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3.xml" ContentType="application/vnd.openxmlformats-officedocument.wordprocessingml.header+xml"/>
  <Override PartName="/word/footer9.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6.xml" ContentType="application/vnd.openxmlformats-officedocument.wordprocessingml.header+xml"/>
  <Override PartName="/word/footer12.xml" ContentType="application/vnd.openxmlformats-officedocument.wordprocessingml.footer+xml"/>
  <Override PartName="/word/ink/ink1.xml" ContentType="application/inkml+xml"/>
  <Override PartName="/word/header7.xml" ContentType="application/vnd.openxmlformats-officedocument.wordprocessingml.head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2.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15.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D97C0E" w14:textId="77777777" w:rsidR="00BA6D2B" w:rsidRPr="007A5677" w:rsidRDefault="00BA6D2B" w:rsidP="001004A6">
      <w:pPr>
        <w:suppressLineNumbers/>
        <w:tabs>
          <w:tab w:val="left" w:pos="4680"/>
        </w:tabs>
        <w:jc w:val="right"/>
        <w:rPr>
          <w:szCs w:val="24"/>
          <w:u w:val="single"/>
        </w:rPr>
      </w:pPr>
      <w:bookmarkStart w:id="0" w:name="_GoBack"/>
      <w:bookmarkEnd w:id="0"/>
      <w:r w:rsidRPr="007A5677">
        <w:rPr>
          <w:szCs w:val="24"/>
          <w:u w:val="single"/>
        </w:rPr>
        <w:t>Housing &amp; Buildings Committee Staff</w:t>
      </w:r>
    </w:p>
    <w:p w14:paraId="1F78F6D6" w14:textId="77777777" w:rsidR="00BA6D2B" w:rsidRPr="007A5677" w:rsidRDefault="009A0C69" w:rsidP="001004A6">
      <w:pPr>
        <w:pStyle w:val="Body"/>
        <w:suppressLineNumbers/>
        <w:spacing w:after="0" w:line="240" w:lineRule="auto"/>
        <w:ind w:left="3960" w:firstLine="720"/>
        <w:jc w:val="right"/>
        <w:rPr>
          <w:rFonts w:ascii="Times New Roman" w:hAnsi="Times New Roman" w:cs="Times New Roman"/>
          <w:i/>
          <w:sz w:val="24"/>
          <w:szCs w:val="24"/>
        </w:rPr>
      </w:pPr>
      <w:r w:rsidRPr="007A5677">
        <w:rPr>
          <w:rFonts w:ascii="Times New Roman" w:hAnsi="Times New Roman" w:cs="Times New Roman"/>
          <w:sz w:val="24"/>
          <w:szCs w:val="24"/>
        </w:rPr>
        <w:t>Austin</w:t>
      </w:r>
      <w:r w:rsidR="00BA6D2B" w:rsidRPr="007A5677">
        <w:rPr>
          <w:rFonts w:ascii="Times New Roman" w:hAnsi="Times New Roman" w:cs="Times New Roman"/>
          <w:sz w:val="24"/>
          <w:szCs w:val="24"/>
        </w:rPr>
        <w:t xml:space="preserve"> </w:t>
      </w:r>
      <w:r w:rsidRPr="007A5677">
        <w:rPr>
          <w:rFonts w:ascii="Times New Roman" w:hAnsi="Times New Roman" w:cs="Times New Roman"/>
          <w:sz w:val="24"/>
          <w:szCs w:val="24"/>
        </w:rPr>
        <w:t>Malone</w:t>
      </w:r>
      <w:r w:rsidR="00BA6D2B" w:rsidRPr="007A5677">
        <w:rPr>
          <w:rFonts w:ascii="Times New Roman" w:hAnsi="Times New Roman" w:cs="Times New Roman"/>
          <w:sz w:val="24"/>
          <w:szCs w:val="24"/>
        </w:rPr>
        <w:t xml:space="preserve">, </w:t>
      </w:r>
      <w:r w:rsidR="00BA6D2B" w:rsidRPr="007A5677">
        <w:rPr>
          <w:rFonts w:ascii="Times New Roman" w:hAnsi="Times New Roman" w:cs="Times New Roman"/>
          <w:i/>
          <w:sz w:val="24"/>
          <w:szCs w:val="24"/>
        </w:rPr>
        <w:t>Senior</w:t>
      </w:r>
      <w:r w:rsidR="00BA6D2B" w:rsidRPr="007A5677">
        <w:rPr>
          <w:rFonts w:ascii="Times New Roman" w:hAnsi="Times New Roman" w:cs="Times New Roman"/>
          <w:sz w:val="24"/>
          <w:szCs w:val="24"/>
        </w:rPr>
        <w:t xml:space="preserve"> </w:t>
      </w:r>
      <w:r w:rsidR="00BA6D2B" w:rsidRPr="007A5677">
        <w:rPr>
          <w:rFonts w:ascii="Times New Roman" w:hAnsi="Times New Roman" w:cs="Times New Roman"/>
          <w:i/>
          <w:sz w:val="24"/>
          <w:szCs w:val="24"/>
        </w:rPr>
        <w:t>Legislative Counsel</w:t>
      </w:r>
    </w:p>
    <w:p w14:paraId="6B7FE509" w14:textId="6B8DEBEA" w:rsidR="00402E57" w:rsidRPr="007A5677" w:rsidRDefault="00402E57" w:rsidP="00402E57">
      <w:pPr>
        <w:pStyle w:val="Body"/>
        <w:suppressLineNumbers/>
        <w:spacing w:after="0" w:line="240" w:lineRule="auto"/>
        <w:ind w:left="3960" w:firstLine="720"/>
        <w:jc w:val="right"/>
        <w:rPr>
          <w:rFonts w:ascii="Times New Roman" w:hAnsi="Times New Roman" w:cs="Times New Roman"/>
          <w:i/>
          <w:sz w:val="24"/>
          <w:szCs w:val="24"/>
        </w:rPr>
      </w:pPr>
      <w:r w:rsidRPr="007A5677">
        <w:rPr>
          <w:rFonts w:ascii="Times New Roman" w:hAnsi="Times New Roman" w:cs="Times New Roman"/>
          <w:sz w:val="24"/>
          <w:szCs w:val="24"/>
        </w:rPr>
        <w:t xml:space="preserve">William Eck, </w:t>
      </w:r>
      <w:r w:rsidRPr="007A5677">
        <w:rPr>
          <w:rFonts w:ascii="Times New Roman" w:hAnsi="Times New Roman" w:cs="Times New Roman"/>
          <w:i/>
          <w:sz w:val="24"/>
          <w:szCs w:val="24"/>
        </w:rPr>
        <w:t>Legislative Counsel</w:t>
      </w:r>
    </w:p>
    <w:p w14:paraId="7EA229BC" w14:textId="58805E9C" w:rsidR="00370B00" w:rsidRPr="007A5677" w:rsidRDefault="009A0C69" w:rsidP="001004A6">
      <w:pPr>
        <w:pStyle w:val="Body"/>
        <w:suppressLineNumbers/>
        <w:spacing w:after="0" w:line="240" w:lineRule="auto"/>
        <w:ind w:left="3960" w:firstLine="720"/>
        <w:jc w:val="right"/>
        <w:rPr>
          <w:rFonts w:ascii="Times New Roman" w:hAnsi="Times New Roman" w:cs="Times New Roman"/>
          <w:i/>
          <w:sz w:val="24"/>
          <w:szCs w:val="24"/>
        </w:rPr>
      </w:pPr>
      <w:r w:rsidRPr="007A5677">
        <w:rPr>
          <w:rFonts w:ascii="Times New Roman" w:hAnsi="Times New Roman" w:cs="Times New Roman"/>
          <w:sz w:val="24"/>
          <w:szCs w:val="24"/>
        </w:rPr>
        <w:t>Jose</w:t>
      </w:r>
      <w:r w:rsidR="00370B00" w:rsidRPr="007A5677">
        <w:rPr>
          <w:rFonts w:ascii="Times New Roman" w:hAnsi="Times New Roman" w:cs="Times New Roman"/>
          <w:sz w:val="24"/>
          <w:szCs w:val="24"/>
        </w:rPr>
        <w:t xml:space="preserve"> </w:t>
      </w:r>
      <w:r w:rsidRPr="007A5677">
        <w:rPr>
          <w:rFonts w:ascii="Times New Roman" w:hAnsi="Times New Roman" w:cs="Times New Roman"/>
          <w:sz w:val="24"/>
          <w:szCs w:val="24"/>
        </w:rPr>
        <w:t>Conde</w:t>
      </w:r>
      <w:r w:rsidR="00370B00" w:rsidRPr="007A5677">
        <w:rPr>
          <w:rFonts w:ascii="Times New Roman" w:hAnsi="Times New Roman" w:cs="Times New Roman"/>
          <w:sz w:val="24"/>
          <w:szCs w:val="24"/>
        </w:rPr>
        <w:t xml:space="preserve">, </w:t>
      </w:r>
      <w:r w:rsidRPr="007A5677">
        <w:rPr>
          <w:rFonts w:ascii="Times New Roman" w:hAnsi="Times New Roman" w:cs="Times New Roman"/>
          <w:i/>
          <w:sz w:val="24"/>
          <w:szCs w:val="24"/>
        </w:rPr>
        <w:t>Senior</w:t>
      </w:r>
      <w:r w:rsidRPr="007A5677">
        <w:rPr>
          <w:rFonts w:ascii="Times New Roman" w:hAnsi="Times New Roman" w:cs="Times New Roman"/>
          <w:sz w:val="24"/>
          <w:szCs w:val="24"/>
        </w:rPr>
        <w:t xml:space="preserve"> </w:t>
      </w:r>
      <w:r w:rsidR="000E1DD5" w:rsidRPr="007A5677">
        <w:rPr>
          <w:rFonts w:ascii="Times New Roman" w:hAnsi="Times New Roman" w:cs="Times New Roman"/>
          <w:i/>
          <w:sz w:val="24"/>
          <w:szCs w:val="24"/>
        </w:rPr>
        <w:t>Policy</w:t>
      </w:r>
      <w:r w:rsidR="00370B00" w:rsidRPr="007A5677">
        <w:rPr>
          <w:rFonts w:ascii="Times New Roman" w:hAnsi="Times New Roman" w:cs="Times New Roman"/>
          <w:i/>
          <w:sz w:val="24"/>
          <w:szCs w:val="24"/>
        </w:rPr>
        <w:t xml:space="preserve"> </w:t>
      </w:r>
      <w:r w:rsidR="000E1DD5" w:rsidRPr="007A5677">
        <w:rPr>
          <w:rFonts w:ascii="Times New Roman" w:hAnsi="Times New Roman" w:cs="Times New Roman"/>
          <w:i/>
          <w:sz w:val="24"/>
          <w:szCs w:val="24"/>
        </w:rPr>
        <w:t>Analyst</w:t>
      </w:r>
    </w:p>
    <w:p w14:paraId="4FD88868" w14:textId="77777777" w:rsidR="00BA6D2B" w:rsidRPr="007A5677" w:rsidRDefault="009A0C69" w:rsidP="001004A6">
      <w:pPr>
        <w:suppressLineNumbers/>
        <w:tabs>
          <w:tab w:val="left" w:pos="0"/>
        </w:tabs>
        <w:jc w:val="right"/>
        <w:rPr>
          <w:szCs w:val="24"/>
        </w:rPr>
      </w:pPr>
      <w:r w:rsidRPr="007A5677">
        <w:rPr>
          <w:szCs w:val="24"/>
        </w:rPr>
        <w:t>Dirk Spencer PhD</w:t>
      </w:r>
      <w:r w:rsidR="00BA6D2B" w:rsidRPr="007A5677">
        <w:rPr>
          <w:szCs w:val="24"/>
        </w:rPr>
        <w:t xml:space="preserve">, </w:t>
      </w:r>
      <w:r w:rsidR="00BA6D2B" w:rsidRPr="007A5677">
        <w:rPr>
          <w:i/>
          <w:iCs/>
          <w:szCs w:val="24"/>
        </w:rPr>
        <w:t>Policy</w:t>
      </w:r>
      <w:r w:rsidR="00BA6D2B" w:rsidRPr="007A5677">
        <w:rPr>
          <w:i/>
          <w:szCs w:val="24"/>
        </w:rPr>
        <w:t xml:space="preserve"> Analyst</w:t>
      </w:r>
    </w:p>
    <w:p w14:paraId="18CA76A9" w14:textId="3B9AB067" w:rsidR="00402E57" w:rsidRPr="007A5677" w:rsidRDefault="00402E57" w:rsidP="00402E57">
      <w:pPr>
        <w:suppressLineNumbers/>
        <w:jc w:val="right"/>
        <w:rPr>
          <w:i/>
          <w:iCs/>
          <w:szCs w:val="24"/>
        </w:rPr>
      </w:pPr>
      <w:r w:rsidRPr="007A5677">
        <w:rPr>
          <w:szCs w:val="24"/>
        </w:rPr>
        <w:t xml:space="preserve">Carla Naranjo, </w:t>
      </w:r>
      <w:r w:rsidRPr="007A5677">
        <w:rPr>
          <w:i/>
          <w:iCs/>
          <w:szCs w:val="24"/>
        </w:rPr>
        <w:t>Financial Analyst</w:t>
      </w:r>
    </w:p>
    <w:p w14:paraId="30CE3269" w14:textId="77777777" w:rsidR="00A22C99" w:rsidRPr="007A5677" w:rsidRDefault="009A0C69" w:rsidP="002017B2">
      <w:pPr>
        <w:suppressLineNumbers/>
        <w:jc w:val="right"/>
        <w:rPr>
          <w:i/>
          <w:iCs/>
          <w:szCs w:val="24"/>
        </w:rPr>
      </w:pPr>
      <w:r w:rsidRPr="007A5677">
        <w:rPr>
          <w:iCs/>
          <w:szCs w:val="24"/>
        </w:rPr>
        <w:t>Reese Hirota,</w:t>
      </w:r>
      <w:r w:rsidRPr="007A5677">
        <w:rPr>
          <w:i/>
          <w:iCs/>
          <w:szCs w:val="24"/>
        </w:rPr>
        <w:t xml:space="preserve"> Data Scientist</w:t>
      </w:r>
    </w:p>
    <w:p w14:paraId="7170BCE9" w14:textId="77777777" w:rsidR="00BA6D2B" w:rsidRPr="005A3A11" w:rsidRDefault="00BA6D2B" w:rsidP="001004A6">
      <w:pPr>
        <w:suppressLineNumbers/>
        <w:tabs>
          <w:tab w:val="left" w:pos="4680"/>
        </w:tabs>
        <w:ind w:left="5040" w:hanging="5040"/>
        <w:jc w:val="right"/>
      </w:pPr>
      <w:r w:rsidRPr="005A3A11">
        <w:rPr>
          <w:noProof/>
        </w:rPr>
        <w:drawing>
          <wp:anchor distT="0" distB="0" distL="114300" distR="114300" simplePos="0" relativeHeight="251659264" behindDoc="0" locked="0" layoutInCell="1" allowOverlap="1" wp14:anchorId="4D7492D8" wp14:editId="0C323666">
            <wp:simplePos x="0" y="0"/>
            <wp:positionH relativeFrom="column">
              <wp:posOffset>2336800</wp:posOffset>
            </wp:positionH>
            <wp:positionV relativeFrom="paragraph">
              <wp:posOffset>233680</wp:posOffset>
            </wp:positionV>
            <wp:extent cx="1346835" cy="1384935"/>
            <wp:effectExtent l="0" t="0" r="5715" b="571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46835" cy="1384935"/>
                    </a:xfrm>
                    <a:prstGeom prst="rect">
                      <a:avLst/>
                    </a:prstGeom>
                    <a:noFill/>
                  </pic:spPr>
                </pic:pic>
              </a:graphicData>
            </a:graphic>
            <wp14:sizeRelH relativeFrom="page">
              <wp14:pctWidth>0</wp14:pctWidth>
            </wp14:sizeRelH>
            <wp14:sizeRelV relativeFrom="page">
              <wp14:pctHeight>0</wp14:pctHeight>
            </wp14:sizeRelV>
          </wp:anchor>
        </w:drawing>
      </w:r>
    </w:p>
    <w:p w14:paraId="0D0C1D86" w14:textId="77777777" w:rsidR="0013656A" w:rsidRDefault="0013656A" w:rsidP="002017B2">
      <w:pPr>
        <w:widowControl w:val="0"/>
        <w:suppressLineNumbers/>
        <w:jc w:val="center"/>
        <w:outlineLvl w:val="5"/>
        <w:rPr>
          <w:rFonts w:ascii="Times New Roman Bold" w:eastAsia="Calibri" w:hAnsi="Times New Roman Bold" w:cs="Calibri"/>
          <w:b/>
          <w:bCs/>
          <w:smallCaps/>
          <w:color w:val="000000"/>
          <w:szCs w:val="24"/>
          <w:u w:val="single" w:color="000000"/>
        </w:rPr>
      </w:pPr>
    </w:p>
    <w:p w14:paraId="24D5604B" w14:textId="77777777" w:rsidR="002017B2" w:rsidRPr="00BC19FE" w:rsidRDefault="002017B2" w:rsidP="002017B2">
      <w:pPr>
        <w:widowControl w:val="0"/>
        <w:suppressLineNumbers/>
        <w:jc w:val="center"/>
        <w:outlineLvl w:val="5"/>
        <w:rPr>
          <w:rFonts w:ascii="Times New Roman Bold" w:hAnsi="Times New Roman Bold"/>
          <w:b/>
          <w:bCs/>
          <w:smallCaps/>
          <w:color w:val="000000"/>
          <w:szCs w:val="24"/>
          <w:u w:val="single" w:color="000000"/>
        </w:rPr>
      </w:pPr>
      <w:r w:rsidRPr="00BC19FE">
        <w:rPr>
          <w:rFonts w:ascii="Times New Roman Bold" w:eastAsia="Calibri" w:hAnsi="Times New Roman Bold" w:cs="Calibri"/>
          <w:b/>
          <w:bCs/>
          <w:smallCaps/>
          <w:color w:val="000000"/>
          <w:szCs w:val="24"/>
          <w:u w:val="single" w:color="000000"/>
        </w:rPr>
        <w:t>The New York City Council</w:t>
      </w:r>
    </w:p>
    <w:p w14:paraId="28DBE315" w14:textId="77777777" w:rsidR="002017B2" w:rsidRPr="00BC19FE" w:rsidRDefault="002017B2" w:rsidP="002017B2">
      <w:pPr>
        <w:suppressLineNumbers/>
        <w:tabs>
          <w:tab w:val="center" w:pos="4680"/>
        </w:tabs>
        <w:jc w:val="center"/>
        <w:rPr>
          <w:rFonts w:eastAsia="Arial Unicode MS"/>
          <w:iCs/>
        </w:rPr>
      </w:pPr>
      <w:r w:rsidRPr="00BC19FE">
        <w:rPr>
          <w:iCs/>
        </w:rPr>
        <w:t>Andrea Vazquez, Legislative Director</w:t>
      </w:r>
    </w:p>
    <w:p w14:paraId="16A35B32" w14:textId="77777777" w:rsidR="002017B2" w:rsidRPr="00BC19FE" w:rsidRDefault="002017B2" w:rsidP="002017B2">
      <w:pPr>
        <w:suppressLineNumbers/>
        <w:tabs>
          <w:tab w:val="left" w:pos="-1440"/>
        </w:tabs>
        <w:ind w:left="4320"/>
        <w:rPr>
          <w:b/>
          <w:szCs w:val="24"/>
        </w:rPr>
      </w:pPr>
    </w:p>
    <w:p w14:paraId="13EE5A58" w14:textId="5E1DC1A6" w:rsidR="002017B2" w:rsidRPr="00BC19FE" w:rsidRDefault="002017B2" w:rsidP="002017B2">
      <w:pPr>
        <w:widowControl w:val="0"/>
        <w:suppressLineNumbers/>
        <w:jc w:val="center"/>
        <w:outlineLvl w:val="5"/>
        <w:rPr>
          <w:rFonts w:ascii="Times New Roman Bold" w:hAnsi="Times New Roman Bold"/>
          <w:b/>
          <w:bCs/>
          <w:smallCaps/>
          <w:color w:val="000000"/>
          <w:szCs w:val="24"/>
          <w:u w:val="single" w:color="000000"/>
        </w:rPr>
      </w:pPr>
      <w:r w:rsidRPr="00BC19FE">
        <w:rPr>
          <w:rFonts w:ascii="Times New Roman Bold" w:eastAsia="Calibri" w:hAnsi="Times New Roman Bold" w:cs="Calibri"/>
          <w:b/>
          <w:bCs/>
          <w:smallCaps/>
          <w:color w:val="000000"/>
          <w:szCs w:val="24"/>
          <w:u w:val="single" w:color="000000"/>
        </w:rPr>
        <w:t>Committee Report of the Infrastructure</w:t>
      </w:r>
      <w:r w:rsidR="000C7756">
        <w:rPr>
          <w:rFonts w:ascii="Times New Roman Bold" w:eastAsia="Calibri" w:hAnsi="Times New Roman Bold" w:cs="Calibri"/>
          <w:b/>
          <w:bCs/>
          <w:smallCaps/>
          <w:color w:val="000000"/>
          <w:szCs w:val="24"/>
          <w:u w:val="single" w:color="000000"/>
        </w:rPr>
        <w:t xml:space="preserve"> </w:t>
      </w:r>
      <w:r w:rsidRPr="00BC19FE">
        <w:rPr>
          <w:rFonts w:ascii="Times New Roman Bold" w:eastAsia="Calibri" w:hAnsi="Times New Roman Bold" w:cs="Calibri"/>
          <w:b/>
          <w:bCs/>
          <w:smallCaps/>
          <w:color w:val="000000"/>
          <w:szCs w:val="24"/>
          <w:u w:val="single" w:color="000000"/>
        </w:rPr>
        <w:t>Division</w:t>
      </w:r>
    </w:p>
    <w:p w14:paraId="3A0C98E4" w14:textId="77777777" w:rsidR="002017B2" w:rsidRDefault="002017B2" w:rsidP="007A611B">
      <w:pPr>
        <w:suppressLineNumbers/>
        <w:tabs>
          <w:tab w:val="center" w:pos="4680"/>
        </w:tabs>
        <w:jc w:val="center"/>
        <w:rPr>
          <w:iCs/>
        </w:rPr>
      </w:pPr>
      <w:r w:rsidRPr="00BC19FE">
        <w:rPr>
          <w:iCs/>
        </w:rPr>
        <w:t>Brad Reid, Deputy Director, Infrastructure Division</w:t>
      </w:r>
    </w:p>
    <w:p w14:paraId="10524224" w14:textId="77777777" w:rsidR="002017B2" w:rsidRPr="00BC19FE" w:rsidRDefault="002017B2" w:rsidP="002017B2">
      <w:pPr>
        <w:suppressLineNumbers/>
        <w:tabs>
          <w:tab w:val="center" w:pos="4680"/>
        </w:tabs>
        <w:jc w:val="center"/>
        <w:rPr>
          <w:iCs/>
        </w:rPr>
      </w:pPr>
    </w:p>
    <w:p w14:paraId="3EC0145A" w14:textId="77777777" w:rsidR="002017B2" w:rsidRPr="00BC19FE" w:rsidRDefault="002017B2" w:rsidP="002017B2">
      <w:pPr>
        <w:suppressLineNumbers/>
        <w:tabs>
          <w:tab w:val="center" w:pos="4680"/>
        </w:tabs>
        <w:jc w:val="center"/>
        <w:rPr>
          <w:rFonts w:ascii="Times New Roman Bold" w:hAnsi="Times New Roman Bold"/>
          <w:b/>
          <w:smallCaps/>
          <w:szCs w:val="24"/>
          <w:u w:val="single"/>
        </w:rPr>
      </w:pPr>
      <w:r w:rsidRPr="00BC19FE">
        <w:rPr>
          <w:rFonts w:ascii="Times New Roman Bold" w:hAnsi="Times New Roman Bold"/>
          <w:b/>
          <w:smallCaps/>
          <w:szCs w:val="24"/>
          <w:u w:val="single"/>
        </w:rPr>
        <w:t>Committee on Housing and Buildings</w:t>
      </w:r>
    </w:p>
    <w:p w14:paraId="69D9A027" w14:textId="77777777" w:rsidR="002017B2" w:rsidRDefault="002017B2" w:rsidP="002017B2">
      <w:pPr>
        <w:suppressLineNumbers/>
        <w:tabs>
          <w:tab w:val="center" w:pos="4680"/>
        </w:tabs>
        <w:jc w:val="center"/>
        <w:rPr>
          <w:szCs w:val="24"/>
        </w:rPr>
      </w:pPr>
      <w:r w:rsidRPr="00BC19FE">
        <w:rPr>
          <w:szCs w:val="24"/>
        </w:rPr>
        <w:t>Hon. Pierina Sanchez, Chair</w:t>
      </w:r>
    </w:p>
    <w:p w14:paraId="121D7368" w14:textId="77777777" w:rsidR="00C8681F" w:rsidRDefault="00C8681F" w:rsidP="00C8681F">
      <w:pPr>
        <w:suppressLineNumbers/>
        <w:tabs>
          <w:tab w:val="center" w:pos="4680"/>
        </w:tabs>
        <w:jc w:val="center"/>
        <w:rPr>
          <w:rFonts w:ascii="Times New Roman Bold" w:hAnsi="Times New Roman Bold"/>
          <w:b/>
          <w:smallCaps/>
          <w:szCs w:val="24"/>
          <w:u w:val="single"/>
        </w:rPr>
      </w:pPr>
    </w:p>
    <w:p w14:paraId="5CE1E1BE" w14:textId="77777777" w:rsidR="00BA6D2B" w:rsidRPr="005A3A11" w:rsidRDefault="00BA6D2B" w:rsidP="00104519">
      <w:pPr>
        <w:suppressLineNumbers/>
        <w:rPr>
          <w:bCs/>
          <w:color w:val="000000"/>
        </w:rPr>
      </w:pPr>
    </w:p>
    <w:p w14:paraId="609E0D3D" w14:textId="082279D4" w:rsidR="00BA6D2B" w:rsidRPr="005A3A11" w:rsidRDefault="00104519" w:rsidP="001004A6">
      <w:pPr>
        <w:suppressLineNumbers/>
        <w:tabs>
          <w:tab w:val="center" w:pos="4680"/>
        </w:tabs>
        <w:jc w:val="center"/>
        <w:rPr>
          <w:color w:val="000000"/>
        </w:rPr>
      </w:pPr>
      <w:r>
        <w:rPr>
          <w:b/>
        </w:rPr>
        <w:t>November</w:t>
      </w:r>
      <w:r w:rsidR="00402E57">
        <w:rPr>
          <w:b/>
        </w:rPr>
        <w:t xml:space="preserve"> 2</w:t>
      </w:r>
      <w:r>
        <w:rPr>
          <w:b/>
        </w:rPr>
        <w:t>0</w:t>
      </w:r>
      <w:r w:rsidR="001457BC">
        <w:rPr>
          <w:b/>
        </w:rPr>
        <w:t>, 2025</w:t>
      </w:r>
    </w:p>
    <w:p w14:paraId="31603BD2" w14:textId="77777777" w:rsidR="00BA6D2B" w:rsidRPr="005A3A11" w:rsidRDefault="00BA6D2B" w:rsidP="00406AF5">
      <w:pPr>
        <w:suppressLineNumbers/>
        <w:rPr>
          <w:szCs w:val="24"/>
        </w:rPr>
      </w:pPr>
    </w:p>
    <w:p w14:paraId="39DDEDE4" w14:textId="77777777" w:rsidR="000461A2" w:rsidRDefault="000461A2" w:rsidP="000B0CB8">
      <w:pPr>
        <w:suppressLineNumbers/>
        <w:ind w:left="3600" w:hanging="3600"/>
      </w:pPr>
      <w:bookmarkStart w:id="1" w:name="_Hlk209002448"/>
    </w:p>
    <w:p w14:paraId="0CEBDEC0" w14:textId="2FAB7AD4" w:rsidR="000461A2" w:rsidRDefault="004B358D" w:rsidP="000B0CB8">
      <w:pPr>
        <w:suppressLineNumbers/>
        <w:ind w:left="3600" w:hanging="3600"/>
      </w:pPr>
      <w:r>
        <w:rPr>
          <w:rFonts w:ascii="Times New Roman Bold" w:hAnsi="Times New Roman Bold"/>
          <w:b/>
          <w:bCs/>
          <w:smallCaps/>
          <w:u w:val="single"/>
        </w:rPr>
        <w:t xml:space="preserve">Proposed </w:t>
      </w:r>
      <w:r w:rsidR="000461A2" w:rsidRPr="000461A2">
        <w:rPr>
          <w:rFonts w:ascii="Times New Roman Bold" w:hAnsi="Times New Roman Bold"/>
          <w:b/>
          <w:bCs/>
          <w:smallCaps/>
          <w:u w:val="single"/>
        </w:rPr>
        <w:t xml:space="preserve">Int. No. </w:t>
      </w:r>
      <w:r w:rsidR="00406AF5">
        <w:rPr>
          <w:rFonts w:ascii="Times New Roman Bold" w:hAnsi="Times New Roman Bold"/>
          <w:b/>
          <w:bCs/>
          <w:smallCaps/>
          <w:u w:val="single"/>
        </w:rPr>
        <w:t>948</w:t>
      </w:r>
      <w:r w:rsidR="004E71AA">
        <w:rPr>
          <w:rFonts w:ascii="Times New Roman Bold" w:hAnsi="Times New Roman Bold"/>
          <w:b/>
          <w:bCs/>
          <w:smallCaps/>
          <w:u w:val="single"/>
        </w:rPr>
        <w:t>-</w:t>
      </w:r>
      <w:r w:rsidR="00406AF5">
        <w:rPr>
          <w:rFonts w:ascii="Times New Roman Bold" w:hAnsi="Times New Roman Bold"/>
          <w:b/>
          <w:bCs/>
          <w:smallCaps/>
          <w:u w:val="single"/>
        </w:rPr>
        <w:t>A</w:t>
      </w:r>
      <w:r w:rsidR="000461A2" w:rsidRPr="000461A2">
        <w:rPr>
          <w:rFonts w:ascii="Times New Roman Bold" w:hAnsi="Times New Roman Bold"/>
          <w:b/>
          <w:bCs/>
          <w:smallCaps/>
          <w:u w:val="single"/>
        </w:rPr>
        <w:t>:</w:t>
      </w:r>
      <w:r w:rsidR="000461A2">
        <w:tab/>
      </w:r>
      <w:r w:rsidR="00406AF5" w:rsidRPr="00406AF5">
        <w:t>By Council Members Narcisse, Louis, Banks, Riley, Feliz, Stevens, Brooks-Powers and Salamanca</w:t>
      </w:r>
    </w:p>
    <w:p w14:paraId="655007A4" w14:textId="77777777" w:rsidR="00406AF5" w:rsidRDefault="00406AF5" w:rsidP="000B0CB8">
      <w:pPr>
        <w:suppressLineNumbers/>
        <w:ind w:left="3600" w:hanging="3600"/>
      </w:pPr>
    </w:p>
    <w:p w14:paraId="262DCE79" w14:textId="54EAF73A" w:rsidR="000461A2" w:rsidRDefault="000461A2" w:rsidP="000B0CB8">
      <w:pPr>
        <w:suppressLineNumbers/>
        <w:ind w:left="3600" w:hanging="3600"/>
      </w:pPr>
      <w:r w:rsidRPr="000461A2">
        <w:rPr>
          <w:rFonts w:ascii="Times New Roman Bold" w:hAnsi="Times New Roman Bold"/>
          <w:b/>
          <w:bCs/>
          <w:smallCaps/>
          <w:u w:val="single"/>
        </w:rPr>
        <w:t>Title:</w:t>
      </w:r>
      <w:r>
        <w:tab/>
      </w:r>
      <w:bookmarkStart w:id="2" w:name="_Hlk211942195"/>
      <w:r w:rsidR="00406AF5" w:rsidRPr="00406AF5">
        <w:t>A Local Law to amend the New York city building code and the administrative code of the city of New York, in relation to boarders, roomers, or lodgers in a private dwelling and short-term rentals in one- and two-family dwellings</w:t>
      </w:r>
    </w:p>
    <w:bookmarkEnd w:id="2"/>
    <w:p w14:paraId="6835EDD0" w14:textId="77777777" w:rsidR="000461A2" w:rsidRDefault="000461A2" w:rsidP="000B0CB8">
      <w:pPr>
        <w:suppressLineNumbers/>
        <w:ind w:left="3600" w:hanging="3600"/>
      </w:pPr>
    </w:p>
    <w:p w14:paraId="7CFF0F59" w14:textId="1B7AB51B" w:rsidR="000461A2" w:rsidRDefault="000461A2" w:rsidP="000B0CB8">
      <w:pPr>
        <w:suppressLineNumbers/>
        <w:ind w:left="3600" w:hanging="3600"/>
      </w:pPr>
      <w:r w:rsidRPr="000461A2">
        <w:rPr>
          <w:rFonts w:ascii="Times New Roman Bold" w:hAnsi="Times New Roman Bold"/>
          <w:b/>
          <w:bCs/>
          <w:smallCaps/>
          <w:u w:val="single"/>
        </w:rPr>
        <w:t>Administrative Code:</w:t>
      </w:r>
      <w:r>
        <w:tab/>
      </w:r>
      <w:r w:rsidR="00FA6559">
        <w:t>Amends sections 26-3102, 27-2004, and 27-2078</w:t>
      </w:r>
    </w:p>
    <w:p w14:paraId="23F8D140" w14:textId="77777777" w:rsidR="00FA6559" w:rsidRDefault="00FA6559" w:rsidP="000B0CB8">
      <w:pPr>
        <w:suppressLineNumbers/>
        <w:ind w:left="3600" w:hanging="3600"/>
      </w:pPr>
    </w:p>
    <w:p w14:paraId="262ACF97" w14:textId="075474C3" w:rsidR="00FA6559" w:rsidRDefault="00FA6559" w:rsidP="000B0CB8">
      <w:pPr>
        <w:suppressLineNumbers/>
        <w:ind w:left="3600" w:hanging="3600"/>
      </w:pPr>
      <w:r w:rsidRPr="00FA6559">
        <w:rPr>
          <w:rFonts w:ascii="Times New Roman Bold" w:hAnsi="Times New Roman Bold"/>
          <w:b/>
          <w:bCs/>
          <w:smallCaps/>
          <w:u w:val="single"/>
        </w:rPr>
        <w:t>Building Code:</w:t>
      </w:r>
      <w:r>
        <w:tab/>
        <w:t>Amends section BC 202</w:t>
      </w:r>
    </w:p>
    <w:p w14:paraId="334F37E0" w14:textId="77777777" w:rsidR="00970F64" w:rsidRDefault="00970F64" w:rsidP="00970F64">
      <w:pPr>
        <w:suppressLineNumbers/>
        <w:ind w:left="3600" w:hanging="3600"/>
        <w:rPr>
          <w:rFonts w:ascii="Times New Roman Bold" w:hAnsi="Times New Roman Bold"/>
          <w:b/>
          <w:bCs/>
          <w:smallCaps/>
          <w:u w:val="single"/>
        </w:rPr>
      </w:pPr>
    </w:p>
    <w:p w14:paraId="5E59C51E" w14:textId="6561C0A5" w:rsidR="00970F64" w:rsidRDefault="00970F64" w:rsidP="00970F64">
      <w:pPr>
        <w:suppressLineNumbers/>
        <w:ind w:left="3600" w:hanging="3600"/>
      </w:pPr>
      <w:r>
        <w:rPr>
          <w:rFonts w:ascii="Times New Roman Bold" w:hAnsi="Times New Roman Bold"/>
          <w:b/>
          <w:bCs/>
          <w:smallCaps/>
          <w:u w:val="single"/>
        </w:rPr>
        <w:t xml:space="preserve">Proposed </w:t>
      </w:r>
      <w:r w:rsidRPr="000461A2">
        <w:rPr>
          <w:rFonts w:ascii="Times New Roman Bold" w:hAnsi="Times New Roman Bold"/>
          <w:b/>
          <w:bCs/>
          <w:smallCaps/>
          <w:u w:val="single"/>
        </w:rPr>
        <w:t xml:space="preserve">Int. No. </w:t>
      </w:r>
      <w:r>
        <w:rPr>
          <w:rFonts w:ascii="Times New Roman Bold" w:hAnsi="Times New Roman Bold"/>
          <w:b/>
          <w:bCs/>
          <w:smallCaps/>
          <w:u w:val="single"/>
        </w:rPr>
        <w:t>1107-A</w:t>
      </w:r>
      <w:r w:rsidRPr="000461A2">
        <w:rPr>
          <w:rFonts w:ascii="Times New Roman Bold" w:hAnsi="Times New Roman Bold"/>
          <w:b/>
          <w:bCs/>
          <w:smallCaps/>
          <w:u w:val="single"/>
        </w:rPr>
        <w:t>:</w:t>
      </w:r>
      <w:r>
        <w:tab/>
      </w:r>
      <w:r w:rsidRPr="00406AF5">
        <w:t xml:space="preserve">By Council Members </w:t>
      </w:r>
      <w:r w:rsidRPr="00970F64">
        <w:t>Louis, Narcisse, Riley, Brooks-Powers, Salamanca, Feliz and Stevens</w:t>
      </w:r>
    </w:p>
    <w:p w14:paraId="34EBEF22" w14:textId="77777777" w:rsidR="00970F64" w:rsidRDefault="00970F64" w:rsidP="00970F64">
      <w:pPr>
        <w:suppressLineNumbers/>
        <w:ind w:left="3600" w:hanging="3600"/>
      </w:pPr>
    </w:p>
    <w:p w14:paraId="5A41C005" w14:textId="528998CC" w:rsidR="00970F64" w:rsidRDefault="00970F64" w:rsidP="00970F64">
      <w:pPr>
        <w:suppressLineNumbers/>
        <w:ind w:left="3600" w:hanging="3600"/>
      </w:pPr>
      <w:r w:rsidRPr="000461A2">
        <w:rPr>
          <w:rFonts w:ascii="Times New Roman Bold" w:hAnsi="Times New Roman Bold"/>
          <w:b/>
          <w:bCs/>
          <w:smallCaps/>
          <w:u w:val="single"/>
        </w:rPr>
        <w:lastRenderedPageBreak/>
        <w:t>Title:</w:t>
      </w:r>
      <w:r>
        <w:tab/>
      </w:r>
      <w:r w:rsidRPr="00970F64">
        <w:t>A Local Law to amend the New York city building code and administrative code of the city of New York, in relation to common households for short-term rentals in one- and two-family dwellings</w:t>
      </w:r>
    </w:p>
    <w:p w14:paraId="27706366" w14:textId="77777777" w:rsidR="00970F64" w:rsidRDefault="00970F64" w:rsidP="00970F64">
      <w:pPr>
        <w:suppressLineNumbers/>
        <w:ind w:left="3600" w:hanging="3600"/>
      </w:pPr>
    </w:p>
    <w:p w14:paraId="1DA202E5" w14:textId="77777777" w:rsidR="00970F64" w:rsidRDefault="00970F64" w:rsidP="00970F64">
      <w:pPr>
        <w:suppressLineNumbers/>
        <w:ind w:left="3600" w:hanging="3600"/>
      </w:pPr>
      <w:r w:rsidRPr="000461A2">
        <w:rPr>
          <w:rFonts w:ascii="Times New Roman Bold" w:hAnsi="Times New Roman Bold"/>
          <w:b/>
          <w:bCs/>
          <w:smallCaps/>
          <w:u w:val="single"/>
        </w:rPr>
        <w:t>Administrative Code:</w:t>
      </w:r>
      <w:r>
        <w:tab/>
        <w:t>Amends sections 26-3102, 27-2004, and 27-2078</w:t>
      </w:r>
    </w:p>
    <w:p w14:paraId="6B55BF90" w14:textId="77777777" w:rsidR="00970F64" w:rsidRDefault="00970F64" w:rsidP="00970F64">
      <w:pPr>
        <w:suppressLineNumbers/>
        <w:ind w:left="3600" w:hanging="3600"/>
      </w:pPr>
    </w:p>
    <w:p w14:paraId="53A2F63D" w14:textId="77777777" w:rsidR="00970F64" w:rsidRDefault="00970F64" w:rsidP="00970F64">
      <w:pPr>
        <w:suppressLineNumbers/>
        <w:ind w:left="3600" w:hanging="3600"/>
      </w:pPr>
      <w:r w:rsidRPr="00FA6559">
        <w:rPr>
          <w:rFonts w:ascii="Times New Roman Bold" w:hAnsi="Times New Roman Bold"/>
          <w:b/>
          <w:bCs/>
          <w:smallCaps/>
          <w:u w:val="single"/>
        </w:rPr>
        <w:t>Building Code:</w:t>
      </w:r>
      <w:r>
        <w:tab/>
        <w:t>Amends section BC 202</w:t>
      </w:r>
    </w:p>
    <w:p w14:paraId="76109AC3" w14:textId="77777777" w:rsidR="000461A2" w:rsidRDefault="000461A2" w:rsidP="000B0CB8">
      <w:pPr>
        <w:suppressLineNumbers/>
        <w:ind w:left="3600" w:hanging="3600"/>
      </w:pPr>
    </w:p>
    <w:p w14:paraId="16F54993" w14:textId="284990BB" w:rsidR="000461A2" w:rsidRPr="000461A2" w:rsidRDefault="000461A2" w:rsidP="000B0CB8">
      <w:pPr>
        <w:suppressLineNumbers/>
        <w:ind w:left="3600" w:hanging="3600"/>
        <w:rPr>
          <w:rFonts w:ascii="Times New Roman Bold" w:hAnsi="Times New Roman Bold"/>
          <w:b/>
          <w:bCs/>
          <w:smallCaps/>
          <w:u w:val="single"/>
        </w:rPr>
      </w:pPr>
      <w:r w:rsidRPr="000461A2">
        <w:rPr>
          <w:rFonts w:ascii="Times New Roman Bold" w:hAnsi="Times New Roman Bold"/>
          <w:b/>
          <w:bCs/>
          <w:smallCaps/>
          <w:u w:val="single"/>
        </w:rPr>
        <w:t>Int. No. 1217:</w:t>
      </w:r>
      <w:r w:rsidR="004C473E">
        <w:rPr>
          <w:rFonts w:ascii="Times New Roman Bold" w:hAnsi="Times New Roman Bold"/>
          <w:smallCaps/>
        </w:rPr>
        <w:tab/>
      </w:r>
      <w:r w:rsidR="004C473E">
        <w:rPr>
          <w:color w:val="000000"/>
          <w:shd w:val="clear" w:color="auto" w:fill="FFFFFF"/>
        </w:rPr>
        <w:t>By Council Members Zhuang, Marte, Banks, Louis, Holden, Hanks, Joseph, Krishnan, Ayala, Feliz, Ung, Hudson, Sanchez, Gutiérrez, Menin, Lee, Farías, Schulman Vernikov, Morano and Ariola</w:t>
      </w:r>
      <w:r>
        <w:rPr>
          <w:rFonts w:ascii="Times New Roman Bold" w:hAnsi="Times New Roman Bold"/>
          <w:smallCaps/>
        </w:rPr>
        <w:tab/>
      </w:r>
      <w:r w:rsidRPr="000461A2">
        <w:rPr>
          <w:rFonts w:ascii="Times New Roman Bold" w:hAnsi="Times New Roman Bold"/>
          <w:b/>
          <w:bCs/>
          <w:smallCaps/>
          <w:u w:val="single"/>
        </w:rPr>
        <w:t xml:space="preserve"> </w:t>
      </w:r>
    </w:p>
    <w:p w14:paraId="353FDD1B" w14:textId="77777777" w:rsidR="000461A2" w:rsidRPr="000461A2" w:rsidRDefault="000461A2" w:rsidP="000B0CB8">
      <w:pPr>
        <w:suppressLineNumbers/>
        <w:ind w:left="3600" w:hanging="3600"/>
        <w:rPr>
          <w:rFonts w:ascii="Times New Roman Bold" w:hAnsi="Times New Roman Bold"/>
          <w:b/>
          <w:bCs/>
          <w:smallCaps/>
          <w:u w:val="single"/>
        </w:rPr>
      </w:pPr>
    </w:p>
    <w:p w14:paraId="47754BEE" w14:textId="459D1C22" w:rsidR="000461A2" w:rsidRPr="004C473E" w:rsidRDefault="000461A2" w:rsidP="000B0CB8">
      <w:pPr>
        <w:suppressLineNumbers/>
        <w:ind w:left="3600" w:hanging="3600"/>
        <w:rPr>
          <w:rFonts w:ascii="Times New Roman Bold" w:hAnsi="Times New Roman Bold"/>
          <w:smallCaps/>
        </w:rPr>
      </w:pPr>
      <w:r w:rsidRPr="000461A2">
        <w:rPr>
          <w:rFonts w:ascii="Times New Roman Bold" w:hAnsi="Times New Roman Bold"/>
          <w:b/>
          <w:bCs/>
          <w:smallCaps/>
          <w:u w:val="single"/>
        </w:rPr>
        <w:t>Title:</w:t>
      </w:r>
      <w:r w:rsidR="004C473E">
        <w:rPr>
          <w:rFonts w:ascii="Times New Roman Bold" w:hAnsi="Times New Roman Bold"/>
          <w:smallCaps/>
        </w:rPr>
        <w:tab/>
      </w:r>
      <w:r w:rsidR="004C473E" w:rsidRPr="004C473E">
        <w:t>A Local Law to amend the administrative code of the city of New York, in relation to building inspections and reporting following complaints related to rats and other pests</w:t>
      </w:r>
    </w:p>
    <w:p w14:paraId="4C702561" w14:textId="77777777" w:rsidR="000461A2" w:rsidRPr="000461A2" w:rsidRDefault="000461A2" w:rsidP="000B0CB8">
      <w:pPr>
        <w:suppressLineNumbers/>
        <w:ind w:left="3600" w:hanging="3600"/>
        <w:rPr>
          <w:rFonts w:ascii="Times New Roman Bold" w:hAnsi="Times New Roman Bold"/>
          <w:b/>
          <w:bCs/>
          <w:smallCaps/>
          <w:u w:val="single"/>
        </w:rPr>
      </w:pPr>
    </w:p>
    <w:p w14:paraId="6F970EFC" w14:textId="11F31828" w:rsidR="000461A2" w:rsidRPr="004C473E" w:rsidRDefault="000461A2" w:rsidP="000B0CB8">
      <w:pPr>
        <w:suppressLineNumbers/>
        <w:ind w:left="3600" w:hanging="3600"/>
      </w:pPr>
      <w:r w:rsidRPr="000461A2">
        <w:rPr>
          <w:rFonts w:ascii="Times New Roman Bold" w:hAnsi="Times New Roman Bold"/>
          <w:b/>
          <w:bCs/>
          <w:smallCaps/>
          <w:u w:val="single"/>
        </w:rPr>
        <w:t>Administrative Code:</w:t>
      </w:r>
      <w:r w:rsidR="004C473E">
        <w:rPr>
          <w:rFonts w:ascii="Times New Roman Bold" w:hAnsi="Times New Roman Bold"/>
          <w:smallCaps/>
        </w:rPr>
        <w:tab/>
      </w:r>
      <w:r w:rsidR="004C473E">
        <w:t>Amends</w:t>
      </w:r>
      <w:r w:rsidR="004E71AA">
        <w:t xml:space="preserve"> section</w:t>
      </w:r>
      <w:r w:rsidR="004C473E">
        <w:t xml:space="preserve"> 17-133.3 and adds new </w:t>
      </w:r>
      <w:r w:rsidR="004E71AA">
        <w:t xml:space="preserve">section </w:t>
      </w:r>
      <w:r w:rsidR="004C473E">
        <w:t>17-133.4</w:t>
      </w:r>
    </w:p>
    <w:p w14:paraId="505BD5DE" w14:textId="77777777" w:rsidR="001B7F77" w:rsidRDefault="001B7F77" w:rsidP="000B0CB8">
      <w:pPr>
        <w:suppressLineNumbers/>
        <w:ind w:left="3600" w:hanging="3600"/>
      </w:pPr>
    </w:p>
    <w:p w14:paraId="26D49F94" w14:textId="161D3394" w:rsidR="001B7F77" w:rsidRPr="00427936" w:rsidRDefault="001B7F77" w:rsidP="001B7F77">
      <w:pPr>
        <w:suppressLineNumbers/>
        <w:ind w:left="3600" w:hanging="3600"/>
      </w:pPr>
      <w:r w:rsidRPr="00427936">
        <w:rPr>
          <w:b/>
          <w:smallCaps/>
          <w:u w:val="single"/>
        </w:rPr>
        <w:t>Int. No. 1321</w:t>
      </w:r>
      <w:r w:rsidRPr="00427936">
        <w:rPr>
          <w:b/>
          <w:smallCaps/>
        </w:rPr>
        <w:t>:</w:t>
      </w:r>
      <w:r w:rsidRPr="00427936">
        <w:rPr>
          <w:smallCaps/>
        </w:rPr>
        <w:tab/>
      </w:r>
      <w:r w:rsidRPr="00427936">
        <w:rPr>
          <w:color w:val="000000"/>
          <w:shd w:val="clear" w:color="auto" w:fill="FFFFFF"/>
        </w:rPr>
        <w:t>By Council Member Sanchez (by request of the Mayor)</w:t>
      </w:r>
    </w:p>
    <w:p w14:paraId="45FAB450" w14:textId="77777777" w:rsidR="001B7F77" w:rsidRPr="00427936" w:rsidRDefault="001B7F77" w:rsidP="001B7F77">
      <w:pPr>
        <w:suppressLineNumbers/>
        <w:ind w:left="3600" w:hanging="3600"/>
        <w:jc w:val="left"/>
        <w:rPr>
          <w:b/>
          <w:smallCaps/>
          <w:u w:val="single"/>
        </w:rPr>
      </w:pPr>
    </w:p>
    <w:p w14:paraId="3DE44475" w14:textId="77777777" w:rsidR="001B7F77" w:rsidRPr="00427936" w:rsidRDefault="001B7F77" w:rsidP="001B7F77">
      <w:pPr>
        <w:suppressLineNumbers/>
        <w:ind w:left="3600" w:hanging="3600"/>
      </w:pPr>
      <w:r w:rsidRPr="00427936">
        <w:rPr>
          <w:b/>
          <w:smallCaps/>
          <w:u w:val="single"/>
        </w:rPr>
        <w:t>Title</w:t>
      </w:r>
      <w:r w:rsidRPr="00427936">
        <w:rPr>
          <w:b/>
          <w:smallCaps/>
        </w:rPr>
        <w:t>:</w:t>
      </w:r>
      <w:r w:rsidRPr="00427936">
        <w:tab/>
        <w:t>A Local Law to amend the administrative code of the city of New York, in relation to the enactment of the existing building code, and to repeal chapter 1 of title 27 of such code comprising the 1968 building code</w:t>
      </w:r>
    </w:p>
    <w:p w14:paraId="79230123" w14:textId="77777777" w:rsidR="001B7F77" w:rsidRPr="00427936" w:rsidRDefault="001B7F77" w:rsidP="001B7F77">
      <w:pPr>
        <w:suppressLineNumbers/>
        <w:ind w:left="3600" w:hanging="3600"/>
        <w:jc w:val="left"/>
      </w:pPr>
    </w:p>
    <w:p w14:paraId="4EEF843D" w14:textId="491F189F" w:rsidR="001B7F77" w:rsidRDefault="00BC620C" w:rsidP="001B7F77">
      <w:pPr>
        <w:suppressLineNumbers/>
        <w:ind w:left="3600" w:hanging="3600"/>
      </w:pPr>
      <w:r>
        <w:rPr>
          <w:b/>
          <w:smallCaps/>
          <w:u w:val="single"/>
        </w:rPr>
        <w:t>Administrative</w:t>
      </w:r>
      <w:r w:rsidR="001B7F77" w:rsidRPr="00427936">
        <w:rPr>
          <w:b/>
          <w:smallCaps/>
          <w:u w:val="single"/>
        </w:rPr>
        <w:t xml:space="preserve"> Code</w:t>
      </w:r>
      <w:r w:rsidR="001B7F77" w:rsidRPr="00427936">
        <w:rPr>
          <w:b/>
          <w:smallCaps/>
        </w:rPr>
        <w:t>:</w:t>
      </w:r>
      <w:r w:rsidR="001B7F77" w:rsidRPr="00427936">
        <w:tab/>
        <w:t xml:space="preserve">Repeals chapter 1 of title 27 and </w:t>
      </w:r>
      <w:r>
        <w:t xml:space="preserve">adds </w:t>
      </w:r>
      <w:r w:rsidR="000C7756">
        <w:t xml:space="preserve">a </w:t>
      </w:r>
      <w:r>
        <w:t>new chapter 12 to title 28</w:t>
      </w:r>
    </w:p>
    <w:p w14:paraId="6BD06B44" w14:textId="77777777" w:rsidR="000C7756" w:rsidRDefault="000C7756" w:rsidP="005E52C1">
      <w:pPr>
        <w:suppressLineNumbers/>
        <w:jc w:val="left"/>
        <w:rPr>
          <w:b/>
          <w:smallCaps/>
          <w:u w:val="single"/>
        </w:rPr>
      </w:pPr>
    </w:p>
    <w:p w14:paraId="5E052763" w14:textId="48BFA2BC" w:rsidR="00206C21" w:rsidRDefault="00206C21" w:rsidP="00206C21">
      <w:pPr>
        <w:suppressLineNumbers/>
        <w:ind w:left="3600" w:hanging="3600"/>
      </w:pPr>
      <w:r w:rsidRPr="00206C21">
        <w:rPr>
          <w:rFonts w:ascii="Times New Roman Bold" w:hAnsi="Times New Roman Bold"/>
          <w:b/>
          <w:smallCaps/>
          <w:u w:val="single"/>
        </w:rPr>
        <w:t xml:space="preserve">Int. No. </w:t>
      </w:r>
      <w:r w:rsidR="005E52C1">
        <w:rPr>
          <w:rFonts w:ascii="Times New Roman Bold" w:hAnsi="Times New Roman Bold"/>
          <w:b/>
          <w:smallCaps/>
          <w:u w:val="single"/>
        </w:rPr>
        <w:t>1</w:t>
      </w:r>
      <w:r w:rsidR="000461A2">
        <w:rPr>
          <w:rFonts w:ascii="Times New Roman Bold" w:hAnsi="Times New Roman Bold"/>
          <w:b/>
          <w:smallCaps/>
          <w:u w:val="single"/>
        </w:rPr>
        <w:t>422</w:t>
      </w:r>
      <w:r w:rsidRPr="00206C21">
        <w:rPr>
          <w:rFonts w:ascii="Times New Roman Bold" w:hAnsi="Times New Roman Bold"/>
          <w:b/>
          <w:smallCaps/>
        </w:rPr>
        <w:t>:</w:t>
      </w:r>
      <w:r>
        <w:tab/>
      </w:r>
      <w:r w:rsidRPr="00206C21">
        <w:t>By Council Member</w:t>
      </w:r>
      <w:r w:rsidR="00B97424">
        <w:t>s</w:t>
      </w:r>
      <w:r w:rsidR="004C473E">
        <w:t xml:space="preserve"> Sanchez </w:t>
      </w:r>
      <w:r w:rsidR="00B97424">
        <w:t xml:space="preserve">and Louis </w:t>
      </w:r>
      <w:r w:rsidR="004C473E">
        <w:t>(by request of the Mayor)</w:t>
      </w:r>
    </w:p>
    <w:p w14:paraId="06C4F5B5" w14:textId="77777777" w:rsidR="00206C21" w:rsidRDefault="00206C21" w:rsidP="00206C21">
      <w:pPr>
        <w:suppressLineNumbers/>
        <w:ind w:left="3600" w:hanging="3600"/>
      </w:pPr>
    </w:p>
    <w:p w14:paraId="4D12D414" w14:textId="6AABA944" w:rsidR="00206C21" w:rsidRDefault="00206C21" w:rsidP="00CE1646">
      <w:pPr>
        <w:suppressLineNumbers/>
        <w:ind w:left="3600" w:hanging="3600"/>
      </w:pPr>
      <w:r w:rsidRPr="00206C21">
        <w:rPr>
          <w:rFonts w:ascii="Times New Roman Bold" w:hAnsi="Times New Roman Bold"/>
          <w:b/>
          <w:smallCaps/>
          <w:u w:val="single"/>
        </w:rPr>
        <w:t>Title</w:t>
      </w:r>
      <w:r w:rsidRPr="00206C21">
        <w:rPr>
          <w:rFonts w:ascii="Times New Roman Bold" w:hAnsi="Times New Roman Bold"/>
          <w:b/>
          <w:smallCaps/>
        </w:rPr>
        <w:t>:</w:t>
      </w:r>
      <w:r>
        <w:tab/>
      </w:r>
      <w:r w:rsidR="004C473E" w:rsidRPr="004C473E">
        <w:t xml:space="preserve">A Local Law to amend the administrative code of the city of New York and the New York city construction codes, in relation to conforming provisions of such codes with provisions of the New York city existing building code and electrical and elevator inspections; and repealing sections 28-120.1.1, 28-120.1.2, 28-120.1.3, 28-120.2, 28-120.3, 28-316.1 of the administrative code of the city of New York; sections 102.6, 106.10, 901.9.1, 901.9.1.1, 901.9.2, 901.9.3, 901.9.4, 901.9.4.1, 901.9.4.2, 901.9.4.3, 901.9.5, 901.9.5.1, 901.9.5.3, 901.9.5.4, 901.9.6, 1101.3.1, 1101.3.2, 1101.3.3, 1101.3.4, 1101.3.5, 1101.3.5.1, 1101.3.5.2, 1101.4, 1601.2.1, 1601.2.2, 1601.2.3, 1601.2.4, 3001.11.1, 3303.10.3, D102, D103, D104, and D105 of the New York </w:t>
      </w:r>
      <w:r w:rsidR="004C473E" w:rsidRPr="004C473E">
        <w:lastRenderedPageBreak/>
        <w:t>city building code; sections 102.2.1, 102.4.2.1, 102.4.2.2, 102.4.2.3, and 102.4.2.4 of the New York city fuel gas code; sections 102.4.2.1, 102.4.2.2, 102.4.2.3, 102.4.2.4, 102.4.2.5, 102.4.2.6, 1305.9.13 and 1305.16.1 of the New York city mechanical code; and sections 102.2.1, 102.2.2, 102.4.2.1, 102.4.2.2, 102.4.2.3, 601.3, 601.5 and 701.2.5 of the New York city plumbing code, relating to conforming provisions of such codes with provisions of the New York city existing building code</w:t>
      </w:r>
    </w:p>
    <w:p w14:paraId="60F86ACC" w14:textId="77777777" w:rsidR="00B012A2" w:rsidRDefault="00B012A2" w:rsidP="002C3FB2">
      <w:pPr>
        <w:suppressLineNumbers/>
        <w:ind w:left="3600" w:hanging="3600"/>
        <w:rPr>
          <w:b/>
          <w:smallCaps/>
          <w:u w:val="single"/>
        </w:rPr>
      </w:pPr>
    </w:p>
    <w:p w14:paraId="741EAF39" w14:textId="0126EBE9" w:rsidR="002C3FB2" w:rsidRDefault="002C3FB2" w:rsidP="002C3FB2">
      <w:pPr>
        <w:suppressLineNumbers/>
        <w:ind w:left="3600" w:hanging="3600"/>
      </w:pPr>
      <w:r>
        <w:rPr>
          <w:b/>
          <w:smallCaps/>
          <w:u w:val="single"/>
        </w:rPr>
        <w:t>Administrative Code</w:t>
      </w:r>
      <w:r w:rsidRPr="005A3A11">
        <w:rPr>
          <w:b/>
          <w:smallCaps/>
        </w:rPr>
        <w:t>:</w:t>
      </w:r>
      <w:r w:rsidRPr="005A3A11">
        <w:tab/>
      </w:r>
      <w:r w:rsidR="00100464">
        <w:t>Amends chapter 1 of title 28, chapter 7 of title 28, chapter 8 of title 28, chapter 9 of title 28, chapter 10 of title 28, and chapter 11 of title 28</w:t>
      </w:r>
    </w:p>
    <w:p w14:paraId="2DAF2246" w14:textId="77777777" w:rsidR="000C7756" w:rsidRDefault="000C7756" w:rsidP="00881226">
      <w:pPr>
        <w:suppressLineNumbers/>
      </w:pPr>
    </w:p>
    <w:p w14:paraId="22E87C3A" w14:textId="7E0742E0" w:rsidR="005E52C1" w:rsidRDefault="005E52C1" w:rsidP="005E52C1">
      <w:pPr>
        <w:suppressLineNumbers/>
        <w:ind w:left="3600" w:hanging="3600"/>
      </w:pPr>
      <w:r w:rsidRPr="0050492C">
        <w:rPr>
          <w:rFonts w:ascii="Times New Roman Bold" w:hAnsi="Times New Roman Bold"/>
          <w:b/>
          <w:bCs/>
          <w:smallCaps/>
          <w:u w:val="single"/>
        </w:rPr>
        <w:t>Int. No.</w:t>
      </w:r>
      <w:r w:rsidR="0050492C">
        <w:rPr>
          <w:rFonts w:ascii="Times New Roman Bold" w:hAnsi="Times New Roman Bold"/>
          <w:b/>
          <w:bCs/>
          <w:smallCaps/>
          <w:u w:val="single"/>
        </w:rPr>
        <w:t xml:space="preserve"> 1465</w:t>
      </w:r>
      <w:r w:rsidR="000461A2" w:rsidRPr="0050492C">
        <w:rPr>
          <w:rFonts w:ascii="Times New Roman Bold" w:hAnsi="Times New Roman Bold"/>
          <w:b/>
          <w:bCs/>
          <w:smallCaps/>
          <w:u w:val="single"/>
        </w:rPr>
        <w:t>:</w:t>
      </w:r>
      <w:r>
        <w:tab/>
        <w:t>By Council Member</w:t>
      </w:r>
      <w:r w:rsidR="0050492C">
        <w:t>s</w:t>
      </w:r>
      <w:r>
        <w:t xml:space="preserve"> </w:t>
      </w:r>
      <w:r w:rsidR="00C24065">
        <w:t>Brannan</w:t>
      </w:r>
      <w:r w:rsidR="0050492C">
        <w:t xml:space="preserve"> and Morano</w:t>
      </w:r>
    </w:p>
    <w:p w14:paraId="2B1880D4" w14:textId="77777777" w:rsidR="005E52C1" w:rsidRDefault="005E52C1" w:rsidP="005E52C1">
      <w:pPr>
        <w:suppressLineNumbers/>
        <w:ind w:left="3600" w:hanging="3600"/>
      </w:pPr>
    </w:p>
    <w:p w14:paraId="03718D51" w14:textId="7FFEB3C3" w:rsidR="005E52C1" w:rsidRDefault="005E52C1" w:rsidP="005E52C1">
      <w:pPr>
        <w:suppressLineNumbers/>
        <w:ind w:left="3600" w:hanging="3600"/>
      </w:pPr>
      <w:r w:rsidRPr="005E52C1">
        <w:rPr>
          <w:rFonts w:ascii="Times New Roman Bold" w:hAnsi="Times New Roman Bold"/>
          <w:b/>
          <w:bCs/>
          <w:smallCaps/>
          <w:u w:val="single"/>
        </w:rPr>
        <w:t>Title:</w:t>
      </w:r>
      <w:r>
        <w:tab/>
        <w:t>A Local Law</w:t>
      </w:r>
      <w:r w:rsidR="00C24065">
        <w:t xml:space="preserve"> </w:t>
      </w:r>
      <w:r w:rsidR="00C24065" w:rsidRPr="00C24065">
        <w:t>to amend the administrative code of the City of New York, in relation to requiring the department of buildings and the department of small business services to provide education concerning the proper installation of awnings and accessory signs, and in relation to waiving penalties and fees related to such signs</w:t>
      </w:r>
    </w:p>
    <w:p w14:paraId="4E9BFAC7" w14:textId="77777777" w:rsidR="005E52C1" w:rsidRDefault="005E52C1" w:rsidP="005E52C1">
      <w:pPr>
        <w:suppressLineNumbers/>
        <w:ind w:left="3600" w:hanging="3600"/>
      </w:pPr>
    </w:p>
    <w:p w14:paraId="7983A961" w14:textId="00422FE4" w:rsidR="00881226" w:rsidRPr="00881226" w:rsidRDefault="005E52C1" w:rsidP="005E52C1">
      <w:pPr>
        <w:suppressLineNumbers/>
        <w:ind w:left="3600" w:hanging="3600"/>
        <w:rPr>
          <w:rFonts w:ascii="Times New Roman Bold" w:hAnsi="Times New Roman Bold"/>
          <w:smallCaps/>
        </w:rPr>
      </w:pPr>
      <w:r w:rsidRPr="005E52C1">
        <w:rPr>
          <w:rFonts w:ascii="Times New Roman Bold" w:hAnsi="Times New Roman Bold"/>
          <w:b/>
          <w:bCs/>
          <w:smallCaps/>
          <w:u w:val="single"/>
        </w:rPr>
        <w:t>Administrative Code:</w:t>
      </w:r>
      <w:r w:rsidR="00881226">
        <w:rPr>
          <w:rFonts w:ascii="Times New Roman Bold" w:hAnsi="Times New Roman Bold"/>
          <w:smallCaps/>
        </w:rPr>
        <w:tab/>
      </w:r>
      <w:r w:rsidR="00881226" w:rsidRPr="00881226">
        <w:t>Adds new section 28-103.39</w:t>
      </w:r>
    </w:p>
    <w:p w14:paraId="3B93CE14" w14:textId="77777777" w:rsidR="00881226" w:rsidRDefault="00881226" w:rsidP="005E52C1">
      <w:pPr>
        <w:suppressLineNumbers/>
        <w:ind w:left="3600" w:hanging="3600"/>
        <w:rPr>
          <w:rFonts w:ascii="Times New Roman Bold" w:hAnsi="Times New Roman Bold"/>
          <w:b/>
          <w:bCs/>
          <w:smallCaps/>
          <w:u w:val="single"/>
        </w:rPr>
      </w:pPr>
    </w:p>
    <w:p w14:paraId="6B1D7DF4" w14:textId="77777777" w:rsidR="00FF389C" w:rsidRDefault="006F375E" w:rsidP="005E52C1">
      <w:pPr>
        <w:suppressLineNumbers/>
        <w:ind w:left="3600" w:hanging="3600"/>
        <w:rPr>
          <w:rFonts w:ascii="Times New Roman Bold" w:hAnsi="Times New Roman Bold"/>
          <w:b/>
          <w:bCs/>
          <w:smallCaps/>
          <w:u w:val="single"/>
        </w:rPr>
      </w:pPr>
      <w:r>
        <w:rPr>
          <w:rFonts w:ascii="Times New Roman Bold" w:hAnsi="Times New Roman Bold"/>
          <w:b/>
          <w:bCs/>
          <w:smallCaps/>
          <w:u w:val="single"/>
        </w:rPr>
        <w:t xml:space="preserve">Preconsidered </w:t>
      </w:r>
      <w:r w:rsidR="00FF389C">
        <w:rPr>
          <w:rFonts w:ascii="Times New Roman Bold" w:hAnsi="Times New Roman Bold"/>
          <w:b/>
          <w:bCs/>
          <w:smallCaps/>
          <w:u w:val="single"/>
        </w:rPr>
        <w:t xml:space="preserve">Proposed </w:t>
      </w:r>
    </w:p>
    <w:p w14:paraId="12EB7E9A" w14:textId="37F5C89A" w:rsidR="00881226" w:rsidRPr="00881226" w:rsidRDefault="00881226" w:rsidP="005E52C1">
      <w:pPr>
        <w:suppressLineNumbers/>
        <w:ind w:left="3600" w:hanging="3600"/>
      </w:pPr>
      <w:r w:rsidRPr="00DD71E5">
        <w:rPr>
          <w:rFonts w:ascii="Times New Roman Bold" w:hAnsi="Times New Roman Bold"/>
          <w:b/>
          <w:bCs/>
          <w:smallCaps/>
          <w:u w:val="single"/>
        </w:rPr>
        <w:t>Int. No.</w:t>
      </w:r>
      <w:r w:rsidR="00FF389C">
        <w:rPr>
          <w:rFonts w:ascii="Times New Roman Bold" w:hAnsi="Times New Roman Bold"/>
          <w:b/>
          <w:bCs/>
          <w:smallCaps/>
          <w:u w:val="single"/>
        </w:rPr>
        <w:t>__-A</w:t>
      </w:r>
      <w:r w:rsidRPr="00DD71E5">
        <w:rPr>
          <w:rFonts w:ascii="Times New Roman Bold" w:hAnsi="Times New Roman Bold"/>
          <w:b/>
          <w:bCs/>
          <w:smallCaps/>
          <w:u w:val="single"/>
        </w:rPr>
        <w:t>:</w:t>
      </w:r>
      <w:r>
        <w:rPr>
          <w:rFonts w:ascii="Times New Roman Bold" w:hAnsi="Times New Roman Bold"/>
          <w:smallCaps/>
        </w:rPr>
        <w:tab/>
      </w:r>
      <w:r>
        <w:t>By Council Member Sanchez (by request of the Mayor)</w:t>
      </w:r>
    </w:p>
    <w:p w14:paraId="7DFA0C44" w14:textId="77777777" w:rsidR="00881226" w:rsidRDefault="00881226" w:rsidP="005E52C1">
      <w:pPr>
        <w:suppressLineNumbers/>
        <w:ind w:left="3600" w:hanging="3600"/>
        <w:rPr>
          <w:rFonts w:ascii="Times New Roman Bold" w:hAnsi="Times New Roman Bold"/>
          <w:b/>
          <w:bCs/>
          <w:smallCaps/>
          <w:u w:val="single"/>
        </w:rPr>
      </w:pPr>
    </w:p>
    <w:p w14:paraId="12A18268" w14:textId="47F9BD3C" w:rsidR="005E52C1" w:rsidRDefault="00881226" w:rsidP="005E52C1">
      <w:pPr>
        <w:suppressLineNumbers/>
        <w:ind w:left="3600" w:hanging="3600"/>
      </w:pPr>
      <w:r>
        <w:rPr>
          <w:rFonts w:ascii="Times New Roman Bold" w:hAnsi="Times New Roman Bold"/>
          <w:b/>
          <w:bCs/>
          <w:smallCaps/>
          <w:u w:val="single"/>
        </w:rPr>
        <w:t>Title:</w:t>
      </w:r>
      <w:r w:rsidR="005E52C1">
        <w:tab/>
      </w:r>
      <w:r w:rsidRPr="00881226">
        <w:t>A Local Law to amend the administrative code of the city of New York, in relation to conforming the New York city energy conservation code to the New York state energy code with amendments unique to construction in the city, and to repeal section 28-1001.2 of such administrative code relating to such conforming amendments</w:t>
      </w:r>
    </w:p>
    <w:p w14:paraId="2990AAAD" w14:textId="77777777" w:rsidR="003B3913" w:rsidRDefault="003B3913" w:rsidP="005E52C1">
      <w:pPr>
        <w:suppressLineNumbers/>
        <w:ind w:left="3600" w:hanging="3600"/>
      </w:pPr>
    </w:p>
    <w:p w14:paraId="7B99A912" w14:textId="67CB7063" w:rsidR="003B3913" w:rsidRPr="00CE1646" w:rsidRDefault="003B3913" w:rsidP="005E52C1">
      <w:pPr>
        <w:suppressLineNumbers/>
        <w:ind w:left="3600" w:hanging="3600"/>
      </w:pPr>
      <w:r w:rsidRPr="003B3913">
        <w:rPr>
          <w:rFonts w:ascii="Times New Roman Bold" w:hAnsi="Times New Roman Bold"/>
          <w:b/>
          <w:bCs/>
          <w:smallCaps/>
          <w:u w:val="single"/>
        </w:rPr>
        <w:t>Administrative Code:</w:t>
      </w:r>
      <w:r>
        <w:tab/>
        <w:t>Amends chapter 10 of title 28</w:t>
      </w:r>
      <w:r w:rsidR="002A6DF8">
        <w:t xml:space="preserve"> and repeals section 28-1001.2</w:t>
      </w:r>
    </w:p>
    <w:p w14:paraId="1E3AE74B" w14:textId="77777777" w:rsidR="001B7F77" w:rsidRDefault="001B7F77" w:rsidP="00C24065">
      <w:pPr>
        <w:suppressLineNumbers/>
        <w:jc w:val="left"/>
        <w:rPr>
          <w:b/>
          <w:smallCaps/>
          <w:u w:val="single"/>
        </w:rPr>
      </w:pPr>
    </w:p>
    <w:p w14:paraId="52D1FAD0" w14:textId="77777777" w:rsidR="000C7756" w:rsidRDefault="000C7756" w:rsidP="001004A6">
      <w:pPr>
        <w:suppressLineNumbers/>
        <w:ind w:left="3600" w:hanging="3600"/>
        <w:jc w:val="left"/>
        <w:rPr>
          <w:b/>
          <w:smallCaps/>
          <w:u w:val="single"/>
        </w:rPr>
      </w:pPr>
    </w:p>
    <w:p w14:paraId="2464649C" w14:textId="77777777" w:rsidR="0063537E" w:rsidRPr="005A3A11" w:rsidRDefault="0063537E" w:rsidP="0063537E">
      <w:pPr>
        <w:suppressLineNumbers/>
        <w:ind w:left="3600" w:hanging="3600"/>
        <w:jc w:val="left"/>
      </w:pPr>
    </w:p>
    <w:bookmarkEnd w:id="1"/>
    <w:p w14:paraId="419A2CDD" w14:textId="77777777" w:rsidR="00BA6D2B" w:rsidRPr="005A3A11" w:rsidRDefault="00BA6D2B" w:rsidP="001004A6">
      <w:pPr>
        <w:numPr>
          <w:ilvl w:val="0"/>
          <w:numId w:val="1"/>
        </w:numPr>
        <w:suppressLineNumbers/>
        <w:spacing w:line="480" w:lineRule="auto"/>
        <w:contextualSpacing/>
        <w:jc w:val="left"/>
        <w:rPr>
          <w:b/>
          <w:smallCaps/>
          <w:szCs w:val="24"/>
          <w:u w:val="single"/>
        </w:rPr>
      </w:pPr>
      <w:r w:rsidRPr="005A3A11">
        <w:rPr>
          <w:b/>
          <w:smallCaps/>
          <w:szCs w:val="24"/>
          <w:u w:val="single"/>
        </w:rPr>
        <w:t>Introduction</w:t>
      </w:r>
    </w:p>
    <w:p w14:paraId="52B7EF7A" w14:textId="16E8C4F4" w:rsidR="0067543D" w:rsidRDefault="003778AD" w:rsidP="00056E20">
      <w:pPr>
        <w:suppressLineNumbers/>
        <w:spacing w:line="480" w:lineRule="auto"/>
        <w:ind w:firstLine="720"/>
        <w:contextualSpacing/>
        <w:rPr>
          <w:szCs w:val="24"/>
        </w:rPr>
      </w:pPr>
      <w:r w:rsidRPr="004A2C5D">
        <w:rPr>
          <w:szCs w:val="24"/>
        </w:rPr>
        <w:t xml:space="preserve">On </w:t>
      </w:r>
      <w:r w:rsidR="004C473E">
        <w:rPr>
          <w:szCs w:val="24"/>
        </w:rPr>
        <w:t>November</w:t>
      </w:r>
      <w:r w:rsidR="00056E20" w:rsidRPr="00056E20">
        <w:rPr>
          <w:szCs w:val="24"/>
        </w:rPr>
        <w:t xml:space="preserve"> 2</w:t>
      </w:r>
      <w:r w:rsidR="004C473E">
        <w:rPr>
          <w:szCs w:val="24"/>
        </w:rPr>
        <w:t>0</w:t>
      </w:r>
      <w:r w:rsidR="00056E20" w:rsidRPr="00056E20">
        <w:rPr>
          <w:szCs w:val="24"/>
        </w:rPr>
        <w:t>, 2025</w:t>
      </w:r>
      <w:r w:rsidR="00BA6D2B" w:rsidRPr="004A2C5D">
        <w:rPr>
          <w:szCs w:val="24"/>
        </w:rPr>
        <w:t>, the New York City Council (</w:t>
      </w:r>
      <w:r w:rsidR="00894587" w:rsidRPr="004A2C5D">
        <w:rPr>
          <w:szCs w:val="24"/>
        </w:rPr>
        <w:t>“</w:t>
      </w:r>
      <w:r w:rsidR="00BA6D2B" w:rsidRPr="004A2C5D">
        <w:rPr>
          <w:szCs w:val="24"/>
        </w:rPr>
        <w:t>Council</w:t>
      </w:r>
      <w:r w:rsidR="00894587" w:rsidRPr="004A2C5D">
        <w:rPr>
          <w:szCs w:val="24"/>
        </w:rPr>
        <w:t>”</w:t>
      </w:r>
      <w:r w:rsidR="00BA6D2B" w:rsidRPr="004A2C5D">
        <w:rPr>
          <w:szCs w:val="24"/>
        </w:rPr>
        <w:t>) Committee on Housing and Buildings</w:t>
      </w:r>
      <w:r w:rsidR="004C473E">
        <w:rPr>
          <w:szCs w:val="24"/>
        </w:rPr>
        <w:t xml:space="preserve"> (“the Committee”)</w:t>
      </w:r>
      <w:r w:rsidR="00BA6D2B" w:rsidRPr="004A2C5D">
        <w:rPr>
          <w:szCs w:val="24"/>
        </w:rPr>
        <w:t>, chaired by Council Member Pierina Sanchez</w:t>
      </w:r>
      <w:r w:rsidR="004C473E">
        <w:rPr>
          <w:szCs w:val="24"/>
        </w:rPr>
        <w:t xml:space="preserve">, </w:t>
      </w:r>
      <w:r w:rsidR="00BA6D2B" w:rsidRPr="004A2C5D">
        <w:rPr>
          <w:szCs w:val="24"/>
        </w:rPr>
        <w:t>will hold a</w:t>
      </w:r>
      <w:r w:rsidR="00056E20">
        <w:rPr>
          <w:szCs w:val="24"/>
        </w:rPr>
        <w:t xml:space="preserve"> </w:t>
      </w:r>
      <w:r w:rsidR="00BA6D2B" w:rsidRPr="004A2C5D">
        <w:rPr>
          <w:szCs w:val="24"/>
        </w:rPr>
        <w:t xml:space="preserve">hearing </w:t>
      </w:r>
      <w:r w:rsidR="00C24065">
        <w:rPr>
          <w:szCs w:val="24"/>
        </w:rPr>
        <w:t>to</w:t>
      </w:r>
      <w:r w:rsidR="00894587" w:rsidRPr="004A2C5D">
        <w:rPr>
          <w:szCs w:val="24"/>
        </w:rPr>
        <w:t xml:space="preserve"> </w:t>
      </w:r>
      <w:r w:rsidR="00BA6D2B" w:rsidRPr="004A2C5D">
        <w:rPr>
          <w:szCs w:val="24"/>
        </w:rPr>
        <w:t>consider</w:t>
      </w:r>
      <w:r w:rsidR="00056E20">
        <w:rPr>
          <w:szCs w:val="24"/>
        </w:rPr>
        <w:t xml:space="preserve"> several pieces of legislation: </w:t>
      </w:r>
      <w:r w:rsidR="00C24065">
        <w:rPr>
          <w:szCs w:val="24"/>
        </w:rPr>
        <w:t>Int. No. 948</w:t>
      </w:r>
      <w:r w:rsidR="0032167A">
        <w:rPr>
          <w:szCs w:val="24"/>
        </w:rPr>
        <w:t>-</w:t>
      </w:r>
      <w:r w:rsidR="00C24065">
        <w:rPr>
          <w:szCs w:val="24"/>
        </w:rPr>
        <w:t xml:space="preserve">A, sponsored by Council Member Mercedes Narcisse, in </w:t>
      </w:r>
      <w:r w:rsidR="00C24065" w:rsidRPr="00C24065">
        <w:rPr>
          <w:szCs w:val="24"/>
        </w:rPr>
        <w:t>relation to boarders, roomers, or lodgers in a private dwelling and short-term rentals in one- and two-family dwellings</w:t>
      </w:r>
      <w:r w:rsidR="00C24065">
        <w:rPr>
          <w:szCs w:val="24"/>
        </w:rPr>
        <w:t>;</w:t>
      </w:r>
      <w:r w:rsidR="00EC70EF">
        <w:rPr>
          <w:szCs w:val="24"/>
        </w:rPr>
        <w:t xml:space="preserve"> Int. No. 1107-A, sponsored by Council Member Fara</w:t>
      </w:r>
      <w:r w:rsidR="0050492C">
        <w:rPr>
          <w:szCs w:val="24"/>
        </w:rPr>
        <w:t>h</w:t>
      </w:r>
      <w:r w:rsidR="00EC70EF">
        <w:rPr>
          <w:szCs w:val="24"/>
        </w:rPr>
        <w:t xml:space="preserve"> Louis, </w:t>
      </w:r>
      <w:r w:rsidR="00EC70EF" w:rsidRPr="00EC70EF">
        <w:rPr>
          <w:szCs w:val="24"/>
        </w:rPr>
        <w:t>in relation to common households for short-term rentals in one- and two-family dwellings</w:t>
      </w:r>
      <w:r w:rsidR="00EC70EF">
        <w:rPr>
          <w:szCs w:val="24"/>
        </w:rPr>
        <w:t>;</w:t>
      </w:r>
      <w:r w:rsidR="00C24065">
        <w:rPr>
          <w:szCs w:val="24"/>
        </w:rPr>
        <w:t xml:space="preserve"> </w:t>
      </w:r>
      <w:r w:rsidR="004C473E">
        <w:rPr>
          <w:szCs w:val="24"/>
        </w:rPr>
        <w:t xml:space="preserve">Int. No. 1217, sponsored by Council Member Susan Zhuang, in relation to </w:t>
      </w:r>
      <w:r w:rsidR="004C473E" w:rsidRPr="004C473E">
        <w:rPr>
          <w:szCs w:val="24"/>
        </w:rPr>
        <w:t>building inspections and reporting following complaints related to rats and other pests</w:t>
      </w:r>
      <w:r w:rsidR="004C473E">
        <w:rPr>
          <w:szCs w:val="24"/>
        </w:rPr>
        <w:t>;</w:t>
      </w:r>
      <w:r w:rsidR="004C473E" w:rsidRPr="004C473E">
        <w:rPr>
          <w:szCs w:val="24"/>
        </w:rPr>
        <w:t xml:space="preserve"> </w:t>
      </w:r>
      <w:r w:rsidR="001B7F77">
        <w:rPr>
          <w:szCs w:val="24"/>
        </w:rPr>
        <w:t xml:space="preserve">Int. No. 1321, sponsored by Council Member Sanchez, in relation to </w:t>
      </w:r>
      <w:r w:rsidR="001B7F77" w:rsidRPr="00427936">
        <w:t>the enactment of the existing building code, and to repeal chapter 1 of title 27 of such code comprising the 1968 building code</w:t>
      </w:r>
      <w:r w:rsidR="001B7F77">
        <w:t>;</w:t>
      </w:r>
      <w:r w:rsidR="000B0CB8">
        <w:rPr>
          <w:szCs w:val="24"/>
        </w:rPr>
        <w:t xml:space="preserve"> </w:t>
      </w:r>
      <w:r w:rsidR="004A2C5D" w:rsidRPr="004A2C5D">
        <w:rPr>
          <w:szCs w:val="24"/>
        </w:rPr>
        <w:t xml:space="preserve">Int. No. </w:t>
      </w:r>
      <w:r w:rsidR="004C473E">
        <w:rPr>
          <w:szCs w:val="24"/>
        </w:rPr>
        <w:t>1422</w:t>
      </w:r>
      <w:r w:rsidR="006F6388">
        <w:rPr>
          <w:szCs w:val="24"/>
        </w:rPr>
        <w:t xml:space="preserve">, </w:t>
      </w:r>
      <w:r w:rsidR="00247E9D">
        <w:rPr>
          <w:szCs w:val="24"/>
        </w:rPr>
        <w:t xml:space="preserve">sponsored by Council Member Sanchez, </w:t>
      </w:r>
      <w:r w:rsidR="00247E9D" w:rsidRPr="00247E9D">
        <w:rPr>
          <w:szCs w:val="24"/>
        </w:rPr>
        <w:t>in relation to conforming provisions of such codes with provisions of the New York city existing building code and electrical and elevator inspections</w:t>
      </w:r>
      <w:r w:rsidR="00247E9D">
        <w:rPr>
          <w:szCs w:val="24"/>
        </w:rPr>
        <w:t>, and repealing certain sections of the New York city building code, New York city fuel gas code, New York city mechanical code, and the New York city plumbing code, relating to conforming provisions of such codes with provisions of the New York city existing building code;</w:t>
      </w:r>
      <w:r w:rsidR="00247E9D" w:rsidRPr="00247E9D">
        <w:rPr>
          <w:szCs w:val="24"/>
        </w:rPr>
        <w:t xml:space="preserve"> </w:t>
      </w:r>
      <w:r w:rsidR="006F6388" w:rsidRPr="00DD71E5">
        <w:rPr>
          <w:szCs w:val="24"/>
        </w:rPr>
        <w:t>Int. No.</w:t>
      </w:r>
      <w:r w:rsidR="0050492C" w:rsidRPr="00DD71E5">
        <w:rPr>
          <w:szCs w:val="24"/>
        </w:rPr>
        <w:t xml:space="preserve"> 1465</w:t>
      </w:r>
      <w:r w:rsidR="006F6388" w:rsidRPr="00DD71E5">
        <w:rPr>
          <w:szCs w:val="24"/>
        </w:rPr>
        <w:t>,</w:t>
      </w:r>
      <w:r w:rsidR="006F6388">
        <w:rPr>
          <w:szCs w:val="24"/>
        </w:rPr>
        <w:t xml:space="preserve"> sponsored by Council Member</w:t>
      </w:r>
      <w:r w:rsidR="00C24065">
        <w:rPr>
          <w:szCs w:val="24"/>
        </w:rPr>
        <w:t xml:space="preserve"> Justin Brannan</w:t>
      </w:r>
      <w:r w:rsidR="006F6388">
        <w:rPr>
          <w:szCs w:val="24"/>
        </w:rPr>
        <w:t xml:space="preserve">, </w:t>
      </w:r>
      <w:r w:rsidR="00C24065" w:rsidRPr="00C24065">
        <w:rPr>
          <w:szCs w:val="24"/>
        </w:rPr>
        <w:t>in relation to requiring the department of buildings and the department of small business services to provide education concerning the proper installation of awnings and accessory signs, and in relation to waiving penalties and fees related to such signs</w:t>
      </w:r>
      <w:r w:rsidR="00881226">
        <w:rPr>
          <w:szCs w:val="24"/>
        </w:rPr>
        <w:t xml:space="preserve">; and </w:t>
      </w:r>
      <w:r w:rsidR="001A5668">
        <w:rPr>
          <w:szCs w:val="24"/>
        </w:rPr>
        <w:t xml:space="preserve">Preconsidered </w:t>
      </w:r>
      <w:r w:rsidR="00FF389C">
        <w:rPr>
          <w:szCs w:val="24"/>
        </w:rPr>
        <w:t xml:space="preserve">Proposed </w:t>
      </w:r>
      <w:r w:rsidR="00881226" w:rsidRPr="00DD71E5">
        <w:rPr>
          <w:szCs w:val="24"/>
        </w:rPr>
        <w:t>Int. No.</w:t>
      </w:r>
      <w:r w:rsidR="00FF389C">
        <w:rPr>
          <w:szCs w:val="24"/>
        </w:rPr>
        <w:t xml:space="preserve"> __-A</w:t>
      </w:r>
      <w:r w:rsidR="00881226" w:rsidRPr="008E1215">
        <w:rPr>
          <w:szCs w:val="24"/>
        </w:rPr>
        <w:t>,</w:t>
      </w:r>
      <w:r w:rsidR="00881226">
        <w:rPr>
          <w:szCs w:val="24"/>
        </w:rPr>
        <w:t xml:space="preserve"> sponsored by Council Member Sanchez, in relation to conforming the New York city energy conservation code to the New York state energy code with amendments unique to construction in the city, and to repeal section 28-10001.2 of such administrative code relating to such conforming amendments</w:t>
      </w:r>
      <w:r w:rsidR="00C24065">
        <w:rPr>
          <w:szCs w:val="24"/>
        </w:rPr>
        <w:t>.</w:t>
      </w:r>
    </w:p>
    <w:p w14:paraId="2758F346" w14:textId="77777777" w:rsidR="00E40817" w:rsidRDefault="00E40817" w:rsidP="00056E20">
      <w:pPr>
        <w:suppressLineNumbers/>
        <w:spacing w:line="480" w:lineRule="auto"/>
        <w:ind w:firstLine="720"/>
        <w:contextualSpacing/>
        <w:rPr>
          <w:szCs w:val="24"/>
        </w:rPr>
      </w:pPr>
    </w:p>
    <w:p w14:paraId="771847FF" w14:textId="77777777" w:rsidR="00E40817" w:rsidRDefault="00E40817" w:rsidP="00056E20">
      <w:pPr>
        <w:suppressLineNumbers/>
        <w:spacing w:line="480" w:lineRule="auto"/>
        <w:ind w:firstLine="720"/>
        <w:contextualSpacing/>
        <w:rPr>
          <w:szCs w:val="24"/>
        </w:rPr>
      </w:pPr>
    </w:p>
    <w:p w14:paraId="363D2452" w14:textId="77777777" w:rsidR="00E40817" w:rsidRDefault="00E40817" w:rsidP="00056E20">
      <w:pPr>
        <w:suppressLineNumbers/>
        <w:spacing w:line="480" w:lineRule="auto"/>
        <w:ind w:firstLine="720"/>
        <w:contextualSpacing/>
        <w:rPr>
          <w:szCs w:val="24"/>
        </w:rPr>
      </w:pPr>
    </w:p>
    <w:p w14:paraId="67126FCB" w14:textId="77777777" w:rsidR="00E40817" w:rsidRPr="00A5378F" w:rsidRDefault="00E40817" w:rsidP="00056E20">
      <w:pPr>
        <w:suppressLineNumbers/>
        <w:spacing w:line="480" w:lineRule="auto"/>
        <w:ind w:firstLine="720"/>
        <w:contextualSpacing/>
        <w:rPr>
          <w:szCs w:val="24"/>
        </w:rPr>
      </w:pPr>
    </w:p>
    <w:p w14:paraId="756B0950" w14:textId="77777777" w:rsidR="00BA6D2B" w:rsidRDefault="00BA6D2B" w:rsidP="0067543D">
      <w:pPr>
        <w:pStyle w:val="ListParagraph"/>
        <w:numPr>
          <w:ilvl w:val="0"/>
          <w:numId w:val="1"/>
        </w:numPr>
        <w:suppressLineNumbers/>
        <w:spacing w:before="120" w:line="480" w:lineRule="auto"/>
        <w:jc w:val="left"/>
        <w:rPr>
          <w:b/>
          <w:smallCaps/>
          <w:szCs w:val="24"/>
          <w:u w:val="single"/>
        </w:rPr>
      </w:pPr>
      <w:r w:rsidRPr="005A3A11">
        <w:rPr>
          <w:b/>
          <w:smallCaps/>
          <w:szCs w:val="24"/>
          <w:u w:val="single"/>
        </w:rPr>
        <w:t>Background</w:t>
      </w:r>
    </w:p>
    <w:p w14:paraId="6F35327C" w14:textId="77777777" w:rsidR="007068C4" w:rsidRPr="004C75C4" w:rsidRDefault="007068C4" w:rsidP="007068C4">
      <w:pPr>
        <w:ind w:firstLine="720"/>
      </w:pPr>
    </w:p>
    <w:p w14:paraId="75B7B85D" w14:textId="027E3978" w:rsidR="001F74E3" w:rsidRPr="001F74E3" w:rsidRDefault="001F74E3" w:rsidP="001F74E3">
      <w:pPr>
        <w:spacing w:line="360" w:lineRule="auto"/>
        <w:rPr>
          <w:b/>
          <w:bCs/>
          <w:u w:val="single"/>
        </w:rPr>
      </w:pPr>
      <w:r w:rsidRPr="009F284C">
        <w:rPr>
          <w:b/>
          <w:bCs/>
          <w:u w:val="single"/>
        </w:rPr>
        <w:t>The Existing Building Code</w:t>
      </w:r>
      <w:r>
        <w:rPr>
          <w:i/>
          <w:iCs/>
        </w:rPr>
        <w:tab/>
      </w:r>
    </w:p>
    <w:p w14:paraId="2428C584" w14:textId="77777777" w:rsidR="001F74E3" w:rsidRDefault="001F74E3" w:rsidP="001F74E3">
      <w:pPr>
        <w:spacing w:line="360" w:lineRule="auto"/>
        <w:rPr>
          <w:i/>
          <w:iCs/>
        </w:rPr>
      </w:pPr>
      <w:r>
        <w:rPr>
          <w:i/>
          <w:iCs/>
        </w:rPr>
        <w:t>The International Code Council</w:t>
      </w:r>
    </w:p>
    <w:p w14:paraId="348BBAFC" w14:textId="36E247C3" w:rsidR="00A94B81" w:rsidRDefault="001F74E3" w:rsidP="003C3606">
      <w:pPr>
        <w:spacing w:line="480" w:lineRule="auto"/>
        <w:rPr>
          <w:rFonts w:eastAsia="Calibri"/>
        </w:rPr>
      </w:pPr>
      <w:r>
        <w:rPr>
          <w:i/>
          <w:iCs/>
        </w:rPr>
        <w:tab/>
      </w:r>
      <w:r w:rsidRPr="009F284C">
        <w:rPr>
          <w:rFonts w:eastAsia="Calibri"/>
        </w:rPr>
        <w:t xml:space="preserve">The </w:t>
      </w:r>
      <w:r>
        <w:rPr>
          <w:rFonts w:eastAsia="Calibri"/>
        </w:rPr>
        <w:t>International Code Council (“ICC”)</w:t>
      </w:r>
      <w:r w:rsidRPr="009F284C">
        <w:rPr>
          <w:rFonts w:eastAsia="Calibri"/>
        </w:rPr>
        <w:t xml:space="preserve"> was established in 1994 as a non-profit organization dedicated to developing a single set of comprehensive and coordinated national model construction codes.</w:t>
      </w:r>
      <w:r w:rsidRPr="009F284C">
        <w:rPr>
          <w:rFonts w:eastAsia="Calibri"/>
          <w:vertAlign w:val="superscript"/>
        </w:rPr>
        <w:footnoteReference w:id="1"/>
      </w:r>
      <w:r w:rsidRPr="009F284C">
        <w:rPr>
          <w:rFonts w:eastAsia="Calibri"/>
        </w:rPr>
        <w:t xml:space="preserve"> Due to the evolving nature of engineering and technology, local governments rely on model codes promulgated by independent organizations, such as the ICC, to form the basis of their construction codes.</w:t>
      </w:r>
      <w:r w:rsidRPr="009F284C">
        <w:rPr>
          <w:rFonts w:eastAsia="Calibri"/>
          <w:vertAlign w:val="superscript"/>
        </w:rPr>
        <w:footnoteReference w:id="2"/>
      </w:r>
      <w:r w:rsidRPr="009F284C">
        <w:rPr>
          <w:rFonts w:eastAsia="Calibri"/>
        </w:rPr>
        <w:t xml:space="preserve"> Most model codes are updated on a regular basis by the code organization that issued the respective model code and are usually developed through a review process that encourages sound practices and the use of acceptable state-of-the-art technology.</w:t>
      </w:r>
      <w:bookmarkStart w:id="3" w:name="_Ref73704478"/>
      <w:r w:rsidRPr="009F284C">
        <w:rPr>
          <w:rFonts w:eastAsia="Calibri"/>
          <w:vertAlign w:val="superscript"/>
        </w:rPr>
        <w:footnoteReference w:id="3"/>
      </w:r>
      <w:bookmarkEnd w:id="3"/>
      <w:r w:rsidRPr="009F284C">
        <w:rPr>
          <w:rFonts w:eastAsia="Calibri"/>
        </w:rPr>
        <w:t xml:space="preserve"> The ICC’s mission is to provide the highest quality codes, standards, products, and services for all concerned with the safety and performance of the built environment.</w:t>
      </w:r>
      <w:r w:rsidRPr="009F284C">
        <w:rPr>
          <w:rFonts w:eastAsia="Calibri"/>
          <w:vertAlign w:val="superscript"/>
        </w:rPr>
        <w:footnoteReference w:id="4"/>
      </w:r>
    </w:p>
    <w:p w14:paraId="453474DE" w14:textId="16E6EFD7" w:rsidR="001F74E3" w:rsidRDefault="001F74E3" w:rsidP="001F74E3">
      <w:pPr>
        <w:spacing w:line="360" w:lineRule="auto"/>
        <w:rPr>
          <w:rFonts w:eastAsia="Calibri"/>
        </w:rPr>
      </w:pPr>
      <w:r>
        <w:rPr>
          <w:rFonts w:eastAsia="Calibri"/>
        </w:rPr>
        <w:tab/>
      </w:r>
    </w:p>
    <w:p w14:paraId="087448A3" w14:textId="77777777" w:rsidR="001F74E3" w:rsidRPr="009F284C" w:rsidRDefault="001F74E3" w:rsidP="001F74E3">
      <w:pPr>
        <w:spacing w:line="360" w:lineRule="auto"/>
        <w:rPr>
          <w:i/>
          <w:iCs/>
        </w:rPr>
      </w:pPr>
      <w:r w:rsidRPr="009F284C">
        <w:rPr>
          <w:rFonts w:eastAsia="Calibri"/>
          <w:i/>
          <w:iCs/>
        </w:rPr>
        <w:t>The New York City Construction Codes</w:t>
      </w:r>
    </w:p>
    <w:p w14:paraId="0BDCE0BF" w14:textId="31A97382" w:rsidR="001F74E3" w:rsidRDefault="001F74E3" w:rsidP="00A94B81">
      <w:pPr>
        <w:spacing w:line="480" w:lineRule="auto"/>
        <w:ind w:firstLine="720"/>
      </w:pPr>
      <w:r w:rsidRPr="00415660">
        <w:t xml:space="preserve">The New York City </w:t>
      </w:r>
      <w:r w:rsidR="0089524A">
        <w:t xml:space="preserve">(“NYC” or “City”) </w:t>
      </w:r>
      <w:r w:rsidRPr="00415660">
        <w:t>Construction Codes, which include the Building Code, Plumbing Code, Mechanical Code, Fuel Gas Code, Energy Conservation Code, and Electrical Code (as well as portions of the Administrative Code</w:t>
      </w:r>
      <w:r>
        <w:t xml:space="preserve"> regarding permitting, licensing, fees, and other provisions that apply universally to the five technical volumes</w:t>
      </w:r>
      <w:r w:rsidRPr="00415660">
        <w:t xml:space="preserve">) together </w:t>
      </w:r>
      <w:r>
        <w:t>create</w:t>
      </w:r>
      <w:r w:rsidRPr="00415660">
        <w:t xml:space="preserve"> technical and administrative requirements for construction in the City</w:t>
      </w:r>
      <w:r>
        <w:t>, with the purpose of providing “</w:t>
      </w:r>
      <w:r w:rsidRPr="009F284C">
        <w:t>reasonable</w:t>
      </w:r>
      <w:r w:rsidRPr="009F284C">
        <w:rPr>
          <w:rFonts w:eastAsia="Calibri"/>
        </w:rPr>
        <w:t xml:space="preserve"> </w:t>
      </w:r>
      <w:r w:rsidRPr="009F284C">
        <w:t>minimum requirements and standards, based upon current scientific and</w:t>
      </w:r>
      <w:r w:rsidRPr="009F284C">
        <w:rPr>
          <w:rFonts w:eastAsia="Calibri"/>
        </w:rPr>
        <w:t xml:space="preserve"> </w:t>
      </w:r>
      <w:r w:rsidRPr="009F284C">
        <w:t>engineering knowledge, experience and techniques, and the utilization of</w:t>
      </w:r>
      <w:r w:rsidRPr="009F284C">
        <w:rPr>
          <w:rFonts w:eastAsia="Calibri"/>
        </w:rPr>
        <w:t xml:space="preserve"> </w:t>
      </w:r>
      <w:r w:rsidRPr="009F284C">
        <w:t>modern machinery, equipment, materials, and forms and methods of</w:t>
      </w:r>
      <w:r w:rsidRPr="009F284C">
        <w:rPr>
          <w:rFonts w:eastAsia="Calibri"/>
        </w:rPr>
        <w:t xml:space="preserve"> </w:t>
      </w:r>
      <w:r w:rsidRPr="009F284C">
        <w:t>construction, for the regulation of building construction in the city of New York in the interest of public safety, health</w:t>
      </w:r>
      <w:r>
        <w:t>,</w:t>
      </w:r>
      <w:r w:rsidRPr="009F284C">
        <w:t xml:space="preserve"> and welfare, and with due regard for building construction and maintenance costs.”</w:t>
      </w:r>
      <w:r w:rsidRPr="009F284C">
        <w:rPr>
          <w:vertAlign w:val="superscript"/>
        </w:rPr>
        <w:footnoteReference w:id="5"/>
      </w:r>
      <w:r w:rsidRPr="00415660">
        <w:t xml:space="preserve"> </w:t>
      </w:r>
    </w:p>
    <w:p w14:paraId="6FA57F95" w14:textId="77777777" w:rsidR="001F74E3" w:rsidRPr="001F74E3" w:rsidRDefault="001F74E3" w:rsidP="001F74E3">
      <w:pPr>
        <w:spacing w:line="360" w:lineRule="auto"/>
        <w:ind w:firstLine="720"/>
      </w:pPr>
    </w:p>
    <w:p w14:paraId="33A6BDE1" w14:textId="77777777" w:rsidR="001F74E3" w:rsidRPr="005727CD" w:rsidRDefault="001F74E3" w:rsidP="001F74E3">
      <w:pPr>
        <w:spacing w:line="360" w:lineRule="auto"/>
        <w:rPr>
          <w:rFonts w:eastAsia="Calibri"/>
          <w:i/>
          <w:iCs/>
        </w:rPr>
      </w:pPr>
      <w:r>
        <w:rPr>
          <w:rFonts w:eastAsia="Calibri"/>
          <w:i/>
          <w:iCs/>
        </w:rPr>
        <w:t>History of the</w:t>
      </w:r>
      <w:r w:rsidRPr="005727CD">
        <w:rPr>
          <w:rFonts w:eastAsia="Calibri"/>
          <w:i/>
          <w:iCs/>
        </w:rPr>
        <w:t xml:space="preserve"> New York City Building Code</w:t>
      </w:r>
    </w:p>
    <w:p w14:paraId="1ECF26F3" w14:textId="1ED52813" w:rsidR="001F74E3" w:rsidRDefault="001F74E3" w:rsidP="00A94B81">
      <w:pPr>
        <w:spacing w:line="480" w:lineRule="auto"/>
        <w:ind w:firstLine="720"/>
      </w:pPr>
      <w:r w:rsidRPr="00D83518">
        <w:rPr>
          <w:rFonts w:eastAsia="Calibri"/>
        </w:rPr>
        <w:t xml:space="preserve">The first document to be called a “Building Code” in </w:t>
      </w:r>
      <w:r>
        <w:rPr>
          <w:rFonts w:eastAsia="Calibri"/>
        </w:rPr>
        <w:t>the City</w:t>
      </w:r>
      <w:r w:rsidRPr="00D83518">
        <w:rPr>
          <w:rFonts w:eastAsia="Calibri"/>
        </w:rPr>
        <w:t xml:space="preserve"> was published in 1899, and was significantly updated in 1916.</w:t>
      </w:r>
      <w:r w:rsidRPr="00D83518">
        <w:rPr>
          <w:rFonts w:eastAsia="Calibri"/>
          <w:vertAlign w:val="superscript"/>
        </w:rPr>
        <w:footnoteReference w:id="6"/>
      </w:r>
      <w:r w:rsidRPr="00D83518">
        <w:rPr>
          <w:rFonts w:eastAsia="Calibri"/>
        </w:rPr>
        <w:t xml:space="preserve"> Following the Stock Market Crash of 1929, efforts were made to remove costly, outdated provisions, resulting in the 1938 Code.</w:t>
      </w:r>
      <w:r w:rsidRPr="00D83518">
        <w:rPr>
          <w:rFonts w:eastAsia="Calibri"/>
          <w:vertAlign w:val="superscript"/>
        </w:rPr>
        <w:footnoteReference w:id="7"/>
      </w:r>
      <w:r w:rsidRPr="00D83518">
        <w:rPr>
          <w:rFonts w:eastAsia="Calibri"/>
        </w:rPr>
        <w:t xml:space="preserve"> By the 1950s, criticisms that the 1938 Code did not embrace the latest technology gave rise to a code revision effort, culminating in the 1968 Code.</w:t>
      </w:r>
      <w:r w:rsidRPr="00D83518">
        <w:rPr>
          <w:rFonts w:eastAsia="Calibri"/>
          <w:vertAlign w:val="superscript"/>
        </w:rPr>
        <w:footnoteReference w:id="8"/>
      </w:r>
      <w:r w:rsidRPr="00D83518">
        <w:rPr>
          <w:rFonts w:eastAsia="Calibri"/>
          <w:vertAlign w:val="superscript"/>
        </w:rPr>
        <w:t xml:space="preserve"> </w:t>
      </w:r>
      <w:r w:rsidRPr="00D83518">
        <w:rPr>
          <w:rFonts w:eastAsia="Calibri"/>
        </w:rPr>
        <w:t xml:space="preserve">Similarly, early </w:t>
      </w:r>
      <w:r w:rsidR="00BC5922">
        <w:rPr>
          <w:rFonts w:eastAsia="Calibri"/>
        </w:rPr>
        <w:t xml:space="preserve">in the </w:t>
      </w:r>
      <w:r w:rsidRPr="00D83518">
        <w:rPr>
          <w:rFonts w:eastAsia="Calibri"/>
        </w:rPr>
        <w:t>21</w:t>
      </w:r>
      <w:r w:rsidR="00BC5922">
        <w:rPr>
          <w:rFonts w:eastAsia="Calibri"/>
        </w:rPr>
        <w:t>st</w:t>
      </w:r>
      <w:r w:rsidRPr="00D83518">
        <w:rPr>
          <w:rFonts w:eastAsia="Calibri"/>
          <w:vertAlign w:val="superscript"/>
        </w:rPr>
        <w:t xml:space="preserve"> </w:t>
      </w:r>
      <w:r w:rsidR="00BC5922">
        <w:rPr>
          <w:rFonts w:eastAsia="Calibri"/>
        </w:rPr>
        <w:t>c</w:t>
      </w:r>
      <w:r w:rsidRPr="00D83518">
        <w:rPr>
          <w:rFonts w:eastAsia="Calibri"/>
        </w:rPr>
        <w:t xml:space="preserve">entury, the 1968 code was criticized by </w:t>
      </w:r>
      <w:r>
        <w:rPr>
          <w:rFonts w:eastAsia="Calibri"/>
        </w:rPr>
        <w:t>building owners and the construction industry</w:t>
      </w:r>
      <w:r w:rsidRPr="00D83518">
        <w:rPr>
          <w:rFonts w:eastAsia="Calibri"/>
        </w:rPr>
        <w:t xml:space="preserve"> as being burdensome and outdated.</w:t>
      </w:r>
      <w:r w:rsidRPr="00D83518">
        <w:rPr>
          <w:rFonts w:eastAsia="Calibri"/>
          <w:vertAlign w:val="superscript"/>
        </w:rPr>
        <w:footnoteReference w:id="9"/>
      </w:r>
      <w:r w:rsidRPr="00D83518">
        <w:rPr>
          <w:rFonts w:eastAsia="Calibri"/>
        </w:rPr>
        <w:t xml:space="preserve"> In 2003, </w:t>
      </w:r>
      <w:r w:rsidR="002500BD" w:rsidRPr="009F284C">
        <w:t xml:space="preserve">the </w:t>
      </w:r>
      <w:r w:rsidR="0089524A">
        <w:t>NYC</w:t>
      </w:r>
      <w:r w:rsidR="002500BD" w:rsidRPr="009F284C">
        <w:t xml:space="preserve"> Department of Buildings (</w:t>
      </w:r>
      <w:r w:rsidR="002500BD">
        <w:t>“</w:t>
      </w:r>
      <w:r w:rsidR="002500BD" w:rsidRPr="009F284C">
        <w:t>DOB</w:t>
      </w:r>
      <w:r w:rsidR="002500BD">
        <w:t>”</w:t>
      </w:r>
      <w:r w:rsidR="009F4049">
        <w:t xml:space="preserve"> or “Department”</w:t>
      </w:r>
      <w:r w:rsidR="002500BD" w:rsidRPr="009F284C">
        <w:t xml:space="preserve">) </w:t>
      </w:r>
      <w:r w:rsidRPr="00D83518">
        <w:rPr>
          <w:rFonts w:eastAsia="Calibri"/>
        </w:rPr>
        <w:t xml:space="preserve">organized over 400 industry </w:t>
      </w:r>
      <w:r>
        <w:rPr>
          <w:rFonts w:eastAsia="Calibri"/>
        </w:rPr>
        <w:t>representatives</w:t>
      </w:r>
      <w:r w:rsidRPr="00D83518">
        <w:rPr>
          <w:rFonts w:eastAsia="Calibri"/>
        </w:rPr>
        <w:t xml:space="preserve"> to develop a new set of construction codes for </w:t>
      </w:r>
      <w:r w:rsidR="0089524A">
        <w:rPr>
          <w:rFonts w:eastAsia="Calibri"/>
        </w:rPr>
        <w:t xml:space="preserve">the </w:t>
      </w:r>
      <w:r w:rsidRPr="00D83518">
        <w:rPr>
          <w:rFonts w:eastAsia="Calibri"/>
        </w:rPr>
        <w:t>City.</w:t>
      </w:r>
      <w:r w:rsidRPr="00D83518">
        <w:rPr>
          <w:rFonts w:eastAsia="Calibri"/>
          <w:vertAlign w:val="superscript"/>
        </w:rPr>
        <w:footnoteReference w:id="10"/>
      </w:r>
      <w:r w:rsidRPr="00D83518">
        <w:rPr>
          <w:rFonts w:eastAsia="Calibri"/>
        </w:rPr>
        <w:t xml:space="preserve"> As a result of this effort, the Council passed Local Law 33 of 2007</w:t>
      </w:r>
      <w:r w:rsidR="0089524A">
        <w:rPr>
          <w:rFonts w:eastAsia="Calibri"/>
        </w:rPr>
        <w:t>,</w:t>
      </w:r>
      <w:r w:rsidRPr="00D83518">
        <w:rPr>
          <w:rFonts w:eastAsia="Calibri"/>
          <w:vertAlign w:val="superscript"/>
        </w:rPr>
        <w:footnoteReference w:id="11"/>
      </w:r>
      <w:r w:rsidRPr="00D83518">
        <w:rPr>
          <w:rFonts w:eastAsia="Calibri"/>
        </w:rPr>
        <w:t xml:space="preserve"> </w:t>
      </w:r>
      <w:r>
        <w:rPr>
          <w:rFonts w:eastAsia="Calibri"/>
        </w:rPr>
        <w:t xml:space="preserve">which </w:t>
      </w:r>
      <w:r w:rsidRPr="009F284C">
        <w:t>require</w:t>
      </w:r>
      <w:r w:rsidR="0089524A">
        <w:t>d</w:t>
      </w:r>
      <w:r w:rsidRPr="009F284C">
        <w:t xml:space="preserve"> that </w:t>
      </w:r>
      <w:r w:rsidR="002500BD" w:rsidRPr="00D83518">
        <w:rPr>
          <w:rFonts w:eastAsia="Calibri"/>
        </w:rPr>
        <w:t xml:space="preserve">DOB </w:t>
      </w:r>
      <w:r w:rsidRPr="009F284C">
        <w:t xml:space="preserve">keep the </w:t>
      </w:r>
      <w:r w:rsidR="0089524A">
        <w:t xml:space="preserve">NYC </w:t>
      </w:r>
      <w:r w:rsidRPr="009F284C">
        <w:t>Construction Codes up to date with the ICC International Codes (</w:t>
      </w:r>
      <w:r>
        <w:t>“</w:t>
      </w:r>
      <w:r w:rsidRPr="009F284C">
        <w:t>I-Codes</w:t>
      </w:r>
      <w:r>
        <w:t>”</w:t>
      </w:r>
      <w:r w:rsidRPr="009F284C">
        <w:t>).</w:t>
      </w:r>
      <w:r w:rsidRPr="009F284C">
        <w:rPr>
          <w:vertAlign w:val="superscript"/>
        </w:rPr>
        <w:footnoteReference w:id="12"/>
      </w:r>
      <w:r w:rsidRPr="009F284C">
        <w:t xml:space="preserve"> To accomplish this mandate, DOB organizes a series of committees, known as the Construction Codes Revision Committees, that review and prepare suggested revisions to the New York City Construction Codes to increase safety and cost savings and to promote innovation for buildings.</w:t>
      </w:r>
      <w:r w:rsidRPr="009F284C">
        <w:rPr>
          <w:vertAlign w:val="superscript"/>
        </w:rPr>
        <w:footnoteReference w:id="13"/>
      </w:r>
      <w:r>
        <w:t xml:space="preserve"> As a result of the code revision process, the City later adopted the 2008, 2014, and 2022 Codes. </w:t>
      </w:r>
    </w:p>
    <w:p w14:paraId="0C15F353" w14:textId="77777777" w:rsidR="001F74E3" w:rsidRDefault="001F74E3" w:rsidP="001F74E3">
      <w:pPr>
        <w:spacing w:line="360" w:lineRule="auto"/>
      </w:pPr>
    </w:p>
    <w:p w14:paraId="41246FB9" w14:textId="77777777" w:rsidR="001F74E3" w:rsidRPr="00415660" w:rsidRDefault="001F74E3" w:rsidP="001F74E3">
      <w:pPr>
        <w:spacing w:line="360" w:lineRule="auto"/>
        <w:rPr>
          <w:i/>
          <w:iCs/>
        </w:rPr>
      </w:pPr>
      <w:r w:rsidRPr="005727CD">
        <w:rPr>
          <w:i/>
          <w:iCs/>
        </w:rPr>
        <w:t>The Creation of the Existing Building Code</w:t>
      </w:r>
    </w:p>
    <w:p w14:paraId="2DDEEB5E" w14:textId="726F2BAE" w:rsidR="001F74E3" w:rsidRDefault="001F74E3" w:rsidP="00A94B81">
      <w:pPr>
        <w:spacing w:line="480" w:lineRule="auto"/>
        <w:ind w:firstLine="720"/>
      </w:pPr>
      <w:r w:rsidRPr="00415660">
        <w:t xml:space="preserve">Currently, the </w:t>
      </w:r>
      <w:r>
        <w:t>2022</w:t>
      </w:r>
      <w:r w:rsidRPr="00415660">
        <w:t xml:space="preserve"> </w:t>
      </w:r>
      <w:r>
        <w:t xml:space="preserve">Building </w:t>
      </w:r>
      <w:r w:rsidRPr="00415660">
        <w:t xml:space="preserve">Code governs both new construction and alterations to existing buildings, such as enlargements, additions, or change of use. Significant renovations of older buildings, which trigger compliance with the requirements for new buildings, may be </w:t>
      </w:r>
      <w:r w:rsidR="002500BD" w:rsidRPr="00415660">
        <w:t>cost</w:t>
      </w:r>
      <w:r w:rsidR="002500BD">
        <w:t>-</w:t>
      </w:r>
      <w:r w:rsidRPr="00415660">
        <w:t xml:space="preserve">prohibitive to some building owners who may not be able to afford the necessary upgrades to comply with such requirements. Consequently, existing buildings that have not undergone a significant alteration remain subject to the code in effect at the time of their construction. This issue is not unique to the City, </w:t>
      </w:r>
      <w:r>
        <w:t xml:space="preserve">as multiple international and domestic jurisdictions </w:t>
      </w:r>
      <w:r w:rsidR="0089524A">
        <w:t xml:space="preserve">also </w:t>
      </w:r>
      <w:r>
        <w:t xml:space="preserve">adopt building codes based on the international model codes. </w:t>
      </w:r>
    </w:p>
    <w:p w14:paraId="6FF80D4B" w14:textId="539EA6E9" w:rsidR="0061550C" w:rsidRDefault="001F74E3" w:rsidP="00A94B81">
      <w:pPr>
        <w:spacing w:line="480" w:lineRule="auto"/>
        <w:ind w:firstLine="720"/>
      </w:pPr>
      <w:r>
        <w:t xml:space="preserve">To address these systemic issues, the ICC developed the </w:t>
      </w:r>
      <w:r w:rsidRPr="00415660">
        <w:t>International Existing Building Code</w:t>
      </w:r>
      <w:r>
        <w:t xml:space="preserve"> (“IEBC”)</w:t>
      </w:r>
      <w:r w:rsidRPr="00415660">
        <w:t>, which has been adopted by over 25 states and multiple major cities, including</w:t>
      </w:r>
      <w:r w:rsidR="00B57124">
        <w:t xml:space="preserve"> California, Texas, Florida,</w:t>
      </w:r>
      <w:r w:rsidRPr="00415660">
        <w:t xml:space="preserve"> Los Angeles, Dallas, </w:t>
      </w:r>
      <w:r w:rsidR="00B57124">
        <w:t xml:space="preserve">and </w:t>
      </w:r>
      <w:r w:rsidRPr="00415660">
        <w:t>San Francisco.</w:t>
      </w:r>
      <w:r>
        <w:t xml:space="preserve"> To address these issues as they relate to the City, and to comply with Local Law 33 of 2007, DOB utilized the Construction Code Revision Committees to create the proposed </w:t>
      </w:r>
      <w:r w:rsidR="00A86AAC">
        <w:t>NYC</w:t>
      </w:r>
      <w:r>
        <w:t xml:space="preserve"> Existing Building Code (“EBC”). The proposed EBC would govern the repair, alteration, change of occupancy, addition to and relocation of existing buildings and would repeal the 1968 Building Code, which currently remains applicable to buildings </w:t>
      </w:r>
      <w:r w:rsidR="003A2BD3">
        <w:t xml:space="preserve">in existence prior to July 1, 2008, buildings for which a building permit was issued prior to July 1, 2008 for the </w:t>
      </w:r>
      <w:r w:rsidR="00BC2320">
        <w:t>construction</w:t>
      </w:r>
      <w:r w:rsidR="003A2BD3">
        <w:t xml:space="preserve"> of the building, or a building </w:t>
      </w:r>
      <w:r w:rsidR="00BC2320">
        <w:t>constructed</w:t>
      </w:r>
      <w:r w:rsidR="003A2BD3">
        <w:t xml:space="preserve"> in accordance with the 1968 Building Code under a permit issued on or after July 1, 2008.</w:t>
      </w:r>
      <w:bookmarkStart w:id="6" w:name="_Ref214400625"/>
      <w:r w:rsidR="003A2BD3">
        <w:rPr>
          <w:rStyle w:val="FootnoteReference"/>
        </w:rPr>
        <w:footnoteReference w:id="14"/>
      </w:r>
      <w:bookmarkEnd w:id="6"/>
      <w:r>
        <w:t xml:space="preserve"> </w:t>
      </w:r>
    </w:p>
    <w:p w14:paraId="2F3D238E" w14:textId="48EF4C5F" w:rsidR="003B3913" w:rsidRPr="003B3913" w:rsidRDefault="003B3913" w:rsidP="003B3913">
      <w:pPr>
        <w:spacing w:line="480" w:lineRule="auto"/>
        <w:rPr>
          <w:b/>
          <w:bCs/>
          <w:u w:val="single"/>
        </w:rPr>
      </w:pPr>
      <w:r w:rsidRPr="003B3913">
        <w:rPr>
          <w:b/>
          <w:bCs/>
          <w:u w:val="single"/>
        </w:rPr>
        <w:t>Energy Conservation Code Update</w:t>
      </w:r>
    </w:p>
    <w:p w14:paraId="2201A527" w14:textId="68E627BB" w:rsidR="003B3913" w:rsidRPr="003B3913" w:rsidRDefault="003B3913" w:rsidP="003B3913">
      <w:pPr>
        <w:spacing w:line="480" w:lineRule="auto"/>
        <w:ind w:firstLine="720"/>
        <w:rPr>
          <w:szCs w:val="24"/>
        </w:rPr>
      </w:pPr>
      <w:r w:rsidRPr="003B3913">
        <w:rPr>
          <w:szCs w:val="24"/>
        </w:rPr>
        <w:t xml:space="preserve">Local Law 85 for the year 2009 established the </w:t>
      </w:r>
      <w:r w:rsidR="0003276F">
        <w:rPr>
          <w:szCs w:val="24"/>
        </w:rPr>
        <w:t>NYC</w:t>
      </w:r>
      <w:r w:rsidRPr="003B3913">
        <w:rPr>
          <w:szCs w:val="24"/>
        </w:rPr>
        <w:t xml:space="preserve"> Energy Conservation Code (</w:t>
      </w:r>
      <w:r>
        <w:rPr>
          <w:szCs w:val="24"/>
        </w:rPr>
        <w:t>“</w:t>
      </w:r>
      <w:r w:rsidRPr="003B3913">
        <w:rPr>
          <w:szCs w:val="24"/>
        </w:rPr>
        <w:t>NYCECC</w:t>
      </w:r>
      <w:r>
        <w:rPr>
          <w:szCs w:val="24"/>
        </w:rPr>
        <w:t>”</w:t>
      </w:r>
      <w:r w:rsidRPr="003B3913">
        <w:rPr>
          <w:szCs w:val="24"/>
        </w:rPr>
        <w:t xml:space="preserve">), </w:t>
      </w:r>
      <w:r w:rsidR="00DE1839">
        <w:rPr>
          <w:szCs w:val="24"/>
        </w:rPr>
        <w:t>which regulates the design and construction of buildings to support minimum levels of energy efficiency.</w:t>
      </w:r>
      <w:r w:rsidR="00DE1839">
        <w:rPr>
          <w:rStyle w:val="FootnoteReference"/>
          <w:szCs w:val="24"/>
        </w:rPr>
        <w:footnoteReference w:id="15"/>
      </w:r>
      <w:r w:rsidRPr="003B3913">
        <w:rPr>
          <w:szCs w:val="24"/>
        </w:rPr>
        <w:t xml:space="preserve"> </w:t>
      </w:r>
      <w:r w:rsidR="00DE1839">
        <w:rPr>
          <w:szCs w:val="24"/>
        </w:rPr>
        <w:t>T</w:t>
      </w:r>
      <w:r w:rsidRPr="003B3913">
        <w:rPr>
          <w:szCs w:val="24"/>
        </w:rPr>
        <w:t xml:space="preserve">he last revision to the NYCECC went into effect on </w:t>
      </w:r>
      <w:r>
        <w:rPr>
          <w:szCs w:val="24"/>
        </w:rPr>
        <w:t>May</w:t>
      </w:r>
      <w:r w:rsidRPr="003B3913">
        <w:rPr>
          <w:szCs w:val="24"/>
        </w:rPr>
        <w:t xml:space="preserve"> </w:t>
      </w:r>
      <w:r>
        <w:rPr>
          <w:szCs w:val="24"/>
        </w:rPr>
        <w:t>12</w:t>
      </w:r>
      <w:r w:rsidRPr="003B3913">
        <w:rPr>
          <w:szCs w:val="24"/>
        </w:rPr>
        <w:t>, 20</w:t>
      </w:r>
      <w:r>
        <w:rPr>
          <w:szCs w:val="24"/>
        </w:rPr>
        <w:t>20</w:t>
      </w:r>
      <w:r w:rsidRPr="003B3913">
        <w:rPr>
          <w:szCs w:val="24"/>
        </w:rPr>
        <w:t>.</w:t>
      </w:r>
      <w:r>
        <w:rPr>
          <w:rStyle w:val="FootnoteReference"/>
          <w:szCs w:val="24"/>
        </w:rPr>
        <w:footnoteReference w:id="16"/>
      </w:r>
      <w:r w:rsidRPr="003B3913">
        <w:rPr>
          <w:szCs w:val="24"/>
        </w:rPr>
        <w:t xml:space="preserve"> </w:t>
      </w:r>
      <w:r w:rsidR="001A5668">
        <w:rPr>
          <w:szCs w:val="24"/>
        </w:rPr>
        <w:t xml:space="preserve">Preconsidered </w:t>
      </w:r>
      <w:r w:rsidR="001A7E0D">
        <w:rPr>
          <w:szCs w:val="24"/>
        </w:rPr>
        <w:t xml:space="preserve">Proposed </w:t>
      </w:r>
      <w:r w:rsidR="003E6782" w:rsidRPr="003A2BD3">
        <w:rPr>
          <w:szCs w:val="24"/>
        </w:rPr>
        <w:t>Int. No.</w:t>
      </w:r>
      <w:r w:rsidR="001A7E0D">
        <w:rPr>
          <w:szCs w:val="24"/>
        </w:rPr>
        <w:t xml:space="preserve"> __-A</w:t>
      </w:r>
      <w:r w:rsidRPr="003A2BD3">
        <w:rPr>
          <w:szCs w:val="24"/>
        </w:rPr>
        <w:t xml:space="preserve"> </w:t>
      </w:r>
      <w:r w:rsidR="0088372B">
        <w:rPr>
          <w:szCs w:val="24"/>
        </w:rPr>
        <w:t xml:space="preserve">would bring the </w:t>
      </w:r>
      <w:r w:rsidRPr="003B3913">
        <w:rPr>
          <w:szCs w:val="24"/>
        </w:rPr>
        <w:t xml:space="preserve">NYCCEC </w:t>
      </w:r>
      <w:r w:rsidR="0088372B">
        <w:rPr>
          <w:szCs w:val="24"/>
        </w:rPr>
        <w:t xml:space="preserve">in </w:t>
      </w:r>
      <w:r w:rsidRPr="003B3913">
        <w:rPr>
          <w:szCs w:val="24"/>
        </w:rPr>
        <w:t>to</w:t>
      </w:r>
      <w:r w:rsidR="0088372B">
        <w:rPr>
          <w:szCs w:val="24"/>
        </w:rPr>
        <w:t xml:space="preserve"> compliance with</w:t>
      </w:r>
      <w:r w:rsidRPr="003B3913">
        <w:rPr>
          <w:szCs w:val="24"/>
        </w:rPr>
        <w:t xml:space="preserve">  the 202</w:t>
      </w:r>
      <w:r w:rsidR="001A339A">
        <w:rPr>
          <w:szCs w:val="24"/>
        </w:rPr>
        <w:t>5</w:t>
      </w:r>
      <w:r w:rsidRPr="003B3913">
        <w:rPr>
          <w:szCs w:val="24"/>
        </w:rPr>
        <w:t xml:space="preserve"> Energy Conservation Code of New York State</w:t>
      </w:r>
      <w:r w:rsidR="00187C42">
        <w:rPr>
          <w:szCs w:val="24"/>
        </w:rPr>
        <w:t xml:space="preserve"> (“NYSECC</w:t>
      </w:r>
      <w:r w:rsidR="00663A59">
        <w:rPr>
          <w:szCs w:val="24"/>
        </w:rPr>
        <w:t>C</w:t>
      </w:r>
      <w:r w:rsidR="00187C42">
        <w:rPr>
          <w:szCs w:val="24"/>
        </w:rPr>
        <w:t>”)</w:t>
      </w:r>
      <w:r w:rsidRPr="003B3913">
        <w:rPr>
          <w:szCs w:val="24"/>
        </w:rPr>
        <w:t>, which is based on the 20</w:t>
      </w:r>
      <w:r w:rsidR="00B97424">
        <w:rPr>
          <w:szCs w:val="24"/>
        </w:rPr>
        <w:t>24</w:t>
      </w:r>
      <w:r w:rsidRPr="003B3913">
        <w:rPr>
          <w:szCs w:val="24"/>
        </w:rPr>
        <w:t xml:space="preserve"> edition of the International Energy Conservation Code and ASHRAE Standard 90.1-2016</w:t>
      </w:r>
      <w:r w:rsidR="003E6782">
        <w:rPr>
          <w:szCs w:val="24"/>
        </w:rPr>
        <w:t xml:space="preserve">. </w:t>
      </w:r>
      <w:r w:rsidR="00DE1839">
        <w:rPr>
          <w:szCs w:val="24"/>
        </w:rPr>
        <w:t xml:space="preserve">New York State Energy Law Section 11-109, allows municipalities to promulgate their own energy code, provided such local code is more stringent than the </w:t>
      </w:r>
      <w:r w:rsidR="00187C42">
        <w:rPr>
          <w:szCs w:val="24"/>
        </w:rPr>
        <w:t>NYSECC</w:t>
      </w:r>
      <w:r w:rsidR="00663A59">
        <w:rPr>
          <w:szCs w:val="24"/>
        </w:rPr>
        <w:t>C</w:t>
      </w:r>
      <w:r w:rsidR="00B97424">
        <w:rPr>
          <w:szCs w:val="24"/>
        </w:rPr>
        <w:t>.</w:t>
      </w:r>
      <w:r w:rsidR="00DE1839">
        <w:rPr>
          <w:rStyle w:val="FootnoteReference"/>
          <w:szCs w:val="24"/>
        </w:rPr>
        <w:footnoteReference w:id="17"/>
      </w:r>
      <w:r w:rsidRPr="003B3913">
        <w:rPr>
          <w:szCs w:val="24"/>
        </w:rPr>
        <w:t xml:space="preserve"> </w:t>
      </w:r>
    </w:p>
    <w:p w14:paraId="342996F2" w14:textId="6F934658" w:rsidR="003B3913" w:rsidRDefault="003B3913" w:rsidP="00DE1839">
      <w:pPr>
        <w:spacing w:line="480" w:lineRule="auto"/>
        <w:ind w:firstLine="720"/>
      </w:pPr>
      <w:r w:rsidRPr="003B3913">
        <w:t xml:space="preserve">The development of the NYCECC was supported by two advisory committees </w:t>
      </w:r>
      <w:r w:rsidR="00B97424">
        <w:t>overseen by DOB</w:t>
      </w:r>
      <w:r w:rsidRPr="003B3913">
        <w:t xml:space="preserve">: </w:t>
      </w:r>
      <w:r w:rsidR="00DE1839">
        <w:t xml:space="preserve">the </w:t>
      </w:r>
      <w:r w:rsidR="00E018CE">
        <w:t xml:space="preserve">NYC </w:t>
      </w:r>
      <w:r w:rsidR="00DE1839">
        <w:t>Energy Conservation Code Residential and Commercial Advisory Committees (“the</w:t>
      </w:r>
      <w:r w:rsidR="0088372B">
        <w:t xml:space="preserve"> Advisory</w:t>
      </w:r>
      <w:r w:rsidR="00DE1839">
        <w:t xml:space="preserve"> Committees”)</w:t>
      </w:r>
      <w:r w:rsidRPr="003B3913">
        <w:t>.</w:t>
      </w:r>
      <w:r w:rsidR="00DE1839">
        <w:rPr>
          <w:rStyle w:val="FootnoteReference"/>
        </w:rPr>
        <w:footnoteReference w:id="18"/>
      </w:r>
      <w:r w:rsidRPr="003B3913">
        <w:t xml:space="preserve"> </w:t>
      </w:r>
      <w:r w:rsidR="00DE1839">
        <w:t>In accordance with Section 28-1001.3.2 of the New York City Administrative Code, the Advisory Committees must include registered design professionals knowledgeable in energy efficiency, energy conservation, building design and construction; environmental advocates with expertise in energy efficiency and conservation; construction and real estate professionals; and representatives of appropriate labor organizations.</w:t>
      </w:r>
      <w:r w:rsidR="00DE1839">
        <w:rPr>
          <w:rStyle w:val="FootnoteReference"/>
        </w:rPr>
        <w:footnoteReference w:id="19"/>
      </w:r>
      <w:r w:rsidR="00DE1839">
        <w:t xml:space="preserve"> All</w:t>
      </w:r>
      <w:r w:rsidR="00270C3F">
        <w:t xml:space="preserve"> Advisory</w:t>
      </w:r>
      <w:r w:rsidR="00DE1839">
        <w:t xml:space="preserve"> Committee members are subject to a background check performed by the City, and approval of the Department.</w:t>
      </w:r>
      <w:r w:rsidR="00DE1839">
        <w:rPr>
          <w:rStyle w:val="FootnoteReference"/>
        </w:rPr>
        <w:footnoteReference w:id="20"/>
      </w:r>
      <w:r w:rsidR="00DE1839">
        <w:t xml:space="preserve"> </w:t>
      </w:r>
      <w:r w:rsidRPr="003B3913">
        <w:t>Unlike other construction codes, which require consensus and undergo mediation in situations where there is not consensus,</w:t>
      </w:r>
      <w:r w:rsidRPr="003B3913">
        <w:rPr>
          <w:vertAlign w:val="superscript"/>
        </w:rPr>
        <w:footnoteReference w:id="21"/>
      </w:r>
      <w:r w:rsidRPr="003B3913">
        <w:t xml:space="preserve"> changes that appeared to be cost justified and had </w:t>
      </w:r>
      <w:r w:rsidR="009F4049">
        <w:t>Advisory Committee</w:t>
      </w:r>
      <w:r w:rsidR="009F4049" w:rsidRPr="003B3913">
        <w:t xml:space="preserve"> </w:t>
      </w:r>
      <w:r w:rsidRPr="003B3913">
        <w:t xml:space="preserve">support were taken to the Commissioner of </w:t>
      </w:r>
      <w:r w:rsidR="00813E4C">
        <w:t>DOB</w:t>
      </w:r>
      <w:r w:rsidR="00813E4C" w:rsidRPr="003B3913">
        <w:t xml:space="preserve"> </w:t>
      </w:r>
      <w:r w:rsidRPr="003B3913">
        <w:t>for consideration and subsequent approval.</w:t>
      </w:r>
      <w:r w:rsidR="00DE1839">
        <w:rPr>
          <w:rStyle w:val="FootnoteReference"/>
        </w:rPr>
        <w:footnoteReference w:id="22"/>
      </w:r>
    </w:p>
    <w:p w14:paraId="13D1F346" w14:textId="65041B5E" w:rsidR="00256BCF" w:rsidRPr="003B3913" w:rsidRDefault="00256BCF" w:rsidP="00DE1839">
      <w:pPr>
        <w:spacing w:line="480" w:lineRule="auto"/>
        <w:ind w:firstLine="720"/>
      </w:pPr>
      <w:r w:rsidRPr="00256BCF">
        <w:t xml:space="preserve">Section 28-1001.3.1 of the </w:t>
      </w:r>
      <w:r w:rsidR="00351E45">
        <w:t>NYC</w:t>
      </w:r>
      <w:r w:rsidRPr="00256BCF">
        <w:t xml:space="preserve"> Administrative Code requires DOB to submit to the Council proposed amendments that the Department determines should be made to the NYCECC to bring it up-to-date with or exceed the latest edition of the NYSECCC: (i) following any revision of the NYSECCC that establishes more stringent requirements than those imposed by the NYCECC and (ii) at least once every three years following 2016.</w:t>
      </w:r>
      <w:r>
        <w:rPr>
          <w:rStyle w:val="FootnoteReference"/>
        </w:rPr>
        <w:footnoteReference w:id="23"/>
      </w:r>
    </w:p>
    <w:p w14:paraId="712C6F26" w14:textId="77777777" w:rsidR="00D74456" w:rsidRPr="00D74456" w:rsidRDefault="00D74456" w:rsidP="00D74456">
      <w:pPr>
        <w:spacing w:line="480" w:lineRule="auto"/>
        <w:rPr>
          <w:b/>
          <w:bCs/>
          <w:u w:val="single"/>
        </w:rPr>
      </w:pPr>
      <w:r w:rsidRPr="00D74456">
        <w:rPr>
          <w:b/>
          <w:bCs/>
          <w:u w:val="single"/>
        </w:rPr>
        <w:t>Awning Moratorium</w:t>
      </w:r>
    </w:p>
    <w:p w14:paraId="50B10AB3" w14:textId="1C1E55CF" w:rsidR="00D74456" w:rsidRPr="00D74456" w:rsidRDefault="00D74456" w:rsidP="00D74456">
      <w:pPr>
        <w:spacing w:line="480" w:lineRule="auto"/>
        <w:ind w:firstLine="720"/>
      </w:pPr>
      <w:r w:rsidRPr="00D74456">
        <w:t>In late 2018, a sudden surge of 311 reports related to awnings and accessory signs led D</w:t>
      </w:r>
      <w:r w:rsidR="001D2845">
        <w:t>O</w:t>
      </w:r>
      <w:r w:rsidRPr="00D74456">
        <w:t>B to issue violations to hundreds of small businesses, many of which carried a minimum fine of $6,000.</w:t>
      </w:r>
      <w:r w:rsidRPr="00D74456">
        <w:rPr>
          <w:vertAlign w:val="superscript"/>
        </w:rPr>
        <w:footnoteReference w:id="24"/>
      </w:r>
      <w:r w:rsidRPr="00D74456">
        <w:t xml:space="preserve"> The Zoning Resolution, the Building Code, and the Administrative Code impose a number of requirements on signs attached to businesses, </w:t>
      </w:r>
      <w:r w:rsidR="00330893">
        <w:t>such as</w:t>
      </w:r>
      <w:r w:rsidR="00330893" w:rsidRPr="00D74456">
        <w:t xml:space="preserve"> </w:t>
      </w:r>
      <w:r w:rsidRPr="00D74456">
        <w:t>limitations on the size of text and the projection of the sign, a requirement for a permit to hang such signs, and a requirement that licensed sign hangers hang such signs.</w:t>
      </w:r>
      <w:r w:rsidRPr="00D74456">
        <w:rPr>
          <w:vertAlign w:val="superscript"/>
        </w:rPr>
        <w:footnoteReference w:id="25"/>
      </w:r>
      <w:r w:rsidRPr="00D74456">
        <w:t xml:space="preserve"> Small business owners reported that they were unaware of this wide range of requirements and that the fines, alongside the cost of replacing noncompliant signs with proper permitting, placed</w:t>
      </w:r>
      <w:r w:rsidR="00330893">
        <w:t xml:space="preserve"> substantial hardship on</w:t>
      </w:r>
      <w:r w:rsidRPr="00D74456">
        <w:t xml:space="preserve"> their businesses.</w:t>
      </w:r>
      <w:r w:rsidRPr="00D74456">
        <w:rPr>
          <w:vertAlign w:val="superscript"/>
        </w:rPr>
        <w:footnoteReference w:id="26"/>
      </w:r>
      <w:r w:rsidRPr="00D74456">
        <w:t xml:space="preserve"> In response, the Council enacted Local Law 28 of 2019, under which D</w:t>
      </w:r>
      <w:r w:rsidR="001D2845">
        <w:t>O</w:t>
      </w:r>
      <w:r w:rsidRPr="00D74456">
        <w:t>B waived fees arising from such violations, except for when a violation relating to an awning or accessory sign poses a threat to health or safety.</w:t>
      </w:r>
      <w:r w:rsidRPr="00D74456">
        <w:rPr>
          <w:vertAlign w:val="superscript"/>
        </w:rPr>
        <w:footnoteReference w:id="27"/>
      </w:r>
      <w:r w:rsidRPr="00D74456">
        <w:t xml:space="preserve"> Because underlying circumstances have not changed significantly, this moratorium</w:t>
      </w:r>
      <w:r w:rsidR="00B701FF">
        <w:t xml:space="preserve"> has</w:t>
      </w:r>
      <w:r w:rsidRPr="00D74456">
        <w:t xml:space="preserve"> been extended twice: by Local Law 29 of 2021 and Local Law 43 of 2023.</w:t>
      </w:r>
      <w:r w:rsidRPr="00D74456">
        <w:rPr>
          <w:vertAlign w:val="superscript"/>
        </w:rPr>
        <w:t xml:space="preserve"> </w:t>
      </w:r>
      <w:r w:rsidRPr="00D74456">
        <w:rPr>
          <w:vertAlign w:val="superscript"/>
        </w:rPr>
        <w:footnoteReference w:id="28"/>
      </w:r>
      <w:r w:rsidRPr="00D74456">
        <w:t xml:space="preserve"> </w:t>
      </w:r>
    </w:p>
    <w:p w14:paraId="4830888E" w14:textId="738BAC3C" w:rsidR="003D2C2E" w:rsidRPr="003D2C2E" w:rsidRDefault="003D2C2E" w:rsidP="003D2C2E">
      <w:pPr>
        <w:spacing w:before="240" w:line="480" w:lineRule="auto"/>
        <w:rPr>
          <w:b/>
          <w:bCs/>
          <w:szCs w:val="24"/>
          <w:u w:val="single"/>
          <w:shd w:val="clear" w:color="auto" w:fill="FFFFFF"/>
        </w:rPr>
      </w:pPr>
      <w:r w:rsidRPr="003D2C2E">
        <w:rPr>
          <w:b/>
          <w:bCs/>
          <w:szCs w:val="24"/>
          <w:u w:val="single"/>
          <w:shd w:val="clear" w:color="auto" w:fill="FFFFFF"/>
        </w:rPr>
        <w:t>Rodent Inspections for Buildings</w:t>
      </w:r>
    </w:p>
    <w:p w14:paraId="05FB7684" w14:textId="52CEA6C9" w:rsidR="003D2C2E" w:rsidRPr="003D2C2E" w:rsidRDefault="003D2C2E" w:rsidP="003D2C2E">
      <w:pPr>
        <w:spacing w:line="480" w:lineRule="auto"/>
        <w:ind w:firstLine="720"/>
        <w:rPr>
          <w:szCs w:val="24"/>
          <w:shd w:val="clear" w:color="auto" w:fill="FFFFFF"/>
        </w:rPr>
      </w:pPr>
      <w:r w:rsidRPr="003D2C2E">
        <w:rPr>
          <w:szCs w:val="24"/>
          <w:shd w:val="clear" w:color="auto" w:fill="FFFFFF"/>
        </w:rPr>
        <w:t>An individual can report rat and mouse sightings or conditions that might attract rodents.</w:t>
      </w:r>
      <w:r w:rsidRPr="003D2C2E">
        <w:rPr>
          <w:szCs w:val="24"/>
          <w:shd w:val="clear" w:color="auto" w:fill="FFFFFF"/>
          <w:vertAlign w:val="superscript"/>
        </w:rPr>
        <w:footnoteReference w:id="29"/>
      </w:r>
      <w:r w:rsidRPr="003D2C2E">
        <w:rPr>
          <w:szCs w:val="24"/>
          <w:shd w:val="clear" w:color="auto" w:fill="FFFFFF"/>
        </w:rPr>
        <w:t xml:space="preserve"> </w:t>
      </w:r>
      <w:r w:rsidR="00E06C12">
        <w:rPr>
          <w:szCs w:val="24"/>
          <w:shd w:val="clear" w:color="auto" w:fill="FFFFFF"/>
        </w:rPr>
        <w:t>C</w:t>
      </w:r>
      <w:r w:rsidRPr="003D2C2E">
        <w:rPr>
          <w:szCs w:val="24"/>
          <w:shd w:val="clear" w:color="auto" w:fill="FFFFFF"/>
        </w:rPr>
        <w:t>omplaint</w:t>
      </w:r>
      <w:r w:rsidR="00FD63C9">
        <w:rPr>
          <w:szCs w:val="24"/>
          <w:shd w:val="clear" w:color="auto" w:fill="FFFFFF"/>
        </w:rPr>
        <w:t>s</w:t>
      </w:r>
      <w:r w:rsidRPr="003D2C2E">
        <w:rPr>
          <w:szCs w:val="24"/>
          <w:shd w:val="clear" w:color="auto" w:fill="FFFFFF"/>
        </w:rPr>
        <w:t xml:space="preserve"> </w:t>
      </w:r>
      <w:r w:rsidR="00E06C12">
        <w:rPr>
          <w:szCs w:val="24"/>
          <w:shd w:val="clear" w:color="auto" w:fill="FFFFFF"/>
        </w:rPr>
        <w:t>are</w:t>
      </w:r>
      <w:r w:rsidRPr="003D2C2E">
        <w:rPr>
          <w:szCs w:val="24"/>
          <w:shd w:val="clear" w:color="auto" w:fill="FFFFFF"/>
        </w:rPr>
        <w:t xml:space="preserve"> processed depend</w:t>
      </w:r>
      <w:r w:rsidR="00E06C12">
        <w:rPr>
          <w:szCs w:val="24"/>
          <w:shd w:val="clear" w:color="auto" w:fill="FFFFFF"/>
        </w:rPr>
        <w:t>ing</w:t>
      </w:r>
      <w:r w:rsidRPr="003D2C2E">
        <w:rPr>
          <w:szCs w:val="24"/>
          <w:shd w:val="clear" w:color="auto" w:fill="FFFFFF"/>
        </w:rPr>
        <w:t xml:space="preserve"> on the location of the </w:t>
      </w:r>
      <w:r w:rsidR="00E06C12">
        <w:rPr>
          <w:szCs w:val="24"/>
          <w:shd w:val="clear" w:color="auto" w:fill="FFFFFF"/>
        </w:rPr>
        <w:t xml:space="preserve">reported </w:t>
      </w:r>
      <w:r w:rsidRPr="003D2C2E">
        <w:rPr>
          <w:szCs w:val="24"/>
          <w:shd w:val="clear" w:color="auto" w:fill="FFFFFF"/>
        </w:rPr>
        <w:t>rodent problem.</w:t>
      </w:r>
      <w:r w:rsidRPr="003D2C2E">
        <w:rPr>
          <w:szCs w:val="24"/>
          <w:shd w:val="clear" w:color="auto" w:fill="FFFFFF"/>
          <w:vertAlign w:val="superscript"/>
        </w:rPr>
        <w:footnoteReference w:id="30"/>
      </w:r>
      <w:r w:rsidRPr="003D2C2E">
        <w:rPr>
          <w:szCs w:val="24"/>
          <w:shd w:val="clear" w:color="auto" w:fill="FFFFFF"/>
        </w:rPr>
        <w:t xml:space="preserve"> Rodent sightings on public transit can be reported to the </w:t>
      </w:r>
      <w:r w:rsidR="00E06C12">
        <w:rPr>
          <w:szCs w:val="24"/>
          <w:shd w:val="clear" w:color="auto" w:fill="FFFFFF"/>
        </w:rPr>
        <w:t>Metropolitan Transportation Authority</w:t>
      </w:r>
      <w:r w:rsidRPr="003D2C2E">
        <w:rPr>
          <w:szCs w:val="24"/>
          <w:shd w:val="clear" w:color="auto" w:fill="FFFFFF"/>
        </w:rPr>
        <w:t>.</w:t>
      </w:r>
      <w:r w:rsidRPr="003D2C2E">
        <w:rPr>
          <w:szCs w:val="24"/>
          <w:shd w:val="clear" w:color="auto" w:fill="FFFFFF"/>
          <w:vertAlign w:val="superscript"/>
        </w:rPr>
        <w:footnoteReference w:id="31"/>
      </w:r>
      <w:r w:rsidRPr="003D2C2E">
        <w:rPr>
          <w:szCs w:val="24"/>
          <w:shd w:val="clear" w:color="auto" w:fill="FFFFFF"/>
        </w:rPr>
        <w:t xml:space="preserve"> Rodent complaints in restaurants, food establishments, residential buildings, street tree beds, parks, schools, vacant lots, sewers, and streets can be reported via 311.</w:t>
      </w:r>
      <w:r w:rsidRPr="003D2C2E">
        <w:rPr>
          <w:szCs w:val="24"/>
          <w:shd w:val="clear" w:color="auto" w:fill="FFFFFF"/>
          <w:vertAlign w:val="superscript"/>
        </w:rPr>
        <w:footnoteReference w:id="32"/>
      </w:r>
    </w:p>
    <w:p w14:paraId="5AF7E2A8" w14:textId="5D5B6C54" w:rsidR="003D2C2E" w:rsidRPr="003D2C2E" w:rsidRDefault="003D2C2E" w:rsidP="003D2C2E">
      <w:pPr>
        <w:spacing w:line="480" w:lineRule="auto"/>
        <w:ind w:firstLine="720"/>
        <w:rPr>
          <w:szCs w:val="24"/>
        </w:rPr>
      </w:pPr>
      <w:r w:rsidRPr="003D2C2E">
        <w:rPr>
          <w:szCs w:val="24"/>
          <w:shd w:val="clear" w:color="auto" w:fill="FFFFFF"/>
        </w:rPr>
        <w:t xml:space="preserve">Complaints submitted </w:t>
      </w:r>
      <w:r w:rsidR="00106D6C">
        <w:rPr>
          <w:szCs w:val="24"/>
          <w:shd w:val="clear" w:color="auto" w:fill="FFFFFF"/>
        </w:rPr>
        <w:t>via</w:t>
      </w:r>
      <w:r w:rsidRPr="003D2C2E">
        <w:rPr>
          <w:szCs w:val="24"/>
          <w:shd w:val="clear" w:color="auto" w:fill="FFFFFF"/>
        </w:rPr>
        <w:t xml:space="preserve"> 311 are forwarded to the Department of Health and Mental Hygiene (</w:t>
      </w:r>
      <w:r w:rsidR="006D309C">
        <w:rPr>
          <w:szCs w:val="24"/>
          <w:shd w:val="clear" w:color="auto" w:fill="FFFFFF"/>
        </w:rPr>
        <w:t>“DOHMH”</w:t>
      </w:r>
      <w:r w:rsidRPr="003D2C2E">
        <w:rPr>
          <w:szCs w:val="24"/>
          <w:shd w:val="clear" w:color="auto" w:fill="FFFFFF"/>
        </w:rPr>
        <w:t>)</w:t>
      </w:r>
      <w:r w:rsidR="00106D6C">
        <w:rPr>
          <w:szCs w:val="24"/>
          <w:shd w:val="clear" w:color="auto" w:fill="FFFFFF"/>
        </w:rPr>
        <w:t xml:space="preserve">; </w:t>
      </w:r>
      <w:r w:rsidRPr="003D2C2E">
        <w:rPr>
          <w:szCs w:val="24"/>
          <w:shd w:val="clear" w:color="auto" w:fill="FFFFFF"/>
        </w:rPr>
        <w:t xml:space="preserve">typically, a </w:t>
      </w:r>
      <w:r w:rsidR="006D309C">
        <w:rPr>
          <w:szCs w:val="24"/>
          <w:shd w:val="clear" w:color="auto" w:fill="FFFFFF"/>
        </w:rPr>
        <w:t>DOHMH</w:t>
      </w:r>
      <w:r w:rsidRPr="003D2C2E">
        <w:rPr>
          <w:szCs w:val="24"/>
          <w:shd w:val="clear" w:color="auto" w:fill="FFFFFF"/>
        </w:rPr>
        <w:t xml:space="preserve"> inspector is dispatched to the complaint location within two weeks of receipt.</w:t>
      </w:r>
      <w:r w:rsidRPr="003D2C2E">
        <w:rPr>
          <w:szCs w:val="24"/>
          <w:shd w:val="clear" w:color="auto" w:fill="FFFFFF"/>
          <w:vertAlign w:val="superscript"/>
        </w:rPr>
        <w:footnoteReference w:id="33"/>
      </w:r>
      <w:r w:rsidRPr="003D2C2E">
        <w:rPr>
          <w:szCs w:val="24"/>
          <w:shd w:val="clear" w:color="auto" w:fill="FFFFFF"/>
        </w:rPr>
        <w:t xml:space="preserve"> </w:t>
      </w:r>
      <w:r w:rsidR="006D309C">
        <w:rPr>
          <w:szCs w:val="24"/>
          <w:shd w:val="clear" w:color="auto" w:fill="FFFFFF"/>
        </w:rPr>
        <w:t>DOHMH</w:t>
      </w:r>
      <w:r w:rsidRPr="003D2C2E">
        <w:rPr>
          <w:szCs w:val="24"/>
          <w:shd w:val="clear" w:color="auto" w:fill="FFFFFF"/>
        </w:rPr>
        <w:t xml:space="preserve"> highlights that complaints received about the same property within 90 days of the initial complaint are </w:t>
      </w:r>
      <w:r w:rsidR="005605FE">
        <w:rPr>
          <w:szCs w:val="24"/>
          <w:shd w:val="clear" w:color="auto" w:fill="FFFFFF"/>
        </w:rPr>
        <w:t xml:space="preserve">reviewed and manually categorized as duplicates by DOHMH staff and do </w:t>
      </w:r>
      <w:r w:rsidRPr="003D2C2E">
        <w:rPr>
          <w:szCs w:val="24"/>
          <w:shd w:val="clear" w:color="auto" w:fill="FFFFFF"/>
        </w:rPr>
        <w:t>not trigger additional inspections.</w:t>
      </w:r>
      <w:r w:rsidRPr="003D2C2E">
        <w:rPr>
          <w:szCs w:val="24"/>
          <w:shd w:val="clear" w:color="auto" w:fill="FFFFFF"/>
          <w:vertAlign w:val="superscript"/>
        </w:rPr>
        <w:footnoteReference w:id="34"/>
      </w:r>
      <w:r w:rsidRPr="003D2C2E">
        <w:rPr>
          <w:szCs w:val="24"/>
          <w:shd w:val="clear" w:color="auto" w:fill="FFFFFF"/>
        </w:rPr>
        <w:t xml:space="preserve"> If the property fails the initial inspection, </w:t>
      </w:r>
      <w:r w:rsidR="006D309C">
        <w:rPr>
          <w:szCs w:val="24"/>
          <w:shd w:val="clear" w:color="auto" w:fill="FFFFFF"/>
        </w:rPr>
        <w:t>DOHMH</w:t>
      </w:r>
      <w:r w:rsidRPr="003D2C2E">
        <w:rPr>
          <w:szCs w:val="24"/>
          <w:shd w:val="clear" w:color="auto" w:fill="FFFFFF"/>
        </w:rPr>
        <w:t xml:space="preserve"> will issue a Commissioner’s Order to Abate (</w:t>
      </w:r>
      <w:r w:rsidR="006D309C">
        <w:rPr>
          <w:szCs w:val="24"/>
          <w:shd w:val="clear" w:color="auto" w:fill="FFFFFF"/>
        </w:rPr>
        <w:t>“</w:t>
      </w:r>
      <w:r w:rsidRPr="003D2C2E">
        <w:rPr>
          <w:szCs w:val="24"/>
          <w:shd w:val="clear" w:color="auto" w:fill="FFFFFF"/>
        </w:rPr>
        <w:t>COTA</w:t>
      </w:r>
      <w:r w:rsidR="006D309C">
        <w:rPr>
          <w:szCs w:val="24"/>
          <w:shd w:val="clear" w:color="auto" w:fill="FFFFFF"/>
        </w:rPr>
        <w:t>”</w:t>
      </w:r>
      <w:r w:rsidRPr="003D2C2E">
        <w:rPr>
          <w:szCs w:val="24"/>
          <w:shd w:val="clear" w:color="auto" w:fill="FFFFFF"/>
        </w:rPr>
        <w:t xml:space="preserve">) to the </w:t>
      </w:r>
      <w:r w:rsidR="00FD63C9">
        <w:rPr>
          <w:szCs w:val="24"/>
          <w:shd w:val="clear" w:color="auto" w:fill="FFFFFF"/>
        </w:rPr>
        <w:t xml:space="preserve">property </w:t>
      </w:r>
      <w:r w:rsidRPr="003D2C2E">
        <w:rPr>
          <w:szCs w:val="24"/>
          <w:shd w:val="clear" w:color="auto" w:fill="FFFFFF"/>
        </w:rPr>
        <w:t>owner.</w:t>
      </w:r>
      <w:r w:rsidRPr="003D2C2E">
        <w:rPr>
          <w:szCs w:val="24"/>
          <w:shd w:val="clear" w:color="auto" w:fill="FFFFFF"/>
          <w:vertAlign w:val="superscript"/>
        </w:rPr>
        <w:footnoteReference w:id="35"/>
      </w:r>
      <w:r w:rsidRPr="003D2C2E">
        <w:rPr>
          <w:szCs w:val="24"/>
          <w:shd w:val="clear" w:color="auto" w:fill="FFFFFF"/>
        </w:rPr>
        <w:t xml:space="preserve"> This order will contain a report of the conditions that must be corrected for compliance.</w:t>
      </w:r>
      <w:r w:rsidRPr="003D2C2E">
        <w:rPr>
          <w:szCs w:val="24"/>
          <w:shd w:val="clear" w:color="auto" w:fill="FFFFFF"/>
          <w:vertAlign w:val="superscript"/>
        </w:rPr>
        <w:footnoteReference w:id="36"/>
      </w:r>
      <w:r w:rsidRPr="003D2C2E">
        <w:rPr>
          <w:szCs w:val="24"/>
          <w:shd w:val="clear" w:color="auto" w:fill="FFFFFF"/>
        </w:rPr>
        <w:t xml:space="preserve"> The owner has 5 days to address the condition before </w:t>
      </w:r>
      <w:r w:rsidR="00FD63C9">
        <w:rPr>
          <w:szCs w:val="24"/>
          <w:shd w:val="clear" w:color="auto" w:fill="FFFFFF"/>
        </w:rPr>
        <w:t>DOHMH</w:t>
      </w:r>
      <w:r w:rsidRPr="003D2C2E">
        <w:rPr>
          <w:szCs w:val="24"/>
          <w:shd w:val="clear" w:color="auto" w:fill="FFFFFF"/>
        </w:rPr>
        <w:t xml:space="preserve"> conducts a follow-up compliance inspection. The complaint is closed if the property owner addresses the issues identified in the COTA.</w:t>
      </w:r>
      <w:r w:rsidRPr="003D2C2E">
        <w:rPr>
          <w:szCs w:val="24"/>
          <w:shd w:val="clear" w:color="auto" w:fill="FFFFFF"/>
          <w:vertAlign w:val="superscript"/>
        </w:rPr>
        <w:footnoteReference w:id="37"/>
      </w:r>
      <w:r w:rsidRPr="003D2C2E">
        <w:rPr>
          <w:szCs w:val="24"/>
          <w:shd w:val="clear" w:color="auto" w:fill="FFFFFF"/>
        </w:rPr>
        <w:t xml:space="preserve"> However, if the property fails to abate the situation, the owner will receive a summons for a hearing at </w:t>
      </w:r>
      <w:r w:rsidR="006D309C">
        <w:rPr>
          <w:szCs w:val="24"/>
          <w:shd w:val="clear" w:color="auto" w:fill="FFFFFF"/>
        </w:rPr>
        <w:t>the Office of Administrative Trials and Hearings (“OATH”)</w:t>
      </w:r>
      <w:r w:rsidRPr="003D2C2E">
        <w:rPr>
          <w:szCs w:val="24"/>
          <w:shd w:val="clear" w:color="auto" w:fill="FFFFFF"/>
        </w:rPr>
        <w:t>, where a fine is assessed for failure to comply.</w:t>
      </w:r>
      <w:r w:rsidRPr="003D2C2E">
        <w:rPr>
          <w:szCs w:val="24"/>
          <w:shd w:val="clear" w:color="auto" w:fill="FFFFFF"/>
          <w:vertAlign w:val="superscript"/>
        </w:rPr>
        <w:footnoteReference w:id="38"/>
      </w:r>
      <w:r w:rsidRPr="003D2C2E">
        <w:rPr>
          <w:szCs w:val="24"/>
          <w:shd w:val="clear" w:color="auto" w:fill="FFFFFF"/>
        </w:rPr>
        <w:t xml:space="preserve"> Fines can be doubled if the property owner fails to attend the OATH hearing, with a minimum fine </w:t>
      </w:r>
      <w:r w:rsidR="00FD63C9">
        <w:rPr>
          <w:szCs w:val="24"/>
          <w:shd w:val="clear" w:color="auto" w:fill="FFFFFF"/>
        </w:rPr>
        <w:t xml:space="preserve">of </w:t>
      </w:r>
      <w:r w:rsidRPr="003D2C2E">
        <w:rPr>
          <w:szCs w:val="24"/>
          <w:shd w:val="clear" w:color="auto" w:fill="FFFFFF"/>
        </w:rPr>
        <w:t>$300 and a maximum of $2,000.</w:t>
      </w:r>
      <w:r w:rsidRPr="003D2C2E">
        <w:rPr>
          <w:szCs w:val="24"/>
          <w:shd w:val="clear" w:color="auto" w:fill="FFFFFF"/>
          <w:vertAlign w:val="superscript"/>
        </w:rPr>
        <w:footnoteReference w:id="39"/>
      </w:r>
      <w:r w:rsidRPr="003D2C2E">
        <w:rPr>
          <w:szCs w:val="24"/>
          <w:shd w:val="clear" w:color="auto" w:fill="FFFFFF"/>
        </w:rPr>
        <w:t xml:space="preserve"> </w:t>
      </w:r>
      <w:r w:rsidR="006D309C">
        <w:rPr>
          <w:szCs w:val="24"/>
          <w:shd w:val="clear" w:color="auto" w:fill="FFFFFF"/>
        </w:rPr>
        <w:t>DOHMH</w:t>
      </w:r>
      <w:r w:rsidRPr="003D2C2E">
        <w:rPr>
          <w:szCs w:val="24"/>
          <w:shd w:val="clear" w:color="auto" w:fill="FFFFFF"/>
        </w:rPr>
        <w:t xml:space="preserve"> can also take action to address the complaint by removing trash from the property, administering rodent bait, and collapsing and sealing rat burrows.</w:t>
      </w:r>
      <w:r w:rsidRPr="003D2C2E">
        <w:rPr>
          <w:szCs w:val="24"/>
          <w:shd w:val="clear" w:color="auto" w:fill="FFFFFF"/>
          <w:vertAlign w:val="superscript"/>
        </w:rPr>
        <w:footnoteReference w:id="40"/>
      </w:r>
      <w:r w:rsidRPr="003D2C2E">
        <w:rPr>
          <w:szCs w:val="24"/>
          <w:shd w:val="clear" w:color="auto" w:fill="FFFFFF"/>
        </w:rPr>
        <w:t xml:space="preserve"> </w:t>
      </w:r>
    </w:p>
    <w:p w14:paraId="3C8D9504" w14:textId="705A8046" w:rsidR="00D74456" w:rsidRPr="003D2C2E" w:rsidRDefault="003D2C2E" w:rsidP="003D2C2E">
      <w:pPr>
        <w:spacing w:line="480" w:lineRule="auto"/>
        <w:rPr>
          <w:b/>
          <w:bCs/>
          <w:u w:val="single"/>
        </w:rPr>
      </w:pPr>
      <w:r w:rsidRPr="003D2C2E">
        <w:rPr>
          <w:b/>
          <w:bCs/>
          <w:u w:val="single"/>
        </w:rPr>
        <w:t>Short-Term Rentals</w:t>
      </w:r>
    </w:p>
    <w:p w14:paraId="37017BC4" w14:textId="4CB55192" w:rsidR="003D2C2E" w:rsidRPr="003D2C2E" w:rsidRDefault="003D2C2E" w:rsidP="003D2C2E">
      <w:pPr>
        <w:spacing w:line="480" w:lineRule="auto"/>
        <w:ind w:firstLine="720"/>
      </w:pPr>
      <w:r w:rsidRPr="003D2C2E">
        <w:t>A short-term rental is a rental for fewer than 30 consecutive days; restriction</w:t>
      </w:r>
      <w:r w:rsidR="00106D6C">
        <w:t>s</w:t>
      </w:r>
      <w:r w:rsidRPr="003D2C2E">
        <w:t xml:space="preserve"> on short-term rentals exist at the City and State level. At the State level, since 2010, a “Class A” multiple dwelling has been defined as a residence of 3 or more families that is used for “permanent residence purposes” (</w:t>
      </w:r>
      <w:r w:rsidRPr="003D2C2E">
        <w:rPr>
          <w:i/>
          <w:iCs/>
        </w:rPr>
        <w:t>i.e.</w:t>
      </w:r>
      <w:r w:rsidRPr="003D2C2E">
        <w:t>, 30 consecutive days or more).</w:t>
      </w:r>
      <w:r w:rsidRPr="003D2C2E">
        <w:rPr>
          <w:vertAlign w:val="superscript"/>
        </w:rPr>
        <w:footnoteReference w:id="41"/>
      </w:r>
      <w:r w:rsidRPr="003D2C2E">
        <w:t xml:space="preserve"> The City’s Housing Maintenance Code (“HMC”) mirrors the </w:t>
      </w:r>
      <w:r w:rsidR="00D510B2">
        <w:t>S</w:t>
      </w:r>
      <w:r w:rsidRPr="003D2C2E">
        <w:t>tate definition.</w:t>
      </w:r>
      <w:r w:rsidRPr="003D2C2E">
        <w:rPr>
          <w:vertAlign w:val="superscript"/>
        </w:rPr>
        <w:footnoteReference w:id="42"/>
      </w:r>
      <w:r w:rsidRPr="003D2C2E">
        <w:t xml:space="preserve"> This definition effectively restricts buildings with 3 or more families from renting out units for fewer than 30 days</w:t>
      </w:r>
      <w:r w:rsidR="00842FC8">
        <w:t xml:space="preserve"> (</w:t>
      </w:r>
      <w:r w:rsidR="00842FC8">
        <w:rPr>
          <w:i/>
          <w:iCs/>
        </w:rPr>
        <w:t>i.e.</w:t>
      </w:r>
      <w:r w:rsidR="00842FC8">
        <w:t>, as a “short-term rental”)</w:t>
      </w:r>
      <w:r w:rsidRPr="003D2C2E">
        <w:t xml:space="preserve">. This </w:t>
      </w:r>
      <w:r w:rsidR="00E5501D">
        <w:t xml:space="preserve">definition </w:t>
      </w:r>
      <w:r w:rsidRPr="003D2C2E">
        <w:t>is in contrast to “Class B” multiple dwellings, which are used for transient purposes, like hotels, college dormitories, or boarding houses.</w:t>
      </w:r>
      <w:r w:rsidRPr="003D2C2E">
        <w:rPr>
          <w:vertAlign w:val="superscript"/>
        </w:rPr>
        <w:footnoteReference w:id="43"/>
      </w:r>
      <w:r w:rsidRPr="003D2C2E">
        <w:t xml:space="preserve"> </w:t>
      </w:r>
    </w:p>
    <w:p w14:paraId="4C0FF171" w14:textId="55E33623" w:rsidR="003D2C2E" w:rsidRPr="003D2C2E" w:rsidRDefault="003D2C2E" w:rsidP="003D2C2E">
      <w:pPr>
        <w:spacing w:line="480" w:lineRule="auto"/>
        <w:ind w:firstLine="720"/>
      </w:pPr>
      <w:r w:rsidRPr="003D2C2E">
        <w:t>At the State level</w:t>
      </w:r>
      <w:r w:rsidR="008B5D16">
        <w:t>,</w:t>
      </w:r>
      <w:r w:rsidRPr="003D2C2E">
        <w:t xml:space="preserve"> for buildings with fewer than 3 families, a residential building designed for and occupied by up to 2 families is classified as a “private dwelling,” with no permanent residence requirement.</w:t>
      </w:r>
      <w:r w:rsidRPr="003D2C2E">
        <w:rPr>
          <w:vertAlign w:val="superscript"/>
        </w:rPr>
        <w:footnoteReference w:id="44"/>
      </w:r>
      <w:r w:rsidRPr="003D2C2E">
        <w:t xml:space="preserve"> </w:t>
      </w:r>
      <w:r w:rsidR="00FE377D">
        <w:t>As such,</w:t>
      </w:r>
      <w:r w:rsidRPr="003D2C2E">
        <w:t xml:space="preserve"> in areas of New York State outside of </w:t>
      </w:r>
      <w:r w:rsidR="00E4494C">
        <w:t>the City</w:t>
      </w:r>
      <w:r w:rsidRPr="003D2C2E">
        <w:t xml:space="preserve">, a private dwelling may be permitted to rent the home for a period of fewer than 30 days. </w:t>
      </w:r>
    </w:p>
    <w:p w14:paraId="2E1ED21F" w14:textId="1DF902CB" w:rsidR="003D2C2E" w:rsidRPr="003D2C2E" w:rsidRDefault="003D2C2E" w:rsidP="003D2C2E">
      <w:pPr>
        <w:spacing w:line="480" w:lineRule="auto"/>
        <w:ind w:firstLine="720"/>
      </w:pPr>
      <w:r w:rsidRPr="003D2C2E">
        <w:t xml:space="preserve">The definition of “family” in the HMC and the Building Code allows for a small exception </w:t>
      </w:r>
      <w:r w:rsidR="008B5D16">
        <w:t xml:space="preserve">to the general prohibition against short-term rentals by allowing </w:t>
      </w:r>
      <w:r w:rsidRPr="003D2C2E">
        <w:t>up to 2 guests maintaining a common household with the permanent occupant of the housing unit.</w:t>
      </w:r>
      <w:r w:rsidRPr="003D2C2E">
        <w:rPr>
          <w:vertAlign w:val="superscript"/>
        </w:rPr>
        <w:footnoteReference w:id="45"/>
      </w:r>
      <w:r w:rsidRPr="003D2C2E">
        <w:t xml:space="preserve"> Those sections of local law define “family” as a single person or two persons “using and maintaining a common household with not more than two boarders, roomers or lodgers.”</w:t>
      </w:r>
      <w:r w:rsidRPr="003D2C2E">
        <w:rPr>
          <w:vertAlign w:val="superscript"/>
        </w:rPr>
        <w:footnoteReference w:id="46"/>
      </w:r>
      <w:r w:rsidRPr="003D2C2E">
        <w:t xml:space="preserve"> This allows families to live in the apartment and rent out a room to unrelated persons while the homeowner or prime tenant is also </w:t>
      </w:r>
      <w:r w:rsidR="006D309C">
        <w:t>physically present</w:t>
      </w:r>
      <w:r w:rsidRPr="003D2C2E">
        <w:t xml:space="preserve">. This definition of family contradicts the definition as found in </w:t>
      </w:r>
      <w:r w:rsidR="008B5D16">
        <w:t>S</w:t>
      </w:r>
      <w:r w:rsidRPr="003D2C2E">
        <w:t xml:space="preserve">tate law, which allows up to 4 guests. </w:t>
      </w:r>
    </w:p>
    <w:p w14:paraId="2BD69AE6" w14:textId="1357CBC3" w:rsidR="003D2C2E" w:rsidRPr="003D2C2E" w:rsidRDefault="003D2C2E" w:rsidP="003D2C2E">
      <w:pPr>
        <w:spacing w:line="480" w:lineRule="auto"/>
        <w:ind w:firstLine="720"/>
      </w:pPr>
      <w:r w:rsidRPr="003D2C2E">
        <w:t xml:space="preserve">An additional definition of family is found in the </w:t>
      </w:r>
      <w:r w:rsidR="0040526F">
        <w:t>NYC</w:t>
      </w:r>
      <w:r w:rsidRPr="003D2C2E">
        <w:t xml:space="preserve"> Zoning Resolution (“ZR”). The ZR designates the use of buildings and structures into use groups, differentiating residential use groups as single-family, two-family, or general residences.</w:t>
      </w:r>
      <w:r w:rsidRPr="003D2C2E">
        <w:rPr>
          <w:vertAlign w:val="superscript"/>
        </w:rPr>
        <w:footnoteReference w:id="47"/>
      </w:r>
      <w:r w:rsidRPr="003D2C2E">
        <w:t xml:space="preserve"> Previously, the ZR’s definition of “family” was more restrictive than that used by the HMC and B</w:t>
      </w:r>
      <w:r w:rsidR="00B864B5">
        <w:t xml:space="preserve">uilding </w:t>
      </w:r>
      <w:r w:rsidRPr="003D2C2E">
        <w:t>C</w:t>
      </w:r>
      <w:r w:rsidR="00B864B5">
        <w:t>ode</w:t>
      </w:r>
      <w:r w:rsidRPr="003D2C2E">
        <w:t xml:space="preserve">, defining a family as either a single person or </w:t>
      </w:r>
      <w:r w:rsidR="0032765B">
        <w:t>2</w:t>
      </w:r>
      <w:r w:rsidRPr="003D2C2E">
        <w:t xml:space="preserve"> or more persons related by blood or marriage, occupying a dwelling and maintaining a household including not more than </w:t>
      </w:r>
      <w:r w:rsidR="0032765B">
        <w:t>1</w:t>
      </w:r>
      <w:r w:rsidRPr="003D2C2E">
        <w:t xml:space="preserve"> boarder, roomer, or lodger.</w:t>
      </w:r>
      <w:r w:rsidRPr="003D2C2E">
        <w:rPr>
          <w:vertAlign w:val="superscript"/>
        </w:rPr>
        <w:footnoteReference w:id="48"/>
      </w:r>
      <w:r w:rsidRPr="003D2C2E">
        <w:t xml:space="preserve"> This was an inherent conflict with the </w:t>
      </w:r>
      <w:r w:rsidR="0032765B">
        <w:t xml:space="preserve">HMC and </w:t>
      </w:r>
      <w:r w:rsidRPr="003D2C2E">
        <w:t>B</w:t>
      </w:r>
      <w:r w:rsidR="00B56CCB">
        <w:t xml:space="preserve">uilding </w:t>
      </w:r>
      <w:r w:rsidRPr="003D2C2E">
        <w:t>C</w:t>
      </w:r>
      <w:r w:rsidR="00B56CCB">
        <w:t>ode</w:t>
      </w:r>
      <w:r w:rsidRPr="003D2C2E">
        <w:t>. However, with the enactment of an updated ZR via City of Yes</w:t>
      </w:r>
      <w:r w:rsidR="009B3EB0">
        <w:t xml:space="preserve"> for Housing Opportunity</w:t>
      </w:r>
      <w:r w:rsidRPr="003D2C2E">
        <w:t xml:space="preserve"> in November 2024, the ZR definition of family was updated to include up to 4 boarders, roomers, or lodgers, aligning it with </w:t>
      </w:r>
      <w:r w:rsidR="00291F6C">
        <w:t>S</w:t>
      </w:r>
      <w:r w:rsidRPr="003D2C2E">
        <w:t xml:space="preserve">tate law, </w:t>
      </w:r>
      <w:r w:rsidR="00194E56">
        <w:t>but left</w:t>
      </w:r>
      <w:r w:rsidR="009B3EB0">
        <w:t xml:space="preserve"> the</w:t>
      </w:r>
      <w:r w:rsidRPr="003D2C2E">
        <w:t xml:space="preserve"> HMC and B</w:t>
      </w:r>
      <w:r w:rsidR="002223F7">
        <w:t xml:space="preserve">uilding </w:t>
      </w:r>
      <w:r w:rsidRPr="003D2C2E">
        <w:t>C</w:t>
      </w:r>
      <w:r w:rsidR="002223F7">
        <w:t>ode</w:t>
      </w:r>
      <w:r w:rsidR="00194E56">
        <w:t xml:space="preserve"> definitions of family unchanged and in conflict with the </w:t>
      </w:r>
      <w:r w:rsidR="00C4606C">
        <w:t>s</w:t>
      </w:r>
      <w:r w:rsidR="00194E56">
        <w:t>tate</w:t>
      </w:r>
      <w:r w:rsidR="00C4606C">
        <w:t xml:space="preserve"> law</w:t>
      </w:r>
      <w:r w:rsidR="00194E56">
        <w:t xml:space="preserve"> </w:t>
      </w:r>
      <w:r w:rsidR="00850754">
        <w:t xml:space="preserve"> and ZR </w:t>
      </w:r>
      <w:r w:rsidR="00194E56">
        <w:t>definition</w:t>
      </w:r>
      <w:r w:rsidR="00850754">
        <w:t>s</w:t>
      </w:r>
      <w:r w:rsidRPr="003D2C2E">
        <w:t>.</w:t>
      </w:r>
      <w:r w:rsidR="00FE377D">
        <w:rPr>
          <w:rStyle w:val="FootnoteReference"/>
        </w:rPr>
        <w:footnoteReference w:id="49"/>
      </w:r>
    </w:p>
    <w:p w14:paraId="6301324F" w14:textId="1705166E" w:rsidR="003D2C2E" w:rsidRDefault="003D2C2E" w:rsidP="003D2C2E">
      <w:pPr>
        <w:spacing w:line="480" w:lineRule="auto"/>
        <w:ind w:firstLine="720"/>
      </w:pPr>
      <w:r w:rsidRPr="003D2C2E">
        <w:t>Buildings may have additional rules in the lease, for the building, or pursuant to a regulatory restriction that limits subletting, residency, or other rentals of the apartment. Further, New York City Housing Authorit</w:t>
      </w:r>
      <w:r w:rsidR="006D309C">
        <w:t>y</w:t>
      </w:r>
      <w:r w:rsidRPr="003D2C2E">
        <w:t xml:space="preserve">, </w:t>
      </w:r>
      <w:r w:rsidR="006D309C">
        <w:t>r</w:t>
      </w:r>
      <w:r w:rsidRPr="003D2C2E">
        <w:t xml:space="preserve">ent </w:t>
      </w:r>
      <w:r w:rsidR="006D309C">
        <w:t>s</w:t>
      </w:r>
      <w:r w:rsidRPr="003D2C2E">
        <w:t xml:space="preserve">tabilized, and </w:t>
      </w:r>
      <w:r w:rsidR="006D309C">
        <w:t>r</w:t>
      </w:r>
      <w:r w:rsidRPr="003D2C2E">
        <w:t xml:space="preserve">ent </w:t>
      </w:r>
      <w:r w:rsidR="006D309C">
        <w:t>c</w:t>
      </w:r>
      <w:r w:rsidRPr="003D2C2E">
        <w:t>ontrolled apartments all have additional permanent residency restrictions on these units.</w:t>
      </w:r>
      <w:r w:rsidRPr="003D2C2E">
        <w:rPr>
          <w:vertAlign w:val="superscript"/>
        </w:rPr>
        <w:footnoteReference w:id="50"/>
      </w:r>
    </w:p>
    <w:p w14:paraId="645BCF95" w14:textId="512F5752" w:rsidR="003E5661" w:rsidRPr="003D68A2" w:rsidRDefault="003E5661" w:rsidP="003E5661">
      <w:pPr>
        <w:spacing w:line="480" w:lineRule="auto"/>
        <w:ind w:firstLine="720"/>
      </w:pPr>
      <w:r w:rsidRPr="003D68A2">
        <w:t xml:space="preserve">As reported in the 2023 </w:t>
      </w:r>
      <w:r w:rsidRPr="00DB7ACE">
        <w:t>H</w:t>
      </w:r>
      <w:r w:rsidRPr="003D68A2">
        <w:t xml:space="preserve">ousing </w:t>
      </w:r>
      <w:r>
        <w:t xml:space="preserve">and </w:t>
      </w:r>
      <w:r w:rsidRPr="00DB7ACE">
        <w:t>V</w:t>
      </w:r>
      <w:r w:rsidRPr="003D68A2">
        <w:t xml:space="preserve">acancy </w:t>
      </w:r>
      <w:r w:rsidRPr="00DB7ACE">
        <w:t>S</w:t>
      </w:r>
      <w:r w:rsidRPr="003D68A2">
        <w:t>urvey</w:t>
      </w:r>
      <w:r>
        <w:t>,</w:t>
      </w:r>
      <w:r w:rsidRPr="003D68A2">
        <w:t xml:space="preserve"> there are an estimated 1,007,000 combined 1</w:t>
      </w:r>
      <w:r>
        <w:t>-</w:t>
      </w:r>
      <w:r w:rsidRPr="003D68A2">
        <w:t xml:space="preserve"> and 2</w:t>
      </w:r>
      <w:r>
        <w:t>-</w:t>
      </w:r>
      <w:r w:rsidRPr="003D68A2">
        <w:t>unit residential properties</w:t>
      </w:r>
      <w:r>
        <w:t xml:space="preserve"> in the City</w:t>
      </w:r>
      <w:r w:rsidRPr="003D68A2">
        <w:t>, which accounts for 27 percent of the City’s total housing stock.</w:t>
      </w:r>
      <w:r w:rsidRPr="00DB7ACE">
        <w:rPr>
          <w:rStyle w:val="FootnoteReference"/>
        </w:rPr>
        <w:footnoteReference w:id="51"/>
      </w:r>
      <w:r w:rsidRPr="003D68A2">
        <w:t xml:space="preserve"> Renters occupy approximately 327,100 of these units, roughly 32</w:t>
      </w:r>
      <w:r>
        <w:t xml:space="preserve"> percent</w:t>
      </w:r>
      <w:r w:rsidRPr="003D68A2">
        <w:t>.</w:t>
      </w:r>
      <w:r w:rsidRPr="00DB7ACE">
        <w:rPr>
          <w:rStyle w:val="FootnoteReference"/>
        </w:rPr>
        <w:footnoteReference w:id="52"/>
      </w:r>
      <w:r w:rsidRPr="003D68A2">
        <w:t xml:space="preserve"> These 1</w:t>
      </w:r>
      <w:r>
        <w:t>-</w:t>
      </w:r>
      <w:r w:rsidRPr="003D68A2">
        <w:t xml:space="preserve"> and 2</w:t>
      </w:r>
      <w:r>
        <w:t>-</w:t>
      </w:r>
      <w:r w:rsidRPr="003D68A2">
        <w:t>unit properties account for about 14</w:t>
      </w:r>
      <w:r>
        <w:t xml:space="preserve"> percent</w:t>
      </w:r>
      <w:r w:rsidRPr="003D68A2">
        <w:t xml:space="preserve"> of the </w:t>
      </w:r>
      <w:r>
        <w:t>C</w:t>
      </w:r>
      <w:r w:rsidRPr="003D68A2">
        <w:t>ity</w:t>
      </w:r>
      <w:r>
        <w:t>’s</w:t>
      </w:r>
      <w:r w:rsidRPr="003D68A2">
        <w:t xml:space="preserve"> total rental housing stock.</w:t>
      </w:r>
      <w:r w:rsidRPr="00DB7ACE">
        <w:rPr>
          <w:rStyle w:val="FootnoteReference"/>
        </w:rPr>
        <w:footnoteReference w:id="53"/>
      </w:r>
      <w:r w:rsidRPr="00DB7ACE">
        <w:rPr>
          <w:color w:val="111111"/>
          <w:sz w:val="27"/>
          <w:szCs w:val="27"/>
          <w:shd w:val="clear" w:color="auto" w:fill="FFFFFF"/>
        </w:rPr>
        <w:t xml:space="preserve"> </w:t>
      </w:r>
      <w:r>
        <w:t>In November 2025, t</w:t>
      </w:r>
      <w:r w:rsidRPr="00DB7ACE">
        <w:t>he Community Service Society (</w:t>
      </w:r>
      <w:r>
        <w:t>“</w:t>
      </w:r>
      <w:r w:rsidRPr="00DB7ACE">
        <w:t>CSS</w:t>
      </w:r>
      <w:r>
        <w:t>”</w:t>
      </w:r>
      <w:r w:rsidRPr="00DB7ACE">
        <w:t xml:space="preserve">) published an analysis of the potential impact of </w:t>
      </w:r>
      <w:r>
        <w:t>allowing</w:t>
      </w:r>
      <w:r w:rsidRPr="00DB7ACE">
        <w:t xml:space="preserve"> properties </w:t>
      </w:r>
      <w:r>
        <w:t xml:space="preserve">with 1 to 2 units </w:t>
      </w:r>
      <w:r w:rsidRPr="00DB7ACE">
        <w:t>to host short</w:t>
      </w:r>
      <w:r>
        <w:t>-</w:t>
      </w:r>
      <w:r w:rsidRPr="00DB7ACE">
        <w:t xml:space="preserve">term guests </w:t>
      </w:r>
      <w:r>
        <w:t>without a host present.</w:t>
      </w:r>
      <w:r>
        <w:rPr>
          <w:rStyle w:val="FootnoteReference"/>
        </w:rPr>
        <w:footnoteReference w:id="54"/>
      </w:r>
      <w:r>
        <w:t xml:space="preserve"> The study found that </w:t>
      </w:r>
      <w:r w:rsidR="00213FB2" w:rsidRPr="00213FB2">
        <w:t xml:space="preserve">these bills would </w:t>
      </w:r>
      <w:r w:rsidR="00501AB7">
        <w:t xml:space="preserve">(1) </w:t>
      </w:r>
      <w:r w:rsidR="00213FB2" w:rsidRPr="00213FB2">
        <w:t>increase the purchase price of 1</w:t>
      </w:r>
      <w:r w:rsidR="00501AB7">
        <w:t>-</w:t>
      </w:r>
      <w:r w:rsidR="00213FB2" w:rsidRPr="00213FB2">
        <w:t xml:space="preserve"> to 2</w:t>
      </w:r>
      <w:r w:rsidR="00501AB7">
        <w:t>-unit properties</w:t>
      </w:r>
      <w:r w:rsidR="00213FB2" w:rsidRPr="00213FB2">
        <w:t xml:space="preserve">; </w:t>
      </w:r>
      <w:r w:rsidR="00501AB7">
        <w:t>(</w:t>
      </w:r>
      <w:r w:rsidR="00213FB2" w:rsidRPr="00213FB2">
        <w:t>2) result in higher rents for tenants in t</w:t>
      </w:r>
      <w:r w:rsidR="00213FB2">
        <w:t>he</w:t>
      </w:r>
      <w:r w:rsidR="00213FB2" w:rsidRPr="00213FB2">
        <w:t>se buildings; and 3) create an incentive for owners to displace tenants from these homes, a disproportionate number of whom are Black and low-income</w:t>
      </w:r>
      <w:r w:rsidR="00467E66">
        <w:t>.</w:t>
      </w:r>
      <w:r w:rsidRPr="00DB7ACE">
        <w:rPr>
          <w:rStyle w:val="FootnoteReference"/>
        </w:rPr>
        <w:footnoteReference w:id="55"/>
      </w:r>
      <w:r w:rsidRPr="00DB7ACE">
        <w:t xml:space="preserve"> Furthermore, CSS argues that this displacement is likely to occur because tenants in 1</w:t>
      </w:r>
      <w:r w:rsidR="0081247A">
        <w:t>-</w:t>
      </w:r>
      <w:r w:rsidRPr="00DB7ACE">
        <w:t xml:space="preserve"> and 2</w:t>
      </w:r>
      <w:r w:rsidR="0081247A">
        <w:t>-</w:t>
      </w:r>
      <w:r w:rsidRPr="00DB7ACE">
        <w:t>unit buildings have fewer protections than tenants in</w:t>
      </w:r>
      <w:r w:rsidR="0081247A">
        <w:t xml:space="preserve"> units that are</w:t>
      </w:r>
      <w:r w:rsidRPr="00DB7ACE">
        <w:t xml:space="preserve"> rent regulated</w:t>
      </w:r>
      <w:r w:rsidR="0081247A">
        <w:t>,</w:t>
      </w:r>
      <w:r w:rsidRPr="00DB7ACE">
        <w:t xml:space="preserve"> or </w:t>
      </w:r>
      <w:r w:rsidR="0081247A">
        <w:t>protected</w:t>
      </w:r>
      <w:r w:rsidR="0081247A" w:rsidRPr="00DB7ACE">
        <w:t xml:space="preserve"> </w:t>
      </w:r>
      <w:r w:rsidRPr="00DB7ACE">
        <w:t>under the Good Cause Eviction Law</w:t>
      </w:r>
      <w:r w:rsidR="0081247A">
        <w:t>, which covers buildings with more than 9 units</w:t>
      </w:r>
      <w:r w:rsidRPr="00DB7ACE">
        <w:t>.</w:t>
      </w:r>
      <w:r w:rsidRPr="00DB7ACE">
        <w:rPr>
          <w:rStyle w:val="FootnoteReference"/>
        </w:rPr>
        <w:footnoteReference w:id="56"/>
      </w:r>
    </w:p>
    <w:p w14:paraId="31377546" w14:textId="6E14C287" w:rsidR="003E5661" w:rsidRPr="00DB7ACE" w:rsidRDefault="003E5661" w:rsidP="003E5661">
      <w:pPr>
        <w:spacing w:line="480" w:lineRule="auto"/>
        <w:ind w:firstLine="720"/>
      </w:pPr>
      <w:r w:rsidRPr="00DB7ACE">
        <w:t>Airbnb has been analyzing and studying the impacts of Local Law 18 of 2022 (“LL18”), which requires all properties used as short-term rentals to register with the City on New York City's housing market since its implementation in September 2023.</w:t>
      </w:r>
      <w:r w:rsidR="00213FB2">
        <w:rPr>
          <w:rStyle w:val="FootnoteReference"/>
        </w:rPr>
        <w:footnoteReference w:id="57"/>
      </w:r>
      <w:r w:rsidRPr="00DB7ACE">
        <w:t xml:space="preserve"> When </w:t>
      </w:r>
      <w:r w:rsidR="00A852CC">
        <w:t>LL18</w:t>
      </w:r>
      <w:r w:rsidRPr="00DB7ACE">
        <w:t xml:space="preserve"> was implemented, there was over a 90 percent drop in Airbnb’s listings across </w:t>
      </w:r>
      <w:r w:rsidR="00A852CC">
        <w:t>the</w:t>
      </w:r>
      <w:r w:rsidRPr="00DB7ACE">
        <w:t xml:space="preserve"> City.</w:t>
      </w:r>
      <w:r w:rsidRPr="00DB7ACE">
        <w:rPr>
          <w:rStyle w:val="FootnoteReference"/>
        </w:rPr>
        <w:footnoteReference w:id="58"/>
      </w:r>
      <w:r w:rsidRPr="00DB7ACE">
        <w:t xml:space="preserve"> In the outer boroughs, listings dropped from approximately 17,000 to 1,400 units.</w:t>
      </w:r>
      <w:r w:rsidRPr="00DB7ACE">
        <w:rPr>
          <w:rStyle w:val="FootnoteReference"/>
        </w:rPr>
        <w:footnoteReference w:id="59"/>
      </w:r>
      <w:r w:rsidRPr="00DB7ACE">
        <w:t xml:space="preserve"> This resulted in an average of 80,000 fewer guests per month on the Airbnb platform.</w:t>
      </w:r>
      <w:r w:rsidRPr="00DB7ACE">
        <w:rPr>
          <w:rStyle w:val="FootnoteReference"/>
        </w:rPr>
        <w:footnoteReference w:id="60"/>
      </w:r>
      <w:r w:rsidRPr="00DB7ACE">
        <w:t xml:space="preserve"> </w:t>
      </w:r>
    </w:p>
    <w:p w14:paraId="379AD8B8" w14:textId="326D234E" w:rsidR="003E5661" w:rsidRPr="00DB7ACE" w:rsidRDefault="003E5661" w:rsidP="003E5661">
      <w:pPr>
        <w:spacing w:line="480" w:lineRule="auto"/>
        <w:ind w:firstLine="720"/>
      </w:pPr>
      <w:r w:rsidRPr="00DB7ACE">
        <w:t xml:space="preserve">To isolate LL18’s potential impacts on housing inventory and rents, Airbnb compared </w:t>
      </w:r>
      <w:r w:rsidR="00A852CC">
        <w:t>NYC</w:t>
      </w:r>
      <w:r w:rsidRPr="00DB7ACE">
        <w:t xml:space="preserve"> neighborhoods with higher and lower concentration</w:t>
      </w:r>
      <w:r w:rsidR="00A852CC">
        <w:t>s</w:t>
      </w:r>
      <w:r w:rsidRPr="00DB7ACE">
        <w:t xml:space="preserve"> of short-term rentals prior to LL18</w:t>
      </w:r>
      <w:r w:rsidR="00213FB2">
        <w:t>.</w:t>
      </w:r>
      <w:r w:rsidR="00213FB2">
        <w:rPr>
          <w:rStyle w:val="FootnoteReference"/>
        </w:rPr>
        <w:footnoteReference w:id="61"/>
      </w:r>
      <w:r w:rsidR="00213FB2">
        <w:t xml:space="preserve"> A</w:t>
      </w:r>
      <w:r w:rsidR="00F91BB0">
        <w:t>irbnb’s study found</w:t>
      </w:r>
      <w:r w:rsidRPr="00DB7ACE">
        <w:t xml:space="preserve"> that neither housing availability nor affordability has improved since LL18 was enacted.</w:t>
      </w:r>
      <w:r w:rsidRPr="00DB7ACE">
        <w:rPr>
          <w:rStyle w:val="FootnoteReference"/>
        </w:rPr>
        <w:footnoteReference w:id="62"/>
      </w:r>
      <w:r w:rsidRPr="00DB7ACE">
        <w:t xml:space="preserve"> </w:t>
      </w:r>
      <w:r w:rsidR="00F91BB0">
        <w:t>For instance, the study found that i</w:t>
      </w:r>
      <w:r w:rsidRPr="00DB7ACE">
        <w:t>n neighborhoods with higher Airbnb concentrations, rents rose 5.8 percent post LL18 (Dec 2023 to May 2024) compared to 4.5 percent pre-LL18 (December 2022 to May 2023).</w:t>
      </w:r>
      <w:r w:rsidRPr="00DB7ACE">
        <w:rPr>
          <w:rStyle w:val="FootnoteReference"/>
        </w:rPr>
        <w:footnoteReference w:id="63"/>
      </w:r>
      <w:r w:rsidRPr="00DB7ACE">
        <w:t xml:space="preserve"> In lower </w:t>
      </w:r>
      <w:r w:rsidR="00510D4D">
        <w:t>c</w:t>
      </w:r>
      <w:r w:rsidRPr="00DB7ACE">
        <w:t xml:space="preserve">oncentration </w:t>
      </w:r>
      <w:r w:rsidR="00510D4D">
        <w:t>n</w:t>
      </w:r>
      <w:r w:rsidRPr="00DB7ACE">
        <w:t xml:space="preserve">eighborhoods, the </w:t>
      </w:r>
      <w:r w:rsidR="00510D4D">
        <w:t xml:space="preserve">study found that </w:t>
      </w:r>
      <w:r w:rsidRPr="00DB7ACE">
        <w:t>rents rose 6.3 percent post LL18 (Dec 2023 to May 2024) compared to 5.3 percent pre</w:t>
      </w:r>
      <w:r w:rsidR="00510D4D">
        <w:t>-</w:t>
      </w:r>
      <w:r w:rsidRPr="00DB7ACE">
        <w:t>LL18. (December 2022 to May 2023)</w:t>
      </w:r>
      <w:r w:rsidRPr="00DB7ACE">
        <w:rPr>
          <w:rStyle w:val="FootnoteReference"/>
        </w:rPr>
        <w:footnoteReference w:id="64"/>
      </w:r>
      <w:r>
        <w:t xml:space="preserve"> </w:t>
      </w:r>
      <w:r w:rsidRPr="00DB7ACE">
        <w:t>On May 6, 2025, Airbnb reported that for the first time</w:t>
      </w:r>
      <w:r w:rsidR="00510D4D">
        <w:t xml:space="preserve"> on record,</w:t>
      </w:r>
      <w:r w:rsidRPr="00DB7ACE">
        <w:t xml:space="preserve"> the median rent across all of Manhattan ha</w:t>
      </w:r>
      <w:r w:rsidR="00510D4D">
        <w:t>d</w:t>
      </w:r>
      <w:r w:rsidRPr="00DB7ACE">
        <w:t xml:space="preserve"> surpassed $4,000 per month, a 4.1 percent increase since the law took effect.</w:t>
      </w:r>
      <w:r w:rsidRPr="00DB7ACE">
        <w:rPr>
          <w:rStyle w:val="FootnoteReference"/>
        </w:rPr>
        <w:footnoteReference w:id="65"/>
      </w:r>
      <w:r w:rsidRPr="00DB7ACE">
        <w:t xml:space="preserve">  This trend continued citywide with rents rising approximately 5 percent and</w:t>
      </w:r>
      <w:r w:rsidR="00213FB2">
        <w:t xml:space="preserve"> Airbnb</w:t>
      </w:r>
      <w:r w:rsidRPr="00DB7ACE">
        <w:t xml:space="preserve"> claims that </w:t>
      </w:r>
      <w:r w:rsidR="00263218">
        <w:t>NYC</w:t>
      </w:r>
      <w:r w:rsidRPr="00DB7ACE">
        <w:t xml:space="preserve"> is one of the most expensive cities in the world.</w:t>
      </w:r>
      <w:r w:rsidRPr="00DB7ACE">
        <w:rPr>
          <w:rStyle w:val="FootnoteReference"/>
        </w:rPr>
        <w:footnoteReference w:id="66"/>
      </w:r>
      <w:r w:rsidRPr="00DB7ACE">
        <w:t xml:space="preserve"> Meanwhile, Airbnb highlighted that construction starts dropped more than 70 percent in </w:t>
      </w:r>
      <w:r>
        <w:t xml:space="preserve">the </w:t>
      </w:r>
      <w:r w:rsidR="00CF43F2">
        <w:t>first</w:t>
      </w:r>
      <w:r>
        <w:t xml:space="preserve"> fiscal quarter</w:t>
      </w:r>
      <w:r w:rsidRPr="00DB7ACE">
        <w:t xml:space="preserve"> of 2025 compared to the </w:t>
      </w:r>
      <w:r w:rsidR="00CF43F2">
        <w:t>C</w:t>
      </w:r>
      <w:r w:rsidRPr="00DB7ACE">
        <w:t xml:space="preserve">ity’s 10-year average, marking </w:t>
      </w:r>
      <w:r w:rsidR="000D6FAF">
        <w:t>5</w:t>
      </w:r>
      <w:r w:rsidR="000D6FAF" w:rsidRPr="00DB7ACE">
        <w:t xml:space="preserve"> </w:t>
      </w:r>
      <w:r w:rsidRPr="00DB7ACE">
        <w:t>consecutive quarterly declines.</w:t>
      </w:r>
      <w:r w:rsidRPr="00DB7ACE">
        <w:rPr>
          <w:rStyle w:val="FootnoteReference"/>
        </w:rPr>
        <w:footnoteReference w:id="67"/>
      </w:r>
      <w:r w:rsidRPr="00DB7ACE">
        <w:t xml:space="preserve"> As </w:t>
      </w:r>
      <w:r w:rsidR="000D6FAF">
        <w:t>the</w:t>
      </w:r>
      <w:r w:rsidRPr="00DB7ACE">
        <w:t xml:space="preserve"> City’s population continues to grow, Airbnb claims that the focus on short</w:t>
      </w:r>
      <w:r w:rsidR="000D6FAF">
        <w:t>-</w:t>
      </w:r>
      <w:r w:rsidRPr="00DB7ACE">
        <w:t xml:space="preserve">term rentals distracted the </w:t>
      </w:r>
      <w:r w:rsidR="000D6FAF">
        <w:t>C</w:t>
      </w:r>
      <w:r w:rsidRPr="00DB7ACE">
        <w:t>ity from not building enough housing units.</w:t>
      </w:r>
      <w:r w:rsidRPr="00DB7ACE">
        <w:rPr>
          <w:rStyle w:val="FootnoteReference"/>
        </w:rPr>
        <w:footnoteReference w:id="68"/>
      </w:r>
      <w:r w:rsidRPr="00DB7ACE">
        <w:t xml:space="preserve">  </w:t>
      </w:r>
    </w:p>
    <w:p w14:paraId="1E666A46" w14:textId="77777777" w:rsidR="00E84E77" w:rsidRDefault="00200DFD" w:rsidP="00E84E77">
      <w:pPr>
        <w:numPr>
          <w:ilvl w:val="0"/>
          <w:numId w:val="1"/>
        </w:numPr>
        <w:suppressLineNumbers/>
        <w:spacing w:before="120" w:line="480" w:lineRule="auto"/>
        <w:jc w:val="left"/>
        <w:rPr>
          <w:b/>
          <w:smallCaps/>
          <w:szCs w:val="24"/>
          <w:u w:val="single"/>
        </w:rPr>
      </w:pPr>
      <w:r w:rsidRPr="005A3A11">
        <w:rPr>
          <w:b/>
          <w:smallCaps/>
          <w:szCs w:val="24"/>
          <w:u w:val="single"/>
        </w:rPr>
        <w:t>Legislation</w:t>
      </w:r>
    </w:p>
    <w:p w14:paraId="7B196280" w14:textId="1374074D" w:rsidR="0015220D" w:rsidRDefault="0015220D" w:rsidP="003D75D3">
      <w:pPr>
        <w:pStyle w:val="NoSpacing"/>
        <w:suppressLineNumbers/>
        <w:spacing w:before="120" w:line="480" w:lineRule="auto"/>
        <w:jc w:val="center"/>
        <w:rPr>
          <w:rFonts w:ascii="Times New Roman" w:hAnsi="Times New Roman" w:cs="Times New Roman"/>
          <w:b/>
          <w:spacing w:val="-3"/>
          <w:sz w:val="24"/>
          <w:szCs w:val="24"/>
        </w:rPr>
      </w:pPr>
      <w:r>
        <w:rPr>
          <w:rFonts w:ascii="Times New Roman" w:hAnsi="Times New Roman" w:cs="Times New Roman"/>
          <w:b/>
          <w:spacing w:val="-3"/>
          <w:sz w:val="24"/>
          <w:szCs w:val="24"/>
        </w:rPr>
        <w:t>Proposed Int. No. 948</w:t>
      </w:r>
      <w:r w:rsidR="00BD3918">
        <w:rPr>
          <w:rFonts w:ascii="Times New Roman" w:hAnsi="Times New Roman" w:cs="Times New Roman"/>
          <w:b/>
          <w:spacing w:val="-3"/>
          <w:sz w:val="24"/>
          <w:szCs w:val="24"/>
        </w:rPr>
        <w:t>-</w:t>
      </w:r>
      <w:r>
        <w:rPr>
          <w:rFonts w:ascii="Times New Roman" w:hAnsi="Times New Roman" w:cs="Times New Roman"/>
          <w:b/>
          <w:spacing w:val="-3"/>
          <w:sz w:val="24"/>
          <w:szCs w:val="24"/>
        </w:rPr>
        <w:t>A</w:t>
      </w:r>
    </w:p>
    <w:p w14:paraId="3F0ABCA5" w14:textId="3A61C574" w:rsidR="0015220D" w:rsidRDefault="0015220D" w:rsidP="00E3538A">
      <w:pPr>
        <w:pStyle w:val="NoSpacing"/>
        <w:suppressLineNumbers/>
        <w:spacing w:line="480" w:lineRule="auto"/>
        <w:ind w:firstLine="720"/>
        <w:jc w:val="both"/>
        <w:rPr>
          <w:rFonts w:ascii="Times New Roman" w:hAnsi="Times New Roman" w:cs="Times New Roman"/>
          <w:bCs/>
          <w:spacing w:val="-3"/>
          <w:sz w:val="24"/>
          <w:szCs w:val="24"/>
        </w:rPr>
      </w:pPr>
      <w:r w:rsidRPr="0015220D">
        <w:rPr>
          <w:rFonts w:ascii="Times New Roman" w:hAnsi="Times New Roman" w:cs="Times New Roman"/>
          <w:bCs/>
          <w:spacing w:val="-3"/>
          <w:sz w:val="24"/>
          <w:szCs w:val="24"/>
        </w:rPr>
        <w:t>Proposed Int. No. 948</w:t>
      </w:r>
      <w:r w:rsidR="00BD3918">
        <w:rPr>
          <w:rFonts w:ascii="Times New Roman" w:hAnsi="Times New Roman" w:cs="Times New Roman"/>
          <w:bCs/>
          <w:spacing w:val="-3"/>
          <w:sz w:val="24"/>
          <w:szCs w:val="24"/>
        </w:rPr>
        <w:t>-</w:t>
      </w:r>
      <w:r w:rsidRPr="0015220D">
        <w:rPr>
          <w:rFonts w:ascii="Times New Roman" w:hAnsi="Times New Roman" w:cs="Times New Roman"/>
          <w:bCs/>
          <w:spacing w:val="-3"/>
          <w:sz w:val="24"/>
          <w:szCs w:val="24"/>
        </w:rPr>
        <w:t xml:space="preserve">A would increase the number of allowable boarders, roomers, and lodgers in a private dwelling and short-term rentals in one- and two-family dwellings to 4, not including any children under the age of 18, provided that the permanent occupant has registered the property </w:t>
      </w:r>
      <w:r w:rsidR="0032765B">
        <w:rPr>
          <w:rFonts w:ascii="Times New Roman" w:hAnsi="Times New Roman" w:cs="Times New Roman"/>
          <w:bCs/>
          <w:spacing w:val="-3"/>
          <w:sz w:val="24"/>
          <w:szCs w:val="24"/>
        </w:rPr>
        <w:t xml:space="preserve">with the City </w:t>
      </w:r>
      <w:r w:rsidRPr="0015220D">
        <w:rPr>
          <w:rFonts w:ascii="Times New Roman" w:hAnsi="Times New Roman" w:cs="Times New Roman"/>
          <w:bCs/>
          <w:spacing w:val="-3"/>
          <w:sz w:val="24"/>
          <w:szCs w:val="24"/>
        </w:rPr>
        <w:t>for use as a short-term rental. The bill would also allow permanent occupants to host guests without being physically present at the property, and would address the common household requirement, commonly known as the “unlocked doors provision”, as it relates to short-term rentals in one- and two-family dwellings, by requiring the permanent occupant hosting a short-term rental to provide boarders, roomers, or lodgers reasonable access to the dwelling unit, which need not include the bedrooms, offices, or other similar private spaces of any permanent occupant of the dwelling.</w:t>
      </w:r>
    </w:p>
    <w:p w14:paraId="7CAE183E" w14:textId="6A874034" w:rsidR="00E3538A" w:rsidRPr="0015220D" w:rsidRDefault="00E3538A" w:rsidP="00E3538A">
      <w:pPr>
        <w:pStyle w:val="NoSpacing"/>
        <w:suppressLineNumbers/>
        <w:spacing w:line="480" w:lineRule="auto"/>
        <w:ind w:firstLine="720"/>
        <w:jc w:val="both"/>
        <w:rPr>
          <w:rFonts w:ascii="Times New Roman" w:hAnsi="Times New Roman" w:cs="Times New Roman"/>
          <w:bCs/>
          <w:spacing w:val="-3"/>
          <w:sz w:val="24"/>
          <w:szCs w:val="24"/>
        </w:rPr>
      </w:pPr>
      <w:r>
        <w:rPr>
          <w:rFonts w:ascii="Times New Roman" w:hAnsi="Times New Roman" w:cs="Times New Roman"/>
          <w:bCs/>
          <w:spacing w:val="-3"/>
          <w:sz w:val="24"/>
          <w:szCs w:val="24"/>
        </w:rPr>
        <w:t>This bill would take effect 1 year after becoming law.</w:t>
      </w:r>
    </w:p>
    <w:p w14:paraId="77B89628" w14:textId="68D11383" w:rsidR="00194E56" w:rsidRDefault="00194E56" w:rsidP="00194E56">
      <w:pPr>
        <w:pStyle w:val="NoSpacing"/>
        <w:suppressLineNumbers/>
        <w:spacing w:before="120" w:line="480" w:lineRule="auto"/>
        <w:jc w:val="center"/>
        <w:rPr>
          <w:rFonts w:ascii="Times New Roman" w:hAnsi="Times New Roman" w:cs="Times New Roman"/>
          <w:b/>
          <w:spacing w:val="-3"/>
          <w:sz w:val="24"/>
          <w:szCs w:val="24"/>
        </w:rPr>
      </w:pPr>
      <w:r>
        <w:rPr>
          <w:rFonts w:ascii="Times New Roman" w:hAnsi="Times New Roman" w:cs="Times New Roman"/>
          <w:b/>
          <w:spacing w:val="-3"/>
          <w:sz w:val="24"/>
          <w:szCs w:val="24"/>
        </w:rPr>
        <w:t>Proposed Int. No. 1107-A</w:t>
      </w:r>
    </w:p>
    <w:p w14:paraId="325CEED6" w14:textId="02F421BB" w:rsidR="00194E56" w:rsidRDefault="00194E56" w:rsidP="00DD71E5">
      <w:pPr>
        <w:pStyle w:val="NoSpacing"/>
        <w:suppressLineNumbers/>
        <w:spacing w:before="120" w:line="480" w:lineRule="auto"/>
        <w:ind w:firstLine="720"/>
        <w:jc w:val="both"/>
        <w:rPr>
          <w:rFonts w:ascii="Times New Roman" w:hAnsi="Times New Roman" w:cs="Times New Roman"/>
          <w:bCs/>
          <w:spacing w:val="-3"/>
          <w:sz w:val="24"/>
          <w:szCs w:val="24"/>
        </w:rPr>
      </w:pPr>
      <w:r w:rsidRPr="00DD71E5">
        <w:rPr>
          <w:rFonts w:ascii="Times New Roman" w:hAnsi="Times New Roman" w:cs="Times New Roman"/>
          <w:bCs/>
          <w:spacing w:val="-3"/>
          <w:sz w:val="24"/>
          <w:szCs w:val="24"/>
        </w:rPr>
        <w:t>This bill would address the common household requirement, commonly known as the “unlocked doors provision”, as it relates to short-term rentals in one- and two-family dwellings, by requiring the permanent occupant of a one- or two-family dwelling hosting a short-term rental to provide boarders, roomers, or lodgers reasonable access to the dwelling units, which need not include the bedrooms, offices, or other similar private spaces of any permanent occupant of the dwelling.</w:t>
      </w:r>
    </w:p>
    <w:p w14:paraId="4044545B" w14:textId="3EBE5103" w:rsidR="00194E56" w:rsidRPr="00DD71E5" w:rsidRDefault="00194E56" w:rsidP="00DD71E5">
      <w:pPr>
        <w:pStyle w:val="NoSpacing"/>
        <w:suppressLineNumbers/>
        <w:spacing w:before="120" w:line="480" w:lineRule="auto"/>
        <w:ind w:firstLine="720"/>
        <w:jc w:val="both"/>
        <w:rPr>
          <w:rFonts w:ascii="Times New Roman" w:hAnsi="Times New Roman" w:cs="Times New Roman"/>
          <w:bCs/>
          <w:spacing w:val="-3"/>
          <w:sz w:val="24"/>
          <w:szCs w:val="24"/>
        </w:rPr>
      </w:pPr>
      <w:r>
        <w:rPr>
          <w:rFonts w:ascii="Times New Roman" w:hAnsi="Times New Roman" w:cs="Times New Roman"/>
          <w:bCs/>
          <w:spacing w:val="-3"/>
          <w:sz w:val="24"/>
          <w:szCs w:val="24"/>
        </w:rPr>
        <w:t>This bill would take effect 1 year after becoming law.</w:t>
      </w:r>
    </w:p>
    <w:p w14:paraId="6BB736D8" w14:textId="143CC9E0" w:rsidR="00715C53" w:rsidRDefault="00715C53" w:rsidP="003D75D3">
      <w:pPr>
        <w:pStyle w:val="NoSpacing"/>
        <w:suppressLineNumbers/>
        <w:spacing w:before="120" w:line="480" w:lineRule="auto"/>
        <w:jc w:val="center"/>
        <w:rPr>
          <w:rFonts w:ascii="Times New Roman" w:hAnsi="Times New Roman" w:cs="Times New Roman"/>
          <w:b/>
          <w:spacing w:val="-3"/>
          <w:sz w:val="24"/>
          <w:szCs w:val="24"/>
        </w:rPr>
      </w:pPr>
      <w:r>
        <w:rPr>
          <w:rFonts w:ascii="Times New Roman" w:hAnsi="Times New Roman" w:cs="Times New Roman"/>
          <w:b/>
          <w:spacing w:val="-3"/>
          <w:sz w:val="24"/>
          <w:szCs w:val="24"/>
        </w:rPr>
        <w:t>Int. No. 1217</w:t>
      </w:r>
    </w:p>
    <w:p w14:paraId="083E8C02" w14:textId="12F462D1" w:rsidR="0015220D" w:rsidRDefault="0015220D" w:rsidP="0015220D">
      <w:pPr>
        <w:pStyle w:val="NoSpacing"/>
        <w:suppressLineNumbers/>
        <w:spacing w:before="120" w:line="480" w:lineRule="auto"/>
        <w:jc w:val="both"/>
        <w:rPr>
          <w:rFonts w:ascii="Times New Roman" w:hAnsi="Times New Roman" w:cs="Times New Roman"/>
          <w:bCs/>
          <w:spacing w:val="-3"/>
          <w:sz w:val="24"/>
          <w:szCs w:val="24"/>
        </w:rPr>
      </w:pPr>
      <w:r>
        <w:rPr>
          <w:rFonts w:ascii="Times New Roman" w:hAnsi="Times New Roman" w:cs="Times New Roman"/>
          <w:b/>
          <w:spacing w:val="-3"/>
          <w:sz w:val="24"/>
          <w:szCs w:val="24"/>
        </w:rPr>
        <w:tab/>
      </w:r>
      <w:r w:rsidRPr="0015220D">
        <w:rPr>
          <w:rFonts w:ascii="Times New Roman" w:hAnsi="Times New Roman" w:cs="Times New Roman"/>
          <w:bCs/>
          <w:spacing w:val="-3"/>
          <w:sz w:val="24"/>
          <w:szCs w:val="24"/>
        </w:rPr>
        <w:t>Int. No. 1217 would require DOHMH to perform a building inspection in response to any 311 complaints relating to rats, mice, pests, or conditions which might attract them within 10 days of such complaint being made. The bill would also require that a record of such inspections include a description of the building’s state and a listing of the inspector’s observations; such records would be made publicly available online.</w:t>
      </w:r>
    </w:p>
    <w:p w14:paraId="7F631B59" w14:textId="0E9CE045" w:rsidR="00194E56" w:rsidRPr="0015220D" w:rsidRDefault="00194E56" w:rsidP="0015220D">
      <w:pPr>
        <w:pStyle w:val="NoSpacing"/>
        <w:suppressLineNumbers/>
        <w:spacing w:before="120" w:line="480" w:lineRule="auto"/>
        <w:jc w:val="both"/>
        <w:rPr>
          <w:rFonts w:ascii="Times New Roman" w:hAnsi="Times New Roman" w:cs="Times New Roman"/>
          <w:bCs/>
          <w:spacing w:val="-3"/>
          <w:sz w:val="24"/>
          <w:szCs w:val="24"/>
        </w:rPr>
      </w:pPr>
      <w:r>
        <w:rPr>
          <w:rFonts w:ascii="Times New Roman" w:hAnsi="Times New Roman" w:cs="Times New Roman"/>
          <w:bCs/>
          <w:spacing w:val="-3"/>
          <w:sz w:val="24"/>
          <w:szCs w:val="24"/>
        </w:rPr>
        <w:tab/>
        <w:t>This bill would take effect immediately.</w:t>
      </w:r>
    </w:p>
    <w:p w14:paraId="159A62D7" w14:textId="5ECE7E89" w:rsidR="00B0734D" w:rsidRDefault="00B641E6" w:rsidP="00B0734D">
      <w:pPr>
        <w:pStyle w:val="NoSpacing"/>
        <w:suppressLineNumbers/>
        <w:spacing w:before="120"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Int. No. </w:t>
      </w:r>
      <w:r w:rsidR="0061550C">
        <w:rPr>
          <w:rFonts w:ascii="Times New Roman" w:hAnsi="Times New Roman" w:cs="Times New Roman"/>
          <w:b/>
          <w:sz w:val="24"/>
          <w:szCs w:val="24"/>
        </w:rPr>
        <w:t>13</w:t>
      </w:r>
      <w:r w:rsidR="00715C53">
        <w:rPr>
          <w:rFonts w:ascii="Times New Roman" w:hAnsi="Times New Roman" w:cs="Times New Roman"/>
          <w:b/>
          <w:sz w:val="24"/>
          <w:szCs w:val="24"/>
        </w:rPr>
        <w:t>21</w:t>
      </w:r>
    </w:p>
    <w:p w14:paraId="2125AA59" w14:textId="6C23CD4E" w:rsidR="00B0734D" w:rsidRPr="00B0734D" w:rsidRDefault="00B0734D" w:rsidP="00B0734D">
      <w:pPr>
        <w:pStyle w:val="NoSpacing"/>
        <w:suppressLineNumbers/>
        <w:spacing w:before="120" w:line="480" w:lineRule="auto"/>
        <w:ind w:firstLine="720"/>
        <w:jc w:val="both"/>
        <w:rPr>
          <w:rFonts w:ascii="Times New Roman" w:hAnsi="Times New Roman" w:cs="Times New Roman"/>
          <w:bCs/>
          <w:sz w:val="24"/>
          <w:szCs w:val="24"/>
        </w:rPr>
      </w:pPr>
      <w:r w:rsidRPr="00B0734D">
        <w:rPr>
          <w:rFonts w:ascii="Times New Roman" w:hAnsi="Times New Roman" w:cs="Times New Roman"/>
          <w:bCs/>
          <w:sz w:val="24"/>
          <w:szCs w:val="24"/>
        </w:rPr>
        <w:t xml:space="preserve">Int. No. 1321 would create the EBC, modeled on the 2021 </w:t>
      </w:r>
      <w:r w:rsidR="00BD3918">
        <w:rPr>
          <w:rFonts w:ascii="Times New Roman" w:hAnsi="Times New Roman" w:cs="Times New Roman"/>
          <w:bCs/>
          <w:sz w:val="24"/>
          <w:szCs w:val="24"/>
        </w:rPr>
        <w:t>IEBC</w:t>
      </w:r>
      <w:r w:rsidRPr="00B0734D">
        <w:rPr>
          <w:rFonts w:ascii="Times New Roman" w:hAnsi="Times New Roman" w:cs="Times New Roman"/>
          <w:bCs/>
          <w:sz w:val="24"/>
          <w:szCs w:val="24"/>
        </w:rPr>
        <w:t xml:space="preserve">, which would improve and simplify requirements for the alteration and maintenance of the City’s existing building stock. This bill would create a work area requirement to measure an alteration’s size and applicable code requirements. This bill would create a Limited Home Improvement Permit for 1- and 2-family dwellings, to be filed by a homeowner or a licensed home improvement contractor, to provide a path for homeowners to obtain work permits for specific types of home improvement alterations. Additionally, this bill would create a standardized method to verify the stability of buildings being altered and require a more thorough assessment when the proposed alterations increase the level of structural demand in the building. Finally, this bill would repeal the 1968 Building Code, as codified in Chapter 1 of Title 27 of the Administrative Code.             </w:t>
      </w:r>
    </w:p>
    <w:p w14:paraId="53EA8E24" w14:textId="519CC9BD" w:rsidR="00B0734D" w:rsidRPr="00B0734D" w:rsidRDefault="00B0734D" w:rsidP="00DD71E5">
      <w:pPr>
        <w:pStyle w:val="NoSpacing"/>
        <w:spacing w:line="480" w:lineRule="auto"/>
        <w:ind w:firstLine="720"/>
        <w:jc w:val="both"/>
        <w:rPr>
          <w:rFonts w:ascii="Times New Roman" w:hAnsi="Times New Roman" w:cs="Times New Roman"/>
          <w:bCs/>
          <w:sz w:val="24"/>
          <w:szCs w:val="24"/>
        </w:rPr>
      </w:pPr>
      <w:r w:rsidRPr="00B0734D">
        <w:rPr>
          <w:rFonts w:ascii="Times New Roman" w:hAnsi="Times New Roman" w:cs="Times New Roman"/>
          <w:bCs/>
          <w:sz w:val="24"/>
          <w:szCs w:val="24"/>
        </w:rPr>
        <w:t>This local law would take effect on the same day as a local law amending the administrative code of the city of New York and the New York city construction codes, in relation to conforming provisions of such codes with provisions of the New York city existing building code, as added by section two of the local law that added this section, takes effect.</w:t>
      </w:r>
    </w:p>
    <w:p w14:paraId="667A94D0" w14:textId="555248B3" w:rsidR="00DF6618" w:rsidRDefault="00DF6618" w:rsidP="003D75D3">
      <w:pPr>
        <w:suppressLineNumbers/>
        <w:spacing w:before="120" w:line="480" w:lineRule="auto"/>
        <w:jc w:val="center"/>
        <w:rPr>
          <w:b/>
          <w:szCs w:val="24"/>
        </w:rPr>
      </w:pPr>
      <w:r w:rsidRPr="005A3A11">
        <w:rPr>
          <w:b/>
          <w:szCs w:val="24"/>
        </w:rPr>
        <w:t xml:space="preserve">Int. No. </w:t>
      </w:r>
      <w:r w:rsidR="00715C53">
        <w:rPr>
          <w:b/>
          <w:szCs w:val="24"/>
        </w:rPr>
        <w:t>1422</w:t>
      </w:r>
    </w:p>
    <w:p w14:paraId="681357F4" w14:textId="34880C04" w:rsidR="00EF4C22" w:rsidRDefault="00406AF5" w:rsidP="00406AF5">
      <w:pPr>
        <w:suppressLineNumbers/>
        <w:spacing w:before="120" w:line="480" w:lineRule="auto"/>
        <w:rPr>
          <w:bCs/>
          <w:szCs w:val="24"/>
        </w:rPr>
      </w:pPr>
      <w:r>
        <w:rPr>
          <w:bCs/>
          <w:szCs w:val="24"/>
        </w:rPr>
        <w:tab/>
        <w:t xml:space="preserve">Int. No. 1422 would make conforming changes to the New York City Fuel Gas Code, Building Code, Mechanical Code, and Electrical Code to coincide with the </w:t>
      </w:r>
      <w:r w:rsidR="003A50FB">
        <w:rPr>
          <w:bCs/>
          <w:szCs w:val="24"/>
        </w:rPr>
        <w:t>EBC</w:t>
      </w:r>
      <w:r>
        <w:rPr>
          <w:bCs/>
          <w:szCs w:val="24"/>
        </w:rPr>
        <w:t xml:space="preserve">. </w:t>
      </w:r>
    </w:p>
    <w:p w14:paraId="3E338F5B" w14:textId="08F98942" w:rsidR="00406AF5" w:rsidRPr="00406AF5" w:rsidRDefault="00406AF5" w:rsidP="00DD71E5">
      <w:pPr>
        <w:suppressLineNumbers/>
        <w:spacing w:before="120" w:line="480" w:lineRule="auto"/>
        <w:ind w:firstLine="720"/>
        <w:rPr>
          <w:bCs/>
          <w:szCs w:val="24"/>
        </w:rPr>
      </w:pPr>
      <w:r w:rsidRPr="00406AF5">
        <w:rPr>
          <w:bCs/>
          <w:szCs w:val="24"/>
        </w:rPr>
        <w:t xml:space="preserve">Except as provided in subdivision two or subdivision three of this section, this local law </w:t>
      </w:r>
      <w:r>
        <w:rPr>
          <w:bCs/>
          <w:szCs w:val="24"/>
        </w:rPr>
        <w:t xml:space="preserve">would </w:t>
      </w:r>
      <w:r w:rsidRPr="00406AF5">
        <w:rPr>
          <w:bCs/>
          <w:szCs w:val="24"/>
        </w:rPr>
        <w:t>take effect two years after it becomes law and shall apply to work relating to construction documents filed on and after such date.</w:t>
      </w:r>
      <w:r>
        <w:rPr>
          <w:bCs/>
          <w:szCs w:val="24"/>
        </w:rPr>
        <w:t xml:space="preserve"> </w:t>
      </w:r>
      <w:r w:rsidRPr="00406AF5">
        <w:rPr>
          <w:bCs/>
          <w:szCs w:val="24"/>
        </w:rPr>
        <w:t xml:space="preserve">Section 152 of this local law </w:t>
      </w:r>
      <w:r>
        <w:rPr>
          <w:bCs/>
          <w:szCs w:val="24"/>
        </w:rPr>
        <w:t xml:space="preserve">would </w:t>
      </w:r>
      <w:r w:rsidRPr="00406AF5">
        <w:rPr>
          <w:bCs/>
          <w:szCs w:val="24"/>
        </w:rPr>
        <w:t xml:space="preserve">take effect </w:t>
      </w:r>
      <w:r>
        <w:rPr>
          <w:bCs/>
          <w:szCs w:val="24"/>
        </w:rPr>
        <w:t>6</w:t>
      </w:r>
      <w:r w:rsidRPr="00406AF5">
        <w:rPr>
          <w:bCs/>
          <w:szCs w:val="24"/>
        </w:rPr>
        <w:t xml:space="preserve"> months after it becomes law.</w:t>
      </w:r>
      <w:r>
        <w:rPr>
          <w:bCs/>
          <w:szCs w:val="24"/>
        </w:rPr>
        <w:t xml:space="preserve"> </w:t>
      </w:r>
      <w:r w:rsidRPr="00406AF5">
        <w:rPr>
          <w:bCs/>
          <w:szCs w:val="24"/>
        </w:rPr>
        <w:t xml:space="preserve">Section 28-116.2.6.4, as added by section 22 of this local law, and sections 150 and 151 of this local law </w:t>
      </w:r>
      <w:r>
        <w:rPr>
          <w:bCs/>
          <w:szCs w:val="24"/>
        </w:rPr>
        <w:t xml:space="preserve">would </w:t>
      </w:r>
      <w:r w:rsidRPr="00406AF5">
        <w:rPr>
          <w:bCs/>
          <w:szCs w:val="24"/>
        </w:rPr>
        <w:t>take effect immediately.</w:t>
      </w:r>
    </w:p>
    <w:p w14:paraId="526C52C6" w14:textId="6241D7D5" w:rsidR="00715C53" w:rsidRDefault="00715C53" w:rsidP="003D75D3">
      <w:pPr>
        <w:suppressLineNumbers/>
        <w:spacing w:before="120" w:line="480" w:lineRule="auto"/>
        <w:jc w:val="center"/>
        <w:rPr>
          <w:b/>
          <w:szCs w:val="24"/>
        </w:rPr>
      </w:pPr>
      <w:r w:rsidRPr="00DD71E5">
        <w:rPr>
          <w:b/>
          <w:szCs w:val="24"/>
        </w:rPr>
        <w:t>Int. No.</w:t>
      </w:r>
      <w:r w:rsidR="00850754" w:rsidRPr="00DD71E5">
        <w:rPr>
          <w:b/>
          <w:szCs w:val="24"/>
        </w:rPr>
        <w:t xml:space="preserve"> 1465</w:t>
      </w:r>
    </w:p>
    <w:p w14:paraId="60CB50CB" w14:textId="4CDAD54C" w:rsidR="00B0734D" w:rsidRDefault="006D309C" w:rsidP="00B0734D">
      <w:pPr>
        <w:suppressLineNumbers/>
        <w:spacing w:before="120" w:line="480" w:lineRule="auto"/>
        <w:ind w:firstLine="720"/>
        <w:rPr>
          <w:bCs/>
          <w:szCs w:val="24"/>
        </w:rPr>
      </w:pPr>
      <w:r w:rsidRPr="00DD71E5">
        <w:rPr>
          <w:bCs/>
          <w:szCs w:val="24"/>
        </w:rPr>
        <w:t xml:space="preserve">Int. No. </w:t>
      </w:r>
      <w:r w:rsidR="00E47E74">
        <w:rPr>
          <w:bCs/>
          <w:szCs w:val="24"/>
        </w:rPr>
        <w:t>1465</w:t>
      </w:r>
      <w:r w:rsidR="00B0734D" w:rsidRPr="00B0734D">
        <w:rPr>
          <w:bCs/>
          <w:szCs w:val="24"/>
        </w:rPr>
        <w:t xml:space="preserve"> would extend the current moratorium on fines related to violations of local laws and regulations governing signs on awnings and accessory signs, which are typically signs which promote a business and are attached to the building in which the business operates. This moratorium would only apply to violations that do not pose hazards to health or safety. This bill would also require </w:t>
      </w:r>
      <w:r w:rsidR="00742C7C">
        <w:rPr>
          <w:bCs/>
          <w:szCs w:val="24"/>
        </w:rPr>
        <w:t>DOB</w:t>
      </w:r>
      <w:r w:rsidR="00B0734D" w:rsidRPr="00B0734D">
        <w:rPr>
          <w:bCs/>
          <w:szCs w:val="24"/>
        </w:rPr>
        <w:t xml:space="preserve"> and the Department of Small Business Services to provide education and outreach concerning the laws and regulations governing such signs, so as to assist with compliance by small businesses, sign makers, and sign hangers.</w:t>
      </w:r>
    </w:p>
    <w:p w14:paraId="3845121C" w14:textId="7F07EFF9" w:rsidR="00B0734D" w:rsidRDefault="00B0734D" w:rsidP="00DD71E5">
      <w:pPr>
        <w:suppressLineNumbers/>
        <w:spacing w:line="480" w:lineRule="auto"/>
        <w:ind w:firstLine="720"/>
        <w:rPr>
          <w:bCs/>
          <w:szCs w:val="24"/>
        </w:rPr>
      </w:pPr>
      <w:r>
        <w:rPr>
          <w:bCs/>
          <w:szCs w:val="24"/>
        </w:rPr>
        <w:t>This local law would take effect immediately and be retroactive to and deemed to have been in effect as of January 1, 2025.</w:t>
      </w:r>
    </w:p>
    <w:p w14:paraId="62892139" w14:textId="267A0D86" w:rsidR="006D309C" w:rsidRDefault="00C4606C" w:rsidP="006D309C">
      <w:pPr>
        <w:suppressLineNumbers/>
        <w:spacing w:before="120" w:line="480" w:lineRule="auto"/>
        <w:ind w:firstLine="720"/>
        <w:jc w:val="center"/>
        <w:rPr>
          <w:b/>
          <w:szCs w:val="24"/>
        </w:rPr>
      </w:pPr>
      <w:r>
        <w:rPr>
          <w:b/>
          <w:szCs w:val="24"/>
        </w:rPr>
        <w:t xml:space="preserve">Preconsidered </w:t>
      </w:r>
      <w:r w:rsidR="007F1B62">
        <w:rPr>
          <w:b/>
          <w:szCs w:val="24"/>
        </w:rPr>
        <w:t xml:space="preserve">Proposed </w:t>
      </w:r>
      <w:r w:rsidR="006D309C" w:rsidRPr="006D309C">
        <w:rPr>
          <w:b/>
          <w:szCs w:val="24"/>
        </w:rPr>
        <w:t>Int. No.</w:t>
      </w:r>
      <w:r w:rsidR="007F1B62">
        <w:rPr>
          <w:b/>
          <w:szCs w:val="24"/>
        </w:rPr>
        <w:t xml:space="preserve"> __-A</w:t>
      </w:r>
      <w:r w:rsidR="006D309C" w:rsidRPr="006D309C">
        <w:rPr>
          <w:b/>
          <w:szCs w:val="24"/>
        </w:rPr>
        <w:t xml:space="preserve"> </w:t>
      </w:r>
    </w:p>
    <w:p w14:paraId="2E8268A0" w14:textId="58B002FC" w:rsidR="00005FAB" w:rsidRDefault="00C4606C" w:rsidP="00DD71E5">
      <w:pPr>
        <w:suppressLineNumbers/>
        <w:spacing w:line="480" w:lineRule="auto"/>
        <w:ind w:firstLine="720"/>
        <w:rPr>
          <w:bCs/>
          <w:szCs w:val="24"/>
        </w:rPr>
      </w:pPr>
      <w:r w:rsidRPr="00DD71E5">
        <w:rPr>
          <w:bCs/>
          <w:szCs w:val="24"/>
        </w:rPr>
        <w:t xml:space="preserve">Preconsidered </w:t>
      </w:r>
      <w:r w:rsidR="007F1B62">
        <w:rPr>
          <w:bCs/>
          <w:szCs w:val="24"/>
        </w:rPr>
        <w:t xml:space="preserve">Proposed </w:t>
      </w:r>
      <w:r w:rsidR="006D309C" w:rsidRPr="00DD71E5">
        <w:rPr>
          <w:bCs/>
          <w:szCs w:val="24"/>
        </w:rPr>
        <w:t>Int. No.</w:t>
      </w:r>
      <w:r w:rsidR="007F1B62">
        <w:rPr>
          <w:bCs/>
          <w:szCs w:val="24"/>
        </w:rPr>
        <w:t xml:space="preserve"> __-A</w:t>
      </w:r>
      <w:r w:rsidR="006D309C">
        <w:rPr>
          <w:bCs/>
          <w:szCs w:val="24"/>
        </w:rPr>
        <w:t xml:space="preserve"> would update the </w:t>
      </w:r>
      <w:r w:rsidR="00315C6E">
        <w:rPr>
          <w:bCs/>
          <w:szCs w:val="24"/>
        </w:rPr>
        <w:t>NYCECC</w:t>
      </w:r>
      <w:r w:rsidR="006D309C">
        <w:rPr>
          <w:bCs/>
          <w:szCs w:val="24"/>
        </w:rPr>
        <w:t xml:space="preserve"> </w:t>
      </w:r>
      <w:r w:rsidR="006D309C" w:rsidRPr="006D309C">
        <w:rPr>
          <w:bCs/>
          <w:szCs w:val="24"/>
        </w:rPr>
        <w:t>to bring it up to date with the 2025 Energy Conservation Code of New York State, which is based on the 2024 edition of the International Energy Conservation Code and ASHRAE Standard 90.1-2016</w:t>
      </w:r>
      <w:r w:rsidR="006D309C">
        <w:rPr>
          <w:bCs/>
          <w:szCs w:val="24"/>
        </w:rPr>
        <w:t xml:space="preserve">. </w:t>
      </w:r>
    </w:p>
    <w:p w14:paraId="1507AE0C" w14:textId="01E1DF2F" w:rsidR="006D309C" w:rsidRPr="006D309C" w:rsidRDefault="006D309C" w:rsidP="00DD71E5">
      <w:pPr>
        <w:suppressLineNumbers/>
        <w:spacing w:line="480" w:lineRule="auto"/>
        <w:ind w:firstLine="720"/>
        <w:rPr>
          <w:bCs/>
          <w:szCs w:val="24"/>
        </w:rPr>
      </w:pPr>
      <w:r w:rsidRPr="00DD71E5">
        <w:rPr>
          <w:bCs/>
          <w:szCs w:val="24"/>
        </w:rPr>
        <w:t xml:space="preserve">This local law would take effect </w:t>
      </w:r>
      <w:r w:rsidR="00E47E74" w:rsidRPr="00E47E74">
        <w:rPr>
          <w:bCs/>
          <w:szCs w:val="24"/>
        </w:rPr>
        <w:t xml:space="preserve">on the same date </w:t>
      </w:r>
      <w:r w:rsidR="00E47E74">
        <w:rPr>
          <w:bCs/>
          <w:szCs w:val="24"/>
        </w:rPr>
        <w:t>as the</w:t>
      </w:r>
      <w:r w:rsidR="00E47E74" w:rsidRPr="00E47E74">
        <w:rPr>
          <w:bCs/>
          <w:szCs w:val="24"/>
        </w:rPr>
        <w:t xml:space="preserve"> New York State Energy Conservation Construction Code, as adopted on October 1, 2025, by the State Fire Prevention and Building Code Council pursuant to Article 11 of the New York State Energy Law, takes effect, except that if this local law becomes law after such date, it is retroactive to and deemed to have been in effect as of the effective date of such  New Yore State Energy Conservation Construction Code.</w:t>
      </w:r>
    </w:p>
    <w:p w14:paraId="7D118A13" w14:textId="6E346A7E" w:rsidR="00333249" w:rsidRPr="00333249" w:rsidRDefault="00333249" w:rsidP="00333249">
      <w:pPr>
        <w:rPr>
          <w:sz w:val="18"/>
          <w:szCs w:val="18"/>
        </w:rPr>
      </w:pPr>
    </w:p>
    <w:p w14:paraId="14957014" w14:textId="1C383C42" w:rsidR="00EA6917" w:rsidRPr="00EA6917" w:rsidRDefault="001B7F77" w:rsidP="00EA6917">
      <w:pPr>
        <w:spacing w:after="160" w:line="259" w:lineRule="auto"/>
        <w:jc w:val="left"/>
        <w:rPr>
          <w:sz w:val="18"/>
          <w:szCs w:val="18"/>
        </w:rPr>
      </w:pPr>
      <w:r>
        <w:rPr>
          <w:sz w:val="18"/>
          <w:szCs w:val="18"/>
        </w:rPr>
        <w:br w:type="page"/>
      </w:r>
    </w:p>
    <w:p w14:paraId="47F9D1D0" w14:textId="49FA7B31" w:rsidR="00EA6917" w:rsidRPr="00EA6917" w:rsidRDefault="00EA6917" w:rsidP="00EA6917">
      <w:pPr>
        <w:jc w:val="center"/>
        <w:rPr>
          <w:szCs w:val="24"/>
        </w:rPr>
      </w:pPr>
      <w:r w:rsidRPr="00EA6917">
        <w:rPr>
          <w:szCs w:val="24"/>
        </w:rPr>
        <w:t>Proposed Int. No. 948-A</w:t>
      </w:r>
    </w:p>
    <w:p w14:paraId="55F2F3C0" w14:textId="77777777" w:rsidR="00EA6917" w:rsidRPr="00EA6917" w:rsidRDefault="00EA6917" w:rsidP="00EA6917">
      <w:pPr>
        <w:jc w:val="left"/>
        <w:rPr>
          <w:szCs w:val="24"/>
        </w:rPr>
      </w:pPr>
    </w:p>
    <w:p w14:paraId="647DE8C3" w14:textId="77777777" w:rsidR="00EA6917" w:rsidRPr="00EA6917" w:rsidRDefault="00EA6917" w:rsidP="00DD71E5">
      <w:pPr>
        <w:autoSpaceDE w:val="0"/>
        <w:autoSpaceDN w:val="0"/>
        <w:adjustRightInd w:val="0"/>
        <w:rPr>
          <w:rFonts w:eastAsia="Calibri"/>
          <w:szCs w:val="24"/>
        </w:rPr>
      </w:pPr>
      <w:r w:rsidRPr="00EA6917">
        <w:rPr>
          <w:rFonts w:eastAsia="Calibri"/>
          <w:szCs w:val="24"/>
        </w:rPr>
        <w:t>By Council Members Narcisse, Louis, Banks, Riley, Feliz, Stevens, Brooks-Powers and Salamanca</w:t>
      </w:r>
    </w:p>
    <w:p w14:paraId="4D575CC7" w14:textId="77777777" w:rsidR="00EA6917" w:rsidRPr="00EA6917" w:rsidRDefault="00EA6917" w:rsidP="00EA6917">
      <w:pPr>
        <w:jc w:val="center"/>
        <w:rPr>
          <w:rFonts w:eastAsia="Calibri"/>
          <w:szCs w:val="24"/>
        </w:rPr>
      </w:pPr>
    </w:p>
    <w:p w14:paraId="2B8F1343" w14:textId="77777777" w:rsidR="00EA6917" w:rsidRPr="00EA6917" w:rsidRDefault="00EA6917" w:rsidP="00EA6917">
      <w:pPr>
        <w:rPr>
          <w:rFonts w:eastAsia="Calibri"/>
          <w:vanish/>
          <w:szCs w:val="24"/>
        </w:rPr>
      </w:pPr>
      <w:r w:rsidRPr="00EA6917">
        <w:rPr>
          <w:rFonts w:eastAsia="Calibri"/>
          <w:vanish/>
          <w:szCs w:val="24"/>
        </w:rPr>
        <w:t>..Title</w:t>
      </w:r>
    </w:p>
    <w:p w14:paraId="2AE2CA6E" w14:textId="77777777" w:rsidR="00EA6917" w:rsidRPr="00EA6917" w:rsidRDefault="00EA6917" w:rsidP="00EA6917">
      <w:pPr>
        <w:rPr>
          <w:rFonts w:eastAsia="Calibri"/>
          <w:szCs w:val="24"/>
        </w:rPr>
      </w:pPr>
      <w:r w:rsidRPr="00EA6917">
        <w:rPr>
          <w:rFonts w:eastAsia="Calibri"/>
          <w:szCs w:val="24"/>
        </w:rPr>
        <w:t>A Local Law to amend the New York city building code and the administrative code of the city of New York, in relation to boarders, roomers, or lodgers in a private dwelling and short-term rentals in one- and two-family dwellings</w:t>
      </w:r>
    </w:p>
    <w:p w14:paraId="597CB6AD" w14:textId="77777777" w:rsidR="00EA6917" w:rsidRPr="00EA6917" w:rsidRDefault="00EA6917" w:rsidP="00EA6917">
      <w:pPr>
        <w:rPr>
          <w:vanish/>
          <w:szCs w:val="24"/>
        </w:rPr>
      </w:pPr>
      <w:r w:rsidRPr="00EA6917">
        <w:rPr>
          <w:vanish/>
          <w:szCs w:val="24"/>
        </w:rPr>
        <w:t>..Body</w:t>
      </w:r>
    </w:p>
    <w:p w14:paraId="2078E716" w14:textId="77777777" w:rsidR="00EA6917" w:rsidRPr="00EA6917" w:rsidRDefault="00EA6917" w:rsidP="00EA6917">
      <w:pPr>
        <w:rPr>
          <w:vanish/>
          <w:szCs w:val="24"/>
        </w:rPr>
      </w:pPr>
    </w:p>
    <w:p w14:paraId="59460178" w14:textId="77777777" w:rsidR="00EA6917" w:rsidRPr="00EA6917" w:rsidRDefault="00EA6917" w:rsidP="00EA6917">
      <w:pPr>
        <w:rPr>
          <w:szCs w:val="24"/>
          <w:u w:val="single"/>
        </w:rPr>
      </w:pPr>
    </w:p>
    <w:p w14:paraId="6DB3478F" w14:textId="77777777" w:rsidR="00EA6917" w:rsidRPr="00EA6917" w:rsidRDefault="00EA6917" w:rsidP="00EA6917">
      <w:pPr>
        <w:rPr>
          <w:szCs w:val="24"/>
          <w:u w:val="single"/>
        </w:rPr>
      </w:pPr>
      <w:r w:rsidRPr="00EA6917">
        <w:rPr>
          <w:szCs w:val="24"/>
          <w:u w:val="single"/>
        </w:rPr>
        <w:t>Be it enacted by the Council as follows:</w:t>
      </w:r>
    </w:p>
    <w:p w14:paraId="11CD3988" w14:textId="77777777" w:rsidR="00EA6917" w:rsidRPr="00EA6917" w:rsidRDefault="00EA6917" w:rsidP="00EA6917">
      <w:pPr>
        <w:rPr>
          <w:szCs w:val="24"/>
          <w:u w:val="single"/>
        </w:rPr>
      </w:pPr>
    </w:p>
    <w:p w14:paraId="0924BE32" w14:textId="77777777" w:rsidR="00EA6917" w:rsidRPr="00EA6917" w:rsidRDefault="00EA6917" w:rsidP="00EA6917">
      <w:pPr>
        <w:rPr>
          <w:szCs w:val="24"/>
        </w:rPr>
        <w:sectPr w:rsidR="00EA6917" w:rsidRPr="00EA6917" w:rsidSect="00EA6917">
          <w:footerReference w:type="default" r:id="rId12"/>
          <w:footerReference w:type="first" r:id="rId13"/>
          <w:type w:val="continuous"/>
          <w:pgSz w:w="12240" w:h="15840"/>
          <w:pgMar w:top="1440" w:right="1440" w:bottom="1440" w:left="1440" w:header="720" w:footer="720" w:gutter="0"/>
          <w:cols w:space="720"/>
          <w:docGrid w:linePitch="360"/>
        </w:sectPr>
      </w:pPr>
    </w:p>
    <w:p w14:paraId="61A148F2" w14:textId="77777777" w:rsidR="00EA6917" w:rsidRPr="00EA6917" w:rsidRDefault="00EA6917" w:rsidP="00EA6917">
      <w:pPr>
        <w:ind w:firstLine="720"/>
        <w:rPr>
          <w:szCs w:val="24"/>
        </w:rPr>
      </w:pPr>
      <w:r w:rsidRPr="00EA6917">
        <w:rPr>
          <w:szCs w:val="24"/>
        </w:rPr>
        <w:t>Section 1. Section 202 of the New York city building code is amended by adding a new definition of “ADULT” in alphabetical order to read as follows:</w:t>
      </w:r>
    </w:p>
    <w:p w14:paraId="03786261" w14:textId="77777777" w:rsidR="00EA6917" w:rsidRPr="00EA6917" w:rsidRDefault="00EA6917" w:rsidP="00EA6917">
      <w:pPr>
        <w:ind w:firstLine="720"/>
        <w:rPr>
          <w:szCs w:val="24"/>
        </w:rPr>
      </w:pPr>
    </w:p>
    <w:p w14:paraId="3C62DD62" w14:textId="77777777" w:rsidR="00EA6917" w:rsidRPr="00EA6917" w:rsidRDefault="00EA6917" w:rsidP="00EA6917">
      <w:pPr>
        <w:rPr>
          <w:szCs w:val="24"/>
          <w:u w:val="single"/>
        </w:rPr>
      </w:pPr>
      <w:r w:rsidRPr="00EA6917">
        <w:rPr>
          <w:b/>
          <w:szCs w:val="24"/>
          <w:u w:val="single"/>
        </w:rPr>
        <w:t>ADULT.</w:t>
      </w:r>
      <w:r w:rsidRPr="00EA6917">
        <w:rPr>
          <w:szCs w:val="24"/>
          <w:u w:val="single"/>
        </w:rPr>
        <w:t xml:space="preserve"> For the purposes of chapter 3 of this code, an adult is an individual 18 years of age or older. Children shall not be considered as occupants. </w:t>
      </w:r>
    </w:p>
    <w:p w14:paraId="37D3D0A5" w14:textId="77777777" w:rsidR="00EA6917" w:rsidRPr="00EA6917" w:rsidRDefault="00EA6917" w:rsidP="00EA6917">
      <w:pPr>
        <w:ind w:firstLine="720"/>
        <w:rPr>
          <w:szCs w:val="24"/>
          <w:u w:val="single"/>
        </w:rPr>
      </w:pPr>
    </w:p>
    <w:p w14:paraId="53F80DD3" w14:textId="77777777" w:rsidR="00EA6917" w:rsidRPr="00EA6917" w:rsidRDefault="00EA6917" w:rsidP="00EA6917">
      <w:pPr>
        <w:ind w:firstLine="720"/>
        <w:rPr>
          <w:szCs w:val="24"/>
        </w:rPr>
      </w:pPr>
      <w:r w:rsidRPr="00EA6917">
        <w:rPr>
          <w:szCs w:val="24"/>
        </w:rPr>
        <w:t>§ 2. The definition of “</w:t>
      </w:r>
      <w:r w:rsidRPr="00EA6917">
        <w:rPr>
          <w:caps/>
          <w:szCs w:val="24"/>
        </w:rPr>
        <w:t>dwelling, one-family</w:t>
      </w:r>
      <w:r w:rsidRPr="00EA6917">
        <w:rPr>
          <w:szCs w:val="24"/>
        </w:rPr>
        <w:t>” set forth in section 202 of the New York city building code, as amended by local law number 77 for the year 2023, is amended to read as follows:</w:t>
      </w:r>
    </w:p>
    <w:p w14:paraId="6E374738" w14:textId="77777777" w:rsidR="00EA6917" w:rsidRPr="00EA6917" w:rsidRDefault="00EA6917" w:rsidP="00EA6917">
      <w:pPr>
        <w:ind w:firstLine="720"/>
        <w:rPr>
          <w:szCs w:val="24"/>
        </w:rPr>
      </w:pPr>
    </w:p>
    <w:p w14:paraId="59B41AF1" w14:textId="77777777" w:rsidR="00EA6917" w:rsidRPr="00EA6917" w:rsidRDefault="00EA6917" w:rsidP="00EA6917">
      <w:pPr>
        <w:rPr>
          <w:szCs w:val="24"/>
          <w:u w:val="single"/>
        </w:rPr>
      </w:pPr>
      <w:r w:rsidRPr="00EA6917">
        <w:rPr>
          <w:b/>
          <w:szCs w:val="24"/>
        </w:rPr>
        <w:t>DWELLING, ONE-FAMILY.</w:t>
      </w:r>
      <w:r w:rsidRPr="00EA6917">
        <w:rPr>
          <w:szCs w:val="24"/>
        </w:rPr>
        <w:t xml:space="preserve"> Any building or structure designed and occupied [exclusively] </w:t>
      </w:r>
      <w:r w:rsidRPr="00EA6917">
        <w:rPr>
          <w:szCs w:val="24"/>
          <w:u w:val="single"/>
        </w:rPr>
        <w:t>primarily</w:t>
      </w:r>
      <w:r w:rsidRPr="00EA6917">
        <w:rPr>
          <w:szCs w:val="24"/>
        </w:rPr>
        <w:t xml:space="preserve"> for residence purposes on a long-term basis for more than a month at a time by not more than [one] </w:t>
      </w:r>
      <w:r w:rsidRPr="00EA6917">
        <w:rPr>
          <w:szCs w:val="24"/>
          <w:u w:val="single"/>
        </w:rPr>
        <w:t>1</w:t>
      </w:r>
      <w:r w:rsidRPr="00EA6917">
        <w:rPr>
          <w:szCs w:val="24"/>
        </w:rPr>
        <w:t xml:space="preserve"> family. One-family dwelling shall also be deemed to include a dwelling located in a series of one-family dwellings each of which faces or is accessible to a legal street or public thoroughfare, provided that each such dwelling unit is equipped as a separate dwelling unit with all essential services, and also provided that each such unit is arranged so that it may be approved as a legal one-family dwelling. </w:t>
      </w:r>
      <w:r w:rsidRPr="00EA6917">
        <w:rPr>
          <w:szCs w:val="24"/>
          <w:u w:val="single"/>
        </w:rPr>
        <w:t xml:space="preserve">The permanent occupant or occupants of a one-family dwelling unit who receives a registration pursuant to Section 26-3102 of the </w:t>
      </w:r>
      <w:r w:rsidRPr="00EA6917">
        <w:rPr>
          <w:i/>
          <w:szCs w:val="24"/>
          <w:u w:val="single"/>
        </w:rPr>
        <w:t>Administrative Code</w:t>
      </w:r>
      <w:r w:rsidRPr="00EA6917">
        <w:rPr>
          <w:szCs w:val="24"/>
          <w:u w:val="single"/>
        </w:rPr>
        <w:t xml:space="preserve"> may offer a short-term rental to up to 4 overnight boarders, roomers, or lodgers and their children. The permanent occupant or occupants need not be physically present in the dwelling unit during the period of the short-term rental. The permanent occupant or occupants shall provide reasonable access to the dwelling unit to the boarders, roomers, or lodgers and their children, but shall not be required to provide access to the bedrooms, offices, or other similar private spaces of any permanent occupant in the dwelling unit.</w:t>
      </w:r>
    </w:p>
    <w:p w14:paraId="6D7A6318" w14:textId="77777777" w:rsidR="00EA6917" w:rsidRPr="00EA6917" w:rsidRDefault="00EA6917" w:rsidP="00EA6917">
      <w:pPr>
        <w:rPr>
          <w:szCs w:val="24"/>
          <w:u w:val="single"/>
        </w:rPr>
      </w:pPr>
    </w:p>
    <w:p w14:paraId="0B387DDE" w14:textId="77777777" w:rsidR="00EA6917" w:rsidRPr="00EA6917" w:rsidRDefault="00EA6917" w:rsidP="00EA6917">
      <w:pPr>
        <w:rPr>
          <w:szCs w:val="24"/>
        </w:rPr>
      </w:pPr>
      <w:r w:rsidRPr="00EA6917">
        <w:rPr>
          <w:szCs w:val="24"/>
        </w:rPr>
        <w:tab/>
      </w:r>
      <w:bookmarkStart w:id="7" w:name="_Hlk211866642"/>
      <w:r w:rsidRPr="00EA6917">
        <w:rPr>
          <w:szCs w:val="24"/>
        </w:rPr>
        <w:t>§</w:t>
      </w:r>
      <w:bookmarkEnd w:id="7"/>
      <w:r w:rsidRPr="00EA6917">
        <w:rPr>
          <w:szCs w:val="24"/>
        </w:rPr>
        <w:t xml:space="preserve"> 3. The definition of “</w:t>
      </w:r>
      <w:r w:rsidRPr="00EA6917">
        <w:rPr>
          <w:caps/>
          <w:szCs w:val="24"/>
        </w:rPr>
        <w:t>dwelling, two-family</w:t>
      </w:r>
      <w:r w:rsidRPr="00EA6917">
        <w:rPr>
          <w:szCs w:val="24"/>
        </w:rPr>
        <w:t>” set forth in section 202 of the New York city building code, as added by local law number 126 for the year 2021, is amended to read as follows:</w:t>
      </w:r>
    </w:p>
    <w:p w14:paraId="114161BA" w14:textId="77777777" w:rsidR="00EA6917" w:rsidRPr="00EA6917" w:rsidRDefault="00EA6917" w:rsidP="00EA6917">
      <w:pPr>
        <w:rPr>
          <w:szCs w:val="24"/>
        </w:rPr>
      </w:pPr>
    </w:p>
    <w:p w14:paraId="144ED944" w14:textId="77777777" w:rsidR="00EA6917" w:rsidRPr="00EA6917" w:rsidRDefault="00EA6917" w:rsidP="00EA6917">
      <w:pPr>
        <w:rPr>
          <w:szCs w:val="24"/>
          <w:u w:val="single"/>
        </w:rPr>
      </w:pPr>
      <w:r w:rsidRPr="00EA6917">
        <w:rPr>
          <w:b/>
          <w:szCs w:val="24"/>
        </w:rPr>
        <w:t>DWELLING, TWO-FAMILY.</w:t>
      </w:r>
      <w:r w:rsidRPr="00EA6917">
        <w:rPr>
          <w:szCs w:val="24"/>
        </w:rPr>
        <w:t xml:space="preserve"> Any building or structure designed and occupied [exclusively] </w:t>
      </w:r>
      <w:r w:rsidRPr="00EA6917">
        <w:rPr>
          <w:szCs w:val="24"/>
          <w:u w:val="single"/>
        </w:rPr>
        <w:t>primarily</w:t>
      </w:r>
      <w:r w:rsidRPr="00EA6917">
        <w:rPr>
          <w:szCs w:val="24"/>
        </w:rPr>
        <w:t xml:space="preserve"> for residence purposes on a long-term basis for more than a month at a time by not more than [two] </w:t>
      </w:r>
      <w:r w:rsidRPr="00EA6917">
        <w:rPr>
          <w:szCs w:val="24"/>
          <w:u w:val="single"/>
        </w:rPr>
        <w:t>2</w:t>
      </w:r>
      <w:r w:rsidRPr="00EA6917">
        <w:rPr>
          <w:szCs w:val="24"/>
        </w:rPr>
        <w:t xml:space="preserve"> families. Two-family dwellings shall also be deemed to include a dwelling located in a series of two-family dwellings each of which faces or is accessible to a legal street or public thoroughfare, provided that each such dwelling is equipped as a separate dwelling with all essential services, and also provided that each such dwelling is arranged so that it may be approved as a legal two-family dwelling. </w:t>
      </w:r>
      <w:r w:rsidRPr="00EA6917">
        <w:rPr>
          <w:szCs w:val="24"/>
          <w:u w:val="single"/>
        </w:rPr>
        <w:t xml:space="preserve">The permanent occupant or occupants of a two-family dwelling unit who receives a registration pursuant to Section 26-3102 of the </w:t>
      </w:r>
      <w:r w:rsidRPr="00EA6917">
        <w:rPr>
          <w:i/>
          <w:szCs w:val="24"/>
          <w:u w:val="single"/>
        </w:rPr>
        <w:t>Administrative Code</w:t>
      </w:r>
      <w:r w:rsidRPr="00EA6917">
        <w:rPr>
          <w:szCs w:val="24"/>
          <w:u w:val="single"/>
        </w:rPr>
        <w:t xml:space="preserve"> may offer a short-term rental to up to 4 boarders, roomers, or lodgers and their children. The permanent occupant or occupants need not be physically present in the dwelling unit during the period of the short-term rental. The permanent occupant or occupants shall provide reasonable access to the dwelling unit to the boarders, roomers, or lodgers and their children, but shall not be required to provide access to the bedrooms, offices, or other similar private spaces of any permanent occupant in the dwelling unit.</w:t>
      </w:r>
    </w:p>
    <w:p w14:paraId="2FF1BE20" w14:textId="77777777" w:rsidR="00EA6917" w:rsidRPr="00EA6917" w:rsidRDefault="00EA6917" w:rsidP="00EA6917">
      <w:pPr>
        <w:rPr>
          <w:szCs w:val="24"/>
          <w:u w:val="single"/>
        </w:rPr>
      </w:pPr>
    </w:p>
    <w:p w14:paraId="6817A2D8" w14:textId="77777777" w:rsidR="00EA6917" w:rsidRPr="00EA6917" w:rsidRDefault="00EA6917" w:rsidP="00EA6917">
      <w:pPr>
        <w:rPr>
          <w:szCs w:val="24"/>
        </w:rPr>
      </w:pPr>
      <w:r w:rsidRPr="00EA6917">
        <w:rPr>
          <w:szCs w:val="24"/>
        </w:rPr>
        <w:tab/>
        <w:t>§ 4. The definition of “</w:t>
      </w:r>
      <w:r w:rsidRPr="00EA6917">
        <w:rPr>
          <w:caps/>
          <w:szCs w:val="24"/>
        </w:rPr>
        <w:t>family</w:t>
      </w:r>
      <w:r w:rsidRPr="00EA6917">
        <w:rPr>
          <w:szCs w:val="24"/>
        </w:rPr>
        <w:t>” set forth in section 202 of the New York city building code, as added by local law number 126 for the year 2021, is amended to read as follows:</w:t>
      </w:r>
    </w:p>
    <w:p w14:paraId="6DCF34C6" w14:textId="77777777" w:rsidR="00EA6917" w:rsidRPr="00EA6917" w:rsidRDefault="00EA6917" w:rsidP="00EA6917">
      <w:pPr>
        <w:rPr>
          <w:szCs w:val="24"/>
        </w:rPr>
      </w:pPr>
    </w:p>
    <w:p w14:paraId="412876E2" w14:textId="77777777" w:rsidR="00EA6917" w:rsidRPr="00EA6917" w:rsidRDefault="00EA6917" w:rsidP="00EA6917">
      <w:pPr>
        <w:rPr>
          <w:b/>
          <w:szCs w:val="24"/>
        </w:rPr>
      </w:pPr>
      <w:r w:rsidRPr="00EA6917">
        <w:rPr>
          <w:b/>
          <w:szCs w:val="24"/>
        </w:rPr>
        <w:t>FAMILY.</w:t>
      </w:r>
    </w:p>
    <w:p w14:paraId="486585C2" w14:textId="77777777" w:rsidR="00EA6917" w:rsidRPr="00EA6917" w:rsidRDefault="00EA6917" w:rsidP="00EA6917">
      <w:pPr>
        <w:rPr>
          <w:szCs w:val="24"/>
        </w:rPr>
      </w:pPr>
    </w:p>
    <w:p w14:paraId="79C92C27" w14:textId="77777777" w:rsidR="00EA6917" w:rsidRPr="00EA6917" w:rsidRDefault="00EA6917" w:rsidP="0001508F">
      <w:pPr>
        <w:numPr>
          <w:ilvl w:val="0"/>
          <w:numId w:val="50"/>
        </w:numPr>
        <w:contextualSpacing/>
        <w:jc w:val="left"/>
        <w:rPr>
          <w:szCs w:val="24"/>
        </w:rPr>
      </w:pPr>
      <w:r w:rsidRPr="00EA6917">
        <w:rPr>
          <w:szCs w:val="24"/>
        </w:rPr>
        <w:t xml:space="preserve">A single person occupying a dwelling unit and maintaining a common household with not more than [two] </w:t>
      </w:r>
      <w:r w:rsidRPr="00EA6917">
        <w:rPr>
          <w:szCs w:val="24"/>
          <w:u w:val="single"/>
        </w:rPr>
        <w:t>4 adult</w:t>
      </w:r>
      <w:r w:rsidRPr="00EA6917">
        <w:rPr>
          <w:szCs w:val="24"/>
        </w:rPr>
        <w:t xml:space="preserve"> boarders, roomers</w:t>
      </w:r>
      <w:r w:rsidRPr="00EA6917">
        <w:rPr>
          <w:szCs w:val="24"/>
          <w:u w:val="single"/>
        </w:rPr>
        <w:t>,</w:t>
      </w:r>
      <w:r w:rsidRPr="00EA6917">
        <w:rPr>
          <w:szCs w:val="24"/>
        </w:rPr>
        <w:t xml:space="preserve"> or lodgers </w:t>
      </w:r>
      <w:r w:rsidRPr="00EA6917">
        <w:rPr>
          <w:szCs w:val="24"/>
          <w:u w:val="single"/>
        </w:rPr>
        <w:t>and their children, who shall not be considered members of the family</w:t>
      </w:r>
      <w:r w:rsidRPr="00EA6917">
        <w:rPr>
          <w:szCs w:val="24"/>
        </w:rPr>
        <w:t>;</w:t>
      </w:r>
    </w:p>
    <w:p w14:paraId="35AFDBB7" w14:textId="77777777" w:rsidR="00EA6917" w:rsidRPr="00EA6917" w:rsidRDefault="00EA6917" w:rsidP="00EA6917">
      <w:pPr>
        <w:ind w:left="720" w:hanging="360"/>
        <w:rPr>
          <w:szCs w:val="24"/>
        </w:rPr>
      </w:pPr>
    </w:p>
    <w:p w14:paraId="368CC596" w14:textId="77777777" w:rsidR="00EA6917" w:rsidRPr="00EA6917" w:rsidRDefault="00EA6917" w:rsidP="0001508F">
      <w:pPr>
        <w:numPr>
          <w:ilvl w:val="0"/>
          <w:numId w:val="50"/>
        </w:numPr>
        <w:contextualSpacing/>
        <w:jc w:val="left"/>
        <w:rPr>
          <w:szCs w:val="24"/>
        </w:rPr>
      </w:pPr>
      <w:r w:rsidRPr="00EA6917">
        <w:rPr>
          <w:szCs w:val="24"/>
        </w:rPr>
        <w:t>Two or more persons related by blood, adoption, legal guardianship, marriage</w:t>
      </w:r>
      <w:r w:rsidRPr="00EA6917">
        <w:rPr>
          <w:szCs w:val="24"/>
          <w:u w:val="single"/>
        </w:rPr>
        <w:t>,</w:t>
      </w:r>
      <w:r w:rsidRPr="00EA6917">
        <w:rPr>
          <w:szCs w:val="24"/>
        </w:rPr>
        <w:t xml:space="preserve"> or domestic partnership; occupying a dwelling unit and maintaining a common household with not more than [two] </w:t>
      </w:r>
      <w:r w:rsidRPr="00EA6917">
        <w:rPr>
          <w:szCs w:val="24"/>
          <w:u w:val="single"/>
        </w:rPr>
        <w:t>4 adult</w:t>
      </w:r>
      <w:r w:rsidRPr="00EA6917">
        <w:rPr>
          <w:szCs w:val="24"/>
        </w:rPr>
        <w:t xml:space="preserve"> boarders, roomers</w:t>
      </w:r>
      <w:r w:rsidRPr="00EA6917">
        <w:rPr>
          <w:szCs w:val="24"/>
          <w:u w:val="single"/>
        </w:rPr>
        <w:t>,</w:t>
      </w:r>
      <w:r w:rsidRPr="00EA6917">
        <w:rPr>
          <w:szCs w:val="24"/>
        </w:rPr>
        <w:t xml:space="preserve"> or lodgers </w:t>
      </w:r>
      <w:r w:rsidRPr="00EA6917">
        <w:rPr>
          <w:szCs w:val="24"/>
          <w:u w:val="single"/>
        </w:rPr>
        <w:t>and their children, who shall not be considered members of the family</w:t>
      </w:r>
      <w:r w:rsidRPr="00EA6917">
        <w:rPr>
          <w:szCs w:val="24"/>
        </w:rPr>
        <w:t>;</w:t>
      </w:r>
    </w:p>
    <w:p w14:paraId="5184D79E" w14:textId="77777777" w:rsidR="00EA6917" w:rsidRPr="00EA6917" w:rsidRDefault="00EA6917" w:rsidP="00EA6917">
      <w:pPr>
        <w:ind w:left="720" w:hanging="360"/>
        <w:rPr>
          <w:szCs w:val="24"/>
        </w:rPr>
      </w:pPr>
    </w:p>
    <w:p w14:paraId="7050B737" w14:textId="77777777" w:rsidR="00EA6917" w:rsidRPr="00EA6917" w:rsidRDefault="00EA6917" w:rsidP="0001508F">
      <w:pPr>
        <w:numPr>
          <w:ilvl w:val="0"/>
          <w:numId w:val="50"/>
        </w:numPr>
        <w:contextualSpacing/>
        <w:jc w:val="left"/>
        <w:rPr>
          <w:szCs w:val="24"/>
        </w:rPr>
      </w:pPr>
      <w:r w:rsidRPr="00EA6917">
        <w:rPr>
          <w:szCs w:val="24"/>
        </w:rPr>
        <w:t xml:space="preserve">Not more than [three] </w:t>
      </w:r>
      <w:r w:rsidRPr="00EA6917">
        <w:rPr>
          <w:szCs w:val="24"/>
          <w:u w:val="single"/>
        </w:rPr>
        <w:t>3</w:t>
      </w:r>
      <w:r w:rsidRPr="00EA6917">
        <w:rPr>
          <w:szCs w:val="24"/>
        </w:rPr>
        <w:t xml:space="preserve"> unrelated persons occupying a dwelling unit and maintaining a common household </w:t>
      </w:r>
      <w:r w:rsidRPr="00EA6917">
        <w:rPr>
          <w:szCs w:val="24"/>
          <w:u w:val="single"/>
        </w:rPr>
        <w:t>with not more than 4 adult boarders, roomers, or lodgers and their children, who shall not be considered members of the family</w:t>
      </w:r>
      <w:r w:rsidRPr="00EA6917">
        <w:rPr>
          <w:szCs w:val="24"/>
        </w:rPr>
        <w:t>;</w:t>
      </w:r>
    </w:p>
    <w:p w14:paraId="6391AB9E" w14:textId="77777777" w:rsidR="00EA6917" w:rsidRPr="00EA6917" w:rsidRDefault="00EA6917" w:rsidP="00EA6917">
      <w:pPr>
        <w:ind w:left="720" w:hanging="360"/>
        <w:rPr>
          <w:szCs w:val="24"/>
        </w:rPr>
      </w:pPr>
    </w:p>
    <w:p w14:paraId="6671C94D" w14:textId="77777777" w:rsidR="00EA6917" w:rsidRPr="00EA6917" w:rsidRDefault="00EA6917" w:rsidP="0001508F">
      <w:pPr>
        <w:numPr>
          <w:ilvl w:val="0"/>
          <w:numId w:val="50"/>
        </w:numPr>
        <w:contextualSpacing/>
        <w:jc w:val="left"/>
        <w:rPr>
          <w:szCs w:val="24"/>
        </w:rPr>
      </w:pPr>
      <w:r w:rsidRPr="00EA6917">
        <w:rPr>
          <w:szCs w:val="24"/>
        </w:rPr>
        <w:t xml:space="preserve">Not more than [three] </w:t>
      </w:r>
      <w:r w:rsidRPr="00EA6917">
        <w:rPr>
          <w:szCs w:val="24"/>
          <w:u w:val="single"/>
        </w:rPr>
        <w:t>3</w:t>
      </w:r>
      <w:r w:rsidRPr="00EA6917">
        <w:rPr>
          <w:szCs w:val="24"/>
        </w:rPr>
        <w:t xml:space="preserve"> unrelated persons occupying a dwelling unit in a congregate housing or shared living arrangement and maintaining a common household;</w:t>
      </w:r>
    </w:p>
    <w:p w14:paraId="3644874F" w14:textId="77777777" w:rsidR="00EA6917" w:rsidRPr="00EA6917" w:rsidRDefault="00EA6917" w:rsidP="00EA6917">
      <w:pPr>
        <w:ind w:left="720" w:hanging="360"/>
        <w:rPr>
          <w:szCs w:val="24"/>
        </w:rPr>
      </w:pPr>
    </w:p>
    <w:p w14:paraId="7E07B098" w14:textId="77777777" w:rsidR="00EA6917" w:rsidRPr="00EA6917" w:rsidRDefault="00EA6917" w:rsidP="0001508F">
      <w:pPr>
        <w:numPr>
          <w:ilvl w:val="0"/>
          <w:numId w:val="50"/>
        </w:numPr>
        <w:contextualSpacing/>
        <w:jc w:val="left"/>
        <w:rPr>
          <w:szCs w:val="24"/>
        </w:rPr>
      </w:pPr>
      <w:r w:rsidRPr="00EA6917">
        <w:rPr>
          <w:szCs w:val="24"/>
        </w:rPr>
        <w:t>Members of a group home;</w:t>
      </w:r>
    </w:p>
    <w:p w14:paraId="080EC1B1" w14:textId="77777777" w:rsidR="00EA6917" w:rsidRPr="00EA6917" w:rsidRDefault="00EA6917" w:rsidP="00EA6917">
      <w:pPr>
        <w:ind w:left="720" w:hanging="360"/>
        <w:rPr>
          <w:szCs w:val="24"/>
        </w:rPr>
      </w:pPr>
    </w:p>
    <w:p w14:paraId="39294A30" w14:textId="77777777" w:rsidR="00EA6917" w:rsidRPr="00EA6917" w:rsidRDefault="00EA6917" w:rsidP="0001508F">
      <w:pPr>
        <w:numPr>
          <w:ilvl w:val="0"/>
          <w:numId w:val="50"/>
        </w:numPr>
        <w:contextualSpacing/>
        <w:jc w:val="left"/>
        <w:rPr>
          <w:szCs w:val="24"/>
        </w:rPr>
      </w:pPr>
      <w:r w:rsidRPr="00EA6917">
        <w:rPr>
          <w:szCs w:val="24"/>
        </w:rPr>
        <w:t xml:space="preserve">Foster children placed in accordance with provisions of the </w:t>
      </w:r>
      <w:r w:rsidRPr="00EA6917">
        <w:rPr>
          <w:i/>
          <w:szCs w:val="24"/>
        </w:rPr>
        <w:t>New York State Social Services Law</w:t>
      </w:r>
      <w:r w:rsidRPr="00EA6917">
        <w:rPr>
          <w:szCs w:val="24"/>
        </w:rPr>
        <w:t>, their foster parent(s), and other persons related to the foster parents by blood, marriage</w:t>
      </w:r>
      <w:r w:rsidRPr="00EA6917">
        <w:rPr>
          <w:szCs w:val="24"/>
          <w:u w:val="single"/>
        </w:rPr>
        <w:t>,</w:t>
      </w:r>
      <w:r w:rsidRPr="00EA6917">
        <w:rPr>
          <w:szCs w:val="24"/>
        </w:rPr>
        <w:t xml:space="preserve"> or domestic partnership; where all residents occupy and maintain a common household with not more than [two] </w:t>
      </w:r>
      <w:r w:rsidRPr="00EA6917">
        <w:rPr>
          <w:szCs w:val="24"/>
          <w:u w:val="single"/>
        </w:rPr>
        <w:t>4 adult</w:t>
      </w:r>
      <w:r w:rsidRPr="00EA6917">
        <w:rPr>
          <w:szCs w:val="24"/>
        </w:rPr>
        <w:t xml:space="preserve"> boarders, roomers</w:t>
      </w:r>
      <w:r w:rsidRPr="00EA6917">
        <w:rPr>
          <w:szCs w:val="24"/>
          <w:u w:val="single"/>
        </w:rPr>
        <w:t>,</w:t>
      </w:r>
      <w:r w:rsidRPr="00EA6917">
        <w:rPr>
          <w:szCs w:val="24"/>
        </w:rPr>
        <w:t xml:space="preserve"> or lodgers </w:t>
      </w:r>
      <w:r w:rsidRPr="00EA6917">
        <w:rPr>
          <w:szCs w:val="24"/>
          <w:u w:val="single"/>
        </w:rPr>
        <w:t>and their children, who shall not be considered members of the family</w:t>
      </w:r>
      <w:r w:rsidRPr="00EA6917">
        <w:rPr>
          <w:szCs w:val="24"/>
        </w:rPr>
        <w:t>; or</w:t>
      </w:r>
    </w:p>
    <w:p w14:paraId="000FF7B2" w14:textId="77777777" w:rsidR="00EA6917" w:rsidRPr="00EA6917" w:rsidRDefault="00EA6917" w:rsidP="00EA6917">
      <w:pPr>
        <w:ind w:left="720" w:hanging="360"/>
        <w:rPr>
          <w:szCs w:val="24"/>
        </w:rPr>
      </w:pPr>
    </w:p>
    <w:p w14:paraId="7F9E1C7C" w14:textId="77777777" w:rsidR="00EA6917" w:rsidRPr="00EA6917" w:rsidRDefault="00EA6917" w:rsidP="0001508F">
      <w:pPr>
        <w:numPr>
          <w:ilvl w:val="0"/>
          <w:numId w:val="50"/>
        </w:numPr>
        <w:contextualSpacing/>
        <w:jc w:val="left"/>
        <w:rPr>
          <w:szCs w:val="24"/>
        </w:rPr>
      </w:pPr>
      <w:r w:rsidRPr="00EA6917">
        <w:rPr>
          <w:szCs w:val="24"/>
        </w:rPr>
        <w:t xml:space="preserve">Up to [seven] </w:t>
      </w:r>
      <w:r w:rsidRPr="00EA6917">
        <w:rPr>
          <w:szCs w:val="24"/>
          <w:u w:val="single"/>
        </w:rPr>
        <w:t>7</w:t>
      </w:r>
      <w:r w:rsidRPr="00EA6917">
        <w:rPr>
          <w:szCs w:val="24"/>
        </w:rPr>
        <w:t xml:space="preserve"> unrelated students enrolled at a single accredited college or university occupying a student apartment and maintaining a common household pursuant to a lease, sublease, or occupancy agreement directly with such college or university, provided that:</w:t>
      </w:r>
    </w:p>
    <w:p w14:paraId="6FB7C36C" w14:textId="77777777" w:rsidR="00EA6917" w:rsidRPr="00EA6917" w:rsidRDefault="00EA6917" w:rsidP="00EA6917">
      <w:pPr>
        <w:jc w:val="left"/>
        <w:rPr>
          <w:szCs w:val="24"/>
        </w:rPr>
      </w:pPr>
    </w:p>
    <w:p w14:paraId="77D0EFF5" w14:textId="77777777" w:rsidR="00EA6917" w:rsidRPr="00EA6917" w:rsidRDefault="00EA6917" w:rsidP="00EA6917">
      <w:pPr>
        <w:ind w:left="1260" w:hanging="540"/>
        <w:rPr>
          <w:szCs w:val="24"/>
        </w:rPr>
      </w:pPr>
      <w:r w:rsidRPr="00EA6917">
        <w:rPr>
          <w:szCs w:val="24"/>
        </w:rPr>
        <w:t>7.1.</w:t>
      </w:r>
      <w:r w:rsidRPr="00EA6917">
        <w:rPr>
          <w:szCs w:val="24"/>
        </w:rPr>
        <w:tab/>
        <w:t>The entire structure in which the dwelling unit is located is fully sprinklered in accordance with Chapter 9 of this code;</w:t>
      </w:r>
    </w:p>
    <w:p w14:paraId="25926F3C" w14:textId="77777777" w:rsidR="00EA6917" w:rsidRPr="00EA6917" w:rsidRDefault="00EA6917" w:rsidP="00EA6917">
      <w:pPr>
        <w:ind w:left="1260" w:hanging="540"/>
        <w:rPr>
          <w:szCs w:val="24"/>
        </w:rPr>
      </w:pPr>
    </w:p>
    <w:p w14:paraId="7DC2138E" w14:textId="77777777" w:rsidR="00EA6917" w:rsidRPr="00EA6917" w:rsidRDefault="00EA6917" w:rsidP="00EA6917">
      <w:pPr>
        <w:ind w:left="1260" w:hanging="540"/>
        <w:rPr>
          <w:szCs w:val="24"/>
        </w:rPr>
      </w:pPr>
      <w:r w:rsidRPr="00EA6917">
        <w:rPr>
          <w:szCs w:val="24"/>
        </w:rPr>
        <w:t>7.2.</w:t>
      </w:r>
      <w:r w:rsidRPr="00EA6917">
        <w:rPr>
          <w:szCs w:val="24"/>
        </w:rPr>
        <w:tab/>
        <w:t xml:space="preserve">Such occupancy does not exceed the maximums contained in Section 27-2075(a) of the </w:t>
      </w:r>
      <w:r w:rsidRPr="00EA6917">
        <w:rPr>
          <w:i/>
          <w:szCs w:val="24"/>
        </w:rPr>
        <w:t>New York City Housing Maintenance Code</w:t>
      </w:r>
      <w:r w:rsidRPr="00EA6917">
        <w:rPr>
          <w:szCs w:val="24"/>
        </w:rPr>
        <w:t>;</w:t>
      </w:r>
    </w:p>
    <w:p w14:paraId="197528B9" w14:textId="77777777" w:rsidR="00EA6917" w:rsidRPr="00EA6917" w:rsidRDefault="00EA6917" w:rsidP="00EA6917">
      <w:pPr>
        <w:ind w:left="1080" w:hanging="360"/>
        <w:rPr>
          <w:szCs w:val="24"/>
        </w:rPr>
      </w:pPr>
    </w:p>
    <w:p w14:paraId="3EA7F7AE" w14:textId="77777777" w:rsidR="00EA6917" w:rsidRPr="00EA6917" w:rsidRDefault="00EA6917" w:rsidP="00EA6917">
      <w:pPr>
        <w:ind w:left="1260" w:hanging="540"/>
        <w:rPr>
          <w:szCs w:val="24"/>
        </w:rPr>
      </w:pPr>
      <w:r w:rsidRPr="00EA6917">
        <w:rPr>
          <w:szCs w:val="24"/>
        </w:rPr>
        <w:t>7.3.</w:t>
      </w:r>
      <w:r w:rsidRPr="00EA6917">
        <w:rPr>
          <w:szCs w:val="24"/>
        </w:rPr>
        <w:tab/>
        <w:t>Prior to commencement of such occupancy, and on an annual basis thereafter such college or university has submitted a fire safety plan containing fire safety and evacuation procedures for such dwelling unit that is acceptable to the Fire Commissioner and in compliance with any rules promulgated by the Fire Commissioner; and</w:t>
      </w:r>
    </w:p>
    <w:p w14:paraId="4CD5AA13" w14:textId="77777777" w:rsidR="00EA6917" w:rsidRPr="00EA6917" w:rsidRDefault="00EA6917" w:rsidP="00EA6917">
      <w:pPr>
        <w:ind w:left="1260" w:hanging="540"/>
        <w:rPr>
          <w:szCs w:val="24"/>
        </w:rPr>
      </w:pPr>
    </w:p>
    <w:p w14:paraId="3BEA68E7" w14:textId="77777777" w:rsidR="00EA6917" w:rsidRPr="00EA6917" w:rsidRDefault="00EA6917" w:rsidP="00EA6917">
      <w:pPr>
        <w:ind w:left="1260" w:hanging="540"/>
        <w:rPr>
          <w:szCs w:val="24"/>
        </w:rPr>
      </w:pPr>
      <w:r w:rsidRPr="00EA6917">
        <w:rPr>
          <w:szCs w:val="24"/>
        </w:rPr>
        <w:t>7.4.</w:t>
      </w:r>
      <w:r w:rsidRPr="00EA6917">
        <w:rPr>
          <w:szCs w:val="24"/>
        </w:rPr>
        <w:tab/>
        <w:t xml:space="preserve">The dwelling unit complies with additional occupancy and construction requirements as may be established by rule by the Housing Preservation and Development Commissioner. </w:t>
      </w:r>
    </w:p>
    <w:p w14:paraId="2AC74321" w14:textId="77777777" w:rsidR="00EA6917" w:rsidRPr="00EA6917" w:rsidRDefault="00EA6917" w:rsidP="00EA6917">
      <w:pPr>
        <w:ind w:left="1260" w:hanging="540"/>
        <w:rPr>
          <w:szCs w:val="24"/>
        </w:rPr>
      </w:pPr>
    </w:p>
    <w:p w14:paraId="39672154" w14:textId="77777777" w:rsidR="00EA6917" w:rsidRPr="00EA6917" w:rsidRDefault="00EA6917" w:rsidP="00EA6917">
      <w:pPr>
        <w:rPr>
          <w:szCs w:val="24"/>
          <w:u w:val="single"/>
        </w:rPr>
      </w:pPr>
      <w:r w:rsidRPr="00EA6917">
        <w:rPr>
          <w:szCs w:val="24"/>
        </w:rPr>
        <w:t xml:space="preserve">A common household is deemed to exist if all [household] </w:t>
      </w:r>
      <w:r w:rsidRPr="00EA6917">
        <w:rPr>
          <w:szCs w:val="24"/>
          <w:u w:val="single"/>
        </w:rPr>
        <w:t>family</w:t>
      </w:r>
      <w:r w:rsidRPr="00EA6917">
        <w:rPr>
          <w:szCs w:val="24"/>
        </w:rPr>
        <w:t xml:space="preserve"> members have access to all parts of the dwelling unit. [Lack] </w:t>
      </w:r>
      <w:r w:rsidRPr="00EA6917">
        <w:rPr>
          <w:szCs w:val="24"/>
          <w:u w:val="single"/>
        </w:rPr>
        <w:t>A family member’s lack</w:t>
      </w:r>
      <w:r w:rsidRPr="00EA6917">
        <w:rPr>
          <w:szCs w:val="24"/>
        </w:rPr>
        <w:t xml:space="preserve"> of </w:t>
      </w:r>
      <w:r w:rsidRPr="00EA6917">
        <w:rPr>
          <w:szCs w:val="24"/>
          <w:u w:val="single"/>
        </w:rPr>
        <w:t>reasonable</w:t>
      </w:r>
      <w:r w:rsidRPr="00EA6917">
        <w:rPr>
          <w:szCs w:val="24"/>
        </w:rPr>
        <w:t xml:space="preserve"> access to all parts of the dwelling unit establishes a rebuttable presumption that no common household exists. </w:t>
      </w:r>
      <w:r w:rsidRPr="00EA6917">
        <w:rPr>
          <w:szCs w:val="24"/>
          <w:u w:val="single"/>
        </w:rPr>
        <w:t xml:space="preserve">The permanent occupant of a one-family dwelling or a two-family dwelling shall not be required to provide a boarder, roomer, or lodger and their children access to the bedrooms, offices, or other similar private spaces of the family members in the dwelling unit, and such lack of access shall not defeat a finding that a common household exists. Family members may elect to limit their own access to any room occupied by a boarder, roomer, or lodger and their children, and such lack of access shall not defeat a finding that a common household exists. </w:t>
      </w:r>
    </w:p>
    <w:p w14:paraId="44767346" w14:textId="77777777" w:rsidR="00EA6917" w:rsidRPr="00EA6917" w:rsidRDefault="00EA6917" w:rsidP="00EA6917">
      <w:pPr>
        <w:ind w:firstLine="720"/>
        <w:rPr>
          <w:szCs w:val="24"/>
          <w:u w:val="single"/>
        </w:rPr>
      </w:pPr>
    </w:p>
    <w:p w14:paraId="0F312384" w14:textId="77777777" w:rsidR="00EA6917" w:rsidRPr="00EA6917" w:rsidRDefault="00EA6917" w:rsidP="00EA6917">
      <w:pPr>
        <w:spacing w:line="480" w:lineRule="auto"/>
        <w:ind w:firstLine="720"/>
        <w:rPr>
          <w:szCs w:val="24"/>
        </w:rPr>
      </w:pPr>
      <w:r w:rsidRPr="00EA6917">
        <w:rPr>
          <w:szCs w:val="24"/>
        </w:rPr>
        <w:t>§ 5. The definition of “family” set forth in paragraph 4 of subdivision a of section 27-2004 of the administrative code of the city of New York, as added by local law number 8 of the year 2008, is amended to read as follows:</w:t>
      </w:r>
    </w:p>
    <w:p w14:paraId="6B2C45AF" w14:textId="77777777" w:rsidR="00EA6917" w:rsidRPr="00EA6917" w:rsidRDefault="00EA6917" w:rsidP="00EA6917">
      <w:pPr>
        <w:spacing w:line="480" w:lineRule="auto"/>
        <w:ind w:firstLine="720"/>
        <w:rPr>
          <w:szCs w:val="24"/>
        </w:rPr>
      </w:pPr>
      <w:r w:rsidRPr="00EA6917">
        <w:rPr>
          <w:szCs w:val="24"/>
        </w:rPr>
        <w:t>4. A family is:</w:t>
      </w:r>
    </w:p>
    <w:p w14:paraId="1C7A3666" w14:textId="77777777" w:rsidR="00EA6917" w:rsidRPr="00EA6917" w:rsidRDefault="00EA6917" w:rsidP="00EA6917">
      <w:pPr>
        <w:spacing w:line="480" w:lineRule="auto"/>
        <w:ind w:firstLine="720"/>
        <w:rPr>
          <w:szCs w:val="24"/>
        </w:rPr>
      </w:pPr>
      <w:r w:rsidRPr="00EA6917">
        <w:rPr>
          <w:szCs w:val="24"/>
        </w:rPr>
        <w:t xml:space="preserve">(a) A single person occupying a dwelling unit and maintaining a common household with not more than [two] </w:t>
      </w:r>
      <w:r w:rsidRPr="00EA6917">
        <w:rPr>
          <w:szCs w:val="24"/>
          <w:u w:val="single"/>
        </w:rPr>
        <w:t>4 adult</w:t>
      </w:r>
      <w:r w:rsidRPr="00EA6917">
        <w:rPr>
          <w:szCs w:val="24"/>
        </w:rPr>
        <w:t xml:space="preserve"> boarders, roomers</w:t>
      </w:r>
      <w:r w:rsidRPr="00EA6917">
        <w:rPr>
          <w:szCs w:val="24"/>
          <w:u w:val="single"/>
        </w:rPr>
        <w:t>,</w:t>
      </w:r>
      <w:r w:rsidRPr="00EA6917">
        <w:rPr>
          <w:szCs w:val="24"/>
        </w:rPr>
        <w:t xml:space="preserve"> or lodgers</w:t>
      </w:r>
      <w:r w:rsidRPr="00EA6917">
        <w:rPr>
          <w:szCs w:val="24"/>
          <w:u w:val="single"/>
        </w:rPr>
        <w:t xml:space="preserve"> and their children, who shall not be considered members of the family</w:t>
      </w:r>
      <w:r w:rsidRPr="00EA6917">
        <w:rPr>
          <w:szCs w:val="24"/>
        </w:rPr>
        <w:t>; or</w:t>
      </w:r>
    </w:p>
    <w:p w14:paraId="1785A938" w14:textId="77777777" w:rsidR="00EA6917" w:rsidRPr="00EA6917" w:rsidRDefault="00EA6917" w:rsidP="00EA6917">
      <w:pPr>
        <w:spacing w:line="480" w:lineRule="auto"/>
        <w:ind w:firstLine="720"/>
        <w:rPr>
          <w:szCs w:val="24"/>
        </w:rPr>
      </w:pPr>
      <w:r w:rsidRPr="00EA6917">
        <w:rPr>
          <w:szCs w:val="24"/>
        </w:rPr>
        <w:t>(b) Two or more persons related by blood, adoption, legal guardianship, marriage</w:t>
      </w:r>
      <w:r w:rsidRPr="00EA6917">
        <w:rPr>
          <w:szCs w:val="24"/>
          <w:u w:val="single"/>
        </w:rPr>
        <w:t>,</w:t>
      </w:r>
      <w:r w:rsidRPr="00EA6917">
        <w:rPr>
          <w:szCs w:val="24"/>
        </w:rPr>
        <w:t xml:space="preserve"> or domestic partnership; occupying a dwelling unit and maintaining a common household with not more than [two] </w:t>
      </w:r>
      <w:r w:rsidRPr="00EA6917">
        <w:rPr>
          <w:szCs w:val="24"/>
          <w:u w:val="single"/>
        </w:rPr>
        <w:t>4 adult</w:t>
      </w:r>
      <w:r w:rsidRPr="00EA6917">
        <w:rPr>
          <w:szCs w:val="24"/>
        </w:rPr>
        <w:t xml:space="preserve"> boarders, roomers</w:t>
      </w:r>
      <w:r w:rsidRPr="00EA6917">
        <w:rPr>
          <w:szCs w:val="24"/>
          <w:u w:val="single"/>
        </w:rPr>
        <w:t>,</w:t>
      </w:r>
      <w:r w:rsidRPr="00EA6917">
        <w:rPr>
          <w:szCs w:val="24"/>
        </w:rPr>
        <w:t xml:space="preserve"> or lodgers</w:t>
      </w:r>
      <w:r w:rsidRPr="00EA6917">
        <w:rPr>
          <w:szCs w:val="24"/>
          <w:u w:val="single"/>
        </w:rPr>
        <w:t xml:space="preserve"> and their children, who shall not be considered members of the family</w:t>
      </w:r>
      <w:r w:rsidRPr="00EA6917">
        <w:rPr>
          <w:szCs w:val="24"/>
        </w:rPr>
        <w:t>; or</w:t>
      </w:r>
    </w:p>
    <w:p w14:paraId="7DB98BBA" w14:textId="77777777" w:rsidR="00EA6917" w:rsidRPr="00EA6917" w:rsidRDefault="00EA6917" w:rsidP="00EA6917">
      <w:pPr>
        <w:spacing w:line="480" w:lineRule="auto"/>
        <w:ind w:firstLine="720"/>
        <w:rPr>
          <w:szCs w:val="24"/>
        </w:rPr>
      </w:pPr>
      <w:r w:rsidRPr="00EA6917">
        <w:rPr>
          <w:szCs w:val="24"/>
        </w:rPr>
        <w:t xml:space="preserve">(c) Not more than [three] </w:t>
      </w:r>
      <w:r w:rsidRPr="00EA6917">
        <w:rPr>
          <w:szCs w:val="24"/>
          <w:u w:val="single"/>
        </w:rPr>
        <w:t>3</w:t>
      </w:r>
      <w:r w:rsidRPr="00EA6917">
        <w:rPr>
          <w:szCs w:val="24"/>
        </w:rPr>
        <w:t xml:space="preserve"> unrelated persons occupying a dwelling unit and maintaining a common household </w:t>
      </w:r>
      <w:r w:rsidRPr="00EA6917">
        <w:rPr>
          <w:szCs w:val="24"/>
          <w:u w:val="single"/>
        </w:rPr>
        <w:t>with not more than 4 adult boarders, roomers, or lodgers and their children, who shall not be considered members of the family</w:t>
      </w:r>
      <w:r w:rsidRPr="00EA6917">
        <w:rPr>
          <w:szCs w:val="24"/>
        </w:rPr>
        <w:t>; or</w:t>
      </w:r>
    </w:p>
    <w:p w14:paraId="52325C39" w14:textId="77777777" w:rsidR="00EA6917" w:rsidRPr="00EA6917" w:rsidRDefault="00EA6917" w:rsidP="00EA6917">
      <w:pPr>
        <w:spacing w:line="480" w:lineRule="auto"/>
        <w:ind w:firstLine="720"/>
        <w:rPr>
          <w:szCs w:val="24"/>
        </w:rPr>
      </w:pPr>
      <w:r w:rsidRPr="00EA6917">
        <w:rPr>
          <w:szCs w:val="24"/>
        </w:rPr>
        <w:t xml:space="preserve">(d) Not more than [three] </w:t>
      </w:r>
      <w:r w:rsidRPr="00EA6917">
        <w:rPr>
          <w:szCs w:val="24"/>
          <w:u w:val="single"/>
        </w:rPr>
        <w:t>3</w:t>
      </w:r>
      <w:r w:rsidRPr="00EA6917">
        <w:rPr>
          <w:szCs w:val="24"/>
        </w:rPr>
        <w:t xml:space="preserve"> unrelated persons occupying a dwelling unit in a congregate housing or shared living arrangement and maintaining a common household; or</w:t>
      </w:r>
    </w:p>
    <w:p w14:paraId="7108E812" w14:textId="77777777" w:rsidR="00EA6917" w:rsidRPr="00EA6917" w:rsidRDefault="00EA6917" w:rsidP="00EA6917">
      <w:pPr>
        <w:spacing w:line="480" w:lineRule="auto"/>
        <w:ind w:firstLine="720"/>
        <w:rPr>
          <w:szCs w:val="24"/>
        </w:rPr>
      </w:pPr>
      <w:r w:rsidRPr="00EA6917" w:rsidDel="00E043C0">
        <w:rPr>
          <w:szCs w:val="24"/>
        </w:rPr>
        <w:t xml:space="preserve"> </w:t>
      </w:r>
      <w:r w:rsidRPr="00EA6917">
        <w:rPr>
          <w:szCs w:val="24"/>
        </w:rPr>
        <w:t>(e) Members of a group home; or</w:t>
      </w:r>
    </w:p>
    <w:p w14:paraId="7DBBF3EB" w14:textId="77777777" w:rsidR="00EA6917" w:rsidRPr="00EA6917" w:rsidRDefault="00EA6917" w:rsidP="00EA6917">
      <w:pPr>
        <w:spacing w:line="480" w:lineRule="auto"/>
        <w:ind w:firstLine="720"/>
        <w:rPr>
          <w:szCs w:val="24"/>
        </w:rPr>
      </w:pPr>
      <w:r w:rsidRPr="00EA6917" w:rsidDel="00E043C0">
        <w:rPr>
          <w:szCs w:val="24"/>
        </w:rPr>
        <w:t xml:space="preserve"> </w:t>
      </w:r>
      <w:r w:rsidRPr="00EA6917">
        <w:rPr>
          <w:szCs w:val="24"/>
        </w:rPr>
        <w:t>(f) Foster children placed in accordance with provisions of the New York state social services law, their foster parents, and other persons related to the foster parents by blood, marriage</w:t>
      </w:r>
      <w:r w:rsidRPr="00EA6917">
        <w:rPr>
          <w:szCs w:val="24"/>
          <w:u w:val="single"/>
        </w:rPr>
        <w:t>,</w:t>
      </w:r>
      <w:r w:rsidRPr="00EA6917">
        <w:rPr>
          <w:szCs w:val="24"/>
        </w:rPr>
        <w:t xml:space="preserve"> or domestic partnership; where all residents occupy and maintain a common household with not more than [two] </w:t>
      </w:r>
      <w:r w:rsidRPr="00EA6917">
        <w:rPr>
          <w:szCs w:val="24"/>
          <w:u w:val="single"/>
        </w:rPr>
        <w:t>4 adult</w:t>
      </w:r>
      <w:r w:rsidRPr="00EA6917">
        <w:rPr>
          <w:szCs w:val="24"/>
        </w:rPr>
        <w:t xml:space="preserve"> boarders, roomers</w:t>
      </w:r>
      <w:r w:rsidRPr="00EA6917">
        <w:rPr>
          <w:szCs w:val="24"/>
          <w:u w:val="single"/>
        </w:rPr>
        <w:t>,</w:t>
      </w:r>
      <w:r w:rsidRPr="00EA6917">
        <w:rPr>
          <w:szCs w:val="24"/>
        </w:rPr>
        <w:t xml:space="preserve"> or lodgers</w:t>
      </w:r>
      <w:r w:rsidRPr="00EA6917">
        <w:rPr>
          <w:szCs w:val="24"/>
          <w:u w:val="single"/>
        </w:rPr>
        <w:t xml:space="preserve"> and their children, who shall not be considered members of the family</w:t>
      </w:r>
      <w:r w:rsidRPr="00EA6917">
        <w:rPr>
          <w:szCs w:val="24"/>
        </w:rPr>
        <w:t>; or</w:t>
      </w:r>
    </w:p>
    <w:p w14:paraId="2E898877" w14:textId="77777777" w:rsidR="00EA6917" w:rsidRPr="00EA6917" w:rsidRDefault="00EA6917" w:rsidP="00EA6917">
      <w:pPr>
        <w:spacing w:line="480" w:lineRule="auto"/>
        <w:ind w:firstLine="720"/>
        <w:rPr>
          <w:szCs w:val="24"/>
        </w:rPr>
      </w:pPr>
      <w:r w:rsidRPr="00EA6917" w:rsidDel="00E043C0">
        <w:rPr>
          <w:szCs w:val="24"/>
        </w:rPr>
        <w:t xml:space="preserve"> </w:t>
      </w:r>
      <w:r w:rsidRPr="00EA6917">
        <w:rPr>
          <w:szCs w:val="24"/>
        </w:rPr>
        <w:t xml:space="preserve">(g) Up to [seven] </w:t>
      </w:r>
      <w:r w:rsidRPr="00EA6917">
        <w:rPr>
          <w:szCs w:val="24"/>
          <w:u w:val="single"/>
        </w:rPr>
        <w:t>7</w:t>
      </w:r>
      <w:r w:rsidRPr="00EA6917">
        <w:rPr>
          <w:szCs w:val="24"/>
        </w:rPr>
        <w:t xml:space="preserve"> unrelated students enrolled at a single accredited college or university occupying a student apartment, as such term is defined in the New York city building code, and maintaining a common household pursuant to a lease, sublease, or occupancy agreement directly with such college or university, provided that:</w:t>
      </w:r>
    </w:p>
    <w:p w14:paraId="6D450E13" w14:textId="77777777" w:rsidR="00EA6917" w:rsidRPr="00EA6917" w:rsidRDefault="00EA6917" w:rsidP="00EA6917">
      <w:pPr>
        <w:spacing w:line="480" w:lineRule="auto"/>
        <w:ind w:firstLine="720"/>
        <w:rPr>
          <w:szCs w:val="24"/>
        </w:rPr>
      </w:pPr>
      <w:r w:rsidRPr="00EA6917">
        <w:rPr>
          <w:szCs w:val="24"/>
        </w:rPr>
        <w:t>(i) The entire structure in which the dwelling unit is located is fully sprinklered in accordance with chapter 9 of the New York city building code; and</w:t>
      </w:r>
    </w:p>
    <w:p w14:paraId="0D39EEBC" w14:textId="77777777" w:rsidR="00EA6917" w:rsidRPr="00EA6917" w:rsidRDefault="00EA6917" w:rsidP="00EA6917">
      <w:pPr>
        <w:spacing w:line="480" w:lineRule="auto"/>
        <w:ind w:firstLine="720"/>
        <w:rPr>
          <w:szCs w:val="24"/>
        </w:rPr>
      </w:pPr>
      <w:r w:rsidRPr="00EA6917">
        <w:rPr>
          <w:szCs w:val="24"/>
        </w:rPr>
        <w:t>(ii) Such occupancy does not exceed the maximums contained in subdivision a of section 27-2075; and</w:t>
      </w:r>
    </w:p>
    <w:p w14:paraId="02885148" w14:textId="77777777" w:rsidR="00EA6917" w:rsidRPr="00EA6917" w:rsidRDefault="00EA6917" w:rsidP="00EA6917">
      <w:pPr>
        <w:spacing w:line="480" w:lineRule="auto"/>
        <w:ind w:firstLine="720"/>
        <w:rPr>
          <w:szCs w:val="24"/>
        </w:rPr>
      </w:pPr>
      <w:r w:rsidRPr="00EA6917" w:rsidDel="00E043C0">
        <w:rPr>
          <w:szCs w:val="24"/>
        </w:rPr>
        <w:t xml:space="preserve"> </w:t>
      </w:r>
      <w:r w:rsidRPr="00EA6917">
        <w:rPr>
          <w:szCs w:val="24"/>
        </w:rPr>
        <w:t>(iii) Prior to commencement of such occupancy, and on an annual basis thereafter such college or university has submitted a fire safety plan containing fire safety and evacuation procedures for such dwelling unit that is acceptable to the fire commissioner and in compliance with any rules promulgated by the fire commissioner; and</w:t>
      </w:r>
    </w:p>
    <w:p w14:paraId="42A2E65C" w14:textId="77777777" w:rsidR="00EA6917" w:rsidRPr="00EA6917" w:rsidRDefault="00EA6917" w:rsidP="00EA6917">
      <w:pPr>
        <w:spacing w:line="480" w:lineRule="auto"/>
        <w:ind w:firstLine="720"/>
        <w:rPr>
          <w:szCs w:val="24"/>
        </w:rPr>
      </w:pPr>
      <w:r w:rsidRPr="00EA6917">
        <w:rPr>
          <w:szCs w:val="24"/>
        </w:rPr>
        <w:t>(iv) The dwelling unit complies with additional occupancy and construction requirements as may be established by rule by the department of housing preservation and development or its successor.</w:t>
      </w:r>
    </w:p>
    <w:p w14:paraId="7E6C41E5" w14:textId="77777777" w:rsidR="00EA6917" w:rsidRPr="00EA6917" w:rsidRDefault="00EA6917" w:rsidP="00EA6917">
      <w:pPr>
        <w:spacing w:line="480" w:lineRule="auto"/>
        <w:ind w:firstLine="720"/>
        <w:rPr>
          <w:szCs w:val="24"/>
        </w:rPr>
      </w:pPr>
      <w:r w:rsidRPr="00EA6917">
        <w:rPr>
          <w:szCs w:val="24"/>
        </w:rPr>
        <w:t xml:space="preserve">A common household is deemed to exist if every member of the family has </w:t>
      </w:r>
      <w:r w:rsidRPr="00EA6917">
        <w:rPr>
          <w:szCs w:val="24"/>
          <w:u w:val="single"/>
        </w:rPr>
        <w:t>reasonable</w:t>
      </w:r>
      <w:r w:rsidRPr="00EA6917">
        <w:rPr>
          <w:szCs w:val="24"/>
        </w:rPr>
        <w:t xml:space="preserve"> access to all parts of the dwelling unit. [Lack] </w:t>
      </w:r>
      <w:r w:rsidRPr="00EA6917">
        <w:rPr>
          <w:szCs w:val="24"/>
          <w:u w:val="single"/>
        </w:rPr>
        <w:t>A family member’s lack</w:t>
      </w:r>
      <w:r w:rsidRPr="00EA6917">
        <w:rPr>
          <w:szCs w:val="24"/>
        </w:rPr>
        <w:t xml:space="preserve"> of </w:t>
      </w:r>
      <w:r w:rsidRPr="00EA6917">
        <w:rPr>
          <w:szCs w:val="24"/>
          <w:u w:val="single"/>
        </w:rPr>
        <w:t>reasonable</w:t>
      </w:r>
      <w:r w:rsidRPr="00EA6917">
        <w:rPr>
          <w:szCs w:val="24"/>
        </w:rPr>
        <w:t xml:space="preserve"> access to all parts of the dwelling unit establishes a rebuttable presumption that no common household exists.</w:t>
      </w:r>
    </w:p>
    <w:p w14:paraId="1A28E34F" w14:textId="77777777" w:rsidR="00EA6917" w:rsidRPr="00EA6917" w:rsidRDefault="00EA6917" w:rsidP="00EA6917">
      <w:pPr>
        <w:spacing w:line="480" w:lineRule="auto"/>
        <w:ind w:firstLine="720"/>
        <w:rPr>
          <w:szCs w:val="24"/>
        </w:rPr>
      </w:pPr>
      <w:r w:rsidRPr="00EA6917">
        <w:rPr>
          <w:szCs w:val="24"/>
        </w:rPr>
        <w:t>§ 6. Subdivision a of section 27-2004 of the administrative code of the city of New York is amended by adding a new paragraph 51 to read as follows:</w:t>
      </w:r>
    </w:p>
    <w:p w14:paraId="2DA4FD94" w14:textId="77777777" w:rsidR="00EA6917" w:rsidRPr="00EA6917" w:rsidRDefault="00EA6917" w:rsidP="00EA6917">
      <w:pPr>
        <w:ind w:firstLine="720"/>
        <w:rPr>
          <w:szCs w:val="24"/>
          <w:u w:val="single"/>
        </w:rPr>
      </w:pPr>
      <w:r w:rsidRPr="00EA6917">
        <w:rPr>
          <w:szCs w:val="24"/>
          <w:u w:val="single"/>
        </w:rPr>
        <w:t xml:space="preserve">51. The term “adult” means an individual 18 years of age or older. </w:t>
      </w:r>
    </w:p>
    <w:p w14:paraId="2DA0F33B" w14:textId="77777777" w:rsidR="00EA6917" w:rsidRPr="00EA6917" w:rsidRDefault="00EA6917" w:rsidP="00EA6917">
      <w:pPr>
        <w:ind w:firstLine="720"/>
        <w:rPr>
          <w:szCs w:val="24"/>
          <w:u w:val="single"/>
        </w:rPr>
      </w:pPr>
    </w:p>
    <w:p w14:paraId="129FD775" w14:textId="77777777" w:rsidR="00EA6917" w:rsidRPr="00EA6917" w:rsidRDefault="00EA6917" w:rsidP="00EA6917">
      <w:pPr>
        <w:spacing w:line="480" w:lineRule="auto"/>
        <w:ind w:firstLine="720"/>
        <w:rPr>
          <w:szCs w:val="24"/>
        </w:rPr>
      </w:pPr>
      <w:r w:rsidRPr="00EA6917">
        <w:rPr>
          <w:szCs w:val="24"/>
        </w:rPr>
        <w:t>§ 7. Section 27-2078 of the administrative code of the city of New York, as added by local law number 907 for the year 1985, is amended to read as follows:</w:t>
      </w:r>
    </w:p>
    <w:p w14:paraId="19195FC0" w14:textId="77777777" w:rsidR="00EA6917" w:rsidRPr="00EA6917" w:rsidRDefault="00EA6917" w:rsidP="00EA6917">
      <w:pPr>
        <w:spacing w:line="480" w:lineRule="auto"/>
        <w:ind w:firstLine="720"/>
        <w:rPr>
          <w:szCs w:val="24"/>
          <w:u w:val="single"/>
        </w:rPr>
      </w:pPr>
      <w:r w:rsidRPr="00EA6917">
        <w:rPr>
          <w:szCs w:val="24"/>
        </w:rPr>
        <w:t xml:space="preserve">a. A family may rent [one] </w:t>
      </w:r>
      <w:r w:rsidRPr="00EA6917">
        <w:rPr>
          <w:szCs w:val="24"/>
          <w:u w:val="single"/>
        </w:rPr>
        <w:t>1</w:t>
      </w:r>
      <w:r w:rsidRPr="00EA6917">
        <w:rPr>
          <w:szCs w:val="24"/>
        </w:rPr>
        <w:t xml:space="preserve"> or more living rooms in an apartment to not more than [two] </w:t>
      </w:r>
      <w:r w:rsidRPr="00EA6917">
        <w:rPr>
          <w:szCs w:val="24"/>
          <w:u w:val="single"/>
        </w:rPr>
        <w:t>4 adult</w:t>
      </w:r>
      <w:r w:rsidRPr="00EA6917">
        <w:rPr>
          <w:szCs w:val="24"/>
        </w:rPr>
        <w:t xml:space="preserve"> boarders, roomers</w:t>
      </w:r>
      <w:r w:rsidRPr="00EA6917">
        <w:rPr>
          <w:szCs w:val="24"/>
          <w:u w:val="single"/>
        </w:rPr>
        <w:t>,</w:t>
      </w:r>
      <w:r w:rsidRPr="00EA6917">
        <w:rPr>
          <w:szCs w:val="24"/>
        </w:rPr>
        <w:t xml:space="preserve"> or lodgers</w:t>
      </w:r>
      <w:r w:rsidRPr="00EA6917">
        <w:rPr>
          <w:szCs w:val="24"/>
          <w:u w:val="single"/>
        </w:rPr>
        <w:t xml:space="preserve"> and their children</w:t>
      </w:r>
      <w:r w:rsidRPr="00EA6917">
        <w:rPr>
          <w:szCs w:val="24"/>
        </w:rPr>
        <w:t>, if every living room in such apartment has free and unobstructed access to each required exit from such apartment as provided in paragraphs (a), (b)</w:t>
      </w:r>
      <w:r w:rsidRPr="00EA6917">
        <w:rPr>
          <w:szCs w:val="24"/>
          <w:u w:val="single"/>
        </w:rPr>
        <w:t>,</w:t>
      </w:r>
      <w:r w:rsidRPr="00EA6917">
        <w:rPr>
          <w:szCs w:val="24"/>
        </w:rPr>
        <w:t xml:space="preserve"> and (c) of subdivision [four] </w:t>
      </w:r>
      <w:r w:rsidRPr="00EA6917">
        <w:rPr>
          <w:szCs w:val="24"/>
          <w:u w:val="single"/>
        </w:rPr>
        <w:t>4</w:t>
      </w:r>
      <w:r w:rsidRPr="00EA6917">
        <w:rPr>
          <w:szCs w:val="24"/>
        </w:rPr>
        <w:t xml:space="preserve"> of section [two hundred forty-eight] </w:t>
      </w:r>
      <w:r w:rsidRPr="00EA6917">
        <w:rPr>
          <w:szCs w:val="24"/>
          <w:u w:val="single"/>
        </w:rPr>
        <w:t>248</w:t>
      </w:r>
      <w:r w:rsidRPr="00EA6917">
        <w:rPr>
          <w:szCs w:val="24"/>
        </w:rPr>
        <w:t xml:space="preserve"> or paragraph (a) of subdivision [one] </w:t>
      </w:r>
      <w:r w:rsidRPr="00EA6917">
        <w:rPr>
          <w:szCs w:val="24"/>
          <w:u w:val="single"/>
        </w:rPr>
        <w:t>1</w:t>
      </w:r>
      <w:r w:rsidRPr="00EA6917">
        <w:rPr>
          <w:szCs w:val="24"/>
        </w:rPr>
        <w:t xml:space="preserve"> of section [fifty-three] </w:t>
      </w:r>
      <w:r w:rsidRPr="00EA6917">
        <w:rPr>
          <w:szCs w:val="24"/>
          <w:u w:val="single"/>
        </w:rPr>
        <w:t>53</w:t>
      </w:r>
      <w:r w:rsidRPr="00EA6917">
        <w:rPr>
          <w:szCs w:val="24"/>
        </w:rPr>
        <w:t xml:space="preserve"> of the multiple dwelling law, </w:t>
      </w:r>
      <w:r w:rsidRPr="00EA6917">
        <w:rPr>
          <w:szCs w:val="24"/>
          <w:u w:val="single"/>
        </w:rPr>
        <w:t>subchapter 6 of chapter 1 of the New York city building code, and chapter 10 of the New York city fire code,</w:t>
      </w:r>
      <w:r w:rsidRPr="00EA6917">
        <w:rPr>
          <w:szCs w:val="24"/>
        </w:rPr>
        <w:t xml:space="preserve"> and if each such boarder, roomer</w:t>
      </w:r>
      <w:r w:rsidRPr="00EA6917">
        <w:rPr>
          <w:szCs w:val="24"/>
          <w:u w:val="single"/>
        </w:rPr>
        <w:t>,</w:t>
      </w:r>
      <w:r w:rsidRPr="00EA6917">
        <w:rPr>
          <w:szCs w:val="24"/>
        </w:rPr>
        <w:t xml:space="preserve"> or lodger</w:t>
      </w:r>
      <w:r w:rsidRPr="00EA6917">
        <w:rPr>
          <w:szCs w:val="24"/>
          <w:u w:val="single"/>
        </w:rPr>
        <w:t xml:space="preserve"> and their children</w:t>
      </w:r>
      <w:r w:rsidRPr="00EA6917">
        <w:rPr>
          <w:szCs w:val="24"/>
        </w:rPr>
        <w:t xml:space="preserve"> has access to, and the right to use, at least [one] </w:t>
      </w:r>
      <w:r w:rsidRPr="00EA6917">
        <w:rPr>
          <w:szCs w:val="24"/>
          <w:u w:val="single"/>
        </w:rPr>
        <w:t>1</w:t>
      </w:r>
      <w:r w:rsidRPr="00EA6917">
        <w:rPr>
          <w:szCs w:val="24"/>
        </w:rPr>
        <w:t xml:space="preserve"> water closet, bath</w:t>
      </w:r>
      <w:r w:rsidRPr="00EA6917">
        <w:rPr>
          <w:szCs w:val="24"/>
          <w:u w:val="single"/>
        </w:rPr>
        <w:t>,</w:t>
      </w:r>
      <w:r w:rsidRPr="00EA6917">
        <w:rPr>
          <w:szCs w:val="24"/>
        </w:rPr>
        <w:t xml:space="preserve"> or shower and one washbasin as may be required in or for an apartment in this code. </w:t>
      </w:r>
      <w:r w:rsidRPr="00EA6917">
        <w:rPr>
          <w:szCs w:val="24"/>
          <w:u w:val="single"/>
        </w:rPr>
        <w:t>The family member who receives a registration pursuant to section 26-3102 may offer a short-term rental to up to 4 boarders, roomers, or lodgers and their children. The family member or members need not be physically present in the dwelling unit during the period of the short-term rental. The family member or members shall provide reasonable access to the dwelling unit to the boarders, roomers, or lodgers and their children, but shall not be required to provide access to the bedrooms, offices, or other similar private spaces of any family member in the dwelling unit.</w:t>
      </w:r>
    </w:p>
    <w:p w14:paraId="7D7AFDB9" w14:textId="77777777" w:rsidR="00EA6917" w:rsidRPr="00EA6917" w:rsidRDefault="00EA6917" w:rsidP="00EA6917">
      <w:pPr>
        <w:spacing w:line="480" w:lineRule="auto"/>
        <w:ind w:firstLine="720"/>
        <w:rPr>
          <w:szCs w:val="24"/>
        </w:rPr>
      </w:pPr>
      <w:r w:rsidRPr="00EA6917">
        <w:rPr>
          <w:szCs w:val="24"/>
        </w:rPr>
        <w:t>b. Where a tenant rents any part of an apartment in a multiple dwelling to more than two boarders, roomers, or lodgers, such rent shall constitute a use of the apartment for single room occupancy and such rental in an apartment of a converted dwelling shall constitute an unlawful use as a rooming unit.</w:t>
      </w:r>
    </w:p>
    <w:p w14:paraId="72648C27" w14:textId="77777777" w:rsidR="00EA6917" w:rsidRPr="00EA6917" w:rsidRDefault="00EA6917" w:rsidP="00EA6917">
      <w:pPr>
        <w:spacing w:line="480" w:lineRule="auto"/>
        <w:ind w:firstLine="720"/>
        <w:rPr>
          <w:szCs w:val="24"/>
        </w:rPr>
      </w:pPr>
      <w:r w:rsidRPr="00EA6917">
        <w:rPr>
          <w:szCs w:val="24"/>
        </w:rPr>
        <w:t xml:space="preserve">[c. A family may rent one or more living rooms in a private dwelling to not more than two boarders, roomers or lodgers, except as otherwise prohibited under the zoning resolution of the city of New York.] </w:t>
      </w:r>
    </w:p>
    <w:p w14:paraId="1661AE61" w14:textId="77777777" w:rsidR="00EA6917" w:rsidRPr="00EA6917" w:rsidRDefault="00EA6917" w:rsidP="00EA6917">
      <w:pPr>
        <w:spacing w:line="480" w:lineRule="auto"/>
        <w:ind w:firstLine="720"/>
        <w:rPr>
          <w:szCs w:val="24"/>
        </w:rPr>
      </w:pPr>
      <w:r w:rsidRPr="00EA6917">
        <w:rPr>
          <w:szCs w:val="24"/>
        </w:rPr>
        <w:t>§ 8. Section 26-3102 of the administrative code of the city of New York is amended by adding new subdivisions n through p to read as follows:</w:t>
      </w:r>
    </w:p>
    <w:p w14:paraId="3C6B7C9B" w14:textId="77777777" w:rsidR="00EA6917" w:rsidRPr="00EA6917" w:rsidRDefault="00EA6917" w:rsidP="00EA6917">
      <w:pPr>
        <w:spacing w:line="480" w:lineRule="auto"/>
        <w:ind w:firstLine="720"/>
        <w:rPr>
          <w:szCs w:val="24"/>
          <w:u w:val="single"/>
        </w:rPr>
      </w:pPr>
      <w:r w:rsidRPr="00EA6917">
        <w:rPr>
          <w:szCs w:val="24"/>
          <w:u w:val="single"/>
        </w:rPr>
        <w:t xml:space="preserve">n. The registered host of a private dwelling that receives a registration pursuant to this section need not be physically present in the dwelling unit during the period of the short-term rental. </w:t>
      </w:r>
    </w:p>
    <w:p w14:paraId="02981716" w14:textId="77777777" w:rsidR="00EA6917" w:rsidRPr="00EA6917" w:rsidRDefault="00EA6917" w:rsidP="00EA6917">
      <w:pPr>
        <w:spacing w:line="480" w:lineRule="auto"/>
        <w:ind w:firstLine="720"/>
        <w:rPr>
          <w:szCs w:val="24"/>
          <w:u w:val="single"/>
        </w:rPr>
      </w:pPr>
      <w:r w:rsidRPr="00EA6917">
        <w:rPr>
          <w:szCs w:val="24"/>
          <w:u w:val="single"/>
        </w:rPr>
        <w:t xml:space="preserve">o. The registered host of the dwelling unit may offer a short-term rental to up to 4 adult boarders, roomers, or lodgers and their children. </w:t>
      </w:r>
    </w:p>
    <w:p w14:paraId="1FBA5321" w14:textId="77777777" w:rsidR="00EA6917" w:rsidRPr="00EA6917" w:rsidRDefault="00EA6917" w:rsidP="00EA6917">
      <w:pPr>
        <w:spacing w:line="480" w:lineRule="auto"/>
        <w:ind w:firstLine="720"/>
        <w:rPr>
          <w:color w:val="000000"/>
          <w:szCs w:val="24"/>
          <w:u w:val="single"/>
        </w:rPr>
      </w:pPr>
      <w:r w:rsidRPr="00EA6917">
        <w:rPr>
          <w:szCs w:val="24"/>
          <w:u w:val="single"/>
        </w:rPr>
        <w:t xml:space="preserve">p. A registered host offering a short-term rental shall provide reasonable access to the dwelling unit to such boarders, roomers, or lodgers and their children, but shall not be required to provide access to the bedroom, offices, or other similar private spaces of any permanent occupant in the dwelling unit. </w:t>
      </w:r>
    </w:p>
    <w:p w14:paraId="4A13CBF1" w14:textId="77777777" w:rsidR="00EA6917" w:rsidRPr="00EA6917" w:rsidRDefault="00EA6917" w:rsidP="00EA6917">
      <w:pPr>
        <w:shd w:val="clear" w:color="auto" w:fill="FFFFFF"/>
        <w:spacing w:line="480" w:lineRule="auto"/>
        <w:ind w:firstLine="720"/>
        <w:rPr>
          <w:color w:val="000000"/>
          <w:sz w:val="27"/>
          <w:szCs w:val="27"/>
        </w:rPr>
        <w:sectPr w:rsidR="00EA6917" w:rsidRPr="00EA6917" w:rsidSect="00EA6917">
          <w:type w:val="continuous"/>
          <w:pgSz w:w="12240" w:h="15840"/>
          <w:pgMar w:top="1440" w:right="1440" w:bottom="1440" w:left="1440" w:header="720" w:footer="720" w:gutter="0"/>
          <w:lnNumType w:countBy="1"/>
          <w:cols w:space="720"/>
          <w:titlePg/>
          <w:docGrid w:linePitch="360"/>
        </w:sectPr>
      </w:pPr>
      <w:r w:rsidRPr="00EA6917">
        <w:rPr>
          <w:color w:val="000000"/>
          <w:szCs w:val="24"/>
        </w:rPr>
        <w:t>§ 9. This local law takes effect 1 year after it becomes law.</w:t>
      </w:r>
    </w:p>
    <w:p w14:paraId="7483BACF" w14:textId="77777777" w:rsidR="00EA6917" w:rsidRPr="00EA6917" w:rsidRDefault="00EA6917" w:rsidP="00EA6917">
      <w:pPr>
        <w:rPr>
          <w:sz w:val="18"/>
          <w:szCs w:val="18"/>
        </w:rPr>
      </w:pPr>
    </w:p>
    <w:p w14:paraId="7CA2845E" w14:textId="77777777" w:rsidR="00EA6917" w:rsidRPr="00EA6917" w:rsidRDefault="00EA6917" w:rsidP="00EA6917">
      <w:pPr>
        <w:rPr>
          <w:sz w:val="18"/>
          <w:szCs w:val="18"/>
          <w:u w:val="single"/>
        </w:rPr>
      </w:pPr>
      <w:r w:rsidRPr="00EA6917">
        <w:rPr>
          <w:sz w:val="18"/>
          <w:szCs w:val="18"/>
          <w:u w:val="single"/>
        </w:rPr>
        <w:t>Session 13:</w:t>
      </w:r>
    </w:p>
    <w:p w14:paraId="01BCFD05" w14:textId="77777777" w:rsidR="00EA6917" w:rsidRPr="00EA6917" w:rsidRDefault="00EA6917" w:rsidP="00EA6917">
      <w:pPr>
        <w:rPr>
          <w:sz w:val="18"/>
          <w:szCs w:val="18"/>
        </w:rPr>
      </w:pPr>
      <w:r w:rsidRPr="00EA6917">
        <w:rPr>
          <w:sz w:val="18"/>
          <w:szCs w:val="18"/>
        </w:rPr>
        <w:t>BJR/APM</w:t>
      </w:r>
    </w:p>
    <w:p w14:paraId="4A434776" w14:textId="77777777" w:rsidR="00EA6917" w:rsidRPr="00EA6917" w:rsidRDefault="00EA6917" w:rsidP="00EA6917">
      <w:pPr>
        <w:rPr>
          <w:sz w:val="18"/>
          <w:szCs w:val="18"/>
        </w:rPr>
      </w:pPr>
      <w:r w:rsidRPr="00EA6917">
        <w:rPr>
          <w:sz w:val="18"/>
          <w:szCs w:val="18"/>
        </w:rPr>
        <w:t>LS 114</w:t>
      </w:r>
    </w:p>
    <w:p w14:paraId="12195EE0" w14:textId="77777777" w:rsidR="00EA6917" w:rsidRPr="00EA6917" w:rsidRDefault="00EA6917" w:rsidP="00EA6917">
      <w:pPr>
        <w:rPr>
          <w:sz w:val="18"/>
          <w:szCs w:val="18"/>
        </w:rPr>
      </w:pPr>
      <w:r w:rsidRPr="00EA6917">
        <w:rPr>
          <w:sz w:val="18"/>
          <w:szCs w:val="18"/>
        </w:rPr>
        <w:t>10/22/25 9:35am</w:t>
      </w:r>
    </w:p>
    <w:p w14:paraId="72597C28" w14:textId="77777777" w:rsidR="00EA6917" w:rsidRPr="00EA6917" w:rsidRDefault="00EA6917" w:rsidP="00EA6917">
      <w:pPr>
        <w:rPr>
          <w:sz w:val="18"/>
          <w:szCs w:val="18"/>
        </w:rPr>
      </w:pPr>
    </w:p>
    <w:p w14:paraId="6DFD00FE" w14:textId="77777777" w:rsidR="00EA6917" w:rsidRPr="00EA6917" w:rsidRDefault="00EA6917" w:rsidP="00EA6917">
      <w:pPr>
        <w:rPr>
          <w:sz w:val="18"/>
          <w:szCs w:val="18"/>
          <w:u w:val="single"/>
        </w:rPr>
      </w:pPr>
      <w:r w:rsidRPr="00EA6917">
        <w:rPr>
          <w:sz w:val="18"/>
          <w:szCs w:val="18"/>
          <w:u w:val="single"/>
        </w:rPr>
        <w:t>Session 12:</w:t>
      </w:r>
    </w:p>
    <w:p w14:paraId="1E1BF0DC" w14:textId="77777777" w:rsidR="00EA6917" w:rsidRPr="00EA6917" w:rsidRDefault="00EA6917" w:rsidP="00EA6917">
      <w:pPr>
        <w:rPr>
          <w:sz w:val="18"/>
          <w:szCs w:val="18"/>
        </w:rPr>
      </w:pPr>
      <w:r w:rsidRPr="00EA6917">
        <w:rPr>
          <w:sz w:val="18"/>
          <w:szCs w:val="18"/>
        </w:rPr>
        <w:t>BJR</w:t>
      </w:r>
    </w:p>
    <w:p w14:paraId="30F3E0A5" w14:textId="77777777" w:rsidR="00EA6917" w:rsidRPr="00EA6917" w:rsidRDefault="00EA6917" w:rsidP="00EA6917">
      <w:pPr>
        <w:rPr>
          <w:sz w:val="18"/>
          <w:szCs w:val="18"/>
        </w:rPr>
      </w:pPr>
      <w:r w:rsidRPr="00EA6917">
        <w:rPr>
          <w:sz w:val="18"/>
          <w:szCs w:val="18"/>
        </w:rPr>
        <w:t>LS 114</w:t>
      </w:r>
    </w:p>
    <w:p w14:paraId="16FDE0AD" w14:textId="77777777" w:rsidR="00EA6917" w:rsidRPr="00EA6917" w:rsidRDefault="00EA6917" w:rsidP="00EA6917">
      <w:pPr>
        <w:rPr>
          <w:sz w:val="18"/>
          <w:szCs w:val="18"/>
        </w:rPr>
      </w:pPr>
      <w:r w:rsidRPr="00EA6917">
        <w:rPr>
          <w:sz w:val="18"/>
          <w:szCs w:val="18"/>
        </w:rPr>
        <w:t>8/8/22</w:t>
      </w:r>
    </w:p>
    <w:p w14:paraId="2C4C915E" w14:textId="77777777" w:rsidR="00EA6917" w:rsidRDefault="00EA6917" w:rsidP="00A01B55">
      <w:pPr>
        <w:pStyle w:val="BlockNarrow"/>
        <w:spacing w:after="0"/>
        <w:ind w:left="0" w:right="0"/>
        <w:jc w:val="center"/>
      </w:pPr>
    </w:p>
    <w:p w14:paraId="2313C985" w14:textId="77777777" w:rsidR="00EA6917" w:rsidRDefault="00EA6917" w:rsidP="00A01B55">
      <w:pPr>
        <w:pStyle w:val="BlockNarrow"/>
        <w:spacing w:after="0"/>
        <w:ind w:left="0" w:right="0"/>
        <w:jc w:val="center"/>
      </w:pPr>
    </w:p>
    <w:p w14:paraId="555E70A1" w14:textId="77777777" w:rsidR="00EA6917" w:rsidRDefault="00EA6917" w:rsidP="00A01B55">
      <w:pPr>
        <w:pStyle w:val="BlockNarrow"/>
        <w:spacing w:after="0"/>
        <w:ind w:left="0" w:right="0"/>
        <w:jc w:val="center"/>
      </w:pPr>
    </w:p>
    <w:p w14:paraId="2B943796" w14:textId="77777777" w:rsidR="00EA6917" w:rsidRDefault="00EA6917" w:rsidP="00A01B55">
      <w:pPr>
        <w:pStyle w:val="BlockNarrow"/>
        <w:spacing w:after="0"/>
        <w:ind w:left="0" w:right="0"/>
        <w:jc w:val="center"/>
      </w:pPr>
    </w:p>
    <w:p w14:paraId="7ED1DD4A" w14:textId="77777777" w:rsidR="00EA6917" w:rsidRDefault="00EA6917" w:rsidP="00A01B55">
      <w:pPr>
        <w:pStyle w:val="BlockNarrow"/>
        <w:spacing w:after="0"/>
        <w:ind w:left="0" w:right="0"/>
        <w:jc w:val="center"/>
      </w:pPr>
    </w:p>
    <w:p w14:paraId="54020DBB" w14:textId="77777777" w:rsidR="00EA6917" w:rsidRDefault="00EA6917" w:rsidP="00A01B55">
      <w:pPr>
        <w:pStyle w:val="BlockNarrow"/>
        <w:spacing w:after="0"/>
        <w:ind w:left="0" w:right="0"/>
        <w:jc w:val="center"/>
      </w:pPr>
    </w:p>
    <w:p w14:paraId="45998C31" w14:textId="77777777" w:rsidR="00EA6917" w:rsidRDefault="00EA6917" w:rsidP="00A01B55">
      <w:pPr>
        <w:pStyle w:val="BlockNarrow"/>
        <w:spacing w:after="0"/>
        <w:ind w:left="0" w:right="0"/>
        <w:jc w:val="center"/>
      </w:pPr>
    </w:p>
    <w:p w14:paraId="30813F64" w14:textId="77777777" w:rsidR="00EA6917" w:rsidRDefault="00EA6917" w:rsidP="00A01B55">
      <w:pPr>
        <w:pStyle w:val="BlockNarrow"/>
        <w:spacing w:after="0"/>
        <w:ind w:left="0" w:right="0"/>
        <w:jc w:val="center"/>
      </w:pPr>
    </w:p>
    <w:p w14:paraId="3163E118" w14:textId="77777777" w:rsidR="00EA6917" w:rsidRDefault="00EA6917" w:rsidP="00A01B55">
      <w:pPr>
        <w:pStyle w:val="BlockNarrow"/>
        <w:spacing w:after="0"/>
        <w:ind w:left="0" w:right="0"/>
        <w:jc w:val="center"/>
      </w:pPr>
    </w:p>
    <w:p w14:paraId="03873993" w14:textId="77777777" w:rsidR="00EA6917" w:rsidRDefault="00EA6917" w:rsidP="00A01B55">
      <w:pPr>
        <w:pStyle w:val="BlockNarrow"/>
        <w:spacing w:after="0"/>
        <w:ind w:left="0" w:right="0"/>
        <w:jc w:val="center"/>
      </w:pPr>
    </w:p>
    <w:p w14:paraId="7B69E39C" w14:textId="77777777" w:rsidR="00EA6917" w:rsidRDefault="00EA6917" w:rsidP="00A01B55">
      <w:pPr>
        <w:pStyle w:val="BlockNarrow"/>
        <w:spacing w:after="0"/>
        <w:ind w:left="0" w:right="0"/>
        <w:jc w:val="center"/>
      </w:pPr>
    </w:p>
    <w:p w14:paraId="6909448F" w14:textId="77777777" w:rsidR="00EA6917" w:rsidRDefault="00EA6917" w:rsidP="00A01B55">
      <w:pPr>
        <w:pStyle w:val="BlockNarrow"/>
        <w:spacing w:after="0"/>
        <w:ind w:left="0" w:right="0"/>
        <w:jc w:val="center"/>
      </w:pPr>
    </w:p>
    <w:p w14:paraId="3CED688F" w14:textId="77777777" w:rsidR="00EA6917" w:rsidRDefault="00EA6917" w:rsidP="00A01B55">
      <w:pPr>
        <w:pStyle w:val="BlockNarrow"/>
        <w:spacing w:after="0"/>
        <w:ind w:left="0" w:right="0"/>
        <w:jc w:val="center"/>
      </w:pPr>
    </w:p>
    <w:p w14:paraId="2F8E79E9" w14:textId="77777777" w:rsidR="00EA6917" w:rsidRDefault="00EA6917" w:rsidP="00A01B55">
      <w:pPr>
        <w:pStyle w:val="BlockNarrow"/>
        <w:spacing w:after="0"/>
        <w:ind w:left="0" w:right="0"/>
        <w:jc w:val="center"/>
      </w:pPr>
    </w:p>
    <w:p w14:paraId="47AAE5AC" w14:textId="77777777" w:rsidR="00EA6917" w:rsidRDefault="00EA6917" w:rsidP="00A01B55">
      <w:pPr>
        <w:pStyle w:val="BlockNarrow"/>
        <w:spacing w:after="0"/>
        <w:ind w:left="0" w:right="0"/>
        <w:jc w:val="center"/>
      </w:pPr>
    </w:p>
    <w:p w14:paraId="75F5D900" w14:textId="77777777" w:rsidR="00EA6917" w:rsidRDefault="00EA6917" w:rsidP="00A01B55">
      <w:pPr>
        <w:pStyle w:val="BlockNarrow"/>
        <w:spacing w:after="0"/>
        <w:ind w:left="0" w:right="0"/>
        <w:jc w:val="center"/>
      </w:pPr>
    </w:p>
    <w:p w14:paraId="7A3E87E6" w14:textId="77777777" w:rsidR="00EA6917" w:rsidRDefault="00EA6917" w:rsidP="00A01B55">
      <w:pPr>
        <w:pStyle w:val="BlockNarrow"/>
        <w:spacing w:after="0"/>
        <w:ind w:left="0" w:right="0"/>
        <w:jc w:val="center"/>
      </w:pPr>
    </w:p>
    <w:p w14:paraId="76C6D67B" w14:textId="77777777" w:rsidR="00EA6917" w:rsidRDefault="00EA6917" w:rsidP="00A01B55">
      <w:pPr>
        <w:pStyle w:val="BlockNarrow"/>
        <w:spacing w:after="0"/>
        <w:ind w:left="0" w:right="0"/>
        <w:jc w:val="center"/>
      </w:pPr>
    </w:p>
    <w:p w14:paraId="6C40F9C8" w14:textId="77777777" w:rsidR="00EA6917" w:rsidRDefault="00EA6917" w:rsidP="00A01B55">
      <w:pPr>
        <w:pStyle w:val="BlockNarrow"/>
        <w:spacing w:after="0"/>
        <w:ind w:left="0" w:right="0"/>
        <w:jc w:val="center"/>
      </w:pPr>
    </w:p>
    <w:p w14:paraId="3AF898AE" w14:textId="77777777" w:rsidR="00EA6917" w:rsidRDefault="00EA6917" w:rsidP="00A01B55">
      <w:pPr>
        <w:pStyle w:val="BlockNarrow"/>
        <w:spacing w:after="0"/>
        <w:ind w:left="0" w:right="0"/>
        <w:jc w:val="center"/>
      </w:pPr>
    </w:p>
    <w:p w14:paraId="4526FB46" w14:textId="77777777" w:rsidR="00EA6917" w:rsidRDefault="00EA6917" w:rsidP="00A01B55">
      <w:pPr>
        <w:pStyle w:val="BlockNarrow"/>
        <w:spacing w:after="0"/>
        <w:ind w:left="0" w:right="0"/>
        <w:jc w:val="center"/>
      </w:pPr>
    </w:p>
    <w:p w14:paraId="05E40C60" w14:textId="77777777" w:rsidR="00EA6917" w:rsidRDefault="00EA6917" w:rsidP="00A01B55">
      <w:pPr>
        <w:pStyle w:val="BlockNarrow"/>
        <w:spacing w:after="0"/>
        <w:ind w:left="0" w:right="0"/>
        <w:jc w:val="center"/>
      </w:pPr>
    </w:p>
    <w:p w14:paraId="7D404A46" w14:textId="77777777" w:rsidR="00EA6917" w:rsidRDefault="00EA6917" w:rsidP="00A01B55">
      <w:pPr>
        <w:pStyle w:val="BlockNarrow"/>
        <w:spacing w:after="0"/>
        <w:ind w:left="0" w:right="0"/>
        <w:jc w:val="center"/>
      </w:pPr>
    </w:p>
    <w:p w14:paraId="67B19C7F" w14:textId="77777777" w:rsidR="00EA6917" w:rsidRDefault="00EA6917" w:rsidP="00A01B55">
      <w:pPr>
        <w:pStyle w:val="BlockNarrow"/>
        <w:spacing w:after="0"/>
        <w:ind w:left="0" w:right="0"/>
        <w:jc w:val="center"/>
      </w:pPr>
    </w:p>
    <w:p w14:paraId="019E2354" w14:textId="77777777" w:rsidR="00EA6917" w:rsidRDefault="00EA6917" w:rsidP="00A01B55">
      <w:pPr>
        <w:pStyle w:val="BlockNarrow"/>
        <w:spacing w:after="0"/>
        <w:ind w:left="0" w:right="0"/>
        <w:jc w:val="center"/>
      </w:pPr>
    </w:p>
    <w:p w14:paraId="72879A09" w14:textId="77777777" w:rsidR="00EA6917" w:rsidRDefault="00EA6917" w:rsidP="00A01B55">
      <w:pPr>
        <w:pStyle w:val="BlockNarrow"/>
        <w:spacing w:after="0"/>
        <w:ind w:left="0" w:right="0"/>
        <w:jc w:val="center"/>
      </w:pPr>
    </w:p>
    <w:p w14:paraId="5B38CB6C" w14:textId="77777777" w:rsidR="00EA6917" w:rsidRDefault="00EA6917" w:rsidP="00A01B55">
      <w:pPr>
        <w:pStyle w:val="BlockNarrow"/>
        <w:spacing w:after="0"/>
        <w:ind w:left="0" w:right="0"/>
        <w:jc w:val="center"/>
      </w:pPr>
    </w:p>
    <w:p w14:paraId="1F637F23" w14:textId="77777777" w:rsidR="00EA6917" w:rsidRDefault="00EA6917" w:rsidP="00A01B55">
      <w:pPr>
        <w:pStyle w:val="BlockNarrow"/>
        <w:spacing w:after="0"/>
        <w:ind w:left="0" w:right="0"/>
        <w:jc w:val="center"/>
      </w:pPr>
    </w:p>
    <w:p w14:paraId="390F27F4" w14:textId="77777777" w:rsidR="00EA6917" w:rsidRDefault="00EA6917" w:rsidP="00A01B55">
      <w:pPr>
        <w:pStyle w:val="BlockNarrow"/>
        <w:spacing w:after="0"/>
        <w:ind w:left="0" w:right="0"/>
        <w:jc w:val="center"/>
      </w:pPr>
    </w:p>
    <w:p w14:paraId="4E65DC17" w14:textId="77777777" w:rsidR="00EA6917" w:rsidRDefault="00EA6917" w:rsidP="00A01B55">
      <w:pPr>
        <w:pStyle w:val="BlockNarrow"/>
        <w:spacing w:after="0"/>
        <w:ind w:left="0" w:right="0"/>
        <w:jc w:val="center"/>
      </w:pPr>
    </w:p>
    <w:p w14:paraId="442D1D47" w14:textId="77777777" w:rsidR="00EA6917" w:rsidRDefault="00EA6917" w:rsidP="00A01B55">
      <w:pPr>
        <w:pStyle w:val="BlockNarrow"/>
        <w:spacing w:after="0"/>
        <w:ind w:left="0" w:right="0"/>
        <w:jc w:val="center"/>
      </w:pPr>
    </w:p>
    <w:p w14:paraId="6244E646" w14:textId="77777777" w:rsidR="00EA6917" w:rsidRDefault="00EA6917" w:rsidP="00A01B55">
      <w:pPr>
        <w:pStyle w:val="BlockNarrow"/>
        <w:spacing w:after="0"/>
        <w:ind w:left="0" w:right="0"/>
        <w:jc w:val="center"/>
      </w:pPr>
    </w:p>
    <w:p w14:paraId="412FC36A" w14:textId="77777777" w:rsidR="00EA6917" w:rsidRDefault="00EA6917" w:rsidP="00A01B55">
      <w:pPr>
        <w:pStyle w:val="BlockNarrow"/>
        <w:spacing w:after="0"/>
        <w:ind w:left="0" w:right="0"/>
        <w:jc w:val="center"/>
      </w:pPr>
    </w:p>
    <w:p w14:paraId="290036F3" w14:textId="77777777" w:rsidR="00EA6917" w:rsidRDefault="00EA6917" w:rsidP="00A01B55">
      <w:pPr>
        <w:pStyle w:val="BlockNarrow"/>
        <w:spacing w:after="0"/>
        <w:ind w:left="0" w:right="0"/>
        <w:jc w:val="center"/>
      </w:pPr>
    </w:p>
    <w:p w14:paraId="6F22EA0D" w14:textId="77777777" w:rsidR="00EA6917" w:rsidRDefault="00EA6917" w:rsidP="00A01B55">
      <w:pPr>
        <w:pStyle w:val="BlockNarrow"/>
        <w:spacing w:after="0"/>
        <w:ind w:left="0" w:right="0"/>
        <w:jc w:val="center"/>
      </w:pPr>
    </w:p>
    <w:p w14:paraId="442C5712" w14:textId="77777777" w:rsidR="00EA6917" w:rsidRDefault="00EA6917" w:rsidP="00A01B55">
      <w:pPr>
        <w:pStyle w:val="BlockNarrow"/>
        <w:spacing w:after="0"/>
        <w:ind w:left="0" w:right="0"/>
        <w:jc w:val="center"/>
      </w:pPr>
    </w:p>
    <w:p w14:paraId="06E6AA3B" w14:textId="77777777" w:rsidR="00EA6917" w:rsidRDefault="00EA6917" w:rsidP="00A01B55">
      <w:pPr>
        <w:pStyle w:val="BlockNarrow"/>
        <w:spacing w:after="0"/>
        <w:ind w:left="0" w:right="0"/>
        <w:jc w:val="center"/>
      </w:pPr>
    </w:p>
    <w:p w14:paraId="4F21FEF4" w14:textId="77777777" w:rsidR="00EA6917" w:rsidRDefault="00EA6917" w:rsidP="00A01B55">
      <w:pPr>
        <w:pStyle w:val="BlockNarrow"/>
        <w:spacing w:after="0"/>
        <w:ind w:left="0" w:right="0"/>
        <w:jc w:val="center"/>
      </w:pPr>
    </w:p>
    <w:p w14:paraId="4C3345DA" w14:textId="77777777" w:rsidR="00EA6917" w:rsidRDefault="00EA6917" w:rsidP="00A01B55">
      <w:pPr>
        <w:pStyle w:val="BlockNarrow"/>
        <w:spacing w:after="0"/>
        <w:ind w:left="0" w:right="0"/>
        <w:jc w:val="center"/>
      </w:pPr>
    </w:p>
    <w:p w14:paraId="65372C90" w14:textId="77777777" w:rsidR="00EA6917" w:rsidRDefault="00EA6917" w:rsidP="00A01B55">
      <w:pPr>
        <w:pStyle w:val="BlockNarrow"/>
        <w:spacing w:after="0"/>
        <w:ind w:left="0" w:right="0"/>
        <w:jc w:val="center"/>
      </w:pPr>
    </w:p>
    <w:p w14:paraId="1AB06C1A" w14:textId="77777777" w:rsidR="00EA6917" w:rsidRDefault="00EA6917" w:rsidP="00A01B55">
      <w:pPr>
        <w:pStyle w:val="BlockNarrow"/>
        <w:spacing w:after="0"/>
        <w:ind w:left="0" w:right="0"/>
        <w:jc w:val="center"/>
      </w:pPr>
    </w:p>
    <w:p w14:paraId="46FB9DE8" w14:textId="77777777" w:rsidR="00FD2721" w:rsidRDefault="00FD2721" w:rsidP="008F527A">
      <w:pPr>
        <w:jc w:val="center"/>
        <w:rPr>
          <w:szCs w:val="24"/>
        </w:rPr>
      </w:pPr>
    </w:p>
    <w:p w14:paraId="7C95CF02" w14:textId="77777777" w:rsidR="00FD2721" w:rsidRDefault="00FD2721" w:rsidP="008F527A">
      <w:pPr>
        <w:jc w:val="center"/>
        <w:rPr>
          <w:szCs w:val="24"/>
        </w:rPr>
      </w:pPr>
    </w:p>
    <w:p w14:paraId="28F6C2B0" w14:textId="77777777" w:rsidR="00FD2721" w:rsidRDefault="00FD2721" w:rsidP="008F527A">
      <w:pPr>
        <w:jc w:val="center"/>
        <w:rPr>
          <w:szCs w:val="24"/>
        </w:rPr>
      </w:pPr>
    </w:p>
    <w:p w14:paraId="41B24AD3" w14:textId="77777777" w:rsidR="00FD2721" w:rsidRDefault="00FD2721" w:rsidP="008F527A">
      <w:pPr>
        <w:jc w:val="center"/>
        <w:rPr>
          <w:szCs w:val="24"/>
        </w:rPr>
      </w:pPr>
    </w:p>
    <w:p w14:paraId="40C9CD53" w14:textId="77777777" w:rsidR="00FD2721" w:rsidRDefault="00FD2721" w:rsidP="008F527A">
      <w:pPr>
        <w:jc w:val="center"/>
        <w:rPr>
          <w:szCs w:val="24"/>
        </w:rPr>
      </w:pPr>
    </w:p>
    <w:p w14:paraId="07E74785" w14:textId="77777777" w:rsidR="00FD2721" w:rsidRDefault="00FD2721" w:rsidP="008F527A">
      <w:pPr>
        <w:jc w:val="center"/>
        <w:rPr>
          <w:szCs w:val="24"/>
        </w:rPr>
      </w:pPr>
    </w:p>
    <w:p w14:paraId="7E7063BF" w14:textId="77777777" w:rsidR="00FD2721" w:rsidRDefault="00FD2721" w:rsidP="008F527A">
      <w:pPr>
        <w:jc w:val="center"/>
        <w:rPr>
          <w:szCs w:val="24"/>
        </w:rPr>
      </w:pPr>
    </w:p>
    <w:p w14:paraId="2CC5091E" w14:textId="77777777" w:rsidR="00FD2721" w:rsidRDefault="00FD2721" w:rsidP="008F527A">
      <w:pPr>
        <w:jc w:val="center"/>
        <w:rPr>
          <w:szCs w:val="24"/>
        </w:rPr>
      </w:pPr>
    </w:p>
    <w:p w14:paraId="3FEAB616" w14:textId="77777777" w:rsidR="00FD2721" w:rsidRDefault="00FD2721" w:rsidP="008F527A">
      <w:pPr>
        <w:jc w:val="center"/>
        <w:rPr>
          <w:szCs w:val="24"/>
        </w:rPr>
      </w:pPr>
    </w:p>
    <w:p w14:paraId="259879C4" w14:textId="77777777" w:rsidR="00FD2721" w:rsidRDefault="00FD2721" w:rsidP="008F527A">
      <w:pPr>
        <w:jc w:val="center"/>
        <w:rPr>
          <w:szCs w:val="24"/>
        </w:rPr>
      </w:pPr>
    </w:p>
    <w:p w14:paraId="0B4EF531" w14:textId="77777777" w:rsidR="00FD2721" w:rsidRDefault="00FD2721" w:rsidP="008F527A">
      <w:pPr>
        <w:jc w:val="center"/>
        <w:rPr>
          <w:szCs w:val="24"/>
        </w:rPr>
      </w:pPr>
    </w:p>
    <w:p w14:paraId="78F34FE9" w14:textId="77777777" w:rsidR="00FD2721" w:rsidRDefault="00FD2721" w:rsidP="008F527A">
      <w:pPr>
        <w:jc w:val="center"/>
        <w:rPr>
          <w:szCs w:val="24"/>
        </w:rPr>
      </w:pPr>
    </w:p>
    <w:p w14:paraId="2F43C60C" w14:textId="77777777" w:rsidR="00FD2721" w:rsidRDefault="00FD2721" w:rsidP="008F527A">
      <w:pPr>
        <w:jc w:val="center"/>
        <w:rPr>
          <w:szCs w:val="24"/>
        </w:rPr>
      </w:pPr>
    </w:p>
    <w:p w14:paraId="2138E12A" w14:textId="77777777" w:rsidR="00FD2721" w:rsidRDefault="00FD2721" w:rsidP="008F527A">
      <w:pPr>
        <w:jc w:val="center"/>
        <w:rPr>
          <w:szCs w:val="24"/>
        </w:rPr>
      </w:pPr>
    </w:p>
    <w:p w14:paraId="612C00A1" w14:textId="77777777" w:rsidR="00FD2721" w:rsidRDefault="00FD2721" w:rsidP="008F527A">
      <w:pPr>
        <w:jc w:val="center"/>
        <w:rPr>
          <w:szCs w:val="24"/>
        </w:rPr>
      </w:pPr>
    </w:p>
    <w:p w14:paraId="14006BD2" w14:textId="77777777" w:rsidR="00FD2721" w:rsidRDefault="00FD2721" w:rsidP="008F527A">
      <w:pPr>
        <w:jc w:val="center"/>
        <w:rPr>
          <w:szCs w:val="24"/>
        </w:rPr>
      </w:pPr>
    </w:p>
    <w:p w14:paraId="6B9C554D" w14:textId="77777777" w:rsidR="00FD2721" w:rsidRDefault="00FD2721" w:rsidP="008F527A">
      <w:pPr>
        <w:jc w:val="center"/>
        <w:rPr>
          <w:szCs w:val="24"/>
        </w:rPr>
      </w:pPr>
    </w:p>
    <w:p w14:paraId="77B1B651" w14:textId="77777777" w:rsidR="00FD2721" w:rsidRDefault="00FD2721" w:rsidP="008F527A">
      <w:pPr>
        <w:jc w:val="center"/>
        <w:rPr>
          <w:szCs w:val="24"/>
        </w:rPr>
      </w:pPr>
    </w:p>
    <w:p w14:paraId="5C088FC2" w14:textId="77777777" w:rsidR="00FD2721" w:rsidRDefault="00FD2721" w:rsidP="008F527A">
      <w:pPr>
        <w:jc w:val="center"/>
        <w:rPr>
          <w:szCs w:val="24"/>
        </w:rPr>
      </w:pPr>
    </w:p>
    <w:p w14:paraId="4BE345B5" w14:textId="77777777" w:rsidR="00FD2721" w:rsidRDefault="00FD2721" w:rsidP="008F527A">
      <w:pPr>
        <w:jc w:val="center"/>
        <w:rPr>
          <w:szCs w:val="24"/>
        </w:rPr>
      </w:pPr>
    </w:p>
    <w:p w14:paraId="4473DEB3" w14:textId="6171A8E1" w:rsidR="00FD2721" w:rsidRDefault="00FD2721" w:rsidP="008F527A">
      <w:pPr>
        <w:jc w:val="center"/>
        <w:rPr>
          <w:szCs w:val="24"/>
        </w:rPr>
      </w:pPr>
      <w:r>
        <w:rPr>
          <w:szCs w:val="24"/>
        </w:rPr>
        <w:t>[THIS PAGE INTENTIONALLY BLANK]</w:t>
      </w:r>
    </w:p>
    <w:p w14:paraId="451932C3" w14:textId="77777777" w:rsidR="00FD2721" w:rsidRDefault="00FD2721" w:rsidP="008F527A">
      <w:pPr>
        <w:jc w:val="center"/>
        <w:rPr>
          <w:szCs w:val="24"/>
        </w:rPr>
      </w:pPr>
    </w:p>
    <w:p w14:paraId="7DCE4C5F" w14:textId="77777777" w:rsidR="00FD2721" w:rsidRDefault="00FD2721" w:rsidP="008F527A">
      <w:pPr>
        <w:jc w:val="center"/>
        <w:rPr>
          <w:szCs w:val="24"/>
        </w:rPr>
      </w:pPr>
    </w:p>
    <w:p w14:paraId="3032FD3C" w14:textId="77777777" w:rsidR="00FD2721" w:rsidRDefault="00FD2721" w:rsidP="008F527A">
      <w:pPr>
        <w:jc w:val="center"/>
        <w:rPr>
          <w:szCs w:val="24"/>
        </w:rPr>
      </w:pPr>
    </w:p>
    <w:p w14:paraId="5485002C" w14:textId="77777777" w:rsidR="00FD2721" w:rsidRDefault="00FD2721" w:rsidP="008F527A">
      <w:pPr>
        <w:jc w:val="center"/>
        <w:rPr>
          <w:szCs w:val="24"/>
        </w:rPr>
      </w:pPr>
    </w:p>
    <w:p w14:paraId="0E65F6A2" w14:textId="77777777" w:rsidR="00FD2721" w:rsidRDefault="00FD2721" w:rsidP="008F527A">
      <w:pPr>
        <w:jc w:val="center"/>
        <w:rPr>
          <w:szCs w:val="24"/>
        </w:rPr>
      </w:pPr>
    </w:p>
    <w:p w14:paraId="2A23EAA8" w14:textId="77777777" w:rsidR="00FD2721" w:rsidRDefault="00FD2721" w:rsidP="008F527A">
      <w:pPr>
        <w:jc w:val="center"/>
        <w:rPr>
          <w:szCs w:val="24"/>
        </w:rPr>
      </w:pPr>
    </w:p>
    <w:p w14:paraId="6911614F" w14:textId="77777777" w:rsidR="00FD2721" w:rsidRDefault="00FD2721" w:rsidP="008F527A">
      <w:pPr>
        <w:jc w:val="center"/>
        <w:rPr>
          <w:szCs w:val="24"/>
        </w:rPr>
      </w:pPr>
    </w:p>
    <w:p w14:paraId="50BA8CEA" w14:textId="77777777" w:rsidR="00FD2721" w:rsidRDefault="00FD2721" w:rsidP="008F527A">
      <w:pPr>
        <w:jc w:val="center"/>
        <w:rPr>
          <w:szCs w:val="24"/>
        </w:rPr>
      </w:pPr>
    </w:p>
    <w:p w14:paraId="52848A26" w14:textId="77777777" w:rsidR="00FD2721" w:rsidRDefault="00FD2721" w:rsidP="008F527A">
      <w:pPr>
        <w:jc w:val="center"/>
        <w:rPr>
          <w:szCs w:val="24"/>
        </w:rPr>
      </w:pPr>
    </w:p>
    <w:p w14:paraId="4BA96A56" w14:textId="77777777" w:rsidR="00FD2721" w:rsidRDefault="00FD2721" w:rsidP="008F527A">
      <w:pPr>
        <w:jc w:val="center"/>
        <w:rPr>
          <w:szCs w:val="24"/>
        </w:rPr>
      </w:pPr>
    </w:p>
    <w:p w14:paraId="530B3C30" w14:textId="77777777" w:rsidR="00FD2721" w:rsidRDefault="00FD2721" w:rsidP="008F527A">
      <w:pPr>
        <w:jc w:val="center"/>
        <w:rPr>
          <w:szCs w:val="24"/>
        </w:rPr>
      </w:pPr>
    </w:p>
    <w:p w14:paraId="5BDF9D00" w14:textId="77777777" w:rsidR="00FD2721" w:rsidRDefault="00FD2721" w:rsidP="008F527A">
      <w:pPr>
        <w:jc w:val="center"/>
        <w:rPr>
          <w:szCs w:val="24"/>
        </w:rPr>
      </w:pPr>
    </w:p>
    <w:p w14:paraId="6FEB7D1F" w14:textId="77777777" w:rsidR="00FD2721" w:rsidRDefault="00FD2721" w:rsidP="008F527A">
      <w:pPr>
        <w:jc w:val="center"/>
        <w:rPr>
          <w:szCs w:val="24"/>
        </w:rPr>
      </w:pPr>
    </w:p>
    <w:p w14:paraId="099066E2" w14:textId="77777777" w:rsidR="00FD2721" w:rsidRDefault="00FD2721" w:rsidP="008F527A">
      <w:pPr>
        <w:jc w:val="center"/>
        <w:rPr>
          <w:szCs w:val="24"/>
        </w:rPr>
      </w:pPr>
    </w:p>
    <w:p w14:paraId="1C1C641F" w14:textId="77777777" w:rsidR="00FD2721" w:rsidRDefault="00FD2721" w:rsidP="008F527A">
      <w:pPr>
        <w:jc w:val="center"/>
        <w:rPr>
          <w:szCs w:val="24"/>
        </w:rPr>
      </w:pPr>
    </w:p>
    <w:p w14:paraId="4DD732BA" w14:textId="77777777" w:rsidR="00FD2721" w:rsidRDefault="00FD2721" w:rsidP="008F527A">
      <w:pPr>
        <w:jc w:val="center"/>
        <w:rPr>
          <w:szCs w:val="24"/>
        </w:rPr>
      </w:pPr>
    </w:p>
    <w:p w14:paraId="74681265" w14:textId="77777777" w:rsidR="00FD2721" w:rsidRDefault="00FD2721" w:rsidP="008F527A">
      <w:pPr>
        <w:jc w:val="center"/>
        <w:rPr>
          <w:szCs w:val="24"/>
        </w:rPr>
      </w:pPr>
    </w:p>
    <w:p w14:paraId="70E30641" w14:textId="77777777" w:rsidR="00FD2721" w:rsidRDefault="00FD2721" w:rsidP="008F527A">
      <w:pPr>
        <w:jc w:val="center"/>
        <w:rPr>
          <w:szCs w:val="24"/>
        </w:rPr>
      </w:pPr>
    </w:p>
    <w:p w14:paraId="0AEDF9E2" w14:textId="77777777" w:rsidR="00FD2721" w:rsidRDefault="00FD2721" w:rsidP="008F527A">
      <w:pPr>
        <w:jc w:val="center"/>
        <w:rPr>
          <w:szCs w:val="24"/>
        </w:rPr>
      </w:pPr>
    </w:p>
    <w:p w14:paraId="707AD65C" w14:textId="77777777" w:rsidR="00FD2721" w:rsidRDefault="00FD2721" w:rsidP="008F527A">
      <w:pPr>
        <w:jc w:val="center"/>
        <w:rPr>
          <w:szCs w:val="24"/>
        </w:rPr>
      </w:pPr>
    </w:p>
    <w:p w14:paraId="6450220A" w14:textId="77777777" w:rsidR="00FD2721" w:rsidRDefault="00FD2721" w:rsidP="008F527A">
      <w:pPr>
        <w:jc w:val="center"/>
        <w:rPr>
          <w:szCs w:val="24"/>
        </w:rPr>
      </w:pPr>
    </w:p>
    <w:p w14:paraId="5D9DD773" w14:textId="77777777" w:rsidR="00FD2721" w:rsidRDefault="00FD2721" w:rsidP="008F527A">
      <w:pPr>
        <w:jc w:val="center"/>
        <w:rPr>
          <w:szCs w:val="24"/>
        </w:rPr>
      </w:pPr>
    </w:p>
    <w:p w14:paraId="624B3BDB" w14:textId="77777777" w:rsidR="00FD2721" w:rsidRDefault="00FD2721" w:rsidP="008F527A">
      <w:pPr>
        <w:jc w:val="center"/>
        <w:rPr>
          <w:szCs w:val="24"/>
        </w:rPr>
      </w:pPr>
    </w:p>
    <w:p w14:paraId="014AAEFC" w14:textId="77777777" w:rsidR="00FD2721" w:rsidRDefault="00FD2721" w:rsidP="008F527A">
      <w:pPr>
        <w:jc w:val="center"/>
        <w:rPr>
          <w:szCs w:val="24"/>
        </w:rPr>
      </w:pPr>
    </w:p>
    <w:p w14:paraId="3DCBEDC1" w14:textId="77777777" w:rsidR="00FD2721" w:rsidRDefault="00FD2721" w:rsidP="008F527A">
      <w:pPr>
        <w:jc w:val="center"/>
        <w:rPr>
          <w:szCs w:val="24"/>
        </w:rPr>
      </w:pPr>
    </w:p>
    <w:p w14:paraId="4A17F207" w14:textId="77777777" w:rsidR="00194E56" w:rsidRDefault="00194E56" w:rsidP="00194E56">
      <w:pPr>
        <w:jc w:val="center"/>
      </w:pPr>
      <w:r>
        <w:t>Proposed Int. No. 1107-A</w:t>
      </w:r>
    </w:p>
    <w:p w14:paraId="13ACCDC3" w14:textId="77777777" w:rsidR="00194E56" w:rsidRDefault="00194E56" w:rsidP="00194E56">
      <w:pPr>
        <w:jc w:val="center"/>
      </w:pPr>
    </w:p>
    <w:p w14:paraId="675E75CC" w14:textId="77777777" w:rsidR="00194E56" w:rsidRDefault="00194E56" w:rsidP="00194E56">
      <w:pPr>
        <w:autoSpaceDE w:val="0"/>
        <w:autoSpaceDN w:val="0"/>
        <w:adjustRightInd w:val="0"/>
        <w:rPr>
          <w:rFonts w:eastAsia="Calibri"/>
        </w:rPr>
      </w:pPr>
      <w:r>
        <w:rPr>
          <w:rFonts w:eastAsia="Calibri"/>
        </w:rPr>
        <w:t>By Council Members Louis, Narcisse, Riley, Brooks-Powers, Salamanca, Feliz and Stevens</w:t>
      </w:r>
    </w:p>
    <w:p w14:paraId="2DDA09A6" w14:textId="77777777" w:rsidR="00194E56" w:rsidRDefault="00194E56" w:rsidP="00194E56">
      <w:pPr>
        <w:pStyle w:val="BodyText"/>
        <w:spacing w:line="240" w:lineRule="auto"/>
        <w:ind w:firstLine="0"/>
      </w:pPr>
    </w:p>
    <w:p w14:paraId="20B0E66B" w14:textId="77777777" w:rsidR="00194E56" w:rsidRPr="00AD6F0A" w:rsidRDefault="00194E56" w:rsidP="00194E56">
      <w:pPr>
        <w:pStyle w:val="BodyText"/>
        <w:spacing w:line="240" w:lineRule="auto"/>
        <w:ind w:firstLine="0"/>
        <w:rPr>
          <w:vanish/>
        </w:rPr>
      </w:pPr>
      <w:r w:rsidRPr="00AD6F0A">
        <w:rPr>
          <w:vanish/>
        </w:rPr>
        <w:t>..Title</w:t>
      </w:r>
    </w:p>
    <w:p w14:paraId="3D846ACB" w14:textId="77777777" w:rsidR="00194E56" w:rsidRDefault="00194E56" w:rsidP="00194E56">
      <w:pPr>
        <w:pStyle w:val="BodyText"/>
        <w:spacing w:line="240" w:lineRule="auto"/>
        <w:ind w:firstLine="0"/>
      </w:pPr>
      <w:r>
        <w:t>A Local Law to amend the New York city building code and administrative code of the city of New York, in relation to common households for short-term rentals in one- and two-family dwellings</w:t>
      </w:r>
    </w:p>
    <w:p w14:paraId="1C01B202" w14:textId="77777777" w:rsidR="00194E56" w:rsidRPr="00AD6F0A" w:rsidRDefault="00194E56" w:rsidP="00194E56">
      <w:pPr>
        <w:pStyle w:val="BodyText"/>
        <w:spacing w:line="240" w:lineRule="auto"/>
        <w:ind w:firstLine="0"/>
        <w:rPr>
          <w:vanish/>
        </w:rPr>
      </w:pPr>
      <w:r w:rsidRPr="00AD6F0A">
        <w:rPr>
          <w:vanish/>
        </w:rPr>
        <w:t>..Body</w:t>
      </w:r>
    </w:p>
    <w:p w14:paraId="0816BC6A" w14:textId="77777777" w:rsidR="00194E56" w:rsidRDefault="00194E56" w:rsidP="00194E56">
      <w:pPr>
        <w:pStyle w:val="BodyText"/>
        <w:spacing w:line="240" w:lineRule="auto"/>
        <w:ind w:firstLine="0"/>
        <w:rPr>
          <w:u w:val="single"/>
        </w:rPr>
      </w:pPr>
    </w:p>
    <w:p w14:paraId="6B46DF22" w14:textId="77777777" w:rsidR="00194E56" w:rsidRDefault="00194E56" w:rsidP="00194E56">
      <w:pPr>
        <w:rPr>
          <w:u w:val="single"/>
        </w:rPr>
      </w:pPr>
      <w:r>
        <w:rPr>
          <w:u w:val="single"/>
        </w:rPr>
        <w:t>Be it enacted by the Council as follows:</w:t>
      </w:r>
    </w:p>
    <w:p w14:paraId="18EB1723" w14:textId="77777777" w:rsidR="00194E56" w:rsidRDefault="00194E56" w:rsidP="00194E56">
      <w:pPr>
        <w:rPr>
          <w:u w:val="single"/>
        </w:rPr>
      </w:pPr>
    </w:p>
    <w:p w14:paraId="0DE34FE4" w14:textId="77777777" w:rsidR="00194E56" w:rsidRDefault="00194E56" w:rsidP="00194E56">
      <w:pPr>
        <w:sectPr w:rsidR="00194E56" w:rsidSect="00194E56">
          <w:footerReference w:type="default" r:id="rId14"/>
          <w:footerReference w:type="first" r:id="rId15"/>
          <w:type w:val="continuous"/>
          <w:pgSz w:w="12240" w:h="15840"/>
          <w:pgMar w:top="1440" w:right="1440" w:bottom="1440" w:left="1440" w:header="720" w:footer="720" w:gutter="0"/>
          <w:cols w:space="720"/>
          <w:docGrid w:linePitch="360"/>
        </w:sectPr>
      </w:pPr>
    </w:p>
    <w:p w14:paraId="647C9DD1" w14:textId="77777777" w:rsidR="00194E56" w:rsidRDefault="00194E56" w:rsidP="00194E56">
      <w:pPr>
        <w:spacing w:line="480" w:lineRule="auto"/>
      </w:pPr>
      <w:r>
        <w:t>Section 1. The definition of “</w:t>
      </w:r>
      <w:r w:rsidRPr="007100B8">
        <w:rPr>
          <w:caps/>
        </w:rPr>
        <w:t>dwelling, one-family</w:t>
      </w:r>
      <w:r>
        <w:t>” set forth in section 202 of the New York city building code, as amended by local law number 77 for the year 2023, is amended to read as follows:</w:t>
      </w:r>
    </w:p>
    <w:p w14:paraId="1BBF396A" w14:textId="77777777" w:rsidR="00194E56" w:rsidRDefault="00194E56" w:rsidP="00194E56">
      <w:pPr>
        <w:rPr>
          <w:u w:val="single"/>
        </w:rPr>
      </w:pPr>
      <w:r w:rsidRPr="007100B8">
        <w:rPr>
          <w:b/>
        </w:rPr>
        <w:t>DWELLING, ONE-FAMILY.</w:t>
      </w:r>
      <w:r>
        <w:t xml:space="preserve"> </w:t>
      </w:r>
      <w:r w:rsidRPr="00BE2A79">
        <w:t>Any building or structure designed and occupie</w:t>
      </w:r>
      <w:r>
        <w:t>d exclusively for residence pur</w:t>
      </w:r>
      <w:r w:rsidRPr="00BE2A79">
        <w:t>poses</w:t>
      </w:r>
      <w:r>
        <w:t xml:space="preserve"> </w:t>
      </w:r>
      <w:r w:rsidRPr="00BE2A79">
        <w:t xml:space="preserve">on a long-term basis for more than a month at a time by not more than </w:t>
      </w:r>
      <w:r>
        <w:t>[</w:t>
      </w:r>
      <w:r w:rsidRPr="00BE2A79">
        <w:t>one</w:t>
      </w:r>
      <w:r>
        <w:t xml:space="preserve">] </w:t>
      </w:r>
      <w:r>
        <w:rPr>
          <w:u w:val="single"/>
        </w:rPr>
        <w:t>1</w:t>
      </w:r>
      <w:r w:rsidRPr="00BE2A79">
        <w:t xml:space="preserve"> family. One-family dwelling shall also be deemed to include a dwelling located in a series of one-family dwellings each of which faces or is accessible to a legal street or public thoroughfare, provided that each such dwelling unit is equipped as a separate dwelling unit with all essential services, and also provided that each such unit is arranged so that it may be approved as a legal one-family dwelling.</w:t>
      </w:r>
      <w:r>
        <w:t xml:space="preserve"> </w:t>
      </w:r>
      <w:r>
        <w:rPr>
          <w:u w:val="single"/>
        </w:rPr>
        <w:t xml:space="preserve">The permanent occupant or occupants of a one-family dwelling unit who receives a registration pursuant to Section 26-3102 of the </w:t>
      </w:r>
      <w:r>
        <w:rPr>
          <w:i/>
          <w:u w:val="single"/>
        </w:rPr>
        <w:t>Administrative Code</w:t>
      </w:r>
      <w:r>
        <w:rPr>
          <w:u w:val="single"/>
        </w:rPr>
        <w:t xml:space="preserve"> </w:t>
      </w:r>
      <w:r w:rsidRPr="00BE2A79">
        <w:rPr>
          <w:u w:val="single"/>
        </w:rPr>
        <w:t xml:space="preserve">shall provide reasonable access to the dwelling unit to the </w:t>
      </w:r>
      <w:r>
        <w:rPr>
          <w:u w:val="single"/>
        </w:rPr>
        <w:t>boarders, roomers, or lodgers, but shall</w:t>
      </w:r>
      <w:r w:rsidRPr="00BE2A79">
        <w:rPr>
          <w:u w:val="single"/>
        </w:rPr>
        <w:t xml:space="preserve"> not </w:t>
      </w:r>
      <w:r>
        <w:rPr>
          <w:u w:val="single"/>
        </w:rPr>
        <w:t xml:space="preserve">be </w:t>
      </w:r>
      <w:r w:rsidRPr="00BE2A79">
        <w:rPr>
          <w:u w:val="single"/>
        </w:rPr>
        <w:t>require</w:t>
      </w:r>
      <w:r>
        <w:rPr>
          <w:u w:val="single"/>
        </w:rPr>
        <w:t>d</w:t>
      </w:r>
      <w:r w:rsidRPr="00BE2A79">
        <w:rPr>
          <w:u w:val="single"/>
        </w:rPr>
        <w:t xml:space="preserve"> to provide access to </w:t>
      </w:r>
      <w:r>
        <w:rPr>
          <w:u w:val="single"/>
        </w:rPr>
        <w:t xml:space="preserve">the </w:t>
      </w:r>
      <w:r w:rsidRPr="00BE2A79">
        <w:rPr>
          <w:u w:val="single"/>
        </w:rPr>
        <w:t xml:space="preserve">bedrooms, offices, or </w:t>
      </w:r>
      <w:r>
        <w:rPr>
          <w:u w:val="single"/>
        </w:rPr>
        <w:t xml:space="preserve">other </w:t>
      </w:r>
      <w:r w:rsidRPr="00BE2A79">
        <w:rPr>
          <w:u w:val="single"/>
        </w:rPr>
        <w:t xml:space="preserve">similar private spaces </w:t>
      </w:r>
      <w:r>
        <w:rPr>
          <w:u w:val="single"/>
        </w:rPr>
        <w:t xml:space="preserve">of any permanent occupant </w:t>
      </w:r>
      <w:r w:rsidRPr="00BE2A79">
        <w:rPr>
          <w:u w:val="single"/>
        </w:rPr>
        <w:t>in the dwelling unit.</w:t>
      </w:r>
    </w:p>
    <w:p w14:paraId="120A4CDC" w14:textId="77777777" w:rsidR="00194E56" w:rsidRDefault="00194E56" w:rsidP="00194E56">
      <w:pPr>
        <w:rPr>
          <w:u w:val="single"/>
        </w:rPr>
      </w:pPr>
    </w:p>
    <w:p w14:paraId="303353FD" w14:textId="77777777" w:rsidR="00194E56" w:rsidRDefault="00194E56" w:rsidP="00194E56">
      <w:pPr>
        <w:spacing w:line="480" w:lineRule="auto"/>
      </w:pPr>
      <w:r>
        <w:tab/>
      </w:r>
      <w:r w:rsidRPr="00174C8A">
        <w:t xml:space="preserve">§ </w:t>
      </w:r>
      <w:r>
        <w:t>2. The definition of “</w:t>
      </w:r>
      <w:r w:rsidRPr="007100B8">
        <w:rPr>
          <w:caps/>
        </w:rPr>
        <w:t>dwelling, two-family</w:t>
      </w:r>
      <w:r>
        <w:t>” set forth in section 202 of the New York city building code, as added by local law number 126 for the year 2021, is amended to read as follows:</w:t>
      </w:r>
    </w:p>
    <w:p w14:paraId="3C29D000" w14:textId="77777777" w:rsidR="00194E56" w:rsidRDefault="00194E56" w:rsidP="00194E56">
      <w:pPr>
        <w:rPr>
          <w:u w:val="single"/>
        </w:rPr>
      </w:pPr>
      <w:r w:rsidRPr="007100B8">
        <w:rPr>
          <w:b/>
        </w:rPr>
        <w:t>DWELLING, TWO-FAMILY.</w:t>
      </w:r>
      <w:r>
        <w:t xml:space="preserve"> </w:t>
      </w:r>
      <w:r w:rsidRPr="00BE2A79">
        <w:t xml:space="preserve">Any building or structure designed and occupied </w:t>
      </w:r>
      <w:r>
        <w:t>[</w:t>
      </w:r>
      <w:r w:rsidRPr="00BE2A79">
        <w:t>exclusively</w:t>
      </w:r>
      <w:r>
        <w:t xml:space="preserve">] </w:t>
      </w:r>
      <w:r w:rsidRPr="00BE2A79">
        <w:rPr>
          <w:u w:val="single"/>
        </w:rPr>
        <w:t>primarily</w:t>
      </w:r>
      <w:r w:rsidRPr="00BE2A79">
        <w:t xml:space="preserve"> for residence purposes on a long-term basis for more than a month at a time by not more than </w:t>
      </w:r>
      <w:r>
        <w:t>[</w:t>
      </w:r>
      <w:r w:rsidRPr="00BE2A79">
        <w:t>two</w:t>
      </w:r>
      <w:r>
        <w:t xml:space="preserve">] </w:t>
      </w:r>
      <w:r>
        <w:rPr>
          <w:u w:val="single"/>
        </w:rPr>
        <w:t>2</w:t>
      </w:r>
      <w:r w:rsidRPr="00BE2A79">
        <w:t xml:space="preserve"> families. Two-family dwellings shall also be deemed to include a dwelling located in a series of two-family dwellings each of which faces or is accessible to a legal street or public thoroughfare, provided that each such dwelling is equipped as a s</w:t>
      </w:r>
      <w:r>
        <w:t>eparate dwelling with all essen</w:t>
      </w:r>
      <w:r w:rsidRPr="00BE2A79">
        <w:t>tial services, and also provided that each such dwelling is arranged so that it may be approved as a legal two-family dwelling.</w:t>
      </w:r>
      <w:r>
        <w:t xml:space="preserve"> </w:t>
      </w:r>
      <w:r>
        <w:rPr>
          <w:u w:val="single"/>
        </w:rPr>
        <w:t>The permanent occupant or occupants</w:t>
      </w:r>
      <w:r w:rsidRPr="00BE2A79">
        <w:rPr>
          <w:u w:val="single"/>
        </w:rPr>
        <w:t xml:space="preserve"> </w:t>
      </w:r>
      <w:r>
        <w:rPr>
          <w:u w:val="single"/>
        </w:rPr>
        <w:t xml:space="preserve">of a dwelling unit in a two-family dwelling who receives a registration pursuant to Section 26-3102 of the </w:t>
      </w:r>
      <w:r>
        <w:rPr>
          <w:i/>
          <w:u w:val="single"/>
        </w:rPr>
        <w:t>Administrative Code</w:t>
      </w:r>
      <w:r>
        <w:rPr>
          <w:u w:val="single"/>
        </w:rPr>
        <w:t xml:space="preserve"> </w:t>
      </w:r>
      <w:r w:rsidRPr="00BE2A79">
        <w:rPr>
          <w:u w:val="single"/>
        </w:rPr>
        <w:t xml:space="preserve">shall provide reasonable access to the dwelling unit to the </w:t>
      </w:r>
      <w:r>
        <w:rPr>
          <w:u w:val="single"/>
        </w:rPr>
        <w:t>boarders, roomers, or lodgers,</w:t>
      </w:r>
      <w:r w:rsidRPr="00BE2A79">
        <w:rPr>
          <w:u w:val="single"/>
        </w:rPr>
        <w:t xml:space="preserve"> </w:t>
      </w:r>
      <w:r>
        <w:rPr>
          <w:u w:val="single"/>
        </w:rPr>
        <w:t xml:space="preserve">but shall </w:t>
      </w:r>
      <w:r w:rsidRPr="00BE2A79">
        <w:rPr>
          <w:u w:val="single"/>
        </w:rPr>
        <w:t xml:space="preserve">not </w:t>
      </w:r>
      <w:r>
        <w:rPr>
          <w:u w:val="single"/>
        </w:rPr>
        <w:t xml:space="preserve">be </w:t>
      </w:r>
      <w:r w:rsidRPr="00BE2A79">
        <w:rPr>
          <w:u w:val="single"/>
        </w:rPr>
        <w:t>require</w:t>
      </w:r>
      <w:r>
        <w:rPr>
          <w:u w:val="single"/>
        </w:rPr>
        <w:t>d</w:t>
      </w:r>
      <w:r w:rsidRPr="00BE2A79">
        <w:rPr>
          <w:u w:val="single"/>
        </w:rPr>
        <w:t xml:space="preserve"> to provide access to </w:t>
      </w:r>
      <w:r>
        <w:rPr>
          <w:u w:val="single"/>
        </w:rPr>
        <w:t>the</w:t>
      </w:r>
      <w:r w:rsidRPr="00BE2A79">
        <w:rPr>
          <w:u w:val="single"/>
        </w:rPr>
        <w:t xml:space="preserve"> bedrooms, offices, or </w:t>
      </w:r>
      <w:r>
        <w:rPr>
          <w:u w:val="single"/>
        </w:rPr>
        <w:t xml:space="preserve">other </w:t>
      </w:r>
      <w:r w:rsidRPr="00BE2A79">
        <w:rPr>
          <w:u w:val="single"/>
        </w:rPr>
        <w:t xml:space="preserve">similar private spaces </w:t>
      </w:r>
      <w:r>
        <w:rPr>
          <w:u w:val="single"/>
        </w:rPr>
        <w:t>of any permanent occupant</w:t>
      </w:r>
      <w:r w:rsidRPr="00BE2A79">
        <w:rPr>
          <w:u w:val="single"/>
        </w:rPr>
        <w:t xml:space="preserve"> in the dwelling unit.</w:t>
      </w:r>
    </w:p>
    <w:p w14:paraId="2B1D6798" w14:textId="77777777" w:rsidR="00194E56" w:rsidRDefault="00194E56" w:rsidP="00194E56">
      <w:pPr>
        <w:rPr>
          <w:u w:val="single"/>
        </w:rPr>
      </w:pPr>
    </w:p>
    <w:p w14:paraId="221BF2A9" w14:textId="77777777" w:rsidR="00194E56" w:rsidRDefault="00194E56" w:rsidP="00194E56">
      <w:pPr>
        <w:spacing w:line="480" w:lineRule="auto"/>
      </w:pPr>
      <w:r>
        <w:tab/>
      </w:r>
      <w:r w:rsidRPr="00174C8A">
        <w:t xml:space="preserve">§ </w:t>
      </w:r>
      <w:r>
        <w:t>3. The definition of “</w:t>
      </w:r>
      <w:r w:rsidRPr="007100B8">
        <w:rPr>
          <w:caps/>
        </w:rPr>
        <w:t>family</w:t>
      </w:r>
      <w:r>
        <w:t>” set forth in section 202 of the New York city building code, as added by local law number 126 for the year 2021, is amended to read as follows:</w:t>
      </w:r>
    </w:p>
    <w:p w14:paraId="2538F8F7" w14:textId="77777777" w:rsidR="00194E56" w:rsidRPr="007100B8" w:rsidRDefault="00194E56" w:rsidP="00194E56">
      <w:pPr>
        <w:rPr>
          <w:b/>
        </w:rPr>
      </w:pPr>
      <w:r w:rsidRPr="007100B8">
        <w:rPr>
          <w:b/>
        </w:rPr>
        <w:t>FAMILY.</w:t>
      </w:r>
    </w:p>
    <w:p w14:paraId="15B3DEB8" w14:textId="77777777" w:rsidR="00194E56" w:rsidRDefault="00194E56" w:rsidP="00194E56"/>
    <w:p w14:paraId="3073FB28" w14:textId="77777777" w:rsidR="00194E56" w:rsidRDefault="00194E56" w:rsidP="00194E56">
      <w:pPr>
        <w:pStyle w:val="ListParagraph"/>
        <w:numPr>
          <w:ilvl w:val="0"/>
          <w:numId w:val="58"/>
        </w:numPr>
      </w:pPr>
      <w:r w:rsidRPr="009D0D5F">
        <w:t>A single person occupying a dwelling unit and maintaining a common househo</w:t>
      </w:r>
      <w:r>
        <w:t xml:space="preserve">ld with not more than [two] </w:t>
      </w:r>
      <w:r>
        <w:rPr>
          <w:u w:val="single"/>
        </w:rPr>
        <w:t>2</w:t>
      </w:r>
      <w:r>
        <w:t xml:space="preserve"> board</w:t>
      </w:r>
      <w:r w:rsidRPr="009D0D5F">
        <w:t>ers, roomers</w:t>
      </w:r>
      <w:r w:rsidRPr="00E04BB9">
        <w:rPr>
          <w:u w:val="single"/>
        </w:rPr>
        <w:t>,</w:t>
      </w:r>
      <w:r w:rsidRPr="009D0D5F">
        <w:t xml:space="preserve"> or lodgers;</w:t>
      </w:r>
    </w:p>
    <w:p w14:paraId="6C76FDDA" w14:textId="77777777" w:rsidR="00194E56" w:rsidRDefault="00194E56" w:rsidP="00194E56">
      <w:pPr>
        <w:ind w:left="720" w:hanging="360"/>
      </w:pPr>
    </w:p>
    <w:p w14:paraId="2BF5899C" w14:textId="77777777" w:rsidR="00194E56" w:rsidRDefault="00194E56" w:rsidP="00194E56">
      <w:pPr>
        <w:pStyle w:val="ListParagraph"/>
        <w:ind w:hanging="360"/>
      </w:pPr>
      <w:r>
        <w:t xml:space="preserve">2. </w:t>
      </w:r>
      <w:r>
        <w:tab/>
      </w:r>
      <w:r w:rsidRPr="009D0D5F">
        <w:t>Two or more persons related by blood, adoption, legal guardianship, marriage</w:t>
      </w:r>
      <w:r w:rsidRPr="00E04BB9">
        <w:rPr>
          <w:u w:val="single"/>
        </w:rPr>
        <w:t>,</w:t>
      </w:r>
      <w:r w:rsidRPr="009D0D5F">
        <w:t xml:space="preserve"> </w:t>
      </w:r>
      <w:r>
        <w:t>or domestic partnership; occupy</w:t>
      </w:r>
      <w:r w:rsidRPr="009D0D5F">
        <w:t xml:space="preserve">ing a dwelling unit and maintaining a common household with not more than </w:t>
      </w:r>
      <w:r>
        <w:t>[</w:t>
      </w:r>
      <w:r w:rsidRPr="009D0D5F">
        <w:t>two</w:t>
      </w:r>
      <w:r>
        <w:t xml:space="preserve">] </w:t>
      </w:r>
      <w:r w:rsidRPr="00AA2C97">
        <w:rPr>
          <w:u w:val="single"/>
        </w:rPr>
        <w:t>2</w:t>
      </w:r>
      <w:r>
        <w:t xml:space="preserve"> </w:t>
      </w:r>
      <w:r w:rsidRPr="009D0D5F">
        <w:t>boarders, roomers</w:t>
      </w:r>
      <w:r w:rsidRPr="00E04BB9">
        <w:rPr>
          <w:u w:val="single"/>
        </w:rPr>
        <w:t>,</w:t>
      </w:r>
      <w:r w:rsidRPr="009D0D5F">
        <w:t xml:space="preserve"> or lodgers;</w:t>
      </w:r>
    </w:p>
    <w:p w14:paraId="05ACF16E" w14:textId="77777777" w:rsidR="00194E56" w:rsidRDefault="00194E56" w:rsidP="00194E56">
      <w:pPr>
        <w:ind w:left="720" w:hanging="360"/>
      </w:pPr>
    </w:p>
    <w:p w14:paraId="56B6AE93" w14:textId="77777777" w:rsidR="00194E56" w:rsidRDefault="00194E56" w:rsidP="00194E56">
      <w:pPr>
        <w:pStyle w:val="ListParagraph"/>
        <w:ind w:hanging="360"/>
      </w:pPr>
      <w:r>
        <w:t>3.</w:t>
      </w:r>
      <w:r>
        <w:tab/>
      </w:r>
      <w:r w:rsidRPr="009D0D5F">
        <w:t xml:space="preserve">Not more than </w:t>
      </w:r>
      <w:r>
        <w:t>[</w:t>
      </w:r>
      <w:r w:rsidRPr="009D0D5F">
        <w:t>three</w:t>
      </w:r>
      <w:r>
        <w:t xml:space="preserve">] </w:t>
      </w:r>
      <w:r>
        <w:rPr>
          <w:u w:val="single"/>
        </w:rPr>
        <w:t>3</w:t>
      </w:r>
      <w:r w:rsidRPr="009D0D5F">
        <w:t xml:space="preserve"> unrelated persons occupying a dwelling unit and maintaining a common household;</w:t>
      </w:r>
    </w:p>
    <w:p w14:paraId="39541E49" w14:textId="77777777" w:rsidR="00194E56" w:rsidRDefault="00194E56" w:rsidP="00194E56">
      <w:pPr>
        <w:ind w:left="720" w:hanging="360"/>
      </w:pPr>
    </w:p>
    <w:p w14:paraId="6B1AAB09" w14:textId="77777777" w:rsidR="00194E56" w:rsidRDefault="00194E56" w:rsidP="00194E56">
      <w:pPr>
        <w:pStyle w:val="ListParagraph"/>
        <w:ind w:hanging="360"/>
      </w:pPr>
      <w:r>
        <w:t>4.</w:t>
      </w:r>
      <w:r>
        <w:tab/>
      </w:r>
      <w:r w:rsidRPr="009D0D5F">
        <w:t xml:space="preserve">Not more than </w:t>
      </w:r>
      <w:r>
        <w:t>[</w:t>
      </w:r>
      <w:r w:rsidRPr="009D0D5F">
        <w:t>three</w:t>
      </w:r>
      <w:r>
        <w:t xml:space="preserve">] </w:t>
      </w:r>
      <w:r>
        <w:rPr>
          <w:u w:val="single"/>
        </w:rPr>
        <w:t>3</w:t>
      </w:r>
      <w:r w:rsidRPr="009D0D5F">
        <w:t xml:space="preserve"> unrelated persons occupying a dwelling unit in a congreg</w:t>
      </w:r>
      <w:r>
        <w:t>ate housing or shared living ar</w:t>
      </w:r>
      <w:r w:rsidRPr="009D0D5F">
        <w:t>rangement and maintaining a common household;</w:t>
      </w:r>
    </w:p>
    <w:p w14:paraId="79207446" w14:textId="77777777" w:rsidR="00194E56" w:rsidRDefault="00194E56" w:rsidP="00194E56">
      <w:pPr>
        <w:ind w:left="720" w:hanging="360"/>
      </w:pPr>
    </w:p>
    <w:p w14:paraId="6D1992F2" w14:textId="77777777" w:rsidR="00194E56" w:rsidRDefault="00194E56" w:rsidP="00194E56">
      <w:pPr>
        <w:pStyle w:val="ListParagraph"/>
        <w:ind w:hanging="360"/>
      </w:pPr>
      <w:r>
        <w:t>5.</w:t>
      </w:r>
      <w:r>
        <w:tab/>
      </w:r>
      <w:r w:rsidRPr="009D0D5F">
        <w:t>Members of a group home;</w:t>
      </w:r>
    </w:p>
    <w:p w14:paraId="09272EF3" w14:textId="77777777" w:rsidR="00194E56" w:rsidRDefault="00194E56" w:rsidP="00194E56">
      <w:pPr>
        <w:ind w:left="720" w:hanging="360"/>
      </w:pPr>
    </w:p>
    <w:p w14:paraId="3F40DC72" w14:textId="77777777" w:rsidR="00194E56" w:rsidRDefault="00194E56" w:rsidP="00194E56">
      <w:pPr>
        <w:pStyle w:val="ListParagraph"/>
        <w:ind w:hanging="360"/>
      </w:pPr>
      <w:r>
        <w:t>6.</w:t>
      </w:r>
      <w:r>
        <w:tab/>
      </w:r>
      <w:r w:rsidRPr="009D0D5F">
        <w:t xml:space="preserve">Foster children placed in accordance with provisions of the </w:t>
      </w:r>
      <w:r w:rsidRPr="007100B8">
        <w:rPr>
          <w:i/>
        </w:rPr>
        <w:t>New York State Social Services Law</w:t>
      </w:r>
      <w:r w:rsidRPr="009D0D5F">
        <w:t>, their foster parent(s), and other persons related to the foster parents by blood, marriage</w:t>
      </w:r>
      <w:r>
        <w:rPr>
          <w:u w:val="single"/>
        </w:rPr>
        <w:t>,</w:t>
      </w:r>
      <w:r w:rsidRPr="009D0D5F">
        <w:t xml:space="preserve"> or domestic partnership; where all residents occupy and maintain a common household with not more than </w:t>
      </w:r>
      <w:r>
        <w:t>[</w:t>
      </w:r>
      <w:r w:rsidRPr="009D0D5F">
        <w:t>two</w:t>
      </w:r>
      <w:r>
        <w:t xml:space="preserve">] </w:t>
      </w:r>
      <w:r>
        <w:rPr>
          <w:u w:val="single"/>
        </w:rPr>
        <w:t>2</w:t>
      </w:r>
      <w:r w:rsidRPr="009D0D5F">
        <w:t xml:space="preserve"> boarders, roomers</w:t>
      </w:r>
      <w:r w:rsidRPr="00E04BB9">
        <w:rPr>
          <w:u w:val="single"/>
        </w:rPr>
        <w:t>,</w:t>
      </w:r>
      <w:r w:rsidRPr="009D0D5F">
        <w:t xml:space="preserve"> or lodgers; or</w:t>
      </w:r>
    </w:p>
    <w:p w14:paraId="3655D5C9" w14:textId="77777777" w:rsidR="00194E56" w:rsidRDefault="00194E56" w:rsidP="00194E56">
      <w:pPr>
        <w:ind w:left="720" w:hanging="360"/>
      </w:pPr>
    </w:p>
    <w:p w14:paraId="15F747BB" w14:textId="77777777" w:rsidR="00194E56" w:rsidRDefault="00194E56" w:rsidP="00194E56">
      <w:pPr>
        <w:pStyle w:val="ListParagraph"/>
        <w:ind w:hanging="360"/>
      </w:pPr>
      <w:r>
        <w:t>7.</w:t>
      </w:r>
      <w:r>
        <w:tab/>
      </w:r>
      <w:r w:rsidRPr="009D0D5F">
        <w:t xml:space="preserve">Up to </w:t>
      </w:r>
      <w:r>
        <w:t>[</w:t>
      </w:r>
      <w:r w:rsidRPr="009D0D5F">
        <w:t>seven</w:t>
      </w:r>
      <w:r>
        <w:t xml:space="preserve">] </w:t>
      </w:r>
      <w:r>
        <w:rPr>
          <w:u w:val="single"/>
        </w:rPr>
        <w:t>7</w:t>
      </w:r>
      <w:r w:rsidRPr="009D0D5F">
        <w:t xml:space="preserve"> unrelated students enrolled at a single accredited college or university occupying a student apartment and maintaining a common household pursuant to a lease, sublease, or occupancy agreement directly with such college or university, provided that:</w:t>
      </w:r>
    </w:p>
    <w:p w14:paraId="4A877DE4" w14:textId="77777777" w:rsidR="00194E56" w:rsidRDefault="00194E56" w:rsidP="00194E56"/>
    <w:p w14:paraId="4AF56D11" w14:textId="77777777" w:rsidR="00194E56" w:rsidRDefault="00194E56" w:rsidP="00194E56">
      <w:pPr>
        <w:ind w:left="1260" w:hanging="540"/>
      </w:pPr>
      <w:r>
        <w:t>7.1.</w:t>
      </w:r>
      <w:r>
        <w:tab/>
      </w:r>
      <w:r w:rsidRPr="009D0D5F">
        <w:t>The entire structure in which the dwelling unit is located is fully sprinklered in accordance with Chapter 9 of this code;</w:t>
      </w:r>
    </w:p>
    <w:p w14:paraId="44660BD4" w14:textId="77777777" w:rsidR="00194E56" w:rsidRDefault="00194E56" w:rsidP="00194E56">
      <w:pPr>
        <w:ind w:left="1260" w:hanging="540"/>
      </w:pPr>
    </w:p>
    <w:p w14:paraId="19E09803" w14:textId="77777777" w:rsidR="00194E56" w:rsidRDefault="00194E56" w:rsidP="00194E56">
      <w:pPr>
        <w:ind w:left="1260" w:hanging="540"/>
      </w:pPr>
      <w:r w:rsidRPr="009D0D5F">
        <w:t>7.2.</w:t>
      </w:r>
      <w:r>
        <w:tab/>
      </w:r>
      <w:r w:rsidRPr="009D0D5F">
        <w:t xml:space="preserve">Such occupancy does not exceed the maximums contained in Section 27-2075(a) of the </w:t>
      </w:r>
      <w:r w:rsidRPr="007100B8">
        <w:rPr>
          <w:i/>
        </w:rPr>
        <w:t>New York City Housing Maintenance Code</w:t>
      </w:r>
      <w:r w:rsidRPr="009D0D5F">
        <w:t>;</w:t>
      </w:r>
    </w:p>
    <w:p w14:paraId="58347651" w14:textId="77777777" w:rsidR="00194E56" w:rsidRDefault="00194E56" w:rsidP="00194E56">
      <w:pPr>
        <w:ind w:left="1260" w:hanging="540"/>
      </w:pPr>
    </w:p>
    <w:p w14:paraId="6FABE959" w14:textId="77777777" w:rsidR="00194E56" w:rsidRDefault="00194E56" w:rsidP="00194E56">
      <w:pPr>
        <w:ind w:left="1260" w:hanging="540"/>
      </w:pPr>
      <w:r w:rsidRPr="009D0D5F">
        <w:t>7.3.</w:t>
      </w:r>
      <w:r>
        <w:tab/>
      </w:r>
      <w:r w:rsidRPr="009D0D5F">
        <w:t>Prior to commencement of such occupancy, and on an annual basis thereafter such college or university has submitted a fire safety plan containing fire safety and evacuation procedures for such dwelling unit that is acceptable to the Fire Commissioner and in compliance with any rules promulgated by the Fire Commissioner; and</w:t>
      </w:r>
    </w:p>
    <w:p w14:paraId="3123F910" w14:textId="77777777" w:rsidR="00194E56" w:rsidRDefault="00194E56" w:rsidP="00194E56">
      <w:pPr>
        <w:ind w:left="1260" w:hanging="540"/>
      </w:pPr>
    </w:p>
    <w:p w14:paraId="4C16ACDC" w14:textId="77777777" w:rsidR="00194E56" w:rsidRDefault="00194E56" w:rsidP="00194E56">
      <w:pPr>
        <w:ind w:left="1260" w:hanging="540"/>
      </w:pPr>
      <w:r w:rsidRPr="009D0D5F">
        <w:t>7.4.</w:t>
      </w:r>
      <w:r>
        <w:tab/>
      </w:r>
      <w:r w:rsidRPr="009D0D5F">
        <w:t>The dwelling unit complies with additional occupancy and constructi</w:t>
      </w:r>
      <w:r>
        <w:t>on requirements as may be estab</w:t>
      </w:r>
      <w:r w:rsidRPr="009D0D5F">
        <w:t>lished by rule by the Housing Preservation and Development Commissioner.</w:t>
      </w:r>
      <w:r>
        <w:t xml:space="preserve"> </w:t>
      </w:r>
    </w:p>
    <w:p w14:paraId="1CF249CB" w14:textId="77777777" w:rsidR="00194E56" w:rsidRDefault="00194E56" w:rsidP="00194E56"/>
    <w:p w14:paraId="1605AA5E" w14:textId="77777777" w:rsidR="00194E56" w:rsidRDefault="00194E56" w:rsidP="00194E56">
      <w:pPr>
        <w:rPr>
          <w:u w:val="single"/>
        </w:rPr>
      </w:pPr>
      <w:r w:rsidRPr="009D0D5F">
        <w:t xml:space="preserve">A common household is deemed to exist if all </w:t>
      </w:r>
      <w:r>
        <w:t>[</w:t>
      </w:r>
      <w:r w:rsidRPr="009D0D5F">
        <w:t>household</w:t>
      </w:r>
      <w:r>
        <w:t xml:space="preserve">] </w:t>
      </w:r>
      <w:r w:rsidRPr="004B1657">
        <w:rPr>
          <w:u w:val="single"/>
        </w:rPr>
        <w:t>family</w:t>
      </w:r>
      <w:r w:rsidRPr="009D0D5F">
        <w:t xml:space="preserve"> members have access to all parts of the dwelling unit. </w:t>
      </w:r>
      <w:r>
        <w:t xml:space="preserve">[Lack] </w:t>
      </w:r>
      <w:r w:rsidRPr="004B1657">
        <w:rPr>
          <w:u w:val="single"/>
        </w:rPr>
        <w:t>A family member’s</w:t>
      </w:r>
      <w:r>
        <w:rPr>
          <w:u w:val="single"/>
        </w:rPr>
        <w:t xml:space="preserve"> lack</w:t>
      </w:r>
      <w:r>
        <w:t xml:space="preserve"> </w:t>
      </w:r>
      <w:r w:rsidRPr="009D0D5F">
        <w:t xml:space="preserve">of </w:t>
      </w:r>
      <w:r w:rsidRPr="004B1657">
        <w:rPr>
          <w:u w:val="single"/>
        </w:rPr>
        <w:t>reasonable</w:t>
      </w:r>
      <w:r>
        <w:t xml:space="preserve"> </w:t>
      </w:r>
      <w:r w:rsidRPr="009D0D5F">
        <w:t>access to all parts of the dwelling unit establishes a rebuttable presumption that no common household exists</w:t>
      </w:r>
      <w:r>
        <w:t xml:space="preserve">. </w:t>
      </w:r>
      <w:r>
        <w:rPr>
          <w:u w:val="single"/>
        </w:rPr>
        <w:t xml:space="preserve">The permanent occupant of a one-family dwelling or a two-family dwelling shall not be required to provide a boarder, roomer, or lodger access to the bedrooms, offices, or other similar private spaces of the family members in the dwelling unit, and such lack of access shall not defeat a finding that a common household exists. Family members may elect to limit their own access to any room occupied by a boarder, roomer, or lodger, and such lack of access shall not defeat a finding that a common household exists. </w:t>
      </w:r>
    </w:p>
    <w:p w14:paraId="7265A5C5" w14:textId="77777777" w:rsidR="00194E56" w:rsidRDefault="00194E56" w:rsidP="00194E56">
      <w:pPr>
        <w:rPr>
          <w:u w:val="single"/>
        </w:rPr>
      </w:pPr>
    </w:p>
    <w:p w14:paraId="40957DAA" w14:textId="77777777" w:rsidR="00194E56" w:rsidRDefault="00194E56" w:rsidP="00194E56">
      <w:pPr>
        <w:spacing w:line="480" w:lineRule="auto"/>
      </w:pPr>
      <w:r w:rsidRPr="009A3759">
        <w:t>§</w:t>
      </w:r>
      <w:r>
        <w:t xml:space="preserve"> 4. The definition of “family” set forth in paragraph 4 of subdivision a of section 27-2004 of the administrative code of the city of New York, as added by local law number 8 of the year 2008, is amended to read as follows:</w:t>
      </w:r>
    </w:p>
    <w:p w14:paraId="4202A96A" w14:textId="77777777" w:rsidR="00194E56" w:rsidRDefault="00194E56" w:rsidP="00194E56">
      <w:pPr>
        <w:spacing w:line="480" w:lineRule="auto"/>
      </w:pPr>
      <w:r>
        <w:t>4. A family is:</w:t>
      </w:r>
    </w:p>
    <w:p w14:paraId="7B2A2C5C" w14:textId="77777777" w:rsidR="00194E56" w:rsidRPr="0073444A" w:rsidRDefault="00194E56" w:rsidP="00194E56">
      <w:pPr>
        <w:spacing w:line="480" w:lineRule="auto"/>
      </w:pPr>
      <w:r w:rsidRPr="0073444A">
        <w:t xml:space="preserve">(a) A single person occupying a dwelling unit and maintaining a common household with not more than </w:t>
      </w:r>
      <w:r>
        <w:t>[</w:t>
      </w:r>
      <w:r w:rsidRPr="0073444A">
        <w:t>two</w:t>
      </w:r>
      <w:r>
        <w:t xml:space="preserve">] </w:t>
      </w:r>
      <w:r>
        <w:rPr>
          <w:u w:val="single"/>
        </w:rPr>
        <w:t>2</w:t>
      </w:r>
      <w:r w:rsidRPr="0073444A">
        <w:t xml:space="preserve"> boarders, roomers</w:t>
      </w:r>
      <w:r>
        <w:rPr>
          <w:u w:val="single"/>
        </w:rPr>
        <w:t>,</w:t>
      </w:r>
      <w:r w:rsidRPr="0073444A">
        <w:t xml:space="preserve"> or lodgers; or</w:t>
      </w:r>
    </w:p>
    <w:p w14:paraId="1BF4B1FF" w14:textId="77777777" w:rsidR="00194E56" w:rsidRPr="0073444A" w:rsidRDefault="00194E56" w:rsidP="00194E56">
      <w:pPr>
        <w:spacing w:line="480" w:lineRule="auto"/>
      </w:pPr>
      <w:r w:rsidRPr="0073444A">
        <w:t>(b) Two or more persons related by blood, adoption, legal guardianship, marriage</w:t>
      </w:r>
      <w:r>
        <w:rPr>
          <w:u w:val="single"/>
        </w:rPr>
        <w:t>,</w:t>
      </w:r>
      <w:r w:rsidRPr="0073444A">
        <w:t xml:space="preserve"> or domestic partnership; occupying a dwelling unit and maintaining a common household with not more than </w:t>
      </w:r>
      <w:r>
        <w:t>[</w:t>
      </w:r>
      <w:r w:rsidRPr="0073444A">
        <w:t>two</w:t>
      </w:r>
      <w:r>
        <w:t xml:space="preserve">] </w:t>
      </w:r>
      <w:r>
        <w:rPr>
          <w:u w:val="single"/>
        </w:rPr>
        <w:t>2</w:t>
      </w:r>
      <w:r w:rsidRPr="0073444A">
        <w:t xml:space="preserve"> boarders, roomers</w:t>
      </w:r>
      <w:r>
        <w:rPr>
          <w:u w:val="single"/>
        </w:rPr>
        <w:t>,</w:t>
      </w:r>
      <w:r w:rsidRPr="0073444A">
        <w:t xml:space="preserve"> or lodgers; or</w:t>
      </w:r>
    </w:p>
    <w:p w14:paraId="155D3EC2" w14:textId="77777777" w:rsidR="00194E56" w:rsidRPr="0073444A" w:rsidRDefault="00194E56" w:rsidP="00194E56">
      <w:pPr>
        <w:spacing w:line="480" w:lineRule="auto"/>
      </w:pPr>
      <w:r w:rsidRPr="0073444A">
        <w:t xml:space="preserve">(c) Not more than </w:t>
      </w:r>
      <w:r>
        <w:t>[</w:t>
      </w:r>
      <w:r w:rsidRPr="0073444A">
        <w:t>three</w:t>
      </w:r>
      <w:r>
        <w:t xml:space="preserve">] </w:t>
      </w:r>
      <w:r>
        <w:rPr>
          <w:u w:val="single"/>
        </w:rPr>
        <w:t>3</w:t>
      </w:r>
      <w:r w:rsidRPr="0073444A">
        <w:t xml:space="preserve"> unrelated persons occupying a dwelling unit and maintaining a common household; or</w:t>
      </w:r>
    </w:p>
    <w:p w14:paraId="353D5804" w14:textId="77777777" w:rsidR="00194E56" w:rsidRPr="0073444A" w:rsidRDefault="00194E56" w:rsidP="00194E56">
      <w:pPr>
        <w:spacing w:line="480" w:lineRule="auto"/>
      </w:pPr>
      <w:r w:rsidRPr="0073444A">
        <w:t xml:space="preserve">(d) Not more than </w:t>
      </w:r>
      <w:r>
        <w:t>[</w:t>
      </w:r>
      <w:r w:rsidRPr="0073444A">
        <w:t>three</w:t>
      </w:r>
      <w:r>
        <w:t xml:space="preserve">] </w:t>
      </w:r>
      <w:r>
        <w:rPr>
          <w:u w:val="single"/>
        </w:rPr>
        <w:t>3</w:t>
      </w:r>
      <w:r w:rsidRPr="0073444A">
        <w:t xml:space="preserve"> unrelated persons occupying a dwelling unit in a congregate housing or shared living arrangement and maintaining a common household; or</w:t>
      </w:r>
    </w:p>
    <w:p w14:paraId="0D666C7F" w14:textId="77777777" w:rsidR="00194E56" w:rsidRPr="0073444A" w:rsidRDefault="00194E56" w:rsidP="00194E56">
      <w:pPr>
        <w:spacing w:line="480" w:lineRule="auto"/>
      </w:pPr>
      <w:r>
        <w:t xml:space="preserve"> </w:t>
      </w:r>
      <w:r w:rsidRPr="0073444A">
        <w:t>(e) Members of a group home; or</w:t>
      </w:r>
    </w:p>
    <w:p w14:paraId="2D5CEBDA" w14:textId="77777777" w:rsidR="00194E56" w:rsidRPr="0073444A" w:rsidRDefault="00194E56" w:rsidP="00194E56">
      <w:pPr>
        <w:spacing w:line="480" w:lineRule="auto"/>
      </w:pPr>
      <w:r>
        <w:t xml:space="preserve"> </w:t>
      </w:r>
      <w:r w:rsidRPr="0073444A">
        <w:t>(f) Foster children placed in accordance with provisions of the New York state social services law, their foster parents, and other persons related to the foster parents by blood, marriage</w:t>
      </w:r>
      <w:r>
        <w:rPr>
          <w:u w:val="single"/>
        </w:rPr>
        <w:t>,</w:t>
      </w:r>
      <w:r w:rsidRPr="0073444A">
        <w:t xml:space="preserve"> or domestic partnership; where all residents occupy and maintain a common household with not more than </w:t>
      </w:r>
      <w:r>
        <w:t>[</w:t>
      </w:r>
      <w:r w:rsidRPr="0073444A">
        <w:t>two</w:t>
      </w:r>
      <w:r>
        <w:t xml:space="preserve">] </w:t>
      </w:r>
      <w:r>
        <w:rPr>
          <w:u w:val="single"/>
        </w:rPr>
        <w:t>2</w:t>
      </w:r>
      <w:r w:rsidRPr="0073444A">
        <w:t xml:space="preserve"> boarders, roomers</w:t>
      </w:r>
      <w:r>
        <w:rPr>
          <w:u w:val="single"/>
        </w:rPr>
        <w:t>,</w:t>
      </w:r>
      <w:r w:rsidRPr="0073444A">
        <w:t xml:space="preserve"> or lodgers; or</w:t>
      </w:r>
    </w:p>
    <w:p w14:paraId="60D0C802" w14:textId="77777777" w:rsidR="00194E56" w:rsidRPr="0073444A" w:rsidRDefault="00194E56" w:rsidP="00194E56">
      <w:pPr>
        <w:spacing w:line="480" w:lineRule="auto"/>
      </w:pPr>
      <w:r>
        <w:t xml:space="preserve"> </w:t>
      </w:r>
      <w:r w:rsidRPr="0073444A">
        <w:t xml:space="preserve">(g) Up to </w:t>
      </w:r>
      <w:r>
        <w:t>[</w:t>
      </w:r>
      <w:r w:rsidRPr="0073444A">
        <w:t>seven</w:t>
      </w:r>
      <w:r>
        <w:t xml:space="preserve">] </w:t>
      </w:r>
      <w:r>
        <w:rPr>
          <w:u w:val="single"/>
        </w:rPr>
        <w:t>7</w:t>
      </w:r>
      <w:r w:rsidRPr="0073444A">
        <w:t xml:space="preserve"> unrelated students enrolled at a single accredited college or university occupying a student apartment, as such term is defined in the New York city building code, and maintaining a common household pursuant to a lease, sublease, or occupancy agreement directly with such college or university, provided that:</w:t>
      </w:r>
    </w:p>
    <w:p w14:paraId="4495EF4F" w14:textId="77777777" w:rsidR="00194E56" w:rsidRPr="0073444A" w:rsidRDefault="00194E56" w:rsidP="00194E56">
      <w:pPr>
        <w:spacing w:line="480" w:lineRule="auto"/>
      </w:pPr>
      <w:r w:rsidRPr="0073444A">
        <w:t>(i) The entire structure in which the dwelling unit is located is fully sprinklered in accordance with chapter 9 of the New York city building code; and</w:t>
      </w:r>
    </w:p>
    <w:p w14:paraId="470A89D5" w14:textId="77777777" w:rsidR="00194E56" w:rsidRPr="0073444A" w:rsidRDefault="00194E56" w:rsidP="00194E56">
      <w:pPr>
        <w:spacing w:line="480" w:lineRule="auto"/>
      </w:pPr>
      <w:r w:rsidRPr="0073444A">
        <w:t>(ii) Such occupancy does not exceed the maximums contained in subdivision a of section 27-2075; and</w:t>
      </w:r>
    </w:p>
    <w:p w14:paraId="7A568BF0" w14:textId="77777777" w:rsidR="00194E56" w:rsidRPr="0073444A" w:rsidRDefault="00194E56" w:rsidP="00194E56">
      <w:pPr>
        <w:spacing w:line="480" w:lineRule="auto"/>
      </w:pPr>
      <w:r w:rsidRPr="0073444A">
        <w:t xml:space="preserve"> (iii) Prior to commencement of such occupancy, and on an annual basis thereafter such college or university has submitted a fire safety plan containing fire safety and evacuation procedures for such dwelling unit that is acceptable to the fire commissioner and in compliance with any rules promulgated by the fire commissioner; and</w:t>
      </w:r>
    </w:p>
    <w:p w14:paraId="6543750A" w14:textId="77777777" w:rsidR="00194E56" w:rsidRPr="0073444A" w:rsidRDefault="00194E56" w:rsidP="00194E56">
      <w:pPr>
        <w:spacing w:line="480" w:lineRule="auto"/>
      </w:pPr>
      <w:r>
        <w:t>(iv) </w:t>
      </w:r>
      <w:r w:rsidRPr="0073444A">
        <w:t>The dwelling unit complies with additional occupancy and construction requirements as may be established by rule by the department of housing preservation and development or its successor.</w:t>
      </w:r>
    </w:p>
    <w:p w14:paraId="67EDEE67" w14:textId="77777777" w:rsidR="00194E56" w:rsidRDefault="00194E56" w:rsidP="00194E56">
      <w:pPr>
        <w:spacing w:line="480" w:lineRule="auto"/>
        <w:rPr>
          <w:u w:val="single"/>
        </w:rPr>
      </w:pPr>
      <w:r w:rsidRPr="0073444A">
        <w:t xml:space="preserve">A common household is deemed to exist if every member of the family has </w:t>
      </w:r>
      <w:r w:rsidRPr="0073444A">
        <w:rPr>
          <w:u w:val="single"/>
        </w:rPr>
        <w:t>reasonable</w:t>
      </w:r>
      <w:r>
        <w:t xml:space="preserve"> </w:t>
      </w:r>
      <w:r w:rsidRPr="0073444A">
        <w:t xml:space="preserve">access to all parts of the dwelling unit. </w:t>
      </w:r>
      <w:r>
        <w:t xml:space="preserve">[Lack] </w:t>
      </w:r>
      <w:r w:rsidRPr="0073444A">
        <w:rPr>
          <w:u w:val="single"/>
        </w:rPr>
        <w:t xml:space="preserve">A family </w:t>
      </w:r>
      <w:r w:rsidRPr="00E043C0">
        <w:rPr>
          <w:u w:val="single"/>
        </w:rPr>
        <w:t>member’s</w:t>
      </w:r>
      <w:r w:rsidRPr="007100B8">
        <w:rPr>
          <w:u w:val="single"/>
        </w:rPr>
        <w:t xml:space="preserve"> lack</w:t>
      </w:r>
      <w:r w:rsidRPr="0073444A">
        <w:t xml:space="preserve"> of </w:t>
      </w:r>
      <w:r w:rsidRPr="006338F8">
        <w:rPr>
          <w:u w:val="single"/>
        </w:rPr>
        <w:t>reasonable</w:t>
      </w:r>
      <w:r>
        <w:t xml:space="preserve"> </w:t>
      </w:r>
      <w:r w:rsidRPr="0073444A">
        <w:t>access to all parts of the dwelling unit establishes a rebuttable presumption that no common household exists.</w:t>
      </w:r>
    </w:p>
    <w:p w14:paraId="2DDFC33B" w14:textId="77777777" w:rsidR="00194E56" w:rsidRDefault="00194E56" w:rsidP="00194E56">
      <w:pPr>
        <w:spacing w:line="480" w:lineRule="auto"/>
      </w:pPr>
      <w:r w:rsidRPr="00C54843">
        <w:t xml:space="preserve">§ </w:t>
      </w:r>
      <w:r>
        <w:t>5. Subdivision a of section 27-2078 of the administrative code of the city of New York, as added by local law number 907 for the year 1985, is amended to read as follows:</w:t>
      </w:r>
    </w:p>
    <w:p w14:paraId="7C5171CA" w14:textId="77777777" w:rsidR="00194E56" w:rsidRDefault="00194E56" w:rsidP="00194E56">
      <w:pPr>
        <w:spacing w:line="480" w:lineRule="auto"/>
      </w:pPr>
      <w:r>
        <w:t xml:space="preserve">a. </w:t>
      </w:r>
      <w:r w:rsidRPr="00C54843">
        <w:t xml:space="preserve">A family may rent </w:t>
      </w:r>
      <w:r>
        <w:t>[</w:t>
      </w:r>
      <w:r w:rsidRPr="00C54843">
        <w:t>one</w:t>
      </w:r>
      <w:r>
        <w:t xml:space="preserve">] </w:t>
      </w:r>
      <w:r>
        <w:rPr>
          <w:u w:val="single"/>
        </w:rPr>
        <w:t>1</w:t>
      </w:r>
      <w:r w:rsidRPr="00C54843">
        <w:t xml:space="preserve"> or more living rooms in an apartment to not more than </w:t>
      </w:r>
      <w:r>
        <w:t>[</w:t>
      </w:r>
      <w:r w:rsidRPr="00C54843">
        <w:t>two</w:t>
      </w:r>
      <w:r>
        <w:t xml:space="preserve">] </w:t>
      </w:r>
      <w:r>
        <w:rPr>
          <w:u w:val="single"/>
        </w:rPr>
        <w:t>2</w:t>
      </w:r>
      <w:r>
        <w:t xml:space="preserve"> </w:t>
      </w:r>
      <w:r w:rsidRPr="00C54843">
        <w:t>boarders, roomers</w:t>
      </w:r>
      <w:r>
        <w:rPr>
          <w:u w:val="single"/>
        </w:rPr>
        <w:t>,</w:t>
      </w:r>
      <w:r w:rsidRPr="00C54843">
        <w:t xml:space="preserve"> or lodgers, if every living room in such apartment has free and unobstructed access to each required exit from such apartment as provided in paragraphs (a), (b)</w:t>
      </w:r>
      <w:r>
        <w:rPr>
          <w:u w:val="single"/>
        </w:rPr>
        <w:t>,</w:t>
      </w:r>
      <w:r w:rsidRPr="00C54843">
        <w:t xml:space="preserve"> and (c) of subdivision </w:t>
      </w:r>
      <w:r>
        <w:t>[</w:t>
      </w:r>
      <w:r w:rsidRPr="00C54843">
        <w:t>four</w:t>
      </w:r>
      <w:r>
        <w:t xml:space="preserve">] </w:t>
      </w:r>
      <w:r>
        <w:rPr>
          <w:u w:val="single"/>
        </w:rPr>
        <w:t>4</w:t>
      </w:r>
      <w:r w:rsidRPr="00C54843">
        <w:t xml:space="preserve"> of section </w:t>
      </w:r>
      <w:r>
        <w:t>[</w:t>
      </w:r>
      <w:r w:rsidRPr="00C54843">
        <w:t>two hundred forty-eight</w:t>
      </w:r>
      <w:r>
        <w:t xml:space="preserve">] </w:t>
      </w:r>
      <w:r>
        <w:rPr>
          <w:u w:val="single"/>
        </w:rPr>
        <w:t>248</w:t>
      </w:r>
      <w:r w:rsidRPr="00C54843">
        <w:t xml:space="preserve"> or paragraph (a) of subdivision </w:t>
      </w:r>
      <w:r>
        <w:t>[</w:t>
      </w:r>
      <w:r w:rsidRPr="00C54843">
        <w:t>one</w:t>
      </w:r>
      <w:r>
        <w:t xml:space="preserve">] </w:t>
      </w:r>
      <w:r>
        <w:rPr>
          <w:u w:val="single"/>
        </w:rPr>
        <w:t>1</w:t>
      </w:r>
      <w:r w:rsidRPr="00C54843">
        <w:t xml:space="preserve"> of section </w:t>
      </w:r>
      <w:r>
        <w:t>[</w:t>
      </w:r>
      <w:r w:rsidRPr="00C54843">
        <w:t>fifty-three</w:t>
      </w:r>
      <w:r>
        <w:t xml:space="preserve">] </w:t>
      </w:r>
      <w:r>
        <w:rPr>
          <w:u w:val="single"/>
        </w:rPr>
        <w:t>53</w:t>
      </w:r>
      <w:r w:rsidRPr="00C54843">
        <w:t xml:space="preserve"> of the multiple dwelling law, and if each such boarder, roomer</w:t>
      </w:r>
      <w:r>
        <w:rPr>
          <w:u w:val="single"/>
        </w:rPr>
        <w:t>,</w:t>
      </w:r>
      <w:r w:rsidRPr="00C54843">
        <w:t xml:space="preserve"> or lodger</w:t>
      </w:r>
      <w:r>
        <w:t xml:space="preserve"> </w:t>
      </w:r>
      <w:r w:rsidRPr="00C54843">
        <w:t xml:space="preserve">has access to, and the right to use, at least </w:t>
      </w:r>
      <w:r>
        <w:t>[</w:t>
      </w:r>
      <w:r w:rsidRPr="00C54843">
        <w:t>one</w:t>
      </w:r>
      <w:r>
        <w:t xml:space="preserve">] </w:t>
      </w:r>
      <w:r>
        <w:rPr>
          <w:u w:val="single"/>
        </w:rPr>
        <w:t>1</w:t>
      </w:r>
      <w:r w:rsidRPr="00C54843">
        <w:t xml:space="preserve"> water closet, bath</w:t>
      </w:r>
      <w:r>
        <w:rPr>
          <w:u w:val="single"/>
        </w:rPr>
        <w:t>,</w:t>
      </w:r>
      <w:r w:rsidRPr="00C54843">
        <w:t xml:space="preserve"> or shower and one washbasin as may be required in or for an apartment in this code.</w:t>
      </w:r>
      <w:r>
        <w:t xml:space="preserve"> </w:t>
      </w:r>
      <w:r>
        <w:rPr>
          <w:u w:val="single"/>
        </w:rPr>
        <w:t xml:space="preserve">The family member who receives a registration pursuant to section 26-3102 </w:t>
      </w:r>
      <w:r w:rsidRPr="00C54843">
        <w:rPr>
          <w:u w:val="single"/>
        </w:rPr>
        <w:t xml:space="preserve">shall provide reasonable access to the dwelling unit to the </w:t>
      </w:r>
      <w:r>
        <w:rPr>
          <w:u w:val="single"/>
        </w:rPr>
        <w:t xml:space="preserve">boarders, roomers, or lodgers, but shall not be required </w:t>
      </w:r>
      <w:r w:rsidRPr="00C54843">
        <w:rPr>
          <w:u w:val="single"/>
        </w:rPr>
        <w:t xml:space="preserve">to provide access to </w:t>
      </w:r>
      <w:r>
        <w:rPr>
          <w:u w:val="single"/>
        </w:rPr>
        <w:t>the</w:t>
      </w:r>
      <w:r w:rsidRPr="00C54843">
        <w:rPr>
          <w:u w:val="single"/>
        </w:rPr>
        <w:t xml:space="preserve"> bedrooms, offices, or </w:t>
      </w:r>
      <w:r>
        <w:rPr>
          <w:u w:val="single"/>
        </w:rPr>
        <w:t xml:space="preserve">other </w:t>
      </w:r>
      <w:r w:rsidRPr="00C54843">
        <w:rPr>
          <w:u w:val="single"/>
        </w:rPr>
        <w:t xml:space="preserve">similar private spaces </w:t>
      </w:r>
      <w:r>
        <w:rPr>
          <w:u w:val="single"/>
        </w:rPr>
        <w:t xml:space="preserve">of any family member </w:t>
      </w:r>
      <w:r w:rsidRPr="00C54843">
        <w:rPr>
          <w:u w:val="single"/>
        </w:rPr>
        <w:t>in the dwelling unit.</w:t>
      </w:r>
    </w:p>
    <w:p w14:paraId="5B875DE6" w14:textId="77777777" w:rsidR="00194E56" w:rsidRDefault="00194E56" w:rsidP="00194E56">
      <w:pPr>
        <w:spacing w:line="480" w:lineRule="auto"/>
      </w:pPr>
      <w:r w:rsidRPr="0060097A">
        <w:t>§</w:t>
      </w:r>
      <w:r>
        <w:t xml:space="preserve"> 6. Section 26-3102 of the administrative code of the city of New York is amended by adding new subdivision n to read as follows:</w:t>
      </w:r>
    </w:p>
    <w:p w14:paraId="732A22C8" w14:textId="77777777" w:rsidR="00194E56" w:rsidRPr="004F2E75" w:rsidRDefault="00194E56" w:rsidP="00194E56">
      <w:pPr>
        <w:spacing w:line="480" w:lineRule="auto"/>
        <w:rPr>
          <w:color w:val="000000"/>
          <w:u w:val="single"/>
        </w:rPr>
      </w:pPr>
      <w:r w:rsidRPr="006B04FD">
        <w:rPr>
          <w:u w:val="single"/>
        </w:rPr>
        <w:t>n. A registered host offering a short-term rental shall provide reasonable access to the dwelling unit to such boarders, roomers, or lodgers</w:t>
      </w:r>
      <w:r>
        <w:rPr>
          <w:u w:val="single"/>
        </w:rPr>
        <w:t>,</w:t>
      </w:r>
      <w:r w:rsidRPr="006B04FD">
        <w:rPr>
          <w:u w:val="single"/>
        </w:rPr>
        <w:t xml:space="preserve"> </w:t>
      </w:r>
      <w:r>
        <w:rPr>
          <w:u w:val="single"/>
        </w:rPr>
        <w:t xml:space="preserve">but shall not be </w:t>
      </w:r>
      <w:r w:rsidRPr="006B04FD">
        <w:rPr>
          <w:u w:val="single"/>
        </w:rPr>
        <w:t>require</w:t>
      </w:r>
      <w:r>
        <w:rPr>
          <w:u w:val="single"/>
        </w:rPr>
        <w:t>d</w:t>
      </w:r>
      <w:r w:rsidRPr="006B04FD">
        <w:rPr>
          <w:u w:val="single"/>
        </w:rPr>
        <w:t xml:space="preserve"> to provide access to </w:t>
      </w:r>
      <w:r>
        <w:rPr>
          <w:u w:val="single"/>
        </w:rPr>
        <w:t xml:space="preserve">the </w:t>
      </w:r>
      <w:r w:rsidRPr="006B04FD">
        <w:rPr>
          <w:u w:val="single"/>
        </w:rPr>
        <w:t>bedroom, offices, or</w:t>
      </w:r>
      <w:r>
        <w:rPr>
          <w:u w:val="single"/>
        </w:rPr>
        <w:t xml:space="preserve"> other</w:t>
      </w:r>
      <w:r w:rsidRPr="006B04FD">
        <w:rPr>
          <w:u w:val="single"/>
        </w:rPr>
        <w:t xml:space="preserve"> similar private spaces</w:t>
      </w:r>
      <w:r>
        <w:rPr>
          <w:u w:val="single"/>
        </w:rPr>
        <w:t xml:space="preserve"> of any permanent occupant</w:t>
      </w:r>
      <w:r w:rsidRPr="006B04FD">
        <w:rPr>
          <w:u w:val="single"/>
        </w:rPr>
        <w:t xml:space="preserve"> in the dwelling unit. </w:t>
      </w:r>
    </w:p>
    <w:p w14:paraId="328557E1" w14:textId="77777777" w:rsidR="00194E56" w:rsidRPr="00B84ADF" w:rsidRDefault="00194E56" w:rsidP="00194E56">
      <w:pPr>
        <w:pStyle w:val="NormalWeb"/>
        <w:shd w:val="clear" w:color="auto" w:fill="FFFFFF"/>
        <w:spacing w:before="0" w:beforeAutospacing="0" w:after="0" w:afterAutospacing="0" w:line="480" w:lineRule="auto"/>
        <w:ind w:firstLine="720"/>
        <w:rPr>
          <w:color w:val="000000"/>
          <w:sz w:val="27"/>
          <w:szCs w:val="27"/>
        </w:rPr>
        <w:sectPr w:rsidR="00194E56" w:rsidRPr="00B84ADF" w:rsidSect="00194E56">
          <w:type w:val="continuous"/>
          <w:pgSz w:w="12240" w:h="15840"/>
          <w:pgMar w:top="1440" w:right="1440" w:bottom="1440" w:left="1440" w:header="720" w:footer="720" w:gutter="0"/>
          <w:lnNumType w:countBy="1"/>
          <w:cols w:space="720"/>
          <w:titlePg/>
          <w:docGrid w:linePitch="360"/>
        </w:sectPr>
      </w:pPr>
      <w:r>
        <w:rPr>
          <w:color w:val="000000"/>
        </w:rPr>
        <w:t xml:space="preserve">§ 7. </w:t>
      </w:r>
      <w:r w:rsidRPr="003B4CDA">
        <w:rPr>
          <w:color w:val="000000"/>
        </w:rPr>
        <w:t xml:space="preserve">This local law takes effect </w:t>
      </w:r>
      <w:r>
        <w:rPr>
          <w:color w:val="000000"/>
        </w:rPr>
        <w:t>1 year after it becomes law.</w:t>
      </w:r>
    </w:p>
    <w:p w14:paraId="40892B14" w14:textId="77777777" w:rsidR="00194E56" w:rsidRDefault="00194E56" w:rsidP="00194E56">
      <w:pPr>
        <w:rPr>
          <w:sz w:val="18"/>
          <w:szCs w:val="18"/>
        </w:rPr>
      </w:pPr>
    </w:p>
    <w:p w14:paraId="69467E06" w14:textId="77777777" w:rsidR="00194E56" w:rsidRDefault="00194E56" w:rsidP="00194E56">
      <w:pPr>
        <w:rPr>
          <w:sz w:val="18"/>
          <w:szCs w:val="18"/>
        </w:rPr>
      </w:pPr>
      <w:r>
        <w:rPr>
          <w:sz w:val="18"/>
          <w:szCs w:val="18"/>
        </w:rPr>
        <w:t>APM</w:t>
      </w:r>
    </w:p>
    <w:p w14:paraId="505D8B43" w14:textId="77777777" w:rsidR="00194E56" w:rsidRDefault="00194E56" w:rsidP="00194E56">
      <w:pPr>
        <w:rPr>
          <w:sz w:val="18"/>
          <w:szCs w:val="18"/>
        </w:rPr>
      </w:pPr>
      <w:r>
        <w:rPr>
          <w:sz w:val="18"/>
          <w:szCs w:val="18"/>
        </w:rPr>
        <w:t>LS #14408</w:t>
      </w:r>
    </w:p>
    <w:p w14:paraId="2FB47670" w14:textId="77777777" w:rsidR="00194E56" w:rsidRDefault="00194E56" w:rsidP="00194E56">
      <w:pPr>
        <w:rPr>
          <w:sz w:val="18"/>
          <w:szCs w:val="18"/>
        </w:rPr>
      </w:pPr>
      <w:r>
        <w:rPr>
          <w:sz w:val="18"/>
          <w:szCs w:val="18"/>
        </w:rPr>
        <w:t>2/3/25 1:12 PM</w:t>
      </w:r>
    </w:p>
    <w:p w14:paraId="41BB567C" w14:textId="77777777" w:rsidR="00194E56" w:rsidRDefault="00194E56" w:rsidP="00194E56">
      <w:pPr>
        <w:jc w:val="center"/>
        <w:rPr>
          <w:szCs w:val="24"/>
        </w:rPr>
      </w:pPr>
      <w:r>
        <w:rPr>
          <w:szCs w:val="24"/>
        </w:rPr>
        <w:br w:type="page"/>
      </w:r>
    </w:p>
    <w:p w14:paraId="4AF1AF95" w14:textId="66ED2DA0" w:rsidR="00194E56" w:rsidRDefault="00194E56">
      <w:pPr>
        <w:spacing w:after="160" w:line="259" w:lineRule="auto"/>
        <w:jc w:val="left"/>
        <w:rPr>
          <w:szCs w:val="24"/>
        </w:rPr>
      </w:pPr>
    </w:p>
    <w:p w14:paraId="117EFB43" w14:textId="77777777" w:rsidR="00194E56" w:rsidRDefault="00194E56" w:rsidP="00194E56">
      <w:pPr>
        <w:jc w:val="center"/>
        <w:rPr>
          <w:szCs w:val="24"/>
        </w:rPr>
      </w:pPr>
    </w:p>
    <w:p w14:paraId="34E9CD7B" w14:textId="77777777" w:rsidR="00194E56" w:rsidRDefault="00194E56" w:rsidP="00194E56">
      <w:pPr>
        <w:jc w:val="center"/>
        <w:rPr>
          <w:szCs w:val="24"/>
        </w:rPr>
      </w:pPr>
    </w:p>
    <w:p w14:paraId="087CC62C" w14:textId="77777777" w:rsidR="00194E56" w:rsidRDefault="00194E56" w:rsidP="00194E56">
      <w:pPr>
        <w:jc w:val="center"/>
        <w:rPr>
          <w:szCs w:val="24"/>
        </w:rPr>
      </w:pPr>
    </w:p>
    <w:p w14:paraId="35CB3B56" w14:textId="77777777" w:rsidR="00194E56" w:rsidRDefault="00194E56" w:rsidP="00194E56">
      <w:pPr>
        <w:jc w:val="center"/>
        <w:rPr>
          <w:szCs w:val="24"/>
        </w:rPr>
      </w:pPr>
    </w:p>
    <w:p w14:paraId="50B0124E" w14:textId="77777777" w:rsidR="00194E56" w:rsidRDefault="00194E56" w:rsidP="00194E56">
      <w:pPr>
        <w:jc w:val="center"/>
        <w:rPr>
          <w:szCs w:val="24"/>
        </w:rPr>
      </w:pPr>
    </w:p>
    <w:p w14:paraId="0DBB1FCB" w14:textId="77777777" w:rsidR="00194E56" w:rsidRDefault="00194E56" w:rsidP="00194E56">
      <w:pPr>
        <w:jc w:val="center"/>
        <w:rPr>
          <w:szCs w:val="24"/>
        </w:rPr>
      </w:pPr>
    </w:p>
    <w:p w14:paraId="5EBF5FF9" w14:textId="77777777" w:rsidR="00194E56" w:rsidRDefault="00194E56" w:rsidP="00194E56">
      <w:pPr>
        <w:jc w:val="center"/>
        <w:rPr>
          <w:szCs w:val="24"/>
        </w:rPr>
      </w:pPr>
    </w:p>
    <w:p w14:paraId="6ED1BA42" w14:textId="77777777" w:rsidR="00194E56" w:rsidRDefault="00194E56" w:rsidP="00194E56">
      <w:pPr>
        <w:jc w:val="center"/>
        <w:rPr>
          <w:szCs w:val="24"/>
        </w:rPr>
      </w:pPr>
    </w:p>
    <w:p w14:paraId="7EE357E8" w14:textId="77777777" w:rsidR="00194E56" w:rsidRDefault="00194E56" w:rsidP="00194E56">
      <w:pPr>
        <w:jc w:val="center"/>
        <w:rPr>
          <w:szCs w:val="24"/>
        </w:rPr>
      </w:pPr>
    </w:p>
    <w:p w14:paraId="72B048B4" w14:textId="77777777" w:rsidR="00194E56" w:rsidRDefault="00194E56" w:rsidP="00194E56">
      <w:pPr>
        <w:jc w:val="center"/>
        <w:rPr>
          <w:szCs w:val="24"/>
        </w:rPr>
      </w:pPr>
    </w:p>
    <w:p w14:paraId="6FE2111B" w14:textId="77777777" w:rsidR="00194E56" w:rsidRDefault="00194E56" w:rsidP="00194E56">
      <w:pPr>
        <w:jc w:val="center"/>
        <w:rPr>
          <w:szCs w:val="24"/>
        </w:rPr>
      </w:pPr>
    </w:p>
    <w:p w14:paraId="4EB7326B" w14:textId="77777777" w:rsidR="00194E56" w:rsidRDefault="00194E56" w:rsidP="00194E56">
      <w:pPr>
        <w:jc w:val="center"/>
        <w:rPr>
          <w:szCs w:val="24"/>
        </w:rPr>
      </w:pPr>
    </w:p>
    <w:p w14:paraId="65160537" w14:textId="77777777" w:rsidR="00194E56" w:rsidRDefault="00194E56" w:rsidP="00194E56">
      <w:pPr>
        <w:jc w:val="center"/>
        <w:rPr>
          <w:szCs w:val="24"/>
        </w:rPr>
      </w:pPr>
    </w:p>
    <w:p w14:paraId="18D300B9" w14:textId="77777777" w:rsidR="00194E56" w:rsidRDefault="00194E56" w:rsidP="00194E56">
      <w:pPr>
        <w:jc w:val="center"/>
        <w:rPr>
          <w:szCs w:val="24"/>
        </w:rPr>
      </w:pPr>
    </w:p>
    <w:p w14:paraId="71CF88B4" w14:textId="77777777" w:rsidR="00194E56" w:rsidRDefault="00194E56" w:rsidP="00194E56">
      <w:pPr>
        <w:jc w:val="center"/>
        <w:rPr>
          <w:szCs w:val="24"/>
        </w:rPr>
      </w:pPr>
    </w:p>
    <w:p w14:paraId="41BC56E1" w14:textId="77777777" w:rsidR="00194E56" w:rsidRDefault="00194E56" w:rsidP="00194E56">
      <w:pPr>
        <w:jc w:val="center"/>
        <w:rPr>
          <w:szCs w:val="24"/>
        </w:rPr>
      </w:pPr>
    </w:p>
    <w:p w14:paraId="715DC862" w14:textId="3B3367BF" w:rsidR="00194E56" w:rsidRDefault="00FC6D06" w:rsidP="00194E56">
      <w:pPr>
        <w:jc w:val="center"/>
        <w:rPr>
          <w:szCs w:val="24"/>
        </w:rPr>
      </w:pPr>
      <w:r>
        <w:rPr>
          <w:szCs w:val="24"/>
        </w:rPr>
        <w:t>[</w:t>
      </w:r>
      <w:r w:rsidR="00194E56">
        <w:rPr>
          <w:szCs w:val="24"/>
        </w:rPr>
        <w:t>THIS PAGE INTENTIONALLY BLANK</w:t>
      </w:r>
      <w:r>
        <w:rPr>
          <w:szCs w:val="24"/>
        </w:rPr>
        <w:t>]</w:t>
      </w:r>
    </w:p>
    <w:p w14:paraId="35DD3EDB" w14:textId="77777777" w:rsidR="00194E56" w:rsidRDefault="00194E56" w:rsidP="00194E56">
      <w:pPr>
        <w:jc w:val="center"/>
        <w:rPr>
          <w:szCs w:val="24"/>
        </w:rPr>
      </w:pPr>
    </w:p>
    <w:p w14:paraId="03C116BA" w14:textId="77777777" w:rsidR="00194E56" w:rsidRDefault="00194E56" w:rsidP="00194E56">
      <w:pPr>
        <w:jc w:val="center"/>
        <w:rPr>
          <w:szCs w:val="24"/>
        </w:rPr>
      </w:pPr>
    </w:p>
    <w:p w14:paraId="219195C5" w14:textId="77777777" w:rsidR="00194E56" w:rsidRDefault="00194E56" w:rsidP="00194E56">
      <w:pPr>
        <w:jc w:val="center"/>
        <w:rPr>
          <w:szCs w:val="24"/>
        </w:rPr>
      </w:pPr>
    </w:p>
    <w:p w14:paraId="692B62E2" w14:textId="77777777" w:rsidR="00194E56" w:rsidRDefault="00194E56" w:rsidP="00194E56">
      <w:pPr>
        <w:jc w:val="center"/>
        <w:rPr>
          <w:szCs w:val="24"/>
        </w:rPr>
      </w:pPr>
    </w:p>
    <w:p w14:paraId="407D5A68" w14:textId="77777777" w:rsidR="00194E56" w:rsidRDefault="00194E56" w:rsidP="00194E56">
      <w:pPr>
        <w:jc w:val="center"/>
        <w:rPr>
          <w:szCs w:val="24"/>
        </w:rPr>
      </w:pPr>
    </w:p>
    <w:p w14:paraId="24022D9C" w14:textId="77777777" w:rsidR="00194E56" w:rsidRDefault="00194E56" w:rsidP="00194E56">
      <w:pPr>
        <w:jc w:val="center"/>
        <w:rPr>
          <w:szCs w:val="24"/>
        </w:rPr>
      </w:pPr>
    </w:p>
    <w:p w14:paraId="029C8DBF" w14:textId="77777777" w:rsidR="00194E56" w:rsidRDefault="00194E56" w:rsidP="00194E56">
      <w:pPr>
        <w:jc w:val="center"/>
        <w:rPr>
          <w:szCs w:val="24"/>
        </w:rPr>
      </w:pPr>
    </w:p>
    <w:p w14:paraId="4AF68438" w14:textId="77777777" w:rsidR="00194E56" w:rsidRDefault="00194E56" w:rsidP="00194E56">
      <w:pPr>
        <w:jc w:val="center"/>
        <w:rPr>
          <w:szCs w:val="24"/>
        </w:rPr>
      </w:pPr>
    </w:p>
    <w:p w14:paraId="6E3B3C26" w14:textId="77777777" w:rsidR="00194E56" w:rsidRDefault="00194E56" w:rsidP="00194E56">
      <w:pPr>
        <w:jc w:val="center"/>
        <w:rPr>
          <w:szCs w:val="24"/>
        </w:rPr>
      </w:pPr>
    </w:p>
    <w:p w14:paraId="717F6C8C" w14:textId="77777777" w:rsidR="00194E56" w:rsidRDefault="00194E56" w:rsidP="00194E56">
      <w:pPr>
        <w:jc w:val="center"/>
        <w:rPr>
          <w:szCs w:val="24"/>
        </w:rPr>
      </w:pPr>
    </w:p>
    <w:p w14:paraId="407422AE" w14:textId="77777777" w:rsidR="00194E56" w:rsidRDefault="00194E56" w:rsidP="00194E56">
      <w:pPr>
        <w:jc w:val="center"/>
        <w:rPr>
          <w:szCs w:val="24"/>
        </w:rPr>
      </w:pPr>
    </w:p>
    <w:p w14:paraId="426355BC" w14:textId="77777777" w:rsidR="00194E56" w:rsidRDefault="00194E56" w:rsidP="00194E56">
      <w:pPr>
        <w:jc w:val="center"/>
        <w:rPr>
          <w:szCs w:val="24"/>
        </w:rPr>
      </w:pPr>
    </w:p>
    <w:p w14:paraId="77DCF60B" w14:textId="77777777" w:rsidR="00194E56" w:rsidRDefault="00194E56" w:rsidP="00194E56">
      <w:pPr>
        <w:jc w:val="center"/>
        <w:rPr>
          <w:szCs w:val="24"/>
        </w:rPr>
      </w:pPr>
    </w:p>
    <w:p w14:paraId="72D801A6" w14:textId="77777777" w:rsidR="00194E56" w:rsidRDefault="00194E56" w:rsidP="00194E56">
      <w:pPr>
        <w:jc w:val="center"/>
        <w:rPr>
          <w:szCs w:val="24"/>
        </w:rPr>
      </w:pPr>
    </w:p>
    <w:p w14:paraId="63C42EAB" w14:textId="77777777" w:rsidR="00194E56" w:rsidRDefault="00194E56" w:rsidP="00194E56">
      <w:pPr>
        <w:jc w:val="center"/>
        <w:rPr>
          <w:szCs w:val="24"/>
        </w:rPr>
      </w:pPr>
    </w:p>
    <w:p w14:paraId="783F4F94" w14:textId="77777777" w:rsidR="00194E56" w:rsidRDefault="00194E56" w:rsidP="00194E56">
      <w:pPr>
        <w:jc w:val="center"/>
        <w:rPr>
          <w:szCs w:val="24"/>
        </w:rPr>
      </w:pPr>
    </w:p>
    <w:p w14:paraId="2FDCCB77" w14:textId="77777777" w:rsidR="00194E56" w:rsidRDefault="00194E56" w:rsidP="00194E56">
      <w:pPr>
        <w:jc w:val="center"/>
        <w:rPr>
          <w:szCs w:val="24"/>
        </w:rPr>
      </w:pPr>
    </w:p>
    <w:p w14:paraId="447660E2" w14:textId="77777777" w:rsidR="00194E56" w:rsidRDefault="00194E56" w:rsidP="00194E56">
      <w:pPr>
        <w:jc w:val="center"/>
        <w:rPr>
          <w:szCs w:val="24"/>
        </w:rPr>
      </w:pPr>
    </w:p>
    <w:p w14:paraId="0C6F90FA" w14:textId="77777777" w:rsidR="00194E56" w:rsidRDefault="00194E56" w:rsidP="00194E56">
      <w:pPr>
        <w:jc w:val="center"/>
        <w:rPr>
          <w:szCs w:val="24"/>
        </w:rPr>
      </w:pPr>
    </w:p>
    <w:p w14:paraId="2F197640" w14:textId="77777777" w:rsidR="00194E56" w:rsidRDefault="00194E56" w:rsidP="00194E56">
      <w:pPr>
        <w:jc w:val="center"/>
        <w:rPr>
          <w:szCs w:val="24"/>
        </w:rPr>
      </w:pPr>
    </w:p>
    <w:p w14:paraId="7EDA4E43" w14:textId="77777777" w:rsidR="00194E56" w:rsidRDefault="00194E56" w:rsidP="00194E56">
      <w:pPr>
        <w:jc w:val="center"/>
        <w:rPr>
          <w:szCs w:val="24"/>
        </w:rPr>
      </w:pPr>
    </w:p>
    <w:p w14:paraId="17F95874" w14:textId="77777777" w:rsidR="00194E56" w:rsidRDefault="00194E56" w:rsidP="00194E56">
      <w:pPr>
        <w:jc w:val="center"/>
        <w:rPr>
          <w:szCs w:val="24"/>
        </w:rPr>
      </w:pPr>
    </w:p>
    <w:p w14:paraId="53C31436" w14:textId="77777777" w:rsidR="00194E56" w:rsidRDefault="00194E56" w:rsidP="00194E56">
      <w:pPr>
        <w:jc w:val="center"/>
        <w:rPr>
          <w:szCs w:val="24"/>
        </w:rPr>
      </w:pPr>
    </w:p>
    <w:p w14:paraId="7DEB2CB0" w14:textId="77777777" w:rsidR="00194E56" w:rsidRDefault="00194E56" w:rsidP="00194E56">
      <w:pPr>
        <w:jc w:val="center"/>
        <w:rPr>
          <w:szCs w:val="24"/>
        </w:rPr>
      </w:pPr>
    </w:p>
    <w:p w14:paraId="421E4A4F" w14:textId="77777777" w:rsidR="00194E56" w:rsidRDefault="00194E56" w:rsidP="00194E56">
      <w:pPr>
        <w:jc w:val="center"/>
        <w:rPr>
          <w:szCs w:val="24"/>
        </w:rPr>
      </w:pPr>
    </w:p>
    <w:p w14:paraId="1F15819B" w14:textId="77777777" w:rsidR="00194E56" w:rsidRDefault="00194E56" w:rsidP="00194E56">
      <w:pPr>
        <w:jc w:val="center"/>
        <w:rPr>
          <w:szCs w:val="24"/>
        </w:rPr>
      </w:pPr>
    </w:p>
    <w:p w14:paraId="1719E709" w14:textId="77777777" w:rsidR="00194E56" w:rsidRDefault="00194E56" w:rsidP="00194E56">
      <w:pPr>
        <w:jc w:val="center"/>
        <w:rPr>
          <w:szCs w:val="24"/>
        </w:rPr>
      </w:pPr>
    </w:p>
    <w:p w14:paraId="57C101EF" w14:textId="77777777" w:rsidR="00194E56" w:rsidRDefault="00194E56" w:rsidP="00194E56">
      <w:pPr>
        <w:jc w:val="center"/>
        <w:rPr>
          <w:szCs w:val="24"/>
        </w:rPr>
      </w:pPr>
    </w:p>
    <w:p w14:paraId="480E8F01" w14:textId="22741A79" w:rsidR="00194E56" w:rsidRDefault="00194E56">
      <w:pPr>
        <w:spacing w:after="160" w:line="259" w:lineRule="auto"/>
        <w:jc w:val="left"/>
        <w:rPr>
          <w:szCs w:val="24"/>
        </w:rPr>
      </w:pPr>
    </w:p>
    <w:p w14:paraId="700C825C" w14:textId="78EA1AAE" w:rsidR="008F527A" w:rsidRPr="008F527A" w:rsidRDefault="008F527A" w:rsidP="008F527A">
      <w:pPr>
        <w:jc w:val="center"/>
        <w:rPr>
          <w:szCs w:val="24"/>
        </w:rPr>
      </w:pPr>
      <w:r w:rsidRPr="008F527A">
        <w:rPr>
          <w:szCs w:val="24"/>
        </w:rPr>
        <w:t>Int. No. 1217</w:t>
      </w:r>
    </w:p>
    <w:p w14:paraId="2AF1FDB5" w14:textId="77777777" w:rsidR="008F527A" w:rsidRPr="008F527A" w:rsidRDefault="008F527A" w:rsidP="008F527A">
      <w:pPr>
        <w:jc w:val="center"/>
        <w:rPr>
          <w:szCs w:val="24"/>
        </w:rPr>
      </w:pPr>
    </w:p>
    <w:p w14:paraId="209ECD04" w14:textId="77777777" w:rsidR="008F527A" w:rsidRPr="008F527A" w:rsidRDefault="008F527A" w:rsidP="008F527A">
      <w:pPr>
        <w:autoSpaceDE w:val="0"/>
        <w:autoSpaceDN w:val="0"/>
        <w:adjustRightInd w:val="0"/>
        <w:rPr>
          <w:rFonts w:eastAsia="Calibri"/>
          <w:szCs w:val="24"/>
        </w:rPr>
      </w:pPr>
      <w:r w:rsidRPr="008F527A">
        <w:rPr>
          <w:rFonts w:eastAsia="Calibri"/>
          <w:szCs w:val="24"/>
        </w:rPr>
        <w:t>By Council Members Zhuang, Marte, Banks, Louis, Holden, Hanks, Joseph, Krishnan, Ayala, Feliz, Ung, Hudson, Sanchez, Gutiérrez, Menin, Lee, Farías, Schulman, Vernikov, Morano and Ariola</w:t>
      </w:r>
    </w:p>
    <w:p w14:paraId="072BD824" w14:textId="77777777" w:rsidR="008F527A" w:rsidRPr="008F527A" w:rsidRDefault="008F527A" w:rsidP="008F527A">
      <w:pPr>
        <w:rPr>
          <w:szCs w:val="24"/>
        </w:rPr>
      </w:pPr>
    </w:p>
    <w:p w14:paraId="380F8DB5" w14:textId="77777777" w:rsidR="008F527A" w:rsidRPr="008F527A" w:rsidRDefault="008F527A" w:rsidP="008F527A">
      <w:pPr>
        <w:rPr>
          <w:vanish/>
          <w:szCs w:val="24"/>
        </w:rPr>
      </w:pPr>
      <w:r w:rsidRPr="008F527A">
        <w:rPr>
          <w:vanish/>
          <w:szCs w:val="24"/>
        </w:rPr>
        <w:t>..Title</w:t>
      </w:r>
    </w:p>
    <w:p w14:paraId="47BC2E2C" w14:textId="77777777" w:rsidR="008F527A" w:rsidRPr="008F527A" w:rsidRDefault="008F527A" w:rsidP="008F527A">
      <w:pPr>
        <w:rPr>
          <w:szCs w:val="24"/>
        </w:rPr>
      </w:pPr>
      <w:r w:rsidRPr="008F527A">
        <w:rPr>
          <w:szCs w:val="24"/>
        </w:rPr>
        <w:t>A Local Law to amend the administrative code of the city of New York, in relation to building inspections and reporting following complaints related to rats and other pests</w:t>
      </w:r>
    </w:p>
    <w:p w14:paraId="19442A86" w14:textId="77777777" w:rsidR="008F527A" w:rsidRPr="008F527A" w:rsidRDefault="008F527A" w:rsidP="008F527A">
      <w:pPr>
        <w:rPr>
          <w:vanish/>
          <w:szCs w:val="24"/>
        </w:rPr>
      </w:pPr>
      <w:r w:rsidRPr="008F527A">
        <w:rPr>
          <w:vanish/>
          <w:szCs w:val="24"/>
        </w:rPr>
        <w:t>..Body</w:t>
      </w:r>
    </w:p>
    <w:p w14:paraId="672016AB" w14:textId="77777777" w:rsidR="008F527A" w:rsidRPr="008F527A" w:rsidRDefault="008F527A" w:rsidP="008F527A">
      <w:pPr>
        <w:rPr>
          <w:szCs w:val="24"/>
          <w:u w:val="single"/>
        </w:rPr>
      </w:pPr>
    </w:p>
    <w:p w14:paraId="55127C9B" w14:textId="77777777" w:rsidR="008F527A" w:rsidRPr="008F527A" w:rsidRDefault="008F527A" w:rsidP="008F527A">
      <w:pPr>
        <w:rPr>
          <w:szCs w:val="24"/>
        </w:rPr>
      </w:pPr>
      <w:r w:rsidRPr="008F527A">
        <w:rPr>
          <w:szCs w:val="24"/>
          <w:u w:val="single"/>
        </w:rPr>
        <w:t>Be it enacted by the Council as follows:</w:t>
      </w:r>
    </w:p>
    <w:p w14:paraId="41432205" w14:textId="77777777" w:rsidR="008F527A" w:rsidRPr="008F527A" w:rsidRDefault="008F527A" w:rsidP="008F527A">
      <w:pPr>
        <w:ind w:firstLine="720"/>
        <w:rPr>
          <w:szCs w:val="24"/>
        </w:rPr>
      </w:pPr>
    </w:p>
    <w:p w14:paraId="477D003E" w14:textId="77777777" w:rsidR="008F527A" w:rsidRPr="008F527A" w:rsidRDefault="008F527A" w:rsidP="008F527A">
      <w:pPr>
        <w:spacing w:line="480" w:lineRule="auto"/>
        <w:ind w:firstLine="720"/>
        <w:rPr>
          <w:szCs w:val="24"/>
        </w:rPr>
        <w:sectPr w:rsidR="008F527A" w:rsidRPr="008F527A" w:rsidSect="008F527A">
          <w:footerReference w:type="default" r:id="rId16"/>
          <w:footerReference w:type="first" r:id="rId17"/>
          <w:type w:val="continuous"/>
          <w:pgSz w:w="12240" w:h="15840"/>
          <w:pgMar w:top="1440" w:right="1440" w:bottom="1440" w:left="1440" w:header="720" w:footer="720" w:gutter="0"/>
          <w:cols w:space="720"/>
          <w:docGrid w:linePitch="360"/>
        </w:sectPr>
      </w:pPr>
    </w:p>
    <w:p w14:paraId="217F2FFB" w14:textId="77777777" w:rsidR="008F527A" w:rsidRPr="008F527A" w:rsidRDefault="008F527A" w:rsidP="008F527A">
      <w:pPr>
        <w:spacing w:line="480" w:lineRule="auto"/>
        <w:ind w:firstLine="720"/>
        <w:rPr>
          <w:color w:val="000000"/>
          <w:szCs w:val="24"/>
        </w:rPr>
      </w:pPr>
      <w:r w:rsidRPr="008F527A">
        <w:rPr>
          <w:szCs w:val="24"/>
        </w:rPr>
        <w:t xml:space="preserve">Section 1. Chapter 1 of title 17 </w:t>
      </w:r>
      <w:r w:rsidRPr="008F527A">
        <w:rPr>
          <w:color w:val="000000"/>
          <w:szCs w:val="24"/>
        </w:rPr>
        <w:t>of the administrative code of the city of New York is amended by adding a new section 17-133.4 to read as follows:</w:t>
      </w:r>
    </w:p>
    <w:p w14:paraId="2760616A" w14:textId="77777777" w:rsidR="008F527A" w:rsidRPr="008F527A" w:rsidRDefault="008F527A" w:rsidP="008F527A">
      <w:pPr>
        <w:spacing w:line="480" w:lineRule="auto"/>
        <w:ind w:firstLine="720"/>
        <w:rPr>
          <w:szCs w:val="24"/>
          <w:u w:val="single"/>
        </w:rPr>
      </w:pPr>
      <w:r w:rsidRPr="008F527A">
        <w:rPr>
          <w:szCs w:val="24"/>
          <w:u w:val="single"/>
        </w:rPr>
        <w:t>§ 17-133.4  Inspections timeline. The department shall inspect a building for signs of rodent activity or harborage within 10 business days following submission to the 311 customer service center of a service request or complaint pertaining to such building and relating to rats, mice, pests, or conditions which might attract them, building maintenance as it relates to rodent abatement, failure to follow trash or recycling disposal rules, failure to correctly store trash or recycling, or outdoor dining as it relates to rodent abatement. As part of such inspection, the department shall collect or record the following information:</w:t>
      </w:r>
    </w:p>
    <w:p w14:paraId="3785DFF2" w14:textId="77777777" w:rsidR="008F527A" w:rsidRPr="008F527A" w:rsidRDefault="008F527A" w:rsidP="008F527A">
      <w:pPr>
        <w:spacing w:line="480" w:lineRule="auto"/>
        <w:ind w:firstLine="720"/>
        <w:rPr>
          <w:szCs w:val="24"/>
          <w:u w:val="single"/>
        </w:rPr>
      </w:pPr>
      <w:r w:rsidRPr="008F527A">
        <w:rPr>
          <w:szCs w:val="24"/>
          <w:u w:val="single"/>
        </w:rPr>
        <w:t>1. the street address of the building so inspected;</w:t>
      </w:r>
    </w:p>
    <w:p w14:paraId="25ED28D9" w14:textId="77777777" w:rsidR="008F527A" w:rsidRPr="008F527A" w:rsidRDefault="008F527A" w:rsidP="008F527A">
      <w:pPr>
        <w:spacing w:line="480" w:lineRule="auto"/>
        <w:ind w:firstLine="720"/>
        <w:rPr>
          <w:szCs w:val="24"/>
          <w:u w:val="single"/>
        </w:rPr>
      </w:pPr>
      <w:r w:rsidRPr="008F527A">
        <w:rPr>
          <w:szCs w:val="24"/>
          <w:u w:val="single"/>
        </w:rPr>
        <w:t>2. the department’s determination of whether such building passed or failed such inspection;</w:t>
      </w:r>
    </w:p>
    <w:p w14:paraId="1644CFD2" w14:textId="77777777" w:rsidR="008F527A" w:rsidRPr="008F527A" w:rsidRDefault="008F527A" w:rsidP="008F527A">
      <w:pPr>
        <w:spacing w:line="480" w:lineRule="auto"/>
        <w:ind w:firstLine="720"/>
        <w:rPr>
          <w:szCs w:val="24"/>
          <w:u w:val="single"/>
        </w:rPr>
      </w:pPr>
      <w:r w:rsidRPr="008F527A">
        <w:rPr>
          <w:szCs w:val="24"/>
          <w:u w:val="single"/>
        </w:rPr>
        <w:t xml:space="preserve">3. a description of whether one or more notices of violation relating to the presence of rats was issued to the person in charge of such building in response to such inspection; </w:t>
      </w:r>
    </w:p>
    <w:p w14:paraId="68E56D99" w14:textId="77777777" w:rsidR="008F527A" w:rsidRPr="008F527A" w:rsidRDefault="008F527A" w:rsidP="008F527A">
      <w:pPr>
        <w:spacing w:line="480" w:lineRule="auto"/>
        <w:ind w:firstLine="720"/>
        <w:rPr>
          <w:szCs w:val="24"/>
          <w:u w:val="single"/>
        </w:rPr>
      </w:pPr>
      <w:r w:rsidRPr="008F527A">
        <w:rPr>
          <w:szCs w:val="24"/>
          <w:u w:val="single"/>
        </w:rPr>
        <w:t>4. a description of the nature, state and situation of such building; and</w:t>
      </w:r>
    </w:p>
    <w:p w14:paraId="44AA7D45" w14:textId="77777777" w:rsidR="008F527A" w:rsidRPr="008F527A" w:rsidRDefault="008F527A" w:rsidP="008F527A">
      <w:pPr>
        <w:spacing w:line="480" w:lineRule="auto"/>
        <w:ind w:firstLine="720"/>
        <w:rPr>
          <w:szCs w:val="24"/>
        </w:rPr>
      </w:pPr>
      <w:r w:rsidRPr="008F527A">
        <w:rPr>
          <w:szCs w:val="24"/>
          <w:u w:val="single"/>
        </w:rPr>
        <w:t>5. a listing of the inspector’s observations of signs of rats, mice, or pests, including but not limited to the presence of live rats, mice, or pests, tracks, droppings, burrows, runways, rub marks, fresh gnaw marks, trash, clutter, dense vegetation, mice, or any other signs the inspector deems important.</w:t>
      </w:r>
    </w:p>
    <w:p w14:paraId="5B948F1D" w14:textId="77777777" w:rsidR="008F527A" w:rsidRPr="008F527A" w:rsidRDefault="008F527A" w:rsidP="008F527A">
      <w:pPr>
        <w:spacing w:line="480" w:lineRule="auto"/>
        <w:ind w:firstLine="720"/>
        <w:rPr>
          <w:szCs w:val="24"/>
        </w:rPr>
      </w:pPr>
      <w:r w:rsidRPr="008F527A">
        <w:rPr>
          <w:szCs w:val="24"/>
        </w:rPr>
        <w:t>§ 2. Section 17-133.3</w:t>
      </w:r>
      <w:r w:rsidRPr="008F527A">
        <w:rPr>
          <w:color w:val="000000"/>
          <w:szCs w:val="24"/>
        </w:rPr>
        <w:t xml:space="preserve"> of the administrative code of the city of New York</w:t>
      </w:r>
      <w:r w:rsidRPr="008F527A">
        <w:rPr>
          <w:szCs w:val="24"/>
        </w:rPr>
        <w:t>, as added by local law number 108 for the year 2022, is amended by adding a new subdivision c, to read as follows:</w:t>
      </w:r>
    </w:p>
    <w:p w14:paraId="6D433D93" w14:textId="77777777" w:rsidR="008F527A" w:rsidRPr="008F527A" w:rsidRDefault="008F527A" w:rsidP="008F527A">
      <w:pPr>
        <w:spacing w:line="480" w:lineRule="auto"/>
        <w:ind w:firstLine="720"/>
        <w:rPr>
          <w:szCs w:val="24"/>
          <w:u w:val="single"/>
        </w:rPr>
      </w:pPr>
      <w:r w:rsidRPr="008F527A">
        <w:rPr>
          <w:szCs w:val="24"/>
          <w:u w:val="single"/>
        </w:rPr>
        <w:t>c. Reporting timeline. The department shall make publicly available online the information collected or recorded pursuant to section 17-133.4, or any other lawful inspection conducted by the department related to rats, mice, pests, or conditions which might attract them, within 5 business days of completing such inspection. The requirements of this subdivision may be satisfied by making such information available as part of an interactive map on rodent activity on a city website wherein such information may be viewed upon selecting individual addresses or properties.</w:t>
      </w:r>
    </w:p>
    <w:p w14:paraId="479E1BC6" w14:textId="77777777" w:rsidR="008F527A" w:rsidRPr="008F527A" w:rsidRDefault="008F527A" w:rsidP="008F527A">
      <w:pPr>
        <w:spacing w:line="480" w:lineRule="auto"/>
        <w:ind w:firstLine="720"/>
        <w:rPr>
          <w:szCs w:val="24"/>
        </w:rPr>
      </w:pPr>
      <w:r w:rsidRPr="008F527A">
        <w:rPr>
          <w:szCs w:val="24"/>
        </w:rPr>
        <w:t>§ 3. This local law takes effect immediately.</w:t>
      </w:r>
    </w:p>
    <w:p w14:paraId="179C6003" w14:textId="77777777" w:rsidR="008F527A" w:rsidRPr="008F527A" w:rsidRDefault="008F527A" w:rsidP="008F527A">
      <w:pPr>
        <w:rPr>
          <w:sz w:val="18"/>
          <w:szCs w:val="18"/>
        </w:rPr>
        <w:sectPr w:rsidR="008F527A" w:rsidRPr="008F527A" w:rsidSect="008F527A">
          <w:type w:val="continuous"/>
          <w:pgSz w:w="12240" w:h="15840"/>
          <w:pgMar w:top="1440" w:right="1440" w:bottom="1440" w:left="1440" w:header="720" w:footer="720" w:gutter="0"/>
          <w:lnNumType w:countBy="1"/>
          <w:cols w:space="720"/>
          <w:titlePg/>
          <w:docGrid w:linePitch="360"/>
        </w:sectPr>
      </w:pPr>
    </w:p>
    <w:p w14:paraId="651C07D6" w14:textId="77777777" w:rsidR="008F527A" w:rsidRPr="008F527A" w:rsidRDefault="008F527A" w:rsidP="008F527A">
      <w:pPr>
        <w:rPr>
          <w:sz w:val="18"/>
          <w:szCs w:val="18"/>
        </w:rPr>
      </w:pPr>
    </w:p>
    <w:p w14:paraId="7F659825" w14:textId="77777777" w:rsidR="008F527A" w:rsidRPr="008F527A" w:rsidRDefault="008F527A" w:rsidP="008F527A">
      <w:pPr>
        <w:rPr>
          <w:sz w:val="18"/>
          <w:szCs w:val="18"/>
        </w:rPr>
      </w:pPr>
      <w:r w:rsidRPr="008F527A">
        <w:rPr>
          <w:sz w:val="18"/>
          <w:szCs w:val="18"/>
        </w:rPr>
        <w:t>MBB</w:t>
      </w:r>
    </w:p>
    <w:p w14:paraId="778AC9DC" w14:textId="77777777" w:rsidR="008F527A" w:rsidRPr="008F527A" w:rsidRDefault="008F527A" w:rsidP="008F527A">
      <w:pPr>
        <w:rPr>
          <w:sz w:val="18"/>
          <w:szCs w:val="18"/>
        </w:rPr>
      </w:pPr>
      <w:r w:rsidRPr="008F527A">
        <w:rPr>
          <w:sz w:val="18"/>
          <w:szCs w:val="18"/>
        </w:rPr>
        <w:t>LS # 16272</w:t>
      </w:r>
    </w:p>
    <w:p w14:paraId="226EF808" w14:textId="77777777" w:rsidR="008F527A" w:rsidRPr="008F527A" w:rsidRDefault="008F527A" w:rsidP="008F527A">
      <w:pPr>
        <w:jc w:val="left"/>
        <w:rPr>
          <w:sz w:val="18"/>
          <w:szCs w:val="18"/>
        </w:rPr>
      </w:pPr>
      <w:r w:rsidRPr="008F527A">
        <w:rPr>
          <w:sz w:val="18"/>
          <w:szCs w:val="18"/>
        </w:rPr>
        <w:t>05/02/2024</w:t>
      </w:r>
    </w:p>
    <w:p w14:paraId="6DE42459" w14:textId="77777777" w:rsidR="00EA6917" w:rsidRDefault="00EA6917" w:rsidP="00A01B55">
      <w:pPr>
        <w:pStyle w:val="BlockNarrow"/>
        <w:spacing w:after="0"/>
        <w:ind w:left="0" w:right="0"/>
        <w:jc w:val="center"/>
      </w:pPr>
    </w:p>
    <w:p w14:paraId="6FB04B6B" w14:textId="77777777" w:rsidR="00EA6917" w:rsidRDefault="00EA6917" w:rsidP="00A01B55">
      <w:pPr>
        <w:pStyle w:val="BlockNarrow"/>
        <w:spacing w:after="0"/>
        <w:ind w:left="0" w:right="0"/>
        <w:jc w:val="center"/>
      </w:pPr>
    </w:p>
    <w:p w14:paraId="2A75ECCE" w14:textId="77777777" w:rsidR="008F527A" w:rsidRDefault="008F527A" w:rsidP="008F527A">
      <w:pPr>
        <w:pStyle w:val="FlushLeftDouble"/>
      </w:pPr>
    </w:p>
    <w:p w14:paraId="6D201113" w14:textId="77777777" w:rsidR="008F527A" w:rsidRDefault="008F527A" w:rsidP="008F527A">
      <w:pPr>
        <w:pStyle w:val="FlushLeftDouble"/>
      </w:pPr>
    </w:p>
    <w:p w14:paraId="3C1CB914" w14:textId="77777777" w:rsidR="008F527A" w:rsidRDefault="008F527A" w:rsidP="008F527A">
      <w:pPr>
        <w:pStyle w:val="FlushLeftDouble"/>
      </w:pPr>
    </w:p>
    <w:p w14:paraId="744170F4" w14:textId="77777777" w:rsidR="008F527A" w:rsidRDefault="008F527A" w:rsidP="008F527A">
      <w:pPr>
        <w:pStyle w:val="FlushLeftDouble"/>
      </w:pPr>
    </w:p>
    <w:p w14:paraId="6CE9270B" w14:textId="77777777" w:rsidR="008F527A" w:rsidRDefault="008F527A" w:rsidP="008F527A">
      <w:pPr>
        <w:pStyle w:val="FlushLeftDouble"/>
      </w:pPr>
    </w:p>
    <w:p w14:paraId="0B3E4151" w14:textId="77777777" w:rsidR="008F527A" w:rsidRDefault="008F527A" w:rsidP="008F527A">
      <w:pPr>
        <w:pStyle w:val="FlushLeftDouble"/>
      </w:pPr>
    </w:p>
    <w:p w14:paraId="30BE23A1" w14:textId="77777777" w:rsidR="008F527A" w:rsidRDefault="008F527A" w:rsidP="008F527A">
      <w:pPr>
        <w:pStyle w:val="FlushLeftDouble"/>
      </w:pPr>
    </w:p>
    <w:p w14:paraId="509D188B" w14:textId="77777777" w:rsidR="008F527A" w:rsidRDefault="008F527A" w:rsidP="008F527A">
      <w:pPr>
        <w:pStyle w:val="FlushLeftDouble"/>
      </w:pPr>
    </w:p>
    <w:p w14:paraId="1F5E3D90" w14:textId="77777777" w:rsidR="008F527A" w:rsidRPr="008F527A" w:rsidRDefault="008F527A" w:rsidP="008F527A">
      <w:pPr>
        <w:pStyle w:val="FlushLeftDouble"/>
      </w:pPr>
    </w:p>
    <w:p w14:paraId="411907E5" w14:textId="017E91E9" w:rsidR="00A01B55" w:rsidRDefault="00A01B55" w:rsidP="00A01B55">
      <w:pPr>
        <w:pStyle w:val="BlockNarrow"/>
        <w:spacing w:after="0"/>
        <w:ind w:left="0" w:right="0"/>
        <w:jc w:val="center"/>
      </w:pPr>
      <w:r>
        <w:t>Int. No. 1321</w:t>
      </w:r>
    </w:p>
    <w:p w14:paraId="7850A5D8" w14:textId="77777777" w:rsidR="00A01B55" w:rsidRDefault="00A01B55" w:rsidP="00A01B55">
      <w:pPr>
        <w:pStyle w:val="BlockNarrow"/>
        <w:spacing w:after="0"/>
        <w:ind w:left="0" w:right="0"/>
      </w:pPr>
    </w:p>
    <w:p w14:paraId="48F73E83" w14:textId="77777777" w:rsidR="00A01B55" w:rsidRDefault="00A01B55" w:rsidP="00A01B55">
      <w:pPr>
        <w:pStyle w:val="BlockNarrow"/>
        <w:spacing w:after="0"/>
        <w:ind w:left="0" w:right="0"/>
      </w:pPr>
      <w:r>
        <w:t>By Council Member Sanchez (by request of the Mayor)</w:t>
      </w:r>
    </w:p>
    <w:p w14:paraId="502608EC" w14:textId="77777777" w:rsidR="00A01B55" w:rsidRDefault="00A01B55" w:rsidP="00A01B55">
      <w:pPr>
        <w:pStyle w:val="BlockNarrow"/>
        <w:spacing w:after="0"/>
        <w:ind w:left="0" w:right="0"/>
      </w:pPr>
    </w:p>
    <w:p w14:paraId="5E311DB3" w14:textId="77777777" w:rsidR="00A01B55" w:rsidRPr="00DA2EE8" w:rsidRDefault="00A01B55" w:rsidP="00A01B55">
      <w:pPr>
        <w:pStyle w:val="BlockNarrow"/>
        <w:spacing w:after="0"/>
        <w:ind w:left="0" w:right="0"/>
        <w:rPr>
          <w:vanish/>
        </w:rPr>
      </w:pPr>
      <w:r w:rsidRPr="00DA2EE8">
        <w:rPr>
          <w:vanish/>
        </w:rPr>
        <w:t>..Title</w:t>
      </w:r>
    </w:p>
    <w:p w14:paraId="1D4D3F4F" w14:textId="77777777" w:rsidR="00A01B55" w:rsidRDefault="00A01B55" w:rsidP="00A01B55">
      <w:pPr>
        <w:pStyle w:val="BlockNarrow"/>
        <w:spacing w:after="0"/>
        <w:ind w:left="0" w:right="0"/>
      </w:pPr>
      <w:r>
        <w:t>A Local Law t</w:t>
      </w:r>
      <w:r w:rsidRPr="00AE0F19">
        <w:t>o amend the administrative code of the city of New York, in relation to the enactment of the existing building code</w:t>
      </w:r>
      <w:r>
        <w:t>,</w:t>
      </w:r>
      <w:r w:rsidRPr="00AE0F19">
        <w:t xml:space="preserve"> and to repeal chapter 1 of title 27 of such code comprising the 1968 building code </w:t>
      </w:r>
    </w:p>
    <w:p w14:paraId="37828707" w14:textId="77777777" w:rsidR="00A01B55" w:rsidRDefault="00A01B55" w:rsidP="00A01B55">
      <w:pPr>
        <w:pStyle w:val="FlushLeftDouble"/>
        <w:spacing w:line="240" w:lineRule="auto"/>
        <w:rPr>
          <w:vanish/>
        </w:rPr>
      </w:pPr>
      <w:r w:rsidRPr="00DA2EE8">
        <w:rPr>
          <w:vanish/>
        </w:rPr>
        <w:t>..Body</w:t>
      </w:r>
    </w:p>
    <w:p w14:paraId="2582DC67" w14:textId="77777777" w:rsidR="00A01B55" w:rsidRPr="00DA2EE8" w:rsidRDefault="00A01B55" w:rsidP="00A01B55">
      <w:pPr>
        <w:pStyle w:val="FlushLeftDouble"/>
        <w:spacing w:line="240" w:lineRule="auto"/>
      </w:pPr>
    </w:p>
    <w:p w14:paraId="284E327D" w14:textId="2E6D69A5" w:rsidR="00A01B55" w:rsidRDefault="00A01B55" w:rsidP="00A01B55">
      <w:pPr>
        <w:pStyle w:val="SingleSpaceHanging1"/>
        <w:suppressLineNumbers/>
        <w:spacing w:after="0" w:line="480" w:lineRule="auto"/>
        <w:ind w:left="0" w:firstLine="0"/>
        <w:rPr>
          <w:u w:val="single"/>
        </w:rPr>
        <w:sectPr w:rsidR="00A01B55" w:rsidSect="00A01B55">
          <w:headerReference w:type="even" r:id="rId18"/>
          <w:headerReference w:type="default" r:id="rId19"/>
          <w:footerReference w:type="even" r:id="rId20"/>
          <w:footerReference w:type="default" r:id="rId21"/>
          <w:headerReference w:type="first" r:id="rId22"/>
          <w:footerReference w:type="first" r:id="rId23"/>
          <w:type w:val="continuous"/>
          <w:pgSz w:w="12240" w:h="15840" w:code="1"/>
          <w:pgMar w:top="1440" w:right="1440" w:bottom="1440" w:left="1440" w:header="720" w:footer="720" w:gutter="0"/>
          <w:cols w:space="720"/>
          <w:docGrid w:linePitch="360"/>
        </w:sectPr>
      </w:pPr>
      <w:r w:rsidRPr="00AE0F19">
        <w:rPr>
          <w:u w:val="single"/>
        </w:rPr>
        <w:t>Be it enacted by the Council as follows</w:t>
      </w:r>
      <w:r>
        <w:rPr>
          <w:u w:val="single"/>
        </w:rPr>
        <w:t>:</w:t>
      </w:r>
    </w:p>
    <w:p w14:paraId="5A629405" w14:textId="77777777" w:rsidR="001B7F77" w:rsidRPr="001B7F77" w:rsidRDefault="001B7F77" w:rsidP="00A01B55">
      <w:pPr>
        <w:suppressAutoHyphens/>
        <w:spacing w:line="480" w:lineRule="auto"/>
        <w:ind w:firstLine="720"/>
      </w:pPr>
      <w:r w:rsidRPr="001B7F77">
        <w:t>Section 1.  Chapter 1 of title 27 of the administrative code of the city of New York is REPEALED.</w:t>
      </w:r>
    </w:p>
    <w:p w14:paraId="12D575C9" w14:textId="77777777" w:rsidR="001B7F77" w:rsidRPr="001B7F77" w:rsidRDefault="001B7F77" w:rsidP="001B7F77">
      <w:pPr>
        <w:suppressAutoHyphens/>
        <w:spacing w:line="480" w:lineRule="auto"/>
        <w:ind w:firstLine="720"/>
      </w:pPr>
      <w:r w:rsidRPr="001B7F77">
        <w:t>§ 2. Title 28 of the administrative code of the city of New York is amended by adding a new chapter 12 to read as follows:</w:t>
      </w:r>
    </w:p>
    <w:p w14:paraId="22145E10" w14:textId="77777777" w:rsidR="001B7F77" w:rsidRPr="001B7F77" w:rsidRDefault="001B7F77" w:rsidP="001B7F77">
      <w:pPr>
        <w:suppressAutoHyphens/>
        <w:spacing w:line="480" w:lineRule="auto"/>
        <w:jc w:val="center"/>
        <w:rPr>
          <w:b/>
          <w:bCs/>
          <w:u w:val="single"/>
        </w:rPr>
      </w:pPr>
      <w:r w:rsidRPr="001B7F77">
        <w:rPr>
          <w:b/>
          <w:bCs/>
          <w:u w:val="single"/>
        </w:rPr>
        <w:t>CHAPTER 12</w:t>
      </w:r>
    </w:p>
    <w:p w14:paraId="02694E94" w14:textId="77777777" w:rsidR="001B7F77" w:rsidRPr="001B7F77" w:rsidRDefault="001B7F77" w:rsidP="001B7F77">
      <w:pPr>
        <w:suppressAutoHyphens/>
        <w:spacing w:line="480" w:lineRule="auto"/>
        <w:jc w:val="center"/>
        <w:rPr>
          <w:b/>
          <w:bCs/>
          <w:u w:val="single"/>
        </w:rPr>
      </w:pPr>
      <w:r w:rsidRPr="001B7F77">
        <w:rPr>
          <w:b/>
          <w:bCs/>
          <w:u w:val="single"/>
        </w:rPr>
        <w:t>THE NEW YORK CITY EXISTING BUILDING CODE</w:t>
      </w:r>
    </w:p>
    <w:p w14:paraId="1CF8312D" w14:textId="77777777" w:rsidR="001B7F77" w:rsidRPr="001B7F77" w:rsidRDefault="001B7F77" w:rsidP="001B7F77">
      <w:pPr>
        <w:suppressAutoHyphens/>
        <w:spacing w:line="480" w:lineRule="auto"/>
        <w:jc w:val="center"/>
        <w:rPr>
          <w:b/>
          <w:bCs/>
          <w:u w:val="single"/>
        </w:rPr>
      </w:pPr>
      <w:r w:rsidRPr="001B7F77">
        <w:rPr>
          <w:b/>
          <w:bCs/>
          <w:u w:val="single"/>
        </w:rPr>
        <w:t>ARTICLE 1201</w:t>
      </w:r>
    </w:p>
    <w:p w14:paraId="788341AB" w14:textId="77777777" w:rsidR="001B7F77" w:rsidRPr="001B7F77" w:rsidRDefault="001B7F77" w:rsidP="001B7F77">
      <w:pPr>
        <w:suppressAutoHyphens/>
        <w:spacing w:line="480" w:lineRule="auto"/>
        <w:jc w:val="center"/>
        <w:rPr>
          <w:b/>
          <w:bCs/>
          <w:u w:val="single"/>
        </w:rPr>
      </w:pPr>
      <w:r w:rsidRPr="001B7F77">
        <w:rPr>
          <w:b/>
          <w:bCs/>
          <w:u w:val="single"/>
        </w:rPr>
        <w:t xml:space="preserve">ENACTMENT AND UPDATE OF </w:t>
      </w:r>
      <w:r w:rsidRPr="001B7F77">
        <w:rPr>
          <w:b/>
          <w:bCs/>
          <w:u w:val="single"/>
        </w:rPr>
        <w:br/>
        <w:t>THE NEW YORK CITY EXISTING BUILDING CODE</w:t>
      </w:r>
    </w:p>
    <w:p w14:paraId="5E7B4869" w14:textId="77777777" w:rsidR="001B7F77" w:rsidRPr="001B7F77" w:rsidRDefault="001B7F77" w:rsidP="001B7F77">
      <w:pPr>
        <w:suppressAutoHyphens/>
        <w:spacing w:before="120" w:line="480" w:lineRule="auto"/>
        <w:ind w:firstLine="720"/>
        <w:rPr>
          <w:u w:val="single"/>
        </w:rPr>
      </w:pPr>
      <w:r w:rsidRPr="001B7F77">
        <w:rPr>
          <w:u w:val="single"/>
        </w:rPr>
        <w:t>§ 28-1201.1 Update. No later than the third year after the effective date of this section and every third year thereafter, the commissioner shall submit to the city council proposed amendments that such commissioner determines should be made to this code to bring it up to date with the latest edition of the International Existing Building Code or otherwise modify the provisions thereof. In addition, prior to the submission of such proposal to the city council, such proposal shall be submitted to an advisory committee established by the commissioner pursuant to this title for review and comment.</w:t>
      </w:r>
    </w:p>
    <w:p w14:paraId="3A95D7C2" w14:textId="77777777" w:rsidR="001B7F77" w:rsidRPr="001B7F77" w:rsidRDefault="001B7F77" w:rsidP="001B7F77">
      <w:pPr>
        <w:suppressAutoHyphens/>
        <w:spacing w:before="120" w:line="480" w:lineRule="auto"/>
        <w:ind w:firstLine="720"/>
        <w:rPr>
          <w:u w:val="single"/>
        </w:rPr>
      </w:pPr>
      <w:r w:rsidRPr="001B7F77">
        <w:rPr>
          <w:u w:val="single"/>
        </w:rPr>
        <w:t>§ 28-1201.2 Enactment of the New York city existing building code. The New York city existing building code based on the 2015 edition of the International Existing Building Code published by the International Code Council, with changes that reflect the unique character of the city, is hereby adopted to read as follows:</w:t>
      </w:r>
    </w:p>
    <w:p w14:paraId="218311BC" w14:textId="77777777" w:rsidR="001B7F77" w:rsidRPr="001B7F77" w:rsidRDefault="001B7F77" w:rsidP="001B7F77">
      <w:pPr>
        <w:widowControl w:val="0"/>
        <w:suppressAutoHyphens/>
        <w:spacing w:before="120"/>
        <w:jc w:val="center"/>
        <w:rPr>
          <w:b/>
          <w:bCs/>
          <w:u w:val="single"/>
        </w:rPr>
      </w:pPr>
      <w:bookmarkStart w:id="8" w:name="_Hlk187336366"/>
      <w:r w:rsidRPr="001B7F77">
        <w:rPr>
          <w:b/>
          <w:bCs/>
          <w:u w:val="single"/>
        </w:rPr>
        <w:t>THE NEW YORK CITY EXISTING BUILDING CODE</w:t>
      </w:r>
    </w:p>
    <w:p w14:paraId="3C4C0E1F" w14:textId="77777777" w:rsidR="001B7F77" w:rsidRPr="001B7F77" w:rsidRDefault="001B7F77" w:rsidP="001B7F77">
      <w:pPr>
        <w:widowControl w:val="0"/>
        <w:suppressAutoHyphens/>
        <w:spacing w:before="120"/>
        <w:jc w:val="center"/>
        <w:rPr>
          <w:b/>
          <w:bCs/>
          <w:szCs w:val="24"/>
          <w:u w:val="single"/>
        </w:rPr>
      </w:pPr>
      <w:r w:rsidRPr="001B7F77">
        <w:rPr>
          <w:b/>
          <w:bCs/>
          <w:szCs w:val="24"/>
          <w:u w:val="single"/>
        </w:rPr>
        <w:t>CHAPTER 1</w:t>
      </w:r>
      <w:r w:rsidRPr="001B7F77">
        <w:rPr>
          <w:b/>
          <w:bCs/>
          <w:szCs w:val="24"/>
          <w:u w:val="single"/>
        </w:rPr>
        <w:br/>
        <w:t>ADMINISTRATION</w:t>
      </w:r>
    </w:p>
    <w:p w14:paraId="4CC69746" w14:textId="77777777" w:rsidR="001B7F77" w:rsidRPr="001B7F77" w:rsidRDefault="001B7F77" w:rsidP="001B7F77">
      <w:pPr>
        <w:widowControl w:val="0"/>
        <w:spacing w:before="120"/>
        <w:jc w:val="center"/>
        <w:outlineLvl w:val="0"/>
        <w:rPr>
          <w:rFonts w:eastAsia="Calibri"/>
          <w:b/>
          <w:bCs/>
          <w:color w:val="000000"/>
          <w:szCs w:val="24"/>
          <w:u w:val="single"/>
        </w:rPr>
      </w:pPr>
      <w:r w:rsidRPr="001B7F77">
        <w:rPr>
          <w:rFonts w:eastAsia="Calibri"/>
          <w:b/>
          <w:bCs/>
          <w:color w:val="000000"/>
          <w:szCs w:val="24"/>
          <w:u w:val="single"/>
        </w:rPr>
        <w:t>PART 1—SCOPE AND APPLICATION</w:t>
      </w:r>
    </w:p>
    <w:p w14:paraId="79A6345D" w14:textId="77777777" w:rsidR="001B7F77" w:rsidRPr="001B7F77" w:rsidRDefault="001B7F77" w:rsidP="001B7F77">
      <w:pPr>
        <w:widowControl w:val="0"/>
        <w:spacing w:before="120"/>
        <w:jc w:val="center"/>
        <w:outlineLvl w:val="0"/>
        <w:rPr>
          <w:rFonts w:eastAsia="Calibri"/>
          <w:b/>
          <w:bCs/>
          <w:color w:val="000000"/>
          <w:szCs w:val="24"/>
          <w:u w:val="single"/>
        </w:rPr>
      </w:pPr>
      <w:r w:rsidRPr="001B7F77">
        <w:rPr>
          <w:rFonts w:eastAsia="Calibri"/>
          <w:b/>
          <w:bCs/>
          <w:color w:val="000000"/>
          <w:szCs w:val="24"/>
          <w:u w:val="single"/>
        </w:rPr>
        <w:t>SECTION EBC 101</w:t>
      </w:r>
      <w:r w:rsidRPr="001B7F77">
        <w:rPr>
          <w:rFonts w:eastAsia="Calibri"/>
          <w:b/>
          <w:bCs/>
          <w:color w:val="000000"/>
          <w:szCs w:val="24"/>
          <w:u w:val="single"/>
        </w:rPr>
        <w:br/>
        <w:t>GENERAL</w:t>
      </w:r>
    </w:p>
    <w:p w14:paraId="7833CF1D" w14:textId="77777777" w:rsidR="001B7F77" w:rsidRPr="001B7F77" w:rsidRDefault="001B7F77" w:rsidP="001B7F77">
      <w:pPr>
        <w:widowControl w:val="0"/>
        <w:spacing w:before="120"/>
        <w:rPr>
          <w:rFonts w:eastAsia="Calibri"/>
          <w:color w:val="000000"/>
          <w:szCs w:val="24"/>
          <w:u w:val="single"/>
        </w:rPr>
      </w:pPr>
      <w:bookmarkStart w:id="9" w:name="_heading=h.3znysh7" w:colFirst="0" w:colLast="0"/>
      <w:bookmarkEnd w:id="9"/>
      <w:r w:rsidRPr="001B7F77">
        <w:rPr>
          <w:rFonts w:eastAsia="Calibri"/>
          <w:b/>
          <w:color w:val="000000"/>
          <w:szCs w:val="24"/>
          <w:u w:val="single"/>
        </w:rPr>
        <w:t xml:space="preserve">101.1 Title. </w:t>
      </w:r>
      <w:r w:rsidRPr="001B7F77">
        <w:rPr>
          <w:rFonts w:eastAsia="Calibri"/>
          <w:color w:val="000000"/>
          <w:szCs w:val="24"/>
          <w:u w:val="single"/>
        </w:rPr>
        <w:t>This code shall be known and may be cited as the “New York City Existing Building Code,” “NYCEBC” or “EBC.” All section numbers in this code shall be deemed to be preceded by the designation “EBC.”</w:t>
      </w:r>
    </w:p>
    <w:p w14:paraId="769D8B23" w14:textId="77777777" w:rsidR="001B7F77" w:rsidRPr="001B7F77" w:rsidRDefault="001B7F77" w:rsidP="001B7F77">
      <w:pPr>
        <w:widowControl w:val="0"/>
        <w:spacing w:before="120"/>
        <w:rPr>
          <w:rFonts w:eastAsia="Calibri"/>
          <w:color w:val="000000"/>
          <w:szCs w:val="24"/>
          <w:u w:val="single"/>
        </w:rPr>
      </w:pPr>
      <w:r w:rsidRPr="001B7F77">
        <w:rPr>
          <w:rFonts w:eastAsia="Calibri"/>
          <w:b/>
          <w:color w:val="000000"/>
          <w:szCs w:val="24"/>
          <w:u w:val="single"/>
        </w:rPr>
        <w:t xml:space="preserve">101.2 Scope. </w:t>
      </w:r>
      <w:r w:rsidRPr="001B7F77">
        <w:rPr>
          <w:rFonts w:eastAsia="Calibri"/>
          <w:color w:val="000000"/>
          <w:szCs w:val="24"/>
          <w:u w:val="single"/>
        </w:rPr>
        <w:t>The provisions of this code shall apply to the repair, alteration, change of occupancy, addition to and relocation of existing buildings.</w:t>
      </w:r>
    </w:p>
    <w:p w14:paraId="14EFA472" w14:textId="77777777" w:rsidR="001B7F77" w:rsidRPr="001B7F77" w:rsidRDefault="001B7F77" w:rsidP="001B7F77">
      <w:pPr>
        <w:widowControl w:val="0"/>
        <w:spacing w:before="120"/>
        <w:rPr>
          <w:rFonts w:eastAsia="Calibri"/>
          <w:color w:val="000000"/>
          <w:szCs w:val="24"/>
          <w:u w:val="single"/>
        </w:rPr>
      </w:pPr>
      <w:r w:rsidRPr="001B7F77">
        <w:rPr>
          <w:rFonts w:eastAsia="Calibri"/>
          <w:b/>
          <w:color w:val="000000"/>
          <w:szCs w:val="24"/>
          <w:u w:val="single"/>
        </w:rPr>
        <w:t xml:space="preserve">101.3 Intent. </w:t>
      </w:r>
      <w:r w:rsidRPr="001B7F77">
        <w:rPr>
          <w:rFonts w:eastAsia="Calibri"/>
          <w:color w:val="000000"/>
          <w:szCs w:val="24"/>
          <w:u w:val="single"/>
        </w:rPr>
        <w:t xml:space="preserve">The intent of this code is to provide minimum standards to safeguard life or limb, health, property, public welfare and the environment insofar as they are affected by the repair, alteration, change of occupancy, addition and relocation of existing buildings. Refer to Chapter 1 of Title 28 of the </w:t>
      </w:r>
      <w:r w:rsidRPr="001B7F77">
        <w:rPr>
          <w:rFonts w:eastAsia="Calibri"/>
          <w:i/>
          <w:color w:val="000000"/>
          <w:szCs w:val="24"/>
          <w:u w:val="single"/>
        </w:rPr>
        <w:t>Administrative Code</w:t>
      </w:r>
      <w:r w:rsidRPr="001B7F77">
        <w:rPr>
          <w:rFonts w:eastAsia="Calibri"/>
          <w:color w:val="000000"/>
          <w:szCs w:val="24"/>
          <w:u w:val="single"/>
        </w:rPr>
        <w:t>.</w:t>
      </w:r>
    </w:p>
    <w:p w14:paraId="48845E17" w14:textId="77777777" w:rsidR="001B7F77" w:rsidRPr="001B7F77" w:rsidRDefault="001B7F77" w:rsidP="001B7F77">
      <w:pPr>
        <w:widowControl w:val="0"/>
        <w:spacing w:before="120"/>
        <w:rPr>
          <w:rFonts w:eastAsia="Calibri"/>
          <w:color w:val="000000"/>
          <w:szCs w:val="24"/>
          <w:u w:val="single"/>
        </w:rPr>
      </w:pPr>
      <w:r w:rsidRPr="001B7F77">
        <w:rPr>
          <w:rFonts w:eastAsia="Calibri"/>
          <w:b/>
          <w:color w:val="000000"/>
          <w:szCs w:val="24"/>
          <w:u w:val="single"/>
        </w:rPr>
        <w:t>101.4 Applicability</w:t>
      </w:r>
      <w:r w:rsidRPr="001B7F77">
        <w:rPr>
          <w:rFonts w:eastAsia="Calibri"/>
          <w:bCs/>
          <w:color w:val="000000"/>
          <w:szCs w:val="24"/>
          <w:u w:val="single"/>
        </w:rPr>
        <w:t xml:space="preserve">. In accordance with Section 101.2, this code shall apply to </w:t>
      </w:r>
      <w:r w:rsidRPr="001B7F77">
        <w:rPr>
          <w:rFonts w:eastAsia="Calibri" w:cs="Arial"/>
          <w:color w:val="000000"/>
          <w:szCs w:val="24"/>
          <w:u w:val="single"/>
        </w:rPr>
        <w:t xml:space="preserve">the repair, alteration, change of occupancy, addition to and relocation of </w:t>
      </w:r>
      <w:r w:rsidRPr="001B7F77">
        <w:rPr>
          <w:rFonts w:eastAsia="Calibri"/>
          <w:bCs/>
          <w:color w:val="000000"/>
          <w:szCs w:val="24"/>
          <w:u w:val="single"/>
        </w:rPr>
        <w:t>existing buildings as described in Sections 101.4.1 and 101.4.2.</w:t>
      </w:r>
    </w:p>
    <w:p w14:paraId="191A666F" w14:textId="77777777" w:rsidR="001B7F77" w:rsidRPr="001B7F77" w:rsidRDefault="001B7F77" w:rsidP="001B7F77">
      <w:pPr>
        <w:widowControl w:val="0"/>
        <w:tabs>
          <w:tab w:val="left" w:pos="360"/>
        </w:tabs>
        <w:spacing w:before="120"/>
        <w:ind w:left="360"/>
        <w:rPr>
          <w:rFonts w:eastAsia="Calibri"/>
          <w:color w:val="000000"/>
          <w:szCs w:val="24"/>
          <w:u w:val="single"/>
        </w:rPr>
      </w:pPr>
      <w:r w:rsidRPr="001B7F77">
        <w:rPr>
          <w:rFonts w:eastAsia="Calibri"/>
          <w:b/>
          <w:bCs/>
          <w:color w:val="000000"/>
          <w:szCs w:val="24"/>
          <w:u w:val="single"/>
        </w:rPr>
        <w:t xml:space="preserve">101.4.1 Buildings not previously occupied. </w:t>
      </w:r>
      <w:r w:rsidRPr="001B7F77">
        <w:rPr>
          <w:rFonts w:eastAsia="Calibri"/>
          <w:color w:val="000000"/>
          <w:szCs w:val="24"/>
          <w:u w:val="single"/>
        </w:rPr>
        <w:t xml:space="preserve">A building or portion of a building that has not been previously occupied or used for its intended purpose in accordance with the laws in existence at the time of its completion shall be permitted to comply with the provisions of the laws in existence on the date of issuance of the original permit for the construction of the building or portion of the building unless such permit has expired pursuant to Section 28-105.9 of the </w:t>
      </w:r>
      <w:r w:rsidRPr="001B7F77">
        <w:rPr>
          <w:rFonts w:eastAsia="Calibri"/>
          <w:i/>
          <w:iCs/>
          <w:color w:val="000000"/>
          <w:szCs w:val="24"/>
          <w:u w:val="single"/>
        </w:rPr>
        <w:t>Administrative Code</w:t>
      </w:r>
      <w:r w:rsidRPr="001B7F77">
        <w:rPr>
          <w:rFonts w:eastAsia="Calibri"/>
          <w:color w:val="000000"/>
          <w:szCs w:val="24"/>
          <w:u w:val="single"/>
        </w:rPr>
        <w:t>.</w:t>
      </w:r>
    </w:p>
    <w:p w14:paraId="24D86E24" w14:textId="77777777" w:rsidR="001B7F77" w:rsidRPr="001B7F77" w:rsidRDefault="001B7F77" w:rsidP="001B7F77">
      <w:pPr>
        <w:widowControl w:val="0"/>
        <w:tabs>
          <w:tab w:val="left" w:pos="360"/>
        </w:tabs>
        <w:spacing w:before="120"/>
        <w:ind w:left="360"/>
        <w:rPr>
          <w:rFonts w:eastAsia="Calibri"/>
          <w:color w:val="000000"/>
          <w:szCs w:val="24"/>
          <w:u w:val="single"/>
        </w:rPr>
      </w:pPr>
      <w:r w:rsidRPr="001B7F77">
        <w:rPr>
          <w:rFonts w:eastAsia="Calibri"/>
          <w:b/>
          <w:bCs/>
          <w:color w:val="000000"/>
          <w:szCs w:val="24"/>
          <w:u w:val="single"/>
        </w:rPr>
        <w:t xml:space="preserve">101.4.2 Buildings previously occupied. </w:t>
      </w:r>
      <w:r w:rsidRPr="001B7F77">
        <w:rPr>
          <w:rFonts w:eastAsia="Calibri"/>
          <w:color w:val="000000"/>
          <w:szCs w:val="24"/>
          <w:u w:val="single"/>
        </w:rPr>
        <w:t xml:space="preserve">The legal occupancy of any existing building or structure, including the use of any service equipment therein, shall be permitted to continue without change, unless a retroactive change is specifically required by Section 119 of this code, Chapter 3 of Title 28 of the </w:t>
      </w:r>
      <w:r w:rsidRPr="001B7F77">
        <w:rPr>
          <w:rFonts w:eastAsia="Calibri"/>
          <w:i/>
          <w:iCs/>
          <w:color w:val="000000"/>
          <w:szCs w:val="24"/>
          <w:u w:val="single"/>
        </w:rPr>
        <w:t>Administrative Code</w:t>
      </w:r>
      <w:r w:rsidRPr="001B7F77">
        <w:rPr>
          <w:rFonts w:eastAsia="Calibri"/>
          <w:color w:val="000000"/>
          <w:szCs w:val="24"/>
          <w:u w:val="single"/>
        </w:rPr>
        <w:t>, or other applicable laws and rules or as deemed necessary by the commissioner for the general safety and welfare of the occupants and the public.</w:t>
      </w:r>
    </w:p>
    <w:p w14:paraId="1E062F4D" w14:textId="77777777" w:rsidR="001B7F77" w:rsidRPr="001B7F77" w:rsidRDefault="001B7F77" w:rsidP="001B7F77">
      <w:pPr>
        <w:widowControl w:val="0"/>
        <w:tabs>
          <w:tab w:val="left" w:pos="720"/>
        </w:tabs>
        <w:spacing w:before="120"/>
        <w:ind w:left="720"/>
        <w:rPr>
          <w:rFonts w:eastAsia="Calibri"/>
          <w:color w:val="000000"/>
          <w:szCs w:val="24"/>
          <w:u w:val="single"/>
        </w:rPr>
      </w:pPr>
      <w:r w:rsidRPr="001B7F77">
        <w:rPr>
          <w:rFonts w:eastAsia="Calibri"/>
          <w:b/>
          <w:bCs/>
          <w:color w:val="000000"/>
          <w:szCs w:val="24"/>
          <w:u w:val="single"/>
        </w:rPr>
        <w:t>101.4.2.1 Compliance of prior code buildings with the applicable retroactive requirements of the 1968 building code.</w:t>
      </w:r>
      <w:r w:rsidRPr="001B7F77">
        <w:rPr>
          <w:rFonts w:eastAsia="Calibri"/>
          <w:color w:val="000000"/>
          <w:szCs w:val="24"/>
          <w:u w:val="single"/>
        </w:rPr>
        <w:t xml:space="preserve"> In addition to the retroactive requirements described in Section 101.4.2, prior code buildings must comply with the applicable retroactive requirements of the 1968 building code and prior codes, including those requiring the installation of fire safety and building safety systems and the filing of reports verifying compliance of such installations by the specified dates. A violation of such provisions shall be a violation of this code.</w:t>
      </w:r>
    </w:p>
    <w:p w14:paraId="6E5156BD" w14:textId="77777777" w:rsidR="001B7F77" w:rsidRPr="001B7F77" w:rsidRDefault="001B7F77" w:rsidP="001B7F77">
      <w:pPr>
        <w:widowControl w:val="0"/>
        <w:tabs>
          <w:tab w:val="left" w:pos="720"/>
        </w:tabs>
        <w:spacing w:before="120"/>
        <w:ind w:left="720"/>
        <w:rPr>
          <w:rFonts w:eastAsia="Calibri"/>
          <w:color w:val="000000"/>
          <w:szCs w:val="24"/>
          <w:u w:val="single"/>
        </w:rPr>
      </w:pPr>
      <w:r w:rsidRPr="001B7F77">
        <w:rPr>
          <w:rFonts w:eastAsia="Calibri"/>
          <w:b/>
          <w:bCs/>
          <w:color w:val="000000"/>
          <w:szCs w:val="24"/>
          <w:u w:val="single"/>
        </w:rPr>
        <w:t xml:space="preserve">101.4.2.2 Change in use or occupancy. </w:t>
      </w:r>
      <w:r w:rsidRPr="001B7F77">
        <w:rPr>
          <w:rFonts w:eastAsia="Calibri"/>
          <w:color w:val="000000"/>
          <w:szCs w:val="24"/>
          <w:u w:val="single"/>
        </w:rPr>
        <w:t>Changes in the use or occupancy of any existing building shall comply with Chapter 10. Any changes made in the use or occupancy of a building or structure not in compliance with this code shall be prohibited and shall be a violation of this code. After a change in use or occupancy has been made in a building, the re-establishment of a prior use or occupancy that would not be lawful in a new building of the same construction class shall be prohibited unless and until all the applicable provisions of this code and other applicable laws and rules for such reestablished use or occupancy shall have been complied with. A change from a use prohibited by the provisions of this code or other applicable codes, laws and regulations, but which was permitted under prior codes, to another use prohibited by the provisions of this code shall be deemed a violation of this code.</w:t>
      </w:r>
    </w:p>
    <w:p w14:paraId="41799296" w14:textId="77777777" w:rsidR="001B7F77" w:rsidRPr="001B7F77" w:rsidRDefault="001B7F77" w:rsidP="001B7F77">
      <w:pPr>
        <w:widowControl w:val="0"/>
        <w:tabs>
          <w:tab w:val="left" w:pos="720"/>
        </w:tabs>
        <w:spacing w:before="120"/>
        <w:ind w:left="720"/>
        <w:rPr>
          <w:rFonts w:eastAsia="Calibri"/>
          <w:color w:val="000000"/>
          <w:szCs w:val="24"/>
          <w:u w:val="single"/>
        </w:rPr>
      </w:pPr>
      <w:r w:rsidRPr="001B7F77">
        <w:rPr>
          <w:rFonts w:eastAsia="Calibri"/>
          <w:b/>
          <w:bCs/>
          <w:color w:val="000000"/>
          <w:szCs w:val="24"/>
          <w:u w:val="single"/>
        </w:rPr>
        <w:t xml:space="preserve">101.4.2.3 Alteration of existing buildings. </w:t>
      </w:r>
      <w:r w:rsidRPr="001B7F77">
        <w:rPr>
          <w:rFonts w:eastAsia="Calibri"/>
          <w:color w:val="000000"/>
          <w:szCs w:val="24"/>
          <w:u w:val="single"/>
        </w:rPr>
        <w:t>Alteration of existing buildings shall comply with Chapters 5 through 15, as applicable. Alteration of multiple dwellings, including conversion of prior code buildings to multiple dwellings, shall also comply with Appendix D.</w:t>
      </w:r>
    </w:p>
    <w:p w14:paraId="6FF95D21" w14:textId="77777777" w:rsidR="001B7F77" w:rsidRPr="001B7F77" w:rsidRDefault="001B7F77" w:rsidP="001B7F77">
      <w:pPr>
        <w:widowControl w:val="0"/>
        <w:tabs>
          <w:tab w:val="left" w:pos="720"/>
        </w:tabs>
        <w:spacing w:before="120"/>
        <w:ind w:left="720"/>
        <w:rPr>
          <w:rFonts w:eastAsia="Calibri"/>
          <w:color w:val="000000"/>
          <w:szCs w:val="24"/>
          <w:u w:val="single"/>
        </w:rPr>
      </w:pPr>
      <w:r w:rsidRPr="001B7F77">
        <w:rPr>
          <w:rFonts w:eastAsia="Calibri"/>
          <w:b/>
          <w:color w:val="000000"/>
          <w:szCs w:val="24"/>
          <w:u w:val="single"/>
        </w:rPr>
        <w:t xml:space="preserve">101.4.2.4 Continuation of unlawful use or occupancy. </w:t>
      </w:r>
      <w:r w:rsidRPr="001B7F77">
        <w:rPr>
          <w:rFonts w:eastAsia="Calibri"/>
          <w:color w:val="000000"/>
          <w:szCs w:val="24"/>
          <w:u w:val="single"/>
        </w:rPr>
        <w:t>The continuation of the unlawful use or occupancy of a building or structure contrary to the provisions of this code, or contrary to the provisions of prior codes or other applicable law or rule, shall be a violation of this code.</w:t>
      </w:r>
    </w:p>
    <w:p w14:paraId="4C76B69F" w14:textId="77777777" w:rsidR="001B7F77" w:rsidRPr="001B7F77" w:rsidRDefault="001B7F77" w:rsidP="001B7F77">
      <w:pPr>
        <w:widowControl w:val="0"/>
        <w:spacing w:before="120"/>
        <w:rPr>
          <w:rFonts w:eastAsia="Calibri"/>
          <w:color w:val="000000"/>
          <w:szCs w:val="24"/>
          <w:u w:val="single"/>
        </w:rPr>
      </w:pPr>
      <w:r w:rsidRPr="001B7F77">
        <w:rPr>
          <w:rFonts w:eastAsia="Calibri"/>
          <w:b/>
          <w:bCs/>
          <w:color w:val="000000"/>
          <w:szCs w:val="24"/>
          <w:u w:val="single"/>
        </w:rPr>
        <w:t>101.5 Administration and enforcement.</w:t>
      </w:r>
      <w:r w:rsidRPr="001B7F77">
        <w:rPr>
          <w:rFonts w:eastAsia="Calibri"/>
          <w:color w:val="000000"/>
          <w:szCs w:val="24"/>
          <w:u w:val="single"/>
        </w:rPr>
        <w:t xml:space="preserve"> Except as otherwise limited by the commissioner, administration and enforcement actions shall be in accordance with this code and the </w:t>
      </w:r>
      <w:r w:rsidRPr="001B7F77">
        <w:rPr>
          <w:rFonts w:eastAsia="Calibri"/>
          <w:i/>
          <w:iCs/>
          <w:color w:val="000000"/>
          <w:szCs w:val="24"/>
          <w:u w:val="single"/>
        </w:rPr>
        <w:t>Administrative Code</w:t>
      </w:r>
      <w:r w:rsidRPr="001B7F77">
        <w:rPr>
          <w:rFonts w:eastAsia="Calibri"/>
          <w:color w:val="000000"/>
          <w:szCs w:val="24"/>
          <w:u w:val="single"/>
        </w:rPr>
        <w:t>, including but not limited to approval of construction documents, issuance of permits and certificates of occupancy, tests and inspections, penalties and enforcement.</w:t>
      </w:r>
    </w:p>
    <w:p w14:paraId="0148C084" w14:textId="77777777" w:rsidR="001B7F77" w:rsidRPr="001B7F77" w:rsidRDefault="001B7F77" w:rsidP="001B7F77">
      <w:pPr>
        <w:widowControl w:val="0"/>
        <w:spacing w:before="120"/>
        <w:rPr>
          <w:rFonts w:eastAsia="Calibri"/>
          <w:color w:val="000000"/>
          <w:szCs w:val="24"/>
          <w:u w:val="single"/>
        </w:rPr>
      </w:pPr>
      <w:r w:rsidRPr="001B7F77">
        <w:rPr>
          <w:rFonts w:eastAsia="Calibri"/>
          <w:b/>
          <w:color w:val="000000"/>
          <w:szCs w:val="24"/>
          <w:u w:val="single"/>
        </w:rPr>
        <w:t xml:space="preserve">101.6 Safeguards during construction. </w:t>
      </w:r>
      <w:r w:rsidRPr="001B7F77">
        <w:rPr>
          <w:rFonts w:eastAsia="Calibri"/>
          <w:color w:val="000000"/>
          <w:szCs w:val="24"/>
          <w:u w:val="single"/>
        </w:rPr>
        <w:t xml:space="preserve">Construction work covered in this code, including any related demolition, shall be governed by Chapter 33 of the </w:t>
      </w:r>
      <w:r w:rsidRPr="001B7F77">
        <w:rPr>
          <w:rFonts w:eastAsia="Calibri"/>
          <w:i/>
          <w:iCs/>
          <w:color w:val="000000"/>
          <w:szCs w:val="24"/>
          <w:u w:val="single"/>
        </w:rPr>
        <w:t>New York City Building Code</w:t>
      </w:r>
      <w:r w:rsidRPr="001B7F77">
        <w:rPr>
          <w:rFonts w:eastAsia="Calibri"/>
          <w:color w:val="000000"/>
          <w:szCs w:val="24"/>
          <w:u w:val="single"/>
        </w:rPr>
        <w:t xml:space="preserve"> and the requirements of Chapter 15 of this code.</w:t>
      </w:r>
    </w:p>
    <w:p w14:paraId="5F0E37C1" w14:textId="77777777" w:rsidR="001B7F77" w:rsidRPr="001B7F77" w:rsidRDefault="001B7F77" w:rsidP="001B7F77">
      <w:pPr>
        <w:widowControl w:val="0"/>
        <w:spacing w:before="120"/>
        <w:rPr>
          <w:rFonts w:eastAsia="Calibri"/>
          <w:color w:val="000000"/>
          <w:szCs w:val="24"/>
          <w:u w:val="single"/>
        </w:rPr>
      </w:pPr>
      <w:r w:rsidRPr="001B7F77">
        <w:rPr>
          <w:rFonts w:eastAsia="Calibri"/>
          <w:b/>
          <w:bCs/>
          <w:color w:val="000000"/>
          <w:szCs w:val="24"/>
          <w:u w:val="single"/>
        </w:rPr>
        <w:t>101.7</w:t>
      </w:r>
      <w:r w:rsidRPr="001B7F77">
        <w:rPr>
          <w:rFonts w:eastAsia="Calibri"/>
          <w:color w:val="000000"/>
          <w:szCs w:val="24"/>
          <w:u w:val="single"/>
        </w:rPr>
        <w:t xml:space="preserve"> </w:t>
      </w:r>
      <w:r w:rsidRPr="001B7F77">
        <w:rPr>
          <w:rFonts w:eastAsia="Calibri"/>
          <w:b/>
          <w:bCs/>
          <w:color w:val="000000"/>
          <w:szCs w:val="24"/>
          <w:u w:val="single"/>
        </w:rPr>
        <w:t>Encroachments onto the public right of way.</w:t>
      </w:r>
      <w:r w:rsidRPr="001B7F77">
        <w:rPr>
          <w:rFonts w:eastAsia="Calibri"/>
          <w:color w:val="000000"/>
          <w:szCs w:val="24"/>
          <w:u w:val="single"/>
        </w:rPr>
        <w:t xml:space="preserve"> Encroachments onto the public right of way shall be governed by Chapter 32 of the </w:t>
      </w:r>
      <w:r w:rsidRPr="001B7F77">
        <w:rPr>
          <w:rFonts w:eastAsia="Calibri"/>
          <w:i/>
          <w:iCs/>
          <w:color w:val="000000"/>
          <w:szCs w:val="24"/>
          <w:u w:val="single"/>
        </w:rPr>
        <w:t>New York City Building Code</w:t>
      </w:r>
      <w:r w:rsidRPr="001B7F77">
        <w:rPr>
          <w:rFonts w:eastAsia="Calibri"/>
          <w:color w:val="000000"/>
          <w:szCs w:val="24"/>
          <w:u w:val="single"/>
        </w:rPr>
        <w:t>.</w:t>
      </w:r>
    </w:p>
    <w:p w14:paraId="3F7DE2F9" w14:textId="77777777" w:rsidR="001B7F77" w:rsidRPr="001B7F77" w:rsidRDefault="001B7F77" w:rsidP="001B7F77">
      <w:pPr>
        <w:widowControl w:val="0"/>
        <w:spacing w:before="120"/>
        <w:rPr>
          <w:rFonts w:eastAsia="Calibri"/>
          <w:b/>
          <w:color w:val="000000"/>
          <w:szCs w:val="24"/>
          <w:u w:val="single"/>
        </w:rPr>
      </w:pPr>
      <w:r w:rsidRPr="001B7F77">
        <w:rPr>
          <w:rFonts w:eastAsia="Calibri"/>
          <w:b/>
          <w:bCs/>
          <w:color w:val="000000"/>
          <w:szCs w:val="24"/>
          <w:u w:val="single"/>
        </w:rPr>
        <w:t xml:space="preserve">101.8 Appendices. </w:t>
      </w:r>
      <w:r w:rsidRPr="001B7F77">
        <w:rPr>
          <w:rFonts w:eastAsia="Calibri"/>
          <w:color w:val="000000"/>
          <w:szCs w:val="24"/>
          <w:u w:val="single"/>
        </w:rPr>
        <w:t>The appendices referenced in this code shall be considered part of the requirements of this code to the prescribed extent of each such reference.</w:t>
      </w:r>
    </w:p>
    <w:p w14:paraId="5B793310" w14:textId="77777777" w:rsidR="001B7F77" w:rsidRPr="001B7F77" w:rsidRDefault="001B7F77" w:rsidP="001B7F77">
      <w:pPr>
        <w:widowControl w:val="0"/>
        <w:spacing w:before="120"/>
        <w:jc w:val="center"/>
        <w:outlineLvl w:val="0"/>
        <w:rPr>
          <w:rFonts w:eastAsia="Calibri"/>
          <w:b/>
          <w:bCs/>
          <w:color w:val="000000"/>
          <w:szCs w:val="24"/>
          <w:u w:val="single"/>
        </w:rPr>
      </w:pPr>
    </w:p>
    <w:p w14:paraId="53A8C706" w14:textId="77777777" w:rsidR="001B7F77" w:rsidRPr="001B7F77" w:rsidRDefault="001B7F77" w:rsidP="001B7F77">
      <w:pPr>
        <w:widowControl w:val="0"/>
        <w:spacing w:before="120"/>
        <w:jc w:val="center"/>
        <w:outlineLvl w:val="0"/>
        <w:rPr>
          <w:rFonts w:eastAsia="Calibri"/>
          <w:b/>
          <w:bCs/>
          <w:color w:val="000000"/>
          <w:szCs w:val="24"/>
          <w:u w:val="single"/>
        </w:rPr>
      </w:pPr>
      <w:r w:rsidRPr="001B7F77">
        <w:rPr>
          <w:rFonts w:eastAsia="Calibri"/>
          <w:b/>
          <w:bCs/>
          <w:color w:val="000000"/>
          <w:szCs w:val="24"/>
          <w:u w:val="single"/>
        </w:rPr>
        <w:t>SECTION EBC 102</w:t>
      </w:r>
      <w:r w:rsidRPr="001B7F77">
        <w:rPr>
          <w:rFonts w:eastAsia="Calibri"/>
          <w:b/>
          <w:bCs/>
          <w:color w:val="000000"/>
          <w:szCs w:val="24"/>
          <w:u w:val="single"/>
        </w:rPr>
        <w:br/>
        <w:t>APPLICABILITY</w:t>
      </w:r>
    </w:p>
    <w:p w14:paraId="0CE825B2" w14:textId="77777777" w:rsidR="001B7F77" w:rsidRPr="001B7F77" w:rsidRDefault="001B7F77" w:rsidP="001B7F77">
      <w:pPr>
        <w:widowControl w:val="0"/>
        <w:spacing w:before="120"/>
        <w:rPr>
          <w:color w:val="000000"/>
          <w:szCs w:val="24"/>
          <w:u w:val="single"/>
        </w:rPr>
      </w:pPr>
      <w:bookmarkStart w:id="10" w:name="_heading=h.26in1rg" w:colFirst="0" w:colLast="0"/>
      <w:bookmarkEnd w:id="10"/>
      <w:r w:rsidRPr="001B7F77">
        <w:rPr>
          <w:rFonts w:eastAsia="Calibri"/>
          <w:b/>
          <w:color w:val="000000"/>
          <w:szCs w:val="24"/>
          <w:u w:val="single"/>
        </w:rPr>
        <w:t xml:space="preserve">102.1 General. </w:t>
      </w:r>
      <w:r w:rsidRPr="001B7F77">
        <w:rPr>
          <w:rFonts w:eastAsia="Calibri"/>
          <w:color w:val="000000"/>
          <w:szCs w:val="24"/>
          <w:u w:val="single"/>
        </w:rPr>
        <w:t>Where, in any specific case, different sections of this code specify different materials, methods of construction or other requirements, the most restrictive shall govern. Where a general requirement conflicts with a specific requirement, the specific requirement shall govern. Where British and metric units of measurement conflict, the British units shall govern.</w:t>
      </w:r>
    </w:p>
    <w:p w14:paraId="40FAE273" w14:textId="77777777" w:rsidR="001B7F77" w:rsidRPr="001B7F77" w:rsidRDefault="001B7F77" w:rsidP="001B7F77">
      <w:pPr>
        <w:widowControl w:val="0"/>
        <w:spacing w:before="120"/>
        <w:rPr>
          <w:rFonts w:eastAsia="Calibri"/>
          <w:color w:val="000000"/>
          <w:szCs w:val="24"/>
          <w:u w:val="single"/>
        </w:rPr>
      </w:pPr>
      <w:bookmarkStart w:id="11" w:name="_heading=h.lnxbz9"/>
      <w:bookmarkEnd w:id="11"/>
      <w:r w:rsidRPr="001B7F77">
        <w:rPr>
          <w:rFonts w:eastAsia="Calibri"/>
          <w:b/>
          <w:bCs/>
          <w:color w:val="000000"/>
          <w:szCs w:val="24"/>
          <w:u w:val="single"/>
        </w:rPr>
        <w:t xml:space="preserve">102.2 Other laws. </w:t>
      </w:r>
      <w:r w:rsidRPr="001B7F77">
        <w:rPr>
          <w:rFonts w:eastAsia="Calibri"/>
          <w:color w:val="000000"/>
          <w:szCs w:val="24"/>
          <w:u w:val="single"/>
        </w:rPr>
        <w:t xml:space="preserve">The provisions of this code do not presumptively provide for matters that are contained in the </w:t>
      </w:r>
      <w:r w:rsidRPr="001B7F77">
        <w:rPr>
          <w:rFonts w:eastAsia="Calibri"/>
          <w:i/>
          <w:iCs/>
          <w:color w:val="000000"/>
          <w:szCs w:val="24"/>
          <w:u w:val="single"/>
        </w:rPr>
        <w:t>Charter</w:t>
      </w:r>
      <w:r w:rsidRPr="001B7F77">
        <w:rPr>
          <w:rFonts w:eastAsia="Calibri"/>
          <w:color w:val="000000"/>
          <w:szCs w:val="24"/>
          <w:u w:val="single"/>
        </w:rPr>
        <w:t>, the labor law, the multiple dwelling law, the zoning resolution, or the general city law. Where there is conflict or inconsistency between the requirements of this code and other applicable laws and rules, unless otherwise required, such conflict shall be resolved in favor of the more restrictive requirement.</w:t>
      </w:r>
    </w:p>
    <w:p w14:paraId="73CE25DF" w14:textId="77777777" w:rsidR="001B7F77" w:rsidRPr="001B7F77" w:rsidRDefault="001B7F77" w:rsidP="001B7F77">
      <w:pPr>
        <w:widowControl w:val="0"/>
        <w:spacing w:before="120"/>
        <w:rPr>
          <w:rFonts w:eastAsia="Calibri"/>
          <w:color w:val="000000"/>
          <w:szCs w:val="24"/>
          <w:u w:val="single"/>
        </w:rPr>
      </w:pPr>
      <w:r w:rsidRPr="001B7F77">
        <w:rPr>
          <w:rFonts w:eastAsia="Calibri"/>
          <w:b/>
          <w:color w:val="000000"/>
          <w:szCs w:val="24"/>
          <w:u w:val="single"/>
        </w:rPr>
        <w:t xml:space="preserve">102.3 Application of references. </w:t>
      </w:r>
      <w:r w:rsidRPr="001B7F77">
        <w:rPr>
          <w:rFonts w:eastAsia="Calibri"/>
          <w:color w:val="000000"/>
          <w:szCs w:val="24"/>
          <w:u w:val="single"/>
        </w:rPr>
        <w:t>References to chapter or section numbers or to provisions not specifically identified by number shall be construed to refer to such chapter, section, or provision of this code.</w:t>
      </w:r>
    </w:p>
    <w:p w14:paraId="468FE2E2" w14:textId="77777777" w:rsidR="001B7F77" w:rsidRPr="001B7F77" w:rsidRDefault="001B7F77" w:rsidP="001B7F77">
      <w:pPr>
        <w:widowControl w:val="0"/>
        <w:spacing w:before="120"/>
        <w:rPr>
          <w:rFonts w:eastAsia="Calibri"/>
          <w:color w:val="000000"/>
          <w:szCs w:val="24"/>
          <w:u w:val="single"/>
        </w:rPr>
      </w:pPr>
      <w:r w:rsidRPr="001B7F77">
        <w:rPr>
          <w:rFonts w:eastAsia="Calibri"/>
          <w:b/>
          <w:bCs/>
          <w:color w:val="000000"/>
          <w:szCs w:val="24"/>
          <w:u w:val="single"/>
        </w:rPr>
        <w:t xml:space="preserve">102.4 Referenced codes, standards and other laws and regulations. </w:t>
      </w:r>
      <w:r w:rsidRPr="001B7F77">
        <w:rPr>
          <w:rFonts w:eastAsia="Calibri"/>
          <w:color w:val="000000"/>
          <w:szCs w:val="24"/>
          <w:u w:val="single"/>
        </w:rPr>
        <w:t>The codes and standards referenced in this code shall be considered part of the requirements of this code to the prescribed extent of each such reference and as further described in Sections 102.4.1 through 102.4.5.</w:t>
      </w:r>
    </w:p>
    <w:p w14:paraId="18FFD025" w14:textId="77777777" w:rsidR="001B7F77" w:rsidRPr="001B7F77" w:rsidRDefault="001B7F77" w:rsidP="001B7F77">
      <w:pPr>
        <w:widowControl w:val="0"/>
        <w:tabs>
          <w:tab w:val="left" w:pos="360"/>
        </w:tabs>
        <w:spacing w:before="120"/>
        <w:ind w:left="360"/>
        <w:rPr>
          <w:rFonts w:eastAsia="Calibri"/>
          <w:color w:val="000000"/>
          <w:szCs w:val="24"/>
          <w:u w:val="single"/>
        </w:rPr>
      </w:pPr>
      <w:r w:rsidRPr="001B7F77">
        <w:rPr>
          <w:rFonts w:eastAsia="Calibri"/>
          <w:b/>
          <w:bCs/>
          <w:color w:val="000000"/>
          <w:szCs w:val="24"/>
          <w:u w:val="single"/>
        </w:rPr>
        <w:t>102.4.1 Referenced codes.</w:t>
      </w:r>
      <w:r w:rsidRPr="001B7F77">
        <w:rPr>
          <w:rFonts w:eastAsia="Calibri"/>
          <w:color w:val="000000"/>
          <w:szCs w:val="24"/>
          <w:u w:val="single"/>
        </w:rPr>
        <w:t xml:space="preserve"> The referenced codes include the </w:t>
      </w:r>
      <w:r w:rsidRPr="001B7F77">
        <w:rPr>
          <w:rFonts w:eastAsia="Calibri"/>
          <w:i/>
          <w:iCs/>
          <w:color w:val="000000"/>
          <w:szCs w:val="24"/>
          <w:u w:val="single"/>
        </w:rPr>
        <w:t>Administrative Code</w:t>
      </w:r>
      <w:r w:rsidRPr="001B7F77">
        <w:rPr>
          <w:rFonts w:eastAsia="Calibri"/>
          <w:color w:val="000000"/>
          <w:szCs w:val="24"/>
          <w:u w:val="single"/>
        </w:rPr>
        <w:t xml:space="preserve">, </w:t>
      </w:r>
      <w:r w:rsidRPr="001B7F77">
        <w:rPr>
          <w:rFonts w:eastAsia="Calibri"/>
          <w:i/>
          <w:iCs/>
          <w:color w:val="000000"/>
          <w:szCs w:val="24"/>
          <w:u w:val="single"/>
        </w:rPr>
        <w:t>New York City Building Code</w:t>
      </w:r>
      <w:r w:rsidRPr="001B7F77">
        <w:rPr>
          <w:rFonts w:eastAsia="Calibri"/>
          <w:color w:val="000000"/>
          <w:szCs w:val="24"/>
          <w:u w:val="single"/>
        </w:rPr>
        <w:t xml:space="preserve">, </w:t>
      </w:r>
      <w:r w:rsidRPr="001B7F77">
        <w:rPr>
          <w:rFonts w:eastAsia="Calibri"/>
          <w:i/>
          <w:iCs/>
          <w:color w:val="000000"/>
          <w:szCs w:val="24"/>
          <w:u w:val="single"/>
        </w:rPr>
        <w:t>New York City Electrical Code</w:t>
      </w:r>
      <w:r w:rsidRPr="001B7F77">
        <w:rPr>
          <w:rFonts w:eastAsia="Calibri"/>
          <w:color w:val="000000"/>
          <w:szCs w:val="24"/>
          <w:u w:val="single"/>
        </w:rPr>
        <w:t xml:space="preserve">, </w:t>
      </w:r>
      <w:r w:rsidRPr="001B7F77">
        <w:rPr>
          <w:rFonts w:eastAsia="Calibri"/>
          <w:i/>
          <w:iCs/>
          <w:color w:val="000000"/>
          <w:szCs w:val="24"/>
          <w:u w:val="single"/>
        </w:rPr>
        <w:t>New York City Fuel Gas Code</w:t>
      </w:r>
      <w:r w:rsidRPr="001B7F77">
        <w:rPr>
          <w:rFonts w:eastAsia="Calibri"/>
          <w:color w:val="000000"/>
          <w:szCs w:val="24"/>
          <w:u w:val="single"/>
        </w:rPr>
        <w:t xml:space="preserve">, </w:t>
      </w:r>
      <w:r w:rsidRPr="001B7F77">
        <w:rPr>
          <w:rFonts w:eastAsia="Calibri"/>
          <w:i/>
          <w:iCs/>
          <w:color w:val="000000"/>
          <w:szCs w:val="24"/>
          <w:u w:val="single"/>
        </w:rPr>
        <w:t>New York City Mechanical Code</w:t>
      </w:r>
      <w:r w:rsidRPr="001B7F77">
        <w:rPr>
          <w:rFonts w:eastAsia="Calibri"/>
          <w:color w:val="000000"/>
          <w:szCs w:val="24"/>
          <w:u w:val="single"/>
        </w:rPr>
        <w:t xml:space="preserve">, </w:t>
      </w:r>
      <w:r w:rsidRPr="001B7F77">
        <w:rPr>
          <w:rFonts w:eastAsia="Calibri"/>
          <w:i/>
          <w:iCs/>
          <w:color w:val="000000"/>
          <w:szCs w:val="24"/>
          <w:u w:val="single"/>
        </w:rPr>
        <w:t>New York City Plumbing Code</w:t>
      </w:r>
      <w:r w:rsidRPr="001B7F77">
        <w:rPr>
          <w:rFonts w:eastAsia="Calibri"/>
          <w:color w:val="000000"/>
          <w:szCs w:val="24"/>
          <w:u w:val="single"/>
        </w:rPr>
        <w:t xml:space="preserve">, </w:t>
      </w:r>
      <w:r w:rsidRPr="001B7F77">
        <w:rPr>
          <w:rFonts w:eastAsia="Calibri"/>
          <w:i/>
          <w:iCs/>
          <w:color w:val="000000"/>
          <w:szCs w:val="24"/>
          <w:u w:val="single"/>
        </w:rPr>
        <w:t>New York City Fire Code</w:t>
      </w:r>
      <w:r w:rsidRPr="001B7F77">
        <w:rPr>
          <w:rFonts w:eastAsia="Calibri"/>
          <w:color w:val="000000"/>
          <w:szCs w:val="24"/>
          <w:u w:val="single"/>
        </w:rPr>
        <w:t xml:space="preserve"> and </w:t>
      </w:r>
      <w:r w:rsidRPr="001B7F77">
        <w:rPr>
          <w:rFonts w:eastAsia="Calibri"/>
          <w:i/>
          <w:iCs/>
          <w:color w:val="000000"/>
          <w:szCs w:val="24"/>
          <w:u w:val="single"/>
        </w:rPr>
        <w:t>New York City Energy Conservation Code</w:t>
      </w:r>
      <w:r w:rsidRPr="001B7F77">
        <w:rPr>
          <w:rFonts w:eastAsia="Calibri"/>
          <w:color w:val="000000"/>
          <w:szCs w:val="24"/>
          <w:u w:val="single"/>
        </w:rPr>
        <w:t>.</w:t>
      </w:r>
    </w:p>
    <w:p w14:paraId="28E0DF54" w14:textId="77777777" w:rsidR="001B7F77" w:rsidRPr="001B7F77" w:rsidRDefault="001B7F77" w:rsidP="001B7F77">
      <w:pPr>
        <w:widowControl w:val="0"/>
        <w:tabs>
          <w:tab w:val="left" w:pos="360"/>
        </w:tabs>
        <w:spacing w:before="120"/>
        <w:ind w:left="360"/>
        <w:rPr>
          <w:rFonts w:eastAsia="Calibri"/>
          <w:color w:val="000000"/>
          <w:szCs w:val="24"/>
          <w:u w:val="single"/>
        </w:rPr>
      </w:pPr>
      <w:r w:rsidRPr="001B7F77">
        <w:rPr>
          <w:rFonts w:eastAsia="Calibri"/>
          <w:b/>
          <w:color w:val="000000"/>
          <w:szCs w:val="24"/>
          <w:u w:val="single"/>
        </w:rPr>
        <w:t>102.4.2 Other laws and regulations</w:t>
      </w:r>
      <w:r w:rsidRPr="001B7F77">
        <w:rPr>
          <w:rFonts w:eastAsia="Calibri"/>
          <w:color w:val="000000"/>
          <w:szCs w:val="24"/>
          <w:u w:val="single"/>
        </w:rPr>
        <w:t>. Other laws and regulations that may be referenced in this code including codes, rules and regulations of New York city, New York state or Federal agencies.</w:t>
      </w:r>
    </w:p>
    <w:p w14:paraId="55E462B8" w14:textId="77777777" w:rsidR="001B7F77" w:rsidRPr="001B7F77" w:rsidRDefault="001B7F77" w:rsidP="001B7F77">
      <w:pPr>
        <w:widowControl w:val="0"/>
        <w:tabs>
          <w:tab w:val="left" w:pos="360"/>
        </w:tabs>
        <w:spacing w:before="120"/>
        <w:ind w:left="360"/>
        <w:rPr>
          <w:color w:val="000000"/>
          <w:szCs w:val="24"/>
          <w:u w:val="single"/>
        </w:rPr>
      </w:pPr>
      <w:r w:rsidRPr="001B7F77">
        <w:rPr>
          <w:rFonts w:eastAsia="Calibri"/>
          <w:b/>
          <w:bCs/>
          <w:color w:val="000000"/>
          <w:szCs w:val="24"/>
          <w:u w:val="single"/>
        </w:rPr>
        <w:t xml:space="preserve">102.4.3 Referenced standards. </w:t>
      </w:r>
      <w:r w:rsidRPr="001B7F77">
        <w:rPr>
          <w:rFonts w:eastAsia="Calibri"/>
          <w:color w:val="000000"/>
          <w:szCs w:val="24"/>
          <w:u w:val="single"/>
        </w:rPr>
        <w:t xml:space="preserve">The standards referenced in this code and in the rules of the department shall be considered part of the requirements of this code to the prescribed extent of each such reference. Refer to Article 103 of Chapter 1 of Title 28 of the </w:t>
      </w:r>
      <w:r w:rsidRPr="001B7F77">
        <w:rPr>
          <w:rFonts w:eastAsia="Calibri"/>
          <w:i/>
          <w:iCs/>
          <w:color w:val="000000"/>
          <w:szCs w:val="24"/>
          <w:u w:val="single"/>
        </w:rPr>
        <w:t>Administrative Code</w:t>
      </w:r>
      <w:r w:rsidRPr="001B7F77">
        <w:rPr>
          <w:rFonts w:eastAsia="Calibri"/>
          <w:color w:val="000000"/>
          <w:szCs w:val="24"/>
          <w:u w:val="single"/>
        </w:rPr>
        <w:t xml:space="preserve"> for additional provisions relating to referenced standards</w:t>
      </w:r>
      <w:r w:rsidRPr="001B7F77">
        <w:rPr>
          <w:color w:val="000000"/>
          <w:szCs w:val="24"/>
          <w:u w:val="single"/>
        </w:rPr>
        <w:t>.</w:t>
      </w:r>
    </w:p>
    <w:p w14:paraId="35AC1871" w14:textId="77777777" w:rsidR="001B7F77" w:rsidRPr="001B7F77" w:rsidRDefault="001B7F77" w:rsidP="001B7F77">
      <w:pPr>
        <w:widowControl w:val="0"/>
        <w:tabs>
          <w:tab w:val="left" w:pos="720"/>
        </w:tabs>
        <w:spacing w:before="120"/>
        <w:ind w:left="720"/>
        <w:rPr>
          <w:rFonts w:eastAsia="Calibri"/>
          <w:color w:val="000000"/>
          <w:szCs w:val="24"/>
          <w:u w:val="single"/>
        </w:rPr>
      </w:pPr>
      <w:r w:rsidRPr="001B7F77">
        <w:rPr>
          <w:rFonts w:eastAsia="Calibri"/>
          <w:b/>
          <w:bCs/>
          <w:color w:val="000000"/>
          <w:szCs w:val="24"/>
          <w:u w:val="single"/>
        </w:rPr>
        <w:t>102.4.3.1 Editions of referenced standards</w:t>
      </w:r>
      <w:r w:rsidRPr="001B7F77">
        <w:rPr>
          <w:rFonts w:eastAsia="Calibri"/>
          <w:color w:val="000000"/>
          <w:szCs w:val="24"/>
          <w:u w:val="single"/>
        </w:rPr>
        <w:t>. References to standards in this code shall be to the editions of those standards provided for in Chapter 16, or as otherwise provided by rule.</w:t>
      </w:r>
    </w:p>
    <w:p w14:paraId="26327A99" w14:textId="77777777" w:rsidR="001B7F77" w:rsidRPr="001B7F77" w:rsidRDefault="001B7F77" w:rsidP="001B7F77">
      <w:pPr>
        <w:widowControl w:val="0"/>
        <w:tabs>
          <w:tab w:val="left" w:pos="360"/>
        </w:tabs>
        <w:spacing w:before="120"/>
        <w:ind w:left="360"/>
        <w:rPr>
          <w:rFonts w:eastAsia="Calibri"/>
          <w:color w:val="000000"/>
          <w:szCs w:val="24"/>
          <w:u w:val="single"/>
        </w:rPr>
      </w:pPr>
      <w:r w:rsidRPr="001B7F77">
        <w:rPr>
          <w:rFonts w:eastAsia="Calibri"/>
          <w:b/>
          <w:bCs/>
          <w:color w:val="000000"/>
          <w:szCs w:val="24"/>
          <w:u w:val="single"/>
        </w:rPr>
        <w:t xml:space="preserve">102.4.4 Conflicts. </w:t>
      </w:r>
      <w:r w:rsidRPr="001B7F77">
        <w:rPr>
          <w:rFonts w:eastAsia="Calibri"/>
          <w:color w:val="000000"/>
          <w:szCs w:val="24"/>
          <w:u w:val="single"/>
        </w:rPr>
        <w:t>Where conflicts occur between provisions of this code and referenced codes and standards, the provisions of this code shall apply.</w:t>
      </w:r>
    </w:p>
    <w:p w14:paraId="7996075C" w14:textId="77777777" w:rsidR="001B7F77" w:rsidRPr="001B7F77" w:rsidRDefault="001B7F77" w:rsidP="001B7F77">
      <w:pPr>
        <w:widowControl w:val="0"/>
        <w:spacing w:before="120"/>
        <w:ind w:left="720"/>
        <w:rPr>
          <w:rFonts w:eastAsia="Calibri"/>
          <w:bCs/>
          <w:color w:val="000000"/>
          <w:szCs w:val="24"/>
          <w:u w:val="single"/>
        </w:rPr>
      </w:pPr>
      <w:r w:rsidRPr="001B7F77">
        <w:rPr>
          <w:rFonts w:eastAsia="Calibri"/>
          <w:b/>
          <w:bCs/>
          <w:color w:val="000000"/>
          <w:szCs w:val="24"/>
          <w:u w:val="single"/>
        </w:rPr>
        <w:t xml:space="preserve">Exception: </w:t>
      </w:r>
      <w:r w:rsidRPr="001B7F77">
        <w:rPr>
          <w:rFonts w:eastAsia="Calibri"/>
          <w:bCs/>
          <w:color w:val="000000"/>
          <w:szCs w:val="24"/>
          <w:u w:val="single"/>
        </w:rPr>
        <w:t xml:space="preserve">Where an appliance or equipment is listed, as such term is defined in Section 28-101.5 of the </w:t>
      </w:r>
      <w:r w:rsidRPr="001B7F77">
        <w:rPr>
          <w:rFonts w:eastAsia="Calibri"/>
          <w:bCs/>
          <w:i/>
          <w:iCs/>
          <w:color w:val="000000"/>
          <w:szCs w:val="24"/>
          <w:u w:val="single"/>
        </w:rPr>
        <w:t>Administrative Code</w:t>
      </w:r>
      <w:r w:rsidRPr="001B7F77">
        <w:rPr>
          <w:rFonts w:eastAsia="Calibri"/>
          <w:bCs/>
          <w:color w:val="000000"/>
          <w:szCs w:val="24"/>
          <w:u w:val="single"/>
        </w:rPr>
        <w:t>, and enforcement of a code provision would violate the conditions of the listing of the equipment or appliance, the conditions of the listing shall govern.</w:t>
      </w:r>
    </w:p>
    <w:p w14:paraId="0BA55514" w14:textId="77777777" w:rsidR="001B7F77" w:rsidRPr="001B7F77" w:rsidRDefault="001B7F77" w:rsidP="001B7F77">
      <w:pPr>
        <w:widowControl w:val="0"/>
        <w:spacing w:before="120"/>
        <w:rPr>
          <w:rFonts w:eastAsia="Calibri"/>
          <w:bCs/>
          <w:color w:val="000000"/>
          <w:szCs w:val="24"/>
          <w:u w:val="single"/>
        </w:rPr>
      </w:pPr>
      <w:r w:rsidRPr="001B7F77">
        <w:rPr>
          <w:rFonts w:eastAsia="Calibri"/>
          <w:b/>
          <w:bCs/>
          <w:color w:val="000000"/>
          <w:szCs w:val="24"/>
          <w:u w:val="single"/>
        </w:rPr>
        <w:t xml:space="preserve">102.5 Partial invalidity. </w:t>
      </w:r>
      <w:r w:rsidRPr="001B7F77">
        <w:rPr>
          <w:rFonts w:eastAsia="Calibri"/>
          <w:bCs/>
          <w:color w:val="000000"/>
          <w:szCs w:val="24"/>
          <w:u w:val="single"/>
        </w:rPr>
        <w:t>In the event that any part or provision of this code is held to be illegal or void, this shall not have the effect of making void or illegal any of the other parts or provisions.</w:t>
      </w:r>
    </w:p>
    <w:p w14:paraId="60BD8F18" w14:textId="77777777" w:rsidR="001B7F77" w:rsidRPr="001B7F77" w:rsidRDefault="001B7F77" w:rsidP="001B7F77">
      <w:pPr>
        <w:widowControl w:val="0"/>
        <w:spacing w:before="120"/>
        <w:rPr>
          <w:rFonts w:eastAsia="Calibri"/>
          <w:color w:val="000000"/>
          <w:szCs w:val="24"/>
          <w:u w:val="single"/>
        </w:rPr>
      </w:pPr>
      <w:r w:rsidRPr="001B7F77">
        <w:rPr>
          <w:rFonts w:eastAsia="Calibri"/>
          <w:b/>
          <w:color w:val="000000"/>
          <w:szCs w:val="24"/>
          <w:u w:val="single"/>
        </w:rPr>
        <w:t xml:space="preserve">102.6 Fire districts maps. </w:t>
      </w:r>
      <w:r w:rsidRPr="001B7F77">
        <w:rPr>
          <w:rFonts w:eastAsia="Calibri"/>
          <w:color w:val="000000"/>
          <w:szCs w:val="24"/>
          <w:u w:val="single"/>
        </w:rPr>
        <w:t xml:space="preserve">The boundaries of fire districts shall be in accordance with the maps set forth in Appendix D of the </w:t>
      </w:r>
      <w:r w:rsidRPr="001B7F77">
        <w:rPr>
          <w:rFonts w:eastAsia="Calibri"/>
          <w:i/>
          <w:iCs/>
          <w:color w:val="000000"/>
          <w:szCs w:val="24"/>
          <w:u w:val="single"/>
        </w:rPr>
        <w:t>New York City Building Code</w:t>
      </w:r>
      <w:r w:rsidRPr="001B7F77">
        <w:rPr>
          <w:rFonts w:eastAsia="Calibri"/>
          <w:color w:val="000000"/>
          <w:szCs w:val="24"/>
          <w:u w:val="single"/>
        </w:rPr>
        <w:t>.</w:t>
      </w:r>
    </w:p>
    <w:p w14:paraId="632779B6" w14:textId="77777777" w:rsidR="001B7F77" w:rsidRPr="001B7F77" w:rsidRDefault="001B7F77" w:rsidP="001B7F77">
      <w:pPr>
        <w:keepNext/>
        <w:spacing w:before="60"/>
        <w:jc w:val="left"/>
        <w:rPr>
          <w:rFonts w:eastAsia="Calibri"/>
          <w:bCs/>
          <w:color w:val="FF0000"/>
          <w:sz w:val="22"/>
          <w:szCs w:val="24"/>
          <w:u w:val="single"/>
        </w:rPr>
      </w:pPr>
    </w:p>
    <w:p w14:paraId="7C752DD4" w14:textId="77777777" w:rsidR="001B7F77" w:rsidRPr="001B7F77" w:rsidRDefault="001B7F77" w:rsidP="001B7F77">
      <w:pPr>
        <w:widowControl w:val="0"/>
        <w:spacing w:before="120"/>
        <w:jc w:val="center"/>
        <w:outlineLvl w:val="0"/>
        <w:rPr>
          <w:rFonts w:eastAsia="Calibri"/>
          <w:b/>
          <w:bCs/>
          <w:color w:val="000000"/>
          <w:szCs w:val="24"/>
          <w:u w:val="single"/>
        </w:rPr>
      </w:pPr>
      <w:bookmarkStart w:id="12" w:name="_heading=h.3j2qqm3" w:colFirst="0" w:colLast="0"/>
      <w:bookmarkEnd w:id="12"/>
      <w:r w:rsidRPr="001B7F77">
        <w:rPr>
          <w:rFonts w:eastAsia="Calibri"/>
          <w:b/>
          <w:bCs/>
          <w:color w:val="000000"/>
          <w:szCs w:val="24"/>
          <w:u w:val="single"/>
        </w:rPr>
        <w:t>PART 2—ADMINISTRATION AND ENFORCEMENT</w:t>
      </w:r>
    </w:p>
    <w:p w14:paraId="366C21BE" w14:textId="77777777" w:rsidR="001B7F77" w:rsidRPr="001B7F77" w:rsidRDefault="001B7F77" w:rsidP="001B7F77">
      <w:pPr>
        <w:widowControl w:val="0"/>
        <w:spacing w:before="120"/>
        <w:jc w:val="center"/>
        <w:outlineLvl w:val="0"/>
        <w:rPr>
          <w:rFonts w:eastAsia="Calibri"/>
          <w:b/>
          <w:bCs/>
          <w:color w:val="000000"/>
          <w:szCs w:val="24"/>
          <w:u w:val="single"/>
        </w:rPr>
      </w:pPr>
      <w:r w:rsidRPr="001B7F77">
        <w:rPr>
          <w:rFonts w:eastAsia="Calibri"/>
          <w:b/>
          <w:bCs/>
          <w:color w:val="000000"/>
          <w:szCs w:val="24"/>
          <w:u w:val="single"/>
        </w:rPr>
        <w:t>SECTION EBC 103</w:t>
      </w:r>
      <w:r w:rsidRPr="001B7F77">
        <w:rPr>
          <w:rFonts w:eastAsia="Calibri"/>
          <w:b/>
          <w:bCs/>
          <w:color w:val="000000"/>
          <w:szCs w:val="24"/>
          <w:u w:val="single"/>
        </w:rPr>
        <w:br/>
        <w:t>DEPARTMENT OF BUILDINGS</w:t>
      </w:r>
    </w:p>
    <w:p w14:paraId="6D573616" w14:textId="77777777" w:rsidR="001B7F77" w:rsidRPr="001B7F77" w:rsidRDefault="001B7F77" w:rsidP="001B7F77">
      <w:pPr>
        <w:widowControl w:val="0"/>
        <w:spacing w:before="120"/>
        <w:rPr>
          <w:rFonts w:eastAsia="Calibri"/>
          <w:color w:val="000000"/>
          <w:szCs w:val="24"/>
          <w:u w:val="single"/>
        </w:rPr>
      </w:pPr>
      <w:r w:rsidRPr="001B7F77">
        <w:rPr>
          <w:rFonts w:eastAsia="Calibri"/>
          <w:b/>
          <w:color w:val="000000"/>
          <w:szCs w:val="24"/>
          <w:u w:val="single"/>
        </w:rPr>
        <w:t xml:space="preserve">103.1 General. </w:t>
      </w:r>
      <w:r w:rsidRPr="001B7F77">
        <w:rPr>
          <w:rFonts w:eastAsia="Calibri"/>
          <w:color w:val="000000"/>
          <w:szCs w:val="24"/>
          <w:u w:val="single"/>
        </w:rPr>
        <w:t xml:space="preserve">Refer to the </w:t>
      </w:r>
      <w:r w:rsidRPr="001B7F77">
        <w:rPr>
          <w:rFonts w:eastAsia="Calibri"/>
          <w:i/>
          <w:iCs/>
          <w:color w:val="000000"/>
          <w:szCs w:val="24"/>
          <w:u w:val="single"/>
        </w:rPr>
        <w:t>Charter</w:t>
      </w:r>
      <w:r w:rsidRPr="001B7F77">
        <w:rPr>
          <w:rFonts w:eastAsia="Calibri"/>
          <w:color w:val="000000"/>
          <w:szCs w:val="24"/>
          <w:u w:val="single"/>
        </w:rPr>
        <w:t xml:space="preserve"> and Chapter 1 of Title 28 of the </w:t>
      </w:r>
      <w:r w:rsidRPr="001B7F77">
        <w:rPr>
          <w:rFonts w:eastAsia="Calibri"/>
          <w:i/>
          <w:color w:val="000000"/>
          <w:szCs w:val="24"/>
          <w:u w:val="single"/>
        </w:rPr>
        <w:t>Administrative Code</w:t>
      </w:r>
      <w:r w:rsidRPr="001B7F77">
        <w:rPr>
          <w:rFonts w:eastAsia="Calibri"/>
          <w:color w:val="000000"/>
          <w:szCs w:val="24"/>
          <w:u w:val="single"/>
        </w:rPr>
        <w:t>.</w:t>
      </w:r>
    </w:p>
    <w:p w14:paraId="45C2CF72" w14:textId="77777777" w:rsidR="001B7F77" w:rsidRPr="001B7F77" w:rsidRDefault="001B7F77" w:rsidP="001B7F77">
      <w:pPr>
        <w:widowControl w:val="0"/>
        <w:spacing w:before="120"/>
        <w:jc w:val="center"/>
        <w:outlineLvl w:val="0"/>
        <w:rPr>
          <w:rFonts w:eastAsia="Calibri"/>
          <w:b/>
          <w:bCs/>
          <w:color w:val="000000"/>
          <w:szCs w:val="24"/>
          <w:u w:val="single"/>
        </w:rPr>
      </w:pPr>
    </w:p>
    <w:p w14:paraId="5D9D2027" w14:textId="77777777" w:rsidR="001B7F77" w:rsidRPr="001B7F77" w:rsidRDefault="001B7F77" w:rsidP="001B7F77">
      <w:pPr>
        <w:widowControl w:val="0"/>
        <w:spacing w:before="120"/>
        <w:jc w:val="center"/>
        <w:outlineLvl w:val="0"/>
        <w:rPr>
          <w:rFonts w:eastAsia="Calibri"/>
          <w:b/>
          <w:bCs/>
          <w:color w:val="000000"/>
          <w:szCs w:val="24"/>
          <w:u w:val="single"/>
        </w:rPr>
      </w:pPr>
      <w:r w:rsidRPr="001B7F77">
        <w:rPr>
          <w:rFonts w:eastAsia="Calibri"/>
          <w:b/>
          <w:bCs/>
          <w:color w:val="000000"/>
          <w:szCs w:val="24"/>
          <w:u w:val="single"/>
        </w:rPr>
        <w:t>SECTION EBC 104</w:t>
      </w:r>
      <w:r w:rsidRPr="001B7F77">
        <w:rPr>
          <w:rFonts w:eastAsia="Calibri"/>
          <w:b/>
          <w:bCs/>
          <w:color w:val="000000"/>
          <w:szCs w:val="24"/>
          <w:u w:val="single"/>
        </w:rPr>
        <w:br/>
        <w:t>DUTIES AND POWERS OF COMMISSIONER OF BUILDINGS</w:t>
      </w:r>
    </w:p>
    <w:p w14:paraId="6FE76CE7" w14:textId="77777777" w:rsidR="001B7F77" w:rsidRPr="001B7F77" w:rsidRDefault="001B7F77" w:rsidP="001B7F77">
      <w:pPr>
        <w:widowControl w:val="0"/>
        <w:spacing w:before="120"/>
        <w:rPr>
          <w:rFonts w:eastAsia="Calibri"/>
          <w:color w:val="000000"/>
          <w:szCs w:val="24"/>
          <w:u w:val="single"/>
        </w:rPr>
      </w:pPr>
      <w:r w:rsidRPr="001B7F77">
        <w:rPr>
          <w:rFonts w:eastAsia="Calibri"/>
          <w:b/>
          <w:color w:val="000000"/>
          <w:szCs w:val="24"/>
          <w:u w:val="single"/>
        </w:rPr>
        <w:t xml:space="preserve">104.1 General. </w:t>
      </w:r>
      <w:r w:rsidRPr="001B7F77">
        <w:rPr>
          <w:rFonts w:eastAsia="Calibri"/>
          <w:color w:val="000000"/>
          <w:szCs w:val="24"/>
          <w:u w:val="single"/>
        </w:rPr>
        <w:t xml:space="preserve">The commissioner shall have the authority to render interpretations of this code and to adopt rules, policies and procedures in order to clarify and implement its provisions. Such interpretations, policies, procedures, and rules shall be in compliance with the intent and purpose of this code. See the </w:t>
      </w:r>
      <w:r w:rsidRPr="001B7F77">
        <w:rPr>
          <w:rFonts w:eastAsia="Calibri"/>
          <w:i/>
          <w:iCs/>
          <w:color w:val="000000"/>
          <w:szCs w:val="24"/>
          <w:u w:val="single"/>
        </w:rPr>
        <w:t xml:space="preserve">Charter </w:t>
      </w:r>
      <w:r w:rsidRPr="001B7F77">
        <w:rPr>
          <w:rFonts w:eastAsia="Calibri"/>
          <w:color w:val="000000"/>
          <w:szCs w:val="24"/>
          <w:u w:val="single"/>
        </w:rPr>
        <w:t xml:space="preserve">and Chapter 1 of Title 28 of the </w:t>
      </w:r>
      <w:r w:rsidRPr="001B7F77">
        <w:rPr>
          <w:rFonts w:eastAsia="Calibri"/>
          <w:i/>
          <w:color w:val="000000"/>
          <w:szCs w:val="24"/>
          <w:u w:val="single"/>
        </w:rPr>
        <w:t>Administrative Code</w:t>
      </w:r>
      <w:r w:rsidRPr="001B7F77">
        <w:rPr>
          <w:rFonts w:eastAsia="Calibri"/>
          <w:color w:val="000000"/>
          <w:szCs w:val="24"/>
          <w:u w:val="single"/>
        </w:rPr>
        <w:t xml:space="preserve"> for additional provisions relating to the authority of the commissioner of buildings. </w:t>
      </w:r>
    </w:p>
    <w:p w14:paraId="1C49D9F9" w14:textId="77777777" w:rsidR="001B7F77" w:rsidRPr="001B7F77" w:rsidRDefault="001B7F77" w:rsidP="001B7F77">
      <w:pPr>
        <w:widowControl w:val="0"/>
        <w:spacing w:before="120"/>
        <w:jc w:val="center"/>
        <w:outlineLvl w:val="0"/>
        <w:rPr>
          <w:rFonts w:eastAsia="Calibri"/>
          <w:b/>
          <w:bCs/>
          <w:color w:val="000000"/>
          <w:szCs w:val="24"/>
          <w:u w:val="single"/>
        </w:rPr>
      </w:pPr>
    </w:p>
    <w:p w14:paraId="583BE944" w14:textId="77777777" w:rsidR="001B7F77" w:rsidRPr="001B7F77" w:rsidRDefault="001B7F77" w:rsidP="001B7F77">
      <w:pPr>
        <w:widowControl w:val="0"/>
        <w:spacing w:before="120"/>
        <w:jc w:val="center"/>
        <w:outlineLvl w:val="0"/>
        <w:rPr>
          <w:rFonts w:eastAsia="Calibri"/>
          <w:b/>
          <w:bCs/>
          <w:color w:val="000000"/>
          <w:szCs w:val="24"/>
          <w:u w:val="single"/>
        </w:rPr>
      </w:pPr>
      <w:r w:rsidRPr="001B7F77">
        <w:rPr>
          <w:rFonts w:eastAsia="Calibri"/>
          <w:b/>
          <w:bCs/>
          <w:color w:val="000000"/>
          <w:szCs w:val="24"/>
          <w:u w:val="single"/>
        </w:rPr>
        <w:t>SECTION EBC 105</w:t>
      </w:r>
      <w:r w:rsidRPr="001B7F77">
        <w:rPr>
          <w:rFonts w:eastAsia="Calibri"/>
          <w:b/>
          <w:bCs/>
          <w:color w:val="000000"/>
          <w:szCs w:val="24"/>
          <w:u w:val="single"/>
        </w:rPr>
        <w:br/>
        <w:t>PERMITS AND WORK WITHOUT A PERMIT</w:t>
      </w:r>
    </w:p>
    <w:p w14:paraId="0D70BE4E" w14:textId="77777777" w:rsidR="001B7F77" w:rsidRPr="001B7F77" w:rsidRDefault="001B7F77" w:rsidP="001B7F77">
      <w:pPr>
        <w:widowControl w:val="0"/>
        <w:spacing w:before="120"/>
        <w:rPr>
          <w:rFonts w:eastAsia="Calibri"/>
          <w:color w:val="000000"/>
          <w:szCs w:val="24"/>
          <w:u w:val="single"/>
        </w:rPr>
      </w:pPr>
      <w:bookmarkStart w:id="13" w:name="_heading=h.2bn6wsx" w:colFirst="0" w:colLast="0"/>
      <w:bookmarkEnd w:id="13"/>
      <w:r w:rsidRPr="001B7F77">
        <w:rPr>
          <w:rFonts w:eastAsia="Calibri"/>
          <w:b/>
          <w:color w:val="000000"/>
          <w:szCs w:val="24"/>
          <w:u w:val="single"/>
        </w:rPr>
        <w:t>105.1 General</w:t>
      </w:r>
      <w:r w:rsidRPr="001B7F77">
        <w:rPr>
          <w:rFonts w:eastAsia="Calibri"/>
          <w:color w:val="000000"/>
          <w:szCs w:val="24"/>
          <w:u w:val="single"/>
        </w:rPr>
        <w:t xml:space="preserve">. Permits shall comply with this section and with Article 105 of Chapter 1 of Title 28 of the </w:t>
      </w:r>
      <w:r w:rsidRPr="001B7F77">
        <w:rPr>
          <w:rFonts w:eastAsia="Calibri"/>
          <w:i/>
          <w:color w:val="000000"/>
          <w:szCs w:val="24"/>
          <w:u w:val="single"/>
        </w:rPr>
        <w:t>Administrative Code</w:t>
      </w:r>
      <w:r w:rsidRPr="001B7F77">
        <w:rPr>
          <w:rFonts w:eastAsia="Calibri"/>
          <w:color w:val="000000"/>
          <w:szCs w:val="24"/>
          <w:u w:val="single"/>
        </w:rPr>
        <w:t>.</w:t>
      </w:r>
    </w:p>
    <w:p w14:paraId="39417FB1" w14:textId="77777777" w:rsidR="001B7F77" w:rsidRPr="001B7F77" w:rsidRDefault="001B7F77" w:rsidP="001B7F77">
      <w:pPr>
        <w:widowControl w:val="0"/>
        <w:spacing w:before="120"/>
        <w:rPr>
          <w:rFonts w:eastAsia="Calibri"/>
          <w:color w:val="000000"/>
          <w:szCs w:val="24"/>
          <w:u w:val="single"/>
        </w:rPr>
      </w:pPr>
      <w:r w:rsidRPr="001B7F77">
        <w:rPr>
          <w:rFonts w:eastAsia="Calibri"/>
          <w:b/>
          <w:bCs/>
          <w:color w:val="000000"/>
          <w:szCs w:val="24"/>
          <w:u w:val="single"/>
        </w:rPr>
        <w:t xml:space="preserve">105.2 Required. </w:t>
      </w:r>
      <w:r w:rsidRPr="001B7F77">
        <w:rPr>
          <w:rFonts w:eastAsia="Calibri"/>
          <w:color w:val="000000"/>
          <w:szCs w:val="24"/>
          <w:u w:val="single"/>
        </w:rPr>
        <w:t xml:space="preserve">Except as otherwise provided in Section 105.3, any owner or owner’s authorized agent who intends to repair, add to, alter, relocate, demolish, or change the occupancy of a building or to repair, install, add, alter, remove, convert, or replace any electrical, gas, mechanical, or plumbing system, the installation of which is regulated by this code, or to cause any such work to be performed, shall first make application to the department for construction document approval in accordance with Chapter 1 of Title 28 of the </w:t>
      </w:r>
      <w:r w:rsidRPr="001B7F77">
        <w:rPr>
          <w:rFonts w:eastAsia="Calibri"/>
          <w:i/>
          <w:iCs/>
          <w:color w:val="000000"/>
          <w:szCs w:val="24"/>
          <w:u w:val="single"/>
        </w:rPr>
        <w:t>Administrative Code</w:t>
      </w:r>
      <w:r w:rsidRPr="001B7F77">
        <w:rPr>
          <w:rFonts w:eastAsia="Calibri"/>
          <w:color w:val="000000"/>
          <w:szCs w:val="24"/>
          <w:u w:val="single"/>
        </w:rPr>
        <w:t xml:space="preserve"> and this chapter and obtain the required permit.</w:t>
      </w:r>
    </w:p>
    <w:p w14:paraId="20CC7C79" w14:textId="77777777" w:rsidR="001B7F77" w:rsidRPr="001B7F77" w:rsidRDefault="001B7F77" w:rsidP="001B7F77">
      <w:pPr>
        <w:widowControl w:val="0"/>
        <w:spacing w:before="120"/>
        <w:rPr>
          <w:rFonts w:eastAsia="Calibri"/>
          <w:color w:val="000000"/>
          <w:szCs w:val="24"/>
          <w:u w:val="single"/>
        </w:rPr>
      </w:pPr>
      <w:r w:rsidRPr="001B7F77">
        <w:rPr>
          <w:rFonts w:eastAsia="Calibri"/>
          <w:b/>
          <w:color w:val="000000"/>
          <w:szCs w:val="24"/>
          <w:u w:val="single"/>
        </w:rPr>
        <w:t xml:space="preserve">105.3 Work exempt from permit. </w:t>
      </w:r>
      <w:r w:rsidRPr="001B7F77">
        <w:rPr>
          <w:rFonts w:eastAsia="Calibri"/>
          <w:color w:val="000000"/>
          <w:szCs w:val="24"/>
          <w:u w:val="single"/>
        </w:rPr>
        <w:t xml:space="preserve">Exemptions from permit requirements of this code and as authorized in Chapter 1 of Title 28 of the </w:t>
      </w:r>
      <w:r w:rsidRPr="001B7F77">
        <w:rPr>
          <w:rFonts w:eastAsia="Calibri"/>
          <w:i/>
          <w:color w:val="000000"/>
          <w:szCs w:val="24"/>
          <w:u w:val="single"/>
        </w:rPr>
        <w:t>Administrative Code</w:t>
      </w:r>
      <w:r w:rsidRPr="001B7F77">
        <w:rPr>
          <w:rFonts w:eastAsia="Calibri"/>
          <w:color w:val="000000"/>
          <w:szCs w:val="24"/>
          <w:u w:val="single"/>
        </w:rPr>
        <w:t xml:space="preserve"> and the rules of the department shall not be deemed to grant authorization for any work to be done in any manner in violation of the provisions of this code or any other laws or rules. Permits shall not be required for the following:</w:t>
      </w:r>
    </w:p>
    <w:p w14:paraId="5FCFF942" w14:textId="77777777" w:rsidR="001B7F77" w:rsidRPr="001B7F77" w:rsidRDefault="001B7F77" w:rsidP="0001508F">
      <w:pPr>
        <w:widowControl w:val="0"/>
        <w:numPr>
          <w:ilvl w:val="0"/>
          <w:numId w:val="6"/>
        </w:numPr>
        <w:pBdr>
          <w:top w:val="nil"/>
          <w:left w:val="nil"/>
          <w:bottom w:val="nil"/>
          <w:right w:val="nil"/>
          <w:between w:val="nil"/>
        </w:pBdr>
        <w:suppressAutoHyphens/>
        <w:autoSpaceDE w:val="0"/>
        <w:autoSpaceDN w:val="0"/>
        <w:adjustRightInd w:val="0"/>
        <w:spacing w:before="120"/>
        <w:jc w:val="left"/>
        <w:rPr>
          <w:szCs w:val="24"/>
          <w:u w:val="single"/>
        </w:rPr>
      </w:pPr>
      <w:r w:rsidRPr="001B7F77">
        <w:rPr>
          <w:szCs w:val="24"/>
          <w:u w:val="single"/>
        </w:rPr>
        <w:t xml:space="preserve">Work </w:t>
      </w:r>
      <w:bookmarkStart w:id="14" w:name="_Int_Ra1ZXmQ4"/>
      <w:r w:rsidRPr="001B7F77">
        <w:rPr>
          <w:szCs w:val="24"/>
          <w:u w:val="single"/>
        </w:rPr>
        <w:t>exempt</w:t>
      </w:r>
      <w:bookmarkEnd w:id="14"/>
      <w:r w:rsidRPr="001B7F77">
        <w:rPr>
          <w:szCs w:val="24"/>
          <w:u w:val="single"/>
        </w:rPr>
        <w:t xml:space="preserve"> from permit as listed in Section 28-105.4 of the </w:t>
      </w:r>
      <w:r w:rsidRPr="001B7F77">
        <w:rPr>
          <w:i/>
          <w:szCs w:val="24"/>
          <w:u w:val="single"/>
        </w:rPr>
        <w:t>Administrative Code</w:t>
      </w:r>
      <w:r w:rsidRPr="001B7F77">
        <w:rPr>
          <w:szCs w:val="24"/>
          <w:u w:val="single"/>
        </w:rPr>
        <w:t xml:space="preserve"> and rules of the department.</w:t>
      </w:r>
    </w:p>
    <w:p w14:paraId="489A47DF" w14:textId="77777777" w:rsidR="001B7F77" w:rsidRPr="001B7F77" w:rsidRDefault="001B7F77" w:rsidP="0001508F">
      <w:pPr>
        <w:widowControl w:val="0"/>
        <w:numPr>
          <w:ilvl w:val="0"/>
          <w:numId w:val="6"/>
        </w:numPr>
        <w:pBdr>
          <w:top w:val="nil"/>
          <w:left w:val="nil"/>
          <w:bottom w:val="nil"/>
          <w:right w:val="nil"/>
          <w:between w:val="nil"/>
        </w:pBdr>
        <w:suppressAutoHyphens/>
        <w:autoSpaceDE w:val="0"/>
        <w:autoSpaceDN w:val="0"/>
        <w:adjustRightInd w:val="0"/>
        <w:spacing w:before="120"/>
        <w:jc w:val="left"/>
        <w:rPr>
          <w:szCs w:val="24"/>
          <w:u w:val="single"/>
        </w:rPr>
      </w:pPr>
      <w:r w:rsidRPr="001B7F77">
        <w:rPr>
          <w:szCs w:val="24"/>
          <w:u w:val="single"/>
        </w:rPr>
        <w:t>Minor alterations and ordinary repairs as described in Section 105.3.1 of this code.</w:t>
      </w:r>
    </w:p>
    <w:p w14:paraId="61C40941" w14:textId="77777777" w:rsidR="001B7F77" w:rsidRPr="001B7F77" w:rsidRDefault="001B7F77" w:rsidP="0001508F">
      <w:pPr>
        <w:widowControl w:val="0"/>
        <w:numPr>
          <w:ilvl w:val="0"/>
          <w:numId w:val="6"/>
        </w:numPr>
        <w:pBdr>
          <w:top w:val="nil"/>
          <w:left w:val="nil"/>
          <w:bottom w:val="nil"/>
          <w:right w:val="nil"/>
          <w:between w:val="nil"/>
        </w:pBdr>
        <w:suppressAutoHyphens/>
        <w:autoSpaceDE w:val="0"/>
        <w:autoSpaceDN w:val="0"/>
        <w:adjustRightInd w:val="0"/>
        <w:spacing w:before="120"/>
        <w:jc w:val="left"/>
        <w:rPr>
          <w:szCs w:val="24"/>
          <w:u w:val="single"/>
        </w:rPr>
      </w:pPr>
      <w:r w:rsidRPr="001B7F77">
        <w:rPr>
          <w:szCs w:val="24"/>
          <w:u w:val="single"/>
        </w:rPr>
        <w:t>Ordinary plumbing work as described in Section 105.3.1 of this code.</w:t>
      </w:r>
      <w:bookmarkStart w:id="15" w:name="_heading=h.3as4poj" w:colFirst="0" w:colLast="0"/>
      <w:bookmarkEnd w:id="15"/>
    </w:p>
    <w:p w14:paraId="38A3FB40" w14:textId="77777777" w:rsidR="001B7F77" w:rsidRPr="001B7F77" w:rsidRDefault="001B7F77" w:rsidP="001B7F77">
      <w:pPr>
        <w:widowControl w:val="0"/>
        <w:spacing w:before="120"/>
        <w:ind w:left="360"/>
        <w:rPr>
          <w:rFonts w:eastAsia="Calibri"/>
          <w:b/>
          <w:bCs/>
          <w:color w:val="000000"/>
          <w:szCs w:val="24"/>
          <w:u w:val="single"/>
        </w:rPr>
      </w:pPr>
      <w:bookmarkStart w:id="16" w:name="_heading=h.1pxezwc"/>
      <w:bookmarkEnd w:id="16"/>
      <w:r w:rsidRPr="001B7F77">
        <w:rPr>
          <w:rFonts w:eastAsia="Calibri"/>
          <w:b/>
          <w:bCs/>
          <w:color w:val="000000"/>
          <w:szCs w:val="24"/>
          <w:u w:val="single"/>
        </w:rPr>
        <w:t>105.3.1 Minor alterations, ordinary repairs and ordinary plumbing work.</w:t>
      </w:r>
      <w:r w:rsidRPr="001B7F77">
        <w:rPr>
          <w:rFonts w:eastAsia="Calibri"/>
          <w:color w:val="000000"/>
          <w:szCs w:val="24"/>
          <w:u w:val="single"/>
        </w:rPr>
        <w:t xml:space="preserve"> A permit shall not be required for minor alterations, ordinary repairs and ordinary plumbing work, as such terms are defined in Section 202.</w:t>
      </w:r>
    </w:p>
    <w:p w14:paraId="05EA8AAA" w14:textId="77777777" w:rsidR="001B7F77" w:rsidRPr="001B7F77" w:rsidRDefault="001B7F77" w:rsidP="001B7F77">
      <w:pPr>
        <w:spacing w:before="120"/>
        <w:ind w:left="720"/>
        <w:rPr>
          <w:rFonts w:eastAsia="Calibri"/>
          <w:color w:val="000000"/>
          <w:szCs w:val="24"/>
          <w:u w:val="single"/>
        </w:rPr>
      </w:pPr>
      <w:r w:rsidRPr="001B7F77">
        <w:rPr>
          <w:rFonts w:eastAsia="Calibri" w:cs="Arial"/>
          <w:b/>
          <w:bCs/>
          <w:color w:val="000000"/>
          <w:szCs w:val="24"/>
          <w:u w:val="single"/>
        </w:rPr>
        <w:t>105.3.1.1</w:t>
      </w:r>
      <w:r w:rsidRPr="001B7F77">
        <w:rPr>
          <w:rFonts w:eastAsia="Calibri" w:cs="Arial"/>
          <w:color w:val="000000"/>
          <w:szCs w:val="24"/>
          <w:u w:val="single"/>
        </w:rPr>
        <w:t xml:space="preserve"> </w:t>
      </w:r>
      <w:r w:rsidRPr="001B7F77">
        <w:rPr>
          <w:rFonts w:eastAsia="Calibri"/>
          <w:b/>
          <w:color w:val="000000"/>
          <w:szCs w:val="24"/>
          <w:u w:val="single"/>
        </w:rPr>
        <w:t xml:space="preserve">Work not constituting minor alterations or ordinary repairs. </w:t>
      </w:r>
      <w:r w:rsidRPr="001B7F77">
        <w:rPr>
          <w:rFonts w:eastAsia="Calibri"/>
          <w:color w:val="000000"/>
          <w:szCs w:val="24"/>
          <w:u w:val="single"/>
        </w:rPr>
        <w:t>Minor alterations or ordinary repairs shall not include:</w:t>
      </w:r>
    </w:p>
    <w:p w14:paraId="11D64905" w14:textId="77777777" w:rsidR="001B7F77" w:rsidRPr="001B7F77" w:rsidRDefault="001B7F77" w:rsidP="001B7F77">
      <w:pPr>
        <w:suppressAutoHyphens/>
        <w:spacing w:before="120"/>
        <w:ind w:left="1440" w:right="144" w:hanging="360"/>
        <w:rPr>
          <w:szCs w:val="24"/>
          <w:u w:val="single"/>
        </w:rPr>
      </w:pPr>
      <w:r w:rsidRPr="001B7F77">
        <w:rPr>
          <w:szCs w:val="24"/>
          <w:u w:val="single"/>
        </w:rPr>
        <w:t>1.</w:t>
      </w:r>
      <w:r w:rsidRPr="001B7F77">
        <w:rPr>
          <w:szCs w:val="24"/>
          <w:u w:val="single"/>
        </w:rPr>
        <w:tab/>
        <w:t>The removal or cutting away of any load bearing or required fire-rated wall, fire door, floor or roof construction, or any portion thereof;</w:t>
      </w:r>
    </w:p>
    <w:p w14:paraId="64BBED33" w14:textId="77777777" w:rsidR="001B7F77" w:rsidRPr="001B7F77" w:rsidRDefault="001B7F77" w:rsidP="001B7F77">
      <w:pPr>
        <w:suppressAutoHyphens/>
        <w:spacing w:before="120"/>
        <w:ind w:left="1440" w:right="144" w:hanging="360"/>
        <w:jc w:val="left"/>
        <w:rPr>
          <w:szCs w:val="24"/>
          <w:u w:val="single"/>
        </w:rPr>
      </w:pPr>
      <w:r w:rsidRPr="001B7F77">
        <w:rPr>
          <w:szCs w:val="24"/>
          <w:u w:val="single"/>
        </w:rPr>
        <w:t>2.</w:t>
      </w:r>
      <w:r w:rsidRPr="001B7F77">
        <w:rPr>
          <w:szCs w:val="24"/>
          <w:u w:val="single"/>
        </w:rPr>
        <w:tab/>
        <w:t>The removal, cutting or modification of any beams or structural supports;</w:t>
      </w:r>
    </w:p>
    <w:p w14:paraId="1887BA10" w14:textId="77777777" w:rsidR="001B7F77" w:rsidRPr="001B7F77" w:rsidRDefault="001B7F77" w:rsidP="001B7F77">
      <w:pPr>
        <w:suppressAutoHyphens/>
        <w:spacing w:before="120"/>
        <w:ind w:left="1440" w:right="144" w:hanging="360"/>
        <w:jc w:val="left"/>
        <w:rPr>
          <w:szCs w:val="24"/>
          <w:u w:val="single"/>
        </w:rPr>
      </w:pPr>
      <w:r w:rsidRPr="001B7F77">
        <w:rPr>
          <w:szCs w:val="24"/>
          <w:u w:val="single"/>
        </w:rPr>
        <w:t>3.</w:t>
      </w:r>
      <w:r w:rsidRPr="001B7F77">
        <w:rPr>
          <w:szCs w:val="24"/>
          <w:u w:val="single"/>
        </w:rPr>
        <w:tab/>
        <w:t>The removal, change or closing of any required exit;</w:t>
      </w:r>
    </w:p>
    <w:p w14:paraId="29F9A6F2" w14:textId="77777777" w:rsidR="001B7F77" w:rsidRPr="001B7F77" w:rsidRDefault="001B7F77" w:rsidP="001B7F77">
      <w:pPr>
        <w:suppressAutoHyphens/>
        <w:spacing w:before="120"/>
        <w:ind w:left="1440" w:right="144" w:hanging="360"/>
        <w:rPr>
          <w:szCs w:val="24"/>
          <w:u w:val="single"/>
        </w:rPr>
      </w:pPr>
      <w:r w:rsidRPr="001B7F77">
        <w:rPr>
          <w:szCs w:val="24"/>
          <w:u w:val="single"/>
        </w:rPr>
        <w:t>4.</w:t>
      </w:r>
      <w:r w:rsidRPr="001B7F77">
        <w:rPr>
          <w:szCs w:val="24"/>
          <w:u w:val="single"/>
        </w:rPr>
        <w:tab/>
        <w:t>The addition, rearrangement, relocation, removal or replacement of any parts of the building affecting loading or exit requirements, or light, heat, ventilation, or elevator requirements or accessibility requirements, or any fire suppression or fire protection system;</w:t>
      </w:r>
    </w:p>
    <w:p w14:paraId="69864F0E" w14:textId="77777777" w:rsidR="001B7F77" w:rsidRPr="001B7F77" w:rsidRDefault="001B7F77" w:rsidP="001B7F77">
      <w:pPr>
        <w:suppressAutoHyphens/>
        <w:spacing w:before="120"/>
        <w:ind w:left="1440" w:right="144" w:hanging="360"/>
        <w:rPr>
          <w:szCs w:val="24"/>
          <w:u w:val="single"/>
        </w:rPr>
      </w:pPr>
      <w:r w:rsidRPr="001B7F77">
        <w:rPr>
          <w:szCs w:val="24"/>
          <w:u w:val="single"/>
        </w:rPr>
        <w:t>5.</w:t>
      </w:r>
      <w:r w:rsidRPr="001B7F77">
        <w:rPr>
          <w:szCs w:val="24"/>
          <w:u w:val="single"/>
        </w:rPr>
        <w:tab/>
        <w:t>Additions to, alterations of, or rearrangement, relocation, replacement, repair or removal of any portion of a standpipe or sprinkler system, water distribution system, house sewer, private sewer, or drainage system, including leaders, or any soil, waste or vent pipe, or any gas distribution system;</w:t>
      </w:r>
    </w:p>
    <w:p w14:paraId="6093AE51" w14:textId="77777777" w:rsidR="001B7F77" w:rsidRPr="001B7F77" w:rsidRDefault="001B7F77" w:rsidP="001B7F77">
      <w:pPr>
        <w:suppressAutoHyphens/>
        <w:spacing w:before="120"/>
        <w:ind w:left="1440" w:right="144" w:hanging="360"/>
        <w:rPr>
          <w:szCs w:val="24"/>
          <w:u w:val="single"/>
        </w:rPr>
      </w:pPr>
      <w:r w:rsidRPr="001B7F77">
        <w:rPr>
          <w:szCs w:val="24"/>
          <w:u w:val="single"/>
        </w:rPr>
        <w:t>6.</w:t>
      </w:r>
      <w:r w:rsidRPr="001B7F77">
        <w:rPr>
          <w:szCs w:val="24"/>
          <w:u w:val="single"/>
        </w:rPr>
        <w:tab/>
        <w:t>The alteration or repair of a sign for which a permit is required; or</w:t>
      </w:r>
    </w:p>
    <w:p w14:paraId="1C93384A" w14:textId="77777777" w:rsidR="001B7F77" w:rsidRPr="001B7F77" w:rsidRDefault="001B7F77" w:rsidP="001B7F77">
      <w:pPr>
        <w:keepNext/>
        <w:spacing w:before="120"/>
        <w:ind w:left="1440" w:hanging="360"/>
        <w:jc w:val="left"/>
        <w:rPr>
          <w:rFonts w:eastAsia="Calibri"/>
          <w:bCs/>
          <w:szCs w:val="24"/>
          <w:u w:val="single"/>
        </w:rPr>
      </w:pPr>
      <w:r w:rsidRPr="001B7F77">
        <w:rPr>
          <w:rFonts w:eastAsia="Calibri"/>
          <w:bCs/>
          <w:szCs w:val="24"/>
          <w:u w:val="single"/>
        </w:rPr>
        <w:t>7.</w:t>
      </w:r>
      <w:r w:rsidRPr="001B7F77">
        <w:rPr>
          <w:rFonts w:eastAsia="Calibri"/>
          <w:bCs/>
          <w:color w:val="FF0000"/>
          <w:szCs w:val="24"/>
          <w:u w:val="single"/>
        </w:rPr>
        <w:tab/>
      </w:r>
      <w:r w:rsidRPr="001B7F77">
        <w:rPr>
          <w:rFonts w:eastAsia="Calibri"/>
          <w:bCs/>
          <w:szCs w:val="24"/>
          <w:u w:val="single"/>
        </w:rPr>
        <w:t>Any other work affecting health or the fire or structural safety of the building or the safe use and operation of the service equipment therein.</w:t>
      </w:r>
    </w:p>
    <w:p w14:paraId="56E320B6" w14:textId="77777777" w:rsidR="001B7F77" w:rsidRPr="001B7F77" w:rsidRDefault="001B7F77" w:rsidP="001B7F77">
      <w:pPr>
        <w:spacing w:before="120"/>
        <w:ind w:left="720"/>
        <w:rPr>
          <w:rFonts w:eastAsia="Calibri"/>
          <w:b/>
          <w:color w:val="000000"/>
          <w:szCs w:val="24"/>
          <w:u w:val="single"/>
        </w:rPr>
      </w:pPr>
      <w:r w:rsidRPr="001B7F77">
        <w:rPr>
          <w:rFonts w:eastAsia="Calibri"/>
          <w:b/>
          <w:bCs/>
          <w:szCs w:val="24"/>
          <w:u w:val="single"/>
        </w:rPr>
        <w:t xml:space="preserve">105.3.1.2 Ordinary plumbing work. </w:t>
      </w:r>
      <w:r w:rsidRPr="001B7F77">
        <w:rPr>
          <w:color w:val="000000"/>
          <w:szCs w:val="24"/>
          <w:u w:val="single"/>
        </w:rPr>
        <w:t>Ordinary plumbing work is not required to be performed with a permit, provided that the licensed plumber performs such work in accordance with this code and all applicable laws and rules.</w:t>
      </w:r>
      <w:r w:rsidRPr="001B7F77">
        <w:rPr>
          <w:rFonts w:eastAsia="Calibri"/>
          <w:b/>
          <w:color w:val="000000"/>
          <w:szCs w:val="24"/>
          <w:u w:val="single"/>
        </w:rPr>
        <w:t xml:space="preserve"> </w:t>
      </w:r>
    </w:p>
    <w:p w14:paraId="626AB7F0" w14:textId="77777777" w:rsidR="001B7F77" w:rsidRPr="001B7F77" w:rsidRDefault="001B7F77" w:rsidP="001B7F77">
      <w:pPr>
        <w:numPr>
          <w:ilvl w:val="1"/>
          <w:numId w:val="0"/>
        </w:numPr>
        <w:spacing w:before="120"/>
        <w:ind w:left="1080"/>
        <w:rPr>
          <w:rFonts w:eastAsia="Yu Gothic Light"/>
          <w:color w:val="595959"/>
          <w:szCs w:val="24"/>
          <w:u w:val="single"/>
        </w:rPr>
      </w:pPr>
      <w:r w:rsidRPr="001B7F77">
        <w:rPr>
          <w:b/>
          <w:bCs/>
          <w:color w:val="000000"/>
          <w:szCs w:val="24"/>
          <w:u w:val="single"/>
        </w:rPr>
        <w:t xml:space="preserve">105.3.1.2.1 Documentation of ordinary plumbing work. </w:t>
      </w:r>
      <w:r w:rsidRPr="001B7F77">
        <w:rPr>
          <w:color w:val="000000"/>
          <w:szCs w:val="24"/>
          <w:u w:val="single"/>
        </w:rPr>
        <w:t>The licensed plumber shall record the block, lot and address of each job, a description of the work performed at each address, and the location in each building where the ordinary plumbing work was performed. The licensed master plumber shall furnish a copy of such record to the building owner upon the completion of work. The licensed master plumber shall submit a report of completed ordinary plumbing work items in accordance with the requirements of the Department.</w:t>
      </w:r>
    </w:p>
    <w:p w14:paraId="331F5984" w14:textId="77777777" w:rsidR="001B7F77" w:rsidRPr="001B7F77" w:rsidRDefault="001B7F77" w:rsidP="001B7F77">
      <w:pPr>
        <w:suppressAutoHyphens/>
        <w:spacing w:before="120"/>
        <w:ind w:left="1080"/>
        <w:jc w:val="left"/>
        <w:rPr>
          <w:szCs w:val="24"/>
          <w:u w:val="single"/>
        </w:rPr>
      </w:pPr>
      <w:r w:rsidRPr="001B7F77">
        <w:rPr>
          <w:b/>
          <w:bCs/>
          <w:szCs w:val="24"/>
          <w:u w:val="single"/>
        </w:rPr>
        <w:t xml:space="preserve">105.3.1.2.2 Category 1 ordinary plumbing work. </w:t>
      </w:r>
      <w:r w:rsidRPr="001B7F77">
        <w:rPr>
          <w:szCs w:val="24"/>
          <w:u w:val="single"/>
        </w:rPr>
        <w:t>Category 1 ordinary plumbing work shall be performed in accordance with this code and shall be limited to the following items:</w:t>
      </w:r>
    </w:p>
    <w:p w14:paraId="54B9E2EF" w14:textId="77777777" w:rsidR="001B7F77" w:rsidRPr="001B7F77" w:rsidRDefault="001B7F77" w:rsidP="001B7F77">
      <w:pPr>
        <w:suppressAutoHyphens/>
        <w:spacing w:before="120"/>
        <w:ind w:left="1800" w:hanging="360"/>
        <w:rPr>
          <w:szCs w:val="24"/>
          <w:u w:val="single"/>
        </w:rPr>
      </w:pPr>
      <w:r w:rsidRPr="001B7F77">
        <w:rPr>
          <w:szCs w:val="24"/>
          <w:u w:val="single"/>
        </w:rPr>
        <w:t>1.</w:t>
      </w:r>
      <w:r w:rsidRPr="001B7F77">
        <w:rPr>
          <w:szCs w:val="24"/>
          <w:u w:val="single"/>
        </w:rPr>
        <w:tab/>
        <w:t>The relocation of up to two plumbing fixtures within the same room to a maximum of 10 feet (3048 mm) distant from the original location, and the replacement or alteration of related supply, waste, and vent piping associated with the fixture relocation, except in health care facilities.</w:t>
      </w:r>
    </w:p>
    <w:p w14:paraId="7A43DDB0" w14:textId="77777777" w:rsidR="001B7F77" w:rsidRPr="001B7F77" w:rsidRDefault="001B7F77" w:rsidP="001B7F77">
      <w:pPr>
        <w:suppressAutoHyphens/>
        <w:spacing w:before="120"/>
        <w:ind w:left="1800" w:hanging="360"/>
        <w:rPr>
          <w:szCs w:val="24"/>
          <w:u w:val="single"/>
        </w:rPr>
      </w:pPr>
      <w:r w:rsidRPr="001B7F77">
        <w:rPr>
          <w:szCs w:val="24"/>
          <w:u w:val="single"/>
        </w:rPr>
        <w:t>2.</w:t>
      </w:r>
      <w:r w:rsidRPr="001B7F77">
        <w:rPr>
          <w:szCs w:val="24"/>
          <w:u w:val="single"/>
        </w:rPr>
        <w:tab/>
        <w:t>The installation, replacement or repair of a food waste grinder (food waste disposal); dishwasher; instant hot water dispenser; icemaker; coffee machine; secondary back flow preventer; and the replacement or repair of a sump pump.</w:t>
      </w:r>
    </w:p>
    <w:p w14:paraId="189C943D" w14:textId="77777777" w:rsidR="001B7F77" w:rsidRPr="001B7F77" w:rsidRDefault="001B7F77" w:rsidP="001B7F77">
      <w:pPr>
        <w:suppressAutoHyphens/>
        <w:spacing w:before="120"/>
        <w:ind w:left="1800" w:hanging="360"/>
        <w:rPr>
          <w:szCs w:val="24"/>
          <w:u w:val="single"/>
        </w:rPr>
      </w:pPr>
      <w:r w:rsidRPr="001B7F77">
        <w:rPr>
          <w:szCs w:val="24"/>
          <w:u w:val="single"/>
        </w:rPr>
        <w:t xml:space="preserve">3. </w:t>
      </w:r>
      <w:r w:rsidRPr="001B7F77">
        <w:rPr>
          <w:szCs w:val="24"/>
          <w:u w:val="single"/>
        </w:rPr>
        <w:tab/>
        <w:t>The repair or replacement of a plumbing fixture; faucet or fixture fitting from the exposed stop valve to the inlet side of a trap not constituting an ordinary repair.</w:t>
      </w:r>
    </w:p>
    <w:p w14:paraId="49EF9FD5" w14:textId="77777777" w:rsidR="001B7F77" w:rsidRPr="001B7F77" w:rsidRDefault="001B7F77" w:rsidP="001B7F77">
      <w:pPr>
        <w:suppressAutoHyphens/>
        <w:spacing w:before="120"/>
        <w:ind w:left="1800" w:hanging="360"/>
        <w:rPr>
          <w:szCs w:val="24"/>
          <w:u w:val="single"/>
        </w:rPr>
      </w:pPr>
      <w:r w:rsidRPr="001B7F77">
        <w:rPr>
          <w:szCs w:val="24"/>
          <w:u w:val="single"/>
        </w:rPr>
        <w:t>4.</w:t>
      </w:r>
      <w:r w:rsidRPr="001B7F77">
        <w:rPr>
          <w:szCs w:val="24"/>
          <w:u w:val="single"/>
        </w:rPr>
        <w:tab/>
        <w:t>The repair of components of a plumbing appliance or plumbing appurtenance.</w:t>
      </w:r>
    </w:p>
    <w:p w14:paraId="08D386A6" w14:textId="77777777" w:rsidR="001B7F77" w:rsidRPr="001B7F77" w:rsidRDefault="001B7F77" w:rsidP="001B7F77">
      <w:pPr>
        <w:suppressAutoHyphens/>
        <w:spacing w:before="120"/>
        <w:ind w:left="1800" w:hanging="360"/>
        <w:rPr>
          <w:szCs w:val="24"/>
          <w:u w:val="single"/>
        </w:rPr>
      </w:pPr>
      <w:r w:rsidRPr="001B7F77">
        <w:rPr>
          <w:szCs w:val="24"/>
          <w:u w:val="single"/>
        </w:rPr>
        <w:t>5.</w:t>
      </w:r>
      <w:r w:rsidRPr="001B7F77">
        <w:rPr>
          <w:szCs w:val="24"/>
          <w:u w:val="single"/>
        </w:rPr>
        <w:tab/>
        <w:t>The replacement of a plumbing appurtenance.</w:t>
      </w:r>
    </w:p>
    <w:p w14:paraId="35E140BB" w14:textId="77777777" w:rsidR="001B7F77" w:rsidRPr="001B7F77" w:rsidRDefault="001B7F77" w:rsidP="001B7F77">
      <w:pPr>
        <w:suppressAutoHyphens/>
        <w:spacing w:before="120"/>
        <w:ind w:left="1800" w:hanging="360"/>
        <w:rPr>
          <w:szCs w:val="24"/>
          <w:u w:val="single"/>
        </w:rPr>
      </w:pPr>
      <w:r w:rsidRPr="001B7F77">
        <w:rPr>
          <w:szCs w:val="24"/>
          <w:u w:val="single"/>
        </w:rPr>
        <w:t>6.</w:t>
      </w:r>
      <w:r w:rsidRPr="001B7F77">
        <w:rPr>
          <w:szCs w:val="24"/>
          <w:u w:val="single"/>
        </w:rPr>
        <w:tab/>
        <w:t>The repair or replacement of plumbing piping, except gas piping, not longer than 25 feet (7620 mm), or connected piping previously repaired or replaced under this provision.</w:t>
      </w:r>
    </w:p>
    <w:p w14:paraId="1D7D2924" w14:textId="77777777" w:rsidR="001B7F77" w:rsidRPr="001B7F77" w:rsidRDefault="001B7F77" w:rsidP="001B7F77">
      <w:pPr>
        <w:suppressAutoHyphens/>
        <w:spacing w:before="120"/>
        <w:ind w:left="1620" w:hanging="180"/>
        <w:rPr>
          <w:szCs w:val="24"/>
          <w:u w:val="single"/>
        </w:rPr>
      </w:pPr>
      <w:r w:rsidRPr="001B7F77">
        <w:rPr>
          <w:szCs w:val="24"/>
          <w:u w:val="single"/>
        </w:rPr>
        <w:t>7. The repair or replacement of plumbing branch piping except gas piping, serving the dwelling unit and including the replacement of fixtures, limited to two bathrooms and one kitchen per dwelling unit.</w:t>
      </w:r>
    </w:p>
    <w:p w14:paraId="65A0106F" w14:textId="77777777" w:rsidR="001B7F77" w:rsidRPr="001B7F77" w:rsidRDefault="001B7F77" w:rsidP="001B7F77">
      <w:pPr>
        <w:suppressAutoHyphens/>
        <w:spacing w:before="120"/>
        <w:ind w:left="1080"/>
        <w:rPr>
          <w:szCs w:val="24"/>
          <w:u w:val="single"/>
        </w:rPr>
      </w:pPr>
      <w:r w:rsidRPr="001B7F77">
        <w:rPr>
          <w:b/>
          <w:bCs/>
          <w:szCs w:val="24"/>
          <w:u w:val="single"/>
        </w:rPr>
        <w:t xml:space="preserve">105.3.1.2.3 Category 2 ordinary plumbing work. </w:t>
      </w:r>
      <w:r w:rsidRPr="001B7F77">
        <w:rPr>
          <w:szCs w:val="24"/>
          <w:u w:val="single"/>
        </w:rPr>
        <w:t xml:space="preserve">Category 2 ordinary plumbing work shall be performed in accordance with this code and the </w:t>
      </w:r>
      <w:r w:rsidRPr="001B7F77">
        <w:rPr>
          <w:i/>
          <w:szCs w:val="24"/>
          <w:u w:val="single"/>
        </w:rPr>
        <w:t>New York City Fuel Gas Code</w:t>
      </w:r>
      <w:r w:rsidRPr="001B7F77">
        <w:rPr>
          <w:szCs w:val="24"/>
          <w:u w:val="single"/>
        </w:rPr>
        <w:t>. Work shall not include nor extend beyond the existing appliance gas cock or appliance valve. Prior to performing any of the described work, the plumber shall be responsible for verifying that the existing gas cock or appliance valve is accessible, in good working condition with no noticeable corrosion or deterioration, and in the closed off position. Where a replacement appliance is connected to a chimney, the plumber shall inspect the chimney and verify that it is in good operational condition. The replacement of any appliance must be in accordance with the manufacturer’s instructions and all applicable listings. After such replacement, the plumber shall re-open the existing gas cock or appliance valve and perform a leak check on all newly made gas piping and tubing connections by means of a combustible gas indicator or a noncorrosive leak detection fluid. Category 2 ordinary plumbing work shall be limited to the replacement of the following items:</w:t>
      </w:r>
    </w:p>
    <w:p w14:paraId="48A361AB" w14:textId="77777777" w:rsidR="001B7F77" w:rsidRPr="001B7F77" w:rsidRDefault="001B7F77" w:rsidP="001B7F77">
      <w:pPr>
        <w:suppressAutoHyphens/>
        <w:spacing w:before="120"/>
        <w:ind w:left="1800" w:hanging="360"/>
        <w:rPr>
          <w:szCs w:val="24"/>
          <w:u w:val="single"/>
        </w:rPr>
      </w:pPr>
      <w:r w:rsidRPr="001B7F77">
        <w:rPr>
          <w:szCs w:val="24"/>
          <w:u w:val="single"/>
        </w:rPr>
        <w:t>1.</w:t>
      </w:r>
      <w:r w:rsidRPr="001B7F77">
        <w:rPr>
          <w:szCs w:val="24"/>
          <w:u w:val="single"/>
        </w:rPr>
        <w:tab/>
        <w:t>In residential buildings occupied by five families or fewer, the replacement of a gas water heater or a gas fired boiler with a capacity of 350,000 BTU or less.</w:t>
      </w:r>
    </w:p>
    <w:p w14:paraId="3EE6B3D0" w14:textId="77777777" w:rsidR="001B7F77" w:rsidRPr="001B7F77" w:rsidRDefault="001B7F77" w:rsidP="001B7F77">
      <w:pPr>
        <w:suppressAutoHyphens/>
        <w:spacing w:before="120"/>
        <w:ind w:left="1800" w:hanging="360"/>
        <w:rPr>
          <w:szCs w:val="24"/>
          <w:u w:val="single"/>
        </w:rPr>
      </w:pPr>
      <w:r w:rsidRPr="001B7F77">
        <w:rPr>
          <w:szCs w:val="24"/>
          <w:u w:val="single"/>
        </w:rPr>
        <w:t>2.</w:t>
      </w:r>
      <w:r w:rsidRPr="001B7F77">
        <w:rPr>
          <w:szCs w:val="24"/>
          <w:u w:val="single"/>
        </w:rPr>
        <w:tab/>
        <w:t>In buildings classified in occupancy group R-3, the replacement of a gas furnace with a capacity of 350,000 BTU or less.</w:t>
      </w:r>
    </w:p>
    <w:p w14:paraId="338D1279" w14:textId="77777777" w:rsidR="001B7F77" w:rsidRPr="001B7F77" w:rsidRDefault="001B7F77" w:rsidP="001B7F77">
      <w:pPr>
        <w:suppressAutoHyphens/>
        <w:spacing w:before="120"/>
        <w:ind w:left="1800" w:hanging="360"/>
        <w:rPr>
          <w:szCs w:val="24"/>
          <w:u w:val="single"/>
        </w:rPr>
      </w:pPr>
      <w:r w:rsidRPr="001B7F77">
        <w:rPr>
          <w:szCs w:val="24"/>
          <w:u w:val="single"/>
        </w:rPr>
        <w:t>3.</w:t>
      </w:r>
      <w:r w:rsidRPr="001B7F77">
        <w:rPr>
          <w:szCs w:val="24"/>
          <w:u w:val="single"/>
        </w:rPr>
        <w:tab/>
        <w:t>The replacement of gas-burning domestic appliances limited to ranges, ovens, stoves, barbecues, and clothes dryers.</w:t>
      </w:r>
    </w:p>
    <w:p w14:paraId="460A729D" w14:textId="77777777" w:rsidR="001B7F77" w:rsidRPr="001B7F77" w:rsidRDefault="001B7F77" w:rsidP="001B7F77">
      <w:pPr>
        <w:suppressAutoHyphens/>
        <w:spacing w:before="120"/>
        <w:ind w:left="1800" w:hanging="360"/>
        <w:rPr>
          <w:szCs w:val="24"/>
          <w:u w:val="single"/>
        </w:rPr>
      </w:pPr>
      <w:r w:rsidRPr="001B7F77">
        <w:rPr>
          <w:szCs w:val="24"/>
          <w:u w:val="single"/>
        </w:rPr>
        <w:t>4.</w:t>
      </w:r>
      <w:r w:rsidRPr="001B7F77">
        <w:rPr>
          <w:szCs w:val="24"/>
          <w:u w:val="single"/>
        </w:rPr>
        <w:tab/>
        <w:t>The replacement of an appliance connector serving a domestic range, oven, stove, barbecue, or clothes dryer.</w:t>
      </w:r>
    </w:p>
    <w:p w14:paraId="19DBD5E4" w14:textId="77777777" w:rsidR="001B7F77" w:rsidRPr="001B7F77" w:rsidRDefault="001B7F77" w:rsidP="001B7F77">
      <w:pPr>
        <w:spacing w:before="120"/>
        <w:ind w:left="720"/>
        <w:rPr>
          <w:rFonts w:eastAsia="Calibri"/>
          <w:color w:val="000000"/>
          <w:szCs w:val="24"/>
          <w:u w:val="single"/>
        </w:rPr>
      </w:pPr>
      <w:r w:rsidRPr="001B7F77">
        <w:rPr>
          <w:rFonts w:eastAsia="Calibri"/>
          <w:b/>
          <w:color w:val="000000"/>
          <w:szCs w:val="24"/>
          <w:u w:val="single"/>
        </w:rPr>
        <w:t>105.3.1.3 Repairs to fire alarm systems.</w:t>
      </w:r>
      <w:r w:rsidRPr="001B7F77">
        <w:rPr>
          <w:rFonts w:eastAsia="Calibri"/>
          <w:color w:val="000000"/>
          <w:szCs w:val="24"/>
          <w:u w:val="single"/>
        </w:rPr>
        <w:t xml:space="preserve"> Work constituting a repair to a fire alarm system that does not require a permit shall be performed in accordance with rules of the department.</w:t>
      </w:r>
    </w:p>
    <w:p w14:paraId="21A9520A" w14:textId="77777777" w:rsidR="001B7F77" w:rsidRPr="001B7F77" w:rsidRDefault="001B7F77" w:rsidP="001B7F77">
      <w:pPr>
        <w:spacing w:before="120"/>
        <w:ind w:left="720"/>
        <w:rPr>
          <w:rFonts w:eastAsia="Calibri"/>
          <w:color w:val="000000"/>
          <w:szCs w:val="24"/>
          <w:u w:val="single"/>
        </w:rPr>
      </w:pPr>
      <w:r w:rsidRPr="001B7F77">
        <w:rPr>
          <w:rFonts w:eastAsia="Calibri"/>
          <w:b/>
          <w:color w:val="000000"/>
          <w:szCs w:val="24"/>
          <w:u w:val="single"/>
        </w:rPr>
        <w:t>105.3.1.4 Repairs to elevators and conveying systems.</w:t>
      </w:r>
      <w:r w:rsidRPr="001B7F77">
        <w:rPr>
          <w:rFonts w:eastAsia="Calibri"/>
          <w:color w:val="000000"/>
          <w:szCs w:val="24"/>
          <w:u w:val="single"/>
        </w:rPr>
        <w:t xml:space="preserve"> Work constituting a repair to elevator or conveying system shall be performed in accordance with rules of the department.</w:t>
      </w:r>
    </w:p>
    <w:p w14:paraId="77BD04AC" w14:textId="77777777" w:rsidR="001B7F77" w:rsidRPr="001B7F77" w:rsidRDefault="001B7F77" w:rsidP="001B7F77">
      <w:pPr>
        <w:spacing w:before="120"/>
        <w:ind w:left="360"/>
        <w:rPr>
          <w:rFonts w:eastAsia="Calibri"/>
          <w:color w:val="000000"/>
          <w:szCs w:val="24"/>
          <w:u w:val="single"/>
        </w:rPr>
      </w:pPr>
      <w:r w:rsidRPr="001B7F77">
        <w:rPr>
          <w:rFonts w:eastAsia="Calibri"/>
          <w:b/>
          <w:bCs/>
          <w:szCs w:val="24"/>
          <w:u w:val="single"/>
        </w:rPr>
        <w:t xml:space="preserve">105.3.2 </w:t>
      </w:r>
      <w:r w:rsidRPr="001B7F77">
        <w:rPr>
          <w:rFonts w:eastAsia="Calibri"/>
          <w:b/>
          <w:szCs w:val="24"/>
          <w:u w:val="single"/>
        </w:rPr>
        <w:t>Compliance</w:t>
      </w:r>
      <w:r w:rsidRPr="001B7F77">
        <w:rPr>
          <w:rFonts w:eastAsia="Calibri"/>
          <w:b/>
          <w:bCs/>
          <w:color w:val="000000"/>
          <w:szCs w:val="24"/>
          <w:u w:val="single"/>
        </w:rPr>
        <w:t>.</w:t>
      </w:r>
      <w:r w:rsidRPr="001B7F77">
        <w:rPr>
          <w:rFonts w:eastAsia="Calibri"/>
          <w:color w:val="000000"/>
          <w:szCs w:val="24"/>
          <w:u w:val="single"/>
        </w:rPr>
        <w:t xml:space="preserve"> No work shall make a building less compliant with this code and the </w:t>
      </w:r>
      <w:r w:rsidRPr="001B7F77">
        <w:rPr>
          <w:rFonts w:eastAsia="Calibri"/>
          <w:i/>
          <w:iCs/>
          <w:color w:val="000000"/>
          <w:szCs w:val="24"/>
          <w:u w:val="single"/>
        </w:rPr>
        <w:t>New York City Construction Codes, Energy Code, Electrical Code</w:t>
      </w:r>
      <w:r w:rsidRPr="001B7F77">
        <w:rPr>
          <w:rFonts w:eastAsia="Calibri"/>
          <w:color w:val="000000"/>
          <w:szCs w:val="24"/>
          <w:u w:val="single"/>
        </w:rPr>
        <w:t xml:space="preserve"> and any other applicable laws, rules, and regulations than it was before the work was undertaken, reduce the structural, fire and life safety of the condition impacted, or create a new structural, fire or life safety hazard; otherwise, an application for a work permit shall be submitted to the Department. </w:t>
      </w:r>
    </w:p>
    <w:p w14:paraId="29693FC9" w14:textId="77777777" w:rsidR="001B7F77" w:rsidRPr="001B7F77" w:rsidRDefault="001B7F77" w:rsidP="001B7F77">
      <w:pPr>
        <w:spacing w:before="120"/>
        <w:ind w:left="720"/>
        <w:rPr>
          <w:rFonts w:eastAsia="Calibri"/>
          <w:color w:val="000000"/>
          <w:szCs w:val="24"/>
          <w:u w:val="single"/>
        </w:rPr>
      </w:pPr>
      <w:r w:rsidRPr="001B7F77">
        <w:rPr>
          <w:rFonts w:eastAsia="Calibri"/>
          <w:b/>
          <w:szCs w:val="24"/>
          <w:u w:val="single"/>
        </w:rPr>
        <w:t xml:space="preserve">105.3.2.1 </w:t>
      </w:r>
      <w:r w:rsidRPr="001B7F77">
        <w:rPr>
          <w:rFonts w:eastAsia="Calibri"/>
          <w:b/>
          <w:bCs/>
          <w:color w:val="000000"/>
          <w:szCs w:val="24"/>
          <w:u w:val="single"/>
        </w:rPr>
        <w:t>Owner’s responsibility.</w:t>
      </w:r>
      <w:r w:rsidRPr="001B7F77">
        <w:rPr>
          <w:rFonts w:eastAsia="Calibri"/>
          <w:bCs/>
          <w:color w:val="000000"/>
          <w:szCs w:val="24"/>
          <w:u w:val="single"/>
        </w:rPr>
        <w:t xml:space="preserve"> It is the owner’s responsibility to ensure that all work performed pursuant to Section 105.3 complies with all applicable provisions of law and that such work is performed in a safe and code compliant manner.</w:t>
      </w:r>
      <w:r w:rsidRPr="001B7F77">
        <w:rPr>
          <w:rFonts w:eastAsia="Calibri"/>
          <w:color w:val="000000"/>
          <w:szCs w:val="24"/>
          <w:u w:val="single"/>
        </w:rPr>
        <w:t xml:space="preserve"> </w:t>
      </w:r>
    </w:p>
    <w:p w14:paraId="45C0BAE4" w14:textId="77777777" w:rsidR="001B7F77" w:rsidRPr="001B7F77" w:rsidRDefault="001B7F77" w:rsidP="001B7F77">
      <w:pPr>
        <w:spacing w:before="120"/>
        <w:ind w:left="1080"/>
        <w:rPr>
          <w:rFonts w:eastAsia="Calibri"/>
          <w:b/>
          <w:color w:val="000000"/>
          <w:szCs w:val="24"/>
          <w:u w:val="single"/>
        </w:rPr>
      </w:pPr>
      <w:r w:rsidRPr="001B7F77">
        <w:rPr>
          <w:rFonts w:eastAsia="Calibri"/>
          <w:b/>
          <w:bCs/>
          <w:color w:val="000000"/>
          <w:szCs w:val="24"/>
          <w:u w:val="single"/>
        </w:rPr>
        <w:t>105.3.2.1.1 Protection of adjacent or adjoining properties.</w:t>
      </w:r>
      <w:r w:rsidRPr="001B7F77">
        <w:rPr>
          <w:rFonts w:eastAsia="Calibri"/>
          <w:color w:val="000000"/>
          <w:szCs w:val="24"/>
          <w:u w:val="single"/>
        </w:rPr>
        <w:t xml:space="preserve"> Building owners shall ensure the adjacent or adjoining properties are protected in accordance with Chapter 33 of the </w:t>
      </w:r>
      <w:r w:rsidRPr="001B7F77">
        <w:rPr>
          <w:rFonts w:eastAsia="Calibri"/>
          <w:i/>
          <w:iCs/>
          <w:color w:val="000000"/>
          <w:szCs w:val="24"/>
          <w:u w:val="single"/>
        </w:rPr>
        <w:t>New York City Building Code</w:t>
      </w:r>
      <w:r w:rsidRPr="001B7F77">
        <w:rPr>
          <w:rFonts w:eastAsia="Calibri"/>
          <w:color w:val="000000"/>
          <w:szCs w:val="24"/>
          <w:u w:val="single"/>
        </w:rPr>
        <w:t>.</w:t>
      </w:r>
    </w:p>
    <w:p w14:paraId="0DCE9180" w14:textId="77777777" w:rsidR="001B7F77" w:rsidRPr="001B7F77" w:rsidRDefault="001B7F77" w:rsidP="001B7F77">
      <w:pPr>
        <w:spacing w:before="120"/>
        <w:ind w:left="1080"/>
        <w:rPr>
          <w:rFonts w:eastAsia="Calibri"/>
          <w:color w:val="000000"/>
          <w:szCs w:val="24"/>
          <w:u w:val="single"/>
        </w:rPr>
      </w:pPr>
      <w:r w:rsidRPr="001B7F77">
        <w:rPr>
          <w:rFonts w:eastAsia="Calibri"/>
          <w:b/>
          <w:bCs/>
          <w:color w:val="000000"/>
          <w:szCs w:val="24"/>
          <w:u w:val="single"/>
        </w:rPr>
        <w:t>105.3.2.1.2 Protection of occupied building</w:t>
      </w:r>
      <w:r w:rsidRPr="001B7F77">
        <w:rPr>
          <w:rFonts w:eastAsia="Calibri"/>
          <w:color w:val="000000"/>
          <w:szCs w:val="24"/>
          <w:u w:val="single"/>
        </w:rPr>
        <w:t>. During construction in an occupied building, as applicable to the scope of work, the owner shall:</w:t>
      </w:r>
    </w:p>
    <w:p w14:paraId="48B098B7" w14:textId="77777777" w:rsidR="001B7F77" w:rsidRPr="001B7F77" w:rsidRDefault="001B7F77" w:rsidP="001B7F77">
      <w:pPr>
        <w:widowControl w:val="0"/>
        <w:pBdr>
          <w:top w:val="nil"/>
          <w:left w:val="nil"/>
          <w:bottom w:val="nil"/>
          <w:right w:val="nil"/>
          <w:between w:val="nil"/>
        </w:pBdr>
        <w:autoSpaceDE w:val="0"/>
        <w:autoSpaceDN w:val="0"/>
        <w:adjustRightInd w:val="0"/>
        <w:spacing w:before="120"/>
        <w:ind w:left="1800" w:hanging="360"/>
        <w:rPr>
          <w:rFonts w:eastAsia="Arial"/>
          <w:szCs w:val="24"/>
          <w:u w:val="single"/>
        </w:rPr>
      </w:pPr>
      <w:r w:rsidRPr="001B7F77">
        <w:rPr>
          <w:rFonts w:eastAsia="Arial"/>
          <w:szCs w:val="24"/>
          <w:u w:val="single"/>
        </w:rPr>
        <w:t>1.</w:t>
      </w:r>
      <w:r w:rsidRPr="001B7F77">
        <w:rPr>
          <w:rFonts w:eastAsia="Arial"/>
          <w:szCs w:val="24"/>
          <w:u w:val="single"/>
        </w:rPr>
        <w:tab/>
        <w:t>Maintain the means of egress free of any obstruction.</w:t>
      </w:r>
    </w:p>
    <w:p w14:paraId="39DF8DAE" w14:textId="77777777" w:rsidR="001B7F77" w:rsidRPr="001B7F77" w:rsidRDefault="001B7F77" w:rsidP="001B7F77">
      <w:pPr>
        <w:widowControl w:val="0"/>
        <w:pBdr>
          <w:top w:val="nil"/>
          <w:left w:val="nil"/>
          <w:bottom w:val="nil"/>
          <w:right w:val="nil"/>
          <w:between w:val="nil"/>
        </w:pBdr>
        <w:autoSpaceDE w:val="0"/>
        <w:autoSpaceDN w:val="0"/>
        <w:adjustRightInd w:val="0"/>
        <w:spacing w:before="120"/>
        <w:ind w:left="1800" w:hanging="360"/>
        <w:rPr>
          <w:rFonts w:eastAsia="Arial"/>
          <w:szCs w:val="24"/>
          <w:u w:val="single"/>
        </w:rPr>
      </w:pPr>
      <w:r w:rsidRPr="001B7F77">
        <w:rPr>
          <w:rFonts w:eastAsia="Arial"/>
          <w:szCs w:val="24"/>
          <w:u w:val="single"/>
        </w:rPr>
        <w:t>2.</w:t>
      </w:r>
      <w:r w:rsidRPr="001B7F77">
        <w:rPr>
          <w:rFonts w:eastAsia="Arial"/>
          <w:szCs w:val="24"/>
          <w:u w:val="single"/>
        </w:rPr>
        <w:tab/>
        <w:t>Provide means to dispose of debris, control dust and noise, and pest control.</w:t>
      </w:r>
    </w:p>
    <w:p w14:paraId="504B26F3" w14:textId="77777777" w:rsidR="001B7F77" w:rsidRPr="001B7F77" w:rsidRDefault="001B7F77" w:rsidP="001B7F77">
      <w:pPr>
        <w:widowControl w:val="0"/>
        <w:pBdr>
          <w:top w:val="nil"/>
          <w:left w:val="nil"/>
          <w:bottom w:val="nil"/>
          <w:right w:val="nil"/>
          <w:between w:val="nil"/>
        </w:pBdr>
        <w:autoSpaceDE w:val="0"/>
        <w:autoSpaceDN w:val="0"/>
        <w:adjustRightInd w:val="0"/>
        <w:spacing w:before="120"/>
        <w:ind w:left="1800" w:hanging="360"/>
        <w:rPr>
          <w:rFonts w:eastAsia="Arial"/>
          <w:szCs w:val="24"/>
          <w:u w:val="single"/>
        </w:rPr>
      </w:pPr>
      <w:r w:rsidRPr="001B7F77">
        <w:rPr>
          <w:rFonts w:eastAsia="Arial"/>
          <w:szCs w:val="24"/>
          <w:u w:val="single"/>
        </w:rPr>
        <w:t>3.</w:t>
      </w:r>
      <w:r w:rsidRPr="001B7F77">
        <w:rPr>
          <w:rFonts w:eastAsia="Arial"/>
          <w:szCs w:val="24"/>
          <w:u w:val="single"/>
        </w:rPr>
        <w:tab/>
        <w:t xml:space="preserve">Notify tenants of any interruption to building systems. </w:t>
      </w:r>
    </w:p>
    <w:p w14:paraId="6E2210D7" w14:textId="77777777" w:rsidR="001B7F77" w:rsidRPr="001B7F77" w:rsidRDefault="001B7F77" w:rsidP="001B7F77">
      <w:pPr>
        <w:widowControl w:val="0"/>
        <w:pBdr>
          <w:top w:val="nil"/>
          <w:left w:val="nil"/>
          <w:bottom w:val="nil"/>
          <w:right w:val="nil"/>
          <w:between w:val="nil"/>
        </w:pBdr>
        <w:autoSpaceDE w:val="0"/>
        <w:autoSpaceDN w:val="0"/>
        <w:adjustRightInd w:val="0"/>
        <w:spacing w:before="120"/>
        <w:ind w:left="1800" w:hanging="360"/>
        <w:rPr>
          <w:rFonts w:eastAsia="Arial"/>
          <w:szCs w:val="24"/>
          <w:u w:val="single"/>
        </w:rPr>
      </w:pPr>
      <w:r w:rsidRPr="001B7F77">
        <w:rPr>
          <w:rFonts w:eastAsia="Arial"/>
          <w:szCs w:val="24"/>
          <w:u w:val="single"/>
        </w:rPr>
        <w:t>4.</w:t>
      </w:r>
      <w:r w:rsidRPr="001B7F77">
        <w:rPr>
          <w:rFonts w:eastAsia="Arial"/>
          <w:szCs w:val="24"/>
          <w:u w:val="single"/>
        </w:rPr>
        <w:tab/>
        <w:t xml:space="preserve">Maintain life safety systems in accordance with the </w:t>
      </w:r>
      <w:r w:rsidRPr="001B7F77">
        <w:rPr>
          <w:rFonts w:eastAsia="Arial"/>
          <w:i/>
          <w:iCs/>
          <w:szCs w:val="24"/>
          <w:u w:val="single"/>
        </w:rPr>
        <w:t>New York City Construction Codes</w:t>
      </w:r>
      <w:r w:rsidRPr="001B7F77">
        <w:rPr>
          <w:rFonts w:eastAsia="Arial"/>
          <w:szCs w:val="24"/>
          <w:u w:val="single"/>
        </w:rPr>
        <w:t xml:space="preserve"> and the </w:t>
      </w:r>
      <w:r w:rsidRPr="001B7F77">
        <w:rPr>
          <w:rFonts w:eastAsia="Arial"/>
          <w:i/>
          <w:iCs/>
          <w:szCs w:val="24"/>
          <w:u w:val="single"/>
        </w:rPr>
        <w:t>New York City Fire Code</w:t>
      </w:r>
      <w:r w:rsidRPr="001B7F77">
        <w:rPr>
          <w:rFonts w:eastAsia="Arial"/>
          <w:szCs w:val="24"/>
          <w:u w:val="single"/>
        </w:rPr>
        <w:t xml:space="preserve">. </w:t>
      </w:r>
    </w:p>
    <w:p w14:paraId="2BECFCC5" w14:textId="77777777" w:rsidR="001B7F77" w:rsidRPr="001B7F77" w:rsidRDefault="001B7F77" w:rsidP="001B7F77">
      <w:pPr>
        <w:widowControl w:val="0"/>
        <w:pBdr>
          <w:top w:val="nil"/>
          <w:left w:val="nil"/>
          <w:bottom w:val="nil"/>
          <w:right w:val="nil"/>
          <w:between w:val="nil"/>
        </w:pBdr>
        <w:autoSpaceDE w:val="0"/>
        <w:autoSpaceDN w:val="0"/>
        <w:adjustRightInd w:val="0"/>
        <w:spacing w:before="120"/>
        <w:ind w:left="1800" w:hanging="360"/>
        <w:rPr>
          <w:rFonts w:eastAsia="Arial"/>
          <w:color w:val="FF0000"/>
          <w:szCs w:val="24"/>
          <w:u w:val="single"/>
        </w:rPr>
      </w:pPr>
      <w:r w:rsidRPr="001B7F77">
        <w:rPr>
          <w:rFonts w:eastAsia="Arial"/>
          <w:szCs w:val="24"/>
          <w:u w:val="single"/>
        </w:rPr>
        <w:t>5.</w:t>
      </w:r>
      <w:r w:rsidRPr="001B7F77">
        <w:rPr>
          <w:rFonts w:eastAsia="Arial"/>
          <w:szCs w:val="24"/>
          <w:u w:val="single"/>
        </w:rPr>
        <w:tab/>
        <w:t>Maintain essential services such as heat, cold and hot water, gas, and electricity in residential buildings, other than one- and two-family residences. Where disruption of service may occur due to the scope of work, the tenants shall be notified of the anticipated duration of such disruption.</w:t>
      </w:r>
    </w:p>
    <w:p w14:paraId="3DA9E45D" w14:textId="77777777" w:rsidR="001B7F77" w:rsidRPr="001B7F77" w:rsidRDefault="001B7F77" w:rsidP="001B7F77">
      <w:pPr>
        <w:suppressAutoHyphens/>
        <w:spacing w:before="120"/>
        <w:ind w:left="1800" w:hanging="360"/>
        <w:jc w:val="left"/>
        <w:rPr>
          <w:szCs w:val="24"/>
          <w:u w:val="single"/>
        </w:rPr>
      </w:pPr>
      <w:r w:rsidRPr="001B7F77">
        <w:rPr>
          <w:szCs w:val="24"/>
          <w:u w:val="single"/>
        </w:rPr>
        <w:t xml:space="preserve">6. </w:t>
      </w:r>
      <w:r w:rsidRPr="001B7F77">
        <w:rPr>
          <w:szCs w:val="24"/>
        </w:rPr>
        <w:tab/>
      </w:r>
      <w:r w:rsidRPr="001B7F77">
        <w:rPr>
          <w:szCs w:val="24"/>
          <w:u w:val="single"/>
        </w:rPr>
        <w:t>Maintain the existing level of accessibility to building spaces and facilities.</w:t>
      </w:r>
    </w:p>
    <w:p w14:paraId="39AA929C" w14:textId="77777777" w:rsidR="001B7F77" w:rsidRPr="001B7F77" w:rsidRDefault="001B7F77" w:rsidP="001B7F77">
      <w:pPr>
        <w:suppressAutoHyphens/>
        <w:spacing w:before="120"/>
        <w:ind w:left="720"/>
        <w:rPr>
          <w:szCs w:val="24"/>
        </w:rPr>
      </w:pPr>
      <w:r w:rsidRPr="001B7F77">
        <w:rPr>
          <w:b/>
          <w:bCs/>
          <w:szCs w:val="24"/>
          <w:u w:val="single"/>
        </w:rPr>
        <w:t xml:space="preserve">105.3.2.2 Compliance with other agency and utility company requirements. </w:t>
      </w:r>
      <w:r w:rsidRPr="001B7F77">
        <w:rPr>
          <w:szCs w:val="24"/>
          <w:u w:val="single"/>
        </w:rPr>
        <w:t>The owner and the licensee, where required, shall be responsible for obtaining any required approval, permit or certification by other agencies or utilities having jurisdiction over the work performed. Related approvals and permits from other agencies and jurisdictions may include, but are not limited to, the following:</w:t>
      </w:r>
    </w:p>
    <w:p w14:paraId="5FC747CE" w14:textId="77777777" w:rsidR="001B7F77" w:rsidRPr="001B7F77" w:rsidRDefault="001B7F77" w:rsidP="001B7F77">
      <w:pPr>
        <w:spacing w:before="120"/>
        <w:ind w:left="1440" w:hanging="360"/>
        <w:rPr>
          <w:rFonts w:eastAsia="Calibri"/>
          <w:b/>
          <w:color w:val="000000"/>
          <w:szCs w:val="24"/>
          <w:u w:val="single"/>
        </w:rPr>
      </w:pPr>
      <w:r w:rsidRPr="001B7F77">
        <w:rPr>
          <w:rFonts w:eastAsia="Calibri"/>
          <w:color w:val="000000"/>
          <w:szCs w:val="24"/>
          <w:u w:val="single"/>
        </w:rPr>
        <w:t>1.</w:t>
      </w:r>
      <w:r w:rsidRPr="001B7F77">
        <w:rPr>
          <w:rFonts w:eastAsia="Calibri"/>
          <w:color w:val="000000"/>
          <w:szCs w:val="24"/>
          <w:u w:val="single"/>
        </w:rPr>
        <w:tab/>
        <w:t xml:space="preserve">Asbestos certification as required by Article 106 of Title 28 of the </w:t>
      </w:r>
      <w:r w:rsidRPr="001B7F77">
        <w:rPr>
          <w:rFonts w:eastAsia="Calibri"/>
          <w:i/>
          <w:iCs/>
          <w:color w:val="000000"/>
          <w:szCs w:val="24"/>
          <w:u w:val="single"/>
        </w:rPr>
        <w:t>Administrative Code</w:t>
      </w:r>
      <w:r w:rsidRPr="001B7F77">
        <w:rPr>
          <w:rFonts w:eastAsia="Calibri"/>
          <w:color w:val="000000"/>
          <w:szCs w:val="24"/>
          <w:u w:val="single"/>
        </w:rPr>
        <w:t>.</w:t>
      </w:r>
    </w:p>
    <w:p w14:paraId="7B1AA191" w14:textId="77777777" w:rsidR="001B7F77" w:rsidRPr="001B7F77" w:rsidRDefault="001B7F77" w:rsidP="001B7F77">
      <w:pPr>
        <w:spacing w:before="120"/>
        <w:ind w:left="1440" w:hanging="360"/>
        <w:rPr>
          <w:rFonts w:eastAsia="Calibri"/>
          <w:b/>
          <w:color w:val="000000"/>
          <w:szCs w:val="24"/>
          <w:u w:val="single"/>
        </w:rPr>
      </w:pPr>
      <w:r w:rsidRPr="001B7F77">
        <w:rPr>
          <w:rFonts w:eastAsia="Calibri"/>
          <w:color w:val="000000"/>
          <w:szCs w:val="24"/>
          <w:u w:val="single"/>
        </w:rPr>
        <w:t>2.</w:t>
      </w:r>
      <w:r w:rsidRPr="001B7F77">
        <w:rPr>
          <w:rFonts w:eastAsia="Calibri"/>
          <w:color w:val="000000"/>
          <w:szCs w:val="24"/>
          <w:u w:val="single"/>
        </w:rPr>
        <w:tab/>
        <w:t>Approval from the Department of Environmental Protection.</w:t>
      </w:r>
    </w:p>
    <w:p w14:paraId="47B541EB" w14:textId="77777777" w:rsidR="001B7F77" w:rsidRPr="001B7F77" w:rsidRDefault="001B7F77" w:rsidP="001B7F77">
      <w:pPr>
        <w:spacing w:before="120"/>
        <w:ind w:left="1440" w:hanging="360"/>
        <w:rPr>
          <w:rFonts w:eastAsia="Calibri"/>
          <w:b/>
          <w:color w:val="000000"/>
          <w:szCs w:val="24"/>
          <w:u w:val="single"/>
        </w:rPr>
      </w:pPr>
      <w:r w:rsidRPr="001B7F77">
        <w:rPr>
          <w:rFonts w:eastAsia="Calibri"/>
          <w:color w:val="000000"/>
          <w:szCs w:val="24"/>
          <w:u w:val="single"/>
        </w:rPr>
        <w:t>3.</w:t>
      </w:r>
      <w:r w:rsidRPr="001B7F77">
        <w:rPr>
          <w:rFonts w:eastAsia="Calibri"/>
          <w:color w:val="000000"/>
          <w:szCs w:val="24"/>
          <w:u w:val="single"/>
        </w:rPr>
        <w:tab/>
        <w:t>Approval from the Landmarks Preservation Commission.</w:t>
      </w:r>
    </w:p>
    <w:p w14:paraId="0FAEB329" w14:textId="77777777" w:rsidR="001B7F77" w:rsidRPr="001B7F77" w:rsidRDefault="001B7F77" w:rsidP="001B7F77">
      <w:pPr>
        <w:spacing w:before="120"/>
        <w:ind w:left="1440" w:hanging="360"/>
        <w:rPr>
          <w:rFonts w:eastAsia="Calibri"/>
          <w:b/>
          <w:color w:val="000000"/>
          <w:szCs w:val="24"/>
          <w:u w:val="single"/>
        </w:rPr>
      </w:pPr>
      <w:r w:rsidRPr="001B7F77">
        <w:rPr>
          <w:rFonts w:eastAsia="Calibri"/>
          <w:color w:val="000000"/>
          <w:szCs w:val="24"/>
          <w:u w:val="single"/>
        </w:rPr>
        <w:t>4.</w:t>
      </w:r>
      <w:r w:rsidRPr="001B7F77">
        <w:rPr>
          <w:rFonts w:eastAsia="Calibri"/>
          <w:color w:val="000000"/>
          <w:szCs w:val="24"/>
          <w:u w:val="single"/>
        </w:rPr>
        <w:tab/>
        <w:t>Approval or permit from the Fire Department.</w:t>
      </w:r>
    </w:p>
    <w:p w14:paraId="3C1BD6C1" w14:textId="77777777" w:rsidR="001B7F77" w:rsidRPr="001B7F77" w:rsidRDefault="001B7F77" w:rsidP="001B7F77">
      <w:pPr>
        <w:spacing w:before="120"/>
        <w:ind w:left="1440" w:hanging="360"/>
        <w:rPr>
          <w:rFonts w:eastAsia="Calibri"/>
          <w:b/>
          <w:color w:val="000000"/>
          <w:szCs w:val="24"/>
          <w:u w:val="single"/>
        </w:rPr>
      </w:pPr>
      <w:r w:rsidRPr="001B7F77">
        <w:rPr>
          <w:rFonts w:eastAsia="Calibri"/>
          <w:color w:val="000000"/>
          <w:szCs w:val="24"/>
          <w:u w:val="single"/>
        </w:rPr>
        <w:t>5.</w:t>
      </w:r>
      <w:r w:rsidRPr="001B7F77">
        <w:rPr>
          <w:rFonts w:eastAsia="Calibri"/>
          <w:color w:val="000000"/>
          <w:szCs w:val="24"/>
          <w:u w:val="single"/>
        </w:rPr>
        <w:tab/>
        <w:t>Permit from the Department of Transportation.</w:t>
      </w:r>
    </w:p>
    <w:p w14:paraId="130A800F" w14:textId="77777777" w:rsidR="001B7F77" w:rsidRPr="001B7F77" w:rsidRDefault="001B7F77" w:rsidP="001B7F77">
      <w:pPr>
        <w:spacing w:before="120"/>
        <w:ind w:left="720"/>
        <w:rPr>
          <w:rFonts w:eastAsia="Calibri"/>
          <w:color w:val="000000"/>
          <w:szCs w:val="24"/>
          <w:u w:val="single"/>
        </w:rPr>
      </w:pPr>
      <w:r w:rsidRPr="001B7F77">
        <w:rPr>
          <w:rFonts w:eastAsia="Calibri"/>
          <w:b/>
          <w:bCs/>
          <w:color w:val="000000"/>
          <w:szCs w:val="24"/>
          <w:u w:val="single"/>
        </w:rPr>
        <w:t>105.3.2.3</w:t>
      </w:r>
      <w:r w:rsidRPr="001B7F77">
        <w:rPr>
          <w:rFonts w:eastAsia="Calibri"/>
          <w:color w:val="000000"/>
          <w:szCs w:val="24"/>
          <w:u w:val="single"/>
        </w:rPr>
        <w:t xml:space="preserve"> </w:t>
      </w:r>
      <w:r w:rsidRPr="001B7F77">
        <w:rPr>
          <w:rFonts w:eastAsia="Calibri"/>
          <w:b/>
          <w:bCs/>
          <w:color w:val="000000"/>
          <w:szCs w:val="24"/>
          <w:u w:val="single"/>
        </w:rPr>
        <w:t>Work not requiring permits performed as an integral part of work requiring permits.</w:t>
      </w:r>
      <w:r w:rsidRPr="001B7F77">
        <w:rPr>
          <w:rFonts w:eastAsia="Calibri"/>
          <w:bCs/>
          <w:color w:val="000000"/>
          <w:szCs w:val="24"/>
          <w:u w:val="single"/>
        </w:rPr>
        <w:t xml:space="preserve"> Work types that may not require a permit but that are performed as an integral part of an alteration to the building that requires a permit shall be filed with the Department as part of such alteration subject to Chapter 5 and Chapters 8 through 14 of this code, as applicable.</w:t>
      </w:r>
      <w:r w:rsidRPr="001B7F77">
        <w:rPr>
          <w:rFonts w:eastAsia="Calibri"/>
          <w:color w:val="000000"/>
          <w:szCs w:val="24"/>
          <w:u w:val="single"/>
        </w:rPr>
        <w:t xml:space="preserve"> </w:t>
      </w:r>
    </w:p>
    <w:p w14:paraId="14DF800A" w14:textId="77777777" w:rsidR="001B7F77" w:rsidRPr="001B7F77" w:rsidRDefault="001B7F77" w:rsidP="001B7F77">
      <w:pPr>
        <w:spacing w:before="120"/>
        <w:ind w:left="720"/>
        <w:rPr>
          <w:rFonts w:eastAsia="Calibri"/>
          <w:b/>
          <w:color w:val="000000"/>
          <w:szCs w:val="24"/>
          <w:u w:val="single"/>
        </w:rPr>
      </w:pPr>
      <w:r w:rsidRPr="001B7F77">
        <w:rPr>
          <w:rFonts w:eastAsia="Calibri"/>
          <w:b/>
          <w:bCs/>
          <w:color w:val="000000"/>
          <w:szCs w:val="24"/>
          <w:u w:val="single"/>
        </w:rPr>
        <w:t>105.3.2.4</w:t>
      </w:r>
      <w:r w:rsidRPr="001B7F77">
        <w:rPr>
          <w:rFonts w:eastAsia="Calibri"/>
          <w:color w:val="000000"/>
          <w:szCs w:val="24"/>
          <w:u w:val="single"/>
        </w:rPr>
        <w:t xml:space="preserve"> </w:t>
      </w:r>
      <w:r w:rsidRPr="001B7F77">
        <w:rPr>
          <w:rFonts w:eastAsia="Calibri"/>
          <w:b/>
          <w:bCs/>
          <w:color w:val="000000"/>
          <w:szCs w:val="24"/>
          <w:u w:val="single"/>
        </w:rPr>
        <w:t>Change in scope of work.</w:t>
      </w:r>
      <w:r w:rsidRPr="001B7F77">
        <w:rPr>
          <w:rFonts w:eastAsia="Calibri"/>
          <w:color w:val="000000"/>
          <w:szCs w:val="24"/>
          <w:u w:val="single"/>
        </w:rPr>
        <w:t xml:space="preserve"> </w:t>
      </w:r>
      <w:r w:rsidRPr="001B7F77">
        <w:rPr>
          <w:rFonts w:eastAsia="Calibri"/>
          <w:bCs/>
          <w:color w:val="000000"/>
          <w:szCs w:val="24"/>
          <w:u w:val="single"/>
        </w:rPr>
        <w:t>Where a change in the scope of work during the course of construction results in work that requires a permit, work must stop until such time as a permit is issued.</w:t>
      </w:r>
      <w:r w:rsidRPr="001B7F77">
        <w:rPr>
          <w:rFonts w:eastAsia="Calibri"/>
          <w:b/>
          <w:color w:val="000000"/>
          <w:szCs w:val="24"/>
          <w:u w:val="single"/>
        </w:rPr>
        <w:t xml:space="preserve"> </w:t>
      </w:r>
    </w:p>
    <w:p w14:paraId="5D3FC923" w14:textId="77777777" w:rsidR="001B7F77" w:rsidRPr="001B7F77" w:rsidRDefault="001B7F77" w:rsidP="001B7F77">
      <w:pPr>
        <w:suppressAutoHyphens/>
        <w:autoSpaceDE w:val="0"/>
        <w:autoSpaceDN w:val="0"/>
        <w:adjustRightInd w:val="0"/>
        <w:spacing w:before="120"/>
        <w:ind w:left="720"/>
        <w:rPr>
          <w:bCs/>
          <w:szCs w:val="24"/>
          <w:u w:val="single"/>
        </w:rPr>
      </w:pPr>
      <w:r w:rsidRPr="001B7F77">
        <w:rPr>
          <w:b/>
          <w:szCs w:val="24"/>
          <w:u w:val="single"/>
        </w:rPr>
        <w:t xml:space="preserve">105.3.2.5 Related approvals and permits. </w:t>
      </w:r>
      <w:r w:rsidRPr="001B7F77">
        <w:rPr>
          <w:bCs/>
          <w:szCs w:val="24"/>
          <w:u w:val="single"/>
        </w:rPr>
        <w:t xml:space="preserve">Where related permits are required in connection with the work scope such approvals and permits shall be obtained in accordance with Article 105 of Title 28 of the </w:t>
      </w:r>
      <w:r w:rsidRPr="001B7F77">
        <w:rPr>
          <w:bCs/>
          <w:i/>
          <w:iCs/>
          <w:szCs w:val="24"/>
          <w:u w:val="single"/>
        </w:rPr>
        <w:t>Administrative Code</w:t>
      </w:r>
      <w:r w:rsidRPr="001B7F77">
        <w:rPr>
          <w:bCs/>
          <w:szCs w:val="24"/>
          <w:u w:val="single"/>
        </w:rPr>
        <w:t xml:space="preserve">. </w:t>
      </w:r>
    </w:p>
    <w:p w14:paraId="731424D2" w14:textId="77777777" w:rsidR="001B7F77" w:rsidRPr="001B7F77" w:rsidRDefault="001B7F77" w:rsidP="001B7F77">
      <w:pPr>
        <w:spacing w:before="120"/>
        <w:ind w:left="720"/>
        <w:rPr>
          <w:rFonts w:eastAsia="Calibri"/>
          <w:color w:val="000000"/>
          <w:szCs w:val="24"/>
          <w:u w:val="single"/>
        </w:rPr>
      </w:pPr>
      <w:r w:rsidRPr="001B7F77">
        <w:rPr>
          <w:rFonts w:eastAsia="Calibri"/>
          <w:b/>
          <w:bCs/>
          <w:color w:val="000000"/>
          <w:szCs w:val="24"/>
          <w:u w:val="single"/>
        </w:rPr>
        <w:t>105.3.2.6 Building materials and systems.</w:t>
      </w:r>
      <w:r w:rsidRPr="001B7F77">
        <w:rPr>
          <w:rFonts w:eastAsia="Calibri"/>
          <w:color w:val="000000"/>
          <w:szCs w:val="24"/>
          <w:u w:val="single"/>
        </w:rPr>
        <w:t xml:space="preserve"> </w:t>
      </w:r>
      <w:r w:rsidRPr="001B7F77">
        <w:rPr>
          <w:rFonts w:eastAsia="Calibri"/>
          <w:bCs/>
          <w:color w:val="000000"/>
          <w:szCs w:val="24"/>
          <w:u w:val="single"/>
        </w:rPr>
        <w:t>Building materials and systems shall comply with the requirements of this section.</w:t>
      </w:r>
    </w:p>
    <w:p w14:paraId="66D575B6" w14:textId="77777777" w:rsidR="001B7F77" w:rsidRPr="001B7F77" w:rsidRDefault="001B7F77" w:rsidP="001B7F77">
      <w:pPr>
        <w:spacing w:before="120"/>
        <w:ind w:left="1080"/>
        <w:rPr>
          <w:rFonts w:eastAsia="Calibri"/>
          <w:color w:val="000000"/>
          <w:szCs w:val="24"/>
          <w:u w:val="single"/>
        </w:rPr>
      </w:pPr>
      <w:r w:rsidRPr="001B7F77">
        <w:rPr>
          <w:rFonts w:eastAsia="Calibri"/>
          <w:b/>
          <w:color w:val="000000"/>
          <w:szCs w:val="24"/>
          <w:u w:val="single"/>
        </w:rPr>
        <w:t>105.3.2.6.1 Existing materials.</w:t>
      </w:r>
      <w:r w:rsidRPr="001B7F77">
        <w:rPr>
          <w:rFonts w:eastAsia="Calibri"/>
          <w:color w:val="000000"/>
          <w:szCs w:val="24"/>
          <w:u w:val="single"/>
        </w:rPr>
        <w:t xml:space="preserve"> Materials already in use in a building in compliance with requirements or approvals in effect at the time of their erection or installation shall be permitted to remain in use unless determined by this code to be unsafe pursuant to Section 115.</w:t>
      </w:r>
    </w:p>
    <w:p w14:paraId="2611B6D6" w14:textId="77777777" w:rsidR="001B7F77" w:rsidRPr="001B7F77" w:rsidRDefault="001B7F77" w:rsidP="001B7F77">
      <w:pPr>
        <w:spacing w:before="120"/>
        <w:ind w:left="1080"/>
        <w:rPr>
          <w:rFonts w:eastAsia="Calibri"/>
          <w:color w:val="000000"/>
          <w:szCs w:val="24"/>
          <w:u w:val="single"/>
        </w:rPr>
      </w:pPr>
      <w:r w:rsidRPr="001B7F77">
        <w:rPr>
          <w:rFonts w:eastAsia="Calibri"/>
          <w:b/>
          <w:color w:val="000000"/>
          <w:szCs w:val="24"/>
          <w:u w:val="single"/>
        </w:rPr>
        <w:t xml:space="preserve">105.3.2.6.2 New and replacement materials, assemblies and details. </w:t>
      </w:r>
      <w:r w:rsidRPr="001B7F77">
        <w:rPr>
          <w:rFonts w:eastAsia="Times"/>
          <w:color w:val="000000"/>
          <w:szCs w:val="24"/>
          <w:u w:val="single"/>
        </w:rPr>
        <w:t xml:space="preserve">New and replacement materials, assemblies and details </w:t>
      </w:r>
      <w:r w:rsidRPr="001B7F77">
        <w:rPr>
          <w:rFonts w:eastAsia="Calibri"/>
          <w:color w:val="000000"/>
          <w:szCs w:val="24"/>
          <w:u w:val="single"/>
        </w:rPr>
        <w:t xml:space="preserve">permitted by the applicable code for new construction shall be </w:t>
      </w:r>
      <w:r w:rsidRPr="001B7F77">
        <w:rPr>
          <w:rFonts w:eastAsia="Times"/>
          <w:color w:val="000000"/>
          <w:szCs w:val="24"/>
          <w:u w:val="single"/>
        </w:rPr>
        <w:t>used in accordance with Section 302.4.</w:t>
      </w:r>
    </w:p>
    <w:p w14:paraId="10A002EA" w14:textId="77777777" w:rsidR="001B7F77" w:rsidRPr="001B7F77" w:rsidRDefault="001B7F77" w:rsidP="001B7F77">
      <w:pPr>
        <w:spacing w:before="120"/>
        <w:ind w:left="1080"/>
        <w:rPr>
          <w:rFonts w:eastAsia="Calibri"/>
          <w:color w:val="000000"/>
          <w:szCs w:val="24"/>
          <w:u w:val="single"/>
        </w:rPr>
      </w:pPr>
      <w:r w:rsidRPr="001B7F77">
        <w:rPr>
          <w:rFonts w:eastAsia="Calibri"/>
          <w:b/>
          <w:color w:val="000000"/>
          <w:szCs w:val="24"/>
          <w:u w:val="single"/>
        </w:rPr>
        <w:t xml:space="preserve">105.3.2.6.3 Glazing in hazardous locations. </w:t>
      </w:r>
      <w:r w:rsidRPr="001B7F77">
        <w:rPr>
          <w:rFonts w:eastAsia="Calibri"/>
          <w:color w:val="000000"/>
          <w:szCs w:val="24"/>
          <w:u w:val="single"/>
        </w:rPr>
        <w:t xml:space="preserve">Replacement glazing in hazardous locations shall comply with the safety glazing requirements of the </w:t>
      </w:r>
      <w:r w:rsidRPr="001B7F77">
        <w:rPr>
          <w:rFonts w:eastAsia="Calibri"/>
          <w:i/>
          <w:iCs/>
          <w:color w:val="000000"/>
          <w:szCs w:val="24"/>
          <w:u w:val="single"/>
        </w:rPr>
        <w:t>New York City Building Code</w:t>
      </w:r>
      <w:r w:rsidRPr="001B7F77">
        <w:rPr>
          <w:rFonts w:eastAsia="Calibri"/>
          <w:color w:val="000000"/>
          <w:szCs w:val="24"/>
          <w:u w:val="single"/>
        </w:rPr>
        <w:t>.</w:t>
      </w:r>
    </w:p>
    <w:p w14:paraId="659C964F" w14:textId="77777777" w:rsidR="001B7F77" w:rsidRPr="001B7F77" w:rsidRDefault="001B7F77" w:rsidP="001B7F77">
      <w:pPr>
        <w:spacing w:before="120"/>
        <w:ind w:left="1080"/>
        <w:rPr>
          <w:rFonts w:eastAsia="Calibri"/>
          <w:color w:val="000000"/>
          <w:szCs w:val="24"/>
          <w:u w:val="single"/>
        </w:rPr>
      </w:pPr>
      <w:r w:rsidRPr="001B7F77">
        <w:rPr>
          <w:rFonts w:eastAsia="Calibri"/>
          <w:b/>
          <w:color w:val="000000"/>
          <w:szCs w:val="24"/>
          <w:u w:val="single"/>
        </w:rPr>
        <w:t xml:space="preserve">105.3.2.6.4 Used plumbing materials and supplies. </w:t>
      </w:r>
      <w:r w:rsidRPr="001B7F77">
        <w:rPr>
          <w:rFonts w:eastAsia="Calibri"/>
          <w:color w:val="000000"/>
          <w:szCs w:val="24"/>
          <w:u w:val="single"/>
        </w:rPr>
        <w:t xml:space="preserve">Used plumbing materials and supplies shall not be re-used where prohibited by the </w:t>
      </w:r>
      <w:r w:rsidRPr="001B7F77">
        <w:rPr>
          <w:rFonts w:eastAsia="Calibri"/>
          <w:i/>
          <w:iCs/>
          <w:color w:val="000000"/>
          <w:szCs w:val="24"/>
          <w:u w:val="single"/>
        </w:rPr>
        <w:t>New York City Plumbing Code</w:t>
      </w:r>
      <w:r w:rsidRPr="001B7F77">
        <w:rPr>
          <w:rFonts w:eastAsia="Calibri"/>
          <w:color w:val="000000"/>
          <w:szCs w:val="24"/>
          <w:u w:val="single"/>
        </w:rPr>
        <w:t>.</w:t>
      </w:r>
    </w:p>
    <w:p w14:paraId="433F4398" w14:textId="77777777" w:rsidR="001B7F77" w:rsidRPr="001B7F77" w:rsidRDefault="001B7F77" w:rsidP="001B7F77">
      <w:pPr>
        <w:spacing w:before="120"/>
        <w:ind w:left="720"/>
        <w:rPr>
          <w:rFonts w:eastAsia="Calibri" w:cs="Arial"/>
          <w:b/>
          <w:bCs/>
          <w:color w:val="000000"/>
          <w:szCs w:val="24"/>
          <w:u w:val="single"/>
        </w:rPr>
      </w:pPr>
      <w:r w:rsidRPr="001B7F77">
        <w:rPr>
          <w:rFonts w:eastAsia="Calibri" w:cs="Arial"/>
          <w:b/>
          <w:bCs/>
          <w:color w:val="000000"/>
          <w:szCs w:val="24"/>
          <w:u w:val="single"/>
        </w:rPr>
        <w:t>105.3.2.7</w:t>
      </w:r>
      <w:r w:rsidRPr="001B7F77">
        <w:rPr>
          <w:rFonts w:eastAsia="Calibri" w:cs="Arial"/>
          <w:color w:val="000000"/>
          <w:szCs w:val="24"/>
          <w:u w:val="single"/>
        </w:rPr>
        <w:t xml:space="preserve"> </w:t>
      </w:r>
      <w:r w:rsidRPr="001B7F77">
        <w:rPr>
          <w:rFonts w:eastAsia="Calibri"/>
          <w:b/>
          <w:bCs/>
          <w:color w:val="000000"/>
          <w:szCs w:val="24"/>
          <w:u w:val="single"/>
        </w:rPr>
        <w:t xml:space="preserve">Accessibility. </w:t>
      </w:r>
      <w:r w:rsidRPr="001B7F77">
        <w:rPr>
          <w:rFonts w:eastAsia="Calibri"/>
          <w:color w:val="000000"/>
          <w:szCs w:val="24"/>
          <w:u w:val="single"/>
        </w:rPr>
        <w:t xml:space="preserve">Minor alterations to existing buildings that are performed without a permit shall comply with the accessibility requirements of Chapter 11 of the </w:t>
      </w:r>
      <w:r w:rsidRPr="001B7F77">
        <w:rPr>
          <w:rFonts w:eastAsia="Calibri"/>
          <w:i/>
          <w:iCs/>
          <w:color w:val="000000"/>
          <w:szCs w:val="24"/>
          <w:u w:val="single"/>
        </w:rPr>
        <w:t>New York City Building Code</w:t>
      </w:r>
      <w:r w:rsidRPr="001B7F77">
        <w:rPr>
          <w:rFonts w:eastAsia="Calibri"/>
          <w:color w:val="000000"/>
          <w:szCs w:val="24"/>
          <w:u w:val="single"/>
        </w:rPr>
        <w:t xml:space="preserve">. Such work shall not reduce the level of accessibility as described under Section 306.4. </w:t>
      </w:r>
    </w:p>
    <w:p w14:paraId="6D10F176" w14:textId="77777777" w:rsidR="001B7F77" w:rsidRPr="001B7F77" w:rsidRDefault="001B7F77" w:rsidP="001B7F77">
      <w:pPr>
        <w:spacing w:before="120"/>
        <w:ind w:left="1080"/>
        <w:rPr>
          <w:rFonts w:eastAsia="Calibri"/>
          <w:b/>
          <w:szCs w:val="24"/>
          <w:u w:val="single"/>
        </w:rPr>
      </w:pPr>
      <w:r w:rsidRPr="001B7F77">
        <w:rPr>
          <w:rFonts w:eastAsia="Calibri"/>
          <w:b/>
          <w:szCs w:val="24"/>
          <w:u w:val="single"/>
        </w:rPr>
        <w:t xml:space="preserve">Exception. </w:t>
      </w:r>
      <w:r w:rsidRPr="001B7F77">
        <w:rPr>
          <w:rFonts w:eastAsia="Calibri"/>
          <w:bCs/>
          <w:szCs w:val="24"/>
          <w:u w:val="single"/>
        </w:rPr>
        <w:t xml:space="preserve">Ordinary repairs do not need to comply with the accessibility requirements of Chapter 11 of the </w:t>
      </w:r>
      <w:r w:rsidRPr="001B7F77">
        <w:rPr>
          <w:rFonts w:eastAsia="Calibri"/>
          <w:bCs/>
          <w:i/>
          <w:iCs/>
          <w:szCs w:val="24"/>
          <w:u w:val="single"/>
        </w:rPr>
        <w:t>New York City Building Code</w:t>
      </w:r>
      <w:r w:rsidRPr="001B7F77">
        <w:rPr>
          <w:rFonts w:eastAsia="Calibri"/>
          <w:b/>
          <w:szCs w:val="24"/>
          <w:u w:val="single"/>
        </w:rPr>
        <w:t>.</w:t>
      </w:r>
    </w:p>
    <w:p w14:paraId="3E0C3481" w14:textId="77777777" w:rsidR="001B7F77" w:rsidRPr="001B7F77" w:rsidRDefault="001B7F77" w:rsidP="001B7F77">
      <w:pPr>
        <w:spacing w:before="120"/>
        <w:ind w:left="1080"/>
        <w:rPr>
          <w:rFonts w:eastAsia="Calibri"/>
          <w:color w:val="000000"/>
          <w:szCs w:val="24"/>
          <w:u w:val="single"/>
        </w:rPr>
      </w:pPr>
      <w:r w:rsidRPr="001B7F77">
        <w:rPr>
          <w:rFonts w:eastAsia="Calibri"/>
          <w:b/>
          <w:color w:val="000000"/>
          <w:szCs w:val="24"/>
          <w:u w:val="single"/>
        </w:rPr>
        <w:t xml:space="preserve">105.3.2.7.1 Provisions for accessibility modifications to certain features in dwelling units after occupancy. </w:t>
      </w:r>
      <w:r w:rsidRPr="001B7F77">
        <w:rPr>
          <w:rFonts w:eastAsia="Calibri"/>
          <w:color w:val="000000"/>
          <w:szCs w:val="24"/>
          <w:u w:val="single"/>
        </w:rPr>
        <w:t xml:space="preserve">Modifications to certain features in dwelling units shall comply with Section 1107.2 of the </w:t>
      </w:r>
      <w:r w:rsidRPr="001B7F77">
        <w:rPr>
          <w:rFonts w:eastAsia="Calibri"/>
          <w:i/>
          <w:iCs/>
          <w:color w:val="000000"/>
          <w:szCs w:val="24"/>
          <w:u w:val="single"/>
        </w:rPr>
        <w:t>New York City Building Code</w:t>
      </w:r>
      <w:r w:rsidRPr="001B7F77">
        <w:rPr>
          <w:rFonts w:eastAsia="Calibri"/>
          <w:color w:val="000000"/>
          <w:szCs w:val="24"/>
          <w:u w:val="single"/>
        </w:rPr>
        <w:t>. Such features include bathtubs, showers, kitchen counters, appliances in kitchens and kitchenettes, refrigerators/freezers, kitchen and kitchenette storage, operable windows, storage facilities, and laundry equipment.</w:t>
      </w:r>
    </w:p>
    <w:p w14:paraId="7546FD6B" w14:textId="77777777" w:rsidR="001B7F77" w:rsidRPr="001B7F77" w:rsidRDefault="001B7F77" w:rsidP="001B7F77">
      <w:pPr>
        <w:keepNext/>
        <w:spacing w:before="120"/>
        <w:ind w:left="720"/>
        <w:rPr>
          <w:rFonts w:eastAsia="Calibri"/>
          <w:bCs/>
          <w:szCs w:val="24"/>
          <w:u w:val="single"/>
        </w:rPr>
      </w:pPr>
      <w:r w:rsidRPr="001B7F77">
        <w:rPr>
          <w:rFonts w:eastAsia="Calibri"/>
          <w:b/>
          <w:szCs w:val="24"/>
          <w:u w:val="single"/>
        </w:rPr>
        <w:t>105.3.2.8 Energy conservation.</w:t>
      </w:r>
      <w:r w:rsidRPr="001B7F77">
        <w:rPr>
          <w:rFonts w:eastAsia="Calibri"/>
          <w:bCs/>
          <w:szCs w:val="24"/>
          <w:u w:val="single"/>
        </w:rPr>
        <w:t xml:space="preserve"> Minor alterations and ordinary repairs to existing buildings or structures as defined in Section 202 are permitted without requiring the entire building or structure to comply with the energy requirements of the </w:t>
      </w:r>
      <w:r w:rsidRPr="001B7F77">
        <w:rPr>
          <w:rFonts w:eastAsia="Calibri"/>
          <w:bCs/>
          <w:i/>
          <w:iCs/>
          <w:szCs w:val="24"/>
          <w:u w:val="single"/>
        </w:rPr>
        <w:t>New York City Energy Conservation Code</w:t>
      </w:r>
      <w:r w:rsidRPr="001B7F77">
        <w:rPr>
          <w:rFonts w:eastAsia="Calibri"/>
          <w:bCs/>
          <w:szCs w:val="24"/>
          <w:u w:val="single"/>
        </w:rPr>
        <w:t xml:space="preserve">. The minor alterations and ordinary repairs shall conform with the existing building provisions of the </w:t>
      </w:r>
      <w:r w:rsidRPr="001B7F77">
        <w:rPr>
          <w:rFonts w:eastAsia="Calibri"/>
          <w:bCs/>
          <w:i/>
          <w:iCs/>
          <w:szCs w:val="24"/>
          <w:u w:val="single"/>
        </w:rPr>
        <w:t>New York City Energy Conservation Code</w:t>
      </w:r>
      <w:r w:rsidRPr="001B7F77">
        <w:rPr>
          <w:rFonts w:eastAsia="Calibri"/>
          <w:bCs/>
          <w:szCs w:val="24"/>
          <w:u w:val="single"/>
        </w:rPr>
        <w:t>.</w:t>
      </w:r>
    </w:p>
    <w:p w14:paraId="3F74F9CB" w14:textId="77777777" w:rsidR="001B7F77" w:rsidRPr="001B7F77" w:rsidRDefault="001B7F77" w:rsidP="001B7F77">
      <w:pPr>
        <w:widowControl w:val="0"/>
        <w:spacing w:before="120"/>
        <w:rPr>
          <w:rFonts w:eastAsia="Calibri"/>
          <w:color w:val="000000"/>
          <w:szCs w:val="24"/>
          <w:u w:val="single"/>
        </w:rPr>
      </w:pPr>
      <w:r w:rsidRPr="001B7F77">
        <w:rPr>
          <w:rFonts w:eastAsia="Calibri"/>
          <w:b/>
          <w:color w:val="000000"/>
          <w:szCs w:val="24"/>
          <w:u w:val="single"/>
        </w:rPr>
        <w:t xml:space="preserve">105.4 Permits with respect to limited alteration applications. </w:t>
      </w:r>
      <w:r w:rsidRPr="001B7F77">
        <w:rPr>
          <w:rFonts w:eastAsia="Calibri"/>
          <w:bCs/>
          <w:color w:val="000000"/>
          <w:szCs w:val="24"/>
          <w:u w:val="single"/>
        </w:rPr>
        <w:t xml:space="preserve">Permits shall be required for limited alteration applications, subject to Chapter 5 of this code, in accordance with </w:t>
      </w:r>
      <w:r w:rsidRPr="001B7F77">
        <w:rPr>
          <w:rFonts w:eastAsia="Calibri"/>
          <w:color w:val="000000"/>
          <w:szCs w:val="24"/>
          <w:u w:val="single"/>
        </w:rPr>
        <w:t xml:space="preserve">Article 105 of Chapter 1 of Title 28 of the </w:t>
      </w:r>
      <w:r w:rsidRPr="001B7F77">
        <w:rPr>
          <w:rFonts w:eastAsia="Calibri"/>
          <w:i/>
          <w:color w:val="000000"/>
          <w:szCs w:val="24"/>
          <w:u w:val="single"/>
        </w:rPr>
        <w:t>Administrative Code</w:t>
      </w:r>
      <w:r w:rsidRPr="001B7F77">
        <w:rPr>
          <w:rFonts w:eastAsia="Calibri"/>
          <w:color w:val="000000"/>
          <w:szCs w:val="24"/>
          <w:u w:val="single"/>
        </w:rPr>
        <w:t>.</w:t>
      </w:r>
    </w:p>
    <w:p w14:paraId="059FA768" w14:textId="77777777" w:rsidR="001B7F77" w:rsidRPr="001B7F77" w:rsidRDefault="001B7F77" w:rsidP="001B7F77">
      <w:pPr>
        <w:widowControl w:val="0"/>
        <w:spacing w:before="120"/>
        <w:rPr>
          <w:rFonts w:eastAsia="Calibri"/>
          <w:color w:val="000000"/>
          <w:szCs w:val="24"/>
          <w:u w:val="single"/>
        </w:rPr>
      </w:pPr>
      <w:r w:rsidRPr="001B7F77">
        <w:rPr>
          <w:rFonts w:eastAsia="Calibri"/>
          <w:b/>
          <w:color w:val="000000"/>
          <w:szCs w:val="24"/>
          <w:u w:val="single"/>
        </w:rPr>
        <w:t xml:space="preserve">105.5 Validity of permit. </w:t>
      </w:r>
      <w:r w:rsidRPr="001B7F77">
        <w:rPr>
          <w:rFonts w:eastAsia="Calibri"/>
          <w:color w:val="000000"/>
          <w:szCs w:val="24"/>
          <w:u w:val="single"/>
        </w:rPr>
        <w:t>The issuance or granting of a permit shall not be construed to be a permit for, or an approval of, any violation of any of the provisions of this code or of any other laws. Permits presuming to give authority to violate or cancel the provisions of this code or law shall not be valid. The issuance of a permit based on construction documents and other data shall not prevent the commissioner from requiring the correction of errors in the construction documents and other data. The commissioner is authorized to prevent occupancy or use of a structure in violation of this code or of any other ordinances of this jurisdiction.</w:t>
      </w:r>
    </w:p>
    <w:p w14:paraId="58E5FF45" w14:textId="77777777" w:rsidR="001B7F77" w:rsidRPr="001B7F77" w:rsidRDefault="001B7F77" w:rsidP="001B7F77">
      <w:pPr>
        <w:keepNext/>
        <w:spacing w:before="60"/>
        <w:jc w:val="left"/>
        <w:rPr>
          <w:rFonts w:eastAsia="Calibri"/>
          <w:bCs/>
          <w:color w:val="FF0000"/>
          <w:sz w:val="22"/>
          <w:szCs w:val="24"/>
          <w:u w:val="single"/>
        </w:rPr>
      </w:pPr>
    </w:p>
    <w:p w14:paraId="0A7EE6A4" w14:textId="77777777" w:rsidR="001B7F77" w:rsidRPr="001B7F77" w:rsidRDefault="001B7F77" w:rsidP="001B7F77">
      <w:pPr>
        <w:widowControl w:val="0"/>
        <w:spacing w:before="120"/>
        <w:jc w:val="center"/>
        <w:outlineLvl w:val="0"/>
        <w:rPr>
          <w:rFonts w:eastAsia="Calibri"/>
          <w:b/>
          <w:bCs/>
          <w:color w:val="000000"/>
          <w:szCs w:val="24"/>
          <w:u w:val="single"/>
        </w:rPr>
      </w:pPr>
      <w:r w:rsidRPr="001B7F77">
        <w:rPr>
          <w:rFonts w:eastAsia="Calibri"/>
          <w:b/>
          <w:bCs/>
          <w:color w:val="000000"/>
          <w:szCs w:val="24"/>
          <w:u w:val="single"/>
        </w:rPr>
        <w:t>SECTION EBC 106</w:t>
      </w:r>
      <w:r w:rsidRPr="001B7F77">
        <w:rPr>
          <w:rFonts w:eastAsia="Calibri"/>
          <w:b/>
          <w:bCs/>
          <w:color w:val="000000"/>
          <w:szCs w:val="24"/>
          <w:u w:val="single"/>
        </w:rPr>
        <w:br/>
        <w:t>CONSTRUCTION DOCUMENTS</w:t>
      </w:r>
    </w:p>
    <w:p w14:paraId="4162DC9F" w14:textId="77777777" w:rsidR="001B7F77" w:rsidRPr="001B7F77" w:rsidRDefault="001B7F77" w:rsidP="001B7F77">
      <w:pPr>
        <w:widowControl w:val="0"/>
        <w:spacing w:before="120"/>
        <w:rPr>
          <w:rFonts w:eastAsia="Calibri"/>
          <w:color w:val="000000"/>
          <w:szCs w:val="24"/>
          <w:u w:val="single"/>
        </w:rPr>
      </w:pPr>
      <w:bookmarkStart w:id="17" w:name="_heading=h.2p2csry"/>
      <w:bookmarkEnd w:id="17"/>
      <w:r w:rsidRPr="001B7F77">
        <w:rPr>
          <w:rFonts w:eastAsia="Calibri"/>
          <w:b/>
          <w:bCs/>
          <w:color w:val="000000"/>
          <w:szCs w:val="24"/>
          <w:u w:val="single"/>
        </w:rPr>
        <w:t xml:space="preserve">106.1 General. </w:t>
      </w:r>
      <w:r w:rsidRPr="001B7F77">
        <w:rPr>
          <w:szCs w:val="24"/>
          <w:u w:val="single"/>
        </w:rPr>
        <w:t xml:space="preserve">In accordance with Article 104 of Chapter 1 of Title 28 of the </w:t>
      </w:r>
      <w:r w:rsidRPr="001B7F77">
        <w:rPr>
          <w:i/>
          <w:iCs/>
          <w:szCs w:val="24"/>
          <w:u w:val="single"/>
        </w:rPr>
        <w:t>Administrative Code</w:t>
      </w:r>
      <w:r w:rsidRPr="001B7F77">
        <w:rPr>
          <w:szCs w:val="24"/>
          <w:u w:val="single"/>
        </w:rPr>
        <w:t>, each application for a permit shall be accompanied by</w:t>
      </w:r>
      <w:r w:rsidRPr="001B7F77">
        <w:rPr>
          <w:rFonts w:eastAsia="Calibri"/>
          <w:b/>
          <w:bCs/>
          <w:color w:val="000000"/>
          <w:szCs w:val="24"/>
          <w:u w:val="single"/>
        </w:rPr>
        <w:t xml:space="preserve"> </w:t>
      </w:r>
      <w:r w:rsidRPr="001B7F77">
        <w:rPr>
          <w:rFonts w:eastAsia="Calibri"/>
          <w:color w:val="000000"/>
          <w:szCs w:val="24"/>
          <w:u w:val="single"/>
        </w:rPr>
        <w:t xml:space="preserve">submittal documents which include but </w:t>
      </w:r>
      <w:r w:rsidRPr="001B7F77">
        <w:rPr>
          <w:szCs w:val="24"/>
          <w:u w:val="single"/>
        </w:rPr>
        <w:t xml:space="preserve">are not limited to </w:t>
      </w:r>
      <w:r w:rsidRPr="001B7F77">
        <w:rPr>
          <w:rFonts w:eastAsia="Calibri"/>
          <w:color w:val="000000"/>
          <w:szCs w:val="24"/>
          <w:u w:val="single"/>
        </w:rPr>
        <w:t xml:space="preserve">construction documents; special inspection, structural investigation, and evaluation reports; and other data required by the department. Such submittal shall be prepared by a registered design professional. The department shall not issue a permit pursuant to this code unless and until it approves all required construction documents for such work. In addition to the requirements of Article 104 of Chapter 1 of Title 28 of the </w:t>
      </w:r>
      <w:r w:rsidRPr="001B7F77">
        <w:rPr>
          <w:rFonts w:eastAsia="Calibri"/>
          <w:i/>
          <w:iCs/>
          <w:color w:val="000000"/>
          <w:szCs w:val="24"/>
          <w:u w:val="single"/>
        </w:rPr>
        <w:t>Administrative Code</w:t>
      </w:r>
      <w:r w:rsidRPr="001B7F77">
        <w:rPr>
          <w:rFonts w:eastAsia="Calibri"/>
          <w:color w:val="000000"/>
          <w:szCs w:val="24"/>
          <w:u w:val="single"/>
        </w:rPr>
        <w:t>, the commissioner is authorized to require additional construction documents to be submitted by a registered design professional to determine compliance with this code and other applicable laws and rules.</w:t>
      </w:r>
    </w:p>
    <w:p w14:paraId="08B69EB3" w14:textId="77777777" w:rsidR="001B7F77" w:rsidRPr="001B7F77" w:rsidRDefault="001B7F77" w:rsidP="001B7F77">
      <w:pPr>
        <w:widowControl w:val="0"/>
        <w:spacing w:before="120"/>
        <w:ind w:left="360"/>
        <w:rPr>
          <w:rFonts w:eastAsia="Calibri"/>
          <w:bCs/>
          <w:color w:val="000000"/>
          <w:szCs w:val="24"/>
          <w:u w:val="single"/>
        </w:rPr>
      </w:pPr>
      <w:r w:rsidRPr="001B7F77">
        <w:rPr>
          <w:rFonts w:eastAsia="Calibri"/>
          <w:b/>
          <w:bCs/>
          <w:color w:val="000000"/>
          <w:szCs w:val="24"/>
          <w:u w:val="single"/>
        </w:rPr>
        <w:t xml:space="preserve">Exception: </w:t>
      </w:r>
      <w:r w:rsidRPr="001B7F77">
        <w:rPr>
          <w:rFonts w:eastAsia="Calibri"/>
          <w:bCs/>
          <w:color w:val="000000"/>
          <w:szCs w:val="24"/>
          <w:u w:val="single"/>
        </w:rPr>
        <w:t xml:space="preserve">Construction documents shall not be required to be prepared by a registered design professional if they are exempt from such requirement, as provided for in Chapter 5 of this code, Section 28-104.6 of the </w:t>
      </w:r>
      <w:r w:rsidRPr="001B7F77">
        <w:rPr>
          <w:rFonts w:eastAsia="Calibri"/>
          <w:bCs/>
          <w:i/>
          <w:iCs/>
          <w:color w:val="000000"/>
          <w:szCs w:val="24"/>
          <w:u w:val="single"/>
        </w:rPr>
        <w:t>Administrative Code</w:t>
      </w:r>
      <w:r w:rsidRPr="001B7F77">
        <w:rPr>
          <w:rFonts w:eastAsia="Calibri"/>
          <w:bCs/>
          <w:color w:val="000000"/>
          <w:szCs w:val="24"/>
          <w:u w:val="single"/>
        </w:rPr>
        <w:t>, or rules of the department.</w:t>
      </w:r>
    </w:p>
    <w:p w14:paraId="60F2F1D2" w14:textId="77777777" w:rsidR="001B7F77" w:rsidRPr="001B7F77" w:rsidRDefault="001B7F77" w:rsidP="001B7F77">
      <w:pPr>
        <w:widowControl w:val="0"/>
        <w:spacing w:before="120"/>
        <w:rPr>
          <w:rFonts w:eastAsia="Calibri"/>
          <w:color w:val="000000"/>
          <w:szCs w:val="24"/>
          <w:u w:val="single"/>
        </w:rPr>
      </w:pPr>
      <w:r w:rsidRPr="001B7F77">
        <w:rPr>
          <w:rFonts w:eastAsia="Calibri"/>
          <w:b/>
          <w:color w:val="000000"/>
          <w:szCs w:val="24"/>
          <w:u w:val="single"/>
        </w:rPr>
        <w:t xml:space="preserve">106.2 Construction documents. </w:t>
      </w:r>
      <w:r w:rsidRPr="001B7F77">
        <w:rPr>
          <w:rFonts w:eastAsia="Calibri"/>
          <w:color w:val="000000"/>
          <w:szCs w:val="24"/>
          <w:u w:val="single"/>
        </w:rPr>
        <w:t xml:space="preserve">Construction documents submitted in connection with alterations, additions, changes of use or occupancy and relocation of existing buildings shall comply with Article 104 of Chapter 1 of Title 28 of the </w:t>
      </w:r>
      <w:r w:rsidRPr="001B7F77">
        <w:rPr>
          <w:rFonts w:eastAsia="Calibri"/>
          <w:i/>
          <w:color w:val="000000"/>
          <w:szCs w:val="24"/>
          <w:u w:val="single"/>
        </w:rPr>
        <w:t>Administrative Code</w:t>
      </w:r>
      <w:r w:rsidRPr="001B7F77">
        <w:rPr>
          <w:rFonts w:eastAsia="Calibri"/>
          <w:color w:val="000000"/>
          <w:szCs w:val="24"/>
          <w:u w:val="single"/>
        </w:rPr>
        <w:t>, Section 107 of the</w:t>
      </w:r>
      <w:r w:rsidRPr="001B7F77">
        <w:rPr>
          <w:rFonts w:eastAsia="Calibri"/>
          <w:i/>
          <w:iCs/>
          <w:color w:val="000000"/>
          <w:szCs w:val="24"/>
          <w:u w:val="single"/>
        </w:rPr>
        <w:t xml:space="preserve"> New York City Building Code</w:t>
      </w:r>
      <w:r w:rsidRPr="001B7F77">
        <w:rPr>
          <w:rFonts w:eastAsia="Calibri"/>
          <w:color w:val="000000"/>
          <w:szCs w:val="24"/>
          <w:u w:val="single"/>
        </w:rPr>
        <w:t xml:space="preserve"> and with Sections 106.2.1 through 106.2.9 of this code.</w:t>
      </w:r>
    </w:p>
    <w:p w14:paraId="6333F95A" w14:textId="77777777" w:rsidR="001B7F77" w:rsidRPr="001B7F77" w:rsidRDefault="001B7F77" w:rsidP="001B7F77">
      <w:pPr>
        <w:widowControl w:val="0"/>
        <w:tabs>
          <w:tab w:val="left" w:pos="360"/>
        </w:tabs>
        <w:spacing w:before="120"/>
        <w:ind w:left="360"/>
        <w:rPr>
          <w:rFonts w:eastAsia="Calibri"/>
          <w:color w:val="000000"/>
          <w:szCs w:val="24"/>
          <w:u w:val="single"/>
        </w:rPr>
      </w:pPr>
      <w:r w:rsidRPr="001B7F77">
        <w:rPr>
          <w:rFonts w:eastAsia="Calibri"/>
          <w:b/>
          <w:color w:val="000000"/>
          <w:szCs w:val="24"/>
          <w:u w:val="single"/>
        </w:rPr>
        <w:t xml:space="preserve">106.2.1 Structural plans. </w:t>
      </w:r>
      <w:r w:rsidRPr="001B7F77">
        <w:rPr>
          <w:rFonts w:eastAsia="Calibri"/>
          <w:color w:val="000000"/>
          <w:szCs w:val="24"/>
          <w:u w:val="single"/>
        </w:rPr>
        <w:t xml:space="preserve">Structural plans shall include the data and information described in Section 107.7 and Chapter 16 of the </w:t>
      </w:r>
      <w:r w:rsidRPr="001B7F77">
        <w:rPr>
          <w:rFonts w:eastAsia="Calibri"/>
          <w:i/>
          <w:iCs/>
          <w:color w:val="000000"/>
          <w:szCs w:val="24"/>
          <w:u w:val="single"/>
        </w:rPr>
        <w:t>New York City Building Code</w:t>
      </w:r>
      <w:r w:rsidRPr="001B7F77">
        <w:rPr>
          <w:rFonts w:eastAsia="Calibri"/>
          <w:color w:val="000000"/>
          <w:szCs w:val="24"/>
          <w:u w:val="single"/>
        </w:rPr>
        <w:t xml:space="preserve"> as applicable to alterations, additions, changes of use or occupancy and relocation of existing buildings. Additional documents shall be submitted as required by Section 702. Structural calculations shall be made available to the department upon request.</w:t>
      </w:r>
    </w:p>
    <w:p w14:paraId="5BF1D965" w14:textId="77777777" w:rsidR="001B7F77" w:rsidRPr="001B7F77" w:rsidRDefault="001B7F77" w:rsidP="001B7F77">
      <w:pPr>
        <w:widowControl w:val="0"/>
        <w:tabs>
          <w:tab w:val="left" w:pos="360"/>
        </w:tabs>
        <w:spacing w:before="120"/>
        <w:ind w:left="360"/>
        <w:rPr>
          <w:rFonts w:eastAsia="Calibri"/>
          <w:color w:val="000000"/>
          <w:szCs w:val="24"/>
          <w:u w:val="single"/>
        </w:rPr>
      </w:pPr>
      <w:r w:rsidRPr="001B7F77">
        <w:rPr>
          <w:rFonts w:eastAsia="Calibri"/>
          <w:b/>
          <w:color w:val="000000"/>
          <w:szCs w:val="24"/>
          <w:u w:val="single"/>
        </w:rPr>
        <w:t xml:space="preserve">106.2.2 Fire protection system(s) plans. </w:t>
      </w:r>
      <w:r w:rsidRPr="001B7F77">
        <w:rPr>
          <w:rFonts w:eastAsia="Calibri"/>
          <w:color w:val="000000"/>
          <w:szCs w:val="24"/>
          <w:u w:val="single"/>
        </w:rPr>
        <w:t xml:space="preserve">Construction documents for fire protection systems shall include a plot plan to scale indicating the location of the system in relation to the rest of the building and shall comply with Section 107.9 of the </w:t>
      </w:r>
      <w:r w:rsidRPr="001B7F77">
        <w:rPr>
          <w:rFonts w:eastAsia="Calibri"/>
          <w:i/>
          <w:iCs/>
          <w:color w:val="000000"/>
          <w:szCs w:val="24"/>
          <w:u w:val="single"/>
        </w:rPr>
        <w:t>New York City Building Code</w:t>
      </w:r>
      <w:r w:rsidRPr="001B7F77">
        <w:rPr>
          <w:rFonts w:eastAsia="Calibri"/>
          <w:color w:val="000000"/>
          <w:szCs w:val="24"/>
          <w:u w:val="single"/>
        </w:rPr>
        <w:t>. Such plans shall not be required in connection with applications for limited standpipe alterations and limited sprinkler alterations subject to Chapter 5 of this code.</w:t>
      </w:r>
    </w:p>
    <w:p w14:paraId="682DE084" w14:textId="77777777" w:rsidR="001B7F77" w:rsidRPr="001B7F77" w:rsidRDefault="001B7F77" w:rsidP="001B7F77">
      <w:pPr>
        <w:widowControl w:val="0"/>
        <w:tabs>
          <w:tab w:val="left" w:pos="360"/>
        </w:tabs>
        <w:spacing w:before="120"/>
        <w:ind w:left="360"/>
        <w:rPr>
          <w:rFonts w:eastAsia="Calibri"/>
          <w:color w:val="000000"/>
          <w:szCs w:val="24"/>
          <w:u w:val="single"/>
        </w:rPr>
      </w:pPr>
      <w:r w:rsidRPr="001B7F77">
        <w:rPr>
          <w:rFonts w:eastAsia="Calibri"/>
          <w:b/>
          <w:bCs/>
          <w:color w:val="000000"/>
          <w:szCs w:val="24"/>
          <w:u w:val="single"/>
        </w:rPr>
        <w:t xml:space="preserve">106.2.3 Means of egress. </w:t>
      </w:r>
      <w:r w:rsidRPr="001B7F77">
        <w:rPr>
          <w:rFonts w:eastAsia="Calibri"/>
          <w:color w:val="000000"/>
          <w:szCs w:val="24"/>
          <w:u w:val="single"/>
        </w:rPr>
        <w:t xml:space="preserve">The construction documents for Alterations—Level 1, Alterations—Level 2, additions and changes of occupancy where the means of egress are affected shall show in sufficient detail the location, construction, size and character of all portions of the means of egress in compliance with the provisions of this code and Chapter 10 of the </w:t>
      </w:r>
      <w:r w:rsidRPr="001B7F77">
        <w:rPr>
          <w:rFonts w:eastAsia="Calibri"/>
          <w:i/>
          <w:iCs/>
          <w:color w:val="000000"/>
          <w:szCs w:val="24"/>
          <w:u w:val="single"/>
        </w:rPr>
        <w:t>New York City Building Code</w:t>
      </w:r>
      <w:r w:rsidRPr="001B7F77">
        <w:rPr>
          <w:rFonts w:eastAsia="Calibri"/>
          <w:color w:val="000000"/>
          <w:szCs w:val="24"/>
          <w:u w:val="single"/>
        </w:rPr>
        <w:t>, as applicable. The construction documents shall designate the number of occupants to be accommodated in every work area of every floor and in all affected rooms and spaces.</w:t>
      </w:r>
    </w:p>
    <w:p w14:paraId="430B0637" w14:textId="77777777" w:rsidR="001B7F77" w:rsidRPr="001B7F77" w:rsidRDefault="001B7F77" w:rsidP="001B7F77">
      <w:pPr>
        <w:widowControl w:val="0"/>
        <w:tabs>
          <w:tab w:val="left" w:pos="360"/>
        </w:tabs>
        <w:spacing w:before="120"/>
        <w:ind w:left="360"/>
        <w:rPr>
          <w:rFonts w:eastAsia="Calibri"/>
          <w:color w:val="000000"/>
          <w:szCs w:val="24"/>
          <w:u w:val="single"/>
        </w:rPr>
      </w:pPr>
      <w:r w:rsidRPr="001B7F77">
        <w:rPr>
          <w:rFonts w:eastAsia="Calibri"/>
          <w:b/>
          <w:color w:val="000000"/>
          <w:szCs w:val="24"/>
          <w:u w:val="single"/>
        </w:rPr>
        <w:t xml:space="preserve">106.2.4 Exterior wall envelope. </w:t>
      </w:r>
      <w:r w:rsidRPr="001B7F77">
        <w:rPr>
          <w:rFonts w:eastAsia="Calibri"/>
          <w:color w:val="000000"/>
          <w:szCs w:val="24"/>
          <w:u w:val="single"/>
        </w:rPr>
        <w:t xml:space="preserve">Construction documents for work affecting the exterior wall envelope shall describe the exterior wall envelope in sufficient detail to determine compliance with this code, the </w:t>
      </w:r>
      <w:r w:rsidRPr="001B7F77">
        <w:rPr>
          <w:rFonts w:eastAsia="Calibri"/>
          <w:i/>
          <w:color w:val="000000"/>
          <w:szCs w:val="24"/>
          <w:u w:val="single"/>
        </w:rPr>
        <w:t>New York City Building Code</w:t>
      </w:r>
      <w:r w:rsidRPr="001B7F77">
        <w:rPr>
          <w:rFonts w:eastAsia="Calibri"/>
          <w:color w:val="000000"/>
          <w:szCs w:val="24"/>
          <w:u w:val="single"/>
        </w:rPr>
        <w:t xml:space="preserve"> and the </w:t>
      </w:r>
      <w:r w:rsidRPr="001B7F77">
        <w:rPr>
          <w:rFonts w:eastAsia="Calibri"/>
          <w:i/>
          <w:iCs/>
          <w:color w:val="000000"/>
          <w:szCs w:val="24"/>
          <w:u w:val="single"/>
        </w:rPr>
        <w:t>New York City Energy Conservation Code</w:t>
      </w:r>
      <w:r w:rsidRPr="001B7F77">
        <w:rPr>
          <w:rFonts w:eastAsia="Calibri"/>
          <w:color w:val="000000"/>
          <w:szCs w:val="24"/>
          <w:u w:val="single"/>
        </w:rPr>
        <w:t>. The construction documents shall provide, as required, details of the exterior wall envelope pertinent to the proposed work, including windows, doors, flashing, intersections with dissimilar materials, corners, end details, control joints, intersections at roof, eaves, or parapets, means of drainage, water-resistive membrane, and details around openings.</w:t>
      </w:r>
    </w:p>
    <w:p w14:paraId="18FA32CA" w14:textId="77777777" w:rsidR="001B7F77" w:rsidRPr="001B7F77" w:rsidRDefault="001B7F77" w:rsidP="001B7F77">
      <w:pPr>
        <w:widowControl w:val="0"/>
        <w:tabs>
          <w:tab w:val="left" w:pos="360"/>
        </w:tabs>
        <w:spacing w:before="120"/>
        <w:ind w:left="360"/>
        <w:rPr>
          <w:rFonts w:eastAsia="Calibri"/>
          <w:color w:val="000000"/>
          <w:szCs w:val="24"/>
          <w:u w:val="single"/>
        </w:rPr>
      </w:pPr>
      <w:r w:rsidRPr="001B7F77">
        <w:rPr>
          <w:rFonts w:eastAsia="Calibri"/>
          <w:b/>
          <w:color w:val="000000"/>
          <w:szCs w:val="24"/>
          <w:u w:val="single"/>
        </w:rPr>
        <w:t xml:space="preserve">106.2.5 Site plan. </w:t>
      </w:r>
      <w:r w:rsidRPr="001B7F77">
        <w:rPr>
          <w:rFonts w:eastAsia="Calibri"/>
          <w:color w:val="000000"/>
          <w:szCs w:val="24"/>
          <w:u w:val="single"/>
        </w:rPr>
        <w:t>The construction documents submitted with the application for permit shall be accompanied by a site plan showing to scale the size and location of proposed work and existing structures on the site and distances from lot lines. Where the work involves horizontal additions or relocation of existing buildings, the site plan shall be drawn in accordance with an accurate boundary line survey. In the case of demolition, the site plan shall show construction to be demolished and the location and size of existing structures and construction that are to remain on the site or lot. The commissioner is authorized to waive or modify the requirement for a site plan where the application for permit is for alteration or change of occupancy that will not affect site conditions. Additional details may be required by the department.</w:t>
      </w:r>
    </w:p>
    <w:p w14:paraId="517B3BCF" w14:textId="77777777" w:rsidR="001B7F77" w:rsidRPr="001B7F77" w:rsidRDefault="001B7F77" w:rsidP="001B7F77">
      <w:pPr>
        <w:widowControl w:val="0"/>
        <w:tabs>
          <w:tab w:val="left" w:pos="720"/>
        </w:tabs>
        <w:spacing w:before="120"/>
        <w:ind w:left="720"/>
        <w:rPr>
          <w:rFonts w:eastAsia="Calibri"/>
          <w:color w:val="000000"/>
          <w:szCs w:val="24"/>
          <w:u w:val="single"/>
        </w:rPr>
      </w:pPr>
      <w:r w:rsidRPr="001B7F77">
        <w:rPr>
          <w:rFonts w:eastAsia="Calibri"/>
          <w:b/>
          <w:color w:val="000000"/>
          <w:szCs w:val="24"/>
          <w:u w:val="single"/>
        </w:rPr>
        <w:t xml:space="preserve">106.2.5.1 Zoning. </w:t>
      </w:r>
      <w:r w:rsidRPr="001B7F77">
        <w:rPr>
          <w:rFonts w:eastAsia="Calibri"/>
          <w:color w:val="000000"/>
          <w:szCs w:val="24"/>
          <w:u w:val="single"/>
        </w:rPr>
        <w:t xml:space="preserve">Where the proposed work requires compliance with the </w:t>
      </w:r>
      <w:r w:rsidRPr="001B7F77">
        <w:rPr>
          <w:rFonts w:eastAsia="Calibri"/>
          <w:i/>
          <w:iCs/>
          <w:color w:val="000000"/>
          <w:szCs w:val="24"/>
          <w:u w:val="single"/>
        </w:rPr>
        <w:t>New York City Zoning Resolution</w:t>
      </w:r>
      <w:r w:rsidRPr="001B7F77">
        <w:rPr>
          <w:rFonts w:eastAsia="Calibri"/>
          <w:color w:val="000000"/>
          <w:szCs w:val="24"/>
          <w:u w:val="single"/>
        </w:rPr>
        <w:t>, the site plan shall include the entire zoning lot with details required to demonstrate compliance.</w:t>
      </w:r>
    </w:p>
    <w:p w14:paraId="7FB25886" w14:textId="77777777" w:rsidR="001B7F77" w:rsidRPr="001B7F77" w:rsidRDefault="001B7F77" w:rsidP="001B7F77">
      <w:pPr>
        <w:widowControl w:val="0"/>
        <w:pBdr>
          <w:top w:val="nil"/>
          <w:left w:val="nil"/>
          <w:bottom w:val="nil"/>
          <w:right w:val="nil"/>
          <w:between w:val="nil"/>
        </w:pBdr>
        <w:suppressAutoHyphens/>
        <w:spacing w:before="120"/>
        <w:ind w:left="1080"/>
        <w:rPr>
          <w:szCs w:val="24"/>
          <w:u w:val="single"/>
        </w:rPr>
      </w:pPr>
      <w:r w:rsidRPr="001B7F77">
        <w:rPr>
          <w:b/>
          <w:bCs/>
          <w:szCs w:val="24"/>
          <w:u w:val="single"/>
        </w:rPr>
        <w:t>106.2.5.1.1 Multiple tax lots on a zoning lot.</w:t>
      </w:r>
      <w:r w:rsidRPr="001B7F77">
        <w:rPr>
          <w:szCs w:val="24"/>
          <w:u w:val="single"/>
        </w:rPr>
        <w:t xml:space="preserve"> Where an existing building is being enlarged and the zoning lot comprises multiple tax lots, construction documents shall comply with Section 28-104.7.18 of the </w:t>
      </w:r>
      <w:r w:rsidRPr="001B7F77">
        <w:rPr>
          <w:i/>
          <w:iCs/>
          <w:szCs w:val="24"/>
          <w:u w:val="single"/>
        </w:rPr>
        <w:t>Administrative Code</w:t>
      </w:r>
      <w:r w:rsidRPr="001B7F77">
        <w:rPr>
          <w:szCs w:val="24"/>
          <w:u w:val="single"/>
        </w:rPr>
        <w:t>.</w:t>
      </w:r>
    </w:p>
    <w:p w14:paraId="77FB1532" w14:textId="77777777" w:rsidR="001B7F77" w:rsidRPr="001B7F77" w:rsidRDefault="001B7F77" w:rsidP="001B7F77">
      <w:pPr>
        <w:widowControl w:val="0"/>
        <w:tabs>
          <w:tab w:val="left" w:pos="360"/>
        </w:tabs>
        <w:spacing w:before="120"/>
        <w:ind w:left="360"/>
        <w:rPr>
          <w:rFonts w:eastAsia="Calibri"/>
          <w:color w:val="000000"/>
          <w:szCs w:val="24"/>
          <w:u w:val="single"/>
        </w:rPr>
      </w:pPr>
      <w:r w:rsidRPr="001B7F77">
        <w:rPr>
          <w:rFonts w:eastAsia="Calibri"/>
          <w:b/>
          <w:color w:val="000000"/>
          <w:szCs w:val="24"/>
          <w:u w:val="single"/>
        </w:rPr>
        <w:t xml:space="preserve">106.2.6 Energy efficiency. </w:t>
      </w:r>
      <w:r w:rsidRPr="001B7F77">
        <w:rPr>
          <w:rFonts w:eastAsia="Calibri"/>
          <w:color w:val="000000"/>
          <w:szCs w:val="24"/>
          <w:u w:val="single"/>
        </w:rPr>
        <w:t xml:space="preserve">Construction documents shall include compliance documentation as required by the </w:t>
      </w:r>
      <w:r w:rsidRPr="001B7F77">
        <w:rPr>
          <w:rFonts w:eastAsia="Calibri"/>
          <w:i/>
          <w:iCs/>
          <w:color w:val="000000"/>
          <w:szCs w:val="24"/>
          <w:u w:val="single"/>
        </w:rPr>
        <w:t>New York City Energy Conservation Code</w:t>
      </w:r>
      <w:r w:rsidRPr="001B7F77">
        <w:rPr>
          <w:rFonts w:eastAsia="Calibri"/>
          <w:color w:val="000000"/>
          <w:szCs w:val="24"/>
          <w:u w:val="single"/>
        </w:rPr>
        <w:t>.</w:t>
      </w:r>
    </w:p>
    <w:p w14:paraId="76691D91" w14:textId="77777777" w:rsidR="001B7F77" w:rsidRPr="001B7F77" w:rsidRDefault="001B7F77" w:rsidP="001B7F77">
      <w:pPr>
        <w:widowControl w:val="0"/>
        <w:tabs>
          <w:tab w:val="left" w:pos="360"/>
        </w:tabs>
        <w:spacing w:before="120"/>
        <w:ind w:left="360"/>
        <w:rPr>
          <w:rFonts w:eastAsia="Calibri"/>
          <w:color w:val="000000"/>
          <w:szCs w:val="24"/>
          <w:u w:val="single"/>
        </w:rPr>
      </w:pPr>
      <w:r w:rsidRPr="001B7F77">
        <w:rPr>
          <w:rFonts w:eastAsia="Calibri"/>
          <w:b/>
          <w:bCs/>
          <w:color w:val="000000"/>
          <w:szCs w:val="24"/>
          <w:u w:val="single"/>
        </w:rPr>
        <w:t xml:space="preserve">106.2.7 Mechanical and fuel gas systems </w:t>
      </w:r>
      <w:bookmarkStart w:id="18" w:name="_Int_IFLAP7eN"/>
      <w:r w:rsidRPr="001B7F77">
        <w:rPr>
          <w:rFonts w:eastAsia="Calibri"/>
          <w:b/>
          <w:bCs/>
          <w:color w:val="000000"/>
          <w:szCs w:val="24"/>
          <w:u w:val="single"/>
        </w:rPr>
        <w:t>plans</w:t>
      </w:r>
      <w:bookmarkEnd w:id="18"/>
      <w:r w:rsidRPr="001B7F77">
        <w:rPr>
          <w:rFonts w:eastAsia="Calibri"/>
          <w:b/>
          <w:bCs/>
          <w:color w:val="000000"/>
          <w:szCs w:val="24"/>
          <w:u w:val="single"/>
        </w:rPr>
        <w:t>.</w:t>
      </w:r>
      <w:r w:rsidRPr="001B7F77">
        <w:rPr>
          <w:color w:val="000000"/>
          <w:szCs w:val="24"/>
          <w:u w:val="single"/>
        </w:rPr>
        <w:t xml:space="preserve"> </w:t>
      </w:r>
      <w:r w:rsidRPr="001B7F77">
        <w:rPr>
          <w:rFonts w:eastAsia="Calibri"/>
          <w:color w:val="000000"/>
          <w:szCs w:val="24"/>
          <w:u w:val="single"/>
        </w:rPr>
        <w:t xml:space="preserve">Construction documents for gas piping, heating, ventilation, refrigeration and other mechanical work to be performed shall be submitted as required by the </w:t>
      </w:r>
      <w:r w:rsidRPr="001B7F77">
        <w:rPr>
          <w:rFonts w:eastAsia="Calibri"/>
          <w:i/>
          <w:iCs/>
          <w:color w:val="000000"/>
          <w:szCs w:val="24"/>
          <w:u w:val="single"/>
        </w:rPr>
        <w:t>New York City Mechanical Code</w:t>
      </w:r>
      <w:r w:rsidRPr="001B7F77">
        <w:rPr>
          <w:rFonts w:eastAsia="Calibri"/>
          <w:color w:val="000000"/>
          <w:szCs w:val="24"/>
          <w:u w:val="single"/>
        </w:rPr>
        <w:t xml:space="preserve"> and the </w:t>
      </w:r>
      <w:r w:rsidRPr="001B7F77">
        <w:rPr>
          <w:rFonts w:eastAsia="Calibri"/>
          <w:i/>
          <w:iCs/>
          <w:color w:val="000000"/>
          <w:szCs w:val="24"/>
          <w:u w:val="single"/>
        </w:rPr>
        <w:t>New York City Fuel Gas Code</w:t>
      </w:r>
      <w:r w:rsidRPr="001B7F77">
        <w:rPr>
          <w:rFonts w:eastAsia="Calibri"/>
          <w:color w:val="000000"/>
          <w:szCs w:val="24"/>
          <w:u w:val="single"/>
        </w:rPr>
        <w:t>.</w:t>
      </w:r>
    </w:p>
    <w:p w14:paraId="39A02E00" w14:textId="77777777" w:rsidR="001B7F77" w:rsidRPr="001B7F77" w:rsidRDefault="001B7F77" w:rsidP="001B7F77">
      <w:pPr>
        <w:widowControl w:val="0"/>
        <w:tabs>
          <w:tab w:val="left" w:pos="360"/>
        </w:tabs>
        <w:spacing w:before="120"/>
        <w:ind w:left="360"/>
        <w:rPr>
          <w:rFonts w:eastAsia="Calibri"/>
          <w:color w:val="000000"/>
          <w:szCs w:val="24"/>
          <w:u w:val="single"/>
        </w:rPr>
      </w:pPr>
      <w:r w:rsidRPr="001B7F77">
        <w:rPr>
          <w:rFonts w:eastAsia="Calibri"/>
          <w:b/>
          <w:bCs/>
          <w:color w:val="000000"/>
          <w:szCs w:val="24"/>
          <w:u w:val="single"/>
        </w:rPr>
        <w:t>106.2.8 Plumbing plans.</w:t>
      </w:r>
      <w:r w:rsidRPr="001B7F77">
        <w:rPr>
          <w:color w:val="000000"/>
          <w:szCs w:val="24"/>
          <w:u w:val="single"/>
        </w:rPr>
        <w:t xml:space="preserve"> </w:t>
      </w:r>
      <w:r w:rsidRPr="001B7F77">
        <w:rPr>
          <w:rFonts w:eastAsia="Calibri"/>
          <w:color w:val="000000"/>
          <w:szCs w:val="24"/>
          <w:u w:val="single"/>
        </w:rPr>
        <w:t xml:space="preserve">Construction documents for plumbing work to be performed shall be submitted as required by the </w:t>
      </w:r>
      <w:r w:rsidRPr="001B7F77">
        <w:rPr>
          <w:rFonts w:eastAsia="Calibri"/>
          <w:i/>
          <w:iCs/>
          <w:color w:val="000000"/>
          <w:szCs w:val="24"/>
          <w:u w:val="single"/>
        </w:rPr>
        <w:t>New York City Plumbing Code</w:t>
      </w:r>
      <w:r w:rsidRPr="001B7F77">
        <w:rPr>
          <w:rFonts w:eastAsia="Calibri"/>
          <w:color w:val="000000"/>
          <w:szCs w:val="24"/>
          <w:u w:val="single"/>
        </w:rPr>
        <w:t>.</w:t>
      </w:r>
    </w:p>
    <w:p w14:paraId="5111863F" w14:textId="77777777" w:rsidR="001B7F77" w:rsidRPr="001B7F77" w:rsidRDefault="001B7F77" w:rsidP="001B7F77">
      <w:pPr>
        <w:widowControl w:val="0"/>
        <w:tabs>
          <w:tab w:val="left" w:pos="360"/>
        </w:tabs>
        <w:spacing w:before="120"/>
        <w:ind w:left="360"/>
        <w:rPr>
          <w:rFonts w:eastAsia="Calibri"/>
          <w:color w:val="000000"/>
          <w:szCs w:val="24"/>
          <w:u w:val="single"/>
        </w:rPr>
      </w:pPr>
      <w:r w:rsidRPr="001B7F77">
        <w:rPr>
          <w:rFonts w:eastAsia="Calibri"/>
          <w:b/>
          <w:bCs/>
          <w:color w:val="000000"/>
          <w:szCs w:val="24"/>
          <w:u w:val="single"/>
        </w:rPr>
        <w:t>106.2.9 Special requirements.</w:t>
      </w:r>
      <w:r w:rsidRPr="001B7F77">
        <w:rPr>
          <w:rFonts w:eastAsia="Calibri"/>
          <w:color w:val="000000"/>
          <w:szCs w:val="24"/>
          <w:u w:val="single"/>
        </w:rPr>
        <w:t xml:space="preserve"> Certain types of work shall be included and identified in the construction documents in accordance with Sections 106.2.9.1 through 106.2.9.6, as applicable.</w:t>
      </w:r>
    </w:p>
    <w:p w14:paraId="28580D55" w14:textId="77777777" w:rsidR="001B7F77" w:rsidRPr="001B7F77" w:rsidRDefault="001B7F77" w:rsidP="001B7F77">
      <w:pPr>
        <w:widowControl w:val="0"/>
        <w:tabs>
          <w:tab w:val="left" w:pos="720"/>
        </w:tabs>
        <w:spacing w:before="120"/>
        <w:ind w:left="720"/>
        <w:rPr>
          <w:rFonts w:eastAsia="Calibri"/>
          <w:color w:val="000000"/>
          <w:szCs w:val="24"/>
          <w:u w:val="single"/>
        </w:rPr>
      </w:pPr>
      <w:r w:rsidRPr="001B7F77">
        <w:rPr>
          <w:rFonts w:eastAsia="Calibri"/>
          <w:b/>
          <w:bCs/>
          <w:color w:val="000000"/>
          <w:szCs w:val="24"/>
          <w:u w:val="single"/>
        </w:rPr>
        <w:t>106.2.9.1 Identification of work involving relocation, moving or raising a building.</w:t>
      </w:r>
      <w:r w:rsidRPr="001B7F77">
        <w:rPr>
          <w:rFonts w:eastAsia="Calibri"/>
          <w:color w:val="000000"/>
          <w:szCs w:val="24"/>
          <w:u w:val="single"/>
        </w:rPr>
        <w:t xml:space="preserve"> Where an existing building is being relocated, moved, or the lowest above-grade floor or the lowest subgrade floor of a building is to be raised, lifted or elevated, such work shall be listed on the title sheet of the construction documents as subject to special inspection. Refer to Section 28-104.7.13 of the </w:t>
      </w:r>
      <w:r w:rsidRPr="001B7F77">
        <w:rPr>
          <w:rFonts w:eastAsia="Calibri"/>
          <w:i/>
          <w:iCs/>
          <w:color w:val="000000"/>
          <w:szCs w:val="24"/>
          <w:u w:val="single"/>
        </w:rPr>
        <w:t>Administrative Code</w:t>
      </w:r>
      <w:r w:rsidRPr="001B7F77">
        <w:rPr>
          <w:rFonts w:eastAsia="Calibri"/>
          <w:color w:val="000000"/>
          <w:szCs w:val="24"/>
          <w:u w:val="single"/>
        </w:rPr>
        <w:t>.</w:t>
      </w:r>
    </w:p>
    <w:p w14:paraId="550445AD" w14:textId="77777777" w:rsidR="001B7F77" w:rsidRPr="001B7F77" w:rsidRDefault="001B7F77" w:rsidP="001B7F77">
      <w:pPr>
        <w:widowControl w:val="0"/>
        <w:tabs>
          <w:tab w:val="left" w:pos="720"/>
        </w:tabs>
        <w:spacing w:before="120"/>
        <w:ind w:left="720"/>
        <w:rPr>
          <w:rFonts w:eastAsia="Calibri"/>
          <w:color w:val="000000"/>
          <w:szCs w:val="24"/>
          <w:u w:val="single"/>
        </w:rPr>
      </w:pPr>
      <w:r w:rsidRPr="001B7F77">
        <w:rPr>
          <w:rFonts w:eastAsia="Calibri"/>
          <w:b/>
          <w:bCs/>
          <w:color w:val="000000"/>
          <w:szCs w:val="24"/>
          <w:u w:val="single"/>
        </w:rPr>
        <w:t xml:space="preserve">106.2.9.2 Identification of certain I-1 and I-2 occupancies and of certain adult homes, enriched housing, </w:t>
      </w:r>
      <w:r w:rsidRPr="001B7F77">
        <w:rPr>
          <w:rFonts w:eastAsia="Calibri" w:cs="Arial"/>
          <w:b/>
          <w:color w:val="000000"/>
          <w:szCs w:val="24"/>
          <w:u w:val="single"/>
        </w:rPr>
        <w:t>community residences and intermediate care facilities as exempt from temporary external generator connection requirements</w:t>
      </w:r>
      <w:r w:rsidRPr="001B7F77">
        <w:rPr>
          <w:rFonts w:eastAsia="Calibri"/>
          <w:b/>
          <w:bCs/>
          <w:color w:val="000000"/>
          <w:szCs w:val="24"/>
          <w:u w:val="single"/>
        </w:rPr>
        <w:t>.</w:t>
      </w:r>
      <w:r w:rsidRPr="001B7F77">
        <w:rPr>
          <w:rFonts w:eastAsia="Calibri"/>
          <w:color w:val="000000"/>
          <w:szCs w:val="24"/>
          <w:u w:val="single"/>
        </w:rPr>
        <w:t xml:space="preserve"> Refer to Section 28-104.7.14 of the </w:t>
      </w:r>
      <w:r w:rsidRPr="001B7F77">
        <w:rPr>
          <w:rFonts w:eastAsia="Calibri"/>
          <w:i/>
          <w:color w:val="000000"/>
          <w:szCs w:val="24"/>
          <w:u w:val="single"/>
        </w:rPr>
        <w:t>Administrative Code</w:t>
      </w:r>
      <w:r w:rsidRPr="001B7F77">
        <w:rPr>
          <w:rFonts w:eastAsia="Calibri"/>
          <w:color w:val="000000"/>
          <w:szCs w:val="24"/>
          <w:u w:val="single"/>
        </w:rPr>
        <w:t>.</w:t>
      </w:r>
    </w:p>
    <w:p w14:paraId="1FF1E8D9" w14:textId="77777777" w:rsidR="001B7F77" w:rsidRPr="001B7F77" w:rsidRDefault="001B7F77" w:rsidP="001B7F77">
      <w:pPr>
        <w:widowControl w:val="0"/>
        <w:tabs>
          <w:tab w:val="left" w:pos="720"/>
        </w:tabs>
        <w:spacing w:before="120"/>
        <w:ind w:left="720"/>
        <w:rPr>
          <w:rFonts w:eastAsia="Calibri"/>
          <w:color w:val="000000"/>
          <w:szCs w:val="24"/>
          <w:u w:val="single"/>
        </w:rPr>
      </w:pPr>
      <w:r w:rsidRPr="001B7F77">
        <w:rPr>
          <w:rFonts w:eastAsia="Calibri"/>
          <w:b/>
          <w:bCs/>
          <w:color w:val="000000"/>
          <w:szCs w:val="24"/>
          <w:u w:val="single"/>
        </w:rPr>
        <w:t>106.2.9.3 Identification of certain hospitals as exempt from temporary external boiler or chiller connection requirements.</w:t>
      </w:r>
      <w:r w:rsidRPr="001B7F77">
        <w:rPr>
          <w:rFonts w:eastAsia="Calibri"/>
          <w:color w:val="000000"/>
          <w:szCs w:val="24"/>
          <w:u w:val="single"/>
        </w:rPr>
        <w:t xml:space="preserve"> Refer to Section 28-104.7.15 of the </w:t>
      </w:r>
      <w:r w:rsidRPr="001B7F77">
        <w:rPr>
          <w:rFonts w:eastAsia="Calibri"/>
          <w:i/>
          <w:color w:val="000000"/>
          <w:szCs w:val="24"/>
          <w:u w:val="single"/>
        </w:rPr>
        <w:t>Administrative Code</w:t>
      </w:r>
      <w:r w:rsidRPr="001B7F77">
        <w:rPr>
          <w:rFonts w:eastAsia="Calibri"/>
          <w:color w:val="000000"/>
          <w:szCs w:val="24"/>
          <w:u w:val="single"/>
        </w:rPr>
        <w:t>.</w:t>
      </w:r>
    </w:p>
    <w:p w14:paraId="1E7E8EFF" w14:textId="77777777" w:rsidR="001B7F77" w:rsidRPr="001B7F77" w:rsidRDefault="001B7F77" w:rsidP="001B7F77">
      <w:pPr>
        <w:widowControl w:val="0"/>
        <w:tabs>
          <w:tab w:val="left" w:pos="720"/>
        </w:tabs>
        <w:spacing w:before="120"/>
        <w:ind w:left="720"/>
        <w:rPr>
          <w:rFonts w:eastAsia="Calibri"/>
          <w:color w:val="000000"/>
          <w:szCs w:val="24"/>
          <w:u w:val="single"/>
        </w:rPr>
      </w:pPr>
      <w:r w:rsidRPr="001B7F77">
        <w:rPr>
          <w:rFonts w:eastAsia="Calibri"/>
          <w:b/>
          <w:bCs/>
          <w:color w:val="000000"/>
          <w:szCs w:val="24"/>
          <w:u w:val="single"/>
        </w:rPr>
        <w:t>106.2.9.4 Tenant protection plan</w:t>
      </w:r>
      <w:r w:rsidRPr="001B7F77">
        <w:rPr>
          <w:rFonts w:eastAsia="Calibri"/>
          <w:color w:val="000000"/>
          <w:szCs w:val="24"/>
          <w:u w:val="single"/>
        </w:rPr>
        <w:t xml:space="preserve">. The title sheet of construction documents shall contain a statement that a tenant protection plan must be submitted in accordance with the requirements of Section 1503 of this code and Section 28-104.7.16 of the </w:t>
      </w:r>
      <w:r w:rsidRPr="001B7F77">
        <w:rPr>
          <w:rFonts w:eastAsia="Calibri"/>
          <w:i/>
          <w:iCs/>
          <w:color w:val="000000"/>
          <w:szCs w:val="24"/>
          <w:u w:val="single"/>
        </w:rPr>
        <w:t>Administrative Code</w:t>
      </w:r>
      <w:r w:rsidRPr="001B7F77">
        <w:rPr>
          <w:rFonts w:eastAsia="Calibri"/>
          <w:color w:val="000000"/>
          <w:szCs w:val="24"/>
          <w:u w:val="single"/>
        </w:rPr>
        <w:t xml:space="preserve"> prior to the issuance of a permit for alteration, construction or partial demolition work in a building containing one or more occupied dwelling units.</w:t>
      </w:r>
    </w:p>
    <w:p w14:paraId="78408F05" w14:textId="77777777" w:rsidR="001B7F77" w:rsidRPr="001B7F77" w:rsidRDefault="001B7F77" w:rsidP="001B7F77">
      <w:pPr>
        <w:widowControl w:val="0"/>
        <w:tabs>
          <w:tab w:val="left" w:pos="720"/>
        </w:tabs>
        <w:spacing w:before="120"/>
        <w:ind w:left="720"/>
        <w:rPr>
          <w:rFonts w:eastAsia="Calibri"/>
          <w:color w:val="000000"/>
          <w:szCs w:val="24"/>
          <w:u w:val="single"/>
        </w:rPr>
      </w:pPr>
      <w:r w:rsidRPr="001B7F77">
        <w:rPr>
          <w:rFonts w:eastAsia="Calibri"/>
          <w:b/>
          <w:bCs/>
          <w:color w:val="000000"/>
          <w:szCs w:val="24"/>
          <w:u w:val="single"/>
        </w:rPr>
        <w:t>106.2.9.5 Coastal zones and water-sensitive inland zones.</w:t>
      </w:r>
      <w:r w:rsidRPr="001B7F77">
        <w:rPr>
          <w:rFonts w:eastAsia="Calibri"/>
          <w:color w:val="000000"/>
          <w:szCs w:val="24"/>
          <w:u w:val="single"/>
        </w:rPr>
        <w:t xml:space="preserve"> Construction documents for work relating to alterations of existing buildings in coastal zones and water-sensitive inland zones shall comply with Section 28-104.9 of the </w:t>
      </w:r>
      <w:r w:rsidRPr="001B7F77">
        <w:rPr>
          <w:rFonts w:eastAsia="Calibri"/>
          <w:i/>
          <w:iCs/>
          <w:color w:val="000000"/>
          <w:szCs w:val="24"/>
          <w:u w:val="single"/>
        </w:rPr>
        <w:t>Administrative Code</w:t>
      </w:r>
      <w:r w:rsidRPr="001B7F77">
        <w:rPr>
          <w:rFonts w:eastAsia="Calibri"/>
          <w:color w:val="000000"/>
          <w:szCs w:val="24"/>
          <w:u w:val="single"/>
        </w:rPr>
        <w:t>.</w:t>
      </w:r>
    </w:p>
    <w:p w14:paraId="5FBBB078" w14:textId="77777777" w:rsidR="001B7F77" w:rsidRPr="001B7F77" w:rsidRDefault="001B7F77" w:rsidP="001B7F77">
      <w:pPr>
        <w:widowControl w:val="0"/>
        <w:tabs>
          <w:tab w:val="left" w:pos="720"/>
        </w:tabs>
        <w:spacing w:before="120"/>
        <w:ind w:left="720"/>
        <w:rPr>
          <w:rFonts w:eastAsia="Calibri"/>
          <w:color w:val="000000"/>
          <w:szCs w:val="24"/>
          <w:u w:val="single"/>
        </w:rPr>
      </w:pPr>
      <w:r w:rsidRPr="001B7F77">
        <w:rPr>
          <w:rFonts w:eastAsia="Calibri"/>
          <w:b/>
          <w:bCs/>
          <w:color w:val="000000"/>
          <w:szCs w:val="24"/>
          <w:u w:val="single"/>
        </w:rPr>
        <w:t>1</w:t>
      </w:r>
      <w:r w:rsidRPr="001B7F77">
        <w:rPr>
          <w:rFonts w:eastAsia="Calibri"/>
          <w:b/>
          <w:color w:val="000000"/>
          <w:szCs w:val="24"/>
          <w:u w:val="single"/>
        </w:rPr>
        <w:t>06.2.9.6 Discharge of sewage and discharge and/or management of stormwater runoff</w:t>
      </w:r>
      <w:r w:rsidRPr="001B7F77">
        <w:rPr>
          <w:rFonts w:eastAsia="Calibri"/>
          <w:color w:val="000000"/>
          <w:szCs w:val="24"/>
          <w:u w:val="single"/>
        </w:rPr>
        <w:t>. Applications for construction document approval shall comply with Sections 106.2.9.6.1 and 106.2.9.6.2.</w:t>
      </w:r>
    </w:p>
    <w:p w14:paraId="3E6DDCF6" w14:textId="77777777" w:rsidR="001B7F77" w:rsidRPr="001B7F77" w:rsidRDefault="001B7F77" w:rsidP="001B7F77">
      <w:pPr>
        <w:widowControl w:val="0"/>
        <w:suppressAutoHyphens/>
        <w:spacing w:before="120"/>
        <w:ind w:left="1152"/>
        <w:rPr>
          <w:szCs w:val="24"/>
          <w:u w:val="single"/>
        </w:rPr>
      </w:pPr>
      <w:r w:rsidRPr="001B7F77">
        <w:rPr>
          <w:b/>
          <w:bCs/>
          <w:szCs w:val="24"/>
          <w:u w:val="single"/>
        </w:rPr>
        <w:t>106.2.9.6.1 Sewage.</w:t>
      </w:r>
      <w:r w:rsidRPr="001B7F77">
        <w:rPr>
          <w:szCs w:val="24"/>
          <w:u w:val="single"/>
        </w:rPr>
        <w:t xml:space="preserve"> Applications for construction document approval shall include submittal documents relating to the availability and feasibility of a public sanitary or public combined sewer in accordance with Section 107.11.1 of the </w:t>
      </w:r>
      <w:r w:rsidRPr="001B7F77">
        <w:rPr>
          <w:i/>
          <w:iCs/>
          <w:szCs w:val="24"/>
          <w:u w:val="single"/>
        </w:rPr>
        <w:t>New York City Building Code</w:t>
      </w:r>
      <w:r w:rsidRPr="001B7F77">
        <w:rPr>
          <w:szCs w:val="24"/>
          <w:u w:val="single"/>
        </w:rPr>
        <w:t xml:space="preserve"> and Section 107.6.1 of the </w:t>
      </w:r>
      <w:r w:rsidRPr="001B7F77">
        <w:rPr>
          <w:i/>
          <w:iCs/>
          <w:szCs w:val="24"/>
          <w:u w:val="single"/>
        </w:rPr>
        <w:t>New York City Plumbing Code</w:t>
      </w:r>
      <w:r w:rsidRPr="001B7F77">
        <w:rPr>
          <w:szCs w:val="24"/>
          <w:u w:val="single"/>
        </w:rPr>
        <w:t>, for the following types of applications:</w:t>
      </w:r>
    </w:p>
    <w:p w14:paraId="17C29C64" w14:textId="77777777" w:rsidR="001B7F77" w:rsidRPr="001B7F77" w:rsidRDefault="001B7F77" w:rsidP="0001508F">
      <w:pPr>
        <w:widowControl w:val="0"/>
        <w:numPr>
          <w:ilvl w:val="0"/>
          <w:numId w:val="7"/>
        </w:numPr>
        <w:suppressAutoHyphens/>
        <w:autoSpaceDE w:val="0"/>
        <w:autoSpaceDN w:val="0"/>
        <w:adjustRightInd w:val="0"/>
        <w:spacing w:before="120"/>
        <w:ind w:left="1800"/>
        <w:jc w:val="left"/>
        <w:rPr>
          <w:szCs w:val="24"/>
          <w:u w:val="single"/>
        </w:rPr>
      </w:pPr>
      <w:r w:rsidRPr="001B7F77">
        <w:rPr>
          <w:szCs w:val="24"/>
          <w:u w:val="single"/>
        </w:rPr>
        <w:t>Alterations that require an increase in size to an existing sanitary or combined sewer connection; and/or</w:t>
      </w:r>
    </w:p>
    <w:p w14:paraId="1FF665B2" w14:textId="77777777" w:rsidR="001B7F77" w:rsidRPr="001B7F77" w:rsidRDefault="001B7F77" w:rsidP="0001508F">
      <w:pPr>
        <w:widowControl w:val="0"/>
        <w:numPr>
          <w:ilvl w:val="0"/>
          <w:numId w:val="7"/>
        </w:numPr>
        <w:suppressAutoHyphens/>
        <w:autoSpaceDE w:val="0"/>
        <w:autoSpaceDN w:val="0"/>
        <w:adjustRightInd w:val="0"/>
        <w:spacing w:before="120"/>
        <w:ind w:left="1800"/>
        <w:jc w:val="left"/>
        <w:rPr>
          <w:szCs w:val="24"/>
          <w:u w:val="single"/>
        </w:rPr>
      </w:pPr>
      <w:r w:rsidRPr="001B7F77">
        <w:rPr>
          <w:szCs w:val="24"/>
          <w:u w:val="single"/>
        </w:rPr>
        <w:t>Alterations requiring a new connection to a sanitary or combined sewer.</w:t>
      </w:r>
    </w:p>
    <w:p w14:paraId="4AA82E70" w14:textId="77777777" w:rsidR="001B7F77" w:rsidRPr="001B7F77" w:rsidRDefault="001B7F77" w:rsidP="001B7F77">
      <w:pPr>
        <w:widowControl w:val="0"/>
        <w:suppressAutoHyphens/>
        <w:spacing w:before="120"/>
        <w:ind w:left="1152"/>
        <w:rPr>
          <w:szCs w:val="24"/>
          <w:u w:val="single"/>
        </w:rPr>
      </w:pPr>
      <w:bookmarkStart w:id="19" w:name="_Hlk84242172"/>
      <w:r w:rsidRPr="001B7F77">
        <w:rPr>
          <w:b/>
          <w:bCs/>
          <w:szCs w:val="24"/>
          <w:u w:val="single"/>
        </w:rPr>
        <w:t xml:space="preserve">106.2.9.6.2 Stormwater. </w:t>
      </w:r>
      <w:r w:rsidRPr="001B7F77">
        <w:rPr>
          <w:szCs w:val="24"/>
          <w:u w:val="single"/>
        </w:rPr>
        <w:t xml:space="preserve">Applications for construction document approval shall include submittal documents relating to the availability and feasibility of a public combined or storm sewer or other approved method for stormwater discharge in accordance with Section 107.11.2 of the </w:t>
      </w:r>
      <w:r w:rsidRPr="001B7F77">
        <w:rPr>
          <w:i/>
          <w:szCs w:val="24"/>
          <w:u w:val="single"/>
        </w:rPr>
        <w:t>New York City Building Code</w:t>
      </w:r>
      <w:r w:rsidRPr="001B7F77">
        <w:rPr>
          <w:szCs w:val="24"/>
          <w:u w:val="single"/>
        </w:rPr>
        <w:t xml:space="preserve"> and Section 107.6.2 of the </w:t>
      </w:r>
      <w:r w:rsidRPr="001B7F77">
        <w:rPr>
          <w:i/>
          <w:iCs/>
          <w:szCs w:val="24"/>
          <w:u w:val="single"/>
        </w:rPr>
        <w:t>New York City Plumbing Code</w:t>
      </w:r>
      <w:r w:rsidRPr="001B7F77">
        <w:rPr>
          <w:szCs w:val="24"/>
          <w:u w:val="single"/>
        </w:rPr>
        <w:t>, for the following types of applications:</w:t>
      </w:r>
    </w:p>
    <w:p w14:paraId="310A512F" w14:textId="77777777" w:rsidR="001B7F77" w:rsidRPr="001B7F77" w:rsidRDefault="001B7F77" w:rsidP="0001508F">
      <w:pPr>
        <w:widowControl w:val="0"/>
        <w:numPr>
          <w:ilvl w:val="0"/>
          <w:numId w:val="8"/>
        </w:numPr>
        <w:suppressAutoHyphens/>
        <w:kinsoku w:val="0"/>
        <w:spacing w:before="120"/>
        <w:ind w:left="1800"/>
        <w:jc w:val="left"/>
        <w:rPr>
          <w:szCs w:val="24"/>
          <w:u w:val="single"/>
        </w:rPr>
      </w:pPr>
      <w:r w:rsidRPr="001B7F77">
        <w:rPr>
          <w:szCs w:val="24"/>
          <w:u w:val="single"/>
        </w:rPr>
        <w:t>Alterations of buildings proposing horizontal building enlargement; and/or</w:t>
      </w:r>
    </w:p>
    <w:p w14:paraId="73D95163" w14:textId="77777777" w:rsidR="001B7F77" w:rsidRPr="001B7F77" w:rsidRDefault="001B7F77" w:rsidP="0001508F">
      <w:pPr>
        <w:widowControl w:val="0"/>
        <w:numPr>
          <w:ilvl w:val="0"/>
          <w:numId w:val="8"/>
        </w:numPr>
        <w:suppressAutoHyphens/>
        <w:kinsoku w:val="0"/>
        <w:spacing w:before="120"/>
        <w:ind w:left="1800"/>
        <w:jc w:val="left"/>
        <w:rPr>
          <w:szCs w:val="24"/>
          <w:u w:val="single"/>
        </w:rPr>
      </w:pPr>
      <w:r w:rsidRPr="001B7F77">
        <w:rPr>
          <w:szCs w:val="24"/>
          <w:u w:val="single"/>
        </w:rPr>
        <w:t>Alterations that increase impervious surfaces on the tax lot.</w:t>
      </w:r>
    </w:p>
    <w:p w14:paraId="73143095" w14:textId="77777777" w:rsidR="001B7F77" w:rsidRPr="001B7F77" w:rsidRDefault="001B7F77" w:rsidP="001B7F77">
      <w:pPr>
        <w:widowControl w:val="0"/>
        <w:suppressAutoHyphens/>
        <w:kinsoku w:val="0"/>
        <w:spacing w:before="120"/>
        <w:ind w:left="1440"/>
        <w:rPr>
          <w:b/>
          <w:szCs w:val="24"/>
          <w:u w:val="single"/>
        </w:rPr>
      </w:pPr>
      <w:r w:rsidRPr="001B7F77">
        <w:rPr>
          <w:b/>
          <w:szCs w:val="24"/>
          <w:u w:val="single"/>
        </w:rPr>
        <w:t>Exceptions:</w:t>
      </w:r>
    </w:p>
    <w:p w14:paraId="6898BA70" w14:textId="77777777" w:rsidR="001B7F77" w:rsidRPr="001B7F77" w:rsidRDefault="001B7F77" w:rsidP="001B7F77">
      <w:pPr>
        <w:widowControl w:val="0"/>
        <w:suppressAutoHyphens/>
        <w:kinsoku w:val="0"/>
        <w:spacing w:before="120"/>
        <w:ind w:left="2160" w:hanging="360"/>
        <w:rPr>
          <w:szCs w:val="24"/>
          <w:u w:val="single"/>
        </w:rPr>
      </w:pPr>
      <w:r w:rsidRPr="001B7F77">
        <w:rPr>
          <w:szCs w:val="24"/>
          <w:u w:val="single"/>
        </w:rPr>
        <w:t>1.</w:t>
      </w:r>
      <w:r w:rsidRPr="001B7F77">
        <w:rPr>
          <w:szCs w:val="24"/>
          <w:u w:val="single"/>
        </w:rPr>
        <w:tab/>
        <w:t>Applications for construction document approval for the alteration of an existing building other than a one- or two-family dwelling need not include such submittal documents, where the increase in area of the footprint resulting from a proposed horizontal building enlargement and any proposed increase in impervious surfaces on a lot combined is less than or equal to 1,000 square feet (93 m</w:t>
      </w:r>
      <w:r w:rsidRPr="001B7F77">
        <w:rPr>
          <w:szCs w:val="24"/>
          <w:u w:val="single"/>
          <w:vertAlign w:val="superscript"/>
        </w:rPr>
        <w:t>2</w:t>
      </w:r>
      <w:r w:rsidRPr="001B7F77">
        <w:rPr>
          <w:szCs w:val="24"/>
          <w:u w:val="single"/>
        </w:rPr>
        <w:t>), and on-site disposal of stormwater conforming to the provisions of the applicable laws and rules as determined by the department is proposed for such enlargement and/or increase in impervious surface. In such cases, the stormwater discharge may be accommodated by existing facilities. Construction documents shall include the amount of proposed increase in impervious area. For the purposes of this exception, the 1,000 square feet (93 m</w:t>
      </w:r>
      <w:r w:rsidRPr="001B7F77">
        <w:rPr>
          <w:szCs w:val="24"/>
          <w:u w:val="single"/>
          <w:vertAlign w:val="superscript"/>
        </w:rPr>
        <w:t>2</w:t>
      </w:r>
      <w:r w:rsidRPr="001B7F77">
        <w:rPr>
          <w:szCs w:val="24"/>
          <w:u w:val="single"/>
        </w:rPr>
        <w:t>) area shall include all cumulative enlargements and increases in impervious surface area made on the same tax lot after July 1, 2008.</w:t>
      </w:r>
    </w:p>
    <w:p w14:paraId="463553B2" w14:textId="77777777" w:rsidR="001B7F77" w:rsidRPr="001B7F77" w:rsidRDefault="001B7F77" w:rsidP="001B7F77">
      <w:pPr>
        <w:widowControl w:val="0"/>
        <w:suppressAutoHyphens/>
        <w:kinsoku w:val="0"/>
        <w:spacing w:before="120"/>
        <w:ind w:left="3060" w:hanging="540"/>
        <w:rPr>
          <w:szCs w:val="24"/>
          <w:u w:val="single"/>
        </w:rPr>
      </w:pPr>
      <w:r w:rsidRPr="001B7F77">
        <w:rPr>
          <w:szCs w:val="24"/>
          <w:u w:val="single"/>
        </w:rPr>
        <w:t>1.1.</w:t>
      </w:r>
      <w:r w:rsidRPr="001B7F77">
        <w:rPr>
          <w:szCs w:val="24"/>
          <w:u w:val="single"/>
        </w:rPr>
        <w:tab/>
        <w:t>This exception shall not apply where on-site disposal cannot be designed to conform to the provisions of the applicable laws and rules including but not limited to minimum required distances from lot lines or structures or subsoil conditions as determined by the department.</w:t>
      </w:r>
    </w:p>
    <w:p w14:paraId="06D8BAEB" w14:textId="77777777" w:rsidR="001B7F77" w:rsidRPr="001B7F77" w:rsidRDefault="001B7F77" w:rsidP="001B7F77">
      <w:pPr>
        <w:widowControl w:val="0"/>
        <w:suppressAutoHyphens/>
        <w:kinsoku w:val="0"/>
        <w:spacing w:before="120"/>
        <w:ind w:left="2160" w:hanging="360"/>
        <w:rPr>
          <w:szCs w:val="24"/>
          <w:u w:val="single"/>
        </w:rPr>
      </w:pPr>
      <w:r w:rsidRPr="001B7F77">
        <w:rPr>
          <w:szCs w:val="24"/>
          <w:u w:val="single"/>
        </w:rPr>
        <w:t>2.</w:t>
      </w:r>
      <w:r w:rsidRPr="001B7F77">
        <w:rPr>
          <w:szCs w:val="24"/>
          <w:u w:val="single"/>
        </w:rPr>
        <w:tab/>
        <w:t>Applications for construction document approval for the alteration of an existing one- or two-family dwelling need not include such submittal documents, where the total area of a proposed horizontal building enlargement plus any proposed increase in impervious surfaces is less than or equal to 200 square feet (19 m</w:t>
      </w:r>
      <w:r w:rsidRPr="001B7F77">
        <w:rPr>
          <w:szCs w:val="24"/>
          <w:u w:val="single"/>
          <w:vertAlign w:val="superscript"/>
        </w:rPr>
        <w:t>2</w:t>
      </w:r>
      <w:r w:rsidRPr="001B7F77">
        <w:rPr>
          <w:szCs w:val="24"/>
          <w:u w:val="single"/>
        </w:rPr>
        <w:t xml:space="preserve">). Construction documents shall include the amount of proposed increase in impervious </w:t>
      </w:r>
      <w:r w:rsidRPr="001B7F77">
        <w:rPr>
          <w:bCs/>
          <w:szCs w:val="24"/>
          <w:u w:val="single"/>
        </w:rPr>
        <w:t xml:space="preserve">surface </w:t>
      </w:r>
      <w:r w:rsidRPr="001B7F77">
        <w:rPr>
          <w:szCs w:val="24"/>
          <w:u w:val="single"/>
        </w:rPr>
        <w:t>area. For the purposes of this exception, the 200 square feet (19 m</w:t>
      </w:r>
      <w:r w:rsidRPr="001B7F77">
        <w:rPr>
          <w:szCs w:val="24"/>
          <w:u w:val="single"/>
          <w:vertAlign w:val="superscript"/>
        </w:rPr>
        <w:t>2</w:t>
      </w:r>
      <w:r w:rsidRPr="001B7F77">
        <w:rPr>
          <w:szCs w:val="24"/>
          <w:u w:val="single"/>
        </w:rPr>
        <w:t>) area shall include all cumulative enlargements and increases in impervious surface area made on the same tax lot after July 1, 2008.</w:t>
      </w:r>
    </w:p>
    <w:bookmarkEnd w:id="19"/>
    <w:p w14:paraId="43878863" w14:textId="77777777" w:rsidR="001B7F77" w:rsidRPr="001B7F77" w:rsidRDefault="001B7F77" w:rsidP="001B7F77">
      <w:pPr>
        <w:widowControl w:val="0"/>
        <w:spacing w:before="120"/>
        <w:ind w:left="1152"/>
        <w:rPr>
          <w:rFonts w:eastAsia="Calibri"/>
          <w:color w:val="000000"/>
          <w:szCs w:val="24"/>
          <w:u w:val="single"/>
        </w:rPr>
      </w:pPr>
      <w:r w:rsidRPr="001B7F77">
        <w:rPr>
          <w:rFonts w:eastAsia="Calibri"/>
          <w:b/>
          <w:color w:val="000000"/>
          <w:szCs w:val="24"/>
          <w:u w:val="single"/>
        </w:rPr>
        <w:t xml:space="preserve">106.2.9.6.3 Post-construction stormwater management facilities. </w:t>
      </w:r>
      <w:r w:rsidRPr="001B7F77">
        <w:rPr>
          <w:rFonts w:eastAsia="Calibri"/>
          <w:color w:val="000000"/>
          <w:szCs w:val="24"/>
          <w:u w:val="single"/>
        </w:rPr>
        <w:t xml:space="preserve">A post-construction stormwater management facility shall comply with Section 107.11.3 of the </w:t>
      </w:r>
      <w:r w:rsidRPr="001B7F77">
        <w:rPr>
          <w:rFonts w:eastAsia="Calibri"/>
          <w:i/>
          <w:color w:val="000000"/>
          <w:szCs w:val="24"/>
          <w:u w:val="single"/>
        </w:rPr>
        <w:t>New York City Building Code</w:t>
      </w:r>
      <w:r w:rsidRPr="001B7F77">
        <w:rPr>
          <w:rFonts w:eastAsia="Calibri"/>
          <w:color w:val="000000"/>
          <w:szCs w:val="24"/>
          <w:u w:val="single"/>
        </w:rPr>
        <w:t>.</w:t>
      </w:r>
    </w:p>
    <w:p w14:paraId="41880E97" w14:textId="77777777" w:rsidR="001B7F77" w:rsidRPr="001B7F77" w:rsidRDefault="001B7F77" w:rsidP="001B7F77">
      <w:pPr>
        <w:widowControl w:val="0"/>
        <w:spacing w:before="120"/>
        <w:rPr>
          <w:rFonts w:eastAsia="Calibri"/>
          <w:color w:val="000000"/>
          <w:szCs w:val="24"/>
          <w:u w:val="single"/>
        </w:rPr>
      </w:pPr>
      <w:bookmarkStart w:id="20" w:name="_Hlk78529229"/>
      <w:r w:rsidRPr="001B7F77">
        <w:rPr>
          <w:rFonts w:eastAsia="Calibri"/>
          <w:b/>
          <w:bCs/>
          <w:color w:val="000000"/>
          <w:szCs w:val="24"/>
          <w:u w:val="single"/>
        </w:rPr>
        <w:t>106</w:t>
      </w:r>
      <w:r w:rsidRPr="001B7F77">
        <w:rPr>
          <w:rFonts w:eastAsia="Calibri"/>
          <w:color w:val="000000"/>
          <w:szCs w:val="24"/>
          <w:u w:val="single"/>
        </w:rPr>
        <w:t>.</w:t>
      </w:r>
      <w:r w:rsidRPr="001B7F77">
        <w:rPr>
          <w:rFonts w:eastAsia="Calibri"/>
          <w:b/>
          <w:bCs/>
          <w:color w:val="000000"/>
          <w:szCs w:val="24"/>
          <w:u w:val="single"/>
        </w:rPr>
        <w:t>3 Additional requirements.</w:t>
      </w:r>
      <w:r w:rsidRPr="001B7F77">
        <w:rPr>
          <w:rFonts w:eastAsia="Calibri"/>
          <w:color w:val="000000"/>
          <w:szCs w:val="24"/>
          <w:u w:val="single"/>
        </w:rPr>
        <w:t xml:space="preserve"> Alterations, additions, repairs, changes of occupancy and relocations of existing buildings shall comply with the following additional requirements as applicable:</w:t>
      </w:r>
    </w:p>
    <w:p w14:paraId="1BA47B6B" w14:textId="77777777" w:rsidR="001B7F77" w:rsidRPr="001B7F77" w:rsidRDefault="001B7F77" w:rsidP="001B7F77">
      <w:pPr>
        <w:widowControl w:val="0"/>
        <w:spacing w:before="120"/>
        <w:ind w:left="720" w:hanging="360"/>
        <w:rPr>
          <w:rFonts w:eastAsia="Calibri"/>
          <w:bCs/>
          <w:color w:val="000000"/>
          <w:szCs w:val="24"/>
          <w:u w:val="single"/>
        </w:rPr>
      </w:pPr>
      <w:bookmarkStart w:id="21" w:name="_Hlk78529160"/>
      <w:r w:rsidRPr="001B7F77">
        <w:rPr>
          <w:rFonts w:eastAsia="Calibri"/>
          <w:bCs/>
          <w:color w:val="000000"/>
          <w:szCs w:val="24"/>
          <w:u w:val="single"/>
        </w:rPr>
        <w:t>1.</w:t>
      </w:r>
      <w:r w:rsidRPr="001B7F77">
        <w:rPr>
          <w:rFonts w:eastAsia="Calibri"/>
          <w:bCs/>
          <w:color w:val="000000"/>
          <w:szCs w:val="24"/>
          <w:u w:val="single"/>
        </w:rPr>
        <w:tab/>
        <w:t xml:space="preserve">Asbestos investigation pursuant to Article 106 of Chapter 1 of Title 28 of the </w:t>
      </w:r>
      <w:r w:rsidRPr="001B7F77">
        <w:rPr>
          <w:rFonts w:eastAsia="Calibri"/>
          <w:bCs/>
          <w:i/>
          <w:color w:val="000000"/>
          <w:szCs w:val="24"/>
          <w:u w:val="single"/>
        </w:rPr>
        <w:t>Administrative Code</w:t>
      </w:r>
      <w:r w:rsidRPr="001B7F77">
        <w:rPr>
          <w:rFonts w:eastAsia="Calibri"/>
          <w:bCs/>
          <w:color w:val="000000"/>
          <w:szCs w:val="24"/>
          <w:u w:val="single"/>
        </w:rPr>
        <w:t>.</w:t>
      </w:r>
    </w:p>
    <w:bookmarkEnd w:id="21"/>
    <w:p w14:paraId="101F7311" w14:textId="77777777" w:rsidR="001B7F77" w:rsidRPr="001B7F77" w:rsidRDefault="001B7F77" w:rsidP="001B7F77">
      <w:pPr>
        <w:widowControl w:val="0"/>
        <w:spacing w:before="120"/>
        <w:ind w:left="720" w:hanging="360"/>
        <w:rPr>
          <w:rFonts w:eastAsia="Calibri"/>
          <w:bCs/>
          <w:color w:val="000000"/>
          <w:szCs w:val="24"/>
          <w:u w:val="single"/>
        </w:rPr>
      </w:pPr>
      <w:r w:rsidRPr="001B7F77">
        <w:rPr>
          <w:rFonts w:eastAsia="Calibri"/>
          <w:bCs/>
          <w:color w:val="000000"/>
          <w:szCs w:val="24"/>
          <w:u w:val="single"/>
        </w:rPr>
        <w:t>2.</w:t>
      </w:r>
      <w:r w:rsidRPr="001B7F77">
        <w:rPr>
          <w:rFonts w:eastAsia="Calibri"/>
          <w:bCs/>
          <w:color w:val="000000"/>
          <w:szCs w:val="24"/>
          <w:u w:val="single"/>
        </w:rPr>
        <w:tab/>
        <w:t xml:space="preserve">Alteration or demolition of single room occupancy multiple dwellings pursuant to Article 107 of Chapter 1 of Title 28 of the </w:t>
      </w:r>
      <w:r w:rsidRPr="001B7F77">
        <w:rPr>
          <w:rFonts w:eastAsia="Calibri"/>
          <w:bCs/>
          <w:i/>
          <w:color w:val="000000"/>
          <w:szCs w:val="24"/>
          <w:u w:val="single"/>
        </w:rPr>
        <w:t>Administrative Code</w:t>
      </w:r>
      <w:r w:rsidRPr="001B7F77">
        <w:rPr>
          <w:rFonts w:eastAsia="Calibri"/>
          <w:bCs/>
          <w:color w:val="000000"/>
          <w:szCs w:val="24"/>
          <w:u w:val="single"/>
        </w:rPr>
        <w:t>.</w:t>
      </w:r>
    </w:p>
    <w:p w14:paraId="218E19AF" w14:textId="77777777" w:rsidR="001B7F77" w:rsidRPr="001B7F77" w:rsidRDefault="001B7F77" w:rsidP="001B7F77">
      <w:pPr>
        <w:widowControl w:val="0"/>
        <w:spacing w:before="120"/>
        <w:ind w:left="720" w:hanging="360"/>
        <w:rPr>
          <w:rFonts w:eastAsia="Calibri"/>
          <w:bCs/>
          <w:color w:val="000000"/>
          <w:szCs w:val="24"/>
          <w:u w:val="single"/>
        </w:rPr>
      </w:pPr>
      <w:r w:rsidRPr="001B7F77">
        <w:rPr>
          <w:rFonts w:eastAsia="Calibri"/>
          <w:bCs/>
          <w:color w:val="000000"/>
          <w:szCs w:val="24"/>
          <w:u w:val="single"/>
        </w:rPr>
        <w:t>3.</w:t>
      </w:r>
      <w:r w:rsidRPr="001B7F77">
        <w:rPr>
          <w:rFonts w:eastAsia="Calibri"/>
          <w:bCs/>
          <w:color w:val="000000"/>
          <w:szCs w:val="24"/>
          <w:u w:val="single"/>
        </w:rPr>
        <w:tab/>
        <w:t xml:space="preserve">Pavement plan pursuant to Article 108 of Chapter 1 of Title 28 of the </w:t>
      </w:r>
      <w:r w:rsidRPr="001B7F77">
        <w:rPr>
          <w:rFonts w:eastAsia="Calibri"/>
          <w:bCs/>
          <w:i/>
          <w:color w:val="000000"/>
          <w:szCs w:val="24"/>
          <w:u w:val="single"/>
        </w:rPr>
        <w:t>Administrative Code</w:t>
      </w:r>
      <w:r w:rsidRPr="001B7F77">
        <w:rPr>
          <w:rFonts w:eastAsia="Calibri"/>
          <w:bCs/>
          <w:color w:val="000000"/>
          <w:szCs w:val="24"/>
          <w:u w:val="single"/>
        </w:rPr>
        <w:t>.</w:t>
      </w:r>
    </w:p>
    <w:p w14:paraId="637C257D" w14:textId="77777777" w:rsidR="001B7F77" w:rsidRPr="001B7F77" w:rsidRDefault="001B7F77" w:rsidP="001B7F77">
      <w:pPr>
        <w:widowControl w:val="0"/>
        <w:spacing w:before="120"/>
        <w:ind w:left="720" w:hanging="360"/>
        <w:rPr>
          <w:rFonts w:eastAsia="Calibri"/>
          <w:bCs/>
          <w:color w:val="000000"/>
          <w:szCs w:val="24"/>
          <w:u w:val="single"/>
        </w:rPr>
      </w:pPr>
      <w:r w:rsidRPr="001B7F77">
        <w:rPr>
          <w:rFonts w:eastAsia="Calibri"/>
          <w:bCs/>
          <w:color w:val="000000"/>
          <w:szCs w:val="24"/>
          <w:u w:val="single"/>
        </w:rPr>
        <w:t>4.</w:t>
      </w:r>
      <w:r w:rsidRPr="001B7F77">
        <w:rPr>
          <w:rFonts w:eastAsia="Calibri"/>
          <w:bCs/>
          <w:color w:val="000000"/>
          <w:szCs w:val="24"/>
          <w:u w:val="single"/>
        </w:rPr>
        <w:tab/>
        <w:t xml:space="preserve">Fire protection plan pursuant to Article 109 of Chapter 1 of Title 28 of the </w:t>
      </w:r>
      <w:r w:rsidRPr="001B7F77">
        <w:rPr>
          <w:rFonts w:eastAsia="Calibri"/>
          <w:bCs/>
          <w:i/>
          <w:color w:val="000000"/>
          <w:szCs w:val="24"/>
          <w:u w:val="single"/>
        </w:rPr>
        <w:t>Administrative Code</w:t>
      </w:r>
      <w:r w:rsidRPr="001B7F77">
        <w:rPr>
          <w:rFonts w:eastAsia="Calibri"/>
          <w:bCs/>
          <w:color w:val="000000"/>
          <w:szCs w:val="24"/>
          <w:u w:val="single"/>
        </w:rPr>
        <w:t>.</w:t>
      </w:r>
    </w:p>
    <w:p w14:paraId="2CB7213A" w14:textId="77777777" w:rsidR="001B7F77" w:rsidRPr="001B7F77" w:rsidRDefault="001B7F77" w:rsidP="001B7F77">
      <w:pPr>
        <w:widowControl w:val="0"/>
        <w:spacing w:before="120"/>
        <w:ind w:left="720" w:hanging="360"/>
        <w:rPr>
          <w:rFonts w:eastAsia="Calibri"/>
          <w:bCs/>
          <w:color w:val="000000"/>
          <w:szCs w:val="24"/>
          <w:u w:val="single"/>
        </w:rPr>
      </w:pPr>
      <w:r w:rsidRPr="001B7F77">
        <w:rPr>
          <w:rFonts w:eastAsia="Calibri"/>
          <w:bCs/>
          <w:color w:val="000000"/>
          <w:szCs w:val="24"/>
          <w:u w:val="single"/>
        </w:rPr>
        <w:t>5.</w:t>
      </w:r>
      <w:r w:rsidRPr="001B7F77">
        <w:rPr>
          <w:rFonts w:eastAsia="Calibri"/>
          <w:bCs/>
          <w:color w:val="000000"/>
          <w:szCs w:val="24"/>
          <w:u w:val="single"/>
        </w:rPr>
        <w:tab/>
        <w:t xml:space="preserve">Site safety plan pursuant to Article 110 of Chapter 1 of Title 28 of the </w:t>
      </w:r>
      <w:r w:rsidRPr="001B7F77">
        <w:rPr>
          <w:rFonts w:eastAsia="Calibri"/>
          <w:bCs/>
          <w:i/>
          <w:color w:val="000000"/>
          <w:szCs w:val="24"/>
          <w:u w:val="single"/>
        </w:rPr>
        <w:t>Administrative Code</w:t>
      </w:r>
      <w:r w:rsidRPr="001B7F77">
        <w:rPr>
          <w:rFonts w:eastAsia="Calibri"/>
          <w:bCs/>
          <w:color w:val="000000"/>
          <w:szCs w:val="24"/>
          <w:u w:val="single"/>
        </w:rPr>
        <w:t>.</w:t>
      </w:r>
    </w:p>
    <w:bookmarkEnd w:id="20"/>
    <w:p w14:paraId="0882685E" w14:textId="77777777" w:rsidR="001B7F77" w:rsidRPr="001B7F77" w:rsidRDefault="001B7F77" w:rsidP="001B7F77">
      <w:pPr>
        <w:widowControl w:val="0"/>
        <w:pBdr>
          <w:top w:val="nil"/>
          <w:left w:val="nil"/>
          <w:bottom w:val="nil"/>
          <w:right w:val="nil"/>
          <w:between w:val="nil"/>
        </w:pBdr>
        <w:tabs>
          <w:tab w:val="left" w:pos="0"/>
        </w:tabs>
        <w:suppressAutoHyphens/>
        <w:spacing w:before="120"/>
        <w:rPr>
          <w:szCs w:val="24"/>
          <w:u w:val="single"/>
        </w:rPr>
      </w:pPr>
      <w:r w:rsidRPr="001B7F77">
        <w:rPr>
          <w:b/>
          <w:bCs/>
          <w:szCs w:val="24"/>
          <w:u w:val="single"/>
        </w:rPr>
        <w:t>106.4 Phased or partial approval</w:t>
      </w:r>
      <w:r w:rsidRPr="001B7F77">
        <w:rPr>
          <w:szCs w:val="24"/>
          <w:u w:val="single"/>
        </w:rPr>
        <w:t xml:space="preserve">. In the case of construction documents for the alteration of a building, the commissioner may grant partial approval in accordance with Section 28-104.2.5 of the </w:t>
      </w:r>
      <w:r w:rsidRPr="001B7F77">
        <w:rPr>
          <w:i/>
          <w:szCs w:val="24"/>
          <w:u w:val="single"/>
        </w:rPr>
        <w:t>Administrative Code</w:t>
      </w:r>
      <w:r w:rsidRPr="001B7F77">
        <w:rPr>
          <w:szCs w:val="24"/>
          <w:u w:val="single"/>
        </w:rPr>
        <w:t>.</w:t>
      </w:r>
    </w:p>
    <w:p w14:paraId="0DEA9DC4" w14:textId="77777777" w:rsidR="001B7F77" w:rsidRPr="001B7F77" w:rsidRDefault="001B7F77" w:rsidP="001B7F77">
      <w:pPr>
        <w:widowControl w:val="0"/>
        <w:spacing w:before="120"/>
        <w:jc w:val="center"/>
        <w:outlineLvl w:val="0"/>
        <w:rPr>
          <w:rFonts w:eastAsia="Calibri"/>
          <w:b/>
          <w:bCs/>
          <w:color w:val="000000"/>
          <w:szCs w:val="24"/>
          <w:u w:val="single"/>
        </w:rPr>
      </w:pPr>
    </w:p>
    <w:p w14:paraId="7CB323D8" w14:textId="77777777" w:rsidR="001B7F77" w:rsidRPr="001B7F77" w:rsidRDefault="001B7F77" w:rsidP="001B7F77">
      <w:pPr>
        <w:widowControl w:val="0"/>
        <w:spacing w:before="120"/>
        <w:jc w:val="center"/>
        <w:outlineLvl w:val="0"/>
        <w:rPr>
          <w:rFonts w:eastAsia="Calibri"/>
          <w:b/>
          <w:bCs/>
          <w:color w:val="000000"/>
          <w:szCs w:val="24"/>
          <w:u w:val="single"/>
        </w:rPr>
      </w:pPr>
      <w:r w:rsidRPr="001B7F77">
        <w:rPr>
          <w:rFonts w:eastAsia="Calibri"/>
          <w:b/>
          <w:bCs/>
          <w:color w:val="000000"/>
          <w:szCs w:val="24"/>
          <w:u w:val="single"/>
        </w:rPr>
        <w:t>SECTION EBC 107</w:t>
      </w:r>
      <w:r w:rsidRPr="001B7F77">
        <w:rPr>
          <w:rFonts w:eastAsia="Calibri"/>
          <w:b/>
          <w:bCs/>
          <w:color w:val="000000"/>
          <w:szCs w:val="24"/>
          <w:u w:val="single"/>
        </w:rPr>
        <w:br/>
        <w:t>TEMPORARY STRUCTURES AND USES</w:t>
      </w:r>
    </w:p>
    <w:p w14:paraId="7F7305C8" w14:textId="77777777" w:rsidR="001B7F77" w:rsidRPr="001B7F77" w:rsidRDefault="001B7F77" w:rsidP="001B7F77">
      <w:pPr>
        <w:widowControl w:val="0"/>
        <w:spacing w:before="120"/>
        <w:rPr>
          <w:rFonts w:eastAsia="Calibri"/>
          <w:color w:val="000000"/>
          <w:szCs w:val="24"/>
          <w:u w:val="single"/>
        </w:rPr>
      </w:pPr>
      <w:bookmarkStart w:id="22" w:name="_heading=h.41mghml" w:colFirst="0" w:colLast="0"/>
      <w:bookmarkEnd w:id="22"/>
      <w:r w:rsidRPr="001B7F77">
        <w:rPr>
          <w:rFonts w:eastAsia="Calibri"/>
          <w:b/>
          <w:color w:val="000000"/>
          <w:szCs w:val="24"/>
          <w:u w:val="single"/>
        </w:rPr>
        <w:t>107.1 General.</w:t>
      </w:r>
      <w:r w:rsidRPr="001B7F77">
        <w:rPr>
          <w:rFonts w:eastAsia="Calibri"/>
          <w:color w:val="000000"/>
          <w:szCs w:val="24"/>
          <w:u w:val="single"/>
        </w:rPr>
        <w:t xml:space="preserve"> Refer to Article 111 of Chapter 1 of Title 28 of the </w:t>
      </w:r>
      <w:r w:rsidRPr="001B7F77">
        <w:rPr>
          <w:rFonts w:eastAsia="Calibri"/>
          <w:i/>
          <w:color w:val="000000"/>
          <w:szCs w:val="24"/>
          <w:u w:val="single"/>
        </w:rPr>
        <w:t>Administrative Code</w:t>
      </w:r>
      <w:r w:rsidRPr="001B7F77">
        <w:rPr>
          <w:rFonts w:eastAsia="Calibri"/>
          <w:color w:val="000000"/>
          <w:szCs w:val="24"/>
          <w:u w:val="single"/>
        </w:rPr>
        <w:t>.</w:t>
      </w:r>
    </w:p>
    <w:p w14:paraId="7AB1D4A5" w14:textId="77777777" w:rsidR="001B7F77" w:rsidRPr="001B7F77" w:rsidRDefault="001B7F77" w:rsidP="001B7F77">
      <w:pPr>
        <w:widowControl w:val="0"/>
        <w:spacing w:before="120"/>
        <w:jc w:val="center"/>
        <w:outlineLvl w:val="0"/>
        <w:rPr>
          <w:rFonts w:eastAsia="Calibri"/>
          <w:b/>
          <w:bCs/>
          <w:color w:val="000000"/>
          <w:szCs w:val="24"/>
          <w:u w:val="single"/>
        </w:rPr>
      </w:pPr>
    </w:p>
    <w:p w14:paraId="1337BC0C" w14:textId="77777777" w:rsidR="001B7F77" w:rsidRPr="001B7F77" w:rsidRDefault="001B7F77" w:rsidP="001B7F77">
      <w:pPr>
        <w:widowControl w:val="0"/>
        <w:spacing w:before="120"/>
        <w:jc w:val="center"/>
        <w:outlineLvl w:val="0"/>
        <w:rPr>
          <w:rFonts w:eastAsia="Calibri"/>
          <w:b/>
          <w:bCs/>
          <w:color w:val="000000"/>
          <w:szCs w:val="24"/>
          <w:u w:val="single"/>
        </w:rPr>
      </w:pPr>
      <w:r w:rsidRPr="001B7F77">
        <w:rPr>
          <w:rFonts w:eastAsia="Calibri"/>
          <w:b/>
          <w:bCs/>
          <w:color w:val="000000"/>
          <w:szCs w:val="24"/>
          <w:u w:val="single"/>
        </w:rPr>
        <w:t>SECTION EBC 108</w:t>
      </w:r>
      <w:r w:rsidRPr="001B7F77">
        <w:rPr>
          <w:rFonts w:eastAsia="Calibri"/>
          <w:b/>
          <w:bCs/>
          <w:color w:val="000000"/>
          <w:szCs w:val="24"/>
          <w:u w:val="single"/>
        </w:rPr>
        <w:br/>
        <w:t>FEES</w:t>
      </w:r>
    </w:p>
    <w:p w14:paraId="5C35E6CF" w14:textId="77777777" w:rsidR="001B7F77" w:rsidRPr="001B7F77" w:rsidRDefault="001B7F77" w:rsidP="001B7F77">
      <w:pPr>
        <w:widowControl w:val="0"/>
        <w:spacing w:before="120"/>
        <w:rPr>
          <w:rFonts w:eastAsia="Calibri"/>
          <w:color w:val="000000"/>
          <w:szCs w:val="24"/>
          <w:u w:val="single"/>
        </w:rPr>
      </w:pPr>
      <w:bookmarkStart w:id="23" w:name="_heading=h.vx1227" w:colFirst="0" w:colLast="0"/>
      <w:bookmarkEnd w:id="23"/>
      <w:r w:rsidRPr="001B7F77">
        <w:rPr>
          <w:rFonts w:eastAsia="Calibri"/>
          <w:b/>
          <w:color w:val="000000"/>
          <w:szCs w:val="24"/>
          <w:u w:val="single"/>
        </w:rPr>
        <w:t xml:space="preserve">108.1 Payment of fees. </w:t>
      </w:r>
      <w:r w:rsidRPr="001B7F77">
        <w:rPr>
          <w:rFonts w:eastAsia="Calibri"/>
          <w:color w:val="000000"/>
          <w:szCs w:val="24"/>
          <w:u w:val="single"/>
        </w:rPr>
        <w:t xml:space="preserve">A permit, inspection, or other service or privilege as regulated in this code shall not be valid until the fees prescribed by Article 112 of Chapter 1 of Title 28 of the </w:t>
      </w:r>
      <w:r w:rsidRPr="001B7F77">
        <w:rPr>
          <w:rFonts w:eastAsia="Calibri"/>
          <w:i/>
          <w:color w:val="000000"/>
          <w:szCs w:val="24"/>
          <w:u w:val="single"/>
        </w:rPr>
        <w:t>Administrative Code</w:t>
      </w:r>
      <w:r w:rsidRPr="001B7F77">
        <w:rPr>
          <w:rFonts w:eastAsia="Calibri"/>
          <w:color w:val="000000"/>
          <w:szCs w:val="24"/>
          <w:u w:val="single"/>
        </w:rPr>
        <w:t xml:space="preserve"> or in rules have been paid, nor shall a renewal of a permit or other service or privilege or an amendment to a permit be released until the fee has been paid.</w:t>
      </w:r>
    </w:p>
    <w:p w14:paraId="1AE473DC" w14:textId="77777777" w:rsidR="001B7F77" w:rsidRPr="001B7F77" w:rsidRDefault="001B7F77" w:rsidP="001B7F77">
      <w:pPr>
        <w:widowControl w:val="0"/>
        <w:spacing w:before="120"/>
        <w:jc w:val="center"/>
        <w:outlineLvl w:val="0"/>
        <w:rPr>
          <w:rFonts w:eastAsia="Calibri"/>
          <w:b/>
          <w:bCs/>
          <w:color w:val="000000"/>
          <w:szCs w:val="24"/>
          <w:u w:val="single"/>
        </w:rPr>
      </w:pPr>
    </w:p>
    <w:p w14:paraId="493D7E89" w14:textId="77777777" w:rsidR="001B7F77" w:rsidRPr="001B7F77" w:rsidRDefault="001B7F77" w:rsidP="001B7F77">
      <w:pPr>
        <w:widowControl w:val="0"/>
        <w:spacing w:before="120"/>
        <w:jc w:val="center"/>
        <w:outlineLvl w:val="0"/>
        <w:rPr>
          <w:rFonts w:eastAsia="Calibri"/>
          <w:b/>
          <w:bCs/>
          <w:color w:val="000000"/>
          <w:szCs w:val="24"/>
          <w:u w:val="single"/>
        </w:rPr>
      </w:pPr>
      <w:r w:rsidRPr="001B7F77">
        <w:rPr>
          <w:rFonts w:eastAsia="Calibri"/>
          <w:b/>
          <w:bCs/>
          <w:color w:val="000000"/>
          <w:szCs w:val="24"/>
          <w:u w:val="single"/>
        </w:rPr>
        <w:t>SECTION EBC 109</w:t>
      </w:r>
      <w:r w:rsidRPr="001B7F77">
        <w:rPr>
          <w:rFonts w:eastAsia="Calibri"/>
          <w:b/>
          <w:bCs/>
          <w:color w:val="000000"/>
          <w:szCs w:val="24"/>
          <w:u w:val="single"/>
        </w:rPr>
        <w:br/>
        <w:t>INSPECTIONS</w:t>
      </w:r>
    </w:p>
    <w:p w14:paraId="572C2FC6" w14:textId="77777777" w:rsidR="001B7F77" w:rsidRPr="001B7F77" w:rsidRDefault="001B7F77" w:rsidP="001B7F77">
      <w:pPr>
        <w:widowControl w:val="0"/>
        <w:spacing w:before="120"/>
        <w:rPr>
          <w:rFonts w:eastAsia="Calibri"/>
          <w:color w:val="000000"/>
          <w:szCs w:val="24"/>
          <w:u w:val="single"/>
        </w:rPr>
      </w:pPr>
      <w:bookmarkStart w:id="24" w:name="_heading=h.3fwokq0" w:colFirst="0" w:colLast="0"/>
      <w:bookmarkEnd w:id="24"/>
      <w:r w:rsidRPr="001B7F77">
        <w:rPr>
          <w:rFonts w:eastAsia="Calibri"/>
          <w:b/>
          <w:color w:val="000000"/>
          <w:szCs w:val="24"/>
          <w:u w:val="single"/>
        </w:rPr>
        <w:t>109.1 General.</w:t>
      </w:r>
      <w:r w:rsidRPr="001B7F77">
        <w:rPr>
          <w:rFonts w:eastAsia="Calibri"/>
          <w:color w:val="000000"/>
          <w:szCs w:val="24"/>
          <w:u w:val="single"/>
        </w:rPr>
        <w:t xml:space="preserve"> Except as otherwise specified, inspections required by this code or by the department during the progress of work may be performed on behalf of the owner by approved agencies including, where applicable, by special inspectors. However, in the interest of public safety, the commissioner may direct that any of such inspections be performed by the department. All inspections shall be performed at the sole cost and expense of the owner. Refer to Article 116 of Chapter 1 of Title 28 of the </w:t>
      </w:r>
      <w:r w:rsidRPr="001B7F77">
        <w:rPr>
          <w:rFonts w:eastAsia="Calibri"/>
          <w:i/>
          <w:color w:val="000000"/>
          <w:szCs w:val="24"/>
          <w:u w:val="single"/>
        </w:rPr>
        <w:t>Administrative Code</w:t>
      </w:r>
      <w:r w:rsidRPr="001B7F77">
        <w:rPr>
          <w:rFonts w:eastAsia="Calibri"/>
          <w:color w:val="000000"/>
          <w:szCs w:val="24"/>
          <w:u w:val="single"/>
        </w:rPr>
        <w:t xml:space="preserve"> and Section 110 of the </w:t>
      </w:r>
      <w:r w:rsidRPr="001B7F77">
        <w:rPr>
          <w:rFonts w:eastAsia="Calibri"/>
          <w:i/>
          <w:color w:val="000000"/>
          <w:szCs w:val="24"/>
          <w:u w:val="single"/>
        </w:rPr>
        <w:t>New York City Building Code</w:t>
      </w:r>
      <w:r w:rsidRPr="001B7F77">
        <w:rPr>
          <w:rFonts w:eastAsia="Calibri"/>
          <w:color w:val="000000"/>
          <w:szCs w:val="24"/>
          <w:u w:val="single"/>
        </w:rPr>
        <w:t>, for additional provisions relating to inspections.</w:t>
      </w:r>
    </w:p>
    <w:p w14:paraId="5531AF3F" w14:textId="77777777" w:rsidR="001B7F77" w:rsidRPr="001B7F77" w:rsidRDefault="001B7F77" w:rsidP="001B7F77">
      <w:pPr>
        <w:widowControl w:val="0"/>
        <w:tabs>
          <w:tab w:val="left" w:pos="360"/>
        </w:tabs>
        <w:spacing w:before="120"/>
        <w:ind w:left="360"/>
        <w:rPr>
          <w:rFonts w:eastAsia="Calibri"/>
          <w:color w:val="000000"/>
          <w:szCs w:val="24"/>
          <w:u w:val="single"/>
        </w:rPr>
      </w:pPr>
      <w:r w:rsidRPr="001B7F77">
        <w:rPr>
          <w:rFonts w:eastAsia="Calibri"/>
          <w:b/>
          <w:color w:val="000000"/>
          <w:szCs w:val="24"/>
          <w:u w:val="single"/>
        </w:rPr>
        <w:t>109.1.1 Tenant protection plan compliance inspection</w:t>
      </w:r>
      <w:r w:rsidRPr="001B7F77">
        <w:rPr>
          <w:rFonts w:eastAsia="Calibri"/>
          <w:color w:val="000000"/>
          <w:szCs w:val="24"/>
          <w:u w:val="single"/>
        </w:rPr>
        <w:t>. For buildings undergoing work for which a tenant protection plan is required by Section 1503, inspections shall be performed by the department to determine compliance with the tenant protection plan in accordance with Section 1503.11.</w:t>
      </w:r>
    </w:p>
    <w:p w14:paraId="6E1CE870" w14:textId="77777777" w:rsidR="001B7F77" w:rsidRPr="001B7F77" w:rsidRDefault="001B7F77" w:rsidP="001B7F77">
      <w:pPr>
        <w:widowControl w:val="0"/>
        <w:tabs>
          <w:tab w:val="left" w:pos="360"/>
        </w:tabs>
        <w:spacing w:before="120"/>
        <w:ind w:left="360"/>
        <w:rPr>
          <w:rFonts w:eastAsia="Calibri"/>
          <w:color w:val="000000"/>
          <w:szCs w:val="24"/>
          <w:u w:val="single"/>
        </w:rPr>
      </w:pPr>
      <w:r w:rsidRPr="001B7F77">
        <w:rPr>
          <w:rFonts w:eastAsia="Calibri"/>
          <w:b/>
          <w:color w:val="000000"/>
          <w:szCs w:val="24"/>
          <w:u w:val="single"/>
        </w:rPr>
        <w:t xml:space="preserve">109.1.2 Architectural conditions assessment. </w:t>
      </w:r>
      <w:r w:rsidRPr="001B7F77">
        <w:rPr>
          <w:rFonts w:eastAsia="Calibri"/>
          <w:color w:val="000000"/>
          <w:szCs w:val="24"/>
          <w:u w:val="single"/>
        </w:rPr>
        <w:t>Where an existing building is being altered and the work area exceeds 50 percent of the floor area, the design professional of record shall perform an assessment of certain building elements within the work area to evaluate their condition. Such assessment shall be performed in accordance with Section 803.10.</w:t>
      </w:r>
    </w:p>
    <w:p w14:paraId="660E07BF" w14:textId="77777777" w:rsidR="001B7F77" w:rsidRPr="001B7F77" w:rsidRDefault="001B7F77" w:rsidP="001B7F77">
      <w:pPr>
        <w:widowControl w:val="0"/>
        <w:tabs>
          <w:tab w:val="left" w:pos="360"/>
        </w:tabs>
        <w:spacing w:before="120"/>
        <w:ind w:left="360"/>
        <w:rPr>
          <w:rFonts w:eastAsia="Calibri"/>
          <w:color w:val="000000"/>
          <w:szCs w:val="24"/>
          <w:u w:val="single"/>
        </w:rPr>
      </w:pPr>
      <w:r w:rsidRPr="001B7F77">
        <w:rPr>
          <w:rFonts w:eastAsia="Calibri"/>
          <w:b/>
          <w:color w:val="000000"/>
          <w:szCs w:val="24"/>
          <w:u w:val="single"/>
        </w:rPr>
        <w:t>109</w:t>
      </w:r>
      <w:r w:rsidRPr="001B7F77">
        <w:rPr>
          <w:rFonts w:eastAsia="Calibri"/>
          <w:b/>
          <w:bCs/>
          <w:color w:val="000000"/>
          <w:szCs w:val="24"/>
          <w:u w:val="single"/>
        </w:rPr>
        <w:t>.1.3 Structural conditions assessment.</w:t>
      </w:r>
      <w:r w:rsidRPr="001B7F77">
        <w:rPr>
          <w:rFonts w:eastAsia="Calibri"/>
          <w:color w:val="000000"/>
          <w:szCs w:val="24"/>
          <w:u w:val="single"/>
        </w:rPr>
        <w:t xml:space="preserve"> Initial and detailed conditions assessment shall be performed before and during the construction phase of the project as provided for in Section 704.</w:t>
      </w:r>
    </w:p>
    <w:p w14:paraId="434C1C5A" w14:textId="77777777" w:rsidR="001B7F77" w:rsidRPr="001B7F77" w:rsidRDefault="001B7F77" w:rsidP="001B7F77">
      <w:pPr>
        <w:widowControl w:val="0"/>
        <w:spacing w:before="120"/>
        <w:rPr>
          <w:rFonts w:eastAsia="Calibri"/>
          <w:color w:val="000000"/>
          <w:szCs w:val="24"/>
          <w:u w:val="single"/>
        </w:rPr>
      </w:pPr>
      <w:r w:rsidRPr="001B7F77">
        <w:rPr>
          <w:rFonts w:eastAsia="Calibri"/>
          <w:b/>
          <w:bCs/>
          <w:color w:val="000000"/>
          <w:szCs w:val="24"/>
          <w:u w:val="single"/>
        </w:rPr>
        <w:t>109.2</w:t>
      </w:r>
      <w:r w:rsidRPr="001B7F77">
        <w:rPr>
          <w:rFonts w:eastAsia="Calibri"/>
          <w:color w:val="000000"/>
          <w:szCs w:val="24"/>
          <w:u w:val="single"/>
        </w:rPr>
        <w:t xml:space="preserve"> </w:t>
      </w:r>
      <w:r w:rsidRPr="001B7F77">
        <w:rPr>
          <w:rFonts w:eastAsia="Calibri"/>
          <w:b/>
          <w:bCs/>
          <w:color w:val="000000"/>
          <w:szCs w:val="24"/>
          <w:u w:val="single"/>
        </w:rPr>
        <w:t xml:space="preserve">Special inspections. </w:t>
      </w:r>
      <w:r w:rsidRPr="001B7F77">
        <w:rPr>
          <w:rFonts w:eastAsia="Calibri"/>
          <w:color w:val="000000"/>
          <w:szCs w:val="24"/>
          <w:u w:val="single"/>
        </w:rPr>
        <w:t xml:space="preserve">Work subject to special inspection shall comply with the applicable provisions of Chapter 17 of the </w:t>
      </w:r>
      <w:r w:rsidRPr="001B7F77">
        <w:rPr>
          <w:rFonts w:eastAsia="Calibri"/>
          <w:i/>
          <w:color w:val="000000"/>
          <w:szCs w:val="24"/>
          <w:u w:val="single"/>
        </w:rPr>
        <w:t>New York City Building Code</w:t>
      </w:r>
      <w:r w:rsidRPr="001B7F77">
        <w:rPr>
          <w:rFonts w:eastAsia="Calibri"/>
          <w:color w:val="000000"/>
          <w:szCs w:val="24"/>
          <w:u w:val="single"/>
        </w:rPr>
        <w:t>.</w:t>
      </w:r>
    </w:p>
    <w:p w14:paraId="59E88D19" w14:textId="77777777" w:rsidR="001B7F77" w:rsidRPr="001B7F77" w:rsidRDefault="001B7F77" w:rsidP="001B7F77">
      <w:pPr>
        <w:widowControl w:val="0"/>
        <w:spacing w:before="120"/>
        <w:jc w:val="center"/>
        <w:outlineLvl w:val="0"/>
        <w:rPr>
          <w:rFonts w:eastAsia="Calibri"/>
          <w:b/>
          <w:bCs/>
          <w:color w:val="000000"/>
          <w:szCs w:val="24"/>
          <w:u w:val="single"/>
        </w:rPr>
      </w:pPr>
    </w:p>
    <w:p w14:paraId="4979E135" w14:textId="77777777" w:rsidR="001B7F77" w:rsidRPr="001B7F77" w:rsidRDefault="001B7F77" w:rsidP="001B7F77">
      <w:pPr>
        <w:widowControl w:val="0"/>
        <w:spacing w:before="120"/>
        <w:jc w:val="center"/>
        <w:outlineLvl w:val="0"/>
        <w:rPr>
          <w:rFonts w:eastAsia="Calibri"/>
          <w:b/>
          <w:bCs/>
          <w:color w:val="000000"/>
          <w:szCs w:val="24"/>
          <w:u w:val="single"/>
        </w:rPr>
      </w:pPr>
      <w:r w:rsidRPr="001B7F77">
        <w:rPr>
          <w:rFonts w:eastAsia="Calibri"/>
          <w:b/>
          <w:bCs/>
          <w:color w:val="000000"/>
          <w:szCs w:val="24"/>
          <w:u w:val="single"/>
        </w:rPr>
        <w:t>SECTION EBC 110</w:t>
      </w:r>
      <w:r w:rsidRPr="001B7F77">
        <w:rPr>
          <w:rFonts w:eastAsia="Calibri"/>
          <w:b/>
          <w:bCs/>
          <w:color w:val="000000"/>
          <w:szCs w:val="24"/>
          <w:u w:val="single"/>
        </w:rPr>
        <w:br/>
        <w:t>CERTIFICATE OF OCCUPANCY</w:t>
      </w:r>
    </w:p>
    <w:p w14:paraId="63C18206" w14:textId="77777777" w:rsidR="001B7F77" w:rsidRPr="001B7F77" w:rsidRDefault="001B7F77" w:rsidP="001B7F77">
      <w:pPr>
        <w:widowControl w:val="0"/>
        <w:spacing w:before="120"/>
        <w:rPr>
          <w:rFonts w:eastAsia="Calibri"/>
          <w:color w:val="000000"/>
          <w:szCs w:val="24"/>
          <w:u w:val="single"/>
        </w:rPr>
      </w:pPr>
      <w:bookmarkStart w:id="25" w:name="_heading=h.4f1mdlm" w:colFirst="0" w:colLast="0"/>
      <w:bookmarkEnd w:id="25"/>
      <w:r w:rsidRPr="001B7F77">
        <w:rPr>
          <w:rFonts w:eastAsia="Calibri"/>
          <w:b/>
          <w:bCs/>
          <w:color w:val="000000"/>
          <w:szCs w:val="24"/>
          <w:u w:val="single"/>
        </w:rPr>
        <w:t xml:space="preserve">110.1 General. </w:t>
      </w:r>
      <w:r w:rsidRPr="001B7F77">
        <w:rPr>
          <w:rFonts w:eastAsia="Calibri"/>
          <w:color w:val="000000"/>
          <w:szCs w:val="24"/>
          <w:u w:val="single"/>
        </w:rPr>
        <w:t xml:space="preserve">Refer to Article 118 of Chapter 1 of Title 28 of the </w:t>
      </w:r>
      <w:r w:rsidRPr="001B7F77">
        <w:rPr>
          <w:rFonts w:eastAsia="Calibri"/>
          <w:i/>
          <w:color w:val="000000"/>
          <w:szCs w:val="24"/>
          <w:u w:val="single"/>
        </w:rPr>
        <w:t>Administrative Code</w:t>
      </w:r>
      <w:r w:rsidRPr="001B7F77">
        <w:rPr>
          <w:rFonts w:eastAsia="Calibri"/>
          <w:color w:val="000000"/>
          <w:szCs w:val="24"/>
          <w:u w:val="single"/>
        </w:rPr>
        <w:t>.</w:t>
      </w:r>
    </w:p>
    <w:p w14:paraId="11A5FCDE" w14:textId="77777777" w:rsidR="001B7F77" w:rsidRPr="001B7F77" w:rsidRDefault="001B7F77" w:rsidP="001B7F77">
      <w:pPr>
        <w:widowControl w:val="0"/>
        <w:spacing w:before="120"/>
        <w:jc w:val="center"/>
        <w:outlineLvl w:val="0"/>
        <w:rPr>
          <w:rFonts w:eastAsia="Calibri"/>
          <w:b/>
          <w:bCs/>
          <w:color w:val="000000"/>
          <w:szCs w:val="24"/>
          <w:u w:val="single"/>
        </w:rPr>
      </w:pPr>
      <w:bookmarkStart w:id="26" w:name="_heading=h.2u6wntf" w:colFirst="0" w:colLast="0"/>
      <w:bookmarkEnd w:id="26"/>
    </w:p>
    <w:p w14:paraId="27E29E93" w14:textId="77777777" w:rsidR="001B7F77" w:rsidRPr="001B7F77" w:rsidRDefault="001B7F77" w:rsidP="001B7F77">
      <w:pPr>
        <w:widowControl w:val="0"/>
        <w:spacing w:before="120"/>
        <w:jc w:val="center"/>
        <w:outlineLvl w:val="0"/>
        <w:rPr>
          <w:rFonts w:eastAsia="Calibri"/>
          <w:b/>
          <w:bCs/>
          <w:color w:val="000000"/>
          <w:szCs w:val="24"/>
          <w:u w:val="single"/>
        </w:rPr>
      </w:pPr>
      <w:r w:rsidRPr="001B7F77">
        <w:rPr>
          <w:rFonts w:eastAsia="Calibri"/>
          <w:b/>
          <w:bCs/>
          <w:color w:val="000000"/>
          <w:szCs w:val="24"/>
          <w:u w:val="single"/>
        </w:rPr>
        <w:t>SECTION EBC 111</w:t>
      </w:r>
      <w:r w:rsidRPr="001B7F77">
        <w:rPr>
          <w:rFonts w:eastAsia="Calibri"/>
          <w:b/>
          <w:bCs/>
          <w:color w:val="000000"/>
          <w:szCs w:val="24"/>
          <w:u w:val="single"/>
        </w:rPr>
        <w:br/>
        <w:t>SERVICE UTILITIES</w:t>
      </w:r>
    </w:p>
    <w:p w14:paraId="3BEA43A5" w14:textId="77777777" w:rsidR="001B7F77" w:rsidRPr="001B7F77" w:rsidRDefault="001B7F77" w:rsidP="001B7F77">
      <w:pPr>
        <w:widowControl w:val="0"/>
        <w:spacing w:before="120"/>
        <w:rPr>
          <w:rFonts w:eastAsia="Calibri"/>
          <w:color w:val="000000"/>
          <w:szCs w:val="24"/>
          <w:u w:val="single"/>
        </w:rPr>
      </w:pPr>
      <w:bookmarkStart w:id="27" w:name="_heading=h.19c6y18" w:colFirst="0" w:colLast="0"/>
      <w:bookmarkEnd w:id="27"/>
      <w:r w:rsidRPr="001B7F77">
        <w:rPr>
          <w:rFonts w:eastAsia="Calibri"/>
          <w:b/>
          <w:color w:val="000000"/>
          <w:szCs w:val="24"/>
          <w:u w:val="single"/>
        </w:rPr>
        <w:t xml:space="preserve">111.1 General. </w:t>
      </w:r>
      <w:r w:rsidRPr="001B7F77">
        <w:rPr>
          <w:rFonts w:eastAsia="Calibri"/>
          <w:color w:val="000000"/>
          <w:szCs w:val="24"/>
          <w:u w:val="single"/>
        </w:rPr>
        <w:t xml:space="preserve">Refer to Article 119 of Chapter 1 of Title 28 of the </w:t>
      </w:r>
      <w:r w:rsidRPr="001B7F77">
        <w:rPr>
          <w:rFonts w:eastAsia="Calibri"/>
          <w:i/>
          <w:color w:val="000000"/>
          <w:szCs w:val="24"/>
          <w:u w:val="single"/>
        </w:rPr>
        <w:t>Administrative Code</w:t>
      </w:r>
      <w:r w:rsidRPr="001B7F77">
        <w:rPr>
          <w:rFonts w:eastAsia="Calibri"/>
          <w:color w:val="000000"/>
          <w:szCs w:val="24"/>
          <w:u w:val="single"/>
        </w:rPr>
        <w:t>.</w:t>
      </w:r>
    </w:p>
    <w:p w14:paraId="2531ED68" w14:textId="77777777" w:rsidR="001B7F77" w:rsidRPr="001B7F77" w:rsidRDefault="001B7F77" w:rsidP="001B7F77">
      <w:pPr>
        <w:widowControl w:val="0"/>
        <w:spacing w:before="120"/>
        <w:jc w:val="center"/>
        <w:outlineLvl w:val="0"/>
        <w:rPr>
          <w:rFonts w:eastAsia="Calibri"/>
          <w:b/>
          <w:bCs/>
          <w:color w:val="000000"/>
          <w:szCs w:val="24"/>
          <w:u w:val="single"/>
        </w:rPr>
      </w:pPr>
    </w:p>
    <w:p w14:paraId="076D67CE" w14:textId="77777777" w:rsidR="001B7F77" w:rsidRPr="001B7F77" w:rsidRDefault="001B7F77" w:rsidP="001B7F77">
      <w:pPr>
        <w:widowControl w:val="0"/>
        <w:spacing w:before="120"/>
        <w:jc w:val="center"/>
        <w:outlineLvl w:val="0"/>
        <w:rPr>
          <w:rFonts w:eastAsia="Calibri"/>
          <w:b/>
          <w:bCs/>
          <w:color w:val="000000"/>
          <w:szCs w:val="24"/>
          <w:u w:val="single"/>
        </w:rPr>
      </w:pPr>
      <w:r w:rsidRPr="001B7F77">
        <w:rPr>
          <w:rFonts w:eastAsia="Calibri"/>
          <w:b/>
          <w:bCs/>
          <w:color w:val="000000"/>
          <w:szCs w:val="24"/>
          <w:u w:val="single"/>
        </w:rPr>
        <w:t>SECTION EBC 112</w:t>
      </w:r>
      <w:r w:rsidRPr="001B7F77">
        <w:rPr>
          <w:rFonts w:eastAsia="Calibri"/>
          <w:b/>
          <w:bCs/>
          <w:color w:val="000000"/>
          <w:szCs w:val="24"/>
          <w:u w:val="single"/>
        </w:rPr>
        <w:br/>
        <w:t>RESERVED</w:t>
      </w:r>
    </w:p>
    <w:p w14:paraId="0B340615" w14:textId="77777777" w:rsidR="001B7F77" w:rsidRPr="001B7F77" w:rsidRDefault="001B7F77" w:rsidP="001B7F77">
      <w:pPr>
        <w:widowControl w:val="0"/>
        <w:spacing w:before="120"/>
        <w:jc w:val="center"/>
        <w:outlineLvl w:val="0"/>
        <w:rPr>
          <w:rFonts w:eastAsia="Calibri"/>
          <w:b/>
          <w:bCs/>
          <w:color w:val="000000"/>
          <w:szCs w:val="24"/>
          <w:u w:val="single"/>
        </w:rPr>
      </w:pPr>
      <w:bookmarkStart w:id="28" w:name="_heading=h.28h4qwu" w:colFirst="0" w:colLast="0"/>
      <w:bookmarkEnd w:id="28"/>
    </w:p>
    <w:p w14:paraId="65DA089A" w14:textId="77777777" w:rsidR="001B7F77" w:rsidRPr="001B7F77" w:rsidRDefault="001B7F77" w:rsidP="001B7F77">
      <w:pPr>
        <w:widowControl w:val="0"/>
        <w:spacing w:before="120"/>
        <w:jc w:val="center"/>
        <w:outlineLvl w:val="0"/>
        <w:rPr>
          <w:rFonts w:eastAsia="Calibri"/>
          <w:b/>
          <w:bCs/>
          <w:color w:val="000000"/>
          <w:szCs w:val="24"/>
          <w:u w:val="single"/>
        </w:rPr>
      </w:pPr>
      <w:r w:rsidRPr="001B7F77">
        <w:rPr>
          <w:rFonts w:eastAsia="Calibri"/>
          <w:b/>
          <w:bCs/>
          <w:color w:val="000000"/>
          <w:szCs w:val="24"/>
          <w:u w:val="single"/>
        </w:rPr>
        <w:t>SECTION EBC 113</w:t>
      </w:r>
      <w:r w:rsidRPr="001B7F77">
        <w:rPr>
          <w:rFonts w:eastAsia="Calibri"/>
          <w:b/>
          <w:bCs/>
          <w:color w:val="000000"/>
          <w:szCs w:val="24"/>
          <w:u w:val="single"/>
        </w:rPr>
        <w:br/>
        <w:t>VIOLATIONS</w:t>
      </w:r>
    </w:p>
    <w:p w14:paraId="7888E5E4" w14:textId="77777777" w:rsidR="001B7F77" w:rsidRPr="001B7F77" w:rsidRDefault="001B7F77" w:rsidP="001B7F77">
      <w:pPr>
        <w:widowControl w:val="0"/>
        <w:spacing w:before="120"/>
        <w:rPr>
          <w:rFonts w:eastAsia="Calibri"/>
          <w:color w:val="000000"/>
          <w:szCs w:val="24"/>
          <w:u w:val="single"/>
        </w:rPr>
      </w:pPr>
      <w:bookmarkStart w:id="29" w:name="_heading=h.nmf14n" w:colFirst="0" w:colLast="0"/>
      <w:bookmarkEnd w:id="29"/>
      <w:r w:rsidRPr="001B7F77">
        <w:rPr>
          <w:rFonts w:eastAsia="Calibri"/>
          <w:b/>
          <w:color w:val="000000"/>
          <w:szCs w:val="24"/>
          <w:u w:val="single"/>
        </w:rPr>
        <w:t xml:space="preserve">113.1 General. </w:t>
      </w:r>
      <w:r w:rsidRPr="001B7F77">
        <w:rPr>
          <w:rFonts w:eastAsia="Calibri"/>
          <w:color w:val="000000"/>
          <w:szCs w:val="24"/>
          <w:u w:val="single"/>
        </w:rPr>
        <w:t xml:space="preserve">Refer to Chapter 2 of Title 28 of the </w:t>
      </w:r>
      <w:r w:rsidRPr="001B7F77">
        <w:rPr>
          <w:rFonts w:eastAsia="Calibri"/>
          <w:i/>
          <w:color w:val="000000"/>
          <w:szCs w:val="24"/>
          <w:u w:val="single"/>
        </w:rPr>
        <w:t>Administrative Code</w:t>
      </w:r>
      <w:r w:rsidRPr="001B7F77">
        <w:rPr>
          <w:rFonts w:eastAsia="Calibri"/>
          <w:color w:val="000000"/>
          <w:szCs w:val="24"/>
          <w:u w:val="single"/>
        </w:rPr>
        <w:t>.</w:t>
      </w:r>
    </w:p>
    <w:p w14:paraId="36E855E3" w14:textId="77777777" w:rsidR="001B7F77" w:rsidRPr="001B7F77" w:rsidRDefault="001B7F77" w:rsidP="001B7F77">
      <w:pPr>
        <w:widowControl w:val="0"/>
        <w:spacing w:before="120"/>
        <w:jc w:val="center"/>
        <w:outlineLvl w:val="0"/>
        <w:rPr>
          <w:rFonts w:eastAsia="Calibri"/>
          <w:b/>
          <w:bCs/>
          <w:color w:val="000000"/>
          <w:szCs w:val="24"/>
          <w:u w:val="single"/>
        </w:rPr>
      </w:pPr>
    </w:p>
    <w:p w14:paraId="0A33BB43" w14:textId="77777777" w:rsidR="001B7F77" w:rsidRPr="001B7F77" w:rsidRDefault="001B7F77" w:rsidP="001B7F77">
      <w:pPr>
        <w:widowControl w:val="0"/>
        <w:spacing w:before="120"/>
        <w:jc w:val="center"/>
        <w:outlineLvl w:val="0"/>
        <w:rPr>
          <w:rFonts w:eastAsia="Calibri"/>
          <w:b/>
          <w:bCs/>
          <w:color w:val="000000"/>
          <w:szCs w:val="24"/>
          <w:u w:val="single"/>
        </w:rPr>
      </w:pPr>
      <w:r w:rsidRPr="001B7F77">
        <w:rPr>
          <w:rFonts w:eastAsia="Calibri"/>
          <w:b/>
          <w:bCs/>
          <w:color w:val="000000"/>
          <w:szCs w:val="24"/>
          <w:u w:val="single"/>
        </w:rPr>
        <w:t>SECTION EBC 114</w:t>
      </w:r>
      <w:r w:rsidRPr="001B7F77">
        <w:rPr>
          <w:rFonts w:eastAsia="Calibri"/>
          <w:b/>
          <w:bCs/>
          <w:color w:val="000000"/>
          <w:szCs w:val="24"/>
          <w:u w:val="single"/>
        </w:rPr>
        <w:br/>
        <w:t>STOP WORK ORDER</w:t>
      </w:r>
    </w:p>
    <w:p w14:paraId="7DA3ABFD" w14:textId="77777777" w:rsidR="001B7F77" w:rsidRPr="001B7F77" w:rsidRDefault="001B7F77" w:rsidP="001B7F77">
      <w:pPr>
        <w:widowControl w:val="0"/>
        <w:spacing w:before="120"/>
        <w:jc w:val="left"/>
        <w:rPr>
          <w:rFonts w:eastAsia="Calibri"/>
          <w:color w:val="000000"/>
          <w:szCs w:val="24"/>
          <w:u w:val="single"/>
        </w:rPr>
      </w:pPr>
      <w:bookmarkStart w:id="30" w:name="_heading=h.1mrcu09" w:colFirst="0" w:colLast="0"/>
      <w:bookmarkEnd w:id="30"/>
      <w:r w:rsidRPr="001B7F77">
        <w:rPr>
          <w:rFonts w:eastAsia="Calibri"/>
          <w:b/>
          <w:color w:val="000000"/>
          <w:szCs w:val="24"/>
          <w:u w:val="single"/>
        </w:rPr>
        <w:t xml:space="preserve">114.1 General. </w:t>
      </w:r>
      <w:r w:rsidRPr="001B7F77">
        <w:rPr>
          <w:rFonts w:eastAsia="Calibri"/>
          <w:color w:val="000000"/>
          <w:szCs w:val="24"/>
          <w:u w:val="single"/>
        </w:rPr>
        <w:t xml:space="preserve">Refer to Article 207 of Chapter 2 of Title 28 of the </w:t>
      </w:r>
      <w:r w:rsidRPr="001B7F77">
        <w:rPr>
          <w:rFonts w:eastAsia="Calibri"/>
          <w:i/>
          <w:color w:val="000000"/>
          <w:szCs w:val="24"/>
          <w:u w:val="single"/>
        </w:rPr>
        <w:t>Administrative Code</w:t>
      </w:r>
      <w:r w:rsidRPr="001B7F77">
        <w:rPr>
          <w:rFonts w:eastAsia="Calibri"/>
          <w:color w:val="000000"/>
          <w:szCs w:val="24"/>
          <w:u w:val="single"/>
        </w:rPr>
        <w:t>.</w:t>
      </w:r>
    </w:p>
    <w:p w14:paraId="0B0A0106" w14:textId="77777777" w:rsidR="001B7F77" w:rsidRPr="001B7F77" w:rsidRDefault="001B7F77" w:rsidP="001B7F77">
      <w:pPr>
        <w:widowControl w:val="0"/>
        <w:spacing w:before="120"/>
        <w:jc w:val="center"/>
        <w:outlineLvl w:val="0"/>
        <w:rPr>
          <w:rFonts w:eastAsia="Calibri"/>
          <w:b/>
          <w:bCs/>
          <w:color w:val="000000"/>
          <w:szCs w:val="24"/>
          <w:u w:val="single"/>
        </w:rPr>
      </w:pPr>
    </w:p>
    <w:p w14:paraId="19D5FD40" w14:textId="77777777" w:rsidR="001B7F77" w:rsidRPr="001B7F77" w:rsidRDefault="001B7F77" w:rsidP="001B7F77">
      <w:pPr>
        <w:widowControl w:val="0"/>
        <w:spacing w:before="120"/>
        <w:jc w:val="center"/>
        <w:outlineLvl w:val="0"/>
        <w:rPr>
          <w:rFonts w:eastAsia="Calibri"/>
          <w:b/>
          <w:bCs/>
          <w:color w:val="000000"/>
          <w:szCs w:val="24"/>
          <w:u w:val="single"/>
        </w:rPr>
      </w:pPr>
      <w:r w:rsidRPr="001B7F77">
        <w:rPr>
          <w:rFonts w:eastAsia="Calibri"/>
          <w:b/>
          <w:bCs/>
          <w:color w:val="000000"/>
          <w:szCs w:val="24"/>
          <w:u w:val="single"/>
        </w:rPr>
        <w:t>SECTION EBC 115</w:t>
      </w:r>
      <w:r w:rsidRPr="001B7F77">
        <w:rPr>
          <w:rFonts w:eastAsia="Calibri"/>
          <w:b/>
          <w:bCs/>
          <w:color w:val="000000"/>
          <w:szCs w:val="24"/>
          <w:u w:val="single"/>
        </w:rPr>
        <w:br/>
        <w:t>RESERVED</w:t>
      </w:r>
    </w:p>
    <w:p w14:paraId="41615153" w14:textId="77777777" w:rsidR="001B7F77" w:rsidRPr="001B7F77" w:rsidRDefault="001B7F77" w:rsidP="001B7F77">
      <w:pPr>
        <w:widowControl w:val="0"/>
        <w:spacing w:before="120"/>
        <w:jc w:val="center"/>
        <w:outlineLvl w:val="0"/>
        <w:rPr>
          <w:rFonts w:eastAsia="Calibri"/>
          <w:b/>
          <w:bCs/>
          <w:color w:val="000000"/>
          <w:szCs w:val="24"/>
          <w:u w:val="single"/>
        </w:rPr>
      </w:pPr>
      <w:bookmarkStart w:id="31" w:name="_heading=h.111kx3o" w:colFirst="0" w:colLast="0"/>
      <w:bookmarkEnd w:id="31"/>
    </w:p>
    <w:p w14:paraId="4D79A528" w14:textId="77777777" w:rsidR="001B7F77" w:rsidRPr="001B7F77" w:rsidRDefault="001B7F77" w:rsidP="001B7F77">
      <w:pPr>
        <w:widowControl w:val="0"/>
        <w:spacing w:before="120"/>
        <w:jc w:val="center"/>
        <w:outlineLvl w:val="0"/>
        <w:rPr>
          <w:rFonts w:eastAsia="Calibri"/>
          <w:b/>
          <w:bCs/>
          <w:color w:val="000000"/>
          <w:szCs w:val="24"/>
          <w:u w:val="single"/>
        </w:rPr>
      </w:pPr>
      <w:r w:rsidRPr="001B7F77">
        <w:rPr>
          <w:rFonts w:eastAsia="Calibri"/>
          <w:b/>
          <w:bCs/>
          <w:color w:val="000000"/>
          <w:szCs w:val="24"/>
          <w:u w:val="single"/>
        </w:rPr>
        <w:t>SECTION EBC 116</w:t>
      </w:r>
      <w:r w:rsidRPr="001B7F77">
        <w:rPr>
          <w:rFonts w:eastAsia="Calibri"/>
          <w:b/>
          <w:bCs/>
          <w:color w:val="000000"/>
          <w:szCs w:val="24"/>
          <w:u w:val="single"/>
        </w:rPr>
        <w:br/>
        <w:t>EMERGENCY MEASURES</w:t>
      </w:r>
      <w:bookmarkStart w:id="32" w:name="_heading=h.3l18frh" w:colFirst="0" w:colLast="0"/>
      <w:bookmarkEnd w:id="32"/>
    </w:p>
    <w:p w14:paraId="4EC1DEB9" w14:textId="77777777" w:rsidR="001B7F77" w:rsidRPr="001B7F77" w:rsidRDefault="001B7F77" w:rsidP="001B7F77">
      <w:pPr>
        <w:widowControl w:val="0"/>
        <w:spacing w:before="120"/>
        <w:jc w:val="left"/>
        <w:rPr>
          <w:rFonts w:eastAsia="Calibri"/>
          <w:color w:val="000000"/>
          <w:szCs w:val="24"/>
          <w:u w:val="single"/>
        </w:rPr>
      </w:pPr>
      <w:r w:rsidRPr="001B7F77">
        <w:rPr>
          <w:rFonts w:eastAsia="Calibri"/>
          <w:b/>
          <w:color w:val="000000"/>
          <w:szCs w:val="24"/>
          <w:u w:val="single"/>
        </w:rPr>
        <w:t xml:space="preserve">116.1 General. </w:t>
      </w:r>
      <w:r w:rsidRPr="001B7F77">
        <w:rPr>
          <w:rFonts w:eastAsia="Calibri"/>
          <w:color w:val="000000"/>
          <w:szCs w:val="24"/>
          <w:u w:val="single"/>
        </w:rPr>
        <w:t xml:space="preserve">Refer to Chapter 2 of Title 28 of the </w:t>
      </w:r>
      <w:r w:rsidRPr="001B7F77">
        <w:rPr>
          <w:rFonts w:eastAsia="Calibri"/>
          <w:i/>
          <w:color w:val="000000"/>
          <w:szCs w:val="24"/>
          <w:u w:val="single"/>
        </w:rPr>
        <w:t>Administrative Code</w:t>
      </w:r>
      <w:r w:rsidRPr="001B7F77">
        <w:rPr>
          <w:rFonts w:eastAsia="Calibri"/>
          <w:color w:val="000000"/>
          <w:szCs w:val="24"/>
          <w:u w:val="single"/>
        </w:rPr>
        <w:t>.</w:t>
      </w:r>
    </w:p>
    <w:p w14:paraId="7E8A4E52" w14:textId="77777777" w:rsidR="001B7F77" w:rsidRPr="001B7F77" w:rsidRDefault="001B7F77" w:rsidP="001B7F77">
      <w:pPr>
        <w:widowControl w:val="0"/>
        <w:spacing w:before="120"/>
        <w:jc w:val="center"/>
        <w:outlineLvl w:val="0"/>
        <w:rPr>
          <w:rFonts w:eastAsia="Calibri"/>
          <w:b/>
          <w:bCs/>
          <w:color w:val="000000"/>
          <w:szCs w:val="24"/>
          <w:u w:val="single"/>
        </w:rPr>
      </w:pPr>
    </w:p>
    <w:p w14:paraId="1AEBAE4E" w14:textId="77777777" w:rsidR="001B7F77" w:rsidRPr="001B7F77" w:rsidRDefault="001B7F77" w:rsidP="001B7F77">
      <w:pPr>
        <w:widowControl w:val="0"/>
        <w:spacing w:before="120"/>
        <w:jc w:val="center"/>
        <w:outlineLvl w:val="0"/>
        <w:rPr>
          <w:rFonts w:eastAsia="Calibri"/>
          <w:b/>
          <w:bCs/>
          <w:color w:val="000000"/>
          <w:szCs w:val="24"/>
          <w:u w:val="single"/>
        </w:rPr>
      </w:pPr>
      <w:r w:rsidRPr="001B7F77">
        <w:rPr>
          <w:rFonts w:eastAsia="Calibri"/>
          <w:b/>
          <w:bCs/>
          <w:color w:val="000000"/>
          <w:szCs w:val="24"/>
          <w:u w:val="single"/>
        </w:rPr>
        <w:t>SECTION EBC 117</w:t>
      </w:r>
      <w:r w:rsidRPr="001B7F77">
        <w:rPr>
          <w:rFonts w:eastAsia="Calibri"/>
          <w:b/>
          <w:bCs/>
          <w:color w:val="000000"/>
          <w:szCs w:val="24"/>
          <w:u w:val="single"/>
        </w:rPr>
        <w:br/>
        <w:t>DEMOLITION</w:t>
      </w:r>
      <w:bookmarkStart w:id="33" w:name="_heading=h.4k668n3" w:colFirst="0" w:colLast="0"/>
      <w:bookmarkEnd w:id="33"/>
    </w:p>
    <w:p w14:paraId="5E8AAC64" w14:textId="77777777" w:rsidR="001B7F77" w:rsidRPr="001B7F77" w:rsidRDefault="001B7F77" w:rsidP="001B7F77">
      <w:pPr>
        <w:widowControl w:val="0"/>
        <w:spacing w:before="120"/>
        <w:jc w:val="left"/>
        <w:rPr>
          <w:rFonts w:eastAsia="Calibri"/>
          <w:color w:val="000000"/>
          <w:szCs w:val="24"/>
          <w:u w:val="single"/>
        </w:rPr>
      </w:pPr>
      <w:r w:rsidRPr="001B7F77">
        <w:rPr>
          <w:rFonts w:eastAsia="Calibri"/>
          <w:b/>
          <w:color w:val="000000"/>
          <w:szCs w:val="24"/>
          <w:u w:val="single"/>
        </w:rPr>
        <w:t xml:space="preserve">117.1 General. </w:t>
      </w:r>
      <w:r w:rsidRPr="001B7F77">
        <w:rPr>
          <w:rFonts w:eastAsia="Calibri"/>
          <w:color w:val="000000"/>
          <w:szCs w:val="24"/>
          <w:u w:val="single"/>
        </w:rPr>
        <w:t xml:space="preserve">Refer to Chapter 33 of the </w:t>
      </w:r>
      <w:r w:rsidRPr="001B7F77">
        <w:rPr>
          <w:rFonts w:eastAsia="Calibri"/>
          <w:i/>
          <w:color w:val="000000"/>
          <w:szCs w:val="24"/>
          <w:u w:val="single"/>
        </w:rPr>
        <w:t>New York City Building Code</w:t>
      </w:r>
      <w:r w:rsidRPr="001B7F77">
        <w:rPr>
          <w:rFonts w:eastAsia="Calibri"/>
          <w:color w:val="000000"/>
          <w:szCs w:val="24"/>
          <w:u w:val="single"/>
        </w:rPr>
        <w:t>.</w:t>
      </w:r>
    </w:p>
    <w:p w14:paraId="0904722A" w14:textId="77777777" w:rsidR="001B7F77" w:rsidRPr="001B7F77" w:rsidRDefault="001B7F77" w:rsidP="001B7F77">
      <w:pPr>
        <w:widowControl w:val="0"/>
        <w:spacing w:before="120"/>
        <w:jc w:val="center"/>
        <w:outlineLvl w:val="0"/>
        <w:rPr>
          <w:rFonts w:eastAsia="Calibri"/>
          <w:b/>
          <w:bCs/>
          <w:color w:val="000000"/>
          <w:szCs w:val="24"/>
          <w:u w:val="single"/>
        </w:rPr>
      </w:pPr>
    </w:p>
    <w:p w14:paraId="0A9C7613" w14:textId="77777777" w:rsidR="001B7F77" w:rsidRPr="001B7F77" w:rsidRDefault="001B7F77" w:rsidP="001B7F77">
      <w:pPr>
        <w:widowControl w:val="0"/>
        <w:spacing w:before="120"/>
        <w:jc w:val="center"/>
        <w:outlineLvl w:val="0"/>
        <w:rPr>
          <w:rFonts w:eastAsia="Calibri"/>
          <w:b/>
          <w:bCs/>
          <w:color w:val="000000"/>
          <w:szCs w:val="24"/>
          <w:u w:val="single"/>
        </w:rPr>
      </w:pPr>
      <w:r w:rsidRPr="001B7F77">
        <w:rPr>
          <w:rFonts w:eastAsia="Calibri"/>
          <w:b/>
          <w:bCs/>
          <w:color w:val="000000"/>
          <w:szCs w:val="24"/>
          <w:u w:val="single"/>
        </w:rPr>
        <w:t>SECTION EBC 118</w:t>
      </w:r>
      <w:r w:rsidRPr="001B7F77">
        <w:rPr>
          <w:rFonts w:eastAsia="Calibri" w:cs="Arial"/>
          <w:b/>
          <w:bCs/>
          <w:color w:val="000000"/>
          <w:szCs w:val="24"/>
        </w:rPr>
        <w:br/>
      </w:r>
      <w:r w:rsidRPr="001B7F77">
        <w:rPr>
          <w:rFonts w:eastAsia="Calibri"/>
          <w:b/>
          <w:bCs/>
          <w:color w:val="000000"/>
          <w:szCs w:val="24"/>
          <w:u w:val="single"/>
        </w:rPr>
        <w:t>MAINTENANCE OF BUILDINGS</w:t>
      </w:r>
    </w:p>
    <w:p w14:paraId="2F6A6EF3" w14:textId="77777777" w:rsidR="001B7F77" w:rsidRPr="001B7F77" w:rsidRDefault="001B7F77" w:rsidP="001B7F77">
      <w:pPr>
        <w:widowControl w:val="0"/>
        <w:spacing w:before="120"/>
        <w:jc w:val="left"/>
        <w:rPr>
          <w:rFonts w:eastAsia="Calibri"/>
          <w:color w:val="000000"/>
          <w:szCs w:val="24"/>
          <w:u w:val="single"/>
        </w:rPr>
      </w:pPr>
      <w:r w:rsidRPr="001B7F77">
        <w:rPr>
          <w:rFonts w:eastAsia="Calibri"/>
          <w:b/>
          <w:color w:val="000000"/>
          <w:szCs w:val="24"/>
          <w:u w:val="single"/>
        </w:rPr>
        <w:t>118.1 General</w:t>
      </w:r>
      <w:r w:rsidRPr="001B7F77">
        <w:rPr>
          <w:rFonts w:eastAsia="Calibri"/>
          <w:bCs/>
          <w:color w:val="000000"/>
          <w:szCs w:val="24"/>
          <w:u w:val="single"/>
        </w:rPr>
        <w:t xml:space="preserve">. </w:t>
      </w:r>
      <w:r w:rsidRPr="001B7F77">
        <w:rPr>
          <w:rFonts w:eastAsia="Calibri" w:cs="Arial"/>
          <w:color w:val="000000"/>
          <w:szCs w:val="24"/>
          <w:u w:val="single"/>
        </w:rPr>
        <w:t xml:space="preserve">The provisions of this section shall apply to </w:t>
      </w:r>
      <w:r w:rsidRPr="001B7F77">
        <w:rPr>
          <w:rFonts w:eastAsia="Calibri"/>
          <w:color w:val="000000"/>
          <w:szCs w:val="24"/>
          <w:u w:val="single"/>
        </w:rPr>
        <w:t>maintenance and periodic inspections of existing buildings</w:t>
      </w:r>
      <w:r w:rsidRPr="001B7F77">
        <w:rPr>
          <w:rFonts w:eastAsia="Calibri" w:cs="Arial"/>
          <w:color w:val="000000"/>
          <w:szCs w:val="24"/>
          <w:u w:val="single"/>
        </w:rPr>
        <w:t xml:space="preserve">. The </w:t>
      </w:r>
      <w:r w:rsidRPr="001B7F77">
        <w:rPr>
          <w:rFonts w:eastAsia="Calibri"/>
          <w:bCs/>
          <w:color w:val="000000"/>
          <w:szCs w:val="24"/>
          <w:u w:val="single"/>
        </w:rPr>
        <w:t xml:space="preserve">requirements of </w:t>
      </w:r>
      <w:r w:rsidRPr="001B7F77">
        <w:rPr>
          <w:rFonts w:eastAsia="Calibri"/>
          <w:color w:val="000000"/>
          <w:szCs w:val="24"/>
          <w:u w:val="single"/>
        </w:rPr>
        <w:t xml:space="preserve">Chapter 3 of Title 28 of the </w:t>
      </w:r>
      <w:r w:rsidRPr="001B7F77">
        <w:rPr>
          <w:rFonts w:eastAsia="Calibri"/>
          <w:i/>
          <w:color w:val="000000"/>
          <w:szCs w:val="24"/>
          <w:u w:val="single"/>
        </w:rPr>
        <w:t>Administrative Code</w:t>
      </w:r>
      <w:r w:rsidRPr="001B7F77">
        <w:rPr>
          <w:rFonts w:eastAsia="Calibri"/>
          <w:color w:val="000000"/>
          <w:szCs w:val="24"/>
          <w:u w:val="single"/>
        </w:rPr>
        <w:t xml:space="preserve"> relating to maintenance and periodic inspections of existing buildings shall also apply.</w:t>
      </w:r>
    </w:p>
    <w:p w14:paraId="212F3506" w14:textId="77777777" w:rsidR="001B7F77" w:rsidRPr="001B7F77" w:rsidRDefault="001B7F77" w:rsidP="001B7F77">
      <w:pPr>
        <w:widowControl w:val="0"/>
        <w:tabs>
          <w:tab w:val="left" w:pos="360"/>
        </w:tabs>
        <w:spacing w:before="120"/>
        <w:ind w:left="360"/>
        <w:rPr>
          <w:rFonts w:eastAsia="Calibri"/>
          <w:color w:val="000000"/>
          <w:szCs w:val="24"/>
          <w:u w:val="single"/>
        </w:rPr>
      </w:pPr>
      <w:r w:rsidRPr="001B7F77">
        <w:rPr>
          <w:rFonts w:eastAsia="Calibri"/>
          <w:b/>
          <w:color w:val="000000"/>
          <w:szCs w:val="24"/>
          <w:u w:val="single"/>
        </w:rPr>
        <w:t xml:space="preserve">118.1.1 Requirements. </w:t>
      </w:r>
      <w:r w:rsidRPr="001B7F77">
        <w:rPr>
          <w:rFonts w:eastAsia="Calibri"/>
          <w:color w:val="000000"/>
          <w:szCs w:val="24"/>
          <w:u w:val="single"/>
        </w:rPr>
        <w:t xml:space="preserve">All buildings and all parts thereof shall be maintained and periodically inspected in accordance with Section 118.2 of this code pursuant to Chapter 3 of Title 28 of the </w:t>
      </w:r>
      <w:r w:rsidRPr="001B7F77">
        <w:rPr>
          <w:rFonts w:eastAsia="Calibri"/>
          <w:i/>
          <w:color w:val="000000"/>
          <w:szCs w:val="24"/>
          <w:u w:val="single"/>
        </w:rPr>
        <w:t>Administrative Code</w:t>
      </w:r>
      <w:r w:rsidRPr="001B7F77">
        <w:rPr>
          <w:rFonts w:eastAsia="Calibri"/>
          <w:color w:val="000000"/>
          <w:szCs w:val="24"/>
          <w:u w:val="single"/>
        </w:rPr>
        <w:t>.</w:t>
      </w:r>
    </w:p>
    <w:p w14:paraId="2B11EB5E" w14:textId="77777777" w:rsidR="001B7F77" w:rsidRPr="001B7F77" w:rsidRDefault="001B7F77" w:rsidP="001B7F77">
      <w:pPr>
        <w:widowControl w:val="0"/>
        <w:tabs>
          <w:tab w:val="left" w:pos="360"/>
        </w:tabs>
        <w:spacing w:before="120"/>
        <w:ind w:left="360"/>
        <w:rPr>
          <w:rFonts w:eastAsia="Calibri"/>
          <w:color w:val="000000"/>
          <w:szCs w:val="24"/>
          <w:u w:val="single"/>
        </w:rPr>
      </w:pPr>
      <w:r w:rsidRPr="001B7F77">
        <w:rPr>
          <w:rFonts w:eastAsia="Calibri"/>
          <w:b/>
          <w:color w:val="000000"/>
          <w:szCs w:val="24"/>
          <w:u w:val="single"/>
        </w:rPr>
        <w:t xml:space="preserve">118.1.2 Owner’s responsibilities. </w:t>
      </w:r>
      <w:r w:rsidRPr="001B7F77">
        <w:rPr>
          <w:rFonts w:eastAsia="Calibri"/>
          <w:color w:val="000000"/>
          <w:szCs w:val="24"/>
          <w:u w:val="single"/>
        </w:rPr>
        <w:t xml:space="preserve">The owner shall be responsible at all times to maintain the building and its facilities and all other structures regulated by this code and other applicable codes in a safe and code-compliant manner and shall comply with the inspection and maintenance requirements of Chapter 3 of Title 28 of the </w:t>
      </w:r>
      <w:r w:rsidRPr="001B7F77">
        <w:rPr>
          <w:rFonts w:eastAsia="Calibri"/>
          <w:i/>
          <w:color w:val="000000"/>
          <w:szCs w:val="24"/>
          <w:u w:val="single"/>
        </w:rPr>
        <w:t>Administrative Code</w:t>
      </w:r>
      <w:r w:rsidRPr="001B7F77">
        <w:rPr>
          <w:rFonts w:eastAsia="Calibri"/>
          <w:color w:val="000000"/>
          <w:szCs w:val="24"/>
          <w:u w:val="single"/>
        </w:rPr>
        <w:t>.</w:t>
      </w:r>
    </w:p>
    <w:p w14:paraId="697F33DC" w14:textId="77777777" w:rsidR="001B7F77" w:rsidRPr="001B7F77" w:rsidRDefault="001B7F77" w:rsidP="001B7F77">
      <w:pPr>
        <w:widowControl w:val="0"/>
        <w:spacing w:before="120"/>
        <w:ind w:left="360"/>
        <w:rPr>
          <w:rFonts w:eastAsia="Calibri"/>
          <w:color w:val="000000"/>
          <w:szCs w:val="24"/>
          <w:u w:val="single"/>
        </w:rPr>
      </w:pPr>
      <w:r w:rsidRPr="001B7F77">
        <w:rPr>
          <w:rFonts w:eastAsia="Calibri"/>
          <w:b/>
          <w:color w:val="000000"/>
          <w:szCs w:val="24"/>
          <w:u w:val="single"/>
        </w:rPr>
        <w:t>118.1.3 Filing of reports</w:t>
      </w:r>
      <w:r w:rsidRPr="001B7F77">
        <w:rPr>
          <w:rFonts w:eastAsia="Calibri"/>
          <w:color w:val="000000"/>
          <w:szCs w:val="24"/>
          <w:u w:val="single"/>
        </w:rPr>
        <w:t xml:space="preserve">. Reports required to be filed in accordance with Chapter 3 of Title 28 of the </w:t>
      </w:r>
      <w:r w:rsidRPr="001B7F77">
        <w:rPr>
          <w:rFonts w:eastAsia="Calibri"/>
          <w:i/>
          <w:color w:val="000000"/>
          <w:szCs w:val="24"/>
          <w:u w:val="single"/>
        </w:rPr>
        <w:t>Administrative Code</w:t>
      </w:r>
      <w:r w:rsidRPr="001B7F77">
        <w:rPr>
          <w:rFonts w:eastAsia="Calibri"/>
          <w:color w:val="000000"/>
          <w:szCs w:val="24"/>
          <w:u w:val="single"/>
        </w:rPr>
        <w:t>, shall be filed in writing or electronically as the commissioner may require.</w:t>
      </w:r>
    </w:p>
    <w:p w14:paraId="4FF58066" w14:textId="77777777" w:rsidR="001B7F77" w:rsidRPr="001B7F77" w:rsidRDefault="001B7F77" w:rsidP="001B7F77">
      <w:pPr>
        <w:widowControl w:val="0"/>
        <w:spacing w:before="120"/>
        <w:rPr>
          <w:rFonts w:eastAsia="Calibri"/>
          <w:color w:val="000000"/>
          <w:szCs w:val="24"/>
          <w:u w:val="single"/>
        </w:rPr>
      </w:pPr>
      <w:r w:rsidRPr="001B7F77">
        <w:rPr>
          <w:rFonts w:eastAsia="Calibri"/>
          <w:b/>
          <w:color w:val="000000"/>
          <w:szCs w:val="24"/>
          <w:u w:val="single"/>
        </w:rPr>
        <w:t>118.2 Maintenance and periodic inspections</w:t>
      </w:r>
      <w:r w:rsidRPr="001B7F77">
        <w:rPr>
          <w:rFonts w:eastAsia="Calibri"/>
          <w:color w:val="000000"/>
          <w:szCs w:val="24"/>
          <w:u w:val="single"/>
        </w:rPr>
        <w:t xml:space="preserve">. Maintenance and periodic inspections shall be required to be performed in accordance with Chapter 3 of Title 28 of the </w:t>
      </w:r>
      <w:r w:rsidRPr="001B7F77">
        <w:rPr>
          <w:rFonts w:eastAsia="Calibri"/>
          <w:i/>
          <w:color w:val="000000"/>
          <w:szCs w:val="24"/>
          <w:u w:val="single"/>
        </w:rPr>
        <w:t>Administrative Code</w:t>
      </w:r>
      <w:r w:rsidRPr="001B7F77">
        <w:rPr>
          <w:rFonts w:eastAsia="Calibri"/>
          <w:color w:val="000000"/>
          <w:szCs w:val="24"/>
          <w:u w:val="single"/>
        </w:rPr>
        <w:t xml:space="preserve"> and Sections 118.2.1 through 118.2.21 of this code.</w:t>
      </w:r>
    </w:p>
    <w:p w14:paraId="184B9E1A" w14:textId="77777777" w:rsidR="001B7F77" w:rsidRPr="001B7F77" w:rsidRDefault="001B7F77" w:rsidP="001B7F77">
      <w:pPr>
        <w:widowControl w:val="0"/>
        <w:tabs>
          <w:tab w:val="left" w:pos="360"/>
        </w:tabs>
        <w:spacing w:before="120"/>
        <w:ind w:left="360"/>
        <w:rPr>
          <w:rFonts w:eastAsia="Calibri"/>
          <w:color w:val="000000"/>
          <w:szCs w:val="24"/>
          <w:u w:val="single"/>
        </w:rPr>
      </w:pPr>
      <w:r w:rsidRPr="001B7F77">
        <w:rPr>
          <w:rFonts w:eastAsia="Calibri"/>
          <w:b/>
          <w:color w:val="000000"/>
          <w:szCs w:val="24"/>
          <w:u w:val="single"/>
        </w:rPr>
        <w:t xml:space="preserve">118.2.1 Parapets. </w:t>
      </w:r>
      <w:r w:rsidRPr="001B7F77">
        <w:rPr>
          <w:rFonts w:eastAsia="Calibri"/>
          <w:bCs/>
          <w:color w:val="000000"/>
          <w:szCs w:val="24"/>
          <w:u w:val="single"/>
        </w:rPr>
        <w:t xml:space="preserve">A building’s parapet shall be maintained in a safe condition as required by Article 301 </w:t>
      </w:r>
      <w:r w:rsidRPr="001B7F77">
        <w:rPr>
          <w:rFonts w:eastAsia="Calibri"/>
          <w:color w:val="000000"/>
          <w:szCs w:val="24"/>
          <w:u w:val="single"/>
        </w:rPr>
        <w:t xml:space="preserve">of Chapter 3 of Title 28 of the </w:t>
      </w:r>
      <w:r w:rsidRPr="001B7F77">
        <w:rPr>
          <w:rFonts w:eastAsia="Calibri"/>
          <w:i/>
          <w:color w:val="000000"/>
          <w:szCs w:val="24"/>
          <w:u w:val="single"/>
        </w:rPr>
        <w:t>Administrative Code</w:t>
      </w:r>
      <w:r w:rsidRPr="001B7F77">
        <w:rPr>
          <w:rFonts w:eastAsia="Calibri"/>
          <w:color w:val="000000"/>
          <w:szCs w:val="24"/>
          <w:u w:val="single"/>
        </w:rPr>
        <w:t>.</w:t>
      </w:r>
    </w:p>
    <w:p w14:paraId="27FD0524" w14:textId="77777777" w:rsidR="001B7F77" w:rsidRPr="001B7F77" w:rsidRDefault="001B7F77" w:rsidP="001B7F77">
      <w:pPr>
        <w:widowControl w:val="0"/>
        <w:tabs>
          <w:tab w:val="left" w:pos="360"/>
        </w:tabs>
        <w:spacing w:before="120"/>
        <w:ind w:left="360"/>
        <w:rPr>
          <w:rFonts w:eastAsia="Calibri"/>
          <w:color w:val="000000"/>
          <w:szCs w:val="24"/>
          <w:u w:val="single"/>
        </w:rPr>
      </w:pPr>
      <w:r w:rsidRPr="001B7F77">
        <w:rPr>
          <w:rFonts w:eastAsia="Calibri"/>
          <w:b/>
          <w:color w:val="000000"/>
          <w:szCs w:val="24"/>
          <w:u w:val="single"/>
        </w:rPr>
        <w:t>118.2.2 Maintenance of exterior walls.</w:t>
      </w:r>
      <w:r w:rsidRPr="001B7F77">
        <w:rPr>
          <w:rFonts w:eastAsia="Calibri"/>
          <w:color w:val="000000"/>
          <w:szCs w:val="24"/>
          <w:u w:val="single"/>
        </w:rPr>
        <w:t xml:space="preserve"> A building’s exterior walls and appurtenances thereof shall be maintained in a safe condition. All buildings greater than six stories shall comply with the maintenance requirement of Article 302 of Chapter 3 of Title 28 of the </w:t>
      </w:r>
      <w:r w:rsidRPr="001B7F77">
        <w:rPr>
          <w:rFonts w:eastAsia="Calibri"/>
          <w:i/>
          <w:color w:val="000000"/>
          <w:szCs w:val="24"/>
          <w:u w:val="single"/>
        </w:rPr>
        <w:t>Administrative Code</w:t>
      </w:r>
      <w:r w:rsidRPr="001B7F77">
        <w:rPr>
          <w:rFonts w:eastAsia="Calibri"/>
          <w:color w:val="000000"/>
          <w:szCs w:val="24"/>
          <w:u w:val="single"/>
        </w:rPr>
        <w:t>.</w:t>
      </w:r>
    </w:p>
    <w:p w14:paraId="30BB0AAC" w14:textId="77777777" w:rsidR="001B7F77" w:rsidRPr="001B7F77" w:rsidRDefault="001B7F77" w:rsidP="001B7F77">
      <w:pPr>
        <w:widowControl w:val="0"/>
        <w:tabs>
          <w:tab w:val="left" w:pos="360"/>
        </w:tabs>
        <w:spacing w:before="120"/>
        <w:ind w:left="360"/>
        <w:rPr>
          <w:rFonts w:eastAsia="Calibri"/>
          <w:color w:val="000000"/>
          <w:szCs w:val="24"/>
          <w:u w:val="single"/>
        </w:rPr>
      </w:pPr>
      <w:r w:rsidRPr="001B7F77">
        <w:rPr>
          <w:rFonts w:eastAsia="Calibri"/>
          <w:b/>
          <w:color w:val="000000"/>
          <w:szCs w:val="24"/>
          <w:u w:val="single"/>
        </w:rPr>
        <w:t>118.2.3 Periodic boiler inspections.</w:t>
      </w:r>
      <w:r w:rsidRPr="001B7F77">
        <w:rPr>
          <w:rFonts w:eastAsia="Calibri"/>
          <w:color w:val="000000"/>
          <w:szCs w:val="24"/>
          <w:u w:val="single"/>
        </w:rPr>
        <w:t xml:space="preserve"> Periodic boiler inspections shall be performed in accordance with Article 303 of Chapter 3 of Title 28 of the </w:t>
      </w:r>
      <w:r w:rsidRPr="001B7F77">
        <w:rPr>
          <w:rFonts w:eastAsia="Calibri"/>
          <w:i/>
          <w:color w:val="000000"/>
          <w:szCs w:val="24"/>
          <w:u w:val="single"/>
        </w:rPr>
        <w:t>Administrative Code</w:t>
      </w:r>
      <w:r w:rsidRPr="001B7F77">
        <w:rPr>
          <w:rFonts w:eastAsia="Calibri"/>
          <w:color w:val="000000"/>
          <w:szCs w:val="24"/>
          <w:u w:val="single"/>
        </w:rPr>
        <w:t>.</w:t>
      </w:r>
    </w:p>
    <w:p w14:paraId="12954519" w14:textId="77777777" w:rsidR="001B7F77" w:rsidRPr="001B7F77" w:rsidRDefault="001B7F77" w:rsidP="001B7F77">
      <w:pPr>
        <w:widowControl w:val="0"/>
        <w:tabs>
          <w:tab w:val="left" w:pos="360"/>
        </w:tabs>
        <w:spacing w:before="120"/>
        <w:ind w:left="360"/>
        <w:rPr>
          <w:rFonts w:eastAsia="Calibri"/>
          <w:color w:val="000000"/>
          <w:szCs w:val="24"/>
          <w:u w:val="single"/>
        </w:rPr>
      </w:pPr>
      <w:r w:rsidRPr="001B7F77">
        <w:rPr>
          <w:rFonts w:eastAsia="Calibri"/>
          <w:b/>
          <w:color w:val="000000"/>
          <w:szCs w:val="24"/>
          <w:u w:val="single"/>
        </w:rPr>
        <w:t>118.2.4</w:t>
      </w:r>
      <w:r w:rsidRPr="001B7F77">
        <w:rPr>
          <w:rFonts w:eastAsia="Calibri"/>
          <w:color w:val="000000"/>
          <w:szCs w:val="24"/>
          <w:u w:val="single"/>
        </w:rPr>
        <w:t xml:space="preserve"> </w:t>
      </w:r>
      <w:r w:rsidRPr="001B7F77">
        <w:rPr>
          <w:rFonts w:eastAsia="Calibri"/>
          <w:b/>
          <w:color w:val="000000"/>
          <w:szCs w:val="24"/>
          <w:u w:val="single"/>
        </w:rPr>
        <w:t>Elevators and conveying systems.</w:t>
      </w:r>
      <w:r w:rsidRPr="001B7F77">
        <w:rPr>
          <w:rFonts w:eastAsia="Calibri"/>
          <w:color w:val="000000"/>
          <w:szCs w:val="24"/>
          <w:u w:val="single"/>
        </w:rPr>
        <w:t xml:space="preserve"> Elevators and conveying systems shall be maintained in a safe condition and in accordance with ASME A17.3, as modified by Appendix K of the </w:t>
      </w:r>
      <w:r w:rsidRPr="001B7F77">
        <w:rPr>
          <w:rFonts w:eastAsia="Calibri"/>
          <w:i/>
          <w:color w:val="000000"/>
          <w:szCs w:val="24"/>
          <w:u w:val="single"/>
        </w:rPr>
        <w:t>New York City Building Code</w:t>
      </w:r>
      <w:r w:rsidRPr="001B7F77">
        <w:rPr>
          <w:rFonts w:eastAsia="Calibri"/>
          <w:color w:val="000000"/>
          <w:szCs w:val="24"/>
          <w:u w:val="single"/>
        </w:rPr>
        <w:t xml:space="preserve">. Every new and existing elevator or conveying system shall be inspected and tested in accordance with Article 304 of Chapter 3 of Title 28 of the </w:t>
      </w:r>
      <w:r w:rsidRPr="001B7F77">
        <w:rPr>
          <w:rFonts w:eastAsia="Calibri"/>
          <w:i/>
          <w:color w:val="000000"/>
          <w:szCs w:val="24"/>
          <w:u w:val="single"/>
        </w:rPr>
        <w:t>Administrative Code</w:t>
      </w:r>
      <w:r w:rsidRPr="001B7F77">
        <w:rPr>
          <w:rFonts w:eastAsia="Calibri"/>
          <w:color w:val="000000"/>
          <w:szCs w:val="24"/>
          <w:u w:val="single"/>
        </w:rPr>
        <w:t>.</w:t>
      </w:r>
    </w:p>
    <w:p w14:paraId="0388970B" w14:textId="77777777" w:rsidR="001B7F77" w:rsidRPr="001B7F77" w:rsidRDefault="001B7F77" w:rsidP="001B7F77">
      <w:pPr>
        <w:widowControl w:val="0"/>
        <w:tabs>
          <w:tab w:val="left" w:pos="360"/>
        </w:tabs>
        <w:spacing w:before="120"/>
        <w:ind w:left="360"/>
        <w:rPr>
          <w:rFonts w:eastAsia="Calibri"/>
          <w:color w:val="000000"/>
          <w:szCs w:val="24"/>
          <w:u w:val="single"/>
        </w:rPr>
      </w:pPr>
      <w:r w:rsidRPr="001B7F77">
        <w:rPr>
          <w:rFonts w:eastAsia="Calibri"/>
          <w:b/>
          <w:color w:val="000000"/>
          <w:szCs w:val="24"/>
          <w:u w:val="single"/>
        </w:rPr>
        <w:t>118.2.5 Retaining walls, partition fences and other site structures.</w:t>
      </w:r>
      <w:r w:rsidRPr="001B7F77">
        <w:rPr>
          <w:rFonts w:eastAsia="Calibri"/>
          <w:color w:val="000000"/>
          <w:szCs w:val="24"/>
          <w:u w:val="single"/>
        </w:rPr>
        <w:t xml:space="preserve"> In addition to the requirements set forth in Chapter 33 of the </w:t>
      </w:r>
      <w:r w:rsidRPr="001B7F77">
        <w:rPr>
          <w:rFonts w:eastAsia="Calibri"/>
          <w:i/>
          <w:color w:val="000000"/>
          <w:szCs w:val="24"/>
          <w:u w:val="single"/>
        </w:rPr>
        <w:t>New York City Building Code</w:t>
      </w:r>
      <w:r w:rsidRPr="001B7F77">
        <w:rPr>
          <w:rFonts w:eastAsia="Calibri"/>
          <w:color w:val="000000"/>
          <w:szCs w:val="24"/>
          <w:u w:val="single"/>
        </w:rPr>
        <w:t xml:space="preserve">, the responsibility for maintaining and repairing retaining walls, partition fences and other site structures shall be in accordance with Article 305 of Chapter 3 of Title 28 of the </w:t>
      </w:r>
      <w:r w:rsidRPr="001B7F77">
        <w:rPr>
          <w:rFonts w:eastAsia="Calibri"/>
          <w:i/>
          <w:color w:val="000000"/>
          <w:szCs w:val="24"/>
          <w:u w:val="single"/>
        </w:rPr>
        <w:t>Administrative Code</w:t>
      </w:r>
      <w:r w:rsidRPr="001B7F77">
        <w:rPr>
          <w:rFonts w:eastAsia="Calibri"/>
          <w:color w:val="000000"/>
          <w:szCs w:val="24"/>
          <w:u w:val="single"/>
        </w:rPr>
        <w:t>.</w:t>
      </w:r>
    </w:p>
    <w:p w14:paraId="2A1734FF" w14:textId="77777777" w:rsidR="001B7F77" w:rsidRPr="001B7F77" w:rsidRDefault="001B7F77" w:rsidP="001B7F77">
      <w:pPr>
        <w:widowControl w:val="0"/>
        <w:tabs>
          <w:tab w:val="left" w:pos="360"/>
        </w:tabs>
        <w:spacing w:before="120"/>
        <w:ind w:left="360"/>
        <w:rPr>
          <w:rFonts w:eastAsia="Calibri"/>
          <w:color w:val="000000"/>
          <w:szCs w:val="24"/>
          <w:u w:val="single"/>
        </w:rPr>
      </w:pPr>
      <w:r w:rsidRPr="001B7F77">
        <w:rPr>
          <w:rFonts w:eastAsia="Calibri"/>
          <w:b/>
          <w:color w:val="000000"/>
          <w:szCs w:val="24"/>
          <w:u w:val="single"/>
        </w:rPr>
        <w:t>118.2.6 Party walls.</w:t>
      </w:r>
      <w:r w:rsidRPr="001B7F77">
        <w:rPr>
          <w:rFonts w:eastAsia="Calibri"/>
          <w:color w:val="000000"/>
          <w:szCs w:val="24"/>
          <w:u w:val="single"/>
        </w:rPr>
        <w:t xml:space="preserve"> Party walls shall be maintained in accordance with Article 306 of Chapter 3 of Title 28 of the </w:t>
      </w:r>
      <w:r w:rsidRPr="001B7F77">
        <w:rPr>
          <w:rFonts w:eastAsia="Calibri"/>
          <w:i/>
          <w:color w:val="000000"/>
          <w:szCs w:val="24"/>
          <w:u w:val="single"/>
        </w:rPr>
        <w:t>Administrative Code</w:t>
      </w:r>
      <w:r w:rsidRPr="001B7F77">
        <w:rPr>
          <w:rFonts w:eastAsia="Calibri"/>
          <w:color w:val="000000"/>
          <w:szCs w:val="24"/>
          <w:u w:val="single"/>
        </w:rPr>
        <w:t>.</w:t>
      </w:r>
    </w:p>
    <w:p w14:paraId="5758F6B9" w14:textId="77777777" w:rsidR="001B7F77" w:rsidRPr="001B7F77" w:rsidRDefault="001B7F77" w:rsidP="001B7F77">
      <w:pPr>
        <w:widowControl w:val="0"/>
        <w:tabs>
          <w:tab w:val="left" w:pos="360"/>
        </w:tabs>
        <w:spacing w:before="120"/>
        <w:ind w:left="360"/>
        <w:rPr>
          <w:rFonts w:eastAsia="Calibri"/>
          <w:color w:val="000000"/>
          <w:szCs w:val="24"/>
          <w:u w:val="single"/>
        </w:rPr>
      </w:pPr>
      <w:r w:rsidRPr="001B7F77">
        <w:rPr>
          <w:rFonts w:eastAsia="Calibri"/>
          <w:b/>
          <w:color w:val="000000"/>
          <w:szCs w:val="24"/>
          <w:u w:val="single"/>
        </w:rPr>
        <w:t>118.2.7 Workplace exits.</w:t>
      </w:r>
      <w:r w:rsidRPr="001B7F77">
        <w:rPr>
          <w:rFonts w:eastAsia="Calibri"/>
          <w:color w:val="000000"/>
          <w:szCs w:val="24"/>
          <w:u w:val="single"/>
        </w:rPr>
        <w:t xml:space="preserve"> </w:t>
      </w:r>
      <w:r w:rsidRPr="001B7F77">
        <w:rPr>
          <w:rFonts w:eastAsia="Calibri" w:cs="Arial"/>
          <w:color w:val="000000"/>
          <w:szCs w:val="24"/>
          <w:u w:val="single"/>
        </w:rPr>
        <w:t>Workplace exits shall be unobstructed in accordance with</w:t>
      </w:r>
      <w:r w:rsidRPr="001B7F77">
        <w:rPr>
          <w:rFonts w:eastAsia="Calibri"/>
          <w:color w:val="000000"/>
          <w:szCs w:val="24"/>
          <w:u w:val="single"/>
        </w:rPr>
        <w:t xml:space="preserve"> Article 307 of Chapter 3 of Title 28 of the </w:t>
      </w:r>
      <w:r w:rsidRPr="001B7F77">
        <w:rPr>
          <w:rFonts w:eastAsia="Calibri"/>
          <w:i/>
          <w:color w:val="000000"/>
          <w:szCs w:val="24"/>
          <w:u w:val="single"/>
        </w:rPr>
        <w:t>Administrative Code</w:t>
      </w:r>
      <w:r w:rsidRPr="001B7F77">
        <w:rPr>
          <w:rFonts w:eastAsia="Calibri"/>
          <w:color w:val="000000"/>
          <w:szCs w:val="24"/>
          <w:u w:val="single"/>
        </w:rPr>
        <w:t xml:space="preserve"> and it shall be unlawful for an employer or the agent of an employer to lock the doors of a workplace or otherwise obstruct or prohibit exit from a workplace when such act may endanger the health or safety of any employee, independent contractor or other individual in such workplace.</w:t>
      </w:r>
    </w:p>
    <w:p w14:paraId="0AFDFA1E" w14:textId="77777777" w:rsidR="001B7F77" w:rsidRPr="001B7F77" w:rsidRDefault="001B7F77" w:rsidP="001B7F77">
      <w:pPr>
        <w:widowControl w:val="0"/>
        <w:tabs>
          <w:tab w:val="left" w:pos="360"/>
        </w:tabs>
        <w:spacing w:before="120"/>
        <w:ind w:left="360"/>
        <w:rPr>
          <w:rFonts w:eastAsia="Calibri"/>
          <w:color w:val="000000"/>
          <w:szCs w:val="24"/>
          <w:u w:val="single"/>
        </w:rPr>
      </w:pPr>
      <w:r w:rsidRPr="001B7F77">
        <w:rPr>
          <w:rFonts w:eastAsia="Calibri"/>
          <w:b/>
          <w:color w:val="000000"/>
          <w:szCs w:val="24"/>
          <w:u w:val="single"/>
        </w:rPr>
        <w:t>118.2.8 Energy audits and retro-commissioning of base building systems.</w:t>
      </w:r>
      <w:r w:rsidRPr="001B7F77">
        <w:rPr>
          <w:rFonts w:eastAsia="Calibri"/>
          <w:color w:val="000000"/>
          <w:szCs w:val="24"/>
          <w:u w:val="single"/>
        </w:rPr>
        <w:t xml:space="preserve"> Energy audits and retro-commissioning of base building systems shall be subject to Article 308 of Chapter 3 of Title 28 of the </w:t>
      </w:r>
      <w:r w:rsidRPr="001B7F77">
        <w:rPr>
          <w:rFonts w:eastAsia="Calibri"/>
          <w:i/>
          <w:color w:val="000000"/>
          <w:szCs w:val="24"/>
          <w:u w:val="single"/>
        </w:rPr>
        <w:t>Administrative Code</w:t>
      </w:r>
      <w:r w:rsidRPr="001B7F77">
        <w:rPr>
          <w:rFonts w:eastAsia="Calibri"/>
          <w:color w:val="000000"/>
          <w:szCs w:val="24"/>
          <w:u w:val="single"/>
        </w:rPr>
        <w:t>.</w:t>
      </w:r>
    </w:p>
    <w:p w14:paraId="4C70FB62" w14:textId="77777777" w:rsidR="001B7F77" w:rsidRPr="001B7F77" w:rsidRDefault="001B7F77" w:rsidP="001B7F77">
      <w:pPr>
        <w:widowControl w:val="0"/>
        <w:tabs>
          <w:tab w:val="left" w:pos="360"/>
        </w:tabs>
        <w:spacing w:before="120"/>
        <w:ind w:left="360"/>
        <w:rPr>
          <w:rFonts w:eastAsia="Calibri"/>
          <w:color w:val="000000"/>
          <w:szCs w:val="24"/>
          <w:u w:val="single"/>
        </w:rPr>
      </w:pPr>
      <w:r w:rsidRPr="001B7F77">
        <w:rPr>
          <w:rFonts w:eastAsia="Calibri"/>
          <w:b/>
          <w:color w:val="000000"/>
          <w:szCs w:val="24"/>
          <w:u w:val="single"/>
        </w:rPr>
        <w:t xml:space="preserve">118.2.9 Benchmarking energy and water use. </w:t>
      </w:r>
      <w:r w:rsidRPr="001B7F77">
        <w:rPr>
          <w:rFonts w:eastAsia="Calibri"/>
          <w:color w:val="000000"/>
          <w:szCs w:val="24"/>
          <w:u w:val="single"/>
        </w:rPr>
        <w:t xml:space="preserve">The energy and water use of city buildings and covered buildings shall be benchmarked in accordance with Article 309 of Chapter 3 of Title 28 of the </w:t>
      </w:r>
      <w:r w:rsidRPr="001B7F77">
        <w:rPr>
          <w:rFonts w:eastAsia="Calibri"/>
          <w:i/>
          <w:color w:val="000000"/>
          <w:szCs w:val="24"/>
          <w:u w:val="single"/>
        </w:rPr>
        <w:t>Administrative Code</w:t>
      </w:r>
      <w:r w:rsidRPr="001B7F77">
        <w:rPr>
          <w:rFonts w:eastAsia="Calibri"/>
          <w:color w:val="000000"/>
          <w:szCs w:val="24"/>
          <w:u w:val="single"/>
        </w:rPr>
        <w:t>.</w:t>
      </w:r>
    </w:p>
    <w:p w14:paraId="2568B811" w14:textId="77777777" w:rsidR="001B7F77" w:rsidRPr="001B7F77" w:rsidRDefault="001B7F77" w:rsidP="001B7F77">
      <w:pPr>
        <w:widowControl w:val="0"/>
        <w:tabs>
          <w:tab w:val="left" w:pos="360"/>
        </w:tabs>
        <w:spacing w:before="120"/>
        <w:ind w:left="360"/>
        <w:rPr>
          <w:rFonts w:eastAsia="Calibri"/>
          <w:color w:val="000000"/>
          <w:szCs w:val="24"/>
          <w:u w:val="single"/>
        </w:rPr>
      </w:pPr>
      <w:r w:rsidRPr="001B7F77">
        <w:rPr>
          <w:rFonts w:eastAsia="Calibri"/>
          <w:b/>
          <w:color w:val="000000"/>
          <w:szCs w:val="24"/>
          <w:u w:val="single"/>
        </w:rPr>
        <w:t>118.2.10 Required upgrade of lighting systems.</w:t>
      </w:r>
      <w:r w:rsidRPr="001B7F77">
        <w:rPr>
          <w:rFonts w:eastAsia="Calibri"/>
          <w:color w:val="000000"/>
          <w:szCs w:val="24"/>
          <w:u w:val="single"/>
        </w:rPr>
        <w:t xml:space="preserve"> Lighting systems in covered buildings shall be upgraded as provided in Article 310 of Chapter 3 of Title 28 of the </w:t>
      </w:r>
      <w:r w:rsidRPr="001B7F77">
        <w:rPr>
          <w:rFonts w:eastAsia="Calibri"/>
          <w:i/>
          <w:color w:val="000000"/>
          <w:szCs w:val="24"/>
          <w:u w:val="single"/>
        </w:rPr>
        <w:t>Administrative Code</w:t>
      </w:r>
      <w:r w:rsidRPr="001B7F77">
        <w:rPr>
          <w:rFonts w:eastAsia="Calibri"/>
          <w:color w:val="000000"/>
          <w:szCs w:val="24"/>
          <w:u w:val="single"/>
        </w:rPr>
        <w:t>.</w:t>
      </w:r>
    </w:p>
    <w:p w14:paraId="3D6A395F" w14:textId="77777777" w:rsidR="001B7F77" w:rsidRPr="001B7F77" w:rsidRDefault="001B7F77" w:rsidP="001B7F77">
      <w:pPr>
        <w:widowControl w:val="0"/>
        <w:tabs>
          <w:tab w:val="left" w:pos="360"/>
        </w:tabs>
        <w:spacing w:before="120"/>
        <w:ind w:left="360"/>
        <w:rPr>
          <w:rFonts w:eastAsia="Calibri"/>
          <w:color w:val="000000"/>
          <w:szCs w:val="24"/>
          <w:u w:val="single"/>
        </w:rPr>
      </w:pPr>
      <w:r w:rsidRPr="001B7F77">
        <w:rPr>
          <w:rFonts w:eastAsia="Calibri"/>
          <w:b/>
          <w:color w:val="000000"/>
          <w:szCs w:val="24"/>
          <w:u w:val="single"/>
        </w:rPr>
        <w:t>118.2.11 Installation of electrical sub-meters in tenant spaces.</w:t>
      </w:r>
      <w:r w:rsidRPr="001B7F77">
        <w:rPr>
          <w:rFonts w:eastAsia="Calibri"/>
          <w:color w:val="000000"/>
          <w:szCs w:val="24"/>
          <w:u w:val="single"/>
        </w:rPr>
        <w:t xml:space="preserve"> Sub-meters shall be installed in covered buildings as provided in Article 311 of Chapter 3 of Title 28 of the </w:t>
      </w:r>
      <w:r w:rsidRPr="001B7F77">
        <w:rPr>
          <w:rFonts w:eastAsia="Calibri"/>
          <w:i/>
          <w:color w:val="000000"/>
          <w:szCs w:val="24"/>
          <w:u w:val="single"/>
        </w:rPr>
        <w:t>Administrative Code</w:t>
      </w:r>
      <w:r w:rsidRPr="001B7F77">
        <w:rPr>
          <w:rFonts w:eastAsia="Calibri"/>
          <w:color w:val="000000"/>
          <w:szCs w:val="24"/>
          <w:u w:val="single"/>
        </w:rPr>
        <w:t>.</w:t>
      </w:r>
    </w:p>
    <w:p w14:paraId="2F27B925" w14:textId="77777777" w:rsidR="001B7F77" w:rsidRPr="001B7F77" w:rsidRDefault="001B7F77" w:rsidP="001B7F77">
      <w:pPr>
        <w:widowControl w:val="0"/>
        <w:tabs>
          <w:tab w:val="left" w:pos="360"/>
        </w:tabs>
        <w:spacing w:before="120"/>
        <w:ind w:left="360"/>
        <w:rPr>
          <w:rFonts w:eastAsia="Calibri"/>
          <w:color w:val="000000"/>
          <w:szCs w:val="24"/>
          <w:u w:val="single"/>
        </w:rPr>
      </w:pPr>
      <w:r w:rsidRPr="001B7F77">
        <w:rPr>
          <w:rFonts w:eastAsia="Calibri"/>
          <w:b/>
          <w:color w:val="000000"/>
          <w:szCs w:val="24"/>
          <w:u w:val="single"/>
        </w:rPr>
        <w:t>118.2.12 Carbon monoxide and smoke alarms.</w:t>
      </w:r>
      <w:r w:rsidRPr="001B7F77">
        <w:rPr>
          <w:rFonts w:eastAsia="Calibri"/>
          <w:color w:val="000000"/>
          <w:szCs w:val="24"/>
          <w:u w:val="single"/>
        </w:rPr>
        <w:t xml:space="preserve"> Required carbon monoxide and smoke alarms shall comply with the provisions of Article 312 of Chapter 3 of Title 28 of the </w:t>
      </w:r>
      <w:r w:rsidRPr="001B7F77">
        <w:rPr>
          <w:rFonts w:eastAsia="Calibri"/>
          <w:i/>
          <w:color w:val="000000"/>
          <w:szCs w:val="24"/>
          <w:u w:val="single"/>
        </w:rPr>
        <w:t>Administrative Code</w:t>
      </w:r>
      <w:r w:rsidRPr="001B7F77">
        <w:rPr>
          <w:rFonts w:eastAsia="Calibri"/>
          <w:color w:val="000000"/>
          <w:szCs w:val="24"/>
          <w:u w:val="single"/>
        </w:rPr>
        <w:t>.</w:t>
      </w:r>
    </w:p>
    <w:p w14:paraId="21F68CCC" w14:textId="77777777" w:rsidR="001B7F77" w:rsidRPr="001B7F77" w:rsidRDefault="001B7F77" w:rsidP="001B7F77">
      <w:pPr>
        <w:widowControl w:val="0"/>
        <w:tabs>
          <w:tab w:val="left" w:pos="360"/>
        </w:tabs>
        <w:spacing w:before="120"/>
        <w:ind w:left="360"/>
        <w:rPr>
          <w:rFonts w:eastAsia="Calibri"/>
          <w:color w:val="000000"/>
          <w:szCs w:val="24"/>
          <w:u w:val="single"/>
        </w:rPr>
      </w:pPr>
      <w:bookmarkStart w:id="34" w:name="_Hlk40619100"/>
      <w:r w:rsidRPr="001B7F77">
        <w:rPr>
          <w:rFonts w:eastAsia="Calibri"/>
          <w:b/>
          <w:color w:val="000000"/>
          <w:szCs w:val="24"/>
          <w:u w:val="single"/>
        </w:rPr>
        <w:t xml:space="preserve">118.2.13 </w:t>
      </w:r>
      <w:bookmarkEnd w:id="34"/>
      <w:r w:rsidRPr="001B7F77">
        <w:rPr>
          <w:rFonts w:eastAsia="Calibri"/>
          <w:b/>
          <w:color w:val="000000"/>
          <w:szCs w:val="24"/>
          <w:u w:val="single"/>
        </w:rPr>
        <w:t>Cooling towers.</w:t>
      </w:r>
      <w:r w:rsidRPr="001B7F77">
        <w:rPr>
          <w:rFonts w:eastAsia="Calibri"/>
          <w:color w:val="000000"/>
          <w:szCs w:val="24"/>
          <w:u w:val="single"/>
        </w:rPr>
        <w:t xml:space="preserve"> All owners of cooling towers shall comply with Article 317 of Chapter 3 of Title 28 of the </w:t>
      </w:r>
      <w:r w:rsidRPr="001B7F77">
        <w:rPr>
          <w:rFonts w:eastAsia="Calibri"/>
          <w:i/>
          <w:color w:val="000000"/>
          <w:szCs w:val="24"/>
          <w:u w:val="single"/>
        </w:rPr>
        <w:t>Administrative Code</w:t>
      </w:r>
      <w:r w:rsidRPr="001B7F77">
        <w:rPr>
          <w:rFonts w:eastAsia="Calibri"/>
          <w:color w:val="000000"/>
          <w:szCs w:val="24"/>
          <w:u w:val="single"/>
        </w:rPr>
        <w:t>.</w:t>
      </w:r>
    </w:p>
    <w:p w14:paraId="0A84251C" w14:textId="77777777" w:rsidR="001B7F77" w:rsidRPr="001B7F77" w:rsidRDefault="001B7F77" w:rsidP="001B7F77">
      <w:pPr>
        <w:widowControl w:val="0"/>
        <w:tabs>
          <w:tab w:val="left" w:pos="360"/>
        </w:tabs>
        <w:spacing w:before="120"/>
        <w:ind w:left="360"/>
        <w:rPr>
          <w:rFonts w:eastAsia="Calibri"/>
          <w:color w:val="000000"/>
          <w:szCs w:val="24"/>
          <w:u w:val="single"/>
        </w:rPr>
      </w:pPr>
      <w:r w:rsidRPr="001B7F77">
        <w:rPr>
          <w:rFonts w:eastAsia="Calibri"/>
          <w:b/>
          <w:color w:val="000000"/>
          <w:szCs w:val="24"/>
          <w:u w:val="single"/>
        </w:rPr>
        <w:t xml:space="preserve">118.2.14 Periodic inspection of gas piping systems. </w:t>
      </w:r>
      <w:r w:rsidRPr="001B7F77">
        <w:rPr>
          <w:rFonts w:eastAsia="Calibri"/>
          <w:color w:val="000000"/>
          <w:szCs w:val="24"/>
          <w:u w:val="single"/>
        </w:rPr>
        <w:t xml:space="preserve">Building gas piping systems, other than gas piping systems of buildings classified in Occupancy Group R-3, shall be periodically inspected in accordance with Article 318 of Chapter 3 of Title 28 of the </w:t>
      </w:r>
      <w:r w:rsidRPr="001B7F77">
        <w:rPr>
          <w:rFonts w:eastAsia="Calibri"/>
          <w:i/>
          <w:color w:val="000000"/>
          <w:szCs w:val="24"/>
          <w:u w:val="single"/>
        </w:rPr>
        <w:t>Administrative Code</w:t>
      </w:r>
      <w:r w:rsidRPr="001B7F77">
        <w:rPr>
          <w:rFonts w:eastAsia="Calibri"/>
          <w:color w:val="000000"/>
          <w:szCs w:val="24"/>
          <w:u w:val="single"/>
        </w:rPr>
        <w:t>.</w:t>
      </w:r>
    </w:p>
    <w:p w14:paraId="0A906317" w14:textId="77777777" w:rsidR="001B7F77" w:rsidRPr="001B7F77" w:rsidRDefault="001B7F77" w:rsidP="001B7F77">
      <w:pPr>
        <w:widowControl w:val="0"/>
        <w:tabs>
          <w:tab w:val="left" w:pos="360"/>
        </w:tabs>
        <w:spacing w:before="120"/>
        <w:ind w:left="360"/>
        <w:rPr>
          <w:rFonts w:eastAsia="Calibri" w:cs="Arial"/>
          <w:color w:val="000000"/>
          <w:szCs w:val="24"/>
          <w:u w:val="single"/>
        </w:rPr>
      </w:pPr>
      <w:r w:rsidRPr="001B7F77">
        <w:rPr>
          <w:rFonts w:eastAsia="Calibri"/>
          <w:b/>
          <w:color w:val="000000"/>
          <w:szCs w:val="24"/>
          <w:u w:val="single"/>
        </w:rPr>
        <w:t>118.2.15 Maintenance and removal of small wind turbines.</w:t>
      </w:r>
      <w:r w:rsidRPr="001B7F77">
        <w:rPr>
          <w:rFonts w:eastAsia="Calibri"/>
          <w:bCs/>
          <w:color w:val="000000"/>
          <w:szCs w:val="24"/>
          <w:u w:val="single"/>
        </w:rPr>
        <w:t xml:space="preserve"> </w:t>
      </w:r>
      <w:r w:rsidRPr="001B7F77">
        <w:rPr>
          <w:rFonts w:eastAsia="Calibri" w:cs="Arial"/>
          <w:color w:val="000000"/>
          <w:szCs w:val="24"/>
          <w:u w:val="single"/>
        </w:rPr>
        <w:t xml:space="preserve">Maintenance and removal of small wind turbines or small wind turbine towers shall be in accordance with Article 319 of Chapter 3 of Title 28 of the </w:t>
      </w:r>
      <w:r w:rsidRPr="001B7F77">
        <w:rPr>
          <w:rFonts w:eastAsia="Calibri" w:cs="Arial"/>
          <w:i/>
          <w:color w:val="000000"/>
          <w:szCs w:val="24"/>
          <w:u w:val="single"/>
        </w:rPr>
        <w:t>Administrative Code</w:t>
      </w:r>
      <w:r w:rsidRPr="001B7F77">
        <w:rPr>
          <w:rFonts w:eastAsia="Calibri" w:cs="Arial"/>
          <w:color w:val="000000"/>
          <w:szCs w:val="24"/>
          <w:u w:val="single"/>
        </w:rPr>
        <w:t>.</w:t>
      </w:r>
    </w:p>
    <w:p w14:paraId="60361A82" w14:textId="77777777" w:rsidR="001B7F77" w:rsidRPr="001B7F77" w:rsidRDefault="001B7F77" w:rsidP="001B7F77">
      <w:pPr>
        <w:widowControl w:val="0"/>
        <w:tabs>
          <w:tab w:val="left" w:pos="360"/>
        </w:tabs>
        <w:spacing w:before="120"/>
        <w:ind w:left="360"/>
        <w:rPr>
          <w:rFonts w:eastAsia="Calibri" w:cs="Arial"/>
          <w:color w:val="000000"/>
          <w:szCs w:val="24"/>
          <w:u w:val="single"/>
        </w:rPr>
      </w:pPr>
      <w:r w:rsidRPr="001B7F77">
        <w:rPr>
          <w:rFonts w:eastAsia="Calibri"/>
          <w:b/>
          <w:bCs/>
          <w:color w:val="000000"/>
          <w:szCs w:val="24"/>
          <w:u w:val="single"/>
        </w:rPr>
        <w:t>118.2.16. Building energy and emission limits.</w:t>
      </w:r>
      <w:r w:rsidRPr="001B7F77">
        <w:rPr>
          <w:rFonts w:eastAsia="Calibri"/>
          <w:color w:val="000000"/>
          <w:szCs w:val="24"/>
          <w:u w:val="single"/>
        </w:rPr>
        <w:t xml:space="preserve"> </w:t>
      </w:r>
      <w:r w:rsidRPr="001B7F77">
        <w:rPr>
          <w:rFonts w:eastAsia="Calibri" w:cs="Arial"/>
          <w:color w:val="000000"/>
          <w:szCs w:val="24"/>
          <w:u w:val="single"/>
        </w:rPr>
        <w:t xml:space="preserve">Owners of covered buildings shall comply with the requirements for annual building emissions limits in Article 320 of Chapter 3 of Title 28 of the </w:t>
      </w:r>
      <w:r w:rsidRPr="001B7F77">
        <w:rPr>
          <w:rFonts w:eastAsia="Calibri" w:cs="Arial"/>
          <w:i/>
          <w:iCs/>
          <w:color w:val="000000"/>
          <w:szCs w:val="24"/>
          <w:u w:val="single"/>
        </w:rPr>
        <w:t>Administrative Code.</w:t>
      </w:r>
    </w:p>
    <w:p w14:paraId="16A3CD10" w14:textId="77777777" w:rsidR="001B7F77" w:rsidRPr="001B7F77" w:rsidRDefault="001B7F77" w:rsidP="001B7F77">
      <w:pPr>
        <w:widowControl w:val="0"/>
        <w:tabs>
          <w:tab w:val="left" w:pos="360"/>
        </w:tabs>
        <w:spacing w:before="120"/>
        <w:ind w:left="360"/>
        <w:rPr>
          <w:rFonts w:eastAsia="Calibri"/>
          <w:color w:val="000000"/>
          <w:szCs w:val="24"/>
          <w:u w:val="single"/>
        </w:rPr>
      </w:pPr>
      <w:r w:rsidRPr="001B7F77">
        <w:rPr>
          <w:rFonts w:eastAsia="Calibri"/>
          <w:b/>
          <w:bCs/>
          <w:color w:val="000000"/>
          <w:szCs w:val="24"/>
          <w:u w:val="single"/>
        </w:rPr>
        <w:t xml:space="preserve">118.2.17 Energy conservation measure requirements for certain buildings. </w:t>
      </w:r>
      <w:r w:rsidRPr="001B7F77">
        <w:rPr>
          <w:rFonts w:eastAsia="Calibri" w:cs="Arial"/>
          <w:color w:val="000000"/>
          <w:szCs w:val="24"/>
          <w:u w:val="single"/>
        </w:rPr>
        <w:t xml:space="preserve">Owners of covered buildings shall comply with the energy conservation measures in Article 321 of Chapter 3 of Title 28 of </w:t>
      </w:r>
      <w:r w:rsidRPr="001B7F77">
        <w:rPr>
          <w:rFonts w:eastAsia="Calibri" w:cs="Arial"/>
          <w:i/>
          <w:iCs/>
          <w:color w:val="000000"/>
          <w:szCs w:val="24"/>
          <w:u w:val="single"/>
        </w:rPr>
        <w:t>Administrative Code</w:t>
      </w:r>
      <w:r w:rsidRPr="001B7F77">
        <w:rPr>
          <w:rFonts w:eastAsia="Calibri" w:cs="Arial"/>
          <w:color w:val="000000"/>
          <w:szCs w:val="24"/>
          <w:u w:val="single"/>
        </w:rPr>
        <w:t>.</w:t>
      </w:r>
    </w:p>
    <w:p w14:paraId="24FE9E81" w14:textId="77777777" w:rsidR="001B7F77" w:rsidRPr="001B7F77" w:rsidRDefault="001B7F77" w:rsidP="001B7F77">
      <w:pPr>
        <w:widowControl w:val="0"/>
        <w:tabs>
          <w:tab w:val="left" w:pos="360"/>
        </w:tabs>
        <w:spacing w:before="120"/>
        <w:ind w:left="360"/>
        <w:rPr>
          <w:rFonts w:eastAsia="Calibri"/>
          <w:color w:val="000000"/>
          <w:szCs w:val="24"/>
          <w:u w:val="single"/>
        </w:rPr>
      </w:pPr>
      <w:r w:rsidRPr="001B7F77">
        <w:rPr>
          <w:rFonts w:eastAsia="Calibri"/>
          <w:b/>
          <w:bCs/>
          <w:color w:val="000000"/>
          <w:szCs w:val="24"/>
          <w:u w:val="single"/>
        </w:rPr>
        <w:t>118.2.18 Maintenance and removal of large wind turbines.</w:t>
      </w:r>
      <w:r w:rsidRPr="001B7F77">
        <w:rPr>
          <w:rFonts w:eastAsia="Calibri" w:cs="Arial"/>
          <w:color w:val="000000"/>
          <w:szCs w:val="24"/>
          <w:u w:val="single"/>
        </w:rPr>
        <w:t xml:space="preserve"> Maintenance and removal of large wind turbines or large wind turbines tower shall be in accordance with Article 322 of Chapter 3 of Title 28 of the </w:t>
      </w:r>
      <w:r w:rsidRPr="001B7F77">
        <w:rPr>
          <w:rFonts w:eastAsia="Calibri" w:cs="Arial"/>
          <w:i/>
          <w:color w:val="000000"/>
          <w:szCs w:val="24"/>
          <w:u w:val="single"/>
        </w:rPr>
        <w:t>Administrative Code</w:t>
      </w:r>
      <w:r w:rsidRPr="001B7F77">
        <w:rPr>
          <w:rFonts w:eastAsia="Calibri" w:cs="Arial"/>
          <w:color w:val="000000"/>
          <w:szCs w:val="24"/>
          <w:u w:val="single"/>
        </w:rPr>
        <w:t>.</w:t>
      </w:r>
    </w:p>
    <w:p w14:paraId="57137D79" w14:textId="77777777" w:rsidR="001B7F77" w:rsidRPr="001B7F77" w:rsidRDefault="001B7F77" w:rsidP="001B7F77">
      <w:pPr>
        <w:widowControl w:val="0"/>
        <w:tabs>
          <w:tab w:val="left" w:pos="360"/>
        </w:tabs>
        <w:spacing w:before="120"/>
        <w:ind w:left="360"/>
        <w:rPr>
          <w:rFonts w:eastAsia="Calibri"/>
          <w:color w:val="000000"/>
          <w:szCs w:val="24"/>
          <w:u w:val="single"/>
        </w:rPr>
      </w:pPr>
      <w:r w:rsidRPr="001B7F77">
        <w:rPr>
          <w:rFonts w:eastAsia="Calibri"/>
          <w:b/>
          <w:color w:val="000000"/>
          <w:szCs w:val="24"/>
          <w:u w:val="single"/>
        </w:rPr>
        <w:t xml:space="preserve">118.2.19 Periodic inspection of parking structures. </w:t>
      </w:r>
      <w:r w:rsidRPr="001B7F77">
        <w:rPr>
          <w:rFonts w:eastAsia="Calibri"/>
          <w:bCs/>
          <w:color w:val="000000"/>
          <w:szCs w:val="24"/>
          <w:u w:val="single"/>
        </w:rPr>
        <w:t xml:space="preserve">Parking structures shall be maintained and periodically inspected in accordance with Article 323 </w:t>
      </w:r>
      <w:r w:rsidRPr="001B7F77">
        <w:rPr>
          <w:rFonts w:eastAsia="Calibri"/>
          <w:color w:val="000000"/>
          <w:szCs w:val="24"/>
          <w:u w:val="single"/>
        </w:rPr>
        <w:t xml:space="preserve">of Chapter 3 of Title 28 of the </w:t>
      </w:r>
      <w:r w:rsidRPr="001B7F77">
        <w:rPr>
          <w:rFonts w:eastAsia="Calibri"/>
          <w:i/>
          <w:color w:val="000000"/>
          <w:szCs w:val="24"/>
          <w:u w:val="single"/>
        </w:rPr>
        <w:t>Administrative Code</w:t>
      </w:r>
      <w:r w:rsidRPr="001B7F77">
        <w:rPr>
          <w:rFonts w:eastAsia="Calibri"/>
          <w:color w:val="000000"/>
          <w:szCs w:val="24"/>
          <w:u w:val="single"/>
        </w:rPr>
        <w:t>.</w:t>
      </w:r>
    </w:p>
    <w:p w14:paraId="21C17728" w14:textId="77777777" w:rsidR="001B7F77" w:rsidRPr="001B7F77" w:rsidRDefault="001B7F77" w:rsidP="001B7F77">
      <w:pPr>
        <w:widowControl w:val="0"/>
        <w:tabs>
          <w:tab w:val="left" w:pos="360"/>
        </w:tabs>
        <w:spacing w:before="120"/>
        <w:ind w:left="360"/>
        <w:rPr>
          <w:rFonts w:eastAsia="Calibri"/>
          <w:color w:val="000000"/>
          <w:szCs w:val="24"/>
          <w:u w:val="single"/>
        </w:rPr>
      </w:pPr>
      <w:r w:rsidRPr="001B7F77">
        <w:rPr>
          <w:rFonts w:eastAsia="Calibri"/>
          <w:b/>
          <w:color w:val="000000"/>
          <w:szCs w:val="24"/>
          <w:u w:val="single"/>
        </w:rPr>
        <w:t xml:space="preserve">118.2.20 Periodic inspection of dry floodproofing. </w:t>
      </w:r>
      <w:r w:rsidRPr="001B7F77">
        <w:rPr>
          <w:rFonts w:eastAsia="Calibri"/>
          <w:bCs/>
          <w:color w:val="000000"/>
          <w:szCs w:val="24"/>
          <w:u w:val="single"/>
        </w:rPr>
        <w:t xml:space="preserve">Covered buildings and structures that are required to comply with the dry floodproofing of Appendix G of the </w:t>
      </w:r>
      <w:r w:rsidRPr="001B7F77">
        <w:rPr>
          <w:rFonts w:eastAsia="Calibri"/>
          <w:bCs/>
          <w:i/>
          <w:color w:val="000000"/>
          <w:szCs w:val="24"/>
          <w:u w:val="single"/>
        </w:rPr>
        <w:t>New York City Building Code</w:t>
      </w:r>
      <w:r w:rsidRPr="001B7F77">
        <w:rPr>
          <w:rFonts w:eastAsia="Calibri"/>
          <w:bCs/>
          <w:color w:val="000000"/>
          <w:szCs w:val="24"/>
          <w:u w:val="single"/>
        </w:rPr>
        <w:t xml:space="preserve"> where human intervention is required to activate or implement the dry floodproofing system prior to a flood event shall comply with Article 324 </w:t>
      </w:r>
      <w:r w:rsidRPr="001B7F77">
        <w:rPr>
          <w:rFonts w:eastAsia="Calibri"/>
          <w:color w:val="000000"/>
          <w:szCs w:val="24"/>
          <w:u w:val="single"/>
        </w:rPr>
        <w:t xml:space="preserve">of Chapter 3 of Title 28 of the </w:t>
      </w:r>
      <w:r w:rsidRPr="001B7F77">
        <w:rPr>
          <w:rFonts w:eastAsia="Calibri"/>
          <w:i/>
          <w:color w:val="000000"/>
          <w:szCs w:val="24"/>
          <w:u w:val="single"/>
        </w:rPr>
        <w:t>Administrative Code</w:t>
      </w:r>
      <w:r w:rsidRPr="001B7F77">
        <w:rPr>
          <w:rFonts w:eastAsia="Calibri"/>
          <w:color w:val="000000"/>
          <w:szCs w:val="24"/>
          <w:u w:val="single"/>
        </w:rPr>
        <w:t>.</w:t>
      </w:r>
    </w:p>
    <w:p w14:paraId="1604F819" w14:textId="77777777" w:rsidR="001B7F77" w:rsidRPr="001B7F77" w:rsidRDefault="001B7F77" w:rsidP="001B7F77">
      <w:pPr>
        <w:widowControl w:val="0"/>
        <w:spacing w:before="120"/>
        <w:ind w:left="360"/>
        <w:jc w:val="left"/>
        <w:rPr>
          <w:rFonts w:eastAsia="Calibri"/>
          <w:bCs/>
          <w:szCs w:val="24"/>
          <w:u w:val="single"/>
        </w:rPr>
      </w:pPr>
      <w:r w:rsidRPr="001B7F77">
        <w:rPr>
          <w:rFonts w:eastAsia="Calibri"/>
          <w:b/>
          <w:bCs/>
          <w:szCs w:val="24"/>
          <w:u w:val="single"/>
        </w:rPr>
        <w:t>118.2.21 Annual inspections to prevent contamination of mechanical systems.</w:t>
      </w:r>
      <w:r w:rsidRPr="001B7F77">
        <w:rPr>
          <w:rFonts w:eastAsia="Calibri"/>
          <w:bCs/>
          <w:szCs w:val="24"/>
          <w:u w:val="single"/>
        </w:rPr>
        <w:t xml:space="preserve"> Covered buildings and structures with exhaust ducts under positive pressure, chimneys, and vents that extend into or pass through ducts or plenums shall be subject to annual inspection as required by Article 325 of Chapter 3 of Title 28 of the </w:t>
      </w:r>
      <w:r w:rsidRPr="001B7F77">
        <w:rPr>
          <w:rFonts w:eastAsia="Calibri"/>
          <w:bCs/>
          <w:i/>
          <w:szCs w:val="24"/>
          <w:u w:val="single"/>
        </w:rPr>
        <w:t>Administrative Code</w:t>
      </w:r>
      <w:r w:rsidRPr="001B7F77">
        <w:rPr>
          <w:rFonts w:eastAsia="Calibri"/>
          <w:bCs/>
          <w:szCs w:val="24"/>
          <w:u w:val="single"/>
        </w:rPr>
        <w:t>.</w:t>
      </w:r>
    </w:p>
    <w:p w14:paraId="57AEA442" w14:textId="77777777" w:rsidR="001B7F77" w:rsidRPr="001B7F77" w:rsidRDefault="001B7F77" w:rsidP="001B7F77">
      <w:pPr>
        <w:widowControl w:val="0"/>
        <w:spacing w:before="120"/>
        <w:jc w:val="center"/>
        <w:outlineLvl w:val="0"/>
        <w:rPr>
          <w:rFonts w:eastAsia="Calibri"/>
          <w:b/>
          <w:bCs/>
          <w:color w:val="000000"/>
          <w:szCs w:val="24"/>
          <w:u w:val="single"/>
        </w:rPr>
      </w:pPr>
    </w:p>
    <w:p w14:paraId="61E05543" w14:textId="77777777" w:rsidR="001B7F77" w:rsidRPr="001B7F77" w:rsidRDefault="001B7F77" w:rsidP="001B7F77">
      <w:pPr>
        <w:widowControl w:val="0"/>
        <w:spacing w:before="120"/>
        <w:jc w:val="center"/>
        <w:outlineLvl w:val="0"/>
        <w:rPr>
          <w:rFonts w:eastAsia="Calibri"/>
          <w:b/>
          <w:bCs/>
          <w:color w:val="000000"/>
          <w:szCs w:val="24"/>
          <w:u w:val="single"/>
        </w:rPr>
      </w:pPr>
      <w:r w:rsidRPr="001B7F77">
        <w:rPr>
          <w:rFonts w:eastAsia="Calibri"/>
          <w:b/>
          <w:bCs/>
          <w:color w:val="000000"/>
          <w:szCs w:val="24"/>
          <w:u w:val="single"/>
        </w:rPr>
        <w:t>SECTION EBC 119</w:t>
      </w:r>
      <w:r w:rsidRPr="001B7F77">
        <w:rPr>
          <w:rFonts w:eastAsia="Calibri"/>
          <w:b/>
          <w:bCs/>
          <w:color w:val="000000"/>
          <w:szCs w:val="24"/>
          <w:u w:val="single"/>
        </w:rPr>
        <w:br/>
        <w:t>RETROACTIVE REQUIREMENTS</w:t>
      </w:r>
    </w:p>
    <w:p w14:paraId="7633CAA5" w14:textId="77777777" w:rsidR="001B7F77" w:rsidRPr="001B7F77" w:rsidRDefault="001B7F77" w:rsidP="001B7F77">
      <w:pPr>
        <w:widowControl w:val="0"/>
        <w:spacing w:before="120"/>
        <w:rPr>
          <w:rFonts w:cs="Arial"/>
          <w:color w:val="000000"/>
          <w:szCs w:val="24"/>
          <w:u w:val="single"/>
        </w:rPr>
        <w:sectPr w:rsidR="001B7F77" w:rsidRPr="001B7F77" w:rsidSect="001B7F77">
          <w:headerReference w:type="even" r:id="rId24"/>
          <w:headerReference w:type="default" r:id="rId25"/>
          <w:footerReference w:type="even" r:id="rId26"/>
          <w:footerReference w:type="default" r:id="rId27"/>
          <w:headerReference w:type="first" r:id="rId28"/>
          <w:footerReference w:type="first" r:id="rId29"/>
          <w:type w:val="continuous"/>
          <w:pgSz w:w="12240" w:h="15840" w:code="1"/>
          <w:pgMar w:top="1440" w:right="1440" w:bottom="1440" w:left="1440" w:header="720" w:footer="720" w:gutter="0"/>
          <w:lnNumType w:countBy="1"/>
          <w:cols w:space="720"/>
          <w:docGrid w:linePitch="360"/>
        </w:sectPr>
      </w:pPr>
      <w:r w:rsidRPr="001B7F77">
        <w:rPr>
          <w:rFonts w:eastAsia="Calibri"/>
          <w:b/>
          <w:bCs/>
          <w:color w:val="000000"/>
          <w:szCs w:val="24"/>
          <w:u w:val="single"/>
        </w:rPr>
        <w:t>119.1 General.</w:t>
      </w:r>
      <w:r w:rsidRPr="001B7F77">
        <w:rPr>
          <w:rFonts w:eastAsia="Calibri"/>
          <w:color w:val="000000"/>
          <w:szCs w:val="24"/>
          <w:u w:val="single"/>
        </w:rPr>
        <w:t xml:space="preserve"> All existing buildings, structures and open uses</w:t>
      </w:r>
      <w:r w:rsidRPr="001B7F77">
        <w:rPr>
          <w:rFonts w:eastAsia="Calibri"/>
          <w:b/>
          <w:bCs/>
          <w:color w:val="000000"/>
          <w:szCs w:val="24"/>
          <w:u w:val="single"/>
        </w:rPr>
        <w:t xml:space="preserve"> </w:t>
      </w:r>
      <w:r w:rsidRPr="001B7F77">
        <w:rPr>
          <w:rFonts w:eastAsia="Calibri"/>
          <w:color w:val="000000"/>
          <w:szCs w:val="24"/>
          <w:u w:val="single"/>
        </w:rPr>
        <w:t xml:space="preserve">shall comply with the retroactive requirements of the provisions of Article 315 of the </w:t>
      </w:r>
      <w:r w:rsidRPr="001B7F77">
        <w:rPr>
          <w:rFonts w:eastAsia="Calibri"/>
          <w:i/>
          <w:iCs/>
          <w:color w:val="000000"/>
          <w:szCs w:val="24"/>
          <w:u w:val="single"/>
        </w:rPr>
        <w:t>Administrative Code</w:t>
      </w:r>
      <w:r w:rsidRPr="001B7F77">
        <w:rPr>
          <w:rFonts w:eastAsia="Calibri"/>
          <w:color w:val="000000"/>
          <w:szCs w:val="24"/>
          <w:u w:val="single"/>
        </w:rPr>
        <w:t xml:space="preserve">, including all previously enacted retroactive requirements of the 1968 Building Code, as applicable. The Department </w:t>
      </w:r>
      <w:r w:rsidRPr="001B7F77">
        <w:rPr>
          <w:rFonts w:cs="Arial"/>
          <w:color w:val="000000"/>
          <w:szCs w:val="24"/>
          <w:u w:val="single"/>
        </w:rPr>
        <w:t>shall provide a list of such provisions on its website.</w:t>
      </w:r>
    </w:p>
    <w:p w14:paraId="3BF21DF1" w14:textId="77777777" w:rsidR="001B7F77" w:rsidRPr="001B7F77" w:rsidRDefault="001B7F77" w:rsidP="001B7F77">
      <w:pPr>
        <w:widowControl w:val="0"/>
        <w:spacing w:before="120"/>
        <w:jc w:val="center"/>
        <w:outlineLvl w:val="0"/>
        <w:rPr>
          <w:b/>
          <w:caps/>
          <w:szCs w:val="24"/>
          <w:u w:val="single"/>
        </w:rPr>
      </w:pPr>
      <w:bookmarkStart w:id="35" w:name="_Toc388540988"/>
      <w:r w:rsidRPr="001B7F77">
        <w:rPr>
          <w:b/>
          <w:caps/>
          <w:w w:val="105"/>
          <w:szCs w:val="24"/>
          <w:u w:val="single"/>
        </w:rPr>
        <w:t>CHAPTER 2</w:t>
      </w:r>
      <w:r w:rsidRPr="001B7F77">
        <w:rPr>
          <w:b/>
          <w:caps/>
          <w:w w:val="105"/>
          <w:szCs w:val="24"/>
          <w:u w:val="single"/>
        </w:rPr>
        <w:br/>
      </w:r>
      <w:r w:rsidRPr="001B7F77">
        <w:rPr>
          <w:b/>
          <w:caps/>
          <w:szCs w:val="24"/>
          <w:u w:val="single"/>
        </w:rPr>
        <w:t>DEFINITIONS</w:t>
      </w:r>
    </w:p>
    <w:p w14:paraId="52738615" w14:textId="77777777" w:rsidR="001B7F77" w:rsidRPr="001B7F77" w:rsidRDefault="001B7F77" w:rsidP="001B7F77">
      <w:pPr>
        <w:widowControl w:val="0"/>
        <w:suppressAutoHyphens/>
        <w:autoSpaceDE w:val="0"/>
        <w:autoSpaceDN w:val="0"/>
        <w:adjustRightInd w:val="0"/>
        <w:spacing w:before="120"/>
        <w:jc w:val="center"/>
        <w:outlineLvl w:val="0"/>
        <w:rPr>
          <w:b/>
          <w:iCs/>
          <w:szCs w:val="24"/>
          <w:u w:val="single"/>
        </w:rPr>
      </w:pPr>
      <w:r w:rsidRPr="001B7F77">
        <w:rPr>
          <w:b/>
          <w:bCs/>
          <w:iCs/>
          <w:szCs w:val="24"/>
          <w:u w:val="single"/>
        </w:rPr>
        <w:t xml:space="preserve">SECTION </w:t>
      </w:r>
      <w:r w:rsidRPr="001B7F77">
        <w:rPr>
          <w:b/>
          <w:color w:val="000000"/>
          <w:w w:val="105"/>
          <w:szCs w:val="24"/>
          <w:u w:val="single"/>
        </w:rPr>
        <w:t xml:space="preserve">EBC </w:t>
      </w:r>
      <w:r w:rsidRPr="001B7F77">
        <w:rPr>
          <w:b/>
          <w:bCs/>
          <w:iCs/>
          <w:szCs w:val="24"/>
          <w:u w:val="single"/>
        </w:rPr>
        <w:t>201</w:t>
      </w:r>
      <w:r w:rsidRPr="001B7F77">
        <w:rPr>
          <w:b/>
          <w:bCs/>
          <w:iCs/>
          <w:szCs w:val="24"/>
          <w:u w:val="single"/>
        </w:rPr>
        <w:br/>
        <w:t>GENERAL</w:t>
      </w:r>
      <w:bookmarkEnd w:id="35"/>
    </w:p>
    <w:p w14:paraId="34EBC42C" w14:textId="77777777" w:rsidR="001B7F77" w:rsidRPr="001B7F77" w:rsidRDefault="001B7F77" w:rsidP="001B7F77">
      <w:pPr>
        <w:widowControl w:val="0"/>
        <w:suppressAutoHyphens/>
        <w:spacing w:before="120"/>
        <w:rPr>
          <w:szCs w:val="24"/>
          <w:u w:val="single"/>
        </w:rPr>
      </w:pPr>
      <w:bookmarkStart w:id="36" w:name="_Toc388540989"/>
      <w:r w:rsidRPr="001B7F77">
        <w:rPr>
          <w:b/>
          <w:bCs/>
          <w:szCs w:val="24"/>
          <w:u w:val="single"/>
        </w:rPr>
        <w:t>201.1 Scope.</w:t>
      </w:r>
      <w:bookmarkEnd w:id="36"/>
      <w:r w:rsidRPr="001B7F77">
        <w:rPr>
          <w:b/>
          <w:bCs/>
          <w:szCs w:val="24"/>
          <w:u w:val="single"/>
        </w:rPr>
        <w:t xml:space="preserve"> </w:t>
      </w:r>
      <w:r w:rsidRPr="001B7F77">
        <w:rPr>
          <w:szCs w:val="24"/>
          <w:u w:val="single"/>
        </w:rPr>
        <w:t>Unless otherwise expressly stated, the following words and terms shall, for the purposes of this code, have the meanings indicated in this chapter.</w:t>
      </w:r>
    </w:p>
    <w:p w14:paraId="53D19F14" w14:textId="77777777" w:rsidR="001B7F77" w:rsidRPr="001B7F77" w:rsidRDefault="001B7F77" w:rsidP="001B7F77">
      <w:pPr>
        <w:widowControl w:val="0"/>
        <w:suppressAutoHyphens/>
        <w:spacing w:before="120"/>
        <w:rPr>
          <w:szCs w:val="24"/>
          <w:u w:val="single"/>
        </w:rPr>
      </w:pPr>
      <w:bookmarkStart w:id="37" w:name="_Toc388540990"/>
      <w:r w:rsidRPr="001B7F77">
        <w:rPr>
          <w:b/>
          <w:bCs/>
          <w:szCs w:val="24"/>
          <w:u w:val="single"/>
        </w:rPr>
        <w:t>201.2 Interchangeability.</w:t>
      </w:r>
      <w:bookmarkEnd w:id="37"/>
      <w:r w:rsidRPr="001B7F77">
        <w:rPr>
          <w:b/>
          <w:bCs/>
          <w:szCs w:val="24"/>
          <w:u w:val="single"/>
        </w:rPr>
        <w:t xml:space="preserve"> </w:t>
      </w:r>
      <w:r w:rsidRPr="001B7F77">
        <w:rPr>
          <w:szCs w:val="24"/>
          <w:u w:val="single"/>
        </w:rPr>
        <w:t>Words used in the present tense include the future; words in the masculine gender include the feminine and neuter; the singular number includes the plural and the plural, the singular.</w:t>
      </w:r>
    </w:p>
    <w:p w14:paraId="2BD0ACF7" w14:textId="77777777" w:rsidR="001B7F77" w:rsidRPr="001B7F77" w:rsidRDefault="001B7F77" w:rsidP="001B7F77">
      <w:pPr>
        <w:widowControl w:val="0"/>
        <w:suppressAutoHyphens/>
        <w:spacing w:before="120"/>
        <w:rPr>
          <w:szCs w:val="24"/>
          <w:u w:val="single"/>
        </w:rPr>
      </w:pPr>
      <w:bookmarkStart w:id="38" w:name="_Toc388540991"/>
      <w:r w:rsidRPr="001B7F77">
        <w:rPr>
          <w:b/>
          <w:bCs/>
          <w:szCs w:val="24"/>
          <w:u w:val="single"/>
        </w:rPr>
        <w:t>201.3 Terms defined in other codes.</w:t>
      </w:r>
      <w:bookmarkEnd w:id="38"/>
      <w:r w:rsidRPr="001B7F77">
        <w:rPr>
          <w:b/>
          <w:bCs/>
          <w:szCs w:val="24"/>
          <w:u w:val="single"/>
        </w:rPr>
        <w:t xml:space="preserve"> </w:t>
      </w:r>
      <w:r w:rsidRPr="001B7F77">
        <w:rPr>
          <w:szCs w:val="24"/>
          <w:u w:val="single"/>
        </w:rPr>
        <w:t>Where terms are not defined in this code and are defined in the</w:t>
      </w:r>
      <w:r w:rsidRPr="001B7F77">
        <w:rPr>
          <w:i/>
          <w:iCs/>
          <w:szCs w:val="24"/>
          <w:u w:val="single"/>
        </w:rPr>
        <w:t xml:space="preserve"> New York City Building Code</w:t>
      </w:r>
      <w:r w:rsidRPr="001B7F77">
        <w:rPr>
          <w:szCs w:val="24"/>
          <w:u w:val="single"/>
        </w:rPr>
        <w:t xml:space="preserve">, the </w:t>
      </w:r>
      <w:r w:rsidRPr="001B7F77">
        <w:rPr>
          <w:i/>
          <w:iCs/>
          <w:szCs w:val="24"/>
          <w:u w:val="single"/>
        </w:rPr>
        <w:t>New York City Electrical Code</w:t>
      </w:r>
      <w:r w:rsidRPr="001B7F77">
        <w:rPr>
          <w:szCs w:val="24"/>
          <w:u w:val="single"/>
        </w:rPr>
        <w:t xml:space="preserve">, the </w:t>
      </w:r>
      <w:r w:rsidRPr="001B7F77">
        <w:rPr>
          <w:i/>
          <w:iCs/>
          <w:szCs w:val="24"/>
          <w:u w:val="single"/>
        </w:rPr>
        <w:t>New York City Fire Code</w:t>
      </w:r>
      <w:r w:rsidRPr="001B7F77">
        <w:rPr>
          <w:szCs w:val="24"/>
          <w:u w:val="single"/>
        </w:rPr>
        <w:t xml:space="preserve">, the </w:t>
      </w:r>
      <w:r w:rsidRPr="001B7F77">
        <w:rPr>
          <w:i/>
          <w:iCs/>
          <w:szCs w:val="24"/>
          <w:u w:val="single"/>
        </w:rPr>
        <w:t>New York City Fuel Gas Code</w:t>
      </w:r>
      <w:r w:rsidRPr="001B7F77">
        <w:rPr>
          <w:szCs w:val="24"/>
          <w:u w:val="single"/>
        </w:rPr>
        <w:t xml:space="preserve">, the </w:t>
      </w:r>
      <w:r w:rsidRPr="001B7F77">
        <w:rPr>
          <w:i/>
          <w:iCs/>
          <w:szCs w:val="24"/>
          <w:u w:val="single"/>
        </w:rPr>
        <w:t>New York City Mechanical Code</w:t>
      </w:r>
      <w:r w:rsidRPr="001B7F77">
        <w:rPr>
          <w:szCs w:val="24"/>
          <w:u w:val="single"/>
        </w:rPr>
        <w:t xml:space="preserve">, the </w:t>
      </w:r>
      <w:r w:rsidRPr="001B7F77">
        <w:rPr>
          <w:i/>
          <w:iCs/>
          <w:szCs w:val="24"/>
          <w:u w:val="single"/>
        </w:rPr>
        <w:t>New York City Plumbing Code</w:t>
      </w:r>
      <w:r w:rsidRPr="001B7F77">
        <w:rPr>
          <w:szCs w:val="24"/>
          <w:u w:val="single"/>
        </w:rPr>
        <w:t xml:space="preserve">, or the </w:t>
      </w:r>
      <w:r w:rsidRPr="001B7F77">
        <w:rPr>
          <w:i/>
          <w:iCs/>
          <w:szCs w:val="24"/>
          <w:u w:val="single"/>
        </w:rPr>
        <w:t>New York City Energy Conservation Code</w:t>
      </w:r>
      <w:r w:rsidRPr="001B7F77">
        <w:rPr>
          <w:szCs w:val="24"/>
          <w:u w:val="single"/>
        </w:rPr>
        <w:t>, such terms shall have meanings ascribed to them as in those codes.</w:t>
      </w:r>
    </w:p>
    <w:p w14:paraId="7F884C61" w14:textId="77777777" w:rsidR="001B7F77" w:rsidRPr="001B7F77" w:rsidRDefault="001B7F77" w:rsidP="001B7F77">
      <w:pPr>
        <w:widowControl w:val="0"/>
        <w:suppressAutoHyphens/>
        <w:spacing w:before="120"/>
        <w:ind w:left="360"/>
        <w:rPr>
          <w:szCs w:val="24"/>
          <w:u w:val="single"/>
        </w:rPr>
      </w:pPr>
      <w:r w:rsidRPr="001B7F77">
        <w:rPr>
          <w:b/>
          <w:bCs/>
          <w:szCs w:val="24"/>
          <w:u w:val="single"/>
        </w:rPr>
        <w:t>201.3.1 Terms defined in the general administrative provisions.</w:t>
      </w:r>
      <w:r w:rsidRPr="001B7F77">
        <w:rPr>
          <w:szCs w:val="24"/>
          <w:u w:val="single"/>
        </w:rPr>
        <w:t xml:space="preserve"> The following terms are defined in Section 28-101.5 of the </w:t>
      </w:r>
      <w:r w:rsidRPr="001B7F77">
        <w:rPr>
          <w:i/>
          <w:szCs w:val="24"/>
          <w:u w:val="single"/>
        </w:rPr>
        <w:t>Administrative Code</w:t>
      </w:r>
      <w:r w:rsidRPr="001B7F77">
        <w:rPr>
          <w:szCs w:val="24"/>
          <w:u w:val="single"/>
        </w:rPr>
        <w:t>:</w:t>
      </w:r>
    </w:p>
    <w:p w14:paraId="2AE71E79" w14:textId="77777777" w:rsidR="001B7F77" w:rsidRPr="001B7F77" w:rsidRDefault="001B7F77" w:rsidP="001B7F77">
      <w:pPr>
        <w:widowControl w:val="0"/>
        <w:suppressAutoHyphens/>
        <w:spacing w:before="120" w:line="360" w:lineRule="auto"/>
        <w:ind w:left="360"/>
        <w:rPr>
          <w:szCs w:val="24"/>
          <w:u w:val="single"/>
        </w:rPr>
      </w:pPr>
      <w:bookmarkStart w:id="39" w:name="_Hlk187330904"/>
      <w:r w:rsidRPr="001B7F77">
        <w:rPr>
          <w:b/>
          <w:szCs w:val="24"/>
          <w:u w:val="single"/>
        </w:rPr>
        <w:t>1968 BUILDING CODE.</w:t>
      </w:r>
    </w:p>
    <w:p w14:paraId="7F88DDE5" w14:textId="77777777" w:rsidR="001B7F77" w:rsidRPr="001B7F77" w:rsidRDefault="001B7F77" w:rsidP="001B7F77">
      <w:pPr>
        <w:widowControl w:val="0"/>
        <w:suppressAutoHyphens/>
        <w:spacing w:before="120" w:line="360" w:lineRule="auto"/>
        <w:ind w:left="360"/>
        <w:rPr>
          <w:w w:val="115"/>
          <w:szCs w:val="24"/>
          <w:u w:val="single"/>
        </w:rPr>
      </w:pPr>
      <w:r w:rsidRPr="001B7F77">
        <w:rPr>
          <w:b/>
          <w:szCs w:val="24"/>
          <w:u w:val="single"/>
        </w:rPr>
        <w:t>ACCEPTANCE OR ACCEPTED</w:t>
      </w:r>
      <w:r w:rsidRPr="001B7F77">
        <w:rPr>
          <w:b/>
          <w:bCs/>
          <w:w w:val="105"/>
          <w:szCs w:val="24"/>
          <w:u w:val="single"/>
        </w:rPr>
        <w:t>.</w:t>
      </w:r>
    </w:p>
    <w:p w14:paraId="40B5A782" w14:textId="77777777" w:rsidR="001B7F77" w:rsidRPr="001B7F77" w:rsidRDefault="001B7F77" w:rsidP="001B7F77">
      <w:pPr>
        <w:widowControl w:val="0"/>
        <w:suppressAutoHyphens/>
        <w:spacing w:before="120" w:line="360" w:lineRule="auto"/>
        <w:ind w:left="360"/>
        <w:rPr>
          <w:szCs w:val="24"/>
          <w:u w:val="single"/>
        </w:rPr>
      </w:pPr>
      <w:r w:rsidRPr="001B7F77">
        <w:rPr>
          <w:b/>
          <w:szCs w:val="24"/>
          <w:u w:val="single"/>
        </w:rPr>
        <w:t>ADDITION.</w:t>
      </w:r>
    </w:p>
    <w:p w14:paraId="13E7EFE2" w14:textId="77777777" w:rsidR="001B7F77" w:rsidRPr="001B7F77" w:rsidRDefault="001B7F77" w:rsidP="001B7F77">
      <w:pPr>
        <w:widowControl w:val="0"/>
        <w:suppressAutoHyphens/>
        <w:spacing w:before="120" w:line="360" w:lineRule="auto"/>
        <w:ind w:left="360"/>
        <w:rPr>
          <w:w w:val="115"/>
          <w:szCs w:val="24"/>
          <w:u w:val="single"/>
        </w:rPr>
      </w:pPr>
      <w:r w:rsidRPr="001B7F77">
        <w:rPr>
          <w:b/>
          <w:szCs w:val="24"/>
          <w:u w:val="single"/>
        </w:rPr>
        <w:t>ADMINISTRATIVE CODE.</w:t>
      </w:r>
    </w:p>
    <w:p w14:paraId="43EA79C8" w14:textId="77777777" w:rsidR="001B7F77" w:rsidRPr="001B7F77" w:rsidRDefault="001B7F77" w:rsidP="001B7F77">
      <w:pPr>
        <w:widowControl w:val="0"/>
        <w:suppressAutoHyphens/>
        <w:spacing w:before="120" w:line="360" w:lineRule="auto"/>
        <w:ind w:left="360"/>
        <w:rPr>
          <w:w w:val="115"/>
          <w:szCs w:val="24"/>
          <w:u w:val="single"/>
        </w:rPr>
      </w:pPr>
      <w:r w:rsidRPr="001B7F77">
        <w:rPr>
          <w:b/>
          <w:szCs w:val="24"/>
          <w:u w:val="single"/>
        </w:rPr>
        <w:t>ALTERATION</w:t>
      </w:r>
      <w:r w:rsidRPr="001B7F77">
        <w:rPr>
          <w:b/>
          <w:bCs/>
          <w:w w:val="105"/>
          <w:szCs w:val="24"/>
          <w:u w:val="single"/>
        </w:rPr>
        <w:t>.</w:t>
      </w:r>
    </w:p>
    <w:p w14:paraId="154ECED7" w14:textId="77777777" w:rsidR="001B7F77" w:rsidRPr="001B7F77" w:rsidRDefault="001B7F77" w:rsidP="001B7F77">
      <w:pPr>
        <w:widowControl w:val="0"/>
        <w:suppressAutoHyphens/>
        <w:spacing w:before="120" w:line="360" w:lineRule="auto"/>
        <w:ind w:left="360"/>
        <w:rPr>
          <w:w w:val="115"/>
          <w:szCs w:val="24"/>
          <w:u w:val="single"/>
        </w:rPr>
      </w:pPr>
      <w:r w:rsidRPr="001B7F77">
        <w:rPr>
          <w:b/>
          <w:szCs w:val="24"/>
          <w:u w:val="single"/>
        </w:rPr>
        <w:t>APPROVAL OR APPROVED.</w:t>
      </w:r>
    </w:p>
    <w:p w14:paraId="0B61D823" w14:textId="77777777" w:rsidR="001B7F77" w:rsidRPr="001B7F77" w:rsidRDefault="001B7F77" w:rsidP="001B7F77">
      <w:pPr>
        <w:widowControl w:val="0"/>
        <w:suppressAutoHyphens/>
        <w:spacing w:before="120" w:line="360" w:lineRule="auto"/>
        <w:ind w:left="360"/>
        <w:rPr>
          <w:szCs w:val="24"/>
          <w:u w:val="single"/>
        </w:rPr>
      </w:pPr>
      <w:r w:rsidRPr="001B7F77">
        <w:rPr>
          <w:b/>
          <w:szCs w:val="24"/>
          <w:u w:val="single"/>
        </w:rPr>
        <w:t>APPROVED AGENCY.</w:t>
      </w:r>
    </w:p>
    <w:p w14:paraId="43AD7BE0" w14:textId="77777777" w:rsidR="001B7F77" w:rsidRPr="001B7F77" w:rsidRDefault="001B7F77" w:rsidP="001B7F77">
      <w:pPr>
        <w:widowControl w:val="0"/>
        <w:suppressAutoHyphens/>
        <w:spacing w:before="120" w:line="360" w:lineRule="auto"/>
        <w:ind w:left="360"/>
        <w:rPr>
          <w:w w:val="115"/>
          <w:szCs w:val="24"/>
          <w:u w:val="single"/>
        </w:rPr>
      </w:pPr>
      <w:r w:rsidRPr="001B7F77">
        <w:rPr>
          <w:b/>
          <w:szCs w:val="24"/>
          <w:u w:val="single"/>
        </w:rPr>
        <w:t>APPROVED FABRICATOR.</w:t>
      </w:r>
    </w:p>
    <w:p w14:paraId="71760CF3" w14:textId="77777777" w:rsidR="001B7F77" w:rsidRPr="001B7F77" w:rsidRDefault="001B7F77" w:rsidP="001B7F77">
      <w:pPr>
        <w:widowControl w:val="0"/>
        <w:suppressAutoHyphens/>
        <w:spacing w:before="120" w:line="360" w:lineRule="auto"/>
        <w:ind w:left="360"/>
        <w:rPr>
          <w:w w:val="115"/>
          <w:szCs w:val="24"/>
          <w:u w:val="single"/>
        </w:rPr>
      </w:pPr>
      <w:r w:rsidRPr="001B7F77">
        <w:rPr>
          <w:b/>
          <w:szCs w:val="24"/>
          <w:u w:val="single"/>
        </w:rPr>
        <w:t>APPROVED INSPECTION AGENCY.</w:t>
      </w:r>
    </w:p>
    <w:p w14:paraId="58DBB88B" w14:textId="77777777" w:rsidR="001B7F77" w:rsidRPr="001B7F77" w:rsidRDefault="001B7F77" w:rsidP="001B7F77">
      <w:pPr>
        <w:widowControl w:val="0"/>
        <w:suppressAutoHyphens/>
        <w:spacing w:before="120" w:line="360" w:lineRule="auto"/>
        <w:ind w:left="360"/>
        <w:rPr>
          <w:w w:val="115"/>
          <w:szCs w:val="24"/>
          <w:u w:val="single"/>
        </w:rPr>
      </w:pPr>
      <w:r w:rsidRPr="001B7F77">
        <w:rPr>
          <w:b/>
          <w:szCs w:val="24"/>
          <w:u w:val="single"/>
        </w:rPr>
        <w:t>APPROVED TESTING AGENCY.</w:t>
      </w:r>
    </w:p>
    <w:p w14:paraId="0043867D" w14:textId="77777777" w:rsidR="001B7F77" w:rsidRPr="001B7F77" w:rsidRDefault="001B7F77" w:rsidP="001B7F77">
      <w:pPr>
        <w:widowControl w:val="0"/>
        <w:suppressAutoHyphens/>
        <w:spacing w:before="120" w:line="360" w:lineRule="auto"/>
        <w:ind w:left="360"/>
        <w:rPr>
          <w:w w:val="115"/>
          <w:szCs w:val="24"/>
          <w:u w:val="single"/>
        </w:rPr>
      </w:pPr>
      <w:r w:rsidRPr="001B7F77">
        <w:rPr>
          <w:b/>
          <w:szCs w:val="24"/>
          <w:u w:val="single"/>
        </w:rPr>
        <w:t>ARCHITECT.</w:t>
      </w:r>
    </w:p>
    <w:p w14:paraId="398B22A8" w14:textId="77777777" w:rsidR="001B7F77" w:rsidRPr="001B7F77" w:rsidRDefault="001B7F77" w:rsidP="001B7F77">
      <w:pPr>
        <w:widowControl w:val="0"/>
        <w:suppressAutoHyphens/>
        <w:spacing w:before="120" w:line="360" w:lineRule="auto"/>
        <w:ind w:left="360"/>
        <w:rPr>
          <w:w w:val="115"/>
          <w:szCs w:val="24"/>
          <w:u w:val="single"/>
        </w:rPr>
      </w:pPr>
      <w:r w:rsidRPr="001B7F77">
        <w:rPr>
          <w:b/>
          <w:szCs w:val="24"/>
          <w:u w:val="single"/>
        </w:rPr>
        <w:t>BUILDING.</w:t>
      </w:r>
    </w:p>
    <w:p w14:paraId="29BD582F" w14:textId="77777777" w:rsidR="001B7F77" w:rsidRPr="001B7F77" w:rsidRDefault="001B7F77" w:rsidP="001B7F77">
      <w:pPr>
        <w:widowControl w:val="0"/>
        <w:suppressAutoHyphens/>
        <w:spacing w:before="120" w:line="360" w:lineRule="auto"/>
        <w:ind w:left="360"/>
        <w:rPr>
          <w:w w:val="115"/>
          <w:szCs w:val="24"/>
          <w:u w:val="single"/>
        </w:rPr>
      </w:pPr>
      <w:r w:rsidRPr="001B7F77">
        <w:rPr>
          <w:b/>
          <w:szCs w:val="24"/>
          <w:u w:val="single"/>
        </w:rPr>
        <w:t>CHARTER.</w:t>
      </w:r>
    </w:p>
    <w:p w14:paraId="5FECBA12" w14:textId="77777777" w:rsidR="001B7F77" w:rsidRPr="001B7F77" w:rsidRDefault="001B7F77" w:rsidP="001B7F77">
      <w:pPr>
        <w:widowControl w:val="0"/>
        <w:suppressAutoHyphens/>
        <w:spacing w:before="120" w:line="360" w:lineRule="auto"/>
        <w:ind w:left="360"/>
        <w:rPr>
          <w:w w:val="115"/>
          <w:szCs w:val="24"/>
          <w:u w:val="single"/>
        </w:rPr>
      </w:pPr>
      <w:r w:rsidRPr="001B7F77">
        <w:rPr>
          <w:b/>
          <w:szCs w:val="24"/>
          <w:u w:val="single"/>
        </w:rPr>
        <w:t>CERTIFICATE OF COMPLIANCE.</w:t>
      </w:r>
    </w:p>
    <w:p w14:paraId="17AB2AD2" w14:textId="77777777" w:rsidR="001B7F77" w:rsidRPr="001B7F77" w:rsidRDefault="001B7F77" w:rsidP="001B7F77">
      <w:pPr>
        <w:widowControl w:val="0"/>
        <w:suppressAutoHyphens/>
        <w:spacing w:before="120" w:line="360" w:lineRule="auto"/>
        <w:ind w:left="360"/>
        <w:rPr>
          <w:w w:val="115"/>
          <w:szCs w:val="24"/>
          <w:u w:val="single"/>
        </w:rPr>
      </w:pPr>
      <w:r w:rsidRPr="001B7F77">
        <w:rPr>
          <w:b/>
          <w:szCs w:val="24"/>
          <w:u w:val="single"/>
        </w:rPr>
        <w:t>CITY.</w:t>
      </w:r>
    </w:p>
    <w:p w14:paraId="1C966B72" w14:textId="77777777" w:rsidR="001B7F77" w:rsidRPr="001B7F77" w:rsidRDefault="001B7F77" w:rsidP="001B7F77">
      <w:pPr>
        <w:widowControl w:val="0"/>
        <w:suppressAutoHyphens/>
        <w:spacing w:before="120" w:line="360" w:lineRule="auto"/>
        <w:ind w:left="360"/>
        <w:rPr>
          <w:w w:val="115"/>
          <w:szCs w:val="24"/>
          <w:u w:val="single"/>
        </w:rPr>
      </w:pPr>
      <w:r w:rsidRPr="001B7F77">
        <w:rPr>
          <w:b/>
          <w:szCs w:val="24"/>
          <w:u w:val="single"/>
        </w:rPr>
        <w:t>COMMISSIONER.</w:t>
      </w:r>
    </w:p>
    <w:p w14:paraId="51A4ADE2" w14:textId="77777777" w:rsidR="001B7F77" w:rsidRPr="001B7F77" w:rsidRDefault="001B7F77" w:rsidP="001B7F77">
      <w:pPr>
        <w:widowControl w:val="0"/>
        <w:suppressAutoHyphens/>
        <w:spacing w:before="120" w:line="360" w:lineRule="auto"/>
        <w:ind w:left="360"/>
        <w:rPr>
          <w:szCs w:val="24"/>
          <w:u w:val="single"/>
        </w:rPr>
      </w:pPr>
      <w:r w:rsidRPr="001B7F77">
        <w:rPr>
          <w:b/>
          <w:szCs w:val="24"/>
          <w:u w:val="single"/>
        </w:rPr>
        <w:t>CONSTRUCTION DOCUMENTS.</w:t>
      </w:r>
    </w:p>
    <w:p w14:paraId="35AF9D28" w14:textId="77777777" w:rsidR="001B7F77" w:rsidRPr="001B7F77" w:rsidRDefault="001B7F77" w:rsidP="001B7F77">
      <w:pPr>
        <w:widowControl w:val="0"/>
        <w:suppressAutoHyphens/>
        <w:spacing w:before="120" w:line="360" w:lineRule="auto"/>
        <w:ind w:left="360"/>
        <w:rPr>
          <w:w w:val="115"/>
          <w:szCs w:val="24"/>
          <w:u w:val="single"/>
        </w:rPr>
      </w:pPr>
      <w:r w:rsidRPr="001B7F77">
        <w:rPr>
          <w:b/>
          <w:w w:val="115"/>
          <w:szCs w:val="24"/>
          <w:u w:val="single"/>
        </w:rPr>
        <w:t>DAY.</w:t>
      </w:r>
    </w:p>
    <w:p w14:paraId="2D2CCA25" w14:textId="77777777" w:rsidR="001B7F77" w:rsidRPr="001B7F77" w:rsidRDefault="001B7F77" w:rsidP="001B7F77">
      <w:pPr>
        <w:widowControl w:val="0"/>
        <w:suppressAutoHyphens/>
        <w:spacing w:before="120" w:line="360" w:lineRule="auto"/>
        <w:ind w:left="360"/>
        <w:rPr>
          <w:w w:val="115"/>
          <w:szCs w:val="24"/>
          <w:u w:val="single"/>
        </w:rPr>
      </w:pPr>
      <w:r w:rsidRPr="001B7F77">
        <w:rPr>
          <w:b/>
          <w:szCs w:val="24"/>
          <w:u w:val="single"/>
        </w:rPr>
        <w:t>DEFERRED SUBMITTAL.</w:t>
      </w:r>
    </w:p>
    <w:p w14:paraId="2A53B347" w14:textId="77777777" w:rsidR="001B7F77" w:rsidRPr="001B7F77" w:rsidRDefault="001B7F77" w:rsidP="001B7F77">
      <w:pPr>
        <w:widowControl w:val="0"/>
        <w:suppressAutoHyphens/>
        <w:spacing w:before="120" w:line="360" w:lineRule="auto"/>
        <w:ind w:left="360"/>
        <w:rPr>
          <w:w w:val="115"/>
          <w:szCs w:val="24"/>
          <w:u w:val="single"/>
        </w:rPr>
      </w:pPr>
      <w:r w:rsidRPr="001B7F77">
        <w:rPr>
          <w:b/>
          <w:szCs w:val="24"/>
          <w:u w:val="single"/>
        </w:rPr>
        <w:t>DEMOLITION.</w:t>
      </w:r>
    </w:p>
    <w:p w14:paraId="6811695B" w14:textId="77777777" w:rsidR="001B7F77" w:rsidRPr="001B7F77" w:rsidRDefault="001B7F77" w:rsidP="001B7F77">
      <w:pPr>
        <w:widowControl w:val="0"/>
        <w:suppressAutoHyphens/>
        <w:spacing w:before="120" w:line="360" w:lineRule="auto"/>
        <w:ind w:left="360"/>
        <w:rPr>
          <w:w w:val="115"/>
          <w:szCs w:val="24"/>
          <w:u w:val="single"/>
        </w:rPr>
      </w:pPr>
      <w:r w:rsidRPr="001B7F77">
        <w:rPr>
          <w:b/>
          <w:szCs w:val="24"/>
          <w:u w:val="single"/>
        </w:rPr>
        <w:t>DEMOLITION, FULL.</w:t>
      </w:r>
    </w:p>
    <w:p w14:paraId="7F03BB98" w14:textId="77777777" w:rsidR="001B7F77" w:rsidRPr="001B7F77" w:rsidRDefault="001B7F77" w:rsidP="001B7F77">
      <w:pPr>
        <w:widowControl w:val="0"/>
        <w:suppressAutoHyphens/>
        <w:spacing w:before="120" w:line="360" w:lineRule="auto"/>
        <w:ind w:left="360"/>
        <w:rPr>
          <w:w w:val="115"/>
          <w:szCs w:val="24"/>
          <w:u w:val="single"/>
        </w:rPr>
      </w:pPr>
      <w:r w:rsidRPr="001B7F77">
        <w:rPr>
          <w:b/>
          <w:szCs w:val="24"/>
          <w:u w:val="single"/>
        </w:rPr>
        <w:t>DEMOLITION, PARTIAL.</w:t>
      </w:r>
    </w:p>
    <w:p w14:paraId="4D40B9DE" w14:textId="77777777" w:rsidR="001B7F77" w:rsidRPr="001B7F77" w:rsidRDefault="001B7F77" w:rsidP="001B7F77">
      <w:pPr>
        <w:widowControl w:val="0"/>
        <w:suppressAutoHyphens/>
        <w:spacing w:before="120" w:line="360" w:lineRule="auto"/>
        <w:ind w:left="360"/>
        <w:rPr>
          <w:w w:val="115"/>
          <w:szCs w:val="24"/>
          <w:u w:val="single"/>
        </w:rPr>
      </w:pPr>
      <w:r w:rsidRPr="001B7F77">
        <w:rPr>
          <w:b/>
          <w:szCs w:val="24"/>
          <w:u w:val="single"/>
        </w:rPr>
        <w:t>DEPARTMENT.</w:t>
      </w:r>
    </w:p>
    <w:p w14:paraId="47275908" w14:textId="77777777" w:rsidR="001B7F77" w:rsidRPr="001B7F77" w:rsidRDefault="001B7F77" w:rsidP="001B7F77">
      <w:pPr>
        <w:widowControl w:val="0"/>
        <w:suppressAutoHyphens/>
        <w:spacing w:before="120" w:line="360" w:lineRule="auto"/>
        <w:ind w:left="360"/>
        <w:rPr>
          <w:w w:val="115"/>
          <w:szCs w:val="24"/>
          <w:u w:val="single"/>
        </w:rPr>
      </w:pPr>
      <w:r w:rsidRPr="001B7F77">
        <w:rPr>
          <w:b/>
          <w:szCs w:val="24"/>
          <w:u w:val="single"/>
        </w:rPr>
        <w:t>ENGINEER.</w:t>
      </w:r>
    </w:p>
    <w:p w14:paraId="4B8F6A83" w14:textId="77777777" w:rsidR="001B7F77" w:rsidRPr="001B7F77" w:rsidRDefault="001B7F77" w:rsidP="001B7F77">
      <w:pPr>
        <w:widowControl w:val="0"/>
        <w:suppressAutoHyphens/>
        <w:spacing w:before="120" w:line="360" w:lineRule="auto"/>
        <w:ind w:left="360"/>
        <w:rPr>
          <w:w w:val="115"/>
          <w:szCs w:val="24"/>
          <w:u w:val="single"/>
        </w:rPr>
      </w:pPr>
      <w:r w:rsidRPr="001B7F77">
        <w:rPr>
          <w:b/>
          <w:szCs w:val="24"/>
          <w:u w:val="single"/>
        </w:rPr>
        <w:t>ENLARGEMENT.</w:t>
      </w:r>
    </w:p>
    <w:p w14:paraId="57F5FEED" w14:textId="77777777" w:rsidR="001B7F77" w:rsidRPr="001B7F77" w:rsidRDefault="001B7F77" w:rsidP="001B7F77">
      <w:pPr>
        <w:widowControl w:val="0"/>
        <w:suppressAutoHyphens/>
        <w:spacing w:before="120" w:line="360" w:lineRule="auto"/>
        <w:ind w:left="360"/>
        <w:rPr>
          <w:szCs w:val="24"/>
          <w:u w:val="single"/>
        </w:rPr>
      </w:pPr>
      <w:r w:rsidRPr="001B7F77">
        <w:rPr>
          <w:b/>
          <w:szCs w:val="24"/>
          <w:u w:val="single"/>
        </w:rPr>
        <w:t>ENVIRONMENTAL CONTROL BOARD or ECB.</w:t>
      </w:r>
    </w:p>
    <w:p w14:paraId="1341B40D" w14:textId="77777777" w:rsidR="001B7F77" w:rsidRPr="001B7F77" w:rsidRDefault="001B7F77" w:rsidP="001B7F77">
      <w:pPr>
        <w:widowControl w:val="0"/>
        <w:suppressAutoHyphens/>
        <w:spacing w:before="120" w:line="360" w:lineRule="auto"/>
        <w:ind w:left="360"/>
        <w:rPr>
          <w:w w:val="115"/>
          <w:szCs w:val="24"/>
          <w:u w:val="single"/>
        </w:rPr>
      </w:pPr>
      <w:r w:rsidRPr="001B7F77">
        <w:rPr>
          <w:b/>
          <w:bCs/>
          <w:szCs w:val="24"/>
          <w:u w:val="single"/>
        </w:rPr>
        <w:t>EXISTING BUILDING OR STRUCTURE.</w:t>
      </w:r>
    </w:p>
    <w:p w14:paraId="5AA5040E" w14:textId="77777777" w:rsidR="001B7F77" w:rsidRPr="001B7F77" w:rsidRDefault="001B7F77" w:rsidP="001B7F77">
      <w:pPr>
        <w:widowControl w:val="0"/>
        <w:suppressAutoHyphens/>
        <w:spacing w:before="120" w:line="360" w:lineRule="auto"/>
        <w:ind w:left="360"/>
        <w:rPr>
          <w:szCs w:val="24"/>
          <w:u w:val="single"/>
        </w:rPr>
      </w:pPr>
      <w:r w:rsidRPr="001B7F77">
        <w:rPr>
          <w:b/>
          <w:szCs w:val="24"/>
          <w:u w:val="single"/>
        </w:rPr>
        <w:t>FABRICATED ITEM.</w:t>
      </w:r>
    </w:p>
    <w:p w14:paraId="079962CF" w14:textId="77777777" w:rsidR="001B7F77" w:rsidRPr="001B7F77" w:rsidRDefault="001B7F77" w:rsidP="001B7F77">
      <w:pPr>
        <w:widowControl w:val="0"/>
        <w:suppressAutoHyphens/>
        <w:spacing w:before="120" w:line="360" w:lineRule="auto"/>
        <w:ind w:left="360"/>
        <w:rPr>
          <w:w w:val="115"/>
          <w:szCs w:val="24"/>
          <w:u w:val="single"/>
        </w:rPr>
      </w:pPr>
      <w:r w:rsidRPr="001B7F77">
        <w:rPr>
          <w:b/>
          <w:szCs w:val="24"/>
          <w:u w:val="single"/>
        </w:rPr>
        <w:t>FIRE PROTECTION PLAN.</w:t>
      </w:r>
    </w:p>
    <w:p w14:paraId="22704AE2" w14:textId="77777777" w:rsidR="001B7F77" w:rsidRPr="001B7F77" w:rsidRDefault="001B7F77" w:rsidP="001B7F77">
      <w:pPr>
        <w:widowControl w:val="0"/>
        <w:suppressAutoHyphens/>
        <w:spacing w:before="120" w:line="360" w:lineRule="auto"/>
        <w:ind w:left="360"/>
        <w:rPr>
          <w:w w:val="115"/>
          <w:szCs w:val="24"/>
          <w:u w:val="single"/>
        </w:rPr>
      </w:pPr>
      <w:r w:rsidRPr="001B7F77">
        <w:rPr>
          <w:b/>
          <w:szCs w:val="24"/>
          <w:u w:val="single"/>
        </w:rPr>
        <w:t>HEREAFTER.</w:t>
      </w:r>
    </w:p>
    <w:p w14:paraId="48F595F8" w14:textId="77777777" w:rsidR="001B7F77" w:rsidRPr="001B7F77" w:rsidRDefault="001B7F77" w:rsidP="001B7F77">
      <w:pPr>
        <w:widowControl w:val="0"/>
        <w:suppressAutoHyphens/>
        <w:spacing w:before="120" w:line="360" w:lineRule="auto"/>
        <w:ind w:left="360"/>
        <w:rPr>
          <w:w w:val="115"/>
          <w:szCs w:val="24"/>
          <w:u w:val="single"/>
        </w:rPr>
      </w:pPr>
      <w:r w:rsidRPr="001B7F77">
        <w:rPr>
          <w:b/>
          <w:szCs w:val="24"/>
          <w:u w:val="single"/>
        </w:rPr>
        <w:t>HERETOFORE.</w:t>
      </w:r>
    </w:p>
    <w:p w14:paraId="10872B15" w14:textId="77777777" w:rsidR="001B7F77" w:rsidRPr="001B7F77" w:rsidRDefault="001B7F77" w:rsidP="001B7F77">
      <w:pPr>
        <w:widowControl w:val="0"/>
        <w:suppressAutoHyphens/>
        <w:spacing w:before="120" w:line="360" w:lineRule="auto"/>
        <w:ind w:left="360"/>
        <w:rPr>
          <w:szCs w:val="24"/>
          <w:u w:val="single"/>
        </w:rPr>
      </w:pPr>
      <w:r w:rsidRPr="001B7F77">
        <w:rPr>
          <w:b/>
          <w:bCs/>
          <w:w w:val="105"/>
          <w:szCs w:val="24"/>
          <w:u w:val="single"/>
        </w:rPr>
        <w:t>I</w:t>
      </w:r>
      <w:r w:rsidRPr="001B7F77">
        <w:rPr>
          <w:b/>
          <w:szCs w:val="24"/>
          <w:u w:val="single"/>
        </w:rPr>
        <w:t>NSPECTION CERTIFICATE.</w:t>
      </w:r>
    </w:p>
    <w:p w14:paraId="2C8C6BE5" w14:textId="77777777" w:rsidR="001B7F77" w:rsidRPr="001B7F77" w:rsidRDefault="001B7F77" w:rsidP="001B7F77">
      <w:pPr>
        <w:widowControl w:val="0"/>
        <w:suppressAutoHyphens/>
        <w:spacing w:before="120" w:line="360" w:lineRule="auto"/>
        <w:ind w:left="360"/>
        <w:rPr>
          <w:w w:val="115"/>
          <w:szCs w:val="24"/>
          <w:u w:val="single"/>
        </w:rPr>
      </w:pPr>
      <w:r w:rsidRPr="001B7F77">
        <w:rPr>
          <w:b/>
          <w:szCs w:val="24"/>
          <w:u w:val="single"/>
        </w:rPr>
        <w:t>INTERIM CERTIFICATE OF OCCUPANCY.</w:t>
      </w:r>
    </w:p>
    <w:p w14:paraId="2213EA90" w14:textId="77777777" w:rsidR="001B7F77" w:rsidRPr="001B7F77" w:rsidRDefault="001B7F77" w:rsidP="001B7F77">
      <w:pPr>
        <w:widowControl w:val="0"/>
        <w:suppressAutoHyphens/>
        <w:spacing w:before="120" w:line="360" w:lineRule="auto"/>
        <w:ind w:left="360"/>
        <w:rPr>
          <w:szCs w:val="24"/>
          <w:u w:val="single"/>
        </w:rPr>
      </w:pPr>
      <w:r w:rsidRPr="001B7F77">
        <w:rPr>
          <w:b/>
          <w:szCs w:val="24"/>
          <w:u w:val="single"/>
        </w:rPr>
        <w:t>LABEL.</w:t>
      </w:r>
    </w:p>
    <w:p w14:paraId="711A5CE4" w14:textId="77777777" w:rsidR="001B7F77" w:rsidRPr="001B7F77" w:rsidRDefault="001B7F77" w:rsidP="001B7F77">
      <w:pPr>
        <w:widowControl w:val="0"/>
        <w:suppressAutoHyphens/>
        <w:spacing w:before="120" w:line="360" w:lineRule="auto"/>
        <w:ind w:left="360"/>
        <w:rPr>
          <w:w w:val="115"/>
          <w:szCs w:val="24"/>
          <w:u w:val="single"/>
        </w:rPr>
      </w:pPr>
      <w:r w:rsidRPr="001B7F77">
        <w:rPr>
          <w:b/>
          <w:szCs w:val="24"/>
          <w:u w:val="single"/>
        </w:rPr>
        <w:t>LABELED.</w:t>
      </w:r>
    </w:p>
    <w:p w14:paraId="1B6A9B14" w14:textId="77777777" w:rsidR="001B7F77" w:rsidRPr="001B7F77" w:rsidRDefault="001B7F77" w:rsidP="001B7F77">
      <w:pPr>
        <w:widowControl w:val="0"/>
        <w:suppressAutoHyphens/>
        <w:spacing w:before="120" w:line="360" w:lineRule="auto"/>
        <w:ind w:left="360"/>
        <w:rPr>
          <w:w w:val="115"/>
          <w:szCs w:val="24"/>
          <w:u w:val="single"/>
        </w:rPr>
      </w:pPr>
      <w:r w:rsidRPr="001B7F77">
        <w:rPr>
          <w:b/>
          <w:szCs w:val="24"/>
          <w:u w:val="single"/>
        </w:rPr>
        <w:t>LAND SURVEYOR.</w:t>
      </w:r>
    </w:p>
    <w:p w14:paraId="63CC18AB" w14:textId="77777777" w:rsidR="001B7F77" w:rsidRPr="001B7F77" w:rsidRDefault="001B7F77" w:rsidP="001B7F77">
      <w:pPr>
        <w:widowControl w:val="0"/>
        <w:suppressAutoHyphens/>
        <w:spacing w:before="120" w:line="360" w:lineRule="auto"/>
        <w:ind w:left="360"/>
        <w:rPr>
          <w:szCs w:val="24"/>
          <w:u w:val="single"/>
        </w:rPr>
      </w:pPr>
      <w:r w:rsidRPr="001B7F77">
        <w:rPr>
          <w:b/>
          <w:szCs w:val="24"/>
          <w:u w:val="single"/>
        </w:rPr>
        <w:t>LANDSCAPE ARCHITECT</w:t>
      </w:r>
      <w:r w:rsidRPr="001B7F77">
        <w:rPr>
          <w:b/>
          <w:w w:val="115"/>
          <w:szCs w:val="24"/>
          <w:u w:val="single"/>
        </w:rPr>
        <w:t>.</w:t>
      </w:r>
    </w:p>
    <w:p w14:paraId="27DB4020" w14:textId="77777777" w:rsidR="001B7F77" w:rsidRPr="001B7F77" w:rsidRDefault="001B7F77" w:rsidP="001B7F77">
      <w:pPr>
        <w:widowControl w:val="0"/>
        <w:suppressAutoHyphens/>
        <w:spacing w:before="120" w:line="360" w:lineRule="auto"/>
        <w:ind w:left="360"/>
        <w:rPr>
          <w:szCs w:val="24"/>
          <w:u w:val="single"/>
        </w:rPr>
      </w:pPr>
      <w:r w:rsidRPr="001B7F77">
        <w:rPr>
          <w:b/>
          <w:szCs w:val="24"/>
          <w:u w:val="single"/>
        </w:rPr>
        <w:t>LETTER OF COMPLETION.</w:t>
      </w:r>
    </w:p>
    <w:p w14:paraId="2137C399" w14:textId="77777777" w:rsidR="001B7F77" w:rsidRPr="001B7F77" w:rsidRDefault="001B7F77" w:rsidP="001B7F77">
      <w:pPr>
        <w:widowControl w:val="0"/>
        <w:suppressAutoHyphens/>
        <w:spacing w:before="120" w:line="360" w:lineRule="auto"/>
        <w:ind w:left="360"/>
        <w:rPr>
          <w:szCs w:val="24"/>
          <w:u w:val="single"/>
        </w:rPr>
      </w:pPr>
      <w:r w:rsidRPr="001B7F77">
        <w:rPr>
          <w:b/>
          <w:szCs w:val="24"/>
          <w:u w:val="single"/>
        </w:rPr>
        <w:t>LISTED.</w:t>
      </w:r>
    </w:p>
    <w:p w14:paraId="7357925B" w14:textId="77777777" w:rsidR="001B7F77" w:rsidRPr="001B7F77" w:rsidRDefault="001B7F77" w:rsidP="001B7F77">
      <w:pPr>
        <w:widowControl w:val="0"/>
        <w:suppressAutoHyphens/>
        <w:spacing w:before="120" w:line="360" w:lineRule="auto"/>
        <w:ind w:left="360"/>
        <w:rPr>
          <w:b/>
          <w:bCs/>
          <w:w w:val="105"/>
          <w:szCs w:val="24"/>
          <w:u w:val="single"/>
        </w:rPr>
      </w:pPr>
      <w:r w:rsidRPr="001B7F77">
        <w:rPr>
          <w:b/>
          <w:szCs w:val="24"/>
          <w:u w:val="single"/>
        </w:rPr>
        <w:t>MAIN USE OR DOMINANT OCCUPANCY (OF A BUILDING).</w:t>
      </w:r>
    </w:p>
    <w:p w14:paraId="01969BBB" w14:textId="77777777" w:rsidR="001B7F77" w:rsidRPr="001B7F77" w:rsidRDefault="001B7F77" w:rsidP="001B7F77">
      <w:pPr>
        <w:widowControl w:val="0"/>
        <w:suppressAutoHyphens/>
        <w:spacing w:before="120" w:line="360" w:lineRule="auto"/>
        <w:ind w:left="360"/>
        <w:rPr>
          <w:szCs w:val="24"/>
          <w:u w:val="single"/>
        </w:rPr>
      </w:pPr>
      <w:r w:rsidRPr="001B7F77">
        <w:rPr>
          <w:b/>
          <w:szCs w:val="24"/>
          <w:u w:val="single"/>
        </w:rPr>
        <w:t>MANUFACTURER’S DESIGNATION.</w:t>
      </w:r>
    </w:p>
    <w:p w14:paraId="09E1135A" w14:textId="77777777" w:rsidR="001B7F77" w:rsidRPr="001B7F77" w:rsidRDefault="001B7F77" w:rsidP="001B7F77">
      <w:pPr>
        <w:widowControl w:val="0"/>
        <w:suppressAutoHyphens/>
        <w:spacing w:before="120" w:line="360" w:lineRule="auto"/>
        <w:ind w:left="360"/>
        <w:rPr>
          <w:szCs w:val="24"/>
          <w:u w:val="single"/>
        </w:rPr>
      </w:pPr>
      <w:r w:rsidRPr="001B7F77">
        <w:rPr>
          <w:b/>
          <w:szCs w:val="24"/>
          <w:u w:val="single"/>
        </w:rPr>
        <w:t>MARK.</w:t>
      </w:r>
    </w:p>
    <w:p w14:paraId="1AB022F0" w14:textId="77777777" w:rsidR="001B7F77" w:rsidRPr="001B7F77" w:rsidRDefault="001B7F77" w:rsidP="001B7F77">
      <w:pPr>
        <w:widowControl w:val="0"/>
        <w:suppressAutoHyphens/>
        <w:spacing w:before="120" w:line="360" w:lineRule="auto"/>
        <w:ind w:left="360"/>
        <w:rPr>
          <w:szCs w:val="24"/>
          <w:u w:val="single"/>
        </w:rPr>
      </w:pPr>
      <w:r w:rsidRPr="001B7F77">
        <w:rPr>
          <w:b/>
          <w:szCs w:val="24"/>
          <w:u w:val="single"/>
        </w:rPr>
        <w:t>MATERIALS.</w:t>
      </w:r>
    </w:p>
    <w:p w14:paraId="72391BDA" w14:textId="77777777" w:rsidR="001B7F77" w:rsidRPr="001B7F77" w:rsidRDefault="001B7F77" w:rsidP="001B7F77">
      <w:pPr>
        <w:widowControl w:val="0"/>
        <w:suppressAutoHyphens/>
        <w:spacing w:before="120" w:line="360" w:lineRule="auto"/>
        <w:ind w:left="360"/>
        <w:rPr>
          <w:szCs w:val="24"/>
          <w:u w:val="single"/>
        </w:rPr>
      </w:pPr>
      <w:r w:rsidRPr="001B7F77">
        <w:rPr>
          <w:b/>
          <w:szCs w:val="24"/>
          <w:u w:val="single"/>
        </w:rPr>
        <w:t>OCCUPANCY.</w:t>
      </w:r>
    </w:p>
    <w:p w14:paraId="13EE6768" w14:textId="77777777" w:rsidR="001B7F77" w:rsidRPr="001B7F77" w:rsidRDefault="001B7F77" w:rsidP="001B7F77">
      <w:pPr>
        <w:widowControl w:val="0"/>
        <w:suppressAutoHyphens/>
        <w:spacing w:before="120" w:line="360" w:lineRule="auto"/>
        <w:ind w:left="360"/>
        <w:rPr>
          <w:szCs w:val="24"/>
          <w:u w:val="single"/>
        </w:rPr>
      </w:pPr>
      <w:r w:rsidRPr="001B7F77">
        <w:rPr>
          <w:b/>
          <w:szCs w:val="24"/>
          <w:u w:val="single"/>
        </w:rPr>
        <w:t>OWNER.</w:t>
      </w:r>
    </w:p>
    <w:p w14:paraId="3C01BD8C" w14:textId="77777777" w:rsidR="001B7F77" w:rsidRPr="001B7F77" w:rsidRDefault="001B7F77" w:rsidP="001B7F77">
      <w:pPr>
        <w:widowControl w:val="0"/>
        <w:suppressAutoHyphens/>
        <w:spacing w:before="120" w:line="360" w:lineRule="auto"/>
        <w:ind w:left="360"/>
        <w:rPr>
          <w:szCs w:val="24"/>
          <w:u w:val="single"/>
        </w:rPr>
      </w:pPr>
      <w:r w:rsidRPr="001B7F77">
        <w:rPr>
          <w:b/>
          <w:szCs w:val="24"/>
          <w:u w:val="single"/>
        </w:rPr>
        <w:t>PARTY WALL.</w:t>
      </w:r>
    </w:p>
    <w:p w14:paraId="29D1899D" w14:textId="77777777" w:rsidR="001B7F77" w:rsidRPr="001B7F77" w:rsidRDefault="001B7F77" w:rsidP="001B7F77">
      <w:pPr>
        <w:widowControl w:val="0"/>
        <w:suppressAutoHyphens/>
        <w:spacing w:before="120" w:line="360" w:lineRule="auto"/>
        <w:ind w:left="360"/>
        <w:rPr>
          <w:szCs w:val="24"/>
          <w:u w:val="single"/>
        </w:rPr>
      </w:pPr>
      <w:r w:rsidRPr="001B7F77">
        <w:rPr>
          <w:b/>
          <w:szCs w:val="24"/>
          <w:u w:val="single"/>
        </w:rPr>
        <w:t>PERMIT.</w:t>
      </w:r>
    </w:p>
    <w:p w14:paraId="66991922" w14:textId="77777777" w:rsidR="001B7F77" w:rsidRPr="001B7F77" w:rsidRDefault="001B7F77" w:rsidP="001B7F77">
      <w:pPr>
        <w:widowControl w:val="0"/>
        <w:suppressAutoHyphens/>
        <w:spacing w:before="120" w:line="360" w:lineRule="auto"/>
        <w:ind w:left="360"/>
        <w:rPr>
          <w:szCs w:val="24"/>
          <w:u w:val="single"/>
        </w:rPr>
      </w:pPr>
      <w:r w:rsidRPr="001B7F77">
        <w:rPr>
          <w:b/>
          <w:szCs w:val="24"/>
          <w:u w:val="single"/>
        </w:rPr>
        <w:t>PERSON.</w:t>
      </w:r>
    </w:p>
    <w:p w14:paraId="1A662A09" w14:textId="77777777" w:rsidR="001B7F77" w:rsidRPr="001B7F77" w:rsidRDefault="001B7F77" w:rsidP="001B7F77">
      <w:pPr>
        <w:widowControl w:val="0"/>
        <w:suppressAutoHyphens/>
        <w:spacing w:before="120" w:line="360" w:lineRule="auto"/>
        <w:ind w:left="360"/>
        <w:rPr>
          <w:szCs w:val="24"/>
          <w:u w:val="single"/>
        </w:rPr>
      </w:pPr>
      <w:r w:rsidRPr="001B7F77">
        <w:rPr>
          <w:b/>
          <w:szCs w:val="24"/>
          <w:u w:val="single"/>
        </w:rPr>
        <w:t>PREMISES</w:t>
      </w:r>
      <w:r w:rsidRPr="001B7F77">
        <w:rPr>
          <w:b/>
          <w:bCs/>
          <w:w w:val="105"/>
          <w:szCs w:val="24"/>
          <w:u w:val="single"/>
        </w:rPr>
        <w:t xml:space="preserve">. </w:t>
      </w:r>
    </w:p>
    <w:p w14:paraId="5C675856" w14:textId="77777777" w:rsidR="001B7F77" w:rsidRPr="001B7F77" w:rsidRDefault="001B7F77" w:rsidP="001B7F77">
      <w:pPr>
        <w:widowControl w:val="0"/>
        <w:suppressAutoHyphens/>
        <w:spacing w:before="120" w:line="360" w:lineRule="auto"/>
        <w:ind w:left="360"/>
        <w:rPr>
          <w:szCs w:val="24"/>
          <w:u w:val="single"/>
        </w:rPr>
      </w:pPr>
      <w:r w:rsidRPr="001B7F77">
        <w:rPr>
          <w:b/>
          <w:szCs w:val="24"/>
          <w:u w:val="single"/>
        </w:rPr>
        <w:t>PRIOR CODE BUILDING OR STRUCTURE.</w:t>
      </w:r>
    </w:p>
    <w:p w14:paraId="03B4B682" w14:textId="77777777" w:rsidR="001B7F77" w:rsidRPr="001B7F77" w:rsidRDefault="001B7F77" w:rsidP="001B7F77">
      <w:pPr>
        <w:widowControl w:val="0"/>
        <w:suppressAutoHyphens/>
        <w:spacing w:before="120" w:line="360" w:lineRule="auto"/>
        <w:ind w:left="360"/>
        <w:jc w:val="left"/>
        <w:rPr>
          <w:szCs w:val="24"/>
          <w:u w:val="single"/>
        </w:rPr>
      </w:pPr>
      <w:r w:rsidRPr="001B7F77">
        <w:rPr>
          <w:b/>
          <w:szCs w:val="24"/>
          <w:u w:val="single"/>
        </w:rPr>
        <w:t>PROFESSIONAL CERTIFICATION.</w:t>
      </w:r>
    </w:p>
    <w:p w14:paraId="46CA55D8" w14:textId="77777777" w:rsidR="001B7F77" w:rsidRPr="001B7F77" w:rsidRDefault="001B7F77" w:rsidP="001B7F77">
      <w:pPr>
        <w:widowControl w:val="0"/>
        <w:suppressAutoHyphens/>
        <w:spacing w:before="120" w:line="360" w:lineRule="auto"/>
        <w:ind w:left="360"/>
        <w:jc w:val="left"/>
        <w:rPr>
          <w:szCs w:val="24"/>
          <w:u w:val="single"/>
        </w:rPr>
      </w:pPr>
      <w:r w:rsidRPr="001B7F77">
        <w:rPr>
          <w:b/>
          <w:szCs w:val="24"/>
          <w:u w:val="single"/>
        </w:rPr>
        <w:t>PROGRESS INSPECTION.</w:t>
      </w:r>
    </w:p>
    <w:p w14:paraId="5B4C1749" w14:textId="77777777" w:rsidR="001B7F77" w:rsidRPr="001B7F77" w:rsidRDefault="001B7F77" w:rsidP="001B7F77">
      <w:pPr>
        <w:widowControl w:val="0"/>
        <w:suppressAutoHyphens/>
        <w:spacing w:before="120" w:line="360" w:lineRule="auto"/>
        <w:ind w:left="360"/>
        <w:jc w:val="left"/>
        <w:rPr>
          <w:szCs w:val="24"/>
          <w:u w:val="single"/>
        </w:rPr>
      </w:pPr>
      <w:r w:rsidRPr="001B7F77">
        <w:rPr>
          <w:b/>
          <w:szCs w:val="24"/>
          <w:u w:val="single"/>
        </w:rPr>
        <w:t>PROJECT.</w:t>
      </w:r>
    </w:p>
    <w:p w14:paraId="112620DE" w14:textId="77777777" w:rsidR="001B7F77" w:rsidRPr="001B7F77" w:rsidRDefault="001B7F77" w:rsidP="001B7F77">
      <w:pPr>
        <w:widowControl w:val="0"/>
        <w:suppressAutoHyphens/>
        <w:spacing w:before="120" w:line="360" w:lineRule="auto"/>
        <w:ind w:left="360"/>
        <w:jc w:val="left"/>
        <w:rPr>
          <w:szCs w:val="24"/>
          <w:u w:val="single"/>
        </w:rPr>
      </w:pPr>
      <w:r w:rsidRPr="001B7F77">
        <w:rPr>
          <w:b/>
          <w:szCs w:val="24"/>
          <w:u w:val="single"/>
        </w:rPr>
        <w:t>REGISTERED DESIGN PROFESSIONAL.</w:t>
      </w:r>
    </w:p>
    <w:p w14:paraId="7EC793DA" w14:textId="77777777" w:rsidR="001B7F77" w:rsidRPr="001B7F77" w:rsidRDefault="001B7F77" w:rsidP="001B7F77">
      <w:pPr>
        <w:widowControl w:val="0"/>
        <w:suppressAutoHyphens/>
        <w:spacing w:before="120" w:line="360" w:lineRule="auto"/>
        <w:ind w:left="360"/>
        <w:jc w:val="left"/>
        <w:rPr>
          <w:szCs w:val="24"/>
          <w:u w:val="single"/>
        </w:rPr>
      </w:pPr>
      <w:r w:rsidRPr="001B7F77">
        <w:rPr>
          <w:b/>
          <w:szCs w:val="24"/>
          <w:u w:val="single"/>
        </w:rPr>
        <w:t>REGISTERED DESIGN PROFESSIONAL OF RECORD.</w:t>
      </w:r>
    </w:p>
    <w:p w14:paraId="497FFCAB" w14:textId="77777777" w:rsidR="001B7F77" w:rsidRPr="001B7F77" w:rsidRDefault="001B7F77" w:rsidP="001B7F77">
      <w:pPr>
        <w:widowControl w:val="0"/>
        <w:suppressAutoHyphens/>
        <w:spacing w:before="120" w:line="360" w:lineRule="auto"/>
        <w:ind w:left="360"/>
        <w:jc w:val="left"/>
        <w:rPr>
          <w:szCs w:val="24"/>
          <w:u w:val="single"/>
        </w:rPr>
      </w:pPr>
      <w:r w:rsidRPr="001B7F77">
        <w:rPr>
          <w:b/>
          <w:szCs w:val="24"/>
          <w:u w:val="single"/>
        </w:rPr>
        <w:t>REQUIRED.</w:t>
      </w:r>
    </w:p>
    <w:p w14:paraId="4E0D0A4E" w14:textId="77777777" w:rsidR="001B7F77" w:rsidRPr="001B7F77" w:rsidRDefault="001B7F77" w:rsidP="001B7F77">
      <w:pPr>
        <w:widowControl w:val="0"/>
        <w:suppressAutoHyphens/>
        <w:spacing w:before="120" w:line="360" w:lineRule="auto"/>
        <w:ind w:left="360"/>
        <w:jc w:val="left"/>
        <w:rPr>
          <w:szCs w:val="24"/>
          <w:u w:val="single"/>
        </w:rPr>
      </w:pPr>
      <w:r w:rsidRPr="001B7F77">
        <w:rPr>
          <w:b/>
          <w:szCs w:val="24"/>
          <w:u w:val="single"/>
        </w:rPr>
        <w:t>RETAINING WALL.</w:t>
      </w:r>
    </w:p>
    <w:p w14:paraId="65513889" w14:textId="77777777" w:rsidR="001B7F77" w:rsidRPr="001B7F77" w:rsidRDefault="001B7F77" w:rsidP="001B7F77">
      <w:pPr>
        <w:widowControl w:val="0"/>
        <w:suppressAutoHyphens/>
        <w:spacing w:before="120" w:line="360" w:lineRule="auto"/>
        <w:ind w:left="360"/>
        <w:jc w:val="left"/>
        <w:rPr>
          <w:szCs w:val="24"/>
          <w:u w:val="single"/>
        </w:rPr>
      </w:pPr>
      <w:r w:rsidRPr="001B7F77">
        <w:rPr>
          <w:b/>
          <w:szCs w:val="24"/>
          <w:u w:val="single"/>
        </w:rPr>
        <w:t>SERVICE EQUIPMENT.</w:t>
      </w:r>
    </w:p>
    <w:p w14:paraId="77F2D6AD" w14:textId="77777777" w:rsidR="001B7F77" w:rsidRPr="001B7F77" w:rsidRDefault="001B7F77" w:rsidP="001B7F77">
      <w:pPr>
        <w:widowControl w:val="0"/>
        <w:suppressAutoHyphens/>
        <w:spacing w:before="120" w:line="360" w:lineRule="auto"/>
        <w:ind w:left="360"/>
        <w:jc w:val="left"/>
        <w:rPr>
          <w:szCs w:val="24"/>
          <w:u w:val="single"/>
        </w:rPr>
      </w:pPr>
      <w:r w:rsidRPr="001B7F77">
        <w:rPr>
          <w:b/>
          <w:szCs w:val="24"/>
          <w:u w:val="single"/>
        </w:rPr>
        <w:t>SIGN-OFF.</w:t>
      </w:r>
    </w:p>
    <w:p w14:paraId="3A22B52A" w14:textId="77777777" w:rsidR="001B7F77" w:rsidRPr="001B7F77" w:rsidRDefault="001B7F77" w:rsidP="001B7F77">
      <w:pPr>
        <w:widowControl w:val="0"/>
        <w:suppressAutoHyphens/>
        <w:spacing w:before="120" w:line="360" w:lineRule="auto"/>
        <w:ind w:left="360"/>
        <w:jc w:val="left"/>
        <w:rPr>
          <w:b/>
          <w:szCs w:val="24"/>
          <w:u w:val="single"/>
        </w:rPr>
      </w:pPr>
      <w:r w:rsidRPr="001B7F77">
        <w:rPr>
          <w:b/>
          <w:szCs w:val="24"/>
          <w:u w:val="single"/>
        </w:rPr>
        <w:t>SINGLE ROOM OCCUPANCY MULTIPLE DWELLING</w:t>
      </w:r>
      <w:r w:rsidRPr="001B7F77">
        <w:rPr>
          <w:b/>
          <w:bCs/>
          <w:w w:val="105"/>
          <w:szCs w:val="24"/>
          <w:u w:val="single"/>
        </w:rPr>
        <w:t>.</w:t>
      </w:r>
    </w:p>
    <w:p w14:paraId="608CF215" w14:textId="77777777" w:rsidR="001B7F77" w:rsidRPr="001B7F77" w:rsidRDefault="001B7F77" w:rsidP="001B7F77">
      <w:pPr>
        <w:widowControl w:val="0"/>
        <w:suppressAutoHyphens/>
        <w:spacing w:before="120" w:line="360" w:lineRule="auto"/>
        <w:ind w:left="360"/>
        <w:jc w:val="left"/>
        <w:rPr>
          <w:szCs w:val="24"/>
          <w:u w:val="single"/>
        </w:rPr>
      </w:pPr>
      <w:r w:rsidRPr="001B7F77">
        <w:rPr>
          <w:b/>
          <w:szCs w:val="24"/>
          <w:u w:val="single"/>
        </w:rPr>
        <w:t>SPECIAL INSPECTION.</w:t>
      </w:r>
    </w:p>
    <w:p w14:paraId="1A300A10" w14:textId="77777777" w:rsidR="001B7F77" w:rsidRPr="001B7F77" w:rsidRDefault="001B7F77" w:rsidP="001B7F77">
      <w:pPr>
        <w:widowControl w:val="0"/>
        <w:suppressAutoHyphens/>
        <w:spacing w:before="120" w:line="360" w:lineRule="auto"/>
        <w:ind w:left="360"/>
        <w:jc w:val="left"/>
        <w:rPr>
          <w:szCs w:val="24"/>
          <w:u w:val="single"/>
        </w:rPr>
      </w:pPr>
      <w:r w:rsidRPr="001B7F77">
        <w:rPr>
          <w:b/>
          <w:szCs w:val="24"/>
          <w:u w:val="single"/>
        </w:rPr>
        <w:t>SPECIAL INSPECTION AGENCY.</w:t>
      </w:r>
    </w:p>
    <w:p w14:paraId="3FFEDA02" w14:textId="77777777" w:rsidR="001B7F77" w:rsidRPr="001B7F77" w:rsidRDefault="001B7F77" w:rsidP="001B7F77">
      <w:pPr>
        <w:widowControl w:val="0"/>
        <w:suppressAutoHyphens/>
        <w:spacing w:before="120" w:line="360" w:lineRule="auto"/>
        <w:ind w:left="360"/>
        <w:jc w:val="left"/>
        <w:rPr>
          <w:szCs w:val="24"/>
          <w:u w:val="single"/>
        </w:rPr>
      </w:pPr>
      <w:r w:rsidRPr="001B7F77">
        <w:rPr>
          <w:b/>
          <w:szCs w:val="24"/>
          <w:u w:val="single"/>
        </w:rPr>
        <w:t>SPECIAL INSPECTOR.</w:t>
      </w:r>
    </w:p>
    <w:p w14:paraId="2EFE6288" w14:textId="77777777" w:rsidR="001B7F77" w:rsidRPr="001B7F77" w:rsidRDefault="001B7F77" w:rsidP="001B7F77">
      <w:pPr>
        <w:widowControl w:val="0"/>
        <w:suppressAutoHyphens/>
        <w:spacing w:before="120" w:line="360" w:lineRule="auto"/>
        <w:ind w:left="360"/>
        <w:jc w:val="left"/>
        <w:rPr>
          <w:szCs w:val="24"/>
          <w:u w:val="single"/>
        </w:rPr>
      </w:pPr>
      <w:r w:rsidRPr="001B7F77">
        <w:rPr>
          <w:b/>
          <w:szCs w:val="24"/>
          <w:u w:val="single"/>
        </w:rPr>
        <w:t>STRUCTURE.</w:t>
      </w:r>
    </w:p>
    <w:p w14:paraId="7016D325" w14:textId="77777777" w:rsidR="001B7F77" w:rsidRPr="001B7F77" w:rsidRDefault="001B7F77" w:rsidP="001B7F77">
      <w:pPr>
        <w:widowControl w:val="0"/>
        <w:suppressAutoHyphens/>
        <w:spacing w:before="120" w:line="360" w:lineRule="auto"/>
        <w:ind w:left="360"/>
        <w:jc w:val="left"/>
        <w:rPr>
          <w:szCs w:val="24"/>
          <w:u w:val="single"/>
        </w:rPr>
      </w:pPr>
      <w:r w:rsidRPr="001B7F77">
        <w:rPr>
          <w:b/>
          <w:szCs w:val="24"/>
          <w:u w:val="single"/>
        </w:rPr>
        <w:t>SUBMITTAL DOCUMENTS.</w:t>
      </w:r>
    </w:p>
    <w:p w14:paraId="36AF272E" w14:textId="77777777" w:rsidR="001B7F77" w:rsidRPr="001B7F77" w:rsidRDefault="001B7F77" w:rsidP="001B7F77">
      <w:pPr>
        <w:widowControl w:val="0"/>
        <w:suppressAutoHyphens/>
        <w:spacing w:before="120" w:line="360" w:lineRule="auto"/>
        <w:ind w:left="360"/>
        <w:jc w:val="left"/>
        <w:rPr>
          <w:szCs w:val="24"/>
          <w:u w:val="single"/>
        </w:rPr>
      </w:pPr>
      <w:r w:rsidRPr="001B7F77">
        <w:rPr>
          <w:b/>
          <w:szCs w:val="24"/>
          <w:u w:val="single"/>
        </w:rPr>
        <w:t>SUPERINTENDENT OF CONSTRUCTION (CONSTRUCTION SUPERINTENDENT).</w:t>
      </w:r>
    </w:p>
    <w:p w14:paraId="787EE98C" w14:textId="77777777" w:rsidR="001B7F77" w:rsidRPr="001B7F77" w:rsidRDefault="001B7F77" w:rsidP="001B7F77">
      <w:pPr>
        <w:widowControl w:val="0"/>
        <w:suppressAutoHyphens/>
        <w:spacing w:before="120" w:line="360" w:lineRule="auto"/>
        <w:ind w:left="360"/>
        <w:jc w:val="left"/>
        <w:rPr>
          <w:szCs w:val="24"/>
          <w:u w:val="single"/>
        </w:rPr>
      </w:pPr>
      <w:r w:rsidRPr="001B7F77">
        <w:rPr>
          <w:b/>
          <w:szCs w:val="24"/>
          <w:u w:val="single"/>
        </w:rPr>
        <w:t>USE (USED).</w:t>
      </w:r>
    </w:p>
    <w:p w14:paraId="37D297E5" w14:textId="77777777" w:rsidR="001B7F77" w:rsidRPr="001B7F77" w:rsidRDefault="001B7F77" w:rsidP="001B7F77">
      <w:pPr>
        <w:widowControl w:val="0"/>
        <w:suppressAutoHyphens/>
        <w:spacing w:before="120" w:line="360" w:lineRule="auto"/>
        <w:ind w:left="360"/>
        <w:jc w:val="left"/>
        <w:rPr>
          <w:szCs w:val="24"/>
          <w:u w:val="single"/>
        </w:rPr>
      </w:pPr>
      <w:r w:rsidRPr="001B7F77">
        <w:rPr>
          <w:b/>
          <w:szCs w:val="24"/>
          <w:u w:val="single"/>
        </w:rPr>
        <w:t>UTILITY COMPANY OR PUBLIC UTILITY COMPANY.</w:t>
      </w:r>
    </w:p>
    <w:p w14:paraId="251A05BC" w14:textId="77777777" w:rsidR="001B7F77" w:rsidRPr="001B7F77" w:rsidRDefault="001B7F77" w:rsidP="001B7F77">
      <w:pPr>
        <w:widowControl w:val="0"/>
        <w:suppressAutoHyphens/>
        <w:spacing w:before="120" w:line="360" w:lineRule="auto"/>
        <w:ind w:left="360"/>
        <w:jc w:val="left"/>
        <w:rPr>
          <w:szCs w:val="24"/>
          <w:u w:val="single"/>
        </w:rPr>
      </w:pPr>
      <w:r w:rsidRPr="001B7F77">
        <w:rPr>
          <w:b/>
          <w:szCs w:val="24"/>
          <w:u w:val="single"/>
        </w:rPr>
        <w:t>UTILITY CORPORATION OR PUBLIC UTILITY CORPORATION.</w:t>
      </w:r>
    </w:p>
    <w:p w14:paraId="725AB318" w14:textId="77777777" w:rsidR="001B7F77" w:rsidRPr="001B7F77" w:rsidRDefault="001B7F77" w:rsidP="001B7F77">
      <w:pPr>
        <w:widowControl w:val="0"/>
        <w:suppressAutoHyphens/>
        <w:spacing w:before="120" w:line="360" w:lineRule="auto"/>
        <w:ind w:left="360"/>
        <w:jc w:val="left"/>
        <w:rPr>
          <w:b/>
          <w:bCs/>
          <w:w w:val="105"/>
          <w:szCs w:val="24"/>
          <w:u w:val="single"/>
        </w:rPr>
      </w:pPr>
      <w:r w:rsidRPr="001B7F77">
        <w:rPr>
          <w:b/>
          <w:szCs w:val="24"/>
          <w:u w:val="single"/>
        </w:rPr>
        <w:t>WORK NOT CONSTITUTING MINOR ALTERATIONS OR ORDINARY REPAIRS.</w:t>
      </w:r>
    </w:p>
    <w:p w14:paraId="1C958998" w14:textId="77777777" w:rsidR="001B7F77" w:rsidRPr="001B7F77" w:rsidRDefault="001B7F77" w:rsidP="001B7F77">
      <w:pPr>
        <w:widowControl w:val="0"/>
        <w:suppressAutoHyphens/>
        <w:spacing w:before="120" w:line="360" w:lineRule="auto"/>
        <w:ind w:left="360"/>
        <w:jc w:val="left"/>
        <w:rPr>
          <w:szCs w:val="24"/>
          <w:u w:val="single"/>
        </w:rPr>
      </w:pPr>
      <w:r w:rsidRPr="001B7F77">
        <w:rPr>
          <w:b/>
          <w:szCs w:val="24"/>
          <w:u w:val="single"/>
        </w:rPr>
        <w:t>WRITING (WRITTEN).</w:t>
      </w:r>
    </w:p>
    <w:p w14:paraId="2FCC5906" w14:textId="77777777" w:rsidR="001B7F77" w:rsidRPr="001B7F77" w:rsidRDefault="001B7F77" w:rsidP="001B7F77">
      <w:pPr>
        <w:widowControl w:val="0"/>
        <w:suppressAutoHyphens/>
        <w:spacing w:before="120" w:line="360" w:lineRule="auto"/>
        <w:ind w:left="360"/>
        <w:jc w:val="left"/>
        <w:rPr>
          <w:szCs w:val="24"/>
          <w:u w:val="single"/>
        </w:rPr>
      </w:pPr>
      <w:r w:rsidRPr="001B7F77">
        <w:rPr>
          <w:b/>
          <w:szCs w:val="24"/>
          <w:u w:val="single"/>
        </w:rPr>
        <w:t>WRITTEN NOTICE.</w:t>
      </w:r>
    </w:p>
    <w:p w14:paraId="4D7FF5A0" w14:textId="77777777" w:rsidR="001B7F77" w:rsidRPr="001B7F77" w:rsidRDefault="001B7F77" w:rsidP="001B7F77">
      <w:pPr>
        <w:widowControl w:val="0"/>
        <w:suppressAutoHyphens/>
        <w:spacing w:before="120" w:line="360" w:lineRule="auto"/>
        <w:ind w:left="360"/>
        <w:rPr>
          <w:szCs w:val="24"/>
          <w:u w:val="single"/>
        </w:rPr>
      </w:pPr>
      <w:r w:rsidRPr="001B7F77">
        <w:rPr>
          <w:b/>
          <w:szCs w:val="24"/>
          <w:u w:val="single"/>
        </w:rPr>
        <w:t>ZONING RESOLUTION.</w:t>
      </w:r>
    </w:p>
    <w:bookmarkEnd w:id="39"/>
    <w:p w14:paraId="40FEC8AD" w14:textId="77777777" w:rsidR="001B7F77" w:rsidRPr="001B7F77" w:rsidRDefault="001B7F77" w:rsidP="001B7F77">
      <w:pPr>
        <w:widowControl w:val="0"/>
        <w:suppressAutoHyphens/>
        <w:spacing w:before="120"/>
        <w:rPr>
          <w:szCs w:val="24"/>
          <w:u w:val="single"/>
        </w:rPr>
      </w:pPr>
      <w:r w:rsidRPr="001B7F77">
        <w:rPr>
          <w:b/>
          <w:szCs w:val="24"/>
          <w:u w:val="single"/>
        </w:rPr>
        <w:t>201.4 Terms not defined.</w:t>
      </w:r>
      <w:r w:rsidRPr="001B7F77">
        <w:rPr>
          <w:b/>
          <w:bCs/>
          <w:w w:val="105"/>
          <w:szCs w:val="24"/>
          <w:u w:val="single"/>
        </w:rPr>
        <w:t xml:space="preserve"> </w:t>
      </w:r>
      <w:r w:rsidRPr="001B7F77">
        <w:rPr>
          <w:szCs w:val="24"/>
          <w:u w:val="single"/>
        </w:rPr>
        <w:t>Where terms are not defined through the methods authorized by this section, such terms shall have ordinarily accepted meanings such as the context implies.</w:t>
      </w:r>
    </w:p>
    <w:p w14:paraId="09656E9E" w14:textId="77777777" w:rsidR="001B7F77" w:rsidRPr="001B7F77" w:rsidRDefault="001B7F77" w:rsidP="001B7F77">
      <w:pPr>
        <w:widowControl w:val="0"/>
        <w:suppressAutoHyphens/>
        <w:autoSpaceDE w:val="0"/>
        <w:autoSpaceDN w:val="0"/>
        <w:adjustRightInd w:val="0"/>
        <w:spacing w:before="120"/>
        <w:jc w:val="center"/>
        <w:outlineLvl w:val="0"/>
        <w:rPr>
          <w:b/>
          <w:bCs/>
          <w:szCs w:val="24"/>
          <w:u w:val="single"/>
        </w:rPr>
      </w:pPr>
      <w:r w:rsidRPr="001B7F77">
        <w:rPr>
          <w:b/>
          <w:bCs/>
          <w:szCs w:val="24"/>
          <w:u w:val="single"/>
        </w:rPr>
        <w:t xml:space="preserve">SECTION </w:t>
      </w:r>
      <w:r w:rsidRPr="001B7F77">
        <w:rPr>
          <w:b/>
          <w:bCs/>
          <w:color w:val="000000"/>
          <w:w w:val="105"/>
          <w:szCs w:val="24"/>
          <w:u w:val="single"/>
        </w:rPr>
        <w:t xml:space="preserve">EBC </w:t>
      </w:r>
      <w:r w:rsidRPr="001B7F77">
        <w:rPr>
          <w:b/>
          <w:bCs/>
          <w:szCs w:val="24"/>
          <w:u w:val="single"/>
        </w:rPr>
        <w:t>202</w:t>
      </w:r>
      <w:r w:rsidRPr="001B7F77">
        <w:rPr>
          <w:b/>
          <w:bCs/>
          <w:iCs/>
          <w:szCs w:val="24"/>
          <w:u w:val="single"/>
        </w:rPr>
        <w:br/>
      </w:r>
      <w:r w:rsidRPr="001B7F77">
        <w:rPr>
          <w:b/>
          <w:bCs/>
          <w:szCs w:val="24"/>
          <w:u w:val="single"/>
        </w:rPr>
        <w:t>DEFINITIONS</w:t>
      </w:r>
    </w:p>
    <w:p w14:paraId="135147BE" w14:textId="77777777" w:rsidR="001B7F77" w:rsidRPr="001B7F77" w:rsidRDefault="001B7F77" w:rsidP="001B7F77">
      <w:pPr>
        <w:widowControl w:val="0"/>
        <w:suppressAutoHyphens/>
        <w:autoSpaceDE w:val="0"/>
        <w:autoSpaceDN w:val="0"/>
        <w:adjustRightInd w:val="0"/>
        <w:spacing w:before="120"/>
        <w:jc w:val="center"/>
        <w:outlineLvl w:val="0"/>
        <w:rPr>
          <w:b/>
          <w:bCs/>
          <w:szCs w:val="24"/>
          <w:u w:val="single"/>
        </w:rPr>
      </w:pPr>
    </w:p>
    <w:p w14:paraId="3039FB2C" w14:textId="77777777" w:rsidR="001B7F77" w:rsidRPr="001B7F77" w:rsidRDefault="001B7F77" w:rsidP="001B7F77">
      <w:pPr>
        <w:suppressAutoHyphens/>
        <w:spacing w:before="120" w:line="360" w:lineRule="auto"/>
        <w:rPr>
          <w:szCs w:val="24"/>
          <w:u w:val="single"/>
        </w:rPr>
      </w:pPr>
      <w:bookmarkStart w:id="40" w:name="_Hlk57106558"/>
      <w:r w:rsidRPr="001B7F77">
        <w:rPr>
          <w:b/>
          <w:bCs/>
          <w:szCs w:val="24"/>
          <w:u w:val="single"/>
        </w:rPr>
        <w:t>1938 BUILDING CODE.</w:t>
      </w:r>
      <w:r w:rsidRPr="001B7F77">
        <w:rPr>
          <w:szCs w:val="24"/>
          <w:u w:val="single"/>
        </w:rPr>
        <w:t xml:space="preserve"> See Appendix D.</w:t>
      </w:r>
    </w:p>
    <w:bookmarkEnd w:id="40"/>
    <w:p w14:paraId="3B6594D6" w14:textId="77777777" w:rsidR="001B7F77" w:rsidRPr="001B7F77" w:rsidRDefault="001B7F77" w:rsidP="001B7F77">
      <w:pPr>
        <w:widowControl w:val="0"/>
        <w:autoSpaceDE w:val="0"/>
        <w:autoSpaceDN w:val="0"/>
        <w:adjustRightInd w:val="0"/>
        <w:spacing w:before="120"/>
        <w:rPr>
          <w:szCs w:val="24"/>
          <w:u w:val="single"/>
        </w:rPr>
      </w:pPr>
      <w:r w:rsidRPr="001B7F77">
        <w:rPr>
          <w:b/>
          <w:bCs/>
          <w:szCs w:val="24"/>
          <w:u w:val="single"/>
        </w:rPr>
        <w:t xml:space="preserve">1968 BUILDING CODE. </w:t>
      </w:r>
      <w:r w:rsidRPr="001B7F77">
        <w:rPr>
          <w:szCs w:val="24"/>
          <w:u w:val="single"/>
        </w:rPr>
        <w:t>The building laws and regulations in effect prior to July 1, 2008.</w:t>
      </w:r>
    </w:p>
    <w:p w14:paraId="430BA504" w14:textId="77777777" w:rsidR="001B7F77" w:rsidRPr="001B7F77" w:rsidRDefault="001B7F77" w:rsidP="001B7F77">
      <w:pPr>
        <w:widowControl w:val="0"/>
        <w:suppressAutoHyphens/>
        <w:kinsoku w:val="0"/>
        <w:spacing w:before="120"/>
        <w:rPr>
          <w:szCs w:val="24"/>
          <w:u w:val="single"/>
        </w:rPr>
      </w:pPr>
      <w:r w:rsidRPr="001B7F77">
        <w:rPr>
          <w:b/>
          <w:szCs w:val="24"/>
          <w:u w:val="single"/>
        </w:rPr>
        <w:t>ALTERATION</w:t>
      </w:r>
      <w:r w:rsidRPr="001B7F77">
        <w:rPr>
          <w:b/>
          <w:bCs/>
          <w:w w:val="105"/>
          <w:szCs w:val="24"/>
          <w:u w:val="single"/>
        </w:rPr>
        <w:t xml:space="preserve">. </w:t>
      </w:r>
      <w:r w:rsidRPr="001B7F77">
        <w:rPr>
          <w:szCs w:val="24"/>
          <w:u w:val="single"/>
        </w:rPr>
        <w:t>Any construction, addition, change of use or occupancy, relocation, moving or raising of an existing building or structure for the purpose of renovation or accommodation of a new use or function.</w:t>
      </w:r>
    </w:p>
    <w:p w14:paraId="30C66B09" w14:textId="77777777" w:rsidR="001B7F77" w:rsidRPr="001B7F77" w:rsidRDefault="001B7F77" w:rsidP="001B7F77">
      <w:pPr>
        <w:widowControl w:val="0"/>
        <w:suppressAutoHyphens/>
        <w:kinsoku w:val="0"/>
        <w:spacing w:before="120"/>
        <w:rPr>
          <w:szCs w:val="24"/>
        </w:rPr>
      </w:pPr>
      <w:r w:rsidRPr="001B7F77">
        <w:rPr>
          <w:b/>
          <w:bCs/>
          <w:szCs w:val="24"/>
          <w:u w:val="single"/>
        </w:rPr>
        <w:t>ALTERATION, LEVEL 1.</w:t>
      </w:r>
      <w:r w:rsidRPr="001B7F77">
        <w:rPr>
          <w:szCs w:val="24"/>
          <w:u w:val="single"/>
        </w:rPr>
        <w:t xml:space="preserve"> An alteration made to an existing building or structure, other than an addition, a change of occupancy or relocation, moving or raising of a building, where the work area does not exceed 50 percent of the building area. Such Level 1 Alteration shall be subject to Chapter 8.</w:t>
      </w:r>
    </w:p>
    <w:p w14:paraId="47051747" w14:textId="77777777" w:rsidR="001B7F77" w:rsidRPr="001B7F77" w:rsidRDefault="001B7F77" w:rsidP="001B7F77">
      <w:pPr>
        <w:widowControl w:val="0"/>
        <w:suppressAutoHyphens/>
        <w:kinsoku w:val="0"/>
        <w:spacing w:before="120"/>
        <w:rPr>
          <w:szCs w:val="24"/>
          <w:u w:val="single"/>
        </w:rPr>
      </w:pPr>
      <w:r w:rsidRPr="001B7F77">
        <w:rPr>
          <w:b/>
          <w:bCs/>
          <w:szCs w:val="24"/>
          <w:u w:val="single"/>
        </w:rPr>
        <w:t>ALTERATION, LEVEL 2.</w:t>
      </w:r>
      <w:r w:rsidRPr="001B7F77">
        <w:rPr>
          <w:szCs w:val="24"/>
          <w:u w:val="single"/>
        </w:rPr>
        <w:t xml:space="preserve"> An alteration made to an existing building or structure, other than an addition, a change of occupancy or relocation, moving or raising of a building, where the work exceeds 50 percent of the building area. Such Level 2 Alteration shall be subject to Chapter 9.</w:t>
      </w:r>
    </w:p>
    <w:p w14:paraId="295AE4EC" w14:textId="77777777" w:rsidR="001B7F77" w:rsidRPr="001B7F77" w:rsidRDefault="001B7F77" w:rsidP="001B7F77">
      <w:pPr>
        <w:widowControl w:val="0"/>
        <w:suppressAutoHyphens/>
        <w:spacing w:before="120"/>
        <w:rPr>
          <w:szCs w:val="24"/>
          <w:u w:val="single"/>
        </w:rPr>
      </w:pPr>
      <w:r w:rsidRPr="001B7F77">
        <w:rPr>
          <w:b/>
          <w:bCs/>
          <w:szCs w:val="24"/>
          <w:u w:val="single"/>
          <w:lang w:eastAsia="zh-CN"/>
        </w:rPr>
        <w:t>ALTERATION, LIMITED</w:t>
      </w:r>
      <w:r w:rsidRPr="001B7F77">
        <w:rPr>
          <w:szCs w:val="24"/>
          <w:u w:val="single"/>
          <w:lang w:eastAsia="zh-CN"/>
        </w:rPr>
        <w:t xml:space="preserve">. </w:t>
      </w:r>
      <w:r w:rsidRPr="001B7F77">
        <w:rPr>
          <w:szCs w:val="24"/>
          <w:u w:val="single"/>
        </w:rPr>
        <w:t>Alterations filed with the Department pursuant to Chapter 5. Such alteration shall not include any associated alteration that would otherwise require the filing of a plan by a registered design professional.</w:t>
      </w:r>
    </w:p>
    <w:p w14:paraId="1F0CFB51" w14:textId="77777777" w:rsidR="001B7F77" w:rsidRPr="001B7F77" w:rsidRDefault="001B7F77" w:rsidP="001B7F77">
      <w:pPr>
        <w:widowControl w:val="0"/>
        <w:spacing w:before="120"/>
        <w:rPr>
          <w:szCs w:val="24"/>
          <w:u w:val="single"/>
        </w:rPr>
      </w:pPr>
      <w:r w:rsidRPr="001B7F77">
        <w:rPr>
          <w:rFonts w:eastAsia="Calibri"/>
          <w:b/>
          <w:bCs/>
          <w:szCs w:val="24"/>
          <w:u w:val="single"/>
          <w:lang w:eastAsia="zh-CN"/>
        </w:rPr>
        <w:t>AREA, BUILDING.</w:t>
      </w:r>
      <w:r w:rsidRPr="001B7F77">
        <w:rPr>
          <w:szCs w:val="24"/>
          <w:u w:val="single"/>
        </w:rPr>
        <w:t xml:space="preserve"> For the purpose of calculating work area as a percentage of building area, building area shall be calculated to include the floor area of the entire building including above and below grade stories exclusive of vent shafts and courts. All measurements shall include thickness of exterior walls.</w:t>
      </w:r>
    </w:p>
    <w:p w14:paraId="50121423" w14:textId="77777777" w:rsidR="001B7F77" w:rsidRPr="001B7F77" w:rsidRDefault="001B7F77" w:rsidP="001B7F77">
      <w:pPr>
        <w:widowControl w:val="0"/>
        <w:autoSpaceDE w:val="0"/>
        <w:autoSpaceDN w:val="0"/>
        <w:adjustRightInd w:val="0"/>
        <w:spacing w:before="120"/>
        <w:rPr>
          <w:rFonts w:eastAsia="Times"/>
          <w:b/>
          <w:color w:val="000000"/>
          <w:szCs w:val="24"/>
          <w:u w:val="single"/>
        </w:rPr>
      </w:pPr>
      <w:bookmarkStart w:id="41" w:name="_Hlk81389593"/>
      <w:r w:rsidRPr="001B7F77">
        <w:rPr>
          <w:rFonts w:eastAsia="Times"/>
          <w:b/>
          <w:color w:val="000000"/>
          <w:szCs w:val="24"/>
          <w:u w:val="single"/>
        </w:rPr>
        <w:t xml:space="preserve">BASEMENT (MDL 4(38)). </w:t>
      </w:r>
      <w:r w:rsidRPr="001B7F77">
        <w:rPr>
          <w:szCs w:val="24"/>
          <w:u w:val="single"/>
        </w:rPr>
        <w:t>See Appendix D.</w:t>
      </w:r>
    </w:p>
    <w:bookmarkEnd w:id="41"/>
    <w:p w14:paraId="609B6804" w14:textId="77777777" w:rsidR="001B7F77" w:rsidRPr="001B7F77" w:rsidRDefault="001B7F77" w:rsidP="001B7F77">
      <w:pPr>
        <w:widowControl w:val="0"/>
        <w:autoSpaceDE w:val="0"/>
        <w:autoSpaceDN w:val="0"/>
        <w:adjustRightInd w:val="0"/>
        <w:spacing w:before="120"/>
        <w:rPr>
          <w:szCs w:val="24"/>
        </w:rPr>
      </w:pPr>
      <w:r w:rsidRPr="001B7F77">
        <w:rPr>
          <w:b/>
          <w:szCs w:val="24"/>
          <w:u w:val="single"/>
        </w:rPr>
        <w:t xml:space="preserve">BSE-1N. </w:t>
      </w:r>
      <w:r w:rsidRPr="001B7F77">
        <w:rPr>
          <w:szCs w:val="24"/>
          <w:u w:val="single"/>
        </w:rPr>
        <w:t>An acronym for an earthquake type described</w:t>
      </w:r>
      <w:r w:rsidRPr="001B7F77">
        <w:rPr>
          <w:b/>
          <w:szCs w:val="24"/>
          <w:u w:val="single"/>
        </w:rPr>
        <w:t xml:space="preserve"> </w:t>
      </w:r>
      <w:r w:rsidRPr="001B7F77">
        <w:rPr>
          <w:szCs w:val="24"/>
          <w:u w:val="single"/>
        </w:rPr>
        <w:t>in ASCE 41, the Basic Safety Earthquake-1 for use with the Basic Performance Objective to New Building Standards and taken as two thirds of BSE-2N at a site.</w:t>
      </w:r>
    </w:p>
    <w:p w14:paraId="44F25179" w14:textId="77777777" w:rsidR="001B7F77" w:rsidRPr="001B7F77" w:rsidRDefault="001B7F77" w:rsidP="001B7F77">
      <w:pPr>
        <w:widowControl w:val="0"/>
        <w:autoSpaceDE w:val="0"/>
        <w:autoSpaceDN w:val="0"/>
        <w:adjustRightInd w:val="0"/>
        <w:spacing w:before="120"/>
        <w:rPr>
          <w:szCs w:val="24"/>
        </w:rPr>
      </w:pPr>
      <w:r w:rsidRPr="001B7F77">
        <w:rPr>
          <w:b/>
          <w:szCs w:val="24"/>
          <w:u w:val="single"/>
        </w:rPr>
        <w:t xml:space="preserve">BSE-2N. </w:t>
      </w:r>
      <w:r w:rsidRPr="001B7F77">
        <w:rPr>
          <w:szCs w:val="24"/>
          <w:u w:val="single"/>
        </w:rPr>
        <w:t>An acronym for an earthquake type described</w:t>
      </w:r>
      <w:r w:rsidRPr="001B7F77">
        <w:rPr>
          <w:b/>
          <w:szCs w:val="24"/>
          <w:u w:val="single"/>
        </w:rPr>
        <w:t xml:space="preserve"> </w:t>
      </w:r>
      <w:r w:rsidRPr="001B7F77">
        <w:rPr>
          <w:szCs w:val="24"/>
          <w:u w:val="single"/>
        </w:rPr>
        <w:t>in ASCE 41, the Basic Safety Earthquake-2.</w:t>
      </w:r>
    </w:p>
    <w:p w14:paraId="1F2C57A4" w14:textId="77777777" w:rsidR="001B7F77" w:rsidRPr="001B7F77" w:rsidRDefault="001B7F77" w:rsidP="001B7F77">
      <w:pPr>
        <w:widowControl w:val="0"/>
        <w:autoSpaceDE w:val="0"/>
        <w:autoSpaceDN w:val="0"/>
        <w:adjustRightInd w:val="0"/>
        <w:spacing w:before="120"/>
        <w:rPr>
          <w:szCs w:val="24"/>
          <w:u w:val="single"/>
        </w:rPr>
      </w:pPr>
      <w:r w:rsidRPr="001B7F77">
        <w:rPr>
          <w:b/>
          <w:caps/>
          <w:szCs w:val="24"/>
          <w:u w:val="single"/>
        </w:rPr>
        <w:t xml:space="preserve">BUILDING, MOVED. </w:t>
      </w:r>
      <w:r w:rsidRPr="001B7F77">
        <w:rPr>
          <w:szCs w:val="24"/>
          <w:u w:val="single"/>
        </w:rPr>
        <w:t>A building that is moved horizontally within the same lot.</w:t>
      </w:r>
    </w:p>
    <w:p w14:paraId="032AE967" w14:textId="77777777" w:rsidR="001B7F77" w:rsidRPr="001B7F77" w:rsidRDefault="001B7F77" w:rsidP="001B7F77">
      <w:pPr>
        <w:widowControl w:val="0"/>
        <w:autoSpaceDE w:val="0"/>
        <w:autoSpaceDN w:val="0"/>
        <w:adjustRightInd w:val="0"/>
        <w:spacing w:before="120"/>
        <w:rPr>
          <w:b/>
          <w:caps/>
          <w:szCs w:val="24"/>
        </w:rPr>
      </w:pPr>
      <w:r w:rsidRPr="001B7F77">
        <w:rPr>
          <w:b/>
          <w:caps/>
          <w:szCs w:val="24"/>
          <w:u w:val="single"/>
        </w:rPr>
        <w:t xml:space="preserve">BUILDING, RAISED. </w:t>
      </w:r>
      <w:r w:rsidRPr="001B7F77">
        <w:rPr>
          <w:bCs/>
          <w:szCs w:val="24"/>
          <w:u w:val="single"/>
        </w:rPr>
        <w:t>A building or portion thereof that is raised vertically by disconnecting it from its foundation or structural supports</w:t>
      </w:r>
      <w:r w:rsidRPr="001B7F77">
        <w:rPr>
          <w:bCs/>
          <w:caps/>
          <w:szCs w:val="24"/>
          <w:u w:val="single"/>
        </w:rPr>
        <w:t>.</w:t>
      </w:r>
    </w:p>
    <w:p w14:paraId="2048B816" w14:textId="77777777" w:rsidR="001B7F77" w:rsidRPr="001B7F77" w:rsidRDefault="001B7F77" w:rsidP="001B7F77">
      <w:pPr>
        <w:widowControl w:val="0"/>
        <w:autoSpaceDE w:val="0"/>
        <w:autoSpaceDN w:val="0"/>
        <w:adjustRightInd w:val="0"/>
        <w:spacing w:before="120"/>
        <w:rPr>
          <w:szCs w:val="24"/>
        </w:rPr>
      </w:pPr>
      <w:bookmarkStart w:id="42" w:name="_Hlk80279575"/>
      <w:r w:rsidRPr="001B7F77">
        <w:rPr>
          <w:b/>
          <w:caps/>
          <w:szCs w:val="24"/>
          <w:u w:val="single"/>
        </w:rPr>
        <w:t>BUILDING, RELOCATED.</w:t>
      </w:r>
      <w:r w:rsidRPr="001B7F77">
        <w:rPr>
          <w:szCs w:val="24"/>
          <w:u w:val="single"/>
        </w:rPr>
        <w:t xml:space="preserve"> A building or portion thereof</w:t>
      </w:r>
      <w:r w:rsidRPr="001B7F77">
        <w:rPr>
          <w:b/>
          <w:caps/>
          <w:szCs w:val="24"/>
          <w:u w:val="single"/>
        </w:rPr>
        <w:t xml:space="preserve"> </w:t>
      </w:r>
      <w:r w:rsidRPr="001B7F77">
        <w:rPr>
          <w:szCs w:val="24"/>
          <w:u w:val="single"/>
        </w:rPr>
        <w:t>that is relocated to a different lot on new foundation.</w:t>
      </w:r>
    </w:p>
    <w:p w14:paraId="20CAE928" w14:textId="77777777" w:rsidR="001B7F77" w:rsidRPr="001B7F77" w:rsidRDefault="001B7F77" w:rsidP="001B7F77">
      <w:pPr>
        <w:widowControl w:val="0"/>
        <w:autoSpaceDE w:val="0"/>
        <w:autoSpaceDN w:val="0"/>
        <w:adjustRightInd w:val="0"/>
        <w:spacing w:before="120"/>
        <w:rPr>
          <w:szCs w:val="24"/>
        </w:rPr>
      </w:pPr>
      <w:bookmarkStart w:id="43" w:name="_Hlk80279569"/>
      <w:bookmarkEnd w:id="42"/>
      <w:r w:rsidRPr="001B7F77">
        <w:rPr>
          <w:b/>
          <w:caps/>
          <w:szCs w:val="24"/>
          <w:u w:val="single"/>
        </w:rPr>
        <w:t>BUILDING, RELOCATABLE.</w:t>
      </w:r>
      <w:r w:rsidRPr="001B7F77">
        <w:rPr>
          <w:b/>
          <w:bCs/>
          <w:szCs w:val="24"/>
          <w:u w:val="single"/>
        </w:rPr>
        <w:t xml:space="preserve"> </w:t>
      </w:r>
      <w:r w:rsidRPr="001B7F77">
        <w:rPr>
          <w:szCs w:val="24"/>
          <w:u w:val="single"/>
        </w:rPr>
        <w:t>A partially or completely assembled building constructed and designed to be reused multiple times and transported to different sites.</w:t>
      </w:r>
    </w:p>
    <w:bookmarkEnd w:id="43"/>
    <w:p w14:paraId="235F60C0" w14:textId="77777777" w:rsidR="001B7F77" w:rsidRPr="001B7F77" w:rsidRDefault="001B7F77" w:rsidP="001B7F77">
      <w:pPr>
        <w:widowControl w:val="0"/>
        <w:autoSpaceDE w:val="0"/>
        <w:autoSpaceDN w:val="0"/>
        <w:adjustRightInd w:val="0"/>
        <w:spacing w:before="120"/>
        <w:rPr>
          <w:bCs/>
          <w:caps/>
          <w:szCs w:val="24"/>
          <w:u w:val="single"/>
        </w:rPr>
      </w:pPr>
      <w:r w:rsidRPr="001B7F77">
        <w:rPr>
          <w:b/>
          <w:caps/>
          <w:szCs w:val="24"/>
          <w:u w:val="single"/>
        </w:rPr>
        <w:t>CELLAR (MDL 4(37)).</w:t>
      </w:r>
      <w:r w:rsidRPr="001B7F77">
        <w:rPr>
          <w:bCs/>
          <w:caps/>
          <w:szCs w:val="24"/>
          <w:u w:val="single"/>
        </w:rPr>
        <w:t xml:space="preserve"> </w:t>
      </w:r>
      <w:r w:rsidRPr="001B7F77">
        <w:rPr>
          <w:szCs w:val="24"/>
          <w:u w:val="single"/>
        </w:rPr>
        <w:t>See Appendix D.</w:t>
      </w:r>
    </w:p>
    <w:p w14:paraId="1D0F6897" w14:textId="77777777" w:rsidR="001B7F77" w:rsidRPr="001B7F77" w:rsidRDefault="001B7F77" w:rsidP="001B7F77">
      <w:pPr>
        <w:widowControl w:val="0"/>
        <w:autoSpaceDE w:val="0"/>
        <w:autoSpaceDN w:val="0"/>
        <w:adjustRightInd w:val="0"/>
        <w:spacing w:before="120"/>
        <w:rPr>
          <w:szCs w:val="24"/>
        </w:rPr>
      </w:pPr>
      <w:r w:rsidRPr="001B7F77">
        <w:rPr>
          <w:b/>
          <w:caps/>
          <w:szCs w:val="24"/>
          <w:u w:val="single"/>
        </w:rPr>
        <w:t>CHANGE OF OCCUPANCY.</w:t>
      </w:r>
      <w:r w:rsidRPr="001B7F77">
        <w:rPr>
          <w:b/>
          <w:bCs/>
          <w:szCs w:val="24"/>
          <w:u w:val="single"/>
        </w:rPr>
        <w:t xml:space="preserve"> </w:t>
      </w:r>
      <w:r w:rsidRPr="001B7F77">
        <w:rPr>
          <w:szCs w:val="24"/>
          <w:u w:val="single"/>
        </w:rPr>
        <w:t>A change in the use of the building or a portion of a building. A change of occupancy shall include any change of occupancy classification, any change from one group to another group within an occupancy classification or any change in use within a group for a specific occupancy classification, subject to Chapter 10.</w:t>
      </w:r>
    </w:p>
    <w:p w14:paraId="732C1D3A" w14:textId="77777777" w:rsidR="001B7F77" w:rsidRPr="001B7F77" w:rsidRDefault="001B7F77" w:rsidP="001B7F77">
      <w:pPr>
        <w:widowControl w:val="0"/>
        <w:autoSpaceDE w:val="0"/>
        <w:autoSpaceDN w:val="0"/>
        <w:adjustRightInd w:val="0"/>
        <w:spacing w:before="120"/>
        <w:jc w:val="left"/>
        <w:rPr>
          <w:b/>
          <w:bCs/>
          <w:szCs w:val="24"/>
          <w:u w:val="single"/>
        </w:rPr>
      </w:pPr>
      <w:r w:rsidRPr="001B7F77">
        <w:rPr>
          <w:b/>
          <w:bCs/>
          <w:szCs w:val="24"/>
          <w:u w:val="single"/>
        </w:rPr>
        <w:t xml:space="preserve">CLASS A MULTIPLE DWELLING (MDL 4(8)). </w:t>
      </w:r>
      <w:r w:rsidRPr="001B7F77">
        <w:rPr>
          <w:szCs w:val="24"/>
          <w:u w:val="single"/>
        </w:rPr>
        <w:t>See Appendix D.</w:t>
      </w:r>
    </w:p>
    <w:p w14:paraId="7E6A38FF" w14:textId="77777777" w:rsidR="001B7F77" w:rsidRPr="001B7F77" w:rsidRDefault="001B7F77" w:rsidP="001B7F77">
      <w:pPr>
        <w:widowControl w:val="0"/>
        <w:autoSpaceDE w:val="0"/>
        <w:autoSpaceDN w:val="0"/>
        <w:adjustRightInd w:val="0"/>
        <w:spacing w:before="120"/>
        <w:jc w:val="left"/>
        <w:rPr>
          <w:b/>
          <w:bCs/>
          <w:szCs w:val="24"/>
          <w:u w:val="single"/>
        </w:rPr>
      </w:pPr>
      <w:r w:rsidRPr="001B7F77">
        <w:rPr>
          <w:b/>
          <w:bCs/>
          <w:szCs w:val="24"/>
          <w:u w:val="single"/>
        </w:rPr>
        <w:t xml:space="preserve">CLASS B MULTIPLE DWELLING (MDL 4(9)). </w:t>
      </w:r>
      <w:r w:rsidRPr="001B7F77">
        <w:rPr>
          <w:szCs w:val="24"/>
          <w:u w:val="single"/>
        </w:rPr>
        <w:t>See Appendix D.</w:t>
      </w:r>
    </w:p>
    <w:p w14:paraId="4C198373" w14:textId="77777777" w:rsidR="001B7F77" w:rsidRPr="001B7F77" w:rsidRDefault="001B7F77" w:rsidP="001B7F77">
      <w:pPr>
        <w:widowControl w:val="0"/>
        <w:autoSpaceDE w:val="0"/>
        <w:autoSpaceDN w:val="0"/>
        <w:adjustRightInd w:val="0"/>
        <w:spacing w:before="120"/>
        <w:jc w:val="left"/>
        <w:rPr>
          <w:b/>
          <w:bCs/>
          <w:szCs w:val="24"/>
          <w:u w:val="single"/>
        </w:rPr>
      </w:pPr>
      <w:r w:rsidRPr="001B7F77">
        <w:rPr>
          <w:b/>
          <w:bCs/>
          <w:szCs w:val="24"/>
          <w:u w:val="single"/>
        </w:rPr>
        <w:t xml:space="preserve">CONVERTED DWELLING (MDL 4(10)). </w:t>
      </w:r>
      <w:r w:rsidRPr="001B7F77">
        <w:rPr>
          <w:szCs w:val="24"/>
          <w:u w:val="single"/>
        </w:rPr>
        <w:t>See Appendix D.</w:t>
      </w:r>
    </w:p>
    <w:p w14:paraId="09D4B383" w14:textId="77777777" w:rsidR="001B7F77" w:rsidRPr="001B7F77" w:rsidRDefault="001B7F77" w:rsidP="001B7F77">
      <w:pPr>
        <w:widowControl w:val="0"/>
        <w:autoSpaceDE w:val="0"/>
        <w:autoSpaceDN w:val="0"/>
        <w:adjustRightInd w:val="0"/>
        <w:spacing w:before="120"/>
        <w:jc w:val="left"/>
        <w:rPr>
          <w:b/>
          <w:bCs/>
          <w:szCs w:val="24"/>
          <w:u w:val="single"/>
        </w:rPr>
      </w:pPr>
      <w:r w:rsidRPr="001B7F77">
        <w:rPr>
          <w:b/>
          <w:bCs/>
          <w:szCs w:val="24"/>
          <w:u w:val="single"/>
        </w:rPr>
        <w:t xml:space="preserve">COURT (MDL 4(32)). </w:t>
      </w:r>
      <w:r w:rsidRPr="001B7F77">
        <w:rPr>
          <w:szCs w:val="24"/>
          <w:u w:val="single"/>
        </w:rPr>
        <w:t>See Appendix D.</w:t>
      </w:r>
    </w:p>
    <w:p w14:paraId="3FF76F2C" w14:textId="77777777" w:rsidR="001B7F77" w:rsidRPr="001B7F77" w:rsidRDefault="001B7F77" w:rsidP="001B7F77">
      <w:pPr>
        <w:widowControl w:val="0"/>
        <w:autoSpaceDE w:val="0"/>
        <w:autoSpaceDN w:val="0"/>
        <w:adjustRightInd w:val="0"/>
        <w:spacing w:before="120"/>
        <w:jc w:val="left"/>
        <w:rPr>
          <w:b/>
          <w:bCs/>
          <w:szCs w:val="24"/>
          <w:u w:val="single"/>
        </w:rPr>
      </w:pPr>
      <w:r w:rsidRPr="001B7F77">
        <w:rPr>
          <w:b/>
          <w:bCs/>
          <w:szCs w:val="24"/>
          <w:u w:val="single"/>
        </w:rPr>
        <w:t xml:space="preserve">COURT, INNER (MDL 4(32)). </w:t>
      </w:r>
      <w:r w:rsidRPr="001B7F77">
        <w:rPr>
          <w:szCs w:val="24"/>
          <w:u w:val="single"/>
        </w:rPr>
        <w:t>See Appendix D.</w:t>
      </w:r>
    </w:p>
    <w:p w14:paraId="1270C8DF" w14:textId="77777777" w:rsidR="001B7F77" w:rsidRPr="001B7F77" w:rsidRDefault="001B7F77" w:rsidP="001B7F77">
      <w:pPr>
        <w:widowControl w:val="0"/>
        <w:autoSpaceDE w:val="0"/>
        <w:autoSpaceDN w:val="0"/>
        <w:adjustRightInd w:val="0"/>
        <w:spacing w:before="120"/>
        <w:jc w:val="left"/>
        <w:rPr>
          <w:b/>
          <w:bCs/>
          <w:szCs w:val="24"/>
          <w:u w:val="single"/>
        </w:rPr>
      </w:pPr>
      <w:r w:rsidRPr="001B7F77">
        <w:rPr>
          <w:b/>
          <w:bCs/>
          <w:szCs w:val="24"/>
          <w:u w:val="single"/>
        </w:rPr>
        <w:t xml:space="preserve">COURT, OUTER (MDL 4(32)). </w:t>
      </w:r>
      <w:r w:rsidRPr="001B7F77">
        <w:rPr>
          <w:szCs w:val="24"/>
          <w:u w:val="single"/>
        </w:rPr>
        <w:t>See Appendix D.</w:t>
      </w:r>
    </w:p>
    <w:p w14:paraId="0BD6DD58" w14:textId="77777777" w:rsidR="001B7F77" w:rsidRPr="001B7F77" w:rsidRDefault="001B7F77" w:rsidP="001B7F77">
      <w:pPr>
        <w:widowControl w:val="0"/>
        <w:autoSpaceDE w:val="0"/>
        <w:autoSpaceDN w:val="0"/>
        <w:adjustRightInd w:val="0"/>
        <w:spacing w:before="120"/>
        <w:jc w:val="left"/>
        <w:rPr>
          <w:b/>
          <w:bCs/>
          <w:szCs w:val="24"/>
          <w:u w:val="single"/>
        </w:rPr>
      </w:pPr>
      <w:r w:rsidRPr="001B7F77">
        <w:rPr>
          <w:b/>
          <w:bCs/>
          <w:szCs w:val="24"/>
          <w:u w:val="single"/>
        </w:rPr>
        <w:t xml:space="preserve">CUBICLE (MDL 4(21)). </w:t>
      </w:r>
      <w:r w:rsidRPr="001B7F77">
        <w:rPr>
          <w:szCs w:val="24"/>
          <w:u w:val="single"/>
        </w:rPr>
        <w:t>See Appendix D.</w:t>
      </w:r>
    </w:p>
    <w:p w14:paraId="4CF633A3" w14:textId="77777777" w:rsidR="001B7F77" w:rsidRPr="001B7F77" w:rsidRDefault="001B7F77" w:rsidP="001B7F77">
      <w:pPr>
        <w:widowControl w:val="0"/>
        <w:autoSpaceDE w:val="0"/>
        <w:autoSpaceDN w:val="0"/>
        <w:adjustRightInd w:val="0"/>
        <w:spacing w:before="120"/>
        <w:jc w:val="left"/>
        <w:rPr>
          <w:b/>
          <w:bCs/>
          <w:szCs w:val="24"/>
          <w:u w:val="single"/>
        </w:rPr>
      </w:pPr>
      <w:r w:rsidRPr="001B7F77">
        <w:rPr>
          <w:b/>
          <w:bCs/>
          <w:szCs w:val="24"/>
          <w:u w:val="single"/>
        </w:rPr>
        <w:t xml:space="preserve">CURB LEVEL (MDL 4(33)). </w:t>
      </w:r>
      <w:r w:rsidRPr="001B7F77">
        <w:rPr>
          <w:szCs w:val="24"/>
          <w:u w:val="single"/>
        </w:rPr>
        <w:t>See Appendix D.</w:t>
      </w:r>
    </w:p>
    <w:p w14:paraId="1C27D6AC" w14:textId="77777777" w:rsidR="001B7F77" w:rsidRPr="001B7F77" w:rsidRDefault="001B7F77" w:rsidP="001B7F77">
      <w:pPr>
        <w:widowControl w:val="0"/>
        <w:autoSpaceDE w:val="0"/>
        <w:autoSpaceDN w:val="0"/>
        <w:adjustRightInd w:val="0"/>
        <w:spacing w:before="120"/>
        <w:rPr>
          <w:szCs w:val="24"/>
          <w:u w:val="single"/>
        </w:rPr>
      </w:pPr>
      <w:bookmarkStart w:id="44" w:name="_Toc389064722"/>
      <w:r w:rsidRPr="001B7F77">
        <w:rPr>
          <w:b/>
          <w:caps/>
          <w:szCs w:val="24"/>
          <w:u w:val="single"/>
        </w:rPr>
        <w:t>DANGEROUS.</w:t>
      </w:r>
      <w:bookmarkEnd w:id="44"/>
      <w:r w:rsidRPr="001B7F77">
        <w:rPr>
          <w:b/>
          <w:bCs/>
          <w:szCs w:val="24"/>
          <w:u w:val="single"/>
        </w:rPr>
        <w:t xml:space="preserve"> </w:t>
      </w:r>
      <w:r w:rsidRPr="001B7F77">
        <w:rPr>
          <w:szCs w:val="24"/>
          <w:u w:val="single"/>
        </w:rPr>
        <w:t>Any building, structure or portion thereof that meets any of the conditions described below shall be deemed dangerous:</w:t>
      </w:r>
    </w:p>
    <w:p w14:paraId="3F6351E3" w14:textId="77777777" w:rsidR="001B7F77" w:rsidRPr="001B7F77" w:rsidRDefault="001B7F77" w:rsidP="001B7F77">
      <w:pPr>
        <w:widowControl w:val="0"/>
        <w:tabs>
          <w:tab w:val="left" w:pos="720"/>
        </w:tabs>
        <w:autoSpaceDE w:val="0"/>
        <w:autoSpaceDN w:val="0"/>
        <w:adjustRightInd w:val="0"/>
        <w:spacing w:before="120"/>
        <w:ind w:left="720" w:hanging="360"/>
        <w:rPr>
          <w:color w:val="000000"/>
          <w:szCs w:val="24"/>
          <w:u w:val="single"/>
        </w:rPr>
      </w:pPr>
      <w:r w:rsidRPr="001B7F77">
        <w:rPr>
          <w:color w:val="000000"/>
          <w:szCs w:val="24"/>
          <w:u w:val="single"/>
        </w:rPr>
        <w:t>1.</w:t>
      </w:r>
      <w:r w:rsidRPr="001B7F77">
        <w:rPr>
          <w:color w:val="000000"/>
          <w:szCs w:val="24"/>
          <w:u w:val="single"/>
        </w:rPr>
        <w:tab/>
        <w:t>The building or structure has collapsed, has partially collapsed, has moved off its foundation; is excessively leaning, bowing, or bulging; or lacks the necessary support of the ground.</w:t>
      </w:r>
    </w:p>
    <w:p w14:paraId="60493D4A" w14:textId="77777777" w:rsidR="001B7F77" w:rsidRPr="001B7F77" w:rsidRDefault="001B7F77" w:rsidP="001B7F77">
      <w:pPr>
        <w:widowControl w:val="0"/>
        <w:tabs>
          <w:tab w:val="left" w:pos="720"/>
        </w:tabs>
        <w:autoSpaceDE w:val="0"/>
        <w:autoSpaceDN w:val="0"/>
        <w:adjustRightInd w:val="0"/>
        <w:spacing w:before="120"/>
        <w:ind w:left="720" w:hanging="360"/>
        <w:rPr>
          <w:color w:val="000000"/>
          <w:szCs w:val="24"/>
          <w:u w:val="single"/>
        </w:rPr>
      </w:pPr>
      <w:r w:rsidRPr="001B7F77">
        <w:rPr>
          <w:color w:val="000000"/>
          <w:szCs w:val="24"/>
          <w:u w:val="single"/>
        </w:rPr>
        <w:t>2.</w:t>
      </w:r>
      <w:r w:rsidRPr="001B7F77">
        <w:rPr>
          <w:color w:val="000000"/>
          <w:szCs w:val="24"/>
          <w:u w:val="single"/>
        </w:rPr>
        <w:tab/>
        <w:t>There exists a significant risk of collapse, detachment or dislodgement of any portion, member, wall, appurtenance or ornamentation of the building or structure.</w:t>
      </w:r>
    </w:p>
    <w:p w14:paraId="74C13930" w14:textId="77777777" w:rsidR="001B7F77" w:rsidRPr="001B7F77" w:rsidRDefault="001B7F77" w:rsidP="001B7F77">
      <w:pPr>
        <w:widowControl w:val="0"/>
        <w:autoSpaceDE w:val="0"/>
        <w:autoSpaceDN w:val="0"/>
        <w:adjustRightInd w:val="0"/>
        <w:spacing w:before="120"/>
        <w:rPr>
          <w:szCs w:val="24"/>
        </w:rPr>
      </w:pPr>
      <w:bookmarkStart w:id="45" w:name="_Toc389064723"/>
      <w:r w:rsidRPr="001B7F77">
        <w:rPr>
          <w:b/>
          <w:szCs w:val="24"/>
          <w:u w:val="single"/>
        </w:rPr>
        <w:t xml:space="preserve">DEMAND. </w:t>
      </w:r>
      <w:r w:rsidRPr="001B7F77">
        <w:rPr>
          <w:szCs w:val="24"/>
          <w:u w:val="single"/>
        </w:rPr>
        <w:t xml:space="preserve">Loads and deflections imposed on structural elements in accordance with the load combinations of the </w:t>
      </w:r>
      <w:r w:rsidRPr="001B7F77">
        <w:rPr>
          <w:i/>
          <w:szCs w:val="24"/>
          <w:u w:val="single"/>
        </w:rPr>
        <w:t>New York City Building Code</w:t>
      </w:r>
      <w:r w:rsidRPr="001B7F77">
        <w:rPr>
          <w:szCs w:val="24"/>
          <w:u w:val="single"/>
        </w:rPr>
        <w:t>.</w:t>
      </w:r>
    </w:p>
    <w:p w14:paraId="33BBE990" w14:textId="77777777" w:rsidR="001B7F77" w:rsidRPr="001B7F77" w:rsidRDefault="001B7F77" w:rsidP="001B7F77">
      <w:pPr>
        <w:widowControl w:val="0"/>
        <w:autoSpaceDE w:val="0"/>
        <w:autoSpaceDN w:val="0"/>
        <w:adjustRightInd w:val="0"/>
        <w:spacing w:before="120"/>
        <w:rPr>
          <w:szCs w:val="24"/>
        </w:rPr>
      </w:pPr>
      <w:r w:rsidRPr="001B7F77">
        <w:rPr>
          <w:b/>
          <w:szCs w:val="24"/>
          <w:u w:val="single"/>
        </w:rPr>
        <w:t xml:space="preserve">DEMAND CAPACITY RATIO. </w:t>
      </w:r>
      <w:r w:rsidRPr="001B7F77">
        <w:rPr>
          <w:szCs w:val="24"/>
          <w:u w:val="single"/>
        </w:rPr>
        <w:t>The numeric ratio of demand divided by the capacity of a structural system, member or connection.</w:t>
      </w:r>
    </w:p>
    <w:p w14:paraId="4AFC0E5B" w14:textId="77777777" w:rsidR="001B7F77" w:rsidRPr="001B7F77" w:rsidRDefault="001B7F77" w:rsidP="001B7F77">
      <w:pPr>
        <w:widowControl w:val="0"/>
        <w:autoSpaceDE w:val="0"/>
        <w:autoSpaceDN w:val="0"/>
        <w:adjustRightInd w:val="0"/>
        <w:spacing w:before="120"/>
        <w:jc w:val="left"/>
        <w:rPr>
          <w:b/>
          <w:bCs/>
          <w:szCs w:val="24"/>
          <w:u w:val="single"/>
        </w:rPr>
      </w:pPr>
      <w:r w:rsidRPr="001B7F77">
        <w:rPr>
          <w:b/>
          <w:bCs/>
          <w:szCs w:val="24"/>
          <w:u w:val="single"/>
        </w:rPr>
        <w:t xml:space="preserve">DWELLING (MDL 4(4)). </w:t>
      </w:r>
      <w:r w:rsidRPr="001B7F77">
        <w:rPr>
          <w:szCs w:val="24"/>
          <w:u w:val="single"/>
        </w:rPr>
        <w:t>See Appendix D.</w:t>
      </w:r>
    </w:p>
    <w:p w14:paraId="42BF991E" w14:textId="77777777" w:rsidR="001B7F77" w:rsidRPr="001B7F77" w:rsidRDefault="001B7F77" w:rsidP="001B7F77">
      <w:pPr>
        <w:widowControl w:val="0"/>
        <w:autoSpaceDE w:val="0"/>
        <w:autoSpaceDN w:val="0"/>
        <w:adjustRightInd w:val="0"/>
        <w:spacing w:before="120"/>
        <w:jc w:val="left"/>
        <w:rPr>
          <w:szCs w:val="24"/>
          <w:u w:val="single"/>
        </w:rPr>
      </w:pPr>
      <w:r w:rsidRPr="001B7F77">
        <w:rPr>
          <w:b/>
          <w:bCs/>
          <w:szCs w:val="24"/>
          <w:u w:val="single"/>
        </w:rPr>
        <w:t xml:space="preserve">DWELLING UNIT. </w:t>
      </w:r>
      <w:r w:rsidRPr="001B7F77">
        <w:rPr>
          <w:szCs w:val="24"/>
          <w:u w:val="single"/>
        </w:rPr>
        <w:t>See Appendix D.</w:t>
      </w:r>
    </w:p>
    <w:p w14:paraId="4B61E87E" w14:textId="77777777" w:rsidR="001B7F77" w:rsidRPr="001B7F77" w:rsidRDefault="001B7F77" w:rsidP="001B7F77">
      <w:pPr>
        <w:widowControl w:val="0"/>
        <w:suppressAutoHyphens/>
        <w:autoSpaceDE w:val="0"/>
        <w:autoSpaceDN w:val="0"/>
        <w:adjustRightInd w:val="0"/>
        <w:spacing w:before="120"/>
        <w:rPr>
          <w:szCs w:val="24"/>
        </w:rPr>
      </w:pPr>
      <w:bookmarkStart w:id="46" w:name="_Toc389064724"/>
      <w:bookmarkEnd w:id="45"/>
      <w:r w:rsidRPr="001B7F77">
        <w:rPr>
          <w:b/>
          <w:bCs/>
          <w:szCs w:val="24"/>
          <w:u w:val="single"/>
        </w:rPr>
        <w:t>EQUIPMENT OR FIXTURE.</w:t>
      </w:r>
      <w:bookmarkEnd w:id="46"/>
      <w:r w:rsidRPr="001B7F77">
        <w:rPr>
          <w:b/>
          <w:bCs/>
          <w:szCs w:val="24"/>
          <w:u w:val="single"/>
        </w:rPr>
        <w:t xml:space="preserve"> </w:t>
      </w:r>
      <w:r w:rsidRPr="001B7F77">
        <w:rPr>
          <w:szCs w:val="24"/>
          <w:u w:val="single"/>
        </w:rPr>
        <w:t>Any plumbing, heating, electrical, ventilating, air conditioning, refrigerating and fire protection equipment; elevators, dumb waiters and escalators; and boilers, pressure vessels and other mechanical facilities or installations that are related to building services. Equipment or fixture shall not include manufacturing, production or process equipment, but shall include connections from building service to process equipment.</w:t>
      </w:r>
    </w:p>
    <w:p w14:paraId="06210663" w14:textId="77777777" w:rsidR="001B7F77" w:rsidRPr="001B7F77" w:rsidRDefault="001B7F77" w:rsidP="001B7F77">
      <w:pPr>
        <w:widowControl w:val="0"/>
        <w:autoSpaceDE w:val="0"/>
        <w:autoSpaceDN w:val="0"/>
        <w:adjustRightInd w:val="0"/>
        <w:spacing w:before="120"/>
        <w:rPr>
          <w:szCs w:val="24"/>
        </w:rPr>
      </w:pPr>
      <w:bookmarkStart w:id="47" w:name="_Hlk80279587"/>
      <w:r w:rsidRPr="001B7F77">
        <w:rPr>
          <w:b/>
          <w:bCs/>
          <w:szCs w:val="24"/>
          <w:u w:val="single"/>
        </w:rPr>
        <w:t xml:space="preserve">FACILITY (ACCESSIBILITY). </w:t>
      </w:r>
      <w:bookmarkEnd w:id="47"/>
      <w:r w:rsidRPr="001B7F77">
        <w:rPr>
          <w:szCs w:val="24"/>
          <w:u w:val="single"/>
        </w:rPr>
        <w:t>For the purpose of applying the accessibility provisions, a facility is all or any portion of buildings, structures, site improvements, elements and pedestrian or vehicular routes located on a site.</w:t>
      </w:r>
    </w:p>
    <w:p w14:paraId="3BFECAEC" w14:textId="77777777" w:rsidR="001B7F77" w:rsidRPr="001B7F77" w:rsidRDefault="001B7F77" w:rsidP="001B7F77">
      <w:pPr>
        <w:widowControl w:val="0"/>
        <w:autoSpaceDE w:val="0"/>
        <w:autoSpaceDN w:val="0"/>
        <w:adjustRightInd w:val="0"/>
        <w:spacing w:before="120"/>
        <w:rPr>
          <w:szCs w:val="24"/>
        </w:rPr>
      </w:pPr>
      <w:bookmarkStart w:id="48" w:name="_Hlk80279597"/>
      <w:r w:rsidRPr="001B7F77">
        <w:rPr>
          <w:b/>
          <w:bCs/>
          <w:szCs w:val="24"/>
          <w:u w:val="single"/>
        </w:rPr>
        <w:t>FACILITY (OCCUPANCY).</w:t>
      </w:r>
      <w:r w:rsidRPr="001B7F77">
        <w:rPr>
          <w:szCs w:val="24"/>
          <w:u w:val="single"/>
        </w:rPr>
        <w:t xml:space="preserve"> </w:t>
      </w:r>
      <w:bookmarkEnd w:id="48"/>
      <w:r w:rsidRPr="001B7F77">
        <w:rPr>
          <w:szCs w:val="24"/>
          <w:u w:val="single"/>
        </w:rPr>
        <w:t>For the purpose of applying occupancy requirements, a facility shall mean the building or portion thereof that is occupied by one primary use and where spaces within such facility may change in purpose or function without changing the primary use of the facility.</w:t>
      </w:r>
    </w:p>
    <w:p w14:paraId="38BB9A19" w14:textId="77777777" w:rsidR="001B7F77" w:rsidRPr="001B7F77" w:rsidRDefault="001B7F77" w:rsidP="001B7F77">
      <w:pPr>
        <w:widowControl w:val="0"/>
        <w:autoSpaceDE w:val="0"/>
        <w:autoSpaceDN w:val="0"/>
        <w:adjustRightInd w:val="0"/>
        <w:spacing w:before="120"/>
        <w:jc w:val="left"/>
        <w:rPr>
          <w:b/>
          <w:bCs/>
          <w:szCs w:val="24"/>
          <w:u w:val="single"/>
        </w:rPr>
      </w:pPr>
      <w:r w:rsidRPr="001B7F77">
        <w:rPr>
          <w:b/>
          <w:bCs/>
          <w:szCs w:val="24"/>
          <w:u w:val="single"/>
        </w:rPr>
        <w:t xml:space="preserve">FIRE ESCAPE (MDL 4(42)(c)). </w:t>
      </w:r>
      <w:r w:rsidRPr="001B7F77">
        <w:rPr>
          <w:szCs w:val="24"/>
          <w:u w:val="single"/>
        </w:rPr>
        <w:t>See Appendix D.</w:t>
      </w:r>
    </w:p>
    <w:p w14:paraId="10138D2C" w14:textId="77777777" w:rsidR="001B7F77" w:rsidRPr="001B7F77" w:rsidRDefault="001B7F77" w:rsidP="001B7F77">
      <w:pPr>
        <w:widowControl w:val="0"/>
        <w:autoSpaceDE w:val="0"/>
        <w:autoSpaceDN w:val="0"/>
        <w:adjustRightInd w:val="0"/>
        <w:spacing w:before="120"/>
        <w:jc w:val="left"/>
        <w:rPr>
          <w:b/>
          <w:bCs/>
          <w:szCs w:val="24"/>
          <w:u w:val="single"/>
        </w:rPr>
      </w:pPr>
      <w:r w:rsidRPr="001B7F77">
        <w:rPr>
          <w:b/>
          <w:bCs/>
          <w:szCs w:val="24"/>
          <w:u w:val="single"/>
        </w:rPr>
        <w:t xml:space="preserve">FIRE-RETARDED (MDL 4(29)). </w:t>
      </w:r>
      <w:r w:rsidRPr="001B7F77">
        <w:rPr>
          <w:szCs w:val="24"/>
          <w:u w:val="single"/>
        </w:rPr>
        <w:t>See Appendix D.</w:t>
      </w:r>
    </w:p>
    <w:p w14:paraId="591B8D86" w14:textId="77777777" w:rsidR="001B7F77" w:rsidRPr="001B7F77" w:rsidRDefault="001B7F77" w:rsidP="001B7F77">
      <w:pPr>
        <w:widowControl w:val="0"/>
        <w:autoSpaceDE w:val="0"/>
        <w:autoSpaceDN w:val="0"/>
        <w:adjustRightInd w:val="0"/>
        <w:spacing w:before="120"/>
        <w:jc w:val="left"/>
        <w:rPr>
          <w:b/>
          <w:bCs/>
          <w:szCs w:val="24"/>
          <w:u w:val="single"/>
        </w:rPr>
      </w:pPr>
      <w:r w:rsidRPr="001B7F77">
        <w:rPr>
          <w:b/>
          <w:bCs/>
          <w:szCs w:val="24"/>
          <w:u w:val="single"/>
        </w:rPr>
        <w:t xml:space="preserve">FIREPROOF (MDL 4(26)). </w:t>
      </w:r>
      <w:r w:rsidRPr="001B7F77">
        <w:rPr>
          <w:szCs w:val="24"/>
          <w:u w:val="single"/>
        </w:rPr>
        <w:t>See Appendix D.</w:t>
      </w:r>
    </w:p>
    <w:p w14:paraId="111144E5" w14:textId="77777777" w:rsidR="001B7F77" w:rsidRPr="001B7F77" w:rsidRDefault="001B7F77" w:rsidP="001B7F77">
      <w:pPr>
        <w:widowControl w:val="0"/>
        <w:autoSpaceDE w:val="0"/>
        <w:autoSpaceDN w:val="0"/>
        <w:adjustRightInd w:val="0"/>
        <w:spacing w:before="120"/>
        <w:jc w:val="left"/>
        <w:rPr>
          <w:szCs w:val="24"/>
          <w:u w:val="single"/>
        </w:rPr>
      </w:pPr>
      <w:r w:rsidRPr="001B7F77">
        <w:rPr>
          <w:b/>
          <w:bCs/>
          <w:szCs w:val="24"/>
          <w:u w:val="single"/>
        </w:rPr>
        <w:t xml:space="preserve">FIREPROOF MULTIPLE DWELLING (MDL 4(25)). </w:t>
      </w:r>
      <w:r w:rsidRPr="001B7F77">
        <w:rPr>
          <w:szCs w:val="24"/>
          <w:u w:val="single"/>
        </w:rPr>
        <w:t>See Appendix D.</w:t>
      </w:r>
    </w:p>
    <w:p w14:paraId="5E8CB84A" w14:textId="77777777" w:rsidR="001B7F77" w:rsidRPr="001B7F77" w:rsidRDefault="001B7F77" w:rsidP="001B7F77">
      <w:pPr>
        <w:widowControl w:val="0"/>
        <w:suppressAutoHyphens/>
        <w:autoSpaceDE w:val="0"/>
        <w:autoSpaceDN w:val="0"/>
        <w:adjustRightInd w:val="0"/>
        <w:spacing w:before="120"/>
        <w:rPr>
          <w:szCs w:val="24"/>
        </w:rPr>
      </w:pPr>
      <w:bookmarkStart w:id="49" w:name="_Toc389064727"/>
      <w:r w:rsidRPr="001B7F77">
        <w:rPr>
          <w:b/>
          <w:bCs/>
          <w:szCs w:val="24"/>
          <w:u w:val="single"/>
        </w:rPr>
        <w:t>FLOOD HAZARD AREA.</w:t>
      </w:r>
      <w:bookmarkEnd w:id="49"/>
      <w:r w:rsidRPr="001B7F77">
        <w:rPr>
          <w:szCs w:val="24"/>
          <w:u w:val="single"/>
        </w:rPr>
        <w:t xml:space="preserve"> See Chapter 2 of the </w:t>
      </w:r>
      <w:r w:rsidRPr="001B7F77">
        <w:rPr>
          <w:i/>
          <w:iCs/>
          <w:szCs w:val="24"/>
          <w:u w:val="single"/>
        </w:rPr>
        <w:t>New York City Building Code</w:t>
      </w:r>
      <w:r w:rsidRPr="001B7F77">
        <w:rPr>
          <w:szCs w:val="24"/>
          <w:u w:val="single"/>
        </w:rPr>
        <w:t>.</w:t>
      </w:r>
    </w:p>
    <w:p w14:paraId="5786EA70" w14:textId="77777777" w:rsidR="001B7F77" w:rsidRPr="001B7F77" w:rsidRDefault="001B7F77" w:rsidP="001B7F77">
      <w:pPr>
        <w:widowControl w:val="0"/>
        <w:autoSpaceDE w:val="0"/>
        <w:autoSpaceDN w:val="0"/>
        <w:adjustRightInd w:val="0"/>
        <w:spacing w:before="120"/>
        <w:jc w:val="left"/>
        <w:rPr>
          <w:b/>
          <w:bCs/>
          <w:szCs w:val="24"/>
          <w:u w:val="single"/>
        </w:rPr>
      </w:pPr>
      <w:r w:rsidRPr="001B7F77">
        <w:rPr>
          <w:b/>
          <w:bCs/>
          <w:szCs w:val="24"/>
          <w:u w:val="single"/>
        </w:rPr>
        <w:t xml:space="preserve">FLOOR SPACE (MDL 4(18)). </w:t>
      </w:r>
      <w:r w:rsidRPr="001B7F77">
        <w:rPr>
          <w:szCs w:val="24"/>
          <w:u w:val="single"/>
        </w:rPr>
        <w:t>See Appendix D.</w:t>
      </w:r>
    </w:p>
    <w:p w14:paraId="6DDCB8AE" w14:textId="77777777" w:rsidR="001B7F77" w:rsidRPr="001B7F77" w:rsidRDefault="001B7F77" w:rsidP="001B7F77">
      <w:pPr>
        <w:widowControl w:val="0"/>
        <w:autoSpaceDE w:val="0"/>
        <w:autoSpaceDN w:val="0"/>
        <w:adjustRightInd w:val="0"/>
        <w:spacing w:before="120"/>
        <w:jc w:val="left"/>
        <w:rPr>
          <w:b/>
          <w:bCs/>
          <w:szCs w:val="24"/>
          <w:u w:val="single"/>
        </w:rPr>
      </w:pPr>
      <w:r w:rsidRPr="001B7F77">
        <w:rPr>
          <w:b/>
          <w:bCs/>
          <w:szCs w:val="24"/>
          <w:u w:val="single"/>
        </w:rPr>
        <w:t xml:space="preserve">FRAME DWELLING (MDL 4(28)). </w:t>
      </w:r>
      <w:r w:rsidRPr="001B7F77">
        <w:rPr>
          <w:szCs w:val="24"/>
          <w:u w:val="single"/>
        </w:rPr>
        <w:t>See Appendix D.</w:t>
      </w:r>
    </w:p>
    <w:p w14:paraId="47A5DDED" w14:textId="77777777" w:rsidR="001B7F77" w:rsidRPr="001B7F77" w:rsidRDefault="001B7F77" w:rsidP="001B7F77">
      <w:pPr>
        <w:widowControl w:val="0"/>
        <w:autoSpaceDE w:val="0"/>
        <w:autoSpaceDN w:val="0"/>
        <w:adjustRightInd w:val="0"/>
        <w:spacing w:before="120"/>
        <w:rPr>
          <w:bCs/>
          <w:szCs w:val="24"/>
        </w:rPr>
      </w:pPr>
      <w:bookmarkStart w:id="50" w:name="_Toc389064728"/>
      <w:r w:rsidRPr="001B7F77">
        <w:rPr>
          <w:b/>
          <w:bCs/>
          <w:szCs w:val="24"/>
          <w:u w:val="single"/>
        </w:rPr>
        <w:t>FRONT/REAR WALL.</w:t>
      </w:r>
      <w:r w:rsidRPr="001B7F77">
        <w:rPr>
          <w:bCs/>
          <w:szCs w:val="24"/>
          <w:u w:val="single"/>
        </w:rPr>
        <w:t xml:space="preserve"> An exterior masonry wall that faces a street or backyard. Typically, it has more window openings and is shorter in length than the masonry walls in the perpendicular direction. See also SIDE WALL.</w:t>
      </w:r>
    </w:p>
    <w:p w14:paraId="413FAA89" w14:textId="77777777" w:rsidR="001B7F77" w:rsidRPr="001B7F77" w:rsidRDefault="001B7F77" w:rsidP="001B7F77">
      <w:pPr>
        <w:widowControl w:val="0"/>
        <w:autoSpaceDE w:val="0"/>
        <w:autoSpaceDN w:val="0"/>
        <w:adjustRightInd w:val="0"/>
        <w:spacing w:before="120"/>
        <w:rPr>
          <w:szCs w:val="24"/>
        </w:rPr>
      </w:pPr>
      <w:r w:rsidRPr="001B7F77">
        <w:rPr>
          <w:b/>
          <w:szCs w:val="24"/>
          <w:u w:val="single"/>
        </w:rPr>
        <w:t xml:space="preserve">GRAVITY LOAD. </w:t>
      </w:r>
      <w:r w:rsidRPr="001B7F77">
        <w:rPr>
          <w:szCs w:val="24"/>
          <w:u w:val="single"/>
        </w:rPr>
        <w:t>Gravity loads are forces resulting from the self-weight of a building and its use, including dead, live, snow, rain and ice loads.</w:t>
      </w:r>
    </w:p>
    <w:p w14:paraId="427E10A7" w14:textId="77777777" w:rsidR="001B7F77" w:rsidRPr="001B7F77" w:rsidRDefault="001B7F77" w:rsidP="001B7F77">
      <w:pPr>
        <w:widowControl w:val="0"/>
        <w:autoSpaceDE w:val="0"/>
        <w:autoSpaceDN w:val="0"/>
        <w:adjustRightInd w:val="0"/>
        <w:spacing w:before="120"/>
        <w:jc w:val="left"/>
        <w:rPr>
          <w:szCs w:val="24"/>
          <w:u w:val="single"/>
        </w:rPr>
      </w:pPr>
      <w:r w:rsidRPr="001B7F77">
        <w:rPr>
          <w:b/>
          <w:bCs/>
          <w:szCs w:val="24"/>
          <w:u w:val="single"/>
        </w:rPr>
        <w:t xml:space="preserve">HEIGHT (MDL 4(35)). </w:t>
      </w:r>
      <w:r w:rsidRPr="001B7F77">
        <w:rPr>
          <w:szCs w:val="24"/>
          <w:u w:val="single"/>
        </w:rPr>
        <w:t>See Appendix D.</w:t>
      </w:r>
    </w:p>
    <w:p w14:paraId="7951AA0F" w14:textId="77777777" w:rsidR="001B7F77" w:rsidRPr="001B7F77" w:rsidRDefault="001B7F77" w:rsidP="001B7F77">
      <w:pPr>
        <w:widowControl w:val="0"/>
        <w:autoSpaceDE w:val="0"/>
        <w:autoSpaceDN w:val="0"/>
        <w:adjustRightInd w:val="0"/>
        <w:spacing w:before="120"/>
        <w:rPr>
          <w:i/>
          <w:iCs/>
          <w:szCs w:val="24"/>
          <w:u w:val="single"/>
        </w:rPr>
      </w:pPr>
      <w:r w:rsidRPr="001B7F77">
        <w:rPr>
          <w:b/>
          <w:bCs/>
          <w:szCs w:val="24"/>
          <w:u w:val="single"/>
        </w:rPr>
        <w:t>HOME IMPROVEMENT CONTRACTOR.</w:t>
      </w:r>
      <w:r w:rsidRPr="001B7F77">
        <w:rPr>
          <w:szCs w:val="24"/>
          <w:u w:val="single"/>
        </w:rPr>
        <w:t xml:space="preserve"> A person licensed to engage in the home improvement business by the Department of Consumer and Worker Protection in accordance with Subchapter 22 of Chapter 2 of Title 20 of the </w:t>
      </w:r>
      <w:r w:rsidRPr="001B7F77">
        <w:rPr>
          <w:i/>
          <w:iCs/>
          <w:szCs w:val="24"/>
          <w:u w:val="single"/>
        </w:rPr>
        <w:t>Administrative Code</w:t>
      </w:r>
      <w:r w:rsidRPr="001B7F77">
        <w:rPr>
          <w:szCs w:val="24"/>
          <w:u w:val="single"/>
        </w:rPr>
        <w:t>.</w:t>
      </w:r>
    </w:p>
    <w:p w14:paraId="4CF60805" w14:textId="77777777" w:rsidR="001B7F77" w:rsidRPr="001B7F77" w:rsidRDefault="001B7F77" w:rsidP="001B7F77">
      <w:pPr>
        <w:widowControl w:val="0"/>
        <w:autoSpaceDE w:val="0"/>
        <w:autoSpaceDN w:val="0"/>
        <w:adjustRightInd w:val="0"/>
        <w:spacing w:before="120"/>
        <w:jc w:val="left"/>
        <w:rPr>
          <w:b/>
          <w:bCs/>
          <w:szCs w:val="24"/>
          <w:u w:val="single"/>
        </w:rPr>
      </w:pPr>
      <w:r w:rsidRPr="001B7F77">
        <w:rPr>
          <w:b/>
          <w:bCs/>
          <w:szCs w:val="24"/>
          <w:u w:val="single"/>
        </w:rPr>
        <w:t xml:space="preserve">HOTEL (MDL 4(12)). </w:t>
      </w:r>
      <w:r w:rsidRPr="001B7F77">
        <w:rPr>
          <w:szCs w:val="24"/>
          <w:u w:val="single"/>
        </w:rPr>
        <w:t>See Appendix D.</w:t>
      </w:r>
    </w:p>
    <w:p w14:paraId="159E8A5A" w14:textId="77777777" w:rsidR="001B7F77" w:rsidRPr="001B7F77" w:rsidRDefault="001B7F77" w:rsidP="001B7F77">
      <w:pPr>
        <w:widowControl w:val="0"/>
        <w:autoSpaceDE w:val="0"/>
        <w:autoSpaceDN w:val="0"/>
        <w:adjustRightInd w:val="0"/>
        <w:spacing w:before="120"/>
        <w:rPr>
          <w:szCs w:val="24"/>
          <w:u w:val="single"/>
        </w:rPr>
      </w:pPr>
      <w:r w:rsidRPr="001B7F77">
        <w:rPr>
          <w:b/>
          <w:bCs/>
          <w:szCs w:val="24"/>
          <w:u w:val="single"/>
        </w:rPr>
        <w:t>LATERAL FORCE-RESISTING SYSTEM.</w:t>
      </w:r>
      <w:r w:rsidRPr="001B7F77">
        <w:rPr>
          <w:szCs w:val="24"/>
          <w:u w:val="single"/>
        </w:rPr>
        <w:t xml:space="preserve"> Denotes structural systems specifically designated to resist loads imposed on a structure by seismic action, wind or retained earth and water.</w:t>
      </w:r>
    </w:p>
    <w:bookmarkEnd w:id="50"/>
    <w:p w14:paraId="7E2E4CB3" w14:textId="77777777" w:rsidR="001B7F77" w:rsidRPr="001B7F77" w:rsidRDefault="001B7F77" w:rsidP="001B7F77">
      <w:pPr>
        <w:widowControl w:val="0"/>
        <w:suppressAutoHyphens/>
        <w:spacing w:before="120"/>
        <w:rPr>
          <w:szCs w:val="24"/>
          <w:u w:val="single"/>
        </w:rPr>
      </w:pPr>
      <w:r w:rsidRPr="001B7F77">
        <w:rPr>
          <w:b/>
          <w:bCs/>
          <w:szCs w:val="24"/>
          <w:u w:val="single"/>
        </w:rPr>
        <w:t xml:space="preserve">LIMITED ALTERATION APPLICATION. </w:t>
      </w:r>
      <w:r w:rsidRPr="001B7F77">
        <w:rPr>
          <w:szCs w:val="24"/>
          <w:u w:val="single"/>
        </w:rPr>
        <w:t>Application for</w:t>
      </w:r>
      <w:r w:rsidRPr="001B7F77">
        <w:rPr>
          <w:b/>
          <w:bCs/>
          <w:szCs w:val="24"/>
          <w:u w:val="single"/>
        </w:rPr>
        <w:t xml:space="preserve"> </w:t>
      </w:r>
      <w:r w:rsidRPr="001B7F77">
        <w:rPr>
          <w:szCs w:val="24"/>
          <w:u w:val="single"/>
        </w:rPr>
        <w:t>limited oil-burning appliance alterations, limited plumbing alterations, limited sprinkler alterations, limited standpipe alterations, limited home improvement alterations, limited window replacement alterations, limited reroofing replacement alterations or limited elevator alterations, filed with the department pursuant to Chapter 5 of this code. Such work shall not include any associated work that would otherwise require an alteration permit including, but not limited to, any construction of fire rated partitions and enclosures.</w:t>
      </w:r>
    </w:p>
    <w:p w14:paraId="51415D19" w14:textId="77777777" w:rsidR="001B7F77" w:rsidRPr="001B7F77" w:rsidRDefault="001B7F77" w:rsidP="001B7F77">
      <w:pPr>
        <w:widowControl w:val="0"/>
        <w:suppressAutoHyphens/>
        <w:spacing w:before="120"/>
        <w:ind w:left="360"/>
        <w:rPr>
          <w:szCs w:val="24"/>
          <w:u w:val="single"/>
        </w:rPr>
      </w:pPr>
      <w:r w:rsidRPr="001B7F77">
        <w:rPr>
          <w:b/>
          <w:szCs w:val="24"/>
          <w:u w:val="single"/>
        </w:rPr>
        <w:t>Category 1</w:t>
      </w:r>
      <w:r w:rsidRPr="001B7F77">
        <w:rPr>
          <w:szCs w:val="24"/>
          <w:u w:val="single"/>
        </w:rPr>
        <w:t xml:space="preserve"> work shall be limited to a new installation into an existing building or system. The utilization of this category shall be limited by an annual monetary cap. </w:t>
      </w:r>
    </w:p>
    <w:p w14:paraId="539D5B7A" w14:textId="77777777" w:rsidR="001B7F77" w:rsidRPr="001B7F77" w:rsidRDefault="001B7F77" w:rsidP="001B7F77">
      <w:pPr>
        <w:widowControl w:val="0"/>
        <w:suppressAutoHyphens/>
        <w:spacing w:before="120"/>
        <w:ind w:left="360"/>
        <w:rPr>
          <w:szCs w:val="24"/>
          <w:u w:val="single"/>
        </w:rPr>
      </w:pPr>
      <w:r w:rsidRPr="001B7F77">
        <w:rPr>
          <w:b/>
          <w:szCs w:val="24"/>
          <w:u w:val="single"/>
        </w:rPr>
        <w:t>Category 2</w:t>
      </w:r>
      <w:r w:rsidRPr="001B7F77">
        <w:rPr>
          <w:szCs w:val="24"/>
          <w:u w:val="single"/>
        </w:rPr>
        <w:t xml:space="preserve"> work shall include any existing system(s) or components that are replaced, repaired or altered. This category shall not be limited by a monetary cap.</w:t>
      </w:r>
    </w:p>
    <w:p w14:paraId="56CB3787" w14:textId="77777777" w:rsidR="001B7F77" w:rsidRPr="001B7F77" w:rsidRDefault="001B7F77" w:rsidP="001B7F77">
      <w:pPr>
        <w:suppressAutoHyphens/>
        <w:kinsoku w:val="0"/>
        <w:spacing w:before="120"/>
        <w:ind w:left="360"/>
        <w:rPr>
          <w:szCs w:val="24"/>
          <w:u w:val="single"/>
        </w:rPr>
      </w:pPr>
      <w:r w:rsidRPr="001B7F77">
        <w:rPr>
          <w:b/>
          <w:bCs/>
          <w:szCs w:val="24"/>
          <w:u w:val="single"/>
        </w:rPr>
        <w:t>Category 3</w:t>
      </w:r>
      <w:r w:rsidRPr="001B7F77">
        <w:rPr>
          <w:szCs w:val="24"/>
          <w:u w:val="single"/>
        </w:rPr>
        <w:t xml:space="preserve"> work shall include any work of an existing system that does not require mandatory department inspection and is subject to fees as determined by the department.</w:t>
      </w:r>
    </w:p>
    <w:p w14:paraId="4D1E1893" w14:textId="77777777" w:rsidR="001B7F77" w:rsidRPr="001B7F77" w:rsidRDefault="001B7F77" w:rsidP="001B7F77">
      <w:pPr>
        <w:widowControl w:val="0"/>
        <w:suppressAutoHyphens/>
        <w:spacing w:before="120"/>
        <w:rPr>
          <w:b/>
          <w:bCs/>
          <w:szCs w:val="24"/>
          <w:u w:val="single"/>
        </w:rPr>
      </w:pPr>
      <w:r w:rsidRPr="001B7F77">
        <w:rPr>
          <w:b/>
          <w:bCs/>
          <w:szCs w:val="24"/>
          <w:u w:val="single"/>
        </w:rPr>
        <w:t>LIMITED ELEVATOR ALTERATIONS.</w:t>
      </w:r>
      <w:r w:rsidRPr="001B7F77">
        <w:rPr>
          <w:szCs w:val="24"/>
          <w:u w:val="single"/>
        </w:rPr>
        <w:t xml:space="preserve"> An alteration to an existing elevator that is limited in scope, subject to Chapter 5 of this code.</w:t>
      </w:r>
    </w:p>
    <w:p w14:paraId="16A193C6" w14:textId="77777777" w:rsidR="001B7F77" w:rsidRPr="001B7F77" w:rsidRDefault="001B7F77" w:rsidP="001B7F77">
      <w:pPr>
        <w:widowControl w:val="0"/>
        <w:suppressAutoHyphens/>
        <w:spacing w:before="120"/>
        <w:rPr>
          <w:b/>
          <w:bCs/>
          <w:szCs w:val="24"/>
          <w:u w:val="single"/>
        </w:rPr>
      </w:pPr>
      <w:r w:rsidRPr="001B7F77">
        <w:rPr>
          <w:b/>
          <w:bCs/>
          <w:szCs w:val="24"/>
          <w:u w:val="single"/>
        </w:rPr>
        <w:t>LIMITED HOME IMPROVEMENT ALTERATIONS.</w:t>
      </w:r>
      <w:r w:rsidRPr="001B7F77">
        <w:rPr>
          <w:szCs w:val="24"/>
          <w:u w:val="single"/>
        </w:rPr>
        <w:t xml:space="preserve"> An alteration to an existing one- or two-family dwelling that is limited in scope, subject to Chapter 5 of this code.</w:t>
      </w:r>
    </w:p>
    <w:p w14:paraId="4FAEDAA3" w14:textId="77777777" w:rsidR="001B7F77" w:rsidRPr="001B7F77" w:rsidRDefault="001B7F77" w:rsidP="001B7F77">
      <w:pPr>
        <w:widowControl w:val="0"/>
        <w:suppressAutoHyphens/>
        <w:spacing w:before="120"/>
        <w:rPr>
          <w:szCs w:val="24"/>
          <w:u w:val="single"/>
        </w:rPr>
      </w:pPr>
      <w:r w:rsidRPr="001B7F77">
        <w:rPr>
          <w:b/>
          <w:bCs/>
          <w:szCs w:val="24"/>
          <w:u w:val="single"/>
        </w:rPr>
        <w:t>LIMITED OIL-BURNING APPLIANCE ALTERATIONS.</w:t>
      </w:r>
      <w:r w:rsidRPr="001B7F77">
        <w:rPr>
          <w:w w:val="115"/>
          <w:szCs w:val="24"/>
          <w:u w:val="single"/>
        </w:rPr>
        <w:t xml:space="preserve"> </w:t>
      </w:r>
      <w:r w:rsidRPr="001B7F77">
        <w:rPr>
          <w:szCs w:val="24"/>
          <w:u w:val="single"/>
        </w:rPr>
        <w:t>An alteration to an oil burner/boiler system that is limited in scope and/or value, subject to Chapter 5 of this code.</w:t>
      </w:r>
    </w:p>
    <w:p w14:paraId="0206728A" w14:textId="77777777" w:rsidR="001B7F77" w:rsidRPr="001B7F77" w:rsidRDefault="001B7F77" w:rsidP="001B7F77">
      <w:pPr>
        <w:widowControl w:val="0"/>
        <w:suppressAutoHyphens/>
        <w:spacing w:before="120"/>
        <w:rPr>
          <w:szCs w:val="24"/>
          <w:u w:val="single"/>
        </w:rPr>
      </w:pPr>
      <w:r w:rsidRPr="001B7F77">
        <w:rPr>
          <w:b/>
          <w:bCs/>
          <w:szCs w:val="24"/>
          <w:u w:val="single"/>
        </w:rPr>
        <w:t>LIMITED PLUMBING ALTERATIONS.</w:t>
      </w:r>
      <w:r w:rsidRPr="001B7F77">
        <w:rPr>
          <w:szCs w:val="24"/>
          <w:u w:val="single"/>
        </w:rPr>
        <w:t xml:space="preserve"> An alteration to a plumbing or fuel gas piping system that is limited in scope and/or value, subject to Chapter 5 of this code.</w:t>
      </w:r>
    </w:p>
    <w:p w14:paraId="4C64CB02" w14:textId="77777777" w:rsidR="001B7F77" w:rsidRPr="001B7F77" w:rsidRDefault="001B7F77" w:rsidP="001B7F77">
      <w:pPr>
        <w:widowControl w:val="0"/>
        <w:suppressAutoHyphens/>
        <w:spacing w:before="120"/>
        <w:rPr>
          <w:b/>
          <w:bCs/>
          <w:szCs w:val="24"/>
          <w:u w:val="single"/>
        </w:rPr>
      </w:pPr>
      <w:r w:rsidRPr="001B7F77">
        <w:rPr>
          <w:b/>
          <w:bCs/>
          <w:szCs w:val="24"/>
          <w:u w:val="single"/>
        </w:rPr>
        <w:t>LIMITED REROOFING ALTERATIONS.</w:t>
      </w:r>
      <w:r w:rsidRPr="001B7F77">
        <w:rPr>
          <w:szCs w:val="24"/>
          <w:u w:val="single"/>
        </w:rPr>
        <w:t xml:space="preserve"> A reroofing alteration that is limited in scope, subject to Chapter 5 of this code.</w:t>
      </w:r>
    </w:p>
    <w:p w14:paraId="51CCF261" w14:textId="77777777" w:rsidR="001B7F77" w:rsidRPr="001B7F77" w:rsidRDefault="001B7F77" w:rsidP="001B7F77">
      <w:pPr>
        <w:widowControl w:val="0"/>
        <w:suppressAutoHyphens/>
        <w:spacing w:before="120"/>
        <w:rPr>
          <w:b/>
          <w:bCs/>
          <w:szCs w:val="24"/>
          <w:u w:val="single"/>
        </w:rPr>
      </w:pPr>
      <w:r w:rsidRPr="001B7F77">
        <w:rPr>
          <w:b/>
          <w:bCs/>
          <w:szCs w:val="24"/>
          <w:u w:val="single"/>
        </w:rPr>
        <w:t>LIMITED SPRINKLER ALTERATIONS.</w:t>
      </w:r>
      <w:r w:rsidRPr="001B7F77">
        <w:rPr>
          <w:szCs w:val="24"/>
          <w:u w:val="single"/>
        </w:rPr>
        <w:t xml:space="preserve"> An alteration to a sprinkler system that is limited in scope and or value, subject to Chapter 5 of this code.</w:t>
      </w:r>
    </w:p>
    <w:p w14:paraId="3E7B5E3C" w14:textId="77777777" w:rsidR="001B7F77" w:rsidRPr="001B7F77" w:rsidRDefault="001B7F77" w:rsidP="001B7F77">
      <w:pPr>
        <w:widowControl w:val="0"/>
        <w:suppressAutoHyphens/>
        <w:spacing w:before="120"/>
        <w:rPr>
          <w:szCs w:val="24"/>
          <w:u w:val="single"/>
        </w:rPr>
      </w:pPr>
      <w:r w:rsidRPr="001B7F77">
        <w:rPr>
          <w:b/>
          <w:bCs/>
          <w:szCs w:val="24"/>
          <w:u w:val="single"/>
        </w:rPr>
        <w:t>LIMITED STANDPIPE ALTERATIONS.</w:t>
      </w:r>
      <w:r w:rsidRPr="001B7F77">
        <w:rPr>
          <w:szCs w:val="24"/>
          <w:u w:val="single"/>
        </w:rPr>
        <w:t xml:space="preserve"> An alteration to an existing combined standpipe system that is limited in scope and/or value, subject to Chapter 5 of this code.</w:t>
      </w:r>
    </w:p>
    <w:p w14:paraId="1DDB0C53" w14:textId="77777777" w:rsidR="001B7F77" w:rsidRPr="001B7F77" w:rsidRDefault="001B7F77" w:rsidP="001B7F77">
      <w:pPr>
        <w:widowControl w:val="0"/>
        <w:suppressAutoHyphens/>
        <w:spacing w:before="120"/>
        <w:rPr>
          <w:szCs w:val="24"/>
          <w:u w:val="single"/>
        </w:rPr>
      </w:pPr>
      <w:r w:rsidRPr="001B7F77">
        <w:rPr>
          <w:b/>
          <w:bCs/>
          <w:szCs w:val="24"/>
          <w:u w:val="single"/>
        </w:rPr>
        <w:t xml:space="preserve">LIMITED WINDOW REPLACEMENT ALTERATIONS. </w:t>
      </w:r>
      <w:r w:rsidRPr="001B7F77">
        <w:rPr>
          <w:szCs w:val="24"/>
          <w:u w:val="single"/>
        </w:rPr>
        <w:t>A window replacement alteration that is limited in scope, subject to Chapter 5 of this code.</w:t>
      </w:r>
    </w:p>
    <w:p w14:paraId="77748E89" w14:textId="77777777" w:rsidR="001B7F77" w:rsidRPr="001B7F77" w:rsidRDefault="001B7F77" w:rsidP="001B7F77">
      <w:pPr>
        <w:widowControl w:val="0"/>
        <w:autoSpaceDE w:val="0"/>
        <w:autoSpaceDN w:val="0"/>
        <w:adjustRightInd w:val="0"/>
        <w:spacing w:before="120"/>
        <w:jc w:val="left"/>
        <w:rPr>
          <w:b/>
          <w:bCs/>
          <w:szCs w:val="24"/>
          <w:u w:val="single"/>
        </w:rPr>
      </w:pPr>
      <w:r w:rsidRPr="001B7F77">
        <w:rPr>
          <w:b/>
          <w:bCs/>
          <w:szCs w:val="24"/>
          <w:u w:val="single"/>
        </w:rPr>
        <w:t xml:space="preserve">LIVING ROOM (MDL 4(18)). </w:t>
      </w:r>
      <w:r w:rsidRPr="001B7F77">
        <w:rPr>
          <w:szCs w:val="24"/>
          <w:u w:val="single"/>
        </w:rPr>
        <w:t>See Appendix D.</w:t>
      </w:r>
    </w:p>
    <w:p w14:paraId="4D8D1B6C" w14:textId="77777777" w:rsidR="001B7F77" w:rsidRPr="001B7F77" w:rsidRDefault="001B7F77" w:rsidP="001B7F77">
      <w:pPr>
        <w:widowControl w:val="0"/>
        <w:autoSpaceDE w:val="0"/>
        <w:autoSpaceDN w:val="0"/>
        <w:adjustRightInd w:val="0"/>
        <w:spacing w:before="120"/>
        <w:jc w:val="left"/>
        <w:rPr>
          <w:b/>
          <w:bCs/>
          <w:szCs w:val="24"/>
          <w:u w:val="single"/>
        </w:rPr>
      </w:pPr>
      <w:r w:rsidRPr="001B7F77">
        <w:rPr>
          <w:b/>
          <w:bCs/>
          <w:szCs w:val="24"/>
          <w:u w:val="single"/>
        </w:rPr>
        <w:t xml:space="preserve">LODGING HOUSE (LH) (MDL 4(14)). </w:t>
      </w:r>
      <w:r w:rsidRPr="001B7F77">
        <w:rPr>
          <w:szCs w:val="24"/>
          <w:u w:val="single"/>
        </w:rPr>
        <w:t>See Appendix D.</w:t>
      </w:r>
    </w:p>
    <w:p w14:paraId="3961EF9A" w14:textId="77777777" w:rsidR="001B7F77" w:rsidRPr="001B7F77" w:rsidRDefault="001B7F77" w:rsidP="001B7F77">
      <w:pPr>
        <w:widowControl w:val="0"/>
        <w:autoSpaceDE w:val="0"/>
        <w:autoSpaceDN w:val="0"/>
        <w:adjustRightInd w:val="0"/>
        <w:spacing w:before="120"/>
        <w:rPr>
          <w:szCs w:val="24"/>
        </w:rPr>
      </w:pPr>
      <w:r w:rsidRPr="001B7F77">
        <w:rPr>
          <w:b/>
          <w:bCs/>
          <w:szCs w:val="24"/>
          <w:u w:val="single"/>
        </w:rPr>
        <w:t>LOT LINE AIR SHAFT.</w:t>
      </w:r>
      <w:r w:rsidRPr="001B7F77">
        <w:rPr>
          <w:szCs w:val="24"/>
          <w:u w:val="single"/>
        </w:rPr>
        <w:t xml:space="preserve"> An interior court enclosed by building walls except for one lot line, adjoined by another interior court of similar size and shape on the adjacent lot, both forming an air shaft between the two existing buildings with window openings upon this shaft that may or may not be used for light and ventilation.</w:t>
      </w:r>
    </w:p>
    <w:p w14:paraId="7D31B9F6" w14:textId="77777777" w:rsidR="001B7F77" w:rsidRPr="001B7F77" w:rsidRDefault="001B7F77" w:rsidP="001B7F77">
      <w:pPr>
        <w:widowControl w:val="0"/>
        <w:autoSpaceDE w:val="0"/>
        <w:autoSpaceDN w:val="0"/>
        <w:adjustRightInd w:val="0"/>
        <w:spacing w:before="120"/>
        <w:jc w:val="left"/>
        <w:rPr>
          <w:b/>
          <w:bCs/>
          <w:szCs w:val="24"/>
          <w:u w:val="single"/>
        </w:rPr>
      </w:pPr>
      <w:r w:rsidRPr="001B7F77">
        <w:rPr>
          <w:b/>
          <w:bCs/>
          <w:szCs w:val="24"/>
          <w:u w:val="single"/>
        </w:rPr>
        <w:t xml:space="preserve">MDL. </w:t>
      </w:r>
      <w:r w:rsidRPr="001B7F77">
        <w:rPr>
          <w:szCs w:val="24"/>
          <w:u w:val="single"/>
        </w:rPr>
        <w:t>See Appendix D.</w:t>
      </w:r>
    </w:p>
    <w:p w14:paraId="77B81C75" w14:textId="77777777" w:rsidR="001B7F77" w:rsidRPr="001B7F77" w:rsidRDefault="001B7F77" w:rsidP="001B7F77">
      <w:pPr>
        <w:widowControl w:val="0"/>
        <w:suppressAutoHyphens/>
        <w:autoSpaceDE w:val="0"/>
        <w:autoSpaceDN w:val="0"/>
        <w:adjustRightInd w:val="0"/>
        <w:spacing w:before="120"/>
        <w:rPr>
          <w:bCs/>
          <w:szCs w:val="24"/>
          <w:u w:val="single"/>
        </w:rPr>
      </w:pPr>
      <w:r w:rsidRPr="001B7F77">
        <w:rPr>
          <w:b/>
          <w:szCs w:val="24"/>
          <w:u w:val="single"/>
        </w:rPr>
        <w:t>MINOR ALTERATIONS</w:t>
      </w:r>
      <w:r w:rsidRPr="001B7F77">
        <w:rPr>
          <w:bCs/>
          <w:szCs w:val="24"/>
          <w:u w:val="single"/>
        </w:rPr>
        <w:t xml:space="preserve">. Minor changes or modifications in a building or any part thereof, excluding additions thereto, that do not in any way affect health or the fire or structural safety of the building or the safe use and operation of the service equipment therein. Minor alterations shall not include any of the work described as “work not constituting minor alterations or ordinary repairs.” Minor Alterations are subject to </w:t>
      </w:r>
      <w:bookmarkStart w:id="51" w:name="_Toc389064730"/>
      <w:r w:rsidRPr="001B7F77">
        <w:rPr>
          <w:bCs/>
          <w:szCs w:val="24"/>
          <w:u w:val="single"/>
        </w:rPr>
        <w:t>Section 105.3.</w:t>
      </w:r>
    </w:p>
    <w:p w14:paraId="6D28ABB6" w14:textId="77777777" w:rsidR="001B7F77" w:rsidRPr="001B7F77" w:rsidRDefault="001B7F77" w:rsidP="001B7F77">
      <w:pPr>
        <w:widowControl w:val="0"/>
        <w:autoSpaceDE w:val="0"/>
        <w:autoSpaceDN w:val="0"/>
        <w:adjustRightInd w:val="0"/>
        <w:spacing w:before="120"/>
        <w:jc w:val="left"/>
        <w:rPr>
          <w:b/>
          <w:bCs/>
          <w:szCs w:val="24"/>
          <w:u w:val="single"/>
        </w:rPr>
      </w:pPr>
      <w:r w:rsidRPr="001B7F77">
        <w:rPr>
          <w:b/>
          <w:bCs/>
          <w:szCs w:val="24"/>
          <w:u w:val="single"/>
        </w:rPr>
        <w:t xml:space="preserve">MULTIPLE DWELLING (MDL 4(7)). </w:t>
      </w:r>
      <w:r w:rsidRPr="001B7F77">
        <w:rPr>
          <w:szCs w:val="24"/>
          <w:u w:val="single"/>
        </w:rPr>
        <w:t>See Appendix D.</w:t>
      </w:r>
    </w:p>
    <w:bookmarkEnd w:id="51"/>
    <w:p w14:paraId="4C506505" w14:textId="77777777" w:rsidR="001B7F77" w:rsidRPr="001B7F77" w:rsidRDefault="001B7F77" w:rsidP="001B7F77">
      <w:pPr>
        <w:widowControl w:val="0"/>
        <w:suppressAutoHyphens/>
        <w:kinsoku w:val="0"/>
        <w:spacing w:before="120"/>
        <w:rPr>
          <w:szCs w:val="24"/>
        </w:rPr>
      </w:pPr>
      <w:r w:rsidRPr="001B7F77">
        <w:rPr>
          <w:b/>
          <w:bCs/>
          <w:szCs w:val="24"/>
          <w:u w:val="single"/>
        </w:rPr>
        <w:t xml:space="preserve">NONCOMBUSTIBLE MATERIAL. </w:t>
      </w:r>
      <w:r w:rsidRPr="001B7F77">
        <w:rPr>
          <w:szCs w:val="24"/>
          <w:u w:val="single"/>
        </w:rPr>
        <w:t>A material that, under the conditions anticipated, will not ignite or burn when subjected to fire or heat. Materials that pass ASTM E 136 are considered noncombustible materials.</w:t>
      </w:r>
    </w:p>
    <w:p w14:paraId="43404D0E" w14:textId="77777777" w:rsidR="001B7F77" w:rsidRPr="001B7F77" w:rsidRDefault="001B7F77" w:rsidP="001B7F77">
      <w:pPr>
        <w:widowControl w:val="0"/>
        <w:autoSpaceDE w:val="0"/>
        <w:autoSpaceDN w:val="0"/>
        <w:adjustRightInd w:val="0"/>
        <w:spacing w:before="120"/>
        <w:jc w:val="left"/>
        <w:rPr>
          <w:b/>
          <w:bCs/>
          <w:szCs w:val="24"/>
          <w:u w:val="single"/>
        </w:rPr>
      </w:pPr>
      <w:r w:rsidRPr="001B7F77">
        <w:rPr>
          <w:b/>
          <w:bCs/>
          <w:szCs w:val="24"/>
          <w:u w:val="single"/>
        </w:rPr>
        <w:t xml:space="preserve">NON-FIREPROOF MULTIPLE DWELLING (MDL 4(27)). </w:t>
      </w:r>
      <w:r w:rsidRPr="001B7F77">
        <w:rPr>
          <w:szCs w:val="24"/>
          <w:u w:val="single"/>
        </w:rPr>
        <w:t>See Appendix D.</w:t>
      </w:r>
    </w:p>
    <w:p w14:paraId="14D8DC91" w14:textId="77777777" w:rsidR="001B7F77" w:rsidRPr="001B7F77" w:rsidRDefault="001B7F77" w:rsidP="001B7F77">
      <w:pPr>
        <w:widowControl w:val="0"/>
        <w:suppressAutoHyphens/>
        <w:autoSpaceDE w:val="0"/>
        <w:autoSpaceDN w:val="0"/>
        <w:adjustRightInd w:val="0"/>
        <w:spacing w:before="120"/>
        <w:rPr>
          <w:bCs/>
          <w:szCs w:val="24"/>
        </w:rPr>
      </w:pPr>
      <w:r w:rsidRPr="001B7F77">
        <w:rPr>
          <w:b/>
          <w:szCs w:val="24"/>
          <w:u w:val="single"/>
        </w:rPr>
        <w:t>ORDINARY REPAIRS</w:t>
      </w:r>
      <w:r w:rsidRPr="001B7F77">
        <w:rPr>
          <w:bCs/>
          <w:szCs w:val="24"/>
          <w:u w:val="single"/>
        </w:rPr>
        <w:t>. Replacements or renewals of existing work in a building, or of parts of the service equipment therein, with the same or equivalent materials or equipment parts that are made in the ordinary course of maintenance and that do not in any way affect health or the fire or structural safety of the building or the safe use and operation of the service equipment therein. Ordinary repairs shall include the repair or replacement of any plumbing fixture, piping or faucets from any exposed stop valve to the inlet side of a trap. Ordinary repairs shall not include any of the work described as “work not constituting minor alterations or ordinary repairs.” Ordinary repairs are subject to Section 105.3.</w:t>
      </w:r>
    </w:p>
    <w:p w14:paraId="5E926F48" w14:textId="77777777" w:rsidR="001B7F77" w:rsidRPr="001B7F77" w:rsidRDefault="001B7F77" w:rsidP="001B7F77">
      <w:pPr>
        <w:widowControl w:val="0"/>
        <w:suppressAutoHyphens/>
        <w:autoSpaceDE w:val="0"/>
        <w:autoSpaceDN w:val="0"/>
        <w:adjustRightInd w:val="0"/>
        <w:spacing w:before="120"/>
        <w:rPr>
          <w:bCs/>
          <w:szCs w:val="24"/>
        </w:rPr>
      </w:pPr>
      <w:r w:rsidRPr="001B7F77">
        <w:rPr>
          <w:b/>
          <w:szCs w:val="24"/>
          <w:u w:val="single"/>
        </w:rPr>
        <w:t>ORDINARY PLUMBING WORK.</w:t>
      </w:r>
      <w:r w:rsidRPr="001B7F77">
        <w:rPr>
          <w:bCs/>
          <w:szCs w:val="24"/>
          <w:u w:val="single"/>
        </w:rPr>
        <w:t xml:space="preserve"> The installation, relocation, repair and removal of certain plumbing work that may be performed without a permit provided the licensed plumber provides the department with monthly reports of work performed in accordance with Section 105.3.1.2.</w:t>
      </w:r>
    </w:p>
    <w:p w14:paraId="32C3F75F" w14:textId="77777777" w:rsidR="001B7F77" w:rsidRPr="001B7F77" w:rsidRDefault="001B7F77" w:rsidP="001B7F77">
      <w:pPr>
        <w:widowControl w:val="0"/>
        <w:suppressAutoHyphens/>
        <w:autoSpaceDE w:val="0"/>
        <w:autoSpaceDN w:val="0"/>
        <w:adjustRightInd w:val="0"/>
        <w:spacing w:before="120"/>
        <w:rPr>
          <w:szCs w:val="24"/>
          <w:u w:val="single"/>
        </w:rPr>
      </w:pPr>
      <w:r w:rsidRPr="001B7F77">
        <w:rPr>
          <w:b/>
          <w:bCs/>
          <w:szCs w:val="24"/>
          <w:u w:val="single"/>
        </w:rPr>
        <w:t>PRIMARY FUNCTION.</w:t>
      </w:r>
      <w:r w:rsidRPr="001B7F77">
        <w:rPr>
          <w:szCs w:val="24"/>
          <w:u w:val="single"/>
        </w:rPr>
        <w:t xml:space="preserve"> A primary function is a major activity for which the facility is intended. Areas that contain a primary function include, but are not limited to, the customer services lobby of a bank, the dining area of a cafeteria, the meeting rooms in a conference center, as well as offices and other work areas in which the activities of the public accommodation or other private entity using the facility are carried out. Mechanical rooms, boiler rooms, supply storage rooms, employee lounges or locker rooms, janitorial closets, entrances, corridors and restrooms are not areas containing a primary function.</w:t>
      </w:r>
    </w:p>
    <w:p w14:paraId="22F5C5AA" w14:textId="77777777" w:rsidR="001B7F77" w:rsidRPr="001B7F77" w:rsidRDefault="001B7F77" w:rsidP="001B7F77">
      <w:pPr>
        <w:widowControl w:val="0"/>
        <w:suppressAutoHyphens/>
        <w:autoSpaceDE w:val="0"/>
        <w:autoSpaceDN w:val="0"/>
        <w:adjustRightInd w:val="0"/>
        <w:spacing w:before="120"/>
        <w:rPr>
          <w:szCs w:val="24"/>
        </w:rPr>
      </w:pPr>
      <w:r w:rsidRPr="001B7F77">
        <w:rPr>
          <w:b/>
          <w:bCs/>
          <w:szCs w:val="24"/>
          <w:u w:val="single"/>
        </w:rPr>
        <w:t xml:space="preserve">PRIOR CODE BUILDING OR STRUCTURE. </w:t>
      </w:r>
      <w:r w:rsidRPr="001B7F77">
        <w:rPr>
          <w:szCs w:val="24"/>
          <w:u w:val="single"/>
        </w:rPr>
        <w:t>A building or structure that is subject to Exception 1 or 2 of Section 28-101.4 of the</w:t>
      </w:r>
      <w:r w:rsidRPr="001B7F77">
        <w:rPr>
          <w:i/>
          <w:iCs/>
          <w:szCs w:val="24"/>
          <w:u w:val="single"/>
        </w:rPr>
        <w:t xml:space="preserve"> Administrative Code.</w:t>
      </w:r>
    </w:p>
    <w:p w14:paraId="49ACCF8B" w14:textId="77777777" w:rsidR="001B7F77" w:rsidRPr="001B7F77" w:rsidRDefault="001B7F77" w:rsidP="001B7F77">
      <w:pPr>
        <w:widowControl w:val="0"/>
        <w:autoSpaceDE w:val="0"/>
        <w:autoSpaceDN w:val="0"/>
        <w:adjustRightInd w:val="0"/>
        <w:spacing w:before="120"/>
        <w:jc w:val="left"/>
        <w:rPr>
          <w:b/>
          <w:bCs/>
          <w:szCs w:val="24"/>
          <w:u w:val="single"/>
        </w:rPr>
      </w:pPr>
      <w:r w:rsidRPr="001B7F77">
        <w:rPr>
          <w:b/>
          <w:bCs/>
          <w:szCs w:val="24"/>
          <w:u w:val="single"/>
        </w:rPr>
        <w:t xml:space="preserve">PUBLIC HALL (MDL 4(17)). </w:t>
      </w:r>
      <w:r w:rsidRPr="001B7F77">
        <w:rPr>
          <w:szCs w:val="24"/>
          <w:u w:val="single"/>
        </w:rPr>
        <w:t>See Appendix D.</w:t>
      </w:r>
    </w:p>
    <w:p w14:paraId="05A2D799" w14:textId="77777777" w:rsidR="001B7F77" w:rsidRPr="001B7F77" w:rsidRDefault="001B7F77" w:rsidP="001B7F77">
      <w:pPr>
        <w:widowControl w:val="0"/>
        <w:autoSpaceDE w:val="0"/>
        <w:autoSpaceDN w:val="0"/>
        <w:adjustRightInd w:val="0"/>
        <w:spacing w:before="120"/>
        <w:jc w:val="left"/>
        <w:rPr>
          <w:b/>
          <w:bCs/>
          <w:szCs w:val="24"/>
          <w:u w:val="single"/>
        </w:rPr>
      </w:pPr>
      <w:r w:rsidRPr="001B7F77">
        <w:rPr>
          <w:b/>
          <w:bCs/>
          <w:szCs w:val="24"/>
          <w:u w:val="single"/>
        </w:rPr>
        <w:t xml:space="preserve">PUBLIC ROOM OR PART (MDL 4(17)). </w:t>
      </w:r>
      <w:r w:rsidRPr="001B7F77">
        <w:rPr>
          <w:szCs w:val="24"/>
          <w:u w:val="single"/>
        </w:rPr>
        <w:t>See Appendix D.</w:t>
      </w:r>
    </w:p>
    <w:p w14:paraId="5335C2BA" w14:textId="77777777" w:rsidR="001B7F77" w:rsidRPr="001B7F77" w:rsidRDefault="001B7F77" w:rsidP="001B7F77">
      <w:pPr>
        <w:widowControl w:val="0"/>
        <w:autoSpaceDE w:val="0"/>
        <w:autoSpaceDN w:val="0"/>
        <w:adjustRightInd w:val="0"/>
        <w:spacing w:before="120"/>
        <w:jc w:val="left"/>
        <w:rPr>
          <w:b/>
          <w:bCs/>
          <w:szCs w:val="24"/>
          <w:u w:val="single"/>
        </w:rPr>
      </w:pPr>
      <w:r w:rsidRPr="001B7F77">
        <w:rPr>
          <w:b/>
          <w:bCs/>
          <w:szCs w:val="24"/>
          <w:u w:val="single"/>
        </w:rPr>
        <w:t xml:space="preserve">PUBLIC VESTIBULE (MDL 4(17)). </w:t>
      </w:r>
      <w:r w:rsidRPr="001B7F77">
        <w:rPr>
          <w:szCs w:val="24"/>
          <w:u w:val="single"/>
        </w:rPr>
        <w:t>See Appendix D.</w:t>
      </w:r>
    </w:p>
    <w:p w14:paraId="507C319C" w14:textId="77777777" w:rsidR="001B7F77" w:rsidRPr="001B7F77" w:rsidRDefault="001B7F77" w:rsidP="001B7F77">
      <w:pPr>
        <w:widowControl w:val="0"/>
        <w:suppressAutoHyphens/>
        <w:autoSpaceDE w:val="0"/>
        <w:autoSpaceDN w:val="0"/>
        <w:adjustRightInd w:val="0"/>
        <w:spacing w:before="120"/>
        <w:rPr>
          <w:szCs w:val="24"/>
          <w:u w:val="single"/>
        </w:rPr>
      </w:pPr>
      <w:r w:rsidRPr="001B7F77">
        <w:rPr>
          <w:b/>
          <w:bCs/>
          <w:szCs w:val="24"/>
          <w:u w:val="single"/>
        </w:rPr>
        <w:t>REAR WALL.</w:t>
      </w:r>
      <w:r w:rsidRPr="001B7F77">
        <w:rPr>
          <w:szCs w:val="24"/>
          <w:u w:val="single"/>
        </w:rPr>
        <w:t xml:space="preserve"> See FRONT/REAR WALL.</w:t>
      </w:r>
    </w:p>
    <w:p w14:paraId="478817EC" w14:textId="77777777" w:rsidR="001B7F77" w:rsidRPr="001B7F77" w:rsidRDefault="001B7F77" w:rsidP="001B7F77">
      <w:pPr>
        <w:widowControl w:val="0"/>
        <w:autoSpaceDE w:val="0"/>
        <w:autoSpaceDN w:val="0"/>
        <w:adjustRightInd w:val="0"/>
        <w:spacing w:before="120"/>
        <w:jc w:val="left"/>
        <w:rPr>
          <w:b/>
          <w:bCs/>
          <w:szCs w:val="24"/>
          <w:u w:val="single"/>
        </w:rPr>
      </w:pPr>
      <w:r w:rsidRPr="001B7F77">
        <w:rPr>
          <w:b/>
          <w:bCs/>
          <w:szCs w:val="24"/>
          <w:u w:val="single"/>
        </w:rPr>
        <w:t xml:space="preserve">REAR YARD (MDL 4(32)). </w:t>
      </w:r>
      <w:r w:rsidRPr="001B7F77">
        <w:rPr>
          <w:szCs w:val="24"/>
          <w:u w:val="single"/>
        </w:rPr>
        <w:t>See Appendix D.</w:t>
      </w:r>
    </w:p>
    <w:p w14:paraId="4B0A81F0" w14:textId="77777777" w:rsidR="001B7F77" w:rsidRPr="001B7F77" w:rsidRDefault="001B7F77" w:rsidP="001B7F77">
      <w:pPr>
        <w:widowControl w:val="0"/>
        <w:suppressAutoHyphens/>
        <w:autoSpaceDE w:val="0"/>
        <w:autoSpaceDN w:val="0"/>
        <w:adjustRightInd w:val="0"/>
        <w:spacing w:before="120"/>
        <w:rPr>
          <w:szCs w:val="24"/>
        </w:rPr>
      </w:pPr>
      <w:bookmarkStart w:id="52" w:name="_Toc389064736"/>
      <w:r w:rsidRPr="001B7F77">
        <w:rPr>
          <w:b/>
          <w:bCs/>
          <w:szCs w:val="24"/>
          <w:u w:val="single"/>
        </w:rPr>
        <w:t>REPAIR.</w:t>
      </w:r>
      <w:bookmarkEnd w:id="52"/>
      <w:r w:rsidRPr="001B7F77">
        <w:rPr>
          <w:b/>
          <w:bCs/>
          <w:szCs w:val="24"/>
          <w:u w:val="single"/>
        </w:rPr>
        <w:t xml:space="preserve"> </w:t>
      </w:r>
      <w:r w:rsidRPr="001B7F77">
        <w:rPr>
          <w:szCs w:val="24"/>
          <w:u w:val="single"/>
        </w:rPr>
        <w:t>The reconstruction or renewal of any part of an existing building for the purpose of its maintenance or to correct damage.</w:t>
      </w:r>
      <w:bookmarkStart w:id="53" w:name="_Toc389064737"/>
    </w:p>
    <w:p w14:paraId="6D27BFC8" w14:textId="77777777" w:rsidR="001B7F77" w:rsidRPr="001B7F77" w:rsidRDefault="001B7F77" w:rsidP="001B7F77">
      <w:pPr>
        <w:widowControl w:val="0"/>
        <w:suppressAutoHyphens/>
        <w:autoSpaceDE w:val="0"/>
        <w:autoSpaceDN w:val="0"/>
        <w:adjustRightInd w:val="0"/>
        <w:spacing w:before="120"/>
        <w:rPr>
          <w:szCs w:val="24"/>
        </w:rPr>
      </w:pPr>
      <w:r w:rsidRPr="001B7F77">
        <w:rPr>
          <w:b/>
          <w:bCs/>
          <w:szCs w:val="24"/>
          <w:u w:val="single"/>
        </w:rPr>
        <w:t>REROOFING.</w:t>
      </w:r>
      <w:bookmarkEnd w:id="53"/>
      <w:r w:rsidRPr="001B7F77">
        <w:rPr>
          <w:b/>
          <w:bCs/>
          <w:szCs w:val="24"/>
          <w:u w:val="single"/>
        </w:rPr>
        <w:t xml:space="preserve"> </w:t>
      </w:r>
      <w:r w:rsidRPr="001B7F77">
        <w:rPr>
          <w:szCs w:val="24"/>
          <w:u w:val="single"/>
        </w:rPr>
        <w:t>The process of recovering or replacing an existing roof covering. See “Roof recover” and “Roof replacement.”</w:t>
      </w:r>
      <w:bookmarkStart w:id="54" w:name="_Toc389064738"/>
    </w:p>
    <w:p w14:paraId="28F55591" w14:textId="77777777" w:rsidR="001B7F77" w:rsidRPr="001B7F77" w:rsidRDefault="001B7F77" w:rsidP="001B7F77">
      <w:pPr>
        <w:widowControl w:val="0"/>
        <w:suppressAutoHyphens/>
        <w:autoSpaceDE w:val="0"/>
        <w:autoSpaceDN w:val="0"/>
        <w:adjustRightInd w:val="0"/>
        <w:spacing w:before="120"/>
        <w:rPr>
          <w:szCs w:val="24"/>
          <w:u w:val="single"/>
        </w:rPr>
      </w:pPr>
      <w:r w:rsidRPr="001B7F77">
        <w:rPr>
          <w:b/>
          <w:bCs/>
          <w:szCs w:val="24"/>
          <w:u w:val="single"/>
        </w:rPr>
        <w:t>ROOF RECOVER.</w:t>
      </w:r>
      <w:bookmarkEnd w:id="54"/>
      <w:r w:rsidRPr="001B7F77">
        <w:rPr>
          <w:b/>
          <w:bCs/>
          <w:szCs w:val="24"/>
          <w:u w:val="single"/>
        </w:rPr>
        <w:t xml:space="preserve"> </w:t>
      </w:r>
      <w:r w:rsidRPr="001B7F77">
        <w:rPr>
          <w:szCs w:val="24"/>
          <w:u w:val="single"/>
        </w:rPr>
        <w:t>The process of installing an additional roof covering over a prepared existing roof covering without removing the existing roof covering.</w:t>
      </w:r>
      <w:bookmarkStart w:id="55" w:name="_Toc389064739"/>
    </w:p>
    <w:p w14:paraId="66E06388" w14:textId="77777777" w:rsidR="001B7F77" w:rsidRPr="001B7F77" w:rsidRDefault="001B7F77" w:rsidP="001B7F77">
      <w:pPr>
        <w:widowControl w:val="0"/>
        <w:suppressAutoHyphens/>
        <w:autoSpaceDE w:val="0"/>
        <w:autoSpaceDN w:val="0"/>
        <w:adjustRightInd w:val="0"/>
        <w:spacing w:before="120"/>
        <w:rPr>
          <w:szCs w:val="24"/>
          <w:u w:val="single"/>
        </w:rPr>
      </w:pPr>
      <w:r w:rsidRPr="001B7F77">
        <w:rPr>
          <w:b/>
          <w:bCs/>
          <w:szCs w:val="24"/>
          <w:u w:val="single"/>
        </w:rPr>
        <w:t>ROOF REPAIR.</w:t>
      </w:r>
      <w:bookmarkEnd w:id="55"/>
      <w:r w:rsidRPr="001B7F77">
        <w:rPr>
          <w:b/>
          <w:bCs/>
          <w:szCs w:val="24"/>
          <w:u w:val="single"/>
        </w:rPr>
        <w:t xml:space="preserve"> </w:t>
      </w:r>
      <w:r w:rsidRPr="001B7F77">
        <w:rPr>
          <w:szCs w:val="24"/>
          <w:u w:val="single"/>
        </w:rPr>
        <w:t>Reconstruction or renewal of any part of an existing roof for the purposes of its maintenance.</w:t>
      </w:r>
      <w:bookmarkStart w:id="56" w:name="_Toc389064740"/>
    </w:p>
    <w:p w14:paraId="495739AA" w14:textId="77777777" w:rsidR="001B7F77" w:rsidRPr="001B7F77" w:rsidRDefault="001B7F77" w:rsidP="001B7F77">
      <w:pPr>
        <w:widowControl w:val="0"/>
        <w:suppressAutoHyphens/>
        <w:autoSpaceDE w:val="0"/>
        <w:autoSpaceDN w:val="0"/>
        <w:adjustRightInd w:val="0"/>
        <w:spacing w:before="120"/>
        <w:rPr>
          <w:szCs w:val="24"/>
        </w:rPr>
      </w:pPr>
      <w:r w:rsidRPr="001B7F77">
        <w:rPr>
          <w:b/>
          <w:bCs/>
          <w:szCs w:val="24"/>
          <w:u w:val="single"/>
        </w:rPr>
        <w:t>ROOF REPLACEMENT.</w:t>
      </w:r>
      <w:bookmarkEnd w:id="56"/>
      <w:r w:rsidRPr="001B7F77">
        <w:rPr>
          <w:b/>
          <w:bCs/>
          <w:szCs w:val="24"/>
          <w:u w:val="single"/>
        </w:rPr>
        <w:t xml:space="preserve"> </w:t>
      </w:r>
      <w:r w:rsidRPr="001B7F77">
        <w:rPr>
          <w:szCs w:val="24"/>
          <w:u w:val="single"/>
        </w:rPr>
        <w:t>The process of removing the existing roof covering, repairing any damaged substrate and installing a new roof covering.</w:t>
      </w:r>
    </w:p>
    <w:p w14:paraId="324BFFC2" w14:textId="77777777" w:rsidR="001B7F77" w:rsidRPr="001B7F77" w:rsidRDefault="001B7F77" w:rsidP="001B7F77">
      <w:pPr>
        <w:widowControl w:val="0"/>
        <w:autoSpaceDE w:val="0"/>
        <w:autoSpaceDN w:val="0"/>
        <w:adjustRightInd w:val="0"/>
        <w:spacing w:before="120"/>
        <w:jc w:val="left"/>
        <w:rPr>
          <w:b/>
          <w:bCs/>
          <w:szCs w:val="24"/>
          <w:u w:val="single"/>
        </w:rPr>
      </w:pPr>
      <w:r w:rsidRPr="001B7F77">
        <w:rPr>
          <w:b/>
          <w:bCs/>
          <w:szCs w:val="24"/>
          <w:u w:val="single"/>
        </w:rPr>
        <w:t xml:space="preserve">ROOMING HOUSE, FURNISHED ROOM HOUSE (MDL 4(13)). </w:t>
      </w:r>
      <w:r w:rsidRPr="001B7F77">
        <w:rPr>
          <w:szCs w:val="24"/>
          <w:u w:val="single"/>
        </w:rPr>
        <w:t>See Appendix D.</w:t>
      </w:r>
    </w:p>
    <w:p w14:paraId="289F7684" w14:textId="77777777" w:rsidR="001B7F77" w:rsidRPr="001B7F77" w:rsidRDefault="001B7F77" w:rsidP="001B7F77">
      <w:pPr>
        <w:widowControl w:val="0"/>
        <w:suppressAutoHyphens/>
        <w:autoSpaceDE w:val="0"/>
        <w:autoSpaceDN w:val="0"/>
        <w:adjustRightInd w:val="0"/>
        <w:spacing w:before="120"/>
        <w:rPr>
          <w:bCs/>
          <w:szCs w:val="24"/>
          <w:u w:val="single"/>
        </w:rPr>
      </w:pPr>
      <w:r w:rsidRPr="001B7F77">
        <w:rPr>
          <w:b/>
          <w:bCs/>
          <w:szCs w:val="24"/>
          <w:u w:val="single"/>
        </w:rPr>
        <w:t>SIDE WALL.</w:t>
      </w:r>
      <w:r w:rsidRPr="001B7F77">
        <w:rPr>
          <w:bCs/>
          <w:szCs w:val="24"/>
          <w:u w:val="single"/>
        </w:rPr>
        <w:t xml:space="preserve"> An exterior masonry wall that is not the front or rear wall.</w:t>
      </w:r>
    </w:p>
    <w:p w14:paraId="089272E8" w14:textId="77777777" w:rsidR="001B7F77" w:rsidRPr="001B7F77" w:rsidRDefault="001B7F77" w:rsidP="001B7F77">
      <w:pPr>
        <w:widowControl w:val="0"/>
        <w:autoSpaceDE w:val="0"/>
        <w:autoSpaceDN w:val="0"/>
        <w:adjustRightInd w:val="0"/>
        <w:spacing w:before="120"/>
        <w:jc w:val="left"/>
        <w:rPr>
          <w:b/>
          <w:bCs/>
          <w:szCs w:val="24"/>
          <w:u w:val="single"/>
        </w:rPr>
      </w:pPr>
      <w:r w:rsidRPr="001B7F77">
        <w:rPr>
          <w:b/>
          <w:bCs/>
          <w:szCs w:val="24"/>
          <w:u w:val="single"/>
        </w:rPr>
        <w:t xml:space="preserve">SINGLE ROOM OCCUPANCY (MDL 4(16)). </w:t>
      </w:r>
      <w:r w:rsidRPr="001B7F77">
        <w:rPr>
          <w:szCs w:val="24"/>
          <w:u w:val="single"/>
        </w:rPr>
        <w:t>See Appendix D.</w:t>
      </w:r>
    </w:p>
    <w:p w14:paraId="754EF6A9" w14:textId="77777777" w:rsidR="001B7F77" w:rsidRPr="001B7F77" w:rsidRDefault="001B7F77" w:rsidP="001B7F77">
      <w:pPr>
        <w:widowControl w:val="0"/>
        <w:suppressAutoHyphens/>
        <w:autoSpaceDE w:val="0"/>
        <w:autoSpaceDN w:val="0"/>
        <w:adjustRightInd w:val="0"/>
        <w:spacing w:before="120"/>
        <w:rPr>
          <w:b/>
          <w:bCs/>
          <w:szCs w:val="24"/>
          <w:u w:val="single"/>
        </w:rPr>
      </w:pPr>
      <w:r w:rsidRPr="001B7F77">
        <w:rPr>
          <w:b/>
          <w:bCs/>
          <w:szCs w:val="24"/>
          <w:u w:val="single"/>
        </w:rPr>
        <w:t>SMOKE-STOP DOOR.</w:t>
      </w:r>
      <w:r w:rsidRPr="001B7F77">
        <w:rPr>
          <w:szCs w:val="24"/>
          <w:u w:val="single"/>
        </w:rPr>
        <w:t xml:space="preserve"> A door or set of doors placed in a corridor to restrict the spread of smoke and to retard the spread of fire by reducing draft.</w:t>
      </w:r>
    </w:p>
    <w:p w14:paraId="71599D10" w14:textId="77777777" w:rsidR="001B7F77" w:rsidRPr="001B7F77" w:rsidRDefault="001B7F77" w:rsidP="001B7F77">
      <w:pPr>
        <w:widowControl w:val="0"/>
        <w:autoSpaceDE w:val="0"/>
        <w:autoSpaceDN w:val="0"/>
        <w:adjustRightInd w:val="0"/>
        <w:spacing w:before="120"/>
        <w:jc w:val="left"/>
        <w:rPr>
          <w:b/>
          <w:bCs/>
          <w:szCs w:val="24"/>
          <w:u w:val="single"/>
        </w:rPr>
      </w:pPr>
      <w:r w:rsidRPr="001B7F77">
        <w:rPr>
          <w:b/>
          <w:bCs/>
          <w:szCs w:val="24"/>
          <w:u w:val="single"/>
        </w:rPr>
        <w:t xml:space="preserve">STORY (MDL 4(36)). </w:t>
      </w:r>
      <w:r w:rsidRPr="001B7F77">
        <w:rPr>
          <w:szCs w:val="24"/>
          <w:u w:val="single"/>
        </w:rPr>
        <w:t>See Appendix D.</w:t>
      </w:r>
    </w:p>
    <w:p w14:paraId="15EB6FC4" w14:textId="77777777" w:rsidR="001B7F77" w:rsidRPr="001B7F77" w:rsidRDefault="001B7F77" w:rsidP="001B7F77">
      <w:pPr>
        <w:widowControl w:val="0"/>
        <w:autoSpaceDE w:val="0"/>
        <w:autoSpaceDN w:val="0"/>
        <w:adjustRightInd w:val="0"/>
        <w:spacing w:before="120"/>
        <w:jc w:val="left"/>
        <w:rPr>
          <w:szCs w:val="24"/>
          <w:u w:val="single"/>
        </w:rPr>
      </w:pPr>
      <w:r w:rsidRPr="001B7F77">
        <w:rPr>
          <w:b/>
          <w:bCs/>
          <w:szCs w:val="24"/>
          <w:u w:val="single"/>
        </w:rPr>
        <w:t xml:space="preserve">STREET WALL (MDL 4(34)). </w:t>
      </w:r>
      <w:r w:rsidRPr="001B7F77">
        <w:rPr>
          <w:szCs w:val="24"/>
          <w:u w:val="single"/>
        </w:rPr>
        <w:t>See Appendix D.</w:t>
      </w:r>
    </w:p>
    <w:p w14:paraId="042B7CE9" w14:textId="77777777" w:rsidR="001B7F77" w:rsidRPr="001B7F77" w:rsidRDefault="001B7F77" w:rsidP="001B7F77">
      <w:pPr>
        <w:widowControl w:val="0"/>
        <w:suppressAutoHyphens/>
        <w:spacing w:before="120"/>
        <w:rPr>
          <w:szCs w:val="24"/>
          <w:u w:val="single"/>
          <w:lang w:eastAsia="zh-CN"/>
        </w:rPr>
      </w:pPr>
      <w:bookmarkStart w:id="57" w:name="_Hlk73698669"/>
      <w:r w:rsidRPr="001B7F77">
        <w:rPr>
          <w:b/>
          <w:bCs/>
          <w:szCs w:val="24"/>
          <w:u w:val="single"/>
          <w:lang w:eastAsia="zh-CN"/>
        </w:rPr>
        <w:t xml:space="preserve">STRUCTURAL ALTERATION. </w:t>
      </w:r>
      <w:r w:rsidRPr="001B7F77">
        <w:rPr>
          <w:szCs w:val="24"/>
          <w:u w:val="single"/>
          <w:lang w:eastAsia="zh-CN"/>
        </w:rPr>
        <w:t>Work performed on a structural element or that increases the loading on a structural element in an existing building.</w:t>
      </w:r>
      <w:bookmarkEnd w:id="57"/>
    </w:p>
    <w:p w14:paraId="1363ADCB" w14:textId="77777777" w:rsidR="001B7F77" w:rsidRPr="001B7F77" w:rsidRDefault="001B7F77" w:rsidP="001B7F77">
      <w:pPr>
        <w:widowControl w:val="0"/>
        <w:suppressAutoHyphens/>
        <w:autoSpaceDE w:val="0"/>
        <w:autoSpaceDN w:val="0"/>
        <w:adjustRightInd w:val="0"/>
        <w:spacing w:before="120"/>
        <w:rPr>
          <w:szCs w:val="24"/>
          <w:u w:val="single"/>
        </w:rPr>
      </w:pPr>
      <w:r w:rsidRPr="001B7F77">
        <w:rPr>
          <w:b/>
          <w:szCs w:val="24"/>
          <w:u w:val="single"/>
        </w:rPr>
        <w:t xml:space="preserve">STRUCTURAL ELEMENT. </w:t>
      </w:r>
      <w:r w:rsidRPr="001B7F77">
        <w:rPr>
          <w:szCs w:val="24"/>
          <w:u w:val="single"/>
        </w:rPr>
        <w:t xml:space="preserve">Any member or portion of a building structure or non-building structure, or its connections or foundations, </w:t>
      </w:r>
      <w:r w:rsidRPr="001B7F77">
        <w:rPr>
          <w:szCs w:val="24"/>
          <w:u w:val="single"/>
          <w:lang w:eastAsia="zh-CN"/>
        </w:rPr>
        <w:t>that</w:t>
      </w:r>
      <w:r w:rsidRPr="001B7F77">
        <w:rPr>
          <w:szCs w:val="24"/>
          <w:u w:val="single"/>
        </w:rPr>
        <w:t xml:space="preserve"> resist structural loads defined in Chapter 16 of the </w:t>
      </w:r>
      <w:r w:rsidRPr="001B7F77">
        <w:rPr>
          <w:i/>
          <w:szCs w:val="24"/>
          <w:u w:val="single"/>
        </w:rPr>
        <w:t>New York City Building Code</w:t>
      </w:r>
      <w:r w:rsidRPr="001B7F77">
        <w:rPr>
          <w:szCs w:val="24"/>
          <w:u w:val="single"/>
        </w:rPr>
        <w:t>.</w:t>
      </w:r>
      <w:bookmarkStart w:id="58" w:name="_Toc389064742"/>
    </w:p>
    <w:p w14:paraId="720F1298" w14:textId="77777777" w:rsidR="001B7F77" w:rsidRPr="001B7F77" w:rsidRDefault="001B7F77" w:rsidP="001B7F77">
      <w:pPr>
        <w:widowControl w:val="0"/>
        <w:suppressAutoHyphens/>
        <w:autoSpaceDE w:val="0"/>
        <w:autoSpaceDN w:val="0"/>
        <w:adjustRightInd w:val="0"/>
        <w:spacing w:before="120"/>
        <w:rPr>
          <w:i/>
          <w:iCs/>
          <w:szCs w:val="24"/>
        </w:rPr>
      </w:pPr>
      <w:r w:rsidRPr="001B7F77">
        <w:rPr>
          <w:b/>
          <w:bCs/>
          <w:szCs w:val="24"/>
          <w:u w:val="single"/>
        </w:rPr>
        <w:t>SUBSTANTIAL DAMAGE.</w:t>
      </w:r>
      <w:bookmarkEnd w:id="58"/>
      <w:r w:rsidRPr="001B7F77">
        <w:rPr>
          <w:b/>
          <w:bCs/>
          <w:szCs w:val="24"/>
          <w:u w:val="single"/>
        </w:rPr>
        <w:t xml:space="preserve"> </w:t>
      </w:r>
      <w:r w:rsidRPr="001B7F77">
        <w:rPr>
          <w:szCs w:val="24"/>
          <w:u w:val="single"/>
        </w:rPr>
        <w:t xml:space="preserve">See Chapter 2 of the </w:t>
      </w:r>
      <w:r w:rsidRPr="001B7F77">
        <w:rPr>
          <w:i/>
          <w:iCs/>
          <w:szCs w:val="24"/>
          <w:u w:val="single"/>
        </w:rPr>
        <w:t>New York City Building Code.</w:t>
      </w:r>
      <w:bookmarkStart w:id="59" w:name="_Toc389064743"/>
    </w:p>
    <w:p w14:paraId="474946DB" w14:textId="77777777" w:rsidR="001B7F77" w:rsidRPr="001B7F77" w:rsidRDefault="001B7F77" w:rsidP="001B7F77">
      <w:pPr>
        <w:widowControl w:val="0"/>
        <w:suppressAutoHyphens/>
        <w:autoSpaceDE w:val="0"/>
        <w:autoSpaceDN w:val="0"/>
        <w:adjustRightInd w:val="0"/>
        <w:spacing w:before="120"/>
        <w:rPr>
          <w:i/>
          <w:iCs/>
          <w:szCs w:val="24"/>
        </w:rPr>
      </w:pPr>
      <w:r w:rsidRPr="001B7F77">
        <w:rPr>
          <w:b/>
          <w:bCs/>
          <w:szCs w:val="24"/>
          <w:u w:val="single"/>
        </w:rPr>
        <w:t>SUBSTANTIAL IMPROVEMENT.</w:t>
      </w:r>
      <w:bookmarkEnd w:id="59"/>
      <w:r w:rsidRPr="001B7F77">
        <w:rPr>
          <w:b/>
          <w:bCs/>
          <w:szCs w:val="24"/>
          <w:u w:val="single"/>
        </w:rPr>
        <w:t xml:space="preserve"> </w:t>
      </w:r>
      <w:r w:rsidRPr="001B7F77">
        <w:rPr>
          <w:szCs w:val="24"/>
          <w:u w:val="single"/>
        </w:rPr>
        <w:t xml:space="preserve">See Chapter 2 of the </w:t>
      </w:r>
      <w:r w:rsidRPr="001B7F77">
        <w:rPr>
          <w:i/>
          <w:iCs/>
          <w:szCs w:val="24"/>
          <w:u w:val="single"/>
        </w:rPr>
        <w:t>New York City Building Code.</w:t>
      </w:r>
      <w:bookmarkStart w:id="60" w:name="_Toc389064745"/>
    </w:p>
    <w:p w14:paraId="6130204A" w14:textId="77777777" w:rsidR="001B7F77" w:rsidRPr="001B7F77" w:rsidRDefault="001B7F77" w:rsidP="001B7F77">
      <w:pPr>
        <w:widowControl w:val="0"/>
        <w:suppressAutoHyphens/>
        <w:autoSpaceDE w:val="0"/>
        <w:autoSpaceDN w:val="0"/>
        <w:adjustRightInd w:val="0"/>
        <w:spacing w:before="120"/>
        <w:rPr>
          <w:szCs w:val="24"/>
        </w:rPr>
      </w:pPr>
      <w:r w:rsidRPr="001B7F77">
        <w:rPr>
          <w:b/>
          <w:bCs/>
          <w:szCs w:val="24"/>
          <w:u w:val="single"/>
        </w:rPr>
        <w:t>TECHNICALLY INFEASIBLE.</w:t>
      </w:r>
      <w:bookmarkEnd w:id="60"/>
      <w:r w:rsidRPr="001B7F77">
        <w:rPr>
          <w:b/>
          <w:bCs/>
          <w:szCs w:val="24"/>
          <w:u w:val="single"/>
        </w:rPr>
        <w:t xml:space="preserve"> </w:t>
      </w:r>
      <w:r w:rsidRPr="001B7F77">
        <w:rPr>
          <w:szCs w:val="24"/>
          <w:u w:val="single"/>
        </w:rPr>
        <w:t xml:space="preserve">An alteration of a facility that has little likelihood of being accomplished because the existing structural conditions require the removal or alteration of a load-bearing member that is an essential part of the structural frame, or because other existing physical or site constraints prohibit modification or addition of elements, spaces or features </w:t>
      </w:r>
      <w:r w:rsidRPr="001B7F77">
        <w:rPr>
          <w:szCs w:val="24"/>
          <w:u w:val="single"/>
          <w:lang w:eastAsia="zh-CN"/>
        </w:rPr>
        <w:t>that</w:t>
      </w:r>
      <w:r w:rsidRPr="001B7F77">
        <w:rPr>
          <w:szCs w:val="24"/>
          <w:u w:val="single"/>
        </w:rPr>
        <w:t xml:space="preserve"> are in full and strict compliance with the minimum requirements for new construction and </w:t>
      </w:r>
      <w:r w:rsidRPr="001B7F77">
        <w:rPr>
          <w:szCs w:val="24"/>
          <w:u w:val="single"/>
          <w:lang w:eastAsia="zh-CN"/>
        </w:rPr>
        <w:t>that</w:t>
      </w:r>
      <w:r w:rsidRPr="001B7F77">
        <w:rPr>
          <w:szCs w:val="24"/>
          <w:u w:val="single"/>
        </w:rPr>
        <w:t xml:space="preserve"> are necessary to provide accessibility.</w:t>
      </w:r>
    </w:p>
    <w:p w14:paraId="0E53A3D5" w14:textId="77777777" w:rsidR="001B7F77" w:rsidRPr="001B7F77" w:rsidRDefault="001B7F77" w:rsidP="001B7F77">
      <w:pPr>
        <w:widowControl w:val="0"/>
        <w:autoSpaceDE w:val="0"/>
        <w:autoSpaceDN w:val="0"/>
        <w:adjustRightInd w:val="0"/>
        <w:spacing w:before="120"/>
        <w:jc w:val="left"/>
        <w:rPr>
          <w:b/>
          <w:bCs/>
          <w:szCs w:val="24"/>
          <w:u w:val="single"/>
        </w:rPr>
      </w:pPr>
      <w:r w:rsidRPr="001B7F77">
        <w:rPr>
          <w:b/>
          <w:bCs/>
          <w:szCs w:val="24"/>
          <w:u w:val="single"/>
        </w:rPr>
        <w:t xml:space="preserve">TENEMENT (MDL 4(11)). </w:t>
      </w:r>
      <w:r w:rsidRPr="001B7F77">
        <w:rPr>
          <w:szCs w:val="24"/>
          <w:u w:val="single"/>
        </w:rPr>
        <w:t>See Appendix D.</w:t>
      </w:r>
    </w:p>
    <w:p w14:paraId="39C0D9E7" w14:textId="77777777" w:rsidR="001B7F77" w:rsidRPr="001B7F77" w:rsidRDefault="001B7F77" w:rsidP="001B7F77">
      <w:pPr>
        <w:widowControl w:val="0"/>
        <w:autoSpaceDE w:val="0"/>
        <w:autoSpaceDN w:val="0"/>
        <w:adjustRightInd w:val="0"/>
        <w:spacing w:before="120"/>
        <w:jc w:val="left"/>
        <w:rPr>
          <w:szCs w:val="24"/>
          <w:u w:val="single"/>
        </w:rPr>
      </w:pPr>
      <w:r w:rsidRPr="001B7F77">
        <w:rPr>
          <w:b/>
          <w:bCs/>
          <w:szCs w:val="24"/>
          <w:u w:val="single"/>
        </w:rPr>
        <w:t xml:space="preserve">TENEMENT, NEW LAW (NL) (MDL 4(11)). </w:t>
      </w:r>
      <w:r w:rsidRPr="001B7F77">
        <w:rPr>
          <w:szCs w:val="24"/>
          <w:u w:val="single"/>
        </w:rPr>
        <w:t>See Appendix D.</w:t>
      </w:r>
    </w:p>
    <w:p w14:paraId="36743D3F" w14:textId="77777777" w:rsidR="001B7F77" w:rsidRPr="001B7F77" w:rsidRDefault="001B7F77" w:rsidP="001B7F77">
      <w:pPr>
        <w:widowControl w:val="0"/>
        <w:autoSpaceDE w:val="0"/>
        <w:autoSpaceDN w:val="0"/>
        <w:adjustRightInd w:val="0"/>
        <w:spacing w:before="120"/>
        <w:jc w:val="left"/>
        <w:rPr>
          <w:b/>
          <w:bCs/>
          <w:szCs w:val="24"/>
          <w:u w:val="single"/>
        </w:rPr>
      </w:pPr>
      <w:r w:rsidRPr="001B7F77">
        <w:rPr>
          <w:b/>
          <w:bCs/>
          <w:szCs w:val="24"/>
          <w:u w:val="single"/>
        </w:rPr>
        <w:t xml:space="preserve">TENEMENT, OLD LAW (OL) (MDL 4(11)). </w:t>
      </w:r>
      <w:r w:rsidRPr="001B7F77">
        <w:rPr>
          <w:szCs w:val="24"/>
          <w:u w:val="single"/>
        </w:rPr>
        <w:t>See Appendix D.</w:t>
      </w:r>
    </w:p>
    <w:p w14:paraId="245E7AEC" w14:textId="77777777" w:rsidR="001B7F77" w:rsidRPr="001B7F77" w:rsidRDefault="001B7F77" w:rsidP="001B7F77">
      <w:pPr>
        <w:widowControl w:val="0"/>
        <w:suppressAutoHyphens/>
        <w:autoSpaceDE w:val="0"/>
        <w:autoSpaceDN w:val="0"/>
        <w:adjustRightInd w:val="0"/>
        <w:spacing w:before="120"/>
        <w:rPr>
          <w:szCs w:val="24"/>
          <w:u w:val="single"/>
        </w:rPr>
      </w:pPr>
      <w:bookmarkStart w:id="61" w:name="_Toc389064746"/>
      <w:r w:rsidRPr="001B7F77">
        <w:rPr>
          <w:b/>
          <w:bCs/>
          <w:szCs w:val="24"/>
          <w:u w:val="single"/>
        </w:rPr>
        <w:t>UNSAFE.</w:t>
      </w:r>
      <w:bookmarkEnd w:id="61"/>
      <w:r w:rsidRPr="001B7F77">
        <w:rPr>
          <w:b/>
          <w:bCs/>
          <w:szCs w:val="24"/>
          <w:u w:val="single"/>
        </w:rPr>
        <w:t xml:space="preserve"> </w:t>
      </w:r>
      <w:r w:rsidRPr="001B7F77">
        <w:rPr>
          <w:szCs w:val="24"/>
          <w:u w:val="single"/>
        </w:rPr>
        <w:t>Buildings, structures or equipment that are unsanitary</w:t>
      </w:r>
      <w:r w:rsidRPr="001B7F77">
        <w:rPr>
          <w:szCs w:val="24"/>
          <w:u w:val="single"/>
          <w:lang w:eastAsia="zh-CN"/>
        </w:rPr>
        <w:t>;</w:t>
      </w:r>
      <w:r w:rsidRPr="001B7F77">
        <w:rPr>
          <w:szCs w:val="24"/>
          <w:u w:val="single"/>
        </w:rPr>
        <w:t xml:space="preserve"> that are deficient due to inadequate means of egress facilities, inadequate light and ventilation</w:t>
      </w:r>
      <w:r w:rsidRPr="001B7F77">
        <w:rPr>
          <w:szCs w:val="24"/>
          <w:u w:val="single"/>
          <w:lang w:eastAsia="zh-CN"/>
        </w:rPr>
        <w:t>;</w:t>
      </w:r>
      <w:r w:rsidRPr="001B7F77">
        <w:rPr>
          <w:szCs w:val="24"/>
          <w:u w:val="single"/>
        </w:rPr>
        <w:t xml:space="preserve"> that constitute a fire hazard</w:t>
      </w:r>
      <w:r w:rsidRPr="001B7F77">
        <w:rPr>
          <w:szCs w:val="24"/>
          <w:u w:val="single"/>
          <w:lang w:eastAsia="zh-CN"/>
        </w:rPr>
        <w:t>;</w:t>
      </w:r>
      <w:r w:rsidRPr="001B7F77">
        <w:rPr>
          <w:szCs w:val="24"/>
          <w:u w:val="single"/>
        </w:rPr>
        <w:t xml:space="preserve"> in which the structure or individual structural members meet the definition of “Dangerous”; that are otherwise dangerous to human life or the public welfare</w:t>
      </w:r>
      <w:r w:rsidRPr="001B7F77">
        <w:rPr>
          <w:szCs w:val="24"/>
          <w:u w:val="single"/>
          <w:lang w:eastAsia="zh-CN"/>
        </w:rPr>
        <w:t>;</w:t>
      </w:r>
      <w:r w:rsidRPr="001B7F77">
        <w:rPr>
          <w:szCs w:val="24"/>
          <w:u w:val="single"/>
        </w:rPr>
        <w:t xml:space="preserve"> or that involve illegal or improper occupancy or inadequate maintenance shall be deemed unsafe. A vacant structure that is not secured against entry shall be deemed unsafe.</w:t>
      </w:r>
      <w:bookmarkStart w:id="62" w:name="_Toc389064747"/>
    </w:p>
    <w:p w14:paraId="579E6BD3" w14:textId="77777777" w:rsidR="001B7F77" w:rsidRPr="001B7F77" w:rsidRDefault="001B7F77" w:rsidP="001B7F77">
      <w:pPr>
        <w:widowControl w:val="0"/>
        <w:suppressAutoHyphens/>
        <w:autoSpaceDE w:val="0"/>
        <w:autoSpaceDN w:val="0"/>
        <w:adjustRightInd w:val="0"/>
        <w:spacing w:before="120"/>
        <w:rPr>
          <w:color w:val="000000"/>
          <w:szCs w:val="24"/>
          <w:u w:val="single"/>
        </w:rPr>
      </w:pPr>
      <w:r w:rsidRPr="001B7F77">
        <w:rPr>
          <w:b/>
          <w:bCs/>
          <w:szCs w:val="24"/>
          <w:u w:val="single"/>
        </w:rPr>
        <w:t>WORK AREA.</w:t>
      </w:r>
      <w:bookmarkEnd w:id="62"/>
      <w:r w:rsidRPr="001B7F77">
        <w:rPr>
          <w:b/>
          <w:bCs/>
          <w:szCs w:val="24"/>
          <w:u w:val="single"/>
        </w:rPr>
        <w:t xml:space="preserve"> </w:t>
      </w:r>
      <w:r w:rsidRPr="001B7F77">
        <w:rPr>
          <w:szCs w:val="24"/>
          <w:u w:val="single"/>
        </w:rPr>
        <w:t>That portion or portions of a building consisting of all reconfigured spaces as indicated on the construction documents and described in Chapter 6</w:t>
      </w:r>
      <w:bookmarkEnd w:id="8"/>
      <w:r w:rsidRPr="001B7F77">
        <w:rPr>
          <w:szCs w:val="24"/>
          <w:u w:val="single"/>
        </w:rPr>
        <w:t>.</w:t>
      </w:r>
    </w:p>
    <w:p w14:paraId="739B716A" w14:textId="77777777" w:rsidR="001B7F77" w:rsidRPr="001B7F77" w:rsidRDefault="001B7F77" w:rsidP="001B7F77">
      <w:pPr>
        <w:widowControl w:val="0"/>
        <w:suppressAutoHyphens/>
        <w:spacing w:before="120"/>
        <w:jc w:val="center"/>
        <w:outlineLvl w:val="0"/>
        <w:rPr>
          <w:b/>
          <w:bCs/>
          <w:caps/>
          <w:u w:val="single"/>
        </w:rPr>
      </w:pPr>
      <w:bookmarkStart w:id="63" w:name="_Hlk73627165"/>
    </w:p>
    <w:p w14:paraId="2D5AE1B3" w14:textId="77777777" w:rsidR="001B7F77" w:rsidRPr="001B7F77" w:rsidRDefault="001B7F77" w:rsidP="001B7F77">
      <w:pPr>
        <w:widowControl w:val="0"/>
        <w:suppressAutoHyphens/>
        <w:spacing w:before="120"/>
        <w:jc w:val="center"/>
        <w:outlineLvl w:val="0"/>
        <w:rPr>
          <w:b/>
          <w:bCs/>
          <w:caps/>
          <w:u w:val="single"/>
        </w:rPr>
      </w:pPr>
      <w:r w:rsidRPr="001B7F77">
        <w:rPr>
          <w:b/>
          <w:bCs/>
          <w:caps/>
          <w:u w:val="single"/>
        </w:rPr>
        <w:t>Chapter 3</w:t>
      </w:r>
      <w:r w:rsidRPr="001B7F77">
        <w:rPr>
          <w:b/>
          <w:bCs/>
          <w:caps/>
          <w:u w:val="single"/>
        </w:rPr>
        <w:br/>
        <w:t>APPLICABILITY AND GENERAL PROVISIONS</w:t>
      </w:r>
    </w:p>
    <w:p w14:paraId="129162FA" w14:textId="77777777" w:rsidR="001B7F77" w:rsidRPr="001B7F77" w:rsidRDefault="001B7F77" w:rsidP="001B7F77">
      <w:pPr>
        <w:widowControl w:val="0"/>
        <w:suppressAutoHyphens/>
        <w:spacing w:before="120"/>
        <w:jc w:val="center"/>
        <w:outlineLvl w:val="0"/>
        <w:rPr>
          <w:b/>
          <w:bCs/>
          <w:u w:val="single"/>
        </w:rPr>
      </w:pPr>
      <w:bookmarkStart w:id="64" w:name="sec301"/>
      <w:r w:rsidRPr="001B7F77">
        <w:rPr>
          <w:b/>
          <w:bCs/>
          <w:u w:val="single"/>
        </w:rPr>
        <w:t>SECTION EBC 301</w:t>
      </w:r>
      <w:r w:rsidRPr="001B7F77">
        <w:rPr>
          <w:b/>
          <w:bCs/>
          <w:u w:val="single"/>
        </w:rPr>
        <w:br/>
        <w:t>ADMINISTRATION</w:t>
      </w:r>
    </w:p>
    <w:p w14:paraId="6E8EC737" w14:textId="77777777" w:rsidR="001B7F77" w:rsidRPr="001B7F77" w:rsidRDefault="001B7F77" w:rsidP="001B7F77">
      <w:pPr>
        <w:widowControl w:val="0"/>
        <w:suppressAutoHyphens/>
        <w:spacing w:before="120"/>
        <w:rPr>
          <w:u w:val="single"/>
        </w:rPr>
      </w:pPr>
      <w:r w:rsidRPr="001B7F77">
        <w:rPr>
          <w:b/>
          <w:bCs/>
          <w:u w:val="single"/>
        </w:rPr>
        <w:t xml:space="preserve">301.1 General. </w:t>
      </w:r>
      <w:r w:rsidRPr="001B7F77">
        <w:rPr>
          <w:u w:val="single"/>
        </w:rPr>
        <w:t>The repair, alteration, partial demolition, removal, change of occupancy or relocation, moving, or raising of or addition to existing buildings and structures shall comply with this chapter and the applicable chapters of this code based on the scope of work. Sections 301.1.1 through 301.1.5 shall not be applied in combination with each other unless specifically required by this code.</w:t>
      </w:r>
    </w:p>
    <w:p w14:paraId="767D843C" w14:textId="77777777" w:rsidR="001B7F77" w:rsidRPr="001B7F77" w:rsidRDefault="001B7F77" w:rsidP="001B7F77">
      <w:pPr>
        <w:widowControl w:val="0"/>
        <w:tabs>
          <w:tab w:val="left" w:pos="360"/>
        </w:tabs>
        <w:suppressAutoHyphens/>
        <w:spacing w:before="120"/>
        <w:ind w:left="360"/>
        <w:rPr>
          <w:u w:val="single"/>
        </w:rPr>
      </w:pPr>
      <w:r w:rsidRPr="001B7F77">
        <w:rPr>
          <w:b/>
          <w:bCs/>
          <w:u w:val="single"/>
        </w:rPr>
        <w:t xml:space="preserve">301.1.1 Work not requiring permits. </w:t>
      </w:r>
      <w:r w:rsidRPr="001B7F77">
        <w:rPr>
          <w:u w:val="single"/>
        </w:rPr>
        <w:t>Work not requiring permits, including minor alterations and ordinary repairs, shall comply with this chapter, as applicable, and Section 105.3.</w:t>
      </w:r>
    </w:p>
    <w:p w14:paraId="4846EA5B" w14:textId="77777777" w:rsidR="001B7F77" w:rsidRPr="001B7F77" w:rsidRDefault="001B7F77" w:rsidP="001B7F77">
      <w:pPr>
        <w:widowControl w:val="0"/>
        <w:tabs>
          <w:tab w:val="left" w:pos="360"/>
        </w:tabs>
        <w:suppressAutoHyphens/>
        <w:spacing w:before="120"/>
        <w:ind w:left="360"/>
        <w:rPr>
          <w:u w:val="single"/>
        </w:rPr>
      </w:pPr>
      <w:r w:rsidRPr="001B7F77">
        <w:rPr>
          <w:b/>
          <w:u w:val="single"/>
        </w:rPr>
        <w:t xml:space="preserve">301.1.2 Limited alterations. </w:t>
      </w:r>
      <w:r w:rsidRPr="001B7F77">
        <w:rPr>
          <w:u w:val="single"/>
        </w:rPr>
        <w:t>Limited alterations shall comply with this chapter, as applicable, and Chapter 5 of this code.</w:t>
      </w:r>
    </w:p>
    <w:p w14:paraId="639988F0" w14:textId="77777777" w:rsidR="001B7F77" w:rsidRPr="001B7F77" w:rsidRDefault="001B7F77" w:rsidP="001B7F77">
      <w:pPr>
        <w:widowControl w:val="0"/>
        <w:tabs>
          <w:tab w:val="left" w:pos="360"/>
        </w:tabs>
        <w:suppressAutoHyphens/>
        <w:spacing w:before="120"/>
        <w:ind w:left="360"/>
        <w:rPr>
          <w:u w:val="single"/>
        </w:rPr>
      </w:pPr>
      <w:r w:rsidRPr="001B7F77">
        <w:rPr>
          <w:b/>
          <w:u w:val="single"/>
        </w:rPr>
        <w:t>301.1.3 Work area compliance method.</w:t>
      </w:r>
      <w:r w:rsidRPr="001B7F77">
        <w:rPr>
          <w:u w:val="single"/>
        </w:rPr>
        <w:t xml:space="preserve"> </w:t>
      </w:r>
      <w:bookmarkStart w:id="65" w:name="_Hlk187763167"/>
      <w:r w:rsidRPr="001B7F77">
        <w:rPr>
          <w:u w:val="single"/>
        </w:rPr>
        <w:t>Alterations, additions and changes in occupancy including relocated, moved or raised buildings or structures</w:t>
      </w:r>
      <w:bookmarkEnd w:id="65"/>
      <w:r w:rsidRPr="001B7F77">
        <w:rPr>
          <w:u w:val="single"/>
        </w:rPr>
        <w:t>, as classified in Chapter 6, shall comply with the applicable provisions of this chapter, Chapters 7 through 11 and Chapter 14.</w:t>
      </w:r>
    </w:p>
    <w:p w14:paraId="14273DE6" w14:textId="77777777" w:rsidR="001B7F77" w:rsidRPr="001B7F77" w:rsidRDefault="001B7F77" w:rsidP="001B7F77">
      <w:pPr>
        <w:widowControl w:val="0"/>
        <w:tabs>
          <w:tab w:val="left" w:pos="360"/>
        </w:tabs>
        <w:suppressAutoHyphens/>
        <w:spacing w:before="120"/>
        <w:ind w:left="360"/>
        <w:rPr>
          <w:u w:val="single"/>
        </w:rPr>
      </w:pPr>
      <w:bookmarkStart w:id="66" w:name="_Hlk132630689"/>
      <w:bookmarkStart w:id="67" w:name="_Hlk132630724"/>
      <w:r w:rsidRPr="001B7F77">
        <w:rPr>
          <w:b/>
          <w:u w:val="single"/>
        </w:rPr>
        <w:t xml:space="preserve">301.1.4 Building safety performance and scoring method. </w:t>
      </w:r>
      <w:r w:rsidRPr="001B7F77">
        <w:rPr>
          <w:u w:val="single"/>
        </w:rPr>
        <w:t>For alterations made to existing buildings constructed prior to July 1, 2008, the registered design professional of record shall be permitted to comply with Chapter 13 as an alternative to</w:t>
      </w:r>
      <w:r w:rsidRPr="001B7F77">
        <w:rPr>
          <w:bCs/>
          <w:u w:val="single"/>
        </w:rPr>
        <w:t xml:space="preserve"> </w:t>
      </w:r>
      <w:r w:rsidRPr="001B7F77">
        <w:rPr>
          <w:u w:val="single"/>
        </w:rPr>
        <w:t>compliance with the fire safety and means of egress provisions of this chapter and Chapters 8 through 11, as shown in Table 301.1.4. In order for the building to be considered in compliance with this method, the evaluation performed in accordance with Chapter 13 shall yield a passing score for each category set forth in Section 1304, in accordance with rules promulgated by the Department.</w:t>
      </w:r>
      <w:bookmarkEnd w:id="66"/>
    </w:p>
    <w:bookmarkEnd w:id="67"/>
    <w:p w14:paraId="407E6ACF" w14:textId="77777777" w:rsidR="001B7F77" w:rsidRPr="001B7F77" w:rsidRDefault="001B7F77" w:rsidP="001B7F77">
      <w:pPr>
        <w:widowControl w:val="0"/>
        <w:tabs>
          <w:tab w:val="left" w:pos="8640"/>
        </w:tabs>
        <w:suppressAutoHyphens/>
        <w:spacing w:before="120"/>
        <w:ind w:right="720"/>
        <w:jc w:val="center"/>
        <w:rPr>
          <w:b/>
          <w:bCs/>
          <w:caps/>
          <w:u w:val="single"/>
        </w:rPr>
      </w:pPr>
      <w:r w:rsidRPr="001B7F77">
        <w:rPr>
          <w:b/>
          <w:bCs/>
          <w:caps/>
          <w:u w:val="single"/>
        </w:rPr>
        <w:t>TABLE 301.1.4</w:t>
      </w:r>
      <w:r w:rsidRPr="001B7F77">
        <w:rPr>
          <w:b/>
          <w:bCs/>
          <w:caps/>
          <w:u w:val="single"/>
        </w:rPr>
        <w:br/>
        <w:t>APPLICABILITY OF CHAPTER 13</w:t>
      </w:r>
    </w:p>
    <w:tbl>
      <w:tblPr>
        <w:tblStyle w:val="TableGrid"/>
        <w:tblW w:w="0" w:type="auto"/>
        <w:jc w:val="center"/>
        <w:tblLook w:val="04A0" w:firstRow="1" w:lastRow="0" w:firstColumn="1" w:lastColumn="0" w:noHBand="0" w:noVBand="1"/>
      </w:tblPr>
      <w:tblGrid>
        <w:gridCol w:w="4495"/>
        <w:gridCol w:w="4335"/>
      </w:tblGrid>
      <w:tr w:rsidR="001B7F77" w:rsidRPr="001B7F77" w14:paraId="57825D65" w14:textId="77777777" w:rsidTr="006655A1">
        <w:trPr>
          <w:jc w:val="center"/>
        </w:trPr>
        <w:tc>
          <w:tcPr>
            <w:tcW w:w="4495" w:type="dxa"/>
          </w:tcPr>
          <w:p w14:paraId="4CD46143" w14:textId="77777777" w:rsidR="001B7F77" w:rsidRPr="001B7F77" w:rsidRDefault="001B7F77" w:rsidP="001B7F77">
            <w:pPr>
              <w:widowControl w:val="0"/>
              <w:suppressAutoHyphens/>
              <w:rPr>
                <w:rFonts w:eastAsia="Calibri" w:cs="Arial"/>
                <w:szCs w:val="22"/>
                <w:u w:val="single"/>
              </w:rPr>
            </w:pPr>
            <w:r w:rsidRPr="001B7F77">
              <w:rPr>
                <w:rFonts w:eastAsia="Calibri" w:cs="Arial"/>
                <w:szCs w:val="22"/>
                <w:u w:val="single"/>
              </w:rPr>
              <w:t>CHAPTER/SCOPE OF WORK</w:t>
            </w:r>
          </w:p>
        </w:tc>
        <w:tc>
          <w:tcPr>
            <w:tcW w:w="4335" w:type="dxa"/>
          </w:tcPr>
          <w:p w14:paraId="0AA42DEC" w14:textId="77777777" w:rsidR="001B7F77" w:rsidRPr="001B7F77" w:rsidRDefault="001B7F77" w:rsidP="001B7F77">
            <w:pPr>
              <w:widowControl w:val="0"/>
              <w:suppressAutoHyphens/>
              <w:rPr>
                <w:rFonts w:eastAsia="Calibri" w:cs="Arial"/>
                <w:szCs w:val="22"/>
                <w:u w:val="single"/>
              </w:rPr>
            </w:pPr>
            <w:r w:rsidRPr="001B7F77">
              <w:rPr>
                <w:rFonts w:eastAsia="Calibri" w:cs="Arial"/>
                <w:szCs w:val="22"/>
                <w:u w:val="single"/>
              </w:rPr>
              <w:t>SECTIONS THAT MAY BE SATISFIED BY COMPLIANCE WITH CHAPTER 13</w:t>
            </w:r>
          </w:p>
        </w:tc>
      </w:tr>
      <w:tr w:rsidR="001B7F77" w:rsidRPr="001B7F77" w14:paraId="0ED8E2C4" w14:textId="77777777" w:rsidTr="006655A1">
        <w:trPr>
          <w:jc w:val="center"/>
        </w:trPr>
        <w:tc>
          <w:tcPr>
            <w:tcW w:w="4495" w:type="dxa"/>
          </w:tcPr>
          <w:p w14:paraId="3F45E167" w14:textId="77777777" w:rsidR="001B7F77" w:rsidRPr="001B7F77" w:rsidRDefault="001B7F77" w:rsidP="001B7F77">
            <w:pPr>
              <w:widowControl w:val="0"/>
              <w:suppressAutoHyphens/>
              <w:rPr>
                <w:rFonts w:eastAsia="Calibri" w:cs="Arial"/>
                <w:szCs w:val="22"/>
                <w:u w:val="single"/>
              </w:rPr>
            </w:pPr>
            <w:r w:rsidRPr="001B7F77">
              <w:rPr>
                <w:rFonts w:eastAsia="Calibri" w:cs="Arial"/>
                <w:szCs w:val="22"/>
                <w:u w:val="single"/>
              </w:rPr>
              <w:t>Chapter 3, Provisions for all compliance methods</w:t>
            </w:r>
          </w:p>
        </w:tc>
        <w:tc>
          <w:tcPr>
            <w:tcW w:w="4335" w:type="dxa"/>
          </w:tcPr>
          <w:p w14:paraId="76E513F7" w14:textId="77777777" w:rsidR="001B7F77" w:rsidRPr="001B7F77" w:rsidRDefault="001B7F77" w:rsidP="001B7F77">
            <w:pPr>
              <w:widowControl w:val="0"/>
              <w:suppressAutoHyphens/>
              <w:rPr>
                <w:rFonts w:eastAsia="Calibri" w:cs="Arial"/>
                <w:szCs w:val="22"/>
                <w:u w:val="single"/>
              </w:rPr>
            </w:pPr>
            <w:r w:rsidRPr="001B7F77">
              <w:rPr>
                <w:rFonts w:eastAsia="Calibri" w:cs="Arial"/>
                <w:szCs w:val="22"/>
                <w:u w:val="single"/>
              </w:rPr>
              <w:t>304 Fire Protection</w:t>
            </w:r>
          </w:p>
          <w:p w14:paraId="4D3BEBFB" w14:textId="77777777" w:rsidR="001B7F77" w:rsidRPr="001B7F77" w:rsidRDefault="001B7F77" w:rsidP="001B7F77">
            <w:pPr>
              <w:widowControl w:val="0"/>
              <w:suppressAutoHyphens/>
              <w:rPr>
                <w:rFonts w:eastAsia="Calibri" w:cs="Arial"/>
                <w:szCs w:val="22"/>
                <w:u w:val="single"/>
              </w:rPr>
            </w:pPr>
            <w:r w:rsidRPr="001B7F77">
              <w:rPr>
                <w:rFonts w:eastAsia="Calibri" w:cs="Arial"/>
                <w:szCs w:val="22"/>
                <w:u w:val="single"/>
              </w:rPr>
              <w:t>305 Means of Egress</w:t>
            </w:r>
          </w:p>
        </w:tc>
      </w:tr>
      <w:tr w:rsidR="001B7F77" w:rsidRPr="001B7F77" w14:paraId="6B42EEA7" w14:textId="77777777" w:rsidTr="006655A1">
        <w:trPr>
          <w:jc w:val="center"/>
        </w:trPr>
        <w:tc>
          <w:tcPr>
            <w:tcW w:w="4495" w:type="dxa"/>
          </w:tcPr>
          <w:p w14:paraId="31801FDE" w14:textId="77777777" w:rsidR="001B7F77" w:rsidRPr="001B7F77" w:rsidRDefault="001B7F77" w:rsidP="001B7F77">
            <w:pPr>
              <w:widowControl w:val="0"/>
              <w:suppressAutoHyphens/>
              <w:rPr>
                <w:rFonts w:eastAsia="Calibri" w:cs="Arial"/>
                <w:szCs w:val="22"/>
                <w:u w:val="single"/>
              </w:rPr>
            </w:pPr>
            <w:r w:rsidRPr="001B7F77">
              <w:rPr>
                <w:rFonts w:eastAsia="Calibri" w:cs="Arial"/>
                <w:szCs w:val="22"/>
                <w:u w:val="single"/>
              </w:rPr>
              <w:t>Chapter 8, Level 1 alteration</w:t>
            </w:r>
          </w:p>
        </w:tc>
        <w:tc>
          <w:tcPr>
            <w:tcW w:w="4335" w:type="dxa"/>
          </w:tcPr>
          <w:p w14:paraId="1B535700" w14:textId="77777777" w:rsidR="001B7F77" w:rsidRPr="001B7F77" w:rsidRDefault="001B7F77" w:rsidP="001B7F77">
            <w:pPr>
              <w:widowControl w:val="0"/>
              <w:suppressAutoHyphens/>
              <w:rPr>
                <w:rFonts w:eastAsia="Calibri" w:cs="Arial"/>
                <w:szCs w:val="22"/>
                <w:u w:val="single"/>
              </w:rPr>
            </w:pPr>
            <w:r w:rsidRPr="001B7F77">
              <w:rPr>
                <w:rFonts w:eastAsia="Calibri" w:cs="Arial"/>
                <w:szCs w:val="22"/>
                <w:u w:val="single"/>
              </w:rPr>
              <w:t>803 Building elements and materials</w:t>
            </w:r>
          </w:p>
          <w:p w14:paraId="673D5C30" w14:textId="77777777" w:rsidR="001B7F77" w:rsidRPr="001B7F77" w:rsidRDefault="001B7F77" w:rsidP="001B7F77">
            <w:pPr>
              <w:widowControl w:val="0"/>
              <w:suppressAutoHyphens/>
              <w:rPr>
                <w:rFonts w:eastAsia="Calibri" w:cs="Arial"/>
                <w:szCs w:val="22"/>
                <w:u w:val="single"/>
              </w:rPr>
            </w:pPr>
            <w:r w:rsidRPr="001B7F77">
              <w:rPr>
                <w:rFonts w:eastAsia="Calibri" w:cs="Arial"/>
                <w:szCs w:val="22"/>
                <w:u w:val="single"/>
              </w:rPr>
              <w:t>804 Fire protection</w:t>
            </w:r>
          </w:p>
          <w:p w14:paraId="38067854" w14:textId="77777777" w:rsidR="001B7F77" w:rsidRPr="001B7F77" w:rsidRDefault="001B7F77" w:rsidP="001B7F77">
            <w:pPr>
              <w:widowControl w:val="0"/>
              <w:suppressAutoHyphens/>
              <w:rPr>
                <w:rFonts w:eastAsia="Calibri" w:cs="Arial"/>
                <w:szCs w:val="22"/>
                <w:u w:val="single"/>
              </w:rPr>
            </w:pPr>
            <w:r w:rsidRPr="001B7F77">
              <w:rPr>
                <w:rFonts w:eastAsia="Calibri" w:cs="Arial"/>
                <w:szCs w:val="22"/>
                <w:u w:val="single"/>
              </w:rPr>
              <w:t>805 Means of egress</w:t>
            </w:r>
          </w:p>
        </w:tc>
      </w:tr>
      <w:tr w:rsidR="001B7F77" w:rsidRPr="001B7F77" w14:paraId="3322A8D8" w14:textId="77777777" w:rsidTr="006655A1">
        <w:trPr>
          <w:jc w:val="center"/>
        </w:trPr>
        <w:tc>
          <w:tcPr>
            <w:tcW w:w="4495" w:type="dxa"/>
          </w:tcPr>
          <w:p w14:paraId="01CA6918" w14:textId="77777777" w:rsidR="001B7F77" w:rsidRPr="001B7F77" w:rsidRDefault="001B7F77" w:rsidP="001B7F77">
            <w:pPr>
              <w:widowControl w:val="0"/>
              <w:suppressAutoHyphens/>
              <w:rPr>
                <w:rFonts w:eastAsia="Calibri" w:cs="Arial"/>
                <w:szCs w:val="22"/>
                <w:u w:val="single"/>
              </w:rPr>
            </w:pPr>
            <w:r w:rsidRPr="001B7F77">
              <w:rPr>
                <w:rFonts w:eastAsia="Calibri" w:cs="Arial"/>
                <w:szCs w:val="22"/>
                <w:u w:val="single"/>
              </w:rPr>
              <w:t>Chapter 9, Level 2 alteration</w:t>
            </w:r>
          </w:p>
        </w:tc>
        <w:tc>
          <w:tcPr>
            <w:tcW w:w="4335" w:type="dxa"/>
          </w:tcPr>
          <w:p w14:paraId="4D2E6AE6" w14:textId="77777777" w:rsidR="001B7F77" w:rsidRPr="001B7F77" w:rsidRDefault="001B7F77" w:rsidP="001B7F77">
            <w:pPr>
              <w:widowControl w:val="0"/>
              <w:suppressAutoHyphens/>
              <w:rPr>
                <w:rFonts w:eastAsia="Calibri" w:cs="Arial"/>
                <w:szCs w:val="22"/>
                <w:u w:val="single"/>
              </w:rPr>
            </w:pPr>
            <w:r w:rsidRPr="001B7F77">
              <w:rPr>
                <w:rFonts w:eastAsia="Calibri" w:cs="Arial"/>
                <w:szCs w:val="22"/>
                <w:u w:val="single"/>
              </w:rPr>
              <w:t>903 Building elements and materials</w:t>
            </w:r>
          </w:p>
          <w:p w14:paraId="08C7E7B5" w14:textId="77777777" w:rsidR="001B7F77" w:rsidRPr="001B7F77" w:rsidRDefault="001B7F77" w:rsidP="001B7F77">
            <w:pPr>
              <w:widowControl w:val="0"/>
              <w:suppressAutoHyphens/>
              <w:rPr>
                <w:rFonts w:eastAsia="Calibri" w:cs="Arial"/>
                <w:szCs w:val="22"/>
                <w:u w:val="single"/>
              </w:rPr>
            </w:pPr>
            <w:r w:rsidRPr="001B7F77">
              <w:rPr>
                <w:rFonts w:eastAsia="Calibri" w:cs="Arial"/>
                <w:szCs w:val="22"/>
                <w:u w:val="single"/>
              </w:rPr>
              <w:t>904 Fire protection</w:t>
            </w:r>
          </w:p>
          <w:p w14:paraId="7810AF51" w14:textId="77777777" w:rsidR="001B7F77" w:rsidRPr="001B7F77" w:rsidRDefault="001B7F77" w:rsidP="001B7F77">
            <w:pPr>
              <w:widowControl w:val="0"/>
              <w:suppressAutoHyphens/>
              <w:rPr>
                <w:rFonts w:eastAsia="Calibri" w:cs="Arial"/>
                <w:szCs w:val="22"/>
                <w:u w:val="single"/>
              </w:rPr>
            </w:pPr>
            <w:r w:rsidRPr="001B7F77">
              <w:rPr>
                <w:rFonts w:eastAsia="Calibri" w:cs="Arial"/>
                <w:szCs w:val="22"/>
                <w:u w:val="single"/>
              </w:rPr>
              <w:t>905 Means of egress</w:t>
            </w:r>
          </w:p>
        </w:tc>
      </w:tr>
      <w:tr w:rsidR="001B7F77" w:rsidRPr="001B7F77" w14:paraId="322C04A4" w14:textId="77777777" w:rsidTr="006655A1">
        <w:trPr>
          <w:trHeight w:val="1139"/>
          <w:jc w:val="center"/>
        </w:trPr>
        <w:tc>
          <w:tcPr>
            <w:tcW w:w="4495" w:type="dxa"/>
          </w:tcPr>
          <w:p w14:paraId="53B42808" w14:textId="77777777" w:rsidR="001B7F77" w:rsidRPr="001B7F77" w:rsidRDefault="001B7F77" w:rsidP="001B7F77">
            <w:pPr>
              <w:widowControl w:val="0"/>
              <w:suppressAutoHyphens/>
              <w:rPr>
                <w:rFonts w:eastAsia="Calibri" w:cs="Arial"/>
                <w:szCs w:val="22"/>
                <w:u w:val="single"/>
              </w:rPr>
            </w:pPr>
            <w:r w:rsidRPr="001B7F77">
              <w:rPr>
                <w:rFonts w:eastAsia="Calibri" w:cs="Arial"/>
                <w:szCs w:val="22"/>
                <w:u w:val="single"/>
              </w:rPr>
              <w:t>Chapter 10, Change of occupancy</w:t>
            </w:r>
          </w:p>
        </w:tc>
        <w:tc>
          <w:tcPr>
            <w:tcW w:w="4335" w:type="dxa"/>
          </w:tcPr>
          <w:p w14:paraId="41709246" w14:textId="77777777" w:rsidR="001B7F77" w:rsidRPr="001B7F77" w:rsidRDefault="001B7F77" w:rsidP="001B7F77">
            <w:pPr>
              <w:widowControl w:val="0"/>
              <w:suppressAutoHyphens/>
              <w:rPr>
                <w:rFonts w:eastAsia="Calibri" w:cs="Arial"/>
                <w:szCs w:val="22"/>
                <w:u w:val="single"/>
              </w:rPr>
            </w:pPr>
            <w:r w:rsidRPr="001B7F77">
              <w:rPr>
                <w:rFonts w:eastAsia="Calibri" w:cs="Arial"/>
                <w:szCs w:val="22"/>
                <w:u w:val="single"/>
              </w:rPr>
              <w:t>1003 Building elements and materials</w:t>
            </w:r>
          </w:p>
          <w:p w14:paraId="16A85954" w14:textId="77777777" w:rsidR="001B7F77" w:rsidRPr="001B7F77" w:rsidRDefault="001B7F77" w:rsidP="001B7F77">
            <w:pPr>
              <w:widowControl w:val="0"/>
              <w:suppressAutoHyphens/>
              <w:rPr>
                <w:rFonts w:eastAsia="Calibri" w:cs="Arial"/>
                <w:szCs w:val="22"/>
                <w:u w:val="single"/>
              </w:rPr>
            </w:pPr>
            <w:r w:rsidRPr="001B7F77">
              <w:rPr>
                <w:rFonts w:eastAsia="Calibri" w:cs="Arial"/>
                <w:szCs w:val="22"/>
                <w:u w:val="single"/>
              </w:rPr>
              <w:t>1004 Fire protection</w:t>
            </w:r>
          </w:p>
          <w:p w14:paraId="5377B372" w14:textId="77777777" w:rsidR="001B7F77" w:rsidRPr="001B7F77" w:rsidRDefault="001B7F77" w:rsidP="001B7F77">
            <w:pPr>
              <w:widowControl w:val="0"/>
              <w:suppressAutoHyphens/>
              <w:rPr>
                <w:rFonts w:eastAsia="Calibri" w:cs="Arial"/>
                <w:szCs w:val="22"/>
                <w:u w:val="single"/>
              </w:rPr>
            </w:pPr>
            <w:r w:rsidRPr="001B7F77">
              <w:rPr>
                <w:rFonts w:eastAsia="Calibri" w:cs="Arial"/>
                <w:szCs w:val="22"/>
                <w:u w:val="single"/>
              </w:rPr>
              <w:t>1005 Means of egress</w:t>
            </w:r>
          </w:p>
        </w:tc>
      </w:tr>
      <w:tr w:rsidR="001B7F77" w:rsidRPr="001B7F77" w14:paraId="46C6D938" w14:textId="77777777" w:rsidTr="006655A1">
        <w:trPr>
          <w:trHeight w:val="1139"/>
          <w:jc w:val="center"/>
        </w:trPr>
        <w:tc>
          <w:tcPr>
            <w:tcW w:w="4495" w:type="dxa"/>
          </w:tcPr>
          <w:p w14:paraId="5DBAD474" w14:textId="77777777" w:rsidR="001B7F77" w:rsidRPr="001B7F77" w:rsidRDefault="001B7F77" w:rsidP="001B7F77">
            <w:pPr>
              <w:widowControl w:val="0"/>
              <w:suppressAutoHyphens/>
              <w:rPr>
                <w:rFonts w:eastAsia="Calibri" w:cs="Arial"/>
                <w:szCs w:val="22"/>
                <w:u w:val="single"/>
              </w:rPr>
            </w:pPr>
            <w:r w:rsidRPr="001B7F77">
              <w:rPr>
                <w:rFonts w:eastAsia="Calibri" w:cs="Arial"/>
                <w:szCs w:val="22"/>
                <w:u w:val="single"/>
              </w:rPr>
              <w:t>Chapter 11, Additions</w:t>
            </w:r>
          </w:p>
        </w:tc>
        <w:tc>
          <w:tcPr>
            <w:tcW w:w="4335" w:type="dxa"/>
          </w:tcPr>
          <w:p w14:paraId="63754DEA" w14:textId="77777777" w:rsidR="001B7F77" w:rsidRPr="001B7F77" w:rsidRDefault="001B7F77" w:rsidP="001B7F77">
            <w:pPr>
              <w:widowControl w:val="0"/>
              <w:suppressAutoHyphens/>
              <w:rPr>
                <w:rFonts w:eastAsia="Calibri" w:cs="Arial"/>
                <w:szCs w:val="22"/>
                <w:u w:val="single"/>
              </w:rPr>
            </w:pPr>
            <w:r w:rsidRPr="001B7F77">
              <w:rPr>
                <w:rFonts w:eastAsia="Calibri" w:cs="Arial"/>
                <w:szCs w:val="22"/>
                <w:u w:val="single"/>
              </w:rPr>
              <w:t>1102 Heights and areas</w:t>
            </w:r>
          </w:p>
          <w:p w14:paraId="263AF9CD" w14:textId="77777777" w:rsidR="001B7F77" w:rsidRPr="001B7F77" w:rsidRDefault="001B7F77" w:rsidP="001B7F77">
            <w:pPr>
              <w:widowControl w:val="0"/>
              <w:suppressAutoHyphens/>
              <w:rPr>
                <w:rFonts w:eastAsia="Calibri" w:cs="Arial"/>
                <w:szCs w:val="22"/>
                <w:u w:val="single"/>
              </w:rPr>
            </w:pPr>
            <w:r w:rsidRPr="001B7F77">
              <w:rPr>
                <w:rFonts w:eastAsia="Calibri" w:cs="Arial"/>
                <w:szCs w:val="22"/>
                <w:u w:val="single"/>
              </w:rPr>
              <w:t>1104 Fire protection</w:t>
            </w:r>
          </w:p>
          <w:p w14:paraId="3F8E079D" w14:textId="77777777" w:rsidR="001B7F77" w:rsidRPr="001B7F77" w:rsidRDefault="001B7F77" w:rsidP="001B7F77">
            <w:pPr>
              <w:widowControl w:val="0"/>
              <w:suppressAutoHyphens/>
              <w:rPr>
                <w:rFonts w:eastAsia="Calibri" w:cs="Arial"/>
                <w:szCs w:val="22"/>
                <w:u w:val="single"/>
              </w:rPr>
            </w:pPr>
            <w:r w:rsidRPr="001B7F77">
              <w:rPr>
                <w:rFonts w:eastAsia="Calibri" w:cs="Arial"/>
                <w:szCs w:val="22"/>
                <w:u w:val="single"/>
              </w:rPr>
              <w:t>1105 Means of Egress</w:t>
            </w:r>
          </w:p>
        </w:tc>
      </w:tr>
    </w:tbl>
    <w:p w14:paraId="5588023F" w14:textId="77777777" w:rsidR="001B7F77" w:rsidRPr="001B7F77" w:rsidRDefault="001B7F77" w:rsidP="001B7F77">
      <w:pPr>
        <w:suppressAutoHyphens/>
        <w:spacing w:before="120"/>
        <w:rPr>
          <w:u w:val="single"/>
        </w:rPr>
      </w:pPr>
    </w:p>
    <w:p w14:paraId="5DCB20F9" w14:textId="77777777" w:rsidR="001B7F77" w:rsidRPr="001B7F77" w:rsidRDefault="001B7F77" w:rsidP="001B7F77">
      <w:pPr>
        <w:widowControl w:val="0"/>
        <w:suppressAutoHyphens/>
        <w:spacing w:before="120"/>
        <w:ind w:left="360"/>
        <w:rPr>
          <w:u w:val="single"/>
        </w:rPr>
      </w:pPr>
      <w:r w:rsidRPr="001B7F77">
        <w:rPr>
          <w:b/>
          <w:bCs/>
          <w:u w:val="single"/>
        </w:rPr>
        <w:t xml:space="preserve">301.1.5 Relocated, moved or raised buildings. </w:t>
      </w:r>
      <w:r w:rsidRPr="001B7F77">
        <w:rPr>
          <w:u w:val="single"/>
        </w:rPr>
        <w:t>Relocated, moved or raised buildings, including relocatable buildings, shall comply with this chapter, as applicable, and Chapter 14.</w:t>
      </w:r>
    </w:p>
    <w:p w14:paraId="54BCD47C" w14:textId="77777777" w:rsidR="001B7F77" w:rsidRPr="001B7F77" w:rsidRDefault="001B7F77" w:rsidP="001B7F77">
      <w:pPr>
        <w:widowControl w:val="0"/>
        <w:suppressAutoHyphens/>
        <w:spacing w:before="120"/>
        <w:rPr>
          <w:b/>
          <w:bCs/>
          <w:u w:val="single"/>
        </w:rPr>
      </w:pPr>
    </w:p>
    <w:p w14:paraId="6B3085B1" w14:textId="77777777" w:rsidR="001B7F77" w:rsidRPr="001B7F77" w:rsidRDefault="001B7F77" w:rsidP="001B7F77">
      <w:pPr>
        <w:widowControl w:val="0"/>
        <w:suppressAutoHyphens/>
        <w:spacing w:before="120"/>
        <w:jc w:val="center"/>
        <w:outlineLvl w:val="0"/>
        <w:rPr>
          <w:b/>
          <w:bCs/>
          <w:u w:val="single"/>
        </w:rPr>
      </w:pPr>
      <w:bookmarkStart w:id="68" w:name="_heading=h.tyjcwt" w:colFirst="0" w:colLast="0"/>
      <w:bookmarkStart w:id="69" w:name="_Hlk69810072"/>
      <w:bookmarkStart w:id="70" w:name="Sec303"/>
      <w:bookmarkEnd w:id="64"/>
      <w:bookmarkEnd w:id="68"/>
      <w:r w:rsidRPr="001B7F77">
        <w:rPr>
          <w:b/>
          <w:bCs/>
          <w:u w:val="single"/>
        </w:rPr>
        <w:t>SECTION EBC 302</w:t>
      </w:r>
      <w:r w:rsidRPr="001B7F77">
        <w:rPr>
          <w:b/>
          <w:bCs/>
          <w:u w:val="single"/>
        </w:rPr>
        <w:br/>
        <w:t>GENERAL PROVISIONS</w:t>
      </w:r>
    </w:p>
    <w:p w14:paraId="3F85BFAD" w14:textId="77777777" w:rsidR="001B7F77" w:rsidRPr="001B7F77" w:rsidRDefault="001B7F77" w:rsidP="001B7F77">
      <w:pPr>
        <w:widowControl w:val="0"/>
        <w:suppressAutoHyphens/>
        <w:spacing w:before="120"/>
        <w:rPr>
          <w:u w:val="single"/>
        </w:rPr>
      </w:pPr>
      <w:r w:rsidRPr="001B7F77">
        <w:rPr>
          <w:b/>
          <w:bCs/>
          <w:u w:val="single"/>
        </w:rPr>
        <w:t xml:space="preserve">302.1 Applicability. </w:t>
      </w:r>
      <w:r w:rsidRPr="001B7F77">
        <w:rPr>
          <w:u w:val="single"/>
        </w:rPr>
        <w:t xml:space="preserve">The provisions of Sections 302 through 314 shall apply to all </w:t>
      </w:r>
      <w:bookmarkStart w:id="71" w:name="_Hlk187763213"/>
      <w:r w:rsidRPr="001B7F77">
        <w:rPr>
          <w:u w:val="single"/>
        </w:rPr>
        <w:t>repairs, alterations, additions, and relocations of buildings and structures and changes of occupancy</w:t>
      </w:r>
      <w:bookmarkEnd w:id="71"/>
      <w:r w:rsidRPr="001B7F77">
        <w:rPr>
          <w:u w:val="single"/>
        </w:rPr>
        <w:t>.</w:t>
      </w:r>
    </w:p>
    <w:p w14:paraId="09172ABD" w14:textId="77777777" w:rsidR="001B7F77" w:rsidRPr="001B7F77" w:rsidRDefault="001B7F77" w:rsidP="001B7F77">
      <w:pPr>
        <w:widowControl w:val="0"/>
        <w:suppressAutoHyphens/>
        <w:spacing w:before="120"/>
        <w:rPr>
          <w:u w:val="single"/>
        </w:rPr>
      </w:pPr>
      <w:r w:rsidRPr="001B7F77">
        <w:rPr>
          <w:b/>
          <w:bCs/>
          <w:u w:val="single"/>
        </w:rPr>
        <w:t xml:space="preserve">302.2 Additional codes. </w:t>
      </w:r>
      <w:r w:rsidRPr="001B7F77">
        <w:rPr>
          <w:u w:val="single"/>
        </w:rPr>
        <w:t xml:space="preserve">Repairs, alterations, additions and changes of occupancy to, or relocation of existing buildings and structures shall comply with the provisions for repairs, alterations, additions and changes of occupancy or relocation of buildings, respectively, in this code and the </w:t>
      </w:r>
      <w:r w:rsidRPr="001B7F77">
        <w:rPr>
          <w:i/>
          <w:iCs/>
          <w:u w:val="single"/>
        </w:rPr>
        <w:t>New York City Building Code</w:t>
      </w:r>
      <w:r w:rsidRPr="001B7F77">
        <w:rPr>
          <w:u w:val="single"/>
        </w:rPr>
        <w:t xml:space="preserve">, </w:t>
      </w:r>
      <w:r w:rsidRPr="001B7F77">
        <w:rPr>
          <w:i/>
          <w:iCs/>
          <w:u w:val="single"/>
        </w:rPr>
        <w:t>New York City Energy Conservation Code</w:t>
      </w:r>
      <w:r w:rsidRPr="001B7F77">
        <w:rPr>
          <w:u w:val="single"/>
        </w:rPr>
        <w:t xml:space="preserve">, </w:t>
      </w:r>
      <w:r w:rsidRPr="001B7F77">
        <w:rPr>
          <w:i/>
          <w:iCs/>
          <w:u w:val="single"/>
        </w:rPr>
        <w:t>New York City Fuel Gas Code</w:t>
      </w:r>
      <w:r w:rsidRPr="001B7F77">
        <w:rPr>
          <w:u w:val="single"/>
        </w:rPr>
        <w:t xml:space="preserve">, </w:t>
      </w:r>
      <w:r w:rsidRPr="001B7F77">
        <w:rPr>
          <w:i/>
          <w:iCs/>
          <w:u w:val="single"/>
        </w:rPr>
        <w:t>New York City Mechanical Code</w:t>
      </w:r>
      <w:r w:rsidRPr="001B7F77">
        <w:rPr>
          <w:u w:val="single"/>
        </w:rPr>
        <w:t xml:space="preserve">, </w:t>
      </w:r>
      <w:r w:rsidRPr="001B7F77">
        <w:rPr>
          <w:i/>
          <w:iCs/>
          <w:u w:val="single"/>
        </w:rPr>
        <w:t>New York City Plumbing Code</w:t>
      </w:r>
      <w:r w:rsidRPr="001B7F77">
        <w:rPr>
          <w:u w:val="single"/>
        </w:rPr>
        <w:t xml:space="preserve"> and </w:t>
      </w:r>
      <w:r w:rsidRPr="001B7F77">
        <w:rPr>
          <w:i/>
          <w:iCs/>
          <w:u w:val="single"/>
        </w:rPr>
        <w:t>New York City Electrical Code</w:t>
      </w:r>
      <w:r w:rsidRPr="001B7F77">
        <w:rPr>
          <w:u w:val="single"/>
        </w:rPr>
        <w:t>. Where provisions of such other codes conflict with provisions of this code, the provisions of this code shall take precedence.</w:t>
      </w:r>
    </w:p>
    <w:p w14:paraId="58CF54CC" w14:textId="77777777" w:rsidR="001B7F77" w:rsidRPr="001B7F77" w:rsidRDefault="001B7F77" w:rsidP="001B7F77">
      <w:pPr>
        <w:widowControl w:val="0"/>
        <w:suppressAutoHyphens/>
        <w:spacing w:before="120"/>
        <w:rPr>
          <w:u w:val="single"/>
        </w:rPr>
      </w:pPr>
      <w:r w:rsidRPr="001B7F77">
        <w:rPr>
          <w:b/>
          <w:u w:val="single"/>
        </w:rPr>
        <w:t xml:space="preserve">302.3 Existing materials. </w:t>
      </w:r>
      <w:r w:rsidRPr="001B7F77">
        <w:rPr>
          <w:u w:val="single"/>
        </w:rPr>
        <w:t>Materials already in use in a building in compliance with requirements or approvals in effect at the time of their erection or installation shall be permitted to remain in use unless determined by the commissioner to be unsafe.</w:t>
      </w:r>
    </w:p>
    <w:p w14:paraId="24F50288" w14:textId="77777777" w:rsidR="001B7F77" w:rsidRPr="001B7F77" w:rsidRDefault="001B7F77" w:rsidP="001B7F77">
      <w:pPr>
        <w:widowControl w:val="0"/>
        <w:suppressAutoHyphens/>
        <w:spacing w:before="120"/>
        <w:rPr>
          <w:u w:val="single"/>
        </w:rPr>
      </w:pPr>
      <w:r w:rsidRPr="001B7F77">
        <w:rPr>
          <w:b/>
          <w:bCs/>
          <w:u w:val="single"/>
        </w:rPr>
        <w:t xml:space="preserve">302.4 New and replacement materials, assemblies and details. </w:t>
      </w:r>
      <w:r w:rsidRPr="001B7F77">
        <w:rPr>
          <w:u w:val="single"/>
        </w:rPr>
        <w:t xml:space="preserve">Except as otherwise required or permitted by this code, materials, assemblies, and details permitted by the </w:t>
      </w:r>
      <w:r w:rsidRPr="001B7F77">
        <w:rPr>
          <w:i/>
          <w:iCs/>
          <w:u w:val="single"/>
        </w:rPr>
        <w:t>New York City Construction Codes</w:t>
      </w:r>
      <w:r w:rsidRPr="001B7F77">
        <w:rPr>
          <w:u w:val="single"/>
        </w:rPr>
        <w:t xml:space="preserve"> shall be used. Hazardous materials, assemblies and details shall not be used where the requirements of the </w:t>
      </w:r>
      <w:r w:rsidRPr="001B7F77">
        <w:rPr>
          <w:i/>
          <w:iCs/>
          <w:u w:val="single"/>
        </w:rPr>
        <w:t>New York City Construction Codes</w:t>
      </w:r>
      <w:r w:rsidRPr="001B7F77">
        <w:rPr>
          <w:u w:val="single"/>
        </w:rPr>
        <w:t xml:space="preserve"> applicable to new construction would not permit their use in buildings of similar occupancy, purpose and location. New or replacement materials for buildings and spaces located below the design flood elevation in flood hazard areas shall be governed by Appendix G of the </w:t>
      </w:r>
      <w:r w:rsidRPr="001B7F77">
        <w:rPr>
          <w:i/>
          <w:iCs/>
          <w:u w:val="single"/>
        </w:rPr>
        <w:t>New York City Building Code</w:t>
      </w:r>
      <w:r w:rsidRPr="001B7F77">
        <w:rPr>
          <w:u w:val="single"/>
        </w:rPr>
        <w:t>.</w:t>
      </w:r>
    </w:p>
    <w:p w14:paraId="666EEEE0" w14:textId="77777777" w:rsidR="001B7F77" w:rsidRPr="001B7F77" w:rsidRDefault="001B7F77" w:rsidP="001B7F77">
      <w:pPr>
        <w:pBdr>
          <w:top w:val="nil"/>
          <w:left w:val="nil"/>
          <w:bottom w:val="nil"/>
          <w:right w:val="nil"/>
          <w:between w:val="nil"/>
        </w:pBdr>
        <w:suppressAutoHyphens/>
        <w:spacing w:before="120"/>
        <w:ind w:left="450"/>
        <w:rPr>
          <w:u w:val="single"/>
        </w:rPr>
      </w:pPr>
      <w:r w:rsidRPr="001B7F77">
        <w:rPr>
          <w:b/>
          <w:bCs/>
          <w:u w:val="single"/>
        </w:rPr>
        <w:t>Exception:</w:t>
      </w:r>
      <w:r w:rsidRPr="001B7F77">
        <w:rPr>
          <w:u w:val="single"/>
        </w:rPr>
        <w:t xml:space="preserve"> For partial and restorative repairs, </w:t>
      </w:r>
      <w:r w:rsidRPr="001B7F77">
        <w:rPr>
          <w:szCs w:val="24"/>
          <w:u w:val="single"/>
        </w:rPr>
        <w:t xml:space="preserve">where </w:t>
      </w:r>
      <w:r w:rsidRPr="001B7F77">
        <w:rPr>
          <w:u w:val="single"/>
        </w:rPr>
        <w:t xml:space="preserve">such repairs are necessitated by deteriorating façade or roof conditions and are required by the </w:t>
      </w:r>
      <w:r w:rsidRPr="001B7F77">
        <w:rPr>
          <w:i/>
          <w:iCs/>
          <w:u w:val="single"/>
        </w:rPr>
        <w:t>New York City Construction Codes</w:t>
      </w:r>
      <w:r w:rsidRPr="001B7F77">
        <w:rPr>
          <w:u w:val="single"/>
        </w:rPr>
        <w:t xml:space="preserve">, like materials, assemblies and details are permitted if no unsafe condition is created and the registered design professional determines that compliance with the </w:t>
      </w:r>
      <w:r w:rsidRPr="001B7F77">
        <w:rPr>
          <w:i/>
          <w:iCs/>
          <w:u w:val="single"/>
        </w:rPr>
        <w:t>New York City Energy Conservation Code</w:t>
      </w:r>
      <w:r w:rsidRPr="001B7F77">
        <w:rPr>
          <w:u w:val="single"/>
        </w:rPr>
        <w:t xml:space="preserve"> would overload or burden building systems or lead to unsafe conditions such as freeze-thaw cracking, blockage of a cavity, condensation, or mold</w:t>
      </w:r>
      <w:r w:rsidRPr="001B7F77">
        <w:rPr>
          <w:szCs w:val="24"/>
          <w:u w:val="single"/>
        </w:rPr>
        <w:t>.</w:t>
      </w:r>
      <w:r w:rsidRPr="001B7F77">
        <w:rPr>
          <w:u w:val="single"/>
        </w:rPr>
        <w:t xml:space="preserve">  Insulation where present shall be restored in kind, and additional insulation need not be added to the repaired assembly as may be required by the </w:t>
      </w:r>
      <w:r w:rsidRPr="001B7F77">
        <w:rPr>
          <w:i/>
          <w:iCs/>
          <w:u w:val="single"/>
        </w:rPr>
        <w:t>New York City Energy Conservation Code</w:t>
      </w:r>
      <w:r w:rsidRPr="001B7F77">
        <w:rPr>
          <w:u w:val="single"/>
        </w:rPr>
        <w:t xml:space="preserve">, if the aforementioned negative conditions would be created. This exception applies to partial and restorative repairs, and not to whole building or full elevation replacement, which would require compliance with Chapter 4 of the </w:t>
      </w:r>
      <w:r w:rsidRPr="001B7F77">
        <w:rPr>
          <w:i/>
          <w:iCs/>
          <w:u w:val="single"/>
        </w:rPr>
        <w:t>New York City Energy Conservation Code</w:t>
      </w:r>
      <w:r w:rsidRPr="001B7F77">
        <w:rPr>
          <w:u w:val="single"/>
        </w:rPr>
        <w:t>.</w:t>
      </w:r>
    </w:p>
    <w:p w14:paraId="48CEEE8D" w14:textId="77777777" w:rsidR="001B7F77" w:rsidRPr="001B7F77" w:rsidRDefault="001B7F77" w:rsidP="001B7F77">
      <w:pPr>
        <w:widowControl w:val="0"/>
        <w:suppressAutoHyphens/>
        <w:spacing w:before="120"/>
        <w:rPr>
          <w:u w:val="single"/>
        </w:rPr>
      </w:pPr>
      <w:r w:rsidRPr="001B7F77">
        <w:rPr>
          <w:b/>
          <w:u w:val="single"/>
        </w:rPr>
        <w:t xml:space="preserve">302.5 Occupancy and use. </w:t>
      </w:r>
      <w:r w:rsidRPr="001B7F77">
        <w:rPr>
          <w:u w:val="single"/>
        </w:rPr>
        <w:t xml:space="preserve">When determining the appropriate application of the referenced sections of this code, the occupancy and use of a building shall be determined in accordance with Chapter 3 of the </w:t>
      </w:r>
      <w:r w:rsidRPr="001B7F77">
        <w:rPr>
          <w:i/>
          <w:iCs/>
          <w:u w:val="single"/>
        </w:rPr>
        <w:t>New York City Building Code</w:t>
      </w:r>
      <w:r w:rsidRPr="001B7F77">
        <w:rPr>
          <w:u w:val="single"/>
        </w:rPr>
        <w:t>.</w:t>
      </w:r>
    </w:p>
    <w:p w14:paraId="45A275A2" w14:textId="77777777" w:rsidR="001B7F77" w:rsidRPr="001B7F77" w:rsidRDefault="001B7F77" w:rsidP="001B7F77">
      <w:pPr>
        <w:widowControl w:val="0"/>
        <w:tabs>
          <w:tab w:val="left" w:pos="360"/>
        </w:tabs>
        <w:suppressAutoHyphens/>
        <w:spacing w:before="120"/>
        <w:ind w:left="360"/>
        <w:rPr>
          <w:u w:val="single"/>
        </w:rPr>
      </w:pPr>
      <w:r w:rsidRPr="001B7F77">
        <w:rPr>
          <w:b/>
          <w:u w:val="single"/>
        </w:rPr>
        <w:t xml:space="preserve">302.5.1 Occupancy classification in prior code buildings. </w:t>
      </w:r>
      <w:r w:rsidRPr="001B7F77">
        <w:rPr>
          <w:u w:val="single"/>
        </w:rPr>
        <w:t xml:space="preserve">For prior code buildings, the prior codes’ occupancy classifications shall be translated into occupancy classifications established by Chapter 3 of the </w:t>
      </w:r>
      <w:r w:rsidRPr="001B7F77">
        <w:rPr>
          <w:i/>
          <w:iCs/>
          <w:u w:val="single"/>
        </w:rPr>
        <w:t>New York City Building Code</w:t>
      </w:r>
      <w:r w:rsidRPr="001B7F77">
        <w:rPr>
          <w:u w:val="single"/>
        </w:rPr>
        <w:t>.</w:t>
      </w:r>
    </w:p>
    <w:p w14:paraId="04879C99" w14:textId="77777777" w:rsidR="001B7F77" w:rsidRPr="001B7F77" w:rsidRDefault="001B7F77" w:rsidP="001B7F77">
      <w:pPr>
        <w:widowControl w:val="0"/>
        <w:suppressAutoHyphens/>
        <w:spacing w:before="120"/>
        <w:rPr>
          <w:u w:val="single"/>
        </w:rPr>
      </w:pPr>
      <w:bookmarkStart w:id="72" w:name="_Hlk76038369"/>
      <w:r w:rsidRPr="001B7F77">
        <w:rPr>
          <w:b/>
          <w:bCs/>
          <w:u w:val="single"/>
        </w:rPr>
        <w:t xml:space="preserve">302.6 Existing buildings in fire districts. </w:t>
      </w:r>
      <w:r w:rsidRPr="001B7F77">
        <w:rPr>
          <w:u w:val="single"/>
        </w:rPr>
        <w:t xml:space="preserve">Alterations, additions, changes of use or occupancy and relocations of existing buildings inside the fire district, as described in Appendix D of the </w:t>
      </w:r>
      <w:r w:rsidRPr="001B7F77">
        <w:rPr>
          <w:i/>
          <w:iCs/>
          <w:u w:val="single"/>
        </w:rPr>
        <w:t>New York City Building Code</w:t>
      </w:r>
      <w:r w:rsidRPr="001B7F77">
        <w:rPr>
          <w:u w:val="single"/>
        </w:rPr>
        <w:t xml:space="preserve">, shall be subject to Chapter 6 of the </w:t>
      </w:r>
      <w:r w:rsidRPr="001B7F77">
        <w:rPr>
          <w:i/>
          <w:iCs/>
          <w:u w:val="single"/>
        </w:rPr>
        <w:t>New York City Building Code</w:t>
      </w:r>
      <w:r w:rsidRPr="001B7F77">
        <w:rPr>
          <w:u w:val="single"/>
        </w:rPr>
        <w:t>, and Sections 302.6.1 and 302.6.2 and other applicable provisions of this code.</w:t>
      </w:r>
    </w:p>
    <w:bookmarkEnd w:id="72"/>
    <w:p w14:paraId="618F5DC4" w14:textId="77777777" w:rsidR="001B7F77" w:rsidRPr="001B7F77" w:rsidRDefault="001B7F77" w:rsidP="001B7F77">
      <w:pPr>
        <w:widowControl w:val="0"/>
        <w:tabs>
          <w:tab w:val="left" w:pos="360"/>
        </w:tabs>
        <w:suppressAutoHyphens/>
        <w:spacing w:before="120"/>
        <w:ind w:left="360"/>
        <w:rPr>
          <w:u w:val="single"/>
        </w:rPr>
      </w:pPr>
      <w:r w:rsidRPr="001B7F77">
        <w:rPr>
          <w:b/>
          <w:u w:val="single"/>
        </w:rPr>
        <w:t xml:space="preserve">302.6.1 Group H-1 prohibited. </w:t>
      </w:r>
      <w:r w:rsidRPr="001B7F77">
        <w:rPr>
          <w:u w:val="single"/>
        </w:rPr>
        <w:t>New</w:t>
      </w:r>
      <w:r w:rsidRPr="001B7F77">
        <w:rPr>
          <w:b/>
          <w:u w:val="single"/>
        </w:rPr>
        <w:t xml:space="preserve"> </w:t>
      </w:r>
      <w:r w:rsidRPr="001B7F77">
        <w:rPr>
          <w:u w:val="single"/>
        </w:rPr>
        <w:t>Group H-1 occupancies shall be prohibited within the fire district. Change of occupancy classification to, or enlargement of, Group H-1 occupancies shall be prohibited within the fire district.</w:t>
      </w:r>
    </w:p>
    <w:p w14:paraId="540D0D48" w14:textId="77777777" w:rsidR="001B7F77" w:rsidRPr="001B7F77" w:rsidRDefault="001B7F77" w:rsidP="001B7F77">
      <w:pPr>
        <w:widowControl w:val="0"/>
        <w:tabs>
          <w:tab w:val="left" w:pos="360"/>
        </w:tabs>
        <w:suppressAutoHyphens/>
        <w:autoSpaceDE w:val="0"/>
        <w:autoSpaceDN w:val="0"/>
        <w:adjustRightInd w:val="0"/>
        <w:spacing w:before="120"/>
        <w:ind w:left="360"/>
        <w:rPr>
          <w:u w:val="single"/>
        </w:rPr>
      </w:pPr>
      <w:r w:rsidRPr="001B7F77">
        <w:rPr>
          <w:b/>
          <w:bCs/>
          <w:u w:val="single"/>
        </w:rPr>
        <w:t>302.6.2 Changes to buildings</w:t>
      </w:r>
      <w:r w:rsidRPr="001B7F77">
        <w:rPr>
          <w:u w:val="single"/>
        </w:rPr>
        <w:t xml:space="preserve">. An existing building shall not be hereafter altered, increased in height or area, changed to a new use or occupancy, relocated or moved into the fire district unless such building is of a type of construction permitted for new buildings within the fire district in accordance with the </w:t>
      </w:r>
      <w:r w:rsidRPr="001B7F77">
        <w:rPr>
          <w:i/>
          <w:iCs/>
          <w:u w:val="single"/>
        </w:rPr>
        <w:t>New York City Building Code</w:t>
      </w:r>
      <w:r w:rsidRPr="001B7F77">
        <w:rPr>
          <w:u w:val="single"/>
        </w:rPr>
        <w:t xml:space="preserve"> and Chapters 8, 9, 10, 11 and 14 of this code.</w:t>
      </w:r>
    </w:p>
    <w:p w14:paraId="13C35E46" w14:textId="77777777" w:rsidR="001B7F77" w:rsidRPr="001B7F77" w:rsidRDefault="001B7F77" w:rsidP="001B7F77">
      <w:pPr>
        <w:widowControl w:val="0"/>
        <w:suppressAutoHyphens/>
        <w:autoSpaceDE w:val="0"/>
        <w:autoSpaceDN w:val="0"/>
        <w:adjustRightInd w:val="0"/>
        <w:spacing w:before="120"/>
        <w:rPr>
          <w:u w:val="single"/>
        </w:rPr>
      </w:pPr>
      <w:r w:rsidRPr="001B7F77">
        <w:rPr>
          <w:b/>
          <w:u w:val="single"/>
        </w:rPr>
        <w:t>302.7</w:t>
      </w:r>
      <w:r w:rsidRPr="001B7F77">
        <w:rPr>
          <w:u w:val="single"/>
        </w:rPr>
        <w:t xml:space="preserve"> </w:t>
      </w:r>
      <w:r w:rsidRPr="001B7F77">
        <w:rPr>
          <w:b/>
          <w:u w:val="single"/>
        </w:rPr>
        <w:t xml:space="preserve">Work that increases floor surface area of an existing building by more than 110 percent. </w:t>
      </w:r>
      <w:r w:rsidRPr="001B7F77">
        <w:rPr>
          <w:u w:val="single"/>
        </w:rPr>
        <w:t xml:space="preserve">Where proposed work at the completion of construction will increase the amount of floor surface area of an existing building by more than 110 percent over the amount of existing floor surface area, such entire building shall be made to comply with the provisions of the </w:t>
      </w:r>
      <w:r w:rsidRPr="001B7F77">
        <w:rPr>
          <w:i/>
          <w:iCs/>
          <w:u w:val="single"/>
        </w:rPr>
        <w:t>New York City Building Code</w:t>
      </w:r>
      <w:r w:rsidRPr="001B7F77">
        <w:rPr>
          <w:u w:val="single"/>
        </w:rPr>
        <w:t xml:space="preserve"> as if it were a new building hereafter erected.</w:t>
      </w:r>
    </w:p>
    <w:p w14:paraId="4904521C" w14:textId="77777777" w:rsidR="001B7F77" w:rsidRPr="001B7F77" w:rsidRDefault="001B7F77" w:rsidP="001B7F77">
      <w:pPr>
        <w:widowControl w:val="0"/>
        <w:tabs>
          <w:tab w:val="left" w:pos="360"/>
        </w:tabs>
        <w:suppressAutoHyphens/>
        <w:spacing w:before="120"/>
        <w:ind w:left="360"/>
        <w:rPr>
          <w:u w:val="single"/>
        </w:rPr>
      </w:pPr>
      <w:r w:rsidRPr="001B7F77">
        <w:rPr>
          <w:b/>
          <w:u w:val="single"/>
        </w:rPr>
        <w:t xml:space="preserve">302.7.1 Floor surface area to remain. </w:t>
      </w:r>
      <w:r w:rsidRPr="001B7F77">
        <w:rPr>
          <w:u w:val="single"/>
        </w:rPr>
        <w:t>For the purpose of determining the amount of existing floor surface area to remain, the following shall be excluded from the measured square footage:</w:t>
      </w:r>
    </w:p>
    <w:p w14:paraId="45CEDC3B" w14:textId="77777777" w:rsidR="001B7F77" w:rsidRPr="001B7F77" w:rsidRDefault="001B7F77" w:rsidP="0001508F">
      <w:pPr>
        <w:widowControl w:val="0"/>
        <w:numPr>
          <w:ilvl w:val="0"/>
          <w:numId w:val="9"/>
        </w:numPr>
        <w:suppressAutoHyphens/>
        <w:autoSpaceDE w:val="0"/>
        <w:autoSpaceDN w:val="0"/>
        <w:adjustRightInd w:val="0"/>
        <w:spacing w:before="120"/>
        <w:ind w:right="36"/>
        <w:jc w:val="left"/>
        <w:rPr>
          <w:color w:val="000000"/>
          <w:u w:val="single"/>
        </w:rPr>
      </w:pPr>
      <w:r w:rsidRPr="001B7F77">
        <w:rPr>
          <w:color w:val="000000"/>
          <w:u w:val="single"/>
        </w:rPr>
        <w:t>The square footage of floors or portions thereof removed during the course of the work when such floors are removed together with the supporting beams, joists, decking and slabs on grade.</w:t>
      </w:r>
    </w:p>
    <w:p w14:paraId="2BE39807" w14:textId="77777777" w:rsidR="001B7F77" w:rsidRPr="001B7F77" w:rsidRDefault="001B7F77" w:rsidP="0001508F">
      <w:pPr>
        <w:widowControl w:val="0"/>
        <w:numPr>
          <w:ilvl w:val="0"/>
          <w:numId w:val="9"/>
        </w:numPr>
        <w:suppressAutoHyphens/>
        <w:autoSpaceDE w:val="0"/>
        <w:autoSpaceDN w:val="0"/>
        <w:adjustRightInd w:val="0"/>
        <w:spacing w:before="120"/>
        <w:ind w:right="36"/>
        <w:jc w:val="left"/>
        <w:rPr>
          <w:color w:val="000000"/>
          <w:u w:val="single"/>
        </w:rPr>
      </w:pPr>
      <w:r w:rsidRPr="001B7F77">
        <w:rPr>
          <w:color w:val="000000"/>
          <w:u w:val="single"/>
        </w:rPr>
        <w:t>The square footage of floors or portions thereof installed together with the supporting beams, joists, decking and slabs on grade less than 12 months prior to submission of the application for construction document approval for the proposed work including floors installed pursuant to a work permit signed off less than 12 months before such submission.</w:t>
      </w:r>
    </w:p>
    <w:p w14:paraId="554C2127" w14:textId="77777777" w:rsidR="001B7F77" w:rsidRPr="001B7F77" w:rsidRDefault="001B7F77" w:rsidP="001B7F77">
      <w:pPr>
        <w:widowControl w:val="0"/>
        <w:tabs>
          <w:tab w:val="left" w:pos="360"/>
        </w:tabs>
        <w:suppressAutoHyphens/>
        <w:spacing w:before="120"/>
        <w:ind w:left="360"/>
        <w:rPr>
          <w:u w:val="single"/>
        </w:rPr>
      </w:pPr>
      <w:r w:rsidRPr="001B7F77">
        <w:rPr>
          <w:b/>
          <w:u w:val="single"/>
        </w:rPr>
        <w:t xml:space="preserve">302.7.2 Calculation of increase in floor surface area. </w:t>
      </w:r>
      <w:r w:rsidRPr="001B7F77">
        <w:rPr>
          <w:u w:val="single"/>
        </w:rPr>
        <w:t>To determine the percentage by which the floor surface area is increased, the following formula shall be used:</w:t>
      </w:r>
    </w:p>
    <w:p w14:paraId="64A0C27D" w14:textId="77777777" w:rsidR="001B7F77" w:rsidRPr="001B7F77" w:rsidRDefault="001B7F77" w:rsidP="001B7F77">
      <w:pPr>
        <w:widowControl w:val="0"/>
        <w:tabs>
          <w:tab w:val="left" w:pos="720"/>
        </w:tabs>
        <w:suppressAutoHyphens/>
        <w:autoSpaceDE w:val="0"/>
        <w:autoSpaceDN w:val="0"/>
        <w:adjustRightInd w:val="0"/>
        <w:spacing w:before="120"/>
        <w:ind w:left="720"/>
        <w:jc w:val="left"/>
        <w:rPr>
          <w:u w:val="single"/>
        </w:rPr>
      </w:pPr>
      <w:r w:rsidRPr="001B7F77">
        <w:rPr>
          <w:u w:val="single"/>
        </w:rPr>
        <w:t>I = (FSA</w:t>
      </w:r>
      <w:r w:rsidRPr="001B7F77">
        <w:rPr>
          <w:u w:val="single"/>
          <w:vertAlign w:val="subscript"/>
        </w:rPr>
        <w:t>P</w:t>
      </w:r>
      <w:r w:rsidRPr="001B7F77">
        <w:rPr>
          <w:u w:val="single"/>
        </w:rPr>
        <w:t xml:space="preserve"> – FSA</w:t>
      </w:r>
      <w:r w:rsidRPr="001B7F77">
        <w:rPr>
          <w:u w:val="single"/>
          <w:vertAlign w:val="subscript"/>
        </w:rPr>
        <w:t>R</w:t>
      </w:r>
      <w:r w:rsidRPr="001B7F77">
        <w:rPr>
          <w:u w:val="single"/>
        </w:rPr>
        <w:t>) / FSA</w:t>
      </w:r>
      <w:r w:rsidRPr="001B7F77">
        <w:rPr>
          <w:u w:val="single"/>
          <w:vertAlign w:val="subscript"/>
        </w:rPr>
        <w:t>R</w:t>
      </w:r>
      <w:r w:rsidRPr="001B7F77">
        <w:rPr>
          <w:u w:val="single"/>
        </w:rPr>
        <w:t xml:space="preserve"> x 100</w:t>
      </w:r>
      <w:r w:rsidRPr="001B7F77">
        <w:tab/>
      </w:r>
      <w:r w:rsidRPr="001B7F77">
        <w:tab/>
      </w:r>
      <w:r w:rsidRPr="001B7F77">
        <w:tab/>
      </w:r>
      <w:r w:rsidRPr="001B7F77">
        <w:tab/>
      </w:r>
      <w:r w:rsidRPr="001B7F77">
        <w:tab/>
      </w:r>
      <w:r w:rsidRPr="001B7F77">
        <w:tab/>
      </w:r>
      <w:r w:rsidRPr="001B7F77">
        <w:tab/>
      </w:r>
      <w:r w:rsidRPr="001B7F77">
        <w:rPr>
          <w:b/>
          <w:bCs/>
          <w:u w:val="single"/>
        </w:rPr>
        <w:t>(Equation 3-1)</w:t>
      </w:r>
    </w:p>
    <w:p w14:paraId="06520FC7" w14:textId="77777777" w:rsidR="001B7F77" w:rsidRPr="001B7F77" w:rsidRDefault="001B7F77" w:rsidP="001B7F77">
      <w:pPr>
        <w:widowControl w:val="0"/>
        <w:tabs>
          <w:tab w:val="left" w:pos="720"/>
        </w:tabs>
        <w:suppressAutoHyphens/>
        <w:autoSpaceDE w:val="0"/>
        <w:autoSpaceDN w:val="0"/>
        <w:adjustRightInd w:val="0"/>
        <w:spacing w:before="120"/>
        <w:ind w:left="720"/>
        <w:jc w:val="left"/>
        <w:rPr>
          <w:u w:val="single"/>
        </w:rPr>
      </w:pPr>
      <w:r w:rsidRPr="001B7F77">
        <w:rPr>
          <w:u w:val="single"/>
        </w:rPr>
        <w:t>where:</w:t>
      </w:r>
    </w:p>
    <w:p w14:paraId="1533FB05" w14:textId="77777777" w:rsidR="001B7F77" w:rsidRPr="001B7F77" w:rsidRDefault="001B7F77" w:rsidP="001B7F77">
      <w:pPr>
        <w:widowControl w:val="0"/>
        <w:tabs>
          <w:tab w:val="left" w:pos="720"/>
        </w:tabs>
        <w:suppressAutoHyphens/>
        <w:autoSpaceDE w:val="0"/>
        <w:autoSpaceDN w:val="0"/>
        <w:adjustRightInd w:val="0"/>
        <w:spacing w:before="120"/>
        <w:ind w:left="720"/>
        <w:jc w:val="left"/>
        <w:rPr>
          <w:u w:val="single"/>
        </w:rPr>
      </w:pPr>
      <w:r w:rsidRPr="001B7F77">
        <w:rPr>
          <w:u w:val="single"/>
        </w:rPr>
        <w:t>I = percent increase in floor surface area.</w:t>
      </w:r>
    </w:p>
    <w:p w14:paraId="0631AB5D" w14:textId="77777777" w:rsidR="001B7F77" w:rsidRPr="001B7F77" w:rsidRDefault="001B7F77" w:rsidP="001B7F77">
      <w:pPr>
        <w:widowControl w:val="0"/>
        <w:tabs>
          <w:tab w:val="left" w:pos="720"/>
        </w:tabs>
        <w:suppressAutoHyphens/>
        <w:autoSpaceDE w:val="0"/>
        <w:autoSpaceDN w:val="0"/>
        <w:adjustRightInd w:val="0"/>
        <w:spacing w:before="120"/>
        <w:ind w:left="720"/>
        <w:jc w:val="left"/>
        <w:rPr>
          <w:u w:val="single"/>
        </w:rPr>
      </w:pPr>
      <w:r w:rsidRPr="001B7F77">
        <w:rPr>
          <w:u w:val="single"/>
        </w:rPr>
        <w:t>FSA</w:t>
      </w:r>
      <w:r w:rsidRPr="001B7F77">
        <w:rPr>
          <w:u w:val="single"/>
          <w:vertAlign w:val="subscript"/>
        </w:rPr>
        <w:t>P</w:t>
      </w:r>
      <w:r w:rsidRPr="001B7F77">
        <w:rPr>
          <w:u w:val="single"/>
        </w:rPr>
        <w:t xml:space="preserve"> = floor surface area proposed upon completion.</w:t>
      </w:r>
    </w:p>
    <w:p w14:paraId="3A87B945" w14:textId="77777777" w:rsidR="001B7F77" w:rsidRPr="001B7F77" w:rsidRDefault="001B7F77" w:rsidP="001B7F77">
      <w:pPr>
        <w:widowControl w:val="0"/>
        <w:tabs>
          <w:tab w:val="left" w:pos="720"/>
        </w:tabs>
        <w:suppressAutoHyphens/>
        <w:autoSpaceDE w:val="0"/>
        <w:autoSpaceDN w:val="0"/>
        <w:adjustRightInd w:val="0"/>
        <w:spacing w:before="120"/>
        <w:ind w:left="720"/>
        <w:jc w:val="left"/>
        <w:rPr>
          <w:u w:val="single"/>
        </w:rPr>
      </w:pPr>
      <w:r w:rsidRPr="001B7F77">
        <w:rPr>
          <w:u w:val="single"/>
        </w:rPr>
        <w:t>FSA</w:t>
      </w:r>
      <w:r w:rsidRPr="001B7F77">
        <w:rPr>
          <w:u w:val="single"/>
          <w:vertAlign w:val="subscript"/>
        </w:rPr>
        <w:t>R</w:t>
      </w:r>
      <w:r w:rsidRPr="001B7F77">
        <w:rPr>
          <w:u w:val="single"/>
        </w:rPr>
        <w:t xml:space="preserve"> = floor surface area to remain after removals.</w:t>
      </w:r>
    </w:p>
    <w:p w14:paraId="03DB6589" w14:textId="77777777" w:rsidR="001B7F77" w:rsidRPr="001B7F77" w:rsidRDefault="001B7F77" w:rsidP="001B7F77">
      <w:pPr>
        <w:widowControl w:val="0"/>
        <w:tabs>
          <w:tab w:val="left" w:pos="720"/>
        </w:tabs>
        <w:suppressAutoHyphens/>
        <w:spacing w:before="120"/>
        <w:ind w:left="720"/>
        <w:rPr>
          <w:u w:val="single"/>
        </w:rPr>
      </w:pPr>
      <w:r w:rsidRPr="001B7F77">
        <w:rPr>
          <w:b/>
          <w:u w:val="single"/>
        </w:rPr>
        <w:t>302.7.2.1 Chapters 8, 9</w:t>
      </w:r>
      <w:r w:rsidRPr="001B7F77">
        <w:rPr>
          <w:b/>
          <w:bCs/>
          <w:u w:val="single"/>
        </w:rPr>
        <w:t xml:space="preserve"> and</w:t>
      </w:r>
      <w:r w:rsidRPr="001B7F77">
        <w:rPr>
          <w:b/>
          <w:u w:val="single"/>
        </w:rPr>
        <w:t xml:space="preserve"> 11. </w:t>
      </w:r>
      <w:r w:rsidRPr="001B7F77">
        <w:rPr>
          <w:u w:val="single"/>
        </w:rPr>
        <w:t>Where a Level 1 alteration, Level 2 alteration or addition made to an existing building results in an increase in floor surface area of more than 110 percent, such building shall comply with Section 302.7.</w:t>
      </w:r>
    </w:p>
    <w:p w14:paraId="12D2E79A" w14:textId="77777777" w:rsidR="001B7F77" w:rsidRPr="001B7F77" w:rsidRDefault="001B7F77" w:rsidP="001B7F77">
      <w:pPr>
        <w:widowControl w:val="0"/>
        <w:tabs>
          <w:tab w:val="left" w:pos="360"/>
        </w:tabs>
        <w:suppressAutoHyphens/>
        <w:spacing w:before="120"/>
        <w:ind w:left="360"/>
        <w:rPr>
          <w:u w:val="single"/>
        </w:rPr>
      </w:pPr>
      <w:r w:rsidRPr="001B7F77">
        <w:rPr>
          <w:b/>
          <w:bCs/>
          <w:u w:val="single"/>
        </w:rPr>
        <w:t>302.7.3 Changes in scope of work.</w:t>
      </w:r>
      <w:r w:rsidRPr="001B7F77">
        <w:rPr>
          <w:u w:val="single"/>
        </w:rPr>
        <w:t xml:space="preserve"> In cases where changes in the scope of work during the course of construction would result in increasing the floor surface area at the completion of construction by more than 110 percent over the amount of existing floor surface area as determined pursuant to Section 302.7, such entire building shall be made to comply with the provisions of the </w:t>
      </w:r>
      <w:r w:rsidRPr="001B7F77">
        <w:rPr>
          <w:i/>
          <w:iCs/>
          <w:u w:val="single"/>
        </w:rPr>
        <w:t>New York City Building Code</w:t>
      </w:r>
      <w:r w:rsidRPr="001B7F77">
        <w:rPr>
          <w:u w:val="single"/>
        </w:rPr>
        <w:t xml:space="preserve"> as if hereafter erected and such work shall be refiled in accordance with Section 28-105.2 of the </w:t>
      </w:r>
      <w:r w:rsidRPr="001B7F77">
        <w:rPr>
          <w:i/>
          <w:iCs/>
          <w:u w:val="single"/>
        </w:rPr>
        <w:t>Administrative Code</w:t>
      </w:r>
      <w:r w:rsidRPr="001B7F77">
        <w:rPr>
          <w:u w:val="single"/>
        </w:rPr>
        <w:t>.</w:t>
      </w:r>
    </w:p>
    <w:p w14:paraId="400BC694" w14:textId="77777777" w:rsidR="001B7F77" w:rsidRPr="001B7F77" w:rsidRDefault="001B7F77" w:rsidP="001B7F77">
      <w:pPr>
        <w:widowControl w:val="0"/>
        <w:tabs>
          <w:tab w:val="left" w:pos="360"/>
        </w:tabs>
        <w:suppressAutoHyphens/>
        <w:spacing w:before="120"/>
        <w:ind w:left="360"/>
        <w:rPr>
          <w:u w:val="single"/>
        </w:rPr>
      </w:pPr>
      <w:r w:rsidRPr="001B7F77">
        <w:rPr>
          <w:b/>
          <w:u w:val="single"/>
        </w:rPr>
        <w:t>302.7.4 Definitions.</w:t>
      </w:r>
      <w:r w:rsidRPr="001B7F77">
        <w:rPr>
          <w:u w:val="single"/>
        </w:rPr>
        <w:t xml:space="preserve"> The following term shall have the following meaning unless the context or subject matter requires otherwise:</w:t>
      </w:r>
    </w:p>
    <w:p w14:paraId="1ECDE81F" w14:textId="77777777" w:rsidR="001B7F77" w:rsidRPr="001B7F77" w:rsidRDefault="001B7F77" w:rsidP="001B7F77">
      <w:pPr>
        <w:widowControl w:val="0"/>
        <w:tabs>
          <w:tab w:val="left" w:pos="720"/>
        </w:tabs>
        <w:suppressAutoHyphens/>
        <w:spacing w:before="120"/>
        <w:ind w:left="720"/>
        <w:rPr>
          <w:color w:val="222222"/>
          <w:u w:val="single"/>
        </w:rPr>
      </w:pPr>
      <w:r w:rsidRPr="001B7F77">
        <w:rPr>
          <w:b/>
          <w:u w:val="single"/>
        </w:rPr>
        <w:t>FLOOR SURFACE AREA.</w:t>
      </w:r>
      <w:r w:rsidRPr="001B7F77">
        <w:rPr>
          <w:color w:val="222222"/>
          <w:u w:val="single"/>
        </w:rPr>
        <w:t xml:space="preserve"> For the purpose of calculating floor surface area in accordance with Section 302.7, floor surface area is the gross square foot area of all floor and roof surfaces, including roofs of bulkheads and superstructures, of a building or structure at any level, including cellar, attic and roof. Where such surfaces are sloped, the measurement shall be the horizontal projected area thereof.</w:t>
      </w:r>
    </w:p>
    <w:p w14:paraId="5C4EA442" w14:textId="77777777" w:rsidR="001B7F77" w:rsidRPr="001B7F77" w:rsidRDefault="001B7F77" w:rsidP="001B7F77">
      <w:pPr>
        <w:widowControl w:val="0"/>
        <w:tabs>
          <w:tab w:val="left" w:pos="360"/>
        </w:tabs>
        <w:suppressAutoHyphens/>
        <w:spacing w:before="120"/>
        <w:ind w:left="360"/>
        <w:rPr>
          <w:u w:val="single"/>
        </w:rPr>
      </w:pPr>
      <w:r w:rsidRPr="001B7F77">
        <w:rPr>
          <w:b/>
          <w:bCs/>
          <w:u w:val="single"/>
        </w:rPr>
        <w:t>302.7.5 Effect on zoning resolution.</w:t>
      </w:r>
      <w:r w:rsidRPr="001B7F77">
        <w:rPr>
          <w:u w:val="single"/>
        </w:rPr>
        <w:t xml:space="preserve"> The provisions of Section 302.7 shall not be construed to affect the status of any nonconforming use or non-complying bulk otherwise permitted to be retained pursuant to the </w:t>
      </w:r>
      <w:r w:rsidRPr="001B7F77">
        <w:rPr>
          <w:i/>
          <w:iCs/>
          <w:u w:val="single"/>
        </w:rPr>
        <w:t>New York City Zoning Resolution</w:t>
      </w:r>
      <w:r w:rsidRPr="001B7F77">
        <w:rPr>
          <w:u w:val="single"/>
        </w:rPr>
        <w:t>.</w:t>
      </w:r>
    </w:p>
    <w:p w14:paraId="50005E41" w14:textId="77777777" w:rsidR="001B7F77" w:rsidRPr="001B7F77" w:rsidRDefault="001B7F77" w:rsidP="001B7F77">
      <w:pPr>
        <w:widowControl w:val="0"/>
        <w:suppressAutoHyphens/>
        <w:spacing w:before="120"/>
        <w:rPr>
          <w:u w:val="single"/>
        </w:rPr>
      </w:pPr>
      <w:r w:rsidRPr="001B7F77">
        <w:rPr>
          <w:b/>
          <w:bCs/>
          <w:u w:val="single"/>
        </w:rPr>
        <w:t>302.8 Applicability of previous codes.</w:t>
      </w:r>
      <w:r w:rsidRPr="001B7F77">
        <w:rPr>
          <w:u w:val="single"/>
        </w:rPr>
        <w:t xml:space="preserve"> Codes in effect prior to November 7, 2022, shall not apply to work on an existing building filed after the effective date of this code.</w:t>
      </w:r>
    </w:p>
    <w:p w14:paraId="392CBB21" w14:textId="77777777" w:rsidR="001B7F77" w:rsidRPr="001B7F77" w:rsidRDefault="001B7F77" w:rsidP="001B7F77">
      <w:pPr>
        <w:widowControl w:val="0"/>
        <w:suppressAutoHyphens/>
        <w:spacing w:before="120"/>
        <w:ind w:left="720"/>
        <w:rPr>
          <w:b/>
          <w:u w:val="single"/>
        </w:rPr>
      </w:pPr>
      <w:r w:rsidRPr="001B7F77">
        <w:rPr>
          <w:b/>
          <w:u w:val="single"/>
        </w:rPr>
        <w:t xml:space="preserve">Exceptions: </w:t>
      </w:r>
    </w:p>
    <w:p w14:paraId="0413C0D3" w14:textId="77777777" w:rsidR="001B7F77" w:rsidRPr="001B7F77" w:rsidRDefault="001B7F77" w:rsidP="001B7F77">
      <w:pPr>
        <w:widowControl w:val="0"/>
        <w:suppressAutoHyphens/>
        <w:spacing w:before="120"/>
        <w:ind w:left="1080" w:hanging="360"/>
        <w:contextualSpacing/>
        <w:rPr>
          <w:szCs w:val="24"/>
          <w:u w:val="single"/>
        </w:rPr>
      </w:pPr>
      <w:r w:rsidRPr="001B7F77">
        <w:rPr>
          <w:u w:val="single"/>
        </w:rPr>
        <w:t xml:space="preserve">1. </w:t>
      </w:r>
      <w:r w:rsidRPr="001B7F77">
        <w:tab/>
      </w:r>
      <w:r w:rsidRPr="001B7F77">
        <w:rPr>
          <w:szCs w:val="24"/>
          <w:u w:val="single"/>
        </w:rPr>
        <w:t>Existing conditions. The provisions of codes in effect prior to November 7, 2022, remain applicable to the extent they establish the lawful existing conditions of a building, and such provisions remain enforceable by the department. Any alteration to change such existing conditions shall be in accordance with a lawful permit issued by the department to alter the building in accordance with this code.</w:t>
      </w:r>
    </w:p>
    <w:p w14:paraId="04D91E58" w14:textId="77777777" w:rsidR="001B7F77" w:rsidRPr="001B7F77" w:rsidRDefault="001B7F77" w:rsidP="001B7F77">
      <w:pPr>
        <w:spacing w:before="120" w:line="252" w:lineRule="auto"/>
        <w:ind w:left="1080" w:hanging="360"/>
        <w:contextualSpacing/>
        <w:rPr>
          <w:rFonts w:cs="Arial"/>
          <w:szCs w:val="24"/>
        </w:rPr>
      </w:pPr>
      <w:r w:rsidRPr="001B7F77">
        <w:rPr>
          <w:rFonts w:eastAsia="Calibri"/>
          <w:szCs w:val="24"/>
          <w:u w:val="single"/>
        </w:rPr>
        <w:t>2. Retroactive provisions of the 1968 code. Retroactive provisions of the 1968 code remain applicable to existing prior code buildings and enforceable by the department.</w:t>
      </w:r>
      <w:bookmarkStart w:id="73" w:name="_Hlk140085482"/>
    </w:p>
    <w:bookmarkEnd w:id="73"/>
    <w:p w14:paraId="186DD895" w14:textId="77777777" w:rsidR="001B7F77" w:rsidRPr="001B7F77" w:rsidRDefault="001B7F77" w:rsidP="001B7F77">
      <w:pPr>
        <w:widowControl w:val="0"/>
        <w:suppressAutoHyphens/>
        <w:spacing w:before="120"/>
        <w:rPr>
          <w:u w:val="single"/>
        </w:rPr>
      </w:pPr>
      <w:r w:rsidRPr="001B7F77">
        <w:rPr>
          <w:b/>
          <w:bCs/>
          <w:u w:val="single"/>
        </w:rPr>
        <w:t>302.9 Mechanical, fuel gas, plumbing and fire protection systems.</w:t>
      </w:r>
      <w:r w:rsidRPr="001B7F77">
        <w:rPr>
          <w:u w:val="single"/>
        </w:rPr>
        <w:t xml:space="preserve"> Except as permitted by this code, alterations, additions or repairs to installations of mechanical, fuel gas, plumbing or fire protection systems shall conform to the requirements for new construction without requiring the existing installation to comply with all of the requirements of the </w:t>
      </w:r>
      <w:r w:rsidRPr="001B7F77">
        <w:rPr>
          <w:i/>
          <w:iCs/>
          <w:u w:val="single"/>
        </w:rPr>
        <w:t>New York City Construction Codes</w:t>
      </w:r>
      <w:r w:rsidRPr="001B7F77">
        <w:rPr>
          <w:u w:val="single"/>
        </w:rPr>
        <w:t xml:space="preserve"> applicable to new systems. Alterations, additions, or repairs shall not cause an existing installation to become unsafe, hazardous, or overloaded.</w:t>
      </w:r>
    </w:p>
    <w:p w14:paraId="491A91F6" w14:textId="77777777" w:rsidR="001B7F77" w:rsidRPr="001B7F77" w:rsidRDefault="001B7F77" w:rsidP="001B7F77">
      <w:pPr>
        <w:widowControl w:val="0"/>
        <w:tabs>
          <w:tab w:val="left" w:pos="360"/>
        </w:tabs>
        <w:suppressAutoHyphens/>
        <w:spacing w:before="120"/>
        <w:ind w:left="360"/>
        <w:rPr>
          <w:u w:val="single"/>
        </w:rPr>
      </w:pPr>
      <w:r w:rsidRPr="001B7F77">
        <w:rPr>
          <w:b/>
          <w:u w:val="single"/>
        </w:rPr>
        <w:t>302.9.1</w:t>
      </w:r>
      <w:r w:rsidRPr="001B7F77">
        <w:rPr>
          <w:u w:val="single"/>
        </w:rPr>
        <w:t xml:space="preserve"> </w:t>
      </w:r>
      <w:r w:rsidRPr="001B7F77">
        <w:rPr>
          <w:b/>
          <w:u w:val="single"/>
        </w:rPr>
        <w:t>Minor additions, alterations, renovations and repairs.</w:t>
      </w:r>
      <w:r w:rsidRPr="001B7F77">
        <w:rPr>
          <w:u w:val="single"/>
        </w:rPr>
        <w:t xml:space="preserve"> Except as permitted by this code, minor additions, alterations, renovations and repairs to existing installations of mechanical, fuel gas, plumbing and fire protection systems shall meet the provisions for new construction, unless such work is done in the same manner and arrangement as was in the existing system, is not hazardous and is approved.</w:t>
      </w:r>
    </w:p>
    <w:p w14:paraId="1B5E6F4C" w14:textId="77777777" w:rsidR="001B7F77" w:rsidRPr="001B7F77" w:rsidRDefault="001B7F77" w:rsidP="001B7F77">
      <w:pPr>
        <w:widowControl w:val="0"/>
        <w:tabs>
          <w:tab w:val="left" w:pos="360"/>
        </w:tabs>
        <w:suppressAutoHyphens/>
        <w:spacing w:before="120"/>
        <w:ind w:left="360"/>
        <w:rPr>
          <w:u w:val="single"/>
        </w:rPr>
      </w:pPr>
      <w:r w:rsidRPr="001B7F77">
        <w:rPr>
          <w:b/>
          <w:u w:val="single"/>
        </w:rPr>
        <w:t>302.9.2 Maintenance.</w:t>
      </w:r>
      <w:r w:rsidRPr="001B7F77">
        <w:rPr>
          <w:u w:val="single"/>
        </w:rPr>
        <w:t xml:space="preserve"> Installations of mechanical, fuel gas, plumbing and fire protection systems or parts thereof shall be maintained in proper operating condition in accordance with the original design and in a safe and sanitary condition. Devices or safeguards that are required by the </w:t>
      </w:r>
      <w:r w:rsidRPr="001B7F77">
        <w:rPr>
          <w:i/>
          <w:iCs/>
          <w:u w:val="single"/>
        </w:rPr>
        <w:t>New York City Construction Codes</w:t>
      </w:r>
      <w:r w:rsidRPr="001B7F77">
        <w:rPr>
          <w:u w:val="single"/>
        </w:rPr>
        <w:t xml:space="preserve"> shall be maintained in compliance with the applicable provisions under which they were installed.</w:t>
      </w:r>
    </w:p>
    <w:p w14:paraId="10E083CA" w14:textId="77777777" w:rsidR="001B7F77" w:rsidRPr="001B7F77" w:rsidRDefault="001B7F77" w:rsidP="001B7F77">
      <w:pPr>
        <w:widowControl w:val="0"/>
        <w:tabs>
          <w:tab w:val="left" w:pos="360"/>
        </w:tabs>
        <w:suppressAutoHyphens/>
        <w:spacing w:before="120"/>
        <w:ind w:left="360"/>
        <w:rPr>
          <w:u w:val="single"/>
        </w:rPr>
      </w:pPr>
      <w:r w:rsidRPr="001B7F77">
        <w:rPr>
          <w:b/>
          <w:u w:val="single"/>
        </w:rPr>
        <w:t>302.9.3 Compliance with structural requirements.</w:t>
      </w:r>
      <w:r w:rsidRPr="001B7F77">
        <w:rPr>
          <w:u w:val="single"/>
        </w:rPr>
        <w:t xml:space="preserve"> Installations of mechanical, fuel gas, plumbing, and fire protection systems and parts thereof shall comply with Section 307.2.</w:t>
      </w:r>
    </w:p>
    <w:p w14:paraId="102C934F" w14:textId="77777777" w:rsidR="001B7F77" w:rsidRPr="001B7F77" w:rsidRDefault="001B7F77" w:rsidP="001B7F77">
      <w:pPr>
        <w:widowControl w:val="0"/>
        <w:tabs>
          <w:tab w:val="left" w:pos="360"/>
        </w:tabs>
        <w:suppressAutoHyphens/>
        <w:spacing w:before="120"/>
        <w:ind w:left="360"/>
        <w:rPr>
          <w:u w:val="single"/>
        </w:rPr>
      </w:pPr>
      <w:r w:rsidRPr="001B7F77">
        <w:rPr>
          <w:b/>
          <w:u w:val="single"/>
        </w:rPr>
        <w:t>302.9.4 Required insulation of certain concealed piping exposed during alteration or repair</w:t>
      </w:r>
      <w:r w:rsidRPr="001B7F77">
        <w:rPr>
          <w:u w:val="single"/>
        </w:rPr>
        <w:t xml:space="preserve">. Where concealed existing piping is exposed in the course of the alteration or repair of a building, the owner of the building shall provide for the insulation of the exposed piping. The exposed piping shall be insulated to the extent required by the </w:t>
      </w:r>
      <w:r w:rsidRPr="001B7F77">
        <w:rPr>
          <w:i/>
          <w:iCs/>
          <w:u w:val="single"/>
        </w:rPr>
        <w:t>New York City Energy Conservation Code</w:t>
      </w:r>
      <w:r w:rsidRPr="001B7F77">
        <w:rPr>
          <w:u w:val="single"/>
        </w:rPr>
        <w:t xml:space="preserve"> for newly installed pipe of the same specifications and serving the same function as the exposed pipe. The entire exposed length of the piping shall be insulated as well as any further length of concealed pipe that can be directly accessed through openings made in the course of such alteration or repair.</w:t>
      </w:r>
    </w:p>
    <w:p w14:paraId="191BF6A6" w14:textId="77777777" w:rsidR="001B7F77" w:rsidRPr="001B7F77" w:rsidRDefault="001B7F77" w:rsidP="001B7F77">
      <w:pPr>
        <w:widowControl w:val="0"/>
        <w:tabs>
          <w:tab w:val="left" w:pos="720"/>
        </w:tabs>
        <w:suppressAutoHyphens/>
        <w:spacing w:before="120"/>
        <w:ind w:left="720"/>
        <w:rPr>
          <w:b/>
          <w:bCs/>
          <w:color w:val="222222"/>
          <w:u w:val="single"/>
        </w:rPr>
      </w:pPr>
      <w:r w:rsidRPr="001B7F77">
        <w:rPr>
          <w:b/>
          <w:bCs/>
          <w:color w:val="222222"/>
          <w:u w:val="single"/>
        </w:rPr>
        <w:t>Exceptions:</w:t>
      </w:r>
    </w:p>
    <w:p w14:paraId="60D1F394" w14:textId="77777777" w:rsidR="001B7F77" w:rsidRPr="001B7F77" w:rsidRDefault="001B7F77" w:rsidP="0001508F">
      <w:pPr>
        <w:widowControl w:val="0"/>
        <w:numPr>
          <w:ilvl w:val="0"/>
          <w:numId w:val="10"/>
        </w:numPr>
        <w:suppressAutoHyphens/>
        <w:autoSpaceDE w:val="0"/>
        <w:autoSpaceDN w:val="0"/>
        <w:adjustRightInd w:val="0"/>
        <w:spacing w:before="120"/>
        <w:jc w:val="left"/>
        <w:rPr>
          <w:color w:val="000000"/>
          <w:u w:val="single"/>
        </w:rPr>
      </w:pPr>
      <w:r w:rsidRPr="001B7F77">
        <w:rPr>
          <w:color w:val="000000"/>
          <w:u w:val="single"/>
        </w:rPr>
        <w:t>Exposed pipe with one-inch (25-mm) thick continuous coverage of existing insulation in good condition.</w:t>
      </w:r>
    </w:p>
    <w:p w14:paraId="717A5439" w14:textId="77777777" w:rsidR="001B7F77" w:rsidRPr="001B7F77" w:rsidRDefault="001B7F77" w:rsidP="0001508F">
      <w:pPr>
        <w:widowControl w:val="0"/>
        <w:numPr>
          <w:ilvl w:val="0"/>
          <w:numId w:val="10"/>
        </w:numPr>
        <w:suppressAutoHyphens/>
        <w:autoSpaceDE w:val="0"/>
        <w:autoSpaceDN w:val="0"/>
        <w:adjustRightInd w:val="0"/>
        <w:spacing w:before="120"/>
        <w:jc w:val="left"/>
        <w:rPr>
          <w:color w:val="000000"/>
          <w:u w:val="single"/>
        </w:rPr>
      </w:pPr>
      <w:r w:rsidRPr="001B7F77">
        <w:rPr>
          <w:color w:val="000000"/>
          <w:u w:val="single"/>
        </w:rPr>
        <w:t>Where the length of concealed pipe which may be directly accessed through openings made in the course of such alteration or repair is less than three feet (914 mm).</w:t>
      </w:r>
    </w:p>
    <w:p w14:paraId="7CFDF847" w14:textId="77777777" w:rsidR="001B7F77" w:rsidRPr="001B7F77" w:rsidRDefault="001B7F77" w:rsidP="0001508F">
      <w:pPr>
        <w:widowControl w:val="0"/>
        <w:numPr>
          <w:ilvl w:val="0"/>
          <w:numId w:val="10"/>
        </w:numPr>
        <w:suppressAutoHyphens/>
        <w:autoSpaceDE w:val="0"/>
        <w:autoSpaceDN w:val="0"/>
        <w:adjustRightInd w:val="0"/>
        <w:spacing w:before="120"/>
        <w:jc w:val="left"/>
        <w:rPr>
          <w:color w:val="000000"/>
          <w:u w:val="single"/>
        </w:rPr>
      </w:pPr>
      <w:r w:rsidRPr="001B7F77">
        <w:rPr>
          <w:u w:val="single"/>
        </w:rPr>
        <w:t xml:space="preserve">Where there is not sufficient space to insulate pipes to the extent required by the </w:t>
      </w:r>
      <w:r w:rsidRPr="001B7F77">
        <w:rPr>
          <w:i/>
          <w:iCs/>
          <w:color w:val="000000"/>
          <w:u w:val="single"/>
        </w:rPr>
        <w:t>New York City Energy Conservation Code</w:t>
      </w:r>
      <w:r w:rsidRPr="001B7F77">
        <w:rPr>
          <w:u w:val="single"/>
        </w:rPr>
        <w:t xml:space="preserve"> due to conflicts with existing construction, pipes shall be insulated to the extent that space allows.</w:t>
      </w:r>
    </w:p>
    <w:p w14:paraId="362AB973" w14:textId="77777777" w:rsidR="001B7F77" w:rsidRPr="001B7F77" w:rsidRDefault="001B7F77" w:rsidP="001B7F77">
      <w:pPr>
        <w:widowControl w:val="0"/>
        <w:tabs>
          <w:tab w:val="left" w:pos="360"/>
        </w:tabs>
        <w:suppressAutoHyphens/>
        <w:spacing w:before="120"/>
        <w:ind w:left="360"/>
        <w:rPr>
          <w:u w:val="single"/>
        </w:rPr>
      </w:pPr>
      <w:r w:rsidRPr="001B7F77">
        <w:rPr>
          <w:b/>
          <w:u w:val="single"/>
        </w:rPr>
        <w:t xml:space="preserve">302.9.5 Work that increases sanitary or stormwater load. </w:t>
      </w:r>
      <w:r w:rsidRPr="001B7F77">
        <w:rPr>
          <w:u w:val="single"/>
        </w:rPr>
        <w:t>Work that increases either the sanitary load or stormwater discharge of a plumbing system shall comply with Sections 310.8 and 310.9 of this code.</w:t>
      </w:r>
    </w:p>
    <w:p w14:paraId="20193BC8" w14:textId="77777777" w:rsidR="001B7F77" w:rsidRPr="001B7F77" w:rsidRDefault="001B7F77" w:rsidP="001B7F77">
      <w:pPr>
        <w:widowControl w:val="0"/>
        <w:suppressAutoHyphens/>
        <w:spacing w:before="120"/>
        <w:rPr>
          <w:u w:val="single"/>
        </w:rPr>
      </w:pPr>
      <w:r w:rsidRPr="001B7F77">
        <w:rPr>
          <w:b/>
          <w:u w:val="single"/>
        </w:rPr>
        <w:t>302.10 Flood hazard areas</w:t>
      </w:r>
      <w:r w:rsidRPr="001B7F77">
        <w:rPr>
          <w:u w:val="single"/>
        </w:rPr>
        <w:t xml:space="preserve">. Alterations, additions, changes of occupancy and relocation, moving or raising of existing buildings in flood hazard areas shall comply with the requirements of Appendix G of the </w:t>
      </w:r>
      <w:r w:rsidRPr="001B7F77">
        <w:rPr>
          <w:i/>
          <w:iCs/>
          <w:u w:val="single"/>
        </w:rPr>
        <w:t>New York City Building Code</w:t>
      </w:r>
      <w:r w:rsidRPr="001B7F77">
        <w:rPr>
          <w:u w:val="single"/>
        </w:rPr>
        <w:t xml:space="preserve"> to the extent required therein.</w:t>
      </w:r>
    </w:p>
    <w:p w14:paraId="03173AAE" w14:textId="77777777" w:rsidR="001B7F77" w:rsidRPr="001B7F77" w:rsidRDefault="001B7F77" w:rsidP="001B7F77">
      <w:pPr>
        <w:widowControl w:val="0"/>
        <w:tabs>
          <w:tab w:val="left" w:pos="360"/>
        </w:tabs>
        <w:suppressAutoHyphens/>
        <w:spacing w:before="120"/>
        <w:ind w:left="360"/>
        <w:rPr>
          <w:u w:val="single"/>
        </w:rPr>
      </w:pPr>
      <w:r w:rsidRPr="001B7F77">
        <w:rPr>
          <w:b/>
          <w:u w:val="single"/>
        </w:rPr>
        <w:t>302.10.1 Flood hardening.</w:t>
      </w:r>
      <w:r w:rsidRPr="001B7F77">
        <w:rPr>
          <w:u w:val="single"/>
        </w:rPr>
        <w:t xml:space="preserve"> Work performed for the purposes of flood hardening shall comply with Appendix G of the </w:t>
      </w:r>
      <w:r w:rsidRPr="001B7F77">
        <w:rPr>
          <w:i/>
          <w:iCs/>
          <w:u w:val="single"/>
        </w:rPr>
        <w:t>New York City Building Code</w:t>
      </w:r>
      <w:r w:rsidRPr="001B7F77">
        <w:rPr>
          <w:u w:val="single"/>
        </w:rPr>
        <w:t>.</w:t>
      </w:r>
    </w:p>
    <w:p w14:paraId="2D32E294" w14:textId="77777777" w:rsidR="001B7F77" w:rsidRPr="001B7F77" w:rsidRDefault="001B7F77" w:rsidP="001B7F77">
      <w:pPr>
        <w:suppressAutoHyphens/>
        <w:spacing w:before="120"/>
      </w:pPr>
      <w:r w:rsidRPr="001B7F77">
        <w:rPr>
          <w:b/>
          <w:bCs/>
          <w:u w:val="single"/>
        </w:rPr>
        <w:t xml:space="preserve">302.11 Special inspections. </w:t>
      </w:r>
      <w:r w:rsidRPr="001B7F77">
        <w:rPr>
          <w:u w:val="single"/>
        </w:rPr>
        <w:t xml:space="preserve">Work subject to special inspection shall comply with the applicable provisions of Chapter 17 of the </w:t>
      </w:r>
      <w:r w:rsidRPr="001B7F77">
        <w:rPr>
          <w:i/>
          <w:iCs/>
          <w:u w:val="single"/>
        </w:rPr>
        <w:t>New York City Building Code</w:t>
      </w:r>
      <w:r w:rsidRPr="001B7F77">
        <w:rPr>
          <w:u w:val="single"/>
        </w:rPr>
        <w:t>.</w:t>
      </w:r>
    </w:p>
    <w:p w14:paraId="142B188B" w14:textId="77777777" w:rsidR="001B7F77" w:rsidRPr="001B7F77" w:rsidRDefault="001B7F77" w:rsidP="001B7F77">
      <w:pPr>
        <w:widowControl w:val="0"/>
        <w:suppressAutoHyphens/>
        <w:spacing w:before="120"/>
        <w:jc w:val="center"/>
        <w:outlineLvl w:val="0"/>
        <w:rPr>
          <w:b/>
          <w:bCs/>
          <w:u w:val="single"/>
        </w:rPr>
      </w:pPr>
      <w:bookmarkStart w:id="74" w:name="_Hlk76122803"/>
    </w:p>
    <w:p w14:paraId="54594FA2" w14:textId="77777777" w:rsidR="001B7F77" w:rsidRPr="001B7F77" w:rsidRDefault="001B7F77" w:rsidP="001B7F77">
      <w:pPr>
        <w:widowControl w:val="0"/>
        <w:suppressAutoHyphens/>
        <w:spacing w:before="120"/>
        <w:jc w:val="center"/>
        <w:outlineLvl w:val="0"/>
        <w:rPr>
          <w:b/>
          <w:bCs/>
          <w:u w:val="single"/>
        </w:rPr>
      </w:pPr>
      <w:r w:rsidRPr="001B7F77">
        <w:rPr>
          <w:b/>
          <w:bCs/>
          <w:u w:val="single"/>
        </w:rPr>
        <w:t>SECTION EBC 303</w:t>
      </w:r>
      <w:r w:rsidRPr="001B7F77">
        <w:rPr>
          <w:b/>
          <w:bCs/>
          <w:u w:val="single"/>
        </w:rPr>
        <w:br/>
        <w:t>BUILDING ELEMENTS AND SPECIAL CONSTRUCTION</w:t>
      </w:r>
    </w:p>
    <w:p w14:paraId="0150CA1B" w14:textId="77777777" w:rsidR="001B7F77" w:rsidRPr="001B7F77" w:rsidRDefault="001B7F77" w:rsidP="001B7F77">
      <w:pPr>
        <w:widowControl w:val="0"/>
        <w:suppressAutoHyphens/>
        <w:spacing w:before="120"/>
        <w:rPr>
          <w:u w:val="single"/>
        </w:rPr>
      </w:pPr>
      <w:r w:rsidRPr="001B7F77">
        <w:rPr>
          <w:b/>
          <w:u w:val="single"/>
        </w:rPr>
        <w:t>303.1 General</w:t>
      </w:r>
      <w:r w:rsidRPr="001B7F77">
        <w:rPr>
          <w:u w:val="single"/>
        </w:rPr>
        <w:t xml:space="preserve">. The addition to, installation and replacement of building elements shall comply with the applicable provisions of the </w:t>
      </w:r>
      <w:r w:rsidRPr="001B7F77">
        <w:rPr>
          <w:i/>
          <w:iCs/>
          <w:u w:val="single"/>
        </w:rPr>
        <w:t>New York City Building Code</w:t>
      </w:r>
      <w:r w:rsidRPr="001B7F77">
        <w:rPr>
          <w:u w:val="single"/>
        </w:rPr>
        <w:t xml:space="preserve"> for new construction</w:t>
      </w:r>
      <w:r w:rsidRPr="001B7F77">
        <w:rPr>
          <w:b/>
          <w:u w:val="single"/>
        </w:rPr>
        <w:t xml:space="preserve"> </w:t>
      </w:r>
      <w:r w:rsidRPr="001B7F77">
        <w:rPr>
          <w:u w:val="single"/>
        </w:rPr>
        <w:t>and Sections 303.2 through 303.9 of this code.</w:t>
      </w:r>
    </w:p>
    <w:p w14:paraId="13660F88" w14:textId="77777777" w:rsidR="001B7F77" w:rsidRPr="001B7F77" w:rsidRDefault="001B7F77" w:rsidP="001B7F77">
      <w:pPr>
        <w:widowControl w:val="0"/>
        <w:suppressAutoHyphens/>
        <w:spacing w:before="120"/>
        <w:rPr>
          <w:u w:val="single"/>
        </w:rPr>
      </w:pPr>
      <w:r w:rsidRPr="001B7F77">
        <w:rPr>
          <w:b/>
          <w:u w:val="single"/>
        </w:rPr>
        <w:t xml:space="preserve">303.2 Fire resistive elements. </w:t>
      </w:r>
      <w:r w:rsidRPr="001B7F77">
        <w:rPr>
          <w:u w:val="single"/>
        </w:rPr>
        <w:t>The fire-resistance ratings of existing building elements and materials shall not be reduced.</w:t>
      </w:r>
    </w:p>
    <w:p w14:paraId="4D6E7DD8" w14:textId="77777777" w:rsidR="001B7F77" w:rsidRPr="001B7F77" w:rsidRDefault="001B7F77" w:rsidP="001B7F77">
      <w:pPr>
        <w:widowControl w:val="0"/>
        <w:suppressAutoHyphens/>
        <w:spacing w:before="120"/>
        <w:ind w:left="360"/>
        <w:rPr>
          <w:bCs/>
          <w:color w:val="222222"/>
          <w:u w:val="single"/>
        </w:rPr>
      </w:pPr>
      <w:r w:rsidRPr="001B7F77">
        <w:rPr>
          <w:b/>
          <w:bCs/>
          <w:color w:val="222222"/>
          <w:u w:val="single"/>
        </w:rPr>
        <w:t xml:space="preserve">Exception: </w:t>
      </w:r>
      <w:r w:rsidRPr="001B7F77">
        <w:rPr>
          <w:bCs/>
          <w:color w:val="222222"/>
          <w:u w:val="single"/>
        </w:rPr>
        <w:t>Where the building is fully sprinklered, the fire-resistance ratings of building elements may be modified</w:t>
      </w:r>
      <w:r w:rsidRPr="001B7F77" w:rsidDel="008379FA">
        <w:rPr>
          <w:bCs/>
          <w:color w:val="222222"/>
          <w:u w:val="single"/>
        </w:rPr>
        <w:t xml:space="preserve"> </w:t>
      </w:r>
      <w:r w:rsidRPr="001B7F77">
        <w:rPr>
          <w:bCs/>
          <w:color w:val="222222"/>
          <w:u w:val="single"/>
        </w:rPr>
        <w:t xml:space="preserve">to meet the fire-resistance rating requirements of the </w:t>
      </w:r>
      <w:r w:rsidRPr="001B7F77">
        <w:rPr>
          <w:bCs/>
          <w:i/>
          <w:iCs/>
          <w:color w:val="222222"/>
          <w:u w:val="single"/>
        </w:rPr>
        <w:t>New York City Building Code</w:t>
      </w:r>
      <w:r w:rsidRPr="001B7F77">
        <w:rPr>
          <w:bCs/>
          <w:color w:val="222222"/>
          <w:u w:val="single"/>
        </w:rPr>
        <w:t xml:space="preserve"> provided that equivalent fire protection is maintained. The registered design professional of record shall demonstrate that:</w:t>
      </w:r>
    </w:p>
    <w:p w14:paraId="22DE979B" w14:textId="77777777" w:rsidR="001B7F77" w:rsidRPr="001B7F77" w:rsidRDefault="001B7F77" w:rsidP="001B7F77">
      <w:pPr>
        <w:widowControl w:val="0"/>
        <w:pBdr>
          <w:top w:val="nil"/>
          <w:left w:val="nil"/>
          <w:bottom w:val="nil"/>
          <w:right w:val="nil"/>
          <w:between w:val="nil"/>
        </w:pBdr>
        <w:tabs>
          <w:tab w:val="left" w:pos="720"/>
        </w:tabs>
        <w:suppressAutoHyphens/>
        <w:autoSpaceDE w:val="0"/>
        <w:autoSpaceDN w:val="0"/>
        <w:adjustRightInd w:val="0"/>
        <w:spacing w:before="120"/>
        <w:ind w:left="1080" w:hanging="360"/>
        <w:rPr>
          <w:rFonts w:eastAsia="Arial"/>
          <w:u w:val="single"/>
        </w:rPr>
      </w:pPr>
      <w:r w:rsidRPr="001B7F77">
        <w:rPr>
          <w:rFonts w:eastAsia="Arial"/>
          <w:u w:val="single"/>
        </w:rPr>
        <w:t>1.</w:t>
      </w:r>
      <w:r w:rsidRPr="001B7F77">
        <w:tab/>
      </w:r>
      <w:r w:rsidRPr="001B7F77">
        <w:rPr>
          <w:rFonts w:eastAsia="Arial"/>
          <w:u w:val="single"/>
        </w:rPr>
        <w:t xml:space="preserve">The building elements subject to the fire resistance rating modification comply with the applicable provisions of Chapters 7 and 10 of the </w:t>
      </w:r>
      <w:r w:rsidRPr="001B7F77">
        <w:rPr>
          <w:rFonts w:eastAsia="Arial"/>
          <w:i/>
          <w:u w:val="single"/>
        </w:rPr>
        <w:t>New York City Building Code</w:t>
      </w:r>
      <w:r w:rsidRPr="001B7F77">
        <w:rPr>
          <w:rFonts w:eastAsia="Arial"/>
          <w:u w:val="single"/>
        </w:rPr>
        <w:t xml:space="preserve"> including protection of openings thereto.</w:t>
      </w:r>
    </w:p>
    <w:p w14:paraId="506AE615" w14:textId="77777777" w:rsidR="001B7F77" w:rsidRPr="001B7F77" w:rsidRDefault="001B7F77" w:rsidP="001B7F77">
      <w:pPr>
        <w:widowControl w:val="0"/>
        <w:pBdr>
          <w:top w:val="nil"/>
          <w:left w:val="nil"/>
          <w:bottom w:val="nil"/>
          <w:right w:val="nil"/>
          <w:between w:val="nil"/>
        </w:pBdr>
        <w:tabs>
          <w:tab w:val="left" w:pos="720"/>
        </w:tabs>
        <w:suppressAutoHyphens/>
        <w:autoSpaceDE w:val="0"/>
        <w:autoSpaceDN w:val="0"/>
        <w:adjustRightInd w:val="0"/>
        <w:spacing w:before="120"/>
        <w:ind w:left="1080" w:hanging="360"/>
        <w:rPr>
          <w:rFonts w:eastAsia="Arial"/>
          <w:szCs w:val="24"/>
          <w:u w:val="single"/>
        </w:rPr>
      </w:pPr>
      <w:r w:rsidRPr="001B7F77">
        <w:rPr>
          <w:rFonts w:eastAsia="Arial"/>
          <w:szCs w:val="24"/>
          <w:u w:val="single"/>
        </w:rPr>
        <w:t>2.</w:t>
      </w:r>
      <w:r w:rsidRPr="001B7F77">
        <w:rPr>
          <w:rFonts w:eastAsia="Arial"/>
          <w:szCs w:val="24"/>
          <w:u w:val="single"/>
        </w:rPr>
        <w:tab/>
        <w:t>The installation of sprinkler system was not and will not be used to compensate for any non-compliant condition.</w:t>
      </w:r>
    </w:p>
    <w:p w14:paraId="30098620" w14:textId="77777777" w:rsidR="001B7F77" w:rsidRPr="001B7F77" w:rsidRDefault="001B7F77" w:rsidP="001B7F77">
      <w:pPr>
        <w:widowControl w:val="0"/>
        <w:suppressAutoHyphens/>
        <w:spacing w:before="120"/>
        <w:rPr>
          <w:u w:val="single"/>
        </w:rPr>
      </w:pPr>
      <w:r w:rsidRPr="001B7F77">
        <w:rPr>
          <w:b/>
          <w:u w:val="single"/>
        </w:rPr>
        <w:t xml:space="preserve">303.3 Roof recovering and replacements. </w:t>
      </w:r>
      <w:r w:rsidRPr="001B7F77">
        <w:rPr>
          <w:u w:val="single"/>
        </w:rPr>
        <w:t xml:space="preserve">In existing buildings, roof recovering and replacement shall comply with Chapter 15 of the </w:t>
      </w:r>
      <w:r w:rsidRPr="001B7F77">
        <w:rPr>
          <w:i/>
          <w:iCs/>
          <w:u w:val="single"/>
        </w:rPr>
        <w:t>New York City Building Code</w:t>
      </w:r>
      <w:r w:rsidRPr="001B7F77">
        <w:rPr>
          <w:u w:val="single"/>
        </w:rPr>
        <w:t xml:space="preserve"> and Sections 303.3.1 through 303.3.5 of this code.</w:t>
      </w:r>
    </w:p>
    <w:p w14:paraId="786B52F0" w14:textId="77777777" w:rsidR="001B7F77" w:rsidRPr="001B7F77" w:rsidRDefault="001B7F77" w:rsidP="001B7F77">
      <w:pPr>
        <w:widowControl w:val="0"/>
        <w:tabs>
          <w:tab w:val="left" w:pos="360"/>
        </w:tabs>
        <w:suppressAutoHyphens/>
        <w:spacing w:before="120"/>
        <w:ind w:left="360"/>
        <w:rPr>
          <w:u w:val="single"/>
        </w:rPr>
      </w:pPr>
      <w:r w:rsidRPr="001B7F77">
        <w:rPr>
          <w:b/>
          <w:u w:val="single"/>
        </w:rPr>
        <w:t>303.3.1 Installation and materials</w:t>
      </w:r>
      <w:r w:rsidRPr="001B7F77">
        <w:rPr>
          <w:u w:val="single"/>
        </w:rPr>
        <w:t xml:space="preserve">. Work involving the recovering or replacing of an existing roof covering shall be governed by Section 1511 of the </w:t>
      </w:r>
      <w:r w:rsidRPr="001B7F77">
        <w:rPr>
          <w:i/>
          <w:iCs/>
          <w:u w:val="single"/>
        </w:rPr>
        <w:t>New York City Building Code</w:t>
      </w:r>
      <w:r w:rsidRPr="001B7F77">
        <w:rPr>
          <w:u w:val="single"/>
        </w:rPr>
        <w:t>.</w:t>
      </w:r>
    </w:p>
    <w:p w14:paraId="4859AECF" w14:textId="77777777" w:rsidR="001B7F77" w:rsidRPr="001B7F77" w:rsidRDefault="001B7F77" w:rsidP="001B7F77">
      <w:pPr>
        <w:widowControl w:val="0"/>
        <w:tabs>
          <w:tab w:val="left" w:pos="360"/>
        </w:tabs>
        <w:suppressAutoHyphens/>
        <w:spacing w:before="120"/>
        <w:ind w:left="360"/>
        <w:rPr>
          <w:u w:val="single"/>
        </w:rPr>
      </w:pPr>
      <w:r w:rsidRPr="001B7F77">
        <w:rPr>
          <w:b/>
          <w:u w:val="single"/>
        </w:rPr>
        <w:t>303.3.2</w:t>
      </w:r>
      <w:r w:rsidRPr="001B7F77">
        <w:rPr>
          <w:u w:val="single"/>
        </w:rPr>
        <w:t xml:space="preserve"> </w:t>
      </w:r>
      <w:r w:rsidRPr="001B7F77">
        <w:rPr>
          <w:b/>
          <w:u w:val="single"/>
        </w:rPr>
        <w:t>Cool roofs</w:t>
      </w:r>
      <w:r w:rsidRPr="001B7F77">
        <w:rPr>
          <w:u w:val="single"/>
        </w:rPr>
        <w:t xml:space="preserve">. Work involving the recovering or replacing of an existing roof covering shall be permitted to be performed in accordance with the solar reflectance requirements in Chapter 15 of the </w:t>
      </w:r>
      <w:r w:rsidRPr="001B7F77">
        <w:rPr>
          <w:i/>
          <w:iCs/>
          <w:u w:val="single"/>
        </w:rPr>
        <w:t>New York City Building Code</w:t>
      </w:r>
      <w:r w:rsidRPr="001B7F77">
        <w:rPr>
          <w:u w:val="single"/>
        </w:rPr>
        <w:t>.</w:t>
      </w:r>
    </w:p>
    <w:p w14:paraId="33940B26" w14:textId="77777777" w:rsidR="001B7F77" w:rsidRPr="001B7F77" w:rsidRDefault="001B7F77" w:rsidP="001B7F77">
      <w:pPr>
        <w:widowControl w:val="0"/>
        <w:tabs>
          <w:tab w:val="left" w:pos="360"/>
        </w:tabs>
        <w:suppressAutoHyphens/>
        <w:spacing w:before="120"/>
        <w:ind w:left="360"/>
        <w:rPr>
          <w:u w:val="single"/>
        </w:rPr>
      </w:pPr>
      <w:r w:rsidRPr="001B7F77">
        <w:rPr>
          <w:b/>
          <w:u w:val="single"/>
        </w:rPr>
        <w:t>303.3.3</w:t>
      </w:r>
      <w:r w:rsidRPr="001B7F77">
        <w:rPr>
          <w:u w:val="single"/>
        </w:rPr>
        <w:t xml:space="preserve"> </w:t>
      </w:r>
      <w:r w:rsidRPr="001B7F77">
        <w:rPr>
          <w:b/>
          <w:u w:val="single"/>
        </w:rPr>
        <w:t>Vegetative roofs, roof gardens and landscaped roofs.</w:t>
      </w:r>
      <w:r w:rsidRPr="001B7F77">
        <w:rPr>
          <w:u w:val="single"/>
        </w:rPr>
        <w:t xml:space="preserve"> Work involving vegetative roofs, roof gardens and landscaped roofs shall be permitted to be performed pursuant to Chapter 15 of the </w:t>
      </w:r>
      <w:r w:rsidRPr="001B7F77">
        <w:rPr>
          <w:i/>
          <w:iCs/>
          <w:u w:val="single"/>
        </w:rPr>
        <w:t>New York City Building Code</w:t>
      </w:r>
      <w:r w:rsidRPr="001B7F77">
        <w:rPr>
          <w:u w:val="single"/>
        </w:rPr>
        <w:t>.</w:t>
      </w:r>
    </w:p>
    <w:p w14:paraId="517C8360" w14:textId="77777777" w:rsidR="001B7F77" w:rsidRPr="001B7F77" w:rsidRDefault="001B7F77" w:rsidP="001B7F77">
      <w:pPr>
        <w:widowControl w:val="0"/>
        <w:tabs>
          <w:tab w:val="left" w:pos="360"/>
        </w:tabs>
        <w:suppressAutoHyphens/>
        <w:spacing w:before="120"/>
        <w:ind w:left="360"/>
        <w:rPr>
          <w:u w:val="single"/>
        </w:rPr>
      </w:pPr>
      <w:r w:rsidRPr="001B7F77">
        <w:rPr>
          <w:b/>
          <w:u w:val="single"/>
        </w:rPr>
        <w:t>303.3.4 Solar photovoltaic panels/modules</w:t>
      </w:r>
      <w:r w:rsidRPr="001B7F77">
        <w:rPr>
          <w:u w:val="single"/>
        </w:rPr>
        <w:t xml:space="preserve">. Work involving the installation or alteration of solar photovoltaic panels/modules shall be performed in accordance with the solar reflectance requirements in Chapter 15 of the </w:t>
      </w:r>
      <w:r w:rsidRPr="001B7F77">
        <w:rPr>
          <w:i/>
          <w:iCs/>
          <w:u w:val="single"/>
        </w:rPr>
        <w:t>New York City Building Code</w:t>
      </w:r>
      <w:r w:rsidRPr="001B7F77">
        <w:rPr>
          <w:u w:val="single"/>
        </w:rPr>
        <w:t>.</w:t>
      </w:r>
    </w:p>
    <w:p w14:paraId="30C8DA29" w14:textId="77777777" w:rsidR="001B7F77" w:rsidRPr="001B7F77" w:rsidRDefault="001B7F77" w:rsidP="001B7F77">
      <w:pPr>
        <w:widowControl w:val="0"/>
        <w:tabs>
          <w:tab w:val="left" w:pos="360"/>
        </w:tabs>
        <w:suppressAutoHyphens/>
        <w:spacing w:before="120"/>
        <w:ind w:left="360"/>
        <w:rPr>
          <w:u w:val="single"/>
        </w:rPr>
      </w:pPr>
      <w:r w:rsidRPr="001B7F77">
        <w:rPr>
          <w:b/>
          <w:u w:val="single"/>
        </w:rPr>
        <w:t>303.3.5</w:t>
      </w:r>
      <w:r w:rsidRPr="001B7F77">
        <w:rPr>
          <w:u w:val="single"/>
        </w:rPr>
        <w:t xml:space="preserve"> </w:t>
      </w:r>
      <w:r w:rsidRPr="001B7F77">
        <w:rPr>
          <w:b/>
          <w:u w:val="single"/>
        </w:rPr>
        <w:t>Sustainable roofing zones.</w:t>
      </w:r>
      <w:r w:rsidRPr="001B7F77">
        <w:rPr>
          <w:u w:val="single"/>
        </w:rPr>
        <w:t xml:space="preserve"> Work involving the replacing of an entire existing roof deck or roof assembly shall be permitted to be performed in accordance with Chapter 15 of the </w:t>
      </w:r>
      <w:r w:rsidRPr="001B7F77">
        <w:rPr>
          <w:i/>
          <w:iCs/>
          <w:u w:val="single"/>
        </w:rPr>
        <w:t>New York City Building Code</w:t>
      </w:r>
      <w:r w:rsidRPr="001B7F77">
        <w:rPr>
          <w:u w:val="single"/>
        </w:rPr>
        <w:t>.</w:t>
      </w:r>
    </w:p>
    <w:p w14:paraId="24661A08" w14:textId="77777777" w:rsidR="001B7F77" w:rsidRPr="001B7F77" w:rsidRDefault="001B7F77" w:rsidP="001B7F77">
      <w:pPr>
        <w:widowControl w:val="0"/>
        <w:suppressAutoHyphens/>
        <w:spacing w:before="120"/>
        <w:rPr>
          <w:u w:val="single"/>
        </w:rPr>
      </w:pPr>
      <w:bookmarkStart w:id="75" w:name="_heading=h.4d34og8" w:colFirst="0" w:colLast="0"/>
      <w:bookmarkEnd w:id="75"/>
      <w:r w:rsidRPr="001B7F77">
        <w:rPr>
          <w:b/>
          <w:u w:val="single"/>
        </w:rPr>
        <w:t xml:space="preserve">303.4 Chimneys and vents. </w:t>
      </w:r>
      <w:r w:rsidRPr="001B7F77">
        <w:rPr>
          <w:u w:val="single"/>
        </w:rPr>
        <w:t>Chimneys and vents</w:t>
      </w:r>
      <w:r w:rsidRPr="001B7F77">
        <w:rPr>
          <w:b/>
          <w:u w:val="single"/>
        </w:rPr>
        <w:t xml:space="preserve"> </w:t>
      </w:r>
      <w:r w:rsidRPr="001B7F77">
        <w:rPr>
          <w:u w:val="single"/>
        </w:rPr>
        <w:t xml:space="preserve">shall be constructed in accordance with Chapter 21 of the </w:t>
      </w:r>
      <w:r w:rsidRPr="001B7F77">
        <w:rPr>
          <w:i/>
          <w:iCs/>
          <w:u w:val="single"/>
        </w:rPr>
        <w:t>New York City Building Code</w:t>
      </w:r>
      <w:r w:rsidRPr="001B7F77">
        <w:rPr>
          <w:u w:val="single"/>
        </w:rPr>
        <w:t xml:space="preserve">, Chapter 8 of the </w:t>
      </w:r>
      <w:r w:rsidRPr="001B7F77">
        <w:rPr>
          <w:i/>
          <w:iCs/>
          <w:u w:val="single"/>
        </w:rPr>
        <w:t>New York City Mechanical Code</w:t>
      </w:r>
      <w:r w:rsidRPr="001B7F77">
        <w:rPr>
          <w:u w:val="single"/>
        </w:rPr>
        <w:t xml:space="preserve">, or Chapter 5 of the </w:t>
      </w:r>
      <w:r w:rsidRPr="001B7F77">
        <w:rPr>
          <w:i/>
          <w:iCs/>
          <w:u w:val="single"/>
        </w:rPr>
        <w:t>New York City Fuel Gas Code</w:t>
      </w:r>
      <w:r w:rsidRPr="001B7F77">
        <w:rPr>
          <w:u w:val="single"/>
        </w:rPr>
        <w:t>, as applicable.</w:t>
      </w:r>
    </w:p>
    <w:p w14:paraId="7C017527" w14:textId="77777777" w:rsidR="001B7F77" w:rsidRPr="001B7F77" w:rsidRDefault="001B7F77" w:rsidP="001B7F77">
      <w:pPr>
        <w:widowControl w:val="0"/>
        <w:tabs>
          <w:tab w:val="left" w:pos="360"/>
        </w:tabs>
        <w:suppressAutoHyphens/>
        <w:spacing w:before="120"/>
        <w:ind w:left="360"/>
        <w:rPr>
          <w:u w:val="single"/>
        </w:rPr>
      </w:pPr>
      <w:bookmarkStart w:id="76" w:name="_Hlk188881727"/>
      <w:r w:rsidRPr="001B7F77">
        <w:rPr>
          <w:b/>
          <w:bCs/>
          <w:u w:val="single"/>
        </w:rPr>
        <w:t xml:space="preserve">303.4.1 Responsibility of owner of taller building. </w:t>
      </w:r>
      <w:r w:rsidRPr="001B7F77">
        <w:rPr>
          <w:u w:val="single"/>
        </w:rPr>
        <w:t xml:space="preserve">Whenever a building is erected, enlarged, or increased in height so that any portion of such building, except chimneys or vents, extends higher than the top of any previously constructed chimneys or vents within 100 feet (30 m), the owner of such new or altered building shall alter such chimneys or vents in accordance with the requirements of Chapter 21 of the </w:t>
      </w:r>
      <w:r w:rsidRPr="001B7F77">
        <w:rPr>
          <w:i/>
          <w:iCs/>
          <w:u w:val="single"/>
        </w:rPr>
        <w:t>New York City Building Code</w:t>
      </w:r>
      <w:r w:rsidRPr="001B7F77">
        <w:rPr>
          <w:u w:val="single"/>
        </w:rPr>
        <w:t xml:space="preserve">, Chapter 8 of the </w:t>
      </w:r>
      <w:r w:rsidRPr="001B7F77">
        <w:rPr>
          <w:i/>
          <w:iCs/>
          <w:u w:val="single"/>
        </w:rPr>
        <w:t>New York City Mechanical Code</w:t>
      </w:r>
      <w:r w:rsidRPr="001B7F77">
        <w:rPr>
          <w:u w:val="single"/>
        </w:rPr>
        <w:t xml:space="preserve">, or Chapter 5 of the </w:t>
      </w:r>
      <w:r w:rsidRPr="001B7F77">
        <w:rPr>
          <w:i/>
          <w:iCs/>
          <w:u w:val="single"/>
        </w:rPr>
        <w:t>New York City Fuel Gas Code</w:t>
      </w:r>
      <w:r w:rsidRPr="001B7F77">
        <w:rPr>
          <w:u w:val="single"/>
        </w:rPr>
        <w:t>,</w:t>
      </w:r>
      <w:r w:rsidRPr="001B7F77">
        <w:rPr>
          <w:b/>
          <w:bCs/>
          <w:u w:val="single"/>
        </w:rPr>
        <w:t xml:space="preserve"> </w:t>
      </w:r>
      <w:r w:rsidRPr="001B7F77">
        <w:rPr>
          <w:u w:val="single"/>
        </w:rPr>
        <w:t>as applicable.</w:t>
      </w:r>
    </w:p>
    <w:bookmarkEnd w:id="76"/>
    <w:p w14:paraId="5EF8479C" w14:textId="77777777" w:rsidR="001B7F77" w:rsidRPr="001B7F77" w:rsidRDefault="001B7F77" w:rsidP="001B7F77">
      <w:pPr>
        <w:widowControl w:val="0"/>
        <w:suppressAutoHyphens/>
        <w:spacing w:before="120"/>
        <w:rPr>
          <w:u w:val="single"/>
        </w:rPr>
      </w:pPr>
      <w:r w:rsidRPr="001B7F77">
        <w:rPr>
          <w:b/>
          <w:u w:val="single"/>
        </w:rPr>
        <w:t xml:space="preserve">303.5 Mold resistance. </w:t>
      </w:r>
      <w:r w:rsidRPr="001B7F77">
        <w:rPr>
          <w:u w:val="single"/>
        </w:rPr>
        <w:t xml:space="preserve">Alterations, repairs, additions and relocations of buildings shall comply with Sections 2506 and 2509 of the </w:t>
      </w:r>
      <w:r w:rsidRPr="001B7F77">
        <w:rPr>
          <w:i/>
          <w:iCs/>
          <w:u w:val="single"/>
        </w:rPr>
        <w:t>New York City Building Code</w:t>
      </w:r>
      <w:r w:rsidRPr="001B7F77">
        <w:rPr>
          <w:u w:val="single"/>
        </w:rPr>
        <w:t xml:space="preserve"> relating to areas subject to moisture or water damage.</w:t>
      </w:r>
    </w:p>
    <w:p w14:paraId="75E021FB" w14:textId="77777777" w:rsidR="001B7F77" w:rsidRPr="001B7F77" w:rsidRDefault="001B7F77" w:rsidP="001B7F77">
      <w:pPr>
        <w:widowControl w:val="0"/>
        <w:suppressAutoHyphens/>
        <w:spacing w:before="120"/>
        <w:rPr>
          <w:u w:val="single"/>
        </w:rPr>
      </w:pPr>
      <w:r w:rsidRPr="001B7F77">
        <w:rPr>
          <w:b/>
          <w:u w:val="single"/>
        </w:rPr>
        <w:t>303.6 Interior environment.</w:t>
      </w:r>
      <w:r w:rsidRPr="001B7F77">
        <w:rPr>
          <w:u w:val="single"/>
        </w:rPr>
        <w:t xml:space="preserve"> Alterations, additions, conversions and changes of use or occupancy shall comply with Chapter 12 of the </w:t>
      </w:r>
      <w:r w:rsidRPr="001B7F77">
        <w:rPr>
          <w:i/>
          <w:iCs/>
          <w:u w:val="single"/>
        </w:rPr>
        <w:t>New York City Building Code</w:t>
      </w:r>
      <w:r w:rsidRPr="001B7F77">
        <w:rPr>
          <w:u w:val="single"/>
        </w:rPr>
        <w:t xml:space="preserve"> and this code. Occupancy Groups I-1, R-1 and R-2 shall also comply with Appendix D of this code.</w:t>
      </w:r>
    </w:p>
    <w:p w14:paraId="3284931E" w14:textId="77777777" w:rsidR="001B7F77" w:rsidRPr="001B7F77" w:rsidRDefault="001B7F77" w:rsidP="001B7F77">
      <w:pPr>
        <w:widowControl w:val="0"/>
        <w:suppressAutoHyphens/>
        <w:spacing w:before="120"/>
        <w:rPr>
          <w:u w:val="single"/>
        </w:rPr>
      </w:pPr>
      <w:r w:rsidRPr="001B7F77">
        <w:rPr>
          <w:b/>
          <w:u w:val="single"/>
        </w:rPr>
        <w:t>303.7 Window guards.</w:t>
      </w:r>
      <w:r w:rsidRPr="001B7F77">
        <w:rPr>
          <w:u w:val="single"/>
        </w:rPr>
        <w:t xml:space="preserve"> Where the alteration of Group R-2 building includes the repair or replacement of windows, the replacement windows shall be subject to applicable requirements of the New York City Department of Health and Mental Hygiene with regard to window guards.</w:t>
      </w:r>
    </w:p>
    <w:p w14:paraId="230CC655" w14:textId="77777777" w:rsidR="001B7F77" w:rsidRPr="001B7F77" w:rsidRDefault="001B7F77" w:rsidP="001B7F77">
      <w:pPr>
        <w:widowControl w:val="0"/>
        <w:suppressAutoHyphens/>
        <w:spacing w:before="120"/>
        <w:rPr>
          <w:u w:val="single"/>
        </w:rPr>
      </w:pPr>
      <w:r w:rsidRPr="001B7F77">
        <w:rPr>
          <w:b/>
          <w:u w:val="single"/>
        </w:rPr>
        <w:t xml:space="preserve">303.8 Emergency escape and rescue openings. </w:t>
      </w:r>
      <w:r w:rsidRPr="001B7F77">
        <w:rPr>
          <w:u w:val="single"/>
        </w:rPr>
        <w:t>Replacement windows in sleeping rooms located below the 4</w:t>
      </w:r>
      <w:r w:rsidRPr="001B7F77">
        <w:rPr>
          <w:u w:val="single"/>
          <w:vertAlign w:val="superscript"/>
        </w:rPr>
        <w:t>th</w:t>
      </w:r>
      <w:r w:rsidRPr="001B7F77">
        <w:rPr>
          <w:u w:val="single"/>
        </w:rPr>
        <w:t xml:space="preserve"> story and in below-grade stories shall comply with the requirements of Section 1030 of the </w:t>
      </w:r>
      <w:r w:rsidRPr="001B7F77">
        <w:rPr>
          <w:i/>
          <w:iCs/>
          <w:u w:val="single"/>
        </w:rPr>
        <w:t>New York City Building Code</w:t>
      </w:r>
      <w:r w:rsidRPr="001B7F77">
        <w:rPr>
          <w:u w:val="single"/>
        </w:rPr>
        <w:t>.</w:t>
      </w:r>
    </w:p>
    <w:p w14:paraId="3C217BF4" w14:textId="77777777" w:rsidR="001B7F77" w:rsidRPr="001B7F77" w:rsidRDefault="001B7F77" w:rsidP="001B7F77">
      <w:pPr>
        <w:widowControl w:val="0"/>
        <w:suppressAutoHyphens/>
        <w:spacing w:before="120"/>
        <w:ind w:left="360"/>
        <w:rPr>
          <w:bCs/>
          <w:color w:val="222222"/>
          <w:u w:val="single"/>
        </w:rPr>
      </w:pPr>
      <w:r w:rsidRPr="001B7F77">
        <w:rPr>
          <w:b/>
          <w:bCs/>
          <w:color w:val="222222"/>
          <w:u w:val="single"/>
        </w:rPr>
        <w:t>Exception:</w:t>
      </w:r>
      <w:r w:rsidRPr="001B7F77">
        <w:rPr>
          <w:bCs/>
          <w:color w:val="222222"/>
          <w:u w:val="single"/>
        </w:rPr>
        <w:t xml:space="preserve"> Replacement windows that are the manufacturer’s largest standard size window that will fit within the existing frame or existing rough opening shall be permitted to be of the same operating style as the existing window or a style that provides for an equal or greater window opening area than the existing window.</w:t>
      </w:r>
    </w:p>
    <w:p w14:paraId="6B9D07A5" w14:textId="77777777" w:rsidR="001B7F77" w:rsidRPr="001B7F77" w:rsidRDefault="001B7F77" w:rsidP="001B7F77">
      <w:pPr>
        <w:widowControl w:val="0"/>
        <w:suppressAutoHyphens/>
        <w:spacing w:before="120"/>
        <w:rPr>
          <w:u w:val="single"/>
        </w:rPr>
      </w:pPr>
      <w:r w:rsidRPr="001B7F77">
        <w:rPr>
          <w:b/>
          <w:u w:val="single"/>
        </w:rPr>
        <w:t>303.9</w:t>
      </w:r>
      <w:r w:rsidRPr="001B7F77">
        <w:rPr>
          <w:u w:val="single"/>
        </w:rPr>
        <w:t xml:space="preserve"> </w:t>
      </w:r>
      <w:r w:rsidRPr="001B7F77">
        <w:rPr>
          <w:b/>
          <w:u w:val="single"/>
        </w:rPr>
        <w:t>Special construction</w:t>
      </w:r>
      <w:r w:rsidRPr="001B7F77">
        <w:rPr>
          <w:u w:val="single"/>
        </w:rPr>
        <w:t xml:space="preserve">. Special building construction, including but not limited to membrane structures, temporary structures, </w:t>
      </w:r>
      <w:hyperlink r:id="rId30" w:anchor="walkway_pedestrian" w:history="1">
        <w:r w:rsidRPr="001B7F77">
          <w:rPr>
            <w:u w:val="single"/>
          </w:rPr>
          <w:t>pedestrian walkways</w:t>
        </w:r>
      </w:hyperlink>
      <w:r w:rsidRPr="001B7F77">
        <w:rPr>
          <w:u w:val="single"/>
        </w:rPr>
        <w:t xml:space="preserve"> and tunnels, </w:t>
      </w:r>
      <w:hyperlink r:id="rId31" w:anchor="automatic" w:history="1">
        <w:r w:rsidRPr="001B7F77">
          <w:rPr>
            <w:u w:val="single"/>
          </w:rPr>
          <w:t>automatic</w:t>
        </w:r>
      </w:hyperlink>
      <w:r w:rsidRPr="001B7F77">
        <w:rPr>
          <w:u w:val="single"/>
        </w:rPr>
        <w:t xml:space="preserve"> </w:t>
      </w:r>
      <w:hyperlink r:id="rId32" w:anchor="vehicular_gate" w:history="1">
        <w:r w:rsidRPr="001B7F77">
          <w:rPr>
            <w:u w:val="single"/>
          </w:rPr>
          <w:t>vehicular gates</w:t>
        </w:r>
      </w:hyperlink>
      <w:r w:rsidRPr="001B7F77">
        <w:rPr>
          <w:u w:val="single"/>
        </w:rPr>
        <w:t xml:space="preserve">, </w:t>
      </w:r>
      <w:hyperlink r:id="rId33" w:anchor="awning" w:history="1">
        <w:r w:rsidRPr="001B7F77">
          <w:rPr>
            <w:u w:val="single"/>
          </w:rPr>
          <w:t>awnings</w:t>
        </w:r>
      </w:hyperlink>
      <w:r w:rsidRPr="001B7F77">
        <w:rPr>
          <w:u w:val="single"/>
        </w:rPr>
        <w:t xml:space="preserve">, </w:t>
      </w:r>
      <w:hyperlink r:id="rId34" w:anchor="canopy" w:history="1">
        <w:r w:rsidRPr="001B7F77">
          <w:rPr>
            <w:u w:val="single"/>
          </w:rPr>
          <w:t>canopies</w:t>
        </w:r>
      </w:hyperlink>
      <w:r w:rsidRPr="001B7F77">
        <w:rPr>
          <w:u w:val="single"/>
        </w:rPr>
        <w:t xml:space="preserve">, </w:t>
      </w:r>
      <w:hyperlink r:id="rId35" w:anchor="sun_control_device" w:history="1">
        <w:r w:rsidRPr="001B7F77">
          <w:rPr>
            <w:u w:val="single"/>
          </w:rPr>
          <w:t>sun control devices</w:t>
        </w:r>
      </w:hyperlink>
      <w:r w:rsidRPr="001B7F77">
        <w:rPr>
          <w:u w:val="single"/>
        </w:rPr>
        <w:t xml:space="preserve">, </w:t>
      </w:r>
      <w:hyperlink r:id="rId36" w:anchor="marquee" w:history="1">
        <w:r w:rsidRPr="001B7F77">
          <w:rPr>
            <w:u w:val="single"/>
          </w:rPr>
          <w:t>marquees</w:t>
        </w:r>
      </w:hyperlink>
      <w:r w:rsidRPr="001B7F77">
        <w:rPr>
          <w:u w:val="single"/>
        </w:rPr>
        <w:t xml:space="preserve">, </w:t>
      </w:r>
      <w:hyperlink r:id="rId37" w:anchor="sign" w:history="1">
        <w:r w:rsidRPr="001B7F77">
          <w:rPr>
            <w:u w:val="single"/>
          </w:rPr>
          <w:t>signs</w:t>
        </w:r>
      </w:hyperlink>
      <w:r w:rsidRPr="001B7F77">
        <w:rPr>
          <w:u w:val="single"/>
        </w:rPr>
        <w:t xml:space="preserve">, telecommunications </w:t>
      </w:r>
      <w:hyperlink r:id="rId38" w:anchor="tower" w:history="1">
        <w:r w:rsidRPr="001B7F77">
          <w:rPr>
            <w:u w:val="single"/>
          </w:rPr>
          <w:t>towers</w:t>
        </w:r>
      </w:hyperlink>
      <w:r w:rsidRPr="001B7F77">
        <w:rPr>
          <w:u w:val="single"/>
        </w:rPr>
        <w:t xml:space="preserve"> and antennas, </w:t>
      </w:r>
      <w:hyperlink r:id="rId39" w:anchor="swimming_pool" w:history="1">
        <w:r w:rsidRPr="001B7F77">
          <w:rPr>
            <w:u w:val="single"/>
          </w:rPr>
          <w:t>swimming pools</w:t>
        </w:r>
      </w:hyperlink>
      <w:r w:rsidRPr="001B7F77">
        <w:rPr>
          <w:u w:val="single"/>
        </w:rPr>
        <w:t xml:space="preserve"> and enclosures, sidewalk cafés, and fences, that is part of an alteration of or addition to an existing building shall comply with the provisions of Chapter 31 of the </w:t>
      </w:r>
      <w:r w:rsidRPr="001B7F77">
        <w:rPr>
          <w:i/>
          <w:iCs/>
          <w:u w:val="single"/>
        </w:rPr>
        <w:t>New York City Building Code</w:t>
      </w:r>
      <w:r w:rsidRPr="001B7F77">
        <w:rPr>
          <w:u w:val="single"/>
        </w:rPr>
        <w:t>.</w:t>
      </w:r>
    </w:p>
    <w:p w14:paraId="023B3424" w14:textId="77777777" w:rsidR="001B7F77" w:rsidRPr="001B7F77" w:rsidRDefault="001B7F77" w:rsidP="001B7F77">
      <w:pPr>
        <w:widowControl w:val="0"/>
        <w:suppressAutoHyphens/>
        <w:spacing w:before="120"/>
        <w:rPr>
          <w:u w:val="single"/>
        </w:rPr>
      </w:pPr>
      <w:bookmarkStart w:id="77" w:name="sec304"/>
      <w:bookmarkEnd w:id="69"/>
      <w:bookmarkEnd w:id="70"/>
      <w:bookmarkEnd w:id="74"/>
      <w:r w:rsidRPr="001B7F77">
        <w:rPr>
          <w:b/>
          <w:bCs/>
          <w:u w:val="single"/>
        </w:rPr>
        <w:t>303.10 Exterior glazing.</w:t>
      </w:r>
      <w:r w:rsidRPr="001B7F77">
        <w:rPr>
          <w:u w:val="single"/>
        </w:rPr>
        <w:t xml:space="preserve"> Where the alteration of a building includes the replacement of all exterior glazing, such alteration shall comply with Section 1403.8 of the </w:t>
      </w:r>
      <w:r w:rsidRPr="001B7F77">
        <w:rPr>
          <w:i/>
          <w:iCs/>
          <w:u w:val="single"/>
        </w:rPr>
        <w:t>New York City Building Code</w:t>
      </w:r>
      <w:r w:rsidRPr="001B7F77">
        <w:rPr>
          <w:u w:val="single"/>
        </w:rPr>
        <w:t>.</w:t>
      </w:r>
    </w:p>
    <w:p w14:paraId="344BEB79" w14:textId="77777777" w:rsidR="001B7F77" w:rsidRPr="001B7F77" w:rsidRDefault="001B7F77" w:rsidP="001B7F77">
      <w:pPr>
        <w:widowControl w:val="0"/>
        <w:suppressAutoHyphens/>
        <w:spacing w:before="120"/>
        <w:jc w:val="center"/>
        <w:outlineLvl w:val="0"/>
        <w:rPr>
          <w:b/>
          <w:bCs/>
          <w:u w:val="single"/>
        </w:rPr>
      </w:pPr>
    </w:p>
    <w:p w14:paraId="5F9542BF" w14:textId="77777777" w:rsidR="001B7F77" w:rsidRPr="001B7F77" w:rsidRDefault="001B7F77" w:rsidP="001B7F77">
      <w:pPr>
        <w:widowControl w:val="0"/>
        <w:suppressAutoHyphens/>
        <w:spacing w:before="120"/>
        <w:jc w:val="center"/>
        <w:outlineLvl w:val="0"/>
        <w:rPr>
          <w:b/>
          <w:bCs/>
          <w:u w:val="single"/>
        </w:rPr>
      </w:pPr>
      <w:r w:rsidRPr="001B7F77">
        <w:rPr>
          <w:b/>
          <w:bCs/>
          <w:u w:val="single"/>
        </w:rPr>
        <w:t>SECTION EBC 304</w:t>
      </w:r>
      <w:r w:rsidRPr="001B7F77">
        <w:rPr>
          <w:b/>
          <w:bCs/>
          <w:u w:val="single"/>
        </w:rPr>
        <w:br/>
        <w:t>FIRE PROTECTION</w:t>
      </w:r>
    </w:p>
    <w:p w14:paraId="7C2E764B" w14:textId="77777777" w:rsidR="001B7F77" w:rsidRPr="001B7F77" w:rsidRDefault="001B7F77" w:rsidP="001B7F77">
      <w:pPr>
        <w:widowControl w:val="0"/>
        <w:pBdr>
          <w:top w:val="nil"/>
          <w:left w:val="nil"/>
          <w:bottom w:val="nil"/>
          <w:right w:val="nil"/>
          <w:between w:val="nil"/>
        </w:pBdr>
        <w:suppressAutoHyphens/>
        <w:spacing w:before="120"/>
        <w:ind w:left="72"/>
        <w:rPr>
          <w:u w:val="single"/>
        </w:rPr>
      </w:pPr>
      <w:r w:rsidRPr="001B7F77">
        <w:rPr>
          <w:b/>
          <w:u w:val="single"/>
        </w:rPr>
        <w:t>304.1 Fire protection systems.</w:t>
      </w:r>
      <w:r w:rsidRPr="001B7F77">
        <w:rPr>
          <w:u w:val="single"/>
        </w:rPr>
        <w:t xml:space="preserve"> Except as otherwise provided by this section, alterations, repairs, changes of occupancy, and additions made to existing buildings and systems shall be governed by Chapter 9 of the </w:t>
      </w:r>
      <w:r w:rsidRPr="001B7F77">
        <w:rPr>
          <w:i/>
          <w:iCs/>
          <w:u w:val="single"/>
        </w:rPr>
        <w:t>New York City Building Code</w:t>
      </w:r>
      <w:r w:rsidRPr="001B7F77">
        <w:rPr>
          <w:u w:val="single"/>
        </w:rPr>
        <w:t xml:space="preserve"> and this code.</w:t>
      </w:r>
    </w:p>
    <w:p w14:paraId="1D7D2471" w14:textId="77777777" w:rsidR="001B7F77" w:rsidRPr="001B7F77" w:rsidRDefault="001B7F77" w:rsidP="001B7F77">
      <w:pPr>
        <w:widowControl w:val="0"/>
        <w:tabs>
          <w:tab w:val="left" w:pos="360"/>
        </w:tabs>
        <w:suppressAutoHyphens/>
        <w:spacing w:before="120"/>
        <w:ind w:left="360"/>
        <w:rPr>
          <w:u w:val="single"/>
        </w:rPr>
      </w:pPr>
      <w:r w:rsidRPr="001B7F77">
        <w:rPr>
          <w:b/>
          <w:bCs/>
          <w:u w:val="single"/>
        </w:rPr>
        <w:t>304.1.1 Additions, alterations or repairs of existing systems</w:t>
      </w:r>
      <w:r w:rsidRPr="001B7F77">
        <w:rPr>
          <w:u w:val="single"/>
        </w:rPr>
        <w:t>. Additions, alterations or repairs of existing fire protection systems shall conform with Section 804 or Sections 505 and 506, as applicable for limited sprinkler and standpipe alterations.</w:t>
      </w:r>
    </w:p>
    <w:p w14:paraId="64EBCD01" w14:textId="77777777" w:rsidR="001B7F77" w:rsidRPr="001B7F77" w:rsidRDefault="001B7F77" w:rsidP="001B7F77">
      <w:pPr>
        <w:widowControl w:val="0"/>
        <w:tabs>
          <w:tab w:val="left" w:pos="360"/>
        </w:tabs>
        <w:suppressAutoHyphens/>
        <w:spacing w:before="120"/>
        <w:ind w:left="360"/>
        <w:rPr>
          <w:strike/>
          <w:u w:val="single"/>
        </w:rPr>
      </w:pPr>
      <w:r w:rsidRPr="001B7F77">
        <w:rPr>
          <w:b/>
          <w:u w:val="single"/>
        </w:rPr>
        <w:t xml:space="preserve">304.1.2 Requirements based on change of occupancy or use. </w:t>
      </w:r>
      <w:r w:rsidRPr="001B7F77">
        <w:rPr>
          <w:u w:val="single"/>
        </w:rPr>
        <w:t>Fire protection systems shall be provided for the space or building subject to change of occupancy or use in accordance with Section 1004.</w:t>
      </w:r>
    </w:p>
    <w:p w14:paraId="452483EB" w14:textId="77777777" w:rsidR="001B7F77" w:rsidRPr="001B7F77" w:rsidRDefault="001B7F77" w:rsidP="001B7F77">
      <w:pPr>
        <w:widowControl w:val="0"/>
        <w:tabs>
          <w:tab w:val="left" w:pos="360"/>
        </w:tabs>
        <w:suppressAutoHyphens/>
        <w:spacing w:before="120"/>
        <w:ind w:left="360"/>
        <w:rPr>
          <w:u w:val="single"/>
        </w:rPr>
      </w:pPr>
      <w:r w:rsidRPr="001B7F77">
        <w:rPr>
          <w:b/>
          <w:u w:val="single"/>
        </w:rPr>
        <w:t xml:space="preserve">304.1.3 Requirements for building additions. </w:t>
      </w:r>
      <w:r w:rsidRPr="001B7F77">
        <w:rPr>
          <w:u w:val="single"/>
        </w:rPr>
        <w:t>Fire protection systems shall be provided for the addition or the entire building in accordance with Section 1104.</w:t>
      </w:r>
    </w:p>
    <w:p w14:paraId="24E59F12" w14:textId="77777777" w:rsidR="001B7F77" w:rsidRPr="001B7F77" w:rsidRDefault="001B7F77" w:rsidP="001B7F77">
      <w:pPr>
        <w:widowControl w:val="0"/>
        <w:tabs>
          <w:tab w:val="left" w:pos="360"/>
        </w:tabs>
        <w:suppressAutoHyphens/>
        <w:spacing w:before="120"/>
        <w:ind w:left="360"/>
        <w:rPr>
          <w:u w:val="single"/>
        </w:rPr>
      </w:pPr>
      <w:r w:rsidRPr="001B7F77">
        <w:rPr>
          <w:b/>
          <w:u w:val="single"/>
        </w:rPr>
        <w:t>304.1.4 Requirements based on level of alterations</w:t>
      </w:r>
      <w:r w:rsidRPr="001B7F77">
        <w:rPr>
          <w:u w:val="single"/>
        </w:rPr>
        <w:t>. Fire protection systems shall be provided to buildings and spaces based on the level of alteration in accordance with the provisions of Sections 804 and 904 of this code.</w:t>
      </w:r>
    </w:p>
    <w:p w14:paraId="18144112" w14:textId="77777777" w:rsidR="001B7F77" w:rsidRPr="001B7F77" w:rsidRDefault="001B7F77" w:rsidP="001B7F77">
      <w:pPr>
        <w:widowControl w:val="0"/>
        <w:suppressAutoHyphens/>
        <w:spacing w:before="120"/>
        <w:rPr>
          <w:u w:val="single"/>
        </w:rPr>
      </w:pPr>
      <w:r w:rsidRPr="001B7F77">
        <w:rPr>
          <w:b/>
          <w:u w:val="single"/>
        </w:rPr>
        <w:t>304.2 Painting requirements for sprinkler systems</w:t>
      </w:r>
      <w:r w:rsidRPr="001B7F77">
        <w:rPr>
          <w:u w:val="single"/>
        </w:rPr>
        <w:t>. Sprinkler systems shall be painted in accordance with Sections 304.2.1 through 304.2.3.</w:t>
      </w:r>
    </w:p>
    <w:p w14:paraId="5C11069C" w14:textId="77777777" w:rsidR="001B7F77" w:rsidRPr="001B7F77" w:rsidRDefault="001B7F77" w:rsidP="001B7F77">
      <w:pPr>
        <w:widowControl w:val="0"/>
        <w:suppressAutoHyphens/>
        <w:spacing w:before="120"/>
        <w:ind w:left="360"/>
        <w:rPr>
          <w:bCs/>
          <w:color w:val="222222"/>
          <w:u w:val="single"/>
        </w:rPr>
      </w:pPr>
      <w:r w:rsidRPr="001B7F77">
        <w:rPr>
          <w:b/>
          <w:bCs/>
          <w:color w:val="222222"/>
          <w:u w:val="single"/>
        </w:rPr>
        <w:t>Exception:</w:t>
      </w:r>
      <w:r w:rsidRPr="001B7F77">
        <w:rPr>
          <w:bCs/>
          <w:color w:val="222222"/>
          <w:u w:val="single"/>
        </w:rPr>
        <w:t xml:space="preserve"> Where otherwise not required by Section 903.6 of the </w:t>
      </w:r>
      <w:r w:rsidRPr="001B7F77">
        <w:rPr>
          <w:bCs/>
          <w:i/>
          <w:iCs/>
          <w:color w:val="222222"/>
          <w:u w:val="single"/>
        </w:rPr>
        <w:t>New York City Building Code</w:t>
      </w:r>
      <w:r w:rsidRPr="001B7F77">
        <w:rPr>
          <w:bCs/>
          <w:color w:val="222222"/>
          <w:u w:val="single"/>
        </w:rPr>
        <w:t>.</w:t>
      </w:r>
    </w:p>
    <w:p w14:paraId="14377BEC" w14:textId="77777777" w:rsidR="001B7F77" w:rsidRPr="001B7F77" w:rsidRDefault="001B7F77" w:rsidP="001B7F77">
      <w:pPr>
        <w:widowControl w:val="0"/>
        <w:tabs>
          <w:tab w:val="left" w:pos="360"/>
        </w:tabs>
        <w:suppressAutoHyphens/>
        <w:spacing w:before="120"/>
        <w:ind w:left="360"/>
        <w:rPr>
          <w:u w:val="single"/>
        </w:rPr>
      </w:pPr>
      <w:r w:rsidRPr="001B7F77">
        <w:rPr>
          <w:b/>
          <w:u w:val="single"/>
        </w:rPr>
        <w:t xml:space="preserve">304.2.1 Alterations. </w:t>
      </w:r>
      <w:r w:rsidRPr="001B7F77">
        <w:rPr>
          <w:u w:val="single"/>
        </w:rPr>
        <w:t>Cross connections and risers for independent (stand-alone) existing sprinkler systems that are exposed during alterations shall be painted red and the handles of valves serving such existing sprinkler systems shall be painted green. Where the alteration requires a hydrostatic pressure test, such painting shall be completed prior to such test.</w:t>
      </w:r>
    </w:p>
    <w:p w14:paraId="2F99B9C5" w14:textId="77777777" w:rsidR="001B7F77" w:rsidRPr="001B7F77" w:rsidRDefault="001B7F77" w:rsidP="001B7F77">
      <w:pPr>
        <w:widowControl w:val="0"/>
        <w:tabs>
          <w:tab w:val="left" w:pos="360"/>
        </w:tabs>
        <w:suppressAutoHyphens/>
        <w:spacing w:before="120"/>
        <w:ind w:left="360"/>
        <w:rPr>
          <w:u w:val="single"/>
        </w:rPr>
      </w:pPr>
      <w:r w:rsidRPr="001B7F77">
        <w:rPr>
          <w:b/>
          <w:u w:val="single"/>
        </w:rPr>
        <w:t xml:space="preserve">304.2.2 Combination standpipe and sprinkler systems. </w:t>
      </w:r>
      <w:r w:rsidRPr="001B7F77">
        <w:rPr>
          <w:u w:val="single"/>
        </w:rPr>
        <w:t>Where a standpipe system is used as a combination standpipe and sprinkler system, the sprinkler risers and cross connections that are also used for the standpipe system shall be painted red and the handles of valves serving such combination system shall be painted yellow.</w:t>
      </w:r>
    </w:p>
    <w:p w14:paraId="37787469" w14:textId="77777777" w:rsidR="001B7F77" w:rsidRPr="001B7F77" w:rsidRDefault="001B7F77" w:rsidP="001B7F77">
      <w:pPr>
        <w:widowControl w:val="0"/>
        <w:tabs>
          <w:tab w:val="left" w:pos="360"/>
        </w:tabs>
        <w:suppressAutoHyphens/>
        <w:spacing w:before="120"/>
        <w:ind w:left="360"/>
        <w:rPr>
          <w:u w:val="single"/>
        </w:rPr>
      </w:pPr>
      <w:r w:rsidRPr="001B7F77">
        <w:rPr>
          <w:b/>
          <w:u w:val="single"/>
        </w:rPr>
        <w:t xml:space="preserve">304.2.3 Certification of completion of system painting. </w:t>
      </w:r>
      <w:r w:rsidRPr="001B7F77">
        <w:rPr>
          <w:u w:val="single"/>
        </w:rPr>
        <w:t xml:space="preserve">For all buildings where sprinkler and combination sprinkler and standpipe systems are not subject to a special inspection pursuant to Chapter 17 of the </w:t>
      </w:r>
      <w:r w:rsidRPr="001B7F77">
        <w:rPr>
          <w:i/>
          <w:iCs/>
          <w:u w:val="single"/>
        </w:rPr>
        <w:t>New York City Building Code</w:t>
      </w:r>
      <w:r w:rsidRPr="001B7F77">
        <w:rPr>
          <w:u w:val="single"/>
        </w:rPr>
        <w:t>, a licensed master plumber, licensed master fire suppression piping contractor, registered design professional or an individual holding an appropriate certificate of fitness from the Fire Department for the operation and/or maintenance of such system shall certify on forms provided by the Department that all required painting has been completed in accordance with Section 304.2. Such certification shall be maintained on the premises and made available for inspection by the Department and the Fire Department.</w:t>
      </w:r>
    </w:p>
    <w:p w14:paraId="2316C2AD" w14:textId="77777777" w:rsidR="001B7F77" w:rsidRPr="001B7F77" w:rsidRDefault="001B7F77" w:rsidP="001B7F77">
      <w:pPr>
        <w:widowControl w:val="0"/>
        <w:suppressAutoHyphens/>
        <w:spacing w:before="120"/>
        <w:rPr>
          <w:u w:val="single"/>
        </w:rPr>
      </w:pPr>
      <w:r w:rsidRPr="001B7F77">
        <w:rPr>
          <w:b/>
          <w:u w:val="single"/>
        </w:rPr>
        <w:t>304.3 Painting requirements for standpipe systems.</w:t>
      </w:r>
      <w:r w:rsidRPr="001B7F77">
        <w:rPr>
          <w:u w:val="single"/>
        </w:rPr>
        <w:t xml:space="preserve"> The painting requirements for standpipe systems shall be in accordance with Sections 304.3.1 through 304.3.3.</w:t>
      </w:r>
    </w:p>
    <w:p w14:paraId="3B373B38" w14:textId="77777777" w:rsidR="001B7F77" w:rsidRPr="001B7F77" w:rsidRDefault="001B7F77" w:rsidP="001B7F77">
      <w:pPr>
        <w:widowControl w:val="0"/>
        <w:suppressAutoHyphens/>
        <w:spacing w:before="120"/>
        <w:ind w:left="360"/>
        <w:rPr>
          <w:bCs/>
          <w:color w:val="222222"/>
          <w:u w:val="single"/>
        </w:rPr>
      </w:pPr>
      <w:r w:rsidRPr="001B7F77">
        <w:rPr>
          <w:b/>
          <w:bCs/>
          <w:color w:val="222222"/>
          <w:u w:val="single"/>
        </w:rPr>
        <w:t>Exception:</w:t>
      </w:r>
      <w:r w:rsidRPr="001B7F77">
        <w:rPr>
          <w:bCs/>
          <w:color w:val="222222"/>
          <w:u w:val="single"/>
        </w:rPr>
        <w:t xml:space="preserve"> Where otherwise not required by Section 905.11 of the </w:t>
      </w:r>
      <w:r w:rsidRPr="001B7F77">
        <w:rPr>
          <w:bCs/>
          <w:i/>
          <w:iCs/>
          <w:color w:val="222222"/>
          <w:u w:val="single"/>
        </w:rPr>
        <w:t>New York City Building Code</w:t>
      </w:r>
      <w:r w:rsidRPr="001B7F77">
        <w:rPr>
          <w:bCs/>
          <w:color w:val="222222"/>
          <w:u w:val="single"/>
        </w:rPr>
        <w:t>.</w:t>
      </w:r>
    </w:p>
    <w:p w14:paraId="50E79B0D" w14:textId="77777777" w:rsidR="001B7F77" w:rsidRPr="001B7F77" w:rsidRDefault="001B7F77" w:rsidP="001B7F77">
      <w:pPr>
        <w:widowControl w:val="0"/>
        <w:tabs>
          <w:tab w:val="left" w:pos="360"/>
        </w:tabs>
        <w:suppressAutoHyphens/>
        <w:spacing w:before="120"/>
        <w:ind w:left="360"/>
        <w:rPr>
          <w:u w:val="single"/>
        </w:rPr>
      </w:pPr>
      <w:r w:rsidRPr="001B7F77">
        <w:rPr>
          <w:b/>
          <w:u w:val="single"/>
        </w:rPr>
        <w:t xml:space="preserve">304.3.1 Alterations. </w:t>
      </w:r>
      <w:r w:rsidRPr="001B7F77">
        <w:rPr>
          <w:u w:val="single"/>
        </w:rPr>
        <w:t>Existing handles of valves serving existing standpipe systems and existing unpainted standpipe risers that are exposed during alterations</w:t>
      </w:r>
      <w:r w:rsidRPr="001B7F77">
        <w:rPr>
          <w:strike/>
          <w:u w:val="single"/>
        </w:rPr>
        <w:t xml:space="preserve"> </w:t>
      </w:r>
      <w:r w:rsidRPr="001B7F77">
        <w:rPr>
          <w:u w:val="single"/>
        </w:rPr>
        <w:t>shall be painted red. Where the alteration requires a hydrostatic pressure test, such painting shall be completed prior to such test.</w:t>
      </w:r>
    </w:p>
    <w:p w14:paraId="6034150B" w14:textId="77777777" w:rsidR="001B7F77" w:rsidRPr="001B7F77" w:rsidRDefault="001B7F77" w:rsidP="001B7F77">
      <w:pPr>
        <w:widowControl w:val="0"/>
        <w:tabs>
          <w:tab w:val="left" w:pos="360"/>
        </w:tabs>
        <w:suppressAutoHyphens/>
        <w:spacing w:before="120"/>
        <w:ind w:left="360"/>
        <w:rPr>
          <w:u w:val="single"/>
        </w:rPr>
      </w:pPr>
      <w:r w:rsidRPr="001B7F77">
        <w:rPr>
          <w:b/>
          <w:u w:val="single"/>
        </w:rPr>
        <w:t xml:space="preserve">304.3.2 Combination standpipe and sprinkler systems. </w:t>
      </w:r>
      <w:r w:rsidRPr="001B7F77">
        <w:rPr>
          <w:u w:val="single"/>
        </w:rPr>
        <w:t>Where a standpipe system that is used as a combination standpipe and sprinkler system is required to be painted, the sprinkler risers and cross connections that are also used for the standpipe system shall be painted red, and the handles of valves serving such combination standpipe and sprinkler system shall be painted yellow.</w:t>
      </w:r>
    </w:p>
    <w:p w14:paraId="4918203C" w14:textId="77777777" w:rsidR="001B7F77" w:rsidRPr="001B7F77" w:rsidRDefault="001B7F77" w:rsidP="001B7F77">
      <w:pPr>
        <w:widowControl w:val="0"/>
        <w:tabs>
          <w:tab w:val="left" w:pos="360"/>
        </w:tabs>
        <w:suppressAutoHyphens/>
        <w:spacing w:before="120"/>
        <w:ind w:left="360"/>
        <w:rPr>
          <w:u w:val="single"/>
        </w:rPr>
      </w:pPr>
      <w:r w:rsidRPr="001B7F77">
        <w:rPr>
          <w:b/>
          <w:u w:val="single"/>
        </w:rPr>
        <w:t xml:space="preserve">304.3.3 Certification of completion of system painting. </w:t>
      </w:r>
      <w:r w:rsidRPr="001B7F77">
        <w:rPr>
          <w:u w:val="single"/>
        </w:rPr>
        <w:t xml:space="preserve">For all buildings where standpipe and combination sprinkler and standpipe systems are not subject to a special inspection pursuant to Chapter 17 of the </w:t>
      </w:r>
      <w:r w:rsidRPr="001B7F77">
        <w:rPr>
          <w:i/>
          <w:iCs/>
          <w:u w:val="single"/>
        </w:rPr>
        <w:t>New York City Building Code</w:t>
      </w:r>
      <w:r w:rsidRPr="001B7F77">
        <w:rPr>
          <w:u w:val="single"/>
        </w:rPr>
        <w:t>, a licensed master plumber, licensed master fire suppression piping contractor, registered design professional or an individual holding an appropriate certificate of fitness from the Fire Department for the operation and/or maintenance of such system shall certify on forms provided by the Department that all required painting has been completed in accordance with Section 304.3. Such certification shall be maintained on the premises and made available for inspection by the Department and the Fire Department.</w:t>
      </w:r>
    </w:p>
    <w:p w14:paraId="3D998473" w14:textId="77777777" w:rsidR="001B7F77" w:rsidRPr="001B7F77" w:rsidRDefault="001B7F77" w:rsidP="001B7F77">
      <w:pPr>
        <w:widowControl w:val="0"/>
        <w:suppressAutoHyphens/>
        <w:spacing w:before="120"/>
        <w:rPr>
          <w:u w:val="single"/>
        </w:rPr>
      </w:pPr>
      <w:r w:rsidRPr="001B7F77">
        <w:rPr>
          <w:b/>
          <w:u w:val="single"/>
        </w:rPr>
        <w:t xml:space="preserve">304.4 Fire Department connections. </w:t>
      </w:r>
      <w:r w:rsidRPr="001B7F77">
        <w:rPr>
          <w:u w:val="single"/>
        </w:rPr>
        <w:t>Wherever the Fire Department connection is not visible to approaching fire apparatus, the Fire Department connection shall be indicated by an approved sign mounted on the street front or on the side of the building. Such sign shall have the letters “FDC” not less than 6 inches (152 mm) high and words in letters not less than 2 inches (51 mm) high or an arrow to indicate the location. Such signs shall be subject to the approval of the Fire Department.</w:t>
      </w:r>
    </w:p>
    <w:p w14:paraId="457B03C6" w14:textId="77777777" w:rsidR="001B7F77" w:rsidRPr="001B7F77" w:rsidRDefault="001B7F77" w:rsidP="001B7F77">
      <w:pPr>
        <w:widowControl w:val="0"/>
        <w:suppressAutoHyphens/>
        <w:spacing w:before="120"/>
        <w:jc w:val="center"/>
        <w:outlineLvl w:val="0"/>
        <w:rPr>
          <w:b/>
          <w:bCs/>
          <w:u w:val="single"/>
        </w:rPr>
      </w:pPr>
      <w:bookmarkStart w:id="78" w:name="sec305"/>
      <w:bookmarkEnd w:id="77"/>
    </w:p>
    <w:p w14:paraId="1B4C8E29" w14:textId="77777777" w:rsidR="001B7F77" w:rsidRPr="001B7F77" w:rsidRDefault="001B7F77" w:rsidP="001B7F77">
      <w:pPr>
        <w:widowControl w:val="0"/>
        <w:suppressAutoHyphens/>
        <w:spacing w:before="120"/>
        <w:jc w:val="center"/>
        <w:outlineLvl w:val="0"/>
        <w:rPr>
          <w:b/>
          <w:bCs/>
          <w:u w:val="single"/>
        </w:rPr>
      </w:pPr>
      <w:r w:rsidRPr="001B7F77">
        <w:rPr>
          <w:b/>
          <w:bCs/>
          <w:u w:val="single"/>
        </w:rPr>
        <w:t>SECTION EBC 305</w:t>
      </w:r>
      <w:r w:rsidRPr="001B7F77">
        <w:rPr>
          <w:b/>
          <w:bCs/>
          <w:u w:val="single"/>
        </w:rPr>
        <w:br/>
        <w:t>MEANS OF EGRESS</w:t>
      </w:r>
    </w:p>
    <w:p w14:paraId="62F67C74" w14:textId="77777777" w:rsidR="001B7F77" w:rsidRPr="001B7F77" w:rsidRDefault="001B7F77" w:rsidP="001B7F77">
      <w:pPr>
        <w:widowControl w:val="0"/>
        <w:suppressAutoHyphens/>
        <w:spacing w:before="120"/>
        <w:rPr>
          <w:u w:val="single"/>
        </w:rPr>
      </w:pPr>
      <w:r w:rsidRPr="001B7F77">
        <w:rPr>
          <w:b/>
          <w:u w:val="single"/>
        </w:rPr>
        <w:t xml:space="preserve">305.1 General. </w:t>
      </w:r>
      <w:r w:rsidRPr="001B7F77">
        <w:rPr>
          <w:u w:val="single"/>
        </w:rPr>
        <w:t>Alterations, repairs, additions, changes of occupancy or relocations of existing buildings that require changes to means of egress shall be subject to the applicable provisions of Chapters 8 through 11, Chapter 14 and this section.</w:t>
      </w:r>
    </w:p>
    <w:p w14:paraId="25116BDF" w14:textId="77777777" w:rsidR="001B7F77" w:rsidRPr="001B7F77" w:rsidRDefault="001B7F77" w:rsidP="001B7F77">
      <w:pPr>
        <w:widowControl w:val="0"/>
        <w:suppressAutoHyphens/>
        <w:spacing w:before="120"/>
        <w:rPr>
          <w:u w:val="single"/>
        </w:rPr>
      </w:pPr>
      <w:r w:rsidRPr="001B7F77">
        <w:rPr>
          <w:b/>
          <w:u w:val="single"/>
        </w:rPr>
        <w:t xml:space="preserve">305.2 Minimum requirements. </w:t>
      </w:r>
      <w:r w:rsidRPr="001B7F77">
        <w:rPr>
          <w:u w:val="single"/>
        </w:rPr>
        <w:t xml:space="preserve">It shall be unlawful to alter a building in a manner that will reduce the number of exits or the capacity of the means of egress to less than required by Chapter 10 of the </w:t>
      </w:r>
      <w:r w:rsidRPr="001B7F77">
        <w:rPr>
          <w:i/>
          <w:iCs/>
          <w:u w:val="single"/>
        </w:rPr>
        <w:t>New York City Building Code</w:t>
      </w:r>
      <w:r w:rsidRPr="001B7F77">
        <w:rPr>
          <w:u w:val="single"/>
        </w:rPr>
        <w:t xml:space="preserve"> and this code.</w:t>
      </w:r>
    </w:p>
    <w:p w14:paraId="28641BE9" w14:textId="77777777" w:rsidR="001B7F77" w:rsidRPr="001B7F77" w:rsidRDefault="001B7F77" w:rsidP="001B7F77">
      <w:pPr>
        <w:widowControl w:val="0"/>
        <w:suppressAutoHyphens/>
        <w:spacing w:before="120"/>
        <w:rPr>
          <w:u w:val="single"/>
        </w:rPr>
      </w:pPr>
      <w:r w:rsidRPr="001B7F77">
        <w:rPr>
          <w:b/>
          <w:u w:val="single"/>
        </w:rPr>
        <w:t xml:space="preserve">305.3 Maintenance. </w:t>
      </w:r>
      <w:r w:rsidRPr="001B7F77">
        <w:rPr>
          <w:u w:val="single"/>
        </w:rPr>
        <w:t xml:space="preserve">Means of egress shall be maintained in accordance with the </w:t>
      </w:r>
      <w:r w:rsidRPr="001B7F77">
        <w:rPr>
          <w:i/>
          <w:iCs/>
          <w:u w:val="single"/>
        </w:rPr>
        <w:t>New York City Fire Code</w:t>
      </w:r>
      <w:r w:rsidRPr="001B7F77">
        <w:rPr>
          <w:u w:val="single"/>
        </w:rPr>
        <w:t>.</w:t>
      </w:r>
    </w:p>
    <w:p w14:paraId="238F8194" w14:textId="77777777" w:rsidR="001B7F77" w:rsidRPr="001B7F77" w:rsidRDefault="001B7F77" w:rsidP="001B7F77">
      <w:pPr>
        <w:widowControl w:val="0"/>
        <w:tabs>
          <w:tab w:val="left" w:pos="360"/>
        </w:tabs>
        <w:suppressAutoHyphens/>
        <w:spacing w:before="120"/>
        <w:ind w:left="360"/>
        <w:rPr>
          <w:u w:val="single"/>
        </w:rPr>
      </w:pPr>
      <w:r w:rsidRPr="001B7F77">
        <w:rPr>
          <w:b/>
          <w:u w:val="single"/>
        </w:rPr>
        <w:t xml:space="preserve">305.3.1 Workplace exits. </w:t>
      </w:r>
      <w:r w:rsidRPr="001B7F77">
        <w:rPr>
          <w:u w:val="single"/>
        </w:rPr>
        <w:t xml:space="preserve">Except as specifically provided for in Chapter 10 of the </w:t>
      </w:r>
      <w:r w:rsidRPr="001B7F77">
        <w:rPr>
          <w:i/>
          <w:iCs/>
          <w:u w:val="single"/>
        </w:rPr>
        <w:t>New York City Building Code</w:t>
      </w:r>
      <w:r w:rsidRPr="001B7F77">
        <w:rPr>
          <w:u w:val="single"/>
        </w:rPr>
        <w:t>, no employer or agent of an employer shall lock the doors of or otherwise prohibit exit from any workplace, when by so doing the health or safety of any employee, independent contractor or other individual working in such workplace may become endangered by fire or other hazardous condition. Refer to Section 118.2.7.</w:t>
      </w:r>
    </w:p>
    <w:p w14:paraId="536ACCA0" w14:textId="77777777" w:rsidR="001B7F77" w:rsidRPr="001B7F77" w:rsidRDefault="001B7F77" w:rsidP="001B7F77">
      <w:pPr>
        <w:widowControl w:val="0"/>
        <w:suppressAutoHyphens/>
        <w:spacing w:before="120"/>
        <w:rPr>
          <w:u w:val="single"/>
        </w:rPr>
      </w:pPr>
      <w:r w:rsidRPr="001B7F77">
        <w:rPr>
          <w:b/>
          <w:bCs/>
          <w:u w:val="single"/>
        </w:rPr>
        <w:t>305.4 Inadequate exits for existing structure</w:t>
      </w:r>
      <w:r w:rsidRPr="001B7F77">
        <w:rPr>
          <w:u w:val="single"/>
        </w:rPr>
        <w:t>s. An</w:t>
      </w:r>
      <w:r w:rsidRPr="001B7F77">
        <w:rPr>
          <w:b/>
          <w:bCs/>
          <w:u w:val="single"/>
        </w:rPr>
        <w:t xml:space="preserve"> </w:t>
      </w:r>
      <w:r w:rsidRPr="001B7F77">
        <w:rPr>
          <w:u w:val="single"/>
        </w:rPr>
        <w:t xml:space="preserve">existing structure that is not provided with means of egress as required by Chapter 10 of the </w:t>
      </w:r>
      <w:r w:rsidRPr="001B7F77">
        <w:rPr>
          <w:i/>
          <w:iCs/>
          <w:u w:val="single"/>
        </w:rPr>
        <w:t>New York City Building Code</w:t>
      </w:r>
      <w:r w:rsidRPr="001B7F77">
        <w:rPr>
          <w:u w:val="single"/>
        </w:rPr>
        <w:t xml:space="preserve"> and this code, and in which the means of egress are, in the opinion of the commissioner, inadequate for the safety of the occupants, shall be provided with means of egress or fire protection as directed by the commissioner.</w:t>
      </w:r>
    </w:p>
    <w:p w14:paraId="4339095D" w14:textId="77777777" w:rsidR="001B7F77" w:rsidRPr="001B7F77" w:rsidRDefault="001B7F77" w:rsidP="001B7F77">
      <w:pPr>
        <w:widowControl w:val="0"/>
        <w:suppressAutoHyphens/>
        <w:spacing w:before="120"/>
        <w:rPr>
          <w:u w:val="single"/>
        </w:rPr>
      </w:pPr>
      <w:bookmarkStart w:id="79" w:name="_Hlk68690943"/>
      <w:r w:rsidRPr="001B7F77">
        <w:rPr>
          <w:b/>
          <w:u w:val="single"/>
        </w:rPr>
        <w:t>305.5 Special provisions for prior code buildings</w:t>
      </w:r>
      <w:r w:rsidRPr="001B7F77">
        <w:rPr>
          <w:u w:val="single"/>
        </w:rPr>
        <w:t xml:space="preserve">. Alterations, additions, changes of occupancy or relocations of prior code buildings that require changes to means of egress shall be permitted to comply with Sections 305.5.1 through 305.5.19 of this code. Other means of egress components that are not addressed in Sections 305.5.1 through 305.5.19 or in Sections 805, 905, 1005 or 1105 shall comply with Chapter 10 of the </w:t>
      </w:r>
      <w:r w:rsidRPr="001B7F77">
        <w:rPr>
          <w:i/>
          <w:iCs/>
          <w:u w:val="single"/>
        </w:rPr>
        <w:t>New York City Building Code</w:t>
      </w:r>
      <w:r w:rsidRPr="001B7F77">
        <w:rPr>
          <w:u w:val="single"/>
        </w:rPr>
        <w:t>.</w:t>
      </w:r>
      <w:bookmarkStart w:id="80" w:name="_heading=h.35nkun2" w:colFirst="0" w:colLast="0"/>
      <w:bookmarkEnd w:id="80"/>
    </w:p>
    <w:p w14:paraId="7E291C8F" w14:textId="77777777" w:rsidR="001B7F77" w:rsidRPr="001B7F77" w:rsidRDefault="001B7F77" w:rsidP="001B7F77">
      <w:pPr>
        <w:widowControl w:val="0"/>
        <w:suppressAutoHyphens/>
        <w:spacing w:before="120"/>
        <w:ind w:left="360"/>
        <w:rPr>
          <w:bCs/>
          <w:u w:val="single"/>
        </w:rPr>
      </w:pPr>
      <w:r w:rsidRPr="001B7F77">
        <w:rPr>
          <w:b/>
          <w:u w:val="single"/>
        </w:rPr>
        <w:t>Exception.</w:t>
      </w:r>
      <w:r w:rsidRPr="001B7F77">
        <w:rPr>
          <w:bCs/>
          <w:u w:val="single"/>
        </w:rPr>
        <w:t xml:space="preserve"> Prior code buildings or spaces that are required by this code to provide means of egress in accordance with Chapter 10 of the </w:t>
      </w:r>
      <w:r w:rsidRPr="001B7F77">
        <w:rPr>
          <w:bCs/>
          <w:i/>
          <w:iCs/>
          <w:u w:val="single"/>
        </w:rPr>
        <w:t>New York City Building Code</w:t>
      </w:r>
      <w:r w:rsidRPr="001B7F77">
        <w:rPr>
          <w:bCs/>
          <w:u w:val="single"/>
        </w:rPr>
        <w:t xml:space="preserve"> as new construction.</w:t>
      </w:r>
    </w:p>
    <w:bookmarkEnd w:id="79"/>
    <w:p w14:paraId="0A3989BF" w14:textId="77777777" w:rsidR="001B7F77" w:rsidRPr="001B7F77" w:rsidRDefault="001B7F77" w:rsidP="001B7F77">
      <w:pPr>
        <w:widowControl w:val="0"/>
        <w:tabs>
          <w:tab w:val="left" w:pos="360"/>
        </w:tabs>
        <w:suppressAutoHyphens/>
        <w:spacing w:before="120"/>
        <w:ind w:left="360"/>
        <w:rPr>
          <w:color w:val="000000"/>
          <w:u w:val="single"/>
        </w:rPr>
      </w:pPr>
      <w:r w:rsidRPr="001B7F77">
        <w:rPr>
          <w:b/>
          <w:u w:val="single"/>
        </w:rPr>
        <w:t>305.5.1 Occupant load and exit capacity</w:t>
      </w:r>
      <w:r w:rsidRPr="001B7F77">
        <w:rPr>
          <w:u w:val="single"/>
        </w:rPr>
        <w:t xml:space="preserve">. The occupant load and exit capacity of prior code buildings or spaces shall be determined in accordance with Chapter 10 of the </w:t>
      </w:r>
      <w:r w:rsidRPr="001B7F77">
        <w:rPr>
          <w:i/>
          <w:iCs/>
          <w:u w:val="single"/>
        </w:rPr>
        <w:t>New York City Building Code</w:t>
      </w:r>
      <w:r w:rsidRPr="001B7F77">
        <w:rPr>
          <w:u w:val="single"/>
        </w:rPr>
        <w:t>.</w:t>
      </w:r>
    </w:p>
    <w:p w14:paraId="5C661829" w14:textId="77777777" w:rsidR="001B7F77" w:rsidRPr="001B7F77" w:rsidRDefault="001B7F77" w:rsidP="001B7F77">
      <w:pPr>
        <w:widowControl w:val="0"/>
        <w:tabs>
          <w:tab w:val="left" w:pos="720"/>
        </w:tabs>
        <w:suppressAutoHyphens/>
        <w:spacing w:before="120"/>
        <w:ind w:left="720"/>
        <w:rPr>
          <w:color w:val="222222"/>
          <w:u w:val="single"/>
        </w:rPr>
      </w:pPr>
      <w:r w:rsidRPr="001B7F77">
        <w:rPr>
          <w:b/>
          <w:color w:val="222222"/>
          <w:u w:val="single"/>
        </w:rPr>
        <w:t xml:space="preserve">Exception: </w:t>
      </w:r>
      <w:r w:rsidRPr="001B7F77">
        <w:rPr>
          <w:color w:val="222222"/>
          <w:u w:val="single"/>
        </w:rPr>
        <w:t xml:space="preserve">The following alterations shall not be required to determine a new occupant load in accordance with Chapter 10 of the </w:t>
      </w:r>
      <w:r w:rsidRPr="001B7F77">
        <w:rPr>
          <w:i/>
          <w:iCs/>
          <w:color w:val="222222"/>
          <w:u w:val="single"/>
        </w:rPr>
        <w:t>New York City Building Code</w:t>
      </w:r>
      <w:r w:rsidRPr="001B7F77">
        <w:rPr>
          <w:color w:val="222222"/>
          <w:u w:val="single"/>
        </w:rPr>
        <w:t xml:space="preserve"> and shall be permitted to maintain the existing means of egress that complies with the code under which the building was constructed:</w:t>
      </w:r>
    </w:p>
    <w:p w14:paraId="53B9CA70" w14:textId="77777777" w:rsidR="001B7F77" w:rsidRPr="001B7F77" w:rsidRDefault="001B7F77" w:rsidP="001B7F77">
      <w:pPr>
        <w:widowControl w:val="0"/>
        <w:pBdr>
          <w:top w:val="nil"/>
          <w:left w:val="nil"/>
          <w:bottom w:val="nil"/>
          <w:right w:val="nil"/>
          <w:between w:val="nil"/>
        </w:pBdr>
        <w:tabs>
          <w:tab w:val="left" w:pos="1440"/>
        </w:tabs>
        <w:suppressAutoHyphens/>
        <w:autoSpaceDE w:val="0"/>
        <w:autoSpaceDN w:val="0"/>
        <w:adjustRightInd w:val="0"/>
        <w:spacing w:before="120"/>
        <w:ind w:left="1440" w:hanging="360"/>
        <w:rPr>
          <w:rFonts w:eastAsia="Arial"/>
          <w:bCs/>
          <w:u w:val="single"/>
        </w:rPr>
      </w:pPr>
      <w:r w:rsidRPr="001B7F77">
        <w:rPr>
          <w:rFonts w:eastAsia="Arial"/>
          <w:bCs/>
          <w:u w:val="single"/>
        </w:rPr>
        <w:t>1.</w:t>
      </w:r>
      <w:r w:rsidRPr="001B7F77">
        <w:rPr>
          <w:rFonts w:eastAsia="Arial"/>
          <w:bCs/>
          <w:u w:val="single"/>
        </w:rPr>
        <w:tab/>
        <w:t>Level 1 alterations that maintain existing occupant loads as documented by an existing certificate of occupancy or existing approved plans.</w:t>
      </w:r>
    </w:p>
    <w:p w14:paraId="199819F5" w14:textId="77777777" w:rsidR="001B7F77" w:rsidRPr="001B7F77" w:rsidRDefault="001B7F77" w:rsidP="001B7F77">
      <w:pPr>
        <w:widowControl w:val="0"/>
        <w:pBdr>
          <w:top w:val="nil"/>
          <w:left w:val="nil"/>
          <w:bottom w:val="nil"/>
          <w:right w:val="nil"/>
          <w:between w:val="nil"/>
        </w:pBdr>
        <w:tabs>
          <w:tab w:val="left" w:pos="1440"/>
        </w:tabs>
        <w:suppressAutoHyphens/>
        <w:autoSpaceDE w:val="0"/>
        <w:autoSpaceDN w:val="0"/>
        <w:adjustRightInd w:val="0"/>
        <w:spacing w:before="120"/>
        <w:ind w:left="1440" w:hanging="360"/>
        <w:rPr>
          <w:rFonts w:eastAsia="Arial"/>
          <w:bCs/>
          <w:u w:val="single"/>
        </w:rPr>
      </w:pPr>
      <w:r w:rsidRPr="001B7F77">
        <w:rPr>
          <w:rFonts w:eastAsia="Arial"/>
          <w:bCs/>
          <w:u w:val="single"/>
        </w:rPr>
        <w:t>2.</w:t>
      </w:r>
      <w:r w:rsidRPr="001B7F77">
        <w:rPr>
          <w:rFonts w:eastAsia="Arial"/>
          <w:bCs/>
          <w:u w:val="single"/>
        </w:rPr>
        <w:tab/>
        <w:t>Level 2 alterations in buildings two stories or less in height, with not more than one cellar, and an area of 10,000 sq. feet or less per story, that maintain existing occupant loads as documented by an existing certificate of occupancy or existing approved plans.</w:t>
      </w:r>
    </w:p>
    <w:p w14:paraId="7B289BB9" w14:textId="77777777" w:rsidR="001B7F77" w:rsidRPr="001B7F77" w:rsidRDefault="001B7F77" w:rsidP="001B7F77">
      <w:pPr>
        <w:widowControl w:val="0"/>
        <w:tabs>
          <w:tab w:val="left" w:pos="360"/>
        </w:tabs>
        <w:suppressAutoHyphens/>
        <w:spacing w:before="120"/>
        <w:ind w:left="360"/>
        <w:rPr>
          <w:u w:val="single"/>
        </w:rPr>
      </w:pPr>
      <w:r w:rsidRPr="001B7F77">
        <w:rPr>
          <w:b/>
          <w:u w:val="single"/>
        </w:rPr>
        <w:t>305.5.2 Accessible means of egress</w:t>
      </w:r>
      <w:r w:rsidRPr="001B7F77">
        <w:rPr>
          <w:u w:val="single"/>
        </w:rPr>
        <w:t xml:space="preserve">. Accessible means of egress are not required in prior code buildings where the level of alterations does not trigger full building compliance with the accessibility provisions of the </w:t>
      </w:r>
      <w:r w:rsidRPr="001B7F77">
        <w:rPr>
          <w:i/>
          <w:iCs/>
          <w:u w:val="single"/>
        </w:rPr>
        <w:t>New York City Building Code</w:t>
      </w:r>
      <w:r w:rsidRPr="001B7F77">
        <w:rPr>
          <w:u w:val="single"/>
        </w:rPr>
        <w:t>.</w:t>
      </w:r>
    </w:p>
    <w:p w14:paraId="5FEB1299" w14:textId="77777777" w:rsidR="001B7F77" w:rsidRPr="001B7F77" w:rsidRDefault="001B7F77" w:rsidP="001B7F77">
      <w:pPr>
        <w:widowControl w:val="0"/>
        <w:tabs>
          <w:tab w:val="left" w:pos="360"/>
        </w:tabs>
        <w:suppressAutoHyphens/>
        <w:spacing w:before="120"/>
        <w:ind w:left="360"/>
        <w:rPr>
          <w:u w:val="single"/>
        </w:rPr>
      </w:pPr>
      <w:r w:rsidRPr="001B7F77">
        <w:rPr>
          <w:b/>
          <w:u w:val="single"/>
        </w:rPr>
        <w:t xml:space="preserve">305.5.3 Remoteness. </w:t>
      </w:r>
      <w:r w:rsidRPr="001B7F77">
        <w:rPr>
          <w:u w:val="single"/>
        </w:rPr>
        <w:t xml:space="preserve">Alterations that result in the same or a lesser hazard occupancy category as described in Section 1005 may maintain the existing remoteness of exits. However, the remoteness of relocated or added exits shall comply with Chapter 10, and Chapter 4 where applicable to high-rise buildings, of the </w:t>
      </w:r>
      <w:r w:rsidRPr="001B7F77">
        <w:rPr>
          <w:i/>
          <w:iCs/>
          <w:u w:val="single"/>
        </w:rPr>
        <w:t>New York City Building Code</w:t>
      </w:r>
      <w:r w:rsidRPr="001B7F77">
        <w:rPr>
          <w:u w:val="single"/>
        </w:rPr>
        <w:t>.</w:t>
      </w:r>
    </w:p>
    <w:p w14:paraId="5835644D" w14:textId="77777777" w:rsidR="001B7F77" w:rsidRPr="001B7F77" w:rsidRDefault="001B7F77" w:rsidP="001B7F77">
      <w:pPr>
        <w:widowControl w:val="0"/>
        <w:tabs>
          <w:tab w:val="left" w:pos="360"/>
        </w:tabs>
        <w:suppressAutoHyphens/>
        <w:spacing w:before="120"/>
        <w:ind w:left="360"/>
        <w:rPr>
          <w:u w:val="single"/>
        </w:rPr>
      </w:pPr>
      <w:r w:rsidRPr="001B7F77">
        <w:rPr>
          <w:b/>
          <w:u w:val="single"/>
        </w:rPr>
        <w:t>305.5.4 Travel distance</w:t>
      </w:r>
      <w:r w:rsidRPr="001B7F77">
        <w:rPr>
          <w:u w:val="single"/>
        </w:rPr>
        <w:t xml:space="preserve">. The maximum travel distance measured from the most remote point within a story along the natural and unobstructed path of egress travel to an exterior exit door at the level of exit discharge, an entrance to an interior exit stairway, interior exit ramp, exit passageway, horizontal exit, exterior exit stairway, or exterior exit ramp shall not exceed the limits specified in Chapter 10 of the </w:t>
      </w:r>
      <w:r w:rsidRPr="001B7F77">
        <w:rPr>
          <w:i/>
          <w:iCs/>
          <w:u w:val="single"/>
        </w:rPr>
        <w:t>New York City Building Code</w:t>
      </w:r>
      <w:r w:rsidRPr="001B7F77">
        <w:rPr>
          <w:u w:val="single"/>
        </w:rPr>
        <w:t>.</w:t>
      </w:r>
    </w:p>
    <w:p w14:paraId="1355CD52" w14:textId="77777777" w:rsidR="001B7F77" w:rsidRPr="001B7F77" w:rsidRDefault="001B7F77" w:rsidP="001B7F77">
      <w:pPr>
        <w:widowControl w:val="0"/>
        <w:suppressAutoHyphens/>
        <w:spacing w:before="120"/>
        <w:ind w:left="720"/>
        <w:rPr>
          <w:b/>
          <w:bCs/>
          <w:u w:val="single"/>
        </w:rPr>
      </w:pPr>
      <w:r w:rsidRPr="001B7F77">
        <w:rPr>
          <w:b/>
          <w:bCs/>
          <w:u w:val="single"/>
        </w:rPr>
        <w:t>Exceptions:</w:t>
      </w:r>
    </w:p>
    <w:p w14:paraId="5DB2731E" w14:textId="77777777" w:rsidR="001B7F77" w:rsidRPr="001B7F77" w:rsidRDefault="001B7F77" w:rsidP="001B7F77">
      <w:pPr>
        <w:widowControl w:val="0"/>
        <w:pBdr>
          <w:top w:val="nil"/>
          <w:left w:val="nil"/>
          <w:bottom w:val="nil"/>
          <w:right w:val="nil"/>
          <w:between w:val="nil"/>
        </w:pBdr>
        <w:tabs>
          <w:tab w:val="left" w:pos="1440"/>
        </w:tabs>
        <w:suppressAutoHyphens/>
        <w:autoSpaceDE w:val="0"/>
        <w:autoSpaceDN w:val="0"/>
        <w:adjustRightInd w:val="0"/>
        <w:spacing w:before="120"/>
        <w:ind w:left="1440" w:hanging="360"/>
        <w:rPr>
          <w:rFonts w:eastAsia="Arial"/>
          <w:bCs/>
          <w:u w:val="single"/>
        </w:rPr>
      </w:pPr>
      <w:r w:rsidRPr="001B7F77">
        <w:rPr>
          <w:rFonts w:eastAsia="Arial"/>
          <w:bCs/>
          <w:u w:val="single"/>
        </w:rPr>
        <w:t>1.</w:t>
      </w:r>
      <w:r w:rsidRPr="001B7F77">
        <w:rPr>
          <w:rFonts w:eastAsia="Arial"/>
          <w:bCs/>
          <w:u w:val="single"/>
        </w:rPr>
        <w:tab/>
        <w:t>Travel distances from Occupancy Groups F and S shall comply with Table 305.5.4(1).</w:t>
      </w:r>
    </w:p>
    <w:p w14:paraId="21F725CF" w14:textId="77777777" w:rsidR="001B7F77" w:rsidRPr="001B7F77" w:rsidRDefault="001B7F77" w:rsidP="001B7F77">
      <w:pPr>
        <w:widowControl w:val="0"/>
        <w:pBdr>
          <w:top w:val="nil"/>
          <w:left w:val="nil"/>
          <w:bottom w:val="nil"/>
          <w:right w:val="nil"/>
          <w:between w:val="nil"/>
        </w:pBdr>
        <w:tabs>
          <w:tab w:val="left" w:pos="1800"/>
        </w:tabs>
        <w:suppressAutoHyphens/>
        <w:autoSpaceDE w:val="0"/>
        <w:autoSpaceDN w:val="0"/>
        <w:adjustRightInd w:val="0"/>
        <w:spacing w:before="120"/>
        <w:ind w:left="1440" w:hanging="360"/>
        <w:rPr>
          <w:rFonts w:eastAsia="Arial"/>
          <w:bCs/>
          <w:u w:val="single"/>
        </w:rPr>
      </w:pPr>
      <w:r w:rsidRPr="001B7F77">
        <w:rPr>
          <w:rFonts w:eastAsia="Arial"/>
          <w:bCs/>
          <w:caps/>
          <w:u w:val="single"/>
        </w:rPr>
        <w:t>2.</w:t>
      </w:r>
      <w:r w:rsidRPr="001B7F77">
        <w:rPr>
          <w:rFonts w:eastAsia="Arial"/>
          <w:bCs/>
          <w:caps/>
          <w:u w:val="single"/>
        </w:rPr>
        <w:tab/>
      </w:r>
      <w:r w:rsidRPr="001B7F77">
        <w:rPr>
          <w:rFonts w:eastAsia="Arial"/>
          <w:bCs/>
          <w:u w:val="single"/>
        </w:rPr>
        <w:t>Travel distances within Occupancy Group A shall comply with Table 305.5.4(2).</w:t>
      </w:r>
    </w:p>
    <w:p w14:paraId="21723CDC" w14:textId="77777777" w:rsidR="001B7F77" w:rsidRPr="001B7F77" w:rsidRDefault="001B7F77" w:rsidP="001B7F77">
      <w:pPr>
        <w:widowControl w:val="0"/>
        <w:suppressAutoHyphens/>
        <w:spacing w:before="120"/>
        <w:jc w:val="center"/>
        <w:outlineLvl w:val="0"/>
        <w:rPr>
          <w:b/>
          <w:bCs/>
          <w:u w:val="single"/>
        </w:rPr>
      </w:pPr>
      <w:r w:rsidRPr="001B7F77">
        <w:rPr>
          <w:b/>
          <w:bCs/>
          <w:u w:val="single"/>
        </w:rPr>
        <w:t>TABLE 305.5.4(1)</w:t>
      </w:r>
      <w:r w:rsidRPr="001B7F77">
        <w:rPr>
          <w:b/>
          <w:bCs/>
          <w:u w:val="single"/>
        </w:rPr>
        <w:br/>
        <w:t>TRAVEL DISTANCES FOR F AND S OCCUPANCIES</w:t>
      </w:r>
    </w:p>
    <w:tbl>
      <w:tblPr>
        <w:tblStyle w:val="TableGrid"/>
        <w:tblW w:w="7290" w:type="dxa"/>
        <w:tblInd w:w="1165" w:type="dxa"/>
        <w:tblLook w:val="04A0" w:firstRow="1" w:lastRow="0" w:firstColumn="1" w:lastColumn="0" w:noHBand="0" w:noVBand="1"/>
      </w:tblPr>
      <w:tblGrid>
        <w:gridCol w:w="950"/>
        <w:gridCol w:w="1650"/>
        <w:gridCol w:w="2017"/>
        <w:gridCol w:w="2673"/>
      </w:tblGrid>
      <w:tr w:rsidR="001B7F77" w:rsidRPr="001B7F77" w14:paraId="6FDE67E2" w14:textId="77777777" w:rsidTr="006655A1">
        <w:trPr>
          <w:cantSplit/>
          <w:trHeight w:val="242"/>
          <w:tblHeader/>
        </w:trPr>
        <w:tc>
          <w:tcPr>
            <w:tcW w:w="2566" w:type="dxa"/>
            <w:gridSpan w:val="2"/>
            <w:vMerge w:val="restart"/>
            <w:vAlign w:val="center"/>
          </w:tcPr>
          <w:p w14:paraId="3695826A" w14:textId="77777777" w:rsidR="001B7F77" w:rsidRPr="001B7F77" w:rsidRDefault="001B7F77" w:rsidP="001B7F77">
            <w:pPr>
              <w:widowControl w:val="0"/>
              <w:suppressAutoHyphens/>
              <w:ind w:left="-15"/>
              <w:jc w:val="center"/>
              <w:rPr>
                <w:rFonts w:eastAsia="Calibri"/>
                <w:b/>
                <w:bCs/>
                <w:szCs w:val="22"/>
                <w:u w:val="single"/>
              </w:rPr>
            </w:pPr>
            <w:r w:rsidRPr="001B7F77">
              <w:rPr>
                <w:rFonts w:eastAsia="Calibri"/>
                <w:b/>
                <w:bCs/>
                <w:szCs w:val="22"/>
                <w:u w:val="single"/>
              </w:rPr>
              <w:t>Occupancy group of building or space</w:t>
            </w:r>
          </w:p>
        </w:tc>
        <w:tc>
          <w:tcPr>
            <w:tcW w:w="4724" w:type="dxa"/>
            <w:gridSpan w:val="2"/>
            <w:vAlign w:val="center"/>
          </w:tcPr>
          <w:p w14:paraId="20B8E2B8" w14:textId="77777777" w:rsidR="001B7F77" w:rsidRPr="001B7F77" w:rsidRDefault="001B7F77" w:rsidP="001B7F77">
            <w:pPr>
              <w:widowControl w:val="0"/>
              <w:suppressAutoHyphens/>
              <w:jc w:val="center"/>
              <w:rPr>
                <w:rFonts w:eastAsia="Calibri"/>
                <w:b/>
                <w:bCs/>
                <w:szCs w:val="22"/>
                <w:u w:val="single"/>
              </w:rPr>
            </w:pPr>
            <w:r w:rsidRPr="001B7F77">
              <w:rPr>
                <w:rFonts w:eastAsia="Calibri"/>
                <w:b/>
                <w:bCs/>
                <w:szCs w:val="22"/>
                <w:u w:val="single"/>
              </w:rPr>
              <w:t>Maximum Travel Distance (feet)</w:t>
            </w:r>
          </w:p>
        </w:tc>
      </w:tr>
      <w:tr w:rsidR="001B7F77" w:rsidRPr="001B7F77" w14:paraId="5C9D51CD" w14:textId="77777777" w:rsidTr="006655A1">
        <w:trPr>
          <w:cantSplit/>
          <w:trHeight w:val="85"/>
          <w:tblHeader/>
        </w:trPr>
        <w:tc>
          <w:tcPr>
            <w:tcW w:w="2566" w:type="dxa"/>
            <w:gridSpan w:val="2"/>
            <w:vMerge/>
            <w:vAlign w:val="center"/>
          </w:tcPr>
          <w:p w14:paraId="42444E66" w14:textId="77777777" w:rsidR="001B7F77" w:rsidRPr="001B7F77" w:rsidRDefault="001B7F77" w:rsidP="001B7F77">
            <w:pPr>
              <w:widowControl w:val="0"/>
              <w:suppressAutoHyphens/>
              <w:jc w:val="center"/>
              <w:rPr>
                <w:rFonts w:eastAsia="Calibri"/>
                <w:b/>
                <w:bCs/>
                <w:szCs w:val="22"/>
                <w:u w:val="single"/>
              </w:rPr>
            </w:pPr>
          </w:p>
        </w:tc>
        <w:tc>
          <w:tcPr>
            <w:tcW w:w="2024" w:type="dxa"/>
            <w:vAlign w:val="center"/>
          </w:tcPr>
          <w:p w14:paraId="51807E4A" w14:textId="77777777" w:rsidR="001B7F77" w:rsidRPr="001B7F77" w:rsidRDefault="001B7F77" w:rsidP="001B7F77">
            <w:pPr>
              <w:widowControl w:val="0"/>
              <w:suppressAutoHyphens/>
              <w:jc w:val="center"/>
              <w:rPr>
                <w:rFonts w:eastAsia="Calibri"/>
                <w:b/>
                <w:bCs/>
                <w:szCs w:val="22"/>
                <w:u w:val="single"/>
              </w:rPr>
            </w:pPr>
            <w:r w:rsidRPr="001B7F77">
              <w:rPr>
                <w:rFonts w:eastAsia="Calibri"/>
                <w:b/>
                <w:bCs/>
                <w:szCs w:val="22"/>
                <w:u w:val="single"/>
              </w:rPr>
              <w:t>Unsprinklered</w:t>
            </w:r>
          </w:p>
        </w:tc>
        <w:tc>
          <w:tcPr>
            <w:tcW w:w="2700" w:type="dxa"/>
            <w:vAlign w:val="center"/>
          </w:tcPr>
          <w:p w14:paraId="4979B18D" w14:textId="77777777" w:rsidR="001B7F77" w:rsidRPr="001B7F77" w:rsidRDefault="001B7F77" w:rsidP="001B7F77">
            <w:pPr>
              <w:widowControl w:val="0"/>
              <w:suppressAutoHyphens/>
              <w:jc w:val="center"/>
              <w:rPr>
                <w:rFonts w:eastAsia="Calibri"/>
                <w:b/>
                <w:bCs/>
                <w:szCs w:val="22"/>
                <w:u w:val="single"/>
              </w:rPr>
            </w:pPr>
            <w:r w:rsidRPr="001B7F77">
              <w:rPr>
                <w:rFonts w:eastAsia="Calibri"/>
                <w:b/>
                <w:bCs/>
                <w:szCs w:val="22"/>
                <w:u w:val="single"/>
              </w:rPr>
              <w:t>Sprinklered</w:t>
            </w:r>
          </w:p>
        </w:tc>
      </w:tr>
      <w:tr w:rsidR="001B7F77" w:rsidRPr="001B7F77" w14:paraId="6AB165A7" w14:textId="77777777" w:rsidTr="006655A1">
        <w:trPr>
          <w:cantSplit/>
          <w:trHeight w:val="260"/>
        </w:trPr>
        <w:tc>
          <w:tcPr>
            <w:tcW w:w="889" w:type="dxa"/>
            <w:vMerge w:val="restart"/>
            <w:vAlign w:val="center"/>
          </w:tcPr>
          <w:p w14:paraId="1A580EAD" w14:textId="77777777" w:rsidR="001B7F77" w:rsidRPr="001B7F77" w:rsidRDefault="001B7F77" w:rsidP="001B7F77">
            <w:pPr>
              <w:widowControl w:val="0"/>
              <w:suppressAutoHyphens/>
              <w:jc w:val="center"/>
              <w:rPr>
                <w:rFonts w:eastAsia="Calibri"/>
                <w:szCs w:val="22"/>
                <w:u w:val="single"/>
              </w:rPr>
            </w:pPr>
            <w:r w:rsidRPr="001B7F77">
              <w:rPr>
                <w:rFonts w:eastAsia="Calibri"/>
                <w:szCs w:val="22"/>
                <w:u w:val="single"/>
              </w:rPr>
              <w:t>Factory</w:t>
            </w:r>
          </w:p>
        </w:tc>
        <w:tc>
          <w:tcPr>
            <w:tcW w:w="1677" w:type="dxa"/>
            <w:vAlign w:val="center"/>
          </w:tcPr>
          <w:p w14:paraId="3F37B739" w14:textId="77777777" w:rsidR="001B7F77" w:rsidRPr="001B7F77" w:rsidRDefault="001B7F77" w:rsidP="001B7F77">
            <w:pPr>
              <w:widowControl w:val="0"/>
              <w:suppressAutoHyphens/>
              <w:jc w:val="center"/>
              <w:rPr>
                <w:rFonts w:eastAsia="Calibri"/>
                <w:szCs w:val="22"/>
                <w:u w:val="single"/>
              </w:rPr>
            </w:pPr>
            <w:r w:rsidRPr="001B7F77">
              <w:rPr>
                <w:rFonts w:eastAsia="Calibri"/>
                <w:szCs w:val="22"/>
                <w:u w:val="single"/>
              </w:rPr>
              <w:t>F-1</w:t>
            </w:r>
          </w:p>
        </w:tc>
        <w:tc>
          <w:tcPr>
            <w:tcW w:w="2024" w:type="dxa"/>
            <w:vAlign w:val="center"/>
          </w:tcPr>
          <w:p w14:paraId="577CDE45" w14:textId="77777777" w:rsidR="001B7F77" w:rsidRPr="001B7F77" w:rsidRDefault="001B7F77" w:rsidP="001B7F77">
            <w:pPr>
              <w:widowControl w:val="0"/>
              <w:suppressAutoHyphens/>
              <w:jc w:val="center"/>
              <w:rPr>
                <w:rFonts w:eastAsia="Calibri"/>
                <w:szCs w:val="22"/>
                <w:u w:val="single"/>
              </w:rPr>
            </w:pPr>
            <w:r w:rsidRPr="001B7F77">
              <w:rPr>
                <w:rFonts w:eastAsia="Calibri"/>
                <w:szCs w:val="22"/>
                <w:u w:val="single"/>
              </w:rPr>
              <w:t>125</w:t>
            </w:r>
          </w:p>
        </w:tc>
        <w:tc>
          <w:tcPr>
            <w:tcW w:w="2700" w:type="dxa"/>
            <w:vAlign w:val="center"/>
          </w:tcPr>
          <w:p w14:paraId="6C67F1BA" w14:textId="77777777" w:rsidR="001B7F77" w:rsidRPr="001B7F77" w:rsidRDefault="001B7F77" w:rsidP="001B7F77">
            <w:pPr>
              <w:widowControl w:val="0"/>
              <w:suppressAutoHyphens/>
              <w:jc w:val="center"/>
              <w:rPr>
                <w:rFonts w:eastAsia="Calibri"/>
                <w:szCs w:val="22"/>
                <w:u w:val="single"/>
              </w:rPr>
            </w:pPr>
            <w:r w:rsidRPr="001B7F77">
              <w:rPr>
                <w:rFonts w:eastAsia="Calibri"/>
                <w:szCs w:val="22"/>
                <w:u w:val="single"/>
              </w:rPr>
              <w:t>175</w:t>
            </w:r>
          </w:p>
        </w:tc>
      </w:tr>
      <w:tr w:rsidR="001B7F77" w:rsidRPr="001B7F77" w14:paraId="46203C33" w14:textId="77777777" w:rsidTr="006655A1">
        <w:trPr>
          <w:cantSplit/>
          <w:trHeight w:val="277"/>
        </w:trPr>
        <w:tc>
          <w:tcPr>
            <w:tcW w:w="889" w:type="dxa"/>
            <w:vMerge/>
            <w:vAlign w:val="center"/>
          </w:tcPr>
          <w:p w14:paraId="3295A5E3" w14:textId="77777777" w:rsidR="001B7F77" w:rsidRPr="001B7F77" w:rsidRDefault="001B7F77" w:rsidP="001B7F77">
            <w:pPr>
              <w:widowControl w:val="0"/>
              <w:suppressAutoHyphens/>
              <w:jc w:val="center"/>
              <w:rPr>
                <w:rFonts w:eastAsia="Calibri"/>
                <w:szCs w:val="22"/>
                <w:u w:val="single"/>
              </w:rPr>
            </w:pPr>
          </w:p>
        </w:tc>
        <w:tc>
          <w:tcPr>
            <w:tcW w:w="1677" w:type="dxa"/>
            <w:vAlign w:val="center"/>
          </w:tcPr>
          <w:p w14:paraId="3209D6B9" w14:textId="77777777" w:rsidR="001B7F77" w:rsidRPr="001B7F77" w:rsidRDefault="001B7F77" w:rsidP="001B7F77">
            <w:pPr>
              <w:widowControl w:val="0"/>
              <w:suppressAutoHyphens/>
              <w:jc w:val="center"/>
              <w:rPr>
                <w:rFonts w:eastAsia="Calibri"/>
                <w:szCs w:val="22"/>
                <w:u w:val="single"/>
              </w:rPr>
            </w:pPr>
            <w:r w:rsidRPr="001B7F77">
              <w:rPr>
                <w:rFonts w:eastAsia="Calibri"/>
                <w:szCs w:val="22"/>
                <w:u w:val="single"/>
              </w:rPr>
              <w:t>F-2</w:t>
            </w:r>
          </w:p>
        </w:tc>
        <w:tc>
          <w:tcPr>
            <w:tcW w:w="2024" w:type="dxa"/>
            <w:vAlign w:val="center"/>
          </w:tcPr>
          <w:p w14:paraId="3E7F4834" w14:textId="77777777" w:rsidR="001B7F77" w:rsidRPr="001B7F77" w:rsidRDefault="001B7F77" w:rsidP="001B7F77">
            <w:pPr>
              <w:widowControl w:val="0"/>
              <w:suppressAutoHyphens/>
              <w:jc w:val="center"/>
              <w:rPr>
                <w:rFonts w:eastAsia="Calibri"/>
                <w:szCs w:val="22"/>
                <w:u w:val="single"/>
              </w:rPr>
            </w:pPr>
            <w:r w:rsidRPr="001B7F77">
              <w:rPr>
                <w:rFonts w:eastAsia="Calibri"/>
                <w:szCs w:val="22"/>
                <w:u w:val="single"/>
              </w:rPr>
              <w:t>150</w:t>
            </w:r>
          </w:p>
        </w:tc>
        <w:tc>
          <w:tcPr>
            <w:tcW w:w="2700" w:type="dxa"/>
            <w:vAlign w:val="center"/>
          </w:tcPr>
          <w:p w14:paraId="3401DA4B" w14:textId="77777777" w:rsidR="001B7F77" w:rsidRPr="001B7F77" w:rsidRDefault="001B7F77" w:rsidP="001B7F77">
            <w:pPr>
              <w:widowControl w:val="0"/>
              <w:suppressAutoHyphens/>
              <w:jc w:val="center"/>
              <w:rPr>
                <w:rFonts w:eastAsia="Calibri"/>
                <w:szCs w:val="22"/>
                <w:u w:val="single"/>
              </w:rPr>
            </w:pPr>
            <w:r w:rsidRPr="001B7F77">
              <w:rPr>
                <w:rFonts w:eastAsia="Calibri"/>
                <w:szCs w:val="22"/>
                <w:u w:val="single"/>
              </w:rPr>
              <w:t>200</w:t>
            </w:r>
          </w:p>
        </w:tc>
      </w:tr>
      <w:tr w:rsidR="001B7F77" w:rsidRPr="001B7F77" w14:paraId="1D2AD28B" w14:textId="77777777" w:rsidTr="006655A1">
        <w:trPr>
          <w:cantSplit/>
          <w:trHeight w:val="242"/>
        </w:trPr>
        <w:tc>
          <w:tcPr>
            <w:tcW w:w="889" w:type="dxa"/>
            <w:vMerge w:val="restart"/>
            <w:vAlign w:val="center"/>
          </w:tcPr>
          <w:p w14:paraId="5DB238E8" w14:textId="77777777" w:rsidR="001B7F77" w:rsidRPr="001B7F77" w:rsidRDefault="001B7F77" w:rsidP="001B7F77">
            <w:pPr>
              <w:widowControl w:val="0"/>
              <w:suppressAutoHyphens/>
              <w:jc w:val="center"/>
              <w:rPr>
                <w:rFonts w:eastAsia="Calibri"/>
                <w:szCs w:val="22"/>
                <w:u w:val="single"/>
              </w:rPr>
            </w:pPr>
            <w:r w:rsidRPr="001B7F77">
              <w:rPr>
                <w:rFonts w:eastAsia="Calibri"/>
                <w:szCs w:val="22"/>
                <w:u w:val="single"/>
              </w:rPr>
              <w:t>Storage</w:t>
            </w:r>
          </w:p>
        </w:tc>
        <w:tc>
          <w:tcPr>
            <w:tcW w:w="1677" w:type="dxa"/>
            <w:vAlign w:val="center"/>
          </w:tcPr>
          <w:p w14:paraId="193E07F5" w14:textId="77777777" w:rsidR="001B7F77" w:rsidRPr="001B7F77" w:rsidRDefault="001B7F77" w:rsidP="001B7F77">
            <w:pPr>
              <w:widowControl w:val="0"/>
              <w:suppressAutoHyphens/>
              <w:jc w:val="center"/>
              <w:rPr>
                <w:rFonts w:eastAsia="Calibri"/>
                <w:szCs w:val="22"/>
                <w:u w:val="single"/>
              </w:rPr>
            </w:pPr>
            <w:r w:rsidRPr="001B7F77">
              <w:rPr>
                <w:rFonts w:eastAsia="Calibri"/>
                <w:szCs w:val="22"/>
                <w:u w:val="single"/>
              </w:rPr>
              <w:t>S-1</w:t>
            </w:r>
          </w:p>
        </w:tc>
        <w:tc>
          <w:tcPr>
            <w:tcW w:w="2024" w:type="dxa"/>
            <w:vAlign w:val="center"/>
          </w:tcPr>
          <w:p w14:paraId="7BC3F627" w14:textId="77777777" w:rsidR="001B7F77" w:rsidRPr="001B7F77" w:rsidRDefault="001B7F77" w:rsidP="001B7F77">
            <w:pPr>
              <w:widowControl w:val="0"/>
              <w:suppressAutoHyphens/>
              <w:jc w:val="center"/>
              <w:rPr>
                <w:rFonts w:eastAsia="Calibri"/>
                <w:szCs w:val="22"/>
                <w:u w:val="single"/>
              </w:rPr>
            </w:pPr>
            <w:r w:rsidRPr="001B7F77">
              <w:rPr>
                <w:rFonts w:eastAsia="Calibri"/>
                <w:szCs w:val="22"/>
                <w:u w:val="single"/>
              </w:rPr>
              <w:t>100</w:t>
            </w:r>
          </w:p>
        </w:tc>
        <w:tc>
          <w:tcPr>
            <w:tcW w:w="2700" w:type="dxa"/>
            <w:vAlign w:val="center"/>
          </w:tcPr>
          <w:p w14:paraId="27C72031" w14:textId="77777777" w:rsidR="001B7F77" w:rsidRPr="001B7F77" w:rsidRDefault="001B7F77" w:rsidP="001B7F77">
            <w:pPr>
              <w:widowControl w:val="0"/>
              <w:suppressAutoHyphens/>
              <w:jc w:val="center"/>
              <w:rPr>
                <w:rFonts w:eastAsia="Calibri"/>
                <w:szCs w:val="22"/>
                <w:u w:val="single"/>
              </w:rPr>
            </w:pPr>
            <w:r w:rsidRPr="001B7F77">
              <w:rPr>
                <w:rFonts w:eastAsia="Calibri"/>
                <w:szCs w:val="22"/>
                <w:u w:val="single"/>
              </w:rPr>
              <w:t>150</w:t>
            </w:r>
          </w:p>
        </w:tc>
      </w:tr>
      <w:tr w:rsidR="001B7F77" w:rsidRPr="001B7F77" w14:paraId="56379CC9" w14:textId="77777777" w:rsidTr="006655A1">
        <w:trPr>
          <w:cantSplit/>
          <w:trHeight w:val="458"/>
        </w:trPr>
        <w:tc>
          <w:tcPr>
            <w:tcW w:w="889" w:type="dxa"/>
            <w:vMerge/>
            <w:vAlign w:val="center"/>
          </w:tcPr>
          <w:p w14:paraId="0EDBD0B4" w14:textId="77777777" w:rsidR="001B7F77" w:rsidRPr="001B7F77" w:rsidRDefault="001B7F77" w:rsidP="001B7F77">
            <w:pPr>
              <w:widowControl w:val="0"/>
              <w:suppressAutoHyphens/>
              <w:jc w:val="center"/>
              <w:rPr>
                <w:rFonts w:eastAsia="Calibri"/>
                <w:szCs w:val="22"/>
                <w:u w:val="single"/>
              </w:rPr>
            </w:pPr>
          </w:p>
        </w:tc>
        <w:tc>
          <w:tcPr>
            <w:tcW w:w="1677" w:type="dxa"/>
            <w:vAlign w:val="center"/>
          </w:tcPr>
          <w:p w14:paraId="21E23154" w14:textId="77777777" w:rsidR="001B7F77" w:rsidRPr="001B7F77" w:rsidRDefault="001B7F77" w:rsidP="001B7F77">
            <w:pPr>
              <w:widowControl w:val="0"/>
              <w:suppressAutoHyphens/>
              <w:jc w:val="center"/>
              <w:rPr>
                <w:rFonts w:eastAsia="Calibri"/>
                <w:szCs w:val="22"/>
                <w:u w:val="single"/>
              </w:rPr>
            </w:pPr>
            <w:r w:rsidRPr="001B7F77">
              <w:rPr>
                <w:rFonts w:eastAsia="Calibri"/>
                <w:szCs w:val="22"/>
                <w:u w:val="single"/>
              </w:rPr>
              <w:t>S-2</w:t>
            </w:r>
          </w:p>
        </w:tc>
        <w:tc>
          <w:tcPr>
            <w:tcW w:w="2024" w:type="dxa"/>
            <w:vAlign w:val="center"/>
          </w:tcPr>
          <w:p w14:paraId="7D8B363C" w14:textId="77777777" w:rsidR="001B7F77" w:rsidRPr="001B7F77" w:rsidRDefault="001B7F77" w:rsidP="001B7F77">
            <w:pPr>
              <w:widowControl w:val="0"/>
              <w:suppressAutoHyphens/>
              <w:jc w:val="center"/>
              <w:rPr>
                <w:rFonts w:eastAsia="Calibri"/>
                <w:szCs w:val="22"/>
                <w:u w:val="single"/>
              </w:rPr>
            </w:pPr>
            <w:r w:rsidRPr="001B7F77">
              <w:rPr>
                <w:rFonts w:eastAsia="Calibri"/>
                <w:szCs w:val="22"/>
                <w:u w:val="single"/>
              </w:rPr>
              <w:t>125</w:t>
            </w:r>
          </w:p>
        </w:tc>
        <w:tc>
          <w:tcPr>
            <w:tcW w:w="2700" w:type="dxa"/>
            <w:vAlign w:val="center"/>
          </w:tcPr>
          <w:p w14:paraId="60AC8A04" w14:textId="77777777" w:rsidR="001B7F77" w:rsidRPr="001B7F77" w:rsidRDefault="001B7F77" w:rsidP="001B7F77">
            <w:pPr>
              <w:widowControl w:val="0"/>
              <w:suppressAutoHyphens/>
              <w:jc w:val="center"/>
              <w:rPr>
                <w:rFonts w:eastAsia="Calibri"/>
                <w:szCs w:val="22"/>
                <w:u w:val="single"/>
              </w:rPr>
            </w:pPr>
            <w:r w:rsidRPr="001B7F77">
              <w:rPr>
                <w:rFonts w:eastAsia="Calibri"/>
                <w:szCs w:val="22"/>
                <w:u w:val="single"/>
              </w:rPr>
              <w:t>175</w:t>
            </w:r>
          </w:p>
        </w:tc>
      </w:tr>
    </w:tbl>
    <w:p w14:paraId="2E86A2FD" w14:textId="77777777" w:rsidR="001B7F77" w:rsidRPr="001B7F77" w:rsidRDefault="001B7F77" w:rsidP="001B7F77">
      <w:pPr>
        <w:widowControl w:val="0"/>
        <w:pBdr>
          <w:top w:val="nil"/>
          <w:left w:val="nil"/>
          <w:bottom w:val="nil"/>
          <w:right w:val="nil"/>
          <w:between w:val="nil"/>
        </w:pBdr>
        <w:tabs>
          <w:tab w:val="left" w:pos="1440"/>
        </w:tabs>
        <w:suppressAutoHyphens/>
        <w:autoSpaceDE w:val="0"/>
        <w:autoSpaceDN w:val="0"/>
        <w:adjustRightInd w:val="0"/>
        <w:spacing w:before="120"/>
        <w:ind w:left="1260"/>
        <w:rPr>
          <w:rFonts w:eastAsia="Arial"/>
          <w:sz w:val="18"/>
          <w:szCs w:val="14"/>
          <w:u w:val="single"/>
        </w:rPr>
      </w:pPr>
      <w:r w:rsidRPr="001B7F77">
        <w:rPr>
          <w:rFonts w:eastAsia="Arial"/>
          <w:sz w:val="18"/>
          <w:szCs w:val="14"/>
          <w:u w:val="single"/>
        </w:rPr>
        <w:t>For SI: 1 foot = 304.8 mm</w:t>
      </w:r>
    </w:p>
    <w:p w14:paraId="7E2780D3" w14:textId="77777777" w:rsidR="001B7F77" w:rsidRPr="001B7F77" w:rsidRDefault="001B7F77" w:rsidP="001B7F77">
      <w:pPr>
        <w:widowControl w:val="0"/>
        <w:suppressAutoHyphens/>
        <w:spacing w:before="120"/>
        <w:jc w:val="center"/>
        <w:outlineLvl w:val="0"/>
        <w:rPr>
          <w:b/>
          <w:bCs/>
          <w:u w:val="single"/>
        </w:rPr>
      </w:pPr>
      <w:r w:rsidRPr="001B7F77">
        <w:rPr>
          <w:b/>
          <w:bCs/>
          <w:u w:val="single"/>
        </w:rPr>
        <w:t>TABLE 305.5.4(2)</w:t>
      </w:r>
      <w:r w:rsidRPr="001B7F77">
        <w:rPr>
          <w:b/>
          <w:bCs/>
          <w:u w:val="single"/>
        </w:rPr>
        <w:br/>
        <w:t>MAXIMUM TRAVEL DISTANCE WITHIN ASSEMBLY SPACE (FT)</w:t>
      </w:r>
      <w:r w:rsidRPr="001B7F77">
        <w:rPr>
          <w:b/>
          <w:bCs/>
          <w:u w:val="single"/>
          <w:vertAlign w:val="superscript"/>
        </w:rPr>
        <w:t>a</w:t>
      </w:r>
    </w:p>
    <w:tbl>
      <w:tblPr>
        <w:tblStyle w:val="TableGrid"/>
        <w:tblW w:w="0" w:type="auto"/>
        <w:tblInd w:w="1165" w:type="dxa"/>
        <w:tblLook w:val="04A0" w:firstRow="1" w:lastRow="0" w:firstColumn="1" w:lastColumn="0" w:noHBand="0" w:noVBand="1"/>
      </w:tblPr>
      <w:tblGrid>
        <w:gridCol w:w="2222"/>
        <w:gridCol w:w="2401"/>
        <w:gridCol w:w="2667"/>
      </w:tblGrid>
      <w:tr w:rsidR="001B7F77" w:rsidRPr="001B7F77" w14:paraId="289F9C04" w14:textId="77777777" w:rsidTr="006655A1">
        <w:trPr>
          <w:cantSplit/>
          <w:trHeight w:val="404"/>
          <w:tblHeader/>
        </w:trPr>
        <w:tc>
          <w:tcPr>
            <w:tcW w:w="2222" w:type="dxa"/>
            <w:vAlign w:val="center"/>
          </w:tcPr>
          <w:p w14:paraId="4C861257" w14:textId="77777777" w:rsidR="001B7F77" w:rsidRPr="001B7F77" w:rsidRDefault="001B7F77" w:rsidP="001B7F77">
            <w:pPr>
              <w:widowControl w:val="0"/>
              <w:suppressAutoHyphens/>
              <w:jc w:val="center"/>
              <w:rPr>
                <w:rFonts w:eastAsia="Calibri"/>
                <w:b/>
                <w:bCs/>
                <w:szCs w:val="22"/>
                <w:u w:val="single"/>
              </w:rPr>
            </w:pPr>
            <w:r w:rsidRPr="001B7F77">
              <w:rPr>
                <w:rFonts w:eastAsia="Calibri"/>
                <w:b/>
                <w:bCs/>
                <w:szCs w:val="22"/>
                <w:u w:val="single"/>
              </w:rPr>
              <w:t>Occupancy group of building or space</w:t>
            </w:r>
          </w:p>
        </w:tc>
        <w:tc>
          <w:tcPr>
            <w:tcW w:w="2401" w:type="dxa"/>
            <w:vAlign w:val="center"/>
          </w:tcPr>
          <w:p w14:paraId="4E7A7ED4" w14:textId="77777777" w:rsidR="001B7F77" w:rsidRPr="001B7F77" w:rsidRDefault="001B7F77" w:rsidP="001B7F77">
            <w:pPr>
              <w:widowControl w:val="0"/>
              <w:suppressAutoHyphens/>
              <w:jc w:val="center"/>
              <w:rPr>
                <w:rFonts w:eastAsia="Calibri"/>
                <w:b/>
                <w:bCs/>
                <w:szCs w:val="22"/>
                <w:u w:val="single"/>
              </w:rPr>
            </w:pPr>
            <w:r w:rsidRPr="001B7F77">
              <w:rPr>
                <w:rFonts w:eastAsia="Calibri"/>
                <w:b/>
                <w:bCs/>
                <w:szCs w:val="22"/>
                <w:u w:val="single"/>
              </w:rPr>
              <w:t>Primary</w:t>
            </w:r>
          </w:p>
        </w:tc>
        <w:tc>
          <w:tcPr>
            <w:tcW w:w="2667" w:type="dxa"/>
            <w:vAlign w:val="center"/>
          </w:tcPr>
          <w:p w14:paraId="4C606215" w14:textId="77777777" w:rsidR="001B7F77" w:rsidRPr="001B7F77" w:rsidRDefault="001B7F77" w:rsidP="001B7F77">
            <w:pPr>
              <w:widowControl w:val="0"/>
              <w:suppressAutoHyphens/>
              <w:jc w:val="center"/>
              <w:rPr>
                <w:rFonts w:eastAsia="Calibri"/>
                <w:b/>
                <w:bCs/>
                <w:szCs w:val="22"/>
                <w:u w:val="single"/>
              </w:rPr>
            </w:pPr>
            <w:r w:rsidRPr="001B7F77">
              <w:rPr>
                <w:rFonts w:eastAsia="Calibri"/>
                <w:b/>
                <w:bCs/>
                <w:szCs w:val="22"/>
                <w:u w:val="single"/>
              </w:rPr>
              <w:t>Secondary</w:t>
            </w:r>
          </w:p>
        </w:tc>
      </w:tr>
      <w:tr w:rsidR="001B7F77" w:rsidRPr="001B7F77" w14:paraId="0DBC7C37" w14:textId="77777777" w:rsidTr="006655A1">
        <w:trPr>
          <w:cantSplit/>
          <w:trHeight w:val="337"/>
        </w:trPr>
        <w:tc>
          <w:tcPr>
            <w:tcW w:w="2222" w:type="dxa"/>
            <w:vAlign w:val="center"/>
          </w:tcPr>
          <w:p w14:paraId="0E311DDF" w14:textId="77777777" w:rsidR="001B7F77" w:rsidRPr="001B7F77" w:rsidRDefault="001B7F77" w:rsidP="001B7F77">
            <w:pPr>
              <w:widowControl w:val="0"/>
              <w:suppressAutoHyphens/>
              <w:jc w:val="center"/>
              <w:rPr>
                <w:rFonts w:eastAsia="Calibri"/>
                <w:szCs w:val="22"/>
                <w:u w:val="single"/>
                <w:vertAlign w:val="superscript"/>
              </w:rPr>
            </w:pPr>
            <w:r w:rsidRPr="001B7F77">
              <w:rPr>
                <w:rFonts w:eastAsia="Calibri"/>
                <w:szCs w:val="22"/>
                <w:u w:val="single"/>
              </w:rPr>
              <w:t>A-1</w:t>
            </w:r>
            <w:r w:rsidRPr="001B7F77">
              <w:rPr>
                <w:rFonts w:eastAsia="Calibri"/>
                <w:szCs w:val="22"/>
                <w:u w:val="single"/>
                <w:vertAlign w:val="superscript"/>
              </w:rPr>
              <w:t>b</w:t>
            </w:r>
          </w:p>
        </w:tc>
        <w:tc>
          <w:tcPr>
            <w:tcW w:w="2401" w:type="dxa"/>
            <w:vAlign w:val="center"/>
          </w:tcPr>
          <w:p w14:paraId="0D53B461" w14:textId="77777777" w:rsidR="001B7F77" w:rsidRPr="001B7F77" w:rsidRDefault="001B7F77" w:rsidP="001B7F77">
            <w:pPr>
              <w:widowControl w:val="0"/>
              <w:suppressAutoHyphens/>
              <w:jc w:val="center"/>
              <w:rPr>
                <w:rFonts w:eastAsia="Calibri"/>
                <w:szCs w:val="22"/>
                <w:u w:val="single"/>
              </w:rPr>
            </w:pPr>
            <w:r w:rsidRPr="001B7F77">
              <w:rPr>
                <w:rFonts w:eastAsia="Calibri"/>
                <w:szCs w:val="22"/>
                <w:u w:val="single"/>
              </w:rPr>
              <w:t>100</w:t>
            </w:r>
          </w:p>
        </w:tc>
        <w:tc>
          <w:tcPr>
            <w:tcW w:w="2667" w:type="dxa"/>
            <w:vAlign w:val="center"/>
          </w:tcPr>
          <w:p w14:paraId="5F3BA1D6" w14:textId="77777777" w:rsidR="001B7F77" w:rsidRPr="001B7F77" w:rsidRDefault="001B7F77" w:rsidP="001B7F77">
            <w:pPr>
              <w:widowControl w:val="0"/>
              <w:suppressAutoHyphens/>
              <w:jc w:val="center"/>
              <w:rPr>
                <w:rFonts w:eastAsia="Calibri"/>
                <w:szCs w:val="22"/>
                <w:u w:val="single"/>
              </w:rPr>
            </w:pPr>
            <w:r w:rsidRPr="001B7F77">
              <w:rPr>
                <w:rFonts w:eastAsia="Calibri"/>
                <w:szCs w:val="22"/>
                <w:u w:val="single"/>
              </w:rPr>
              <w:t>125</w:t>
            </w:r>
          </w:p>
        </w:tc>
      </w:tr>
      <w:tr w:rsidR="001B7F77" w:rsidRPr="001B7F77" w14:paraId="42F60E05" w14:textId="77777777" w:rsidTr="006655A1">
        <w:trPr>
          <w:cantSplit/>
          <w:trHeight w:val="337"/>
        </w:trPr>
        <w:tc>
          <w:tcPr>
            <w:tcW w:w="2222" w:type="dxa"/>
            <w:vAlign w:val="center"/>
          </w:tcPr>
          <w:p w14:paraId="12F60BEC" w14:textId="77777777" w:rsidR="001B7F77" w:rsidRPr="001B7F77" w:rsidRDefault="001B7F77" w:rsidP="001B7F77">
            <w:pPr>
              <w:widowControl w:val="0"/>
              <w:suppressAutoHyphens/>
              <w:jc w:val="center"/>
              <w:rPr>
                <w:rFonts w:eastAsia="Calibri"/>
                <w:szCs w:val="22"/>
                <w:u w:val="single"/>
              </w:rPr>
            </w:pPr>
            <w:r w:rsidRPr="001B7F77">
              <w:rPr>
                <w:rFonts w:eastAsia="Calibri"/>
                <w:szCs w:val="22"/>
                <w:u w:val="single"/>
              </w:rPr>
              <w:t>A-2</w:t>
            </w:r>
          </w:p>
        </w:tc>
        <w:tc>
          <w:tcPr>
            <w:tcW w:w="2401" w:type="dxa"/>
            <w:vAlign w:val="center"/>
          </w:tcPr>
          <w:p w14:paraId="04340A38" w14:textId="77777777" w:rsidR="001B7F77" w:rsidRPr="001B7F77" w:rsidRDefault="001B7F77" w:rsidP="001B7F77">
            <w:pPr>
              <w:widowControl w:val="0"/>
              <w:suppressAutoHyphens/>
              <w:jc w:val="center"/>
              <w:rPr>
                <w:rFonts w:eastAsia="Calibri"/>
                <w:szCs w:val="22"/>
                <w:u w:val="single"/>
                <w:vertAlign w:val="superscript"/>
              </w:rPr>
            </w:pPr>
            <w:r w:rsidRPr="001B7F77">
              <w:rPr>
                <w:rFonts w:eastAsia="Calibri"/>
                <w:szCs w:val="22"/>
                <w:u w:val="single"/>
              </w:rPr>
              <w:t>85</w:t>
            </w:r>
            <w:r w:rsidRPr="001B7F77">
              <w:rPr>
                <w:rFonts w:eastAsia="Calibri"/>
                <w:szCs w:val="22"/>
                <w:u w:val="single"/>
                <w:vertAlign w:val="superscript"/>
              </w:rPr>
              <w:t>d</w:t>
            </w:r>
          </w:p>
        </w:tc>
        <w:tc>
          <w:tcPr>
            <w:tcW w:w="2667" w:type="dxa"/>
            <w:vAlign w:val="center"/>
          </w:tcPr>
          <w:p w14:paraId="5B78C3A2" w14:textId="77777777" w:rsidR="001B7F77" w:rsidRPr="001B7F77" w:rsidRDefault="001B7F77" w:rsidP="001B7F77">
            <w:pPr>
              <w:widowControl w:val="0"/>
              <w:suppressAutoHyphens/>
              <w:jc w:val="center"/>
              <w:rPr>
                <w:rFonts w:eastAsia="Calibri"/>
                <w:szCs w:val="22"/>
                <w:u w:val="single"/>
                <w:vertAlign w:val="superscript"/>
              </w:rPr>
            </w:pPr>
            <w:r w:rsidRPr="001B7F77">
              <w:rPr>
                <w:rFonts w:eastAsia="Calibri"/>
                <w:szCs w:val="22"/>
                <w:u w:val="single"/>
              </w:rPr>
              <w:t>125</w:t>
            </w:r>
            <w:r w:rsidRPr="001B7F77">
              <w:rPr>
                <w:rFonts w:eastAsia="Calibri"/>
                <w:szCs w:val="22"/>
                <w:u w:val="single"/>
                <w:vertAlign w:val="superscript"/>
              </w:rPr>
              <w:t>d</w:t>
            </w:r>
          </w:p>
        </w:tc>
      </w:tr>
      <w:tr w:rsidR="001B7F77" w:rsidRPr="001B7F77" w14:paraId="5FA95108" w14:textId="77777777" w:rsidTr="006655A1">
        <w:trPr>
          <w:cantSplit/>
          <w:trHeight w:val="315"/>
        </w:trPr>
        <w:tc>
          <w:tcPr>
            <w:tcW w:w="2222" w:type="dxa"/>
            <w:vAlign w:val="center"/>
          </w:tcPr>
          <w:p w14:paraId="7484AC6E" w14:textId="77777777" w:rsidR="001B7F77" w:rsidRPr="001B7F77" w:rsidRDefault="001B7F77" w:rsidP="001B7F77">
            <w:pPr>
              <w:widowControl w:val="0"/>
              <w:suppressAutoHyphens/>
              <w:jc w:val="center"/>
              <w:rPr>
                <w:rFonts w:eastAsia="Calibri"/>
                <w:szCs w:val="22"/>
                <w:u w:val="single"/>
                <w:vertAlign w:val="superscript"/>
              </w:rPr>
            </w:pPr>
            <w:r w:rsidRPr="001B7F77">
              <w:rPr>
                <w:rFonts w:eastAsia="Calibri"/>
                <w:szCs w:val="22"/>
                <w:u w:val="single"/>
              </w:rPr>
              <w:t>A-3</w:t>
            </w:r>
            <w:r w:rsidRPr="001B7F77">
              <w:rPr>
                <w:rFonts w:eastAsia="Calibri"/>
                <w:szCs w:val="22"/>
                <w:u w:val="single"/>
                <w:vertAlign w:val="superscript"/>
              </w:rPr>
              <w:t>c</w:t>
            </w:r>
          </w:p>
        </w:tc>
        <w:tc>
          <w:tcPr>
            <w:tcW w:w="2401" w:type="dxa"/>
            <w:vAlign w:val="center"/>
          </w:tcPr>
          <w:p w14:paraId="20D7F744" w14:textId="77777777" w:rsidR="001B7F77" w:rsidRPr="001B7F77" w:rsidRDefault="001B7F77" w:rsidP="001B7F77">
            <w:pPr>
              <w:widowControl w:val="0"/>
              <w:suppressAutoHyphens/>
              <w:jc w:val="center"/>
              <w:rPr>
                <w:rFonts w:eastAsia="Calibri"/>
                <w:szCs w:val="22"/>
                <w:u w:val="single"/>
                <w:vertAlign w:val="superscript"/>
              </w:rPr>
            </w:pPr>
            <w:r w:rsidRPr="001B7F77">
              <w:rPr>
                <w:rFonts w:eastAsia="Calibri"/>
                <w:szCs w:val="22"/>
                <w:u w:val="single"/>
              </w:rPr>
              <w:t>100</w:t>
            </w:r>
            <w:r w:rsidRPr="001B7F77">
              <w:rPr>
                <w:rFonts w:eastAsia="Calibri"/>
                <w:szCs w:val="22"/>
                <w:u w:val="single"/>
                <w:vertAlign w:val="superscript"/>
              </w:rPr>
              <w:t>d</w:t>
            </w:r>
          </w:p>
        </w:tc>
        <w:tc>
          <w:tcPr>
            <w:tcW w:w="2667" w:type="dxa"/>
            <w:vAlign w:val="center"/>
          </w:tcPr>
          <w:p w14:paraId="1835B68F" w14:textId="77777777" w:rsidR="001B7F77" w:rsidRPr="001B7F77" w:rsidRDefault="001B7F77" w:rsidP="001B7F77">
            <w:pPr>
              <w:widowControl w:val="0"/>
              <w:suppressAutoHyphens/>
              <w:jc w:val="center"/>
              <w:rPr>
                <w:rFonts w:eastAsia="Calibri"/>
                <w:szCs w:val="22"/>
                <w:u w:val="single"/>
                <w:vertAlign w:val="superscript"/>
              </w:rPr>
            </w:pPr>
            <w:r w:rsidRPr="001B7F77">
              <w:rPr>
                <w:rFonts w:eastAsia="Calibri"/>
                <w:szCs w:val="22"/>
                <w:u w:val="single"/>
              </w:rPr>
              <w:t>125</w:t>
            </w:r>
            <w:r w:rsidRPr="001B7F77">
              <w:rPr>
                <w:rFonts w:eastAsia="Calibri"/>
                <w:szCs w:val="22"/>
                <w:u w:val="single"/>
                <w:vertAlign w:val="superscript"/>
              </w:rPr>
              <w:t>d</w:t>
            </w:r>
          </w:p>
        </w:tc>
      </w:tr>
      <w:tr w:rsidR="001B7F77" w:rsidRPr="001B7F77" w14:paraId="43CBA566" w14:textId="77777777" w:rsidTr="006655A1">
        <w:trPr>
          <w:cantSplit/>
          <w:trHeight w:val="337"/>
        </w:trPr>
        <w:tc>
          <w:tcPr>
            <w:tcW w:w="2222" w:type="dxa"/>
            <w:vAlign w:val="center"/>
          </w:tcPr>
          <w:p w14:paraId="7D968BE0" w14:textId="77777777" w:rsidR="001B7F77" w:rsidRPr="001B7F77" w:rsidRDefault="001B7F77" w:rsidP="001B7F77">
            <w:pPr>
              <w:widowControl w:val="0"/>
              <w:suppressAutoHyphens/>
              <w:jc w:val="center"/>
              <w:rPr>
                <w:rFonts w:eastAsia="Calibri"/>
                <w:szCs w:val="22"/>
                <w:u w:val="single"/>
                <w:vertAlign w:val="superscript"/>
              </w:rPr>
            </w:pPr>
            <w:r w:rsidRPr="001B7F77">
              <w:rPr>
                <w:rFonts w:eastAsia="Calibri"/>
                <w:szCs w:val="22"/>
                <w:u w:val="single"/>
              </w:rPr>
              <w:t>A-4</w:t>
            </w:r>
            <w:r w:rsidRPr="001B7F77">
              <w:rPr>
                <w:rFonts w:eastAsia="Calibri"/>
                <w:szCs w:val="22"/>
                <w:u w:val="single"/>
                <w:vertAlign w:val="superscript"/>
              </w:rPr>
              <w:t>c</w:t>
            </w:r>
          </w:p>
        </w:tc>
        <w:tc>
          <w:tcPr>
            <w:tcW w:w="2401" w:type="dxa"/>
            <w:vAlign w:val="center"/>
          </w:tcPr>
          <w:p w14:paraId="138106C4" w14:textId="77777777" w:rsidR="001B7F77" w:rsidRPr="001B7F77" w:rsidRDefault="001B7F77" w:rsidP="001B7F77">
            <w:pPr>
              <w:widowControl w:val="0"/>
              <w:suppressAutoHyphens/>
              <w:jc w:val="center"/>
              <w:rPr>
                <w:rFonts w:eastAsia="Calibri"/>
                <w:szCs w:val="22"/>
                <w:u w:val="single"/>
              </w:rPr>
            </w:pPr>
            <w:r w:rsidRPr="001B7F77">
              <w:rPr>
                <w:rFonts w:eastAsia="Calibri"/>
                <w:szCs w:val="22"/>
                <w:u w:val="single"/>
              </w:rPr>
              <w:t>100</w:t>
            </w:r>
          </w:p>
        </w:tc>
        <w:tc>
          <w:tcPr>
            <w:tcW w:w="2667" w:type="dxa"/>
            <w:vAlign w:val="center"/>
          </w:tcPr>
          <w:p w14:paraId="57ED4061" w14:textId="77777777" w:rsidR="001B7F77" w:rsidRPr="001B7F77" w:rsidRDefault="001B7F77" w:rsidP="001B7F77">
            <w:pPr>
              <w:widowControl w:val="0"/>
              <w:suppressAutoHyphens/>
              <w:jc w:val="center"/>
              <w:rPr>
                <w:rFonts w:eastAsia="Calibri"/>
                <w:szCs w:val="22"/>
                <w:u w:val="single"/>
              </w:rPr>
            </w:pPr>
            <w:r w:rsidRPr="001B7F77">
              <w:rPr>
                <w:rFonts w:eastAsia="Calibri"/>
                <w:szCs w:val="22"/>
                <w:u w:val="single"/>
              </w:rPr>
              <w:t>125</w:t>
            </w:r>
          </w:p>
        </w:tc>
      </w:tr>
      <w:tr w:rsidR="001B7F77" w:rsidRPr="001B7F77" w14:paraId="022B9278" w14:textId="77777777" w:rsidTr="006655A1">
        <w:trPr>
          <w:cantSplit/>
          <w:trHeight w:val="315"/>
        </w:trPr>
        <w:tc>
          <w:tcPr>
            <w:tcW w:w="2222" w:type="dxa"/>
            <w:vAlign w:val="center"/>
          </w:tcPr>
          <w:p w14:paraId="769523ED" w14:textId="77777777" w:rsidR="001B7F77" w:rsidRPr="001B7F77" w:rsidRDefault="001B7F77" w:rsidP="001B7F77">
            <w:pPr>
              <w:widowControl w:val="0"/>
              <w:suppressAutoHyphens/>
              <w:ind w:left="-22"/>
              <w:jc w:val="center"/>
              <w:rPr>
                <w:rFonts w:eastAsia="Calibri"/>
                <w:szCs w:val="22"/>
                <w:u w:val="single"/>
              </w:rPr>
            </w:pPr>
            <w:r w:rsidRPr="001B7F77">
              <w:rPr>
                <w:rFonts w:eastAsia="Calibri"/>
                <w:szCs w:val="22"/>
                <w:u w:val="single"/>
              </w:rPr>
              <w:t>A-5</w:t>
            </w:r>
          </w:p>
        </w:tc>
        <w:tc>
          <w:tcPr>
            <w:tcW w:w="2401" w:type="dxa"/>
            <w:vAlign w:val="center"/>
          </w:tcPr>
          <w:p w14:paraId="52902E30" w14:textId="77777777" w:rsidR="001B7F77" w:rsidRPr="001B7F77" w:rsidRDefault="001B7F77" w:rsidP="001B7F77">
            <w:pPr>
              <w:widowControl w:val="0"/>
              <w:suppressAutoHyphens/>
              <w:jc w:val="center"/>
              <w:rPr>
                <w:rFonts w:eastAsia="Calibri"/>
                <w:szCs w:val="22"/>
                <w:u w:val="single"/>
              </w:rPr>
            </w:pPr>
            <w:r w:rsidRPr="001B7F77">
              <w:rPr>
                <w:rFonts w:eastAsia="Calibri"/>
                <w:szCs w:val="22"/>
                <w:u w:val="single"/>
              </w:rPr>
              <w:t>175</w:t>
            </w:r>
          </w:p>
        </w:tc>
        <w:tc>
          <w:tcPr>
            <w:tcW w:w="2667" w:type="dxa"/>
            <w:vAlign w:val="center"/>
          </w:tcPr>
          <w:p w14:paraId="0048C148" w14:textId="77777777" w:rsidR="001B7F77" w:rsidRPr="001B7F77" w:rsidRDefault="001B7F77" w:rsidP="001B7F77">
            <w:pPr>
              <w:widowControl w:val="0"/>
              <w:suppressAutoHyphens/>
              <w:jc w:val="center"/>
              <w:rPr>
                <w:rFonts w:eastAsia="Calibri"/>
                <w:szCs w:val="22"/>
                <w:u w:val="single"/>
              </w:rPr>
            </w:pPr>
            <w:r w:rsidRPr="001B7F77">
              <w:rPr>
                <w:rFonts w:eastAsia="Calibri"/>
                <w:szCs w:val="22"/>
                <w:u w:val="single"/>
              </w:rPr>
              <w:t>250</w:t>
            </w:r>
          </w:p>
        </w:tc>
      </w:tr>
    </w:tbl>
    <w:p w14:paraId="5C9EB89F" w14:textId="77777777" w:rsidR="001B7F77" w:rsidRPr="001B7F77" w:rsidRDefault="001B7F77" w:rsidP="001B7F77">
      <w:pPr>
        <w:widowControl w:val="0"/>
        <w:pBdr>
          <w:top w:val="nil"/>
          <w:left w:val="nil"/>
          <w:bottom w:val="nil"/>
          <w:right w:val="nil"/>
          <w:between w:val="nil"/>
        </w:pBdr>
        <w:tabs>
          <w:tab w:val="left" w:pos="1440"/>
        </w:tabs>
        <w:suppressAutoHyphens/>
        <w:autoSpaceDE w:val="0"/>
        <w:autoSpaceDN w:val="0"/>
        <w:adjustRightInd w:val="0"/>
        <w:spacing w:before="120"/>
        <w:ind w:left="1440" w:hanging="180"/>
        <w:rPr>
          <w:rFonts w:eastAsia="Arial"/>
          <w:sz w:val="18"/>
          <w:szCs w:val="14"/>
          <w:u w:val="single"/>
        </w:rPr>
      </w:pPr>
      <w:r w:rsidRPr="001B7F77">
        <w:rPr>
          <w:rFonts w:eastAsia="Arial"/>
          <w:sz w:val="18"/>
          <w:szCs w:val="14"/>
          <w:u w:val="single"/>
        </w:rPr>
        <w:t>For SI: 1 foot = 304.8 mm</w:t>
      </w:r>
    </w:p>
    <w:p w14:paraId="501D885C" w14:textId="77777777" w:rsidR="001B7F77" w:rsidRPr="001B7F77" w:rsidRDefault="001B7F77" w:rsidP="001B7F77">
      <w:pPr>
        <w:widowControl w:val="0"/>
        <w:pBdr>
          <w:top w:val="nil"/>
          <w:left w:val="nil"/>
          <w:bottom w:val="nil"/>
          <w:right w:val="nil"/>
          <w:between w:val="nil"/>
        </w:pBdr>
        <w:tabs>
          <w:tab w:val="left" w:pos="1080"/>
        </w:tabs>
        <w:suppressAutoHyphens/>
        <w:autoSpaceDE w:val="0"/>
        <w:autoSpaceDN w:val="0"/>
        <w:adjustRightInd w:val="0"/>
        <w:spacing w:before="120"/>
        <w:ind w:left="1800" w:right="900" w:hanging="180"/>
        <w:rPr>
          <w:rFonts w:eastAsia="Arial"/>
          <w:sz w:val="18"/>
          <w:szCs w:val="14"/>
          <w:u w:val="single"/>
        </w:rPr>
      </w:pPr>
      <w:r w:rsidRPr="001B7F77">
        <w:rPr>
          <w:rFonts w:eastAsia="Arial"/>
          <w:sz w:val="18"/>
          <w:szCs w:val="14"/>
          <w:u w:val="single"/>
        </w:rPr>
        <w:t>a.</w:t>
      </w:r>
      <w:r w:rsidRPr="001B7F77">
        <w:rPr>
          <w:sz w:val="18"/>
          <w:szCs w:val="14"/>
        </w:rPr>
        <w:tab/>
      </w:r>
      <w:r w:rsidRPr="001B7F77">
        <w:rPr>
          <w:rFonts w:eastAsia="Arial"/>
          <w:sz w:val="18"/>
          <w:szCs w:val="14"/>
          <w:u w:val="single"/>
        </w:rPr>
        <w:t xml:space="preserve">Where an assembly space is provided with an exit access doorway that opens directly to a safe area in accordance with Chapter 10 of the </w:t>
      </w:r>
      <w:r w:rsidRPr="001B7F77">
        <w:rPr>
          <w:rFonts w:eastAsia="Arial"/>
          <w:i/>
          <w:iCs/>
          <w:sz w:val="18"/>
          <w:szCs w:val="14"/>
          <w:u w:val="single"/>
        </w:rPr>
        <w:t>New York City Building Code</w:t>
      </w:r>
      <w:r w:rsidRPr="001B7F77">
        <w:rPr>
          <w:rFonts w:eastAsia="Arial"/>
          <w:sz w:val="18"/>
          <w:szCs w:val="14"/>
          <w:u w:val="single"/>
        </w:rPr>
        <w:t>, the primary and secondary travel distances shall be permitted to be measured to such exit access doorway. The travel distance from such safe area shall be in accordance with this section based on the occupancy classification of the main occupancy of the building or portion thereof to which the assembly space is ancillary to. When an exit opening from an assembly space discharges into another space, including a corridor, that does not meet the requirements of</w:t>
      </w:r>
      <w:bookmarkStart w:id="81" w:name="_Hlk70599223"/>
      <w:r w:rsidRPr="001B7F77">
        <w:rPr>
          <w:rFonts w:eastAsia="Arial"/>
          <w:sz w:val="18"/>
          <w:szCs w:val="14"/>
          <w:u w:val="single"/>
        </w:rPr>
        <w:t xml:space="preserve"> Chapter 10 of the </w:t>
      </w:r>
      <w:r w:rsidRPr="001B7F77">
        <w:rPr>
          <w:rFonts w:eastAsia="Arial"/>
          <w:i/>
          <w:iCs/>
          <w:sz w:val="18"/>
          <w:szCs w:val="14"/>
          <w:u w:val="single"/>
        </w:rPr>
        <w:t>New York City Building Code</w:t>
      </w:r>
      <w:r w:rsidRPr="001B7F77">
        <w:rPr>
          <w:rFonts w:eastAsia="Arial"/>
          <w:sz w:val="18"/>
          <w:szCs w:val="14"/>
          <w:u w:val="single"/>
        </w:rPr>
        <w:t xml:space="preserve"> </w:t>
      </w:r>
      <w:bookmarkEnd w:id="81"/>
      <w:r w:rsidRPr="001B7F77">
        <w:rPr>
          <w:rFonts w:eastAsia="Arial"/>
          <w:sz w:val="18"/>
          <w:szCs w:val="14"/>
          <w:u w:val="single"/>
        </w:rPr>
        <w:t xml:space="preserve">for a safe area, the travel distance shall include the distance within the space or corridor to an exit. </w:t>
      </w:r>
    </w:p>
    <w:p w14:paraId="18051ED2" w14:textId="77777777" w:rsidR="001B7F77" w:rsidRPr="001B7F77" w:rsidRDefault="001B7F77" w:rsidP="001B7F77">
      <w:pPr>
        <w:widowControl w:val="0"/>
        <w:pBdr>
          <w:top w:val="nil"/>
          <w:left w:val="nil"/>
          <w:bottom w:val="nil"/>
          <w:right w:val="nil"/>
          <w:between w:val="nil"/>
        </w:pBdr>
        <w:tabs>
          <w:tab w:val="left" w:pos="1080"/>
        </w:tabs>
        <w:suppressAutoHyphens/>
        <w:autoSpaceDE w:val="0"/>
        <w:autoSpaceDN w:val="0"/>
        <w:adjustRightInd w:val="0"/>
        <w:spacing w:before="120"/>
        <w:ind w:left="1800" w:right="720" w:hanging="180"/>
        <w:rPr>
          <w:rFonts w:eastAsia="Arial"/>
          <w:sz w:val="18"/>
          <w:szCs w:val="14"/>
          <w:u w:val="single"/>
        </w:rPr>
      </w:pPr>
      <w:r w:rsidRPr="001B7F77">
        <w:rPr>
          <w:rFonts w:eastAsia="Arial"/>
          <w:sz w:val="18"/>
          <w:szCs w:val="14"/>
          <w:u w:val="single"/>
        </w:rPr>
        <w:t>b.</w:t>
      </w:r>
      <w:r w:rsidRPr="001B7F77">
        <w:rPr>
          <w:sz w:val="18"/>
          <w:szCs w:val="14"/>
        </w:rPr>
        <w:tab/>
      </w:r>
      <w:r w:rsidRPr="001B7F77">
        <w:rPr>
          <w:rFonts w:eastAsia="Arial"/>
          <w:sz w:val="18"/>
          <w:szCs w:val="14"/>
          <w:u w:val="single"/>
        </w:rPr>
        <w:t>Required exits from stage shall be within a travel distance limitation of 125 feet.</w:t>
      </w:r>
    </w:p>
    <w:p w14:paraId="177C1943" w14:textId="77777777" w:rsidR="001B7F77" w:rsidRPr="001B7F77" w:rsidRDefault="001B7F77" w:rsidP="001B7F77">
      <w:pPr>
        <w:widowControl w:val="0"/>
        <w:pBdr>
          <w:top w:val="nil"/>
          <w:left w:val="nil"/>
          <w:bottom w:val="nil"/>
          <w:right w:val="nil"/>
          <w:between w:val="nil"/>
        </w:pBdr>
        <w:tabs>
          <w:tab w:val="left" w:pos="1080"/>
        </w:tabs>
        <w:suppressAutoHyphens/>
        <w:autoSpaceDE w:val="0"/>
        <w:autoSpaceDN w:val="0"/>
        <w:adjustRightInd w:val="0"/>
        <w:spacing w:before="120"/>
        <w:ind w:left="1800" w:right="720" w:hanging="180"/>
        <w:rPr>
          <w:rFonts w:eastAsia="Arial"/>
          <w:sz w:val="18"/>
          <w:szCs w:val="14"/>
          <w:u w:val="single"/>
        </w:rPr>
      </w:pPr>
      <w:r w:rsidRPr="001B7F77">
        <w:rPr>
          <w:rFonts w:eastAsia="Arial"/>
          <w:sz w:val="18"/>
          <w:szCs w:val="14"/>
          <w:u w:val="single"/>
        </w:rPr>
        <w:t>c.</w:t>
      </w:r>
      <w:r w:rsidRPr="001B7F77">
        <w:rPr>
          <w:sz w:val="18"/>
          <w:szCs w:val="14"/>
        </w:rPr>
        <w:tab/>
      </w:r>
      <w:r w:rsidRPr="001B7F77">
        <w:rPr>
          <w:rFonts w:eastAsia="Arial"/>
          <w:sz w:val="18"/>
          <w:szCs w:val="14"/>
          <w:u w:val="single"/>
        </w:rPr>
        <w:t>Required exits from stage shall be within a travel distance limitation of 150 feet.</w:t>
      </w:r>
    </w:p>
    <w:p w14:paraId="0EE1D0F2" w14:textId="77777777" w:rsidR="001B7F77" w:rsidRPr="001B7F77" w:rsidRDefault="001B7F77" w:rsidP="001B7F77">
      <w:pPr>
        <w:widowControl w:val="0"/>
        <w:pBdr>
          <w:top w:val="nil"/>
          <w:left w:val="nil"/>
          <w:bottom w:val="nil"/>
          <w:right w:val="nil"/>
          <w:between w:val="nil"/>
        </w:pBdr>
        <w:tabs>
          <w:tab w:val="left" w:pos="1080"/>
        </w:tabs>
        <w:suppressAutoHyphens/>
        <w:autoSpaceDE w:val="0"/>
        <w:autoSpaceDN w:val="0"/>
        <w:adjustRightInd w:val="0"/>
        <w:spacing w:before="120"/>
        <w:ind w:left="1800" w:right="900" w:hanging="180"/>
        <w:rPr>
          <w:rFonts w:eastAsia="Arial"/>
          <w:sz w:val="18"/>
          <w:szCs w:val="14"/>
          <w:u w:val="single"/>
        </w:rPr>
      </w:pPr>
      <w:r w:rsidRPr="001B7F77">
        <w:rPr>
          <w:rFonts w:eastAsia="Arial"/>
          <w:sz w:val="18"/>
          <w:szCs w:val="14"/>
          <w:u w:val="single"/>
        </w:rPr>
        <w:t>d.</w:t>
      </w:r>
      <w:r w:rsidRPr="001B7F77">
        <w:rPr>
          <w:sz w:val="18"/>
          <w:szCs w:val="14"/>
        </w:rPr>
        <w:tab/>
      </w:r>
      <w:r w:rsidRPr="001B7F77">
        <w:rPr>
          <w:rFonts w:eastAsia="Arial"/>
          <w:sz w:val="18"/>
          <w:szCs w:val="14"/>
          <w:u w:val="single"/>
        </w:rPr>
        <w:t>Where a Place of Assembly is completely equipped with automatic sprinkler system, this distance may be increased fifty percent.</w:t>
      </w:r>
    </w:p>
    <w:p w14:paraId="081990D6" w14:textId="77777777" w:rsidR="001B7F77" w:rsidRPr="001B7F77" w:rsidRDefault="001B7F77" w:rsidP="001B7F77">
      <w:pPr>
        <w:widowControl w:val="0"/>
        <w:tabs>
          <w:tab w:val="left" w:pos="360"/>
        </w:tabs>
        <w:suppressAutoHyphens/>
        <w:spacing w:before="120"/>
        <w:ind w:left="360"/>
        <w:rPr>
          <w:u w:val="single"/>
        </w:rPr>
      </w:pPr>
      <w:r w:rsidRPr="001B7F77">
        <w:rPr>
          <w:b/>
          <w:u w:val="single"/>
        </w:rPr>
        <w:t xml:space="preserve">305.5.5 Means of egress doors. </w:t>
      </w:r>
      <w:r w:rsidRPr="001B7F77">
        <w:rPr>
          <w:u w:val="single"/>
        </w:rPr>
        <w:t>Repairs, alterations to and replacement of existing means of egress doors shall not reduce the fire resistance rating or dimensions of existing doors.</w:t>
      </w:r>
    </w:p>
    <w:p w14:paraId="57D608B4" w14:textId="77777777" w:rsidR="001B7F77" w:rsidRPr="001B7F77" w:rsidRDefault="001B7F77" w:rsidP="001B7F77">
      <w:pPr>
        <w:widowControl w:val="0"/>
        <w:tabs>
          <w:tab w:val="left" w:pos="360"/>
        </w:tabs>
        <w:suppressAutoHyphens/>
        <w:spacing w:before="120"/>
        <w:ind w:left="360"/>
        <w:rPr>
          <w:b/>
          <w:u w:val="single"/>
        </w:rPr>
      </w:pPr>
      <w:r w:rsidRPr="001B7F77">
        <w:rPr>
          <w:b/>
          <w:u w:val="single"/>
        </w:rPr>
        <w:t xml:space="preserve">305.5.6 Alteration of corridors. </w:t>
      </w:r>
      <w:bookmarkStart w:id="82" w:name="_Hlk140759772"/>
      <w:bookmarkStart w:id="83" w:name="_Hlk140759752"/>
      <w:r w:rsidRPr="001B7F77">
        <w:rPr>
          <w:u w:val="single"/>
        </w:rPr>
        <w:t xml:space="preserve">Alterations to corridors shall comply with Section 805 of this code and Section 28-307.2 of the </w:t>
      </w:r>
      <w:r w:rsidRPr="001B7F77">
        <w:rPr>
          <w:i/>
          <w:iCs/>
          <w:u w:val="single"/>
        </w:rPr>
        <w:t>Administrative Code</w:t>
      </w:r>
      <w:r w:rsidRPr="001B7F77">
        <w:rPr>
          <w:bCs/>
          <w:u w:val="single"/>
        </w:rPr>
        <w:t>.</w:t>
      </w:r>
      <w:r w:rsidRPr="001B7F77">
        <w:rPr>
          <w:b/>
          <w:u w:val="single"/>
        </w:rPr>
        <w:t xml:space="preserve"> </w:t>
      </w:r>
    </w:p>
    <w:bookmarkEnd w:id="82"/>
    <w:bookmarkEnd w:id="83"/>
    <w:p w14:paraId="4918CC9D" w14:textId="77777777" w:rsidR="001B7F77" w:rsidRPr="001B7F77" w:rsidRDefault="001B7F77" w:rsidP="001B7F77">
      <w:pPr>
        <w:widowControl w:val="0"/>
        <w:suppressAutoHyphens/>
        <w:spacing w:before="120"/>
        <w:ind w:left="360"/>
        <w:rPr>
          <w:u w:val="single"/>
        </w:rPr>
      </w:pPr>
      <w:r w:rsidRPr="001B7F77">
        <w:rPr>
          <w:b/>
          <w:u w:val="single"/>
        </w:rPr>
        <w:t>305.5.7 Dead end corridors</w:t>
      </w:r>
      <w:r w:rsidRPr="001B7F77">
        <w:rPr>
          <w:u w:val="single"/>
        </w:rPr>
        <w:t>. Dead end corridors in work areas shall comply with Section 805.</w:t>
      </w:r>
    </w:p>
    <w:p w14:paraId="576E7A1A" w14:textId="77777777" w:rsidR="001B7F77" w:rsidRPr="001B7F77" w:rsidRDefault="001B7F77" w:rsidP="001B7F77">
      <w:pPr>
        <w:widowControl w:val="0"/>
        <w:tabs>
          <w:tab w:val="left" w:pos="360"/>
        </w:tabs>
        <w:suppressAutoHyphens/>
        <w:spacing w:before="120"/>
        <w:ind w:left="360"/>
        <w:rPr>
          <w:u w:val="single"/>
        </w:rPr>
      </w:pPr>
      <w:bookmarkStart w:id="84" w:name="_Hlk65759345"/>
      <w:r w:rsidRPr="001B7F77">
        <w:rPr>
          <w:b/>
          <w:u w:val="single"/>
        </w:rPr>
        <w:t xml:space="preserve">305.5.8 Existing smoke-stop doors in corridors. </w:t>
      </w:r>
      <w:r w:rsidRPr="001B7F77">
        <w:rPr>
          <w:u w:val="single"/>
        </w:rPr>
        <w:t>Existing smoke-stop doors in corridors shall be maintained in corridors exceeding 300 feet (91 m) in length for Occupancy Group E, and 150 feet (46 m) in length for Occupancy Groups I-1, I-2, R-1 and R-2.</w:t>
      </w:r>
    </w:p>
    <w:p w14:paraId="444F13D5" w14:textId="77777777" w:rsidR="001B7F77" w:rsidRPr="001B7F77" w:rsidRDefault="001B7F77" w:rsidP="001B7F77">
      <w:pPr>
        <w:widowControl w:val="0"/>
        <w:pBdr>
          <w:top w:val="nil"/>
          <w:left w:val="nil"/>
          <w:bottom w:val="nil"/>
          <w:right w:val="nil"/>
          <w:between w:val="nil"/>
        </w:pBdr>
        <w:suppressAutoHyphens/>
        <w:autoSpaceDE w:val="0"/>
        <w:autoSpaceDN w:val="0"/>
        <w:adjustRightInd w:val="0"/>
        <w:spacing w:before="120"/>
        <w:ind w:left="720"/>
        <w:rPr>
          <w:rFonts w:eastAsia="Arial"/>
          <w:bCs/>
          <w:u w:val="single"/>
        </w:rPr>
      </w:pPr>
      <w:r w:rsidRPr="001B7F77">
        <w:rPr>
          <w:rFonts w:eastAsia="Arial"/>
          <w:b/>
          <w:bCs/>
          <w:u w:val="single"/>
        </w:rPr>
        <w:t xml:space="preserve">Exception. </w:t>
      </w:r>
      <w:r w:rsidRPr="001B7F77">
        <w:rPr>
          <w:rFonts w:eastAsia="Arial"/>
          <w:bCs/>
          <w:u w:val="single"/>
        </w:rPr>
        <w:t xml:space="preserve">Smoke-stop doors may be eliminated in existing buildings provided with fire protection systems in accordance with Chapter 9 of the </w:t>
      </w:r>
      <w:r w:rsidRPr="001B7F77">
        <w:rPr>
          <w:rFonts w:eastAsia="Arial"/>
          <w:bCs/>
          <w:i/>
          <w:iCs/>
          <w:u w:val="single"/>
        </w:rPr>
        <w:t>New York City Building Code</w:t>
      </w:r>
      <w:r w:rsidRPr="001B7F77">
        <w:rPr>
          <w:rFonts w:eastAsia="Arial"/>
          <w:bCs/>
          <w:u w:val="single"/>
        </w:rPr>
        <w:t>. This exception does not apply to smoke-stop doors at elevator lobbies.</w:t>
      </w:r>
    </w:p>
    <w:bookmarkEnd w:id="84"/>
    <w:p w14:paraId="28B8AACC" w14:textId="77777777" w:rsidR="001B7F77" w:rsidRPr="001B7F77" w:rsidRDefault="001B7F77" w:rsidP="001B7F77">
      <w:pPr>
        <w:widowControl w:val="0"/>
        <w:tabs>
          <w:tab w:val="left" w:pos="360"/>
        </w:tabs>
        <w:suppressAutoHyphens/>
        <w:spacing w:before="120"/>
        <w:ind w:left="360"/>
        <w:rPr>
          <w:u w:val="single"/>
        </w:rPr>
      </w:pPr>
      <w:r w:rsidRPr="001B7F77">
        <w:rPr>
          <w:b/>
          <w:u w:val="single"/>
        </w:rPr>
        <w:t xml:space="preserve">305.5.9 Exit passageways. </w:t>
      </w:r>
      <w:r w:rsidRPr="001B7F77">
        <w:rPr>
          <w:u w:val="single"/>
        </w:rPr>
        <w:t xml:space="preserve">Alterations to exit passageways shall comply with Chapter 10 of the </w:t>
      </w:r>
      <w:r w:rsidRPr="001B7F77">
        <w:rPr>
          <w:i/>
          <w:iCs/>
          <w:u w:val="single"/>
        </w:rPr>
        <w:t>New York City Building Code</w:t>
      </w:r>
      <w:r w:rsidRPr="001B7F77">
        <w:rPr>
          <w:u w:val="single"/>
        </w:rPr>
        <w:t>. Not more than 50 percent of the total number of vertical exits provided for a building may be served by a single exit passageway, except as provided for in Section 305.5.10. No openings other than exit doors shall be permitted in exit passageways, except as permitted by Section 305.5.10.</w:t>
      </w:r>
    </w:p>
    <w:p w14:paraId="4F7D1479" w14:textId="77777777" w:rsidR="001B7F77" w:rsidRPr="001B7F77" w:rsidRDefault="001B7F77" w:rsidP="001B7F77">
      <w:pPr>
        <w:widowControl w:val="0"/>
        <w:tabs>
          <w:tab w:val="left" w:pos="360"/>
        </w:tabs>
        <w:suppressAutoHyphens/>
        <w:spacing w:before="120"/>
        <w:ind w:left="360"/>
        <w:rPr>
          <w:u w:val="single"/>
        </w:rPr>
      </w:pPr>
      <w:r w:rsidRPr="001B7F77">
        <w:rPr>
          <w:b/>
          <w:u w:val="single"/>
        </w:rPr>
        <w:t xml:space="preserve">305.5.10 Street floor lobbies. </w:t>
      </w:r>
      <w:r w:rsidRPr="001B7F77">
        <w:rPr>
          <w:u w:val="single"/>
        </w:rPr>
        <w:t>The alteration of existing street floor lobbies serving as exit passageways in prior code buildings shall comply with the following provisions:</w:t>
      </w:r>
    </w:p>
    <w:p w14:paraId="0C8740EC" w14:textId="77777777" w:rsidR="001B7F77" w:rsidRPr="001B7F77" w:rsidRDefault="001B7F77" w:rsidP="001B7F77">
      <w:pPr>
        <w:widowControl w:val="0"/>
        <w:pBdr>
          <w:top w:val="nil"/>
          <w:left w:val="nil"/>
          <w:bottom w:val="nil"/>
          <w:right w:val="nil"/>
          <w:between w:val="nil"/>
        </w:pBdr>
        <w:tabs>
          <w:tab w:val="left" w:pos="1080"/>
        </w:tabs>
        <w:suppressAutoHyphens/>
        <w:autoSpaceDE w:val="0"/>
        <w:autoSpaceDN w:val="0"/>
        <w:adjustRightInd w:val="0"/>
        <w:spacing w:before="120"/>
        <w:ind w:left="1080" w:hanging="360"/>
        <w:rPr>
          <w:rFonts w:eastAsia="Arial"/>
          <w:u w:val="single"/>
        </w:rPr>
      </w:pPr>
      <w:r w:rsidRPr="001B7F77">
        <w:rPr>
          <w:rFonts w:eastAsia="Arial"/>
          <w:u w:val="single"/>
        </w:rPr>
        <w:t>1.</w:t>
      </w:r>
      <w:r w:rsidRPr="001B7F77">
        <w:rPr>
          <w:rFonts w:eastAsia="Arial"/>
          <w:u w:val="single"/>
        </w:rPr>
        <w:tab/>
        <w:t>100 percent of the total number of vertical exits provided in a prior code building may be served by an existing street floor lobby, if egress continues to be provided in two different directions from the discharge points of all vertical exits to open exterior spaces that are remote from each other.</w:t>
      </w:r>
    </w:p>
    <w:p w14:paraId="3BD264D8" w14:textId="77777777" w:rsidR="001B7F77" w:rsidRPr="001B7F77" w:rsidRDefault="001B7F77" w:rsidP="001B7F77">
      <w:pPr>
        <w:widowControl w:val="0"/>
        <w:pBdr>
          <w:top w:val="nil"/>
          <w:left w:val="nil"/>
          <w:bottom w:val="nil"/>
          <w:right w:val="nil"/>
          <w:between w:val="nil"/>
        </w:pBdr>
        <w:tabs>
          <w:tab w:val="left" w:pos="1080"/>
        </w:tabs>
        <w:suppressAutoHyphens/>
        <w:autoSpaceDE w:val="0"/>
        <w:autoSpaceDN w:val="0"/>
        <w:adjustRightInd w:val="0"/>
        <w:spacing w:before="120"/>
        <w:ind w:left="1080" w:hanging="360"/>
        <w:rPr>
          <w:rFonts w:eastAsia="Arial"/>
          <w:u w:val="single"/>
        </w:rPr>
      </w:pPr>
      <w:r w:rsidRPr="001B7F77">
        <w:rPr>
          <w:rFonts w:eastAsia="Arial"/>
          <w:u w:val="single"/>
        </w:rPr>
        <w:t>2.</w:t>
      </w:r>
      <w:r w:rsidRPr="001B7F77">
        <w:rPr>
          <w:rFonts w:eastAsia="Arial"/>
          <w:u w:val="single"/>
        </w:rPr>
        <w:tab/>
        <w:t>Street floor lobbies shall be sized to accommodate the existing and new occupant load and egress capacity of all stairs and communicating spaces on the lobby floor that exit through them. Street floor lobbies shall not be decreased in width.</w:t>
      </w:r>
    </w:p>
    <w:p w14:paraId="11737469" w14:textId="77777777" w:rsidR="001B7F77" w:rsidRPr="001B7F77" w:rsidRDefault="001B7F77" w:rsidP="001B7F77">
      <w:pPr>
        <w:widowControl w:val="0"/>
        <w:pBdr>
          <w:top w:val="nil"/>
          <w:left w:val="nil"/>
          <w:bottom w:val="nil"/>
          <w:right w:val="nil"/>
          <w:between w:val="nil"/>
        </w:pBdr>
        <w:tabs>
          <w:tab w:val="left" w:pos="1080"/>
        </w:tabs>
        <w:suppressAutoHyphens/>
        <w:autoSpaceDE w:val="0"/>
        <w:autoSpaceDN w:val="0"/>
        <w:adjustRightInd w:val="0"/>
        <w:spacing w:before="120"/>
        <w:ind w:left="1080" w:hanging="360"/>
        <w:rPr>
          <w:rFonts w:eastAsia="Arial"/>
          <w:u w:val="single"/>
        </w:rPr>
      </w:pPr>
      <w:r w:rsidRPr="001B7F77">
        <w:rPr>
          <w:rFonts w:eastAsia="Arial"/>
          <w:u w:val="single"/>
        </w:rPr>
        <w:t>3.</w:t>
      </w:r>
      <w:r w:rsidRPr="001B7F77">
        <w:rPr>
          <w:rFonts w:eastAsia="Arial"/>
          <w:u w:val="single"/>
        </w:rPr>
        <w:tab/>
        <w:t xml:space="preserve">Openings between street floor lobbies, and elevators or communicating spaces, shall comply with the requirements of Chapter 10 of the </w:t>
      </w:r>
      <w:r w:rsidRPr="001B7F77">
        <w:rPr>
          <w:rFonts w:eastAsia="Arial"/>
          <w:i/>
          <w:iCs/>
          <w:u w:val="single"/>
        </w:rPr>
        <w:t>New York City Building Code</w:t>
      </w:r>
      <w:r w:rsidRPr="001B7F77">
        <w:rPr>
          <w:rFonts w:eastAsia="Arial"/>
          <w:u w:val="single"/>
        </w:rPr>
        <w:t xml:space="preserve"> for protected areas.</w:t>
      </w:r>
    </w:p>
    <w:p w14:paraId="15458DA1" w14:textId="77777777" w:rsidR="001B7F77" w:rsidRPr="001B7F77" w:rsidRDefault="001B7F77" w:rsidP="001B7F77">
      <w:pPr>
        <w:widowControl w:val="0"/>
        <w:pBdr>
          <w:top w:val="nil"/>
          <w:left w:val="nil"/>
          <w:bottom w:val="nil"/>
          <w:right w:val="nil"/>
          <w:between w:val="nil"/>
        </w:pBdr>
        <w:tabs>
          <w:tab w:val="left" w:pos="1080"/>
        </w:tabs>
        <w:suppressAutoHyphens/>
        <w:autoSpaceDE w:val="0"/>
        <w:autoSpaceDN w:val="0"/>
        <w:adjustRightInd w:val="0"/>
        <w:spacing w:before="120"/>
        <w:ind w:left="1080"/>
        <w:rPr>
          <w:rFonts w:eastAsia="Arial"/>
          <w:b/>
          <w:u w:val="single"/>
        </w:rPr>
      </w:pPr>
      <w:r w:rsidRPr="001B7F77">
        <w:rPr>
          <w:rFonts w:eastAsia="Arial"/>
          <w:b/>
          <w:bCs/>
          <w:u w:val="single"/>
        </w:rPr>
        <w:t>Exceptions to Item 3:</w:t>
      </w:r>
    </w:p>
    <w:p w14:paraId="285716C8" w14:textId="77777777" w:rsidR="001B7F77" w:rsidRPr="001B7F77" w:rsidRDefault="001B7F77" w:rsidP="001B7F77">
      <w:pPr>
        <w:widowControl w:val="0"/>
        <w:pBdr>
          <w:top w:val="nil"/>
          <w:left w:val="nil"/>
          <w:bottom w:val="nil"/>
          <w:right w:val="nil"/>
          <w:between w:val="nil"/>
        </w:pBdr>
        <w:tabs>
          <w:tab w:val="left" w:pos="1800"/>
        </w:tabs>
        <w:suppressAutoHyphens/>
        <w:autoSpaceDE w:val="0"/>
        <w:autoSpaceDN w:val="0"/>
        <w:adjustRightInd w:val="0"/>
        <w:spacing w:before="120"/>
        <w:ind w:left="1800" w:hanging="360"/>
        <w:rPr>
          <w:rFonts w:eastAsia="Arial"/>
          <w:u w:val="single"/>
        </w:rPr>
      </w:pPr>
      <w:r w:rsidRPr="001B7F77">
        <w:rPr>
          <w:rFonts w:eastAsia="Arial"/>
          <w:u w:val="single"/>
        </w:rPr>
        <w:t>1.</w:t>
      </w:r>
      <w:r w:rsidRPr="001B7F77">
        <w:rPr>
          <w:rFonts w:eastAsia="Arial"/>
          <w:u w:val="single"/>
        </w:rPr>
        <w:tab/>
        <w:t>Existing openings that open into an existing street floor lobby may be modified provided that the required fire-resistance ratings of such openings are not reduced and the total percentage of the linear length of such openings along the street floor lobby perimeter do not increase.</w:t>
      </w:r>
    </w:p>
    <w:p w14:paraId="3011C076" w14:textId="77777777" w:rsidR="001B7F77" w:rsidRPr="001B7F77" w:rsidRDefault="001B7F77" w:rsidP="001B7F77">
      <w:pPr>
        <w:widowControl w:val="0"/>
        <w:pBdr>
          <w:top w:val="nil"/>
          <w:left w:val="nil"/>
          <w:bottom w:val="nil"/>
          <w:right w:val="nil"/>
          <w:between w:val="nil"/>
        </w:pBdr>
        <w:tabs>
          <w:tab w:val="left" w:pos="1800"/>
        </w:tabs>
        <w:suppressAutoHyphens/>
        <w:autoSpaceDE w:val="0"/>
        <w:autoSpaceDN w:val="0"/>
        <w:adjustRightInd w:val="0"/>
        <w:spacing w:before="120"/>
        <w:ind w:left="1800" w:hanging="360"/>
        <w:rPr>
          <w:rFonts w:eastAsia="Arial"/>
          <w:u w:val="single"/>
        </w:rPr>
      </w:pPr>
      <w:r w:rsidRPr="001B7F77">
        <w:rPr>
          <w:rFonts w:eastAsia="Arial"/>
          <w:u w:val="single"/>
        </w:rPr>
        <w:t>2.</w:t>
      </w:r>
      <w:r w:rsidRPr="001B7F77">
        <w:rPr>
          <w:rFonts w:eastAsia="Arial"/>
          <w:u w:val="single"/>
        </w:rPr>
        <w:tab/>
        <w:t>Existing show windows may be modified provided that the existing required fire-resistance ratings of display area enclosures are not reduced and the square footage of such enclosures within the street floor lobby do not increase.</w:t>
      </w:r>
    </w:p>
    <w:p w14:paraId="3411457C" w14:textId="77777777" w:rsidR="001B7F77" w:rsidRPr="001B7F77" w:rsidRDefault="001B7F77" w:rsidP="001B7F77">
      <w:pPr>
        <w:widowControl w:val="0"/>
        <w:pBdr>
          <w:top w:val="nil"/>
          <w:left w:val="nil"/>
          <w:bottom w:val="nil"/>
          <w:right w:val="nil"/>
          <w:between w:val="nil"/>
        </w:pBdr>
        <w:tabs>
          <w:tab w:val="left" w:pos="1800"/>
        </w:tabs>
        <w:suppressAutoHyphens/>
        <w:autoSpaceDE w:val="0"/>
        <w:autoSpaceDN w:val="0"/>
        <w:adjustRightInd w:val="0"/>
        <w:spacing w:before="120"/>
        <w:ind w:left="1800" w:hanging="360"/>
        <w:rPr>
          <w:rFonts w:eastAsia="Arial"/>
          <w:u w:val="single"/>
        </w:rPr>
      </w:pPr>
      <w:r w:rsidRPr="001B7F77">
        <w:rPr>
          <w:rFonts w:eastAsia="Arial"/>
          <w:u w:val="single"/>
        </w:rPr>
        <w:t>3.</w:t>
      </w:r>
      <w:r w:rsidRPr="001B7F77">
        <w:rPr>
          <w:rFonts w:eastAsia="Arial"/>
          <w:u w:val="single"/>
        </w:rPr>
        <w:tab/>
        <w:t>The occupancy group of communicating spaces with openings into an existing street floor lobby may be changed to any other occupancy group within relative hazard category 3 as listed in Table 1005.2.</w:t>
      </w:r>
    </w:p>
    <w:p w14:paraId="15A37EFD" w14:textId="77777777" w:rsidR="001B7F77" w:rsidRPr="001B7F77" w:rsidRDefault="001B7F77" w:rsidP="001B7F77">
      <w:pPr>
        <w:widowControl w:val="0"/>
        <w:tabs>
          <w:tab w:val="left" w:pos="360"/>
        </w:tabs>
        <w:suppressAutoHyphens/>
        <w:spacing w:before="120"/>
        <w:ind w:left="360"/>
        <w:rPr>
          <w:u w:val="single"/>
        </w:rPr>
      </w:pPr>
      <w:bookmarkStart w:id="85" w:name="_Hlk76122024"/>
      <w:r w:rsidRPr="001B7F77">
        <w:rPr>
          <w:b/>
          <w:u w:val="single"/>
        </w:rPr>
        <w:t xml:space="preserve">305.5.11 Stairs. </w:t>
      </w:r>
      <w:r w:rsidRPr="001B7F77">
        <w:rPr>
          <w:u w:val="single"/>
        </w:rPr>
        <w:t xml:space="preserve">New or relocated stairs shall comply with Chapter 10 of the </w:t>
      </w:r>
      <w:r w:rsidRPr="001B7F77">
        <w:rPr>
          <w:i/>
          <w:iCs/>
          <w:u w:val="single"/>
        </w:rPr>
        <w:t>New York City Building Code</w:t>
      </w:r>
      <w:r w:rsidRPr="001B7F77">
        <w:rPr>
          <w:u w:val="single"/>
        </w:rPr>
        <w:t xml:space="preserve"> unless otherwise provided for in this code. Alteration or vertical extension of existing stairs shall comply with Section 305.5.11.1 of this code.</w:t>
      </w:r>
    </w:p>
    <w:p w14:paraId="3C4B7AB0" w14:textId="77777777" w:rsidR="001B7F77" w:rsidRPr="001B7F77" w:rsidRDefault="001B7F77" w:rsidP="001B7F77">
      <w:pPr>
        <w:widowControl w:val="0"/>
        <w:pBdr>
          <w:top w:val="nil"/>
          <w:left w:val="nil"/>
          <w:bottom w:val="nil"/>
          <w:right w:val="nil"/>
          <w:between w:val="nil"/>
        </w:pBdr>
        <w:tabs>
          <w:tab w:val="left" w:pos="1440"/>
        </w:tabs>
        <w:suppressAutoHyphens/>
        <w:autoSpaceDE w:val="0"/>
        <w:autoSpaceDN w:val="0"/>
        <w:adjustRightInd w:val="0"/>
        <w:spacing w:before="120"/>
        <w:ind w:left="720"/>
        <w:rPr>
          <w:u w:val="single"/>
        </w:rPr>
      </w:pPr>
      <w:r w:rsidRPr="001B7F77">
        <w:rPr>
          <w:b/>
          <w:bCs/>
          <w:u w:val="single"/>
        </w:rPr>
        <w:t>Exception:</w:t>
      </w:r>
      <w:r w:rsidRPr="001B7F77">
        <w:rPr>
          <w:u w:val="single"/>
        </w:rPr>
        <w:t xml:space="preserve"> </w:t>
      </w:r>
      <w:bookmarkStart w:id="86" w:name="_Hlk75777250"/>
      <w:r w:rsidRPr="001B7F77">
        <w:rPr>
          <w:u w:val="single"/>
        </w:rPr>
        <w:t xml:space="preserve">The requirements for smoke proof enclosures and pressurization of stairways in Chapter 10 of the </w:t>
      </w:r>
      <w:r w:rsidRPr="001B7F77">
        <w:rPr>
          <w:i/>
          <w:iCs/>
          <w:u w:val="single"/>
        </w:rPr>
        <w:t>New York City Building Code</w:t>
      </w:r>
      <w:r w:rsidRPr="001B7F77">
        <w:rPr>
          <w:u w:val="single"/>
        </w:rPr>
        <w:t xml:space="preserve"> shall not apply unless the building is required to comply with the provisions of this code as if it were a new building hereafter erected.</w:t>
      </w:r>
    </w:p>
    <w:bookmarkEnd w:id="85"/>
    <w:bookmarkEnd w:id="86"/>
    <w:p w14:paraId="36AE966B" w14:textId="77777777" w:rsidR="001B7F77" w:rsidRPr="001B7F77" w:rsidRDefault="001B7F77" w:rsidP="001B7F77">
      <w:pPr>
        <w:widowControl w:val="0"/>
        <w:tabs>
          <w:tab w:val="left" w:pos="720"/>
        </w:tabs>
        <w:suppressAutoHyphens/>
        <w:spacing w:before="120"/>
        <w:ind w:left="720"/>
        <w:rPr>
          <w:u w:val="single"/>
        </w:rPr>
      </w:pPr>
      <w:r w:rsidRPr="001B7F77">
        <w:rPr>
          <w:b/>
          <w:u w:val="single"/>
        </w:rPr>
        <w:t xml:space="preserve">305.5.11.1 Stair width. </w:t>
      </w:r>
      <w:r w:rsidRPr="001B7F77">
        <w:rPr>
          <w:u w:val="single"/>
        </w:rPr>
        <w:t>The width of existing stairs shall be measured as the clear width between walls, grilles, guards, or newel posts. Stair stringers may project into the required width not more than 2 inches (51 mm) on each side of the stair. Alterations to existing stairs shall maintain a minimum width of 44 inches (1118 mm).</w:t>
      </w:r>
    </w:p>
    <w:p w14:paraId="62CD5099" w14:textId="77777777" w:rsidR="001B7F77" w:rsidRPr="001B7F77" w:rsidRDefault="001B7F77" w:rsidP="001B7F77">
      <w:pPr>
        <w:widowControl w:val="0"/>
        <w:pBdr>
          <w:top w:val="nil"/>
          <w:left w:val="nil"/>
          <w:bottom w:val="nil"/>
          <w:right w:val="nil"/>
          <w:between w:val="nil"/>
        </w:pBdr>
        <w:tabs>
          <w:tab w:val="left" w:pos="1080"/>
        </w:tabs>
        <w:suppressAutoHyphens/>
        <w:autoSpaceDE w:val="0"/>
        <w:autoSpaceDN w:val="0"/>
        <w:adjustRightInd w:val="0"/>
        <w:spacing w:before="120"/>
        <w:ind w:left="1080"/>
        <w:rPr>
          <w:rFonts w:eastAsia="Arial"/>
          <w:b/>
          <w:bCs/>
          <w:u w:val="single"/>
        </w:rPr>
      </w:pPr>
      <w:r w:rsidRPr="001B7F77">
        <w:rPr>
          <w:rFonts w:eastAsia="Arial"/>
          <w:b/>
          <w:bCs/>
          <w:u w:val="single"/>
        </w:rPr>
        <w:t>Exceptions:</w:t>
      </w:r>
    </w:p>
    <w:p w14:paraId="7999F397" w14:textId="77777777" w:rsidR="001B7F77" w:rsidRPr="001B7F77" w:rsidRDefault="001B7F77" w:rsidP="001B7F77">
      <w:pPr>
        <w:widowControl w:val="0"/>
        <w:pBdr>
          <w:top w:val="nil"/>
          <w:left w:val="nil"/>
          <w:bottom w:val="nil"/>
          <w:right w:val="nil"/>
          <w:between w:val="nil"/>
        </w:pBdr>
        <w:tabs>
          <w:tab w:val="left" w:pos="1800"/>
        </w:tabs>
        <w:suppressAutoHyphens/>
        <w:autoSpaceDE w:val="0"/>
        <w:autoSpaceDN w:val="0"/>
        <w:adjustRightInd w:val="0"/>
        <w:spacing w:before="120"/>
        <w:ind w:left="1800" w:hanging="360"/>
        <w:rPr>
          <w:rFonts w:eastAsia="Arial"/>
          <w:u w:val="single"/>
        </w:rPr>
      </w:pPr>
      <w:r w:rsidRPr="001B7F77">
        <w:rPr>
          <w:rFonts w:eastAsia="Arial"/>
          <w:u w:val="single"/>
        </w:rPr>
        <w:t>1.</w:t>
      </w:r>
      <w:r w:rsidRPr="001B7F77">
        <w:rPr>
          <w:rFonts w:eastAsia="Arial"/>
          <w:u w:val="single"/>
        </w:rPr>
        <w:tab/>
        <w:t>Existing interior stairs may be not less than 36 inches (914 mm) wide when serving not more than 30 occupants per stair on any floor in buildings classified in Occupancy Groups R-1 and R-2, or where serving buildings classified in Occupancy Group R-3 and exceeding 4 stories in height, or when serving not more than 60 occupants per stair on any floor in buildings classified in Occupancy Groups B, F and S.</w:t>
      </w:r>
    </w:p>
    <w:p w14:paraId="2222EB48" w14:textId="77777777" w:rsidR="001B7F77" w:rsidRPr="001B7F77" w:rsidRDefault="001B7F77" w:rsidP="001B7F77">
      <w:pPr>
        <w:widowControl w:val="0"/>
        <w:pBdr>
          <w:top w:val="nil"/>
          <w:left w:val="nil"/>
          <w:bottom w:val="nil"/>
          <w:right w:val="nil"/>
          <w:between w:val="nil"/>
        </w:pBdr>
        <w:tabs>
          <w:tab w:val="left" w:pos="1800"/>
        </w:tabs>
        <w:suppressAutoHyphens/>
        <w:autoSpaceDE w:val="0"/>
        <w:autoSpaceDN w:val="0"/>
        <w:adjustRightInd w:val="0"/>
        <w:spacing w:before="120"/>
        <w:ind w:left="1800" w:hanging="360"/>
        <w:rPr>
          <w:rFonts w:eastAsia="Arial"/>
          <w:u w:val="single"/>
        </w:rPr>
      </w:pPr>
      <w:r w:rsidRPr="001B7F77">
        <w:rPr>
          <w:rFonts w:eastAsia="Arial"/>
          <w:u w:val="single"/>
        </w:rPr>
        <w:t>2.</w:t>
      </w:r>
      <w:r w:rsidRPr="001B7F77">
        <w:rPr>
          <w:rFonts w:eastAsia="Arial"/>
          <w:u w:val="single"/>
        </w:rPr>
        <w:tab/>
        <w:t>Existing interior stairs may be not less than 30 inches (762 mm) wide when serving mezzanines having an occupant load not exceeding 25 persons or when located in buildings classified in Occupancy Group R-3 not more than 3 stories in height. Existing interior stairs in 4 story buildings classified in Occupancy Group R-3 shall be a minimum of thirty-three inches (838 mm) in width.</w:t>
      </w:r>
    </w:p>
    <w:p w14:paraId="30A8F3B6" w14:textId="77777777" w:rsidR="001B7F77" w:rsidRPr="001B7F77" w:rsidRDefault="001B7F77" w:rsidP="001B7F77">
      <w:pPr>
        <w:widowControl w:val="0"/>
        <w:pBdr>
          <w:top w:val="nil"/>
          <w:left w:val="nil"/>
          <w:bottom w:val="nil"/>
          <w:right w:val="nil"/>
          <w:between w:val="nil"/>
        </w:pBdr>
        <w:tabs>
          <w:tab w:val="left" w:pos="1800"/>
        </w:tabs>
        <w:suppressAutoHyphens/>
        <w:autoSpaceDE w:val="0"/>
        <w:autoSpaceDN w:val="0"/>
        <w:adjustRightInd w:val="0"/>
        <w:spacing w:before="120"/>
        <w:ind w:left="1800" w:hanging="360"/>
        <w:rPr>
          <w:rFonts w:eastAsia="Arial"/>
          <w:u w:val="single"/>
        </w:rPr>
      </w:pPr>
      <w:r w:rsidRPr="001B7F77">
        <w:rPr>
          <w:rFonts w:eastAsia="Arial"/>
          <w:u w:val="single"/>
        </w:rPr>
        <w:t>3.</w:t>
      </w:r>
      <w:r w:rsidRPr="001B7F77">
        <w:rPr>
          <w:rFonts w:eastAsia="Arial"/>
          <w:u w:val="single"/>
        </w:rPr>
        <w:tab/>
        <w:t>Existing interior stairs in buildings or building sections having a building area of 4,000 square feet (371 m</w:t>
      </w:r>
      <w:r w:rsidRPr="001B7F77">
        <w:rPr>
          <w:rFonts w:eastAsia="Arial"/>
          <w:u w:val="single"/>
          <w:vertAlign w:val="superscript"/>
        </w:rPr>
        <w:t>2</w:t>
      </w:r>
      <w:r w:rsidRPr="001B7F77">
        <w:rPr>
          <w:rFonts w:eastAsia="Arial"/>
          <w:u w:val="single"/>
        </w:rPr>
        <w:t>) or less, and occupancy above the first floor of 50 persons or less, shall be a minimum width of 36 inches (914 mm).</w:t>
      </w:r>
    </w:p>
    <w:p w14:paraId="5C9A5CB1" w14:textId="77777777" w:rsidR="001B7F77" w:rsidRPr="001B7F77" w:rsidRDefault="001B7F77" w:rsidP="001B7F77">
      <w:pPr>
        <w:widowControl w:val="0"/>
        <w:pBdr>
          <w:top w:val="nil"/>
          <w:left w:val="nil"/>
          <w:bottom w:val="nil"/>
          <w:right w:val="nil"/>
          <w:between w:val="nil"/>
        </w:pBdr>
        <w:tabs>
          <w:tab w:val="left" w:pos="1800"/>
        </w:tabs>
        <w:suppressAutoHyphens/>
        <w:autoSpaceDE w:val="0"/>
        <w:autoSpaceDN w:val="0"/>
        <w:adjustRightInd w:val="0"/>
        <w:spacing w:before="120"/>
        <w:ind w:left="1800" w:hanging="360"/>
        <w:rPr>
          <w:rFonts w:eastAsia="Arial"/>
          <w:u w:val="single"/>
        </w:rPr>
      </w:pPr>
      <w:r w:rsidRPr="001B7F77">
        <w:rPr>
          <w:rFonts w:eastAsia="Arial"/>
          <w:u w:val="single"/>
        </w:rPr>
        <w:t>4.</w:t>
      </w:r>
      <w:r w:rsidRPr="001B7F77">
        <w:rPr>
          <w:rFonts w:eastAsia="Arial"/>
          <w:u w:val="single"/>
        </w:rPr>
        <w:tab/>
        <w:t xml:space="preserve">Means of egress serving technical production areas in connection with an assembly space shall comply with Chapter 4 of the </w:t>
      </w:r>
      <w:r w:rsidRPr="001B7F77">
        <w:rPr>
          <w:rFonts w:eastAsia="Arial"/>
          <w:i/>
          <w:iCs/>
          <w:u w:val="single"/>
        </w:rPr>
        <w:t>New York City Building Code</w:t>
      </w:r>
      <w:r w:rsidRPr="001B7F77">
        <w:rPr>
          <w:rFonts w:eastAsia="Arial"/>
          <w:u w:val="single"/>
        </w:rPr>
        <w:t>.</w:t>
      </w:r>
    </w:p>
    <w:p w14:paraId="28E2C865" w14:textId="77777777" w:rsidR="001B7F77" w:rsidRPr="001B7F77" w:rsidRDefault="001B7F77" w:rsidP="001B7F77">
      <w:pPr>
        <w:widowControl w:val="0"/>
        <w:tabs>
          <w:tab w:val="left" w:pos="720"/>
          <w:tab w:val="left" w:pos="2160"/>
          <w:tab w:val="left" w:pos="2250"/>
        </w:tabs>
        <w:suppressAutoHyphens/>
        <w:spacing w:before="120"/>
        <w:ind w:left="720"/>
        <w:rPr>
          <w:u w:val="single"/>
        </w:rPr>
      </w:pPr>
      <w:r w:rsidRPr="001B7F77">
        <w:rPr>
          <w:b/>
          <w:u w:val="single"/>
        </w:rPr>
        <w:t>305.5.11.2 Riser height and tread depth</w:t>
      </w:r>
      <w:r w:rsidRPr="001B7F77">
        <w:rPr>
          <w:u w:val="single"/>
        </w:rPr>
        <w:t>. Riser heig</w:t>
      </w:r>
      <w:r w:rsidRPr="001B7F77">
        <w:rPr>
          <w:bCs/>
          <w:u w:val="single"/>
        </w:rPr>
        <w:t>h</w:t>
      </w:r>
      <w:r w:rsidRPr="001B7F77">
        <w:rPr>
          <w:u w:val="single"/>
        </w:rPr>
        <w:t xml:space="preserve">t and tread depth for new stairs and vertical extension of existing stairs shall comply with Chapter 10 of the </w:t>
      </w:r>
      <w:r w:rsidRPr="001B7F77">
        <w:rPr>
          <w:i/>
          <w:iCs/>
          <w:u w:val="single"/>
        </w:rPr>
        <w:t>New York City Building Code</w:t>
      </w:r>
      <w:r w:rsidRPr="001B7F77">
        <w:rPr>
          <w:u w:val="single"/>
        </w:rPr>
        <w:t>. Alteration or replacement within the same shaft made to existing stairs where the existing space and construction does not allow a reduction in pitch or slope shall be permitted to maintain the existing riser height and tread depth and shall comply with Table 305.5.11.2. Riser height and tread depth shall be constant from story to story.</w:t>
      </w:r>
    </w:p>
    <w:p w14:paraId="1F2E9938" w14:textId="77777777" w:rsidR="001B7F77" w:rsidRPr="001B7F77" w:rsidRDefault="001B7F77" w:rsidP="001B7F77">
      <w:pPr>
        <w:widowControl w:val="0"/>
        <w:tabs>
          <w:tab w:val="center" w:pos="4680"/>
        </w:tabs>
        <w:suppressAutoHyphens/>
        <w:spacing w:before="120"/>
        <w:jc w:val="center"/>
        <w:outlineLvl w:val="0"/>
        <w:rPr>
          <w:b/>
          <w:bCs/>
          <w:u w:val="single"/>
          <w:vertAlign w:val="superscript"/>
        </w:rPr>
      </w:pPr>
      <w:r w:rsidRPr="001B7F77">
        <w:rPr>
          <w:b/>
          <w:bCs/>
          <w:u w:val="single"/>
        </w:rPr>
        <w:t>TABLE 305.5.11.2</w:t>
      </w:r>
      <w:r w:rsidRPr="001B7F77">
        <w:rPr>
          <w:b/>
          <w:bCs/>
          <w:u w:val="single"/>
        </w:rPr>
        <w:br/>
        <w:t>MAXIMUM RISER HEIGHT AND MINIMUM TREAD DEPTH</w:t>
      </w:r>
      <w:r w:rsidRPr="001B7F77">
        <w:rPr>
          <w:b/>
          <w:bCs/>
          <w:u w:val="single"/>
        </w:rPr>
        <w:br/>
        <w:t>IN PRIOR CODE BUILDINGS</w:t>
      </w:r>
      <w:r w:rsidRPr="001B7F77">
        <w:rPr>
          <w:b/>
          <w:bCs/>
          <w:u w:val="single"/>
          <w:vertAlign w:val="superscript"/>
        </w:rPr>
        <w:t>a</w:t>
      </w:r>
    </w:p>
    <w:tbl>
      <w:tblPr>
        <w:tblW w:w="452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235"/>
        <w:gridCol w:w="2054"/>
        <w:gridCol w:w="2176"/>
      </w:tblGrid>
      <w:tr w:rsidR="001B7F77" w:rsidRPr="001B7F77" w14:paraId="05BC5104" w14:textId="77777777" w:rsidTr="006655A1">
        <w:trPr>
          <w:cantSplit/>
          <w:trHeight w:val="467"/>
          <w:tblHeader/>
          <w:jc w:val="center"/>
        </w:trPr>
        <w:tc>
          <w:tcPr>
            <w:tcW w:w="2502" w:type="pct"/>
            <w:tcBorders>
              <w:top w:val="single" w:sz="4" w:space="0" w:color="auto"/>
            </w:tcBorders>
          </w:tcPr>
          <w:p w14:paraId="59B8BA9B" w14:textId="77777777" w:rsidR="001B7F77" w:rsidRPr="001B7F77" w:rsidRDefault="001B7F77" w:rsidP="001B7F77">
            <w:pPr>
              <w:widowControl w:val="0"/>
              <w:suppressAutoHyphens/>
              <w:spacing w:before="120"/>
              <w:jc w:val="center"/>
              <w:rPr>
                <w:b/>
                <w:bCs/>
              </w:rPr>
            </w:pPr>
            <w:r w:rsidRPr="001B7F77">
              <w:rPr>
                <w:rFonts w:eastAsia="Times"/>
                <w:b/>
                <w:bCs/>
                <w:u w:val="single"/>
              </w:rPr>
              <w:t>OCCUPANCY CLASSIFICATION OF</w:t>
            </w:r>
            <w:r w:rsidRPr="001B7F77">
              <w:rPr>
                <w:b/>
                <w:bCs/>
                <w:u w:val="single"/>
              </w:rPr>
              <w:t xml:space="preserve"> </w:t>
            </w:r>
            <w:r w:rsidRPr="001B7F77">
              <w:rPr>
                <w:rFonts w:eastAsia="Times"/>
                <w:b/>
                <w:bCs/>
                <w:u w:val="single"/>
              </w:rPr>
              <w:t>BUILDING</w:t>
            </w:r>
          </w:p>
        </w:tc>
        <w:tc>
          <w:tcPr>
            <w:tcW w:w="1213" w:type="pct"/>
            <w:tcBorders>
              <w:top w:val="single" w:sz="4" w:space="0" w:color="auto"/>
            </w:tcBorders>
          </w:tcPr>
          <w:p w14:paraId="1EDBAE2B" w14:textId="77777777" w:rsidR="001B7F77" w:rsidRPr="001B7F77" w:rsidRDefault="001B7F77" w:rsidP="001B7F77">
            <w:pPr>
              <w:widowControl w:val="0"/>
              <w:suppressAutoHyphens/>
              <w:spacing w:before="120"/>
              <w:jc w:val="center"/>
              <w:rPr>
                <w:b/>
                <w:bCs/>
              </w:rPr>
            </w:pPr>
            <w:r w:rsidRPr="001B7F77">
              <w:rPr>
                <w:rFonts w:eastAsia="Times"/>
                <w:b/>
                <w:bCs/>
                <w:u w:val="single"/>
              </w:rPr>
              <w:t>MAXIMUM RISER</w:t>
            </w:r>
            <w:r w:rsidRPr="001B7F77">
              <w:rPr>
                <w:b/>
                <w:bCs/>
                <w:u w:val="single"/>
              </w:rPr>
              <w:t xml:space="preserve"> </w:t>
            </w:r>
            <w:r w:rsidRPr="001B7F77">
              <w:rPr>
                <w:rFonts w:eastAsia="Times"/>
                <w:b/>
                <w:bCs/>
                <w:u w:val="single"/>
              </w:rPr>
              <w:t>HEIGHT</w:t>
            </w:r>
          </w:p>
        </w:tc>
        <w:tc>
          <w:tcPr>
            <w:tcW w:w="1285" w:type="pct"/>
            <w:tcBorders>
              <w:top w:val="single" w:sz="4" w:space="0" w:color="auto"/>
            </w:tcBorders>
          </w:tcPr>
          <w:p w14:paraId="6CB563A3" w14:textId="77777777" w:rsidR="001B7F77" w:rsidRPr="001B7F77" w:rsidRDefault="001B7F77" w:rsidP="001B7F77">
            <w:pPr>
              <w:widowControl w:val="0"/>
              <w:suppressAutoHyphens/>
              <w:spacing w:before="120"/>
              <w:jc w:val="center"/>
              <w:rPr>
                <w:b/>
                <w:bCs/>
              </w:rPr>
            </w:pPr>
            <w:r w:rsidRPr="001B7F77">
              <w:rPr>
                <w:rFonts w:eastAsia="Times"/>
                <w:b/>
                <w:bCs/>
                <w:u w:val="single"/>
              </w:rPr>
              <w:t>MINIMUM</w:t>
            </w:r>
            <w:r w:rsidRPr="001B7F77">
              <w:rPr>
                <w:b/>
                <w:bCs/>
                <w:u w:val="single"/>
              </w:rPr>
              <w:t xml:space="preserve"> </w:t>
            </w:r>
            <w:r w:rsidRPr="001B7F77">
              <w:rPr>
                <w:rFonts w:eastAsia="Times"/>
                <w:b/>
                <w:bCs/>
                <w:u w:val="single"/>
              </w:rPr>
              <w:t>TREAD DEPTH</w:t>
            </w:r>
            <w:r w:rsidRPr="001B7F77">
              <w:rPr>
                <w:b/>
                <w:bCs/>
                <w:u w:val="single"/>
                <w:vertAlign w:val="superscript"/>
              </w:rPr>
              <w:t>b</w:t>
            </w:r>
          </w:p>
        </w:tc>
      </w:tr>
      <w:tr w:rsidR="001B7F77" w:rsidRPr="001B7F77" w14:paraId="31AF727C" w14:textId="77777777" w:rsidTr="006655A1">
        <w:trPr>
          <w:trHeight w:val="368"/>
          <w:jc w:val="center"/>
        </w:trPr>
        <w:tc>
          <w:tcPr>
            <w:tcW w:w="2502" w:type="pct"/>
          </w:tcPr>
          <w:p w14:paraId="247CB00A" w14:textId="77777777" w:rsidR="001B7F77" w:rsidRPr="001B7F77" w:rsidRDefault="001B7F77" w:rsidP="001B7F77">
            <w:pPr>
              <w:widowControl w:val="0"/>
              <w:suppressAutoHyphens/>
              <w:spacing w:before="120"/>
              <w:jc w:val="center"/>
            </w:pPr>
            <w:r w:rsidRPr="001B7F77">
              <w:rPr>
                <w:u w:val="single"/>
              </w:rPr>
              <w:t>Group R-3 with closed risers</w:t>
            </w:r>
          </w:p>
        </w:tc>
        <w:tc>
          <w:tcPr>
            <w:tcW w:w="1213" w:type="pct"/>
          </w:tcPr>
          <w:p w14:paraId="5E7A4234" w14:textId="77777777" w:rsidR="001B7F77" w:rsidRPr="001B7F77" w:rsidRDefault="001B7F77" w:rsidP="001B7F77">
            <w:pPr>
              <w:widowControl w:val="0"/>
              <w:suppressAutoHyphens/>
              <w:spacing w:before="120"/>
              <w:jc w:val="center"/>
            </w:pPr>
            <w:r w:rsidRPr="001B7F77">
              <w:rPr>
                <w:u w:val="single"/>
              </w:rPr>
              <w:t>8-1/4”</w:t>
            </w:r>
          </w:p>
        </w:tc>
        <w:tc>
          <w:tcPr>
            <w:tcW w:w="1285" w:type="pct"/>
          </w:tcPr>
          <w:p w14:paraId="134AA52D" w14:textId="77777777" w:rsidR="001B7F77" w:rsidRPr="001B7F77" w:rsidRDefault="001B7F77" w:rsidP="001B7F77">
            <w:pPr>
              <w:widowControl w:val="0"/>
              <w:suppressAutoHyphens/>
              <w:spacing w:before="120"/>
              <w:jc w:val="left"/>
            </w:pPr>
            <w:r w:rsidRPr="001B7F77">
              <w:rPr>
                <w:u w:val="single"/>
              </w:rPr>
              <w:t>9” plus 1-1/4” nosing</w:t>
            </w:r>
          </w:p>
        </w:tc>
      </w:tr>
      <w:tr w:rsidR="001B7F77" w:rsidRPr="001B7F77" w14:paraId="3676B615" w14:textId="77777777" w:rsidTr="006655A1">
        <w:trPr>
          <w:trHeight w:val="467"/>
          <w:jc w:val="center"/>
        </w:trPr>
        <w:tc>
          <w:tcPr>
            <w:tcW w:w="2502" w:type="pct"/>
          </w:tcPr>
          <w:p w14:paraId="32C7CF4C" w14:textId="77777777" w:rsidR="001B7F77" w:rsidRPr="001B7F77" w:rsidRDefault="001B7F77" w:rsidP="001B7F77">
            <w:pPr>
              <w:widowControl w:val="0"/>
              <w:suppressAutoHyphens/>
              <w:spacing w:before="120"/>
              <w:jc w:val="center"/>
            </w:pPr>
            <w:r w:rsidRPr="001B7F77">
              <w:rPr>
                <w:u w:val="single"/>
              </w:rPr>
              <w:t>Group R-3 with open risers</w:t>
            </w:r>
          </w:p>
        </w:tc>
        <w:tc>
          <w:tcPr>
            <w:tcW w:w="1213" w:type="pct"/>
          </w:tcPr>
          <w:p w14:paraId="36685EB1" w14:textId="77777777" w:rsidR="001B7F77" w:rsidRPr="001B7F77" w:rsidRDefault="001B7F77" w:rsidP="001B7F77">
            <w:pPr>
              <w:widowControl w:val="0"/>
              <w:suppressAutoHyphens/>
              <w:spacing w:before="120"/>
              <w:jc w:val="center"/>
            </w:pPr>
            <w:r w:rsidRPr="001B7F77">
              <w:rPr>
                <w:u w:val="single"/>
              </w:rPr>
              <w:t>8-1/4”</w:t>
            </w:r>
          </w:p>
        </w:tc>
        <w:tc>
          <w:tcPr>
            <w:tcW w:w="1285" w:type="pct"/>
          </w:tcPr>
          <w:p w14:paraId="5D057C19" w14:textId="77777777" w:rsidR="001B7F77" w:rsidRPr="001B7F77" w:rsidRDefault="001B7F77" w:rsidP="001B7F77">
            <w:pPr>
              <w:widowControl w:val="0"/>
              <w:suppressAutoHyphens/>
              <w:spacing w:before="120"/>
              <w:jc w:val="left"/>
            </w:pPr>
            <w:r w:rsidRPr="001B7F77">
              <w:rPr>
                <w:u w:val="single"/>
              </w:rPr>
              <w:t>9” plus 1/2” nosing</w:t>
            </w:r>
          </w:p>
        </w:tc>
      </w:tr>
      <w:tr w:rsidR="001B7F77" w:rsidRPr="001B7F77" w14:paraId="74ECA5DF" w14:textId="77777777" w:rsidTr="006655A1">
        <w:trPr>
          <w:trHeight w:val="395"/>
          <w:jc w:val="center"/>
        </w:trPr>
        <w:tc>
          <w:tcPr>
            <w:tcW w:w="2502" w:type="pct"/>
          </w:tcPr>
          <w:p w14:paraId="033405CB" w14:textId="77777777" w:rsidR="001B7F77" w:rsidRPr="001B7F77" w:rsidRDefault="001B7F77" w:rsidP="001B7F77">
            <w:pPr>
              <w:widowControl w:val="0"/>
              <w:suppressAutoHyphens/>
              <w:spacing w:before="120"/>
              <w:jc w:val="center"/>
            </w:pPr>
            <w:r w:rsidRPr="001B7F77">
              <w:rPr>
                <w:u w:val="single"/>
              </w:rPr>
              <w:t>Group R-2 limited to three dwelling units</w:t>
            </w:r>
          </w:p>
        </w:tc>
        <w:tc>
          <w:tcPr>
            <w:tcW w:w="1213" w:type="pct"/>
          </w:tcPr>
          <w:p w14:paraId="7DCEFF21" w14:textId="77777777" w:rsidR="001B7F77" w:rsidRPr="001B7F77" w:rsidRDefault="001B7F77" w:rsidP="001B7F77">
            <w:pPr>
              <w:widowControl w:val="0"/>
              <w:suppressAutoHyphens/>
              <w:spacing w:before="120"/>
              <w:jc w:val="center"/>
            </w:pPr>
            <w:r w:rsidRPr="001B7F77">
              <w:rPr>
                <w:u w:val="single"/>
              </w:rPr>
              <w:t>8-1/4”</w:t>
            </w:r>
          </w:p>
        </w:tc>
        <w:tc>
          <w:tcPr>
            <w:tcW w:w="1285" w:type="pct"/>
          </w:tcPr>
          <w:p w14:paraId="091E92A6" w14:textId="77777777" w:rsidR="001B7F77" w:rsidRPr="001B7F77" w:rsidRDefault="001B7F77" w:rsidP="001B7F77">
            <w:pPr>
              <w:widowControl w:val="0"/>
              <w:suppressAutoHyphens/>
              <w:spacing w:before="120"/>
              <w:jc w:val="left"/>
            </w:pPr>
            <w:r w:rsidRPr="001B7F77">
              <w:rPr>
                <w:u w:val="single"/>
              </w:rPr>
              <w:t>9” plus 1-1/4” nosing</w:t>
            </w:r>
          </w:p>
        </w:tc>
      </w:tr>
      <w:tr w:rsidR="001B7F77" w:rsidRPr="001B7F77" w14:paraId="4E6446C3" w14:textId="77777777" w:rsidTr="006655A1">
        <w:trPr>
          <w:trHeight w:val="363"/>
          <w:jc w:val="center"/>
        </w:trPr>
        <w:tc>
          <w:tcPr>
            <w:tcW w:w="2502" w:type="pct"/>
          </w:tcPr>
          <w:p w14:paraId="35A4455D" w14:textId="77777777" w:rsidR="001B7F77" w:rsidRPr="001B7F77" w:rsidRDefault="001B7F77" w:rsidP="001B7F77">
            <w:pPr>
              <w:widowControl w:val="0"/>
              <w:suppressAutoHyphens/>
              <w:spacing w:before="120"/>
              <w:jc w:val="center"/>
              <w:rPr>
                <w:vertAlign w:val="superscript"/>
              </w:rPr>
            </w:pPr>
            <w:r w:rsidRPr="001B7F77">
              <w:rPr>
                <w:u w:val="single"/>
              </w:rPr>
              <w:t>Group A</w:t>
            </w:r>
            <w:r w:rsidRPr="001B7F77">
              <w:rPr>
                <w:u w:val="single"/>
                <w:vertAlign w:val="superscript"/>
              </w:rPr>
              <w:t>c</w:t>
            </w:r>
          </w:p>
        </w:tc>
        <w:tc>
          <w:tcPr>
            <w:tcW w:w="1213" w:type="pct"/>
          </w:tcPr>
          <w:p w14:paraId="7A05C33E" w14:textId="77777777" w:rsidR="001B7F77" w:rsidRPr="001B7F77" w:rsidRDefault="001B7F77" w:rsidP="001B7F77">
            <w:pPr>
              <w:widowControl w:val="0"/>
              <w:suppressAutoHyphens/>
              <w:spacing w:before="120"/>
              <w:jc w:val="center"/>
            </w:pPr>
            <w:r w:rsidRPr="001B7F77">
              <w:rPr>
                <w:u w:val="single"/>
              </w:rPr>
              <w:t>7-1/2”</w:t>
            </w:r>
          </w:p>
        </w:tc>
        <w:tc>
          <w:tcPr>
            <w:tcW w:w="1285" w:type="pct"/>
          </w:tcPr>
          <w:p w14:paraId="4A202625" w14:textId="77777777" w:rsidR="001B7F77" w:rsidRPr="001B7F77" w:rsidRDefault="001B7F77" w:rsidP="001B7F77">
            <w:pPr>
              <w:widowControl w:val="0"/>
              <w:suppressAutoHyphens/>
              <w:spacing w:before="120"/>
              <w:jc w:val="left"/>
            </w:pPr>
            <w:r w:rsidRPr="001B7F77">
              <w:rPr>
                <w:u w:val="single"/>
              </w:rPr>
              <w:t>9-1/2” plus nosing</w:t>
            </w:r>
          </w:p>
        </w:tc>
      </w:tr>
      <w:tr w:rsidR="001B7F77" w:rsidRPr="001B7F77" w14:paraId="7921C049" w14:textId="77777777" w:rsidTr="006655A1">
        <w:trPr>
          <w:trHeight w:val="270"/>
          <w:jc w:val="center"/>
        </w:trPr>
        <w:tc>
          <w:tcPr>
            <w:tcW w:w="2502" w:type="pct"/>
          </w:tcPr>
          <w:p w14:paraId="77FB8133" w14:textId="77777777" w:rsidR="001B7F77" w:rsidRPr="001B7F77" w:rsidRDefault="001B7F77" w:rsidP="001B7F77">
            <w:pPr>
              <w:widowControl w:val="0"/>
              <w:suppressAutoHyphens/>
              <w:spacing w:before="120"/>
              <w:jc w:val="center"/>
            </w:pPr>
            <w:r w:rsidRPr="001B7F77">
              <w:rPr>
                <w:u w:val="single"/>
              </w:rPr>
              <w:t>Group I-2</w:t>
            </w:r>
          </w:p>
        </w:tc>
        <w:tc>
          <w:tcPr>
            <w:tcW w:w="1213" w:type="pct"/>
          </w:tcPr>
          <w:p w14:paraId="069883FB" w14:textId="77777777" w:rsidR="001B7F77" w:rsidRPr="001B7F77" w:rsidRDefault="001B7F77" w:rsidP="001B7F77">
            <w:pPr>
              <w:widowControl w:val="0"/>
              <w:suppressAutoHyphens/>
              <w:spacing w:before="120"/>
              <w:jc w:val="center"/>
            </w:pPr>
            <w:r w:rsidRPr="001B7F77">
              <w:rPr>
                <w:u w:val="single"/>
              </w:rPr>
              <w:t>7”</w:t>
            </w:r>
          </w:p>
        </w:tc>
        <w:tc>
          <w:tcPr>
            <w:tcW w:w="1285" w:type="pct"/>
          </w:tcPr>
          <w:p w14:paraId="240BF0CD" w14:textId="77777777" w:rsidR="001B7F77" w:rsidRPr="001B7F77" w:rsidRDefault="001B7F77" w:rsidP="001B7F77">
            <w:pPr>
              <w:widowControl w:val="0"/>
              <w:suppressAutoHyphens/>
              <w:spacing w:before="120"/>
              <w:jc w:val="left"/>
            </w:pPr>
            <w:r w:rsidRPr="001B7F77">
              <w:rPr>
                <w:u w:val="single"/>
              </w:rPr>
              <w:t>10” plus nosing</w:t>
            </w:r>
          </w:p>
        </w:tc>
      </w:tr>
      <w:tr w:rsidR="001B7F77" w:rsidRPr="001B7F77" w14:paraId="4761D4F0" w14:textId="77777777" w:rsidTr="006655A1">
        <w:trPr>
          <w:trHeight w:val="363"/>
          <w:jc w:val="center"/>
        </w:trPr>
        <w:tc>
          <w:tcPr>
            <w:tcW w:w="2502" w:type="pct"/>
          </w:tcPr>
          <w:p w14:paraId="1EDAAC3A" w14:textId="77777777" w:rsidR="001B7F77" w:rsidRPr="001B7F77" w:rsidRDefault="001B7F77" w:rsidP="001B7F77">
            <w:pPr>
              <w:widowControl w:val="0"/>
              <w:suppressAutoHyphens/>
              <w:spacing w:before="120"/>
              <w:jc w:val="center"/>
            </w:pPr>
            <w:r w:rsidRPr="001B7F77">
              <w:rPr>
                <w:u w:val="single"/>
              </w:rPr>
              <w:t>All other occupancies</w:t>
            </w:r>
            <w:r w:rsidRPr="001B7F77">
              <w:rPr>
                <w:u w:val="single"/>
                <w:vertAlign w:val="superscript"/>
              </w:rPr>
              <w:t xml:space="preserve"> d</w:t>
            </w:r>
          </w:p>
        </w:tc>
        <w:tc>
          <w:tcPr>
            <w:tcW w:w="1213" w:type="pct"/>
          </w:tcPr>
          <w:p w14:paraId="460E02B7" w14:textId="77777777" w:rsidR="001B7F77" w:rsidRPr="001B7F77" w:rsidRDefault="001B7F77" w:rsidP="001B7F77">
            <w:pPr>
              <w:widowControl w:val="0"/>
              <w:suppressAutoHyphens/>
              <w:spacing w:before="120"/>
              <w:jc w:val="center"/>
            </w:pPr>
            <w:r w:rsidRPr="001B7F77">
              <w:rPr>
                <w:u w:val="single"/>
              </w:rPr>
              <w:t>7-3/4”</w:t>
            </w:r>
          </w:p>
        </w:tc>
        <w:tc>
          <w:tcPr>
            <w:tcW w:w="1285" w:type="pct"/>
          </w:tcPr>
          <w:p w14:paraId="228AF190" w14:textId="77777777" w:rsidR="001B7F77" w:rsidRPr="001B7F77" w:rsidRDefault="001B7F77" w:rsidP="001B7F77">
            <w:pPr>
              <w:widowControl w:val="0"/>
              <w:suppressAutoHyphens/>
              <w:spacing w:before="120"/>
              <w:jc w:val="left"/>
            </w:pPr>
            <w:r w:rsidRPr="001B7F77">
              <w:rPr>
                <w:u w:val="single"/>
              </w:rPr>
              <w:t>9-1/2” plus nosing</w:t>
            </w:r>
          </w:p>
        </w:tc>
      </w:tr>
    </w:tbl>
    <w:p w14:paraId="0F32DACD" w14:textId="77777777" w:rsidR="001B7F77" w:rsidRPr="001B7F77" w:rsidRDefault="001B7F77" w:rsidP="001B7F77">
      <w:pPr>
        <w:widowControl w:val="0"/>
        <w:pBdr>
          <w:top w:val="nil"/>
          <w:left w:val="nil"/>
          <w:bottom w:val="nil"/>
          <w:right w:val="nil"/>
          <w:between w:val="nil"/>
        </w:pBdr>
        <w:tabs>
          <w:tab w:val="left" w:pos="1080"/>
        </w:tabs>
        <w:suppressAutoHyphens/>
        <w:autoSpaceDE w:val="0"/>
        <w:autoSpaceDN w:val="0"/>
        <w:adjustRightInd w:val="0"/>
        <w:ind w:left="720" w:right="1440" w:hanging="180"/>
        <w:rPr>
          <w:rFonts w:eastAsia="Arial"/>
          <w:sz w:val="18"/>
          <w:szCs w:val="14"/>
          <w:u w:val="single"/>
        </w:rPr>
      </w:pPr>
      <w:r w:rsidRPr="001B7F77">
        <w:rPr>
          <w:rFonts w:eastAsia="Arial"/>
          <w:sz w:val="18"/>
          <w:szCs w:val="14"/>
          <w:u w:val="single"/>
        </w:rPr>
        <w:t>For SI: 1 inch = 25.4 mm</w:t>
      </w:r>
    </w:p>
    <w:p w14:paraId="2D009542" w14:textId="77777777" w:rsidR="001B7F77" w:rsidRPr="001B7F77" w:rsidRDefault="001B7F77" w:rsidP="001B7F77">
      <w:pPr>
        <w:widowControl w:val="0"/>
        <w:pBdr>
          <w:top w:val="nil"/>
          <w:left w:val="nil"/>
          <w:bottom w:val="nil"/>
          <w:right w:val="nil"/>
          <w:between w:val="nil"/>
        </w:pBdr>
        <w:tabs>
          <w:tab w:val="left" w:pos="1080"/>
        </w:tabs>
        <w:suppressAutoHyphens/>
        <w:autoSpaceDE w:val="0"/>
        <w:autoSpaceDN w:val="0"/>
        <w:adjustRightInd w:val="0"/>
        <w:ind w:left="900" w:right="1440" w:hanging="180"/>
        <w:rPr>
          <w:rFonts w:eastAsia="Arial"/>
          <w:sz w:val="18"/>
          <w:szCs w:val="14"/>
          <w:u w:val="single"/>
        </w:rPr>
      </w:pPr>
      <w:r w:rsidRPr="001B7F77">
        <w:rPr>
          <w:rFonts w:eastAsia="Arial"/>
          <w:sz w:val="18"/>
          <w:szCs w:val="14"/>
          <w:u w:val="single"/>
        </w:rPr>
        <w:t>a.</w:t>
      </w:r>
      <w:r w:rsidRPr="001B7F77">
        <w:rPr>
          <w:rFonts w:eastAsia="Arial"/>
          <w:sz w:val="18"/>
          <w:szCs w:val="14"/>
          <w:u w:val="single"/>
        </w:rPr>
        <w:tab/>
        <w:t>The sum of 2 risers plus 1 tread exclusive of nosing shall be not less than 24 inches (610 mm) nor more than 25-1/2 inches (648 mm).</w:t>
      </w:r>
    </w:p>
    <w:p w14:paraId="0A6AD3F4" w14:textId="77777777" w:rsidR="001B7F77" w:rsidRPr="001B7F77" w:rsidRDefault="001B7F77" w:rsidP="001B7F77">
      <w:pPr>
        <w:widowControl w:val="0"/>
        <w:pBdr>
          <w:top w:val="nil"/>
          <w:left w:val="nil"/>
          <w:bottom w:val="nil"/>
          <w:right w:val="nil"/>
          <w:between w:val="nil"/>
        </w:pBdr>
        <w:tabs>
          <w:tab w:val="left" w:pos="1080"/>
        </w:tabs>
        <w:suppressAutoHyphens/>
        <w:autoSpaceDE w:val="0"/>
        <w:autoSpaceDN w:val="0"/>
        <w:adjustRightInd w:val="0"/>
        <w:ind w:left="900" w:right="1440" w:hanging="180"/>
        <w:rPr>
          <w:rFonts w:eastAsia="Arial"/>
          <w:sz w:val="18"/>
          <w:szCs w:val="14"/>
          <w:u w:val="single"/>
        </w:rPr>
      </w:pPr>
      <w:r w:rsidRPr="001B7F77">
        <w:rPr>
          <w:rFonts w:eastAsia="Arial"/>
          <w:sz w:val="18"/>
          <w:szCs w:val="14"/>
          <w:u w:val="single"/>
        </w:rPr>
        <w:t>b.</w:t>
      </w:r>
      <w:r w:rsidRPr="001B7F77">
        <w:rPr>
          <w:rFonts w:eastAsia="Arial"/>
          <w:sz w:val="18"/>
          <w:szCs w:val="14"/>
          <w:u w:val="single"/>
        </w:rPr>
        <w:tab/>
        <w:t>Treads may be undercut a dimension equal to the nosing. A nosing shall not be required when the tread depth is 11” (279 mm) or deeper.</w:t>
      </w:r>
    </w:p>
    <w:p w14:paraId="3F51FC5A" w14:textId="77777777" w:rsidR="001B7F77" w:rsidRPr="001B7F77" w:rsidRDefault="001B7F77" w:rsidP="001B7F77">
      <w:pPr>
        <w:widowControl w:val="0"/>
        <w:pBdr>
          <w:top w:val="nil"/>
          <w:left w:val="nil"/>
          <w:bottom w:val="nil"/>
          <w:right w:val="nil"/>
          <w:between w:val="nil"/>
        </w:pBdr>
        <w:tabs>
          <w:tab w:val="left" w:pos="1080"/>
        </w:tabs>
        <w:suppressAutoHyphens/>
        <w:autoSpaceDE w:val="0"/>
        <w:autoSpaceDN w:val="0"/>
        <w:adjustRightInd w:val="0"/>
        <w:ind w:left="900" w:right="1440" w:hanging="180"/>
        <w:rPr>
          <w:rFonts w:eastAsia="Arial"/>
          <w:sz w:val="18"/>
          <w:szCs w:val="14"/>
          <w:u w:val="single"/>
        </w:rPr>
      </w:pPr>
      <w:r w:rsidRPr="001B7F77">
        <w:rPr>
          <w:rFonts w:eastAsia="Arial"/>
          <w:sz w:val="18"/>
          <w:szCs w:val="14"/>
          <w:u w:val="single"/>
        </w:rPr>
        <w:t>c.</w:t>
      </w:r>
      <w:r w:rsidRPr="001B7F77">
        <w:rPr>
          <w:rFonts w:eastAsia="Arial"/>
          <w:sz w:val="18"/>
          <w:szCs w:val="14"/>
          <w:u w:val="single"/>
        </w:rPr>
        <w:tab/>
        <w:t>For Occupancy Group A, stepped aisles, stairs, and stairways within the Place of Assembly and special occupancy structures, refer to Section 305.5.18.</w:t>
      </w:r>
    </w:p>
    <w:p w14:paraId="474AD1D3" w14:textId="77777777" w:rsidR="001B7F77" w:rsidRPr="001B7F77" w:rsidRDefault="001B7F77" w:rsidP="001B7F77">
      <w:pPr>
        <w:widowControl w:val="0"/>
        <w:pBdr>
          <w:top w:val="nil"/>
          <w:left w:val="nil"/>
          <w:bottom w:val="nil"/>
          <w:right w:val="nil"/>
          <w:between w:val="nil"/>
        </w:pBdr>
        <w:tabs>
          <w:tab w:val="left" w:pos="1080"/>
        </w:tabs>
        <w:suppressAutoHyphens/>
        <w:autoSpaceDE w:val="0"/>
        <w:autoSpaceDN w:val="0"/>
        <w:adjustRightInd w:val="0"/>
        <w:ind w:left="900" w:right="1440" w:hanging="180"/>
        <w:rPr>
          <w:rFonts w:eastAsia="Arial"/>
          <w:sz w:val="18"/>
          <w:szCs w:val="14"/>
          <w:u w:val="single"/>
        </w:rPr>
      </w:pPr>
      <w:r w:rsidRPr="001B7F77">
        <w:rPr>
          <w:rFonts w:eastAsia="Arial"/>
          <w:sz w:val="18"/>
          <w:szCs w:val="14"/>
          <w:u w:val="single"/>
        </w:rPr>
        <w:t>d.</w:t>
      </w:r>
      <w:r w:rsidRPr="001B7F77">
        <w:rPr>
          <w:rFonts w:eastAsia="Arial"/>
          <w:sz w:val="18"/>
          <w:szCs w:val="14"/>
          <w:u w:val="single"/>
        </w:rPr>
        <w:tab/>
        <w:t>The proportions and dimension of risers and treads may be adjusted in Occupancy Group E to suit the age of occupants, subject to the approval of the commissioner.</w:t>
      </w:r>
    </w:p>
    <w:p w14:paraId="1C607049" w14:textId="77777777" w:rsidR="001B7F77" w:rsidRPr="001B7F77" w:rsidRDefault="001B7F77" w:rsidP="001B7F77">
      <w:pPr>
        <w:widowControl w:val="0"/>
        <w:tabs>
          <w:tab w:val="left" w:pos="360"/>
        </w:tabs>
        <w:suppressAutoHyphens/>
        <w:spacing w:before="120"/>
        <w:ind w:left="360"/>
        <w:rPr>
          <w:u w:val="single"/>
        </w:rPr>
      </w:pPr>
      <w:r w:rsidRPr="001B7F77">
        <w:rPr>
          <w:b/>
          <w:u w:val="single"/>
        </w:rPr>
        <w:t>305.5.12</w:t>
      </w:r>
      <w:r w:rsidRPr="001B7F77">
        <w:rPr>
          <w:u w:val="single"/>
        </w:rPr>
        <w:t xml:space="preserve"> </w:t>
      </w:r>
      <w:r w:rsidRPr="001B7F77">
        <w:rPr>
          <w:b/>
          <w:u w:val="single"/>
        </w:rPr>
        <w:t>Fire towers.</w:t>
      </w:r>
      <w:r w:rsidRPr="001B7F77">
        <w:rPr>
          <w:u w:val="single"/>
        </w:rPr>
        <w:t xml:space="preserve"> Balconies and vestibules of existing fire towers shall comply with the requirements of Sections 305.5.12.1 and 305.5.12.2 of this code and Section 28-307.3 of the </w:t>
      </w:r>
      <w:r w:rsidRPr="001B7F77">
        <w:rPr>
          <w:i/>
          <w:iCs/>
          <w:u w:val="single"/>
        </w:rPr>
        <w:t>Administrative Code</w:t>
      </w:r>
      <w:r w:rsidRPr="001B7F77">
        <w:rPr>
          <w:u w:val="single"/>
        </w:rPr>
        <w:t xml:space="preserve">. </w:t>
      </w:r>
    </w:p>
    <w:p w14:paraId="3AC051D3" w14:textId="77777777" w:rsidR="001B7F77" w:rsidRPr="001B7F77" w:rsidRDefault="001B7F77" w:rsidP="001B7F77">
      <w:pPr>
        <w:widowControl w:val="0"/>
        <w:suppressAutoHyphens/>
        <w:spacing w:before="120"/>
        <w:ind w:left="720"/>
        <w:rPr>
          <w:u w:val="single"/>
        </w:rPr>
      </w:pPr>
      <w:r w:rsidRPr="001B7F77">
        <w:rPr>
          <w:b/>
          <w:bCs/>
          <w:u w:val="single"/>
        </w:rPr>
        <w:t>305.5.12.1 Alterations to fire towers.</w:t>
      </w:r>
      <w:r w:rsidRPr="001B7F77">
        <w:rPr>
          <w:u w:val="single"/>
        </w:rPr>
        <w:t xml:space="preserve"> Installation of mechanical equipment, piping, and electrical conduit other than for the purpose of serving the fire tower is prohibited. Where smokeproof enclosures would be required pursuant to Sections 403 or 405 of the </w:t>
      </w:r>
      <w:r w:rsidRPr="001B7F77">
        <w:rPr>
          <w:i/>
          <w:iCs/>
          <w:u w:val="single"/>
        </w:rPr>
        <w:t>New York City Building Code</w:t>
      </w:r>
      <w:r w:rsidRPr="001B7F77">
        <w:rPr>
          <w:u w:val="single"/>
        </w:rPr>
        <w:t xml:space="preserve"> for new construction, existing fire towers shall not be altered to violate such requirements.</w:t>
      </w:r>
    </w:p>
    <w:p w14:paraId="7F0FD30E" w14:textId="77777777" w:rsidR="001B7F77" w:rsidRPr="001B7F77" w:rsidRDefault="001B7F77" w:rsidP="001B7F77">
      <w:pPr>
        <w:widowControl w:val="0"/>
        <w:tabs>
          <w:tab w:val="left" w:pos="360"/>
        </w:tabs>
        <w:suppressAutoHyphens/>
        <w:spacing w:before="120"/>
        <w:ind w:left="360"/>
        <w:rPr>
          <w:u w:val="single"/>
        </w:rPr>
      </w:pPr>
      <w:r w:rsidRPr="001B7F77">
        <w:rPr>
          <w:b/>
          <w:u w:val="single"/>
        </w:rPr>
        <w:t>305.5.13 Handrails.</w:t>
      </w:r>
      <w:r w:rsidRPr="001B7F77">
        <w:rPr>
          <w:u w:val="single"/>
        </w:rPr>
        <w:t xml:space="preserve"> Where handrails are altered or added, they shall comply with Chapter 10 of the </w:t>
      </w:r>
      <w:r w:rsidRPr="001B7F77">
        <w:rPr>
          <w:i/>
          <w:iCs/>
          <w:u w:val="single"/>
        </w:rPr>
        <w:t>New York City Building Code</w:t>
      </w:r>
      <w:r w:rsidRPr="001B7F77">
        <w:rPr>
          <w:u w:val="single"/>
        </w:rPr>
        <w:t>.</w:t>
      </w:r>
    </w:p>
    <w:p w14:paraId="1D20C443" w14:textId="77777777" w:rsidR="001B7F77" w:rsidRPr="001B7F77" w:rsidRDefault="001B7F77" w:rsidP="001B7F77">
      <w:pPr>
        <w:widowControl w:val="0"/>
        <w:suppressAutoHyphens/>
        <w:spacing w:before="120"/>
        <w:ind w:left="720"/>
        <w:rPr>
          <w:bCs/>
          <w:u w:val="single"/>
        </w:rPr>
      </w:pPr>
      <w:r w:rsidRPr="001B7F77">
        <w:rPr>
          <w:b/>
          <w:bCs/>
          <w:u w:val="single"/>
        </w:rPr>
        <w:t>Exception:</w:t>
      </w:r>
      <w:r w:rsidRPr="001B7F77">
        <w:rPr>
          <w:bCs/>
          <w:u w:val="single"/>
        </w:rPr>
        <w:t xml:space="preserve"> Handrails shall not be required to comply with Section 1014.6 of the </w:t>
      </w:r>
      <w:r w:rsidRPr="001B7F77">
        <w:rPr>
          <w:bCs/>
          <w:i/>
          <w:iCs/>
          <w:u w:val="single"/>
        </w:rPr>
        <w:t>New York City Building Code</w:t>
      </w:r>
      <w:r w:rsidRPr="001B7F77">
        <w:rPr>
          <w:bCs/>
          <w:u w:val="single"/>
        </w:rPr>
        <w:t xml:space="preserve"> regarding full extensions of the handrails where such extensions would be hazardous because of plan configuration.</w:t>
      </w:r>
    </w:p>
    <w:p w14:paraId="0D1601B4" w14:textId="77777777" w:rsidR="001B7F77" w:rsidRPr="001B7F77" w:rsidRDefault="001B7F77" w:rsidP="001B7F77">
      <w:pPr>
        <w:widowControl w:val="0"/>
        <w:tabs>
          <w:tab w:val="left" w:pos="360"/>
        </w:tabs>
        <w:suppressAutoHyphens/>
        <w:spacing w:before="120"/>
        <w:ind w:left="360"/>
        <w:rPr>
          <w:u w:val="single"/>
        </w:rPr>
      </w:pPr>
      <w:r w:rsidRPr="001B7F77">
        <w:rPr>
          <w:b/>
          <w:u w:val="single"/>
        </w:rPr>
        <w:t>305.5.14 Security grilles.</w:t>
      </w:r>
      <w:r w:rsidRPr="001B7F77">
        <w:rPr>
          <w:u w:val="single"/>
        </w:rPr>
        <w:t xml:space="preserve"> The installation and replacement of security grilles shall comply with Chapter 10 of the </w:t>
      </w:r>
      <w:r w:rsidRPr="001B7F77">
        <w:rPr>
          <w:i/>
          <w:iCs/>
          <w:u w:val="single"/>
        </w:rPr>
        <w:t>New York City Building Code</w:t>
      </w:r>
      <w:r w:rsidRPr="001B7F77">
        <w:rPr>
          <w:u w:val="single"/>
        </w:rPr>
        <w:t>.</w:t>
      </w:r>
    </w:p>
    <w:p w14:paraId="204C152F" w14:textId="77777777" w:rsidR="001B7F77" w:rsidRPr="001B7F77" w:rsidRDefault="001B7F77" w:rsidP="001B7F77">
      <w:pPr>
        <w:widowControl w:val="0"/>
        <w:tabs>
          <w:tab w:val="left" w:pos="360"/>
        </w:tabs>
        <w:suppressAutoHyphens/>
        <w:spacing w:before="120"/>
        <w:ind w:left="360"/>
        <w:rPr>
          <w:b/>
          <w:u w:val="single"/>
        </w:rPr>
      </w:pPr>
      <w:bookmarkStart w:id="87" w:name="_Hlk72329332"/>
      <w:r w:rsidRPr="001B7F77">
        <w:rPr>
          <w:b/>
          <w:u w:val="single"/>
        </w:rPr>
        <w:t>305.5.15</w:t>
      </w:r>
      <w:bookmarkEnd w:id="87"/>
      <w:r w:rsidRPr="001B7F77">
        <w:rPr>
          <w:b/>
          <w:u w:val="single"/>
        </w:rPr>
        <w:t xml:space="preserve"> Guards. </w:t>
      </w:r>
      <w:r w:rsidRPr="001B7F77">
        <w:rPr>
          <w:u w:val="single"/>
        </w:rPr>
        <w:t xml:space="preserve">Where the alteration or repair of a building involves the addition or replacement of guards, such guards shall comply with Chapters 10 and 16 of the </w:t>
      </w:r>
      <w:r w:rsidRPr="001B7F77">
        <w:rPr>
          <w:i/>
          <w:iCs/>
          <w:u w:val="single"/>
        </w:rPr>
        <w:t>New York City Building Code</w:t>
      </w:r>
      <w:r w:rsidRPr="001B7F77">
        <w:rPr>
          <w:b/>
          <w:u w:val="single"/>
        </w:rPr>
        <w:t>.</w:t>
      </w:r>
    </w:p>
    <w:p w14:paraId="21D567CB" w14:textId="77777777" w:rsidR="001B7F77" w:rsidRPr="001B7F77" w:rsidRDefault="001B7F77" w:rsidP="001B7F77">
      <w:pPr>
        <w:widowControl w:val="0"/>
        <w:tabs>
          <w:tab w:val="left" w:pos="360"/>
        </w:tabs>
        <w:suppressAutoHyphens/>
        <w:spacing w:before="120"/>
        <w:ind w:left="360"/>
        <w:rPr>
          <w:u w:val="single"/>
        </w:rPr>
      </w:pPr>
      <w:r w:rsidRPr="001B7F77">
        <w:rPr>
          <w:b/>
          <w:u w:val="single"/>
        </w:rPr>
        <w:t xml:space="preserve">305.5.16 Fire escapes. </w:t>
      </w:r>
      <w:r w:rsidRPr="001B7F77">
        <w:rPr>
          <w:u w:val="single"/>
        </w:rPr>
        <w:t xml:space="preserve">New fire escapes shall not be installed except as permitted by this section. </w:t>
      </w:r>
    </w:p>
    <w:p w14:paraId="12FBA7AC" w14:textId="77777777" w:rsidR="001B7F77" w:rsidRPr="001B7F77" w:rsidRDefault="001B7F77" w:rsidP="001B7F77">
      <w:pPr>
        <w:widowControl w:val="0"/>
        <w:suppressAutoHyphens/>
        <w:spacing w:before="120"/>
        <w:ind w:left="720"/>
        <w:rPr>
          <w:b/>
          <w:u w:val="single"/>
        </w:rPr>
      </w:pPr>
      <w:r w:rsidRPr="001B7F77">
        <w:rPr>
          <w:b/>
          <w:u w:val="single"/>
        </w:rPr>
        <w:t>Exceptions:</w:t>
      </w:r>
    </w:p>
    <w:p w14:paraId="5B5C2B8D" w14:textId="77777777" w:rsidR="001B7F77" w:rsidRPr="001B7F77" w:rsidRDefault="001B7F77" w:rsidP="001B7F77">
      <w:pPr>
        <w:widowControl w:val="0"/>
        <w:pBdr>
          <w:top w:val="nil"/>
          <w:left w:val="nil"/>
          <w:bottom w:val="nil"/>
          <w:right w:val="nil"/>
          <w:between w:val="nil"/>
        </w:pBdr>
        <w:tabs>
          <w:tab w:val="left" w:pos="1440"/>
        </w:tabs>
        <w:suppressAutoHyphens/>
        <w:autoSpaceDE w:val="0"/>
        <w:autoSpaceDN w:val="0"/>
        <w:adjustRightInd w:val="0"/>
        <w:spacing w:before="120"/>
        <w:ind w:left="1440" w:hanging="360"/>
        <w:rPr>
          <w:rFonts w:eastAsia="Arial"/>
          <w:bCs/>
          <w:u w:val="single"/>
        </w:rPr>
      </w:pPr>
      <w:r w:rsidRPr="001B7F77">
        <w:rPr>
          <w:rFonts w:eastAsia="Arial"/>
          <w:bCs/>
          <w:u w:val="single"/>
        </w:rPr>
        <w:t>1.</w:t>
      </w:r>
      <w:r w:rsidRPr="001B7F77">
        <w:rPr>
          <w:rFonts w:eastAsia="Arial"/>
          <w:bCs/>
          <w:u w:val="single"/>
        </w:rPr>
        <w:tab/>
        <w:t>Fire escapes for Occupancy Group R-2 buildings as permitted by Appendix D of this code.</w:t>
      </w:r>
    </w:p>
    <w:p w14:paraId="79FFB7A8" w14:textId="77777777" w:rsidR="001B7F77" w:rsidRPr="001B7F77" w:rsidRDefault="001B7F77" w:rsidP="001B7F77">
      <w:pPr>
        <w:widowControl w:val="0"/>
        <w:pBdr>
          <w:top w:val="nil"/>
          <w:left w:val="nil"/>
          <w:bottom w:val="nil"/>
          <w:right w:val="nil"/>
          <w:between w:val="nil"/>
        </w:pBdr>
        <w:tabs>
          <w:tab w:val="left" w:pos="1440"/>
        </w:tabs>
        <w:suppressAutoHyphens/>
        <w:autoSpaceDE w:val="0"/>
        <w:autoSpaceDN w:val="0"/>
        <w:adjustRightInd w:val="0"/>
        <w:spacing w:before="120"/>
        <w:ind w:left="1440" w:hanging="360"/>
        <w:rPr>
          <w:rFonts w:eastAsia="Arial"/>
          <w:bCs/>
          <w:u w:val="single"/>
        </w:rPr>
      </w:pPr>
      <w:r w:rsidRPr="001B7F77">
        <w:rPr>
          <w:rFonts w:eastAsia="Arial"/>
          <w:bCs/>
          <w:u w:val="single"/>
        </w:rPr>
        <w:t>2.</w:t>
      </w:r>
      <w:r w:rsidRPr="001B7F77">
        <w:rPr>
          <w:rFonts w:eastAsia="Arial"/>
          <w:bCs/>
          <w:u w:val="single"/>
        </w:rPr>
        <w:tab/>
        <w:t>Fire escapes for Occupancy Groups B, F or M buildings constructed prior to December 6, 1968 as permitted by the commissioner.</w:t>
      </w:r>
    </w:p>
    <w:p w14:paraId="62359666" w14:textId="77777777" w:rsidR="001B7F77" w:rsidRPr="001B7F77" w:rsidRDefault="001B7F77" w:rsidP="001B7F77">
      <w:pPr>
        <w:widowControl w:val="0"/>
        <w:pBdr>
          <w:top w:val="nil"/>
          <w:left w:val="nil"/>
          <w:bottom w:val="nil"/>
          <w:right w:val="nil"/>
          <w:between w:val="nil"/>
        </w:pBdr>
        <w:tabs>
          <w:tab w:val="left" w:pos="1440"/>
        </w:tabs>
        <w:suppressAutoHyphens/>
        <w:autoSpaceDE w:val="0"/>
        <w:autoSpaceDN w:val="0"/>
        <w:adjustRightInd w:val="0"/>
        <w:spacing w:before="120"/>
        <w:ind w:left="1440" w:hanging="360"/>
        <w:rPr>
          <w:rFonts w:eastAsia="Arial"/>
          <w:bCs/>
          <w:u w:val="single"/>
        </w:rPr>
      </w:pPr>
      <w:r w:rsidRPr="001B7F77">
        <w:rPr>
          <w:rFonts w:eastAsia="Arial"/>
          <w:bCs/>
          <w:u w:val="single"/>
        </w:rPr>
        <w:t>3.</w:t>
      </w:r>
      <w:r w:rsidRPr="001B7F77">
        <w:rPr>
          <w:rFonts w:eastAsia="Arial"/>
          <w:bCs/>
          <w:u w:val="single"/>
        </w:rPr>
        <w:tab/>
        <w:t>Prior code group homes constructed after December 6, 1968.</w:t>
      </w:r>
    </w:p>
    <w:p w14:paraId="3CD7B653" w14:textId="77777777" w:rsidR="001B7F77" w:rsidRPr="001B7F77" w:rsidRDefault="001B7F77" w:rsidP="001B7F77">
      <w:pPr>
        <w:keepNext/>
        <w:suppressAutoHyphens/>
        <w:spacing w:before="120"/>
        <w:ind w:left="360"/>
        <w:rPr>
          <w:u w:val="single"/>
        </w:rPr>
      </w:pPr>
      <w:r w:rsidRPr="001B7F77">
        <w:rPr>
          <w:noProof/>
          <w:u w:val="single"/>
        </w:rPr>
        <mc:AlternateContent>
          <mc:Choice Requires="wpi">
            <w:drawing>
              <wp:anchor distT="0" distB="0" distL="114300" distR="114300" simplePos="0" relativeHeight="251661312" behindDoc="0" locked="0" layoutInCell="1" allowOverlap="1" wp14:anchorId="6BB25D78" wp14:editId="34B8A6AD">
                <wp:simplePos x="0" y="0"/>
                <wp:positionH relativeFrom="column">
                  <wp:posOffset>3113264</wp:posOffset>
                </wp:positionH>
                <wp:positionV relativeFrom="paragraph">
                  <wp:posOffset>33848</wp:posOffset>
                </wp:positionV>
                <wp:extent cx="360" cy="360"/>
                <wp:effectExtent l="38100" t="38100" r="57150" b="57150"/>
                <wp:wrapNone/>
                <wp:docPr id="620191967" name="Ink 620191967"/>
                <wp:cNvGraphicFramePr/>
                <a:graphic xmlns:a="http://schemas.openxmlformats.org/drawingml/2006/main">
                  <a:graphicData uri="http://schemas.microsoft.com/office/word/2010/wordprocessingInk">
                    <w14:contentPart bwMode="auto" r:id="rId40">
                      <w14:nvContentPartPr>
                        <w14:cNvContentPartPr/>
                      </w14:nvContentPartPr>
                      <w14:xfrm>
                        <a:off x="0" y="0"/>
                        <a:ext cx="360" cy="360"/>
                      </w14:xfrm>
                    </w14:contentPart>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975D56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620191967" o:spid="_x0000_s1026" type="#_x0000_t75" style="position:absolute;margin-left:244.45pt;margin-top:1.95pt;width:1.45pt;height:1.4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">
                <v:imagedata r:id="rId45" o:title=""/>
              </v:shape>
            </w:pict>
          </mc:Fallback>
        </mc:AlternateContent>
      </w:r>
      <w:r w:rsidRPr="001B7F77">
        <w:rPr>
          <w:u w:val="single"/>
        </w:rPr>
        <w:t>Existing fire escapes shall be permitted to remain provided they are properly maintained in a safe and code compliant condition.</w:t>
      </w:r>
    </w:p>
    <w:p w14:paraId="3A7A5DE0" w14:textId="77777777" w:rsidR="001B7F77" w:rsidRPr="001B7F77" w:rsidRDefault="001B7F77" w:rsidP="001B7F77">
      <w:pPr>
        <w:widowControl w:val="0"/>
        <w:tabs>
          <w:tab w:val="left" w:pos="720"/>
        </w:tabs>
        <w:suppressAutoHyphens/>
        <w:spacing w:before="120"/>
        <w:ind w:left="720"/>
        <w:rPr>
          <w:u w:val="single"/>
        </w:rPr>
      </w:pPr>
      <w:r w:rsidRPr="001B7F77">
        <w:rPr>
          <w:b/>
          <w:u w:val="single"/>
        </w:rPr>
        <w:t>305.5.16.1 Fire escape details</w:t>
      </w:r>
      <w:r w:rsidRPr="001B7F77">
        <w:rPr>
          <w:u w:val="single"/>
        </w:rPr>
        <w:t>. Repairs, alterations to, replacement of existing and construction of new fire escapes shall comply with this section, except as provided for in Appendix D for residential fire escapes in multiple dwellings. Fire escapes constructed, repaired, altered, or replaced shall comply with rules of the Department and the following requirements:</w:t>
      </w:r>
    </w:p>
    <w:p w14:paraId="03703E69" w14:textId="77777777" w:rsidR="001B7F77" w:rsidRPr="001B7F77" w:rsidRDefault="001B7F77" w:rsidP="001B7F77">
      <w:pPr>
        <w:widowControl w:val="0"/>
        <w:tabs>
          <w:tab w:val="left" w:pos="360"/>
          <w:tab w:val="left" w:pos="1440"/>
        </w:tabs>
        <w:suppressAutoHyphens/>
        <w:spacing w:before="120"/>
        <w:ind w:left="1440" w:hanging="360"/>
        <w:rPr>
          <w:u w:val="single"/>
        </w:rPr>
      </w:pPr>
      <w:r w:rsidRPr="001B7F77">
        <w:rPr>
          <w:u w:val="single"/>
        </w:rPr>
        <w:t>1.</w:t>
      </w:r>
      <w:r w:rsidRPr="001B7F77">
        <w:rPr>
          <w:b/>
          <w:bCs/>
          <w:u w:val="single"/>
        </w:rPr>
        <w:tab/>
        <w:t>Height limitations.</w:t>
      </w:r>
      <w:r w:rsidRPr="001B7F77">
        <w:rPr>
          <w:u w:val="single"/>
        </w:rPr>
        <w:t xml:space="preserve"> No fire escape shall be permitted on buildings exceeding six stories or 75 feet (23 m) in height.</w:t>
      </w:r>
    </w:p>
    <w:p w14:paraId="0416E211" w14:textId="77777777" w:rsidR="001B7F77" w:rsidRPr="001B7F77" w:rsidRDefault="001B7F77" w:rsidP="001B7F77">
      <w:pPr>
        <w:widowControl w:val="0"/>
        <w:tabs>
          <w:tab w:val="left" w:pos="360"/>
          <w:tab w:val="left" w:pos="1440"/>
        </w:tabs>
        <w:suppressAutoHyphens/>
        <w:spacing w:before="120"/>
        <w:ind w:left="1440" w:hanging="360"/>
        <w:rPr>
          <w:u w:val="single"/>
        </w:rPr>
      </w:pPr>
      <w:r w:rsidRPr="001B7F77">
        <w:rPr>
          <w:u w:val="single"/>
        </w:rPr>
        <w:t>2.</w:t>
      </w:r>
      <w:r w:rsidRPr="001B7F77">
        <w:rPr>
          <w:u w:val="single"/>
        </w:rPr>
        <w:tab/>
      </w:r>
      <w:r w:rsidRPr="001B7F77">
        <w:rPr>
          <w:b/>
          <w:bCs/>
          <w:u w:val="single"/>
        </w:rPr>
        <w:t>Capacity</w:t>
      </w:r>
      <w:r w:rsidRPr="001B7F77">
        <w:rPr>
          <w:u w:val="single"/>
        </w:rPr>
        <w:t xml:space="preserve">. The fire escape shall not serve more than 50 percent of the occupant load of the area or floor served. </w:t>
      </w:r>
    </w:p>
    <w:p w14:paraId="7CEB682F" w14:textId="77777777" w:rsidR="001B7F77" w:rsidRPr="001B7F77" w:rsidRDefault="001B7F77" w:rsidP="001B7F77">
      <w:pPr>
        <w:widowControl w:val="0"/>
        <w:pBdr>
          <w:top w:val="nil"/>
          <w:left w:val="nil"/>
          <w:bottom w:val="nil"/>
          <w:right w:val="nil"/>
          <w:between w:val="nil"/>
        </w:pBdr>
        <w:suppressAutoHyphens/>
        <w:autoSpaceDE w:val="0"/>
        <w:autoSpaceDN w:val="0"/>
        <w:adjustRightInd w:val="0"/>
        <w:spacing w:before="120"/>
        <w:ind w:left="1800"/>
        <w:rPr>
          <w:rFonts w:eastAsia="Arial"/>
          <w:bCs/>
          <w:u w:val="single"/>
        </w:rPr>
      </w:pPr>
      <w:r w:rsidRPr="001B7F77">
        <w:rPr>
          <w:rFonts w:eastAsia="Arial"/>
          <w:b/>
          <w:bCs/>
          <w:u w:val="single"/>
        </w:rPr>
        <w:t>Exception.</w:t>
      </w:r>
      <w:r w:rsidRPr="001B7F77">
        <w:rPr>
          <w:rFonts w:eastAsia="Arial"/>
          <w:bCs/>
          <w:u w:val="single"/>
        </w:rPr>
        <w:t xml:space="preserve"> Fire escapes shall not serve new or existing Group A occupancies exceeding 74 persons.</w:t>
      </w:r>
    </w:p>
    <w:p w14:paraId="6E08D440" w14:textId="77777777" w:rsidR="001B7F77" w:rsidRPr="001B7F77" w:rsidRDefault="001B7F77" w:rsidP="001B7F77">
      <w:pPr>
        <w:widowControl w:val="0"/>
        <w:tabs>
          <w:tab w:val="left" w:pos="360"/>
          <w:tab w:val="left" w:pos="1440"/>
        </w:tabs>
        <w:suppressAutoHyphens/>
        <w:spacing w:before="120"/>
        <w:ind w:left="1440" w:hanging="360"/>
        <w:rPr>
          <w:u w:val="single"/>
        </w:rPr>
      </w:pPr>
      <w:r w:rsidRPr="001B7F77">
        <w:rPr>
          <w:bCs/>
          <w:u w:val="single"/>
        </w:rPr>
        <w:t>3.</w:t>
      </w:r>
      <w:r w:rsidRPr="001B7F77">
        <w:rPr>
          <w:bCs/>
          <w:u w:val="single"/>
        </w:rPr>
        <w:tab/>
      </w:r>
      <w:r w:rsidRPr="001B7F77">
        <w:rPr>
          <w:b/>
          <w:u w:val="single"/>
        </w:rPr>
        <w:t xml:space="preserve">Stairs. </w:t>
      </w:r>
      <w:r w:rsidRPr="001B7F77">
        <w:rPr>
          <w:bCs/>
          <w:u w:val="single"/>
        </w:rPr>
        <w:t>T</w:t>
      </w:r>
      <w:r w:rsidRPr="001B7F77">
        <w:rPr>
          <w:u w:val="single"/>
        </w:rPr>
        <w:t>he minimum width of fire escape stairs shall be 22 inches (559 mm). Treads shall have a minimum depth of eight inches (203 mm), exclusive of a required one inch (25 mm) nosing. The maximum height of risers shall be eight inches (203 mm). No flight of stairs shall exceed 12 feet (4 m) in height between landings and every new stair shall be placed at an angle of 45 degrees or less.</w:t>
      </w:r>
    </w:p>
    <w:p w14:paraId="63C37AC8" w14:textId="77777777" w:rsidR="001B7F77" w:rsidRPr="001B7F77" w:rsidRDefault="001B7F77" w:rsidP="001B7F77">
      <w:pPr>
        <w:widowControl w:val="0"/>
        <w:tabs>
          <w:tab w:val="left" w:pos="360"/>
          <w:tab w:val="left" w:pos="1440"/>
        </w:tabs>
        <w:suppressAutoHyphens/>
        <w:spacing w:before="120"/>
        <w:ind w:left="1440" w:hanging="360"/>
        <w:rPr>
          <w:u w:val="single"/>
        </w:rPr>
      </w:pPr>
      <w:r w:rsidRPr="001B7F77">
        <w:rPr>
          <w:bCs/>
          <w:u w:val="single"/>
        </w:rPr>
        <w:t>4.</w:t>
      </w:r>
      <w:r w:rsidRPr="001B7F77">
        <w:rPr>
          <w:bCs/>
          <w:u w:val="single"/>
        </w:rPr>
        <w:tab/>
      </w:r>
      <w:r w:rsidRPr="001B7F77">
        <w:rPr>
          <w:b/>
          <w:u w:val="single"/>
        </w:rPr>
        <w:t>Landings.</w:t>
      </w:r>
      <w:r w:rsidRPr="001B7F77">
        <w:rPr>
          <w:u w:val="single"/>
        </w:rPr>
        <w:t xml:space="preserve"> Landings shall be provided at each story served by fire escapes. The minimum width of landings shall be three feet (914 mm), and the minimum length shall be four feet six inches (1372 mm). Floor openings in landings shall be at least 22 inches (559 mm) by 28 inches (711 mm).</w:t>
      </w:r>
    </w:p>
    <w:p w14:paraId="5D4A3B46" w14:textId="77777777" w:rsidR="001B7F77" w:rsidRPr="001B7F77" w:rsidRDefault="001B7F77" w:rsidP="001B7F77">
      <w:pPr>
        <w:widowControl w:val="0"/>
        <w:tabs>
          <w:tab w:val="left" w:pos="360"/>
          <w:tab w:val="left" w:pos="1440"/>
        </w:tabs>
        <w:suppressAutoHyphens/>
        <w:spacing w:before="120"/>
        <w:ind w:left="1440" w:hanging="360"/>
        <w:rPr>
          <w:u w:val="single"/>
        </w:rPr>
      </w:pPr>
      <w:r w:rsidRPr="001B7F77">
        <w:rPr>
          <w:u w:val="single"/>
        </w:rPr>
        <w:t>5.</w:t>
      </w:r>
      <w:r w:rsidRPr="001B7F77">
        <w:rPr>
          <w:u w:val="single"/>
        </w:rPr>
        <w:tab/>
      </w:r>
      <w:r w:rsidRPr="001B7F77">
        <w:rPr>
          <w:b/>
          <w:u w:val="single"/>
        </w:rPr>
        <w:t>Handrails and guards</w:t>
      </w:r>
      <w:r w:rsidRPr="001B7F77">
        <w:rPr>
          <w:u w:val="single"/>
        </w:rPr>
        <w:t>. Handrails having a minimum height of 32 inches (813 mm) above the tread nosing shall be provided on both sides of stairs, and guards having a minimum height of 36 inches (914 mm) shall be provided on all open sides of stairs and landings. Openings in guards shall be of such dimensions as to prevent the passage of a four-inch diameter ball (102 mm).</w:t>
      </w:r>
    </w:p>
    <w:p w14:paraId="03D0C67F" w14:textId="77777777" w:rsidR="001B7F77" w:rsidRPr="001B7F77" w:rsidRDefault="001B7F77" w:rsidP="001B7F77">
      <w:pPr>
        <w:widowControl w:val="0"/>
        <w:tabs>
          <w:tab w:val="left" w:pos="360"/>
          <w:tab w:val="left" w:pos="1440"/>
        </w:tabs>
        <w:suppressAutoHyphens/>
        <w:spacing w:before="120"/>
        <w:ind w:left="1440" w:hanging="360"/>
        <w:rPr>
          <w:u w:val="single"/>
        </w:rPr>
      </w:pPr>
      <w:r w:rsidRPr="001B7F77">
        <w:rPr>
          <w:u w:val="single"/>
        </w:rPr>
        <w:t>6.</w:t>
      </w:r>
      <w:r w:rsidRPr="001B7F77">
        <w:rPr>
          <w:u w:val="single"/>
        </w:rPr>
        <w:tab/>
      </w:r>
      <w:r w:rsidRPr="001B7F77">
        <w:rPr>
          <w:b/>
          <w:u w:val="single"/>
        </w:rPr>
        <w:t>Construction.</w:t>
      </w:r>
      <w:r w:rsidRPr="001B7F77">
        <w:rPr>
          <w:u w:val="single"/>
        </w:rPr>
        <w:t xml:space="preserve"> Fire escapes shall be constructed of noncombustible materials adequately protected against deterioration by corrosion or other effects of exposure to the weather and shall be designed to comply with the requirements of Chapter 16 of the </w:t>
      </w:r>
      <w:r w:rsidRPr="001B7F77">
        <w:rPr>
          <w:i/>
          <w:iCs/>
          <w:u w:val="single"/>
        </w:rPr>
        <w:t>New York City Building Code</w:t>
      </w:r>
      <w:r w:rsidRPr="001B7F77">
        <w:rPr>
          <w:u w:val="single"/>
        </w:rPr>
        <w:t>.</w:t>
      </w:r>
    </w:p>
    <w:p w14:paraId="7B5BB659" w14:textId="77777777" w:rsidR="001B7F77" w:rsidRPr="001B7F77" w:rsidRDefault="001B7F77" w:rsidP="001B7F77">
      <w:pPr>
        <w:widowControl w:val="0"/>
        <w:tabs>
          <w:tab w:val="left" w:pos="360"/>
          <w:tab w:val="left" w:pos="1440"/>
        </w:tabs>
        <w:suppressAutoHyphens/>
        <w:spacing w:before="120"/>
        <w:ind w:left="1440" w:hanging="360"/>
        <w:rPr>
          <w:u w:val="single"/>
        </w:rPr>
      </w:pPr>
      <w:r w:rsidRPr="001B7F77">
        <w:rPr>
          <w:u w:val="single"/>
        </w:rPr>
        <w:t>7.</w:t>
      </w:r>
      <w:r w:rsidRPr="001B7F77">
        <w:rPr>
          <w:u w:val="single"/>
        </w:rPr>
        <w:tab/>
      </w:r>
      <w:r w:rsidRPr="001B7F77">
        <w:rPr>
          <w:b/>
          <w:u w:val="single"/>
        </w:rPr>
        <w:t>Access</w:t>
      </w:r>
      <w:r w:rsidRPr="001B7F77">
        <w:rPr>
          <w:u w:val="single"/>
        </w:rPr>
        <w:t>. Access to fire escapes shall be by doors or windows having a minimum clear opening of 24 inches (610 mm) in width and 30 inches (762 mm) in height. Such doors or windows shall have a fire protection rating of three-quarters of an hour.</w:t>
      </w:r>
    </w:p>
    <w:p w14:paraId="086F67BA" w14:textId="77777777" w:rsidR="001B7F77" w:rsidRPr="001B7F77" w:rsidRDefault="001B7F77" w:rsidP="001B7F77">
      <w:pPr>
        <w:widowControl w:val="0"/>
        <w:tabs>
          <w:tab w:val="left" w:pos="360"/>
          <w:tab w:val="left" w:pos="1440"/>
        </w:tabs>
        <w:suppressAutoHyphens/>
        <w:spacing w:before="120"/>
        <w:ind w:left="1440" w:hanging="360"/>
        <w:rPr>
          <w:u w:val="single"/>
        </w:rPr>
      </w:pPr>
      <w:r w:rsidRPr="001B7F77">
        <w:rPr>
          <w:u w:val="single"/>
        </w:rPr>
        <w:t>8.</w:t>
      </w:r>
      <w:r w:rsidRPr="001B7F77">
        <w:rPr>
          <w:u w:val="single"/>
        </w:rPr>
        <w:tab/>
      </w:r>
      <w:r w:rsidRPr="001B7F77">
        <w:rPr>
          <w:b/>
          <w:u w:val="single"/>
        </w:rPr>
        <w:t>Discharge</w:t>
      </w:r>
      <w:r w:rsidRPr="001B7F77">
        <w:rPr>
          <w:u w:val="single"/>
        </w:rPr>
        <w:t>. The top landing of fire escapes shall be provided with a stair or gooseneck ladder leading to the roof, except that this requirement shall not apply to buildings having a roof pitch of more than twenty degrees. The lowest landing of fire escapes shall be not more than 16 feet (5 m) above grade and shall be provided with a stair to grade, which may be counterbalanced</w:t>
      </w:r>
      <w:bookmarkStart w:id="88" w:name="_heading=h.3rdcrjn" w:colFirst="0" w:colLast="0"/>
      <w:bookmarkEnd w:id="88"/>
      <w:r w:rsidRPr="001B7F77">
        <w:rPr>
          <w:u w:val="single"/>
        </w:rPr>
        <w:t>. Where the fire escape is erected on a building wall other than the street wall, discharge to the street shall be provided through a fireproof passageway leading directly to the street.</w:t>
      </w:r>
    </w:p>
    <w:p w14:paraId="34EAF38F" w14:textId="77777777" w:rsidR="001B7F77" w:rsidRPr="001B7F77" w:rsidRDefault="001B7F77" w:rsidP="001B7F77">
      <w:pPr>
        <w:widowControl w:val="0"/>
        <w:tabs>
          <w:tab w:val="left" w:pos="360"/>
          <w:tab w:val="left" w:pos="1440"/>
        </w:tabs>
        <w:suppressAutoHyphens/>
        <w:spacing w:before="120"/>
        <w:ind w:left="1440" w:hanging="360"/>
        <w:rPr>
          <w:u w:val="single"/>
        </w:rPr>
      </w:pPr>
      <w:r w:rsidRPr="001B7F77">
        <w:rPr>
          <w:u w:val="single"/>
        </w:rPr>
        <w:t>9.</w:t>
      </w:r>
      <w:r w:rsidRPr="001B7F77">
        <w:rPr>
          <w:u w:val="single"/>
        </w:rPr>
        <w:tab/>
      </w:r>
      <w:r w:rsidRPr="001B7F77">
        <w:rPr>
          <w:b/>
          <w:u w:val="single"/>
        </w:rPr>
        <w:t>Removal of fire escapes</w:t>
      </w:r>
      <w:r w:rsidRPr="001B7F77">
        <w:rPr>
          <w:u w:val="single"/>
        </w:rPr>
        <w:t xml:space="preserve">. Existing fire escapes serving as second means of egress shall not be removed unless an approved second means of egress is provided in compliance with the </w:t>
      </w:r>
      <w:r w:rsidRPr="001B7F77">
        <w:rPr>
          <w:i/>
          <w:iCs/>
          <w:u w:val="single"/>
        </w:rPr>
        <w:t>New York City Building Code</w:t>
      </w:r>
      <w:r w:rsidRPr="001B7F77">
        <w:rPr>
          <w:u w:val="single"/>
        </w:rPr>
        <w:t>, or where permitted by Appendix D of this code.</w:t>
      </w:r>
    </w:p>
    <w:p w14:paraId="348E7623" w14:textId="77777777" w:rsidR="001B7F77" w:rsidRPr="001B7F77" w:rsidRDefault="001B7F77" w:rsidP="001B7F77">
      <w:pPr>
        <w:widowControl w:val="0"/>
        <w:tabs>
          <w:tab w:val="left" w:pos="360"/>
        </w:tabs>
        <w:suppressAutoHyphens/>
        <w:spacing w:before="120"/>
        <w:ind w:left="360"/>
        <w:rPr>
          <w:u w:val="single"/>
        </w:rPr>
      </w:pPr>
      <w:r w:rsidRPr="001B7F77">
        <w:rPr>
          <w:b/>
          <w:u w:val="single"/>
        </w:rPr>
        <w:t>305.5.17 Escalators</w:t>
      </w:r>
      <w:r w:rsidRPr="001B7F77">
        <w:rPr>
          <w:u w:val="single"/>
        </w:rPr>
        <w:t xml:space="preserve">. In prior code buildings, an existing escalator previously approved for use as a means of egress component shall be permitted to continue to be used as a means of egress component in lieu of interior stairs. Alterations or relocations of such escalators shall be subject to the requirements of Sections 305.5.17.1 through 305.5.17.4. Where an altered or relocated escalator does not meet the requirements of those sections, an additional stairway or stairways complying with Chapter 10 of the </w:t>
      </w:r>
      <w:r w:rsidRPr="001B7F77">
        <w:rPr>
          <w:i/>
          <w:iCs/>
          <w:u w:val="single"/>
        </w:rPr>
        <w:t>New York City Building Code</w:t>
      </w:r>
      <w:r w:rsidRPr="001B7F77">
        <w:rPr>
          <w:u w:val="single"/>
        </w:rPr>
        <w:t xml:space="preserve"> shall be provided. New, relocated, or existing escalators not previously approved for such use, shall not be used as a means of egress component.</w:t>
      </w:r>
    </w:p>
    <w:p w14:paraId="5856F79A" w14:textId="77777777" w:rsidR="001B7F77" w:rsidRPr="001B7F77" w:rsidRDefault="001B7F77" w:rsidP="001B7F77">
      <w:pPr>
        <w:widowControl w:val="0"/>
        <w:tabs>
          <w:tab w:val="left" w:pos="720"/>
        </w:tabs>
        <w:suppressAutoHyphens/>
        <w:spacing w:before="120"/>
        <w:ind w:left="720"/>
        <w:rPr>
          <w:u w:val="single"/>
        </w:rPr>
      </w:pPr>
      <w:r w:rsidRPr="001B7F77">
        <w:rPr>
          <w:b/>
          <w:u w:val="single"/>
        </w:rPr>
        <w:t>305.5.17.1 Capacity and width</w:t>
      </w:r>
      <w:r w:rsidRPr="001B7F77">
        <w:rPr>
          <w:u w:val="single"/>
        </w:rPr>
        <w:t>. Such escalator shall not serve more than 50 percent of the required egress capacity for each story served. The egress capacity of such escalator shall be calculated at 0.3 inches (7.62 mm) of tread width per occupant. The minimum tread width of such escalator shall be 40 inches (1016 mm).</w:t>
      </w:r>
    </w:p>
    <w:p w14:paraId="1B65B573" w14:textId="77777777" w:rsidR="001B7F77" w:rsidRPr="001B7F77" w:rsidRDefault="001B7F77" w:rsidP="001B7F77">
      <w:pPr>
        <w:widowControl w:val="0"/>
        <w:tabs>
          <w:tab w:val="left" w:pos="720"/>
        </w:tabs>
        <w:suppressAutoHyphens/>
        <w:spacing w:before="120"/>
        <w:ind w:left="720"/>
        <w:rPr>
          <w:u w:val="single"/>
        </w:rPr>
      </w:pPr>
      <w:r w:rsidRPr="001B7F77">
        <w:rPr>
          <w:b/>
          <w:u w:val="single"/>
        </w:rPr>
        <w:t>305.5.17.2 Sprinkler system</w:t>
      </w:r>
      <w:r w:rsidRPr="001B7F77">
        <w:rPr>
          <w:u w:val="single"/>
        </w:rPr>
        <w:t xml:space="preserve">. Such buildings shall be equipped throughout with an automatic sprinkler system in accordance with Chapter 9 of the </w:t>
      </w:r>
      <w:r w:rsidRPr="001B7F77">
        <w:rPr>
          <w:i/>
          <w:iCs/>
          <w:u w:val="single"/>
        </w:rPr>
        <w:t>New York City Building Code</w:t>
      </w:r>
      <w:r w:rsidRPr="001B7F77">
        <w:rPr>
          <w:u w:val="single"/>
        </w:rPr>
        <w:t>.</w:t>
      </w:r>
    </w:p>
    <w:p w14:paraId="27EEC2D6" w14:textId="77777777" w:rsidR="001B7F77" w:rsidRPr="001B7F77" w:rsidRDefault="001B7F77" w:rsidP="001B7F77">
      <w:pPr>
        <w:widowControl w:val="0"/>
        <w:tabs>
          <w:tab w:val="left" w:pos="720"/>
        </w:tabs>
        <w:suppressAutoHyphens/>
        <w:spacing w:before="120"/>
        <w:ind w:left="720"/>
        <w:rPr>
          <w:u w:val="single"/>
        </w:rPr>
      </w:pPr>
      <w:r w:rsidRPr="001B7F77">
        <w:rPr>
          <w:b/>
          <w:u w:val="single"/>
        </w:rPr>
        <w:t>305.5.17.3 Enclosure</w:t>
      </w:r>
      <w:r w:rsidRPr="001B7F77">
        <w:rPr>
          <w:u w:val="single"/>
        </w:rPr>
        <w:t xml:space="preserve">. Such escalator shall be enclosed in accordance with Chapter 10 of the </w:t>
      </w:r>
      <w:r w:rsidRPr="001B7F77">
        <w:rPr>
          <w:i/>
          <w:iCs/>
          <w:u w:val="single"/>
        </w:rPr>
        <w:t>New York City Building Code</w:t>
      </w:r>
      <w:r w:rsidRPr="001B7F77">
        <w:rPr>
          <w:u w:val="single"/>
        </w:rPr>
        <w:t xml:space="preserve"> as required for interior exit stairways.</w:t>
      </w:r>
    </w:p>
    <w:p w14:paraId="0DB55F37" w14:textId="77777777" w:rsidR="001B7F77" w:rsidRPr="001B7F77" w:rsidRDefault="001B7F77" w:rsidP="001B7F77">
      <w:pPr>
        <w:widowControl w:val="0"/>
        <w:tabs>
          <w:tab w:val="left" w:pos="720"/>
        </w:tabs>
        <w:suppressAutoHyphens/>
        <w:spacing w:before="120"/>
        <w:ind w:left="720"/>
        <w:rPr>
          <w:u w:val="single"/>
        </w:rPr>
      </w:pPr>
      <w:r w:rsidRPr="001B7F77">
        <w:rPr>
          <w:b/>
          <w:u w:val="single"/>
        </w:rPr>
        <w:t xml:space="preserve">305.5.17.4 Operation. </w:t>
      </w:r>
      <w:r w:rsidRPr="001B7F77">
        <w:rPr>
          <w:u w:val="single"/>
        </w:rPr>
        <w:t>Such escalator shall be connected to a fire alarm system at all stories served, so that activation of the fire alarm system shall cause the escalator to gradually stop operating.</w:t>
      </w:r>
    </w:p>
    <w:p w14:paraId="021281CC" w14:textId="77777777" w:rsidR="001B7F77" w:rsidRPr="001B7F77" w:rsidRDefault="001B7F77" w:rsidP="001B7F77">
      <w:pPr>
        <w:widowControl w:val="0"/>
        <w:suppressAutoHyphens/>
        <w:autoSpaceDE w:val="0"/>
        <w:autoSpaceDN w:val="0"/>
        <w:adjustRightInd w:val="0"/>
        <w:spacing w:before="120"/>
        <w:ind w:left="360"/>
        <w:rPr>
          <w:color w:val="000000"/>
          <w:u w:val="single"/>
        </w:rPr>
      </w:pPr>
      <w:r w:rsidRPr="001B7F77">
        <w:rPr>
          <w:b/>
          <w:bCs/>
          <w:color w:val="000000"/>
          <w:u w:val="single"/>
        </w:rPr>
        <w:t>305.5.18 Places of Assembly.</w:t>
      </w:r>
      <w:r w:rsidRPr="001B7F77">
        <w:rPr>
          <w:color w:val="000000"/>
          <w:u w:val="single"/>
        </w:rPr>
        <w:t xml:space="preserve"> Places of Assembly in existing buildings shall comply with Sections 305.5.18.1 through 305.5.18.3.</w:t>
      </w:r>
    </w:p>
    <w:p w14:paraId="1B0A2729" w14:textId="77777777" w:rsidR="001B7F77" w:rsidRPr="001B7F77" w:rsidRDefault="001B7F77" w:rsidP="001B7F77">
      <w:pPr>
        <w:widowControl w:val="0"/>
        <w:tabs>
          <w:tab w:val="left" w:pos="1080"/>
        </w:tabs>
        <w:suppressAutoHyphens/>
        <w:spacing w:before="120"/>
        <w:ind w:left="720"/>
        <w:rPr>
          <w:rFonts w:eastAsia="Calibri"/>
          <w:bCs/>
          <w:u w:val="single"/>
        </w:rPr>
      </w:pPr>
      <w:r w:rsidRPr="001B7F77">
        <w:rPr>
          <w:rFonts w:eastAsia="Calibri"/>
          <w:b/>
          <w:bCs/>
          <w:u w:val="single"/>
        </w:rPr>
        <w:t>305.5.18.1 Existing Places of Assembly.</w:t>
      </w:r>
      <w:r w:rsidRPr="001B7F77">
        <w:rPr>
          <w:rFonts w:eastAsia="Calibri"/>
          <w:bCs/>
          <w:u w:val="single"/>
        </w:rPr>
        <w:t xml:space="preserve"> Alterations, changes of occupancy or additions made to existing Places of Assembly shall comply with Chapters 3, 8, 9, 10 and 11, as applicable.</w:t>
      </w:r>
    </w:p>
    <w:p w14:paraId="6F8CFE46" w14:textId="77777777" w:rsidR="001B7F77" w:rsidRPr="001B7F77" w:rsidRDefault="001B7F77" w:rsidP="001B7F77">
      <w:pPr>
        <w:widowControl w:val="0"/>
        <w:suppressAutoHyphens/>
        <w:autoSpaceDE w:val="0"/>
        <w:autoSpaceDN w:val="0"/>
        <w:adjustRightInd w:val="0"/>
        <w:spacing w:before="120"/>
        <w:ind w:left="1080"/>
        <w:rPr>
          <w:color w:val="000000"/>
          <w:u w:val="single"/>
        </w:rPr>
      </w:pPr>
      <w:r w:rsidRPr="001B7F77">
        <w:rPr>
          <w:b/>
          <w:color w:val="000000"/>
          <w:u w:val="single"/>
        </w:rPr>
        <w:t xml:space="preserve">305.5.18.1.1 Work limited to change in seating arrangements, stages and platforms. </w:t>
      </w:r>
      <w:r w:rsidRPr="001B7F77">
        <w:rPr>
          <w:color w:val="000000"/>
          <w:u w:val="single"/>
        </w:rPr>
        <w:t>Where the work within an existing approved Place of Assembly space is limited to modifications of stages, platforms, and seating arrangements, including moveable and fixed seating, seating support structures, bleachers, grandstands, folding and telescopic seating, such work shall be deemed a Level 1 alteration regardless of the size of the work area. Such work shall comply with the following conditions:</w:t>
      </w:r>
    </w:p>
    <w:p w14:paraId="0F03C4FC" w14:textId="77777777" w:rsidR="001B7F77" w:rsidRPr="001B7F77" w:rsidRDefault="001B7F77" w:rsidP="0001508F">
      <w:pPr>
        <w:widowControl w:val="0"/>
        <w:numPr>
          <w:ilvl w:val="0"/>
          <w:numId w:val="11"/>
        </w:numPr>
        <w:tabs>
          <w:tab w:val="left" w:pos="1080"/>
        </w:tabs>
        <w:suppressAutoHyphens/>
        <w:autoSpaceDE w:val="0"/>
        <w:autoSpaceDN w:val="0"/>
        <w:adjustRightInd w:val="0"/>
        <w:spacing w:before="120"/>
        <w:jc w:val="left"/>
        <w:rPr>
          <w:rFonts w:eastAsia="Calibri"/>
          <w:bCs/>
          <w:u w:val="single"/>
        </w:rPr>
      </w:pPr>
      <w:r w:rsidRPr="001B7F77">
        <w:rPr>
          <w:rFonts w:eastAsia="Calibri"/>
          <w:bCs/>
          <w:u w:val="single"/>
        </w:rPr>
        <w:t xml:space="preserve">The work shall be performed in compliance with Sections 410 and 1029 of the </w:t>
      </w:r>
      <w:r w:rsidRPr="001B7F77">
        <w:rPr>
          <w:rFonts w:eastAsia="Calibri"/>
          <w:bCs/>
          <w:i/>
          <w:iCs/>
          <w:u w:val="single"/>
        </w:rPr>
        <w:t>New York City Building Code</w:t>
      </w:r>
      <w:r w:rsidRPr="001B7F77">
        <w:rPr>
          <w:rFonts w:eastAsia="Calibri"/>
          <w:bCs/>
          <w:u w:val="single"/>
        </w:rPr>
        <w:t>, as applicable;</w:t>
      </w:r>
    </w:p>
    <w:p w14:paraId="1EA8AD46" w14:textId="77777777" w:rsidR="001B7F77" w:rsidRPr="001B7F77" w:rsidRDefault="001B7F77" w:rsidP="0001508F">
      <w:pPr>
        <w:widowControl w:val="0"/>
        <w:numPr>
          <w:ilvl w:val="0"/>
          <w:numId w:val="11"/>
        </w:numPr>
        <w:tabs>
          <w:tab w:val="left" w:pos="1080"/>
        </w:tabs>
        <w:suppressAutoHyphens/>
        <w:autoSpaceDE w:val="0"/>
        <w:autoSpaceDN w:val="0"/>
        <w:adjustRightInd w:val="0"/>
        <w:spacing w:before="120"/>
        <w:jc w:val="left"/>
        <w:rPr>
          <w:rFonts w:eastAsia="Calibri"/>
          <w:bCs/>
          <w:u w:val="single"/>
        </w:rPr>
      </w:pPr>
      <w:r w:rsidRPr="001B7F77">
        <w:rPr>
          <w:rFonts w:eastAsia="Calibri"/>
          <w:bCs/>
          <w:u w:val="single"/>
        </w:rPr>
        <w:t>There is no change to use, occupancy, exits, or increase in the existing occupant load;</w:t>
      </w:r>
    </w:p>
    <w:p w14:paraId="480C12F9" w14:textId="77777777" w:rsidR="001B7F77" w:rsidRPr="001B7F77" w:rsidRDefault="001B7F77" w:rsidP="0001508F">
      <w:pPr>
        <w:widowControl w:val="0"/>
        <w:numPr>
          <w:ilvl w:val="0"/>
          <w:numId w:val="11"/>
        </w:numPr>
        <w:tabs>
          <w:tab w:val="left" w:pos="1080"/>
        </w:tabs>
        <w:suppressAutoHyphens/>
        <w:autoSpaceDE w:val="0"/>
        <w:autoSpaceDN w:val="0"/>
        <w:adjustRightInd w:val="0"/>
        <w:spacing w:before="120"/>
        <w:jc w:val="left"/>
        <w:rPr>
          <w:rFonts w:eastAsia="Calibri"/>
          <w:bCs/>
          <w:u w:val="single"/>
        </w:rPr>
      </w:pPr>
      <w:r w:rsidRPr="001B7F77">
        <w:rPr>
          <w:rFonts w:eastAsia="Calibri"/>
          <w:bCs/>
          <w:u w:val="single"/>
        </w:rPr>
        <w:t>The work is not associated with any other alteration to the space or systems serving the space; and</w:t>
      </w:r>
    </w:p>
    <w:p w14:paraId="1240AB4F" w14:textId="77777777" w:rsidR="001B7F77" w:rsidRPr="001B7F77" w:rsidRDefault="001B7F77" w:rsidP="0001508F">
      <w:pPr>
        <w:widowControl w:val="0"/>
        <w:numPr>
          <w:ilvl w:val="0"/>
          <w:numId w:val="11"/>
        </w:numPr>
        <w:tabs>
          <w:tab w:val="left" w:pos="1080"/>
        </w:tabs>
        <w:suppressAutoHyphens/>
        <w:autoSpaceDE w:val="0"/>
        <w:autoSpaceDN w:val="0"/>
        <w:adjustRightInd w:val="0"/>
        <w:spacing w:before="120"/>
        <w:jc w:val="left"/>
        <w:rPr>
          <w:rFonts w:eastAsia="Calibri"/>
          <w:bCs/>
          <w:u w:val="single"/>
        </w:rPr>
      </w:pPr>
      <w:r w:rsidRPr="001B7F77">
        <w:rPr>
          <w:rFonts w:eastAsia="Calibri"/>
          <w:bCs/>
          <w:u w:val="single"/>
        </w:rPr>
        <w:t xml:space="preserve">Where the work results in a change to the approved Place of Assembly application or permit, such application shall be amended as required by Article 117 of Title 28 of the </w:t>
      </w:r>
      <w:r w:rsidRPr="001B7F77">
        <w:rPr>
          <w:rFonts w:eastAsia="Calibri"/>
          <w:i/>
          <w:u w:val="single"/>
        </w:rPr>
        <w:t>Administrative Code</w:t>
      </w:r>
      <w:r w:rsidRPr="001B7F77">
        <w:rPr>
          <w:rFonts w:eastAsia="Calibri"/>
          <w:bCs/>
          <w:u w:val="single"/>
        </w:rPr>
        <w:t>.</w:t>
      </w:r>
    </w:p>
    <w:p w14:paraId="55F8A8CD" w14:textId="77777777" w:rsidR="001B7F77" w:rsidRPr="001B7F77" w:rsidRDefault="001B7F77" w:rsidP="001B7F77">
      <w:pPr>
        <w:widowControl w:val="0"/>
        <w:suppressAutoHyphens/>
        <w:autoSpaceDE w:val="0"/>
        <w:autoSpaceDN w:val="0"/>
        <w:adjustRightInd w:val="0"/>
        <w:spacing w:before="120"/>
        <w:ind w:left="1440"/>
        <w:rPr>
          <w:color w:val="000000"/>
          <w:u w:val="single"/>
        </w:rPr>
      </w:pPr>
      <w:r w:rsidRPr="001B7F77">
        <w:rPr>
          <w:b/>
          <w:color w:val="000000"/>
          <w:u w:val="single"/>
        </w:rPr>
        <w:t>305.5.18.1.1.1 Compliance with Chapter 8</w:t>
      </w:r>
      <w:r w:rsidRPr="001B7F77">
        <w:rPr>
          <w:color w:val="000000"/>
          <w:u w:val="single"/>
        </w:rPr>
        <w:t>. Work described by Section 305.5.18.1.1 shall comply with the following provisions of Chapter 8 within the work area:</w:t>
      </w:r>
    </w:p>
    <w:p w14:paraId="3F7095AB" w14:textId="77777777" w:rsidR="001B7F77" w:rsidRPr="001B7F77" w:rsidRDefault="001B7F77" w:rsidP="0001508F">
      <w:pPr>
        <w:widowControl w:val="0"/>
        <w:numPr>
          <w:ilvl w:val="0"/>
          <w:numId w:val="12"/>
        </w:numPr>
        <w:tabs>
          <w:tab w:val="left" w:pos="1080"/>
        </w:tabs>
        <w:suppressAutoHyphens/>
        <w:autoSpaceDE w:val="0"/>
        <w:autoSpaceDN w:val="0"/>
        <w:adjustRightInd w:val="0"/>
        <w:spacing w:before="120"/>
        <w:jc w:val="left"/>
        <w:rPr>
          <w:rFonts w:eastAsia="Calibri"/>
          <w:bCs/>
          <w:u w:val="single"/>
        </w:rPr>
      </w:pPr>
      <w:r w:rsidRPr="001B7F77">
        <w:rPr>
          <w:rFonts w:eastAsia="Calibri"/>
          <w:bCs/>
          <w:u w:val="single"/>
        </w:rPr>
        <w:t>Section 803.4 (Interior finish).</w:t>
      </w:r>
    </w:p>
    <w:p w14:paraId="5D2A88C0" w14:textId="77777777" w:rsidR="001B7F77" w:rsidRPr="001B7F77" w:rsidRDefault="001B7F77" w:rsidP="0001508F">
      <w:pPr>
        <w:widowControl w:val="0"/>
        <w:numPr>
          <w:ilvl w:val="0"/>
          <w:numId w:val="12"/>
        </w:numPr>
        <w:tabs>
          <w:tab w:val="left" w:pos="1080"/>
        </w:tabs>
        <w:suppressAutoHyphens/>
        <w:autoSpaceDE w:val="0"/>
        <w:autoSpaceDN w:val="0"/>
        <w:adjustRightInd w:val="0"/>
        <w:spacing w:before="120"/>
        <w:jc w:val="left"/>
        <w:rPr>
          <w:rFonts w:eastAsia="Calibri"/>
          <w:bCs/>
          <w:u w:val="single"/>
        </w:rPr>
      </w:pPr>
      <w:r w:rsidRPr="001B7F77">
        <w:rPr>
          <w:rFonts w:eastAsia="Calibri"/>
          <w:bCs/>
          <w:u w:val="single"/>
        </w:rPr>
        <w:t>Section 803.5 (Guards), limited to the assembly space.</w:t>
      </w:r>
    </w:p>
    <w:p w14:paraId="43CD2077" w14:textId="77777777" w:rsidR="001B7F77" w:rsidRPr="001B7F77" w:rsidRDefault="001B7F77" w:rsidP="0001508F">
      <w:pPr>
        <w:widowControl w:val="0"/>
        <w:numPr>
          <w:ilvl w:val="0"/>
          <w:numId w:val="12"/>
        </w:numPr>
        <w:tabs>
          <w:tab w:val="left" w:pos="1080"/>
        </w:tabs>
        <w:suppressAutoHyphens/>
        <w:autoSpaceDE w:val="0"/>
        <w:autoSpaceDN w:val="0"/>
        <w:adjustRightInd w:val="0"/>
        <w:spacing w:before="120"/>
        <w:jc w:val="left"/>
        <w:rPr>
          <w:rFonts w:eastAsia="Calibri"/>
          <w:bCs/>
          <w:u w:val="single"/>
        </w:rPr>
      </w:pPr>
      <w:r w:rsidRPr="001B7F77">
        <w:rPr>
          <w:rFonts w:eastAsia="Calibri"/>
          <w:bCs/>
          <w:u w:val="single"/>
        </w:rPr>
        <w:t>Section 803.10 (Architectural investigation) limited to investigation of exits from the Place of Assembly.</w:t>
      </w:r>
    </w:p>
    <w:p w14:paraId="2F635298" w14:textId="77777777" w:rsidR="001B7F77" w:rsidRPr="001B7F77" w:rsidRDefault="001B7F77" w:rsidP="0001508F">
      <w:pPr>
        <w:widowControl w:val="0"/>
        <w:numPr>
          <w:ilvl w:val="0"/>
          <w:numId w:val="12"/>
        </w:numPr>
        <w:tabs>
          <w:tab w:val="left" w:pos="1080"/>
        </w:tabs>
        <w:suppressAutoHyphens/>
        <w:autoSpaceDE w:val="0"/>
        <w:autoSpaceDN w:val="0"/>
        <w:adjustRightInd w:val="0"/>
        <w:spacing w:before="120"/>
        <w:jc w:val="left"/>
        <w:rPr>
          <w:rFonts w:eastAsia="Calibri"/>
          <w:bCs/>
          <w:u w:val="single"/>
        </w:rPr>
      </w:pPr>
      <w:r w:rsidRPr="001B7F77">
        <w:rPr>
          <w:rFonts w:eastAsia="Calibri"/>
          <w:bCs/>
          <w:u w:val="single"/>
        </w:rPr>
        <w:t>Sections 805.7 (Means of Egress lighting), 805.8 (Exit signs) and 805.9 (Handrails).</w:t>
      </w:r>
    </w:p>
    <w:p w14:paraId="10645123" w14:textId="77777777" w:rsidR="001B7F77" w:rsidRPr="001B7F77" w:rsidRDefault="001B7F77" w:rsidP="0001508F">
      <w:pPr>
        <w:widowControl w:val="0"/>
        <w:numPr>
          <w:ilvl w:val="0"/>
          <w:numId w:val="12"/>
        </w:numPr>
        <w:tabs>
          <w:tab w:val="left" w:pos="1080"/>
        </w:tabs>
        <w:suppressAutoHyphens/>
        <w:autoSpaceDE w:val="0"/>
        <w:autoSpaceDN w:val="0"/>
        <w:adjustRightInd w:val="0"/>
        <w:spacing w:before="120"/>
        <w:jc w:val="left"/>
        <w:rPr>
          <w:rFonts w:eastAsia="Calibri"/>
          <w:bCs/>
          <w:u w:val="single"/>
        </w:rPr>
      </w:pPr>
      <w:r w:rsidRPr="001B7F77">
        <w:rPr>
          <w:rFonts w:eastAsia="Calibri"/>
          <w:bCs/>
          <w:u w:val="single"/>
        </w:rPr>
        <w:t>Section 806 (Accessibility).</w:t>
      </w:r>
    </w:p>
    <w:p w14:paraId="73895CDD" w14:textId="77777777" w:rsidR="001B7F77" w:rsidRPr="001B7F77" w:rsidRDefault="001B7F77" w:rsidP="001B7F77">
      <w:pPr>
        <w:widowControl w:val="0"/>
        <w:tabs>
          <w:tab w:val="left" w:pos="1080"/>
        </w:tabs>
        <w:suppressAutoHyphens/>
        <w:spacing w:before="120"/>
        <w:ind w:left="720"/>
        <w:rPr>
          <w:rFonts w:eastAsia="Calibri"/>
          <w:bCs/>
          <w:u w:val="single"/>
        </w:rPr>
      </w:pPr>
      <w:r w:rsidRPr="001B7F77">
        <w:rPr>
          <w:rFonts w:eastAsia="Calibri"/>
          <w:b/>
          <w:bCs/>
          <w:u w:val="single"/>
        </w:rPr>
        <w:t>305.5.18.2</w:t>
      </w:r>
      <w:r w:rsidRPr="001B7F77">
        <w:rPr>
          <w:rFonts w:eastAsia="Calibri"/>
          <w:bCs/>
          <w:u w:val="single"/>
        </w:rPr>
        <w:t xml:space="preserve"> </w:t>
      </w:r>
      <w:r w:rsidRPr="001B7F77">
        <w:rPr>
          <w:rFonts w:eastAsia="Calibri"/>
          <w:b/>
          <w:bCs/>
          <w:u w:val="single"/>
        </w:rPr>
        <w:t>Existing special occupancy structures.</w:t>
      </w:r>
      <w:r w:rsidRPr="001B7F77">
        <w:rPr>
          <w:rFonts w:eastAsia="Calibri"/>
          <w:bCs/>
          <w:u w:val="single"/>
        </w:rPr>
        <w:t xml:space="preserve"> Existing motion picture theaters, theaters, concert halls, operas, and similar places of assembly accommodating more than 300 persons that were established under Article 13 of the 1938 Building Code, including those constructed prior to 1938, shall not be subject to the filing requirements for a place of assembly application and Place of Assembly Certificate of Operation </w:t>
      </w:r>
      <w:r w:rsidRPr="001B7F77">
        <w:rPr>
          <w:u w:val="single"/>
        </w:rPr>
        <w:t xml:space="preserve">set forth in Article 117 </w:t>
      </w:r>
      <w:r w:rsidRPr="001B7F77">
        <w:rPr>
          <w:rFonts w:eastAsia="Calibri"/>
          <w:bCs/>
          <w:u w:val="single"/>
        </w:rPr>
        <w:t xml:space="preserve">of Title 28 </w:t>
      </w:r>
      <w:r w:rsidRPr="001B7F77">
        <w:rPr>
          <w:u w:val="single"/>
        </w:rPr>
        <w:t xml:space="preserve">of the </w:t>
      </w:r>
      <w:r w:rsidRPr="001B7F77">
        <w:rPr>
          <w:i/>
          <w:u w:val="single"/>
        </w:rPr>
        <w:t>Administrative Code</w:t>
      </w:r>
      <w:r w:rsidRPr="001B7F77">
        <w:rPr>
          <w:u w:val="single"/>
        </w:rPr>
        <w:t xml:space="preserve"> and Section 1029 of the </w:t>
      </w:r>
      <w:r w:rsidRPr="001B7F77">
        <w:rPr>
          <w:i/>
          <w:iCs/>
          <w:u w:val="single"/>
        </w:rPr>
        <w:t>New York City Building Code</w:t>
      </w:r>
      <w:r w:rsidRPr="001B7F77">
        <w:rPr>
          <w:rFonts w:eastAsia="Calibri"/>
          <w:bCs/>
          <w:u w:val="single"/>
        </w:rPr>
        <w:t>.</w:t>
      </w:r>
      <w:bookmarkStart w:id="89" w:name="_Hlk72331320"/>
    </w:p>
    <w:p w14:paraId="77BC907B" w14:textId="77777777" w:rsidR="001B7F77" w:rsidRPr="001B7F77" w:rsidRDefault="001B7F77" w:rsidP="001B7F77">
      <w:pPr>
        <w:widowControl w:val="0"/>
        <w:tabs>
          <w:tab w:val="left" w:pos="1080"/>
        </w:tabs>
        <w:suppressAutoHyphens/>
        <w:spacing w:before="120"/>
        <w:ind w:left="720"/>
        <w:rPr>
          <w:rFonts w:eastAsia="Calibri"/>
          <w:bCs/>
          <w:u w:val="single"/>
        </w:rPr>
      </w:pPr>
      <w:r w:rsidRPr="001B7F77">
        <w:rPr>
          <w:bCs/>
          <w:color w:val="000000"/>
          <w:u w:val="single"/>
        </w:rPr>
        <w:t>Current seating plans approved by the Department shall be posted in such Places of Assembly. Modifications to the existing seating arrangements or exit access shall require new seating plans to be approved by the Department.</w:t>
      </w:r>
    </w:p>
    <w:p w14:paraId="17FFA4D0" w14:textId="77777777" w:rsidR="001B7F77" w:rsidRPr="001B7F77" w:rsidRDefault="001B7F77" w:rsidP="001B7F77">
      <w:pPr>
        <w:widowControl w:val="0"/>
        <w:suppressAutoHyphens/>
        <w:spacing w:before="120"/>
        <w:ind w:left="1080"/>
        <w:rPr>
          <w:u w:val="single"/>
        </w:rPr>
      </w:pPr>
      <w:bookmarkStart w:id="90" w:name="_Hlk85634625"/>
      <w:bookmarkEnd w:id="89"/>
      <w:r w:rsidRPr="001B7F77">
        <w:rPr>
          <w:b/>
          <w:bCs/>
          <w:u w:val="single"/>
        </w:rPr>
        <w:t>Exception</w:t>
      </w:r>
      <w:r w:rsidRPr="001B7F77">
        <w:rPr>
          <w:u w:val="single"/>
        </w:rPr>
        <w:t xml:space="preserve">: Alterations to such existing special occupancy structures exceeding the limitations of Section 305.5.18.1.1 shall be subject to Chapter 10 of the </w:t>
      </w:r>
      <w:r w:rsidRPr="001B7F77">
        <w:rPr>
          <w:i/>
          <w:iCs/>
          <w:u w:val="single"/>
        </w:rPr>
        <w:t>New York City Building Code</w:t>
      </w:r>
      <w:r w:rsidRPr="001B7F77">
        <w:rPr>
          <w:u w:val="single"/>
        </w:rPr>
        <w:t xml:space="preserve">, and Chapters 8 and 9 of this code to the extent of the alteration, but shall be permitted to maintain the existing means of egress provided the egress capacity is sufficient for the occupant load in accordance with Chapter 10 of the </w:t>
      </w:r>
      <w:r w:rsidRPr="001B7F77">
        <w:rPr>
          <w:i/>
          <w:iCs/>
          <w:u w:val="single"/>
        </w:rPr>
        <w:t>New York City Building Code</w:t>
      </w:r>
      <w:r w:rsidRPr="001B7F77">
        <w:rPr>
          <w:u w:val="single"/>
        </w:rPr>
        <w:t xml:space="preserve">. In addition, such places of assembly shall be subject to </w:t>
      </w:r>
      <w:r w:rsidRPr="001B7F77">
        <w:rPr>
          <w:rFonts w:eastAsia="Calibri"/>
          <w:u w:val="single"/>
        </w:rPr>
        <w:t xml:space="preserve">the </w:t>
      </w:r>
      <w:r w:rsidRPr="001B7F77">
        <w:rPr>
          <w:u w:val="single"/>
        </w:rPr>
        <w:t xml:space="preserve">filing </w:t>
      </w:r>
      <w:r w:rsidRPr="001B7F77">
        <w:rPr>
          <w:rFonts w:eastAsia="Calibri"/>
          <w:u w:val="single"/>
        </w:rPr>
        <w:t xml:space="preserve">requirements </w:t>
      </w:r>
      <w:r w:rsidRPr="001B7F77">
        <w:rPr>
          <w:u w:val="single"/>
        </w:rPr>
        <w:t xml:space="preserve">for a place of assembly application and Place of Assembly Certificate of Operation set forth in Article 117 </w:t>
      </w:r>
      <w:r w:rsidRPr="001B7F77">
        <w:rPr>
          <w:rFonts w:eastAsia="Calibri"/>
          <w:u w:val="single"/>
        </w:rPr>
        <w:t xml:space="preserve">of Title 28 </w:t>
      </w:r>
      <w:r w:rsidRPr="001B7F77">
        <w:rPr>
          <w:u w:val="single"/>
        </w:rPr>
        <w:t xml:space="preserve">of the </w:t>
      </w:r>
      <w:r w:rsidRPr="001B7F77">
        <w:rPr>
          <w:i/>
          <w:u w:val="single"/>
        </w:rPr>
        <w:t>Administrative Code</w:t>
      </w:r>
      <w:r w:rsidRPr="001B7F77">
        <w:rPr>
          <w:u w:val="single"/>
        </w:rPr>
        <w:t>.</w:t>
      </w:r>
    </w:p>
    <w:bookmarkEnd w:id="90"/>
    <w:p w14:paraId="45628938" w14:textId="77777777" w:rsidR="001B7F77" w:rsidRPr="001B7F77" w:rsidRDefault="001B7F77" w:rsidP="001B7F77">
      <w:pPr>
        <w:widowControl w:val="0"/>
        <w:tabs>
          <w:tab w:val="left" w:pos="1080"/>
        </w:tabs>
        <w:suppressAutoHyphens/>
        <w:spacing w:before="120"/>
        <w:ind w:left="720"/>
        <w:rPr>
          <w:rFonts w:eastAsia="Calibri"/>
          <w:bCs/>
          <w:color w:val="000000"/>
          <w:u w:val="single"/>
        </w:rPr>
      </w:pPr>
      <w:r w:rsidRPr="001B7F77">
        <w:rPr>
          <w:rFonts w:eastAsia="Calibri"/>
          <w:b/>
          <w:bCs/>
          <w:u w:val="single"/>
        </w:rPr>
        <w:t>305.5.18.3 New Places of Assembly in existing buildings.</w:t>
      </w:r>
      <w:r w:rsidRPr="001B7F77">
        <w:rPr>
          <w:rFonts w:eastAsia="Calibri"/>
          <w:bCs/>
          <w:u w:val="single"/>
        </w:rPr>
        <w:t xml:space="preserve"> New Places of Assembly in existing buildings shall comply with Chapter 10 of this code and Sections 410 and 1029 of the </w:t>
      </w:r>
      <w:r w:rsidRPr="001B7F77">
        <w:rPr>
          <w:rFonts w:eastAsia="Calibri"/>
          <w:bCs/>
          <w:i/>
          <w:iCs/>
          <w:u w:val="single"/>
        </w:rPr>
        <w:t>New York City Building Code</w:t>
      </w:r>
      <w:r w:rsidRPr="001B7F77">
        <w:rPr>
          <w:rFonts w:eastAsia="Calibri"/>
          <w:bCs/>
          <w:u w:val="single"/>
        </w:rPr>
        <w:t xml:space="preserve">, as applicable, but shall be permitted to use the existing means of egress provided the egress capacity is sufficient for the occupant load in accordance with Chapter 10 of the </w:t>
      </w:r>
      <w:r w:rsidRPr="001B7F77">
        <w:rPr>
          <w:rFonts w:eastAsia="Calibri"/>
          <w:bCs/>
          <w:i/>
          <w:iCs/>
          <w:u w:val="single"/>
        </w:rPr>
        <w:t>New York City Building Code</w:t>
      </w:r>
      <w:r w:rsidRPr="001B7F77">
        <w:rPr>
          <w:rFonts w:eastAsia="Calibri"/>
          <w:bCs/>
          <w:u w:val="single"/>
        </w:rPr>
        <w:t xml:space="preserve">. </w:t>
      </w:r>
      <w:r w:rsidRPr="001B7F77">
        <w:rPr>
          <w:rFonts w:eastAsia="Calibri"/>
          <w:bCs/>
          <w:color w:val="000000"/>
          <w:u w:val="single"/>
        </w:rPr>
        <w:t>The required capacity of a means of egress system shall not be diminished along the path of egress travel.</w:t>
      </w:r>
    </w:p>
    <w:p w14:paraId="7036F206" w14:textId="77777777" w:rsidR="001B7F77" w:rsidRPr="001B7F77" w:rsidRDefault="001B7F77" w:rsidP="001B7F77">
      <w:pPr>
        <w:widowControl w:val="0"/>
        <w:suppressAutoHyphens/>
        <w:autoSpaceDE w:val="0"/>
        <w:autoSpaceDN w:val="0"/>
        <w:adjustRightInd w:val="0"/>
        <w:spacing w:before="120"/>
        <w:ind w:left="720"/>
        <w:rPr>
          <w:color w:val="000000"/>
          <w:u w:val="single"/>
        </w:rPr>
      </w:pPr>
      <w:r w:rsidRPr="001B7F77">
        <w:rPr>
          <w:u w:val="single"/>
        </w:rPr>
        <w:t>Such new Places of Assembly shall be subject to Article 117</w:t>
      </w:r>
      <w:r w:rsidRPr="001B7F77">
        <w:rPr>
          <w:rFonts w:eastAsia="Calibri"/>
          <w:bCs/>
          <w:u w:val="single"/>
        </w:rPr>
        <w:t xml:space="preserve"> of Title 28</w:t>
      </w:r>
      <w:r w:rsidRPr="001B7F77">
        <w:rPr>
          <w:u w:val="single"/>
        </w:rPr>
        <w:t xml:space="preserve"> of the </w:t>
      </w:r>
      <w:r w:rsidRPr="001B7F77">
        <w:rPr>
          <w:i/>
          <w:u w:val="single"/>
        </w:rPr>
        <w:t>Administrative Code</w:t>
      </w:r>
      <w:r w:rsidRPr="001B7F77">
        <w:rPr>
          <w:u w:val="single"/>
        </w:rPr>
        <w:t>, including the filing requirements of a Place of Assembly application and Place of Assembly Certificate of Operation.</w:t>
      </w:r>
    </w:p>
    <w:p w14:paraId="06EFB15E" w14:textId="77777777" w:rsidR="001B7F77" w:rsidRPr="001B7F77" w:rsidRDefault="001B7F77" w:rsidP="001B7F77">
      <w:pPr>
        <w:widowControl w:val="0"/>
        <w:tabs>
          <w:tab w:val="left" w:pos="360"/>
        </w:tabs>
        <w:suppressAutoHyphens/>
        <w:spacing w:before="120"/>
        <w:ind w:left="360"/>
        <w:rPr>
          <w:u w:val="single"/>
        </w:rPr>
      </w:pPr>
      <w:r w:rsidRPr="001B7F77">
        <w:rPr>
          <w:b/>
          <w:bCs/>
          <w:u w:val="single"/>
        </w:rPr>
        <w:t>305.5.19 Balconies</w:t>
      </w:r>
      <w:r w:rsidRPr="001B7F77">
        <w:rPr>
          <w:u w:val="single"/>
        </w:rPr>
        <w:t>. In prior code residential buildings classified as Group R-2, existing balconies serving as a second means of egress from dwelling units shall be maintained in accordance with this section. New balconies in such buildings shall be permitted to serve as a second means of egress from dwelling units where permitted by this code. Such balconies shall comply with the following conditions:</w:t>
      </w:r>
    </w:p>
    <w:p w14:paraId="347406E4" w14:textId="77777777" w:rsidR="001B7F77" w:rsidRPr="001B7F77" w:rsidRDefault="001B7F77" w:rsidP="001B7F77">
      <w:pPr>
        <w:widowControl w:val="0"/>
        <w:pBdr>
          <w:top w:val="nil"/>
          <w:left w:val="nil"/>
          <w:bottom w:val="nil"/>
          <w:right w:val="nil"/>
          <w:between w:val="nil"/>
        </w:pBdr>
        <w:tabs>
          <w:tab w:val="left" w:pos="720"/>
        </w:tabs>
        <w:suppressAutoHyphens/>
        <w:autoSpaceDE w:val="0"/>
        <w:autoSpaceDN w:val="0"/>
        <w:adjustRightInd w:val="0"/>
        <w:spacing w:before="120"/>
        <w:ind w:left="1080" w:hanging="360"/>
        <w:rPr>
          <w:rFonts w:eastAsia="Arial"/>
          <w:szCs w:val="24"/>
          <w:u w:val="single"/>
        </w:rPr>
      </w:pPr>
      <w:r w:rsidRPr="001B7F77">
        <w:rPr>
          <w:rFonts w:eastAsia="Arial"/>
          <w:szCs w:val="24"/>
          <w:u w:val="single"/>
        </w:rPr>
        <w:t>1.</w:t>
      </w:r>
      <w:r w:rsidRPr="001B7F77">
        <w:rPr>
          <w:rFonts w:eastAsia="Arial"/>
          <w:szCs w:val="24"/>
          <w:u w:val="single"/>
        </w:rPr>
        <w:tab/>
        <w:t>Each balcony shall serve at least two dwelling units.</w:t>
      </w:r>
    </w:p>
    <w:p w14:paraId="623924F4" w14:textId="77777777" w:rsidR="001B7F77" w:rsidRPr="001B7F77" w:rsidRDefault="001B7F77" w:rsidP="001B7F77">
      <w:pPr>
        <w:widowControl w:val="0"/>
        <w:pBdr>
          <w:top w:val="nil"/>
          <w:left w:val="nil"/>
          <w:bottom w:val="nil"/>
          <w:right w:val="nil"/>
          <w:between w:val="nil"/>
        </w:pBdr>
        <w:tabs>
          <w:tab w:val="left" w:pos="720"/>
        </w:tabs>
        <w:suppressAutoHyphens/>
        <w:autoSpaceDE w:val="0"/>
        <w:autoSpaceDN w:val="0"/>
        <w:adjustRightInd w:val="0"/>
        <w:spacing w:before="120"/>
        <w:ind w:left="1080" w:hanging="360"/>
        <w:rPr>
          <w:rFonts w:eastAsia="Arial"/>
          <w:u w:val="single"/>
        </w:rPr>
      </w:pPr>
      <w:r w:rsidRPr="001B7F77">
        <w:rPr>
          <w:rFonts w:eastAsia="Arial"/>
          <w:u w:val="single"/>
        </w:rPr>
        <w:t>2.</w:t>
      </w:r>
      <w:r w:rsidRPr="001B7F77">
        <w:tab/>
      </w:r>
      <w:r w:rsidRPr="001B7F77">
        <w:rPr>
          <w:rFonts w:eastAsia="Arial"/>
          <w:u w:val="single"/>
        </w:rPr>
        <w:t>Each balcony shall be protected along its outer side by parapets or guards not less than three feet six inches (1066 mm) high. Openings in new guards or parapets shall not allow passage of a sphere 4 inches (102 mm) in diameter.</w:t>
      </w:r>
    </w:p>
    <w:p w14:paraId="454B9376" w14:textId="77777777" w:rsidR="001B7F77" w:rsidRPr="001B7F77" w:rsidRDefault="001B7F77" w:rsidP="001B7F77">
      <w:pPr>
        <w:widowControl w:val="0"/>
        <w:pBdr>
          <w:top w:val="nil"/>
          <w:left w:val="nil"/>
          <w:bottom w:val="nil"/>
          <w:right w:val="nil"/>
          <w:between w:val="nil"/>
        </w:pBdr>
        <w:tabs>
          <w:tab w:val="left" w:pos="720"/>
        </w:tabs>
        <w:suppressAutoHyphens/>
        <w:autoSpaceDE w:val="0"/>
        <w:autoSpaceDN w:val="0"/>
        <w:adjustRightInd w:val="0"/>
        <w:spacing w:before="120"/>
        <w:ind w:left="1080" w:hanging="360"/>
        <w:rPr>
          <w:rFonts w:eastAsia="Arial"/>
          <w:szCs w:val="24"/>
          <w:u w:val="single"/>
        </w:rPr>
      </w:pPr>
      <w:r w:rsidRPr="001B7F77">
        <w:rPr>
          <w:rFonts w:eastAsia="Arial"/>
          <w:szCs w:val="24"/>
          <w:u w:val="single"/>
        </w:rPr>
        <w:t>3.</w:t>
      </w:r>
      <w:r w:rsidRPr="001B7F77">
        <w:rPr>
          <w:rFonts w:eastAsia="Arial"/>
          <w:szCs w:val="24"/>
          <w:u w:val="single"/>
        </w:rPr>
        <w:tab/>
        <w:t>The balcony floor shall be solid and provided with drains to prevent the accumulation of water.</w:t>
      </w:r>
    </w:p>
    <w:p w14:paraId="7F64E224" w14:textId="77777777" w:rsidR="001B7F77" w:rsidRPr="001B7F77" w:rsidRDefault="001B7F77" w:rsidP="001B7F77">
      <w:pPr>
        <w:widowControl w:val="0"/>
        <w:pBdr>
          <w:top w:val="nil"/>
          <w:left w:val="nil"/>
          <w:bottom w:val="nil"/>
          <w:right w:val="nil"/>
          <w:between w:val="nil"/>
        </w:pBdr>
        <w:tabs>
          <w:tab w:val="left" w:pos="720"/>
        </w:tabs>
        <w:suppressAutoHyphens/>
        <w:autoSpaceDE w:val="0"/>
        <w:autoSpaceDN w:val="0"/>
        <w:adjustRightInd w:val="0"/>
        <w:spacing w:before="120"/>
        <w:ind w:left="1080" w:hanging="360"/>
        <w:rPr>
          <w:rFonts w:eastAsia="Arial"/>
          <w:szCs w:val="24"/>
          <w:u w:val="single"/>
        </w:rPr>
      </w:pPr>
      <w:r w:rsidRPr="001B7F77">
        <w:rPr>
          <w:rFonts w:eastAsia="Arial"/>
          <w:szCs w:val="24"/>
          <w:u w:val="single"/>
        </w:rPr>
        <w:t>4.</w:t>
      </w:r>
      <w:r w:rsidRPr="001B7F77">
        <w:rPr>
          <w:rFonts w:eastAsia="Arial"/>
          <w:szCs w:val="24"/>
          <w:u w:val="single"/>
        </w:rPr>
        <w:tab/>
        <w:t>The dwelling units served by balconies shall be separated from each other by construction having at least a two-hour fire-resistance rating. Such separation shall extend at least three feet (914 mm) beyond the outside face of the exterior wall of the building, although such projection may be reduced to two feet six inches (762 mm) provided that any window opening on each such balcony served by the fire separation shall be at least two inches (51 mm) from such fire separation for every one inch (25.4 mm) that such separation is less than thirty-six inches (914 mm). An opening at least twenty inches (508 mm) wide shall be provided between the end of this separation and the balcony parapet or guard, and the opening shall be maintained free and unobstructed for the full height of the balcony, except that privacy screens openable from either side shall be permitted in the opening.</w:t>
      </w:r>
    </w:p>
    <w:p w14:paraId="5C447BD5" w14:textId="77777777" w:rsidR="001B7F77" w:rsidRPr="001B7F77" w:rsidRDefault="001B7F77" w:rsidP="001B7F77">
      <w:pPr>
        <w:widowControl w:val="0"/>
        <w:pBdr>
          <w:top w:val="nil"/>
          <w:left w:val="nil"/>
          <w:bottom w:val="nil"/>
          <w:right w:val="nil"/>
          <w:between w:val="nil"/>
        </w:pBdr>
        <w:tabs>
          <w:tab w:val="left" w:pos="720"/>
        </w:tabs>
        <w:suppressAutoHyphens/>
        <w:autoSpaceDE w:val="0"/>
        <w:autoSpaceDN w:val="0"/>
        <w:adjustRightInd w:val="0"/>
        <w:spacing w:before="120"/>
        <w:ind w:left="1080" w:hanging="360"/>
        <w:rPr>
          <w:rFonts w:eastAsia="Arial"/>
          <w:szCs w:val="24"/>
          <w:u w:val="single"/>
        </w:rPr>
      </w:pPr>
      <w:r w:rsidRPr="001B7F77">
        <w:rPr>
          <w:rFonts w:eastAsia="Arial"/>
          <w:szCs w:val="24"/>
          <w:u w:val="single"/>
        </w:rPr>
        <w:t>5.</w:t>
      </w:r>
      <w:r w:rsidRPr="001B7F77">
        <w:rPr>
          <w:rFonts w:eastAsia="Arial"/>
          <w:szCs w:val="24"/>
          <w:u w:val="single"/>
        </w:rPr>
        <w:tab/>
        <w:t>Access from dwelling units to the balconies shall be through doors having glass panels at least two feet (610 mm) wide and four feet (1220 mm) high, without muntins, screens, or other obstructions to hinder entry by breaking the glass panels. The doors shall be lockable only from the inside by devices that can be easily released from the outside after breaking the glass. A combination lock or a lock required to be opened by a key, removable device, or tool, shall not be permitted.</w:t>
      </w:r>
    </w:p>
    <w:p w14:paraId="4A4F84DA" w14:textId="77777777" w:rsidR="001B7F77" w:rsidRPr="001B7F77" w:rsidRDefault="001B7F77" w:rsidP="001B7F77">
      <w:pPr>
        <w:widowControl w:val="0"/>
        <w:suppressAutoHyphens/>
        <w:spacing w:before="120"/>
        <w:rPr>
          <w:u w:val="single"/>
        </w:rPr>
      </w:pPr>
      <w:r w:rsidRPr="001B7F77">
        <w:rPr>
          <w:b/>
          <w:u w:val="single"/>
        </w:rPr>
        <w:t xml:space="preserve">305.6 Means of egress illumination. </w:t>
      </w:r>
      <w:r w:rsidRPr="001B7F77">
        <w:rPr>
          <w:u w:val="single"/>
        </w:rPr>
        <w:t xml:space="preserve">Where the alteration of a building or portion thereof includes modifications to the means of egress illumination, such illumination levels shall comply with Chapter 10 of the </w:t>
      </w:r>
      <w:r w:rsidRPr="001B7F77">
        <w:rPr>
          <w:i/>
          <w:iCs/>
          <w:u w:val="single"/>
        </w:rPr>
        <w:t>New York City Building Code</w:t>
      </w:r>
      <w:r w:rsidRPr="001B7F77">
        <w:rPr>
          <w:u w:val="single"/>
        </w:rPr>
        <w:t>.</w:t>
      </w:r>
    </w:p>
    <w:p w14:paraId="67A87D4E" w14:textId="77777777" w:rsidR="001B7F77" w:rsidRPr="001B7F77" w:rsidRDefault="001B7F77" w:rsidP="001B7F77">
      <w:pPr>
        <w:widowControl w:val="0"/>
        <w:tabs>
          <w:tab w:val="left" w:pos="360"/>
        </w:tabs>
        <w:suppressAutoHyphens/>
        <w:spacing w:before="120"/>
        <w:ind w:left="360"/>
        <w:rPr>
          <w:u w:val="single"/>
        </w:rPr>
      </w:pPr>
      <w:r w:rsidRPr="001B7F77">
        <w:rPr>
          <w:b/>
          <w:u w:val="single"/>
        </w:rPr>
        <w:t>305.6.1 Emergency lighting in Places of Assembly</w:t>
      </w:r>
      <w:r w:rsidRPr="001B7F77">
        <w:rPr>
          <w:u w:val="single"/>
        </w:rPr>
        <w:t xml:space="preserve">. Existing emergency lighting installed in accordance with prior codes in Places of Assembly shall be maintained. Any modifications to such emergency lighting shall comply with Chapter 10 of the </w:t>
      </w:r>
      <w:r w:rsidRPr="001B7F77">
        <w:rPr>
          <w:i/>
          <w:iCs/>
          <w:u w:val="single"/>
        </w:rPr>
        <w:t>New York City Building Code</w:t>
      </w:r>
      <w:r w:rsidRPr="001B7F77">
        <w:rPr>
          <w:u w:val="single"/>
        </w:rPr>
        <w:t>.</w:t>
      </w:r>
    </w:p>
    <w:p w14:paraId="45DBF892" w14:textId="77777777" w:rsidR="001B7F77" w:rsidRPr="001B7F77" w:rsidRDefault="001B7F77" w:rsidP="001B7F77">
      <w:pPr>
        <w:widowControl w:val="0"/>
        <w:suppressAutoHyphens/>
        <w:spacing w:before="120"/>
        <w:rPr>
          <w:u w:val="single"/>
        </w:rPr>
      </w:pPr>
      <w:r w:rsidRPr="001B7F77">
        <w:rPr>
          <w:b/>
          <w:u w:val="single"/>
        </w:rPr>
        <w:t>305.7 Luminous egress path markings.</w:t>
      </w:r>
      <w:r w:rsidRPr="001B7F77">
        <w:rPr>
          <w:u w:val="single"/>
        </w:rPr>
        <w:t xml:space="preserve"> In a high-rise prior code building, where the level of alterations, additions, or change of occupancy trigger compliance with Section 905, 1005, or 1105 of this code, luminous egress path markings shall be provided in accordance with Chapter 10 of the </w:t>
      </w:r>
      <w:r w:rsidRPr="001B7F77">
        <w:rPr>
          <w:i/>
          <w:iCs/>
          <w:u w:val="single"/>
        </w:rPr>
        <w:t>New York City Building Code</w:t>
      </w:r>
      <w:r w:rsidRPr="001B7F77">
        <w:rPr>
          <w:u w:val="single"/>
        </w:rPr>
        <w:t>.</w:t>
      </w:r>
    </w:p>
    <w:p w14:paraId="22DBCDB6" w14:textId="77777777" w:rsidR="001B7F77" w:rsidRPr="001B7F77" w:rsidRDefault="001B7F77" w:rsidP="001B7F77">
      <w:pPr>
        <w:widowControl w:val="0"/>
        <w:tabs>
          <w:tab w:val="left" w:pos="1080"/>
        </w:tabs>
        <w:suppressAutoHyphens/>
        <w:spacing w:before="120"/>
        <w:ind w:left="360"/>
        <w:rPr>
          <w:b/>
          <w:u w:val="single"/>
        </w:rPr>
      </w:pPr>
      <w:r w:rsidRPr="001B7F77">
        <w:rPr>
          <w:b/>
          <w:u w:val="single"/>
        </w:rPr>
        <w:t>Exceptions:</w:t>
      </w:r>
    </w:p>
    <w:p w14:paraId="656F7C55" w14:textId="77777777" w:rsidR="001B7F77" w:rsidRPr="001B7F77" w:rsidRDefault="001B7F77" w:rsidP="001B7F77">
      <w:pPr>
        <w:widowControl w:val="0"/>
        <w:suppressAutoHyphens/>
        <w:spacing w:before="120"/>
        <w:ind w:left="907" w:hanging="360"/>
        <w:rPr>
          <w:u w:val="single"/>
        </w:rPr>
      </w:pPr>
      <w:r w:rsidRPr="001B7F77">
        <w:rPr>
          <w:u w:val="single"/>
        </w:rPr>
        <w:t>1.</w:t>
      </w:r>
      <w:r w:rsidRPr="001B7F77">
        <w:rPr>
          <w:u w:val="single"/>
        </w:rPr>
        <w:tab/>
        <w:t>Egress paths serving Group R-2 occupancies need not provide luminous egress path markings.</w:t>
      </w:r>
    </w:p>
    <w:p w14:paraId="0101B215" w14:textId="77777777" w:rsidR="001B7F77" w:rsidRPr="001B7F77" w:rsidRDefault="001B7F77" w:rsidP="001B7F77">
      <w:pPr>
        <w:widowControl w:val="0"/>
        <w:suppressAutoHyphens/>
        <w:spacing w:before="120"/>
        <w:ind w:left="907" w:hanging="360"/>
        <w:rPr>
          <w:u w:val="single"/>
        </w:rPr>
      </w:pPr>
      <w:r w:rsidRPr="001B7F77">
        <w:rPr>
          <w:u w:val="single"/>
        </w:rPr>
        <w:t>2.</w:t>
      </w:r>
      <w:r w:rsidRPr="001B7F77">
        <w:rPr>
          <w:u w:val="single"/>
        </w:rPr>
        <w:tab/>
        <w:t xml:space="preserve">Where means of egress lighting upgrade is required in accordance with Section 905, and such means of egress contains existing photoluminescent exit path markings tested in laboratory conditions with 2 foot-candles (22 lux) of activating illumination, the illumination level shall not be less than 2 foot-candles (22 lux), unless replaced with luminous path markings that comply with Chapter 10 of the </w:t>
      </w:r>
      <w:r w:rsidRPr="001B7F77">
        <w:rPr>
          <w:i/>
          <w:iCs/>
          <w:u w:val="single"/>
        </w:rPr>
        <w:t>New York City Building Code</w:t>
      </w:r>
      <w:r w:rsidRPr="001B7F77">
        <w:rPr>
          <w:u w:val="single"/>
        </w:rPr>
        <w:t>.</w:t>
      </w:r>
    </w:p>
    <w:p w14:paraId="39198401" w14:textId="77777777" w:rsidR="001B7F77" w:rsidRPr="001B7F77" w:rsidRDefault="001B7F77" w:rsidP="001B7F77">
      <w:pPr>
        <w:widowControl w:val="0"/>
        <w:suppressAutoHyphens/>
        <w:spacing w:before="120"/>
        <w:ind w:left="907" w:hanging="360"/>
        <w:rPr>
          <w:u w:val="single"/>
        </w:rPr>
      </w:pPr>
      <w:r w:rsidRPr="001B7F77">
        <w:rPr>
          <w:u w:val="single"/>
        </w:rPr>
        <w:t>3.</w:t>
      </w:r>
      <w:r w:rsidRPr="001B7F77">
        <w:rPr>
          <w:u w:val="single"/>
        </w:rPr>
        <w:tab/>
        <w:t xml:space="preserve">Where an addition is subject to Section 1105 of this code, and the existing portion of the stairs contains existing photoluminescent exit path markings tested in laboratory conditions with 2 foot-candles (22 lux) of activating illumination, the illumination level shall not be less than 2 foot-candles (22 lux), unless replaced with luminous path markings that comply with Chapter 10 of the </w:t>
      </w:r>
      <w:r w:rsidRPr="001B7F77">
        <w:rPr>
          <w:i/>
          <w:iCs/>
          <w:u w:val="single"/>
        </w:rPr>
        <w:t>New York City Building Code</w:t>
      </w:r>
      <w:r w:rsidRPr="001B7F77">
        <w:rPr>
          <w:u w:val="single"/>
        </w:rPr>
        <w:t>.</w:t>
      </w:r>
    </w:p>
    <w:p w14:paraId="22E9F2EF" w14:textId="77777777" w:rsidR="001B7F77" w:rsidRPr="001B7F77" w:rsidRDefault="001B7F77" w:rsidP="001B7F77">
      <w:pPr>
        <w:widowControl w:val="0"/>
        <w:suppressAutoHyphens/>
        <w:spacing w:before="120"/>
        <w:rPr>
          <w:u w:val="single"/>
        </w:rPr>
      </w:pPr>
      <w:r w:rsidRPr="001B7F77">
        <w:rPr>
          <w:b/>
          <w:u w:val="single"/>
        </w:rPr>
        <w:t>305.8 Flood hazard areas</w:t>
      </w:r>
      <w:r w:rsidRPr="001B7F77">
        <w:rPr>
          <w:u w:val="single"/>
        </w:rPr>
        <w:t xml:space="preserve">. In flood hazard areas, temporary flood shields shall be permitted in accordance with Appendix G of the </w:t>
      </w:r>
      <w:r w:rsidRPr="001B7F77">
        <w:rPr>
          <w:i/>
          <w:iCs/>
          <w:u w:val="single"/>
        </w:rPr>
        <w:t>New York City Building Code</w:t>
      </w:r>
      <w:r w:rsidRPr="001B7F77">
        <w:rPr>
          <w:u w:val="single"/>
        </w:rPr>
        <w:t xml:space="preserve">, and temporary stairs and ramps shall be permitted to provide ingress and egress in accordance with Appendix G of the </w:t>
      </w:r>
      <w:r w:rsidRPr="001B7F77">
        <w:rPr>
          <w:i/>
          <w:iCs/>
          <w:u w:val="single"/>
        </w:rPr>
        <w:t>New York City Building Code</w:t>
      </w:r>
      <w:r w:rsidRPr="001B7F77">
        <w:rPr>
          <w:u w:val="single"/>
        </w:rPr>
        <w:t>.</w:t>
      </w:r>
    </w:p>
    <w:p w14:paraId="04196E3B" w14:textId="77777777" w:rsidR="001B7F77" w:rsidRPr="001B7F77" w:rsidRDefault="001B7F77" w:rsidP="001B7F77">
      <w:pPr>
        <w:widowControl w:val="0"/>
        <w:suppressAutoHyphens/>
        <w:spacing w:before="120"/>
        <w:jc w:val="center"/>
        <w:outlineLvl w:val="0"/>
        <w:rPr>
          <w:b/>
          <w:bCs/>
          <w:u w:val="single"/>
        </w:rPr>
      </w:pPr>
      <w:bookmarkStart w:id="91" w:name="sec306"/>
      <w:bookmarkEnd w:id="78"/>
    </w:p>
    <w:p w14:paraId="5EA671C6" w14:textId="77777777" w:rsidR="001B7F77" w:rsidRPr="001B7F77" w:rsidRDefault="001B7F77" w:rsidP="001B7F77">
      <w:pPr>
        <w:widowControl w:val="0"/>
        <w:suppressAutoHyphens/>
        <w:spacing w:before="120"/>
        <w:jc w:val="center"/>
        <w:outlineLvl w:val="0"/>
        <w:rPr>
          <w:b/>
          <w:bCs/>
          <w:u w:val="single"/>
        </w:rPr>
      </w:pPr>
      <w:r w:rsidRPr="001B7F77">
        <w:rPr>
          <w:b/>
          <w:bCs/>
          <w:u w:val="single"/>
        </w:rPr>
        <w:t>SECTION EBC 306</w:t>
      </w:r>
      <w:r w:rsidRPr="001B7F77">
        <w:rPr>
          <w:b/>
          <w:bCs/>
          <w:u w:val="single"/>
        </w:rPr>
        <w:br/>
        <w:t>ACCESSIBILITY</w:t>
      </w:r>
    </w:p>
    <w:p w14:paraId="32679671" w14:textId="77777777" w:rsidR="001B7F77" w:rsidRPr="001B7F77" w:rsidRDefault="001B7F77" w:rsidP="001B7F77">
      <w:pPr>
        <w:widowControl w:val="0"/>
        <w:suppressAutoHyphens/>
        <w:spacing w:before="120"/>
        <w:rPr>
          <w:u w:val="single"/>
        </w:rPr>
      </w:pPr>
      <w:r w:rsidRPr="001B7F77">
        <w:rPr>
          <w:b/>
          <w:u w:val="single"/>
        </w:rPr>
        <w:t xml:space="preserve">306.1 Compliance. </w:t>
      </w:r>
      <w:r w:rsidRPr="001B7F77">
        <w:rPr>
          <w:u w:val="single"/>
        </w:rPr>
        <w:t xml:space="preserve">Alterations, including minor alterations, repairs excluding ordinary repairs, and alterations affecting an area containing a primary function, changes of use or occupancy, additions and relocation of existing buildings, shall comply with Chapter 11 of the </w:t>
      </w:r>
      <w:r w:rsidRPr="001B7F77">
        <w:rPr>
          <w:i/>
          <w:iCs/>
          <w:u w:val="single"/>
        </w:rPr>
        <w:t>New York City Building Code</w:t>
      </w:r>
      <w:r w:rsidRPr="001B7F77">
        <w:rPr>
          <w:u w:val="single"/>
        </w:rPr>
        <w:t xml:space="preserve"> and this code.</w:t>
      </w:r>
    </w:p>
    <w:p w14:paraId="4B033AE7" w14:textId="77777777" w:rsidR="001B7F77" w:rsidRPr="001B7F77" w:rsidRDefault="001B7F77" w:rsidP="001B7F77">
      <w:pPr>
        <w:widowControl w:val="0"/>
        <w:suppressAutoHyphens/>
        <w:spacing w:before="120"/>
        <w:ind w:left="360"/>
        <w:rPr>
          <w:u w:val="single"/>
        </w:rPr>
      </w:pPr>
      <w:r w:rsidRPr="001B7F77">
        <w:rPr>
          <w:b/>
          <w:u w:val="single"/>
        </w:rPr>
        <w:t>Exceptions</w:t>
      </w:r>
      <w:r w:rsidRPr="001B7F77">
        <w:rPr>
          <w:u w:val="single"/>
        </w:rPr>
        <w:t xml:space="preserve">: The provisions of Chapter 11 of the </w:t>
      </w:r>
      <w:r w:rsidRPr="001B7F77">
        <w:rPr>
          <w:i/>
          <w:iCs/>
          <w:u w:val="single"/>
        </w:rPr>
        <w:t>New York City Building Code</w:t>
      </w:r>
      <w:r w:rsidRPr="001B7F77">
        <w:rPr>
          <w:u w:val="single"/>
        </w:rPr>
        <w:t xml:space="preserve"> are not applicable to:</w:t>
      </w:r>
    </w:p>
    <w:p w14:paraId="55F77F31" w14:textId="77777777" w:rsidR="001B7F77" w:rsidRPr="001B7F77" w:rsidRDefault="001B7F77" w:rsidP="001B7F77">
      <w:pPr>
        <w:widowControl w:val="0"/>
        <w:pBdr>
          <w:top w:val="nil"/>
          <w:left w:val="nil"/>
          <w:bottom w:val="nil"/>
          <w:right w:val="nil"/>
          <w:between w:val="nil"/>
        </w:pBdr>
        <w:tabs>
          <w:tab w:val="left" w:pos="720"/>
        </w:tabs>
        <w:suppressAutoHyphens/>
        <w:autoSpaceDE w:val="0"/>
        <w:autoSpaceDN w:val="0"/>
        <w:adjustRightInd w:val="0"/>
        <w:spacing w:before="120"/>
        <w:ind w:left="1080" w:hanging="360"/>
        <w:rPr>
          <w:rFonts w:eastAsia="Arial"/>
          <w:szCs w:val="24"/>
          <w:u w:val="single"/>
        </w:rPr>
      </w:pPr>
      <w:r w:rsidRPr="001B7F77">
        <w:rPr>
          <w:rFonts w:eastAsia="Arial"/>
          <w:szCs w:val="24"/>
          <w:u w:val="single"/>
        </w:rPr>
        <w:t>1.</w:t>
      </w:r>
      <w:r w:rsidRPr="001B7F77">
        <w:rPr>
          <w:rFonts w:eastAsia="Arial"/>
          <w:szCs w:val="24"/>
          <w:u w:val="single"/>
        </w:rPr>
        <w:tab/>
        <w:t>Group R-3 occupancies in buildings with first occupancy on or before March 13, 1991.</w:t>
      </w:r>
    </w:p>
    <w:p w14:paraId="12D75B63" w14:textId="77777777" w:rsidR="001B7F77" w:rsidRPr="001B7F77" w:rsidRDefault="001B7F77" w:rsidP="001B7F77">
      <w:pPr>
        <w:widowControl w:val="0"/>
        <w:pBdr>
          <w:top w:val="nil"/>
          <w:left w:val="nil"/>
          <w:bottom w:val="nil"/>
          <w:right w:val="nil"/>
          <w:between w:val="nil"/>
        </w:pBdr>
        <w:tabs>
          <w:tab w:val="left" w:pos="720"/>
        </w:tabs>
        <w:suppressAutoHyphens/>
        <w:autoSpaceDE w:val="0"/>
        <w:autoSpaceDN w:val="0"/>
        <w:adjustRightInd w:val="0"/>
        <w:spacing w:before="120"/>
        <w:ind w:left="1080" w:hanging="360"/>
        <w:rPr>
          <w:rFonts w:eastAsia="Arial"/>
          <w:b/>
          <w:szCs w:val="24"/>
          <w:u w:val="single"/>
        </w:rPr>
      </w:pPr>
      <w:r w:rsidRPr="001B7F77">
        <w:rPr>
          <w:rFonts w:eastAsia="Arial"/>
          <w:szCs w:val="24"/>
          <w:u w:val="single"/>
        </w:rPr>
        <w:t>2.</w:t>
      </w:r>
      <w:r w:rsidRPr="001B7F77">
        <w:rPr>
          <w:rFonts w:eastAsia="Arial"/>
          <w:szCs w:val="24"/>
          <w:u w:val="single"/>
        </w:rPr>
        <w:tab/>
        <w:t>Group R-3 occupancies in buildings with first occupancy after March 13, 1991, that were originally constructed as a single structure with fewer than four dwelling or sleeping units</w:t>
      </w:r>
      <w:r w:rsidRPr="001B7F77">
        <w:rPr>
          <w:rFonts w:eastAsia="Arial"/>
          <w:b/>
          <w:szCs w:val="24"/>
          <w:u w:val="single"/>
        </w:rPr>
        <w:t>.</w:t>
      </w:r>
    </w:p>
    <w:p w14:paraId="6AD99D9C" w14:textId="77777777" w:rsidR="001B7F77" w:rsidRPr="001B7F77" w:rsidRDefault="001B7F77" w:rsidP="001B7F77">
      <w:pPr>
        <w:widowControl w:val="0"/>
        <w:tabs>
          <w:tab w:val="left" w:pos="360"/>
        </w:tabs>
        <w:suppressAutoHyphens/>
        <w:spacing w:before="120"/>
        <w:ind w:left="360"/>
        <w:rPr>
          <w:u w:val="single"/>
        </w:rPr>
      </w:pPr>
      <w:r w:rsidRPr="001B7F77">
        <w:rPr>
          <w:b/>
          <w:bCs/>
          <w:u w:val="single"/>
        </w:rPr>
        <w:t>306.1.1 Requirements based on the extent of alterations</w:t>
      </w:r>
      <w:r w:rsidRPr="001B7F77">
        <w:rPr>
          <w:u w:val="single"/>
        </w:rPr>
        <w:t xml:space="preserve">. Accessible features and construction governed by Chapter 11 of the </w:t>
      </w:r>
      <w:r w:rsidRPr="001B7F77">
        <w:rPr>
          <w:i/>
          <w:iCs/>
          <w:u w:val="single"/>
        </w:rPr>
        <w:t>New York City Building Code</w:t>
      </w:r>
      <w:r w:rsidRPr="001B7F77">
        <w:rPr>
          <w:u w:val="single"/>
        </w:rPr>
        <w:t xml:space="preserve"> shall be provided:</w:t>
      </w:r>
    </w:p>
    <w:p w14:paraId="39804FCD" w14:textId="77777777" w:rsidR="001B7F77" w:rsidRPr="001B7F77" w:rsidRDefault="001B7F77" w:rsidP="001B7F77">
      <w:pPr>
        <w:widowControl w:val="0"/>
        <w:pBdr>
          <w:top w:val="nil"/>
          <w:left w:val="nil"/>
          <w:bottom w:val="nil"/>
          <w:right w:val="nil"/>
          <w:between w:val="nil"/>
        </w:pBdr>
        <w:tabs>
          <w:tab w:val="left" w:pos="720"/>
        </w:tabs>
        <w:suppressAutoHyphens/>
        <w:autoSpaceDE w:val="0"/>
        <w:autoSpaceDN w:val="0"/>
        <w:adjustRightInd w:val="0"/>
        <w:spacing w:before="120"/>
        <w:ind w:left="1080" w:hanging="360"/>
        <w:rPr>
          <w:rFonts w:eastAsia="Arial"/>
          <w:strike/>
          <w:szCs w:val="24"/>
          <w:u w:val="single"/>
        </w:rPr>
      </w:pPr>
      <w:r w:rsidRPr="001B7F77">
        <w:rPr>
          <w:rFonts w:eastAsia="Arial"/>
          <w:szCs w:val="24"/>
          <w:u w:val="single"/>
        </w:rPr>
        <w:t>1.</w:t>
      </w:r>
      <w:r w:rsidRPr="001B7F77">
        <w:rPr>
          <w:rFonts w:eastAsia="Arial"/>
          <w:szCs w:val="24"/>
          <w:u w:val="single"/>
        </w:rPr>
        <w:tab/>
        <w:t>To the entire building undergoing alterations, as if the building were hereafter erected in accordance with Sections 302.7 or 906 as applicable; or</w:t>
      </w:r>
    </w:p>
    <w:p w14:paraId="0A823521" w14:textId="77777777" w:rsidR="001B7F77" w:rsidRPr="001B7F77" w:rsidRDefault="001B7F77" w:rsidP="001B7F77">
      <w:pPr>
        <w:widowControl w:val="0"/>
        <w:pBdr>
          <w:top w:val="nil"/>
          <w:left w:val="nil"/>
          <w:bottom w:val="nil"/>
          <w:right w:val="nil"/>
          <w:between w:val="nil"/>
        </w:pBdr>
        <w:tabs>
          <w:tab w:val="left" w:pos="720"/>
        </w:tabs>
        <w:suppressAutoHyphens/>
        <w:autoSpaceDE w:val="0"/>
        <w:autoSpaceDN w:val="0"/>
        <w:adjustRightInd w:val="0"/>
        <w:spacing w:before="120"/>
        <w:ind w:left="1080" w:hanging="360"/>
        <w:rPr>
          <w:rFonts w:eastAsia="Arial"/>
          <w:u w:val="single"/>
        </w:rPr>
      </w:pPr>
      <w:r w:rsidRPr="001B7F77">
        <w:rPr>
          <w:rFonts w:eastAsia="Arial"/>
          <w:u w:val="single"/>
        </w:rPr>
        <w:t>2.</w:t>
      </w:r>
      <w:r w:rsidRPr="001B7F77">
        <w:tab/>
      </w:r>
      <w:r w:rsidRPr="001B7F77">
        <w:rPr>
          <w:rFonts w:eastAsia="Arial"/>
          <w:u w:val="single"/>
        </w:rPr>
        <w:t>To the portion of the building being altered or repaired, excluding ordinary repairs, to the extent of the alteration, including minor alterations in accordance with Section 105, Chapter 5, Section 806 or Section 906, as applicable.</w:t>
      </w:r>
    </w:p>
    <w:p w14:paraId="403CFBAB" w14:textId="77777777" w:rsidR="001B7F77" w:rsidRPr="001B7F77" w:rsidRDefault="001B7F77" w:rsidP="001B7F77">
      <w:pPr>
        <w:widowControl w:val="0"/>
        <w:tabs>
          <w:tab w:val="left" w:pos="360"/>
        </w:tabs>
        <w:suppressAutoHyphens/>
        <w:spacing w:before="120"/>
        <w:ind w:left="360"/>
        <w:rPr>
          <w:u w:val="single"/>
        </w:rPr>
      </w:pPr>
      <w:r w:rsidRPr="001B7F77">
        <w:rPr>
          <w:b/>
          <w:u w:val="single"/>
        </w:rPr>
        <w:t>306.1.2 Alterations affecting an area containing a primary function.</w:t>
      </w:r>
      <w:r w:rsidRPr="001B7F77">
        <w:rPr>
          <w:u w:val="single"/>
        </w:rPr>
        <w:t xml:space="preserve"> Alterations affecting an area containing a primary function shall comply with Section 806.3.</w:t>
      </w:r>
    </w:p>
    <w:p w14:paraId="7E8FB04D" w14:textId="77777777" w:rsidR="001B7F77" w:rsidRPr="001B7F77" w:rsidRDefault="001B7F77" w:rsidP="001B7F77">
      <w:pPr>
        <w:widowControl w:val="0"/>
        <w:tabs>
          <w:tab w:val="left" w:pos="360"/>
        </w:tabs>
        <w:suppressAutoHyphens/>
        <w:spacing w:before="120"/>
        <w:ind w:left="360"/>
        <w:rPr>
          <w:u w:val="single"/>
        </w:rPr>
      </w:pPr>
      <w:r w:rsidRPr="001B7F77">
        <w:rPr>
          <w:b/>
          <w:u w:val="single"/>
        </w:rPr>
        <w:t xml:space="preserve">306.1.3 Change in occupancy or how a space is used. </w:t>
      </w:r>
      <w:r w:rsidRPr="001B7F77">
        <w:rPr>
          <w:rFonts w:eastAsia="Times"/>
          <w:color w:val="000000"/>
          <w:u w:val="single"/>
        </w:rPr>
        <w:t xml:space="preserve">Accessibility in buildings or portions of buildings undergoing a change of occupancy or use, as described in Section 1001.3, shall comply with </w:t>
      </w:r>
      <w:r w:rsidRPr="001B7F77">
        <w:rPr>
          <w:u w:val="single"/>
        </w:rPr>
        <w:t>Section 1006.</w:t>
      </w:r>
    </w:p>
    <w:p w14:paraId="696B6A5D" w14:textId="77777777" w:rsidR="001B7F77" w:rsidRPr="001B7F77" w:rsidRDefault="001B7F77" w:rsidP="001B7F77">
      <w:pPr>
        <w:widowControl w:val="0"/>
        <w:tabs>
          <w:tab w:val="left" w:pos="360"/>
        </w:tabs>
        <w:suppressAutoHyphens/>
        <w:spacing w:before="120"/>
        <w:ind w:left="360"/>
        <w:rPr>
          <w:u w:val="single"/>
        </w:rPr>
      </w:pPr>
      <w:r w:rsidRPr="001B7F77">
        <w:rPr>
          <w:b/>
          <w:u w:val="single"/>
        </w:rPr>
        <w:t>306.1.4 Additions to existing buildings.</w:t>
      </w:r>
      <w:r w:rsidRPr="001B7F77">
        <w:rPr>
          <w:u w:val="single"/>
        </w:rPr>
        <w:t xml:space="preserve"> Additions to existing buildings shall comply with Section 1106.</w:t>
      </w:r>
    </w:p>
    <w:p w14:paraId="58DC5D4E" w14:textId="77777777" w:rsidR="001B7F77" w:rsidRPr="001B7F77" w:rsidRDefault="001B7F77" w:rsidP="001B7F77">
      <w:pPr>
        <w:widowControl w:val="0"/>
        <w:suppressAutoHyphens/>
        <w:spacing w:before="120"/>
        <w:rPr>
          <w:u w:val="single"/>
        </w:rPr>
      </w:pPr>
      <w:r w:rsidRPr="001B7F77">
        <w:rPr>
          <w:b/>
          <w:bCs/>
          <w:u w:val="single"/>
        </w:rPr>
        <w:t>306.2 Special accessibility provisions.</w:t>
      </w:r>
      <w:r w:rsidRPr="001B7F77">
        <w:rPr>
          <w:u w:val="single"/>
        </w:rPr>
        <w:t xml:space="preserve"> Existing buildings or spaces shall comply with the applicable requirements of Sections 119 and 306.2.1 through 306.2.6. </w:t>
      </w:r>
    </w:p>
    <w:p w14:paraId="18F46C47" w14:textId="77777777" w:rsidR="001B7F77" w:rsidRPr="001B7F77" w:rsidRDefault="001B7F77" w:rsidP="001B7F77">
      <w:pPr>
        <w:widowControl w:val="0"/>
        <w:tabs>
          <w:tab w:val="left" w:pos="360"/>
        </w:tabs>
        <w:suppressAutoHyphens/>
        <w:spacing w:before="120"/>
        <w:ind w:left="360"/>
        <w:rPr>
          <w:strike/>
          <w:u w:val="single"/>
        </w:rPr>
      </w:pPr>
      <w:r w:rsidRPr="001B7F77">
        <w:rPr>
          <w:b/>
          <w:u w:val="single"/>
        </w:rPr>
        <w:t>306.2.1 Directional signage</w:t>
      </w:r>
      <w:r w:rsidRPr="001B7F77">
        <w:rPr>
          <w:u w:val="single"/>
        </w:rPr>
        <w:t xml:space="preserve">. Directional signage shall be provided in accordance with Section 1111.2 of the </w:t>
      </w:r>
      <w:r w:rsidRPr="001B7F77">
        <w:rPr>
          <w:i/>
          <w:iCs/>
          <w:u w:val="single"/>
        </w:rPr>
        <w:t>New York City Building Code</w:t>
      </w:r>
      <w:r w:rsidRPr="001B7F77">
        <w:rPr>
          <w:u w:val="single"/>
        </w:rPr>
        <w:t>.</w:t>
      </w:r>
    </w:p>
    <w:p w14:paraId="73EAABB1" w14:textId="77777777" w:rsidR="001B7F77" w:rsidRPr="001B7F77" w:rsidRDefault="001B7F77" w:rsidP="001B7F77">
      <w:pPr>
        <w:widowControl w:val="0"/>
        <w:tabs>
          <w:tab w:val="left" w:pos="360"/>
        </w:tabs>
        <w:suppressAutoHyphens/>
        <w:spacing w:before="120"/>
        <w:ind w:left="360"/>
        <w:rPr>
          <w:u w:val="single"/>
        </w:rPr>
      </w:pPr>
      <w:r w:rsidRPr="001B7F77">
        <w:rPr>
          <w:b/>
          <w:u w:val="single"/>
        </w:rPr>
        <w:t>306.2.2 Identifying signage</w:t>
      </w:r>
      <w:r w:rsidRPr="001B7F77">
        <w:rPr>
          <w:u w:val="single"/>
        </w:rPr>
        <w:t xml:space="preserve">. Identifying accessibility signage shall be provided in accordance with Section 1111.1 of the </w:t>
      </w:r>
      <w:r w:rsidRPr="001B7F77">
        <w:rPr>
          <w:i/>
          <w:iCs/>
          <w:u w:val="single"/>
        </w:rPr>
        <w:t>New York City Building Code</w:t>
      </w:r>
      <w:r w:rsidRPr="001B7F77">
        <w:rPr>
          <w:u w:val="single"/>
        </w:rPr>
        <w:t>.</w:t>
      </w:r>
    </w:p>
    <w:p w14:paraId="0CC9A595" w14:textId="77777777" w:rsidR="001B7F77" w:rsidRPr="001B7F77" w:rsidRDefault="001B7F77" w:rsidP="001B7F77">
      <w:pPr>
        <w:widowControl w:val="0"/>
        <w:tabs>
          <w:tab w:val="left" w:pos="360"/>
        </w:tabs>
        <w:suppressAutoHyphens/>
        <w:spacing w:before="120"/>
        <w:ind w:left="360"/>
        <w:rPr>
          <w:u w:val="single"/>
        </w:rPr>
      </w:pPr>
      <w:r w:rsidRPr="001B7F77">
        <w:rPr>
          <w:b/>
          <w:u w:val="single"/>
        </w:rPr>
        <w:t>306.2.3 Other signs</w:t>
      </w:r>
      <w:r w:rsidRPr="001B7F77">
        <w:rPr>
          <w:u w:val="single"/>
        </w:rPr>
        <w:t xml:space="preserve">. Signage indicating special accessibility provisions shall comply with Section 1111.3 of the </w:t>
      </w:r>
      <w:r w:rsidRPr="001B7F77">
        <w:rPr>
          <w:i/>
          <w:iCs/>
          <w:u w:val="single"/>
        </w:rPr>
        <w:t>New York City Building Code</w:t>
      </w:r>
      <w:r w:rsidRPr="001B7F77">
        <w:rPr>
          <w:u w:val="single"/>
        </w:rPr>
        <w:t>.</w:t>
      </w:r>
    </w:p>
    <w:p w14:paraId="2EE1F768" w14:textId="77777777" w:rsidR="001B7F77" w:rsidRPr="001B7F77" w:rsidRDefault="001B7F77" w:rsidP="001B7F77">
      <w:pPr>
        <w:widowControl w:val="0"/>
        <w:tabs>
          <w:tab w:val="left" w:pos="720"/>
        </w:tabs>
        <w:suppressAutoHyphens/>
        <w:spacing w:before="120"/>
        <w:ind w:left="720"/>
        <w:rPr>
          <w:color w:val="222222"/>
          <w:u w:val="single"/>
        </w:rPr>
      </w:pPr>
      <w:r w:rsidRPr="001B7F77">
        <w:rPr>
          <w:b/>
          <w:bCs/>
          <w:color w:val="222222"/>
          <w:u w:val="single"/>
        </w:rPr>
        <w:t>306.2.3.1 Prior code buildings with inaccessible entrances.</w:t>
      </w:r>
      <w:r w:rsidRPr="001B7F77">
        <w:rPr>
          <w:color w:val="222222"/>
          <w:u w:val="single"/>
        </w:rPr>
        <w:t xml:space="preserve"> At prior code buildings with one or more inaccessible entrances, signage stating that a portable ramp is available, if provided by the building, shall be provided at each inaccessible building entrance and shall contain the phone number to request such ramp. The use of a portable ramp by any building must comply with all applicable laws and any such ramp shall comply with Section 405 (Ramps) of ICC A117.1, except to the extent the commissioner has waived a requirement pursuant to Section 28-313.3.1 of the </w:t>
      </w:r>
      <w:r w:rsidRPr="001B7F77">
        <w:rPr>
          <w:i/>
          <w:color w:val="222222"/>
          <w:u w:val="single"/>
        </w:rPr>
        <w:t>Administrative Code</w:t>
      </w:r>
      <w:r w:rsidRPr="001B7F77">
        <w:rPr>
          <w:color w:val="222222"/>
          <w:u w:val="single"/>
        </w:rPr>
        <w:t xml:space="preserve">. All signage posted pursuant to this section shall comply with Section 1111 of the </w:t>
      </w:r>
      <w:r w:rsidRPr="001B7F77">
        <w:rPr>
          <w:i/>
          <w:iCs/>
          <w:color w:val="222222"/>
          <w:u w:val="single"/>
        </w:rPr>
        <w:t>New York City Building Code</w:t>
      </w:r>
      <w:r w:rsidRPr="001B7F77">
        <w:rPr>
          <w:color w:val="222222"/>
          <w:u w:val="single"/>
        </w:rPr>
        <w:t xml:space="preserve"> and be maintained in good condition. Nothing in this section shall be construed to authorize the provision of a portable ramp where such provision would not otherwise be lawful.</w:t>
      </w:r>
    </w:p>
    <w:p w14:paraId="2DDD260D" w14:textId="77777777" w:rsidR="001B7F77" w:rsidRPr="001B7F77" w:rsidRDefault="001B7F77" w:rsidP="001B7F77">
      <w:pPr>
        <w:widowControl w:val="0"/>
        <w:tabs>
          <w:tab w:val="left" w:pos="360"/>
        </w:tabs>
        <w:suppressAutoHyphens/>
        <w:spacing w:before="120"/>
        <w:ind w:left="360"/>
        <w:rPr>
          <w:u w:val="single"/>
        </w:rPr>
      </w:pPr>
      <w:r w:rsidRPr="001B7F77">
        <w:rPr>
          <w:b/>
          <w:u w:val="single"/>
        </w:rPr>
        <w:t>306.2.4 Limited Use Limited Application (LULA) elevators in existing buildings.</w:t>
      </w:r>
      <w:r w:rsidRPr="001B7F77">
        <w:rPr>
          <w:u w:val="single"/>
        </w:rPr>
        <w:t xml:space="preserve"> In existing buildings, LULA elevators shall comply with Section 408 (Limited-use / Limited-Application Elevators) of ICC A117.1 and with Part 5.2 of ASME A17.1, as modified by Appendix K of the </w:t>
      </w:r>
      <w:r w:rsidRPr="001B7F77">
        <w:rPr>
          <w:i/>
          <w:iCs/>
          <w:u w:val="single"/>
        </w:rPr>
        <w:t>New York City Building Code</w:t>
      </w:r>
      <w:r w:rsidRPr="001B7F77">
        <w:rPr>
          <w:u w:val="single"/>
        </w:rPr>
        <w:t>. LULA elevators shall be limited to a maximum rise of not more than 25 feet (7620 mm) and shall be permitted to be a part of the required accessible route as follows:</w:t>
      </w:r>
    </w:p>
    <w:p w14:paraId="18098F53" w14:textId="77777777" w:rsidR="001B7F77" w:rsidRPr="001B7F77" w:rsidRDefault="001B7F77" w:rsidP="001B7F77">
      <w:pPr>
        <w:widowControl w:val="0"/>
        <w:pBdr>
          <w:top w:val="nil"/>
          <w:left w:val="nil"/>
          <w:bottom w:val="nil"/>
          <w:right w:val="nil"/>
          <w:between w:val="nil"/>
        </w:pBdr>
        <w:tabs>
          <w:tab w:val="left" w:pos="720"/>
        </w:tabs>
        <w:suppressAutoHyphens/>
        <w:autoSpaceDE w:val="0"/>
        <w:autoSpaceDN w:val="0"/>
        <w:adjustRightInd w:val="0"/>
        <w:spacing w:before="120"/>
        <w:ind w:left="1080" w:hanging="360"/>
        <w:rPr>
          <w:rFonts w:eastAsia="Arial"/>
          <w:szCs w:val="24"/>
          <w:u w:val="single"/>
        </w:rPr>
      </w:pPr>
      <w:r w:rsidRPr="001B7F77">
        <w:rPr>
          <w:rFonts w:eastAsia="Arial"/>
          <w:szCs w:val="24"/>
          <w:u w:val="single"/>
        </w:rPr>
        <w:t>1.</w:t>
      </w:r>
      <w:r w:rsidRPr="001B7F77">
        <w:rPr>
          <w:rFonts w:eastAsia="Arial"/>
          <w:szCs w:val="24"/>
          <w:u w:val="single"/>
        </w:rPr>
        <w:tab/>
        <w:t xml:space="preserve">In spaces complying with Section 1109.7.1 of the </w:t>
      </w:r>
      <w:r w:rsidRPr="001B7F77">
        <w:rPr>
          <w:rFonts w:eastAsia="Arial"/>
          <w:i/>
          <w:iCs/>
          <w:szCs w:val="24"/>
          <w:u w:val="single"/>
        </w:rPr>
        <w:t>New York City Building Code</w:t>
      </w:r>
      <w:r w:rsidRPr="001B7F77">
        <w:rPr>
          <w:rFonts w:eastAsia="Arial"/>
          <w:szCs w:val="24"/>
          <w:u w:val="single"/>
        </w:rPr>
        <w:t xml:space="preserve"> where a LULA is permitted in new construction;</w:t>
      </w:r>
    </w:p>
    <w:p w14:paraId="41CC2B62" w14:textId="77777777" w:rsidR="001B7F77" w:rsidRPr="001B7F77" w:rsidRDefault="001B7F77" w:rsidP="001B7F77">
      <w:pPr>
        <w:widowControl w:val="0"/>
        <w:pBdr>
          <w:top w:val="nil"/>
          <w:left w:val="nil"/>
          <w:bottom w:val="nil"/>
          <w:right w:val="nil"/>
          <w:between w:val="nil"/>
        </w:pBdr>
        <w:tabs>
          <w:tab w:val="left" w:pos="720"/>
        </w:tabs>
        <w:suppressAutoHyphens/>
        <w:autoSpaceDE w:val="0"/>
        <w:autoSpaceDN w:val="0"/>
        <w:adjustRightInd w:val="0"/>
        <w:spacing w:before="120"/>
        <w:ind w:left="1080" w:hanging="360"/>
        <w:rPr>
          <w:rFonts w:eastAsia="Arial"/>
          <w:szCs w:val="24"/>
          <w:u w:val="single"/>
        </w:rPr>
      </w:pPr>
      <w:r w:rsidRPr="001B7F77">
        <w:rPr>
          <w:rFonts w:eastAsia="Arial"/>
          <w:szCs w:val="24"/>
          <w:u w:val="single"/>
        </w:rPr>
        <w:t>2.</w:t>
      </w:r>
      <w:r w:rsidRPr="001B7F77">
        <w:rPr>
          <w:rFonts w:eastAsia="Arial"/>
          <w:szCs w:val="24"/>
          <w:u w:val="single"/>
        </w:rPr>
        <w:tab/>
        <w:t>Where the total floor area of the entire building is less than 10,000 square feet (929 m²); or</w:t>
      </w:r>
    </w:p>
    <w:p w14:paraId="50A92C56" w14:textId="77777777" w:rsidR="001B7F77" w:rsidRPr="001B7F77" w:rsidRDefault="001B7F77" w:rsidP="001B7F77">
      <w:pPr>
        <w:widowControl w:val="0"/>
        <w:pBdr>
          <w:top w:val="nil"/>
          <w:left w:val="nil"/>
          <w:bottom w:val="nil"/>
          <w:right w:val="nil"/>
          <w:between w:val="nil"/>
        </w:pBdr>
        <w:tabs>
          <w:tab w:val="left" w:pos="720"/>
        </w:tabs>
        <w:suppressAutoHyphens/>
        <w:autoSpaceDE w:val="0"/>
        <w:autoSpaceDN w:val="0"/>
        <w:adjustRightInd w:val="0"/>
        <w:spacing w:before="120"/>
        <w:ind w:left="1080" w:hanging="360"/>
        <w:rPr>
          <w:rFonts w:eastAsia="Arial"/>
          <w:szCs w:val="24"/>
          <w:u w:val="single"/>
        </w:rPr>
      </w:pPr>
      <w:r w:rsidRPr="001B7F77">
        <w:rPr>
          <w:rFonts w:eastAsia="Arial"/>
          <w:szCs w:val="24"/>
          <w:u w:val="single"/>
        </w:rPr>
        <w:t>3.</w:t>
      </w:r>
      <w:r w:rsidRPr="001B7F77">
        <w:rPr>
          <w:rFonts w:eastAsia="Arial"/>
          <w:szCs w:val="24"/>
          <w:u w:val="single"/>
        </w:rPr>
        <w:tab/>
        <w:t>Where it serves an individual occupancy of less than 10,000 square feet (929 m²) in buildings of 10,000 square feet (929 m²) or more.</w:t>
      </w:r>
    </w:p>
    <w:p w14:paraId="0516C200" w14:textId="77777777" w:rsidR="001B7F77" w:rsidRPr="001B7F77" w:rsidRDefault="001B7F77" w:rsidP="001B7F77">
      <w:pPr>
        <w:widowControl w:val="0"/>
        <w:tabs>
          <w:tab w:val="left" w:pos="360"/>
        </w:tabs>
        <w:suppressAutoHyphens/>
        <w:spacing w:before="120"/>
        <w:ind w:left="360"/>
        <w:rPr>
          <w:u w:val="single"/>
        </w:rPr>
      </w:pPr>
      <w:r w:rsidRPr="001B7F77">
        <w:rPr>
          <w:b/>
          <w:u w:val="single"/>
        </w:rPr>
        <w:t>306.2.5 Lifts in existing buildings.</w:t>
      </w:r>
      <w:r w:rsidRPr="001B7F77">
        <w:rPr>
          <w:u w:val="single"/>
        </w:rPr>
        <w:t xml:space="preserve"> In existing buildings, platform (wheelchair) lifts installed in accordance with Section 410 (Platform Lifts) of ICC A117.1, ASME A18.1, and Chapter 30 of the </w:t>
      </w:r>
      <w:r w:rsidRPr="001B7F77">
        <w:rPr>
          <w:i/>
          <w:iCs/>
          <w:u w:val="single"/>
        </w:rPr>
        <w:t>New York City Building Code</w:t>
      </w:r>
      <w:r w:rsidRPr="001B7F77">
        <w:rPr>
          <w:u w:val="single"/>
        </w:rPr>
        <w:t>, shall be permitted to be a part of the required accessible route.</w:t>
      </w:r>
    </w:p>
    <w:p w14:paraId="551D3CE9" w14:textId="77777777" w:rsidR="001B7F77" w:rsidRPr="001B7F77" w:rsidRDefault="001B7F77" w:rsidP="001B7F77">
      <w:pPr>
        <w:widowControl w:val="0"/>
        <w:suppressAutoHyphens/>
        <w:spacing w:before="120"/>
        <w:rPr>
          <w:u w:val="single"/>
        </w:rPr>
      </w:pPr>
      <w:r w:rsidRPr="001B7F77">
        <w:rPr>
          <w:b/>
          <w:u w:val="single"/>
        </w:rPr>
        <w:t>306.3 Waiver of requirements.</w:t>
      </w:r>
      <w:r w:rsidRPr="001B7F77">
        <w:rPr>
          <w:u w:val="single"/>
        </w:rPr>
        <w:t xml:space="preserve"> The commissioner may waive the requirements of Chapter 11 of the </w:t>
      </w:r>
      <w:r w:rsidRPr="001B7F77">
        <w:rPr>
          <w:i/>
          <w:iCs/>
          <w:u w:val="single"/>
        </w:rPr>
        <w:t>New York City Building Code</w:t>
      </w:r>
      <w:r w:rsidRPr="001B7F77">
        <w:rPr>
          <w:u w:val="single"/>
        </w:rPr>
        <w:t xml:space="preserve"> or the accessibility provisions of this code, for the alteration of existing buildings, provided that such waiver would not significantly adversely affect provisions for health, safety and security and that equally safe and proper alternatives are prescribed and, further, that such waiver is based upon a specific finding that strict compliance with the requirement:</w:t>
      </w:r>
    </w:p>
    <w:p w14:paraId="5DB69859" w14:textId="77777777" w:rsidR="001B7F77" w:rsidRPr="001B7F77" w:rsidRDefault="001B7F77" w:rsidP="001B7F77">
      <w:pPr>
        <w:widowControl w:val="0"/>
        <w:pBdr>
          <w:top w:val="nil"/>
          <w:left w:val="nil"/>
          <w:bottom w:val="nil"/>
          <w:right w:val="nil"/>
          <w:between w:val="nil"/>
        </w:pBdr>
        <w:tabs>
          <w:tab w:val="left" w:pos="720"/>
        </w:tabs>
        <w:suppressAutoHyphens/>
        <w:autoSpaceDE w:val="0"/>
        <w:autoSpaceDN w:val="0"/>
        <w:adjustRightInd w:val="0"/>
        <w:spacing w:before="120"/>
        <w:ind w:left="720" w:hanging="360"/>
        <w:rPr>
          <w:u w:val="single"/>
        </w:rPr>
      </w:pPr>
      <w:r w:rsidRPr="001B7F77">
        <w:rPr>
          <w:u w:val="single"/>
        </w:rPr>
        <w:t>1.</w:t>
      </w:r>
      <w:r w:rsidRPr="001B7F77">
        <w:rPr>
          <w:u w:val="single"/>
        </w:rPr>
        <w:tab/>
        <w:t>Would create an undue economic burden;</w:t>
      </w:r>
    </w:p>
    <w:p w14:paraId="40FF8924" w14:textId="77777777" w:rsidR="001B7F77" w:rsidRPr="001B7F77" w:rsidRDefault="001B7F77" w:rsidP="001B7F77">
      <w:pPr>
        <w:widowControl w:val="0"/>
        <w:pBdr>
          <w:top w:val="nil"/>
          <w:left w:val="nil"/>
          <w:bottom w:val="nil"/>
          <w:right w:val="nil"/>
          <w:between w:val="nil"/>
        </w:pBdr>
        <w:tabs>
          <w:tab w:val="left" w:pos="720"/>
        </w:tabs>
        <w:suppressAutoHyphens/>
        <w:autoSpaceDE w:val="0"/>
        <w:autoSpaceDN w:val="0"/>
        <w:adjustRightInd w:val="0"/>
        <w:spacing w:before="120"/>
        <w:ind w:left="720" w:hanging="360"/>
        <w:rPr>
          <w:u w:val="single"/>
        </w:rPr>
      </w:pPr>
      <w:r w:rsidRPr="001B7F77">
        <w:rPr>
          <w:u w:val="single"/>
        </w:rPr>
        <w:t>2.</w:t>
      </w:r>
      <w:r w:rsidRPr="001B7F77">
        <w:rPr>
          <w:u w:val="single"/>
        </w:rPr>
        <w:tab/>
        <w:t>Would not achieve its intended objective;</w:t>
      </w:r>
    </w:p>
    <w:p w14:paraId="263CF8C1" w14:textId="77777777" w:rsidR="001B7F77" w:rsidRPr="001B7F77" w:rsidRDefault="001B7F77" w:rsidP="001B7F77">
      <w:pPr>
        <w:widowControl w:val="0"/>
        <w:pBdr>
          <w:top w:val="nil"/>
          <w:left w:val="nil"/>
          <w:bottom w:val="nil"/>
          <w:right w:val="nil"/>
          <w:between w:val="nil"/>
        </w:pBdr>
        <w:tabs>
          <w:tab w:val="left" w:pos="720"/>
        </w:tabs>
        <w:suppressAutoHyphens/>
        <w:autoSpaceDE w:val="0"/>
        <w:autoSpaceDN w:val="0"/>
        <w:adjustRightInd w:val="0"/>
        <w:spacing w:before="120"/>
        <w:ind w:left="720" w:hanging="360"/>
        <w:rPr>
          <w:u w:val="single"/>
        </w:rPr>
      </w:pPr>
      <w:r w:rsidRPr="001B7F77">
        <w:rPr>
          <w:u w:val="single"/>
        </w:rPr>
        <w:t>3.</w:t>
      </w:r>
      <w:r w:rsidRPr="001B7F77">
        <w:rPr>
          <w:u w:val="single"/>
        </w:rPr>
        <w:tab/>
        <w:t>Would be technically infeasible or legally impossible;</w:t>
      </w:r>
    </w:p>
    <w:p w14:paraId="0C1FD351" w14:textId="77777777" w:rsidR="001B7F77" w:rsidRPr="001B7F77" w:rsidRDefault="001B7F77" w:rsidP="001B7F77">
      <w:pPr>
        <w:widowControl w:val="0"/>
        <w:pBdr>
          <w:top w:val="nil"/>
          <w:left w:val="nil"/>
          <w:bottom w:val="nil"/>
          <w:right w:val="nil"/>
          <w:between w:val="nil"/>
        </w:pBdr>
        <w:tabs>
          <w:tab w:val="left" w:pos="720"/>
        </w:tabs>
        <w:suppressAutoHyphens/>
        <w:autoSpaceDE w:val="0"/>
        <w:autoSpaceDN w:val="0"/>
        <w:adjustRightInd w:val="0"/>
        <w:spacing w:before="120"/>
        <w:ind w:left="720" w:hanging="360"/>
        <w:rPr>
          <w:u w:val="single"/>
        </w:rPr>
      </w:pPr>
      <w:r w:rsidRPr="001B7F77">
        <w:rPr>
          <w:u w:val="single"/>
        </w:rPr>
        <w:t>4.</w:t>
      </w:r>
      <w:r w:rsidRPr="001B7F77">
        <w:rPr>
          <w:u w:val="single"/>
        </w:rPr>
        <w:tab/>
        <w:t>Would be unnecessary in light of alternatives that ensure the achievement of the intended objective or which, without a loss in the level of safety, achieve the intended objective more efficiently, effectively or economically; or</w:t>
      </w:r>
    </w:p>
    <w:p w14:paraId="3BFA7DAD" w14:textId="77777777" w:rsidR="001B7F77" w:rsidRPr="001B7F77" w:rsidRDefault="001B7F77" w:rsidP="001B7F77">
      <w:pPr>
        <w:widowControl w:val="0"/>
        <w:pBdr>
          <w:top w:val="nil"/>
          <w:left w:val="nil"/>
          <w:bottom w:val="nil"/>
          <w:right w:val="nil"/>
          <w:between w:val="nil"/>
        </w:pBdr>
        <w:tabs>
          <w:tab w:val="left" w:pos="720"/>
        </w:tabs>
        <w:suppressAutoHyphens/>
        <w:autoSpaceDE w:val="0"/>
        <w:autoSpaceDN w:val="0"/>
        <w:adjustRightInd w:val="0"/>
        <w:spacing w:before="120"/>
        <w:ind w:left="720" w:hanging="360"/>
        <w:rPr>
          <w:u w:val="single"/>
        </w:rPr>
      </w:pPr>
      <w:r w:rsidRPr="001B7F77">
        <w:rPr>
          <w:u w:val="single"/>
        </w:rPr>
        <w:t>5.</w:t>
      </w:r>
      <w:r w:rsidRPr="001B7F77">
        <w:rPr>
          <w:u w:val="single"/>
        </w:rPr>
        <w:tab/>
        <w:t>Would entail a change so slight as to produce a negligible additional benefit consonant with the purposes of this chapter.</w:t>
      </w:r>
    </w:p>
    <w:p w14:paraId="13B438FB" w14:textId="77777777" w:rsidR="001B7F77" w:rsidRPr="001B7F77" w:rsidRDefault="001B7F77" w:rsidP="001B7F77">
      <w:pPr>
        <w:widowControl w:val="0"/>
        <w:tabs>
          <w:tab w:val="left" w:pos="360"/>
        </w:tabs>
        <w:suppressAutoHyphens/>
        <w:spacing w:before="120"/>
        <w:ind w:left="360"/>
        <w:rPr>
          <w:u w:val="single"/>
        </w:rPr>
      </w:pPr>
      <w:r w:rsidRPr="001B7F77">
        <w:rPr>
          <w:b/>
          <w:u w:val="single"/>
        </w:rPr>
        <w:t>306.3.1 Application process</w:t>
      </w:r>
      <w:r w:rsidRPr="001B7F77">
        <w:rPr>
          <w:u w:val="single"/>
        </w:rPr>
        <w:t xml:space="preserve">. </w:t>
      </w:r>
      <w:bookmarkStart w:id="92" w:name="_Hlk75779045"/>
      <w:r w:rsidRPr="001B7F77">
        <w:rPr>
          <w:u w:val="single"/>
        </w:rPr>
        <w:t>Each application for a waiver shall be made to the commissioner in writing, setting forth each requirement sought to be waived and the specific reason or reasons</w:t>
      </w:r>
      <w:bookmarkEnd w:id="92"/>
      <w:r w:rsidRPr="001B7F77">
        <w:rPr>
          <w:u w:val="single"/>
        </w:rPr>
        <w:t xml:space="preserve"> for such waiver request. The commissioner shall determine, under all of the circumstances presented by such application, which of such requirements may appropriately be waived. The commissioner shall render such determination in writing, which shall set forth in detail, the commissioner’s findings and conclusions with respect to each requirement sought to be waived. A copy of such written determination shall be forwarded to the applicant. Such written determination shall be filed with the Department and shall be available for public inspection.</w:t>
      </w:r>
    </w:p>
    <w:p w14:paraId="03FAB494" w14:textId="77777777" w:rsidR="001B7F77" w:rsidRPr="001B7F77" w:rsidRDefault="001B7F77" w:rsidP="001B7F77">
      <w:pPr>
        <w:widowControl w:val="0"/>
        <w:tabs>
          <w:tab w:val="left" w:pos="360"/>
        </w:tabs>
        <w:suppressAutoHyphens/>
        <w:spacing w:before="120"/>
        <w:ind w:left="360"/>
        <w:rPr>
          <w:u w:val="single"/>
        </w:rPr>
      </w:pPr>
      <w:r w:rsidRPr="001B7F77">
        <w:rPr>
          <w:b/>
          <w:u w:val="single"/>
        </w:rPr>
        <w:t>306.3.2 Waiver recommendation</w:t>
      </w:r>
      <w:r w:rsidRPr="001B7F77">
        <w:rPr>
          <w:u w:val="single"/>
        </w:rPr>
        <w:t>. The Mayor’s Office for People with Disabilities or its successor agency shall be consulted by and shall advise the commissioner concerning each application for a waiver under Section 306.3.</w:t>
      </w:r>
    </w:p>
    <w:p w14:paraId="43EE3881" w14:textId="77777777" w:rsidR="001B7F77" w:rsidRPr="001B7F77" w:rsidRDefault="001B7F77" w:rsidP="001B7F77">
      <w:pPr>
        <w:widowControl w:val="0"/>
        <w:suppressAutoHyphens/>
        <w:spacing w:before="120"/>
        <w:rPr>
          <w:u w:val="single"/>
        </w:rPr>
      </w:pPr>
      <w:r w:rsidRPr="001B7F77">
        <w:rPr>
          <w:b/>
          <w:u w:val="single"/>
        </w:rPr>
        <w:t>306.4 Existing facilities.</w:t>
      </w:r>
      <w:r w:rsidRPr="001B7F77">
        <w:rPr>
          <w:u w:val="single"/>
        </w:rPr>
        <w:t xml:space="preserve"> The provisions of this code shall not impose a requirement for greater accessibility than that which would be required for new construction. No work made to existing facilities, including ordinary repairs, shall:</w:t>
      </w:r>
    </w:p>
    <w:p w14:paraId="24FA832F" w14:textId="77777777" w:rsidR="001B7F77" w:rsidRPr="001B7F77" w:rsidRDefault="001B7F77" w:rsidP="001B7F77">
      <w:pPr>
        <w:widowControl w:val="0"/>
        <w:pBdr>
          <w:top w:val="nil"/>
          <w:left w:val="nil"/>
          <w:bottom w:val="nil"/>
          <w:right w:val="nil"/>
          <w:between w:val="nil"/>
        </w:pBdr>
        <w:tabs>
          <w:tab w:val="left" w:pos="720"/>
        </w:tabs>
        <w:suppressAutoHyphens/>
        <w:autoSpaceDE w:val="0"/>
        <w:autoSpaceDN w:val="0"/>
        <w:adjustRightInd w:val="0"/>
        <w:spacing w:before="120" w:line="226" w:lineRule="auto"/>
        <w:ind w:left="720" w:hanging="360"/>
        <w:rPr>
          <w:rFonts w:eastAsia="Arial"/>
          <w:szCs w:val="24"/>
          <w:u w:val="single"/>
        </w:rPr>
      </w:pPr>
      <w:r w:rsidRPr="001B7F77">
        <w:rPr>
          <w:rFonts w:eastAsia="Arial"/>
          <w:szCs w:val="24"/>
          <w:u w:val="single"/>
        </w:rPr>
        <w:t>1.</w:t>
      </w:r>
      <w:r w:rsidRPr="001B7F77">
        <w:rPr>
          <w:rFonts w:eastAsia="Arial"/>
          <w:szCs w:val="24"/>
          <w:u w:val="single"/>
        </w:rPr>
        <w:tab/>
        <w:t>Cause existing accessible facilities to be reduced or diminished to less than those that would be required for new construction; and</w:t>
      </w:r>
    </w:p>
    <w:p w14:paraId="39875F24" w14:textId="77777777" w:rsidR="001B7F77" w:rsidRPr="001B7F77" w:rsidRDefault="001B7F77" w:rsidP="001B7F77">
      <w:pPr>
        <w:widowControl w:val="0"/>
        <w:pBdr>
          <w:top w:val="nil"/>
          <w:left w:val="nil"/>
          <w:bottom w:val="nil"/>
          <w:right w:val="nil"/>
          <w:between w:val="nil"/>
        </w:pBdr>
        <w:tabs>
          <w:tab w:val="left" w:pos="720"/>
        </w:tabs>
        <w:suppressAutoHyphens/>
        <w:autoSpaceDE w:val="0"/>
        <w:autoSpaceDN w:val="0"/>
        <w:adjustRightInd w:val="0"/>
        <w:spacing w:before="120" w:line="226" w:lineRule="auto"/>
        <w:ind w:left="720" w:hanging="360"/>
        <w:rPr>
          <w:rFonts w:eastAsia="Arial"/>
          <w:szCs w:val="24"/>
          <w:u w:val="single"/>
        </w:rPr>
      </w:pPr>
      <w:r w:rsidRPr="001B7F77">
        <w:rPr>
          <w:rFonts w:eastAsia="Arial"/>
          <w:szCs w:val="24"/>
          <w:u w:val="single"/>
        </w:rPr>
        <w:t>2.</w:t>
      </w:r>
      <w:r w:rsidRPr="001B7F77">
        <w:rPr>
          <w:rFonts w:eastAsia="Arial"/>
          <w:szCs w:val="24"/>
          <w:u w:val="single"/>
        </w:rPr>
        <w:tab/>
        <w:t>Reduce or have the effect of reducing or diminishing the level of accessibility of a facility or portion of a facility.</w:t>
      </w:r>
    </w:p>
    <w:p w14:paraId="1959C358" w14:textId="77777777" w:rsidR="001B7F77" w:rsidRPr="001B7F77" w:rsidRDefault="001B7F77" w:rsidP="001B7F77">
      <w:pPr>
        <w:widowControl w:val="0"/>
        <w:pBdr>
          <w:top w:val="nil"/>
          <w:left w:val="nil"/>
          <w:bottom w:val="nil"/>
          <w:right w:val="nil"/>
          <w:between w:val="nil"/>
        </w:pBdr>
        <w:tabs>
          <w:tab w:val="left" w:pos="720"/>
        </w:tabs>
        <w:suppressAutoHyphens/>
        <w:autoSpaceDE w:val="0"/>
        <w:autoSpaceDN w:val="0"/>
        <w:adjustRightInd w:val="0"/>
        <w:spacing w:before="120" w:line="226" w:lineRule="auto"/>
        <w:ind w:left="720" w:hanging="360"/>
        <w:rPr>
          <w:rFonts w:eastAsia="Arial"/>
          <w:szCs w:val="24"/>
          <w:u w:val="single"/>
        </w:rPr>
      </w:pPr>
    </w:p>
    <w:p w14:paraId="23A7C396" w14:textId="77777777" w:rsidR="001B7F77" w:rsidRPr="001B7F77" w:rsidRDefault="001B7F77" w:rsidP="001B7F77">
      <w:pPr>
        <w:widowControl w:val="0"/>
        <w:suppressAutoHyphens/>
        <w:spacing w:before="120"/>
        <w:jc w:val="center"/>
        <w:outlineLvl w:val="0"/>
        <w:rPr>
          <w:b/>
          <w:bCs/>
          <w:u w:val="single"/>
        </w:rPr>
      </w:pPr>
      <w:bookmarkStart w:id="93" w:name="_Hlk85538280"/>
      <w:bookmarkStart w:id="94" w:name="sec308"/>
      <w:bookmarkEnd w:id="91"/>
      <w:r w:rsidRPr="001B7F77">
        <w:rPr>
          <w:b/>
          <w:bCs/>
          <w:u w:val="single"/>
        </w:rPr>
        <w:t>SECTION EBC 307</w:t>
      </w:r>
      <w:r w:rsidRPr="001B7F77">
        <w:rPr>
          <w:b/>
          <w:bCs/>
          <w:u w:val="single"/>
        </w:rPr>
        <w:br/>
      </w:r>
      <w:r w:rsidRPr="001B7F77">
        <w:rPr>
          <w:b/>
          <w:u w:val="single"/>
        </w:rPr>
        <w:t>STRUCTURAL</w:t>
      </w:r>
    </w:p>
    <w:p w14:paraId="7607294E" w14:textId="77777777" w:rsidR="001B7F77" w:rsidRPr="001B7F77" w:rsidRDefault="001B7F77" w:rsidP="001B7F77">
      <w:pPr>
        <w:widowControl w:val="0"/>
        <w:suppressAutoHyphens/>
        <w:spacing w:before="120"/>
        <w:rPr>
          <w:u w:val="single"/>
        </w:rPr>
      </w:pPr>
      <w:r w:rsidRPr="001B7F77">
        <w:rPr>
          <w:b/>
          <w:u w:val="single"/>
        </w:rPr>
        <w:t>307.1 General</w:t>
      </w:r>
      <w:r w:rsidRPr="001B7F77">
        <w:rPr>
          <w:u w:val="single"/>
        </w:rPr>
        <w:t>. Repair, alteration, partial demolition, removal, change of occupancy, relocation, moving, raising of or additions to existing buildings shall be subject to the provisions of Chapter 7. The applicability of Chapter 7 shall not be limited only to planned structural work and shall include structural elements in need of repair discovered during the course of construction.</w:t>
      </w:r>
    </w:p>
    <w:p w14:paraId="0BC8910C" w14:textId="77777777" w:rsidR="001B7F77" w:rsidRPr="001B7F77" w:rsidRDefault="001B7F77" w:rsidP="001B7F77">
      <w:pPr>
        <w:widowControl w:val="0"/>
        <w:suppressAutoHyphens/>
        <w:spacing w:before="120"/>
        <w:ind w:left="360"/>
        <w:rPr>
          <w:bCs/>
          <w:u w:val="single"/>
        </w:rPr>
      </w:pPr>
      <w:r w:rsidRPr="001B7F77">
        <w:rPr>
          <w:b/>
          <w:u w:val="single"/>
        </w:rPr>
        <w:t>307.1.1 Condition assessment and remediation.</w:t>
      </w:r>
      <w:r w:rsidRPr="001B7F77">
        <w:rPr>
          <w:bCs/>
          <w:u w:val="single"/>
        </w:rPr>
        <w:t xml:space="preserve"> Where the scope of work triggers condition assessment or remediation work in accordance with Section 704 or 708, such assessment or remediation work shall be performed as required.</w:t>
      </w:r>
    </w:p>
    <w:p w14:paraId="287128A4" w14:textId="77777777" w:rsidR="001B7F77" w:rsidRPr="001B7F77" w:rsidRDefault="001B7F77" w:rsidP="001B7F77">
      <w:pPr>
        <w:widowControl w:val="0"/>
        <w:suppressAutoHyphens/>
        <w:spacing w:before="120"/>
        <w:rPr>
          <w:u w:val="single"/>
        </w:rPr>
      </w:pPr>
      <w:r w:rsidRPr="001B7F77">
        <w:rPr>
          <w:b/>
          <w:u w:val="single"/>
        </w:rPr>
        <w:t xml:space="preserve">307.2 Non-structural building elements, equipment and systems. </w:t>
      </w:r>
      <w:r w:rsidRPr="001B7F77">
        <w:rPr>
          <w:u w:val="single"/>
        </w:rPr>
        <w:t>The installation of non-structural building elements, systems and equipment shall be subject to Sections 307.2.1 and 307.2.2.</w:t>
      </w:r>
    </w:p>
    <w:p w14:paraId="1830E6A9" w14:textId="77777777" w:rsidR="001B7F77" w:rsidRPr="001B7F77" w:rsidRDefault="001B7F77" w:rsidP="001B7F77">
      <w:pPr>
        <w:widowControl w:val="0"/>
        <w:tabs>
          <w:tab w:val="left" w:pos="360"/>
        </w:tabs>
        <w:suppressAutoHyphens/>
        <w:spacing w:before="120"/>
        <w:ind w:left="360"/>
        <w:rPr>
          <w:u w:val="single"/>
        </w:rPr>
      </w:pPr>
      <w:r w:rsidRPr="001B7F77">
        <w:rPr>
          <w:b/>
          <w:u w:val="single"/>
        </w:rPr>
        <w:t xml:space="preserve">307.2.1 Seismic support. </w:t>
      </w:r>
      <w:r w:rsidRPr="001B7F77">
        <w:rPr>
          <w:u w:val="single"/>
        </w:rPr>
        <w:t xml:space="preserve">In existing buildings of seismic design categories C and D as defined in the </w:t>
      </w:r>
      <w:r w:rsidRPr="001B7F77">
        <w:rPr>
          <w:i/>
          <w:iCs/>
          <w:u w:val="single"/>
        </w:rPr>
        <w:t>New York City Building Code</w:t>
      </w:r>
      <w:r w:rsidRPr="001B7F77">
        <w:rPr>
          <w:u w:val="single"/>
        </w:rPr>
        <w:t xml:space="preserve">, new building elements, equipment and systems shall be provided with seismic supports as required by Section 1613 of the </w:t>
      </w:r>
      <w:r w:rsidRPr="001B7F77">
        <w:rPr>
          <w:i/>
          <w:iCs/>
          <w:u w:val="single"/>
        </w:rPr>
        <w:t>New York City Building Code</w:t>
      </w:r>
      <w:r w:rsidRPr="001B7F77">
        <w:rPr>
          <w:u w:val="single"/>
        </w:rPr>
        <w:t>.</w:t>
      </w:r>
    </w:p>
    <w:p w14:paraId="270D9506" w14:textId="77777777" w:rsidR="001B7F77" w:rsidRPr="001B7F77" w:rsidRDefault="001B7F77" w:rsidP="001B7F77">
      <w:pPr>
        <w:widowControl w:val="0"/>
        <w:tabs>
          <w:tab w:val="left" w:pos="720"/>
        </w:tabs>
        <w:suppressAutoHyphens/>
        <w:spacing w:before="120"/>
        <w:ind w:left="720"/>
        <w:rPr>
          <w:color w:val="222222"/>
          <w:u w:val="single"/>
        </w:rPr>
      </w:pPr>
      <w:r w:rsidRPr="001B7F77">
        <w:rPr>
          <w:b/>
          <w:u w:val="single"/>
        </w:rPr>
        <w:t>Exceptions</w:t>
      </w:r>
      <w:r w:rsidRPr="001B7F77">
        <w:rPr>
          <w:color w:val="222222"/>
          <w:u w:val="single"/>
        </w:rPr>
        <w:t>:</w:t>
      </w:r>
    </w:p>
    <w:p w14:paraId="4F1AC06D" w14:textId="77777777" w:rsidR="001B7F77" w:rsidRPr="001B7F77" w:rsidRDefault="001B7F77" w:rsidP="001B7F77">
      <w:pPr>
        <w:widowControl w:val="0"/>
        <w:pBdr>
          <w:top w:val="nil"/>
          <w:left w:val="nil"/>
          <w:bottom w:val="nil"/>
          <w:right w:val="nil"/>
          <w:between w:val="nil"/>
        </w:pBdr>
        <w:tabs>
          <w:tab w:val="left" w:pos="720"/>
        </w:tabs>
        <w:suppressAutoHyphens/>
        <w:autoSpaceDE w:val="0"/>
        <w:autoSpaceDN w:val="0"/>
        <w:adjustRightInd w:val="0"/>
        <w:spacing w:before="120"/>
        <w:ind w:left="1080" w:hanging="360"/>
        <w:rPr>
          <w:rFonts w:eastAsia="Arial"/>
          <w:u w:val="single"/>
        </w:rPr>
      </w:pPr>
      <w:r w:rsidRPr="001B7F77">
        <w:rPr>
          <w:rFonts w:eastAsia="Arial"/>
          <w:u w:val="single"/>
        </w:rPr>
        <w:t>1.</w:t>
      </w:r>
      <w:r w:rsidRPr="001B7F77">
        <w:tab/>
      </w:r>
      <w:r w:rsidRPr="001B7F77">
        <w:rPr>
          <w:rFonts w:eastAsia="Arial"/>
          <w:u w:val="single"/>
        </w:rPr>
        <w:t>One- and two-family dwellings three stories or less in height.</w:t>
      </w:r>
    </w:p>
    <w:p w14:paraId="5054E6BF" w14:textId="77777777" w:rsidR="001B7F77" w:rsidRPr="001B7F77" w:rsidRDefault="001B7F77" w:rsidP="001B7F77">
      <w:pPr>
        <w:widowControl w:val="0"/>
        <w:pBdr>
          <w:top w:val="nil"/>
          <w:left w:val="nil"/>
          <w:bottom w:val="nil"/>
          <w:right w:val="nil"/>
          <w:between w:val="nil"/>
        </w:pBdr>
        <w:tabs>
          <w:tab w:val="left" w:pos="720"/>
        </w:tabs>
        <w:suppressAutoHyphens/>
        <w:autoSpaceDE w:val="0"/>
        <w:autoSpaceDN w:val="0"/>
        <w:adjustRightInd w:val="0"/>
        <w:spacing w:before="120"/>
        <w:ind w:left="1080" w:hanging="360"/>
        <w:rPr>
          <w:rFonts w:eastAsia="Arial"/>
          <w:u w:val="single"/>
        </w:rPr>
      </w:pPr>
      <w:r w:rsidRPr="001B7F77">
        <w:rPr>
          <w:rFonts w:eastAsia="Arial"/>
          <w:u w:val="single"/>
        </w:rPr>
        <w:t>2.</w:t>
      </w:r>
      <w:r w:rsidRPr="001B7F77">
        <w:tab/>
      </w:r>
      <w:r w:rsidRPr="001B7F77">
        <w:rPr>
          <w:rFonts w:eastAsia="Arial"/>
          <w:u w:val="single"/>
        </w:rPr>
        <w:t>The seismic force-resisting systems of wood-frame buildings that conform to the provisions of Section 2308 are not required to be analyzed as specified in this section.</w:t>
      </w:r>
    </w:p>
    <w:p w14:paraId="6424FC5C" w14:textId="77777777" w:rsidR="001B7F77" w:rsidRPr="001B7F77" w:rsidRDefault="001B7F77" w:rsidP="001B7F77">
      <w:pPr>
        <w:widowControl w:val="0"/>
        <w:pBdr>
          <w:top w:val="nil"/>
          <w:left w:val="nil"/>
          <w:bottom w:val="nil"/>
          <w:right w:val="nil"/>
          <w:between w:val="nil"/>
        </w:pBdr>
        <w:tabs>
          <w:tab w:val="left" w:pos="720"/>
        </w:tabs>
        <w:suppressAutoHyphens/>
        <w:autoSpaceDE w:val="0"/>
        <w:autoSpaceDN w:val="0"/>
        <w:adjustRightInd w:val="0"/>
        <w:spacing w:before="120"/>
        <w:ind w:left="1080" w:hanging="360"/>
        <w:rPr>
          <w:rFonts w:eastAsia="Arial"/>
          <w:szCs w:val="24"/>
          <w:u w:val="single"/>
        </w:rPr>
      </w:pPr>
      <w:r w:rsidRPr="001B7F77">
        <w:rPr>
          <w:rFonts w:eastAsia="Arial"/>
          <w:szCs w:val="24"/>
          <w:u w:val="single"/>
        </w:rPr>
        <w:t>3.</w:t>
      </w:r>
      <w:r w:rsidRPr="001B7F77">
        <w:rPr>
          <w:rFonts w:eastAsia="Arial"/>
          <w:szCs w:val="24"/>
          <w:u w:val="single"/>
        </w:rPr>
        <w:tab/>
        <w:t>Agricultural storage structures intended only for incidental human occupancy.</w:t>
      </w:r>
    </w:p>
    <w:p w14:paraId="79F2407E" w14:textId="77777777" w:rsidR="001B7F77" w:rsidRPr="001B7F77" w:rsidRDefault="001B7F77" w:rsidP="001B7F77">
      <w:pPr>
        <w:widowControl w:val="0"/>
        <w:pBdr>
          <w:top w:val="nil"/>
          <w:left w:val="nil"/>
          <w:bottom w:val="nil"/>
          <w:right w:val="nil"/>
          <w:between w:val="nil"/>
        </w:pBdr>
        <w:tabs>
          <w:tab w:val="left" w:pos="720"/>
        </w:tabs>
        <w:suppressAutoHyphens/>
        <w:autoSpaceDE w:val="0"/>
        <w:autoSpaceDN w:val="0"/>
        <w:adjustRightInd w:val="0"/>
        <w:spacing w:before="120"/>
        <w:ind w:left="1080" w:hanging="360"/>
        <w:rPr>
          <w:rFonts w:eastAsia="Arial"/>
          <w:szCs w:val="24"/>
          <w:u w:val="single"/>
        </w:rPr>
      </w:pPr>
      <w:r w:rsidRPr="001B7F77">
        <w:rPr>
          <w:rFonts w:eastAsia="Arial"/>
          <w:szCs w:val="24"/>
          <w:u w:val="single"/>
        </w:rPr>
        <w:t>4.</w:t>
      </w:r>
      <w:r w:rsidRPr="001B7F77">
        <w:rPr>
          <w:rFonts w:eastAsia="Arial"/>
          <w:szCs w:val="24"/>
          <w:u w:val="single"/>
        </w:rPr>
        <w:tab/>
        <w:t xml:space="preserve">Structures that require special consideration of their response characteristics and environment that are not addressed by this code or ASCE 7, as modified by the </w:t>
      </w:r>
      <w:r w:rsidRPr="001B7F77">
        <w:rPr>
          <w:rFonts w:eastAsia="Arial"/>
          <w:i/>
          <w:iCs/>
          <w:szCs w:val="24"/>
          <w:u w:val="single"/>
        </w:rPr>
        <w:t>New York City Building Code</w:t>
      </w:r>
      <w:r w:rsidRPr="001B7F77">
        <w:rPr>
          <w:rFonts w:eastAsia="Arial"/>
          <w:szCs w:val="24"/>
          <w:u w:val="single"/>
        </w:rPr>
        <w:t>, and for which other regulations provide seismic criteria, such as vehicular bridges, electrical transmission towers, hydraulic structures, buried utility lines and their appurtenances and nuclear reactors.</w:t>
      </w:r>
    </w:p>
    <w:p w14:paraId="5DA11144" w14:textId="77777777" w:rsidR="001B7F77" w:rsidRPr="001B7F77" w:rsidRDefault="001B7F77" w:rsidP="001B7F77">
      <w:pPr>
        <w:widowControl w:val="0"/>
        <w:tabs>
          <w:tab w:val="left" w:pos="360"/>
        </w:tabs>
        <w:suppressAutoHyphens/>
        <w:spacing w:before="120"/>
        <w:ind w:left="360"/>
        <w:rPr>
          <w:u w:val="single"/>
        </w:rPr>
      </w:pPr>
      <w:r w:rsidRPr="001B7F77">
        <w:rPr>
          <w:b/>
          <w:u w:val="single"/>
        </w:rPr>
        <w:t>307.2.2 Wind resistance</w:t>
      </w:r>
      <w:r w:rsidRPr="001B7F77">
        <w:rPr>
          <w:u w:val="single"/>
        </w:rPr>
        <w:t xml:space="preserve">. New building elements, equipment, appliances and supports that are exposed to wind shall be designed and installed to resist the wind pressures determined in accordance with Chapter 16 of the </w:t>
      </w:r>
      <w:r w:rsidRPr="001B7F77">
        <w:rPr>
          <w:i/>
          <w:iCs/>
          <w:u w:val="single"/>
        </w:rPr>
        <w:t>New York City Building Code</w:t>
      </w:r>
      <w:r w:rsidRPr="001B7F77">
        <w:rPr>
          <w:u w:val="single"/>
        </w:rPr>
        <w:t>.</w:t>
      </w:r>
    </w:p>
    <w:p w14:paraId="07204256" w14:textId="77777777" w:rsidR="001B7F77" w:rsidRPr="001B7F77" w:rsidRDefault="001B7F77" w:rsidP="001B7F77">
      <w:pPr>
        <w:widowControl w:val="0"/>
        <w:tabs>
          <w:tab w:val="left" w:pos="360"/>
        </w:tabs>
        <w:suppressAutoHyphens/>
        <w:spacing w:before="120"/>
        <w:ind w:left="360"/>
        <w:rPr>
          <w:u w:val="single"/>
        </w:rPr>
      </w:pPr>
      <w:r w:rsidRPr="001B7F77">
        <w:rPr>
          <w:b/>
          <w:u w:val="single"/>
        </w:rPr>
        <w:t>307.2.3 Loading.</w:t>
      </w:r>
      <w:r w:rsidRPr="001B7F77">
        <w:rPr>
          <w:u w:val="single"/>
        </w:rPr>
        <w:t xml:space="preserve"> Modifications resulting in an increase in loads on a structural member shall not be permitted without prior verification that such member is capable of supporting such additional loads in accordance with Chapter 7.</w:t>
      </w:r>
    </w:p>
    <w:p w14:paraId="7B9D8E8B" w14:textId="77777777" w:rsidR="001B7F77" w:rsidRPr="001B7F77" w:rsidRDefault="001B7F77" w:rsidP="001B7F77">
      <w:pPr>
        <w:widowControl w:val="0"/>
        <w:suppressAutoHyphens/>
        <w:spacing w:before="120"/>
        <w:jc w:val="center"/>
        <w:outlineLvl w:val="0"/>
        <w:rPr>
          <w:b/>
          <w:bCs/>
          <w:u w:val="single"/>
        </w:rPr>
      </w:pPr>
      <w:bookmarkStart w:id="95" w:name="_Hlk85552012"/>
      <w:bookmarkEnd w:id="93"/>
    </w:p>
    <w:p w14:paraId="66725844" w14:textId="77777777" w:rsidR="001B7F77" w:rsidRPr="001B7F77" w:rsidRDefault="001B7F77" w:rsidP="001B7F77">
      <w:pPr>
        <w:widowControl w:val="0"/>
        <w:suppressAutoHyphens/>
        <w:spacing w:before="120"/>
        <w:jc w:val="center"/>
        <w:outlineLvl w:val="0"/>
        <w:rPr>
          <w:b/>
          <w:bCs/>
          <w:u w:val="single"/>
        </w:rPr>
      </w:pPr>
      <w:r w:rsidRPr="001B7F77">
        <w:rPr>
          <w:b/>
          <w:bCs/>
          <w:u w:val="single"/>
        </w:rPr>
        <w:t>SECTION EBC 308</w:t>
      </w:r>
      <w:r w:rsidRPr="001B7F77">
        <w:rPr>
          <w:b/>
          <w:bCs/>
          <w:u w:val="single"/>
        </w:rPr>
        <w:br/>
        <w:t>ELECTRICAL</w:t>
      </w:r>
    </w:p>
    <w:p w14:paraId="4BB10696" w14:textId="77777777" w:rsidR="001B7F77" w:rsidRPr="001B7F77" w:rsidRDefault="001B7F77" w:rsidP="001B7F77">
      <w:pPr>
        <w:widowControl w:val="0"/>
        <w:suppressAutoHyphens/>
        <w:spacing w:before="120"/>
        <w:rPr>
          <w:u w:val="single"/>
        </w:rPr>
      </w:pPr>
      <w:r w:rsidRPr="001B7F77">
        <w:rPr>
          <w:b/>
          <w:u w:val="single"/>
        </w:rPr>
        <w:t xml:space="preserve">308.1 General. </w:t>
      </w:r>
      <w:r w:rsidRPr="001B7F77">
        <w:rPr>
          <w:u w:val="single"/>
        </w:rPr>
        <w:t xml:space="preserve">Electrical work, installation of and work on emergency and standby power systems, and the increase in size of electrical service in alterations of parking garages and open parking lots shall be governed by the applicable provisions of the </w:t>
      </w:r>
      <w:r w:rsidRPr="001B7F77">
        <w:rPr>
          <w:i/>
          <w:u w:val="single"/>
        </w:rPr>
        <w:t>New York City Electrical Code</w:t>
      </w:r>
      <w:r w:rsidRPr="001B7F77">
        <w:rPr>
          <w:u w:val="single"/>
        </w:rPr>
        <w:t xml:space="preserve">, Chapter 27 of the </w:t>
      </w:r>
      <w:r w:rsidRPr="001B7F77">
        <w:rPr>
          <w:i/>
          <w:iCs/>
          <w:u w:val="single"/>
        </w:rPr>
        <w:t>New York City Building Code</w:t>
      </w:r>
      <w:r w:rsidRPr="001B7F77">
        <w:rPr>
          <w:u w:val="single"/>
        </w:rPr>
        <w:t>, this section, and the applicable provisions of Chapters 8, 9, 10 and 11 of this code.</w:t>
      </w:r>
    </w:p>
    <w:p w14:paraId="6156992F" w14:textId="77777777" w:rsidR="001B7F77" w:rsidRPr="001B7F77" w:rsidRDefault="001B7F77" w:rsidP="001B7F77">
      <w:pPr>
        <w:widowControl w:val="0"/>
        <w:suppressAutoHyphens/>
        <w:spacing w:before="120"/>
        <w:rPr>
          <w:u w:val="single"/>
        </w:rPr>
      </w:pPr>
      <w:r w:rsidRPr="001B7F77">
        <w:rPr>
          <w:b/>
          <w:u w:val="single"/>
        </w:rPr>
        <w:t>308.2 Group A occupancies in prior code buildings.</w:t>
      </w:r>
      <w:r w:rsidRPr="001B7F77">
        <w:rPr>
          <w:u w:val="single"/>
        </w:rPr>
        <w:t xml:space="preserve"> Where a stationary generator is not otherwise required, the power source for emergency power to the voice/alarm communication system may be served by a gas generator or an uninterruptable power source (UPS) in accordance with the </w:t>
      </w:r>
      <w:r w:rsidRPr="001B7F77">
        <w:rPr>
          <w:i/>
          <w:u w:val="single"/>
        </w:rPr>
        <w:t>New York City Electrical Code</w:t>
      </w:r>
      <w:r w:rsidRPr="001B7F77">
        <w:rPr>
          <w:u w:val="single"/>
        </w:rPr>
        <w:t>.</w:t>
      </w:r>
    </w:p>
    <w:p w14:paraId="523F811B" w14:textId="77777777" w:rsidR="001B7F77" w:rsidRPr="001B7F77" w:rsidRDefault="001B7F77" w:rsidP="001B7F77">
      <w:pPr>
        <w:widowControl w:val="0"/>
        <w:suppressAutoHyphens/>
        <w:spacing w:before="120"/>
        <w:rPr>
          <w:u w:val="single"/>
        </w:rPr>
      </w:pPr>
      <w:r w:rsidRPr="001B7F77">
        <w:rPr>
          <w:b/>
          <w:u w:val="single"/>
        </w:rPr>
        <w:t xml:space="preserve">308.3 Optional standby power systems in existing buildings. </w:t>
      </w:r>
      <w:r w:rsidRPr="001B7F77">
        <w:rPr>
          <w:u w:val="single"/>
        </w:rPr>
        <w:t>The installation of optional standby power systems shall comply with Sections 308.3.1 and 308.3.2.</w:t>
      </w:r>
    </w:p>
    <w:p w14:paraId="6948CB43" w14:textId="77777777" w:rsidR="001B7F77" w:rsidRPr="001B7F77" w:rsidRDefault="001B7F77" w:rsidP="001B7F77">
      <w:pPr>
        <w:widowControl w:val="0"/>
        <w:tabs>
          <w:tab w:val="left" w:pos="360"/>
        </w:tabs>
        <w:suppressAutoHyphens/>
        <w:spacing w:before="120"/>
        <w:ind w:left="360"/>
        <w:rPr>
          <w:u w:val="single"/>
        </w:rPr>
      </w:pPr>
      <w:r w:rsidRPr="001B7F77">
        <w:rPr>
          <w:b/>
          <w:u w:val="single"/>
        </w:rPr>
        <w:t>308.3.1 Required loads for optional standby systems.</w:t>
      </w:r>
      <w:r w:rsidRPr="001B7F77">
        <w:rPr>
          <w:u w:val="single"/>
        </w:rPr>
        <w:t xml:space="preserve"> Where an optional standby power system is installed in an existing building, it shall supply power to the loads listed under Section 2702.4 of the </w:t>
      </w:r>
      <w:r w:rsidRPr="001B7F77">
        <w:rPr>
          <w:i/>
          <w:iCs/>
          <w:u w:val="single"/>
        </w:rPr>
        <w:t>New York City Building Code</w:t>
      </w:r>
      <w:r w:rsidRPr="001B7F77">
        <w:rPr>
          <w:u w:val="single"/>
        </w:rPr>
        <w:t>. Such loads shall be connected to the optional standby power system unless such loads are already supplied by a functioning emergency power system or legally required standby system. All installations and connections shall be in accordance with the </w:t>
      </w:r>
      <w:r w:rsidRPr="001B7F77">
        <w:rPr>
          <w:i/>
          <w:u w:val="single"/>
        </w:rPr>
        <w:t>New York City Electrical Code</w:t>
      </w:r>
      <w:r w:rsidRPr="001B7F77">
        <w:rPr>
          <w:u w:val="single"/>
        </w:rPr>
        <w:t xml:space="preserve">. If an optional standby power system is used to supply required standby power loads, it shall comply with Section 2702.4.2 and 2702.4.3 of </w:t>
      </w:r>
      <w:r w:rsidRPr="001B7F77">
        <w:rPr>
          <w:i/>
          <w:u w:val="single"/>
        </w:rPr>
        <w:t xml:space="preserve">New York City </w:t>
      </w:r>
      <w:r w:rsidRPr="001B7F77">
        <w:rPr>
          <w:i/>
          <w:iCs/>
          <w:u w:val="single"/>
        </w:rPr>
        <w:t>Building</w:t>
      </w:r>
      <w:r w:rsidRPr="001B7F77">
        <w:rPr>
          <w:i/>
          <w:u w:val="single"/>
        </w:rPr>
        <w:t xml:space="preserve"> Code</w:t>
      </w:r>
      <w:r w:rsidRPr="001B7F77">
        <w:rPr>
          <w:u w:val="single"/>
        </w:rPr>
        <w:t xml:space="preserve">. Natural gas from the public utility shall be permitted as the fuel supply for optional standby power systems if such optional standby power system is supplying only optional standby loads. If optional standby power system is supplying emergency or standby loads, the natural gas supply shall be taken ahead of the main, provided that an outside gas cut-off valve is separate from other gas services installed in accordance with Section E.6 of Appendix E of the </w:t>
      </w:r>
      <w:r w:rsidRPr="001B7F77">
        <w:rPr>
          <w:i/>
          <w:iCs/>
          <w:u w:val="single"/>
        </w:rPr>
        <w:t>New York City Fuel Gas Code</w:t>
      </w:r>
      <w:r w:rsidRPr="001B7F77">
        <w:rPr>
          <w:u w:val="single"/>
        </w:rPr>
        <w:t>.</w:t>
      </w:r>
    </w:p>
    <w:p w14:paraId="28AABD1B" w14:textId="77777777" w:rsidR="001B7F77" w:rsidRPr="001B7F77" w:rsidRDefault="001B7F77" w:rsidP="001B7F77">
      <w:pPr>
        <w:widowControl w:val="0"/>
        <w:tabs>
          <w:tab w:val="left" w:pos="360"/>
        </w:tabs>
        <w:suppressAutoHyphens/>
        <w:spacing w:before="120"/>
        <w:ind w:left="360"/>
        <w:rPr>
          <w:u w:val="single"/>
        </w:rPr>
      </w:pPr>
      <w:r w:rsidRPr="001B7F77">
        <w:rPr>
          <w:b/>
          <w:u w:val="single"/>
        </w:rPr>
        <w:t>308.3.2 Additional optional standby power system.</w:t>
      </w:r>
      <w:r w:rsidRPr="001B7F77">
        <w:rPr>
          <w:u w:val="single"/>
        </w:rPr>
        <w:t xml:space="preserve"> Where a functioning emergency power system or required standby system is in place and provides power to all required emergency or required standby power loads, any additional optional standby power system installed need not supply power to such emergency or required standby power loads.</w:t>
      </w:r>
    </w:p>
    <w:p w14:paraId="392580A3" w14:textId="77777777" w:rsidR="001B7F77" w:rsidRPr="001B7F77" w:rsidRDefault="001B7F77" w:rsidP="001B7F77">
      <w:pPr>
        <w:widowControl w:val="0"/>
        <w:suppressAutoHyphens/>
        <w:spacing w:before="120"/>
        <w:rPr>
          <w:u w:val="single"/>
        </w:rPr>
      </w:pPr>
      <w:r w:rsidRPr="001B7F77">
        <w:rPr>
          <w:b/>
          <w:u w:val="single"/>
        </w:rPr>
        <w:t xml:space="preserve">308.4 Emergency power requirements for fire pumps. </w:t>
      </w:r>
      <w:r w:rsidRPr="001B7F77">
        <w:rPr>
          <w:u w:val="single"/>
        </w:rPr>
        <w:t>New or replacement fire pumps in existing buildings shall be connected to an emergency power system in accordance with Sections 308.4.1 and 308.4.2.</w:t>
      </w:r>
    </w:p>
    <w:p w14:paraId="6EC4C028" w14:textId="77777777" w:rsidR="001B7F77" w:rsidRPr="001B7F77" w:rsidRDefault="001B7F77" w:rsidP="001B7F77">
      <w:pPr>
        <w:widowControl w:val="0"/>
        <w:tabs>
          <w:tab w:val="left" w:pos="360"/>
        </w:tabs>
        <w:suppressAutoHyphens/>
        <w:spacing w:before="120"/>
        <w:ind w:left="360"/>
        <w:rPr>
          <w:u w:val="single"/>
        </w:rPr>
      </w:pPr>
      <w:r w:rsidRPr="001B7F77">
        <w:rPr>
          <w:b/>
          <w:u w:val="single"/>
        </w:rPr>
        <w:t xml:space="preserve">308.4.1 Existing buildings equipped with an emergency power system. </w:t>
      </w:r>
      <w:r w:rsidRPr="001B7F77">
        <w:rPr>
          <w:u w:val="single"/>
        </w:rPr>
        <w:t xml:space="preserve">In an existing building equipped with an emergency power system, new or replacement fire pumps shall be connected to the emergency power system where Chapter 27 of the </w:t>
      </w:r>
      <w:r w:rsidRPr="001B7F77">
        <w:rPr>
          <w:i/>
          <w:iCs/>
          <w:u w:val="single"/>
        </w:rPr>
        <w:t>New York City Building Code</w:t>
      </w:r>
      <w:r w:rsidRPr="001B7F77">
        <w:rPr>
          <w:u w:val="single"/>
        </w:rPr>
        <w:t xml:space="preserve"> requires fire pumps to be connected to the emergency power system.</w:t>
      </w:r>
    </w:p>
    <w:p w14:paraId="0D0CC1A9" w14:textId="77777777" w:rsidR="001B7F77" w:rsidRPr="001B7F77" w:rsidRDefault="001B7F77" w:rsidP="001B7F77">
      <w:pPr>
        <w:widowControl w:val="0"/>
        <w:tabs>
          <w:tab w:val="left" w:pos="360"/>
        </w:tabs>
        <w:suppressAutoHyphens/>
        <w:spacing w:before="120"/>
        <w:ind w:left="360"/>
        <w:rPr>
          <w:u w:val="single"/>
        </w:rPr>
      </w:pPr>
      <w:r w:rsidRPr="001B7F77">
        <w:rPr>
          <w:b/>
          <w:u w:val="single"/>
        </w:rPr>
        <w:t>308.4.2 Existing buildings not equipped with an emergency generator.</w:t>
      </w:r>
      <w:r w:rsidRPr="001B7F77">
        <w:rPr>
          <w:u w:val="single"/>
        </w:rPr>
        <w:t xml:space="preserve"> In an existing building that is not equipped with an emergency power system, but where fire pumps are required to be connected to an emergency power systems in accordance with Chapter 27 of the </w:t>
      </w:r>
      <w:r w:rsidRPr="001B7F77">
        <w:rPr>
          <w:i/>
          <w:iCs/>
          <w:u w:val="single"/>
        </w:rPr>
        <w:t>New York City Building Code</w:t>
      </w:r>
      <w:r w:rsidRPr="001B7F77">
        <w:rPr>
          <w:u w:val="single"/>
        </w:rPr>
        <w:t>, a new emergency power system shall be installed to supply power to the new fire pump.</w:t>
      </w:r>
    </w:p>
    <w:p w14:paraId="3D6E1F13" w14:textId="77777777" w:rsidR="001B7F77" w:rsidRPr="001B7F77" w:rsidRDefault="001B7F77" w:rsidP="001B7F77">
      <w:pPr>
        <w:widowControl w:val="0"/>
        <w:suppressAutoHyphens/>
        <w:spacing w:before="120"/>
        <w:ind w:left="720"/>
        <w:rPr>
          <w:u w:val="single"/>
        </w:rPr>
      </w:pPr>
      <w:r w:rsidRPr="001B7F77">
        <w:rPr>
          <w:b/>
          <w:u w:val="single"/>
        </w:rPr>
        <w:t xml:space="preserve">Exception: </w:t>
      </w:r>
      <w:r w:rsidRPr="001B7F77">
        <w:rPr>
          <w:u w:val="single"/>
        </w:rPr>
        <w:t>A new emergency power system need not be installed where the scope of alteration does not involve a change in the main use or dominant occupancy of the building, provided that electrical power to the motor is taken ahead of the main from the street side of the house service switch, and</w:t>
      </w:r>
    </w:p>
    <w:p w14:paraId="44AAFBF6" w14:textId="77777777" w:rsidR="001B7F77" w:rsidRPr="001B7F77" w:rsidRDefault="001B7F77" w:rsidP="001B7F77">
      <w:pPr>
        <w:widowControl w:val="0"/>
        <w:pBdr>
          <w:top w:val="nil"/>
          <w:left w:val="nil"/>
          <w:bottom w:val="nil"/>
          <w:right w:val="nil"/>
          <w:between w:val="nil"/>
        </w:pBdr>
        <w:tabs>
          <w:tab w:val="left" w:pos="720"/>
        </w:tabs>
        <w:suppressAutoHyphens/>
        <w:autoSpaceDE w:val="0"/>
        <w:autoSpaceDN w:val="0"/>
        <w:adjustRightInd w:val="0"/>
        <w:spacing w:before="120"/>
        <w:ind w:left="1080" w:hanging="360"/>
        <w:rPr>
          <w:rFonts w:eastAsia="Arial"/>
          <w:szCs w:val="24"/>
          <w:u w:val="single"/>
        </w:rPr>
      </w:pPr>
      <w:r w:rsidRPr="001B7F77">
        <w:rPr>
          <w:rFonts w:eastAsia="Arial"/>
          <w:szCs w:val="24"/>
          <w:u w:val="single"/>
        </w:rPr>
        <w:t>1.</w:t>
      </w:r>
      <w:r w:rsidRPr="001B7F77">
        <w:rPr>
          <w:rFonts w:eastAsia="Arial"/>
          <w:szCs w:val="24"/>
          <w:u w:val="single"/>
        </w:rPr>
        <w:tab/>
        <w:t>The scope of alteration does not include modifications to an existing fire pump; or</w:t>
      </w:r>
    </w:p>
    <w:p w14:paraId="6E90E0F5" w14:textId="77777777" w:rsidR="001B7F77" w:rsidRPr="001B7F77" w:rsidRDefault="001B7F77" w:rsidP="001B7F77">
      <w:pPr>
        <w:widowControl w:val="0"/>
        <w:pBdr>
          <w:top w:val="nil"/>
          <w:left w:val="nil"/>
          <w:bottom w:val="nil"/>
          <w:right w:val="nil"/>
          <w:between w:val="nil"/>
        </w:pBdr>
        <w:tabs>
          <w:tab w:val="left" w:pos="720"/>
        </w:tabs>
        <w:suppressAutoHyphens/>
        <w:autoSpaceDE w:val="0"/>
        <w:autoSpaceDN w:val="0"/>
        <w:adjustRightInd w:val="0"/>
        <w:spacing w:before="120"/>
        <w:ind w:left="1080" w:hanging="360"/>
        <w:rPr>
          <w:rFonts w:eastAsia="Arial"/>
          <w:u w:val="single"/>
        </w:rPr>
      </w:pPr>
      <w:r w:rsidRPr="001B7F77">
        <w:rPr>
          <w:rFonts w:eastAsia="Arial"/>
          <w:u w:val="single"/>
        </w:rPr>
        <w:t>2.</w:t>
      </w:r>
      <w:r w:rsidRPr="001B7F77">
        <w:tab/>
      </w:r>
      <w:r w:rsidRPr="001B7F77">
        <w:rPr>
          <w:rFonts w:eastAsia="Arial"/>
          <w:u w:val="single"/>
        </w:rPr>
        <w:t>The scope of alteration includes the replacement of an existing fire pump with a new fire pump of the same or smaller capacity.</w:t>
      </w:r>
    </w:p>
    <w:p w14:paraId="471319FA" w14:textId="77777777" w:rsidR="001B7F77" w:rsidRPr="001B7F77" w:rsidRDefault="001B7F77" w:rsidP="001B7F77">
      <w:pPr>
        <w:widowControl w:val="0"/>
        <w:suppressAutoHyphens/>
        <w:spacing w:before="120"/>
        <w:rPr>
          <w:u w:val="single"/>
        </w:rPr>
      </w:pPr>
      <w:r w:rsidRPr="001B7F77">
        <w:rPr>
          <w:b/>
          <w:u w:val="single"/>
        </w:rPr>
        <w:t>308.5 Parking garages and open parking lots</w:t>
      </w:r>
      <w:r w:rsidRPr="001B7F77">
        <w:rPr>
          <w:u w:val="single"/>
        </w:rPr>
        <w:t xml:space="preserve">. Where an alteration of a parking garage or an open parking lot includes an increase in the size of the main electric service that serves such parking garage or open parking lot, such alteration shall include provisions for the installation of electric vehicle charging stations in accordance with Section 406 of the </w:t>
      </w:r>
      <w:r w:rsidRPr="001B7F77">
        <w:rPr>
          <w:i/>
          <w:iCs/>
          <w:u w:val="single"/>
        </w:rPr>
        <w:t>New York City Building Code</w:t>
      </w:r>
      <w:r w:rsidRPr="001B7F77">
        <w:rPr>
          <w:u w:val="single"/>
        </w:rPr>
        <w:t>, as applicable.</w:t>
      </w:r>
    </w:p>
    <w:p w14:paraId="42D87924" w14:textId="77777777" w:rsidR="001B7F77" w:rsidRPr="001B7F77" w:rsidRDefault="001B7F77" w:rsidP="001B7F77">
      <w:pPr>
        <w:widowControl w:val="0"/>
        <w:suppressAutoHyphens/>
        <w:spacing w:before="120"/>
        <w:jc w:val="center"/>
        <w:outlineLvl w:val="0"/>
        <w:rPr>
          <w:b/>
          <w:bCs/>
          <w:u w:val="single"/>
        </w:rPr>
      </w:pPr>
      <w:bookmarkStart w:id="96" w:name="sec309"/>
      <w:bookmarkStart w:id="97" w:name="_Hlk85551078"/>
      <w:bookmarkEnd w:id="94"/>
      <w:bookmarkEnd w:id="95"/>
    </w:p>
    <w:p w14:paraId="05AC3472" w14:textId="77777777" w:rsidR="001B7F77" w:rsidRPr="001B7F77" w:rsidRDefault="001B7F77" w:rsidP="001B7F77">
      <w:pPr>
        <w:widowControl w:val="0"/>
        <w:suppressAutoHyphens/>
        <w:spacing w:before="120"/>
        <w:jc w:val="center"/>
        <w:outlineLvl w:val="0"/>
        <w:rPr>
          <w:b/>
          <w:bCs/>
          <w:u w:val="single"/>
        </w:rPr>
      </w:pPr>
      <w:r w:rsidRPr="001B7F77">
        <w:rPr>
          <w:b/>
          <w:bCs/>
          <w:u w:val="single"/>
        </w:rPr>
        <w:t>SECTION EBC 309</w:t>
      </w:r>
      <w:r w:rsidRPr="001B7F77">
        <w:rPr>
          <w:b/>
          <w:bCs/>
          <w:u w:val="single"/>
        </w:rPr>
        <w:br/>
        <w:t>MECHANICAL</w:t>
      </w:r>
    </w:p>
    <w:p w14:paraId="3A64AF23" w14:textId="77777777" w:rsidR="001B7F77" w:rsidRPr="001B7F77" w:rsidRDefault="001B7F77" w:rsidP="001B7F77">
      <w:pPr>
        <w:widowControl w:val="0"/>
        <w:suppressAutoHyphens/>
        <w:spacing w:before="120"/>
        <w:rPr>
          <w:u w:val="single"/>
        </w:rPr>
      </w:pPr>
      <w:r w:rsidRPr="001B7F77">
        <w:rPr>
          <w:b/>
          <w:u w:val="single"/>
        </w:rPr>
        <w:t>309.1 General.</w:t>
      </w:r>
      <w:r w:rsidRPr="001B7F77">
        <w:rPr>
          <w:u w:val="single"/>
        </w:rPr>
        <w:t xml:space="preserve"> In addition to the general requirements of Section 302.9, the installation of and work on existing mechanical systems including appliances, equipment, and components shall comply with the </w:t>
      </w:r>
      <w:r w:rsidRPr="001B7F77">
        <w:rPr>
          <w:i/>
          <w:iCs/>
          <w:u w:val="single"/>
        </w:rPr>
        <w:t>New York City Mechanical Code</w:t>
      </w:r>
      <w:r w:rsidRPr="001B7F77">
        <w:rPr>
          <w:u w:val="single"/>
        </w:rPr>
        <w:t>, this section, and the applicable provisions of Chapters 8, 9, 10 and 11 of this code.</w:t>
      </w:r>
    </w:p>
    <w:p w14:paraId="439FB49F" w14:textId="77777777" w:rsidR="001B7F77" w:rsidRPr="001B7F77" w:rsidRDefault="001B7F77" w:rsidP="001B7F77">
      <w:pPr>
        <w:widowControl w:val="0"/>
        <w:suppressAutoHyphens/>
        <w:spacing w:before="120"/>
        <w:rPr>
          <w:u w:val="single"/>
        </w:rPr>
      </w:pPr>
      <w:r w:rsidRPr="001B7F77">
        <w:rPr>
          <w:b/>
          <w:u w:val="single"/>
        </w:rPr>
        <w:t>309.2 Special provisions for prior code buildings.</w:t>
      </w:r>
      <w:r w:rsidRPr="001B7F77">
        <w:rPr>
          <w:u w:val="single"/>
        </w:rPr>
        <w:t xml:space="preserve"> In addition to the requirements of Section 302.9, the provisions of Sections 309.2.1 through 309.2.4 shall apply to prior code buildings.</w:t>
      </w:r>
    </w:p>
    <w:p w14:paraId="60E1089C" w14:textId="77777777" w:rsidR="001B7F77" w:rsidRPr="001B7F77" w:rsidRDefault="001B7F77" w:rsidP="001B7F77">
      <w:pPr>
        <w:widowControl w:val="0"/>
        <w:tabs>
          <w:tab w:val="left" w:pos="360"/>
        </w:tabs>
        <w:suppressAutoHyphens/>
        <w:spacing w:before="120"/>
        <w:ind w:left="360"/>
        <w:rPr>
          <w:u w:val="single"/>
        </w:rPr>
      </w:pPr>
      <w:bookmarkStart w:id="98" w:name="_Hlk61959175"/>
      <w:r w:rsidRPr="001B7F77">
        <w:rPr>
          <w:b/>
          <w:bCs/>
          <w:u w:val="single"/>
        </w:rPr>
        <w:t>309.2.1 Air duct and transfer openings.</w:t>
      </w:r>
      <w:r w:rsidRPr="001B7F77">
        <w:rPr>
          <w:u w:val="single"/>
        </w:rPr>
        <w:t xml:space="preserve"> In cases where the building’s passive fire-resistance protection design, including rated construction, corridors and fire separations, complies with prior codes, the air duct and transfer openings shall be protected based on the fire resistive rating of the assembly being penetrated, as required by prior code. Where a prior code building has been fully sprinkler protected, air duct and transfer opening protectives shall be provided in accordance with required fire-resistance ratings for assemblies as reduced in accordance with Section 303.2 of this code. Damper hour ratings and installation requirements shall comply with Section 607 of the </w:t>
      </w:r>
      <w:r w:rsidRPr="001B7F77">
        <w:rPr>
          <w:i/>
          <w:iCs/>
          <w:u w:val="single"/>
        </w:rPr>
        <w:t>New York City Mechanical Code</w:t>
      </w:r>
      <w:r w:rsidRPr="001B7F77">
        <w:rPr>
          <w:u w:val="single"/>
        </w:rPr>
        <w:t>.</w:t>
      </w:r>
    </w:p>
    <w:bookmarkEnd w:id="98"/>
    <w:p w14:paraId="34142223" w14:textId="77777777" w:rsidR="001B7F77" w:rsidRPr="001B7F77" w:rsidRDefault="001B7F77" w:rsidP="001B7F77">
      <w:pPr>
        <w:widowControl w:val="0"/>
        <w:tabs>
          <w:tab w:val="left" w:pos="360"/>
        </w:tabs>
        <w:suppressAutoHyphens/>
        <w:spacing w:before="120"/>
        <w:ind w:left="360"/>
        <w:rPr>
          <w:u w:val="single"/>
        </w:rPr>
      </w:pPr>
      <w:r w:rsidRPr="001B7F77">
        <w:rPr>
          <w:b/>
          <w:u w:val="single"/>
        </w:rPr>
        <w:t>309.2.2 Guards and access to roofs and elevated structures.</w:t>
      </w:r>
      <w:r w:rsidRPr="001B7F77">
        <w:rPr>
          <w:u w:val="single"/>
        </w:rPr>
        <w:t xml:space="preserve"> The provisions of Sections 304.11 and 306.5 of the </w:t>
      </w:r>
      <w:r w:rsidRPr="001B7F77">
        <w:rPr>
          <w:i/>
          <w:iCs/>
          <w:u w:val="single"/>
        </w:rPr>
        <w:t>New York City Mechanical Code</w:t>
      </w:r>
      <w:r w:rsidRPr="001B7F77">
        <w:rPr>
          <w:u w:val="single"/>
        </w:rPr>
        <w:t xml:space="preserve"> relating to guards and to permanent means of access, respectively, shall not apply where new equipment or appliances replace existing equipment or appliances in the same location.</w:t>
      </w:r>
    </w:p>
    <w:p w14:paraId="036E6DEA" w14:textId="77777777" w:rsidR="001B7F77" w:rsidRPr="001B7F77" w:rsidRDefault="001B7F77" w:rsidP="001B7F77">
      <w:pPr>
        <w:widowControl w:val="0"/>
        <w:tabs>
          <w:tab w:val="left" w:pos="360"/>
        </w:tabs>
        <w:suppressAutoHyphens/>
        <w:spacing w:before="120"/>
        <w:ind w:left="360"/>
        <w:rPr>
          <w:u w:val="single"/>
        </w:rPr>
      </w:pPr>
      <w:bookmarkStart w:id="99" w:name="_Hlk73543992"/>
      <w:r w:rsidRPr="001B7F77">
        <w:rPr>
          <w:b/>
          <w:u w:val="single"/>
        </w:rPr>
        <w:t xml:space="preserve">309.2.3 Vibration isolators for cooling towers. </w:t>
      </w:r>
      <w:r w:rsidRPr="001B7F77">
        <w:rPr>
          <w:u w:val="single"/>
        </w:rPr>
        <w:t xml:space="preserve">Where an existing cooling tower is replaced and physical limitations prohibit compliance with the vibration isolator requirements of Section 313.3.7 of the </w:t>
      </w:r>
      <w:r w:rsidRPr="001B7F77">
        <w:rPr>
          <w:i/>
          <w:iCs/>
          <w:u w:val="single"/>
        </w:rPr>
        <w:t>New York City Mechanical Code</w:t>
      </w:r>
      <w:r w:rsidRPr="001B7F77">
        <w:rPr>
          <w:u w:val="single"/>
        </w:rPr>
        <w:t xml:space="preserve">, such isolators may be omitted. Such physical limitations must be verified by the registered design professional and included in construction documents, supported with field conditions, calculations and manufacturer specifications. The installations shall comply with all other requirements of the </w:t>
      </w:r>
      <w:r w:rsidRPr="001B7F77">
        <w:rPr>
          <w:i/>
          <w:u w:val="single"/>
        </w:rPr>
        <w:t>New York City Noise Control Code</w:t>
      </w:r>
      <w:r w:rsidRPr="001B7F77">
        <w:rPr>
          <w:u w:val="single"/>
        </w:rPr>
        <w:t>.</w:t>
      </w:r>
    </w:p>
    <w:bookmarkEnd w:id="99"/>
    <w:p w14:paraId="3E7B4B47" w14:textId="77777777" w:rsidR="001B7F77" w:rsidRPr="001B7F77" w:rsidRDefault="001B7F77" w:rsidP="001B7F77">
      <w:pPr>
        <w:widowControl w:val="0"/>
        <w:tabs>
          <w:tab w:val="left" w:pos="360"/>
        </w:tabs>
        <w:suppressAutoHyphens/>
        <w:spacing w:before="120"/>
        <w:ind w:left="360"/>
        <w:rPr>
          <w:u w:val="single"/>
        </w:rPr>
      </w:pPr>
      <w:r w:rsidRPr="001B7F77">
        <w:rPr>
          <w:b/>
          <w:u w:val="single"/>
        </w:rPr>
        <w:t>309.2.4 Noncombustible fill for cooling towers.</w:t>
      </w:r>
      <w:r w:rsidRPr="001B7F77">
        <w:rPr>
          <w:u w:val="single"/>
        </w:rPr>
        <w:t xml:space="preserve"> Where an existing exterior cooling tower with combustible fill, located within 15 feet (4572 mm) of the lot line is replaced, such replacement shall be permitted to have combustible fill, notwithstanding the provisions of Section 908.3.2 of the </w:t>
      </w:r>
      <w:r w:rsidRPr="001B7F77">
        <w:rPr>
          <w:i/>
          <w:iCs/>
          <w:u w:val="single"/>
        </w:rPr>
        <w:t>New York City Mechanical Code</w:t>
      </w:r>
      <w:r w:rsidRPr="001B7F77">
        <w:rPr>
          <w:u w:val="single"/>
        </w:rPr>
        <w:t>.</w:t>
      </w:r>
    </w:p>
    <w:p w14:paraId="1B03AF26" w14:textId="77777777" w:rsidR="001B7F77" w:rsidRPr="001B7F77" w:rsidRDefault="001B7F77" w:rsidP="001B7F77">
      <w:pPr>
        <w:widowControl w:val="0"/>
        <w:suppressAutoHyphens/>
        <w:spacing w:before="120"/>
        <w:rPr>
          <w:u w:val="single"/>
        </w:rPr>
      </w:pPr>
      <w:r w:rsidRPr="001B7F77">
        <w:rPr>
          <w:b/>
          <w:u w:val="single"/>
        </w:rPr>
        <w:t>309.3 Boiler identification.</w:t>
      </w:r>
      <w:r w:rsidRPr="001B7F77">
        <w:rPr>
          <w:u w:val="single"/>
        </w:rPr>
        <w:t xml:space="preserve"> Where an existing boiler or burner is replaced, the appliance shall be identified with a nameplate permanently affixed to the appliance.</w:t>
      </w:r>
      <w:r w:rsidRPr="001B7F77">
        <w:rPr>
          <w:b/>
          <w:u w:val="single"/>
        </w:rPr>
        <w:t xml:space="preserve"> </w:t>
      </w:r>
      <w:r w:rsidRPr="001B7F77">
        <w:rPr>
          <w:u w:val="single"/>
        </w:rPr>
        <w:t>Such nameplate(s) shall be securely attached to the front of the boiler or placed in a conspicuous location on the boiler. In no case shall these numbers or identification be removed until the boiler is permanently discontinued. No person, except a boiler inspector authorized by the Department, or Department inspector, shall be authorized to deface or remove any boiler identification number on a boiler.</w:t>
      </w:r>
    </w:p>
    <w:p w14:paraId="7762FBCD" w14:textId="77777777" w:rsidR="001B7F77" w:rsidRPr="001B7F77" w:rsidRDefault="001B7F77" w:rsidP="001B7F77">
      <w:pPr>
        <w:widowControl w:val="0"/>
        <w:suppressAutoHyphens/>
        <w:spacing w:before="120"/>
        <w:jc w:val="center"/>
        <w:outlineLvl w:val="0"/>
        <w:rPr>
          <w:b/>
          <w:bCs/>
          <w:caps/>
          <w:u w:val="single"/>
        </w:rPr>
      </w:pPr>
      <w:bookmarkStart w:id="100" w:name="sec310"/>
      <w:bookmarkEnd w:id="96"/>
      <w:bookmarkEnd w:id="100"/>
    </w:p>
    <w:p w14:paraId="2B62CDC0" w14:textId="77777777" w:rsidR="001B7F77" w:rsidRPr="001B7F77" w:rsidRDefault="001B7F77" w:rsidP="001B7F77">
      <w:pPr>
        <w:widowControl w:val="0"/>
        <w:suppressAutoHyphens/>
        <w:spacing w:before="120"/>
        <w:jc w:val="center"/>
        <w:outlineLvl w:val="0"/>
        <w:rPr>
          <w:b/>
          <w:bCs/>
          <w:caps/>
          <w:u w:val="single"/>
        </w:rPr>
      </w:pPr>
      <w:r w:rsidRPr="001B7F77">
        <w:rPr>
          <w:b/>
          <w:bCs/>
          <w:caps/>
          <w:u w:val="single"/>
        </w:rPr>
        <w:t>SECTION EBC 310</w:t>
      </w:r>
      <w:r w:rsidRPr="001B7F77">
        <w:rPr>
          <w:b/>
          <w:bCs/>
          <w:caps/>
          <w:u w:val="single"/>
        </w:rPr>
        <w:br/>
        <w:t>Plumbing</w:t>
      </w:r>
    </w:p>
    <w:p w14:paraId="087C1658" w14:textId="77777777" w:rsidR="001B7F77" w:rsidRPr="001B7F77" w:rsidRDefault="001B7F77" w:rsidP="001B7F77">
      <w:pPr>
        <w:widowControl w:val="0"/>
        <w:suppressAutoHyphens/>
        <w:spacing w:before="120"/>
        <w:rPr>
          <w:b/>
          <w:u w:val="single"/>
        </w:rPr>
      </w:pPr>
      <w:r w:rsidRPr="001B7F77">
        <w:rPr>
          <w:b/>
          <w:u w:val="single"/>
        </w:rPr>
        <w:t>310.1 General.</w:t>
      </w:r>
      <w:r w:rsidRPr="001B7F77">
        <w:rPr>
          <w:u w:val="single"/>
        </w:rPr>
        <w:t xml:space="preserve"> In addition to the general requirements of Section 302.9, alterations, additions or repairs of installations of plumbing systems shall conform to the requirements for new installations without requiring the existing installation to comply with all of the requirements of the </w:t>
      </w:r>
      <w:r w:rsidRPr="001B7F77">
        <w:rPr>
          <w:i/>
          <w:iCs/>
          <w:u w:val="single"/>
        </w:rPr>
        <w:t>New York City Plumbing Code</w:t>
      </w:r>
      <w:r w:rsidRPr="001B7F77">
        <w:rPr>
          <w:u w:val="single"/>
        </w:rPr>
        <w:t>, this section, and the applicable provisions of Chapters 8, 9, 10, and 11 of this code. Alterations, additions, or repairs shall not cause an existing installation to become unsafe, hazardous, or overloaded.</w:t>
      </w:r>
    </w:p>
    <w:p w14:paraId="1B71EE69" w14:textId="77777777" w:rsidR="001B7F77" w:rsidRPr="001B7F77" w:rsidRDefault="001B7F77" w:rsidP="001B7F77">
      <w:pPr>
        <w:suppressAutoHyphens/>
        <w:spacing w:before="120"/>
        <w:rPr>
          <w:u w:val="single"/>
        </w:rPr>
      </w:pPr>
      <w:bookmarkStart w:id="101" w:name="_Hlk155771165"/>
      <w:r w:rsidRPr="001B7F77">
        <w:rPr>
          <w:b/>
          <w:u w:val="single"/>
        </w:rPr>
        <w:t>310.2 Plumbing fixtures.</w:t>
      </w:r>
      <w:bookmarkStart w:id="102" w:name="_Hlk85726910"/>
      <w:r w:rsidRPr="001B7F77">
        <w:rPr>
          <w:u w:val="single"/>
        </w:rPr>
        <w:t xml:space="preserve"> The number of existing plumbing fixtures shall be increased where the alteration work results in an occupant load increase greater than 10 percent, when calculated in accordance with Chapter 10 of the </w:t>
      </w:r>
      <w:r w:rsidRPr="001B7F77">
        <w:rPr>
          <w:i/>
          <w:iCs/>
          <w:u w:val="single"/>
        </w:rPr>
        <w:t>New York City Building Code</w:t>
      </w:r>
      <w:r w:rsidRPr="001B7F77">
        <w:rPr>
          <w:u w:val="single"/>
        </w:rPr>
        <w:t xml:space="preserve"> and Section 403 of the </w:t>
      </w:r>
      <w:r w:rsidRPr="001B7F77">
        <w:rPr>
          <w:i/>
          <w:iCs/>
          <w:u w:val="single"/>
        </w:rPr>
        <w:t>New York City Plumbing Code</w:t>
      </w:r>
      <w:r w:rsidRPr="001B7F77">
        <w:rPr>
          <w:u w:val="single"/>
        </w:rPr>
        <w:t xml:space="preserve"> requires the additional installation of more than one plumbing fixture.</w:t>
      </w:r>
    </w:p>
    <w:bookmarkEnd w:id="101"/>
    <w:bookmarkEnd w:id="102"/>
    <w:p w14:paraId="7CD3EDB6" w14:textId="77777777" w:rsidR="001B7F77" w:rsidRPr="001B7F77" w:rsidRDefault="001B7F77" w:rsidP="001B7F77">
      <w:pPr>
        <w:widowControl w:val="0"/>
        <w:suppressAutoHyphens/>
        <w:spacing w:before="120"/>
        <w:rPr>
          <w:u w:val="single"/>
        </w:rPr>
      </w:pPr>
      <w:r w:rsidRPr="001B7F77">
        <w:rPr>
          <w:b/>
          <w:u w:val="single"/>
        </w:rPr>
        <w:t>310.3 Existing piping used for grounding.</w:t>
      </w:r>
      <w:r w:rsidRPr="001B7F77">
        <w:rPr>
          <w:u w:val="single"/>
        </w:rPr>
        <w:t xml:space="preserve"> Existing metallic water service piping used for electrical grounding shall not be replaced with nonmetallic pipe or tubing until other approved means of grounding is provided.</w:t>
      </w:r>
    </w:p>
    <w:p w14:paraId="69534877" w14:textId="77777777" w:rsidR="001B7F77" w:rsidRPr="001B7F77" w:rsidRDefault="001B7F77" w:rsidP="001B7F77">
      <w:pPr>
        <w:widowControl w:val="0"/>
        <w:tabs>
          <w:tab w:val="left" w:pos="360"/>
        </w:tabs>
        <w:suppressAutoHyphens/>
        <w:spacing w:before="120"/>
        <w:rPr>
          <w:u w:val="single"/>
        </w:rPr>
      </w:pPr>
      <w:r w:rsidRPr="001B7F77">
        <w:rPr>
          <w:b/>
          <w:u w:val="single"/>
        </w:rPr>
        <w:t>310.4 Rehabilitation of piping systems.</w:t>
      </w:r>
      <w:r w:rsidRPr="001B7F77">
        <w:rPr>
          <w:u w:val="single"/>
        </w:rPr>
        <w:t xml:space="preserve"> Cured in Place pipe (CIPP) and epoxy spray pipe lining systems shall not be used.</w:t>
      </w:r>
    </w:p>
    <w:p w14:paraId="3B0FE60E" w14:textId="77777777" w:rsidR="001B7F77" w:rsidRPr="001B7F77" w:rsidRDefault="001B7F77" w:rsidP="001B7F77">
      <w:pPr>
        <w:widowControl w:val="0"/>
        <w:tabs>
          <w:tab w:val="left" w:pos="360"/>
        </w:tabs>
        <w:suppressAutoHyphens/>
        <w:spacing w:before="120"/>
        <w:rPr>
          <w:u w:val="single"/>
        </w:rPr>
      </w:pPr>
      <w:r w:rsidRPr="001B7F77">
        <w:rPr>
          <w:b/>
          <w:u w:val="single"/>
        </w:rPr>
        <w:t>310.5 Reuse of piping.</w:t>
      </w:r>
      <w:r w:rsidRPr="001B7F77">
        <w:rPr>
          <w:u w:val="single"/>
        </w:rPr>
        <w:t xml:space="preserve"> Piping that has been utilized for any purpose other than conveying potable water shall not be utilized for conveying potable water.</w:t>
      </w:r>
    </w:p>
    <w:p w14:paraId="6BF98558" w14:textId="77777777" w:rsidR="001B7F77" w:rsidRPr="001B7F77" w:rsidRDefault="001B7F77" w:rsidP="001B7F77">
      <w:pPr>
        <w:widowControl w:val="0"/>
        <w:tabs>
          <w:tab w:val="left" w:pos="360"/>
        </w:tabs>
        <w:suppressAutoHyphens/>
        <w:spacing w:before="120"/>
        <w:rPr>
          <w:u w:val="single"/>
        </w:rPr>
      </w:pPr>
      <w:r w:rsidRPr="001B7F77">
        <w:rPr>
          <w:b/>
          <w:u w:val="single"/>
        </w:rPr>
        <w:t>310.6 Abandonment of existing building sewer connections.</w:t>
      </w:r>
      <w:r w:rsidRPr="001B7F77">
        <w:rPr>
          <w:u w:val="single"/>
        </w:rPr>
        <w:t xml:space="preserve"> All abandoned building sewers shall require plug permits from the Department of Environmental Protection and shall be securely sealed at a point inside the curb line and as close thereto as practicable.</w:t>
      </w:r>
    </w:p>
    <w:p w14:paraId="5E7D6E23" w14:textId="77777777" w:rsidR="001B7F77" w:rsidRPr="001B7F77" w:rsidRDefault="001B7F77" w:rsidP="001B7F77">
      <w:pPr>
        <w:widowControl w:val="0"/>
        <w:suppressAutoHyphens/>
        <w:spacing w:before="120"/>
        <w:rPr>
          <w:u w:val="single"/>
        </w:rPr>
      </w:pPr>
      <w:r w:rsidRPr="001B7F77">
        <w:rPr>
          <w:b/>
          <w:u w:val="single"/>
        </w:rPr>
        <w:t>310.7 Sanitary drainage.</w:t>
      </w:r>
      <w:r w:rsidRPr="001B7F77">
        <w:rPr>
          <w:u w:val="single"/>
        </w:rPr>
        <w:t xml:space="preserve"> Where an alteration or addition made to an existing building affects the sanitary drainage system, such work shall comply with the requirements of the Department of Environmental Protection, Chapter 7 of the </w:t>
      </w:r>
      <w:r w:rsidRPr="001B7F77">
        <w:rPr>
          <w:i/>
          <w:iCs/>
          <w:u w:val="single"/>
        </w:rPr>
        <w:t>New York City Plumbing Code</w:t>
      </w:r>
      <w:r w:rsidRPr="001B7F77">
        <w:rPr>
          <w:u w:val="single"/>
        </w:rPr>
        <w:t xml:space="preserve"> and rules of the Department.</w:t>
      </w:r>
    </w:p>
    <w:p w14:paraId="0CF72795" w14:textId="77777777" w:rsidR="001B7F77" w:rsidRPr="001B7F77" w:rsidRDefault="001B7F77" w:rsidP="001B7F77">
      <w:pPr>
        <w:widowControl w:val="0"/>
        <w:pBdr>
          <w:top w:val="nil"/>
          <w:left w:val="nil"/>
          <w:bottom w:val="nil"/>
          <w:right w:val="nil"/>
          <w:between w:val="nil"/>
        </w:pBdr>
        <w:suppressAutoHyphens/>
        <w:spacing w:before="120"/>
        <w:ind w:left="360"/>
        <w:rPr>
          <w:rFonts w:eastAsia="Arial"/>
          <w:u w:val="single"/>
        </w:rPr>
      </w:pPr>
      <w:r w:rsidRPr="001B7F77">
        <w:rPr>
          <w:rFonts w:eastAsia="Arial"/>
          <w:b/>
          <w:u w:val="single"/>
        </w:rPr>
        <w:t>310.7.1 Individual private on-site sewage disposal system</w:t>
      </w:r>
      <w:r w:rsidRPr="001B7F77">
        <w:rPr>
          <w:b/>
          <w:u w:val="single"/>
        </w:rPr>
        <w:t>.</w:t>
      </w:r>
      <w:r w:rsidRPr="001B7F77">
        <w:rPr>
          <w:u w:val="single"/>
        </w:rPr>
        <w:t xml:space="preserve"> </w:t>
      </w:r>
      <w:r w:rsidRPr="001B7F77">
        <w:rPr>
          <w:rFonts w:eastAsia="Arial"/>
          <w:u w:val="single"/>
        </w:rPr>
        <w:t xml:space="preserve">Installation, alteration, and maintenance of individual private on-site sewage disposal systems serving one- and two- family dwellings and nonresidential properties receiving less than 1,000 gallons of sewage per day shall be subject to </w:t>
      </w:r>
      <w:r w:rsidRPr="001B7F77">
        <w:rPr>
          <w:rFonts w:eastAsia="Arial"/>
          <w:i/>
          <w:iCs/>
          <w:u w:val="single"/>
        </w:rPr>
        <w:t>New York City Plumbing Code</w:t>
      </w:r>
      <w:r w:rsidRPr="001B7F77">
        <w:rPr>
          <w:rFonts w:eastAsia="Arial"/>
          <w:u w:val="single"/>
        </w:rPr>
        <w:t xml:space="preserve"> and rules of the Department.</w:t>
      </w:r>
    </w:p>
    <w:p w14:paraId="00B64411" w14:textId="77777777" w:rsidR="001B7F77" w:rsidRPr="001B7F77" w:rsidRDefault="001B7F77" w:rsidP="001B7F77">
      <w:pPr>
        <w:widowControl w:val="0"/>
        <w:pBdr>
          <w:top w:val="nil"/>
          <w:left w:val="nil"/>
          <w:bottom w:val="nil"/>
          <w:right w:val="nil"/>
          <w:between w:val="nil"/>
        </w:pBdr>
        <w:suppressAutoHyphens/>
        <w:spacing w:before="120"/>
        <w:ind w:left="720"/>
        <w:rPr>
          <w:rFonts w:eastAsia="Arial"/>
          <w:u w:val="single"/>
        </w:rPr>
      </w:pPr>
      <w:r w:rsidRPr="001B7F77">
        <w:rPr>
          <w:rFonts w:eastAsia="Arial"/>
          <w:b/>
          <w:u w:val="single"/>
        </w:rPr>
        <w:t>310.7.1.1 Expansion of existing septic systems.</w:t>
      </w:r>
      <w:r w:rsidRPr="001B7F77">
        <w:rPr>
          <w:rFonts w:eastAsia="Arial"/>
          <w:u w:val="single"/>
        </w:rPr>
        <w:t xml:space="preserve"> Where an alteration is proposed that will result in an increase in the number of bedrooms in one- and two-family dwellings or the daily flow rate in all other properties, thereby increasing the load on the existing septic system, such alteration shall comply with rules of the Department.</w:t>
      </w:r>
    </w:p>
    <w:p w14:paraId="6B5DF7D8" w14:textId="77777777" w:rsidR="001B7F77" w:rsidRPr="001B7F77" w:rsidRDefault="001B7F77" w:rsidP="001B7F77">
      <w:pPr>
        <w:widowControl w:val="0"/>
        <w:tabs>
          <w:tab w:val="left" w:pos="720"/>
        </w:tabs>
        <w:suppressAutoHyphens/>
        <w:spacing w:before="120"/>
        <w:ind w:left="720"/>
        <w:rPr>
          <w:u w:val="single"/>
        </w:rPr>
      </w:pPr>
      <w:r w:rsidRPr="001B7F77">
        <w:rPr>
          <w:b/>
          <w:u w:val="single"/>
        </w:rPr>
        <w:t xml:space="preserve">310.7.1.2 Where public sewers are made available to premises with private sewage disposal system. </w:t>
      </w:r>
      <w:r w:rsidRPr="001B7F77">
        <w:rPr>
          <w:u w:val="single"/>
        </w:rPr>
        <w:t>When public sewers are made available to premises with individual on- site private disposal systems, such private sewage disposal system shall be abandoned in a manner prescribed by the commissioner, and the owner shall connect the building house sewer to the available public sewer within 6 months of the date of notification that the sewer has been accepted to receive flow by the agency or agencies having jurisdiction.</w:t>
      </w:r>
    </w:p>
    <w:p w14:paraId="0EFA181A" w14:textId="77777777" w:rsidR="001B7F77" w:rsidRPr="001B7F77" w:rsidRDefault="001B7F77" w:rsidP="001B7F77">
      <w:pPr>
        <w:widowControl w:val="0"/>
        <w:suppressAutoHyphens/>
        <w:spacing w:before="120"/>
        <w:rPr>
          <w:u w:val="single"/>
        </w:rPr>
      </w:pPr>
      <w:r w:rsidRPr="001B7F77">
        <w:rPr>
          <w:b/>
          <w:u w:val="single"/>
        </w:rPr>
        <w:t>310.8 Storm drainage.</w:t>
      </w:r>
      <w:r w:rsidRPr="001B7F77">
        <w:rPr>
          <w:u w:val="single"/>
        </w:rPr>
        <w:t xml:space="preserve"> Alterations of buildings proposing horizontal building enlargement or alterations that increase impervious surfaces on the tax lot shall comply with the applicable provisions of Chapter 11 the </w:t>
      </w:r>
      <w:r w:rsidRPr="001B7F77">
        <w:rPr>
          <w:i/>
          <w:iCs/>
          <w:u w:val="single"/>
        </w:rPr>
        <w:t>New York City Plumbing Code</w:t>
      </w:r>
      <w:r w:rsidRPr="001B7F77">
        <w:rPr>
          <w:u w:val="single"/>
        </w:rPr>
        <w:t xml:space="preserve"> and the requirements of the Department of Environmental Protection.</w:t>
      </w:r>
    </w:p>
    <w:p w14:paraId="2B7B5B6A" w14:textId="77777777" w:rsidR="001B7F77" w:rsidRPr="001B7F77" w:rsidRDefault="001B7F77" w:rsidP="001B7F77">
      <w:pPr>
        <w:widowControl w:val="0"/>
        <w:tabs>
          <w:tab w:val="left" w:pos="360"/>
        </w:tabs>
        <w:suppressAutoHyphens/>
        <w:spacing w:before="120"/>
        <w:ind w:left="360"/>
        <w:rPr>
          <w:u w:val="single"/>
        </w:rPr>
      </w:pPr>
      <w:r w:rsidRPr="001B7F77">
        <w:rPr>
          <w:b/>
          <w:u w:val="single"/>
        </w:rPr>
        <w:t>310.8.1 Increases in existing impervious surfaces</w:t>
      </w:r>
      <w:r w:rsidRPr="001B7F77">
        <w:rPr>
          <w:u w:val="single"/>
        </w:rPr>
        <w:t xml:space="preserve">. Whenever impervious surfaces on the lot are increased, such impervious surfaces shall drain into a storm sewer system, or a combined sewer system, or to an approved place of disposal in accordance with the </w:t>
      </w:r>
      <w:r w:rsidRPr="001B7F77">
        <w:rPr>
          <w:i/>
          <w:iCs/>
          <w:u w:val="single"/>
        </w:rPr>
        <w:t>New York City Plumbing Code</w:t>
      </w:r>
      <w:r w:rsidRPr="001B7F77">
        <w:rPr>
          <w:u w:val="single"/>
        </w:rPr>
        <w:t xml:space="preserve"> and Section 106 of this code.</w:t>
      </w:r>
    </w:p>
    <w:p w14:paraId="366EAD4D" w14:textId="77777777" w:rsidR="001B7F77" w:rsidRPr="001B7F77" w:rsidRDefault="001B7F77" w:rsidP="001B7F77">
      <w:pPr>
        <w:widowControl w:val="0"/>
        <w:tabs>
          <w:tab w:val="left" w:pos="360"/>
        </w:tabs>
        <w:suppressAutoHyphens/>
        <w:spacing w:before="120"/>
        <w:ind w:left="360"/>
        <w:rPr>
          <w:u w:val="single"/>
        </w:rPr>
      </w:pPr>
      <w:r w:rsidRPr="001B7F77">
        <w:rPr>
          <w:b/>
          <w:u w:val="single"/>
        </w:rPr>
        <w:t>310.8.2 Private on-site stormwater disposal</w:t>
      </w:r>
      <w:r w:rsidRPr="001B7F77">
        <w:rPr>
          <w:u w:val="single"/>
        </w:rPr>
        <w:t xml:space="preserve">. Installation of private on-site stormwater disposal shall comply with Section 1114 of the </w:t>
      </w:r>
      <w:r w:rsidRPr="001B7F77">
        <w:rPr>
          <w:i/>
          <w:iCs/>
          <w:u w:val="single"/>
        </w:rPr>
        <w:t>New York City Plumbing Code</w:t>
      </w:r>
      <w:r w:rsidRPr="001B7F77">
        <w:rPr>
          <w:u w:val="single"/>
        </w:rPr>
        <w:t>.</w:t>
      </w:r>
    </w:p>
    <w:p w14:paraId="4EFB3ADD" w14:textId="77777777" w:rsidR="001B7F77" w:rsidRPr="001B7F77" w:rsidRDefault="001B7F77" w:rsidP="001B7F77">
      <w:pPr>
        <w:widowControl w:val="0"/>
        <w:suppressAutoHyphens/>
        <w:spacing w:before="120"/>
        <w:rPr>
          <w:u w:val="single"/>
        </w:rPr>
      </w:pPr>
      <w:bookmarkStart w:id="103" w:name="sec312"/>
      <w:r w:rsidRPr="001B7F77">
        <w:rPr>
          <w:b/>
          <w:u w:val="single"/>
        </w:rPr>
        <w:t xml:space="preserve">310.9 Secondary (emergency) roof drains. </w:t>
      </w:r>
      <w:r w:rsidRPr="001B7F77">
        <w:rPr>
          <w:u w:val="single"/>
        </w:rPr>
        <w:t>Existing secondary (emergency) means of overflow shall not be removed or reduced in capacity.</w:t>
      </w:r>
      <w:r w:rsidRPr="001B7F77">
        <w:rPr>
          <w:b/>
          <w:u w:val="single"/>
        </w:rPr>
        <w:t xml:space="preserve"> </w:t>
      </w:r>
      <w:r w:rsidRPr="001B7F77">
        <w:rPr>
          <w:u w:val="single"/>
        </w:rPr>
        <w:t>Where alterations are being made to existing roofs with existing storm drainage, the addition of secondary (emergency) drainage shall not be required where:</w:t>
      </w:r>
    </w:p>
    <w:p w14:paraId="170E0C9A" w14:textId="77777777" w:rsidR="001B7F77" w:rsidRPr="001B7F77" w:rsidRDefault="001B7F77" w:rsidP="001B7F77">
      <w:pPr>
        <w:widowControl w:val="0"/>
        <w:pBdr>
          <w:top w:val="nil"/>
          <w:left w:val="nil"/>
          <w:bottom w:val="nil"/>
          <w:right w:val="nil"/>
          <w:between w:val="nil"/>
        </w:pBdr>
        <w:tabs>
          <w:tab w:val="left" w:pos="720"/>
        </w:tabs>
        <w:suppressAutoHyphens/>
        <w:autoSpaceDE w:val="0"/>
        <w:autoSpaceDN w:val="0"/>
        <w:adjustRightInd w:val="0"/>
        <w:spacing w:before="120" w:line="226" w:lineRule="auto"/>
        <w:ind w:left="720" w:hanging="360"/>
        <w:rPr>
          <w:rFonts w:eastAsia="Arial"/>
          <w:u w:val="single"/>
        </w:rPr>
      </w:pPr>
      <w:r w:rsidRPr="001B7F77">
        <w:rPr>
          <w:rFonts w:eastAsia="Arial"/>
          <w:u w:val="single"/>
        </w:rPr>
        <w:t>1.</w:t>
      </w:r>
      <w:r w:rsidRPr="001B7F77">
        <w:tab/>
      </w:r>
      <w:r w:rsidRPr="001B7F77">
        <w:rPr>
          <w:rFonts w:eastAsia="Arial"/>
          <w:u w:val="single"/>
        </w:rPr>
        <w:t>The alterations do not result in the addition of new perimeter construction where no such parapet or similar construction previously existed which extends above the roof in such a manner that water will be entrapped if the existing drains allow buildup for any reason;</w:t>
      </w:r>
    </w:p>
    <w:p w14:paraId="11061B08" w14:textId="77777777" w:rsidR="001B7F77" w:rsidRPr="001B7F77" w:rsidRDefault="001B7F77" w:rsidP="001B7F77">
      <w:pPr>
        <w:widowControl w:val="0"/>
        <w:pBdr>
          <w:top w:val="nil"/>
          <w:left w:val="nil"/>
          <w:bottom w:val="nil"/>
          <w:right w:val="nil"/>
          <w:between w:val="nil"/>
        </w:pBdr>
        <w:tabs>
          <w:tab w:val="left" w:pos="720"/>
        </w:tabs>
        <w:suppressAutoHyphens/>
        <w:autoSpaceDE w:val="0"/>
        <w:autoSpaceDN w:val="0"/>
        <w:adjustRightInd w:val="0"/>
        <w:spacing w:before="120" w:line="226" w:lineRule="auto"/>
        <w:ind w:left="720" w:hanging="360"/>
        <w:rPr>
          <w:rFonts w:eastAsia="Arial"/>
          <w:szCs w:val="24"/>
          <w:u w:val="single"/>
        </w:rPr>
      </w:pPr>
      <w:r w:rsidRPr="001B7F77">
        <w:rPr>
          <w:rFonts w:eastAsia="Arial"/>
          <w:szCs w:val="24"/>
          <w:u w:val="single"/>
        </w:rPr>
        <w:t>2.</w:t>
      </w:r>
      <w:r w:rsidRPr="001B7F77">
        <w:rPr>
          <w:rFonts w:eastAsia="Arial"/>
          <w:szCs w:val="24"/>
          <w:u w:val="single"/>
        </w:rPr>
        <w:tab/>
        <w:t>The alterations do not increase the impervious area of the roof; or</w:t>
      </w:r>
    </w:p>
    <w:p w14:paraId="3247C664" w14:textId="77777777" w:rsidR="001B7F77" w:rsidRPr="001B7F77" w:rsidRDefault="001B7F77" w:rsidP="001B7F77">
      <w:pPr>
        <w:widowControl w:val="0"/>
        <w:pBdr>
          <w:top w:val="nil"/>
          <w:left w:val="nil"/>
          <w:bottom w:val="nil"/>
          <w:right w:val="nil"/>
          <w:between w:val="nil"/>
        </w:pBdr>
        <w:tabs>
          <w:tab w:val="left" w:pos="720"/>
        </w:tabs>
        <w:suppressAutoHyphens/>
        <w:autoSpaceDE w:val="0"/>
        <w:autoSpaceDN w:val="0"/>
        <w:adjustRightInd w:val="0"/>
        <w:spacing w:before="120" w:line="226" w:lineRule="auto"/>
        <w:ind w:left="720" w:hanging="360"/>
        <w:rPr>
          <w:rFonts w:eastAsia="Arial"/>
          <w:szCs w:val="24"/>
          <w:u w:val="single"/>
        </w:rPr>
      </w:pPr>
      <w:r w:rsidRPr="001B7F77">
        <w:rPr>
          <w:rFonts w:eastAsia="Arial"/>
          <w:szCs w:val="24"/>
          <w:u w:val="single"/>
        </w:rPr>
        <w:t>3.</w:t>
      </w:r>
      <w:r w:rsidRPr="001B7F77">
        <w:rPr>
          <w:rFonts w:eastAsia="Arial"/>
          <w:szCs w:val="24"/>
          <w:u w:val="single"/>
        </w:rPr>
        <w:tab/>
        <w:t xml:space="preserve">The additional impervious area does not result in exceeding the existing flow of the storm drainage system, or portion thereof, when sized in accordance with Section 1106 of the </w:t>
      </w:r>
      <w:r w:rsidRPr="001B7F77">
        <w:rPr>
          <w:rFonts w:eastAsia="Arial"/>
          <w:i/>
          <w:iCs/>
          <w:szCs w:val="24"/>
          <w:u w:val="single"/>
        </w:rPr>
        <w:t>New York City Plumbing Code</w:t>
      </w:r>
      <w:r w:rsidRPr="001B7F77">
        <w:rPr>
          <w:rFonts w:eastAsia="Arial"/>
          <w:szCs w:val="24"/>
          <w:u w:val="single"/>
        </w:rPr>
        <w:t>.</w:t>
      </w:r>
    </w:p>
    <w:p w14:paraId="0692C4EC" w14:textId="77777777" w:rsidR="001B7F77" w:rsidRPr="001B7F77" w:rsidRDefault="001B7F77" w:rsidP="001B7F77">
      <w:pPr>
        <w:widowControl w:val="0"/>
        <w:suppressAutoHyphens/>
        <w:spacing w:before="120"/>
        <w:jc w:val="center"/>
        <w:outlineLvl w:val="0"/>
        <w:rPr>
          <w:b/>
          <w:bCs/>
          <w:u w:val="single"/>
        </w:rPr>
      </w:pPr>
      <w:bookmarkStart w:id="104" w:name="sec311"/>
    </w:p>
    <w:p w14:paraId="47993600" w14:textId="77777777" w:rsidR="001B7F77" w:rsidRPr="001B7F77" w:rsidRDefault="001B7F77" w:rsidP="001B7F77">
      <w:pPr>
        <w:widowControl w:val="0"/>
        <w:suppressAutoHyphens/>
        <w:spacing w:before="120"/>
        <w:jc w:val="center"/>
        <w:outlineLvl w:val="0"/>
        <w:rPr>
          <w:b/>
          <w:bCs/>
          <w:u w:val="single"/>
        </w:rPr>
      </w:pPr>
      <w:r w:rsidRPr="001B7F77">
        <w:rPr>
          <w:b/>
          <w:bCs/>
          <w:u w:val="single"/>
        </w:rPr>
        <w:t>SECTION EBC 311</w:t>
      </w:r>
      <w:r w:rsidRPr="001B7F77">
        <w:rPr>
          <w:b/>
          <w:bCs/>
          <w:u w:val="single"/>
        </w:rPr>
        <w:br/>
        <w:t>FUEL GAS</w:t>
      </w:r>
    </w:p>
    <w:p w14:paraId="5BB9748A" w14:textId="77777777" w:rsidR="001B7F77" w:rsidRPr="001B7F77" w:rsidRDefault="001B7F77" w:rsidP="001B7F77">
      <w:pPr>
        <w:widowControl w:val="0"/>
        <w:suppressAutoHyphens/>
        <w:spacing w:before="120"/>
        <w:rPr>
          <w:u w:val="single"/>
        </w:rPr>
      </w:pPr>
      <w:r w:rsidRPr="001B7F77">
        <w:rPr>
          <w:b/>
          <w:u w:val="single"/>
        </w:rPr>
        <w:t xml:space="preserve">311.1 General. </w:t>
      </w:r>
      <w:r w:rsidRPr="001B7F77">
        <w:rPr>
          <w:u w:val="single"/>
        </w:rPr>
        <w:t xml:space="preserve">In addition to the general requirements of Section 302.9, the installation of and work on all fuel gas piping, appliances, equipment, and systems shall be governed by the applicable provisions of this code. All work not specifically addressed in this section shall be in accordance with the </w:t>
      </w:r>
      <w:r w:rsidRPr="001B7F77">
        <w:rPr>
          <w:i/>
          <w:iCs/>
          <w:u w:val="single"/>
        </w:rPr>
        <w:t>New York City Fuel Gas Code</w:t>
      </w:r>
      <w:r w:rsidRPr="001B7F77">
        <w:rPr>
          <w:u w:val="single"/>
        </w:rPr>
        <w:t>. The scope covered by this section includes piping systems from the point of delivery to the connections with the appliances and includes the design, materials, components, fabrication, assembly, installation, testing, inspection, operation and maintenance of such piping systems in existing buildings.</w:t>
      </w:r>
    </w:p>
    <w:p w14:paraId="74B8CA77" w14:textId="77777777" w:rsidR="001B7F77" w:rsidRPr="001B7F77" w:rsidRDefault="001B7F77" w:rsidP="001B7F77">
      <w:pPr>
        <w:widowControl w:val="0"/>
        <w:suppressAutoHyphens/>
        <w:spacing w:before="120"/>
        <w:ind w:left="360"/>
        <w:rPr>
          <w:u w:val="single"/>
        </w:rPr>
      </w:pPr>
      <w:r w:rsidRPr="001B7F77">
        <w:rPr>
          <w:b/>
          <w:u w:val="single" w:color="871723"/>
        </w:rPr>
        <w:t xml:space="preserve">311.1.1 Meters and service piping. </w:t>
      </w:r>
      <w:r w:rsidRPr="001B7F77">
        <w:rPr>
          <w:u w:val="single" w:color="871723"/>
        </w:rPr>
        <w:t>Service piping includes the fuel-gas piping up to the point</w:t>
      </w:r>
      <w:r w:rsidRPr="001B7F77">
        <w:rPr>
          <w:u w:val="single"/>
        </w:rPr>
        <w:t xml:space="preserve"> </w:t>
      </w:r>
      <w:r w:rsidRPr="001B7F77">
        <w:rPr>
          <w:u w:val="single" w:color="871723"/>
        </w:rPr>
        <w:t>of delivery. Meters and service piping shall comply with the requirements of 16 NYCRR Part 255 and</w:t>
      </w:r>
      <w:r w:rsidRPr="001B7F77">
        <w:rPr>
          <w:u w:val="single"/>
        </w:rPr>
        <w:t xml:space="preserve"> </w:t>
      </w:r>
      <w:r w:rsidRPr="001B7F77">
        <w:rPr>
          <w:u w:val="single" w:color="871723"/>
        </w:rPr>
        <w:t xml:space="preserve">Appendix E of the </w:t>
      </w:r>
      <w:r w:rsidRPr="001B7F77">
        <w:rPr>
          <w:i/>
          <w:iCs/>
          <w:u w:val="single" w:color="871723"/>
        </w:rPr>
        <w:t>New York City Fuel Gas Code</w:t>
      </w:r>
      <w:r w:rsidRPr="001B7F77">
        <w:rPr>
          <w:u w:val="single" w:color="871723"/>
        </w:rPr>
        <w:t>. In addition, meters, regulators and service piping located within buildings shall be located in accordance with the structural integrity, firestopping,</w:t>
      </w:r>
      <w:r w:rsidRPr="001B7F77">
        <w:rPr>
          <w:u w:val="single"/>
        </w:rPr>
        <w:t xml:space="preserve"> </w:t>
      </w:r>
      <w:r w:rsidRPr="001B7F77">
        <w:rPr>
          <w:u w:val="single" w:color="871723"/>
        </w:rPr>
        <w:t>and fire protection provisions of this</w:t>
      </w:r>
      <w:r w:rsidRPr="001B7F77">
        <w:rPr>
          <w:u w:val="single"/>
        </w:rPr>
        <w:t xml:space="preserve"> code.</w:t>
      </w:r>
    </w:p>
    <w:p w14:paraId="703C2C7E" w14:textId="77777777" w:rsidR="001B7F77" w:rsidRPr="001B7F77" w:rsidRDefault="001B7F77" w:rsidP="001B7F77">
      <w:pPr>
        <w:widowControl w:val="0"/>
        <w:suppressAutoHyphens/>
        <w:spacing w:before="120"/>
        <w:ind w:left="360"/>
        <w:rPr>
          <w:u w:val="single" w:color="871723"/>
        </w:rPr>
      </w:pPr>
      <w:r w:rsidRPr="001B7F77">
        <w:rPr>
          <w:b/>
          <w:u w:val="single" w:color="871723"/>
        </w:rPr>
        <w:t>311.1.2 Existing installations.</w:t>
      </w:r>
      <w:r w:rsidRPr="001B7F77">
        <w:rPr>
          <w:b/>
          <w:bCs/>
          <w:w w:val="110"/>
          <w:u w:val="single"/>
        </w:rPr>
        <w:t xml:space="preserve"> </w:t>
      </w:r>
      <w:r w:rsidRPr="001B7F77">
        <w:rPr>
          <w:u w:val="single" w:color="871723"/>
        </w:rPr>
        <w:t>Except as otherwise provided for in this section or elsewhere in this code, a provision in this code shall not require the removal, alteration or abandonment of, nor prevent the continued utilization and maintenance of existing installations of fuel gas systems lawfully in existence on the effective date of this code.</w:t>
      </w:r>
    </w:p>
    <w:p w14:paraId="4F83C1F4" w14:textId="77777777" w:rsidR="001B7F77" w:rsidRPr="001B7F77" w:rsidRDefault="001B7F77" w:rsidP="001B7F77">
      <w:pPr>
        <w:widowControl w:val="0"/>
        <w:suppressAutoHyphens/>
        <w:spacing w:before="120"/>
        <w:rPr>
          <w:u w:val="single"/>
        </w:rPr>
      </w:pPr>
      <w:r w:rsidRPr="001B7F77">
        <w:rPr>
          <w:b/>
          <w:bCs/>
          <w:u w:val="single"/>
        </w:rPr>
        <w:t>311.2</w:t>
      </w:r>
      <w:r w:rsidRPr="001B7F77">
        <w:rPr>
          <w:u w:val="single"/>
        </w:rPr>
        <w:t xml:space="preserve"> </w:t>
      </w:r>
      <w:r w:rsidRPr="001B7F77">
        <w:rPr>
          <w:b/>
          <w:bCs/>
          <w:u w:val="single"/>
        </w:rPr>
        <w:t>Special provisions for prior code buildings.</w:t>
      </w:r>
      <w:r w:rsidRPr="001B7F77">
        <w:rPr>
          <w:u w:val="single"/>
        </w:rPr>
        <w:t xml:space="preserve"> Fuel gas piping work in prior code buildings shall comply with the requirements of this section. Where compliance with Sections 311.2.1 and 311.2.2 is not feasible, compliance with the </w:t>
      </w:r>
      <w:r w:rsidRPr="001B7F77">
        <w:rPr>
          <w:i/>
          <w:iCs/>
          <w:u w:val="single"/>
        </w:rPr>
        <w:t>New York City Fuel Gas Code</w:t>
      </w:r>
      <w:r w:rsidRPr="001B7F77">
        <w:rPr>
          <w:u w:val="single"/>
        </w:rPr>
        <w:t xml:space="preserve"> is required.</w:t>
      </w:r>
    </w:p>
    <w:p w14:paraId="0CB481F0" w14:textId="77777777" w:rsidR="001B7F77" w:rsidRPr="001B7F77" w:rsidRDefault="001B7F77" w:rsidP="001B7F77">
      <w:pPr>
        <w:widowControl w:val="0"/>
        <w:suppressAutoHyphens/>
        <w:spacing w:before="120"/>
        <w:ind w:left="360"/>
        <w:rPr>
          <w:u w:val="single"/>
        </w:rPr>
      </w:pPr>
      <w:r w:rsidRPr="001B7F77">
        <w:rPr>
          <w:b/>
          <w:bCs/>
          <w:u w:val="single"/>
        </w:rPr>
        <w:t>311.2.1 Repair or replacement of existing fuel gas piping.</w:t>
      </w:r>
      <w:r w:rsidRPr="001B7F77">
        <w:rPr>
          <w:u w:val="single"/>
        </w:rPr>
        <w:t xml:space="preserve"> For prior code buildings, the repair or replacement of existing fuel gas piping located in existing public corridors, exit enclosures, interior stairways, fire-resistance-rated construction, or spaces containing fire pumps in </w:t>
      </w:r>
      <w:r w:rsidRPr="001B7F77">
        <w:rPr>
          <w:rFonts w:eastAsia="TimesNewRoman"/>
          <w:u w:val="single"/>
        </w:rPr>
        <w:t>the same location shall be permitted where the following conditions are met:</w:t>
      </w:r>
      <w:r w:rsidRPr="001B7F77" w:rsidDel="00C73FC7">
        <w:rPr>
          <w:rFonts w:eastAsia="TimesNewRoman"/>
          <w:u w:val="single"/>
        </w:rPr>
        <w:t xml:space="preserve"> </w:t>
      </w:r>
    </w:p>
    <w:p w14:paraId="03E994EE" w14:textId="77777777" w:rsidR="001B7F77" w:rsidRPr="001B7F77" w:rsidRDefault="001B7F77" w:rsidP="001B7F77">
      <w:pPr>
        <w:widowControl w:val="0"/>
        <w:suppressAutoHyphens/>
        <w:autoSpaceDE w:val="0"/>
        <w:autoSpaceDN w:val="0"/>
        <w:adjustRightInd w:val="0"/>
        <w:spacing w:before="120"/>
        <w:ind w:left="1080" w:hanging="360"/>
        <w:rPr>
          <w:u w:val="single"/>
        </w:rPr>
      </w:pPr>
      <w:r w:rsidRPr="001B7F77">
        <w:rPr>
          <w:u w:val="single"/>
        </w:rPr>
        <w:t>1.</w:t>
      </w:r>
      <w:r w:rsidRPr="001B7F77">
        <w:rPr>
          <w:u w:val="single"/>
        </w:rPr>
        <w:tab/>
        <w:t>The piping system must have been shut down and locked by the utility in response to an emergency condition;</w:t>
      </w:r>
    </w:p>
    <w:p w14:paraId="33031F8A" w14:textId="77777777" w:rsidR="001B7F77" w:rsidRPr="001B7F77" w:rsidRDefault="001B7F77" w:rsidP="001B7F77">
      <w:pPr>
        <w:widowControl w:val="0"/>
        <w:suppressAutoHyphens/>
        <w:autoSpaceDE w:val="0"/>
        <w:autoSpaceDN w:val="0"/>
        <w:spacing w:before="120"/>
        <w:ind w:left="1080" w:hanging="360"/>
        <w:rPr>
          <w:u w:val="single"/>
        </w:rPr>
      </w:pPr>
      <w:r w:rsidRPr="001B7F77">
        <w:rPr>
          <w:u w:val="single"/>
        </w:rPr>
        <w:t>2.</w:t>
      </w:r>
      <w:r w:rsidRPr="001B7F77">
        <w:rPr>
          <w:u w:val="single"/>
        </w:rPr>
        <w:tab/>
        <w:t>Minor deviation from the existing location is permissible within five feet from the original piping location;</w:t>
      </w:r>
    </w:p>
    <w:p w14:paraId="19DDCA00" w14:textId="77777777" w:rsidR="001B7F77" w:rsidRPr="001B7F77" w:rsidRDefault="001B7F77" w:rsidP="001B7F77">
      <w:pPr>
        <w:widowControl w:val="0"/>
        <w:suppressAutoHyphens/>
        <w:autoSpaceDE w:val="0"/>
        <w:autoSpaceDN w:val="0"/>
        <w:spacing w:before="120"/>
        <w:ind w:left="1080" w:hanging="360"/>
        <w:rPr>
          <w:u w:val="single"/>
        </w:rPr>
      </w:pPr>
      <w:r w:rsidRPr="001B7F77">
        <w:rPr>
          <w:u w:val="single"/>
        </w:rPr>
        <w:t>3.</w:t>
      </w:r>
      <w:r w:rsidRPr="001B7F77">
        <w:rPr>
          <w:u w:val="single"/>
        </w:rPr>
        <w:tab/>
        <w:t>When an existing gas piping system located within a space containing a fire pump is replaced, all piping must be separated from the space by an enclosure equivalent to the fire resistance and, where applicable, impact resistance requirements of the space in which the piping is located; and</w:t>
      </w:r>
    </w:p>
    <w:p w14:paraId="6C9B25CF" w14:textId="77777777" w:rsidR="001B7F77" w:rsidRPr="001B7F77" w:rsidRDefault="001B7F77" w:rsidP="001B7F77">
      <w:pPr>
        <w:widowControl w:val="0"/>
        <w:suppressAutoHyphens/>
        <w:autoSpaceDE w:val="0"/>
        <w:autoSpaceDN w:val="0"/>
        <w:spacing w:before="120"/>
        <w:ind w:left="1080" w:hanging="360"/>
        <w:rPr>
          <w:u w:val="single"/>
        </w:rPr>
      </w:pPr>
      <w:r w:rsidRPr="001B7F77">
        <w:rPr>
          <w:u w:val="single"/>
        </w:rPr>
        <w:t>4.</w:t>
      </w:r>
      <w:r w:rsidRPr="001B7F77">
        <w:rPr>
          <w:u w:val="single"/>
        </w:rPr>
        <w:tab/>
        <w:t>The existing installation must have been constructed in accordance with the code requirements in effect at the time of the installation.</w:t>
      </w:r>
    </w:p>
    <w:p w14:paraId="17065ECD" w14:textId="77777777" w:rsidR="001B7F77" w:rsidRPr="001B7F77" w:rsidRDefault="001B7F77" w:rsidP="001B7F77">
      <w:pPr>
        <w:widowControl w:val="0"/>
        <w:suppressAutoHyphens/>
        <w:spacing w:before="120"/>
        <w:ind w:left="360"/>
        <w:rPr>
          <w:rFonts w:eastAsia="Yu Gothic"/>
          <w:u w:val="single"/>
        </w:rPr>
      </w:pPr>
      <w:r w:rsidRPr="001B7F77">
        <w:rPr>
          <w:rFonts w:eastAsia="Yu Gothic"/>
          <w:b/>
          <w:bCs/>
          <w:u w:val="single"/>
        </w:rPr>
        <w:t>311.2.2 Alterations, additions and new fuel gas piping.</w:t>
      </w:r>
      <w:r w:rsidRPr="001B7F77">
        <w:rPr>
          <w:b/>
          <w:bCs/>
          <w:u w:val="single"/>
        </w:rPr>
        <w:t xml:space="preserve"> </w:t>
      </w:r>
      <w:r w:rsidRPr="001B7F77">
        <w:rPr>
          <w:u w:val="single"/>
        </w:rPr>
        <w:t>For prior code buildings, the alteration, addition or installation of new fuel gas piping in existing public corridors, exit enclosures, interior stairways, fire-resistance-rated construction, or spaces containing fire pumps shall be permitted where the following conditions</w:t>
      </w:r>
      <w:r w:rsidRPr="001B7F77" w:rsidDel="00C73FC7">
        <w:rPr>
          <w:rFonts w:eastAsia="Yu Gothic"/>
          <w:u w:val="single"/>
        </w:rPr>
        <w:t xml:space="preserve"> </w:t>
      </w:r>
      <w:r w:rsidRPr="001B7F77">
        <w:rPr>
          <w:rFonts w:eastAsia="Yu Gothic"/>
          <w:u w:val="single"/>
        </w:rPr>
        <w:t>are met:</w:t>
      </w:r>
    </w:p>
    <w:p w14:paraId="6A6FA7D3" w14:textId="77777777" w:rsidR="001B7F77" w:rsidRPr="001B7F77" w:rsidRDefault="001B7F77" w:rsidP="0001508F">
      <w:pPr>
        <w:widowControl w:val="0"/>
        <w:numPr>
          <w:ilvl w:val="0"/>
          <w:numId w:val="14"/>
        </w:numPr>
        <w:suppressAutoHyphens/>
        <w:autoSpaceDE w:val="0"/>
        <w:autoSpaceDN w:val="0"/>
        <w:adjustRightInd w:val="0"/>
        <w:spacing w:before="120"/>
        <w:ind w:left="1080"/>
        <w:jc w:val="left"/>
        <w:rPr>
          <w:rFonts w:eastAsia="Yu Gothic"/>
          <w:u w:val="single"/>
        </w:rPr>
      </w:pPr>
      <w:bookmarkStart w:id="105" w:name="_Hlk67560001"/>
      <w:r w:rsidRPr="001B7F77">
        <w:rPr>
          <w:rFonts w:eastAsia="Yu Gothic"/>
          <w:u w:val="single"/>
        </w:rPr>
        <w:t xml:space="preserve">New fuel gas piping located in exit enclosures, </w:t>
      </w:r>
      <w:r w:rsidRPr="001B7F77">
        <w:rPr>
          <w:u w:val="single"/>
        </w:rPr>
        <w:t>interior stairways, fire-resistance-rated construction, a space containing a fire pump, townhouses or</w:t>
      </w:r>
      <w:r w:rsidRPr="001B7F77">
        <w:rPr>
          <w:rFonts w:eastAsia="Yu Gothic"/>
          <w:u w:val="single"/>
        </w:rPr>
        <w:t xml:space="preserve"> within a public corridor above the lowest level or above the lowest residential level of a building must be separated from the space by an enclosure meeting the fire resistance rating and, where applicable, impact resistance</w:t>
      </w:r>
      <w:r w:rsidRPr="001B7F77">
        <w:rPr>
          <w:rFonts w:eastAsia="Yu Gothic"/>
        </w:rPr>
        <w:t xml:space="preserve"> </w:t>
      </w:r>
      <w:r w:rsidRPr="001B7F77">
        <w:rPr>
          <w:rFonts w:eastAsia="Yu Gothic"/>
          <w:u w:val="single"/>
        </w:rPr>
        <w:t>requirements of the space in which the piping is located;</w:t>
      </w:r>
    </w:p>
    <w:p w14:paraId="5886432F" w14:textId="77777777" w:rsidR="001B7F77" w:rsidRPr="001B7F77" w:rsidRDefault="001B7F77" w:rsidP="0001508F">
      <w:pPr>
        <w:widowControl w:val="0"/>
        <w:numPr>
          <w:ilvl w:val="0"/>
          <w:numId w:val="14"/>
        </w:numPr>
        <w:suppressAutoHyphens/>
        <w:autoSpaceDE w:val="0"/>
        <w:autoSpaceDN w:val="0"/>
        <w:adjustRightInd w:val="0"/>
        <w:spacing w:before="120"/>
        <w:ind w:left="1080"/>
        <w:jc w:val="left"/>
        <w:rPr>
          <w:rFonts w:eastAsia="Yu Gothic"/>
          <w:u w:val="single"/>
        </w:rPr>
      </w:pPr>
      <w:r w:rsidRPr="001B7F77">
        <w:rPr>
          <w:rFonts w:eastAsia="Yu Gothic"/>
          <w:u w:val="single"/>
        </w:rPr>
        <w:t>New fuel gas piping located in a public corridor at the lowest level or lowest residential level of a building shall not be required to be separated by an enclosure;</w:t>
      </w:r>
    </w:p>
    <w:p w14:paraId="31CC53BE" w14:textId="77777777" w:rsidR="001B7F77" w:rsidRPr="001B7F77" w:rsidRDefault="001B7F77" w:rsidP="0001508F">
      <w:pPr>
        <w:widowControl w:val="0"/>
        <w:numPr>
          <w:ilvl w:val="0"/>
          <w:numId w:val="14"/>
        </w:numPr>
        <w:suppressAutoHyphens/>
        <w:autoSpaceDE w:val="0"/>
        <w:autoSpaceDN w:val="0"/>
        <w:adjustRightInd w:val="0"/>
        <w:spacing w:before="120"/>
        <w:ind w:left="1080"/>
        <w:jc w:val="left"/>
        <w:rPr>
          <w:rFonts w:eastAsia="Yu Gothic"/>
          <w:u w:val="single"/>
        </w:rPr>
      </w:pPr>
      <w:r w:rsidRPr="001B7F77">
        <w:rPr>
          <w:rFonts w:eastAsia="Yu Gothic"/>
          <w:u w:val="single"/>
        </w:rPr>
        <w:t>All new valves shall be accessible for maintenance and inspection; and</w:t>
      </w:r>
    </w:p>
    <w:p w14:paraId="06B5688F" w14:textId="77777777" w:rsidR="001B7F77" w:rsidRPr="001B7F77" w:rsidRDefault="001B7F77" w:rsidP="0001508F">
      <w:pPr>
        <w:widowControl w:val="0"/>
        <w:numPr>
          <w:ilvl w:val="0"/>
          <w:numId w:val="14"/>
        </w:numPr>
        <w:suppressAutoHyphens/>
        <w:autoSpaceDE w:val="0"/>
        <w:autoSpaceDN w:val="0"/>
        <w:adjustRightInd w:val="0"/>
        <w:spacing w:before="120"/>
        <w:ind w:left="1080"/>
        <w:jc w:val="left"/>
        <w:rPr>
          <w:rFonts w:eastAsia="Yu Gothic"/>
          <w:u w:val="single"/>
        </w:rPr>
      </w:pPr>
      <w:r w:rsidRPr="001B7F77">
        <w:rPr>
          <w:rFonts w:eastAsia="Yu Gothic"/>
          <w:u w:val="single"/>
        </w:rPr>
        <w:t>All new piping joints must be welded.</w:t>
      </w:r>
      <w:bookmarkEnd w:id="105"/>
    </w:p>
    <w:p w14:paraId="7878E2D4" w14:textId="77777777" w:rsidR="001B7F77" w:rsidRPr="001B7F77" w:rsidRDefault="001B7F77" w:rsidP="001B7F77">
      <w:pPr>
        <w:widowControl w:val="0"/>
        <w:suppressAutoHyphens/>
        <w:spacing w:before="120"/>
        <w:ind w:left="360"/>
        <w:rPr>
          <w:u w:val="single"/>
        </w:rPr>
      </w:pPr>
      <w:r w:rsidRPr="001B7F77">
        <w:rPr>
          <w:b/>
          <w:u w:val="single"/>
        </w:rPr>
        <w:t>311.2.3 Guards and access to roofs and elevated structures.</w:t>
      </w:r>
      <w:r w:rsidRPr="001B7F77">
        <w:rPr>
          <w:u w:val="single"/>
        </w:rPr>
        <w:t xml:space="preserve"> The provisions of Sections 306.5 and 306.6 of the </w:t>
      </w:r>
      <w:r w:rsidRPr="001B7F77">
        <w:rPr>
          <w:i/>
          <w:iCs/>
          <w:u w:val="single"/>
        </w:rPr>
        <w:t>New York City Fuel Gas Code</w:t>
      </w:r>
      <w:r w:rsidRPr="001B7F77">
        <w:rPr>
          <w:u w:val="single"/>
        </w:rPr>
        <w:t>, relating to guards and permanent means of access, respectively, shall not apply where the equipment or appliances replace existing equipment or appliances in the same location.</w:t>
      </w:r>
    </w:p>
    <w:p w14:paraId="50A2D7A6" w14:textId="77777777" w:rsidR="001B7F77" w:rsidRPr="001B7F77" w:rsidRDefault="001B7F77" w:rsidP="001B7F77">
      <w:pPr>
        <w:widowControl w:val="0"/>
        <w:suppressAutoHyphens/>
        <w:spacing w:before="120"/>
        <w:ind w:left="360"/>
        <w:rPr>
          <w:u w:val="single"/>
        </w:rPr>
      </w:pPr>
      <w:r w:rsidRPr="001B7F77">
        <w:rPr>
          <w:b/>
          <w:u w:val="single"/>
        </w:rPr>
        <w:t>311.2.4 Seismic supports.</w:t>
      </w:r>
      <w:r w:rsidRPr="001B7F77">
        <w:rPr>
          <w:u w:val="single"/>
        </w:rPr>
        <w:t xml:space="preserve"> For prior code buildings, the determination as to whether seismic design requirements shall apply to a repair or replacement shall be made in accordance with Section 307. </w:t>
      </w:r>
    </w:p>
    <w:p w14:paraId="1237E63B" w14:textId="77777777" w:rsidR="001B7F77" w:rsidRPr="001B7F77" w:rsidRDefault="001B7F77" w:rsidP="001B7F77">
      <w:pPr>
        <w:widowControl w:val="0"/>
        <w:suppressAutoHyphens/>
        <w:spacing w:before="120"/>
        <w:ind w:left="360"/>
        <w:rPr>
          <w:u w:val="single"/>
        </w:rPr>
      </w:pPr>
      <w:r w:rsidRPr="001B7F77">
        <w:rPr>
          <w:b/>
          <w:u w:val="single"/>
        </w:rPr>
        <w:t>311.2.5 Wind resistance.</w:t>
      </w:r>
      <w:r w:rsidRPr="001B7F77">
        <w:rPr>
          <w:u w:val="single"/>
        </w:rPr>
        <w:t xml:space="preserve"> For prior code buildings, the determination as to whether wind pressure design requirements shall apply to a repair or replacement shall be made in accordance with Section 307.</w:t>
      </w:r>
    </w:p>
    <w:p w14:paraId="058820A1" w14:textId="77777777" w:rsidR="001B7F77" w:rsidRPr="001B7F77" w:rsidRDefault="001B7F77" w:rsidP="001B7F77">
      <w:pPr>
        <w:widowControl w:val="0"/>
        <w:suppressAutoHyphens/>
        <w:spacing w:before="120"/>
        <w:ind w:left="360"/>
        <w:rPr>
          <w:u w:val="single"/>
        </w:rPr>
      </w:pPr>
      <w:r w:rsidRPr="001B7F77">
        <w:rPr>
          <w:b/>
          <w:u w:val="single"/>
        </w:rPr>
        <w:t xml:space="preserve">311.2.6 Drips. </w:t>
      </w:r>
      <w:r w:rsidRPr="001B7F77">
        <w:rPr>
          <w:u w:val="single"/>
        </w:rPr>
        <w:t>Existing drips on piping systems shall be permitted to remain.</w:t>
      </w:r>
    </w:p>
    <w:p w14:paraId="525886FF" w14:textId="77777777" w:rsidR="001B7F77" w:rsidRPr="001B7F77" w:rsidRDefault="001B7F77" w:rsidP="001B7F77">
      <w:pPr>
        <w:widowControl w:val="0"/>
        <w:suppressAutoHyphens/>
        <w:spacing w:before="120"/>
        <w:ind w:left="720"/>
        <w:rPr>
          <w:u w:val="single"/>
        </w:rPr>
      </w:pPr>
      <w:r w:rsidRPr="001B7F77">
        <w:rPr>
          <w:b/>
          <w:u w:val="single"/>
        </w:rPr>
        <w:t>Exception:</w:t>
      </w:r>
      <w:r w:rsidRPr="001B7F77">
        <w:rPr>
          <w:bCs/>
          <w:u w:val="single"/>
        </w:rPr>
        <w:t xml:space="preserve"> An existing drip shall be removed when an alterations or repair connection is made at the drip.</w:t>
      </w:r>
    </w:p>
    <w:p w14:paraId="293FBB8E" w14:textId="77777777" w:rsidR="001B7F77" w:rsidRPr="001B7F77" w:rsidRDefault="001B7F77" w:rsidP="001B7F77">
      <w:pPr>
        <w:widowControl w:val="0"/>
        <w:suppressAutoHyphens/>
        <w:spacing w:before="120"/>
        <w:ind w:left="360"/>
        <w:rPr>
          <w:bCs/>
          <w:u w:val="single"/>
        </w:rPr>
      </w:pPr>
      <w:r w:rsidRPr="001B7F77">
        <w:rPr>
          <w:b/>
          <w:u w:val="single"/>
        </w:rPr>
        <w:t xml:space="preserve">311.2.7 Gas piping supplying domestic cooking appliances. </w:t>
      </w:r>
      <w:r w:rsidRPr="001B7F77">
        <w:rPr>
          <w:bCs/>
          <w:u w:val="single"/>
        </w:rPr>
        <w:t>Existing ½ inch diameter piping supplying gas to a domestic cooking appliance shall be permitted to be utilized and remain, provided it has adequate capacity for all appliances served.</w:t>
      </w:r>
    </w:p>
    <w:p w14:paraId="0D0B050A" w14:textId="77777777" w:rsidR="001B7F77" w:rsidRPr="001B7F77" w:rsidRDefault="001B7F77" w:rsidP="001B7F77">
      <w:pPr>
        <w:widowControl w:val="0"/>
        <w:suppressAutoHyphens/>
        <w:spacing w:before="120"/>
        <w:rPr>
          <w:b/>
          <w:u w:val="single"/>
        </w:rPr>
      </w:pPr>
      <w:r w:rsidRPr="001B7F77">
        <w:rPr>
          <w:b/>
          <w:u w:val="single"/>
        </w:rPr>
        <w:t xml:space="preserve">311.3 Gas piping in townhouses. </w:t>
      </w:r>
      <w:r w:rsidRPr="001B7F77">
        <w:rPr>
          <w:bCs/>
          <w:u w:val="single"/>
        </w:rPr>
        <w:t xml:space="preserve">When originally constructed in accordance with the </w:t>
      </w:r>
      <w:r w:rsidRPr="001B7F77">
        <w:rPr>
          <w:bCs/>
          <w:i/>
          <w:iCs/>
          <w:u w:val="single"/>
        </w:rPr>
        <w:t>New York City Construction Codes</w:t>
      </w:r>
      <w:r w:rsidRPr="001B7F77">
        <w:rPr>
          <w:bCs/>
          <w:u w:val="single"/>
        </w:rPr>
        <w:t xml:space="preserve"> in effect prior to October 1, 2014, gas piping downstream of the point of delivery and extending through a townhouse unit to serve another townhouse unit shall be permitted to remain. Alterations, repairs, replacements and new piping installations of such piping shall comply with this section.</w:t>
      </w:r>
    </w:p>
    <w:p w14:paraId="7ACD0AEC" w14:textId="77777777" w:rsidR="001B7F77" w:rsidRPr="001B7F77" w:rsidRDefault="001B7F77" w:rsidP="001B7F77">
      <w:pPr>
        <w:widowControl w:val="0"/>
        <w:suppressAutoHyphens/>
        <w:spacing w:before="120"/>
        <w:ind w:left="360"/>
        <w:rPr>
          <w:u w:val="single"/>
        </w:rPr>
      </w:pPr>
      <w:r w:rsidRPr="001B7F77">
        <w:rPr>
          <w:b/>
          <w:u w:val="single"/>
        </w:rPr>
        <w:t xml:space="preserve">311.3.1 Minor deviations. </w:t>
      </w:r>
      <w:r w:rsidRPr="001B7F77">
        <w:rPr>
          <w:u w:val="single"/>
        </w:rPr>
        <w:t>Minor deviations from the existing installation location are permissible only to the extent of replacing existing piping within five feet from the original location.</w:t>
      </w:r>
    </w:p>
    <w:p w14:paraId="27290C14" w14:textId="77777777" w:rsidR="001B7F77" w:rsidRPr="001B7F77" w:rsidRDefault="001B7F77" w:rsidP="001B7F77">
      <w:pPr>
        <w:widowControl w:val="0"/>
        <w:suppressAutoHyphens/>
        <w:spacing w:before="120"/>
        <w:ind w:left="360"/>
        <w:rPr>
          <w:bCs/>
          <w:u w:val="single"/>
        </w:rPr>
      </w:pPr>
      <w:r w:rsidRPr="001B7F77">
        <w:rPr>
          <w:b/>
          <w:u w:val="single"/>
        </w:rPr>
        <w:t xml:space="preserve">311.3.2 Valves. </w:t>
      </w:r>
      <w:r w:rsidRPr="001B7F77">
        <w:rPr>
          <w:bCs/>
          <w:u w:val="single"/>
        </w:rPr>
        <w:t>All valves shall be accessible for maintenance and inspection.</w:t>
      </w:r>
    </w:p>
    <w:p w14:paraId="6CC116FB" w14:textId="77777777" w:rsidR="001B7F77" w:rsidRPr="001B7F77" w:rsidRDefault="001B7F77" w:rsidP="001B7F77">
      <w:pPr>
        <w:widowControl w:val="0"/>
        <w:suppressAutoHyphens/>
        <w:spacing w:before="120"/>
        <w:ind w:left="360"/>
        <w:rPr>
          <w:bCs/>
          <w:u w:val="single"/>
        </w:rPr>
      </w:pPr>
      <w:r w:rsidRPr="001B7F77">
        <w:rPr>
          <w:b/>
          <w:u w:val="single"/>
        </w:rPr>
        <w:t xml:space="preserve">311.3.3 Joints. </w:t>
      </w:r>
      <w:r w:rsidRPr="001B7F77">
        <w:rPr>
          <w:bCs/>
          <w:u w:val="single"/>
        </w:rPr>
        <w:t>All new joints located within the townhouse containing, but not served by such gas piping must be welded.</w:t>
      </w:r>
    </w:p>
    <w:p w14:paraId="469B9278" w14:textId="77777777" w:rsidR="001B7F77" w:rsidRPr="001B7F77" w:rsidRDefault="001B7F77" w:rsidP="001B7F77">
      <w:pPr>
        <w:widowControl w:val="0"/>
        <w:suppressAutoHyphens/>
        <w:spacing w:before="120"/>
        <w:ind w:left="720"/>
        <w:rPr>
          <w:b/>
          <w:u w:val="single"/>
        </w:rPr>
      </w:pPr>
      <w:r w:rsidRPr="001B7F77">
        <w:rPr>
          <w:b/>
          <w:u w:val="single"/>
        </w:rPr>
        <w:t xml:space="preserve">Exception: </w:t>
      </w:r>
      <w:r w:rsidRPr="001B7F77">
        <w:rPr>
          <w:bCs/>
          <w:u w:val="single"/>
        </w:rPr>
        <w:t>For the purpose of repairs and replacements, joints shall not be required to be welded.</w:t>
      </w:r>
    </w:p>
    <w:p w14:paraId="594EE606" w14:textId="77777777" w:rsidR="001B7F77" w:rsidRPr="001B7F77" w:rsidRDefault="001B7F77" w:rsidP="001B7F77">
      <w:pPr>
        <w:widowControl w:val="0"/>
        <w:suppressAutoHyphens/>
        <w:spacing w:before="120"/>
        <w:rPr>
          <w:u w:val="single"/>
        </w:rPr>
      </w:pPr>
      <w:r w:rsidRPr="001B7F77">
        <w:rPr>
          <w:b/>
          <w:u w:val="single"/>
        </w:rPr>
        <w:t>311.4 Gas piping installations</w:t>
      </w:r>
      <w:r w:rsidRPr="001B7F77">
        <w:rPr>
          <w:u w:val="single"/>
        </w:rPr>
        <w:t>. The installation of gas piping shall comply with Sections 311.4.1 through 311.4.3 of this code.</w:t>
      </w:r>
    </w:p>
    <w:p w14:paraId="42DB6B9E" w14:textId="77777777" w:rsidR="001B7F77" w:rsidRPr="001B7F77" w:rsidRDefault="001B7F77" w:rsidP="001B7F77">
      <w:pPr>
        <w:widowControl w:val="0"/>
        <w:suppressAutoHyphens/>
        <w:spacing w:before="120"/>
        <w:ind w:left="360"/>
        <w:rPr>
          <w:u w:val="single"/>
        </w:rPr>
      </w:pPr>
      <w:r w:rsidRPr="001B7F77">
        <w:rPr>
          <w:b/>
          <w:u w:val="single"/>
        </w:rPr>
        <w:t xml:space="preserve">311.4.1 Identification. </w:t>
      </w:r>
      <w:r w:rsidRPr="001B7F77">
        <w:rPr>
          <w:u w:val="single"/>
        </w:rPr>
        <w:t xml:space="preserve">All new gas piping installed in existing buildings and existing gas piping exposed during the course of work, when subject to testing, whether or not the piping is intended to be enclosed when construction is completed, shall be identified in accordance with Chapter 4 of the </w:t>
      </w:r>
      <w:r w:rsidRPr="001B7F77">
        <w:rPr>
          <w:i/>
          <w:iCs/>
          <w:u w:val="single"/>
        </w:rPr>
        <w:t>New York City Fuel Gas Code</w:t>
      </w:r>
      <w:r w:rsidRPr="001B7F77">
        <w:rPr>
          <w:u w:val="single"/>
        </w:rPr>
        <w:t>.</w:t>
      </w:r>
    </w:p>
    <w:p w14:paraId="76BC5467" w14:textId="77777777" w:rsidR="001B7F77" w:rsidRPr="001B7F77" w:rsidRDefault="001B7F77" w:rsidP="001B7F77">
      <w:pPr>
        <w:widowControl w:val="0"/>
        <w:suppressAutoHyphens/>
        <w:spacing w:before="120"/>
        <w:ind w:left="360"/>
        <w:rPr>
          <w:u w:val="single"/>
        </w:rPr>
      </w:pPr>
      <w:r w:rsidRPr="001B7F77">
        <w:rPr>
          <w:b/>
          <w:u w:val="single"/>
        </w:rPr>
        <w:t xml:space="preserve">311.4.2 Prohibited locations. </w:t>
      </w:r>
      <w:r w:rsidRPr="001B7F77">
        <w:rPr>
          <w:u w:val="single"/>
        </w:rPr>
        <w:t xml:space="preserve">Gas piping shall not be installed in locations prohibited by Section 404 of the </w:t>
      </w:r>
      <w:r w:rsidRPr="001B7F77">
        <w:rPr>
          <w:i/>
          <w:iCs/>
          <w:u w:val="single"/>
        </w:rPr>
        <w:t>New York City Fuel Gas Code</w:t>
      </w:r>
      <w:r w:rsidRPr="001B7F77">
        <w:rPr>
          <w:u w:val="single"/>
        </w:rPr>
        <w:t>.</w:t>
      </w:r>
    </w:p>
    <w:p w14:paraId="31FEE29D" w14:textId="77777777" w:rsidR="001B7F77" w:rsidRPr="001B7F77" w:rsidRDefault="001B7F77" w:rsidP="001B7F77">
      <w:pPr>
        <w:widowControl w:val="0"/>
        <w:suppressAutoHyphens/>
        <w:spacing w:before="120"/>
        <w:ind w:left="720"/>
        <w:rPr>
          <w:u w:val="single"/>
        </w:rPr>
      </w:pPr>
      <w:r w:rsidRPr="001B7F77">
        <w:rPr>
          <w:b/>
          <w:u w:val="single"/>
        </w:rPr>
        <w:t>Exception:</w:t>
      </w:r>
      <w:r w:rsidRPr="001B7F77">
        <w:rPr>
          <w:u w:val="single"/>
        </w:rPr>
        <w:t xml:space="preserve"> In prior code buildings, existing gas piping and meters lawfully constructed in accordance with the prior codes that are not in compliance with Section 404 of the </w:t>
      </w:r>
      <w:r w:rsidRPr="001B7F77">
        <w:rPr>
          <w:i/>
          <w:iCs/>
          <w:u w:val="single"/>
        </w:rPr>
        <w:t>New York City Fuel Gas Code</w:t>
      </w:r>
      <w:r w:rsidRPr="001B7F77">
        <w:rPr>
          <w:u w:val="single"/>
        </w:rPr>
        <w:t>, shall be permitted to be altered, provided that the following conditions are met:</w:t>
      </w:r>
    </w:p>
    <w:p w14:paraId="1A4869CB" w14:textId="77777777" w:rsidR="001B7F77" w:rsidRPr="001B7F77" w:rsidRDefault="001B7F77" w:rsidP="0001508F">
      <w:pPr>
        <w:widowControl w:val="0"/>
        <w:numPr>
          <w:ilvl w:val="0"/>
          <w:numId w:val="13"/>
        </w:numPr>
        <w:pBdr>
          <w:top w:val="nil"/>
          <w:left w:val="nil"/>
          <w:bottom w:val="nil"/>
          <w:right w:val="nil"/>
          <w:between w:val="nil"/>
        </w:pBdr>
        <w:suppressAutoHyphens/>
        <w:autoSpaceDE w:val="0"/>
        <w:autoSpaceDN w:val="0"/>
        <w:adjustRightInd w:val="0"/>
        <w:spacing w:before="120"/>
        <w:jc w:val="left"/>
        <w:rPr>
          <w:u w:val="single"/>
        </w:rPr>
      </w:pPr>
      <w:r w:rsidRPr="001B7F77">
        <w:rPr>
          <w:u w:val="single"/>
        </w:rPr>
        <w:t>All gas valves shall be accessible for maintenance and inspection; and</w:t>
      </w:r>
    </w:p>
    <w:p w14:paraId="670F5288" w14:textId="77777777" w:rsidR="001B7F77" w:rsidRPr="001B7F77" w:rsidRDefault="001B7F77" w:rsidP="0001508F">
      <w:pPr>
        <w:widowControl w:val="0"/>
        <w:numPr>
          <w:ilvl w:val="0"/>
          <w:numId w:val="13"/>
        </w:numPr>
        <w:pBdr>
          <w:top w:val="nil"/>
          <w:left w:val="nil"/>
          <w:bottom w:val="nil"/>
          <w:right w:val="nil"/>
          <w:between w:val="nil"/>
        </w:pBdr>
        <w:suppressAutoHyphens/>
        <w:autoSpaceDE w:val="0"/>
        <w:autoSpaceDN w:val="0"/>
        <w:adjustRightInd w:val="0"/>
        <w:spacing w:before="120"/>
        <w:jc w:val="left"/>
        <w:rPr>
          <w:u w:val="single"/>
        </w:rPr>
      </w:pPr>
      <w:r w:rsidRPr="001B7F77">
        <w:rPr>
          <w:u w:val="single"/>
        </w:rPr>
        <w:t>Gas pressure shall not exceed ½ psi (14 inches w.c.).</w:t>
      </w:r>
    </w:p>
    <w:p w14:paraId="51DE17AD" w14:textId="77777777" w:rsidR="001B7F77" w:rsidRPr="001B7F77" w:rsidRDefault="001B7F77" w:rsidP="001B7F77">
      <w:pPr>
        <w:widowControl w:val="0"/>
        <w:suppressAutoHyphens/>
        <w:spacing w:before="120"/>
        <w:ind w:left="360"/>
        <w:rPr>
          <w:u w:val="single"/>
        </w:rPr>
      </w:pPr>
      <w:r w:rsidRPr="001B7F77">
        <w:rPr>
          <w:b/>
          <w:u w:val="single"/>
        </w:rPr>
        <w:t>311.4.3 Inspection and testing of piping.</w:t>
      </w:r>
      <w:r w:rsidRPr="001B7F77">
        <w:rPr>
          <w:u w:val="single"/>
        </w:rPr>
        <w:t xml:space="preserve"> Prior to acceptance and operation, all gas piping installations shall be inspected and pressure tested in accordance with Section 406 of the </w:t>
      </w:r>
      <w:r w:rsidRPr="001B7F77">
        <w:rPr>
          <w:i/>
          <w:iCs/>
          <w:u w:val="single"/>
        </w:rPr>
        <w:t>New York City Fuel Gas Code</w:t>
      </w:r>
      <w:r w:rsidRPr="001B7F77">
        <w:rPr>
          <w:u w:val="single"/>
        </w:rPr>
        <w:t xml:space="preserve"> and this section to determine that the materials, design, fabrication and installation practices comply with the requirements of this section and the </w:t>
      </w:r>
      <w:r w:rsidRPr="001B7F77">
        <w:rPr>
          <w:i/>
          <w:iCs/>
          <w:u w:val="single"/>
        </w:rPr>
        <w:t>New York City Fuel Gas Code</w:t>
      </w:r>
      <w:r w:rsidRPr="001B7F77">
        <w:rPr>
          <w:u w:val="single"/>
        </w:rPr>
        <w:t>.</w:t>
      </w:r>
    </w:p>
    <w:p w14:paraId="503F33BE" w14:textId="77777777" w:rsidR="001B7F77" w:rsidRPr="001B7F77" w:rsidRDefault="001B7F77" w:rsidP="001B7F77">
      <w:pPr>
        <w:widowControl w:val="0"/>
        <w:suppressAutoHyphens/>
        <w:spacing w:before="120"/>
        <w:jc w:val="center"/>
        <w:outlineLvl w:val="0"/>
        <w:rPr>
          <w:b/>
          <w:bCs/>
          <w:u w:val="single"/>
        </w:rPr>
      </w:pPr>
      <w:bookmarkStart w:id="106" w:name="_Hlk71726606"/>
      <w:bookmarkEnd w:id="97"/>
      <w:bookmarkEnd w:id="104"/>
    </w:p>
    <w:p w14:paraId="23B0EF72" w14:textId="77777777" w:rsidR="001B7F77" w:rsidRPr="001B7F77" w:rsidRDefault="001B7F77" w:rsidP="001B7F77">
      <w:pPr>
        <w:widowControl w:val="0"/>
        <w:suppressAutoHyphens/>
        <w:spacing w:before="120"/>
        <w:jc w:val="center"/>
        <w:outlineLvl w:val="0"/>
        <w:rPr>
          <w:b/>
          <w:bCs/>
          <w:u w:val="single"/>
        </w:rPr>
      </w:pPr>
      <w:r w:rsidRPr="001B7F77">
        <w:rPr>
          <w:b/>
          <w:bCs/>
          <w:u w:val="single"/>
        </w:rPr>
        <w:t>SECTION EBC 312</w:t>
      </w:r>
      <w:r w:rsidRPr="001B7F77">
        <w:rPr>
          <w:b/>
          <w:bCs/>
          <w:u w:val="single"/>
        </w:rPr>
        <w:br/>
        <w:t>ELEVATORS AND CONVEYING SYSTEMS</w:t>
      </w:r>
    </w:p>
    <w:p w14:paraId="55DE9FB6" w14:textId="77777777" w:rsidR="001B7F77" w:rsidRPr="001B7F77" w:rsidRDefault="001B7F77" w:rsidP="001B7F77">
      <w:pPr>
        <w:widowControl w:val="0"/>
        <w:suppressAutoHyphens/>
        <w:spacing w:before="120"/>
        <w:rPr>
          <w:u w:val="single"/>
        </w:rPr>
      </w:pPr>
      <w:bookmarkStart w:id="107" w:name="sec312ELV0"/>
      <w:bookmarkStart w:id="108" w:name="sec312FP"/>
      <w:r w:rsidRPr="001B7F77">
        <w:rPr>
          <w:b/>
          <w:u w:val="single"/>
        </w:rPr>
        <w:t>312.1 General.</w:t>
      </w:r>
      <w:r w:rsidRPr="001B7F77">
        <w:rPr>
          <w:u w:val="single"/>
        </w:rPr>
        <w:t xml:space="preserve"> The installation of, alterations to and work on elevators, conveying systems, and amusement rides shall be governed by Chapter 30 and referenced standards as modified by Appendix K of the </w:t>
      </w:r>
      <w:r w:rsidRPr="001B7F77">
        <w:rPr>
          <w:i/>
          <w:iCs/>
          <w:u w:val="single"/>
        </w:rPr>
        <w:t>New York City Building Code</w:t>
      </w:r>
      <w:r w:rsidRPr="001B7F77">
        <w:rPr>
          <w:u w:val="single"/>
        </w:rPr>
        <w:t>, rules of the Department, and this code.</w:t>
      </w:r>
    </w:p>
    <w:p w14:paraId="58A1E4E7" w14:textId="77777777" w:rsidR="001B7F77" w:rsidRPr="001B7F77" w:rsidRDefault="001B7F77" w:rsidP="001B7F77">
      <w:pPr>
        <w:widowControl w:val="0"/>
        <w:suppressAutoHyphens/>
        <w:spacing w:before="120"/>
        <w:rPr>
          <w:u w:val="single"/>
        </w:rPr>
      </w:pPr>
      <w:r w:rsidRPr="001B7F77">
        <w:rPr>
          <w:b/>
          <w:u w:val="single"/>
        </w:rPr>
        <w:t xml:space="preserve">312.2 Existing elevators and conveying systems. </w:t>
      </w:r>
      <w:r w:rsidRPr="001B7F77">
        <w:rPr>
          <w:u w:val="single"/>
        </w:rPr>
        <w:t xml:space="preserve">All existing and altered elevators and conveying systems shall comply with ASME A17.3, as modified by Appendix K, Chapter K3 of the </w:t>
      </w:r>
      <w:r w:rsidRPr="001B7F77">
        <w:rPr>
          <w:i/>
          <w:iCs/>
          <w:u w:val="single"/>
        </w:rPr>
        <w:t>New York City Building Code</w:t>
      </w:r>
      <w:r w:rsidRPr="001B7F77">
        <w:rPr>
          <w:u w:val="single"/>
        </w:rPr>
        <w:t>, and be maintained and periodically inspected and tested in accordance with Sections 118 and 119 of this code.</w:t>
      </w:r>
    </w:p>
    <w:p w14:paraId="55D75F50" w14:textId="77777777" w:rsidR="001B7F77" w:rsidRPr="001B7F77" w:rsidRDefault="001B7F77" w:rsidP="001B7F77">
      <w:pPr>
        <w:widowControl w:val="0"/>
        <w:suppressAutoHyphens/>
        <w:spacing w:before="120"/>
        <w:rPr>
          <w:u w:val="single"/>
        </w:rPr>
      </w:pPr>
      <w:r w:rsidRPr="001B7F77">
        <w:rPr>
          <w:b/>
          <w:u w:val="single"/>
        </w:rPr>
        <w:t xml:space="preserve">312.3 Change of use of an existing elevator. </w:t>
      </w:r>
      <w:r w:rsidRPr="001B7F77">
        <w:rPr>
          <w:u w:val="single"/>
        </w:rPr>
        <w:t xml:space="preserve">Where an existing elevator is subject to a change in use, such change shall comply with Section 3001.4 of the </w:t>
      </w:r>
      <w:r w:rsidRPr="001B7F77">
        <w:rPr>
          <w:i/>
          <w:iCs/>
          <w:u w:val="single"/>
        </w:rPr>
        <w:t>New York City Building Code</w:t>
      </w:r>
      <w:r w:rsidRPr="001B7F77">
        <w:rPr>
          <w:u w:val="single"/>
        </w:rPr>
        <w:t>.</w:t>
      </w:r>
    </w:p>
    <w:p w14:paraId="42706165" w14:textId="77777777" w:rsidR="001B7F77" w:rsidRPr="001B7F77" w:rsidRDefault="001B7F77" w:rsidP="001B7F77">
      <w:pPr>
        <w:widowControl w:val="0"/>
        <w:suppressAutoHyphens/>
        <w:spacing w:before="120"/>
        <w:rPr>
          <w:u w:val="single"/>
        </w:rPr>
      </w:pPr>
      <w:r w:rsidRPr="001B7F77">
        <w:rPr>
          <w:b/>
          <w:u w:val="single"/>
        </w:rPr>
        <w:t>312.4 Existing shafts</w:t>
      </w:r>
      <w:r w:rsidRPr="001B7F77">
        <w:rPr>
          <w:u w:val="single"/>
        </w:rPr>
        <w:t xml:space="preserve">. In prior code buildings, elevator cabs installed in existing </w:t>
      </w:r>
      <w:hyperlink r:id="rId46" w:anchor="shaft" w:history="1">
        <w:r w:rsidRPr="001B7F77">
          <w:rPr>
            <w:u w:val="single"/>
          </w:rPr>
          <w:t>shafts</w:t>
        </w:r>
      </w:hyperlink>
      <w:r w:rsidRPr="001B7F77">
        <w:rPr>
          <w:u w:val="single"/>
        </w:rPr>
        <w:t xml:space="preserve"> shall be permitted to be smaller than that required by Chapter 30 of the </w:t>
      </w:r>
      <w:r w:rsidRPr="001B7F77">
        <w:rPr>
          <w:i/>
          <w:iCs/>
          <w:u w:val="single"/>
        </w:rPr>
        <w:t>New York City Building Code</w:t>
      </w:r>
      <w:r w:rsidRPr="001B7F77">
        <w:rPr>
          <w:u w:val="single"/>
        </w:rPr>
        <w:t xml:space="preserve">, where necessary to fit in the existing </w:t>
      </w:r>
      <w:hyperlink r:id="rId47" w:anchor="shaft" w:history="1">
        <w:r w:rsidRPr="001B7F77">
          <w:rPr>
            <w:u w:val="single"/>
          </w:rPr>
          <w:t>shaft</w:t>
        </w:r>
      </w:hyperlink>
      <w:r w:rsidRPr="001B7F77">
        <w:rPr>
          <w:u w:val="single"/>
        </w:rPr>
        <w:t>.</w:t>
      </w:r>
    </w:p>
    <w:p w14:paraId="6C5537A8" w14:textId="77777777" w:rsidR="001B7F77" w:rsidRPr="001B7F77" w:rsidRDefault="001B7F77" w:rsidP="001B7F77">
      <w:pPr>
        <w:widowControl w:val="0"/>
        <w:suppressAutoHyphens/>
        <w:spacing w:before="120"/>
        <w:ind w:left="360"/>
        <w:rPr>
          <w:bCs/>
          <w:color w:val="222222"/>
          <w:u w:val="single"/>
        </w:rPr>
      </w:pPr>
      <w:r w:rsidRPr="001B7F77">
        <w:rPr>
          <w:b/>
          <w:bCs/>
          <w:color w:val="222222"/>
          <w:u w:val="single"/>
        </w:rPr>
        <w:t xml:space="preserve">Exception: </w:t>
      </w:r>
      <w:r w:rsidRPr="001B7F77">
        <w:rPr>
          <w:bCs/>
          <w:color w:val="222222"/>
          <w:u w:val="single"/>
        </w:rPr>
        <w:t xml:space="preserve">An existing elevator shaft shall be enlarged or a new elevator shaft shall be constructed to accommodate an elevator cab in compliance with Chapter 11 of the </w:t>
      </w:r>
      <w:r w:rsidRPr="001B7F77">
        <w:rPr>
          <w:bCs/>
          <w:i/>
          <w:iCs/>
          <w:color w:val="222222"/>
          <w:u w:val="single"/>
        </w:rPr>
        <w:t>New York City Building Code</w:t>
      </w:r>
      <w:r w:rsidRPr="001B7F77">
        <w:rPr>
          <w:bCs/>
          <w:color w:val="222222"/>
          <w:u w:val="single"/>
        </w:rPr>
        <w:t xml:space="preserve"> where the entire building is required to be accessible pursuant to Sections 302.7, 906, 1006 or 1106 as applicable.</w:t>
      </w:r>
    </w:p>
    <w:p w14:paraId="1C450B50" w14:textId="77777777" w:rsidR="001B7F77" w:rsidRPr="001B7F77" w:rsidRDefault="001B7F77" w:rsidP="001B7F77">
      <w:pPr>
        <w:widowControl w:val="0"/>
        <w:suppressAutoHyphens/>
        <w:spacing w:before="120"/>
        <w:rPr>
          <w:u w:val="single"/>
        </w:rPr>
      </w:pPr>
      <w:r w:rsidRPr="001B7F77">
        <w:rPr>
          <w:b/>
          <w:u w:val="single"/>
        </w:rPr>
        <w:t>312.5 Signage.</w:t>
      </w:r>
      <w:r w:rsidRPr="001B7F77">
        <w:rPr>
          <w:u w:val="single"/>
        </w:rPr>
        <w:t xml:space="preserve"> When an existing or new passenger elevator is being serviced, repaired, inspected, tested, or is out of service, “CAUTION” sign tapes shall be provided in accordance with Section 3011.1 of the </w:t>
      </w:r>
      <w:r w:rsidRPr="001B7F77">
        <w:rPr>
          <w:i/>
          <w:iCs/>
          <w:u w:val="single"/>
        </w:rPr>
        <w:t>New York City Building Code</w:t>
      </w:r>
      <w:r w:rsidRPr="001B7F77">
        <w:rPr>
          <w:u w:val="single"/>
        </w:rPr>
        <w:t>.</w:t>
      </w:r>
    </w:p>
    <w:p w14:paraId="1FCFC977" w14:textId="77777777" w:rsidR="001B7F77" w:rsidRPr="001B7F77" w:rsidRDefault="001B7F77" w:rsidP="001B7F77">
      <w:pPr>
        <w:widowControl w:val="0"/>
        <w:suppressAutoHyphens/>
        <w:spacing w:before="120"/>
        <w:rPr>
          <w:u w:val="single"/>
        </w:rPr>
      </w:pPr>
      <w:bookmarkStart w:id="109" w:name="sec3126ELV"/>
      <w:bookmarkEnd w:id="107"/>
      <w:r w:rsidRPr="001B7F77">
        <w:rPr>
          <w:b/>
          <w:u w:val="single"/>
        </w:rPr>
        <w:t>312.6 Additional provisions for existing buildings</w:t>
      </w:r>
      <w:r w:rsidRPr="001B7F77">
        <w:rPr>
          <w:u w:val="single"/>
        </w:rPr>
        <w:t>. Existing buildings shall also comply with Sections 312.6.1 through 312.6.6.</w:t>
      </w:r>
    </w:p>
    <w:bookmarkEnd w:id="109"/>
    <w:p w14:paraId="0170A610" w14:textId="77777777" w:rsidR="001B7F77" w:rsidRPr="001B7F77" w:rsidRDefault="001B7F77" w:rsidP="001B7F77">
      <w:pPr>
        <w:widowControl w:val="0"/>
        <w:tabs>
          <w:tab w:val="left" w:pos="360"/>
        </w:tabs>
        <w:suppressAutoHyphens/>
        <w:spacing w:before="120"/>
        <w:ind w:left="360"/>
        <w:rPr>
          <w:u w:val="single"/>
        </w:rPr>
      </w:pPr>
      <w:r w:rsidRPr="001B7F77">
        <w:rPr>
          <w:b/>
          <w:u w:val="single"/>
        </w:rPr>
        <w:t>312.6.1 Removal of existing hoistway smoke venting.</w:t>
      </w:r>
      <w:r w:rsidRPr="001B7F77">
        <w:rPr>
          <w:u w:val="single"/>
        </w:rPr>
        <w:t xml:space="preserve"> Existing hoistway smoke venting may be eliminated when all of the following conditions are met:</w:t>
      </w:r>
    </w:p>
    <w:p w14:paraId="599F6065" w14:textId="77777777" w:rsidR="001B7F77" w:rsidRPr="001B7F77" w:rsidRDefault="001B7F77" w:rsidP="001B7F77">
      <w:pPr>
        <w:widowControl w:val="0"/>
        <w:pBdr>
          <w:top w:val="nil"/>
          <w:left w:val="nil"/>
          <w:bottom w:val="nil"/>
          <w:right w:val="nil"/>
          <w:between w:val="nil"/>
        </w:pBdr>
        <w:tabs>
          <w:tab w:val="left" w:pos="720"/>
        </w:tabs>
        <w:suppressAutoHyphens/>
        <w:autoSpaceDE w:val="0"/>
        <w:autoSpaceDN w:val="0"/>
        <w:adjustRightInd w:val="0"/>
        <w:spacing w:before="120"/>
        <w:ind w:left="1080" w:hanging="360"/>
        <w:rPr>
          <w:rFonts w:eastAsia="Arial"/>
          <w:szCs w:val="24"/>
          <w:u w:val="single"/>
        </w:rPr>
      </w:pPr>
      <w:r w:rsidRPr="001B7F77">
        <w:rPr>
          <w:rFonts w:eastAsia="Arial"/>
          <w:szCs w:val="24"/>
          <w:u w:val="single"/>
        </w:rPr>
        <w:t>1.</w:t>
      </w:r>
      <w:r w:rsidRPr="001B7F77">
        <w:rPr>
          <w:rFonts w:eastAsia="Arial"/>
          <w:szCs w:val="24"/>
          <w:u w:val="single"/>
        </w:rPr>
        <w:tab/>
        <w:t xml:space="preserve">The entire building is protected with a sprinkler system in accordance with the </w:t>
      </w:r>
      <w:r w:rsidRPr="001B7F77">
        <w:rPr>
          <w:rFonts w:eastAsia="Arial"/>
          <w:i/>
          <w:iCs/>
          <w:szCs w:val="24"/>
          <w:u w:val="single"/>
        </w:rPr>
        <w:t>New York City Building Code</w:t>
      </w:r>
      <w:r w:rsidRPr="001B7F77">
        <w:rPr>
          <w:rFonts w:eastAsia="Arial"/>
          <w:szCs w:val="24"/>
          <w:u w:val="single"/>
        </w:rPr>
        <w:t>;</w:t>
      </w:r>
    </w:p>
    <w:p w14:paraId="5241DF74" w14:textId="77777777" w:rsidR="001B7F77" w:rsidRPr="001B7F77" w:rsidRDefault="001B7F77" w:rsidP="001B7F77">
      <w:pPr>
        <w:widowControl w:val="0"/>
        <w:pBdr>
          <w:top w:val="nil"/>
          <w:left w:val="nil"/>
          <w:bottom w:val="nil"/>
          <w:right w:val="nil"/>
          <w:between w:val="nil"/>
        </w:pBdr>
        <w:tabs>
          <w:tab w:val="left" w:pos="720"/>
        </w:tabs>
        <w:suppressAutoHyphens/>
        <w:autoSpaceDE w:val="0"/>
        <w:autoSpaceDN w:val="0"/>
        <w:adjustRightInd w:val="0"/>
        <w:spacing w:before="120"/>
        <w:ind w:left="1080" w:hanging="360"/>
        <w:rPr>
          <w:rFonts w:eastAsia="Arial"/>
          <w:szCs w:val="24"/>
          <w:u w:val="single"/>
        </w:rPr>
      </w:pPr>
      <w:r w:rsidRPr="001B7F77">
        <w:rPr>
          <w:rFonts w:eastAsia="Arial"/>
          <w:szCs w:val="24"/>
          <w:u w:val="single"/>
        </w:rPr>
        <w:t>2.</w:t>
      </w:r>
      <w:r w:rsidRPr="001B7F77">
        <w:rPr>
          <w:rFonts w:eastAsia="Arial"/>
          <w:szCs w:val="24"/>
          <w:u w:val="single"/>
        </w:rPr>
        <w:tab/>
        <w:t>Each elevator lobby and elevator machine room is provided with smoke detection that is connected to the building fire alarm system;</w:t>
      </w:r>
    </w:p>
    <w:p w14:paraId="44264580" w14:textId="77777777" w:rsidR="001B7F77" w:rsidRPr="001B7F77" w:rsidRDefault="001B7F77" w:rsidP="001B7F77">
      <w:pPr>
        <w:widowControl w:val="0"/>
        <w:pBdr>
          <w:top w:val="nil"/>
          <w:left w:val="nil"/>
          <w:bottom w:val="nil"/>
          <w:right w:val="nil"/>
          <w:between w:val="nil"/>
        </w:pBdr>
        <w:tabs>
          <w:tab w:val="left" w:pos="720"/>
        </w:tabs>
        <w:suppressAutoHyphens/>
        <w:autoSpaceDE w:val="0"/>
        <w:autoSpaceDN w:val="0"/>
        <w:adjustRightInd w:val="0"/>
        <w:spacing w:before="120"/>
        <w:ind w:left="1080" w:hanging="360"/>
        <w:rPr>
          <w:rFonts w:eastAsia="Arial"/>
          <w:szCs w:val="24"/>
          <w:u w:val="single"/>
        </w:rPr>
      </w:pPr>
      <w:r w:rsidRPr="001B7F77">
        <w:rPr>
          <w:rFonts w:eastAsia="Arial"/>
          <w:szCs w:val="24"/>
          <w:u w:val="single"/>
        </w:rPr>
        <w:t>3.</w:t>
      </w:r>
      <w:r w:rsidRPr="001B7F77">
        <w:rPr>
          <w:rFonts w:eastAsia="Arial"/>
          <w:szCs w:val="24"/>
          <w:u w:val="single"/>
        </w:rPr>
        <w:tab/>
        <w:t xml:space="preserve">Any elevator cars within the existing hoistway where the venting is removed shall have emergency recall in accordance with the </w:t>
      </w:r>
      <w:r w:rsidRPr="001B7F77">
        <w:rPr>
          <w:rFonts w:eastAsia="Arial"/>
          <w:i/>
          <w:iCs/>
          <w:szCs w:val="24"/>
          <w:u w:val="single"/>
        </w:rPr>
        <w:t>New York City Building Code</w:t>
      </w:r>
      <w:r w:rsidRPr="001B7F77">
        <w:rPr>
          <w:rFonts w:eastAsia="Arial"/>
          <w:szCs w:val="24"/>
          <w:u w:val="single"/>
        </w:rPr>
        <w:t>; and</w:t>
      </w:r>
    </w:p>
    <w:p w14:paraId="0B45099C" w14:textId="77777777" w:rsidR="001B7F77" w:rsidRPr="001B7F77" w:rsidRDefault="001B7F77" w:rsidP="001B7F77">
      <w:pPr>
        <w:widowControl w:val="0"/>
        <w:pBdr>
          <w:top w:val="nil"/>
          <w:left w:val="nil"/>
          <w:bottom w:val="nil"/>
          <w:right w:val="nil"/>
          <w:between w:val="nil"/>
        </w:pBdr>
        <w:tabs>
          <w:tab w:val="left" w:pos="720"/>
        </w:tabs>
        <w:suppressAutoHyphens/>
        <w:autoSpaceDE w:val="0"/>
        <w:autoSpaceDN w:val="0"/>
        <w:adjustRightInd w:val="0"/>
        <w:spacing w:before="120"/>
        <w:ind w:left="1080" w:hanging="360"/>
        <w:rPr>
          <w:rFonts w:eastAsia="Arial"/>
          <w:szCs w:val="24"/>
          <w:u w:val="single"/>
        </w:rPr>
      </w:pPr>
      <w:r w:rsidRPr="001B7F77">
        <w:rPr>
          <w:rFonts w:eastAsia="Arial"/>
          <w:szCs w:val="24"/>
          <w:u w:val="single"/>
        </w:rPr>
        <w:t>4.</w:t>
      </w:r>
      <w:r w:rsidRPr="001B7F77">
        <w:rPr>
          <w:rFonts w:eastAsia="Arial"/>
          <w:szCs w:val="24"/>
          <w:u w:val="single"/>
        </w:rPr>
        <w:tab/>
        <w:t>The elimination of the venting does not impede the elevator operation.</w:t>
      </w:r>
    </w:p>
    <w:p w14:paraId="728E4B6F" w14:textId="77777777" w:rsidR="001B7F77" w:rsidRPr="001B7F77" w:rsidRDefault="001B7F77" w:rsidP="001B7F77">
      <w:pPr>
        <w:widowControl w:val="0"/>
        <w:tabs>
          <w:tab w:val="left" w:pos="360"/>
        </w:tabs>
        <w:suppressAutoHyphens/>
        <w:spacing w:before="120"/>
        <w:ind w:left="360"/>
        <w:rPr>
          <w:u w:val="single"/>
        </w:rPr>
      </w:pPr>
      <w:bookmarkStart w:id="110" w:name="sec312ELV"/>
      <w:bookmarkEnd w:id="103"/>
      <w:r w:rsidRPr="001B7F77">
        <w:rPr>
          <w:b/>
          <w:u w:val="single"/>
        </w:rPr>
        <w:t xml:space="preserve">312.6.2 </w:t>
      </w:r>
      <w:bookmarkStart w:id="111" w:name="_Hlk69808210"/>
      <w:r w:rsidRPr="001B7F77">
        <w:rPr>
          <w:b/>
          <w:u w:val="single"/>
        </w:rPr>
        <w:t>New hoistways serving an occupied floor more than 120 feet (36 576 mm) above the lowest level of Fire Department vehicle access</w:t>
      </w:r>
      <w:bookmarkEnd w:id="111"/>
      <w:r w:rsidRPr="001B7F77">
        <w:rPr>
          <w:b/>
          <w:u w:val="single"/>
        </w:rPr>
        <w:t>.</w:t>
      </w:r>
      <w:r w:rsidRPr="001B7F77">
        <w:rPr>
          <w:u w:val="single"/>
        </w:rPr>
        <w:t xml:space="preserve"> Where one or more new hoistways serving an occupied floor more than 120 feet (36 576 mm) above the lowest level of Fire Department vehicle access are proposed in </w:t>
      </w:r>
      <w:bookmarkStart w:id="112" w:name="_heading=h.1ksv4uv" w:colFirst="0" w:colLast="0"/>
      <w:bookmarkEnd w:id="112"/>
      <w:r w:rsidRPr="001B7F77">
        <w:rPr>
          <w:u w:val="single"/>
        </w:rPr>
        <w:t xml:space="preserve">an existing building, at least one elevator serving the same stories penetrated by the new hoistway shall meet all the requirements of Section 3007 of the </w:t>
      </w:r>
      <w:r w:rsidRPr="001B7F77">
        <w:rPr>
          <w:i/>
          <w:iCs/>
          <w:u w:val="single"/>
        </w:rPr>
        <w:t>New York City Building Code</w:t>
      </w:r>
      <w:r w:rsidRPr="001B7F77">
        <w:rPr>
          <w:u w:val="single"/>
        </w:rPr>
        <w:t xml:space="preserve"> as a fire service access elevator. Wires or cables that are located outside of the elevator hoistway shall be protected in the manner described in Section 3007.8.1 of the </w:t>
      </w:r>
      <w:r w:rsidRPr="001B7F77">
        <w:rPr>
          <w:i/>
          <w:iCs/>
          <w:u w:val="single"/>
        </w:rPr>
        <w:t>New York City Building Code</w:t>
      </w:r>
      <w:r w:rsidRPr="001B7F77">
        <w:rPr>
          <w:u w:val="single"/>
        </w:rPr>
        <w:t>.</w:t>
      </w:r>
    </w:p>
    <w:p w14:paraId="57F0D024" w14:textId="77777777" w:rsidR="001B7F77" w:rsidRPr="001B7F77" w:rsidRDefault="001B7F77" w:rsidP="001B7F77">
      <w:pPr>
        <w:widowControl w:val="0"/>
        <w:suppressAutoHyphens/>
        <w:spacing w:before="120"/>
        <w:ind w:left="720"/>
        <w:rPr>
          <w:b/>
          <w:u w:val="single"/>
        </w:rPr>
      </w:pPr>
      <w:r w:rsidRPr="001B7F77">
        <w:rPr>
          <w:b/>
          <w:u w:val="single"/>
        </w:rPr>
        <w:t>Exceptions:</w:t>
      </w:r>
    </w:p>
    <w:p w14:paraId="4C6DE7CB" w14:textId="77777777" w:rsidR="001B7F77" w:rsidRPr="001B7F77" w:rsidRDefault="001B7F77" w:rsidP="001B7F77">
      <w:pPr>
        <w:widowControl w:val="0"/>
        <w:suppressAutoHyphens/>
        <w:spacing w:before="120"/>
        <w:ind w:left="1440" w:hanging="360"/>
        <w:rPr>
          <w:u w:val="single"/>
        </w:rPr>
      </w:pPr>
      <w:r w:rsidRPr="001B7F77">
        <w:rPr>
          <w:bCs/>
          <w:u w:val="single"/>
        </w:rPr>
        <w:t>1.</w:t>
      </w:r>
      <w:r w:rsidRPr="001B7F77">
        <w:rPr>
          <w:bCs/>
          <w:u w:val="single"/>
        </w:rPr>
        <w:tab/>
      </w:r>
      <w:r w:rsidRPr="001B7F77">
        <w:rPr>
          <w:u w:val="single"/>
        </w:rPr>
        <w:t xml:space="preserve">Where the existing building has an existing fire service access elevator meeting the requirements of Section 3007 of the </w:t>
      </w:r>
      <w:r w:rsidRPr="001B7F77">
        <w:rPr>
          <w:i/>
          <w:iCs/>
          <w:u w:val="single"/>
        </w:rPr>
        <w:t>New York City Building Code</w:t>
      </w:r>
      <w:r w:rsidRPr="001B7F77">
        <w:rPr>
          <w:u w:val="single"/>
        </w:rPr>
        <w:t>.</w:t>
      </w:r>
    </w:p>
    <w:p w14:paraId="2F62341C" w14:textId="77777777" w:rsidR="001B7F77" w:rsidRPr="001B7F77" w:rsidRDefault="001B7F77" w:rsidP="001B7F77">
      <w:pPr>
        <w:widowControl w:val="0"/>
        <w:suppressAutoHyphens/>
        <w:spacing w:before="120"/>
        <w:ind w:left="1440" w:hanging="360"/>
        <w:rPr>
          <w:u w:val="single"/>
        </w:rPr>
      </w:pPr>
      <w:r w:rsidRPr="001B7F77">
        <w:rPr>
          <w:u w:val="single"/>
        </w:rPr>
        <w:t>2.</w:t>
      </w:r>
      <w:r w:rsidRPr="001B7F77">
        <w:tab/>
      </w:r>
      <w:r w:rsidRPr="001B7F77">
        <w:rPr>
          <w:u w:val="single"/>
        </w:rPr>
        <w:t xml:space="preserve">Where new hoistways are added in floors above the alternate level for Phase I and Phase II as defined in ASME A17.1, as amended by Appendix K of the </w:t>
      </w:r>
      <w:r w:rsidRPr="001B7F77">
        <w:rPr>
          <w:i/>
          <w:iCs/>
          <w:u w:val="single"/>
        </w:rPr>
        <w:t>New York City Building Code</w:t>
      </w:r>
      <w:r w:rsidRPr="001B7F77">
        <w:rPr>
          <w:u w:val="single"/>
        </w:rPr>
        <w:t xml:space="preserve">, the elevators are not required to meet the requirements of Section 3007 of the </w:t>
      </w:r>
      <w:r w:rsidRPr="001B7F77">
        <w:rPr>
          <w:i/>
          <w:iCs/>
          <w:u w:val="single"/>
        </w:rPr>
        <w:t>New York City Building Code</w:t>
      </w:r>
      <w:r w:rsidRPr="001B7F77">
        <w:rPr>
          <w:u w:val="single"/>
        </w:rPr>
        <w:t>.</w:t>
      </w:r>
    </w:p>
    <w:p w14:paraId="6575D615" w14:textId="77777777" w:rsidR="001B7F77" w:rsidRPr="001B7F77" w:rsidRDefault="001B7F77" w:rsidP="001B7F77">
      <w:pPr>
        <w:widowControl w:val="0"/>
        <w:tabs>
          <w:tab w:val="left" w:pos="360"/>
        </w:tabs>
        <w:suppressAutoHyphens/>
        <w:spacing w:before="120"/>
        <w:ind w:left="360"/>
        <w:rPr>
          <w:u w:val="single"/>
        </w:rPr>
      </w:pPr>
      <w:r w:rsidRPr="001B7F77">
        <w:rPr>
          <w:b/>
          <w:u w:val="single"/>
        </w:rPr>
        <w:t>312.6.3 Elevator car to accommodate ambulance stretcher.</w:t>
      </w:r>
      <w:r w:rsidRPr="001B7F77">
        <w:rPr>
          <w:u w:val="single"/>
        </w:rPr>
        <w:t xml:space="preserve"> Where one or more new hoistways are proposed in an existing prior code building with five or more stories above, or four or more stories below grade plane, or underground buildings described in Section 405.1 of the </w:t>
      </w:r>
      <w:r w:rsidRPr="001B7F77">
        <w:rPr>
          <w:i/>
          <w:iCs/>
          <w:u w:val="single"/>
        </w:rPr>
        <w:t>New York City Building Code</w:t>
      </w:r>
      <w:r w:rsidRPr="001B7F77">
        <w:rPr>
          <w:u w:val="single"/>
        </w:rPr>
        <w:t xml:space="preserve">, at least one elevator serving the same stories that are penetrated by the new hoistway shall meet the requirements of Section 3002.4.2 of the </w:t>
      </w:r>
      <w:r w:rsidRPr="001B7F77">
        <w:rPr>
          <w:i/>
          <w:iCs/>
          <w:u w:val="single"/>
        </w:rPr>
        <w:t>New York City Building Code</w:t>
      </w:r>
      <w:r w:rsidRPr="001B7F77">
        <w:rPr>
          <w:u w:val="single"/>
        </w:rPr>
        <w:t>.</w:t>
      </w:r>
    </w:p>
    <w:p w14:paraId="74A2E181" w14:textId="77777777" w:rsidR="001B7F77" w:rsidRPr="001B7F77" w:rsidRDefault="001B7F77" w:rsidP="001B7F77">
      <w:pPr>
        <w:widowControl w:val="0"/>
        <w:tabs>
          <w:tab w:val="left" w:pos="360"/>
        </w:tabs>
        <w:suppressAutoHyphens/>
        <w:spacing w:before="120"/>
        <w:ind w:left="360"/>
        <w:rPr>
          <w:u w:val="single"/>
        </w:rPr>
      </w:pPr>
      <w:r w:rsidRPr="001B7F77">
        <w:rPr>
          <w:b/>
          <w:u w:val="single"/>
        </w:rPr>
        <w:t xml:space="preserve">312.6.4 Limited Use Limited Application (LULA) elevators in prior code buildings. </w:t>
      </w:r>
      <w:r w:rsidRPr="001B7F77">
        <w:rPr>
          <w:u w:val="single"/>
        </w:rPr>
        <w:t xml:space="preserve">In prior code buildings, LULA elevators shall be limited in use as described in Section 306.2.4 with maximum rise of 25 feet (7.6 m.), maximum capacity of 1400 pounds (635 Kg) and maximum speed of 30 feet/min (0.15 m/sec.). LULA elevators shall not be used for any other purpose that is not referenced in Chapter 30 of the </w:t>
      </w:r>
      <w:r w:rsidRPr="001B7F77">
        <w:rPr>
          <w:i/>
          <w:iCs/>
          <w:u w:val="single"/>
        </w:rPr>
        <w:t>New York City Building Code</w:t>
      </w:r>
      <w:r w:rsidRPr="001B7F77">
        <w:rPr>
          <w:u w:val="single"/>
        </w:rPr>
        <w:t>.</w:t>
      </w:r>
    </w:p>
    <w:p w14:paraId="27B21810" w14:textId="77777777" w:rsidR="001B7F77" w:rsidRPr="001B7F77" w:rsidRDefault="001B7F77" w:rsidP="001B7F77">
      <w:pPr>
        <w:widowControl w:val="0"/>
        <w:suppressAutoHyphens/>
        <w:spacing w:before="120"/>
        <w:ind w:left="360"/>
        <w:rPr>
          <w:bCs/>
          <w:color w:val="222222"/>
          <w:szCs w:val="24"/>
          <w:u w:val="single"/>
        </w:rPr>
      </w:pPr>
      <w:r w:rsidRPr="001B7F77">
        <w:rPr>
          <w:b/>
          <w:bCs/>
          <w:color w:val="222222"/>
          <w:szCs w:val="24"/>
          <w:u w:val="single"/>
        </w:rPr>
        <w:t xml:space="preserve">312.6.5 Connection to standby power. </w:t>
      </w:r>
      <w:r w:rsidRPr="001B7F77">
        <w:rPr>
          <w:bCs/>
          <w:color w:val="222222"/>
          <w:szCs w:val="24"/>
          <w:u w:val="single"/>
        </w:rPr>
        <w:t xml:space="preserve">Where one or more new hoistways are proposed in an existing prior code building identified in Section 3002.4.1 of the </w:t>
      </w:r>
      <w:r w:rsidRPr="001B7F77">
        <w:rPr>
          <w:bCs/>
          <w:i/>
          <w:iCs/>
          <w:color w:val="222222"/>
          <w:szCs w:val="24"/>
          <w:u w:val="single"/>
        </w:rPr>
        <w:t>New York City Building Code</w:t>
      </w:r>
      <w:r w:rsidRPr="001B7F77">
        <w:rPr>
          <w:bCs/>
          <w:color w:val="222222"/>
          <w:szCs w:val="24"/>
          <w:u w:val="single"/>
        </w:rPr>
        <w:t xml:space="preserve">, at least one elevator serving the same stories that are penetrated by the new hoistway shall be connected to a standby power source in accordance with Chapter 27 and Section 3003.1 of the </w:t>
      </w:r>
      <w:r w:rsidRPr="001B7F77">
        <w:rPr>
          <w:bCs/>
          <w:i/>
          <w:iCs/>
          <w:color w:val="222222"/>
          <w:szCs w:val="24"/>
          <w:u w:val="single"/>
        </w:rPr>
        <w:t>New York City Building Code</w:t>
      </w:r>
      <w:r w:rsidRPr="001B7F77">
        <w:rPr>
          <w:bCs/>
          <w:color w:val="222222"/>
          <w:szCs w:val="24"/>
          <w:u w:val="single"/>
        </w:rPr>
        <w:t>.</w:t>
      </w:r>
    </w:p>
    <w:p w14:paraId="7651DD93" w14:textId="77777777" w:rsidR="001B7F77" w:rsidRPr="001B7F77" w:rsidRDefault="001B7F77" w:rsidP="001B7F77">
      <w:pPr>
        <w:widowControl w:val="0"/>
        <w:tabs>
          <w:tab w:val="left" w:pos="360"/>
        </w:tabs>
        <w:suppressAutoHyphens/>
        <w:spacing w:before="120"/>
        <w:ind w:left="360"/>
        <w:rPr>
          <w:u w:val="single"/>
        </w:rPr>
      </w:pPr>
      <w:r w:rsidRPr="001B7F77">
        <w:rPr>
          <w:b/>
          <w:u w:val="single"/>
        </w:rPr>
        <w:t>312.6.6 Connection with existing fire alarm.</w:t>
      </w:r>
      <w:r w:rsidRPr="001B7F77">
        <w:rPr>
          <w:u w:val="single"/>
        </w:rPr>
        <w:t xml:space="preserve"> In buildings with an existing fire alarm system, when existing elevators are being upgraded and such upgrades include the installation of a new operational controller, such elevators shall be connected to the fire alarm system in accordance with NFPA 72, as amended by Appendix Q of the </w:t>
      </w:r>
      <w:r w:rsidRPr="001B7F77">
        <w:rPr>
          <w:i/>
          <w:iCs/>
          <w:u w:val="single"/>
        </w:rPr>
        <w:t>New York City Building Code</w:t>
      </w:r>
      <w:r w:rsidRPr="001B7F77">
        <w:rPr>
          <w:u w:val="single"/>
        </w:rPr>
        <w:t xml:space="preserve">, as required by ASME A17.1, as amended by Appendix K of the </w:t>
      </w:r>
      <w:r w:rsidRPr="001B7F77">
        <w:rPr>
          <w:i/>
          <w:iCs/>
          <w:u w:val="single"/>
        </w:rPr>
        <w:t>New York City Building Code</w:t>
      </w:r>
      <w:r w:rsidRPr="001B7F77">
        <w:rPr>
          <w:u w:val="single"/>
        </w:rPr>
        <w:t>.</w:t>
      </w:r>
    </w:p>
    <w:p w14:paraId="3DAE4058" w14:textId="77777777" w:rsidR="001B7F77" w:rsidRPr="001B7F77" w:rsidRDefault="001B7F77" w:rsidP="001B7F77">
      <w:pPr>
        <w:widowControl w:val="0"/>
        <w:suppressAutoHyphens/>
        <w:spacing w:before="120"/>
        <w:jc w:val="center"/>
        <w:outlineLvl w:val="0"/>
        <w:rPr>
          <w:b/>
          <w:bCs/>
          <w:u w:val="single"/>
        </w:rPr>
      </w:pPr>
      <w:bookmarkStart w:id="113" w:name="sec314"/>
      <w:bookmarkEnd w:id="106"/>
      <w:bookmarkEnd w:id="108"/>
      <w:bookmarkEnd w:id="110"/>
    </w:p>
    <w:p w14:paraId="60E75831" w14:textId="77777777" w:rsidR="001B7F77" w:rsidRPr="001B7F77" w:rsidRDefault="001B7F77" w:rsidP="001B7F77">
      <w:pPr>
        <w:widowControl w:val="0"/>
        <w:suppressAutoHyphens/>
        <w:spacing w:before="120"/>
        <w:jc w:val="center"/>
        <w:outlineLvl w:val="0"/>
        <w:rPr>
          <w:b/>
          <w:bCs/>
          <w:u w:val="single"/>
        </w:rPr>
      </w:pPr>
      <w:r w:rsidRPr="001B7F77">
        <w:rPr>
          <w:b/>
          <w:bCs/>
          <w:u w:val="single"/>
        </w:rPr>
        <w:t>SECTION EBC 313</w:t>
      </w:r>
      <w:r w:rsidRPr="001B7F77">
        <w:rPr>
          <w:b/>
          <w:bCs/>
          <w:u w:val="single"/>
        </w:rPr>
        <w:br/>
        <w:t>ENERGY CONSERVATION</w:t>
      </w:r>
    </w:p>
    <w:p w14:paraId="262F430B" w14:textId="77777777" w:rsidR="001B7F77" w:rsidRPr="001B7F77" w:rsidRDefault="001B7F77" w:rsidP="001B7F77">
      <w:pPr>
        <w:widowControl w:val="0"/>
        <w:suppressAutoHyphens/>
        <w:spacing w:before="120"/>
        <w:rPr>
          <w:u w:val="single"/>
        </w:rPr>
      </w:pPr>
      <w:r w:rsidRPr="001B7F77">
        <w:rPr>
          <w:b/>
          <w:u w:val="single"/>
        </w:rPr>
        <w:t>313.1 Energy efficiency.</w:t>
      </w:r>
      <w:r w:rsidRPr="001B7F77">
        <w:rPr>
          <w:u w:val="single"/>
        </w:rPr>
        <w:t xml:space="preserve"> All work related to energy efficiency shall be regulated by the </w:t>
      </w:r>
      <w:r w:rsidRPr="001B7F77">
        <w:rPr>
          <w:i/>
          <w:iCs/>
          <w:u w:val="single"/>
        </w:rPr>
        <w:t>New York City Energy Conservation Code</w:t>
      </w:r>
      <w:r w:rsidRPr="001B7F77">
        <w:rPr>
          <w:u w:val="single"/>
        </w:rPr>
        <w:t xml:space="preserve"> and this code.</w:t>
      </w:r>
    </w:p>
    <w:p w14:paraId="7E2BBE68" w14:textId="77777777" w:rsidR="001B7F77" w:rsidRPr="001B7F77" w:rsidRDefault="001B7F77" w:rsidP="001B7F77">
      <w:pPr>
        <w:widowControl w:val="0"/>
        <w:suppressAutoHyphens/>
        <w:spacing w:before="120"/>
        <w:jc w:val="center"/>
        <w:outlineLvl w:val="0"/>
        <w:rPr>
          <w:b/>
          <w:bCs/>
          <w:u w:val="single"/>
        </w:rPr>
      </w:pPr>
      <w:bookmarkStart w:id="114" w:name="_Hlk76122981"/>
    </w:p>
    <w:p w14:paraId="6F348B92" w14:textId="77777777" w:rsidR="001B7F77" w:rsidRPr="001B7F77" w:rsidRDefault="001B7F77" w:rsidP="001B7F77">
      <w:pPr>
        <w:widowControl w:val="0"/>
        <w:suppressAutoHyphens/>
        <w:spacing w:before="120"/>
        <w:jc w:val="center"/>
        <w:outlineLvl w:val="0"/>
        <w:rPr>
          <w:b/>
          <w:bCs/>
          <w:u w:val="single"/>
        </w:rPr>
      </w:pPr>
      <w:r w:rsidRPr="001B7F77">
        <w:rPr>
          <w:b/>
          <w:bCs/>
          <w:u w:val="single"/>
        </w:rPr>
        <w:t>SECTION EBC 314</w:t>
      </w:r>
      <w:r w:rsidRPr="001B7F77">
        <w:rPr>
          <w:b/>
          <w:bCs/>
          <w:u w:val="single"/>
        </w:rPr>
        <w:br/>
        <w:t>MULTIPLE DWELLINGS</w:t>
      </w:r>
    </w:p>
    <w:p w14:paraId="4DDB608A" w14:textId="77777777" w:rsidR="001B7F77" w:rsidRPr="001B7F77" w:rsidRDefault="001B7F77" w:rsidP="001B7F77">
      <w:pPr>
        <w:widowControl w:val="0"/>
        <w:suppressAutoHyphens/>
        <w:spacing w:before="120"/>
        <w:rPr>
          <w:u w:val="single"/>
        </w:rPr>
      </w:pPr>
      <w:r w:rsidRPr="001B7F77">
        <w:rPr>
          <w:b/>
          <w:u w:val="single"/>
        </w:rPr>
        <w:t>314.1 Applicability of the New York State Multiple Dwelling Law (MDL) and Appendix D.</w:t>
      </w:r>
      <w:r w:rsidRPr="001B7F77">
        <w:rPr>
          <w:u w:val="single"/>
        </w:rPr>
        <w:t xml:space="preserve"> Existing buildings classified in Occupancy Groups I-1, R-1 and R-2, containing three dwelling units or more shall be identified as multiple dwellings, subject to the MDL and Appendix D of this code. See Sections D101.1 and D102.</w:t>
      </w:r>
    </w:p>
    <w:p w14:paraId="74137BC0" w14:textId="77777777" w:rsidR="001B7F77" w:rsidRPr="001B7F77" w:rsidRDefault="001B7F77" w:rsidP="001B7F77">
      <w:pPr>
        <w:widowControl w:val="0"/>
        <w:suppressAutoHyphens/>
        <w:spacing w:before="120"/>
        <w:rPr>
          <w:u w:val="single"/>
        </w:rPr>
      </w:pPr>
      <w:r w:rsidRPr="001B7F77">
        <w:rPr>
          <w:b/>
          <w:u w:val="single"/>
        </w:rPr>
        <w:t>314.2 Definitions.</w:t>
      </w:r>
      <w:r w:rsidRPr="001B7F77">
        <w:rPr>
          <w:u w:val="single"/>
        </w:rPr>
        <w:t xml:space="preserve"> Terms unique to existing multiple dwellings as such terms are used in Appendix D shall have the meaning ascribed to them in Section D201 of this code.</w:t>
      </w:r>
    </w:p>
    <w:p w14:paraId="2A7F6AFD" w14:textId="77777777" w:rsidR="001B7F77" w:rsidRPr="001B7F77" w:rsidRDefault="001B7F77" w:rsidP="001B7F77">
      <w:pPr>
        <w:widowControl w:val="0"/>
        <w:suppressAutoHyphens/>
        <w:spacing w:before="120"/>
        <w:rPr>
          <w:u w:val="single"/>
        </w:rPr>
      </w:pPr>
      <w:r w:rsidRPr="001B7F77">
        <w:rPr>
          <w:b/>
          <w:u w:val="single"/>
        </w:rPr>
        <w:t xml:space="preserve">314.3 Classification. </w:t>
      </w:r>
      <w:r w:rsidRPr="001B7F77">
        <w:rPr>
          <w:u w:val="single"/>
        </w:rPr>
        <w:t xml:space="preserve">Existing multiple dwellings shall be classified in accordance with Section D103 of this code based on year constructed, year converted, terms of occupancy and applicability of other laws. </w:t>
      </w:r>
    </w:p>
    <w:p w14:paraId="753837A9" w14:textId="77777777" w:rsidR="001B7F77" w:rsidRPr="001B7F77" w:rsidRDefault="001B7F77" w:rsidP="001B7F77">
      <w:pPr>
        <w:widowControl w:val="0"/>
        <w:suppressAutoHyphens/>
        <w:spacing w:before="120"/>
        <w:rPr>
          <w:u w:val="single"/>
        </w:rPr>
        <w:sectPr w:rsidR="001B7F77" w:rsidRPr="001B7F77" w:rsidSect="001B7F77">
          <w:headerReference w:type="even" r:id="rId48"/>
          <w:headerReference w:type="default" r:id="rId49"/>
          <w:footerReference w:type="even" r:id="rId50"/>
          <w:footerReference w:type="default" r:id="rId51"/>
          <w:headerReference w:type="first" r:id="rId52"/>
          <w:footerReference w:type="first" r:id="rId53"/>
          <w:pgSz w:w="12240" w:h="15840" w:code="1"/>
          <w:pgMar w:top="1440" w:right="1440" w:bottom="1440" w:left="1440" w:header="720" w:footer="720" w:gutter="0"/>
          <w:lnNumType w:countBy="1"/>
          <w:cols w:space="720"/>
          <w:docGrid w:linePitch="360"/>
        </w:sectPr>
      </w:pPr>
      <w:r w:rsidRPr="001B7F77">
        <w:rPr>
          <w:b/>
          <w:u w:val="single"/>
        </w:rPr>
        <w:t>314.4 Compliance.</w:t>
      </w:r>
      <w:r w:rsidRPr="001B7F77">
        <w:rPr>
          <w:u w:val="single"/>
        </w:rPr>
        <w:t xml:space="preserve"> Alteration, repair, change of use or occupancy and additions to multiple dwellings shall comply with this code including Appendix D.</w:t>
      </w:r>
      <w:bookmarkEnd w:id="63"/>
      <w:bookmarkEnd w:id="113"/>
      <w:bookmarkEnd w:id="114"/>
    </w:p>
    <w:p w14:paraId="08BC40BD" w14:textId="77777777" w:rsidR="001B7F77" w:rsidRPr="001B7F77" w:rsidRDefault="001B7F77" w:rsidP="001B7F77">
      <w:pPr>
        <w:spacing w:before="120"/>
        <w:jc w:val="center"/>
        <w:outlineLvl w:val="0"/>
        <w:rPr>
          <w:rFonts w:eastAsia="Calibri"/>
          <w:b/>
          <w:bCs/>
          <w:color w:val="000000"/>
          <w:sz w:val="22"/>
          <w:szCs w:val="22"/>
          <w:u w:val="single"/>
        </w:rPr>
      </w:pPr>
      <w:r w:rsidRPr="001B7F77">
        <w:rPr>
          <w:rFonts w:eastAsia="Calibri"/>
          <w:b/>
          <w:bCs/>
          <w:color w:val="000000"/>
          <w:sz w:val="22"/>
          <w:szCs w:val="22"/>
          <w:u w:val="single"/>
        </w:rPr>
        <w:t>CHAPTER 4</w:t>
      </w:r>
    </w:p>
    <w:p w14:paraId="390C4D54" w14:textId="77777777" w:rsidR="001B7F77" w:rsidRPr="001B7F77" w:rsidRDefault="001B7F77" w:rsidP="001B7F77">
      <w:pPr>
        <w:spacing w:before="120"/>
        <w:jc w:val="center"/>
        <w:outlineLvl w:val="0"/>
        <w:rPr>
          <w:b/>
          <w:bCs/>
          <w:color w:val="000000"/>
          <w:sz w:val="22"/>
          <w:szCs w:val="22"/>
        </w:rPr>
      </w:pPr>
      <w:r w:rsidRPr="001B7F77">
        <w:rPr>
          <w:rFonts w:eastAsia="Calibri"/>
          <w:b/>
          <w:bCs/>
          <w:color w:val="000000"/>
          <w:sz w:val="22"/>
          <w:szCs w:val="22"/>
          <w:u w:val="single"/>
        </w:rPr>
        <w:t>RESERVED</w:t>
      </w:r>
      <w:r w:rsidRPr="001B7F77">
        <w:rPr>
          <w:rFonts w:eastAsia="Calibri"/>
          <w:b/>
          <w:bCs/>
          <w:color w:val="000000"/>
          <w:sz w:val="22"/>
          <w:szCs w:val="22"/>
          <w:u w:val="single"/>
        </w:rPr>
        <w:br/>
      </w:r>
      <w:bookmarkStart w:id="115" w:name="_heading=h.1fob9te"/>
      <w:bookmarkStart w:id="116" w:name="_heading=h.2et92p0"/>
      <w:bookmarkStart w:id="117" w:name="_heading=h.3dy6vkm"/>
      <w:bookmarkEnd w:id="115"/>
      <w:bookmarkEnd w:id="116"/>
      <w:bookmarkEnd w:id="117"/>
    </w:p>
    <w:p w14:paraId="27FF71F9" w14:textId="77777777" w:rsidR="001B7F77" w:rsidRPr="001B7F77" w:rsidRDefault="001B7F77" w:rsidP="001B7F77">
      <w:pPr>
        <w:suppressAutoHyphens/>
        <w:spacing w:before="120"/>
        <w:jc w:val="left"/>
        <w:sectPr w:rsidR="001B7F77" w:rsidRPr="001B7F77" w:rsidSect="001B7F77">
          <w:footerReference w:type="default" r:id="rId54"/>
          <w:pgSz w:w="12240" w:h="15840" w:code="1"/>
          <w:pgMar w:top="1440" w:right="1440" w:bottom="1440" w:left="1440" w:header="720" w:footer="720" w:gutter="0"/>
          <w:lnNumType w:countBy="1"/>
          <w:cols w:space="720"/>
          <w:docGrid w:linePitch="360"/>
        </w:sectPr>
      </w:pPr>
    </w:p>
    <w:p w14:paraId="0DC42ADD" w14:textId="77777777" w:rsidR="001B7F77" w:rsidRPr="001B7F77" w:rsidRDefault="001B7F77" w:rsidP="001B7F77">
      <w:pPr>
        <w:suppressAutoHyphens/>
        <w:spacing w:before="120"/>
        <w:jc w:val="center"/>
        <w:outlineLvl w:val="0"/>
        <w:rPr>
          <w:rFonts w:eastAsia="Times"/>
          <w:b/>
          <w:bCs/>
          <w:u w:val="single"/>
        </w:rPr>
      </w:pPr>
      <w:r w:rsidRPr="001B7F77">
        <w:rPr>
          <w:b/>
          <w:bCs/>
          <w:u w:val="single"/>
        </w:rPr>
        <w:t>CHAPTER 5</w:t>
      </w:r>
      <w:r w:rsidRPr="001B7F77">
        <w:rPr>
          <w:b/>
          <w:bCs/>
          <w:u w:val="single"/>
        </w:rPr>
        <w:br/>
      </w:r>
      <w:bookmarkStart w:id="118" w:name="_Hlk55915119"/>
      <w:r w:rsidRPr="001B7F77">
        <w:rPr>
          <w:rFonts w:eastAsia="Times"/>
          <w:b/>
          <w:bCs/>
          <w:u w:val="single"/>
        </w:rPr>
        <w:t xml:space="preserve">LIMITED </w:t>
      </w:r>
      <w:r w:rsidRPr="001B7F77">
        <w:rPr>
          <w:rFonts w:eastAsia="Helvetica Neue"/>
          <w:b/>
          <w:u w:val="single"/>
        </w:rPr>
        <w:t>ALTERATIONS</w:t>
      </w:r>
    </w:p>
    <w:p w14:paraId="39AD05C0" w14:textId="77777777" w:rsidR="001B7F77" w:rsidRPr="001B7F77" w:rsidRDefault="001B7F77" w:rsidP="001B7F77">
      <w:pPr>
        <w:suppressAutoHyphens/>
        <w:spacing w:before="120"/>
        <w:jc w:val="center"/>
        <w:outlineLvl w:val="0"/>
        <w:rPr>
          <w:rFonts w:eastAsia="Times"/>
          <w:b/>
          <w:bCs/>
          <w:u w:val="single"/>
        </w:rPr>
      </w:pPr>
      <w:r w:rsidRPr="001B7F77">
        <w:rPr>
          <w:rFonts w:eastAsia="Times"/>
          <w:b/>
          <w:bCs/>
          <w:u w:val="single"/>
        </w:rPr>
        <w:t>SECTION EBC 501</w:t>
      </w:r>
      <w:r w:rsidRPr="001B7F77">
        <w:rPr>
          <w:rFonts w:eastAsia="Times"/>
          <w:b/>
          <w:bCs/>
          <w:u w:val="single"/>
        </w:rPr>
        <w:br/>
        <w:t>GENERAL</w:t>
      </w:r>
    </w:p>
    <w:bookmarkEnd w:id="118"/>
    <w:p w14:paraId="3DC269B2" w14:textId="77777777" w:rsidR="001B7F77" w:rsidRPr="001B7F77" w:rsidRDefault="001B7F77" w:rsidP="001B7F77">
      <w:pPr>
        <w:spacing w:before="120"/>
        <w:rPr>
          <w:rFonts w:eastAsia="Times"/>
          <w:color w:val="000000"/>
          <w:szCs w:val="24"/>
          <w:u w:val="single"/>
        </w:rPr>
      </w:pPr>
      <w:r w:rsidRPr="001B7F77">
        <w:rPr>
          <w:rFonts w:eastAsia="Calibri" w:cs="Arial"/>
          <w:b/>
          <w:color w:val="000000"/>
          <w:szCs w:val="24"/>
          <w:u w:val="single"/>
        </w:rPr>
        <w:t xml:space="preserve">501.1 Scope. </w:t>
      </w:r>
      <w:r w:rsidRPr="001B7F77">
        <w:rPr>
          <w:rFonts w:eastAsia="Calibri" w:cs="Arial"/>
          <w:color w:val="000000"/>
          <w:szCs w:val="24"/>
          <w:u w:val="single"/>
        </w:rPr>
        <w:t>The provisions of this chapter shall govern certain alterations made to building systems, elements or material that are limited in scope and or value, as set forth in the definition of limited alteration in Chapter 2, and are limited to work described in Sections 503 through 510. Such limited alterations shall comply with this chapter.</w:t>
      </w:r>
    </w:p>
    <w:p w14:paraId="665DAE6C" w14:textId="77777777" w:rsidR="001B7F77" w:rsidRPr="001B7F77" w:rsidRDefault="001B7F77" w:rsidP="001B7F77">
      <w:pPr>
        <w:spacing w:before="120"/>
        <w:rPr>
          <w:rFonts w:eastAsia="Times"/>
          <w:color w:val="000000"/>
          <w:szCs w:val="24"/>
          <w:u w:val="single"/>
        </w:rPr>
      </w:pPr>
      <w:r w:rsidRPr="001B7F77">
        <w:rPr>
          <w:rFonts w:eastAsia="Calibri" w:cs="Arial"/>
          <w:b/>
          <w:color w:val="000000"/>
          <w:szCs w:val="24"/>
          <w:u w:val="single"/>
        </w:rPr>
        <w:t>501.2 Applicant.</w:t>
      </w:r>
      <w:r w:rsidRPr="001B7F77">
        <w:rPr>
          <w:rFonts w:eastAsia="Calibri" w:cs="Arial"/>
          <w:color w:val="000000"/>
          <w:szCs w:val="24"/>
          <w:u w:val="single"/>
        </w:rPr>
        <w:t xml:space="preserve"> In accordance with Section 28-104.6 of the </w:t>
      </w:r>
      <w:r w:rsidRPr="001B7F77">
        <w:rPr>
          <w:rFonts w:eastAsia="Calibri" w:cs="Arial"/>
          <w:i/>
          <w:color w:val="000000"/>
          <w:szCs w:val="24"/>
          <w:u w:val="single"/>
        </w:rPr>
        <w:t>Administrative Code</w:t>
      </w:r>
      <w:r w:rsidRPr="001B7F77">
        <w:rPr>
          <w:rFonts w:eastAsia="Calibri" w:cs="Arial"/>
          <w:color w:val="000000"/>
          <w:szCs w:val="24"/>
          <w:u w:val="single"/>
        </w:rPr>
        <w:t xml:space="preserve">, the applicant for approval of construction documents for limited alterations may be other than a registered design professional. </w:t>
      </w:r>
    </w:p>
    <w:p w14:paraId="32F9607E" w14:textId="77777777" w:rsidR="001B7F77" w:rsidRPr="001B7F77" w:rsidRDefault="001B7F77" w:rsidP="001B7F77">
      <w:pPr>
        <w:spacing w:before="120"/>
        <w:rPr>
          <w:rFonts w:eastAsia="Calibri" w:cs="Arial"/>
          <w:color w:val="000000"/>
          <w:szCs w:val="24"/>
          <w:u w:val="single"/>
        </w:rPr>
      </w:pPr>
      <w:r w:rsidRPr="001B7F77">
        <w:rPr>
          <w:rFonts w:eastAsia="Calibri" w:cs="Arial"/>
          <w:b/>
          <w:color w:val="000000"/>
          <w:szCs w:val="24"/>
          <w:u w:val="single"/>
        </w:rPr>
        <w:t xml:space="preserve">501.3 Additional categories of limited alterations. </w:t>
      </w:r>
      <w:r w:rsidRPr="001B7F77">
        <w:rPr>
          <w:rFonts w:eastAsia="Calibri" w:cs="Arial"/>
          <w:color w:val="000000"/>
          <w:szCs w:val="24"/>
          <w:u w:val="single"/>
        </w:rPr>
        <w:t>The commissioner may promulgate rules to identify additional work of limited scope or value that is subject to this chapter.</w:t>
      </w:r>
    </w:p>
    <w:p w14:paraId="23F793E6" w14:textId="77777777" w:rsidR="001B7F77" w:rsidRPr="001B7F77" w:rsidRDefault="001B7F77" w:rsidP="001B7F77">
      <w:pPr>
        <w:suppressAutoHyphens/>
        <w:spacing w:before="120"/>
        <w:jc w:val="center"/>
        <w:outlineLvl w:val="0"/>
        <w:rPr>
          <w:rFonts w:eastAsia="Helvetica Neue"/>
          <w:b/>
          <w:u w:val="single"/>
        </w:rPr>
      </w:pPr>
    </w:p>
    <w:p w14:paraId="6BF19506" w14:textId="77777777" w:rsidR="001B7F77" w:rsidRPr="001B7F77" w:rsidRDefault="001B7F77" w:rsidP="001B7F77">
      <w:pPr>
        <w:suppressAutoHyphens/>
        <w:spacing w:before="120"/>
        <w:jc w:val="center"/>
        <w:outlineLvl w:val="0"/>
        <w:rPr>
          <w:rFonts w:eastAsia="Helvetica Neue"/>
          <w:b/>
          <w:u w:val="single"/>
        </w:rPr>
      </w:pPr>
      <w:r w:rsidRPr="001B7F77">
        <w:rPr>
          <w:rFonts w:eastAsia="Helvetica Neue"/>
          <w:b/>
          <w:u w:val="single"/>
        </w:rPr>
        <w:t>SECTION EBC 502</w:t>
      </w:r>
      <w:r w:rsidRPr="001B7F77">
        <w:rPr>
          <w:rFonts w:eastAsia="Helvetica Neue"/>
          <w:b/>
          <w:u w:val="single"/>
        </w:rPr>
        <w:br/>
        <w:t>COMPLIANCE</w:t>
      </w:r>
    </w:p>
    <w:p w14:paraId="2DEF0968" w14:textId="77777777" w:rsidR="001B7F77" w:rsidRPr="001B7F77" w:rsidRDefault="001B7F77" w:rsidP="001B7F77">
      <w:pPr>
        <w:spacing w:before="120"/>
        <w:rPr>
          <w:rFonts w:eastAsia="Calibri" w:cs="Arial"/>
          <w:color w:val="000000"/>
          <w:szCs w:val="24"/>
          <w:u w:val="single"/>
        </w:rPr>
      </w:pPr>
      <w:r w:rsidRPr="001B7F77">
        <w:rPr>
          <w:rFonts w:eastAsia="Calibri" w:cs="Arial"/>
          <w:b/>
          <w:color w:val="000000"/>
          <w:szCs w:val="24"/>
          <w:u w:val="single"/>
        </w:rPr>
        <w:t xml:space="preserve">502.1 General. </w:t>
      </w:r>
      <w:r w:rsidRPr="001B7F77">
        <w:rPr>
          <w:rFonts w:eastAsia="Calibri" w:cs="Arial"/>
          <w:color w:val="000000"/>
          <w:szCs w:val="24"/>
          <w:u w:val="single"/>
        </w:rPr>
        <w:t>All limited alteration work shall comply with this code and other codes as applicable.</w:t>
      </w:r>
    </w:p>
    <w:p w14:paraId="4648A8EE" w14:textId="77777777" w:rsidR="001B7F77" w:rsidRPr="001B7F77" w:rsidRDefault="001B7F77" w:rsidP="001B7F77">
      <w:pPr>
        <w:spacing w:before="120"/>
        <w:rPr>
          <w:rFonts w:eastAsia="Calibri" w:cs="Arial"/>
          <w:color w:val="000000"/>
          <w:szCs w:val="24"/>
          <w:u w:val="single"/>
        </w:rPr>
      </w:pPr>
      <w:bookmarkStart w:id="119" w:name="_Hlk77348589"/>
      <w:r w:rsidRPr="001B7F77">
        <w:rPr>
          <w:rFonts w:eastAsia="Calibri" w:cs="Arial"/>
          <w:b/>
          <w:color w:val="000000"/>
          <w:szCs w:val="24"/>
          <w:u w:val="single"/>
        </w:rPr>
        <w:t xml:space="preserve">502.2 Applicants for permits. </w:t>
      </w:r>
      <w:r w:rsidRPr="001B7F77">
        <w:rPr>
          <w:rFonts w:eastAsia="Calibri" w:cs="Arial"/>
          <w:bCs/>
          <w:color w:val="000000"/>
          <w:szCs w:val="24"/>
          <w:u w:val="single"/>
        </w:rPr>
        <w:t>Applicants</w:t>
      </w:r>
      <w:r w:rsidRPr="001B7F77">
        <w:rPr>
          <w:rFonts w:eastAsia="Calibri" w:cs="Arial"/>
          <w:color w:val="000000"/>
          <w:szCs w:val="24"/>
          <w:u w:val="single"/>
        </w:rPr>
        <w:t xml:space="preserve"> for limited alteration permits shall meet the minimum qualifications appropriate for the work filed in accordance with Articles 408, 410, 412, 418, and 421 of Title 28 of the </w:t>
      </w:r>
      <w:r w:rsidRPr="001B7F77">
        <w:rPr>
          <w:rFonts w:eastAsia="Calibri" w:cs="Arial"/>
          <w:i/>
          <w:color w:val="000000"/>
          <w:szCs w:val="24"/>
          <w:u w:val="single"/>
        </w:rPr>
        <w:t>Administrative Code</w:t>
      </w:r>
      <w:r w:rsidRPr="001B7F77">
        <w:rPr>
          <w:rFonts w:eastAsia="Calibri" w:cs="Arial"/>
          <w:color w:val="000000"/>
          <w:szCs w:val="24"/>
          <w:u w:val="single"/>
        </w:rPr>
        <w:t xml:space="preserve"> and this code. </w:t>
      </w:r>
    </w:p>
    <w:bookmarkEnd w:id="119"/>
    <w:p w14:paraId="6C859D9B" w14:textId="77777777" w:rsidR="001B7F77" w:rsidRPr="001B7F77" w:rsidRDefault="001B7F77" w:rsidP="001B7F77">
      <w:pPr>
        <w:spacing w:before="120"/>
        <w:rPr>
          <w:rFonts w:eastAsia="Calibri" w:cs="Arial"/>
          <w:color w:val="000000"/>
          <w:szCs w:val="24"/>
          <w:u w:val="single"/>
        </w:rPr>
      </w:pPr>
      <w:r w:rsidRPr="001B7F77">
        <w:rPr>
          <w:rFonts w:eastAsia="Calibri" w:cs="Arial"/>
          <w:b/>
          <w:color w:val="000000"/>
          <w:szCs w:val="24"/>
          <w:u w:val="single"/>
        </w:rPr>
        <w:t xml:space="preserve">502.3 New and replacement materials, assemblies and details. </w:t>
      </w:r>
      <w:r w:rsidRPr="001B7F77">
        <w:rPr>
          <w:rFonts w:eastAsia="Calibri" w:cs="Arial"/>
          <w:color w:val="000000"/>
          <w:szCs w:val="24"/>
          <w:u w:val="single"/>
        </w:rPr>
        <w:t xml:space="preserve">New and replacement materials, assemblies and details permitted by the applicable code for new construction shall be used in accordance with Section 302.4. </w:t>
      </w:r>
    </w:p>
    <w:p w14:paraId="5CFC39C5" w14:textId="77777777" w:rsidR="001B7F77" w:rsidRPr="001B7F77" w:rsidRDefault="001B7F77" w:rsidP="001B7F77">
      <w:pPr>
        <w:spacing w:before="120"/>
        <w:ind w:left="360"/>
        <w:rPr>
          <w:rFonts w:eastAsia="Calibri"/>
          <w:bCs/>
          <w:color w:val="000000"/>
          <w:szCs w:val="24"/>
          <w:u w:val="single"/>
        </w:rPr>
      </w:pPr>
      <w:r w:rsidRPr="001B7F77">
        <w:rPr>
          <w:rFonts w:eastAsia="Calibri"/>
          <w:b/>
          <w:bCs/>
          <w:color w:val="000000"/>
          <w:szCs w:val="24"/>
          <w:u w:val="single"/>
        </w:rPr>
        <w:t>Exception:</w:t>
      </w:r>
      <w:r w:rsidRPr="001B7F77">
        <w:rPr>
          <w:rFonts w:eastAsia="Calibri"/>
          <w:bCs/>
          <w:color w:val="000000"/>
          <w:szCs w:val="24"/>
          <w:u w:val="single"/>
        </w:rPr>
        <w:t xml:space="preserve"> Provided no unsafe condition is created, like materials, assemblies and details shall be permitted for limited alterations.</w:t>
      </w:r>
    </w:p>
    <w:p w14:paraId="53411B26" w14:textId="77777777" w:rsidR="001B7F77" w:rsidRPr="001B7F77" w:rsidRDefault="001B7F77" w:rsidP="001B7F77">
      <w:pPr>
        <w:widowControl w:val="0"/>
        <w:suppressAutoHyphens/>
        <w:spacing w:before="120"/>
        <w:rPr>
          <w:rFonts w:eastAsia="Helvetica Neue"/>
          <w:bCs/>
          <w:color w:val="000000"/>
          <w:szCs w:val="24"/>
          <w:u w:val="single"/>
        </w:rPr>
      </w:pPr>
      <w:r w:rsidRPr="001B7F77">
        <w:rPr>
          <w:rFonts w:eastAsia="Helvetica Neue"/>
          <w:b/>
          <w:bCs/>
          <w:color w:val="000000"/>
          <w:szCs w:val="24"/>
          <w:u w:val="single"/>
        </w:rPr>
        <w:t xml:space="preserve">502.4 Inspections. </w:t>
      </w:r>
      <w:r w:rsidRPr="001B7F77">
        <w:rPr>
          <w:rFonts w:eastAsia="Helvetica Neue"/>
          <w:szCs w:val="24"/>
          <w:u w:val="single"/>
        </w:rPr>
        <w:t>A</w:t>
      </w:r>
      <w:r w:rsidRPr="001B7F77">
        <w:rPr>
          <w:rFonts w:eastAsia="Helvetica Neue"/>
          <w:bCs/>
          <w:szCs w:val="24"/>
          <w:u w:val="single"/>
        </w:rPr>
        <w:t>ll work</w:t>
      </w:r>
      <w:r w:rsidRPr="001B7F77">
        <w:rPr>
          <w:rFonts w:eastAsia="Helvetica Neue"/>
          <w:b/>
          <w:bCs/>
          <w:szCs w:val="24"/>
          <w:u w:val="single"/>
        </w:rPr>
        <w:t xml:space="preserve"> </w:t>
      </w:r>
      <w:r w:rsidRPr="001B7F77">
        <w:rPr>
          <w:rFonts w:eastAsia="Helvetica Neue"/>
          <w:bCs/>
          <w:szCs w:val="24"/>
          <w:u w:val="single"/>
        </w:rPr>
        <w:t xml:space="preserve">associated with limited alterations shall be tested and inspected in accordance with the applicable provisions of this code, the </w:t>
      </w:r>
      <w:r w:rsidRPr="001B7F77">
        <w:rPr>
          <w:rFonts w:eastAsia="Helvetica Neue"/>
          <w:bCs/>
          <w:i/>
          <w:iCs/>
          <w:szCs w:val="24"/>
          <w:u w:val="single"/>
        </w:rPr>
        <w:t xml:space="preserve">Administrative Code, </w:t>
      </w:r>
      <w:r w:rsidRPr="001B7F77">
        <w:rPr>
          <w:rFonts w:eastAsia="Helvetica Neue"/>
          <w:bCs/>
          <w:szCs w:val="24"/>
          <w:u w:val="single"/>
        </w:rPr>
        <w:t xml:space="preserve">the </w:t>
      </w:r>
      <w:r w:rsidRPr="001B7F77">
        <w:rPr>
          <w:rFonts w:eastAsia="Helvetica Neue"/>
          <w:bCs/>
          <w:i/>
          <w:iCs/>
          <w:szCs w:val="24"/>
          <w:u w:val="single"/>
        </w:rPr>
        <w:t xml:space="preserve">New York City Building Code, </w:t>
      </w:r>
      <w:r w:rsidRPr="001B7F77">
        <w:rPr>
          <w:rFonts w:eastAsia="Helvetica Neue"/>
          <w:bCs/>
          <w:szCs w:val="24"/>
          <w:u w:val="single"/>
        </w:rPr>
        <w:t xml:space="preserve">the </w:t>
      </w:r>
      <w:r w:rsidRPr="001B7F77">
        <w:rPr>
          <w:rFonts w:eastAsia="Helvetica Neue"/>
          <w:bCs/>
          <w:i/>
          <w:iCs/>
          <w:szCs w:val="24"/>
          <w:u w:val="single"/>
        </w:rPr>
        <w:t xml:space="preserve">New York City Plumbing Code, </w:t>
      </w:r>
      <w:r w:rsidRPr="001B7F77">
        <w:rPr>
          <w:rFonts w:eastAsia="Helvetica Neue"/>
          <w:bCs/>
          <w:szCs w:val="24"/>
          <w:u w:val="single"/>
        </w:rPr>
        <w:t>the</w:t>
      </w:r>
      <w:r w:rsidRPr="001B7F77">
        <w:rPr>
          <w:rFonts w:eastAsia="Helvetica Neue"/>
          <w:bCs/>
          <w:i/>
          <w:iCs/>
          <w:szCs w:val="24"/>
          <w:u w:val="single"/>
        </w:rPr>
        <w:t xml:space="preserve"> New York City Fuel Gas Code, </w:t>
      </w:r>
      <w:r w:rsidRPr="001B7F77">
        <w:rPr>
          <w:rFonts w:eastAsia="Helvetica Neue"/>
          <w:bCs/>
          <w:szCs w:val="24"/>
          <w:u w:val="single"/>
        </w:rPr>
        <w:t>the</w:t>
      </w:r>
      <w:r w:rsidRPr="001B7F77">
        <w:rPr>
          <w:rFonts w:eastAsia="Helvetica Neue"/>
          <w:bCs/>
          <w:i/>
          <w:iCs/>
          <w:szCs w:val="24"/>
          <w:u w:val="single"/>
        </w:rPr>
        <w:t xml:space="preserve"> New York City Mechanical Code, </w:t>
      </w:r>
      <w:r w:rsidRPr="001B7F77">
        <w:rPr>
          <w:rFonts w:eastAsia="Helvetica Neue"/>
          <w:bCs/>
          <w:szCs w:val="24"/>
          <w:u w:val="single"/>
        </w:rPr>
        <w:t xml:space="preserve">the </w:t>
      </w:r>
      <w:r w:rsidRPr="001B7F77">
        <w:rPr>
          <w:rFonts w:eastAsia="Helvetica Neue"/>
          <w:bCs/>
          <w:i/>
          <w:iCs/>
          <w:szCs w:val="24"/>
          <w:u w:val="single"/>
        </w:rPr>
        <w:t xml:space="preserve">New York City Electrical Code, </w:t>
      </w:r>
      <w:r w:rsidRPr="001B7F77">
        <w:rPr>
          <w:rFonts w:eastAsia="Helvetica Neue"/>
          <w:bCs/>
          <w:szCs w:val="24"/>
          <w:u w:val="single"/>
        </w:rPr>
        <w:t xml:space="preserve">the </w:t>
      </w:r>
      <w:r w:rsidRPr="001B7F77">
        <w:rPr>
          <w:rFonts w:eastAsia="Helvetica Neue"/>
          <w:bCs/>
          <w:i/>
          <w:iCs/>
          <w:szCs w:val="24"/>
          <w:u w:val="single"/>
        </w:rPr>
        <w:t>New York City Fire Code</w:t>
      </w:r>
      <w:r w:rsidRPr="001B7F77">
        <w:rPr>
          <w:rFonts w:eastAsia="Helvetica Neue"/>
          <w:bCs/>
          <w:szCs w:val="24"/>
          <w:u w:val="single"/>
        </w:rPr>
        <w:t xml:space="preserve"> and the </w:t>
      </w:r>
      <w:r w:rsidRPr="001B7F77">
        <w:rPr>
          <w:rFonts w:eastAsia="Helvetica Neue"/>
          <w:bCs/>
          <w:i/>
          <w:iCs/>
          <w:szCs w:val="24"/>
          <w:u w:val="single"/>
        </w:rPr>
        <w:t>New York City Energy Conservation Code</w:t>
      </w:r>
      <w:r w:rsidRPr="001B7F77">
        <w:rPr>
          <w:rFonts w:eastAsia="Helvetica Neue"/>
          <w:bCs/>
          <w:szCs w:val="24"/>
          <w:u w:val="single"/>
        </w:rPr>
        <w:t>, including their referenced standards, as applicable.</w:t>
      </w:r>
    </w:p>
    <w:p w14:paraId="03BB5FD1" w14:textId="77777777" w:rsidR="001B7F77" w:rsidRPr="001B7F77" w:rsidRDefault="001B7F77" w:rsidP="001B7F77">
      <w:pPr>
        <w:spacing w:before="120"/>
        <w:rPr>
          <w:rFonts w:eastAsia="Times"/>
          <w:color w:val="000000"/>
          <w:szCs w:val="24"/>
          <w:u w:val="single"/>
        </w:rPr>
      </w:pPr>
      <w:r w:rsidRPr="001B7F77">
        <w:rPr>
          <w:rFonts w:eastAsia="Calibri" w:cs="Arial"/>
          <w:b/>
          <w:bCs/>
          <w:color w:val="000000"/>
          <w:szCs w:val="24"/>
          <w:u w:val="single"/>
        </w:rPr>
        <w:t xml:space="preserve">502.5 Emergency work. </w:t>
      </w:r>
      <w:r w:rsidRPr="001B7F77">
        <w:rPr>
          <w:rFonts w:eastAsia="Calibri" w:cs="Arial"/>
          <w:color w:val="000000"/>
          <w:szCs w:val="24"/>
          <w:u w:val="single"/>
        </w:rPr>
        <w:t xml:space="preserve">Emergency work shall be in accordance with Section 28-105.4.1 of the </w:t>
      </w:r>
      <w:r w:rsidRPr="001B7F77">
        <w:rPr>
          <w:rFonts w:eastAsia="Calibri" w:cs="Arial"/>
          <w:i/>
          <w:iCs/>
          <w:color w:val="000000"/>
          <w:szCs w:val="24"/>
          <w:u w:val="single"/>
        </w:rPr>
        <w:t>Administrative Code</w:t>
      </w:r>
      <w:r w:rsidRPr="001B7F77">
        <w:rPr>
          <w:rFonts w:eastAsia="Calibri" w:cs="Arial"/>
          <w:color w:val="000000"/>
          <w:szCs w:val="24"/>
          <w:u w:val="single"/>
        </w:rPr>
        <w:t>.</w:t>
      </w:r>
    </w:p>
    <w:p w14:paraId="465794B1" w14:textId="77777777" w:rsidR="001B7F77" w:rsidRPr="001B7F77" w:rsidRDefault="001B7F77" w:rsidP="001B7F77">
      <w:pPr>
        <w:spacing w:before="120"/>
        <w:rPr>
          <w:rFonts w:eastAsia="Calibri" w:cs="Arial"/>
          <w:color w:val="000000"/>
          <w:szCs w:val="24"/>
          <w:u w:val="single"/>
        </w:rPr>
      </w:pPr>
      <w:r w:rsidRPr="001B7F77">
        <w:rPr>
          <w:rFonts w:eastAsia="Calibri" w:cs="Arial"/>
          <w:b/>
          <w:color w:val="000000"/>
          <w:szCs w:val="24"/>
          <w:u w:val="single"/>
        </w:rPr>
        <w:t xml:space="preserve">502.6 Construction documents. </w:t>
      </w:r>
      <w:r w:rsidRPr="001B7F77">
        <w:rPr>
          <w:rFonts w:eastAsia="Calibri" w:cs="Arial"/>
          <w:color w:val="000000"/>
          <w:szCs w:val="24"/>
          <w:u w:val="single"/>
        </w:rPr>
        <w:t>The department may promulgate rules to establish construction document submission requirements for limited alteration applications relating to demonstrating compliance with the applicable requirements.</w:t>
      </w:r>
    </w:p>
    <w:p w14:paraId="28F013E2" w14:textId="77777777" w:rsidR="001B7F77" w:rsidRPr="001B7F77" w:rsidRDefault="001B7F77" w:rsidP="001B7F77">
      <w:pPr>
        <w:widowControl w:val="0"/>
        <w:suppressAutoHyphens/>
        <w:spacing w:before="120"/>
        <w:rPr>
          <w:szCs w:val="24"/>
          <w:u w:val="single"/>
        </w:rPr>
      </w:pPr>
      <w:bookmarkStart w:id="120" w:name="_Hlk194308528"/>
      <w:bookmarkStart w:id="121" w:name="_Hlk73016400"/>
      <w:r w:rsidRPr="001B7F77">
        <w:rPr>
          <w:b/>
          <w:bCs/>
          <w:szCs w:val="24"/>
          <w:u w:val="single"/>
        </w:rPr>
        <w:t xml:space="preserve">502.7 Penetrations of floor/ceiling assemblies and fire-resistance-rated assemblies. </w:t>
      </w:r>
      <w:r w:rsidRPr="001B7F77">
        <w:rPr>
          <w:szCs w:val="24"/>
          <w:u w:val="single"/>
        </w:rPr>
        <w:t xml:space="preserve">Where penetrations of floor/ceiling assemblies and assemblies required to have a fire-resistance rating are required as part of a limited alteration application scope of work, such penetrations shall be protected in accordance with the requirements of Sections 502.7.1 through 502.7.6. </w:t>
      </w:r>
      <w:bookmarkStart w:id="122" w:name="_Hlk193992225"/>
      <w:r w:rsidRPr="001B7F77">
        <w:rPr>
          <w:szCs w:val="24"/>
          <w:u w:val="single"/>
        </w:rPr>
        <w:t>Where such penetrations cannot be protected in accordance with the requirements of Sections 502.7.1 through 502.7.7, the work shall not be permitted under a limited alteration application.</w:t>
      </w:r>
      <w:r w:rsidRPr="001B7F77">
        <w:rPr>
          <w:szCs w:val="24"/>
        </w:rPr>
        <w:t xml:space="preserve"> </w:t>
      </w:r>
      <w:bookmarkEnd w:id="120"/>
    </w:p>
    <w:bookmarkEnd w:id="122"/>
    <w:p w14:paraId="1D3786D1" w14:textId="77777777" w:rsidR="001B7F77" w:rsidRPr="001B7F77" w:rsidRDefault="001B7F77" w:rsidP="001B7F77">
      <w:pPr>
        <w:widowControl w:val="0"/>
        <w:suppressAutoHyphens/>
        <w:spacing w:before="120"/>
        <w:ind w:left="360"/>
        <w:rPr>
          <w:szCs w:val="24"/>
          <w:u w:val="single"/>
        </w:rPr>
      </w:pPr>
      <w:r w:rsidRPr="001B7F77">
        <w:rPr>
          <w:b/>
          <w:bCs/>
          <w:szCs w:val="24"/>
          <w:u w:val="single"/>
        </w:rPr>
        <w:t>502.7.1 Stair enclosures.</w:t>
      </w:r>
      <w:r w:rsidRPr="001B7F77">
        <w:rPr>
          <w:szCs w:val="24"/>
          <w:u w:val="single"/>
        </w:rPr>
        <w:t xml:space="preserve"> Penetrations through a stair enclosure or a stair landing shall not be permitted as part of a limited alteration application.</w:t>
      </w:r>
    </w:p>
    <w:p w14:paraId="763BBEDD" w14:textId="77777777" w:rsidR="001B7F77" w:rsidRPr="001B7F77" w:rsidRDefault="001B7F77" w:rsidP="001B7F77">
      <w:pPr>
        <w:widowControl w:val="0"/>
        <w:suppressAutoHyphens/>
        <w:spacing w:before="120"/>
        <w:ind w:left="720"/>
        <w:rPr>
          <w:b/>
          <w:bCs/>
          <w:szCs w:val="24"/>
          <w:u w:val="single"/>
        </w:rPr>
      </w:pPr>
      <w:r w:rsidRPr="001B7F77">
        <w:rPr>
          <w:b/>
          <w:bCs/>
          <w:szCs w:val="24"/>
          <w:u w:val="single"/>
        </w:rPr>
        <w:t>Exceptions:</w:t>
      </w:r>
    </w:p>
    <w:p w14:paraId="6D16144D" w14:textId="77777777" w:rsidR="001B7F77" w:rsidRPr="001B7F77" w:rsidRDefault="001B7F77" w:rsidP="001B7F77">
      <w:pPr>
        <w:widowControl w:val="0"/>
        <w:suppressAutoHyphens/>
        <w:spacing w:before="120"/>
        <w:ind w:left="1440" w:hanging="360"/>
        <w:rPr>
          <w:szCs w:val="24"/>
          <w:u w:val="single"/>
        </w:rPr>
      </w:pPr>
      <w:r w:rsidRPr="001B7F77">
        <w:rPr>
          <w:szCs w:val="24"/>
          <w:u w:val="single"/>
        </w:rPr>
        <w:t>1.</w:t>
      </w:r>
      <w:r w:rsidRPr="001B7F77">
        <w:rPr>
          <w:szCs w:val="24"/>
          <w:u w:val="single"/>
        </w:rPr>
        <w:tab/>
        <w:t>Limited standpipe alteration work pursuant to Section 506.</w:t>
      </w:r>
    </w:p>
    <w:p w14:paraId="0315BD18" w14:textId="77777777" w:rsidR="001B7F77" w:rsidRPr="001B7F77" w:rsidRDefault="001B7F77" w:rsidP="001B7F77">
      <w:pPr>
        <w:widowControl w:val="0"/>
        <w:suppressAutoHyphens/>
        <w:spacing w:before="120"/>
        <w:ind w:left="1440" w:hanging="360"/>
        <w:rPr>
          <w:szCs w:val="24"/>
          <w:u w:val="single"/>
        </w:rPr>
      </w:pPr>
      <w:r w:rsidRPr="001B7F77">
        <w:rPr>
          <w:szCs w:val="24"/>
          <w:u w:val="single"/>
        </w:rPr>
        <w:t>2.</w:t>
      </w:r>
      <w:r w:rsidRPr="001B7F77">
        <w:rPr>
          <w:szCs w:val="24"/>
          <w:u w:val="single"/>
        </w:rPr>
        <w:tab/>
        <w:t>Limited sprinkler alteration work pursuant to Section 505.</w:t>
      </w:r>
    </w:p>
    <w:p w14:paraId="74040394" w14:textId="77777777" w:rsidR="001B7F77" w:rsidRPr="001B7F77" w:rsidRDefault="001B7F77" w:rsidP="001B7F77">
      <w:pPr>
        <w:widowControl w:val="0"/>
        <w:suppressAutoHyphens/>
        <w:spacing w:before="120"/>
        <w:ind w:left="360"/>
        <w:rPr>
          <w:szCs w:val="24"/>
          <w:u w:val="single"/>
        </w:rPr>
      </w:pPr>
      <w:r w:rsidRPr="001B7F77">
        <w:rPr>
          <w:b/>
          <w:bCs/>
          <w:szCs w:val="24"/>
          <w:u w:val="single"/>
        </w:rPr>
        <w:t xml:space="preserve">502.7.2 Prescriptive methods. </w:t>
      </w:r>
      <w:r w:rsidRPr="001B7F77">
        <w:rPr>
          <w:szCs w:val="24"/>
          <w:u w:val="single"/>
        </w:rPr>
        <w:t>Penetrations of floor/ceiling and wall assemblies required to have a fire-resistance rating by steel, ferrous or copper conduits, pipes, tubes, or vents no greater than 6 inches (152 mm) in diameter with a total cross-sectional area of opening of 144 square inches (92 903 mm</w:t>
      </w:r>
      <w:r w:rsidRPr="001B7F77">
        <w:rPr>
          <w:szCs w:val="24"/>
          <w:u w:val="single"/>
          <w:vertAlign w:val="superscript"/>
        </w:rPr>
        <w:t>2</w:t>
      </w:r>
      <w:r w:rsidRPr="001B7F77">
        <w:rPr>
          <w:szCs w:val="24"/>
          <w:u w:val="single"/>
        </w:rPr>
        <w:t>) or less shall be permitted to be sealed by one of the following methods without certification by a manufacturer of those performing the installation:</w:t>
      </w:r>
    </w:p>
    <w:p w14:paraId="590A3802" w14:textId="77777777" w:rsidR="001B7F77" w:rsidRPr="001B7F77" w:rsidRDefault="001B7F77" w:rsidP="001B7F77">
      <w:pPr>
        <w:widowControl w:val="0"/>
        <w:suppressAutoHyphens/>
        <w:spacing w:before="120"/>
        <w:ind w:left="990" w:hanging="270"/>
        <w:rPr>
          <w:szCs w:val="24"/>
          <w:u w:val="single"/>
        </w:rPr>
      </w:pPr>
      <w:r w:rsidRPr="001B7F77">
        <w:rPr>
          <w:b/>
          <w:bCs/>
          <w:szCs w:val="24"/>
          <w:u w:val="single"/>
        </w:rPr>
        <w:t>1.</w:t>
      </w:r>
      <w:r w:rsidRPr="001B7F77">
        <w:rPr>
          <w:b/>
          <w:bCs/>
          <w:szCs w:val="24"/>
          <w:u w:val="single"/>
        </w:rPr>
        <w:tab/>
        <w:t xml:space="preserve">Concrete or masonry walls or floors. </w:t>
      </w:r>
      <w:r w:rsidRPr="001B7F77">
        <w:rPr>
          <w:szCs w:val="24"/>
          <w:u w:val="single"/>
        </w:rPr>
        <w:t>The annular space around penetrations in a single concrete or masonry wall/floor by steel, ferrous or copper conduits, pipes, tubes or vents shall be sealed with concrete, grout or mortar installed through the full thickness of the floor or the thickness required to maintain the fire-resistance rating.</w:t>
      </w:r>
    </w:p>
    <w:p w14:paraId="78137D37" w14:textId="77777777" w:rsidR="001B7F77" w:rsidRPr="001B7F77" w:rsidRDefault="001B7F77" w:rsidP="001B7F77">
      <w:pPr>
        <w:widowControl w:val="0"/>
        <w:suppressAutoHyphens/>
        <w:spacing w:before="120"/>
        <w:ind w:left="990" w:hanging="270"/>
        <w:rPr>
          <w:szCs w:val="24"/>
          <w:u w:val="single"/>
        </w:rPr>
      </w:pPr>
      <w:r w:rsidRPr="001B7F77">
        <w:rPr>
          <w:b/>
          <w:bCs/>
          <w:szCs w:val="24"/>
          <w:u w:val="single"/>
        </w:rPr>
        <w:t>2.</w:t>
      </w:r>
      <w:r w:rsidRPr="001B7F77">
        <w:rPr>
          <w:b/>
          <w:bCs/>
          <w:szCs w:val="24"/>
          <w:u w:val="single"/>
        </w:rPr>
        <w:tab/>
        <w:t>For walls and floors in prior code buildings.</w:t>
      </w:r>
      <w:r w:rsidRPr="001B7F77">
        <w:rPr>
          <w:szCs w:val="24"/>
          <w:u w:val="single"/>
        </w:rPr>
        <w:t xml:space="preserve"> In prior code buildings, the annular space around penetrations through walls and floors shall be permitted to be of materials and thickness matching the adjacent existing construction in a manner in which they can be shaped, tightly fitted, and permanently secured in position, provided, however, that any firestopping sealant used in conjunction with such penetrations shall be noncombustible.</w:t>
      </w:r>
    </w:p>
    <w:p w14:paraId="1EB794AE" w14:textId="77777777" w:rsidR="001B7F77" w:rsidRPr="001B7F77" w:rsidRDefault="001B7F77" w:rsidP="001B7F77">
      <w:pPr>
        <w:widowControl w:val="0"/>
        <w:suppressAutoHyphens/>
        <w:spacing w:before="120"/>
        <w:ind w:left="360"/>
        <w:rPr>
          <w:szCs w:val="24"/>
          <w:u w:val="single"/>
        </w:rPr>
      </w:pPr>
      <w:r w:rsidRPr="001B7F77">
        <w:rPr>
          <w:b/>
          <w:bCs/>
          <w:szCs w:val="24"/>
          <w:u w:val="single"/>
        </w:rPr>
        <w:t xml:space="preserve">502.7.3 Fire-resistant penetrations and joints. </w:t>
      </w:r>
      <w:bookmarkStart w:id="123" w:name="_Hlk72405864"/>
      <w:r w:rsidRPr="001B7F77">
        <w:rPr>
          <w:szCs w:val="24"/>
          <w:u w:val="single"/>
        </w:rPr>
        <w:t>Penetration into or through fire-rated wall/horizontal assemblies shall be permitted to be installed in accordance with the requirements of this section. Such penetrations shall be protected by an approved through-penetration fire stop system installed and tested in accordance with ASTM E 814 or UL 1479, with a minimum positive pressure differential of 0.01 inch (2.49 Pa) of water. The system shall have an F rating of 2 hours minimum for walls/horizontal penetrations. For horizontal penetration, the system shall have a T rating of 2 hours minimum where penetration is not contained and located inside rated wall cavities. The required ratings for both F and T rating shall not be less than the required rating of the floor/horizontal assemblies penetrated. Such installers shall be certified by the manufacturer of the firestopping assembly for the specific assembly.</w:t>
      </w:r>
    </w:p>
    <w:p w14:paraId="03CF87B2" w14:textId="77777777" w:rsidR="001B7F77" w:rsidRPr="001B7F77" w:rsidRDefault="001B7F77" w:rsidP="001B7F77">
      <w:pPr>
        <w:widowControl w:val="0"/>
        <w:suppressAutoHyphens/>
        <w:spacing w:before="120"/>
        <w:ind w:left="720"/>
        <w:rPr>
          <w:szCs w:val="24"/>
          <w:u w:val="single"/>
        </w:rPr>
      </w:pPr>
      <w:r w:rsidRPr="001B7F77">
        <w:rPr>
          <w:b/>
          <w:bCs/>
          <w:szCs w:val="24"/>
          <w:u w:val="single"/>
        </w:rPr>
        <w:t>502.7.3.1 Manufacturer certification.</w:t>
      </w:r>
      <w:r w:rsidRPr="001B7F77">
        <w:rPr>
          <w:szCs w:val="24"/>
          <w:u w:val="single"/>
        </w:rPr>
        <w:t xml:space="preserve"> The licensee responsible for the penetration shall obtain certification for the installation of the approved through-penetration fire stop system from the manufacturer of such fire stop system and provide proof of the certification in a form and manner acceptable to the department. The department may accept other certifications as specified by rules.</w:t>
      </w:r>
    </w:p>
    <w:p w14:paraId="4B9558C8" w14:textId="77777777" w:rsidR="001B7F77" w:rsidRPr="001B7F77" w:rsidRDefault="001B7F77" w:rsidP="001B7F77">
      <w:pPr>
        <w:widowControl w:val="0"/>
        <w:suppressAutoHyphens/>
        <w:spacing w:before="120"/>
        <w:ind w:left="360"/>
        <w:rPr>
          <w:szCs w:val="24"/>
          <w:u w:val="single"/>
        </w:rPr>
      </w:pPr>
      <w:r w:rsidRPr="001B7F77">
        <w:rPr>
          <w:b/>
          <w:bCs/>
          <w:szCs w:val="24"/>
          <w:u w:val="single"/>
        </w:rPr>
        <w:t>502.7.4 Electrical boxes.</w:t>
      </w:r>
      <w:r w:rsidRPr="001B7F77">
        <w:rPr>
          <w:szCs w:val="24"/>
          <w:u w:val="single"/>
        </w:rPr>
        <w:t xml:space="preserve"> Penetrations by listed electrical boxes of any material may be permitted provided such boxes have been tested for use in fire-resistance-rated assemblies and installed in accordance with the instructions included in the listing.</w:t>
      </w:r>
      <w:bookmarkEnd w:id="121"/>
      <w:bookmarkEnd w:id="123"/>
    </w:p>
    <w:p w14:paraId="3B7BD56F" w14:textId="77777777" w:rsidR="001B7F77" w:rsidRPr="001B7F77" w:rsidRDefault="001B7F77" w:rsidP="001B7F77">
      <w:pPr>
        <w:widowControl w:val="0"/>
        <w:suppressAutoHyphens/>
        <w:spacing w:before="120"/>
        <w:ind w:left="360"/>
        <w:rPr>
          <w:szCs w:val="24"/>
          <w:u w:val="single"/>
        </w:rPr>
      </w:pPr>
      <w:r w:rsidRPr="001B7F77">
        <w:rPr>
          <w:b/>
          <w:bCs/>
          <w:szCs w:val="24"/>
          <w:u w:val="single"/>
        </w:rPr>
        <w:t>502.7.5 Additional methods and qualifications.</w:t>
      </w:r>
      <w:r w:rsidRPr="001B7F77">
        <w:rPr>
          <w:szCs w:val="24"/>
          <w:u w:val="single"/>
        </w:rPr>
        <w:t xml:space="preserve"> </w:t>
      </w:r>
      <w:bookmarkStart w:id="124" w:name="_Hlk78973375"/>
      <w:r w:rsidRPr="001B7F77">
        <w:rPr>
          <w:szCs w:val="24"/>
          <w:u w:val="single"/>
        </w:rPr>
        <w:t>The department may approve additional methods of firestopping in conjunction with limited alteration applications, and/or qualifications for those installing firestopping as part of a limited alteration application by rule.</w:t>
      </w:r>
    </w:p>
    <w:bookmarkEnd w:id="124"/>
    <w:p w14:paraId="18B7E8EE" w14:textId="77777777" w:rsidR="001B7F77" w:rsidRPr="001B7F77" w:rsidRDefault="001B7F77" w:rsidP="001B7F77">
      <w:pPr>
        <w:widowControl w:val="0"/>
        <w:suppressAutoHyphens/>
        <w:spacing w:before="120"/>
        <w:ind w:left="360"/>
        <w:rPr>
          <w:szCs w:val="24"/>
          <w:u w:val="single"/>
        </w:rPr>
      </w:pPr>
      <w:r w:rsidRPr="001B7F77">
        <w:rPr>
          <w:b/>
          <w:bCs/>
          <w:szCs w:val="24"/>
          <w:u w:val="single"/>
        </w:rPr>
        <w:t>502.7.6 Certification by permit holder.</w:t>
      </w:r>
      <w:r w:rsidRPr="001B7F77">
        <w:rPr>
          <w:szCs w:val="24"/>
          <w:u w:val="single"/>
        </w:rPr>
        <w:t xml:space="preserve"> The permit holder shall certify to the department that the firestopping installation meets the requirements of Section 502.7, including proper restoration of any abandoned openings resulting from the work.</w:t>
      </w:r>
    </w:p>
    <w:p w14:paraId="626FB1A0" w14:textId="77777777" w:rsidR="001B7F77" w:rsidRPr="001B7F77" w:rsidRDefault="001B7F77" w:rsidP="001B7F77">
      <w:pPr>
        <w:widowControl w:val="0"/>
        <w:suppressAutoHyphens/>
        <w:spacing w:before="120"/>
        <w:ind w:left="360"/>
        <w:rPr>
          <w:szCs w:val="24"/>
          <w:u w:val="single"/>
        </w:rPr>
      </w:pPr>
    </w:p>
    <w:p w14:paraId="71FE25AF" w14:textId="77777777" w:rsidR="001B7F77" w:rsidRPr="001B7F77" w:rsidRDefault="001B7F77" w:rsidP="001B7F77">
      <w:pPr>
        <w:suppressAutoHyphens/>
        <w:spacing w:before="120"/>
        <w:jc w:val="center"/>
        <w:outlineLvl w:val="0"/>
        <w:rPr>
          <w:rFonts w:eastAsia="Helvetica Neue"/>
          <w:b/>
          <w:u w:val="single"/>
        </w:rPr>
      </w:pPr>
      <w:r w:rsidRPr="001B7F77">
        <w:rPr>
          <w:rFonts w:eastAsia="Helvetica Neue"/>
          <w:b/>
          <w:u w:val="single"/>
        </w:rPr>
        <w:t>SECTION EBC 503</w:t>
      </w:r>
      <w:r w:rsidRPr="001B7F77">
        <w:rPr>
          <w:rFonts w:eastAsia="Helvetica Neue"/>
          <w:b/>
          <w:u w:val="single"/>
        </w:rPr>
        <w:br/>
        <w:t>LIMITED OIL-BURNING APPLIANCE ALTERATIONS</w:t>
      </w:r>
    </w:p>
    <w:p w14:paraId="3DF88D41" w14:textId="77777777" w:rsidR="001B7F77" w:rsidRPr="001B7F77" w:rsidRDefault="001B7F77" w:rsidP="001B7F77">
      <w:pPr>
        <w:spacing w:before="120"/>
        <w:jc w:val="left"/>
        <w:rPr>
          <w:rFonts w:eastAsia="Calibri" w:cs="Arial"/>
          <w:color w:val="000000"/>
          <w:szCs w:val="24"/>
          <w:u w:val="single"/>
        </w:rPr>
      </w:pPr>
      <w:r w:rsidRPr="001B7F77">
        <w:rPr>
          <w:rFonts w:eastAsia="Calibri" w:cs="Arial"/>
          <w:b/>
          <w:color w:val="000000"/>
          <w:szCs w:val="24"/>
          <w:u w:val="single"/>
        </w:rPr>
        <w:t xml:space="preserve">503.1 Filing. </w:t>
      </w:r>
      <w:r w:rsidRPr="001B7F77">
        <w:rPr>
          <w:rFonts w:eastAsia="Calibri" w:cs="Arial"/>
          <w:color w:val="000000"/>
          <w:szCs w:val="24"/>
          <w:u w:val="single"/>
        </w:rPr>
        <w:t xml:space="preserve">Limited oil-burning appliance alterations shall be filed and performed by a licensed oil-burning equipment installer meeting the requirements of Article 412 of Title 28 of the </w:t>
      </w:r>
      <w:r w:rsidRPr="001B7F77">
        <w:rPr>
          <w:rFonts w:eastAsia="Calibri" w:cs="Arial"/>
          <w:i/>
          <w:color w:val="000000"/>
          <w:szCs w:val="24"/>
          <w:u w:val="single"/>
        </w:rPr>
        <w:t>Administrative Code</w:t>
      </w:r>
      <w:r w:rsidRPr="001B7F77">
        <w:rPr>
          <w:rFonts w:eastAsia="Calibri" w:cs="Arial"/>
          <w:color w:val="000000"/>
          <w:szCs w:val="24"/>
          <w:u w:val="single"/>
        </w:rPr>
        <w:t>.</w:t>
      </w:r>
    </w:p>
    <w:p w14:paraId="034FD900" w14:textId="77777777" w:rsidR="001B7F77" w:rsidRPr="001B7F77" w:rsidRDefault="001B7F77" w:rsidP="001B7F77">
      <w:pPr>
        <w:spacing w:before="120"/>
        <w:jc w:val="left"/>
        <w:rPr>
          <w:rFonts w:eastAsia="Calibri" w:cs="Arial"/>
          <w:color w:val="000000"/>
          <w:szCs w:val="24"/>
          <w:u w:val="single"/>
        </w:rPr>
      </w:pPr>
      <w:r w:rsidRPr="001B7F77">
        <w:rPr>
          <w:rFonts w:eastAsia="Calibri" w:cs="Arial"/>
          <w:b/>
          <w:bCs/>
          <w:color w:val="000000"/>
          <w:szCs w:val="24"/>
          <w:u w:val="single"/>
        </w:rPr>
        <w:t>503.2 Categories of work.</w:t>
      </w:r>
      <w:r w:rsidRPr="001B7F77">
        <w:rPr>
          <w:rFonts w:eastAsia="Calibri" w:cs="Arial"/>
          <w:color w:val="000000"/>
          <w:szCs w:val="24"/>
          <w:u w:val="single"/>
        </w:rPr>
        <w:t xml:space="preserve"> Limited oil-burning appliance alterations shall be limited to the types of work set forth in Sections 503.2.1 and 503.2.2.</w:t>
      </w:r>
    </w:p>
    <w:p w14:paraId="29447512" w14:textId="77777777" w:rsidR="001B7F77" w:rsidRPr="001B7F77" w:rsidRDefault="001B7F77" w:rsidP="001B7F77">
      <w:pPr>
        <w:tabs>
          <w:tab w:val="left" w:pos="360"/>
        </w:tabs>
        <w:spacing w:before="120"/>
        <w:ind w:left="360"/>
        <w:rPr>
          <w:rFonts w:eastAsia="Calibri" w:cs="Arial"/>
          <w:color w:val="000000"/>
          <w:szCs w:val="24"/>
          <w:u w:val="single"/>
        </w:rPr>
      </w:pPr>
      <w:r w:rsidRPr="001B7F77">
        <w:rPr>
          <w:rFonts w:eastAsia="Calibri" w:cs="Arial"/>
          <w:b/>
          <w:color w:val="000000"/>
          <w:szCs w:val="24"/>
          <w:u w:val="single"/>
        </w:rPr>
        <w:t>503.2.1 Category 1</w:t>
      </w:r>
      <w:r w:rsidRPr="001B7F77">
        <w:rPr>
          <w:rFonts w:eastAsia="Calibri" w:cs="Arial"/>
          <w:color w:val="000000"/>
          <w:szCs w:val="24"/>
          <w:u w:val="single"/>
        </w:rPr>
        <w:t>. An addition to an existing oil-burning appliance meeting the following conditions:</w:t>
      </w:r>
    </w:p>
    <w:p w14:paraId="424C037D" w14:textId="77777777" w:rsidR="001B7F77" w:rsidRPr="001B7F77" w:rsidRDefault="001B7F77" w:rsidP="001B7F77">
      <w:pPr>
        <w:widowControl w:val="0"/>
        <w:pBdr>
          <w:top w:val="nil"/>
          <w:left w:val="nil"/>
          <w:bottom w:val="nil"/>
          <w:right w:val="nil"/>
          <w:between w:val="nil"/>
        </w:pBdr>
        <w:tabs>
          <w:tab w:val="left" w:pos="720"/>
          <w:tab w:val="left" w:pos="1080"/>
        </w:tabs>
        <w:autoSpaceDE w:val="0"/>
        <w:autoSpaceDN w:val="0"/>
        <w:adjustRightInd w:val="0"/>
        <w:spacing w:before="120"/>
        <w:ind w:left="1080" w:hanging="360"/>
        <w:rPr>
          <w:rFonts w:eastAsia="Arial"/>
          <w:szCs w:val="24"/>
          <w:u w:val="single"/>
        </w:rPr>
      </w:pPr>
      <w:r w:rsidRPr="001B7F77">
        <w:rPr>
          <w:rFonts w:eastAsia="Arial"/>
          <w:szCs w:val="24"/>
          <w:u w:val="single"/>
        </w:rPr>
        <w:t>1.</w:t>
      </w:r>
      <w:r w:rsidRPr="001B7F77">
        <w:rPr>
          <w:rFonts w:eastAsia="Arial"/>
          <w:szCs w:val="24"/>
          <w:u w:val="single"/>
        </w:rPr>
        <w:tab/>
        <w:t>The total cost of the proposed category 1 work in the building does not exceed fifty thousand dollars in any 12-month period; and</w:t>
      </w:r>
    </w:p>
    <w:p w14:paraId="792EBBFB" w14:textId="77777777" w:rsidR="001B7F77" w:rsidRPr="001B7F77" w:rsidRDefault="001B7F77" w:rsidP="001B7F77">
      <w:pPr>
        <w:widowControl w:val="0"/>
        <w:pBdr>
          <w:top w:val="nil"/>
          <w:left w:val="nil"/>
          <w:bottom w:val="nil"/>
          <w:right w:val="nil"/>
          <w:between w:val="nil"/>
        </w:pBdr>
        <w:tabs>
          <w:tab w:val="left" w:pos="720"/>
          <w:tab w:val="left" w:pos="1080"/>
        </w:tabs>
        <w:autoSpaceDE w:val="0"/>
        <w:autoSpaceDN w:val="0"/>
        <w:adjustRightInd w:val="0"/>
        <w:spacing w:before="120"/>
        <w:ind w:left="1080" w:hanging="360"/>
        <w:rPr>
          <w:rFonts w:eastAsia="Arial"/>
          <w:szCs w:val="24"/>
          <w:u w:val="single"/>
        </w:rPr>
      </w:pPr>
      <w:r w:rsidRPr="001B7F77">
        <w:rPr>
          <w:rFonts w:eastAsia="Arial"/>
          <w:szCs w:val="24"/>
          <w:u w:val="single"/>
        </w:rPr>
        <w:t>2.</w:t>
      </w:r>
      <w:r w:rsidRPr="001B7F77">
        <w:rPr>
          <w:rFonts w:eastAsia="Arial"/>
          <w:szCs w:val="24"/>
          <w:u w:val="single"/>
        </w:rPr>
        <w:tab/>
        <w:t>The proposed work is limited to the installation of:</w:t>
      </w:r>
    </w:p>
    <w:p w14:paraId="10EE89C4" w14:textId="77777777" w:rsidR="001B7F77" w:rsidRPr="001B7F77" w:rsidRDefault="001B7F77" w:rsidP="0001508F">
      <w:pPr>
        <w:widowControl w:val="0"/>
        <w:numPr>
          <w:ilvl w:val="1"/>
          <w:numId w:val="16"/>
        </w:numPr>
        <w:suppressAutoHyphens/>
        <w:autoSpaceDE w:val="0"/>
        <w:autoSpaceDN w:val="0"/>
        <w:adjustRightInd w:val="0"/>
        <w:spacing w:before="120"/>
        <w:ind w:left="1440"/>
        <w:jc w:val="left"/>
        <w:rPr>
          <w:rFonts w:eastAsia="Times"/>
          <w:szCs w:val="24"/>
          <w:u w:val="single"/>
        </w:rPr>
      </w:pPr>
      <w:r w:rsidRPr="001B7F77">
        <w:rPr>
          <w:rFonts w:eastAsia="Times"/>
          <w:szCs w:val="24"/>
          <w:u w:val="single"/>
        </w:rPr>
        <w:t>Oil equipment;</w:t>
      </w:r>
    </w:p>
    <w:p w14:paraId="2A27E82A" w14:textId="77777777" w:rsidR="001B7F77" w:rsidRPr="001B7F77" w:rsidRDefault="001B7F77" w:rsidP="0001508F">
      <w:pPr>
        <w:widowControl w:val="0"/>
        <w:numPr>
          <w:ilvl w:val="1"/>
          <w:numId w:val="16"/>
        </w:numPr>
        <w:suppressAutoHyphens/>
        <w:autoSpaceDE w:val="0"/>
        <w:autoSpaceDN w:val="0"/>
        <w:adjustRightInd w:val="0"/>
        <w:spacing w:before="120"/>
        <w:ind w:left="1440"/>
        <w:jc w:val="left"/>
        <w:rPr>
          <w:rFonts w:eastAsia="Times"/>
          <w:szCs w:val="24"/>
          <w:u w:val="single"/>
        </w:rPr>
      </w:pPr>
      <w:r w:rsidRPr="001B7F77">
        <w:rPr>
          <w:rFonts w:eastAsia="Times"/>
          <w:szCs w:val="24"/>
          <w:u w:val="single"/>
        </w:rPr>
        <w:t>Oil-fired appliances, located within the same enclosure or room as the existing oil</w:t>
      </w:r>
      <w:r w:rsidRPr="001B7F77">
        <w:rPr>
          <w:szCs w:val="24"/>
          <w:u w:val="single"/>
        </w:rPr>
        <w:t>-</w:t>
      </w:r>
      <w:r w:rsidRPr="001B7F77">
        <w:rPr>
          <w:rFonts w:eastAsia="Times"/>
          <w:szCs w:val="24"/>
          <w:u w:val="single"/>
        </w:rPr>
        <w:t>burning appliance;</w:t>
      </w:r>
    </w:p>
    <w:p w14:paraId="5802636E" w14:textId="77777777" w:rsidR="001B7F77" w:rsidRPr="001B7F77" w:rsidRDefault="001B7F77" w:rsidP="0001508F">
      <w:pPr>
        <w:widowControl w:val="0"/>
        <w:numPr>
          <w:ilvl w:val="1"/>
          <w:numId w:val="16"/>
        </w:numPr>
        <w:suppressAutoHyphens/>
        <w:autoSpaceDE w:val="0"/>
        <w:autoSpaceDN w:val="0"/>
        <w:adjustRightInd w:val="0"/>
        <w:spacing w:before="120"/>
        <w:ind w:left="1440"/>
        <w:jc w:val="left"/>
        <w:rPr>
          <w:rFonts w:eastAsia="Times"/>
          <w:szCs w:val="24"/>
          <w:u w:val="single"/>
        </w:rPr>
      </w:pPr>
      <w:r w:rsidRPr="001B7F77">
        <w:rPr>
          <w:rFonts w:eastAsia="Times"/>
          <w:szCs w:val="24"/>
          <w:u w:val="single"/>
        </w:rPr>
        <w:t>Unit heaters; or</w:t>
      </w:r>
    </w:p>
    <w:p w14:paraId="6EAD5A6F" w14:textId="77777777" w:rsidR="001B7F77" w:rsidRPr="001B7F77" w:rsidRDefault="001B7F77" w:rsidP="0001508F">
      <w:pPr>
        <w:widowControl w:val="0"/>
        <w:numPr>
          <w:ilvl w:val="1"/>
          <w:numId w:val="16"/>
        </w:numPr>
        <w:suppressAutoHyphens/>
        <w:autoSpaceDE w:val="0"/>
        <w:autoSpaceDN w:val="0"/>
        <w:adjustRightInd w:val="0"/>
        <w:spacing w:before="120"/>
        <w:ind w:left="1440"/>
        <w:jc w:val="left"/>
        <w:rPr>
          <w:rFonts w:eastAsia="Times"/>
          <w:szCs w:val="24"/>
          <w:u w:val="single"/>
        </w:rPr>
      </w:pPr>
      <w:r w:rsidRPr="001B7F77">
        <w:rPr>
          <w:rFonts w:eastAsia="Times"/>
          <w:szCs w:val="24"/>
          <w:u w:val="single"/>
        </w:rPr>
        <w:t xml:space="preserve">Oil piping including no more than two above-ground oil tanks each with a capacity of no more than 330 gallons (1249 L), provided such oil tanks also comply with the capacity limits established in Section 1305.11 of the </w:t>
      </w:r>
      <w:r w:rsidRPr="001B7F77">
        <w:rPr>
          <w:rFonts w:eastAsia="Times"/>
          <w:i/>
          <w:iCs/>
          <w:szCs w:val="24"/>
          <w:u w:val="single"/>
        </w:rPr>
        <w:t>New York City Mechanical Code</w:t>
      </w:r>
      <w:r w:rsidRPr="001B7F77">
        <w:rPr>
          <w:rFonts w:eastAsia="Times"/>
          <w:szCs w:val="24"/>
          <w:u w:val="single"/>
        </w:rPr>
        <w:t xml:space="preserve">. The newly installed tanks shall have a UL listing, be labeled, or meet the alternative tank design and construction standards contained in Section 1305.14 of the </w:t>
      </w:r>
      <w:r w:rsidRPr="001B7F77">
        <w:rPr>
          <w:rFonts w:eastAsia="Times"/>
          <w:i/>
          <w:iCs/>
          <w:szCs w:val="24"/>
          <w:u w:val="single"/>
        </w:rPr>
        <w:t>New York City Mechanical Code</w:t>
      </w:r>
      <w:r w:rsidRPr="001B7F77">
        <w:rPr>
          <w:rFonts w:eastAsia="Times"/>
          <w:szCs w:val="24"/>
          <w:u w:val="single"/>
        </w:rPr>
        <w:t>.</w:t>
      </w:r>
    </w:p>
    <w:p w14:paraId="0B734E9C" w14:textId="77777777" w:rsidR="001B7F77" w:rsidRPr="001B7F77" w:rsidRDefault="001B7F77" w:rsidP="001B7F77">
      <w:pPr>
        <w:tabs>
          <w:tab w:val="left" w:pos="360"/>
        </w:tabs>
        <w:spacing w:before="120"/>
        <w:ind w:left="360"/>
        <w:rPr>
          <w:rFonts w:eastAsia="Times"/>
          <w:color w:val="000000"/>
          <w:szCs w:val="24"/>
          <w:u w:val="single"/>
        </w:rPr>
      </w:pPr>
      <w:r w:rsidRPr="001B7F77">
        <w:rPr>
          <w:rFonts w:eastAsia="Calibri" w:cs="Arial"/>
          <w:b/>
          <w:color w:val="000000"/>
          <w:szCs w:val="24"/>
          <w:u w:val="single"/>
        </w:rPr>
        <w:t>503.2.2 Category 2</w:t>
      </w:r>
      <w:r w:rsidRPr="001B7F77">
        <w:rPr>
          <w:rFonts w:eastAsia="Calibri" w:cs="Arial"/>
          <w:color w:val="000000"/>
          <w:szCs w:val="24"/>
          <w:u w:val="single"/>
        </w:rPr>
        <w:t>. An alteration, repair, replacement or removal of existing oil-burning appliances, piping, and equipment that is not subject to cost or duration limitations and that is limited to the following:</w:t>
      </w:r>
    </w:p>
    <w:p w14:paraId="619B7AEE" w14:textId="77777777" w:rsidR="001B7F77" w:rsidRPr="001B7F77" w:rsidRDefault="001B7F77" w:rsidP="001B7F77">
      <w:pPr>
        <w:widowControl w:val="0"/>
        <w:pBdr>
          <w:top w:val="nil"/>
          <w:left w:val="nil"/>
          <w:bottom w:val="nil"/>
          <w:right w:val="nil"/>
          <w:between w:val="nil"/>
        </w:pBdr>
        <w:tabs>
          <w:tab w:val="left" w:pos="720"/>
          <w:tab w:val="left" w:pos="1080"/>
        </w:tabs>
        <w:autoSpaceDE w:val="0"/>
        <w:autoSpaceDN w:val="0"/>
        <w:adjustRightInd w:val="0"/>
        <w:spacing w:before="120"/>
        <w:ind w:left="1080" w:hanging="360"/>
        <w:rPr>
          <w:rFonts w:eastAsia="Arial"/>
          <w:szCs w:val="24"/>
          <w:u w:val="single"/>
        </w:rPr>
      </w:pPr>
      <w:r w:rsidRPr="001B7F77">
        <w:rPr>
          <w:rFonts w:eastAsia="Arial"/>
          <w:szCs w:val="24"/>
          <w:u w:val="single"/>
        </w:rPr>
        <w:t>1.</w:t>
      </w:r>
      <w:r w:rsidRPr="001B7F77">
        <w:rPr>
          <w:rFonts w:eastAsia="Arial"/>
          <w:szCs w:val="24"/>
          <w:u w:val="single"/>
        </w:rPr>
        <w:tab/>
        <w:t>Replacement of oil burners, oil-burning appliances or water heaters in which the heat input per appliance does not exceed 3 million Btu/h (879 kW).</w:t>
      </w:r>
    </w:p>
    <w:p w14:paraId="24C7E882" w14:textId="77777777" w:rsidR="001B7F77" w:rsidRPr="001B7F77" w:rsidRDefault="001B7F77" w:rsidP="001B7F77">
      <w:pPr>
        <w:widowControl w:val="0"/>
        <w:pBdr>
          <w:top w:val="nil"/>
          <w:left w:val="nil"/>
          <w:bottom w:val="nil"/>
          <w:right w:val="nil"/>
          <w:between w:val="nil"/>
        </w:pBdr>
        <w:tabs>
          <w:tab w:val="left" w:pos="720"/>
          <w:tab w:val="left" w:pos="1080"/>
        </w:tabs>
        <w:autoSpaceDE w:val="0"/>
        <w:autoSpaceDN w:val="0"/>
        <w:adjustRightInd w:val="0"/>
        <w:spacing w:before="120"/>
        <w:ind w:left="1080" w:hanging="360"/>
        <w:rPr>
          <w:rFonts w:eastAsia="Arial"/>
          <w:szCs w:val="24"/>
          <w:u w:val="single"/>
        </w:rPr>
      </w:pPr>
      <w:r w:rsidRPr="001B7F77">
        <w:rPr>
          <w:rFonts w:eastAsia="Arial"/>
          <w:szCs w:val="24"/>
          <w:u w:val="single"/>
        </w:rPr>
        <w:t>2.</w:t>
      </w:r>
      <w:r w:rsidRPr="001B7F77">
        <w:rPr>
          <w:rFonts w:eastAsia="Arial"/>
          <w:szCs w:val="24"/>
          <w:u w:val="single"/>
        </w:rPr>
        <w:tab/>
        <w:t>Relocation of an oil burner, oil-burning appliance or water heater within the same enclosure or room.</w:t>
      </w:r>
    </w:p>
    <w:p w14:paraId="242F9A38" w14:textId="77777777" w:rsidR="001B7F77" w:rsidRPr="001B7F77" w:rsidRDefault="001B7F77" w:rsidP="001B7F77">
      <w:pPr>
        <w:widowControl w:val="0"/>
        <w:pBdr>
          <w:top w:val="nil"/>
          <w:left w:val="nil"/>
          <w:bottom w:val="nil"/>
          <w:right w:val="nil"/>
          <w:between w:val="nil"/>
        </w:pBdr>
        <w:tabs>
          <w:tab w:val="left" w:pos="720"/>
          <w:tab w:val="left" w:pos="1080"/>
        </w:tabs>
        <w:autoSpaceDE w:val="0"/>
        <w:autoSpaceDN w:val="0"/>
        <w:adjustRightInd w:val="0"/>
        <w:spacing w:before="120"/>
        <w:ind w:left="1080" w:hanging="360"/>
        <w:rPr>
          <w:rFonts w:eastAsia="Arial"/>
          <w:szCs w:val="24"/>
          <w:u w:val="single"/>
        </w:rPr>
      </w:pPr>
      <w:r w:rsidRPr="001B7F77">
        <w:rPr>
          <w:rFonts w:eastAsia="Arial"/>
          <w:szCs w:val="24"/>
          <w:u w:val="single"/>
        </w:rPr>
        <w:t>3.</w:t>
      </w:r>
      <w:r w:rsidRPr="001B7F77">
        <w:rPr>
          <w:rFonts w:eastAsia="Arial"/>
          <w:szCs w:val="24"/>
          <w:u w:val="single"/>
        </w:rPr>
        <w:tab/>
        <w:t>Placement of a temporary Department of Buildings registered oil-fired mobile boiler and corresponding fuel oil storage tank with associated piping at a site for emergency heating.</w:t>
      </w:r>
    </w:p>
    <w:p w14:paraId="513C2BC3" w14:textId="77777777" w:rsidR="001B7F77" w:rsidRPr="001B7F77" w:rsidRDefault="001B7F77" w:rsidP="001B7F77">
      <w:pPr>
        <w:widowControl w:val="0"/>
        <w:pBdr>
          <w:top w:val="nil"/>
          <w:left w:val="nil"/>
          <w:bottom w:val="nil"/>
          <w:right w:val="nil"/>
          <w:between w:val="nil"/>
        </w:pBdr>
        <w:tabs>
          <w:tab w:val="left" w:pos="720"/>
          <w:tab w:val="left" w:pos="1080"/>
        </w:tabs>
        <w:autoSpaceDE w:val="0"/>
        <w:autoSpaceDN w:val="0"/>
        <w:adjustRightInd w:val="0"/>
        <w:spacing w:before="120"/>
        <w:ind w:left="1080" w:hanging="360"/>
        <w:rPr>
          <w:rFonts w:eastAsia="Arial"/>
          <w:szCs w:val="24"/>
          <w:u w:val="single"/>
        </w:rPr>
      </w:pPr>
      <w:r w:rsidRPr="001B7F77">
        <w:rPr>
          <w:rFonts w:eastAsia="Arial"/>
          <w:szCs w:val="24"/>
          <w:u w:val="single"/>
        </w:rPr>
        <w:t>4.</w:t>
      </w:r>
      <w:r w:rsidRPr="001B7F77">
        <w:rPr>
          <w:rFonts w:eastAsia="Arial"/>
          <w:szCs w:val="24"/>
          <w:u w:val="single"/>
        </w:rPr>
        <w:tab/>
        <w:t>Placement of a temporary fuel oil storage tank with a capacity of 5,000 gallons (18 927 L) or less at a site for emergency use and connected to an existing oil-burning appliance.</w:t>
      </w:r>
    </w:p>
    <w:p w14:paraId="0C67B461" w14:textId="77777777" w:rsidR="001B7F77" w:rsidRPr="001B7F77" w:rsidRDefault="001B7F77" w:rsidP="001B7F77">
      <w:pPr>
        <w:widowControl w:val="0"/>
        <w:pBdr>
          <w:top w:val="nil"/>
          <w:left w:val="nil"/>
          <w:bottom w:val="nil"/>
          <w:right w:val="nil"/>
          <w:between w:val="nil"/>
        </w:pBdr>
        <w:tabs>
          <w:tab w:val="left" w:pos="720"/>
          <w:tab w:val="left" w:pos="1080"/>
        </w:tabs>
        <w:autoSpaceDE w:val="0"/>
        <w:autoSpaceDN w:val="0"/>
        <w:adjustRightInd w:val="0"/>
        <w:spacing w:before="120"/>
        <w:ind w:left="1080" w:hanging="360"/>
        <w:rPr>
          <w:rFonts w:eastAsia="Arial"/>
          <w:szCs w:val="24"/>
          <w:u w:val="single"/>
        </w:rPr>
      </w:pPr>
      <w:r w:rsidRPr="001B7F77">
        <w:rPr>
          <w:rFonts w:eastAsia="Arial"/>
          <w:szCs w:val="24"/>
          <w:u w:val="single"/>
        </w:rPr>
        <w:t>5.</w:t>
      </w:r>
      <w:r w:rsidRPr="001B7F77">
        <w:rPr>
          <w:rFonts w:eastAsia="Arial"/>
          <w:szCs w:val="24"/>
          <w:u w:val="single"/>
        </w:rPr>
        <w:tab/>
        <w:t xml:space="preserve">Repair, replacement or relocation of oil equipment, appliances or oil piping including no more than two above-ground oil tanks, each with a capacity of no more than 330 gallons (1249 L) provided such oil tanks also comply with the capacity limitations of Section 1305.11 of the </w:t>
      </w:r>
      <w:r w:rsidRPr="001B7F77">
        <w:rPr>
          <w:rFonts w:eastAsia="Arial"/>
          <w:i/>
          <w:iCs/>
          <w:szCs w:val="24"/>
          <w:u w:val="single"/>
        </w:rPr>
        <w:t>New York City Mechanical Code</w:t>
      </w:r>
      <w:r w:rsidRPr="001B7F77">
        <w:rPr>
          <w:rFonts w:eastAsia="Arial"/>
          <w:szCs w:val="24"/>
          <w:u w:val="single"/>
        </w:rPr>
        <w:t xml:space="preserve">. The replacement tanks shall have a UL listing or labeling or meet the alternative tank design and construction standards contained in Section 1305.14 of the </w:t>
      </w:r>
      <w:r w:rsidRPr="001B7F77">
        <w:rPr>
          <w:rFonts w:eastAsia="Arial"/>
          <w:i/>
          <w:iCs/>
          <w:szCs w:val="24"/>
          <w:u w:val="single"/>
        </w:rPr>
        <w:t>New York City Mechanical Code</w:t>
      </w:r>
      <w:r w:rsidRPr="001B7F77">
        <w:rPr>
          <w:rFonts w:eastAsia="Arial"/>
          <w:szCs w:val="24"/>
          <w:u w:val="single"/>
        </w:rPr>
        <w:t>. Any such relocation shall be only within the same enclosure or room.</w:t>
      </w:r>
    </w:p>
    <w:p w14:paraId="017FAD3B" w14:textId="77777777" w:rsidR="001B7F77" w:rsidRPr="001B7F77" w:rsidRDefault="001B7F77" w:rsidP="001B7F77">
      <w:pPr>
        <w:widowControl w:val="0"/>
        <w:pBdr>
          <w:top w:val="nil"/>
          <w:left w:val="nil"/>
          <w:bottom w:val="nil"/>
          <w:right w:val="nil"/>
          <w:between w:val="nil"/>
        </w:pBdr>
        <w:tabs>
          <w:tab w:val="left" w:pos="720"/>
          <w:tab w:val="left" w:pos="1080"/>
        </w:tabs>
        <w:autoSpaceDE w:val="0"/>
        <w:autoSpaceDN w:val="0"/>
        <w:adjustRightInd w:val="0"/>
        <w:spacing w:before="120"/>
        <w:ind w:left="1080" w:hanging="360"/>
        <w:rPr>
          <w:rFonts w:eastAsia="Arial"/>
          <w:szCs w:val="24"/>
          <w:u w:val="single"/>
        </w:rPr>
      </w:pPr>
      <w:r w:rsidRPr="001B7F77">
        <w:rPr>
          <w:rFonts w:eastAsia="Arial"/>
          <w:szCs w:val="24"/>
          <w:u w:val="single"/>
        </w:rPr>
        <w:t>6.</w:t>
      </w:r>
      <w:r w:rsidRPr="001B7F77">
        <w:rPr>
          <w:rFonts w:eastAsia="Arial"/>
          <w:szCs w:val="24"/>
          <w:u w:val="single"/>
        </w:rPr>
        <w:tab/>
        <w:t>The change of grade of fuel oil.</w:t>
      </w:r>
    </w:p>
    <w:p w14:paraId="1A25688F" w14:textId="77777777" w:rsidR="001B7F77" w:rsidRPr="001B7F77" w:rsidRDefault="001B7F77" w:rsidP="001B7F77">
      <w:pPr>
        <w:suppressAutoHyphens/>
        <w:spacing w:before="120"/>
        <w:jc w:val="center"/>
        <w:outlineLvl w:val="0"/>
        <w:rPr>
          <w:rFonts w:eastAsia="Helvetica Neue"/>
          <w:b/>
          <w:u w:val="single"/>
        </w:rPr>
      </w:pPr>
      <w:bookmarkStart w:id="125" w:name="_Hlk77680821"/>
    </w:p>
    <w:p w14:paraId="2828EB4D" w14:textId="77777777" w:rsidR="001B7F77" w:rsidRPr="001B7F77" w:rsidRDefault="001B7F77" w:rsidP="001B7F77">
      <w:pPr>
        <w:suppressAutoHyphens/>
        <w:spacing w:before="120"/>
        <w:jc w:val="center"/>
        <w:outlineLvl w:val="0"/>
        <w:rPr>
          <w:rFonts w:eastAsia="Helvetica Neue"/>
          <w:b/>
          <w:u w:val="single"/>
        </w:rPr>
      </w:pPr>
      <w:r w:rsidRPr="001B7F77">
        <w:rPr>
          <w:rFonts w:eastAsia="Helvetica Neue"/>
          <w:b/>
          <w:u w:val="single"/>
        </w:rPr>
        <w:t>SECTION EBC 504</w:t>
      </w:r>
      <w:r w:rsidRPr="001B7F77">
        <w:rPr>
          <w:rFonts w:eastAsia="Helvetica Neue"/>
          <w:b/>
          <w:u w:val="single"/>
        </w:rPr>
        <w:br/>
        <w:t>LIMITED PLUMBING ALTERATIONS</w:t>
      </w:r>
    </w:p>
    <w:p w14:paraId="44D7B48A" w14:textId="77777777" w:rsidR="001B7F77" w:rsidRPr="001B7F77" w:rsidRDefault="001B7F77" w:rsidP="001B7F77">
      <w:pPr>
        <w:spacing w:before="120"/>
        <w:jc w:val="left"/>
        <w:rPr>
          <w:rFonts w:eastAsia="Calibri" w:cs="Arial"/>
          <w:color w:val="000000"/>
          <w:szCs w:val="24"/>
          <w:u w:val="single"/>
        </w:rPr>
      </w:pPr>
      <w:r w:rsidRPr="001B7F77">
        <w:rPr>
          <w:rFonts w:eastAsia="Calibri" w:cs="Arial"/>
          <w:b/>
          <w:color w:val="000000"/>
          <w:szCs w:val="24"/>
          <w:u w:val="single"/>
        </w:rPr>
        <w:t xml:space="preserve">504.1 Filing. </w:t>
      </w:r>
      <w:r w:rsidRPr="001B7F77">
        <w:rPr>
          <w:rFonts w:eastAsia="Calibri" w:cs="Arial"/>
          <w:color w:val="000000"/>
          <w:szCs w:val="24"/>
          <w:u w:val="single"/>
        </w:rPr>
        <w:t xml:space="preserve">Limited alterations made to a plumbing, fire suppression or fuel gas piping system or service shall be filed and performed by a licensed master plumber meeting the requirements of Article 408 of Title 28 of the </w:t>
      </w:r>
      <w:r w:rsidRPr="001B7F77">
        <w:rPr>
          <w:rFonts w:eastAsia="Calibri" w:cs="Arial"/>
          <w:i/>
          <w:color w:val="000000"/>
          <w:szCs w:val="24"/>
          <w:u w:val="single"/>
        </w:rPr>
        <w:t>Administrative Code</w:t>
      </w:r>
      <w:r w:rsidRPr="001B7F77">
        <w:rPr>
          <w:rFonts w:eastAsia="Calibri" w:cs="Arial"/>
          <w:color w:val="000000"/>
          <w:szCs w:val="24"/>
          <w:u w:val="single"/>
        </w:rPr>
        <w:t>.</w:t>
      </w:r>
    </w:p>
    <w:p w14:paraId="2235DFE0" w14:textId="77777777" w:rsidR="001B7F77" w:rsidRPr="001B7F77" w:rsidRDefault="001B7F77" w:rsidP="001B7F77">
      <w:pPr>
        <w:spacing w:before="120"/>
        <w:jc w:val="left"/>
        <w:rPr>
          <w:rFonts w:eastAsia="Calibri" w:cs="Arial"/>
          <w:color w:val="000000"/>
          <w:szCs w:val="24"/>
          <w:u w:val="single"/>
        </w:rPr>
      </w:pPr>
      <w:r w:rsidRPr="001B7F77">
        <w:rPr>
          <w:rFonts w:eastAsia="Calibri" w:cs="Arial"/>
          <w:b/>
          <w:color w:val="000000"/>
          <w:szCs w:val="24"/>
          <w:u w:val="single"/>
        </w:rPr>
        <w:t xml:space="preserve">504.2 Categories of work. </w:t>
      </w:r>
      <w:r w:rsidRPr="001B7F77">
        <w:rPr>
          <w:rFonts w:eastAsia="Calibri" w:cs="Arial"/>
          <w:color w:val="000000"/>
          <w:szCs w:val="24"/>
          <w:u w:val="single"/>
        </w:rPr>
        <w:t>Limited plumbing alterations shall be limited to the types of work set forth in Sections 504.2.1 and 504.2.2.</w:t>
      </w:r>
      <w:r w:rsidRPr="001B7F77">
        <w:rPr>
          <w:rFonts w:eastAsia="Calibri" w:cs="Arial"/>
          <w:b/>
          <w:color w:val="000000"/>
          <w:szCs w:val="24"/>
          <w:u w:val="single"/>
        </w:rPr>
        <w:t xml:space="preserve"> </w:t>
      </w:r>
    </w:p>
    <w:p w14:paraId="07DA45FB" w14:textId="77777777" w:rsidR="001B7F77" w:rsidRPr="001B7F77" w:rsidRDefault="001B7F77" w:rsidP="001B7F77">
      <w:pPr>
        <w:tabs>
          <w:tab w:val="left" w:pos="360"/>
        </w:tabs>
        <w:spacing w:before="120"/>
        <w:ind w:left="360"/>
        <w:rPr>
          <w:rFonts w:eastAsia="Calibri" w:cs="Arial"/>
          <w:color w:val="000000"/>
          <w:szCs w:val="24"/>
          <w:u w:val="single"/>
        </w:rPr>
      </w:pPr>
      <w:r w:rsidRPr="001B7F77">
        <w:rPr>
          <w:rFonts w:eastAsia="Calibri" w:cs="Arial"/>
          <w:b/>
          <w:color w:val="000000"/>
          <w:szCs w:val="24"/>
          <w:u w:val="single"/>
        </w:rPr>
        <w:t>504.2.1 Category 1</w:t>
      </w:r>
      <w:r w:rsidRPr="001B7F77">
        <w:rPr>
          <w:rFonts w:eastAsia="Calibri" w:cs="Arial"/>
          <w:color w:val="000000"/>
          <w:szCs w:val="24"/>
          <w:u w:val="single"/>
        </w:rPr>
        <w:t>. An addition to an existing plumbing or fuel gas piping system or service where the total cost of the proposed Category 1 work in the building does not exceed fifty thousand dollars in any 12-month period and where the proposed work is limited to the following:</w:t>
      </w:r>
    </w:p>
    <w:p w14:paraId="5BBB6B19" w14:textId="77777777" w:rsidR="001B7F77" w:rsidRPr="001B7F77" w:rsidRDefault="001B7F77" w:rsidP="001B7F77">
      <w:pPr>
        <w:widowControl w:val="0"/>
        <w:pBdr>
          <w:top w:val="nil"/>
          <w:left w:val="nil"/>
          <w:bottom w:val="nil"/>
          <w:right w:val="nil"/>
          <w:between w:val="nil"/>
        </w:pBdr>
        <w:tabs>
          <w:tab w:val="left" w:pos="720"/>
          <w:tab w:val="left" w:pos="1080"/>
        </w:tabs>
        <w:autoSpaceDE w:val="0"/>
        <w:autoSpaceDN w:val="0"/>
        <w:adjustRightInd w:val="0"/>
        <w:spacing w:before="120"/>
        <w:ind w:left="1080" w:hanging="360"/>
        <w:rPr>
          <w:rFonts w:eastAsia="Times"/>
          <w:szCs w:val="24"/>
          <w:u w:val="single"/>
        </w:rPr>
      </w:pPr>
      <w:r w:rsidRPr="001B7F77">
        <w:rPr>
          <w:rFonts w:eastAsia="Arial"/>
          <w:szCs w:val="24"/>
          <w:u w:val="single"/>
        </w:rPr>
        <w:t>1.</w:t>
      </w:r>
      <w:r w:rsidRPr="001B7F77">
        <w:rPr>
          <w:rFonts w:eastAsia="Arial"/>
          <w:szCs w:val="24"/>
          <w:u w:val="single"/>
        </w:rPr>
        <w:tab/>
        <w:t>The addition of not more than ten plumbing fixtures or fixture connections in a building within any 12-month period, including any associated plumbing necessary to serve such additional fixtures or fixture connections. The installation of the new fixtures shall be in compliance with Section 310.7 and not cause an existing system to become overloaded. If required, additional permits for construction shall be obtained in accordance with Section 105;</w:t>
      </w:r>
    </w:p>
    <w:p w14:paraId="400891C6" w14:textId="77777777" w:rsidR="001B7F77" w:rsidRPr="001B7F77" w:rsidRDefault="001B7F77" w:rsidP="001B7F77">
      <w:pPr>
        <w:widowControl w:val="0"/>
        <w:pBdr>
          <w:top w:val="nil"/>
          <w:left w:val="nil"/>
          <w:bottom w:val="nil"/>
          <w:right w:val="nil"/>
          <w:between w:val="nil"/>
        </w:pBdr>
        <w:tabs>
          <w:tab w:val="left" w:pos="720"/>
          <w:tab w:val="left" w:pos="1080"/>
        </w:tabs>
        <w:autoSpaceDE w:val="0"/>
        <w:autoSpaceDN w:val="0"/>
        <w:adjustRightInd w:val="0"/>
        <w:spacing w:before="120"/>
        <w:ind w:left="1080" w:hanging="360"/>
        <w:rPr>
          <w:rFonts w:eastAsia="Times"/>
          <w:szCs w:val="24"/>
          <w:u w:val="single"/>
        </w:rPr>
      </w:pPr>
      <w:r w:rsidRPr="001B7F77">
        <w:rPr>
          <w:rFonts w:eastAsia="Times"/>
          <w:szCs w:val="24"/>
          <w:u w:val="single"/>
        </w:rPr>
        <w:t>2.</w:t>
      </w:r>
      <w:r w:rsidRPr="001B7F77">
        <w:rPr>
          <w:rFonts w:eastAsia="Times"/>
          <w:szCs w:val="24"/>
          <w:u w:val="single"/>
        </w:rPr>
        <w:tab/>
        <w:t xml:space="preserve">The installation of new fuel gas piping in conjunction with the addition of not more than </w:t>
      </w:r>
      <w:r w:rsidRPr="001B7F77">
        <w:rPr>
          <w:rFonts w:eastAsia="TimesNewRoman"/>
          <w:szCs w:val="24"/>
          <w:u w:val="single"/>
        </w:rPr>
        <w:t>six unit heaters or six infrared heaters;</w:t>
      </w:r>
    </w:p>
    <w:p w14:paraId="23CD1DCA" w14:textId="77777777" w:rsidR="001B7F77" w:rsidRPr="001B7F77" w:rsidRDefault="001B7F77" w:rsidP="001B7F77">
      <w:pPr>
        <w:widowControl w:val="0"/>
        <w:pBdr>
          <w:top w:val="nil"/>
          <w:left w:val="nil"/>
          <w:bottom w:val="nil"/>
          <w:right w:val="nil"/>
          <w:between w:val="nil"/>
        </w:pBdr>
        <w:tabs>
          <w:tab w:val="left" w:pos="720"/>
          <w:tab w:val="left" w:pos="1080"/>
        </w:tabs>
        <w:autoSpaceDE w:val="0"/>
        <w:autoSpaceDN w:val="0"/>
        <w:adjustRightInd w:val="0"/>
        <w:spacing w:before="120"/>
        <w:ind w:left="1080" w:hanging="360"/>
        <w:rPr>
          <w:rFonts w:eastAsia="TimesNewRoman"/>
          <w:szCs w:val="24"/>
          <w:u w:val="single"/>
        </w:rPr>
      </w:pPr>
      <w:r w:rsidRPr="001B7F77">
        <w:rPr>
          <w:rFonts w:eastAsia="TimesNewRoman"/>
          <w:szCs w:val="24"/>
          <w:u w:val="single"/>
        </w:rPr>
        <w:t>3.</w:t>
      </w:r>
      <w:r w:rsidRPr="001B7F77">
        <w:rPr>
          <w:rFonts w:eastAsia="TimesNewRoman"/>
          <w:szCs w:val="24"/>
          <w:u w:val="single"/>
        </w:rPr>
        <w:tab/>
        <w:t xml:space="preserve">The installation of new fuel gas piping in </w:t>
      </w:r>
      <w:r w:rsidRPr="001B7F77">
        <w:rPr>
          <w:rFonts w:eastAsia="Times"/>
          <w:szCs w:val="24"/>
          <w:u w:val="single"/>
        </w:rPr>
        <w:t>conjunction</w:t>
      </w:r>
      <w:r w:rsidRPr="001B7F77">
        <w:rPr>
          <w:rFonts w:eastAsia="TimesNewRoman"/>
          <w:szCs w:val="24"/>
          <w:u w:val="single"/>
        </w:rPr>
        <w:t xml:space="preserve"> with the addition of gas appliances, when limited to:</w:t>
      </w:r>
    </w:p>
    <w:p w14:paraId="0EFCA574" w14:textId="77777777" w:rsidR="001B7F77" w:rsidRPr="001B7F77" w:rsidRDefault="001B7F77" w:rsidP="001B7F77">
      <w:pPr>
        <w:widowControl w:val="0"/>
        <w:suppressAutoHyphens/>
        <w:spacing w:before="120"/>
        <w:ind w:left="1980" w:hanging="540"/>
        <w:rPr>
          <w:rFonts w:eastAsia="TimesNewRoman"/>
          <w:szCs w:val="24"/>
          <w:u w:val="single"/>
        </w:rPr>
      </w:pPr>
      <w:r w:rsidRPr="001B7F77">
        <w:rPr>
          <w:rFonts w:eastAsia="TimesNewRoman"/>
          <w:szCs w:val="24"/>
          <w:u w:val="single"/>
        </w:rPr>
        <w:t>3.1.</w:t>
      </w:r>
      <w:r w:rsidRPr="001B7F77">
        <w:rPr>
          <w:rFonts w:eastAsia="TimesNewRoman"/>
          <w:szCs w:val="24"/>
          <w:u w:val="single"/>
        </w:rPr>
        <w:tab/>
        <w:t>Two Category 1 vented water heaters;</w:t>
      </w:r>
    </w:p>
    <w:p w14:paraId="0D64092B" w14:textId="77777777" w:rsidR="001B7F77" w:rsidRPr="001B7F77" w:rsidRDefault="001B7F77" w:rsidP="001B7F77">
      <w:pPr>
        <w:widowControl w:val="0"/>
        <w:suppressAutoHyphens/>
        <w:spacing w:before="120"/>
        <w:ind w:left="1980" w:hanging="540"/>
        <w:rPr>
          <w:rFonts w:eastAsia="TimesNewRoman"/>
          <w:szCs w:val="24"/>
          <w:u w:val="single"/>
        </w:rPr>
      </w:pPr>
      <w:r w:rsidRPr="001B7F77">
        <w:rPr>
          <w:rFonts w:eastAsia="TimesNewRoman"/>
          <w:szCs w:val="24"/>
          <w:u w:val="single"/>
        </w:rPr>
        <w:t>3.2.</w:t>
      </w:r>
      <w:r w:rsidRPr="001B7F77">
        <w:rPr>
          <w:rFonts w:eastAsia="TimesNewRoman"/>
          <w:szCs w:val="24"/>
          <w:u w:val="single"/>
        </w:rPr>
        <w:tab/>
        <w:t>Gas pilots;</w:t>
      </w:r>
    </w:p>
    <w:p w14:paraId="51C068AC" w14:textId="77777777" w:rsidR="001B7F77" w:rsidRPr="001B7F77" w:rsidRDefault="001B7F77" w:rsidP="001B7F77">
      <w:pPr>
        <w:widowControl w:val="0"/>
        <w:suppressAutoHyphens/>
        <w:spacing w:before="120"/>
        <w:ind w:left="1980" w:hanging="540"/>
        <w:rPr>
          <w:rFonts w:eastAsia="TimesNewRoman"/>
          <w:szCs w:val="24"/>
          <w:u w:val="single"/>
        </w:rPr>
      </w:pPr>
      <w:r w:rsidRPr="001B7F77">
        <w:rPr>
          <w:rFonts w:eastAsia="TimesNewRoman"/>
          <w:szCs w:val="24"/>
          <w:u w:val="single"/>
        </w:rPr>
        <w:t>3.3.</w:t>
      </w:r>
      <w:r w:rsidRPr="001B7F77">
        <w:rPr>
          <w:szCs w:val="24"/>
        </w:rPr>
        <w:tab/>
      </w:r>
      <w:r w:rsidRPr="001B7F77">
        <w:rPr>
          <w:rFonts w:eastAsia="TimesNewRoman"/>
          <w:szCs w:val="24"/>
          <w:u w:val="single"/>
        </w:rPr>
        <w:t>One gas barbecue in conjunction with an R-3 occupancy group; or</w:t>
      </w:r>
    </w:p>
    <w:p w14:paraId="5D7C7536" w14:textId="77777777" w:rsidR="001B7F77" w:rsidRPr="001B7F77" w:rsidRDefault="001B7F77" w:rsidP="001B7F77">
      <w:pPr>
        <w:widowControl w:val="0"/>
        <w:suppressAutoHyphens/>
        <w:spacing w:before="120"/>
        <w:ind w:left="1980" w:hanging="540"/>
        <w:rPr>
          <w:rFonts w:eastAsia="TimesNewRoman"/>
          <w:szCs w:val="24"/>
          <w:u w:val="single"/>
        </w:rPr>
      </w:pPr>
      <w:r w:rsidRPr="001B7F77">
        <w:rPr>
          <w:rFonts w:eastAsia="TimesNewRoman"/>
          <w:szCs w:val="24"/>
          <w:u w:val="single"/>
        </w:rPr>
        <w:t>3.4.</w:t>
      </w:r>
      <w:r w:rsidRPr="001B7F77">
        <w:rPr>
          <w:rFonts w:eastAsia="TimesNewRoman"/>
          <w:szCs w:val="24"/>
          <w:u w:val="single"/>
        </w:rPr>
        <w:tab/>
        <w:t>One pool heater in conjunction with an R-3 occupancy group;</w:t>
      </w:r>
    </w:p>
    <w:p w14:paraId="0AA97395" w14:textId="77777777" w:rsidR="001B7F77" w:rsidRPr="001B7F77" w:rsidRDefault="001B7F77" w:rsidP="001B7F77">
      <w:pPr>
        <w:widowControl w:val="0"/>
        <w:pBdr>
          <w:top w:val="nil"/>
          <w:left w:val="nil"/>
          <w:bottom w:val="nil"/>
          <w:right w:val="nil"/>
          <w:between w:val="nil"/>
        </w:pBdr>
        <w:tabs>
          <w:tab w:val="left" w:pos="720"/>
          <w:tab w:val="left" w:pos="1080"/>
        </w:tabs>
        <w:autoSpaceDE w:val="0"/>
        <w:autoSpaceDN w:val="0"/>
        <w:adjustRightInd w:val="0"/>
        <w:spacing w:before="120"/>
        <w:ind w:left="1080" w:hanging="360"/>
        <w:rPr>
          <w:rFonts w:eastAsia="TimesNewRoman"/>
          <w:szCs w:val="24"/>
          <w:u w:val="single"/>
        </w:rPr>
      </w:pPr>
      <w:r w:rsidRPr="001B7F77">
        <w:rPr>
          <w:rFonts w:eastAsia="TimesNewRoman"/>
          <w:szCs w:val="24"/>
          <w:u w:val="single"/>
        </w:rPr>
        <w:t>4.</w:t>
      </w:r>
      <w:r w:rsidRPr="001B7F77">
        <w:rPr>
          <w:rFonts w:eastAsia="TimesNewRoman"/>
          <w:szCs w:val="24"/>
          <w:u w:val="single"/>
        </w:rPr>
        <w:tab/>
        <w:t xml:space="preserve">The installation of new </w:t>
      </w:r>
      <w:r w:rsidRPr="001B7F77">
        <w:rPr>
          <w:rFonts w:eastAsia="Times"/>
          <w:szCs w:val="24"/>
          <w:u w:val="single"/>
        </w:rPr>
        <w:t>fuel</w:t>
      </w:r>
      <w:r w:rsidRPr="001B7F77">
        <w:rPr>
          <w:rFonts w:eastAsia="TimesNewRoman"/>
          <w:szCs w:val="24"/>
          <w:u w:val="single"/>
        </w:rPr>
        <w:t xml:space="preserve"> gas piping to supply a lawfully existing appliance; </w:t>
      </w:r>
    </w:p>
    <w:p w14:paraId="21C3E23D" w14:textId="77777777" w:rsidR="001B7F77" w:rsidRPr="001B7F77" w:rsidRDefault="001B7F77" w:rsidP="001B7F77">
      <w:pPr>
        <w:widowControl w:val="0"/>
        <w:pBdr>
          <w:top w:val="nil"/>
          <w:left w:val="nil"/>
          <w:bottom w:val="nil"/>
          <w:right w:val="nil"/>
          <w:between w:val="nil"/>
        </w:pBdr>
        <w:tabs>
          <w:tab w:val="left" w:pos="720"/>
          <w:tab w:val="left" w:pos="1080"/>
        </w:tabs>
        <w:autoSpaceDE w:val="0"/>
        <w:autoSpaceDN w:val="0"/>
        <w:adjustRightInd w:val="0"/>
        <w:spacing w:before="120"/>
        <w:ind w:left="1080" w:hanging="360"/>
        <w:rPr>
          <w:rFonts w:eastAsia="Times"/>
          <w:szCs w:val="24"/>
          <w:u w:val="single"/>
        </w:rPr>
      </w:pPr>
      <w:r w:rsidRPr="001B7F77">
        <w:rPr>
          <w:rFonts w:eastAsia="Times"/>
          <w:szCs w:val="24"/>
          <w:u w:val="single"/>
        </w:rPr>
        <w:t>5.</w:t>
      </w:r>
      <w:r w:rsidRPr="001B7F77">
        <w:rPr>
          <w:rFonts w:eastAsia="Times"/>
          <w:szCs w:val="24"/>
          <w:u w:val="single"/>
        </w:rPr>
        <w:tab/>
        <w:t>The installation of up to five new sprinkler heads supplied by an existing domestic water system within any 12-month period;</w:t>
      </w:r>
    </w:p>
    <w:p w14:paraId="72CB0018" w14:textId="77777777" w:rsidR="001B7F77" w:rsidRPr="001B7F77" w:rsidRDefault="001B7F77" w:rsidP="001B7F77">
      <w:pPr>
        <w:widowControl w:val="0"/>
        <w:pBdr>
          <w:top w:val="nil"/>
          <w:left w:val="nil"/>
          <w:bottom w:val="nil"/>
          <w:right w:val="nil"/>
          <w:between w:val="nil"/>
        </w:pBdr>
        <w:tabs>
          <w:tab w:val="left" w:pos="720"/>
          <w:tab w:val="left" w:pos="1080"/>
        </w:tabs>
        <w:autoSpaceDE w:val="0"/>
        <w:autoSpaceDN w:val="0"/>
        <w:adjustRightInd w:val="0"/>
        <w:spacing w:before="120"/>
        <w:ind w:left="1080" w:hanging="360"/>
        <w:rPr>
          <w:rFonts w:eastAsia="Times"/>
          <w:szCs w:val="24"/>
          <w:u w:val="single"/>
        </w:rPr>
      </w:pPr>
      <w:r w:rsidRPr="001B7F77">
        <w:rPr>
          <w:rFonts w:eastAsia="Times"/>
          <w:szCs w:val="24"/>
          <w:u w:val="single"/>
        </w:rPr>
        <w:t>6.</w:t>
      </w:r>
      <w:r w:rsidRPr="001B7F77">
        <w:rPr>
          <w:rFonts w:eastAsia="Times"/>
          <w:szCs w:val="24"/>
          <w:u w:val="single"/>
        </w:rPr>
        <w:tab/>
        <w:t>Installation of a new single domestic gas dryer that is vented directly through an exterior wall in a building occupied exclusively as a one- or two-family dwelling not more than</w:t>
      </w:r>
      <w:r w:rsidRPr="001B7F77">
        <w:rPr>
          <w:rFonts w:eastAsia="TimesNewRoman"/>
          <w:szCs w:val="24"/>
          <w:u w:val="single"/>
        </w:rPr>
        <w:t xml:space="preserve"> four stories in height; as provided for in rules of the department. Clothes dryer exhaust shall be installed in accordance with Section 504 of the </w:t>
      </w:r>
      <w:r w:rsidRPr="001B7F77">
        <w:rPr>
          <w:rFonts w:eastAsia="TimesNewRoman"/>
          <w:i/>
          <w:iCs/>
          <w:szCs w:val="24"/>
          <w:u w:val="single"/>
        </w:rPr>
        <w:t>New York City Mechanical Code</w:t>
      </w:r>
      <w:r w:rsidRPr="001B7F77">
        <w:rPr>
          <w:rFonts w:eastAsia="TimesNewRoman"/>
          <w:szCs w:val="24"/>
          <w:u w:val="single"/>
        </w:rPr>
        <w:t>; and</w:t>
      </w:r>
    </w:p>
    <w:p w14:paraId="70CF92ED" w14:textId="77777777" w:rsidR="001B7F77" w:rsidRPr="001B7F77" w:rsidRDefault="001B7F77" w:rsidP="001B7F77">
      <w:pPr>
        <w:widowControl w:val="0"/>
        <w:pBdr>
          <w:top w:val="nil"/>
          <w:left w:val="nil"/>
          <w:bottom w:val="nil"/>
          <w:right w:val="nil"/>
          <w:between w:val="nil"/>
        </w:pBdr>
        <w:tabs>
          <w:tab w:val="left" w:pos="720"/>
          <w:tab w:val="left" w:pos="1080"/>
        </w:tabs>
        <w:autoSpaceDE w:val="0"/>
        <w:autoSpaceDN w:val="0"/>
        <w:adjustRightInd w:val="0"/>
        <w:spacing w:before="120"/>
        <w:ind w:left="1080" w:hanging="360"/>
        <w:rPr>
          <w:rFonts w:eastAsia="TimesNewRoman"/>
          <w:szCs w:val="24"/>
          <w:u w:val="single"/>
        </w:rPr>
      </w:pPr>
      <w:r w:rsidRPr="001B7F77">
        <w:rPr>
          <w:rFonts w:eastAsia="TimesNewRoman"/>
          <w:szCs w:val="24"/>
          <w:u w:val="single"/>
        </w:rPr>
        <w:t>7.</w:t>
      </w:r>
      <w:r w:rsidRPr="001B7F77">
        <w:rPr>
          <w:rFonts w:eastAsia="TimesNewRoman"/>
          <w:szCs w:val="24"/>
          <w:u w:val="single"/>
        </w:rPr>
        <w:tab/>
        <w:t xml:space="preserve">The installation of piping serving </w:t>
      </w:r>
      <w:r w:rsidRPr="001B7F77">
        <w:rPr>
          <w:rFonts w:eastAsia="Times"/>
          <w:szCs w:val="24"/>
          <w:u w:val="single"/>
        </w:rPr>
        <w:t>electric</w:t>
      </w:r>
      <w:r w:rsidRPr="001B7F77">
        <w:rPr>
          <w:rFonts w:eastAsia="TimesNewRoman"/>
          <w:szCs w:val="24"/>
          <w:u w:val="single"/>
        </w:rPr>
        <w:t xml:space="preserve"> water heaters. Electrical work shall be filed and performed in accordance with the </w:t>
      </w:r>
      <w:r w:rsidRPr="001B7F77">
        <w:rPr>
          <w:rFonts w:eastAsia="TimesNewRoman"/>
          <w:i/>
          <w:szCs w:val="24"/>
          <w:u w:val="single"/>
        </w:rPr>
        <w:t>New York City Electrical Code</w:t>
      </w:r>
      <w:r w:rsidRPr="001B7F77">
        <w:rPr>
          <w:rFonts w:eastAsia="TimesNewRoman"/>
          <w:szCs w:val="24"/>
          <w:u w:val="single"/>
        </w:rPr>
        <w:t>.</w:t>
      </w:r>
    </w:p>
    <w:p w14:paraId="664471D3" w14:textId="77777777" w:rsidR="001B7F77" w:rsidRPr="001B7F77" w:rsidRDefault="001B7F77" w:rsidP="001B7F77">
      <w:pPr>
        <w:tabs>
          <w:tab w:val="left" w:pos="360"/>
        </w:tabs>
        <w:spacing w:before="120"/>
        <w:ind w:left="360"/>
        <w:rPr>
          <w:rFonts w:eastAsia="Times" w:cs="Arial"/>
          <w:color w:val="000000"/>
          <w:szCs w:val="24"/>
          <w:u w:val="single"/>
        </w:rPr>
      </w:pPr>
      <w:r w:rsidRPr="001B7F77">
        <w:rPr>
          <w:rFonts w:eastAsia="Calibri" w:cs="Arial"/>
          <w:b/>
          <w:bCs/>
          <w:color w:val="000000"/>
          <w:szCs w:val="24"/>
          <w:u w:val="single"/>
        </w:rPr>
        <w:t>504.2.2 Category 2</w:t>
      </w:r>
      <w:r w:rsidRPr="001B7F77">
        <w:rPr>
          <w:rFonts w:eastAsia="Calibri" w:cs="Arial"/>
          <w:color w:val="000000"/>
          <w:szCs w:val="24"/>
          <w:u w:val="single"/>
        </w:rPr>
        <w:t>. The repair, replacement of or alteration to an existing plumbing or fuel gas piping system that is not subject to cost or duration limitations and that is limited to the following:</w:t>
      </w:r>
    </w:p>
    <w:p w14:paraId="6ACFA2DC" w14:textId="77777777" w:rsidR="001B7F77" w:rsidRPr="001B7F77" w:rsidRDefault="001B7F77" w:rsidP="001B7F77">
      <w:pPr>
        <w:widowControl w:val="0"/>
        <w:pBdr>
          <w:top w:val="nil"/>
          <w:left w:val="nil"/>
          <w:bottom w:val="nil"/>
          <w:right w:val="nil"/>
          <w:between w:val="nil"/>
        </w:pBdr>
        <w:tabs>
          <w:tab w:val="left" w:pos="720"/>
          <w:tab w:val="left" w:pos="1080"/>
        </w:tabs>
        <w:autoSpaceDE w:val="0"/>
        <w:autoSpaceDN w:val="0"/>
        <w:adjustRightInd w:val="0"/>
        <w:spacing w:before="120"/>
        <w:ind w:left="1080" w:hanging="360"/>
        <w:rPr>
          <w:rFonts w:eastAsia="Times"/>
          <w:szCs w:val="24"/>
          <w:u w:val="single"/>
        </w:rPr>
      </w:pPr>
      <w:r w:rsidRPr="001B7F77">
        <w:rPr>
          <w:rFonts w:eastAsia="Times"/>
          <w:szCs w:val="24"/>
          <w:u w:val="single"/>
        </w:rPr>
        <w:t>1.</w:t>
      </w:r>
      <w:r w:rsidRPr="001B7F77">
        <w:rPr>
          <w:rFonts w:eastAsia="Times"/>
          <w:szCs w:val="24"/>
          <w:u w:val="single"/>
        </w:rPr>
        <w:tab/>
        <w:t xml:space="preserve">The repair, </w:t>
      </w:r>
      <w:r w:rsidRPr="001B7F77">
        <w:rPr>
          <w:rFonts w:eastAsia="TimesNewRoman"/>
          <w:szCs w:val="24"/>
          <w:u w:val="single"/>
        </w:rPr>
        <w:t>replacement</w:t>
      </w:r>
      <w:r w:rsidRPr="001B7F77">
        <w:rPr>
          <w:rFonts w:eastAsia="Times"/>
          <w:szCs w:val="24"/>
          <w:u w:val="single"/>
        </w:rPr>
        <w:t xml:space="preserve"> of or alteration of existing plumbing or fuel gas piping serving the same number of fixtures and appliances;</w:t>
      </w:r>
    </w:p>
    <w:p w14:paraId="3AA7D1C0" w14:textId="77777777" w:rsidR="001B7F77" w:rsidRPr="001B7F77" w:rsidRDefault="001B7F77" w:rsidP="001B7F77">
      <w:pPr>
        <w:widowControl w:val="0"/>
        <w:pBdr>
          <w:top w:val="nil"/>
          <w:left w:val="nil"/>
          <w:bottom w:val="nil"/>
          <w:right w:val="nil"/>
          <w:between w:val="nil"/>
        </w:pBdr>
        <w:tabs>
          <w:tab w:val="left" w:pos="720"/>
          <w:tab w:val="left" w:pos="1080"/>
        </w:tabs>
        <w:autoSpaceDE w:val="0"/>
        <w:autoSpaceDN w:val="0"/>
        <w:adjustRightInd w:val="0"/>
        <w:spacing w:before="120"/>
        <w:ind w:left="1080" w:hanging="360"/>
        <w:rPr>
          <w:rFonts w:eastAsia="Times"/>
          <w:szCs w:val="24"/>
          <w:u w:val="single"/>
        </w:rPr>
      </w:pPr>
      <w:r w:rsidRPr="001B7F77">
        <w:rPr>
          <w:rFonts w:eastAsia="Arial"/>
          <w:szCs w:val="24"/>
          <w:u w:val="single"/>
        </w:rPr>
        <w:t>2.</w:t>
      </w:r>
      <w:r w:rsidRPr="001B7F77">
        <w:rPr>
          <w:rFonts w:eastAsia="Arial"/>
          <w:szCs w:val="24"/>
          <w:u w:val="single"/>
        </w:rPr>
        <w:tab/>
        <w:t xml:space="preserve">The in-kind replacement of plumbing </w:t>
      </w:r>
      <w:r w:rsidRPr="001B7F77">
        <w:rPr>
          <w:rFonts w:eastAsia="TimesNewRoman"/>
          <w:szCs w:val="24"/>
          <w:u w:val="single"/>
        </w:rPr>
        <w:t>fixtures</w:t>
      </w:r>
      <w:r w:rsidRPr="001B7F77">
        <w:rPr>
          <w:rFonts w:eastAsia="Arial"/>
          <w:szCs w:val="24"/>
          <w:u w:val="single"/>
        </w:rPr>
        <w:t xml:space="preserve"> and gas equipment. This shall not preclude plumbing work that is an ordinary repair or ordinary plumbing work from being filed as a limited alteration application;</w:t>
      </w:r>
    </w:p>
    <w:p w14:paraId="53268818" w14:textId="77777777" w:rsidR="001B7F77" w:rsidRPr="001B7F77" w:rsidRDefault="001B7F77" w:rsidP="001B7F77">
      <w:pPr>
        <w:widowControl w:val="0"/>
        <w:pBdr>
          <w:top w:val="nil"/>
          <w:left w:val="nil"/>
          <w:bottom w:val="nil"/>
          <w:right w:val="nil"/>
          <w:between w:val="nil"/>
        </w:pBdr>
        <w:tabs>
          <w:tab w:val="left" w:pos="720"/>
          <w:tab w:val="left" w:pos="1080"/>
        </w:tabs>
        <w:autoSpaceDE w:val="0"/>
        <w:autoSpaceDN w:val="0"/>
        <w:adjustRightInd w:val="0"/>
        <w:spacing w:before="120"/>
        <w:ind w:left="1080" w:hanging="360"/>
        <w:rPr>
          <w:rFonts w:eastAsia="Times"/>
          <w:szCs w:val="24"/>
          <w:u w:val="single"/>
        </w:rPr>
      </w:pPr>
      <w:r w:rsidRPr="001B7F77">
        <w:rPr>
          <w:rFonts w:eastAsia="TimesNewRoman,Bold"/>
          <w:szCs w:val="24"/>
          <w:u w:val="single"/>
        </w:rPr>
        <w:t>3.</w:t>
      </w:r>
      <w:r w:rsidRPr="001B7F77">
        <w:rPr>
          <w:rFonts w:eastAsia="TimesNewRoman,Bold"/>
          <w:szCs w:val="24"/>
          <w:u w:val="single"/>
        </w:rPr>
        <w:tab/>
        <w:t xml:space="preserve">The relocation of plumbing fixtures, and the </w:t>
      </w:r>
      <w:r w:rsidRPr="001B7F77">
        <w:rPr>
          <w:rFonts w:eastAsia="TimesNewRoman"/>
          <w:szCs w:val="24"/>
          <w:u w:val="single"/>
        </w:rPr>
        <w:t>replacement</w:t>
      </w:r>
      <w:r w:rsidRPr="001B7F77">
        <w:rPr>
          <w:rFonts w:eastAsia="TimesNewRoman,Bold"/>
          <w:szCs w:val="24"/>
          <w:u w:val="single"/>
        </w:rPr>
        <w:t xml:space="preserve"> of plumbing fixtures that includes the installation and alteration of piping serving the fixture. This shall not preclude the relocation and replacement of plumbing fixtures that is an ordinary repair or ordinary plumbing work from being filed as a limited alteration application;</w:t>
      </w:r>
    </w:p>
    <w:p w14:paraId="083FD64A" w14:textId="77777777" w:rsidR="001B7F77" w:rsidRPr="001B7F77" w:rsidRDefault="001B7F77" w:rsidP="001B7F77">
      <w:pPr>
        <w:widowControl w:val="0"/>
        <w:pBdr>
          <w:top w:val="nil"/>
          <w:left w:val="nil"/>
          <w:bottom w:val="nil"/>
          <w:right w:val="nil"/>
          <w:between w:val="nil"/>
        </w:pBdr>
        <w:tabs>
          <w:tab w:val="left" w:pos="720"/>
          <w:tab w:val="left" w:pos="1080"/>
        </w:tabs>
        <w:autoSpaceDE w:val="0"/>
        <w:autoSpaceDN w:val="0"/>
        <w:adjustRightInd w:val="0"/>
        <w:spacing w:before="120"/>
        <w:ind w:left="1080" w:hanging="360"/>
        <w:rPr>
          <w:rFonts w:eastAsia="TimesNewRoman,Bold"/>
          <w:szCs w:val="24"/>
          <w:u w:val="single"/>
        </w:rPr>
      </w:pPr>
      <w:r w:rsidRPr="001B7F77">
        <w:rPr>
          <w:rFonts w:eastAsia="TimesNewRoman,Bold"/>
          <w:szCs w:val="24"/>
          <w:u w:val="single"/>
        </w:rPr>
        <w:t>4.</w:t>
      </w:r>
      <w:r w:rsidRPr="001B7F77">
        <w:rPr>
          <w:rFonts w:eastAsia="TimesNewRoman,Bold"/>
          <w:szCs w:val="24"/>
          <w:u w:val="single"/>
        </w:rPr>
        <w:tab/>
        <w:t>The installation or replacement of primary backflow preventers;</w:t>
      </w:r>
    </w:p>
    <w:p w14:paraId="140C98FF" w14:textId="77777777" w:rsidR="001B7F77" w:rsidRPr="001B7F77" w:rsidRDefault="001B7F77" w:rsidP="001B7F77">
      <w:pPr>
        <w:widowControl w:val="0"/>
        <w:pBdr>
          <w:top w:val="nil"/>
          <w:left w:val="nil"/>
          <w:bottom w:val="nil"/>
          <w:right w:val="nil"/>
          <w:between w:val="nil"/>
        </w:pBdr>
        <w:tabs>
          <w:tab w:val="left" w:pos="720"/>
          <w:tab w:val="left" w:pos="1080"/>
        </w:tabs>
        <w:autoSpaceDE w:val="0"/>
        <w:autoSpaceDN w:val="0"/>
        <w:adjustRightInd w:val="0"/>
        <w:spacing w:before="120"/>
        <w:ind w:left="1080" w:hanging="360"/>
        <w:rPr>
          <w:rFonts w:eastAsia="TimesNewRoman,Bold"/>
          <w:szCs w:val="24"/>
          <w:u w:val="single"/>
        </w:rPr>
      </w:pPr>
      <w:r w:rsidRPr="001B7F77">
        <w:rPr>
          <w:rFonts w:eastAsia="TimesNewRoman,Bold"/>
          <w:szCs w:val="24"/>
          <w:u w:val="single"/>
        </w:rPr>
        <w:t>5.</w:t>
      </w:r>
      <w:r w:rsidRPr="001B7F77">
        <w:rPr>
          <w:rFonts w:eastAsia="TimesNewRoman,Bold"/>
          <w:szCs w:val="24"/>
          <w:u w:val="single"/>
        </w:rPr>
        <w:tab/>
        <w:t xml:space="preserve">The installation of a fat, oil, </w:t>
      </w:r>
      <w:r w:rsidRPr="001B7F77">
        <w:rPr>
          <w:rFonts w:eastAsia="TimesNewRoman"/>
          <w:szCs w:val="24"/>
          <w:u w:val="single"/>
        </w:rPr>
        <w:t>and</w:t>
      </w:r>
      <w:r w:rsidRPr="001B7F77">
        <w:rPr>
          <w:rFonts w:eastAsia="TimesNewRoman,Bold"/>
          <w:szCs w:val="24"/>
          <w:u w:val="single"/>
        </w:rPr>
        <w:t xml:space="preserve"> grease interceptor not exceeding a capacity of 200 lbs. (90 kg);</w:t>
      </w:r>
    </w:p>
    <w:p w14:paraId="42562662" w14:textId="77777777" w:rsidR="001B7F77" w:rsidRPr="001B7F77" w:rsidRDefault="001B7F77" w:rsidP="001B7F77">
      <w:pPr>
        <w:widowControl w:val="0"/>
        <w:pBdr>
          <w:top w:val="nil"/>
          <w:left w:val="nil"/>
          <w:bottom w:val="nil"/>
          <w:right w:val="nil"/>
          <w:between w:val="nil"/>
        </w:pBdr>
        <w:tabs>
          <w:tab w:val="left" w:pos="720"/>
          <w:tab w:val="left" w:pos="1080"/>
        </w:tabs>
        <w:autoSpaceDE w:val="0"/>
        <w:autoSpaceDN w:val="0"/>
        <w:adjustRightInd w:val="0"/>
        <w:spacing w:before="120"/>
        <w:ind w:left="1080" w:hanging="360"/>
        <w:rPr>
          <w:rFonts w:eastAsia="TimesNewRoman,Bold"/>
          <w:szCs w:val="24"/>
          <w:u w:val="single"/>
        </w:rPr>
      </w:pPr>
      <w:r w:rsidRPr="001B7F77">
        <w:rPr>
          <w:rFonts w:eastAsia="TimesNewRoman,Bold"/>
          <w:szCs w:val="24"/>
          <w:u w:val="single"/>
        </w:rPr>
        <w:t>6.</w:t>
      </w:r>
      <w:r w:rsidRPr="001B7F77">
        <w:rPr>
          <w:rFonts w:eastAsia="TimesNewRoman,Bold"/>
          <w:szCs w:val="24"/>
          <w:u w:val="single"/>
        </w:rPr>
        <w:tab/>
        <w:t>The replacement of a fat, oil, and grease interceptor with one having the same capacity and not exceeding a maximum of 1,000 lbs. (454 kg);</w:t>
      </w:r>
    </w:p>
    <w:p w14:paraId="7E0B5CD5" w14:textId="77777777" w:rsidR="001B7F77" w:rsidRPr="001B7F77" w:rsidRDefault="001B7F77" w:rsidP="001B7F77">
      <w:pPr>
        <w:widowControl w:val="0"/>
        <w:pBdr>
          <w:top w:val="nil"/>
          <w:left w:val="nil"/>
          <w:bottom w:val="nil"/>
          <w:right w:val="nil"/>
          <w:between w:val="nil"/>
        </w:pBdr>
        <w:tabs>
          <w:tab w:val="left" w:pos="720"/>
          <w:tab w:val="left" w:pos="1080"/>
        </w:tabs>
        <w:autoSpaceDE w:val="0"/>
        <w:autoSpaceDN w:val="0"/>
        <w:adjustRightInd w:val="0"/>
        <w:spacing w:before="120"/>
        <w:ind w:left="1080" w:hanging="360"/>
        <w:rPr>
          <w:rFonts w:eastAsia="Times"/>
          <w:szCs w:val="24"/>
          <w:u w:val="single"/>
        </w:rPr>
      </w:pPr>
      <w:r w:rsidRPr="001B7F77">
        <w:rPr>
          <w:rFonts w:eastAsia="TimesNewRoman,Bold"/>
          <w:szCs w:val="24"/>
          <w:u w:val="single"/>
        </w:rPr>
        <w:t>7.</w:t>
      </w:r>
      <w:r w:rsidRPr="001B7F77">
        <w:rPr>
          <w:rFonts w:eastAsia="TimesNewRoman,Bold"/>
          <w:szCs w:val="24"/>
          <w:u w:val="single"/>
        </w:rPr>
        <w:tab/>
        <w:t xml:space="preserve">In-kind </w:t>
      </w:r>
      <w:r w:rsidRPr="001B7F77">
        <w:rPr>
          <w:rFonts w:eastAsia="TimesNewRoman"/>
          <w:szCs w:val="24"/>
          <w:u w:val="single"/>
        </w:rPr>
        <w:t>replacement</w:t>
      </w:r>
      <w:r w:rsidRPr="001B7F77">
        <w:rPr>
          <w:rFonts w:eastAsia="TimesNewRoman,Bold"/>
          <w:szCs w:val="24"/>
          <w:u w:val="single"/>
        </w:rPr>
        <w:t xml:space="preserve"> of lawfully existing gas-fired appliances with a heat input of 3 million Btu/h (879 kW) or less</w:t>
      </w:r>
      <w:r w:rsidRPr="001B7F77">
        <w:rPr>
          <w:rFonts w:eastAsia="Times"/>
          <w:szCs w:val="24"/>
          <w:u w:val="single"/>
        </w:rPr>
        <w:t>;</w:t>
      </w:r>
    </w:p>
    <w:p w14:paraId="14F5526A" w14:textId="77777777" w:rsidR="001B7F77" w:rsidRPr="001B7F77" w:rsidRDefault="001B7F77" w:rsidP="001B7F77">
      <w:pPr>
        <w:widowControl w:val="0"/>
        <w:pBdr>
          <w:top w:val="nil"/>
          <w:left w:val="nil"/>
          <w:bottom w:val="nil"/>
          <w:right w:val="nil"/>
          <w:between w:val="nil"/>
        </w:pBdr>
        <w:tabs>
          <w:tab w:val="left" w:pos="720"/>
          <w:tab w:val="left" w:pos="1080"/>
        </w:tabs>
        <w:autoSpaceDE w:val="0"/>
        <w:autoSpaceDN w:val="0"/>
        <w:adjustRightInd w:val="0"/>
        <w:spacing w:before="120"/>
        <w:ind w:left="1080" w:hanging="360"/>
        <w:rPr>
          <w:rFonts w:eastAsia="TimesNewRoman,Bold"/>
          <w:szCs w:val="24"/>
          <w:u w:val="single"/>
        </w:rPr>
      </w:pPr>
      <w:r w:rsidRPr="001B7F77">
        <w:rPr>
          <w:rFonts w:eastAsia="TimesNewRoman,Bold"/>
          <w:szCs w:val="24"/>
          <w:u w:val="single"/>
        </w:rPr>
        <w:t>8.</w:t>
      </w:r>
      <w:r w:rsidRPr="001B7F77">
        <w:rPr>
          <w:rFonts w:eastAsia="TimesNewRoman,Bold"/>
          <w:szCs w:val="24"/>
          <w:u w:val="single"/>
        </w:rPr>
        <w:tab/>
      </w:r>
      <w:r w:rsidRPr="001B7F77">
        <w:rPr>
          <w:rFonts w:eastAsia="TimesNewRoman"/>
          <w:szCs w:val="24"/>
          <w:u w:val="single"/>
        </w:rPr>
        <w:t>Replacement</w:t>
      </w:r>
      <w:r w:rsidRPr="001B7F77">
        <w:rPr>
          <w:rFonts w:eastAsia="TimesNewRoman,Bold"/>
          <w:szCs w:val="24"/>
          <w:u w:val="single"/>
        </w:rPr>
        <w:t xml:space="preserve"> of lawfully existing gas burners with a heat input of 3 million Btu/h (879 kW) or less;</w:t>
      </w:r>
    </w:p>
    <w:p w14:paraId="226769E0" w14:textId="77777777" w:rsidR="001B7F77" w:rsidRPr="001B7F77" w:rsidRDefault="001B7F77" w:rsidP="001B7F77">
      <w:pPr>
        <w:widowControl w:val="0"/>
        <w:pBdr>
          <w:top w:val="nil"/>
          <w:left w:val="nil"/>
          <w:bottom w:val="nil"/>
          <w:right w:val="nil"/>
          <w:between w:val="nil"/>
        </w:pBdr>
        <w:tabs>
          <w:tab w:val="left" w:pos="720"/>
          <w:tab w:val="left" w:pos="1080"/>
        </w:tabs>
        <w:autoSpaceDE w:val="0"/>
        <w:autoSpaceDN w:val="0"/>
        <w:adjustRightInd w:val="0"/>
        <w:spacing w:before="120"/>
        <w:ind w:left="1080" w:hanging="360"/>
        <w:rPr>
          <w:rFonts w:eastAsia="TimesNewRoman,Bold"/>
          <w:szCs w:val="24"/>
          <w:u w:val="single"/>
        </w:rPr>
      </w:pPr>
      <w:bookmarkStart w:id="126" w:name="_Hlk75956788"/>
      <w:r w:rsidRPr="001B7F77">
        <w:rPr>
          <w:rFonts w:eastAsia="TimesNewRoman,Bold"/>
          <w:szCs w:val="24"/>
          <w:u w:val="single"/>
        </w:rPr>
        <w:t>9.</w:t>
      </w:r>
      <w:r w:rsidRPr="001B7F77">
        <w:rPr>
          <w:rFonts w:eastAsia="TimesNewRoman,Bold"/>
          <w:szCs w:val="24"/>
          <w:u w:val="single"/>
        </w:rPr>
        <w:tab/>
      </w:r>
      <w:r w:rsidRPr="001B7F77">
        <w:rPr>
          <w:rFonts w:eastAsia="TimesNewRoman"/>
          <w:szCs w:val="24"/>
          <w:u w:val="single"/>
        </w:rPr>
        <w:t>Relocation</w:t>
      </w:r>
      <w:r w:rsidRPr="001B7F77">
        <w:rPr>
          <w:rFonts w:eastAsia="TimesNewRoman,Bold"/>
          <w:szCs w:val="24"/>
          <w:u w:val="single"/>
        </w:rPr>
        <w:t xml:space="preserve"> of a lawfully existing gas burner/boiler within the same, unaltered fire-rated </w:t>
      </w:r>
      <w:r w:rsidRPr="001B7F77">
        <w:rPr>
          <w:rFonts w:eastAsia="TimesNewRoman"/>
          <w:szCs w:val="24"/>
          <w:u w:val="single"/>
        </w:rPr>
        <w:t>enclosure</w:t>
      </w:r>
      <w:r w:rsidRPr="001B7F77">
        <w:rPr>
          <w:rFonts w:eastAsia="TimesNewRoman,Bold"/>
          <w:szCs w:val="24"/>
          <w:u w:val="single"/>
        </w:rPr>
        <w:t xml:space="preserve"> or room. Through-penetrations for piping shall be fire stopped in accordance with the requirements of Chapter 7 of the </w:t>
      </w:r>
      <w:r w:rsidRPr="001B7F77">
        <w:rPr>
          <w:rFonts w:eastAsia="TimesNewRoman,Bold"/>
          <w:i/>
          <w:iCs/>
          <w:szCs w:val="24"/>
          <w:u w:val="single"/>
        </w:rPr>
        <w:t>New York City Building Code</w:t>
      </w:r>
      <w:r w:rsidRPr="001B7F77">
        <w:rPr>
          <w:rFonts w:eastAsia="TimesNewRoman,Bold"/>
          <w:szCs w:val="24"/>
          <w:u w:val="single"/>
        </w:rPr>
        <w:t>. New through-penetrations for vents serving direct vent appliances shall be prohibited under category 2 work in buildings other than Occupancy Group R-3 not more than 4 stories in height;</w:t>
      </w:r>
    </w:p>
    <w:bookmarkEnd w:id="126"/>
    <w:p w14:paraId="74558725" w14:textId="77777777" w:rsidR="001B7F77" w:rsidRPr="001B7F77" w:rsidRDefault="001B7F77" w:rsidP="001B7F77">
      <w:pPr>
        <w:widowControl w:val="0"/>
        <w:pBdr>
          <w:top w:val="nil"/>
          <w:left w:val="nil"/>
          <w:bottom w:val="nil"/>
          <w:right w:val="nil"/>
          <w:between w:val="nil"/>
        </w:pBdr>
        <w:tabs>
          <w:tab w:val="left" w:pos="720"/>
          <w:tab w:val="left" w:pos="1080"/>
        </w:tabs>
        <w:autoSpaceDE w:val="0"/>
        <w:autoSpaceDN w:val="0"/>
        <w:adjustRightInd w:val="0"/>
        <w:spacing w:before="120"/>
        <w:ind w:left="1080" w:hanging="360"/>
        <w:rPr>
          <w:rFonts w:eastAsia="Arial"/>
          <w:szCs w:val="24"/>
          <w:u w:val="single"/>
        </w:rPr>
      </w:pPr>
      <w:r w:rsidRPr="001B7F77">
        <w:rPr>
          <w:rFonts w:eastAsia="Arial"/>
          <w:szCs w:val="24"/>
          <w:u w:val="single"/>
        </w:rPr>
        <w:t>10.</w:t>
      </w:r>
      <w:r w:rsidRPr="001B7F77">
        <w:rPr>
          <w:rFonts w:eastAsia="Arial"/>
          <w:szCs w:val="24"/>
        </w:rPr>
        <w:tab/>
      </w:r>
      <w:r w:rsidRPr="001B7F77">
        <w:rPr>
          <w:rFonts w:eastAsia="Arial"/>
          <w:szCs w:val="24"/>
          <w:u w:val="single"/>
        </w:rPr>
        <w:t xml:space="preserve">Replacement of lawfully existing gas appliances with a heat input of 350,000 Btu/h (103 KW) or less with the following appliances that are </w:t>
      </w:r>
      <w:r w:rsidRPr="001B7F77">
        <w:rPr>
          <w:rFonts w:eastAsia="TimesNewRoman"/>
          <w:szCs w:val="24"/>
          <w:u w:val="single"/>
        </w:rPr>
        <w:t>vented</w:t>
      </w:r>
      <w:r w:rsidRPr="001B7F77">
        <w:rPr>
          <w:rFonts w:eastAsia="Arial"/>
          <w:szCs w:val="24"/>
          <w:u w:val="single"/>
        </w:rPr>
        <w:t xml:space="preserve"> directly through exterior walls serving buildings occupied exclusively as one- or two-family dwellings not more than four stories in height:</w:t>
      </w:r>
    </w:p>
    <w:p w14:paraId="102E8F4E" w14:textId="77777777" w:rsidR="001B7F77" w:rsidRPr="001B7F77" w:rsidRDefault="001B7F77" w:rsidP="001B7F77">
      <w:pPr>
        <w:widowControl w:val="0"/>
        <w:suppressAutoHyphens/>
        <w:spacing w:before="120"/>
        <w:ind w:left="1980" w:hanging="540"/>
        <w:rPr>
          <w:szCs w:val="24"/>
          <w:u w:val="single"/>
        </w:rPr>
      </w:pPr>
      <w:r w:rsidRPr="001B7F77">
        <w:rPr>
          <w:szCs w:val="24"/>
          <w:u w:val="single"/>
        </w:rPr>
        <w:t>10.1</w:t>
      </w:r>
      <w:r w:rsidRPr="001B7F77">
        <w:rPr>
          <w:szCs w:val="24"/>
          <w:u w:val="single"/>
        </w:rPr>
        <w:tab/>
        <w:t>Boilers;</w:t>
      </w:r>
    </w:p>
    <w:p w14:paraId="653C565C" w14:textId="77777777" w:rsidR="001B7F77" w:rsidRPr="001B7F77" w:rsidRDefault="001B7F77" w:rsidP="001B7F77">
      <w:pPr>
        <w:widowControl w:val="0"/>
        <w:suppressAutoHyphens/>
        <w:spacing w:before="120"/>
        <w:ind w:left="1980" w:hanging="540"/>
        <w:rPr>
          <w:szCs w:val="24"/>
          <w:u w:val="single"/>
        </w:rPr>
      </w:pPr>
      <w:r w:rsidRPr="001B7F77">
        <w:rPr>
          <w:szCs w:val="24"/>
          <w:u w:val="single"/>
        </w:rPr>
        <w:t>10.2</w:t>
      </w:r>
      <w:r w:rsidRPr="001B7F77">
        <w:rPr>
          <w:szCs w:val="24"/>
          <w:u w:val="single"/>
        </w:rPr>
        <w:tab/>
        <w:t>Water heaters;</w:t>
      </w:r>
    </w:p>
    <w:p w14:paraId="56C9FC02" w14:textId="77777777" w:rsidR="001B7F77" w:rsidRPr="001B7F77" w:rsidRDefault="001B7F77" w:rsidP="001B7F77">
      <w:pPr>
        <w:widowControl w:val="0"/>
        <w:suppressAutoHyphens/>
        <w:spacing w:before="120"/>
        <w:ind w:left="1980" w:hanging="540"/>
        <w:rPr>
          <w:szCs w:val="24"/>
          <w:u w:val="single"/>
        </w:rPr>
      </w:pPr>
      <w:r w:rsidRPr="001B7F77">
        <w:rPr>
          <w:szCs w:val="24"/>
          <w:u w:val="single"/>
        </w:rPr>
        <w:t>10.3</w:t>
      </w:r>
      <w:r w:rsidRPr="001B7F77">
        <w:rPr>
          <w:szCs w:val="24"/>
          <w:u w:val="single"/>
        </w:rPr>
        <w:tab/>
        <w:t>Furnaces;</w:t>
      </w:r>
    </w:p>
    <w:p w14:paraId="1DD5CAD8" w14:textId="77777777" w:rsidR="001B7F77" w:rsidRPr="001B7F77" w:rsidRDefault="001B7F77" w:rsidP="001B7F77">
      <w:pPr>
        <w:widowControl w:val="0"/>
        <w:pBdr>
          <w:top w:val="nil"/>
          <w:left w:val="nil"/>
          <w:bottom w:val="nil"/>
          <w:right w:val="nil"/>
          <w:between w:val="nil"/>
        </w:pBdr>
        <w:tabs>
          <w:tab w:val="left" w:pos="720"/>
          <w:tab w:val="left" w:pos="1080"/>
        </w:tabs>
        <w:autoSpaceDE w:val="0"/>
        <w:autoSpaceDN w:val="0"/>
        <w:adjustRightInd w:val="0"/>
        <w:spacing w:before="120"/>
        <w:ind w:left="1080" w:hanging="360"/>
        <w:rPr>
          <w:rFonts w:eastAsia="Arial"/>
          <w:szCs w:val="24"/>
          <w:u w:val="single"/>
        </w:rPr>
      </w:pPr>
      <w:r w:rsidRPr="001B7F77">
        <w:rPr>
          <w:rFonts w:eastAsia="Arial"/>
          <w:szCs w:val="24"/>
          <w:u w:val="single"/>
        </w:rPr>
        <w:t xml:space="preserve">11. In-kind replacement of a lawfully existing </w:t>
      </w:r>
      <w:r w:rsidRPr="001B7F77">
        <w:rPr>
          <w:rFonts w:eastAsia="TimesNewRoman"/>
          <w:szCs w:val="24"/>
          <w:u w:val="single"/>
        </w:rPr>
        <w:t>direct</w:t>
      </w:r>
      <w:r w:rsidRPr="001B7F77">
        <w:rPr>
          <w:rFonts w:eastAsia="Arial"/>
          <w:szCs w:val="24"/>
          <w:u w:val="single"/>
        </w:rPr>
        <w:t>-vent gas appliances with a heat input of 350,000 Btu/h (103 KW) or less with the following appliances that are vented directly through exterior walls:</w:t>
      </w:r>
    </w:p>
    <w:p w14:paraId="2DD38C73" w14:textId="77777777" w:rsidR="001B7F77" w:rsidRPr="001B7F77" w:rsidRDefault="001B7F77" w:rsidP="001B7F77">
      <w:pPr>
        <w:widowControl w:val="0"/>
        <w:suppressAutoHyphens/>
        <w:spacing w:before="120"/>
        <w:ind w:left="1980" w:hanging="540"/>
        <w:jc w:val="left"/>
        <w:rPr>
          <w:szCs w:val="24"/>
          <w:u w:val="single"/>
        </w:rPr>
      </w:pPr>
      <w:r w:rsidRPr="001B7F77">
        <w:rPr>
          <w:szCs w:val="24"/>
          <w:u w:val="single"/>
        </w:rPr>
        <w:t>11.1.</w:t>
      </w:r>
      <w:r w:rsidRPr="001B7F77">
        <w:rPr>
          <w:szCs w:val="24"/>
          <w:u w:val="single"/>
        </w:rPr>
        <w:tab/>
        <w:t>Boilers;</w:t>
      </w:r>
    </w:p>
    <w:p w14:paraId="27BFD24C" w14:textId="77777777" w:rsidR="001B7F77" w:rsidRPr="001B7F77" w:rsidRDefault="001B7F77" w:rsidP="001B7F77">
      <w:pPr>
        <w:widowControl w:val="0"/>
        <w:suppressAutoHyphens/>
        <w:spacing w:before="120"/>
        <w:ind w:left="1980" w:hanging="540"/>
        <w:jc w:val="left"/>
        <w:rPr>
          <w:szCs w:val="24"/>
          <w:u w:val="single"/>
        </w:rPr>
      </w:pPr>
      <w:r w:rsidRPr="001B7F77">
        <w:rPr>
          <w:szCs w:val="24"/>
          <w:u w:val="single"/>
        </w:rPr>
        <w:t>11.2.</w:t>
      </w:r>
      <w:r w:rsidRPr="001B7F77">
        <w:rPr>
          <w:szCs w:val="24"/>
          <w:u w:val="single"/>
        </w:rPr>
        <w:tab/>
        <w:t>Water heaters;</w:t>
      </w:r>
    </w:p>
    <w:p w14:paraId="04F38222" w14:textId="77777777" w:rsidR="001B7F77" w:rsidRPr="001B7F77" w:rsidRDefault="001B7F77" w:rsidP="001B7F77">
      <w:pPr>
        <w:widowControl w:val="0"/>
        <w:suppressAutoHyphens/>
        <w:spacing w:before="120"/>
        <w:ind w:left="1980" w:hanging="540"/>
        <w:jc w:val="left"/>
        <w:rPr>
          <w:szCs w:val="24"/>
          <w:u w:val="single"/>
        </w:rPr>
      </w:pPr>
      <w:r w:rsidRPr="001B7F77">
        <w:rPr>
          <w:szCs w:val="24"/>
          <w:u w:val="single"/>
        </w:rPr>
        <w:t>11.3.</w:t>
      </w:r>
      <w:r w:rsidRPr="001B7F77">
        <w:rPr>
          <w:szCs w:val="24"/>
          <w:u w:val="single"/>
        </w:rPr>
        <w:tab/>
        <w:t>Furnaces;</w:t>
      </w:r>
    </w:p>
    <w:p w14:paraId="0CD401A3" w14:textId="77777777" w:rsidR="001B7F77" w:rsidRPr="001B7F77" w:rsidRDefault="001B7F77" w:rsidP="001B7F77">
      <w:pPr>
        <w:widowControl w:val="0"/>
        <w:pBdr>
          <w:top w:val="nil"/>
          <w:left w:val="nil"/>
          <w:bottom w:val="nil"/>
          <w:right w:val="nil"/>
          <w:between w:val="nil"/>
        </w:pBdr>
        <w:tabs>
          <w:tab w:val="left" w:pos="720"/>
          <w:tab w:val="left" w:pos="1080"/>
        </w:tabs>
        <w:autoSpaceDE w:val="0"/>
        <w:autoSpaceDN w:val="0"/>
        <w:adjustRightInd w:val="0"/>
        <w:spacing w:before="120"/>
        <w:ind w:left="1080" w:hanging="360"/>
        <w:rPr>
          <w:rFonts w:eastAsia="Arial"/>
          <w:szCs w:val="24"/>
          <w:u w:val="single"/>
        </w:rPr>
      </w:pPr>
      <w:r w:rsidRPr="001B7F77">
        <w:rPr>
          <w:rFonts w:eastAsia="Arial"/>
          <w:szCs w:val="24"/>
          <w:u w:val="single"/>
        </w:rPr>
        <w:t>12.</w:t>
      </w:r>
      <w:r w:rsidRPr="001B7F77">
        <w:rPr>
          <w:rFonts w:eastAsia="Arial"/>
          <w:szCs w:val="24"/>
          <w:u w:val="single"/>
        </w:rPr>
        <w:tab/>
        <w:t xml:space="preserve">Replacement of lawfully </w:t>
      </w:r>
      <w:r w:rsidRPr="001B7F77">
        <w:rPr>
          <w:rFonts w:eastAsia="TimesNewRoman"/>
          <w:szCs w:val="24"/>
          <w:u w:val="single"/>
        </w:rPr>
        <w:t>existing</w:t>
      </w:r>
      <w:r w:rsidRPr="001B7F77">
        <w:rPr>
          <w:rFonts w:eastAsia="Arial"/>
          <w:szCs w:val="24"/>
          <w:u w:val="single"/>
        </w:rPr>
        <w:t xml:space="preserve"> gas-fired domestic clothes dryers or pool heaters with a heat input of 350,000 Btu/h (103 KW) or less;</w:t>
      </w:r>
    </w:p>
    <w:p w14:paraId="3C4F6EEE" w14:textId="77777777" w:rsidR="001B7F77" w:rsidRPr="001B7F77" w:rsidRDefault="001B7F77" w:rsidP="001B7F77">
      <w:pPr>
        <w:widowControl w:val="0"/>
        <w:pBdr>
          <w:top w:val="nil"/>
          <w:left w:val="nil"/>
          <w:bottom w:val="nil"/>
          <w:right w:val="nil"/>
          <w:between w:val="nil"/>
        </w:pBdr>
        <w:tabs>
          <w:tab w:val="left" w:pos="720"/>
          <w:tab w:val="left" w:pos="1080"/>
        </w:tabs>
        <w:autoSpaceDE w:val="0"/>
        <w:autoSpaceDN w:val="0"/>
        <w:adjustRightInd w:val="0"/>
        <w:spacing w:before="120"/>
        <w:ind w:left="1080" w:hanging="360"/>
        <w:rPr>
          <w:rFonts w:eastAsia="TimesNewRoman,Bold"/>
          <w:szCs w:val="24"/>
          <w:u w:val="single"/>
        </w:rPr>
      </w:pPr>
      <w:r w:rsidRPr="001B7F77">
        <w:rPr>
          <w:rFonts w:eastAsia="TimesNewRoman,Bold"/>
          <w:szCs w:val="24"/>
          <w:u w:val="single"/>
        </w:rPr>
        <w:t>13.</w:t>
      </w:r>
      <w:r w:rsidRPr="001B7F77">
        <w:rPr>
          <w:rFonts w:eastAsia="TimesNewRoman,Bold"/>
          <w:szCs w:val="24"/>
          <w:u w:val="single"/>
        </w:rPr>
        <w:tab/>
        <w:t>Installation of gas</w:t>
      </w:r>
      <w:r w:rsidRPr="001B7F77">
        <w:rPr>
          <w:rFonts w:eastAsia="Arial"/>
          <w:szCs w:val="24"/>
          <w:u w:val="single"/>
        </w:rPr>
        <w:t>-</w:t>
      </w:r>
      <w:r w:rsidRPr="001B7F77">
        <w:rPr>
          <w:rFonts w:eastAsia="TimesNewRoman"/>
          <w:szCs w:val="24"/>
          <w:u w:val="single"/>
        </w:rPr>
        <w:t>fired</w:t>
      </w:r>
      <w:r w:rsidRPr="001B7F77">
        <w:rPr>
          <w:rFonts w:eastAsia="TimesNewRoman,Bold"/>
          <w:szCs w:val="24"/>
          <w:u w:val="single"/>
        </w:rPr>
        <w:t xml:space="preserve"> </w:t>
      </w:r>
      <w:r w:rsidRPr="001B7F77">
        <w:rPr>
          <w:rFonts w:eastAsia="TimesNewRoman"/>
          <w:szCs w:val="24"/>
          <w:u w:val="single"/>
        </w:rPr>
        <w:t>salamanders</w:t>
      </w:r>
      <w:r w:rsidRPr="001B7F77">
        <w:rPr>
          <w:rFonts w:eastAsia="TimesNewRoman,Bold"/>
          <w:szCs w:val="24"/>
          <w:u w:val="single"/>
        </w:rPr>
        <w:t xml:space="preserve"> for temporary heat during construction;</w:t>
      </w:r>
    </w:p>
    <w:p w14:paraId="4E5F7A73" w14:textId="77777777" w:rsidR="001B7F77" w:rsidRPr="001B7F77" w:rsidRDefault="001B7F77" w:rsidP="001B7F77">
      <w:pPr>
        <w:widowControl w:val="0"/>
        <w:pBdr>
          <w:top w:val="nil"/>
          <w:left w:val="nil"/>
          <w:bottom w:val="nil"/>
          <w:right w:val="nil"/>
          <w:between w:val="nil"/>
        </w:pBdr>
        <w:tabs>
          <w:tab w:val="left" w:pos="720"/>
          <w:tab w:val="left" w:pos="1080"/>
        </w:tabs>
        <w:autoSpaceDE w:val="0"/>
        <w:autoSpaceDN w:val="0"/>
        <w:adjustRightInd w:val="0"/>
        <w:spacing w:before="120"/>
        <w:ind w:left="1080" w:hanging="360"/>
        <w:rPr>
          <w:rFonts w:eastAsia="Times"/>
          <w:szCs w:val="24"/>
          <w:u w:val="single"/>
        </w:rPr>
      </w:pPr>
      <w:r w:rsidRPr="001B7F77">
        <w:rPr>
          <w:rFonts w:eastAsia="Times"/>
          <w:szCs w:val="24"/>
          <w:u w:val="single"/>
        </w:rPr>
        <w:t>14.</w:t>
      </w:r>
      <w:r w:rsidRPr="001B7F77">
        <w:rPr>
          <w:rFonts w:eastAsia="Times"/>
          <w:szCs w:val="24"/>
          <w:u w:val="single"/>
        </w:rPr>
        <w:tab/>
        <w:t xml:space="preserve">Placement of a </w:t>
      </w:r>
      <w:r w:rsidRPr="001B7F77">
        <w:rPr>
          <w:rFonts w:eastAsia="TimesNewRoman"/>
          <w:szCs w:val="24"/>
          <w:u w:val="single"/>
        </w:rPr>
        <w:t>registered</w:t>
      </w:r>
      <w:r w:rsidRPr="001B7F77">
        <w:rPr>
          <w:rFonts w:eastAsia="Times"/>
          <w:szCs w:val="24"/>
          <w:u w:val="single"/>
        </w:rPr>
        <w:t xml:space="preserve"> gas-fired temporary boiler with associated gas piping at a site for </w:t>
      </w:r>
      <w:r w:rsidRPr="001B7F77">
        <w:rPr>
          <w:rFonts w:eastAsia="TimesNewRoman"/>
          <w:szCs w:val="24"/>
          <w:u w:val="single"/>
        </w:rPr>
        <w:t>emergency</w:t>
      </w:r>
      <w:r w:rsidRPr="001B7F77">
        <w:rPr>
          <w:rFonts w:eastAsia="Times"/>
          <w:szCs w:val="24"/>
          <w:u w:val="single"/>
        </w:rPr>
        <w:t xml:space="preserve"> heating and/or hot water;</w:t>
      </w:r>
    </w:p>
    <w:p w14:paraId="3FE96D63" w14:textId="77777777" w:rsidR="001B7F77" w:rsidRPr="001B7F77" w:rsidRDefault="001B7F77" w:rsidP="001B7F77">
      <w:pPr>
        <w:widowControl w:val="0"/>
        <w:pBdr>
          <w:top w:val="nil"/>
          <w:left w:val="nil"/>
          <w:bottom w:val="nil"/>
          <w:right w:val="nil"/>
          <w:between w:val="nil"/>
        </w:pBdr>
        <w:tabs>
          <w:tab w:val="left" w:pos="720"/>
          <w:tab w:val="left" w:pos="1080"/>
        </w:tabs>
        <w:autoSpaceDE w:val="0"/>
        <w:autoSpaceDN w:val="0"/>
        <w:adjustRightInd w:val="0"/>
        <w:spacing w:before="120"/>
        <w:ind w:left="1080" w:hanging="360"/>
        <w:rPr>
          <w:rFonts w:eastAsia="Times"/>
          <w:szCs w:val="24"/>
          <w:u w:val="single"/>
        </w:rPr>
      </w:pPr>
      <w:r w:rsidRPr="001B7F77">
        <w:rPr>
          <w:rFonts w:eastAsia="Times"/>
          <w:szCs w:val="24"/>
          <w:u w:val="single"/>
        </w:rPr>
        <w:t>15.</w:t>
      </w:r>
      <w:r w:rsidRPr="001B7F77">
        <w:rPr>
          <w:rFonts w:eastAsia="Times"/>
          <w:szCs w:val="24"/>
          <w:u w:val="single"/>
        </w:rPr>
        <w:tab/>
        <w:t xml:space="preserve">Replacement of up to thirty existing sprinkler heads providing that orifice sizes, type and deflector </w:t>
      </w:r>
      <w:r w:rsidRPr="001B7F77">
        <w:rPr>
          <w:rFonts w:eastAsia="TimesNewRoman"/>
          <w:szCs w:val="24"/>
          <w:u w:val="single"/>
        </w:rPr>
        <w:t>positions</w:t>
      </w:r>
      <w:r w:rsidRPr="001B7F77">
        <w:rPr>
          <w:rFonts w:eastAsia="Times"/>
          <w:szCs w:val="24"/>
          <w:u w:val="single"/>
        </w:rPr>
        <w:t xml:space="preserve"> remain the same, and all such sprinkler heads are supplied by a domestic water system;</w:t>
      </w:r>
    </w:p>
    <w:p w14:paraId="7916401C" w14:textId="77777777" w:rsidR="001B7F77" w:rsidRPr="001B7F77" w:rsidRDefault="001B7F77" w:rsidP="001B7F77">
      <w:pPr>
        <w:widowControl w:val="0"/>
        <w:pBdr>
          <w:top w:val="nil"/>
          <w:left w:val="nil"/>
          <w:bottom w:val="nil"/>
          <w:right w:val="nil"/>
          <w:between w:val="nil"/>
        </w:pBdr>
        <w:tabs>
          <w:tab w:val="left" w:pos="720"/>
          <w:tab w:val="left" w:pos="1080"/>
        </w:tabs>
        <w:autoSpaceDE w:val="0"/>
        <w:autoSpaceDN w:val="0"/>
        <w:adjustRightInd w:val="0"/>
        <w:spacing w:before="120"/>
        <w:ind w:left="1080" w:hanging="360"/>
        <w:rPr>
          <w:rFonts w:eastAsia="Times"/>
          <w:szCs w:val="24"/>
          <w:u w:val="single"/>
        </w:rPr>
      </w:pPr>
      <w:r w:rsidRPr="001B7F77">
        <w:rPr>
          <w:rFonts w:eastAsia="Times"/>
          <w:szCs w:val="24"/>
          <w:u w:val="single"/>
        </w:rPr>
        <w:t>16.</w:t>
      </w:r>
      <w:r w:rsidRPr="001B7F77">
        <w:rPr>
          <w:rFonts w:eastAsia="Times"/>
          <w:szCs w:val="24"/>
          <w:u w:val="single"/>
        </w:rPr>
        <w:tab/>
      </w:r>
      <w:r w:rsidRPr="001B7F77">
        <w:rPr>
          <w:rFonts w:eastAsia="TimesNewRoman,Bold"/>
          <w:szCs w:val="24"/>
          <w:u w:val="single"/>
        </w:rPr>
        <w:t xml:space="preserve">Rearrangement of not </w:t>
      </w:r>
      <w:r w:rsidRPr="001B7F77">
        <w:rPr>
          <w:rFonts w:eastAsia="TimesNewRoman"/>
          <w:szCs w:val="24"/>
          <w:u w:val="single"/>
        </w:rPr>
        <w:t>more</w:t>
      </w:r>
      <w:r w:rsidRPr="001B7F77">
        <w:rPr>
          <w:rFonts w:eastAsia="TimesNewRoman,Bold"/>
          <w:szCs w:val="24"/>
          <w:u w:val="single"/>
        </w:rPr>
        <w:t xml:space="preserve"> than 20 sprinkler heads in areas classified in light hazard occupancy, as such term is defined in NFPA 13 as modified by Appendix Q of the </w:t>
      </w:r>
      <w:r w:rsidRPr="001B7F77">
        <w:rPr>
          <w:rFonts w:eastAsia="TimesNewRoman,Bold"/>
          <w:i/>
          <w:iCs/>
          <w:szCs w:val="24"/>
          <w:u w:val="single"/>
        </w:rPr>
        <w:t>New York City Building Code</w:t>
      </w:r>
      <w:r w:rsidRPr="001B7F77">
        <w:rPr>
          <w:rFonts w:eastAsia="TimesNewRoman,Bold"/>
          <w:szCs w:val="24"/>
          <w:u w:val="single"/>
        </w:rPr>
        <w:t>, provided such areas are already sprinklered and supplied by a domestic water system and such areas will remain in such occupancy;</w:t>
      </w:r>
    </w:p>
    <w:p w14:paraId="65A66782" w14:textId="77777777" w:rsidR="001B7F77" w:rsidRPr="001B7F77" w:rsidRDefault="001B7F77" w:rsidP="001B7F77">
      <w:pPr>
        <w:widowControl w:val="0"/>
        <w:pBdr>
          <w:top w:val="nil"/>
          <w:left w:val="nil"/>
          <w:bottom w:val="nil"/>
          <w:right w:val="nil"/>
          <w:between w:val="nil"/>
        </w:pBdr>
        <w:tabs>
          <w:tab w:val="left" w:pos="720"/>
          <w:tab w:val="left" w:pos="1080"/>
        </w:tabs>
        <w:autoSpaceDE w:val="0"/>
        <w:autoSpaceDN w:val="0"/>
        <w:adjustRightInd w:val="0"/>
        <w:spacing w:before="120"/>
        <w:ind w:left="1080" w:hanging="360"/>
        <w:rPr>
          <w:rFonts w:eastAsia="Times"/>
          <w:szCs w:val="24"/>
          <w:u w:val="single"/>
        </w:rPr>
      </w:pPr>
      <w:r w:rsidRPr="001B7F77">
        <w:rPr>
          <w:rFonts w:eastAsia="Times"/>
          <w:szCs w:val="24"/>
          <w:u w:val="single"/>
        </w:rPr>
        <w:t>17.</w:t>
      </w:r>
      <w:r w:rsidRPr="001B7F77">
        <w:rPr>
          <w:rFonts w:eastAsia="Times"/>
          <w:szCs w:val="24"/>
          <w:u w:val="single"/>
        </w:rPr>
        <w:tab/>
      </w:r>
      <w:r w:rsidRPr="001B7F77">
        <w:rPr>
          <w:rFonts w:eastAsia="TimesNewRoman,Bold"/>
          <w:szCs w:val="24"/>
          <w:u w:val="single"/>
        </w:rPr>
        <w:t xml:space="preserve">Rearrangement of not more than 20 sprinkler heads in restaurant service areas classified in Group 1 </w:t>
      </w:r>
      <w:r w:rsidRPr="001B7F77">
        <w:rPr>
          <w:rFonts w:eastAsia="TimesNewRoman"/>
          <w:szCs w:val="24"/>
          <w:u w:val="single"/>
        </w:rPr>
        <w:t>ordinary</w:t>
      </w:r>
      <w:r w:rsidRPr="001B7F77">
        <w:rPr>
          <w:rFonts w:eastAsia="TimesNewRoman,Bold"/>
          <w:szCs w:val="24"/>
          <w:u w:val="single"/>
        </w:rPr>
        <w:t xml:space="preserve"> hazard occupancy, as such term is defined by NFPA 13 as amended by Appendix Q of the </w:t>
      </w:r>
      <w:r w:rsidRPr="001B7F77">
        <w:rPr>
          <w:rFonts w:eastAsia="TimesNewRoman,Bold"/>
          <w:i/>
          <w:iCs/>
          <w:szCs w:val="24"/>
          <w:u w:val="single"/>
        </w:rPr>
        <w:t>New York City Building Code</w:t>
      </w:r>
      <w:r w:rsidRPr="001B7F77">
        <w:rPr>
          <w:rFonts w:eastAsia="TimesNewRoman,Bold"/>
          <w:szCs w:val="24"/>
          <w:u w:val="single"/>
        </w:rPr>
        <w:t>, provided such areas are already sprinklered and supplied by a domestic water system and such areas will remain in such occupancy;</w:t>
      </w:r>
    </w:p>
    <w:p w14:paraId="3BDDD173" w14:textId="77777777" w:rsidR="001B7F77" w:rsidRPr="001B7F77" w:rsidRDefault="001B7F77" w:rsidP="001B7F77">
      <w:pPr>
        <w:spacing w:before="120"/>
        <w:ind w:left="1080" w:hanging="360"/>
        <w:rPr>
          <w:rFonts w:eastAsia="Times" w:cs="Arial"/>
          <w:color w:val="000000"/>
          <w:szCs w:val="24"/>
          <w:u w:val="single"/>
        </w:rPr>
      </w:pPr>
      <w:r w:rsidRPr="001B7F77">
        <w:rPr>
          <w:rFonts w:eastAsia="Calibri" w:cs="Arial"/>
          <w:color w:val="000000"/>
          <w:szCs w:val="24"/>
          <w:u w:val="single"/>
        </w:rPr>
        <w:t xml:space="preserve">18. Rearrangement of not </w:t>
      </w:r>
      <w:r w:rsidRPr="001B7F77">
        <w:rPr>
          <w:rFonts w:eastAsia="TimesNewRoman" w:cs="Arial"/>
          <w:color w:val="000000"/>
          <w:szCs w:val="24"/>
          <w:u w:val="single"/>
        </w:rPr>
        <w:t>more</w:t>
      </w:r>
      <w:r w:rsidRPr="001B7F77">
        <w:rPr>
          <w:rFonts w:eastAsia="Calibri" w:cs="Arial"/>
          <w:color w:val="000000"/>
          <w:szCs w:val="24"/>
          <w:u w:val="single"/>
        </w:rPr>
        <w:t xml:space="preserve"> than 20 sprinkler heads in mercantile areas classified in Group 2 ordinary hazard occupancy, as such term is defined by NFPA 13 as amended by Appendix Q of the </w:t>
      </w:r>
      <w:r w:rsidRPr="001B7F77">
        <w:rPr>
          <w:rFonts w:eastAsia="Calibri" w:cs="Arial"/>
          <w:i/>
          <w:iCs/>
          <w:color w:val="000000"/>
          <w:szCs w:val="24"/>
          <w:u w:val="single"/>
        </w:rPr>
        <w:t>New York City Building Code</w:t>
      </w:r>
      <w:r w:rsidRPr="001B7F77">
        <w:rPr>
          <w:rFonts w:eastAsia="Calibri" w:cs="Arial"/>
          <w:color w:val="000000"/>
          <w:szCs w:val="24"/>
          <w:u w:val="single"/>
        </w:rPr>
        <w:t>, provided such areas are already sprinklered and supplied by a domestic water system and such areas will remain in such occupancy.</w:t>
      </w:r>
    </w:p>
    <w:p w14:paraId="47B8FFD8" w14:textId="77777777" w:rsidR="001B7F77" w:rsidRPr="001B7F77" w:rsidRDefault="001B7F77" w:rsidP="001B7F77">
      <w:pPr>
        <w:suppressAutoHyphens/>
        <w:spacing w:before="120"/>
        <w:jc w:val="center"/>
        <w:outlineLvl w:val="0"/>
        <w:rPr>
          <w:rFonts w:eastAsia="Helvetica Neue"/>
          <w:b/>
          <w:u w:val="single"/>
        </w:rPr>
      </w:pPr>
    </w:p>
    <w:p w14:paraId="1F3BDDDC" w14:textId="77777777" w:rsidR="001B7F77" w:rsidRPr="001B7F77" w:rsidRDefault="001B7F77" w:rsidP="001B7F77">
      <w:pPr>
        <w:suppressAutoHyphens/>
        <w:spacing w:before="120"/>
        <w:jc w:val="center"/>
        <w:outlineLvl w:val="0"/>
        <w:rPr>
          <w:rFonts w:eastAsia="Helvetica Neue"/>
          <w:b/>
          <w:u w:val="single"/>
        </w:rPr>
      </w:pPr>
      <w:r w:rsidRPr="001B7F77">
        <w:rPr>
          <w:rFonts w:eastAsia="Helvetica Neue"/>
          <w:b/>
          <w:u w:val="single"/>
        </w:rPr>
        <w:t>SECTION EBC 505</w:t>
      </w:r>
      <w:r w:rsidRPr="001B7F77">
        <w:rPr>
          <w:rFonts w:eastAsia="Helvetica Neue"/>
          <w:b/>
          <w:u w:val="single"/>
        </w:rPr>
        <w:br/>
        <w:t>LIMITED SPRINKLER ALTERATIONS</w:t>
      </w:r>
    </w:p>
    <w:p w14:paraId="56BAF2F9" w14:textId="77777777" w:rsidR="001B7F77" w:rsidRPr="001B7F77" w:rsidRDefault="001B7F77" w:rsidP="001B7F77">
      <w:pPr>
        <w:spacing w:before="120"/>
        <w:rPr>
          <w:rFonts w:eastAsia="Calibri" w:cs="Arial"/>
          <w:color w:val="000000"/>
          <w:szCs w:val="24"/>
          <w:u w:val="single"/>
        </w:rPr>
      </w:pPr>
      <w:bookmarkStart w:id="127" w:name="_heading=h.2s8eyo1"/>
      <w:bookmarkEnd w:id="127"/>
      <w:r w:rsidRPr="001B7F77">
        <w:rPr>
          <w:rFonts w:eastAsia="Calibri" w:cs="Arial"/>
          <w:b/>
          <w:color w:val="000000"/>
          <w:szCs w:val="24"/>
          <w:u w:val="single"/>
        </w:rPr>
        <w:t xml:space="preserve">505.1 Filing. </w:t>
      </w:r>
      <w:r w:rsidRPr="001B7F77">
        <w:rPr>
          <w:rFonts w:eastAsia="Calibri" w:cs="Arial"/>
          <w:color w:val="000000"/>
          <w:szCs w:val="24"/>
          <w:u w:val="single"/>
        </w:rPr>
        <w:t xml:space="preserve">Limited alterations made to sprinkler systems shall be filed and performed by a master fire suppression piping contractor, meeting the requirements of Article 410 of the </w:t>
      </w:r>
      <w:r w:rsidRPr="001B7F77">
        <w:rPr>
          <w:rFonts w:eastAsia="Calibri" w:cs="Arial"/>
          <w:i/>
          <w:color w:val="000000"/>
          <w:szCs w:val="24"/>
          <w:u w:val="single"/>
        </w:rPr>
        <w:t>Administrative Code</w:t>
      </w:r>
      <w:r w:rsidRPr="001B7F77">
        <w:rPr>
          <w:rFonts w:eastAsia="Calibri" w:cs="Arial"/>
          <w:color w:val="000000"/>
          <w:szCs w:val="24"/>
          <w:u w:val="single"/>
        </w:rPr>
        <w:t>.</w:t>
      </w:r>
    </w:p>
    <w:p w14:paraId="5D08212F" w14:textId="77777777" w:rsidR="001B7F77" w:rsidRPr="001B7F77" w:rsidRDefault="001B7F77" w:rsidP="001B7F77">
      <w:pPr>
        <w:tabs>
          <w:tab w:val="left" w:pos="360"/>
        </w:tabs>
        <w:spacing w:before="120"/>
        <w:rPr>
          <w:rFonts w:eastAsia="Calibri" w:cs="Arial"/>
          <w:color w:val="000000"/>
          <w:szCs w:val="24"/>
          <w:u w:val="single"/>
        </w:rPr>
      </w:pPr>
      <w:r w:rsidRPr="001B7F77">
        <w:rPr>
          <w:rFonts w:eastAsia="Calibri" w:cs="Arial"/>
          <w:b/>
          <w:bCs/>
          <w:color w:val="000000"/>
          <w:szCs w:val="24"/>
          <w:u w:val="single"/>
        </w:rPr>
        <w:t>505.2 Categories of work.</w:t>
      </w:r>
      <w:r w:rsidRPr="001B7F77">
        <w:rPr>
          <w:rFonts w:eastAsia="Calibri" w:cs="Arial"/>
          <w:color w:val="000000"/>
          <w:szCs w:val="24"/>
          <w:u w:val="single"/>
        </w:rPr>
        <w:t xml:space="preserve"> Limited sprinkler alterations shall be limited to the types of work set forth in Sections 505.2.1 through 505.2.3.</w:t>
      </w:r>
    </w:p>
    <w:p w14:paraId="1BEDE30A" w14:textId="77777777" w:rsidR="001B7F77" w:rsidRPr="001B7F77" w:rsidRDefault="001B7F77" w:rsidP="001B7F77">
      <w:pPr>
        <w:tabs>
          <w:tab w:val="left" w:pos="360"/>
        </w:tabs>
        <w:spacing w:before="120"/>
        <w:ind w:left="360"/>
        <w:rPr>
          <w:rFonts w:eastAsia="Calibri" w:cs="Arial"/>
          <w:color w:val="000000"/>
          <w:szCs w:val="24"/>
          <w:u w:val="single"/>
        </w:rPr>
      </w:pPr>
      <w:r w:rsidRPr="001B7F77">
        <w:rPr>
          <w:rFonts w:eastAsia="Calibri" w:cs="Arial"/>
          <w:b/>
          <w:color w:val="000000"/>
          <w:szCs w:val="24"/>
          <w:u w:val="single"/>
        </w:rPr>
        <w:t>505.2.1 Category 1</w:t>
      </w:r>
      <w:r w:rsidRPr="001B7F77">
        <w:rPr>
          <w:rFonts w:eastAsia="Calibri" w:cs="Arial"/>
          <w:color w:val="000000"/>
          <w:szCs w:val="24"/>
          <w:u w:val="single"/>
        </w:rPr>
        <w:t xml:space="preserve">. An alteration to an existing sprinkler system where the total cost of the proposed Category 1 work in the building does not exceed fifty thousand dollars in any 12-month period, the fire rating of the area where the new sprinkler heads are being installed is not being altered and the proposed work is limited to the installation of up to five new sprinkler heads off of an existing sprinkler system. </w:t>
      </w:r>
    </w:p>
    <w:p w14:paraId="102BBDBE" w14:textId="77777777" w:rsidR="001B7F77" w:rsidRPr="001B7F77" w:rsidRDefault="001B7F77" w:rsidP="001B7F77">
      <w:pPr>
        <w:tabs>
          <w:tab w:val="left" w:pos="360"/>
        </w:tabs>
        <w:spacing w:before="120"/>
        <w:ind w:left="360"/>
        <w:rPr>
          <w:rFonts w:eastAsia="Calibri" w:cs="Arial"/>
          <w:color w:val="000000"/>
          <w:szCs w:val="24"/>
          <w:u w:val="single"/>
        </w:rPr>
      </w:pPr>
      <w:r w:rsidRPr="001B7F77">
        <w:rPr>
          <w:rFonts w:eastAsia="Calibri" w:cs="Arial"/>
          <w:b/>
          <w:bCs/>
          <w:color w:val="000000"/>
          <w:szCs w:val="24"/>
          <w:u w:val="single"/>
        </w:rPr>
        <w:t>505.2.2 Category 2.</w:t>
      </w:r>
      <w:r w:rsidRPr="001B7F77">
        <w:rPr>
          <w:rFonts w:eastAsia="Calibri" w:cs="Arial"/>
          <w:color w:val="000000"/>
          <w:szCs w:val="24"/>
          <w:u w:val="single"/>
        </w:rPr>
        <w:t xml:space="preserve"> An alteration, repair or replacement of an existing sprinkler system or combined sprinkler standpipe system that is not subject to cost or duration limitations and that is limited to:</w:t>
      </w:r>
    </w:p>
    <w:p w14:paraId="791AE3F5" w14:textId="77777777" w:rsidR="001B7F77" w:rsidRPr="001B7F77" w:rsidRDefault="001B7F77" w:rsidP="001B7F77">
      <w:pPr>
        <w:widowControl w:val="0"/>
        <w:pBdr>
          <w:top w:val="nil"/>
          <w:left w:val="nil"/>
          <w:bottom w:val="nil"/>
          <w:right w:val="nil"/>
          <w:between w:val="nil"/>
        </w:pBdr>
        <w:tabs>
          <w:tab w:val="left" w:pos="720"/>
          <w:tab w:val="left" w:pos="1080"/>
        </w:tabs>
        <w:autoSpaceDE w:val="0"/>
        <w:autoSpaceDN w:val="0"/>
        <w:adjustRightInd w:val="0"/>
        <w:spacing w:before="120"/>
        <w:ind w:left="1080" w:hanging="360"/>
        <w:rPr>
          <w:rFonts w:eastAsia="Arial"/>
          <w:szCs w:val="24"/>
          <w:u w:val="single"/>
        </w:rPr>
      </w:pPr>
      <w:r w:rsidRPr="001B7F77">
        <w:rPr>
          <w:rFonts w:eastAsia="Arial"/>
          <w:szCs w:val="24"/>
          <w:u w:val="single"/>
        </w:rPr>
        <w:t>1.</w:t>
      </w:r>
      <w:r w:rsidRPr="001B7F77">
        <w:rPr>
          <w:rFonts w:eastAsia="Arial"/>
          <w:szCs w:val="24"/>
        </w:rPr>
        <w:tab/>
      </w:r>
      <w:r w:rsidRPr="001B7F77">
        <w:rPr>
          <w:rFonts w:eastAsia="Arial"/>
          <w:szCs w:val="24"/>
          <w:u w:val="single"/>
        </w:rPr>
        <w:t>Replacement of sprinkler heads, provided that orifice sizes, type and deflector positions remain the same;</w:t>
      </w:r>
    </w:p>
    <w:p w14:paraId="17A82837" w14:textId="77777777" w:rsidR="001B7F77" w:rsidRPr="001B7F77" w:rsidRDefault="001B7F77" w:rsidP="001B7F77">
      <w:pPr>
        <w:widowControl w:val="0"/>
        <w:pBdr>
          <w:top w:val="nil"/>
          <w:left w:val="nil"/>
          <w:bottom w:val="nil"/>
          <w:right w:val="nil"/>
          <w:between w:val="nil"/>
        </w:pBdr>
        <w:tabs>
          <w:tab w:val="left" w:pos="720"/>
          <w:tab w:val="left" w:pos="1080"/>
        </w:tabs>
        <w:autoSpaceDE w:val="0"/>
        <w:autoSpaceDN w:val="0"/>
        <w:adjustRightInd w:val="0"/>
        <w:spacing w:before="120"/>
        <w:ind w:left="1080" w:hanging="360"/>
        <w:rPr>
          <w:rFonts w:eastAsia="Arial"/>
          <w:szCs w:val="24"/>
          <w:u w:val="single"/>
        </w:rPr>
      </w:pPr>
      <w:r w:rsidRPr="001B7F77">
        <w:rPr>
          <w:rFonts w:eastAsia="Arial"/>
          <w:szCs w:val="24"/>
          <w:u w:val="single"/>
        </w:rPr>
        <w:t>2.</w:t>
      </w:r>
      <w:r w:rsidRPr="001B7F77">
        <w:rPr>
          <w:rFonts w:eastAsia="Arial"/>
          <w:szCs w:val="24"/>
          <w:u w:val="single"/>
        </w:rPr>
        <w:tab/>
        <w:t>Replacement of parts required for the operation of a sprinkler system or combined sprinkler standpipe system;</w:t>
      </w:r>
    </w:p>
    <w:p w14:paraId="291B8359" w14:textId="77777777" w:rsidR="001B7F77" w:rsidRPr="001B7F77" w:rsidRDefault="001B7F77" w:rsidP="001B7F77">
      <w:pPr>
        <w:widowControl w:val="0"/>
        <w:pBdr>
          <w:top w:val="nil"/>
          <w:left w:val="nil"/>
          <w:bottom w:val="nil"/>
          <w:right w:val="nil"/>
          <w:between w:val="nil"/>
        </w:pBdr>
        <w:tabs>
          <w:tab w:val="left" w:pos="720"/>
          <w:tab w:val="left" w:pos="1080"/>
        </w:tabs>
        <w:autoSpaceDE w:val="0"/>
        <w:autoSpaceDN w:val="0"/>
        <w:adjustRightInd w:val="0"/>
        <w:spacing w:before="120"/>
        <w:ind w:left="1080" w:hanging="360"/>
        <w:rPr>
          <w:rFonts w:eastAsia="Arial"/>
          <w:szCs w:val="24"/>
          <w:u w:val="single"/>
        </w:rPr>
      </w:pPr>
      <w:r w:rsidRPr="001B7F77">
        <w:rPr>
          <w:rFonts w:eastAsia="Arial"/>
          <w:szCs w:val="24"/>
          <w:u w:val="single"/>
        </w:rPr>
        <w:t>3.</w:t>
      </w:r>
      <w:r w:rsidRPr="001B7F77">
        <w:rPr>
          <w:rFonts w:eastAsia="Arial"/>
          <w:szCs w:val="24"/>
        </w:rPr>
        <w:tab/>
      </w:r>
      <w:r w:rsidRPr="001B7F77">
        <w:rPr>
          <w:rFonts w:eastAsia="Arial"/>
          <w:szCs w:val="24"/>
          <w:u w:val="single"/>
        </w:rPr>
        <w:t>Changes that do not alter the type of sprinkler system;</w:t>
      </w:r>
    </w:p>
    <w:p w14:paraId="1F8ABE1B" w14:textId="77777777" w:rsidR="001B7F77" w:rsidRPr="001B7F77" w:rsidRDefault="001B7F77" w:rsidP="001B7F77">
      <w:pPr>
        <w:widowControl w:val="0"/>
        <w:pBdr>
          <w:top w:val="nil"/>
          <w:left w:val="nil"/>
          <w:bottom w:val="nil"/>
          <w:right w:val="nil"/>
          <w:between w:val="nil"/>
        </w:pBdr>
        <w:tabs>
          <w:tab w:val="left" w:pos="720"/>
          <w:tab w:val="left" w:pos="1080"/>
        </w:tabs>
        <w:autoSpaceDE w:val="0"/>
        <w:autoSpaceDN w:val="0"/>
        <w:adjustRightInd w:val="0"/>
        <w:spacing w:before="120"/>
        <w:ind w:left="1080" w:hanging="360"/>
        <w:rPr>
          <w:rFonts w:eastAsia="Arial"/>
          <w:szCs w:val="24"/>
          <w:u w:val="single"/>
        </w:rPr>
      </w:pPr>
      <w:r w:rsidRPr="001B7F77">
        <w:rPr>
          <w:rFonts w:eastAsia="Arial"/>
          <w:szCs w:val="24"/>
          <w:u w:val="single"/>
        </w:rPr>
        <w:t>4.</w:t>
      </w:r>
      <w:r w:rsidRPr="001B7F77">
        <w:rPr>
          <w:rFonts w:eastAsia="Arial"/>
          <w:szCs w:val="24"/>
          <w:u w:val="single"/>
        </w:rPr>
        <w:tab/>
        <w:t>Repair, replacement or relocation of piping that does not affect the operation of the sprinkler system provided that orifice sizes, type and deflector positions remain the same;</w:t>
      </w:r>
    </w:p>
    <w:p w14:paraId="28ABE44E" w14:textId="77777777" w:rsidR="001B7F77" w:rsidRPr="001B7F77" w:rsidRDefault="001B7F77" w:rsidP="001B7F77">
      <w:pPr>
        <w:widowControl w:val="0"/>
        <w:pBdr>
          <w:top w:val="nil"/>
          <w:left w:val="nil"/>
          <w:bottom w:val="nil"/>
          <w:right w:val="nil"/>
          <w:between w:val="nil"/>
        </w:pBdr>
        <w:tabs>
          <w:tab w:val="left" w:pos="720"/>
          <w:tab w:val="left" w:pos="1080"/>
        </w:tabs>
        <w:autoSpaceDE w:val="0"/>
        <w:autoSpaceDN w:val="0"/>
        <w:adjustRightInd w:val="0"/>
        <w:spacing w:before="120"/>
        <w:ind w:left="1080" w:hanging="360"/>
        <w:rPr>
          <w:rFonts w:eastAsia="Arial"/>
          <w:szCs w:val="24"/>
          <w:u w:val="single"/>
        </w:rPr>
      </w:pPr>
      <w:r w:rsidRPr="001B7F77">
        <w:rPr>
          <w:rFonts w:eastAsia="Arial"/>
          <w:szCs w:val="24"/>
          <w:u w:val="single"/>
        </w:rPr>
        <w:t>5.</w:t>
      </w:r>
      <w:r w:rsidRPr="001B7F77">
        <w:rPr>
          <w:rFonts w:eastAsia="Arial"/>
          <w:szCs w:val="24"/>
          <w:u w:val="single"/>
        </w:rPr>
        <w:tab/>
        <w:t xml:space="preserve">Rearrangement of not more than 30 sprinkler heads in areas classified in light hazard occupancy, as such term is defined in NFPA 13 as modified by Appendix Q of the </w:t>
      </w:r>
      <w:r w:rsidRPr="001B7F77">
        <w:rPr>
          <w:rFonts w:eastAsia="Arial"/>
          <w:i/>
          <w:iCs/>
          <w:szCs w:val="24"/>
          <w:u w:val="single"/>
        </w:rPr>
        <w:t>New York City Building Code</w:t>
      </w:r>
      <w:r w:rsidRPr="001B7F77">
        <w:rPr>
          <w:rFonts w:eastAsia="Arial"/>
          <w:szCs w:val="24"/>
          <w:u w:val="single"/>
        </w:rPr>
        <w:t>, provided such areas are already sprinklered and such areas will remain in such occupancy;</w:t>
      </w:r>
    </w:p>
    <w:p w14:paraId="65625DA6" w14:textId="77777777" w:rsidR="001B7F77" w:rsidRPr="001B7F77" w:rsidRDefault="001B7F77" w:rsidP="001B7F77">
      <w:pPr>
        <w:widowControl w:val="0"/>
        <w:pBdr>
          <w:top w:val="nil"/>
          <w:left w:val="nil"/>
          <w:bottom w:val="nil"/>
          <w:right w:val="nil"/>
          <w:between w:val="nil"/>
        </w:pBdr>
        <w:tabs>
          <w:tab w:val="left" w:pos="720"/>
          <w:tab w:val="left" w:pos="1080"/>
        </w:tabs>
        <w:autoSpaceDE w:val="0"/>
        <w:autoSpaceDN w:val="0"/>
        <w:adjustRightInd w:val="0"/>
        <w:spacing w:before="120"/>
        <w:ind w:left="1080" w:hanging="360"/>
        <w:rPr>
          <w:rFonts w:eastAsia="Arial"/>
          <w:szCs w:val="24"/>
          <w:u w:val="single"/>
        </w:rPr>
      </w:pPr>
      <w:r w:rsidRPr="001B7F77">
        <w:rPr>
          <w:rFonts w:eastAsia="Arial"/>
          <w:szCs w:val="24"/>
          <w:u w:val="single"/>
        </w:rPr>
        <w:t>6.</w:t>
      </w:r>
      <w:r w:rsidRPr="001B7F77">
        <w:rPr>
          <w:rFonts w:eastAsia="Arial"/>
          <w:szCs w:val="24"/>
          <w:u w:val="single"/>
        </w:rPr>
        <w:tab/>
        <w:t xml:space="preserve">Rearrangement of not more than 30 sprinkler heads in restaurant service areas classified in Group 1 ordinary hazard occupancy, as such term is defined in NFPA 13 as amended by Appendix Q of the </w:t>
      </w:r>
      <w:r w:rsidRPr="001B7F77">
        <w:rPr>
          <w:rFonts w:eastAsia="Arial"/>
          <w:i/>
          <w:iCs/>
          <w:szCs w:val="24"/>
          <w:u w:val="single"/>
        </w:rPr>
        <w:t>New York City Building Code</w:t>
      </w:r>
      <w:r w:rsidRPr="001B7F77">
        <w:rPr>
          <w:rFonts w:eastAsia="Arial"/>
          <w:szCs w:val="24"/>
          <w:u w:val="single"/>
        </w:rPr>
        <w:t>, provided such areas are already sprinklered and such areas will remain in such occupancy;</w:t>
      </w:r>
    </w:p>
    <w:p w14:paraId="09AF96EE" w14:textId="77777777" w:rsidR="001B7F77" w:rsidRPr="001B7F77" w:rsidRDefault="001B7F77" w:rsidP="001B7F77">
      <w:pPr>
        <w:widowControl w:val="0"/>
        <w:pBdr>
          <w:top w:val="nil"/>
          <w:left w:val="nil"/>
          <w:bottom w:val="nil"/>
          <w:right w:val="nil"/>
          <w:between w:val="nil"/>
        </w:pBdr>
        <w:tabs>
          <w:tab w:val="left" w:pos="720"/>
          <w:tab w:val="left" w:pos="1080"/>
        </w:tabs>
        <w:autoSpaceDE w:val="0"/>
        <w:autoSpaceDN w:val="0"/>
        <w:adjustRightInd w:val="0"/>
        <w:spacing w:before="120"/>
        <w:ind w:left="1080" w:hanging="360"/>
        <w:rPr>
          <w:rFonts w:eastAsia="Arial"/>
          <w:szCs w:val="24"/>
          <w:u w:val="single"/>
        </w:rPr>
      </w:pPr>
      <w:r w:rsidRPr="001B7F77">
        <w:rPr>
          <w:rFonts w:eastAsia="Arial"/>
          <w:szCs w:val="24"/>
          <w:u w:val="single"/>
        </w:rPr>
        <w:t>7.</w:t>
      </w:r>
      <w:r w:rsidRPr="001B7F77">
        <w:rPr>
          <w:rFonts w:eastAsia="Arial"/>
          <w:szCs w:val="24"/>
          <w:u w:val="single"/>
        </w:rPr>
        <w:tab/>
        <w:t xml:space="preserve">Rearrangement of not more than 30 sprinkler heads in mercantile areas classified in Group 2 ordinary hazard occupancy, as such term is defined by NFPA 13 as modified by Appendix Q of the </w:t>
      </w:r>
      <w:r w:rsidRPr="001B7F77">
        <w:rPr>
          <w:rFonts w:eastAsia="Arial"/>
          <w:i/>
          <w:iCs/>
          <w:szCs w:val="24"/>
          <w:u w:val="single"/>
        </w:rPr>
        <w:t>New York City Building Code</w:t>
      </w:r>
      <w:r w:rsidRPr="001B7F77">
        <w:rPr>
          <w:rFonts w:eastAsia="Arial"/>
          <w:szCs w:val="24"/>
          <w:u w:val="single"/>
        </w:rPr>
        <w:t>, provided such areas are already sprinklered and such areas will remain in such occupancy;</w:t>
      </w:r>
    </w:p>
    <w:p w14:paraId="303DD1F9" w14:textId="77777777" w:rsidR="001B7F77" w:rsidRPr="001B7F77" w:rsidRDefault="001B7F77" w:rsidP="001B7F77">
      <w:pPr>
        <w:widowControl w:val="0"/>
        <w:pBdr>
          <w:top w:val="nil"/>
          <w:left w:val="nil"/>
          <w:bottom w:val="nil"/>
          <w:right w:val="nil"/>
          <w:between w:val="nil"/>
        </w:pBdr>
        <w:tabs>
          <w:tab w:val="left" w:pos="720"/>
          <w:tab w:val="left" w:pos="1080"/>
        </w:tabs>
        <w:autoSpaceDE w:val="0"/>
        <w:autoSpaceDN w:val="0"/>
        <w:adjustRightInd w:val="0"/>
        <w:spacing w:before="120"/>
        <w:ind w:left="1080" w:hanging="360"/>
        <w:rPr>
          <w:rFonts w:eastAsia="Arial"/>
          <w:szCs w:val="24"/>
          <w:u w:val="single"/>
        </w:rPr>
      </w:pPr>
      <w:r w:rsidRPr="001B7F77">
        <w:rPr>
          <w:rFonts w:eastAsia="Arial"/>
          <w:szCs w:val="24"/>
          <w:u w:val="single"/>
        </w:rPr>
        <w:t>8.</w:t>
      </w:r>
      <w:r w:rsidRPr="001B7F77">
        <w:rPr>
          <w:rFonts w:eastAsia="Arial"/>
          <w:szCs w:val="24"/>
          <w:u w:val="single"/>
        </w:rPr>
        <w:tab/>
        <w:t xml:space="preserve">Rearrangement of sprinkler heads in a storage area under 200 square feet classified as Group 1 ordinary hazard, as defined by NFPA 13 as modified by Appendix Q of the </w:t>
      </w:r>
      <w:r w:rsidRPr="001B7F77">
        <w:rPr>
          <w:rFonts w:eastAsia="Arial"/>
          <w:i/>
          <w:iCs/>
          <w:szCs w:val="24"/>
          <w:u w:val="single"/>
        </w:rPr>
        <w:t>New York City Building Code</w:t>
      </w:r>
      <w:r w:rsidRPr="001B7F77">
        <w:rPr>
          <w:rFonts w:eastAsia="Arial"/>
          <w:szCs w:val="24"/>
          <w:u w:val="single"/>
        </w:rPr>
        <w:t>, provided such areas are already sprinklered and such areas will remain in such occupancy;</w:t>
      </w:r>
    </w:p>
    <w:p w14:paraId="4EAD090F" w14:textId="77777777" w:rsidR="001B7F77" w:rsidRPr="001B7F77" w:rsidRDefault="001B7F77" w:rsidP="001B7F77">
      <w:pPr>
        <w:widowControl w:val="0"/>
        <w:pBdr>
          <w:top w:val="nil"/>
          <w:left w:val="nil"/>
          <w:bottom w:val="nil"/>
          <w:right w:val="nil"/>
          <w:between w:val="nil"/>
        </w:pBdr>
        <w:tabs>
          <w:tab w:val="left" w:pos="720"/>
          <w:tab w:val="left" w:pos="1080"/>
        </w:tabs>
        <w:autoSpaceDE w:val="0"/>
        <w:autoSpaceDN w:val="0"/>
        <w:adjustRightInd w:val="0"/>
        <w:spacing w:before="120"/>
        <w:ind w:left="1080" w:hanging="360"/>
        <w:rPr>
          <w:rFonts w:eastAsia="Arial"/>
          <w:szCs w:val="24"/>
          <w:u w:val="single"/>
        </w:rPr>
      </w:pPr>
      <w:r w:rsidRPr="001B7F77">
        <w:rPr>
          <w:rFonts w:eastAsia="Arial"/>
          <w:szCs w:val="24"/>
          <w:u w:val="single"/>
        </w:rPr>
        <w:t>9.</w:t>
      </w:r>
      <w:r w:rsidRPr="001B7F77">
        <w:rPr>
          <w:rFonts w:eastAsia="Arial"/>
          <w:szCs w:val="24"/>
          <w:u w:val="single"/>
        </w:rPr>
        <w:tab/>
        <w:t xml:space="preserve">Unlimited cut and cap of an existing sprinkler system associated with a permitted demolition or gut renovation; </w:t>
      </w:r>
    </w:p>
    <w:p w14:paraId="5F4168DA" w14:textId="77777777" w:rsidR="001B7F77" w:rsidRPr="001B7F77" w:rsidRDefault="001B7F77" w:rsidP="001B7F77">
      <w:pPr>
        <w:widowControl w:val="0"/>
        <w:pBdr>
          <w:top w:val="nil"/>
          <w:left w:val="nil"/>
          <w:bottom w:val="nil"/>
          <w:right w:val="nil"/>
          <w:between w:val="nil"/>
        </w:pBdr>
        <w:tabs>
          <w:tab w:val="left" w:pos="720"/>
          <w:tab w:val="left" w:pos="1080"/>
        </w:tabs>
        <w:autoSpaceDE w:val="0"/>
        <w:autoSpaceDN w:val="0"/>
        <w:adjustRightInd w:val="0"/>
        <w:spacing w:before="120"/>
        <w:ind w:left="1080" w:hanging="360"/>
        <w:rPr>
          <w:rFonts w:eastAsia="Arial"/>
          <w:szCs w:val="24"/>
          <w:u w:val="single"/>
        </w:rPr>
      </w:pPr>
      <w:r w:rsidRPr="001B7F77">
        <w:rPr>
          <w:rFonts w:eastAsia="Arial"/>
          <w:szCs w:val="24"/>
          <w:u w:val="single"/>
        </w:rPr>
        <w:t>10.</w:t>
      </w:r>
      <w:r w:rsidRPr="001B7F77">
        <w:rPr>
          <w:rFonts w:eastAsia="Arial"/>
          <w:szCs w:val="24"/>
          <w:u w:val="single"/>
        </w:rPr>
        <w:tab/>
        <w:t>Relocation of a fire department connection as part of a combined system; and</w:t>
      </w:r>
    </w:p>
    <w:p w14:paraId="6B605C51" w14:textId="77777777" w:rsidR="001B7F77" w:rsidRPr="001B7F77" w:rsidRDefault="001B7F77" w:rsidP="001B7F77">
      <w:pPr>
        <w:widowControl w:val="0"/>
        <w:pBdr>
          <w:top w:val="nil"/>
          <w:left w:val="nil"/>
          <w:bottom w:val="nil"/>
          <w:right w:val="nil"/>
          <w:between w:val="nil"/>
        </w:pBdr>
        <w:tabs>
          <w:tab w:val="left" w:pos="720"/>
          <w:tab w:val="left" w:pos="1080"/>
        </w:tabs>
        <w:autoSpaceDE w:val="0"/>
        <w:autoSpaceDN w:val="0"/>
        <w:adjustRightInd w:val="0"/>
        <w:spacing w:before="120"/>
        <w:ind w:left="1080" w:hanging="360"/>
        <w:rPr>
          <w:rFonts w:eastAsia="Arial"/>
          <w:szCs w:val="24"/>
          <w:u w:val="single"/>
        </w:rPr>
      </w:pPr>
      <w:r w:rsidRPr="001B7F77">
        <w:rPr>
          <w:rFonts w:eastAsia="Arial"/>
          <w:szCs w:val="24"/>
          <w:u w:val="single"/>
        </w:rPr>
        <w:t>11.</w:t>
      </w:r>
      <w:r w:rsidRPr="001B7F77">
        <w:rPr>
          <w:rFonts w:eastAsia="Arial"/>
          <w:szCs w:val="24"/>
          <w:u w:val="single"/>
        </w:rPr>
        <w:tab/>
        <w:t>Relocation of class II auxiliary hose connections and cabinets within 10 feet (3048 mm) of their original location, provided that the existing covered area is not affected.</w:t>
      </w:r>
    </w:p>
    <w:p w14:paraId="6AC2898E" w14:textId="77777777" w:rsidR="001B7F77" w:rsidRPr="001B7F77" w:rsidRDefault="001B7F77" w:rsidP="001B7F77">
      <w:pPr>
        <w:tabs>
          <w:tab w:val="left" w:pos="360"/>
        </w:tabs>
        <w:spacing w:before="120"/>
        <w:ind w:left="360"/>
        <w:rPr>
          <w:rFonts w:eastAsia="Calibri" w:cs="Arial"/>
          <w:color w:val="000000"/>
          <w:szCs w:val="24"/>
          <w:u w:val="single"/>
        </w:rPr>
      </w:pPr>
      <w:r w:rsidRPr="001B7F77">
        <w:rPr>
          <w:rFonts w:eastAsia="Calibri" w:cs="Arial"/>
          <w:b/>
          <w:color w:val="000000"/>
          <w:szCs w:val="24"/>
          <w:u w:val="single"/>
        </w:rPr>
        <w:t>505.2.3 Category 3.</w:t>
      </w:r>
      <w:r w:rsidRPr="001B7F77">
        <w:rPr>
          <w:rFonts w:eastAsia="Calibri" w:cs="Arial"/>
          <w:color w:val="000000"/>
          <w:szCs w:val="24"/>
          <w:u w:val="single"/>
        </w:rPr>
        <w:t xml:space="preserve"> An alteration, repair or replacement of components of an existing sprinkler system that may be performed without the requirement of associated department inspections and that is limited to: </w:t>
      </w:r>
    </w:p>
    <w:p w14:paraId="44240FC9" w14:textId="77777777" w:rsidR="001B7F77" w:rsidRPr="001B7F77" w:rsidRDefault="001B7F77" w:rsidP="001B7F77">
      <w:pPr>
        <w:widowControl w:val="0"/>
        <w:pBdr>
          <w:top w:val="nil"/>
          <w:left w:val="nil"/>
          <w:bottom w:val="nil"/>
          <w:right w:val="nil"/>
          <w:between w:val="nil"/>
        </w:pBdr>
        <w:tabs>
          <w:tab w:val="left" w:pos="720"/>
          <w:tab w:val="left" w:pos="1080"/>
        </w:tabs>
        <w:autoSpaceDE w:val="0"/>
        <w:autoSpaceDN w:val="0"/>
        <w:adjustRightInd w:val="0"/>
        <w:spacing w:before="120"/>
        <w:ind w:left="1080" w:hanging="360"/>
        <w:rPr>
          <w:rFonts w:eastAsia="Arial"/>
          <w:szCs w:val="24"/>
          <w:u w:val="single"/>
        </w:rPr>
      </w:pPr>
      <w:r w:rsidRPr="001B7F77">
        <w:rPr>
          <w:rFonts w:eastAsia="Arial"/>
          <w:szCs w:val="24"/>
          <w:u w:val="single"/>
        </w:rPr>
        <w:t>1.</w:t>
      </w:r>
      <w:r w:rsidRPr="001B7F77">
        <w:rPr>
          <w:rFonts w:eastAsia="Arial"/>
          <w:szCs w:val="24"/>
          <w:u w:val="single"/>
        </w:rPr>
        <w:tab/>
        <w:t>Direct replacement of drain piping;</w:t>
      </w:r>
    </w:p>
    <w:p w14:paraId="367E6DE2" w14:textId="77777777" w:rsidR="001B7F77" w:rsidRPr="001B7F77" w:rsidRDefault="001B7F77" w:rsidP="001B7F77">
      <w:pPr>
        <w:widowControl w:val="0"/>
        <w:pBdr>
          <w:top w:val="nil"/>
          <w:left w:val="nil"/>
          <w:bottom w:val="nil"/>
          <w:right w:val="nil"/>
          <w:between w:val="nil"/>
        </w:pBdr>
        <w:tabs>
          <w:tab w:val="left" w:pos="720"/>
          <w:tab w:val="left" w:pos="1080"/>
        </w:tabs>
        <w:autoSpaceDE w:val="0"/>
        <w:autoSpaceDN w:val="0"/>
        <w:adjustRightInd w:val="0"/>
        <w:spacing w:before="120"/>
        <w:ind w:left="1080" w:hanging="360"/>
        <w:rPr>
          <w:rFonts w:eastAsia="Arial"/>
          <w:szCs w:val="24"/>
          <w:u w:val="single"/>
        </w:rPr>
      </w:pPr>
      <w:r w:rsidRPr="001B7F77">
        <w:rPr>
          <w:rFonts w:eastAsia="Arial"/>
          <w:szCs w:val="24"/>
          <w:u w:val="single"/>
        </w:rPr>
        <w:t>2.</w:t>
      </w:r>
      <w:r w:rsidRPr="001B7F77">
        <w:rPr>
          <w:rFonts w:eastAsia="Arial"/>
          <w:szCs w:val="24"/>
          <w:u w:val="single"/>
        </w:rPr>
        <w:tab/>
        <w:t xml:space="preserve">Direct replacement of water flow, valve tamper, high-low pressure and similar switches, provided that any electrical wiring is performed in accordance with the provision of the </w:t>
      </w:r>
      <w:r w:rsidRPr="001B7F77">
        <w:rPr>
          <w:rFonts w:eastAsia="Arial"/>
          <w:i/>
          <w:szCs w:val="24"/>
          <w:u w:val="single"/>
        </w:rPr>
        <w:t>New York City Electrical Code</w:t>
      </w:r>
      <w:r w:rsidRPr="001B7F77">
        <w:rPr>
          <w:rFonts w:eastAsia="Arial"/>
          <w:szCs w:val="24"/>
          <w:u w:val="single"/>
        </w:rPr>
        <w:t xml:space="preserve"> and this code;</w:t>
      </w:r>
    </w:p>
    <w:p w14:paraId="2B4A451A" w14:textId="77777777" w:rsidR="001B7F77" w:rsidRPr="001B7F77" w:rsidRDefault="001B7F77" w:rsidP="001B7F77">
      <w:pPr>
        <w:widowControl w:val="0"/>
        <w:pBdr>
          <w:top w:val="nil"/>
          <w:left w:val="nil"/>
          <w:bottom w:val="nil"/>
          <w:right w:val="nil"/>
          <w:between w:val="nil"/>
        </w:pBdr>
        <w:tabs>
          <w:tab w:val="left" w:pos="720"/>
          <w:tab w:val="left" w:pos="1080"/>
        </w:tabs>
        <w:autoSpaceDE w:val="0"/>
        <w:autoSpaceDN w:val="0"/>
        <w:adjustRightInd w:val="0"/>
        <w:spacing w:before="120"/>
        <w:ind w:left="1080" w:hanging="360"/>
        <w:rPr>
          <w:rFonts w:eastAsia="Arial"/>
          <w:color w:val="000000"/>
          <w:szCs w:val="24"/>
          <w:u w:val="single"/>
        </w:rPr>
      </w:pPr>
      <w:r w:rsidRPr="001B7F77">
        <w:rPr>
          <w:rFonts w:eastAsia="Arial"/>
          <w:szCs w:val="24"/>
          <w:u w:val="single"/>
        </w:rPr>
        <w:t>3.</w:t>
      </w:r>
      <w:r w:rsidRPr="001B7F77">
        <w:rPr>
          <w:rFonts w:eastAsia="Arial"/>
          <w:szCs w:val="24"/>
          <w:u w:val="single"/>
        </w:rPr>
        <w:tab/>
        <w:t>Direct replacement of fire suppression related valves, gauges and controls; and</w:t>
      </w:r>
    </w:p>
    <w:p w14:paraId="5B49D3A8" w14:textId="77777777" w:rsidR="001B7F77" w:rsidRPr="001B7F77" w:rsidRDefault="001B7F77" w:rsidP="001B7F77">
      <w:pPr>
        <w:widowControl w:val="0"/>
        <w:pBdr>
          <w:top w:val="nil"/>
          <w:left w:val="nil"/>
          <w:bottom w:val="nil"/>
          <w:right w:val="nil"/>
          <w:between w:val="nil"/>
        </w:pBdr>
        <w:tabs>
          <w:tab w:val="left" w:pos="720"/>
          <w:tab w:val="left" w:pos="1080"/>
        </w:tabs>
        <w:autoSpaceDE w:val="0"/>
        <w:autoSpaceDN w:val="0"/>
        <w:adjustRightInd w:val="0"/>
        <w:spacing w:before="120"/>
        <w:ind w:left="1080" w:hanging="360"/>
        <w:rPr>
          <w:rFonts w:eastAsia="Helvetica Neue"/>
          <w:b/>
          <w:szCs w:val="24"/>
          <w:u w:val="single"/>
        </w:rPr>
      </w:pPr>
      <w:r w:rsidRPr="001B7F77">
        <w:rPr>
          <w:rFonts w:eastAsia="Arial"/>
          <w:szCs w:val="24"/>
          <w:u w:val="single"/>
        </w:rPr>
        <w:t>4.</w:t>
      </w:r>
      <w:r w:rsidRPr="001B7F77">
        <w:rPr>
          <w:rFonts w:eastAsia="Arial"/>
          <w:szCs w:val="24"/>
          <w:u w:val="single"/>
        </w:rPr>
        <w:tab/>
        <w:t>Repair or replacement of fire pump system components of same type and capacity including seals and repacking of pump shafts. This allowance does not include the full replacement of a fire pump.</w:t>
      </w:r>
    </w:p>
    <w:p w14:paraId="3A49AC5F" w14:textId="77777777" w:rsidR="001B7F77" w:rsidRPr="001B7F77" w:rsidRDefault="001B7F77" w:rsidP="001B7F77">
      <w:pPr>
        <w:suppressAutoHyphens/>
        <w:spacing w:before="120"/>
        <w:jc w:val="center"/>
        <w:outlineLvl w:val="0"/>
        <w:rPr>
          <w:rFonts w:eastAsia="Helvetica Neue"/>
          <w:b/>
          <w:u w:val="single"/>
        </w:rPr>
      </w:pPr>
    </w:p>
    <w:p w14:paraId="37669845" w14:textId="77777777" w:rsidR="001B7F77" w:rsidRPr="001B7F77" w:rsidRDefault="001B7F77" w:rsidP="001B7F77">
      <w:pPr>
        <w:suppressAutoHyphens/>
        <w:spacing w:before="120"/>
        <w:jc w:val="center"/>
        <w:outlineLvl w:val="0"/>
        <w:rPr>
          <w:rFonts w:eastAsia="Helvetica Neue"/>
          <w:b/>
          <w:u w:val="single"/>
        </w:rPr>
      </w:pPr>
      <w:r w:rsidRPr="001B7F77">
        <w:rPr>
          <w:rFonts w:eastAsia="Helvetica Neue"/>
          <w:b/>
          <w:u w:val="single"/>
        </w:rPr>
        <w:t>SECTION EBC 506</w:t>
      </w:r>
      <w:r w:rsidRPr="001B7F77">
        <w:rPr>
          <w:rFonts w:eastAsia="Helvetica Neue"/>
          <w:b/>
          <w:u w:val="single"/>
        </w:rPr>
        <w:br/>
        <w:t>LIMITED STANDPIPE ALTERATIONS</w:t>
      </w:r>
    </w:p>
    <w:p w14:paraId="75EC6E26" w14:textId="77777777" w:rsidR="001B7F77" w:rsidRPr="001B7F77" w:rsidRDefault="001B7F77" w:rsidP="001B7F77">
      <w:pPr>
        <w:spacing w:before="120"/>
        <w:rPr>
          <w:rFonts w:eastAsia="Calibri" w:cs="Arial"/>
          <w:color w:val="000000"/>
          <w:szCs w:val="24"/>
          <w:u w:val="single"/>
        </w:rPr>
      </w:pPr>
      <w:r w:rsidRPr="001B7F77">
        <w:rPr>
          <w:rFonts w:eastAsia="Calibri" w:cs="Arial"/>
          <w:b/>
          <w:color w:val="000000"/>
          <w:szCs w:val="24"/>
          <w:u w:val="single"/>
        </w:rPr>
        <w:t xml:space="preserve">506.1 Filing. </w:t>
      </w:r>
      <w:r w:rsidRPr="001B7F77">
        <w:rPr>
          <w:rFonts w:eastAsia="Calibri" w:cs="Arial"/>
          <w:color w:val="000000"/>
          <w:szCs w:val="24"/>
          <w:u w:val="single"/>
        </w:rPr>
        <w:t xml:space="preserve">Limited standpipe alterations shall be filed and performed by a licensed master fire suppression piping contractor or licensed master plumber meeting the requirements of Articles 410 or 408 of Title 28 of the </w:t>
      </w:r>
      <w:r w:rsidRPr="001B7F77">
        <w:rPr>
          <w:rFonts w:eastAsia="Calibri" w:cs="Arial"/>
          <w:i/>
          <w:color w:val="000000"/>
          <w:szCs w:val="24"/>
          <w:u w:val="single"/>
        </w:rPr>
        <w:t>Administrative Code</w:t>
      </w:r>
      <w:r w:rsidRPr="001B7F77">
        <w:rPr>
          <w:rFonts w:eastAsia="Calibri" w:cs="Arial"/>
          <w:color w:val="000000"/>
          <w:szCs w:val="24"/>
          <w:u w:val="single"/>
        </w:rPr>
        <w:t>, respectively.</w:t>
      </w:r>
    </w:p>
    <w:p w14:paraId="0A4A94E7" w14:textId="77777777" w:rsidR="001B7F77" w:rsidRPr="001B7F77" w:rsidRDefault="001B7F77" w:rsidP="001B7F77">
      <w:pPr>
        <w:spacing w:before="120"/>
        <w:jc w:val="left"/>
        <w:rPr>
          <w:rFonts w:eastAsia="Calibri" w:cs="Arial"/>
          <w:color w:val="000000"/>
          <w:szCs w:val="24"/>
          <w:u w:val="single"/>
        </w:rPr>
      </w:pPr>
      <w:r w:rsidRPr="001B7F77">
        <w:rPr>
          <w:rFonts w:eastAsia="Calibri" w:cs="Arial"/>
          <w:b/>
          <w:color w:val="000000"/>
          <w:szCs w:val="24"/>
          <w:u w:val="single"/>
        </w:rPr>
        <w:t>506.2 Categories of work</w:t>
      </w:r>
      <w:r w:rsidRPr="001B7F77">
        <w:rPr>
          <w:rFonts w:eastAsia="Calibri" w:cs="Arial"/>
          <w:color w:val="000000"/>
          <w:szCs w:val="24"/>
          <w:u w:val="single"/>
        </w:rPr>
        <w:t>. Limited standpipe alterations shall be limited to the types of work set forth in Section 506.2.1.</w:t>
      </w:r>
    </w:p>
    <w:p w14:paraId="6A3F2760" w14:textId="77777777" w:rsidR="001B7F77" w:rsidRPr="001B7F77" w:rsidRDefault="001B7F77" w:rsidP="001B7F77">
      <w:pPr>
        <w:tabs>
          <w:tab w:val="left" w:pos="360"/>
        </w:tabs>
        <w:spacing w:before="120"/>
        <w:ind w:left="360"/>
        <w:rPr>
          <w:rFonts w:eastAsia="Calibri" w:cs="Arial"/>
          <w:color w:val="000000"/>
          <w:szCs w:val="24"/>
          <w:u w:val="single"/>
        </w:rPr>
      </w:pPr>
      <w:bookmarkStart w:id="128" w:name="_heading=h.17dp8vu"/>
      <w:bookmarkEnd w:id="128"/>
      <w:r w:rsidRPr="001B7F77">
        <w:rPr>
          <w:rFonts w:eastAsia="Calibri" w:cs="Arial"/>
          <w:b/>
          <w:color w:val="000000"/>
          <w:szCs w:val="24"/>
          <w:u w:val="single"/>
        </w:rPr>
        <w:t>506.2.1 Category 2.</w:t>
      </w:r>
      <w:r w:rsidRPr="001B7F77">
        <w:rPr>
          <w:rFonts w:eastAsia="Calibri" w:cs="Arial"/>
          <w:color w:val="000000"/>
          <w:szCs w:val="24"/>
          <w:u w:val="single"/>
        </w:rPr>
        <w:t xml:space="preserve"> An alteration, replacement or repair to an existing standalone or combined standpipe system that is limited to the following:</w:t>
      </w:r>
    </w:p>
    <w:p w14:paraId="13D67654" w14:textId="77777777" w:rsidR="001B7F77" w:rsidRPr="001B7F77" w:rsidRDefault="001B7F77" w:rsidP="0001508F">
      <w:pPr>
        <w:widowControl w:val="0"/>
        <w:numPr>
          <w:ilvl w:val="0"/>
          <w:numId w:val="17"/>
        </w:numPr>
        <w:suppressAutoHyphens/>
        <w:spacing w:before="120"/>
        <w:contextualSpacing/>
        <w:jc w:val="left"/>
        <w:rPr>
          <w:rFonts w:eastAsia="Calibri"/>
          <w:color w:val="000000"/>
          <w:szCs w:val="24"/>
          <w:u w:val="single"/>
        </w:rPr>
      </w:pPr>
      <w:r w:rsidRPr="001B7F77">
        <w:rPr>
          <w:rFonts w:eastAsia="Calibri"/>
          <w:color w:val="000000"/>
          <w:szCs w:val="24"/>
          <w:u w:val="single"/>
        </w:rPr>
        <w:t>Repair, replacement, rearrangement or relocation of components and piping required for the operation of a standalone or combined standpipe system;</w:t>
      </w:r>
    </w:p>
    <w:p w14:paraId="25862FF0" w14:textId="77777777" w:rsidR="001B7F77" w:rsidRPr="001B7F77" w:rsidRDefault="001B7F77" w:rsidP="0001508F">
      <w:pPr>
        <w:widowControl w:val="0"/>
        <w:numPr>
          <w:ilvl w:val="0"/>
          <w:numId w:val="17"/>
        </w:numPr>
        <w:suppressAutoHyphens/>
        <w:spacing w:before="120"/>
        <w:contextualSpacing/>
        <w:jc w:val="left"/>
        <w:rPr>
          <w:rFonts w:eastAsia="Calibri"/>
          <w:color w:val="000000"/>
          <w:szCs w:val="24"/>
          <w:u w:val="single"/>
        </w:rPr>
      </w:pPr>
      <w:r w:rsidRPr="001B7F77">
        <w:rPr>
          <w:rFonts w:eastAsia="Calibri"/>
          <w:color w:val="000000"/>
          <w:szCs w:val="24"/>
          <w:u w:val="single"/>
        </w:rPr>
        <w:t xml:space="preserve">Relocation of standalone or combined standpipe auxiliary hose sources and cabinets within 10 feet (3048 mm) of their original location, provided that the existing covered area is not affected and provided that such relocation complies with this code for a new installation; </w:t>
      </w:r>
    </w:p>
    <w:p w14:paraId="27E9BF3D" w14:textId="77777777" w:rsidR="001B7F77" w:rsidRPr="001B7F77" w:rsidRDefault="001B7F77" w:rsidP="0001508F">
      <w:pPr>
        <w:widowControl w:val="0"/>
        <w:numPr>
          <w:ilvl w:val="0"/>
          <w:numId w:val="17"/>
        </w:numPr>
        <w:suppressAutoHyphens/>
        <w:spacing w:before="120"/>
        <w:contextualSpacing/>
        <w:jc w:val="left"/>
        <w:rPr>
          <w:rFonts w:eastAsia="Calibri"/>
          <w:color w:val="000000"/>
          <w:szCs w:val="24"/>
          <w:u w:val="single"/>
        </w:rPr>
      </w:pPr>
      <w:r w:rsidRPr="001B7F77">
        <w:rPr>
          <w:rFonts w:eastAsia="Calibri"/>
          <w:color w:val="000000"/>
          <w:szCs w:val="24"/>
          <w:u w:val="single"/>
        </w:rPr>
        <w:t>Unlimited cut and cap of an existing standalone or combined standpipe system for a demolition or gut renovation; and</w:t>
      </w:r>
    </w:p>
    <w:p w14:paraId="4D5A51B7" w14:textId="77777777" w:rsidR="001B7F77" w:rsidRPr="001B7F77" w:rsidRDefault="001B7F77" w:rsidP="0001508F">
      <w:pPr>
        <w:widowControl w:val="0"/>
        <w:numPr>
          <w:ilvl w:val="0"/>
          <w:numId w:val="17"/>
        </w:numPr>
        <w:suppressAutoHyphens/>
        <w:spacing w:before="120"/>
        <w:contextualSpacing/>
        <w:jc w:val="left"/>
        <w:rPr>
          <w:rFonts w:eastAsia="Calibri"/>
          <w:color w:val="000000"/>
          <w:szCs w:val="24"/>
          <w:u w:val="single"/>
        </w:rPr>
      </w:pPr>
      <w:r w:rsidRPr="001B7F77">
        <w:rPr>
          <w:rFonts w:eastAsia="Calibri"/>
          <w:color w:val="000000"/>
          <w:szCs w:val="24"/>
          <w:u w:val="single"/>
        </w:rPr>
        <w:t>Relocation of a fire department connection as part of a standalone system.</w:t>
      </w:r>
    </w:p>
    <w:p w14:paraId="1CFDA90F" w14:textId="77777777" w:rsidR="001B7F77" w:rsidRPr="001B7F77" w:rsidRDefault="001B7F77" w:rsidP="001B7F77">
      <w:pPr>
        <w:suppressAutoHyphens/>
        <w:spacing w:before="120"/>
        <w:jc w:val="center"/>
        <w:outlineLvl w:val="0"/>
        <w:rPr>
          <w:rFonts w:eastAsia="Helvetica Neue"/>
          <w:b/>
          <w:bCs/>
          <w:u w:val="single"/>
        </w:rPr>
      </w:pPr>
      <w:bookmarkStart w:id="129" w:name="_Hlk193268676"/>
      <w:bookmarkEnd w:id="125"/>
    </w:p>
    <w:p w14:paraId="4A4B542E" w14:textId="77777777" w:rsidR="001B7F77" w:rsidRPr="001B7F77" w:rsidRDefault="001B7F77" w:rsidP="001B7F77">
      <w:pPr>
        <w:suppressAutoHyphens/>
        <w:spacing w:before="120"/>
        <w:jc w:val="center"/>
        <w:outlineLvl w:val="0"/>
        <w:rPr>
          <w:rFonts w:eastAsia="Helvetica Neue"/>
          <w:b/>
          <w:bCs/>
          <w:u w:val="single"/>
        </w:rPr>
      </w:pPr>
      <w:r w:rsidRPr="001B7F77">
        <w:rPr>
          <w:rFonts w:eastAsia="Helvetica Neue"/>
          <w:b/>
          <w:bCs/>
          <w:u w:val="single"/>
        </w:rPr>
        <w:t>SECTION EBC 507</w:t>
      </w:r>
      <w:r w:rsidRPr="001B7F77">
        <w:br/>
      </w:r>
      <w:r w:rsidRPr="001B7F77">
        <w:rPr>
          <w:rFonts w:eastAsia="Helvetica Neue"/>
          <w:b/>
          <w:bCs/>
          <w:u w:val="single"/>
        </w:rPr>
        <w:t>LIMITED HOME IMPROVEMENT ALTERATIONS</w:t>
      </w:r>
    </w:p>
    <w:p w14:paraId="46E9373C" w14:textId="77777777" w:rsidR="001B7F77" w:rsidRPr="001B7F77" w:rsidRDefault="001B7F77" w:rsidP="001B7F77">
      <w:pPr>
        <w:spacing w:before="120"/>
        <w:rPr>
          <w:rFonts w:eastAsia="Calibri" w:cs="Arial"/>
          <w:color w:val="000000"/>
          <w:szCs w:val="24"/>
          <w:u w:val="single"/>
        </w:rPr>
      </w:pPr>
      <w:r w:rsidRPr="001B7F77">
        <w:rPr>
          <w:rFonts w:eastAsia="Calibri" w:cs="Arial"/>
          <w:b/>
          <w:color w:val="000000"/>
          <w:szCs w:val="24"/>
          <w:u w:val="single"/>
        </w:rPr>
        <w:t>507.1 Filing.</w:t>
      </w:r>
      <w:r w:rsidRPr="001B7F77">
        <w:rPr>
          <w:rFonts w:eastAsia="Calibri" w:cs="Arial"/>
          <w:color w:val="000000"/>
          <w:szCs w:val="24"/>
          <w:u w:val="single"/>
        </w:rPr>
        <w:t xml:space="preserve"> In a one- and two-family dwelling, the work specified in Section 507 shall be permitted to be filed as limited home improvement alterations and performed by a homeowner or home improvement contractor. The commissioner may promulgate rules to specify more types of work that can be filed as limited home improvement alterations.</w:t>
      </w:r>
    </w:p>
    <w:p w14:paraId="7BF8E06B" w14:textId="77777777" w:rsidR="001B7F77" w:rsidRPr="001B7F77" w:rsidRDefault="001B7F77" w:rsidP="001B7F77">
      <w:pPr>
        <w:tabs>
          <w:tab w:val="left" w:pos="360"/>
        </w:tabs>
        <w:spacing w:before="120"/>
        <w:ind w:left="360"/>
        <w:rPr>
          <w:rFonts w:eastAsia="Calibri" w:cs="Arial"/>
          <w:b/>
          <w:bCs/>
          <w:color w:val="000000"/>
          <w:szCs w:val="24"/>
          <w:u w:val="single"/>
        </w:rPr>
      </w:pPr>
      <w:r w:rsidRPr="001B7F77">
        <w:rPr>
          <w:rFonts w:eastAsia="Calibri" w:cs="Arial"/>
          <w:b/>
          <w:bCs/>
          <w:color w:val="000000"/>
          <w:szCs w:val="24"/>
          <w:u w:val="single"/>
        </w:rPr>
        <w:t>Exceptions:</w:t>
      </w:r>
    </w:p>
    <w:p w14:paraId="15C67118" w14:textId="77777777" w:rsidR="001B7F77" w:rsidRPr="001B7F77" w:rsidRDefault="001B7F77" w:rsidP="001B7F77">
      <w:pPr>
        <w:tabs>
          <w:tab w:val="left" w:pos="360"/>
        </w:tabs>
        <w:spacing w:before="120"/>
        <w:ind w:left="360"/>
        <w:rPr>
          <w:rFonts w:eastAsia="Calibri" w:cs="Arial"/>
          <w:color w:val="000000"/>
          <w:szCs w:val="24"/>
          <w:u w:val="single"/>
        </w:rPr>
      </w:pPr>
      <w:r w:rsidRPr="001B7F77">
        <w:rPr>
          <w:rFonts w:eastAsia="Calibri" w:cs="Arial"/>
          <w:color w:val="000000"/>
          <w:szCs w:val="24"/>
          <w:u w:val="single"/>
        </w:rPr>
        <w:t>1.</w:t>
      </w:r>
      <w:r w:rsidRPr="001B7F77">
        <w:rPr>
          <w:rFonts w:eastAsia="Calibri" w:cs="Arial"/>
          <w:color w:val="000000"/>
          <w:szCs w:val="24"/>
          <w:u w:val="single"/>
        </w:rPr>
        <w:tab/>
        <w:t>Buildings located in a special flood hazard area.</w:t>
      </w:r>
    </w:p>
    <w:p w14:paraId="78ED61E2" w14:textId="77777777" w:rsidR="001B7F77" w:rsidRPr="001B7F77" w:rsidRDefault="001B7F77" w:rsidP="001B7F77">
      <w:pPr>
        <w:tabs>
          <w:tab w:val="left" w:pos="360"/>
        </w:tabs>
        <w:spacing w:before="120"/>
        <w:ind w:left="360"/>
        <w:rPr>
          <w:rFonts w:eastAsia="Calibri" w:cs="Arial"/>
          <w:color w:val="000000"/>
          <w:szCs w:val="24"/>
          <w:u w:val="single"/>
        </w:rPr>
      </w:pPr>
      <w:r w:rsidRPr="001B7F77">
        <w:rPr>
          <w:rFonts w:eastAsia="Calibri" w:cs="Arial"/>
          <w:color w:val="000000"/>
          <w:szCs w:val="24"/>
          <w:u w:val="single"/>
        </w:rPr>
        <w:t>2.</w:t>
      </w:r>
      <w:r w:rsidRPr="001B7F77">
        <w:rPr>
          <w:rFonts w:eastAsia="Calibri" w:cs="Arial"/>
          <w:color w:val="000000"/>
          <w:szCs w:val="24"/>
          <w:u w:val="single"/>
        </w:rPr>
        <w:tab/>
        <w:t>Where the scope of work includes any of the following:</w:t>
      </w:r>
    </w:p>
    <w:p w14:paraId="45D115D6" w14:textId="77777777" w:rsidR="001B7F77" w:rsidRPr="001B7F77" w:rsidRDefault="001B7F77" w:rsidP="0001508F">
      <w:pPr>
        <w:widowControl w:val="0"/>
        <w:numPr>
          <w:ilvl w:val="0"/>
          <w:numId w:val="15"/>
        </w:numPr>
        <w:suppressAutoHyphens/>
        <w:autoSpaceDE w:val="0"/>
        <w:autoSpaceDN w:val="0"/>
        <w:adjustRightInd w:val="0"/>
        <w:spacing w:before="120"/>
        <w:ind w:left="1080"/>
        <w:jc w:val="left"/>
        <w:rPr>
          <w:rFonts w:eastAsia="Arial"/>
          <w:szCs w:val="24"/>
          <w:u w:val="single"/>
        </w:rPr>
      </w:pPr>
      <w:r w:rsidRPr="001B7F77">
        <w:rPr>
          <w:rFonts w:eastAsia="Arial"/>
          <w:szCs w:val="24"/>
          <w:u w:val="single"/>
        </w:rPr>
        <w:t>Cutting away of gravity load bearing elements.</w:t>
      </w:r>
    </w:p>
    <w:p w14:paraId="013F7A9A" w14:textId="77777777" w:rsidR="001B7F77" w:rsidRPr="001B7F77" w:rsidRDefault="001B7F77" w:rsidP="0001508F">
      <w:pPr>
        <w:widowControl w:val="0"/>
        <w:numPr>
          <w:ilvl w:val="0"/>
          <w:numId w:val="15"/>
        </w:numPr>
        <w:suppressAutoHyphens/>
        <w:autoSpaceDE w:val="0"/>
        <w:autoSpaceDN w:val="0"/>
        <w:adjustRightInd w:val="0"/>
        <w:spacing w:before="120"/>
        <w:ind w:left="1080"/>
        <w:jc w:val="left"/>
        <w:rPr>
          <w:rFonts w:eastAsia="Arial"/>
          <w:szCs w:val="24"/>
          <w:u w:val="single"/>
        </w:rPr>
      </w:pPr>
      <w:r w:rsidRPr="001B7F77">
        <w:rPr>
          <w:rFonts w:eastAsia="Arial"/>
          <w:szCs w:val="24"/>
          <w:u w:val="single"/>
        </w:rPr>
        <w:t>Removal of portions of fire walls or materials pertaining to them.</w:t>
      </w:r>
    </w:p>
    <w:p w14:paraId="7B4F20D6" w14:textId="77777777" w:rsidR="001B7F77" w:rsidRPr="001B7F77" w:rsidRDefault="001B7F77" w:rsidP="0001508F">
      <w:pPr>
        <w:widowControl w:val="0"/>
        <w:numPr>
          <w:ilvl w:val="0"/>
          <w:numId w:val="15"/>
        </w:numPr>
        <w:suppressAutoHyphens/>
        <w:autoSpaceDE w:val="0"/>
        <w:autoSpaceDN w:val="0"/>
        <w:adjustRightInd w:val="0"/>
        <w:spacing w:before="120"/>
        <w:ind w:left="1080"/>
        <w:jc w:val="left"/>
        <w:rPr>
          <w:rFonts w:eastAsia="Arial"/>
          <w:szCs w:val="24"/>
          <w:u w:val="single"/>
        </w:rPr>
      </w:pPr>
      <w:r w:rsidRPr="001B7F77">
        <w:rPr>
          <w:rFonts w:eastAsia="Arial"/>
          <w:szCs w:val="24"/>
          <w:u w:val="single"/>
        </w:rPr>
        <w:t>New flooring materials weighing more than 5 psf (24 kgf/m²).</w:t>
      </w:r>
    </w:p>
    <w:p w14:paraId="25ABA91B" w14:textId="77777777" w:rsidR="001B7F77" w:rsidRPr="001B7F77" w:rsidRDefault="001B7F77" w:rsidP="0001508F">
      <w:pPr>
        <w:widowControl w:val="0"/>
        <w:numPr>
          <w:ilvl w:val="0"/>
          <w:numId w:val="15"/>
        </w:numPr>
        <w:suppressAutoHyphens/>
        <w:autoSpaceDE w:val="0"/>
        <w:autoSpaceDN w:val="0"/>
        <w:adjustRightInd w:val="0"/>
        <w:spacing w:before="120"/>
        <w:ind w:left="1080"/>
        <w:jc w:val="left"/>
        <w:rPr>
          <w:rFonts w:eastAsia="Arial"/>
          <w:szCs w:val="24"/>
          <w:u w:val="single"/>
        </w:rPr>
      </w:pPr>
      <w:r w:rsidRPr="001B7F77">
        <w:rPr>
          <w:rFonts w:eastAsia="Arial"/>
          <w:szCs w:val="24"/>
          <w:u w:val="single"/>
        </w:rPr>
        <w:t>Installation of any element weighing more than 100 lbs. (45 kg) and supported on an area less than one square foot (0.09 m²) or not more than one joist.</w:t>
      </w:r>
    </w:p>
    <w:p w14:paraId="45833D76" w14:textId="77777777" w:rsidR="001B7F77" w:rsidRPr="001B7F77" w:rsidRDefault="001B7F77" w:rsidP="0001508F">
      <w:pPr>
        <w:widowControl w:val="0"/>
        <w:numPr>
          <w:ilvl w:val="0"/>
          <w:numId w:val="15"/>
        </w:numPr>
        <w:suppressAutoHyphens/>
        <w:autoSpaceDE w:val="0"/>
        <w:autoSpaceDN w:val="0"/>
        <w:adjustRightInd w:val="0"/>
        <w:spacing w:before="120"/>
        <w:ind w:left="1080"/>
        <w:jc w:val="left"/>
        <w:rPr>
          <w:rFonts w:eastAsia="Arial"/>
          <w:szCs w:val="24"/>
          <w:u w:val="single"/>
        </w:rPr>
      </w:pPr>
      <w:r w:rsidRPr="001B7F77">
        <w:rPr>
          <w:rFonts w:eastAsia="Arial"/>
          <w:szCs w:val="24"/>
          <w:u w:val="single"/>
        </w:rPr>
        <w:t>Partial removal of partition walls that exceed 6 feet (1.83 m), where work occurs in bearing brick masonry townhouses and where the distance between side walls is greater than 20 feet (6 m).</w:t>
      </w:r>
    </w:p>
    <w:p w14:paraId="56D9AABD" w14:textId="77777777" w:rsidR="001B7F77" w:rsidRPr="001B7F77" w:rsidRDefault="001B7F77" w:rsidP="0001508F">
      <w:pPr>
        <w:widowControl w:val="0"/>
        <w:numPr>
          <w:ilvl w:val="0"/>
          <w:numId w:val="15"/>
        </w:numPr>
        <w:suppressAutoHyphens/>
        <w:autoSpaceDE w:val="0"/>
        <w:autoSpaceDN w:val="0"/>
        <w:adjustRightInd w:val="0"/>
        <w:spacing w:before="120"/>
        <w:ind w:left="1080"/>
        <w:jc w:val="left"/>
        <w:rPr>
          <w:rFonts w:eastAsia="Arial"/>
          <w:szCs w:val="24"/>
          <w:u w:val="single"/>
        </w:rPr>
      </w:pPr>
      <w:r w:rsidRPr="001B7F77">
        <w:rPr>
          <w:rFonts w:eastAsia="Arial"/>
          <w:szCs w:val="24"/>
          <w:u w:val="single"/>
        </w:rPr>
        <w:t>Removal without replacement of material pertaining to a fire separating wall or floor.</w:t>
      </w:r>
    </w:p>
    <w:p w14:paraId="7777EA73" w14:textId="77777777" w:rsidR="001B7F77" w:rsidRPr="001B7F77" w:rsidRDefault="001B7F77" w:rsidP="0001508F">
      <w:pPr>
        <w:widowControl w:val="0"/>
        <w:numPr>
          <w:ilvl w:val="0"/>
          <w:numId w:val="15"/>
        </w:numPr>
        <w:suppressAutoHyphens/>
        <w:autoSpaceDE w:val="0"/>
        <w:autoSpaceDN w:val="0"/>
        <w:adjustRightInd w:val="0"/>
        <w:spacing w:before="120"/>
        <w:ind w:left="1080"/>
        <w:jc w:val="left"/>
        <w:rPr>
          <w:rFonts w:eastAsia="Arial"/>
          <w:szCs w:val="24"/>
          <w:u w:val="single"/>
        </w:rPr>
      </w:pPr>
      <w:r w:rsidRPr="001B7F77">
        <w:rPr>
          <w:rFonts w:eastAsia="Arial"/>
          <w:szCs w:val="24"/>
          <w:u w:val="single"/>
        </w:rPr>
        <w:t>Removal of any portion of a nonload-bearing, nonfire-resistance-rated wall or partition exceeding 45 square feet (4.18 m²).</w:t>
      </w:r>
    </w:p>
    <w:p w14:paraId="4E6A3D28" w14:textId="77777777" w:rsidR="001B7F77" w:rsidRPr="001B7F77" w:rsidRDefault="001B7F77" w:rsidP="0001508F">
      <w:pPr>
        <w:widowControl w:val="0"/>
        <w:numPr>
          <w:ilvl w:val="0"/>
          <w:numId w:val="15"/>
        </w:numPr>
        <w:suppressAutoHyphens/>
        <w:autoSpaceDE w:val="0"/>
        <w:autoSpaceDN w:val="0"/>
        <w:adjustRightInd w:val="0"/>
        <w:spacing w:before="120"/>
        <w:ind w:left="1080"/>
        <w:jc w:val="left"/>
        <w:rPr>
          <w:rFonts w:eastAsia="Arial"/>
          <w:szCs w:val="24"/>
          <w:u w:val="single"/>
        </w:rPr>
      </w:pPr>
      <w:r w:rsidRPr="001B7F77">
        <w:rPr>
          <w:rFonts w:eastAsia="Arial"/>
          <w:szCs w:val="24"/>
          <w:u w:val="single"/>
        </w:rPr>
        <w:t>Removal and in-kind replacement of more than one individual deteriorated framing member of loadbearing studs or joists, or one unit of masonry in a wall, floor, or ceiling in any 10 foot (3 m) by 10 foot (3 m) area.</w:t>
      </w:r>
    </w:p>
    <w:p w14:paraId="5CB8F947" w14:textId="77777777" w:rsidR="001B7F77" w:rsidRPr="001B7F77" w:rsidRDefault="001B7F77" w:rsidP="0001508F">
      <w:pPr>
        <w:widowControl w:val="0"/>
        <w:numPr>
          <w:ilvl w:val="0"/>
          <w:numId w:val="15"/>
        </w:numPr>
        <w:suppressAutoHyphens/>
        <w:autoSpaceDE w:val="0"/>
        <w:autoSpaceDN w:val="0"/>
        <w:adjustRightInd w:val="0"/>
        <w:spacing w:before="120"/>
        <w:ind w:left="1080"/>
        <w:jc w:val="left"/>
        <w:rPr>
          <w:rFonts w:eastAsia="Arial"/>
          <w:szCs w:val="24"/>
          <w:u w:val="single"/>
        </w:rPr>
      </w:pPr>
      <w:r w:rsidRPr="001B7F77">
        <w:rPr>
          <w:rFonts w:eastAsia="Arial"/>
          <w:szCs w:val="24"/>
          <w:u w:val="single"/>
        </w:rPr>
        <w:t>The temporary removal and replacement of a beam or header in a nonload-bearing partition having a clear span greater than 3 feet 6 inches (1 m).</w:t>
      </w:r>
    </w:p>
    <w:p w14:paraId="3F3FF927" w14:textId="77777777" w:rsidR="001B7F77" w:rsidRPr="001B7F77" w:rsidRDefault="001B7F77" w:rsidP="001B7F77">
      <w:pPr>
        <w:tabs>
          <w:tab w:val="left" w:pos="360"/>
        </w:tabs>
        <w:spacing w:before="120"/>
        <w:ind w:left="360"/>
        <w:rPr>
          <w:rFonts w:eastAsia="Calibri" w:cs="Arial"/>
          <w:color w:val="000000"/>
          <w:szCs w:val="24"/>
          <w:u w:val="single"/>
        </w:rPr>
      </w:pPr>
      <w:r w:rsidRPr="001B7F77">
        <w:rPr>
          <w:rFonts w:eastAsia="Calibri" w:cs="Arial"/>
          <w:b/>
          <w:color w:val="000000"/>
          <w:szCs w:val="24"/>
          <w:u w:val="single"/>
        </w:rPr>
        <w:t xml:space="preserve">507.1.1 Performance of work. </w:t>
      </w:r>
      <w:r w:rsidRPr="001B7F77">
        <w:rPr>
          <w:rFonts w:eastAsia="Calibri" w:cs="Arial"/>
          <w:color w:val="000000"/>
          <w:szCs w:val="24"/>
          <w:u w:val="single"/>
        </w:rPr>
        <w:t>When filed in accordance with Section 507.2, all work subject to Section 507 shall be performed by the homeowner or a home improvement contractor. Work filed by the homeowner shall by performed by the homeowner. Where any other work is to be performed by a contractor, such other work shall be performed pursuant to a separate work permit or limited alteration permit.</w:t>
      </w:r>
    </w:p>
    <w:p w14:paraId="14461746" w14:textId="77777777" w:rsidR="001B7F77" w:rsidRPr="001B7F77" w:rsidRDefault="001B7F77" w:rsidP="001B7F77">
      <w:pPr>
        <w:tabs>
          <w:tab w:val="left" w:pos="720"/>
        </w:tabs>
        <w:spacing w:before="120"/>
        <w:ind w:left="720"/>
        <w:rPr>
          <w:rFonts w:eastAsia="Calibri" w:cs="Arial"/>
          <w:color w:val="000000"/>
          <w:szCs w:val="24"/>
          <w:u w:val="single"/>
        </w:rPr>
      </w:pPr>
      <w:r w:rsidRPr="001B7F77">
        <w:rPr>
          <w:rFonts w:eastAsia="Calibri" w:cs="Arial"/>
          <w:b/>
          <w:bCs/>
          <w:color w:val="000000"/>
          <w:szCs w:val="24"/>
          <w:u w:val="single"/>
        </w:rPr>
        <w:t>507.1.1.1 Electrical work.</w:t>
      </w:r>
      <w:r w:rsidRPr="001B7F77">
        <w:rPr>
          <w:rFonts w:eastAsia="Calibri" w:cs="Arial"/>
          <w:color w:val="000000"/>
          <w:szCs w:val="24"/>
          <w:u w:val="single"/>
        </w:rPr>
        <w:t xml:space="preserve"> Electrical work associated with the home improvement shall be filed and performed by a licensed electrician in accordance with this code and the </w:t>
      </w:r>
      <w:r w:rsidRPr="001B7F77">
        <w:rPr>
          <w:rFonts w:eastAsia="Calibri" w:cs="Arial"/>
          <w:i/>
          <w:iCs/>
          <w:color w:val="000000"/>
          <w:szCs w:val="24"/>
          <w:u w:val="single"/>
        </w:rPr>
        <w:t>New York City Electrical Code</w:t>
      </w:r>
      <w:r w:rsidRPr="001B7F77">
        <w:rPr>
          <w:rFonts w:eastAsia="Calibri" w:cs="Arial"/>
          <w:color w:val="000000"/>
          <w:szCs w:val="24"/>
          <w:u w:val="single"/>
        </w:rPr>
        <w:t>.</w:t>
      </w:r>
    </w:p>
    <w:p w14:paraId="5FF7A48E" w14:textId="77777777" w:rsidR="001B7F77" w:rsidRPr="001B7F77" w:rsidRDefault="001B7F77" w:rsidP="001B7F77">
      <w:pPr>
        <w:tabs>
          <w:tab w:val="left" w:pos="720"/>
        </w:tabs>
        <w:spacing w:before="120"/>
        <w:ind w:left="720"/>
        <w:rPr>
          <w:rFonts w:eastAsia="Calibri" w:cs="Arial"/>
          <w:color w:val="000000"/>
          <w:szCs w:val="24"/>
          <w:u w:val="single"/>
        </w:rPr>
      </w:pPr>
      <w:r w:rsidRPr="001B7F77">
        <w:rPr>
          <w:rFonts w:eastAsia="Calibri" w:cs="Arial"/>
          <w:b/>
          <w:bCs/>
          <w:color w:val="000000"/>
          <w:szCs w:val="24"/>
          <w:u w:val="single"/>
        </w:rPr>
        <w:t>507.1.1.2 Plumbing work.</w:t>
      </w:r>
      <w:r w:rsidRPr="001B7F77">
        <w:rPr>
          <w:rFonts w:eastAsia="Calibri" w:cs="Arial"/>
          <w:color w:val="000000"/>
          <w:szCs w:val="24"/>
          <w:u w:val="single"/>
        </w:rPr>
        <w:t xml:space="preserve"> Plumbing work associated with the home improvement shall be filed and performed by a licensed plumber in accordance with this code and the </w:t>
      </w:r>
      <w:r w:rsidRPr="001B7F77">
        <w:rPr>
          <w:rFonts w:eastAsia="Calibri" w:cs="Arial"/>
          <w:i/>
          <w:iCs/>
          <w:color w:val="000000"/>
          <w:szCs w:val="24"/>
          <w:u w:val="single"/>
        </w:rPr>
        <w:t>New York City Plumbing Code</w:t>
      </w:r>
      <w:r w:rsidRPr="001B7F77">
        <w:rPr>
          <w:rFonts w:eastAsia="Calibri" w:cs="Arial"/>
          <w:color w:val="000000"/>
          <w:szCs w:val="24"/>
          <w:u w:val="single"/>
        </w:rPr>
        <w:t>.</w:t>
      </w:r>
    </w:p>
    <w:p w14:paraId="3A70CA68" w14:textId="77777777" w:rsidR="001B7F77" w:rsidRPr="001B7F77" w:rsidRDefault="001B7F77" w:rsidP="001B7F77">
      <w:pPr>
        <w:tabs>
          <w:tab w:val="left" w:pos="360"/>
        </w:tabs>
        <w:spacing w:before="120"/>
        <w:ind w:left="360"/>
        <w:rPr>
          <w:rFonts w:eastAsia="Calibri" w:cs="Arial"/>
          <w:color w:val="000000"/>
          <w:szCs w:val="24"/>
          <w:u w:val="single"/>
        </w:rPr>
      </w:pPr>
      <w:r w:rsidRPr="001B7F77">
        <w:rPr>
          <w:rFonts w:eastAsia="Calibri" w:cs="Arial"/>
          <w:b/>
          <w:bCs/>
          <w:color w:val="000000"/>
          <w:szCs w:val="24"/>
          <w:u w:val="single"/>
        </w:rPr>
        <w:t>507.1.2 Changes in scope of work.</w:t>
      </w:r>
      <w:r w:rsidRPr="001B7F77">
        <w:rPr>
          <w:rFonts w:eastAsia="Calibri" w:cs="Arial"/>
          <w:color w:val="000000"/>
          <w:szCs w:val="24"/>
          <w:u w:val="single"/>
        </w:rPr>
        <w:t xml:space="preserve"> During construction, where a change in the scope of work results in work that is subject to additional permit requirements, work must stop until an amended limited home improvement permit or other applicable permit is issued.</w:t>
      </w:r>
    </w:p>
    <w:p w14:paraId="1411C410" w14:textId="77777777" w:rsidR="001B7F77" w:rsidRPr="001B7F77" w:rsidRDefault="001B7F77" w:rsidP="001B7F77">
      <w:pPr>
        <w:spacing w:before="120"/>
        <w:rPr>
          <w:rFonts w:eastAsia="Calibri" w:cs="Arial"/>
          <w:color w:val="000000"/>
          <w:szCs w:val="24"/>
          <w:u w:val="single"/>
        </w:rPr>
      </w:pPr>
      <w:r w:rsidRPr="001B7F77">
        <w:rPr>
          <w:rFonts w:eastAsia="Calibri" w:cs="Arial"/>
          <w:b/>
          <w:color w:val="000000"/>
          <w:szCs w:val="24"/>
          <w:u w:val="single"/>
        </w:rPr>
        <w:t>507.2 Covered work.</w:t>
      </w:r>
      <w:r w:rsidRPr="001B7F77">
        <w:rPr>
          <w:rFonts w:eastAsia="Calibri" w:cs="Arial"/>
          <w:color w:val="000000"/>
          <w:szCs w:val="24"/>
          <w:u w:val="single"/>
        </w:rPr>
        <w:t xml:space="preserve"> Limited home improvement alterations shall be limited to the types of work set forth in Sections 507.2.1 through 507.2.3.</w:t>
      </w:r>
    </w:p>
    <w:p w14:paraId="089B49D8" w14:textId="77777777" w:rsidR="001B7F77" w:rsidRPr="001B7F77" w:rsidRDefault="001B7F77" w:rsidP="001B7F77">
      <w:pPr>
        <w:tabs>
          <w:tab w:val="left" w:pos="360"/>
        </w:tabs>
        <w:spacing w:before="120"/>
        <w:ind w:left="360"/>
        <w:rPr>
          <w:rFonts w:eastAsia="Calibri" w:cs="Arial"/>
          <w:color w:val="000000"/>
          <w:szCs w:val="24"/>
          <w:u w:val="single"/>
        </w:rPr>
      </w:pPr>
      <w:r w:rsidRPr="001B7F77">
        <w:rPr>
          <w:rFonts w:eastAsia="Calibri" w:cs="Arial"/>
          <w:b/>
          <w:color w:val="000000"/>
          <w:szCs w:val="24"/>
          <w:u w:val="single"/>
        </w:rPr>
        <w:t>507.2.1 Alterations filed by homeowners or home improvement contractors</w:t>
      </w:r>
      <w:r w:rsidRPr="001B7F77">
        <w:rPr>
          <w:rFonts w:eastAsia="Calibri" w:cs="Arial"/>
          <w:color w:val="000000"/>
          <w:szCs w:val="24"/>
          <w:u w:val="single"/>
        </w:rPr>
        <w:t xml:space="preserve">. Alterations, repairs and replacement work made to one- and two-family dwellings that are limited to the following: </w:t>
      </w:r>
    </w:p>
    <w:p w14:paraId="486CA781" w14:textId="77777777" w:rsidR="001B7F77" w:rsidRPr="001B7F77" w:rsidRDefault="001B7F77" w:rsidP="001B7F77">
      <w:pPr>
        <w:widowControl w:val="0"/>
        <w:suppressAutoHyphens/>
        <w:spacing w:before="120"/>
        <w:ind w:left="1080" w:hanging="360"/>
        <w:rPr>
          <w:szCs w:val="24"/>
          <w:u w:val="single"/>
        </w:rPr>
      </w:pPr>
      <w:r w:rsidRPr="001B7F77">
        <w:rPr>
          <w:szCs w:val="24"/>
          <w:u w:val="single"/>
        </w:rPr>
        <w:t>1.</w:t>
      </w:r>
      <w:r w:rsidRPr="001B7F77">
        <w:rPr>
          <w:szCs w:val="24"/>
          <w:u w:val="single"/>
        </w:rPr>
        <w:tab/>
        <w:t>Constructing a storage closet. Such closet shall not:</w:t>
      </w:r>
    </w:p>
    <w:p w14:paraId="0B62D702" w14:textId="77777777" w:rsidR="001B7F77" w:rsidRPr="001B7F77" w:rsidRDefault="001B7F77" w:rsidP="001B7F77">
      <w:pPr>
        <w:widowControl w:val="0"/>
        <w:pBdr>
          <w:top w:val="nil"/>
          <w:left w:val="nil"/>
          <w:bottom w:val="nil"/>
          <w:right w:val="nil"/>
          <w:between w:val="nil"/>
        </w:pBdr>
        <w:tabs>
          <w:tab w:val="left" w:pos="720"/>
          <w:tab w:val="left" w:pos="1080"/>
        </w:tabs>
        <w:autoSpaceDE w:val="0"/>
        <w:autoSpaceDN w:val="0"/>
        <w:adjustRightInd w:val="0"/>
        <w:spacing w:before="120"/>
        <w:ind w:left="1440" w:hanging="360"/>
        <w:rPr>
          <w:rFonts w:eastAsia="Arial"/>
          <w:szCs w:val="24"/>
          <w:u w:val="single"/>
        </w:rPr>
      </w:pPr>
      <w:r w:rsidRPr="001B7F77">
        <w:rPr>
          <w:rFonts w:eastAsia="Arial"/>
          <w:szCs w:val="24"/>
          <w:u w:val="single"/>
        </w:rPr>
        <w:t>1.1.</w:t>
      </w:r>
      <w:r w:rsidRPr="001B7F77">
        <w:rPr>
          <w:rFonts w:eastAsia="Arial"/>
          <w:szCs w:val="24"/>
          <w:u w:val="single"/>
        </w:rPr>
        <w:tab/>
        <w:t>block an existing window;</w:t>
      </w:r>
    </w:p>
    <w:p w14:paraId="69DF24B7" w14:textId="77777777" w:rsidR="001B7F77" w:rsidRPr="001B7F77" w:rsidRDefault="001B7F77" w:rsidP="001B7F77">
      <w:pPr>
        <w:widowControl w:val="0"/>
        <w:pBdr>
          <w:top w:val="nil"/>
          <w:left w:val="nil"/>
          <w:bottom w:val="nil"/>
          <w:right w:val="nil"/>
          <w:between w:val="nil"/>
        </w:pBdr>
        <w:tabs>
          <w:tab w:val="left" w:pos="720"/>
          <w:tab w:val="left" w:pos="1440"/>
        </w:tabs>
        <w:autoSpaceDE w:val="0"/>
        <w:autoSpaceDN w:val="0"/>
        <w:adjustRightInd w:val="0"/>
        <w:spacing w:before="120"/>
        <w:ind w:left="1440" w:hanging="360"/>
        <w:rPr>
          <w:rFonts w:eastAsia="Arial"/>
          <w:bCs/>
          <w:szCs w:val="24"/>
          <w:u w:val="single"/>
        </w:rPr>
      </w:pPr>
      <w:r w:rsidRPr="001B7F77">
        <w:rPr>
          <w:rFonts w:eastAsia="Arial"/>
          <w:bCs/>
          <w:szCs w:val="24"/>
          <w:u w:val="single"/>
        </w:rPr>
        <w:t xml:space="preserve">1.2 </w:t>
      </w:r>
      <w:r w:rsidRPr="001B7F77">
        <w:rPr>
          <w:rFonts w:eastAsia="Arial"/>
          <w:bCs/>
          <w:szCs w:val="24"/>
          <w:u w:val="single"/>
        </w:rPr>
        <w:tab/>
        <w:t>include a window;</w:t>
      </w:r>
    </w:p>
    <w:p w14:paraId="30907B24" w14:textId="77777777" w:rsidR="001B7F77" w:rsidRPr="001B7F77" w:rsidRDefault="001B7F77" w:rsidP="001B7F77">
      <w:pPr>
        <w:widowControl w:val="0"/>
        <w:pBdr>
          <w:top w:val="nil"/>
          <w:left w:val="nil"/>
          <w:bottom w:val="nil"/>
          <w:right w:val="nil"/>
          <w:between w:val="nil"/>
        </w:pBdr>
        <w:tabs>
          <w:tab w:val="left" w:pos="720"/>
          <w:tab w:val="left" w:pos="1440"/>
        </w:tabs>
        <w:autoSpaceDE w:val="0"/>
        <w:autoSpaceDN w:val="0"/>
        <w:adjustRightInd w:val="0"/>
        <w:spacing w:before="120"/>
        <w:ind w:left="1440" w:hanging="360"/>
        <w:rPr>
          <w:rFonts w:eastAsia="Arial"/>
          <w:bCs/>
          <w:szCs w:val="24"/>
          <w:u w:val="single"/>
        </w:rPr>
      </w:pPr>
      <w:r w:rsidRPr="001B7F77">
        <w:rPr>
          <w:rFonts w:eastAsia="Arial"/>
          <w:bCs/>
          <w:szCs w:val="24"/>
          <w:u w:val="single"/>
        </w:rPr>
        <w:t xml:space="preserve">1.3 </w:t>
      </w:r>
      <w:r w:rsidRPr="001B7F77">
        <w:rPr>
          <w:rFonts w:eastAsia="Arial"/>
          <w:bCs/>
          <w:szCs w:val="24"/>
          <w:u w:val="single"/>
        </w:rPr>
        <w:tab/>
        <w:t>exceed 20 square feet in area (1.85 m</w:t>
      </w:r>
      <w:r w:rsidRPr="001B7F77">
        <w:rPr>
          <w:rFonts w:eastAsia="Arial"/>
          <w:bCs/>
          <w:szCs w:val="24"/>
          <w:u w:val="single"/>
          <w:vertAlign w:val="superscript"/>
        </w:rPr>
        <w:t>2</w:t>
      </w:r>
      <w:r w:rsidRPr="001B7F77">
        <w:rPr>
          <w:rFonts w:eastAsia="Arial"/>
          <w:bCs/>
          <w:szCs w:val="24"/>
          <w:u w:val="single"/>
        </w:rPr>
        <w:t>);</w:t>
      </w:r>
    </w:p>
    <w:p w14:paraId="31D0D4D1" w14:textId="77777777" w:rsidR="001B7F77" w:rsidRPr="001B7F77" w:rsidRDefault="001B7F77" w:rsidP="001B7F77">
      <w:pPr>
        <w:widowControl w:val="0"/>
        <w:pBdr>
          <w:top w:val="nil"/>
          <w:left w:val="nil"/>
          <w:bottom w:val="nil"/>
          <w:right w:val="nil"/>
          <w:between w:val="nil"/>
        </w:pBdr>
        <w:tabs>
          <w:tab w:val="left" w:pos="720"/>
          <w:tab w:val="left" w:pos="1440"/>
        </w:tabs>
        <w:autoSpaceDE w:val="0"/>
        <w:autoSpaceDN w:val="0"/>
        <w:adjustRightInd w:val="0"/>
        <w:spacing w:before="120"/>
        <w:ind w:left="1440" w:hanging="360"/>
        <w:rPr>
          <w:rFonts w:eastAsia="Arial"/>
          <w:bCs/>
          <w:szCs w:val="24"/>
          <w:u w:val="single"/>
        </w:rPr>
      </w:pPr>
      <w:r w:rsidRPr="001B7F77">
        <w:rPr>
          <w:rFonts w:eastAsia="Arial"/>
          <w:bCs/>
          <w:szCs w:val="24"/>
          <w:u w:val="single"/>
        </w:rPr>
        <w:t xml:space="preserve">1.4 </w:t>
      </w:r>
      <w:r w:rsidRPr="001B7F77">
        <w:rPr>
          <w:rFonts w:eastAsia="Arial"/>
          <w:bCs/>
          <w:szCs w:val="24"/>
          <w:u w:val="single"/>
        </w:rPr>
        <w:tab/>
        <w:t>block a sprinkler head or smoke/carbon monoxide detector; or</w:t>
      </w:r>
    </w:p>
    <w:p w14:paraId="33812D5E" w14:textId="77777777" w:rsidR="001B7F77" w:rsidRPr="001B7F77" w:rsidRDefault="001B7F77" w:rsidP="001B7F77">
      <w:pPr>
        <w:widowControl w:val="0"/>
        <w:pBdr>
          <w:top w:val="nil"/>
          <w:left w:val="nil"/>
          <w:bottom w:val="nil"/>
          <w:right w:val="nil"/>
          <w:between w:val="nil"/>
        </w:pBdr>
        <w:tabs>
          <w:tab w:val="left" w:pos="720"/>
          <w:tab w:val="left" w:pos="1440"/>
        </w:tabs>
        <w:autoSpaceDE w:val="0"/>
        <w:autoSpaceDN w:val="0"/>
        <w:adjustRightInd w:val="0"/>
        <w:spacing w:before="120"/>
        <w:ind w:left="1440" w:hanging="360"/>
        <w:rPr>
          <w:rFonts w:eastAsia="Arial"/>
          <w:bCs/>
          <w:szCs w:val="24"/>
          <w:u w:val="single"/>
        </w:rPr>
      </w:pPr>
      <w:r w:rsidRPr="001B7F77">
        <w:rPr>
          <w:rFonts w:eastAsia="Arial"/>
          <w:bCs/>
          <w:szCs w:val="24"/>
          <w:u w:val="single"/>
        </w:rPr>
        <w:t>1.5.</w:t>
      </w:r>
      <w:r w:rsidRPr="001B7F77">
        <w:rPr>
          <w:rFonts w:eastAsia="Arial"/>
          <w:bCs/>
          <w:szCs w:val="24"/>
          <w:u w:val="single"/>
        </w:rPr>
        <w:tab/>
        <w:t>Reduce the minimum clear dimension of the habitable room to less than 8 feet (2438 mm) or reduce the area of the habitable room to less than 80 square feet (7 m²).</w:t>
      </w:r>
    </w:p>
    <w:p w14:paraId="7DB64803" w14:textId="77777777" w:rsidR="001B7F77" w:rsidRPr="001B7F77" w:rsidRDefault="001B7F77" w:rsidP="001B7F77">
      <w:pPr>
        <w:widowControl w:val="0"/>
        <w:suppressAutoHyphens/>
        <w:spacing w:before="120"/>
        <w:ind w:left="1080" w:hanging="360"/>
        <w:rPr>
          <w:szCs w:val="24"/>
          <w:u w:val="single"/>
        </w:rPr>
      </w:pPr>
      <w:r w:rsidRPr="001B7F77">
        <w:rPr>
          <w:szCs w:val="24"/>
          <w:u w:val="single"/>
        </w:rPr>
        <w:t>2.</w:t>
      </w:r>
      <w:r w:rsidRPr="001B7F77">
        <w:rPr>
          <w:szCs w:val="24"/>
          <w:u w:val="single"/>
        </w:rPr>
        <w:tab/>
        <w:t xml:space="preserve">Adding insulation material to attics, provided the insulation R-values are in compliance with the </w:t>
      </w:r>
      <w:r w:rsidRPr="001B7F77">
        <w:rPr>
          <w:i/>
          <w:szCs w:val="24"/>
          <w:u w:val="single"/>
        </w:rPr>
        <w:t>New York City Energy Conservation Code</w:t>
      </w:r>
      <w:r w:rsidRPr="001B7F77">
        <w:rPr>
          <w:szCs w:val="24"/>
          <w:u w:val="single"/>
        </w:rPr>
        <w:t>.</w:t>
      </w:r>
    </w:p>
    <w:p w14:paraId="54F58543" w14:textId="77777777" w:rsidR="001B7F77" w:rsidRPr="001B7F77" w:rsidRDefault="001B7F77" w:rsidP="001B7F77">
      <w:pPr>
        <w:tabs>
          <w:tab w:val="left" w:pos="360"/>
        </w:tabs>
        <w:spacing w:before="120"/>
        <w:ind w:left="360"/>
        <w:rPr>
          <w:rFonts w:eastAsia="Calibri"/>
          <w:color w:val="000000"/>
          <w:szCs w:val="24"/>
          <w:u w:val="single"/>
        </w:rPr>
      </w:pPr>
      <w:r w:rsidRPr="001B7F77">
        <w:rPr>
          <w:rFonts w:eastAsia="Calibri" w:cs="Arial"/>
          <w:b/>
          <w:color w:val="000000"/>
          <w:szCs w:val="24"/>
          <w:u w:val="single"/>
        </w:rPr>
        <w:t xml:space="preserve">507.2.2 Alterations filed by home improvement contractor. </w:t>
      </w:r>
      <w:r w:rsidRPr="001B7F77">
        <w:rPr>
          <w:rFonts w:eastAsia="Calibri" w:cs="Arial"/>
          <w:color w:val="000000"/>
          <w:szCs w:val="24"/>
          <w:u w:val="single"/>
        </w:rPr>
        <w:t>Alterations, replacement and repairs made to one- and two-family dwellings filed and performed by home improvement contractors that are limited to the following work:</w:t>
      </w:r>
    </w:p>
    <w:p w14:paraId="6A064403" w14:textId="77777777" w:rsidR="001B7F77" w:rsidRPr="001B7F77" w:rsidRDefault="001B7F77" w:rsidP="001B7F77">
      <w:pPr>
        <w:widowControl w:val="0"/>
        <w:pBdr>
          <w:top w:val="nil"/>
          <w:left w:val="nil"/>
          <w:bottom w:val="nil"/>
          <w:right w:val="nil"/>
          <w:between w:val="nil"/>
        </w:pBdr>
        <w:tabs>
          <w:tab w:val="left" w:pos="720"/>
          <w:tab w:val="left" w:pos="1080"/>
        </w:tabs>
        <w:autoSpaceDE w:val="0"/>
        <w:autoSpaceDN w:val="0"/>
        <w:adjustRightInd w:val="0"/>
        <w:spacing w:before="120"/>
        <w:ind w:left="1080" w:hanging="360"/>
        <w:rPr>
          <w:rFonts w:eastAsia="Arial"/>
          <w:szCs w:val="24"/>
          <w:u w:val="single"/>
        </w:rPr>
      </w:pPr>
      <w:r w:rsidRPr="001B7F77">
        <w:rPr>
          <w:rFonts w:eastAsia="Arial"/>
          <w:szCs w:val="24"/>
          <w:u w:val="single"/>
        </w:rPr>
        <w:t>1.</w:t>
      </w:r>
      <w:r w:rsidRPr="001B7F77">
        <w:rPr>
          <w:rFonts w:eastAsia="Arial"/>
          <w:szCs w:val="24"/>
          <w:u w:val="single"/>
        </w:rPr>
        <w:tab/>
        <w:t xml:space="preserve">Construction of attached rear yard decks with a maximum projection of 8 feet (2438 mm) into rear yard from the rear face of the building wall and maximum height of 5 feet (1524 mm) above grade, complying with the </w:t>
      </w:r>
      <w:r w:rsidRPr="001B7F77">
        <w:rPr>
          <w:rFonts w:eastAsia="Arial"/>
          <w:i/>
          <w:szCs w:val="24"/>
          <w:u w:val="single"/>
        </w:rPr>
        <w:t>New York City Zoning Resolution</w:t>
      </w:r>
      <w:r w:rsidRPr="001B7F77">
        <w:rPr>
          <w:rFonts w:eastAsia="Arial"/>
          <w:szCs w:val="24"/>
          <w:u w:val="single"/>
        </w:rPr>
        <w:t xml:space="preserve"> with regard to location and the </w:t>
      </w:r>
      <w:r w:rsidRPr="001B7F77">
        <w:rPr>
          <w:rFonts w:eastAsia="Arial"/>
          <w:i/>
          <w:iCs/>
          <w:szCs w:val="24"/>
          <w:u w:val="single"/>
        </w:rPr>
        <w:t>New York City Building Code</w:t>
      </w:r>
      <w:r w:rsidRPr="001B7F77">
        <w:rPr>
          <w:rFonts w:eastAsia="Arial"/>
          <w:szCs w:val="24"/>
          <w:u w:val="single"/>
        </w:rPr>
        <w:t xml:space="preserve"> with regard to construction, including but not limited to structural strength, fire separation distance, stairs, handrails and guards. </w:t>
      </w:r>
    </w:p>
    <w:p w14:paraId="0D6C1DC8" w14:textId="77777777" w:rsidR="001B7F77" w:rsidRPr="001B7F77" w:rsidRDefault="001B7F77" w:rsidP="001B7F77">
      <w:pPr>
        <w:widowControl w:val="0"/>
        <w:pBdr>
          <w:top w:val="nil"/>
          <w:left w:val="nil"/>
          <w:bottom w:val="nil"/>
          <w:right w:val="nil"/>
          <w:between w:val="nil"/>
        </w:pBdr>
        <w:tabs>
          <w:tab w:val="left" w:pos="720"/>
          <w:tab w:val="left" w:pos="1080"/>
        </w:tabs>
        <w:autoSpaceDE w:val="0"/>
        <w:autoSpaceDN w:val="0"/>
        <w:adjustRightInd w:val="0"/>
        <w:spacing w:before="120"/>
        <w:ind w:left="1080" w:hanging="360"/>
        <w:rPr>
          <w:rFonts w:eastAsia="Arial"/>
          <w:szCs w:val="24"/>
          <w:u w:val="single"/>
        </w:rPr>
      </w:pPr>
      <w:r w:rsidRPr="001B7F77">
        <w:rPr>
          <w:rFonts w:eastAsia="Arial"/>
          <w:szCs w:val="24"/>
          <w:u w:val="single"/>
        </w:rPr>
        <w:t>2.</w:t>
      </w:r>
      <w:r w:rsidRPr="001B7F77">
        <w:rPr>
          <w:rFonts w:eastAsia="Arial"/>
          <w:szCs w:val="24"/>
          <w:u w:val="single"/>
        </w:rPr>
        <w:tab/>
        <w:t xml:space="preserve">Installation of a central air conditioning system in compliance with the </w:t>
      </w:r>
      <w:r w:rsidRPr="001B7F77">
        <w:rPr>
          <w:rFonts w:eastAsia="Arial"/>
          <w:i/>
          <w:szCs w:val="24"/>
          <w:u w:val="single"/>
        </w:rPr>
        <w:t>New York City Energy Conservation Code</w:t>
      </w:r>
      <w:r w:rsidRPr="001B7F77">
        <w:rPr>
          <w:rFonts w:eastAsia="Arial"/>
          <w:szCs w:val="24"/>
          <w:u w:val="single"/>
        </w:rPr>
        <w:t xml:space="preserve"> with maximum capacity of 5 tons. The air conditioning equipment shall be located where permitted in accordance with the </w:t>
      </w:r>
      <w:r w:rsidRPr="001B7F77">
        <w:rPr>
          <w:rFonts w:eastAsia="Arial"/>
          <w:i/>
          <w:szCs w:val="24"/>
          <w:u w:val="single"/>
        </w:rPr>
        <w:t>New York City Zoning Resolution</w:t>
      </w:r>
      <w:r w:rsidRPr="001B7F77">
        <w:rPr>
          <w:rFonts w:eastAsia="Arial"/>
          <w:szCs w:val="24"/>
          <w:u w:val="single"/>
        </w:rPr>
        <w:t>. Separate electrical permits shall be obtained by a licensed electrician.</w:t>
      </w:r>
    </w:p>
    <w:p w14:paraId="07BF2A59" w14:textId="77777777" w:rsidR="001B7F77" w:rsidRPr="001B7F77" w:rsidRDefault="001B7F77" w:rsidP="001B7F77">
      <w:pPr>
        <w:tabs>
          <w:tab w:val="left" w:pos="360"/>
        </w:tabs>
        <w:spacing w:before="120"/>
        <w:ind w:left="360"/>
        <w:rPr>
          <w:rFonts w:eastAsia="Calibri" w:cs="Arial"/>
          <w:color w:val="000000"/>
          <w:szCs w:val="24"/>
          <w:u w:val="single"/>
        </w:rPr>
      </w:pPr>
      <w:r w:rsidRPr="001B7F77">
        <w:rPr>
          <w:rFonts w:eastAsia="Calibri" w:cs="Arial"/>
          <w:b/>
          <w:bCs/>
          <w:color w:val="000000"/>
          <w:szCs w:val="24"/>
          <w:u w:val="single"/>
        </w:rPr>
        <w:t xml:space="preserve">507.2.3 Alteration to existing kitchen, bathroom, or toilet room. </w:t>
      </w:r>
      <w:r w:rsidRPr="001B7F77">
        <w:rPr>
          <w:rFonts w:eastAsia="Calibri" w:cs="Arial"/>
          <w:color w:val="000000"/>
          <w:szCs w:val="24"/>
          <w:u w:val="single"/>
        </w:rPr>
        <w:t>Limited home improvement alterations for the renovation or the replacement of a lawfully existing kitchen, bathroom, or toilet room shall be limited to one- and two-family dwellings in buildings not more than three stories, including a basement. The renovation or replacement of a lawfully existing kitchen, bathroom, or toilet room shall be limited to the following:</w:t>
      </w:r>
    </w:p>
    <w:p w14:paraId="4BC83DA5" w14:textId="77777777" w:rsidR="001B7F77" w:rsidRPr="001B7F77" w:rsidRDefault="001B7F77" w:rsidP="001B7F77">
      <w:pPr>
        <w:widowControl w:val="0"/>
        <w:autoSpaceDE w:val="0"/>
        <w:autoSpaceDN w:val="0"/>
        <w:adjustRightInd w:val="0"/>
        <w:spacing w:before="120"/>
        <w:ind w:left="1080" w:hanging="360"/>
        <w:rPr>
          <w:rFonts w:eastAsia="Arial"/>
          <w:color w:val="000000"/>
          <w:szCs w:val="24"/>
          <w:u w:val="single"/>
        </w:rPr>
      </w:pPr>
      <w:r w:rsidRPr="001B7F77">
        <w:rPr>
          <w:rFonts w:eastAsia="Arial"/>
          <w:color w:val="000000"/>
          <w:szCs w:val="24"/>
          <w:u w:val="single"/>
        </w:rPr>
        <w:t>1.</w:t>
      </w:r>
      <w:r w:rsidRPr="001B7F77">
        <w:rPr>
          <w:rFonts w:eastAsia="Arial"/>
          <w:color w:val="000000"/>
          <w:szCs w:val="24"/>
          <w:u w:val="single"/>
        </w:rPr>
        <w:tab/>
        <w:t>Removal and replacement of cabinets.</w:t>
      </w:r>
    </w:p>
    <w:p w14:paraId="5BF1CE50" w14:textId="77777777" w:rsidR="001B7F77" w:rsidRPr="001B7F77" w:rsidRDefault="001B7F77" w:rsidP="001B7F77">
      <w:pPr>
        <w:widowControl w:val="0"/>
        <w:autoSpaceDE w:val="0"/>
        <w:autoSpaceDN w:val="0"/>
        <w:adjustRightInd w:val="0"/>
        <w:spacing w:before="120"/>
        <w:ind w:left="1080" w:hanging="360"/>
        <w:rPr>
          <w:rFonts w:eastAsia="Arial"/>
          <w:color w:val="000000"/>
          <w:szCs w:val="24"/>
          <w:u w:val="single"/>
        </w:rPr>
      </w:pPr>
      <w:r w:rsidRPr="001B7F77">
        <w:rPr>
          <w:rFonts w:eastAsia="Arial"/>
          <w:color w:val="000000"/>
          <w:szCs w:val="24"/>
          <w:u w:val="single"/>
        </w:rPr>
        <w:t>2.</w:t>
      </w:r>
      <w:r w:rsidRPr="001B7F77">
        <w:rPr>
          <w:rFonts w:eastAsia="Arial"/>
          <w:color w:val="000000"/>
          <w:szCs w:val="24"/>
          <w:u w:val="single"/>
        </w:rPr>
        <w:tab/>
        <w:t>Removal and replacement of plumbing fixtures.</w:t>
      </w:r>
    </w:p>
    <w:p w14:paraId="6684B810" w14:textId="77777777" w:rsidR="001B7F77" w:rsidRPr="001B7F77" w:rsidRDefault="001B7F77" w:rsidP="001B7F77">
      <w:pPr>
        <w:widowControl w:val="0"/>
        <w:autoSpaceDE w:val="0"/>
        <w:autoSpaceDN w:val="0"/>
        <w:adjustRightInd w:val="0"/>
        <w:spacing w:before="120"/>
        <w:ind w:left="1080" w:hanging="360"/>
        <w:rPr>
          <w:rFonts w:eastAsia="Arial"/>
          <w:color w:val="000000"/>
          <w:szCs w:val="24"/>
          <w:u w:val="single"/>
        </w:rPr>
      </w:pPr>
      <w:r w:rsidRPr="001B7F77">
        <w:rPr>
          <w:rFonts w:eastAsia="Arial"/>
          <w:color w:val="000000"/>
          <w:szCs w:val="24"/>
          <w:u w:val="single"/>
        </w:rPr>
        <w:t>3.</w:t>
      </w:r>
      <w:r w:rsidRPr="001B7F77">
        <w:rPr>
          <w:rFonts w:eastAsia="Arial"/>
          <w:color w:val="000000"/>
          <w:szCs w:val="24"/>
          <w:u w:val="single"/>
        </w:rPr>
        <w:tab/>
        <w:t>Removal and replacement of appliances.</w:t>
      </w:r>
    </w:p>
    <w:p w14:paraId="0C963853" w14:textId="77777777" w:rsidR="001B7F77" w:rsidRPr="001B7F77" w:rsidRDefault="001B7F77" w:rsidP="001B7F77">
      <w:pPr>
        <w:widowControl w:val="0"/>
        <w:autoSpaceDE w:val="0"/>
        <w:autoSpaceDN w:val="0"/>
        <w:adjustRightInd w:val="0"/>
        <w:spacing w:before="120"/>
        <w:ind w:left="1080" w:hanging="360"/>
        <w:rPr>
          <w:rFonts w:eastAsia="Arial"/>
          <w:color w:val="000000"/>
          <w:szCs w:val="24"/>
          <w:u w:val="single"/>
        </w:rPr>
      </w:pPr>
      <w:r w:rsidRPr="001B7F77">
        <w:rPr>
          <w:rFonts w:eastAsia="Arial"/>
          <w:color w:val="000000"/>
          <w:szCs w:val="24"/>
          <w:u w:val="single"/>
        </w:rPr>
        <w:t>4.</w:t>
      </w:r>
      <w:r w:rsidRPr="001B7F77">
        <w:rPr>
          <w:rFonts w:eastAsia="Arial"/>
          <w:color w:val="000000"/>
          <w:szCs w:val="24"/>
          <w:u w:val="single"/>
        </w:rPr>
        <w:tab/>
        <w:t>Removal, replacement, and installation of wall, floor, and ceiling finishes and insulation materials.</w:t>
      </w:r>
    </w:p>
    <w:bookmarkEnd w:id="129"/>
    <w:p w14:paraId="79FB7AF3" w14:textId="77777777" w:rsidR="001B7F77" w:rsidRPr="001B7F77" w:rsidRDefault="001B7F77" w:rsidP="001B7F77">
      <w:pPr>
        <w:suppressAutoHyphens/>
        <w:spacing w:before="120"/>
        <w:jc w:val="center"/>
        <w:outlineLvl w:val="0"/>
        <w:rPr>
          <w:rFonts w:eastAsia="Helvetica Neue"/>
          <w:b/>
          <w:u w:val="single"/>
        </w:rPr>
      </w:pPr>
    </w:p>
    <w:p w14:paraId="3FA8C253" w14:textId="77777777" w:rsidR="001B7F77" w:rsidRPr="001B7F77" w:rsidRDefault="001B7F77" w:rsidP="001B7F77">
      <w:pPr>
        <w:suppressAutoHyphens/>
        <w:spacing w:before="120"/>
        <w:jc w:val="center"/>
        <w:outlineLvl w:val="0"/>
        <w:rPr>
          <w:rFonts w:eastAsia="Helvetica Neue"/>
          <w:b/>
          <w:u w:val="single"/>
        </w:rPr>
      </w:pPr>
      <w:r w:rsidRPr="001B7F77">
        <w:rPr>
          <w:rFonts w:eastAsia="Helvetica Neue"/>
          <w:b/>
          <w:u w:val="single"/>
        </w:rPr>
        <w:t>SECTION EBC 508</w:t>
      </w:r>
      <w:r w:rsidRPr="001B7F77">
        <w:rPr>
          <w:rFonts w:eastAsia="Helvetica Neue"/>
          <w:b/>
          <w:u w:val="single"/>
        </w:rPr>
        <w:br/>
        <w:t>LIMITED WINDOW REPLACEMENT ALTERATIONS</w:t>
      </w:r>
    </w:p>
    <w:p w14:paraId="4833C258" w14:textId="77777777" w:rsidR="001B7F77" w:rsidRPr="001B7F77" w:rsidRDefault="001B7F77" w:rsidP="001B7F77">
      <w:pPr>
        <w:spacing w:before="120"/>
        <w:rPr>
          <w:rFonts w:eastAsia="Calibri" w:cs="Arial"/>
          <w:color w:val="000000"/>
          <w:szCs w:val="24"/>
          <w:u w:val="single"/>
        </w:rPr>
      </w:pPr>
      <w:r w:rsidRPr="001B7F77">
        <w:rPr>
          <w:rFonts w:eastAsia="Calibri" w:cs="Arial"/>
          <w:b/>
          <w:color w:val="000000"/>
          <w:szCs w:val="24"/>
          <w:u w:val="single"/>
        </w:rPr>
        <w:t>508.1 Filing.</w:t>
      </w:r>
      <w:r w:rsidRPr="001B7F77">
        <w:rPr>
          <w:rFonts w:eastAsia="Calibri" w:cs="Arial"/>
          <w:color w:val="000000"/>
          <w:szCs w:val="24"/>
          <w:u w:val="single"/>
        </w:rPr>
        <w:t xml:space="preserve"> Limited window replacement alterations shall be filed and performed by a home improvement contractor qualified in accordance with requirements established by the commissioner or by a general contractor meeting the requirements of Article 418 of Title 28 of the </w:t>
      </w:r>
      <w:r w:rsidRPr="001B7F77">
        <w:rPr>
          <w:rFonts w:eastAsia="Calibri" w:cs="Arial"/>
          <w:i/>
          <w:color w:val="000000"/>
          <w:szCs w:val="24"/>
          <w:u w:val="single"/>
        </w:rPr>
        <w:t>Administrative Code</w:t>
      </w:r>
      <w:r w:rsidRPr="001B7F77">
        <w:rPr>
          <w:rFonts w:eastAsia="Calibri" w:cs="Arial"/>
          <w:color w:val="000000"/>
          <w:szCs w:val="24"/>
          <w:u w:val="single"/>
        </w:rPr>
        <w:t>. Replacements that are not filed by such contractors shall not qualify as limited window replacement alterations and must be filed as or part of a Level 1 or Level 2 alteration, as applicable.</w:t>
      </w:r>
    </w:p>
    <w:p w14:paraId="04B37BCB" w14:textId="77777777" w:rsidR="001B7F77" w:rsidRPr="001B7F77" w:rsidRDefault="001B7F77" w:rsidP="001B7F77">
      <w:pPr>
        <w:tabs>
          <w:tab w:val="left" w:pos="360"/>
        </w:tabs>
        <w:spacing w:before="120"/>
        <w:ind w:left="360"/>
        <w:rPr>
          <w:rFonts w:eastAsia="Calibri" w:cs="Arial"/>
          <w:color w:val="000000"/>
          <w:szCs w:val="24"/>
          <w:u w:val="single"/>
        </w:rPr>
      </w:pPr>
      <w:bookmarkStart w:id="130" w:name="_Hlk66977324"/>
      <w:r w:rsidRPr="001B7F77">
        <w:rPr>
          <w:rFonts w:eastAsia="Calibri" w:cs="Arial"/>
          <w:b/>
          <w:color w:val="000000"/>
          <w:szCs w:val="24"/>
          <w:u w:val="single"/>
        </w:rPr>
        <w:t>508.1.1 Work exempt from permit.</w:t>
      </w:r>
      <w:r w:rsidRPr="001B7F77">
        <w:rPr>
          <w:rFonts w:eastAsia="Calibri" w:cs="Arial"/>
          <w:color w:val="000000"/>
          <w:szCs w:val="24"/>
          <w:u w:val="single"/>
        </w:rPr>
        <w:t xml:space="preserve"> See Section 105.3 for window replacements exempt from permit for one- and two-family dwellings.</w:t>
      </w:r>
    </w:p>
    <w:p w14:paraId="74A0DBB5" w14:textId="77777777" w:rsidR="001B7F77" w:rsidRPr="001B7F77" w:rsidRDefault="001B7F77" w:rsidP="001B7F77">
      <w:pPr>
        <w:spacing w:before="120"/>
        <w:rPr>
          <w:rFonts w:eastAsia="Calibri" w:cs="Arial"/>
          <w:color w:val="000000"/>
          <w:szCs w:val="24"/>
          <w:u w:val="single"/>
        </w:rPr>
      </w:pPr>
      <w:bookmarkStart w:id="131" w:name="_Hlk70085700"/>
      <w:r w:rsidRPr="001B7F77">
        <w:rPr>
          <w:rFonts w:eastAsia="Calibri" w:cs="Arial"/>
          <w:b/>
          <w:color w:val="000000"/>
          <w:szCs w:val="24"/>
          <w:u w:val="single"/>
        </w:rPr>
        <w:t>508.2 Covered work</w:t>
      </w:r>
      <w:bookmarkEnd w:id="131"/>
      <w:r w:rsidRPr="001B7F77">
        <w:rPr>
          <w:rFonts w:eastAsia="Calibri" w:cs="Arial"/>
          <w:b/>
          <w:color w:val="000000"/>
          <w:szCs w:val="24"/>
          <w:u w:val="single"/>
        </w:rPr>
        <w:t>.</w:t>
      </w:r>
      <w:r w:rsidRPr="001B7F77">
        <w:rPr>
          <w:rFonts w:eastAsia="Calibri" w:cs="Arial"/>
          <w:color w:val="000000"/>
          <w:szCs w:val="24"/>
          <w:u w:val="single"/>
        </w:rPr>
        <w:t xml:space="preserve"> Limited window replacement alterations shall be limited to the replacement of the sash and the covering where the existing openings are not to be modified in size. Where replacement window work does not comply with Section 508.2, such replacement shall be filed as or part of a Level 1 or Level 2 alteration, as applicable.</w:t>
      </w:r>
    </w:p>
    <w:p w14:paraId="5A199B19" w14:textId="77777777" w:rsidR="001B7F77" w:rsidRPr="001B7F77" w:rsidRDefault="001B7F77" w:rsidP="001B7F77">
      <w:pPr>
        <w:widowControl w:val="0"/>
        <w:pBdr>
          <w:top w:val="nil"/>
          <w:left w:val="nil"/>
          <w:bottom w:val="nil"/>
          <w:right w:val="nil"/>
          <w:between w:val="nil"/>
        </w:pBdr>
        <w:tabs>
          <w:tab w:val="left" w:pos="720"/>
          <w:tab w:val="left" w:pos="1080"/>
        </w:tabs>
        <w:autoSpaceDE w:val="0"/>
        <w:autoSpaceDN w:val="0"/>
        <w:adjustRightInd w:val="0"/>
        <w:spacing w:before="120"/>
        <w:ind w:left="360"/>
        <w:rPr>
          <w:rFonts w:eastAsia="Arial"/>
          <w:szCs w:val="24"/>
          <w:u w:val="single"/>
        </w:rPr>
      </w:pPr>
      <w:r w:rsidRPr="001B7F77">
        <w:rPr>
          <w:rFonts w:eastAsia="Arial"/>
          <w:b/>
          <w:szCs w:val="24"/>
          <w:u w:val="single"/>
        </w:rPr>
        <w:t xml:space="preserve">Exception: </w:t>
      </w:r>
      <w:r w:rsidRPr="001B7F77">
        <w:rPr>
          <w:rFonts w:eastAsia="Arial"/>
          <w:szCs w:val="24"/>
          <w:u w:val="single"/>
        </w:rPr>
        <w:t>Replacement of windows required to be fire-rated pursuant to any provisions of law shall not be filed as a limited window replacement alteration.</w:t>
      </w:r>
    </w:p>
    <w:p w14:paraId="23600119" w14:textId="77777777" w:rsidR="001B7F77" w:rsidRPr="001B7F77" w:rsidRDefault="001B7F77" w:rsidP="001B7F77">
      <w:pPr>
        <w:spacing w:before="120"/>
        <w:rPr>
          <w:rFonts w:eastAsia="Calibri" w:cs="Arial"/>
          <w:color w:val="000000"/>
          <w:szCs w:val="24"/>
          <w:u w:val="single"/>
        </w:rPr>
      </w:pPr>
      <w:r w:rsidRPr="001B7F77">
        <w:rPr>
          <w:rFonts w:eastAsia="Calibri" w:cs="Arial"/>
          <w:b/>
          <w:color w:val="000000"/>
          <w:szCs w:val="24"/>
          <w:u w:val="single"/>
        </w:rPr>
        <w:t xml:space="preserve">508.3 Compliance. </w:t>
      </w:r>
      <w:r w:rsidRPr="001B7F77">
        <w:rPr>
          <w:rFonts w:eastAsia="Calibri" w:cs="Arial"/>
          <w:color w:val="000000"/>
          <w:szCs w:val="24"/>
          <w:u w:val="single"/>
        </w:rPr>
        <w:t xml:space="preserve">Windows shall comply with all applicable requirements of the </w:t>
      </w:r>
      <w:r w:rsidRPr="001B7F77">
        <w:rPr>
          <w:rFonts w:eastAsia="Calibri" w:cs="Arial"/>
          <w:i/>
          <w:iCs/>
          <w:color w:val="000000"/>
          <w:szCs w:val="24"/>
          <w:u w:val="single"/>
        </w:rPr>
        <w:t>New York City Construction Codes</w:t>
      </w:r>
      <w:r w:rsidRPr="001B7F77">
        <w:rPr>
          <w:rFonts w:eastAsia="Calibri" w:cs="Arial"/>
          <w:color w:val="000000"/>
          <w:szCs w:val="24"/>
          <w:u w:val="single"/>
        </w:rPr>
        <w:t xml:space="preserve"> for new construction, including the </w:t>
      </w:r>
      <w:r w:rsidRPr="001B7F77">
        <w:rPr>
          <w:rFonts w:eastAsia="Calibri" w:cs="Arial"/>
          <w:i/>
          <w:color w:val="000000"/>
          <w:szCs w:val="24"/>
          <w:u w:val="single"/>
        </w:rPr>
        <w:t>New York City Energy Conservation Code</w:t>
      </w:r>
      <w:r w:rsidRPr="001B7F77">
        <w:rPr>
          <w:rFonts w:eastAsia="Calibri" w:cs="Arial"/>
          <w:color w:val="000000"/>
          <w:szCs w:val="24"/>
          <w:u w:val="single"/>
        </w:rPr>
        <w:t xml:space="preserve"> and Chapters 12, 16 and 33 of the </w:t>
      </w:r>
      <w:r w:rsidRPr="001B7F77">
        <w:rPr>
          <w:rFonts w:eastAsia="Calibri" w:cs="Arial"/>
          <w:i/>
          <w:iCs/>
          <w:color w:val="000000"/>
          <w:szCs w:val="24"/>
          <w:u w:val="single"/>
        </w:rPr>
        <w:t>New York City Building Code</w:t>
      </w:r>
      <w:r w:rsidRPr="001B7F77">
        <w:rPr>
          <w:rFonts w:eastAsia="Calibri" w:cs="Arial"/>
          <w:color w:val="000000"/>
          <w:szCs w:val="24"/>
          <w:u w:val="single"/>
        </w:rPr>
        <w:t>.</w:t>
      </w:r>
    </w:p>
    <w:p w14:paraId="3516EEF4" w14:textId="77777777" w:rsidR="001B7F77" w:rsidRPr="001B7F77" w:rsidRDefault="001B7F77" w:rsidP="001B7F77">
      <w:pPr>
        <w:tabs>
          <w:tab w:val="left" w:pos="360"/>
        </w:tabs>
        <w:spacing w:before="120"/>
        <w:ind w:left="360"/>
        <w:rPr>
          <w:rFonts w:eastAsia="Calibri" w:cs="Arial"/>
          <w:color w:val="000000"/>
          <w:szCs w:val="24"/>
          <w:u w:val="single"/>
        </w:rPr>
      </w:pPr>
      <w:r w:rsidRPr="001B7F77">
        <w:rPr>
          <w:rFonts w:eastAsia="Calibri" w:cs="Arial"/>
          <w:b/>
          <w:color w:val="000000"/>
          <w:szCs w:val="24"/>
          <w:u w:val="single"/>
        </w:rPr>
        <w:t>508.3.1 Residential light and air.</w:t>
      </w:r>
      <w:r w:rsidRPr="001B7F77">
        <w:rPr>
          <w:rFonts w:eastAsia="Calibri" w:cs="Arial"/>
          <w:color w:val="000000"/>
          <w:szCs w:val="24"/>
          <w:u w:val="single"/>
        </w:rPr>
        <w:t xml:space="preserve"> Replacement windows serving dwelling units in Group I-1, R-1, R-2 or R-3 occupancies shall not reduce the area of glazing or operable area below the standards established in Chapter 12 of the </w:t>
      </w:r>
      <w:r w:rsidRPr="001B7F77">
        <w:rPr>
          <w:rFonts w:eastAsia="Calibri" w:cs="Arial"/>
          <w:i/>
          <w:iCs/>
          <w:color w:val="000000"/>
          <w:szCs w:val="24"/>
          <w:u w:val="single"/>
        </w:rPr>
        <w:t>New York City Building Code</w:t>
      </w:r>
      <w:r w:rsidRPr="001B7F77">
        <w:rPr>
          <w:rFonts w:eastAsia="Calibri" w:cs="Arial"/>
          <w:color w:val="000000"/>
          <w:szCs w:val="24"/>
          <w:u w:val="single"/>
        </w:rPr>
        <w:t xml:space="preserve">, except where different requirements are provided in Appendix D of this code for certain multiple dwelling classifications, in which case such different requirements shall apply. </w:t>
      </w:r>
    </w:p>
    <w:p w14:paraId="4BD9DC6F" w14:textId="77777777" w:rsidR="001B7F77" w:rsidRPr="001B7F77" w:rsidRDefault="001B7F77" w:rsidP="001B7F77">
      <w:pPr>
        <w:tabs>
          <w:tab w:val="left" w:pos="360"/>
        </w:tabs>
        <w:spacing w:before="120"/>
        <w:ind w:left="360"/>
        <w:rPr>
          <w:rFonts w:eastAsia="Calibri" w:cs="Arial"/>
          <w:color w:val="000000"/>
          <w:szCs w:val="24"/>
          <w:u w:val="single"/>
        </w:rPr>
      </w:pPr>
      <w:r w:rsidRPr="001B7F77">
        <w:rPr>
          <w:rFonts w:eastAsia="Calibri" w:cs="Arial"/>
          <w:b/>
          <w:color w:val="000000"/>
          <w:szCs w:val="24"/>
          <w:u w:val="single"/>
        </w:rPr>
        <w:t>508.3.2 Emergency Escape and rescue openings.</w:t>
      </w:r>
      <w:r w:rsidRPr="001B7F77">
        <w:rPr>
          <w:rFonts w:eastAsia="Calibri" w:cs="Arial"/>
          <w:color w:val="000000"/>
          <w:szCs w:val="24"/>
          <w:u w:val="single"/>
        </w:rPr>
        <w:t xml:space="preserve"> Replacement windows in Group R-2 and R-3 occupancies shall comply with Section 303.8.</w:t>
      </w:r>
    </w:p>
    <w:p w14:paraId="7FEA6756" w14:textId="77777777" w:rsidR="001B7F77" w:rsidRPr="001B7F77" w:rsidRDefault="001B7F77" w:rsidP="001B7F77">
      <w:pPr>
        <w:tabs>
          <w:tab w:val="left" w:pos="360"/>
        </w:tabs>
        <w:spacing w:before="120"/>
        <w:ind w:left="360"/>
        <w:rPr>
          <w:rFonts w:eastAsia="Calibri" w:cs="Arial"/>
          <w:color w:val="000000"/>
          <w:sz w:val="22"/>
          <w:szCs w:val="22"/>
          <w:u w:val="single"/>
        </w:rPr>
      </w:pPr>
      <w:r w:rsidRPr="001B7F77">
        <w:rPr>
          <w:rFonts w:eastAsia="Calibri" w:cs="Arial"/>
          <w:b/>
          <w:color w:val="000000"/>
          <w:szCs w:val="24"/>
          <w:u w:val="single"/>
        </w:rPr>
        <w:t>508.3.3 Window Guards.</w:t>
      </w:r>
      <w:r w:rsidRPr="001B7F77">
        <w:rPr>
          <w:rFonts w:eastAsia="Calibri" w:cs="Arial"/>
          <w:color w:val="000000"/>
          <w:szCs w:val="24"/>
          <w:u w:val="single"/>
        </w:rPr>
        <w:t xml:space="preserve"> Replacement of windows in Group R-2 occupancies shall comply with Section 303.7</w:t>
      </w:r>
      <w:r w:rsidRPr="001B7F77">
        <w:rPr>
          <w:rFonts w:eastAsia="Calibri" w:cs="Arial"/>
          <w:color w:val="000000"/>
          <w:sz w:val="22"/>
          <w:szCs w:val="22"/>
          <w:u w:val="single"/>
        </w:rPr>
        <w:t>.</w:t>
      </w:r>
    </w:p>
    <w:bookmarkEnd w:id="130"/>
    <w:p w14:paraId="5E8B465A" w14:textId="77777777" w:rsidR="001B7F77" w:rsidRPr="001B7F77" w:rsidRDefault="001B7F77" w:rsidP="001B7F77">
      <w:pPr>
        <w:suppressAutoHyphens/>
        <w:spacing w:before="120"/>
        <w:jc w:val="center"/>
        <w:outlineLvl w:val="0"/>
        <w:rPr>
          <w:rFonts w:eastAsia="Helvetica Neue"/>
          <w:b/>
          <w:u w:val="single"/>
        </w:rPr>
      </w:pPr>
    </w:p>
    <w:p w14:paraId="2016CB21" w14:textId="77777777" w:rsidR="001B7F77" w:rsidRPr="001B7F77" w:rsidRDefault="001B7F77" w:rsidP="001B7F77">
      <w:pPr>
        <w:suppressAutoHyphens/>
        <w:spacing w:before="120"/>
        <w:jc w:val="center"/>
        <w:outlineLvl w:val="0"/>
        <w:rPr>
          <w:rFonts w:eastAsia="Helvetica Neue"/>
          <w:b/>
          <w:u w:val="single"/>
        </w:rPr>
      </w:pPr>
      <w:r w:rsidRPr="001B7F77">
        <w:rPr>
          <w:rFonts w:eastAsia="Helvetica Neue"/>
          <w:b/>
          <w:u w:val="single"/>
        </w:rPr>
        <w:t>SECTION EBC 509</w:t>
      </w:r>
      <w:r w:rsidRPr="001B7F77">
        <w:rPr>
          <w:rFonts w:eastAsia="Helvetica Neue"/>
          <w:b/>
          <w:u w:val="single"/>
        </w:rPr>
        <w:br/>
        <w:t>LIMITED REROOFING ALTERATIONS</w:t>
      </w:r>
    </w:p>
    <w:p w14:paraId="257B8210" w14:textId="77777777" w:rsidR="001B7F77" w:rsidRPr="001B7F77" w:rsidRDefault="001B7F77" w:rsidP="001B7F77">
      <w:pPr>
        <w:widowControl w:val="0"/>
        <w:suppressAutoHyphens/>
        <w:spacing w:before="120"/>
        <w:rPr>
          <w:szCs w:val="24"/>
        </w:rPr>
      </w:pPr>
      <w:r w:rsidRPr="001B7F77">
        <w:rPr>
          <w:rFonts w:eastAsia="Times"/>
          <w:b/>
          <w:szCs w:val="24"/>
          <w:u w:val="single"/>
        </w:rPr>
        <w:t>509.1 Filing.</w:t>
      </w:r>
      <w:r w:rsidRPr="001B7F77">
        <w:rPr>
          <w:rFonts w:eastAsia="Times"/>
          <w:szCs w:val="24"/>
          <w:u w:val="single"/>
        </w:rPr>
        <w:t xml:space="preserve"> Limited reroofing alterations shall be filed and performed by a home improvement contractor qualified in accordance with requirements established by the commissioner or by a general contractor meeting the requirements of Article 418 of the Title 28 of the </w:t>
      </w:r>
      <w:r w:rsidRPr="001B7F77">
        <w:rPr>
          <w:rFonts w:eastAsia="Times"/>
          <w:i/>
          <w:iCs/>
          <w:szCs w:val="24"/>
          <w:u w:val="single"/>
        </w:rPr>
        <w:t>Administrative Code</w:t>
      </w:r>
      <w:r w:rsidRPr="001B7F77">
        <w:rPr>
          <w:rFonts w:eastAsia="Times"/>
          <w:szCs w:val="24"/>
          <w:u w:val="single"/>
        </w:rPr>
        <w:t>. Reroofings that are not filed by such contractors shall not qualify as limited reroofing alterations and must be filed as or part of a Level 1 or Level 2 alteration, as applicable.</w:t>
      </w:r>
    </w:p>
    <w:p w14:paraId="0E3967D2" w14:textId="77777777" w:rsidR="001B7F77" w:rsidRPr="001B7F77" w:rsidRDefault="001B7F77" w:rsidP="001B7F77">
      <w:pPr>
        <w:tabs>
          <w:tab w:val="left" w:pos="360"/>
        </w:tabs>
        <w:spacing w:before="120"/>
        <w:ind w:left="360"/>
        <w:rPr>
          <w:rFonts w:eastAsia="Calibri"/>
          <w:color w:val="000000"/>
          <w:szCs w:val="24"/>
          <w:u w:val="single"/>
        </w:rPr>
      </w:pPr>
      <w:r w:rsidRPr="001B7F77">
        <w:rPr>
          <w:rFonts w:eastAsia="Calibri" w:cs="Arial"/>
          <w:b/>
          <w:color w:val="000000"/>
          <w:szCs w:val="24"/>
          <w:u w:val="single"/>
        </w:rPr>
        <w:t>509.1.1 Work exempt from permit.</w:t>
      </w:r>
      <w:r w:rsidRPr="001B7F77">
        <w:rPr>
          <w:rFonts w:eastAsia="Calibri" w:cs="Arial"/>
          <w:color w:val="000000"/>
          <w:szCs w:val="24"/>
          <w:u w:val="single"/>
        </w:rPr>
        <w:t xml:space="preserve"> See Section 105.3 for reroofing not required to be performed pursuant to a permit for one- and two-family dwellings.</w:t>
      </w:r>
    </w:p>
    <w:p w14:paraId="4B50AC1E" w14:textId="77777777" w:rsidR="001B7F77" w:rsidRPr="001B7F77" w:rsidRDefault="001B7F77" w:rsidP="001B7F77">
      <w:pPr>
        <w:spacing w:before="120"/>
        <w:jc w:val="left"/>
        <w:rPr>
          <w:rFonts w:eastAsia="Calibri" w:cs="Arial"/>
          <w:color w:val="000000"/>
          <w:szCs w:val="24"/>
          <w:u w:val="single"/>
        </w:rPr>
      </w:pPr>
      <w:r w:rsidRPr="001B7F77">
        <w:rPr>
          <w:rFonts w:eastAsia="Calibri" w:cs="Arial"/>
          <w:b/>
          <w:color w:val="000000"/>
          <w:szCs w:val="24"/>
          <w:u w:val="single"/>
        </w:rPr>
        <w:t>509.2 Covered work.</w:t>
      </w:r>
      <w:r w:rsidRPr="001B7F77">
        <w:rPr>
          <w:rFonts w:eastAsia="Calibri" w:cs="Arial"/>
          <w:color w:val="000000"/>
          <w:szCs w:val="24"/>
          <w:u w:val="single"/>
        </w:rPr>
        <w:t xml:space="preserve"> Limited reroofing alterations shall be limited to the following:</w:t>
      </w:r>
    </w:p>
    <w:p w14:paraId="70E7EA04" w14:textId="77777777" w:rsidR="001B7F77" w:rsidRPr="001B7F77" w:rsidRDefault="001B7F77" w:rsidP="001B7F77">
      <w:pPr>
        <w:widowControl w:val="0"/>
        <w:autoSpaceDE w:val="0"/>
        <w:autoSpaceDN w:val="0"/>
        <w:adjustRightInd w:val="0"/>
        <w:spacing w:before="120"/>
        <w:ind w:left="720" w:hanging="360"/>
        <w:rPr>
          <w:rFonts w:eastAsia="Arial"/>
          <w:color w:val="000000"/>
          <w:szCs w:val="24"/>
          <w:u w:val="single"/>
        </w:rPr>
      </w:pPr>
      <w:r w:rsidRPr="001B7F77">
        <w:rPr>
          <w:rFonts w:eastAsia="Arial"/>
          <w:color w:val="000000"/>
          <w:szCs w:val="24"/>
          <w:u w:val="single"/>
        </w:rPr>
        <w:t>1.</w:t>
      </w:r>
      <w:r w:rsidRPr="001B7F77">
        <w:rPr>
          <w:rFonts w:eastAsia="Arial"/>
          <w:b/>
          <w:bCs/>
          <w:color w:val="000000"/>
          <w:szCs w:val="24"/>
        </w:rPr>
        <w:tab/>
      </w:r>
      <w:r w:rsidRPr="001B7F77">
        <w:rPr>
          <w:rFonts w:eastAsia="Arial"/>
          <w:color w:val="000000"/>
          <w:szCs w:val="24"/>
          <w:u w:val="single"/>
        </w:rPr>
        <w:t>Roof repair, as such term is defined in Chapter 2;</w:t>
      </w:r>
    </w:p>
    <w:p w14:paraId="0C09839B" w14:textId="77777777" w:rsidR="001B7F77" w:rsidRPr="001B7F77" w:rsidRDefault="001B7F77" w:rsidP="001B7F77">
      <w:pPr>
        <w:widowControl w:val="0"/>
        <w:autoSpaceDE w:val="0"/>
        <w:autoSpaceDN w:val="0"/>
        <w:adjustRightInd w:val="0"/>
        <w:spacing w:before="120"/>
        <w:ind w:left="720" w:hanging="360"/>
        <w:rPr>
          <w:rFonts w:eastAsia="Arial"/>
          <w:color w:val="000000"/>
          <w:szCs w:val="24"/>
          <w:u w:val="single"/>
        </w:rPr>
      </w:pPr>
      <w:r w:rsidRPr="001B7F77">
        <w:rPr>
          <w:rFonts w:eastAsia="Arial"/>
          <w:color w:val="000000"/>
          <w:szCs w:val="24"/>
          <w:u w:val="single"/>
        </w:rPr>
        <w:t>2.</w:t>
      </w:r>
      <w:r w:rsidRPr="001B7F77">
        <w:rPr>
          <w:rFonts w:eastAsia="Arial"/>
          <w:color w:val="000000"/>
          <w:szCs w:val="24"/>
          <w:u w:val="single"/>
        </w:rPr>
        <w:tab/>
        <w:t>Reroofing of less than 1,000 square feet (92 m</w:t>
      </w:r>
      <w:r w:rsidRPr="001B7F77">
        <w:rPr>
          <w:rFonts w:eastAsia="Arial"/>
          <w:color w:val="000000"/>
          <w:szCs w:val="24"/>
          <w:u w:val="single"/>
          <w:vertAlign w:val="superscript"/>
        </w:rPr>
        <w:t>2</w:t>
      </w:r>
      <w:r w:rsidRPr="001B7F77">
        <w:rPr>
          <w:rFonts w:eastAsia="Arial"/>
          <w:color w:val="000000"/>
          <w:szCs w:val="24"/>
          <w:u w:val="single"/>
        </w:rPr>
        <w:t xml:space="preserve">); </w:t>
      </w:r>
    </w:p>
    <w:p w14:paraId="640A975D" w14:textId="77777777" w:rsidR="001B7F77" w:rsidRPr="001B7F77" w:rsidRDefault="001B7F77" w:rsidP="001B7F77">
      <w:pPr>
        <w:widowControl w:val="0"/>
        <w:autoSpaceDE w:val="0"/>
        <w:autoSpaceDN w:val="0"/>
        <w:adjustRightInd w:val="0"/>
        <w:spacing w:before="120"/>
        <w:ind w:left="720" w:hanging="360"/>
        <w:rPr>
          <w:rFonts w:eastAsia="Arial"/>
          <w:color w:val="000000"/>
          <w:szCs w:val="24"/>
          <w:u w:val="single"/>
        </w:rPr>
      </w:pPr>
      <w:r w:rsidRPr="001B7F77">
        <w:rPr>
          <w:rFonts w:eastAsia="Arial"/>
          <w:color w:val="000000"/>
          <w:szCs w:val="24"/>
          <w:u w:val="single"/>
        </w:rPr>
        <w:t>3.</w:t>
      </w:r>
      <w:r w:rsidRPr="001B7F77">
        <w:rPr>
          <w:rFonts w:eastAsia="Arial"/>
          <w:color w:val="000000"/>
          <w:szCs w:val="24"/>
          <w:u w:val="single"/>
        </w:rPr>
        <w:tab/>
        <w:t>Installation of coatings designed to increase reflectivity and/or prolong the service life of the existing roof covering;</w:t>
      </w:r>
    </w:p>
    <w:p w14:paraId="055DC49F" w14:textId="77777777" w:rsidR="001B7F77" w:rsidRPr="001B7F77" w:rsidRDefault="001B7F77" w:rsidP="001B7F77">
      <w:pPr>
        <w:widowControl w:val="0"/>
        <w:suppressAutoHyphens/>
        <w:spacing w:before="120"/>
        <w:ind w:left="720" w:hanging="360"/>
        <w:rPr>
          <w:rFonts w:eastAsia="Times"/>
          <w:szCs w:val="24"/>
          <w:u w:val="single"/>
        </w:rPr>
      </w:pPr>
      <w:r w:rsidRPr="001B7F77">
        <w:rPr>
          <w:rFonts w:eastAsia="Times"/>
          <w:szCs w:val="24"/>
          <w:u w:val="single"/>
        </w:rPr>
        <w:t>4.</w:t>
      </w:r>
      <w:r w:rsidRPr="001B7F77">
        <w:rPr>
          <w:rFonts w:eastAsia="Times"/>
          <w:szCs w:val="24"/>
          <w:u w:val="single"/>
        </w:rPr>
        <w:tab/>
        <w:t xml:space="preserve">Installation of insulation above the roof deck/sheathing, provided that, based on the scope of the work, the </w:t>
      </w:r>
      <w:r w:rsidRPr="001B7F77">
        <w:rPr>
          <w:rFonts w:eastAsia="Times"/>
          <w:i/>
          <w:iCs/>
          <w:szCs w:val="24"/>
          <w:u w:val="single"/>
        </w:rPr>
        <w:t>New York City Energy Conservation Code</w:t>
      </w:r>
      <w:r w:rsidRPr="001B7F77">
        <w:rPr>
          <w:rFonts w:eastAsia="Times"/>
          <w:szCs w:val="24"/>
          <w:u w:val="single"/>
        </w:rPr>
        <w:t xml:space="preserve"> does not require additional thermal insulation for the roof; and</w:t>
      </w:r>
    </w:p>
    <w:p w14:paraId="794CC892" w14:textId="77777777" w:rsidR="001B7F77" w:rsidRPr="001B7F77" w:rsidRDefault="001B7F77" w:rsidP="001B7F77">
      <w:pPr>
        <w:widowControl w:val="0"/>
        <w:suppressAutoHyphens/>
        <w:spacing w:before="120"/>
        <w:ind w:left="720" w:hanging="360"/>
        <w:rPr>
          <w:rFonts w:eastAsia="Times"/>
          <w:szCs w:val="24"/>
          <w:u w:val="single"/>
        </w:rPr>
      </w:pPr>
      <w:r w:rsidRPr="001B7F77">
        <w:rPr>
          <w:rFonts w:eastAsia="Times"/>
          <w:szCs w:val="24"/>
          <w:u w:val="single"/>
        </w:rPr>
        <w:t>5.</w:t>
      </w:r>
      <w:r w:rsidRPr="001B7F77">
        <w:rPr>
          <w:rFonts w:eastAsia="Times"/>
          <w:szCs w:val="24"/>
          <w:u w:val="single"/>
        </w:rPr>
        <w:tab/>
        <w:t>Replacement of existing deteriorated roof sheathing that is:</w:t>
      </w:r>
    </w:p>
    <w:p w14:paraId="11B78DD1" w14:textId="77777777" w:rsidR="001B7F77" w:rsidRPr="001B7F77" w:rsidRDefault="001B7F77" w:rsidP="001B7F77">
      <w:pPr>
        <w:widowControl w:val="0"/>
        <w:pBdr>
          <w:top w:val="nil"/>
          <w:left w:val="nil"/>
          <w:bottom w:val="nil"/>
          <w:right w:val="nil"/>
          <w:between w:val="nil"/>
        </w:pBdr>
        <w:tabs>
          <w:tab w:val="left" w:pos="720"/>
          <w:tab w:val="left" w:pos="1080"/>
        </w:tabs>
        <w:autoSpaceDE w:val="0"/>
        <w:autoSpaceDN w:val="0"/>
        <w:adjustRightInd w:val="0"/>
        <w:spacing w:before="120"/>
        <w:ind w:left="1080" w:hanging="360"/>
        <w:rPr>
          <w:rFonts w:eastAsia="Arial"/>
          <w:szCs w:val="24"/>
          <w:u w:val="single"/>
        </w:rPr>
      </w:pPr>
      <w:r w:rsidRPr="001B7F77">
        <w:rPr>
          <w:rFonts w:eastAsia="Arial"/>
          <w:szCs w:val="24"/>
          <w:u w:val="single"/>
        </w:rPr>
        <w:t>5.1.</w:t>
      </w:r>
      <w:r w:rsidRPr="001B7F77">
        <w:rPr>
          <w:rFonts w:eastAsia="Arial"/>
          <w:szCs w:val="24"/>
          <w:u w:val="single"/>
        </w:rPr>
        <w:tab/>
        <w:t>limited to not more than 10 percent of all existing roofs on the building for buildings with roof areas totaling less than 1,300 square feet (120 m</w:t>
      </w:r>
      <w:r w:rsidRPr="001B7F77">
        <w:rPr>
          <w:rFonts w:eastAsia="Arial"/>
          <w:szCs w:val="24"/>
          <w:u w:val="single"/>
          <w:vertAlign w:val="superscript"/>
        </w:rPr>
        <w:t>2</w:t>
      </w:r>
      <w:r w:rsidRPr="001B7F77">
        <w:rPr>
          <w:rFonts w:eastAsia="Arial"/>
          <w:szCs w:val="24"/>
          <w:u w:val="single"/>
        </w:rPr>
        <w:t xml:space="preserve">); </w:t>
      </w:r>
    </w:p>
    <w:p w14:paraId="49C8394E" w14:textId="77777777" w:rsidR="001B7F77" w:rsidRPr="001B7F77" w:rsidRDefault="001B7F77" w:rsidP="001B7F77">
      <w:pPr>
        <w:widowControl w:val="0"/>
        <w:pBdr>
          <w:top w:val="nil"/>
          <w:left w:val="nil"/>
          <w:bottom w:val="nil"/>
          <w:right w:val="nil"/>
          <w:between w:val="nil"/>
        </w:pBdr>
        <w:tabs>
          <w:tab w:val="left" w:pos="720"/>
          <w:tab w:val="left" w:pos="1080"/>
        </w:tabs>
        <w:autoSpaceDE w:val="0"/>
        <w:autoSpaceDN w:val="0"/>
        <w:adjustRightInd w:val="0"/>
        <w:spacing w:before="120"/>
        <w:ind w:left="1080" w:hanging="360"/>
        <w:rPr>
          <w:rFonts w:eastAsia="Arial"/>
          <w:szCs w:val="24"/>
          <w:u w:val="single"/>
        </w:rPr>
      </w:pPr>
      <w:r w:rsidRPr="001B7F77">
        <w:rPr>
          <w:rFonts w:eastAsia="Arial"/>
          <w:szCs w:val="24"/>
          <w:u w:val="single"/>
        </w:rPr>
        <w:t>5.2.</w:t>
      </w:r>
      <w:r w:rsidRPr="001B7F77">
        <w:rPr>
          <w:rFonts w:eastAsia="Arial"/>
          <w:szCs w:val="24"/>
          <w:u w:val="single"/>
        </w:rPr>
        <w:tab/>
        <w:t>limited to 130 square feet (12 m</w:t>
      </w:r>
      <w:r w:rsidRPr="001B7F77">
        <w:rPr>
          <w:rFonts w:eastAsia="Arial"/>
          <w:szCs w:val="24"/>
          <w:u w:val="single"/>
          <w:vertAlign w:val="superscript"/>
        </w:rPr>
        <w:t>2</w:t>
      </w:r>
      <w:r w:rsidRPr="001B7F77">
        <w:rPr>
          <w:rFonts w:eastAsia="Arial"/>
          <w:szCs w:val="24"/>
          <w:u w:val="single"/>
        </w:rPr>
        <w:t>) for buildings with roof areas totaling more than 1,300 square feet (120 m</w:t>
      </w:r>
      <w:r w:rsidRPr="001B7F77">
        <w:rPr>
          <w:rFonts w:eastAsia="Arial"/>
          <w:szCs w:val="24"/>
          <w:u w:val="single"/>
          <w:vertAlign w:val="superscript"/>
        </w:rPr>
        <w:t>2</w:t>
      </w:r>
      <w:r w:rsidRPr="001B7F77">
        <w:rPr>
          <w:rFonts w:eastAsia="Arial"/>
          <w:szCs w:val="24"/>
          <w:u w:val="single"/>
        </w:rPr>
        <w:t>); or</w:t>
      </w:r>
    </w:p>
    <w:p w14:paraId="214B4FE3" w14:textId="77777777" w:rsidR="001B7F77" w:rsidRPr="001B7F77" w:rsidRDefault="001B7F77" w:rsidP="001B7F77">
      <w:pPr>
        <w:widowControl w:val="0"/>
        <w:pBdr>
          <w:top w:val="nil"/>
          <w:left w:val="nil"/>
          <w:bottom w:val="nil"/>
          <w:right w:val="nil"/>
          <w:between w:val="nil"/>
        </w:pBdr>
        <w:tabs>
          <w:tab w:val="left" w:pos="720"/>
          <w:tab w:val="left" w:pos="1080"/>
        </w:tabs>
        <w:autoSpaceDE w:val="0"/>
        <w:autoSpaceDN w:val="0"/>
        <w:adjustRightInd w:val="0"/>
        <w:spacing w:before="120"/>
        <w:ind w:left="1080" w:hanging="360"/>
        <w:rPr>
          <w:rFonts w:eastAsia="Arial"/>
          <w:szCs w:val="24"/>
          <w:u w:val="single"/>
        </w:rPr>
      </w:pPr>
      <w:r w:rsidRPr="001B7F77">
        <w:rPr>
          <w:rFonts w:eastAsia="Arial"/>
          <w:szCs w:val="24"/>
          <w:u w:val="single"/>
        </w:rPr>
        <w:t>5.3.</w:t>
      </w:r>
      <w:r w:rsidRPr="001B7F77">
        <w:rPr>
          <w:rFonts w:eastAsia="Arial"/>
          <w:szCs w:val="24"/>
          <w:u w:val="single"/>
        </w:rPr>
        <w:tab/>
        <w:t>limited to 65 contiguous square feet (6 m</w:t>
      </w:r>
      <w:r w:rsidRPr="001B7F77">
        <w:rPr>
          <w:rFonts w:eastAsia="Arial"/>
          <w:szCs w:val="24"/>
          <w:u w:val="single"/>
          <w:vertAlign w:val="superscript"/>
        </w:rPr>
        <w:t>2</w:t>
      </w:r>
      <w:r w:rsidRPr="001B7F77">
        <w:rPr>
          <w:rFonts w:eastAsia="Arial"/>
          <w:szCs w:val="24"/>
          <w:u w:val="single"/>
        </w:rPr>
        <w:t>) in any location.</w:t>
      </w:r>
    </w:p>
    <w:p w14:paraId="6144762E" w14:textId="77777777" w:rsidR="001B7F77" w:rsidRPr="001B7F77" w:rsidRDefault="001B7F77" w:rsidP="001B7F77">
      <w:pPr>
        <w:tabs>
          <w:tab w:val="left" w:pos="360"/>
        </w:tabs>
        <w:spacing w:before="120"/>
        <w:ind w:left="360"/>
        <w:rPr>
          <w:rFonts w:eastAsia="Calibri" w:cs="Arial"/>
          <w:color w:val="000000"/>
          <w:szCs w:val="24"/>
          <w:u w:val="single"/>
        </w:rPr>
      </w:pPr>
      <w:r w:rsidRPr="001B7F77">
        <w:rPr>
          <w:rFonts w:eastAsia="Calibri" w:cs="Arial"/>
          <w:b/>
          <w:bCs/>
          <w:color w:val="000000"/>
          <w:szCs w:val="24"/>
          <w:u w:val="single"/>
        </w:rPr>
        <w:t>509.2.1 Increases in scope of work.</w:t>
      </w:r>
      <w:r w:rsidRPr="001B7F77">
        <w:rPr>
          <w:rFonts w:eastAsia="Calibri" w:cs="Arial"/>
          <w:color w:val="000000"/>
          <w:szCs w:val="24"/>
          <w:u w:val="single"/>
        </w:rPr>
        <w:t xml:space="preserve"> Where changes in the scope of work during the course of reroofing would result in exceeding the limitations of Section 509.2, Items 1 through 5, such work shall be refiled as part of a Level 1 or Level 2 alteration, as applicable.</w:t>
      </w:r>
    </w:p>
    <w:p w14:paraId="1A769DD4" w14:textId="77777777" w:rsidR="001B7F77" w:rsidRPr="001B7F77" w:rsidRDefault="001B7F77" w:rsidP="001B7F77">
      <w:pPr>
        <w:spacing w:before="120"/>
        <w:rPr>
          <w:rFonts w:eastAsia="Calibri" w:cs="Arial"/>
          <w:color w:val="000000"/>
          <w:szCs w:val="24"/>
          <w:u w:val="single"/>
        </w:rPr>
      </w:pPr>
      <w:r w:rsidRPr="001B7F77">
        <w:rPr>
          <w:rFonts w:eastAsia="Calibri" w:cs="Arial"/>
          <w:b/>
          <w:color w:val="000000"/>
          <w:szCs w:val="24"/>
          <w:u w:val="single"/>
        </w:rPr>
        <w:t>509.3 Compliance.</w:t>
      </w:r>
      <w:r w:rsidRPr="001B7F77">
        <w:rPr>
          <w:rFonts w:eastAsia="Calibri" w:cs="Arial"/>
          <w:color w:val="000000"/>
          <w:szCs w:val="24"/>
          <w:u w:val="single"/>
        </w:rPr>
        <w:t xml:space="preserve"> Materials and methods of application used for recovering or replacing an existing roof covering shall comply with the requirements of Section 1511 of the </w:t>
      </w:r>
      <w:r w:rsidRPr="001B7F77">
        <w:rPr>
          <w:rFonts w:eastAsia="Calibri" w:cs="Arial"/>
          <w:i/>
          <w:iCs/>
          <w:color w:val="000000"/>
          <w:szCs w:val="24"/>
          <w:u w:val="single"/>
        </w:rPr>
        <w:t>New York City Building Code</w:t>
      </w:r>
      <w:r w:rsidRPr="001B7F77">
        <w:rPr>
          <w:rFonts w:eastAsia="Calibri" w:cs="Arial"/>
          <w:color w:val="000000"/>
          <w:szCs w:val="24"/>
          <w:u w:val="single"/>
        </w:rPr>
        <w:t>.</w:t>
      </w:r>
    </w:p>
    <w:p w14:paraId="53917CB2" w14:textId="77777777" w:rsidR="001B7F77" w:rsidRPr="001B7F77" w:rsidRDefault="001B7F77" w:rsidP="001B7F77">
      <w:pPr>
        <w:suppressAutoHyphens/>
        <w:spacing w:before="120"/>
        <w:jc w:val="center"/>
        <w:outlineLvl w:val="0"/>
        <w:rPr>
          <w:rFonts w:eastAsia="Helvetica Neue"/>
          <w:b/>
          <w:u w:val="single"/>
        </w:rPr>
      </w:pPr>
      <w:bookmarkStart w:id="132" w:name="_Hlk73000800"/>
    </w:p>
    <w:p w14:paraId="0F6998BA" w14:textId="77777777" w:rsidR="001B7F77" w:rsidRPr="001B7F77" w:rsidRDefault="001B7F77" w:rsidP="001B7F77">
      <w:pPr>
        <w:suppressAutoHyphens/>
        <w:spacing w:before="120"/>
        <w:jc w:val="center"/>
        <w:outlineLvl w:val="0"/>
        <w:rPr>
          <w:rFonts w:eastAsia="Helvetica Neue"/>
          <w:b/>
          <w:u w:val="single"/>
        </w:rPr>
      </w:pPr>
      <w:r w:rsidRPr="001B7F77">
        <w:rPr>
          <w:rFonts w:eastAsia="Helvetica Neue"/>
          <w:b/>
          <w:u w:val="single"/>
        </w:rPr>
        <w:t>SECTION EBC 510</w:t>
      </w:r>
      <w:r w:rsidRPr="001B7F77">
        <w:rPr>
          <w:rFonts w:eastAsia="Helvetica Neue"/>
          <w:b/>
          <w:u w:val="single"/>
        </w:rPr>
        <w:br/>
        <w:t>LIMITED ELEVATOR ALTERATIONS</w:t>
      </w:r>
    </w:p>
    <w:p w14:paraId="6114C5CD" w14:textId="77777777" w:rsidR="001B7F77" w:rsidRPr="001B7F77" w:rsidRDefault="001B7F77" w:rsidP="001B7F77">
      <w:pPr>
        <w:widowControl w:val="0"/>
        <w:suppressAutoHyphens/>
        <w:spacing w:before="120"/>
        <w:rPr>
          <w:rFonts w:eastAsia="Times"/>
          <w:szCs w:val="24"/>
          <w:u w:val="single"/>
        </w:rPr>
      </w:pPr>
      <w:r w:rsidRPr="001B7F77">
        <w:rPr>
          <w:rFonts w:eastAsia="Times"/>
          <w:b/>
          <w:szCs w:val="24"/>
          <w:u w:val="single"/>
        </w:rPr>
        <w:t>510.1 Filing.</w:t>
      </w:r>
      <w:r w:rsidRPr="001B7F77">
        <w:rPr>
          <w:rFonts w:eastAsia="Times"/>
          <w:szCs w:val="24"/>
          <w:u w:val="single"/>
        </w:rPr>
        <w:t xml:space="preserve"> Limited elevator alterations shall be filed and performed by a licensed elevator agency director meeting the requirements of Article 421 of Title 28 of the </w:t>
      </w:r>
      <w:r w:rsidRPr="001B7F77">
        <w:rPr>
          <w:rFonts w:eastAsia="Times"/>
          <w:i/>
          <w:iCs/>
          <w:szCs w:val="24"/>
          <w:u w:val="single"/>
        </w:rPr>
        <w:t>Administrative Code</w:t>
      </w:r>
      <w:r w:rsidRPr="001B7F77">
        <w:rPr>
          <w:rFonts w:eastAsia="Times"/>
          <w:szCs w:val="24"/>
          <w:u w:val="single"/>
        </w:rPr>
        <w:t>.</w:t>
      </w:r>
    </w:p>
    <w:p w14:paraId="74F52615" w14:textId="77777777" w:rsidR="001B7F77" w:rsidRPr="001B7F77" w:rsidRDefault="001B7F77" w:rsidP="001B7F77">
      <w:pPr>
        <w:tabs>
          <w:tab w:val="left" w:pos="360"/>
        </w:tabs>
        <w:spacing w:before="120"/>
        <w:ind w:left="360"/>
        <w:rPr>
          <w:rFonts w:eastAsia="Times"/>
          <w:color w:val="000000"/>
          <w:szCs w:val="24"/>
          <w:u w:val="single"/>
        </w:rPr>
      </w:pPr>
      <w:r w:rsidRPr="001B7F77">
        <w:rPr>
          <w:rFonts w:eastAsia="Calibri" w:cs="Arial"/>
          <w:b/>
          <w:color w:val="000000"/>
          <w:szCs w:val="24"/>
          <w:u w:val="single"/>
        </w:rPr>
        <w:t xml:space="preserve">510.1.1 Application. </w:t>
      </w:r>
      <w:r w:rsidRPr="001B7F77">
        <w:rPr>
          <w:rFonts w:eastAsia="Calibri" w:cs="Arial"/>
          <w:color w:val="000000"/>
          <w:szCs w:val="24"/>
          <w:u w:val="single"/>
        </w:rPr>
        <w:t>Limited elevator alteration applications shall be filed with the department for repairs, replacements and modifications for damaged, broken or worn parts that are necessary for normal elevator maintenance as described in Section 510.2.</w:t>
      </w:r>
    </w:p>
    <w:p w14:paraId="7BC2E0F2" w14:textId="77777777" w:rsidR="001B7F77" w:rsidRPr="001B7F77" w:rsidRDefault="001B7F77" w:rsidP="001B7F77">
      <w:pPr>
        <w:tabs>
          <w:tab w:val="left" w:pos="360"/>
        </w:tabs>
        <w:spacing w:before="120"/>
        <w:ind w:left="360"/>
        <w:rPr>
          <w:rFonts w:eastAsia="Calibri" w:cs="Arial"/>
          <w:color w:val="000000"/>
          <w:szCs w:val="24"/>
          <w:u w:val="single"/>
        </w:rPr>
      </w:pPr>
      <w:r w:rsidRPr="001B7F77">
        <w:rPr>
          <w:rFonts w:eastAsia="Calibri" w:cs="Arial"/>
          <w:b/>
          <w:color w:val="000000"/>
          <w:szCs w:val="24"/>
          <w:u w:val="single"/>
        </w:rPr>
        <w:t>510.1.2 Other work</w:t>
      </w:r>
      <w:r w:rsidRPr="001B7F77">
        <w:rPr>
          <w:rFonts w:eastAsia="Calibri" w:cs="Arial"/>
          <w:color w:val="000000"/>
          <w:szCs w:val="24"/>
          <w:u w:val="single"/>
        </w:rPr>
        <w:t>. Any elevator repair, replacement or modification work that requires an electrical/mechanical safety load test shall not be filed as limited elevator alteration. See Section 510.3 for additional work that must be filed as a Level 1 alteration.</w:t>
      </w:r>
    </w:p>
    <w:p w14:paraId="7E3CA4B6" w14:textId="77777777" w:rsidR="001B7F77" w:rsidRPr="001B7F77" w:rsidRDefault="001B7F77" w:rsidP="001B7F77">
      <w:pPr>
        <w:spacing w:before="120"/>
        <w:rPr>
          <w:rFonts w:eastAsia="Calibri" w:cs="Arial"/>
          <w:color w:val="000000"/>
          <w:szCs w:val="24"/>
          <w:u w:val="single"/>
        </w:rPr>
      </w:pPr>
      <w:r w:rsidRPr="001B7F77">
        <w:rPr>
          <w:rFonts w:eastAsia="Calibri" w:cs="Arial"/>
          <w:b/>
          <w:color w:val="000000"/>
          <w:szCs w:val="24"/>
          <w:u w:val="single"/>
        </w:rPr>
        <w:t xml:space="preserve">510.2 Covered work. </w:t>
      </w:r>
      <w:r w:rsidRPr="001B7F77">
        <w:rPr>
          <w:rFonts w:eastAsia="Calibri" w:cs="Arial"/>
          <w:color w:val="000000"/>
          <w:szCs w:val="24"/>
          <w:u w:val="single"/>
        </w:rPr>
        <w:t xml:space="preserve">Limited elevator alterations shall include the items of work covered by those provisions of ASME A17.1, as modified by Appendix K of the </w:t>
      </w:r>
      <w:r w:rsidRPr="001B7F77">
        <w:rPr>
          <w:rFonts w:eastAsia="Calibri" w:cs="Arial"/>
          <w:i/>
          <w:iCs/>
          <w:color w:val="000000"/>
          <w:szCs w:val="24"/>
          <w:u w:val="single"/>
        </w:rPr>
        <w:t>New York City Building Code</w:t>
      </w:r>
      <w:r w:rsidRPr="001B7F77">
        <w:rPr>
          <w:rFonts w:eastAsia="Calibri" w:cs="Arial"/>
          <w:color w:val="000000"/>
          <w:szCs w:val="24"/>
          <w:u w:val="single"/>
        </w:rPr>
        <w:t>, identified in Table 510.2 of this code.</w:t>
      </w:r>
    </w:p>
    <w:p w14:paraId="7787E39C" w14:textId="77777777" w:rsidR="001B7F77" w:rsidRPr="001B7F77" w:rsidRDefault="001B7F77" w:rsidP="001B7F77">
      <w:pPr>
        <w:suppressAutoHyphens/>
        <w:spacing w:before="120"/>
        <w:jc w:val="center"/>
        <w:outlineLvl w:val="0"/>
        <w:rPr>
          <w:rFonts w:eastAsia="Helvetica Neue"/>
          <w:b/>
          <w:u w:val="single"/>
        </w:rPr>
      </w:pPr>
      <w:bookmarkStart w:id="133" w:name="_Hlk73000812"/>
      <w:bookmarkEnd w:id="132"/>
      <w:r w:rsidRPr="001B7F77">
        <w:rPr>
          <w:rFonts w:eastAsia="Helvetica Neue"/>
          <w:b/>
          <w:u w:val="single"/>
        </w:rPr>
        <w:t>TABLE 510.2</w:t>
      </w:r>
      <w:r w:rsidRPr="001B7F77">
        <w:rPr>
          <w:rFonts w:eastAsia="Helvetica Neue"/>
          <w:b/>
          <w:u w:val="single"/>
        </w:rPr>
        <w:br/>
        <w:t>LIMITED ELEVATOR ALTERATIONS</w:t>
      </w:r>
    </w:p>
    <w:tbl>
      <w:tblPr>
        <w:tblW w:w="9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48"/>
        <w:gridCol w:w="1912"/>
        <w:gridCol w:w="1344"/>
        <w:gridCol w:w="5541"/>
      </w:tblGrid>
      <w:tr w:rsidR="001B7F77" w:rsidRPr="001B7F77" w14:paraId="1BA6DAE4" w14:textId="77777777" w:rsidTr="006655A1">
        <w:trPr>
          <w:trHeight w:val="781"/>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3333BD80" w14:textId="77777777" w:rsidR="001B7F77" w:rsidRPr="001B7F77" w:rsidRDefault="001B7F77" w:rsidP="001B7F77">
            <w:pPr>
              <w:widowControl w:val="0"/>
              <w:suppressAutoHyphens/>
              <w:spacing w:before="120"/>
              <w:jc w:val="left"/>
              <w:rPr>
                <w:rFonts w:eastAsia="Times"/>
                <w:b/>
                <w:u w:val="single"/>
              </w:rPr>
            </w:pPr>
            <w:r w:rsidRPr="001B7F77">
              <w:rPr>
                <w:rFonts w:eastAsia="Times"/>
                <w:b/>
                <w:u w:val="single"/>
              </w:rPr>
              <w:t>A17.1 Section</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62F9ABA5" w14:textId="77777777" w:rsidR="001B7F77" w:rsidRPr="001B7F77" w:rsidRDefault="001B7F77" w:rsidP="001B7F77">
            <w:pPr>
              <w:widowControl w:val="0"/>
              <w:suppressAutoHyphens/>
              <w:spacing w:before="120"/>
              <w:jc w:val="left"/>
              <w:rPr>
                <w:rFonts w:eastAsia="Times"/>
                <w:b/>
                <w:u w:val="single"/>
              </w:rPr>
            </w:pPr>
            <w:r w:rsidRPr="001B7F77">
              <w:rPr>
                <w:rFonts w:eastAsia="Times"/>
                <w:b/>
                <w:u w:val="single"/>
              </w:rPr>
              <w:t>Name of A17.1 Section</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1F3AB21C" w14:textId="77777777" w:rsidR="001B7F77" w:rsidRPr="001B7F77" w:rsidRDefault="001B7F77" w:rsidP="001B7F77">
            <w:pPr>
              <w:widowControl w:val="0"/>
              <w:suppressAutoHyphens/>
              <w:spacing w:before="120"/>
              <w:jc w:val="left"/>
              <w:rPr>
                <w:rFonts w:eastAsia="Times"/>
                <w:b/>
                <w:u w:val="single"/>
              </w:rPr>
            </w:pPr>
            <w:r w:rsidRPr="001B7F77">
              <w:rPr>
                <w:rFonts w:eastAsia="Times"/>
                <w:b/>
                <w:u w:val="single"/>
              </w:rPr>
              <w:t>A17.1 Sub-section</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29CF957E" w14:textId="77777777" w:rsidR="001B7F77" w:rsidRPr="001B7F77" w:rsidRDefault="001B7F77" w:rsidP="001B7F77">
            <w:pPr>
              <w:widowControl w:val="0"/>
              <w:suppressAutoHyphens/>
              <w:spacing w:before="120"/>
              <w:jc w:val="left"/>
              <w:rPr>
                <w:rFonts w:eastAsia="Times"/>
                <w:b/>
                <w:u w:val="single"/>
              </w:rPr>
            </w:pPr>
            <w:r w:rsidRPr="001B7F77">
              <w:rPr>
                <w:rFonts w:eastAsia="Times"/>
                <w:b/>
                <w:u w:val="single"/>
              </w:rPr>
              <w:t>Name of A17.1 Sub-section</w:t>
            </w:r>
          </w:p>
        </w:tc>
      </w:tr>
      <w:tr w:rsidR="001B7F77" w:rsidRPr="001B7F77" w14:paraId="2BEF2F28" w14:textId="77777777" w:rsidTr="006655A1">
        <w:trPr>
          <w:trHeight w:val="406"/>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6B2827AE"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8.6.2</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7E8729A8"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Repairs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2255FE28"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8.6.2.6</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5803FC34"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Repairs involving SIL rated device(s)</w:t>
            </w:r>
          </w:p>
        </w:tc>
      </w:tr>
      <w:tr w:rsidR="001B7F77" w:rsidRPr="001B7F77" w14:paraId="5B4BE917" w14:textId="77777777" w:rsidTr="006655A1">
        <w:trPr>
          <w:trHeight w:val="389"/>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11F0EA53"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8.6.3</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625A2EFE"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Replacements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38C9B2FF"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8.6.3.14</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2CE4A99E"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Replacements involving SIL rated device(s)</w:t>
            </w:r>
          </w:p>
        </w:tc>
      </w:tr>
      <w:tr w:rsidR="001B7F77" w:rsidRPr="001B7F77" w14:paraId="51D73B39" w14:textId="77777777" w:rsidTr="006655A1">
        <w:trPr>
          <w:trHeight w:val="600"/>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0A39F744"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8.7.2</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6CCFB25C"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Alterations to electric elevators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76FA5846"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8.7.2.12</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7D196226"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Power operation of hoistway doors</w:t>
            </w:r>
          </w:p>
        </w:tc>
      </w:tr>
      <w:tr w:rsidR="001B7F77" w:rsidRPr="001B7F77" w14:paraId="1601172F" w14:textId="77777777" w:rsidTr="006655A1">
        <w:trPr>
          <w:trHeight w:val="600"/>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4907D771"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8.7.2</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4CE0ECCE"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Alterations to electric elevators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6BE9841C"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8.7.2.13</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787E07E0"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Door reopening device</w:t>
            </w:r>
          </w:p>
        </w:tc>
      </w:tr>
      <w:tr w:rsidR="001B7F77" w:rsidRPr="001B7F77" w14:paraId="37D62020" w14:textId="77777777" w:rsidTr="006655A1">
        <w:trPr>
          <w:trHeight w:val="795"/>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42E334D3"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8.7.2</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216E58D2"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Alterations to electric elevators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215245C9"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8.7.2.14</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6C4BED29"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When alterations to the car enclosure cause an increase or decrease of the deadweight of the car by less than 5%, see ASME section 8.7.2.15.2)</w:t>
            </w:r>
          </w:p>
        </w:tc>
      </w:tr>
      <w:tr w:rsidR="001B7F77" w:rsidRPr="001B7F77" w14:paraId="59241AF1" w14:textId="77777777" w:rsidTr="006655A1">
        <w:trPr>
          <w:trHeight w:val="600"/>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2C9B4A90"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8.7.2</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5C882F1B"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Alterations to electric elevators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6F8412DF"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8.7.2.21</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38D4DCB7"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Suspension means and their connections</w:t>
            </w:r>
          </w:p>
        </w:tc>
      </w:tr>
      <w:tr w:rsidR="001B7F77" w:rsidRPr="001B7F77" w14:paraId="41ED381C" w14:textId="77777777" w:rsidTr="006655A1">
        <w:trPr>
          <w:trHeight w:val="600"/>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592A6DCF"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8.7.2</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4BC38B5F"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Alterations to electric elevators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27C687F1"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8.7.2.23</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0659E685"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Car and counterweight buffers and bumpers</w:t>
            </w:r>
          </w:p>
        </w:tc>
      </w:tr>
      <w:tr w:rsidR="001B7F77" w:rsidRPr="001B7F77" w14:paraId="005B4A8F" w14:textId="77777777" w:rsidTr="006655A1">
        <w:trPr>
          <w:trHeight w:val="600"/>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448E6210"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8.7.2</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2554DC20"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Alterations to electric elevators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438D8912"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8.7.2.24</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27D06263"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Guide rails, supports, and fastenings</w:t>
            </w:r>
          </w:p>
        </w:tc>
      </w:tr>
      <w:tr w:rsidR="001B7F77" w:rsidRPr="001B7F77" w14:paraId="3CE498CA" w14:textId="77777777" w:rsidTr="006655A1">
        <w:trPr>
          <w:trHeight w:val="600"/>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4947F437"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8.7.2</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6870B886"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Alterations to electric elevators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4763CD0A"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8.7.2.25</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5ABDC2BC"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Regrooving of machine sheaves</w:t>
            </w:r>
          </w:p>
        </w:tc>
      </w:tr>
      <w:tr w:rsidR="001B7F77" w:rsidRPr="001B7F77" w14:paraId="113645A1" w14:textId="77777777" w:rsidTr="006655A1">
        <w:trPr>
          <w:trHeight w:val="600"/>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28C645D7"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8.7.3</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59721562"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Alterations to hydraulic elevators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08AB26FF"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8.7.3.12</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2903C8AC"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Power operation of hoistway doors</w:t>
            </w:r>
          </w:p>
        </w:tc>
      </w:tr>
      <w:tr w:rsidR="001B7F77" w:rsidRPr="001B7F77" w14:paraId="36C27537" w14:textId="77777777" w:rsidTr="006655A1">
        <w:trPr>
          <w:trHeight w:val="600"/>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6A19EE7A"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8.7.3</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7FDEB8F9"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Alterations to hydraulic elevators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1E6B35ED"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8.7.3.13</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1200762E"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Door reopening device</w:t>
            </w:r>
          </w:p>
        </w:tc>
      </w:tr>
      <w:tr w:rsidR="001B7F77" w:rsidRPr="001B7F77" w14:paraId="359D39A9" w14:textId="77777777" w:rsidTr="006655A1">
        <w:trPr>
          <w:trHeight w:val="584"/>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5D1782CA"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8.7.3</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6A0167FB"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Alterations to hydraulic elevators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52FEF7E7"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8.7.3.25</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1A792C17"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Suspension ropes and their connections</w:t>
            </w:r>
          </w:p>
        </w:tc>
      </w:tr>
      <w:tr w:rsidR="001B7F77" w:rsidRPr="001B7F77" w14:paraId="55C03955" w14:textId="77777777" w:rsidTr="006655A1">
        <w:trPr>
          <w:trHeight w:val="600"/>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6BB9D0EC"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8.7.3</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5290E758"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Alterations to hydraulic elevators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1C07ED51"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8.7.3.27</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772807CD"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Car buffers and bumpers</w:t>
            </w:r>
          </w:p>
        </w:tc>
      </w:tr>
      <w:tr w:rsidR="001B7F77" w:rsidRPr="001B7F77" w14:paraId="5E246E72" w14:textId="77777777" w:rsidTr="006655A1">
        <w:trPr>
          <w:trHeight w:val="600"/>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4A646771"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8.7.3</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08E133AB"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Alterations to hydraulic elevators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4287E3E3"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8.7.3.28</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723E6137"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Guide rails, supports, and fastenings</w:t>
            </w:r>
          </w:p>
        </w:tc>
      </w:tr>
      <w:tr w:rsidR="001B7F77" w:rsidRPr="001B7F77" w14:paraId="6B42ECCA" w14:textId="77777777" w:rsidTr="006655A1">
        <w:trPr>
          <w:trHeight w:val="600"/>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36ADE1CF"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47BC863C"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Alterations to Escalators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267682F1"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8.7.6.1.5 (c)</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2B8A148B"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Balustrades. Any alteration to the balustrades shall conform to 6.1.3.3 for the altered components.</w:t>
            </w:r>
          </w:p>
        </w:tc>
      </w:tr>
      <w:tr w:rsidR="001B7F77" w:rsidRPr="001B7F77" w14:paraId="74EB5BB1" w14:textId="77777777" w:rsidTr="006655A1">
        <w:trPr>
          <w:trHeight w:val="600"/>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0182E87D"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161DB47E"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Alterations to Escalators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0CA1F848"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8.7.6.1.5 (d)</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3CBE8B1B"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Skirt Deflector Devices. Any alteration or addition of skirt deflector devices shall conform to 6.1.3.3.10</w:t>
            </w:r>
          </w:p>
        </w:tc>
      </w:tr>
      <w:tr w:rsidR="001B7F77" w:rsidRPr="001B7F77" w14:paraId="38F963AE" w14:textId="77777777" w:rsidTr="006655A1">
        <w:trPr>
          <w:trHeight w:val="1298"/>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04298566"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47EF4357"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Alterations to Escalators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40F73DAB"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8.7.6.1.6</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68059386" w14:textId="77777777" w:rsidR="001B7F77" w:rsidRPr="001B7F77" w:rsidRDefault="001B7F77" w:rsidP="001B7F77">
            <w:pPr>
              <w:widowControl w:val="0"/>
              <w:suppressAutoHyphens/>
              <w:spacing w:before="120"/>
              <w:jc w:val="left"/>
              <w:rPr>
                <w:u w:val="single"/>
              </w:rPr>
            </w:pPr>
            <w:r w:rsidRPr="001B7F77">
              <w:rPr>
                <w:u w:val="single"/>
              </w:rPr>
              <w:t>Any alteration to the handrails or handrail system shall require conformance with 6.1.3.2.2, 6.1.3.4.1 through 6.1.3.4.4, 6.1.3.4.6, 6.1.6.3.12, and 6.1.6.4.</w:t>
            </w:r>
          </w:p>
        </w:tc>
      </w:tr>
      <w:tr w:rsidR="001B7F77" w:rsidRPr="001B7F77" w14:paraId="0FE61253" w14:textId="77777777" w:rsidTr="006655A1">
        <w:trPr>
          <w:trHeight w:val="1396"/>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5271E88B"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76F310A2"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Alterations to Escalators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65D20585"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8.7.6.1.7 (a)</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452AA418" w14:textId="77777777" w:rsidR="001B7F77" w:rsidRPr="001B7F77" w:rsidRDefault="001B7F77" w:rsidP="001B7F77">
            <w:pPr>
              <w:widowControl w:val="0"/>
              <w:suppressAutoHyphens/>
              <w:spacing w:before="120"/>
              <w:jc w:val="left"/>
              <w:rPr>
                <w:u w:val="single"/>
              </w:rPr>
            </w:pPr>
            <w:r w:rsidRPr="001B7F77">
              <w:rPr>
                <w:u w:val="single"/>
              </w:rPr>
              <w:t>Any alteration to the step system shall require conformance with 6.1.3.3.5, 6.1.3.5 (except as specified in 8.7.6.1.7(b)), 6.1.3.6, 6.1.3.8, 6.1.3.9.4, 6.1.3.10.4, 6.1.3.11, 6.1.6.3.3, 6.1.6.3.9, 6.1.6.3.11, 6.1.6.3.14, and 6.1.6.5.</w:t>
            </w:r>
          </w:p>
        </w:tc>
      </w:tr>
      <w:tr w:rsidR="001B7F77" w:rsidRPr="001B7F77" w14:paraId="2D0CF3A6" w14:textId="77777777" w:rsidTr="006655A1">
        <w:trPr>
          <w:trHeight w:val="649"/>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0859B952"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752736FB"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Alterations to Escalators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7C754439"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8..7.6.1.7 (b)</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39C74774" w14:textId="77777777" w:rsidR="001B7F77" w:rsidRPr="001B7F77" w:rsidRDefault="001B7F77" w:rsidP="001B7F77">
            <w:pPr>
              <w:widowControl w:val="0"/>
              <w:suppressAutoHyphens/>
              <w:spacing w:before="120"/>
              <w:jc w:val="left"/>
              <w:rPr>
                <w:u w:val="single"/>
              </w:rPr>
            </w:pPr>
            <w:r w:rsidRPr="001B7F77">
              <w:rPr>
                <w:u w:val="single"/>
              </w:rPr>
              <w:t>Steps having a width less than 560 mm (22 in.) shall not be reduced in width by the alteration.</w:t>
            </w:r>
          </w:p>
        </w:tc>
      </w:tr>
      <w:tr w:rsidR="001B7F77" w:rsidRPr="001B7F77" w14:paraId="26165184" w14:textId="77777777" w:rsidTr="006655A1">
        <w:trPr>
          <w:trHeight w:val="649"/>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64EBFE38"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4C849F28"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Alterations to Escalators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16DAA231"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8.7.6.1.8</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5C8CF16A" w14:textId="77777777" w:rsidR="001B7F77" w:rsidRPr="001B7F77" w:rsidRDefault="001B7F77" w:rsidP="001B7F77">
            <w:pPr>
              <w:widowControl w:val="0"/>
              <w:suppressAutoHyphens/>
              <w:spacing w:before="120"/>
              <w:jc w:val="left"/>
              <w:rPr>
                <w:u w:val="single"/>
              </w:rPr>
            </w:pPr>
            <w:r w:rsidRPr="001B7F77">
              <w:rPr>
                <w:u w:val="single"/>
              </w:rPr>
              <w:t>Any alteration of the comb plates shall require conformance with 6.1.6.3.13.</w:t>
            </w:r>
          </w:p>
        </w:tc>
      </w:tr>
      <w:tr w:rsidR="001B7F77" w:rsidRPr="001B7F77" w14:paraId="44E3B534" w14:textId="77777777" w:rsidTr="006655A1">
        <w:trPr>
          <w:trHeight w:val="649"/>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4141FEE8"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1BDCEED6"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Alterations to Escalators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05C35872"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8.7.6.1.10</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3224B294" w14:textId="77777777" w:rsidR="001B7F77" w:rsidRPr="001B7F77" w:rsidRDefault="001B7F77" w:rsidP="001B7F77">
            <w:pPr>
              <w:widowControl w:val="0"/>
              <w:suppressAutoHyphens/>
              <w:spacing w:before="120"/>
              <w:jc w:val="left"/>
              <w:rPr>
                <w:u w:val="single"/>
              </w:rPr>
            </w:pPr>
            <w:r w:rsidRPr="001B7F77">
              <w:rPr>
                <w:u w:val="single"/>
              </w:rPr>
              <w:t>Any alteration to the tracks shall result in the escalator’s conforming with 6.1.3.8, 6.1.3.9.4, 6.1.3.10.1, and 8.7.1.4.</w:t>
            </w:r>
          </w:p>
        </w:tc>
      </w:tr>
      <w:tr w:rsidR="001B7F77" w:rsidRPr="001B7F77" w14:paraId="6E622AE6" w14:textId="77777777" w:rsidTr="006655A1">
        <w:trPr>
          <w:trHeight w:val="746"/>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6EAB52C5"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3D934953"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Alterations to Escalators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5670D56F"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8.7.6.1.13</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41B8ECD3" w14:textId="77777777" w:rsidR="001B7F77" w:rsidRPr="001B7F77" w:rsidRDefault="001B7F77" w:rsidP="001B7F77">
            <w:pPr>
              <w:widowControl w:val="0"/>
              <w:suppressAutoHyphens/>
              <w:spacing w:before="120"/>
              <w:jc w:val="left"/>
              <w:rPr>
                <w:u w:val="single"/>
              </w:rPr>
            </w:pPr>
            <w:r w:rsidRPr="001B7F77">
              <w:rPr>
                <w:u w:val="single"/>
              </w:rPr>
              <w:t>Any alteration to or addition of operating and or safety devices shall conform to 6.1.6 for that device.</w:t>
            </w:r>
          </w:p>
        </w:tc>
      </w:tr>
      <w:tr w:rsidR="001B7F77" w:rsidRPr="001B7F77" w14:paraId="2BF401C7" w14:textId="77777777" w:rsidTr="006655A1">
        <w:trPr>
          <w:trHeight w:val="1071"/>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4714A800"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7E7DD7F2"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Alterations to Escalators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3CD257D9"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8.7.6.1.14</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6C810043" w14:textId="77777777" w:rsidR="001B7F77" w:rsidRPr="001B7F77" w:rsidRDefault="001B7F77" w:rsidP="001B7F77">
            <w:pPr>
              <w:widowControl w:val="0"/>
              <w:suppressAutoHyphens/>
              <w:spacing w:before="120"/>
              <w:jc w:val="left"/>
              <w:rPr>
                <w:u w:val="single"/>
              </w:rPr>
            </w:pPr>
            <w:r w:rsidRPr="001B7F77">
              <w:rPr>
                <w:u w:val="single"/>
              </w:rPr>
              <w:t>An alteration to or addition of lighting, access, or electrical work shall conform with the specific requirements within 6.1.7 for that change.</w:t>
            </w:r>
          </w:p>
        </w:tc>
      </w:tr>
      <w:tr w:rsidR="001B7F77" w:rsidRPr="001B7F77" w14:paraId="3206E660" w14:textId="77777777" w:rsidTr="006655A1">
        <w:trPr>
          <w:trHeight w:val="649"/>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4AF4F773"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32C5CD8C"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Alterations to Moving Walk</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696B345F"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8.7.6.2.5 (c)</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50C50969" w14:textId="77777777" w:rsidR="001B7F77" w:rsidRPr="001B7F77" w:rsidRDefault="001B7F77" w:rsidP="001B7F77">
            <w:pPr>
              <w:widowControl w:val="0"/>
              <w:suppressAutoHyphens/>
              <w:spacing w:before="120"/>
              <w:jc w:val="left"/>
              <w:rPr>
                <w:u w:val="single"/>
              </w:rPr>
            </w:pPr>
            <w:r w:rsidRPr="001B7F77">
              <w:rPr>
                <w:u w:val="single"/>
              </w:rPr>
              <w:t>Balustrades. Any alteration to the balustrades shall require conformance with 6.2.3.3.</w:t>
            </w:r>
          </w:p>
        </w:tc>
      </w:tr>
      <w:tr w:rsidR="001B7F77" w:rsidRPr="001B7F77" w14:paraId="06857A29" w14:textId="77777777" w:rsidTr="006655A1">
        <w:trPr>
          <w:trHeight w:val="632"/>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4DC0B390"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74B5681C"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Alterations to Moving Walk</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6E680157"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8.7.6.2.6</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27085A85" w14:textId="77777777" w:rsidR="001B7F77" w:rsidRPr="001B7F77" w:rsidRDefault="001B7F77" w:rsidP="001B7F77">
            <w:pPr>
              <w:widowControl w:val="0"/>
              <w:suppressAutoHyphens/>
              <w:spacing w:before="120"/>
              <w:jc w:val="left"/>
              <w:rPr>
                <w:u w:val="single"/>
              </w:rPr>
            </w:pPr>
            <w:r w:rsidRPr="001B7F77">
              <w:rPr>
                <w:u w:val="single"/>
              </w:rPr>
              <w:t>An alteration to the handrails or handrail system shall require conformance with 6.2.3.2.3, 6.2.3.4, 6.2.6.3.10, and 6.2.6.4.</w:t>
            </w:r>
          </w:p>
        </w:tc>
      </w:tr>
      <w:tr w:rsidR="001B7F77" w:rsidRPr="001B7F77" w14:paraId="1BD36C0A" w14:textId="77777777" w:rsidTr="006655A1">
        <w:trPr>
          <w:trHeight w:val="1623"/>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49AC2234"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6BA8FE47"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Alterations to Moving Walk</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4D2FDE62"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8.7.6.2.7 (a)</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4073215B" w14:textId="77777777" w:rsidR="001B7F77" w:rsidRPr="001B7F77" w:rsidRDefault="001B7F77" w:rsidP="001B7F77">
            <w:pPr>
              <w:widowControl w:val="0"/>
              <w:suppressAutoHyphens/>
              <w:spacing w:before="120"/>
              <w:jc w:val="left"/>
              <w:rPr>
                <w:u w:val="single"/>
              </w:rPr>
            </w:pPr>
            <w:r w:rsidRPr="001B7F77">
              <w:rPr>
                <w:u w:val="single"/>
              </w:rPr>
              <w:t>An alteration to the treadway system shall require conformance with 6.2.3.2.3, 6.2.3.3.5, 6.2.3.3.6, 6.2.3.5, 6.2.3.6 (except as specified in 8.7.6.2.7(b)), 6.2.3.8, 6.2.3.9, 6.2.3.10.4, 6.2.3.11.4, 6.2.3.11.5, 6.2.3.12, 6.2.6.3.3, 6.2.6.5, and 6.2.6.3.9.</w:t>
            </w:r>
          </w:p>
        </w:tc>
      </w:tr>
      <w:tr w:rsidR="001B7F77" w:rsidRPr="001B7F77" w14:paraId="5C165D64" w14:textId="77777777" w:rsidTr="006655A1">
        <w:trPr>
          <w:trHeight w:val="1087"/>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18E47628"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0F958AB1"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Alterations to Moving Walk</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76F65794"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8.7.6.2.7 (b)</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638ABA35" w14:textId="77777777" w:rsidR="001B7F77" w:rsidRPr="001B7F77" w:rsidRDefault="001B7F77" w:rsidP="001B7F77">
            <w:pPr>
              <w:widowControl w:val="0"/>
              <w:suppressAutoHyphens/>
              <w:spacing w:before="120"/>
              <w:jc w:val="left"/>
              <w:rPr>
                <w:u w:val="single"/>
              </w:rPr>
            </w:pPr>
            <w:r w:rsidRPr="001B7F77">
              <w:rPr>
                <w:u w:val="single"/>
              </w:rPr>
              <w:t>The minimum width of the moving walk shall be permitted to be less than that required by 6.2.3.7. The existing width, if less than required by 6.2.3.7, shall not be decreased by the alteration.</w:t>
            </w:r>
          </w:p>
        </w:tc>
      </w:tr>
      <w:tr w:rsidR="001B7F77" w:rsidRPr="001B7F77" w14:paraId="0A56CFDB" w14:textId="77777777" w:rsidTr="006655A1">
        <w:trPr>
          <w:trHeight w:val="649"/>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6109B2DF"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4C200448"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Alterations to Moving Walk</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03510DE2"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8.7.6.2.8</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578E54C4" w14:textId="77777777" w:rsidR="001B7F77" w:rsidRPr="001B7F77" w:rsidRDefault="001B7F77" w:rsidP="001B7F77">
            <w:pPr>
              <w:widowControl w:val="0"/>
              <w:suppressAutoHyphens/>
              <w:spacing w:before="120"/>
              <w:jc w:val="left"/>
              <w:rPr>
                <w:u w:val="single"/>
              </w:rPr>
            </w:pPr>
            <w:r w:rsidRPr="001B7F77">
              <w:rPr>
                <w:u w:val="single"/>
              </w:rPr>
              <w:t>An alteration of the comb plates shall require conformance with 6.2.3.8 and 6.2.6.3.11.</w:t>
            </w:r>
          </w:p>
        </w:tc>
      </w:tr>
      <w:tr w:rsidR="001B7F77" w:rsidRPr="001B7F77" w14:paraId="5A1CEBFC" w14:textId="77777777" w:rsidTr="006655A1">
        <w:trPr>
          <w:trHeight w:val="649"/>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3F70B736"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6231645D"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Alterations to Moving Walk</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1BE42425"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8.7.6.2.10</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1A4B698C" w14:textId="77777777" w:rsidR="001B7F77" w:rsidRPr="001B7F77" w:rsidRDefault="001B7F77" w:rsidP="001B7F77">
            <w:pPr>
              <w:widowControl w:val="0"/>
              <w:suppressAutoHyphens/>
              <w:spacing w:before="120"/>
              <w:jc w:val="left"/>
              <w:rPr>
                <w:u w:val="single"/>
              </w:rPr>
            </w:pPr>
            <w:r w:rsidRPr="001B7F77">
              <w:rPr>
                <w:u w:val="single"/>
              </w:rPr>
              <w:t>Any alteration to the tracks shall result in the moving walk’s conforming to 6.2.3.9, 6.2.3.10, 6.2.3.11.1, and 8.7.1.4.</w:t>
            </w:r>
          </w:p>
        </w:tc>
      </w:tr>
      <w:tr w:rsidR="001B7F77" w:rsidRPr="001B7F77" w14:paraId="7B219FB5" w14:textId="77777777" w:rsidTr="006655A1">
        <w:trPr>
          <w:trHeight w:val="860"/>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2296115E"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72250F6C"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Alterations to Moving Walk</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12CD9EFE"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8.7.6.2.13</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75593A61" w14:textId="77777777" w:rsidR="001B7F77" w:rsidRPr="001B7F77" w:rsidRDefault="001B7F77" w:rsidP="001B7F77">
            <w:pPr>
              <w:widowControl w:val="0"/>
              <w:suppressAutoHyphens/>
              <w:spacing w:before="120"/>
              <w:jc w:val="left"/>
              <w:rPr>
                <w:u w:val="single"/>
              </w:rPr>
            </w:pPr>
            <w:r w:rsidRPr="001B7F77">
              <w:rPr>
                <w:u w:val="single"/>
              </w:rPr>
              <w:t>An alteration to or addition of operating and/or safety devices shall conform with the specific requirements within 6.2.6 for that device.</w:t>
            </w:r>
          </w:p>
        </w:tc>
      </w:tr>
      <w:tr w:rsidR="001B7F77" w:rsidRPr="001B7F77" w14:paraId="037F0E7E" w14:textId="77777777" w:rsidTr="006655A1">
        <w:trPr>
          <w:trHeight w:val="1071"/>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53F8E85A"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0EF69971"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Alterations to Moving Walk</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2569483D" w14:textId="77777777" w:rsidR="001B7F77" w:rsidRPr="001B7F77" w:rsidRDefault="001B7F77" w:rsidP="001B7F77">
            <w:pPr>
              <w:widowControl w:val="0"/>
              <w:suppressAutoHyphens/>
              <w:spacing w:before="120"/>
              <w:jc w:val="left"/>
              <w:rPr>
                <w:rFonts w:eastAsia="Times"/>
                <w:u w:val="single"/>
              </w:rPr>
            </w:pPr>
            <w:r w:rsidRPr="001B7F77">
              <w:rPr>
                <w:rFonts w:eastAsia="Times"/>
                <w:u w:val="single"/>
              </w:rPr>
              <w:t>8.7.6.2.14</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53050AE0" w14:textId="77777777" w:rsidR="001B7F77" w:rsidRPr="001B7F77" w:rsidRDefault="001B7F77" w:rsidP="001B7F77">
            <w:pPr>
              <w:widowControl w:val="0"/>
              <w:suppressAutoHyphens/>
              <w:spacing w:before="120"/>
              <w:jc w:val="left"/>
              <w:rPr>
                <w:u w:val="single"/>
              </w:rPr>
            </w:pPr>
            <w:r w:rsidRPr="001B7F77">
              <w:rPr>
                <w:u w:val="single"/>
              </w:rPr>
              <w:t>An alteration to or addition of lighting, access, or electrical work shall conform with the specific requirements within 6.2.7 for that change.</w:t>
            </w:r>
          </w:p>
        </w:tc>
      </w:tr>
    </w:tbl>
    <w:p w14:paraId="3C5BA674" w14:textId="77777777" w:rsidR="001B7F77" w:rsidRPr="001B7F77" w:rsidRDefault="001B7F77" w:rsidP="001B7F77">
      <w:pPr>
        <w:widowControl w:val="0"/>
        <w:suppressAutoHyphens/>
        <w:spacing w:before="120"/>
        <w:ind w:left="360"/>
        <w:rPr>
          <w:rFonts w:eastAsia="Times"/>
          <w:sz w:val="18"/>
          <w:szCs w:val="14"/>
          <w:u w:val="single"/>
        </w:rPr>
      </w:pPr>
      <w:r w:rsidRPr="001B7F77">
        <w:rPr>
          <w:rFonts w:eastAsia="Times"/>
          <w:sz w:val="18"/>
          <w:szCs w:val="14"/>
          <w:u w:val="single"/>
        </w:rPr>
        <w:t>a.</w:t>
      </w:r>
      <w:r w:rsidRPr="001B7F77">
        <w:rPr>
          <w:rFonts w:eastAsia="Times"/>
          <w:sz w:val="18"/>
          <w:szCs w:val="14"/>
          <w:u w:val="single"/>
        </w:rPr>
        <w:tab/>
        <w:t xml:space="preserve">All references to A17.1 refer to ASME A17.1, as amended by Appendix K of the </w:t>
      </w:r>
      <w:r w:rsidRPr="001B7F77">
        <w:rPr>
          <w:rFonts w:eastAsia="Times"/>
          <w:i/>
          <w:iCs/>
          <w:sz w:val="18"/>
          <w:szCs w:val="14"/>
          <w:u w:val="single"/>
        </w:rPr>
        <w:t>New York City Building Code</w:t>
      </w:r>
      <w:r w:rsidRPr="001B7F77">
        <w:rPr>
          <w:rFonts w:eastAsia="Times"/>
          <w:sz w:val="18"/>
          <w:szCs w:val="14"/>
          <w:u w:val="single"/>
        </w:rPr>
        <w:t>.</w:t>
      </w:r>
    </w:p>
    <w:p w14:paraId="230D9033" w14:textId="77777777" w:rsidR="001B7F77" w:rsidRPr="001B7F77" w:rsidRDefault="001B7F77" w:rsidP="001B7F77">
      <w:pPr>
        <w:spacing w:before="120"/>
        <w:jc w:val="left"/>
        <w:rPr>
          <w:rFonts w:eastAsia="Times"/>
          <w:color w:val="000000"/>
          <w:szCs w:val="24"/>
          <w:u w:val="single"/>
        </w:rPr>
      </w:pPr>
      <w:r w:rsidRPr="001B7F77">
        <w:rPr>
          <w:rFonts w:eastAsia="Calibri" w:cs="Arial"/>
          <w:b/>
          <w:color w:val="000000"/>
          <w:szCs w:val="24"/>
          <w:u w:val="single"/>
        </w:rPr>
        <w:t xml:space="preserve">510.3 Level 1 alteration work. </w:t>
      </w:r>
      <w:r w:rsidRPr="001B7F77">
        <w:rPr>
          <w:rFonts w:eastAsia="Calibri" w:cs="Arial"/>
          <w:color w:val="000000"/>
          <w:szCs w:val="24"/>
          <w:u w:val="single"/>
        </w:rPr>
        <w:t xml:space="preserve">Limited elevator alterations shall not include items of work covered by those provisions of ASME A17.1 as modified by Appendix K of the </w:t>
      </w:r>
      <w:r w:rsidRPr="001B7F77">
        <w:rPr>
          <w:rFonts w:eastAsia="Calibri" w:cs="Arial"/>
          <w:i/>
          <w:iCs/>
          <w:color w:val="000000"/>
          <w:szCs w:val="24"/>
          <w:u w:val="single"/>
        </w:rPr>
        <w:t>New York City Building Code</w:t>
      </w:r>
      <w:r w:rsidRPr="001B7F77">
        <w:rPr>
          <w:rFonts w:eastAsia="Calibri" w:cs="Arial"/>
          <w:color w:val="000000"/>
          <w:szCs w:val="24"/>
          <w:u w:val="single"/>
        </w:rPr>
        <w:t>, identified in Table 812.1 of this code. Such work shall be filed as a Level 1 Alteration.</w:t>
      </w:r>
    </w:p>
    <w:p w14:paraId="5A61C91F" w14:textId="77777777" w:rsidR="001B7F77" w:rsidRPr="001B7F77" w:rsidRDefault="001B7F77" w:rsidP="001B7F77">
      <w:pPr>
        <w:spacing w:before="120"/>
        <w:jc w:val="left"/>
        <w:rPr>
          <w:rFonts w:eastAsia="Calibri" w:cs="Arial"/>
          <w:color w:val="000000"/>
          <w:szCs w:val="24"/>
          <w:u w:val="single"/>
        </w:rPr>
      </w:pPr>
      <w:bookmarkStart w:id="134" w:name="_Hlk193272146"/>
      <w:r w:rsidRPr="001B7F77">
        <w:rPr>
          <w:rFonts w:eastAsia="Calibri" w:cs="Arial"/>
          <w:color w:val="000000"/>
          <w:szCs w:val="24"/>
          <w:u w:val="single"/>
        </w:rPr>
        <w:t xml:space="preserve"> </w:t>
      </w:r>
    </w:p>
    <w:bookmarkEnd w:id="133"/>
    <w:p w14:paraId="746D86DF" w14:textId="77777777" w:rsidR="001B7F77" w:rsidRPr="001B7F77" w:rsidRDefault="001B7F77" w:rsidP="001B7F77">
      <w:pPr>
        <w:spacing w:before="120"/>
        <w:jc w:val="left"/>
        <w:rPr>
          <w:rFonts w:eastAsia="Times"/>
          <w:color w:val="000000"/>
          <w:sz w:val="22"/>
          <w:szCs w:val="22"/>
          <w:u w:val="single"/>
        </w:rPr>
        <w:sectPr w:rsidR="001B7F77" w:rsidRPr="001B7F77" w:rsidSect="001B7F77">
          <w:footerReference w:type="default" r:id="rId55"/>
          <w:pgSz w:w="12240" w:h="15840" w:code="1"/>
          <w:pgMar w:top="1440" w:right="1440" w:bottom="1440" w:left="1440" w:header="720" w:footer="720" w:gutter="0"/>
          <w:lnNumType w:countBy="1"/>
          <w:cols w:space="720"/>
          <w:docGrid w:linePitch="360"/>
        </w:sectPr>
      </w:pPr>
    </w:p>
    <w:p w14:paraId="28DC0655" w14:textId="77777777" w:rsidR="001B7F77" w:rsidRPr="001B7F77" w:rsidRDefault="001B7F77" w:rsidP="001B7F77">
      <w:pPr>
        <w:widowControl w:val="0"/>
        <w:suppressAutoHyphens/>
        <w:spacing w:before="120"/>
        <w:jc w:val="center"/>
        <w:outlineLvl w:val="0"/>
        <w:rPr>
          <w:rFonts w:eastAsia="Times"/>
          <w:b/>
          <w:color w:val="000000"/>
          <w:u w:val="single"/>
        </w:rPr>
      </w:pPr>
      <w:r w:rsidRPr="001B7F77">
        <w:rPr>
          <w:rFonts w:eastAsia="Times"/>
          <w:b/>
          <w:color w:val="000000"/>
          <w:u w:val="single"/>
        </w:rPr>
        <w:t>CHAPTER 6</w:t>
      </w:r>
      <w:r w:rsidRPr="001B7F77">
        <w:rPr>
          <w:rFonts w:eastAsia="Times"/>
          <w:b/>
          <w:color w:val="000000"/>
          <w:u w:val="single"/>
        </w:rPr>
        <w:br/>
      </w:r>
      <w:bookmarkEnd w:id="134"/>
      <w:r w:rsidRPr="001B7F77">
        <w:rPr>
          <w:rFonts w:eastAsia="Times"/>
          <w:b/>
          <w:color w:val="000000"/>
          <w:u w:val="single"/>
        </w:rPr>
        <w:t>CLASSIFICATION OF WORK</w:t>
      </w:r>
    </w:p>
    <w:p w14:paraId="1BEBC552" w14:textId="77777777" w:rsidR="001B7F77" w:rsidRPr="001B7F77" w:rsidRDefault="001B7F77" w:rsidP="001B7F77">
      <w:pPr>
        <w:widowControl w:val="0"/>
        <w:suppressAutoHyphens/>
        <w:spacing w:before="120"/>
        <w:jc w:val="center"/>
        <w:outlineLvl w:val="0"/>
        <w:rPr>
          <w:rFonts w:eastAsia="Times"/>
          <w:b/>
          <w:color w:val="000000"/>
          <w:u w:val="single"/>
        </w:rPr>
      </w:pPr>
      <w:r w:rsidRPr="001B7F77">
        <w:rPr>
          <w:rFonts w:eastAsia="Times"/>
          <w:b/>
          <w:color w:val="000000"/>
          <w:u w:val="single"/>
        </w:rPr>
        <w:t>SECTION EBC 601</w:t>
      </w:r>
      <w:r w:rsidRPr="001B7F77">
        <w:rPr>
          <w:rFonts w:eastAsia="Times"/>
          <w:b/>
          <w:color w:val="000000"/>
          <w:u w:val="single"/>
        </w:rPr>
        <w:br/>
        <w:t>GENERAL</w:t>
      </w:r>
    </w:p>
    <w:p w14:paraId="3EFD977B" w14:textId="77777777" w:rsidR="001B7F77" w:rsidRPr="001B7F77" w:rsidRDefault="001B7F77" w:rsidP="001B7F77">
      <w:pPr>
        <w:widowControl w:val="0"/>
        <w:suppressAutoHyphens/>
        <w:spacing w:before="120"/>
        <w:rPr>
          <w:rFonts w:eastAsia="Times"/>
          <w:color w:val="000000"/>
        </w:rPr>
      </w:pPr>
      <w:r w:rsidRPr="001B7F77">
        <w:rPr>
          <w:rFonts w:eastAsia="Times"/>
          <w:b/>
          <w:color w:val="000000"/>
          <w:u w:val="single"/>
        </w:rPr>
        <w:t>601.1 Scope.</w:t>
      </w:r>
      <w:r w:rsidRPr="001B7F77">
        <w:rPr>
          <w:rFonts w:eastAsia="Times"/>
          <w:color w:val="000000"/>
          <w:u w:val="single"/>
        </w:rPr>
        <w:t xml:space="preserve"> The provisions of this chapter shall be used in conjunction with Chapter 3 and Chapters 7 through 14 and shall apply to the </w:t>
      </w:r>
      <w:r w:rsidRPr="001B7F77">
        <w:rPr>
          <w:rFonts w:eastAsia="Times"/>
          <w:iCs/>
          <w:color w:val="000000"/>
          <w:u w:val="single"/>
        </w:rPr>
        <w:t>alteration, addition and change of occupancy</w:t>
      </w:r>
      <w:r w:rsidRPr="001B7F77">
        <w:rPr>
          <w:rFonts w:eastAsia="Times"/>
          <w:color w:val="000000"/>
          <w:u w:val="single"/>
        </w:rPr>
        <w:t xml:space="preserve"> of existing structures, including relocated, moved or raised buildings, as referenced in Sections 301.1.3 and 301.1.5. Work performed on an </w:t>
      </w:r>
      <w:r w:rsidRPr="001B7F77">
        <w:rPr>
          <w:rFonts w:eastAsia="Times"/>
          <w:iCs/>
          <w:color w:val="000000"/>
          <w:u w:val="single"/>
        </w:rPr>
        <w:t>existing building</w:t>
      </w:r>
      <w:r w:rsidRPr="001B7F77">
        <w:rPr>
          <w:rFonts w:eastAsia="Times"/>
          <w:color w:val="000000"/>
          <w:u w:val="single"/>
        </w:rPr>
        <w:t xml:space="preserve"> shall be classified in accordance with this chapter.</w:t>
      </w:r>
    </w:p>
    <w:p w14:paraId="21A92878" w14:textId="77777777" w:rsidR="001B7F77" w:rsidRPr="001B7F77" w:rsidRDefault="001B7F77" w:rsidP="001B7F77">
      <w:pPr>
        <w:widowControl w:val="0"/>
        <w:suppressAutoHyphens/>
        <w:spacing w:before="120"/>
        <w:ind w:left="360"/>
        <w:rPr>
          <w:color w:val="000000"/>
        </w:rPr>
      </w:pPr>
      <w:r w:rsidRPr="001B7F77">
        <w:rPr>
          <w:rFonts w:eastAsia="Times"/>
          <w:b/>
          <w:color w:val="000000"/>
          <w:u w:val="single"/>
        </w:rPr>
        <w:t>601.1.1 Compliance with other chapters.</w:t>
      </w:r>
      <w:r w:rsidRPr="001B7F77">
        <w:rPr>
          <w:rFonts w:eastAsia="Times"/>
          <w:color w:val="000000"/>
          <w:u w:val="single"/>
        </w:rPr>
        <w:t xml:space="preserve"> </w:t>
      </w:r>
      <w:r w:rsidRPr="001B7F77">
        <w:rPr>
          <w:u w:val="single"/>
        </w:rPr>
        <w:t xml:space="preserve">Where elected by the registered design professional of record in accordance with Section 301.1.4, Chapter 13 may be used simultaneously with Chapters 8 through 11 and 14 for </w:t>
      </w:r>
      <w:r w:rsidRPr="001B7F77">
        <w:rPr>
          <w:iCs/>
          <w:u w:val="single"/>
        </w:rPr>
        <w:t>a</w:t>
      </w:r>
      <w:r w:rsidRPr="001B7F77">
        <w:rPr>
          <w:iCs/>
          <w:color w:val="000000"/>
          <w:u w:val="single"/>
        </w:rPr>
        <w:t>lterations, additions and changes of occupancy</w:t>
      </w:r>
      <w:r w:rsidRPr="001B7F77">
        <w:rPr>
          <w:color w:val="000000"/>
          <w:u w:val="single"/>
        </w:rPr>
        <w:t xml:space="preserve"> </w:t>
      </w:r>
      <w:r w:rsidRPr="001B7F77">
        <w:rPr>
          <w:u w:val="single"/>
        </w:rPr>
        <w:t xml:space="preserve">made </w:t>
      </w:r>
      <w:r w:rsidRPr="001B7F77">
        <w:rPr>
          <w:color w:val="000000"/>
          <w:u w:val="single"/>
        </w:rPr>
        <w:t xml:space="preserve">to existing </w:t>
      </w:r>
      <w:r w:rsidRPr="001B7F77">
        <w:rPr>
          <w:u w:val="single"/>
        </w:rPr>
        <w:t>buildings</w:t>
      </w:r>
      <w:r w:rsidRPr="001B7F77">
        <w:rPr>
          <w:color w:val="000000"/>
          <w:u w:val="single"/>
        </w:rPr>
        <w:t xml:space="preserve">. </w:t>
      </w:r>
    </w:p>
    <w:p w14:paraId="718254D0" w14:textId="77777777" w:rsidR="001B7F77" w:rsidRPr="001B7F77" w:rsidRDefault="001B7F77" w:rsidP="001B7F77">
      <w:pPr>
        <w:widowControl w:val="0"/>
        <w:suppressAutoHyphens/>
        <w:spacing w:before="120"/>
        <w:rPr>
          <w:u w:val="single"/>
        </w:rPr>
      </w:pPr>
      <w:bookmarkStart w:id="135" w:name="_Hlk66202866"/>
      <w:r w:rsidRPr="001B7F77">
        <w:rPr>
          <w:rFonts w:eastAsia="Times"/>
          <w:b/>
          <w:color w:val="000000"/>
          <w:u w:val="single"/>
        </w:rPr>
        <w:t>601.2 Work area.</w:t>
      </w:r>
      <w:r w:rsidRPr="001B7F77">
        <w:rPr>
          <w:rFonts w:eastAsia="Times"/>
          <w:color w:val="000000"/>
          <w:u w:val="single"/>
        </w:rPr>
        <w:t xml:space="preserve"> The </w:t>
      </w:r>
      <w:r w:rsidRPr="001B7F77">
        <w:rPr>
          <w:rFonts w:eastAsia="Times"/>
          <w:iCs/>
          <w:color w:val="000000"/>
          <w:u w:val="single"/>
        </w:rPr>
        <w:t>work area</w:t>
      </w:r>
      <w:r w:rsidRPr="001B7F77">
        <w:rPr>
          <w:rFonts w:eastAsia="Times"/>
          <w:color w:val="000000"/>
          <w:u w:val="single"/>
        </w:rPr>
        <w:t>, as defined in Chapter 2, shall be identified on the construction documents by the registered design professional of record for the purpose of determining the applicability of the requirements of Chapters 8 and 9.</w:t>
      </w:r>
      <w:r w:rsidRPr="001B7F77">
        <w:rPr>
          <w:u w:val="single"/>
        </w:rPr>
        <w:t xml:space="preserve"> For the purpose of calculating work area as a percentage of building area, building area shall be calculated in accordance with the definition of such term in Chapter 2.</w:t>
      </w:r>
    </w:p>
    <w:p w14:paraId="2FFCABDF" w14:textId="77777777" w:rsidR="001B7F77" w:rsidRPr="001B7F77" w:rsidRDefault="001B7F77" w:rsidP="001B7F77">
      <w:pPr>
        <w:widowControl w:val="0"/>
        <w:suppressAutoHyphens/>
        <w:spacing w:before="120"/>
        <w:ind w:left="360"/>
        <w:rPr>
          <w:rFonts w:eastAsia="Times"/>
          <w:color w:val="000000"/>
          <w:u w:val="single"/>
        </w:rPr>
      </w:pPr>
      <w:bookmarkStart w:id="136" w:name="_Hlk78967141"/>
      <w:bookmarkStart w:id="137" w:name="_Hlk73623706"/>
      <w:bookmarkEnd w:id="135"/>
      <w:r w:rsidRPr="001B7F77">
        <w:rPr>
          <w:rFonts w:eastAsia="Times"/>
          <w:b/>
          <w:bCs/>
          <w:color w:val="000000"/>
          <w:u w:val="single"/>
        </w:rPr>
        <w:t>601.2.1 Permit applications that have not been signed off</w:t>
      </w:r>
      <w:r w:rsidRPr="001B7F77">
        <w:rPr>
          <w:rFonts w:eastAsia="Times"/>
          <w:color w:val="000000"/>
          <w:u w:val="single"/>
        </w:rPr>
        <w:t xml:space="preserve">. For the purpose of calculating the total work area, alteration applications that have not been signed off shall be cumulatively considered in </w:t>
      </w:r>
      <w:r w:rsidRPr="001B7F77">
        <w:rPr>
          <w:u w:val="single"/>
        </w:rPr>
        <w:t>accordance with Sections 601.2.1.1 and 601.2.1.2.</w:t>
      </w:r>
    </w:p>
    <w:p w14:paraId="0B5A4AAE" w14:textId="77777777" w:rsidR="001B7F77" w:rsidRPr="001B7F77" w:rsidRDefault="001B7F77" w:rsidP="001B7F77">
      <w:pPr>
        <w:suppressAutoHyphens/>
        <w:spacing w:before="120" w:line="252" w:lineRule="auto"/>
        <w:ind w:left="720"/>
        <w:rPr>
          <w:u w:val="single"/>
        </w:rPr>
      </w:pPr>
      <w:bookmarkStart w:id="138" w:name="_Hlk78967010"/>
      <w:bookmarkEnd w:id="136"/>
      <w:r w:rsidRPr="001B7F77">
        <w:rPr>
          <w:b/>
          <w:bCs/>
          <w:u w:val="single"/>
        </w:rPr>
        <w:t xml:space="preserve">601.2.1.1 Cumulative work area. </w:t>
      </w:r>
      <w:r w:rsidRPr="001B7F77">
        <w:rPr>
          <w:u w:val="single"/>
        </w:rPr>
        <w:t>For the purpose of determining the level of alteration for a newly filed application, the total work area shall include, on a cumulative basis, all applications filed after the effective date of the local law that added this section that have not been signed off.</w:t>
      </w:r>
      <w:bookmarkEnd w:id="138"/>
    </w:p>
    <w:p w14:paraId="21EF9F53" w14:textId="77777777" w:rsidR="001B7F77" w:rsidRPr="001B7F77" w:rsidRDefault="001B7F77" w:rsidP="001B7F77">
      <w:pPr>
        <w:suppressAutoHyphens/>
        <w:spacing w:before="120" w:line="252" w:lineRule="auto"/>
        <w:ind w:left="720"/>
        <w:rPr>
          <w:u w:val="single"/>
        </w:rPr>
      </w:pPr>
      <w:bookmarkStart w:id="139" w:name="_Hlk78966997"/>
      <w:r w:rsidRPr="001B7F77">
        <w:rPr>
          <w:b/>
          <w:bCs/>
          <w:u w:val="single"/>
        </w:rPr>
        <w:t xml:space="preserve">601.2.1.2 Project specific work area. </w:t>
      </w:r>
      <w:r w:rsidRPr="001B7F77">
        <w:rPr>
          <w:u w:val="single"/>
        </w:rPr>
        <w:t xml:space="preserve">For the purpose of determining total work area for Level 2 alterations exceeding 75 percent of building area, the total work area shall include related applications filed after the effective date of the local law that added this section that are associated with the project scope and are not yet signed off. </w:t>
      </w:r>
    </w:p>
    <w:bookmarkEnd w:id="137"/>
    <w:bookmarkEnd w:id="139"/>
    <w:p w14:paraId="00BFE9C7" w14:textId="77777777" w:rsidR="001B7F77" w:rsidRPr="001B7F77" w:rsidRDefault="001B7F77" w:rsidP="001B7F77">
      <w:pPr>
        <w:widowControl w:val="0"/>
        <w:suppressAutoHyphens/>
        <w:spacing w:before="120"/>
        <w:ind w:left="360"/>
        <w:rPr>
          <w:rFonts w:eastAsia="Times"/>
          <w:color w:val="000000"/>
        </w:rPr>
      </w:pPr>
      <w:r w:rsidRPr="001B7F77">
        <w:rPr>
          <w:rFonts w:eastAsia="Times"/>
          <w:b/>
          <w:bCs/>
          <w:color w:val="000000"/>
          <w:u w:val="single"/>
        </w:rPr>
        <w:t>601.2.2 Minor alterations, ordinary repairs and limited alterations.</w:t>
      </w:r>
      <w:r w:rsidRPr="001B7F77">
        <w:rPr>
          <w:rFonts w:eastAsia="Times"/>
          <w:color w:val="000000"/>
          <w:u w:val="single"/>
        </w:rPr>
        <w:t xml:space="preserve"> Where minor alterations, ordinary repairs and limited alterations, as described in Chapter 5, are included as part of the same scope of a Level 1 or Level 2 alteration, all such work shall be included for the purpose of determining the work area to the extent such work contributes to work area pursuant to Section 601.2.3.</w:t>
      </w:r>
    </w:p>
    <w:p w14:paraId="5D783ABA" w14:textId="77777777" w:rsidR="001B7F77" w:rsidRPr="001B7F77" w:rsidRDefault="001B7F77" w:rsidP="001B7F77">
      <w:pPr>
        <w:widowControl w:val="0"/>
        <w:suppressAutoHyphens/>
        <w:spacing w:before="120"/>
        <w:ind w:left="360"/>
      </w:pPr>
      <w:r w:rsidRPr="001B7F77">
        <w:rPr>
          <w:b/>
          <w:bCs/>
          <w:u w:val="single"/>
        </w:rPr>
        <w:t>601.2.3 Determination of work area.</w:t>
      </w:r>
      <w:r w:rsidRPr="001B7F77">
        <w:rPr>
          <w:u w:val="single"/>
        </w:rPr>
        <w:t xml:space="preserve"> Work areas shall be determined in accordance with Sections 601.2.3.1 through 601.2.3.3.</w:t>
      </w:r>
    </w:p>
    <w:p w14:paraId="6871DDB1" w14:textId="77777777" w:rsidR="001B7F77" w:rsidRPr="001B7F77" w:rsidRDefault="001B7F77" w:rsidP="001B7F77">
      <w:pPr>
        <w:widowControl w:val="0"/>
        <w:suppressAutoHyphens/>
        <w:spacing w:before="120"/>
        <w:ind w:left="720"/>
        <w:rPr>
          <w:color w:val="000000"/>
          <w:u w:val="single"/>
          <w:shd w:val="clear" w:color="auto" w:fill="FFFFFF"/>
        </w:rPr>
      </w:pPr>
      <w:r w:rsidRPr="001B7F77">
        <w:rPr>
          <w:rFonts w:eastAsia="Calibri"/>
          <w:b/>
          <w:bCs/>
          <w:u w:val="single"/>
        </w:rPr>
        <w:t>601.2.3.1 Interior work.</w:t>
      </w:r>
      <w:r w:rsidRPr="001B7F77">
        <w:rPr>
          <w:rFonts w:eastAsia="Calibri"/>
          <w:u w:val="single"/>
        </w:rPr>
        <w:t xml:space="preserve"> Work area shall be the entire horizontal area of the room or space being reconfigured. </w:t>
      </w:r>
      <w:r w:rsidRPr="001B7F77">
        <w:rPr>
          <w:color w:val="000000"/>
          <w:u w:val="single"/>
          <w:shd w:val="clear" w:color="auto" w:fill="FFFFFF"/>
        </w:rPr>
        <w:t>Reconfiguration shall include, but not be limited to, the items listed below, or as otherwise determined by the department to secure the beneficial purposes of this code:</w:t>
      </w:r>
    </w:p>
    <w:p w14:paraId="7352B8B9" w14:textId="77777777" w:rsidR="001B7F77" w:rsidRPr="001B7F77" w:rsidRDefault="001B7F77" w:rsidP="001B7F77">
      <w:pPr>
        <w:widowControl w:val="0"/>
        <w:suppressAutoHyphens/>
        <w:kinsoku w:val="0"/>
        <w:spacing w:before="120"/>
        <w:ind w:left="1440" w:hanging="360"/>
        <w:rPr>
          <w:u w:val="single"/>
        </w:rPr>
      </w:pPr>
      <w:r w:rsidRPr="001B7F77">
        <w:rPr>
          <w:u w:val="single"/>
        </w:rPr>
        <w:t>1.</w:t>
      </w:r>
      <w:r w:rsidRPr="001B7F77">
        <w:rPr>
          <w:u w:val="single"/>
        </w:rPr>
        <w:tab/>
        <w:t>Removal, relocation or installation of interior partitions, walls, doors, or ceilings.</w:t>
      </w:r>
    </w:p>
    <w:p w14:paraId="478580DA" w14:textId="77777777" w:rsidR="001B7F77" w:rsidRPr="001B7F77" w:rsidRDefault="001B7F77" w:rsidP="001B7F77">
      <w:pPr>
        <w:widowControl w:val="0"/>
        <w:suppressAutoHyphens/>
        <w:kinsoku w:val="0"/>
        <w:spacing w:before="120"/>
        <w:ind w:left="1440" w:hanging="360"/>
        <w:rPr>
          <w:u w:val="single"/>
        </w:rPr>
      </w:pPr>
      <w:r w:rsidRPr="001B7F77">
        <w:rPr>
          <w:u w:val="single"/>
        </w:rPr>
        <w:t>2.</w:t>
      </w:r>
      <w:r w:rsidRPr="001B7F77">
        <w:rPr>
          <w:u w:val="single"/>
        </w:rPr>
        <w:tab/>
        <w:t>Construction, removal, or relocation of stairs, ramps, or stair or ramp enclosures.</w:t>
      </w:r>
    </w:p>
    <w:p w14:paraId="67ACF78C" w14:textId="77777777" w:rsidR="001B7F77" w:rsidRPr="001B7F77" w:rsidRDefault="001B7F77" w:rsidP="001B7F77">
      <w:pPr>
        <w:widowControl w:val="0"/>
        <w:suppressAutoHyphens/>
        <w:kinsoku w:val="0"/>
        <w:spacing w:before="120"/>
        <w:ind w:left="1440" w:hanging="360"/>
        <w:rPr>
          <w:u w:val="single"/>
        </w:rPr>
      </w:pPr>
      <w:r w:rsidRPr="001B7F77">
        <w:rPr>
          <w:u w:val="single"/>
        </w:rPr>
        <w:t>3.</w:t>
      </w:r>
      <w:r w:rsidRPr="001B7F77">
        <w:rPr>
          <w:u w:val="single"/>
        </w:rPr>
        <w:tab/>
        <w:t xml:space="preserve">Construction, removal, reduction, or extension of a mezzanine level in compliance with Section 505 of the </w:t>
      </w:r>
      <w:r w:rsidRPr="001B7F77">
        <w:rPr>
          <w:i/>
          <w:iCs/>
          <w:u w:val="single"/>
        </w:rPr>
        <w:t>New York City Building Code</w:t>
      </w:r>
      <w:r w:rsidRPr="001B7F77">
        <w:rPr>
          <w:u w:val="single"/>
        </w:rPr>
        <w:t>.</w:t>
      </w:r>
    </w:p>
    <w:p w14:paraId="71A19338" w14:textId="77777777" w:rsidR="001B7F77" w:rsidRPr="001B7F77" w:rsidRDefault="001B7F77" w:rsidP="001B7F77">
      <w:pPr>
        <w:widowControl w:val="0"/>
        <w:suppressAutoHyphens/>
        <w:kinsoku w:val="0"/>
        <w:spacing w:before="120"/>
        <w:ind w:left="1440" w:hanging="360"/>
        <w:rPr>
          <w:u w:val="single"/>
        </w:rPr>
      </w:pPr>
      <w:r w:rsidRPr="001B7F77">
        <w:rPr>
          <w:u w:val="single"/>
        </w:rPr>
        <w:t>4.</w:t>
      </w:r>
      <w:r w:rsidRPr="001B7F77">
        <w:rPr>
          <w:u w:val="single"/>
        </w:rPr>
        <w:tab/>
        <w:t>Increase or decrease in the clear ceiling height of a space or a floor.</w:t>
      </w:r>
    </w:p>
    <w:p w14:paraId="5E99B19F" w14:textId="77777777" w:rsidR="001B7F77" w:rsidRPr="001B7F77" w:rsidRDefault="001B7F77" w:rsidP="001B7F77">
      <w:pPr>
        <w:widowControl w:val="0"/>
        <w:suppressAutoHyphens/>
        <w:kinsoku w:val="0"/>
        <w:spacing w:before="120"/>
        <w:ind w:left="1440" w:hanging="360"/>
        <w:rPr>
          <w:u w:val="single"/>
        </w:rPr>
      </w:pPr>
      <w:r w:rsidRPr="001B7F77">
        <w:rPr>
          <w:u w:val="single"/>
        </w:rPr>
        <w:t>5.</w:t>
      </w:r>
      <w:r w:rsidRPr="001B7F77">
        <w:rPr>
          <w:u w:val="single"/>
        </w:rPr>
        <w:tab/>
        <w:t>Creation of openings between levels, stories, or spaces. The work area shall include the opening and the area of the rooms or spaces impacted by the alteration.</w:t>
      </w:r>
    </w:p>
    <w:p w14:paraId="493FF85A" w14:textId="77777777" w:rsidR="001B7F77" w:rsidRPr="001B7F77" w:rsidRDefault="001B7F77" w:rsidP="001B7F77">
      <w:pPr>
        <w:widowControl w:val="0"/>
        <w:suppressAutoHyphens/>
        <w:kinsoku w:val="0"/>
        <w:spacing w:before="120"/>
        <w:ind w:left="1440" w:hanging="360"/>
        <w:rPr>
          <w:u w:val="single"/>
        </w:rPr>
      </w:pPr>
      <w:r w:rsidRPr="001B7F77">
        <w:rPr>
          <w:u w:val="single"/>
        </w:rPr>
        <w:t>6.</w:t>
      </w:r>
      <w:r w:rsidRPr="001B7F77">
        <w:rPr>
          <w:u w:val="single"/>
        </w:rPr>
        <w:tab/>
        <w:t>Sealing or creation of operable skylights that are required for ventilation in roofs. The work area shall include the interior space impacted by such alteration to the roof. For the purposes of applying the requirements of Chapter 9 and requirements in Chapter 8 for work areas greater than 50 percent of the floor area, the work area shall be calculated as 10 times the area of the skylight where such skylight is 10 percent or less of the area of the room or space.</w:t>
      </w:r>
    </w:p>
    <w:p w14:paraId="36277B7F" w14:textId="77777777" w:rsidR="001B7F77" w:rsidRPr="001B7F77" w:rsidRDefault="001B7F77" w:rsidP="001B7F77">
      <w:pPr>
        <w:widowControl w:val="0"/>
        <w:suppressAutoHyphens/>
        <w:kinsoku w:val="0"/>
        <w:spacing w:before="120"/>
        <w:ind w:left="1440" w:hanging="360"/>
        <w:rPr>
          <w:u w:val="single"/>
        </w:rPr>
      </w:pPr>
      <w:r w:rsidRPr="001B7F77">
        <w:rPr>
          <w:u w:val="single"/>
        </w:rPr>
        <w:t>7.</w:t>
      </w:r>
      <w:r w:rsidRPr="001B7F77">
        <w:rPr>
          <w:u w:val="single"/>
        </w:rPr>
        <w:tab/>
        <w:t>Sealing or creation of operable windows that are required for ventilation and doors in exterior walls. The work area shall include the interior space impacted by such alteration to the building exterior walls. For the purposes of applying the requirements of Chapter 9 and requirements in Chapter 8 for work areas greater than 50 percent of the floor area, the work area shall be calculated as 10 times the area of the exterior wall opening where such opening is 10 percent or less of the area of the room or space.</w:t>
      </w:r>
    </w:p>
    <w:p w14:paraId="23B99912" w14:textId="77777777" w:rsidR="001B7F77" w:rsidRPr="001B7F77" w:rsidRDefault="001B7F77" w:rsidP="001B7F77">
      <w:pPr>
        <w:widowControl w:val="0"/>
        <w:suppressAutoHyphens/>
        <w:kinsoku w:val="0"/>
        <w:spacing w:before="120"/>
        <w:ind w:left="1440" w:hanging="360"/>
        <w:rPr>
          <w:u w:val="single"/>
        </w:rPr>
      </w:pPr>
      <w:r w:rsidRPr="001B7F77">
        <w:rPr>
          <w:u w:val="single"/>
        </w:rPr>
        <w:t>8.</w:t>
      </w:r>
      <w:r w:rsidRPr="001B7F77">
        <w:rPr>
          <w:u w:val="single"/>
        </w:rPr>
        <w:tab/>
        <w:t>Creation or enclosure of vertical openings and shafts.</w:t>
      </w:r>
    </w:p>
    <w:p w14:paraId="22320A87" w14:textId="77777777" w:rsidR="001B7F77" w:rsidRPr="001B7F77" w:rsidRDefault="001B7F77" w:rsidP="001B7F77">
      <w:pPr>
        <w:widowControl w:val="0"/>
        <w:suppressAutoHyphens/>
        <w:kinsoku w:val="0"/>
        <w:spacing w:before="120"/>
        <w:ind w:left="1440" w:hanging="360"/>
        <w:rPr>
          <w:u w:val="single"/>
        </w:rPr>
      </w:pPr>
      <w:r w:rsidRPr="001B7F77">
        <w:rPr>
          <w:u w:val="single"/>
        </w:rPr>
        <w:t>9.</w:t>
      </w:r>
      <w:r w:rsidRPr="001B7F77">
        <w:rPr>
          <w:u w:val="single"/>
        </w:rPr>
        <w:tab/>
        <w:t xml:space="preserve">Construction or enlargement of elevator hoistways. The work area shall include the hoistway being constructed or enlarged and the rooms or spaces impacted by the alteration. </w:t>
      </w:r>
    </w:p>
    <w:p w14:paraId="74CA9F5A" w14:textId="77777777" w:rsidR="001B7F77" w:rsidRPr="001B7F77" w:rsidRDefault="001B7F77" w:rsidP="001B7F77">
      <w:pPr>
        <w:widowControl w:val="0"/>
        <w:suppressAutoHyphens/>
        <w:kinsoku w:val="0"/>
        <w:spacing w:before="120"/>
        <w:ind w:left="1080"/>
        <w:rPr>
          <w:b/>
          <w:bCs/>
          <w:u w:val="single"/>
        </w:rPr>
      </w:pPr>
      <w:r w:rsidRPr="001B7F77">
        <w:rPr>
          <w:b/>
          <w:bCs/>
          <w:u w:val="single"/>
        </w:rPr>
        <w:t xml:space="preserve">Exceptions: </w:t>
      </w:r>
    </w:p>
    <w:p w14:paraId="1C503662" w14:textId="77777777" w:rsidR="001B7F77" w:rsidRPr="001B7F77" w:rsidRDefault="001B7F77" w:rsidP="001B7F77">
      <w:pPr>
        <w:widowControl w:val="0"/>
        <w:suppressAutoHyphens/>
        <w:kinsoku w:val="0"/>
        <w:spacing w:before="120"/>
        <w:ind w:left="1800" w:hanging="360"/>
        <w:rPr>
          <w:u w:val="single"/>
        </w:rPr>
      </w:pPr>
      <w:r w:rsidRPr="001B7F77">
        <w:rPr>
          <w:u w:val="single"/>
        </w:rPr>
        <w:t>1.</w:t>
      </w:r>
      <w:r w:rsidRPr="001B7F77">
        <w:rPr>
          <w:u w:val="single"/>
        </w:rPr>
        <w:tab/>
        <w:t xml:space="preserve">Incidental work made to existing walls, shafts and ceilings associated with the installation of plumbing, mechanical, fuel gas, electrical and fire protection systems shall not be included in the determination of work area. </w:t>
      </w:r>
    </w:p>
    <w:p w14:paraId="4C431CA7" w14:textId="77777777" w:rsidR="001B7F77" w:rsidRPr="001B7F77" w:rsidRDefault="001B7F77" w:rsidP="001B7F77">
      <w:pPr>
        <w:widowControl w:val="0"/>
        <w:suppressAutoHyphens/>
        <w:kinsoku w:val="0"/>
        <w:spacing w:before="120"/>
        <w:ind w:left="1800" w:hanging="360"/>
        <w:rPr>
          <w:u w:val="single"/>
        </w:rPr>
      </w:pPr>
      <w:r w:rsidRPr="001B7F77">
        <w:rPr>
          <w:u w:val="single"/>
        </w:rPr>
        <w:t>2.</w:t>
      </w:r>
      <w:r w:rsidRPr="001B7F77">
        <w:rPr>
          <w:u w:val="single"/>
        </w:rPr>
        <w:tab/>
        <w:t>Where the space being reconfigured constitutes 10 percent or less of the total area of a room or floor that the reconfigured space is a part of, the work area shall be limited to the space being reconfigured. This exception does not apply to items 6 and 7 of this section.</w:t>
      </w:r>
    </w:p>
    <w:p w14:paraId="45AEFE58" w14:textId="77777777" w:rsidR="001B7F77" w:rsidRPr="001B7F77" w:rsidRDefault="001B7F77" w:rsidP="001B7F77">
      <w:pPr>
        <w:widowControl w:val="0"/>
        <w:suppressAutoHyphens/>
        <w:kinsoku w:val="0"/>
        <w:spacing w:before="120"/>
        <w:ind w:left="720"/>
      </w:pPr>
      <w:r w:rsidRPr="001B7F77">
        <w:rPr>
          <w:b/>
          <w:bCs/>
          <w:u w:val="single"/>
        </w:rPr>
        <w:t>601.2.3.2 Exterior work (Building envelope).</w:t>
      </w:r>
      <w:r w:rsidRPr="001B7F77">
        <w:rPr>
          <w:u w:val="single"/>
        </w:rPr>
        <w:t xml:space="preserve"> Alteration of the exterior walls and roof shall not be considered as work area in determining Level 1 and Level 2 alterations. However, where the alteration of the building exterior impacts the interior spaces of the building by creating or sealing of operable windows, skylights or doors, work area shall be determined in accordance with Section 601.2.3.1.</w:t>
      </w:r>
      <w:r w:rsidRPr="001B7F77">
        <w:t xml:space="preserve"> </w:t>
      </w:r>
    </w:p>
    <w:p w14:paraId="65606157" w14:textId="77777777" w:rsidR="001B7F77" w:rsidRPr="001B7F77" w:rsidRDefault="001B7F77" w:rsidP="001B7F77">
      <w:pPr>
        <w:widowControl w:val="0"/>
        <w:suppressAutoHyphens/>
        <w:kinsoku w:val="0"/>
        <w:spacing w:before="120"/>
        <w:ind w:left="1080"/>
        <w:rPr>
          <w:bCs/>
          <w:u w:val="single"/>
        </w:rPr>
      </w:pPr>
      <w:bookmarkStart w:id="140" w:name="_Hlk85624442"/>
      <w:bookmarkStart w:id="141" w:name="_Hlk85624766"/>
      <w:r w:rsidRPr="001B7F77">
        <w:rPr>
          <w:rFonts w:eastAsia="Times"/>
          <w:b/>
          <w:color w:val="000000"/>
          <w:u w:val="single"/>
        </w:rPr>
        <w:t xml:space="preserve">601.2.3.2.1 </w:t>
      </w:r>
      <w:bookmarkEnd w:id="140"/>
      <w:r w:rsidRPr="001B7F77">
        <w:rPr>
          <w:rFonts w:eastAsia="Times"/>
          <w:b/>
          <w:color w:val="000000"/>
          <w:u w:val="single"/>
        </w:rPr>
        <w:t>Changing the size of windows, skylights or doors</w:t>
      </w:r>
      <w:r w:rsidRPr="001B7F77">
        <w:rPr>
          <w:u w:val="single"/>
        </w:rPr>
        <w:t xml:space="preserve"> </w:t>
      </w:r>
      <w:r w:rsidRPr="001B7F77">
        <w:rPr>
          <w:rFonts w:eastAsia="Times"/>
          <w:b/>
          <w:color w:val="000000"/>
          <w:u w:val="single"/>
        </w:rPr>
        <w:t xml:space="preserve">that are required for natural light or ventilation. </w:t>
      </w:r>
      <w:r w:rsidRPr="001B7F77">
        <w:rPr>
          <w:rFonts w:eastAsia="Times"/>
          <w:bCs/>
          <w:color w:val="000000"/>
          <w:u w:val="single"/>
        </w:rPr>
        <w:t>Where the exterior work includes changing the size of windows, skylights or doors</w:t>
      </w:r>
      <w:r w:rsidRPr="001B7F77">
        <w:rPr>
          <w:u w:val="single"/>
        </w:rPr>
        <w:t xml:space="preserve"> </w:t>
      </w:r>
      <w:r w:rsidRPr="001B7F77">
        <w:rPr>
          <w:rFonts w:eastAsia="Times"/>
          <w:bCs/>
          <w:color w:val="000000"/>
          <w:u w:val="single"/>
        </w:rPr>
        <w:t xml:space="preserve">that are required for natural light or ventilation and no interior work occurs, the interior spaces impacted by such work shall not be considered as work area. Such work shall comply with Section </w:t>
      </w:r>
      <w:bookmarkStart w:id="142" w:name="_Hlk83292293"/>
      <w:r w:rsidRPr="001B7F77">
        <w:rPr>
          <w:rFonts w:eastAsia="Times"/>
          <w:bCs/>
          <w:color w:val="000000"/>
          <w:u w:val="single"/>
        </w:rPr>
        <w:t>803.7</w:t>
      </w:r>
      <w:bookmarkEnd w:id="141"/>
      <w:bookmarkEnd w:id="142"/>
      <w:r w:rsidRPr="001B7F77">
        <w:rPr>
          <w:rFonts w:eastAsia="Times"/>
          <w:bCs/>
          <w:color w:val="000000"/>
          <w:u w:val="single"/>
        </w:rPr>
        <w:t>.</w:t>
      </w:r>
    </w:p>
    <w:p w14:paraId="3D832B9C" w14:textId="77777777" w:rsidR="001B7F77" w:rsidRPr="001B7F77" w:rsidRDefault="001B7F77" w:rsidP="001B7F77">
      <w:pPr>
        <w:widowControl w:val="0"/>
        <w:suppressAutoHyphens/>
        <w:spacing w:before="120"/>
        <w:ind w:left="720"/>
        <w:rPr>
          <w:u w:val="single"/>
        </w:rPr>
      </w:pPr>
      <w:r w:rsidRPr="001B7F77">
        <w:rPr>
          <w:b/>
          <w:bCs/>
          <w:u w:val="single"/>
        </w:rPr>
        <w:t xml:space="preserve">601.2.3.3 Stand-alone systems. </w:t>
      </w:r>
      <w:r w:rsidRPr="001B7F77">
        <w:rPr>
          <w:u w:val="single"/>
        </w:rPr>
        <w:t>Work area shall not include the installation of, alteration of or additions to plumbing, mechanical, electrical, vertical transportation systems, fuel gas, or fire protection systems.</w:t>
      </w:r>
    </w:p>
    <w:p w14:paraId="6C2CD3D0" w14:textId="77777777" w:rsidR="001B7F77" w:rsidRPr="001B7F77" w:rsidRDefault="001B7F77" w:rsidP="001B7F77">
      <w:pPr>
        <w:widowControl w:val="0"/>
        <w:suppressAutoHyphens/>
        <w:spacing w:before="120"/>
        <w:ind w:left="1080"/>
        <w:rPr>
          <w:u w:val="single"/>
        </w:rPr>
      </w:pPr>
      <w:r w:rsidRPr="001B7F77">
        <w:rPr>
          <w:b/>
          <w:bCs/>
          <w:u w:val="single"/>
        </w:rPr>
        <w:t xml:space="preserve">Exception: </w:t>
      </w:r>
      <w:r w:rsidRPr="001B7F77">
        <w:rPr>
          <w:u w:val="single"/>
        </w:rPr>
        <w:t>The construction of or alterations made to create toilet rooms, mechanical equipment rooms and floors, boiler rooms and similar spaces, shall be counted as work areas in accordance with Section 601.2.3.1.</w:t>
      </w:r>
    </w:p>
    <w:p w14:paraId="0EC6D218" w14:textId="77777777" w:rsidR="001B7F77" w:rsidRPr="001B7F77" w:rsidRDefault="001B7F77" w:rsidP="001B7F77">
      <w:pPr>
        <w:widowControl w:val="0"/>
        <w:suppressAutoHyphens/>
        <w:spacing w:before="120"/>
        <w:jc w:val="center"/>
        <w:outlineLvl w:val="0"/>
        <w:rPr>
          <w:rFonts w:eastAsia="Times"/>
          <w:b/>
          <w:color w:val="000000"/>
          <w:u w:val="single"/>
        </w:rPr>
      </w:pPr>
    </w:p>
    <w:p w14:paraId="7C769C2F" w14:textId="77777777" w:rsidR="001B7F77" w:rsidRPr="001B7F77" w:rsidRDefault="001B7F77" w:rsidP="001B7F77">
      <w:pPr>
        <w:widowControl w:val="0"/>
        <w:suppressAutoHyphens/>
        <w:spacing w:before="120"/>
        <w:jc w:val="center"/>
        <w:outlineLvl w:val="0"/>
        <w:rPr>
          <w:rFonts w:eastAsia="Times"/>
          <w:b/>
          <w:color w:val="000000"/>
          <w:u w:val="single"/>
        </w:rPr>
      </w:pPr>
      <w:r w:rsidRPr="001B7F77">
        <w:rPr>
          <w:rFonts w:eastAsia="Times"/>
          <w:b/>
          <w:color w:val="000000"/>
          <w:u w:val="single"/>
        </w:rPr>
        <w:t>SECTION EBC 602</w:t>
      </w:r>
      <w:r w:rsidRPr="001B7F77">
        <w:rPr>
          <w:rFonts w:eastAsia="Times"/>
          <w:b/>
          <w:color w:val="000000"/>
          <w:u w:val="single"/>
        </w:rPr>
        <w:br/>
        <w:t>ALTERATION—LEVEL 1</w:t>
      </w:r>
    </w:p>
    <w:p w14:paraId="6D52C37D" w14:textId="77777777" w:rsidR="001B7F77" w:rsidRPr="001B7F77" w:rsidRDefault="001B7F77" w:rsidP="001B7F77">
      <w:pPr>
        <w:widowControl w:val="0"/>
        <w:suppressAutoHyphens/>
        <w:spacing w:before="120"/>
        <w:rPr>
          <w:rFonts w:eastAsia="Times"/>
          <w:color w:val="000000"/>
        </w:rPr>
      </w:pPr>
      <w:r w:rsidRPr="001B7F77">
        <w:rPr>
          <w:rFonts w:eastAsia="Times"/>
          <w:b/>
          <w:color w:val="000000"/>
          <w:u w:val="single"/>
        </w:rPr>
        <w:t>602.1</w:t>
      </w:r>
      <w:r w:rsidRPr="001B7F77">
        <w:rPr>
          <w:rFonts w:eastAsia="Times"/>
          <w:color w:val="000000"/>
          <w:u w:val="single"/>
        </w:rPr>
        <w:t xml:space="preserve"> </w:t>
      </w:r>
      <w:r w:rsidRPr="001B7F77">
        <w:rPr>
          <w:rFonts w:eastAsia="Times"/>
          <w:b/>
          <w:color w:val="000000"/>
          <w:u w:val="single"/>
        </w:rPr>
        <w:t>Scope.</w:t>
      </w:r>
      <w:r w:rsidRPr="001B7F77">
        <w:rPr>
          <w:rFonts w:eastAsia="Times"/>
          <w:color w:val="000000"/>
          <w:u w:val="single"/>
        </w:rPr>
        <w:t xml:space="preserve"> Level 1 </w:t>
      </w:r>
      <w:r w:rsidRPr="001B7F77">
        <w:rPr>
          <w:rFonts w:eastAsia="Times"/>
          <w:iCs/>
          <w:color w:val="000000"/>
          <w:u w:val="single"/>
        </w:rPr>
        <w:t xml:space="preserve">alteration </w:t>
      </w:r>
      <w:r w:rsidRPr="001B7F77">
        <w:rPr>
          <w:rFonts w:eastAsia="Times"/>
          <w:color w:val="000000"/>
          <w:u w:val="single"/>
        </w:rPr>
        <w:t>is any alteration made to a building where the work area as determined in accordance with Section 601.2 does not exceed 50 percent of the building area.</w:t>
      </w:r>
      <w:r w:rsidRPr="001B7F77">
        <w:rPr>
          <w:rFonts w:eastAsia="Times"/>
          <w:color w:val="000000"/>
        </w:rPr>
        <w:t xml:space="preserve"> </w:t>
      </w:r>
    </w:p>
    <w:p w14:paraId="1B227B8A" w14:textId="77777777" w:rsidR="001B7F77" w:rsidRPr="001B7F77" w:rsidRDefault="001B7F77" w:rsidP="001B7F77">
      <w:pPr>
        <w:widowControl w:val="0"/>
        <w:suppressAutoHyphens/>
        <w:spacing w:before="120"/>
        <w:ind w:left="360"/>
        <w:rPr>
          <w:rFonts w:eastAsia="Times"/>
          <w:color w:val="000000"/>
          <w:u w:val="single"/>
        </w:rPr>
      </w:pPr>
      <w:r w:rsidRPr="001B7F77">
        <w:rPr>
          <w:rFonts w:eastAsia="Times"/>
          <w:b/>
          <w:color w:val="000000"/>
          <w:u w:val="single"/>
        </w:rPr>
        <w:t xml:space="preserve">602.1.1 Building systems. </w:t>
      </w:r>
      <w:r w:rsidRPr="001B7F77">
        <w:rPr>
          <w:rFonts w:eastAsia="Times"/>
          <w:color w:val="000000"/>
          <w:u w:val="single"/>
        </w:rPr>
        <w:t>Installation of new mechanical, plumbing, fuel gas, fire protection and vertical transportation systems in existing buildings or alterations to such systems, other than limited alterations subject to Chapter 5, shall be classified as a Level 1 alteration unless included as part of a Level 2 alteration.</w:t>
      </w:r>
    </w:p>
    <w:p w14:paraId="14EA0A9E" w14:textId="77777777" w:rsidR="001B7F77" w:rsidRPr="001B7F77" w:rsidRDefault="001B7F77" w:rsidP="001B7F77">
      <w:pPr>
        <w:widowControl w:val="0"/>
        <w:suppressAutoHyphens/>
        <w:spacing w:before="120"/>
        <w:rPr>
          <w:rFonts w:eastAsia="Times"/>
          <w:color w:val="000000"/>
        </w:rPr>
      </w:pPr>
      <w:r w:rsidRPr="001B7F77">
        <w:rPr>
          <w:rFonts w:eastAsia="Times"/>
          <w:b/>
          <w:color w:val="000000"/>
          <w:u w:val="single"/>
        </w:rPr>
        <w:t>602.2 Application.</w:t>
      </w:r>
      <w:r w:rsidRPr="001B7F77">
        <w:rPr>
          <w:rFonts w:eastAsia="Times"/>
          <w:color w:val="000000"/>
          <w:u w:val="single"/>
        </w:rPr>
        <w:t xml:space="preserve"> Level 1 </w:t>
      </w:r>
      <w:r w:rsidRPr="001B7F77">
        <w:rPr>
          <w:rFonts w:eastAsia="Times"/>
          <w:iCs/>
          <w:color w:val="000000"/>
          <w:u w:val="single"/>
        </w:rPr>
        <w:t>alterations</w:t>
      </w:r>
      <w:r w:rsidRPr="001B7F77">
        <w:rPr>
          <w:rFonts w:eastAsia="Times"/>
          <w:color w:val="000000"/>
          <w:u w:val="single"/>
        </w:rPr>
        <w:t xml:space="preserve"> shall comply with the provisions of Chapter 8</w:t>
      </w:r>
      <w:r w:rsidRPr="001B7F77">
        <w:rPr>
          <w:u w:val="single"/>
        </w:rPr>
        <w:t xml:space="preserve"> </w:t>
      </w:r>
      <w:r w:rsidRPr="001B7F77">
        <w:rPr>
          <w:rFonts w:eastAsia="Times"/>
          <w:color w:val="000000"/>
          <w:u w:val="single"/>
        </w:rPr>
        <w:t>and, as applicable, with the provisions of Chapters 3 and 7.</w:t>
      </w:r>
    </w:p>
    <w:p w14:paraId="71A60CB0" w14:textId="77777777" w:rsidR="001B7F77" w:rsidRPr="001B7F77" w:rsidRDefault="001B7F77" w:rsidP="001B7F77">
      <w:pPr>
        <w:widowControl w:val="0"/>
        <w:suppressAutoHyphens/>
        <w:spacing w:before="120"/>
        <w:jc w:val="center"/>
        <w:outlineLvl w:val="0"/>
        <w:rPr>
          <w:rFonts w:eastAsia="Times"/>
          <w:b/>
          <w:color w:val="000000"/>
          <w:u w:val="single"/>
        </w:rPr>
      </w:pPr>
    </w:p>
    <w:p w14:paraId="0A41AC1C" w14:textId="77777777" w:rsidR="001B7F77" w:rsidRPr="001B7F77" w:rsidRDefault="001B7F77" w:rsidP="001B7F77">
      <w:pPr>
        <w:widowControl w:val="0"/>
        <w:suppressAutoHyphens/>
        <w:spacing w:before="120"/>
        <w:jc w:val="center"/>
        <w:outlineLvl w:val="0"/>
        <w:rPr>
          <w:rFonts w:eastAsia="Times"/>
          <w:b/>
          <w:color w:val="000000"/>
          <w:u w:val="single"/>
        </w:rPr>
      </w:pPr>
      <w:r w:rsidRPr="001B7F77">
        <w:rPr>
          <w:rFonts w:eastAsia="Times"/>
          <w:b/>
          <w:color w:val="000000"/>
          <w:u w:val="single"/>
        </w:rPr>
        <w:t>SECTION EBC 603</w:t>
      </w:r>
      <w:r w:rsidRPr="001B7F77">
        <w:rPr>
          <w:rFonts w:eastAsia="Times"/>
          <w:b/>
          <w:color w:val="000000"/>
          <w:u w:val="single"/>
        </w:rPr>
        <w:br/>
        <w:t>ALTERATION—LEVEL 2</w:t>
      </w:r>
    </w:p>
    <w:p w14:paraId="14745E81" w14:textId="77777777" w:rsidR="001B7F77" w:rsidRPr="001B7F77" w:rsidRDefault="001B7F77" w:rsidP="001B7F77">
      <w:pPr>
        <w:suppressAutoHyphens/>
        <w:spacing w:before="120"/>
        <w:jc w:val="left"/>
      </w:pPr>
      <w:r w:rsidRPr="001B7F77">
        <w:rPr>
          <w:rFonts w:eastAsia="Times"/>
          <w:b/>
          <w:color w:val="000000"/>
          <w:u w:val="single"/>
        </w:rPr>
        <w:t>603.1 Scope.</w:t>
      </w:r>
      <w:r w:rsidRPr="001B7F77">
        <w:rPr>
          <w:rFonts w:eastAsia="Times"/>
          <w:color w:val="000000"/>
          <w:u w:val="single"/>
        </w:rPr>
        <w:t xml:space="preserve"> Level 2 </w:t>
      </w:r>
      <w:r w:rsidRPr="001B7F77">
        <w:rPr>
          <w:rFonts w:eastAsia="Times"/>
          <w:iCs/>
          <w:color w:val="000000"/>
          <w:u w:val="single"/>
        </w:rPr>
        <w:t>alteration</w:t>
      </w:r>
      <w:r w:rsidRPr="001B7F77">
        <w:rPr>
          <w:rFonts w:eastAsia="Times"/>
          <w:color w:val="000000"/>
          <w:u w:val="single"/>
        </w:rPr>
        <w:t xml:space="preserve"> is any alteration made to a building where the work area exceeds 50 percent of the </w:t>
      </w:r>
      <w:r w:rsidRPr="001B7F77">
        <w:rPr>
          <w:rFonts w:eastAsia="Times"/>
          <w:bCs/>
          <w:color w:val="000000"/>
          <w:u w:val="single"/>
        </w:rPr>
        <w:t>building</w:t>
      </w:r>
      <w:r w:rsidRPr="001B7F77">
        <w:rPr>
          <w:rFonts w:eastAsia="Times"/>
          <w:iCs/>
          <w:color w:val="000000"/>
          <w:u w:val="single"/>
        </w:rPr>
        <w:t xml:space="preserve"> area</w:t>
      </w:r>
      <w:r w:rsidRPr="001B7F77">
        <w:rPr>
          <w:rFonts w:eastAsia="Times"/>
          <w:i/>
          <w:color w:val="000000"/>
          <w:u w:val="single"/>
        </w:rPr>
        <w:t>.</w:t>
      </w:r>
    </w:p>
    <w:p w14:paraId="4F5A3468" w14:textId="77777777" w:rsidR="001B7F77" w:rsidRPr="001B7F77" w:rsidRDefault="001B7F77" w:rsidP="001B7F77">
      <w:pPr>
        <w:widowControl w:val="0"/>
        <w:suppressAutoHyphens/>
        <w:spacing w:before="120"/>
        <w:ind w:left="360"/>
        <w:rPr>
          <w:rFonts w:eastAsia="Times"/>
          <w:color w:val="000000"/>
          <w:u w:val="single"/>
        </w:rPr>
      </w:pPr>
      <w:r w:rsidRPr="001B7F77">
        <w:rPr>
          <w:b/>
          <w:bCs/>
          <w:u w:val="single"/>
        </w:rPr>
        <w:t xml:space="preserve">603.1.1 Work area contributing to Level 2 alteration. </w:t>
      </w:r>
      <w:r w:rsidRPr="001B7F77">
        <w:rPr>
          <w:rFonts w:eastAsia="Times"/>
          <w:color w:val="000000"/>
          <w:u w:val="single"/>
        </w:rPr>
        <w:t>For the purpose of determining Level 2 alteration, work area shall be calculated pursuant to Section 601.2.</w:t>
      </w:r>
    </w:p>
    <w:p w14:paraId="529966CD" w14:textId="77777777" w:rsidR="001B7F77" w:rsidRPr="001B7F77" w:rsidRDefault="001B7F77" w:rsidP="001B7F77">
      <w:pPr>
        <w:widowControl w:val="0"/>
        <w:suppressAutoHyphens/>
        <w:spacing w:before="120"/>
        <w:ind w:left="720"/>
        <w:rPr>
          <w:rFonts w:eastAsia="Times"/>
          <w:color w:val="000000"/>
          <w:u w:val="single"/>
        </w:rPr>
      </w:pPr>
      <w:r w:rsidRPr="001B7F77">
        <w:rPr>
          <w:rFonts w:eastAsia="Times"/>
          <w:b/>
          <w:bCs/>
          <w:color w:val="000000"/>
          <w:u w:val="single"/>
        </w:rPr>
        <w:t>Exception.</w:t>
      </w:r>
      <w:r w:rsidRPr="001B7F77">
        <w:rPr>
          <w:rFonts w:eastAsia="Times"/>
          <w:color w:val="000000"/>
          <w:u w:val="single"/>
        </w:rPr>
        <w:t xml:space="preserve"> For categories of work established by rule.</w:t>
      </w:r>
    </w:p>
    <w:p w14:paraId="6209AB53" w14:textId="77777777" w:rsidR="001B7F77" w:rsidRPr="001B7F77" w:rsidRDefault="001B7F77" w:rsidP="001B7F77">
      <w:pPr>
        <w:widowControl w:val="0"/>
        <w:suppressAutoHyphens/>
        <w:spacing w:before="120"/>
        <w:rPr>
          <w:rFonts w:eastAsia="Times"/>
          <w:color w:val="000000"/>
        </w:rPr>
      </w:pPr>
      <w:r w:rsidRPr="001B7F77">
        <w:rPr>
          <w:rFonts w:eastAsia="Times"/>
          <w:b/>
          <w:bCs/>
          <w:u w:val="single"/>
        </w:rPr>
        <w:t>603.2 Application.</w:t>
      </w:r>
      <w:r w:rsidRPr="001B7F77">
        <w:rPr>
          <w:rFonts w:eastAsia="Times"/>
          <w:u w:val="single"/>
        </w:rPr>
        <w:t xml:space="preserve"> Level 2 alterations shall comply with the provisions of Chapter 8 for Level 1 alterations as well as the provisions of Chapter 9 and, as applicable, with the provisions of Chapters 3 and 7.</w:t>
      </w:r>
    </w:p>
    <w:p w14:paraId="27FE7BBA" w14:textId="77777777" w:rsidR="001B7F77" w:rsidRPr="001B7F77" w:rsidRDefault="001B7F77" w:rsidP="001B7F77">
      <w:pPr>
        <w:widowControl w:val="0"/>
        <w:suppressAutoHyphens/>
        <w:spacing w:before="120"/>
        <w:jc w:val="center"/>
        <w:outlineLvl w:val="0"/>
        <w:rPr>
          <w:rFonts w:eastAsia="Times"/>
          <w:b/>
          <w:color w:val="000000"/>
          <w:u w:val="single"/>
        </w:rPr>
      </w:pPr>
    </w:p>
    <w:p w14:paraId="68DD499D" w14:textId="77777777" w:rsidR="001B7F77" w:rsidRPr="001B7F77" w:rsidRDefault="001B7F77" w:rsidP="001B7F77">
      <w:pPr>
        <w:widowControl w:val="0"/>
        <w:suppressAutoHyphens/>
        <w:spacing w:before="120"/>
        <w:jc w:val="center"/>
        <w:outlineLvl w:val="0"/>
        <w:rPr>
          <w:rFonts w:eastAsia="Times"/>
          <w:b/>
          <w:color w:val="000000"/>
          <w:u w:val="single"/>
        </w:rPr>
      </w:pPr>
      <w:r w:rsidRPr="001B7F77">
        <w:rPr>
          <w:rFonts w:eastAsia="Times"/>
          <w:b/>
          <w:color w:val="000000"/>
          <w:u w:val="single"/>
        </w:rPr>
        <w:t>SECTION EBC 604</w:t>
      </w:r>
      <w:r w:rsidRPr="001B7F77">
        <w:rPr>
          <w:rFonts w:eastAsia="Times"/>
          <w:b/>
          <w:color w:val="000000"/>
          <w:u w:val="single"/>
        </w:rPr>
        <w:br/>
        <w:t>CHANGE OF OCCUPANCY</w:t>
      </w:r>
    </w:p>
    <w:p w14:paraId="0C5DEAF9" w14:textId="77777777" w:rsidR="001B7F77" w:rsidRPr="001B7F77" w:rsidRDefault="001B7F77" w:rsidP="001B7F77">
      <w:pPr>
        <w:widowControl w:val="0"/>
        <w:suppressAutoHyphens/>
        <w:spacing w:before="120"/>
        <w:rPr>
          <w:rFonts w:eastAsia="Times"/>
          <w:color w:val="000000"/>
        </w:rPr>
      </w:pPr>
      <w:r w:rsidRPr="001B7F77">
        <w:rPr>
          <w:rFonts w:eastAsia="Times"/>
          <w:b/>
          <w:color w:val="000000"/>
          <w:u w:val="single"/>
        </w:rPr>
        <w:t>604.1 Scope.</w:t>
      </w:r>
      <w:r w:rsidRPr="001B7F77">
        <w:rPr>
          <w:rFonts w:eastAsia="Times"/>
          <w:color w:val="000000"/>
          <w:u w:val="single"/>
        </w:rPr>
        <w:t xml:space="preserve"> </w:t>
      </w:r>
      <w:r w:rsidRPr="001B7F77">
        <w:rPr>
          <w:rFonts w:eastAsia="Times"/>
          <w:iCs/>
          <w:color w:val="000000"/>
          <w:u w:val="single"/>
        </w:rPr>
        <w:t xml:space="preserve">Change of occupancy provisions apply where the activity is classified as a change of occupancy </w:t>
      </w:r>
      <w:r w:rsidRPr="001B7F77">
        <w:rPr>
          <w:rFonts w:eastAsia="Times"/>
          <w:color w:val="000000"/>
          <w:u w:val="single"/>
        </w:rPr>
        <w:t>as defined in Chapter 2.</w:t>
      </w:r>
    </w:p>
    <w:p w14:paraId="0A0C0B42" w14:textId="77777777" w:rsidR="001B7F77" w:rsidRPr="001B7F77" w:rsidRDefault="001B7F77" w:rsidP="001B7F77">
      <w:pPr>
        <w:widowControl w:val="0"/>
        <w:suppressAutoHyphens/>
        <w:spacing w:before="120"/>
        <w:rPr>
          <w:rFonts w:eastAsia="Times"/>
          <w:color w:val="000000"/>
        </w:rPr>
      </w:pPr>
      <w:r w:rsidRPr="001B7F77">
        <w:rPr>
          <w:rFonts w:eastAsia="Times"/>
          <w:b/>
          <w:color w:val="000000"/>
          <w:u w:val="single"/>
        </w:rPr>
        <w:t>604.2 Application.</w:t>
      </w:r>
      <w:r w:rsidRPr="001B7F77">
        <w:rPr>
          <w:rFonts w:eastAsia="Times"/>
          <w:color w:val="000000"/>
          <w:u w:val="single"/>
        </w:rPr>
        <w:t xml:space="preserve"> </w:t>
      </w:r>
      <w:r w:rsidRPr="001B7F77">
        <w:rPr>
          <w:rFonts w:eastAsia="Times"/>
          <w:iCs/>
          <w:color w:val="000000"/>
          <w:u w:val="single"/>
        </w:rPr>
        <w:t>Changes of occupancy</w:t>
      </w:r>
      <w:r w:rsidRPr="001B7F77">
        <w:rPr>
          <w:rFonts w:eastAsia="Times"/>
          <w:color w:val="000000"/>
          <w:u w:val="single"/>
        </w:rPr>
        <w:t xml:space="preserve"> shall comply with the provisions of Chapter 10 and, as applicable, with the provisions of Chapters 3 and 7.</w:t>
      </w:r>
    </w:p>
    <w:p w14:paraId="0B188A51" w14:textId="77777777" w:rsidR="001B7F77" w:rsidRPr="001B7F77" w:rsidRDefault="001B7F77" w:rsidP="001B7F77">
      <w:pPr>
        <w:widowControl w:val="0"/>
        <w:suppressAutoHyphens/>
        <w:spacing w:before="120"/>
        <w:jc w:val="center"/>
        <w:outlineLvl w:val="0"/>
        <w:rPr>
          <w:rFonts w:eastAsia="Times"/>
          <w:b/>
          <w:color w:val="000000"/>
          <w:u w:val="single"/>
        </w:rPr>
      </w:pPr>
    </w:p>
    <w:p w14:paraId="477F06C3" w14:textId="77777777" w:rsidR="001B7F77" w:rsidRPr="001B7F77" w:rsidRDefault="001B7F77" w:rsidP="001B7F77">
      <w:pPr>
        <w:widowControl w:val="0"/>
        <w:suppressAutoHyphens/>
        <w:spacing w:before="120"/>
        <w:jc w:val="center"/>
        <w:outlineLvl w:val="0"/>
        <w:rPr>
          <w:rFonts w:eastAsia="Times"/>
          <w:b/>
          <w:color w:val="000000"/>
          <w:u w:val="single"/>
        </w:rPr>
      </w:pPr>
      <w:r w:rsidRPr="001B7F77">
        <w:rPr>
          <w:rFonts w:eastAsia="Times"/>
          <w:b/>
          <w:color w:val="000000"/>
          <w:u w:val="single"/>
        </w:rPr>
        <w:t>SECTION EBC 605</w:t>
      </w:r>
      <w:r w:rsidRPr="001B7F77">
        <w:rPr>
          <w:rFonts w:eastAsia="Times"/>
          <w:b/>
          <w:color w:val="000000"/>
          <w:u w:val="single"/>
        </w:rPr>
        <w:br/>
        <w:t>ADDITIONS</w:t>
      </w:r>
    </w:p>
    <w:p w14:paraId="6F334FA9" w14:textId="77777777" w:rsidR="001B7F77" w:rsidRPr="001B7F77" w:rsidRDefault="001B7F77" w:rsidP="001B7F77">
      <w:pPr>
        <w:widowControl w:val="0"/>
        <w:suppressAutoHyphens/>
        <w:spacing w:before="120"/>
        <w:rPr>
          <w:rFonts w:eastAsia="Times"/>
          <w:color w:val="000000"/>
        </w:rPr>
      </w:pPr>
      <w:r w:rsidRPr="001B7F77">
        <w:rPr>
          <w:rFonts w:eastAsia="Times"/>
          <w:b/>
          <w:color w:val="000000"/>
          <w:u w:val="single"/>
        </w:rPr>
        <w:t>605.1 Scope.</w:t>
      </w:r>
      <w:r w:rsidRPr="001B7F77">
        <w:rPr>
          <w:rFonts w:eastAsia="Times"/>
          <w:color w:val="000000"/>
          <w:u w:val="single"/>
        </w:rPr>
        <w:t xml:space="preserve"> Provisions for </w:t>
      </w:r>
      <w:r w:rsidRPr="001B7F77">
        <w:rPr>
          <w:rFonts w:eastAsia="Times"/>
          <w:iCs/>
          <w:color w:val="000000"/>
          <w:u w:val="single"/>
        </w:rPr>
        <w:t xml:space="preserve">additions </w:t>
      </w:r>
      <w:r w:rsidRPr="001B7F77">
        <w:rPr>
          <w:rFonts w:eastAsia="Times"/>
          <w:color w:val="000000"/>
          <w:u w:val="single"/>
        </w:rPr>
        <w:t xml:space="preserve">shall apply where work is classified as an </w:t>
      </w:r>
      <w:r w:rsidRPr="001B7F77">
        <w:rPr>
          <w:rFonts w:eastAsia="Times"/>
          <w:iCs/>
          <w:color w:val="000000"/>
          <w:u w:val="single"/>
        </w:rPr>
        <w:t>addition</w:t>
      </w:r>
      <w:r w:rsidRPr="001B7F77">
        <w:rPr>
          <w:rFonts w:eastAsia="Times"/>
          <w:color w:val="000000"/>
          <w:u w:val="single"/>
        </w:rPr>
        <w:t xml:space="preserve"> as defined in Chapter 2.</w:t>
      </w:r>
    </w:p>
    <w:p w14:paraId="1E840B05" w14:textId="77777777" w:rsidR="001B7F77" w:rsidRPr="001B7F77" w:rsidRDefault="001B7F77" w:rsidP="001B7F77">
      <w:pPr>
        <w:widowControl w:val="0"/>
        <w:suppressAutoHyphens/>
        <w:spacing w:before="120"/>
        <w:rPr>
          <w:rFonts w:eastAsia="Times"/>
          <w:color w:val="000000"/>
          <w:u w:val="single"/>
        </w:rPr>
      </w:pPr>
      <w:r w:rsidRPr="001B7F77">
        <w:rPr>
          <w:rFonts w:eastAsia="Times"/>
          <w:b/>
          <w:color w:val="000000"/>
          <w:u w:val="single"/>
        </w:rPr>
        <w:t>605.2 Application.</w:t>
      </w:r>
      <w:r w:rsidRPr="001B7F77">
        <w:rPr>
          <w:rFonts w:eastAsia="Times"/>
          <w:color w:val="000000"/>
          <w:u w:val="single"/>
        </w:rPr>
        <w:t xml:space="preserve"> </w:t>
      </w:r>
      <w:r w:rsidRPr="001B7F77">
        <w:rPr>
          <w:rFonts w:eastAsia="Times"/>
          <w:iCs/>
          <w:color w:val="000000"/>
          <w:u w:val="single"/>
        </w:rPr>
        <w:t>Additions to existing buildings</w:t>
      </w:r>
      <w:r w:rsidRPr="001B7F77">
        <w:rPr>
          <w:rFonts w:eastAsia="Times"/>
          <w:color w:val="000000"/>
          <w:u w:val="single"/>
        </w:rPr>
        <w:t xml:space="preserve"> shall comply with the provisions of Chapter 11 and, as applicable, with the provisions of Chapters 3 and 7.</w:t>
      </w:r>
    </w:p>
    <w:p w14:paraId="4AA785C6" w14:textId="77777777" w:rsidR="001B7F77" w:rsidRPr="001B7F77" w:rsidRDefault="001B7F77" w:rsidP="001B7F77">
      <w:pPr>
        <w:widowControl w:val="0"/>
        <w:suppressAutoHyphens/>
        <w:spacing w:before="120"/>
        <w:jc w:val="center"/>
        <w:outlineLvl w:val="0"/>
        <w:rPr>
          <w:rFonts w:eastAsia="Helvetica Neue"/>
          <w:b/>
          <w:color w:val="000000"/>
          <w:u w:val="single"/>
        </w:rPr>
      </w:pPr>
    </w:p>
    <w:p w14:paraId="17C3D74C" w14:textId="77777777" w:rsidR="001B7F77" w:rsidRPr="001B7F77" w:rsidRDefault="001B7F77" w:rsidP="001B7F77">
      <w:pPr>
        <w:widowControl w:val="0"/>
        <w:suppressAutoHyphens/>
        <w:spacing w:before="120"/>
        <w:jc w:val="center"/>
        <w:outlineLvl w:val="0"/>
        <w:rPr>
          <w:rFonts w:eastAsia="Helvetica Neue"/>
          <w:b/>
          <w:color w:val="000000"/>
          <w:u w:val="single"/>
        </w:rPr>
      </w:pPr>
      <w:r w:rsidRPr="001B7F77">
        <w:rPr>
          <w:rFonts w:eastAsia="Helvetica Neue"/>
          <w:b/>
          <w:color w:val="000000"/>
          <w:u w:val="single"/>
        </w:rPr>
        <w:t>SECTION EBC 606</w:t>
      </w:r>
      <w:r w:rsidRPr="001B7F77">
        <w:rPr>
          <w:rFonts w:eastAsia="Helvetica Neue"/>
          <w:b/>
          <w:color w:val="000000"/>
          <w:u w:val="single"/>
        </w:rPr>
        <w:br/>
        <w:t>RELOCATED, MOVED OR RAISED BUILDINGS</w:t>
      </w:r>
    </w:p>
    <w:p w14:paraId="4F273455" w14:textId="77777777" w:rsidR="001B7F77" w:rsidRPr="001B7F77" w:rsidRDefault="001B7F77" w:rsidP="001B7F77">
      <w:pPr>
        <w:widowControl w:val="0"/>
        <w:suppressAutoHyphens/>
        <w:spacing w:before="120"/>
        <w:rPr>
          <w:rFonts w:eastAsia="Times"/>
          <w:color w:val="000000"/>
          <w:u w:val="single"/>
        </w:rPr>
      </w:pPr>
      <w:r w:rsidRPr="001B7F77">
        <w:rPr>
          <w:rFonts w:eastAsia="Times"/>
          <w:b/>
          <w:color w:val="000000"/>
          <w:u w:val="single"/>
        </w:rPr>
        <w:t>606.1 Scope.</w:t>
      </w:r>
      <w:r w:rsidRPr="001B7F77">
        <w:rPr>
          <w:rFonts w:eastAsia="Times"/>
          <w:color w:val="000000"/>
          <w:u w:val="single"/>
        </w:rPr>
        <w:t xml:space="preserve"> Provisions for relocated, moved or raised buildings shall apply to relocated, moved or raised buildings as defined in Chapter 2.</w:t>
      </w:r>
    </w:p>
    <w:p w14:paraId="2E0F83C9" w14:textId="77777777" w:rsidR="001B7F77" w:rsidRPr="001B7F77" w:rsidRDefault="001B7F77" w:rsidP="001B7F77">
      <w:pPr>
        <w:widowControl w:val="0"/>
        <w:suppressAutoHyphens/>
        <w:spacing w:before="120"/>
        <w:rPr>
          <w:rFonts w:eastAsia="Times"/>
          <w:color w:val="000000"/>
        </w:rPr>
      </w:pPr>
      <w:r w:rsidRPr="001B7F77">
        <w:rPr>
          <w:rFonts w:eastAsia="Times"/>
          <w:b/>
          <w:color w:val="000000"/>
          <w:u w:val="single"/>
        </w:rPr>
        <w:t>606.2 Application.</w:t>
      </w:r>
      <w:r w:rsidRPr="001B7F77">
        <w:rPr>
          <w:rFonts w:eastAsia="Times"/>
          <w:color w:val="000000"/>
          <w:u w:val="single"/>
        </w:rPr>
        <w:t xml:space="preserve"> Relocated, moved or raised buildings shall comply with the provisions of Chapter 14 and, as applicable, with the provisions of Chapters 3 and 7.</w:t>
      </w:r>
    </w:p>
    <w:p w14:paraId="243F86DF" w14:textId="77777777" w:rsidR="001B7F77" w:rsidRPr="001B7F77" w:rsidRDefault="001B7F77" w:rsidP="001B7F77">
      <w:pPr>
        <w:widowControl w:val="0"/>
        <w:suppressAutoHyphens/>
        <w:spacing w:before="120"/>
        <w:jc w:val="center"/>
        <w:outlineLvl w:val="0"/>
        <w:rPr>
          <w:rFonts w:eastAsia="Times"/>
          <w:b/>
          <w:bCs/>
          <w:color w:val="000000"/>
          <w:u w:val="single"/>
        </w:rPr>
      </w:pPr>
    </w:p>
    <w:p w14:paraId="3425CC1D" w14:textId="77777777" w:rsidR="001B7F77" w:rsidRPr="001B7F77" w:rsidRDefault="001B7F77" w:rsidP="001B7F77">
      <w:pPr>
        <w:widowControl w:val="0"/>
        <w:suppressAutoHyphens/>
        <w:spacing w:before="120"/>
        <w:jc w:val="center"/>
        <w:outlineLvl w:val="0"/>
        <w:rPr>
          <w:rFonts w:eastAsia="Times"/>
          <w:b/>
          <w:bCs/>
          <w:color w:val="000000"/>
          <w:u w:val="single"/>
        </w:rPr>
      </w:pPr>
      <w:r w:rsidRPr="001B7F77">
        <w:rPr>
          <w:rFonts w:eastAsia="Times"/>
          <w:b/>
          <w:bCs/>
          <w:color w:val="000000"/>
          <w:u w:val="single"/>
        </w:rPr>
        <w:t>SECTION EBC 607</w:t>
      </w:r>
      <w:r w:rsidRPr="001B7F77">
        <w:rPr>
          <w:rFonts w:eastAsia="Times"/>
          <w:b/>
          <w:bCs/>
          <w:color w:val="000000"/>
          <w:u w:val="single"/>
        </w:rPr>
        <w:br/>
      </w:r>
      <w:r w:rsidRPr="001B7F77">
        <w:rPr>
          <w:rFonts w:eastAsia="Times"/>
          <w:b/>
          <w:color w:val="000000"/>
          <w:u w:val="single"/>
        </w:rPr>
        <w:t>STRUCTURAL</w:t>
      </w:r>
    </w:p>
    <w:p w14:paraId="291449BB" w14:textId="77777777" w:rsidR="001B7F77" w:rsidRPr="001B7F77" w:rsidRDefault="001B7F77" w:rsidP="001B7F77">
      <w:pPr>
        <w:widowControl w:val="0"/>
        <w:tabs>
          <w:tab w:val="left" w:pos="12960"/>
        </w:tabs>
        <w:suppressAutoHyphens/>
        <w:spacing w:before="120"/>
        <w:rPr>
          <w:u w:val="single"/>
        </w:rPr>
      </w:pPr>
      <w:r w:rsidRPr="001B7F77">
        <w:rPr>
          <w:rFonts w:eastAsia="Times"/>
          <w:b/>
          <w:bCs/>
          <w:color w:val="000000"/>
          <w:u w:val="single"/>
        </w:rPr>
        <w:t>607.1 Compliance with Chapter 7.</w:t>
      </w:r>
      <w:r w:rsidRPr="001B7F77">
        <w:rPr>
          <w:rFonts w:eastAsia="Times"/>
          <w:color w:val="000000"/>
          <w:u w:val="single"/>
        </w:rPr>
        <w:t xml:space="preserve"> </w:t>
      </w:r>
      <w:r w:rsidRPr="001B7F77">
        <w:rPr>
          <w:u w:val="single"/>
        </w:rPr>
        <w:t>Work listed under Sections 602 through 606 shall comply with Chapter 7 as applicable.</w:t>
      </w:r>
    </w:p>
    <w:p w14:paraId="0A5D5292" w14:textId="77777777" w:rsidR="001B7F77" w:rsidRPr="001B7F77" w:rsidRDefault="001B7F77" w:rsidP="001B7F77">
      <w:pPr>
        <w:jc w:val="left"/>
        <w:rPr>
          <w:u w:val="single"/>
        </w:rPr>
      </w:pPr>
      <w:r w:rsidRPr="001B7F77">
        <w:rPr>
          <w:u w:val="single"/>
        </w:rPr>
        <w:br w:type="page"/>
      </w:r>
    </w:p>
    <w:p w14:paraId="39355107" w14:textId="77777777" w:rsidR="001B7F77" w:rsidRPr="001B7F77" w:rsidRDefault="001B7F77" w:rsidP="001B7F77">
      <w:pPr>
        <w:widowControl w:val="0"/>
        <w:suppressAutoHyphens/>
        <w:spacing w:before="120"/>
        <w:jc w:val="center"/>
        <w:outlineLvl w:val="0"/>
        <w:rPr>
          <w:rFonts w:eastAsia="Times"/>
          <w:b/>
          <w:bCs/>
          <w:color w:val="000000"/>
          <w:u w:val="single"/>
        </w:rPr>
      </w:pPr>
      <w:r w:rsidRPr="001B7F77">
        <w:rPr>
          <w:rFonts w:eastAsia="Times"/>
          <w:b/>
          <w:bCs/>
          <w:color w:val="000000"/>
          <w:u w:val="single"/>
        </w:rPr>
        <w:t>CHAPTER 7</w:t>
      </w:r>
      <w:r w:rsidRPr="001B7F77">
        <w:rPr>
          <w:rFonts w:eastAsia="Times"/>
          <w:b/>
          <w:bCs/>
          <w:color w:val="000000"/>
          <w:u w:val="single"/>
        </w:rPr>
        <w:br/>
        <w:t xml:space="preserve">STRUCTURAL </w:t>
      </w:r>
    </w:p>
    <w:p w14:paraId="4D7256E7" w14:textId="77777777" w:rsidR="001B7F77" w:rsidRPr="001B7F77" w:rsidRDefault="001B7F77" w:rsidP="001B7F77">
      <w:pPr>
        <w:widowControl w:val="0"/>
        <w:suppressAutoHyphens/>
        <w:spacing w:before="120"/>
        <w:jc w:val="center"/>
        <w:outlineLvl w:val="0"/>
        <w:rPr>
          <w:rFonts w:eastAsia="Times"/>
          <w:b/>
          <w:u w:val="single"/>
        </w:rPr>
      </w:pPr>
      <w:r w:rsidRPr="001B7F77">
        <w:rPr>
          <w:rFonts w:eastAsia="Times"/>
          <w:b/>
          <w:u w:val="single"/>
        </w:rPr>
        <w:t>SECTION EBC 701</w:t>
      </w:r>
      <w:r w:rsidRPr="001B7F77">
        <w:rPr>
          <w:rFonts w:eastAsia="Times"/>
          <w:b/>
          <w:u w:val="single"/>
        </w:rPr>
        <w:br/>
        <w:t>GENERAL</w:t>
      </w:r>
    </w:p>
    <w:p w14:paraId="367CC232" w14:textId="77777777" w:rsidR="001B7F77" w:rsidRPr="001B7F77" w:rsidRDefault="001B7F77" w:rsidP="001B7F77">
      <w:pPr>
        <w:suppressAutoHyphens/>
        <w:spacing w:before="120"/>
        <w:rPr>
          <w:rFonts w:eastAsia="Times"/>
          <w:b/>
          <w:szCs w:val="24"/>
          <w:u w:val="single"/>
        </w:rPr>
      </w:pPr>
      <w:r w:rsidRPr="001B7F77">
        <w:rPr>
          <w:rFonts w:eastAsia="Times"/>
          <w:b/>
          <w:u w:val="single"/>
        </w:rPr>
        <w:t xml:space="preserve">701.1 Scope. </w:t>
      </w:r>
      <w:r w:rsidRPr="001B7F77">
        <w:rPr>
          <w:rFonts w:eastAsia="Times"/>
          <w:u w:val="single"/>
        </w:rPr>
        <w:t xml:space="preserve">This chapter shall govern structural alterations of existing buildings, structures and parts </w:t>
      </w:r>
      <w:r w:rsidRPr="001B7F77">
        <w:rPr>
          <w:rFonts w:eastAsia="Times"/>
          <w:szCs w:val="24"/>
          <w:u w:val="single"/>
        </w:rPr>
        <w:t>thereof as a result of or in connection with repairs, alterations, partial demolition, change of occupancy, additions, removal, relocation, raising or moving of buildings and parts thereof and all other structures.</w:t>
      </w:r>
      <w:r w:rsidRPr="001B7F77">
        <w:rPr>
          <w:rFonts w:eastAsia="Times"/>
          <w:b/>
          <w:szCs w:val="24"/>
          <w:u w:val="single"/>
        </w:rPr>
        <w:t xml:space="preserve"> </w:t>
      </w:r>
      <w:r w:rsidRPr="001B7F77">
        <w:rPr>
          <w:rFonts w:eastAsia="Times"/>
          <w:bCs/>
          <w:szCs w:val="24"/>
          <w:u w:val="single"/>
        </w:rPr>
        <w:t>Structural considerations related to alterations shall be performed according to this chapter.</w:t>
      </w:r>
    </w:p>
    <w:p w14:paraId="6B32CFAE" w14:textId="77777777" w:rsidR="001B7F77" w:rsidRPr="001B7F77" w:rsidRDefault="001B7F77" w:rsidP="001B7F77">
      <w:pPr>
        <w:spacing w:before="120"/>
        <w:ind w:left="720"/>
        <w:contextualSpacing/>
        <w:rPr>
          <w:rFonts w:eastAsia="Times"/>
          <w:color w:val="000000"/>
          <w:szCs w:val="24"/>
          <w:u w:val="single"/>
        </w:rPr>
      </w:pPr>
      <w:r w:rsidRPr="001B7F77">
        <w:rPr>
          <w:rFonts w:eastAsia="Times"/>
          <w:b/>
          <w:color w:val="000000"/>
          <w:szCs w:val="24"/>
          <w:u w:val="single"/>
        </w:rPr>
        <w:t>Exceptions:</w:t>
      </w:r>
      <w:r w:rsidRPr="001B7F77">
        <w:rPr>
          <w:rFonts w:eastAsia="Times"/>
          <w:color w:val="000000"/>
          <w:szCs w:val="24"/>
          <w:u w:val="single"/>
        </w:rPr>
        <w:t xml:space="preserve"> </w:t>
      </w:r>
    </w:p>
    <w:p w14:paraId="1756260C" w14:textId="77777777" w:rsidR="001B7F77" w:rsidRPr="001B7F77" w:rsidRDefault="001B7F77" w:rsidP="001B7F77">
      <w:pPr>
        <w:spacing w:before="120"/>
        <w:ind w:left="1080" w:hanging="360"/>
        <w:contextualSpacing/>
        <w:rPr>
          <w:rFonts w:eastAsia="Times"/>
          <w:color w:val="000000"/>
          <w:szCs w:val="24"/>
          <w:u w:val="single"/>
        </w:rPr>
      </w:pPr>
      <w:r w:rsidRPr="001B7F77">
        <w:rPr>
          <w:rFonts w:eastAsia="Times"/>
          <w:color w:val="000000"/>
          <w:szCs w:val="24"/>
          <w:u w:val="single"/>
        </w:rPr>
        <w:t>1.</w:t>
      </w:r>
      <w:r w:rsidRPr="001B7F77">
        <w:rPr>
          <w:rFonts w:eastAsia="Times"/>
          <w:color w:val="000000"/>
          <w:szCs w:val="24"/>
          <w:u w:val="single"/>
        </w:rPr>
        <w:tab/>
        <w:t>Where the structural alteration resulting from in-kind replacement of façade elements does not result in modifications to the load path, stiffness or strength of the existing buildings, structures and parts thereof, the provisions of Chapter 7 do not apply.</w:t>
      </w:r>
    </w:p>
    <w:p w14:paraId="5EFE5A1F" w14:textId="77777777" w:rsidR="001B7F77" w:rsidRPr="001B7F77" w:rsidRDefault="001B7F77" w:rsidP="001B7F77">
      <w:pPr>
        <w:spacing w:before="120"/>
        <w:ind w:left="1080" w:hanging="360"/>
        <w:contextualSpacing/>
        <w:rPr>
          <w:rFonts w:eastAsia="Times"/>
          <w:color w:val="000000"/>
          <w:szCs w:val="24"/>
          <w:u w:val="single"/>
        </w:rPr>
      </w:pPr>
      <w:r w:rsidRPr="001B7F77">
        <w:rPr>
          <w:rFonts w:eastAsia="Times"/>
          <w:color w:val="000000"/>
          <w:szCs w:val="24"/>
          <w:u w:val="single"/>
        </w:rPr>
        <w:t>2.</w:t>
      </w:r>
      <w:r w:rsidRPr="001B7F77">
        <w:rPr>
          <w:rFonts w:eastAsia="Calibri" w:cs="Arial"/>
          <w:color w:val="000000"/>
          <w:szCs w:val="24"/>
        </w:rPr>
        <w:tab/>
      </w:r>
      <w:bookmarkStart w:id="143" w:name="_Hlk137484241"/>
      <w:r w:rsidRPr="001B7F77">
        <w:rPr>
          <w:rFonts w:eastAsia="Times"/>
          <w:color w:val="000000"/>
          <w:szCs w:val="24"/>
          <w:u w:val="single"/>
        </w:rPr>
        <w:t>One- and two- family dwellings three stories or less in height where the existing building is of conventional light frame construction, excluding buildings with nogging walls, are not required to comply with the provisions of Sections 703.4, 703.5, 703.7, 704, and 705.6.</w:t>
      </w:r>
      <w:bookmarkEnd w:id="143"/>
    </w:p>
    <w:p w14:paraId="5ED44734" w14:textId="77777777" w:rsidR="001B7F77" w:rsidRPr="001B7F77" w:rsidRDefault="001B7F77" w:rsidP="001B7F77">
      <w:pPr>
        <w:suppressAutoHyphens/>
        <w:spacing w:before="120"/>
        <w:rPr>
          <w:rFonts w:eastAsia="Times"/>
          <w:u w:val="single"/>
        </w:rPr>
      </w:pPr>
      <w:r w:rsidRPr="001B7F77">
        <w:rPr>
          <w:rFonts w:eastAsia="Times"/>
          <w:b/>
          <w:szCs w:val="24"/>
          <w:u w:val="single"/>
        </w:rPr>
        <w:t xml:space="preserve">701.2 Conformance. </w:t>
      </w:r>
      <w:r w:rsidRPr="001B7F77">
        <w:rPr>
          <w:rFonts w:eastAsia="Times"/>
          <w:szCs w:val="24"/>
          <w:u w:val="single"/>
        </w:rPr>
        <w:t>Structural alterations of existing buildings, structures,</w:t>
      </w:r>
      <w:r w:rsidRPr="001B7F77">
        <w:rPr>
          <w:rFonts w:eastAsia="Times"/>
          <w:u w:val="single"/>
        </w:rPr>
        <w:t xml:space="preserve"> or parts thereof shall be made to comply with this code. Structural alterations of existing buildings, structures, or parts thereof shall not decrease the structural stability or the load carrying capacity of existing buildings, except as allowed by this code.</w:t>
      </w:r>
    </w:p>
    <w:p w14:paraId="10BC7DF8" w14:textId="77777777" w:rsidR="001B7F77" w:rsidRPr="001B7F77" w:rsidRDefault="001B7F77" w:rsidP="001B7F77">
      <w:pPr>
        <w:suppressAutoHyphens/>
        <w:spacing w:before="120"/>
        <w:rPr>
          <w:rFonts w:eastAsia="Times"/>
          <w:u w:val="single"/>
        </w:rPr>
      </w:pPr>
      <w:r w:rsidRPr="001B7F77">
        <w:rPr>
          <w:rFonts w:eastAsia="Times"/>
          <w:b/>
          <w:u w:val="single"/>
        </w:rPr>
        <w:t xml:space="preserve">701.3 Applicability of the </w:t>
      </w:r>
      <w:r w:rsidRPr="001B7F77">
        <w:rPr>
          <w:rFonts w:eastAsia="Times"/>
          <w:b/>
          <w:i/>
          <w:iCs/>
          <w:u w:val="single"/>
        </w:rPr>
        <w:t>New York City Building Code</w:t>
      </w:r>
      <w:r w:rsidRPr="001B7F77">
        <w:rPr>
          <w:rFonts w:eastAsia="Times"/>
          <w:b/>
          <w:u w:val="single"/>
        </w:rPr>
        <w:t xml:space="preserve">. </w:t>
      </w:r>
      <w:r w:rsidRPr="001B7F77">
        <w:rPr>
          <w:rFonts w:eastAsia="Times"/>
          <w:u w:val="single"/>
        </w:rPr>
        <w:t xml:space="preserve">Structural analysis, design and construction work in existing buildings shall be in accordance with the </w:t>
      </w:r>
      <w:r w:rsidRPr="001B7F77">
        <w:rPr>
          <w:rFonts w:eastAsia="Times"/>
          <w:i/>
          <w:iCs/>
          <w:u w:val="single"/>
        </w:rPr>
        <w:t>New York City Building Code</w:t>
      </w:r>
      <w:r w:rsidRPr="001B7F77">
        <w:rPr>
          <w:rFonts w:eastAsia="Times"/>
          <w:u w:val="single"/>
        </w:rPr>
        <w:t xml:space="preserve"> requirements unless otherwise noted in this code. For purposes of calculating demand-capacity ratios, the demand shall consider applicable load combinations in the </w:t>
      </w:r>
      <w:r w:rsidRPr="001B7F77">
        <w:rPr>
          <w:rFonts w:eastAsia="Times"/>
          <w:i/>
          <w:iCs/>
          <w:u w:val="single"/>
        </w:rPr>
        <w:t>New York City Building Code</w:t>
      </w:r>
      <w:r w:rsidRPr="001B7F77">
        <w:rPr>
          <w:rFonts w:eastAsia="Times"/>
          <w:u w:val="single"/>
        </w:rPr>
        <w:t xml:space="preserve">. Where this code requires comparison of demand or capacity, all calculations will be in accordance with the current </w:t>
      </w:r>
      <w:r w:rsidRPr="001B7F77">
        <w:rPr>
          <w:rFonts w:eastAsia="Times"/>
          <w:i/>
          <w:iCs/>
          <w:u w:val="single"/>
        </w:rPr>
        <w:t>New York City Building Code</w:t>
      </w:r>
      <w:r w:rsidRPr="001B7F77">
        <w:rPr>
          <w:rFonts w:eastAsia="Times"/>
          <w:u w:val="single"/>
        </w:rPr>
        <w:t>, all loads applied to both existing and new portions of the structure shall be in accordance with Section 705 of this code and capacity evaluation in accordance with Section 707 of this code.</w:t>
      </w:r>
    </w:p>
    <w:p w14:paraId="2A395209" w14:textId="77777777" w:rsidR="001B7F77" w:rsidRPr="001B7F77" w:rsidRDefault="001B7F77" w:rsidP="001B7F77">
      <w:pPr>
        <w:suppressAutoHyphens/>
        <w:spacing w:before="120"/>
        <w:rPr>
          <w:rFonts w:eastAsia="Times"/>
          <w:u w:val="single"/>
        </w:rPr>
      </w:pPr>
      <w:r w:rsidRPr="001B7F77">
        <w:rPr>
          <w:rFonts w:eastAsia="Times"/>
          <w:b/>
          <w:u w:val="single"/>
        </w:rPr>
        <w:t>701.4 Relevant time period.</w:t>
      </w:r>
      <w:r w:rsidRPr="001B7F77">
        <w:rPr>
          <w:rFonts w:eastAsia="Times"/>
          <w:u w:val="single"/>
        </w:rPr>
        <w:t xml:space="preserve"> For purposes of this chapter, structural alterations not yet signed off, and structural alterations signed off within the previous 5 years, shall be considered as part of the current structural alteration. </w:t>
      </w:r>
    </w:p>
    <w:p w14:paraId="740CECEC" w14:textId="77777777" w:rsidR="001B7F77" w:rsidRPr="001B7F77" w:rsidRDefault="001B7F77" w:rsidP="001B7F77">
      <w:pPr>
        <w:suppressAutoHyphens/>
        <w:spacing w:before="120"/>
        <w:ind w:left="360"/>
        <w:rPr>
          <w:rFonts w:eastAsia="Times"/>
          <w:u w:val="single"/>
        </w:rPr>
      </w:pPr>
      <w:r w:rsidRPr="001B7F77">
        <w:rPr>
          <w:rFonts w:eastAsia="Times"/>
          <w:b/>
          <w:u w:val="single"/>
        </w:rPr>
        <w:t>Exception:</w:t>
      </w:r>
      <w:r w:rsidRPr="001B7F77">
        <w:rPr>
          <w:rFonts w:eastAsia="Times"/>
          <w:u w:val="single"/>
        </w:rPr>
        <w:t xml:space="preserve"> Where the commissioner determines the physical construction work for such a signed-off structural alteration was completed more than 5 years prior to the approval of construction documents for the current structural alteration.</w:t>
      </w:r>
    </w:p>
    <w:p w14:paraId="2EEA08C8" w14:textId="77777777" w:rsidR="001B7F77" w:rsidRPr="001B7F77" w:rsidRDefault="001B7F77" w:rsidP="001B7F77">
      <w:pPr>
        <w:suppressAutoHyphens/>
        <w:spacing w:before="120"/>
        <w:rPr>
          <w:rFonts w:eastAsia="Times"/>
          <w:u w:val="single"/>
        </w:rPr>
      </w:pPr>
      <w:bookmarkStart w:id="144" w:name="_Hlk76030637"/>
      <w:r w:rsidRPr="001B7F77">
        <w:rPr>
          <w:rFonts w:eastAsia="Times"/>
          <w:b/>
          <w:bCs/>
          <w:u w:val="single"/>
        </w:rPr>
        <w:t>701.5 Responsibility to report.</w:t>
      </w:r>
      <w:r w:rsidRPr="001B7F77">
        <w:rPr>
          <w:rFonts w:eastAsia="Times"/>
          <w:u w:val="single"/>
        </w:rPr>
        <w:t xml:space="preserve"> Any dangerous condition observed shall be reported to the department as required by Section 28-301.1 of the </w:t>
      </w:r>
      <w:r w:rsidRPr="001B7F77">
        <w:rPr>
          <w:rFonts w:eastAsia="Times"/>
          <w:i/>
          <w:iCs/>
          <w:u w:val="single"/>
        </w:rPr>
        <w:t>Administrative Code</w:t>
      </w:r>
      <w:r w:rsidRPr="001B7F77">
        <w:rPr>
          <w:rFonts w:eastAsia="Times"/>
          <w:u w:val="single"/>
        </w:rPr>
        <w:t>. Such dangerous condition shall also be conveyed to the owner of the building and shall be immediately remedied.</w:t>
      </w:r>
      <w:bookmarkEnd w:id="144"/>
    </w:p>
    <w:p w14:paraId="635F9B9F" w14:textId="77777777" w:rsidR="001B7F77" w:rsidRPr="001B7F77" w:rsidRDefault="001B7F77" w:rsidP="001B7F77">
      <w:pPr>
        <w:widowControl w:val="0"/>
        <w:suppressAutoHyphens/>
        <w:spacing w:before="120"/>
        <w:jc w:val="center"/>
        <w:outlineLvl w:val="0"/>
        <w:rPr>
          <w:rFonts w:eastAsia="Times"/>
          <w:b/>
          <w:u w:val="single"/>
        </w:rPr>
      </w:pPr>
    </w:p>
    <w:p w14:paraId="65E22117" w14:textId="77777777" w:rsidR="001B7F77" w:rsidRPr="001B7F77" w:rsidRDefault="001B7F77" w:rsidP="001B7F77">
      <w:pPr>
        <w:widowControl w:val="0"/>
        <w:suppressAutoHyphens/>
        <w:spacing w:before="120"/>
        <w:jc w:val="center"/>
        <w:outlineLvl w:val="0"/>
        <w:rPr>
          <w:rFonts w:eastAsia="Times"/>
          <w:b/>
          <w:u w:val="single"/>
        </w:rPr>
      </w:pPr>
      <w:r w:rsidRPr="001B7F77">
        <w:rPr>
          <w:rFonts w:eastAsia="Times"/>
          <w:b/>
          <w:u w:val="single"/>
        </w:rPr>
        <w:t>SECTION EBC 702</w:t>
      </w:r>
      <w:r w:rsidRPr="001B7F77">
        <w:rPr>
          <w:rFonts w:eastAsia="Times"/>
          <w:b/>
          <w:u w:val="single"/>
        </w:rPr>
        <w:br/>
        <w:t xml:space="preserve">CONSTRUCTION </w:t>
      </w:r>
      <w:r w:rsidRPr="001B7F77">
        <w:rPr>
          <w:rFonts w:eastAsia="Times"/>
          <w:b/>
          <w:bCs/>
          <w:color w:val="000000"/>
          <w:u w:val="single"/>
        </w:rPr>
        <w:t>DOCUMENTS</w:t>
      </w:r>
    </w:p>
    <w:p w14:paraId="2F1C52A3" w14:textId="77777777" w:rsidR="001B7F77" w:rsidRPr="001B7F77" w:rsidRDefault="001B7F77" w:rsidP="001B7F77">
      <w:pPr>
        <w:shd w:val="clear" w:color="auto" w:fill="FFFFFF"/>
        <w:suppressAutoHyphens/>
        <w:spacing w:before="120"/>
        <w:rPr>
          <w:rFonts w:eastAsia="Times"/>
          <w:u w:val="single"/>
        </w:rPr>
      </w:pPr>
      <w:r w:rsidRPr="001B7F77">
        <w:rPr>
          <w:rFonts w:eastAsia="Times"/>
          <w:b/>
          <w:u w:val="single"/>
        </w:rPr>
        <w:t>702.1 Requirements.</w:t>
      </w:r>
      <w:r w:rsidRPr="001B7F77">
        <w:rPr>
          <w:rFonts w:eastAsia="Times"/>
          <w:u w:val="single"/>
        </w:rPr>
        <w:t xml:space="preserve"> Construction documents shall be in conformance with Article 104 of Chapter 1 of Title 28 of the </w:t>
      </w:r>
      <w:r w:rsidRPr="001B7F77">
        <w:rPr>
          <w:rFonts w:eastAsia="Times"/>
          <w:i/>
          <w:u w:val="single"/>
        </w:rPr>
        <w:t>Administrative Code</w:t>
      </w:r>
      <w:r w:rsidRPr="001B7F77">
        <w:rPr>
          <w:rFonts w:eastAsia="Times"/>
          <w:u w:val="single"/>
        </w:rPr>
        <w:t xml:space="preserve"> as well as Sections 107 and 1603 of the </w:t>
      </w:r>
      <w:r w:rsidRPr="001B7F77">
        <w:rPr>
          <w:rFonts w:eastAsia="Times"/>
          <w:i/>
          <w:iCs/>
          <w:u w:val="single"/>
        </w:rPr>
        <w:t>New York City Building Code</w:t>
      </w:r>
      <w:r w:rsidRPr="001B7F77">
        <w:rPr>
          <w:rFonts w:eastAsia="Times"/>
          <w:u w:val="single"/>
        </w:rPr>
        <w:t xml:space="preserve"> and Chapter 7 of this code. </w:t>
      </w:r>
    </w:p>
    <w:p w14:paraId="6C9B048A" w14:textId="77777777" w:rsidR="001B7F77" w:rsidRPr="001B7F77" w:rsidRDefault="001B7F77" w:rsidP="001B7F77">
      <w:pPr>
        <w:shd w:val="clear" w:color="auto" w:fill="FFFFFF"/>
        <w:suppressAutoHyphens/>
        <w:spacing w:before="120"/>
        <w:rPr>
          <w:rFonts w:eastAsia="Times"/>
          <w:u w:val="single"/>
        </w:rPr>
      </w:pPr>
      <w:r w:rsidRPr="001B7F77">
        <w:rPr>
          <w:rFonts w:eastAsia="Times"/>
          <w:b/>
          <w:u w:val="single"/>
        </w:rPr>
        <w:t xml:space="preserve">702.2 Additional drawing requirements. </w:t>
      </w:r>
      <w:r w:rsidRPr="001B7F77">
        <w:rPr>
          <w:rFonts w:eastAsia="Times"/>
          <w:u w:val="single"/>
        </w:rPr>
        <w:t>For</w:t>
      </w:r>
      <w:r w:rsidRPr="001B7F77">
        <w:rPr>
          <w:rFonts w:eastAsia="Times"/>
          <w:b/>
          <w:u w:val="single"/>
        </w:rPr>
        <w:t xml:space="preserve"> </w:t>
      </w:r>
      <w:r w:rsidRPr="001B7F77">
        <w:rPr>
          <w:rFonts w:eastAsia="Times"/>
          <w:u w:val="single"/>
        </w:rPr>
        <w:t>all structural elements within the area of structural work that are altered or that have their demand increased or stability decreased, drawings are required to include, where applicable to the scope of work, the information below. Where element sizes and any other required information is not known it shall be indicated as such and the requirements for field verification shall be stated. Notes on the drawing shall indicate the source of the information.</w:t>
      </w:r>
    </w:p>
    <w:p w14:paraId="120A0D5C" w14:textId="77777777" w:rsidR="001B7F77" w:rsidRPr="001B7F77" w:rsidRDefault="001B7F77" w:rsidP="001B7F77">
      <w:pPr>
        <w:shd w:val="clear" w:color="auto" w:fill="FFFFFF"/>
        <w:suppressAutoHyphens/>
        <w:spacing w:before="120"/>
        <w:ind w:left="720" w:hanging="360"/>
        <w:rPr>
          <w:rFonts w:eastAsia="Times"/>
          <w:u w:val="single"/>
        </w:rPr>
      </w:pPr>
      <w:r w:rsidRPr="001B7F77">
        <w:rPr>
          <w:rFonts w:eastAsia="Times"/>
          <w:u w:val="single"/>
        </w:rPr>
        <w:t>1.</w:t>
      </w:r>
      <w:r w:rsidRPr="001B7F77">
        <w:rPr>
          <w:rFonts w:eastAsia="Times"/>
          <w:u w:val="single"/>
        </w:rPr>
        <w:tab/>
        <w:t>Existing structural element sizes and types where known.</w:t>
      </w:r>
    </w:p>
    <w:p w14:paraId="26AF3334" w14:textId="77777777" w:rsidR="001B7F77" w:rsidRPr="001B7F77" w:rsidRDefault="001B7F77" w:rsidP="001B7F77">
      <w:pPr>
        <w:shd w:val="clear" w:color="auto" w:fill="FFFFFF"/>
        <w:suppressAutoHyphens/>
        <w:spacing w:before="120"/>
        <w:ind w:left="720" w:hanging="360"/>
        <w:rPr>
          <w:rFonts w:eastAsia="Times"/>
          <w:u w:val="single"/>
        </w:rPr>
      </w:pPr>
      <w:r w:rsidRPr="001B7F77">
        <w:rPr>
          <w:rFonts w:eastAsia="Times"/>
          <w:u w:val="single"/>
        </w:rPr>
        <w:t>2.</w:t>
      </w:r>
      <w:r w:rsidRPr="001B7F77">
        <w:rPr>
          <w:rFonts w:eastAsia="Times"/>
          <w:u w:val="single"/>
        </w:rPr>
        <w:tab/>
        <w:t>The material properties used in design and analysis and the source of the values.</w:t>
      </w:r>
    </w:p>
    <w:p w14:paraId="2A4C0EE2" w14:textId="77777777" w:rsidR="001B7F77" w:rsidRPr="001B7F77" w:rsidRDefault="001B7F77" w:rsidP="001B7F77">
      <w:pPr>
        <w:shd w:val="clear" w:color="auto" w:fill="FFFFFF"/>
        <w:suppressAutoHyphens/>
        <w:spacing w:before="120"/>
        <w:ind w:left="720" w:hanging="360"/>
        <w:rPr>
          <w:rFonts w:eastAsia="Times"/>
          <w:u w:val="single"/>
        </w:rPr>
      </w:pPr>
      <w:r w:rsidRPr="001B7F77">
        <w:rPr>
          <w:rFonts w:eastAsia="Times"/>
          <w:u w:val="single"/>
        </w:rPr>
        <w:t>3.</w:t>
      </w:r>
      <w:r w:rsidRPr="001B7F77">
        <w:rPr>
          <w:rFonts w:eastAsia="Times"/>
          <w:u w:val="single"/>
        </w:rPr>
        <w:tab/>
        <w:t>Foundation sizes and types.</w:t>
      </w:r>
    </w:p>
    <w:p w14:paraId="42E3C865" w14:textId="77777777" w:rsidR="001B7F77" w:rsidRPr="001B7F77" w:rsidRDefault="001B7F77" w:rsidP="001B7F77">
      <w:pPr>
        <w:shd w:val="clear" w:color="auto" w:fill="FFFFFF"/>
        <w:suppressAutoHyphens/>
        <w:spacing w:before="120"/>
        <w:ind w:left="720" w:hanging="360"/>
        <w:rPr>
          <w:rFonts w:eastAsia="Times"/>
          <w:u w:val="single"/>
        </w:rPr>
      </w:pPr>
      <w:r w:rsidRPr="001B7F77">
        <w:rPr>
          <w:rFonts w:eastAsia="Times"/>
          <w:u w:val="single"/>
        </w:rPr>
        <w:t>4.</w:t>
      </w:r>
      <w:r w:rsidRPr="001B7F77">
        <w:rPr>
          <w:rFonts w:eastAsia="Times"/>
          <w:u w:val="single"/>
        </w:rPr>
        <w:tab/>
        <w:t>Subsurface capacities.</w:t>
      </w:r>
    </w:p>
    <w:p w14:paraId="378BB1CB" w14:textId="77777777" w:rsidR="001B7F77" w:rsidRPr="001B7F77" w:rsidRDefault="001B7F77" w:rsidP="001B7F77">
      <w:pPr>
        <w:shd w:val="clear" w:color="auto" w:fill="FFFFFF"/>
        <w:suppressAutoHyphens/>
        <w:spacing w:before="120"/>
        <w:ind w:left="720" w:hanging="360"/>
        <w:rPr>
          <w:rFonts w:eastAsia="Times"/>
          <w:u w:val="single"/>
        </w:rPr>
      </w:pPr>
      <w:r w:rsidRPr="001B7F77">
        <w:rPr>
          <w:rFonts w:eastAsia="Times"/>
          <w:u w:val="single"/>
        </w:rPr>
        <w:t>5.</w:t>
      </w:r>
      <w:r w:rsidRPr="001B7F77">
        <w:rPr>
          <w:rFonts w:eastAsia="Times"/>
          <w:u w:val="single"/>
        </w:rPr>
        <w:tab/>
        <w:t>Details for the repair of structural elements.</w:t>
      </w:r>
    </w:p>
    <w:p w14:paraId="05309031" w14:textId="77777777" w:rsidR="001B7F77" w:rsidRPr="001B7F77" w:rsidRDefault="001B7F77" w:rsidP="001B7F77">
      <w:pPr>
        <w:shd w:val="clear" w:color="auto" w:fill="FFFFFF"/>
        <w:suppressAutoHyphens/>
        <w:spacing w:before="120"/>
        <w:ind w:left="720" w:hanging="360"/>
        <w:rPr>
          <w:rFonts w:eastAsia="Times"/>
          <w:u w:val="single"/>
        </w:rPr>
      </w:pPr>
      <w:r w:rsidRPr="001B7F77">
        <w:rPr>
          <w:rFonts w:eastAsia="Times"/>
          <w:u w:val="single"/>
        </w:rPr>
        <w:t>6.</w:t>
      </w:r>
      <w:r w:rsidRPr="001B7F77">
        <w:rPr>
          <w:rFonts w:eastAsia="Times"/>
          <w:u w:val="single"/>
        </w:rPr>
        <w:tab/>
        <w:t>Existing detailing of the structural elements within the area of the structural scope.</w:t>
      </w:r>
    </w:p>
    <w:p w14:paraId="33185A4E" w14:textId="77777777" w:rsidR="001B7F77" w:rsidRPr="001B7F77" w:rsidRDefault="001B7F77" w:rsidP="001B7F77">
      <w:pPr>
        <w:shd w:val="clear" w:color="auto" w:fill="FFFFFF"/>
        <w:suppressAutoHyphens/>
        <w:spacing w:before="120"/>
        <w:ind w:left="720" w:hanging="360"/>
        <w:rPr>
          <w:rFonts w:eastAsia="Times"/>
          <w:u w:val="single"/>
        </w:rPr>
      </w:pPr>
      <w:r w:rsidRPr="001B7F77">
        <w:rPr>
          <w:rFonts w:eastAsia="Times"/>
          <w:u w:val="single"/>
        </w:rPr>
        <w:t>7.</w:t>
      </w:r>
      <w:r w:rsidRPr="001B7F77">
        <w:rPr>
          <w:rFonts w:eastAsia="Times"/>
          <w:u w:val="single"/>
        </w:rPr>
        <w:tab/>
        <w:t>Any assumptions made about the building permitted in accordance with Section 704.2 to be confirmed in accordance with Section 704.3.1.</w:t>
      </w:r>
    </w:p>
    <w:p w14:paraId="484D2625" w14:textId="77777777" w:rsidR="001B7F77" w:rsidRPr="001B7F77" w:rsidRDefault="001B7F77" w:rsidP="001B7F77">
      <w:pPr>
        <w:widowControl w:val="0"/>
        <w:suppressAutoHyphens/>
        <w:spacing w:before="120"/>
        <w:jc w:val="center"/>
        <w:outlineLvl w:val="0"/>
        <w:rPr>
          <w:rFonts w:eastAsia="Times"/>
          <w:b/>
          <w:u w:val="single"/>
        </w:rPr>
      </w:pPr>
    </w:p>
    <w:p w14:paraId="52BD420A" w14:textId="77777777" w:rsidR="001B7F77" w:rsidRPr="001B7F77" w:rsidRDefault="001B7F77" w:rsidP="001B7F77">
      <w:pPr>
        <w:widowControl w:val="0"/>
        <w:suppressAutoHyphens/>
        <w:spacing w:before="120"/>
        <w:jc w:val="center"/>
        <w:outlineLvl w:val="0"/>
        <w:rPr>
          <w:rFonts w:eastAsia="Times"/>
          <w:b/>
          <w:u w:val="single"/>
        </w:rPr>
      </w:pPr>
      <w:r w:rsidRPr="001B7F77">
        <w:rPr>
          <w:rFonts w:eastAsia="Times"/>
          <w:b/>
          <w:u w:val="single"/>
        </w:rPr>
        <w:t>SECTION EBC 703</w:t>
      </w:r>
      <w:r w:rsidRPr="001B7F77">
        <w:rPr>
          <w:rFonts w:eastAsia="Times"/>
          <w:b/>
          <w:u w:val="single"/>
        </w:rPr>
        <w:br/>
        <w:t xml:space="preserve">GENERAL DESIGN </w:t>
      </w:r>
      <w:r w:rsidRPr="001B7F77">
        <w:rPr>
          <w:rFonts w:eastAsia="Times"/>
          <w:b/>
          <w:bCs/>
          <w:color w:val="000000"/>
          <w:u w:val="single"/>
        </w:rPr>
        <w:t>REQUIREMENTS</w:t>
      </w:r>
    </w:p>
    <w:p w14:paraId="419B695A" w14:textId="77777777" w:rsidR="001B7F77" w:rsidRPr="001B7F77" w:rsidRDefault="001B7F77" w:rsidP="001B7F77">
      <w:pPr>
        <w:tabs>
          <w:tab w:val="left" w:pos="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spacing w:before="120"/>
        <w:rPr>
          <w:rFonts w:eastAsia="Times"/>
          <w:u w:val="single"/>
        </w:rPr>
      </w:pPr>
      <w:r w:rsidRPr="001B7F77">
        <w:rPr>
          <w:rFonts w:eastAsia="Times"/>
          <w:b/>
          <w:u w:val="single"/>
        </w:rPr>
        <w:t xml:space="preserve">703.1 General. </w:t>
      </w:r>
      <w:r w:rsidRPr="001B7F77">
        <w:rPr>
          <w:rFonts w:eastAsia="Times"/>
          <w:u w:val="single"/>
        </w:rPr>
        <w:t xml:space="preserve">All structural alterations shall comply with this section and Sections 704 through 710, as applicable. All new structural elements and their connections shall comply with the </w:t>
      </w:r>
      <w:r w:rsidRPr="001B7F77">
        <w:rPr>
          <w:rFonts w:eastAsia="Times"/>
          <w:i/>
          <w:iCs/>
          <w:u w:val="single"/>
        </w:rPr>
        <w:t>New York City Building Code</w:t>
      </w:r>
      <w:r w:rsidRPr="001B7F77">
        <w:rPr>
          <w:rFonts w:eastAsia="Times"/>
          <w:u w:val="single"/>
        </w:rPr>
        <w:t xml:space="preserve">. </w:t>
      </w:r>
    </w:p>
    <w:p w14:paraId="022574DF" w14:textId="77777777" w:rsidR="001B7F77" w:rsidRPr="001B7F77" w:rsidRDefault="001B7F77" w:rsidP="001B7F77">
      <w:pPr>
        <w:tabs>
          <w:tab w:val="left" w:pos="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spacing w:before="120"/>
        <w:ind w:left="360"/>
        <w:rPr>
          <w:rFonts w:eastAsia="Times"/>
          <w:u w:val="single"/>
        </w:rPr>
      </w:pPr>
      <w:r w:rsidRPr="001B7F77">
        <w:rPr>
          <w:rFonts w:eastAsia="Times"/>
          <w:b/>
          <w:bCs/>
          <w:u w:val="single"/>
        </w:rPr>
        <w:t xml:space="preserve">703.1.1 Underpinning and alternative methods of support of buildings and adjacent property. </w:t>
      </w:r>
      <w:r w:rsidRPr="001B7F77">
        <w:rPr>
          <w:rFonts w:eastAsia="Times"/>
          <w:u w:val="single"/>
        </w:rPr>
        <w:t xml:space="preserve">Underpinning and alternative methods of support of buildings and adjacent property shall comply with the requirements of Chapters 18 and 33 of the </w:t>
      </w:r>
      <w:r w:rsidRPr="001B7F77">
        <w:rPr>
          <w:rFonts w:eastAsia="Times"/>
          <w:i/>
          <w:iCs/>
          <w:u w:val="single"/>
        </w:rPr>
        <w:t>New York City Building Code</w:t>
      </w:r>
      <w:r w:rsidRPr="001B7F77">
        <w:rPr>
          <w:rFonts w:eastAsia="Times"/>
          <w:u w:val="single"/>
        </w:rPr>
        <w:t>.</w:t>
      </w:r>
    </w:p>
    <w:p w14:paraId="720133F3" w14:textId="77777777" w:rsidR="001B7F77" w:rsidRPr="001B7F77" w:rsidRDefault="001B7F77" w:rsidP="001B7F77">
      <w:pPr>
        <w:tabs>
          <w:tab w:val="left" w:pos="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spacing w:before="120"/>
        <w:ind w:left="360"/>
        <w:rPr>
          <w:rFonts w:eastAsia="Times"/>
          <w:u w:val="single"/>
        </w:rPr>
      </w:pPr>
      <w:bookmarkStart w:id="145" w:name="_Hlk73034159"/>
      <w:bookmarkStart w:id="146" w:name="_Hlk73712416"/>
      <w:r w:rsidRPr="001B7F77">
        <w:rPr>
          <w:rFonts w:eastAsia="Times"/>
          <w:b/>
          <w:bCs/>
          <w:u w:val="single"/>
        </w:rPr>
        <w:t xml:space="preserve">703.1.2 Separated buildings and structures. </w:t>
      </w:r>
      <w:r w:rsidRPr="001B7F77">
        <w:rPr>
          <w:rFonts w:eastAsia="Times"/>
          <w:u w:val="single"/>
        </w:rPr>
        <w:t xml:space="preserve">Where the structural alteration is completely separated from an existing building or structure by a joint, only this isolated part shall be made to comply with the </w:t>
      </w:r>
      <w:r w:rsidRPr="001B7F77">
        <w:rPr>
          <w:rFonts w:eastAsia="Times"/>
          <w:i/>
          <w:iCs/>
          <w:u w:val="single"/>
        </w:rPr>
        <w:t>New York City Building Code</w:t>
      </w:r>
      <w:r w:rsidRPr="001B7F77">
        <w:rPr>
          <w:rFonts w:eastAsia="Times"/>
          <w:u w:val="single"/>
        </w:rPr>
        <w:t xml:space="preserve"> as a new building. Unless determined by calculations, the joint shall be twice of that indicated in Section 1613.4 of the </w:t>
      </w:r>
      <w:r w:rsidRPr="001B7F77">
        <w:rPr>
          <w:rFonts w:eastAsia="Times"/>
          <w:i/>
          <w:iCs/>
          <w:u w:val="single"/>
        </w:rPr>
        <w:t>New York City Building Code</w:t>
      </w:r>
      <w:r w:rsidRPr="001B7F77">
        <w:rPr>
          <w:rFonts w:eastAsia="Times"/>
          <w:u w:val="single"/>
        </w:rPr>
        <w:t>. </w:t>
      </w:r>
      <w:bookmarkEnd w:id="145"/>
      <w:bookmarkEnd w:id="146"/>
    </w:p>
    <w:p w14:paraId="3332E02D" w14:textId="77777777" w:rsidR="001B7F77" w:rsidRPr="001B7F77" w:rsidRDefault="001B7F77" w:rsidP="001B7F77">
      <w:pPr>
        <w:tabs>
          <w:tab w:val="left" w:pos="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spacing w:before="120"/>
        <w:ind w:left="360"/>
        <w:rPr>
          <w:rFonts w:eastAsia="Times"/>
          <w:u w:val="single"/>
        </w:rPr>
      </w:pPr>
      <w:r w:rsidRPr="001B7F77">
        <w:rPr>
          <w:rFonts w:eastAsia="Times"/>
          <w:b/>
          <w:bCs/>
          <w:u w:val="single"/>
        </w:rPr>
        <w:t>703.1.3</w:t>
      </w:r>
      <w:r w:rsidRPr="001B7F77">
        <w:rPr>
          <w:rFonts w:eastAsia="Times"/>
          <w:u w:val="single"/>
        </w:rPr>
        <w:t xml:space="preserve"> </w:t>
      </w:r>
      <w:r w:rsidRPr="001B7F77">
        <w:rPr>
          <w:rFonts w:eastAsia="Times"/>
          <w:b/>
          <w:bCs/>
          <w:u w:val="single"/>
        </w:rPr>
        <w:t>Repairs due to accidental events</w:t>
      </w:r>
      <w:r w:rsidRPr="001B7F77">
        <w:rPr>
          <w:rFonts w:eastAsia="Times"/>
          <w:u w:val="single"/>
        </w:rPr>
        <w:t>. Unless otherwise specified in this code, where damage to structural elements was the result of fire, vehicular impact, extreme environmental events or adjoining construction, structural repairs are permitted to only restore the structure to the condition prior to the event provided a registered design professional submits a report that such damage has not affected more than 20 percent of the structure.</w:t>
      </w:r>
    </w:p>
    <w:p w14:paraId="41CEE24F" w14:textId="77777777" w:rsidR="001B7F77" w:rsidRPr="001B7F77" w:rsidRDefault="001B7F77" w:rsidP="001B7F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spacing w:before="120"/>
        <w:rPr>
          <w:rFonts w:eastAsia="Times"/>
          <w:u w:val="single"/>
        </w:rPr>
      </w:pPr>
      <w:r w:rsidRPr="001B7F77">
        <w:rPr>
          <w:rFonts w:eastAsia="Times"/>
          <w:b/>
          <w:bCs/>
          <w:u w:val="single"/>
        </w:rPr>
        <w:t>703.2 Buildings required to comply as hereafter erected.</w:t>
      </w:r>
      <w:r w:rsidRPr="001B7F77">
        <w:rPr>
          <w:rFonts w:eastAsia="Times"/>
          <w:u w:val="single"/>
        </w:rPr>
        <w:t xml:space="preserve"> For buildings subject to structural alterations that increase existing floor surface area of an existing building by more than 110 percent as described in Section 302.7 of this code, the structure of such entire building shall be made to comply with the structural provisions of the </w:t>
      </w:r>
      <w:r w:rsidRPr="001B7F77">
        <w:rPr>
          <w:rFonts w:eastAsia="Times"/>
          <w:i/>
          <w:iCs/>
          <w:u w:val="single"/>
        </w:rPr>
        <w:t>New York City Building Code</w:t>
      </w:r>
      <w:r w:rsidRPr="001B7F77">
        <w:rPr>
          <w:rFonts w:eastAsia="Times"/>
          <w:u w:val="single"/>
        </w:rPr>
        <w:t xml:space="preserve"> as if it were a new building hereafter erected. </w:t>
      </w:r>
    </w:p>
    <w:p w14:paraId="38CCC0E0" w14:textId="77777777" w:rsidR="001B7F77" w:rsidRPr="001B7F77" w:rsidRDefault="001B7F77" w:rsidP="001B7F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spacing w:before="120"/>
        <w:rPr>
          <w:rFonts w:eastAsia="Times"/>
          <w:u w:val="single"/>
        </w:rPr>
      </w:pPr>
      <w:r w:rsidRPr="001B7F77">
        <w:rPr>
          <w:rFonts w:eastAsia="Times"/>
          <w:b/>
          <w:bCs/>
          <w:u w:val="single"/>
        </w:rPr>
        <w:t>703.3 Entire buildings required to comply with loading provisions.</w:t>
      </w:r>
      <w:r w:rsidRPr="001B7F77">
        <w:rPr>
          <w:rFonts w:eastAsia="Times"/>
          <w:u w:val="single"/>
        </w:rPr>
        <w:t xml:space="preserve"> For buildings subject to structural alterations that meet any of the criteria listed below, the structure of such entire building shall be made to comply with the structural loading provisions of the Section 705:</w:t>
      </w:r>
    </w:p>
    <w:p w14:paraId="2210127D" w14:textId="77777777" w:rsidR="001B7F77" w:rsidRPr="001B7F77" w:rsidRDefault="001B7F77" w:rsidP="001B7F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spacing w:before="120"/>
        <w:ind w:left="720" w:hanging="360"/>
        <w:rPr>
          <w:rFonts w:eastAsia="Times"/>
          <w:u w:val="single"/>
        </w:rPr>
      </w:pPr>
      <w:r w:rsidRPr="001B7F77">
        <w:rPr>
          <w:rFonts w:eastAsia="Times"/>
          <w:u w:val="single"/>
        </w:rPr>
        <w:t>1.</w:t>
      </w:r>
      <w:r w:rsidRPr="001B7F77">
        <w:rPr>
          <w:rFonts w:eastAsia="Times"/>
          <w:u w:val="single"/>
        </w:rPr>
        <w:tab/>
        <w:t>Structural alterations in which gravity load-carrying structural elements are affected by work that involves a change to the gravity load path that supports more than 55 percent of the total floor and roof area of the building or structure. The areas to be counted toward the 55 percent shall include mezzanines, penthouses, and in-filled courts and shafts tributary to the altered structural elements.</w:t>
      </w:r>
    </w:p>
    <w:p w14:paraId="5DA21954" w14:textId="77777777" w:rsidR="001B7F77" w:rsidRPr="001B7F77" w:rsidRDefault="001B7F77" w:rsidP="001B7F77">
      <w:pPr>
        <w:tabs>
          <w:tab w:val="left" w:pos="720"/>
        </w:tabs>
        <w:suppressAutoHyphens/>
        <w:spacing w:before="120"/>
        <w:ind w:left="720" w:hanging="360"/>
        <w:rPr>
          <w:rFonts w:eastAsia="Times"/>
          <w:u w:val="single"/>
        </w:rPr>
      </w:pPr>
      <w:r w:rsidRPr="001B7F77">
        <w:rPr>
          <w:rFonts w:eastAsia="Times"/>
          <w:u w:val="single"/>
        </w:rPr>
        <w:t xml:space="preserve">2. Where a building or portion greater than 10 percent thereof, or greater than 20,000 square feet, is subject to a change of occupancy that results in the building being assigned to a higher Risk Category, based on Table 1604.5 of the </w:t>
      </w:r>
      <w:r w:rsidRPr="001B7F77">
        <w:rPr>
          <w:rFonts w:eastAsia="Times"/>
          <w:i/>
          <w:iCs/>
          <w:u w:val="single"/>
        </w:rPr>
        <w:t>New York City Building Code</w:t>
      </w:r>
      <w:r w:rsidRPr="001B7F77">
        <w:rPr>
          <w:rFonts w:eastAsia="Times"/>
          <w:u w:val="single"/>
        </w:rPr>
        <w:t xml:space="preserve">. </w:t>
      </w:r>
      <w:r w:rsidRPr="001B7F77">
        <w:rPr>
          <w:u w:val="single"/>
        </w:rPr>
        <w:t>For buildings with an S</w:t>
      </w:r>
      <w:r w:rsidRPr="001B7F77">
        <w:rPr>
          <w:u w:val="single"/>
          <w:vertAlign w:val="subscript"/>
        </w:rPr>
        <w:t>DS</w:t>
      </w:r>
      <w:r w:rsidRPr="001B7F77">
        <w:rPr>
          <w:u w:val="single"/>
        </w:rPr>
        <w:t xml:space="preserve"> less than 0.33, increased seismic loads due solely to an increase in Risk Category, where the change in Risk Category is to Risk Category II or III, need not be considered.</w:t>
      </w:r>
      <w:r w:rsidRPr="001B7F77">
        <w:rPr>
          <w:rFonts w:eastAsia="Times"/>
          <w:u w:val="single"/>
        </w:rPr>
        <w:t xml:space="preserve"> </w:t>
      </w:r>
    </w:p>
    <w:p w14:paraId="2EB29624" w14:textId="77777777" w:rsidR="001B7F77" w:rsidRPr="001B7F77" w:rsidRDefault="001B7F77" w:rsidP="001B7F77">
      <w:pPr>
        <w:tabs>
          <w:tab w:val="left" w:pos="720"/>
        </w:tabs>
        <w:suppressAutoHyphens/>
        <w:spacing w:before="120"/>
        <w:ind w:left="720" w:hanging="360"/>
        <w:rPr>
          <w:rFonts w:eastAsia="Times"/>
          <w:u w:val="single"/>
        </w:rPr>
      </w:pPr>
      <w:r w:rsidRPr="001B7F77">
        <w:rPr>
          <w:rFonts w:eastAsia="Times"/>
          <w:u w:val="single"/>
        </w:rPr>
        <w:t>3. Where the total dead and live load of the entire building increases by more than 50 percent, unless the applicant demonstrates that the increased load is less than the original design load for the existing building or that the building demonstrates the existing capacity to withstand the new loads.</w:t>
      </w:r>
    </w:p>
    <w:p w14:paraId="1436A8C4" w14:textId="77777777" w:rsidR="001B7F77" w:rsidRPr="001B7F77" w:rsidRDefault="001B7F77" w:rsidP="001B7F77">
      <w:pPr>
        <w:tabs>
          <w:tab w:val="left" w:pos="720"/>
        </w:tabs>
        <w:suppressAutoHyphens/>
        <w:spacing w:before="120"/>
        <w:ind w:left="720" w:hanging="360"/>
        <w:rPr>
          <w:rFonts w:eastAsia="Times"/>
          <w:u w:val="single"/>
        </w:rPr>
      </w:pPr>
      <w:r w:rsidRPr="001B7F77">
        <w:rPr>
          <w:rFonts w:eastAsia="Times"/>
          <w:u w:val="single"/>
        </w:rPr>
        <w:t>4.</w:t>
      </w:r>
      <w:r w:rsidRPr="001B7F77">
        <w:rPr>
          <w:rFonts w:eastAsia="Times"/>
          <w:u w:val="single"/>
        </w:rPr>
        <w:tab/>
        <w:t>Where the wind base shear or overturning in either orthogonal direction increases by more than 50 percent, unless the applicant demonstrates that the increase in total wind load is less than the original design load for the existing building or that the building possesses the existing capacity to withstand the new loads.</w:t>
      </w:r>
    </w:p>
    <w:p w14:paraId="0FF517D6" w14:textId="77777777" w:rsidR="001B7F77" w:rsidRPr="001B7F77" w:rsidRDefault="001B7F77" w:rsidP="001B7F77">
      <w:pPr>
        <w:tabs>
          <w:tab w:val="left" w:pos="720"/>
        </w:tabs>
        <w:suppressAutoHyphens/>
        <w:spacing w:before="120"/>
        <w:ind w:left="720" w:hanging="360"/>
        <w:rPr>
          <w:rFonts w:eastAsia="Times"/>
          <w:u w:val="single"/>
        </w:rPr>
      </w:pPr>
      <w:r w:rsidRPr="001B7F77">
        <w:rPr>
          <w:rFonts w:eastAsia="Times"/>
          <w:u w:val="single"/>
        </w:rPr>
        <w:t>5.</w:t>
      </w:r>
      <w:r w:rsidRPr="001B7F77">
        <w:rPr>
          <w:rFonts w:eastAsia="Times"/>
          <w:u w:val="single"/>
        </w:rPr>
        <w:tab/>
        <w:t>Where the seismic base shear or overturning in either orthogonal direction increases by more than 50 percent, unless the applicant demonstrates that the increase in total seismic load is less than the original design load for the existing building or that the building possesses the existing capacity to withstand the new loads.</w:t>
      </w:r>
    </w:p>
    <w:p w14:paraId="48A01BCC" w14:textId="77777777" w:rsidR="001B7F77" w:rsidRPr="001B7F77" w:rsidRDefault="001B7F77" w:rsidP="001B7F77">
      <w:pPr>
        <w:suppressAutoHyphens/>
        <w:spacing w:before="120"/>
        <w:rPr>
          <w:rFonts w:eastAsia="Times"/>
          <w:u w:val="single"/>
        </w:rPr>
      </w:pPr>
      <w:bookmarkStart w:id="147" w:name="bookmark=id.gjdgxs"/>
      <w:bookmarkEnd w:id="147"/>
      <w:r w:rsidRPr="001B7F77">
        <w:rPr>
          <w:rFonts w:eastAsia="Times"/>
          <w:b/>
          <w:u w:val="single"/>
        </w:rPr>
        <w:t>703.4 Increased demand on existing structural elements and foundations.</w:t>
      </w:r>
      <w:r w:rsidRPr="001B7F77">
        <w:rPr>
          <w:rFonts w:eastAsia="Times"/>
          <w:u w:val="single"/>
        </w:rPr>
        <w:t xml:space="preserve"> Alterations not meeting the criteria in Sections 703.2 or 703.3 shall comply with Sections 703.4.1 and 703.4.2.</w:t>
      </w:r>
    </w:p>
    <w:p w14:paraId="41573DA5" w14:textId="77777777" w:rsidR="001B7F77" w:rsidRPr="001B7F77" w:rsidRDefault="001B7F77" w:rsidP="001B7F77">
      <w:pPr>
        <w:suppressAutoHyphens/>
        <w:spacing w:before="120"/>
        <w:ind w:left="360"/>
        <w:rPr>
          <w:rFonts w:eastAsia="Times"/>
          <w:u w:val="single"/>
        </w:rPr>
      </w:pPr>
      <w:bookmarkStart w:id="148" w:name="_Hlk77585125"/>
      <w:r w:rsidRPr="001B7F77">
        <w:rPr>
          <w:rFonts w:eastAsia="Times"/>
          <w:b/>
          <w:u w:val="single"/>
        </w:rPr>
        <w:t>703.4.1 Effects on structural elements.</w:t>
      </w:r>
      <w:r w:rsidRPr="001B7F77">
        <w:rPr>
          <w:rFonts w:eastAsia="Times"/>
          <w:u w:val="single"/>
        </w:rPr>
        <w:t xml:space="preserve"> Any existing structural element for which a structural alteration causes an increase in demand, or causes a decrease in capacity, including stability, shall be made to comply with the structural loading provisions of Section 705. The effect of the additional loads or decreasing capacity shall be considered through the load path until resolved in the subgrade. </w:t>
      </w:r>
    </w:p>
    <w:bookmarkEnd w:id="148"/>
    <w:p w14:paraId="4AE4C94B" w14:textId="77777777" w:rsidR="001B7F77" w:rsidRPr="001B7F77" w:rsidRDefault="001B7F77" w:rsidP="001B7F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spacing w:before="120"/>
        <w:ind w:left="720"/>
        <w:rPr>
          <w:rFonts w:eastAsia="Times"/>
          <w:b/>
          <w:u w:val="single"/>
        </w:rPr>
      </w:pPr>
      <w:r w:rsidRPr="001B7F77">
        <w:rPr>
          <w:rFonts w:eastAsia="Times"/>
          <w:b/>
          <w:u w:val="single"/>
        </w:rPr>
        <w:t>Exceptions:</w:t>
      </w:r>
    </w:p>
    <w:p w14:paraId="460B20BB" w14:textId="77777777" w:rsidR="001B7F77" w:rsidRPr="001B7F77" w:rsidRDefault="001B7F77" w:rsidP="0001508F">
      <w:pPr>
        <w:widowControl w:val="0"/>
        <w:numPr>
          <w:ilvl w:val="0"/>
          <w:numId w:val="18"/>
        </w:numPr>
        <w:suppressAutoHyphens/>
        <w:autoSpaceDE w:val="0"/>
        <w:autoSpaceDN w:val="0"/>
        <w:adjustRightInd w:val="0"/>
        <w:spacing w:before="120"/>
        <w:jc w:val="left"/>
        <w:rPr>
          <w:rFonts w:eastAsia="Times"/>
          <w:u w:val="single"/>
        </w:rPr>
      </w:pPr>
      <w:r w:rsidRPr="001B7F77">
        <w:rPr>
          <w:rFonts w:eastAsia="Times"/>
          <w:u w:val="single"/>
        </w:rPr>
        <w:t xml:space="preserve">If the structural alteration does not increase the seismic mass of the building by more than 10 percent, nor decreases the lateral earthquake load resisting capacity of the building by more than 10 percent in either orthogonal direction, </w:t>
      </w:r>
      <w:r w:rsidRPr="001B7F77">
        <w:rPr>
          <w:u w:val="single"/>
        </w:rPr>
        <w:t>additional earthquake loads on the building’s lateral load resisting system due to the alteration need not be considered.</w:t>
      </w:r>
    </w:p>
    <w:p w14:paraId="33F381A6" w14:textId="77777777" w:rsidR="001B7F77" w:rsidRPr="001B7F77" w:rsidRDefault="001B7F77" w:rsidP="0001508F">
      <w:pPr>
        <w:widowControl w:val="0"/>
        <w:numPr>
          <w:ilvl w:val="0"/>
          <w:numId w:val="18"/>
        </w:numPr>
        <w:tabs>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autoSpaceDE w:val="0"/>
        <w:autoSpaceDN w:val="0"/>
        <w:adjustRightInd w:val="0"/>
        <w:spacing w:before="120"/>
        <w:contextualSpacing/>
        <w:jc w:val="left"/>
        <w:rPr>
          <w:rFonts w:eastAsia="Times"/>
          <w:sz w:val="22"/>
          <w:szCs w:val="22"/>
          <w:u w:val="single"/>
        </w:rPr>
      </w:pPr>
      <w:r w:rsidRPr="001B7F77">
        <w:rPr>
          <w:rFonts w:eastAsia="Times"/>
          <w:sz w:val="22"/>
          <w:szCs w:val="22"/>
          <w:u w:val="single"/>
        </w:rPr>
        <w:t xml:space="preserve">If the structural alteration does not increase the wind sail area of the building in each orthogonal direction by more than 10 percent, nor decrease the lateral wind load resisting capacity of the building by more than 10 percent in any direction, the additional wind loads need not be considered beyond the point that they have been delivered to the building structure’s main wind force resisting system. </w:t>
      </w:r>
    </w:p>
    <w:p w14:paraId="1FC17D5F" w14:textId="77777777" w:rsidR="001B7F77" w:rsidRPr="001B7F77" w:rsidRDefault="001B7F77" w:rsidP="0001508F">
      <w:pPr>
        <w:widowControl w:val="0"/>
        <w:numPr>
          <w:ilvl w:val="0"/>
          <w:numId w:val="18"/>
        </w:numPr>
        <w:tabs>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autoSpaceDE w:val="0"/>
        <w:autoSpaceDN w:val="0"/>
        <w:adjustRightInd w:val="0"/>
        <w:spacing w:before="120"/>
        <w:contextualSpacing/>
        <w:jc w:val="left"/>
        <w:rPr>
          <w:rFonts w:eastAsia="Times"/>
          <w:sz w:val="22"/>
          <w:szCs w:val="22"/>
          <w:u w:val="single"/>
        </w:rPr>
      </w:pPr>
      <w:bookmarkStart w:id="149" w:name="_Hlk77584916"/>
      <w:r w:rsidRPr="001B7F77">
        <w:rPr>
          <w:rFonts w:eastAsia="Times"/>
          <w:sz w:val="22"/>
          <w:szCs w:val="22"/>
          <w:u w:val="single"/>
        </w:rPr>
        <w:t>Where a change in occupancy of less than 10 percent of a building area, or less than 20,000 square feet (1858 m</w:t>
      </w:r>
      <w:r w:rsidRPr="001B7F77">
        <w:rPr>
          <w:rFonts w:eastAsia="Times"/>
          <w:sz w:val="22"/>
          <w:szCs w:val="22"/>
          <w:u w:val="single"/>
          <w:vertAlign w:val="superscript"/>
        </w:rPr>
        <w:t>2</w:t>
      </w:r>
      <w:r w:rsidRPr="001B7F77">
        <w:rPr>
          <w:rFonts w:eastAsia="Times"/>
          <w:sz w:val="22"/>
          <w:szCs w:val="22"/>
          <w:u w:val="single"/>
        </w:rPr>
        <w:t xml:space="preserve">), requires a building to design for an increased snow, wind or seismic load due solely to being assigned a higher Risk Category, other than Risk Category IV, based on Table 1604.5 of the </w:t>
      </w:r>
      <w:r w:rsidRPr="001B7F77">
        <w:rPr>
          <w:rFonts w:eastAsia="Times"/>
          <w:i/>
          <w:iCs/>
          <w:sz w:val="22"/>
          <w:szCs w:val="22"/>
          <w:u w:val="single"/>
        </w:rPr>
        <w:t>New York City Building Code</w:t>
      </w:r>
      <w:r w:rsidRPr="001B7F77">
        <w:rPr>
          <w:rFonts w:eastAsia="Times"/>
          <w:sz w:val="22"/>
          <w:szCs w:val="22"/>
          <w:u w:val="single"/>
        </w:rPr>
        <w:t>, such change to the loads need not be considered.</w:t>
      </w:r>
    </w:p>
    <w:bookmarkEnd w:id="149"/>
    <w:p w14:paraId="5CF3649A" w14:textId="77777777" w:rsidR="001B7F77" w:rsidRPr="001B7F77" w:rsidRDefault="001B7F77" w:rsidP="0001508F">
      <w:pPr>
        <w:widowControl w:val="0"/>
        <w:numPr>
          <w:ilvl w:val="0"/>
          <w:numId w:val="18"/>
        </w:numPr>
        <w:tabs>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autoSpaceDE w:val="0"/>
        <w:autoSpaceDN w:val="0"/>
        <w:adjustRightInd w:val="0"/>
        <w:spacing w:before="120"/>
        <w:contextualSpacing/>
        <w:jc w:val="left"/>
        <w:rPr>
          <w:rFonts w:eastAsia="Times"/>
          <w:sz w:val="22"/>
          <w:szCs w:val="22"/>
          <w:u w:val="single"/>
        </w:rPr>
      </w:pPr>
      <w:r w:rsidRPr="001B7F77">
        <w:rPr>
          <w:rFonts w:eastAsia="Times"/>
          <w:sz w:val="22"/>
          <w:szCs w:val="22"/>
          <w:u w:val="single"/>
        </w:rPr>
        <w:t>Increased seismic loads due solely to an increase in Risk Category, where the change in Risk Category is to Risk Category II or III need not be considered. This exception shall not apply to buildings with an S</w:t>
      </w:r>
      <w:r w:rsidRPr="001B7F77">
        <w:rPr>
          <w:rFonts w:eastAsia="Times"/>
          <w:sz w:val="22"/>
          <w:szCs w:val="22"/>
          <w:u w:val="single"/>
          <w:vertAlign w:val="subscript"/>
        </w:rPr>
        <w:t>DS</w:t>
      </w:r>
      <w:r w:rsidRPr="001B7F77">
        <w:rPr>
          <w:rFonts w:eastAsia="Times"/>
          <w:sz w:val="22"/>
          <w:szCs w:val="22"/>
          <w:u w:val="single"/>
        </w:rPr>
        <w:t xml:space="preserve"> greater than 0.33. </w:t>
      </w:r>
    </w:p>
    <w:p w14:paraId="00673F8A" w14:textId="77777777" w:rsidR="001B7F77" w:rsidRPr="001B7F77" w:rsidRDefault="001B7F77" w:rsidP="0001508F">
      <w:pPr>
        <w:widowControl w:val="0"/>
        <w:numPr>
          <w:ilvl w:val="0"/>
          <w:numId w:val="18"/>
        </w:numPr>
        <w:tabs>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autoSpaceDE w:val="0"/>
        <w:autoSpaceDN w:val="0"/>
        <w:adjustRightInd w:val="0"/>
        <w:spacing w:before="120"/>
        <w:contextualSpacing/>
        <w:jc w:val="left"/>
        <w:rPr>
          <w:rFonts w:eastAsia="Times"/>
          <w:sz w:val="22"/>
          <w:szCs w:val="22"/>
          <w:u w:val="single"/>
        </w:rPr>
      </w:pPr>
      <w:r w:rsidRPr="001B7F77">
        <w:rPr>
          <w:rFonts w:eastAsia="Times"/>
          <w:sz w:val="22"/>
          <w:szCs w:val="22"/>
          <w:u w:val="single"/>
        </w:rPr>
        <w:t>An increase in demand on an element due to an increased dead load effect within the element due solely from the addition of a second layer of roof covering weighing 3 pounds per square foot (0.1437 kN/ m</w:t>
      </w:r>
      <w:r w:rsidRPr="001B7F77">
        <w:rPr>
          <w:rFonts w:eastAsia="Times"/>
          <w:sz w:val="22"/>
          <w:szCs w:val="22"/>
          <w:u w:val="single"/>
          <w:vertAlign w:val="superscript"/>
        </w:rPr>
        <w:t>2</w:t>
      </w:r>
      <w:r w:rsidRPr="001B7F77">
        <w:rPr>
          <w:rFonts w:eastAsia="Times"/>
          <w:sz w:val="22"/>
          <w:szCs w:val="22"/>
          <w:u w:val="single"/>
        </w:rPr>
        <w:t xml:space="preserve">) or less over an existing single layer of roof covering need not be cause to alter the element. </w:t>
      </w:r>
    </w:p>
    <w:p w14:paraId="13FD5193" w14:textId="77777777" w:rsidR="001B7F77" w:rsidRPr="001B7F77" w:rsidRDefault="001B7F77" w:rsidP="001B7F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spacing w:before="120"/>
        <w:ind w:left="360"/>
        <w:rPr>
          <w:rFonts w:eastAsia="Times"/>
          <w:u w:val="single"/>
        </w:rPr>
      </w:pPr>
      <w:r w:rsidRPr="001B7F77">
        <w:rPr>
          <w:rFonts w:eastAsia="Times"/>
          <w:b/>
          <w:u w:val="single"/>
        </w:rPr>
        <w:t xml:space="preserve">703.4.2 Effects on foundations. </w:t>
      </w:r>
      <w:r w:rsidRPr="001B7F77">
        <w:rPr>
          <w:rFonts w:eastAsia="Times"/>
          <w:u w:val="single"/>
        </w:rPr>
        <w:t xml:space="preserve">Effects on foundations shall comply with Sections 703.4.2.1 and 703.4.2.2 of this code. Bearing values shall be as required by Chapter 18 of the </w:t>
      </w:r>
      <w:r w:rsidRPr="001B7F77">
        <w:rPr>
          <w:rFonts w:eastAsia="Times"/>
          <w:i/>
          <w:iCs/>
          <w:u w:val="single"/>
        </w:rPr>
        <w:t>New York City Building Code</w:t>
      </w:r>
      <w:r w:rsidRPr="001B7F77">
        <w:rPr>
          <w:rFonts w:eastAsia="Times"/>
          <w:u w:val="single"/>
        </w:rPr>
        <w:t>.</w:t>
      </w:r>
    </w:p>
    <w:p w14:paraId="782F2FF8" w14:textId="77777777" w:rsidR="001B7F77" w:rsidRPr="001B7F77" w:rsidRDefault="001B7F77" w:rsidP="001B7F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spacing w:before="120"/>
        <w:ind w:left="720"/>
        <w:rPr>
          <w:rFonts w:eastAsia="Times"/>
          <w:u w:val="single"/>
        </w:rPr>
      </w:pPr>
      <w:r w:rsidRPr="001B7F77">
        <w:rPr>
          <w:rFonts w:eastAsia="Times"/>
          <w:b/>
          <w:u w:val="single"/>
        </w:rPr>
        <w:t xml:space="preserve">703.4.2.1 New foundation elements. </w:t>
      </w:r>
      <w:r w:rsidRPr="001B7F77">
        <w:rPr>
          <w:rFonts w:eastAsia="Times"/>
          <w:u w:val="single"/>
        </w:rPr>
        <w:t xml:space="preserve">New foundation elements shall comply with Chapter 18 of the </w:t>
      </w:r>
      <w:r w:rsidRPr="001B7F77">
        <w:rPr>
          <w:rFonts w:eastAsia="Times"/>
          <w:i/>
          <w:iCs/>
          <w:u w:val="single"/>
        </w:rPr>
        <w:t>New York City Building Code</w:t>
      </w:r>
      <w:r w:rsidRPr="001B7F77">
        <w:rPr>
          <w:rFonts w:eastAsia="Times"/>
          <w:u w:val="single"/>
        </w:rPr>
        <w:t>.</w:t>
      </w:r>
    </w:p>
    <w:p w14:paraId="455034CF" w14:textId="77777777" w:rsidR="001B7F77" w:rsidRPr="001B7F77" w:rsidRDefault="001B7F77" w:rsidP="001B7F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spacing w:before="120"/>
        <w:ind w:left="720"/>
        <w:rPr>
          <w:rFonts w:eastAsia="Times"/>
          <w:szCs w:val="24"/>
          <w:u w:val="single"/>
        </w:rPr>
      </w:pPr>
      <w:bookmarkStart w:id="150" w:name="_Hlk74921316"/>
      <w:bookmarkStart w:id="151" w:name="_Hlk74914965"/>
      <w:r w:rsidRPr="001B7F77">
        <w:rPr>
          <w:rFonts w:eastAsia="Times"/>
          <w:b/>
          <w:u w:val="single"/>
        </w:rPr>
        <w:t xml:space="preserve">703.4.2.2 Existing foundation elements. </w:t>
      </w:r>
      <w:r w:rsidRPr="001B7F77">
        <w:rPr>
          <w:rFonts w:eastAsia="Times"/>
          <w:u w:val="single"/>
        </w:rPr>
        <w:t xml:space="preserve">Any existing foundation element subjected to an increased load shall be made to comply with Chapter 18 of the </w:t>
      </w:r>
      <w:r w:rsidRPr="001B7F77">
        <w:rPr>
          <w:rFonts w:eastAsia="Times"/>
          <w:i/>
          <w:iCs/>
          <w:u w:val="single"/>
        </w:rPr>
        <w:t xml:space="preserve">New York City Building </w:t>
      </w:r>
      <w:r w:rsidRPr="001B7F77">
        <w:rPr>
          <w:rFonts w:eastAsia="Times"/>
          <w:i/>
          <w:iCs/>
          <w:szCs w:val="24"/>
          <w:u w:val="single"/>
        </w:rPr>
        <w:t>Code</w:t>
      </w:r>
      <w:r w:rsidRPr="001B7F77">
        <w:rPr>
          <w:rFonts w:eastAsia="Times"/>
          <w:szCs w:val="24"/>
          <w:u w:val="single"/>
        </w:rPr>
        <w:t xml:space="preserve"> with the following exceptions.</w:t>
      </w:r>
    </w:p>
    <w:p w14:paraId="3106D506" w14:textId="77777777" w:rsidR="001B7F77" w:rsidRPr="001B7F77" w:rsidRDefault="001B7F77" w:rsidP="001B7F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spacing w:before="120"/>
        <w:ind w:left="1080"/>
        <w:rPr>
          <w:rFonts w:eastAsia="Times"/>
          <w:b/>
          <w:bCs/>
          <w:szCs w:val="24"/>
          <w:u w:val="single"/>
        </w:rPr>
      </w:pPr>
      <w:bookmarkStart w:id="152" w:name="_Hlk74911568"/>
      <w:bookmarkEnd w:id="150"/>
      <w:r w:rsidRPr="001B7F77">
        <w:rPr>
          <w:rFonts w:eastAsia="Times"/>
          <w:b/>
          <w:bCs/>
          <w:szCs w:val="24"/>
          <w:u w:val="single"/>
        </w:rPr>
        <w:t>Exceptions:</w:t>
      </w:r>
    </w:p>
    <w:p w14:paraId="6E270944" w14:textId="77777777" w:rsidR="001B7F77" w:rsidRPr="001B7F77" w:rsidRDefault="001B7F77" w:rsidP="001B7F77">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spacing w:before="120"/>
        <w:ind w:left="1800" w:hanging="360"/>
        <w:rPr>
          <w:rFonts w:eastAsia="Times"/>
          <w:szCs w:val="24"/>
          <w:u w:val="single"/>
        </w:rPr>
      </w:pPr>
      <w:bookmarkStart w:id="153" w:name="_Hlk74908596"/>
      <w:r w:rsidRPr="001B7F77">
        <w:rPr>
          <w:rFonts w:eastAsia="Times"/>
          <w:szCs w:val="24"/>
          <w:u w:val="single"/>
        </w:rPr>
        <w:t>1.</w:t>
      </w:r>
      <w:r w:rsidRPr="001B7F77">
        <w:rPr>
          <w:rFonts w:eastAsia="Times"/>
          <w:szCs w:val="24"/>
          <w:u w:val="single"/>
        </w:rPr>
        <w:tab/>
        <w:t xml:space="preserve">Where the existing foundation design capacity is not known, structural alterations which increase the gravity load by 5 percent or less need not be made to comply. Where the gravity load is increased between 5 and 10 percent the registered design professional of record shall consider the impact of potential additional building movement. </w:t>
      </w:r>
    </w:p>
    <w:p w14:paraId="6A9B577B" w14:textId="77777777" w:rsidR="001B7F77" w:rsidRPr="001B7F77" w:rsidRDefault="001B7F77" w:rsidP="001B7F77">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spacing w:before="120"/>
        <w:ind w:left="1800" w:hanging="360"/>
        <w:rPr>
          <w:rFonts w:eastAsia="Times"/>
          <w:szCs w:val="24"/>
          <w:u w:val="single"/>
        </w:rPr>
      </w:pPr>
      <w:r w:rsidRPr="001B7F77">
        <w:rPr>
          <w:rFonts w:eastAsia="Times"/>
          <w:szCs w:val="24"/>
          <w:u w:val="single"/>
        </w:rPr>
        <w:t>2.</w:t>
      </w:r>
      <w:r w:rsidRPr="001B7F77">
        <w:rPr>
          <w:rFonts w:eastAsia="Times"/>
          <w:szCs w:val="24"/>
          <w:u w:val="single"/>
        </w:rPr>
        <w:tab/>
        <w:t>Structural alterations which increase the wind or seismic load by less than 20 percent need not be made to comply.</w:t>
      </w:r>
    </w:p>
    <w:bookmarkEnd w:id="151"/>
    <w:bookmarkEnd w:id="152"/>
    <w:bookmarkEnd w:id="153"/>
    <w:p w14:paraId="64780B88" w14:textId="77777777" w:rsidR="001B7F77" w:rsidRPr="001B7F77" w:rsidRDefault="001B7F77" w:rsidP="001B7F77">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spacing w:before="120"/>
        <w:ind w:left="720"/>
        <w:rPr>
          <w:rFonts w:eastAsia="Times"/>
          <w:szCs w:val="24"/>
          <w:u w:val="single"/>
        </w:rPr>
      </w:pPr>
      <w:r w:rsidRPr="001B7F77">
        <w:rPr>
          <w:rFonts w:eastAsia="Times"/>
          <w:szCs w:val="24"/>
          <w:u w:val="single"/>
        </w:rPr>
        <w:t>Exceptions 1 or 2 shall not be applicable a) where settlement or foundation movement is observed or has been documented, or b) where the proposed work reduces the bearing capacity of the soil strata providing support.</w:t>
      </w:r>
    </w:p>
    <w:p w14:paraId="6C5F584A" w14:textId="77777777" w:rsidR="001B7F77" w:rsidRPr="001B7F77" w:rsidRDefault="001B7F77" w:rsidP="001B7F77">
      <w:pPr>
        <w:widowControl w:val="0"/>
        <w:spacing w:before="120"/>
        <w:rPr>
          <w:bCs/>
          <w:kern w:val="24"/>
          <w:szCs w:val="24"/>
          <w:u w:val="single"/>
        </w:rPr>
      </w:pPr>
      <w:r w:rsidRPr="001B7F77">
        <w:rPr>
          <w:b/>
          <w:bCs/>
          <w:kern w:val="24"/>
          <w:szCs w:val="24"/>
          <w:u w:val="single"/>
        </w:rPr>
        <w:t xml:space="preserve">703.5 Stability. </w:t>
      </w:r>
      <w:r w:rsidRPr="001B7F77">
        <w:rPr>
          <w:bCs/>
          <w:kern w:val="24"/>
          <w:szCs w:val="24"/>
          <w:u w:val="single"/>
        </w:rPr>
        <w:t>Structural alterations shall comply with Sections 703.5.1, 703.5.2, and 703.5.3, as applicable.</w:t>
      </w:r>
    </w:p>
    <w:p w14:paraId="20CB00B3" w14:textId="77777777" w:rsidR="001B7F77" w:rsidRPr="001B7F77" w:rsidRDefault="001B7F77" w:rsidP="001B7F77">
      <w:pPr>
        <w:widowControl w:val="0"/>
        <w:spacing w:before="120"/>
        <w:ind w:left="360"/>
        <w:rPr>
          <w:kern w:val="24"/>
          <w:szCs w:val="24"/>
          <w:u w:val="single"/>
        </w:rPr>
      </w:pPr>
      <w:r w:rsidRPr="001B7F77">
        <w:rPr>
          <w:b/>
          <w:bCs/>
          <w:kern w:val="24"/>
          <w:szCs w:val="24"/>
          <w:u w:val="single"/>
        </w:rPr>
        <w:t>703.5.1</w:t>
      </w:r>
      <w:r w:rsidRPr="001B7F77">
        <w:rPr>
          <w:kern w:val="24"/>
          <w:szCs w:val="24"/>
          <w:u w:val="single"/>
        </w:rPr>
        <w:t xml:space="preserve"> </w:t>
      </w:r>
      <w:r w:rsidRPr="001B7F77">
        <w:rPr>
          <w:b/>
          <w:kern w:val="24"/>
          <w:szCs w:val="24"/>
          <w:u w:val="single"/>
        </w:rPr>
        <w:t>Stability index.</w:t>
      </w:r>
      <w:r w:rsidRPr="001B7F77">
        <w:rPr>
          <w:kern w:val="24"/>
          <w:szCs w:val="24"/>
          <w:u w:val="single"/>
        </w:rPr>
        <w:t xml:space="preserve"> Where a structural alteration reduces the lateral stiffness of a building by more than 10 percent, the building’s lateral system or the altered elements of its lateral system shall have a stability index less than 0.25. Where the stability index is between 0.1 and 0.25, structural analysis and design shall include second order effects.</w:t>
      </w:r>
    </w:p>
    <w:p w14:paraId="26E6A992" w14:textId="77777777" w:rsidR="001B7F77" w:rsidRPr="001B7F77" w:rsidRDefault="001B7F77" w:rsidP="001B7F77">
      <w:pPr>
        <w:widowControl w:val="0"/>
        <w:spacing w:before="120"/>
        <w:ind w:left="360"/>
        <w:rPr>
          <w:szCs w:val="24"/>
          <w:u w:val="single"/>
        </w:rPr>
      </w:pPr>
      <w:r w:rsidRPr="001B7F77">
        <w:rPr>
          <w:kern w:val="24"/>
          <w:szCs w:val="24"/>
          <w:u w:val="single"/>
        </w:rPr>
        <w:t>The stability index shall be determined as follows:</w:t>
      </w:r>
    </w:p>
    <w:p w14:paraId="7A041802" w14:textId="77777777" w:rsidR="001B7F77" w:rsidRPr="001B7F77" w:rsidRDefault="001B7F77" w:rsidP="001B7F77">
      <w:pPr>
        <w:widowControl w:val="0"/>
        <w:spacing w:before="120"/>
        <w:ind w:left="360"/>
        <w:rPr>
          <w:sz w:val="22"/>
          <w:szCs w:val="22"/>
          <w:u w:val="single"/>
        </w:rPr>
      </w:pPr>
      <w:r w:rsidRPr="001B7F77">
        <w:rPr>
          <w:rFonts w:eastAsia="Cambria Math"/>
          <w:kern w:val="24"/>
          <w:szCs w:val="24"/>
          <w:u w:val="single"/>
        </w:rPr>
        <w:t>Using factored loads or service loads</w:t>
      </w:r>
      <w:r w:rsidRPr="001B7F77">
        <w:rPr>
          <w:rFonts w:eastAsia="Cambria Math"/>
          <w:kern w:val="24"/>
          <w:sz w:val="22"/>
          <w:szCs w:val="22"/>
          <w:u w:val="single"/>
        </w:rPr>
        <w:t xml:space="preserve"> </w:t>
      </w:r>
      <w:r w:rsidRPr="001B7F77">
        <w:rPr>
          <w:rFonts w:eastAsia="Cambria Math"/>
          <w:b/>
          <w:bCs/>
          <w:kern w:val="24"/>
          <w:sz w:val="22"/>
          <w:szCs w:val="22"/>
          <w:u w:val="single"/>
        </w:rPr>
        <w:t xml:space="preserve">Q </w:t>
      </w:r>
      <m:oMath>
        <m:r>
          <m:rPr>
            <m:sty m:val="b"/>
          </m:rPr>
          <w:rPr>
            <w:rFonts w:ascii="Cambria Math" w:eastAsia="Cambria Math" w:hAnsi="Cambria Math"/>
            <w:kern w:val="24"/>
            <w:sz w:val="22"/>
            <w:szCs w:val="22"/>
            <w:u w:val="single"/>
          </w:rPr>
          <m:t>=</m:t>
        </m:r>
        <m:f>
          <m:fPr>
            <m:ctrlPr>
              <w:rPr>
                <w:rFonts w:ascii="Cambria Math" w:eastAsia="Cambria Math" w:hAnsi="Cambria Math"/>
                <w:b/>
                <w:bCs/>
                <w:kern w:val="24"/>
                <w:sz w:val="22"/>
                <w:szCs w:val="22"/>
                <w:u w:val="single"/>
              </w:rPr>
            </m:ctrlPr>
          </m:fPr>
          <m:num>
            <m:r>
              <m:rPr>
                <m:sty m:val="b"/>
              </m:rPr>
              <w:rPr>
                <w:rFonts w:ascii="Cambria Math" w:eastAsia="Cambria Math" w:hAnsi="Cambria Math"/>
                <w:kern w:val="24"/>
                <w:sz w:val="22"/>
                <w:szCs w:val="22"/>
                <w:u w:val="single"/>
              </w:rPr>
              <m:t>α</m:t>
            </m:r>
            <m:d>
              <m:dPr>
                <m:ctrlPr>
                  <w:rPr>
                    <w:rFonts w:ascii="Cambria Math" w:eastAsia="Cambria Math" w:hAnsi="Cambria Math"/>
                    <w:b/>
                    <w:kern w:val="24"/>
                    <w:sz w:val="22"/>
                    <w:szCs w:val="22"/>
                    <w:u w:val="single"/>
                  </w:rPr>
                </m:ctrlPr>
              </m:dPr>
              <m:e>
                <m:nary>
                  <m:naryPr>
                    <m:chr m:val="∑"/>
                    <m:subHide m:val="1"/>
                    <m:supHide m:val="1"/>
                    <m:ctrlPr>
                      <w:rPr>
                        <w:rFonts w:ascii="Cambria Math" w:eastAsia="Cambria Math" w:hAnsi="Cambria Math"/>
                        <w:b/>
                        <w:bCs/>
                        <w:kern w:val="24"/>
                        <w:sz w:val="22"/>
                        <w:szCs w:val="22"/>
                        <w:u w:val="single"/>
                      </w:rPr>
                    </m:ctrlPr>
                  </m:naryPr>
                  <m:sub/>
                  <m:sup/>
                  <m:e>
                    <m:r>
                      <m:rPr>
                        <m:sty m:val="b"/>
                      </m:rPr>
                      <w:rPr>
                        <w:rFonts w:ascii="Cambria Math" w:eastAsia="Cambria Math" w:hAnsi="Cambria Math"/>
                        <w:kern w:val="24"/>
                        <w:sz w:val="22"/>
                        <w:szCs w:val="22"/>
                        <w:u w:val="single"/>
                      </w:rPr>
                      <m:t>P</m:t>
                    </m:r>
                  </m:e>
                </m:nary>
              </m:e>
            </m:d>
            <m:r>
              <m:rPr>
                <m:sty m:val="b"/>
              </m:rPr>
              <w:rPr>
                <w:rFonts w:ascii="Cambria Math" w:eastAsia="Cambria Math" w:hAnsi="Cambria Math"/>
                <w:kern w:val="24"/>
                <w:sz w:val="22"/>
                <w:szCs w:val="22"/>
                <w:u w:val="single"/>
              </w:rPr>
              <m:t> ∆</m:t>
            </m:r>
          </m:num>
          <m:den>
            <m:r>
              <m:rPr>
                <m:sty m:val="b"/>
              </m:rPr>
              <w:rPr>
                <w:rFonts w:ascii="Cambria Math" w:eastAsia="Cambria Math" w:hAnsi="Cambria Math"/>
                <w:kern w:val="24"/>
                <w:sz w:val="22"/>
                <w:szCs w:val="22"/>
                <w:u w:val="single"/>
              </w:rPr>
              <m:t>Vh</m:t>
            </m:r>
          </m:den>
        </m:f>
      </m:oMath>
      <w:r w:rsidRPr="001B7F77">
        <w:rPr>
          <w:rFonts w:eastAsia="Cambria Math"/>
          <w:b/>
          <w:bCs/>
          <w:kern w:val="24"/>
          <w:sz w:val="22"/>
          <w:szCs w:val="22"/>
          <w:u w:val="single"/>
        </w:rPr>
        <w:t xml:space="preserve"> </w:t>
      </w:r>
      <w:r w:rsidRPr="001B7F77">
        <w:rPr>
          <w:rFonts w:eastAsia="Cambria Math"/>
          <w:b/>
          <w:bCs/>
          <w:kern w:val="24"/>
          <w:sz w:val="22"/>
          <w:szCs w:val="22"/>
          <w:u w:val="single"/>
        </w:rPr>
        <w:tab/>
      </w:r>
    </w:p>
    <w:p w14:paraId="0A19F9FE" w14:textId="77777777" w:rsidR="001B7F77" w:rsidRPr="001B7F77" w:rsidRDefault="001B7F77" w:rsidP="001B7F77">
      <w:pPr>
        <w:widowControl w:val="0"/>
        <w:spacing w:before="120"/>
        <w:ind w:left="360"/>
        <w:rPr>
          <w:rFonts w:eastAsia="Cambria Math"/>
          <w:kern w:val="24"/>
          <w:szCs w:val="24"/>
          <w:u w:val="single"/>
        </w:rPr>
      </w:pPr>
      <w:r w:rsidRPr="001B7F77">
        <w:rPr>
          <w:rFonts w:eastAsia="Cambria Math"/>
          <w:kern w:val="24"/>
          <w:szCs w:val="24"/>
          <w:u w:val="single"/>
        </w:rPr>
        <w:t>Where:</w:t>
      </w:r>
    </w:p>
    <w:p w14:paraId="21984317" w14:textId="77777777" w:rsidR="001B7F77" w:rsidRPr="001B7F77" w:rsidRDefault="001B7F77" w:rsidP="001B7F77">
      <w:pPr>
        <w:widowControl w:val="0"/>
        <w:spacing w:before="120"/>
        <w:ind w:left="900"/>
        <w:rPr>
          <w:szCs w:val="24"/>
          <w:u w:val="single"/>
        </w:rPr>
      </w:pPr>
      <m:oMath>
        <m:r>
          <m:rPr>
            <m:sty m:val="b"/>
          </m:rPr>
          <w:rPr>
            <w:rFonts w:ascii="Cambria Math" w:eastAsia="Cambria Math" w:hAnsi="Cambria Math"/>
            <w:kern w:val="24"/>
            <w:szCs w:val="24"/>
            <w:u w:val="single"/>
          </w:rPr>
          <m:t>∆</m:t>
        </m:r>
      </m:oMath>
      <w:r w:rsidRPr="001B7F77">
        <w:rPr>
          <w:rFonts w:eastAsia="Cambria Math"/>
          <w:kern w:val="24"/>
          <w:szCs w:val="24"/>
          <w:u w:val="single"/>
        </w:rPr>
        <w:t xml:space="preserve"> = horizontal inter-story drift at a given story</w:t>
      </w:r>
    </w:p>
    <w:p w14:paraId="69529D93" w14:textId="77777777" w:rsidR="001B7F77" w:rsidRPr="001B7F77" w:rsidRDefault="001B7F77" w:rsidP="001B7F77">
      <w:pPr>
        <w:widowControl w:val="0"/>
        <w:spacing w:before="120"/>
        <w:ind w:left="900"/>
        <w:rPr>
          <w:szCs w:val="24"/>
          <w:u w:val="single"/>
        </w:rPr>
      </w:pPr>
      <m:oMath>
        <m:r>
          <m:rPr>
            <m:sty m:val="b"/>
          </m:rPr>
          <w:rPr>
            <w:rFonts w:ascii="Cambria Math" w:eastAsia="Cambria Math" w:hAnsi="Cambria Math"/>
            <w:kern w:val="24"/>
            <w:szCs w:val="24"/>
            <w:u w:val="single"/>
          </w:rPr>
          <m:t>(</m:t>
        </m:r>
        <m:nary>
          <m:naryPr>
            <m:chr m:val="∑"/>
            <m:subHide m:val="1"/>
            <m:supHide m:val="1"/>
            <m:ctrlPr>
              <w:rPr>
                <w:rFonts w:ascii="Cambria Math" w:eastAsia="Cambria Math" w:hAnsi="Cambria Math"/>
                <w:b/>
                <w:bCs/>
                <w:kern w:val="24"/>
                <w:szCs w:val="24"/>
                <w:u w:val="single"/>
              </w:rPr>
            </m:ctrlPr>
          </m:naryPr>
          <m:sub/>
          <m:sup/>
          <m:e>
            <m:r>
              <m:rPr>
                <m:sty m:val="b"/>
              </m:rPr>
              <w:rPr>
                <w:rFonts w:ascii="Cambria Math" w:eastAsia="Cambria Math" w:hAnsi="Cambria Math"/>
                <w:kern w:val="24"/>
                <w:szCs w:val="24"/>
                <w:u w:val="single"/>
              </w:rPr>
              <m:t>P</m:t>
            </m:r>
          </m:e>
        </m:nary>
        <m:r>
          <m:rPr>
            <m:sty m:val="b"/>
          </m:rPr>
          <w:rPr>
            <w:rFonts w:ascii="Cambria Math" w:eastAsia="Cambria Math" w:hAnsi="Cambria Math"/>
            <w:kern w:val="24"/>
            <w:szCs w:val="24"/>
            <w:u w:val="single"/>
          </w:rPr>
          <m:t>)</m:t>
        </m:r>
      </m:oMath>
      <w:r w:rsidRPr="001B7F77">
        <w:rPr>
          <w:rFonts w:eastAsia="Cambria Math"/>
          <w:kern w:val="24"/>
          <w:szCs w:val="24"/>
          <w:u w:val="single"/>
        </w:rPr>
        <w:t xml:space="preserve"> = total vertical gravity loads at and above a given story</w:t>
      </w:r>
    </w:p>
    <w:p w14:paraId="2173F08A" w14:textId="77777777" w:rsidR="001B7F77" w:rsidRPr="001B7F77" w:rsidRDefault="001B7F77" w:rsidP="001B7F77">
      <w:pPr>
        <w:widowControl w:val="0"/>
        <w:spacing w:before="120"/>
        <w:ind w:left="900"/>
        <w:rPr>
          <w:szCs w:val="24"/>
          <w:u w:val="single"/>
        </w:rPr>
      </w:pPr>
      <w:r w:rsidRPr="001B7F77">
        <w:rPr>
          <w:rFonts w:eastAsia="Cambria Math"/>
          <w:kern w:val="24"/>
          <w:szCs w:val="24"/>
          <w:u w:val="single"/>
        </w:rPr>
        <w:t xml:space="preserve">V = horizontal shear at a given story associated with </w:t>
      </w:r>
      <m:oMath>
        <m:r>
          <m:rPr>
            <m:sty m:val="b"/>
          </m:rPr>
          <w:rPr>
            <w:rFonts w:ascii="Cambria Math" w:eastAsia="Cambria Math" w:hAnsi="Cambria Math"/>
            <w:kern w:val="24"/>
            <w:szCs w:val="24"/>
            <w:u w:val="single"/>
          </w:rPr>
          <m:t>∆</m:t>
        </m:r>
      </m:oMath>
    </w:p>
    <w:p w14:paraId="77DF9354" w14:textId="77777777" w:rsidR="001B7F77" w:rsidRPr="001B7F77" w:rsidRDefault="001B7F77" w:rsidP="001B7F77">
      <w:pPr>
        <w:widowControl w:val="0"/>
        <w:spacing w:before="120"/>
        <w:ind w:left="900"/>
        <w:rPr>
          <w:rFonts w:eastAsia="Cambria Math"/>
          <w:kern w:val="24"/>
          <w:szCs w:val="24"/>
          <w:u w:val="single"/>
        </w:rPr>
      </w:pPr>
      <w:r w:rsidRPr="001B7F77">
        <w:rPr>
          <w:rFonts w:eastAsia="Cambria Math"/>
          <w:kern w:val="24"/>
          <w:szCs w:val="24"/>
          <w:u w:val="single"/>
        </w:rPr>
        <w:t>h = story height</w:t>
      </w:r>
    </w:p>
    <w:p w14:paraId="5723FC5E" w14:textId="77777777" w:rsidR="001B7F77" w:rsidRPr="001B7F77" w:rsidRDefault="001B7F77" w:rsidP="001B7F77">
      <w:pPr>
        <w:widowControl w:val="0"/>
        <w:spacing w:before="120"/>
        <w:ind w:left="900"/>
        <w:jc w:val="left"/>
        <w:rPr>
          <w:rFonts w:eastAsia="Cambria Math"/>
          <w:kern w:val="24"/>
          <w:szCs w:val="24"/>
          <w:u w:val="single"/>
        </w:rPr>
      </w:pPr>
      <m:oMath>
        <m:r>
          <m:rPr>
            <m:sty m:val="p"/>
          </m:rPr>
          <w:rPr>
            <w:rFonts w:ascii="Cambria Math" w:eastAsia="Cambria Math" w:hAnsi="Cambria Math"/>
            <w:kern w:val="24"/>
            <w:szCs w:val="24"/>
            <w:u w:val="single"/>
          </w:rPr>
          <m:t xml:space="preserve">α=1.0 </m:t>
        </m:r>
      </m:oMath>
      <w:r w:rsidRPr="001B7F77">
        <w:rPr>
          <w:rFonts w:eastAsia="Cambria Math"/>
          <w:kern w:val="24"/>
          <w:szCs w:val="24"/>
          <w:u w:val="single"/>
        </w:rPr>
        <w:t>where using factored loads and α=1.5 where using service loads</w:t>
      </w:r>
    </w:p>
    <w:p w14:paraId="1A958FEC" w14:textId="77777777" w:rsidR="001B7F77" w:rsidRPr="001B7F77" w:rsidRDefault="001B7F77" w:rsidP="001B7F77">
      <w:pPr>
        <w:widowControl w:val="0"/>
        <w:spacing w:before="120"/>
        <w:ind w:left="720"/>
        <w:rPr>
          <w:szCs w:val="24"/>
          <w:u w:val="single"/>
        </w:rPr>
      </w:pPr>
      <w:r w:rsidRPr="001B7F77">
        <w:rPr>
          <w:b/>
          <w:bCs/>
          <w:szCs w:val="24"/>
          <w:u w:val="single"/>
        </w:rPr>
        <w:t>Exception:</w:t>
      </w:r>
      <w:r w:rsidRPr="001B7F77">
        <w:rPr>
          <w:szCs w:val="24"/>
          <w:u w:val="single"/>
        </w:rPr>
        <w:t xml:space="preserve"> Where a structural alteration is performed on an unreinforced masonry building with wood-framed floors constructed prior to 1903, apply Section 703.5.3. </w:t>
      </w:r>
    </w:p>
    <w:p w14:paraId="76BF082E" w14:textId="77777777" w:rsidR="001B7F77" w:rsidRPr="001B7F77" w:rsidRDefault="001B7F77" w:rsidP="001B7F77">
      <w:pPr>
        <w:widowControl w:val="0"/>
        <w:spacing w:before="120"/>
        <w:ind w:left="720"/>
        <w:rPr>
          <w:szCs w:val="24"/>
          <w:u w:val="single"/>
        </w:rPr>
      </w:pPr>
      <w:r w:rsidRPr="001B7F77">
        <w:rPr>
          <w:rFonts w:eastAsia="Cambria Math"/>
          <w:b/>
          <w:bCs/>
          <w:kern w:val="24"/>
          <w:szCs w:val="24"/>
          <w:u w:val="single"/>
        </w:rPr>
        <w:t>703.5.1.1</w:t>
      </w:r>
      <w:r w:rsidRPr="001B7F77">
        <w:rPr>
          <w:rFonts w:eastAsia="Cambria Math"/>
          <w:kern w:val="24"/>
          <w:szCs w:val="24"/>
          <w:u w:val="single"/>
        </w:rPr>
        <w:t xml:space="preserve"> </w:t>
      </w:r>
      <w:r w:rsidRPr="001B7F77">
        <w:rPr>
          <w:rFonts w:eastAsia="Cambria Math"/>
          <w:b/>
          <w:bCs/>
          <w:kern w:val="24"/>
          <w:szCs w:val="24"/>
          <w:u w:val="single"/>
        </w:rPr>
        <w:t>Reduction of stiffness.</w:t>
      </w:r>
      <w:r w:rsidRPr="001B7F77">
        <w:rPr>
          <w:rFonts w:eastAsia="Cambria Math"/>
          <w:kern w:val="24"/>
          <w:szCs w:val="24"/>
          <w:u w:val="single"/>
        </w:rPr>
        <w:t xml:space="preserve"> No structural alteration shall reduce or modify the lateral stiffness of a building, or story within a building, unless it is demonstrated that the altered building structure, or story as applicable, has a stability index less than 0.10 or the altered building structure is made to comply with the structural provisions of the </w:t>
      </w:r>
      <w:r w:rsidRPr="001B7F77">
        <w:rPr>
          <w:rFonts w:eastAsia="Cambria Math"/>
          <w:i/>
          <w:iCs/>
          <w:kern w:val="24"/>
          <w:szCs w:val="24"/>
          <w:u w:val="single"/>
        </w:rPr>
        <w:t>New York City Building Code</w:t>
      </w:r>
      <w:r w:rsidRPr="001B7F77">
        <w:rPr>
          <w:rFonts w:eastAsia="Cambria Math"/>
          <w:kern w:val="24"/>
          <w:szCs w:val="24"/>
          <w:u w:val="single"/>
        </w:rPr>
        <w:t>.</w:t>
      </w:r>
    </w:p>
    <w:p w14:paraId="19A9B670" w14:textId="77777777" w:rsidR="001B7F77" w:rsidRPr="001B7F77" w:rsidRDefault="001B7F77" w:rsidP="001B7F77">
      <w:pPr>
        <w:widowControl w:val="0"/>
        <w:spacing w:before="120"/>
        <w:ind w:left="360"/>
        <w:rPr>
          <w:rFonts w:eastAsia="Cambria Math"/>
          <w:kern w:val="24"/>
          <w:szCs w:val="24"/>
          <w:u w:val="single"/>
        </w:rPr>
      </w:pPr>
      <w:r w:rsidRPr="001B7F77">
        <w:rPr>
          <w:rFonts w:eastAsia="Cambria Math"/>
          <w:b/>
          <w:bCs/>
          <w:kern w:val="24"/>
          <w:szCs w:val="24"/>
          <w:u w:val="single"/>
        </w:rPr>
        <w:t xml:space="preserve">703.5.2 Buildings or stories initially out-of-plumb. </w:t>
      </w:r>
      <w:r w:rsidRPr="001B7F77">
        <w:rPr>
          <w:kern w:val="24"/>
          <w:szCs w:val="24"/>
          <w:u w:val="single"/>
        </w:rPr>
        <w:t xml:space="preserve">Where a structural alteration increases the lateral loads on a building or story, or reduces the lateral stiffness of a building or story, </w:t>
      </w:r>
      <w:r w:rsidRPr="001B7F77">
        <w:rPr>
          <w:rFonts w:eastAsia="Cambria Math"/>
          <w:kern w:val="24"/>
          <w:szCs w:val="24"/>
          <w:u w:val="single"/>
        </w:rPr>
        <w:t xml:space="preserve">the analysis of the altered building or altered story shall include the effects of pre-existing horizontal out-of-plumbness in excess of 1 percent in the existing structural system. The initial out-of-plumbness shall be reported in accordance with Section 704 as appropriate and be evaluated to ensure the existing building is capable to sustain it prior to the alteration design. The pre-existing horizontal out-of-plumbness values shall be analyzed for their effect on the altered lateral system and their effects shall be additive to the drifts and forces due to wind and earthquake loading </w:t>
      </w:r>
      <w:r w:rsidRPr="001B7F77">
        <w:rPr>
          <w:szCs w:val="24"/>
          <w:u w:val="single"/>
        </w:rPr>
        <w:t>calculated in accordance with Section 705</w:t>
      </w:r>
      <w:r w:rsidRPr="001B7F77">
        <w:rPr>
          <w:rFonts w:eastAsia="Cambria Math"/>
          <w:kern w:val="24"/>
          <w:szCs w:val="24"/>
          <w:u w:val="single"/>
        </w:rPr>
        <w:t>. Out of plumbness for each floor shall be measured from the floor elevations above and below to the most out-of-plumb location in the floor.</w:t>
      </w:r>
    </w:p>
    <w:p w14:paraId="1EC8A58E" w14:textId="77777777" w:rsidR="001B7F77" w:rsidRPr="001B7F77" w:rsidRDefault="001B7F77" w:rsidP="001B7F77">
      <w:pPr>
        <w:widowControl w:val="0"/>
        <w:spacing w:before="120"/>
        <w:ind w:left="360"/>
        <w:rPr>
          <w:rFonts w:eastAsia="Cambria Math"/>
          <w:kern w:val="24"/>
          <w:szCs w:val="24"/>
          <w:u w:val="single"/>
        </w:rPr>
      </w:pPr>
      <w:r w:rsidRPr="001B7F77">
        <w:rPr>
          <w:rFonts w:eastAsia="Cambria Math"/>
          <w:b/>
          <w:bCs/>
          <w:kern w:val="24"/>
          <w:szCs w:val="24"/>
          <w:u w:val="single"/>
        </w:rPr>
        <w:t xml:space="preserve">703.5.3 Structural alterations of unreinforced masonry </w:t>
      </w:r>
      <w:r w:rsidRPr="001B7F77">
        <w:rPr>
          <w:rFonts w:eastAsia="Cambria Math"/>
          <w:b/>
          <w:kern w:val="24"/>
          <w:szCs w:val="24"/>
          <w:u w:val="single"/>
        </w:rPr>
        <w:t xml:space="preserve">buildings with wood-framed floors constructed prior to 1903. </w:t>
      </w:r>
      <w:r w:rsidRPr="001B7F77">
        <w:rPr>
          <w:rFonts w:eastAsia="Cambria Math"/>
          <w:bCs/>
          <w:kern w:val="24"/>
          <w:szCs w:val="24"/>
          <w:u w:val="single"/>
        </w:rPr>
        <w:t xml:space="preserve">Structural alterations of unreinforced masonry </w:t>
      </w:r>
      <w:r w:rsidRPr="001B7F77">
        <w:rPr>
          <w:rFonts w:eastAsia="Cambria Math"/>
          <w:kern w:val="24"/>
          <w:szCs w:val="24"/>
          <w:u w:val="single"/>
        </w:rPr>
        <w:t>buildings with wood-framed floors constructed prior to 1903 shall comply with Sections 703.5.3.1 through 703.5.3.6:</w:t>
      </w:r>
    </w:p>
    <w:p w14:paraId="1283FB46" w14:textId="77777777" w:rsidR="001B7F77" w:rsidRPr="001B7F77" w:rsidRDefault="001B7F77" w:rsidP="001B7F77">
      <w:pPr>
        <w:widowControl w:val="0"/>
        <w:spacing w:before="120"/>
        <w:ind w:left="720"/>
        <w:rPr>
          <w:rFonts w:eastAsia="Cambria Math"/>
          <w:kern w:val="24"/>
          <w:szCs w:val="24"/>
          <w:u w:val="single"/>
        </w:rPr>
      </w:pPr>
      <w:r w:rsidRPr="001B7F77">
        <w:rPr>
          <w:rFonts w:eastAsia="Cambria Math"/>
          <w:b/>
          <w:bCs/>
          <w:kern w:val="24"/>
          <w:szCs w:val="24"/>
          <w:u w:val="single"/>
        </w:rPr>
        <w:t>703.5.3.1 Reduction to in-plane stiffness.</w:t>
      </w:r>
      <w:r w:rsidRPr="001B7F77">
        <w:rPr>
          <w:rFonts w:eastAsia="Cambria Math"/>
          <w:kern w:val="24"/>
          <w:szCs w:val="24"/>
          <w:u w:val="single"/>
        </w:rPr>
        <w:t xml:space="preserve"> Where a perimeter wall of a building is altered such that its in-plane stiffness is reduced by more than 30 percent, the building’s lateral system shall be made to resist a load of 20 psf in any direction. This notional 20 psf load shall be used in allowable load combinations in lieu of the earthquake and wind with a multiplier of 1 and should not be considered applied simultaneously on parallel walls. </w:t>
      </w:r>
    </w:p>
    <w:p w14:paraId="6C4B793B" w14:textId="77777777" w:rsidR="001B7F77" w:rsidRPr="001B7F77" w:rsidRDefault="001B7F77" w:rsidP="001B7F77">
      <w:pPr>
        <w:widowControl w:val="0"/>
        <w:spacing w:before="120"/>
        <w:ind w:left="720"/>
        <w:rPr>
          <w:rFonts w:eastAsia="Cambria Math"/>
          <w:kern w:val="24"/>
          <w:szCs w:val="24"/>
          <w:u w:val="single"/>
        </w:rPr>
      </w:pPr>
      <w:r w:rsidRPr="001B7F77">
        <w:rPr>
          <w:rFonts w:eastAsia="Cambria Math"/>
          <w:b/>
          <w:bCs/>
          <w:szCs w:val="24"/>
          <w:u w:val="single"/>
        </w:rPr>
        <w:t>703.5.3.2 Walls.</w:t>
      </w:r>
      <w:r w:rsidRPr="001B7F77">
        <w:rPr>
          <w:rFonts w:eastAsia="Cambria Math"/>
          <w:kern w:val="24"/>
          <w:szCs w:val="24"/>
          <w:u w:val="single"/>
        </w:rPr>
        <w:t xml:space="preserve"> Where the front or rear walls, or side walls fronting the public right of way, of a building are altered resulting in a final ratio of total horizontal length of opening area to total horizontal length of 50 percent or greater at any floor, the building’s lateral system shall be made to resist a load of 20 psf in any direction. This notional 20 psf load shall be used in allowable load combinations in lieu of the earthquake and wind with a multiplier of 1 and should not be considered applied simultaneously on parallel walls. </w:t>
      </w:r>
    </w:p>
    <w:p w14:paraId="2676AD3E" w14:textId="77777777" w:rsidR="001B7F77" w:rsidRPr="001B7F77" w:rsidRDefault="001B7F77" w:rsidP="001B7F77">
      <w:pPr>
        <w:widowControl w:val="0"/>
        <w:spacing w:before="120"/>
        <w:ind w:left="720"/>
        <w:rPr>
          <w:rFonts w:eastAsia="Cambria Math"/>
          <w:kern w:val="24"/>
          <w:szCs w:val="24"/>
          <w:u w:val="single"/>
        </w:rPr>
      </w:pPr>
      <w:r w:rsidRPr="001B7F77">
        <w:rPr>
          <w:rFonts w:eastAsia="Cambria Math"/>
          <w:b/>
          <w:bCs/>
          <w:kern w:val="24"/>
          <w:szCs w:val="24"/>
          <w:u w:val="single"/>
        </w:rPr>
        <w:t>703.5.3.3 Calculations.</w:t>
      </w:r>
      <w:r w:rsidRPr="001B7F77">
        <w:rPr>
          <w:rFonts w:eastAsia="Cambria Math"/>
          <w:kern w:val="24"/>
          <w:szCs w:val="24"/>
          <w:u w:val="single"/>
        </w:rPr>
        <w:t xml:space="preserve"> For purposes of calculating reduction of lateral strength or stiffness of an existing building only, all existing bearing and non-bearing, interior or exterior, partitions shall be considered as part of the structure of the building. Where an interior wood stud or masonry or terra cotta cross wall of a building is removed, the building’s lateral system shall be reinforced with a structural system equivalent in stiffness and strength capacity to that of the removed wall calculated using the methods indicated in ASCE 41.</w:t>
      </w:r>
    </w:p>
    <w:p w14:paraId="31E0F113" w14:textId="77777777" w:rsidR="001B7F77" w:rsidRPr="001B7F77" w:rsidRDefault="001B7F77" w:rsidP="001B7F77">
      <w:pPr>
        <w:widowControl w:val="0"/>
        <w:spacing w:before="120"/>
        <w:ind w:left="720"/>
        <w:rPr>
          <w:rFonts w:eastAsia="Cambria Math"/>
          <w:kern w:val="24"/>
          <w:szCs w:val="24"/>
          <w:u w:val="single"/>
        </w:rPr>
      </w:pPr>
      <w:r w:rsidRPr="001B7F77">
        <w:rPr>
          <w:rFonts w:eastAsia="Cambria Math"/>
          <w:b/>
          <w:bCs/>
          <w:kern w:val="24"/>
          <w:szCs w:val="24"/>
          <w:u w:val="single"/>
        </w:rPr>
        <w:t>703.5.3.4 Floor-to-floor heights.</w:t>
      </w:r>
      <w:r w:rsidRPr="001B7F77">
        <w:rPr>
          <w:rFonts w:eastAsia="Cambria Math"/>
          <w:kern w:val="24"/>
          <w:szCs w:val="24"/>
          <w:u w:val="single"/>
        </w:rPr>
        <w:t xml:space="preserve"> Where the floor-to-floor heights of a building are increased as a result of an alteration such that the ratio of floor height to wall thickness exceeds 10, such walls shall be evaluated in accordance with TMS 402 including the effect of a 20 psf (LRFD) out-of-plane environmental load. </w:t>
      </w:r>
    </w:p>
    <w:p w14:paraId="1D8D3FAB" w14:textId="77777777" w:rsidR="001B7F77" w:rsidRPr="001B7F77" w:rsidRDefault="001B7F77" w:rsidP="001B7F77">
      <w:pPr>
        <w:widowControl w:val="0"/>
        <w:spacing w:before="120"/>
        <w:ind w:left="720"/>
        <w:rPr>
          <w:rFonts w:eastAsia="Cambria Math"/>
          <w:kern w:val="24"/>
          <w:szCs w:val="24"/>
          <w:u w:val="single"/>
        </w:rPr>
      </w:pPr>
      <w:r w:rsidRPr="001B7F77">
        <w:rPr>
          <w:rFonts w:eastAsia="Cambria Math"/>
          <w:b/>
          <w:bCs/>
          <w:kern w:val="24"/>
          <w:szCs w:val="24"/>
          <w:u w:val="single"/>
        </w:rPr>
        <w:t>703.5.3.5 Verification of connections.</w:t>
      </w:r>
      <w:r w:rsidRPr="001B7F77">
        <w:rPr>
          <w:rFonts w:eastAsia="Cambria Math"/>
          <w:kern w:val="24"/>
          <w:szCs w:val="24"/>
          <w:u w:val="single"/>
        </w:rPr>
        <w:t xml:space="preserve"> Where any of the provisions of Sections 703.5.3.1 through 703.5.3.4 are triggered, it shall be verified that there are connections of the floor and roof framing to the posts and surrounding walls, including to the unreinforced masonry walls parallel to joists. Where no connections are present, connections shall be installed to provide a tensile capacity of 200 plf.</w:t>
      </w:r>
    </w:p>
    <w:p w14:paraId="4ED04DD3" w14:textId="77777777" w:rsidR="001B7F77" w:rsidRPr="001B7F77" w:rsidRDefault="001B7F77" w:rsidP="001B7F77">
      <w:pPr>
        <w:suppressAutoHyphens/>
        <w:spacing w:before="120"/>
        <w:ind w:left="720"/>
        <w:rPr>
          <w:rFonts w:eastAsia="Cambria Math"/>
          <w:kern w:val="24"/>
          <w:u w:val="single"/>
        </w:rPr>
      </w:pPr>
      <w:r w:rsidRPr="001B7F77">
        <w:rPr>
          <w:rFonts w:eastAsia="Cambria Math"/>
          <w:b/>
          <w:bCs/>
          <w:kern w:val="24"/>
          <w:u w:val="single"/>
        </w:rPr>
        <w:t>703.5.3.6 Exposed walls.</w:t>
      </w:r>
      <w:r w:rsidRPr="001B7F77">
        <w:rPr>
          <w:rFonts w:eastAsia="Cambria Math"/>
          <w:kern w:val="24"/>
          <w:u w:val="single"/>
        </w:rPr>
        <w:t xml:space="preserve"> The review of the structural stability of any exposed wall, including party walls after the neighboring structure has been removed, shall consider the engagement of perpendicular elements such as walls, floors and roofs. If the attachment of perpendicular elements is not anchored, connections shall be provided as required in Section 703.5.3.5.</w:t>
      </w:r>
    </w:p>
    <w:p w14:paraId="2846752A" w14:textId="77777777" w:rsidR="001B7F77" w:rsidRPr="001B7F77" w:rsidRDefault="001B7F77" w:rsidP="001B7F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spacing w:before="120"/>
        <w:rPr>
          <w:u w:val="single"/>
        </w:rPr>
      </w:pPr>
      <w:r w:rsidRPr="001B7F77">
        <w:rPr>
          <w:rFonts w:eastAsia="Times"/>
          <w:b/>
          <w:u w:val="single"/>
        </w:rPr>
        <w:t>703.6 Exceptions from detailing requirements</w:t>
      </w:r>
      <w:r w:rsidRPr="001B7F77">
        <w:rPr>
          <w:rFonts w:eastAsia="Times"/>
          <w:u w:val="single"/>
        </w:rPr>
        <w:t xml:space="preserve">. </w:t>
      </w:r>
      <w:r w:rsidRPr="001B7F77">
        <w:rPr>
          <w:u w:val="single"/>
        </w:rPr>
        <w:t>Exceptions from detailing requirements are permitted as allowed by Sections 703.6.1 and 703.6.2. Drawings shall include a statement as to non-compliant elements.</w:t>
      </w:r>
    </w:p>
    <w:p w14:paraId="32099A1C" w14:textId="77777777" w:rsidR="001B7F77" w:rsidRPr="001B7F77" w:rsidRDefault="001B7F77" w:rsidP="001B7F77">
      <w:pPr>
        <w:suppressAutoHyphens/>
        <w:spacing w:before="120"/>
        <w:ind w:left="360"/>
        <w:rPr>
          <w:u w:val="single"/>
        </w:rPr>
      </w:pPr>
      <w:r w:rsidRPr="001B7F77">
        <w:rPr>
          <w:b/>
          <w:bCs/>
          <w:u w:val="single"/>
        </w:rPr>
        <w:t>703.6.1 Exception from continuity detailing requirements</w:t>
      </w:r>
      <w:r w:rsidRPr="001B7F77">
        <w:rPr>
          <w:u w:val="single"/>
        </w:rPr>
        <w:t xml:space="preserve">. Notwithstanding the requirements of Sections 703.2 and 703.3, existing structural elements need not comply with the continuity detailing requirements of the </w:t>
      </w:r>
      <w:r w:rsidRPr="001B7F77">
        <w:rPr>
          <w:i/>
          <w:iCs/>
          <w:u w:val="single"/>
        </w:rPr>
        <w:t>New York City Building Code</w:t>
      </w:r>
      <w:r w:rsidRPr="001B7F77">
        <w:rPr>
          <w:u w:val="single"/>
        </w:rPr>
        <w:t xml:space="preserve"> unless required by Section 708 of this code. </w:t>
      </w:r>
    </w:p>
    <w:p w14:paraId="3569F372" w14:textId="77777777" w:rsidR="001B7F77" w:rsidRPr="001B7F77" w:rsidRDefault="001B7F77" w:rsidP="001B7F77">
      <w:pPr>
        <w:suppressAutoHyphens/>
        <w:spacing w:before="120"/>
        <w:ind w:left="360"/>
        <w:rPr>
          <w:u w:val="single"/>
        </w:rPr>
      </w:pPr>
      <w:r w:rsidRPr="001B7F77">
        <w:rPr>
          <w:b/>
          <w:bCs/>
          <w:u w:val="single"/>
        </w:rPr>
        <w:t>703.6.2 Exception from seismic detailing requirements</w:t>
      </w:r>
      <w:r w:rsidRPr="001B7F77">
        <w:rPr>
          <w:u w:val="single"/>
        </w:rPr>
        <w:t xml:space="preserve">. Notwithstanding the requirements of Sections 703.2 and 703.3, existing structural elements need not comply with the seismic detailing requirements of the </w:t>
      </w:r>
      <w:r w:rsidRPr="001B7F77">
        <w:rPr>
          <w:i/>
          <w:iCs/>
          <w:u w:val="single"/>
        </w:rPr>
        <w:t>New York City Building Code</w:t>
      </w:r>
      <w:r w:rsidRPr="001B7F77">
        <w:rPr>
          <w:u w:val="single"/>
        </w:rPr>
        <w:t xml:space="preserve"> unless required by Section 708 of this code.</w:t>
      </w:r>
    </w:p>
    <w:p w14:paraId="3CAD3CFF" w14:textId="77777777" w:rsidR="001B7F77" w:rsidRPr="001B7F77" w:rsidRDefault="001B7F77" w:rsidP="001B7F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spacing w:before="120"/>
        <w:rPr>
          <w:rFonts w:eastAsia="Times"/>
          <w:u w:val="single"/>
        </w:rPr>
      </w:pPr>
      <w:r w:rsidRPr="001B7F77">
        <w:rPr>
          <w:b/>
          <w:u w:val="single"/>
        </w:rPr>
        <w:t>703.7 Seismic separation requirements</w:t>
      </w:r>
      <w:r w:rsidRPr="001B7F77">
        <w:rPr>
          <w:bCs/>
          <w:u w:val="single"/>
        </w:rPr>
        <w:t>. </w:t>
      </w:r>
      <w:r w:rsidRPr="001B7F77">
        <w:rPr>
          <w:u w:val="single"/>
        </w:rPr>
        <w:t xml:space="preserve">For altered buildings </w:t>
      </w:r>
      <w:r w:rsidRPr="001B7F77">
        <w:rPr>
          <w:rFonts w:eastAsia="Times"/>
          <w:u w:val="single"/>
        </w:rPr>
        <w:t>that</w:t>
      </w:r>
      <w:r w:rsidRPr="001B7F77">
        <w:rPr>
          <w:u w:val="single"/>
        </w:rPr>
        <w:t xml:space="preserve"> must comply with Section 703.2 or 703.3 and are adjacent to or sharing unreinforced masonry walls, the structural requirements for seismic</w:t>
      </w:r>
      <w:r w:rsidRPr="001B7F77">
        <w:t xml:space="preserve"> </w:t>
      </w:r>
      <w:r w:rsidRPr="001B7F77">
        <w:rPr>
          <w:rFonts w:eastAsia="Times"/>
          <w:u w:val="single"/>
        </w:rPr>
        <w:t>separation between the altered and existing structures shall be as follows:</w:t>
      </w:r>
    </w:p>
    <w:p w14:paraId="5D09E1A5" w14:textId="77777777" w:rsidR="001B7F77" w:rsidRPr="001B7F77" w:rsidRDefault="001B7F77" w:rsidP="001B7F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spacing w:before="120"/>
        <w:ind w:left="720" w:hanging="360"/>
        <w:rPr>
          <w:rFonts w:eastAsia="Times"/>
          <w:u w:val="single"/>
        </w:rPr>
      </w:pPr>
      <w:r w:rsidRPr="001B7F77">
        <w:rPr>
          <w:rFonts w:eastAsia="Times"/>
          <w:u w:val="single"/>
        </w:rPr>
        <w:t>1.</w:t>
      </w:r>
      <w:r w:rsidRPr="001B7F77">
        <w:rPr>
          <w:rFonts w:eastAsia="Times"/>
          <w:u w:val="single"/>
        </w:rPr>
        <w:tab/>
        <w:t xml:space="preserve">For alterations erected adjacent to lot line unshared unreinforced masonry bearing walls, the structural separation shall comply with Section 1613.4.1 of the </w:t>
      </w:r>
      <w:r w:rsidRPr="001B7F77">
        <w:rPr>
          <w:rFonts w:eastAsia="Times"/>
          <w:i/>
          <w:iCs/>
          <w:u w:val="single"/>
        </w:rPr>
        <w:t>New York City Building Code</w:t>
      </w:r>
      <w:r w:rsidRPr="001B7F77">
        <w:rPr>
          <w:rFonts w:eastAsia="Times"/>
          <w:u w:val="single"/>
        </w:rPr>
        <w:t>, except that existing lot line unshared masonry walls that are otherwise allowed to remain need not be demolished to provide for seismic separation.</w:t>
      </w:r>
    </w:p>
    <w:p w14:paraId="5F225D11" w14:textId="77777777" w:rsidR="001B7F77" w:rsidRPr="001B7F77" w:rsidRDefault="001B7F77" w:rsidP="001B7F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spacing w:before="120"/>
        <w:ind w:left="720" w:hanging="360"/>
        <w:rPr>
          <w:rFonts w:eastAsia="Times"/>
          <w:u w:val="single"/>
        </w:rPr>
      </w:pPr>
      <w:r w:rsidRPr="001B7F77">
        <w:rPr>
          <w:rFonts w:eastAsia="Times"/>
          <w:u w:val="single"/>
        </w:rPr>
        <w:t xml:space="preserve">2. </w:t>
      </w:r>
      <w:r w:rsidRPr="001B7F77">
        <w:rPr>
          <w:rFonts w:eastAsia="Times"/>
          <w:u w:val="single"/>
        </w:rPr>
        <w:tab/>
        <w:t>Where an existing building shares an unreinforced masonry party wall, there shall be no building separation between the altered and existing structure. The entire altered structure shall be designed to include an additional seismic load to account for the support of the party wall with connections capable of carrying a service (ASD) horizonal tension or compression load of 200 plf applied along each floor level, or a service (ASD) or 20 psf area load applied onto the party wall, whichever is larger. The connections shall be at the level of the floors of the adjoining building and shall not be set a distance larger than 8ft horizontally. Where floors do not exist, the distance between connections shall not exceed 15 ft vertically.</w:t>
      </w:r>
      <w:r w:rsidRPr="001B7F77">
        <w:rPr>
          <w:rFonts w:eastAsia="Times"/>
          <w:b/>
          <w:bCs/>
          <w:u w:val="single"/>
        </w:rPr>
        <w:t xml:space="preserve"> </w:t>
      </w:r>
    </w:p>
    <w:p w14:paraId="4459451E" w14:textId="77777777" w:rsidR="001B7F77" w:rsidRPr="001B7F77" w:rsidRDefault="001B7F77" w:rsidP="001B7F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spacing w:before="120"/>
        <w:ind w:left="720" w:hanging="360"/>
        <w:rPr>
          <w:rFonts w:eastAsia="Times"/>
          <w:u w:val="single"/>
        </w:rPr>
      </w:pPr>
      <w:r w:rsidRPr="001B7F77">
        <w:rPr>
          <w:rFonts w:eastAsia="Times"/>
          <w:u w:val="single"/>
        </w:rPr>
        <w:t>3.</w:t>
      </w:r>
      <w:r w:rsidRPr="001B7F77">
        <w:rPr>
          <w:rFonts w:eastAsia="Times"/>
          <w:u w:val="single"/>
        </w:rPr>
        <w:tab/>
        <w:t>No structural separation is required where:</w:t>
      </w:r>
    </w:p>
    <w:p w14:paraId="2FBD77FA" w14:textId="77777777" w:rsidR="001B7F77" w:rsidRPr="001B7F77" w:rsidRDefault="001B7F77" w:rsidP="001B7F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spacing w:before="120"/>
        <w:ind w:left="1260" w:hanging="540"/>
        <w:rPr>
          <w:rFonts w:eastAsia="Times"/>
          <w:u w:val="single"/>
        </w:rPr>
      </w:pPr>
      <w:r w:rsidRPr="001B7F77">
        <w:rPr>
          <w:rFonts w:eastAsia="Times"/>
          <w:u w:val="single"/>
        </w:rPr>
        <w:t>3.1.</w:t>
      </w:r>
      <w:r w:rsidRPr="001B7F77">
        <w:rPr>
          <w:rFonts w:eastAsia="Times"/>
          <w:u w:val="single"/>
        </w:rPr>
        <w:tab/>
        <w:t>The neighboring structures are capable of transferring forces resulting from impact through diaphragms located at the same elevation.</w:t>
      </w:r>
    </w:p>
    <w:p w14:paraId="12B070C3" w14:textId="77777777" w:rsidR="001B7F77" w:rsidRPr="001B7F77" w:rsidRDefault="001B7F77" w:rsidP="001B7F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spacing w:before="120"/>
        <w:ind w:left="1260" w:hanging="540"/>
        <w:rPr>
          <w:rFonts w:eastAsia="Times"/>
          <w:u w:val="single"/>
        </w:rPr>
      </w:pPr>
      <w:r w:rsidRPr="001B7F77">
        <w:rPr>
          <w:rFonts w:eastAsia="Times"/>
          <w:u w:val="single"/>
        </w:rPr>
        <w:t>3.2.</w:t>
      </w:r>
      <w:r w:rsidRPr="001B7F77">
        <w:rPr>
          <w:rFonts w:eastAsia="Times"/>
          <w:u w:val="single"/>
        </w:rPr>
        <w:tab/>
        <w:t>The structures are capable of resisting all required vertical and lateral forces considering the loss of any elements or components damaged by impact of the structures.</w:t>
      </w:r>
    </w:p>
    <w:p w14:paraId="15E2B27F" w14:textId="77777777" w:rsidR="001B7F77" w:rsidRPr="001B7F77" w:rsidRDefault="001B7F77" w:rsidP="001B7F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spacing w:before="120"/>
        <w:ind w:left="1260" w:hanging="540"/>
        <w:rPr>
          <w:rFonts w:eastAsia="Times"/>
          <w:u w:val="single"/>
        </w:rPr>
      </w:pPr>
      <w:r w:rsidRPr="001B7F77">
        <w:rPr>
          <w:rFonts w:eastAsia="Times"/>
          <w:u w:val="single"/>
        </w:rPr>
        <w:t>3.3.</w:t>
      </w:r>
      <w:r w:rsidRPr="001B7F77">
        <w:rPr>
          <w:rFonts w:eastAsia="Times"/>
          <w:u w:val="single"/>
        </w:rPr>
        <w:tab/>
        <w:t xml:space="preserve">An altered building, including its extension, is not required by this code to comply with seismic design. </w:t>
      </w:r>
    </w:p>
    <w:p w14:paraId="34E67AD1" w14:textId="77777777" w:rsidR="001B7F77" w:rsidRPr="001B7F77" w:rsidRDefault="001B7F77" w:rsidP="001B7F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spacing w:before="120"/>
        <w:ind w:left="1260" w:hanging="540"/>
        <w:rPr>
          <w:rFonts w:eastAsia="Times"/>
          <w:u w:val="single"/>
        </w:rPr>
      </w:pPr>
      <w:r w:rsidRPr="001B7F77">
        <w:rPr>
          <w:rFonts w:eastAsia="Times"/>
          <w:u w:val="single"/>
        </w:rPr>
        <w:t>3.4.</w:t>
      </w:r>
      <w:r w:rsidRPr="001B7F77">
        <w:rPr>
          <w:rFonts w:eastAsia="Times"/>
          <w:u w:val="single"/>
        </w:rPr>
        <w:tab/>
        <w:t>A party wall is shared by buildings less than 3 stories regardless of whether the design is governed by seismic demands.</w:t>
      </w:r>
    </w:p>
    <w:p w14:paraId="0902851D" w14:textId="77777777" w:rsidR="001B7F77" w:rsidRPr="001B7F77" w:rsidRDefault="001B7F77" w:rsidP="001B7F77">
      <w:pPr>
        <w:widowControl w:val="0"/>
        <w:suppressAutoHyphens/>
        <w:spacing w:before="120"/>
        <w:jc w:val="center"/>
        <w:outlineLvl w:val="0"/>
        <w:rPr>
          <w:rFonts w:eastAsia="Times"/>
          <w:b/>
          <w:bCs/>
          <w:color w:val="000000"/>
          <w:u w:val="single"/>
        </w:rPr>
      </w:pPr>
    </w:p>
    <w:p w14:paraId="40B94D34" w14:textId="77777777" w:rsidR="001B7F77" w:rsidRPr="001B7F77" w:rsidRDefault="001B7F77" w:rsidP="001B7F77">
      <w:pPr>
        <w:widowControl w:val="0"/>
        <w:suppressAutoHyphens/>
        <w:spacing w:before="120"/>
        <w:jc w:val="center"/>
        <w:outlineLvl w:val="0"/>
        <w:rPr>
          <w:rFonts w:eastAsia="Times"/>
          <w:b/>
          <w:bCs/>
          <w:color w:val="000000"/>
          <w:u w:val="single"/>
        </w:rPr>
      </w:pPr>
      <w:r w:rsidRPr="001B7F77">
        <w:rPr>
          <w:rFonts w:eastAsia="Times"/>
          <w:b/>
          <w:bCs/>
          <w:color w:val="000000"/>
          <w:u w:val="single"/>
        </w:rPr>
        <w:t>SECTION EBC 704</w:t>
      </w:r>
      <w:r w:rsidRPr="001B7F77">
        <w:rPr>
          <w:rFonts w:eastAsia="Times"/>
          <w:b/>
          <w:bCs/>
          <w:color w:val="000000"/>
          <w:u w:val="single"/>
        </w:rPr>
        <w:br/>
        <w:t>CONDITION ASSESSMENT</w:t>
      </w:r>
    </w:p>
    <w:p w14:paraId="1FD3890D" w14:textId="77777777" w:rsidR="001B7F77" w:rsidRPr="001B7F77" w:rsidRDefault="001B7F77" w:rsidP="001B7F77">
      <w:pPr>
        <w:shd w:val="clear" w:color="auto" w:fill="FFFFFF"/>
        <w:suppressAutoHyphens/>
        <w:spacing w:before="120"/>
        <w:rPr>
          <w:rFonts w:eastAsia="Times"/>
          <w:u w:val="single"/>
        </w:rPr>
      </w:pPr>
      <w:r w:rsidRPr="001B7F77">
        <w:rPr>
          <w:rFonts w:eastAsia="Times"/>
          <w:b/>
          <w:u w:val="single"/>
        </w:rPr>
        <w:t>704.1 General.</w:t>
      </w:r>
      <w:r w:rsidRPr="001B7F77">
        <w:rPr>
          <w:rFonts w:eastAsia="Times"/>
          <w:u w:val="single"/>
        </w:rPr>
        <w:t xml:space="preserve"> Condition assessments shall be performed in accordance with Section 704 for all structural alterations.</w:t>
      </w:r>
    </w:p>
    <w:p w14:paraId="113D844D" w14:textId="77777777" w:rsidR="001B7F77" w:rsidRPr="001B7F77" w:rsidRDefault="001B7F77" w:rsidP="001B7F77">
      <w:pPr>
        <w:shd w:val="clear" w:color="auto" w:fill="FFFFFF"/>
        <w:suppressAutoHyphens/>
        <w:spacing w:before="120"/>
        <w:ind w:left="360"/>
        <w:rPr>
          <w:rFonts w:eastAsia="Times"/>
          <w:u w:val="single"/>
        </w:rPr>
      </w:pPr>
      <w:r w:rsidRPr="001B7F77">
        <w:rPr>
          <w:rFonts w:eastAsia="Times"/>
          <w:b/>
          <w:u w:val="single"/>
        </w:rPr>
        <w:t xml:space="preserve">704.1.1 </w:t>
      </w:r>
      <w:r w:rsidRPr="001B7F77">
        <w:rPr>
          <w:rFonts w:eastAsia="Times"/>
          <w:b/>
          <w:bCs/>
          <w:u w:val="single"/>
        </w:rPr>
        <w:t>Area of structural condition assessment.</w:t>
      </w:r>
      <w:r w:rsidRPr="001B7F77">
        <w:rPr>
          <w:rFonts w:eastAsia="Times"/>
          <w:u w:val="single"/>
        </w:rPr>
        <w:t xml:space="preserve"> The condition assessment shall include the area where structural work is being performed and all structural elements that may be affected by the alteration as required by Section 703.</w:t>
      </w:r>
    </w:p>
    <w:p w14:paraId="000949E1" w14:textId="77777777" w:rsidR="001B7F77" w:rsidRPr="001B7F77" w:rsidRDefault="001B7F77" w:rsidP="001B7F77">
      <w:pPr>
        <w:shd w:val="clear" w:color="auto" w:fill="FFFFFF"/>
        <w:suppressAutoHyphens/>
        <w:spacing w:before="120"/>
        <w:ind w:left="360"/>
        <w:rPr>
          <w:rFonts w:eastAsia="Times"/>
          <w:u w:val="single"/>
        </w:rPr>
      </w:pPr>
      <w:r w:rsidRPr="001B7F77">
        <w:rPr>
          <w:rFonts w:eastAsia="Times"/>
          <w:b/>
          <w:bCs/>
          <w:u w:val="single"/>
        </w:rPr>
        <w:t>704.1.2 Visual assessment.</w:t>
      </w:r>
      <w:r w:rsidRPr="001B7F77">
        <w:rPr>
          <w:rFonts w:eastAsia="Times"/>
          <w:u w:val="single"/>
        </w:rPr>
        <w:t xml:space="preserve"> For all buildings 7 stories or less, a visual assessment from the exterior of the building shall be performed. Such visual assessment may be performed from the adjacent ground and need not require the use of magnifying devices. </w:t>
      </w:r>
    </w:p>
    <w:p w14:paraId="7F63F049" w14:textId="77777777" w:rsidR="001B7F77" w:rsidRPr="001B7F77" w:rsidRDefault="001B7F77" w:rsidP="001B7F77">
      <w:pPr>
        <w:shd w:val="clear" w:color="auto" w:fill="FFFFFF"/>
        <w:suppressAutoHyphens/>
        <w:spacing w:before="120"/>
        <w:rPr>
          <w:rFonts w:eastAsia="Times"/>
          <w:u w:val="single"/>
        </w:rPr>
      </w:pPr>
      <w:r w:rsidRPr="001B7F77">
        <w:rPr>
          <w:rFonts w:eastAsia="Times"/>
          <w:b/>
          <w:u w:val="single"/>
        </w:rPr>
        <w:t xml:space="preserve">704.2 Structural alterations requiring data collection and an initial condition assessment. </w:t>
      </w:r>
      <w:r w:rsidRPr="001B7F77">
        <w:rPr>
          <w:rFonts w:eastAsia="Times"/>
          <w:u w:val="single"/>
        </w:rPr>
        <w:t>An initial structural condition assessment shall be performed for all structural alterations, where an increase in the demand capacity ratio is introduced to an existing structure, or where required by Sections 907.2, 1007.2 or 1103.3, by the registered design professional of record prior to the submission of the application for construction document approval. During the initial structural condition assessment, the registered design professional of record shall collect and verify accessible data needed for performing the design.</w:t>
      </w:r>
    </w:p>
    <w:p w14:paraId="38061F86" w14:textId="77777777" w:rsidR="001B7F77" w:rsidRPr="001B7F77" w:rsidRDefault="001B7F77" w:rsidP="001B7F77">
      <w:pPr>
        <w:shd w:val="clear" w:color="auto" w:fill="FFFFFF"/>
        <w:suppressAutoHyphens/>
        <w:spacing w:before="120"/>
        <w:ind w:left="360"/>
        <w:rPr>
          <w:rFonts w:eastAsia="Times"/>
          <w:u w:val="single"/>
        </w:rPr>
      </w:pPr>
      <w:r w:rsidRPr="001B7F77">
        <w:rPr>
          <w:rFonts w:eastAsia="Times"/>
          <w:b/>
          <w:bCs/>
          <w:u w:val="single"/>
        </w:rPr>
        <w:t xml:space="preserve">704.2.1 Data collection and initial structural condition assessment. </w:t>
      </w:r>
      <w:r w:rsidRPr="001B7F77">
        <w:rPr>
          <w:rFonts w:eastAsia="Times"/>
          <w:u w:val="single"/>
        </w:rPr>
        <w:t>The initial structural condition assessment shall cover the readily accessible and visible portions of the area of structural assessment specified in Section 704.1.1. The registered design professional of record shall identify the existing elements and verify if the available information sufficiently describes the existing structure and shall supplement such information with accessible observations. The initial structural condition assessment shall document any deteriorations, deficiencies, or potentially unsafe conditions that may have to be addressed during the development of the application for construction document approval. Where required information for the design is inaccessible, assumptions shall be included on the drawings required by Section 702.2. All assumptions are required to be confirmed during the detailed structural condition assessment required by Section 704.3.</w:t>
      </w:r>
    </w:p>
    <w:p w14:paraId="5DF43AA9" w14:textId="77777777" w:rsidR="001B7F77" w:rsidRPr="001B7F77" w:rsidRDefault="001B7F77" w:rsidP="001B7F77">
      <w:pPr>
        <w:shd w:val="clear" w:color="auto" w:fill="FFFFFF"/>
        <w:suppressAutoHyphens/>
        <w:spacing w:before="120"/>
        <w:ind w:left="360"/>
        <w:rPr>
          <w:rFonts w:eastAsia="Times"/>
          <w:u w:val="single"/>
        </w:rPr>
      </w:pPr>
      <w:r w:rsidRPr="001B7F77">
        <w:rPr>
          <w:rFonts w:eastAsia="Times"/>
          <w:b/>
          <w:bCs/>
          <w:u w:val="single"/>
        </w:rPr>
        <w:t>704.2.2 Initial structural condition assessment.</w:t>
      </w:r>
      <w:r w:rsidRPr="001B7F77">
        <w:rPr>
          <w:rFonts w:eastAsia="Times"/>
          <w:u w:val="single"/>
        </w:rPr>
        <w:t xml:space="preserve"> The registered design professional of record shall produce a document that includes the following at a minimum, as applicable: </w:t>
      </w:r>
    </w:p>
    <w:p w14:paraId="7D7B3D35" w14:textId="77777777" w:rsidR="001B7F77" w:rsidRPr="001B7F77" w:rsidRDefault="001B7F77" w:rsidP="001B7F77">
      <w:pPr>
        <w:shd w:val="clear" w:color="auto" w:fill="FFFFFF"/>
        <w:suppressAutoHyphens/>
        <w:spacing w:before="120"/>
        <w:ind w:left="1080" w:hanging="360"/>
        <w:rPr>
          <w:rFonts w:eastAsia="Times"/>
          <w:u w:val="single"/>
        </w:rPr>
      </w:pPr>
      <w:r w:rsidRPr="001B7F77">
        <w:rPr>
          <w:rFonts w:eastAsia="Times"/>
          <w:u w:val="single"/>
        </w:rPr>
        <w:t>1.</w:t>
      </w:r>
      <w:r w:rsidRPr="001B7F77">
        <w:rPr>
          <w:rFonts w:eastAsia="Times"/>
          <w:u w:val="single"/>
        </w:rPr>
        <w:tab/>
        <w:t>Material types of structural elements and strength.</w:t>
      </w:r>
    </w:p>
    <w:p w14:paraId="7BE815F5" w14:textId="77777777" w:rsidR="001B7F77" w:rsidRPr="001B7F77" w:rsidRDefault="001B7F77" w:rsidP="001B7F77">
      <w:pPr>
        <w:shd w:val="clear" w:color="auto" w:fill="FFFFFF"/>
        <w:suppressAutoHyphens/>
        <w:spacing w:before="120"/>
        <w:ind w:left="1080" w:hanging="360"/>
        <w:rPr>
          <w:rFonts w:eastAsia="Times"/>
          <w:u w:val="single"/>
        </w:rPr>
      </w:pPr>
      <w:r w:rsidRPr="001B7F77">
        <w:rPr>
          <w:rFonts w:eastAsia="Times"/>
          <w:u w:val="single"/>
        </w:rPr>
        <w:t>2.</w:t>
      </w:r>
      <w:r w:rsidRPr="001B7F77">
        <w:rPr>
          <w:rFonts w:eastAsia="Times"/>
          <w:u w:val="single"/>
        </w:rPr>
        <w:tab/>
        <w:t>Size, spacing and geometry of the structural elements within the area of the structural condition assessment.</w:t>
      </w:r>
    </w:p>
    <w:p w14:paraId="119F5403" w14:textId="77777777" w:rsidR="001B7F77" w:rsidRPr="001B7F77" w:rsidRDefault="001B7F77" w:rsidP="001B7F77">
      <w:pPr>
        <w:shd w:val="clear" w:color="auto" w:fill="FFFFFF"/>
        <w:suppressAutoHyphens/>
        <w:spacing w:before="120"/>
        <w:ind w:left="1080" w:hanging="360"/>
        <w:rPr>
          <w:rFonts w:eastAsia="Times"/>
          <w:u w:val="single"/>
        </w:rPr>
      </w:pPr>
      <w:r w:rsidRPr="001B7F77">
        <w:rPr>
          <w:rFonts w:eastAsia="Times"/>
          <w:u w:val="single"/>
        </w:rPr>
        <w:t>3.</w:t>
      </w:r>
      <w:r w:rsidRPr="001B7F77">
        <w:rPr>
          <w:rFonts w:eastAsia="Times"/>
          <w:u w:val="single"/>
        </w:rPr>
        <w:tab/>
        <w:t>Continuity of load paths with observations to the lowest level of the building.</w:t>
      </w:r>
    </w:p>
    <w:p w14:paraId="2866C23F" w14:textId="77777777" w:rsidR="001B7F77" w:rsidRPr="001B7F77" w:rsidRDefault="001B7F77" w:rsidP="001B7F77">
      <w:pPr>
        <w:shd w:val="clear" w:color="auto" w:fill="FFFFFF"/>
        <w:suppressAutoHyphens/>
        <w:spacing w:before="120"/>
        <w:ind w:left="1080" w:hanging="360"/>
        <w:rPr>
          <w:rFonts w:eastAsia="Times"/>
          <w:u w:val="single"/>
        </w:rPr>
      </w:pPr>
      <w:r w:rsidRPr="001B7F77">
        <w:rPr>
          <w:rFonts w:eastAsia="Times"/>
          <w:u w:val="single"/>
        </w:rPr>
        <w:t>4.</w:t>
      </w:r>
      <w:r w:rsidRPr="001B7F77">
        <w:rPr>
          <w:rFonts w:eastAsia="Times"/>
          <w:u w:val="single"/>
        </w:rPr>
        <w:tab/>
        <w:t>The physical condition of the existing primary and secondary structural elements in the load path of the alteration where accessible and visibly observable.</w:t>
      </w:r>
    </w:p>
    <w:p w14:paraId="0936A57C" w14:textId="77777777" w:rsidR="001B7F77" w:rsidRPr="001B7F77" w:rsidRDefault="001B7F77" w:rsidP="001B7F77">
      <w:pPr>
        <w:shd w:val="clear" w:color="auto" w:fill="FFFFFF"/>
        <w:suppressAutoHyphens/>
        <w:spacing w:before="120"/>
        <w:ind w:left="1080" w:hanging="360"/>
        <w:rPr>
          <w:rFonts w:eastAsia="Times"/>
          <w:u w:val="single"/>
        </w:rPr>
      </w:pPr>
      <w:r w:rsidRPr="001B7F77">
        <w:rPr>
          <w:rFonts w:eastAsia="Times"/>
          <w:u w:val="single"/>
        </w:rPr>
        <w:t xml:space="preserve">5. </w:t>
      </w:r>
      <w:r w:rsidRPr="001B7F77">
        <w:rPr>
          <w:rFonts w:eastAsia="Times"/>
          <w:u w:val="single"/>
        </w:rPr>
        <w:tab/>
        <w:t>Any deterioration of structural elements, including but not limited to rot, corrosion, loss of cohesion, displacement and cracking, plumbness, alignment and displacement.</w:t>
      </w:r>
    </w:p>
    <w:p w14:paraId="10773B2D" w14:textId="77777777" w:rsidR="001B7F77" w:rsidRPr="001B7F77" w:rsidRDefault="001B7F77" w:rsidP="001B7F77">
      <w:pPr>
        <w:shd w:val="clear" w:color="auto" w:fill="FFFFFF"/>
        <w:suppressAutoHyphens/>
        <w:spacing w:before="120"/>
        <w:ind w:left="1080" w:hanging="360"/>
        <w:rPr>
          <w:rFonts w:eastAsia="Times"/>
          <w:u w:val="single"/>
        </w:rPr>
      </w:pPr>
      <w:r w:rsidRPr="001B7F77">
        <w:rPr>
          <w:rFonts w:eastAsia="Times"/>
          <w:u w:val="single"/>
        </w:rPr>
        <w:t xml:space="preserve">6. </w:t>
      </w:r>
      <w:r w:rsidRPr="001B7F77">
        <w:rPr>
          <w:rFonts w:eastAsia="Times"/>
          <w:u w:val="single"/>
        </w:rPr>
        <w:tab/>
        <w:t>Signs of moisture infiltration and related damage, or deformations due to possible overloading.</w:t>
      </w:r>
    </w:p>
    <w:p w14:paraId="4925D882" w14:textId="77777777" w:rsidR="001B7F77" w:rsidRPr="001B7F77" w:rsidRDefault="001B7F77" w:rsidP="001B7F77">
      <w:pPr>
        <w:shd w:val="clear" w:color="auto" w:fill="FFFFFF"/>
        <w:suppressAutoHyphens/>
        <w:spacing w:before="120"/>
        <w:ind w:left="1080" w:hanging="360"/>
        <w:rPr>
          <w:rFonts w:eastAsia="Times"/>
          <w:u w:val="single"/>
        </w:rPr>
      </w:pPr>
      <w:r w:rsidRPr="001B7F77">
        <w:rPr>
          <w:rFonts w:eastAsia="Times"/>
          <w:u w:val="single"/>
        </w:rPr>
        <w:t xml:space="preserve">7. </w:t>
      </w:r>
      <w:r w:rsidRPr="001B7F77">
        <w:rPr>
          <w:rFonts w:eastAsia="Times"/>
          <w:u w:val="single"/>
        </w:rPr>
        <w:tab/>
        <w:t>Presence of bowing; or building lean or deflections in excess of 1 percent.</w:t>
      </w:r>
    </w:p>
    <w:p w14:paraId="4BEFBEAE" w14:textId="77777777" w:rsidR="001B7F77" w:rsidRPr="001B7F77" w:rsidRDefault="001B7F77" w:rsidP="001B7F77">
      <w:pPr>
        <w:shd w:val="clear" w:color="auto" w:fill="FFFFFF"/>
        <w:suppressAutoHyphens/>
        <w:spacing w:before="120"/>
        <w:ind w:left="1080" w:hanging="360"/>
        <w:rPr>
          <w:rFonts w:eastAsia="Times"/>
          <w:u w:val="single"/>
        </w:rPr>
      </w:pPr>
      <w:r w:rsidRPr="001B7F77">
        <w:rPr>
          <w:rFonts w:eastAsia="Times"/>
          <w:u w:val="single"/>
        </w:rPr>
        <w:t xml:space="preserve">8. </w:t>
      </w:r>
      <w:r w:rsidRPr="001B7F77">
        <w:rPr>
          <w:rFonts w:eastAsia="Times"/>
          <w:u w:val="single"/>
        </w:rPr>
        <w:tab/>
        <w:t>Elements with significant unbraced lengths.</w:t>
      </w:r>
    </w:p>
    <w:p w14:paraId="4772EFAE" w14:textId="77777777" w:rsidR="001B7F77" w:rsidRPr="001B7F77" w:rsidRDefault="001B7F77" w:rsidP="001B7F77">
      <w:pPr>
        <w:shd w:val="clear" w:color="auto" w:fill="FFFFFF"/>
        <w:suppressAutoHyphens/>
        <w:spacing w:before="120"/>
        <w:ind w:left="1080" w:hanging="360"/>
        <w:rPr>
          <w:rFonts w:eastAsia="Times"/>
          <w:u w:val="single"/>
        </w:rPr>
      </w:pPr>
      <w:r w:rsidRPr="001B7F77">
        <w:rPr>
          <w:rFonts w:eastAsia="Times"/>
          <w:u w:val="single"/>
        </w:rPr>
        <w:t>9.</w:t>
      </w:r>
      <w:r w:rsidRPr="001B7F77">
        <w:rPr>
          <w:rFonts w:eastAsia="Times"/>
          <w:u w:val="single"/>
        </w:rPr>
        <w:tab/>
        <w:t>The remediation items enumerated in Section 708 that are potentially relevant to the building and work in question and a plan to investigate such conditions.</w:t>
      </w:r>
    </w:p>
    <w:p w14:paraId="1F61B137" w14:textId="77777777" w:rsidR="001B7F77" w:rsidRPr="001B7F77" w:rsidRDefault="001B7F77" w:rsidP="001B7F77">
      <w:pPr>
        <w:shd w:val="clear" w:color="auto" w:fill="FFFFFF"/>
        <w:suppressAutoHyphens/>
        <w:spacing w:before="120"/>
        <w:ind w:left="1080" w:hanging="360"/>
        <w:rPr>
          <w:rFonts w:eastAsia="Times"/>
          <w:u w:val="single"/>
        </w:rPr>
      </w:pPr>
      <w:r w:rsidRPr="001B7F77">
        <w:rPr>
          <w:rFonts w:eastAsia="Times"/>
          <w:u w:val="single"/>
        </w:rPr>
        <w:t xml:space="preserve">10. Indications of settlement in the building. </w:t>
      </w:r>
    </w:p>
    <w:p w14:paraId="01D85E01" w14:textId="77777777" w:rsidR="001B7F77" w:rsidRPr="001B7F77" w:rsidRDefault="001B7F77" w:rsidP="001B7F77">
      <w:pPr>
        <w:shd w:val="clear" w:color="auto" w:fill="FFFFFF"/>
        <w:suppressAutoHyphens/>
        <w:spacing w:before="120"/>
        <w:ind w:left="1080" w:hanging="360"/>
        <w:rPr>
          <w:rFonts w:eastAsia="Times"/>
          <w:u w:val="single"/>
        </w:rPr>
      </w:pPr>
      <w:r w:rsidRPr="001B7F77">
        <w:rPr>
          <w:rFonts w:eastAsia="Times"/>
          <w:u w:val="single"/>
        </w:rPr>
        <w:t>11. A list of documents consulted during the course of the condition assessment.</w:t>
      </w:r>
    </w:p>
    <w:p w14:paraId="649B09BA" w14:textId="77777777" w:rsidR="001B7F77" w:rsidRPr="001B7F77" w:rsidRDefault="001B7F77" w:rsidP="001B7F77">
      <w:pPr>
        <w:shd w:val="clear" w:color="auto" w:fill="FFFFFF"/>
        <w:suppressAutoHyphens/>
        <w:spacing w:before="120"/>
        <w:ind w:left="1080" w:hanging="360"/>
        <w:rPr>
          <w:rFonts w:eastAsia="Times"/>
          <w:u w:val="single"/>
        </w:rPr>
      </w:pPr>
      <w:r w:rsidRPr="001B7F77">
        <w:rPr>
          <w:rFonts w:eastAsia="Times"/>
          <w:u w:val="single"/>
        </w:rPr>
        <w:t>12. Notation of any assumption to be verified during performance of the detailed structural condition assessment in accordance with Section 704.3. Such assumptions shall also be noted on the drawings required by Section 702.2 and filed with the department.</w:t>
      </w:r>
    </w:p>
    <w:p w14:paraId="2AD11BB6" w14:textId="77777777" w:rsidR="001B7F77" w:rsidRPr="001B7F77" w:rsidRDefault="001B7F77" w:rsidP="001B7F77">
      <w:pPr>
        <w:shd w:val="clear" w:color="auto" w:fill="FFFFFF"/>
        <w:suppressAutoHyphens/>
        <w:spacing w:before="120"/>
        <w:ind w:left="1080" w:hanging="360"/>
        <w:rPr>
          <w:rFonts w:eastAsia="Times"/>
          <w:u w:val="single"/>
        </w:rPr>
      </w:pPr>
      <w:r w:rsidRPr="001B7F77">
        <w:rPr>
          <w:rFonts w:eastAsia="Times"/>
          <w:u w:val="single"/>
        </w:rPr>
        <w:t>13. Identification of the need for any further testing, surveying or monitoring.</w:t>
      </w:r>
    </w:p>
    <w:p w14:paraId="3320D841" w14:textId="77777777" w:rsidR="001B7F77" w:rsidRPr="001B7F77" w:rsidRDefault="001B7F77" w:rsidP="001B7F77">
      <w:pPr>
        <w:shd w:val="clear" w:color="auto" w:fill="FFFFFF"/>
        <w:suppressAutoHyphens/>
        <w:spacing w:before="120"/>
        <w:ind w:left="360" w:firstLine="360"/>
        <w:rPr>
          <w:rFonts w:eastAsia="Times"/>
          <w:u w:val="single"/>
        </w:rPr>
      </w:pPr>
      <w:r w:rsidRPr="001B7F77">
        <w:rPr>
          <w:rFonts w:eastAsia="Times"/>
          <w:u w:val="single"/>
        </w:rPr>
        <w:t>The document shall be maintained at the site for the duration of the job and made available to the commissioner upon request.</w:t>
      </w:r>
    </w:p>
    <w:p w14:paraId="0E1505DD" w14:textId="77777777" w:rsidR="001B7F77" w:rsidRPr="001B7F77" w:rsidRDefault="001B7F77" w:rsidP="001B7F77">
      <w:pPr>
        <w:shd w:val="clear" w:color="auto" w:fill="FFFFFF"/>
        <w:suppressAutoHyphens/>
        <w:spacing w:before="120"/>
        <w:rPr>
          <w:rFonts w:eastAsia="Times"/>
          <w:u w:val="single"/>
        </w:rPr>
      </w:pPr>
      <w:r w:rsidRPr="001B7F77">
        <w:rPr>
          <w:rFonts w:eastAsia="Times"/>
          <w:b/>
          <w:u w:val="single"/>
        </w:rPr>
        <w:t xml:space="preserve">704.3 Structural alterations requiring detailed structural condition assessment. </w:t>
      </w:r>
      <w:r w:rsidRPr="001B7F77">
        <w:rPr>
          <w:rFonts w:eastAsia="Times"/>
          <w:u w:val="single"/>
        </w:rPr>
        <w:t xml:space="preserve">A detailed structural condition assessment shall be performed </w:t>
      </w:r>
      <w:r w:rsidRPr="001B7F77">
        <w:rPr>
          <w:u w:val="single"/>
        </w:rPr>
        <w:t>by the registered design professional of record for all structural alterations where existing structural elements are to be altered or an increase in the demand capacity ratio is introduced to an existing structure</w:t>
      </w:r>
      <w:r w:rsidRPr="001B7F77">
        <w:rPr>
          <w:rFonts w:eastAsia="Times"/>
          <w:u w:val="single"/>
        </w:rPr>
        <w:t xml:space="preserve">. </w:t>
      </w:r>
    </w:p>
    <w:p w14:paraId="578EB75D" w14:textId="77777777" w:rsidR="001B7F77" w:rsidRPr="001B7F77" w:rsidRDefault="001B7F77" w:rsidP="001B7F77">
      <w:pPr>
        <w:shd w:val="clear" w:color="auto" w:fill="FFFFFF"/>
        <w:suppressAutoHyphens/>
        <w:spacing w:before="120"/>
        <w:ind w:left="360"/>
        <w:rPr>
          <w:rFonts w:eastAsia="Times"/>
          <w:u w:val="single"/>
        </w:rPr>
      </w:pPr>
      <w:r w:rsidRPr="001B7F77">
        <w:rPr>
          <w:rFonts w:eastAsia="Times"/>
          <w:b/>
          <w:u w:val="single"/>
        </w:rPr>
        <w:t xml:space="preserve">704.3.1 Detailed structural condition assessment. </w:t>
      </w:r>
      <w:r w:rsidRPr="001B7F77">
        <w:rPr>
          <w:rFonts w:eastAsia="Times"/>
          <w:u w:val="single"/>
        </w:rPr>
        <w:t xml:space="preserve">The detailed structural condition assessment shall include the area of assessment specified in Section 704.1.1 or other elements as specified in Section 702.2 that are to be identified in the submittal to the department. The detailed condition assessment shall confirm all design assumptions including those of the initial structural condition assessment. The detailed structural condition assessment shall be performed and filed in accordance with Section 704.3.2 at a point before, and revised as needed during, the construction phase of the project, when structural elements or support systems are exposed such that they are accessible for detailed assessment. Structural elements shall be exposed where indicated on the drawings and as needed to satisfy the requirements of Section 703. </w:t>
      </w:r>
    </w:p>
    <w:p w14:paraId="191D60F3" w14:textId="77777777" w:rsidR="001B7F77" w:rsidRPr="001B7F77" w:rsidRDefault="001B7F77" w:rsidP="001B7F77">
      <w:pPr>
        <w:shd w:val="clear" w:color="auto" w:fill="FFFFFF"/>
        <w:suppressAutoHyphens/>
        <w:spacing w:before="120"/>
        <w:ind w:left="360"/>
        <w:rPr>
          <w:rFonts w:eastAsia="Times"/>
          <w:u w:val="single"/>
        </w:rPr>
      </w:pPr>
      <w:r w:rsidRPr="001B7F77">
        <w:rPr>
          <w:rFonts w:eastAsia="Times"/>
          <w:b/>
          <w:bCs/>
          <w:u w:val="single"/>
        </w:rPr>
        <w:t>704.3.2 Investigation and detailed condition assessment.</w:t>
      </w:r>
      <w:r w:rsidRPr="001B7F77">
        <w:rPr>
          <w:rFonts w:eastAsia="Times"/>
          <w:u w:val="single"/>
        </w:rPr>
        <w:t xml:space="preserve"> The registered design professional of record shall submit a document containing the detailed structural condition assessment to the department after the relevant structural elements or support systems are exposed for detailed assessment but before the structural alterations are begun. The document shall be amended if required by the registered design professional of record after the completion of the construction phase. Where during the alteration process any immediate life/safety condition of concern is observed, such condition shall be communicated to the department as required by Section 28-301.1 of the </w:t>
      </w:r>
      <w:r w:rsidRPr="001B7F77">
        <w:rPr>
          <w:rFonts w:eastAsia="Times"/>
          <w:i/>
          <w:iCs/>
          <w:u w:val="single"/>
        </w:rPr>
        <w:t>Administrative Code</w:t>
      </w:r>
      <w:r w:rsidRPr="001B7F77">
        <w:rPr>
          <w:rFonts w:eastAsia="Times"/>
          <w:u w:val="single"/>
        </w:rPr>
        <w:t>. Such immediately hazardous condition shall also be conveyed to the owner of the building and shall be immediately remedied. The document shall include:</w:t>
      </w:r>
    </w:p>
    <w:p w14:paraId="171D0EEA" w14:textId="77777777" w:rsidR="001B7F77" w:rsidRPr="001B7F77" w:rsidRDefault="001B7F77" w:rsidP="001B7F77">
      <w:pPr>
        <w:shd w:val="clear" w:color="auto" w:fill="FFFFFF"/>
        <w:suppressAutoHyphens/>
        <w:spacing w:before="120"/>
        <w:ind w:left="1080" w:hanging="360"/>
        <w:rPr>
          <w:rFonts w:eastAsia="Times"/>
          <w:u w:val="single"/>
        </w:rPr>
      </w:pPr>
      <w:r w:rsidRPr="001B7F77">
        <w:rPr>
          <w:rFonts w:eastAsia="Times"/>
          <w:u w:val="single"/>
        </w:rPr>
        <w:t>1.</w:t>
      </w:r>
      <w:r w:rsidRPr="001B7F77">
        <w:rPr>
          <w:rFonts w:eastAsia="Times"/>
          <w:u w:val="single"/>
        </w:rPr>
        <w:tab/>
        <w:t xml:space="preserve">Description of structure and materials. </w:t>
      </w:r>
    </w:p>
    <w:p w14:paraId="50D1E92B" w14:textId="77777777" w:rsidR="001B7F77" w:rsidRPr="001B7F77" w:rsidRDefault="001B7F77" w:rsidP="001B7F77">
      <w:pPr>
        <w:shd w:val="clear" w:color="auto" w:fill="FFFFFF"/>
        <w:suppressAutoHyphens/>
        <w:spacing w:before="120"/>
        <w:ind w:left="1080" w:hanging="360"/>
        <w:rPr>
          <w:rFonts w:eastAsia="Times"/>
          <w:u w:val="single"/>
        </w:rPr>
      </w:pPr>
      <w:r w:rsidRPr="001B7F77">
        <w:rPr>
          <w:rFonts w:eastAsia="Times"/>
          <w:u w:val="single"/>
        </w:rPr>
        <w:t>2.</w:t>
      </w:r>
      <w:r w:rsidRPr="001B7F77">
        <w:rPr>
          <w:rFonts w:eastAsia="Times"/>
          <w:u w:val="single"/>
        </w:rPr>
        <w:tab/>
        <w:t>Identification of structural elements reviewed.</w:t>
      </w:r>
    </w:p>
    <w:p w14:paraId="1FEAFF60" w14:textId="77777777" w:rsidR="001B7F77" w:rsidRPr="001B7F77" w:rsidRDefault="001B7F77" w:rsidP="001B7F77">
      <w:pPr>
        <w:shd w:val="clear" w:color="auto" w:fill="FFFFFF"/>
        <w:suppressAutoHyphens/>
        <w:spacing w:before="120"/>
        <w:ind w:left="1080" w:hanging="360"/>
        <w:rPr>
          <w:rFonts w:eastAsia="Times"/>
          <w:u w:val="single"/>
        </w:rPr>
      </w:pPr>
      <w:r w:rsidRPr="001B7F77">
        <w:rPr>
          <w:rFonts w:eastAsia="Times"/>
          <w:u w:val="single"/>
        </w:rPr>
        <w:t>3.</w:t>
      </w:r>
      <w:r w:rsidRPr="001B7F77">
        <w:rPr>
          <w:rFonts w:eastAsia="Times"/>
          <w:u w:val="single"/>
        </w:rPr>
        <w:tab/>
        <w:t>Description of physical condition of structural elements, including the location of deterioration.</w:t>
      </w:r>
    </w:p>
    <w:p w14:paraId="1553B6CE" w14:textId="77777777" w:rsidR="001B7F77" w:rsidRPr="001B7F77" w:rsidRDefault="001B7F77" w:rsidP="001B7F77">
      <w:pPr>
        <w:shd w:val="clear" w:color="auto" w:fill="FFFFFF"/>
        <w:suppressAutoHyphens/>
        <w:spacing w:before="120"/>
        <w:ind w:left="1080" w:hanging="360"/>
        <w:rPr>
          <w:rFonts w:eastAsia="Times"/>
          <w:u w:val="single"/>
        </w:rPr>
      </w:pPr>
      <w:r w:rsidRPr="001B7F77">
        <w:rPr>
          <w:rFonts w:eastAsia="Times"/>
          <w:u w:val="single"/>
        </w:rPr>
        <w:t>4.</w:t>
      </w:r>
      <w:r w:rsidRPr="001B7F77">
        <w:rPr>
          <w:rFonts w:eastAsia="Times"/>
          <w:u w:val="single"/>
        </w:rPr>
        <w:tab/>
        <w:t>Identification of methods used for the condition assessment, such as but not limited to visual observations, probing, borings, test pits, nondestructive testing and laboratory testing of materials.</w:t>
      </w:r>
    </w:p>
    <w:p w14:paraId="4798C7C4" w14:textId="77777777" w:rsidR="001B7F77" w:rsidRPr="001B7F77" w:rsidRDefault="001B7F77" w:rsidP="001B7F77">
      <w:pPr>
        <w:shd w:val="clear" w:color="auto" w:fill="FFFFFF"/>
        <w:suppressAutoHyphens/>
        <w:spacing w:before="120"/>
        <w:ind w:left="1440" w:hanging="360"/>
        <w:rPr>
          <w:rFonts w:eastAsia="Times"/>
          <w:u w:val="single"/>
        </w:rPr>
      </w:pPr>
      <w:r w:rsidRPr="001B7F77">
        <w:rPr>
          <w:rFonts w:eastAsia="Times"/>
          <w:u w:val="single"/>
        </w:rPr>
        <w:t>4.1 Any documentation produced as a result of the investigation described in item 4 shall be included in the document.</w:t>
      </w:r>
    </w:p>
    <w:p w14:paraId="4B347641" w14:textId="77777777" w:rsidR="001B7F77" w:rsidRPr="001B7F77" w:rsidRDefault="001B7F77" w:rsidP="001B7F77">
      <w:pPr>
        <w:shd w:val="clear" w:color="auto" w:fill="FFFFFF"/>
        <w:suppressAutoHyphens/>
        <w:spacing w:before="120"/>
        <w:ind w:left="1080" w:hanging="360"/>
        <w:rPr>
          <w:rFonts w:eastAsia="Times"/>
          <w:u w:val="single"/>
        </w:rPr>
      </w:pPr>
      <w:r w:rsidRPr="001B7F77">
        <w:rPr>
          <w:rFonts w:eastAsia="Times"/>
          <w:u w:val="single"/>
        </w:rPr>
        <w:t xml:space="preserve">5. </w:t>
      </w:r>
      <w:r w:rsidRPr="001B7F77">
        <w:rPr>
          <w:rFonts w:eastAsia="Times"/>
          <w:u w:val="single"/>
        </w:rPr>
        <w:tab/>
        <w:t>Identification of deficiencies and causes of deficiencies.</w:t>
      </w:r>
    </w:p>
    <w:p w14:paraId="36A98377" w14:textId="77777777" w:rsidR="001B7F77" w:rsidRPr="001B7F77" w:rsidRDefault="001B7F77" w:rsidP="001B7F77">
      <w:pPr>
        <w:shd w:val="clear" w:color="auto" w:fill="FFFFFF"/>
        <w:suppressAutoHyphens/>
        <w:spacing w:before="120"/>
        <w:ind w:left="1080" w:hanging="360"/>
        <w:rPr>
          <w:rFonts w:eastAsia="Times"/>
          <w:u w:val="single"/>
        </w:rPr>
      </w:pPr>
      <w:r w:rsidRPr="001B7F77">
        <w:rPr>
          <w:rFonts w:eastAsia="Times"/>
          <w:u w:val="single"/>
        </w:rPr>
        <w:t>6.</w:t>
      </w:r>
      <w:r w:rsidRPr="001B7F77">
        <w:rPr>
          <w:rFonts w:eastAsia="Times"/>
          <w:u w:val="single"/>
        </w:rPr>
        <w:tab/>
        <w:t xml:space="preserve">Identification of elements and conditions different from the assumptions used in the design. </w:t>
      </w:r>
    </w:p>
    <w:p w14:paraId="20253CA1" w14:textId="77777777" w:rsidR="001B7F77" w:rsidRPr="001B7F77" w:rsidRDefault="001B7F77" w:rsidP="001B7F77">
      <w:pPr>
        <w:shd w:val="clear" w:color="auto" w:fill="FFFFFF"/>
        <w:suppressAutoHyphens/>
        <w:spacing w:before="120"/>
        <w:ind w:left="1080" w:hanging="360"/>
        <w:rPr>
          <w:rFonts w:eastAsia="Times"/>
          <w:u w:val="single"/>
        </w:rPr>
      </w:pPr>
      <w:r w:rsidRPr="001B7F77">
        <w:rPr>
          <w:rFonts w:eastAsia="Times"/>
          <w:u w:val="single"/>
        </w:rPr>
        <w:t>7.</w:t>
      </w:r>
      <w:r w:rsidRPr="001B7F77">
        <w:rPr>
          <w:rFonts w:eastAsia="Times"/>
          <w:u w:val="single"/>
        </w:rPr>
        <w:tab/>
        <w:t xml:space="preserve"> Life/safety conditions of concern should be addressed immediately. The timing of all other repairs should be discussed.</w:t>
      </w:r>
    </w:p>
    <w:p w14:paraId="4F93C281" w14:textId="77777777" w:rsidR="001B7F77" w:rsidRPr="001B7F77" w:rsidRDefault="001B7F77" w:rsidP="001B7F77">
      <w:pPr>
        <w:shd w:val="clear" w:color="auto" w:fill="FFFFFF"/>
        <w:suppressAutoHyphens/>
        <w:spacing w:before="120"/>
        <w:ind w:left="1080" w:hanging="360"/>
        <w:rPr>
          <w:rFonts w:eastAsia="Times"/>
          <w:u w:val="single"/>
        </w:rPr>
      </w:pPr>
      <w:r w:rsidRPr="001B7F77">
        <w:rPr>
          <w:rFonts w:eastAsia="Times"/>
          <w:u w:val="single"/>
        </w:rPr>
        <w:t xml:space="preserve">8. </w:t>
      </w:r>
      <w:r w:rsidRPr="001B7F77">
        <w:rPr>
          <w:rFonts w:eastAsia="Times"/>
          <w:u w:val="single"/>
        </w:rPr>
        <w:tab/>
        <w:t>The remediation items enumerated in Section 708 that were investigated and the determinations of such investigation.</w:t>
      </w:r>
    </w:p>
    <w:p w14:paraId="7299BCC8" w14:textId="77777777" w:rsidR="001B7F77" w:rsidRPr="001B7F77" w:rsidRDefault="001B7F77" w:rsidP="001B7F77">
      <w:pPr>
        <w:shd w:val="clear" w:color="auto" w:fill="FFFFFF"/>
        <w:suppressAutoHyphens/>
        <w:spacing w:before="120"/>
        <w:ind w:left="1080" w:hanging="360"/>
        <w:rPr>
          <w:rFonts w:eastAsia="Times"/>
          <w:u w:val="single"/>
        </w:rPr>
      </w:pPr>
      <w:r w:rsidRPr="001B7F77">
        <w:rPr>
          <w:rFonts w:eastAsia="Times"/>
          <w:u w:val="single"/>
        </w:rPr>
        <w:t xml:space="preserve">9. </w:t>
      </w:r>
      <w:r w:rsidRPr="001B7F77">
        <w:rPr>
          <w:u w:val="single"/>
        </w:rPr>
        <w:tab/>
      </w:r>
      <w:r w:rsidRPr="001B7F77">
        <w:rPr>
          <w:rFonts w:eastAsia="Times"/>
          <w:u w:val="single"/>
        </w:rPr>
        <w:t xml:space="preserve">List of all design assumptions previously made from Sections 702.2 and 704.2 with confirmation or change to plans as required. </w:t>
      </w:r>
    </w:p>
    <w:p w14:paraId="0EEC3068" w14:textId="77777777" w:rsidR="001B7F77" w:rsidRPr="001B7F77" w:rsidRDefault="001B7F77" w:rsidP="001B7F77">
      <w:pPr>
        <w:shd w:val="clear" w:color="auto" w:fill="FFFFFF"/>
        <w:suppressAutoHyphens/>
        <w:spacing w:before="120"/>
        <w:ind w:left="1080" w:hanging="360"/>
        <w:rPr>
          <w:rFonts w:eastAsia="Times"/>
          <w:u w:val="single"/>
        </w:rPr>
      </w:pPr>
      <w:r w:rsidRPr="001B7F77">
        <w:rPr>
          <w:rFonts w:eastAsia="Times"/>
          <w:u w:val="single"/>
        </w:rPr>
        <w:t xml:space="preserve">10. Any information from the initial condition assessment required by Section 704.2 not otherwise included. </w:t>
      </w:r>
    </w:p>
    <w:p w14:paraId="1609C10D" w14:textId="77777777" w:rsidR="001B7F77" w:rsidRPr="001B7F77" w:rsidRDefault="001B7F77" w:rsidP="001B7F77">
      <w:pPr>
        <w:shd w:val="clear" w:color="auto" w:fill="FFFFFF"/>
        <w:suppressAutoHyphens/>
        <w:spacing w:before="120"/>
        <w:ind w:left="720"/>
        <w:rPr>
          <w:rFonts w:eastAsia="Times"/>
          <w:u w:val="single"/>
        </w:rPr>
      </w:pPr>
      <w:r w:rsidRPr="001B7F77">
        <w:rPr>
          <w:rFonts w:eastAsia="Times"/>
          <w:b/>
          <w:bCs/>
          <w:u w:val="single"/>
        </w:rPr>
        <w:t>704.3.2.1 Observed deficiencies outside the scope of work.</w:t>
      </w:r>
      <w:r w:rsidRPr="001B7F77">
        <w:rPr>
          <w:rFonts w:eastAsia="Times"/>
          <w:u w:val="single"/>
        </w:rPr>
        <w:t xml:space="preserve"> Where in the course of the alteration deficiencies not related to the scope of work are observed, the detailed document shall provide a discussion of the severity of any observed deficiencies. </w:t>
      </w:r>
    </w:p>
    <w:p w14:paraId="0F3FDD34" w14:textId="77777777" w:rsidR="001B7F77" w:rsidRPr="001B7F77" w:rsidRDefault="001B7F77" w:rsidP="001B7F77">
      <w:pPr>
        <w:shd w:val="clear" w:color="auto" w:fill="FFFFFF"/>
        <w:suppressAutoHyphens/>
        <w:spacing w:before="120"/>
        <w:rPr>
          <w:rFonts w:eastAsia="Times"/>
          <w:u w:val="single"/>
        </w:rPr>
      </w:pPr>
      <w:r w:rsidRPr="001B7F77">
        <w:rPr>
          <w:rFonts w:eastAsia="Times"/>
          <w:b/>
          <w:u w:val="single"/>
        </w:rPr>
        <w:t>704.4 Use of assessment</w:t>
      </w:r>
      <w:r w:rsidRPr="001B7F77">
        <w:rPr>
          <w:rFonts w:eastAsia="Times"/>
          <w:u w:val="single"/>
        </w:rPr>
        <w:t>. The results of the condition assessments shall be used in the design of the work. Deterioration of structural elements shall be analyzed for conformance with this code and repaired as required. A revised document shall be filed with the department when structural changes or observations differ from the originally submitted documents.</w:t>
      </w:r>
    </w:p>
    <w:p w14:paraId="2015C053" w14:textId="77777777" w:rsidR="001B7F77" w:rsidRPr="001B7F77" w:rsidRDefault="001B7F77" w:rsidP="001B7F77">
      <w:pPr>
        <w:widowControl w:val="0"/>
        <w:suppressAutoHyphens/>
        <w:spacing w:before="120"/>
        <w:jc w:val="center"/>
        <w:outlineLvl w:val="0"/>
        <w:rPr>
          <w:rFonts w:eastAsia="Times"/>
          <w:b/>
          <w:u w:val="single"/>
        </w:rPr>
      </w:pPr>
    </w:p>
    <w:p w14:paraId="7D7FFEF9" w14:textId="77777777" w:rsidR="001B7F77" w:rsidRPr="001B7F77" w:rsidRDefault="001B7F77" w:rsidP="001B7F77">
      <w:pPr>
        <w:widowControl w:val="0"/>
        <w:suppressAutoHyphens/>
        <w:spacing w:before="120"/>
        <w:jc w:val="center"/>
        <w:outlineLvl w:val="0"/>
        <w:rPr>
          <w:rFonts w:eastAsia="Times"/>
          <w:b/>
          <w:u w:val="single"/>
        </w:rPr>
      </w:pPr>
      <w:r w:rsidRPr="001B7F77">
        <w:rPr>
          <w:rFonts w:eastAsia="Times"/>
          <w:b/>
          <w:u w:val="single"/>
        </w:rPr>
        <w:t>SECTION EBC 705</w:t>
      </w:r>
      <w:r w:rsidRPr="001B7F77">
        <w:rPr>
          <w:rFonts w:eastAsia="Times"/>
          <w:b/>
          <w:u w:val="single"/>
        </w:rPr>
        <w:br/>
      </w:r>
      <w:r w:rsidRPr="001B7F77">
        <w:rPr>
          <w:rFonts w:eastAsia="Times"/>
          <w:b/>
          <w:bCs/>
          <w:color w:val="000000"/>
          <w:u w:val="single"/>
        </w:rPr>
        <w:t>LOADS</w:t>
      </w:r>
    </w:p>
    <w:p w14:paraId="326599F5" w14:textId="77777777" w:rsidR="001B7F77" w:rsidRPr="001B7F77" w:rsidRDefault="001B7F77" w:rsidP="001B7F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spacing w:before="120"/>
        <w:rPr>
          <w:rFonts w:eastAsia="Times"/>
          <w:u w:val="single"/>
        </w:rPr>
      </w:pPr>
      <w:r w:rsidRPr="001B7F77">
        <w:rPr>
          <w:rFonts w:eastAsia="Times"/>
          <w:b/>
          <w:u w:val="single"/>
        </w:rPr>
        <w:t xml:space="preserve">705.1 General. </w:t>
      </w:r>
      <w:r w:rsidRPr="001B7F77">
        <w:rPr>
          <w:rFonts w:eastAsia="Times"/>
          <w:u w:val="single"/>
        </w:rPr>
        <w:t xml:space="preserve">Loads shall comply with the </w:t>
      </w:r>
      <w:r w:rsidRPr="001B7F77">
        <w:rPr>
          <w:rFonts w:eastAsia="Times"/>
          <w:i/>
          <w:iCs/>
          <w:u w:val="single"/>
        </w:rPr>
        <w:t>New York City Building Code</w:t>
      </w:r>
      <w:r w:rsidRPr="001B7F77">
        <w:rPr>
          <w:rFonts w:eastAsia="Times"/>
          <w:u w:val="single"/>
        </w:rPr>
        <w:t xml:space="preserve"> unless otherwise noted in Sections 705.2 through 705.6. </w:t>
      </w:r>
    </w:p>
    <w:p w14:paraId="7ED01D73" w14:textId="77777777" w:rsidR="001B7F77" w:rsidRPr="001B7F77" w:rsidRDefault="001B7F77" w:rsidP="001B7F77">
      <w:pPr>
        <w:suppressAutoHyphens/>
        <w:spacing w:before="120"/>
        <w:rPr>
          <w:rFonts w:eastAsia="Times"/>
          <w:u w:val="single"/>
        </w:rPr>
      </w:pPr>
      <w:r w:rsidRPr="001B7F77">
        <w:rPr>
          <w:rFonts w:eastAsia="Times"/>
          <w:b/>
          <w:u w:val="single"/>
        </w:rPr>
        <w:t>705.2 Dead loads.</w:t>
      </w:r>
      <w:r w:rsidRPr="001B7F77">
        <w:rPr>
          <w:rFonts w:eastAsia="Times"/>
          <w:u w:val="single"/>
        </w:rPr>
        <w:t xml:space="preserve"> The existing dead loads shall be confirmed by a rational approach relying upon accepted references, available information including design documents, in-situ and non-destructive testing, or design codes and standards of practice. </w:t>
      </w:r>
    </w:p>
    <w:p w14:paraId="1106AFA1" w14:textId="77777777" w:rsidR="001B7F77" w:rsidRPr="001B7F77" w:rsidRDefault="001B7F77" w:rsidP="001B7F77">
      <w:pPr>
        <w:shd w:val="clear" w:color="auto" w:fill="FFFFFF"/>
        <w:suppressAutoHyphens/>
        <w:spacing w:before="120"/>
        <w:rPr>
          <w:rFonts w:eastAsia="Times"/>
          <w:i/>
          <w:iCs/>
          <w:u w:val="single"/>
        </w:rPr>
      </w:pPr>
      <w:r w:rsidRPr="001B7F77">
        <w:rPr>
          <w:rFonts w:eastAsia="Times"/>
          <w:b/>
          <w:u w:val="single"/>
        </w:rPr>
        <w:t>705.3 Live loads.</w:t>
      </w:r>
      <w:r w:rsidRPr="001B7F77">
        <w:rPr>
          <w:rFonts w:eastAsia="Times"/>
          <w:u w:val="single"/>
        </w:rPr>
        <w:t xml:space="preserve"> Uniform and concentrated live loads shall be in conformance with Section 1607 of the </w:t>
      </w:r>
      <w:r w:rsidRPr="001B7F77">
        <w:rPr>
          <w:rFonts w:eastAsia="Times"/>
          <w:i/>
          <w:iCs/>
          <w:u w:val="single"/>
        </w:rPr>
        <w:t xml:space="preserve">New York City Building Code. </w:t>
      </w:r>
    </w:p>
    <w:p w14:paraId="488C67DD" w14:textId="77777777" w:rsidR="001B7F77" w:rsidRPr="001B7F77" w:rsidRDefault="001B7F77" w:rsidP="001B7F77">
      <w:pPr>
        <w:shd w:val="clear" w:color="auto" w:fill="FFFFFF"/>
        <w:suppressAutoHyphens/>
        <w:spacing w:before="120"/>
        <w:ind w:left="360"/>
        <w:rPr>
          <w:rFonts w:eastAsia="Times"/>
          <w:u w:val="single"/>
        </w:rPr>
      </w:pPr>
      <w:r w:rsidRPr="001B7F77">
        <w:rPr>
          <w:rFonts w:eastAsia="Times"/>
          <w:b/>
          <w:u w:val="single"/>
        </w:rPr>
        <w:t>Exception:</w:t>
      </w:r>
      <w:r w:rsidRPr="001B7F77">
        <w:rPr>
          <w:rFonts w:eastAsia="Times"/>
          <w:u w:val="single"/>
        </w:rPr>
        <w:t xml:space="preserve"> For buildings or portions thereof designed to live load criteria in effect prior to July 1, 2008, that are not being modified or structurally altered, design uniform live loads shown in Table 705.3 shall be permitted.</w:t>
      </w:r>
    </w:p>
    <w:p w14:paraId="4D7961DA" w14:textId="77777777" w:rsidR="001B7F77" w:rsidRPr="001B7F77" w:rsidRDefault="001B7F77" w:rsidP="001B7F77">
      <w:pPr>
        <w:widowControl w:val="0"/>
        <w:suppressAutoHyphens/>
        <w:spacing w:before="120"/>
        <w:jc w:val="center"/>
        <w:outlineLvl w:val="0"/>
        <w:rPr>
          <w:rFonts w:eastAsia="Times"/>
          <w:b/>
          <w:bCs/>
          <w:u w:val="single"/>
        </w:rPr>
      </w:pPr>
      <w:r w:rsidRPr="001B7F77">
        <w:rPr>
          <w:rFonts w:eastAsia="Times"/>
          <w:b/>
          <w:bCs/>
          <w:u w:val="single"/>
        </w:rPr>
        <w:t>TABLE 705.3</w:t>
      </w:r>
      <w:r w:rsidRPr="001B7F77">
        <w:br/>
      </w:r>
      <w:r w:rsidRPr="001B7F77">
        <w:rPr>
          <w:rFonts w:eastAsia="Times"/>
          <w:b/>
          <w:bCs/>
          <w:u w:val="single"/>
        </w:rPr>
        <w:t>MINIMUM DESIGN LIVE LOADS FOR BUILDINGS CONSTRUCTED IN ACCORDANCE WITH 1968BUILDING CODE or BUILDING CODE PREDATING 1968</w:t>
      </w:r>
    </w:p>
    <w:p w14:paraId="44ABB67F" w14:textId="77777777" w:rsidR="001B7F77" w:rsidRPr="001B7F77" w:rsidRDefault="001B7F77" w:rsidP="001B7F77">
      <w:pPr>
        <w:suppressAutoHyphens/>
        <w:spacing w:before="120"/>
        <w:jc w:val="center"/>
        <w:rPr>
          <w:rFonts w:eastAsia="Times"/>
          <w:u w:val="single"/>
        </w:rPr>
      </w:pPr>
      <w:r w:rsidRPr="001B7F77">
        <w:rPr>
          <w:rFonts w:eastAsia="Times"/>
          <w:u w:val="single"/>
        </w:rPr>
        <w:t xml:space="preserve">(Occupancy classifications are as defined by the </w:t>
      </w:r>
      <w:r w:rsidRPr="001B7F77">
        <w:rPr>
          <w:rFonts w:eastAsia="Times"/>
          <w:i/>
          <w:iCs/>
          <w:u w:val="single"/>
        </w:rPr>
        <w:t>New York City Building Code</w:t>
      </w:r>
      <w:r w:rsidRPr="001B7F77">
        <w:rPr>
          <w:rFonts w:eastAsia="Times"/>
          <w:u w:val="single"/>
        </w:rPr>
        <w:t>)</w:t>
      </w:r>
    </w:p>
    <w:tbl>
      <w:tblPr>
        <w:tblW w:w="70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58"/>
        <w:gridCol w:w="2162"/>
      </w:tblGrid>
      <w:tr w:rsidR="001B7F77" w:rsidRPr="001B7F77" w14:paraId="3AA1CE8D" w14:textId="77777777" w:rsidTr="006655A1">
        <w:trPr>
          <w:jc w:val="center"/>
        </w:trPr>
        <w:tc>
          <w:tcPr>
            <w:tcW w:w="4855" w:type="dxa"/>
            <w:tcBorders>
              <w:top w:val="single" w:sz="4" w:space="0" w:color="000000"/>
              <w:left w:val="single" w:sz="4" w:space="0" w:color="000000"/>
              <w:bottom w:val="single" w:sz="4" w:space="0" w:color="000000"/>
              <w:right w:val="single" w:sz="4" w:space="0" w:color="000000"/>
            </w:tcBorders>
            <w:vAlign w:val="center"/>
            <w:hideMark/>
          </w:tcPr>
          <w:p w14:paraId="0A84F8DC" w14:textId="77777777" w:rsidR="001B7F77" w:rsidRPr="001B7F77" w:rsidRDefault="001B7F77" w:rsidP="001B7F77">
            <w:pPr>
              <w:suppressAutoHyphens/>
              <w:spacing w:before="120"/>
              <w:jc w:val="center"/>
              <w:rPr>
                <w:rFonts w:eastAsia="Times"/>
                <w:b/>
                <w:u w:val="single"/>
              </w:rPr>
            </w:pPr>
            <w:r w:rsidRPr="001B7F77">
              <w:rPr>
                <w:rFonts w:eastAsia="Times"/>
                <w:b/>
                <w:u w:val="single"/>
              </w:rPr>
              <w:t>LIVE LOAD OCCUPANCY</w:t>
            </w:r>
          </w:p>
        </w:tc>
        <w:tc>
          <w:tcPr>
            <w:tcW w:w="2160" w:type="dxa"/>
            <w:tcBorders>
              <w:top w:val="single" w:sz="4" w:space="0" w:color="000000"/>
              <w:left w:val="single" w:sz="4" w:space="0" w:color="000000"/>
              <w:bottom w:val="single" w:sz="4" w:space="0" w:color="000000"/>
              <w:right w:val="single" w:sz="4" w:space="0" w:color="000000"/>
            </w:tcBorders>
            <w:vAlign w:val="center"/>
            <w:hideMark/>
          </w:tcPr>
          <w:p w14:paraId="2A4BD7C8" w14:textId="77777777" w:rsidR="001B7F77" w:rsidRPr="001B7F77" w:rsidRDefault="001B7F77" w:rsidP="001B7F77">
            <w:pPr>
              <w:suppressAutoHyphens/>
              <w:spacing w:before="120"/>
              <w:jc w:val="center"/>
              <w:rPr>
                <w:rFonts w:eastAsia="Times"/>
                <w:b/>
                <w:u w:val="single"/>
              </w:rPr>
            </w:pPr>
            <w:r w:rsidRPr="001B7F77">
              <w:rPr>
                <w:rFonts w:eastAsia="Times"/>
                <w:b/>
                <w:u w:val="single"/>
              </w:rPr>
              <w:t>MINIMUM DESIGN LIVE LOAD (PSF)</w:t>
            </w:r>
          </w:p>
        </w:tc>
      </w:tr>
      <w:tr w:rsidR="001B7F77" w:rsidRPr="001B7F77" w14:paraId="5E71B356" w14:textId="77777777" w:rsidTr="006655A1">
        <w:trPr>
          <w:jc w:val="center"/>
        </w:trPr>
        <w:tc>
          <w:tcPr>
            <w:tcW w:w="4855" w:type="dxa"/>
            <w:tcBorders>
              <w:top w:val="single" w:sz="4" w:space="0" w:color="000000"/>
              <w:left w:val="single" w:sz="4" w:space="0" w:color="000000"/>
              <w:bottom w:val="single" w:sz="4" w:space="0" w:color="000000"/>
              <w:right w:val="single" w:sz="4" w:space="0" w:color="000000"/>
            </w:tcBorders>
            <w:vAlign w:val="center"/>
            <w:hideMark/>
          </w:tcPr>
          <w:p w14:paraId="6C7DC838" w14:textId="77777777" w:rsidR="001B7F77" w:rsidRPr="001B7F77" w:rsidRDefault="001B7F77" w:rsidP="001B7F77">
            <w:pPr>
              <w:suppressAutoHyphens/>
              <w:spacing w:before="120"/>
              <w:jc w:val="center"/>
              <w:rPr>
                <w:rFonts w:eastAsia="Times"/>
                <w:u w:val="single"/>
              </w:rPr>
            </w:pPr>
            <w:r w:rsidRPr="001B7F77">
              <w:rPr>
                <w:rFonts w:eastAsia="Times"/>
                <w:u w:val="single"/>
              </w:rPr>
              <w:t>Commercial Space - Corridors (Above Ground Floor)</w:t>
            </w:r>
          </w:p>
        </w:tc>
        <w:tc>
          <w:tcPr>
            <w:tcW w:w="2160" w:type="dxa"/>
            <w:tcBorders>
              <w:top w:val="single" w:sz="4" w:space="0" w:color="000000"/>
              <w:left w:val="single" w:sz="4" w:space="0" w:color="000000"/>
              <w:bottom w:val="single" w:sz="4" w:space="0" w:color="000000"/>
              <w:right w:val="single" w:sz="4" w:space="0" w:color="000000"/>
            </w:tcBorders>
            <w:vAlign w:val="center"/>
            <w:hideMark/>
          </w:tcPr>
          <w:p w14:paraId="3076F3BF" w14:textId="77777777" w:rsidR="001B7F77" w:rsidRPr="001B7F77" w:rsidRDefault="001B7F77" w:rsidP="001B7F77">
            <w:pPr>
              <w:suppressAutoHyphens/>
              <w:spacing w:before="120"/>
              <w:jc w:val="center"/>
              <w:rPr>
                <w:rFonts w:eastAsia="Times"/>
                <w:u w:val="single"/>
              </w:rPr>
            </w:pPr>
            <w:r w:rsidRPr="001B7F77">
              <w:rPr>
                <w:rFonts w:eastAsia="Times"/>
                <w:u w:val="single"/>
              </w:rPr>
              <w:t>75</w:t>
            </w:r>
          </w:p>
        </w:tc>
      </w:tr>
      <w:tr w:rsidR="001B7F77" w:rsidRPr="001B7F77" w14:paraId="7D1B69DB" w14:textId="77777777" w:rsidTr="006655A1">
        <w:trPr>
          <w:trHeight w:val="278"/>
          <w:jc w:val="center"/>
        </w:trPr>
        <w:tc>
          <w:tcPr>
            <w:tcW w:w="4855" w:type="dxa"/>
            <w:tcBorders>
              <w:top w:val="single" w:sz="4" w:space="0" w:color="000000"/>
              <w:left w:val="single" w:sz="4" w:space="0" w:color="000000"/>
              <w:bottom w:val="single" w:sz="4" w:space="0" w:color="000000"/>
              <w:right w:val="single" w:sz="4" w:space="0" w:color="000000"/>
            </w:tcBorders>
            <w:vAlign w:val="center"/>
            <w:hideMark/>
          </w:tcPr>
          <w:p w14:paraId="4AF9D8FC" w14:textId="77777777" w:rsidR="001B7F77" w:rsidRPr="001B7F77" w:rsidRDefault="001B7F77" w:rsidP="001B7F77">
            <w:pPr>
              <w:suppressAutoHyphens/>
              <w:spacing w:before="120"/>
              <w:jc w:val="center"/>
              <w:rPr>
                <w:rFonts w:eastAsia="Times"/>
                <w:u w:val="single"/>
              </w:rPr>
            </w:pPr>
            <w:r w:rsidRPr="001B7F77">
              <w:rPr>
                <w:rFonts w:eastAsia="Times"/>
                <w:u w:val="single"/>
              </w:rPr>
              <w:t xml:space="preserve">Manufacturing </w:t>
            </w:r>
          </w:p>
        </w:tc>
        <w:tc>
          <w:tcPr>
            <w:tcW w:w="2160" w:type="dxa"/>
            <w:tcBorders>
              <w:top w:val="single" w:sz="4" w:space="0" w:color="000000"/>
              <w:left w:val="single" w:sz="4" w:space="0" w:color="000000"/>
              <w:bottom w:val="single" w:sz="4" w:space="0" w:color="000000"/>
              <w:right w:val="single" w:sz="4" w:space="0" w:color="000000"/>
            </w:tcBorders>
            <w:vAlign w:val="center"/>
            <w:hideMark/>
          </w:tcPr>
          <w:p w14:paraId="6E062737" w14:textId="77777777" w:rsidR="001B7F77" w:rsidRPr="001B7F77" w:rsidRDefault="001B7F77" w:rsidP="001B7F77">
            <w:pPr>
              <w:suppressAutoHyphens/>
              <w:spacing w:before="120"/>
              <w:jc w:val="center"/>
              <w:rPr>
                <w:rFonts w:eastAsia="Times"/>
                <w:u w:val="single"/>
              </w:rPr>
            </w:pPr>
            <w:r w:rsidRPr="001B7F77">
              <w:rPr>
                <w:rFonts w:eastAsia="Times"/>
                <w:u w:val="single"/>
              </w:rPr>
              <w:t>100</w:t>
            </w:r>
          </w:p>
        </w:tc>
      </w:tr>
      <w:tr w:rsidR="001B7F77" w:rsidRPr="001B7F77" w14:paraId="3551B337" w14:textId="77777777" w:rsidTr="006655A1">
        <w:trPr>
          <w:trHeight w:val="278"/>
          <w:jc w:val="center"/>
        </w:trPr>
        <w:tc>
          <w:tcPr>
            <w:tcW w:w="4855" w:type="dxa"/>
            <w:tcBorders>
              <w:top w:val="single" w:sz="4" w:space="0" w:color="000000"/>
              <w:left w:val="single" w:sz="4" w:space="0" w:color="000000"/>
              <w:bottom w:val="single" w:sz="4" w:space="0" w:color="000000"/>
              <w:right w:val="single" w:sz="4" w:space="0" w:color="000000"/>
            </w:tcBorders>
            <w:vAlign w:val="center"/>
            <w:hideMark/>
          </w:tcPr>
          <w:p w14:paraId="1FB8E096" w14:textId="77777777" w:rsidR="001B7F77" w:rsidRPr="001B7F77" w:rsidRDefault="001B7F77" w:rsidP="001B7F77">
            <w:pPr>
              <w:suppressAutoHyphens/>
              <w:spacing w:before="120"/>
              <w:jc w:val="center"/>
              <w:rPr>
                <w:rFonts w:eastAsia="Times"/>
                <w:u w:val="single"/>
              </w:rPr>
            </w:pPr>
            <w:r w:rsidRPr="001B7F77">
              <w:rPr>
                <w:rFonts w:eastAsia="Times"/>
                <w:u w:val="single"/>
              </w:rPr>
              <w:t>Marquees</w:t>
            </w:r>
          </w:p>
        </w:tc>
        <w:tc>
          <w:tcPr>
            <w:tcW w:w="2160" w:type="dxa"/>
            <w:tcBorders>
              <w:top w:val="single" w:sz="4" w:space="0" w:color="000000"/>
              <w:left w:val="single" w:sz="4" w:space="0" w:color="000000"/>
              <w:bottom w:val="single" w:sz="4" w:space="0" w:color="000000"/>
              <w:right w:val="single" w:sz="4" w:space="0" w:color="000000"/>
            </w:tcBorders>
            <w:vAlign w:val="center"/>
            <w:hideMark/>
          </w:tcPr>
          <w:p w14:paraId="128C8EDF" w14:textId="77777777" w:rsidR="001B7F77" w:rsidRPr="001B7F77" w:rsidRDefault="001B7F77" w:rsidP="001B7F77">
            <w:pPr>
              <w:suppressAutoHyphens/>
              <w:spacing w:before="120"/>
              <w:jc w:val="center"/>
              <w:rPr>
                <w:rFonts w:eastAsia="Times"/>
                <w:u w:val="single"/>
              </w:rPr>
            </w:pPr>
            <w:r w:rsidRPr="001B7F77">
              <w:rPr>
                <w:rFonts w:eastAsia="Times"/>
                <w:u w:val="single"/>
              </w:rPr>
              <w:t>60</w:t>
            </w:r>
          </w:p>
        </w:tc>
      </w:tr>
      <w:tr w:rsidR="001B7F77" w:rsidRPr="001B7F77" w14:paraId="1CBD1699" w14:textId="77777777" w:rsidTr="006655A1">
        <w:trPr>
          <w:trHeight w:val="278"/>
          <w:jc w:val="center"/>
        </w:trPr>
        <w:tc>
          <w:tcPr>
            <w:tcW w:w="4855" w:type="dxa"/>
            <w:tcBorders>
              <w:top w:val="single" w:sz="4" w:space="0" w:color="000000"/>
              <w:left w:val="single" w:sz="4" w:space="0" w:color="000000"/>
              <w:bottom w:val="single" w:sz="4" w:space="0" w:color="000000"/>
              <w:right w:val="single" w:sz="4" w:space="0" w:color="000000"/>
            </w:tcBorders>
            <w:vAlign w:val="center"/>
            <w:hideMark/>
          </w:tcPr>
          <w:p w14:paraId="1A551348" w14:textId="77777777" w:rsidR="001B7F77" w:rsidRPr="001B7F77" w:rsidRDefault="001B7F77" w:rsidP="001B7F77">
            <w:pPr>
              <w:suppressAutoHyphens/>
              <w:spacing w:before="120"/>
              <w:jc w:val="center"/>
              <w:rPr>
                <w:rFonts w:eastAsia="Times"/>
                <w:u w:val="single"/>
              </w:rPr>
            </w:pPr>
            <w:r w:rsidRPr="001B7F77">
              <w:rPr>
                <w:rFonts w:eastAsia="Times"/>
                <w:u w:val="single"/>
              </w:rPr>
              <w:t>Storage (Light)</w:t>
            </w:r>
          </w:p>
        </w:tc>
        <w:tc>
          <w:tcPr>
            <w:tcW w:w="2160" w:type="dxa"/>
            <w:tcBorders>
              <w:top w:val="single" w:sz="4" w:space="0" w:color="000000"/>
              <w:left w:val="single" w:sz="4" w:space="0" w:color="000000"/>
              <w:bottom w:val="single" w:sz="4" w:space="0" w:color="000000"/>
              <w:right w:val="single" w:sz="4" w:space="0" w:color="000000"/>
            </w:tcBorders>
            <w:vAlign w:val="center"/>
            <w:hideMark/>
          </w:tcPr>
          <w:p w14:paraId="4CD183E0" w14:textId="77777777" w:rsidR="001B7F77" w:rsidRPr="001B7F77" w:rsidRDefault="001B7F77" w:rsidP="001B7F77">
            <w:pPr>
              <w:suppressAutoHyphens/>
              <w:spacing w:before="120"/>
              <w:jc w:val="center"/>
              <w:rPr>
                <w:rFonts w:eastAsia="Times"/>
                <w:u w:val="single"/>
              </w:rPr>
            </w:pPr>
            <w:r w:rsidRPr="001B7F77">
              <w:rPr>
                <w:rFonts w:eastAsia="Times"/>
                <w:u w:val="single"/>
              </w:rPr>
              <w:t>100</w:t>
            </w:r>
          </w:p>
        </w:tc>
      </w:tr>
      <w:tr w:rsidR="001B7F77" w:rsidRPr="001B7F77" w14:paraId="780375D3" w14:textId="77777777" w:rsidTr="006655A1">
        <w:trPr>
          <w:trHeight w:val="278"/>
          <w:jc w:val="center"/>
        </w:trPr>
        <w:tc>
          <w:tcPr>
            <w:tcW w:w="4855" w:type="dxa"/>
            <w:tcBorders>
              <w:top w:val="single" w:sz="4" w:space="0" w:color="000000"/>
              <w:left w:val="single" w:sz="4" w:space="0" w:color="000000"/>
              <w:bottom w:val="single" w:sz="4" w:space="0" w:color="000000"/>
              <w:right w:val="single" w:sz="4" w:space="0" w:color="000000"/>
            </w:tcBorders>
            <w:vAlign w:val="center"/>
            <w:hideMark/>
          </w:tcPr>
          <w:p w14:paraId="1D18A67A" w14:textId="77777777" w:rsidR="001B7F77" w:rsidRPr="001B7F77" w:rsidRDefault="001B7F77" w:rsidP="001B7F77">
            <w:pPr>
              <w:suppressAutoHyphens/>
              <w:spacing w:before="120"/>
              <w:jc w:val="center"/>
              <w:rPr>
                <w:rFonts w:eastAsia="Times"/>
                <w:u w:val="single"/>
              </w:rPr>
            </w:pPr>
            <w:r w:rsidRPr="001B7F77">
              <w:rPr>
                <w:rFonts w:eastAsia="Times"/>
                <w:u w:val="single"/>
              </w:rPr>
              <w:t>Storage (Heavy)</w:t>
            </w:r>
          </w:p>
        </w:tc>
        <w:tc>
          <w:tcPr>
            <w:tcW w:w="2160" w:type="dxa"/>
            <w:tcBorders>
              <w:top w:val="single" w:sz="4" w:space="0" w:color="000000"/>
              <w:left w:val="single" w:sz="4" w:space="0" w:color="000000"/>
              <w:bottom w:val="single" w:sz="4" w:space="0" w:color="000000"/>
              <w:right w:val="single" w:sz="4" w:space="0" w:color="000000"/>
            </w:tcBorders>
            <w:vAlign w:val="center"/>
            <w:hideMark/>
          </w:tcPr>
          <w:p w14:paraId="55B76751" w14:textId="77777777" w:rsidR="001B7F77" w:rsidRPr="001B7F77" w:rsidRDefault="001B7F77" w:rsidP="001B7F77">
            <w:pPr>
              <w:suppressAutoHyphens/>
              <w:spacing w:before="120"/>
              <w:jc w:val="center"/>
              <w:rPr>
                <w:rFonts w:eastAsia="Times"/>
                <w:u w:val="single"/>
              </w:rPr>
            </w:pPr>
            <w:r w:rsidRPr="001B7F77">
              <w:rPr>
                <w:rFonts w:eastAsia="Times"/>
                <w:u w:val="single"/>
              </w:rPr>
              <w:t>150</w:t>
            </w:r>
          </w:p>
        </w:tc>
      </w:tr>
      <w:tr w:rsidR="001B7F77" w:rsidRPr="001B7F77" w14:paraId="4CB6F980" w14:textId="77777777" w:rsidTr="006655A1">
        <w:trPr>
          <w:trHeight w:val="278"/>
          <w:jc w:val="center"/>
        </w:trPr>
        <w:tc>
          <w:tcPr>
            <w:tcW w:w="4855" w:type="dxa"/>
            <w:tcBorders>
              <w:top w:val="single" w:sz="4" w:space="0" w:color="000000"/>
              <w:left w:val="single" w:sz="4" w:space="0" w:color="000000"/>
              <w:bottom w:val="single" w:sz="4" w:space="0" w:color="000000"/>
              <w:right w:val="single" w:sz="4" w:space="0" w:color="000000"/>
            </w:tcBorders>
            <w:vAlign w:val="center"/>
            <w:hideMark/>
          </w:tcPr>
          <w:p w14:paraId="37CC12F8" w14:textId="77777777" w:rsidR="001B7F77" w:rsidRPr="001B7F77" w:rsidRDefault="001B7F77" w:rsidP="001B7F77">
            <w:pPr>
              <w:suppressAutoHyphens/>
              <w:spacing w:before="120"/>
              <w:jc w:val="center"/>
              <w:rPr>
                <w:rFonts w:eastAsia="Times"/>
                <w:u w:val="single"/>
              </w:rPr>
            </w:pPr>
            <w:r w:rsidRPr="001B7F77">
              <w:rPr>
                <w:rFonts w:eastAsia="Times"/>
                <w:u w:val="single"/>
              </w:rPr>
              <w:t>Wholesale Stores</w:t>
            </w:r>
          </w:p>
        </w:tc>
        <w:tc>
          <w:tcPr>
            <w:tcW w:w="2160" w:type="dxa"/>
            <w:tcBorders>
              <w:top w:val="single" w:sz="4" w:space="0" w:color="000000"/>
              <w:left w:val="single" w:sz="4" w:space="0" w:color="000000"/>
              <w:bottom w:val="single" w:sz="4" w:space="0" w:color="000000"/>
              <w:right w:val="single" w:sz="4" w:space="0" w:color="000000"/>
            </w:tcBorders>
            <w:vAlign w:val="center"/>
            <w:hideMark/>
          </w:tcPr>
          <w:p w14:paraId="2B007C8D" w14:textId="77777777" w:rsidR="001B7F77" w:rsidRPr="001B7F77" w:rsidRDefault="001B7F77" w:rsidP="001B7F77">
            <w:pPr>
              <w:suppressAutoHyphens/>
              <w:spacing w:before="120"/>
              <w:jc w:val="center"/>
              <w:rPr>
                <w:rFonts w:eastAsia="Times"/>
                <w:u w:val="single"/>
              </w:rPr>
            </w:pPr>
            <w:r w:rsidRPr="001B7F77">
              <w:rPr>
                <w:rFonts w:eastAsia="Times"/>
                <w:u w:val="single"/>
              </w:rPr>
              <w:t>100</w:t>
            </w:r>
          </w:p>
        </w:tc>
      </w:tr>
    </w:tbl>
    <w:p w14:paraId="228E79E5" w14:textId="77777777" w:rsidR="001B7F77" w:rsidRPr="001B7F77" w:rsidRDefault="001B7F77" w:rsidP="001B7F77">
      <w:pPr>
        <w:suppressAutoHyphens/>
        <w:spacing w:before="120"/>
        <w:rPr>
          <w:rFonts w:eastAsia="Times"/>
          <w:u w:val="single"/>
        </w:rPr>
      </w:pPr>
      <w:r w:rsidRPr="001B7F77">
        <w:rPr>
          <w:rFonts w:eastAsia="Times"/>
          <w:b/>
          <w:u w:val="single"/>
        </w:rPr>
        <w:t xml:space="preserve">705.4 </w:t>
      </w:r>
      <w:r w:rsidRPr="001B7F77">
        <w:rPr>
          <w:rFonts w:eastAsia="Times"/>
          <w:b/>
          <w:bCs/>
          <w:u w:val="single"/>
        </w:rPr>
        <w:t xml:space="preserve">Evaluation of snow, ice and rain loads. </w:t>
      </w:r>
      <w:r w:rsidRPr="001B7F77">
        <w:rPr>
          <w:u w:val="single"/>
        </w:rPr>
        <w:t xml:space="preserve">Snow, rain on snow, ice loads including snow drift, sliding and unbalanced snow conditions shall be calculated according to the </w:t>
      </w:r>
      <w:r w:rsidRPr="001B7F77">
        <w:rPr>
          <w:i/>
          <w:iCs/>
          <w:u w:val="single"/>
        </w:rPr>
        <w:t>New York City Building Code</w:t>
      </w:r>
      <w:r w:rsidRPr="001B7F77">
        <w:rPr>
          <w:u w:val="single"/>
        </w:rPr>
        <w:t xml:space="preserve"> and ASCE 7.</w:t>
      </w:r>
    </w:p>
    <w:p w14:paraId="4EE70A3A" w14:textId="77777777" w:rsidR="001B7F77" w:rsidRPr="001B7F77" w:rsidRDefault="001B7F77" w:rsidP="001B7F77">
      <w:pPr>
        <w:suppressAutoHyphens/>
        <w:spacing w:before="120"/>
        <w:ind w:left="360"/>
        <w:rPr>
          <w:u w:val="single"/>
        </w:rPr>
      </w:pPr>
      <w:r w:rsidRPr="001B7F77">
        <w:rPr>
          <w:rFonts w:eastAsia="Times"/>
          <w:b/>
          <w:bCs/>
          <w:u w:val="single"/>
        </w:rPr>
        <w:t xml:space="preserve">705.4.1 Snow sliding. </w:t>
      </w:r>
      <w:r w:rsidRPr="001B7F77">
        <w:rPr>
          <w:u w:val="single"/>
        </w:rPr>
        <w:t xml:space="preserve">Where a vertical or horizontal alteration is performed, the altered building shall be designed to limit displacement of snow through sliding. </w:t>
      </w:r>
    </w:p>
    <w:p w14:paraId="10802A37" w14:textId="77777777" w:rsidR="001B7F77" w:rsidRPr="001B7F77" w:rsidRDefault="001B7F77" w:rsidP="001B7F77">
      <w:pPr>
        <w:shd w:val="clear" w:color="auto" w:fill="FFFFFF"/>
        <w:tabs>
          <w:tab w:val="left" w:pos="180"/>
        </w:tabs>
        <w:suppressAutoHyphens/>
        <w:spacing w:before="120"/>
        <w:ind w:left="360"/>
        <w:rPr>
          <w:u w:val="single"/>
        </w:rPr>
      </w:pPr>
      <w:r w:rsidRPr="001B7F77">
        <w:rPr>
          <w:rFonts w:eastAsia="Times"/>
          <w:b/>
          <w:bCs/>
          <w:u w:val="single"/>
        </w:rPr>
        <w:t xml:space="preserve">705.4.2 Special consideration. </w:t>
      </w:r>
      <w:r w:rsidRPr="001B7F77">
        <w:rPr>
          <w:u w:val="single"/>
        </w:rPr>
        <w:t xml:space="preserve">Where existing buildings adjacent to a vertical or horizontal alteration have roofs with wood, steel truss or cold formed steel joists spanning 25 ft or less, a visual condition assessment of such adjacent building, as relevant to snow, ice or rain loading, shall be performed. Such visual assessment may be taken from the adjacent altered building’s roof and from the adjacent ground </w:t>
      </w:r>
      <w:r w:rsidRPr="001B7F77">
        <w:rPr>
          <w:rFonts w:eastAsia="Times"/>
          <w:u w:val="single"/>
        </w:rPr>
        <w:t xml:space="preserve">and need not require the use </w:t>
      </w:r>
      <w:r w:rsidRPr="001B7F77">
        <w:rPr>
          <w:u w:val="single"/>
        </w:rPr>
        <w:t>of magnifying devices. The owner of the building causing the vertical or horizontal alteration shall provide the results of the condition assessment to the owner of such adjacent building.</w:t>
      </w:r>
    </w:p>
    <w:p w14:paraId="1FE03CF9" w14:textId="77777777" w:rsidR="001B7F77" w:rsidRPr="001B7F77" w:rsidRDefault="001B7F77" w:rsidP="001B7F77">
      <w:pPr>
        <w:shd w:val="clear" w:color="auto" w:fill="FFFFFF"/>
        <w:tabs>
          <w:tab w:val="left" w:pos="180"/>
        </w:tabs>
        <w:suppressAutoHyphens/>
        <w:spacing w:before="120"/>
        <w:rPr>
          <w:rFonts w:eastAsia="Times"/>
          <w:u w:val="single"/>
        </w:rPr>
      </w:pPr>
      <w:r w:rsidRPr="001B7F77">
        <w:rPr>
          <w:rFonts w:eastAsia="Times"/>
          <w:b/>
          <w:u w:val="single"/>
        </w:rPr>
        <w:t>705.5 Wind loads</w:t>
      </w:r>
      <w:r w:rsidRPr="001B7F77">
        <w:rPr>
          <w:rFonts w:eastAsia="Times"/>
          <w:u w:val="single"/>
        </w:rPr>
        <w:t xml:space="preserve">. Wind loads shall be determined in accordance with the </w:t>
      </w:r>
      <w:r w:rsidRPr="001B7F77">
        <w:rPr>
          <w:rFonts w:eastAsia="Times"/>
          <w:i/>
          <w:iCs/>
          <w:u w:val="single"/>
        </w:rPr>
        <w:t>New York City Building Code.</w:t>
      </w:r>
    </w:p>
    <w:p w14:paraId="788FF0C0" w14:textId="77777777" w:rsidR="001B7F77" w:rsidRPr="001B7F77" w:rsidRDefault="001B7F77" w:rsidP="001B7F77">
      <w:pPr>
        <w:suppressAutoHyphens/>
        <w:spacing w:before="120"/>
        <w:rPr>
          <w:rFonts w:eastAsia="Times"/>
          <w:u w:val="single"/>
        </w:rPr>
      </w:pPr>
      <w:r w:rsidRPr="001B7F77">
        <w:rPr>
          <w:rFonts w:eastAsia="Times"/>
          <w:b/>
          <w:u w:val="single"/>
        </w:rPr>
        <w:t>705.6 Seismic loads</w:t>
      </w:r>
      <w:r w:rsidRPr="001B7F77">
        <w:rPr>
          <w:rFonts w:eastAsia="Times"/>
          <w:u w:val="single"/>
        </w:rPr>
        <w:t xml:space="preserve">. Seismic design shall be in accordance with either the </w:t>
      </w:r>
      <w:r w:rsidRPr="001B7F77">
        <w:rPr>
          <w:rFonts w:eastAsia="Times"/>
          <w:i/>
          <w:iCs/>
          <w:u w:val="single"/>
        </w:rPr>
        <w:t>New York City Building Code</w:t>
      </w:r>
      <w:r w:rsidRPr="001B7F77">
        <w:rPr>
          <w:rFonts w:eastAsia="Times"/>
          <w:u w:val="single"/>
        </w:rPr>
        <w:t xml:space="preserve"> or ASCE 41, with each code followed in its entirety, as specified below: </w:t>
      </w:r>
    </w:p>
    <w:p w14:paraId="4513DCDA" w14:textId="77777777" w:rsidR="001B7F77" w:rsidRPr="001B7F77" w:rsidRDefault="001B7F77" w:rsidP="001B7F77">
      <w:pPr>
        <w:suppressAutoHyphens/>
        <w:spacing w:before="120"/>
        <w:ind w:left="720" w:hanging="360"/>
        <w:rPr>
          <w:rFonts w:eastAsia="Times"/>
          <w:u w:val="single"/>
        </w:rPr>
      </w:pPr>
      <w:r w:rsidRPr="001B7F77">
        <w:rPr>
          <w:rFonts w:eastAsia="Times"/>
          <w:u w:val="single"/>
        </w:rPr>
        <w:t>1.</w:t>
      </w:r>
      <w:r w:rsidRPr="001B7F77">
        <w:rPr>
          <w:rFonts w:eastAsia="Times"/>
          <w:u w:val="single"/>
        </w:rPr>
        <w:tab/>
        <w:t xml:space="preserve">Demand and capacity determined in accordance with the </w:t>
      </w:r>
      <w:r w:rsidRPr="001B7F77">
        <w:rPr>
          <w:rFonts w:eastAsia="Times"/>
          <w:i/>
          <w:iCs/>
          <w:u w:val="single"/>
        </w:rPr>
        <w:t>New York City Building Code</w:t>
      </w:r>
      <w:r w:rsidRPr="001B7F77">
        <w:rPr>
          <w:rFonts w:eastAsia="Times"/>
          <w:u w:val="single"/>
        </w:rPr>
        <w:t xml:space="preserve">. </w:t>
      </w:r>
    </w:p>
    <w:p w14:paraId="260C6EA3" w14:textId="77777777" w:rsidR="001B7F77" w:rsidRPr="001B7F77" w:rsidRDefault="001B7F77" w:rsidP="001B7F77">
      <w:pPr>
        <w:tabs>
          <w:tab w:val="left" w:pos="720"/>
        </w:tabs>
        <w:suppressAutoHyphens/>
        <w:spacing w:before="120"/>
        <w:ind w:left="720" w:hanging="360"/>
        <w:rPr>
          <w:rFonts w:eastAsia="Times"/>
          <w:u w:val="single"/>
        </w:rPr>
      </w:pPr>
      <w:r w:rsidRPr="001B7F77">
        <w:rPr>
          <w:rFonts w:eastAsia="Times"/>
          <w:u w:val="single"/>
        </w:rPr>
        <w:t xml:space="preserve">2. </w:t>
      </w:r>
      <w:r w:rsidRPr="001B7F77">
        <w:rPr>
          <w:rFonts w:eastAsia="Times"/>
          <w:u w:val="single"/>
        </w:rPr>
        <w:tab/>
        <w:t xml:space="preserve">Demand and capacity determined in accordance with ASCE 41, using a Tier 3 procedure and the two-level performance objective indicated in Table 705.6 for the applicable Risk Category. Site Class shall be determined in accordance with Chapter 16 of the </w:t>
      </w:r>
      <w:r w:rsidRPr="001B7F77">
        <w:rPr>
          <w:rFonts w:eastAsia="Times"/>
          <w:i/>
          <w:iCs/>
          <w:u w:val="single"/>
        </w:rPr>
        <w:t>New York City Building Code</w:t>
      </w:r>
      <w:r w:rsidRPr="001B7F77">
        <w:rPr>
          <w:rFonts w:eastAsia="Times"/>
          <w:u w:val="single"/>
        </w:rPr>
        <w:t xml:space="preserve">. Liquefaction evaluation shall be performed in accordance with Chapter 18 of the </w:t>
      </w:r>
      <w:r w:rsidRPr="001B7F77">
        <w:rPr>
          <w:rFonts w:eastAsia="Times"/>
          <w:i/>
          <w:iCs/>
          <w:u w:val="single"/>
        </w:rPr>
        <w:t>New York City Building Code</w:t>
      </w:r>
      <w:r w:rsidRPr="001B7F77">
        <w:rPr>
          <w:rFonts w:eastAsia="Times"/>
          <w:u w:val="single"/>
        </w:rPr>
        <w:t>.</w:t>
      </w:r>
    </w:p>
    <w:p w14:paraId="45FD3C14" w14:textId="77777777" w:rsidR="001B7F77" w:rsidRPr="001B7F77" w:rsidRDefault="001B7F77" w:rsidP="001B7F77">
      <w:pPr>
        <w:widowControl w:val="0"/>
        <w:suppressAutoHyphens/>
        <w:spacing w:before="120"/>
        <w:jc w:val="center"/>
        <w:outlineLvl w:val="0"/>
        <w:rPr>
          <w:rFonts w:eastAsia="Times"/>
          <w:b/>
          <w:u w:val="single"/>
        </w:rPr>
      </w:pPr>
      <w:r w:rsidRPr="001B7F77">
        <w:rPr>
          <w:rFonts w:eastAsia="Times"/>
          <w:b/>
          <w:u w:val="single"/>
        </w:rPr>
        <w:t>TABLE 705.6</w:t>
      </w:r>
      <w:r w:rsidRPr="001B7F77">
        <w:rPr>
          <w:rFonts w:eastAsia="Times"/>
          <w:b/>
          <w:u w:val="single"/>
        </w:rPr>
        <w:br/>
        <w:t>PERFORMANCE OBJECTIVES FOR USE IN ASCE 41 FOR COMPLIANCE WITH</w:t>
      </w:r>
      <w:r w:rsidRPr="001B7F77">
        <w:rPr>
          <w:rFonts w:eastAsia="Times"/>
          <w:b/>
          <w:u w:val="single"/>
        </w:rPr>
        <w:br/>
      </w:r>
      <w:r w:rsidRPr="001B7F77">
        <w:rPr>
          <w:rFonts w:eastAsia="Times"/>
          <w:b/>
          <w:i/>
          <w:iCs/>
          <w:u w:val="single"/>
        </w:rPr>
        <w:t>NEW YORK CITY BUILDING CODE</w:t>
      </w:r>
      <w:r w:rsidRPr="001B7F77">
        <w:rPr>
          <w:rFonts w:eastAsia="Times"/>
          <w:b/>
          <w:u w:val="single"/>
        </w:rPr>
        <w:t>-LEVEL SEISMIC FORCES</w:t>
      </w:r>
    </w:p>
    <w:tbl>
      <w:tblPr>
        <w:tblW w:w="76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32"/>
        <w:gridCol w:w="3067"/>
        <w:gridCol w:w="2251"/>
      </w:tblGrid>
      <w:tr w:rsidR="001B7F77" w:rsidRPr="001B7F77" w14:paraId="4A38D968" w14:textId="77777777" w:rsidTr="006655A1">
        <w:trPr>
          <w:jc w:val="center"/>
        </w:trPr>
        <w:tc>
          <w:tcPr>
            <w:tcW w:w="2330" w:type="dxa"/>
            <w:tcBorders>
              <w:top w:val="single" w:sz="4" w:space="0" w:color="000000"/>
              <w:left w:val="single" w:sz="4" w:space="0" w:color="000000"/>
              <w:bottom w:val="single" w:sz="4" w:space="0" w:color="000000"/>
              <w:right w:val="single" w:sz="4" w:space="0" w:color="000000"/>
            </w:tcBorders>
            <w:vAlign w:val="center"/>
            <w:hideMark/>
          </w:tcPr>
          <w:p w14:paraId="1EF6B571" w14:textId="77777777" w:rsidR="001B7F77" w:rsidRPr="001B7F77" w:rsidRDefault="001B7F77" w:rsidP="001B7F77">
            <w:pPr>
              <w:suppressAutoHyphens/>
              <w:spacing w:before="120"/>
              <w:jc w:val="center"/>
              <w:rPr>
                <w:rFonts w:eastAsia="Times"/>
                <w:u w:val="single"/>
              </w:rPr>
            </w:pPr>
            <w:r w:rsidRPr="001B7F77">
              <w:rPr>
                <w:rFonts w:eastAsia="Times"/>
                <w:b/>
                <w:u w:val="single"/>
              </w:rPr>
              <w:t>RISK CATEGORY</w:t>
            </w:r>
            <w:r w:rsidRPr="001B7F77">
              <w:rPr>
                <w:rFonts w:eastAsia="Times"/>
                <w:b/>
                <w:u w:val="single"/>
              </w:rPr>
              <w:br/>
              <w:t xml:space="preserve">(Based on </w:t>
            </w:r>
            <w:r w:rsidRPr="001B7F77">
              <w:rPr>
                <w:rFonts w:eastAsia="Times"/>
                <w:b/>
                <w:i/>
                <w:iCs/>
                <w:u w:val="single"/>
              </w:rPr>
              <w:t>New York City Building Code</w:t>
            </w:r>
            <w:r w:rsidRPr="001B7F77">
              <w:rPr>
                <w:rFonts w:eastAsia="Times"/>
                <w:b/>
                <w:u w:val="single"/>
              </w:rPr>
              <w:t xml:space="preserve"> Table 1604.5)</w:t>
            </w:r>
          </w:p>
        </w:tc>
        <w:tc>
          <w:tcPr>
            <w:tcW w:w="3065" w:type="dxa"/>
            <w:tcBorders>
              <w:top w:val="single" w:sz="4" w:space="0" w:color="000000"/>
              <w:left w:val="single" w:sz="4" w:space="0" w:color="000000"/>
              <w:bottom w:val="single" w:sz="4" w:space="0" w:color="000000"/>
              <w:right w:val="single" w:sz="4" w:space="0" w:color="000000"/>
            </w:tcBorders>
            <w:vAlign w:val="center"/>
            <w:hideMark/>
          </w:tcPr>
          <w:p w14:paraId="799B7249" w14:textId="77777777" w:rsidR="001B7F77" w:rsidRPr="001B7F77" w:rsidRDefault="001B7F77" w:rsidP="001B7F77">
            <w:pPr>
              <w:tabs>
                <w:tab w:val="left" w:pos="229"/>
              </w:tabs>
              <w:suppressAutoHyphens/>
              <w:spacing w:before="120"/>
              <w:jc w:val="center"/>
              <w:rPr>
                <w:rFonts w:eastAsia="Times"/>
                <w:u w:val="single"/>
              </w:rPr>
            </w:pPr>
            <w:r w:rsidRPr="001B7F77">
              <w:rPr>
                <w:rFonts w:eastAsia="Times"/>
                <w:b/>
                <w:u w:val="single"/>
              </w:rPr>
              <w:t>STRUCTURAL PERFORMANCE LEVEL FOR USE</w:t>
            </w:r>
            <w:r w:rsidRPr="001B7F77">
              <w:rPr>
                <w:rFonts w:eastAsia="Times"/>
                <w:b/>
                <w:u w:val="single"/>
              </w:rPr>
              <w:br/>
              <w:t>WITH BSE-1N EARTHQUAKE HAZARD LEVEL</w:t>
            </w:r>
          </w:p>
        </w:tc>
        <w:tc>
          <w:tcPr>
            <w:tcW w:w="2250" w:type="dxa"/>
            <w:tcBorders>
              <w:top w:val="single" w:sz="4" w:space="0" w:color="000000"/>
              <w:left w:val="single" w:sz="4" w:space="0" w:color="000000"/>
              <w:bottom w:val="single" w:sz="4" w:space="0" w:color="000000"/>
              <w:right w:val="single" w:sz="4" w:space="0" w:color="000000"/>
            </w:tcBorders>
            <w:vAlign w:val="center"/>
            <w:hideMark/>
          </w:tcPr>
          <w:p w14:paraId="5B7C4A3C" w14:textId="77777777" w:rsidR="001B7F77" w:rsidRPr="001B7F77" w:rsidRDefault="001B7F77" w:rsidP="001B7F77">
            <w:pPr>
              <w:tabs>
                <w:tab w:val="left" w:pos="229"/>
              </w:tabs>
              <w:suppressAutoHyphens/>
              <w:spacing w:before="120"/>
              <w:jc w:val="center"/>
              <w:rPr>
                <w:rFonts w:eastAsia="Times"/>
                <w:u w:val="single"/>
              </w:rPr>
            </w:pPr>
            <w:r w:rsidRPr="001B7F77">
              <w:rPr>
                <w:rFonts w:eastAsia="Times"/>
                <w:b/>
                <w:u w:val="single"/>
              </w:rPr>
              <w:t>STRUCTURAL PERFORMANCE LEVEL FOR USE</w:t>
            </w:r>
            <w:r w:rsidRPr="001B7F77">
              <w:rPr>
                <w:rFonts w:eastAsia="Times"/>
                <w:b/>
                <w:u w:val="single"/>
              </w:rPr>
              <w:br/>
              <w:t>WITH BSE-2N EARTHQUAKE HAZARD LEVEL</w:t>
            </w:r>
          </w:p>
        </w:tc>
      </w:tr>
      <w:tr w:rsidR="001B7F77" w:rsidRPr="001B7F77" w14:paraId="53993D3A" w14:textId="77777777" w:rsidTr="006655A1">
        <w:trPr>
          <w:jc w:val="center"/>
        </w:trPr>
        <w:tc>
          <w:tcPr>
            <w:tcW w:w="2330" w:type="dxa"/>
            <w:tcBorders>
              <w:top w:val="single" w:sz="4" w:space="0" w:color="000000"/>
              <w:left w:val="single" w:sz="4" w:space="0" w:color="000000"/>
              <w:bottom w:val="single" w:sz="4" w:space="0" w:color="000000"/>
              <w:right w:val="single" w:sz="4" w:space="0" w:color="000000"/>
            </w:tcBorders>
            <w:vAlign w:val="center"/>
            <w:hideMark/>
          </w:tcPr>
          <w:p w14:paraId="01F93D0E" w14:textId="77777777" w:rsidR="001B7F77" w:rsidRPr="001B7F77" w:rsidRDefault="001B7F77" w:rsidP="001B7F77">
            <w:pPr>
              <w:suppressAutoHyphens/>
              <w:spacing w:before="120"/>
              <w:jc w:val="center"/>
              <w:rPr>
                <w:rFonts w:eastAsia="Times"/>
                <w:u w:val="single"/>
              </w:rPr>
            </w:pPr>
            <w:r w:rsidRPr="001B7F77">
              <w:rPr>
                <w:rFonts w:eastAsia="Times"/>
                <w:u w:val="single"/>
              </w:rPr>
              <w:t>I</w:t>
            </w:r>
          </w:p>
        </w:tc>
        <w:tc>
          <w:tcPr>
            <w:tcW w:w="3065" w:type="dxa"/>
            <w:tcBorders>
              <w:top w:val="single" w:sz="4" w:space="0" w:color="000000"/>
              <w:left w:val="single" w:sz="4" w:space="0" w:color="000000"/>
              <w:bottom w:val="single" w:sz="4" w:space="0" w:color="000000"/>
              <w:right w:val="single" w:sz="4" w:space="0" w:color="000000"/>
            </w:tcBorders>
            <w:vAlign w:val="center"/>
            <w:hideMark/>
          </w:tcPr>
          <w:p w14:paraId="51A8067F" w14:textId="77777777" w:rsidR="001B7F77" w:rsidRPr="001B7F77" w:rsidRDefault="001B7F77" w:rsidP="001B7F77">
            <w:pPr>
              <w:suppressAutoHyphens/>
              <w:spacing w:before="120"/>
              <w:jc w:val="center"/>
              <w:rPr>
                <w:rFonts w:eastAsia="Times"/>
                <w:u w:val="single"/>
              </w:rPr>
            </w:pPr>
            <w:r w:rsidRPr="001B7F77">
              <w:rPr>
                <w:rFonts w:eastAsia="Times"/>
                <w:u w:val="single"/>
              </w:rPr>
              <w:t>Life Safety (S-3)</w:t>
            </w:r>
          </w:p>
        </w:tc>
        <w:tc>
          <w:tcPr>
            <w:tcW w:w="2250" w:type="dxa"/>
            <w:tcBorders>
              <w:top w:val="single" w:sz="4" w:space="0" w:color="000000"/>
              <w:left w:val="single" w:sz="4" w:space="0" w:color="000000"/>
              <w:bottom w:val="single" w:sz="4" w:space="0" w:color="000000"/>
              <w:right w:val="single" w:sz="4" w:space="0" w:color="000000"/>
            </w:tcBorders>
            <w:vAlign w:val="center"/>
            <w:hideMark/>
          </w:tcPr>
          <w:p w14:paraId="360E09C3" w14:textId="77777777" w:rsidR="001B7F77" w:rsidRPr="001B7F77" w:rsidRDefault="001B7F77" w:rsidP="001B7F77">
            <w:pPr>
              <w:suppressAutoHyphens/>
              <w:spacing w:before="120"/>
              <w:jc w:val="center"/>
              <w:rPr>
                <w:rFonts w:eastAsia="Times"/>
                <w:u w:val="single"/>
              </w:rPr>
            </w:pPr>
            <w:r w:rsidRPr="001B7F77">
              <w:rPr>
                <w:rFonts w:eastAsia="Times"/>
                <w:u w:val="single"/>
              </w:rPr>
              <w:t>Collapse Prevention (S-5)</w:t>
            </w:r>
          </w:p>
        </w:tc>
      </w:tr>
      <w:tr w:rsidR="001B7F77" w:rsidRPr="001B7F77" w14:paraId="0BC2EC93" w14:textId="77777777" w:rsidTr="006655A1">
        <w:trPr>
          <w:jc w:val="center"/>
        </w:trPr>
        <w:tc>
          <w:tcPr>
            <w:tcW w:w="2330" w:type="dxa"/>
            <w:tcBorders>
              <w:top w:val="single" w:sz="4" w:space="0" w:color="000000"/>
              <w:left w:val="single" w:sz="4" w:space="0" w:color="000000"/>
              <w:bottom w:val="single" w:sz="4" w:space="0" w:color="000000"/>
              <w:right w:val="single" w:sz="4" w:space="0" w:color="000000"/>
            </w:tcBorders>
            <w:vAlign w:val="center"/>
            <w:hideMark/>
          </w:tcPr>
          <w:p w14:paraId="38CECD89" w14:textId="77777777" w:rsidR="001B7F77" w:rsidRPr="001B7F77" w:rsidRDefault="001B7F77" w:rsidP="001B7F77">
            <w:pPr>
              <w:suppressAutoHyphens/>
              <w:spacing w:before="120"/>
              <w:jc w:val="center"/>
              <w:rPr>
                <w:rFonts w:eastAsia="Times"/>
                <w:u w:val="single"/>
              </w:rPr>
            </w:pPr>
            <w:r w:rsidRPr="001B7F77">
              <w:rPr>
                <w:rFonts w:eastAsia="Times"/>
                <w:u w:val="single"/>
              </w:rPr>
              <w:t>II</w:t>
            </w:r>
          </w:p>
        </w:tc>
        <w:tc>
          <w:tcPr>
            <w:tcW w:w="3065" w:type="dxa"/>
            <w:tcBorders>
              <w:top w:val="single" w:sz="4" w:space="0" w:color="000000"/>
              <w:left w:val="single" w:sz="4" w:space="0" w:color="000000"/>
              <w:bottom w:val="single" w:sz="4" w:space="0" w:color="000000"/>
              <w:right w:val="single" w:sz="4" w:space="0" w:color="000000"/>
            </w:tcBorders>
            <w:vAlign w:val="center"/>
            <w:hideMark/>
          </w:tcPr>
          <w:p w14:paraId="70AFD716" w14:textId="77777777" w:rsidR="001B7F77" w:rsidRPr="001B7F77" w:rsidRDefault="001B7F77" w:rsidP="001B7F77">
            <w:pPr>
              <w:suppressAutoHyphens/>
              <w:spacing w:before="120"/>
              <w:jc w:val="center"/>
              <w:rPr>
                <w:rFonts w:eastAsia="Times"/>
                <w:u w:val="single"/>
              </w:rPr>
            </w:pPr>
            <w:r w:rsidRPr="001B7F77">
              <w:rPr>
                <w:rFonts w:eastAsia="Times"/>
                <w:u w:val="single"/>
              </w:rPr>
              <w:t>Life Safety (S-3)</w:t>
            </w:r>
          </w:p>
        </w:tc>
        <w:tc>
          <w:tcPr>
            <w:tcW w:w="2250" w:type="dxa"/>
            <w:tcBorders>
              <w:top w:val="single" w:sz="4" w:space="0" w:color="000000"/>
              <w:left w:val="single" w:sz="4" w:space="0" w:color="000000"/>
              <w:bottom w:val="single" w:sz="4" w:space="0" w:color="000000"/>
              <w:right w:val="single" w:sz="4" w:space="0" w:color="000000"/>
            </w:tcBorders>
            <w:vAlign w:val="center"/>
            <w:hideMark/>
          </w:tcPr>
          <w:p w14:paraId="24DB4A6D" w14:textId="77777777" w:rsidR="001B7F77" w:rsidRPr="001B7F77" w:rsidRDefault="001B7F77" w:rsidP="001B7F77">
            <w:pPr>
              <w:suppressAutoHyphens/>
              <w:spacing w:before="120"/>
              <w:jc w:val="center"/>
              <w:rPr>
                <w:rFonts w:eastAsia="Times"/>
                <w:u w:val="single"/>
              </w:rPr>
            </w:pPr>
            <w:r w:rsidRPr="001B7F77">
              <w:rPr>
                <w:rFonts w:eastAsia="Times"/>
                <w:u w:val="single"/>
              </w:rPr>
              <w:t>Collapse Prevention (S-5)</w:t>
            </w:r>
          </w:p>
        </w:tc>
      </w:tr>
      <w:tr w:rsidR="001B7F77" w:rsidRPr="001B7F77" w14:paraId="5F7BB196" w14:textId="77777777" w:rsidTr="006655A1">
        <w:trPr>
          <w:jc w:val="center"/>
        </w:trPr>
        <w:tc>
          <w:tcPr>
            <w:tcW w:w="2330" w:type="dxa"/>
            <w:tcBorders>
              <w:top w:val="single" w:sz="4" w:space="0" w:color="000000"/>
              <w:left w:val="single" w:sz="4" w:space="0" w:color="000000"/>
              <w:bottom w:val="single" w:sz="4" w:space="0" w:color="000000"/>
              <w:right w:val="single" w:sz="4" w:space="0" w:color="000000"/>
            </w:tcBorders>
            <w:vAlign w:val="center"/>
            <w:hideMark/>
          </w:tcPr>
          <w:p w14:paraId="4FFA86FD" w14:textId="77777777" w:rsidR="001B7F77" w:rsidRPr="001B7F77" w:rsidRDefault="001B7F77" w:rsidP="001B7F77">
            <w:pPr>
              <w:suppressAutoHyphens/>
              <w:spacing w:before="120"/>
              <w:jc w:val="center"/>
              <w:rPr>
                <w:rFonts w:eastAsia="Times"/>
                <w:u w:val="single"/>
              </w:rPr>
            </w:pPr>
            <w:r w:rsidRPr="001B7F77">
              <w:rPr>
                <w:rFonts w:eastAsia="Times"/>
                <w:u w:val="single"/>
              </w:rPr>
              <w:t>III</w:t>
            </w:r>
          </w:p>
        </w:tc>
        <w:tc>
          <w:tcPr>
            <w:tcW w:w="3065" w:type="dxa"/>
            <w:tcBorders>
              <w:top w:val="single" w:sz="4" w:space="0" w:color="000000"/>
              <w:left w:val="single" w:sz="4" w:space="0" w:color="000000"/>
              <w:bottom w:val="single" w:sz="4" w:space="0" w:color="000000"/>
              <w:right w:val="single" w:sz="4" w:space="0" w:color="000000"/>
            </w:tcBorders>
            <w:vAlign w:val="center"/>
            <w:hideMark/>
          </w:tcPr>
          <w:p w14:paraId="59196B9B" w14:textId="77777777" w:rsidR="001B7F77" w:rsidRPr="001B7F77" w:rsidRDefault="001B7F77" w:rsidP="001B7F77">
            <w:pPr>
              <w:suppressAutoHyphens/>
              <w:spacing w:before="120"/>
              <w:jc w:val="center"/>
              <w:rPr>
                <w:rFonts w:eastAsia="Times"/>
                <w:u w:val="single"/>
              </w:rPr>
            </w:pPr>
            <w:r w:rsidRPr="001B7F77">
              <w:rPr>
                <w:rFonts w:eastAsia="Times"/>
                <w:u w:val="single"/>
              </w:rPr>
              <w:t>Damage Control (S-2)</w:t>
            </w:r>
          </w:p>
        </w:tc>
        <w:tc>
          <w:tcPr>
            <w:tcW w:w="2250" w:type="dxa"/>
            <w:tcBorders>
              <w:top w:val="single" w:sz="4" w:space="0" w:color="000000"/>
              <w:left w:val="single" w:sz="4" w:space="0" w:color="000000"/>
              <w:bottom w:val="single" w:sz="4" w:space="0" w:color="000000"/>
              <w:right w:val="single" w:sz="4" w:space="0" w:color="000000"/>
            </w:tcBorders>
            <w:vAlign w:val="center"/>
            <w:hideMark/>
          </w:tcPr>
          <w:p w14:paraId="3F41EF07" w14:textId="77777777" w:rsidR="001B7F77" w:rsidRPr="001B7F77" w:rsidRDefault="001B7F77" w:rsidP="001B7F77">
            <w:pPr>
              <w:suppressAutoHyphens/>
              <w:spacing w:before="120"/>
              <w:jc w:val="center"/>
              <w:rPr>
                <w:rFonts w:eastAsia="Times"/>
                <w:u w:val="single"/>
              </w:rPr>
            </w:pPr>
            <w:r w:rsidRPr="001B7F77">
              <w:rPr>
                <w:rFonts w:eastAsia="Times"/>
                <w:u w:val="single"/>
              </w:rPr>
              <w:t>Limited Safety (S-4)</w:t>
            </w:r>
          </w:p>
        </w:tc>
      </w:tr>
      <w:tr w:rsidR="001B7F77" w:rsidRPr="001B7F77" w14:paraId="37D59755" w14:textId="77777777" w:rsidTr="006655A1">
        <w:trPr>
          <w:jc w:val="center"/>
        </w:trPr>
        <w:tc>
          <w:tcPr>
            <w:tcW w:w="2330" w:type="dxa"/>
            <w:tcBorders>
              <w:top w:val="single" w:sz="4" w:space="0" w:color="000000"/>
              <w:left w:val="single" w:sz="4" w:space="0" w:color="000000"/>
              <w:bottom w:val="single" w:sz="4" w:space="0" w:color="000000"/>
              <w:right w:val="single" w:sz="4" w:space="0" w:color="000000"/>
            </w:tcBorders>
            <w:vAlign w:val="center"/>
            <w:hideMark/>
          </w:tcPr>
          <w:p w14:paraId="2758C3BA" w14:textId="77777777" w:rsidR="001B7F77" w:rsidRPr="001B7F77" w:rsidRDefault="001B7F77" w:rsidP="001B7F77">
            <w:pPr>
              <w:suppressAutoHyphens/>
              <w:spacing w:before="120"/>
              <w:jc w:val="center"/>
              <w:rPr>
                <w:rFonts w:eastAsia="Times"/>
                <w:u w:val="single"/>
              </w:rPr>
            </w:pPr>
            <w:r w:rsidRPr="001B7F77">
              <w:rPr>
                <w:rFonts w:eastAsia="Times"/>
                <w:u w:val="single"/>
              </w:rPr>
              <w:t>IV</w:t>
            </w:r>
          </w:p>
        </w:tc>
        <w:tc>
          <w:tcPr>
            <w:tcW w:w="3065" w:type="dxa"/>
            <w:tcBorders>
              <w:top w:val="single" w:sz="4" w:space="0" w:color="000000"/>
              <w:left w:val="single" w:sz="4" w:space="0" w:color="000000"/>
              <w:bottom w:val="single" w:sz="4" w:space="0" w:color="000000"/>
              <w:right w:val="single" w:sz="4" w:space="0" w:color="000000"/>
            </w:tcBorders>
            <w:vAlign w:val="center"/>
            <w:hideMark/>
          </w:tcPr>
          <w:p w14:paraId="13597031" w14:textId="77777777" w:rsidR="001B7F77" w:rsidRPr="001B7F77" w:rsidRDefault="001B7F77" w:rsidP="001B7F77">
            <w:pPr>
              <w:suppressAutoHyphens/>
              <w:spacing w:before="120"/>
              <w:jc w:val="center"/>
              <w:rPr>
                <w:rFonts w:eastAsia="Times"/>
                <w:u w:val="single"/>
              </w:rPr>
            </w:pPr>
            <w:r w:rsidRPr="001B7F77">
              <w:rPr>
                <w:rFonts w:eastAsia="Times"/>
                <w:u w:val="single"/>
              </w:rPr>
              <w:t>Immediate Occupancy (S-1)</w:t>
            </w:r>
          </w:p>
        </w:tc>
        <w:tc>
          <w:tcPr>
            <w:tcW w:w="2250" w:type="dxa"/>
            <w:tcBorders>
              <w:top w:val="single" w:sz="4" w:space="0" w:color="000000"/>
              <w:left w:val="single" w:sz="4" w:space="0" w:color="000000"/>
              <w:bottom w:val="single" w:sz="4" w:space="0" w:color="000000"/>
              <w:right w:val="single" w:sz="4" w:space="0" w:color="000000"/>
            </w:tcBorders>
            <w:vAlign w:val="center"/>
            <w:hideMark/>
          </w:tcPr>
          <w:p w14:paraId="6931D56D" w14:textId="77777777" w:rsidR="001B7F77" w:rsidRPr="001B7F77" w:rsidRDefault="001B7F77" w:rsidP="001B7F77">
            <w:pPr>
              <w:suppressAutoHyphens/>
              <w:spacing w:before="120"/>
              <w:jc w:val="center"/>
              <w:rPr>
                <w:rFonts w:eastAsia="Times"/>
                <w:u w:val="single"/>
              </w:rPr>
            </w:pPr>
            <w:r w:rsidRPr="001B7F77">
              <w:rPr>
                <w:rFonts w:eastAsia="Times"/>
                <w:u w:val="single"/>
              </w:rPr>
              <w:t>Life Safety (S-3)</w:t>
            </w:r>
          </w:p>
        </w:tc>
      </w:tr>
    </w:tbl>
    <w:p w14:paraId="181B5E77" w14:textId="77777777" w:rsidR="001B7F77" w:rsidRPr="001B7F77" w:rsidRDefault="001B7F77" w:rsidP="001B7F77">
      <w:pPr>
        <w:suppressAutoHyphens/>
        <w:spacing w:before="120"/>
        <w:jc w:val="center"/>
        <w:rPr>
          <w:rFonts w:eastAsia="Times"/>
          <w:b/>
          <w:u w:val="single"/>
        </w:rPr>
      </w:pPr>
    </w:p>
    <w:p w14:paraId="6D03B2C0" w14:textId="77777777" w:rsidR="001B7F77" w:rsidRPr="001B7F77" w:rsidRDefault="001B7F77" w:rsidP="001B7F77">
      <w:pPr>
        <w:widowControl w:val="0"/>
        <w:suppressAutoHyphens/>
        <w:spacing w:before="120"/>
        <w:jc w:val="center"/>
        <w:outlineLvl w:val="0"/>
        <w:rPr>
          <w:rFonts w:eastAsia="Times"/>
          <w:b/>
          <w:u w:val="single"/>
        </w:rPr>
      </w:pPr>
      <w:r w:rsidRPr="001B7F77">
        <w:rPr>
          <w:rFonts w:eastAsia="Times"/>
          <w:b/>
          <w:u w:val="single"/>
        </w:rPr>
        <w:t>SECTION EBC 706</w:t>
      </w:r>
      <w:r w:rsidRPr="001B7F77">
        <w:rPr>
          <w:rFonts w:eastAsia="Times"/>
          <w:b/>
          <w:u w:val="single"/>
        </w:rPr>
        <w:br/>
        <w:t>FLOOD HAZARD AREAS</w:t>
      </w:r>
    </w:p>
    <w:p w14:paraId="41ED6071" w14:textId="77777777" w:rsidR="001B7F77" w:rsidRPr="001B7F77" w:rsidRDefault="001B7F77" w:rsidP="001B7F77">
      <w:pPr>
        <w:suppressAutoHyphens/>
        <w:spacing w:before="120"/>
        <w:rPr>
          <w:rFonts w:eastAsia="Times"/>
          <w:u w:val="single"/>
        </w:rPr>
      </w:pPr>
      <w:r w:rsidRPr="001B7F77">
        <w:rPr>
          <w:rFonts w:eastAsia="Times"/>
          <w:b/>
          <w:u w:val="single"/>
        </w:rPr>
        <w:t>706.1</w:t>
      </w:r>
      <w:r w:rsidRPr="001B7F77">
        <w:rPr>
          <w:rFonts w:eastAsia="Times"/>
          <w:u w:val="single"/>
        </w:rPr>
        <w:t xml:space="preserve"> </w:t>
      </w:r>
      <w:r w:rsidRPr="001B7F77">
        <w:rPr>
          <w:rFonts w:eastAsia="Times"/>
          <w:b/>
          <w:u w:val="single"/>
        </w:rPr>
        <w:t>General</w:t>
      </w:r>
      <w:r w:rsidRPr="001B7F77">
        <w:rPr>
          <w:rFonts w:eastAsia="Times"/>
          <w:u w:val="single"/>
        </w:rPr>
        <w:t xml:space="preserve">. Within areas of special flood hazard in accordance with Section 28-104.9.4 of the </w:t>
      </w:r>
      <w:r w:rsidRPr="001B7F77">
        <w:rPr>
          <w:rFonts w:eastAsia="Times"/>
          <w:i/>
          <w:u w:val="single"/>
        </w:rPr>
        <w:t>Administrative Code</w:t>
      </w:r>
      <w:r w:rsidRPr="001B7F77">
        <w:rPr>
          <w:rFonts w:eastAsia="Times"/>
          <w:u w:val="single"/>
        </w:rPr>
        <w:t xml:space="preserve">, all work for any activity regulated by Appendix G of the </w:t>
      </w:r>
      <w:r w:rsidRPr="001B7F77">
        <w:rPr>
          <w:rFonts w:eastAsia="Times"/>
          <w:i/>
          <w:iCs/>
          <w:u w:val="single"/>
        </w:rPr>
        <w:t>New York City Building Code</w:t>
      </w:r>
      <w:r w:rsidRPr="001B7F77">
        <w:rPr>
          <w:rFonts w:eastAsia="Times"/>
          <w:u w:val="single"/>
        </w:rPr>
        <w:t xml:space="preserve"> shall be governed by such Appendix. </w:t>
      </w:r>
    </w:p>
    <w:p w14:paraId="4A99B015" w14:textId="77777777" w:rsidR="001B7F77" w:rsidRPr="001B7F77" w:rsidRDefault="001B7F77" w:rsidP="001B7F77">
      <w:pPr>
        <w:widowControl w:val="0"/>
        <w:suppressAutoHyphens/>
        <w:spacing w:before="120"/>
        <w:jc w:val="center"/>
        <w:outlineLvl w:val="0"/>
        <w:rPr>
          <w:rFonts w:eastAsia="Times"/>
          <w:b/>
          <w:u w:val="single"/>
        </w:rPr>
      </w:pPr>
    </w:p>
    <w:p w14:paraId="0504F817" w14:textId="77777777" w:rsidR="001B7F77" w:rsidRPr="001B7F77" w:rsidRDefault="001B7F77" w:rsidP="001B7F77">
      <w:pPr>
        <w:widowControl w:val="0"/>
        <w:suppressAutoHyphens/>
        <w:spacing w:before="120"/>
        <w:jc w:val="center"/>
        <w:outlineLvl w:val="0"/>
        <w:rPr>
          <w:rFonts w:eastAsia="Times"/>
          <w:b/>
          <w:u w:val="single"/>
        </w:rPr>
      </w:pPr>
      <w:r w:rsidRPr="001B7F77">
        <w:rPr>
          <w:rFonts w:eastAsia="Times"/>
          <w:b/>
          <w:u w:val="single"/>
        </w:rPr>
        <w:t>SECTION EBC 707</w:t>
      </w:r>
      <w:r w:rsidRPr="001B7F77">
        <w:rPr>
          <w:rFonts w:eastAsia="Times"/>
          <w:b/>
          <w:u w:val="single"/>
        </w:rPr>
        <w:br/>
        <w:t>IN-PLACE MATERIAL, COMPONENT PROPERTIES AND ARCHAIC STRUCTURAL SYSTEMS</w:t>
      </w:r>
    </w:p>
    <w:p w14:paraId="2AAE3165" w14:textId="77777777" w:rsidR="001B7F77" w:rsidRPr="001B7F77" w:rsidRDefault="001B7F77" w:rsidP="001B7F77">
      <w:pPr>
        <w:shd w:val="clear" w:color="auto" w:fill="FFFFFF"/>
        <w:suppressAutoHyphens/>
        <w:spacing w:before="120"/>
        <w:rPr>
          <w:rFonts w:eastAsia="Times"/>
          <w:u w:val="single"/>
        </w:rPr>
      </w:pPr>
      <w:r w:rsidRPr="001B7F77">
        <w:rPr>
          <w:rFonts w:eastAsia="Times"/>
          <w:b/>
          <w:bCs/>
          <w:u w:val="single"/>
        </w:rPr>
        <w:t xml:space="preserve">707.1 General. </w:t>
      </w:r>
      <w:r w:rsidRPr="001B7F77">
        <w:rPr>
          <w:rFonts w:eastAsia="Times"/>
          <w:u w:val="single"/>
        </w:rPr>
        <w:t>Methods of design and properties of in-place structural materials, components, and assemblies, including archaic structural systems, shall be determined</w:t>
      </w:r>
      <w:r w:rsidRPr="001B7F77">
        <w:rPr>
          <w:rFonts w:eastAsia="Times"/>
          <w:szCs w:val="24"/>
          <w:u w:val="single"/>
        </w:rPr>
        <w:t xml:space="preserve"> </w:t>
      </w:r>
      <w:r w:rsidRPr="001B7F77">
        <w:rPr>
          <w:rFonts w:eastAsia="Times"/>
          <w:u w:val="single"/>
        </w:rPr>
        <w:t>according to Appendix H or other requirements specified in this code.</w:t>
      </w:r>
    </w:p>
    <w:p w14:paraId="77A9BB84" w14:textId="77777777" w:rsidR="001B7F77" w:rsidRPr="001B7F77" w:rsidRDefault="001B7F77" w:rsidP="001B7F77">
      <w:pPr>
        <w:widowControl w:val="0"/>
        <w:suppressAutoHyphens/>
        <w:spacing w:before="120"/>
        <w:jc w:val="center"/>
        <w:outlineLvl w:val="0"/>
        <w:rPr>
          <w:rFonts w:eastAsia="Times"/>
          <w:b/>
          <w:u w:val="single"/>
        </w:rPr>
      </w:pPr>
    </w:p>
    <w:p w14:paraId="458BB043" w14:textId="77777777" w:rsidR="001B7F77" w:rsidRPr="001B7F77" w:rsidRDefault="001B7F77" w:rsidP="001B7F77">
      <w:pPr>
        <w:widowControl w:val="0"/>
        <w:suppressAutoHyphens/>
        <w:spacing w:before="120"/>
        <w:jc w:val="center"/>
        <w:outlineLvl w:val="0"/>
        <w:rPr>
          <w:rFonts w:eastAsia="Times"/>
          <w:b/>
          <w:u w:val="single"/>
        </w:rPr>
      </w:pPr>
      <w:r w:rsidRPr="001B7F77">
        <w:rPr>
          <w:rFonts w:eastAsia="Times"/>
          <w:b/>
          <w:u w:val="single"/>
        </w:rPr>
        <w:t>SECTION EBC 708</w:t>
      </w:r>
      <w:r w:rsidRPr="001B7F77">
        <w:rPr>
          <w:rFonts w:eastAsia="Times"/>
          <w:b/>
          <w:u w:val="single"/>
        </w:rPr>
        <w:br/>
        <w:t>REMEDIATION WORK</w:t>
      </w:r>
    </w:p>
    <w:p w14:paraId="1AF5D72E" w14:textId="77777777" w:rsidR="001B7F77" w:rsidRPr="001B7F77" w:rsidRDefault="001B7F77" w:rsidP="001B7F77">
      <w:pPr>
        <w:suppressAutoHyphens/>
        <w:spacing w:before="120"/>
        <w:rPr>
          <w:u w:val="single"/>
        </w:rPr>
      </w:pPr>
      <w:r w:rsidRPr="001B7F77">
        <w:rPr>
          <w:b/>
          <w:bCs/>
          <w:u w:val="single"/>
        </w:rPr>
        <w:t xml:space="preserve">708.1 General. </w:t>
      </w:r>
      <w:r w:rsidRPr="001B7F77">
        <w:rPr>
          <w:u w:val="single"/>
        </w:rPr>
        <w:t xml:space="preserve">Remediation work shall be performed within the work area as required by Section 708.1.1 and for conditions identified during the course of work independent of work area as required by Section 708.1.2. </w:t>
      </w:r>
    </w:p>
    <w:p w14:paraId="644CB535" w14:textId="77777777" w:rsidR="001B7F77" w:rsidRPr="001B7F77" w:rsidRDefault="001B7F77" w:rsidP="001B7F77">
      <w:pPr>
        <w:suppressAutoHyphens/>
        <w:spacing w:before="120"/>
        <w:ind w:left="360"/>
        <w:rPr>
          <w:u w:val="single"/>
        </w:rPr>
      </w:pPr>
      <w:r w:rsidRPr="001B7F77">
        <w:rPr>
          <w:b/>
          <w:bCs/>
          <w:u w:val="single"/>
        </w:rPr>
        <w:t xml:space="preserve">708.1.1 Requirements within the work area. </w:t>
      </w:r>
      <w:r w:rsidRPr="001B7F77">
        <w:rPr>
          <w:u w:val="single"/>
        </w:rPr>
        <w:t xml:space="preserve">Where during the project structural elements and systems within the work area are exposed by the removal of finishes from walls or floors and applicable structural elements, the following shall be verified and remedied within the work area: </w:t>
      </w:r>
    </w:p>
    <w:p w14:paraId="6DD0A69D" w14:textId="77777777" w:rsidR="001B7F77" w:rsidRPr="001B7F77" w:rsidRDefault="001B7F77" w:rsidP="0001508F">
      <w:pPr>
        <w:numPr>
          <w:ilvl w:val="0"/>
          <w:numId w:val="19"/>
        </w:numPr>
        <w:suppressAutoHyphens/>
        <w:autoSpaceDE w:val="0"/>
        <w:autoSpaceDN w:val="0"/>
        <w:spacing w:before="120"/>
        <w:ind w:left="1080"/>
        <w:jc w:val="left"/>
        <w:rPr>
          <w:u w:val="single"/>
        </w:rPr>
      </w:pPr>
      <w:r w:rsidRPr="001B7F77">
        <w:rPr>
          <w:b/>
          <w:bCs/>
          <w:u w:val="single"/>
        </w:rPr>
        <w:t>Ceilings, flooring or sub-floor removals in unreinforced masonry structures.</w:t>
      </w:r>
      <w:r w:rsidRPr="001B7F77">
        <w:rPr>
          <w:u w:val="single"/>
        </w:rPr>
        <w:t xml:space="preserve"> In structures with unreinforced masonry bearing walls and wood-framed or cold-formed joist floors, where ceilings or floorings are removed and the connection of the joist to the wall is exposed, or where anchors are added to party walls as required by Section 703.7, it shall be verified that there are connections of the wood framed or cold-formed joist floor to the wall including to the unreinforced masonry walls parallel to joists. Where no connections are present, connections shall be installed that comply with the requirements of the </w:t>
      </w:r>
      <w:r w:rsidRPr="001B7F77">
        <w:rPr>
          <w:i/>
          <w:iCs/>
          <w:u w:val="single"/>
        </w:rPr>
        <w:t>New York City Building Code</w:t>
      </w:r>
      <w:r w:rsidRPr="001B7F77">
        <w:rPr>
          <w:u w:val="single"/>
        </w:rPr>
        <w:t>, or Chapter A1 of Appendix A of this code.</w:t>
      </w:r>
    </w:p>
    <w:p w14:paraId="7894D89B" w14:textId="77777777" w:rsidR="001B7F77" w:rsidRPr="001B7F77" w:rsidRDefault="001B7F77" w:rsidP="0001508F">
      <w:pPr>
        <w:numPr>
          <w:ilvl w:val="0"/>
          <w:numId w:val="19"/>
        </w:numPr>
        <w:suppressAutoHyphens/>
        <w:autoSpaceDE w:val="0"/>
        <w:autoSpaceDN w:val="0"/>
        <w:spacing w:before="120"/>
        <w:ind w:left="1080"/>
        <w:jc w:val="left"/>
        <w:rPr>
          <w:u w:val="single"/>
        </w:rPr>
      </w:pPr>
      <w:r w:rsidRPr="001B7F77">
        <w:rPr>
          <w:b/>
          <w:bCs/>
          <w:u w:val="single"/>
        </w:rPr>
        <w:t>Ceilings or sheathing removals in wood-framed structures.</w:t>
      </w:r>
      <w:r w:rsidRPr="001B7F77">
        <w:rPr>
          <w:u w:val="single"/>
        </w:rPr>
        <w:t xml:space="preserve"> Where ceilings or sheathing are removed in wood-framed structures, it shall be verified that there is fastening of the wood-framed floor to the wall</w:t>
      </w:r>
      <w:r w:rsidRPr="001B7F77">
        <w:rPr>
          <w:bCs/>
          <w:u w:val="single"/>
        </w:rPr>
        <w:t>,</w:t>
      </w:r>
      <w:r w:rsidRPr="001B7F77">
        <w:rPr>
          <w:u w:val="single"/>
        </w:rPr>
        <w:t xml:space="preserve"> including walls parallel to joists. Where no fastening is present, connections shall be made to comply with Chapter 23 of the </w:t>
      </w:r>
      <w:r w:rsidRPr="001B7F77">
        <w:rPr>
          <w:i/>
          <w:iCs/>
          <w:u w:val="single"/>
        </w:rPr>
        <w:t>New York City Building Code</w:t>
      </w:r>
      <w:r w:rsidRPr="001B7F77">
        <w:rPr>
          <w:u w:val="single"/>
        </w:rPr>
        <w:t>.</w:t>
      </w:r>
    </w:p>
    <w:p w14:paraId="0146B104" w14:textId="77777777" w:rsidR="001B7F77" w:rsidRPr="001B7F77" w:rsidRDefault="001B7F77" w:rsidP="0001508F">
      <w:pPr>
        <w:numPr>
          <w:ilvl w:val="0"/>
          <w:numId w:val="19"/>
        </w:numPr>
        <w:suppressAutoHyphens/>
        <w:autoSpaceDE w:val="0"/>
        <w:autoSpaceDN w:val="0"/>
        <w:spacing w:before="120"/>
        <w:ind w:left="1080"/>
        <w:jc w:val="left"/>
        <w:rPr>
          <w:u w:val="single"/>
        </w:rPr>
      </w:pPr>
      <w:r w:rsidRPr="001B7F77">
        <w:rPr>
          <w:b/>
          <w:bCs/>
          <w:u w:val="single"/>
        </w:rPr>
        <w:t>Sill plates in light-frame construction.</w:t>
      </w:r>
      <w:r w:rsidRPr="001B7F77">
        <w:rPr>
          <w:u w:val="single"/>
        </w:rPr>
        <w:t xml:space="preserve"> Where a sill plate in light-frame construction is exposed, it shall be verified that the sill plate is connected to the foundation in conformance with the </w:t>
      </w:r>
      <w:r w:rsidRPr="001B7F77">
        <w:rPr>
          <w:i/>
          <w:iCs/>
          <w:u w:val="single"/>
        </w:rPr>
        <w:t>New York City Building Code</w:t>
      </w:r>
      <w:r w:rsidRPr="001B7F77">
        <w:rPr>
          <w:u w:val="single"/>
        </w:rPr>
        <w:t xml:space="preserve">. Where the condition does not conform to the </w:t>
      </w:r>
      <w:r w:rsidRPr="001B7F77">
        <w:rPr>
          <w:i/>
          <w:iCs/>
          <w:u w:val="single"/>
        </w:rPr>
        <w:t>New York City Building Code</w:t>
      </w:r>
      <w:r w:rsidRPr="001B7F77">
        <w:rPr>
          <w:u w:val="single"/>
        </w:rPr>
        <w:t>, connections shall be installed to provide 200 plf tension and shear capacity, or in accordance with Chapter A3 of Appendix A of this code.</w:t>
      </w:r>
    </w:p>
    <w:p w14:paraId="10019FED" w14:textId="77777777" w:rsidR="001B7F77" w:rsidRPr="001B7F77" w:rsidRDefault="001B7F77" w:rsidP="0001508F">
      <w:pPr>
        <w:numPr>
          <w:ilvl w:val="0"/>
          <w:numId w:val="19"/>
        </w:numPr>
        <w:suppressAutoHyphens/>
        <w:autoSpaceDE w:val="0"/>
        <w:autoSpaceDN w:val="0"/>
        <w:spacing w:before="120"/>
        <w:ind w:left="1080"/>
        <w:jc w:val="left"/>
        <w:rPr>
          <w:u w:val="single"/>
        </w:rPr>
      </w:pPr>
      <w:r w:rsidRPr="001B7F77">
        <w:rPr>
          <w:b/>
          <w:bCs/>
          <w:u w:val="single"/>
        </w:rPr>
        <w:t xml:space="preserve">Cripple walls in light-frame construction. </w:t>
      </w:r>
      <w:r w:rsidRPr="001B7F77">
        <w:rPr>
          <w:u w:val="single"/>
        </w:rPr>
        <w:t>Where the work on a light-frame building exposes the cripple wall</w:t>
      </w:r>
      <w:r w:rsidRPr="001B7F77">
        <w:rPr>
          <w:bCs/>
          <w:u w:val="single"/>
        </w:rPr>
        <w:t>,</w:t>
      </w:r>
      <w:r w:rsidRPr="001B7F77">
        <w:rPr>
          <w:u w:val="single"/>
        </w:rPr>
        <w:t xml:space="preserve"> it shall be verified that the cripple wall is in conformance with Chapter 23 of the </w:t>
      </w:r>
      <w:r w:rsidRPr="001B7F77">
        <w:rPr>
          <w:i/>
          <w:iCs/>
          <w:u w:val="single"/>
        </w:rPr>
        <w:t>New York City Building Code</w:t>
      </w:r>
      <w:r w:rsidRPr="001B7F77">
        <w:rPr>
          <w:u w:val="single"/>
        </w:rPr>
        <w:t xml:space="preserve">. Where the condition does not conform to the </w:t>
      </w:r>
      <w:r w:rsidRPr="001B7F77">
        <w:rPr>
          <w:i/>
          <w:iCs/>
          <w:u w:val="single"/>
        </w:rPr>
        <w:t>New York City Building Code</w:t>
      </w:r>
      <w:r w:rsidRPr="001B7F77">
        <w:rPr>
          <w:bCs/>
          <w:u w:val="single"/>
        </w:rPr>
        <w:t>,</w:t>
      </w:r>
      <w:r w:rsidRPr="001B7F77">
        <w:rPr>
          <w:u w:val="single"/>
        </w:rPr>
        <w:t xml:space="preserve"> it shall be made to conform, or a connection shall be installed in accordance with Chapter A3 of Appendix A of this code.</w:t>
      </w:r>
    </w:p>
    <w:p w14:paraId="296106CA" w14:textId="77777777" w:rsidR="001B7F77" w:rsidRPr="001B7F77" w:rsidRDefault="001B7F77" w:rsidP="0001508F">
      <w:pPr>
        <w:numPr>
          <w:ilvl w:val="0"/>
          <w:numId w:val="19"/>
        </w:numPr>
        <w:suppressAutoHyphens/>
        <w:autoSpaceDE w:val="0"/>
        <w:autoSpaceDN w:val="0"/>
        <w:spacing w:before="120"/>
        <w:ind w:left="1080"/>
        <w:jc w:val="left"/>
        <w:rPr>
          <w:strike/>
          <w:u w:val="single"/>
        </w:rPr>
      </w:pPr>
      <w:r w:rsidRPr="001B7F77">
        <w:rPr>
          <w:b/>
          <w:bCs/>
          <w:u w:val="single"/>
        </w:rPr>
        <w:t>Headers and trimmers in stair openings</w:t>
      </w:r>
      <w:r w:rsidRPr="001B7F77">
        <w:rPr>
          <w:u w:val="single"/>
        </w:rPr>
        <w:t xml:space="preserve">. Where headers and trimmers around existing stair openings within the work area have deteriorated or have deflected 2 inches (50.8 mm), they shall be reviewed for compliance with the strength provisions of the </w:t>
      </w:r>
      <w:r w:rsidRPr="001B7F77">
        <w:rPr>
          <w:i/>
          <w:iCs/>
          <w:u w:val="single"/>
        </w:rPr>
        <w:t>New York City Building Code</w:t>
      </w:r>
      <w:r w:rsidRPr="001B7F77">
        <w:rPr>
          <w:u w:val="single"/>
        </w:rPr>
        <w:t>, and brought into compliance if required.</w:t>
      </w:r>
    </w:p>
    <w:p w14:paraId="0A4E4180" w14:textId="77777777" w:rsidR="001B7F77" w:rsidRPr="001B7F77" w:rsidRDefault="001B7F77" w:rsidP="0001508F">
      <w:pPr>
        <w:numPr>
          <w:ilvl w:val="0"/>
          <w:numId w:val="19"/>
        </w:numPr>
        <w:suppressAutoHyphens/>
        <w:autoSpaceDE w:val="0"/>
        <w:autoSpaceDN w:val="0"/>
        <w:spacing w:before="120"/>
        <w:ind w:left="1080"/>
        <w:jc w:val="left"/>
        <w:rPr>
          <w:u w:val="single"/>
        </w:rPr>
      </w:pPr>
      <w:r w:rsidRPr="001B7F77">
        <w:rPr>
          <w:b/>
          <w:bCs/>
          <w:u w:val="single"/>
        </w:rPr>
        <w:t>Soft stories in unreinforced masonry structures</w:t>
      </w:r>
      <w:r w:rsidRPr="001B7F77">
        <w:rPr>
          <w:u w:val="single"/>
        </w:rPr>
        <w:t>. Where a first floor exterior street or rear wall in an unreinforced masonry bearing wall structure is found to not be present, or if this street or rear masonry wall has been removed in the past, the structure shall be reinforced as required at the soft story to provide adequate gravity and lateral capacity. The altered structure shall be designed for wind loads of Section 705, or be made to conform with Chapter A4 of Appendix A of this code.</w:t>
      </w:r>
    </w:p>
    <w:p w14:paraId="7733799E" w14:textId="77777777" w:rsidR="001B7F77" w:rsidRPr="001B7F77" w:rsidRDefault="001B7F77" w:rsidP="0001508F">
      <w:pPr>
        <w:numPr>
          <w:ilvl w:val="0"/>
          <w:numId w:val="19"/>
        </w:numPr>
        <w:suppressAutoHyphens/>
        <w:autoSpaceDE w:val="0"/>
        <w:autoSpaceDN w:val="0"/>
        <w:spacing w:before="120"/>
        <w:ind w:left="1080"/>
        <w:jc w:val="left"/>
        <w:rPr>
          <w:strike/>
          <w:u w:val="single"/>
        </w:rPr>
      </w:pPr>
      <w:r w:rsidRPr="001B7F77">
        <w:rPr>
          <w:b/>
          <w:bCs/>
          <w:u w:val="single"/>
        </w:rPr>
        <w:t>Existing openings in masonry bearing walls.</w:t>
      </w:r>
      <w:r w:rsidRPr="001B7F77">
        <w:rPr>
          <w:u w:val="single"/>
        </w:rPr>
        <w:t xml:space="preserve"> Where existing openings in masonry bearing walls located at the lot line are exposed by architectural removals in the course of the work, the openings shall be checked for compliance with the structural provisions of the </w:t>
      </w:r>
      <w:r w:rsidRPr="001B7F77">
        <w:rPr>
          <w:i/>
          <w:iCs/>
          <w:u w:val="single"/>
        </w:rPr>
        <w:t>New York City Building Code</w:t>
      </w:r>
      <w:r w:rsidRPr="001B7F77">
        <w:rPr>
          <w:u w:val="single"/>
        </w:rPr>
        <w:t xml:space="preserve">. If found non-compliant, the conditions shall be addressed. </w:t>
      </w:r>
    </w:p>
    <w:p w14:paraId="0CCD87BE" w14:textId="77777777" w:rsidR="001B7F77" w:rsidRPr="001B7F77" w:rsidRDefault="001B7F77" w:rsidP="0001508F">
      <w:pPr>
        <w:numPr>
          <w:ilvl w:val="0"/>
          <w:numId w:val="19"/>
        </w:numPr>
        <w:suppressAutoHyphens/>
        <w:autoSpaceDE w:val="0"/>
        <w:autoSpaceDN w:val="0"/>
        <w:spacing w:before="120"/>
        <w:ind w:left="1080"/>
        <w:jc w:val="left"/>
        <w:rPr>
          <w:u w:val="single"/>
        </w:rPr>
      </w:pPr>
      <w:r w:rsidRPr="001B7F77">
        <w:rPr>
          <w:b/>
          <w:bCs/>
          <w:u w:val="single"/>
        </w:rPr>
        <w:t>Areas with water piping.</w:t>
      </w:r>
      <w:r w:rsidRPr="001B7F77">
        <w:rPr>
          <w:u w:val="single"/>
        </w:rPr>
        <w:t xml:space="preserve"> Where areas with existing water piping exist within the work area, and the structure is wood framed, the joists and deck beneath the area shall be reviewed for moisture-related or plumbing-related damage, and repaired as required.</w:t>
      </w:r>
    </w:p>
    <w:p w14:paraId="43DD3E18" w14:textId="77777777" w:rsidR="001B7F77" w:rsidRPr="001B7F77" w:rsidRDefault="001B7F77" w:rsidP="001B7F77">
      <w:pPr>
        <w:suppressAutoHyphens/>
        <w:spacing w:before="120"/>
        <w:ind w:left="1080" w:hanging="360"/>
        <w:rPr>
          <w:u w:val="single"/>
        </w:rPr>
      </w:pPr>
      <w:r w:rsidRPr="001B7F77">
        <w:rPr>
          <w:u w:val="single"/>
        </w:rPr>
        <w:t>9.</w:t>
      </w:r>
      <w:r w:rsidRPr="001B7F77">
        <w:rPr>
          <w:u w:val="single"/>
        </w:rPr>
        <w:tab/>
      </w:r>
      <w:r w:rsidRPr="001B7F77">
        <w:rPr>
          <w:b/>
          <w:bCs/>
          <w:u w:val="single"/>
        </w:rPr>
        <w:t>Bearing of wood structural elements including beams, stair headers, joists and trusses.</w:t>
      </w:r>
      <w:r w:rsidRPr="001B7F77">
        <w:rPr>
          <w:u w:val="single"/>
        </w:rPr>
        <w:t xml:space="preserve"> Where the wood structural element ends that are bearing in masonry pockets are exposed during the project, the condition of the structural elements that are bearing shall be verified, and repaired as required.</w:t>
      </w:r>
    </w:p>
    <w:p w14:paraId="19A3EFCB" w14:textId="77777777" w:rsidR="001B7F77" w:rsidRPr="001B7F77" w:rsidRDefault="001B7F77" w:rsidP="001B7F77">
      <w:pPr>
        <w:suppressAutoHyphens/>
        <w:spacing w:before="120"/>
        <w:ind w:left="1080" w:hanging="360"/>
        <w:rPr>
          <w:u w:val="single"/>
        </w:rPr>
      </w:pPr>
      <w:r w:rsidRPr="001B7F77">
        <w:rPr>
          <w:u w:val="single"/>
        </w:rPr>
        <w:t>10.</w:t>
      </w:r>
      <w:r w:rsidRPr="001B7F77">
        <w:rPr>
          <w:u w:val="single"/>
        </w:rPr>
        <w:tab/>
      </w:r>
      <w:r w:rsidRPr="001B7F77">
        <w:rPr>
          <w:b/>
          <w:bCs/>
          <w:u w:val="single"/>
        </w:rPr>
        <w:t>Sills at foundations.</w:t>
      </w:r>
      <w:r w:rsidRPr="001B7F77">
        <w:rPr>
          <w:u w:val="single"/>
        </w:rPr>
        <w:t> Where sills at foundations are exposed within the work area by removals during the project, the sill conditions shall be verified, and repaired, in accordance with the</w:t>
      </w:r>
      <w:r w:rsidRPr="001B7F77">
        <w:rPr>
          <w:i/>
          <w:iCs/>
          <w:u w:val="single"/>
        </w:rPr>
        <w:t xml:space="preserve"> New York City Building Code</w:t>
      </w:r>
      <w:r w:rsidRPr="001B7F77">
        <w:rPr>
          <w:u w:val="single"/>
        </w:rPr>
        <w:t>, or Chapter A3 of Appendix A of this code.</w:t>
      </w:r>
    </w:p>
    <w:p w14:paraId="413306C1" w14:textId="77777777" w:rsidR="001B7F77" w:rsidRPr="001B7F77" w:rsidRDefault="001B7F77" w:rsidP="001B7F77">
      <w:pPr>
        <w:suppressAutoHyphens/>
        <w:spacing w:before="120"/>
        <w:ind w:left="1080" w:hanging="360"/>
        <w:rPr>
          <w:u w:val="single"/>
        </w:rPr>
      </w:pPr>
      <w:r w:rsidRPr="001B7F77">
        <w:rPr>
          <w:u w:val="single"/>
        </w:rPr>
        <w:t>11.</w:t>
      </w:r>
      <w:r w:rsidRPr="001B7F77">
        <w:rPr>
          <w:u w:val="single"/>
        </w:rPr>
        <w:tab/>
      </w:r>
      <w:r w:rsidRPr="001B7F77">
        <w:rPr>
          <w:b/>
          <w:bCs/>
          <w:u w:val="single"/>
        </w:rPr>
        <w:t>Brick nogging walls.</w:t>
      </w:r>
      <w:r w:rsidRPr="001B7F77">
        <w:rPr>
          <w:u w:val="single"/>
        </w:rPr>
        <w:t xml:space="preserve"> Where a brick nogging wall is exposed while opening the siding or interior finishes of a building and rot or other deterioration is found, that stud, or header as applicable, shall be replaced or sistered. Remedial work shall include all studs or headers placed within two feet of a deteriorated wood stud or header. The remediation shall continue until non-deteriorated studs or headers are found. All observed deteriorated mortar between nogging bricks or bricks and wood stud shall be pointed in a manner sufficient to prevent smoke or fire transmission. Facades of wood shingles shall not be covered with other materials without an examination of the condition of underlying studs.</w:t>
      </w:r>
    </w:p>
    <w:p w14:paraId="5D96E2F1" w14:textId="77777777" w:rsidR="001B7F77" w:rsidRPr="001B7F77" w:rsidRDefault="001B7F77" w:rsidP="001B7F77">
      <w:pPr>
        <w:suppressAutoHyphens/>
        <w:spacing w:before="120"/>
        <w:ind w:left="360"/>
        <w:rPr>
          <w:u w:val="single"/>
        </w:rPr>
      </w:pPr>
      <w:r w:rsidRPr="001B7F77">
        <w:rPr>
          <w:b/>
          <w:bCs/>
          <w:u w:val="single"/>
        </w:rPr>
        <w:t>708.1.2 Requirements independent of work area.</w:t>
      </w:r>
      <w:r w:rsidRPr="001B7F77">
        <w:rPr>
          <w:u w:val="single"/>
        </w:rPr>
        <w:t xml:space="preserve"> The following remediation work shall occur subject to the requirements and conditions of each item:</w:t>
      </w:r>
    </w:p>
    <w:p w14:paraId="008D26AC" w14:textId="77777777" w:rsidR="001B7F77" w:rsidRPr="001B7F77" w:rsidRDefault="001B7F77" w:rsidP="0001508F">
      <w:pPr>
        <w:widowControl w:val="0"/>
        <w:numPr>
          <w:ilvl w:val="0"/>
          <w:numId w:val="20"/>
        </w:numPr>
        <w:suppressAutoHyphens/>
        <w:autoSpaceDE w:val="0"/>
        <w:autoSpaceDN w:val="0"/>
        <w:spacing w:before="120"/>
        <w:ind w:left="1080"/>
        <w:jc w:val="left"/>
        <w:rPr>
          <w:u w:val="single"/>
        </w:rPr>
      </w:pPr>
      <w:r w:rsidRPr="001B7F77">
        <w:rPr>
          <w:b/>
          <w:bCs/>
          <w:u w:val="single"/>
        </w:rPr>
        <w:t>Roof sheathing removals in unreinforced masonry structures.</w:t>
      </w:r>
      <w:r w:rsidRPr="001B7F77">
        <w:rPr>
          <w:u w:val="single"/>
        </w:rPr>
        <w:t xml:space="preserve"> In unreinforced masonry bearing wall and wood-framed floor structures where the sheathing of the roof is removed and the connection of the joist to the wall is exposed, or where anchors are added to party walls as required by Section 703.7, it shall be verified that there are connections of the roof to the wall including to the unreinforced masonry walls parallel to joists. Where no connections are present, connections shall be installed within the area of roof sheathing removal that comply with the requirements of the </w:t>
      </w:r>
      <w:r w:rsidRPr="001B7F77">
        <w:rPr>
          <w:i/>
          <w:iCs/>
          <w:u w:val="single"/>
        </w:rPr>
        <w:t>New York City Building Code</w:t>
      </w:r>
      <w:r w:rsidRPr="001B7F77">
        <w:rPr>
          <w:u w:val="single"/>
        </w:rPr>
        <w:t>, or are installed in accordance with Chapter A1 of Appendix A of this code.</w:t>
      </w:r>
    </w:p>
    <w:p w14:paraId="42115646" w14:textId="77777777" w:rsidR="001B7F77" w:rsidRPr="001B7F77" w:rsidRDefault="001B7F77" w:rsidP="0001508F">
      <w:pPr>
        <w:widowControl w:val="0"/>
        <w:numPr>
          <w:ilvl w:val="0"/>
          <w:numId w:val="20"/>
        </w:numPr>
        <w:suppressAutoHyphens/>
        <w:autoSpaceDE w:val="0"/>
        <w:autoSpaceDN w:val="0"/>
        <w:spacing w:before="120"/>
        <w:ind w:left="1080"/>
        <w:jc w:val="left"/>
        <w:rPr>
          <w:u w:val="single"/>
        </w:rPr>
      </w:pPr>
      <w:r w:rsidRPr="001B7F77">
        <w:rPr>
          <w:b/>
          <w:bCs/>
          <w:u w:val="single"/>
        </w:rPr>
        <w:t>Sheathing removals in wood-framed structures.</w:t>
      </w:r>
      <w:r w:rsidRPr="001B7F77">
        <w:rPr>
          <w:u w:val="single"/>
        </w:rPr>
        <w:t xml:space="preserve"> Where sheathing is removed in wood-framed structures, it shall be verified that there is connection of the roof to the wall including walls parallel to joists. Where no connection is present, connections within the area of roof sheathing removal shall be made to comply with Chapter 23 of the </w:t>
      </w:r>
      <w:r w:rsidRPr="001B7F77">
        <w:rPr>
          <w:i/>
          <w:iCs/>
          <w:u w:val="single"/>
        </w:rPr>
        <w:t>New York City Building Code</w:t>
      </w:r>
      <w:r w:rsidRPr="001B7F77">
        <w:rPr>
          <w:u w:val="single"/>
        </w:rPr>
        <w:t>.</w:t>
      </w:r>
    </w:p>
    <w:p w14:paraId="2E278157" w14:textId="77777777" w:rsidR="001B7F77" w:rsidRPr="001B7F77" w:rsidRDefault="001B7F77" w:rsidP="0001508F">
      <w:pPr>
        <w:widowControl w:val="0"/>
        <w:numPr>
          <w:ilvl w:val="0"/>
          <w:numId w:val="20"/>
        </w:numPr>
        <w:suppressAutoHyphens/>
        <w:autoSpaceDE w:val="0"/>
        <w:autoSpaceDN w:val="0"/>
        <w:spacing w:before="120"/>
        <w:ind w:left="1080"/>
        <w:contextualSpacing/>
        <w:jc w:val="left"/>
        <w:rPr>
          <w:rFonts w:eastAsia="Calibri"/>
          <w:color w:val="000000"/>
          <w:sz w:val="22"/>
          <w:szCs w:val="22"/>
          <w:u w:val="single"/>
        </w:rPr>
      </w:pPr>
      <w:bookmarkStart w:id="154" w:name="_Hlk184723710"/>
      <w:r w:rsidRPr="001B7F77">
        <w:rPr>
          <w:rFonts w:eastAsia="Calibri"/>
          <w:b/>
          <w:bCs/>
          <w:color w:val="000000"/>
          <w:sz w:val="22"/>
          <w:szCs w:val="22"/>
          <w:u w:val="single"/>
        </w:rPr>
        <w:t xml:space="preserve">Bracing of unreinforced masonry parapets. </w:t>
      </w:r>
      <w:r w:rsidRPr="001B7F77">
        <w:rPr>
          <w:rFonts w:eastAsia="Calibri"/>
          <w:color w:val="000000"/>
          <w:sz w:val="22"/>
          <w:szCs w:val="22"/>
          <w:u w:val="single"/>
        </w:rPr>
        <w:t>Where a permit is issued for reroofing or roof replacement of more than 25 percent of the roof area, or the repair of a parapet, on a building that has parapets constructed of unreinforced masonry greater than 24” high above the roof plane, the remediation work shall include installation of parapet reinforcing on all such parapets to resist the lateral forces as specified in Sections 703.5 and 703.6 unless an evaluation demonstrates compliance with such requirements. The remediation shall be based on calculations using loads and methods indicated in Chapter 16 of the</w:t>
      </w:r>
      <w:r w:rsidRPr="001B7F77">
        <w:rPr>
          <w:rFonts w:eastAsia="Calibri"/>
          <w:i/>
          <w:iCs/>
          <w:color w:val="000000"/>
          <w:sz w:val="22"/>
          <w:szCs w:val="22"/>
          <w:u w:val="single"/>
        </w:rPr>
        <w:t xml:space="preserve"> New York City Building Code</w:t>
      </w:r>
      <w:r w:rsidRPr="001B7F77">
        <w:rPr>
          <w:rFonts w:eastAsia="Calibri"/>
          <w:color w:val="000000"/>
          <w:sz w:val="22"/>
          <w:szCs w:val="22"/>
          <w:u w:val="single"/>
        </w:rPr>
        <w:t>, or prescriptive methods in Chapter A1 of Appendix A of this code.</w:t>
      </w:r>
    </w:p>
    <w:bookmarkEnd w:id="154"/>
    <w:p w14:paraId="3C99B79A" w14:textId="77777777" w:rsidR="001B7F77" w:rsidRPr="001B7F77" w:rsidRDefault="001B7F77" w:rsidP="001B7F77">
      <w:pPr>
        <w:suppressAutoHyphens/>
        <w:spacing w:before="120"/>
        <w:ind w:left="1440"/>
        <w:rPr>
          <w:b/>
          <w:bCs/>
          <w:u w:val="single"/>
        </w:rPr>
      </w:pPr>
      <w:r w:rsidRPr="001B7F77">
        <w:rPr>
          <w:b/>
          <w:bCs/>
          <w:u w:val="single"/>
        </w:rPr>
        <w:t xml:space="preserve">Exceptions: </w:t>
      </w:r>
    </w:p>
    <w:p w14:paraId="70257658" w14:textId="77777777" w:rsidR="001B7F77" w:rsidRPr="001B7F77" w:rsidRDefault="001B7F77" w:rsidP="0001508F">
      <w:pPr>
        <w:widowControl w:val="0"/>
        <w:numPr>
          <w:ilvl w:val="1"/>
          <w:numId w:val="20"/>
        </w:numPr>
        <w:suppressAutoHyphens/>
        <w:autoSpaceDE w:val="0"/>
        <w:autoSpaceDN w:val="0"/>
        <w:spacing w:before="120"/>
        <w:ind w:left="2160"/>
        <w:jc w:val="left"/>
        <w:rPr>
          <w:u w:val="single"/>
        </w:rPr>
      </w:pPr>
      <w:r w:rsidRPr="001B7F77">
        <w:rPr>
          <w:u w:val="single"/>
        </w:rPr>
        <w:t>Parapets abutting an existing building wall.</w:t>
      </w:r>
    </w:p>
    <w:p w14:paraId="683A0148" w14:textId="77777777" w:rsidR="001B7F77" w:rsidRPr="001B7F77" w:rsidRDefault="001B7F77" w:rsidP="0001508F">
      <w:pPr>
        <w:widowControl w:val="0"/>
        <w:numPr>
          <w:ilvl w:val="1"/>
          <w:numId w:val="20"/>
        </w:numPr>
        <w:suppressAutoHyphens/>
        <w:autoSpaceDE w:val="0"/>
        <w:autoSpaceDN w:val="0"/>
        <w:spacing w:before="120"/>
        <w:ind w:left="2160"/>
        <w:jc w:val="left"/>
        <w:rPr>
          <w:u w:val="single"/>
        </w:rPr>
      </w:pPr>
      <w:r w:rsidRPr="001B7F77">
        <w:rPr>
          <w:u w:val="single"/>
        </w:rPr>
        <w:t xml:space="preserve">The parapet abuts an adjacent roof not greater than 6 feet lower than the base of the parapet. </w:t>
      </w:r>
    </w:p>
    <w:p w14:paraId="145015FA" w14:textId="77777777" w:rsidR="001B7F77" w:rsidRPr="001B7F77" w:rsidRDefault="001B7F77" w:rsidP="0001508F">
      <w:pPr>
        <w:widowControl w:val="0"/>
        <w:numPr>
          <w:ilvl w:val="0"/>
          <w:numId w:val="20"/>
        </w:numPr>
        <w:suppressAutoHyphens/>
        <w:autoSpaceDE w:val="0"/>
        <w:autoSpaceDN w:val="0"/>
        <w:spacing w:before="120"/>
        <w:ind w:left="1080"/>
        <w:jc w:val="left"/>
        <w:rPr>
          <w:u w:val="single"/>
        </w:rPr>
      </w:pPr>
      <w:r w:rsidRPr="001B7F77">
        <w:rPr>
          <w:b/>
          <w:bCs/>
          <w:u w:val="single"/>
        </w:rPr>
        <w:t>Bond-breaking flashing in masonry parapets.</w:t>
      </w:r>
      <w:r w:rsidRPr="001B7F77">
        <w:rPr>
          <w:u w:val="single"/>
        </w:rPr>
        <w:t xml:space="preserve"> Where horizontal thru-wall flashing is exposed by removals in masonry parapets greater than 24” high above the roof plane, the bond-breaking effect of existing or new horizontal flashing within the parapet shall be structurally evaluated, and if found insufficient, the parapets within the area of removals shall be remediated.</w:t>
      </w:r>
    </w:p>
    <w:p w14:paraId="5F67E419" w14:textId="77777777" w:rsidR="001B7F77" w:rsidRPr="001B7F77" w:rsidRDefault="001B7F77" w:rsidP="0001508F">
      <w:pPr>
        <w:widowControl w:val="0"/>
        <w:numPr>
          <w:ilvl w:val="0"/>
          <w:numId w:val="20"/>
        </w:numPr>
        <w:suppressAutoHyphens/>
        <w:autoSpaceDE w:val="0"/>
        <w:autoSpaceDN w:val="0"/>
        <w:spacing w:before="120"/>
        <w:ind w:left="1080"/>
        <w:contextualSpacing/>
        <w:jc w:val="left"/>
        <w:rPr>
          <w:rFonts w:eastAsia="Calibri"/>
          <w:b/>
          <w:bCs/>
          <w:sz w:val="22"/>
          <w:szCs w:val="22"/>
          <w:u w:val="single"/>
        </w:rPr>
      </w:pPr>
      <w:r w:rsidRPr="001B7F77">
        <w:rPr>
          <w:rFonts w:eastAsia="Calibri"/>
          <w:b/>
          <w:bCs/>
          <w:sz w:val="22"/>
          <w:szCs w:val="22"/>
          <w:u w:val="single"/>
        </w:rPr>
        <w:t>Brick chimneys.</w:t>
      </w:r>
      <w:r w:rsidRPr="001B7F77">
        <w:rPr>
          <w:rFonts w:eastAsia="Calibri"/>
          <w:sz w:val="22"/>
          <w:szCs w:val="22"/>
          <w:u w:val="single"/>
        </w:rPr>
        <w:t xml:space="preserve"> Where reroofing includes more than 50 percent of area of the roof, the portions of all chimneys above the roof plane shall be examined and repaired or repointed as necessary in accordance with the </w:t>
      </w:r>
      <w:r w:rsidRPr="001B7F77">
        <w:rPr>
          <w:rFonts w:eastAsia="Calibri"/>
          <w:i/>
          <w:iCs/>
          <w:sz w:val="22"/>
          <w:szCs w:val="22"/>
          <w:u w:val="single"/>
        </w:rPr>
        <w:t>New York City Building Code</w:t>
      </w:r>
      <w:r w:rsidRPr="001B7F77">
        <w:rPr>
          <w:rFonts w:eastAsia="Calibri"/>
          <w:sz w:val="22"/>
          <w:szCs w:val="22"/>
          <w:u w:val="single"/>
        </w:rPr>
        <w:t>, or Chapter A1 of Appendix A of this code.</w:t>
      </w:r>
    </w:p>
    <w:p w14:paraId="2FA6697A" w14:textId="77777777" w:rsidR="001B7F77" w:rsidRPr="001B7F77" w:rsidRDefault="001B7F77" w:rsidP="0001508F">
      <w:pPr>
        <w:widowControl w:val="0"/>
        <w:numPr>
          <w:ilvl w:val="0"/>
          <w:numId w:val="20"/>
        </w:numPr>
        <w:suppressAutoHyphens/>
        <w:autoSpaceDE w:val="0"/>
        <w:autoSpaceDN w:val="0"/>
        <w:spacing w:before="120"/>
        <w:ind w:left="1080"/>
        <w:contextualSpacing/>
        <w:jc w:val="left"/>
        <w:rPr>
          <w:rFonts w:eastAsia="Calibri"/>
          <w:sz w:val="22"/>
          <w:szCs w:val="22"/>
          <w:u w:val="single"/>
        </w:rPr>
      </w:pPr>
      <w:r w:rsidRPr="001B7F77">
        <w:rPr>
          <w:rFonts w:eastAsia="Calibri"/>
          <w:b/>
          <w:bCs/>
          <w:sz w:val="22"/>
          <w:szCs w:val="22"/>
          <w:u w:val="single"/>
        </w:rPr>
        <w:t>Cornices framed with wood.</w:t>
      </w:r>
      <w:r w:rsidRPr="001B7F77">
        <w:rPr>
          <w:rFonts w:eastAsia="Calibri"/>
          <w:sz w:val="22"/>
          <w:szCs w:val="22"/>
          <w:u w:val="single"/>
        </w:rPr>
        <w:t> Where roofing is removed at wood-framed cornices with sheet metal or wood enclosure, it shall be verified that the wood or sheet metal enclosure has not decayed or deteriorated and fasteners are adequate and in good condition. If bracing for the portion above the top of the façade wall is found not present or adequate, it shall be installed within the area of roofing removal unless it can be demonstrated that it is not needed.</w:t>
      </w:r>
    </w:p>
    <w:p w14:paraId="1E29315C" w14:textId="77777777" w:rsidR="001B7F77" w:rsidRPr="001B7F77" w:rsidRDefault="001B7F77" w:rsidP="0001508F">
      <w:pPr>
        <w:widowControl w:val="0"/>
        <w:numPr>
          <w:ilvl w:val="0"/>
          <w:numId w:val="20"/>
        </w:numPr>
        <w:suppressAutoHyphens/>
        <w:autoSpaceDE w:val="0"/>
        <w:autoSpaceDN w:val="0"/>
        <w:spacing w:before="120"/>
        <w:ind w:left="1080"/>
        <w:contextualSpacing/>
        <w:jc w:val="left"/>
        <w:rPr>
          <w:rFonts w:eastAsia="Calibri"/>
          <w:sz w:val="22"/>
          <w:szCs w:val="22"/>
          <w:u w:val="single"/>
        </w:rPr>
      </w:pPr>
      <w:r w:rsidRPr="001B7F77">
        <w:rPr>
          <w:rFonts w:eastAsia="Calibri"/>
          <w:b/>
          <w:bCs/>
          <w:sz w:val="22"/>
          <w:szCs w:val="22"/>
          <w:u w:val="single"/>
        </w:rPr>
        <w:t xml:space="preserve">Bowstring wood trusses. </w:t>
      </w:r>
      <w:r w:rsidRPr="001B7F77">
        <w:rPr>
          <w:rFonts w:eastAsia="Calibri"/>
          <w:sz w:val="22"/>
          <w:szCs w:val="22"/>
          <w:u w:val="single"/>
        </w:rPr>
        <w:t xml:space="preserve">Where a building with bowstring wood trusses is undergoing an alteration, the tension demand-capacity ratio of bottom chord and web members shall be confirmed for all bowstring trusses in the building using wood allowable values in accordance with Chapter 23 of the </w:t>
      </w:r>
      <w:r w:rsidRPr="001B7F77">
        <w:rPr>
          <w:rFonts w:eastAsia="Calibri"/>
          <w:i/>
          <w:iCs/>
          <w:sz w:val="22"/>
          <w:szCs w:val="22"/>
          <w:u w:val="single"/>
        </w:rPr>
        <w:t>New York City Building Code</w:t>
      </w:r>
      <w:r w:rsidRPr="001B7F77">
        <w:rPr>
          <w:rFonts w:eastAsia="Calibri"/>
          <w:sz w:val="22"/>
          <w:szCs w:val="22"/>
          <w:u w:val="single"/>
        </w:rPr>
        <w:t>, even when the loads are the same or decreased. It shall be confirmed that no damage exists at end bearing or other connections. It shall be confirmed that a continuous, structurally sound lateral bracing of trusses is secured and in place. The structure shall be repaired or strengthened as required.</w:t>
      </w:r>
    </w:p>
    <w:p w14:paraId="2D574734" w14:textId="77777777" w:rsidR="001B7F77" w:rsidRPr="001B7F77" w:rsidRDefault="001B7F77" w:rsidP="001B7F77">
      <w:pPr>
        <w:spacing w:before="120"/>
        <w:ind w:left="1440"/>
        <w:contextualSpacing/>
        <w:rPr>
          <w:rFonts w:eastAsia="Calibri"/>
          <w:sz w:val="22"/>
          <w:szCs w:val="22"/>
          <w:u w:val="single"/>
        </w:rPr>
      </w:pPr>
      <w:r w:rsidRPr="001B7F77">
        <w:rPr>
          <w:rFonts w:eastAsia="Calibri"/>
          <w:b/>
          <w:bCs/>
          <w:sz w:val="22"/>
          <w:szCs w:val="22"/>
          <w:u w:val="single"/>
        </w:rPr>
        <w:t>Exception:</w:t>
      </w:r>
      <w:r w:rsidRPr="001B7F77">
        <w:rPr>
          <w:rFonts w:eastAsia="Calibri"/>
          <w:sz w:val="22"/>
          <w:szCs w:val="22"/>
          <w:u w:val="single"/>
        </w:rPr>
        <w:t xml:space="preserve"> Where bowstring trusses have already been previously evaluated and reports accepted by the department, the tension demand-capacity ratio of bottom chord and web members need not be re-evaluated as long as no new loads are added to the truss. </w:t>
      </w:r>
    </w:p>
    <w:p w14:paraId="085352E3" w14:textId="77777777" w:rsidR="001B7F77" w:rsidRPr="001B7F77" w:rsidRDefault="001B7F77" w:rsidP="001B7F77">
      <w:pPr>
        <w:widowControl w:val="0"/>
        <w:suppressAutoHyphens/>
        <w:spacing w:before="120"/>
        <w:jc w:val="center"/>
        <w:outlineLvl w:val="0"/>
        <w:rPr>
          <w:rFonts w:eastAsia="Times"/>
          <w:b/>
          <w:u w:val="single"/>
        </w:rPr>
      </w:pPr>
    </w:p>
    <w:p w14:paraId="7F9F7C64" w14:textId="77777777" w:rsidR="001B7F77" w:rsidRPr="001B7F77" w:rsidRDefault="001B7F77" w:rsidP="001B7F77">
      <w:pPr>
        <w:widowControl w:val="0"/>
        <w:suppressAutoHyphens/>
        <w:spacing w:before="120"/>
        <w:jc w:val="center"/>
        <w:outlineLvl w:val="0"/>
        <w:rPr>
          <w:rFonts w:eastAsia="Times"/>
          <w:b/>
          <w:u w:val="single"/>
        </w:rPr>
      </w:pPr>
      <w:r w:rsidRPr="001B7F77">
        <w:rPr>
          <w:rFonts w:eastAsia="Times"/>
          <w:b/>
          <w:u w:val="single"/>
        </w:rPr>
        <w:t>SECTION EBC 709</w:t>
      </w:r>
      <w:r w:rsidRPr="001B7F77">
        <w:rPr>
          <w:rFonts w:eastAsia="Times"/>
          <w:b/>
          <w:u w:val="single"/>
        </w:rPr>
        <w:br/>
        <w:t>PEER REVIEW</w:t>
      </w:r>
    </w:p>
    <w:p w14:paraId="247415CB" w14:textId="77777777" w:rsidR="001B7F77" w:rsidRPr="001B7F77" w:rsidRDefault="001B7F77" w:rsidP="001B7F77">
      <w:pPr>
        <w:suppressAutoHyphens/>
        <w:spacing w:before="120"/>
        <w:rPr>
          <w:rFonts w:eastAsia="Times"/>
          <w:u w:val="single"/>
        </w:rPr>
      </w:pPr>
      <w:r w:rsidRPr="001B7F77">
        <w:rPr>
          <w:rFonts w:eastAsia="Times"/>
          <w:b/>
          <w:u w:val="single"/>
        </w:rPr>
        <w:t xml:space="preserve">709.1. General. </w:t>
      </w:r>
      <w:r w:rsidRPr="001B7F77">
        <w:rPr>
          <w:rFonts w:eastAsia="Times"/>
          <w:u w:val="single"/>
        </w:rPr>
        <w:t xml:space="preserve">When required, peer reviews shall be performed in accordance with the requirements of Section 1618 of the </w:t>
      </w:r>
      <w:r w:rsidRPr="001B7F77">
        <w:rPr>
          <w:rFonts w:eastAsia="Times"/>
          <w:i/>
          <w:iCs/>
          <w:u w:val="single"/>
        </w:rPr>
        <w:t>New York City Building Code</w:t>
      </w:r>
      <w:r w:rsidRPr="001B7F77">
        <w:rPr>
          <w:rFonts w:eastAsia="Times"/>
          <w:u w:val="single"/>
        </w:rPr>
        <w:t xml:space="preserve"> for structural peer review, and Section 1818 of the </w:t>
      </w:r>
      <w:r w:rsidRPr="001B7F77">
        <w:rPr>
          <w:rFonts w:eastAsia="Times"/>
          <w:i/>
          <w:iCs/>
          <w:u w:val="single"/>
        </w:rPr>
        <w:t>New York City Building Code</w:t>
      </w:r>
      <w:r w:rsidRPr="001B7F77">
        <w:rPr>
          <w:rFonts w:eastAsia="Times"/>
          <w:u w:val="single"/>
        </w:rPr>
        <w:t xml:space="preserve"> for geotechnical peer review.</w:t>
      </w:r>
    </w:p>
    <w:p w14:paraId="1474E431" w14:textId="77777777" w:rsidR="001B7F77" w:rsidRPr="001B7F77" w:rsidRDefault="001B7F77" w:rsidP="001B7F77">
      <w:pPr>
        <w:suppressAutoHyphens/>
        <w:spacing w:before="120"/>
        <w:rPr>
          <w:rFonts w:eastAsia="Times"/>
          <w:u w:val="single"/>
        </w:rPr>
      </w:pPr>
      <w:r w:rsidRPr="001B7F77">
        <w:rPr>
          <w:rFonts w:eastAsia="Times"/>
          <w:b/>
          <w:u w:val="single"/>
        </w:rPr>
        <w:t>709.2 Structural peer review – where required.</w:t>
      </w:r>
      <w:r w:rsidRPr="001B7F77">
        <w:rPr>
          <w:rFonts w:eastAsia="Times"/>
          <w:u w:val="single"/>
        </w:rPr>
        <w:t xml:space="preserve"> A structural peer review of the primary structure shall be performed for the following:</w:t>
      </w:r>
    </w:p>
    <w:p w14:paraId="6362DE4D" w14:textId="77777777" w:rsidR="001B7F77" w:rsidRPr="001B7F77" w:rsidRDefault="001B7F77" w:rsidP="001B7F77">
      <w:pPr>
        <w:suppressAutoHyphens/>
        <w:spacing w:before="120"/>
        <w:ind w:left="720" w:hanging="360"/>
        <w:rPr>
          <w:rFonts w:eastAsia="Times"/>
          <w:u w:val="single"/>
        </w:rPr>
      </w:pPr>
      <w:r w:rsidRPr="001B7F77">
        <w:rPr>
          <w:rFonts w:eastAsia="Times"/>
          <w:u w:val="single"/>
        </w:rPr>
        <w:t>1.</w:t>
      </w:r>
      <w:r w:rsidRPr="001B7F77">
        <w:rPr>
          <w:u w:val="single"/>
        </w:rPr>
        <w:tab/>
      </w:r>
      <w:r w:rsidRPr="001B7F77">
        <w:rPr>
          <w:rFonts w:eastAsia="Times"/>
          <w:u w:val="single"/>
        </w:rPr>
        <w:t xml:space="preserve">Where the alteration meets the requirements for peer review pursuant to Section 1618.2 of the </w:t>
      </w:r>
      <w:r w:rsidRPr="001B7F77">
        <w:rPr>
          <w:rFonts w:eastAsia="Times"/>
          <w:i/>
          <w:iCs/>
          <w:u w:val="single"/>
        </w:rPr>
        <w:t>New York City Building Code</w:t>
      </w:r>
      <w:r w:rsidRPr="001B7F77">
        <w:rPr>
          <w:rFonts w:eastAsia="Times"/>
          <w:u w:val="single"/>
        </w:rPr>
        <w:t xml:space="preserve">. </w:t>
      </w:r>
    </w:p>
    <w:p w14:paraId="62F71A25" w14:textId="77777777" w:rsidR="001B7F77" w:rsidRPr="001B7F77" w:rsidRDefault="001B7F77" w:rsidP="001B7F77">
      <w:pPr>
        <w:suppressAutoHyphens/>
        <w:spacing w:before="120"/>
        <w:ind w:left="720" w:hanging="360"/>
        <w:rPr>
          <w:rFonts w:eastAsia="Times"/>
          <w:u w:val="single"/>
        </w:rPr>
      </w:pPr>
      <w:r w:rsidRPr="001B7F77">
        <w:rPr>
          <w:rFonts w:eastAsia="Times"/>
          <w:u w:val="single"/>
        </w:rPr>
        <w:t>2.</w:t>
      </w:r>
      <w:r w:rsidRPr="001B7F77">
        <w:rPr>
          <w:rFonts w:eastAsia="Times"/>
          <w:u w:val="single"/>
        </w:rPr>
        <w:tab/>
        <w:t xml:space="preserve">When the altered building is required to meet the structural requirements for a new building in accordance with Section 703.2 of this code, and the altered building meets the requirements of Section 1618.2 of the </w:t>
      </w:r>
      <w:r w:rsidRPr="001B7F77">
        <w:rPr>
          <w:rFonts w:eastAsia="Times"/>
          <w:i/>
          <w:iCs/>
          <w:u w:val="single"/>
        </w:rPr>
        <w:t>New York City Building Code</w:t>
      </w:r>
      <w:r w:rsidRPr="001B7F77">
        <w:rPr>
          <w:rFonts w:eastAsia="Times"/>
          <w:u w:val="single"/>
        </w:rPr>
        <w:t>.</w:t>
      </w:r>
    </w:p>
    <w:p w14:paraId="3CB2E60B" w14:textId="77777777" w:rsidR="001B7F77" w:rsidRPr="001B7F77" w:rsidRDefault="001B7F77" w:rsidP="001B7F77">
      <w:pPr>
        <w:suppressAutoHyphens/>
        <w:spacing w:before="120"/>
        <w:ind w:left="720" w:hanging="360"/>
        <w:rPr>
          <w:rFonts w:eastAsia="Times"/>
          <w:u w:val="single"/>
        </w:rPr>
      </w:pPr>
      <w:r w:rsidRPr="001B7F77">
        <w:rPr>
          <w:rFonts w:eastAsia="Times"/>
          <w:u w:val="single"/>
        </w:rPr>
        <w:t>3.</w:t>
      </w:r>
      <w:r w:rsidRPr="001B7F77">
        <w:rPr>
          <w:rFonts w:eastAsia="Times"/>
          <w:u w:val="single"/>
        </w:rPr>
        <w:tab/>
      </w:r>
      <w:r w:rsidRPr="001B7F77">
        <w:rPr>
          <w:u w:val="single"/>
        </w:rPr>
        <w:t>Altered buildings taller than seven stories where</w:t>
      </w:r>
      <w:r w:rsidRPr="001B7F77">
        <w:rPr>
          <w:rFonts w:eastAsia="Times"/>
          <w:u w:val="single"/>
        </w:rPr>
        <w:t xml:space="preserve"> the work involves transferring a column or a column transfer removal that supports in aggregate more than 15 percent of the building area, or where the work involves transferring on one element a portion of a wall that portion of which supports more than 25 percent of the building area</w:t>
      </w:r>
      <w:r w:rsidRPr="001B7F77">
        <w:rPr>
          <w:u w:val="single"/>
        </w:rPr>
        <w:t>. In this case, only the design and sequence of the transfer and related load path, including the method of load transfer to the subgrade, shall be subject to peer review</w:t>
      </w:r>
      <w:r w:rsidRPr="001B7F77">
        <w:rPr>
          <w:rFonts w:eastAsia="Times"/>
          <w:u w:val="single"/>
        </w:rPr>
        <w:t>.</w:t>
      </w:r>
    </w:p>
    <w:p w14:paraId="362FFD5A" w14:textId="77777777" w:rsidR="001B7F77" w:rsidRPr="001B7F77" w:rsidRDefault="001B7F77" w:rsidP="001B7F77">
      <w:pPr>
        <w:suppressAutoHyphens/>
        <w:spacing w:before="120"/>
        <w:ind w:left="720" w:hanging="360"/>
        <w:rPr>
          <w:rFonts w:eastAsia="Times"/>
          <w:u w:val="single"/>
        </w:rPr>
      </w:pPr>
      <w:r w:rsidRPr="001B7F77">
        <w:rPr>
          <w:rFonts w:eastAsia="Times"/>
          <w:u w:val="single"/>
        </w:rPr>
        <w:t xml:space="preserve">4. </w:t>
      </w:r>
      <w:r w:rsidRPr="001B7F77">
        <w:rPr>
          <w:rFonts w:eastAsia="Times"/>
          <w:u w:val="single"/>
        </w:rPr>
        <w:tab/>
        <w:t>Buildings where a structural peer review is requested by the commissioner.</w:t>
      </w:r>
    </w:p>
    <w:p w14:paraId="6A1738DD" w14:textId="77777777" w:rsidR="001B7F77" w:rsidRPr="001B7F77" w:rsidRDefault="001B7F77" w:rsidP="001B7F77">
      <w:pPr>
        <w:suppressAutoHyphens/>
        <w:spacing w:before="120"/>
        <w:ind w:left="72"/>
        <w:rPr>
          <w:rFonts w:eastAsia="Times"/>
          <w:bCs/>
          <w:u w:val="single"/>
        </w:rPr>
      </w:pPr>
      <w:r w:rsidRPr="001B7F77">
        <w:rPr>
          <w:rFonts w:eastAsia="Times"/>
          <w:b/>
          <w:u w:val="single"/>
        </w:rPr>
        <w:t>709.3</w:t>
      </w:r>
      <w:r w:rsidRPr="001B7F77">
        <w:rPr>
          <w:rFonts w:eastAsia="Times"/>
          <w:bCs/>
          <w:u w:val="single"/>
        </w:rPr>
        <w:t xml:space="preserve"> </w:t>
      </w:r>
      <w:r w:rsidRPr="001B7F77">
        <w:rPr>
          <w:rFonts w:eastAsia="Times"/>
          <w:b/>
          <w:bCs/>
          <w:u w:val="single"/>
        </w:rPr>
        <w:t>Geotechnical peer review - where required.</w:t>
      </w:r>
      <w:r w:rsidRPr="001B7F77">
        <w:rPr>
          <w:rFonts w:eastAsia="Times"/>
          <w:bCs/>
          <w:u w:val="single"/>
        </w:rPr>
        <w:t xml:space="preserve"> A geotechnical peer review shall be performed for the following:</w:t>
      </w:r>
    </w:p>
    <w:p w14:paraId="17ED67F4" w14:textId="77777777" w:rsidR="001B7F77" w:rsidRPr="001B7F77" w:rsidRDefault="001B7F77" w:rsidP="001B7F77">
      <w:pPr>
        <w:suppressAutoHyphens/>
        <w:spacing w:before="120"/>
        <w:ind w:left="720" w:hanging="360"/>
        <w:rPr>
          <w:rFonts w:eastAsia="Times"/>
          <w:bCs/>
          <w:u w:val="single"/>
        </w:rPr>
      </w:pPr>
      <w:r w:rsidRPr="001B7F77">
        <w:rPr>
          <w:rFonts w:eastAsia="Times"/>
          <w:bCs/>
          <w:u w:val="single"/>
        </w:rPr>
        <w:t>1.</w:t>
      </w:r>
      <w:r w:rsidRPr="001B7F77">
        <w:rPr>
          <w:rFonts w:eastAsia="Times"/>
          <w:bCs/>
          <w:u w:val="single"/>
        </w:rPr>
        <w:tab/>
        <w:t>Where a structural peer review is required pursuant to Section 709.2;</w:t>
      </w:r>
    </w:p>
    <w:p w14:paraId="09B9C42D" w14:textId="77777777" w:rsidR="001B7F77" w:rsidRPr="001B7F77" w:rsidRDefault="001B7F77" w:rsidP="001B7F77">
      <w:pPr>
        <w:suppressAutoHyphens/>
        <w:spacing w:before="120"/>
        <w:ind w:left="720" w:hanging="360"/>
        <w:rPr>
          <w:rFonts w:eastAsia="Times"/>
          <w:bCs/>
          <w:u w:val="single"/>
        </w:rPr>
      </w:pPr>
      <w:r w:rsidRPr="001B7F77">
        <w:rPr>
          <w:rFonts w:eastAsia="Times"/>
          <w:u w:val="single"/>
        </w:rPr>
        <w:t>2.</w:t>
      </w:r>
      <w:r w:rsidRPr="001B7F77">
        <w:rPr>
          <w:rFonts w:eastAsia="Times"/>
          <w:u w:val="single"/>
        </w:rPr>
        <w:tab/>
        <w:t xml:space="preserve">When the altered building is required to meet the structural requirements for a new building in accordance with Section 703.2, </w:t>
      </w:r>
      <w:r w:rsidRPr="001B7F77">
        <w:rPr>
          <w:rFonts w:eastAsia="Times"/>
          <w:bCs/>
          <w:u w:val="single"/>
        </w:rPr>
        <w:t>and the structure is of Risk Category III or IV where the Seismic site class is determined to be Site Class F.</w:t>
      </w:r>
    </w:p>
    <w:p w14:paraId="36A79F3B" w14:textId="77777777" w:rsidR="001B7F77" w:rsidRPr="001B7F77" w:rsidRDefault="001B7F77" w:rsidP="001B7F77">
      <w:pPr>
        <w:suppressAutoHyphens/>
        <w:spacing w:before="120"/>
        <w:ind w:left="720" w:hanging="360"/>
        <w:rPr>
          <w:rFonts w:eastAsia="Times"/>
          <w:bCs/>
          <w:u w:val="single"/>
        </w:rPr>
      </w:pPr>
      <w:r w:rsidRPr="001B7F77">
        <w:rPr>
          <w:rFonts w:eastAsia="Times"/>
          <w:bCs/>
          <w:u w:val="single"/>
        </w:rPr>
        <w:t>3.</w:t>
      </w:r>
      <w:r w:rsidRPr="001B7F77">
        <w:rPr>
          <w:rFonts w:eastAsia="Times"/>
          <w:bCs/>
          <w:u w:val="single"/>
        </w:rPr>
        <w:tab/>
        <w:t>Where performance-based foundation design is utilized in the design of the alteration.</w:t>
      </w:r>
    </w:p>
    <w:p w14:paraId="57946CB4" w14:textId="77777777" w:rsidR="001B7F77" w:rsidRPr="001B7F77" w:rsidRDefault="001B7F77" w:rsidP="001B7F77">
      <w:pPr>
        <w:suppressAutoHyphens/>
        <w:spacing w:before="120"/>
        <w:ind w:left="720" w:hanging="360"/>
        <w:rPr>
          <w:rFonts w:eastAsia="Times"/>
          <w:u w:val="single"/>
        </w:rPr>
      </w:pPr>
      <w:r w:rsidRPr="001B7F77">
        <w:rPr>
          <w:rFonts w:eastAsia="Times"/>
          <w:u w:val="single"/>
        </w:rPr>
        <w:t xml:space="preserve">4. </w:t>
      </w:r>
      <w:r w:rsidRPr="001B7F77">
        <w:rPr>
          <w:rFonts w:eastAsia="Times"/>
          <w:u w:val="single"/>
        </w:rPr>
        <w:tab/>
        <w:t>Buildings where a geotechnical peer review is requested by the commissioner.</w:t>
      </w:r>
    </w:p>
    <w:p w14:paraId="741B2029" w14:textId="77777777" w:rsidR="001B7F77" w:rsidRPr="001B7F77" w:rsidRDefault="001B7F77" w:rsidP="001B7F77">
      <w:pPr>
        <w:widowControl w:val="0"/>
        <w:suppressAutoHyphens/>
        <w:spacing w:before="120"/>
        <w:jc w:val="center"/>
        <w:outlineLvl w:val="0"/>
        <w:rPr>
          <w:rFonts w:eastAsia="Times"/>
          <w:b/>
          <w:u w:val="single"/>
        </w:rPr>
      </w:pPr>
    </w:p>
    <w:p w14:paraId="4FADBEE1" w14:textId="77777777" w:rsidR="001B7F77" w:rsidRPr="001B7F77" w:rsidRDefault="001B7F77" w:rsidP="001B7F77">
      <w:pPr>
        <w:widowControl w:val="0"/>
        <w:suppressAutoHyphens/>
        <w:spacing w:before="120"/>
        <w:jc w:val="center"/>
        <w:outlineLvl w:val="0"/>
        <w:rPr>
          <w:rFonts w:eastAsia="Times"/>
          <w:b/>
          <w:u w:val="single"/>
        </w:rPr>
      </w:pPr>
      <w:r w:rsidRPr="001B7F77">
        <w:rPr>
          <w:rFonts w:eastAsia="Times"/>
          <w:b/>
          <w:u w:val="single"/>
        </w:rPr>
        <w:t>SECTION EBC 710</w:t>
      </w:r>
      <w:r w:rsidRPr="001B7F77">
        <w:rPr>
          <w:rFonts w:eastAsia="Times"/>
          <w:b/>
          <w:u w:val="single"/>
        </w:rPr>
        <w:br/>
        <w:t>STRUCTURAL INTEGRITY</w:t>
      </w:r>
    </w:p>
    <w:p w14:paraId="57808C7D" w14:textId="77777777" w:rsidR="001B7F77" w:rsidRPr="001B7F77" w:rsidRDefault="001B7F77" w:rsidP="001B7F77">
      <w:pPr>
        <w:suppressAutoHyphens/>
        <w:spacing w:before="120"/>
        <w:rPr>
          <w:rFonts w:eastAsia="Times"/>
          <w:b/>
          <w:u w:val="single"/>
        </w:rPr>
      </w:pPr>
      <w:r w:rsidRPr="001B7F77">
        <w:rPr>
          <w:rFonts w:eastAsia="Times"/>
          <w:b/>
          <w:u w:val="single"/>
        </w:rPr>
        <w:t xml:space="preserve">710.1 Prescriptive requirements. </w:t>
      </w:r>
      <w:r w:rsidRPr="001B7F77">
        <w:rPr>
          <w:rFonts w:eastAsia="Times"/>
          <w:bCs/>
          <w:u w:val="single"/>
        </w:rPr>
        <w:t>Prescriptive structural integrity</w:t>
      </w:r>
      <w:r w:rsidRPr="001B7F77">
        <w:rPr>
          <w:rFonts w:eastAsia="Times"/>
          <w:b/>
          <w:u w:val="single"/>
        </w:rPr>
        <w:t xml:space="preserve"> </w:t>
      </w:r>
      <w:r w:rsidRPr="001B7F77">
        <w:rPr>
          <w:rFonts w:eastAsia="Times"/>
          <w:u w:val="single"/>
        </w:rPr>
        <w:t xml:space="preserve">requirements of Section 1616 of the </w:t>
      </w:r>
      <w:r w:rsidRPr="001B7F77">
        <w:rPr>
          <w:rFonts w:eastAsia="Times"/>
          <w:i/>
          <w:iCs/>
          <w:u w:val="single"/>
        </w:rPr>
        <w:t xml:space="preserve">New York City Building Code </w:t>
      </w:r>
      <w:r w:rsidRPr="001B7F77">
        <w:rPr>
          <w:rFonts w:eastAsia="Times"/>
          <w:u w:val="single"/>
        </w:rPr>
        <w:t xml:space="preserve">shall be followed for all new structural elements. </w:t>
      </w:r>
    </w:p>
    <w:p w14:paraId="799A6D93" w14:textId="77777777" w:rsidR="001B7F77" w:rsidRPr="001B7F77" w:rsidRDefault="001B7F77" w:rsidP="001B7F77">
      <w:pPr>
        <w:suppressAutoHyphens/>
        <w:spacing w:before="120"/>
        <w:rPr>
          <w:rFonts w:eastAsia="Times"/>
          <w:u w:val="single"/>
        </w:rPr>
      </w:pPr>
      <w:r w:rsidRPr="001B7F77">
        <w:rPr>
          <w:rFonts w:eastAsia="Times"/>
          <w:b/>
          <w:u w:val="single"/>
        </w:rPr>
        <w:t>710.2 Key Element Analysis.</w:t>
      </w:r>
      <w:r w:rsidRPr="001B7F77">
        <w:rPr>
          <w:rFonts w:eastAsia="Times"/>
          <w:u w:val="single"/>
        </w:rPr>
        <w:t xml:space="preserve"> A Key Element Analysis in accordance with Sections 1617 and 1618 of the </w:t>
      </w:r>
      <w:r w:rsidRPr="001B7F77">
        <w:rPr>
          <w:rFonts w:eastAsia="Times"/>
          <w:i/>
          <w:iCs/>
          <w:u w:val="single"/>
        </w:rPr>
        <w:t>New York City Building Code</w:t>
      </w:r>
      <w:r w:rsidRPr="001B7F77">
        <w:rPr>
          <w:rFonts w:eastAsia="Times"/>
          <w:u w:val="single"/>
        </w:rPr>
        <w:t xml:space="preserve"> shall be performed for the following:</w:t>
      </w:r>
    </w:p>
    <w:p w14:paraId="346A9C43" w14:textId="77777777" w:rsidR="001B7F77" w:rsidRPr="001B7F77" w:rsidRDefault="001B7F77" w:rsidP="001B7F77">
      <w:pPr>
        <w:suppressAutoHyphens/>
        <w:spacing w:before="120"/>
        <w:ind w:left="720" w:hanging="360"/>
        <w:rPr>
          <w:rFonts w:eastAsia="Times"/>
          <w:i/>
          <w:iCs/>
          <w:u w:val="single"/>
        </w:rPr>
      </w:pPr>
      <w:r w:rsidRPr="001B7F77">
        <w:rPr>
          <w:rFonts w:eastAsia="Times"/>
          <w:u w:val="single"/>
        </w:rPr>
        <w:t>1.</w:t>
      </w:r>
      <w:r w:rsidRPr="001B7F77">
        <w:rPr>
          <w:rFonts w:eastAsia="Times"/>
          <w:u w:val="single"/>
        </w:rPr>
        <w:tab/>
        <w:t xml:space="preserve">Where the </w:t>
      </w:r>
      <w:r w:rsidRPr="001B7F77">
        <w:rPr>
          <w:u w:val="single"/>
        </w:rPr>
        <w:t>alteration</w:t>
      </w:r>
      <w:r w:rsidRPr="001B7F77">
        <w:t xml:space="preserve"> </w:t>
      </w:r>
      <w:r w:rsidRPr="001B7F77">
        <w:rPr>
          <w:rFonts w:eastAsia="Times"/>
          <w:u w:val="single"/>
        </w:rPr>
        <w:t xml:space="preserve">meets the requirements of Section 1617.1 of the </w:t>
      </w:r>
      <w:r w:rsidRPr="001B7F77">
        <w:rPr>
          <w:rFonts w:eastAsia="Times"/>
          <w:i/>
          <w:iCs/>
          <w:u w:val="single"/>
        </w:rPr>
        <w:t xml:space="preserve">New York City Building Code. </w:t>
      </w:r>
    </w:p>
    <w:p w14:paraId="78F9738E" w14:textId="77777777" w:rsidR="001B7F77" w:rsidRPr="001B7F77" w:rsidRDefault="001B7F77" w:rsidP="001B7F77">
      <w:pPr>
        <w:suppressAutoHyphens/>
        <w:spacing w:before="120"/>
        <w:ind w:left="720" w:hanging="360"/>
        <w:rPr>
          <w:rFonts w:eastAsia="Times"/>
          <w:i/>
          <w:iCs/>
          <w:u w:val="single"/>
        </w:rPr>
      </w:pPr>
      <w:r w:rsidRPr="001B7F77">
        <w:rPr>
          <w:rFonts w:eastAsia="Times"/>
          <w:u w:val="single"/>
        </w:rPr>
        <w:t>2.</w:t>
      </w:r>
      <w:r w:rsidRPr="001B7F77">
        <w:rPr>
          <w:rFonts w:eastAsia="Times"/>
          <w:u w:val="single"/>
        </w:rPr>
        <w:tab/>
        <w:t xml:space="preserve">When the altered building is required to meet the requirements for a new building in accordance with Section 703.2 of this code, and the altered building meets the requirements of Section 1617.1 of the </w:t>
      </w:r>
      <w:r w:rsidRPr="001B7F77">
        <w:rPr>
          <w:rFonts w:eastAsia="Times"/>
          <w:i/>
          <w:iCs/>
          <w:u w:val="single"/>
        </w:rPr>
        <w:t>New York City Building Code.</w:t>
      </w:r>
    </w:p>
    <w:p w14:paraId="14D2F7CA" w14:textId="77777777" w:rsidR="001B7F77" w:rsidRPr="001B7F77" w:rsidRDefault="001B7F77" w:rsidP="001B7F77">
      <w:pPr>
        <w:suppressAutoHyphens/>
        <w:spacing w:before="120"/>
        <w:ind w:left="720" w:hanging="360"/>
        <w:rPr>
          <w:rFonts w:eastAsia="Times"/>
          <w:u w:val="single"/>
        </w:rPr>
      </w:pPr>
      <w:r w:rsidRPr="001B7F77">
        <w:rPr>
          <w:rFonts w:eastAsia="Times"/>
          <w:u w:val="single"/>
        </w:rPr>
        <w:t>3.</w:t>
      </w:r>
      <w:r w:rsidRPr="001B7F77">
        <w:rPr>
          <w:rFonts w:eastAsia="Times"/>
          <w:u w:val="single"/>
        </w:rPr>
        <w:tab/>
      </w:r>
      <w:r w:rsidRPr="001B7F77">
        <w:rPr>
          <w:u w:val="single"/>
        </w:rPr>
        <w:t>Altered buildings taller than seven stories where</w:t>
      </w:r>
      <w:r w:rsidRPr="001B7F77">
        <w:rPr>
          <w:rFonts w:eastAsia="Times"/>
          <w:u w:val="single"/>
        </w:rPr>
        <w:t xml:space="preserve"> the work involves transferring a column or a column transfer removal that supports in aggregate more than 15 percent of the building area, or where the work involves transferring on one element a portion of a wall that portion of which supports more than 25 percent of the building area</w:t>
      </w:r>
      <w:r w:rsidRPr="001B7F77">
        <w:rPr>
          <w:u w:val="single"/>
        </w:rPr>
        <w:t>. In this case, only the design and sequence of the transfer and related load path, including the method of load transfer to the subgrade, shall be subject to key element analysis</w:t>
      </w:r>
      <w:r w:rsidRPr="001B7F77">
        <w:rPr>
          <w:rFonts w:eastAsia="Times"/>
          <w:u w:val="single"/>
        </w:rPr>
        <w:t>.</w:t>
      </w:r>
    </w:p>
    <w:p w14:paraId="7C78B4C1" w14:textId="77777777" w:rsidR="001B7F77" w:rsidRPr="001B7F77" w:rsidRDefault="001B7F77" w:rsidP="001B7F77">
      <w:pPr>
        <w:suppressAutoHyphens/>
        <w:spacing w:before="120"/>
        <w:ind w:firstLine="360"/>
        <w:rPr>
          <w:rFonts w:eastAsia="Times"/>
          <w:u w:val="single"/>
        </w:rPr>
        <w:sectPr w:rsidR="001B7F77" w:rsidRPr="001B7F77" w:rsidSect="001B7F77">
          <w:headerReference w:type="even" r:id="rId56"/>
          <w:headerReference w:type="default" r:id="rId57"/>
          <w:footerReference w:type="even" r:id="rId58"/>
          <w:footerReference w:type="default" r:id="rId59"/>
          <w:headerReference w:type="first" r:id="rId60"/>
          <w:footerReference w:type="first" r:id="rId61"/>
          <w:pgSz w:w="12240" w:h="15840" w:code="1"/>
          <w:pgMar w:top="1440" w:right="1440" w:bottom="1440" w:left="1440" w:header="720" w:footer="720" w:gutter="0"/>
          <w:lnNumType w:countBy="1"/>
          <w:cols w:space="720"/>
          <w:docGrid w:linePitch="360"/>
        </w:sectPr>
      </w:pPr>
      <w:r w:rsidRPr="001B7F77">
        <w:rPr>
          <w:rFonts w:eastAsia="Times"/>
          <w:u w:val="single"/>
        </w:rPr>
        <w:t xml:space="preserve">4. </w:t>
      </w:r>
      <w:r w:rsidRPr="001B7F77">
        <w:rPr>
          <w:rFonts w:eastAsia="Times"/>
          <w:u w:val="single"/>
        </w:rPr>
        <w:tab/>
        <w:t>When specifically ordered by the commissioner.</w:t>
      </w:r>
    </w:p>
    <w:p w14:paraId="3DBB4F0B" w14:textId="77777777" w:rsidR="001B7F77" w:rsidRPr="001B7F77" w:rsidRDefault="001B7F77" w:rsidP="001B7F77">
      <w:pPr>
        <w:widowControl w:val="0"/>
        <w:suppressAutoHyphens/>
        <w:spacing w:before="120"/>
        <w:jc w:val="center"/>
        <w:outlineLvl w:val="0"/>
        <w:rPr>
          <w:b/>
          <w:color w:val="000000"/>
          <w:u w:val="single"/>
        </w:rPr>
      </w:pPr>
      <w:r w:rsidRPr="001B7F77">
        <w:rPr>
          <w:rFonts w:eastAsia="Times"/>
          <w:b/>
          <w:u w:val="single"/>
        </w:rPr>
        <w:t>CHAPTER</w:t>
      </w:r>
      <w:r w:rsidRPr="001B7F77">
        <w:rPr>
          <w:b/>
          <w:color w:val="000000"/>
          <w:u w:val="single"/>
        </w:rPr>
        <w:t xml:space="preserve"> 8</w:t>
      </w:r>
      <w:r w:rsidRPr="001B7F77">
        <w:rPr>
          <w:b/>
          <w:color w:val="000000"/>
          <w:u w:val="single"/>
        </w:rPr>
        <w:br/>
        <w:t>ALTERATIONS—LEVEL 1</w:t>
      </w:r>
    </w:p>
    <w:p w14:paraId="55D42772" w14:textId="77777777" w:rsidR="001B7F77" w:rsidRPr="001B7F77" w:rsidRDefault="001B7F77" w:rsidP="001B7F77">
      <w:pPr>
        <w:widowControl w:val="0"/>
        <w:suppressAutoHyphens/>
        <w:spacing w:before="120"/>
        <w:jc w:val="center"/>
        <w:outlineLvl w:val="0"/>
        <w:rPr>
          <w:b/>
          <w:u w:val="single"/>
        </w:rPr>
      </w:pPr>
      <w:r w:rsidRPr="001B7F77">
        <w:rPr>
          <w:rFonts w:eastAsia="Times"/>
          <w:b/>
          <w:u w:val="single"/>
        </w:rPr>
        <w:t>SECTION</w:t>
      </w:r>
      <w:r w:rsidRPr="001B7F77">
        <w:t xml:space="preserve"> </w:t>
      </w:r>
      <w:r w:rsidRPr="001B7F77">
        <w:rPr>
          <w:rFonts w:eastAsia="Times"/>
          <w:b/>
          <w:u w:val="single"/>
        </w:rPr>
        <w:t>EBC 801</w:t>
      </w:r>
      <w:r w:rsidRPr="001B7F77">
        <w:rPr>
          <w:rFonts w:eastAsia="Times"/>
          <w:b/>
          <w:u w:val="single"/>
        </w:rPr>
        <w:br/>
        <w:t>GENERAL</w:t>
      </w:r>
    </w:p>
    <w:p w14:paraId="46FA2112" w14:textId="77777777" w:rsidR="001B7F77" w:rsidRPr="001B7F77" w:rsidRDefault="001B7F77" w:rsidP="001B7F77">
      <w:pPr>
        <w:widowControl w:val="0"/>
        <w:suppressAutoHyphens/>
        <w:spacing w:before="120"/>
        <w:rPr>
          <w:color w:val="000000"/>
        </w:rPr>
      </w:pPr>
      <w:r w:rsidRPr="001B7F77">
        <w:rPr>
          <w:b/>
          <w:color w:val="000000"/>
          <w:u w:val="single"/>
        </w:rPr>
        <w:t>801.1 Scope</w:t>
      </w:r>
      <w:r w:rsidRPr="001B7F77">
        <w:rPr>
          <w:color w:val="000000"/>
          <w:u w:val="single"/>
        </w:rPr>
        <w:t>. Level 1 alterations as described in Section 602 shall comply with the requirements of Chapter 3 and this chapter.</w:t>
      </w:r>
    </w:p>
    <w:p w14:paraId="04D39585" w14:textId="77777777" w:rsidR="001B7F77" w:rsidRPr="001B7F77" w:rsidRDefault="001B7F77" w:rsidP="001B7F77">
      <w:pPr>
        <w:widowControl w:val="0"/>
        <w:suppressAutoHyphens/>
        <w:spacing w:before="120"/>
        <w:rPr>
          <w:color w:val="000000"/>
        </w:rPr>
      </w:pPr>
      <w:r w:rsidRPr="001B7F77">
        <w:rPr>
          <w:b/>
          <w:color w:val="000000"/>
          <w:u w:val="single"/>
        </w:rPr>
        <w:t>801.2 Compliance</w:t>
      </w:r>
      <w:r w:rsidRPr="001B7F77">
        <w:rPr>
          <w:color w:val="000000"/>
          <w:u w:val="single"/>
        </w:rPr>
        <w:t xml:space="preserve">. All new construction elements, components, systems, and spaces shall comply with the requirements of the </w:t>
      </w:r>
      <w:r w:rsidRPr="001B7F77">
        <w:rPr>
          <w:i/>
          <w:iCs/>
          <w:color w:val="000000"/>
          <w:u w:val="single"/>
        </w:rPr>
        <w:t>New York City Building Code</w:t>
      </w:r>
      <w:r w:rsidRPr="001B7F77">
        <w:rPr>
          <w:color w:val="000000"/>
          <w:u w:val="single"/>
        </w:rPr>
        <w:t xml:space="preserve"> as new construction, except as specifically stated in this chapter and Chapter 3 as applicable.</w:t>
      </w:r>
    </w:p>
    <w:p w14:paraId="441BCAF6" w14:textId="77777777" w:rsidR="001B7F77" w:rsidRPr="001B7F77" w:rsidRDefault="001B7F77" w:rsidP="001B7F77">
      <w:pPr>
        <w:widowControl w:val="0"/>
        <w:suppressAutoHyphens/>
        <w:spacing w:before="120"/>
        <w:ind w:left="360"/>
        <w:rPr>
          <w:color w:val="000000"/>
        </w:rPr>
      </w:pPr>
      <w:r w:rsidRPr="001B7F77">
        <w:rPr>
          <w:b/>
          <w:bCs/>
          <w:u w:val="single"/>
        </w:rPr>
        <w:t>801.2.1</w:t>
      </w:r>
      <w:r w:rsidRPr="001B7F77">
        <w:rPr>
          <w:u w:val="single"/>
        </w:rPr>
        <w:t xml:space="preserve"> </w:t>
      </w:r>
      <w:r w:rsidRPr="001B7F77">
        <w:rPr>
          <w:b/>
          <w:bCs/>
          <w:u w:val="single"/>
        </w:rPr>
        <w:t>Building safety performance and scoring method</w:t>
      </w:r>
      <w:r w:rsidRPr="001B7F77">
        <w:rPr>
          <w:u w:val="single"/>
        </w:rPr>
        <w:t>. As an alternative to compliance with any provision of Sections 803, 804 or 805, the registered design professional of record shall be permitted to elect to comply with Chapter 13 and the rules of the department in accordance with Section 301.1.4.</w:t>
      </w:r>
    </w:p>
    <w:p w14:paraId="79460951" w14:textId="77777777" w:rsidR="001B7F77" w:rsidRPr="001B7F77" w:rsidRDefault="001B7F77" w:rsidP="001B7F77">
      <w:pPr>
        <w:widowControl w:val="0"/>
        <w:suppressAutoHyphens/>
        <w:spacing w:before="120"/>
        <w:rPr>
          <w:color w:val="000000"/>
        </w:rPr>
      </w:pPr>
      <w:r w:rsidRPr="001B7F77">
        <w:rPr>
          <w:b/>
          <w:color w:val="000000"/>
          <w:u w:val="single"/>
        </w:rPr>
        <w:t xml:space="preserve">801.3 </w:t>
      </w:r>
      <w:r w:rsidRPr="001B7F77">
        <w:rPr>
          <w:b/>
          <w:u w:val="single"/>
        </w:rPr>
        <w:t>New and replacement materials, assemblies and details.</w:t>
      </w:r>
      <w:r w:rsidRPr="001B7F77">
        <w:rPr>
          <w:u w:val="single"/>
        </w:rPr>
        <w:t xml:space="preserve"> Materials, assemblies and details for all new work shall comply with Section 302.4.</w:t>
      </w:r>
    </w:p>
    <w:p w14:paraId="0EE07359" w14:textId="77777777" w:rsidR="001B7F77" w:rsidRPr="001B7F77" w:rsidRDefault="001B7F77" w:rsidP="001B7F77">
      <w:pPr>
        <w:widowControl w:val="0"/>
        <w:suppressAutoHyphens/>
        <w:spacing w:before="120"/>
        <w:jc w:val="center"/>
        <w:outlineLvl w:val="0"/>
        <w:rPr>
          <w:rFonts w:eastAsia="Times"/>
          <w:b/>
          <w:u w:val="single"/>
        </w:rPr>
      </w:pPr>
    </w:p>
    <w:p w14:paraId="53B5C7D1" w14:textId="77777777" w:rsidR="001B7F77" w:rsidRPr="001B7F77" w:rsidRDefault="001B7F77" w:rsidP="001B7F77">
      <w:pPr>
        <w:widowControl w:val="0"/>
        <w:suppressAutoHyphens/>
        <w:spacing w:before="120"/>
        <w:jc w:val="center"/>
        <w:outlineLvl w:val="0"/>
        <w:rPr>
          <w:rFonts w:eastAsia="Times"/>
          <w:b/>
          <w:u w:val="single"/>
        </w:rPr>
      </w:pPr>
      <w:r w:rsidRPr="001B7F77">
        <w:rPr>
          <w:rFonts w:eastAsia="Times"/>
          <w:b/>
          <w:u w:val="single"/>
        </w:rPr>
        <w:t>SECTION EBC 802</w:t>
      </w:r>
      <w:r w:rsidRPr="001B7F77">
        <w:rPr>
          <w:rFonts w:eastAsia="Times"/>
          <w:b/>
          <w:u w:val="single"/>
        </w:rPr>
        <w:br/>
        <w:t>RESERVED</w:t>
      </w:r>
    </w:p>
    <w:p w14:paraId="7FBF7663" w14:textId="77777777" w:rsidR="001B7F77" w:rsidRPr="001B7F77" w:rsidRDefault="001B7F77" w:rsidP="001B7F77">
      <w:pPr>
        <w:widowControl w:val="0"/>
        <w:suppressAutoHyphens/>
        <w:spacing w:before="120"/>
        <w:jc w:val="center"/>
        <w:outlineLvl w:val="0"/>
        <w:rPr>
          <w:rFonts w:eastAsia="Times"/>
          <w:b/>
          <w:u w:val="single"/>
        </w:rPr>
      </w:pPr>
    </w:p>
    <w:p w14:paraId="6F2DAF85" w14:textId="77777777" w:rsidR="001B7F77" w:rsidRPr="001B7F77" w:rsidRDefault="001B7F77" w:rsidP="001B7F77">
      <w:pPr>
        <w:widowControl w:val="0"/>
        <w:suppressAutoHyphens/>
        <w:spacing w:before="120"/>
        <w:jc w:val="center"/>
        <w:outlineLvl w:val="0"/>
        <w:rPr>
          <w:rFonts w:eastAsia="Times"/>
          <w:b/>
          <w:u w:val="single"/>
        </w:rPr>
      </w:pPr>
      <w:r w:rsidRPr="001B7F77">
        <w:rPr>
          <w:rFonts w:eastAsia="Times"/>
          <w:b/>
          <w:u w:val="single"/>
        </w:rPr>
        <w:t>SECTION EBC 803</w:t>
      </w:r>
      <w:r w:rsidRPr="001B7F77">
        <w:rPr>
          <w:rFonts w:eastAsia="Times"/>
          <w:b/>
          <w:u w:val="single"/>
        </w:rPr>
        <w:br/>
        <w:t>BUILDING ELEMENTS AND MATERIALS</w:t>
      </w:r>
    </w:p>
    <w:p w14:paraId="46B36F63" w14:textId="77777777" w:rsidR="001B7F77" w:rsidRPr="001B7F77" w:rsidRDefault="001B7F77" w:rsidP="001B7F77">
      <w:pPr>
        <w:widowControl w:val="0"/>
        <w:suppressAutoHyphens/>
        <w:spacing w:before="120"/>
        <w:rPr>
          <w:color w:val="000000"/>
          <w:szCs w:val="24"/>
        </w:rPr>
      </w:pPr>
      <w:r w:rsidRPr="001B7F77">
        <w:rPr>
          <w:b/>
          <w:bCs/>
          <w:szCs w:val="24"/>
          <w:u w:val="single"/>
        </w:rPr>
        <w:t>803.1 Scope</w:t>
      </w:r>
      <w:r w:rsidRPr="001B7F77">
        <w:rPr>
          <w:szCs w:val="24"/>
          <w:u w:val="single"/>
        </w:rPr>
        <w:t>. The requirements of this section are limited to work areas in which Level 1 alterations are being performed, except that they shall apply beyond the work area where specified. The registered design professional of record shall be responsible to verify existing fire-resistive rating conditions of building elements. Use of prior codes to establish lawful existing conditions shall be permitted in accordance with Section 302.8.1.</w:t>
      </w:r>
    </w:p>
    <w:p w14:paraId="6CC4FC5C" w14:textId="77777777" w:rsidR="001B7F77" w:rsidRPr="001B7F77" w:rsidRDefault="001B7F77" w:rsidP="001B7F77">
      <w:pPr>
        <w:widowControl w:val="0"/>
        <w:suppressAutoHyphens/>
        <w:spacing w:before="120"/>
        <w:rPr>
          <w:color w:val="000000"/>
          <w:szCs w:val="24"/>
        </w:rPr>
      </w:pPr>
      <w:r w:rsidRPr="001B7F77">
        <w:rPr>
          <w:b/>
          <w:color w:val="000000"/>
          <w:szCs w:val="24"/>
          <w:u w:val="single"/>
        </w:rPr>
        <w:t>803.2 Shafts and vertical openings</w:t>
      </w:r>
      <w:r w:rsidRPr="001B7F77">
        <w:rPr>
          <w:color w:val="000000"/>
          <w:szCs w:val="24"/>
          <w:u w:val="single"/>
        </w:rPr>
        <w:t xml:space="preserve">. Existing shafts and vertical openings shall comply with the provisions of Chapter 7 of the </w:t>
      </w:r>
      <w:r w:rsidRPr="001B7F77">
        <w:rPr>
          <w:i/>
          <w:iCs/>
          <w:color w:val="000000"/>
          <w:szCs w:val="24"/>
          <w:u w:val="single"/>
        </w:rPr>
        <w:t>New York City Building Code</w:t>
      </w:r>
      <w:r w:rsidRPr="001B7F77">
        <w:rPr>
          <w:color w:val="000000"/>
          <w:szCs w:val="24"/>
          <w:u w:val="single"/>
        </w:rPr>
        <w:t xml:space="preserve"> except as stated in Sections 803.2.1 through 803.2.3 of this code for prior code buildings. Where Chapter 7 of the </w:t>
      </w:r>
      <w:r w:rsidRPr="001B7F77">
        <w:rPr>
          <w:i/>
          <w:iCs/>
          <w:color w:val="000000"/>
          <w:szCs w:val="24"/>
          <w:u w:val="single"/>
        </w:rPr>
        <w:t>New York City Building Code</w:t>
      </w:r>
      <w:r w:rsidRPr="001B7F77">
        <w:rPr>
          <w:color w:val="000000"/>
          <w:szCs w:val="24"/>
          <w:u w:val="single"/>
        </w:rPr>
        <w:t xml:space="preserve"> allows for a reduction of the existing fire resistance rating, the registered design professional of record shall demonstrate compliance with Section 303.2 of this code.</w:t>
      </w:r>
    </w:p>
    <w:p w14:paraId="5C1235A1" w14:textId="77777777" w:rsidR="001B7F77" w:rsidRPr="001B7F77" w:rsidRDefault="001B7F77" w:rsidP="001B7F77">
      <w:pPr>
        <w:widowControl w:val="0"/>
        <w:suppressAutoHyphens/>
        <w:spacing w:before="120"/>
        <w:ind w:left="360"/>
        <w:rPr>
          <w:color w:val="000000"/>
          <w:szCs w:val="24"/>
        </w:rPr>
      </w:pPr>
      <w:r w:rsidRPr="001B7F77">
        <w:rPr>
          <w:b/>
          <w:bCs/>
          <w:szCs w:val="24"/>
          <w:u w:val="single"/>
        </w:rPr>
        <w:t>803.2.1 Existing shafts and vertical openings in prior code buildings</w:t>
      </w:r>
      <w:r w:rsidRPr="001B7F77">
        <w:rPr>
          <w:szCs w:val="24"/>
          <w:u w:val="single"/>
        </w:rPr>
        <w:t>. Existing interior vertical openings, including shafts connecting two or more floors, shall meet the requirements of Sections 803.2.1.1 through 803.2.1.12. Existing shafts and vertical openings that were lawfully enclosed in accordance with a prior code shall not be reduced in fire-resistance rating to meet the requirements of this section.</w:t>
      </w:r>
    </w:p>
    <w:p w14:paraId="41A04405" w14:textId="77777777" w:rsidR="001B7F77" w:rsidRPr="001B7F77" w:rsidRDefault="001B7F77" w:rsidP="001B7F77">
      <w:pPr>
        <w:widowControl w:val="0"/>
        <w:suppressAutoHyphens/>
        <w:spacing w:before="120"/>
        <w:ind w:left="720"/>
        <w:rPr>
          <w:color w:val="000000"/>
          <w:szCs w:val="24"/>
          <w:u w:val="single"/>
        </w:rPr>
      </w:pPr>
      <w:r w:rsidRPr="001B7F77">
        <w:rPr>
          <w:b/>
          <w:color w:val="000000"/>
          <w:szCs w:val="24"/>
          <w:u w:val="single"/>
        </w:rPr>
        <w:t>Exceptions:</w:t>
      </w:r>
    </w:p>
    <w:p w14:paraId="3C5E4830" w14:textId="77777777" w:rsidR="001B7F77" w:rsidRPr="001B7F77" w:rsidRDefault="001B7F77" w:rsidP="001B7F77">
      <w:pPr>
        <w:widowControl w:val="0"/>
        <w:suppressAutoHyphens/>
        <w:spacing w:before="120"/>
        <w:ind w:left="1440" w:hanging="360"/>
        <w:rPr>
          <w:color w:val="000000"/>
          <w:szCs w:val="24"/>
          <w:u w:val="single"/>
        </w:rPr>
      </w:pPr>
      <w:r w:rsidRPr="001B7F77">
        <w:rPr>
          <w:color w:val="000000"/>
          <w:szCs w:val="24"/>
          <w:u w:val="single"/>
        </w:rPr>
        <w:t>1.</w:t>
      </w:r>
      <w:r w:rsidRPr="001B7F77">
        <w:rPr>
          <w:color w:val="000000"/>
          <w:szCs w:val="24"/>
          <w:u w:val="single"/>
        </w:rPr>
        <w:tab/>
        <w:t xml:space="preserve">Where vertical opening enclosure is not required by the </w:t>
      </w:r>
      <w:r w:rsidRPr="001B7F77">
        <w:rPr>
          <w:i/>
          <w:iCs/>
          <w:color w:val="000000"/>
          <w:szCs w:val="24"/>
          <w:u w:val="single"/>
        </w:rPr>
        <w:t>New York City Building Code</w:t>
      </w:r>
      <w:r w:rsidRPr="001B7F77">
        <w:rPr>
          <w:color w:val="000000"/>
          <w:szCs w:val="24"/>
          <w:u w:val="single"/>
        </w:rPr>
        <w:t>.</w:t>
      </w:r>
    </w:p>
    <w:p w14:paraId="08042126" w14:textId="77777777" w:rsidR="001B7F77" w:rsidRPr="001B7F77" w:rsidRDefault="001B7F77" w:rsidP="001B7F77">
      <w:pPr>
        <w:widowControl w:val="0"/>
        <w:suppressAutoHyphens/>
        <w:spacing w:before="120"/>
        <w:ind w:left="1440" w:hanging="360"/>
        <w:rPr>
          <w:color w:val="000000"/>
          <w:szCs w:val="24"/>
          <w:u w:val="single"/>
        </w:rPr>
      </w:pPr>
      <w:r w:rsidRPr="001B7F77">
        <w:rPr>
          <w:color w:val="000000"/>
          <w:szCs w:val="24"/>
          <w:u w:val="single"/>
        </w:rPr>
        <w:t>2.</w:t>
      </w:r>
      <w:r w:rsidRPr="001B7F77">
        <w:rPr>
          <w:color w:val="000000"/>
          <w:szCs w:val="24"/>
          <w:u w:val="single"/>
        </w:rPr>
        <w:tab/>
        <w:t>Interior vertical openings other than stairways may be sealed at the floor and ceiling of the work area by construction that is substantively similar to that of the existing floor-ceiling assembly of the work area.</w:t>
      </w:r>
    </w:p>
    <w:p w14:paraId="21785BC4" w14:textId="77777777" w:rsidR="001B7F77" w:rsidRPr="001B7F77" w:rsidRDefault="001B7F77" w:rsidP="001B7F77">
      <w:pPr>
        <w:widowControl w:val="0"/>
        <w:suppressAutoHyphens/>
        <w:spacing w:before="120"/>
        <w:ind w:left="1440" w:hanging="360"/>
        <w:rPr>
          <w:color w:val="000000"/>
          <w:szCs w:val="24"/>
          <w:u w:val="single"/>
        </w:rPr>
      </w:pPr>
      <w:r w:rsidRPr="001B7F77">
        <w:rPr>
          <w:color w:val="000000"/>
          <w:szCs w:val="24"/>
          <w:u w:val="single"/>
        </w:rPr>
        <w:t>3.</w:t>
      </w:r>
      <w:r w:rsidRPr="001B7F77">
        <w:rPr>
          <w:color w:val="000000"/>
          <w:szCs w:val="24"/>
          <w:u w:val="single"/>
        </w:rPr>
        <w:tab/>
        <w:t>An enclosure shall not be required where:</w:t>
      </w:r>
    </w:p>
    <w:p w14:paraId="21652115" w14:textId="77777777" w:rsidR="001B7F77" w:rsidRPr="001B7F77" w:rsidRDefault="001B7F77" w:rsidP="001B7F77">
      <w:pPr>
        <w:widowControl w:val="0"/>
        <w:suppressAutoHyphens/>
        <w:spacing w:before="120"/>
        <w:ind w:left="1800" w:hanging="310"/>
        <w:rPr>
          <w:color w:val="000000"/>
          <w:szCs w:val="24"/>
          <w:u w:val="single"/>
        </w:rPr>
      </w:pPr>
      <w:r w:rsidRPr="001B7F77">
        <w:rPr>
          <w:color w:val="000000"/>
          <w:szCs w:val="24"/>
          <w:u w:val="single"/>
        </w:rPr>
        <w:t>3.1.</w:t>
      </w:r>
      <w:r w:rsidRPr="001B7F77">
        <w:rPr>
          <w:color w:val="000000"/>
          <w:szCs w:val="24"/>
          <w:u w:val="single"/>
        </w:rPr>
        <w:tab/>
        <w:t>The opening connects the main floor and a mezzanine; or</w:t>
      </w:r>
    </w:p>
    <w:p w14:paraId="3FB2E2EB" w14:textId="77777777" w:rsidR="001B7F77" w:rsidRPr="001B7F77" w:rsidRDefault="001B7F77" w:rsidP="001B7F77">
      <w:pPr>
        <w:widowControl w:val="0"/>
        <w:suppressAutoHyphens/>
        <w:spacing w:before="120"/>
        <w:ind w:left="1800" w:hanging="310"/>
        <w:rPr>
          <w:color w:val="000000"/>
          <w:szCs w:val="24"/>
          <w:u w:val="single"/>
        </w:rPr>
      </w:pPr>
      <w:r w:rsidRPr="001B7F77">
        <w:rPr>
          <w:color w:val="000000"/>
          <w:szCs w:val="24"/>
          <w:u w:val="single"/>
        </w:rPr>
        <w:t>3.2.</w:t>
      </w:r>
      <w:r w:rsidRPr="001B7F77">
        <w:rPr>
          <w:color w:val="000000"/>
          <w:szCs w:val="24"/>
          <w:u w:val="single"/>
        </w:rPr>
        <w:tab/>
        <w:t>All of the following conditions are met:</w:t>
      </w:r>
    </w:p>
    <w:p w14:paraId="4CB8255E" w14:textId="77777777" w:rsidR="001B7F77" w:rsidRPr="001B7F77" w:rsidRDefault="001B7F77" w:rsidP="001B7F77">
      <w:pPr>
        <w:widowControl w:val="0"/>
        <w:suppressAutoHyphens/>
        <w:spacing w:before="120"/>
        <w:ind w:left="2340" w:hanging="540"/>
        <w:rPr>
          <w:color w:val="000000"/>
          <w:szCs w:val="24"/>
          <w:u w:val="single"/>
        </w:rPr>
      </w:pPr>
      <w:r w:rsidRPr="001B7F77">
        <w:rPr>
          <w:color w:val="000000"/>
          <w:szCs w:val="24"/>
          <w:u w:val="single"/>
        </w:rPr>
        <w:t>3.2.1.</w:t>
      </w:r>
      <w:r w:rsidRPr="001B7F77">
        <w:rPr>
          <w:color w:val="000000"/>
          <w:szCs w:val="24"/>
          <w:u w:val="single"/>
        </w:rPr>
        <w:tab/>
        <w:t xml:space="preserve">The communicating area has a light hazard occupancy or has an ordinary hazard occupancy in accordance with NFPA 13 as modified by Appendix Q of the </w:t>
      </w:r>
      <w:r w:rsidRPr="001B7F77">
        <w:rPr>
          <w:i/>
          <w:iCs/>
          <w:color w:val="000000"/>
          <w:szCs w:val="24"/>
          <w:u w:val="single"/>
        </w:rPr>
        <w:t>New York City Building Code</w:t>
      </w:r>
      <w:r w:rsidRPr="001B7F77">
        <w:rPr>
          <w:color w:val="000000"/>
          <w:szCs w:val="24"/>
          <w:u w:val="single"/>
        </w:rPr>
        <w:t>;</w:t>
      </w:r>
    </w:p>
    <w:p w14:paraId="4F7E5260" w14:textId="77777777" w:rsidR="001B7F77" w:rsidRPr="001B7F77" w:rsidRDefault="001B7F77" w:rsidP="001B7F77">
      <w:pPr>
        <w:widowControl w:val="0"/>
        <w:suppressAutoHyphens/>
        <w:spacing w:before="120"/>
        <w:ind w:left="2340" w:hanging="540"/>
        <w:rPr>
          <w:color w:val="000000"/>
          <w:szCs w:val="24"/>
          <w:u w:val="single"/>
        </w:rPr>
      </w:pPr>
      <w:r w:rsidRPr="001B7F77">
        <w:rPr>
          <w:color w:val="000000"/>
          <w:szCs w:val="24"/>
          <w:u w:val="single"/>
        </w:rPr>
        <w:t>3.2.2.</w:t>
      </w:r>
      <w:r w:rsidRPr="001B7F77">
        <w:rPr>
          <w:color w:val="000000"/>
          <w:szCs w:val="24"/>
          <w:u w:val="single"/>
        </w:rPr>
        <w:tab/>
        <w:t>The communicating area is protected throughout by an automatic sprinkler system;</w:t>
      </w:r>
    </w:p>
    <w:p w14:paraId="3C2B14CD" w14:textId="77777777" w:rsidR="001B7F77" w:rsidRPr="001B7F77" w:rsidRDefault="001B7F77" w:rsidP="001B7F77">
      <w:pPr>
        <w:widowControl w:val="0"/>
        <w:suppressAutoHyphens/>
        <w:spacing w:before="120"/>
        <w:ind w:left="2340" w:hanging="540"/>
        <w:rPr>
          <w:color w:val="000000"/>
          <w:szCs w:val="24"/>
          <w:u w:val="single"/>
        </w:rPr>
      </w:pPr>
      <w:r w:rsidRPr="001B7F77">
        <w:rPr>
          <w:color w:val="000000"/>
          <w:szCs w:val="24"/>
          <w:u w:val="single"/>
        </w:rPr>
        <w:t>3.2.3.</w:t>
      </w:r>
      <w:r w:rsidRPr="001B7F77">
        <w:rPr>
          <w:color w:val="000000"/>
          <w:szCs w:val="24"/>
          <w:u w:val="single"/>
        </w:rPr>
        <w:tab/>
        <w:t xml:space="preserve"> The communicating area is limited to two levels and the lowest or next to the lowest level is a street floor;</w:t>
      </w:r>
    </w:p>
    <w:p w14:paraId="5BC9D3D6" w14:textId="77777777" w:rsidR="001B7F77" w:rsidRPr="001B7F77" w:rsidRDefault="001B7F77" w:rsidP="001B7F77">
      <w:pPr>
        <w:widowControl w:val="0"/>
        <w:suppressAutoHyphens/>
        <w:spacing w:before="120"/>
        <w:ind w:left="2340" w:hanging="540"/>
        <w:rPr>
          <w:color w:val="000000"/>
          <w:szCs w:val="24"/>
          <w:u w:val="single"/>
        </w:rPr>
      </w:pPr>
      <w:r w:rsidRPr="001B7F77">
        <w:rPr>
          <w:color w:val="000000"/>
          <w:szCs w:val="24"/>
          <w:u w:val="single"/>
        </w:rPr>
        <w:t>3.2.4.</w:t>
      </w:r>
      <w:r w:rsidRPr="001B7F77">
        <w:rPr>
          <w:color w:val="000000"/>
          <w:szCs w:val="24"/>
          <w:u w:val="single"/>
        </w:rPr>
        <w:tab/>
        <w:t>The entire area is open and unobstructed in a manner such that it may be assumed that a fire in any part of the interconnected spaces will be readily obvious to all of the occupants. Such open and unobstructed area shall be at least 80</w:t>
      </w:r>
      <w:r w:rsidRPr="001B7F77">
        <w:rPr>
          <w:szCs w:val="24"/>
          <w:u w:val="single"/>
        </w:rPr>
        <w:t xml:space="preserve"> percent </w:t>
      </w:r>
      <w:r w:rsidRPr="001B7F77">
        <w:rPr>
          <w:color w:val="000000"/>
          <w:szCs w:val="24"/>
          <w:u w:val="single"/>
        </w:rPr>
        <w:t>of the floor area at each level without intervening partitions;</w:t>
      </w:r>
    </w:p>
    <w:p w14:paraId="68D0B100" w14:textId="77777777" w:rsidR="001B7F77" w:rsidRPr="001B7F77" w:rsidRDefault="001B7F77" w:rsidP="001B7F77">
      <w:pPr>
        <w:widowControl w:val="0"/>
        <w:suppressAutoHyphens/>
        <w:spacing w:before="120"/>
        <w:ind w:left="2340" w:hanging="540"/>
        <w:rPr>
          <w:color w:val="000000"/>
          <w:szCs w:val="24"/>
          <w:u w:val="single"/>
        </w:rPr>
      </w:pPr>
      <w:r w:rsidRPr="001B7F77">
        <w:rPr>
          <w:color w:val="000000"/>
          <w:szCs w:val="24"/>
          <w:u w:val="single"/>
        </w:rPr>
        <w:t>3.2.5.</w:t>
      </w:r>
      <w:r w:rsidRPr="001B7F77">
        <w:rPr>
          <w:color w:val="000000"/>
          <w:szCs w:val="24"/>
          <w:u w:val="single"/>
        </w:rPr>
        <w:tab/>
        <w:t>Exit capacity is sufficient to provide egress simultaneously for all occupants of all levels by considering all areas to be a single floor area for the determination of required exit capacity. The maximum travel distance for all occupants of all levels shall be 75 feet (22 860 mm) within the communicating areas;</w:t>
      </w:r>
    </w:p>
    <w:p w14:paraId="29233B4C" w14:textId="77777777" w:rsidR="001B7F77" w:rsidRPr="001B7F77" w:rsidRDefault="001B7F77" w:rsidP="001B7F77">
      <w:pPr>
        <w:widowControl w:val="0"/>
        <w:suppressAutoHyphens/>
        <w:spacing w:before="120"/>
        <w:ind w:left="2340" w:hanging="540"/>
        <w:rPr>
          <w:color w:val="000000"/>
          <w:szCs w:val="24"/>
          <w:u w:val="single"/>
        </w:rPr>
      </w:pPr>
      <w:r w:rsidRPr="001B7F77">
        <w:rPr>
          <w:color w:val="000000"/>
          <w:szCs w:val="24"/>
          <w:u w:val="single"/>
        </w:rPr>
        <w:t>3.2.6.</w:t>
      </w:r>
      <w:r w:rsidRPr="001B7F77">
        <w:rPr>
          <w:color w:val="000000"/>
          <w:szCs w:val="24"/>
          <w:u w:val="single"/>
        </w:rPr>
        <w:tab/>
        <w:t>Each floor level, considered separately, has at least one-half of its individual required exit capacity provided by an exit or exits leading directly out of that level without having to traverse another communicating floor level or be exposed to the smoke or fire spreading from another communicating floor level; and</w:t>
      </w:r>
    </w:p>
    <w:p w14:paraId="47A69479" w14:textId="77777777" w:rsidR="001B7F77" w:rsidRPr="001B7F77" w:rsidRDefault="001B7F77" w:rsidP="001B7F77">
      <w:pPr>
        <w:widowControl w:val="0"/>
        <w:suppressAutoHyphens/>
        <w:spacing w:before="120"/>
        <w:ind w:left="2340" w:hanging="540"/>
        <w:rPr>
          <w:color w:val="000000"/>
          <w:szCs w:val="24"/>
          <w:u w:val="single"/>
        </w:rPr>
      </w:pPr>
      <w:r w:rsidRPr="001B7F77">
        <w:rPr>
          <w:color w:val="000000"/>
          <w:szCs w:val="24"/>
          <w:u w:val="single"/>
        </w:rPr>
        <w:t>3.2.7.</w:t>
      </w:r>
      <w:r w:rsidRPr="001B7F77">
        <w:rPr>
          <w:color w:val="000000"/>
          <w:szCs w:val="24"/>
          <w:u w:val="single"/>
        </w:rPr>
        <w:tab/>
        <w:t>The communicating areas are occupied by a single tenant.</w:t>
      </w:r>
    </w:p>
    <w:p w14:paraId="5C9AB2D5" w14:textId="77777777" w:rsidR="001B7F77" w:rsidRPr="001B7F77" w:rsidRDefault="001B7F77" w:rsidP="001B7F77">
      <w:pPr>
        <w:widowControl w:val="0"/>
        <w:suppressAutoHyphens/>
        <w:spacing w:before="120"/>
        <w:ind w:left="720"/>
        <w:rPr>
          <w:color w:val="000000"/>
          <w:szCs w:val="24"/>
        </w:rPr>
      </w:pPr>
      <w:r w:rsidRPr="001B7F77">
        <w:rPr>
          <w:b/>
          <w:color w:val="000000"/>
          <w:szCs w:val="24"/>
          <w:u w:val="single"/>
        </w:rPr>
        <w:t>803.2.1.1 Group A occupancies</w:t>
      </w:r>
      <w:r w:rsidRPr="001B7F77">
        <w:rPr>
          <w:color w:val="000000"/>
          <w:szCs w:val="24"/>
          <w:u w:val="single"/>
        </w:rPr>
        <w:t>. A minimum 1-hour rated enclosure shall be provided to protect all vertical openings not exceeding three stories where occupied by the same tenant and when the building is protected throughout by an approved automatic fire sprinkler system. Convenience stairs connecting such stories shall not be considered part of a required means of egress from each story.</w:t>
      </w:r>
    </w:p>
    <w:p w14:paraId="35CB7D28" w14:textId="77777777" w:rsidR="001B7F77" w:rsidRPr="001B7F77" w:rsidRDefault="001B7F77" w:rsidP="001B7F77">
      <w:pPr>
        <w:widowControl w:val="0"/>
        <w:suppressAutoHyphens/>
        <w:spacing w:before="120"/>
        <w:ind w:left="720"/>
        <w:rPr>
          <w:color w:val="000000"/>
          <w:szCs w:val="24"/>
          <w:u w:val="single"/>
        </w:rPr>
      </w:pPr>
      <w:r w:rsidRPr="001B7F77">
        <w:rPr>
          <w:b/>
          <w:color w:val="000000"/>
          <w:szCs w:val="24"/>
          <w:u w:val="single"/>
        </w:rPr>
        <w:t>803.2.1.2</w:t>
      </w:r>
      <w:r w:rsidRPr="001B7F77">
        <w:rPr>
          <w:color w:val="000000"/>
          <w:szCs w:val="24"/>
          <w:u w:val="single"/>
        </w:rPr>
        <w:t xml:space="preserve"> </w:t>
      </w:r>
      <w:r w:rsidRPr="001B7F77">
        <w:rPr>
          <w:b/>
          <w:color w:val="000000"/>
          <w:szCs w:val="24"/>
          <w:u w:val="single"/>
        </w:rPr>
        <w:t>Group B occupancies</w:t>
      </w:r>
      <w:r w:rsidRPr="001B7F77">
        <w:rPr>
          <w:color w:val="000000"/>
          <w:szCs w:val="24"/>
          <w:u w:val="single"/>
        </w:rPr>
        <w:t>. A minimum 1-hour rated enclosure shall be provided to protect all vertical openings not exceeding three stories. This enclosure shall not be required for buildings not exceeding 3,000 square feet (279 m</w:t>
      </w:r>
      <w:r w:rsidRPr="001B7F77">
        <w:rPr>
          <w:color w:val="000000"/>
          <w:szCs w:val="24"/>
          <w:u w:val="single"/>
          <w:vertAlign w:val="superscript"/>
        </w:rPr>
        <w:t>2</w:t>
      </w:r>
      <w:r w:rsidRPr="001B7F77">
        <w:rPr>
          <w:color w:val="000000"/>
          <w:szCs w:val="24"/>
          <w:u w:val="single"/>
        </w:rPr>
        <w:t>) per floor where both of the following conditions are met:</w:t>
      </w:r>
    </w:p>
    <w:p w14:paraId="5A8D30F6" w14:textId="77777777" w:rsidR="001B7F77" w:rsidRPr="001B7F77" w:rsidRDefault="001B7F77" w:rsidP="001B7F77">
      <w:pPr>
        <w:widowControl w:val="0"/>
        <w:suppressAutoHyphens/>
        <w:spacing w:before="120"/>
        <w:ind w:left="1440" w:hanging="360"/>
        <w:rPr>
          <w:rFonts w:eastAsia="Calibri"/>
          <w:color w:val="000000"/>
          <w:szCs w:val="24"/>
          <w:u w:val="single"/>
        </w:rPr>
      </w:pPr>
      <w:r w:rsidRPr="001B7F77">
        <w:rPr>
          <w:rFonts w:eastAsia="Calibri"/>
          <w:color w:val="000000"/>
          <w:szCs w:val="24"/>
          <w:u w:val="single"/>
        </w:rPr>
        <w:t>1.</w:t>
      </w:r>
      <w:r w:rsidRPr="001B7F77">
        <w:rPr>
          <w:rFonts w:eastAsia="Calibri"/>
          <w:color w:val="000000"/>
          <w:szCs w:val="24"/>
          <w:u w:val="single"/>
        </w:rPr>
        <w:tab/>
        <w:t>The building is protected throughout by an approved automatic fire sprinkler system; and</w:t>
      </w:r>
    </w:p>
    <w:p w14:paraId="759C2781" w14:textId="77777777" w:rsidR="001B7F77" w:rsidRPr="001B7F77" w:rsidRDefault="001B7F77" w:rsidP="001B7F77">
      <w:pPr>
        <w:widowControl w:val="0"/>
        <w:suppressAutoHyphens/>
        <w:spacing w:before="120"/>
        <w:ind w:left="1440" w:hanging="360"/>
        <w:rPr>
          <w:rFonts w:eastAsia="Calibri"/>
          <w:color w:val="000000"/>
          <w:szCs w:val="24"/>
        </w:rPr>
      </w:pPr>
      <w:r w:rsidRPr="001B7F77">
        <w:rPr>
          <w:rFonts w:eastAsia="Calibri"/>
          <w:color w:val="000000"/>
          <w:szCs w:val="24"/>
          <w:u w:val="single"/>
        </w:rPr>
        <w:t>2.</w:t>
      </w:r>
      <w:r w:rsidRPr="001B7F77">
        <w:rPr>
          <w:rFonts w:eastAsia="Calibri"/>
          <w:color w:val="000000"/>
          <w:szCs w:val="24"/>
          <w:u w:val="single"/>
        </w:rPr>
        <w:tab/>
        <w:t>Convenience stairs connecting such stories shall not be considered part of a required means of egress from each story.</w:t>
      </w:r>
    </w:p>
    <w:p w14:paraId="02A46D6A" w14:textId="77777777" w:rsidR="001B7F77" w:rsidRPr="001B7F77" w:rsidRDefault="001B7F77" w:rsidP="001B7F77">
      <w:pPr>
        <w:widowControl w:val="0"/>
        <w:suppressAutoHyphens/>
        <w:spacing w:before="120"/>
        <w:ind w:left="720"/>
        <w:rPr>
          <w:color w:val="000000"/>
          <w:szCs w:val="24"/>
        </w:rPr>
      </w:pPr>
      <w:r w:rsidRPr="001B7F77">
        <w:rPr>
          <w:b/>
          <w:color w:val="000000"/>
          <w:szCs w:val="24"/>
          <w:u w:val="single"/>
        </w:rPr>
        <w:t>803.2.1.3 Group E occupancies</w:t>
      </w:r>
      <w:r w:rsidRPr="001B7F77">
        <w:rPr>
          <w:color w:val="000000"/>
          <w:szCs w:val="24"/>
          <w:u w:val="single"/>
        </w:rPr>
        <w:t>. An enclosure shall not be required for vertical openings not exceeding three stories when the building is protected throughout by approved automatic fire sprinkler system and approved fire alarm system.</w:t>
      </w:r>
    </w:p>
    <w:p w14:paraId="79061E32" w14:textId="77777777" w:rsidR="001B7F77" w:rsidRPr="001B7F77" w:rsidRDefault="001B7F77" w:rsidP="001B7F77">
      <w:pPr>
        <w:widowControl w:val="0"/>
        <w:suppressAutoHyphens/>
        <w:spacing w:before="120"/>
        <w:ind w:left="720"/>
        <w:rPr>
          <w:color w:val="000000"/>
          <w:szCs w:val="24"/>
        </w:rPr>
      </w:pPr>
      <w:r w:rsidRPr="001B7F77">
        <w:rPr>
          <w:b/>
          <w:color w:val="000000"/>
          <w:szCs w:val="24"/>
          <w:u w:val="single"/>
        </w:rPr>
        <w:t>803.2.1.4</w:t>
      </w:r>
      <w:r w:rsidRPr="001B7F77">
        <w:rPr>
          <w:color w:val="000000"/>
          <w:szCs w:val="24"/>
          <w:u w:val="single"/>
        </w:rPr>
        <w:t xml:space="preserve"> </w:t>
      </w:r>
      <w:r w:rsidRPr="001B7F77">
        <w:rPr>
          <w:b/>
          <w:color w:val="000000"/>
          <w:szCs w:val="24"/>
          <w:u w:val="single"/>
        </w:rPr>
        <w:t>Group F occupancies</w:t>
      </w:r>
      <w:r w:rsidRPr="001B7F77">
        <w:rPr>
          <w:color w:val="000000"/>
          <w:szCs w:val="24"/>
          <w:u w:val="single"/>
        </w:rPr>
        <w:t>. An enclosure shall not be required for vertical openings not exceeding three stories where a vertical opening is necessary for manufacturing operations, direct access is provided to at least one enclosed stairway and the building is protected throughout by an approved automatic sprinkler system.</w:t>
      </w:r>
    </w:p>
    <w:p w14:paraId="7AC16830" w14:textId="77777777" w:rsidR="001B7F77" w:rsidRPr="001B7F77" w:rsidRDefault="001B7F77" w:rsidP="001B7F77">
      <w:pPr>
        <w:widowControl w:val="0"/>
        <w:suppressAutoHyphens/>
        <w:spacing w:before="120"/>
        <w:ind w:left="720"/>
        <w:rPr>
          <w:color w:val="000000"/>
          <w:szCs w:val="24"/>
        </w:rPr>
      </w:pPr>
      <w:bookmarkStart w:id="155" w:name="_Hlk127201053"/>
      <w:r w:rsidRPr="001B7F77">
        <w:rPr>
          <w:b/>
          <w:szCs w:val="24"/>
          <w:u w:val="single"/>
        </w:rPr>
        <w:t>803.2.1.5</w:t>
      </w:r>
      <w:r w:rsidRPr="001B7F77">
        <w:rPr>
          <w:szCs w:val="24"/>
          <w:u w:val="single"/>
        </w:rPr>
        <w:t xml:space="preserve"> </w:t>
      </w:r>
      <w:r w:rsidRPr="001B7F77">
        <w:rPr>
          <w:b/>
          <w:szCs w:val="24"/>
          <w:u w:val="single"/>
        </w:rPr>
        <w:t>Group H occupancies</w:t>
      </w:r>
      <w:bookmarkEnd w:id="155"/>
      <w:r w:rsidRPr="001B7F77">
        <w:rPr>
          <w:b/>
          <w:szCs w:val="24"/>
          <w:u w:val="single"/>
        </w:rPr>
        <w:t xml:space="preserve">. </w:t>
      </w:r>
      <w:r w:rsidRPr="001B7F77">
        <w:rPr>
          <w:szCs w:val="24"/>
          <w:u w:val="single"/>
        </w:rPr>
        <w:t>An enclosure shall not be required for vertical openings not exceeding three stories where a vertical opening is necessary for manufacturing operations, every floor level has direct access to at least two remote enclosed stairways or other approved exits and the building is protected throughout by an approved automatic fire sprinkler system and approved fire alarm system.</w:t>
      </w:r>
    </w:p>
    <w:p w14:paraId="68C6EC4D" w14:textId="77777777" w:rsidR="001B7F77" w:rsidRPr="001B7F77" w:rsidRDefault="001B7F77" w:rsidP="001B7F77">
      <w:pPr>
        <w:widowControl w:val="0"/>
        <w:suppressAutoHyphens/>
        <w:spacing w:before="120"/>
        <w:ind w:left="720"/>
        <w:rPr>
          <w:color w:val="000000"/>
          <w:szCs w:val="24"/>
        </w:rPr>
      </w:pPr>
      <w:r w:rsidRPr="001B7F77">
        <w:rPr>
          <w:b/>
          <w:color w:val="000000"/>
          <w:szCs w:val="24"/>
          <w:u w:val="single"/>
        </w:rPr>
        <w:t>803.2.1.6</w:t>
      </w:r>
      <w:r w:rsidRPr="001B7F77">
        <w:rPr>
          <w:color w:val="000000"/>
          <w:szCs w:val="24"/>
          <w:u w:val="single"/>
        </w:rPr>
        <w:t xml:space="preserve"> </w:t>
      </w:r>
      <w:r w:rsidRPr="001B7F77">
        <w:rPr>
          <w:b/>
          <w:color w:val="000000"/>
          <w:szCs w:val="24"/>
          <w:u w:val="single"/>
        </w:rPr>
        <w:t xml:space="preserve">Group M occupancies. </w:t>
      </w:r>
      <w:r w:rsidRPr="001B7F77">
        <w:rPr>
          <w:color w:val="000000"/>
          <w:szCs w:val="24"/>
          <w:u w:val="single"/>
        </w:rPr>
        <w:t>A minimum 1-hour rated enclosure shall be provided to protect all vertical openings not exceeding three stories. This enclosure shall not be required in buildings protected throughout by an approved automatic sprinkler system and any convenience stair connecting such stories shall not be considered part of a required means of egress from each story.</w:t>
      </w:r>
    </w:p>
    <w:p w14:paraId="32643159" w14:textId="77777777" w:rsidR="001B7F77" w:rsidRPr="001B7F77" w:rsidRDefault="001B7F77" w:rsidP="001B7F77">
      <w:pPr>
        <w:widowControl w:val="0"/>
        <w:suppressAutoHyphens/>
        <w:spacing w:before="120"/>
        <w:ind w:left="1080"/>
        <w:rPr>
          <w:bCs/>
          <w:color w:val="000000"/>
          <w:szCs w:val="24"/>
          <w:u w:val="single"/>
        </w:rPr>
      </w:pPr>
      <w:r w:rsidRPr="001B7F77">
        <w:rPr>
          <w:b/>
          <w:color w:val="000000"/>
          <w:szCs w:val="24"/>
          <w:u w:val="single"/>
        </w:rPr>
        <w:t>Exception:</w:t>
      </w:r>
      <w:r w:rsidRPr="001B7F77">
        <w:rPr>
          <w:bCs/>
          <w:color w:val="000000"/>
          <w:szCs w:val="24"/>
          <w:u w:val="single"/>
        </w:rPr>
        <w:t xml:space="preserve"> Malls designed and constructed under prior codes.</w:t>
      </w:r>
    </w:p>
    <w:p w14:paraId="48C5E1F9" w14:textId="77777777" w:rsidR="001B7F77" w:rsidRPr="001B7F77" w:rsidRDefault="001B7F77" w:rsidP="001B7F77">
      <w:pPr>
        <w:widowControl w:val="0"/>
        <w:suppressAutoHyphens/>
        <w:spacing w:before="120"/>
        <w:ind w:left="720"/>
        <w:rPr>
          <w:color w:val="000000"/>
          <w:szCs w:val="24"/>
        </w:rPr>
      </w:pPr>
      <w:r w:rsidRPr="001B7F77">
        <w:rPr>
          <w:b/>
          <w:color w:val="000000"/>
          <w:szCs w:val="24"/>
          <w:u w:val="single"/>
        </w:rPr>
        <w:t>803.2.1.7</w:t>
      </w:r>
      <w:r w:rsidRPr="001B7F77">
        <w:rPr>
          <w:szCs w:val="24"/>
          <w:u w:val="single"/>
        </w:rPr>
        <w:t xml:space="preserve"> </w:t>
      </w:r>
      <w:r w:rsidRPr="001B7F77">
        <w:rPr>
          <w:b/>
          <w:color w:val="000000"/>
          <w:szCs w:val="24"/>
          <w:u w:val="single"/>
        </w:rPr>
        <w:t>Group R-1 occupancies</w:t>
      </w:r>
      <w:r w:rsidRPr="001B7F77">
        <w:rPr>
          <w:color w:val="000000"/>
          <w:szCs w:val="24"/>
          <w:u w:val="single"/>
        </w:rPr>
        <w:t>. An enclosure shall not be required for vertical openings not exceeding three stories where such openings serve public areas and the building is protected throughout by an approved automatic sprinkler system and approved fire alarm system.</w:t>
      </w:r>
    </w:p>
    <w:p w14:paraId="6A7AE199" w14:textId="77777777" w:rsidR="001B7F77" w:rsidRPr="001B7F77" w:rsidRDefault="001B7F77" w:rsidP="001B7F77">
      <w:pPr>
        <w:widowControl w:val="0"/>
        <w:suppressAutoHyphens/>
        <w:spacing w:before="120"/>
        <w:ind w:left="720"/>
        <w:rPr>
          <w:color w:val="000000"/>
          <w:szCs w:val="24"/>
          <w:u w:val="single"/>
        </w:rPr>
      </w:pPr>
      <w:r w:rsidRPr="001B7F77">
        <w:rPr>
          <w:b/>
          <w:color w:val="000000"/>
          <w:szCs w:val="24"/>
          <w:u w:val="single"/>
        </w:rPr>
        <w:t>803.2.1.8</w:t>
      </w:r>
      <w:r w:rsidRPr="001B7F77">
        <w:rPr>
          <w:color w:val="000000"/>
          <w:szCs w:val="24"/>
          <w:u w:val="single"/>
        </w:rPr>
        <w:t xml:space="preserve"> </w:t>
      </w:r>
      <w:r w:rsidRPr="001B7F77">
        <w:rPr>
          <w:b/>
          <w:color w:val="000000"/>
          <w:szCs w:val="24"/>
          <w:u w:val="single"/>
        </w:rPr>
        <w:t>Group R-2 and I-1 occupancies</w:t>
      </w:r>
      <w:r w:rsidRPr="001B7F77">
        <w:rPr>
          <w:color w:val="000000"/>
          <w:szCs w:val="24"/>
          <w:u w:val="single"/>
        </w:rPr>
        <w:t>. A minimum 1-hour rated enclosure shall be provided to protect all vertical openings not exceeding three stories. However, vertical openings need not be enclosed within dwelling units in accordance with the following:</w:t>
      </w:r>
    </w:p>
    <w:p w14:paraId="072DAA1D" w14:textId="77777777" w:rsidR="001B7F77" w:rsidRPr="001B7F77" w:rsidRDefault="001B7F77" w:rsidP="001B7F77">
      <w:pPr>
        <w:widowControl w:val="0"/>
        <w:suppressAutoHyphens/>
        <w:spacing w:before="120"/>
        <w:ind w:left="1440" w:hanging="360"/>
        <w:rPr>
          <w:rFonts w:eastAsia="Calibri"/>
          <w:color w:val="000000"/>
          <w:szCs w:val="24"/>
          <w:u w:val="single"/>
        </w:rPr>
      </w:pPr>
      <w:r w:rsidRPr="001B7F77">
        <w:rPr>
          <w:rFonts w:eastAsia="Calibri"/>
          <w:color w:val="000000"/>
          <w:szCs w:val="24"/>
          <w:u w:val="single"/>
        </w:rPr>
        <w:t>1.</w:t>
      </w:r>
      <w:r w:rsidRPr="001B7F77">
        <w:rPr>
          <w:rFonts w:eastAsia="Calibri"/>
          <w:color w:val="000000"/>
          <w:szCs w:val="24"/>
          <w:u w:val="single"/>
        </w:rPr>
        <w:tab/>
        <w:t>Vertical openings within dwelling units connecting two stories.</w:t>
      </w:r>
    </w:p>
    <w:p w14:paraId="7DE3D3DA" w14:textId="77777777" w:rsidR="001B7F77" w:rsidRPr="001B7F77" w:rsidRDefault="001B7F77" w:rsidP="001B7F77">
      <w:pPr>
        <w:widowControl w:val="0"/>
        <w:tabs>
          <w:tab w:val="left" w:pos="1800"/>
        </w:tabs>
        <w:suppressAutoHyphens/>
        <w:spacing w:before="120"/>
        <w:ind w:left="1440" w:hanging="360"/>
        <w:rPr>
          <w:rFonts w:eastAsia="Calibri"/>
          <w:color w:val="000000"/>
          <w:szCs w:val="24"/>
          <w:u w:val="single"/>
        </w:rPr>
      </w:pPr>
      <w:r w:rsidRPr="001B7F77">
        <w:rPr>
          <w:rFonts w:eastAsia="Calibri"/>
          <w:color w:val="000000"/>
          <w:szCs w:val="24"/>
          <w:u w:val="single"/>
        </w:rPr>
        <w:t>2.</w:t>
      </w:r>
      <w:r w:rsidRPr="001B7F77">
        <w:rPr>
          <w:rFonts w:eastAsia="Calibri"/>
          <w:color w:val="000000"/>
          <w:szCs w:val="24"/>
          <w:u w:val="single"/>
        </w:rPr>
        <w:tab/>
        <w:t>Vertical openings within dwelling units connecting three stories in:</w:t>
      </w:r>
    </w:p>
    <w:p w14:paraId="284350AD" w14:textId="77777777" w:rsidR="001B7F77" w:rsidRPr="001B7F77" w:rsidRDefault="001B7F77" w:rsidP="001B7F77">
      <w:pPr>
        <w:widowControl w:val="0"/>
        <w:suppressAutoHyphens/>
        <w:spacing w:before="120"/>
        <w:ind w:left="1980" w:hanging="540"/>
        <w:rPr>
          <w:color w:val="000000"/>
          <w:szCs w:val="24"/>
          <w:u w:val="single"/>
        </w:rPr>
      </w:pPr>
      <w:r w:rsidRPr="001B7F77">
        <w:rPr>
          <w:color w:val="000000"/>
          <w:szCs w:val="24"/>
          <w:u w:val="single"/>
        </w:rPr>
        <w:t>2.1.</w:t>
      </w:r>
      <w:r w:rsidRPr="001B7F77">
        <w:rPr>
          <w:color w:val="000000"/>
          <w:szCs w:val="24"/>
          <w:u w:val="single"/>
        </w:rPr>
        <w:tab/>
        <w:t xml:space="preserve">Combustible buildings protected throughout by an automatic sprinkler system; </w:t>
      </w:r>
    </w:p>
    <w:p w14:paraId="397AC7B4" w14:textId="77777777" w:rsidR="001B7F77" w:rsidRPr="001B7F77" w:rsidRDefault="001B7F77" w:rsidP="001B7F77">
      <w:pPr>
        <w:widowControl w:val="0"/>
        <w:suppressAutoHyphens/>
        <w:spacing w:before="120"/>
        <w:ind w:left="1980" w:hanging="540"/>
        <w:rPr>
          <w:color w:val="000000"/>
          <w:szCs w:val="24"/>
          <w:u w:val="single"/>
        </w:rPr>
      </w:pPr>
      <w:r w:rsidRPr="001B7F77">
        <w:rPr>
          <w:color w:val="000000"/>
          <w:szCs w:val="24"/>
          <w:u w:val="single"/>
        </w:rPr>
        <w:t>2.2.</w:t>
      </w:r>
      <w:r w:rsidRPr="001B7F77">
        <w:rPr>
          <w:color w:val="000000"/>
          <w:szCs w:val="24"/>
          <w:u w:val="single"/>
        </w:rPr>
        <w:tab/>
        <w:t xml:space="preserve">Noncombustible buildings where the dwelling unit containing the vertical opening is protected by an automatic sprinkler system. </w:t>
      </w:r>
    </w:p>
    <w:p w14:paraId="364C097A" w14:textId="77777777" w:rsidR="001B7F77" w:rsidRPr="001B7F77" w:rsidRDefault="001B7F77" w:rsidP="001B7F77">
      <w:pPr>
        <w:widowControl w:val="0"/>
        <w:suppressAutoHyphens/>
        <w:spacing w:before="120"/>
        <w:ind w:left="720"/>
        <w:rPr>
          <w:color w:val="000000"/>
          <w:szCs w:val="24"/>
          <w:u w:val="single"/>
        </w:rPr>
      </w:pPr>
      <w:r w:rsidRPr="001B7F77">
        <w:rPr>
          <w:b/>
          <w:color w:val="000000"/>
          <w:szCs w:val="24"/>
          <w:u w:val="single"/>
        </w:rPr>
        <w:t>803.2.1.9</w:t>
      </w:r>
      <w:r w:rsidRPr="001B7F77">
        <w:rPr>
          <w:color w:val="000000"/>
          <w:szCs w:val="24"/>
          <w:u w:val="single"/>
        </w:rPr>
        <w:t xml:space="preserve"> </w:t>
      </w:r>
      <w:r w:rsidRPr="001B7F77">
        <w:rPr>
          <w:b/>
          <w:color w:val="000000"/>
          <w:szCs w:val="24"/>
          <w:u w:val="single"/>
        </w:rPr>
        <w:t>Group R-3 occupancies</w:t>
      </w:r>
      <w:r w:rsidRPr="001B7F77">
        <w:rPr>
          <w:color w:val="000000"/>
          <w:szCs w:val="24"/>
          <w:u w:val="single"/>
        </w:rPr>
        <w:t>. An enclosure shall not be required for vertical openings or shafts in dwellings not exceeding 3 stories above a basement or where the building is protected throughout by an approved automatic sprinkler system.</w:t>
      </w:r>
    </w:p>
    <w:p w14:paraId="1E1452EE" w14:textId="77777777" w:rsidR="001B7F77" w:rsidRPr="001B7F77" w:rsidRDefault="001B7F77" w:rsidP="001B7F77">
      <w:pPr>
        <w:widowControl w:val="0"/>
        <w:suppressAutoHyphens/>
        <w:spacing w:before="120"/>
        <w:ind w:left="720"/>
        <w:rPr>
          <w:color w:val="000000"/>
          <w:szCs w:val="24"/>
          <w:u w:val="single"/>
        </w:rPr>
      </w:pPr>
      <w:r w:rsidRPr="001B7F77">
        <w:rPr>
          <w:b/>
          <w:color w:val="000000"/>
          <w:szCs w:val="24"/>
          <w:u w:val="single"/>
        </w:rPr>
        <w:t>803.2.1.10</w:t>
      </w:r>
      <w:r w:rsidRPr="001B7F77">
        <w:rPr>
          <w:color w:val="000000"/>
          <w:szCs w:val="24"/>
          <w:u w:val="single"/>
        </w:rPr>
        <w:t xml:space="preserve"> </w:t>
      </w:r>
      <w:r w:rsidRPr="001B7F77">
        <w:rPr>
          <w:b/>
          <w:color w:val="000000"/>
          <w:szCs w:val="24"/>
          <w:u w:val="single"/>
        </w:rPr>
        <w:t>Group S occupancies</w:t>
      </w:r>
      <w:r w:rsidRPr="001B7F77">
        <w:rPr>
          <w:color w:val="000000"/>
          <w:szCs w:val="24"/>
          <w:u w:val="single"/>
        </w:rPr>
        <w:t xml:space="preserve">. An enclosure shall not be required for vertical openings for: </w:t>
      </w:r>
    </w:p>
    <w:p w14:paraId="0CBE447D" w14:textId="77777777" w:rsidR="001B7F77" w:rsidRPr="001B7F77" w:rsidRDefault="001B7F77" w:rsidP="001B7F77">
      <w:pPr>
        <w:widowControl w:val="0"/>
        <w:suppressAutoHyphens/>
        <w:spacing w:before="120"/>
        <w:ind w:left="1440" w:hanging="360"/>
        <w:rPr>
          <w:rFonts w:eastAsia="Calibri"/>
          <w:color w:val="000000"/>
          <w:szCs w:val="24"/>
          <w:u w:val="single"/>
        </w:rPr>
      </w:pPr>
      <w:r w:rsidRPr="001B7F77">
        <w:rPr>
          <w:rFonts w:eastAsia="Calibri"/>
          <w:color w:val="000000"/>
          <w:szCs w:val="24"/>
          <w:u w:val="single"/>
        </w:rPr>
        <w:t>1.</w:t>
      </w:r>
      <w:r w:rsidRPr="001B7F77">
        <w:rPr>
          <w:rFonts w:eastAsia="Calibri"/>
          <w:color w:val="000000"/>
          <w:szCs w:val="24"/>
          <w:u w:val="single"/>
        </w:rPr>
        <w:tab/>
        <w:t>Buildings connecting not more than two floor levels;</w:t>
      </w:r>
    </w:p>
    <w:p w14:paraId="7A562295" w14:textId="77777777" w:rsidR="001B7F77" w:rsidRPr="001B7F77" w:rsidRDefault="001B7F77" w:rsidP="001B7F77">
      <w:pPr>
        <w:widowControl w:val="0"/>
        <w:suppressAutoHyphens/>
        <w:spacing w:before="120"/>
        <w:ind w:left="1440" w:hanging="360"/>
        <w:rPr>
          <w:rFonts w:eastAsia="Calibri"/>
          <w:color w:val="000000"/>
          <w:szCs w:val="24"/>
          <w:u w:val="single"/>
        </w:rPr>
      </w:pPr>
      <w:r w:rsidRPr="001B7F77">
        <w:rPr>
          <w:rFonts w:eastAsia="Calibri"/>
          <w:color w:val="000000"/>
          <w:szCs w:val="24"/>
          <w:u w:val="single"/>
        </w:rPr>
        <w:t>2.</w:t>
      </w:r>
      <w:r w:rsidRPr="001B7F77">
        <w:rPr>
          <w:rFonts w:eastAsia="Calibri"/>
          <w:color w:val="000000"/>
          <w:szCs w:val="24"/>
          <w:u w:val="single"/>
        </w:rPr>
        <w:tab/>
        <w:t>Buildings connecting not more than three floor levels and the structure is equipped throughout with an approved automatic sprinkler system; or</w:t>
      </w:r>
    </w:p>
    <w:p w14:paraId="5579B0A7" w14:textId="77777777" w:rsidR="001B7F77" w:rsidRPr="001B7F77" w:rsidRDefault="001B7F77" w:rsidP="001B7F77">
      <w:pPr>
        <w:widowControl w:val="0"/>
        <w:suppressAutoHyphens/>
        <w:spacing w:before="120"/>
        <w:ind w:left="1440" w:hanging="360"/>
        <w:rPr>
          <w:rFonts w:eastAsia="Calibri"/>
          <w:color w:val="000000"/>
          <w:szCs w:val="24"/>
        </w:rPr>
      </w:pPr>
      <w:r w:rsidRPr="001B7F77">
        <w:rPr>
          <w:rFonts w:eastAsia="Calibri"/>
          <w:color w:val="000000"/>
          <w:szCs w:val="24"/>
          <w:u w:val="single"/>
        </w:rPr>
        <w:t>3.</w:t>
      </w:r>
      <w:r w:rsidRPr="001B7F77">
        <w:rPr>
          <w:rFonts w:eastAsia="Calibri"/>
          <w:color w:val="000000"/>
          <w:szCs w:val="24"/>
          <w:u w:val="single"/>
        </w:rPr>
        <w:tab/>
        <w:t>Open parking garages and ramps where vertical opening protection is not otherwise</w:t>
      </w:r>
      <w:r w:rsidRPr="001B7F77">
        <w:rPr>
          <w:rFonts w:eastAsia="Calibri"/>
          <w:color w:val="000000"/>
          <w:szCs w:val="24"/>
        </w:rPr>
        <w:t xml:space="preserve"> </w:t>
      </w:r>
      <w:r w:rsidRPr="001B7F77">
        <w:rPr>
          <w:rFonts w:eastAsia="Calibri"/>
          <w:color w:val="000000"/>
          <w:szCs w:val="24"/>
          <w:u w:val="single"/>
        </w:rPr>
        <w:t>required.</w:t>
      </w:r>
    </w:p>
    <w:p w14:paraId="387AE0B1" w14:textId="77777777" w:rsidR="001B7F77" w:rsidRPr="001B7F77" w:rsidRDefault="001B7F77" w:rsidP="001B7F77">
      <w:pPr>
        <w:widowControl w:val="0"/>
        <w:suppressAutoHyphens/>
        <w:spacing w:before="120"/>
        <w:ind w:left="720"/>
        <w:rPr>
          <w:color w:val="000000"/>
          <w:szCs w:val="24"/>
        </w:rPr>
      </w:pPr>
      <w:r w:rsidRPr="001B7F77">
        <w:rPr>
          <w:b/>
          <w:color w:val="000000"/>
          <w:szCs w:val="24"/>
          <w:u w:val="single"/>
        </w:rPr>
        <w:t>803.2.1.11 Vertical openings exceeding 3 stories.</w:t>
      </w:r>
      <w:r w:rsidRPr="001B7F77">
        <w:rPr>
          <w:color w:val="000000"/>
          <w:szCs w:val="24"/>
          <w:u w:val="single"/>
        </w:rPr>
        <w:t xml:space="preserve"> Where vertical openings exceed the limits of Sections 803.2.1.1 through 803.2.10 of this code for Occupancy Groups A, B, E, F, H, M, R-1, R-2, R-3 or S, such openings shall</w:t>
      </w:r>
      <w:r w:rsidRPr="001B7F77">
        <w:rPr>
          <w:b/>
          <w:color w:val="000000"/>
          <w:szCs w:val="24"/>
          <w:u w:val="single"/>
        </w:rPr>
        <w:t xml:space="preserve"> </w:t>
      </w:r>
      <w:r w:rsidRPr="001B7F77">
        <w:rPr>
          <w:color w:val="000000"/>
          <w:szCs w:val="24"/>
          <w:u w:val="single"/>
        </w:rPr>
        <w:t xml:space="preserve">be permitted to be enclosed in accordance with Chapter 7 of the </w:t>
      </w:r>
      <w:r w:rsidRPr="001B7F77">
        <w:rPr>
          <w:i/>
          <w:iCs/>
          <w:color w:val="000000"/>
          <w:szCs w:val="24"/>
          <w:u w:val="single"/>
        </w:rPr>
        <w:t>New York City Building Code</w:t>
      </w:r>
      <w:r w:rsidRPr="001B7F77">
        <w:rPr>
          <w:color w:val="000000"/>
          <w:szCs w:val="24"/>
          <w:u w:val="single"/>
        </w:rPr>
        <w:t xml:space="preserve"> where the building is protected throughout by an approved automatic sprinkler system. In Occupancy Groups R-1 and R-2 buildings, such enclosure shall not be less than what is required by Appendix D of this code. Buildings in Occupancy Groups E, H and R-1 shall also be provided with fire alarm systems.</w:t>
      </w:r>
      <w:r w:rsidRPr="001B7F77">
        <w:rPr>
          <w:color w:val="000000"/>
          <w:szCs w:val="24"/>
        </w:rPr>
        <w:t xml:space="preserve"> </w:t>
      </w:r>
    </w:p>
    <w:p w14:paraId="5D0AC0F6" w14:textId="77777777" w:rsidR="001B7F77" w:rsidRPr="001B7F77" w:rsidRDefault="001B7F77" w:rsidP="001B7F77">
      <w:pPr>
        <w:widowControl w:val="0"/>
        <w:suppressAutoHyphens/>
        <w:spacing w:before="120"/>
        <w:ind w:left="720"/>
        <w:rPr>
          <w:color w:val="000000"/>
          <w:szCs w:val="24"/>
        </w:rPr>
      </w:pPr>
      <w:r w:rsidRPr="001B7F77">
        <w:rPr>
          <w:b/>
          <w:color w:val="000000"/>
          <w:szCs w:val="24"/>
          <w:u w:val="single"/>
        </w:rPr>
        <w:t>803.2.1.12 Group I-2, I-3, and I-4 occupancies.</w:t>
      </w:r>
      <w:r w:rsidRPr="001B7F77">
        <w:rPr>
          <w:color w:val="000000"/>
          <w:szCs w:val="24"/>
          <w:u w:val="single"/>
        </w:rPr>
        <w:t xml:space="preserve"> Vertical openings and shaft enclosures shall be permitted to comply with the </w:t>
      </w:r>
      <w:r w:rsidRPr="001B7F77">
        <w:rPr>
          <w:i/>
          <w:iCs/>
          <w:color w:val="000000"/>
          <w:szCs w:val="24"/>
          <w:u w:val="single"/>
        </w:rPr>
        <w:t>New York City Building Code</w:t>
      </w:r>
      <w:r w:rsidRPr="001B7F77">
        <w:rPr>
          <w:color w:val="000000"/>
          <w:szCs w:val="24"/>
          <w:u w:val="single"/>
        </w:rPr>
        <w:t xml:space="preserve"> where the building is protected throughout by an approved automatic sprinkler system and approved fire alarm system. Existing shafts and vertical openings that are lawfully enclosed in accordance with prior codes shall be considered in compliance with this section.</w:t>
      </w:r>
    </w:p>
    <w:p w14:paraId="00999555" w14:textId="77777777" w:rsidR="001B7F77" w:rsidRPr="001B7F77" w:rsidRDefault="001B7F77" w:rsidP="001B7F77">
      <w:pPr>
        <w:widowControl w:val="0"/>
        <w:suppressAutoHyphens/>
        <w:spacing w:before="120"/>
        <w:ind w:left="360"/>
        <w:rPr>
          <w:color w:val="000000"/>
          <w:szCs w:val="24"/>
          <w:u w:val="single"/>
        </w:rPr>
      </w:pPr>
      <w:r w:rsidRPr="001B7F77">
        <w:rPr>
          <w:b/>
          <w:color w:val="000000"/>
          <w:szCs w:val="24"/>
          <w:u w:val="single"/>
        </w:rPr>
        <w:t>803.2.2 Supplemental shaft and floor opening enclosure requirements</w:t>
      </w:r>
      <w:r w:rsidRPr="001B7F77">
        <w:rPr>
          <w:color w:val="000000"/>
          <w:szCs w:val="24"/>
          <w:u w:val="single"/>
        </w:rPr>
        <w:t>. Where the work area on any floor exceeds 50 percent of that floor area, the enclosure requirements of Section 803.2 shall apply to vertical openings other than stairways throughout the floor.</w:t>
      </w:r>
    </w:p>
    <w:p w14:paraId="1F0289F0" w14:textId="77777777" w:rsidR="001B7F77" w:rsidRPr="001B7F77" w:rsidRDefault="001B7F77" w:rsidP="001B7F77">
      <w:pPr>
        <w:widowControl w:val="0"/>
        <w:suppressAutoHyphens/>
        <w:spacing w:before="120"/>
        <w:ind w:left="720"/>
        <w:rPr>
          <w:color w:val="000000"/>
          <w:szCs w:val="24"/>
          <w:u w:val="single"/>
        </w:rPr>
      </w:pPr>
      <w:r w:rsidRPr="001B7F77">
        <w:rPr>
          <w:b/>
          <w:color w:val="000000"/>
          <w:szCs w:val="24"/>
          <w:u w:val="single"/>
        </w:rPr>
        <w:t>Exception:</w:t>
      </w:r>
      <w:r w:rsidRPr="001B7F77">
        <w:rPr>
          <w:color w:val="000000"/>
          <w:szCs w:val="24"/>
          <w:u w:val="single"/>
        </w:rPr>
        <w:t xml:space="preserve"> Vertical openings located in occupied spaces under separate tenancy that are entirely outside the work area.</w:t>
      </w:r>
    </w:p>
    <w:p w14:paraId="3F728E89" w14:textId="77777777" w:rsidR="001B7F77" w:rsidRPr="001B7F77" w:rsidRDefault="001B7F77" w:rsidP="001B7F77">
      <w:pPr>
        <w:widowControl w:val="0"/>
        <w:suppressAutoHyphens/>
        <w:spacing w:before="120"/>
        <w:ind w:left="360"/>
        <w:rPr>
          <w:color w:val="000000"/>
          <w:szCs w:val="24"/>
          <w:u w:val="single"/>
        </w:rPr>
      </w:pPr>
      <w:r w:rsidRPr="001B7F77">
        <w:rPr>
          <w:b/>
          <w:color w:val="000000"/>
          <w:szCs w:val="24"/>
          <w:u w:val="single"/>
        </w:rPr>
        <w:t xml:space="preserve">803.2.3 Supplemental stairway enclosure requirements in prior code buildings. </w:t>
      </w:r>
      <w:r w:rsidRPr="001B7F77">
        <w:rPr>
          <w:color w:val="000000"/>
          <w:szCs w:val="24"/>
          <w:u w:val="single"/>
        </w:rPr>
        <w:t>Where the work area on any floor exceeds 50 percent of that floor area, stairways that are part of the means of egress serving the work area shall, at a minimum, be enclosed with 1-hour fire rated construction on the highest work area floor and all floors below.</w:t>
      </w:r>
    </w:p>
    <w:p w14:paraId="28D2F4A7" w14:textId="77777777" w:rsidR="001B7F77" w:rsidRPr="001B7F77" w:rsidRDefault="001B7F77" w:rsidP="001B7F77">
      <w:pPr>
        <w:widowControl w:val="0"/>
        <w:suppressAutoHyphens/>
        <w:spacing w:before="120"/>
        <w:ind w:left="720"/>
        <w:rPr>
          <w:color w:val="000000"/>
          <w:szCs w:val="24"/>
          <w:u w:val="single"/>
        </w:rPr>
      </w:pPr>
      <w:r w:rsidRPr="001B7F77">
        <w:rPr>
          <w:b/>
          <w:color w:val="000000"/>
          <w:szCs w:val="24"/>
          <w:u w:val="single"/>
        </w:rPr>
        <w:t>Exception:</w:t>
      </w:r>
      <w:r w:rsidRPr="001B7F77">
        <w:rPr>
          <w:color w:val="000000"/>
          <w:szCs w:val="24"/>
          <w:u w:val="single"/>
        </w:rPr>
        <w:t xml:space="preserve"> Where stairway enclosure is not required by the </w:t>
      </w:r>
      <w:r w:rsidRPr="001B7F77">
        <w:rPr>
          <w:i/>
          <w:iCs/>
          <w:color w:val="000000"/>
          <w:szCs w:val="24"/>
          <w:u w:val="single"/>
        </w:rPr>
        <w:t>New York City Building Code</w:t>
      </w:r>
      <w:r w:rsidRPr="001B7F77">
        <w:rPr>
          <w:color w:val="000000"/>
          <w:szCs w:val="24"/>
          <w:u w:val="single"/>
        </w:rPr>
        <w:t xml:space="preserve">. </w:t>
      </w:r>
    </w:p>
    <w:p w14:paraId="4000626A" w14:textId="77777777" w:rsidR="001B7F77" w:rsidRPr="001B7F77" w:rsidRDefault="001B7F77" w:rsidP="001B7F77">
      <w:pPr>
        <w:widowControl w:val="0"/>
        <w:suppressAutoHyphens/>
        <w:spacing w:before="120"/>
        <w:ind w:left="360"/>
        <w:rPr>
          <w:color w:val="000000"/>
          <w:szCs w:val="24"/>
        </w:rPr>
      </w:pPr>
      <w:r w:rsidRPr="001B7F77">
        <w:rPr>
          <w:b/>
          <w:color w:val="000000"/>
          <w:szCs w:val="24"/>
          <w:u w:val="single"/>
        </w:rPr>
        <w:t>803.2.4 Requirements for non-egress convenience stairway or escalator opening</w:t>
      </w:r>
      <w:r w:rsidRPr="001B7F77">
        <w:rPr>
          <w:color w:val="000000"/>
          <w:szCs w:val="24"/>
          <w:u w:val="single"/>
        </w:rPr>
        <w:t xml:space="preserve">. In an existing building equipped throughout with an automatic sprinkler system in accordance with Section 903.3.1.1 of the </w:t>
      </w:r>
      <w:r w:rsidRPr="001B7F77">
        <w:rPr>
          <w:i/>
          <w:iCs/>
          <w:color w:val="000000"/>
          <w:szCs w:val="24"/>
          <w:u w:val="single"/>
        </w:rPr>
        <w:t>New York City Building Code</w:t>
      </w:r>
      <w:r w:rsidRPr="001B7F77">
        <w:rPr>
          <w:color w:val="000000"/>
          <w:szCs w:val="24"/>
          <w:u w:val="single"/>
        </w:rPr>
        <w:t xml:space="preserve">, a shaft enclosure is not required for an escalator opening or stairway which is not a portion of the means of egress and which is protected in accordance with the Section 712 of the </w:t>
      </w:r>
      <w:r w:rsidRPr="001B7F77">
        <w:rPr>
          <w:i/>
          <w:iCs/>
          <w:color w:val="000000"/>
          <w:szCs w:val="24"/>
          <w:u w:val="single"/>
        </w:rPr>
        <w:t>New York City Building Code</w:t>
      </w:r>
      <w:r w:rsidRPr="001B7F77">
        <w:rPr>
          <w:color w:val="000000"/>
          <w:szCs w:val="24"/>
          <w:u w:val="single"/>
        </w:rPr>
        <w:t>.</w:t>
      </w:r>
    </w:p>
    <w:p w14:paraId="69CC5BBD" w14:textId="77777777" w:rsidR="001B7F77" w:rsidRPr="001B7F77" w:rsidRDefault="001B7F77" w:rsidP="001B7F77">
      <w:pPr>
        <w:widowControl w:val="0"/>
        <w:suppressAutoHyphens/>
        <w:spacing w:before="120"/>
        <w:rPr>
          <w:color w:val="000000"/>
          <w:szCs w:val="24"/>
        </w:rPr>
      </w:pPr>
      <w:bookmarkStart w:id="156" w:name="_Hlk127201105"/>
      <w:r w:rsidRPr="001B7F77">
        <w:rPr>
          <w:b/>
          <w:color w:val="000000"/>
          <w:szCs w:val="24"/>
          <w:u w:val="single"/>
        </w:rPr>
        <w:t>803.3 Smoke compartments</w:t>
      </w:r>
      <w:bookmarkEnd w:id="156"/>
      <w:r w:rsidRPr="001B7F77">
        <w:rPr>
          <w:color w:val="000000"/>
          <w:szCs w:val="24"/>
          <w:u w:val="single"/>
        </w:rPr>
        <w:t xml:space="preserve">. In Group I-2 occupancies where the work area is on a story used for sleeping rooms for more than 30 persons sleeping or receiving care or treatment, the story shall be divided into not less than two compartments by smoke barrier walls in accordance with Section 407.5 of the </w:t>
      </w:r>
      <w:r w:rsidRPr="001B7F77">
        <w:rPr>
          <w:i/>
          <w:iCs/>
          <w:color w:val="000000"/>
          <w:szCs w:val="24"/>
          <w:u w:val="single"/>
        </w:rPr>
        <w:t>New York City Building Code</w:t>
      </w:r>
      <w:r w:rsidRPr="001B7F77">
        <w:rPr>
          <w:color w:val="000000"/>
          <w:szCs w:val="24"/>
          <w:u w:val="single"/>
        </w:rPr>
        <w:t xml:space="preserve"> as required for new construction.</w:t>
      </w:r>
    </w:p>
    <w:p w14:paraId="5FE85CB1" w14:textId="77777777" w:rsidR="001B7F77" w:rsidRPr="001B7F77" w:rsidRDefault="001B7F77" w:rsidP="001B7F77">
      <w:pPr>
        <w:widowControl w:val="0"/>
        <w:suppressAutoHyphens/>
        <w:spacing w:before="120"/>
        <w:rPr>
          <w:color w:val="000000"/>
          <w:szCs w:val="24"/>
          <w:u w:val="single"/>
        </w:rPr>
      </w:pPr>
      <w:r w:rsidRPr="001B7F77">
        <w:rPr>
          <w:b/>
          <w:color w:val="000000"/>
          <w:szCs w:val="24"/>
          <w:u w:val="single"/>
        </w:rPr>
        <w:t>803.4 Interior finish</w:t>
      </w:r>
      <w:r w:rsidRPr="001B7F77">
        <w:rPr>
          <w:color w:val="000000"/>
          <w:szCs w:val="24"/>
          <w:u w:val="single"/>
        </w:rPr>
        <w:t xml:space="preserve">. The interior finish of walls and ceilings in exits and corridors in any work area shall comply with the requirements of the </w:t>
      </w:r>
      <w:r w:rsidRPr="001B7F77">
        <w:rPr>
          <w:i/>
          <w:iCs/>
          <w:color w:val="000000"/>
          <w:szCs w:val="24"/>
          <w:u w:val="single"/>
        </w:rPr>
        <w:t>New York City Building Code</w:t>
      </w:r>
      <w:r w:rsidRPr="001B7F77">
        <w:rPr>
          <w:color w:val="000000"/>
          <w:szCs w:val="24"/>
          <w:u w:val="single"/>
        </w:rPr>
        <w:t>.</w:t>
      </w:r>
    </w:p>
    <w:p w14:paraId="7038D5E1" w14:textId="77777777" w:rsidR="001B7F77" w:rsidRPr="001B7F77" w:rsidRDefault="001B7F77" w:rsidP="001B7F77">
      <w:pPr>
        <w:widowControl w:val="0"/>
        <w:suppressAutoHyphens/>
        <w:spacing w:before="120"/>
        <w:ind w:left="360"/>
        <w:rPr>
          <w:color w:val="000000"/>
          <w:szCs w:val="24"/>
        </w:rPr>
      </w:pPr>
      <w:r w:rsidRPr="001B7F77">
        <w:rPr>
          <w:b/>
          <w:color w:val="000000"/>
          <w:szCs w:val="24"/>
          <w:u w:val="single"/>
        </w:rPr>
        <w:t>Exception</w:t>
      </w:r>
      <w:r w:rsidRPr="001B7F77">
        <w:rPr>
          <w:color w:val="000000"/>
          <w:szCs w:val="24"/>
          <w:u w:val="single"/>
        </w:rPr>
        <w:t xml:space="preserve">: In prior code buildings, existing interior finish materials that do not comply with the interior finish requirements of the </w:t>
      </w:r>
      <w:r w:rsidRPr="001B7F77">
        <w:rPr>
          <w:i/>
          <w:iCs/>
          <w:color w:val="000000"/>
          <w:szCs w:val="24"/>
          <w:u w:val="single"/>
        </w:rPr>
        <w:t>New York City Building Code</w:t>
      </w:r>
      <w:r w:rsidRPr="001B7F77">
        <w:rPr>
          <w:color w:val="000000"/>
          <w:szCs w:val="24"/>
          <w:u w:val="single"/>
        </w:rPr>
        <w:t xml:space="preserve"> shall be permitted to be treated with an approved fire-retardant coating in accordance with the manufacturer’s instructions to achieve the required rating. The fire-retardant coating shall be listed by a Nationally Recognized Testing Laboratory</w:t>
      </w:r>
      <w:r w:rsidRPr="001B7F77">
        <w:rPr>
          <w:color w:val="000000"/>
          <w:szCs w:val="24"/>
        </w:rPr>
        <w:t>.</w:t>
      </w:r>
    </w:p>
    <w:p w14:paraId="4F7201F0" w14:textId="77777777" w:rsidR="001B7F77" w:rsidRPr="001B7F77" w:rsidRDefault="001B7F77" w:rsidP="001B7F77">
      <w:pPr>
        <w:widowControl w:val="0"/>
        <w:suppressAutoHyphens/>
        <w:spacing w:before="120"/>
        <w:ind w:left="360"/>
        <w:rPr>
          <w:color w:val="000000"/>
          <w:szCs w:val="24"/>
          <w:u w:val="single"/>
        </w:rPr>
      </w:pPr>
      <w:r w:rsidRPr="001B7F77">
        <w:rPr>
          <w:b/>
          <w:color w:val="000000"/>
          <w:szCs w:val="24"/>
          <w:u w:val="single"/>
        </w:rPr>
        <w:t>803.4.1 Supplemental interior finish requirements</w:t>
      </w:r>
      <w:r w:rsidRPr="001B7F77">
        <w:rPr>
          <w:color w:val="000000"/>
          <w:szCs w:val="24"/>
          <w:u w:val="single"/>
        </w:rPr>
        <w:t>. Where the work area on any floor exceeds 50 percent of the floor area, Section 803.4 shall also apply to the interior finish in exits and corridors serving the work area throughout the floor.</w:t>
      </w:r>
    </w:p>
    <w:p w14:paraId="63C12EEC" w14:textId="77777777" w:rsidR="001B7F77" w:rsidRPr="001B7F77" w:rsidRDefault="001B7F77" w:rsidP="001B7F77">
      <w:pPr>
        <w:widowControl w:val="0"/>
        <w:suppressAutoHyphens/>
        <w:spacing w:before="120"/>
        <w:ind w:left="720"/>
        <w:rPr>
          <w:color w:val="000000"/>
          <w:szCs w:val="24"/>
          <w:u w:val="single"/>
        </w:rPr>
      </w:pPr>
      <w:r w:rsidRPr="001B7F77">
        <w:rPr>
          <w:b/>
          <w:color w:val="000000"/>
          <w:szCs w:val="24"/>
          <w:u w:val="single"/>
        </w:rPr>
        <w:t>Exception</w:t>
      </w:r>
      <w:r w:rsidRPr="001B7F77">
        <w:rPr>
          <w:color w:val="000000"/>
          <w:szCs w:val="24"/>
          <w:u w:val="single"/>
        </w:rPr>
        <w:t>: Interior finish within occupied spaces under separate tenancy that are entirely outside the work area.</w:t>
      </w:r>
    </w:p>
    <w:p w14:paraId="053212AB" w14:textId="77777777" w:rsidR="001B7F77" w:rsidRPr="001B7F77" w:rsidRDefault="001B7F77" w:rsidP="001B7F77">
      <w:pPr>
        <w:spacing w:before="120"/>
        <w:rPr>
          <w:rFonts w:eastAsia="Calibri"/>
          <w:strike/>
          <w:color w:val="000000"/>
          <w:szCs w:val="24"/>
        </w:rPr>
      </w:pPr>
      <w:r w:rsidRPr="001B7F77">
        <w:rPr>
          <w:rFonts w:eastAsia="Calibri"/>
          <w:b/>
          <w:bCs/>
          <w:color w:val="000000"/>
          <w:szCs w:val="24"/>
          <w:u w:val="single"/>
        </w:rPr>
        <w:t>803.5 Guards.</w:t>
      </w:r>
      <w:r w:rsidRPr="001B7F77">
        <w:rPr>
          <w:rFonts w:eastAsia="Calibri"/>
          <w:b/>
          <w:color w:val="000000"/>
          <w:szCs w:val="24"/>
          <w:u w:val="single"/>
        </w:rPr>
        <w:t xml:space="preserve"> </w:t>
      </w:r>
      <w:r w:rsidRPr="001B7F77">
        <w:rPr>
          <w:rFonts w:eastAsia="Calibri"/>
          <w:color w:val="000000"/>
          <w:szCs w:val="24"/>
          <w:u w:val="single"/>
        </w:rPr>
        <w:t xml:space="preserve">Every portion of a floor or walking surface, such as a balcony or a loading dock, that is more than 30 inches (762 mm) above the floor or grade below and is not provided with guards, or those in which the existing guards are </w:t>
      </w:r>
      <w:bookmarkStart w:id="157" w:name="_Hlk72830871"/>
      <w:r w:rsidRPr="001B7F77">
        <w:rPr>
          <w:rFonts w:eastAsia="Calibri"/>
          <w:color w:val="000000"/>
          <w:szCs w:val="24"/>
          <w:u w:val="single"/>
        </w:rPr>
        <w:t xml:space="preserve">not adequate in strength and attachment in accordance with the applicable sections of Chapter 16 of the </w:t>
      </w:r>
      <w:r w:rsidRPr="001B7F77">
        <w:rPr>
          <w:rFonts w:eastAsia="Calibri"/>
          <w:i/>
          <w:iCs/>
          <w:color w:val="000000"/>
          <w:szCs w:val="24"/>
          <w:u w:val="single"/>
        </w:rPr>
        <w:t>New York City Building Code</w:t>
      </w:r>
      <w:r w:rsidRPr="001B7F77">
        <w:rPr>
          <w:rFonts w:eastAsia="Calibri"/>
          <w:color w:val="000000"/>
          <w:szCs w:val="24"/>
          <w:u w:val="single"/>
        </w:rPr>
        <w:t xml:space="preserve">, </w:t>
      </w:r>
      <w:bookmarkStart w:id="158" w:name="_Hlk74642191"/>
      <w:r w:rsidRPr="001B7F77">
        <w:rPr>
          <w:rFonts w:eastAsia="Calibri"/>
          <w:color w:val="000000"/>
          <w:szCs w:val="24"/>
          <w:u w:val="single"/>
        </w:rPr>
        <w:t xml:space="preserve">shall be provided with guards designed and installed in accordance with Chapter 10 of the </w:t>
      </w:r>
      <w:r w:rsidRPr="001B7F77">
        <w:rPr>
          <w:rFonts w:eastAsia="Calibri"/>
          <w:i/>
          <w:iCs/>
          <w:color w:val="000000"/>
          <w:szCs w:val="24"/>
          <w:u w:val="single"/>
        </w:rPr>
        <w:t>New York City Building Code</w:t>
      </w:r>
      <w:r w:rsidRPr="001B7F77">
        <w:rPr>
          <w:rFonts w:eastAsia="Calibri"/>
          <w:color w:val="000000"/>
          <w:szCs w:val="24"/>
          <w:u w:val="single"/>
        </w:rPr>
        <w:t>.</w:t>
      </w:r>
    </w:p>
    <w:bookmarkEnd w:id="157"/>
    <w:bookmarkEnd w:id="158"/>
    <w:p w14:paraId="6D02D20E" w14:textId="77777777" w:rsidR="001B7F77" w:rsidRPr="001B7F77" w:rsidRDefault="001B7F77" w:rsidP="001B7F77">
      <w:pPr>
        <w:widowControl w:val="0"/>
        <w:suppressAutoHyphens/>
        <w:spacing w:before="120"/>
        <w:rPr>
          <w:color w:val="000000"/>
          <w:szCs w:val="24"/>
        </w:rPr>
      </w:pPr>
      <w:r w:rsidRPr="001B7F77">
        <w:rPr>
          <w:b/>
          <w:color w:val="000000"/>
          <w:szCs w:val="24"/>
          <w:u w:val="single"/>
        </w:rPr>
        <w:t>803.6 Vaults and reinforced spaces</w:t>
      </w:r>
      <w:r w:rsidRPr="001B7F77">
        <w:rPr>
          <w:color w:val="000000"/>
          <w:szCs w:val="24"/>
          <w:u w:val="single"/>
        </w:rPr>
        <w:t xml:space="preserve">. Where an alteration to an existing building or space involves the installation of a steel-plated or similarly reinforced or secured vault-like interior in a building or portion thereof, such alteration shall comply with the fire protection requirements of Chapter 9 of the </w:t>
      </w:r>
      <w:r w:rsidRPr="001B7F77">
        <w:rPr>
          <w:i/>
          <w:iCs/>
          <w:color w:val="000000"/>
          <w:szCs w:val="24"/>
          <w:u w:val="single"/>
        </w:rPr>
        <w:t>New York City Building Code</w:t>
      </w:r>
      <w:r w:rsidRPr="001B7F77">
        <w:rPr>
          <w:color w:val="000000"/>
          <w:szCs w:val="24"/>
          <w:u w:val="single"/>
        </w:rPr>
        <w:t>.</w:t>
      </w:r>
      <w:r w:rsidRPr="001B7F77">
        <w:rPr>
          <w:color w:val="000000"/>
          <w:szCs w:val="24"/>
        </w:rPr>
        <w:t xml:space="preserve"> </w:t>
      </w:r>
    </w:p>
    <w:p w14:paraId="20415C2C" w14:textId="77777777" w:rsidR="001B7F77" w:rsidRPr="001B7F77" w:rsidRDefault="001B7F77" w:rsidP="001B7F77">
      <w:pPr>
        <w:widowControl w:val="0"/>
        <w:suppressAutoHyphens/>
        <w:spacing w:before="120"/>
        <w:rPr>
          <w:color w:val="000000"/>
          <w:szCs w:val="24"/>
        </w:rPr>
      </w:pPr>
      <w:bookmarkStart w:id="159" w:name="_Hlk83904738"/>
      <w:r w:rsidRPr="001B7F77">
        <w:rPr>
          <w:b/>
          <w:color w:val="000000"/>
          <w:szCs w:val="24"/>
          <w:u w:val="single"/>
        </w:rPr>
        <w:t>803.7 Windows in Occupancy Groups I-1, R-1, R-2 and R-3</w:t>
      </w:r>
      <w:r w:rsidRPr="001B7F77">
        <w:rPr>
          <w:color w:val="000000"/>
          <w:szCs w:val="24"/>
          <w:u w:val="single"/>
        </w:rPr>
        <w:t>.</w:t>
      </w:r>
      <w:r w:rsidRPr="001B7F77">
        <w:rPr>
          <w:szCs w:val="24"/>
          <w:u w:val="single"/>
        </w:rPr>
        <w:t xml:space="preserve"> Where the alteration of an existing building in Occupancy Groups I-1, R-1, R-2 or R-3 includes the replacement of windows, the replacement windows shall be subject to </w:t>
      </w:r>
      <w:r w:rsidRPr="001B7F77">
        <w:rPr>
          <w:color w:val="000000"/>
          <w:szCs w:val="24"/>
          <w:u w:val="single"/>
        </w:rPr>
        <w:t>the requirements of Sections 803.7.1 through 803.7.3.</w:t>
      </w:r>
    </w:p>
    <w:p w14:paraId="0679CBD8" w14:textId="77777777" w:rsidR="001B7F77" w:rsidRPr="001B7F77" w:rsidRDefault="001B7F77" w:rsidP="001B7F77">
      <w:pPr>
        <w:widowControl w:val="0"/>
        <w:suppressAutoHyphens/>
        <w:spacing w:before="120"/>
        <w:ind w:left="360"/>
        <w:rPr>
          <w:szCs w:val="24"/>
          <w:u w:val="single"/>
        </w:rPr>
      </w:pPr>
      <w:bookmarkStart w:id="160" w:name="_Hlk76998943"/>
      <w:bookmarkEnd w:id="159"/>
      <w:r w:rsidRPr="001B7F77">
        <w:rPr>
          <w:b/>
          <w:szCs w:val="24"/>
          <w:u w:val="single"/>
        </w:rPr>
        <w:t xml:space="preserve">803.7.1 Light and air requirements for replacement windows. </w:t>
      </w:r>
      <w:r w:rsidRPr="001B7F77">
        <w:rPr>
          <w:szCs w:val="24"/>
          <w:u w:val="single"/>
        </w:rPr>
        <w:t xml:space="preserve">Replacement windows serving dwelling units in Group I-1, R-1, R-2 or R-3 occupancies shall not reduce the area of glazing or operable area below the requirements of Chapter 12 of the </w:t>
      </w:r>
      <w:r w:rsidRPr="001B7F77">
        <w:rPr>
          <w:i/>
          <w:iCs/>
          <w:szCs w:val="24"/>
          <w:u w:val="single"/>
        </w:rPr>
        <w:t>New York City Building Code</w:t>
      </w:r>
      <w:r w:rsidRPr="001B7F77">
        <w:rPr>
          <w:szCs w:val="24"/>
          <w:u w:val="single"/>
        </w:rPr>
        <w:t>, except where different requirements provided in Appendix D of this code for certain multiple dwelling classifications apply.</w:t>
      </w:r>
    </w:p>
    <w:p w14:paraId="098DD85E" w14:textId="77777777" w:rsidR="001B7F77" w:rsidRPr="001B7F77" w:rsidRDefault="001B7F77" w:rsidP="001B7F77">
      <w:pPr>
        <w:widowControl w:val="0"/>
        <w:suppressAutoHyphens/>
        <w:spacing w:before="120"/>
        <w:ind w:left="720"/>
        <w:rPr>
          <w:szCs w:val="24"/>
          <w:u w:val="single"/>
        </w:rPr>
      </w:pPr>
      <w:r w:rsidRPr="001B7F77">
        <w:rPr>
          <w:b/>
          <w:szCs w:val="24"/>
          <w:u w:val="single"/>
        </w:rPr>
        <w:t>Exception.</w:t>
      </w:r>
      <w:r w:rsidRPr="001B7F77">
        <w:rPr>
          <w:szCs w:val="24"/>
          <w:u w:val="single"/>
        </w:rPr>
        <w:t xml:space="preserve"> Where replacement windows installed within an existing window frame in R-3 occupancy are required to comply with the </w:t>
      </w:r>
      <w:r w:rsidRPr="001B7F77">
        <w:rPr>
          <w:i/>
          <w:iCs/>
          <w:szCs w:val="24"/>
          <w:u w:val="single"/>
        </w:rPr>
        <w:t>New York City Energy Conservation Code</w:t>
      </w:r>
      <w:r w:rsidRPr="001B7F77">
        <w:rPr>
          <w:szCs w:val="24"/>
          <w:u w:val="single"/>
        </w:rPr>
        <w:t>, the required window size may be reduced by the thickness of the existing frame. Where replacement of windows in R-3 occupancy requires replacement with a frame/mullions that are larger than the original frame/mullions and results in reduction in glazed area/daylight opening, the new window shall be allowed on condition the new window conforms with all other code requirements. Such reduction shall be minimized to the extent possible.</w:t>
      </w:r>
    </w:p>
    <w:p w14:paraId="21B238C9" w14:textId="77777777" w:rsidR="001B7F77" w:rsidRPr="001B7F77" w:rsidRDefault="001B7F77" w:rsidP="001B7F77">
      <w:pPr>
        <w:widowControl w:val="0"/>
        <w:suppressAutoHyphens/>
        <w:spacing w:before="120"/>
        <w:ind w:left="360"/>
        <w:rPr>
          <w:color w:val="000000"/>
          <w:szCs w:val="24"/>
        </w:rPr>
      </w:pPr>
      <w:bookmarkStart w:id="161" w:name="_Hlk76999316"/>
      <w:bookmarkStart w:id="162" w:name="_Hlk76999570"/>
      <w:bookmarkEnd w:id="160"/>
      <w:r w:rsidRPr="001B7F77">
        <w:rPr>
          <w:b/>
          <w:color w:val="000000"/>
          <w:szCs w:val="24"/>
          <w:u w:val="single"/>
        </w:rPr>
        <w:t xml:space="preserve">803.7.2 Window guards in Group R-2 occupancies. </w:t>
      </w:r>
      <w:r w:rsidRPr="001B7F77">
        <w:rPr>
          <w:color w:val="000000"/>
          <w:szCs w:val="24"/>
          <w:u w:val="single"/>
        </w:rPr>
        <w:t xml:space="preserve">Replacement windows shall be subject to the requirements of Section 303.7 of this code and Section 1015.9 of the </w:t>
      </w:r>
      <w:r w:rsidRPr="001B7F77">
        <w:rPr>
          <w:i/>
          <w:iCs/>
          <w:color w:val="000000"/>
          <w:szCs w:val="24"/>
          <w:u w:val="single"/>
        </w:rPr>
        <w:t>New York City Building Code</w:t>
      </w:r>
      <w:r w:rsidRPr="001B7F77">
        <w:rPr>
          <w:color w:val="000000"/>
          <w:szCs w:val="24"/>
          <w:u w:val="single"/>
        </w:rPr>
        <w:t xml:space="preserve"> with regard to window guards.</w:t>
      </w:r>
    </w:p>
    <w:bookmarkEnd w:id="161"/>
    <w:bookmarkEnd w:id="162"/>
    <w:p w14:paraId="4D39380F" w14:textId="77777777" w:rsidR="001B7F77" w:rsidRPr="001B7F77" w:rsidRDefault="001B7F77" w:rsidP="001B7F77">
      <w:pPr>
        <w:widowControl w:val="0"/>
        <w:suppressAutoHyphens/>
        <w:spacing w:before="120"/>
        <w:ind w:left="360"/>
        <w:rPr>
          <w:color w:val="000000"/>
          <w:szCs w:val="24"/>
        </w:rPr>
      </w:pPr>
      <w:r w:rsidRPr="001B7F77">
        <w:rPr>
          <w:b/>
          <w:color w:val="000000"/>
          <w:szCs w:val="24"/>
          <w:u w:val="single"/>
        </w:rPr>
        <w:t>803.7.3</w:t>
      </w:r>
      <w:r w:rsidRPr="001B7F77">
        <w:rPr>
          <w:color w:val="000000"/>
          <w:szCs w:val="24"/>
          <w:u w:val="single"/>
        </w:rPr>
        <w:t xml:space="preserve"> </w:t>
      </w:r>
      <w:r w:rsidRPr="001B7F77">
        <w:rPr>
          <w:b/>
          <w:color w:val="000000"/>
          <w:szCs w:val="24"/>
          <w:u w:val="single"/>
        </w:rPr>
        <w:t xml:space="preserve">Emergency escape and rescue openings. </w:t>
      </w:r>
      <w:r w:rsidRPr="001B7F77">
        <w:rPr>
          <w:color w:val="000000"/>
          <w:szCs w:val="24"/>
          <w:u w:val="single"/>
        </w:rPr>
        <w:t>Replacement windows in Group R-2 and R-3 occupancies shall comply with Section 303.8.</w:t>
      </w:r>
    </w:p>
    <w:p w14:paraId="27286467" w14:textId="77777777" w:rsidR="001B7F77" w:rsidRPr="001B7F77" w:rsidRDefault="001B7F77" w:rsidP="001B7F77">
      <w:pPr>
        <w:spacing w:before="120"/>
        <w:rPr>
          <w:rFonts w:eastAsia="Calibri"/>
          <w:color w:val="000000"/>
          <w:szCs w:val="24"/>
          <w:u w:val="single"/>
        </w:rPr>
      </w:pPr>
      <w:r w:rsidRPr="001B7F77">
        <w:rPr>
          <w:rFonts w:eastAsia="Calibri"/>
          <w:b/>
          <w:color w:val="000000"/>
          <w:szCs w:val="24"/>
          <w:u w:val="single"/>
        </w:rPr>
        <w:t xml:space="preserve">803.8 Protection of window openings on lot line air shafts in Group R-2 occupancies. </w:t>
      </w:r>
      <w:r w:rsidRPr="001B7F77">
        <w:rPr>
          <w:rFonts w:eastAsia="Calibri"/>
          <w:color w:val="000000"/>
          <w:szCs w:val="24"/>
          <w:u w:val="single"/>
        </w:rPr>
        <w:t>In prior code buildings, where there are windows that open onto a lot line air shaft as defined in Chapter 2 within the work area and any part of such window is less than 3 feet (914 mm) from the lot line or less than 6 feet (1829 mm) from another window on the adjacent building, such window shall be protected in the manner described by Sections 803.8.1 or 803.8.2. For the purpose of this section, separation distance to adjacent buildings shall be measured in any direction to the nearest edges of window openings.</w:t>
      </w:r>
    </w:p>
    <w:p w14:paraId="53A08BCC" w14:textId="77777777" w:rsidR="001B7F77" w:rsidRPr="001B7F77" w:rsidRDefault="001B7F77" w:rsidP="001B7F77">
      <w:pPr>
        <w:widowControl w:val="0"/>
        <w:tabs>
          <w:tab w:val="left" w:pos="360"/>
        </w:tabs>
        <w:suppressAutoHyphens/>
        <w:spacing w:before="120"/>
        <w:ind w:left="360"/>
        <w:rPr>
          <w:rFonts w:eastAsia="Calibri"/>
          <w:color w:val="000000"/>
          <w:szCs w:val="24"/>
          <w:u w:val="single"/>
        </w:rPr>
      </w:pPr>
      <w:r w:rsidRPr="001B7F77">
        <w:rPr>
          <w:rFonts w:eastAsia="Calibri"/>
          <w:b/>
          <w:color w:val="000000"/>
          <w:szCs w:val="24"/>
          <w:u w:val="single"/>
        </w:rPr>
        <w:t>803.8.1</w:t>
      </w:r>
      <w:r w:rsidRPr="001B7F77">
        <w:rPr>
          <w:rFonts w:eastAsia="Calibri"/>
          <w:color w:val="000000"/>
          <w:szCs w:val="24"/>
          <w:u w:val="single"/>
        </w:rPr>
        <w:t xml:space="preserve"> </w:t>
      </w:r>
      <w:r w:rsidRPr="001B7F77">
        <w:rPr>
          <w:rFonts w:eastAsia="Calibri"/>
          <w:b/>
          <w:color w:val="000000"/>
          <w:szCs w:val="24"/>
          <w:u w:val="single"/>
        </w:rPr>
        <w:t>Methods of protection</w:t>
      </w:r>
      <w:r w:rsidRPr="001B7F77">
        <w:rPr>
          <w:rFonts w:eastAsia="Calibri"/>
          <w:color w:val="000000"/>
          <w:szCs w:val="24"/>
          <w:u w:val="single"/>
        </w:rPr>
        <w:t>. Within the work area, windows opening on lot line air shafts shall be protected by one of the following methods:</w:t>
      </w:r>
    </w:p>
    <w:p w14:paraId="511FFCC8" w14:textId="77777777" w:rsidR="001B7F77" w:rsidRPr="001B7F77" w:rsidRDefault="001B7F77" w:rsidP="001B7F77">
      <w:pPr>
        <w:widowControl w:val="0"/>
        <w:tabs>
          <w:tab w:val="left" w:pos="1080"/>
        </w:tabs>
        <w:suppressAutoHyphens/>
        <w:autoSpaceDE w:val="0"/>
        <w:autoSpaceDN w:val="0"/>
        <w:adjustRightInd w:val="0"/>
        <w:spacing w:before="120"/>
        <w:ind w:left="1080" w:hanging="360"/>
        <w:rPr>
          <w:rFonts w:eastAsia="Arial"/>
          <w:color w:val="000000"/>
          <w:szCs w:val="24"/>
          <w:u w:val="single"/>
        </w:rPr>
      </w:pPr>
      <w:r w:rsidRPr="001B7F77">
        <w:rPr>
          <w:rFonts w:eastAsia="Arial"/>
          <w:color w:val="000000"/>
          <w:szCs w:val="24"/>
          <w:u w:val="single"/>
        </w:rPr>
        <w:t>1.</w:t>
      </w:r>
      <w:r w:rsidRPr="001B7F77">
        <w:rPr>
          <w:rFonts w:eastAsia="Arial"/>
          <w:color w:val="000000"/>
          <w:szCs w:val="24"/>
          <w:u w:val="single"/>
        </w:rPr>
        <w:tab/>
        <w:t xml:space="preserve">The window shall be a fire window assembly meeting the requirements of Sections 705.8.2 and 716.6 of the </w:t>
      </w:r>
      <w:r w:rsidRPr="001B7F77">
        <w:rPr>
          <w:rFonts w:eastAsia="Arial"/>
          <w:i/>
          <w:iCs/>
          <w:color w:val="000000"/>
          <w:szCs w:val="24"/>
          <w:u w:val="single"/>
        </w:rPr>
        <w:t>New York City Building Code</w:t>
      </w:r>
      <w:r w:rsidRPr="001B7F77">
        <w:rPr>
          <w:rFonts w:eastAsia="Arial"/>
          <w:color w:val="000000"/>
          <w:szCs w:val="24"/>
          <w:u w:val="single"/>
        </w:rPr>
        <w:t xml:space="preserve">, and if the window is operable or is required to be operable by Chapter 12 of the </w:t>
      </w:r>
      <w:r w:rsidRPr="001B7F77">
        <w:rPr>
          <w:rFonts w:eastAsia="Arial"/>
          <w:i/>
          <w:iCs/>
          <w:color w:val="000000"/>
          <w:szCs w:val="24"/>
          <w:u w:val="single"/>
        </w:rPr>
        <w:t>New York City Building Code</w:t>
      </w:r>
      <w:r w:rsidRPr="001B7F77">
        <w:rPr>
          <w:rFonts w:eastAsia="Arial"/>
          <w:color w:val="000000"/>
          <w:szCs w:val="24"/>
          <w:u w:val="single"/>
        </w:rPr>
        <w:t>, the window shall be automatic-closing.</w:t>
      </w:r>
    </w:p>
    <w:p w14:paraId="53315F2B" w14:textId="77777777" w:rsidR="001B7F77" w:rsidRPr="001B7F77" w:rsidRDefault="001B7F77" w:rsidP="001B7F77">
      <w:pPr>
        <w:widowControl w:val="0"/>
        <w:tabs>
          <w:tab w:val="left" w:pos="1080"/>
        </w:tabs>
        <w:suppressAutoHyphens/>
        <w:autoSpaceDE w:val="0"/>
        <w:autoSpaceDN w:val="0"/>
        <w:adjustRightInd w:val="0"/>
        <w:spacing w:before="120"/>
        <w:ind w:left="1080" w:hanging="360"/>
        <w:rPr>
          <w:rFonts w:eastAsia="Arial"/>
          <w:color w:val="000000"/>
          <w:szCs w:val="24"/>
          <w:u w:val="single"/>
        </w:rPr>
      </w:pPr>
      <w:r w:rsidRPr="001B7F77">
        <w:rPr>
          <w:rFonts w:eastAsia="Arial"/>
          <w:color w:val="000000"/>
          <w:szCs w:val="24"/>
          <w:u w:val="single"/>
        </w:rPr>
        <w:t>2.</w:t>
      </w:r>
      <w:r w:rsidRPr="001B7F77">
        <w:rPr>
          <w:rFonts w:eastAsia="Arial"/>
          <w:color w:val="000000"/>
          <w:szCs w:val="24"/>
          <w:u w:val="single"/>
        </w:rPr>
        <w:tab/>
        <w:t xml:space="preserve">Where the building is equipped throughout with an automatic sprinkler system in accordance with Section 903.3.1.1 of the </w:t>
      </w:r>
      <w:r w:rsidRPr="001B7F77">
        <w:rPr>
          <w:rFonts w:eastAsia="Arial"/>
          <w:i/>
          <w:iCs/>
          <w:color w:val="000000"/>
          <w:szCs w:val="24"/>
          <w:u w:val="single"/>
        </w:rPr>
        <w:t>New York City Building Code</w:t>
      </w:r>
      <w:r w:rsidRPr="001B7F77">
        <w:rPr>
          <w:rFonts w:eastAsia="Arial"/>
          <w:color w:val="000000"/>
          <w:szCs w:val="24"/>
          <w:u w:val="single"/>
        </w:rPr>
        <w:t xml:space="preserve">, the window shall be protected by a water curtain using automatic sprinklers approved for that use in accordance with Section 705.8.2 (Exception) of the </w:t>
      </w:r>
      <w:r w:rsidRPr="001B7F77">
        <w:rPr>
          <w:rFonts w:eastAsia="Arial"/>
          <w:i/>
          <w:iCs/>
          <w:color w:val="000000"/>
          <w:szCs w:val="24"/>
          <w:u w:val="single"/>
        </w:rPr>
        <w:t>New York City Building Code</w:t>
      </w:r>
      <w:r w:rsidRPr="001B7F77">
        <w:rPr>
          <w:rFonts w:eastAsia="Arial"/>
          <w:color w:val="000000"/>
          <w:szCs w:val="24"/>
          <w:u w:val="single"/>
        </w:rPr>
        <w:t>; or</w:t>
      </w:r>
    </w:p>
    <w:p w14:paraId="281CDEA5" w14:textId="77777777" w:rsidR="001B7F77" w:rsidRPr="001B7F77" w:rsidRDefault="001B7F77" w:rsidP="001B7F77">
      <w:pPr>
        <w:widowControl w:val="0"/>
        <w:tabs>
          <w:tab w:val="left" w:pos="1080"/>
        </w:tabs>
        <w:suppressAutoHyphens/>
        <w:autoSpaceDE w:val="0"/>
        <w:autoSpaceDN w:val="0"/>
        <w:adjustRightInd w:val="0"/>
        <w:spacing w:before="120"/>
        <w:ind w:left="1080" w:hanging="360"/>
        <w:rPr>
          <w:rFonts w:eastAsia="Arial"/>
          <w:color w:val="000000"/>
          <w:szCs w:val="24"/>
          <w:u w:val="single"/>
        </w:rPr>
      </w:pPr>
      <w:r w:rsidRPr="001B7F77">
        <w:rPr>
          <w:rFonts w:eastAsia="Arial"/>
          <w:color w:val="000000"/>
          <w:szCs w:val="24"/>
          <w:u w:val="single"/>
        </w:rPr>
        <w:t>3.</w:t>
      </w:r>
      <w:r w:rsidRPr="001B7F77">
        <w:rPr>
          <w:rFonts w:eastAsia="Arial"/>
          <w:color w:val="000000"/>
          <w:szCs w:val="24"/>
          <w:u w:val="single"/>
        </w:rPr>
        <w:tab/>
        <w:t xml:space="preserve">The window is protected by a fire shutter complying with Sections 705.8.2 and 716.6 of the </w:t>
      </w:r>
      <w:r w:rsidRPr="001B7F77">
        <w:rPr>
          <w:rFonts w:eastAsia="Arial"/>
          <w:i/>
          <w:iCs/>
          <w:color w:val="000000"/>
          <w:szCs w:val="24"/>
          <w:u w:val="single"/>
        </w:rPr>
        <w:t>New York City Building Code</w:t>
      </w:r>
      <w:r w:rsidRPr="001B7F77">
        <w:rPr>
          <w:rFonts w:eastAsia="Arial"/>
          <w:color w:val="000000"/>
          <w:szCs w:val="24"/>
          <w:u w:val="single"/>
        </w:rPr>
        <w:t>.</w:t>
      </w:r>
    </w:p>
    <w:p w14:paraId="76963A9A" w14:textId="77777777" w:rsidR="001B7F77" w:rsidRPr="001B7F77" w:rsidRDefault="001B7F77" w:rsidP="001B7F77">
      <w:pPr>
        <w:widowControl w:val="0"/>
        <w:tabs>
          <w:tab w:val="left" w:pos="360"/>
        </w:tabs>
        <w:suppressAutoHyphens/>
        <w:spacing w:before="120"/>
        <w:ind w:left="360"/>
        <w:rPr>
          <w:rFonts w:eastAsia="Calibri"/>
          <w:color w:val="000000"/>
          <w:szCs w:val="24"/>
        </w:rPr>
      </w:pPr>
      <w:r w:rsidRPr="001B7F77">
        <w:rPr>
          <w:rFonts w:eastAsia="Calibri"/>
          <w:b/>
          <w:color w:val="000000"/>
          <w:szCs w:val="24"/>
          <w:u w:val="single"/>
        </w:rPr>
        <w:t>803.8.2 A new sprinkler system is to be installed.</w:t>
      </w:r>
      <w:r w:rsidRPr="001B7F77">
        <w:rPr>
          <w:rFonts w:eastAsia="Calibri"/>
          <w:color w:val="000000"/>
          <w:szCs w:val="24"/>
          <w:u w:val="single"/>
        </w:rPr>
        <w:t xml:space="preserve"> Where the installation of a new sprinkler system is proposed throughout a building containing air shaft windows, such windows shall be protected on the interior side, in accordance with Section 705.8.2 (Exception) of the </w:t>
      </w:r>
      <w:r w:rsidRPr="001B7F77">
        <w:rPr>
          <w:rFonts w:eastAsia="Calibri"/>
          <w:i/>
          <w:iCs/>
          <w:color w:val="000000"/>
          <w:szCs w:val="24"/>
          <w:u w:val="single"/>
        </w:rPr>
        <w:t>New York City Building Code</w:t>
      </w:r>
      <w:r w:rsidRPr="001B7F77">
        <w:rPr>
          <w:rFonts w:eastAsia="Calibri"/>
          <w:color w:val="000000"/>
          <w:szCs w:val="24"/>
          <w:u w:val="single"/>
        </w:rPr>
        <w:t>.</w:t>
      </w:r>
    </w:p>
    <w:p w14:paraId="7C531DE7" w14:textId="77777777" w:rsidR="001B7F77" w:rsidRPr="001B7F77" w:rsidRDefault="001B7F77" w:rsidP="001B7F77">
      <w:pPr>
        <w:widowControl w:val="0"/>
        <w:suppressAutoHyphens/>
        <w:spacing w:before="120"/>
        <w:rPr>
          <w:color w:val="000000"/>
          <w:szCs w:val="24"/>
        </w:rPr>
      </w:pPr>
      <w:r w:rsidRPr="001B7F77">
        <w:rPr>
          <w:b/>
          <w:color w:val="000000"/>
          <w:szCs w:val="24"/>
          <w:u w:val="single"/>
        </w:rPr>
        <w:t>803.9 Existing buildings in fire districts.</w:t>
      </w:r>
      <w:r w:rsidRPr="001B7F77">
        <w:rPr>
          <w:color w:val="000000"/>
          <w:szCs w:val="24"/>
          <w:u w:val="single"/>
        </w:rPr>
        <w:t xml:space="preserve"> Alterations made to existing buildings shall comply with Section 302.6 and Sections 803.9.1 through 803.9.3.</w:t>
      </w:r>
    </w:p>
    <w:p w14:paraId="1BAF1FC8" w14:textId="77777777" w:rsidR="001B7F77" w:rsidRPr="001B7F77" w:rsidRDefault="001B7F77" w:rsidP="001B7F77">
      <w:pPr>
        <w:widowControl w:val="0"/>
        <w:suppressAutoHyphens/>
        <w:spacing w:before="120"/>
        <w:ind w:left="360"/>
        <w:rPr>
          <w:szCs w:val="24"/>
        </w:rPr>
      </w:pPr>
      <w:r w:rsidRPr="001B7F77">
        <w:rPr>
          <w:b/>
          <w:color w:val="000000"/>
          <w:szCs w:val="24"/>
          <w:u w:val="single"/>
        </w:rPr>
        <w:t>803.9.1</w:t>
      </w:r>
      <w:r w:rsidRPr="001B7F77">
        <w:rPr>
          <w:color w:val="000000"/>
          <w:szCs w:val="24"/>
          <w:u w:val="single"/>
        </w:rPr>
        <w:t xml:space="preserve"> </w:t>
      </w:r>
      <w:r w:rsidRPr="001B7F77">
        <w:rPr>
          <w:b/>
          <w:szCs w:val="24"/>
          <w:u w:val="single"/>
        </w:rPr>
        <w:t xml:space="preserve">Construction type. </w:t>
      </w:r>
      <w:r w:rsidRPr="001B7F77">
        <w:rPr>
          <w:color w:val="000000"/>
          <w:szCs w:val="24"/>
          <w:u w:val="single"/>
        </w:rPr>
        <w:t xml:space="preserve">Every existing building, room, or space hereafter altered </w:t>
      </w:r>
      <w:r w:rsidRPr="001B7F77">
        <w:rPr>
          <w:rFonts w:eastAsia="Times"/>
          <w:szCs w:val="24"/>
          <w:u w:val="single"/>
        </w:rPr>
        <w:t xml:space="preserve">shall be of a construction type as indicated in Chapter 6 of the </w:t>
      </w:r>
      <w:r w:rsidRPr="001B7F77">
        <w:rPr>
          <w:rFonts w:eastAsia="Times"/>
          <w:i/>
          <w:iCs/>
          <w:szCs w:val="24"/>
          <w:u w:val="single"/>
        </w:rPr>
        <w:t>New York City Building Code</w:t>
      </w:r>
      <w:r w:rsidRPr="001B7F77">
        <w:rPr>
          <w:rFonts w:eastAsia="Times"/>
          <w:szCs w:val="24"/>
          <w:u w:val="single"/>
        </w:rPr>
        <w:t xml:space="preserve"> including the required fire resistance rating of bearing walls, floors, roofs and their supporting structural members.</w:t>
      </w:r>
    </w:p>
    <w:p w14:paraId="2862EEAF" w14:textId="77777777" w:rsidR="001B7F77" w:rsidRPr="001B7F77" w:rsidRDefault="001B7F77" w:rsidP="001B7F77">
      <w:pPr>
        <w:widowControl w:val="0"/>
        <w:suppressAutoHyphens/>
        <w:spacing w:before="120"/>
        <w:ind w:left="360"/>
        <w:rPr>
          <w:szCs w:val="24"/>
        </w:rPr>
      </w:pPr>
      <w:r w:rsidRPr="001B7F77">
        <w:rPr>
          <w:b/>
          <w:szCs w:val="24"/>
          <w:u w:val="single"/>
        </w:rPr>
        <w:t xml:space="preserve">803.9.2 Roof covering. </w:t>
      </w:r>
      <w:r w:rsidRPr="001B7F77">
        <w:rPr>
          <w:szCs w:val="24"/>
          <w:u w:val="single"/>
        </w:rPr>
        <w:t xml:space="preserve">Roof covering in the fire district shall conform to the requirements of Class A or B roof coverings as defined in Section 1505 of the </w:t>
      </w:r>
      <w:r w:rsidRPr="001B7F77">
        <w:rPr>
          <w:i/>
          <w:iCs/>
          <w:szCs w:val="24"/>
          <w:u w:val="single"/>
        </w:rPr>
        <w:t>New York City Building Code</w:t>
      </w:r>
      <w:r w:rsidRPr="001B7F77">
        <w:rPr>
          <w:szCs w:val="24"/>
          <w:u w:val="single"/>
        </w:rPr>
        <w:t>.</w:t>
      </w:r>
    </w:p>
    <w:p w14:paraId="766B7DCC" w14:textId="77777777" w:rsidR="001B7F77" w:rsidRPr="001B7F77" w:rsidRDefault="001B7F77" w:rsidP="001B7F77">
      <w:pPr>
        <w:widowControl w:val="0"/>
        <w:suppressAutoHyphens/>
        <w:spacing w:before="120"/>
        <w:ind w:left="360"/>
        <w:rPr>
          <w:rFonts w:eastAsia="Calibri"/>
          <w:color w:val="000000"/>
          <w:szCs w:val="24"/>
        </w:rPr>
      </w:pPr>
      <w:r w:rsidRPr="001B7F77">
        <w:rPr>
          <w:rFonts w:eastAsia="Calibri"/>
          <w:b/>
          <w:color w:val="000000"/>
          <w:szCs w:val="24"/>
          <w:u w:val="single"/>
        </w:rPr>
        <w:t xml:space="preserve">803.9.3 Existing one- or two-family dwellings. </w:t>
      </w:r>
      <w:r w:rsidRPr="001B7F77">
        <w:rPr>
          <w:rFonts w:eastAsia="Calibri"/>
          <w:color w:val="000000"/>
          <w:szCs w:val="24"/>
          <w:u w:val="single"/>
        </w:rPr>
        <w:t>Where an existing</w:t>
      </w:r>
      <w:r w:rsidRPr="001B7F77">
        <w:rPr>
          <w:rFonts w:eastAsia="Calibri"/>
          <w:b/>
          <w:color w:val="000000"/>
          <w:szCs w:val="24"/>
          <w:u w:val="single"/>
        </w:rPr>
        <w:t xml:space="preserve"> </w:t>
      </w:r>
      <w:r w:rsidRPr="001B7F77">
        <w:rPr>
          <w:rFonts w:eastAsia="Calibri"/>
          <w:color w:val="000000"/>
          <w:szCs w:val="24"/>
          <w:u w:val="single"/>
        </w:rPr>
        <w:t>one- or two-family detached, zero lot line or semi-detached dwelling of three stories or less in height and 2,500 square feet (232 m</w:t>
      </w:r>
      <w:r w:rsidRPr="001B7F77">
        <w:rPr>
          <w:rFonts w:eastAsia="Calibri"/>
          <w:color w:val="000000"/>
          <w:szCs w:val="24"/>
          <w:u w:val="single"/>
          <w:vertAlign w:val="superscript"/>
        </w:rPr>
        <w:t>2</w:t>
      </w:r>
      <w:r w:rsidRPr="001B7F77">
        <w:rPr>
          <w:rFonts w:eastAsia="Calibri"/>
          <w:color w:val="000000"/>
          <w:szCs w:val="24"/>
          <w:u w:val="single"/>
        </w:rPr>
        <w:t xml:space="preserve">) or less in area located within Zoning Districts R-1 through R-5 within Lower Density Growth Management Areas as defined by the </w:t>
      </w:r>
      <w:r w:rsidRPr="001B7F77">
        <w:rPr>
          <w:rFonts w:eastAsia="Calibri"/>
          <w:i/>
          <w:iCs/>
          <w:color w:val="000000"/>
          <w:szCs w:val="24"/>
          <w:u w:val="single"/>
        </w:rPr>
        <w:t>New York City Zoning Resolution</w:t>
      </w:r>
      <w:r w:rsidRPr="001B7F77">
        <w:rPr>
          <w:rFonts w:eastAsia="Calibri"/>
          <w:color w:val="000000"/>
          <w:szCs w:val="24"/>
          <w:u w:val="single"/>
        </w:rPr>
        <w:t xml:space="preserve"> constructed of Type VA construction, is damaged, only the damaged portions shall be required to be reconstructed to conform to Type VA construction where such buildings are equipped throughout with an automatic sprinkler system in accordance with Section 903.3.1.1 of the </w:t>
      </w:r>
      <w:r w:rsidRPr="001B7F77">
        <w:rPr>
          <w:rFonts w:eastAsia="Calibri"/>
          <w:i/>
          <w:iCs/>
          <w:color w:val="000000"/>
          <w:szCs w:val="24"/>
          <w:u w:val="single"/>
        </w:rPr>
        <w:t>New York City Building Code</w:t>
      </w:r>
      <w:r w:rsidRPr="001B7F77">
        <w:rPr>
          <w:rFonts w:eastAsia="Calibri"/>
          <w:color w:val="000000"/>
          <w:szCs w:val="24"/>
          <w:u w:val="single"/>
        </w:rPr>
        <w:t>.</w:t>
      </w:r>
      <w:r w:rsidRPr="001B7F77">
        <w:rPr>
          <w:rFonts w:eastAsia="Calibri"/>
          <w:color w:val="000000"/>
          <w:szCs w:val="24"/>
        </w:rPr>
        <w:t xml:space="preserve"> </w:t>
      </w:r>
    </w:p>
    <w:p w14:paraId="14C5ED3A" w14:textId="77777777" w:rsidR="001B7F77" w:rsidRPr="001B7F77" w:rsidRDefault="001B7F77" w:rsidP="001B7F77">
      <w:pPr>
        <w:widowControl w:val="0"/>
        <w:suppressAutoHyphens/>
        <w:spacing w:before="120"/>
        <w:rPr>
          <w:color w:val="000000"/>
          <w:szCs w:val="24"/>
          <w:u w:val="single"/>
        </w:rPr>
      </w:pPr>
      <w:r w:rsidRPr="001B7F77">
        <w:rPr>
          <w:b/>
          <w:color w:val="000000"/>
          <w:szCs w:val="24"/>
          <w:u w:val="single"/>
        </w:rPr>
        <w:t xml:space="preserve">803.10 Architectural condition assessment. </w:t>
      </w:r>
      <w:r w:rsidRPr="001B7F77">
        <w:rPr>
          <w:color w:val="000000"/>
          <w:szCs w:val="24"/>
          <w:u w:val="single"/>
        </w:rPr>
        <w:t>Where a building is being altered and the work area exceeds 50 percent of the floor area, the registered design professional of record shall visually assess the condition of fire-resistant building elements and assemblies within the work area, and egress elements serving the work area on that same story. The results and findings of the assessment shall be incorporated in the scope of work as needed. Where the assessment reveals unsafe conditions or deteriorated building elements, such elements shall be remediated, and the unsafe conditions corrected. Such building elements and assemblies shall include:</w:t>
      </w:r>
    </w:p>
    <w:p w14:paraId="082A9620" w14:textId="77777777" w:rsidR="001B7F77" w:rsidRPr="001B7F77" w:rsidRDefault="001B7F77" w:rsidP="001B7F77">
      <w:pPr>
        <w:widowControl w:val="0"/>
        <w:suppressAutoHyphens/>
        <w:spacing w:before="120"/>
        <w:ind w:left="720" w:hanging="360"/>
        <w:rPr>
          <w:rFonts w:eastAsia="Calibri"/>
          <w:b/>
          <w:color w:val="000000"/>
          <w:szCs w:val="24"/>
          <w:u w:val="single"/>
        </w:rPr>
      </w:pPr>
      <w:r w:rsidRPr="001B7F77">
        <w:rPr>
          <w:rFonts w:eastAsia="Calibri"/>
          <w:color w:val="000000"/>
          <w:szCs w:val="24"/>
          <w:u w:val="single"/>
        </w:rPr>
        <w:t>1.</w:t>
      </w:r>
      <w:r w:rsidRPr="001B7F77">
        <w:rPr>
          <w:rFonts w:eastAsia="Calibri"/>
          <w:color w:val="000000"/>
          <w:szCs w:val="24"/>
          <w:u w:val="single"/>
        </w:rPr>
        <w:tab/>
        <w:t>Exit doors: fire rating, self-closing mechanism and as required by Section 805, as applicable.</w:t>
      </w:r>
    </w:p>
    <w:p w14:paraId="64CE0B1C" w14:textId="77777777" w:rsidR="001B7F77" w:rsidRPr="001B7F77" w:rsidRDefault="001B7F77" w:rsidP="001B7F77">
      <w:pPr>
        <w:widowControl w:val="0"/>
        <w:suppressAutoHyphens/>
        <w:spacing w:before="120"/>
        <w:ind w:left="720" w:hanging="360"/>
        <w:rPr>
          <w:rFonts w:eastAsia="Calibri"/>
          <w:b/>
          <w:color w:val="000000"/>
          <w:szCs w:val="24"/>
          <w:u w:val="single"/>
        </w:rPr>
      </w:pPr>
      <w:r w:rsidRPr="001B7F77">
        <w:rPr>
          <w:rFonts w:eastAsia="Calibri"/>
          <w:color w:val="000000"/>
          <w:szCs w:val="24"/>
          <w:u w:val="single"/>
        </w:rPr>
        <w:t>2.</w:t>
      </w:r>
      <w:r w:rsidRPr="001B7F77">
        <w:rPr>
          <w:rFonts w:eastAsia="Calibri"/>
          <w:color w:val="000000"/>
          <w:szCs w:val="24"/>
          <w:u w:val="single"/>
        </w:rPr>
        <w:tab/>
        <w:t>Shafts and vertical openings enclosures.</w:t>
      </w:r>
    </w:p>
    <w:p w14:paraId="4F8D27EF" w14:textId="77777777" w:rsidR="001B7F77" w:rsidRPr="001B7F77" w:rsidRDefault="001B7F77" w:rsidP="001B7F77">
      <w:pPr>
        <w:widowControl w:val="0"/>
        <w:suppressAutoHyphens/>
        <w:spacing w:before="120"/>
        <w:ind w:left="720" w:hanging="360"/>
        <w:rPr>
          <w:rFonts w:eastAsia="Calibri"/>
          <w:b/>
          <w:color w:val="000000"/>
          <w:szCs w:val="24"/>
          <w:u w:val="single"/>
        </w:rPr>
      </w:pPr>
      <w:r w:rsidRPr="001B7F77">
        <w:rPr>
          <w:rFonts w:eastAsia="Calibri"/>
          <w:color w:val="000000"/>
          <w:szCs w:val="24"/>
          <w:u w:val="single"/>
        </w:rPr>
        <w:t>3.</w:t>
      </w:r>
      <w:r w:rsidRPr="001B7F77">
        <w:rPr>
          <w:rFonts w:eastAsia="Calibri"/>
          <w:color w:val="000000"/>
          <w:szCs w:val="24"/>
          <w:u w:val="single"/>
        </w:rPr>
        <w:tab/>
        <w:t>Exit stair enclosure and material combustibility.</w:t>
      </w:r>
    </w:p>
    <w:p w14:paraId="7541D1D7" w14:textId="77777777" w:rsidR="001B7F77" w:rsidRPr="001B7F77" w:rsidRDefault="001B7F77" w:rsidP="001B7F77">
      <w:pPr>
        <w:widowControl w:val="0"/>
        <w:suppressAutoHyphens/>
        <w:spacing w:before="120"/>
        <w:ind w:left="720" w:hanging="360"/>
        <w:rPr>
          <w:rFonts w:eastAsia="Calibri"/>
          <w:b/>
          <w:color w:val="000000"/>
          <w:szCs w:val="24"/>
          <w:u w:val="single"/>
        </w:rPr>
      </w:pPr>
      <w:r w:rsidRPr="001B7F77">
        <w:rPr>
          <w:rFonts w:eastAsia="Calibri"/>
          <w:color w:val="000000"/>
          <w:szCs w:val="24"/>
          <w:u w:val="single"/>
        </w:rPr>
        <w:t>4.</w:t>
      </w:r>
      <w:r w:rsidRPr="001B7F77">
        <w:rPr>
          <w:rFonts w:eastAsia="Calibri"/>
          <w:color w:val="000000"/>
          <w:szCs w:val="24"/>
          <w:u w:val="single"/>
        </w:rPr>
        <w:tab/>
        <w:t>Fire walls and fire-rated partitions including penetrations and protection of windows and doors.</w:t>
      </w:r>
    </w:p>
    <w:p w14:paraId="791C1306" w14:textId="77777777" w:rsidR="001B7F77" w:rsidRPr="001B7F77" w:rsidRDefault="001B7F77" w:rsidP="001B7F77">
      <w:pPr>
        <w:widowControl w:val="0"/>
        <w:suppressAutoHyphens/>
        <w:spacing w:before="120"/>
        <w:ind w:left="720" w:hanging="360"/>
        <w:rPr>
          <w:rFonts w:eastAsia="Calibri"/>
          <w:b/>
          <w:color w:val="000000"/>
          <w:szCs w:val="24"/>
          <w:u w:val="single"/>
        </w:rPr>
      </w:pPr>
      <w:r w:rsidRPr="001B7F77">
        <w:rPr>
          <w:rFonts w:eastAsia="Calibri"/>
          <w:color w:val="000000"/>
          <w:szCs w:val="24"/>
          <w:u w:val="single"/>
        </w:rPr>
        <w:t>5.</w:t>
      </w:r>
      <w:r w:rsidRPr="001B7F77">
        <w:rPr>
          <w:rFonts w:eastAsia="Calibri"/>
          <w:color w:val="000000"/>
          <w:szCs w:val="24"/>
          <w:u w:val="single"/>
        </w:rPr>
        <w:tab/>
        <w:t>Protection of lot line windows.</w:t>
      </w:r>
    </w:p>
    <w:p w14:paraId="4512B900" w14:textId="77777777" w:rsidR="001B7F77" w:rsidRPr="001B7F77" w:rsidRDefault="001B7F77" w:rsidP="001B7F77">
      <w:pPr>
        <w:widowControl w:val="0"/>
        <w:suppressAutoHyphens/>
        <w:spacing w:before="120"/>
        <w:ind w:left="720" w:hanging="360"/>
        <w:rPr>
          <w:rFonts w:eastAsia="Calibri"/>
          <w:b/>
          <w:color w:val="000000"/>
          <w:szCs w:val="24"/>
          <w:u w:val="single"/>
        </w:rPr>
      </w:pPr>
      <w:r w:rsidRPr="001B7F77">
        <w:rPr>
          <w:rFonts w:eastAsia="Calibri"/>
          <w:color w:val="000000"/>
          <w:szCs w:val="24"/>
          <w:u w:val="single"/>
        </w:rPr>
        <w:t>6.</w:t>
      </w:r>
      <w:r w:rsidRPr="001B7F77">
        <w:rPr>
          <w:rFonts w:eastAsia="Calibri"/>
          <w:color w:val="000000"/>
          <w:szCs w:val="24"/>
          <w:u w:val="single"/>
        </w:rPr>
        <w:tab/>
        <w:t xml:space="preserve">Fire escape and access thereto, including attachment to exterior wall, stairs, balconies, fire protection of windows and railings. </w:t>
      </w:r>
    </w:p>
    <w:p w14:paraId="7A501D86" w14:textId="77777777" w:rsidR="001B7F77" w:rsidRPr="001B7F77" w:rsidRDefault="001B7F77" w:rsidP="001B7F77">
      <w:pPr>
        <w:widowControl w:val="0"/>
        <w:suppressAutoHyphens/>
        <w:spacing w:before="120"/>
        <w:ind w:firstLine="360"/>
        <w:rPr>
          <w:color w:val="000000"/>
          <w:szCs w:val="24"/>
          <w:u w:val="single"/>
        </w:rPr>
      </w:pPr>
      <w:r w:rsidRPr="001B7F77">
        <w:rPr>
          <w:color w:val="000000"/>
          <w:szCs w:val="24"/>
          <w:u w:val="single"/>
        </w:rPr>
        <w:t xml:space="preserve">Such condition assessment need not be repeated for the same work area unless required by the commissioner. </w:t>
      </w:r>
    </w:p>
    <w:p w14:paraId="6E89866D" w14:textId="77777777" w:rsidR="001B7F77" w:rsidRPr="001B7F77" w:rsidRDefault="001B7F77" w:rsidP="001B7F77">
      <w:pPr>
        <w:widowControl w:val="0"/>
        <w:suppressAutoHyphens/>
        <w:spacing w:before="120"/>
        <w:ind w:left="360"/>
        <w:rPr>
          <w:color w:val="000000"/>
          <w:szCs w:val="24"/>
          <w:u w:val="single"/>
        </w:rPr>
      </w:pPr>
      <w:r w:rsidRPr="001B7F77">
        <w:rPr>
          <w:b/>
          <w:bCs/>
          <w:color w:val="000000"/>
          <w:szCs w:val="24"/>
          <w:u w:val="single"/>
        </w:rPr>
        <w:t>Exception:</w:t>
      </w:r>
      <w:r w:rsidRPr="001B7F77">
        <w:rPr>
          <w:color w:val="000000"/>
          <w:szCs w:val="24"/>
          <w:u w:val="single"/>
        </w:rPr>
        <w:t xml:space="preserve"> Alterations of</w:t>
      </w:r>
      <w:r w:rsidRPr="001B7F77">
        <w:rPr>
          <w:b/>
          <w:bCs/>
          <w:color w:val="000000"/>
          <w:szCs w:val="24"/>
          <w:u w:val="single"/>
        </w:rPr>
        <w:t xml:space="preserve"> </w:t>
      </w:r>
      <w:r w:rsidRPr="001B7F77">
        <w:rPr>
          <w:color w:val="000000"/>
          <w:szCs w:val="24"/>
          <w:u w:val="single"/>
        </w:rPr>
        <w:t>one- and two-family dwellings in occupancy group R-3.</w:t>
      </w:r>
    </w:p>
    <w:p w14:paraId="2CF70167" w14:textId="77777777" w:rsidR="001B7F77" w:rsidRPr="001B7F77" w:rsidRDefault="001B7F77" w:rsidP="001B7F77">
      <w:pPr>
        <w:widowControl w:val="0"/>
        <w:suppressAutoHyphens/>
        <w:spacing w:before="120"/>
        <w:ind w:left="360"/>
        <w:rPr>
          <w:color w:val="000000"/>
          <w:szCs w:val="24"/>
        </w:rPr>
      </w:pPr>
      <w:r w:rsidRPr="001B7F77">
        <w:rPr>
          <w:b/>
          <w:color w:val="000000"/>
          <w:szCs w:val="24"/>
          <w:u w:val="single"/>
        </w:rPr>
        <w:t>803.10.1</w:t>
      </w:r>
      <w:r w:rsidRPr="001B7F77">
        <w:rPr>
          <w:color w:val="000000"/>
          <w:szCs w:val="24"/>
          <w:u w:val="single"/>
        </w:rPr>
        <w:t xml:space="preserve"> </w:t>
      </w:r>
      <w:r w:rsidRPr="001B7F77">
        <w:rPr>
          <w:b/>
          <w:bCs/>
          <w:color w:val="000000"/>
          <w:szCs w:val="24"/>
          <w:u w:val="single"/>
        </w:rPr>
        <w:t>Hazardous conditions.</w:t>
      </w:r>
      <w:r w:rsidRPr="001B7F77">
        <w:rPr>
          <w:color w:val="000000"/>
          <w:szCs w:val="24"/>
          <w:u w:val="single"/>
        </w:rPr>
        <w:t xml:space="preserve"> </w:t>
      </w:r>
      <w:r w:rsidRPr="001B7F77">
        <w:rPr>
          <w:szCs w:val="24"/>
          <w:u w:val="single"/>
        </w:rPr>
        <w:t>All conditions noted as hazardous to life, safety or health that are not immediately corrected shall be brought to the immediate attention of the commissioner.</w:t>
      </w:r>
    </w:p>
    <w:p w14:paraId="1AFDA55C" w14:textId="77777777" w:rsidR="001B7F77" w:rsidRPr="001B7F77" w:rsidRDefault="001B7F77" w:rsidP="001B7F77">
      <w:pPr>
        <w:widowControl w:val="0"/>
        <w:spacing w:before="120"/>
        <w:contextualSpacing/>
        <w:rPr>
          <w:rFonts w:eastAsia="Calibri"/>
          <w:b/>
          <w:bCs/>
          <w:color w:val="000000"/>
          <w:szCs w:val="24"/>
          <w:u w:val="single"/>
        </w:rPr>
      </w:pPr>
      <w:r w:rsidRPr="001B7F77">
        <w:rPr>
          <w:rFonts w:eastAsia="Calibri"/>
          <w:b/>
          <w:bCs/>
          <w:color w:val="000000"/>
          <w:szCs w:val="24"/>
          <w:u w:val="single"/>
        </w:rPr>
        <w:t xml:space="preserve">803.11 Bearing of joists. </w:t>
      </w:r>
      <w:r w:rsidRPr="001B7F77">
        <w:rPr>
          <w:rFonts w:eastAsia="Calibri"/>
          <w:color w:val="000000"/>
          <w:szCs w:val="24"/>
          <w:u w:val="single"/>
        </w:rPr>
        <w:t>For non-fireproof buildings erected prior to December 6, 1968, the ends of floor and roof joists and beams shall not be supported on stud partitions, whether wood stud or metal stud. The ends of such joists and beams shall be supported on masonry, girders, trimmer or header beams. When supported on masonry walls, such joists and beams shall be cut to a bevel of 3 inches (914 mm) in their depth and shall have a bearing of at least 4 inches (102 mm) on the masonry. When supported on girders, such joists and beams shall have bearings of at least 4 inches (102 mm), and may be supported by metal stirrups, hangers or bolted hardwood cleats. Tail beams over eight feet (2438 mm) long and trimmer and header beams shall be hung in approved metal stirrups or hangers and shall be spiked unless supported on a wall or girder.</w:t>
      </w:r>
    </w:p>
    <w:p w14:paraId="0FBD8534" w14:textId="77777777" w:rsidR="001B7F77" w:rsidRPr="001B7F77" w:rsidRDefault="001B7F77" w:rsidP="001B7F77">
      <w:pPr>
        <w:widowControl w:val="0"/>
        <w:spacing w:before="120"/>
        <w:ind w:left="360"/>
        <w:contextualSpacing/>
        <w:rPr>
          <w:rFonts w:eastAsia="Calibri"/>
          <w:color w:val="000000"/>
          <w:szCs w:val="24"/>
          <w:u w:val="single"/>
        </w:rPr>
      </w:pPr>
      <w:r w:rsidRPr="001B7F77">
        <w:rPr>
          <w:rFonts w:eastAsia="Calibri"/>
          <w:b/>
          <w:bCs/>
          <w:color w:val="000000"/>
          <w:szCs w:val="24"/>
          <w:u w:val="single"/>
        </w:rPr>
        <w:t xml:space="preserve">Exception: </w:t>
      </w:r>
      <w:r w:rsidRPr="001B7F77">
        <w:rPr>
          <w:rFonts w:eastAsia="Calibri"/>
          <w:color w:val="000000"/>
          <w:szCs w:val="24"/>
          <w:u w:val="single"/>
        </w:rPr>
        <w:t xml:space="preserve">For buildings that are fully sprinklered and that comply with the height and area limitations of Chapter 5 of the </w:t>
      </w:r>
      <w:r w:rsidRPr="001B7F77">
        <w:rPr>
          <w:rFonts w:eastAsia="Calibri"/>
          <w:i/>
          <w:iCs/>
          <w:color w:val="000000"/>
          <w:szCs w:val="24"/>
          <w:u w:val="single"/>
        </w:rPr>
        <w:t>New York City Building Code</w:t>
      </w:r>
      <w:r w:rsidRPr="001B7F77">
        <w:rPr>
          <w:rFonts w:eastAsia="Calibri"/>
          <w:color w:val="000000"/>
          <w:szCs w:val="24"/>
          <w:u w:val="single"/>
        </w:rPr>
        <w:t xml:space="preserve">, connection details for joists and beams shall be permitted to comply with the </w:t>
      </w:r>
      <w:r w:rsidRPr="001B7F77">
        <w:rPr>
          <w:rFonts w:eastAsia="Calibri"/>
          <w:i/>
          <w:iCs/>
          <w:color w:val="000000"/>
          <w:szCs w:val="24"/>
          <w:u w:val="single"/>
        </w:rPr>
        <w:t>New York City Building Code</w:t>
      </w:r>
      <w:r w:rsidRPr="001B7F77">
        <w:rPr>
          <w:rFonts w:eastAsia="Calibri"/>
          <w:color w:val="000000"/>
          <w:szCs w:val="24"/>
          <w:u w:val="single"/>
        </w:rPr>
        <w:t xml:space="preserve">. </w:t>
      </w:r>
    </w:p>
    <w:p w14:paraId="74ABDA01" w14:textId="77777777" w:rsidR="001B7F77" w:rsidRPr="001B7F77" w:rsidRDefault="001B7F77" w:rsidP="001B7F77">
      <w:pPr>
        <w:widowControl w:val="0"/>
        <w:suppressAutoHyphens/>
        <w:spacing w:before="120"/>
        <w:jc w:val="center"/>
        <w:outlineLvl w:val="0"/>
        <w:rPr>
          <w:rFonts w:eastAsia="Times"/>
          <w:b/>
          <w:u w:val="single"/>
        </w:rPr>
      </w:pPr>
    </w:p>
    <w:p w14:paraId="7FD74874" w14:textId="77777777" w:rsidR="001B7F77" w:rsidRPr="001B7F77" w:rsidRDefault="001B7F77" w:rsidP="001B7F77">
      <w:pPr>
        <w:widowControl w:val="0"/>
        <w:suppressAutoHyphens/>
        <w:spacing w:before="120"/>
        <w:jc w:val="center"/>
        <w:outlineLvl w:val="0"/>
        <w:rPr>
          <w:rFonts w:eastAsia="Times"/>
          <w:b/>
          <w:u w:val="single"/>
        </w:rPr>
      </w:pPr>
      <w:r w:rsidRPr="001B7F77">
        <w:rPr>
          <w:rFonts w:eastAsia="Times"/>
          <w:b/>
          <w:u w:val="single"/>
        </w:rPr>
        <w:t>SECTION EBC 804</w:t>
      </w:r>
      <w:r w:rsidRPr="001B7F77">
        <w:rPr>
          <w:rFonts w:eastAsia="Times"/>
          <w:b/>
          <w:u w:val="single"/>
        </w:rPr>
        <w:br/>
        <w:t>FIRE PROTECTION</w:t>
      </w:r>
    </w:p>
    <w:p w14:paraId="01038028" w14:textId="77777777" w:rsidR="001B7F77" w:rsidRPr="001B7F77" w:rsidRDefault="001B7F77" w:rsidP="001B7F77">
      <w:pPr>
        <w:widowControl w:val="0"/>
        <w:suppressAutoHyphens/>
        <w:spacing w:before="120"/>
        <w:rPr>
          <w:color w:val="000000"/>
        </w:rPr>
      </w:pPr>
      <w:bookmarkStart w:id="163" w:name="_heading=h.gjdgxs"/>
      <w:bookmarkStart w:id="164" w:name="_Hlk127201148"/>
      <w:bookmarkEnd w:id="163"/>
      <w:r w:rsidRPr="001B7F77">
        <w:rPr>
          <w:b/>
          <w:bCs/>
          <w:u w:val="single"/>
        </w:rPr>
        <w:t>804.1 Scope</w:t>
      </w:r>
      <w:r w:rsidRPr="001B7F77">
        <w:rPr>
          <w:u w:val="single"/>
        </w:rPr>
        <w:t xml:space="preserve">. </w:t>
      </w:r>
      <w:bookmarkEnd w:id="164"/>
      <w:r w:rsidRPr="001B7F77">
        <w:rPr>
          <w:u w:val="single"/>
        </w:rPr>
        <w:t>The requirements of this section shall be limited to work areas in which Level 1 alterations are being performed, except that, where specified, they shall apply throughout the floor on which the work areas are located or otherwise beyond the work area.</w:t>
      </w:r>
    </w:p>
    <w:p w14:paraId="7E58354D" w14:textId="77777777" w:rsidR="001B7F77" w:rsidRPr="001B7F77" w:rsidRDefault="001B7F77" w:rsidP="001B7F77">
      <w:pPr>
        <w:widowControl w:val="0"/>
        <w:suppressAutoHyphens/>
        <w:spacing w:before="120"/>
        <w:rPr>
          <w:color w:val="000000"/>
        </w:rPr>
      </w:pPr>
      <w:r w:rsidRPr="001B7F77">
        <w:rPr>
          <w:b/>
          <w:color w:val="000000"/>
          <w:u w:val="single"/>
        </w:rPr>
        <w:t>804.2 Automatic sprinkler systems</w:t>
      </w:r>
      <w:r w:rsidRPr="001B7F77">
        <w:rPr>
          <w:color w:val="000000"/>
          <w:u w:val="single"/>
        </w:rPr>
        <w:t xml:space="preserve">. Automatic sprinkler systems shall be provided in accordance with the requirements of Sections 804.2.1 through 804.2.8 of this code. Installation requirements, materials and methods shall be in accordance with Chapter 9 of the </w:t>
      </w:r>
      <w:r w:rsidRPr="001B7F77">
        <w:rPr>
          <w:i/>
          <w:iCs/>
          <w:color w:val="000000"/>
          <w:u w:val="single"/>
        </w:rPr>
        <w:t>New York City Building Code</w:t>
      </w:r>
      <w:r w:rsidRPr="001B7F77">
        <w:rPr>
          <w:color w:val="000000"/>
          <w:u w:val="single"/>
        </w:rPr>
        <w:t>.</w:t>
      </w:r>
    </w:p>
    <w:p w14:paraId="1901C2B6" w14:textId="77777777" w:rsidR="001B7F77" w:rsidRPr="001B7F77" w:rsidRDefault="001B7F77" w:rsidP="001B7F77">
      <w:pPr>
        <w:widowControl w:val="0"/>
        <w:suppressAutoHyphens/>
        <w:spacing w:before="120"/>
        <w:ind w:left="360"/>
        <w:rPr>
          <w:color w:val="000000"/>
        </w:rPr>
      </w:pPr>
      <w:bookmarkStart w:id="165" w:name="_Hlk121909920"/>
      <w:r w:rsidRPr="001B7F77">
        <w:rPr>
          <w:b/>
          <w:color w:val="000000"/>
          <w:u w:val="single"/>
        </w:rPr>
        <w:t>804.2.1 High-rise buildings</w:t>
      </w:r>
      <w:r w:rsidRPr="001B7F77">
        <w:rPr>
          <w:color w:val="000000"/>
          <w:u w:val="single"/>
        </w:rPr>
        <w:t>. In high-rise buildings, work areas that have exits or corridors shared by more than one tenant or that have exits or corridors serving an occupant load greater than 30 shall be provided with automatic sprinkler protection in the entire work area where the work area is located on a floor that has a sufficient sprinkler water supply from an existing standpipe, combined standpipe or a sprinkler riser serving that floor.</w:t>
      </w:r>
    </w:p>
    <w:bookmarkEnd w:id="165"/>
    <w:p w14:paraId="7397892B" w14:textId="77777777" w:rsidR="001B7F77" w:rsidRPr="001B7F77" w:rsidRDefault="001B7F77" w:rsidP="001B7F77">
      <w:pPr>
        <w:widowControl w:val="0"/>
        <w:suppressAutoHyphens/>
        <w:spacing w:before="120"/>
        <w:ind w:left="720"/>
        <w:rPr>
          <w:b/>
          <w:color w:val="000000"/>
          <w:u w:val="single"/>
        </w:rPr>
      </w:pPr>
      <w:r w:rsidRPr="001B7F77">
        <w:rPr>
          <w:b/>
          <w:bCs/>
          <w:color w:val="000000"/>
          <w:u w:val="single"/>
        </w:rPr>
        <w:t>Exception:</w:t>
      </w:r>
      <w:r w:rsidRPr="001B7F77">
        <w:rPr>
          <w:color w:val="000000"/>
          <w:u w:val="single"/>
        </w:rPr>
        <w:t xml:space="preserve"> If a building does not have sufficient water supply for design of a fire sprinkler system available to the floor without installation of a new fire pump or new water source connection, work areas shall be protected throughout all occupiable spaces not including those in sleeping units or individual dwelling units, and throughout common areas and work spaces such as corridors, lobbies, storage rooms, and equipment rooms, by a partial coverage smoke detection system that activates the occupant notification system in accordance with Sections 907.4, 907.5 and 907.6 of the </w:t>
      </w:r>
      <w:r w:rsidRPr="001B7F77">
        <w:rPr>
          <w:i/>
          <w:iCs/>
          <w:color w:val="000000"/>
          <w:u w:val="single"/>
        </w:rPr>
        <w:t>New York City Building Code</w:t>
      </w:r>
      <w:r w:rsidRPr="001B7F77">
        <w:rPr>
          <w:color w:val="000000"/>
          <w:u w:val="single"/>
        </w:rPr>
        <w:t>.</w:t>
      </w:r>
    </w:p>
    <w:p w14:paraId="17763AA6" w14:textId="77777777" w:rsidR="001B7F77" w:rsidRPr="001B7F77" w:rsidRDefault="001B7F77" w:rsidP="001B7F77">
      <w:pPr>
        <w:widowControl w:val="0"/>
        <w:suppressAutoHyphens/>
        <w:spacing w:before="120"/>
        <w:ind w:left="720"/>
        <w:rPr>
          <w:color w:val="000000"/>
          <w:u w:val="single"/>
        </w:rPr>
      </w:pPr>
      <w:r w:rsidRPr="001B7F77">
        <w:rPr>
          <w:b/>
          <w:color w:val="000000"/>
          <w:u w:val="single"/>
        </w:rPr>
        <w:t>804.2.1.1 Supplemental automatic sprinkler system requirements</w:t>
      </w:r>
      <w:r w:rsidRPr="001B7F77">
        <w:rPr>
          <w:color w:val="000000"/>
          <w:u w:val="single"/>
        </w:rPr>
        <w:t>. Where the work area on any floor exceeds 50 percent of that floor area, Section 804.2.1 shall apply to the entire floor on which the work area is located.</w:t>
      </w:r>
    </w:p>
    <w:p w14:paraId="2DB4A7E1" w14:textId="77777777" w:rsidR="001B7F77" w:rsidRPr="001B7F77" w:rsidRDefault="001B7F77" w:rsidP="001B7F77">
      <w:pPr>
        <w:widowControl w:val="0"/>
        <w:suppressAutoHyphens/>
        <w:spacing w:before="120"/>
        <w:ind w:left="1080"/>
        <w:rPr>
          <w:color w:val="000000"/>
          <w:u w:val="single"/>
        </w:rPr>
      </w:pPr>
      <w:r w:rsidRPr="001B7F77">
        <w:rPr>
          <w:b/>
          <w:color w:val="000000"/>
          <w:u w:val="single"/>
        </w:rPr>
        <w:t>Exception:</w:t>
      </w:r>
      <w:r w:rsidRPr="001B7F77">
        <w:rPr>
          <w:color w:val="000000"/>
          <w:u w:val="single"/>
        </w:rPr>
        <w:t xml:space="preserve"> Occupied spaces under separate tenancy that are entirely outside the work area.</w:t>
      </w:r>
    </w:p>
    <w:p w14:paraId="069937B6" w14:textId="77777777" w:rsidR="001B7F77" w:rsidRPr="001B7F77" w:rsidRDefault="001B7F77" w:rsidP="001B7F77">
      <w:pPr>
        <w:widowControl w:val="0"/>
        <w:suppressAutoHyphens/>
        <w:spacing w:before="120"/>
        <w:ind w:left="360"/>
        <w:rPr>
          <w:color w:val="000000"/>
          <w:u w:val="single"/>
        </w:rPr>
      </w:pPr>
      <w:r w:rsidRPr="001B7F77">
        <w:rPr>
          <w:b/>
          <w:color w:val="000000"/>
          <w:u w:val="single"/>
        </w:rPr>
        <w:t>804.2.2 Occupancy Groups A, B, E, F-1, H, I, M, R-1, R-2, S-1 and S-2.</w:t>
      </w:r>
      <w:r w:rsidRPr="001B7F77">
        <w:rPr>
          <w:color w:val="000000"/>
          <w:u w:val="single"/>
        </w:rPr>
        <w:t xml:space="preserve"> In buildings with occupancies in Occupancy Groups A, B, E, F-1, H, I, M, R-1, R-2, S-1 and S-2, work areas that have exits or corridors shared by more than one tenant or that have exits or corridors serving an occupant load greater than 30 shall be provided with automatic sprinkler protection where both of the following conditions apply:</w:t>
      </w:r>
    </w:p>
    <w:p w14:paraId="3EFAF3D8" w14:textId="77777777" w:rsidR="001B7F77" w:rsidRPr="001B7F77" w:rsidRDefault="001B7F77" w:rsidP="001B7F77">
      <w:pPr>
        <w:widowControl w:val="0"/>
        <w:suppressAutoHyphens/>
        <w:spacing w:before="120"/>
        <w:ind w:left="1080" w:hanging="360"/>
        <w:rPr>
          <w:color w:val="000000"/>
          <w:u w:val="single"/>
        </w:rPr>
      </w:pPr>
      <w:r w:rsidRPr="001B7F77">
        <w:rPr>
          <w:color w:val="000000"/>
          <w:u w:val="single"/>
        </w:rPr>
        <w:t>1.</w:t>
      </w:r>
      <w:r w:rsidRPr="001B7F77">
        <w:rPr>
          <w:color w:val="000000"/>
          <w:u w:val="single"/>
        </w:rPr>
        <w:tab/>
        <w:t xml:space="preserve">The work area is required to be provided with automatic sprinkler protection in accordance with the </w:t>
      </w:r>
      <w:r w:rsidRPr="001B7F77">
        <w:rPr>
          <w:i/>
          <w:iCs/>
          <w:color w:val="000000"/>
          <w:u w:val="single"/>
        </w:rPr>
        <w:t>New York City Building Code</w:t>
      </w:r>
      <w:r w:rsidRPr="001B7F77">
        <w:rPr>
          <w:color w:val="000000"/>
          <w:u w:val="single"/>
        </w:rPr>
        <w:t xml:space="preserve"> as applicable to new construction; and</w:t>
      </w:r>
    </w:p>
    <w:p w14:paraId="3C697E2F" w14:textId="77777777" w:rsidR="001B7F77" w:rsidRPr="001B7F77" w:rsidRDefault="001B7F77" w:rsidP="001B7F77">
      <w:pPr>
        <w:widowControl w:val="0"/>
        <w:suppressAutoHyphens/>
        <w:spacing w:before="120"/>
        <w:ind w:left="1080" w:hanging="360"/>
        <w:rPr>
          <w:color w:val="000000"/>
          <w:u w:val="single"/>
        </w:rPr>
      </w:pPr>
      <w:r w:rsidRPr="001B7F77">
        <w:rPr>
          <w:color w:val="000000"/>
          <w:u w:val="single"/>
        </w:rPr>
        <w:t>2.</w:t>
      </w:r>
      <w:r w:rsidRPr="001B7F77">
        <w:rPr>
          <w:color w:val="000000"/>
          <w:u w:val="single"/>
        </w:rPr>
        <w:tab/>
        <w:t>The work area exceeds 50 percent of the floor area and is located on a floor that has a sufficient sprinkler water supply from an existing standpipe, combined standpipe or a sprinkler riser serving that floor.</w:t>
      </w:r>
    </w:p>
    <w:p w14:paraId="361AAD50" w14:textId="77777777" w:rsidR="001B7F77" w:rsidRPr="001B7F77" w:rsidRDefault="001B7F77" w:rsidP="001B7F77">
      <w:pPr>
        <w:widowControl w:val="0"/>
        <w:suppressAutoHyphens/>
        <w:spacing w:before="120"/>
        <w:ind w:left="1080"/>
        <w:rPr>
          <w:u w:val="single"/>
        </w:rPr>
      </w:pPr>
      <w:r w:rsidRPr="001B7F77">
        <w:rPr>
          <w:b/>
          <w:bCs/>
          <w:color w:val="000000"/>
          <w:u w:val="single"/>
        </w:rPr>
        <w:t>Exception:</w:t>
      </w:r>
      <w:r w:rsidRPr="001B7F77">
        <w:rPr>
          <w:color w:val="000000"/>
          <w:u w:val="single"/>
        </w:rPr>
        <w:t xml:space="preserve"> If a building does not have sufficient water supply for design of a fire sprinkler system available to the floor without installation of a new fire pump or new water source connection, work areas shall be protected throughout all occupiable spaces not including those in sleeping units or individual dwelling units, and throughout common areas and work spaces such as corridors, lobbies, storage rooms, and equipment rooms, by a partial coverage smoke detection system that activates the occupant notification system in accordance with Sections 907.4, 907.5 and 907.6 of the </w:t>
      </w:r>
      <w:r w:rsidRPr="001B7F77">
        <w:rPr>
          <w:i/>
          <w:iCs/>
          <w:color w:val="000000"/>
          <w:u w:val="single"/>
        </w:rPr>
        <w:t>New York City Building Code</w:t>
      </w:r>
      <w:r w:rsidRPr="001B7F77">
        <w:rPr>
          <w:color w:val="000000"/>
          <w:u w:val="single"/>
        </w:rPr>
        <w:t>.</w:t>
      </w:r>
    </w:p>
    <w:p w14:paraId="3877A08B" w14:textId="77777777" w:rsidR="001B7F77" w:rsidRPr="001B7F77" w:rsidRDefault="001B7F77" w:rsidP="001B7F77">
      <w:pPr>
        <w:widowControl w:val="0"/>
        <w:suppressAutoHyphens/>
        <w:spacing w:before="120"/>
        <w:ind w:left="720"/>
        <w:rPr>
          <w:color w:val="000000"/>
        </w:rPr>
      </w:pPr>
      <w:r w:rsidRPr="001B7F77">
        <w:rPr>
          <w:b/>
          <w:color w:val="000000"/>
          <w:u w:val="single"/>
        </w:rPr>
        <w:t>804.2.2.1 Mixed uses</w:t>
      </w:r>
      <w:r w:rsidRPr="001B7F77">
        <w:rPr>
          <w:color w:val="000000"/>
          <w:u w:val="single"/>
        </w:rPr>
        <w:t>. In work areas containing mixed uses, one or more of which requires automatic sprinkler protection in accordance with Section 804.2.2, such protection shall not be required throughout the work area provided that the uses requiring such protection are separated from those not requiring protection by fire-resistance-rated construction having a minimum 2-hour rating for Occupancy Group H and a minimum 1-hour rating for all other occupancy groups.</w:t>
      </w:r>
    </w:p>
    <w:p w14:paraId="6056BD1A" w14:textId="77777777" w:rsidR="001B7F77" w:rsidRPr="001B7F77" w:rsidRDefault="001B7F77" w:rsidP="001B7F77">
      <w:pPr>
        <w:widowControl w:val="0"/>
        <w:suppressAutoHyphens/>
        <w:spacing w:before="120"/>
        <w:ind w:left="360"/>
        <w:rPr>
          <w:color w:val="000000"/>
        </w:rPr>
      </w:pPr>
      <w:r w:rsidRPr="001B7F77">
        <w:rPr>
          <w:b/>
          <w:color w:val="000000"/>
          <w:u w:val="single"/>
        </w:rPr>
        <w:t>804.2.3 Sprinkler protection required</w:t>
      </w:r>
      <w:r w:rsidRPr="001B7F77">
        <w:rPr>
          <w:color w:val="000000"/>
          <w:u w:val="single"/>
        </w:rPr>
        <w:t xml:space="preserve">. Work areas located in above or below grade stories where such stories are required to be sprinklered in accordance with Sections 903.2.11.1 through 903.2.11.3 of the </w:t>
      </w:r>
      <w:r w:rsidRPr="001B7F77">
        <w:rPr>
          <w:i/>
          <w:iCs/>
          <w:color w:val="000000"/>
          <w:u w:val="single"/>
        </w:rPr>
        <w:t>New York City Building Code</w:t>
      </w:r>
      <w:r w:rsidRPr="001B7F77">
        <w:rPr>
          <w:color w:val="000000"/>
          <w:u w:val="single"/>
        </w:rPr>
        <w:t xml:space="preserve"> shall be sprinklered where the building has a sufficient water supply without installation of a new fire pump.</w:t>
      </w:r>
      <w:r w:rsidRPr="001B7F77">
        <w:rPr>
          <w:color w:val="000000"/>
        </w:rPr>
        <w:t xml:space="preserve"> </w:t>
      </w:r>
    </w:p>
    <w:p w14:paraId="7AA168A8" w14:textId="77777777" w:rsidR="001B7F77" w:rsidRPr="001B7F77" w:rsidRDefault="001B7F77" w:rsidP="001B7F77">
      <w:pPr>
        <w:widowControl w:val="0"/>
        <w:suppressAutoHyphens/>
        <w:spacing w:before="120"/>
        <w:ind w:left="720"/>
        <w:rPr>
          <w:color w:val="000000"/>
          <w:u w:val="single"/>
        </w:rPr>
      </w:pPr>
      <w:r w:rsidRPr="001B7F77">
        <w:rPr>
          <w:b/>
          <w:color w:val="000000"/>
          <w:u w:val="single"/>
        </w:rPr>
        <w:t>804.2.3.1</w:t>
      </w:r>
      <w:r w:rsidRPr="001B7F77">
        <w:rPr>
          <w:color w:val="000000"/>
          <w:u w:val="single"/>
        </w:rPr>
        <w:t xml:space="preserve"> </w:t>
      </w:r>
      <w:r w:rsidRPr="001B7F77">
        <w:rPr>
          <w:b/>
          <w:color w:val="000000"/>
          <w:u w:val="single"/>
        </w:rPr>
        <w:t>Supplemental automatic sprinkler system requirements.</w:t>
      </w:r>
      <w:r w:rsidRPr="001B7F77">
        <w:rPr>
          <w:color w:val="000000"/>
          <w:u w:val="single"/>
        </w:rPr>
        <w:t xml:space="preserve"> Where the work area on any above or below grade story exceeds 50 percent of the area of that story, Section 804.2.3 shall apply to the entire story on which the work area is located.</w:t>
      </w:r>
    </w:p>
    <w:p w14:paraId="1D38E98C" w14:textId="77777777" w:rsidR="001B7F77" w:rsidRPr="001B7F77" w:rsidRDefault="001B7F77" w:rsidP="001B7F77">
      <w:pPr>
        <w:widowControl w:val="0"/>
        <w:suppressAutoHyphens/>
        <w:spacing w:before="120"/>
        <w:ind w:left="1080"/>
        <w:rPr>
          <w:color w:val="000000"/>
          <w:u w:val="single"/>
        </w:rPr>
      </w:pPr>
      <w:r w:rsidRPr="001B7F77">
        <w:rPr>
          <w:b/>
          <w:color w:val="000000"/>
          <w:u w:val="single"/>
        </w:rPr>
        <w:t>Exception:</w:t>
      </w:r>
      <w:r w:rsidRPr="001B7F77">
        <w:rPr>
          <w:color w:val="000000"/>
          <w:u w:val="single"/>
        </w:rPr>
        <w:t xml:space="preserve"> Occupied spaces under separate tenancy that are entirely outside the work area.</w:t>
      </w:r>
    </w:p>
    <w:p w14:paraId="2B6464B8" w14:textId="77777777" w:rsidR="001B7F77" w:rsidRPr="001B7F77" w:rsidRDefault="001B7F77" w:rsidP="001B7F77">
      <w:pPr>
        <w:widowControl w:val="0"/>
        <w:suppressAutoHyphens/>
        <w:spacing w:before="120"/>
        <w:ind w:left="360"/>
        <w:rPr>
          <w:color w:val="000000"/>
          <w:u w:val="single"/>
        </w:rPr>
      </w:pPr>
      <w:r w:rsidRPr="001B7F77">
        <w:rPr>
          <w:b/>
          <w:color w:val="000000"/>
          <w:u w:val="single"/>
        </w:rPr>
        <w:t>804.2.4</w:t>
      </w:r>
      <w:r w:rsidRPr="001B7F77">
        <w:rPr>
          <w:color w:val="000000"/>
          <w:u w:val="single"/>
        </w:rPr>
        <w:t xml:space="preserve"> </w:t>
      </w:r>
      <w:r w:rsidRPr="001B7F77">
        <w:rPr>
          <w:b/>
          <w:color w:val="000000"/>
          <w:u w:val="single"/>
        </w:rPr>
        <w:t>Other required automatic sprinkler systems</w:t>
      </w:r>
      <w:r w:rsidRPr="001B7F77">
        <w:rPr>
          <w:color w:val="000000"/>
          <w:u w:val="single"/>
        </w:rPr>
        <w:t xml:space="preserve">. In buildings and areas listed in Table 903.2.11.10 of the </w:t>
      </w:r>
      <w:r w:rsidRPr="001B7F77">
        <w:rPr>
          <w:i/>
          <w:iCs/>
          <w:color w:val="000000"/>
          <w:u w:val="single"/>
        </w:rPr>
        <w:t>New York City Building Code</w:t>
      </w:r>
      <w:r w:rsidRPr="001B7F77">
        <w:rPr>
          <w:color w:val="000000"/>
          <w:u w:val="single"/>
        </w:rPr>
        <w:t>, work areas that have exits or corridors shared by more than one tenant or that have exits or corridors serving an occupant load greater than 30 shall be provided with an automatic sprinkler system where both of the following conditions apply:</w:t>
      </w:r>
    </w:p>
    <w:p w14:paraId="4578BDE9" w14:textId="77777777" w:rsidR="001B7F77" w:rsidRPr="001B7F77" w:rsidRDefault="001B7F77" w:rsidP="001B7F77">
      <w:pPr>
        <w:widowControl w:val="0"/>
        <w:suppressAutoHyphens/>
        <w:spacing w:before="120"/>
        <w:ind w:left="1080" w:hanging="360"/>
        <w:rPr>
          <w:color w:val="000000"/>
          <w:u w:val="single"/>
        </w:rPr>
      </w:pPr>
      <w:r w:rsidRPr="001B7F77">
        <w:rPr>
          <w:color w:val="000000"/>
          <w:u w:val="single"/>
        </w:rPr>
        <w:t>1.</w:t>
      </w:r>
      <w:r w:rsidRPr="001B7F77">
        <w:rPr>
          <w:color w:val="000000"/>
          <w:u w:val="single"/>
        </w:rPr>
        <w:tab/>
        <w:t xml:space="preserve">The work area is required to be provided with an automatic sprinkler system in accordance with the </w:t>
      </w:r>
      <w:r w:rsidRPr="001B7F77">
        <w:rPr>
          <w:i/>
          <w:iCs/>
          <w:color w:val="000000"/>
          <w:u w:val="single"/>
        </w:rPr>
        <w:t>New York City Building Code</w:t>
      </w:r>
      <w:r w:rsidRPr="001B7F77">
        <w:rPr>
          <w:color w:val="000000"/>
          <w:u w:val="single"/>
        </w:rPr>
        <w:t xml:space="preserve"> applicable to new construction; and</w:t>
      </w:r>
    </w:p>
    <w:p w14:paraId="441A7008" w14:textId="77777777" w:rsidR="001B7F77" w:rsidRPr="001B7F77" w:rsidRDefault="001B7F77" w:rsidP="001B7F77">
      <w:pPr>
        <w:widowControl w:val="0"/>
        <w:suppressAutoHyphens/>
        <w:spacing w:before="120"/>
        <w:ind w:left="1080" w:hanging="360"/>
        <w:rPr>
          <w:color w:val="000000"/>
          <w:u w:val="single"/>
        </w:rPr>
      </w:pPr>
      <w:r w:rsidRPr="001B7F77">
        <w:rPr>
          <w:color w:val="000000"/>
          <w:u w:val="single"/>
        </w:rPr>
        <w:t>2.</w:t>
      </w:r>
      <w:r w:rsidRPr="001B7F77">
        <w:rPr>
          <w:color w:val="000000"/>
          <w:u w:val="single"/>
        </w:rPr>
        <w:tab/>
      </w:r>
      <w:r w:rsidRPr="001B7F77">
        <w:rPr>
          <w:u w:val="single"/>
        </w:rPr>
        <w:t xml:space="preserve"> </w:t>
      </w:r>
      <w:r w:rsidRPr="001B7F77">
        <w:rPr>
          <w:color w:val="000000"/>
          <w:u w:val="single"/>
        </w:rPr>
        <w:t>The building has sufficient water supply available to the floor for the design of an automatic sprinkler system</w:t>
      </w:r>
      <w:r w:rsidRPr="001B7F77">
        <w:rPr>
          <w:u w:val="single"/>
        </w:rPr>
        <w:t xml:space="preserve"> </w:t>
      </w:r>
      <w:r w:rsidRPr="001B7F77">
        <w:rPr>
          <w:color w:val="000000"/>
          <w:u w:val="single"/>
        </w:rPr>
        <w:t xml:space="preserve">without installation of a new fire pump or new water service connection. </w:t>
      </w:r>
    </w:p>
    <w:p w14:paraId="4548BB52" w14:textId="77777777" w:rsidR="001B7F77" w:rsidRPr="001B7F77" w:rsidRDefault="001B7F77" w:rsidP="001B7F77">
      <w:pPr>
        <w:widowControl w:val="0"/>
        <w:suppressAutoHyphens/>
        <w:spacing w:before="120"/>
        <w:ind w:left="360"/>
        <w:rPr>
          <w:color w:val="000000"/>
          <w:u w:val="single"/>
        </w:rPr>
      </w:pPr>
      <w:r w:rsidRPr="001B7F77">
        <w:rPr>
          <w:b/>
          <w:color w:val="000000"/>
          <w:u w:val="single"/>
        </w:rPr>
        <w:t>804.2.5 Supervision.</w:t>
      </w:r>
      <w:r w:rsidRPr="001B7F77">
        <w:rPr>
          <w:color w:val="000000"/>
          <w:u w:val="single"/>
        </w:rPr>
        <w:t xml:space="preserve"> Automatic sprinkler systems required by this section shall be supervised in accordance with Chapter 9 of the </w:t>
      </w:r>
      <w:r w:rsidRPr="001B7F77">
        <w:rPr>
          <w:i/>
          <w:iCs/>
          <w:color w:val="000000"/>
          <w:u w:val="single"/>
        </w:rPr>
        <w:t>New York City Building Code</w:t>
      </w:r>
      <w:r w:rsidRPr="001B7F77">
        <w:rPr>
          <w:color w:val="000000"/>
          <w:u w:val="single"/>
        </w:rPr>
        <w:t>.</w:t>
      </w:r>
    </w:p>
    <w:p w14:paraId="12471F85" w14:textId="77777777" w:rsidR="001B7F77" w:rsidRPr="001B7F77" w:rsidRDefault="001B7F77" w:rsidP="001B7F77">
      <w:pPr>
        <w:widowControl w:val="0"/>
        <w:suppressAutoHyphens/>
        <w:spacing w:before="120"/>
        <w:ind w:left="360"/>
        <w:rPr>
          <w:strike/>
          <w:color w:val="000000"/>
        </w:rPr>
      </w:pPr>
      <w:r w:rsidRPr="001B7F77">
        <w:rPr>
          <w:b/>
          <w:color w:val="000000"/>
          <w:u w:val="single"/>
        </w:rPr>
        <w:t>804.2.6 Corridor ratings</w:t>
      </w:r>
      <w:r w:rsidRPr="001B7F77">
        <w:rPr>
          <w:color w:val="000000"/>
          <w:u w:val="single"/>
        </w:rPr>
        <w:t xml:space="preserve">. Where an approved automatic sprinkler system is installed throughout the story, and throughout the stories immediately above and below the work area, the required fire-resistance rating for any corridor located on the story of the work area shall be permitted to be reduced in accordance with the </w:t>
      </w:r>
      <w:r w:rsidRPr="001B7F77">
        <w:rPr>
          <w:i/>
          <w:iCs/>
          <w:color w:val="000000"/>
          <w:u w:val="single"/>
        </w:rPr>
        <w:t>New York City Building Code</w:t>
      </w:r>
      <w:r w:rsidRPr="001B7F77">
        <w:rPr>
          <w:color w:val="000000"/>
          <w:u w:val="single"/>
        </w:rPr>
        <w:t>.</w:t>
      </w:r>
      <w:r w:rsidRPr="001B7F77">
        <w:rPr>
          <w:color w:val="000000"/>
        </w:rPr>
        <w:t xml:space="preserve"> </w:t>
      </w:r>
    </w:p>
    <w:p w14:paraId="4D90E5EA" w14:textId="77777777" w:rsidR="001B7F77" w:rsidRPr="001B7F77" w:rsidRDefault="001B7F77" w:rsidP="001B7F77">
      <w:pPr>
        <w:widowControl w:val="0"/>
        <w:shd w:val="clear" w:color="auto" w:fill="FFFFFF"/>
        <w:spacing w:before="120"/>
        <w:ind w:left="720"/>
        <w:rPr>
          <w:rFonts w:eastAsia="TimesNewRoman"/>
          <w:color w:val="201F1E"/>
          <w:sz w:val="22"/>
          <w:szCs w:val="22"/>
          <w:u w:val="single"/>
        </w:rPr>
      </w:pPr>
      <w:r w:rsidRPr="001B7F77">
        <w:rPr>
          <w:rFonts w:eastAsia="TimesNewRoman"/>
          <w:b/>
          <w:bCs/>
          <w:color w:val="201F1E"/>
          <w:sz w:val="22"/>
          <w:szCs w:val="22"/>
          <w:u w:val="single"/>
        </w:rPr>
        <w:t>Exception:</w:t>
      </w:r>
      <w:r w:rsidRPr="001B7F77">
        <w:rPr>
          <w:rFonts w:eastAsia="TimesNewRoman"/>
          <w:color w:val="201F1E"/>
          <w:sz w:val="22"/>
          <w:szCs w:val="22"/>
          <w:u w:val="single"/>
        </w:rPr>
        <w:t xml:space="preserve"> Where the dead-end corridor length exceeds that permitted by the </w:t>
      </w:r>
      <w:r w:rsidRPr="001B7F77">
        <w:rPr>
          <w:rFonts w:eastAsia="TimesNewRoman"/>
          <w:i/>
          <w:iCs/>
          <w:color w:val="201F1E"/>
          <w:sz w:val="22"/>
          <w:szCs w:val="22"/>
          <w:u w:val="single"/>
        </w:rPr>
        <w:t>New York City Building Code</w:t>
      </w:r>
      <w:r w:rsidRPr="001B7F77">
        <w:rPr>
          <w:rFonts w:eastAsia="TimesNewRoman"/>
          <w:color w:val="201F1E"/>
          <w:sz w:val="22"/>
          <w:szCs w:val="22"/>
          <w:u w:val="single"/>
        </w:rPr>
        <w:t>, the required fire-resistance rating for the entire corridor shall not be permitted to be reduced.</w:t>
      </w:r>
    </w:p>
    <w:p w14:paraId="4AD12F7A" w14:textId="77777777" w:rsidR="001B7F77" w:rsidRPr="001B7F77" w:rsidRDefault="001B7F77" w:rsidP="001B7F77">
      <w:pPr>
        <w:widowControl w:val="0"/>
        <w:suppressAutoHyphens/>
        <w:spacing w:before="120"/>
        <w:ind w:left="360"/>
        <w:rPr>
          <w:color w:val="000000"/>
          <w:u w:val="single"/>
        </w:rPr>
      </w:pPr>
      <w:r w:rsidRPr="001B7F77">
        <w:rPr>
          <w:b/>
          <w:color w:val="000000"/>
          <w:u w:val="single"/>
        </w:rPr>
        <w:t>804.2.7 Protection of lot line air shaft openings</w:t>
      </w:r>
      <w:r w:rsidRPr="001B7F77">
        <w:rPr>
          <w:color w:val="000000"/>
          <w:u w:val="single"/>
        </w:rPr>
        <w:t>. Where a sprinkler system is being installed in a building, lot line shaft openings shall be protected in the manner described by Section 803.8.</w:t>
      </w:r>
    </w:p>
    <w:p w14:paraId="5617439F" w14:textId="77777777" w:rsidR="001B7F77" w:rsidRPr="001B7F77" w:rsidRDefault="001B7F77" w:rsidP="001B7F77">
      <w:pPr>
        <w:widowControl w:val="0"/>
        <w:suppressAutoHyphens/>
        <w:spacing w:before="120"/>
        <w:ind w:left="360"/>
      </w:pPr>
      <w:r w:rsidRPr="001B7F77">
        <w:rPr>
          <w:b/>
          <w:bCs/>
          <w:u w:val="single"/>
        </w:rPr>
        <w:t xml:space="preserve">804.2.8 Special provisions for prior code buildings. </w:t>
      </w:r>
      <w:r w:rsidRPr="001B7F77">
        <w:rPr>
          <w:u w:val="single"/>
        </w:rPr>
        <w:t>In addition to compliance with Sections 804.2.1 through 804.2.7, existing sprinkler system and components in prior code buildings may comply with Sections 804.2.8.1 and 804.2.8.2.</w:t>
      </w:r>
    </w:p>
    <w:p w14:paraId="5589FE9B" w14:textId="77777777" w:rsidR="001B7F77" w:rsidRPr="001B7F77" w:rsidRDefault="001B7F77" w:rsidP="001B7F77">
      <w:pPr>
        <w:widowControl w:val="0"/>
        <w:suppressAutoHyphens/>
        <w:spacing w:before="120"/>
        <w:ind w:left="720"/>
        <w:rPr>
          <w:u w:val="single"/>
          <w:vertAlign w:val="subscript"/>
        </w:rPr>
      </w:pPr>
      <w:r w:rsidRPr="001B7F77">
        <w:rPr>
          <w:b/>
          <w:u w:val="single"/>
        </w:rPr>
        <w:t xml:space="preserve">804.2.8.1 Existing single compartment fire reserve tanks. </w:t>
      </w:r>
      <w:r w:rsidRPr="001B7F77">
        <w:rPr>
          <w:u w:val="single"/>
        </w:rPr>
        <w:t xml:space="preserve">Existing single compartment fire reserve tanks with a volume of 15,000 gallons (56781 L) or more that are to be replaced shall be compartmented and sized in conformance with the </w:t>
      </w:r>
      <w:r w:rsidRPr="001B7F77">
        <w:rPr>
          <w:i/>
          <w:iCs/>
          <w:u w:val="single"/>
        </w:rPr>
        <w:t>New York City Building Code</w:t>
      </w:r>
      <w:r w:rsidRPr="001B7F77">
        <w:rPr>
          <w:u w:val="single"/>
        </w:rPr>
        <w:t>.</w:t>
      </w:r>
    </w:p>
    <w:p w14:paraId="29F963F7" w14:textId="77777777" w:rsidR="001B7F77" w:rsidRPr="001B7F77" w:rsidRDefault="001B7F77" w:rsidP="001B7F77">
      <w:pPr>
        <w:widowControl w:val="0"/>
        <w:suppressAutoHyphens/>
        <w:spacing w:before="120"/>
        <w:ind w:left="1080"/>
        <w:rPr>
          <w:u w:val="single"/>
          <w:vertAlign w:val="subscript"/>
        </w:rPr>
      </w:pPr>
      <w:r w:rsidRPr="001B7F77">
        <w:rPr>
          <w:b/>
          <w:u w:val="single"/>
        </w:rPr>
        <w:t xml:space="preserve">Exception: </w:t>
      </w:r>
      <w:r w:rsidRPr="001B7F77">
        <w:rPr>
          <w:u w:val="single"/>
        </w:rPr>
        <w:t>Existing single compartment fire reserve tanks, with a volume of 15,000 gallons (56781 L) or more, constructed in accordance with the prior codes, shall be permitted to remain.</w:t>
      </w:r>
    </w:p>
    <w:p w14:paraId="5F7CC489" w14:textId="77777777" w:rsidR="001B7F77" w:rsidRPr="001B7F77" w:rsidRDefault="001B7F77" w:rsidP="001B7F77">
      <w:pPr>
        <w:widowControl w:val="0"/>
        <w:suppressAutoHyphens/>
        <w:spacing w:before="120"/>
        <w:ind w:left="720"/>
        <w:rPr>
          <w:u w:val="single"/>
        </w:rPr>
      </w:pPr>
      <w:r w:rsidRPr="001B7F77">
        <w:rPr>
          <w:b/>
          <w:u w:val="single"/>
        </w:rPr>
        <w:t xml:space="preserve">804.2.8.2 Automatic sprinkler existing water supply. </w:t>
      </w:r>
      <w:r w:rsidRPr="001B7F77">
        <w:rPr>
          <w:u w:val="single"/>
        </w:rPr>
        <w:t xml:space="preserve">The water supply demand for a sprinkler system shall be calculated in accordance with the </w:t>
      </w:r>
      <w:r w:rsidRPr="001B7F77">
        <w:rPr>
          <w:i/>
          <w:iCs/>
          <w:u w:val="single"/>
        </w:rPr>
        <w:t>New York City Building Code</w:t>
      </w:r>
      <w:r w:rsidRPr="001B7F77">
        <w:rPr>
          <w:u w:val="single"/>
        </w:rPr>
        <w:t xml:space="preserve"> and shall include the demand incurred by any new sprinkler heads installed and any existing sprinklers that shall remain. The existing water supply shall be permitted to remain provided that the newly calculated sprinkler system water supply demand does not exceed the existing system water supply capacity.</w:t>
      </w:r>
    </w:p>
    <w:p w14:paraId="508C9263" w14:textId="77777777" w:rsidR="001B7F77" w:rsidRPr="001B7F77" w:rsidRDefault="001B7F77" w:rsidP="001B7F77">
      <w:pPr>
        <w:widowControl w:val="0"/>
        <w:suppressAutoHyphens/>
        <w:spacing w:before="120"/>
        <w:ind w:left="1080"/>
        <w:rPr>
          <w:u w:val="single"/>
        </w:rPr>
      </w:pPr>
      <w:r w:rsidRPr="001B7F77">
        <w:rPr>
          <w:b/>
          <w:u w:val="single"/>
        </w:rPr>
        <w:t>Exception:</w:t>
      </w:r>
      <w:r w:rsidRPr="001B7F77">
        <w:rPr>
          <w:u w:val="single"/>
        </w:rPr>
        <w:t xml:space="preserve"> Where the existing sprinkler system water supply demand is calculated by taking the reduction in size of the calculated remote area of operation as permitted by NFPA 13 as modified by Appendix Q of the </w:t>
      </w:r>
      <w:r w:rsidRPr="001B7F77">
        <w:rPr>
          <w:i/>
          <w:iCs/>
          <w:u w:val="single"/>
        </w:rPr>
        <w:t>New York City Building Code</w:t>
      </w:r>
      <w:r w:rsidRPr="001B7F77">
        <w:rPr>
          <w:u w:val="single"/>
        </w:rPr>
        <w:t>, and such system is supplied by a fixed duration water supply of less than 5,000 gallons (18927 L), a supplemental water supply demand calculation shall be made without taking the area reduction.</w:t>
      </w:r>
    </w:p>
    <w:p w14:paraId="3BD8B8E8" w14:textId="77777777" w:rsidR="001B7F77" w:rsidRPr="001B7F77" w:rsidRDefault="001B7F77" w:rsidP="001B7F77">
      <w:pPr>
        <w:suppressAutoHyphens/>
        <w:spacing w:before="120"/>
        <w:ind w:left="1080"/>
        <w:rPr>
          <w:u w:val="single"/>
        </w:rPr>
      </w:pPr>
      <w:bookmarkStart w:id="166" w:name="_Hlk127286673"/>
      <w:bookmarkStart w:id="167" w:name="_Hlk127201305"/>
      <w:r w:rsidRPr="001B7F77">
        <w:rPr>
          <w:b/>
          <w:u w:val="single"/>
        </w:rPr>
        <w:t>804.2.8.2.1 Existing water supply insufficient to meet newly calculated demand.</w:t>
      </w:r>
      <w:r w:rsidRPr="001B7F77">
        <w:rPr>
          <w:u w:val="single"/>
        </w:rPr>
        <w:t xml:space="preserve"> </w:t>
      </w:r>
      <w:bookmarkStart w:id="168" w:name="_Hlk127285245"/>
      <w:bookmarkEnd w:id="166"/>
      <w:bookmarkEnd w:id="167"/>
      <w:r w:rsidRPr="001B7F77">
        <w:rPr>
          <w:u w:val="single"/>
        </w:rPr>
        <w:t xml:space="preserve">Where the newly calculated water supply demand exceeds the existing system water supply capacity, the existing water supply shall be modified to provide the newly required sprinkler system demand. </w:t>
      </w:r>
      <w:bookmarkStart w:id="169" w:name="_Hlk127286152"/>
      <w:r w:rsidRPr="001B7F77">
        <w:rPr>
          <w:u w:val="single"/>
        </w:rPr>
        <w:t xml:space="preserve">Where the addition or modification of water reserve tanks is impracticable, a reduction of storage to a 20-minute duration in light hazard occupancies shall be permitted, as approved by the department, provided that the reduction in size of the calculated remote area of operation as described in the exception to Section 804.2.8.2 is not taken, </w:t>
      </w:r>
      <w:bookmarkEnd w:id="168"/>
      <w:r w:rsidRPr="001B7F77">
        <w:rPr>
          <w:u w:val="single"/>
        </w:rPr>
        <w:t>and that mechanical automatic means of makeup to the storage tank are installed in accordance with the following:</w:t>
      </w:r>
    </w:p>
    <w:bookmarkEnd w:id="169"/>
    <w:p w14:paraId="043A6710" w14:textId="77777777" w:rsidR="001B7F77" w:rsidRPr="001B7F77" w:rsidRDefault="001B7F77" w:rsidP="001B7F77">
      <w:pPr>
        <w:widowControl w:val="0"/>
        <w:suppressAutoHyphens/>
        <w:spacing w:before="120"/>
        <w:ind w:left="1800" w:hanging="360"/>
        <w:rPr>
          <w:u w:val="single"/>
        </w:rPr>
      </w:pPr>
      <w:r w:rsidRPr="001B7F77">
        <w:rPr>
          <w:u w:val="single"/>
        </w:rPr>
        <w:t>1.</w:t>
      </w:r>
      <w:r w:rsidRPr="001B7F77">
        <w:rPr>
          <w:u w:val="single"/>
        </w:rPr>
        <w:tab/>
        <w:t xml:space="preserve">Automatic means of makeup for a tank fire reserve shall be capable of pumping water into the tank, for a period of 20 minutes, at a rate sufficient to equal the difference between the normal 30-minute demand and the alternate 20-minute demand. The demand required shall be calculated for the most demanding remote area from the riser without taking the reduction in size of the remote area otherwise permitted by NFPA 13 as modified by Appendix Q of the </w:t>
      </w:r>
      <w:r w:rsidRPr="001B7F77">
        <w:rPr>
          <w:i/>
          <w:iCs/>
          <w:u w:val="single"/>
        </w:rPr>
        <w:t>New York City Building Code</w:t>
      </w:r>
      <w:r w:rsidRPr="001B7F77">
        <w:rPr>
          <w:u w:val="single"/>
        </w:rPr>
        <w:t>;</w:t>
      </w:r>
    </w:p>
    <w:p w14:paraId="4F908EED" w14:textId="77777777" w:rsidR="001B7F77" w:rsidRPr="001B7F77" w:rsidRDefault="001B7F77" w:rsidP="001B7F77">
      <w:pPr>
        <w:widowControl w:val="0"/>
        <w:suppressAutoHyphens/>
        <w:spacing w:before="120"/>
        <w:ind w:left="1800" w:hanging="360"/>
        <w:rPr>
          <w:u w:val="single"/>
        </w:rPr>
      </w:pPr>
      <w:r w:rsidRPr="001B7F77">
        <w:rPr>
          <w:u w:val="single"/>
        </w:rPr>
        <w:t>2.</w:t>
      </w:r>
      <w:r w:rsidRPr="001B7F77">
        <w:rPr>
          <w:u w:val="single"/>
        </w:rPr>
        <w:tab/>
        <w:t>Where the domestic water house pumps are used for makeup, at least two pumps, each of sufficient capacity to meet the makeup requirement, shall be provided; and</w:t>
      </w:r>
    </w:p>
    <w:p w14:paraId="77C80A30" w14:textId="77777777" w:rsidR="001B7F77" w:rsidRPr="001B7F77" w:rsidRDefault="001B7F77" w:rsidP="001B7F77">
      <w:pPr>
        <w:widowControl w:val="0"/>
        <w:suppressAutoHyphens/>
        <w:spacing w:before="120"/>
        <w:ind w:left="1800" w:hanging="360"/>
        <w:rPr>
          <w:u w:val="single"/>
        </w:rPr>
      </w:pPr>
      <w:r w:rsidRPr="001B7F77">
        <w:rPr>
          <w:u w:val="single"/>
        </w:rPr>
        <w:t xml:space="preserve">3. </w:t>
      </w:r>
      <w:r w:rsidRPr="001B7F77">
        <w:rPr>
          <w:u w:val="single"/>
        </w:rPr>
        <w:tab/>
        <w:t>A low water alarm, listed for its use, shall be located at a point 500 gallons (1893 L) above the fire level reserve.</w:t>
      </w:r>
    </w:p>
    <w:p w14:paraId="503BC973" w14:textId="77777777" w:rsidR="001B7F77" w:rsidRPr="001B7F77" w:rsidRDefault="001B7F77" w:rsidP="001B7F77">
      <w:pPr>
        <w:widowControl w:val="0"/>
        <w:suppressAutoHyphens/>
        <w:spacing w:before="120"/>
        <w:rPr>
          <w:color w:val="000000"/>
        </w:rPr>
      </w:pPr>
      <w:bookmarkStart w:id="170" w:name="_Hlk127201446"/>
      <w:r w:rsidRPr="001B7F77">
        <w:rPr>
          <w:b/>
          <w:color w:val="000000"/>
          <w:u w:val="single"/>
        </w:rPr>
        <w:t>804.3 Standpipes.</w:t>
      </w:r>
      <w:r w:rsidRPr="001B7F77">
        <w:rPr>
          <w:color w:val="000000"/>
          <w:u w:val="single"/>
        </w:rPr>
        <w:t xml:space="preserve"> </w:t>
      </w:r>
      <w:bookmarkEnd w:id="170"/>
      <w:r w:rsidRPr="001B7F77">
        <w:rPr>
          <w:color w:val="000000"/>
          <w:u w:val="single"/>
        </w:rPr>
        <w:t xml:space="preserve">Where the alteration work includes the addition or replacement of an entire exit stair shaft that is a required means of egress, the entire interior exit stair shaft shall be equipped with a standpipe in accordance with Section 905 of the </w:t>
      </w:r>
      <w:r w:rsidRPr="001B7F77">
        <w:rPr>
          <w:i/>
          <w:iCs/>
          <w:color w:val="000000"/>
          <w:u w:val="single"/>
        </w:rPr>
        <w:t>New York City Building Code</w:t>
      </w:r>
      <w:r w:rsidRPr="001B7F77">
        <w:rPr>
          <w:color w:val="000000"/>
          <w:u w:val="single"/>
        </w:rPr>
        <w:t>.</w:t>
      </w:r>
      <w:r w:rsidRPr="001B7F77">
        <w:rPr>
          <w:color w:val="000000"/>
        </w:rPr>
        <w:t xml:space="preserve"> </w:t>
      </w:r>
    </w:p>
    <w:p w14:paraId="20AC1DEA" w14:textId="77777777" w:rsidR="001B7F77" w:rsidRPr="001B7F77" w:rsidRDefault="001B7F77" w:rsidP="001B7F77">
      <w:pPr>
        <w:widowControl w:val="0"/>
        <w:suppressAutoHyphens/>
        <w:spacing w:before="120"/>
        <w:ind w:left="360"/>
        <w:rPr>
          <w:color w:val="000000"/>
        </w:rPr>
      </w:pPr>
      <w:r w:rsidRPr="001B7F77">
        <w:rPr>
          <w:b/>
          <w:u w:val="single"/>
        </w:rPr>
        <w:t>804.3.1 Connection of fire pumps to emergency power system.</w:t>
      </w:r>
      <w:r w:rsidRPr="001B7F77">
        <w:rPr>
          <w:u w:val="single"/>
        </w:rPr>
        <w:t xml:space="preserve"> </w:t>
      </w:r>
      <w:bookmarkStart w:id="171" w:name="_Hlk122694460"/>
      <w:r w:rsidRPr="001B7F77">
        <w:rPr>
          <w:u w:val="single"/>
        </w:rPr>
        <w:t>The installation of new or replacement of existing fire pumps shall</w:t>
      </w:r>
      <w:bookmarkEnd w:id="171"/>
      <w:r w:rsidRPr="001B7F77">
        <w:rPr>
          <w:u w:val="single"/>
        </w:rPr>
        <w:t xml:space="preserve"> comply with Section 308.4 relating to connection to emergency power system in existing buildings.</w:t>
      </w:r>
    </w:p>
    <w:p w14:paraId="06046B62" w14:textId="77777777" w:rsidR="001B7F77" w:rsidRPr="001B7F77" w:rsidRDefault="001B7F77" w:rsidP="001B7F77">
      <w:pPr>
        <w:widowControl w:val="0"/>
        <w:suppressAutoHyphens/>
        <w:spacing w:before="120"/>
        <w:rPr>
          <w:color w:val="000000"/>
          <w:u w:val="single"/>
        </w:rPr>
      </w:pPr>
      <w:r w:rsidRPr="001B7F77">
        <w:rPr>
          <w:b/>
          <w:color w:val="000000"/>
          <w:u w:val="single"/>
        </w:rPr>
        <w:t>804.4 Fire alarm and detection</w:t>
      </w:r>
      <w:r w:rsidRPr="001B7F77">
        <w:rPr>
          <w:color w:val="000000"/>
          <w:u w:val="single"/>
        </w:rPr>
        <w:t xml:space="preserve">. An approved fire alarm system shall be installed in accordance with Sections 804.4.1 through 804.4.7. An approved automatic fire detection system shall be installed in accordance with the provisions of this code and NFPA 72 as modified by Appendix Q of the </w:t>
      </w:r>
      <w:r w:rsidRPr="001B7F77">
        <w:rPr>
          <w:i/>
          <w:iCs/>
          <w:color w:val="000000"/>
          <w:u w:val="single"/>
        </w:rPr>
        <w:t>New York City Building Code</w:t>
      </w:r>
      <w:r w:rsidRPr="001B7F77">
        <w:rPr>
          <w:color w:val="000000"/>
          <w:u w:val="single"/>
        </w:rPr>
        <w:t>. Devices, combinations of devices, appliances and equipment shall be approved. The automatic fire detectors shall be smoke detectors, except that an approved alternative type of detector shall be installed in spaces such as boiler rooms, where products of combustion are present during normal operation in sufficient quantity to actuate a smoke detector.</w:t>
      </w:r>
    </w:p>
    <w:p w14:paraId="72984C1D" w14:textId="77777777" w:rsidR="001B7F77" w:rsidRPr="001B7F77" w:rsidRDefault="001B7F77" w:rsidP="001B7F77">
      <w:pPr>
        <w:widowControl w:val="0"/>
        <w:suppressAutoHyphens/>
        <w:spacing w:before="120"/>
        <w:ind w:left="360"/>
        <w:rPr>
          <w:strike/>
          <w:color w:val="000000"/>
          <w:u w:val="single"/>
        </w:rPr>
      </w:pPr>
      <w:r w:rsidRPr="001B7F77">
        <w:rPr>
          <w:b/>
          <w:color w:val="000000"/>
          <w:u w:val="single"/>
        </w:rPr>
        <w:t>804.4.1 Occupancy requirements.</w:t>
      </w:r>
      <w:r w:rsidRPr="001B7F77">
        <w:rPr>
          <w:color w:val="000000"/>
          <w:u w:val="single"/>
        </w:rPr>
        <w:t xml:space="preserve"> A fire alarm system shall be installed in accordance with Sections 804.4.1.1 through 804.4.1.5. Existing alarm-notification appliances shall be automatically activated in accordance with the building’s existing approved fire alarm sequence of operations.</w:t>
      </w:r>
    </w:p>
    <w:p w14:paraId="57ACF99B" w14:textId="77777777" w:rsidR="001B7F77" w:rsidRPr="001B7F77" w:rsidRDefault="001B7F77" w:rsidP="001B7F77">
      <w:pPr>
        <w:widowControl w:val="0"/>
        <w:suppressAutoHyphens/>
        <w:spacing w:before="120"/>
        <w:ind w:left="720"/>
        <w:rPr>
          <w:color w:val="000000"/>
          <w:u w:val="single"/>
        </w:rPr>
      </w:pPr>
      <w:r w:rsidRPr="001B7F77">
        <w:rPr>
          <w:b/>
          <w:color w:val="000000"/>
          <w:u w:val="single"/>
        </w:rPr>
        <w:t xml:space="preserve">Exception: </w:t>
      </w:r>
      <w:r w:rsidRPr="001B7F77">
        <w:rPr>
          <w:color w:val="000000"/>
          <w:u w:val="single"/>
        </w:rPr>
        <w:t>Occupancies with an existing, previously approved fire alarm system.</w:t>
      </w:r>
    </w:p>
    <w:p w14:paraId="21F09FEE" w14:textId="77777777" w:rsidR="001B7F77" w:rsidRPr="001B7F77" w:rsidRDefault="001B7F77" w:rsidP="001B7F77">
      <w:pPr>
        <w:widowControl w:val="0"/>
        <w:shd w:val="clear" w:color="auto" w:fill="FFFFFF"/>
        <w:spacing w:before="120"/>
        <w:ind w:left="720"/>
        <w:rPr>
          <w:color w:val="000000"/>
          <w:sz w:val="22"/>
          <w:szCs w:val="22"/>
          <w:u w:val="single"/>
        </w:rPr>
      </w:pPr>
      <w:r w:rsidRPr="001B7F77">
        <w:rPr>
          <w:b/>
          <w:bCs/>
          <w:color w:val="000000"/>
          <w:sz w:val="22"/>
          <w:szCs w:val="22"/>
          <w:u w:val="single"/>
        </w:rPr>
        <w:t>804.4.1.1 Occupancy Group E and Group I-4.</w:t>
      </w:r>
      <w:r w:rsidRPr="001B7F77">
        <w:rPr>
          <w:color w:val="000000"/>
          <w:sz w:val="22"/>
          <w:szCs w:val="22"/>
          <w:u w:val="single"/>
        </w:rPr>
        <w:t xml:space="preserve"> </w:t>
      </w:r>
      <w:r w:rsidRPr="001B7F77">
        <w:rPr>
          <w:color w:val="000000"/>
          <w:sz w:val="22"/>
          <w:szCs w:val="22"/>
          <w:u w:val="single"/>
          <w:bdr w:val="none" w:sz="0" w:space="0" w:color="auto" w:frame="1"/>
        </w:rPr>
        <w:t xml:space="preserve">Where the work area exceeds 10 percent of the </w:t>
      </w:r>
      <w:r w:rsidRPr="001B7F77">
        <w:rPr>
          <w:color w:val="000000"/>
          <w:sz w:val="22"/>
          <w:szCs w:val="22"/>
          <w:u w:val="single"/>
        </w:rPr>
        <w:t xml:space="preserve">portion of the building occupied by occupancy Groups E or I-4 </w:t>
      </w:r>
      <w:r w:rsidRPr="001B7F77">
        <w:rPr>
          <w:color w:val="000000"/>
          <w:sz w:val="22"/>
          <w:szCs w:val="22"/>
          <w:u w:val="single"/>
          <w:bdr w:val="none" w:sz="0" w:space="0" w:color="auto" w:frame="1"/>
        </w:rPr>
        <w:t>or 25 percent of the area</w:t>
      </w:r>
      <w:r w:rsidRPr="001B7F77">
        <w:rPr>
          <w:color w:val="000000"/>
          <w:sz w:val="22"/>
          <w:szCs w:val="22"/>
          <w:u w:val="single"/>
        </w:rPr>
        <w:t xml:space="preserve"> of the floor in which the work area is located</w:t>
      </w:r>
      <w:r w:rsidRPr="001B7F77">
        <w:rPr>
          <w:color w:val="000000"/>
          <w:sz w:val="22"/>
          <w:szCs w:val="22"/>
          <w:u w:val="single"/>
          <w:bdr w:val="none" w:sz="0" w:space="0" w:color="auto" w:frame="1"/>
        </w:rPr>
        <w:t xml:space="preserve">, a manual and automatic fire alarm system shall be installed throughout the floor. The installation shall be in accordance with the </w:t>
      </w:r>
      <w:r w:rsidRPr="001B7F77">
        <w:rPr>
          <w:i/>
          <w:iCs/>
          <w:color w:val="000000"/>
          <w:sz w:val="22"/>
          <w:szCs w:val="22"/>
          <w:u w:val="single"/>
          <w:bdr w:val="none" w:sz="0" w:space="0" w:color="auto" w:frame="1"/>
        </w:rPr>
        <w:t>New York City Building Code</w:t>
      </w:r>
      <w:r w:rsidRPr="001B7F77">
        <w:rPr>
          <w:color w:val="000000"/>
          <w:sz w:val="22"/>
          <w:szCs w:val="22"/>
          <w:u w:val="single"/>
          <w:bdr w:val="none" w:sz="0" w:space="0" w:color="auto" w:frame="1"/>
        </w:rPr>
        <w:t xml:space="preserve"> and the fire alarm control unit shall be designed to accommodate expansion for the entire occupancy. Once the fire alarm coverage exceeds 50 percent of the entire occupancy, the fire alarm installation shall be extended throughout the occupancy.</w:t>
      </w:r>
    </w:p>
    <w:p w14:paraId="2734212A" w14:textId="77777777" w:rsidR="001B7F77" w:rsidRPr="001B7F77" w:rsidRDefault="001B7F77" w:rsidP="001B7F77">
      <w:pPr>
        <w:widowControl w:val="0"/>
        <w:shd w:val="clear" w:color="auto" w:fill="FFFFFF"/>
        <w:spacing w:before="120"/>
        <w:ind w:left="1080"/>
        <w:rPr>
          <w:color w:val="000000"/>
          <w:sz w:val="22"/>
          <w:szCs w:val="22"/>
          <w:u w:val="single"/>
          <w:bdr w:val="none" w:sz="0" w:space="0" w:color="auto" w:frame="1"/>
        </w:rPr>
      </w:pPr>
      <w:r w:rsidRPr="001B7F77">
        <w:rPr>
          <w:b/>
          <w:bCs/>
          <w:color w:val="000000"/>
          <w:sz w:val="22"/>
          <w:szCs w:val="22"/>
          <w:u w:val="single"/>
          <w:bdr w:val="none" w:sz="0" w:space="0" w:color="auto" w:frame="1"/>
        </w:rPr>
        <w:t>Exception</w:t>
      </w:r>
      <w:r w:rsidRPr="001B7F77">
        <w:rPr>
          <w:color w:val="000000"/>
          <w:sz w:val="22"/>
          <w:szCs w:val="22"/>
          <w:u w:val="single"/>
          <w:bdr w:val="none" w:sz="0" w:space="0" w:color="auto" w:frame="1"/>
        </w:rPr>
        <w:t>: Where a fire alarm system cannot be installed in accordance with the </w:t>
      </w:r>
      <w:r w:rsidRPr="001B7F77">
        <w:rPr>
          <w:i/>
          <w:iCs/>
          <w:color w:val="000000"/>
          <w:sz w:val="22"/>
          <w:szCs w:val="22"/>
          <w:u w:val="single"/>
          <w:bdr w:val="none" w:sz="0" w:space="0" w:color="auto" w:frame="1"/>
        </w:rPr>
        <w:t>New York City Building Code</w:t>
      </w:r>
      <w:r w:rsidRPr="001B7F77">
        <w:rPr>
          <w:color w:val="000000"/>
          <w:sz w:val="22"/>
          <w:szCs w:val="22"/>
          <w:u w:val="single"/>
          <w:bdr w:val="none" w:sz="0" w:space="0" w:color="auto" w:frame="1"/>
        </w:rPr>
        <w:t>, the system shall be approved by both the Commissioner and the Fire Commissioner. </w:t>
      </w:r>
    </w:p>
    <w:p w14:paraId="15E90879" w14:textId="77777777" w:rsidR="001B7F77" w:rsidRPr="001B7F77" w:rsidRDefault="001B7F77" w:rsidP="001B7F77">
      <w:pPr>
        <w:widowControl w:val="0"/>
        <w:shd w:val="clear" w:color="auto" w:fill="FFFFFF"/>
        <w:spacing w:before="120"/>
        <w:ind w:left="720"/>
        <w:rPr>
          <w:color w:val="000000"/>
          <w:sz w:val="22"/>
          <w:szCs w:val="22"/>
          <w:u w:val="single"/>
          <w:bdr w:val="none" w:sz="0" w:space="0" w:color="auto" w:frame="1"/>
        </w:rPr>
      </w:pPr>
      <w:r w:rsidRPr="001B7F77">
        <w:rPr>
          <w:b/>
          <w:bCs/>
          <w:color w:val="000000"/>
          <w:sz w:val="22"/>
          <w:szCs w:val="22"/>
          <w:u w:val="single"/>
        </w:rPr>
        <w:t>804.4.1.2 Occupancy Group I-1</w:t>
      </w:r>
      <w:r w:rsidRPr="001B7F77">
        <w:rPr>
          <w:color w:val="000000"/>
          <w:sz w:val="22"/>
          <w:szCs w:val="22"/>
          <w:u w:val="single"/>
        </w:rPr>
        <w:t xml:space="preserve">. </w:t>
      </w:r>
      <w:bookmarkStart w:id="172" w:name="_Hlk75438922"/>
      <w:r w:rsidRPr="001B7F77">
        <w:rPr>
          <w:color w:val="000000"/>
          <w:sz w:val="22"/>
          <w:szCs w:val="22"/>
          <w:u w:val="single"/>
          <w:bdr w:val="none" w:sz="0" w:space="0" w:color="auto" w:frame="1"/>
        </w:rPr>
        <w:t xml:space="preserve">Where the work area exceeds 10 percent of the </w:t>
      </w:r>
      <w:r w:rsidRPr="001B7F77">
        <w:rPr>
          <w:color w:val="000000"/>
          <w:sz w:val="22"/>
          <w:szCs w:val="22"/>
          <w:u w:val="single"/>
        </w:rPr>
        <w:t>portion of the building occupied by occupancy Group I-1 residential care/assisted living facilities</w:t>
      </w:r>
      <w:r w:rsidRPr="001B7F77">
        <w:rPr>
          <w:szCs w:val="24"/>
          <w:u w:val="single"/>
        </w:rPr>
        <w:t xml:space="preserve"> </w:t>
      </w:r>
      <w:r w:rsidRPr="001B7F77">
        <w:rPr>
          <w:color w:val="000000"/>
          <w:sz w:val="22"/>
          <w:szCs w:val="22"/>
          <w:u w:val="single"/>
          <w:bdr w:val="none" w:sz="0" w:space="0" w:color="auto" w:frame="1"/>
        </w:rPr>
        <w:t>or 25 percent of the area</w:t>
      </w:r>
      <w:r w:rsidRPr="001B7F77">
        <w:rPr>
          <w:color w:val="000000"/>
          <w:sz w:val="22"/>
          <w:szCs w:val="22"/>
          <w:u w:val="single"/>
        </w:rPr>
        <w:t xml:space="preserve"> of the floor in which the work area is located</w:t>
      </w:r>
      <w:r w:rsidRPr="001B7F77">
        <w:rPr>
          <w:color w:val="000000"/>
          <w:sz w:val="22"/>
          <w:szCs w:val="22"/>
          <w:u w:val="single"/>
          <w:bdr w:val="none" w:sz="0" w:space="0" w:color="auto" w:frame="1"/>
        </w:rPr>
        <w:t xml:space="preserve">, a manual and automatic fire alarm system shall be installed throughout the floor </w:t>
      </w:r>
      <w:r w:rsidRPr="001B7F77">
        <w:rPr>
          <w:color w:val="000000"/>
          <w:sz w:val="22"/>
          <w:szCs w:val="22"/>
          <w:u w:val="single"/>
        </w:rPr>
        <w:t xml:space="preserve">in accordance with </w:t>
      </w:r>
      <w:r w:rsidRPr="001B7F77">
        <w:rPr>
          <w:color w:val="000000"/>
          <w:sz w:val="22"/>
          <w:szCs w:val="22"/>
          <w:u w:val="single"/>
          <w:bdr w:val="none" w:sz="0" w:space="0" w:color="auto" w:frame="1"/>
        </w:rPr>
        <w:t xml:space="preserve">the </w:t>
      </w:r>
      <w:r w:rsidRPr="001B7F77">
        <w:rPr>
          <w:i/>
          <w:iCs/>
          <w:color w:val="000000"/>
          <w:sz w:val="22"/>
          <w:szCs w:val="22"/>
          <w:u w:val="single"/>
          <w:bdr w:val="none" w:sz="0" w:space="0" w:color="auto" w:frame="1"/>
        </w:rPr>
        <w:t>New York City Building Code</w:t>
      </w:r>
      <w:r w:rsidRPr="001B7F77">
        <w:rPr>
          <w:color w:val="000000"/>
          <w:sz w:val="22"/>
          <w:szCs w:val="22"/>
          <w:u w:val="single"/>
          <w:bdr w:val="none" w:sz="0" w:space="0" w:color="auto" w:frame="1"/>
        </w:rPr>
        <w:t xml:space="preserve"> and the fire alarm control unit shall be designed to accommodate</w:t>
      </w:r>
      <w:r w:rsidRPr="001B7F77">
        <w:rPr>
          <w:color w:val="000000"/>
          <w:sz w:val="22"/>
          <w:szCs w:val="22"/>
          <w:u w:val="single"/>
        </w:rPr>
        <w:t xml:space="preserve"> </w:t>
      </w:r>
      <w:r w:rsidRPr="001B7F77">
        <w:rPr>
          <w:color w:val="000000"/>
          <w:sz w:val="22"/>
          <w:szCs w:val="22"/>
          <w:u w:val="single"/>
          <w:bdr w:val="none" w:sz="0" w:space="0" w:color="auto" w:frame="1"/>
        </w:rPr>
        <w:t>expansion for the entire occupancy for existing Group I-1 occupancies. Once the fire alarm coverage exceeds 50 percent of the entire occupancy, the fire alarm installation shall be extended throughout. </w:t>
      </w:r>
    </w:p>
    <w:p w14:paraId="27F6D6FC" w14:textId="77777777" w:rsidR="001B7F77" w:rsidRPr="001B7F77" w:rsidRDefault="001B7F77" w:rsidP="001B7F77">
      <w:pPr>
        <w:widowControl w:val="0"/>
        <w:shd w:val="clear" w:color="auto" w:fill="FFFFFF"/>
        <w:spacing w:before="120"/>
        <w:ind w:left="1080"/>
        <w:rPr>
          <w:color w:val="000000"/>
          <w:sz w:val="22"/>
          <w:szCs w:val="22"/>
          <w:u w:val="single"/>
          <w:bdr w:val="none" w:sz="0" w:space="0" w:color="auto" w:frame="1"/>
        </w:rPr>
      </w:pPr>
      <w:r w:rsidRPr="001B7F77">
        <w:rPr>
          <w:b/>
          <w:bCs/>
          <w:color w:val="000000"/>
          <w:sz w:val="22"/>
          <w:szCs w:val="22"/>
          <w:u w:val="single"/>
          <w:bdr w:val="none" w:sz="0" w:space="0" w:color="auto" w:frame="1"/>
        </w:rPr>
        <w:t>Exception</w:t>
      </w:r>
      <w:r w:rsidRPr="001B7F77">
        <w:rPr>
          <w:color w:val="000000"/>
          <w:sz w:val="22"/>
          <w:szCs w:val="22"/>
          <w:u w:val="single"/>
          <w:bdr w:val="none" w:sz="0" w:space="0" w:color="auto" w:frame="1"/>
        </w:rPr>
        <w:t xml:space="preserve">: Where a fire alarm system cannot be installed in accordance with the </w:t>
      </w:r>
      <w:r w:rsidRPr="001B7F77">
        <w:rPr>
          <w:i/>
          <w:iCs/>
          <w:color w:val="000000"/>
          <w:sz w:val="22"/>
          <w:szCs w:val="22"/>
          <w:u w:val="single"/>
          <w:bdr w:val="none" w:sz="0" w:space="0" w:color="auto" w:frame="1"/>
        </w:rPr>
        <w:t>New York City Building Code</w:t>
      </w:r>
      <w:r w:rsidRPr="001B7F77">
        <w:rPr>
          <w:color w:val="000000"/>
          <w:sz w:val="22"/>
          <w:szCs w:val="22"/>
          <w:u w:val="single"/>
          <w:bdr w:val="none" w:sz="0" w:space="0" w:color="auto" w:frame="1"/>
        </w:rPr>
        <w:t>, the system shall be approved by both the Commissioner and the Fire Commissioner.</w:t>
      </w:r>
      <w:bookmarkEnd w:id="172"/>
    </w:p>
    <w:p w14:paraId="43A250E5" w14:textId="77777777" w:rsidR="001B7F77" w:rsidRPr="001B7F77" w:rsidRDefault="001B7F77" w:rsidP="001B7F77">
      <w:pPr>
        <w:widowControl w:val="0"/>
        <w:suppressAutoHyphens/>
        <w:spacing w:before="120"/>
        <w:ind w:left="720"/>
        <w:rPr>
          <w:color w:val="000000"/>
        </w:rPr>
      </w:pPr>
      <w:r w:rsidRPr="001B7F77">
        <w:rPr>
          <w:b/>
          <w:color w:val="000000"/>
          <w:u w:val="single"/>
        </w:rPr>
        <w:t>804.4.1.3 Occupancy Group I-2</w:t>
      </w:r>
      <w:r w:rsidRPr="001B7F77">
        <w:rPr>
          <w:color w:val="000000"/>
          <w:u w:val="single"/>
        </w:rPr>
        <w:t xml:space="preserve">. A fire alarm system shall be installed throughout Group I-2 occupancies in accordance with the </w:t>
      </w:r>
      <w:r w:rsidRPr="001B7F77">
        <w:rPr>
          <w:i/>
          <w:iCs/>
          <w:color w:val="000000"/>
          <w:u w:val="single"/>
        </w:rPr>
        <w:t>New York City Building Code</w:t>
      </w:r>
      <w:r w:rsidRPr="001B7F77">
        <w:rPr>
          <w:color w:val="000000"/>
          <w:u w:val="single"/>
        </w:rPr>
        <w:t>.</w:t>
      </w:r>
    </w:p>
    <w:p w14:paraId="450648BE" w14:textId="77777777" w:rsidR="001B7F77" w:rsidRPr="001B7F77" w:rsidRDefault="001B7F77" w:rsidP="001B7F77">
      <w:pPr>
        <w:widowControl w:val="0"/>
        <w:shd w:val="clear" w:color="auto" w:fill="FFFFFF"/>
        <w:spacing w:before="120"/>
        <w:ind w:left="720"/>
        <w:rPr>
          <w:color w:val="000000"/>
          <w:sz w:val="22"/>
          <w:szCs w:val="22"/>
          <w:u w:val="single"/>
        </w:rPr>
      </w:pPr>
      <w:r w:rsidRPr="001B7F77">
        <w:rPr>
          <w:b/>
          <w:bCs/>
          <w:color w:val="000000"/>
          <w:sz w:val="22"/>
          <w:szCs w:val="22"/>
          <w:u w:val="single"/>
        </w:rPr>
        <w:t>804.4.1.4 Occupancy Group I-3</w:t>
      </w:r>
      <w:r w:rsidRPr="001B7F77">
        <w:rPr>
          <w:color w:val="000000"/>
          <w:sz w:val="22"/>
          <w:szCs w:val="22"/>
          <w:u w:val="single"/>
        </w:rPr>
        <w:t xml:space="preserve">. </w:t>
      </w:r>
      <w:bookmarkStart w:id="173" w:name="_Hlk75439014"/>
      <w:r w:rsidRPr="001B7F77">
        <w:rPr>
          <w:color w:val="000000"/>
          <w:sz w:val="22"/>
          <w:szCs w:val="22"/>
          <w:u w:val="single"/>
          <w:bdr w:val="none" w:sz="0" w:space="0" w:color="auto" w:frame="1"/>
        </w:rPr>
        <w:t xml:space="preserve">Where the work area exceeds 10 percent of the </w:t>
      </w:r>
      <w:r w:rsidRPr="001B7F77">
        <w:rPr>
          <w:color w:val="000000"/>
          <w:sz w:val="22"/>
          <w:szCs w:val="22"/>
          <w:u w:val="single"/>
        </w:rPr>
        <w:t>portion of the building occupied by occupancy Group I-3</w:t>
      </w:r>
      <w:r w:rsidRPr="001B7F77">
        <w:rPr>
          <w:color w:val="000000"/>
          <w:sz w:val="22"/>
          <w:szCs w:val="22"/>
          <w:u w:val="single"/>
          <w:bdr w:val="none" w:sz="0" w:space="0" w:color="auto" w:frame="1"/>
        </w:rPr>
        <w:t xml:space="preserve"> or 25 percent of the area</w:t>
      </w:r>
      <w:r w:rsidRPr="001B7F77">
        <w:rPr>
          <w:color w:val="000000"/>
          <w:sz w:val="22"/>
          <w:szCs w:val="22"/>
          <w:u w:val="single"/>
        </w:rPr>
        <w:t xml:space="preserve"> of the floor in which the work area is located</w:t>
      </w:r>
      <w:r w:rsidRPr="001B7F77">
        <w:rPr>
          <w:color w:val="000000"/>
          <w:sz w:val="22"/>
          <w:szCs w:val="22"/>
          <w:u w:val="single"/>
          <w:bdr w:val="none" w:sz="0" w:space="0" w:color="auto" w:frame="1"/>
        </w:rPr>
        <w:t xml:space="preserve">, a manual and automatic fire alarm system shall be installed throughout the floor. The installation shall be in accordance with the </w:t>
      </w:r>
      <w:r w:rsidRPr="001B7F77">
        <w:rPr>
          <w:i/>
          <w:iCs/>
          <w:color w:val="000000"/>
          <w:sz w:val="22"/>
          <w:szCs w:val="22"/>
          <w:u w:val="single"/>
          <w:bdr w:val="none" w:sz="0" w:space="0" w:color="auto" w:frame="1"/>
        </w:rPr>
        <w:t>New York City Building Code</w:t>
      </w:r>
      <w:r w:rsidRPr="001B7F77">
        <w:rPr>
          <w:color w:val="000000"/>
          <w:sz w:val="22"/>
          <w:szCs w:val="22"/>
          <w:u w:val="single"/>
          <w:bdr w:val="none" w:sz="0" w:space="0" w:color="auto" w:frame="1"/>
        </w:rPr>
        <w:t xml:space="preserve"> and the fire alarm control unit shall be designed to accommodate expansion for the entire occupancy. Once the fire alarm coverage exceeds 50 percent of the entire occupancy, the fire alarm installation shall be extended throughout.</w:t>
      </w:r>
    </w:p>
    <w:p w14:paraId="1D217BEA" w14:textId="77777777" w:rsidR="001B7F77" w:rsidRPr="001B7F77" w:rsidRDefault="001B7F77" w:rsidP="001B7F77">
      <w:pPr>
        <w:widowControl w:val="0"/>
        <w:shd w:val="clear" w:color="auto" w:fill="FFFFFF"/>
        <w:spacing w:before="120"/>
        <w:ind w:left="1080"/>
        <w:rPr>
          <w:color w:val="000000"/>
          <w:sz w:val="22"/>
          <w:szCs w:val="22"/>
          <w:u w:val="single"/>
        </w:rPr>
      </w:pPr>
      <w:r w:rsidRPr="001B7F77">
        <w:rPr>
          <w:b/>
          <w:bCs/>
          <w:color w:val="000000"/>
          <w:sz w:val="22"/>
          <w:szCs w:val="22"/>
          <w:u w:val="single"/>
          <w:bdr w:val="none" w:sz="0" w:space="0" w:color="auto" w:frame="1"/>
        </w:rPr>
        <w:t>Exception</w:t>
      </w:r>
      <w:r w:rsidRPr="001B7F77">
        <w:rPr>
          <w:color w:val="000000"/>
          <w:sz w:val="22"/>
          <w:szCs w:val="22"/>
          <w:u w:val="single"/>
          <w:bdr w:val="none" w:sz="0" w:space="0" w:color="auto" w:frame="1"/>
        </w:rPr>
        <w:t xml:space="preserve">: Where a fire alarm system cannot be installed in accordance with the </w:t>
      </w:r>
      <w:r w:rsidRPr="001B7F77">
        <w:rPr>
          <w:i/>
          <w:iCs/>
          <w:color w:val="000000"/>
          <w:sz w:val="22"/>
          <w:szCs w:val="22"/>
          <w:u w:val="single"/>
          <w:bdr w:val="none" w:sz="0" w:space="0" w:color="auto" w:frame="1"/>
        </w:rPr>
        <w:t>New York City Building Code</w:t>
      </w:r>
      <w:r w:rsidRPr="001B7F77">
        <w:rPr>
          <w:color w:val="000000"/>
          <w:sz w:val="22"/>
          <w:szCs w:val="22"/>
          <w:u w:val="single"/>
          <w:bdr w:val="none" w:sz="0" w:space="0" w:color="auto" w:frame="1"/>
        </w:rPr>
        <w:t>, the system shall be approved by both the Commissioner and the Fire Commissioner.</w:t>
      </w:r>
    </w:p>
    <w:bookmarkEnd w:id="173"/>
    <w:p w14:paraId="289B8026" w14:textId="77777777" w:rsidR="001B7F77" w:rsidRPr="001B7F77" w:rsidRDefault="001B7F77" w:rsidP="001B7F77">
      <w:pPr>
        <w:widowControl w:val="0"/>
        <w:suppressAutoHyphens/>
        <w:spacing w:before="120"/>
        <w:ind w:left="720"/>
        <w:rPr>
          <w:color w:val="000000"/>
        </w:rPr>
      </w:pPr>
      <w:r w:rsidRPr="001B7F77">
        <w:rPr>
          <w:b/>
          <w:color w:val="000000"/>
          <w:u w:val="single"/>
        </w:rPr>
        <w:t>804.4.1.5 Occupancy Group R-1</w:t>
      </w:r>
      <w:r w:rsidRPr="001B7F77">
        <w:rPr>
          <w:color w:val="000000"/>
          <w:u w:val="single"/>
        </w:rPr>
        <w:t xml:space="preserve">. A fire alarm system shall be installed in Group R-1 occupancies in accordance with the requirements of the </w:t>
      </w:r>
      <w:r w:rsidRPr="001B7F77">
        <w:rPr>
          <w:i/>
          <w:iCs/>
          <w:color w:val="000000"/>
          <w:u w:val="single"/>
        </w:rPr>
        <w:t>New York City Building Code</w:t>
      </w:r>
      <w:r w:rsidRPr="001B7F77">
        <w:rPr>
          <w:color w:val="000000"/>
          <w:u w:val="single"/>
        </w:rPr>
        <w:t xml:space="preserve"> for Group R-1 occupancies.</w:t>
      </w:r>
    </w:p>
    <w:p w14:paraId="708FF7DC" w14:textId="77777777" w:rsidR="001B7F77" w:rsidRPr="001B7F77" w:rsidRDefault="001B7F77" w:rsidP="001B7F77">
      <w:pPr>
        <w:widowControl w:val="0"/>
        <w:suppressAutoHyphens/>
        <w:spacing w:before="120"/>
        <w:ind w:left="360" w:hanging="12"/>
        <w:rPr>
          <w:color w:val="000000"/>
        </w:rPr>
      </w:pPr>
      <w:r w:rsidRPr="001B7F77">
        <w:rPr>
          <w:b/>
          <w:color w:val="000000"/>
          <w:u w:val="single"/>
        </w:rPr>
        <w:t>804.4.2 Control Units.</w:t>
      </w:r>
      <w:r w:rsidRPr="001B7F77">
        <w:rPr>
          <w:color w:val="000000"/>
          <w:u w:val="single"/>
        </w:rPr>
        <w:t xml:space="preserve"> Where the capacity of the existing fire alarm system</w:t>
      </w:r>
      <w:r w:rsidRPr="001B7F77">
        <w:rPr>
          <w:u w:val="single"/>
        </w:rPr>
        <w:t xml:space="preserve"> is not sufficient to support the alteration work in accordance with this section</w:t>
      </w:r>
      <w:r w:rsidRPr="001B7F77">
        <w:rPr>
          <w:color w:val="000000"/>
          <w:u w:val="single"/>
        </w:rPr>
        <w:t xml:space="preserve">, and a new distributed control panel is added to the system, such new panel may be installed in a similar manner with installation and wiring comparable to the existing, approved fire alarm system. Such control panels shall comply with NFPA 72 as modified by Appendix Q of the </w:t>
      </w:r>
      <w:r w:rsidRPr="001B7F77">
        <w:rPr>
          <w:i/>
          <w:iCs/>
          <w:color w:val="000000"/>
          <w:u w:val="single"/>
        </w:rPr>
        <w:t>New York City Building Code</w:t>
      </w:r>
      <w:r w:rsidRPr="001B7F77">
        <w:rPr>
          <w:color w:val="000000"/>
          <w:u w:val="single"/>
        </w:rPr>
        <w:t xml:space="preserve"> with respect to alarm reset capabilities, and any addressable initiating devices connected to the new distributed control panel shall report individually to the primary fire alarm control unit within the building.</w:t>
      </w:r>
    </w:p>
    <w:p w14:paraId="5E24ACC1" w14:textId="77777777" w:rsidR="001B7F77" w:rsidRPr="001B7F77" w:rsidRDefault="001B7F77" w:rsidP="001B7F77">
      <w:pPr>
        <w:widowControl w:val="0"/>
        <w:suppressAutoHyphens/>
        <w:spacing w:before="120"/>
        <w:ind w:left="360"/>
        <w:rPr>
          <w:color w:val="000000"/>
        </w:rPr>
      </w:pPr>
      <w:r w:rsidRPr="001B7F77">
        <w:rPr>
          <w:b/>
          <w:color w:val="000000"/>
          <w:u w:val="single"/>
        </w:rPr>
        <w:t>804.4.3 Smoke detection</w:t>
      </w:r>
      <w:r w:rsidRPr="001B7F77">
        <w:rPr>
          <w:color w:val="000000"/>
          <w:u w:val="single"/>
        </w:rPr>
        <w:t>. Smoke detection shall be provided in work areas in accordance with Sections 804.4.3.1 and 804.4.3.3.</w:t>
      </w:r>
    </w:p>
    <w:p w14:paraId="40044F71" w14:textId="77777777" w:rsidR="001B7F77" w:rsidRPr="001B7F77" w:rsidRDefault="001B7F77" w:rsidP="001B7F77">
      <w:pPr>
        <w:widowControl w:val="0"/>
        <w:suppressAutoHyphens/>
        <w:spacing w:before="120"/>
        <w:ind w:left="720"/>
        <w:rPr>
          <w:color w:val="000000"/>
          <w:u w:val="single"/>
        </w:rPr>
      </w:pPr>
      <w:r w:rsidRPr="001B7F77">
        <w:rPr>
          <w:b/>
          <w:color w:val="000000"/>
          <w:u w:val="single"/>
        </w:rPr>
        <w:t>804.4.3.1 Smoke detection in individual sleeping and dwelling units</w:t>
      </w:r>
      <w:r w:rsidRPr="001B7F77">
        <w:rPr>
          <w:color w:val="000000"/>
          <w:u w:val="single"/>
        </w:rPr>
        <w:t xml:space="preserve">. Individual sleeping units and individual dwelling units in any work area in Group R and I-1 occupancies, where applicable, shall be provided with smoke detection in accordance with the </w:t>
      </w:r>
      <w:r w:rsidRPr="001B7F77">
        <w:rPr>
          <w:i/>
          <w:iCs/>
          <w:color w:val="000000"/>
          <w:u w:val="single"/>
        </w:rPr>
        <w:t>New York City Building Code</w:t>
      </w:r>
      <w:r w:rsidRPr="001B7F77">
        <w:rPr>
          <w:color w:val="000000"/>
          <w:u w:val="single"/>
        </w:rPr>
        <w:t>.</w:t>
      </w:r>
    </w:p>
    <w:p w14:paraId="0068680A" w14:textId="77777777" w:rsidR="001B7F77" w:rsidRPr="001B7F77" w:rsidRDefault="001B7F77" w:rsidP="001B7F77">
      <w:pPr>
        <w:widowControl w:val="0"/>
        <w:suppressAutoHyphens/>
        <w:spacing w:before="120"/>
        <w:ind w:left="1080"/>
        <w:rPr>
          <w:u w:val="single"/>
        </w:rPr>
      </w:pPr>
      <w:r w:rsidRPr="001B7F77">
        <w:rPr>
          <w:b/>
          <w:bCs/>
          <w:u w:val="single"/>
        </w:rPr>
        <w:t>Exceptions</w:t>
      </w:r>
      <w:r w:rsidRPr="001B7F77">
        <w:rPr>
          <w:u w:val="single"/>
        </w:rPr>
        <w:t xml:space="preserve">: </w:t>
      </w:r>
    </w:p>
    <w:p w14:paraId="406BEDC6" w14:textId="77777777" w:rsidR="001B7F77" w:rsidRPr="001B7F77" w:rsidRDefault="001B7F77" w:rsidP="001B7F77">
      <w:pPr>
        <w:widowControl w:val="0"/>
        <w:suppressAutoHyphens/>
        <w:spacing w:before="120"/>
        <w:ind w:left="1440" w:hanging="360"/>
        <w:rPr>
          <w:color w:val="000000"/>
          <w:u w:val="single"/>
        </w:rPr>
      </w:pPr>
      <w:r w:rsidRPr="001B7F77">
        <w:rPr>
          <w:u w:val="single"/>
        </w:rPr>
        <w:t>1.</w:t>
      </w:r>
      <w:r w:rsidRPr="001B7F77">
        <w:rPr>
          <w:u w:val="single"/>
        </w:rPr>
        <w:tab/>
        <w:t>Interconnection of smoke alarms outside of the work area to those installed inside the work area in accordance with this code shall not be required.</w:t>
      </w:r>
    </w:p>
    <w:p w14:paraId="078D89DE" w14:textId="77777777" w:rsidR="001B7F77" w:rsidRPr="001B7F77" w:rsidRDefault="001B7F77" w:rsidP="001B7F77">
      <w:pPr>
        <w:widowControl w:val="0"/>
        <w:suppressAutoHyphens/>
        <w:spacing w:before="120"/>
        <w:ind w:left="1440" w:hanging="360"/>
        <w:rPr>
          <w:rFonts w:ascii="Calibri" w:eastAsia="Calibri" w:hAnsi="Calibri" w:cs="Calibri"/>
          <w:u w:val="single"/>
        </w:rPr>
      </w:pPr>
      <w:r w:rsidRPr="001B7F77">
        <w:rPr>
          <w:u w:val="single"/>
        </w:rPr>
        <w:t>2.</w:t>
      </w:r>
      <w:r w:rsidRPr="001B7F77">
        <w:rPr>
          <w:u w:val="single"/>
        </w:rPr>
        <w:tab/>
        <w:t>Existing I-1 occupancies that utilize smoke alarms for individual sleeping units or individual dwelling units are permitted to install smoke alarms in the work area in lieu of smoke detectors.</w:t>
      </w:r>
    </w:p>
    <w:p w14:paraId="5BEECFB4" w14:textId="77777777" w:rsidR="001B7F77" w:rsidRPr="001B7F77" w:rsidRDefault="001B7F77" w:rsidP="001B7F77">
      <w:pPr>
        <w:widowControl w:val="0"/>
        <w:suppressAutoHyphens/>
        <w:spacing w:before="120"/>
        <w:ind w:left="1080"/>
        <w:rPr>
          <w:color w:val="000000"/>
        </w:rPr>
      </w:pPr>
      <w:r w:rsidRPr="001B7F77">
        <w:rPr>
          <w:b/>
          <w:color w:val="000000"/>
          <w:u w:val="single"/>
        </w:rPr>
        <w:t>804.4.3.1.1 Smoke and carbon monoxide alarms in dwelling units during alterations involving removal of existing interior finishes in prior code buildings</w:t>
      </w:r>
      <w:r w:rsidRPr="001B7F77">
        <w:rPr>
          <w:color w:val="000000"/>
          <w:u w:val="single"/>
        </w:rPr>
        <w:t xml:space="preserve">. Smoke and carbon monoxide alarms complying with the location, interconnection and power source requirements of Chapter 9 of the </w:t>
      </w:r>
      <w:r w:rsidRPr="001B7F77">
        <w:rPr>
          <w:i/>
          <w:iCs/>
          <w:color w:val="000000"/>
          <w:u w:val="single"/>
        </w:rPr>
        <w:t>New York City Building Code</w:t>
      </w:r>
      <w:r w:rsidRPr="001B7F77">
        <w:rPr>
          <w:color w:val="000000"/>
          <w:u w:val="single"/>
        </w:rPr>
        <w:t xml:space="preserve"> shall be provided throughout a dwelling unit when alteration work results in the removal of existing and/or installation of new interior wall or ceiling finishes permitting the installation of concealed wiring for all the required alarms throughout the dwelling unit.</w:t>
      </w:r>
    </w:p>
    <w:p w14:paraId="73A32639" w14:textId="77777777" w:rsidR="001B7F77" w:rsidRPr="001B7F77" w:rsidRDefault="001B7F77" w:rsidP="001B7F77">
      <w:pPr>
        <w:widowControl w:val="0"/>
        <w:suppressAutoHyphens/>
        <w:spacing w:before="120"/>
        <w:ind w:left="720"/>
        <w:rPr>
          <w:color w:val="000000"/>
          <w:u w:val="single"/>
        </w:rPr>
      </w:pPr>
      <w:r w:rsidRPr="001B7F77">
        <w:rPr>
          <w:b/>
          <w:bCs/>
          <w:u w:val="single"/>
        </w:rPr>
        <w:t xml:space="preserve">804.4.3.2 Smoke detection in other spaces. </w:t>
      </w:r>
      <w:r w:rsidRPr="001B7F77">
        <w:rPr>
          <w:u w:val="single"/>
        </w:rPr>
        <w:t xml:space="preserve">Where required by Chapter 9 of the </w:t>
      </w:r>
      <w:r w:rsidRPr="001B7F77">
        <w:rPr>
          <w:i/>
          <w:iCs/>
          <w:u w:val="single"/>
        </w:rPr>
        <w:t>New York City Building Code</w:t>
      </w:r>
      <w:r w:rsidRPr="001B7F77">
        <w:rPr>
          <w:u w:val="single"/>
        </w:rPr>
        <w:t>, in buildings that have an existing approved fire alarm system, smoke detection shall be provided in the following spaces when such spaces are included within the work area:</w:t>
      </w:r>
    </w:p>
    <w:p w14:paraId="54FE3FE2" w14:textId="77777777" w:rsidR="001B7F77" w:rsidRPr="001B7F77" w:rsidRDefault="001B7F77" w:rsidP="001B7F77">
      <w:pPr>
        <w:widowControl w:val="0"/>
        <w:suppressAutoHyphens/>
        <w:spacing w:before="120"/>
        <w:ind w:left="1440" w:hanging="360"/>
        <w:rPr>
          <w:color w:val="000000"/>
          <w:u w:val="single"/>
        </w:rPr>
      </w:pPr>
      <w:r w:rsidRPr="001B7F77">
        <w:rPr>
          <w:color w:val="000000"/>
          <w:u w:val="single"/>
        </w:rPr>
        <w:t>1.</w:t>
      </w:r>
      <w:r w:rsidRPr="001B7F77">
        <w:rPr>
          <w:color w:val="000000"/>
          <w:u w:val="single"/>
        </w:rPr>
        <w:tab/>
        <w:t>In each mechanical equipment, electrical, transformer, telephone equipment or similar room, in elevator machine rooms and in elevator lobbies.</w:t>
      </w:r>
    </w:p>
    <w:p w14:paraId="38E59F96" w14:textId="77777777" w:rsidR="001B7F77" w:rsidRPr="001B7F77" w:rsidRDefault="001B7F77" w:rsidP="001B7F77">
      <w:pPr>
        <w:widowControl w:val="0"/>
        <w:suppressAutoHyphens/>
        <w:spacing w:before="120"/>
        <w:ind w:left="1440" w:hanging="360"/>
        <w:rPr>
          <w:color w:val="000000"/>
          <w:u w:val="single"/>
        </w:rPr>
      </w:pPr>
      <w:r w:rsidRPr="001B7F77">
        <w:rPr>
          <w:color w:val="000000"/>
          <w:u w:val="single"/>
        </w:rPr>
        <w:t>2.</w:t>
      </w:r>
      <w:r w:rsidRPr="001B7F77">
        <w:rPr>
          <w:color w:val="000000"/>
          <w:u w:val="single"/>
        </w:rPr>
        <w:tab/>
        <w:t xml:space="preserve">In air distribution systems in accordance with Section 606 of the </w:t>
      </w:r>
      <w:r w:rsidRPr="001B7F77">
        <w:rPr>
          <w:i/>
          <w:iCs/>
          <w:color w:val="000000"/>
          <w:u w:val="single"/>
        </w:rPr>
        <w:t>New York City Mechanical Code</w:t>
      </w:r>
      <w:r w:rsidRPr="001B7F77">
        <w:rPr>
          <w:color w:val="000000"/>
          <w:u w:val="single"/>
        </w:rPr>
        <w:t>.</w:t>
      </w:r>
    </w:p>
    <w:p w14:paraId="5C281934" w14:textId="77777777" w:rsidR="001B7F77" w:rsidRPr="001B7F77" w:rsidRDefault="001B7F77" w:rsidP="001B7F77">
      <w:pPr>
        <w:widowControl w:val="0"/>
        <w:suppressAutoHyphens/>
        <w:spacing w:before="120"/>
        <w:ind w:left="720"/>
        <w:rPr>
          <w:color w:val="000000"/>
        </w:rPr>
      </w:pPr>
      <w:r w:rsidRPr="001B7F77">
        <w:rPr>
          <w:b/>
          <w:color w:val="000000"/>
          <w:u w:val="single"/>
        </w:rPr>
        <w:t>804.4.3.3 Smoke detectors in elevator lobbies and elevator landings of Group R-2 occupancies.</w:t>
      </w:r>
      <w:r w:rsidRPr="001B7F77">
        <w:rPr>
          <w:b/>
          <w:u w:val="single"/>
        </w:rPr>
        <w:t xml:space="preserve"> </w:t>
      </w:r>
      <w:r w:rsidRPr="001B7F77">
        <w:rPr>
          <w:color w:val="000000"/>
          <w:u w:val="single"/>
        </w:rPr>
        <w:t xml:space="preserve">Where a new or upgraded fire alarm system is installed in a Group R-2 occupancy building in accordance with Chapter 9 of the </w:t>
      </w:r>
      <w:r w:rsidRPr="001B7F77">
        <w:rPr>
          <w:i/>
          <w:iCs/>
          <w:color w:val="000000"/>
          <w:u w:val="single"/>
        </w:rPr>
        <w:t>New York City Building Code</w:t>
      </w:r>
      <w:r w:rsidRPr="001B7F77">
        <w:rPr>
          <w:color w:val="000000"/>
          <w:u w:val="single"/>
        </w:rPr>
        <w:t>, the smoke detectors required to be installed at elevator lobbies, elevator landings, elevator machine rooms, or elevator hoistways shall be programmed to initiate Phase I emergency operations.</w:t>
      </w:r>
    </w:p>
    <w:p w14:paraId="095BC652" w14:textId="77777777" w:rsidR="001B7F77" w:rsidRPr="001B7F77" w:rsidRDefault="001B7F77" w:rsidP="001B7F77">
      <w:pPr>
        <w:widowControl w:val="0"/>
        <w:suppressAutoHyphens/>
        <w:spacing w:before="120"/>
        <w:ind w:left="360"/>
        <w:rPr>
          <w:u w:val="single"/>
        </w:rPr>
      </w:pPr>
      <w:r w:rsidRPr="001B7F77">
        <w:rPr>
          <w:b/>
          <w:color w:val="000000"/>
          <w:u w:val="single"/>
        </w:rPr>
        <w:t>804.4.4 Location of fire alarm control equipment.</w:t>
      </w:r>
      <w:r w:rsidRPr="001B7F77">
        <w:rPr>
          <w:color w:val="000000"/>
          <w:u w:val="single"/>
        </w:rPr>
        <w:t xml:space="preserve"> </w:t>
      </w:r>
      <w:r w:rsidRPr="001B7F77">
        <w:rPr>
          <w:u w:val="single"/>
        </w:rPr>
        <w:t xml:space="preserve">Fire alarm equipment and associated wiring shall be located in spaces within buildings in accordance with the </w:t>
      </w:r>
      <w:r w:rsidRPr="001B7F77">
        <w:rPr>
          <w:i/>
          <w:iCs/>
          <w:u w:val="single"/>
        </w:rPr>
        <w:t>New York City Building Code</w:t>
      </w:r>
      <w:r w:rsidRPr="001B7F77">
        <w:rPr>
          <w:u w:val="single"/>
        </w:rPr>
        <w:t>.</w:t>
      </w:r>
    </w:p>
    <w:p w14:paraId="20D3F6E2" w14:textId="77777777" w:rsidR="001B7F77" w:rsidRPr="001B7F77" w:rsidRDefault="001B7F77" w:rsidP="001B7F77">
      <w:pPr>
        <w:widowControl w:val="0"/>
        <w:suppressAutoHyphens/>
        <w:spacing w:before="120"/>
        <w:ind w:left="720"/>
        <w:rPr>
          <w:u w:val="single"/>
        </w:rPr>
      </w:pPr>
      <w:r w:rsidRPr="001B7F77">
        <w:rPr>
          <w:b/>
          <w:u w:val="single"/>
        </w:rPr>
        <w:t>Exception.</w:t>
      </w:r>
      <w:r w:rsidRPr="001B7F77">
        <w:rPr>
          <w:u w:val="single"/>
        </w:rPr>
        <w:t xml:space="preserve"> In prior code buildings, fire alarm control equipment and associated wiring may be installed in exit enclosures provided that such installations do not reduce the egress width below that required by code and a smoke detector need not be installed at the location of such fire alarm control unit.</w:t>
      </w:r>
    </w:p>
    <w:p w14:paraId="7EB2ED53" w14:textId="77777777" w:rsidR="001B7F77" w:rsidRPr="001B7F77" w:rsidRDefault="001B7F77" w:rsidP="001B7F77">
      <w:pPr>
        <w:widowControl w:val="0"/>
        <w:suppressAutoHyphens/>
        <w:spacing w:before="120"/>
        <w:ind w:left="360"/>
      </w:pPr>
      <w:r w:rsidRPr="001B7F77">
        <w:rPr>
          <w:b/>
          <w:color w:val="000000"/>
          <w:u w:val="single"/>
        </w:rPr>
        <w:t xml:space="preserve">804.4.5 </w:t>
      </w:r>
      <w:r w:rsidRPr="001B7F77">
        <w:rPr>
          <w:b/>
          <w:u w:val="single"/>
        </w:rPr>
        <w:t>Existing Mini class “E” and Advisory class “E” systems in prior code buildings.</w:t>
      </w:r>
      <w:r w:rsidRPr="001B7F77">
        <w:rPr>
          <w:u w:val="single"/>
        </w:rPr>
        <w:t xml:space="preserve"> Replacement of existing Mini class E and Advisory class E systems shall be made to comply with Chapter 9 of the </w:t>
      </w:r>
      <w:r w:rsidRPr="001B7F77">
        <w:rPr>
          <w:i/>
          <w:iCs/>
          <w:u w:val="single"/>
        </w:rPr>
        <w:t>New York City Building Code</w:t>
      </w:r>
      <w:r w:rsidRPr="001B7F77">
        <w:rPr>
          <w:u w:val="single"/>
        </w:rPr>
        <w:t xml:space="preserve"> for that building or space.</w:t>
      </w:r>
    </w:p>
    <w:p w14:paraId="31479652" w14:textId="77777777" w:rsidR="001B7F77" w:rsidRPr="001B7F77" w:rsidRDefault="001B7F77" w:rsidP="001B7F77">
      <w:pPr>
        <w:widowControl w:val="0"/>
        <w:suppressAutoHyphens/>
        <w:spacing w:before="120"/>
        <w:ind w:left="360"/>
      </w:pPr>
      <w:r w:rsidRPr="001B7F77">
        <w:rPr>
          <w:b/>
          <w:u w:val="single"/>
        </w:rPr>
        <w:t>804.4.6 Existing fire alarm systems in prior code places of assembly used as a cabaret.</w:t>
      </w:r>
      <w:r w:rsidRPr="001B7F77">
        <w:rPr>
          <w:u w:val="single"/>
        </w:rPr>
        <w:t xml:space="preserve"> Replacement of existing fire alarm systems in cabarets shall be made to comply with Chapter 9 of the </w:t>
      </w:r>
      <w:r w:rsidRPr="001B7F77">
        <w:rPr>
          <w:i/>
          <w:iCs/>
          <w:u w:val="single"/>
        </w:rPr>
        <w:t>New York City Building Code</w:t>
      </w:r>
      <w:r w:rsidRPr="001B7F77">
        <w:rPr>
          <w:u w:val="single"/>
        </w:rPr>
        <w:t xml:space="preserve"> for that building or space.</w:t>
      </w:r>
    </w:p>
    <w:p w14:paraId="225E835C" w14:textId="77777777" w:rsidR="001B7F77" w:rsidRPr="001B7F77" w:rsidRDefault="001B7F77" w:rsidP="001B7F77">
      <w:pPr>
        <w:widowControl w:val="0"/>
        <w:suppressAutoHyphens/>
        <w:spacing w:before="120"/>
        <w:ind w:left="360"/>
      </w:pPr>
      <w:r w:rsidRPr="001B7F77">
        <w:rPr>
          <w:b/>
          <w:u w:val="single"/>
        </w:rPr>
        <w:t>804.4.7 Fire alarm system alterations and replacements in existing buildings</w:t>
      </w:r>
      <w:r w:rsidRPr="001B7F77">
        <w:rPr>
          <w:u w:val="single"/>
        </w:rPr>
        <w:t>. Existing, approved fire alarm systems undergoing alterations or being replaced shall comply with the requirements of Section 804.4.7.1 through 804.4.7.5. For the purpose of applying the following sections, alteration applications that have not been signed off shall be cumulatively considered.</w:t>
      </w:r>
    </w:p>
    <w:p w14:paraId="1EE22369" w14:textId="77777777" w:rsidR="001B7F77" w:rsidRPr="001B7F77" w:rsidRDefault="001B7F77" w:rsidP="001B7F77">
      <w:pPr>
        <w:widowControl w:val="0"/>
        <w:suppressAutoHyphens/>
        <w:spacing w:before="120"/>
        <w:ind w:left="720"/>
        <w:rPr>
          <w:u w:val="single"/>
        </w:rPr>
      </w:pPr>
      <w:r w:rsidRPr="001B7F77">
        <w:rPr>
          <w:b/>
          <w:u w:val="single"/>
        </w:rPr>
        <w:t>804.4.7.1 Replacement of the Fire Command Center (FCC), Fire Command Station (FCS) or Fire Alarm Control Panel (FACP).</w:t>
      </w:r>
      <w:r w:rsidRPr="001B7F77">
        <w:rPr>
          <w:u w:val="single"/>
        </w:rPr>
        <w:t xml:space="preserve"> Where the scope of work constitutes the replacement in kind of the FCC, FCS or FACP, full replacement of the fire alarm system shall not be required provided that the following conditions are met:</w:t>
      </w:r>
    </w:p>
    <w:p w14:paraId="64753574" w14:textId="77777777" w:rsidR="001B7F77" w:rsidRPr="001B7F77" w:rsidRDefault="001B7F77" w:rsidP="001B7F77">
      <w:pPr>
        <w:widowControl w:val="0"/>
        <w:suppressAutoHyphens/>
        <w:spacing w:before="120"/>
        <w:ind w:left="1080"/>
        <w:rPr>
          <w:u w:val="single"/>
        </w:rPr>
      </w:pPr>
      <w:r w:rsidRPr="001B7F77">
        <w:rPr>
          <w:u w:val="single"/>
        </w:rPr>
        <w:t>1.</w:t>
      </w:r>
      <w:r w:rsidRPr="001B7F77">
        <w:rPr>
          <w:u w:val="single"/>
        </w:rPr>
        <w:tab/>
        <w:t>The sequence of operations shall match that of the existing system.</w:t>
      </w:r>
    </w:p>
    <w:p w14:paraId="7F9099D3" w14:textId="77777777" w:rsidR="001B7F77" w:rsidRPr="001B7F77" w:rsidRDefault="001B7F77" w:rsidP="001B7F77">
      <w:pPr>
        <w:widowControl w:val="0"/>
        <w:suppressAutoHyphens/>
        <w:spacing w:before="120"/>
        <w:ind w:left="1440" w:hanging="360"/>
        <w:rPr>
          <w:u w:val="single"/>
        </w:rPr>
      </w:pPr>
      <w:r w:rsidRPr="001B7F77">
        <w:rPr>
          <w:u w:val="single"/>
        </w:rPr>
        <w:t>2.</w:t>
      </w:r>
      <w:r w:rsidRPr="001B7F77">
        <w:rPr>
          <w:u w:val="single"/>
        </w:rPr>
        <w:tab/>
        <w:t xml:space="preserve">Where the existing power capacity is not adequate, a new connection that complies with the </w:t>
      </w:r>
      <w:r w:rsidRPr="001B7F77">
        <w:rPr>
          <w:i/>
          <w:iCs/>
          <w:u w:val="single"/>
        </w:rPr>
        <w:t>New York City Electrical Code</w:t>
      </w:r>
      <w:r w:rsidRPr="001B7F77">
        <w:rPr>
          <w:u w:val="single"/>
        </w:rPr>
        <w:t xml:space="preserve"> shall be provided to the replacement equipment.</w:t>
      </w:r>
    </w:p>
    <w:p w14:paraId="696A2910" w14:textId="77777777" w:rsidR="001B7F77" w:rsidRPr="001B7F77" w:rsidRDefault="001B7F77" w:rsidP="001B7F77">
      <w:pPr>
        <w:widowControl w:val="0"/>
        <w:suppressAutoHyphens/>
        <w:spacing w:before="120"/>
        <w:ind w:left="720"/>
        <w:rPr>
          <w:u w:val="single"/>
        </w:rPr>
      </w:pPr>
      <w:r w:rsidRPr="001B7F77">
        <w:rPr>
          <w:b/>
          <w:u w:val="single"/>
        </w:rPr>
        <w:t>804.4.7.2 Relocation of the Fire Command Center (FCC), Fire Command Station (FCS) or Fire Alarm Control Panel (FACP).</w:t>
      </w:r>
      <w:r w:rsidRPr="001B7F77">
        <w:rPr>
          <w:u w:val="single"/>
        </w:rPr>
        <w:t xml:space="preserve"> Where the scope of work constitutes the relocation of the FCC, FCS, or FACP, the work shall comply with Section 804.4.7.1 and the following additional requirements:</w:t>
      </w:r>
    </w:p>
    <w:p w14:paraId="28B63CEE" w14:textId="77777777" w:rsidR="001B7F77" w:rsidRPr="001B7F77" w:rsidRDefault="001B7F77" w:rsidP="001B7F77">
      <w:pPr>
        <w:widowControl w:val="0"/>
        <w:suppressAutoHyphens/>
        <w:spacing w:before="120"/>
        <w:ind w:left="1080"/>
        <w:rPr>
          <w:u w:val="single"/>
        </w:rPr>
      </w:pPr>
      <w:r w:rsidRPr="001B7F77">
        <w:rPr>
          <w:u w:val="single"/>
        </w:rPr>
        <w:t>1.</w:t>
      </w:r>
      <w:r w:rsidRPr="001B7F77">
        <w:rPr>
          <w:u w:val="single"/>
        </w:rPr>
        <w:tab/>
        <w:t>The new proposed location shall be approved by the fire commissioner.</w:t>
      </w:r>
    </w:p>
    <w:p w14:paraId="724C426F" w14:textId="77777777" w:rsidR="001B7F77" w:rsidRPr="001B7F77" w:rsidRDefault="001B7F77" w:rsidP="001B7F77">
      <w:pPr>
        <w:widowControl w:val="0"/>
        <w:suppressAutoHyphens/>
        <w:spacing w:before="120"/>
        <w:ind w:left="1440" w:hanging="360"/>
        <w:rPr>
          <w:u w:val="single"/>
        </w:rPr>
      </w:pPr>
      <w:r w:rsidRPr="001B7F77">
        <w:rPr>
          <w:u w:val="single"/>
        </w:rPr>
        <w:t>2.</w:t>
      </w:r>
      <w:r w:rsidRPr="001B7F77">
        <w:rPr>
          <w:u w:val="single"/>
        </w:rPr>
        <w:tab/>
        <w:t>Existing power wiring and existing fire alarm system wiring may be utilized. Splicing of existing power wiring and existing fire alarm system wiring is prohibited.</w:t>
      </w:r>
    </w:p>
    <w:p w14:paraId="729DA391" w14:textId="77777777" w:rsidR="001B7F77" w:rsidRPr="001B7F77" w:rsidRDefault="001B7F77" w:rsidP="001B7F77">
      <w:pPr>
        <w:widowControl w:val="0"/>
        <w:suppressAutoHyphens/>
        <w:spacing w:before="120"/>
        <w:ind w:left="1440" w:hanging="360"/>
        <w:rPr>
          <w:u w:val="single"/>
        </w:rPr>
      </w:pPr>
      <w:r w:rsidRPr="001B7F77">
        <w:rPr>
          <w:u w:val="single"/>
        </w:rPr>
        <w:t>3.</w:t>
      </w:r>
      <w:r w:rsidRPr="001B7F77">
        <w:rPr>
          <w:u w:val="single"/>
        </w:rPr>
        <w:tab/>
        <w:t>Where an FCC, FCS or FACP is relocated, proximity requirements for related systems and controls shall be maintained including, but not limited to, elevator control panels and mechanical fan control panels.</w:t>
      </w:r>
    </w:p>
    <w:p w14:paraId="2498ECA3" w14:textId="77777777" w:rsidR="001B7F77" w:rsidRPr="001B7F77" w:rsidRDefault="001B7F77" w:rsidP="001B7F77">
      <w:pPr>
        <w:widowControl w:val="0"/>
        <w:suppressAutoHyphens/>
        <w:spacing w:before="120"/>
        <w:ind w:left="720"/>
      </w:pPr>
      <w:r w:rsidRPr="001B7F77">
        <w:rPr>
          <w:b/>
          <w:u w:val="single"/>
        </w:rPr>
        <w:t>804.4.7.3 System technology upgrade.</w:t>
      </w:r>
      <w:r w:rsidRPr="001B7F77">
        <w:rPr>
          <w:u w:val="single"/>
        </w:rPr>
        <w:t xml:space="preserve"> A system technology upgrade to an existing, approved fire alarm system shall comply with Sections 804.4.7.3.1 through 804.4.7.3.8. Where the scope of work includes upgrade or replacement of the Fire Command Center (FCC), Fire Command Station (FCS), or Fire Alarm Control Panel (FACP), and also includes the upgrade, replacement or addition of fire alarm control unit(s), a system replacement is not required provided that no more than two of the following thresholds are exceeded:</w:t>
      </w:r>
    </w:p>
    <w:p w14:paraId="19BADF8A" w14:textId="77777777" w:rsidR="001B7F77" w:rsidRPr="001B7F77" w:rsidRDefault="001B7F77" w:rsidP="001B7F77">
      <w:pPr>
        <w:widowControl w:val="0"/>
        <w:suppressAutoHyphens/>
        <w:spacing w:before="120"/>
        <w:ind w:left="1440" w:hanging="360"/>
        <w:rPr>
          <w:u w:val="single"/>
        </w:rPr>
      </w:pPr>
      <w:r w:rsidRPr="001B7F77">
        <w:rPr>
          <w:u w:val="single"/>
        </w:rPr>
        <w:t>1.</w:t>
      </w:r>
      <w:r w:rsidRPr="001B7F77">
        <w:rPr>
          <w:u w:val="single"/>
        </w:rPr>
        <w:tab/>
        <w:t>More than 75 percent of existing notification appliances are replaced in kind.</w:t>
      </w:r>
    </w:p>
    <w:p w14:paraId="311E7F0F" w14:textId="77777777" w:rsidR="001B7F77" w:rsidRPr="001B7F77" w:rsidRDefault="001B7F77" w:rsidP="001B7F77">
      <w:pPr>
        <w:widowControl w:val="0"/>
        <w:suppressAutoHyphens/>
        <w:spacing w:before="120"/>
        <w:ind w:left="1440" w:hanging="360"/>
        <w:rPr>
          <w:u w:val="single"/>
        </w:rPr>
      </w:pPr>
      <w:r w:rsidRPr="001B7F77">
        <w:rPr>
          <w:u w:val="single"/>
        </w:rPr>
        <w:t>2.</w:t>
      </w:r>
      <w:r w:rsidRPr="001B7F77">
        <w:rPr>
          <w:u w:val="single"/>
        </w:rPr>
        <w:tab/>
        <w:t>Power-limited fire alarm (PLFA) wiring between control unit(s) and initiating devices or notification appliances is replaced in more than 25 percent of the building's floor area.</w:t>
      </w:r>
    </w:p>
    <w:p w14:paraId="79FD38B0" w14:textId="77777777" w:rsidR="001B7F77" w:rsidRPr="001B7F77" w:rsidRDefault="001B7F77" w:rsidP="001B7F77">
      <w:pPr>
        <w:widowControl w:val="0"/>
        <w:suppressAutoHyphens/>
        <w:spacing w:before="120"/>
        <w:ind w:left="1440" w:hanging="360"/>
        <w:rPr>
          <w:u w:val="single"/>
        </w:rPr>
      </w:pPr>
      <w:r w:rsidRPr="001B7F77">
        <w:rPr>
          <w:u w:val="single"/>
        </w:rPr>
        <w:t>3.</w:t>
      </w:r>
      <w:r w:rsidRPr="001B7F77">
        <w:rPr>
          <w:u w:val="single"/>
        </w:rPr>
        <w:tab/>
        <w:t xml:space="preserve">More than 75 percent of the sum of existing initiating devices and existing emergency control function interface equipment are altered or replaced in kind. The percentage calculation shall not include any initiating devices being added to comply with selective coverage smoke detection requirements of Section 907.2 of the </w:t>
      </w:r>
      <w:r w:rsidRPr="001B7F77">
        <w:rPr>
          <w:i/>
          <w:iCs/>
          <w:u w:val="single"/>
        </w:rPr>
        <w:t>New York City Building Code</w:t>
      </w:r>
      <w:r w:rsidRPr="001B7F77">
        <w:rPr>
          <w:u w:val="single"/>
        </w:rPr>
        <w:t>.</w:t>
      </w:r>
    </w:p>
    <w:p w14:paraId="0274BAC4" w14:textId="77777777" w:rsidR="001B7F77" w:rsidRPr="001B7F77" w:rsidRDefault="001B7F77" w:rsidP="001B7F77">
      <w:pPr>
        <w:widowControl w:val="0"/>
        <w:suppressAutoHyphens/>
        <w:spacing w:before="120"/>
        <w:ind w:left="1440" w:hanging="360"/>
        <w:rPr>
          <w:u w:val="single"/>
        </w:rPr>
      </w:pPr>
      <w:r w:rsidRPr="001B7F77">
        <w:rPr>
          <w:u w:val="single"/>
        </w:rPr>
        <w:t>4.</w:t>
      </w:r>
      <w:r w:rsidRPr="001B7F77">
        <w:rPr>
          <w:u w:val="single"/>
        </w:rPr>
        <w:tab/>
        <w:t>More than 75 percent of the sum of existing warden telephone stations and firefighter telephones are replaced in kind.</w:t>
      </w:r>
    </w:p>
    <w:p w14:paraId="532DAA5F" w14:textId="77777777" w:rsidR="001B7F77" w:rsidRPr="001B7F77" w:rsidRDefault="001B7F77" w:rsidP="001B7F77">
      <w:pPr>
        <w:widowControl w:val="0"/>
        <w:suppressAutoHyphens/>
        <w:spacing w:before="120"/>
        <w:ind w:left="1080"/>
        <w:rPr>
          <w:u w:val="single"/>
        </w:rPr>
      </w:pPr>
      <w:r w:rsidRPr="001B7F77">
        <w:rPr>
          <w:b/>
          <w:bCs/>
          <w:u w:val="single"/>
        </w:rPr>
        <w:t>804.4.7.3.1 Control units.</w:t>
      </w:r>
      <w:r w:rsidRPr="001B7F77">
        <w:rPr>
          <w:u w:val="single"/>
        </w:rPr>
        <w:t xml:space="preserve"> New or upgraded control units may be located in the same room or location as the existing control units.</w:t>
      </w:r>
    </w:p>
    <w:p w14:paraId="19EDEF0F" w14:textId="77777777" w:rsidR="001B7F77" w:rsidRPr="001B7F77" w:rsidRDefault="001B7F77" w:rsidP="001B7F77">
      <w:pPr>
        <w:widowControl w:val="0"/>
        <w:suppressAutoHyphens/>
        <w:spacing w:before="120"/>
        <w:ind w:left="1080"/>
        <w:rPr>
          <w:u w:val="single"/>
        </w:rPr>
      </w:pPr>
      <w:r w:rsidRPr="001B7F77">
        <w:rPr>
          <w:b/>
          <w:bCs/>
          <w:u w:val="single"/>
        </w:rPr>
        <w:t>804.4.7.3.2 Circuits.</w:t>
      </w:r>
      <w:r w:rsidRPr="001B7F77">
        <w:rPr>
          <w:u w:val="single"/>
        </w:rPr>
        <w:t xml:space="preserve"> Fire alarm system wiring used to interconnect control units shall meet the class and survivability requirements of the </w:t>
      </w:r>
      <w:r w:rsidRPr="001B7F77">
        <w:rPr>
          <w:i/>
          <w:iCs/>
          <w:u w:val="single"/>
        </w:rPr>
        <w:t>New York City Building Code</w:t>
      </w:r>
      <w:r w:rsidRPr="001B7F77">
        <w:rPr>
          <w:u w:val="single"/>
        </w:rPr>
        <w:t xml:space="preserve"> applicable to new systems.</w:t>
      </w:r>
    </w:p>
    <w:p w14:paraId="57F8D62F" w14:textId="77777777" w:rsidR="001B7F77" w:rsidRPr="001B7F77" w:rsidRDefault="001B7F77" w:rsidP="001B7F77">
      <w:pPr>
        <w:widowControl w:val="0"/>
        <w:suppressAutoHyphens/>
        <w:spacing w:before="120"/>
        <w:ind w:left="1080"/>
        <w:rPr>
          <w:u w:val="single"/>
        </w:rPr>
      </w:pPr>
      <w:r w:rsidRPr="001B7F77">
        <w:rPr>
          <w:b/>
          <w:bCs/>
          <w:u w:val="single"/>
        </w:rPr>
        <w:t>804.4.7.3.3 Smoke detection.</w:t>
      </w:r>
      <w:r w:rsidRPr="001B7F77">
        <w:rPr>
          <w:u w:val="single"/>
        </w:rPr>
        <w:t xml:space="preserve"> Selective coverage smoke detection as required by Section 907.2 of the </w:t>
      </w:r>
      <w:r w:rsidRPr="001B7F77">
        <w:rPr>
          <w:i/>
          <w:iCs/>
          <w:u w:val="single"/>
        </w:rPr>
        <w:t>New York City Building Code</w:t>
      </w:r>
      <w:r w:rsidRPr="001B7F77">
        <w:rPr>
          <w:u w:val="single"/>
        </w:rPr>
        <w:t xml:space="preserve"> shall be installed.</w:t>
      </w:r>
    </w:p>
    <w:p w14:paraId="003DAAB6" w14:textId="77777777" w:rsidR="001B7F77" w:rsidRPr="001B7F77" w:rsidRDefault="001B7F77" w:rsidP="001B7F77">
      <w:pPr>
        <w:widowControl w:val="0"/>
        <w:suppressAutoHyphens/>
        <w:spacing w:before="120"/>
        <w:ind w:left="1080"/>
        <w:rPr>
          <w:u w:val="single"/>
        </w:rPr>
      </w:pPr>
      <w:r w:rsidRPr="001B7F77">
        <w:rPr>
          <w:b/>
          <w:bCs/>
          <w:u w:val="single"/>
        </w:rPr>
        <w:t>804.4.7.3.4 Notification appliance circuits.</w:t>
      </w:r>
      <w:r w:rsidRPr="001B7F77">
        <w:rPr>
          <w:u w:val="single"/>
        </w:rPr>
        <w:t xml:space="preserve"> All notification appliance circuits shall be supervised upon completion of the system technology upgrade.</w:t>
      </w:r>
    </w:p>
    <w:p w14:paraId="58CAAF3B" w14:textId="77777777" w:rsidR="001B7F77" w:rsidRPr="001B7F77" w:rsidRDefault="001B7F77" w:rsidP="001B7F77">
      <w:pPr>
        <w:widowControl w:val="0"/>
        <w:suppressAutoHyphens/>
        <w:spacing w:before="120"/>
        <w:ind w:left="1080"/>
        <w:rPr>
          <w:u w:val="single"/>
        </w:rPr>
      </w:pPr>
      <w:r w:rsidRPr="001B7F77">
        <w:rPr>
          <w:b/>
          <w:bCs/>
          <w:u w:val="single"/>
        </w:rPr>
        <w:t>804.4.7.3.5 Operation sequence.</w:t>
      </w:r>
      <w:r w:rsidRPr="001B7F77">
        <w:rPr>
          <w:u w:val="single"/>
        </w:rPr>
        <w:t xml:space="preserve"> The system’s operation sequence shall be modified to comply with that required for a new building of the same characteristics.</w:t>
      </w:r>
    </w:p>
    <w:p w14:paraId="72B13D3A" w14:textId="77777777" w:rsidR="001B7F77" w:rsidRPr="001B7F77" w:rsidRDefault="001B7F77" w:rsidP="001B7F77">
      <w:pPr>
        <w:widowControl w:val="0"/>
        <w:suppressAutoHyphens/>
        <w:spacing w:before="120"/>
        <w:ind w:left="1080"/>
        <w:rPr>
          <w:u w:val="single"/>
        </w:rPr>
      </w:pPr>
      <w:r w:rsidRPr="001B7F77">
        <w:rPr>
          <w:b/>
          <w:bCs/>
          <w:u w:val="single"/>
        </w:rPr>
        <w:t>804.4.7.3.6 Power connections.</w:t>
      </w:r>
      <w:r w:rsidRPr="001B7F77">
        <w:rPr>
          <w:u w:val="single"/>
        </w:rPr>
        <w:t xml:space="preserve"> Where the existing power capacity serving the existing fire alarm system is not adequate to power the upgraded fire alarm system, new AC power connections shall be provided for all upgraded fire alarm control equipment in accordance with the </w:t>
      </w:r>
      <w:r w:rsidRPr="001B7F77">
        <w:rPr>
          <w:i/>
          <w:iCs/>
          <w:u w:val="single"/>
        </w:rPr>
        <w:t>New York City Electrical Code</w:t>
      </w:r>
      <w:r w:rsidRPr="001B7F77">
        <w:rPr>
          <w:u w:val="single"/>
        </w:rPr>
        <w:t>.</w:t>
      </w:r>
    </w:p>
    <w:p w14:paraId="1486DDA6" w14:textId="77777777" w:rsidR="001B7F77" w:rsidRPr="001B7F77" w:rsidRDefault="001B7F77" w:rsidP="001B7F77">
      <w:pPr>
        <w:widowControl w:val="0"/>
        <w:suppressAutoHyphens/>
        <w:spacing w:before="120"/>
        <w:ind w:left="1080"/>
        <w:rPr>
          <w:u w:val="single"/>
        </w:rPr>
      </w:pPr>
      <w:r w:rsidRPr="001B7F77">
        <w:rPr>
          <w:b/>
          <w:bCs/>
          <w:u w:val="single"/>
        </w:rPr>
        <w:t>804.4.7.3.7 Wiring.</w:t>
      </w:r>
      <w:r w:rsidRPr="001B7F77">
        <w:rPr>
          <w:u w:val="single"/>
        </w:rPr>
        <w:t xml:space="preserve"> Existing wiring not affected by the upgrade shall be permitted to remain.</w:t>
      </w:r>
    </w:p>
    <w:p w14:paraId="14F1DB49" w14:textId="77777777" w:rsidR="001B7F77" w:rsidRPr="001B7F77" w:rsidRDefault="001B7F77" w:rsidP="001B7F77">
      <w:pPr>
        <w:widowControl w:val="0"/>
        <w:suppressAutoHyphens/>
        <w:spacing w:before="120"/>
        <w:ind w:left="1080"/>
      </w:pPr>
      <w:r w:rsidRPr="001B7F77">
        <w:rPr>
          <w:b/>
          <w:bCs/>
          <w:u w:val="single"/>
        </w:rPr>
        <w:t>804.4.7.3.8 Existing to remain.</w:t>
      </w:r>
      <w:r w:rsidRPr="001B7F77">
        <w:rPr>
          <w:u w:val="single"/>
        </w:rPr>
        <w:t xml:space="preserve"> Existing, functional initiating devices and notification appliances not affected by the upgrade shall be permitted to remain.</w:t>
      </w:r>
    </w:p>
    <w:p w14:paraId="1D7638EB" w14:textId="77777777" w:rsidR="001B7F77" w:rsidRPr="001B7F77" w:rsidRDefault="001B7F77" w:rsidP="001B7F77">
      <w:pPr>
        <w:widowControl w:val="0"/>
        <w:suppressAutoHyphens/>
        <w:spacing w:before="120"/>
        <w:ind w:left="720"/>
      </w:pPr>
      <w:r w:rsidRPr="001B7F77">
        <w:rPr>
          <w:b/>
          <w:u w:val="single"/>
        </w:rPr>
        <w:t>804.4.7.4 System replacement.</w:t>
      </w:r>
      <w:r w:rsidRPr="001B7F77">
        <w:rPr>
          <w:u w:val="single"/>
        </w:rPr>
        <w:t xml:space="preserve"> Where the scope of work includes a full replacement of the existing, approved fire alarm system, the system shall be installed in accordance with Section 907 of the </w:t>
      </w:r>
      <w:r w:rsidRPr="001B7F77">
        <w:rPr>
          <w:i/>
          <w:iCs/>
          <w:u w:val="single"/>
        </w:rPr>
        <w:t>New York City Building Code</w:t>
      </w:r>
      <w:r w:rsidRPr="001B7F77">
        <w:rPr>
          <w:u w:val="single"/>
        </w:rPr>
        <w:t xml:space="preserve"> and in accordance with the applicable sections of the </w:t>
      </w:r>
      <w:r w:rsidRPr="001B7F77">
        <w:rPr>
          <w:i/>
          <w:iCs/>
          <w:u w:val="single"/>
        </w:rPr>
        <w:t>New York City Electrical Code</w:t>
      </w:r>
      <w:r w:rsidRPr="001B7F77">
        <w:rPr>
          <w:u w:val="single"/>
        </w:rPr>
        <w:t>.</w:t>
      </w:r>
      <w:r w:rsidRPr="001B7F77">
        <w:t xml:space="preserve"> </w:t>
      </w:r>
    </w:p>
    <w:p w14:paraId="5B724817" w14:textId="77777777" w:rsidR="001B7F77" w:rsidRPr="001B7F77" w:rsidRDefault="001B7F77" w:rsidP="001B7F77">
      <w:pPr>
        <w:widowControl w:val="0"/>
        <w:suppressAutoHyphens/>
        <w:spacing w:before="120"/>
        <w:ind w:left="720"/>
      </w:pPr>
      <w:r w:rsidRPr="001B7F77">
        <w:rPr>
          <w:b/>
          <w:u w:val="single"/>
        </w:rPr>
        <w:t>804.4.7.5 Emergency and standby power for fire alarm upgrades and replacements in prior code buildings.</w:t>
      </w:r>
      <w:r w:rsidRPr="001B7F77">
        <w:rPr>
          <w:u w:val="single"/>
        </w:rPr>
        <w:t xml:space="preserve"> Where a fire alarm system is being altered or replaced in accordance with Section 804.4.7, and where the existing building does not have an on-site generator for emergency or standby power loads, installation of a generator to provide secondary power to the fire alarm system shall not be required. However, where the existing building does have an on-site generator for emergency or standby power loads, connection of the upgraded fire alarm system to the existing generator in accordance with Chapter 27 of the </w:t>
      </w:r>
      <w:r w:rsidRPr="001B7F77">
        <w:rPr>
          <w:i/>
          <w:iCs/>
          <w:u w:val="single"/>
        </w:rPr>
        <w:t>New York City Building Code</w:t>
      </w:r>
      <w:r w:rsidRPr="001B7F77">
        <w:rPr>
          <w:u w:val="single"/>
        </w:rPr>
        <w:t xml:space="preserve"> shall be required.</w:t>
      </w:r>
    </w:p>
    <w:p w14:paraId="4A448773" w14:textId="77777777" w:rsidR="001B7F77" w:rsidRPr="001B7F77" w:rsidRDefault="001B7F77" w:rsidP="001B7F77">
      <w:pPr>
        <w:widowControl w:val="0"/>
        <w:suppressAutoHyphens/>
        <w:spacing w:before="120"/>
        <w:jc w:val="center"/>
        <w:outlineLvl w:val="0"/>
        <w:rPr>
          <w:rFonts w:eastAsia="Times"/>
          <w:b/>
          <w:u w:val="single"/>
        </w:rPr>
      </w:pPr>
    </w:p>
    <w:p w14:paraId="420D3299" w14:textId="77777777" w:rsidR="001B7F77" w:rsidRPr="001B7F77" w:rsidRDefault="001B7F77" w:rsidP="001B7F77">
      <w:pPr>
        <w:widowControl w:val="0"/>
        <w:suppressAutoHyphens/>
        <w:spacing w:before="120"/>
        <w:jc w:val="center"/>
        <w:outlineLvl w:val="0"/>
        <w:rPr>
          <w:rFonts w:eastAsia="Times"/>
          <w:b/>
          <w:u w:val="single"/>
        </w:rPr>
      </w:pPr>
      <w:r w:rsidRPr="001B7F77">
        <w:rPr>
          <w:rFonts w:eastAsia="Times"/>
          <w:b/>
          <w:u w:val="single"/>
        </w:rPr>
        <w:t>SECTION EBC 805</w:t>
      </w:r>
      <w:r w:rsidRPr="001B7F77">
        <w:rPr>
          <w:rFonts w:eastAsia="Times"/>
          <w:b/>
          <w:u w:val="single"/>
        </w:rPr>
        <w:br/>
        <w:t>MEANS OF EGRESS</w:t>
      </w:r>
    </w:p>
    <w:p w14:paraId="0F5B0009" w14:textId="77777777" w:rsidR="001B7F77" w:rsidRPr="001B7F77" w:rsidRDefault="001B7F77" w:rsidP="001B7F77">
      <w:pPr>
        <w:widowControl w:val="0"/>
        <w:suppressAutoHyphens/>
        <w:spacing w:before="120"/>
      </w:pPr>
      <w:r w:rsidRPr="001B7F77">
        <w:rPr>
          <w:b/>
          <w:bCs/>
          <w:u w:val="single"/>
        </w:rPr>
        <w:t>805.1 Scope.</w:t>
      </w:r>
      <w:r w:rsidRPr="001B7F77">
        <w:rPr>
          <w:u w:val="single"/>
        </w:rPr>
        <w:t xml:space="preserve"> The requirements of this section shall be limited to work areas that include exits or corridors shared by more than one tenant within the work area in which Level 1 alterations are being performed, except that, where specified for supplemental requirements, they shall apply throughout the floor on which the work areas are located or otherwise beyond the work area.</w:t>
      </w:r>
    </w:p>
    <w:p w14:paraId="311D14B0" w14:textId="77777777" w:rsidR="001B7F77" w:rsidRPr="001B7F77" w:rsidRDefault="001B7F77" w:rsidP="001B7F77">
      <w:pPr>
        <w:widowControl w:val="0"/>
        <w:suppressAutoHyphens/>
        <w:spacing w:before="120"/>
      </w:pPr>
      <w:r w:rsidRPr="001B7F77">
        <w:rPr>
          <w:b/>
          <w:bCs/>
          <w:u w:val="single"/>
        </w:rPr>
        <w:t>805.2 General.</w:t>
      </w:r>
      <w:r w:rsidRPr="001B7F77">
        <w:rPr>
          <w:u w:val="single"/>
        </w:rPr>
        <w:t xml:space="preserve"> The means of egress shall comply with the requirements of this section and Section 305.</w:t>
      </w:r>
    </w:p>
    <w:p w14:paraId="43AF7F5A" w14:textId="77777777" w:rsidR="001B7F77" w:rsidRPr="001B7F77" w:rsidRDefault="001B7F77" w:rsidP="001B7F77">
      <w:pPr>
        <w:widowControl w:val="0"/>
        <w:suppressAutoHyphens/>
        <w:spacing w:before="120"/>
        <w:rPr>
          <w:rFonts w:eastAsia="Calibri"/>
          <w:color w:val="000000"/>
        </w:rPr>
      </w:pPr>
      <w:r w:rsidRPr="001B7F77">
        <w:rPr>
          <w:rFonts w:eastAsia="Calibri"/>
          <w:b/>
          <w:color w:val="000000"/>
          <w:u w:val="single"/>
        </w:rPr>
        <w:t>805.3 Number of exits.</w:t>
      </w:r>
      <w:r w:rsidRPr="001B7F77">
        <w:rPr>
          <w:rFonts w:eastAsia="Calibri"/>
          <w:color w:val="000000"/>
          <w:u w:val="single"/>
        </w:rPr>
        <w:t xml:space="preserve"> The number of exits shall be in accordance with Sections 805.3.1 through 805.3.3.</w:t>
      </w:r>
    </w:p>
    <w:p w14:paraId="3EB56A40" w14:textId="77777777" w:rsidR="001B7F77" w:rsidRPr="001B7F77" w:rsidRDefault="001B7F77" w:rsidP="001B7F77">
      <w:pPr>
        <w:widowControl w:val="0"/>
        <w:suppressAutoHyphens/>
        <w:spacing w:before="120"/>
        <w:ind w:left="360"/>
        <w:rPr>
          <w:rFonts w:eastAsia="Calibri"/>
          <w:color w:val="000000"/>
        </w:rPr>
      </w:pPr>
      <w:r w:rsidRPr="001B7F77">
        <w:rPr>
          <w:rFonts w:eastAsia="Calibri"/>
          <w:b/>
          <w:color w:val="000000"/>
          <w:u w:val="single"/>
        </w:rPr>
        <w:t>805.3.1 Minimum number</w:t>
      </w:r>
      <w:r w:rsidRPr="001B7F77">
        <w:rPr>
          <w:rFonts w:eastAsia="Calibri"/>
          <w:color w:val="000000"/>
          <w:u w:val="single"/>
        </w:rPr>
        <w:t xml:space="preserve">. Every story utilized for human occupancy on which there is a work area that includes exits or corridors shared by more than one tenant within the work area shall be provided with the minimum number of exits based on the occupancy and the occupant load in accordance with the </w:t>
      </w:r>
      <w:r w:rsidRPr="001B7F77">
        <w:rPr>
          <w:rFonts w:eastAsia="Calibri"/>
          <w:i/>
          <w:iCs/>
          <w:color w:val="000000"/>
          <w:u w:val="single"/>
        </w:rPr>
        <w:t>New York City Building Code</w:t>
      </w:r>
      <w:r w:rsidRPr="001B7F77">
        <w:rPr>
          <w:rFonts w:eastAsia="Calibri"/>
          <w:color w:val="000000"/>
          <w:u w:val="single"/>
        </w:rPr>
        <w:t xml:space="preserve"> and Section 305.5.1 of this code. In addition, the exits shall comply with Sections 805.3.1.1 through 805.3.1.3.</w:t>
      </w:r>
    </w:p>
    <w:p w14:paraId="50B9E8D3" w14:textId="77777777" w:rsidR="001B7F77" w:rsidRPr="001B7F77" w:rsidRDefault="001B7F77" w:rsidP="001B7F77">
      <w:pPr>
        <w:widowControl w:val="0"/>
        <w:suppressAutoHyphens/>
        <w:spacing w:before="120"/>
        <w:ind w:left="720"/>
      </w:pPr>
      <w:r w:rsidRPr="001B7F77">
        <w:rPr>
          <w:b/>
          <w:bCs/>
          <w:u w:val="single"/>
        </w:rPr>
        <w:t>805.3.1.1 Single-exit buildings.</w:t>
      </w:r>
      <w:r w:rsidRPr="001B7F77">
        <w:rPr>
          <w:u w:val="single"/>
        </w:rPr>
        <w:t xml:space="preserve"> Only one exit is required from buildings and spaces when permitted by Section 1006.3 of the </w:t>
      </w:r>
      <w:r w:rsidRPr="001B7F77">
        <w:rPr>
          <w:i/>
          <w:iCs/>
          <w:u w:val="single"/>
        </w:rPr>
        <w:t>New York City Building Code</w:t>
      </w:r>
      <w:r w:rsidRPr="001B7F77">
        <w:rPr>
          <w:u w:val="single"/>
        </w:rPr>
        <w:t>.</w:t>
      </w:r>
    </w:p>
    <w:p w14:paraId="0725BCC0" w14:textId="77777777" w:rsidR="001B7F77" w:rsidRPr="001B7F77" w:rsidRDefault="001B7F77" w:rsidP="001B7F77">
      <w:pPr>
        <w:widowControl w:val="0"/>
        <w:suppressAutoHyphens/>
        <w:spacing w:before="120"/>
        <w:ind w:left="1080"/>
        <w:rPr>
          <w:rFonts w:eastAsia="Calibri"/>
          <w:color w:val="000000"/>
        </w:rPr>
      </w:pPr>
      <w:r w:rsidRPr="001B7F77">
        <w:rPr>
          <w:b/>
          <w:bCs/>
          <w:u w:val="single"/>
        </w:rPr>
        <w:t>805.3.1.1.1 Prior code buildings.</w:t>
      </w:r>
      <w:r w:rsidRPr="001B7F77">
        <w:rPr>
          <w:rFonts w:eastAsia="Calibri"/>
          <w:u w:val="single"/>
        </w:rPr>
        <w:t xml:space="preserve"> In prior code buildings, one means of egress shall be permitted from floors in:</w:t>
      </w:r>
    </w:p>
    <w:p w14:paraId="4DC6B9E9" w14:textId="77777777" w:rsidR="001B7F77" w:rsidRPr="001B7F77" w:rsidRDefault="001B7F77" w:rsidP="001B7F77">
      <w:pPr>
        <w:widowControl w:val="0"/>
        <w:suppressAutoHyphens/>
        <w:spacing w:before="120"/>
        <w:ind w:left="1800" w:hanging="360"/>
        <w:rPr>
          <w:u w:val="single"/>
        </w:rPr>
      </w:pPr>
      <w:r w:rsidRPr="001B7F77">
        <w:rPr>
          <w:u w:val="single"/>
        </w:rPr>
        <w:t>1.</w:t>
      </w:r>
      <w:r w:rsidRPr="001B7F77">
        <w:rPr>
          <w:u w:val="single"/>
        </w:rPr>
        <w:tab/>
        <w:t>One- and two-family dwellings classified in Occupancy Group R-3.</w:t>
      </w:r>
    </w:p>
    <w:p w14:paraId="5BD70745" w14:textId="77777777" w:rsidR="001B7F77" w:rsidRPr="001B7F77" w:rsidRDefault="001B7F77" w:rsidP="001B7F77">
      <w:pPr>
        <w:widowControl w:val="0"/>
        <w:suppressAutoHyphens/>
        <w:spacing w:before="120"/>
        <w:ind w:left="1800" w:hanging="360"/>
        <w:rPr>
          <w:u w:val="single"/>
        </w:rPr>
      </w:pPr>
      <w:r w:rsidRPr="001B7F77">
        <w:rPr>
          <w:u w:val="single"/>
        </w:rPr>
        <w:t>2.</w:t>
      </w:r>
      <w:r w:rsidRPr="001B7F77">
        <w:rPr>
          <w:u w:val="single"/>
        </w:rPr>
        <w:tab/>
        <w:t>Buildings classified in Occupancy Group B that are not more than sixty feet (18 288 mm) in height, have a gross area of two thousand square feet (186 m²) or less per floor, and have a maximum travel distance of fifty feet (15 240 mm) on any floor.</w:t>
      </w:r>
    </w:p>
    <w:p w14:paraId="633EC3EC" w14:textId="77777777" w:rsidR="001B7F77" w:rsidRPr="001B7F77" w:rsidRDefault="001B7F77" w:rsidP="001B7F77">
      <w:pPr>
        <w:widowControl w:val="0"/>
        <w:suppressAutoHyphens/>
        <w:spacing w:before="120"/>
        <w:ind w:left="1800" w:hanging="360"/>
        <w:rPr>
          <w:u w:val="single"/>
        </w:rPr>
      </w:pPr>
      <w:r w:rsidRPr="001B7F77">
        <w:rPr>
          <w:u w:val="single"/>
        </w:rPr>
        <w:t>3.</w:t>
      </w:r>
      <w:r w:rsidRPr="001B7F77">
        <w:rPr>
          <w:u w:val="single"/>
        </w:rPr>
        <w:tab/>
        <w:t>Buildings classified in Occupancy Group R-2 that are of noncombustible construction, have a gross area of two thousand square feet (186 m²) or less per floor, and have a maximum travel distance of fifty feet (15 240 mm) on any floor.</w:t>
      </w:r>
    </w:p>
    <w:p w14:paraId="79EF171D" w14:textId="77777777" w:rsidR="001B7F77" w:rsidRPr="001B7F77" w:rsidRDefault="001B7F77" w:rsidP="001B7F77">
      <w:pPr>
        <w:widowControl w:val="0"/>
        <w:suppressAutoHyphens/>
        <w:spacing w:before="120"/>
        <w:ind w:left="1800" w:hanging="360"/>
        <w:rPr>
          <w:u w:val="single"/>
        </w:rPr>
      </w:pPr>
      <w:r w:rsidRPr="001B7F77">
        <w:rPr>
          <w:u w:val="single"/>
        </w:rPr>
        <w:t>4.</w:t>
      </w:r>
      <w:r w:rsidRPr="001B7F77">
        <w:rPr>
          <w:u w:val="single"/>
        </w:rPr>
        <w:tab/>
        <w:t>Buildings classified in Occupancy Group R-1 or R-2 that are not more than two stories and not more than thirty feet (9 144 mm) in height and have a maximum travel distance of eighty feet (24 384 mm), and the corridors and stair enclosure are provided with automatic sprinkler protection.</w:t>
      </w:r>
    </w:p>
    <w:p w14:paraId="6456A054" w14:textId="77777777" w:rsidR="001B7F77" w:rsidRPr="001B7F77" w:rsidRDefault="001B7F77" w:rsidP="001B7F77">
      <w:pPr>
        <w:widowControl w:val="0"/>
        <w:suppressAutoHyphens/>
        <w:spacing w:before="120"/>
        <w:ind w:left="1800" w:hanging="360"/>
        <w:rPr>
          <w:u w:val="single"/>
        </w:rPr>
      </w:pPr>
      <w:r w:rsidRPr="001B7F77">
        <w:rPr>
          <w:u w:val="single"/>
        </w:rPr>
        <w:t>5.</w:t>
      </w:r>
      <w:r w:rsidRPr="001B7F77">
        <w:rPr>
          <w:u w:val="single"/>
        </w:rPr>
        <w:tab/>
        <w:t>Buildings classified in Occupancy Group R-2 occupied exclusively by not more than one family on each story without boarders, roomers or lodgers and that are not more than three stories and not more than forty feet (12 192 mm) in height, and the stair enclosure is provided with automatic sprinkler protection and without openings between any garage and the exit passageway.</w:t>
      </w:r>
    </w:p>
    <w:p w14:paraId="6A51ACD3" w14:textId="77777777" w:rsidR="001B7F77" w:rsidRPr="001B7F77" w:rsidRDefault="001B7F77" w:rsidP="001B7F77">
      <w:pPr>
        <w:widowControl w:val="0"/>
        <w:suppressAutoHyphens/>
        <w:spacing w:before="120"/>
        <w:ind w:left="1800" w:hanging="360"/>
        <w:rPr>
          <w:u w:val="single"/>
        </w:rPr>
      </w:pPr>
      <w:r w:rsidRPr="001B7F77">
        <w:rPr>
          <w:u w:val="single"/>
        </w:rPr>
        <w:t>6.</w:t>
      </w:r>
      <w:r w:rsidRPr="001B7F77">
        <w:rPr>
          <w:u w:val="single"/>
        </w:rPr>
        <w:tab/>
        <w:t>Buildings classified in Occupancy Group R-2 that are not more than three stories and not more than forty feet (12 192 mm) in height and occupied by not more than four families on each story, and the building is protected with an automatic sprinkler system.</w:t>
      </w:r>
    </w:p>
    <w:p w14:paraId="5A601396" w14:textId="77777777" w:rsidR="001B7F77" w:rsidRPr="001B7F77" w:rsidRDefault="001B7F77" w:rsidP="001B7F77">
      <w:pPr>
        <w:widowControl w:val="0"/>
        <w:suppressAutoHyphens/>
        <w:spacing w:before="120"/>
        <w:ind w:left="1800" w:hanging="360"/>
        <w:rPr>
          <w:u w:val="single"/>
        </w:rPr>
      </w:pPr>
      <w:r w:rsidRPr="001B7F77">
        <w:rPr>
          <w:u w:val="single"/>
        </w:rPr>
        <w:t>7.</w:t>
      </w:r>
      <w:r w:rsidRPr="001B7F77">
        <w:tab/>
      </w:r>
      <w:r w:rsidRPr="001B7F77">
        <w:rPr>
          <w:u w:val="single"/>
        </w:rPr>
        <w:t>Buildings constructed pursuant to codes prior to the 1968 Building Code with a floor area of twenty-five hundred square feet (232.25 m</w:t>
      </w:r>
      <w:r w:rsidRPr="001B7F77">
        <w:rPr>
          <w:u w:val="single"/>
          <w:vertAlign w:val="superscript"/>
        </w:rPr>
        <w:t>2</w:t>
      </w:r>
      <w:r w:rsidRPr="001B7F77">
        <w:rPr>
          <w:u w:val="single"/>
        </w:rPr>
        <w:t>) or less and seventy-five feet (22 860 mm) or less in height, only one required stairway need be provided when the occupancy on any floor above grade is one person for each fifty square feet (15 240 mm</w:t>
      </w:r>
      <w:r w:rsidRPr="001B7F77">
        <w:rPr>
          <w:u w:val="single"/>
          <w:vertAlign w:val="superscript"/>
        </w:rPr>
        <w:t>2</w:t>
      </w:r>
      <w:r w:rsidRPr="001B7F77">
        <w:rPr>
          <w:u w:val="single"/>
        </w:rPr>
        <w:t>) or more of floor area.</w:t>
      </w:r>
    </w:p>
    <w:p w14:paraId="32DC41C7" w14:textId="77777777" w:rsidR="001B7F77" w:rsidRPr="001B7F77" w:rsidRDefault="001B7F77" w:rsidP="001B7F77">
      <w:pPr>
        <w:widowControl w:val="0"/>
        <w:suppressAutoHyphens/>
        <w:spacing w:before="120"/>
        <w:ind w:left="720"/>
        <w:rPr>
          <w:rFonts w:eastAsia="Calibri"/>
          <w:color w:val="000000"/>
          <w:u w:val="single"/>
        </w:rPr>
      </w:pPr>
      <w:r w:rsidRPr="001B7F77">
        <w:rPr>
          <w:rFonts w:eastAsia="Calibri"/>
          <w:b/>
          <w:color w:val="000000"/>
          <w:u w:val="single"/>
        </w:rPr>
        <w:t>805.3.1.2 Multilevel dwelling units</w:t>
      </w:r>
      <w:r w:rsidRPr="001B7F77">
        <w:rPr>
          <w:rFonts w:eastAsia="Calibri"/>
          <w:color w:val="000000"/>
          <w:u w:val="single"/>
        </w:rPr>
        <w:t xml:space="preserve">. Multilevel dwelling units occupying a part of not more than two floors in buildings classified in Occupancy Group R-2 shall comply with Chapter 10 of the </w:t>
      </w:r>
      <w:r w:rsidRPr="001B7F77">
        <w:rPr>
          <w:rFonts w:eastAsia="Calibri"/>
          <w:i/>
          <w:iCs/>
          <w:color w:val="000000"/>
          <w:u w:val="single"/>
        </w:rPr>
        <w:t>New York City Building Code</w:t>
      </w:r>
      <w:r w:rsidRPr="001B7F77">
        <w:rPr>
          <w:rFonts w:eastAsia="Calibri"/>
          <w:color w:val="000000"/>
          <w:u w:val="single"/>
        </w:rPr>
        <w:t>.</w:t>
      </w:r>
    </w:p>
    <w:p w14:paraId="46D4326E" w14:textId="77777777" w:rsidR="001B7F77" w:rsidRPr="001B7F77" w:rsidRDefault="001B7F77" w:rsidP="001B7F77">
      <w:pPr>
        <w:widowControl w:val="0"/>
        <w:suppressAutoHyphens/>
        <w:spacing w:before="120"/>
        <w:ind w:left="1080"/>
        <w:rPr>
          <w:rFonts w:eastAsia="Calibri"/>
          <w:color w:val="000000"/>
          <w:u w:val="single"/>
        </w:rPr>
      </w:pPr>
      <w:r w:rsidRPr="001B7F77">
        <w:rPr>
          <w:rFonts w:eastAsia="Calibri"/>
          <w:b/>
          <w:color w:val="000000"/>
          <w:u w:val="single"/>
        </w:rPr>
        <w:t xml:space="preserve">Exception: </w:t>
      </w:r>
      <w:bookmarkStart w:id="174" w:name="_Hlk72829055"/>
      <w:r w:rsidRPr="001B7F77">
        <w:rPr>
          <w:rFonts w:eastAsia="Calibri"/>
          <w:color w:val="000000"/>
          <w:u w:val="single"/>
        </w:rPr>
        <w:t>In multilevel dwelling units occupying a part of not more than two floors in prior code buildings classified in Occupancy Group R-2</w:t>
      </w:r>
      <w:bookmarkEnd w:id="174"/>
      <w:r w:rsidRPr="001B7F77">
        <w:rPr>
          <w:rFonts w:eastAsia="Calibri"/>
          <w:color w:val="000000"/>
          <w:u w:val="single"/>
        </w:rPr>
        <w:t>, an exit shall not be required from every level of the dwelling unit provided that all of the following conditions are met:</w:t>
      </w:r>
    </w:p>
    <w:p w14:paraId="559F7635" w14:textId="77777777" w:rsidR="001B7F77" w:rsidRPr="001B7F77" w:rsidRDefault="001B7F77" w:rsidP="001B7F77">
      <w:pPr>
        <w:widowControl w:val="0"/>
        <w:suppressAutoHyphens/>
        <w:spacing w:before="120"/>
        <w:ind w:left="1800" w:hanging="360"/>
        <w:rPr>
          <w:rFonts w:eastAsia="Times"/>
          <w:color w:val="000000"/>
          <w:u w:val="single"/>
        </w:rPr>
      </w:pPr>
      <w:r w:rsidRPr="001B7F77">
        <w:rPr>
          <w:rFonts w:eastAsia="Times"/>
          <w:color w:val="000000"/>
          <w:u w:val="single"/>
        </w:rPr>
        <w:t>1.</w:t>
      </w:r>
      <w:r w:rsidRPr="001B7F77">
        <w:rPr>
          <w:rFonts w:eastAsia="Times"/>
          <w:color w:val="000000"/>
          <w:u w:val="single"/>
        </w:rPr>
        <w:tab/>
        <w:t>The building is of noncombustible construction;</w:t>
      </w:r>
    </w:p>
    <w:p w14:paraId="6186BDB2" w14:textId="77777777" w:rsidR="001B7F77" w:rsidRPr="001B7F77" w:rsidRDefault="001B7F77" w:rsidP="001B7F77">
      <w:pPr>
        <w:widowControl w:val="0"/>
        <w:suppressAutoHyphens/>
        <w:spacing w:before="120"/>
        <w:ind w:left="1800" w:hanging="360"/>
        <w:rPr>
          <w:rFonts w:eastAsia="Calibri"/>
          <w:color w:val="000000"/>
          <w:u w:val="single"/>
        </w:rPr>
      </w:pPr>
      <w:r w:rsidRPr="001B7F77">
        <w:rPr>
          <w:rFonts w:eastAsia="Times"/>
          <w:color w:val="000000"/>
          <w:u w:val="single"/>
        </w:rPr>
        <w:t>2.</w:t>
      </w:r>
      <w:r w:rsidRPr="001B7F77">
        <w:rPr>
          <w:rFonts w:eastAsia="Times"/>
          <w:color w:val="000000"/>
          <w:u w:val="single"/>
        </w:rPr>
        <w:tab/>
        <w:t>O</w:t>
      </w:r>
      <w:r w:rsidRPr="001B7F77">
        <w:rPr>
          <w:rFonts w:eastAsia="Calibri"/>
          <w:color w:val="000000"/>
          <w:u w:val="single"/>
        </w:rPr>
        <w:t>ne level of the dwelling unit shall be the exit level with exit access doorway to two means of egress or as permitted by Section 805.3.1.1.1, and the other level is provided with a balcony connecting such level to an adjacent dwelling unit, in accordance with Section 305.5.19;</w:t>
      </w:r>
    </w:p>
    <w:p w14:paraId="09284BD4" w14:textId="77777777" w:rsidR="001B7F77" w:rsidRPr="001B7F77" w:rsidRDefault="001B7F77" w:rsidP="001B7F77">
      <w:pPr>
        <w:widowControl w:val="0"/>
        <w:suppressAutoHyphens/>
        <w:spacing w:before="120"/>
        <w:ind w:left="1800" w:hanging="360"/>
        <w:rPr>
          <w:rFonts w:eastAsia="Times"/>
          <w:color w:val="000000"/>
          <w:u w:val="single"/>
        </w:rPr>
      </w:pPr>
      <w:r w:rsidRPr="001B7F77">
        <w:rPr>
          <w:rFonts w:eastAsia="Times"/>
          <w:color w:val="000000"/>
          <w:u w:val="single"/>
        </w:rPr>
        <w:t>3.</w:t>
      </w:r>
      <w:r w:rsidRPr="001B7F77">
        <w:rPr>
          <w:rFonts w:eastAsia="Times"/>
          <w:color w:val="000000"/>
          <w:u w:val="single"/>
        </w:rPr>
        <w:tab/>
        <w:t>The maximum travel distance within the dwelling unit does not exceed 50 feet (22 860 mm) from any room within such dwelling unit measured to the centerline of the exit access door providing access to the two means of egress; and</w:t>
      </w:r>
    </w:p>
    <w:p w14:paraId="69F1C8A6" w14:textId="77777777" w:rsidR="001B7F77" w:rsidRPr="001B7F77" w:rsidRDefault="001B7F77" w:rsidP="001B7F77">
      <w:pPr>
        <w:widowControl w:val="0"/>
        <w:suppressAutoHyphens/>
        <w:spacing w:before="120"/>
        <w:ind w:left="1800" w:hanging="360"/>
        <w:rPr>
          <w:rFonts w:eastAsia="Times"/>
          <w:color w:val="000000"/>
          <w:u w:val="single"/>
        </w:rPr>
      </w:pPr>
      <w:r w:rsidRPr="001B7F77">
        <w:rPr>
          <w:rFonts w:eastAsia="Times"/>
          <w:color w:val="000000"/>
          <w:u w:val="single"/>
        </w:rPr>
        <w:t>4.</w:t>
      </w:r>
      <w:r w:rsidRPr="001B7F77">
        <w:rPr>
          <w:rFonts w:eastAsia="Times"/>
          <w:color w:val="000000"/>
          <w:u w:val="single"/>
        </w:rPr>
        <w:tab/>
        <w:t xml:space="preserve">The connecting stair shall be at least 2 feet 6 inches (762 mm) in width and terminate not more than 20 feet (6096 mm) from the exit access door on the exit level. However, a greater width may be required pursuant to Chapter 11 of the </w:t>
      </w:r>
      <w:r w:rsidRPr="001B7F77">
        <w:rPr>
          <w:rFonts w:eastAsia="Times"/>
          <w:i/>
          <w:iCs/>
          <w:color w:val="000000"/>
          <w:u w:val="single"/>
        </w:rPr>
        <w:t>New York City Building Code</w:t>
      </w:r>
      <w:r w:rsidRPr="001B7F77">
        <w:rPr>
          <w:rFonts w:eastAsia="Times"/>
          <w:color w:val="000000"/>
          <w:u w:val="single"/>
        </w:rPr>
        <w:t>.</w:t>
      </w:r>
    </w:p>
    <w:p w14:paraId="7BAB70D4" w14:textId="77777777" w:rsidR="001B7F77" w:rsidRPr="001B7F77" w:rsidRDefault="001B7F77" w:rsidP="001B7F77">
      <w:pPr>
        <w:widowControl w:val="0"/>
        <w:tabs>
          <w:tab w:val="left" w:pos="720"/>
        </w:tabs>
        <w:suppressAutoHyphens/>
        <w:spacing w:before="120"/>
        <w:ind w:left="720"/>
        <w:rPr>
          <w:rFonts w:eastAsia="Calibri"/>
          <w:color w:val="000000"/>
        </w:rPr>
      </w:pPr>
      <w:r w:rsidRPr="001B7F77">
        <w:rPr>
          <w:rFonts w:eastAsia="Calibri"/>
          <w:b/>
          <w:color w:val="000000"/>
          <w:u w:val="single"/>
        </w:rPr>
        <w:t>805.3.1.3</w:t>
      </w:r>
      <w:r w:rsidRPr="001B7F77">
        <w:rPr>
          <w:rFonts w:eastAsia="Calibri"/>
          <w:color w:val="000000"/>
          <w:u w:val="single"/>
        </w:rPr>
        <w:t xml:space="preserve"> </w:t>
      </w:r>
      <w:r w:rsidRPr="001B7F77">
        <w:rPr>
          <w:rFonts w:eastAsia="Calibri"/>
          <w:b/>
          <w:color w:val="000000"/>
          <w:u w:val="single"/>
        </w:rPr>
        <w:t>Fire escapes required</w:t>
      </w:r>
      <w:r w:rsidRPr="001B7F77">
        <w:rPr>
          <w:rFonts w:eastAsia="Calibri"/>
          <w:color w:val="000000"/>
          <w:u w:val="single"/>
        </w:rPr>
        <w:t>. Where permitted by Section 305.5.16 in prior code buildings, an existing fire escape or newly constructed fire escape shall be accepted as providing one of the required means of egress.</w:t>
      </w:r>
    </w:p>
    <w:p w14:paraId="7B145DC3" w14:textId="77777777" w:rsidR="001B7F77" w:rsidRPr="001B7F77" w:rsidRDefault="001B7F77" w:rsidP="001B7F77">
      <w:pPr>
        <w:widowControl w:val="0"/>
        <w:suppressAutoHyphens/>
        <w:spacing w:before="120"/>
        <w:ind w:left="360"/>
        <w:rPr>
          <w:rFonts w:eastAsia="Calibri"/>
          <w:color w:val="000000"/>
          <w:u w:val="single"/>
        </w:rPr>
      </w:pPr>
      <w:r w:rsidRPr="001B7F77">
        <w:rPr>
          <w:rFonts w:eastAsia="Calibri"/>
          <w:b/>
          <w:color w:val="000000"/>
          <w:u w:val="single"/>
        </w:rPr>
        <w:t>805.3.2</w:t>
      </w:r>
      <w:r w:rsidRPr="001B7F77">
        <w:rPr>
          <w:rFonts w:eastAsia="Calibri"/>
          <w:color w:val="000000"/>
          <w:u w:val="single"/>
        </w:rPr>
        <w:t xml:space="preserve"> </w:t>
      </w:r>
      <w:r w:rsidRPr="001B7F77">
        <w:rPr>
          <w:rFonts w:eastAsia="Calibri"/>
          <w:b/>
          <w:color w:val="000000"/>
          <w:u w:val="single"/>
        </w:rPr>
        <w:t>Mezzanines</w:t>
      </w:r>
      <w:r w:rsidRPr="001B7F77">
        <w:rPr>
          <w:rFonts w:eastAsia="Calibri"/>
          <w:color w:val="000000"/>
          <w:u w:val="single"/>
        </w:rPr>
        <w:t>. Mezzanines in the work area and with an occupant load that exceeds that permitted by Table 805.4.1.1 or in which the travel distance to an exit exceeds 75 feet (22 860 mm) shall have access to at least two independent means of egress.</w:t>
      </w:r>
    </w:p>
    <w:p w14:paraId="575DFFA5" w14:textId="77777777" w:rsidR="001B7F77" w:rsidRPr="001B7F77" w:rsidRDefault="001B7F77" w:rsidP="001B7F77">
      <w:pPr>
        <w:widowControl w:val="0"/>
        <w:suppressAutoHyphens/>
        <w:spacing w:before="120"/>
        <w:ind w:left="720"/>
        <w:rPr>
          <w:rFonts w:eastAsia="Calibri"/>
          <w:color w:val="000000"/>
          <w:u w:val="single"/>
        </w:rPr>
      </w:pPr>
      <w:r w:rsidRPr="001B7F77">
        <w:rPr>
          <w:rFonts w:eastAsia="Calibri"/>
          <w:b/>
          <w:color w:val="000000"/>
          <w:u w:val="single"/>
        </w:rPr>
        <w:t>Exception</w:t>
      </w:r>
      <w:r w:rsidRPr="001B7F77">
        <w:rPr>
          <w:rFonts w:eastAsia="Calibri"/>
          <w:color w:val="000000"/>
          <w:u w:val="single"/>
        </w:rPr>
        <w:t>: Travel distance may be extended to 100 feet (30 480 mm) including path of travel along connecting stair where the building is protected throughout with an automatic sprinkler system.</w:t>
      </w:r>
    </w:p>
    <w:p w14:paraId="4C2535E2" w14:textId="77777777" w:rsidR="001B7F77" w:rsidRPr="001B7F77" w:rsidRDefault="001B7F77" w:rsidP="001B7F77">
      <w:pPr>
        <w:widowControl w:val="0"/>
        <w:suppressAutoHyphens/>
        <w:spacing w:before="120"/>
        <w:ind w:left="360"/>
        <w:rPr>
          <w:rFonts w:eastAsia="Calibri"/>
          <w:color w:val="000000"/>
          <w:u w:val="single"/>
        </w:rPr>
      </w:pPr>
      <w:r w:rsidRPr="001B7F77">
        <w:rPr>
          <w:rFonts w:eastAsia="Calibri"/>
          <w:b/>
          <w:color w:val="000000"/>
          <w:u w:val="single"/>
        </w:rPr>
        <w:t>805.3.3 Main exit— Occupancy Group A.</w:t>
      </w:r>
      <w:r w:rsidRPr="001B7F77">
        <w:rPr>
          <w:rFonts w:eastAsia="Calibri"/>
          <w:color w:val="000000"/>
          <w:u w:val="single"/>
        </w:rPr>
        <w:t xml:space="preserve"> All buildings classified in Occupancy Group A with an occupant load of 300 or more shall be provided with a main entrance capable of serving as the main exit with an egress capacity of at least one-half of the total occupant load. The remaining exits shall be capable of providing one-half of the total required exit capacity.</w:t>
      </w:r>
    </w:p>
    <w:p w14:paraId="4A90E9E1" w14:textId="77777777" w:rsidR="001B7F77" w:rsidRPr="001B7F77" w:rsidRDefault="001B7F77" w:rsidP="001B7F77">
      <w:pPr>
        <w:widowControl w:val="0"/>
        <w:suppressAutoHyphens/>
        <w:spacing w:before="120"/>
        <w:ind w:left="720"/>
        <w:rPr>
          <w:rFonts w:eastAsia="Calibri"/>
          <w:color w:val="000000"/>
          <w:u w:val="single"/>
        </w:rPr>
      </w:pPr>
      <w:r w:rsidRPr="001B7F77">
        <w:rPr>
          <w:rFonts w:eastAsia="Calibri"/>
          <w:b/>
          <w:color w:val="000000"/>
          <w:u w:val="single"/>
        </w:rPr>
        <w:t>Exceptions:</w:t>
      </w:r>
    </w:p>
    <w:p w14:paraId="34694138" w14:textId="77777777" w:rsidR="001B7F77" w:rsidRPr="001B7F77" w:rsidRDefault="001B7F77" w:rsidP="001B7F77">
      <w:pPr>
        <w:widowControl w:val="0"/>
        <w:suppressAutoHyphens/>
        <w:spacing w:before="120"/>
        <w:ind w:left="1440" w:hanging="360"/>
        <w:rPr>
          <w:rFonts w:eastAsia="Calibri"/>
          <w:color w:val="000000"/>
          <w:u w:val="single"/>
        </w:rPr>
      </w:pPr>
      <w:r w:rsidRPr="001B7F77">
        <w:rPr>
          <w:rFonts w:eastAsia="Calibri"/>
          <w:color w:val="000000"/>
          <w:u w:val="single"/>
        </w:rPr>
        <w:t>1.</w:t>
      </w:r>
      <w:r w:rsidRPr="001B7F77">
        <w:rPr>
          <w:rFonts w:eastAsia="Calibri"/>
          <w:color w:val="000000"/>
          <w:u w:val="single"/>
        </w:rPr>
        <w:tab/>
        <w:t>Where there is no well-defined main exit or where multiple main exits are provided, exits shall be permitted to be distributed around the perimeter of the building provided that the total width of egress is not less than 100 percent of the required width.</w:t>
      </w:r>
    </w:p>
    <w:p w14:paraId="44F7CB13" w14:textId="77777777" w:rsidR="001B7F77" w:rsidRPr="001B7F77" w:rsidRDefault="001B7F77" w:rsidP="001B7F77">
      <w:pPr>
        <w:widowControl w:val="0"/>
        <w:suppressAutoHyphens/>
        <w:spacing w:before="120"/>
        <w:ind w:left="1440" w:hanging="360"/>
        <w:rPr>
          <w:rFonts w:eastAsia="Calibri"/>
          <w:u w:val="single"/>
        </w:rPr>
      </w:pPr>
      <w:r w:rsidRPr="001B7F77">
        <w:rPr>
          <w:rFonts w:eastAsia="Calibri"/>
          <w:color w:val="000000"/>
          <w:u w:val="single"/>
        </w:rPr>
        <w:t>2.</w:t>
      </w:r>
      <w:r w:rsidRPr="001B7F77">
        <w:rPr>
          <w:rFonts w:eastAsia="Calibri"/>
          <w:color w:val="000000"/>
          <w:u w:val="single"/>
        </w:rPr>
        <w:tab/>
        <w:t>Existing places of assembly with valid Place of Assembly Certificates of Operation in prior code buildings.</w:t>
      </w:r>
    </w:p>
    <w:p w14:paraId="7136678C" w14:textId="77777777" w:rsidR="001B7F77" w:rsidRPr="001B7F77" w:rsidRDefault="001B7F77" w:rsidP="001B7F77">
      <w:pPr>
        <w:widowControl w:val="0"/>
        <w:suppressAutoHyphens/>
        <w:spacing w:before="120"/>
        <w:ind w:left="1440" w:hanging="360"/>
        <w:rPr>
          <w:rFonts w:eastAsia="Calibri"/>
          <w:color w:val="000000"/>
          <w:u w:val="single"/>
        </w:rPr>
      </w:pPr>
      <w:r w:rsidRPr="001B7F77">
        <w:rPr>
          <w:rFonts w:eastAsia="Calibri"/>
          <w:color w:val="000000"/>
          <w:u w:val="single"/>
        </w:rPr>
        <w:t>3.</w:t>
      </w:r>
      <w:r w:rsidRPr="001B7F77">
        <w:rPr>
          <w:rFonts w:eastAsia="Calibri"/>
          <w:color w:val="000000"/>
          <w:u w:val="single"/>
        </w:rPr>
        <w:tab/>
        <w:t>Existing special occupancy structures.</w:t>
      </w:r>
    </w:p>
    <w:p w14:paraId="4F2F6948" w14:textId="77777777" w:rsidR="001B7F77" w:rsidRPr="001B7F77" w:rsidRDefault="001B7F77" w:rsidP="001B7F77">
      <w:pPr>
        <w:widowControl w:val="0"/>
        <w:tabs>
          <w:tab w:val="left" w:pos="720"/>
        </w:tabs>
        <w:suppressAutoHyphens/>
        <w:spacing w:before="120"/>
        <w:rPr>
          <w:rFonts w:eastAsia="Calibri"/>
          <w:color w:val="000000"/>
        </w:rPr>
      </w:pPr>
      <w:r w:rsidRPr="001B7F77">
        <w:rPr>
          <w:rFonts w:eastAsia="Calibri"/>
          <w:b/>
          <w:color w:val="000000"/>
          <w:u w:val="single"/>
        </w:rPr>
        <w:t>805.4 Egress doorways.</w:t>
      </w:r>
      <w:r w:rsidRPr="001B7F77">
        <w:rPr>
          <w:rFonts w:eastAsia="Calibri"/>
          <w:color w:val="000000"/>
          <w:u w:val="single"/>
        </w:rPr>
        <w:t xml:space="preserve"> Egress doorways in any work area shall comply with Section 1006 of the </w:t>
      </w:r>
      <w:r w:rsidRPr="001B7F77">
        <w:rPr>
          <w:rFonts w:eastAsia="Calibri"/>
          <w:i/>
          <w:iCs/>
          <w:color w:val="000000"/>
          <w:u w:val="single"/>
        </w:rPr>
        <w:t>New York City Building Code</w:t>
      </w:r>
      <w:r w:rsidRPr="001B7F77">
        <w:rPr>
          <w:rFonts w:eastAsia="Calibri"/>
          <w:color w:val="000000"/>
          <w:u w:val="single"/>
        </w:rPr>
        <w:t xml:space="preserve"> and Sections 805.4.1 through 805.4.5 of this code.</w:t>
      </w:r>
    </w:p>
    <w:p w14:paraId="68E6E012" w14:textId="77777777" w:rsidR="001B7F77" w:rsidRPr="001B7F77" w:rsidRDefault="001B7F77" w:rsidP="001B7F77">
      <w:pPr>
        <w:widowControl w:val="0"/>
        <w:suppressAutoHyphens/>
        <w:spacing w:before="120"/>
        <w:ind w:left="360"/>
        <w:rPr>
          <w:rFonts w:eastAsia="Calibri"/>
          <w:color w:val="000000"/>
        </w:rPr>
      </w:pPr>
      <w:r w:rsidRPr="001B7F77">
        <w:rPr>
          <w:rFonts w:eastAsia="Calibri"/>
          <w:b/>
          <w:color w:val="000000"/>
          <w:u w:val="single"/>
        </w:rPr>
        <w:t>805.4.1 Required number of exits or exit access doorways.</w:t>
      </w:r>
      <w:r w:rsidRPr="001B7F77">
        <w:rPr>
          <w:rFonts w:eastAsia="Calibri"/>
          <w:color w:val="000000"/>
          <w:u w:val="single"/>
        </w:rPr>
        <w:t xml:space="preserve"> Work areas shall be provided with exits or exit access doorways in accordance with the requirements of Section 1006.2 of the </w:t>
      </w:r>
      <w:r w:rsidRPr="001B7F77">
        <w:rPr>
          <w:rFonts w:eastAsia="Calibri"/>
          <w:i/>
          <w:iCs/>
          <w:color w:val="000000"/>
          <w:u w:val="single"/>
        </w:rPr>
        <w:t>New York City Building Code</w:t>
      </w:r>
      <w:r w:rsidRPr="001B7F77">
        <w:rPr>
          <w:rFonts w:eastAsia="Calibri"/>
          <w:color w:val="000000"/>
          <w:u w:val="single"/>
        </w:rPr>
        <w:t xml:space="preserve"> except as stated in Sections 805.4.1.1 and 805.4.1.2 of this code.</w:t>
      </w:r>
    </w:p>
    <w:p w14:paraId="7C2F0879" w14:textId="77777777" w:rsidR="001B7F77" w:rsidRPr="001B7F77" w:rsidRDefault="001B7F77" w:rsidP="001B7F77">
      <w:pPr>
        <w:widowControl w:val="0"/>
        <w:tabs>
          <w:tab w:val="left" w:pos="720"/>
        </w:tabs>
        <w:suppressAutoHyphens/>
        <w:spacing w:before="120"/>
        <w:ind w:left="720"/>
        <w:rPr>
          <w:rFonts w:eastAsia="Calibri"/>
          <w:color w:val="000000"/>
        </w:rPr>
      </w:pPr>
      <w:r w:rsidRPr="001B7F77">
        <w:rPr>
          <w:rFonts w:eastAsia="Calibri"/>
          <w:b/>
          <w:color w:val="000000"/>
          <w:u w:val="single"/>
        </w:rPr>
        <w:t>805.4.1.1 Required number of exits and exit access doorways in prior code buildings.</w:t>
      </w:r>
      <w:r w:rsidRPr="001B7F77">
        <w:rPr>
          <w:rFonts w:eastAsia="Calibri"/>
          <w:color w:val="000000"/>
          <w:u w:val="single"/>
        </w:rPr>
        <w:t xml:space="preserve"> In any work areas in prior code buildings, all rooms and spaces having an occupant load not greater than specified in Table 805.4.1.1 shall be permitted to have one exit access doorway. In work areas in prior code buildings, rooms and spaces having an occupant load greater than specified by Table 805.4.1.1 shall have a minimum of two exit access doorways.</w:t>
      </w:r>
    </w:p>
    <w:p w14:paraId="3365066A" w14:textId="77777777" w:rsidR="001B7F77" w:rsidRPr="001B7F77" w:rsidRDefault="001B7F77" w:rsidP="001B7F77">
      <w:pPr>
        <w:widowControl w:val="0"/>
        <w:spacing w:before="120"/>
        <w:jc w:val="center"/>
        <w:outlineLvl w:val="0"/>
        <w:rPr>
          <w:rFonts w:eastAsia="Calibri"/>
          <w:b/>
          <w:bCs/>
          <w:color w:val="000000"/>
          <w:sz w:val="22"/>
          <w:szCs w:val="22"/>
          <w:u w:val="single"/>
        </w:rPr>
      </w:pPr>
      <w:r w:rsidRPr="001B7F77">
        <w:rPr>
          <w:rFonts w:eastAsia="Calibri" w:cs="Arial"/>
          <w:b/>
          <w:bCs/>
          <w:color w:val="000000"/>
          <w:sz w:val="22"/>
          <w:szCs w:val="22"/>
          <w:u w:val="single"/>
        </w:rPr>
        <w:t xml:space="preserve">TABLE 805.4.1.1 </w:t>
      </w:r>
      <w:r w:rsidRPr="001B7F77">
        <w:rPr>
          <w:rFonts w:eastAsia="Calibri" w:cs="Arial"/>
          <w:b/>
          <w:bCs/>
          <w:color w:val="000000"/>
          <w:sz w:val="22"/>
          <w:szCs w:val="22"/>
          <w:u w:val="single"/>
        </w:rPr>
        <w:br/>
        <w:t>MAXIMUM OCCUPANT LOAD FOR SPACES WITH ONE EXIT ACCESS DOOR IN PRIOR CODE BUILDINGS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189"/>
        <w:gridCol w:w="5161"/>
      </w:tblGrid>
      <w:tr w:rsidR="001B7F77" w:rsidRPr="001B7F77" w14:paraId="5C403627" w14:textId="77777777" w:rsidTr="006655A1">
        <w:tc>
          <w:tcPr>
            <w:tcW w:w="2240" w:type="pct"/>
            <w:tcBorders>
              <w:top w:val="single" w:sz="4" w:space="0" w:color="000000"/>
              <w:left w:val="single" w:sz="4" w:space="0" w:color="000000"/>
              <w:bottom w:val="single" w:sz="4" w:space="0" w:color="000000"/>
              <w:right w:val="single" w:sz="4" w:space="0" w:color="000000"/>
            </w:tcBorders>
            <w:vAlign w:val="center"/>
            <w:hideMark/>
          </w:tcPr>
          <w:p w14:paraId="45B3DF1C" w14:textId="77777777" w:rsidR="001B7F77" w:rsidRPr="001B7F77" w:rsidRDefault="001B7F77" w:rsidP="001B7F77">
            <w:pPr>
              <w:widowControl w:val="0"/>
              <w:suppressAutoHyphens/>
              <w:spacing w:before="120"/>
              <w:jc w:val="center"/>
              <w:rPr>
                <w:b/>
                <w:bCs/>
                <w:u w:val="single"/>
              </w:rPr>
            </w:pPr>
            <w:r w:rsidRPr="001B7F77">
              <w:rPr>
                <w:b/>
                <w:bCs/>
                <w:u w:val="single"/>
              </w:rPr>
              <w:t>OCCUPANCY GROUP CLASSIFICATION</w:t>
            </w:r>
          </w:p>
        </w:tc>
        <w:tc>
          <w:tcPr>
            <w:tcW w:w="2760" w:type="pct"/>
            <w:tcBorders>
              <w:top w:val="single" w:sz="4" w:space="0" w:color="000000"/>
              <w:left w:val="single" w:sz="4" w:space="0" w:color="000000"/>
              <w:bottom w:val="single" w:sz="4" w:space="0" w:color="000000"/>
              <w:right w:val="single" w:sz="4" w:space="0" w:color="000000"/>
            </w:tcBorders>
            <w:vAlign w:val="center"/>
            <w:hideMark/>
          </w:tcPr>
          <w:p w14:paraId="2082FD68" w14:textId="77777777" w:rsidR="001B7F77" w:rsidRPr="001B7F77" w:rsidRDefault="001B7F77" w:rsidP="001B7F77">
            <w:pPr>
              <w:widowControl w:val="0"/>
              <w:suppressAutoHyphens/>
              <w:spacing w:before="120"/>
              <w:jc w:val="center"/>
              <w:rPr>
                <w:b/>
                <w:bCs/>
                <w:u w:val="single"/>
              </w:rPr>
            </w:pPr>
            <w:r w:rsidRPr="001B7F77">
              <w:rPr>
                <w:b/>
                <w:bCs/>
                <w:u w:val="single"/>
              </w:rPr>
              <w:t>MAXIMUM OCCUPANT LOAD WITH ONE EXIT ACCESS DOOR</w:t>
            </w:r>
          </w:p>
        </w:tc>
      </w:tr>
      <w:tr w:rsidR="001B7F77" w:rsidRPr="001B7F77" w14:paraId="7A98116E" w14:textId="77777777" w:rsidTr="006655A1">
        <w:tc>
          <w:tcPr>
            <w:tcW w:w="2240" w:type="pct"/>
            <w:tcBorders>
              <w:top w:val="single" w:sz="4" w:space="0" w:color="000000"/>
              <w:left w:val="single" w:sz="4" w:space="0" w:color="000000"/>
              <w:bottom w:val="single" w:sz="4" w:space="0" w:color="000000"/>
              <w:right w:val="single" w:sz="4" w:space="0" w:color="000000"/>
            </w:tcBorders>
            <w:vAlign w:val="center"/>
            <w:hideMark/>
          </w:tcPr>
          <w:p w14:paraId="266A58ED" w14:textId="77777777" w:rsidR="001B7F77" w:rsidRPr="001B7F77" w:rsidRDefault="001B7F77" w:rsidP="001B7F77">
            <w:pPr>
              <w:widowControl w:val="0"/>
              <w:suppressAutoHyphens/>
              <w:spacing w:before="120"/>
              <w:jc w:val="center"/>
              <w:rPr>
                <w:u w:val="single"/>
              </w:rPr>
            </w:pPr>
            <w:r w:rsidRPr="001B7F77">
              <w:rPr>
                <w:u w:val="single"/>
              </w:rPr>
              <w:t>H</w:t>
            </w:r>
          </w:p>
        </w:tc>
        <w:tc>
          <w:tcPr>
            <w:tcW w:w="2760" w:type="pct"/>
            <w:tcBorders>
              <w:top w:val="single" w:sz="4" w:space="0" w:color="000000"/>
              <w:left w:val="single" w:sz="4" w:space="0" w:color="000000"/>
              <w:bottom w:val="single" w:sz="4" w:space="0" w:color="000000"/>
              <w:right w:val="single" w:sz="4" w:space="0" w:color="000000"/>
            </w:tcBorders>
            <w:vAlign w:val="center"/>
            <w:hideMark/>
          </w:tcPr>
          <w:p w14:paraId="58E23F02" w14:textId="77777777" w:rsidR="001B7F77" w:rsidRPr="001B7F77" w:rsidRDefault="001B7F77" w:rsidP="001B7F77">
            <w:pPr>
              <w:widowControl w:val="0"/>
              <w:suppressAutoHyphens/>
              <w:spacing w:before="120"/>
              <w:jc w:val="center"/>
              <w:rPr>
                <w:u w:val="single"/>
              </w:rPr>
            </w:pPr>
            <w:r w:rsidRPr="001B7F77">
              <w:rPr>
                <w:u w:val="single"/>
              </w:rPr>
              <w:t>10</w:t>
            </w:r>
          </w:p>
        </w:tc>
      </w:tr>
      <w:tr w:rsidR="001B7F77" w:rsidRPr="001B7F77" w14:paraId="0B717899" w14:textId="77777777" w:rsidTr="006655A1">
        <w:tc>
          <w:tcPr>
            <w:tcW w:w="2240" w:type="pct"/>
            <w:tcBorders>
              <w:top w:val="single" w:sz="4" w:space="0" w:color="000000"/>
              <w:left w:val="single" w:sz="4" w:space="0" w:color="000000"/>
              <w:bottom w:val="single" w:sz="4" w:space="0" w:color="000000"/>
              <w:right w:val="single" w:sz="4" w:space="0" w:color="000000"/>
            </w:tcBorders>
            <w:vAlign w:val="center"/>
            <w:hideMark/>
          </w:tcPr>
          <w:p w14:paraId="36E1A3C5" w14:textId="77777777" w:rsidR="001B7F77" w:rsidRPr="001B7F77" w:rsidRDefault="001B7F77" w:rsidP="001B7F77">
            <w:pPr>
              <w:widowControl w:val="0"/>
              <w:suppressAutoHyphens/>
              <w:spacing w:before="120"/>
              <w:jc w:val="center"/>
              <w:rPr>
                <w:u w:val="single"/>
              </w:rPr>
            </w:pPr>
            <w:r w:rsidRPr="001B7F77">
              <w:rPr>
                <w:u w:val="single"/>
              </w:rPr>
              <w:t>S</w:t>
            </w:r>
          </w:p>
        </w:tc>
        <w:tc>
          <w:tcPr>
            <w:tcW w:w="2760" w:type="pct"/>
            <w:tcBorders>
              <w:top w:val="single" w:sz="4" w:space="0" w:color="000000"/>
              <w:left w:val="single" w:sz="4" w:space="0" w:color="000000"/>
              <w:bottom w:val="single" w:sz="4" w:space="0" w:color="000000"/>
              <w:right w:val="single" w:sz="4" w:space="0" w:color="000000"/>
            </w:tcBorders>
            <w:vAlign w:val="center"/>
            <w:hideMark/>
          </w:tcPr>
          <w:p w14:paraId="09548B52" w14:textId="77777777" w:rsidR="001B7F77" w:rsidRPr="001B7F77" w:rsidRDefault="001B7F77" w:rsidP="001B7F77">
            <w:pPr>
              <w:widowControl w:val="0"/>
              <w:suppressAutoHyphens/>
              <w:spacing w:before="120"/>
              <w:jc w:val="center"/>
              <w:rPr>
                <w:u w:val="single"/>
              </w:rPr>
            </w:pPr>
            <w:r w:rsidRPr="001B7F77">
              <w:rPr>
                <w:u w:val="single"/>
              </w:rPr>
              <w:t>50</w:t>
            </w:r>
          </w:p>
        </w:tc>
      </w:tr>
      <w:tr w:rsidR="001B7F77" w:rsidRPr="001B7F77" w14:paraId="32EA6EFE" w14:textId="77777777" w:rsidTr="006655A1">
        <w:tc>
          <w:tcPr>
            <w:tcW w:w="2240" w:type="pct"/>
            <w:tcBorders>
              <w:top w:val="single" w:sz="4" w:space="0" w:color="000000"/>
              <w:left w:val="single" w:sz="4" w:space="0" w:color="000000"/>
              <w:bottom w:val="single" w:sz="4" w:space="0" w:color="000000"/>
              <w:right w:val="single" w:sz="4" w:space="0" w:color="000000"/>
            </w:tcBorders>
            <w:vAlign w:val="center"/>
            <w:hideMark/>
          </w:tcPr>
          <w:p w14:paraId="1B2C34B7" w14:textId="77777777" w:rsidR="001B7F77" w:rsidRPr="001B7F77" w:rsidRDefault="001B7F77" w:rsidP="001B7F77">
            <w:pPr>
              <w:widowControl w:val="0"/>
              <w:suppressAutoHyphens/>
              <w:spacing w:before="120"/>
              <w:jc w:val="center"/>
              <w:rPr>
                <w:u w:val="single"/>
              </w:rPr>
            </w:pPr>
            <w:r w:rsidRPr="001B7F77">
              <w:rPr>
                <w:u w:val="single"/>
              </w:rPr>
              <w:t>M</w:t>
            </w:r>
          </w:p>
        </w:tc>
        <w:tc>
          <w:tcPr>
            <w:tcW w:w="2760" w:type="pct"/>
            <w:tcBorders>
              <w:top w:val="single" w:sz="4" w:space="0" w:color="000000"/>
              <w:left w:val="single" w:sz="4" w:space="0" w:color="000000"/>
              <w:bottom w:val="single" w:sz="4" w:space="0" w:color="000000"/>
              <w:right w:val="single" w:sz="4" w:space="0" w:color="000000"/>
            </w:tcBorders>
            <w:vAlign w:val="center"/>
            <w:hideMark/>
          </w:tcPr>
          <w:p w14:paraId="09EF0DA0" w14:textId="77777777" w:rsidR="001B7F77" w:rsidRPr="001B7F77" w:rsidRDefault="001B7F77" w:rsidP="001B7F77">
            <w:pPr>
              <w:widowControl w:val="0"/>
              <w:suppressAutoHyphens/>
              <w:spacing w:before="120"/>
              <w:jc w:val="center"/>
              <w:rPr>
                <w:u w:val="single"/>
              </w:rPr>
            </w:pPr>
            <w:r w:rsidRPr="001B7F77">
              <w:rPr>
                <w:u w:val="single"/>
              </w:rPr>
              <w:t>74</w:t>
            </w:r>
          </w:p>
        </w:tc>
      </w:tr>
      <w:tr w:rsidR="001B7F77" w:rsidRPr="001B7F77" w14:paraId="2F3AA352" w14:textId="77777777" w:rsidTr="006655A1">
        <w:tc>
          <w:tcPr>
            <w:tcW w:w="2240" w:type="pct"/>
            <w:tcBorders>
              <w:top w:val="single" w:sz="4" w:space="0" w:color="000000"/>
              <w:left w:val="single" w:sz="4" w:space="0" w:color="000000"/>
              <w:bottom w:val="single" w:sz="4" w:space="0" w:color="000000"/>
              <w:right w:val="single" w:sz="4" w:space="0" w:color="000000"/>
            </w:tcBorders>
            <w:vAlign w:val="center"/>
            <w:hideMark/>
          </w:tcPr>
          <w:p w14:paraId="66B0E521" w14:textId="77777777" w:rsidR="001B7F77" w:rsidRPr="001B7F77" w:rsidRDefault="001B7F77" w:rsidP="001B7F77">
            <w:pPr>
              <w:widowControl w:val="0"/>
              <w:suppressAutoHyphens/>
              <w:spacing w:before="120"/>
              <w:jc w:val="center"/>
              <w:rPr>
                <w:u w:val="single"/>
              </w:rPr>
            </w:pPr>
            <w:r w:rsidRPr="001B7F77">
              <w:rPr>
                <w:u w:val="single"/>
              </w:rPr>
              <w:t>F</w:t>
            </w:r>
          </w:p>
        </w:tc>
        <w:tc>
          <w:tcPr>
            <w:tcW w:w="2760" w:type="pct"/>
            <w:tcBorders>
              <w:top w:val="single" w:sz="4" w:space="0" w:color="000000"/>
              <w:left w:val="single" w:sz="4" w:space="0" w:color="000000"/>
              <w:bottom w:val="single" w:sz="4" w:space="0" w:color="000000"/>
              <w:right w:val="single" w:sz="4" w:space="0" w:color="000000"/>
            </w:tcBorders>
            <w:vAlign w:val="center"/>
            <w:hideMark/>
          </w:tcPr>
          <w:p w14:paraId="2B53218B" w14:textId="77777777" w:rsidR="001B7F77" w:rsidRPr="001B7F77" w:rsidRDefault="001B7F77" w:rsidP="001B7F77">
            <w:pPr>
              <w:widowControl w:val="0"/>
              <w:suppressAutoHyphens/>
              <w:spacing w:before="120"/>
              <w:jc w:val="center"/>
              <w:rPr>
                <w:u w:val="single"/>
              </w:rPr>
            </w:pPr>
            <w:r w:rsidRPr="001B7F77">
              <w:rPr>
                <w:u w:val="single"/>
              </w:rPr>
              <w:t>50</w:t>
            </w:r>
          </w:p>
        </w:tc>
      </w:tr>
      <w:tr w:rsidR="001B7F77" w:rsidRPr="001B7F77" w14:paraId="772A3EBB" w14:textId="77777777" w:rsidTr="006655A1">
        <w:tc>
          <w:tcPr>
            <w:tcW w:w="2240" w:type="pct"/>
            <w:tcBorders>
              <w:top w:val="single" w:sz="4" w:space="0" w:color="000000"/>
              <w:left w:val="single" w:sz="4" w:space="0" w:color="000000"/>
              <w:bottom w:val="single" w:sz="4" w:space="0" w:color="000000"/>
              <w:right w:val="single" w:sz="4" w:space="0" w:color="000000"/>
            </w:tcBorders>
            <w:vAlign w:val="center"/>
            <w:hideMark/>
          </w:tcPr>
          <w:p w14:paraId="779841C0" w14:textId="77777777" w:rsidR="001B7F77" w:rsidRPr="001B7F77" w:rsidRDefault="001B7F77" w:rsidP="001B7F77">
            <w:pPr>
              <w:widowControl w:val="0"/>
              <w:suppressAutoHyphens/>
              <w:spacing w:before="120"/>
              <w:jc w:val="center"/>
              <w:rPr>
                <w:u w:val="single"/>
              </w:rPr>
            </w:pPr>
            <w:r w:rsidRPr="001B7F77">
              <w:rPr>
                <w:u w:val="single"/>
              </w:rPr>
              <w:t>B</w:t>
            </w:r>
          </w:p>
        </w:tc>
        <w:tc>
          <w:tcPr>
            <w:tcW w:w="2760" w:type="pct"/>
            <w:tcBorders>
              <w:top w:val="single" w:sz="4" w:space="0" w:color="000000"/>
              <w:left w:val="single" w:sz="4" w:space="0" w:color="000000"/>
              <w:bottom w:val="single" w:sz="4" w:space="0" w:color="000000"/>
              <w:right w:val="single" w:sz="4" w:space="0" w:color="000000"/>
            </w:tcBorders>
            <w:vAlign w:val="center"/>
            <w:hideMark/>
          </w:tcPr>
          <w:p w14:paraId="271F4F19" w14:textId="77777777" w:rsidR="001B7F77" w:rsidRPr="001B7F77" w:rsidRDefault="001B7F77" w:rsidP="001B7F77">
            <w:pPr>
              <w:widowControl w:val="0"/>
              <w:suppressAutoHyphens/>
              <w:spacing w:before="120"/>
              <w:jc w:val="center"/>
              <w:rPr>
                <w:u w:val="single"/>
              </w:rPr>
            </w:pPr>
            <w:r w:rsidRPr="001B7F77">
              <w:rPr>
                <w:u w:val="single"/>
              </w:rPr>
              <w:t>74</w:t>
            </w:r>
          </w:p>
        </w:tc>
      </w:tr>
      <w:tr w:rsidR="001B7F77" w:rsidRPr="001B7F77" w14:paraId="1463B344" w14:textId="77777777" w:rsidTr="006655A1">
        <w:tc>
          <w:tcPr>
            <w:tcW w:w="2240" w:type="pct"/>
            <w:tcBorders>
              <w:top w:val="single" w:sz="4" w:space="0" w:color="000000"/>
              <w:left w:val="single" w:sz="4" w:space="0" w:color="000000"/>
              <w:bottom w:val="single" w:sz="4" w:space="0" w:color="000000"/>
              <w:right w:val="single" w:sz="4" w:space="0" w:color="000000"/>
            </w:tcBorders>
            <w:vAlign w:val="center"/>
            <w:hideMark/>
          </w:tcPr>
          <w:p w14:paraId="2AB5852B" w14:textId="77777777" w:rsidR="001B7F77" w:rsidRPr="001B7F77" w:rsidRDefault="001B7F77" w:rsidP="001B7F77">
            <w:pPr>
              <w:widowControl w:val="0"/>
              <w:suppressAutoHyphens/>
              <w:spacing w:before="120"/>
              <w:jc w:val="center"/>
              <w:rPr>
                <w:u w:val="single"/>
              </w:rPr>
            </w:pPr>
            <w:r w:rsidRPr="001B7F77">
              <w:rPr>
                <w:u w:val="single"/>
              </w:rPr>
              <w:t>A</w:t>
            </w:r>
          </w:p>
        </w:tc>
        <w:tc>
          <w:tcPr>
            <w:tcW w:w="2760" w:type="pct"/>
            <w:tcBorders>
              <w:top w:val="single" w:sz="4" w:space="0" w:color="000000"/>
              <w:left w:val="single" w:sz="4" w:space="0" w:color="000000"/>
              <w:bottom w:val="single" w:sz="4" w:space="0" w:color="000000"/>
              <w:right w:val="single" w:sz="4" w:space="0" w:color="000000"/>
            </w:tcBorders>
            <w:vAlign w:val="center"/>
            <w:hideMark/>
          </w:tcPr>
          <w:p w14:paraId="10C29891" w14:textId="77777777" w:rsidR="001B7F77" w:rsidRPr="001B7F77" w:rsidRDefault="001B7F77" w:rsidP="001B7F77">
            <w:pPr>
              <w:widowControl w:val="0"/>
              <w:suppressAutoHyphens/>
              <w:spacing w:before="120"/>
              <w:jc w:val="center"/>
              <w:rPr>
                <w:u w:val="single"/>
              </w:rPr>
            </w:pPr>
            <w:r w:rsidRPr="001B7F77">
              <w:rPr>
                <w:u w:val="single"/>
              </w:rPr>
              <w:t>74</w:t>
            </w:r>
          </w:p>
        </w:tc>
      </w:tr>
      <w:tr w:rsidR="001B7F77" w:rsidRPr="001B7F77" w14:paraId="1D3DC5D9" w14:textId="77777777" w:rsidTr="006655A1">
        <w:tc>
          <w:tcPr>
            <w:tcW w:w="2240" w:type="pct"/>
            <w:tcBorders>
              <w:top w:val="single" w:sz="4" w:space="0" w:color="000000"/>
              <w:left w:val="single" w:sz="4" w:space="0" w:color="000000"/>
              <w:bottom w:val="single" w:sz="4" w:space="0" w:color="000000"/>
              <w:right w:val="single" w:sz="4" w:space="0" w:color="000000"/>
            </w:tcBorders>
            <w:vAlign w:val="center"/>
            <w:hideMark/>
          </w:tcPr>
          <w:p w14:paraId="4FE10135" w14:textId="77777777" w:rsidR="001B7F77" w:rsidRPr="001B7F77" w:rsidRDefault="001B7F77" w:rsidP="001B7F77">
            <w:pPr>
              <w:widowControl w:val="0"/>
              <w:suppressAutoHyphens/>
              <w:spacing w:before="120"/>
              <w:jc w:val="center"/>
              <w:rPr>
                <w:u w:val="single"/>
              </w:rPr>
            </w:pPr>
            <w:r w:rsidRPr="001B7F77">
              <w:rPr>
                <w:u w:val="single"/>
              </w:rPr>
              <w:t>E</w:t>
            </w:r>
          </w:p>
        </w:tc>
        <w:tc>
          <w:tcPr>
            <w:tcW w:w="2760" w:type="pct"/>
            <w:tcBorders>
              <w:top w:val="single" w:sz="4" w:space="0" w:color="000000"/>
              <w:left w:val="single" w:sz="4" w:space="0" w:color="000000"/>
              <w:bottom w:val="single" w:sz="4" w:space="0" w:color="000000"/>
              <w:right w:val="single" w:sz="4" w:space="0" w:color="000000"/>
            </w:tcBorders>
            <w:vAlign w:val="center"/>
            <w:hideMark/>
          </w:tcPr>
          <w:p w14:paraId="05F82F5D" w14:textId="77777777" w:rsidR="001B7F77" w:rsidRPr="001B7F77" w:rsidRDefault="001B7F77" w:rsidP="001B7F77">
            <w:pPr>
              <w:widowControl w:val="0"/>
              <w:suppressAutoHyphens/>
              <w:spacing w:before="120"/>
              <w:jc w:val="center"/>
              <w:rPr>
                <w:u w:val="single"/>
              </w:rPr>
            </w:pPr>
            <w:r w:rsidRPr="001B7F77">
              <w:rPr>
                <w:u w:val="single"/>
              </w:rPr>
              <w:t>74</w:t>
            </w:r>
          </w:p>
        </w:tc>
      </w:tr>
      <w:tr w:rsidR="001B7F77" w:rsidRPr="001B7F77" w14:paraId="2A004D16" w14:textId="77777777" w:rsidTr="006655A1">
        <w:tc>
          <w:tcPr>
            <w:tcW w:w="2240" w:type="pct"/>
            <w:tcBorders>
              <w:top w:val="single" w:sz="4" w:space="0" w:color="000000"/>
              <w:left w:val="single" w:sz="4" w:space="0" w:color="000000"/>
              <w:bottom w:val="single" w:sz="4" w:space="0" w:color="000000"/>
              <w:right w:val="single" w:sz="4" w:space="0" w:color="000000"/>
            </w:tcBorders>
            <w:vAlign w:val="center"/>
            <w:hideMark/>
          </w:tcPr>
          <w:p w14:paraId="65DBDF1C" w14:textId="77777777" w:rsidR="001B7F77" w:rsidRPr="001B7F77" w:rsidRDefault="001B7F77" w:rsidP="001B7F77">
            <w:pPr>
              <w:widowControl w:val="0"/>
              <w:suppressAutoHyphens/>
              <w:spacing w:before="120"/>
              <w:jc w:val="center"/>
              <w:rPr>
                <w:u w:val="single"/>
              </w:rPr>
            </w:pPr>
            <w:r w:rsidRPr="001B7F77">
              <w:rPr>
                <w:u w:val="single"/>
              </w:rPr>
              <w:t>I-1, I-2, I-3, I-4</w:t>
            </w:r>
          </w:p>
        </w:tc>
        <w:tc>
          <w:tcPr>
            <w:tcW w:w="2760" w:type="pct"/>
            <w:tcBorders>
              <w:top w:val="single" w:sz="4" w:space="0" w:color="000000"/>
              <w:left w:val="single" w:sz="4" w:space="0" w:color="000000"/>
              <w:bottom w:val="single" w:sz="4" w:space="0" w:color="000000"/>
              <w:right w:val="single" w:sz="4" w:space="0" w:color="000000"/>
            </w:tcBorders>
            <w:vAlign w:val="center"/>
            <w:hideMark/>
          </w:tcPr>
          <w:p w14:paraId="3F0B27BD" w14:textId="77777777" w:rsidR="001B7F77" w:rsidRPr="001B7F77" w:rsidRDefault="001B7F77" w:rsidP="001B7F77">
            <w:pPr>
              <w:widowControl w:val="0"/>
              <w:suppressAutoHyphens/>
              <w:spacing w:before="120"/>
              <w:jc w:val="center"/>
              <w:rPr>
                <w:u w:val="single"/>
              </w:rPr>
            </w:pPr>
            <w:r w:rsidRPr="001B7F77">
              <w:rPr>
                <w:u w:val="single"/>
              </w:rPr>
              <w:t>15</w:t>
            </w:r>
          </w:p>
        </w:tc>
      </w:tr>
      <w:tr w:rsidR="001B7F77" w:rsidRPr="001B7F77" w14:paraId="409B64EA" w14:textId="77777777" w:rsidTr="006655A1">
        <w:tc>
          <w:tcPr>
            <w:tcW w:w="2240" w:type="pct"/>
            <w:tcBorders>
              <w:top w:val="single" w:sz="4" w:space="0" w:color="000000"/>
              <w:left w:val="single" w:sz="4" w:space="0" w:color="000000"/>
              <w:bottom w:val="single" w:sz="4" w:space="0" w:color="000000"/>
              <w:right w:val="single" w:sz="4" w:space="0" w:color="000000"/>
            </w:tcBorders>
            <w:vAlign w:val="center"/>
            <w:hideMark/>
          </w:tcPr>
          <w:p w14:paraId="689A0D25" w14:textId="77777777" w:rsidR="001B7F77" w:rsidRPr="001B7F77" w:rsidRDefault="001B7F77" w:rsidP="001B7F77">
            <w:pPr>
              <w:widowControl w:val="0"/>
              <w:suppressAutoHyphens/>
              <w:spacing w:before="120"/>
              <w:jc w:val="center"/>
              <w:rPr>
                <w:u w:val="single"/>
              </w:rPr>
            </w:pPr>
            <w:r w:rsidRPr="001B7F77">
              <w:rPr>
                <w:u w:val="single"/>
              </w:rPr>
              <w:t>R-1, R-2, R-3</w:t>
            </w:r>
          </w:p>
        </w:tc>
        <w:tc>
          <w:tcPr>
            <w:tcW w:w="2760" w:type="pct"/>
            <w:tcBorders>
              <w:top w:val="single" w:sz="4" w:space="0" w:color="000000"/>
              <w:left w:val="single" w:sz="4" w:space="0" w:color="000000"/>
              <w:bottom w:val="single" w:sz="4" w:space="0" w:color="000000"/>
              <w:right w:val="single" w:sz="4" w:space="0" w:color="000000"/>
            </w:tcBorders>
            <w:vAlign w:val="center"/>
            <w:hideMark/>
          </w:tcPr>
          <w:p w14:paraId="78F74192" w14:textId="77777777" w:rsidR="001B7F77" w:rsidRPr="001B7F77" w:rsidRDefault="001B7F77" w:rsidP="001B7F77">
            <w:pPr>
              <w:widowControl w:val="0"/>
              <w:suppressAutoHyphens/>
              <w:spacing w:before="120"/>
              <w:jc w:val="center"/>
              <w:rPr>
                <w:u w:val="single"/>
              </w:rPr>
            </w:pPr>
            <w:r w:rsidRPr="001B7F77">
              <w:rPr>
                <w:u w:val="single"/>
              </w:rPr>
              <w:t>20</w:t>
            </w:r>
          </w:p>
        </w:tc>
      </w:tr>
    </w:tbl>
    <w:p w14:paraId="247B4DFC" w14:textId="77777777" w:rsidR="001B7F77" w:rsidRPr="001B7F77" w:rsidRDefault="001B7F77" w:rsidP="001B7F77">
      <w:pPr>
        <w:widowControl w:val="0"/>
        <w:tabs>
          <w:tab w:val="left" w:pos="720"/>
        </w:tabs>
        <w:suppressAutoHyphens/>
        <w:spacing w:before="120"/>
        <w:ind w:left="720"/>
        <w:rPr>
          <w:rFonts w:eastAsia="Calibri"/>
          <w:color w:val="000000"/>
        </w:rPr>
      </w:pPr>
      <w:r w:rsidRPr="001B7F77">
        <w:rPr>
          <w:rFonts w:eastAsia="Calibri"/>
          <w:b/>
          <w:color w:val="000000"/>
          <w:u w:val="single"/>
        </w:rPr>
        <w:t xml:space="preserve">805.4.1.2 Occupancy Group I-2. </w:t>
      </w:r>
      <w:r w:rsidRPr="001B7F77">
        <w:rPr>
          <w:rFonts w:eastAsia="Calibri"/>
          <w:color w:val="000000"/>
          <w:u w:val="single"/>
        </w:rPr>
        <w:t>In buildings classified as Group I-2 occupancy, any patient sleeping room or suite of patient rooms greater than 1,000 square feet (93 m</w:t>
      </w:r>
      <w:r w:rsidRPr="001B7F77">
        <w:rPr>
          <w:rFonts w:eastAsia="Calibri"/>
          <w:color w:val="000000"/>
          <w:u w:val="single"/>
          <w:vertAlign w:val="superscript"/>
        </w:rPr>
        <w:t>2</w:t>
      </w:r>
      <w:r w:rsidRPr="001B7F77">
        <w:rPr>
          <w:rFonts w:eastAsia="Calibri"/>
          <w:color w:val="000000"/>
          <w:u w:val="single"/>
        </w:rPr>
        <w:t>) within the work area shall have a minimum of two egress doors.</w:t>
      </w:r>
    </w:p>
    <w:p w14:paraId="296B8262" w14:textId="77777777" w:rsidR="001B7F77" w:rsidRPr="001B7F77" w:rsidRDefault="001B7F77" w:rsidP="001B7F77">
      <w:pPr>
        <w:widowControl w:val="0"/>
        <w:suppressAutoHyphens/>
        <w:spacing w:before="120"/>
        <w:ind w:left="360"/>
        <w:rPr>
          <w:rFonts w:eastAsia="Calibri"/>
          <w:color w:val="000000"/>
        </w:rPr>
      </w:pPr>
      <w:r w:rsidRPr="001B7F77">
        <w:rPr>
          <w:rFonts w:eastAsia="Calibri"/>
          <w:b/>
          <w:bCs/>
          <w:u w:val="single"/>
        </w:rPr>
        <w:t>805.4.2 Door swing.</w:t>
      </w:r>
      <w:r w:rsidRPr="001B7F77">
        <w:rPr>
          <w:rFonts w:eastAsia="Calibri"/>
          <w:u w:val="single"/>
        </w:rPr>
        <w:t xml:space="preserve"> In the work area, all means of egress doors serving rooms or spaces requiring more than one exit access door shall swing in the direction of exit travel. All means of egress doors from work areas that include an automatic teller machine (“ATM”) shall swing in the direction of exit travel.</w:t>
      </w:r>
    </w:p>
    <w:p w14:paraId="1C75A82B" w14:textId="77777777" w:rsidR="001B7F77" w:rsidRPr="001B7F77" w:rsidRDefault="001B7F77" w:rsidP="001B7F77">
      <w:pPr>
        <w:widowControl w:val="0"/>
        <w:suppressAutoHyphens/>
        <w:spacing w:before="120"/>
        <w:ind w:left="720"/>
        <w:rPr>
          <w:rFonts w:eastAsia="Calibri"/>
          <w:color w:val="000000"/>
          <w:u w:val="single"/>
        </w:rPr>
      </w:pPr>
      <w:r w:rsidRPr="001B7F77">
        <w:rPr>
          <w:rFonts w:eastAsia="Calibri"/>
          <w:b/>
          <w:color w:val="000000"/>
          <w:u w:val="single"/>
        </w:rPr>
        <w:t>805.4.2.1 Supplemental requirements for door swing.</w:t>
      </w:r>
      <w:r w:rsidRPr="001B7F77">
        <w:rPr>
          <w:rFonts w:eastAsia="Calibri"/>
          <w:color w:val="000000"/>
          <w:u w:val="single"/>
        </w:rPr>
        <w:t xml:space="preserve"> Where the work area exceeds 50 percent of the floor area, door swing shall comply with Section 805.4.2 throughout the floor.</w:t>
      </w:r>
    </w:p>
    <w:p w14:paraId="68C146CC" w14:textId="77777777" w:rsidR="001B7F77" w:rsidRPr="001B7F77" w:rsidRDefault="001B7F77" w:rsidP="001B7F77">
      <w:pPr>
        <w:widowControl w:val="0"/>
        <w:suppressAutoHyphens/>
        <w:spacing w:before="120"/>
        <w:ind w:left="1080"/>
        <w:rPr>
          <w:rFonts w:eastAsia="Calibri"/>
          <w:color w:val="000000"/>
        </w:rPr>
      </w:pPr>
      <w:r w:rsidRPr="001B7F77">
        <w:rPr>
          <w:rFonts w:eastAsia="Calibri"/>
          <w:b/>
          <w:color w:val="000000"/>
          <w:u w:val="single"/>
        </w:rPr>
        <w:t>Exception:</w:t>
      </w:r>
      <w:r w:rsidRPr="001B7F77">
        <w:rPr>
          <w:rFonts w:eastAsia="Calibri"/>
          <w:color w:val="000000"/>
          <w:u w:val="single"/>
        </w:rPr>
        <w:t xml:space="preserve"> </w:t>
      </w:r>
      <w:bookmarkStart w:id="175" w:name="_Hlk72831499"/>
      <w:r w:rsidRPr="001B7F77">
        <w:rPr>
          <w:rFonts w:eastAsia="Calibri"/>
          <w:color w:val="000000"/>
          <w:u w:val="single"/>
        </w:rPr>
        <w:t>Means of egress within or serving only an occupied space under separate tenancy that is entirely outside the work area.</w:t>
      </w:r>
    </w:p>
    <w:bookmarkEnd w:id="175"/>
    <w:p w14:paraId="59C5DD65" w14:textId="77777777" w:rsidR="001B7F77" w:rsidRPr="001B7F77" w:rsidRDefault="001B7F77" w:rsidP="001B7F77">
      <w:pPr>
        <w:widowControl w:val="0"/>
        <w:suppressAutoHyphens/>
        <w:spacing w:before="120"/>
        <w:ind w:left="360"/>
        <w:rPr>
          <w:rFonts w:eastAsia="Calibri"/>
          <w:color w:val="000000"/>
          <w:u w:val="single"/>
        </w:rPr>
      </w:pPr>
      <w:r w:rsidRPr="001B7F77">
        <w:rPr>
          <w:rFonts w:eastAsia="Calibri"/>
          <w:b/>
          <w:color w:val="000000"/>
          <w:u w:val="single"/>
        </w:rPr>
        <w:t>805.4.3 Door closing.</w:t>
      </w:r>
      <w:r w:rsidRPr="001B7F77">
        <w:rPr>
          <w:rFonts w:eastAsia="Calibri"/>
          <w:color w:val="000000"/>
          <w:u w:val="single"/>
        </w:rPr>
        <w:t xml:space="preserve"> In any work area, all doors opening onto an exit passageway at grade or an exit stairway shall be self-closing or automatic-closing by listed closing devices.</w:t>
      </w:r>
    </w:p>
    <w:p w14:paraId="16CB4B01" w14:textId="77777777" w:rsidR="001B7F77" w:rsidRPr="001B7F77" w:rsidRDefault="001B7F77" w:rsidP="001B7F77">
      <w:pPr>
        <w:widowControl w:val="0"/>
        <w:suppressAutoHyphens/>
        <w:spacing w:before="120"/>
        <w:ind w:left="720"/>
        <w:rPr>
          <w:rFonts w:eastAsia="Calibri"/>
          <w:color w:val="000000"/>
          <w:u w:val="single"/>
        </w:rPr>
      </w:pPr>
      <w:r w:rsidRPr="001B7F77">
        <w:rPr>
          <w:rFonts w:eastAsia="Calibri"/>
          <w:b/>
          <w:color w:val="000000"/>
          <w:u w:val="single"/>
        </w:rPr>
        <w:t xml:space="preserve">Exception: </w:t>
      </w:r>
      <w:r w:rsidRPr="001B7F77">
        <w:rPr>
          <w:rFonts w:eastAsia="Calibri"/>
          <w:color w:val="000000"/>
          <w:u w:val="single"/>
        </w:rPr>
        <w:t xml:space="preserve">Where exit enclosure is not required by the </w:t>
      </w:r>
      <w:r w:rsidRPr="001B7F77">
        <w:rPr>
          <w:rFonts w:eastAsia="Calibri"/>
          <w:i/>
          <w:iCs/>
          <w:color w:val="000000"/>
          <w:u w:val="single"/>
        </w:rPr>
        <w:t>New York City Building Code</w:t>
      </w:r>
      <w:r w:rsidRPr="001B7F77">
        <w:rPr>
          <w:rFonts w:eastAsia="Calibri"/>
          <w:color w:val="000000"/>
          <w:u w:val="single"/>
        </w:rPr>
        <w:t>.</w:t>
      </w:r>
    </w:p>
    <w:p w14:paraId="10091AA4" w14:textId="77777777" w:rsidR="001B7F77" w:rsidRPr="001B7F77" w:rsidRDefault="001B7F77" w:rsidP="001B7F77">
      <w:pPr>
        <w:widowControl w:val="0"/>
        <w:suppressAutoHyphens/>
        <w:spacing w:before="120"/>
        <w:ind w:left="720"/>
        <w:rPr>
          <w:rFonts w:eastAsia="Calibri"/>
          <w:color w:val="000000"/>
          <w:u w:val="single"/>
        </w:rPr>
      </w:pPr>
      <w:bookmarkStart w:id="176" w:name="_Hlk77586793"/>
      <w:r w:rsidRPr="001B7F77">
        <w:rPr>
          <w:rFonts w:eastAsia="Calibri"/>
          <w:b/>
          <w:bCs/>
          <w:color w:val="000000"/>
          <w:u w:val="single"/>
        </w:rPr>
        <w:t>805.4.3.1 Supplemental requirements for door closing.</w:t>
      </w:r>
      <w:r w:rsidRPr="001B7F77">
        <w:rPr>
          <w:rFonts w:eastAsia="Calibri"/>
          <w:color w:val="000000"/>
          <w:u w:val="single"/>
        </w:rPr>
        <w:t xml:space="preserve"> Where the work area exceeds 50 percent of the floor area, door closing shall comply with the following requirements:</w:t>
      </w:r>
    </w:p>
    <w:p w14:paraId="484FBEAC" w14:textId="77777777" w:rsidR="001B7F77" w:rsidRPr="001B7F77" w:rsidRDefault="001B7F77" w:rsidP="001B7F77">
      <w:pPr>
        <w:widowControl w:val="0"/>
        <w:tabs>
          <w:tab w:val="left" w:pos="1440"/>
        </w:tabs>
        <w:suppressAutoHyphens/>
        <w:spacing w:before="120"/>
        <w:ind w:left="1440" w:hanging="360"/>
        <w:rPr>
          <w:rFonts w:eastAsia="Calibri"/>
          <w:color w:val="000000"/>
          <w:u w:val="single"/>
        </w:rPr>
      </w:pPr>
      <w:r w:rsidRPr="001B7F77">
        <w:rPr>
          <w:rFonts w:eastAsia="Calibri"/>
          <w:color w:val="000000"/>
          <w:u w:val="single"/>
        </w:rPr>
        <w:t>1.</w:t>
      </w:r>
      <w:r w:rsidRPr="001B7F77">
        <w:rPr>
          <w:rFonts w:eastAsia="Calibri"/>
          <w:color w:val="000000"/>
          <w:u w:val="single"/>
        </w:rPr>
        <w:tab/>
        <w:t>New or existing fire doors opening from the work area to exit stairways, exit passageways at grade or exit discharge shall comply with Section 805.4.3; and</w:t>
      </w:r>
    </w:p>
    <w:p w14:paraId="3652B60F" w14:textId="77777777" w:rsidR="001B7F77" w:rsidRPr="001B7F77" w:rsidRDefault="001B7F77" w:rsidP="001B7F77">
      <w:pPr>
        <w:widowControl w:val="0"/>
        <w:tabs>
          <w:tab w:val="left" w:pos="1440"/>
        </w:tabs>
        <w:suppressAutoHyphens/>
        <w:spacing w:before="120"/>
        <w:ind w:left="1440" w:hanging="360"/>
        <w:rPr>
          <w:rFonts w:eastAsia="Times"/>
          <w:color w:val="000000"/>
          <w:u w:val="single"/>
        </w:rPr>
      </w:pPr>
      <w:r w:rsidRPr="001B7F77">
        <w:rPr>
          <w:rFonts w:eastAsia="Times"/>
          <w:color w:val="000000"/>
          <w:u w:val="single"/>
        </w:rPr>
        <w:t>2.</w:t>
      </w:r>
      <w:r w:rsidRPr="001B7F77">
        <w:rPr>
          <w:rFonts w:eastAsia="Times"/>
          <w:color w:val="000000"/>
          <w:u w:val="single"/>
        </w:rPr>
        <w:tab/>
        <w:t>The building owner shall certify</w:t>
      </w:r>
      <w:r w:rsidRPr="001B7F77">
        <w:rPr>
          <w:color w:val="000000"/>
          <w:u w:val="single"/>
        </w:rPr>
        <w:t>, in a form acceptable</w:t>
      </w:r>
      <w:r w:rsidRPr="001B7F77">
        <w:rPr>
          <w:rFonts w:eastAsia="Times"/>
          <w:color w:val="000000"/>
          <w:u w:val="single"/>
        </w:rPr>
        <w:t xml:space="preserve"> to the department, that all other fire doors throughout the exit stairway from the level of the work area to the exit discharge, including </w:t>
      </w:r>
      <w:r w:rsidRPr="001B7F77">
        <w:rPr>
          <w:color w:val="000000"/>
          <w:u w:val="single"/>
        </w:rPr>
        <w:t>fire</w:t>
      </w:r>
      <w:r w:rsidRPr="001B7F77">
        <w:rPr>
          <w:rFonts w:eastAsia="Times"/>
          <w:color w:val="000000"/>
          <w:u w:val="single"/>
        </w:rPr>
        <w:t xml:space="preserve"> doors to exit passageways and exit discharge, are self-closing or automatic-closing </w:t>
      </w:r>
      <w:r w:rsidRPr="001B7F77">
        <w:rPr>
          <w:color w:val="000000"/>
          <w:u w:val="single"/>
        </w:rPr>
        <w:t xml:space="preserve">in accordance with Section 716.5.9 of the </w:t>
      </w:r>
      <w:r w:rsidRPr="001B7F77">
        <w:rPr>
          <w:i/>
          <w:iCs/>
          <w:color w:val="000000"/>
          <w:u w:val="single"/>
        </w:rPr>
        <w:t>New York City Building Code</w:t>
      </w:r>
      <w:r w:rsidRPr="001B7F77">
        <w:rPr>
          <w:rFonts w:eastAsia="Times"/>
          <w:color w:val="000000"/>
          <w:u w:val="single"/>
        </w:rPr>
        <w:t>.</w:t>
      </w:r>
    </w:p>
    <w:bookmarkEnd w:id="176"/>
    <w:p w14:paraId="1E1F34AB" w14:textId="77777777" w:rsidR="001B7F77" w:rsidRPr="001B7F77" w:rsidRDefault="001B7F77" w:rsidP="001B7F77">
      <w:pPr>
        <w:widowControl w:val="0"/>
        <w:suppressAutoHyphens/>
        <w:spacing w:before="120"/>
        <w:ind w:left="360"/>
        <w:rPr>
          <w:rFonts w:eastAsia="Calibri"/>
          <w:color w:val="000000"/>
        </w:rPr>
      </w:pPr>
      <w:r w:rsidRPr="001B7F77">
        <w:rPr>
          <w:rFonts w:eastAsia="Calibri"/>
          <w:b/>
          <w:color w:val="000000"/>
          <w:u w:val="single"/>
        </w:rPr>
        <w:t>805.4.4 Panic hardware.</w:t>
      </w:r>
      <w:r w:rsidRPr="001B7F77">
        <w:rPr>
          <w:rFonts w:eastAsia="Calibri"/>
          <w:color w:val="000000"/>
          <w:u w:val="single"/>
        </w:rPr>
        <w:t xml:space="preserve"> In any work area, and in the egress path from any work area to the exit discharge, in buildings or portions thereof classified as Group H occupancies, Groups A and E occupancies with an occupant load greater than 74, and non-accessory tenant spaces or accessory rooms or spaces used for assembly purposes permitted to be classified as Group B occupancies, all required exit doors equipped with latching devices shall be equipped with approved panic hardware.</w:t>
      </w:r>
    </w:p>
    <w:p w14:paraId="2E344815" w14:textId="77777777" w:rsidR="001B7F77" w:rsidRPr="001B7F77" w:rsidRDefault="001B7F77" w:rsidP="001B7F77">
      <w:pPr>
        <w:widowControl w:val="0"/>
        <w:suppressAutoHyphens/>
        <w:spacing w:before="120"/>
        <w:ind w:left="720"/>
        <w:rPr>
          <w:rFonts w:eastAsia="Calibri"/>
          <w:color w:val="000000"/>
          <w:u w:val="single"/>
        </w:rPr>
      </w:pPr>
      <w:r w:rsidRPr="001B7F77">
        <w:rPr>
          <w:rFonts w:eastAsia="Calibri"/>
          <w:b/>
          <w:color w:val="000000"/>
          <w:u w:val="single"/>
        </w:rPr>
        <w:t>805.4.4.1 Supplemental requirements for panic hardware.</w:t>
      </w:r>
      <w:r w:rsidRPr="001B7F77">
        <w:rPr>
          <w:rFonts w:eastAsia="Calibri"/>
          <w:color w:val="000000"/>
          <w:u w:val="single"/>
        </w:rPr>
        <w:t xml:space="preserve"> Where the work area exceeds 50 percent of the floor area, panic hardware shall comply with Section 805.4.4 throughout the floor.</w:t>
      </w:r>
    </w:p>
    <w:p w14:paraId="26BE1DCE" w14:textId="77777777" w:rsidR="001B7F77" w:rsidRPr="001B7F77" w:rsidRDefault="001B7F77" w:rsidP="001B7F77">
      <w:pPr>
        <w:widowControl w:val="0"/>
        <w:suppressAutoHyphens/>
        <w:spacing w:before="120"/>
        <w:ind w:left="1080"/>
        <w:rPr>
          <w:rFonts w:eastAsia="Calibri"/>
          <w:color w:val="000000"/>
          <w:u w:val="single"/>
        </w:rPr>
      </w:pPr>
      <w:r w:rsidRPr="001B7F77">
        <w:rPr>
          <w:rFonts w:eastAsia="Calibri"/>
          <w:b/>
          <w:color w:val="000000"/>
          <w:u w:val="single"/>
        </w:rPr>
        <w:t>Exception:</w:t>
      </w:r>
      <w:r w:rsidRPr="001B7F77">
        <w:rPr>
          <w:rFonts w:eastAsia="Calibri"/>
          <w:color w:val="000000"/>
          <w:u w:val="single"/>
        </w:rPr>
        <w:t xml:space="preserve"> Means of egress within an occupied space under separate tenancy that is entirely outside the work area.</w:t>
      </w:r>
    </w:p>
    <w:p w14:paraId="668A28F2" w14:textId="77777777" w:rsidR="001B7F77" w:rsidRPr="001B7F77" w:rsidRDefault="001B7F77" w:rsidP="001B7F77">
      <w:pPr>
        <w:widowControl w:val="0"/>
        <w:suppressAutoHyphens/>
        <w:spacing w:before="120"/>
        <w:ind w:left="360"/>
        <w:rPr>
          <w:rFonts w:eastAsia="Calibri"/>
          <w:color w:val="000000"/>
          <w:u w:val="single"/>
        </w:rPr>
      </w:pPr>
      <w:r w:rsidRPr="001B7F77">
        <w:rPr>
          <w:rFonts w:eastAsia="Calibri"/>
          <w:b/>
          <w:color w:val="000000"/>
          <w:u w:val="single"/>
        </w:rPr>
        <w:t>805.4.5 Emergency power source in Occupancy Group I-3.</w:t>
      </w:r>
      <w:r w:rsidRPr="001B7F77">
        <w:rPr>
          <w:rFonts w:eastAsia="Calibri"/>
          <w:color w:val="000000"/>
          <w:u w:val="single"/>
        </w:rPr>
        <w:t xml:space="preserve"> Power-operated sliding doors or power-operated locks for swinging doors shall be operable by a manual release mechanism at the door. Emergency power shall be provided for the doors and locks in accordance with Chapter 27 of the </w:t>
      </w:r>
      <w:r w:rsidRPr="001B7F77">
        <w:rPr>
          <w:rFonts w:eastAsia="Calibri"/>
          <w:i/>
          <w:iCs/>
          <w:color w:val="000000"/>
          <w:u w:val="single"/>
        </w:rPr>
        <w:t>New York City Building Code</w:t>
      </w:r>
      <w:r w:rsidRPr="001B7F77">
        <w:rPr>
          <w:rFonts w:eastAsia="Calibri"/>
          <w:color w:val="000000"/>
          <w:u w:val="single"/>
        </w:rPr>
        <w:t>.</w:t>
      </w:r>
    </w:p>
    <w:p w14:paraId="5D51C632" w14:textId="77777777" w:rsidR="001B7F77" w:rsidRPr="001B7F77" w:rsidRDefault="001B7F77" w:rsidP="001B7F77">
      <w:pPr>
        <w:widowControl w:val="0"/>
        <w:suppressAutoHyphens/>
        <w:spacing w:before="120"/>
        <w:ind w:left="720"/>
        <w:rPr>
          <w:rFonts w:eastAsia="Calibri"/>
          <w:b/>
          <w:color w:val="000000"/>
          <w:u w:val="single"/>
        </w:rPr>
      </w:pPr>
      <w:r w:rsidRPr="001B7F77">
        <w:rPr>
          <w:rFonts w:eastAsia="Calibri"/>
          <w:b/>
          <w:color w:val="000000"/>
          <w:u w:val="single"/>
        </w:rPr>
        <w:t>Exceptions:</w:t>
      </w:r>
    </w:p>
    <w:p w14:paraId="252D56CA" w14:textId="77777777" w:rsidR="001B7F77" w:rsidRPr="001B7F77" w:rsidRDefault="001B7F77" w:rsidP="001B7F77">
      <w:pPr>
        <w:widowControl w:val="0"/>
        <w:suppressAutoHyphens/>
        <w:spacing w:before="120"/>
        <w:ind w:left="1440" w:hanging="360"/>
        <w:rPr>
          <w:rFonts w:eastAsia="Calibri"/>
          <w:color w:val="000000"/>
          <w:u w:val="single"/>
        </w:rPr>
      </w:pPr>
      <w:r w:rsidRPr="001B7F77">
        <w:rPr>
          <w:rFonts w:eastAsia="Calibri"/>
          <w:color w:val="000000"/>
          <w:u w:val="single"/>
        </w:rPr>
        <w:t>1.</w:t>
      </w:r>
      <w:r w:rsidRPr="001B7F77">
        <w:rPr>
          <w:rFonts w:eastAsia="Calibri"/>
          <w:color w:val="000000"/>
          <w:u w:val="single"/>
        </w:rPr>
        <w:tab/>
        <w:t xml:space="preserve">Emergency power is not required in facilities with 10 or fewer locks complying with the exception to Section 408.4.1 of the </w:t>
      </w:r>
      <w:r w:rsidRPr="001B7F77">
        <w:rPr>
          <w:rFonts w:eastAsia="Calibri"/>
          <w:i/>
          <w:iCs/>
          <w:color w:val="000000"/>
          <w:u w:val="single"/>
        </w:rPr>
        <w:t>New York City Building Code</w:t>
      </w:r>
      <w:r w:rsidRPr="001B7F77">
        <w:rPr>
          <w:rFonts w:eastAsia="Calibri"/>
          <w:color w:val="000000"/>
          <w:u w:val="single"/>
        </w:rPr>
        <w:t>.</w:t>
      </w:r>
    </w:p>
    <w:p w14:paraId="57674911" w14:textId="77777777" w:rsidR="001B7F77" w:rsidRPr="001B7F77" w:rsidRDefault="001B7F77" w:rsidP="001B7F77">
      <w:pPr>
        <w:widowControl w:val="0"/>
        <w:suppressAutoHyphens/>
        <w:spacing w:before="120"/>
        <w:ind w:left="1440" w:hanging="360"/>
        <w:rPr>
          <w:rFonts w:eastAsia="Calibri"/>
          <w:color w:val="000000"/>
          <w:u w:val="single"/>
        </w:rPr>
      </w:pPr>
      <w:r w:rsidRPr="001B7F77">
        <w:rPr>
          <w:rFonts w:eastAsia="Calibri"/>
          <w:color w:val="000000"/>
          <w:u w:val="single"/>
        </w:rPr>
        <w:t>2.</w:t>
      </w:r>
      <w:r w:rsidRPr="001B7F77">
        <w:rPr>
          <w:rFonts w:eastAsia="Calibri"/>
          <w:color w:val="000000"/>
          <w:u w:val="single"/>
        </w:rPr>
        <w:tab/>
        <w:t>Emergency power is not required where remote mechanical operating releases are provided.</w:t>
      </w:r>
    </w:p>
    <w:p w14:paraId="306AE82B" w14:textId="77777777" w:rsidR="001B7F77" w:rsidRPr="001B7F77" w:rsidRDefault="001B7F77" w:rsidP="001B7F77">
      <w:pPr>
        <w:widowControl w:val="0"/>
        <w:suppressAutoHyphens/>
        <w:spacing w:before="120"/>
        <w:rPr>
          <w:rFonts w:eastAsia="Calibri"/>
          <w:color w:val="000000"/>
          <w:u w:val="single"/>
        </w:rPr>
      </w:pPr>
      <w:r w:rsidRPr="001B7F77">
        <w:rPr>
          <w:rFonts w:eastAsia="Calibri"/>
          <w:b/>
          <w:color w:val="000000"/>
          <w:u w:val="single"/>
        </w:rPr>
        <w:t>805.5 Openings in corridor walls.</w:t>
      </w:r>
      <w:r w:rsidRPr="001B7F77">
        <w:rPr>
          <w:rFonts w:eastAsia="Calibri"/>
          <w:color w:val="000000"/>
          <w:u w:val="single"/>
        </w:rPr>
        <w:t xml:space="preserve"> Openings in interior or public corridor walls in any work area shall comply with Sections 805.5.1 through 805.5.4.</w:t>
      </w:r>
    </w:p>
    <w:p w14:paraId="10598F0B" w14:textId="77777777" w:rsidR="001B7F77" w:rsidRPr="001B7F77" w:rsidRDefault="001B7F77" w:rsidP="001B7F77">
      <w:pPr>
        <w:widowControl w:val="0"/>
        <w:suppressAutoHyphens/>
        <w:spacing w:before="120"/>
        <w:ind w:left="360"/>
        <w:rPr>
          <w:rFonts w:eastAsia="Calibri"/>
          <w:color w:val="000000"/>
          <w:u w:val="single"/>
        </w:rPr>
      </w:pPr>
      <w:r w:rsidRPr="001B7F77">
        <w:rPr>
          <w:rFonts w:eastAsia="Calibri"/>
          <w:b/>
          <w:color w:val="000000"/>
          <w:u w:val="single"/>
        </w:rPr>
        <w:t>Exception:</w:t>
      </w:r>
      <w:r w:rsidRPr="001B7F77">
        <w:rPr>
          <w:rFonts w:eastAsia="Calibri"/>
          <w:color w:val="000000"/>
          <w:u w:val="single"/>
        </w:rPr>
        <w:t xml:space="preserve"> Openings in corridors where such corridors are not required to be rated in accordance with the </w:t>
      </w:r>
      <w:r w:rsidRPr="001B7F77">
        <w:rPr>
          <w:rFonts w:eastAsia="Calibri"/>
          <w:i/>
          <w:iCs/>
          <w:color w:val="000000"/>
          <w:u w:val="single"/>
        </w:rPr>
        <w:t>New York City Building Code</w:t>
      </w:r>
      <w:r w:rsidRPr="001B7F77">
        <w:rPr>
          <w:rFonts w:eastAsia="Calibri"/>
          <w:color w:val="000000"/>
          <w:u w:val="single"/>
        </w:rPr>
        <w:t>.</w:t>
      </w:r>
    </w:p>
    <w:p w14:paraId="56D14F2B" w14:textId="77777777" w:rsidR="001B7F77" w:rsidRPr="001B7F77" w:rsidRDefault="001B7F77" w:rsidP="001B7F77">
      <w:pPr>
        <w:widowControl w:val="0"/>
        <w:suppressAutoHyphens/>
        <w:spacing w:before="120"/>
        <w:ind w:left="360"/>
        <w:rPr>
          <w:rFonts w:eastAsia="Calibri"/>
          <w:color w:val="000000"/>
          <w:u w:val="single"/>
        </w:rPr>
      </w:pPr>
      <w:r w:rsidRPr="001B7F77">
        <w:rPr>
          <w:rFonts w:eastAsia="Calibri"/>
          <w:b/>
          <w:color w:val="000000"/>
          <w:u w:val="single"/>
        </w:rPr>
        <w:t>805.5.1 Corridor doors.</w:t>
      </w:r>
      <w:r w:rsidRPr="001B7F77">
        <w:rPr>
          <w:rFonts w:eastAsia="Calibri"/>
          <w:color w:val="000000"/>
          <w:u w:val="single"/>
        </w:rPr>
        <w:t xml:space="preserve"> Corridor doors in the work area shall be constructed to comply with Section 1010 of the </w:t>
      </w:r>
      <w:r w:rsidRPr="001B7F77">
        <w:rPr>
          <w:rFonts w:eastAsia="Calibri"/>
          <w:i/>
          <w:iCs/>
          <w:color w:val="000000"/>
          <w:u w:val="single"/>
        </w:rPr>
        <w:t>New York City Building Code</w:t>
      </w:r>
      <w:r w:rsidRPr="001B7F77">
        <w:rPr>
          <w:rFonts w:eastAsia="Calibri"/>
          <w:color w:val="000000"/>
          <w:u w:val="single"/>
        </w:rPr>
        <w:t xml:space="preserve">. </w:t>
      </w:r>
    </w:p>
    <w:p w14:paraId="36D70AF9" w14:textId="77777777" w:rsidR="001B7F77" w:rsidRPr="001B7F77" w:rsidRDefault="001B7F77" w:rsidP="001B7F77">
      <w:pPr>
        <w:widowControl w:val="0"/>
        <w:suppressAutoHyphens/>
        <w:spacing w:before="120"/>
        <w:ind w:left="1080" w:hanging="330"/>
        <w:rPr>
          <w:rFonts w:eastAsia="Calibri"/>
          <w:color w:val="000000"/>
          <w:u w:val="single"/>
        </w:rPr>
      </w:pPr>
      <w:r w:rsidRPr="001B7F77">
        <w:rPr>
          <w:rFonts w:eastAsia="Calibri"/>
          <w:b/>
          <w:color w:val="000000"/>
          <w:u w:val="single"/>
        </w:rPr>
        <w:t>Exceptions:</w:t>
      </w:r>
    </w:p>
    <w:p w14:paraId="72CCD0F0" w14:textId="77777777" w:rsidR="001B7F77" w:rsidRPr="001B7F77" w:rsidRDefault="001B7F77" w:rsidP="001B7F77">
      <w:pPr>
        <w:widowControl w:val="0"/>
        <w:suppressAutoHyphens/>
        <w:spacing w:before="120"/>
        <w:ind w:left="1440" w:hanging="330"/>
        <w:rPr>
          <w:rFonts w:eastAsia="Calibri"/>
          <w:color w:val="000000"/>
          <w:u w:val="single"/>
        </w:rPr>
      </w:pPr>
      <w:r w:rsidRPr="001B7F77">
        <w:rPr>
          <w:rFonts w:eastAsia="Calibri"/>
          <w:color w:val="000000"/>
          <w:u w:val="single"/>
        </w:rPr>
        <w:t>1.</w:t>
      </w:r>
      <w:r w:rsidRPr="001B7F77">
        <w:rPr>
          <w:rFonts w:eastAsia="Calibri"/>
          <w:color w:val="000000"/>
          <w:u w:val="single"/>
        </w:rPr>
        <w:tab/>
        <w:t>Existing doors in buildings protected throughout with an approved automatic sprinkler system shall be required only to resist smoke, be reasonably tight fitting and shall not contain louvers.</w:t>
      </w:r>
    </w:p>
    <w:p w14:paraId="36788944" w14:textId="77777777" w:rsidR="001B7F77" w:rsidRPr="001B7F77" w:rsidRDefault="001B7F77" w:rsidP="001B7F77">
      <w:pPr>
        <w:widowControl w:val="0"/>
        <w:suppressAutoHyphens/>
        <w:spacing w:before="120"/>
        <w:ind w:left="1440" w:hanging="330"/>
        <w:rPr>
          <w:rFonts w:eastAsia="Calibri"/>
          <w:color w:val="000000"/>
          <w:u w:val="single"/>
        </w:rPr>
      </w:pPr>
      <w:r w:rsidRPr="001B7F77">
        <w:rPr>
          <w:rFonts w:eastAsia="Calibri"/>
          <w:color w:val="000000"/>
          <w:u w:val="single"/>
        </w:rPr>
        <w:t>2.</w:t>
      </w:r>
      <w:r w:rsidRPr="001B7F77">
        <w:rPr>
          <w:rFonts w:eastAsia="Calibri"/>
          <w:color w:val="000000"/>
          <w:u w:val="single"/>
        </w:rPr>
        <w:tab/>
        <w:t>In group homes with a maximum of 15 occupants that are protected with an approved automatic smoke detection system, closing devices may be omitted.</w:t>
      </w:r>
    </w:p>
    <w:p w14:paraId="4936B5C4" w14:textId="77777777" w:rsidR="001B7F77" w:rsidRPr="001B7F77" w:rsidRDefault="001B7F77" w:rsidP="001B7F77">
      <w:pPr>
        <w:widowControl w:val="0"/>
        <w:suppressAutoHyphens/>
        <w:spacing w:before="120"/>
        <w:ind w:left="1440" w:hanging="330"/>
        <w:rPr>
          <w:rFonts w:eastAsia="Calibri"/>
          <w:color w:val="000000"/>
          <w:u w:val="single"/>
        </w:rPr>
      </w:pPr>
      <w:r w:rsidRPr="001B7F77">
        <w:rPr>
          <w:rFonts w:eastAsia="Calibri"/>
          <w:color w:val="000000"/>
          <w:u w:val="single"/>
        </w:rPr>
        <w:t>3.</w:t>
      </w:r>
      <w:r w:rsidRPr="001B7F77">
        <w:rPr>
          <w:rFonts w:eastAsia="Calibri"/>
          <w:color w:val="000000"/>
          <w:u w:val="single"/>
        </w:rPr>
        <w:tab/>
        <w:t xml:space="preserve">Door assemblies having a fire-resistance </w:t>
      </w:r>
      <w:bookmarkStart w:id="177" w:name="_Hlk77588231"/>
      <w:r w:rsidRPr="001B7F77">
        <w:rPr>
          <w:rFonts w:eastAsia="Calibri"/>
          <w:color w:val="000000"/>
          <w:u w:val="single"/>
        </w:rPr>
        <w:t>rating of at least 3/4 of an hour</w:t>
      </w:r>
      <w:bookmarkEnd w:id="177"/>
      <w:r w:rsidRPr="001B7F77">
        <w:rPr>
          <w:rFonts w:eastAsia="Calibri"/>
          <w:color w:val="000000"/>
          <w:u w:val="single"/>
        </w:rPr>
        <w:t>.</w:t>
      </w:r>
    </w:p>
    <w:p w14:paraId="52E805A8" w14:textId="77777777" w:rsidR="001B7F77" w:rsidRPr="001B7F77" w:rsidRDefault="001B7F77" w:rsidP="001B7F77">
      <w:pPr>
        <w:widowControl w:val="0"/>
        <w:suppressAutoHyphens/>
        <w:spacing w:before="120"/>
        <w:ind w:left="1440" w:hanging="330"/>
        <w:rPr>
          <w:rFonts w:eastAsia="Calibri"/>
          <w:color w:val="000000"/>
          <w:u w:val="single"/>
        </w:rPr>
      </w:pPr>
      <w:r w:rsidRPr="001B7F77">
        <w:rPr>
          <w:rFonts w:eastAsia="Calibri"/>
          <w:color w:val="000000"/>
          <w:u w:val="single"/>
        </w:rPr>
        <w:t>4.</w:t>
      </w:r>
      <w:r w:rsidRPr="001B7F77">
        <w:rPr>
          <w:rFonts w:eastAsia="Calibri"/>
          <w:color w:val="000000"/>
          <w:u w:val="single"/>
        </w:rPr>
        <w:tab/>
        <w:t>In prior code buildings classified in Occupancy Group E, in which an approved interior fire alarm system is installed and in which regular supervised fire drills are held, the doors to rooms or spaces devoted exclusively to nonhazardous uses in Occupancy Group E need not be fire rated, provided they are swinging, self-closing 1</w:t>
      </w:r>
      <w:r w:rsidRPr="001B7F77">
        <w:rPr>
          <w:rFonts w:eastAsia="Calibri"/>
          <w:color w:val="000000"/>
          <w:u w:val="single"/>
          <w:vertAlign w:val="superscript"/>
        </w:rPr>
        <w:t>3</w:t>
      </w:r>
      <w:r w:rsidRPr="001B7F77">
        <w:rPr>
          <w:rFonts w:eastAsia="Calibri"/>
          <w:color w:val="000000"/>
          <w:u w:val="single"/>
        </w:rPr>
        <w:t>/</w:t>
      </w:r>
      <w:r w:rsidRPr="001B7F77">
        <w:rPr>
          <w:rFonts w:eastAsia="Calibri"/>
          <w:color w:val="000000"/>
          <w:u w:val="single"/>
          <w:vertAlign w:val="subscript"/>
        </w:rPr>
        <w:t>4</w:t>
      </w:r>
      <w:r w:rsidRPr="001B7F77">
        <w:rPr>
          <w:rFonts w:eastAsia="Calibri"/>
          <w:color w:val="000000"/>
          <w:u w:val="single"/>
        </w:rPr>
        <w:t>-inch solid core wood, and have a maximum area of 720 square inches (18 288 mm</w:t>
      </w:r>
      <w:r w:rsidRPr="001B7F77">
        <w:rPr>
          <w:rFonts w:eastAsia="Calibri"/>
          <w:color w:val="000000"/>
          <w:u w:val="single"/>
          <w:vertAlign w:val="superscript"/>
        </w:rPr>
        <w:t>2</w:t>
      </w:r>
      <w:r w:rsidRPr="001B7F77">
        <w:rPr>
          <w:rFonts w:eastAsia="Calibri"/>
          <w:color w:val="000000"/>
          <w:u w:val="single"/>
        </w:rPr>
        <w:t>) of ¼” thick laminated safety glass or fire-rated glass.</w:t>
      </w:r>
    </w:p>
    <w:p w14:paraId="2A2DD5A0" w14:textId="77777777" w:rsidR="001B7F77" w:rsidRPr="001B7F77" w:rsidRDefault="001B7F77" w:rsidP="001B7F77">
      <w:pPr>
        <w:widowControl w:val="0"/>
        <w:suppressAutoHyphens/>
        <w:spacing w:before="120"/>
        <w:ind w:left="360"/>
        <w:rPr>
          <w:rFonts w:eastAsia="Calibri"/>
          <w:color w:val="000000"/>
          <w:u w:val="single"/>
        </w:rPr>
      </w:pPr>
      <w:r w:rsidRPr="001B7F77">
        <w:rPr>
          <w:rFonts w:eastAsia="Calibri"/>
          <w:b/>
          <w:color w:val="000000"/>
          <w:u w:val="single"/>
        </w:rPr>
        <w:t xml:space="preserve">805.5.2 Transom openings. </w:t>
      </w:r>
      <w:r w:rsidRPr="001B7F77">
        <w:rPr>
          <w:rFonts w:eastAsia="Calibri"/>
          <w:color w:val="000000"/>
          <w:u w:val="single"/>
        </w:rPr>
        <w:t>Transom openings shall not be permitted in corridor walls</w:t>
      </w:r>
      <w:r w:rsidRPr="001B7F77">
        <w:rPr>
          <w:rFonts w:eastAsia="Calibri"/>
          <w:b/>
          <w:color w:val="000000"/>
          <w:u w:val="single"/>
        </w:rPr>
        <w:t>.</w:t>
      </w:r>
      <w:r w:rsidRPr="001B7F77">
        <w:rPr>
          <w:rFonts w:eastAsia="Calibri"/>
          <w:color w:val="000000"/>
          <w:u w:val="single"/>
        </w:rPr>
        <w:t xml:space="preserve"> All existing transom openings in corridor walls within the work area shall be sealed with materials consistent with the corridor construction.</w:t>
      </w:r>
    </w:p>
    <w:p w14:paraId="3B691B90" w14:textId="77777777" w:rsidR="001B7F77" w:rsidRPr="001B7F77" w:rsidRDefault="001B7F77" w:rsidP="001B7F77">
      <w:pPr>
        <w:widowControl w:val="0"/>
        <w:suppressAutoHyphens/>
        <w:spacing w:before="120"/>
        <w:ind w:left="720"/>
        <w:rPr>
          <w:rFonts w:eastAsia="Calibri"/>
          <w:color w:val="000000"/>
          <w:u w:val="single"/>
        </w:rPr>
      </w:pPr>
      <w:r w:rsidRPr="001B7F77">
        <w:rPr>
          <w:rFonts w:eastAsia="Calibri"/>
          <w:b/>
          <w:color w:val="000000"/>
          <w:u w:val="single"/>
        </w:rPr>
        <w:t>Exception:</w:t>
      </w:r>
      <w:r w:rsidRPr="001B7F77">
        <w:rPr>
          <w:rFonts w:eastAsia="Calibri"/>
          <w:color w:val="000000"/>
          <w:u w:val="single"/>
        </w:rPr>
        <w:t xml:space="preserve"> Existing transom openings in corridor walls that are not required to be rated in accordance with Chapter 10 of the </w:t>
      </w:r>
      <w:r w:rsidRPr="001B7F77">
        <w:rPr>
          <w:rFonts w:eastAsia="Calibri"/>
          <w:i/>
          <w:iCs/>
          <w:color w:val="000000"/>
          <w:u w:val="single"/>
        </w:rPr>
        <w:t>New York City Building Code</w:t>
      </w:r>
      <w:r w:rsidRPr="001B7F77">
        <w:rPr>
          <w:rFonts w:eastAsia="Calibri"/>
          <w:color w:val="000000"/>
          <w:u w:val="single"/>
        </w:rPr>
        <w:t>.</w:t>
      </w:r>
    </w:p>
    <w:p w14:paraId="4A53453E" w14:textId="77777777" w:rsidR="001B7F77" w:rsidRPr="001B7F77" w:rsidRDefault="001B7F77" w:rsidP="001B7F77">
      <w:pPr>
        <w:widowControl w:val="0"/>
        <w:suppressAutoHyphens/>
        <w:spacing w:before="120"/>
        <w:ind w:left="360"/>
        <w:rPr>
          <w:rFonts w:eastAsia="Calibri"/>
          <w:color w:val="000000"/>
        </w:rPr>
      </w:pPr>
      <w:r w:rsidRPr="001B7F77">
        <w:rPr>
          <w:rFonts w:eastAsia="Calibri"/>
          <w:b/>
          <w:color w:val="000000"/>
          <w:u w:val="single"/>
        </w:rPr>
        <w:t>805.5.3 Other corridor openings</w:t>
      </w:r>
      <w:r w:rsidRPr="001B7F77">
        <w:rPr>
          <w:rFonts w:eastAsia="Calibri"/>
          <w:color w:val="000000"/>
          <w:u w:val="single"/>
        </w:rPr>
        <w:t>. Except as provided in Section 805.5.1 and 805.5.2, in any work area, any sash, grille, or opening in a corridor, and any window in a corridor not opening to the street, yard or court shall be sealed or replaced with materials or assemblies consistent with the corridor construction.</w:t>
      </w:r>
    </w:p>
    <w:p w14:paraId="779444DF" w14:textId="77777777" w:rsidR="001B7F77" w:rsidRPr="001B7F77" w:rsidRDefault="001B7F77" w:rsidP="001B7F77">
      <w:pPr>
        <w:widowControl w:val="0"/>
        <w:suppressAutoHyphens/>
        <w:spacing w:before="120"/>
        <w:ind w:left="360"/>
        <w:rPr>
          <w:rFonts w:eastAsia="Calibri"/>
          <w:color w:val="000000"/>
          <w:u w:val="single"/>
        </w:rPr>
      </w:pPr>
      <w:r w:rsidRPr="001B7F77">
        <w:rPr>
          <w:rFonts w:eastAsia="Calibri"/>
          <w:b/>
          <w:color w:val="000000"/>
          <w:u w:val="single"/>
        </w:rPr>
        <w:t>805.5.4 Supplemental requirements for corridor openings</w:t>
      </w:r>
      <w:r w:rsidRPr="001B7F77">
        <w:rPr>
          <w:rFonts w:eastAsia="Calibri"/>
          <w:color w:val="000000"/>
          <w:u w:val="single"/>
        </w:rPr>
        <w:t>. Where the work area on any floor exceeds 50 percent of the floor area, the requirements of Sections 805.5.1 through 805.5.3 shall apply throughout the floo</w:t>
      </w:r>
      <w:r w:rsidRPr="001B7F77">
        <w:rPr>
          <w:rFonts w:eastAsia="Calibri"/>
          <w:u w:val="single"/>
        </w:rPr>
        <w:t>r.</w:t>
      </w:r>
    </w:p>
    <w:p w14:paraId="0E2307B1" w14:textId="77777777" w:rsidR="001B7F77" w:rsidRPr="001B7F77" w:rsidRDefault="001B7F77" w:rsidP="001B7F77">
      <w:pPr>
        <w:widowControl w:val="0"/>
        <w:suppressAutoHyphens/>
        <w:spacing w:before="120"/>
        <w:ind w:left="720"/>
        <w:rPr>
          <w:rFonts w:eastAsia="Calibri"/>
          <w:bCs/>
          <w:color w:val="000000"/>
          <w:u w:val="single"/>
        </w:rPr>
      </w:pPr>
      <w:r w:rsidRPr="001B7F77">
        <w:rPr>
          <w:rFonts w:eastAsia="Calibri"/>
          <w:b/>
          <w:color w:val="000000"/>
          <w:u w:val="single"/>
        </w:rPr>
        <w:t xml:space="preserve">Exception: </w:t>
      </w:r>
      <w:r w:rsidRPr="001B7F77">
        <w:rPr>
          <w:rFonts w:eastAsia="Calibri"/>
          <w:bCs/>
          <w:color w:val="000000"/>
          <w:u w:val="single"/>
        </w:rPr>
        <w:t>Interior corridors in occupied spaces under separate tenancy that are entirely outside the work area.</w:t>
      </w:r>
    </w:p>
    <w:p w14:paraId="70EABB55" w14:textId="77777777" w:rsidR="001B7F77" w:rsidRPr="001B7F77" w:rsidRDefault="001B7F77" w:rsidP="001B7F77">
      <w:pPr>
        <w:widowControl w:val="0"/>
        <w:suppressAutoHyphens/>
        <w:spacing w:before="120"/>
        <w:jc w:val="left"/>
        <w:rPr>
          <w:rFonts w:eastAsia="Calibri"/>
          <w:color w:val="000000"/>
        </w:rPr>
      </w:pPr>
      <w:r w:rsidRPr="001B7F77">
        <w:rPr>
          <w:rFonts w:eastAsia="Calibri"/>
          <w:b/>
          <w:color w:val="000000"/>
          <w:u w:val="single"/>
        </w:rPr>
        <w:t>805.6 Dead-end corridors</w:t>
      </w:r>
      <w:r w:rsidRPr="001B7F77">
        <w:rPr>
          <w:rFonts w:eastAsia="Calibri"/>
          <w:color w:val="000000"/>
          <w:u w:val="single"/>
        </w:rPr>
        <w:t>. Dead-end corridors in any work area shall not exceed 20 feet (10 670 mm).</w:t>
      </w:r>
    </w:p>
    <w:p w14:paraId="7821A842" w14:textId="77777777" w:rsidR="001B7F77" w:rsidRPr="001B7F77" w:rsidRDefault="001B7F77" w:rsidP="001B7F77">
      <w:pPr>
        <w:widowControl w:val="0"/>
        <w:suppressAutoHyphens/>
        <w:spacing w:before="120"/>
        <w:ind w:left="360"/>
        <w:rPr>
          <w:rFonts w:eastAsia="Calibri"/>
          <w:color w:val="000000"/>
          <w:u w:val="single"/>
        </w:rPr>
      </w:pPr>
      <w:r w:rsidRPr="001B7F77">
        <w:rPr>
          <w:rFonts w:eastAsia="Calibri"/>
          <w:b/>
          <w:color w:val="000000"/>
          <w:u w:val="single"/>
        </w:rPr>
        <w:t>Exceptions:</w:t>
      </w:r>
    </w:p>
    <w:p w14:paraId="3E40D9E6" w14:textId="77777777" w:rsidR="001B7F77" w:rsidRPr="001B7F77" w:rsidRDefault="001B7F77" w:rsidP="001B7F77">
      <w:pPr>
        <w:widowControl w:val="0"/>
        <w:suppressAutoHyphens/>
        <w:spacing w:before="120"/>
        <w:ind w:left="1080" w:hanging="350"/>
        <w:rPr>
          <w:rFonts w:eastAsia="Calibri"/>
          <w:color w:val="000000"/>
          <w:u w:val="single"/>
        </w:rPr>
      </w:pPr>
      <w:r w:rsidRPr="001B7F77">
        <w:rPr>
          <w:rFonts w:eastAsia="Calibri"/>
          <w:color w:val="000000"/>
          <w:u w:val="single"/>
        </w:rPr>
        <w:t>1.</w:t>
      </w:r>
      <w:r w:rsidRPr="001B7F77">
        <w:rPr>
          <w:rFonts w:eastAsia="Calibri"/>
          <w:color w:val="000000"/>
          <w:u w:val="single"/>
        </w:rPr>
        <w:tab/>
        <w:t xml:space="preserve">Existing buildings that are protected throughout by sprinkler and fire alarm systems shall be permitted to comply with the requirements of Chapter 10 of the </w:t>
      </w:r>
      <w:r w:rsidRPr="001B7F77">
        <w:rPr>
          <w:rFonts w:eastAsia="Calibri"/>
          <w:i/>
          <w:iCs/>
          <w:color w:val="000000"/>
          <w:u w:val="single"/>
        </w:rPr>
        <w:t>New York City Building Code</w:t>
      </w:r>
      <w:r w:rsidRPr="001B7F77">
        <w:rPr>
          <w:rFonts w:eastAsia="Calibri"/>
          <w:color w:val="000000"/>
          <w:u w:val="single"/>
        </w:rPr>
        <w:t>.</w:t>
      </w:r>
    </w:p>
    <w:p w14:paraId="58F41203" w14:textId="77777777" w:rsidR="001B7F77" w:rsidRPr="001B7F77" w:rsidRDefault="001B7F77" w:rsidP="001B7F77">
      <w:pPr>
        <w:widowControl w:val="0"/>
        <w:suppressAutoHyphens/>
        <w:spacing w:before="120"/>
        <w:ind w:left="1080" w:hanging="360"/>
        <w:rPr>
          <w:rFonts w:eastAsia="Calibri"/>
          <w:color w:val="000000"/>
          <w:u w:val="single"/>
        </w:rPr>
      </w:pPr>
      <w:r w:rsidRPr="001B7F77">
        <w:rPr>
          <w:rFonts w:eastAsia="Calibri"/>
          <w:color w:val="000000"/>
          <w:u w:val="single"/>
        </w:rPr>
        <w:t>2.</w:t>
      </w:r>
      <w:r w:rsidRPr="001B7F77">
        <w:rPr>
          <w:rFonts w:eastAsia="Calibri"/>
          <w:color w:val="000000"/>
          <w:u w:val="single"/>
        </w:rPr>
        <w:tab/>
        <w:t>Dead-end corridors in prior code buildings shall be permitted to comply with Table 805.6.</w:t>
      </w:r>
    </w:p>
    <w:p w14:paraId="2663E58B" w14:textId="77777777" w:rsidR="001B7F77" w:rsidRPr="001B7F77" w:rsidRDefault="001B7F77" w:rsidP="001B7F77">
      <w:pPr>
        <w:widowControl w:val="0"/>
        <w:suppressAutoHyphens/>
        <w:spacing w:before="120"/>
        <w:jc w:val="center"/>
        <w:outlineLvl w:val="0"/>
        <w:rPr>
          <w:b/>
          <w:bCs/>
          <w:u w:val="single"/>
        </w:rPr>
      </w:pPr>
      <w:r w:rsidRPr="001B7F77">
        <w:rPr>
          <w:b/>
          <w:bCs/>
          <w:u w:val="single"/>
        </w:rPr>
        <w:t>TABLE 805.6</w:t>
      </w:r>
      <w:r w:rsidRPr="001B7F77">
        <w:rPr>
          <w:b/>
          <w:bCs/>
          <w:u w:val="single"/>
        </w:rPr>
        <w:br/>
        <w:t>MAXIMUM LENGTH OF DEAD-END CORRIDOR (FT.)</w:t>
      </w:r>
    </w:p>
    <w:tbl>
      <w:tblPr>
        <w:tblW w:w="5000" w:type="pct"/>
        <w:tblLook w:val="04A0" w:firstRow="1" w:lastRow="0" w:firstColumn="1" w:lastColumn="0" w:noHBand="0" w:noVBand="1"/>
      </w:tblPr>
      <w:tblGrid>
        <w:gridCol w:w="3118"/>
        <w:gridCol w:w="3117"/>
        <w:gridCol w:w="3115"/>
      </w:tblGrid>
      <w:tr w:rsidR="001B7F77" w:rsidRPr="001B7F77" w14:paraId="549495F5" w14:textId="77777777" w:rsidTr="006655A1">
        <w:trPr>
          <w:trHeight w:val="1010"/>
        </w:trPr>
        <w:tc>
          <w:tcPr>
            <w:tcW w:w="1667" w:type="pct"/>
            <w:tcBorders>
              <w:top w:val="single" w:sz="4" w:space="0" w:color="auto"/>
              <w:left w:val="single" w:sz="4" w:space="0" w:color="auto"/>
              <w:bottom w:val="single" w:sz="4" w:space="0" w:color="auto"/>
              <w:right w:val="single" w:sz="4" w:space="0" w:color="auto"/>
            </w:tcBorders>
            <w:vAlign w:val="center"/>
            <w:hideMark/>
          </w:tcPr>
          <w:p w14:paraId="6169C0EA" w14:textId="77777777" w:rsidR="001B7F77" w:rsidRPr="001B7F77" w:rsidRDefault="001B7F77" w:rsidP="001B7F77">
            <w:pPr>
              <w:widowControl w:val="0"/>
              <w:suppressAutoHyphens/>
              <w:spacing w:before="120"/>
              <w:jc w:val="center"/>
              <w:rPr>
                <w:rFonts w:eastAsia="Calibri"/>
                <w:b/>
                <w:u w:val="single"/>
              </w:rPr>
            </w:pPr>
            <w:r w:rsidRPr="001B7F77">
              <w:rPr>
                <w:rFonts w:eastAsia="Calibri"/>
                <w:b/>
                <w:u w:val="single"/>
              </w:rPr>
              <w:t>Occupancy Group</w:t>
            </w:r>
          </w:p>
        </w:tc>
        <w:tc>
          <w:tcPr>
            <w:tcW w:w="1667" w:type="pct"/>
            <w:tcBorders>
              <w:top w:val="single" w:sz="4" w:space="0" w:color="auto"/>
              <w:left w:val="single" w:sz="4" w:space="0" w:color="auto"/>
              <w:bottom w:val="single" w:sz="4" w:space="0" w:color="auto"/>
              <w:right w:val="single" w:sz="4" w:space="0" w:color="auto"/>
            </w:tcBorders>
            <w:vAlign w:val="center"/>
          </w:tcPr>
          <w:p w14:paraId="311AAC6C" w14:textId="77777777" w:rsidR="001B7F77" w:rsidRPr="001B7F77" w:rsidRDefault="001B7F77" w:rsidP="001B7F77">
            <w:pPr>
              <w:widowControl w:val="0"/>
              <w:suppressAutoHyphens/>
              <w:spacing w:before="120"/>
              <w:jc w:val="center"/>
              <w:rPr>
                <w:rFonts w:eastAsia="Calibri"/>
                <w:b/>
                <w:u w:val="single"/>
              </w:rPr>
            </w:pPr>
          </w:p>
        </w:tc>
        <w:tc>
          <w:tcPr>
            <w:tcW w:w="1667" w:type="pct"/>
            <w:tcBorders>
              <w:top w:val="single" w:sz="4" w:space="0" w:color="auto"/>
              <w:left w:val="single" w:sz="4" w:space="0" w:color="auto"/>
              <w:bottom w:val="single" w:sz="4" w:space="0" w:color="auto"/>
              <w:right w:val="single" w:sz="4" w:space="0" w:color="auto"/>
            </w:tcBorders>
            <w:vAlign w:val="center"/>
            <w:hideMark/>
          </w:tcPr>
          <w:p w14:paraId="675575C9" w14:textId="77777777" w:rsidR="001B7F77" w:rsidRPr="001B7F77" w:rsidRDefault="001B7F77" w:rsidP="001B7F77">
            <w:pPr>
              <w:widowControl w:val="0"/>
              <w:suppressAutoHyphens/>
              <w:spacing w:before="120"/>
              <w:jc w:val="center"/>
              <w:rPr>
                <w:rFonts w:eastAsia="Calibri"/>
                <w:b/>
                <w:u w:val="single"/>
              </w:rPr>
            </w:pPr>
            <w:r w:rsidRPr="001B7F77">
              <w:rPr>
                <w:rFonts w:eastAsia="Calibri"/>
                <w:b/>
                <w:u w:val="single"/>
              </w:rPr>
              <w:t>Max. Dead-End Length (ft)</w:t>
            </w:r>
            <w:r w:rsidRPr="001B7F77">
              <w:rPr>
                <w:rFonts w:eastAsia="Calibri"/>
                <w:b/>
                <w:u w:val="single"/>
                <w:vertAlign w:val="superscript"/>
              </w:rPr>
              <w:t>a</w:t>
            </w:r>
          </w:p>
        </w:tc>
      </w:tr>
      <w:tr w:rsidR="001B7F77" w:rsidRPr="001B7F77" w14:paraId="69AECAAE" w14:textId="77777777" w:rsidTr="006655A1">
        <w:trPr>
          <w:trHeight w:val="370"/>
        </w:trPr>
        <w:tc>
          <w:tcPr>
            <w:tcW w:w="1667" w:type="pct"/>
            <w:tcBorders>
              <w:top w:val="single" w:sz="4" w:space="0" w:color="auto"/>
              <w:left w:val="single" w:sz="4" w:space="0" w:color="auto"/>
              <w:bottom w:val="single" w:sz="4" w:space="0" w:color="auto"/>
              <w:right w:val="single" w:sz="4" w:space="0" w:color="auto"/>
            </w:tcBorders>
            <w:vAlign w:val="center"/>
            <w:hideMark/>
          </w:tcPr>
          <w:p w14:paraId="6349AE18" w14:textId="77777777" w:rsidR="001B7F77" w:rsidRPr="001B7F77" w:rsidRDefault="001B7F77" w:rsidP="001B7F77">
            <w:pPr>
              <w:widowControl w:val="0"/>
              <w:suppressAutoHyphens/>
              <w:spacing w:before="120"/>
              <w:jc w:val="center"/>
              <w:rPr>
                <w:rFonts w:eastAsia="Calibri"/>
                <w:bCs/>
                <w:u w:val="single"/>
              </w:rPr>
            </w:pPr>
            <w:r w:rsidRPr="001B7F77">
              <w:rPr>
                <w:rFonts w:eastAsia="Calibri"/>
                <w:bCs/>
                <w:u w:val="single"/>
              </w:rPr>
              <w:t>Assembly</w:t>
            </w:r>
          </w:p>
        </w:tc>
        <w:tc>
          <w:tcPr>
            <w:tcW w:w="1667" w:type="pct"/>
            <w:tcBorders>
              <w:top w:val="single" w:sz="4" w:space="0" w:color="auto"/>
              <w:left w:val="single" w:sz="4" w:space="0" w:color="auto"/>
              <w:bottom w:val="single" w:sz="4" w:space="0" w:color="auto"/>
              <w:right w:val="single" w:sz="4" w:space="0" w:color="auto"/>
            </w:tcBorders>
            <w:vAlign w:val="center"/>
            <w:hideMark/>
          </w:tcPr>
          <w:p w14:paraId="1CA8C39C" w14:textId="77777777" w:rsidR="001B7F77" w:rsidRPr="001B7F77" w:rsidRDefault="001B7F77" w:rsidP="001B7F77">
            <w:pPr>
              <w:widowControl w:val="0"/>
              <w:suppressAutoHyphens/>
              <w:spacing w:before="120"/>
              <w:jc w:val="center"/>
              <w:rPr>
                <w:rFonts w:eastAsia="Calibri"/>
                <w:bCs/>
                <w:u w:val="single"/>
              </w:rPr>
            </w:pPr>
            <w:r w:rsidRPr="001B7F77">
              <w:rPr>
                <w:rFonts w:eastAsia="Calibri"/>
                <w:bCs/>
                <w:u w:val="single"/>
              </w:rPr>
              <w:t>A</w:t>
            </w:r>
          </w:p>
        </w:tc>
        <w:tc>
          <w:tcPr>
            <w:tcW w:w="1667" w:type="pct"/>
            <w:tcBorders>
              <w:top w:val="single" w:sz="4" w:space="0" w:color="auto"/>
              <w:left w:val="single" w:sz="4" w:space="0" w:color="auto"/>
              <w:bottom w:val="single" w:sz="4" w:space="0" w:color="auto"/>
              <w:right w:val="single" w:sz="4" w:space="0" w:color="auto"/>
            </w:tcBorders>
            <w:vAlign w:val="center"/>
            <w:hideMark/>
          </w:tcPr>
          <w:p w14:paraId="1164F8F0" w14:textId="77777777" w:rsidR="001B7F77" w:rsidRPr="001B7F77" w:rsidRDefault="001B7F77" w:rsidP="001B7F77">
            <w:pPr>
              <w:widowControl w:val="0"/>
              <w:suppressAutoHyphens/>
              <w:spacing w:before="120"/>
              <w:jc w:val="center"/>
              <w:rPr>
                <w:rFonts w:eastAsia="Calibri"/>
                <w:bCs/>
                <w:u w:val="single"/>
              </w:rPr>
            </w:pPr>
            <w:r w:rsidRPr="001B7F77">
              <w:rPr>
                <w:rFonts w:eastAsia="Calibri"/>
                <w:bCs/>
                <w:u w:val="single"/>
              </w:rPr>
              <w:t>30</w:t>
            </w:r>
          </w:p>
        </w:tc>
      </w:tr>
      <w:tr w:rsidR="001B7F77" w:rsidRPr="001B7F77" w14:paraId="17CDA60C" w14:textId="77777777" w:rsidTr="006655A1">
        <w:trPr>
          <w:trHeight w:val="370"/>
        </w:trPr>
        <w:tc>
          <w:tcPr>
            <w:tcW w:w="1667" w:type="pct"/>
            <w:tcBorders>
              <w:top w:val="single" w:sz="4" w:space="0" w:color="auto"/>
              <w:left w:val="single" w:sz="4" w:space="0" w:color="auto"/>
              <w:bottom w:val="single" w:sz="4" w:space="0" w:color="auto"/>
              <w:right w:val="single" w:sz="4" w:space="0" w:color="auto"/>
            </w:tcBorders>
            <w:vAlign w:val="center"/>
            <w:hideMark/>
          </w:tcPr>
          <w:p w14:paraId="71A25797" w14:textId="77777777" w:rsidR="001B7F77" w:rsidRPr="001B7F77" w:rsidRDefault="001B7F77" w:rsidP="001B7F77">
            <w:pPr>
              <w:widowControl w:val="0"/>
              <w:suppressAutoHyphens/>
              <w:spacing w:before="120"/>
              <w:jc w:val="center"/>
              <w:rPr>
                <w:rFonts w:eastAsia="Calibri"/>
                <w:bCs/>
                <w:u w:val="single"/>
              </w:rPr>
            </w:pPr>
            <w:r w:rsidRPr="001B7F77">
              <w:rPr>
                <w:rFonts w:eastAsia="Calibri"/>
                <w:bCs/>
                <w:u w:val="single"/>
              </w:rPr>
              <w:t>Business</w:t>
            </w:r>
          </w:p>
        </w:tc>
        <w:tc>
          <w:tcPr>
            <w:tcW w:w="1667" w:type="pct"/>
            <w:tcBorders>
              <w:top w:val="single" w:sz="4" w:space="0" w:color="auto"/>
              <w:left w:val="single" w:sz="4" w:space="0" w:color="auto"/>
              <w:bottom w:val="single" w:sz="4" w:space="0" w:color="auto"/>
              <w:right w:val="single" w:sz="4" w:space="0" w:color="auto"/>
            </w:tcBorders>
            <w:vAlign w:val="center"/>
            <w:hideMark/>
          </w:tcPr>
          <w:p w14:paraId="7C0728A6" w14:textId="77777777" w:rsidR="001B7F77" w:rsidRPr="001B7F77" w:rsidRDefault="001B7F77" w:rsidP="001B7F77">
            <w:pPr>
              <w:widowControl w:val="0"/>
              <w:suppressAutoHyphens/>
              <w:spacing w:before="120"/>
              <w:jc w:val="center"/>
              <w:rPr>
                <w:rFonts w:eastAsia="Calibri"/>
                <w:bCs/>
                <w:u w:val="single"/>
              </w:rPr>
            </w:pPr>
            <w:r w:rsidRPr="001B7F77">
              <w:rPr>
                <w:rFonts w:eastAsia="Calibri"/>
                <w:bCs/>
                <w:u w:val="single"/>
              </w:rPr>
              <w:t>B</w:t>
            </w:r>
          </w:p>
        </w:tc>
        <w:tc>
          <w:tcPr>
            <w:tcW w:w="1667" w:type="pct"/>
            <w:tcBorders>
              <w:top w:val="single" w:sz="4" w:space="0" w:color="auto"/>
              <w:left w:val="single" w:sz="4" w:space="0" w:color="auto"/>
              <w:bottom w:val="single" w:sz="4" w:space="0" w:color="auto"/>
              <w:right w:val="single" w:sz="4" w:space="0" w:color="auto"/>
            </w:tcBorders>
            <w:vAlign w:val="center"/>
            <w:hideMark/>
          </w:tcPr>
          <w:p w14:paraId="39AF5E9E" w14:textId="77777777" w:rsidR="001B7F77" w:rsidRPr="001B7F77" w:rsidRDefault="001B7F77" w:rsidP="001B7F77">
            <w:pPr>
              <w:widowControl w:val="0"/>
              <w:suppressAutoHyphens/>
              <w:spacing w:before="120"/>
              <w:jc w:val="center"/>
              <w:rPr>
                <w:rFonts w:eastAsia="Calibri"/>
                <w:bCs/>
                <w:u w:val="single"/>
              </w:rPr>
            </w:pPr>
            <w:r w:rsidRPr="001B7F77">
              <w:rPr>
                <w:rFonts w:eastAsia="Calibri"/>
                <w:bCs/>
                <w:u w:val="single"/>
              </w:rPr>
              <w:t>50</w:t>
            </w:r>
          </w:p>
        </w:tc>
      </w:tr>
      <w:tr w:rsidR="001B7F77" w:rsidRPr="001B7F77" w14:paraId="51C18513" w14:textId="77777777" w:rsidTr="006655A1">
        <w:trPr>
          <w:trHeight w:val="370"/>
        </w:trPr>
        <w:tc>
          <w:tcPr>
            <w:tcW w:w="1667" w:type="pct"/>
            <w:tcBorders>
              <w:top w:val="single" w:sz="4" w:space="0" w:color="auto"/>
              <w:left w:val="single" w:sz="4" w:space="0" w:color="auto"/>
              <w:bottom w:val="single" w:sz="4" w:space="0" w:color="auto"/>
              <w:right w:val="single" w:sz="4" w:space="0" w:color="auto"/>
            </w:tcBorders>
            <w:vAlign w:val="center"/>
            <w:hideMark/>
          </w:tcPr>
          <w:p w14:paraId="4767DB3F" w14:textId="77777777" w:rsidR="001B7F77" w:rsidRPr="001B7F77" w:rsidRDefault="001B7F77" w:rsidP="001B7F77">
            <w:pPr>
              <w:widowControl w:val="0"/>
              <w:suppressAutoHyphens/>
              <w:spacing w:before="120"/>
              <w:jc w:val="center"/>
              <w:rPr>
                <w:rFonts w:eastAsia="Calibri"/>
                <w:bCs/>
                <w:u w:val="single"/>
              </w:rPr>
            </w:pPr>
            <w:r w:rsidRPr="001B7F77">
              <w:rPr>
                <w:rFonts w:eastAsia="Calibri"/>
                <w:bCs/>
                <w:u w:val="single"/>
              </w:rPr>
              <w:t>Educational</w:t>
            </w:r>
          </w:p>
        </w:tc>
        <w:tc>
          <w:tcPr>
            <w:tcW w:w="1667" w:type="pct"/>
            <w:tcBorders>
              <w:top w:val="single" w:sz="4" w:space="0" w:color="auto"/>
              <w:left w:val="single" w:sz="4" w:space="0" w:color="auto"/>
              <w:bottom w:val="single" w:sz="4" w:space="0" w:color="auto"/>
              <w:right w:val="single" w:sz="4" w:space="0" w:color="auto"/>
            </w:tcBorders>
            <w:vAlign w:val="center"/>
            <w:hideMark/>
          </w:tcPr>
          <w:p w14:paraId="7652E543" w14:textId="77777777" w:rsidR="001B7F77" w:rsidRPr="001B7F77" w:rsidRDefault="001B7F77" w:rsidP="001B7F77">
            <w:pPr>
              <w:widowControl w:val="0"/>
              <w:suppressAutoHyphens/>
              <w:spacing w:before="120"/>
              <w:jc w:val="center"/>
              <w:rPr>
                <w:rFonts w:eastAsia="Calibri"/>
                <w:bCs/>
                <w:u w:val="single"/>
              </w:rPr>
            </w:pPr>
            <w:r w:rsidRPr="001B7F77">
              <w:rPr>
                <w:rFonts w:eastAsia="Calibri"/>
                <w:bCs/>
                <w:u w:val="single"/>
              </w:rPr>
              <w:t>E</w:t>
            </w:r>
          </w:p>
        </w:tc>
        <w:tc>
          <w:tcPr>
            <w:tcW w:w="1667" w:type="pct"/>
            <w:tcBorders>
              <w:top w:val="single" w:sz="4" w:space="0" w:color="auto"/>
              <w:left w:val="single" w:sz="4" w:space="0" w:color="auto"/>
              <w:bottom w:val="single" w:sz="4" w:space="0" w:color="auto"/>
              <w:right w:val="single" w:sz="4" w:space="0" w:color="auto"/>
            </w:tcBorders>
            <w:vAlign w:val="center"/>
            <w:hideMark/>
          </w:tcPr>
          <w:p w14:paraId="65323253" w14:textId="77777777" w:rsidR="001B7F77" w:rsidRPr="001B7F77" w:rsidRDefault="001B7F77" w:rsidP="001B7F77">
            <w:pPr>
              <w:widowControl w:val="0"/>
              <w:suppressAutoHyphens/>
              <w:spacing w:before="120"/>
              <w:jc w:val="center"/>
              <w:rPr>
                <w:rFonts w:eastAsia="Calibri"/>
                <w:bCs/>
                <w:u w:val="single"/>
                <w:vertAlign w:val="superscript"/>
              </w:rPr>
            </w:pPr>
            <w:r w:rsidRPr="001B7F77">
              <w:rPr>
                <w:rFonts w:eastAsia="Calibri"/>
                <w:bCs/>
                <w:u w:val="single"/>
              </w:rPr>
              <w:t>30</w:t>
            </w:r>
            <w:r w:rsidRPr="001B7F77">
              <w:rPr>
                <w:rFonts w:eastAsia="Calibri"/>
                <w:bCs/>
                <w:u w:val="single"/>
                <w:vertAlign w:val="superscript"/>
              </w:rPr>
              <w:t>b</w:t>
            </w:r>
          </w:p>
        </w:tc>
      </w:tr>
      <w:tr w:rsidR="001B7F77" w:rsidRPr="001B7F77" w14:paraId="6AEF0332" w14:textId="77777777" w:rsidTr="006655A1">
        <w:trPr>
          <w:trHeight w:val="358"/>
        </w:trPr>
        <w:tc>
          <w:tcPr>
            <w:tcW w:w="1667" w:type="pct"/>
            <w:tcBorders>
              <w:top w:val="single" w:sz="4" w:space="0" w:color="auto"/>
              <w:left w:val="single" w:sz="4" w:space="0" w:color="auto"/>
              <w:bottom w:val="single" w:sz="4" w:space="0" w:color="auto"/>
              <w:right w:val="single" w:sz="4" w:space="0" w:color="auto"/>
            </w:tcBorders>
            <w:vAlign w:val="center"/>
            <w:hideMark/>
          </w:tcPr>
          <w:p w14:paraId="081B0B76" w14:textId="77777777" w:rsidR="001B7F77" w:rsidRPr="001B7F77" w:rsidRDefault="001B7F77" w:rsidP="001B7F77">
            <w:pPr>
              <w:widowControl w:val="0"/>
              <w:suppressAutoHyphens/>
              <w:spacing w:before="120"/>
              <w:jc w:val="center"/>
              <w:rPr>
                <w:rFonts w:eastAsia="Calibri"/>
                <w:bCs/>
                <w:u w:val="single"/>
              </w:rPr>
            </w:pPr>
            <w:r w:rsidRPr="001B7F77">
              <w:rPr>
                <w:rFonts w:eastAsia="Calibri"/>
                <w:bCs/>
                <w:u w:val="single"/>
              </w:rPr>
              <w:t>Factory</w:t>
            </w:r>
          </w:p>
        </w:tc>
        <w:tc>
          <w:tcPr>
            <w:tcW w:w="1667" w:type="pct"/>
            <w:tcBorders>
              <w:top w:val="single" w:sz="4" w:space="0" w:color="auto"/>
              <w:left w:val="single" w:sz="4" w:space="0" w:color="auto"/>
              <w:bottom w:val="single" w:sz="4" w:space="0" w:color="auto"/>
              <w:right w:val="single" w:sz="4" w:space="0" w:color="auto"/>
            </w:tcBorders>
            <w:vAlign w:val="center"/>
            <w:hideMark/>
          </w:tcPr>
          <w:p w14:paraId="10937461" w14:textId="77777777" w:rsidR="001B7F77" w:rsidRPr="001B7F77" w:rsidRDefault="001B7F77" w:rsidP="001B7F77">
            <w:pPr>
              <w:widowControl w:val="0"/>
              <w:suppressAutoHyphens/>
              <w:spacing w:before="120"/>
              <w:jc w:val="center"/>
              <w:rPr>
                <w:rFonts w:eastAsia="Calibri"/>
                <w:bCs/>
                <w:u w:val="single"/>
              </w:rPr>
            </w:pPr>
            <w:r w:rsidRPr="001B7F77">
              <w:rPr>
                <w:rFonts w:eastAsia="Calibri"/>
                <w:bCs/>
                <w:u w:val="single"/>
              </w:rPr>
              <w:t>F</w:t>
            </w:r>
          </w:p>
        </w:tc>
        <w:tc>
          <w:tcPr>
            <w:tcW w:w="1667" w:type="pct"/>
            <w:tcBorders>
              <w:top w:val="single" w:sz="4" w:space="0" w:color="auto"/>
              <w:left w:val="single" w:sz="4" w:space="0" w:color="auto"/>
              <w:bottom w:val="single" w:sz="4" w:space="0" w:color="auto"/>
              <w:right w:val="single" w:sz="4" w:space="0" w:color="auto"/>
            </w:tcBorders>
            <w:vAlign w:val="center"/>
            <w:hideMark/>
          </w:tcPr>
          <w:p w14:paraId="03E45DCC" w14:textId="77777777" w:rsidR="001B7F77" w:rsidRPr="001B7F77" w:rsidRDefault="001B7F77" w:rsidP="001B7F77">
            <w:pPr>
              <w:widowControl w:val="0"/>
              <w:suppressAutoHyphens/>
              <w:spacing w:before="120"/>
              <w:jc w:val="center"/>
              <w:rPr>
                <w:rFonts w:eastAsia="Calibri"/>
                <w:bCs/>
                <w:u w:val="single"/>
              </w:rPr>
            </w:pPr>
            <w:r w:rsidRPr="001B7F77">
              <w:rPr>
                <w:rFonts w:eastAsia="Calibri"/>
                <w:bCs/>
                <w:u w:val="single"/>
              </w:rPr>
              <w:t>50</w:t>
            </w:r>
          </w:p>
        </w:tc>
      </w:tr>
      <w:tr w:rsidR="001B7F77" w:rsidRPr="001B7F77" w14:paraId="372D64B9" w14:textId="77777777" w:rsidTr="006655A1">
        <w:trPr>
          <w:trHeight w:val="370"/>
        </w:trPr>
        <w:tc>
          <w:tcPr>
            <w:tcW w:w="1667" w:type="pct"/>
            <w:tcBorders>
              <w:top w:val="single" w:sz="4" w:space="0" w:color="auto"/>
              <w:left w:val="single" w:sz="4" w:space="0" w:color="auto"/>
              <w:bottom w:val="single" w:sz="4" w:space="0" w:color="auto"/>
              <w:right w:val="single" w:sz="4" w:space="0" w:color="auto"/>
            </w:tcBorders>
            <w:vAlign w:val="center"/>
            <w:hideMark/>
          </w:tcPr>
          <w:p w14:paraId="6E5A75D2" w14:textId="77777777" w:rsidR="001B7F77" w:rsidRPr="001B7F77" w:rsidRDefault="001B7F77" w:rsidP="001B7F77">
            <w:pPr>
              <w:widowControl w:val="0"/>
              <w:suppressAutoHyphens/>
              <w:spacing w:before="120"/>
              <w:jc w:val="center"/>
              <w:rPr>
                <w:rFonts w:eastAsia="Calibri"/>
                <w:bCs/>
                <w:u w:val="single"/>
              </w:rPr>
            </w:pPr>
            <w:r w:rsidRPr="001B7F77">
              <w:rPr>
                <w:rFonts w:eastAsia="Calibri"/>
                <w:bCs/>
                <w:u w:val="single"/>
              </w:rPr>
              <w:t>High Hazard</w:t>
            </w:r>
          </w:p>
        </w:tc>
        <w:tc>
          <w:tcPr>
            <w:tcW w:w="1667" w:type="pct"/>
            <w:tcBorders>
              <w:top w:val="single" w:sz="4" w:space="0" w:color="auto"/>
              <w:left w:val="single" w:sz="4" w:space="0" w:color="auto"/>
              <w:bottom w:val="single" w:sz="4" w:space="0" w:color="auto"/>
              <w:right w:val="single" w:sz="4" w:space="0" w:color="auto"/>
            </w:tcBorders>
            <w:vAlign w:val="center"/>
            <w:hideMark/>
          </w:tcPr>
          <w:p w14:paraId="1F66DF6B" w14:textId="77777777" w:rsidR="001B7F77" w:rsidRPr="001B7F77" w:rsidRDefault="001B7F77" w:rsidP="001B7F77">
            <w:pPr>
              <w:widowControl w:val="0"/>
              <w:suppressAutoHyphens/>
              <w:spacing w:before="120"/>
              <w:jc w:val="center"/>
              <w:rPr>
                <w:rFonts w:eastAsia="Calibri"/>
                <w:bCs/>
                <w:u w:val="single"/>
              </w:rPr>
            </w:pPr>
            <w:r w:rsidRPr="001B7F77">
              <w:rPr>
                <w:rFonts w:eastAsia="Calibri"/>
                <w:bCs/>
                <w:u w:val="single"/>
              </w:rPr>
              <w:t>H</w:t>
            </w:r>
          </w:p>
        </w:tc>
        <w:tc>
          <w:tcPr>
            <w:tcW w:w="1667" w:type="pct"/>
            <w:tcBorders>
              <w:top w:val="single" w:sz="4" w:space="0" w:color="auto"/>
              <w:left w:val="single" w:sz="4" w:space="0" w:color="auto"/>
              <w:bottom w:val="single" w:sz="4" w:space="0" w:color="auto"/>
              <w:right w:val="single" w:sz="4" w:space="0" w:color="auto"/>
            </w:tcBorders>
            <w:vAlign w:val="center"/>
            <w:hideMark/>
          </w:tcPr>
          <w:p w14:paraId="4895D587" w14:textId="77777777" w:rsidR="001B7F77" w:rsidRPr="001B7F77" w:rsidRDefault="001B7F77" w:rsidP="001B7F77">
            <w:pPr>
              <w:widowControl w:val="0"/>
              <w:suppressAutoHyphens/>
              <w:spacing w:before="120"/>
              <w:jc w:val="center"/>
              <w:rPr>
                <w:rFonts w:eastAsia="Calibri"/>
                <w:bCs/>
                <w:u w:val="single"/>
              </w:rPr>
            </w:pPr>
            <w:r w:rsidRPr="001B7F77">
              <w:rPr>
                <w:rFonts w:eastAsia="Calibri"/>
                <w:bCs/>
                <w:u w:val="single"/>
              </w:rPr>
              <w:t>NP</w:t>
            </w:r>
          </w:p>
        </w:tc>
      </w:tr>
      <w:tr w:rsidR="001B7F77" w:rsidRPr="001B7F77" w14:paraId="663ED2C7" w14:textId="77777777" w:rsidTr="006655A1">
        <w:trPr>
          <w:trHeight w:val="96"/>
        </w:trPr>
        <w:tc>
          <w:tcPr>
            <w:tcW w:w="1667" w:type="pct"/>
            <w:vMerge w:val="restart"/>
            <w:tcBorders>
              <w:top w:val="single" w:sz="4" w:space="0" w:color="auto"/>
              <w:left w:val="single" w:sz="4" w:space="0" w:color="auto"/>
              <w:bottom w:val="single" w:sz="4" w:space="0" w:color="auto"/>
              <w:right w:val="single" w:sz="4" w:space="0" w:color="auto"/>
            </w:tcBorders>
            <w:vAlign w:val="center"/>
            <w:hideMark/>
          </w:tcPr>
          <w:p w14:paraId="637DEE63" w14:textId="77777777" w:rsidR="001B7F77" w:rsidRPr="001B7F77" w:rsidRDefault="001B7F77" w:rsidP="001B7F77">
            <w:pPr>
              <w:widowControl w:val="0"/>
              <w:suppressAutoHyphens/>
              <w:spacing w:before="120"/>
              <w:jc w:val="center"/>
              <w:rPr>
                <w:rFonts w:eastAsia="Calibri"/>
                <w:bCs/>
                <w:u w:val="single"/>
              </w:rPr>
            </w:pPr>
            <w:r w:rsidRPr="001B7F77">
              <w:rPr>
                <w:rFonts w:eastAsia="Calibri"/>
                <w:bCs/>
                <w:u w:val="single"/>
              </w:rPr>
              <w:t>Institutional</w:t>
            </w:r>
          </w:p>
        </w:tc>
        <w:tc>
          <w:tcPr>
            <w:tcW w:w="1667" w:type="pct"/>
            <w:tcBorders>
              <w:top w:val="single" w:sz="4" w:space="0" w:color="auto"/>
              <w:left w:val="single" w:sz="4" w:space="0" w:color="auto"/>
              <w:bottom w:val="single" w:sz="4" w:space="0" w:color="auto"/>
              <w:right w:val="single" w:sz="4" w:space="0" w:color="auto"/>
            </w:tcBorders>
            <w:vAlign w:val="center"/>
            <w:hideMark/>
          </w:tcPr>
          <w:p w14:paraId="712F3C5B" w14:textId="77777777" w:rsidR="001B7F77" w:rsidRPr="001B7F77" w:rsidRDefault="001B7F77" w:rsidP="001B7F77">
            <w:pPr>
              <w:widowControl w:val="0"/>
              <w:suppressAutoHyphens/>
              <w:spacing w:before="120"/>
              <w:jc w:val="center"/>
              <w:rPr>
                <w:rFonts w:eastAsia="Calibri"/>
                <w:bCs/>
                <w:u w:val="single"/>
              </w:rPr>
            </w:pPr>
            <w:r w:rsidRPr="001B7F77">
              <w:rPr>
                <w:rFonts w:eastAsia="Calibri"/>
                <w:bCs/>
                <w:u w:val="single"/>
              </w:rPr>
              <w:t>I-1, I-2, I-4</w:t>
            </w:r>
          </w:p>
        </w:tc>
        <w:tc>
          <w:tcPr>
            <w:tcW w:w="1667" w:type="pct"/>
            <w:tcBorders>
              <w:top w:val="single" w:sz="4" w:space="0" w:color="auto"/>
              <w:left w:val="single" w:sz="4" w:space="0" w:color="auto"/>
              <w:bottom w:val="single" w:sz="4" w:space="0" w:color="auto"/>
              <w:right w:val="single" w:sz="4" w:space="0" w:color="auto"/>
            </w:tcBorders>
            <w:vAlign w:val="center"/>
            <w:hideMark/>
          </w:tcPr>
          <w:p w14:paraId="3C2B5A95" w14:textId="77777777" w:rsidR="001B7F77" w:rsidRPr="001B7F77" w:rsidRDefault="001B7F77" w:rsidP="001B7F77">
            <w:pPr>
              <w:widowControl w:val="0"/>
              <w:suppressAutoHyphens/>
              <w:spacing w:before="120"/>
              <w:jc w:val="center"/>
              <w:rPr>
                <w:rFonts w:eastAsia="Calibri"/>
                <w:bCs/>
                <w:u w:val="single"/>
                <w:vertAlign w:val="superscript"/>
              </w:rPr>
            </w:pPr>
            <w:r w:rsidRPr="001B7F77">
              <w:rPr>
                <w:rFonts w:eastAsia="Calibri"/>
                <w:bCs/>
                <w:u w:val="single"/>
              </w:rPr>
              <w:t>30</w:t>
            </w:r>
            <w:r w:rsidRPr="001B7F77">
              <w:rPr>
                <w:rFonts w:eastAsia="Calibri"/>
                <w:bCs/>
                <w:u w:val="single"/>
                <w:vertAlign w:val="superscript"/>
              </w:rPr>
              <w:t>c</w:t>
            </w:r>
          </w:p>
        </w:tc>
      </w:tr>
      <w:tr w:rsidR="001B7F77" w:rsidRPr="001B7F77" w14:paraId="1231DF3A" w14:textId="77777777" w:rsidTr="006655A1">
        <w:trPr>
          <w:trHeight w:val="9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291588" w14:textId="77777777" w:rsidR="001B7F77" w:rsidRPr="001B7F77" w:rsidRDefault="001B7F77" w:rsidP="001B7F77">
            <w:pPr>
              <w:suppressAutoHyphens/>
              <w:spacing w:before="120"/>
              <w:jc w:val="left"/>
              <w:rPr>
                <w:rFonts w:eastAsia="Calibri"/>
                <w:bCs/>
                <w:color w:val="000000"/>
                <w:u w:val="single"/>
              </w:rPr>
            </w:pPr>
          </w:p>
        </w:tc>
        <w:tc>
          <w:tcPr>
            <w:tcW w:w="1667" w:type="pct"/>
            <w:tcBorders>
              <w:top w:val="single" w:sz="4" w:space="0" w:color="auto"/>
              <w:left w:val="single" w:sz="4" w:space="0" w:color="auto"/>
              <w:bottom w:val="single" w:sz="4" w:space="0" w:color="auto"/>
              <w:right w:val="single" w:sz="4" w:space="0" w:color="auto"/>
            </w:tcBorders>
            <w:vAlign w:val="center"/>
            <w:hideMark/>
          </w:tcPr>
          <w:p w14:paraId="2A2BB1D6" w14:textId="77777777" w:rsidR="001B7F77" w:rsidRPr="001B7F77" w:rsidRDefault="001B7F77" w:rsidP="001B7F77">
            <w:pPr>
              <w:widowControl w:val="0"/>
              <w:suppressAutoHyphens/>
              <w:spacing w:before="120"/>
              <w:jc w:val="center"/>
              <w:rPr>
                <w:rFonts w:eastAsia="Calibri"/>
                <w:bCs/>
                <w:u w:val="single"/>
              </w:rPr>
            </w:pPr>
            <w:r w:rsidRPr="001B7F77">
              <w:rPr>
                <w:rFonts w:eastAsia="Calibri"/>
                <w:bCs/>
                <w:u w:val="single"/>
              </w:rPr>
              <w:t>I-3</w:t>
            </w:r>
          </w:p>
        </w:tc>
        <w:tc>
          <w:tcPr>
            <w:tcW w:w="1667" w:type="pct"/>
            <w:tcBorders>
              <w:top w:val="single" w:sz="4" w:space="0" w:color="auto"/>
              <w:left w:val="single" w:sz="4" w:space="0" w:color="auto"/>
              <w:bottom w:val="single" w:sz="4" w:space="0" w:color="auto"/>
              <w:right w:val="single" w:sz="4" w:space="0" w:color="auto"/>
            </w:tcBorders>
            <w:vAlign w:val="center"/>
            <w:hideMark/>
          </w:tcPr>
          <w:p w14:paraId="695237C1" w14:textId="77777777" w:rsidR="001B7F77" w:rsidRPr="001B7F77" w:rsidRDefault="001B7F77" w:rsidP="001B7F77">
            <w:pPr>
              <w:widowControl w:val="0"/>
              <w:suppressAutoHyphens/>
              <w:spacing w:before="120"/>
              <w:jc w:val="center"/>
              <w:rPr>
                <w:rFonts w:eastAsia="Calibri"/>
                <w:bCs/>
                <w:u w:val="single"/>
              </w:rPr>
            </w:pPr>
            <w:r w:rsidRPr="001B7F77">
              <w:rPr>
                <w:rFonts w:eastAsia="Calibri"/>
                <w:bCs/>
                <w:u w:val="single"/>
              </w:rPr>
              <w:t>40</w:t>
            </w:r>
          </w:p>
        </w:tc>
      </w:tr>
      <w:tr w:rsidR="001B7F77" w:rsidRPr="001B7F77" w14:paraId="6DE8E2F9" w14:textId="77777777" w:rsidTr="006655A1">
        <w:trPr>
          <w:trHeight w:val="370"/>
        </w:trPr>
        <w:tc>
          <w:tcPr>
            <w:tcW w:w="1667" w:type="pct"/>
            <w:tcBorders>
              <w:top w:val="single" w:sz="4" w:space="0" w:color="auto"/>
              <w:left w:val="single" w:sz="4" w:space="0" w:color="auto"/>
              <w:bottom w:val="single" w:sz="4" w:space="0" w:color="auto"/>
              <w:right w:val="single" w:sz="4" w:space="0" w:color="auto"/>
            </w:tcBorders>
            <w:vAlign w:val="center"/>
            <w:hideMark/>
          </w:tcPr>
          <w:p w14:paraId="1E4D6E11" w14:textId="77777777" w:rsidR="001B7F77" w:rsidRPr="001B7F77" w:rsidRDefault="001B7F77" w:rsidP="001B7F77">
            <w:pPr>
              <w:widowControl w:val="0"/>
              <w:suppressAutoHyphens/>
              <w:spacing w:before="120"/>
              <w:jc w:val="center"/>
              <w:rPr>
                <w:rFonts w:eastAsia="Calibri"/>
                <w:bCs/>
                <w:u w:val="single"/>
              </w:rPr>
            </w:pPr>
            <w:r w:rsidRPr="001B7F77">
              <w:rPr>
                <w:rFonts w:eastAsia="Calibri"/>
                <w:bCs/>
                <w:u w:val="single"/>
              </w:rPr>
              <w:t>Mercantile</w:t>
            </w:r>
          </w:p>
        </w:tc>
        <w:tc>
          <w:tcPr>
            <w:tcW w:w="1667" w:type="pct"/>
            <w:tcBorders>
              <w:top w:val="single" w:sz="4" w:space="0" w:color="auto"/>
              <w:left w:val="single" w:sz="4" w:space="0" w:color="auto"/>
              <w:bottom w:val="single" w:sz="4" w:space="0" w:color="auto"/>
              <w:right w:val="single" w:sz="4" w:space="0" w:color="auto"/>
            </w:tcBorders>
            <w:vAlign w:val="center"/>
            <w:hideMark/>
          </w:tcPr>
          <w:p w14:paraId="1B844C48" w14:textId="77777777" w:rsidR="001B7F77" w:rsidRPr="001B7F77" w:rsidRDefault="001B7F77" w:rsidP="001B7F77">
            <w:pPr>
              <w:widowControl w:val="0"/>
              <w:suppressAutoHyphens/>
              <w:spacing w:before="120"/>
              <w:jc w:val="center"/>
              <w:rPr>
                <w:rFonts w:eastAsia="Calibri"/>
                <w:bCs/>
                <w:u w:val="single"/>
              </w:rPr>
            </w:pPr>
            <w:r w:rsidRPr="001B7F77">
              <w:rPr>
                <w:rFonts w:eastAsia="Calibri"/>
                <w:bCs/>
                <w:u w:val="single"/>
              </w:rPr>
              <w:t>M</w:t>
            </w:r>
          </w:p>
        </w:tc>
        <w:tc>
          <w:tcPr>
            <w:tcW w:w="1667" w:type="pct"/>
            <w:tcBorders>
              <w:top w:val="single" w:sz="4" w:space="0" w:color="auto"/>
              <w:left w:val="single" w:sz="4" w:space="0" w:color="auto"/>
              <w:bottom w:val="single" w:sz="4" w:space="0" w:color="auto"/>
              <w:right w:val="single" w:sz="4" w:space="0" w:color="auto"/>
            </w:tcBorders>
            <w:vAlign w:val="center"/>
            <w:hideMark/>
          </w:tcPr>
          <w:p w14:paraId="3D6F3249" w14:textId="77777777" w:rsidR="001B7F77" w:rsidRPr="001B7F77" w:rsidRDefault="001B7F77" w:rsidP="001B7F77">
            <w:pPr>
              <w:widowControl w:val="0"/>
              <w:suppressAutoHyphens/>
              <w:spacing w:before="120"/>
              <w:jc w:val="center"/>
              <w:rPr>
                <w:rFonts w:eastAsia="Calibri"/>
                <w:bCs/>
                <w:u w:val="single"/>
              </w:rPr>
            </w:pPr>
            <w:r w:rsidRPr="001B7F77">
              <w:rPr>
                <w:rFonts w:eastAsia="Calibri"/>
                <w:bCs/>
                <w:u w:val="single"/>
              </w:rPr>
              <w:t>50</w:t>
            </w:r>
          </w:p>
        </w:tc>
      </w:tr>
      <w:tr w:rsidR="001B7F77" w:rsidRPr="001B7F77" w14:paraId="4A1E77FB" w14:textId="77777777" w:rsidTr="006655A1">
        <w:trPr>
          <w:trHeight w:val="96"/>
        </w:trPr>
        <w:tc>
          <w:tcPr>
            <w:tcW w:w="1667" w:type="pct"/>
            <w:vMerge w:val="restart"/>
            <w:tcBorders>
              <w:top w:val="single" w:sz="4" w:space="0" w:color="auto"/>
              <w:left w:val="single" w:sz="4" w:space="0" w:color="auto"/>
              <w:bottom w:val="single" w:sz="4" w:space="0" w:color="auto"/>
              <w:right w:val="single" w:sz="4" w:space="0" w:color="auto"/>
            </w:tcBorders>
            <w:vAlign w:val="center"/>
            <w:hideMark/>
          </w:tcPr>
          <w:p w14:paraId="1A585D1A" w14:textId="77777777" w:rsidR="001B7F77" w:rsidRPr="001B7F77" w:rsidRDefault="001B7F77" w:rsidP="001B7F77">
            <w:pPr>
              <w:widowControl w:val="0"/>
              <w:suppressAutoHyphens/>
              <w:spacing w:before="120"/>
              <w:jc w:val="center"/>
              <w:rPr>
                <w:rFonts w:eastAsia="Calibri"/>
                <w:bCs/>
                <w:u w:val="single"/>
              </w:rPr>
            </w:pPr>
            <w:r w:rsidRPr="001B7F77">
              <w:rPr>
                <w:rFonts w:eastAsia="Calibri"/>
                <w:bCs/>
                <w:u w:val="single"/>
              </w:rPr>
              <w:t>Residential</w:t>
            </w:r>
          </w:p>
        </w:tc>
        <w:tc>
          <w:tcPr>
            <w:tcW w:w="1667" w:type="pct"/>
            <w:tcBorders>
              <w:top w:val="single" w:sz="4" w:space="0" w:color="auto"/>
              <w:left w:val="single" w:sz="4" w:space="0" w:color="auto"/>
              <w:bottom w:val="single" w:sz="4" w:space="0" w:color="auto"/>
              <w:right w:val="single" w:sz="4" w:space="0" w:color="auto"/>
            </w:tcBorders>
            <w:vAlign w:val="center"/>
            <w:hideMark/>
          </w:tcPr>
          <w:p w14:paraId="4AF85EA0" w14:textId="77777777" w:rsidR="001B7F77" w:rsidRPr="001B7F77" w:rsidRDefault="001B7F77" w:rsidP="001B7F77">
            <w:pPr>
              <w:widowControl w:val="0"/>
              <w:suppressAutoHyphens/>
              <w:spacing w:before="120"/>
              <w:jc w:val="center"/>
              <w:rPr>
                <w:rFonts w:eastAsia="Calibri"/>
                <w:bCs/>
                <w:u w:val="single"/>
              </w:rPr>
            </w:pPr>
            <w:r w:rsidRPr="001B7F77">
              <w:rPr>
                <w:rFonts w:eastAsia="Calibri"/>
                <w:bCs/>
                <w:u w:val="single"/>
              </w:rPr>
              <w:t>R-1, R-2</w:t>
            </w:r>
          </w:p>
        </w:tc>
        <w:tc>
          <w:tcPr>
            <w:tcW w:w="1667" w:type="pct"/>
            <w:tcBorders>
              <w:top w:val="single" w:sz="4" w:space="0" w:color="auto"/>
              <w:left w:val="single" w:sz="4" w:space="0" w:color="auto"/>
              <w:bottom w:val="single" w:sz="4" w:space="0" w:color="auto"/>
              <w:right w:val="single" w:sz="4" w:space="0" w:color="auto"/>
            </w:tcBorders>
            <w:vAlign w:val="center"/>
            <w:hideMark/>
          </w:tcPr>
          <w:p w14:paraId="3552F219" w14:textId="77777777" w:rsidR="001B7F77" w:rsidRPr="001B7F77" w:rsidRDefault="001B7F77" w:rsidP="001B7F77">
            <w:pPr>
              <w:widowControl w:val="0"/>
              <w:suppressAutoHyphens/>
              <w:spacing w:before="120"/>
              <w:jc w:val="center"/>
              <w:rPr>
                <w:rFonts w:eastAsia="Calibri"/>
                <w:bCs/>
                <w:u w:val="single"/>
              </w:rPr>
            </w:pPr>
            <w:r w:rsidRPr="001B7F77">
              <w:rPr>
                <w:rFonts w:eastAsia="Calibri"/>
                <w:bCs/>
                <w:u w:val="single"/>
              </w:rPr>
              <w:t>40</w:t>
            </w:r>
          </w:p>
        </w:tc>
      </w:tr>
      <w:tr w:rsidR="001B7F77" w:rsidRPr="001B7F77" w14:paraId="15AF51A6" w14:textId="77777777" w:rsidTr="006655A1">
        <w:trPr>
          <w:trHeight w:val="9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EDBC4B" w14:textId="77777777" w:rsidR="001B7F77" w:rsidRPr="001B7F77" w:rsidRDefault="001B7F77" w:rsidP="001B7F77">
            <w:pPr>
              <w:suppressAutoHyphens/>
              <w:spacing w:before="120"/>
              <w:jc w:val="left"/>
              <w:rPr>
                <w:rFonts w:eastAsia="Calibri"/>
                <w:bCs/>
                <w:color w:val="000000"/>
                <w:u w:val="single"/>
              </w:rPr>
            </w:pPr>
          </w:p>
        </w:tc>
        <w:tc>
          <w:tcPr>
            <w:tcW w:w="1667" w:type="pct"/>
            <w:tcBorders>
              <w:top w:val="single" w:sz="4" w:space="0" w:color="auto"/>
              <w:left w:val="single" w:sz="4" w:space="0" w:color="auto"/>
              <w:bottom w:val="single" w:sz="4" w:space="0" w:color="auto"/>
              <w:right w:val="single" w:sz="4" w:space="0" w:color="auto"/>
            </w:tcBorders>
            <w:vAlign w:val="center"/>
            <w:hideMark/>
          </w:tcPr>
          <w:p w14:paraId="745D3022" w14:textId="77777777" w:rsidR="001B7F77" w:rsidRPr="001B7F77" w:rsidRDefault="001B7F77" w:rsidP="001B7F77">
            <w:pPr>
              <w:widowControl w:val="0"/>
              <w:suppressAutoHyphens/>
              <w:spacing w:before="120"/>
              <w:jc w:val="center"/>
              <w:rPr>
                <w:rFonts w:eastAsia="Calibri"/>
                <w:bCs/>
                <w:u w:val="single"/>
              </w:rPr>
            </w:pPr>
            <w:r w:rsidRPr="001B7F77">
              <w:rPr>
                <w:rFonts w:eastAsia="Calibri"/>
                <w:bCs/>
                <w:u w:val="single"/>
              </w:rPr>
              <w:t>R-3</w:t>
            </w:r>
          </w:p>
        </w:tc>
        <w:tc>
          <w:tcPr>
            <w:tcW w:w="1667" w:type="pct"/>
            <w:tcBorders>
              <w:top w:val="single" w:sz="4" w:space="0" w:color="auto"/>
              <w:left w:val="single" w:sz="4" w:space="0" w:color="auto"/>
              <w:bottom w:val="single" w:sz="4" w:space="0" w:color="auto"/>
              <w:right w:val="single" w:sz="4" w:space="0" w:color="auto"/>
            </w:tcBorders>
            <w:vAlign w:val="center"/>
            <w:hideMark/>
          </w:tcPr>
          <w:p w14:paraId="360C6C9B" w14:textId="77777777" w:rsidR="001B7F77" w:rsidRPr="001B7F77" w:rsidRDefault="001B7F77" w:rsidP="001B7F77">
            <w:pPr>
              <w:widowControl w:val="0"/>
              <w:suppressAutoHyphens/>
              <w:spacing w:before="120"/>
              <w:jc w:val="center"/>
              <w:rPr>
                <w:rFonts w:eastAsia="Calibri"/>
                <w:bCs/>
                <w:u w:val="single"/>
              </w:rPr>
            </w:pPr>
            <w:r w:rsidRPr="001B7F77">
              <w:rPr>
                <w:rFonts w:eastAsia="Calibri"/>
                <w:bCs/>
                <w:u w:val="single"/>
              </w:rPr>
              <w:t>NR</w:t>
            </w:r>
          </w:p>
        </w:tc>
      </w:tr>
      <w:tr w:rsidR="001B7F77" w:rsidRPr="001B7F77" w14:paraId="0A04F22F" w14:textId="77777777" w:rsidTr="006655A1">
        <w:trPr>
          <w:trHeight w:val="96"/>
        </w:trPr>
        <w:tc>
          <w:tcPr>
            <w:tcW w:w="1667" w:type="pct"/>
            <w:vMerge w:val="restart"/>
            <w:tcBorders>
              <w:top w:val="single" w:sz="4" w:space="0" w:color="auto"/>
              <w:left w:val="single" w:sz="4" w:space="0" w:color="auto"/>
              <w:bottom w:val="single" w:sz="4" w:space="0" w:color="auto"/>
              <w:right w:val="single" w:sz="4" w:space="0" w:color="auto"/>
            </w:tcBorders>
            <w:vAlign w:val="center"/>
            <w:hideMark/>
          </w:tcPr>
          <w:p w14:paraId="01DC10E5" w14:textId="77777777" w:rsidR="001B7F77" w:rsidRPr="001B7F77" w:rsidRDefault="001B7F77" w:rsidP="001B7F77">
            <w:pPr>
              <w:widowControl w:val="0"/>
              <w:suppressAutoHyphens/>
              <w:spacing w:before="120"/>
              <w:jc w:val="center"/>
              <w:rPr>
                <w:rFonts w:eastAsia="Calibri"/>
                <w:bCs/>
                <w:u w:val="single"/>
              </w:rPr>
            </w:pPr>
            <w:r w:rsidRPr="001B7F77">
              <w:rPr>
                <w:rFonts w:eastAsia="Calibri"/>
                <w:bCs/>
                <w:u w:val="single"/>
              </w:rPr>
              <w:t>Storage</w:t>
            </w:r>
          </w:p>
        </w:tc>
        <w:tc>
          <w:tcPr>
            <w:tcW w:w="1667" w:type="pct"/>
            <w:tcBorders>
              <w:top w:val="single" w:sz="4" w:space="0" w:color="auto"/>
              <w:left w:val="single" w:sz="4" w:space="0" w:color="auto"/>
              <w:bottom w:val="single" w:sz="4" w:space="0" w:color="auto"/>
              <w:right w:val="single" w:sz="4" w:space="0" w:color="auto"/>
            </w:tcBorders>
            <w:vAlign w:val="center"/>
            <w:hideMark/>
          </w:tcPr>
          <w:p w14:paraId="7280CE85" w14:textId="77777777" w:rsidR="001B7F77" w:rsidRPr="001B7F77" w:rsidRDefault="001B7F77" w:rsidP="001B7F77">
            <w:pPr>
              <w:widowControl w:val="0"/>
              <w:suppressAutoHyphens/>
              <w:spacing w:before="120"/>
              <w:jc w:val="center"/>
              <w:rPr>
                <w:rFonts w:eastAsia="Calibri"/>
                <w:bCs/>
                <w:u w:val="single"/>
              </w:rPr>
            </w:pPr>
            <w:r w:rsidRPr="001B7F77">
              <w:rPr>
                <w:rFonts w:eastAsia="Calibri"/>
                <w:bCs/>
                <w:u w:val="single"/>
              </w:rPr>
              <w:t>S1</w:t>
            </w:r>
          </w:p>
        </w:tc>
        <w:tc>
          <w:tcPr>
            <w:tcW w:w="1667" w:type="pct"/>
            <w:tcBorders>
              <w:top w:val="single" w:sz="4" w:space="0" w:color="auto"/>
              <w:left w:val="single" w:sz="4" w:space="0" w:color="auto"/>
              <w:bottom w:val="single" w:sz="4" w:space="0" w:color="auto"/>
              <w:right w:val="single" w:sz="4" w:space="0" w:color="auto"/>
            </w:tcBorders>
            <w:vAlign w:val="center"/>
            <w:hideMark/>
          </w:tcPr>
          <w:p w14:paraId="527FC066" w14:textId="77777777" w:rsidR="001B7F77" w:rsidRPr="001B7F77" w:rsidRDefault="001B7F77" w:rsidP="001B7F77">
            <w:pPr>
              <w:widowControl w:val="0"/>
              <w:suppressAutoHyphens/>
              <w:spacing w:before="120"/>
              <w:jc w:val="center"/>
              <w:rPr>
                <w:rFonts w:eastAsia="Calibri"/>
                <w:bCs/>
                <w:u w:val="single"/>
              </w:rPr>
            </w:pPr>
            <w:r w:rsidRPr="001B7F77">
              <w:rPr>
                <w:rFonts w:eastAsia="Calibri"/>
                <w:bCs/>
                <w:u w:val="single"/>
              </w:rPr>
              <w:t>50</w:t>
            </w:r>
          </w:p>
        </w:tc>
      </w:tr>
      <w:tr w:rsidR="001B7F77" w:rsidRPr="001B7F77" w14:paraId="54EA2DE0" w14:textId="77777777" w:rsidTr="006655A1">
        <w:trPr>
          <w:trHeight w:val="9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CBA27A" w14:textId="77777777" w:rsidR="001B7F77" w:rsidRPr="001B7F77" w:rsidRDefault="001B7F77" w:rsidP="001B7F77">
            <w:pPr>
              <w:suppressAutoHyphens/>
              <w:spacing w:before="120"/>
              <w:jc w:val="left"/>
              <w:rPr>
                <w:rFonts w:eastAsia="Calibri"/>
                <w:bCs/>
                <w:color w:val="000000"/>
                <w:u w:val="single"/>
              </w:rPr>
            </w:pPr>
          </w:p>
        </w:tc>
        <w:tc>
          <w:tcPr>
            <w:tcW w:w="1667" w:type="pct"/>
            <w:tcBorders>
              <w:top w:val="single" w:sz="4" w:space="0" w:color="auto"/>
              <w:left w:val="single" w:sz="4" w:space="0" w:color="auto"/>
              <w:bottom w:val="single" w:sz="4" w:space="0" w:color="auto"/>
              <w:right w:val="single" w:sz="4" w:space="0" w:color="auto"/>
            </w:tcBorders>
            <w:vAlign w:val="center"/>
            <w:hideMark/>
          </w:tcPr>
          <w:p w14:paraId="7125255E" w14:textId="77777777" w:rsidR="001B7F77" w:rsidRPr="001B7F77" w:rsidRDefault="001B7F77" w:rsidP="001B7F77">
            <w:pPr>
              <w:widowControl w:val="0"/>
              <w:suppressAutoHyphens/>
              <w:spacing w:before="120"/>
              <w:jc w:val="center"/>
              <w:rPr>
                <w:rFonts w:eastAsia="Calibri"/>
                <w:bCs/>
                <w:u w:val="single"/>
              </w:rPr>
            </w:pPr>
            <w:r w:rsidRPr="001B7F77">
              <w:rPr>
                <w:rFonts w:eastAsia="Calibri"/>
                <w:bCs/>
                <w:u w:val="single"/>
              </w:rPr>
              <w:t>S2</w:t>
            </w:r>
          </w:p>
        </w:tc>
        <w:tc>
          <w:tcPr>
            <w:tcW w:w="1667" w:type="pct"/>
            <w:tcBorders>
              <w:top w:val="single" w:sz="4" w:space="0" w:color="auto"/>
              <w:left w:val="single" w:sz="4" w:space="0" w:color="auto"/>
              <w:bottom w:val="single" w:sz="4" w:space="0" w:color="auto"/>
              <w:right w:val="single" w:sz="4" w:space="0" w:color="auto"/>
            </w:tcBorders>
            <w:vAlign w:val="center"/>
            <w:hideMark/>
          </w:tcPr>
          <w:p w14:paraId="39177B83" w14:textId="77777777" w:rsidR="001B7F77" w:rsidRPr="001B7F77" w:rsidRDefault="001B7F77" w:rsidP="001B7F77">
            <w:pPr>
              <w:widowControl w:val="0"/>
              <w:suppressAutoHyphens/>
              <w:spacing w:before="120"/>
              <w:jc w:val="center"/>
              <w:rPr>
                <w:rFonts w:eastAsia="Calibri"/>
                <w:bCs/>
                <w:u w:val="single"/>
              </w:rPr>
            </w:pPr>
            <w:r w:rsidRPr="001B7F77">
              <w:rPr>
                <w:rFonts w:eastAsia="Calibri"/>
                <w:bCs/>
                <w:u w:val="single"/>
              </w:rPr>
              <w:t>NR</w:t>
            </w:r>
          </w:p>
        </w:tc>
      </w:tr>
      <w:tr w:rsidR="001B7F77" w:rsidRPr="001B7F77" w14:paraId="3039E77B" w14:textId="77777777" w:rsidTr="006655A1">
        <w:trPr>
          <w:trHeight w:val="370"/>
        </w:trPr>
        <w:tc>
          <w:tcPr>
            <w:tcW w:w="1667" w:type="pct"/>
            <w:tcBorders>
              <w:top w:val="single" w:sz="4" w:space="0" w:color="auto"/>
              <w:left w:val="single" w:sz="4" w:space="0" w:color="auto"/>
              <w:bottom w:val="single" w:sz="4" w:space="0" w:color="auto"/>
              <w:right w:val="single" w:sz="4" w:space="0" w:color="auto"/>
            </w:tcBorders>
            <w:vAlign w:val="center"/>
            <w:hideMark/>
          </w:tcPr>
          <w:p w14:paraId="36EEC9AF" w14:textId="77777777" w:rsidR="001B7F77" w:rsidRPr="001B7F77" w:rsidRDefault="001B7F77" w:rsidP="001B7F77">
            <w:pPr>
              <w:widowControl w:val="0"/>
              <w:suppressAutoHyphens/>
              <w:spacing w:before="120"/>
              <w:jc w:val="center"/>
              <w:rPr>
                <w:rFonts w:eastAsia="Calibri"/>
                <w:bCs/>
                <w:u w:val="single"/>
              </w:rPr>
            </w:pPr>
            <w:r w:rsidRPr="001B7F77">
              <w:rPr>
                <w:rFonts w:eastAsia="Calibri"/>
                <w:bCs/>
                <w:u w:val="single"/>
              </w:rPr>
              <w:t>Utility</w:t>
            </w:r>
          </w:p>
        </w:tc>
        <w:tc>
          <w:tcPr>
            <w:tcW w:w="1667" w:type="pct"/>
            <w:tcBorders>
              <w:top w:val="single" w:sz="4" w:space="0" w:color="auto"/>
              <w:left w:val="single" w:sz="4" w:space="0" w:color="auto"/>
              <w:bottom w:val="single" w:sz="4" w:space="0" w:color="auto"/>
              <w:right w:val="single" w:sz="4" w:space="0" w:color="auto"/>
            </w:tcBorders>
            <w:vAlign w:val="center"/>
            <w:hideMark/>
          </w:tcPr>
          <w:p w14:paraId="01BC1A37" w14:textId="77777777" w:rsidR="001B7F77" w:rsidRPr="001B7F77" w:rsidRDefault="001B7F77" w:rsidP="001B7F77">
            <w:pPr>
              <w:widowControl w:val="0"/>
              <w:suppressAutoHyphens/>
              <w:spacing w:before="120"/>
              <w:jc w:val="center"/>
              <w:rPr>
                <w:rFonts w:eastAsia="Calibri"/>
                <w:bCs/>
                <w:u w:val="single"/>
              </w:rPr>
            </w:pPr>
            <w:r w:rsidRPr="001B7F77">
              <w:rPr>
                <w:rFonts w:eastAsia="Calibri"/>
                <w:bCs/>
                <w:u w:val="single"/>
              </w:rPr>
              <w:t>U</w:t>
            </w:r>
          </w:p>
        </w:tc>
        <w:tc>
          <w:tcPr>
            <w:tcW w:w="1667" w:type="pct"/>
            <w:tcBorders>
              <w:top w:val="single" w:sz="4" w:space="0" w:color="auto"/>
              <w:left w:val="single" w:sz="4" w:space="0" w:color="auto"/>
              <w:bottom w:val="single" w:sz="4" w:space="0" w:color="auto"/>
              <w:right w:val="single" w:sz="4" w:space="0" w:color="auto"/>
            </w:tcBorders>
            <w:vAlign w:val="center"/>
            <w:hideMark/>
          </w:tcPr>
          <w:p w14:paraId="28466914" w14:textId="77777777" w:rsidR="001B7F77" w:rsidRPr="001B7F77" w:rsidRDefault="001B7F77" w:rsidP="001B7F77">
            <w:pPr>
              <w:widowControl w:val="0"/>
              <w:suppressAutoHyphens/>
              <w:spacing w:before="120"/>
              <w:jc w:val="center"/>
              <w:rPr>
                <w:rFonts w:eastAsia="Calibri"/>
                <w:bCs/>
                <w:u w:val="single"/>
              </w:rPr>
            </w:pPr>
            <w:r w:rsidRPr="001B7F77">
              <w:rPr>
                <w:rFonts w:eastAsia="Calibri"/>
                <w:bCs/>
                <w:u w:val="single"/>
              </w:rPr>
              <w:t>NR</w:t>
            </w:r>
          </w:p>
        </w:tc>
      </w:tr>
    </w:tbl>
    <w:p w14:paraId="3872218A" w14:textId="77777777" w:rsidR="001B7F77" w:rsidRPr="001B7F77" w:rsidRDefault="001B7F77" w:rsidP="001B7F77">
      <w:pPr>
        <w:widowControl w:val="0"/>
        <w:tabs>
          <w:tab w:val="left" w:pos="1530"/>
          <w:tab w:val="left" w:pos="1980"/>
          <w:tab w:val="left" w:pos="2070"/>
          <w:tab w:val="left" w:pos="2430"/>
          <w:tab w:val="left" w:pos="2516"/>
          <w:tab w:val="left" w:pos="2790"/>
        </w:tabs>
        <w:suppressAutoHyphens/>
        <w:ind w:left="360"/>
        <w:jc w:val="left"/>
        <w:rPr>
          <w:rFonts w:eastAsia="Calibri"/>
          <w:bCs/>
          <w:color w:val="000000"/>
          <w:sz w:val="18"/>
          <w:szCs w:val="14"/>
          <w:u w:val="single"/>
        </w:rPr>
      </w:pPr>
      <w:r w:rsidRPr="001B7F77">
        <w:rPr>
          <w:rFonts w:eastAsia="Calibri"/>
          <w:bCs/>
          <w:color w:val="000000"/>
          <w:sz w:val="18"/>
          <w:szCs w:val="14"/>
          <w:u w:val="single"/>
        </w:rPr>
        <w:t>For SI: 1 foot = 304.8 mm.</w:t>
      </w:r>
    </w:p>
    <w:p w14:paraId="0D7D8C65" w14:textId="77777777" w:rsidR="001B7F77" w:rsidRPr="001B7F77" w:rsidRDefault="001B7F77" w:rsidP="001B7F77">
      <w:pPr>
        <w:widowControl w:val="0"/>
        <w:tabs>
          <w:tab w:val="left" w:pos="1530"/>
          <w:tab w:val="left" w:pos="1980"/>
          <w:tab w:val="left" w:pos="2070"/>
          <w:tab w:val="left" w:pos="2430"/>
          <w:tab w:val="left" w:pos="2516"/>
          <w:tab w:val="left" w:pos="2790"/>
        </w:tabs>
        <w:suppressAutoHyphens/>
        <w:ind w:left="360"/>
        <w:jc w:val="left"/>
        <w:rPr>
          <w:rFonts w:eastAsia="Calibri"/>
          <w:bCs/>
          <w:color w:val="000000"/>
          <w:sz w:val="18"/>
          <w:szCs w:val="14"/>
          <w:u w:val="single"/>
        </w:rPr>
      </w:pPr>
      <w:r w:rsidRPr="001B7F77">
        <w:rPr>
          <w:rFonts w:eastAsia="Calibri"/>
          <w:bCs/>
          <w:color w:val="000000"/>
          <w:sz w:val="18"/>
          <w:szCs w:val="14"/>
          <w:u w:val="single"/>
        </w:rPr>
        <w:t>NP – Not Permitted</w:t>
      </w:r>
      <w:r w:rsidRPr="001B7F77">
        <w:rPr>
          <w:rFonts w:eastAsia="Calibri"/>
          <w:bCs/>
          <w:color w:val="000000"/>
          <w:sz w:val="18"/>
          <w:szCs w:val="14"/>
          <w:u w:val="single"/>
        </w:rPr>
        <w:tab/>
      </w:r>
      <w:r w:rsidRPr="001B7F77">
        <w:rPr>
          <w:rFonts w:eastAsia="Calibri"/>
          <w:bCs/>
          <w:color w:val="000000"/>
          <w:sz w:val="18"/>
          <w:szCs w:val="14"/>
          <w:u w:val="single"/>
        </w:rPr>
        <w:tab/>
        <w:t>NR – Not Required</w:t>
      </w:r>
    </w:p>
    <w:p w14:paraId="247FA954" w14:textId="77777777" w:rsidR="001B7F77" w:rsidRPr="001B7F77" w:rsidRDefault="001B7F77" w:rsidP="001B7F77">
      <w:pPr>
        <w:widowControl w:val="0"/>
        <w:tabs>
          <w:tab w:val="left" w:pos="1530"/>
          <w:tab w:val="left" w:pos="1980"/>
          <w:tab w:val="left" w:pos="2070"/>
          <w:tab w:val="left" w:pos="2430"/>
          <w:tab w:val="left" w:pos="2790"/>
        </w:tabs>
        <w:suppressAutoHyphens/>
        <w:ind w:left="540" w:hanging="180"/>
        <w:rPr>
          <w:rFonts w:eastAsia="Calibri"/>
          <w:bCs/>
          <w:color w:val="000000"/>
          <w:sz w:val="18"/>
          <w:szCs w:val="14"/>
          <w:u w:val="single"/>
        </w:rPr>
      </w:pPr>
      <w:r w:rsidRPr="001B7F77">
        <w:rPr>
          <w:rFonts w:eastAsia="Calibri"/>
          <w:bCs/>
          <w:color w:val="000000"/>
          <w:sz w:val="18"/>
          <w:szCs w:val="14"/>
          <w:u w:val="single"/>
        </w:rPr>
        <w:t>Notes:</w:t>
      </w:r>
    </w:p>
    <w:p w14:paraId="508FBC8D" w14:textId="77777777" w:rsidR="001B7F77" w:rsidRPr="001B7F77" w:rsidRDefault="001B7F77" w:rsidP="001B7F77">
      <w:pPr>
        <w:widowControl w:val="0"/>
        <w:tabs>
          <w:tab w:val="left" w:pos="1530"/>
          <w:tab w:val="left" w:pos="1980"/>
          <w:tab w:val="left" w:pos="2070"/>
          <w:tab w:val="left" w:pos="2430"/>
          <w:tab w:val="left" w:pos="2790"/>
        </w:tabs>
        <w:suppressAutoHyphens/>
        <w:ind w:left="540" w:hanging="180"/>
        <w:rPr>
          <w:rFonts w:eastAsia="Calibri"/>
          <w:bCs/>
          <w:color w:val="000000"/>
          <w:sz w:val="18"/>
          <w:szCs w:val="14"/>
          <w:u w:val="single"/>
        </w:rPr>
      </w:pPr>
      <w:r w:rsidRPr="001B7F77">
        <w:rPr>
          <w:rFonts w:eastAsia="Calibri"/>
          <w:bCs/>
          <w:color w:val="000000"/>
          <w:sz w:val="18"/>
          <w:szCs w:val="14"/>
          <w:u w:val="single"/>
        </w:rPr>
        <w:t>a.</w:t>
      </w:r>
      <w:r w:rsidRPr="001B7F77">
        <w:rPr>
          <w:rFonts w:eastAsia="Calibri"/>
          <w:bCs/>
          <w:color w:val="000000"/>
          <w:sz w:val="18"/>
          <w:szCs w:val="14"/>
          <w:u w:val="single"/>
        </w:rPr>
        <w:tab/>
        <w:t>Except in occupancy group I, when a corridor is completely enclosed in construction having a two-hour fire resistance rating, with all corridor doors being self-closing and having a fire protection rating of one and one-half hours, the permissible length of dead ends may be increased 100 percent above the length listed in Table 805.6.</w:t>
      </w:r>
    </w:p>
    <w:p w14:paraId="3541608A" w14:textId="77777777" w:rsidR="001B7F77" w:rsidRPr="001B7F77" w:rsidRDefault="001B7F77" w:rsidP="001B7F77">
      <w:pPr>
        <w:widowControl w:val="0"/>
        <w:tabs>
          <w:tab w:val="left" w:pos="1530"/>
          <w:tab w:val="left" w:pos="1980"/>
          <w:tab w:val="left" w:pos="2070"/>
          <w:tab w:val="left" w:pos="2430"/>
          <w:tab w:val="left" w:pos="2790"/>
        </w:tabs>
        <w:suppressAutoHyphens/>
        <w:ind w:left="540" w:hanging="180"/>
        <w:rPr>
          <w:rFonts w:eastAsia="Calibri"/>
          <w:bCs/>
          <w:color w:val="000000"/>
          <w:sz w:val="18"/>
          <w:szCs w:val="14"/>
          <w:u w:val="single"/>
        </w:rPr>
      </w:pPr>
      <w:r w:rsidRPr="001B7F77">
        <w:rPr>
          <w:rFonts w:eastAsia="Calibri"/>
          <w:bCs/>
          <w:color w:val="000000"/>
          <w:sz w:val="18"/>
          <w:szCs w:val="14"/>
          <w:u w:val="single"/>
        </w:rPr>
        <w:t>b.</w:t>
      </w:r>
      <w:r w:rsidRPr="001B7F77">
        <w:rPr>
          <w:rFonts w:eastAsia="Calibri"/>
          <w:bCs/>
          <w:color w:val="000000"/>
          <w:sz w:val="18"/>
          <w:szCs w:val="14"/>
          <w:u w:val="single"/>
        </w:rPr>
        <w:tab/>
        <w:t>There shall not be more than one classroom on each side of a corridor between an exit and the end of the corridor (dead end).</w:t>
      </w:r>
    </w:p>
    <w:p w14:paraId="28215684" w14:textId="77777777" w:rsidR="001B7F77" w:rsidRPr="001B7F77" w:rsidRDefault="001B7F77" w:rsidP="001B7F77">
      <w:pPr>
        <w:widowControl w:val="0"/>
        <w:tabs>
          <w:tab w:val="left" w:pos="1530"/>
          <w:tab w:val="left" w:pos="1980"/>
          <w:tab w:val="left" w:pos="2070"/>
          <w:tab w:val="left" w:pos="2430"/>
          <w:tab w:val="left" w:pos="2790"/>
        </w:tabs>
        <w:suppressAutoHyphens/>
        <w:ind w:left="540" w:hanging="180"/>
        <w:rPr>
          <w:rFonts w:eastAsia="Calibri"/>
          <w:bCs/>
          <w:color w:val="000000"/>
          <w:sz w:val="18"/>
          <w:szCs w:val="14"/>
          <w:u w:val="single"/>
        </w:rPr>
      </w:pPr>
      <w:r w:rsidRPr="001B7F77">
        <w:rPr>
          <w:rFonts w:eastAsia="Calibri"/>
          <w:bCs/>
          <w:color w:val="000000"/>
          <w:sz w:val="18"/>
          <w:szCs w:val="14"/>
          <w:u w:val="single"/>
        </w:rPr>
        <w:t>c.</w:t>
      </w:r>
      <w:r w:rsidRPr="001B7F77">
        <w:rPr>
          <w:rFonts w:eastAsia="Calibri"/>
          <w:bCs/>
          <w:color w:val="000000"/>
          <w:sz w:val="18"/>
          <w:szCs w:val="14"/>
          <w:u w:val="single"/>
        </w:rPr>
        <w:tab/>
        <w:t>There shall be no patient bedrooms between an exit and the end of the corridor (dead end).</w:t>
      </w:r>
    </w:p>
    <w:p w14:paraId="2200CB44" w14:textId="77777777" w:rsidR="001B7F77" w:rsidRPr="001B7F77" w:rsidRDefault="001B7F77" w:rsidP="001B7F77">
      <w:pPr>
        <w:widowControl w:val="0"/>
        <w:suppressAutoHyphens/>
        <w:spacing w:before="120"/>
        <w:jc w:val="left"/>
        <w:rPr>
          <w:rFonts w:eastAsia="Calibri"/>
          <w:color w:val="000000"/>
        </w:rPr>
      </w:pPr>
      <w:r w:rsidRPr="001B7F77">
        <w:rPr>
          <w:rFonts w:eastAsia="Calibri"/>
          <w:b/>
          <w:color w:val="000000"/>
          <w:u w:val="single"/>
        </w:rPr>
        <w:t>805.7 Means-of-egress lighting</w:t>
      </w:r>
      <w:r w:rsidRPr="001B7F77">
        <w:rPr>
          <w:rFonts w:eastAsia="Calibri"/>
          <w:color w:val="000000"/>
          <w:u w:val="single"/>
        </w:rPr>
        <w:t>. Means-of-egress lighting shall be in accordance with this section, as applicable.</w:t>
      </w:r>
    </w:p>
    <w:p w14:paraId="1382A3DB" w14:textId="77777777" w:rsidR="001B7F77" w:rsidRPr="001B7F77" w:rsidRDefault="001B7F77" w:rsidP="001B7F77">
      <w:pPr>
        <w:widowControl w:val="0"/>
        <w:suppressAutoHyphens/>
        <w:spacing w:before="120"/>
        <w:ind w:left="360"/>
        <w:rPr>
          <w:rFonts w:eastAsia="Calibri"/>
          <w:color w:val="000000"/>
          <w:u w:val="single"/>
        </w:rPr>
      </w:pPr>
      <w:r w:rsidRPr="001B7F77">
        <w:rPr>
          <w:rFonts w:eastAsia="Calibri"/>
          <w:b/>
          <w:color w:val="000000"/>
          <w:u w:val="single"/>
        </w:rPr>
        <w:t>805.7.1 Artificial lighting required</w:t>
      </w:r>
      <w:r w:rsidRPr="001B7F77">
        <w:rPr>
          <w:rFonts w:eastAsia="Calibri"/>
          <w:color w:val="000000"/>
          <w:u w:val="single"/>
        </w:rPr>
        <w:t xml:space="preserve">. Means of egress in all work areas shall be provided with artificial lighting in accordance with the requirements of Chapter 10 of the </w:t>
      </w:r>
      <w:r w:rsidRPr="001B7F77">
        <w:rPr>
          <w:rFonts w:eastAsia="Calibri"/>
          <w:i/>
          <w:iCs/>
          <w:color w:val="000000"/>
          <w:u w:val="single"/>
        </w:rPr>
        <w:t>New York City Building Code</w:t>
      </w:r>
      <w:r w:rsidRPr="001B7F77">
        <w:rPr>
          <w:rFonts w:eastAsia="Calibri"/>
          <w:color w:val="000000"/>
          <w:u w:val="single"/>
        </w:rPr>
        <w:t>.</w:t>
      </w:r>
    </w:p>
    <w:p w14:paraId="15D4CC39" w14:textId="77777777" w:rsidR="001B7F77" w:rsidRPr="001B7F77" w:rsidRDefault="001B7F77" w:rsidP="001B7F77">
      <w:pPr>
        <w:widowControl w:val="0"/>
        <w:suppressAutoHyphens/>
        <w:spacing w:before="120"/>
        <w:ind w:left="720"/>
        <w:rPr>
          <w:rFonts w:eastAsia="Calibri"/>
          <w:color w:val="000000"/>
          <w:u w:val="single"/>
        </w:rPr>
      </w:pPr>
      <w:r w:rsidRPr="001B7F77">
        <w:rPr>
          <w:rFonts w:eastAsia="Calibri"/>
          <w:b/>
          <w:bCs/>
          <w:color w:val="000000"/>
          <w:u w:val="single"/>
        </w:rPr>
        <w:t>Exception:</w:t>
      </w:r>
      <w:r w:rsidRPr="001B7F77">
        <w:rPr>
          <w:rFonts w:eastAsia="Calibri"/>
          <w:color w:val="000000"/>
          <w:u w:val="single"/>
        </w:rPr>
        <w:t xml:space="preserve"> Modifications to existing places of assembly subject to the limitations of Section 305.5.18.1 of this code in prior code buildings and in existing motion picture theaters, theaters, concert halls, operas and similar places of assembly accommodating more than 300 persons that were established under Article 13 of the 1938 Building Code, including those constructed prior to 1938, shall be provided with lighting in compliance with the requirements applicable when the building was erected, or under the applicable requirements for the place of assembly when the place of assembly permit was issued, whichever is more restrictive. In addition, such existing places of assembly are permitted to comply with the requirements of Chapter 10 of the </w:t>
      </w:r>
      <w:r w:rsidRPr="001B7F77">
        <w:rPr>
          <w:rFonts w:eastAsia="Calibri"/>
          <w:i/>
          <w:iCs/>
          <w:color w:val="000000"/>
          <w:u w:val="single"/>
        </w:rPr>
        <w:t>New York City Building Code</w:t>
      </w:r>
      <w:r w:rsidRPr="001B7F77">
        <w:rPr>
          <w:rFonts w:eastAsia="Calibri"/>
          <w:color w:val="000000"/>
          <w:u w:val="single"/>
        </w:rPr>
        <w:t>.</w:t>
      </w:r>
    </w:p>
    <w:p w14:paraId="1FAB5B02" w14:textId="77777777" w:rsidR="001B7F77" w:rsidRPr="001B7F77" w:rsidRDefault="001B7F77" w:rsidP="001B7F77">
      <w:pPr>
        <w:widowControl w:val="0"/>
        <w:suppressAutoHyphens/>
        <w:spacing w:before="120"/>
        <w:ind w:left="360"/>
        <w:rPr>
          <w:rFonts w:eastAsia="Calibri"/>
          <w:color w:val="000000"/>
          <w:u w:val="single"/>
        </w:rPr>
      </w:pPr>
      <w:bookmarkStart w:id="178" w:name="_Hlk172819101"/>
      <w:r w:rsidRPr="001B7F77">
        <w:rPr>
          <w:rFonts w:eastAsia="Calibri"/>
          <w:b/>
          <w:color w:val="000000"/>
          <w:u w:val="single"/>
        </w:rPr>
        <w:t>805.7.2 Supplemental requirements for means-of-egress lighting</w:t>
      </w:r>
      <w:r w:rsidRPr="001B7F77">
        <w:rPr>
          <w:rFonts w:eastAsia="Calibri"/>
          <w:color w:val="000000"/>
          <w:u w:val="single"/>
        </w:rPr>
        <w:t>. Where the work area on any floor exceeds 50 percent of that floor area, means of egress lighting throughout the floor shall comply with Section 805.7.1.</w:t>
      </w:r>
    </w:p>
    <w:p w14:paraId="0BCF2D54" w14:textId="77777777" w:rsidR="001B7F77" w:rsidRPr="001B7F77" w:rsidRDefault="001B7F77" w:rsidP="001B7F77">
      <w:pPr>
        <w:widowControl w:val="0"/>
        <w:suppressAutoHyphens/>
        <w:spacing w:before="120"/>
        <w:ind w:left="720"/>
        <w:rPr>
          <w:rFonts w:eastAsia="Calibri"/>
          <w:color w:val="000000"/>
          <w:u w:val="single"/>
        </w:rPr>
      </w:pPr>
      <w:r w:rsidRPr="001B7F77">
        <w:rPr>
          <w:rFonts w:eastAsia="Calibri"/>
          <w:b/>
          <w:color w:val="000000"/>
          <w:u w:val="single"/>
        </w:rPr>
        <w:t>Exceptions</w:t>
      </w:r>
      <w:r w:rsidRPr="001B7F77">
        <w:rPr>
          <w:rFonts w:eastAsia="Calibri"/>
          <w:color w:val="000000"/>
          <w:u w:val="single"/>
        </w:rPr>
        <w:t>:</w:t>
      </w:r>
    </w:p>
    <w:p w14:paraId="260A9B93" w14:textId="77777777" w:rsidR="001B7F77" w:rsidRPr="001B7F77" w:rsidRDefault="001B7F77" w:rsidP="001B7F77">
      <w:pPr>
        <w:widowControl w:val="0"/>
        <w:tabs>
          <w:tab w:val="left" w:pos="1440"/>
        </w:tabs>
        <w:suppressAutoHyphens/>
        <w:autoSpaceDE w:val="0"/>
        <w:autoSpaceDN w:val="0"/>
        <w:adjustRightInd w:val="0"/>
        <w:spacing w:before="120"/>
        <w:ind w:left="1440" w:hanging="360"/>
        <w:rPr>
          <w:rFonts w:eastAsia="Arial"/>
          <w:bCs/>
          <w:u w:val="single"/>
        </w:rPr>
      </w:pPr>
      <w:r w:rsidRPr="001B7F77">
        <w:rPr>
          <w:rFonts w:eastAsia="Arial"/>
          <w:color w:val="000000"/>
          <w:u w:val="single"/>
        </w:rPr>
        <w:t>1.</w:t>
      </w:r>
      <w:r w:rsidRPr="001B7F77">
        <w:rPr>
          <w:rFonts w:eastAsia="Arial"/>
          <w:color w:val="000000"/>
          <w:u w:val="single"/>
        </w:rPr>
        <w:tab/>
      </w:r>
      <w:r w:rsidRPr="001B7F77">
        <w:rPr>
          <w:rFonts w:eastAsia="Arial"/>
          <w:bCs/>
          <w:color w:val="000000"/>
          <w:u w:val="single"/>
        </w:rPr>
        <w:t>Means of egress within or serving only an occupied space under separate tenancy that is entirely outside the work area.</w:t>
      </w:r>
    </w:p>
    <w:p w14:paraId="7FFF28BF" w14:textId="77777777" w:rsidR="001B7F77" w:rsidRPr="001B7F77" w:rsidRDefault="001B7F77" w:rsidP="001B7F77">
      <w:pPr>
        <w:widowControl w:val="0"/>
        <w:tabs>
          <w:tab w:val="left" w:pos="1440"/>
        </w:tabs>
        <w:suppressAutoHyphens/>
        <w:autoSpaceDE w:val="0"/>
        <w:autoSpaceDN w:val="0"/>
        <w:adjustRightInd w:val="0"/>
        <w:spacing w:before="120"/>
        <w:ind w:left="1440" w:hanging="360"/>
        <w:rPr>
          <w:rFonts w:eastAsia="Arial"/>
          <w:bCs/>
          <w:u w:val="single"/>
        </w:rPr>
      </w:pPr>
      <w:r w:rsidRPr="001B7F77">
        <w:rPr>
          <w:rFonts w:eastAsia="Arial"/>
          <w:bCs/>
          <w:u w:val="single"/>
        </w:rPr>
        <w:t>2.</w:t>
      </w:r>
      <w:r w:rsidRPr="001B7F77">
        <w:rPr>
          <w:rFonts w:eastAsia="Arial"/>
          <w:bCs/>
          <w:u w:val="single"/>
        </w:rPr>
        <w:tab/>
        <w:t>Existing means of egress lighting may be maintained where work is limited to change in seating arrangements, stages and platforms in existing places of assembly in prior code buildings pursuant to Section 305.5.18.1.1.</w:t>
      </w:r>
    </w:p>
    <w:p w14:paraId="7ACB1920" w14:textId="77777777" w:rsidR="001B7F77" w:rsidRPr="001B7F77" w:rsidRDefault="001B7F77" w:rsidP="001B7F77">
      <w:pPr>
        <w:widowControl w:val="0"/>
        <w:tabs>
          <w:tab w:val="left" w:pos="1440"/>
        </w:tabs>
        <w:suppressAutoHyphens/>
        <w:autoSpaceDE w:val="0"/>
        <w:autoSpaceDN w:val="0"/>
        <w:adjustRightInd w:val="0"/>
        <w:spacing w:before="120"/>
        <w:ind w:left="1440" w:hanging="360"/>
        <w:rPr>
          <w:rFonts w:eastAsia="Arial"/>
          <w:b/>
          <w:u w:val="single"/>
        </w:rPr>
      </w:pPr>
      <w:r w:rsidRPr="001B7F77">
        <w:rPr>
          <w:rFonts w:eastAsia="Arial"/>
          <w:bCs/>
          <w:u w:val="single"/>
        </w:rPr>
        <w:t>3.</w:t>
      </w:r>
      <w:r w:rsidRPr="001B7F77">
        <w:rPr>
          <w:rFonts w:eastAsia="Arial"/>
          <w:bCs/>
          <w:u w:val="single"/>
        </w:rPr>
        <w:tab/>
        <w:t>Existing means of egress lighting may be maintained in temporary places of assembly pursuant to Section 305.5.18.</w:t>
      </w:r>
    </w:p>
    <w:bookmarkEnd w:id="178"/>
    <w:p w14:paraId="5C8FD6A3" w14:textId="77777777" w:rsidR="001B7F77" w:rsidRPr="001B7F77" w:rsidRDefault="001B7F77" w:rsidP="001B7F77">
      <w:pPr>
        <w:widowControl w:val="0"/>
        <w:suppressAutoHyphens/>
        <w:spacing w:before="120"/>
        <w:jc w:val="left"/>
        <w:rPr>
          <w:rFonts w:eastAsia="Calibri"/>
          <w:color w:val="000000"/>
        </w:rPr>
      </w:pPr>
      <w:r w:rsidRPr="001B7F77">
        <w:rPr>
          <w:rFonts w:eastAsia="Calibri"/>
          <w:b/>
          <w:color w:val="000000"/>
          <w:u w:val="single"/>
        </w:rPr>
        <w:t>805.8 Exit signs</w:t>
      </w:r>
      <w:r w:rsidRPr="001B7F77">
        <w:rPr>
          <w:rFonts w:eastAsia="Calibri"/>
          <w:color w:val="000000"/>
          <w:u w:val="single"/>
        </w:rPr>
        <w:t>. Exit signs shall be in accordance with this section, as applicable.</w:t>
      </w:r>
    </w:p>
    <w:p w14:paraId="152A085B" w14:textId="77777777" w:rsidR="001B7F77" w:rsidRPr="001B7F77" w:rsidRDefault="001B7F77" w:rsidP="001B7F77">
      <w:pPr>
        <w:widowControl w:val="0"/>
        <w:suppressAutoHyphens/>
        <w:spacing w:before="120"/>
        <w:ind w:left="360"/>
        <w:rPr>
          <w:rFonts w:eastAsia="Calibri"/>
          <w:color w:val="000000"/>
        </w:rPr>
      </w:pPr>
      <w:r w:rsidRPr="001B7F77">
        <w:rPr>
          <w:rFonts w:eastAsia="Calibri"/>
          <w:b/>
          <w:color w:val="000000"/>
          <w:u w:val="single"/>
        </w:rPr>
        <w:t>805.8.1 Work areas.</w:t>
      </w:r>
      <w:r w:rsidRPr="001B7F77">
        <w:rPr>
          <w:rFonts w:eastAsia="Calibri"/>
          <w:color w:val="000000"/>
          <w:u w:val="single"/>
        </w:rPr>
        <w:t xml:space="preserve"> Means of egress in all work areas shall be provided with exit signs in accordance with the requirements of Chapter 10 of the </w:t>
      </w:r>
      <w:r w:rsidRPr="001B7F77">
        <w:rPr>
          <w:rFonts w:eastAsia="Calibri"/>
          <w:i/>
          <w:iCs/>
          <w:color w:val="000000"/>
          <w:u w:val="single"/>
        </w:rPr>
        <w:t>New York City Building Code</w:t>
      </w:r>
      <w:r w:rsidRPr="001B7F77">
        <w:rPr>
          <w:rFonts w:eastAsia="Calibri"/>
          <w:color w:val="000000"/>
          <w:u w:val="single"/>
        </w:rPr>
        <w:t>.</w:t>
      </w:r>
    </w:p>
    <w:p w14:paraId="088F3612" w14:textId="77777777" w:rsidR="001B7F77" w:rsidRPr="001B7F77" w:rsidRDefault="001B7F77" w:rsidP="001B7F77">
      <w:pPr>
        <w:widowControl w:val="0"/>
        <w:suppressAutoHyphens/>
        <w:spacing w:before="120"/>
        <w:ind w:left="720"/>
        <w:rPr>
          <w:rFonts w:eastAsia="Calibri"/>
        </w:rPr>
      </w:pPr>
      <w:r w:rsidRPr="001B7F77">
        <w:rPr>
          <w:rFonts w:eastAsia="Calibri"/>
          <w:b/>
          <w:bCs/>
          <w:u w:val="single"/>
        </w:rPr>
        <w:t>Exception:</w:t>
      </w:r>
      <w:r w:rsidRPr="001B7F77">
        <w:rPr>
          <w:rFonts w:eastAsia="Calibri"/>
          <w:u w:val="single"/>
        </w:rPr>
        <w:t xml:space="preserve"> In existing motion picture theaters, theaters, concert halls, operas and similar places of assembly accommodating more than 300 persons that were established under Article 13 of the 1938 Building Code, including those constructed prior to 1938, requirements for exit sign graphics pursuant to Chapter 10 of the </w:t>
      </w:r>
      <w:r w:rsidRPr="001B7F77">
        <w:rPr>
          <w:rFonts w:eastAsia="Calibri"/>
          <w:i/>
          <w:iCs/>
          <w:u w:val="single"/>
        </w:rPr>
        <w:t>New York City Building Code</w:t>
      </w:r>
      <w:r w:rsidRPr="001B7F77">
        <w:rPr>
          <w:rFonts w:eastAsia="Calibri"/>
          <w:u w:val="single"/>
        </w:rPr>
        <w:t xml:space="preserve"> shall not apply to existing exit signs installed under the 1938 Building Code or codes prior to the 1938 Building Code. Existing exit sign graphics may remain or be replaced with similar graphics.</w:t>
      </w:r>
    </w:p>
    <w:p w14:paraId="791A0E0D" w14:textId="77777777" w:rsidR="001B7F77" w:rsidRPr="001B7F77" w:rsidRDefault="001B7F77" w:rsidP="001B7F77">
      <w:pPr>
        <w:widowControl w:val="0"/>
        <w:suppressAutoHyphens/>
        <w:spacing w:before="120"/>
        <w:ind w:left="360"/>
        <w:rPr>
          <w:rFonts w:eastAsia="Calibri"/>
          <w:color w:val="000000"/>
          <w:u w:val="single"/>
        </w:rPr>
      </w:pPr>
      <w:r w:rsidRPr="001B7F77">
        <w:rPr>
          <w:rFonts w:eastAsia="Calibri"/>
          <w:b/>
          <w:color w:val="000000"/>
          <w:u w:val="single"/>
        </w:rPr>
        <w:t>805.8.2 Supplemental requirements for exit signs</w:t>
      </w:r>
      <w:r w:rsidRPr="001B7F77">
        <w:rPr>
          <w:rFonts w:eastAsia="Calibri"/>
          <w:color w:val="000000"/>
          <w:u w:val="single"/>
        </w:rPr>
        <w:t>. Where the work area on any floor exceeds 50 percent of that floor area, means of egress throughout the floor shall comply with Section 805.8.1.</w:t>
      </w:r>
    </w:p>
    <w:p w14:paraId="779A0DCB" w14:textId="77777777" w:rsidR="001B7F77" w:rsidRPr="001B7F77" w:rsidRDefault="001B7F77" w:rsidP="001B7F77">
      <w:pPr>
        <w:widowControl w:val="0"/>
        <w:suppressAutoHyphens/>
        <w:spacing w:before="120"/>
        <w:ind w:left="720"/>
        <w:rPr>
          <w:rFonts w:eastAsia="Calibri"/>
          <w:color w:val="000000"/>
          <w:u w:val="single"/>
        </w:rPr>
      </w:pPr>
      <w:r w:rsidRPr="001B7F77">
        <w:rPr>
          <w:rFonts w:eastAsia="Calibri"/>
          <w:b/>
          <w:color w:val="000000"/>
          <w:u w:val="single"/>
        </w:rPr>
        <w:t>Exceptions</w:t>
      </w:r>
      <w:r w:rsidRPr="001B7F77">
        <w:rPr>
          <w:rFonts w:eastAsia="Calibri"/>
          <w:color w:val="000000"/>
          <w:u w:val="single"/>
        </w:rPr>
        <w:t>:</w:t>
      </w:r>
    </w:p>
    <w:p w14:paraId="6C10155C" w14:textId="77777777" w:rsidR="001B7F77" w:rsidRPr="001B7F77" w:rsidRDefault="001B7F77" w:rsidP="001B7F77">
      <w:pPr>
        <w:widowControl w:val="0"/>
        <w:tabs>
          <w:tab w:val="left" w:pos="1440"/>
        </w:tabs>
        <w:suppressAutoHyphens/>
        <w:spacing w:before="120"/>
        <w:ind w:left="1440" w:hanging="360"/>
        <w:rPr>
          <w:rFonts w:eastAsia="Calibri"/>
          <w:color w:val="000000"/>
          <w:u w:val="single"/>
        </w:rPr>
      </w:pPr>
      <w:r w:rsidRPr="001B7F77">
        <w:rPr>
          <w:rFonts w:eastAsia="Calibri"/>
          <w:bCs/>
          <w:color w:val="000000"/>
          <w:u w:val="single"/>
        </w:rPr>
        <w:t>1.</w:t>
      </w:r>
      <w:r w:rsidRPr="001B7F77">
        <w:rPr>
          <w:rFonts w:eastAsia="Calibri"/>
          <w:color w:val="000000"/>
          <w:u w:val="single"/>
        </w:rPr>
        <w:tab/>
        <w:t>Means of egress within an occupied space under separate tenancy that is entirely outside the work area.</w:t>
      </w:r>
    </w:p>
    <w:p w14:paraId="40106AED" w14:textId="77777777" w:rsidR="001B7F77" w:rsidRPr="001B7F77" w:rsidRDefault="001B7F77" w:rsidP="001B7F77">
      <w:pPr>
        <w:widowControl w:val="0"/>
        <w:tabs>
          <w:tab w:val="left" w:pos="1440"/>
        </w:tabs>
        <w:suppressAutoHyphens/>
        <w:spacing w:before="120"/>
        <w:ind w:left="1440" w:hanging="360"/>
        <w:rPr>
          <w:rFonts w:eastAsia="Calibri"/>
          <w:color w:val="000000"/>
          <w:u w:val="single"/>
        </w:rPr>
      </w:pPr>
      <w:r w:rsidRPr="001B7F77">
        <w:rPr>
          <w:rFonts w:eastAsia="Calibri"/>
          <w:color w:val="000000"/>
          <w:u w:val="single"/>
        </w:rPr>
        <w:t>2.</w:t>
      </w:r>
      <w:r w:rsidRPr="001B7F77">
        <w:rPr>
          <w:rFonts w:eastAsia="Calibri"/>
          <w:color w:val="000000"/>
          <w:u w:val="single"/>
        </w:rPr>
        <w:tab/>
        <w:t xml:space="preserve">In existing motion picture theaters, theaters, concert halls, operas and similar places of assembly accommodating more than 300 persons that were established under Article 13 of the 1938 Building Code, including those constructed prior to 1938, requirements for exit sign graphics pursuant to Chapter 10 of the </w:t>
      </w:r>
      <w:r w:rsidRPr="001B7F77">
        <w:rPr>
          <w:rFonts w:eastAsia="Calibri"/>
          <w:i/>
          <w:iCs/>
          <w:color w:val="000000"/>
          <w:u w:val="single"/>
        </w:rPr>
        <w:t>New York City Building Code</w:t>
      </w:r>
      <w:r w:rsidRPr="001B7F77">
        <w:rPr>
          <w:rFonts w:eastAsia="Calibri"/>
          <w:color w:val="000000"/>
          <w:u w:val="single"/>
        </w:rPr>
        <w:t xml:space="preserve"> shall not apply to existing exit signs installed under the 1938 Building Code or codes prior to the 1938 Building Code. Existing exit sign graphics may remain or be replaced with similar graphics.</w:t>
      </w:r>
    </w:p>
    <w:p w14:paraId="50E2CD5B" w14:textId="77777777" w:rsidR="001B7F77" w:rsidRPr="001B7F77" w:rsidRDefault="001B7F77" w:rsidP="001B7F77">
      <w:pPr>
        <w:widowControl w:val="0"/>
        <w:suppressAutoHyphens/>
        <w:spacing w:before="120"/>
        <w:rPr>
          <w:rFonts w:eastAsia="Calibri"/>
          <w:color w:val="000000"/>
        </w:rPr>
      </w:pPr>
      <w:r w:rsidRPr="001B7F77">
        <w:rPr>
          <w:rFonts w:eastAsia="Calibri"/>
          <w:b/>
          <w:color w:val="000000"/>
          <w:u w:val="single"/>
        </w:rPr>
        <w:t>805.9 Handrails.</w:t>
      </w:r>
      <w:r w:rsidRPr="001B7F77">
        <w:rPr>
          <w:rFonts w:eastAsia="Calibri"/>
          <w:color w:val="000000"/>
          <w:u w:val="single"/>
        </w:rPr>
        <w:t xml:space="preserve"> The requirements of Sections 805.9.1 shall apply to handrails from the work area floor to, and including, the level of exit discharge.</w:t>
      </w:r>
    </w:p>
    <w:p w14:paraId="27ECEBEF" w14:textId="77777777" w:rsidR="001B7F77" w:rsidRPr="001B7F77" w:rsidRDefault="001B7F77" w:rsidP="001B7F77">
      <w:pPr>
        <w:widowControl w:val="0"/>
        <w:suppressAutoHyphens/>
        <w:spacing w:before="120"/>
        <w:ind w:left="360"/>
      </w:pPr>
      <w:r w:rsidRPr="001B7F77">
        <w:rPr>
          <w:b/>
          <w:bCs/>
          <w:u w:val="single"/>
        </w:rPr>
        <w:t>805.9.1 Minimum requirement.</w:t>
      </w:r>
      <w:r w:rsidRPr="001B7F77">
        <w:rPr>
          <w:u w:val="single"/>
        </w:rPr>
        <w:t xml:space="preserve"> In prior code buildings, every required exit stairway that is part of the means of egress for any work area in which the existing handrails are not adequate in strength and attachment in accordance with the applicable sections of Chapter 16 of the </w:t>
      </w:r>
      <w:r w:rsidRPr="001B7F77">
        <w:rPr>
          <w:i/>
          <w:iCs/>
          <w:u w:val="single"/>
        </w:rPr>
        <w:t>New York City Building Code</w:t>
      </w:r>
      <w:r w:rsidRPr="001B7F77">
        <w:rPr>
          <w:u w:val="single"/>
        </w:rPr>
        <w:t xml:space="preserve"> shall be provided with handrails designed and installed in accordance with Section 305.5.13 of this code.</w:t>
      </w:r>
    </w:p>
    <w:p w14:paraId="4723FB6D" w14:textId="77777777" w:rsidR="001B7F77" w:rsidRPr="001B7F77" w:rsidRDefault="001B7F77" w:rsidP="001B7F77">
      <w:pPr>
        <w:widowControl w:val="0"/>
        <w:suppressAutoHyphens/>
        <w:spacing w:before="120"/>
        <w:rPr>
          <w:rFonts w:eastAsia="Calibri"/>
          <w:color w:val="000000"/>
        </w:rPr>
      </w:pPr>
      <w:r w:rsidRPr="001B7F77">
        <w:rPr>
          <w:rFonts w:eastAsia="Calibri"/>
          <w:b/>
          <w:color w:val="000000"/>
          <w:u w:val="single"/>
        </w:rPr>
        <w:t>805.10 Refuge areas</w:t>
      </w:r>
      <w:r w:rsidRPr="001B7F77">
        <w:rPr>
          <w:rFonts w:eastAsia="Calibri"/>
          <w:color w:val="000000"/>
          <w:u w:val="single"/>
        </w:rPr>
        <w:t>. Where alterations affect the configuration of an area utilized as a refuge area, the capacity of the refuge area shall not be reduced below that required in Sections 805.10.1 and 805.10.2.</w:t>
      </w:r>
    </w:p>
    <w:p w14:paraId="4A716900" w14:textId="77777777" w:rsidR="001B7F77" w:rsidRPr="001B7F77" w:rsidRDefault="001B7F77" w:rsidP="001B7F77">
      <w:pPr>
        <w:widowControl w:val="0"/>
        <w:suppressAutoHyphens/>
        <w:spacing w:before="120"/>
        <w:ind w:left="360"/>
        <w:rPr>
          <w:rFonts w:eastAsia="Calibri"/>
          <w:color w:val="000000"/>
        </w:rPr>
      </w:pPr>
      <w:r w:rsidRPr="001B7F77">
        <w:rPr>
          <w:rFonts w:eastAsia="Calibri"/>
          <w:b/>
          <w:color w:val="000000"/>
          <w:u w:val="single"/>
        </w:rPr>
        <w:t>805.10.1 Capacity</w:t>
      </w:r>
      <w:r w:rsidRPr="001B7F77">
        <w:rPr>
          <w:rFonts w:eastAsia="Calibri"/>
          <w:color w:val="000000"/>
          <w:u w:val="single"/>
        </w:rPr>
        <w:t>. The required capacity of refuge areas shall be in accordance with Sections 805.10.1.1 through 805.10.1.3.</w:t>
      </w:r>
    </w:p>
    <w:p w14:paraId="7BD60E1F" w14:textId="77777777" w:rsidR="001B7F77" w:rsidRPr="001B7F77" w:rsidRDefault="001B7F77" w:rsidP="001B7F77">
      <w:pPr>
        <w:widowControl w:val="0"/>
        <w:suppressAutoHyphens/>
        <w:spacing w:before="120"/>
        <w:ind w:left="720"/>
        <w:rPr>
          <w:rFonts w:eastAsia="Calibri"/>
          <w:color w:val="000000"/>
        </w:rPr>
      </w:pPr>
      <w:r w:rsidRPr="001B7F77">
        <w:rPr>
          <w:rFonts w:eastAsia="Calibri"/>
          <w:b/>
          <w:color w:val="000000"/>
          <w:u w:val="single"/>
        </w:rPr>
        <w:t>805.10.1.1 Occupancy Group I-2.</w:t>
      </w:r>
      <w:r w:rsidRPr="001B7F77">
        <w:rPr>
          <w:rFonts w:eastAsia="Calibri"/>
          <w:color w:val="000000"/>
          <w:u w:val="single"/>
        </w:rPr>
        <w:t xml:space="preserve"> In Group I-2 occupancies, the required capacity of the refuge areas for smoke compartments in accordance with Section 407.5.1 of the </w:t>
      </w:r>
      <w:r w:rsidRPr="001B7F77">
        <w:rPr>
          <w:rFonts w:eastAsia="Calibri"/>
          <w:i/>
          <w:iCs/>
          <w:color w:val="000000"/>
          <w:u w:val="single"/>
        </w:rPr>
        <w:t>New York City Building Code</w:t>
      </w:r>
      <w:r w:rsidRPr="001B7F77">
        <w:rPr>
          <w:rFonts w:eastAsia="Calibri"/>
          <w:color w:val="000000"/>
          <w:u w:val="single"/>
        </w:rPr>
        <w:t xml:space="preserve"> shall be maintained.</w:t>
      </w:r>
    </w:p>
    <w:p w14:paraId="5DE8B565" w14:textId="77777777" w:rsidR="001B7F77" w:rsidRPr="001B7F77" w:rsidRDefault="001B7F77" w:rsidP="001B7F77">
      <w:pPr>
        <w:widowControl w:val="0"/>
        <w:suppressAutoHyphens/>
        <w:spacing w:before="120"/>
        <w:ind w:left="720"/>
        <w:rPr>
          <w:rFonts w:eastAsia="Calibri"/>
          <w:color w:val="000000"/>
        </w:rPr>
      </w:pPr>
      <w:r w:rsidRPr="001B7F77">
        <w:rPr>
          <w:rFonts w:eastAsia="Calibri"/>
          <w:b/>
          <w:color w:val="000000"/>
          <w:u w:val="single"/>
        </w:rPr>
        <w:t>805.10.1.2 Occupancy Group I-3</w:t>
      </w:r>
      <w:r w:rsidRPr="001B7F77">
        <w:rPr>
          <w:rFonts w:eastAsia="Calibri"/>
          <w:color w:val="000000"/>
          <w:u w:val="single"/>
        </w:rPr>
        <w:t xml:space="preserve">. In Group I-3 occupancies, the required capacity of the refuge areas for smoke compartments in accordance with Section 408.6.2 of the </w:t>
      </w:r>
      <w:r w:rsidRPr="001B7F77">
        <w:rPr>
          <w:rFonts w:eastAsia="Calibri"/>
          <w:i/>
          <w:iCs/>
          <w:color w:val="000000"/>
          <w:u w:val="single"/>
        </w:rPr>
        <w:t>New York City Building Code</w:t>
      </w:r>
      <w:r w:rsidRPr="001B7F77">
        <w:rPr>
          <w:rFonts w:eastAsia="Calibri"/>
          <w:color w:val="000000"/>
          <w:u w:val="single"/>
        </w:rPr>
        <w:t xml:space="preserve"> shall be maintained.</w:t>
      </w:r>
    </w:p>
    <w:p w14:paraId="4383C087" w14:textId="77777777" w:rsidR="001B7F77" w:rsidRPr="001B7F77" w:rsidRDefault="001B7F77" w:rsidP="001B7F77">
      <w:pPr>
        <w:widowControl w:val="0"/>
        <w:suppressAutoHyphens/>
        <w:spacing w:before="120"/>
        <w:ind w:left="720"/>
        <w:rPr>
          <w:rFonts w:eastAsia="Calibri"/>
          <w:color w:val="000000"/>
        </w:rPr>
      </w:pPr>
      <w:r w:rsidRPr="001B7F77">
        <w:rPr>
          <w:rFonts w:eastAsia="Calibri"/>
          <w:b/>
          <w:color w:val="000000"/>
        </w:rPr>
        <w:t>8</w:t>
      </w:r>
      <w:r w:rsidRPr="001B7F77">
        <w:rPr>
          <w:rFonts w:eastAsia="Calibri"/>
          <w:b/>
          <w:color w:val="000000"/>
          <w:u w:val="single"/>
        </w:rPr>
        <w:t>05.10.1.3 Ambulatory care</w:t>
      </w:r>
      <w:r w:rsidRPr="001B7F77">
        <w:rPr>
          <w:rFonts w:eastAsia="Calibri"/>
          <w:color w:val="000000"/>
          <w:u w:val="single"/>
        </w:rPr>
        <w:t xml:space="preserve">. In ambulatory care facilities required to be separated by Section 422.2 of the </w:t>
      </w:r>
      <w:r w:rsidRPr="001B7F77">
        <w:rPr>
          <w:rFonts w:eastAsia="Calibri"/>
          <w:i/>
          <w:iCs/>
          <w:color w:val="000000"/>
          <w:u w:val="single"/>
        </w:rPr>
        <w:t>New York City Building Code</w:t>
      </w:r>
      <w:r w:rsidRPr="001B7F77">
        <w:rPr>
          <w:rFonts w:eastAsia="Calibri"/>
          <w:color w:val="000000"/>
          <w:u w:val="single"/>
        </w:rPr>
        <w:t xml:space="preserve">, the required capacity of the refuge areas for smoke compartments in accordance with Section 422.4 of the </w:t>
      </w:r>
      <w:r w:rsidRPr="001B7F77">
        <w:rPr>
          <w:rFonts w:eastAsia="Calibri"/>
          <w:i/>
          <w:iCs/>
          <w:color w:val="000000"/>
          <w:u w:val="single"/>
        </w:rPr>
        <w:t>New York City Building Code</w:t>
      </w:r>
      <w:r w:rsidRPr="001B7F77">
        <w:rPr>
          <w:rFonts w:eastAsia="Calibri"/>
          <w:color w:val="000000"/>
          <w:u w:val="single"/>
        </w:rPr>
        <w:t xml:space="preserve"> shall be </w:t>
      </w:r>
      <w:r w:rsidRPr="001B7F77">
        <w:rPr>
          <w:rFonts w:eastAsia="Calibri"/>
          <w:bCs/>
          <w:color w:val="000000"/>
          <w:u w:val="single"/>
        </w:rPr>
        <w:t>maintained</w:t>
      </w:r>
      <w:r w:rsidRPr="001B7F77">
        <w:rPr>
          <w:rFonts w:eastAsia="Calibri"/>
          <w:color w:val="000000"/>
          <w:u w:val="single"/>
        </w:rPr>
        <w:t>.</w:t>
      </w:r>
    </w:p>
    <w:p w14:paraId="307DD6E8" w14:textId="77777777" w:rsidR="001B7F77" w:rsidRPr="001B7F77" w:rsidRDefault="001B7F77" w:rsidP="001B7F77">
      <w:pPr>
        <w:widowControl w:val="0"/>
        <w:suppressAutoHyphens/>
        <w:spacing w:before="120"/>
        <w:ind w:left="360"/>
        <w:rPr>
          <w:rFonts w:eastAsia="Calibri"/>
          <w:color w:val="000000"/>
        </w:rPr>
      </w:pPr>
      <w:r w:rsidRPr="001B7F77">
        <w:rPr>
          <w:rFonts w:eastAsia="Calibri"/>
          <w:b/>
          <w:color w:val="000000"/>
          <w:u w:val="single"/>
        </w:rPr>
        <w:t>805.10.2 Horizontal exits</w:t>
      </w:r>
      <w:r w:rsidRPr="001B7F77">
        <w:rPr>
          <w:rFonts w:eastAsia="Calibri"/>
          <w:color w:val="000000"/>
          <w:u w:val="single"/>
        </w:rPr>
        <w:t xml:space="preserve">. The required capacity of the refuge area for horizontal exits in accordance with Section 1026.4 of the </w:t>
      </w:r>
      <w:r w:rsidRPr="001B7F77">
        <w:rPr>
          <w:rFonts w:eastAsia="Calibri"/>
          <w:i/>
          <w:iCs/>
          <w:color w:val="000000"/>
          <w:u w:val="single"/>
        </w:rPr>
        <w:t>New York City Building Code</w:t>
      </w:r>
      <w:r w:rsidRPr="001B7F77">
        <w:rPr>
          <w:rFonts w:eastAsia="Calibri"/>
          <w:color w:val="000000"/>
          <w:u w:val="single"/>
        </w:rPr>
        <w:t xml:space="preserve"> shall be maintained.</w:t>
      </w:r>
    </w:p>
    <w:p w14:paraId="66AA5048" w14:textId="77777777" w:rsidR="001B7F77" w:rsidRPr="001B7F77" w:rsidRDefault="001B7F77" w:rsidP="001B7F77">
      <w:pPr>
        <w:widowControl w:val="0"/>
        <w:suppressAutoHyphens/>
        <w:spacing w:before="120"/>
        <w:rPr>
          <w:rFonts w:eastAsia="Calibri"/>
          <w:color w:val="000000"/>
        </w:rPr>
      </w:pPr>
      <w:r w:rsidRPr="001B7F77">
        <w:rPr>
          <w:rFonts w:eastAsia="Calibri"/>
          <w:b/>
          <w:color w:val="000000"/>
          <w:u w:val="single"/>
        </w:rPr>
        <w:t>805.11 Guards.</w:t>
      </w:r>
      <w:r w:rsidRPr="001B7F77">
        <w:rPr>
          <w:rFonts w:eastAsia="Calibri"/>
          <w:color w:val="000000"/>
          <w:u w:val="single"/>
        </w:rPr>
        <w:t xml:space="preserve"> The requirements of Section 805.11.1 shall apply to guards from the work area floor to, and including, the level of exit discharge but shall be confined to the egress path of any work area.</w:t>
      </w:r>
    </w:p>
    <w:p w14:paraId="2ED6B75E" w14:textId="77777777" w:rsidR="001B7F77" w:rsidRPr="001B7F77" w:rsidRDefault="001B7F77" w:rsidP="001B7F77">
      <w:pPr>
        <w:widowControl w:val="0"/>
        <w:suppressAutoHyphens/>
        <w:spacing w:before="120"/>
        <w:ind w:left="360"/>
        <w:rPr>
          <w:rFonts w:eastAsia="Calibri"/>
          <w:color w:val="000000"/>
        </w:rPr>
      </w:pPr>
      <w:r w:rsidRPr="001B7F77">
        <w:rPr>
          <w:rFonts w:eastAsia="Calibri"/>
          <w:b/>
          <w:color w:val="000000"/>
          <w:u w:val="single"/>
        </w:rPr>
        <w:t>805.11.1 Minimum requirement</w:t>
      </w:r>
      <w:r w:rsidRPr="001B7F77">
        <w:rPr>
          <w:rFonts w:eastAsia="Calibri"/>
          <w:color w:val="000000"/>
          <w:u w:val="single"/>
        </w:rPr>
        <w:t xml:space="preserve">. Every open portion of a stairway, landing or balcony that is </w:t>
      </w:r>
      <w:r w:rsidRPr="001B7F77">
        <w:rPr>
          <w:rFonts w:eastAsia="Calibri"/>
          <w:bCs/>
          <w:color w:val="000000"/>
          <w:u w:val="single"/>
        </w:rPr>
        <w:t>more</w:t>
      </w:r>
      <w:r w:rsidRPr="001B7F77">
        <w:rPr>
          <w:rFonts w:eastAsia="Calibri"/>
          <w:color w:val="000000"/>
          <w:u w:val="single"/>
        </w:rPr>
        <w:t xml:space="preserve"> than 30 inches (762 mm) above the floor or grade below and is not provided with guards, or those portions in which existing guards are judged to be in danger of collapsing, shall be provided with guards designed and </w:t>
      </w:r>
      <w:r w:rsidRPr="001B7F77">
        <w:rPr>
          <w:rFonts w:eastAsia="Calibri"/>
          <w:bCs/>
          <w:color w:val="000000"/>
          <w:u w:val="single"/>
        </w:rPr>
        <w:t>installed</w:t>
      </w:r>
      <w:r w:rsidRPr="001B7F77">
        <w:rPr>
          <w:rFonts w:eastAsia="Calibri"/>
          <w:color w:val="000000"/>
          <w:u w:val="single"/>
        </w:rPr>
        <w:t xml:space="preserve"> in accordance with Chapter 10 of the </w:t>
      </w:r>
      <w:r w:rsidRPr="001B7F77">
        <w:rPr>
          <w:rFonts w:eastAsia="Calibri"/>
          <w:i/>
          <w:iCs/>
          <w:color w:val="000000"/>
          <w:u w:val="single"/>
        </w:rPr>
        <w:t>New York City Building Code</w:t>
      </w:r>
      <w:r w:rsidRPr="001B7F77">
        <w:rPr>
          <w:rFonts w:eastAsia="Calibri"/>
          <w:color w:val="000000"/>
          <w:u w:val="single"/>
        </w:rPr>
        <w:t>.</w:t>
      </w:r>
    </w:p>
    <w:p w14:paraId="7E45697C" w14:textId="77777777" w:rsidR="001B7F77" w:rsidRPr="001B7F77" w:rsidRDefault="001B7F77" w:rsidP="001B7F77">
      <w:pPr>
        <w:widowControl w:val="0"/>
        <w:suppressAutoHyphens/>
        <w:spacing w:before="120"/>
        <w:rPr>
          <w:rFonts w:eastAsia="Calibri"/>
          <w:color w:val="000000"/>
        </w:rPr>
      </w:pPr>
      <w:r w:rsidRPr="001B7F77">
        <w:rPr>
          <w:rFonts w:eastAsia="Calibri"/>
          <w:b/>
          <w:color w:val="000000"/>
          <w:u w:val="single"/>
        </w:rPr>
        <w:t xml:space="preserve">805.12 New egress stairs. </w:t>
      </w:r>
      <w:r w:rsidRPr="001B7F77">
        <w:rPr>
          <w:rFonts w:eastAsia="Calibri"/>
          <w:color w:val="000000"/>
          <w:u w:val="single"/>
        </w:rPr>
        <w:t xml:space="preserve">Where the work area includes the construction of a new egress stair in a new shaft, such new stair shall comply with all the requirements of Chapter 10 of the </w:t>
      </w:r>
      <w:r w:rsidRPr="001B7F77">
        <w:rPr>
          <w:rFonts w:eastAsia="Calibri"/>
          <w:i/>
          <w:iCs/>
          <w:color w:val="000000"/>
          <w:u w:val="single"/>
        </w:rPr>
        <w:t>New York City Building Code</w:t>
      </w:r>
      <w:r w:rsidRPr="001B7F77">
        <w:rPr>
          <w:rFonts w:eastAsia="Calibri"/>
          <w:color w:val="000000"/>
          <w:u w:val="single"/>
        </w:rPr>
        <w:t>.</w:t>
      </w:r>
    </w:p>
    <w:p w14:paraId="47ECC02B" w14:textId="77777777" w:rsidR="001B7F77" w:rsidRPr="001B7F77" w:rsidRDefault="001B7F77" w:rsidP="001B7F77">
      <w:pPr>
        <w:widowControl w:val="0"/>
        <w:suppressAutoHyphens/>
        <w:spacing w:before="120"/>
        <w:ind w:left="360"/>
        <w:rPr>
          <w:rFonts w:eastAsia="Calibri"/>
          <w:color w:val="000000"/>
        </w:rPr>
      </w:pPr>
      <w:r w:rsidRPr="001B7F77">
        <w:rPr>
          <w:rFonts w:eastAsia="Calibri"/>
          <w:b/>
          <w:color w:val="000000"/>
          <w:u w:val="single"/>
        </w:rPr>
        <w:t>805.12.1 Replacement of stair within an existing shaft</w:t>
      </w:r>
      <w:r w:rsidRPr="001B7F77">
        <w:rPr>
          <w:rFonts w:eastAsia="Calibri"/>
          <w:color w:val="000000"/>
          <w:u w:val="single"/>
        </w:rPr>
        <w:t>. Existing stairs may be replaced within the existing shaft provided that they comply with Sections 305.5.11, 305.5.13 and 305.5.15.</w:t>
      </w:r>
    </w:p>
    <w:p w14:paraId="609510DA" w14:textId="77777777" w:rsidR="001B7F77" w:rsidRPr="001B7F77" w:rsidRDefault="001B7F77" w:rsidP="001B7F77">
      <w:pPr>
        <w:widowControl w:val="0"/>
        <w:suppressAutoHyphens/>
        <w:spacing w:before="120"/>
        <w:rPr>
          <w:rFonts w:eastAsia="Calibri"/>
          <w:color w:val="000000"/>
          <w:u w:val="single"/>
        </w:rPr>
      </w:pPr>
      <w:r w:rsidRPr="001B7F77">
        <w:rPr>
          <w:rFonts w:eastAsia="Calibri"/>
          <w:b/>
          <w:color w:val="000000"/>
          <w:u w:val="single"/>
        </w:rPr>
        <w:t>805.13 Escalators.</w:t>
      </w:r>
      <w:r w:rsidRPr="001B7F77">
        <w:rPr>
          <w:rFonts w:eastAsia="Calibri"/>
          <w:color w:val="000000"/>
          <w:u w:val="single"/>
        </w:rPr>
        <w:t xml:space="preserve"> Replacement or alteration of existing escalators that were approved to be used as a second means of egress in prior code buildings shall be permitted to serve such purpose in compliance with Section 305.5.17. No new escalators shall be used as a component of a required means of egress.</w:t>
      </w:r>
    </w:p>
    <w:p w14:paraId="51B4763A" w14:textId="77777777" w:rsidR="001B7F77" w:rsidRPr="001B7F77" w:rsidRDefault="001B7F77" w:rsidP="001B7F77">
      <w:pPr>
        <w:widowControl w:val="0"/>
        <w:suppressAutoHyphens/>
        <w:spacing w:before="120"/>
        <w:jc w:val="center"/>
        <w:outlineLvl w:val="0"/>
        <w:rPr>
          <w:rFonts w:eastAsia="Times"/>
          <w:b/>
          <w:u w:val="single"/>
        </w:rPr>
      </w:pPr>
    </w:p>
    <w:p w14:paraId="132872A7" w14:textId="77777777" w:rsidR="001B7F77" w:rsidRPr="001B7F77" w:rsidRDefault="001B7F77" w:rsidP="001B7F77">
      <w:pPr>
        <w:widowControl w:val="0"/>
        <w:suppressAutoHyphens/>
        <w:spacing w:before="120"/>
        <w:jc w:val="center"/>
        <w:outlineLvl w:val="0"/>
        <w:rPr>
          <w:rFonts w:eastAsia="Times"/>
          <w:b/>
          <w:u w:val="single"/>
        </w:rPr>
      </w:pPr>
      <w:r w:rsidRPr="001B7F77">
        <w:rPr>
          <w:rFonts w:eastAsia="Times"/>
          <w:b/>
          <w:u w:val="single"/>
        </w:rPr>
        <w:t>SECTION EBC 806</w:t>
      </w:r>
      <w:r w:rsidRPr="001B7F77">
        <w:rPr>
          <w:rFonts w:eastAsia="Times"/>
          <w:b/>
          <w:u w:val="single"/>
        </w:rPr>
        <w:br/>
        <w:t>ACCESSIBILITY</w:t>
      </w:r>
    </w:p>
    <w:p w14:paraId="11C33382" w14:textId="77777777" w:rsidR="001B7F77" w:rsidRPr="001B7F77" w:rsidRDefault="001B7F77" w:rsidP="001B7F77">
      <w:pPr>
        <w:widowControl w:val="0"/>
        <w:suppressAutoHyphens/>
        <w:spacing w:before="120"/>
        <w:rPr>
          <w:color w:val="000000"/>
        </w:rPr>
      </w:pPr>
      <w:r w:rsidRPr="001B7F77">
        <w:rPr>
          <w:b/>
          <w:color w:val="000000"/>
          <w:u w:val="single"/>
        </w:rPr>
        <w:t>806.1 General</w:t>
      </w:r>
      <w:r w:rsidRPr="001B7F77">
        <w:rPr>
          <w:color w:val="000000"/>
          <w:u w:val="single"/>
        </w:rPr>
        <w:t xml:space="preserve">. A building, facility, or element that is altered shall comply with Chapter 11 of the </w:t>
      </w:r>
      <w:r w:rsidRPr="001B7F77">
        <w:rPr>
          <w:i/>
          <w:iCs/>
          <w:color w:val="000000"/>
          <w:u w:val="single"/>
        </w:rPr>
        <w:t>New York City Building Code</w:t>
      </w:r>
      <w:r w:rsidRPr="001B7F77">
        <w:rPr>
          <w:color w:val="000000"/>
          <w:u w:val="single"/>
        </w:rPr>
        <w:t>, Section 306 of this code and this section.</w:t>
      </w:r>
      <w:r w:rsidRPr="001B7F77">
        <w:rPr>
          <w:color w:val="000000"/>
        </w:rPr>
        <w:t xml:space="preserve"> </w:t>
      </w:r>
    </w:p>
    <w:p w14:paraId="089BB69B" w14:textId="77777777" w:rsidR="001B7F77" w:rsidRPr="001B7F77" w:rsidRDefault="001B7F77" w:rsidP="001B7F77">
      <w:pPr>
        <w:widowControl w:val="0"/>
        <w:suppressAutoHyphens/>
        <w:spacing w:before="120"/>
        <w:ind w:left="360"/>
        <w:rPr>
          <w:color w:val="000000"/>
        </w:rPr>
      </w:pPr>
      <w:r w:rsidRPr="001B7F77">
        <w:rPr>
          <w:b/>
          <w:color w:val="000000"/>
          <w:u w:val="single"/>
        </w:rPr>
        <w:t>806.1.1 Extent of application</w:t>
      </w:r>
      <w:r w:rsidRPr="001B7F77">
        <w:rPr>
          <w:color w:val="000000"/>
          <w:u w:val="single"/>
        </w:rPr>
        <w:t>. An alteration of an existing element, space, or area of a facility shall not be required to provide a greater level of accessibility than that which would be required for new construction. Alterations shall not reduce or have the effect of reducing accessibility of a facility or portion of a facility.</w:t>
      </w:r>
      <w:r w:rsidRPr="001B7F77">
        <w:rPr>
          <w:color w:val="000000"/>
        </w:rPr>
        <w:t xml:space="preserve"> </w:t>
      </w:r>
    </w:p>
    <w:p w14:paraId="58B90A82" w14:textId="77777777" w:rsidR="001B7F77" w:rsidRPr="001B7F77" w:rsidRDefault="001B7F77" w:rsidP="001B7F77">
      <w:pPr>
        <w:widowControl w:val="0"/>
        <w:suppressAutoHyphens/>
        <w:spacing w:before="120"/>
        <w:rPr>
          <w:color w:val="000000"/>
          <w:u w:val="single"/>
        </w:rPr>
      </w:pPr>
      <w:r w:rsidRPr="001B7F77">
        <w:rPr>
          <w:b/>
          <w:color w:val="000000"/>
          <w:u w:val="single"/>
        </w:rPr>
        <w:t xml:space="preserve">806.2 Compliance. </w:t>
      </w:r>
      <w:r w:rsidRPr="001B7F77">
        <w:rPr>
          <w:color w:val="000000"/>
          <w:u w:val="single"/>
        </w:rPr>
        <w:t xml:space="preserve">A facility that is altered shall comply with the applicable provisions in Sections 806.2.1 through 806.2.14 of this code and Chapter 11 of the </w:t>
      </w:r>
      <w:r w:rsidRPr="001B7F77">
        <w:rPr>
          <w:i/>
          <w:iCs/>
          <w:color w:val="000000"/>
          <w:u w:val="single"/>
        </w:rPr>
        <w:t>New York City Building Code</w:t>
      </w:r>
      <w:r w:rsidRPr="001B7F77">
        <w:rPr>
          <w:color w:val="000000"/>
          <w:u w:val="single"/>
        </w:rPr>
        <w:t xml:space="preserve"> to the extent of the alteration, unless it is technically infeasible. Where compliance with this section is technically infeasible, the applicant of record shall seek a commissioner’s waiver in accordance with Section 306.3 of this code.</w:t>
      </w:r>
    </w:p>
    <w:p w14:paraId="4DD511E4" w14:textId="77777777" w:rsidR="001B7F77" w:rsidRPr="001B7F77" w:rsidRDefault="001B7F77" w:rsidP="001B7F77">
      <w:pPr>
        <w:widowControl w:val="0"/>
        <w:suppressAutoHyphens/>
        <w:spacing w:before="120"/>
        <w:ind w:firstLine="360"/>
        <w:rPr>
          <w:color w:val="000000"/>
          <w:u w:val="single"/>
        </w:rPr>
      </w:pPr>
      <w:r w:rsidRPr="001B7F77">
        <w:rPr>
          <w:color w:val="000000"/>
          <w:u w:val="single"/>
        </w:rPr>
        <w:t>A facility that is constructed or altered to be accessible shall be maintained accessible during occupancy.</w:t>
      </w:r>
    </w:p>
    <w:p w14:paraId="021C2A8E" w14:textId="77777777" w:rsidR="001B7F77" w:rsidRPr="001B7F77" w:rsidRDefault="001B7F77" w:rsidP="001B7F77">
      <w:pPr>
        <w:widowControl w:val="0"/>
        <w:suppressAutoHyphens/>
        <w:spacing w:before="120"/>
        <w:ind w:left="360"/>
        <w:rPr>
          <w:color w:val="000000"/>
          <w:u w:val="single"/>
        </w:rPr>
      </w:pPr>
      <w:r w:rsidRPr="001B7F77">
        <w:rPr>
          <w:b/>
          <w:color w:val="000000"/>
          <w:u w:val="single"/>
        </w:rPr>
        <w:t>Exceptions:</w:t>
      </w:r>
    </w:p>
    <w:p w14:paraId="0D992B15" w14:textId="77777777" w:rsidR="001B7F77" w:rsidRPr="001B7F77" w:rsidRDefault="001B7F77" w:rsidP="001B7F77">
      <w:pPr>
        <w:widowControl w:val="0"/>
        <w:suppressAutoHyphens/>
        <w:spacing w:before="120"/>
        <w:ind w:left="1080" w:hanging="360"/>
        <w:rPr>
          <w:color w:val="000000"/>
          <w:u w:val="single"/>
        </w:rPr>
      </w:pPr>
      <w:r w:rsidRPr="001B7F77">
        <w:rPr>
          <w:color w:val="000000"/>
          <w:u w:val="single"/>
        </w:rPr>
        <w:t>1.</w:t>
      </w:r>
      <w:r w:rsidRPr="001B7F77">
        <w:rPr>
          <w:color w:val="000000"/>
          <w:u w:val="single"/>
        </w:rPr>
        <w:tab/>
        <w:t xml:space="preserve">Where Chapter 11 of the </w:t>
      </w:r>
      <w:r w:rsidRPr="001B7F77">
        <w:rPr>
          <w:i/>
          <w:iCs/>
          <w:color w:val="000000"/>
          <w:u w:val="single"/>
        </w:rPr>
        <w:t>New York City Building Code</w:t>
      </w:r>
      <w:r w:rsidRPr="001B7F77">
        <w:rPr>
          <w:color w:val="000000"/>
          <w:u w:val="single"/>
        </w:rPr>
        <w:t xml:space="preserve"> would exempt the altered element or space from compliance, if it were new construction.</w:t>
      </w:r>
    </w:p>
    <w:p w14:paraId="48167F86" w14:textId="77777777" w:rsidR="001B7F77" w:rsidRPr="001B7F77" w:rsidRDefault="001B7F77" w:rsidP="001B7F77">
      <w:pPr>
        <w:widowControl w:val="0"/>
        <w:suppressAutoHyphens/>
        <w:spacing w:before="120"/>
        <w:ind w:left="1080" w:hanging="360"/>
        <w:rPr>
          <w:color w:val="000000"/>
          <w:u w:val="single"/>
        </w:rPr>
      </w:pPr>
      <w:r w:rsidRPr="001B7F77">
        <w:rPr>
          <w:color w:val="000000"/>
          <w:u w:val="single"/>
        </w:rPr>
        <w:t>2.</w:t>
      </w:r>
      <w:r w:rsidRPr="001B7F77">
        <w:rPr>
          <w:color w:val="000000"/>
          <w:u w:val="single"/>
        </w:rPr>
        <w:tab/>
        <w:t xml:space="preserve">Accessible means of egress required by Chapter 10 of the </w:t>
      </w:r>
      <w:r w:rsidRPr="001B7F77">
        <w:rPr>
          <w:i/>
          <w:iCs/>
          <w:color w:val="000000"/>
          <w:u w:val="single"/>
        </w:rPr>
        <w:t>New York City Building Code</w:t>
      </w:r>
      <w:r w:rsidRPr="001B7F77">
        <w:rPr>
          <w:color w:val="000000"/>
          <w:u w:val="single"/>
        </w:rPr>
        <w:t xml:space="preserve"> are not required to be provided in existing facilities.</w:t>
      </w:r>
    </w:p>
    <w:p w14:paraId="22271FAF" w14:textId="77777777" w:rsidR="001B7F77" w:rsidRPr="001B7F77" w:rsidRDefault="001B7F77" w:rsidP="001B7F77">
      <w:pPr>
        <w:widowControl w:val="0"/>
        <w:suppressAutoHyphens/>
        <w:spacing w:before="120"/>
        <w:ind w:left="360"/>
        <w:rPr>
          <w:color w:val="000000"/>
        </w:rPr>
      </w:pPr>
      <w:r w:rsidRPr="001B7F77">
        <w:rPr>
          <w:b/>
          <w:color w:val="000000"/>
          <w:u w:val="single"/>
        </w:rPr>
        <w:t>806.2.1 Entrances and accessible routes.</w:t>
      </w:r>
      <w:r w:rsidRPr="001B7F77">
        <w:rPr>
          <w:color w:val="000000"/>
          <w:u w:val="single"/>
        </w:rPr>
        <w:t xml:space="preserve"> Where an alteration includes alterations to an entrance or a route that would be required to be accessible by this code, such entrance and route shall be made accessible in accordance with Chapter 11 of the </w:t>
      </w:r>
      <w:r w:rsidRPr="001B7F77">
        <w:rPr>
          <w:i/>
          <w:iCs/>
          <w:color w:val="000000"/>
          <w:u w:val="single"/>
        </w:rPr>
        <w:t>New York City Building Code</w:t>
      </w:r>
      <w:r w:rsidRPr="001B7F77">
        <w:rPr>
          <w:color w:val="000000"/>
          <w:u w:val="single"/>
        </w:rPr>
        <w:t>.</w:t>
      </w:r>
      <w:r w:rsidRPr="001B7F77">
        <w:rPr>
          <w:b/>
          <w:color w:val="000000"/>
        </w:rPr>
        <w:t xml:space="preserve"> </w:t>
      </w:r>
    </w:p>
    <w:p w14:paraId="51F7348B" w14:textId="77777777" w:rsidR="001B7F77" w:rsidRPr="001B7F77" w:rsidRDefault="001B7F77" w:rsidP="001B7F77">
      <w:pPr>
        <w:widowControl w:val="0"/>
        <w:suppressAutoHyphens/>
        <w:spacing w:before="120"/>
        <w:ind w:left="360"/>
        <w:rPr>
          <w:color w:val="000000"/>
        </w:rPr>
      </w:pPr>
      <w:r w:rsidRPr="001B7F77">
        <w:rPr>
          <w:b/>
          <w:color w:val="000000"/>
          <w:u w:val="single"/>
        </w:rPr>
        <w:t>806.2.2 Elevators.</w:t>
      </w:r>
      <w:r w:rsidRPr="001B7F77">
        <w:rPr>
          <w:color w:val="000000"/>
          <w:u w:val="single"/>
        </w:rPr>
        <w:t xml:space="preserve"> Altered elements of existing elevators shall comply with ASME A17.1/CSA B44 as amended by Appendix K of the </w:t>
      </w:r>
      <w:r w:rsidRPr="001B7F77">
        <w:rPr>
          <w:i/>
          <w:iCs/>
          <w:color w:val="000000"/>
          <w:u w:val="single"/>
        </w:rPr>
        <w:t>New York City Building Code</w:t>
      </w:r>
      <w:r w:rsidRPr="001B7F77">
        <w:rPr>
          <w:color w:val="000000"/>
          <w:u w:val="single"/>
        </w:rPr>
        <w:t xml:space="preserve"> and ICC A117.1. Where such altered elevator is part of a bank of elevators that are programmed to respond to the same hall call control panel, similar elements of the other elevators shall also be altered to comply.</w:t>
      </w:r>
      <w:r w:rsidRPr="001B7F77">
        <w:rPr>
          <w:color w:val="000000"/>
        </w:rPr>
        <w:t xml:space="preserve"> </w:t>
      </w:r>
    </w:p>
    <w:p w14:paraId="13A7ACA3" w14:textId="77777777" w:rsidR="001B7F77" w:rsidRPr="001B7F77" w:rsidRDefault="001B7F77" w:rsidP="001B7F77">
      <w:pPr>
        <w:widowControl w:val="0"/>
        <w:suppressAutoHyphens/>
        <w:spacing w:before="120"/>
        <w:ind w:left="360"/>
        <w:rPr>
          <w:color w:val="000000"/>
        </w:rPr>
      </w:pPr>
      <w:r w:rsidRPr="001B7F77">
        <w:rPr>
          <w:b/>
          <w:color w:val="000000"/>
          <w:u w:val="single"/>
        </w:rPr>
        <w:t>806.2.3 Platform lifts</w:t>
      </w:r>
      <w:r w:rsidRPr="001B7F77">
        <w:rPr>
          <w:b/>
          <w:u w:val="single"/>
        </w:rPr>
        <w:t xml:space="preserve"> i</w:t>
      </w:r>
      <w:r w:rsidRPr="001B7F77">
        <w:rPr>
          <w:b/>
          <w:color w:val="000000"/>
          <w:u w:val="single"/>
        </w:rPr>
        <w:t>n existing buildings.</w:t>
      </w:r>
      <w:r w:rsidRPr="001B7F77">
        <w:rPr>
          <w:color w:val="000000"/>
          <w:u w:val="single"/>
        </w:rPr>
        <w:t xml:space="preserve"> In existing buildings, platform (wheelchair) lifts installed pursuant to Section 306.2.5 shall be permitted to be a part of the required accessible route.</w:t>
      </w:r>
      <w:r w:rsidRPr="001B7F77">
        <w:rPr>
          <w:color w:val="000000"/>
        </w:rPr>
        <w:t xml:space="preserve"> </w:t>
      </w:r>
    </w:p>
    <w:p w14:paraId="2296B186" w14:textId="77777777" w:rsidR="001B7F77" w:rsidRPr="001B7F77" w:rsidRDefault="001B7F77" w:rsidP="001B7F77">
      <w:pPr>
        <w:widowControl w:val="0"/>
        <w:suppressAutoHyphens/>
        <w:spacing w:before="120"/>
        <w:ind w:left="360"/>
        <w:rPr>
          <w:color w:val="000000"/>
        </w:rPr>
      </w:pPr>
      <w:r w:rsidRPr="001B7F77">
        <w:rPr>
          <w:b/>
          <w:u w:val="single"/>
        </w:rPr>
        <w:t xml:space="preserve">806.2.4 Limited Use/Limited-Application (LULA) Elevators in existing buildings. </w:t>
      </w:r>
      <w:r w:rsidRPr="001B7F77">
        <w:rPr>
          <w:color w:val="000000"/>
          <w:u w:val="single"/>
        </w:rPr>
        <w:t>In existing buildings, a LULA installed pursuant to Section 306.2.4</w:t>
      </w:r>
      <w:r w:rsidRPr="001B7F77">
        <w:rPr>
          <w:u w:val="single"/>
        </w:rPr>
        <w:t xml:space="preserve"> </w:t>
      </w:r>
      <w:r w:rsidRPr="001B7F77">
        <w:rPr>
          <w:color w:val="000000"/>
          <w:u w:val="single"/>
        </w:rPr>
        <w:t>shall be permitted to be a part of the required accessible route.</w:t>
      </w:r>
      <w:r w:rsidRPr="001B7F77">
        <w:rPr>
          <w:color w:val="000000"/>
        </w:rPr>
        <w:t xml:space="preserve"> </w:t>
      </w:r>
    </w:p>
    <w:p w14:paraId="0A252006" w14:textId="77777777" w:rsidR="001B7F77" w:rsidRPr="001B7F77" w:rsidRDefault="001B7F77" w:rsidP="001B7F77">
      <w:pPr>
        <w:widowControl w:val="0"/>
        <w:suppressAutoHyphens/>
        <w:spacing w:before="120"/>
        <w:ind w:left="360"/>
        <w:rPr>
          <w:color w:val="000000"/>
          <w:u w:val="single"/>
        </w:rPr>
      </w:pPr>
      <w:r w:rsidRPr="001B7F77">
        <w:rPr>
          <w:b/>
          <w:color w:val="000000"/>
          <w:u w:val="single"/>
        </w:rPr>
        <w:t>806.2.5 Stairways and escalators in existing buildings</w:t>
      </w:r>
      <w:r w:rsidRPr="001B7F77">
        <w:rPr>
          <w:color w:val="000000"/>
          <w:u w:val="single"/>
        </w:rPr>
        <w:t xml:space="preserve">. Where an escalator or stairway is added where none existed previously, an accessible route shall be provided between the levels served by the escalator or stairways in accordance with Section 1104.4 of the </w:t>
      </w:r>
      <w:r w:rsidRPr="001B7F77">
        <w:rPr>
          <w:i/>
          <w:iCs/>
          <w:color w:val="000000"/>
          <w:u w:val="single"/>
        </w:rPr>
        <w:t>New York City Building Code</w:t>
      </w:r>
      <w:r w:rsidRPr="001B7F77">
        <w:rPr>
          <w:color w:val="000000"/>
          <w:u w:val="single"/>
        </w:rPr>
        <w:t>.</w:t>
      </w:r>
    </w:p>
    <w:p w14:paraId="4D4A3E73" w14:textId="77777777" w:rsidR="001B7F77" w:rsidRPr="001B7F77" w:rsidRDefault="001B7F77" w:rsidP="001B7F77">
      <w:pPr>
        <w:widowControl w:val="0"/>
        <w:suppressAutoHyphens/>
        <w:spacing w:before="120"/>
        <w:ind w:left="720"/>
        <w:rPr>
          <w:color w:val="000000"/>
          <w:u w:val="single"/>
        </w:rPr>
      </w:pPr>
      <w:r w:rsidRPr="001B7F77">
        <w:rPr>
          <w:b/>
          <w:color w:val="000000"/>
          <w:u w:val="single"/>
        </w:rPr>
        <w:t>Exception</w:t>
      </w:r>
      <w:r w:rsidRPr="001B7F77">
        <w:rPr>
          <w:color w:val="000000"/>
          <w:u w:val="single"/>
        </w:rPr>
        <w:t xml:space="preserve">: Where the levels to be connected by an escalator or stairway are already provided with an accessible route. </w:t>
      </w:r>
    </w:p>
    <w:p w14:paraId="344AAB6D" w14:textId="77777777" w:rsidR="001B7F77" w:rsidRPr="001B7F77" w:rsidRDefault="001B7F77" w:rsidP="001B7F77">
      <w:pPr>
        <w:widowControl w:val="0"/>
        <w:suppressAutoHyphens/>
        <w:spacing w:before="120"/>
        <w:ind w:left="360"/>
        <w:rPr>
          <w:b/>
          <w:color w:val="000000"/>
        </w:rPr>
      </w:pPr>
      <w:r w:rsidRPr="001B7F77">
        <w:rPr>
          <w:b/>
          <w:color w:val="000000"/>
          <w:u w:val="single"/>
        </w:rPr>
        <w:t xml:space="preserve">806.2.6 Ramps. </w:t>
      </w:r>
      <w:r w:rsidRPr="001B7F77">
        <w:rPr>
          <w:color w:val="000000"/>
          <w:u w:val="single"/>
        </w:rPr>
        <w:t xml:space="preserve">Where steeper slopes than allowed by Section 1012.2 of the </w:t>
      </w:r>
      <w:r w:rsidRPr="001B7F77">
        <w:rPr>
          <w:i/>
          <w:iCs/>
          <w:color w:val="000000"/>
          <w:u w:val="single"/>
        </w:rPr>
        <w:t>New York City Building Code</w:t>
      </w:r>
      <w:r w:rsidRPr="001B7F77">
        <w:rPr>
          <w:color w:val="000000"/>
          <w:u w:val="single"/>
        </w:rPr>
        <w:t xml:space="preserve"> are necessitated by space limitations, the slope of ramps in or providing access to existing facilities shall comply with Table 806.2.6 of this code.</w:t>
      </w:r>
    </w:p>
    <w:p w14:paraId="2F9F52C9" w14:textId="77777777" w:rsidR="001B7F77" w:rsidRPr="001B7F77" w:rsidRDefault="001B7F77" w:rsidP="001B7F77">
      <w:pPr>
        <w:widowControl w:val="0"/>
        <w:suppressAutoHyphens/>
        <w:spacing w:before="120"/>
        <w:jc w:val="center"/>
        <w:outlineLvl w:val="0"/>
        <w:rPr>
          <w:b/>
          <w:color w:val="000000"/>
          <w:u w:val="single"/>
        </w:rPr>
      </w:pPr>
      <w:r w:rsidRPr="001B7F77">
        <w:rPr>
          <w:rFonts w:eastAsia="Times"/>
          <w:b/>
          <w:u w:val="single"/>
        </w:rPr>
        <w:t>TABLE</w:t>
      </w:r>
      <w:r w:rsidRPr="001B7F77">
        <w:rPr>
          <w:b/>
          <w:color w:val="000000"/>
          <w:u w:val="single"/>
        </w:rPr>
        <w:t xml:space="preserve"> 806.2.6</w:t>
      </w:r>
      <w:r w:rsidRPr="001B7F77">
        <w:rPr>
          <w:b/>
          <w:color w:val="000000"/>
          <w:u w:val="single"/>
        </w:rPr>
        <w:br/>
        <w:t>RAMPS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60" w:type="dxa"/>
          <w:left w:w="40" w:type="dxa"/>
          <w:bottom w:w="40" w:type="dxa"/>
          <w:right w:w="40" w:type="dxa"/>
        </w:tblCellMar>
        <w:tblLook w:val="04A0" w:firstRow="1" w:lastRow="0" w:firstColumn="1" w:lastColumn="0" w:noHBand="0" w:noVBand="1"/>
      </w:tblPr>
      <w:tblGrid>
        <w:gridCol w:w="6130"/>
        <w:gridCol w:w="3220"/>
      </w:tblGrid>
      <w:tr w:rsidR="001B7F77" w:rsidRPr="001B7F77" w14:paraId="5F2B6F8C" w14:textId="77777777" w:rsidTr="006655A1">
        <w:trPr>
          <w:trHeight w:val="380"/>
        </w:trPr>
        <w:tc>
          <w:tcPr>
            <w:tcW w:w="3278" w:type="pct"/>
            <w:tcBorders>
              <w:top w:val="single" w:sz="4" w:space="0" w:color="000000"/>
              <w:left w:val="single" w:sz="4" w:space="0" w:color="000000"/>
              <w:bottom w:val="single" w:sz="4" w:space="0" w:color="000000"/>
              <w:right w:val="single" w:sz="4" w:space="0" w:color="000000"/>
            </w:tcBorders>
            <w:vAlign w:val="center"/>
            <w:hideMark/>
          </w:tcPr>
          <w:p w14:paraId="0E37A8DD" w14:textId="77777777" w:rsidR="001B7F77" w:rsidRPr="001B7F77" w:rsidRDefault="001B7F77" w:rsidP="001B7F77">
            <w:pPr>
              <w:widowControl w:val="0"/>
              <w:suppressAutoHyphens/>
              <w:spacing w:before="120"/>
              <w:jc w:val="center"/>
              <w:rPr>
                <w:b/>
                <w:color w:val="000000"/>
                <w:u w:val="single"/>
              </w:rPr>
            </w:pPr>
            <w:r w:rsidRPr="001B7F77">
              <w:rPr>
                <w:b/>
                <w:color w:val="000000"/>
                <w:u w:val="single"/>
              </w:rPr>
              <w:t>SLOPE</w:t>
            </w:r>
          </w:p>
        </w:tc>
        <w:tc>
          <w:tcPr>
            <w:tcW w:w="1722" w:type="pct"/>
            <w:tcBorders>
              <w:top w:val="single" w:sz="4" w:space="0" w:color="000000"/>
              <w:left w:val="single" w:sz="4" w:space="0" w:color="000000"/>
              <w:bottom w:val="single" w:sz="4" w:space="0" w:color="000000"/>
              <w:right w:val="single" w:sz="4" w:space="0" w:color="000000"/>
            </w:tcBorders>
            <w:vAlign w:val="center"/>
            <w:hideMark/>
          </w:tcPr>
          <w:p w14:paraId="0855D079" w14:textId="77777777" w:rsidR="001B7F77" w:rsidRPr="001B7F77" w:rsidRDefault="001B7F77" w:rsidP="001B7F77">
            <w:pPr>
              <w:widowControl w:val="0"/>
              <w:suppressAutoHyphens/>
              <w:spacing w:before="120"/>
              <w:jc w:val="center"/>
              <w:rPr>
                <w:b/>
                <w:color w:val="000000"/>
                <w:u w:val="single"/>
              </w:rPr>
            </w:pPr>
            <w:r w:rsidRPr="001B7F77">
              <w:rPr>
                <w:b/>
                <w:color w:val="000000"/>
                <w:u w:val="single"/>
              </w:rPr>
              <w:t>MAXIMUM RISE</w:t>
            </w:r>
          </w:p>
        </w:tc>
      </w:tr>
      <w:tr w:rsidR="001B7F77" w:rsidRPr="001B7F77" w14:paraId="25003A25" w14:textId="77777777" w:rsidTr="006655A1">
        <w:trPr>
          <w:trHeight w:val="280"/>
        </w:trPr>
        <w:tc>
          <w:tcPr>
            <w:tcW w:w="3278" w:type="pct"/>
            <w:tcBorders>
              <w:top w:val="single" w:sz="4" w:space="0" w:color="000000"/>
              <w:left w:val="single" w:sz="4" w:space="0" w:color="000000"/>
              <w:bottom w:val="single" w:sz="4" w:space="0" w:color="000000"/>
              <w:right w:val="single" w:sz="4" w:space="0" w:color="000000"/>
            </w:tcBorders>
            <w:vAlign w:val="center"/>
            <w:hideMark/>
          </w:tcPr>
          <w:p w14:paraId="2063338A" w14:textId="77777777" w:rsidR="001B7F77" w:rsidRPr="001B7F77" w:rsidRDefault="001B7F77" w:rsidP="001B7F77">
            <w:pPr>
              <w:widowControl w:val="0"/>
              <w:suppressAutoHyphens/>
              <w:spacing w:before="120"/>
              <w:jc w:val="center"/>
              <w:rPr>
                <w:color w:val="000000"/>
                <w:u w:val="single"/>
              </w:rPr>
            </w:pPr>
            <w:r w:rsidRPr="001B7F77">
              <w:rPr>
                <w:color w:val="000000"/>
                <w:u w:val="single"/>
              </w:rPr>
              <w:t>Steeper than 1:10 but not steeper than 1:8</w:t>
            </w:r>
          </w:p>
        </w:tc>
        <w:tc>
          <w:tcPr>
            <w:tcW w:w="1722" w:type="pct"/>
            <w:tcBorders>
              <w:top w:val="single" w:sz="4" w:space="0" w:color="000000"/>
              <w:left w:val="single" w:sz="4" w:space="0" w:color="000000"/>
              <w:bottom w:val="single" w:sz="4" w:space="0" w:color="000000"/>
              <w:right w:val="single" w:sz="4" w:space="0" w:color="000000"/>
            </w:tcBorders>
            <w:vAlign w:val="center"/>
            <w:hideMark/>
          </w:tcPr>
          <w:p w14:paraId="18BCFB45" w14:textId="77777777" w:rsidR="001B7F77" w:rsidRPr="001B7F77" w:rsidRDefault="001B7F77" w:rsidP="001B7F77">
            <w:pPr>
              <w:widowControl w:val="0"/>
              <w:suppressAutoHyphens/>
              <w:spacing w:before="120"/>
              <w:jc w:val="center"/>
              <w:rPr>
                <w:color w:val="000000"/>
                <w:u w:val="single"/>
              </w:rPr>
            </w:pPr>
            <w:r w:rsidRPr="001B7F77">
              <w:rPr>
                <w:color w:val="000000"/>
                <w:u w:val="single"/>
              </w:rPr>
              <w:t>3 inches</w:t>
            </w:r>
          </w:p>
        </w:tc>
      </w:tr>
      <w:tr w:rsidR="001B7F77" w:rsidRPr="001B7F77" w14:paraId="481674F0" w14:textId="77777777" w:rsidTr="006655A1">
        <w:trPr>
          <w:trHeight w:val="280"/>
        </w:trPr>
        <w:tc>
          <w:tcPr>
            <w:tcW w:w="3278" w:type="pct"/>
            <w:tcBorders>
              <w:top w:val="single" w:sz="4" w:space="0" w:color="000000"/>
              <w:left w:val="single" w:sz="4" w:space="0" w:color="000000"/>
              <w:bottom w:val="single" w:sz="4" w:space="0" w:color="000000"/>
              <w:right w:val="single" w:sz="4" w:space="0" w:color="000000"/>
            </w:tcBorders>
            <w:vAlign w:val="center"/>
            <w:hideMark/>
          </w:tcPr>
          <w:p w14:paraId="14C35A23" w14:textId="77777777" w:rsidR="001B7F77" w:rsidRPr="001B7F77" w:rsidRDefault="001B7F77" w:rsidP="001B7F77">
            <w:pPr>
              <w:widowControl w:val="0"/>
              <w:suppressAutoHyphens/>
              <w:spacing w:before="120"/>
              <w:jc w:val="center"/>
              <w:rPr>
                <w:color w:val="000000"/>
                <w:u w:val="single"/>
              </w:rPr>
            </w:pPr>
            <w:r w:rsidRPr="001B7F77">
              <w:rPr>
                <w:color w:val="000000"/>
                <w:u w:val="single"/>
              </w:rPr>
              <w:t>Steeper than 1:12 but not steeper than 1:10</w:t>
            </w:r>
          </w:p>
        </w:tc>
        <w:tc>
          <w:tcPr>
            <w:tcW w:w="1722" w:type="pct"/>
            <w:tcBorders>
              <w:top w:val="single" w:sz="4" w:space="0" w:color="000000"/>
              <w:left w:val="single" w:sz="4" w:space="0" w:color="000000"/>
              <w:bottom w:val="single" w:sz="4" w:space="0" w:color="000000"/>
              <w:right w:val="single" w:sz="4" w:space="0" w:color="000000"/>
            </w:tcBorders>
            <w:vAlign w:val="center"/>
            <w:hideMark/>
          </w:tcPr>
          <w:p w14:paraId="2565A923" w14:textId="77777777" w:rsidR="001B7F77" w:rsidRPr="001B7F77" w:rsidRDefault="001B7F77" w:rsidP="001B7F77">
            <w:pPr>
              <w:widowControl w:val="0"/>
              <w:suppressAutoHyphens/>
              <w:spacing w:before="120"/>
              <w:jc w:val="center"/>
              <w:rPr>
                <w:color w:val="000000"/>
                <w:u w:val="single"/>
              </w:rPr>
            </w:pPr>
            <w:r w:rsidRPr="001B7F77">
              <w:rPr>
                <w:color w:val="000000"/>
                <w:u w:val="single"/>
              </w:rPr>
              <w:t>6 inches</w:t>
            </w:r>
          </w:p>
        </w:tc>
      </w:tr>
    </w:tbl>
    <w:p w14:paraId="2090F122" w14:textId="77777777" w:rsidR="001B7F77" w:rsidRPr="001B7F77" w:rsidRDefault="001B7F77" w:rsidP="001B7F77">
      <w:pPr>
        <w:widowControl w:val="0"/>
        <w:suppressAutoHyphens/>
        <w:spacing w:before="120"/>
        <w:ind w:left="540"/>
        <w:rPr>
          <w:color w:val="000000"/>
          <w:sz w:val="18"/>
          <w:szCs w:val="14"/>
          <w:u w:val="single"/>
        </w:rPr>
      </w:pPr>
      <w:r w:rsidRPr="001B7F77">
        <w:rPr>
          <w:color w:val="000000"/>
          <w:sz w:val="18"/>
          <w:szCs w:val="14"/>
          <w:u w:val="single"/>
        </w:rPr>
        <w:t>For SI: 1 inch = 25.4 mm.</w:t>
      </w:r>
    </w:p>
    <w:p w14:paraId="737F65F0" w14:textId="77777777" w:rsidR="001B7F77" w:rsidRPr="001B7F77" w:rsidRDefault="001B7F77" w:rsidP="001B7F77">
      <w:pPr>
        <w:widowControl w:val="0"/>
        <w:suppressAutoHyphens/>
        <w:spacing w:before="120"/>
        <w:ind w:left="360"/>
        <w:rPr>
          <w:color w:val="000000"/>
        </w:rPr>
      </w:pPr>
      <w:r w:rsidRPr="001B7F77">
        <w:rPr>
          <w:b/>
          <w:color w:val="000000"/>
          <w:u w:val="single"/>
        </w:rPr>
        <w:t xml:space="preserve">806.2.7 Dining areas. </w:t>
      </w:r>
      <w:r w:rsidRPr="001B7F77">
        <w:rPr>
          <w:color w:val="000000"/>
          <w:u w:val="single"/>
        </w:rPr>
        <w:t>An accessible route to raised or sunken dining areas or to all parts of outdoor seating areas is not required provided that the same services and decor are provided in an accessible space usable by any occupant and not restricted to use by people with a disability. The raised, sunken, or outdoor seating areas not provided with an accessible route shall not exceed 25 percent of the total combined area for accessible dining areas.</w:t>
      </w:r>
    </w:p>
    <w:p w14:paraId="7976980D" w14:textId="77777777" w:rsidR="001B7F77" w:rsidRPr="001B7F77" w:rsidRDefault="001B7F77" w:rsidP="001B7F77">
      <w:pPr>
        <w:widowControl w:val="0"/>
        <w:suppressAutoHyphens/>
        <w:spacing w:before="120"/>
        <w:ind w:left="360"/>
        <w:rPr>
          <w:color w:val="000000"/>
          <w:u w:val="single"/>
        </w:rPr>
      </w:pPr>
      <w:r w:rsidRPr="001B7F77">
        <w:rPr>
          <w:b/>
          <w:bCs/>
          <w:color w:val="000000"/>
          <w:u w:val="single"/>
        </w:rPr>
        <w:t>806.2.8 Dwelling and sleeping units</w:t>
      </w:r>
      <w:r w:rsidRPr="001B7F77">
        <w:rPr>
          <w:color w:val="000000"/>
          <w:u w:val="single"/>
        </w:rPr>
        <w:t>. Where dwelling or sleeping units are altered, they shall comply with Sections 806.2.8.1 through 806.2.8.2.</w:t>
      </w:r>
    </w:p>
    <w:p w14:paraId="55B43244" w14:textId="77777777" w:rsidR="001B7F77" w:rsidRPr="001B7F77" w:rsidRDefault="001B7F77" w:rsidP="001B7F77">
      <w:pPr>
        <w:widowControl w:val="0"/>
        <w:suppressAutoHyphens/>
        <w:spacing w:before="120"/>
        <w:ind w:left="720"/>
        <w:rPr>
          <w:color w:val="000000"/>
          <w:u w:val="single"/>
        </w:rPr>
      </w:pPr>
      <w:r w:rsidRPr="001B7F77">
        <w:rPr>
          <w:b/>
          <w:bCs/>
          <w:color w:val="000000"/>
          <w:u w:val="single"/>
        </w:rPr>
        <w:t>806.2.8.1 Alterations to dwelling or sleeping units in occupancy Group I-1, I-2, I-3 or R-1.</w:t>
      </w:r>
      <w:r w:rsidRPr="001B7F77">
        <w:rPr>
          <w:color w:val="000000"/>
          <w:u w:val="single"/>
        </w:rPr>
        <w:t xml:space="preserve"> Where dwelling or sleeping units are altered in occupancy Group I-1, I-2, I-3 or R-1, the requirements of Section 1107 of the </w:t>
      </w:r>
      <w:r w:rsidRPr="001B7F77">
        <w:rPr>
          <w:i/>
          <w:iCs/>
          <w:color w:val="000000"/>
          <w:u w:val="single"/>
        </w:rPr>
        <w:t>New York City Building Code</w:t>
      </w:r>
      <w:r w:rsidRPr="001B7F77">
        <w:rPr>
          <w:color w:val="000000"/>
          <w:u w:val="single"/>
        </w:rPr>
        <w:t xml:space="preserve"> shall apply only to the spaces being altered.</w:t>
      </w:r>
    </w:p>
    <w:p w14:paraId="7CF94B2B" w14:textId="77777777" w:rsidR="001B7F77" w:rsidRPr="001B7F77" w:rsidRDefault="001B7F77" w:rsidP="001B7F77">
      <w:pPr>
        <w:widowControl w:val="0"/>
        <w:suppressAutoHyphens/>
        <w:spacing w:before="120"/>
        <w:ind w:left="1080"/>
        <w:rPr>
          <w:color w:val="000000"/>
          <w:u w:val="single"/>
        </w:rPr>
      </w:pPr>
      <w:r w:rsidRPr="001B7F77">
        <w:rPr>
          <w:b/>
          <w:bCs/>
          <w:color w:val="000000"/>
          <w:u w:val="single"/>
        </w:rPr>
        <w:t>Exception:</w:t>
      </w:r>
      <w:r w:rsidRPr="001B7F77">
        <w:rPr>
          <w:color w:val="000000"/>
          <w:u w:val="single"/>
        </w:rPr>
        <w:t xml:space="preserve"> Where the dwelling or sleeping units included in the work area exceeds more than 50 percent of the dwelling or sleeping units in the building and under single ownership, the requirements of Section 1107 of the </w:t>
      </w:r>
      <w:r w:rsidRPr="001B7F77">
        <w:rPr>
          <w:i/>
          <w:iCs/>
          <w:color w:val="000000"/>
          <w:u w:val="single"/>
        </w:rPr>
        <w:t>New York City Building Code</w:t>
      </w:r>
      <w:r w:rsidRPr="001B7F77">
        <w:rPr>
          <w:color w:val="000000"/>
          <w:u w:val="single"/>
        </w:rPr>
        <w:t xml:space="preserve"> shall apply to all the dwelling or sleeping units under that single ownership.</w:t>
      </w:r>
    </w:p>
    <w:p w14:paraId="02C5A31E" w14:textId="77777777" w:rsidR="001B7F77" w:rsidRPr="001B7F77" w:rsidRDefault="001B7F77" w:rsidP="001B7F77">
      <w:pPr>
        <w:widowControl w:val="0"/>
        <w:suppressAutoHyphens/>
        <w:spacing w:before="120"/>
        <w:ind w:left="720"/>
        <w:rPr>
          <w:color w:val="000000"/>
          <w:u w:val="single"/>
        </w:rPr>
      </w:pPr>
      <w:r w:rsidRPr="001B7F77">
        <w:rPr>
          <w:b/>
          <w:bCs/>
          <w:color w:val="000000"/>
          <w:u w:val="single"/>
        </w:rPr>
        <w:t>806.2.8.2 Alterations to dwelling or sleeping units in Occupancy Group R-2.</w:t>
      </w:r>
      <w:r w:rsidRPr="001B7F77">
        <w:rPr>
          <w:color w:val="000000"/>
          <w:u w:val="single"/>
        </w:rPr>
        <w:t xml:space="preserve"> Where dwelling or sleeping units are altered in Occupancy Group R-2, the requirements of Section 1107 of the </w:t>
      </w:r>
      <w:r w:rsidRPr="001B7F77">
        <w:rPr>
          <w:i/>
          <w:iCs/>
          <w:color w:val="000000"/>
          <w:u w:val="single"/>
        </w:rPr>
        <w:t>New York City Building Code</w:t>
      </w:r>
      <w:r w:rsidRPr="001B7F77">
        <w:rPr>
          <w:color w:val="000000"/>
          <w:u w:val="single"/>
        </w:rPr>
        <w:t xml:space="preserve"> shall apply only to the spaces being altered.</w:t>
      </w:r>
    </w:p>
    <w:p w14:paraId="730F57FD" w14:textId="77777777" w:rsidR="001B7F77" w:rsidRPr="001B7F77" w:rsidRDefault="001B7F77" w:rsidP="001B7F77">
      <w:pPr>
        <w:widowControl w:val="0"/>
        <w:suppressAutoHyphens/>
        <w:spacing w:before="120"/>
        <w:ind w:left="360"/>
        <w:rPr>
          <w:color w:val="000000"/>
        </w:rPr>
      </w:pPr>
      <w:r w:rsidRPr="001B7F77">
        <w:rPr>
          <w:b/>
          <w:color w:val="000000"/>
          <w:u w:val="single"/>
        </w:rPr>
        <w:t>806.2.9 Toilet and bathing rooms.</w:t>
      </w:r>
      <w:r w:rsidRPr="001B7F77">
        <w:rPr>
          <w:color w:val="000000"/>
          <w:u w:val="single"/>
        </w:rPr>
        <w:t xml:space="preserve"> Where it is technically infeasible to alter existing toilet and bathing rooms to be accessible, an accessible family or assisted-use toilet or bathing room constructed in accordance with the requirements of Sections 1109.2.1 through 1109.2.1.6 of the </w:t>
      </w:r>
      <w:r w:rsidRPr="001B7F77">
        <w:rPr>
          <w:i/>
          <w:iCs/>
          <w:color w:val="000000"/>
          <w:u w:val="single"/>
        </w:rPr>
        <w:t>New York City Building Code</w:t>
      </w:r>
      <w:r w:rsidRPr="001B7F77">
        <w:rPr>
          <w:color w:val="000000"/>
          <w:u w:val="single"/>
        </w:rPr>
        <w:t xml:space="preserve"> is permitted; however, the family or assisted-use toilet or bathing room shall be located on an accessible route, on the same floor and in the same area as the existing toilet or bathing rooms. At the inaccessible toilet and bathing rooms, directional signs indicating the location of the nearest family or assisted-use toilet room or bathing room shall be provided. These directional signs shall include the dynamic accessibility symbol and sign characters shall meet the visual character requirements in accordance with ICC A117.1.</w:t>
      </w:r>
    </w:p>
    <w:p w14:paraId="2EAF778E" w14:textId="77777777" w:rsidR="001B7F77" w:rsidRPr="001B7F77" w:rsidRDefault="001B7F77" w:rsidP="001B7F77">
      <w:pPr>
        <w:widowControl w:val="0"/>
        <w:suppressAutoHyphens/>
        <w:spacing w:before="120"/>
        <w:ind w:left="360"/>
        <w:rPr>
          <w:color w:val="000000"/>
        </w:rPr>
      </w:pPr>
      <w:r w:rsidRPr="001B7F77">
        <w:rPr>
          <w:b/>
          <w:color w:val="000000"/>
          <w:u w:val="single"/>
        </w:rPr>
        <w:t>806.2.10 Dressing, fitting and locker rooms.</w:t>
      </w:r>
      <w:r w:rsidRPr="001B7F77">
        <w:rPr>
          <w:color w:val="000000"/>
          <w:u w:val="single"/>
        </w:rPr>
        <w:t xml:space="preserve"> Where it is technically infeasible to provide accessible dressing, fitting or locker rooms at the same location as similar types of rooms, one accessible room on the same level shall be provided. At the dressing, fitting or locker rooms, directional signs indicating the location of the nearest accessible dressing, fitting and locker room shall be provided. These directional signs shall include the dynamic accessibility symbol and sign characters shall meet the visual character requirements in accordance with ICC A117.1. Where separate sex facilities are provided, accessible rooms for each sex shall be provided. Separate sex facilities are not required where only unisex rooms are provided.</w:t>
      </w:r>
    </w:p>
    <w:p w14:paraId="1C8A49B2" w14:textId="77777777" w:rsidR="001B7F77" w:rsidRPr="001B7F77" w:rsidRDefault="001B7F77" w:rsidP="001B7F77">
      <w:pPr>
        <w:widowControl w:val="0"/>
        <w:suppressAutoHyphens/>
        <w:spacing w:before="120"/>
        <w:ind w:left="360"/>
        <w:rPr>
          <w:color w:val="000000"/>
          <w:u w:val="single"/>
        </w:rPr>
      </w:pPr>
      <w:r w:rsidRPr="001B7F77">
        <w:rPr>
          <w:b/>
          <w:u w:val="single"/>
        </w:rPr>
        <w:t>806.2.11 Fuel dispensers.</w:t>
      </w:r>
      <w:r w:rsidRPr="001B7F77">
        <w:rPr>
          <w:u w:val="single"/>
        </w:rPr>
        <w:t xml:space="preserve"> Operable parts of replacement fuel dispensers shall comply with the applicable requirements of Chapter 11 of the </w:t>
      </w:r>
      <w:r w:rsidRPr="001B7F77">
        <w:rPr>
          <w:i/>
          <w:iCs/>
          <w:u w:val="single"/>
        </w:rPr>
        <w:t>New York City Building Code</w:t>
      </w:r>
      <w:r w:rsidRPr="001B7F77">
        <w:rPr>
          <w:u w:val="single"/>
        </w:rPr>
        <w:t>.</w:t>
      </w:r>
    </w:p>
    <w:p w14:paraId="0039F39B" w14:textId="77777777" w:rsidR="001B7F77" w:rsidRPr="001B7F77" w:rsidRDefault="001B7F77" w:rsidP="001B7F77">
      <w:pPr>
        <w:widowControl w:val="0"/>
        <w:suppressAutoHyphens/>
        <w:spacing w:before="120"/>
        <w:ind w:left="720"/>
        <w:rPr>
          <w:color w:val="000000"/>
          <w:u w:val="single"/>
        </w:rPr>
      </w:pPr>
      <w:r w:rsidRPr="001B7F77">
        <w:rPr>
          <w:b/>
          <w:bCs/>
          <w:color w:val="000000"/>
          <w:u w:val="single"/>
        </w:rPr>
        <w:t>Exception:</w:t>
      </w:r>
      <w:r w:rsidRPr="001B7F77">
        <w:rPr>
          <w:color w:val="000000"/>
          <w:u w:val="single"/>
        </w:rPr>
        <w:t xml:space="preserve"> Where existing curbs make compliance technically infeasible, operable parts may be permitted to be 54 inches (1370 mm) maximum measured from the surface of the vehicular way where fuel dispensers are installed on existing curbs.</w:t>
      </w:r>
    </w:p>
    <w:p w14:paraId="4A432ECA" w14:textId="77777777" w:rsidR="001B7F77" w:rsidRPr="001B7F77" w:rsidRDefault="001B7F77" w:rsidP="001B7F77">
      <w:pPr>
        <w:widowControl w:val="0"/>
        <w:suppressAutoHyphens/>
        <w:spacing w:before="120"/>
        <w:ind w:left="360"/>
        <w:rPr>
          <w:color w:val="000000"/>
        </w:rPr>
      </w:pPr>
      <w:bookmarkStart w:id="179" w:name="_Hlk193814460"/>
      <w:r w:rsidRPr="001B7F77">
        <w:rPr>
          <w:b/>
          <w:color w:val="000000"/>
          <w:u w:val="single"/>
        </w:rPr>
        <w:t>806.2.12 Thresholds.</w:t>
      </w:r>
      <w:r w:rsidRPr="001B7F77">
        <w:rPr>
          <w:color w:val="000000"/>
          <w:u w:val="single"/>
        </w:rPr>
        <w:t xml:space="preserve"> The maximum height of thresholds at doorways shall be in accordance with ICC A117.1.</w:t>
      </w:r>
    </w:p>
    <w:bookmarkEnd w:id="179"/>
    <w:p w14:paraId="0E66DF0B" w14:textId="77777777" w:rsidR="001B7F77" w:rsidRPr="001B7F77" w:rsidRDefault="001B7F77" w:rsidP="001B7F77">
      <w:pPr>
        <w:widowControl w:val="0"/>
        <w:suppressAutoHyphens/>
        <w:spacing w:before="120"/>
        <w:ind w:left="360"/>
        <w:rPr>
          <w:color w:val="000000"/>
        </w:rPr>
      </w:pPr>
      <w:r w:rsidRPr="001B7F77">
        <w:rPr>
          <w:b/>
          <w:color w:val="000000"/>
          <w:u w:val="single"/>
        </w:rPr>
        <w:t>806.2.13 Amusement rides.</w:t>
      </w:r>
      <w:r w:rsidRPr="001B7F77">
        <w:rPr>
          <w:color w:val="000000"/>
          <w:u w:val="single"/>
        </w:rPr>
        <w:t xml:space="preserve"> Where the structural or operational characteristics of an amusement ride are altered to the extent that the amusement ride’s performance differs from that specified by the manufacturer or the original design, the amusement ride shall comply with requirements for new construction in accordance with Section 1110.4.8 of the </w:t>
      </w:r>
      <w:r w:rsidRPr="001B7F77">
        <w:rPr>
          <w:i/>
          <w:iCs/>
          <w:color w:val="000000"/>
          <w:u w:val="single"/>
        </w:rPr>
        <w:t>New York City Building Code</w:t>
      </w:r>
      <w:r w:rsidRPr="001B7F77">
        <w:rPr>
          <w:color w:val="000000"/>
          <w:u w:val="single"/>
        </w:rPr>
        <w:t>.</w:t>
      </w:r>
    </w:p>
    <w:p w14:paraId="1B875AD3" w14:textId="77777777" w:rsidR="001B7F77" w:rsidRPr="001B7F77" w:rsidRDefault="001B7F77" w:rsidP="001B7F77">
      <w:pPr>
        <w:widowControl w:val="0"/>
        <w:suppressAutoHyphens/>
        <w:spacing w:before="120"/>
        <w:ind w:left="360"/>
        <w:rPr>
          <w:u w:val="single"/>
        </w:rPr>
      </w:pPr>
      <w:r w:rsidRPr="001B7F77">
        <w:rPr>
          <w:b/>
          <w:u w:val="single"/>
        </w:rPr>
        <w:t>806.2.14 Electric vehicle charging stations.</w:t>
      </w:r>
      <w:r w:rsidRPr="001B7F77">
        <w:rPr>
          <w:u w:val="single"/>
        </w:rPr>
        <w:t xml:space="preserve"> In an alteration where electric vehicle charging stations are added or altered, the charging station shall be located along an accessible route and comply with Section 1106.8 of the </w:t>
      </w:r>
      <w:r w:rsidRPr="001B7F77">
        <w:rPr>
          <w:i/>
          <w:iCs/>
          <w:u w:val="single"/>
        </w:rPr>
        <w:t>New York City Building Code</w:t>
      </w:r>
      <w:r w:rsidRPr="001B7F77">
        <w:rPr>
          <w:u w:val="single"/>
        </w:rPr>
        <w:t xml:space="preserve">. </w:t>
      </w:r>
    </w:p>
    <w:p w14:paraId="32B4227A" w14:textId="77777777" w:rsidR="001B7F77" w:rsidRPr="001B7F77" w:rsidRDefault="001B7F77" w:rsidP="001B7F77">
      <w:pPr>
        <w:widowControl w:val="0"/>
        <w:suppressAutoHyphens/>
        <w:spacing w:before="120"/>
        <w:ind w:left="720"/>
        <w:rPr>
          <w:u w:val="single"/>
        </w:rPr>
      </w:pPr>
      <w:r w:rsidRPr="001B7F77">
        <w:rPr>
          <w:b/>
          <w:u w:val="single"/>
        </w:rPr>
        <w:t xml:space="preserve">Exception: </w:t>
      </w:r>
      <w:r w:rsidRPr="001B7F77">
        <w:rPr>
          <w:u w:val="single"/>
        </w:rPr>
        <w:t>In existing facilities with no accessible route, electrical vehicle charging stations are not required to be located along an accessible route.</w:t>
      </w:r>
    </w:p>
    <w:p w14:paraId="439B6349" w14:textId="77777777" w:rsidR="001B7F77" w:rsidRPr="001B7F77" w:rsidRDefault="001B7F77" w:rsidP="001B7F77">
      <w:pPr>
        <w:widowControl w:val="0"/>
        <w:suppressAutoHyphens/>
        <w:spacing w:before="120"/>
        <w:rPr>
          <w:color w:val="000000"/>
          <w:u w:val="single"/>
        </w:rPr>
      </w:pPr>
      <w:r w:rsidRPr="001B7F77">
        <w:rPr>
          <w:b/>
          <w:color w:val="000000"/>
          <w:u w:val="single"/>
        </w:rPr>
        <w:t xml:space="preserve">806.3 Alterations affecting an area containing a primary function. </w:t>
      </w:r>
      <w:r w:rsidRPr="001B7F77">
        <w:rPr>
          <w:color w:val="000000"/>
          <w:u w:val="single"/>
        </w:rPr>
        <w:t>Where an alteration affects the accessibility to or contains an area of primary function, the route to the primary function area, including entrances, shall be accessible in accordance with this section and Section 806.3.1. The accessible route to the primary function area shall include toilet facilities and drinking fountains serving the area of primary function. The costs of providing the accessible route are not required to exceed 25 percent of the costs of the alterations affecting the area of primary function.</w:t>
      </w:r>
    </w:p>
    <w:p w14:paraId="3B3CAD81" w14:textId="77777777" w:rsidR="001B7F77" w:rsidRPr="001B7F77" w:rsidRDefault="001B7F77" w:rsidP="001B7F77">
      <w:pPr>
        <w:widowControl w:val="0"/>
        <w:suppressAutoHyphens/>
        <w:spacing w:before="120"/>
        <w:ind w:left="360"/>
        <w:rPr>
          <w:color w:val="000000"/>
          <w:u w:val="single"/>
        </w:rPr>
      </w:pPr>
      <w:r w:rsidRPr="001B7F77">
        <w:rPr>
          <w:b/>
          <w:color w:val="000000"/>
          <w:u w:val="single"/>
        </w:rPr>
        <w:t>Exceptions:</w:t>
      </w:r>
    </w:p>
    <w:p w14:paraId="21D8FA5E" w14:textId="77777777" w:rsidR="001B7F77" w:rsidRPr="001B7F77" w:rsidRDefault="001B7F77" w:rsidP="001B7F77">
      <w:pPr>
        <w:widowControl w:val="0"/>
        <w:suppressAutoHyphens/>
        <w:spacing w:before="120"/>
        <w:ind w:left="1080" w:hanging="360"/>
        <w:rPr>
          <w:u w:val="single"/>
        </w:rPr>
      </w:pPr>
      <w:r w:rsidRPr="001B7F77">
        <w:rPr>
          <w:color w:val="000000"/>
          <w:u w:val="single"/>
        </w:rPr>
        <w:t>1.</w:t>
      </w:r>
      <w:r w:rsidRPr="001B7F77">
        <w:rPr>
          <w:color w:val="000000"/>
          <w:u w:val="single"/>
        </w:rPr>
        <w:tab/>
        <w:t>This provision does not apply to alterations limited solely to windows, hardware, operating controls, electrical outlets and signs.</w:t>
      </w:r>
    </w:p>
    <w:p w14:paraId="1C09AD16" w14:textId="77777777" w:rsidR="001B7F77" w:rsidRPr="001B7F77" w:rsidRDefault="001B7F77" w:rsidP="001B7F77">
      <w:pPr>
        <w:widowControl w:val="0"/>
        <w:suppressAutoHyphens/>
        <w:spacing w:before="120"/>
        <w:ind w:left="1080" w:hanging="360"/>
        <w:rPr>
          <w:u w:val="single"/>
        </w:rPr>
      </w:pPr>
      <w:r w:rsidRPr="001B7F77">
        <w:rPr>
          <w:color w:val="000000"/>
          <w:u w:val="single"/>
        </w:rPr>
        <w:t>2.</w:t>
      </w:r>
      <w:r w:rsidRPr="001B7F77">
        <w:rPr>
          <w:color w:val="000000"/>
          <w:u w:val="single"/>
        </w:rPr>
        <w:tab/>
        <w:t>This provision does not apply to alterations limited solely to mechanical systems, electrical systems, installation or alteration of fire protection systems and abatement of hazardous materials.</w:t>
      </w:r>
    </w:p>
    <w:p w14:paraId="3A41DCAA" w14:textId="77777777" w:rsidR="001B7F77" w:rsidRPr="001B7F77" w:rsidRDefault="001B7F77" w:rsidP="001B7F77">
      <w:pPr>
        <w:widowControl w:val="0"/>
        <w:suppressAutoHyphens/>
        <w:spacing w:before="120"/>
        <w:ind w:left="1080" w:hanging="360"/>
        <w:rPr>
          <w:u w:val="single"/>
        </w:rPr>
      </w:pPr>
      <w:r w:rsidRPr="001B7F77">
        <w:rPr>
          <w:color w:val="000000"/>
          <w:u w:val="single"/>
        </w:rPr>
        <w:t>3.</w:t>
      </w:r>
      <w:r w:rsidRPr="001B7F77">
        <w:rPr>
          <w:color w:val="000000"/>
          <w:u w:val="single"/>
        </w:rPr>
        <w:tab/>
        <w:t>This provision does not apply to alterations undertaken for the primary purpose of increasing the accessibility of a facility.</w:t>
      </w:r>
    </w:p>
    <w:p w14:paraId="0BBB3E07" w14:textId="77777777" w:rsidR="001B7F77" w:rsidRPr="001B7F77" w:rsidRDefault="001B7F77" w:rsidP="001B7F77">
      <w:pPr>
        <w:widowControl w:val="0"/>
        <w:suppressAutoHyphens/>
        <w:spacing w:before="120"/>
        <w:ind w:left="1080" w:hanging="360"/>
        <w:rPr>
          <w:u w:val="single"/>
        </w:rPr>
      </w:pPr>
      <w:r w:rsidRPr="001B7F77">
        <w:rPr>
          <w:color w:val="000000"/>
          <w:u w:val="single"/>
        </w:rPr>
        <w:t>4.</w:t>
      </w:r>
      <w:r w:rsidRPr="001B7F77">
        <w:rPr>
          <w:color w:val="000000"/>
          <w:u w:val="single"/>
        </w:rPr>
        <w:tab/>
        <w:t>This provision does not apply to altered areas limited to Type B or Type B+NYC dwelling and sleeping units.</w:t>
      </w:r>
    </w:p>
    <w:p w14:paraId="294744F9" w14:textId="77777777" w:rsidR="001B7F77" w:rsidRPr="001B7F77" w:rsidRDefault="001B7F77" w:rsidP="001B7F77">
      <w:pPr>
        <w:widowControl w:val="0"/>
        <w:suppressAutoHyphens/>
        <w:spacing w:before="120"/>
        <w:ind w:left="360"/>
        <w:rPr>
          <w:color w:val="000000"/>
          <w:u w:val="single"/>
        </w:rPr>
      </w:pPr>
      <w:r w:rsidRPr="001B7F77">
        <w:rPr>
          <w:b/>
          <w:bCs/>
          <w:color w:val="000000"/>
          <w:u w:val="single"/>
        </w:rPr>
        <w:t>806.3.1 Path of travel prioritization.</w:t>
      </w:r>
      <w:r w:rsidRPr="001B7F77">
        <w:rPr>
          <w:color w:val="000000"/>
          <w:u w:val="single"/>
        </w:rPr>
        <w:t xml:space="preserve"> The cost of improvements along the path of travel shall be prioritized in accordance with the following:</w:t>
      </w:r>
    </w:p>
    <w:p w14:paraId="2E2DC14D" w14:textId="77777777" w:rsidR="001B7F77" w:rsidRPr="001B7F77" w:rsidRDefault="001B7F77" w:rsidP="001B7F77">
      <w:pPr>
        <w:widowControl w:val="0"/>
        <w:suppressAutoHyphens/>
        <w:spacing w:before="120"/>
        <w:ind w:left="1080" w:hanging="360"/>
        <w:rPr>
          <w:color w:val="000000"/>
          <w:u w:val="single"/>
        </w:rPr>
      </w:pPr>
      <w:r w:rsidRPr="001B7F77">
        <w:rPr>
          <w:color w:val="000000"/>
          <w:u w:val="single"/>
        </w:rPr>
        <w:t>1.</w:t>
      </w:r>
      <w:r w:rsidRPr="001B7F77">
        <w:rPr>
          <w:color w:val="000000"/>
          <w:u w:val="single"/>
        </w:rPr>
        <w:tab/>
        <w:t>Accessible entrances.</w:t>
      </w:r>
    </w:p>
    <w:p w14:paraId="2C5D6D55" w14:textId="77777777" w:rsidR="001B7F77" w:rsidRPr="001B7F77" w:rsidRDefault="001B7F77" w:rsidP="001B7F77">
      <w:pPr>
        <w:widowControl w:val="0"/>
        <w:suppressAutoHyphens/>
        <w:spacing w:before="120"/>
        <w:ind w:left="1080" w:hanging="360"/>
        <w:rPr>
          <w:color w:val="000000"/>
          <w:u w:val="single"/>
        </w:rPr>
      </w:pPr>
      <w:r w:rsidRPr="001B7F77">
        <w:rPr>
          <w:color w:val="000000"/>
          <w:u w:val="single"/>
        </w:rPr>
        <w:t>2.</w:t>
      </w:r>
      <w:r w:rsidRPr="001B7F77">
        <w:rPr>
          <w:color w:val="000000"/>
          <w:u w:val="single"/>
        </w:rPr>
        <w:tab/>
        <w:t>Accessible route to the altered area.</w:t>
      </w:r>
    </w:p>
    <w:p w14:paraId="17381EDD" w14:textId="77777777" w:rsidR="001B7F77" w:rsidRPr="001B7F77" w:rsidRDefault="001B7F77" w:rsidP="001B7F77">
      <w:pPr>
        <w:widowControl w:val="0"/>
        <w:suppressAutoHyphens/>
        <w:spacing w:before="120"/>
        <w:ind w:left="1080" w:hanging="360"/>
        <w:rPr>
          <w:color w:val="000000"/>
          <w:u w:val="single"/>
        </w:rPr>
      </w:pPr>
      <w:r w:rsidRPr="001B7F77">
        <w:rPr>
          <w:color w:val="000000"/>
          <w:u w:val="single"/>
        </w:rPr>
        <w:t>3.</w:t>
      </w:r>
      <w:r w:rsidRPr="001B7F77">
        <w:rPr>
          <w:color w:val="000000"/>
          <w:u w:val="single"/>
        </w:rPr>
        <w:tab/>
        <w:t>Accessible toilet facilities.</w:t>
      </w:r>
    </w:p>
    <w:p w14:paraId="5F04B49D" w14:textId="77777777" w:rsidR="001B7F77" w:rsidRPr="001B7F77" w:rsidRDefault="001B7F77" w:rsidP="001B7F77">
      <w:pPr>
        <w:widowControl w:val="0"/>
        <w:suppressAutoHyphens/>
        <w:spacing w:before="120"/>
        <w:ind w:left="1080" w:hanging="360"/>
        <w:rPr>
          <w:color w:val="000000"/>
          <w:u w:val="single"/>
        </w:rPr>
      </w:pPr>
      <w:r w:rsidRPr="001B7F77">
        <w:rPr>
          <w:color w:val="000000"/>
          <w:u w:val="single"/>
        </w:rPr>
        <w:t>4.</w:t>
      </w:r>
      <w:r w:rsidRPr="001B7F77">
        <w:rPr>
          <w:color w:val="000000"/>
          <w:u w:val="single"/>
        </w:rPr>
        <w:tab/>
        <w:t xml:space="preserve">Accessible drinking fountains and bottle-filling stations. </w:t>
      </w:r>
    </w:p>
    <w:p w14:paraId="5291CAF1" w14:textId="77777777" w:rsidR="001B7F77" w:rsidRPr="001B7F77" w:rsidRDefault="001B7F77" w:rsidP="001B7F77">
      <w:pPr>
        <w:widowControl w:val="0"/>
        <w:suppressAutoHyphens/>
        <w:spacing w:before="120"/>
        <w:ind w:left="1080" w:hanging="360"/>
        <w:rPr>
          <w:color w:val="000000"/>
          <w:u w:val="single"/>
        </w:rPr>
      </w:pPr>
      <w:r w:rsidRPr="001B7F77">
        <w:rPr>
          <w:color w:val="000000"/>
          <w:u w:val="single"/>
        </w:rPr>
        <w:t>5.</w:t>
      </w:r>
      <w:r w:rsidRPr="001B7F77">
        <w:rPr>
          <w:color w:val="000000"/>
          <w:u w:val="single"/>
        </w:rPr>
        <w:tab/>
        <w:t xml:space="preserve">Accessible telephones. </w:t>
      </w:r>
    </w:p>
    <w:p w14:paraId="3E236C92" w14:textId="77777777" w:rsidR="001B7F77" w:rsidRPr="001B7F77" w:rsidRDefault="001B7F77" w:rsidP="001B7F77">
      <w:pPr>
        <w:widowControl w:val="0"/>
        <w:suppressAutoHyphens/>
        <w:spacing w:before="120"/>
        <w:ind w:left="1080" w:hanging="360"/>
        <w:rPr>
          <w:color w:val="000000"/>
          <w:u w:val="single"/>
        </w:rPr>
      </w:pPr>
      <w:r w:rsidRPr="001B7F77">
        <w:rPr>
          <w:color w:val="000000"/>
          <w:u w:val="single"/>
        </w:rPr>
        <w:t>6.</w:t>
      </w:r>
      <w:r w:rsidRPr="001B7F77">
        <w:rPr>
          <w:color w:val="000000"/>
          <w:u w:val="single"/>
        </w:rPr>
        <w:tab/>
        <w:t>Additional items such as parking, storage and alarms.</w:t>
      </w:r>
    </w:p>
    <w:p w14:paraId="700901E4" w14:textId="77777777" w:rsidR="001B7F77" w:rsidRPr="001B7F77" w:rsidRDefault="001B7F77" w:rsidP="001B7F77">
      <w:pPr>
        <w:widowControl w:val="0"/>
        <w:suppressAutoHyphens/>
        <w:spacing w:before="120"/>
        <w:jc w:val="center"/>
        <w:outlineLvl w:val="0"/>
        <w:rPr>
          <w:rFonts w:eastAsia="Times"/>
          <w:b/>
          <w:u w:val="single"/>
        </w:rPr>
      </w:pPr>
    </w:p>
    <w:p w14:paraId="249A7467" w14:textId="77777777" w:rsidR="001B7F77" w:rsidRPr="001B7F77" w:rsidRDefault="001B7F77" w:rsidP="001B7F77">
      <w:pPr>
        <w:widowControl w:val="0"/>
        <w:suppressAutoHyphens/>
        <w:spacing w:before="120"/>
        <w:jc w:val="center"/>
        <w:outlineLvl w:val="0"/>
        <w:rPr>
          <w:rFonts w:eastAsia="Times"/>
          <w:b/>
          <w:u w:val="single"/>
        </w:rPr>
      </w:pPr>
      <w:r w:rsidRPr="001B7F77">
        <w:rPr>
          <w:rFonts w:eastAsia="Times"/>
          <w:b/>
          <w:u w:val="single"/>
        </w:rPr>
        <w:t>SECTION EBC 807</w:t>
      </w:r>
      <w:r w:rsidRPr="001B7F77">
        <w:rPr>
          <w:rFonts w:eastAsia="Times"/>
          <w:b/>
          <w:u w:val="single"/>
        </w:rPr>
        <w:br/>
        <w:t>STRUCTURAL</w:t>
      </w:r>
    </w:p>
    <w:p w14:paraId="54704E89" w14:textId="77777777" w:rsidR="001B7F77" w:rsidRPr="001B7F77" w:rsidRDefault="001B7F77" w:rsidP="001B7F77">
      <w:pPr>
        <w:widowControl w:val="0"/>
        <w:suppressAutoHyphens/>
        <w:spacing w:before="120"/>
        <w:rPr>
          <w:b/>
          <w:color w:val="000000"/>
        </w:rPr>
      </w:pPr>
      <w:r w:rsidRPr="001B7F77">
        <w:rPr>
          <w:b/>
          <w:color w:val="000000"/>
          <w:u w:val="single"/>
        </w:rPr>
        <w:t>807.1</w:t>
      </w:r>
      <w:r w:rsidRPr="001B7F77">
        <w:rPr>
          <w:color w:val="000000"/>
          <w:u w:val="single"/>
        </w:rPr>
        <w:t xml:space="preserve"> </w:t>
      </w:r>
      <w:r w:rsidRPr="001B7F77">
        <w:rPr>
          <w:b/>
          <w:color w:val="000000"/>
          <w:u w:val="single"/>
        </w:rPr>
        <w:t>General</w:t>
      </w:r>
      <w:r w:rsidRPr="001B7F77">
        <w:rPr>
          <w:color w:val="000000"/>
          <w:u w:val="single"/>
        </w:rPr>
        <w:t>. Structural elements and systems within buildings undergoing Level 1 alterations shall comply with Chapter 7.</w:t>
      </w:r>
    </w:p>
    <w:p w14:paraId="7381C3AB" w14:textId="77777777" w:rsidR="001B7F77" w:rsidRPr="001B7F77" w:rsidRDefault="001B7F77" w:rsidP="001B7F77">
      <w:pPr>
        <w:widowControl w:val="0"/>
        <w:suppressAutoHyphens/>
        <w:spacing w:before="120"/>
        <w:jc w:val="center"/>
        <w:outlineLvl w:val="0"/>
        <w:rPr>
          <w:rFonts w:eastAsia="Times"/>
          <w:b/>
          <w:u w:val="single"/>
        </w:rPr>
      </w:pPr>
    </w:p>
    <w:p w14:paraId="543C7885" w14:textId="77777777" w:rsidR="001B7F77" w:rsidRPr="001B7F77" w:rsidRDefault="001B7F77" w:rsidP="001B7F77">
      <w:pPr>
        <w:widowControl w:val="0"/>
        <w:suppressAutoHyphens/>
        <w:spacing w:before="120"/>
        <w:jc w:val="center"/>
        <w:outlineLvl w:val="0"/>
        <w:rPr>
          <w:rFonts w:eastAsia="Times"/>
          <w:b/>
          <w:u w:val="single"/>
        </w:rPr>
      </w:pPr>
      <w:r w:rsidRPr="001B7F77">
        <w:rPr>
          <w:rFonts w:eastAsia="Times"/>
          <w:b/>
          <w:u w:val="single"/>
        </w:rPr>
        <w:t>SECTION EBC 808</w:t>
      </w:r>
      <w:r w:rsidRPr="001B7F77">
        <w:rPr>
          <w:rFonts w:eastAsia="Times"/>
          <w:b/>
          <w:u w:val="single"/>
        </w:rPr>
        <w:br/>
        <w:t>ELECTRICAL</w:t>
      </w:r>
    </w:p>
    <w:p w14:paraId="2EE87AD5" w14:textId="77777777" w:rsidR="001B7F77" w:rsidRPr="001B7F77" w:rsidRDefault="001B7F77" w:rsidP="001B7F77">
      <w:pPr>
        <w:widowControl w:val="0"/>
        <w:suppressAutoHyphens/>
        <w:spacing w:before="120"/>
        <w:rPr>
          <w:b/>
          <w:color w:val="000000"/>
        </w:rPr>
      </w:pPr>
      <w:r w:rsidRPr="001B7F77">
        <w:rPr>
          <w:b/>
          <w:color w:val="000000"/>
          <w:u w:val="single"/>
        </w:rPr>
        <w:t>808.1</w:t>
      </w:r>
      <w:r w:rsidRPr="001B7F77">
        <w:rPr>
          <w:color w:val="000000"/>
          <w:u w:val="single"/>
        </w:rPr>
        <w:t xml:space="preserve"> </w:t>
      </w:r>
      <w:r w:rsidRPr="001B7F77">
        <w:rPr>
          <w:b/>
          <w:color w:val="000000"/>
          <w:u w:val="single"/>
        </w:rPr>
        <w:t>New installations.</w:t>
      </w:r>
      <w:r w:rsidRPr="001B7F77">
        <w:rPr>
          <w:color w:val="000000"/>
          <w:u w:val="single"/>
        </w:rPr>
        <w:t xml:space="preserve"> All newly installed electrical equipment and wiring relating to work done in any work area shall comply with all applicable requirements of the </w:t>
      </w:r>
      <w:r w:rsidRPr="001B7F77">
        <w:rPr>
          <w:i/>
          <w:iCs/>
          <w:color w:val="000000"/>
          <w:u w:val="single"/>
        </w:rPr>
        <w:t>New York City Electrical Code</w:t>
      </w:r>
      <w:r w:rsidRPr="001B7F77">
        <w:rPr>
          <w:color w:val="000000"/>
          <w:u w:val="single"/>
        </w:rPr>
        <w:t xml:space="preserve"> and as provided for in Sections 808.3 through 808.5 of this code.</w:t>
      </w:r>
    </w:p>
    <w:p w14:paraId="27BD022A" w14:textId="77777777" w:rsidR="001B7F77" w:rsidRPr="001B7F77" w:rsidRDefault="001B7F77" w:rsidP="001B7F77">
      <w:pPr>
        <w:widowControl w:val="0"/>
        <w:suppressAutoHyphens/>
        <w:spacing w:before="120"/>
        <w:rPr>
          <w:u w:val="single"/>
        </w:rPr>
      </w:pPr>
      <w:r w:rsidRPr="001B7F77">
        <w:rPr>
          <w:b/>
          <w:u w:val="single"/>
        </w:rPr>
        <w:t>808.2</w:t>
      </w:r>
      <w:r w:rsidRPr="001B7F77">
        <w:rPr>
          <w:u w:val="single"/>
        </w:rPr>
        <w:t xml:space="preserve"> </w:t>
      </w:r>
      <w:r w:rsidRPr="001B7F77">
        <w:rPr>
          <w:b/>
          <w:u w:val="single"/>
        </w:rPr>
        <w:t>Existing installations</w:t>
      </w:r>
      <w:r w:rsidRPr="001B7F77">
        <w:rPr>
          <w:u w:val="single"/>
        </w:rPr>
        <w:t xml:space="preserve">. Existing wiring and equipment supplying the work area that is found to be defective shall be upgraded in Group A-1, A-2, A-5, H and I occupancies to meet the requirements of the </w:t>
      </w:r>
      <w:r w:rsidRPr="001B7F77">
        <w:rPr>
          <w:i/>
          <w:iCs/>
          <w:u w:val="single"/>
        </w:rPr>
        <w:t>New York City Electrical Code</w:t>
      </w:r>
      <w:r w:rsidRPr="001B7F77">
        <w:rPr>
          <w:u w:val="single"/>
        </w:rPr>
        <w:t xml:space="preserve">. For purposes of this section, the term “defective wiring” means wiring methods and materials that do not conform to the requirements of Article 110 of the </w:t>
      </w:r>
      <w:r w:rsidRPr="001B7F77">
        <w:rPr>
          <w:i/>
          <w:iCs/>
          <w:u w:val="single"/>
        </w:rPr>
        <w:t>New York City Electrical Code</w:t>
      </w:r>
      <w:r w:rsidRPr="001B7F77">
        <w:rPr>
          <w:u w:val="single"/>
        </w:rPr>
        <w:t xml:space="preserve"> and present an imminent danger to occupants. Examples of defective wiring include unprotected conductors or oversized overcurrent protection devices that are unsuitable for the environment they are installed in, and obsolete wiring methods such as knob and tube. For purposes of this section, the term “defective equipment” means any electrical equipment or its installations that are found to be dangerous to human life or property. Examples of defective equipment include ungrounded and unbonded equipment; equipment that is overloaded and inadequate to serve the connected loads; unapproved or unlisted equipment; deteriorating equipment; and equipment that is corroded or shows signs of water damage.</w:t>
      </w:r>
    </w:p>
    <w:p w14:paraId="1908D55C" w14:textId="77777777" w:rsidR="001B7F77" w:rsidRPr="001B7F77" w:rsidRDefault="001B7F77" w:rsidP="001B7F77">
      <w:pPr>
        <w:widowControl w:val="0"/>
        <w:suppressAutoHyphens/>
        <w:spacing w:before="120"/>
        <w:rPr>
          <w:color w:val="000000"/>
        </w:rPr>
      </w:pPr>
      <w:r w:rsidRPr="001B7F77">
        <w:rPr>
          <w:b/>
          <w:color w:val="000000"/>
          <w:u w:val="single"/>
        </w:rPr>
        <w:t>808.3</w:t>
      </w:r>
      <w:r w:rsidRPr="001B7F77">
        <w:rPr>
          <w:color w:val="000000"/>
          <w:u w:val="single"/>
        </w:rPr>
        <w:t xml:space="preserve"> </w:t>
      </w:r>
      <w:r w:rsidRPr="001B7F77">
        <w:rPr>
          <w:b/>
          <w:u w:val="single"/>
        </w:rPr>
        <w:t>Residential occupancies</w:t>
      </w:r>
      <w:r w:rsidRPr="001B7F77">
        <w:rPr>
          <w:u w:val="single"/>
        </w:rPr>
        <w:t xml:space="preserve">. Any work within a dwelling unit in Group R-2 and R-3 occupancies that involves the removal of wall coverings (such as gypsum-board and plaster) or relocation / addition of walls and partitions in the work area must conform to the requirements of Sections 210.52 and 210.70 of the </w:t>
      </w:r>
      <w:r w:rsidRPr="001B7F77">
        <w:rPr>
          <w:i/>
          <w:iCs/>
          <w:u w:val="single"/>
        </w:rPr>
        <w:t>New York City Electrical Code</w:t>
      </w:r>
      <w:r w:rsidRPr="001B7F77">
        <w:rPr>
          <w:u w:val="single"/>
        </w:rPr>
        <w:t xml:space="preserve"> with respect to the required receptacle outlets and lighting outlets in the dwelling unit. Any work within a dwelling unit in Group R-2 and R-3 occupancies that does not involve the removal of wall coverings (such as gypsum-board and plaster) or relocation / addition of walls and partitions in the work area shall require the installation of new receptacle outlets and lighting outlets in any work area in accordance with the requirements of Sections 808.3.1 through 808.3.6.</w:t>
      </w:r>
    </w:p>
    <w:p w14:paraId="02EDE492" w14:textId="77777777" w:rsidR="001B7F77" w:rsidRPr="001B7F77" w:rsidRDefault="001B7F77" w:rsidP="001B7F77">
      <w:pPr>
        <w:widowControl w:val="0"/>
        <w:suppressAutoHyphens/>
        <w:spacing w:before="120"/>
        <w:ind w:left="360"/>
        <w:rPr>
          <w:color w:val="000000"/>
        </w:rPr>
      </w:pPr>
      <w:r w:rsidRPr="001B7F77">
        <w:rPr>
          <w:b/>
          <w:color w:val="000000"/>
          <w:u w:val="single"/>
        </w:rPr>
        <w:t>808.3.1</w:t>
      </w:r>
      <w:r w:rsidRPr="001B7F77">
        <w:rPr>
          <w:color w:val="000000"/>
          <w:u w:val="single"/>
        </w:rPr>
        <w:t xml:space="preserve"> </w:t>
      </w:r>
      <w:r w:rsidRPr="001B7F77">
        <w:rPr>
          <w:b/>
          <w:color w:val="000000"/>
          <w:u w:val="single"/>
        </w:rPr>
        <w:t>Enclosed areas.</w:t>
      </w:r>
      <w:r w:rsidRPr="001B7F77">
        <w:rPr>
          <w:color w:val="000000"/>
          <w:u w:val="single"/>
        </w:rPr>
        <w:t xml:space="preserve"> All enclosed areas, other than closets, kitchens, basements, garages, hallways, laundry areas, utility areas, storage areas and bathrooms shall have a minimum of two duplex receptacle outlets or one duplex receptacle outlet and one ceiling or wall-type lighting outlet.</w:t>
      </w:r>
    </w:p>
    <w:p w14:paraId="7B6666B7" w14:textId="77777777" w:rsidR="001B7F77" w:rsidRPr="001B7F77" w:rsidRDefault="001B7F77" w:rsidP="001B7F77">
      <w:pPr>
        <w:widowControl w:val="0"/>
        <w:suppressAutoHyphens/>
        <w:spacing w:before="120"/>
        <w:ind w:left="360"/>
        <w:rPr>
          <w:color w:val="000000"/>
        </w:rPr>
      </w:pPr>
      <w:r w:rsidRPr="001B7F77">
        <w:rPr>
          <w:b/>
          <w:color w:val="000000"/>
          <w:u w:val="single"/>
        </w:rPr>
        <w:t>808.3.2</w:t>
      </w:r>
      <w:r w:rsidRPr="001B7F77">
        <w:rPr>
          <w:color w:val="000000"/>
          <w:u w:val="single"/>
        </w:rPr>
        <w:t xml:space="preserve"> </w:t>
      </w:r>
      <w:r w:rsidRPr="001B7F77">
        <w:rPr>
          <w:b/>
          <w:color w:val="000000"/>
          <w:u w:val="single"/>
        </w:rPr>
        <w:t>Kitchens</w:t>
      </w:r>
      <w:r w:rsidRPr="001B7F77">
        <w:rPr>
          <w:color w:val="000000"/>
          <w:u w:val="single"/>
        </w:rPr>
        <w:t>. Kitchen areas shall have a minimum of two duplex receptacle outlets.</w:t>
      </w:r>
    </w:p>
    <w:p w14:paraId="227F64BC" w14:textId="77777777" w:rsidR="001B7F77" w:rsidRPr="001B7F77" w:rsidRDefault="001B7F77" w:rsidP="001B7F77">
      <w:pPr>
        <w:widowControl w:val="0"/>
        <w:suppressAutoHyphens/>
        <w:spacing w:before="120"/>
        <w:ind w:left="360"/>
        <w:rPr>
          <w:color w:val="000000"/>
        </w:rPr>
      </w:pPr>
      <w:r w:rsidRPr="001B7F77">
        <w:rPr>
          <w:b/>
          <w:color w:val="000000"/>
          <w:u w:val="single"/>
        </w:rPr>
        <w:t>808.3.3</w:t>
      </w:r>
      <w:r w:rsidRPr="001B7F77">
        <w:rPr>
          <w:color w:val="000000"/>
          <w:u w:val="single"/>
        </w:rPr>
        <w:t xml:space="preserve"> </w:t>
      </w:r>
      <w:r w:rsidRPr="001B7F77">
        <w:rPr>
          <w:b/>
          <w:color w:val="000000"/>
          <w:u w:val="single"/>
        </w:rPr>
        <w:t>Laundry areas</w:t>
      </w:r>
      <w:r w:rsidRPr="001B7F77">
        <w:rPr>
          <w:color w:val="000000"/>
          <w:u w:val="single"/>
        </w:rPr>
        <w:t>. Laundry areas shall have a minimum of one duplex receptacle outlet located near the laundry equipment and installed on an independent circuit.</w:t>
      </w:r>
    </w:p>
    <w:p w14:paraId="0C483A38" w14:textId="77777777" w:rsidR="001B7F77" w:rsidRPr="001B7F77" w:rsidRDefault="001B7F77" w:rsidP="001B7F77">
      <w:pPr>
        <w:widowControl w:val="0"/>
        <w:suppressAutoHyphens/>
        <w:spacing w:before="120"/>
        <w:ind w:left="360"/>
        <w:rPr>
          <w:color w:val="000000"/>
        </w:rPr>
      </w:pPr>
      <w:r w:rsidRPr="001B7F77">
        <w:rPr>
          <w:b/>
          <w:color w:val="000000"/>
          <w:u w:val="single"/>
        </w:rPr>
        <w:t>808.3.4</w:t>
      </w:r>
      <w:r w:rsidRPr="001B7F77">
        <w:rPr>
          <w:color w:val="000000"/>
          <w:u w:val="single"/>
        </w:rPr>
        <w:t xml:space="preserve"> </w:t>
      </w:r>
      <w:r w:rsidRPr="001B7F77">
        <w:rPr>
          <w:b/>
          <w:color w:val="000000"/>
          <w:u w:val="single"/>
        </w:rPr>
        <w:t>Ground fault circuit interruption</w:t>
      </w:r>
      <w:r w:rsidRPr="001B7F77">
        <w:rPr>
          <w:color w:val="000000"/>
          <w:u w:val="single"/>
        </w:rPr>
        <w:t xml:space="preserve">. Newly installed receptacles shall be provided with ground fault circuit interruption as required by the </w:t>
      </w:r>
      <w:r w:rsidRPr="001B7F77">
        <w:rPr>
          <w:i/>
          <w:iCs/>
          <w:color w:val="000000"/>
          <w:u w:val="single"/>
        </w:rPr>
        <w:t>New York City Electrical Code</w:t>
      </w:r>
      <w:r w:rsidRPr="001B7F77">
        <w:rPr>
          <w:color w:val="000000"/>
          <w:u w:val="single"/>
        </w:rPr>
        <w:t>.</w:t>
      </w:r>
    </w:p>
    <w:p w14:paraId="49EE397B" w14:textId="77777777" w:rsidR="001B7F77" w:rsidRPr="001B7F77" w:rsidRDefault="001B7F77" w:rsidP="001B7F77">
      <w:pPr>
        <w:widowControl w:val="0"/>
        <w:suppressAutoHyphens/>
        <w:spacing w:before="120"/>
        <w:ind w:left="360"/>
      </w:pPr>
      <w:r w:rsidRPr="001B7F77">
        <w:rPr>
          <w:b/>
          <w:u w:val="single"/>
        </w:rPr>
        <w:t>808.3.5</w:t>
      </w:r>
      <w:r w:rsidRPr="001B7F77">
        <w:rPr>
          <w:u w:val="single"/>
        </w:rPr>
        <w:t xml:space="preserve"> </w:t>
      </w:r>
      <w:r w:rsidRPr="001B7F77">
        <w:rPr>
          <w:b/>
          <w:u w:val="single"/>
        </w:rPr>
        <w:t>Minimum lighting outlets.</w:t>
      </w:r>
      <w:r w:rsidRPr="001B7F77">
        <w:rPr>
          <w:u w:val="single"/>
        </w:rPr>
        <w:t xml:space="preserve"> At least one lighting outlet shall be provided in every bathroom, hallway, stairway, attached garage, and detached garage with electric power, and to illuminate outdoor entrances and exits. Such lighting outlets, and associated controls, shall comply with any applicable requirements of the </w:t>
      </w:r>
      <w:r w:rsidRPr="001B7F77">
        <w:rPr>
          <w:i/>
          <w:iCs/>
          <w:u w:val="single"/>
        </w:rPr>
        <w:t>New York City Electrical Code</w:t>
      </w:r>
      <w:r w:rsidRPr="001B7F77">
        <w:rPr>
          <w:u w:val="single"/>
        </w:rPr>
        <w:t>.</w:t>
      </w:r>
    </w:p>
    <w:p w14:paraId="531FF3EE" w14:textId="77777777" w:rsidR="001B7F77" w:rsidRPr="001B7F77" w:rsidRDefault="001B7F77" w:rsidP="001B7F77">
      <w:pPr>
        <w:widowControl w:val="0"/>
        <w:suppressAutoHyphens/>
        <w:spacing w:before="120"/>
        <w:ind w:left="360"/>
        <w:rPr>
          <w:color w:val="000000"/>
        </w:rPr>
      </w:pPr>
      <w:r w:rsidRPr="001B7F77">
        <w:rPr>
          <w:b/>
          <w:color w:val="000000"/>
          <w:u w:val="single"/>
        </w:rPr>
        <w:t>808.3.6</w:t>
      </w:r>
      <w:r w:rsidRPr="001B7F77">
        <w:rPr>
          <w:color w:val="000000"/>
          <w:u w:val="single"/>
        </w:rPr>
        <w:t xml:space="preserve"> </w:t>
      </w:r>
      <w:r w:rsidRPr="001B7F77">
        <w:rPr>
          <w:b/>
          <w:color w:val="000000"/>
          <w:u w:val="single"/>
        </w:rPr>
        <w:t>Utility rooms and basements.</w:t>
      </w:r>
      <w:r w:rsidRPr="001B7F77">
        <w:rPr>
          <w:color w:val="000000"/>
          <w:u w:val="single"/>
        </w:rPr>
        <w:t xml:space="preserve"> At least one lighting outlet shall be provided in utility rooms and basements where such spaces are used for storage or contain equipment requiring service.</w:t>
      </w:r>
    </w:p>
    <w:p w14:paraId="0BDDDFE9" w14:textId="77777777" w:rsidR="001B7F77" w:rsidRPr="001B7F77" w:rsidRDefault="001B7F77" w:rsidP="001B7F77">
      <w:pPr>
        <w:widowControl w:val="0"/>
        <w:suppressAutoHyphens/>
        <w:spacing w:before="120"/>
      </w:pPr>
      <w:r w:rsidRPr="001B7F77">
        <w:rPr>
          <w:b/>
          <w:u w:val="single"/>
        </w:rPr>
        <w:t>808.4</w:t>
      </w:r>
      <w:r w:rsidRPr="001B7F77">
        <w:rPr>
          <w:u w:val="single"/>
        </w:rPr>
        <w:t xml:space="preserve"> </w:t>
      </w:r>
      <w:r w:rsidRPr="001B7F77">
        <w:rPr>
          <w:b/>
          <w:u w:val="single"/>
        </w:rPr>
        <w:t xml:space="preserve">Space for equipment. </w:t>
      </w:r>
      <w:r w:rsidRPr="001B7F77">
        <w:rPr>
          <w:u w:val="single"/>
        </w:rPr>
        <w:t xml:space="preserve">In Group R-2 and R-3 occupancies, working space and dedicated space for electrical equipment including, but not limited to, panelboards, control panels and equipment disconnecting means in which there are exposed live parts when covers are opened or removed for troubleshooting, maintenance or similar activities, shall be provided in accordance with Article 110 of </w:t>
      </w:r>
      <w:r w:rsidRPr="001B7F77">
        <w:rPr>
          <w:bCs/>
          <w:u w:val="single"/>
        </w:rPr>
        <w:t>the</w:t>
      </w:r>
      <w:r w:rsidRPr="001B7F77">
        <w:rPr>
          <w:b/>
          <w:u w:val="single"/>
        </w:rPr>
        <w:t xml:space="preserve"> </w:t>
      </w:r>
      <w:r w:rsidRPr="001B7F77">
        <w:rPr>
          <w:i/>
          <w:iCs/>
          <w:u w:val="single"/>
        </w:rPr>
        <w:t>New York City Electrical Code</w:t>
      </w:r>
      <w:r w:rsidRPr="001B7F77">
        <w:rPr>
          <w:u w:val="single"/>
        </w:rPr>
        <w:t>.</w:t>
      </w:r>
    </w:p>
    <w:p w14:paraId="59E39714" w14:textId="77777777" w:rsidR="001B7F77" w:rsidRPr="001B7F77" w:rsidRDefault="001B7F77" w:rsidP="001B7F77">
      <w:pPr>
        <w:widowControl w:val="0"/>
        <w:suppressAutoHyphens/>
        <w:spacing w:before="120"/>
      </w:pPr>
      <w:r w:rsidRPr="001B7F77">
        <w:rPr>
          <w:b/>
          <w:u w:val="single"/>
        </w:rPr>
        <w:t>808.5 Smoke and carbon monoxide alarms in dwelling or sleeping units.</w:t>
      </w:r>
      <w:r w:rsidRPr="001B7F77">
        <w:rPr>
          <w:u w:val="single"/>
        </w:rPr>
        <w:t xml:space="preserve"> Installation of smoke and carbon monoxide alarms in dwelling and sleeping units pursuant to Section 804.4.3.1 of this code shall comply with the applicable provisions of NFPA 72 as modified by Appendix Q of the </w:t>
      </w:r>
      <w:r w:rsidRPr="001B7F77">
        <w:rPr>
          <w:i/>
          <w:iCs/>
          <w:u w:val="single"/>
        </w:rPr>
        <w:t>New York City Building Code</w:t>
      </w:r>
      <w:r w:rsidRPr="001B7F77">
        <w:rPr>
          <w:u w:val="single"/>
        </w:rPr>
        <w:t xml:space="preserve"> and </w:t>
      </w:r>
      <w:r w:rsidRPr="001B7F77">
        <w:rPr>
          <w:i/>
          <w:iCs/>
          <w:u w:val="single"/>
        </w:rPr>
        <w:t>New York City Electrical Code</w:t>
      </w:r>
      <w:r w:rsidRPr="001B7F77">
        <w:rPr>
          <w:u w:val="single"/>
        </w:rPr>
        <w:t>.</w:t>
      </w:r>
      <w:r w:rsidRPr="001B7F77">
        <w:t xml:space="preserve"> </w:t>
      </w:r>
    </w:p>
    <w:p w14:paraId="0B27C544" w14:textId="77777777" w:rsidR="001B7F77" w:rsidRPr="001B7F77" w:rsidRDefault="001B7F77" w:rsidP="001B7F77">
      <w:pPr>
        <w:widowControl w:val="0"/>
        <w:suppressAutoHyphens/>
        <w:spacing w:before="120"/>
        <w:jc w:val="center"/>
        <w:outlineLvl w:val="0"/>
        <w:rPr>
          <w:rFonts w:eastAsia="Times"/>
          <w:b/>
          <w:u w:val="single"/>
        </w:rPr>
      </w:pPr>
    </w:p>
    <w:p w14:paraId="0FC783DE" w14:textId="77777777" w:rsidR="001B7F77" w:rsidRPr="001B7F77" w:rsidRDefault="001B7F77" w:rsidP="001B7F77">
      <w:pPr>
        <w:widowControl w:val="0"/>
        <w:suppressAutoHyphens/>
        <w:spacing w:before="120"/>
        <w:jc w:val="center"/>
        <w:outlineLvl w:val="0"/>
        <w:rPr>
          <w:rFonts w:eastAsia="Times"/>
          <w:b/>
          <w:u w:val="single"/>
        </w:rPr>
      </w:pPr>
      <w:r w:rsidRPr="001B7F77">
        <w:rPr>
          <w:rFonts w:eastAsia="Times"/>
          <w:b/>
          <w:u w:val="single"/>
        </w:rPr>
        <w:t>SECTION EBC 809</w:t>
      </w:r>
      <w:r w:rsidRPr="001B7F77">
        <w:rPr>
          <w:rFonts w:eastAsia="Times"/>
          <w:b/>
          <w:u w:val="single"/>
        </w:rPr>
        <w:br/>
        <w:t>MECHANICAL</w:t>
      </w:r>
    </w:p>
    <w:p w14:paraId="741A9E08" w14:textId="77777777" w:rsidR="001B7F77" w:rsidRPr="001B7F77" w:rsidRDefault="001B7F77" w:rsidP="001B7F77">
      <w:pPr>
        <w:widowControl w:val="0"/>
        <w:suppressAutoHyphens/>
        <w:spacing w:before="120"/>
        <w:rPr>
          <w:color w:val="000000"/>
          <w:u w:val="single"/>
        </w:rPr>
      </w:pPr>
      <w:bookmarkStart w:id="180" w:name="_Hlk83988134"/>
      <w:r w:rsidRPr="001B7F77">
        <w:rPr>
          <w:b/>
          <w:color w:val="000000"/>
          <w:u w:val="single"/>
        </w:rPr>
        <w:t>809.1</w:t>
      </w:r>
      <w:r w:rsidRPr="001B7F77">
        <w:rPr>
          <w:color w:val="000000"/>
          <w:u w:val="single"/>
        </w:rPr>
        <w:t xml:space="preserve"> </w:t>
      </w:r>
      <w:r w:rsidRPr="001B7F77">
        <w:rPr>
          <w:b/>
          <w:color w:val="000000"/>
          <w:u w:val="single"/>
        </w:rPr>
        <w:t>General</w:t>
      </w:r>
      <w:r w:rsidRPr="001B7F77">
        <w:rPr>
          <w:color w:val="000000"/>
          <w:u w:val="single"/>
        </w:rPr>
        <w:t>. Mechanical elements and systems within the work area undergoing alteration Level 1 or within rooms or spaces where work on a stand-alone system as described in section 601.2.3.3 occurs shall comply with this section and Section 309.</w:t>
      </w:r>
      <w:bookmarkEnd w:id="180"/>
    </w:p>
    <w:p w14:paraId="3C2D9690" w14:textId="77777777" w:rsidR="001B7F77" w:rsidRPr="001B7F77" w:rsidRDefault="001B7F77" w:rsidP="001B7F77">
      <w:pPr>
        <w:widowControl w:val="0"/>
        <w:suppressAutoHyphens/>
        <w:spacing w:before="120"/>
        <w:ind w:left="360"/>
        <w:rPr>
          <w:color w:val="000000"/>
          <w:u w:val="single"/>
        </w:rPr>
      </w:pPr>
      <w:r w:rsidRPr="001B7F77">
        <w:rPr>
          <w:b/>
          <w:color w:val="000000"/>
          <w:u w:val="single"/>
        </w:rPr>
        <w:t>809.1.1 Compliance of an entire mechanical system as new construction</w:t>
      </w:r>
      <w:r w:rsidRPr="001B7F77">
        <w:rPr>
          <w:color w:val="000000"/>
          <w:u w:val="single"/>
        </w:rPr>
        <w:t xml:space="preserve">. An entire mechanical system shall be required to comply with the </w:t>
      </w:r>
      <w:r w:rsidRPr="001B7F77">
        <w:rPr>
          <w:i/>
          <w:iCs/>
          <w:color w:val="000000"/>
          <w:u w:val="single"/>
        </w:rPr>
        <w:t>New York City Mechanical Code</w:t>
      </w:r>
      <w:r w:rsidRPr="001B7F77">
        <w:rPr>
          <w:color w:val="000000"/>
          <w:u w:val="single"/>
        </w:rPr>
        <w:t xml:space="preserve"> for new construction when either:</w:t>
      </w:r>
    </w:p>
    <w:p w14:paraId="3BF5DD51" w14:textId="77777777" w:rsidR="001B7F77" w:rsidRPr="001B7F77" w:rsidRDefault="001B7F77" w:rsidP="001B7F77">
      <w:pPr>
        <w:widowControl w:val="0"/>
        <w:suppressAutoHyphens/>
        <w:spacing w:before="120"/>
        <w:ind w:left="1080" w:hanging="360"/>
        <w:rPr>
          <w:color w:val="000000"/>
          <w:u w:val="single"/>
        </w:rPr>
      </w:pPr>
      <w:r w:rsidRPr="001B7F77">
        <w:rPr>
          <w:color w:val="000000"/>
          <w:u w:val="single"/>
        </w:rPr>
        <w:t>1.</w:t>
      </w:r>
      <w:r w:rsidRPr="001B7F77">
        <w:rPr>
          <w:color w:val="000000"/>
          <w:u w:val="single"/>
        </w:rPr>
        <w:tab/>
        <w:t>The work area exceeds 50 percent of the area served by that system; or</w:t>
      </w:r>
    </w:p>
    <w:p w14:paraId="62383F72" w14:textId="77777777" w:rsidR="001B7F77" w:rsidRPr="001B7F77" w:rsidRDefault="001B7F77" w:rsidP="001B7F77">
      <w:pPr>
        <w:widowControl w:val="0"/>
        <w:suppressAutoHyphens/>
        <w:spacing w:before="120"/>
        <w:ind w:left="1080" w:hanging="360"/>
        <w:rPr>
          <w:color w:val="000000"/>
          <w:u w:val="single"/>
        </w:rPr>
      </w:pPr>
      <w:r w:rsidRPr="001B7F77">
        <w:rPr>
          <w:color w:val="000000"/>
          <w:u w:val="single"/>
        </w:rPr>
        <w:t>2.</w:t>
      </w:r>
      <w:r w:rsidRPr="001B7F77">
        <w:rPr>
          <w:color w:val="000000"/>
          <w:u w:val="single"/>
        </w:rPr>
        <w:tab/>
        <w:t>50 percent of the capacity of terminal distribution elements connected to that system is altered or replaced.</w:t>
      </w:r>
    </w:p>
    <w:p w14:paraId="22E6DC25" w14:textId="77777777" w:rsidR="001B7F77" w:rsidRPr="001B7F77" w:rsidRDefault="001B7F77" w:rsidP="001B7F77">
      <w:pPr>
        <w:widowControl w:val="0"/>
        <w:suppressAutoHyphens/>
        <w:spacing w:before="120"/>
        <w:ind w:left="720"/>
        <w:rPr>
          <w:rFonts w:eastAsia="Calibri"/>
          <w:color w:val="000000"/>
          <w:u w:val="single"/>
        </w:rPr>
      </w:pPr>
      <w:r w:rsidRPr="001B7F77">
        <w:rPr>
          <w:b/>
          <w:color w:val="000000"/>
          <w:u w:val="single"/>
        </w:rPr>
        <w:t xml:space="preserve">Exception: </w:t>
      </w:r>
      <w:r w:rsidRPr="001B7F77">
        <w:rPr>
          <w:rFonts w:eastAsia="Calibri"/>
          <w:color w:val="000000"/>
          <w:u w:val="single"/>
        </w:rPr>
        <w:t>Mechanical system components that serve only an occupied space under separate tenancy that is entirely outside the work area.</w:t>
      </w:r>
    </w:p>
    <w:p w14:paraId="0D984838" w14:textId="77777777" w:rsidR="001B7F77" w:rsidRPr="001B7F77" w:rsidRDefault="001B7F77" w:rsidP="001B7F77">
      <w:pPr>
        <w:widowControl w:val="0"/>
        <w:suppressAutoHyphens/>
        <w:spacing w:before="120"/>
        <w:rPr>
          <w:color w:val="000000"/>
        </w:rPr>
      </w:pPr>
      <w:bookmarkStart w:id="181" w:name="_Hlk68186367"/>
      <w:r w:rsidRPr="001B7F77">
        <w:rPr>
          <w:b/>
          <w:bCs/>
          <w:u w:val="single"/>
        </w:rPr>
        <w:t>809.2</w:t>
      </w:r>
      <w:r w:rsidRPr="001B7F77">
        <w:rPr>
          <w:u w:val="single"/>
        </w:rPr>
        <w:t xml:space="preserve"> </w:t>
      </w:r>
      <w:r w:rsidRPr="001B7F77">
        <w:rPr>
          <w:b/>
          <w:bCs/>
          <w:u w:val="single"/>
        </w:rPr>
        <w:t xml:space="preserve">Applicability of </w:t>
      </w:r>
      <w:r w:rsidRPr="001B7F77">
        <w:rPr>
          <w:b/>
          <w:bCs/>
          <w:i/>
          <w:iCs/>
          <w:u w:val="single"/>
        </w:rPr>
        <w:t>New York City Mechanical Code</w:t>
      </w:r>
      <w:r w:rsidRPr="001B7F77">
        <w:rPr>
          <w:u w:val="single"/>
        </w:rPr>
        <w:t xml:space="preserve">. Alteration of mechanical systems including new components, equipment and appliances shall comply with the </w:t>
      </w:r>
      <w:r w:rsidRPr="001B7F77">
        <w:rPr>
          <w:i/>
          <w:iCs/>
          <w:u w:val="single"/>
        </w:rPr>
        <w:t>New York City Mechanical Code</w:t>
      </w:r>
      <w:r w:rsidRPr="001B7F77">
        <w:rPr>
          <w:u w:val="single"/>
        </w:rPr>
        <w:t xml:space="preserve"> and Sections 309 and 809.2.1 through 809.15 of this code.</w:t>
      </w:r>
    </w:p>
    <w:p w14:paraId="2617387A" w14:textId="77777777" w:rsidR="001B7F77" w:rsidRPr="001B7F77" w:rsidRDefault="001B7F77" w:rsidP="001B7F77">
      <w:pPr>
        <w:widowControl w:val="0"/>
        <w:suppressAutoHyphens/>
        <w:spacing w:before="120"/>
        <w:ind w:left="360"/>
      </w:pPr>
      <w:r w:rsidRPr="001B7F77">
        <w:rPr>
          <w:b/>
          <w:u w:val="single"/>
        </w:rPr>
        <w:t>809.2.1 Work on mechanical systems not addressed in Chapter 1</w:t>
      </w:r>
      <w:r w:rsidRPr="001B7F77">
        <w:rPr>
          <w:u w:val="single"/>
        </w:rPr>
        <w:t xml:space="preserve">. Work on mechanical systems and elements not addressed in Chapter 1 of this code shall be governed by Chapter 1 of the </w:t>
      </w:r>
      <w:r w:rsidRPr="001B7F77">
        <w:rPr>
          <w:i/>
          <w:iCs/>
          <w:color w:val="000000"/>
          <w:u w:val="single"/>
        </w:rPr>
        <w:t>New York City Mechanical Code</w:t>
      </w:r>
      <w:r w:rsidRPr="001B7F77">
        <w:rPr>
          <w:u w:val="single"/>
        </w:rPr>
        <w:t>.</w:t>
      </w:r>
      <w:r w:rsidRPr="001B7F77">
        <w:t xml:space="preserve"> </w:t>
      </w:r>
    </w:p>
    <w:p w14:paraId="63DE79A2" w14:textId="77777777" w:rsidR="001B7F77" w:rsidRPr="001B7F77" w:rsidRDefault="001B7F77" w:rsidP="001B7F77">
      <w:pPr>
        <w:widowControl w:val="0"/>
        <w:suppressAutoHyphens/>
        <w:spacing w:before="120"/>
        <w:ind w:left="360"/>
        <w:rPr>
          <w:u w:val="single"/>
        </w:rPr>
      </w:pPr>
      <w:r w:rsidRPr="001B7F77">
        <w:rPr>
          <w:b/>
          <w:bCs/>
          <w:u w:val="single"/>
        </w:rPr>
        <w:t xml:space="preserve">809.2.2 Work on mechanical systems not addressed in Chapter 3. </w:t>
      </w:r>
      <w:r w:rsidRPr="001B7F77">
        <w:rPr>
          <w:u w:val="single"/>
        </w:rPr>
        <w:t xml:space="preserve">Work on mechanical systems and elements not addressed in Chapter 3 of this code shall be governed </w:t>
      </w:r>
      <w:bookmarkStart w:id="182" w:name="_Hlk83827778"/>
      <w:r w:rsidRPr="001B7F77">
        <w:rPr>
          <w:u w:val="single"/>
        </w:rPr>
        <w:t>by</w:t>
      </w:r>
      <w:r w:rsidRPr="001B7F77">
        <w:rPr>
          <w:b/>
          <w:bCs/>
          <w:u w:val="single"/>
        </w:rPr>
        <w:t xml:space="preserve"> </w:t>
      </w:r>
      <w:bookmarkEnd w:id="182"/>
      <w:r w:rsidRPr="001B7F77">
        <w:rPr>
          <w:u w:val="single"/>
        </w:rPr>
        <w:t xml:space="preserve">Chapter 3 of the </w:t>
      </w:r>
      <w:r w:rsidRPr="001B7F77">
        <w:rPr>
          <w:i/>
          <w:iCs/>
          <w:u w:val="single"/>
        </w:rPr>
        <w:t>New York City Mechanical Code</w:t>
      </w:r>
      <w:r w:rsidRPr="001B7F77">
        <w:rPr>
          <w:u w:val="single"/>
        </w:rPr>
        <w:t>.</w:t>
      </w:r>
    </w:p>
    <w:p w14:paraId="68ED2978" w14:textId="77777777" w:rsidR="001B7F77" w:rsidRPr="001B7F77" w:rsidRDefault="001B7F77" w:rsidP="001B7F77">
      <w:pPr>
        <w:widowControl w:val="0"/>
        <w:suppressAutoHyphens/>
        <w:spacing w:before="120"/>
        <w:ind w:left="720"/>
        <w:rPr>
          <w:u w:val="single"/>
        </w:rPr>
      </w:pPr>
      <w:r w:rsidRPr="001B7F77">
        <w:rPr>
          <w:b/>
          <w:u w:val="single"/>
        </w:rPr>
        <w:t>Exceptions</w:t>
      </w:r>
      <w:r w:rsidRPr="001B7F77">
        <w:rPr>
          <w:u w:val="single"/>
        </w:rPr>
        <w:t>: The following shall apply to any work on mechanical systems and elements:</w:t>
      </w:r>
    </w:p>
    <w:p w14:paraId="6D5CD6D4" w14:textId="77777777" w:rsidR="001B7F77" w:rsidRPr="001B7F77" w:rsidRDefault="001B7F77" w:rsidP="001B7F77">
      <w:pPr>
        <w:widowControl w:val="0"/>
        <w:suppressAutoHyphens/>
        <w:spacing w:before="120"/>
        <w:ind w:left="1440" w:hanging="360"/>
        <w:rPr>
          <w:u w:val="single"/>
        </w:rPr>
      </w:pPr>
      <w:r w:rsidRPr="001B7F77">
        <w:rPr>
          <w:u w:val="single"/>
        </w:rPr>
        <w:t>1.</w:t>
      </w:r>
      <w:r w:rsidRPr="001B7F77">
        <w:rPr>
          <w:u w:val="single"/>
        </w:rPr>
        <w:tab/>
        <w:t>Equipment, appliances and supports that are exposed to wind shall be designed to resist wind pressure determined in accordance with Section 307.2.</w:t>
      </w:r>
    </w:p>
    <w:p w14:paraId="1DAA74FC" w14:textId="77777777" w:rsidR="001B7F77" w:rsidRPr="001B7F77" w:rsidRDefault="001B7F77" w:rsidP="001B7F77">
      <w:pPr>
        <w:widowControl w:val="0"/>
        <w:suppressAutoHyphens/>
        <w:spacing w:before="120"/>
        <w:ind w:left="1440" w:hanging="360"/>
        <w:rPr>
          <w:color w:val="000000"/>
          <w:u w:val="single"/>
        </w:rPr>
      </w:pPr>
      <w:r w:rsidRPr="001B7F77">
        <w:rPr>
          <w:color w:val="000000"/>
          <w:u w:val="single"/>
        </w:rPr>
        <w:t>2.</w:t>
      </w:r>
      <w:r w:rsidRPr="001B7F77">
        <w:rPr>
          <w:color w:val="000000"/>
          <w:u w:val="single"/>
        </w:rPr>
        <w:tab/>
        <w:t>The determination as to whether seismic supports apply to an alteration shall be made in accordance with Section 307.2.</w:t>
      </w:r>
    </w:p>
    <w:p w14:paraId="2F56A5AA" w14:textId="77777777" w:rsidR="001B7F77" w:rsidRPr="001B7F77" w:rsidRDefault="001B7F77" w:rsidP="001B7F77">
      <w:pPr>
        <w:widowControl w:val="0"/>
        <w:suppressAutoHyphens/>
        <w:spacing w:before="120"/>
        <w:ind w:left="1440" w:hanging="360"/>
        <w:rPr>
          <w:color w:val="000000"/>
          <w:u w:val="single"/>
        </w:rPr>
      </w:pPr>
      <w:r w:rsidRPr="001B7F77">
        <w:rPr>
          <w:u w:val="single"/>
        </w:rPr>
        <w:t>3.</w:t>
      </w:r>
      <w:r w:rsidRPr="001B7F77">
        <w:rPr>
          <w:u w:val="single"/>
        </w:rPr>
        <w:tab/>
        <w:t>The guard provisions and access to roofs and elevated equipment shall comply with Section 309.2.2.</w:t>
      </w:r>
    </w:p>
    <w:bookmarkEnd w:id="181"/>
    <w:p w14:paraId="2A1E347D" w14:textId="77777777" w:rsidR="001B7F77" w:rsidRPr="001B7F77" w:rsidRDefault="001B7F77" w:rsidP="001B7F77">
      <w:pPr>
        <w:widowControl w:val="0"/>
        <w:suppressAutoHyphens/>
        <w:spacing w:before="120"/>
        <w:rPr>
          <w:u w:val="single"/>
        </w:rPr>
      </w:pPr>
      <w:r w:rsidRPr="001B7F77">
        <w:rPr>
          <w:b/>
          <w:bCs/>
          <w:u w:val="single"/>
        </w:rPr>
        <w:t>809.3 Ventilation</w:t>
      </w:r>
      <w:r w:rsidRPr="001B7F77">
        <w:rPr>
          <w:u w:val="single"/>
        </w:rPr>
        <w:t xml:space="preserve">. Ventilation shall comply with Chapter 4 of the </w:t>
      </w:r>
      <w:r w:rsidRPr="001B7F77">
        <w:rPr>
          <w:i/>
          <w:iCs/>
          <w:u w:val="single"/>
        </w:rPr>
        <w:t>New York City Mechanical Code</w:t>
      </w:r>
      <w:r w:rsidRPr="001B7F77">
        <w:rPr>
          <w:u w:val="single"/>
        </w:rPr>
        <w:t>.</w:t>
      </w:r>
    </w:p>
    <w:p w14:paraId="63D06F0F" w14:textId="77777777" w:rsidR="001B7F77" w:rsidRPr="001B7F77" w:rsidRDefault="001B7F77" w:rsidP="001B7F77">
      <w:pPr>
        <w:widowControl w:val="0"/>
        <w:suppressAutoHyphens/>
        <w:spacing w:before="120"/>
        <w:ind w:left="360"/>
        <w:rPr>
          <w:color w:val="000000"/>
          <w:u w:val="single"/>
        </w:rPr>
      </w:pPr>
      <w:r w:rsidRPr="001B7F77">
        <w:rPr>
          <w:b/>
          <w:u w:val="single"/>
        </w:rPr>
        <w:t>Exception</w:t>
      </w:r>
      <w:r w:rsidRPr="001B7F77">
        <w:rPr>
          <w:u w:val="single"/>
        </w:rPr>
        <w:t>:</w:t>
      </w:r>
      <w:r w:rsidRPr="001B7F77">
        <w:rPr>
          <w:color w:val="000000"/>
          <w:u w:val="single"/>
        </w:rPr>
        <w:t xml:space="preserve"> Connection to existing outdoor air intake openings that are to remain unmodified in size and that are not considered in compliance with Section 401.4 of the</w:t>
      </w:r>
      <w:r w:rsidRPr="001B7F77">
        <w:rPr>
          <w:u w:val="single"/>
        </w:rPr>
        <w:t xml:space="preserve"> </w:t>
      </w:r>
      <w:r w:rsidRPr="001B7F77">
        <w:rPr>
          <w:i/>
          <w:iCs/>
          <w:u w:val="single"/>
        </w:rPr>
        <w:t>New York City Mechanical Code</w:t>
      </w:r>
      <w:r w:rsidRPr="001B7F77">
        <w:rPr>
          <w:u w:val="single"/>
        </w:rPr>
        <w:t xml:space="preserve"> shall</w:t>
      </w:r>
      <w:r w:rsidRPr="001B7F77">
        <w:rPr>
          <w:color w:val="000000"/>
          <w:u w:val="single"/>
        </w:rPr>
        <w:t xml:space="preserve"> be permitted to remain provided that they continue to function as required for the existing approved use and comply with the separation requirements between intake and exhaust openings.</w:t>
      </w:r>
    </w:p>
    <w:p w14:paraId="4E416F82" w14:textId="77777777" w:rsidR="001B7F77" w:rsidRPr="001B7F77" w:rsidRDefault="001B7F77" w:rsidP="001B7F77">
      <w:pPr>
        <w:widowControl w:val="0"/>
        <w:suppressAutoHyphens/>
        <w:spacing w:before="120"/>
        <w:rPr>
          <w:u w:val="single"/>
        </w:rPr>
      </w:pPr>
      <w:r w:rsidRPr="001B7F77">
        <w:rPr>
          <w:b/>
          <w:bCs/>
          <w:u w:val="single"/>
        </w:rPr>
        <w:t>809.4 Exhaust systems</w:t>
      </w:r>
      <w:r w:rsidRPr="001B7F77">
        <w:rPr>
          <w:u w:val="single"/>
        </w:rPr>
        <w:t xml:space="preserve">. Exhaust systems shall comply with Chapter 5 of the </w:t>
      </w:r>
      <w:r w:rsidRPr="001B7F77">
        <w:rPr>
          <w:i/>
          <w:iCs/>
          <w:u w:val="single"/>
        </w:rPr>
        <w:t>New York City Mechanical Code</w:t>
      </w:r>
      <w:r w:rsidRPr="001B7F77">
        <w:rPr>
          <w:u w:val="single"/>
        </w:rPr>
        <w:t xml:space="preserve"> and this section.</w:t>
      </w:r>
    </w:p>
    <w:p w14:paraId="3F5FBEFE" w14:textId="77777777" w:rsidR="001B7F77" w:rsidRPr="001B7F77" w:rsidRDefault="001B7F77" w:rsidP="001B7F77">
      <w:pPr>
        <w:widowControl w:val="0"/>
        <w:suppressAutoHyphens/>
        <w:spacing w:before="120"/>
        <w:ind w:left="360"/>
        <w:rPr>
          <w:u w:val="single"/>
        </w:rPr>
      </w:pPr>
      <w:r w:rsidRPr="001B7F77">
        <w:rPr>
          <w:b/>
          <w:u w:val="single"/>
        </w:rPr>
        <w:t>Exceptions</w:t>
      </w:r>
      <w:r w:rsidRPr="001B7F77">
        <w:rPr>
          <w:u w:val="single"/>
        </w:rPr>
        <w:t>:</w:t>
      </w:r>
    </w:p>
    <w:p w14:paraId="572EFE46" w14:textId="77777777" w:rsidR="001B7F77" w:rsidRPr="001B7F77" w:rsidRDefault="001B7F77" w:rsidP="001B7F77">
      <w:pPr>
        <w:widowControl w:val="0"/>
        <w:suppressAutoHyphens/>
        <w:spacing w:before="120"/>
        <w:ind w:left="1080" w:hanging="360"/>
        <w:rPr>
          <w:u w:val="single"/>
        </w:rPr>
      </w:pPr>
      <w:r w:rsidRPr="001B7F77">
        <w:rPr>
          <w:u w:val="single"/>
        </w:rPr>
        <w:t>1.</w:t>
      </w:r>
      <w:r w:rsidRPr="001B7F77">
        <w:rPr>
          <w:u w:val="single"/>
        </w:rPr>
        <w:tab/>
        <w:t xml:space="preserve">Connection to existing exhaust openings that are to remain unmodified in size and that are not considered in compliance with Section 501.3 of the </w:t>
      </w:r>
      <w:r w:rsidRPr="001B7F77">
        <w:rPr>
          <w:i/>
          <w:iCs/>
          <w:u w:val="single"/>
        </w:rPr>
        <w:t>New York City Mechanical Code</w:t>
      </w:r>
      <w:r w:rsidRPr="001B7F77">
        <w:rPr>
          <w:u w:val="single"/>
        </w:rPr>
        <w:t xml:space="preserve"> shall be permitted to remain provided that they continue to function as required for the existing approved use.</w:t>
      </w:r>
      <w:r w:rsidRPr="001B7F77">
        <w:rPr>
          <w:color w:val="000000"/>
          <w:u w:val="single"/>
        </w:rPr>
        <w:t xml:space="preserve"> Such openings shall comply with the separation requirements between intake and exhaust openings.</w:t>
      </w:r>
    </w:p>
    <w:p w14:paraId="40DDA1C4" w14:textId="77777777" w:rsidR="001B7F77" w:rsidRPr="001B7F77" w:rsidRDefault="001B7F77" w:rsidP="001B7F77">
      <w:pPr>
        <w:widowControl w:val="0"/>
        <w:suppressAutoHyphens/>
        <w:spacing w:before="120"/>
        <w:ind w:left="1080" w:hanging="360"/>
        <w:rPr>
          <w:u w:val="single"/>
        </w:rPr>
      </w:pPr>
      <w:r w:rsidRPr="001B7F77">
        <w:rPr>
          <w:u w:val="single"/>
        </w:rPr>
        <w:t>2.</w:t>
      </w:r>
      <w:r w:rsidRPr="001B7F77">
        <w:rPr>
          <w:u w:val="single"/>
        </w:rPr>
        <w:tab/>
        <w:t>Replacement of existing fans of the same capacity and motor horsepower.</w:t>
      </w:r>
    </w:p>
    <w:p w14:paraId="1193A9FB" w14:textId="77777777" w:rsidR="001B7F77" w:rsidRPr="001B7F77" w:rsidRDefault="001B7F77" w:rsidP="001B7F77">
      <w:pPr>
        <w:widowControl w:val="0"/>
        <w:suppressAutoHyphens/>
        <w:spacing w:before="120"/>
        <w:ind w:left="1080" w:hanging="360"/>
        <w:rPr>
          <w:u w:val="single"/>
        </w:rPr>
      </w:pPr>
      <w:r w:rsidRPr="001B7F77">
        <w:rPr>
          <w:u w:val="single"/>
        </w:rPr>
        <w:t>3.</w:t>
      </w:r>
      <w:r w:rsidRPr="001B7F77">
        <w:rPr>
          <w:u w:val="single"/>
        </w:rPr>
        <w:tab/>
        <w:t>In kind replacement of fans or manual controls as part of an existing manual post fire smoke exhaust system in prior code buildings.</w:t>
      </w:r>
    </w:p>
    <w:p w14:paraId="68ECCA7D" w14:textId="77777777" w:rsidR="001B7F77" w:rsidRPr="001B7F77" w:rsidRDefault="001B7F77" w:rsidP="001B7F77">
      <w:pPr>
        <w:widowControl w:val="0"/>
        <w:suppressAutoHyphens/>
        <w:spacing w:before="120"/>
        <w:ind w:left="1080" w:hanging="360"/>
        <w:rPr>
          <w:u w:val="single"/>
        </w:rPr>
      </w:pPr>
      <w:r w:rsidRPr="001B7F77">
        <w:rPr>
          <w:u w:val="single"/>
        </w:rPr>
        <w:t>4.</w:t>
      </w:r>
      <w:r w:rsidRPr="001B7F77">
        <w:rPr>
          <w:u w:val="single"/>
        </w:rPr>
        <w:tab/>
        <w:t>Modification of toilet exhaust branch ductwork and risers where the fan systems serving this duct distribution remain as existing.</w:t>
      </w:r>
    </w:p>
    <w:p w14:paraId="5F21021D" w14:textId="77777777" w:rsidR="001B7F77" w:rsidRPr="001B7F77" w:rsidRDefault="001B7F77" w:rsidP="001B7F77">
      <w:pPr>
        <w:widowControl w:val="0"/>
        <w:suppressAutoHyphens/>
        <w:spacing w:before="120"/>
        <w:ind w:left="1080" w:hanging="360"/>
        <w:rPr>
          <w:u w:val="single"/>
        </w:rPr>
      </w:pPr>
      <w:r w:rsidRPr="001B7F77">
        <w:rPr>
          <w:u w:val="single"/>
        </w:rPr>
        <w:t>5.</w:t>
      </w:r>
      <w:r w:rsidRPr="001B7F77">
        <w:rPr>
          <w:u w:val="single"/>
        </w:rPr>
        <w:tab/>
        <w:t xml:space="preserve">Connection to existing commercial kitchen exhaust ductwork that is to be reused provided that the duct system has been in continuous service and not dormant or abandoned for more than one year. The existing ductwork system shall be tested in accordance with Section 506.3.2.5 of the </w:t>
      </w:r>
      <w:r w:rsidRPr="001B7F77">
        <w:rPr>
          <w:i/>
          <w:iCs/>
          <w:u w:val="single"/>
        </w:rPr>
        <w:t>New York City Mechanical Code</w:t>
      </w:r>
      <w:r w:rsidRPr="001B7F77">
        <w:rPr>
          <w:u w:val="single"/>
        </w:rPr>
        <w:t>.</w:t>
      </w:r>
    </w:p>
    <w:p w14:paraId="105AF12C" w14:textId="77777777" w:rsidR="001B7F77" w:rsidRPr="001B7F77" w:rsidRDefault="001B7F77" w:rsidP="001B7F77">
      <w:pPr>
        <w:widowControl w:val="0"/>
        <w:suppressAutoHyphens/>
        <w:spacing w:before="120"/>
        <w:rPr>
          <w:u w:val="single"/>
        </w:rPr>
      </w:pPr>
      <w:r w:rsidRPr="001B7F77">
        <w:rPr>
          <w:b/>
          <w:bCs/>
          <w:u w:val="single"/>
        </w:rPr>
        <w:t>809.5 Duct systems</w:t>
      </w:r>
      <w:r w:rsidRPr="001B7F77">
        <w:rPr>
          <w:u w:val="single"/>
        </w:rPr>
        <w:t xml:space="preserve">. Duct systems shall comply with Chapter 6 of the </w:t>
      </w:r>
      <w:r w:rsidRPr="001B7F77">
        <w:rPr>
          <w:i/>
          <w:iCs/>
          <w:u w:val="single"/>
        </w:rPr>
        <w:t>New York City Mechanical Code</w:t>
      </w:r>
      <w:r w:rsidRPr="001B7F77">
        <w:rPr>
          <w:u w:val="single"/>
        </w:rPr>
        <w:t xml:space="preserve"> and this section.</w:t>
      </w:r>
    </w:p>
    <w:p w14:paraId="0BE2E846" w14:textId="77777777" w:rsidR="001B7F77" w:rsidRPr="001B7F77" w:rsidRDefault="001B7F77" w:rsidP="001B7F77">
      <w:pPr>
        <w:widowControl w:val="0"/>
        <w:suppressAutoHyphens/>
        <w:spacing w:before="120"/>
        <w:ind w:left="360"/>
        <w:rPr>
          <w:u w:val="single"/>
        </w:rPr>
      </w:pPr>
      <w:r w:rsidRPr="001B7F77">
        <w:rPr>
          <w:b/>
          <w:u w:val="single"/>
        </w:rPr>
        <w:t>Exception</w:t>
      </w:r>
      <w:r w:rsidRPr="001B7F77">
        <w:rPr>
          <w:u w:val="single"/>
        </w:rPr>
        <w:t>: Replacement of existing fans of the same capacity and motor horsepower.</w:t>
      </w:r>
    </w:p>
    <w:p w14:paraId="1AF57D41" w14:textId="77777777" w:rsidR="001B7F77" w:rsidRPr="001B7F77" w:rsidRDefault="001B7F77" w:rsidP="001B7F77">
      <w:pPr>
        <w:widowControl w:val="0"/>
        <w:suppressAutoHyphens/>
        <w:spacing w:before="120"/>
        <w:ind w:left="360"/>
      </w:pPr>
      <w:bookmarkStart w:id="183" w:name="_Hlk123115360"/>
      <w:r w:rsidRPr="001B7F77">
        <w:rPr>
          <w:b/>
          <w:bCs/>
          <w:u w:val="single"/>
        </w:rPr>
        <w:t xml:space="preserve">809.5.1 Ducts and air transfer openings. </w:t>
      </w:r>
      <w:r w:rsidRPr="001B7F77">
        <w:rPr>
          <w:u w:val="single"/>
        </w:rPr>
        <w:t xml:space="preserve">All new and existing duct penetrations and air transfer openings within the work area shall comply with Chapter 6 of the </w:t>
      </w:r>
      <w:r w:rsidRPr="001B7F77">
        <w:rPr>
          <w:i/>
          <w:iCs/>
          <w:u w:val="single"/>
        </w:rPr>
        <w:t>New York City Mechanical Code</w:t>
      </w:r>
      <w:r w:rsidRPr="001B7F77">
        <w:rPr>
          <w:u w:val="single"/>
        </w:rPr>
        <w:t xml:space="preserve">. The work area boundary shall not be altered so as to exclude these penetrations and openings. All new and existing duct penetrations and air transfer openings that are part of the same duct or fan system and within the same room or space as a duct system altered as part of work on a stand-alone system shall comply with Chapter 6 of the </w:t>
      </w:r>
      <w:r w:rsidRPr="001B7F77">
        <w:rPr>
          <w:i/>
          <w:iCs/>
          <w:u w:val="single"/>
        </w:rPr>
        <w:t>New York City Mechanical Code</w:t>
      </w:r>
      <w:r w:rsidRPr="001B7F77">
        <w:rPr>
          <w:u w:val="single"/>
        </w:rPr>
        <w:t>.</w:t>
      </w:r>
    </w:p>
    <w:p w14:paraId="56D2E673" w14:textId="77777777" w:rsidR="001B7F77" w:rsidRPr="001B7F77" w:rsidRDefault="001B7F77" w:rsidP="001B7F77">
      <w:pPr>
        <w:widowControl w:val="0"/>
        <w:suppressAutoHyphens/>
        <w:spacing w:before="120"/>
        <w:ind w:left="720"/>
        <w:rPr>
          <w:u w:val="single"/>
        </w:rPr>
      </w:pPr>
      <w:bookmarkStart w:id="184" w:name="_Hlk127201859"/>
      <w:r w:rsidRPr="001B7F77">
        <w:rPr>
          <w:b/>
          <w:bCs/>
          <w:u w:val="single"/>
        </w:rPr>
        <w:t>809.5.1.1 Shaft and wall penetrations</w:t>
      </w:r>
      <w:bookmarkEnd w:id="184"/>
      <w:r w:rsidRPr="001B7F77">
        <w:rPr>
          <w:b/>
          <w:bCs/>
          <w:u w:val="single"/>
        </w:rPr>
        <w:t>.</w:t>
      </w:r>
      <w:r w:rsidRPr="001B7F77">
        <w:rPr>
          <w:u w:val="single"/>
        </w:rPr>
        <w:t xml:space="preserve"> Connections of new or altered ducts to a duct system which penetrates an existing shaft located on the same floor shall require such nearby shaft penetrations to comply with Chapter 6 of the </w:t>
      </w:r>
      <w:r w:rsidRPr="001B7F77">
        <w:rPr>
          <w:i/>
          <w:iCs/>
          <w:u w:val="single"/>
        </w:rPr>
        <w:t>New York City Mechanical Code</w:t>
      </w:r>
      <w:r w:rsidRPr="001B7F77">
        <w:rPr>
          <w:u w:val="single"/>
        </w:rPr>
        <w:t xml:space="preserve"> when any of the following occurs:</w:t>
      </w:r>
    </w:p>
    <w:p w14:paraId="73DFC0B0" w14:textId="77777777" w:rsidR="001B7F77" w:rsidRPr="001B7F77" w:rsidRDefault="001B7F77" w:rsidP="001B7F77">
      <w:pPr>
        <w:widowControl w:val="0"/>
        <w:suppressAutoHyphens/>
        <w:spacing w:before="120"/>
        <w:ind w:left="1440" w:hanging="360"/>
        <w:rPr>
          <w:u w:val="single"/>
        </w:rPr>
      </w:pPr>
      <w:r w:rsidRPr="001B7F77">
        <w:rPr>
          <w:u w:val="single"/>
        </w:rPr>
        <w:t>1.</w:t>
      </w:r>
      <w:r w:rsidRPr="001B7F77">
        <w:tab/>
      </w:r>
      <w:r w:rsidRPr="001B7F77">
        <w:rPr>
          <w:u w:val="single"/>
        </w:rPr>
        <w:t>The penetrations in shafts and walls are located within or enclosing the work area, within or enclosing a space adjacent to the work area, or within or enclosing the room or space in which work on a stand-alone system alters or adds ducts.</w:t>
      </w:r>
    </w:p>
    <w:p w14:paraId="69F003E4" w14:textId="77777777" w:rsidR="001B7F77" w:rsidRPr="001B7F77" w:rsidRDefault="001B7F77" w:rsidP="001B7F77">
      <w:pPr>
        <w:widowControl w:val="0"/>
        <w:suppressAutoHyphens/>
        <w:spacing w:before="120"/>
        <w:ind w:left="1440" w:hanging="360"/>
        <w:rPr>
          <w:u w:val="single"/>
        </w:rPr>
      </w:pPr>
      <w:r w:rsidRPr="001B7F77">
        <w:rPr>
          <w:u w:val="single"/>
        </w:rPr>
        <w:t>2.</w:t>
      </w:r>
      <w:r w:rsidRPr="001B7F77">
        <w:tab/>
      </w:r>
      <w:r w:rsidRPr="001B7F77">
        <w:rPr>
          <w:u w:val="single"/>
        </w:rPr>
        <w:t xml:space="preserve">The shaft and wall penetrations are located within 10 feet (3.05 m) of the work area where the intervening space is a common or public use area. Such distance shall be measured from the inside face of the wall or ceiling comprising the work area boundary. </w:t>
      </w:r>
    </w:p>
    <w:p w14:paraId="37D227A8" w14:textId="77777777" w:rsidR="001B7F77" w:rsidRPr="001B7F77" w:rsidRDefault="001B7F77" w:rsidP="001B7F77">
      <w:pPr>
        <w:widowControl w:val="0"/>
        <w:suppressAutoHyphens/>
        <w:spacing w:before="120"/>
        <w:ind w:left="1440" w:hanging="360"/>
        <w:rPr>
          <w:u w:val="single"/>
        </w:rPr>
      </w:pPr>
      <w:r w:rsidRPr="001B7F77">
        <w:rPr>
          <w:u w:val="single"/>
        </w:rPr>
        <w:t xml:space="preserve">3. </w:t>
      </w:r>
      <w:r w:rsidRPr="001B7F77">
        <w:tab/>
      </w:r>
      <w:r w:rsidRPr="001B7F77">
        <w:rPr>
          <w:u w:val="single"/>
        </w:rPr>
        <w:t>The shaft and wall penetrations are located within 10 feet (3.05 m) of the room or space in which work on a stand-alone system alters or adds ducts and where the intervening space is a common or public use area. Such distance shall be measured from the furthest edge of the system component being altered or installed.</w:t>
      </w:r>
    </w:p>
    <w:p w14:paraId="14482C1B" w14:textId="77777777" w:rsidR="001B7F77" w:rsidRPr="001B7F77" w:rsidRDefault="001B7F77" w:rsidP="001B7F77">
      <w:pPr>
        <w:widowControl w:val="0"/>
        <w:suppressAutoHyphens/>
        <w:spacing w:before="120"/>
        <w:ind w:left="1440" w:hanging="360"/>
        <w:rPr>
          <w:u w:val="single"/>
        </w:rPr>
      </w:pPr>
      <w:r w:rsidRPr="001B7F77">
        <w:rPr>
          <w:u w:val="single"/>
        </w:rPr>
        <w:t>4.</w:t>
      </w:r>
      <w:r w:rsidRPr="001B7F77">
        <w:tab/>
      </w:r>
      <w:r w:rsidRPr="001B7F77">
        <w:rPr>
          <w:u w:val="single"/>
        </w:rPr>
        <w:t xml:space="preserve">The shaft riser design airflow capacity delivered to the floor is increased by more than 10 percent. </w:t>
      </w:r>
    </w:p>
    <w:p w14:paraId="2FD0B3A5" w14:textId="77777777" w:rsidR="001B7F77" w:rsidRPr="001B7F77" w:rsidRDefault="001B7F77" w:rsidP="001B7F77">
      <w:pPr>
        <w:widowControl w:val="0"/>
        <w:suppressAutoHyphens/>
        <w:spacing w:before="120"/>
        <w:ind w:left="1440" w:hanging="360"/>
        <w:rPr>
          <w:u w:val="single"/>
        </w:rPr>
      </w:pPr>
      <w:r w:rsidRPr="001B7F77">
        <w:rPr>
          <w:u w:val="single"/>
        </w:rPr>
        <w:t>5.</w:t>
      </w:r>
      <w:r w:rsidRPr="001B7F77">
        <w:tab/>
      </w:r>
      <w:r w:rsidRPr="001B7F77">
        <w:rPr>
          <w:u w:val="single"/>
        </w:rPr>
        <w:t>The work area exceeds 50 percent of the floor area. Compliance shall be required for all penetrations located on the floor where the work area is located, including penetrations located within common or public use areas, except that compliance shall not be required for penetrations in spaces under separate tenancy.</w:t>
      </w:r>
    </w:p>
    <w:p w14:paraId="74887E61" w14:textId="77777777" w:rsidR="001B7F77" w:rsidRPr="001B7F77" w:rsidRDefault="001B7F77" w:rsidP="001B7F77">
      <w:pPr>
        <w:widowControl w:val="0"/>
        <w:suppressAutoHyphens/>
        <w:spacing w:before="120"/>
        <w:ind w:left="1440" w:hanging="360"/>
        <w:rPr>
          <w:u w:val="single"/>
        </w:rPr>
      </w:pPr>
      <w:r w:rsidRPr="001B7F77">
        <w:rPr>
          <w:u w:val="single"/>
        </w:rPr>
        <w:t xml:space="preserve">6. </w:t>
      </w:r>
      <w:r w:rsidRPr="001B7F77">
        <w:tab/>
      </w:r>
      <w:r w:rsidRPr="001B7F77">
        <w:rPr>
          <w:u w:val="single"/>
        </w:rPr>
        <w:t>The room or space in which work on a stand-alone system alters or adds duct exceeds 50 percent of the floor area. Compliance shall be required for all penetrations located on that floor, including penetrations located within common or public use areas, except that compliance shall not be required for penetrations in spaces under separate tenancy.</w:t>
      </w:r>
    </w:p>
    <w:bookmarkEnd w:id="183"/>
    <w:p w14:paraId="33654D58" w14:textId="77777777" w:rsidR="001B7F77" w:rsidRPr="001B7F77" w:rsidRDefault="001B7F77" w:rsidP="001B7F77">
      <w:pPr>
        <w:widowControl w:val="0"/>
        <w:suppressAutoHyphens/>
        <w:spacing w:before="120"/>
      </w:pPr>
      <w:r w:rsidRPr="001B7F77">
        <w:rPr>
          <w:b/>
          <w:bCs/>
          <w:u w:val="single"/>
        </w:rPr>
        <w:t xml:space="preserve">809.6 Fire dampers. </w:t>
      </w:r>
      <w:r w:rsidRPr="001B7F77">
        <w:rPr>
          <w:u w:val="single"/>
        </w:rPr>
        <w:t>New and existing fire dampers in the work area, or in the room or space in which work on a stand-alone system which includes duct alterations occurs, shall be operationally tested in accordance with the procedures outlined in NFPA 80.</w:t>
      </w:r>
    </w:p>
    <w:p w14:paraId="5054F76B" w14:textId="77777777" w:rsidR="001B7F77" w:rsidRPr="001B7F77" w:rsidRDefault="001B7F77" w:rsidP="001B7F77">
      <w:pPr>
        <w:widowControl w:val="0"/>
        <w:suppressAutoHyphens/>
        <w:spacing w:before="120"/>
      </w:pPr>
      <w:r w:rsidRPr="001B7F77">
        <w:rPr>
          <w:b/>
          <w:bCs/>
          <w:u w:val="single"/>
        </w:rPr>
        <w:t xml:space="preserve">809.7 Smoke dampers. </w:t>
      </w:r>
      <w:r w:rsidRPr="001B7F77">
        <w:rPr>
          <w:u w:val="single"/>
        </w:rPr>
        <w:t>New and existing smoke dampers in the work area, or in the room or space in which work on a stand-alone system which includes duct alterations occurs, shall be operationally tested in accordance with the procedures outlined in NFPA 105.</w:t>
      </w:r>
    </w:p>
    <w:p w14:paraId="66A4A487" w14:textId="77777777" w:rsidR="001B7F77" w:rsidRPr="001B7F77" w:rsidRDefault="001B7F77" w:rsidP="001B7F77">
      <w:pPr>
        <w:widowControl w:val="0"/>
        <w:suppressAutoHyphens/>
        <w:spacing w:before="120"/>
        <w:rPr>
          <w:u w:val="single"/>
        </w:rPr>
      </w:pPr>
      <w:r w:rsidRPr="001B7F77">
        <w:rPr>
          <w:b/>
          <w:bCs/>
          <w:u w:val="single"/>
        </w:rPr>
        <w:t>809.8 Combustion, ventilation, and dilution air</w:t>
      </w:r>
      <w:r w:rsidRPr="001B7F77">
        <w:rPr>
          <w:u w:val="single"/>
        </w:rPr>
        <w:t xml:space="preserve">. Combustion, ventilation, and dilution air shall comply with Chapter 7 of the </w:t>
      </w:r>
      <w:r w:rsidRPr="001B7F77">
        <w:rPr>
          <w:i/>
          <w:iCs/>
          <w:u w:val="single"/>
        </w:rPr>
        <w:t>New York City Mechanical Code</w:t>
      </w:r>
      <w:r w:rsidRPr="001B7F77">
        <w:rPr>
          <w:u w:val="single"/>
        </w:rPr>
        <w:t xml:space="preserve"> and this section.</w:t>
      </w:r>
    </w:p>
    <w:p w14:paraId="5548B505" w14:textId="77777777" w:rsidR="001B7F77" w:rsidRPr="001B7F77" w:rsidRDefault="001B7F77" w:rsidP="001B7F77">
      <w:pPr>
        <w:widowControl w:val="0"/>
        <w:suppressAutoHyphens/>
        <w:spacing w:before="120"/>
        <w:ind w:left="288"/>
        <w:rPr>
          <w:u w:val="single"/>
        </w:rPr>
      </w:pPr>
      <w:r w:rsidRPr="001B7F77">
        <w:rPr>
          <w:b/>
          <w:u w:val="single"/>
        </w:rPr>
        <w:t>Exception:</w:t>
      </w:r>
      <w:bookmarkStart w:id="185" w:name="_Hlk68188769"/>
      <w:r w:rsidRPr="001B7F77">
        <w:rPr>
          <w:b/>
          <w:u w:val="single"/>
        </w:rPr>
        <w:t xml:space="preserve"> </w:t>
      </w:r>
      <w:r w:rsidRPr="001B7F77">
        <w:rPr>
          <w:u w:val="single"/>
        </w:rPr>
        <w:t>Existing combustion, ventilation and dilution air intakes less than 30 inches (762 mm) above grade may be reused provided they comply with all of the following:</w:t>
      </w:r>
    </w:p>
    <w:p w14:paraId="615562D2" w14:textId="77777777" w:rsidR="001B7F77" w:rsidRPr="001B7F77" w:rsidRDefault="001B7F77" w:rsidP="001B7F77">
      <w:pPr>
        <w:widowControl w:val="0"/>
        <w:suppressAutoHyphens/>
        <w:spacing w:before="120"/>
        <w:ind w:left="1008" w:hanging="360"/>
        <w:rPr>
          <w:u w:val="single"/>
        </w:rPr>
      </w:pPr>
      <w:r w:rsidRPr="001B7F77">
        <w:rPr>
          <w:u w:val="single"/>
        </w:rPr>
        <w:t>1.</w:t>
      </w:r>
      <w:r w:rsidRPr="001B7F77">
        <w:rPr>
          <w:u w:val="single"/>
        </w:rPr>
        <w:tab/>
        <w:t>An areaway shall be provided, or an existing areaway shall be extended a minimum of 30 inches (762 mm) above adjacent grade where grade is measured from the top of the areaway.</w:t>
      </w:r>
    </w:p>
    <w:p w14:paraId="23BD029C" w14:textId="77777777" w:rsidR="001B7F77" w:rsidRPr="001B7F77" w:rsidRDefault="001B7F77" w:rsidP="001B7F77">
      <w:pPr>
        <w:widowControl w:val="0"/>
        <w:suppressAutoHyphens/>
        <w:spacing w:before="120"/>
        <w:ind w:left="1008" w:hanging="360"/>
        <w:rPr>
          <w:u w:val="single"/>
        </w:rPr>
      </w:pPr>
      <w:r w:rsidRPr="001B7F77">
        <w:rPr>
          <w:u w:val="single"/>
        </w:rPr>
        <w:t>2.</w:t>
      </w:r>
      <w:r w:rsidRPr="001B7F77">
        <w:rPr>
          <w:u w:val="single"/>
        </w:rPr>
        <w:tab/>
        <w:t xml:space="preserve">A grating with equivalent free area equal to the boiler room wall intake opening shall be provided at the top of the areaway or a guard complying with Section 1015 of the </w:t>
      </w:r>
      <w:r w:rsidRPr="001B7F77">
        <w:rPr>
          <w:i/>
          <w:iCs/>
          <w:u w:val="single"/>
        </w:rPr>
        <w:t>New York City Building Code</w:t>
      </w:r>
      <w:r w:rsidRPr="001B7F77">
        <w:rPr>
          <w:u w:val="single"/>
        </w:rPr>
        <w:t xml:space="preserve"> shall be provided around the perimeter of the areaway.</w:t>
      </w:r>
    </w:p>
    <w:p w14:paraId="2519D8DD" w14:textId="77777777" w:rsidR="001B7F77" w:rsidRPr="001B7F77" w:rsidRDefault="001B7F77" w:rsidP="001B7F77">
      <w:pPr>
        <w:widowControl w:val="0"/>
        <w:suppressAutoHyphens/>
        <w:spacing w:before="120"/>
        <w:ind w:left="1008" w:hanging="360"/>
        <w:rPr>
          <w:u w:val="single"/>
        </w:rPr>
      </w:pPr>
      <w:r w:rsidRPr="001B7F77">
        <w:rPr>
          <w:u w:val="single"/>
        </w:rPr>
        <w:t>3.</w:t>
      </w:r>
      <w:r w:rsidRPr="001B7F77">
        <w:rPr>
          <w:u w:val="single"/>
        </w:rPr>
        <w:tab/>
        <w:t xml:space="preserve">The bottom of the boiler room wall intake opening shall be a minimum of 30 inches (762 mm) above the bottom of the areaway, or mechanical ventilation in compliance with Section 706 of the </w:t>
      </w:r>
      <w:r w:rsidRPr="001B7F77">
        <w:rPr>
          <w:i/>
          <w:iCs/>
          <w:u w:val="single"/>
        </w:rPr>
        <w:t>New York City Mechanical Code</w:t>
      </w:r>
      <w:r w:rsidRPr="001B7F77">
        <w:rPr>
          <w:u w:val="single"/>
        </w:rPr>
        <w:t xml:space="preserve"> shall be provided. </w:t>
      </w:r>
    </w:p>
    <w:p w14:paraId="6BA166FB" w14:textId="77777777" w:rsidR="001B7F77" w:rsidRPr="001B7F77" w:rsidRDefault="001B7F77" w:rsidP="001B7F77">
      <w:pPr>
        <w:widowControl w:val="0"/>
        <w:suppressAutoHyphens/>
        <w:spacing w:before="120"/>
        <w:ind w:left="1008" w:hanging="360"/>
        <w:rPr>
          <w:u w:val="single"/>
        </w:rPr>
      </w:pPr>
      <w:r w:rsidRPr="001B7F77">
        <w:rPr>
          <w:u w:val="single"/>
        </w:rPr>
        <w:t>4.</w:t>
      </w:r>
      <w:r w:rsidRPr="001B7F77">
        <w:rPr>
          <w:u w:val="single"/>
        </w:rPr>
        <w:tab/>
        <w:t xml:space="preserve">Carbon monoxide alarms and detectors shall be installed within the mechanical or boiler room to shut down the appliances upon carbon monoxide detection in accordance with Section 915 of the </w:t>
      </w:r>
      <w:r w:rsidRPr="001B7F77">
        <w:rPr>
          <w:i/>
          <w:iCs/>
          <w:u w:val="single"/>
        </w:rPr>
        <w:t>New York City Building Code</w:t>
      </w:r>
      <w:r w:rsidRPr="001B7F77">
        <w:rPr>
          <w:u w:val="single"/>
        </w:rPr>
        <w:t>.</w:t>
      </w:r>
    </w:p>
    <w:p w14:paraId="29F89D14" w14:textId="77777777" w:rsidR="001B7F77" w:rsidRPr="001B7F77" w:rsidRDefault="001B7F77" w:rsidP="001B7F77">
      <w:pPr>
        <w:widowControl w:val="0"/>
        <w:suppressAutoHyphens/>
        <w:spacing w:before="120"/>
        <w:ind w:left="1008" w:hanging="360"/>
        <w:rPr>
          <w:u w:val="single"/>
        </w:rPr>
      </w:pPr>
      <w:r w:rsidRPr="001B7F77">
        <w:rPr>
          <w:u w:val="single"/>
        </w:rPr>
        <w:t>5.</w:t>
      </w:r>
      <w:r w:rsidRPr="001B7F77">
        <w:rPr>
          <w:u w:val="single"/>
        </w:rPr>
        <w:tab/>
        <w:t>Manual restart of the appliance shall be required after shutdown by carbon monoxide detection.</w:t>
      </w:r>
    </w:p>
    <w:bookmarkEnd w:id="185"/>
    <w:p w14:paraId="41AEBF57" w14:textId="77777777" w:rsidR="001B7F77" w:rsidRPr="001B7F77" w:rsidRDefault="001B7F77" w:rsidP="001B7F77">
      <w:pPr>
        <w:widowControl w:val="0"/>
        <w:suppressAutoHyphens/>
        <w:spacing w:before="120"/>
        <w:rPr>
          <w:color w:val="000000"/>
          <w:u w:val="single"/>
        </w:rPr>
      </w:pPr>
      <w:r w:rsidRPr="001B7F77">
        <w:rPr>
          <w:b/>
          <w:bCs/>
          <w:u w:val="single"/>
        </w:rPr>
        <w:t>809.9 Chimneys and vents</w:t>
      </w:r>
      <w:r w:rsidRPr="001B7F77">
        <w:rPr>
          <w:u w:val="single"/>
        </w:rPr>
        <w:t xml:space="preserve">. Chimney and vent systems shall comply with Chapter 8 of the </w:t>
      </w:r>
      <w:r w:rsidRPr="001B7F77">
        <w:rPr>
          <w:i/>
          <w:iCs/>
          <w:u w:val="single"/>
        </w:rPr>
        <w:t>New York City Mechanical Code</w:t>
      </w:r>
      <w:r w:rsidRPr="001B7F77">
        <w:rPr>
          <w:u w:val="single"/>
        </w:rPr>
        <w:t xml:space="preserve"> and this section.</w:t>
      </w:r>
    </w:p>
    <w:p w14:paraId="67EF337C" w14:textId="77777777" w:rsidR="001B7F77" w:rsidRPr="001B7F77" w:rsidRDefault="001B7F77" w:rsidP="001B7F77">
      <w:pPr>
        <w:widowControl w:val="0"/>
        <w:suppressAutoHyphens/>
        <w:spacing w:before="120"/>
        <w:ind w:left="360"/>
        <w:rPr>
          <w:color w:val="000000"/>
          <w:u w:val="single"/>
        </w:rPr>
      </w:pPr>
      <w:bookmarkStart w:id="186" w:name="_Hlk68189204"/>
      <w:r w:rsidRPr="001B7F77">
        <w:rPr>
          <w:b/>
          <w:color w:val="000000"/>
          <w:u w:val="single"/>
        </w:rPr>
        <w:t>Exceptions</w:t>
      </w:r>
      <w:r w:rsidRPr="001B7F77">
        <w:rPr>
          <w:color w:val="000000"/>
          <w:u w:val="single"/>
        </w:rPr>
        <w:t>:</w:t>
      </w:r>
    </w:p>
    <w:p w14:paraId="5E9715CE" w14:textId="77777777" w:rsidR="001B7F77" w:rsidRPr="001B7F77" w:rsidRDefault="001B7F77" w:rsidP="001B7F77">
      <w:pPr>
        <w:widowControl w:val="0"/>
        <w:suppressAutoHyphens/>
        <w:spacing w:before="120"/>
        <w:ind w:left="1080" w:hanging="360"/>
        <w:rPr>
          <w:color w:val="000000"/>
          <w:u w:val="single"/>
        </w:rPr>
      </w:pPr>
      <w:r w:rsidRPr="001B7F77">
        <w:rPr>
          <w:color w:val="000000"/>
          <w:u w:val="single"/>
        </w:rPr>
        <w:t>1.</w:t>
      </w:r>
      <w:r w:rsidRPr="001B7F77">
        <w:rPr>
          <w:color w:val="000000"/>
          <w:u w:val="single"/>
        </w:rPr>
        <w:tab/>
        <w:t xml:space="preserve">Existing connectors that are below the boiler outlet or below the boiler floor to connect to the vertical chimney shall be permitted to be replaced in kind notwithstanding the pitch requirements of Section 803.10.5 of the </w:t>
      </w:r>
      <w:r w:rsidRPr="001B7F77">
        <w:rPr>
          <w:i/>
          <w:iCs/>
          <w:u w:val="single"/>
        </w:rPr>
        <w:t>New York City Mechanical Code</w:t>
      </w:r>
      <w:r w:rsidRPr="001B7F77">
        <w:rPr>
          <w:u w:val="single"/>
        </w:rPr>
        <w:t xml:space="preserve"> </w:t>
      </w:r>
      <w:r w:rsidRPr="001B7F77">
        <w:rPr>
          <w:color w:val="000000"/>
          <w:u w:val="single"/>
        </w:rPr>
        <w:t xml:space="preserve">provided the existing connector is replaced to comply with the remaining requirements of </w:t>
      </w:r>
      <w:bookmarkStart w:id="187" w:name="_Hlk68191584"/>
      <w:r w:rsidRPr="001B7F77">
        <w:rPr>
          <w:color w:val="000000"/>
          <w:u w:val="single"/>
        </w:rPr>
        <w:t xml:space="preserve">Section 803 of the </w:t>
      </w:r>
      <w:r w:rsidRPr="001B7F77">
        <w:rPr>
          <w:i/>
          <w:iCs/>
          <w:u w:val="single"/>
        </w:rPr>
        <w:t>New York City Mechanical Code</w:t>
      </w:r>
      <w:bookmarkEnd w:id="187"/>
      <w:r w:rsidRPr="001B7F77">
        <w:rPr>
          <w:u w:val="single"/>
        </w:rPr>
        <w:t xml:space="preserve"> </w:t>
      </w:r>
      <w:r w:rsidRPr="001B7F77">
        <w:rPr>
          <w:color w:val="000000"/>
          <w:u w:val="single"/>
        </w:rPr>
        <w:t xml:space="preserve">and the connector is tested in accordance with Section 810 of the </w:t>
      </w:r>
      <w:r w:rsidRPr="001B7F77">
        <w:rPr>
          <w:i/>
          <w:iCs/>
          <w:u w:val="single"/>
        </w:rPr>
        <w:t>New York City Mechanical Code</w:t>
      </w:r>
      <w:r w:rsidRPr="001B7F77">
        <w:rPr>
          <w:color w:val="000000"/>
          <w:u w:val="single"/>
        </w:rPr>
        <w:t>.</w:t>
      </w:r>
    </w:p>
    <w:p w14:paraId="652C600B" w14:textId="77777777" w:rsidR="001B7F77" w:rsidRPr="001B7F77" w:rsidRDefault="001B7F77" w:rsidP="001B7F77">
      <w:pPr>
        <w:widowControl w:val="0"/>
        <w:suppressAutoHyphens/>
        <w:spacing w:before="120"/>
        <w:ind w:left="1080" w:hanging="360"/>
        <w:rPr>
          <w:color w:val="000000"/>
          <w:u w:val="single"/>
        </w:rPr>
      </w:pPr>
      <w:r w:rsidRPr="001B7F77">
        <w:rPr>
          <w:color w:val="000000"/>
          <w:u w:val="single"/>
        </w:rPr>
        <w:t>2.</w:t>
      </w:r>
      <w:r w:rsidRPr="001B7F77">
        <w:rPr>
          <w:color w:val="000000"/>
          <w:u w:val="single"/>
        </w:rPr>
        <w:tab/>
        <w:t xml:space="preserve">Existing chimneys and vents. Where an appliance is permanently disconnected from an existing chimney or vent that is to remain in service or where an appliance is connected to an existing chimney or vent during the process of a new appliance installation, the chimney or vent shall comply with Sections 801.18.1 through 801.18.4 of the </w:t>
      </w:r>
      <w:r w:rsidRPr="001B7F77">
        <w:rPr>
          <w:i/>
          <w:iCs/>
          <w:color w:val="000000"/>
          <w:u w:val="single"/>
        </w:rPr>
        <w:t>New York City Mechanical Code</w:t>
      </w:r>
      <w:r w:rsidRPr="001B7F77">
        <w:rPr>
          <w:color w:val="000000"/>
          <w:u w:val="single"/>
        </w:rPr>
        <w:t>.</w:t>
      </w:r>
    </w:p>
    <w:bookmarkEnd w:id="186"/>
    <w:p w14:paraId="726D6886" w14:textId="77777777" w:rsidR="001B7F77" w:rsidRPr="001B7F77" w:rsidRDefault="001B7F77" w:rsidP="001B7F77">
      <w:pPr>
        <w:widowControl w:val="0"/>
        <w:suppressAutoHyphens/>
        <w:spacing w:before="120"/>
        <w:rPr>
          <w:color w:val="000000"/>
          <w:u w:val="single"/>
        </w:rPr>
      </w:pPr>
      <w:r w:rsidRPr="001B7F77">
        <w:rPr>
          <w:b/>
          <w:bCs/>
          <w:u w:val="single"/>
        </w:rPr>
        <w:t>809.10 Specific appliances</w:t>
      </w:r>
      <w:r w:rsidRPr="001B7F77">
        <w:rPr>
          <w:u w:val="single"/>
        </w:rPr>
        <w:t xml:space="preserve">. Specific appliances shall comply with Chapter 9 of the </w:t>
      </w:r>
      <w:r w:rsidRPr="001B7F77">
        <w:rPr>
          <w:i/>
          <w:iCs/>
          <w:u w:val="single"/>
        </w:rPr>
        <w:t>New York City Mechanical Code</w:t>
      </w:r>
      <w:r w:rsidRPr="001B7F77">
        <w:rPr>
          <w:u w:val="single"/>
        </w:rPr>
        <w:t xml:space="preserve"> and this section.</w:t>
      </w:r>
    </w:p>
    <w:p w14:paraId="6A4FD769" w14:textId="77777777" w:rsidR="001B7F77" w:rsidRPr="001B7F77" w:rsidRDefault="001B7F77" w:rsidP="001B7F77">
      <w:pPr>
        <w:widowControl w:val="0"/>
        <w:suppressAutoHyphens/>
        <w:spacing w:before="120"/>
        <w:ind w:left="360"/>
        <w:rPr>
          <w:color w:val="000000"/>
          <w:u w:val="single"/>
        </w:rPr>
      </w:pPr>
      <w:r w:rsidRPr="001B7F77">
        <w:rPr>
          <w:b/>
          <w:color w:val="000000"/>
          <w:u w:val="single"/>
        </w:rPr>
        <w:t>Exceptions</w:t>
      </w:r>
      <w:r w:rsidRPr="001B7F77">
        <w:rPr>
          <w:color w:val="000000"/>
          <w:u w:val="single"/>
        </w:rPr>
        <w:t xml:space="preserve">: </w:t>
      </w:r>
    </w:p>
    <w:p w14:paraId="1407C55E" w14:textId="77777777" w:rsidR="001B7F77" w:rsidRPr="001B7F77" w:rsidRDefault="001B7F77" w:rsidP="001B7F77">
      <w:pPr>
        <w:widowControl w:val="0"/>
        <w:suppressAutoHyphens/>
        <w:spacing w:before="120"/>
        <w:ind w:left="1080" w:hanging="360"/>
        <w:rPr>
          <w:color w:val="000000"/>
          <w:u w:val="single"/>
        </w:rPr>
      </w:pPr>
      <w:r w:rsidRPr="001B7F77">
        <w:rPr>
          <w:color w:val="000000"/>
          <w:u w:val="single"/>
        </w:rPr>
        <w:t>1.</w:t>
      </w:r>
      <w:r w:rsidRPr="001B7F77">
        <w:rPr>
          <w:color w:val="000000"/>
          <w:u w:val="single"/>
        </w:rPr>
        <w:tab/>
        <w:t>Vibration isolators for replacement cooling towers may be omitted in accordance with Section 309.2.3.</w:t>
      </w:r>
    </w:p>
    <w:p w14:paraId="092B620C" w14:textId="77777777" w:rsidR="001B7F77" w:rsidRPr="001B7F77" w:rsidRDefault="001B7F77" w:rsidP="001B7F77">
      <w:pPr>
        <w:widowControl w:val="0"/>
        <w:suppressAutoHyphens/>
        <w:spacing w:before="120"/>
        <w:ind w:left="1080" w:hanging="360"/>
        <w:rPr>
          <w:color w:val="000000"/>
          <w:u w:val="single"/>
        </w:rPr>
      </w:pPr>
      <w:r w:rsidRPr="001B7F77">
        <w:rPr>
          <w:color w:val="000000"/>
          <w:u w:val="single"/>
        </w:rPr>
        <w:t>2.</w:t>
      </w:r>
      <w:r w:rsidRPr="001B7F77">
        <w:rPr>
          <w:color w:val="000000"/>
          <w:u w:val="single"/>
        </w:rPr>
        <w:tab/>
        <w:t>Combustible fill shall be permitted in replacement cooling towers in accordance with Section 309.2.4.</w:t>
      </w:r>
    </w:p>
    <w:p w14:paraId="605D10FE" w14:textId="77777777" w:rsidR="001B7F77" w:rsidRPr="001B7F77" w:rsidRDefault="001B7F77" w:rsidP="001B7F77">
      <w:pPr>
        <w:widowControl w:val="0"/>
        <w:suppressAutoHyphens/>
        <w:spacing w:before="120"/>
        <w:rPr>
          <w:color w:val="000000"/>
          <w:u w:val="single"/>
        </w:rPr>
      </w:pPr>
      <w:r w:rsidRPr="001B7F77">
        <w:rPr>
          <w:b/>
          <w:bCs/>
          <w:u w:val="single"/>
        </w:rPr>
        <w:t>809.11 Boilers, water heaters and pressure vessels</w:t>
      </w:r>
      <w:r w:rsidRPr="001B7F77">
        <w:rPr>
          <w:u w:val="single"/>
        </w:rPr>
        <w:t xml:space="preserve">. Boilers, water heaters and pressure vessels shall comply with Chapter 10 of the </w:t>
      </w:r>
      <w:r w:rsidRPr="001B7F77">
        <w:rPr>
          <w:i/>
          <w:iCs/>
          <w:u w:val="single"/>
        </w:rPr>
        <w:t>New York City Mechanical Code</w:t>
      </w:r>
      <w:r w:rsidRPr="001B7F77">
        <w:rPr>
          <w:u w:val="single"/>
        </w:rPr>
        <w:t xml:space="preserve">, 12 NYCRR Parts 4 and 14 as amended, and this section. </w:t>
      </w:r>
    </w:p>
    <w:p w14:paraId="6D61C7AC" w14:textId="77777777" w:rsidR="001B7F77" w:rsidRPr="001B7F77" w:rsidRDefault="001B7F77" w:rsidP="001B7F77">
      <w:pPr>
        <w:widowControl w:val="0"/>
        <w:suppressAutoHyphens/>
        <w:spacing w:before="120"/>
        <w:ind w:left="360"/>
        <w:rPr>
          <w:color w:val="000000"/>
          <w:u w:val="single"/>
        </w:rPr>
      </w:pPr>
      <w:r w:rsidRPr="001B7F77">
        <w:rPr>
          <w:b/>
          <w:color w:val="000000"/>
          <w:u w:val="single"/>
        </w:rPr>
        <w:t>Exceptions</w:t>
      </w:r>
      <w:r w:rsidRPr="001B7F77">
        <w:rPr>
          <w:color w:val="000000"/>
          <w:u w:val="single"/>
        </w:rPr>
        <w:t xml:space="preserve">: </w:t>
      </w:r>
    </w:p>
    <w:p w14:paraId="5B3604CC" w14:textId="77777777" w:rsidR="001B7F77" w:rsidRPr="001B7F77" w:rsidRDefault="001B7F77" w:rsidP="001B7F77">
      <w:pPr>
        <w:widowControl w:val="0"/>
        <w:suppressAutoHyphens/>
        <w:spacing w:before="120"/>
        <w:ind w:left="1080" w:hanging="360"/>
        <w:rPr>
          <w:color w:val="000000"/>
          <w:u w:val="single"/>
        </w:rPr>
      </w:pPr>
      <w:r w:rsidRPr="001B7F77">
        <w:rPr>
          <w:color w:val="000000"/>
          <w:u w:val="single"/>
        </w:rPr>
        <w:t>1.</w:t>
      </w:r>
      <w:bookmarkStart w:id="188" w:name="_Hlk128552236"/>
      <w:r w:rsidRPr="001B7F77">
        <w:rPr>
          <w:color w:val="000000"/>
          <w:u w:val="single"/>
        </w:rPr>
        <w:tab/>
        <w:t>The required clearances around equipment shall be permitted to be modified or reduced for in-kind replacement of boilers or appliances, in an existing boiler room, that do not comply with the required clearances, provided that plans shall demonstrate that the clearances are technically infeasible and that, at a minimum, the manufacturer’s required clearances shall be provided.</w:t>
      </w:r>
      <w:bookmarkEnd w:id="188"/>
    </w:p>
    <w:p w14:paraId="4262F4EE" w14:textId="77777777" w:rsidR="001B7F77" w:rsidRPr="001B7F77" w:rsidRDefault="001B7F77" w:rsidP="001B7F77">
      <w:pPr>
        <w:widowControl w:val="0"/>
        <w:suppressAutoHyphens/>
        <w:spacing w:before="120"/>
        <w:ind w:left="1080" w:hanging="360"/>
        <w:rPr>
          <w:color w:val="000000"/>
          <w:u w:val="single"/>
        </w:rPr>
      </w:pPr>
      <w:r w:rsidRPr="001B7F77">
        <w:rPr>
          <w:color w:val="000000"/>
          <w:u w:val="single"/>
        </w:rPr>
        <w:t>2.</w:t>
      </w:r>
      <w:r w:rsidRPr="001B7F77">
        <w:rPr>
          <w:color w:val="000000"/>
          <w:u w:val="single"/>
        </w:rPr>
        <w:tab/>
        <w:t>In-kind replacement of boilers shall not require the installation of a floor drain where a floor drain did not already exist and where there is a means of liquid disposal.</w:t>
      </w:r>
    </w:p>
    <w:p w14:paraId="695B1ABC" w14:textId="77777777" w:rsidR="001B7F77" w:rsidRPr="001B7F77" w:rsidRDefault="001B7F77" w:rsidP="001B7F77">
      <w:pPr>
        <w:widowControl w:val="0"/>
        <w:suppressAutoHyphens/>
        <w:spacing w:before="120"/>
        <w:ind w:left="360"/>
        <w:rPr>
          <w:color w:val="000000"/>
          <w:u w:val="single"/>
        </w:rPr>
      </w:pPr>
      <w:r w:rsidRPr="001B7F77">
        <w:rPr>
          <w:b/>
          <w:bCs/>
          <w:u w:val="single"/>
        </w:rPr>
        <w:t>809.11.1 Chimney test.</w:t>
      </w:r>
      <w:r w:rsidRPr="001B7F77">
        <w:rPr>
          <w:u w:val="single"/>
        </w:rPr>
        <w:t xml:space="preserve"> Where new or altered equipment or appliances are connected to an existing chimney, the chimney shall be tested in accordance with Chapter 8 of the </w:t>
      </w:r>
      <w:r w:rsidRPr="001B7F77">
        <w:rPr>
          <w:i/>
          <w:iCs/>
          <w:u w:val="single"/>
        </w:rPr>
        <w:t>New York City Mechanical Code</w:t>
      </w:r>
      <w:r w:rsidRPr="001B7F77">
        <w:rPr>
          <w:u w:val="single"/>
        </w:rPr>
        <w:t xml:space="preserve">, Chapter 5 of the </w:t>
      </w:r>
      <w:r w:rsidRPr="001B7F77">
        <w:rPr>
          <w:i/>
          <w:iCs/>
          <w:u w:val="single"/>
        </w:rPr>
        <w:t>New York City Fuel Gas Code</w:t>
      </w:r>
      <w:r w:rsidRPr="001B7F77">
        <w:rPr>
          <w:u w:val="single"/>
        </w:rPr>
        <w:t xml:space="preserve"> or Chapter 21 of the </w:t>
      </w:r>
      <w:r w:rsidRPr="001B7F77">
        <w:rPr>
          <w:i/>
          <w:iCs/>
          <w:u w:val="single"/>
        </w:rPr>
        <w:t>New York City Building Code</w:t>
      </w:r>
      <w:r w:rsidRPr="001B7F77">
        <w:rPr>
          <w:u w:val="single"/>
        </w:rPr>
        <w:t>, as applicable.</w:t>
      </w:r>
    </w:p>
    <w:p w14:paraId="671D9B0D" w14:textId="77777777" w:rsidR="001B7F77" w:rsidRPr="001B7F77" w:rsidRDefault="001B7F77" w:rsidP="001B7F77">
      <w:pPr>
        <w:widowControl w:val="0"/>
        <w:suppressAutoHyphens/>
        <w:spacing w:before="120"/>
        <w:ind w:left="360"/>
        <w:rPr>
          <w:strike/>
          <w:u w:val="single"/>
        </w:rPr>
      </w:pPr>
      <w:r w:rsidRPr="001B7F77">
        <w:rPr>
          <w:b/>
          <w:bCs/>
          <w:u w:val="single"/>
        </w:rPr>
        <w:t xml:space="preserve">809.11.2 Fuel burning appliances in dwelling units. </w:t>
      </w:r>
      <w:r w:rsidRPr="001B7F77">
        <w:rPr>
          <w:u w:val="single"/>
        </w:rPr>
        <w:t xml:space="preserve">When fuel burning appliances providing heat or hot water are replaced or installed within a dwelling unit in buildings of Occupancy Group R-2, interlocked carbon monoxide detection with a manual reset shall be installed in accordance with the </w:t>
      </w:r>
      <w:r w:rsidRPr="001B7F77">
        <w:rPr>
          <w:i/>
          <w:iCs/>
          <w:u w:val="single"/>
        </w:rPr>
        <w:t>New York City Building Code</w:t>
      </w:r>
      <w:r w:rsidRPr="001B7F77">
        <w:rPr>
          <w:u w:val="single"/>
        </w:rPr>
        <w:t>.</w:t>
      </w:r>
    </w:p>
    <w:p w14:paraId="75D22C1E" w14:textId="77777777" w:rsidR="001B7F77" w:rsidRPr="001B7F77" w:rsidRDefault="001B7F77" w:rsidP="001B7F77">
      <w:pPr>
        <w:widowControl w:val="0"/>
        <w:suppressAutoHyphens/>
        <w:spacing w:before="120"/>
        <w:rPr>
          <w:color w:val="000000"/>
        </w:rPr>
      </w:pPr>
      <w:r w:rsidRPr="001B7F77">
        <w:rPr>
          <w:b/>
          <w:bCs/>
          <w:u w:val="single"/>
        </w:rPr>
        <w:t>809.12 Refrigeration</w:t>
      </w:r>
      <w:r w:rsidRPr="001B7F77">
        <w:rPr>
          <w:u w:val="single"/>
        </w:rPr>
        <w:t xml:space="preserve">. Refrigeration shall comply with Chapter 11 of the </w:t>
      </w:r>
      <w:r w:rsidRPr="001B7F77">
        <w:rPr>
          <w:i/>
          <w:iCs/>
          <w:u w:val="single"/>
        </w:rPr>
        <w:t>New York City Mechanical Code</w:t>
      </w:r>
      <w:r w:rsidRPr="001B7F77">
        <w:rPr>
          <w:u w:val="single"/>
        </w:rPr>
        <w:t>.</w:t>
      </w:r>
    </w:p>
    <w:p w14:paraId="1AF37868" w14:textId="77777777" w:rsidR="001B7F77" w:rsidRPr="001B7F77" w:rsidRDefault="001B7F77" w:rsidP="001B7F77">
      <w:pPr>
        <w:widowControl w:val="0"/>
        <w:suppressAutoHyphens/>
        <w:spacing w:before="120"/>
        <w:rPr>
          <w:color w:val="000000"/>
        </w:rPr>
      </w:pPr>
      <w:r w:rsidRPr="001B7F77">
        <w:rPr>
          <w:b/>
          <w:bCs/>
          <w:u w:val="single"/>
        </w:rPr>
        <w:t>809.13 Hydronic piping</w:t>
      </w:r>
      <w:r w:rsidRPr="001B7F77">
        <w:rPr>
          <w:u w:val="single"/>
        </w:rPr>
        <w:t xml:space="preserve">. Hydronic piping shall comply with Chapter 12 of the </w:t>
      </w:r>
      <w:r w:rsidRPr="001B7F77">
        <w:rPr>
          <w:i/>
          <w:iCs/>
          <w:u w:val="single"/>
        </w:rPr>
        <w:t>New York City Mechanical Code</w:t>
      </w:r>
      <w:r w:rsidRPr="001B7F77">
        <w:rPr>
          <w:u w:val="single"/>
        </w:rPr>
        <w:t xml:space="preserve"> and this section.</w:t>
      </w:r>
    </w:p>
    <w:p w14:paraId="095EEADA" w14:textId="77777777" w:rsidR="001B7F77" w:rsidRPr="001B7F77" w:rsidRDefault="001B7F77" w:rsidP="001B7F77">
      <w:pPr>
        <w:widowControl w:val="0"/>
        <w:suppressAutoHyphens/>
        <w:spacing w:before="120"/>
        <w:ind w:left="360"/>
        <w:rPr>
          <w:color w:val="000000"/>
        </w:rPr>
      </w:pPr>
      <w:r w:rsidRPr="001B7F77">
        <w:rPr>
          <w:b/>
          <w:bCs/>
          <w:u w:val="single"/>
        </w:rPr>
        <w:t>809.13.1 Existing high-pressure steam and high temperature hot water piping systems.</w:t>
      </w:r>
      <w:r w:rsidRPr="001B7F77">
        <w:rPr>
          <w:u w:val="single"/>
        </w:rPr>
        <w:t xml:space="preserve"> Existing high-pressure steam and high temperature hot water piping systems shall be maintained, inspected, repaired, relocated and altered in compliance with Section 1211.3 of the </w:t>
      </w:r>
      <w:r w:rsidRPr="001B7F77">
        <w:rPr>
          <w:i/>
          <w:iCs/>
          <w:u w:val="single"/>
        </w:rPr>
        <w:t>New York City Mechanical Code</w:t>
      </w:r>
      <w:r w:rsidRPr="001B7F77">
        <w:rPr>
          <w:u w:val="single"/>
        </w:rPr>
        <w:t>.</w:t>
      </w:r>
    </w:p>
    <w:p w14:paraId="19646219" w14:textId="77777777" w:rsidR="001B7F77" w:rsidRPr="001B7F77" w:rsidRDefault="001B7F77" w:rsidP="001B7F77">
      <w:pPr>
        <w:widowControl w:val="0"/>
        <w:suppressAutoHyphens/>
        <w:spacing w:before="120"/>
        <w:rPr>
          <w:color w:val="000000"/>
          <w:u w:val="single"/>
        </w:rPr>
      </w:pPr>
      <w:r w:rsidRPr="001B7F77">
        <w:rPr>
          <w:b/>
          <w:bCs/>
          <w:u w:val="single"/>
        </w:rPr>
        <w:t>809.14 Fuel oil piping and storage</w:t>
      </w:r>
      <w:r w:rsidRPr="001B7F77">
        <w:rPr>
          <w:u w:val="single"/>
        </w:rPr>
        <w:t xml:space="preserve">. Fuel oil piping and storage shall comply with Chapter 13 of the </w:t>
      </w:r>
      <w:r w:rsidRPr="001B7F77">
        <w:rPr>
          <w:i/>
          <w:iCs/>
          <w:u w:val="single"/>
        </w:rPr>
        <w:t>New York City Mechanical Code</w:t>
      </w:r>
      <w:r w:rsidRPr="001B7F77">
        <w:rPr>
          <w:u w:val="single"/>
        </w:rPr>
        <w:t xml:space="preserve"> and this code.</w:t>
      </w:r>
    </w:p>
    <w:p w14:paraId="3B1415B3" w14:textId="77777777" w:rsidR="001B7F77" w:rsidRPr="001B7F77" w:rsidRDefault="001B7F77" w:rsidP="001B7F77">
      <w:pPr>
        <w:widowControl w:val="0"/>
        <w:suppressAutoHyphens/>
        <w:spacing w:before="120"/>
        <w:ind w:left="360"/>
        <w:rPr>
          <w:color w:val="000000"/>
          <w:u w:val="single"/>
        </w:rPr>
      </w:pPr>
      <w:r w:rsidRPr="001B7F77">
        <w:rPr>
          <w:b/>
          <w:color w:val="000000"/>
          <w:u w:val="single"/>
        </w:rPr>
        <w:t>Exceptions</w:t>
      </w:r>
      <w:r w:rsidRPr="001B7F77">
        <w:rPr>
          <w:color w:val="000000"/>
          <w:u w:val="single"/>
        </w:rPr>
        <w:t xml:space="preserve">: </w:t>
      </w:r>
    </w:p>
    <w:p w14:paraId="0C914BD9" w14:textId="77777777" w:rsidR="001B7F77" w:rsidRPr="001B7F77" w:rsidRDefault="001B7F77" w:rsidP="0001508F">
      <w:pPr>
        <w:widowControl w:val="0"/>
        <w:numPr>
          <w:ilvl w:val="0"/>
          <w:numId w:val="21"/>
        </w:numPr>
        <w:suppressAutoHyphens/>
        <w:spacing w:before="120"/>
        <w:ind w:left="1080"/>
        <w:contextualSpacing/>
        <w:jc w:val="left"/>
        <w:rPr>
          <w:rFonts w:eastAsia="Calibri"/>
          <w:color w:val="000000"/>
          <w:sz w:val="22"/>
          <w:szCs w:val="22"/>
          <w:u w:val="single"/>
        </w:rPr>
      </w:pPr>
      <w:r w:rsidRPr="001B7F77">
        <w:rPr>
          <w:rFonts w:eastAsia="Calibri"/>
          <w:color w:val="000000"/>
          <w:sz w:val="22"/>
          <w:szCs w:val="22"/>
          <w:u w:val="single"/>
        </w:rPr>
        <w:t>Minor repairs, including but not limited to the replacement of a gasket, valve, pump or pump set, repair of a valve packing gland or tightening of flange bolts shall not require hydrostatic testing.</w:t>
      </w:r>
    </w:p>
    <w:p w14:paraId="3D1772D0" w14:textId="77777777" w:rsidR="001B7F77" w:rsidRPr="001B7F77" w:rsidRDefault="001B7F77" w:rsidP="001B7F77">
      <w:pPr>
        <w:widowControl w:val="0"/>
        <w:suppressAutoHyphens/>
        <w:spacing w:before="120"/>
        <w:ind w:left="1080" w:hanging="360"/>
        <w:rPr>
          <w:color w:val="000000"/>
          <w:u w:val="single"/>
        </w:rPr>
      </w:pPr>
      <w:r w:rsidRPr="001B7F77">
        <w:rPr>
          <w:color w:val="000000"/>
          <w:u w:val="single"/>
        </w:rPr>
        <w:t>2.</w:t>
      </w:r>
      <w:r w:rsidRPr="001B7F77">
        <w:rPr>
          <w:color w:val="000000"/>
          <w:u w:val="single"/>
        </w:rPr>
        <w:tab/>
        <w:t xml:space="preserve">In-kind replacements of the same capacity of existing boilers and/or generators with no fuel oil system alteration or modification shall not require the entire existing fuel oil system to comply with Chapter 13 of the </w:t>
      </w:r>
      <w:r w:rsidRPr="001B7F77">
        <w:rPr>
          <w:i/>
          <w:iCs/>
          <w:color w:val="000000"/>
          <w:u w:val="single"/>
        </w:rPr>
        <w:t>New York City Mechanical Code</w:t>
      </w:r>
      <w:r w:rsidRPr="001B7F77">
        <w:rPr>
          <w:color w:val="000000"/>
          <w:u w:val="single"/>
        </w:rPr>
        <w:t>. The existing fuel oil system can continue to be used if it is in compliance with applicable codes and laws in effect when the system was installed.</w:t>
      </w:r>
    </w:p>
    <w:p w14:paraId="479C6B21" w14:textId="77777777" w:rsidR="001B7F77" w:rsidRPr="001B7F77" w:rsidRDefault="001B7F77" w:rsidP="001B7F77">
      <w:pPr>
        <w:widowControl w:val="0"/>
        <w:suppressAutoHyphens/>
        <w:spacing w:before="120"/>
        <w:ind w:left="1080" w:hanging="360"/>
        <w:rPr>
          <w:color w:val="000000"/>
        </w:rPr>
      </w:pPr>
      <w:r w:rsidRPr="001B7F77">
        <w:rPr>
          <w:color w:val="000000"/>
          <w:u w:val="single"/>
        </w:rPr>
        <w:t>3.</w:t>
      </w:r>
      <w:r w:rsidRPr="001B7F77">
        <w:rPr>
          <w:color w:val="000000"/>
          <w:u w:val="single"/>
        </w:rPr>
        <w:tab/>
        <w:t>Manual fuel oil fill operations for generators in prior code buildings shall comply with the following requirements when lawfully constructed prior to December 6, 1968, provided that all of the following conditions are satisfied:</w:t>
      </w:r>
      <w:r w:rsidRPr="001B7F77">
        <w:rPr>
          <w:color w:val="000000"/>
        </w:rPr>
        <w:t xml:space="preserve"> </w:t>
      </w:r>
    </w:p>
    <w:p w14:paraId="56C6BB76" w14:textId="77777777" w:rsidR="001B7F77" w:rsidRPr="001B7F77" w:rsidRDefault="001B7F77" w:rsidP="001B7F77">
      <w:pPr>
        <w:widowControl w:val="0"/>
        <w:suppressAutoHyphens/>
        <w:spacing w:before="120"/>
        <w:ind w:left="1620" w:hanging="540"/>
        <w:rPr>
          <w:color w:val="000000"/>
          <w:u w:val="single"/>
        </w:rPr>
      </w:pPr>
      <w:r w:rsidRPr="001B7F77">
        <w:rPr>
          <w:color w:val="000000"/>
          <w:u w:val="single"/>
        </w:rPr>
        <w:t>3.1</w:t>
      </w:r>
      <w:r w:rsidRPr="001B7F77">
        <w:rPr>
          <w:color w:val="000000"/>
          <w:u w:val="single"/>
        </w:rPr>
        <w:tab/>
        <w:t xml:space="preserve">The emergency generator and diesel fuel storage tanks must be authorized for use by a valid Fire Department fuel oil permit. </w:t>
      </w:r>
    </w:p>
    <w:p w14:paraId="21127BFB" w14:textId="77777777" w:rsidR="001B7F77" w:rsidRPr="001B7F77" w:rsidRDefault="001B7F77" w:rsidP="001B7F77">
      <w:pPr>
        <w:widowControl w:val="0"/>
        <w:suppressAutoHyphens/>
        <w:spacing w:before="120"/>
        <w:ind w:left="1620" w:hanging="540"/>
        <w:rPr>
          <w:color w:val="000000"/>
          <w:u w:val="single"/>
        </w:rPr>
      </w:pPr>
      <w:r w:rsidRPr="001B7F77">
        <w:rPr>
          <w:color w:val="000000"/>
          <w:u w:val="single"/>
        </w:rPr>
        <w:t>3.2</w:t>
      </w:r>
      <w:r w:rsidRPr="001B7F77">
        <w:rPr>
          <w:color w:val="000000"/>
          <w:u w:val="single"/>
        </w:rPr>
        <w:tab/>
        <w:t xml:space="preserve">The combined total quantity of diesel fuel stored in the emergency generator storage tank(s) and any diesel fuel stored in reserve portable drums or containers shall not exceed 330 gallons (1249.2 L) on any given story. </w:t>
      </w:r>
    </w:p>
    <w:p w14:paraId="5D2B050D" w14:textId="77777777" w:rsidR="001B7F77" w:rsidRPr="001B7F77" w:rsidRDefault="001B7F77" w:rsidP="001B7F77">
      <w:pPr>
        <w:widowControl w:val="0"/>
        <w:suppressAutoHyphens/>
        <w:spacing w:before="120"/>
        <w:ind w:left="1620" w:hanging="540"/>
        <w:rPr>
          <w:color w:val="000000"/>
          <w:u w:val="single"/>
        </w:rPr>
      </w:pPr>
      <w:r w:rsidRPr="001B7F77">
        <w:rPr>
          <w:color w:val="000000"/>
          <w:u w:val="single"/>
        </w:rPr>
        <w:t>3.3</w:t>
      </w:r>
      <w:r w:rsidRPr="001B7F77">
        <w:rPr>
          <w:color w:val="000000"/>
          <w:u w:val="single"/>
        </w:rPr>
        <w:tab/>
        <w:t xml:space="preserve">The maximum diesel fuel reserve storage in portable drums or containers shall not exceed 60 gallons (227.1 L) any given story and shall be stored in spaces conforming to Section 1305.13.3, Items 1 through 5, and 7 of the </w:t>
      </w:r>
      <w:r w:rsidRPr="001B7F77">
        <w:rPr>
          <w:i/>
          <w:iCs/>
          <w:color w:val="000000"/>
          <w:u w:val="single"/>
        </w:rPr>
        <w:t>New York City Mechanical Code</w:t>
      </w:r>
      <w:r w:rsidRPr="001B7F77">
        <w:rPr>
          <w:color w:val="000000"/>
          <w:u w:val="single"/>
        </w:rPr>
        <w:t xml:space="preserve">. Any empty drums or containers shall be removed immediately and disposed of in a legal manner. </w:t>
      </w:r>
    </w:p>
    <w:p w14:paraId="566DBEC1" w14:textId="77777777" w:rsidR="001B7F77" w:rsidRPr="001B7F77" w:rsidRDefault="001B7F77" w:rsidP="001B7F77">
      <w:pPr>
        <w:widowControl w:val="0"/>
        <w:suppressAutoHyphens/>
        <w:spacing w:before="120"/>
        <w:ind w:left="1620" w:hanging="540"/>
        <w:rPr>
          <w:color w:val="000000"/>
          <w:u w:val="single"/>
        </w:rPr>
      </w:pPr>
      <w:r w:rsidRPr="001B7F77">
        <w:rPr>
          <w:color w:val="000000"/>
          <w:u w:val="single"/>
        </w:rPr>
        <w:t>3.4</w:t>
      </w:r>
      <w:r w:rsidRPr="001B7F77">
        <w:rPr>
          <w:color w:val="000000"/>
          <w:u w:val="single"/>
        </w:rPr>
        <w:tab/>
        <w:t xml:space="preserve">Diesel fuel shall be transferred in sealed portable drums or containers satisfying Sections 5003.10.2 and 5003.10.3 of the </w:t>
      </w:r>
      <w:r w:rsidRPr="001B7F77">
        <w:rPr>
          <w:i/>
          <w:iCs/>
          <w:color w:val="000000"/>
          <w:u w:val="single"/>
        </w:rPr>
        <w:t>New York City Fire Code</w:t>
      </w:r>
      <w:r w:rsidRPr="001B7F77">
        <w:rPr>
          <w:color w:val="000000"/>
          <w:u w:val="single"/>
        </w:rPr>
        <w:t xml:space="preserve">. The transfer of diesel fuel and the manual filling of the generator storage tanks shall be conducted by, or supervised by, a person holding a FDNY Certificate of Fitness C-98 for storage and use of combustible liquids. The transfer of diesel fuel from lower to upper stories or roof shall only be via the building freight elevator utilizing hand trucks. Transfer via any passenger elevator shall be prohibited. </w:t>
      </w:r>
    </w:p>
    <w:p w14:paraId="4B3BD5B1" w14:textId="77777777" w:rsidR="001B7F77" w:rsidRPr="001B7F77" w:rsidRDefault="001B7F77" w:rsidP="001B7F77">
      <w:pPr>
        <w:widowControl w:val="0"/>
        <w:suppressAutoHyphens/>
        <w:spacing w:before="120"/>
        <w:ind w:left="1620" w:hanging="540"/>
        <w:rPr>
          <w:color w:val="000000"/>
          <w:u w:val="single"/>
        </w:rPr>
      </w:pPr>
      <w:r w:rsidRPr="001B7F77">
        <w:rPr>
          <w:color w:val="000000"/>
          <w:u w:val="single"/>
        </w:rPr>
        <w:t>3.5</w:t>
      </w:r>
      <w:r w:rsidRPr="001B7F77">
        <w:rPr>
          <w:color w:val="000000"/>
          <w:u w:val="single"/>
        </w:rPr>
        <w:tab/>
        <w:t xml:space="preserve">The transfer of diesel fuel from the sealed portable container to the emergency generator fuel storage tank shall be performed using a hand crank pump satisfying the provisions of Section 5705.2.5 of the </w:t>
      </w:r>
      <w:r w:rsidRPr="001B7F77">
        <w:rPr>
          <w:i/>
          <w:iCs/>
          <w:color w:val="000000"/>
          <w:u w:val="single"/>
        </w:rPr>
        <w:t>New York City Fire Code</w:t>
      </w:r>
      <w:r w:rsidRPr="001B7F77">
        <w:rPr>
          <w:color w:val="000000"/>
          <w:u w:val="single"/>
        </w:rPr>
        <w:t xml:space="preserve">. </w:t>
      </w:r>
    </w:p>
    <w:p w14:paraId="5181D080" w14:textId="77777777" w:rsidR="001B7F77" w:rsidRPr="001B7F77" w:rsidRDefault="001B7F77" w:rsidP="001B7F77">
      <w:pPr>
        <w:widowControl w:val="0"/>
        <w:suppressAutoHyphens/>
        <w:spacing w:before="120"/>
        <w:ind w:left="1620" w:hanging="540"/>
        <w:rPr>
          <w:color w:val="000000"/>
          <w:u w:val="single"/>
        </w:rPr>
      </w:pPr>
      <w:r w:rsidRPr="001B7F77">
        <w:rPr>
          <w:color w:val="000000"/>
          <w:u w:val="single"/>
        </w:rPr>
        <w:t>3.6</w:t>
      </w:r>
      <w:r w:rsidRPr="001B7F77">
        <w:rPr>
          <w:color w:val="000000"/>
          <w:u w:val="single"/>
        </w:rPr>
        <w:tab/>
        <w:t xml:space="preserve">The DOB Boiler Division shall, upon satisfactory inspection, issue to the owner DOB form 16A “Certificate of Approval for Oil Burning Installation” indicating that the application involves the manual transfer and filling of the emergency generator diesel fuel storage tank(s) from portable drums or containers and that an FDNY Certificate of Fitness is required when such manual transfer is performed. A copy of the completed form shall be transmitted by the DOB Boiler Division to the Fire Department district office of the Bureau of Fire Prevention. </w:t>
      </w:r>
    </w:p>
    <w:p w14:paraId="7C28993C" w14:textId="77777777" w:rsidR="001B7F77" w:rsidRPr="001B7F77" w:rsidRDefault="001B7F77" w:rsidP="001B7F77">
      <w:pPr>
        <w:widowControl w:val="0"/>
        <w:suppressAutoHyphens/>
        <w:spacing w:before="120"/>
        <w:ind w:left="1080" w:hanging="360"/>
        <w:rPr>
          <w:color w:val="000000"/>
          <w:u w:val="single"/>
        </w:rPr>
      </w:pPr>
      <w:r w:rsidRPr="001B7F77">
        <w:rPr>
          <w:color w:val="000000"/>
          <w:u w:val="single"/>
        </w:rPr>
        <w:t>4.</w:t>
      </w:r>
      <w:r w:rsidRPr="001B7F77">
        <w:rPr>
          <w:color w:val="000000"/>
          <w:u w:val="single"/>
        </w:rPr>
        <w:tab/>
        <w:t xml:space="preserve">In-kind replacements of fuel oil storage tanks of the same capacity and not exceeding 1375 gallons (5205 L) in rooms without ventilation shall be permitted without requiring such replacement to comply with the ventilation requirements of Chapter 13 of the </w:t>
      </w:r>
      <w:r w:rsidRPr="001B7F77">
        <w:rPr>
          <w:i/>
          <w:iCs/>
          <w:color w:val="000000"/>
          <w:u w:val="single"/>
        </w:rPr>
        <w:t>New York City Mechanical Code</w:t>
      </w:r>
      <w:r w:rsidRPr="001B7F77">
        <w:rPr>
          <w:color w:val="000000"/>
          <w:u w:val="single"/>
        </w:rPr>
        <w:t>.</w:t>
      </w:r>
    </w:p>
    <w:p w14:paraId="3C8B91BA" w14:textId="77777777" w:rsidR="001B7F77" w:rsidRPr="001B7F77" w:rsidRDefault="001B7F77" w:rsidP="001B7F77">
      <w:pPr>
        <w:widowControl w:val="0"/>
        <w:suppressAutoHyphens/>
        <w:spacing w:before="120"/>
        <w:ind w:left="1080" w:hanging="360"/>
        <w:rPr>
          <w:color w:val="000000"/>
          <w:u w:val="single"/>
        </w:rPr>
      </w:pPr>
      <w:r w:rsidRPr="001B7F77">
        <w:rPr>
          <w:color w:val="000000"/>
          <w:u w:val="single"/>
        </w:rPr>
        <w:t>5.</w:t>
      </w:r>
      <w:r w:rsidRPr="001B7F77">
        <w:rPr>
          <w:color w:val="000000"/>
          <w:u w:val="single"/>
        </w:rPr>
        <w:tab/>
        <w:t xml:space="preserve">Existing oversized fuel oil headers exceeding the limits of Section 1305.9 of the </w:t>
      </w:r>
      <w:r w:rsidRPr="001B7F77">
        <w:rPr>
          <w:i/>
          <w:iCs/>
          <w:color w:val="000000"/>
          <w:u w:val="single"/>
        </w:rPr>
        <w:t>New York City Mechanical Code</w:t>
      </w:r>
      <w:r w:rsidRPr="001B7F77">
        <w:rPr>
          <w:color w:val="000000"/>
          <w:u w:val="single"/>
        </w:rPr>
        <w:t xml:space="preserve"> shall be permitted to remain provided all of the following conditions are satisfied: </w:t>
      </w:r>
    </w:p>
    <w:p w14:paraId="51625B05" w14:textId="77777777" w:rsidR="001B7F77" w:rsidRPr="001B7F77" w:rsidRDefault="001B7F77" w:rsidP="001B7F77">
      <w:pPr>
        <w:widowControl w:val="0"/>
        <w:suppressAutoHyphens/>
        <w:spacing w:before="120"/>
        <w:ind w:left="1620" w:hanging="540"/>
        <w:rPr>
          <w:color w:val="000000"/>
          <w:u w:val="single"/>
        </w:rPr>
      </w:pPr>
      <w:r w:rsidRPr="001B7F77">
        <w:rPr>
          <w:color w:val="000000"/>
          <w:u w:val="single"/>
        </w:rPr>
        <w:t>5.1</w:t>
      </w:r>
      <w:r w:rsidRPr="001B7F77">
        <w:rPr>
          <w:color w:val="000000"/>
          <w:u w:val="single"/>
        </w:rPr>
        <w:tab/>
        <w:t xml:space="preserve">The existing fuel oil header is in compliance with prior applicable codes and laws. </w:t>
      </w:r>
    </w:p>
    <w:p w14:paraId="454AAF79" w14:textId="77777777" w:rsidR="001B7F77" w:rsidRPr="001B7F77" w:rsidRDefault="001B7F77" w:rsidP="001B7F77">
      <w:pPr>
        <w:widowControl w:val="0"/>
        <w:suppressAutoHyphens/>
        <w:spacing w:before="120"/>
        <w:ind w:left="1620" w:hanging="540"/>
        <w:rPr>
          <w:color w:val="000000"/>
          <w:u w:val="single"/>
        </w:rPr>
      </w:pPr>
      <w:r w:rsidRPr="001B7F77">
        <w:rPr>
          <w:u w:val="single"/>
        </w:rPr>
        <w:t xml:space="preserve">5.2 </w:t>
      </w:r>
      <w:r w:rsidRPr="001B7F77">
        <w:rPr>
          <w:u w:val="single"/>
        </w:rPr>
        <w:tab/>
        <w:t>The original header installation contains future valved, capped outlets for the connection of an additional generator.</w:t>
      </w:r>
    </w:p>
    <w:p w14:paraId="5D3A9AEF" w14:textId="77777777" w:rsidR="001B7F77" w:rsidRPr="001B7F77" w:rsidRDefault="001B7F77" w:rsidP="001B7F77">
      <w:pPr>
        <w:spacing w:before="120"/>
        <w:ind w:left="1080"/>
        <w:rPr>
          <w:rFonts w:eastAsia="Calibri"/>
          <w:sz w:val="22"/>
          <w:szCs w:val="22"/>
          <w:u w:val="single"/>
        </w:rPr>
      </w:pPr>
      <w:r w:rsidRPr="001B7F77">
        <w:rPr>
          <w:rFonts w:eastAsia="Calibri"/>
          <w:sz w:val="22"/>
          <w:szCs w:val="22"/>
          <w:u w:val="single"/>
        </w:rPr>
        <w:t>5.3 The new work shall be connected to an existing valve.</w:t>
      </w:r>
    </w:p>
    <w:p w14:paraId="2C56A4D5" w14:textId="77777777" w:rsidR="001B7F77" w:rsidRPr="001B7F77" w:rsidRDefault="001B7F77" w:rsidP="001B7F77">
      <w:pPr>
        <w:spacing w:before="120"/>
        <w:ind w:left="1080"/>
        <w:rPr>
          <w:rFonts w:eastAsia="Calibri"/>
          <w:sz w:val="22"/>
          <w:szCs w:val="22"/>
          <w:u w:val="single"/>
        </w:rPr>
      </w:pPr>
      <w:r w:rsidRPr="001B7F77">
        <w:rPr>
          <w:rFonts w:eastAsia="Calibri"/>
          <w:sz w:val="22"/>
          <w:szCs w:val="22"/>
          <w:u w:val="single"/>
        </w:rPr>
        <w:t>5.4 The existing oversized fuel oil header is not being modified or altered.</w:t>
      </w:r>
    </w:p>
    <w:p w14:paraId="12FE4956" w14:textId="77777777" w:rsidR="001B7F77" w:rsidRPr="001B7F77" w:rsidRDefault="001B7F77" w:rsidP="001B7F77">
      <w:pPr>
        <w:widowControl w:val="0"/>
        <w:suppressAutoHyphens/>
        <w:spacing w:before="120"/>
        <w:ind w:left="1620" w:hanging="540"/>
        <w:rPr>
          <w:color w:val="000000"/>
          <w:u w:val="single"/>
        </w:rPr>
      </w:pPr>
      <w:r w:rsidRPr="001B7F77">
        <w:rPr>
          <w:color w:val="000000"/>
          <w:u w:val="single"/>
        </w:rPr>
        <w:t>5.1</w:t>
      </w:r>
      <w:r w:rsidRPr="001B7F77">
        <w:rPr>
          <w:color w:val="000000"/>
          <w:u w:val="single"/>
        </w:rPr>
        <w:tab/>
      </w:r>
      <w:r w:rsidRPr="001B7F77">
        <w:rPr>
          <w:u w:val="single"/>
        </w:rPr>
        <w:t xml:space="preserve">The Fire Department shall be notified, in writing, of fuel oil header capacities exceeding the limits of Section 1305.9 of the </w:t>
      </w:r>
      <w:r w:rsidRPr="001B7F77">
        <w:rPr>
          <w:i/>
          <w:iCs/>
          <w:u w:val="single"/>
        </w:rPr>
        <w:t>New York City Mechanical Code</w:t>
      </w:r>
      <w:r w:rsidRPr="001B7F77">
        <w:rPr>
          <w:u w:val="single"/>
        </w:rPr>
        <w:t>.</w:t>
      </w:r>
    </w:p>
    <w:p w14:paraId="4050266F" w14:textId="77777777" w:rsidR="001B7F77" w:rsidRPr="001B7F77" w:rsidRDefault="001B7F77" w:rsidP="001B7F77">
      <w:pPr>
        <w:widowControl w:val="0"/>
        <w:suppressAutoHyphens/>
        <w:spacing w:before="120"/>
        <w:ind w:left="1080" w:hanging="360"/>
        <w:rPr>
          <w:color w:val="000000"/>
          <w:u w:val="single"/>
        </w:rPr>
      </w:pPr>
      <w:r w:rsidRPr="001B7F77">
        <w:rPr>
          <w:color w:val="000000"/>
          <w:u w:val="single"/>
        </w:rPr>
        <w:t>6.</w:t>
      </w:r>
      <w:r w:rsidRPr="001B7F77">
        <w:rPr>
          <w:color w:val="000000"/>
          <w:u w:val="single"/>
        </w:rPr>
        <w:tab/>
        <w:t xml:space="preserve">In prior code buildings, where a dedicated, fire-rated room enclosure is technically infeasible, the replacement of existing indoor concrete encased fuel oil tanks with protected fuel oil tanks of the same capacity listed </w:t>
      </w:r>
      <w:r w:rsidRPr="001B7F77">
        <w:rPr>
          <w:u w:val="single"/>
        </w:rPr>
        <w:t xml:space="preserve">in accordance with </w:t>
      </w:r>
      <w:r w:rsidRPr="001B7F77">
        <w:rPr>
          <w:color w:val="000000"/>
          <w:u w:val="single"/>
        </w:rPr>
        <w:t>UL 2085 shall be permitted.</w:t>
      </w:r>
    </w:p>
    <w:p w14:paraId="5DDF4105" w14:textId="77777777" w:rsidR="001B7F77" w:rsidRPr="001B7F77" w:rsidRDefault="001B7F77" w:rsidP="001B7F77">
      <w:pPr>
        <w:widowControl w:val="0"/>
        <w:suppressAutoHyphens/>
        <w:spacing w:before="120"/>
        <w:ind w:left="360"/>
        <w:rPr>
          <w:color w:val="000000"/>
          <w:u w:val="single"/>
        </w:rPr>
      </w:pPr>
      <w:r w:rsidRPr="001B7F77">
        <w:rPr>
          <w:b/>
          <w:bCs/>
          <w:u w:val="single"/>
        </w:rPr>
        <w:t>809.14.1 Existing fuel oil piping system to comply with current code.</w:t>
      </w:r>
      <w:r w:rsidRPr="001B7F77">
        <w:rPr>
          <w:u w:val="single"/>
        </w:rPr>
        <w:t xml:space="preserve"> An existing </w:t>
      </w:r>
      <w:bookmarkStart w:id="189" w:name="_Hlk70495013"/>
      <w:r w:rsidRPr="001B7F77">
        <w:rPr>
          <w:u w:val="single"/>
        </w:rPr>
        <w:t xml:space="preserve">fuel oil piping system shall be made to comply with the </w:t>
      </w:r>
      <w:bookmarkEnd w:id="189"/>
      <w:r w:rsidRPr="001B7F77">
        <w:rPr>
          <w:i/>
          <w:iCs/>
          <w:u w:val="single"/>
        </w:rPr>
        <w:t>New York City Mechanical Code</w:t>
      </w:r>
      <w:r w:rsidRPr="001B7F77">
        <w:rPr>
          <w:u w:val="single"/>
        </w:rPr>
        <w:t xml:space="preserve"> if any of the following apply:</w:t>
      </w:r>
    </w:p>
    <w:p w14:paraId="58CE4EB5" w14:textId="77777777" w:rsidR="001B7F77" w:rsidRPr="001B7F77" w:rsidRDefault="001B7F77" w:rsidP="001B7F77">
      <w:pPr>
        <w:widowControl w:val="0"/>
        <w:suppressAutoHyphens/>
        <w:spacing w:before="120"/>
        <w:ind w:left="1080" w:hanging="360"/>
        <w:rPr>
          <w:color w:val="000000"/>
          <w:u w:val="single"/>
        </w:rPr>
      </w:pPr>
      <w:r w:rsidRPr="001B7F77">
        <w:rPr>
          <w:color w:val="000000"/>
          <w:u w:val="single"/>
        </w:rPr>
        <w:t>1.</w:t>
      </w:r>
      <w:r w:rsidRPr="001B7F77">
        <w:rPr>
          <w:color w:val="000000"/>
          <w:u w:val="single"/>
        </w:rPr>
        <w:tab/>
        <w:t>The</w:t>
      </w:r>
      <w:r w:rsidRPr="001B7F77">
        <w:rPr>
          <w:u w:val="single"/>
        </w:rPr>
        <w:t xml:space="preserve"> a</w:t>
      </w:r>
      <w:r w:rsidRPr="001B7F77">
        <w:rPr>
          <w:color w:val="000000"/>
          <w:u w:val="single"/>
        </w:rPr>
        <w:t>ddition of a generator is not provided for by future valved, capped outlets on a header.</w:t>
      </w:r>
    </w:p>
    <w:p w14:paraId="7DAE5330" w14:textId="77777777" w:rsidR="001B7F77" w:rsidRPr="001B7F77" w:rsidRDefault="001B7F77" w:rsidP="001B7F77">
      <w:pPr>
        <w:widowControl w:val="0"/>
        <w:suppressAutoHyphens/>
        <w:spacing w:before="120"/>
        <w:ind w:left="1080" w:hanging="360"/>
        <w:rPr>
          <w:color w:val="000000"/>
          <w:u w:val="single"/>
        </w:rPr>
      </w:pPr>
      <w:r w:rsidRPr="001B7F77">
        <w:rPr>
          <w:color w:val="000000"/>
          <w:u w:val="single"/>
        </w:rPr>
        <w:t>2.</w:t>
      </w:r>
      <w:r w:rsidRPr="001B7F77">
        <w:rPr>
          <w:color w:val="000000"/>
          <w:u w:val="single"/>
        </w:rPr>
        <w:tab/>
        <w:t>The addition or replacement of fuel oil piping exceeds 50% of the existing system piping lengths.</w:t>
      </w:r>
    </w:p>
    <w:p w14:paraId="23BA45AF" w14:textId="77777777" w:rsidR="001B7F77" w:rsidRPr="001B7F77" w:rsidRDefault="001B7F77" w:rsidP="001B7F77">
      <w:pPr>
        <w:widowControl w:val="0"/>
        <w:suppressAutoHyphens/>
        <w:spacing w:before="120"/>
        <w:ind w:left="1080" w:hanging="360"/>
        <w:rPr>
          <w:color w:val="000000"/>
          <w:u w:val="single"/>
        </w:rPr>
      </w:pPr>
      <w:r w:rsidRPr="001B7F77">
        <w:rPr>
          <w:color w:val="000000"/>
          <w:u w:val="single"/>
        </w:rPr>
        <w:t>3.</w:t>
      </w:r>
      <w:r w:rsidRPr="001B7F77">
        <w:rPr>
          <w:color w:val="000000"/>
          <w:u w:val="single"/>
        </w:rPr>
        <w:tab/>
        <w:t>The addition of fuel oil pumping exceeds 50% of existing pumping capacity.</w:t>
      </w:r>
    </w:p>
    <w:p w14:paraId="3C101E1F" w14:textId="77777777" w:rsidR="001B7F77" w:rsidRPr="001B7F77" w:rsidRDefault="001B7F77" w:rsidP="001B7F77">
      <w:pPr>
        <w:widowControl w:val="0"/>
        <w:suppressAutoHyphens/>
        <w:spacing w:before="120"/>
        <w:ind w:left="360"/>
        <w:rPr>
          <w:u w:val="single"/>
        </w:rPr>
      </w:pPr>
      <w:r w:rsidRPr="001B7F77">
        <w:rPr>
          <w:b/>
          <w:bCs/>
          <w:u w:val="single"/>
        </w:rPr>
        <w:t>809.14.2 Outdoor fuel oil piping in existing buildings.</w:t>
      </w:r>
      <w:r w:rsidRPr="001B7F77">
        <w:rPr>
          <w:u w:val="single"/>
        </w:rPr>
        <w:t xml:space="preserve"> Outdoor fuel oil piping supplying existing buildings, including both horizontal and vertical piping, utilizing pumps to transfer fuel oil to appliances at levels above the lowest floor or to storage tanks at levels above the lowest floor in buildings shall comply with the following:</w:t>
      </w:r>
    </w:p>
    <w:p w14:paraId="5160530B" w14:textId="77777777" w:rsidR="001B7F77" w:rsidRPr="001B7F77" w:rsidRDefault="001B7F77" w:rsidP="001B7F77">
      <w:pPr>
        <w:widowControl w:val="0"/>
        <w:suppressAutoHyphens/>
        <w:spacing w:before="120"/>
        <w:ind w:left="1080" w:hanging="360"/>
        <w:rPr>
          <w:rFonts w:eastAsia="Calibri"/>
          <w:color w:val="000000"/>
          <w:u w:val="single"/>
        </w:rPr>
      </w:pPr>
      <w:r w:rsidRPr="001B7F77">
        <w:rPr>
          <w:rFonts w:eastAsia="Calibri"/>
          <w:color w:val="000000"/>
          <w:u w:val="single"/>
        </w:rPr>
        <w:t>1.</w:t>
      </w:r>
      <w:r w:rsidRPr="001B7F77">
        <w:rPr>
          <w:rFonts w:eastAsia="Calibri"/>
          <w:color w:val="000000"/>
          <w:u w:val="single"/>
        </w:rPr>
        <w:tab/>
        <w:t>Vertical piping shall be located a minimum of 10 feet (3048 mm) from lot lines or a 2-hour fire-rated-enclosure shall be provided.</w:t>
      </w:r>
    </w:p>
    <w:p w14:paraId="775EA748" w14:textId="77777777" w:rsidR="001B7F77" w:rsidRPr="001B7F77" w:rsidRDefault="001B7F77" w:rsidP="001B7F77">
      <w:pPr>
        <w:widowControl w:val="0"/>
        <w:suppressAutoHyphens/>
        <w:spacing w:before="120"/>
        <w:ind w:left="1080" w:hanging="360"/>
        <w:rPr>
          <w:u w:val="single"/>
        </w:rPr>
      </w:pPr>
      <w:r w:rsidRPr="001B7F77">
        <w:rPr>
          <w:u w:val="single"/>
        </w:rPr>
        <w:t>2.</w:t>
      </w:r>
      <w:r w:rsidRPr="001B7F77">
        <w:rPr>
          <w:u w:val="single"/>
        </w:rPr>
        <w:tab/>
        <w:t>Vertical piping shall be located a minimum of 3 feet (914 mm) from building openings and combustible construction.</w:t>
      </w:r>
    </w:p>
    <w:p w14:paraId="054470A4" w14:textId="77777777" w:rsidR="001B7F77" w:rsidRPr="001B7F77" w:rsidRDefault="001B7F77" w:rsidP="001B7F77">
      <w:pPr>
        <w:widowControl w:val="0"/>
        <w:suppressAutoHyphens/>
        <w:spacing w:before="120"/>
        <w:ind w:left="1080" w:hanging="360"/>
        <w:rPr>
          <w:u w:val="single"/>
        </w:rPr>
      </w:pPr>
      <w:r w:rsidRPr="001B7F77">
        <w:rPr>
          <w:u w:val="single"/>
        </w:rPr>
        <w:t>3.</w:t>
      </w:r>
      <w:r w:rsidRPr="001B7F77">
        <w:rPr>
          <w:u w:val="single"/>
        </w:rPr>
        <w:tab/>
        <w:t xml:space="preserve">Vertical outdoor fuel oil piping shall be enclosed in a fully welded outer containment of at least No. 10 standard Gage steel sized in accordance with Section 1305.9.3.2 of the </w:t>
      </w:r>
      <w:r w:rsidRPr="001B7F77">
        <w:rPr>
          <w:i/>
          <w:iCs/>
          <w:u w:val="single"/>
        </w:rPr>
        <w:t>New York City Mechanical Code</w:t>
      </w:r>
      <w:r w:rsidRPr="001B7F77">
        <w:rPr>
          <w:u w:val="single"/>
        </w:rPr>
        <w:t>.</w:t>
      </w:r>
    </w:p>
    <w:p w14:paraId="2DA2043E" w14:textId="77777777" w:rsidR="001B7F77" w:rsidRPr="001B7F77" w:rsidRDefault="001B7F77" w:rsidP="001B7F77">
      <w:pPr>
        <w:widowControl w:val="0"/>
        <w:suppressAutoHyphens/>
        <w:spacing w:before="120"/>
        <w:ind w:left="1080" w:hanging="360"/>
        <w:rPr>
          <w:u w:val="single"/>
        </w:rPr>
      </w:pPr>
      <w:r w:rsidRPr="001B7F77">
        <w:rPr>
          <w:u w:val="single"/>
        </w:rPr>
        <w:t>4.</w:t>
      </w:r>
      <w:r w:rsidRPr="001B7F77">
        <w:rPr>
          <w:u w:val="single"/>
        </w:rPr>
        <w:tab/>
        <w:t xml:space="preserve">Horizontal outdoor fuel oil piping shall comply with Section 1305.9.3 of the </w:t>
      </w:r>
      <w:r w:rsidRPr="001B7F77">
        <w:rPr>
          <w:i/>
          <w:iCs/>
          <w:u w:val="single"/>
        </w:rPr>
        <w:t>New York City Mechanical Code</w:t>
      </w:r>
      <w:r w:rsidRPr="001B7F77">
        <w:rPr>
          <w:u w:val="single"/>
        </w:rPr>
        <w:t>.</w:t>
      </w:r>
    </w:p>
    <w:p w14:paraId="3B898EFF" w14:textId="77777777" w:rsidR="001B7F77" w:rsidRPr="001B7F77" w:rsidRDefault="001B7F77" w:rsidP="001B7F77">
      <w:pPr>
        <w:widowControl w:val="0"/>
        <w:suppressAutoHyphens/>
        <w:spacing w:before="120"/>
        <w:ind w:left="1080" w:hanging="360"/>
        <w:rPr>
          <w:u w:val="single"/>
        </w:rPr>
      </w:pPr>
      <w:r w:rsidRPr="001B7F77">
        <w:rPr>
          <w:u w:val="single"/>
        </w:rPr>
        <w:t>5.</w:t>
      </w:r>
      <w:r w:rsidRPr="001B7F77">
        <w:rPr>
          <w:u w:val="single"/>
        </w:rPr>
        <w:tab/>
        <w:t xml:space="preserve">In addition to the requirement of Section 1305.9.4 of the </w:t>
      </w:r>
      <w:r w:rsidRPr="001B7F77">
        <w:rPr>
          <w:i/>
          <w:iCs/>
          <w:u w:val="single"/>
        </w:rPr>
        <w:t>New York City Mechanical Code</w:t>
      </w:r>
      <w:r w:rsidRPr="001B7F77">
        <w:rPr>
          <w:u w:val="single"/>
        </w:rPr>
        <w:t>, a drain pipe shall also be provided from the lowest point in the vertical outdoor containment enclosure to a minimum 55-gallon (208 L) container with a leak detection alarm, arranged so as to sound an alarm and stop the transfer pump. The container may be located immediately inside the building.</w:t>
      </w:r>
    </w:p>
    <w:p w14:paraId="273FA9A0" w14:textId="77777777" w:rsidR="001B7F77" w:rsidRPr="001B7F77" w:rsidRDefault="001B7F77" w:rsidP="001B7F77">
      <w:pPr>
        <w:widowControl w:val="0"/>
        <w:suppressAutoHyphens/>
        <w:spacing w:before="120"/>
        <w:ind w:left="1080" w:hanging="360"/>
        <w:rPr>
          <w:u w:val="single"/>
        </w:rPr>
      </w:pPr>
      <w:r w:rsidRPr="001B7F77">
        <w:rPr>
          <w:u w:val="single"/>
        </w:rPr>
        <w:t>6.</w:t>
      </w:r>
      <w:r w:rsidRPr="001B7F77">
        <w:rPr>
          <w:u w:val="single"/>
        </w:rPr>
        <w:tab/>
        <w:t>Materials and supports directly exposed to the weather shall be stainless steel or other corrosion resistive material.</w:t>
      </w:r>
    </w:p>
    <w:p w14:paraId="505B228F" w14:textId="77777777" w:rsidR="001B7F77" w:rsidRPr="001B7F77" w:rsidRDefault="001B7F77" w:rsidP="001B7F77">
      <w:pPr>
        <w:widowControl w:val="0"/>
        <w:suppressAutoHyphens/>
        <w:spacing w:before="120"/>
        <w:ind w:left="1080" w:hanging="360"/>
        <w:rPr>
          <w:u w:val="single"/>
        </w:rPr>
      </w:pPr>
      <w:r w:rsidRPr="001B7F77">
        <w:rPr>
          <w:u w:val="single"/>
        </w:rPr>
        <w:t>7.</w:t>
      </w:r>
      <w:r w:rsidRPr="001B7F77">
        <w:rPr>
          <w:u w:val="single"/>
        </w:rPr>
        <w:tab/>
        <w:t>Details shall be provided for piping supports and connections to building structure.</w:t>
      </w:r>
    </w:p>
    <w:p w14:paraId="5349B412" w14:textId="77777777" w:rsidR="001B7F77" w:rsidRPr="001B7F77" w:rsidRDefault="001B7F77" w:rsidP="001B7F77">
      <w:pPr>
        <w:widowControl w:val="0"/>
        <w:suppressAutoHyphens/>
        <w:spacing w:before="120"/>
        <w:ind w:left="1080" w:hanging="360"/>
        <w:rPr>
          <w:rFonts w:eastAsia="Calibri"/>
          <w:color w:val="000000"/>
          <w:u w:val="single"/>
        </w:rPr>
      </w:pPr>
      <w:r w:rsidRPr="001B7F77">
        <w:rPr>
          <w:rFonts w:eastAsia="Calibri"/>
          <w:color w:val="000000"/>
          <w:u w:val="single"/>
        </w:rPr>
        <w:t>8.</w:t>
      </w:r>
      <w:r w:rsidRPr="001B7F77">
        <w:rPr>
          <w:rFonts w:eastAsia="Calibri"/>
          <w:color w:val="000000"/>
          <w:u w:val="single"/>
        </w:rPr>
        <w:tab/>
        <w:t xml:space="preserve">Penetrations of building walls shall be encased in a protective pipe sleeve. The annular space between the piping and the sleeve shall be sealed with an approved noncombustible material in accordance with the </w:t>
      </w:r>
      <w:r w:rsidRPr="001B7F77">
        <w:rPr>
          <w:rFonts w:eastAsia="Calibri"/>
          <w:i/>
          <w:iCs/>
          <w:color w:val="000000"/>
          <w:u w:val="single"/>
        </w:rPr>
        <w:t>New York City Building Code</w:t>
      </w:r>
      <w:r w:rsidRPr="001B7F77">
        <w:rPr>
          <w:rFonts w:eastAsia="Calibri"/>
          <w:color w:val="000000"/>
          <w:u w:val="single"/>
        </w:rPr>
        <w:t>.</w:t>
      </w:r>
    </w:p>
    <w:p w14:paraId="4D8DF480" w14:textId="77777777" w:rsidR="001B7F77" w:rsidRPr="001B7F77" w:rsidRDefault="001B7F77" w:rsidP="001B7F77">
      <w:pPr>
        <w:widowControl w:val="0"/>
        <w:suppressAutoHyphens/>
        <w:spacing w:before="120"/>
        <w:ind w:left="1080" w:hanging="360"/>
        <w:rPr>
          <w:rFonts w:eastAsia="Calibri"/>
          <w:color w:val="000000"/>
          <w:u w:val="single"/>
        </w:rPr>
      </w:pPr>
      <w:r w:rsidRPr="001B7F77">
        <w:rPr>
          <w:rFonts w:eastAsia="Calibri"/>
          <w:u w:val="single"/>
        </w:rPr>
        <w:t>9.</w:t>
      </w:r>
      <w:r w:rsidRPr="001B7F77">
        <w:tab/>
      </w:r>
      <w:r w:rsidRPr="001B7F77">
        <w:rPr>
          <w:rFonts w:eastAsia="Calibri"/>
          <w:u w:val="single"/>
        </w:rPr>
        <w:t xml:space="preserve">Piping shall be grounded in accordance with Section 250.104(B) of the </w:t>
      </w:r>
      <w:r w:rsidRPr="001B7F77">
        <w:rPr>
          <w:rFonts w:eastAsia="Calibri"/>
          <w:i/>
          <w:iCs/>
          <w:u w:val="single"/>
        </w:rPr>
        <w:t>New York City Electrical Code</w:t>
      </w:r>
      <w:r w:rsidRPr="001B7F77">
        <w:rPr>
          <w:rFonts w:eastAsia="Calibri"/>
          <w:u w:val="single"/>
        </w:rPr>
        <w:t>.</w:t>
      </w:r>
    </w:p>
    <w:p w14:paraId="59E9A3CC" w14:textId="77777777" w:rsidR="001B7F77" w:rsidRPr="001B7F77" w:rsidRDefault="001B7F77" w:rsidP="001B7F77">
      <w:pPr>
        <w:widowControl w:val="0"/>
        <w:suppressAutoHyphens/>
        <w:spacing w:before="120"/>
        <w:ind w:left="1080" w:hanging="360"/>
        <w:rPr>
          <w:u w:val="single"/>
        </w:rPr>
      </w:pPr>
      <w:r w:rsidRPr="001B7F77">
        <w:rPr>
          <w:u w:val="single"/>
        </w:rPr>
        <w:t>10.</w:t>
      </w:r>
      <w:r w:rsidRPr="001B7F77">
        <w:rPr>
          <w:u w:val="single"/>
        </w:rPr>
        <w:tab/>
        <w:t>Piping shall be protected from vehicle impact and physical damage.</w:t>
      </w:r>
    </w:p>
    <w:p w14:paraId="733DA605" w14:textId="77777777" w:rsidR="001B7F77" w:rsidRPr="001B7F77" w:rsidRDefault="001B7F77" w:rsidP="001B7F77">
      <w:pPr>
        <w:widowControl w:val="0"/>
        <w:suppressAutoHyphens/>
        <w:spacing w:before="120"/>
        <w:ind w:left="1080" w:hanging="360"/>
        <w:rPr>
          <w:color w:val="000000"/>
          <w:u w:val="single"/>
        </w:rPr>
      </w:pPr>
      <w:r w:rsidRPr="001B7F77">
        <w:rPr>
          <w:u w:val="single"/>
        </w:rPr>
        <w:t>11.</w:t>
      </w:r>
      <w:r w:rsidRPr="001B7F77">
        <w:rPr>
          <w:u w:val="single"/>
        </w:rPr>
        <w:tab/>
        <w:t>Flexible fuel oil piping systems shall not be utilized</w:t>
      </w:r>
      <w:r w:rsidRPr="001B7F77">
        <w:rPr>
          <w:color w:val="000000"/>
          <w:u w:val="single"/>
        </w:rPr>
        <w:t xml:space="preserve"> unless such systems are provided with continuous leak detection and are listed and labeled in accordance with UL 1369.</w:t>
      </w:r>
    </w:p>
    <w:p w14:paraId="1F16F0A6" w14:textId="77777777" w:rsidR="001B7F77" w:rsidRPr="001B7F77" w:rsidRDefault="001B7F77" w:rsidP="001B7F77">
      <w:pPr>
        <w:widowControl w:val="0"/>
        <w:suppressAutoHyphens/>
        <w:spacing w:before="120"/>
        <w:ind w:left="1080" w:hanging="360"/>
        <w:rPr>
          <w:u w:val="single"/>
        </w:rPr>
      </w:pPr>
      <w:r w:rsidRPr="001B7F77">
        <w:rPr>
          <w:u w:val="single"/>
        </w:rPr>
        <w:t>12.</w:t>
      </w:r>
      <w:r w:rsidRPr="001B7F77">
        <w:rPr>
          <w:u w:val="single"/>
        </w:rPr>
        <w:tab/>
        <w:t>Piping shall not encroach into the minimum width or height of means of egress.</w:t>
      </w:r>
    </w:p>
    <w:p w14:paraId="4E1ADA42" w14:textId="77777777" w:rsidR="001B7F77" w:rsidRPr="001B7F77" w:rsidRDefault="001B7F77" w:rsidP="001B7F77">
      <w:pPr>
        <w:widowControl w:val="0"/>
        <w:suppressAutoHyphens/>
        <w:spacing w:before="120"/>
        <w:ind w:left="1080" w:hanging="360"/>
        <w:rPr>
          <w:u w:val="single"/>
        </w:rPr>
      </w:pPr>
      <w:r w:rsidRPr="001B7F77">
        <w:rPr>
          <w:u w:val="single"/>
        </w:rPr>
        <w:t>13.</w:t>
      </w:r>
      <w:r w:rsidRPr="001B7F77">
        <w:rPr>
          <w:u w:val="single"/>
        </w:rPr>
        <w:tab/>
        <w:t xml:space="preserve">Roof access shall comply with Section 306.5 of the </w:t>
      </w:r>
      <w:r w:rsidRPr="001B7F77">
        <w:rPr>
          <w:i/>
          <w:iCs/>
          <w:u w:val="single"/>
        </w:rPr>
        <w:t>New York City Mechanical Code</w:t>
      </w:r>
      <w:r w:rsidRPr="001B7F77">
        <w:rPr>
          <w:u w:val="single"/>
        </w:rPr>
        <w:t>.</w:t>
      </w:r>
    </w:p>
    <w:p w14:paraId="7733FA87" w14:textId="77777777" w:rsidR="001B7F77" w:rsidRPr="001B7F77" w:rsidRDefault="001B7F77" w:rsidP="001B7F77">
      <w:pPr>
        <w:widowControl w:val="0"/>
        <w:suppressAutoHyphens/>
        <w:spacing w:before="120"/>
        <w:ind w:left="1080" w:hanging="360"/>
        <w:rPr>
          <w:u w:val="single"/>
        </w:rPr>
      </w:pPr>
      <w:r w:rsidRPr="001B7F77">
        <w:rPr>
          <w:u w:val="single"/>
        </w:rPr>
        <w:t>14.</w:t>
      </w:r>
      <w:r w:rsidRPr="001B7F77">
        <w:rPr>
          <w:u w:val="single"/>
        </w:rPr>
        <w:tab/>
        <w:t>Piping shall be identified by a permanent label or tag at intervals not more than 40 feet (12 192 mm) in length and at all changes of direction. The label or tag shall be located outside of the enclosure.</w:t>
      </w:r>
    </w:p>
    <w:p w14:paraId="201F041B" w14:textId="77777777" w:rsidR="001B7F77" w:rsidRPr="001B7F77" w:rsidRDefault="001B7F77" w:rsidP="001B7F77">
      <w:pPr>
        <w:widowControl w:val="0"/>
        <w:suppressAutoHyphens/>
        <w:spacing w:before="120"/>
        <w:ind w:left="1080" w:hanging="360"/>
        <w:rPr>
          <w:b/>
          <w:u w:val="single"/>
        </w:rPr>
      </w:pPr>
      <w:r w:rsidRPr="001B7F77">
        <w:rPr>
          <w:u w:val="single"/>
        </w:rPr>
        <w:t xml:space="preserve">15. Fuel oil piping on building roofs shall comply with the requirements of the </w:t>
      </w:r>
      <w:r w:rsidRPr="001B7F77">
        <w:rPr>
          <w:i/>
          <w:iCs/>
          <w:u w:val="single"/>
        </w:rPr>
        <w:t>New York City Mechanical Code</w:t>
      </w:r>
      <w:r w:rsidRPr="001B7F77">
        <w:rPr>
          <w:u w:val="single"/>
        </w:rPr>
        <w:t>.</w:t>
      </w:r>
    </w:p>
    <w:p w14:paraId="60ED4B69" w14:textId="77777777" w:rsidR="001B7F77" w:rsidRPr="001B7F77" w:rsidRDefault="001B7F77" w:rsidP="001B7F77">
      <w:pPr>
        <w:widowControl w:val="0"/>
        <w:suppressAutoHyphens/>
        <w:spacing w:before="120"/>
        <w:ind w:left="720"/>
        <w:rPr>
          <w:u w:val="single"/>
        </w:rPr>
      </w:pPr>
      <w:r w:rsidRPr="001B7F77">
        <w:rPr>
          <w:b/>
          <w:bCs/>
          <w:u w:val="single"/>
        </w:rPr>
        <w:t xml:space="preserve">809.14.3 Ventilation of fuel oil storage tank rooms. </w:t>
      </w:r>
      <w:r w:rsidRPr="001B7F77">
        <w:rPr>
          <w:u w:val="single"/>
        </w:rPr>
        <w:t>Replacement of tanks in prior code buildings may utilize an existing gravity ventilation system complying with the following:</w:t>
      </w:r>
    </w:p>
    <w:p w14:paraId="0A72DF8D" w14:textId="77777777" w:rsidR="001B7F77" w:rsidRPr="001B7F77" w:rsidRDefault="001B7F77" w:rsidP="001B7F77">
      <w:pPr>
        <w:widowControl w:val="0"/>
        <w:suppressAutoHyphens/>
        <w:spacing w:before="120"/>
        <w:ind w:left="1440" w:hanging="360"/>
        <w:rPr>
          <w:u w:val="single"/>
        </w:rPr>
      </w:pPr>
      <w:r w:rsidRPr="001B7F77">
        <w:rPr>
          <w:u w:val="single"/>
        </w:rPr>
        <w:t>1.</w:t>
      </w:r>
      <w:r w:rsidRPr="001B7F77">
        <w:rPr>
          <w:u w:val="single"/>
        </w:rPr>
        <w:tab/>
        <w:t>Independent supply and exhaust openings or ducts discharging to the outside shall be provided; and</w:t>
      </w:r>
    </w:p>
    <w:p w14:paraId="73F6E6FB" w14:textId="77777777" w:rsidR="001B7F77" w:rsidRPr="001B7F77" w:rsidRDefault="001B7F77" w:rsidP="001B7F77">
      <w:pPr>
        <w:widowControl w:val="0"/>
        <w:suppressAutoHyphens/>
        <w:spacing w:before="120"/>
        <w:ind w:left="1440" w:hanging="360"/>
        <w:rPr>
          <w:u w:val="single"/>
        </w:rPr>
      </w:pPr>
      <w:r w:rsidRPr="001B7F77">
        <w:rPr>
          <w:u w:val="single"/>
        </w:rPr>
        <w:t>2.</w:t>
      </w:r>
      <w:r w:rsidRPr="001B7F77">
        <w:rPr>
          <w:u w:val="single"/>
        </w:rPr>
        <w:tab/>
        <w:t>The total net free area of supply and exhaust openings shall be equal to at least 1 percent of the floor area of the room equally divided between the supply and exhaust.</w:t>
      </w:r>
    </w:p>
    <w:p w14:paraId="62082551" w14:textId="77777777" w:rsidR="001B7F77" w:rsidRPr="001B7F77" w:rsidRDefault="001B7F77" w:rsidP="001B7F77">
      <w:pPr>
        <w:widowControl w:val="0"/>
        <w:suppressAutoHyphens/>
        <w:spacing w:before="120"/>
        <w:rPr>
          <w:color w:val="000000"/>
        </w:rPr>
      </w:pPr>
      <w:r w:rsidRPr="001B7F77">
        <w:rPr>
          <w:b/>
          <w:bCs/>
          <w:u w:val="single"/>
        </w:rPr>
        <w:t>809.15 Solar systems</w:t>
      </w:r>
      <w:r w:rsidRPr="001B7F77">
        <w:rPr>
          <w:u w:val="single"/>
        </w:rPr>
        <w:t xml:space="preserve">. Solar systems shall comply with Chapter 14 of the </w:t>
      </w:r>
      <w:r w:rsidRPr="001B7F77">
        <w:rPr>
          <w:i/>
          <w:iCs/>
          <w:u w:val="single"/>
        </w:rPr>
        <w:t>New York City Mechanical Code</w:t>
      </w:r>
      <w:r w:rsidRPr="001B7F77">
        <w:rPr>
          <w:u w:val="single"/>
        </w:rPr>
        <w:t>.</w:t>
      </w:r>
    </w:p>
    <w:p w14:paraId="6D8C7142" w14:textId="77777777" w:rsidR="001B7F77" w:rsidRPr="001B7F77" w:rsidRDefault="001B7F77" w:rsidP="001B7F77">
      <w:pPr>
        <w:widowControl w:val="0"/>
        <w:suppressAutoHyphens/>
        <w:spacing w:before="120"/>
        <w:jc w:val="center"/>
        <w:outlineLvl w:val="0"/>
        <w:rPr>
          <w:rFonts w:eastAsia="Times"/>
          <w:b/>
          <w:u w:val="single"/>
        </w:rPr>
      </w:pPr>
    </w:p>
    <w:p w14:paraId="3FE1F334" w14:textId="77777777" w:rsidR="001B7F77" w:rsidRPr="001B7F77" w:rsidRDefault="001B7F77" w:rsidP="001B7F77">
      <w:pPr>
        <w:widowControl w:val="0"/>
        <w:suppressAutoHyphens/>
        <w:spacing w:before="120"/>
        <w:jc w:val="center"/>
        <w:outlineLvl w:val="0"/>
        <w:rPr>
          <w:rFonts w:eastAsia="Times"/>
          <w:b/>
          <w:u w:val="single"/>
        </w:rPr>
      </w:pPr>
      <w:r w:rsidRPr="001B7F77">
        <w:rPr>
          <w:rFonts w:eastAsia="Times"/>
          <w:b/>
          <w:u w:val="single"/>
        </w:rPr>
        <w:t>SECTION EBC 810</w:t>
      </w:r>
      <w:r w:rsidRPr="001B7F77">
        <w:rPr>
          <w:rFonts w:eastAsia="Times"/>
          <w:b/>
          <w:u w:val="single"/>
        </w:rPr>
        <w:br/>
        <w:t>PLUMBING</w:t>
      </w:r>
    </w:p>
    <w:p w14:paraId="5A3BE00A" w14:textId="77777777" w:rsidR="001B7F77" w:rsidRPr="001B7F77" w:rsidRDefault="001B7F77" w:rsidP="001B7F77">
      <w:pPr>
        <w:widowControl w:val="0"/>
        <w:suppressAutoHyphens/>
        <w:spacing w:before="120"/>
      </w:pPr>
      <w:r w:rsidRPr="001B7F77">
        <w:rPr>
          <w:b/>
          <w:u w:val="single"/>
        </w:rPr>
        <w:t>810.1</w:t>
      </w:r>
      <w:r w:rsidRPr="001B7F77">
        <w:rPr>
          <w:u w:val="single"/>
        </w:rPr>
        <w:t xml:space="preserve"> </w:t>
      </w:r>
      <w:r w:rsidRPr="001B7F77">
        <w:rPr>
          <w:b/>
          <w:u w:val="single"/>
        </w:rPr>
        <w:t>General</w:t>
      </w:r>
      <w:r w:rsidRPr="001B7F77">
        <w:rPr>
          <w:u w:val="single"/>
        </w:rPr>
        <w:t xml:space="preserve">. Plumbing systems including elements and system components, piping and fixtures within the work area in buildings undergoing alteration Level 1 or within rooms or spaces where work on stand-alone systems as described in Section 601.2.3.3 occurs shall comply with the </w:t>
      </w:r>
      <w:r w:rsidRPr="001B7F77">
        <w:rPr>
          <w:i/>
          <w:iCs/>
          <w:u w:val="single"/>
        </w:rPr>
        <w:t>New York City Plumbing Code</w:t>
      </w:r>
      <w:r w:rsidRPr="001B7F77">
        <w:rPr>
          <w:u w:val="single"/>
        </w:rPr>
        <w:t>, Section 310 of this code and this section, as applicable.</w:t>
      </w:r>
    </w:p>
    <w:p w14:paraId="460ECAC8" w14:textId="77777777" w:rsidR="001B7F77" w:rsidRPr="001B7F77" w:rsidRDefault="001B7F77" w:rsidP="001B7F77">
      <w:pPr>
        <w:widowControl w:val="0"/>
        <w:suppressAutoHyphens/>
        <w:spacing w:before="120"/>
      </w:pPr>
      <w:r w:rsidRPr="001B7F77">
        <w:rPr>
          <w:b/>
          <w:u w:val="single"/>
        </w:rPr>
        <w:t>810.2 Insulation of concealed piping.</w:t>
      </w:r>
      <w:r w:rsidRPr="001B7F77">
        <w:rPr>
          <w:u w:val="single"/>
        </w:rPr>
        <w:t xml:space="preserve"> To the extent required by the </w:t>
      </w:r>
      <w:r w:rsidRPr="001B7F77">
        <w:rPr>
          <w:i/>
          <w:iCs/>
          <w:u w:val="single"/>
        </w:rPr>
        <w:t>New York City Energy Conservation Code</w:t>
      </w:r>
      <w:r w:rsidRPr="001B7F77">
        <w:rPr>
          <w:u w:val="single"/>
        </w:rPr>
        <w:t>, where concealed existing piping is exposed during a Level 1 alteration, such piping shall be insulated as required by Section 302.9.4 of this code.</w:t>
      </w:r>
    </w:p>
    <w:p w14:paraId="40862AC1" w14:textId="77777777" w:rsidR="001B7F77" w:rsidRPr="001B7F77" w:rsidRDefault="001B7F77" w:rsidP="001B7F77">
      <w:pPr>
        <w:widowControl w:val="0"/>
        <w:suppressAutoHyphens/>
        <w:spacing w:before="120"/>
        <w:jc w:val="center"/>
        <w:outlineLvl w:val="0"/>
        <w:rPr>
          <w:rFonts w:eastAsia="Times"/>
          <w:b/>
          <w:u w:val="single"/>
        </w:rPr>
      </w:pPr>
    </w:p>
    <w:p w14:paraId="76230E9E" w14:textId="77777777" w:rsidR="001B7F77" w:rsidRPr="001B7F77" w:rsidRDefault="001B7F77" w:rsidP="001B7F77">
      <w:pPr>
        <w:widowControl w:val="0"/>
        <w:suppressAutoHyphens/>
        <w:spacing w:before="120"/>
        <w:jc w:val="center"/>
        <w:outlineLvl w:val="0"/>
        <w:rPr>
          <w:rFonts w:eastAsia="Times"/>
          <w:b/>
          <w:u w:val="single"/>
        </w:rPr>
      </w:pPr>
      <w:r w:rsidRPr="001B7F77">
        <w:rPr>
          <w:rFonts w:eastAsia="Times"/>
          <w:b/>
          <w:u w:val="single"/>
        </w:rPr>
        <w:t>SECTION EBC 811</w:t>
      </w:r>
      <w:r w:rsidRPr="001B7F77">
        <w:rPr>
          <w:rFonts w:eastAsia="Times"/>
          <w:b/>
          <w:u w:val="single"/>
        </w:rPr>
        <w:br/>
        <w:t>FUEL GAS SYSTEMS</w:t>
      </w:r>
    </w:p>
    <w:p w14:paraId="39F4C1CE" w14:textId="77777777" w:rsidR="001B7F77" w:rsidRPr="001B7F77" w:rsidRDefault="001B7F77" w:rsidP="001B7F77">
      <w:pPr>
        <w:widowControl w:val="0"/>
        <w:suppressAutoHyphens/>
        <w:spacing w:before="120"/>
      </w:pPr>
      <w:r w:rsidRPr="001B7F77">
        <w:rPr>
          <w:b/>
          <w:u w:val="single"/>
        </w:rPr>
        <w:t xml:space="preserve">811.1 General. </w:t>
      </w:r>
      <w:r w:rsidRPr="001B7F77">
        <w:rPr>
          <w:u w:val="single"/>
        </w:rPr>
        <w:t>Alterations made to fuel gas systems including piping, appliances and components shall be in compliance with Section 311 and this section, as applicable.</w:t>
      </w:r>
    </w:p>
    <w:p w14:paraId="7DBBBFCB" w14:textId="77777777" w:rsidR="001B7F77" w:rsidRPr="001B7F77" w:rsidRDefault="001B7F77" w:rsidP="001B7F77">
      <w:pPr>
        <w:widowControl w:val="0"/>
        <w:suppressAutoHyphens/>
        <w:spacing w:before="120"/>
      </w:pPr>
      <w:r w:rsidRPr="001B7F77">
        <w:rPr>
          <w:b/>
          <w:u w:val="single"/>
        </w:rPr>
        <w:t xml:space="preserve">811.2 Fuel burning appliances in dwelling units. </w:t>
      </w:r>
      <w:r w:rsidRPr="001B7F77">
        <w:rPr>
          <w:u w:val="single"/>
        </w:rPr>
        <w:t xml:space="preserve">Installation of fuel burning appliances in dwelling units shall require the installation of carbon monoxide detection in accordance with Section 915.1 of the </w:t>
      </w:r>
      <w:r w:rsidRPr="001B7F77">
        <w:rPr>
          <w:i/>
          <w:iCs/>
          <w:u w:val="single"/>
        </w:rPr>
        <w:t>New York City Building Code</w:t>
      </w:r>
      <w:r w:rsidRPr="001B7F77">
        <w:rPr>
          <w:u w:val="single"/>
        </w:rPr>
        <w:t>.</w:t>
      </w:r>
    </w:p>
    <w:p w14:paraId="26B9C549" w14:textId="77777777" w:rsidR="001B7F77" w:rsidRPr="001B7F77" w:rsidRDefault="001B7F77" w:rsidP="001B7F77">
      <w:pPr>
        <w:widowControl w:val="0"/>
        <w:suppressAutoHyphens/>
        <w:spacing w:before="120"/>
        <w:jc w:val="center"/>
        <w:outlineLvl w:val="0"/>
        <w:rPr>
          <w:rFonts w:eastAsia="Times"/>
          <w:b/>
          <w:u w:val="single"/>
        </w:rPr>
      </w:pPr>
    </w:p>
    <w:p w14:paraId="3FD242C8" w14:textId="77777777" w:rsidR="001B7F77" w:rsidRPr="001B7F77" w:rsidRDefault="001B7F77" w:rsidP="001B7F77">
      <w:pPr>
        <w:widowControl w:val="0"/>
        <w:suppressAutoHyphens/>
        <w:spacing w:before="120"/>
        <w:jc w:val="center"/>
        <w:outlineLvl w:val="0"/>
        <w:rPr>
          <w:rFonts w:eastAsia="Times"/>
          <w:b/>
          <w:u w:val="single"/>
        </w:rPr>
      </w:pPr>
      <w:r w:rsidRPr="001B7F77">
        <w:rPr>
          <w:rFonts w:eastAsia="Times"/>
          <w:b/>
          <w:u w:val="single"/>
        </w:rPr>
        <w:t>SECTION EBC 812</w:t>
      </w:r>
      <w:r w:rsidRPr="001B7F77">
        <w:rPr>
          <w:rFonts w:eastAsia="Times"/>
          <w:b/>
          <w:u w:val="single"/>
        </w:rPr>
        <w:br/>
        <w:t>ELEVATORS AND CONVEYING SYSTEMS</w:t>
      </w:r>
    </w:p>
    <w:p w14:paraId="0058D484" w14:textId="77777777" w:rsidR="001B7F77" w:rsidRPr="001B7F77" w:rsidRDefault="001B7F77" w:rsidP="001B7F77">
      <w:pPr>
        <w:suppressAutoHyphens/>
        <w:autoSpaceDE w:val="0"/>
        <w:autoSpaceDN w:val="0"/>
        <w:spacing w:before="120"/>
        <w:jc w:val="left"/>
        <w:rPr>
          <w:rFonts w:ascii="TimesNewRoman" w:eastAsia="TimesNewRoman"/>
          <w:color w:val="000000"/>
          <w:szCs w:val="24"/>
        </w:rPr>
      </w:pPr>
      <w:r w:rsidRPr="001B7F77">
        <w:rPr>
          <w:b/>
          <w:color w:val="000000"/>
          <w:u w:val="single"/>
        </w:rPr>
        <w:t>812.1 General.</w:t>
      </w:r>
      <w:r w:rsidRPr="001B7F77">
        <w:rPr>
          <w:rFonts w:ascii="TimesNewRoman,Bold" w:eastAsia="TimesNewRoman,Bold"/>
          <w:b/>
          <w:bCs/>
          <w:color w:val="000000"/>
          <w:szCs w:val="24"/>
          <w:u w:val="single"/>
        </w:rPr>
        <w:t xml:space="preserve"> </w:t>
      </w:r>
      <w:r w:rsidRPr="001B7F77">
        <w:rPr>
          <w:color w:val="000000"/>
          <w:u w:val="single"/>
        </w:rPr>
        <w:t xml:space="preserve">Alterations made to existing elevators and conveying systems shall comply with Chapter 30 and ASME A17.1 as modified by Appendix K of the </w:t>
      </w:r>
      <w:r w:rsidRPr="001B7F77">
        <w:rPr>
          <w:i/>
          <w:iCs/>
          <w:color w:val="000000"/>
          <w:u w:val="single"/>
        </w:rPr>
        <w:t>New York City Building Code</w:t>
      </w:r>
      <w:r w:rsidRPr="001B7F77">
        <w:rPr>
          <w:color w:val="000000"/>
          <w:u w:val="single"/>
        </w:rPr>
        <w:t>, as applicable, and this section. Work listed in Table 812.1 shall be considered a Level 1 Alteration.</w:t>
      </w:r>
      <w:r w:rsidRPr="001B7F77">
        <w:rPr>
          <w:rFonts w:ascii="TimesNewRoman" w:eastAsia="TimesNewRoman" w:hint="eastAsia"/>
          <w:color w:val="000000"/>
          <w:szCs w:val="24"/>
        </w:rPr>
        <w:t xml:space="preserve"> </w:t>
      </w:r>
    </w:p>
    <w:p w14:paraId="6ADD87F8" w14:textId="77777777" w:rsidR="001B7F77" w:rsidRPr="001B7F77" w:rsidRDefault="001B7F77" w:rsidP="001B7F77">
      <w:pPr>
        <w:widowControl w:val="0"/>
        <w:suppressAutoHyphens/>
        <w:spacing w:before="120"/>
        <w:jc w:val="center"/>
        <w:outlineLvl w:val="0"/>
        <w:rPr>
          <w:rFonts w:eastAsia="Times"/>
          <w:b/>
          <w:szCs w:val="24"/>
          <w:vertAlign w:val="superscript"/>
        </w:rPr>
      </w:pPr>
      <w:r w:rsidRPr="001B7F77">
        <w:rPr>
          <w:b/>
          <w:color w:val="000000"/>
          <w:u w:val="single"/>
        </w:rPr>
        <w:t>TABLE 812.1 – Level 1 Alteration Work</w:t>
      </w:r>
      <w:r w:rsidRPr="001B7F77">
        <w:rPr>
          <w:rFonts w:eastAsia="Times"/>
          <w:b/>
          <w:szCs w:val="24"/>
          <w:vertAlign w:val="superscript"/>
        </w:rPr>
        <w:t>a</w:t>
      </w: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1"/>
        <w:gridCol w:w="1937"/>
        <w:gridCol w:w="1367"/>
        <w:gridCol w:w="5255"/>
      </w:tblGrid>
      <w:tr w:rsidR="001B7F77" w:rsidRPr="001B7F77" w14:paraId="3789A81B" w14:textId="77777777" w:rsidTr="006655A1">
        <w:trPr>
          <w:trHeight w:val="900"/>
        </w:trPr>
        <w:tc>
          <w:tcPr>
            <w:tcW w:w="1011" w:type="dxa"/>
            <w:tcBorders>
              <w:top w:val="single" w:sz="4" w:space="0" w:color="000000"/>
              <w:left w:val="single" w:sz="4" w:space="0" w:color="000000"/>
              <w:bottom w:val="single" w:sz="4" w:space="0" w:color="000000"/>
              <w:right w:val="single" w:sz="4" w:space="0" w:color="000000"/>
            </w:tcBorders>
            <w:hideMark/>
          </w:tcPr>
          <w:p w14:paraId="4FB621E4" w14:textId="77777777" w:rsidR="001B7F77" w:rsidRPr="001B7F77" w:rsidRDefault="001B7F77" w:rsidP="001B7F77">
            <w:pPr>
              <w:suppressAutoHyphens/>
              <w:spacing w:before="120"/>
              <w:jc w:val="left"/>
              <w:rPr>
                <w:rFonts w:eastAsia="Times"/>
                <w:b/>
                <w:szCs w:val="24"/>
                <w:u w:val="single"/>
              </w:rPr>
            </w:pPr>
            <w:r w:rsidRPr="001B7F77">
              <w:rPr>
                <w:rFonts w:eastAsia="Times"/>
                <w:b/>
                <w:szCs w:val="24"/>
                <w:u w:val="single"/>
              </w:rPr>
              <w:t>A17.1 Section</w:t>
            </w:r>
          </w:p>
        </w:tc>
        <w:tc>
          <w:tcPr>
            <w:tcW w:w="1937" w:type="dxa"/>
            <w:tcBorders>
              <w:top w:val="single" w:sz="4" w:space="0" w:color="000000"/>
              <w:left w:val="single" w:sz="4" w:space="0" w:color="000000"/>
              <w:bottom w:val="single" w:sz="4" w:space="0" w:color="000000"/>
              <w:right w:val="single" w:sz="4" w:space="0" w:color="000000"/>
            </w:tcBorders>
            <w:hideMark/>
          </w:tcPr>
          <w:p w14:paraId="193F062A" w14:textId="77777777" w:rsidR="001B7F77" w:rsidRPr="001B7F77" w:rsidRDefault="001B7F77" w:rsidP="001B7F77">
            <w:pPr>
              <w:suppressAutoHyphens/>
              <w:spacing w:before="120"/>
              <w:jc w:val="left"/>
              <w:rPr>
                <w:rFonts w:eastAsia="Times"/>
                <w:b/>
                <w:szCs w:val="24"/>
                <w:u w:val="single"/>
              </w:rPr>
            </w:pPr>
            <w:r w:rsidRPr="001B7F77">
              <w:rPr>
                <w:rFonts w:eastAsia="Times"/>
                <w:b/>
                <w:szCs w:val="24"/>
                <w:u w:val="single"/>
              </w:rPr>
              <w:t>Name of A17.1 Section</w:t>
            </w:r>
          </w:p>
        </w:tc>
        <w:tc>
          <w:tcPr>
            <w:tcW w:w="1367" w:type="dxa"/>
            <w:tcBorders>
              <w:top w:val="single" w:sz="4" w:space="0" w:color="000000"/>
              <w:left w:val="single" w:sz="4" w:space="0" w:color="000000"/>
              <w:bottom w:val="single" w:sz="4" w:space="0" w:color="000000"/>
              <w:right w:val="single" w:sz="4" w:space="0" w:color="000000"/>
            </w:tcBorders>
            <w:hideMark/>
          </w:tcPr>
          <w:p w14:paraId="21DC4709" w14:textId="77777777" w:rsidR="001B7F77" w:rsidRPr="001B7F77" w:rsidRDefault="001B7F77" w:rsidP="001B7F77">
            <w:pPr>
              <w:suppressAutoHyphens/>
              <w:spacing w:before="120"/>
              <w:jc w:val="left"/>
              <w:rPr>
                <w:rFonts w:eastAsia="Times"/>
                <w:b/>
                <w:szCs w:val="24"/>
                <w:u w:val="single"/>
              </w:rPr>
            </w:pPr>
            <w:r w:rsidRPr="001B7F77">
              <w:rPr>
                <w:rFonts w:eastAsia="Times"/>
                <w:b/>
                <w:szCs w:val="24"/>
                <w:u w:val="single"/>
              </w:rPr>
              <w:t>A17.1 Sub-section</w:t>
            </w:r>
          </w:p>
        </w:tc>
        <w:tc>
          <w:tcPr>
            <w:tcW w:w="5255" w:type="dxa"/>
            <w:tcBorders>
              <w:top w:val="single" w:sz="4" w:space="0" w:color="000000"/>
              <w:left w:val="single" w:sz="4" w:space="0" w:color="000000"/>
              <w:bottom w:val="single" w:sz="4" w:space="0" w:color="000000"/>
              <w:right w:val="single" w:sz="4" w:space="0" w:color="000000"/>
            </w:tcBorders>
            <w:hideMark/>
          </w:tcPr>
          <w:p w14:paraId="1A9DEC94" w14:textId="77777777" w:rsidR="001B7F77" w:rsidRPr="001B7F77" w:rsidRDefault="001B7F77" w:rsidP="001B7F77">
            <w:pPr>
              <w:suppressAutoHyphens/>
              <w:spacing w:before="120"/>
              <w:jc w:val="left"/>
              <w:rPr>
                <w:rFonts w:eastAsia="Times"/>
                <w:b/>
                <w:szCs w:val="24"/>
                <w:u w:val="single"/>
              </w:rPr>
            </w:pPr>
            <w:r w:rsidRPr="001B7F77">
              <w:rPr>
                <w:rFonts w:eastAsia="Times"/>
                <w:b/>
                <w:szCs w:val="24"/>
                <w:u w:val="single"/>
              </w:rPr>
              <w:t>Name of A17.1 Sub-section</w:t>
            </w:r>
          </w:p>
        </w:tc>
      </w:tr>
      <w:tr w:rsidR="001B7F77" w:rsidRPr="001B7F77" w14:paraId="774BF4D5" w14:textId="77777777" w:rsidTr="006655A1">
        <w:tc>
          <w:tcPr>
            <w:tcW w:w="1011" w:type="dxa"/>
            <w:tcBorders>
              <w:top w:val="single" w:sz="4" w:space="0" w:color="000000"/>
              <w:left w:val="single" w:sz="4" w:space="0" w:color="000000"/>
              <w:bottom w:val="single" w:sz="4" w:space="0" w:color="000000"/>
              <w:right w:val="single" w:sz="4" w:space="0" w:color="000000"/>
            </w:tcBorders>
            <w:hideMark/>
          </w:tcPr>
          <w:p w14:paraId="3702F272"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8.6.3</w:t>
            </w:r>
          </w:p>
        </w:tc>
        <w:tc>
          <w:tcPr>
            <w:tcW w:w="1937" w:type="dxa"/>
            <w:tcBorders>
              <w:top w:val="single" w:sz="4" w:space="0" w:color="000000"/>
              <w:left w:val="single" w:sz="4" w:space="0" w:color="000000"/>
              <w:bottom w:val="single" w:sz="4" w:space="0" w:color="000000"/>
              <w:right w:val="single" w:sz="4" w:space="0" w:color="000000"/>
            </w:tcBorders>
            <w:hideMark/>
          </w:tcPr>
          <w:p w14:paraId="071BC2B4"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Replacements</w:t>
            </w:r>
          </w:p>
        </w:tc>
        <w:tc>
          <w:tcPr>
            <w:tcW w:w="1367" w:type="dxa"/>
            <w:tcBorders>
              <w:top w:val="single" w:sz="4" w:space="0" w:color="000000"/>
              <w:left w:val="single" w:sz="4" w:space="0" w:color="000000"/>
              <w:bottom w:val="single" w:sz="4" w:space="0" w:color="000000"/>
              <w:right w:val="single" w:sz="4" w:space="0" w:color="000000"/>
            </w:tcBorders>
            <w:hideMark/>
          </w:tcPr>
          <w:p w14:paraId="4F092B36"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8.6.3.10</w:t>
            </w:r>
          </w:p>
        </w:tc>
        <w:tc>
          <w:tcPr>
            <w:tcW w:w="5255" w:type="dxa"/>
            <w:tcBorders>
              <w:top w:val="single" w:sz="4" w:space="0" w:color="000000"/>
              <w:left w:val="single" w:sz="4" w:space="0" w:color="000000"/>
              <w:bottom w:val="single" w:sz="4" w:space="0" w:color="000000"/>
              <w:right w:val="single" w:sz="4" w:space="0" w:color="000000"/>
            </w:tcBorders>
            <w:hideMark/>
          </w:tcPr>
          <w:p w14:paraId="2DCB9CD2"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Replacement of Hydraulic Jack, Plunger, Cylinder, Tanks, and Anticreep Leveling Device</w:t>
            </w:r>
          </w:p>
        </w:tc>
      </w:tr>
      <w:tr w:rsidR="001B7F77" w:rsidRPr="001B7F77" w14:paraId="2DDA6D61" w14:textId="77777777" w:rsidTr="006655A1">
        <w:tc>
          <w:tcPr>
            <w:tcW w:w="1011" w:type="dxa"/>
            <w:tcBorders>
              <w:top w:val="single" w:sz="4" w:space="0" w:color="000000"/>
              <w:left w:val="single" w:sz="4" w:space="0" w:color="000000"/>
              <w:bottom w:val="single" w:sz="4" w:space="0" w:color="000000"/>
              <w:right w:val="single" w:sz="4" w:space="0" w:color="000000"/>
            </w:tcBorders>
            <w:hideMark/>
          </w:tcPr>
          <w:p w14:paraId="37FC99B3"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8.6.3</w:t>
            </w:r>
          </w:p>
        </w:tc>
        <w:tc>
          <w:tcPr>
            <w:tcW w:w="1937" w:type="dxa"/>
            <w:tcBorders>
              <w:top w:val="single" w:sz="4" w:space="0" w:color="000000"/>
              <w:left w:val="single" w:sz="4" w:space="0" w:color="000000"/>
              <w:bottom w:val="single" w:sz="4" w:space="0" w:color="000000"/>
              <w:right w:val="single" w:sz="4" w:space="0" w:color="000000"/>
            </w:tcBorders>
            <w:hideMark/>
          </w:tcPr>
          <w:p w14:paraId="70A1277D"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Replacements</w:t>
            </w:r>
          </w:p>
        </w:tc>
        <w:tc>
          <w:tcPr>
            <w:tcW w:w="1367" w:type="dxa"/>
            <w:tcBorders>
              <w:top w:val="single" w:sz="4" w:space="0" w:color="000000"/>
              <w:left w:val="single" w:sz="4" w:space="0" w:color="000000"/>
              <w:bottom w:val="single" w:sz="4" w:space="0" w:color="000000"/>
              <w:right w:val="single" w:sz="4" w:space="0" w:color="000000"/>
            </w:tcBorders>
            <w:hideMark/>
          </w:tcPr>
          <w:p w14:paraId="7174E0D7"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8.6.3.11</w:t>
            </w:r>
          </w:p>
        </w:tc>
        <w:tc>
          <w:tcPr>
            <w:tcW w:w="5255" w:type="dxa"/>
            <w:tcBorders>
              <w:top w:val="single" w:sz="4" w:space="0" w:color="000000"/>
              <w:left w:val="single" w:sz="4" w:space="0" w:color="000000"/>
              <w:bottom w:val="single" w:sz="4" w:space="0" w:color="000000"/>
              <w:right w:val="single" w:sz="4" w:space="0" w:color="000000"/>
            </w:tcBorders>
            <w:hideMark/>
          </w:tcPr>
          <w:p w14:paraId="2BE290D1"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 xml:space="preserve">Replacement of Valves and Piping </w:t>
            </w:r>
          </w:p>
        </w:tc>
      </w:tr>
      <w:tr w:rsidR="001B7F77" w:rsidRPr="001B7F77" w14:paraId="5A0A4B6B" w14:textId="77777777" w:rsidTr="006655A1">
        <w:tc>
          <w:tcPr>
            <w:tcW w:w="1011" w:type="dxa"/>
            <w:tcBorders>
              <w:top w:val="single" w:sz="4" w:space="0" w:color="000000"/>
              <w:left w:val="single" w:sz="4" w:space="0" w:color="000000"/>
              <w:bottom w:val="single" w:sz="4" w:space="0" w:color="000000"/>
              <w:right w:val="single" w:sz="4" w:space="0" w:color="000000"/>
            </w:tcBorders>
            <w:hideMark/>
          </w:tcPr>
          <w:p w14:paraId="2FA2F8B5"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1A2C02C2"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25729F80"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8.7.2.1</w:t>
            </w:r>
          </w:p>
        </w:tc>
        <w:tc>
          <w:tcPr>
            <w:tcW w:w="5255" w:type="dxa"/>
            <w:tcBorders>
              <w:top w:val="single" w:sz="4" w:space="0" w:color="000000"/>
              <w:left w:val="single" w:sz="4" w:space="0" w:color="000000"/>
              <w:bottom w:val="single" w:sz="4" w:space="0" w:color="000000"/>
              <w:right w:val="single" w:sz="4" w:space="0" w:color="000000"/>
            </w:tcBorders>
            <w:hideMark/>
          </w:tcPr>
          <w:p w14:paraId="395DAEDE"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Hoistway Enclosures</w:t>
            </w:r>
          </w:p>
        </w:tc>
      </w:tr>
      <w:tr w:rsidR="001B7F77" w:rsidRPr="001B7F77" w14:paraId="4098700D" w14:textId="77777777" w:rsidTr="006655A1">
        <w:tc>
          <w:tcPr>
            <w:tcW w:w="1011" w:type="dxa"/>
            <w:tcBorders>
              <w:top w:val="single" w:sz="4" w:space="0" w:color="000000"/>
              <w:left w:val="single" w:sz="4" w:space="0" w:color="000000"/>
              <w:bottom w:val="single" w:sz="4" w:space="0" w:color="000000"/>
              <w:right w:val="single" w:sz="4" w:space="0" w:color="000000"/>
            </w:tcBorders>
            <w:hideMark/>
          </w:tcPr>
          <w:p w14:paraId="57FC40BB"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034C1F41"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1A57A182"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8.7.2.7</w:t>
            </w:r>
          </w:p>
        </w:tc>
        <w:tc>
          <w:tcPr>
            <w:tcW w:w="5255" w:type="dxa"/>
            <w:tcBorders>
              <w:top w:val="single" w:sz="4" w:space="0" w:color="000000"/>
              <w:left w:val="single" w:sz="4" w:space="0" w:color="000000"/>
              <w:bottom w:val="single" w:sz="4" w:space="0" w:color="000000"/>
              <w:right w:val="single" w:sz="4" w:space="0" w:color="000000"/>
            </w:tcBorders>
            <w:hideMark/>
          </w:tcPr>
          <w:p w14:paraId="2EDBC81B"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Machinery Spaces, Machine Rooms, Control Spaces, and Control Rooms</w:t>
            </w:r>
          </w:p>
        </w:tc>
      </w:tr>
      <w:tr w:rsidR="001B7F77" w:rsidRPr="001B7F77" w14:paraId="69AAA382" w14:textId="77777777" w:rsidTr="006655A1">
        <w:tc>
          <w:tcPr>
            <w:tcW w:w="1011" w:type="dxa"/>
            <w:tcBorders>
              <w:top w:val="single" w:sz="4" w:space="0" w:color="000000"/>
              <w:left w:val="single" w:sz="4" w:space="0" w:color="000000"/>
              <w:bottom w:val="single" w:sz="4" w:space="0" w:color="000000"/>
              <w:right w:val="single" w:sz="4" w:space="0" w:color="000000"/>
            </w:tcBorders>
            <w:hideMark/>
          </w:tcPr>
          <w:p w14:paraId="330F7E10"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7463EF65"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38E3EFC0"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8.7.2.8</w:t>
            </w:r>
          </w:p>
        </w:tc>
        <w:tc>
          <w:tcPr>
            <w:tcW w:w="5255" w:type="dxa"/>
            <w:tcBorders>
              <w:top w:val="single" w:sz="4" w:space="0" w:color="000000"/>
              <w:left w:val="single" w:sz="4" w:space="0" w:color="000000"/>
              <w:bottom w:val="single" w:sz="4" w:space="0" w:color="000000"/>
              <w:right w:val="single" w:sz="4" w:space="0" w:color="000000"/>
            </w:tcBorders>
            <w:hideMark/>
          </w:tcPr>
          <w:p w14:paraId="1B716E8C"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Electrical Equipment, Wiring, Pipes, and Ducts in Hoistways and Machine Rooms</w:t>
            </w:r>
          </w:p>
        </w:tc>
      </w:tr>
      <w:tr w:rsidR="001B7F77" w:rsidRPr="001B7F77" w14:paraId="6D1460A6" w14:textId="77777777" w:rsidTr="006655A1">
        <w:tc>
          <w:tcPr>
            <w:tcW w:w="1011" w:type="dxa"/>
            <w:tcBorders>
              <w:top w:val="single" w:sz="4" w:space="0" w:color="000000"/>
              <w:left w:val="single" w:sz="4" w:space="0" w:color="000000"/>
              <w:bottom w:val="single" w:sz="4" w:space="0" w:color="000000"/>
              <w:right w:val="single" w:sz="4" w:space="0" w:color="000000"/>
            </w:tcBorders>
            <w:hideMark/>
          </w:tcPr>
          <w:p w14:paraId="524FAA56"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55468599"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0D802F0E"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8.7.2.9</w:t>
            </w:r>
          </w:p>
        </w:tc>
        <w:tc>
          <w:tcPr>
            <w:tcW w:w="5255" w:type="dxa"/>
            <w:tcBorders>
              <w:top w:val="single" w:sz="4" w:space="0" w:color="000000"/>
              <w:left w:val="single" w:sz="4" w:space="0" w:color="000000"/>
              <w:bottom w:val="single" w:sz="4" w:space="0" w:color="000000"/>
              <w:right w:val="single" w:sz="4" w:space="0" w:color="000000"/>
            </w:tcBorders>
            <w:hideMark/>
          </w:tcPr>
          <w:p w14:paraId="0999D1DA"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Machinery and Sheave Beams, Supports, and Foundations</w:t>
            </w:r>
          </w:p>
        </w:tc>
      </w:tr>
      <w:tr w:rsidR="001B7F77" w:rsidRPr="001B7F77" w14:paraId="12122173" w14:textId="77777777" w:rsidTr="006655A1">
        <w:tc>
          <w:tcPr>
            <w:tcW w:w="1011" w:type="dxa"/>
            <w:tcBorders>
              <w:top w:val="single" w:sz="4" w:space="0" w:color="000000"/>
              <w:left w:val="single" w:sz="4" w:space="0" w:color="000000"/>
              <w:bottom w:val="single" w:sz="4" w:space="0" w:color="000000"/>
              <w:right w:val="single" w:sz="4" w:space="0" w:color="000000"/>
            </w:tcBorders>
            <w:hideMark/>
          </w:tcPr>
          <w:p w14:paraId="41CCB2F2"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64F9C474"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5CF28E79"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8.7.2.10</w:t>
            </w:r>
          </w:p>
        </w:tc>
        <w:tc>
          <w:tcPr>
            <w:tcW w:w="5255" w:type="dxa"/>
            <w:tcBorders>
              <w:top w:val="single" w:sz="4" w:space="0" w:color="000000"/>
              <w:left w:val="single" w:sz="4" w:space="0" w:color="000000"/>
              <w:bottom w:val="single" w:sz="4" w:space="0" w:color="000000"/>
              <w:right w:val="single" w:sz="4" w:space="0" w:color="000000"/>
            </w:tcBorders>
            <w:hideMark/>
          </w:tcPr>
          <w:p w14:paraId="6050AD38"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Entrances and Hoistway Openings</w:t>
            </w:r>
          </w:p>
        </w:tc>
      </w:tr>
      <w:tr w:rsidR="001B7F77" w:rsidRPr="001B7F77" w14:paraId="50CDBDB3" w14:textId="77777777" w:rsidTr="006655A1">
        <w:tc>
          <w:tcPr>
            <w:tcW w:w="1011" w:type="dxa"/>
            <w:tcBorders>
              <w:top w:val="single" w:sz="4" w:space="0" w:color="000000"/>
              <w:left w:val="single" w:sz="4" w:space="0" w:color="000000"/>
              <w:bottom w:val="single" w:sz="4" w:space="0" w:color="000000"/>
              <w:right w:val="single" w:sz="4" w:space="0" w:color="000000"/>
            </w:tcBorders>
            <w:hideMark/>
          </w:tcPr>
          <w:p w14:paraId="5C9A0607"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1BE61ECD"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6638534C"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8.7.2.11</w:t>
            </w:r>
          </w:p>
        </w:tc>
        <w:tc>
          <w:tcPr>
            <w:tcW w:w="5255" w:type="dxa"/>
            <w:tcBorders>
              <w:top w:val="single" w:sz="4" w:space="0" w:color="000000"/>
              <w:left w:val="single" w:sz="4" w:space="0" w:color="000000"/>
              <w:bottom w:val="single" w:sz="4" w:space="0" w:color="000000"/>
              <w:right w:val="single" w:sz="4" w:space="0" w:color="000000"/>
            </w:tcBorders>
            <w:hideMark/>
          </w:tcPr>
          <w:p w14:paraId="19E066A0"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Hoistway Door Locking Devices, Access Switches, and Parking Devices (Including replacing door operators)</w:t>
            </w:r>
          </w:p>
        </w:tc>
      </w:tr>
      <w:tr w:rsidR="001B7F77" w:rsidRPr="001B7F77" w14:paraId="37B975D9" w14:textId="77777777" w:rsidTr="006655A1">
        <w:trPr>
          <w:trHeight w:val="980"/>
        </w:trPr>
        <w:tc>
          <w:tcPr>
            <w:tcW w:w="1011" w:type="dxa"/>
            <w:tcBorders>
              <w:top w:val="single" w:sz="4" w:space="0" w:color="000000"/>
              <w:left w:val="single" w:sz="4" w:space="0" w:color="000000"/>
              <w:bottom w:val="single" w:sz="4" w:space="0" w:color="000000"/>
              <w:right w:val="single" w:sz="4" w:space="0" w:color="000000"/>
            </w:tcBorders>
            <w:hideMark/>
          </w:tcPr>
          <w:p w14:paraId="7FF350FE"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34771FBA"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5908FB5C"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8.7.2.14</w:t>
            </w:r>
          </w:p>
        </w:tc>
        <w:tc>
          <w:tcPr>
            <w:tcW w:w="5255" w:type="dxa"/>
            <w:tcBorders>
              <w:top w:val="single" w:sz="4" w:space="0" w:color="000000"/>
              <w:left w:val="single" w:sz="4" w:space="0" w:color="000000"/>
              <w:bottom w:val="single" w:sz="4" w:space="0" w:color="000000"/>
              <w:right w:val="single" w:sz="4" w:space="0" w:color="000000"/>
            </w:tcBorders>
            <w:hideMark/>
          </w:tcPr>
          <w:p w14:paraId="489FDBA0"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New Car Enclosures (Including replacing cab panels when deadweight of the car is increased or decreased by more than 5%. See ASME Section 8.7.2.15.2)</w:t>
            </w:r>
          </w:p>
        </w:tc>
      </w:tr>
      <w:tr w:rsidR="001B7F77" w:rsidRPr="001B7F77" w14:paraId="5835D418" w14:textId="77777777" w:rsidTr="006655A1">
        <w:tc>
          <w:tcPr>
            <w:tcW w:w="1011" w:type="dxa"/>
            <w:tcBorders>
              <w:top w:val="single" w:sz="4" w:space="0" w:color="000000"/>
              <w:left w:val="single" w:sz="4" w:space="0" w:color="000000"/>
              <w:bottom w:val="single" w:sz="4" w:space="0" w:color="000000"/>
              <w:right w:val="single" w:sz="4" w:space="0" w:color="000000"/>
            </w:tcBorders>
            <w:hideMark/>
          </w:tcPr>
          <w:p w14:paraId="60EACECF"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2B0CD842"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26D11586"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8.7.2.15</w:t>
            </w:r>
          </w:p>
        </w:tc>
        <w:tc>
          <w:tcPr>
            <w:tcW w:w="5255" w:type="dxa"/>
            <w:tcBorders>
              <w:top w:val="single" w:sz="4" w:space="0" w:color="000000"/>
              <w:left w:val="single" w:sz="4" w:space="0" w:color="000000"/>
              <w:bottom w:val="single" w:sz="4" w:space="0" w:color="000000"/>
              <w:right w:val="single" w:sz="4" w:space="0" w:color="000000"/>
            </w:tcBorders>
            <w:hideMark/>
          </w:tcPr>
          <w:p w14:paraId="3E337C56"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Car Frame and Platforms</w:t>
            </w:r>
          </w:p>
        </w:tc>
      </w:tr>
      <w:tr w:rsidR="001B7F77" w:rsidRPr="001B7F77" w14:paraId="1AD0F4B2" w14:textId="77777777" w:rsidTr="006655A1">
        <w:tc>
          <w:tcPr>
            <w:tcW w:w="1011" w:type="dxa"/>
            <w:tcBorders>
              <w:top w:val="single" w:sz="4" w:space="0" w:color="000000"/>
              <w:left w:val="single" w:sz="4" w:space="0" w:color="000000"/>
              <w:bottom w:val="single" w:sz="4" w:space="0" w:color="000000"/>
              <w:right w:val="single" w:sz="4" w:space="0" w:color="000000"/>
            </w:tcBorders>
            <w:hideMark/>
          </w:tcPr>
          <w:p w14:paraId="2416894B"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0F9DBD4B"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31739ED1"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8.7.2.16</w:t>
            </w:r>
          </w:p>
        </w:tc>
        <w:tc>
          <w:tcPr>
            <w:tcW w:w="5255" w:type="dxa"/>
            <w:tcBorders>
              <w:top w:val="single" w:sz="4" w:space="0" w:color="000000"/>
              <w:left w:val="single" w:sz="4" w:space="0" w:color="000000"/>
              <w:bottom w:val="single" w:sz="4" w:space="0" w:color="000000"/>
              <w:right w:val="single" w:sz="4" w:space="0" w:color="000000"/>
            </w:tcBorders>
            <w:hideMark/>
          </w:tcPr>
          <w:p w14:paraId="3BA09716"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Capacity, Loading, and Classification</w:t>
            </w:r>
          </w:p>
        </w:tc>
      </w:tr>
      <w:tr w:rsidR="001B7F77" w:rsidRPr="001B7F77" w14:paraId="0285CF5B" w14:textId="77777777" w:rsidTr="006655A1">
        <w:tc>
          <w:tcPr>
            <w:tcW w:w="1011" w:type="dxa"/>
            <w:tcBorders>
              <w:top w:val="single" w:sz="4" w:space="0" w:color="000000"/>
              <w:left w:val="single" w:sz="4" w:space="0" w:color="000000"/>
              <w:bottom w:val="single" w:sz="4" w:space="0" w:color="000000"/>
              <w:right w:val="single" w:sz="4" w:space="0" w:color="000000"/>
            </w:tcBorders>
            <w:hideMark/>
          </w:tcPr>
          <w:p w14:paraId="5D481200"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30E772D3"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3A2CE6EA"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8.7.2.17</w:t>
            </w:r>
          </w:p>
        </w:tc>
        <w:tc>
          <w:tcPr>
            <w:tcW w:w="5255" w:type="dxa"/>
            <w:tcBorders>
              <w:top w:val="single" w:sz="4" w:space="0" w:color="000000"/>
              <w:left w:val="single" w:sz="4" w:space="0" w:color="000000"/>
              <w:bottom w:val="single" w:sz="4" w:space="0" w:color="000000"/>
              <w:right w:val="single" w:sz="4" w:space="0" w:color="000000"/>
            </w:tcBorders>
            <w:hideMark/>
          </w:tcPr>
          <w:p w14:paraId="67A365D0"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Change in Rise or Rated Speed</w:t>
            </w:r>
          </w:p>
        </w:tc>
      </w:tr>
      <w:tr w:rsidR="001B7F77" w:rsidRPr="001B7F77" w14:paraId="71917AA3" w14:textId="77777777" w:rsidTr="006655A1">
        <w:tc>
          <w:tcPr>
            <w:tcW w:w="1011" w:type="dxa"/>
            <w:tcBorders>
              <w:top w:val="single" w:sz="4" w:space="0" w:color="000000"/>
              <w:left w:val="single" w:sz="4" w:space="0" w:color="000000"/>
              <w:bottom w:val="single" w:sz="4" w:space="0" w:color="000000"/>
              <w:right w:val="single" w:sz="4" w:space="0" w:color="000000"/>
            </w:tcBorders>
            <w:hideMark/>
          </w:tcPr>
          <w:p w14:paraId="62709406"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13EB8C57"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4E73AE23"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8.7.2.18</w:t>
            </w:r>
          </w:p>
        </w:tc>
        <w:tc>
          <w:tcPr>
            <w:tcW w:w="5255" w:type="dxa"/>
            <w:tcBorders>
              <w:top w:val="single" w:sz="4" w:space="0" w:color="000000"/>
              <w:left w:val="single" w:sz="4" w:space="0" w:color="000000"/>
              <w:bottom w:val="single" w:sz="4" w:space="0" w:color="000000"/>
              <w:right w:val="single" w:sz="4" w:space="0" w:color="000000"/>
            </w:tcBorders>
            <w:hideMark/>
          </w:tcPr>
          <w:p w14:paraId="46EC47F6"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 xml:space="preserve">Car and Counterweight Safeties </w:t>
            </w:r>
          </w:p>
        </w:tc>
      </w:tr>
      <w:tr w:rsidR="001B7F77" w:rsidRPr="001B7F77" w14:paraId="32F0C09D" w14:textId="77777777" w:rsidTr="006655A1">
        <w:tc>
          <w:tcPr>
            <w:tcW w:w="1011" w:type="dxa"/>
            <w:tcBorders>
              <w:top w:val="single" w:sz="4" w:space="0" w:color="000000"/>
              <w:left w:val="single" w:sz="4" w:space="0" w:color="000000"/>
              <w:bottom w:val="single" w:sz="4" w:space="0" w:color="000000"/>
              <w:right w:val="single" w:sz="4" w:space="0" w:color="000000"/>
            </w:tcBorders>
            <w:hideMark/>
          </w:tcPr>
          <w:p w14:paraId="751AA9FC"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1AF8229C"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3C546A1A"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8.7.2.19</w:t>
            </w:r>
          </w:p>
        </w:tc>
        <w:tc>
          <w:tcPr>
            <w:tcW w:w="5255" w:type="dxa"/>
            <w:tcBorders>
              <w:top w:val="single" w:sz="4" w:space="0" w:color="000000"/>
              <w:left w:val="single" w:sz="4" w:space="0" w:color="000000"/>
              <w:bottom w:val="single" w:sz="4" w:space="0" w:color="000000"/>
              <w:right w:val="single" w:sz="4" w:space="0" w:color="000000"/>
            </w:tcBorders>
            <w:hideMark/>
          </w:tcPr>
          <w:p w14:paraId="0D774077"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 xml:space="preserve">Speed Governors and Governor Ropes </w:t>
            </w:r>
          </w:p>
        </w:tc>
      </w:tr>
      <w:tr w:rsidR="001B7F77" w:rsidRPr="001B7F77" w14:paraId="2E8C76C0" w14:textId="77777777" w:rsidTr="006655A1">
        <w:tc>
          <w:tcPr>
            <w:tcW w:w="1011" w:type="dxa"/>
            <w:tcBorders>
              <w:top w:val="single" w:sz="4" w:space="0" w:color="000000"/>
              <w:left w:val="single" w:sz="4" w:space="0" w:color="000000"/>
              <w:bottom w:val="single" w:sz="4" w:space="0" w:color="000000"/>
              <w:right w:val="single" w:sz="4" w:space="0" w:color="000000"/>
            </w:tcBorders>
            <w:hideMark/>
          </w:tcPr>
          <w:p w14:paraId="591A2764"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5B6617CB"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76ABB93C"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8.7.2.20</w:t>
            </w:r>
          </w:p>
        </w:tc>
        <w:tc>
          <w:tcPr>
            <w:tcW w:w="5255" w:type="dxa"/>
            <w:tcBorders>
              <w:top w:val="single" w:sz="4" w:space="0" w:color="000000"/>
              <w:left w:val="single" w:sz="4" w:space="0" w:color="000000"/>
              <w:bottom w:val="single" w:sz="4" w:space="0" w:color="000000"/>
              <w:right w:val="single" w:sz="4" w:space="0" w:color="000000"/>
            </w:tcBorders>
            <w:hideMark/>
          </w:tcPr>
          <w:p w14:paraId="34EE219E"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Ascending Car Overspeed and Unintended Car Movement Protection</w:t>
            </w:r>
          </w:p>
        </w:tc>
      </w:tr>
      <w:tr w:rsidR="001B7F77" w:rsidRPr="001B7F77" w14:paraId="28176667" w14:textId="77777777" w:rsidTr="006655A1">
        <w:tc>
          <w:tcPr>
            <w:tcW w:w="1011" w:type="dxa"/>
            <w:tcBorders>
              <w:top w:val="single" w:sz="4" w:space="0" w:color="000000"/>
              <w:left w:val="single" w:sz="4" w:space="0" w:color="000000"/>
              <w:bottom w:val="single" w:sz="4" w:space="0" w:color="000000"/>
              <w:right w:val="single" w:sz="4" w:space="0" w:color="000000"/>
            </w:tcBorders>
            <w:hideMark/>
          </w:tcPr>
          <w:p w14:paraId="5DB4811C"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70C9F572"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0EDA144C"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8.7.2.22</w:t>
            </w:r>
          </w:p>
        </w:tc>
        <w:tc>
          <w:tcPr>
            <w:tcW w:w="5255" w:type="dxa"/>
            <w:tcBorders>
              <w:top w:val="single" w:sz="4" w:space="0" w:color="000000"/>
              <w:left w:val="single" w:sz="4" w:space="0" w:color="000000"/>
              <w:bottom w:val="single" w:sz="4" w:space="0" w:color="000000"/>
              <w:right w:val="single" w:sz="4" w:space="0" w:color="000000"/>
            </w:tcBorders>
          </w:tcPr>
          <w:p w14:paraId="5F496114"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Counterweights</w:t>
            </w:r>
          </w:p>
          <w:p w14:paraId="1D1E2252" w14:textId="77777777" w:rsidR="001B7F77" w:rsidRPr="001B7F77" w:rsidRDefault="001B7F77" w:rsidP="001B7F77">
            <w:pPr>
              <w:suppressAutoHyphens/>
              <w:spacing w:before="120"/>
              <w:jc w:val="left"/>
              <w:rPr>
                <w:rFonts w:eastAsia="Times"/>
                <w:szCs w:val="24"/>
                <w:u w:val="single"/>
              </w:rPr>
            </w:pPr>
          </w:p>
        </w:tc>
      </w:tr>
      <w:tr w:rsidR="001B7F77" w:rsidRPr="001B7F77" w14:paraId="53FC39CD" w14:textId="77777777" w:rsidTr="006655A1">
        <w:tc>
          <w:tcPr>
            <w:tcW w:w="1011" w:type="dxa"/>
            <w:tcBorders>
              <w:top w:val="single" w:sz="4" w:space="0" w:color="000000"/>
              <w:left w:val="single" w:sz="4" w:space="0" w:color="000000"/>
              <w:bottom w:val="single" w:sz="4" w:space="0" w:color="000000"/>
              <w:right w:val="single" w:sz="4" w:space="0" w:color="000000"/>
            </w:tcBorders>
            <w:hideMark/>
          </w:tcPr>
          <w:p w14:paraId="24C04341"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7EE0D32D"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121258E4"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8.7.2.25</w:t>
            </w:r>
          </w:p>
        </w:tc>
        <w:tc>
          <w:tcPr>
            <w:tcW w:w="5255" w:type="dxa"/>
            <w:tcBorders>
              <w:top w:val="single" w:sz="4" w:space="0" w:color="000000"/>
              <w:left w:val="single" w:sz="4" w:space="0" w:color="000000"/>
              <w:bottom w:val="single" w:sz="4" w:space="0" w:color="000000"/>
              <w:right w:val="single" w:sz="4" w:space="0" w:color="000000"/>
            </w:tcBorders>
            <w:hideMark/>
          </w:tcPr>
          <w:p w14:paraId="64E8D9E6"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Driving Machines and Sheaves (Except regrooving of sheaves, which can be considered as an LAA. See Table 510.2)</w:t>
            </w:r>
          </w:p>
        </w:tc>
      </w:tr>
      <w:tr w:rsidR="001B7F77" w:rsidRPr="001B7F77" w14:paraId="47195D47" w14:textId="77777777" w:rsidTr="006655A1">
        <w:tc>
          <w:tcPr>
            <w:tcW w:w="1011" w:type="dxa"/>
            <w:tcBorders>
              <w:top w:val="single" w:sz="4" w:space="0" w:color="000000"/>
              <w:left w:val="single" w:sz="4" w:space="0" w:color="000000"/>
              <w:bottom w:val="single" w:sz="4" w:space="0" w:color="000000"/>
              <w:right w:val="single" w:sz="4" w:space="0" w:color="000000"/>
            </w:tcBorders>
            <w:hideMark/>
          </w:tcPr>
          <w:p w14:paraId="0E4240DF"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1EBF64DC"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2F8D0817"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8.7.2.26</w:t>
            </w:r>
          </w:p>
        </w:tc>
        <w:tc>
          <w:tcPr>
            <w:tcW w:w="5255" w:type="dxa"/>
            <w:tcBorders>
              <w:top w:val="single" w:sz="4" w:space="0" w:color="000000"/>
              <w:left w:val="single" w:sz="4" w:space="0" w:color="000000"/>
              <w:bottom w:val="single" w:sz="4" w:space="0" w:color="000000"/>
              <w:right w:val="single" w:sz="4" w:space="0" w:color="000000"/>
            </w:tcBorders>
            <w:hideMark/>
          </w:tcPr>
          <w:p w14:paraId="507C2EB9"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Terminal Stopping Devices</w:t>
            </w:r>
          </w:p>
        </w:tc>
      </w:tr>
      <w:tr w:rsidR="001B7F77" w:rsidRPr="001B7F77" w14:paraId="4F6BF5DA" w14:textId="77777777" w:rsidTr="006655A1">
        <w:tc>
          <w:tcPr>
            <w:tcW w:w="1011" w:type="dxa"/>
            <w:tcBorders>
              <w:top w:val="single" w:sz="4" w:space="0" w:color="000000"/>
              <w:left w:val="single" w:sz="4" w:space="0" w:color="000000"/>
              <w:bottom w:val="single" w:sz="4" w:space="0" w:color="000000"/>
              <w:right w:val="single" w:sz="4" w:space="0" w:color="000000"/>
            </w:tcBorders>
            <w:hideMark/>
          </w:tcPr>
          <w:p w14:paraId="331C401D"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5DD471C6"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3A1D9F95"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8.7.2.27</w:t>
            </w:r>
          </w:p>
        </w:tc>
        <w:tc>
          <w:tcPr>
            <w:tcW w:w="5255" w:type="dxa"/>
            <w:tcBorders>
              <w:top w:val="single" w:sz="4" w:space="0" w:color="000000"/>
              <w:left w:val="single" w:sz="4" w:space="0" w:color="000000"/>
              <w:bottom w:val="single" w:sz="4" w:space="0" w:color="000000"/>
              <w:right w:val="single" w:sz="4" w:space="0" w:color="000000"/>
            </w:tcBorders>
            <w:hideMark/>
          </w:tcPr>
          <w:p w14:paraId="1D7FEB20"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Operating Devices and Control Equipment (Including adding Phase I or Phase II recall, replacing car operating panels or hall buttons)</w:t>
            </w:r>
          </w:p>
        </w:tc>
      </w:tr>
      <w:tr w:rsidR="001B7F77" w:rsidRPr="001B7F77" w14:paraId="2E2D5833" w14:textId="77777777" w:rsidTr="006655A1">
        <w:tc>
          <w:tcPr>
            <w:tcW w:w="1011" w:type="dxa"/>
            <w:tcBorders>
              <w:top w:val="single" w:sz="4" w:space="0" w:color="000000"/>
              <w:left w:val="single" w:sz="4" w:space="0" w:color="000000"/>
              <w:bottom w:val="single" w:sz="4" w:space="0" w:color="000000"/>
              <w:right w:val="single" w:sz="4" w:space="0" w:color="000000"/>
            </w:tcBorders>
            <w:hideMark/>
          </w:tcPr>
          <w:p w14:paraId="7BC3941E"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191640A1"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05BA328A"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8.7.2.28</w:t>
            </w:r>
          </w:p>
        </w:tc>
        <w:tc>
          <w:tcPr>
            <w:tcW w:w="5255" w:type="dxa"/>
            <w:tcBorders>
              <w:top w:val="single" w:sz="4" w:space="0" w:color="000000"/>
              <w:left w:val="single" w:sz="4" w:space="0" w:color="000000"/>
              <w:bottom w:val="single" w:sz="4" w:space="0" w:color="000000"/>
              <w:right w:val="single" w:sz="4" w:space="0" w:color="000000"/>
            </w:tcBorders>
            <w:hideMark/>
          </w:tcPr>
          <w:p w14:paraId="533187A3"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Emergency Operations and Signaling Devices</w:t>
            </w:r>
          </w:p>
        </w:tc>
      </w:tr>
      <w:tr w:rsidR="001B7F77" w:rsidRPr="001B7F77" w14:paraId="69D8A25E" w14:textId="77777777" w:rsidTr="006655A1">
        <w:tc>
          <w:tcPr>
            <w:tcW w:w="1011" w:type="dxa"/>
            <w:tcBorders>
              <w:top w:val="single" w:sz="4" w:space="0" w:color="000000"/>
              <w:left w:val="single" w:sz="4" w:space="0" w:color="000000"/>
              <w:bottom w:val="single" w:sz="4" w:space="0" w:color="000000"/>
              <w:right w:val="single" w:sz="4" w:space="0" w:color="000000"/>
            </w:tcBorders>
            <w:hideMark/>
          </w:tcPr>
          <w:p w14:paraId="1C9D6A28"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5DFE3AE6"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7D26767F"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8.7.3.7</w:t>
            </w:r>
          </w:p>
        </w:tc>
        <w:tc>
          <w:tcPr>
            <w:tcW w:w="5255" w:type="dxa"/>
            <w:tcBorders>
              <w:top w:val="single" w:sz="4" w:space="0" w:color="000000"/>
              <w:left w:val="single" w:sz="4" w:space="0" w:color="000000"/>
              <w:bottom w:val="single" w:sz="4" w:space="0" w:color="000000"/>
              <w:right w:val="single" w:sz="4" w:space="0" w:color="000000"/>
            </w:tcBorders>
            <w:hideMark/>
          </w:tcPr>
          <w:p w14:paraId="479CEA63"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Machine Rooms, Machinery Spaces, Control Spaces, and Control Rooms</w:t>
            </w:r>
          </w:p>
        </w:tc>
      </w:tr>
      <w:tr w:rsidR="001B7F77" w:rsidRPr="001B7F77" w14:paraId="634601FD" w14:textId="77777777" w:rsidTr="006655A1">
        <w:tc>
          <w:tcPr>
            <w:tcW w:w="1011" w:type="dxa"/>
            <w:tcBorders>
              <w:top w:val="single" w:sz="4" w:space="0" w:color="000000"/>
              <w:left w:val="single" w:sz="4" w:space="0" w:color="000000"/>
              <w:bottom w:val="single" w:sz="4" w:space="0" w:color="000000"/>
              <w:right w:val="single" w:sz="4" w:space="0" w:color="000000"/>
            </w:tcBorders>
            <w:hideMark/>
          </w:tcPr>
          <w:p w14:paraId="36D9D826"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5E460823"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3FB31ADB"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8.7.3.8</w:t>
            </w:r>
          </w:p>
        </w:tc>
        <w:tc>
          <w:tcPr>
            <w:tcW w:w="5255" w:type="dxa"/>
            <w:tcBorders>
              <w:top w:val="single" w:sz="4" w:space="0" w:color="000000"/>
              <w:left w:val="single" w:sz="4" w:space="0" w:color="000000"/>
              <w:bottom w:val="single" w:sz="4" w:space="0" w:color="000000"/>
              <w:right w:val="single" w:sz="4" w:space="0" w:color="000000"/>
            </w:tcBorders>
            <w:hideMark/>
          </w:tcPr>
          <w:p w14:paraId="551A0BDD"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Electrical Wiring, Pipes, and Ducts in Hoistways and Machine Rooms</w:t>
            </w:r>
          </w:p>
        </w:tc>
      </w:tr>
      <w:tr w:rsidR="001B7F77" w:rsidRPr="001B7F77" w14:paraId="40492310" w14:textId="77777777" w:rsidTr="006655A1">
        <w:tc>
          <w:tcPr>
            <w:tcW w:w="1011" w:type="dxa"/>
            <w:tcBorders>
              <w:top w:val="single" w:sz="4" w:space="0" w:color="000000"/>
              <w:left w:val="single" w:sz="4" w:space="0" w:color="000000"/>
              <w:bottom w:val="single" w:sz="4" w:space="0" w:color="000000"/>
              <w:right w:val="single" w:sz="4" w:space="0" w:color="000000"/>
            </w:tcBorders>
            <w:hideMark/>
          </w:tcPr>
          <w:p w14:paraId="0FC7258C"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65F82F25"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7D357C9F"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8.7.3.9</w:t>
            </w:r>
          </w:p>
        </w:tc>
        <w:tc>
          <w:tcPr>
            <w:tcW w:w="5255" w:type="dxa"/>
            <w:tcBorders>
              <w:top w:val="single" w:sz="4" w:space="0" w:color="000000"/>
              <w:left w:val="single" w:sz="4" w:space="0" w:color="000000"/>
              <w:bottom w:val="single" w:sz="4" w:space="0" w:color="000000"/>
              <w:right w:val="single" w:sz="4" w:space="0" w:color="000000"/>
            </w:tcBorders>
            <w:hideMark/>
          </w:tcPr>
          <w:p w14:paraId="07FAEC55"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Machinery and Sheave Beams, Supports, and Foundations</w:t>
            </w:r>
          </w:p>
        </w:tc>
      </w:tr>
      <w:tr w:rsidR="001B7F77" w:rsidRPr="001B7F77" w14:paraId="4CFE70ED" w14:textId="77777777" w:rsidTr="006655A1">
        <w:tc>
          <w:tcPr>
            <w:tcW w:w="1011" w:type="dxa"/>
            <w:tcBorders>
              <w:top w:val="single" w:sz="4" w:space="0" w:color="000000"/>
              <w:left w:val="single" w:sz="4" w:space="0" w:color="000000"/>
              <w:bottom w:val="single" w:sz="4" w:space="0" w:color="000000"/>
              <w:right w:val="single" w:sz="4" w:space="0" w:color="000000"/>
            </w:tcBorders>
            <w:hideMark/>
          </w:tcPr>
          <w:p w14:paraId="50D300C4"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49D144E1"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7C4C583B"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8.7.3.10</w:t>
            </w:r>
          </w:p>
        </w:tc>
        <w:tc>
          <w:tcPr>
            <w:tcW w:w="5255" w:type="dxa"/>
            <w:tcBorders>
              <w:top w:val="single" w:sz="4" w:space="0" w:color="000000"/>
              <w:left w:val="single" w:sz="4" w:space="0" w:color="000000"/>
              <w:bottom w:val="single" w:sz="4" w:space="0" w:color="000000"/>
              <w:right w:val="single" w:sz="4" w:space="0" w:color="000000"/>
            </w:tcBorders>
            <w:hideMark/>
          </w:tcPr>
          <w:p w14:paraId="17E1D03D"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Hoistway Entrances and Openings</w:t>
            </w:r>
          </w:p>
        </w:tc>
      </w:tr>
      <w:tr w:rsidR="001B7F77" w:rsidRPr="001B7F77" w14:paraId="5E50034E" w14:textId="77777777" w:rsidTr="006655A1">
        <w:tc>
          <w:tcPr>
            <w:tcW w:w="1011" w:type="dxa"/>
            <w:tcBorders>
              <w:top w:val="single" w:sz="4" w:space="0" w:color="000000"/>
              <w:left w:val="single" w:sz="4" w:space="0" w:color="000000"/>
              <w:bottom w:val="single" w:sz="4" w:space="0" w:color="000000"/>
              <w:right w:val="single" w:sz="4" w:space="0" w:color="000000"/>
            </w:tcBorders>
            <w:hideMark/>
          </w:tcPr>
          <w:p w14:paraId="583F19D9"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07CF8D4D"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 xml:space="preserve">Alterations to Hydraulic Elevators </w:t>
            </w:r>
          </w:p>
        </w:tc>
        <w:tc>
          <w:tcPr>
            <w:tcW w:w="1367" w:type="dxa"/>
            <w:tcBorders>
              <w:top w:val="single" w:sz="4" w:space="0" w:color="000000"/>
              <w:left w:val="single" w:sz="4" w:space="0" w:color="000000"/>
              <w:bottom w:val="single" w:sz="4" w:space="0" w:color="000000"/>
              <w:right w:val="single" w:sz="4" w:space="0" w:color="000000"/>
            </w:tcBorders>
            <w:hideMark/>
          </w:tcPr>
          <w:p w14:paraId="406C72ED"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8.7.3.11</w:t>
            </w:r>
          </w:p>
        </w:tc>
        <w:tc>
          <w:tcPr>
            <w:tcW w:w="5255" w:type="dxa"/>
            <w:tcBorders>
              <w:top w:val="single" w:sz="4" w:space="0" w:color="000000"/>
              <w:left w:val="single" w:sz="4" w:space="0" w:color="000000"/>
              <w:bottom w:val="single" w:sz="4" w:space="0" w:color="000000"/>
              <w:right w:val="single" w:sz="4" w:space="0" w:color="000000"/>
            </w:tcBorders>
            <w:hideMark/>
          </w:tcPr>
          <w:p w14:paraId="1B81D188"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 xml:space="preserve">Hoistway Door Locking Devices (Including replacing door operators) </w:t>
            </w:r>
          </w:p>
        </w:tc>
      </w:tr>
      <w:tr w:rsidR="001B7F77" w:rsidRPr="001B7F77" w14:paraId="78058252" w14:textId="77777777" w:rsidTr="006655A1">
        <w:tc>
          <w:tcPr>
            <w:tcW w:w="1011" w:type="dxa"/>
            <w:tcBorders>
              <w:top w:val="single" w:sz="4" w:space="0" w:color="000000"/>
              <w:left w:val="single" w:sz="4" w:space="0" w:color="000000"/>
              <w:bottom w:val="single" w:sz="4" w:space="0" w:color="000000"/>
              <w:right w:val="single" w:sz="4" w:space="0" w:color="000000"/>
            </w:tcBorders>
            <w:hideMark/>
          </w:tcPr>
          <w:p w14:paraId="3E9BAA51"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74E1BD3D"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1325C8DF"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8.7.3.14</w:t>
            </w:r>
          </w:p>
        </w:tc>
        <w:tc>
          <w:tcPr>
            <w:tcW w:w="5255" w:type="dxa"/>
            <w:tcBorders>
              <w:top w:val="single" w:sz="4" w:space="0" w:color="000000"/>
              <w:left w:val="single" w:sz="4" w:space="0" w:color="000000"/>
              <w:bottom w:val="single" w:sz="4" w:space="0" w:color="000000"/>
              <w:right w:val="single" w:sz="4" w:space="0" w:color="000000"/>
            </w:tcBorders>
            <w:hideMark/>
          </w:tcPr>
          <w:p w14:paraId="2B97C24B"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Car Frames and Platforms</w:t>
            </w:r>
          </w:p>
        </w:tc>
      </w:tr>
      <w:tr w:rsidR="001B7F77" w:rsidRPr="001B7F77" w14:paraId="109E4202" w14:textId="77777777" w:rsidTr="006655A1">
        <w:tc>
          <w:tcPr>
            <w:tcW w:w="1011" w:type="dxa"/>
            <w:tcBorders>
              <w:top w:val="single" w:sz="4" w:space="0" w:color="000000"/>
              <w:left w:val="single" w:sz="4" w:space="0" w:color="000000"/>
              <w:bottom w:val="single" w:sz="4" w:space="0" w:color="000000"/>
              <w:right w:val="single" w:sz="4" w:space="0" w:color="000000"/>
            </w:tcBorders>
            <w:hideMark/>
          </w:tcPr>
          <w:p w14:paraId="06658425"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7F8B38C2"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1B0D68F5"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8.7.3.15</w:t>
            </w:r>
          </w:p>
        </w:tc>
        <w:tc>
          <w:tcPr>
            <w:tcW w:w="5255" w:type="dxa"/>
            <w:tcBorders>
              <w:top w:val="single" w:sz="4" w:space="0" w:color="000000"/>
              <w:left w:val="single" w:sz="4" w:space="0" w:color="000000"/>
              <w:bottom w:val="single" w:sz="4" w:space="0" w:color="000000"/>
              <w:right w:val="single" w:sz="4" w:space="0" w:color="000000"/>
            </w:tcBorders>
            <w:hideMark/>
          </w:tcPr>
          <w:p w14:paraId="6C8049DB"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 xml:space="preserve">Safeties </w:t>
            </w:r>
          </w:p>
        </w:tc>
      </w:tr>
      <w:tr w:rsidR="001B7F77" w:rsidRPr="001B7F77" w14:paraId="39CED0A7" w14:textId="77777777" w:rsidTr="006655A1">
        <w:tc>
          <w:tcPr>
            <w:tcW w:w="1011" w:type="dxa"/>
            <w:tcBorders>
              <w:top w:val="single" w:sz="4" w:space="0" w:color="000000"/>
              <w:left w:val="single" w:sz="4" w:space="0" w:color="000000"/>
              <w:bottom w:val="single" w:sz="4" w:space="0" w:color="000000"/>
              <w:right w:val="single" w:sz="4" w:space="0" w:color="000000"/>
            </w:tcBorders>
            <w:hideMark/>
          </w:tcPr>
          <w:p w14:paraId="22570C7D"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0086CF03"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4EC05106"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8.7.3.16</w:t>
            </w:r>
          </w:p>
        </w:tc>
        <w:tc>
          <w:tcPr>
            <w:tcW w:w="5255" w:type="dxa"/>
            <w:tcBorders>
              <w:top w:val="single" w:sz="4" w:space="0" w:color="000000"/>
              <w:left w:val="single" w:sz="4" w:space="0" w:color="000000"/>
              <w:bottom w:val="single" w:sz="4" w:space="0" w:color="000000"/>
              <w:right w:val="single" w:sz="4" w:space="0" w:color="000000"/>
            </w:tcBorders>
            <w:hideMark/>
          </w:tcPr>
          <w:p w14:paraId="42F13018"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 xml:space="preserve">Governors and Governor Ropes </w:t>
            </w:r>
          </w:p>
        </w:tc>
      </w:tr>
      <w:tr w:rsidR="001B7F77" w:rsidRPr="001B7F77" w14:paraId="04FE40C2" w14:textId="77777777" w:rsidTr="006655A1">
        <w:tc>
          <w:tcPr>
            <w:tcW w:w="1011" w:type="dxa"/>
            <w:tcBorders>
              <w:top w:val="single" w:sz="4" w:space="0" w:color="000000"/>
              <w:left w:val="single" w:sz="4" w:space="0" w:color="000000"/>
              <w:bottom w:val="single" w:sz="4" w:space="0" w:color="000000"/>
              <w:right w:val="single" w:sz="4" w:space="0" w:color="000000"/>
            </w:tcBorders>
            <w:hideMark/>
          </w:tcPr>
          <w:p w14:paraId="4E275888"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567C2648"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73D57FEE"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8.7.3.17</w:t>
            </w:r>
          </w:p>
        </w:tc>
        <w:tc>
          <w:tcPr>
            <w:tcW w:w="5255" w:type="dxa"/>
            <w:tcBorders>
              <w:top w:val="single" w:sz="4" w:space="0" w:color="000000"/>
              <w:left w:val="single" w:sz="4" w:space="0" w:color="000000"/>
              <w:bottom w:val="single" w:sz="4" w:space="0" w:color="000000"/>
              <w:right w:val="single" w:sz="4" w:space="0" w:color="000000"/>
            </w:tcBorders>
            <w:hideMark/>
          </w:tcPr>
          <w:p w14:paraId="6099BD41"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Change in Type of Service</w:t>
            </w:r>
          </w:p>
        </w:tc>
      </w:tr>
      <w:tr w:rsidR="001B7F77" w:rsidRPr="001B7F77" w14:paraId="1883DC06" w14:textId="77777777" w:rsidTr="006655A1">
        <w:tc>
          <w:tcPr>
            <w:tcW w:w="1011" w:type="dxa"/>
            <w:tcBorders>
              <w:top w:val="single" w:sz="4" w:space="0" w:color="000000"/>
              <w:left w:val="single" w:sz="4" w:space="0" w:color="000000"/>
              <w:bottom w:val="single" w:sz="4" w:space="0" w:color="000000"/>
              <w:right w:val="single" w:sz="4" w:space="0" w:color="000000"/>
            </w:tcBorders>
            <w:hideMark/>
          </w:tcPr>
          <w:p w14:paraId="2906F34C"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0AB07385"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2E4C5EAE"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8.7.3.18</w:t>
            </w:r>
          </w:p>
        </w:tc>
        <w:tc>
          <w:tcPr>
            <w:tcW w:w="5255" w:type="dxa"/>
            <w:tcBorders>
              <w:top w:val="single" w:sz="4" w:space="0" w:color="000000"/>
              <w:left w:val="single" w:sz="4" w:space="0" w:color="000000"/>
              <w:bottom w:val="single" w:sz="4" w:space="0" w:color="000000"/>
              <w:right w:val="single" w:sz="4" w:space="0" w:color="000000"/>
            </w:tcBorders>
            <w:hideMark/>
          </w:tcPr>
          <w:p w14:paraId="42D8F6E1"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Change in Class of Loading</w:t>
            </w:r>
          </w:p>
        </w:tc>
      </w:tr>
      <w:tr w:rsidR="001B7F77" w:rsidRPr="001B7F77" w14:paraId="0DC73A98" w14:textId="77777777" w:rsidTr="006655A1">
        <w:tc>
          <w:tcPr>
            <w:tcW w:w="1011" w:type="dxa"/>
            <w:tcBorders>
              <w:top w:val="single" w:sz="4" w:space="0" w:color="000000"/>
              <w:left w:val="single" w:sz="4" w:space="0" w:color="000000"/>
              <w:bottom w:val="single" w:sz="4" w:space="0" w:color="000000"/>
              <w:right w:val="single" w:sz="4" w:space="0" w:color="000000"/>
            </w:tcBorders>
            <w:hideMark/>
          </w:tcPr>
          <w:p w14:paraId="159C9432"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32EDF69D"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6E1AC491"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8.7.3.19</w:t>
            </w:r>
          </w:p>
        </w:tc>
        <w:tc>
          <w:tcPr>
            <w:tcW w:w="5255" w:type="dxa"/>
            <w:tcBorders>
              <w:top w:val="single" w:sz="4" w:space="0" w:color="000000"/>
              <w:left w:val="single" w:sz="4" w:space="0" w:color="000000"/>
              <w:bottom w:val="single" w:sz="4" w:space="0" w:color="000000"/>
              <w:right w:val="single" w:sz="4" w:space="0" w:color="000000"/>
            </w:tcBorders>
            <w:hideMark/>
          </w:tcPr>
          <w:p w14:paraId="13F3DF39"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Carrying of Passengers on Freight Elevators</w:t>
            </w:r>
          </w:p>
        </w:tc>
      </w:tr>
      <w:tr w:rsidR="001B7F77" w:rsidRPr="001B7F77" w14:paraId="4C7CD1C0" w14:textId="77777777" w:rsidTr="006655A1">
        <w:tc>
          <w:tcPr>
            <w:tcW w:w="1011" w:type="dxa"/>
            <w:tcBorders>
              <w:top w:val="single" w:sz="4" w:space="0" w:color="000000"/>
              <w:left w:val="single" w:sz="4" w:space="0" w:color="000000"/>
              <w:bottom w:val="single" w:sz="4" w:space="0" w:color="000000"/>
              <w:right w:val="single" w:sz="4" w:space="0" w:color="000000"/>
            </w:tcBorders>
            <w:hideMark/>
          </w:tcPr>
          <w:p w14:paraId="2F1F8521"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67430765"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117FA7AE"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8.7.3.20</w:t>
            </w:r>
          </w:p>
        </w:tc>
        <w:tc>
          <w:tcPr>
            <w:tcW w:w="5255" w:type="dxa"/>
            <w:tcBorders>
              <w:top w:val="single" w:sz="4" w:space="0" w:color="000000"/>
              <w:left w:val="single" w:sz="4" w:space="0" w:color="000000"/>
              <w:bottom w:val="single" w:sz="4" w:space="0" w:color="000000"/>
              <w:right w:val="single" w:sz="4" w:space="0" w:color="000000"/>
            </w:tcBorders>
            <w:hideMark/>
          </w:tcPr>
          <w:p w14:paraId="69506698"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Increase in Rated Load</w:t>
            </w:r>
          </w:p>
        </w:tc>
      </w:tr>
      <w:tr w:rsidR="001B7F77" w:rsidRPr="001B7F77" w14:paraId="797E0B92" w14:textId="77777777" w:rsidTr="006655A1">
        <w:tc>
          <w:tcPr>
            <w:tcW w:w="1011" w:type="dxa"/>
            <w:tcBorders>
              <w:top w:val="single" w:sz="4" w:space="0" w:color="000000"/>
              <w:left w:val="single" w:sz="4" w:space="0" w:color="000000"/>
              <w:bottom w:val="single" w:sz="4" w:space="0" w:color="000000"/>
              <w:right w:val="single" w:sz="4" w:space="0" w:color="000000"/>
            </w:tcBorders>
            <w:hideMark/>
          </w:tcPr>
          <w:p w14:paraId="6B87883E"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49829607"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31C26CC6"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8.7.3.21</w:t>
            </w:r>
          </w:p>
        </w:tc>
        <w:tc>
          <w:tcPr>
            <w:tcW w:w="5255" w:type="dxa"/>
            <w:tcBorders>
              <w:top w:val="single" w:sz="4" w:space="0" w:color="000000"/>
              <w:left w:val="single" w:sz="4" w:space="0" w:color="000000"/>
              <w:bottom w:val="single" w:sz="4" w:space="0" w:color="000000"/>
              <w:right w:val="single" w:sz="4" w:space="0" w:color="000000"/>
            </w:tcBorders>
            <w:hideMark/>
          </w:tcPr>
          <w:p w14:paraId="0AD3C6CB"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Increase in Deadweight of Car (More than 5%)</w:t>
            </w:r>
          </w:p>
        </w:tc>
      </w:tr>
      <w:tr w:rsidR="001B7F77" w:rsidRPr="001B7F77" w14:paraId="13FEB8E0" w14:textId="77777777" w:rsidTr="006655A1">
        <w:tc>
          <w:tcPr>
            <w:tcW w:w="1011" w:type="dxa"/>
            <w:tcBorders>
              <w:top w:val="single" w:sz="4" w:space="0" w:color="000000"/>
              <w:left w:val="single" w:sz="4" w:space="0" w:color="000000"/>
              <w:bottom w:val="single" w:sz="4" w:space="0" w:color="000000"/>
              <w:right w:val="single" w:sz="4" w:space="0" w:color="000000"/>
            </w:tcBorders>
            <w:hideMark/>
          </w:tcPr>
          <w:p w14:paraId="738ED839"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4A09EA08"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79642153"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8.7.3.22</w:t>
            </w:r>
          </w:p>
        </w:tc>
        <w:tc>
          <w:tcPr>
            <w:tcW w:w="5255" w:type="dxa"/>
            <w:tcBorders>
              <w:top w:val="single" w:sz="4" w:space="0" w:color="000000"/>
              <w:left w:val="single" w:sz="4" w:space="0" w:color="000000"/>
              <w:bottom w:val="single" w:sz="4" w:space="0" w:color="000000"/>
              <w:right w:val="single" w:sz="4" w:space="0" w:color="000000"/>
            </w:tcBorders>
            <w:hideMark/>
          </w:tcPr>
          <w:p w14:paraId="115F66FD"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Change in Rise or Rated Speed</w:t>
            </w:r>
          </w:p>
        </w:tc>
      </w:tr>
      <w:tr w:rsidR="001B7F77" w:rsidRPr="001B7F77" w14:paraId="6E2E5ED0" w14:textId="77777777" w:rsidTr="006655A1">
        <w:tc>
          <w:tcPr>
            <w:tcW w:w="1011" w:type="dxa"/>
            <w:tcBorders>
              <w:top w:val="single" w:sz="4" w:space="0" w:color="000000"/>
              <w:left w:val="single" w:sz="4" w:space="0" w:color="000000"/>
              <w:bottom w:val="single" w:sz="4" w:space="0" w:color="000000"/>
              <w:right w:val="single" w:sz="4" w:space="0" w:color="000000"/>
            </w:tcBorders>
            <w:hideMark/>
          </w:tcPr>
          <w:p w14:paraId="2E072F5C"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64B0A8EC"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684D5108"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8.7.3.23</w:t>
            </w:r>
          </w:p>
        </w:tc>
        <w:tc>
          <w:tcPr>
            <w:tcW w:w="5255" w:type="dxa"/>
            <w:tcBorders>
              <w:top w:val="single" w:sz="4" w:space="0" w:color="000000"/>
              <w:left w:val="single" w:sz="4" w:space="0" w:color="000000"/>
              <w:bottom w:val="single" w:sz="4" w:space="0" w:color="000000"/>
              <w:right w:val="single" w:sz="4" w:space="0" w:color="000000"/>
            </w:tcBorders>
            <w:hideMark/>
          </w:tcPr>
          <w:p w14:paraId="792A7DF0"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Hydraulic Equipment</w:t>
            </w:r>
          </w:p>
        </w:tc>
      </w:tr>
      <w:tr w:rsidR="001B7F77" w:rsidRPr="001B7F77" w14:paraId="5F5C2BD2" w14:textId="77777777" w:rsidTr="006655A1">
        <w:tc>
          <w:tcPr>
            <w:tcW w:w="1011" w:type="dxa"/>
            <w:tcBorders>
              <w:top w:val="single" w:sz="4" w:space="0" w:color="000000"/>
              <w:left w:val="single" w:sz="4" w:space="0" w:color="000000"/>
              <w:bottom w:val="single" w:sz="4" w:space="0" w:color="000000"/>
              <w:right w:val="single" w:sz="4" w:space="0" w:color="000000"/>
            </w:tcBorders>
            <w:hideMark/>
          </w:tcPr>
          <w:p w14:paraId="03F850DF"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68431F80"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721C5CF2"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8.7.3.24</w:t>
            </w:r>
          </w:p>
        </w:tc>
        <w:tc>
          <w:tcPr>
            <w:tcW w:w="5255" w:type="dxa"/>
            <w:tcBorders>
              <w:top w:val="single" w:sz="4" w:space="0" w:color="000000"/>
              <w:left w:val="single" w:sz="4" w:space="0" w:color="000000"/>
              <w:bottom w:val="single" w:sz="4" w:space="0" w:color="000000"/>
              <w:right w:val="single" w:sz="4" w:space="0" w:color="000000"/>
            </w:tcBorders>
          </w:tcPr>
          <w:p w14:paraId="45269BE3"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Valves, Pressure Piping, and Fittings</w:t>
            </w:r>
          </w:p>
          <w:p w14:paraId="7537238F" w14:textId="77777777" w:rsidR="001B7F77" w:rsidRPr="001B7F77" w:rsidRDefault="001B7F77" w:rsidP="001B7F77">
            <w:pPr>
              <w:suppressAutoHyphens/>
              <w:spacing w:before="120"/>
              <w:jc w:val="left"/>
              <w:rPr>
                <w:rFonts w:eastAsia="Times"/>
                <w:szCs w:val="24"/>
                <w:u w:val="single"/>
              </w:rPr>
            </w:pPr>
          </w:p>
        </w:tc>
      </w:tr>
      <w:tr w:rsidR="001B7F77" w:rsidRPr="001B7F77" w14:paraId="008F1492" w14:textId="77777777" w:rsidTr="006655A1">
        <w:tc>
          <w:tcPr>
            <w:tcW w:w="1011" w:type="dxa"/>
            <w:tcBorders>
              <w:top w:val="single" w:sz="4" w:space="0" w:color="000000"/>
              <w:left w:val="single" w:sz="4" w:space="0" w:color="000000"/>
              <w:bottom w:val="single" w:sz="4" w:space="0" w:color="000000"/>
              <w:right w:val="single" w:sz="4" w:space="0" w:color="000000"/>
            </w:tcBorders>
            <w:hideMark/>
          </w:tcPr>
          <w:p w14:paraId="6E09EF54"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0E2F53C4"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48AD4F8F"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8.7.3.26</w:t>
            </w:r>
          </w:p>
        </w:tc>
        <w:tc>
          <w:tcPr>
            <w:tcW w:w="5255" w:type="dxa"/>
            <w:tcBorders>
              <w:top w:val="single" w:sz="4" w:space="0" w:color="000000"/>
              <w:left w:val="single" w:sz="4" w:space="0" w:color="000000"/>
              <w:bottom w:val="single" w:sz="4" w:space="0" w:color="000000"/>
              <w:right w:val="single" w:sz="4" w:space="0" w:color="000000"/>
            </w:tcBorders>
            <w:hideMark/>
          </w:tcPr>
          <w:p w14:paraId="3BD1F41F"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Counterweights</w:t>
            </w:r>
          </w:p>
        </w:tc>
      </w:tr>
      <w:tr w:rsidR="001B7F77" w:rsidRPr="001B7F77" w14:paraId="370C567B" w14:textId="77777777" w:rsidTr="006655A1">
        <w:tc>
          <w:tcPr>
            <w:tcW w:w="1011" w:type="dxa"/>
            <w:tcBorders>
              <w:top w:val="single" w:sz="4" w:space="0" w:color="000000"/>
              <w:left w:val="single" w:sz="4" w:space="0" w:color="000000"/>
              <w:bottom w:val="single" w:sz="4" w:space="0" w:color="000000"/>
              <w:right w:val="single" w:sz="4" w:space="0" w:color="000000"/>
            </w:tcBorders>
            <w:hideMark/>
          </w:tcPr>
          <w:p w14:paraId="0C14C736"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142B0F81"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52FE7F46"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8.7.3.29</w:t>
            </w:r>
          </w:p>
        </w:tc>
        <w:tc>
          <w:tcPr>
            <w:tcW w:w="5255" w:type="dxa"/>
            <w:tcBorders>
              <w:top w:val="single" w:sz="4" w:space="0" w:color="000000"/>
              <w:left w:val="single" w:sz="4" w:space="0" w:color="000000"/>
              <w:bottom w:val="single" w:sz="4" w:space="0" w:color="000000"/>
              <w:right w:val="single" w:sz="4" w:space="0" w:color="000000"/>
            </w:tcBorders>
            <w:hideMark/>
          </w:tcPr>
          <w:p w14:paraId="0865737E"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Tanks</w:t>
            </w:r>
          </w:p>
        </w:tc>
      </w:tr>
      <w:tr w:rsidR="001B7F77" w:rsidRPr="001B7F77" w14:paraId="144A3C76" w14:textId="77777777" w:rsidTr="006655A1">
        <w:tc>
          <w:tcPr>
            <w:tcW w:w="1011" w:type="dxa"/>
            <w:tcBorders>
              <w:top w:val="single" w:sz="4" w:space="0" w:color="000000"/>
              <w:left w:val="single" w:sz="4" w:space="0" w:color="000000"/>
              <w:bottom w:val="single" w:sz="4" w:space="0" w:color="000000"/>
              <w:right w:val="single" w:sz="4" w:space="0" w:color="000000"/>
            </w:tcBorders>
            <w:hideMark/>
          </w:tcPr>
          <w:p w14:paraId="6F5E7EE1"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1736618C"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1C48E93D"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8.7.3.30</w:t>
            </w:r>
          </w:p>
        </w:tc>
        <w:tc>
          <w:tcPr>
            <w:tcW w:w="5255" w:type="dxa"/>
            <w:tcBorders>
              <w:top w:val="single" w:sz="4" w:space="0" w:color="000000"/>
              <w:left w:val="single" w:sz="4" w:space="0" w:color="000000"/>
              <w:bottom w:val="single" w:sz="4" w:space="0" w:color="000000"/>
              <w:right w:val="single" w:sz="4" w:space="0" w:color="000000"/>
            </w:tcBorders>
            <w:hideMark/>
          </w:tcPr>
          <w:p w14:paraId="34289789"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Terminal Stopping Devices</w:t>
            </w:r>
          </w:p>
        </w:tc>
      </w:tr>
      <w:tr w:rsidR="001B7F77" w:rsidRPr="001B7F77" w14:paraId="561D6573" w14:textId="77777777" w:rsidTr="006655A1">
        <w:tc>
          <w:tcPr>
            <w:tcW w:w="1011" w:type="dxa"/>
            <w:tcBorders>
              <w:top w:val="single" w:sz="4" w:space="0" w:color="000000"/>
              <w:left w:val="single" w:sz="4" w:space="0" w:color="000000"/>
              <w:bottom w:val="single" w:sz="4" w:space="0" w:color="000000"/>
              <w:right w:val="single" w:sz="4" w:space="0" w:color="000000"/>
            </w:tcBorders>
            <w:hideMark/>
          </w:tcPr>
          <w:p w14:paraId="7EFE3E99"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7AB47B93"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78F5AA50"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8.7.3.31</w:t>
            </w:r>
          </w:p>
        </w:tc>
        <w:tc>
          <w:tcPr>
            <w:tcW w:w="5255" w:type="dxa"/>
            <w:tcBorders>
              <w:top w:val="single" w:sz="4" w:space="0" w:color="000000"/>
              <w:left w:val="single" w:sz="4" w:space="0" w:color="000000"/>
              <w:bottom w:val="single" w:sz="4" w:space="0" w:color="000000"/>
              <w:right w:val="single" w:sz="4" w:space="0" w:color="000000"/>
            </w:tcBorders>
            <w:hideMark/>
          </w:tcPr>
          <w:p w14:paraId="0393BF45"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Operating Devices and Control Equipment (Including adding Phase I or Phase II Recall, replacing car operating panels or hall buttons)</w:t>
            </w:r>
          </w:p>
        </w:tc>
      </w:tr>
      <w:tr w:rsidR="001B7F77" w:rsidRPr="001B7F77" w14:paraId="676238DE" w14:textId="77777777" w:rsidTr="006655A1">
        <w:tc>
          <w:tcPr>
            <w:tcW w:w="1011" w:type="dxa"/>
            <w:tcBorders>
              <w:top w:val="single" w:sz="4" w:space="0" w:color="000000"/>
              <w:left w:val="single" w:sz="4" w:space="0" w:color="000000"/>
              <w:bottom w:val="single" w:sz="4" w:space="0" w:color="000000"/>
              <w:right w:val="single" w:sz="4" w:space="0" w:color="000000"/>
            </w:tcBorders>
            <w:hideMark/>
          </w:tcPr>
          <w:p w14:paraId="40C9CD23"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8.7.4</w:t>
            </w:r>
          </w:p>
        </w:tc>
        <w:tc>
          <w:tcPr>
            <w:tcW w:w="1937" w:type="dxa"/>
            <w:tcBorders>
              <w:top w:val="single" w:sz="4" w:space="0" w:color="000000"/>
              <w:left w:val="single" w:sz="4" w:space="0" w:color="000000"/>
              <w:bottom w:val="single" w:sz="4" w:space="0" w:color="000000"/>
              <w:right w:val="single" w:sz="4" w:space="0" w:color="000000"/>
            </w:tcBorders>
            <w:hideMark/>
          </w:tcPr>
          <w:p w14:paraId="18CF81D2"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Alterations to Elevators with Other Types of Driving Machines</w:t>
            </w:r>
          </w:p>
        </w:tc>
        <w:tc>
          <w:tcPr>
            <w:tcW w:w="1367" w:type="dxa"/>
            <w:tcBorders>
              <w:top w:val="single" w:sz="4" w:space="0" w:color="000000"/>
              <w:left w:val="single" w:sz="4" w:space="0" w:color="000000"/>
              <w:bottom w:val="single" w:sz="4" w:space="0" w:color="000000"/>
              <w:right w:val="single" w:sz="4" w:space="0" w:color="000000"/>
            </w:tcBorders>
            <w:hideMark/>
          </w:tcPr>
          <w:p w14:paraId="6BB4216A"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8.7.4</w:t>
            </w:r>
          </w:p>
        </w:tc>
        <w:tc>
          <w:tcPr>
            <w:tcW w:w="5255" w:type="dxa"/>
            <w:tcBorders>
              <w:top w:val="single" w:sz="4" w:space="0" w:color="000000"/>
              <w:left w:val="single" w:sz="4" w:space="0" w:color="000000"/>
              <w:bottom w:val="single" w:sz="4" w:space="0" w:color="000000"/>
              <w:right w:val="single" w:sz="4" w:space="0" w:color="000000"/>
            </w:tcBorders>
            <w:hideMark/>
          </w:tcPr>
          <w:p w14:paraId="7872CE53"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Alterations to Elevators with Other Types of Driving Machines</w:t>
            </w:r>
          </w:p>
        </w:tc>
      </w:tr>
      <w:tr w:rsidR="001B7F77" w:rsidRPr="001B7F77" w14:paraId="4A95B776" w14:textId="77777777" w:rsidTr="006655A1">
        <w:tc>
          <w:tcPr>
            <w:tcW w:w="1011" w:type="dxa"/>
            <w:tcBorders>
              <w:top w:val="single" w:sz="4" w:space="0" w:color="000000"/>
              <w:left w:val="single" w:sz="4" w:space="0" w:color="000000"/>
              <w:bottom w:val="single" w:sz="4" w:space="0" w:color="000000"/>
              <w:right w:val="single" w:sz="4" w:space="0" w:color="000000"/>
            </w:tcBorders>
            <w:hideMark/>
          </w:tcPr>
          <w:p w14:paraId="3E2C7A16"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8.7.5</w:t>
            </w:r>
          </w:p>
        </w:tc>
        <w:tc>
          <w:tcPr>
            <w:tcW w:w="1937" w:type="dxa"/>
            <w:tcBorders>
              <w:top w:val="single" w:sz="4" w:space="0" w:color="000000"/>
              <w:left w:val="single" w:sz="4" w:space="0" w:color="000000"/>
              <w:bottom w:val="single" w:sz="4" w:space="0" w:color="000000"/>
              <w:right w:val="single" w:sz="4" w:space="0" w:color="000000"/>
            </w:tcBorders>
            <w:hideMark/>
          </w:tcPr>
          <w:p w14:paraId="4B5464E0"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Alterations to Special Application Elevators</w:t>
            </w:r>
          </w:p>
        </w:tc>
        <w:tc>
          <w:tcPr>
            <w:tcW w:w="1367" w:type="dxa"/>
            <w:tcBorders>
              <w:top w:val="single" w:sz="4" w:space="0" w:color="000000"/>
              <w:left w:val="single" w:sz="4" w:space="0" w:color="000000"/>
              <w:bottom w:val="single" w:sz="4" w:space="0" w:color="000000"/>
              <w:right w:val="single" w:sz="4" w:space="0" w:color="000000"/>
            </w:tcBorders>
            <w:hideMark/>
          </w:tcPr>
          <w:p w14:paraId="7FAEB8C4"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8.7.5</w:t>
            </w:r>
          </w:p>
        </w:tc>
        <w:tc>
          <w:tcPr>
            <w:tcW w:w="5255" w:type="dxa"/>
            <w:tcBorders>
              <w:top w:val="single" w:sz="4" w:space="0" w:color="000000"/>
              <w:left w:val="single" w:sz="4" w:space="0" w:color="000000"/>
              <w:bottom w:val="single" w:sz="4" w:space="0" w:color="000000"/>
              <w:right w:val="single" w:sz="4" w:space="0" w:color="000000"/>
            </w:tcBorders>
            <w:hideMark/>
          </w:tcPr>
          <w:p w14:paraId="6CF33DC6"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Alterations to Special Application Elevators</w:t>
            </w:r>
          </w:p>
        </w:tc>
      </w:tr>
      <w:tr w:rsidR="001B7F77" w:rsidRPr="001B7F77" w14:paraId="56B169D4" w14:textId="77777777" w:rsidTr="006655A1">
        <w:tc>
          <w:tcPr>
            <w:tcW w:w="1011" w:type="dxa"/>
            <w:tcBorders>
              <w:top w:val="single" w:sz="4" w:space="0" w:color="000000"/>
              <w:left w:val="single" w:sz="4" w:space="0" w:color="000000"/>
              <w:bottom w:val="single" w:sz="4" w:space="0" w:color="000000"/>
              <w:right w:val="single" w:sz="4" w:space="0" w:color="000000"/>
            </w:tcBorders>
            <w:hideMark/>
          </w:tcPr>
          <w:p w14:paraId="6CABFE4F"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8.7.6</w:t>
            </w:r>
          </w:p>
        </w:tc>
        <w:tc>
          <w:tcPr>
            <w:tcW w:w="1937" w:type="dxa"/>
            <w:tcBorders>
              <w:top w:val="single" w:sz="4" w:space="0" w:color="000000"/>
              <w:left w:val="single" w:sz="4" w:space="0" w:color="000000"/>
              <w:bottom w:val="single" w:sz="4" w:space="0" w:color="000000"/>
              <w:right w:val="single" w:sz="4" w:space="0" w:color="000000"/>
            </w:tcBorders>
            <w:hideMark/>
          </w:tcPr>
          <w:p w14:paraId="1D4811BD"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Alterations to Escalators and Moving Walks</w:t>
            </w:r>
          </w:p>
        </w:tc>
        <w:tc>
          <w:tcPr>
            <w:tcW w:w="1367" w:type="dxa"/>
            <w:tcBorders>
              <w:top w:val="single" w:sz="4" w:space="0" w:color="000000"/>
              <w:left w:val="single" w:sz="4" w:space="0" w:color="000000"/>
              <w:bottom w:val="single" w:sz="4" w:space="0" w:color="000000"/>
              <w:right w:val="single" w:sz="4" w:space="0" w:color="000000"/>
            </w:tcBorders>
            <w:hideMark/>
          </w:tcPr>
          <w:p w14:paraId="70DD4F02"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8.7.6</w:t>
            </w:r>
          </w:p>
        </w:tc>
        <w:tc>
          <w:tcPr>
            <w:tcW w:w="5255" w:type="dxa"/>
            <w:tcBorders>
              <w:top w:val="single" w:sz="4" w:space="0" w:color="000000"/>
              <w:left w:val="single" w:sz="4" w:space="0" w:color="000000"/>
              <w:bottom w:val="single" w:sz="4" w:space="0" w:color="000000"/>
              <w:right w:val="single" w:sz="4" w:space="0" w:color="000000"/>
            </w:tcBorders>
            <w:hideMark/>
          </w:tcPr>
          <w:p w14:paraId="752CE746"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Alterations to Escalators and Moving Walks</w:t>
            </w:r>
          </w:p>
        </w:tc>
      </w:tr>
      <w:tr w:rsidR="001B7F77" w:rsidRPr="001B7F77" w14:paraId="121EB024" w14:textId="77777777" w:rsidTr="006655A1">
        <w:tc>
          <w:tcPr>
            <w:tcW w:w="1011" w:type="dxa"/>
            <w:tcBorders>
              <w:top w:val="single" w:sz="4" w:space="0" w:color="000000"/>
              <w:left w:val="single" w:sz="4" w:space="0" w:color="000000"/>
              <w:bottom w:val="single" w:sz="4" w:space="0" w:color="000000"/>
              <w:right w:val="single" w:sz="4" w:space="0" w:color="000000"/>
            </w:tcBorders>
            <w:hideMark/>
          </w:tcPr>
          <w:p w14:paraId="6F35DE87"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8.7.7</w:t>
            </w:r>
          </w:p>
        </w:tc>
        <w:tc>
          <w:tcPr>
            <w:tcW w:w="1937" w:type="dxa"/>
            <w:tcBorders>
              <w:top w:val="single" w:sz="4" w:space="0" w:color="000000"/>
              <w:left w:val="single" w:sz="4" w:space="0" w:color="000000"/>
              <w:bottom w:val="single" w:sz="4" w:space="0" w:color="000000"/>
              <w:right w:val="single" w:sz="4" w:space="0" w:color="000000"/>
            </w:tcBorders>
            <w:hideMark/>
          </w:tcPr>
          <w:p w14:paraId="00A6CC32"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Alterations to Dumbwaiters and Material Lifts</w:t>
            </w:r>
          </w:p>
        </w:tc>
        <w:tc>
          <w:tcPr>
            <w:tcW w:w="1367" w:type="dxa"/>
            <w:tcBorders>
              <w:top w:val="single" w:sz="4" w:space="0" w:color="000000"/>
              <w:left w:val="single" w:sz="4" w:space="0" w:color="000000"/>
              <w:bottom w:val="single" w:sz="4" w:space="0" w:color="000000"/>
              <w:right w:val="single" w:sz="4" w:space="0" w:color="000000"/>
            </w:tcBorders>
            <w:hideMark/>
          </w:tcPr>
          <w:p w14:paraId="19F4440D"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8.7.7</w:t>
            </w:r>
          </w:p>
        </w:tc>
        <w:tc>
          <w:tcPr>
            <w:tcW w:w="5255" w:type="dxa"/>
            <w:tcBorders>
              <w:top w:val="single" w:sz="4" w:space="0" w:color="000000"/>
              <w:left w:val="single" w:sz="4" w:space="0" w:color="000000"/>
              <w:bottom w:val="single" w:sz="4" w:space="0" w:color="000000"/>
              <w:right w:val="single" w:sz="4" w:space="0" w:color="000000"/>
            </w:tcBorders>
            <w:hideMark/>
          </w:tcPr>
          <w:p w14:paraId="4AE36ECE"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Alterations to Dumbwaiters and Material Lifts</w:t>
            </w:r>
          </w:p>
        </w:tc>
      </w:tr>
      <w:tr w:rsidR="001B7F77" w:rsidRPr="001B7F77" w14:paraId="59BB3B99" w14:textId="77777777" w:rsidTr="006655A1">
        <w:tc>
          <w:tcPr>
            <w:tcW w:w="1011" w:type="dxa"/>
            <w:tcBorders>
              <w:top w:val="single" w:sz="4" w:space="0" w:color="000000"/>
              <w:left w:val="single" w:sz="4" w:space="0" w:color="000000"/>
              <w:bottom w:val="single" w:sz="4" w:space="0" w:color="000000"/>
              <w:right w:val="single" w:sz="4" w:space="0" w:color="000000"/>
            </w:tcBorders>
            <w:hideMark/>
          </w:tcPr>
          <w:p w14:paraId="3E580209"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8.11.1.4</w:t>
            </w:r>
          </w:p>
        </w:tc>
        <w:tc>
          <w:tcPr>
            <w:tcW w:w="1937" w:type="dxa"/>
            <w:tcBorders>
              <w:top w:val="single" w:sz="4" w:space="0" w:color="000000"/>
              <w:left w:val="single" w:sz="4" w:space="0" w:color="000000"/>
              <w:bottom w:val="single" w:sz="4" w:space="0" w:color="000000"/>
              <w:right w:val="single" w:sz="4" w:space="0" w:color="000000"/>
            </w:tcBorders>
            <w:hideMark/>
          </w:tcPr>
          <w:p w14:paraId="5152EC82"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Installations Placed Out of Service</w:t>
            </w:r>
          </w:p>
        </w:tc>
        <w:tc>
          <w:tcPr>
            <w:tcW w:w="1367" w:type="dxa"/>
            <w:tcBorders>
              <w:top w:val="single" w:sz="4" w:space="0" w:color="000000"/>
              <w:left w:val="single" w:sz="4" w:space="0" w:color="000000"/>
              <w:bottom w:val="single" w:sz="4" w:space="0" w:color="000000"/>
              <w:right w:val="single" w:sz="4" w:space="0" w:color="000000"/>
            </w:tcBorders>
            <w:hideMark/>
          </w:tcPr>
          <w:p w14:paraId="75481DE0"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8.11.1.4</w:t>
            </w:r>
          </w:p>
        </w:tc>
        <w:tc>
          <w:tcPr>
            <w:tcW w:w="5255" w:type="dxa"/>
            <w:tcBorders>
              <w:top w:val="single" w:sz="4" w:space="0" w:color="000000"/>
              <w:left w:val="single" w:sz="4" w:space="0" w:color="000000"/>
              <w:bottom w:val="single" w:sz="4" w:space="0" w:color="000000"/>
              <w:right w:val="single" w:sz="4" w:space="0" w:color="000000"/>
            </w:tcBorders>
            <w:hideMark/>
          </w:tcPr>
          <w:p w14:paraId="6AAF14BB" w14:textId="77777777" w:rsidR="001B7F77" w:rsidRPr="001B7F77" w:rsidRDefault="001B7F77" w:rsidP="001B7F77">
            <w:pPr>
              <w:suppressAutoHyphens/>
              <w:spacing w:before="120"/>
              <w:jc w:val="left"/>
              <w:rPr>
                <w:rFonts w:eastAsia="Times"/>
                <w:szCs w:val="24"/>
                <w:u w:val="single"/>
              </w:rPr>
            </w:pPr>
            <w:r w:rsidRPr="001B7F77">
              <w:rPr>
                <w:rFonts w:eastAsia="Times"/>
                <w:szCs w:val="24"/>
                <w:u w:val="single"/>
              </w:rPr>
              <w:t>Installations Placed Out of Service</w:t>
            </w:r>
          </w:p>
        </w:tc>
      </w:tr>
    </w:tbl>
    <w:p w14:paraId="7EEA4B79" w14:textId="77777777" w:rsidR="001B7F77" w:rsidRPr="001B7F77" w:rsidRDefault="001B7F77" w:rsidP="001B7F77">
      <w:pPr>
        <w:suppressAutoHyphens/>
        <w:autoSpaceDE w:val="0"/>
        <w:autoSpaceDN w:val="0"/>
        <w:adjustRightInd w:val="0"/>
        <w:spacing w:before="120"/>
        <w:jc w:val="left"/>
        <w:rPr>
          <w:rFonts w:eastAsia="Times"/>
          <w:color w:val="000000"/>
          <w:sz w:val="18"/>
          <w:szCs w:val="18"/>
          <w:u w:val="single"/>
        </w:rPr>
      </w:pPr>
      <w:r w:rsidRPr="001B7F77">
        <w:rPr>
          <w:rFonts w:eastAsia="Times"/>
          <w:color w:val="000000"/>
          <w:sz w:val="18"/>
          <w:szCs w:val="18"/>
          <w:u w:val="single"/>
        </w:rPr>
        <w:t xml:space="preserve">a. All references to A17.1 refer to ASME A17.1, as amended by Appendix K of the </w:t>
      </w:r>
      <w:r w:rsidRPr="001B7F77">
        <w:rPr>
          <w:rFonts w:eastAsia="Times"/>
          <w:i/>
          <w:iCs/>
          <w:color w:val="000000"/>
          <w:sz w:val="18"/>
          <w:szCs w:val="18"/>
          <w:u w:val="single"/>
        </w:rPr>
        <w:t>New York City Building Code</w:t>
      </w:r>
      <w:r w:rsidRPr="001B7F77">
        <w:rPr>
          <w:rFonts w:eastAsia="Times"/>
          <w:color w:val="000000"/>
          <w:sz w:val="18"/>
          <w:szCs w:val="18"/>
          <w:u w:val="single"/>
        </w:rPr>
        <w:t>.</w:t>
      </w:r>
    </w:p>
    <w:p w14:paraId="7D5E5A90" w14:textId="77777777" w:rsidR="001B7F77" w:rsidRPr="001B7F77" w:rsidRDefault="001B7F77" w:rsidP="001B7F77">
      <w:pPr>
        <w:widowControl w:val="0"/>
        <w:suppressAutoHyphens/>
        <w:spacing w:before="120"/>
        <w:jc w:val="center"/>
        <w:outlineLvl w:val="0"/>
        <w:rPr>
          <w:rFonts w:eastAsia="Times"/>
          <w:b/>
          <w:u w:val="single"/>
        </w:rPr>
      </w:pPr>
    </w:p>
    <w:p w14:paraId="27C53F06" w14:textId="77777777" w:rsidR="001B7F77" w:rsidRPr="001B7F77" w:rsidRDefault="001B7F77" w:rsidP="001B7F77">
      <w:pPr>
        <w:widowControl w:val="0"/>
        <w:suppressAutoHyphens/>
        <w:spacing w:before="120"/>
        <w:jc w:val="center"/>
        <w:outlineLvl w:val="0"/>
        <w:rPr>
          <w:rFonts w:eastAsia="Times"/>
          <w:b/>
          <w:u w:val="single"/>
        </w:rPr>
      </w:pPr>
      <w:r w:rsidRPr="001B7F77">
        <w:rPr>
          <w:rFonts w:eastAsia="Times"/>
          <w:b/>
          <w:u w:val="single"/>
        </w:rPr>
        <w:t>SECTION EBC 813</w:t>
      </w:r>
      <w:r w:rsidRPr="001B7F77">
        <w:rPr>
          <w:rFonts w:eastAsia="Times"/>
          <w:b/>
          <w:u w:val="single"/>
        </w:rPr>
        <w:br/>
        <w:t>ENERGY CONSERVATION</w:t>
      </w:r>
    </w:p>
    <w:p w14:paraId="550F94A2" w14:textId="77777777" w:rsidR="001B7F77" w:rsidRPr="001B7F77" w:rsidRDefault="001B7F77" w:rsidP="001B7F77">
      <w:pPr>
        <w:widowControl w:val="0"/>
        <w:suppressAutoHyphens/>
        <w:spacing w:before="120"/>
        <w:rPr>
          <w:color w:val="000000"/>
        </w:rPr>
      </w:pPr>
      <w:r w:rsidRPr="001B7F77">
        <w:rPr>
          <w:b/>
          <w:color w:val="000000"/>
          <w:u w:val="single"/>
        </w:rPr>
        <w:t>813.1</w:t>
      </w:r>
      <w:r w:rsidRPr="001B7F77">
        <w:rPr>
          <w:color w:val="000000"/>
          <w:u w:val="single"/>
        </w:rPr>
        <w:t xml:space="preserve"> </w:t>
      </w:r>
      <w:r w:rsidRPr="001B7F77">
        <w:rPr>
          <w:b/>
          <w:color w:val="000000"/>
          <w:u w:val="single"/>
        </w:rPr>
        <w:t>Minimum requirements</w:t>
      </w:r>
      <w:r w:rsidRPr="001B7F77">
        <w:rPr>
          <w:color w:val="000000"/>
          <w:u w:val="single"/>
        </w:rPr>
        <w:t xml:space="preserve">. Level 1 alterations made to existing buildings or structures are permitted without requiring the entire building or structure to comply with the energy requirements of the </w:t>
      </w:r>
      <w:r w:rsidRPr="001B7F77">
        <w:rPr>
          <w:i/>
          <w:iCs/>
          <w:color w:val="000000"/>
          <w:u w:val="single"/>
        </w:rPr>
        <w:t>New York City Energy Conservation Code</w:t>
      </w:r>
      <w:r w:rsidRPr="001B7F77">
        <w:rPr>
          <w:color w:val="000000"/>
          <w:u w:val="single"/>
        </w:rPr>
        <w:t xml:space="preserve">. Level 1 alterations shall conform to the energy requirements of Chapters R5 or C5, Existing Buildings, of the </w:t>
      </w:r>
      <w:r w:rsidRPr="001B7F77">
        <w:rPr>
          <w:i/>
          <w:iCs/>
          <w:color w:val="000000"/>
          <w:u w:val="single"/>
        </w:rPr>
        <w:t>New York City Energy Conservation Code</w:t>
      </w:r>
      <w:r w:rsidRPr="001B7F77">
        <w:rPr>
          <w:color w:val="000000"/>
          <w:u w:val="single"/>
        </w:rPr>
        <w:t>, as applicable.</w:t>
      </w:r>
    </w:p>
    <w:p w14:paraId="51C5E151" w14:textId="77777777" w:rsidR="001B7F77" w:rsidRPr="001B7F77" w:rsidRDefault="001B7F77" w:rsidP="001B7F77">
      <w:pPr>
        <w:widowControl w:val="0"/>
        <w:suppressAutoHyphens/>
        <w:spacing w:before="120"/>
        <w:jc w:val="center"/>
        <w:outlineLvl w:val="0"/>
        <w:rPr>
          <w:rFonts w:eastAsia="Times"/>
          <w:b/>
          <w:u w:val="single"/>
        </w:rPr>
      </w:pPr>
    </w:p>
    <w:p w14:paraId="2F61D1CB" w14:textId="77777777" w:rsidR="001B7F77" w:rsidRPr="001B7F77" w:rsidRDefault="001B7F77" w:rsidP="001B7F77">
      <w:pPr>
        <w:widowControl w:val="0"/>
        <w:suppressAutoHyphens/>
        <w:spacing w:before="120"/>
        <w:jc w:val="center"/>
        <w:outlineLvl w:val="0"/>
        <w:rPr>
          <w:rFonts w:eastAsia="Times"/>
          <w:b/>
          <w:u w:val="single"/>
        </w:rPr>
      </w:pPr>
      <w:r w:rsidRPr="001B7F77">
        <w:rPr>
          <w:rFonts w:eastAsia="Times"/>
          <w:b/>
          <w:u w:val="single"/>
        </w:rPr>
        <w:t>SECTION EBC 814</w:t>
      </w:r>
      <w:r w:rsidRPr="001B7F77">
        <w:rPr>
          <w:rFonts w:eastAsia="Times"/>
          <w:b/>
          <w:u w:val="single"/>
        </w:rPr>
        <w:br/>
        <w:t>INTERIOR ENVIRONMENT</w:t>
      </w:r>
    </w:p>
    <w:p w14:paraId="56BA2BC4" w14:textId="77777777" w:rsidR="001B7F77" w:rsidRPr="001B7F77" w:rsidRDefault="001B7F77" w:rsidP="001B7F77">
      <w:pPr>
        <w:widowControl w:val="0"/>
        <w:suppressAutoHyphens/>
        <w:spacing w:before="120"/>
        <w:rPr>
          <w:u w:val="single"/>
        </w:rPr>
      </w:pPr>
      <w:r w:rsidRPr="001B7F77">
        <w:rPr>
          <w:b/>
          <w:u w:val="single"/>
        </w:rPr>
        <w:t>814.1</w:t>
      </w:r>
      <w:bookmarkStart w:id="190" w:name="_Hlk77245402"/>
      <w:r w:rsidRPr="001B7F77">
        <w:rPr>
          <w:b/>
          <w:u w:val="single"/>
        </w:rPr>
        <w:t xml:space="preserve"> Ventilation requirements for enlarged bathrooms, toilet rooms, kitchens, and kitchenettes.</w:t>
      </w:r>
      <w:r w:rsidRPr="001B7F77">
        <w:rPr>
          <w:u w:val="single"/>
        </w:rPr>
        <w:t xml:space="preserve"> </w:t>
      </w:r>
      <w:bookmarkEnd w:id="190"/>
      <w:r w:rsidRPr="001B7F77">
        <w:rPr>
          <w:u w:val="single"/>
        </w:rPr>
        <w:t xml:space="preserve">For bathrooms, toilet rooms, kitchens and kitchenettes undergoing enlargement, natural or mechanical ventilation sized in accordance with the </w:t>
      </w:r>
      <w:r w:rsidRPr="001B7F77">
        <w:rPr>
          <w:i/>
          <w:iCs/>
          <w:u w:val="single"/>
        </w:rPr>
        <w:t>New York City Mechanical Code</w:t>
      </w:r>
      <w:r w:rsidRPr="001B7F77">
        <w:rPr>
          <w:u w:val="single"/>
        </w:rPr>
        <w:t xml:space="preserve"> shall be provided for the proposed floor area.</w:t>
      </w:r>
    </w:p>
    <w:p w14:paraId="3F2DE1EF" w14:textId="77777777" w:rsidR="001B7F77" w:rsidRPr="001B7F77" w:rsidRDefault="001B7F77" w:rsidP="001B7F77">
      <w:pPr>
        <w:widowControl w:val="0"/>
        <w:suppressAutoHyphens/>
        <w:spacing w:before="120"/>
        <w:ind w:left="360"/>
      </w:pPr>
      <w:r w:rsidRPr="001B7F77">
        <w:rPr>
          <w:b/>
          <w:u w:val="single"/>
        </w:rPr>
        <w:t>Exceptions</w:t>
      </w:r>
      <w:r w:rsidRPr="001B7F77">
        <w:rPr>
          <w:u w:val="single"/>
        </w:rPr>
        <w:t>:</w:t>
      </w:r>
    </w:p>
    <w:p w14:paraId="5E415E98" w14:textId="77777777" w:rsidR="001B7F77" w:rsidRPr="001B7F77" w:rsidRDefault="001B7F77" w:rsidP="0001508F">
      <w:pPr>
        <w:widowControl w:val="0"/>
        <w:numPr>
          <w:ilvl w:val="0"/>
          <w:numId w:val="22"/>
        </w:numPr>
        <w:suppressAutoHyphens/>
        <w:spacing w:before="120"/>
        <w:jc w:val="left"/>
        <w:rPr>
          <w:u w:val="single"/>
        </w:rPr>
      </w:pPr>
      <w:r w:rsidRPr="001B7F77">
        <w:rPr>
          <w:u w:val="single"/>
        </w:rPr>
        <w:t xml:space="preserve">Bathrooms and toilet rooms enlarged to meet the accessibility requirements of the </w:t>
      </w:r>
      <w:r w:rsidRPr="001B7F77">
        <w:rPr>
          <w:i/>
          <w:iCs/>
          <w:u w:val="single"/>
        </w:rPr>
        <w:t>New York City Building Code</w:t>
      </w:r>
      <w:r w:rsidRPr="001B7F77">
        <w:rPr>
          <w:u w:val="single"/>
        </w:rPr>
        <w:t xml:space="preserve"> and that increase the room size by less than 50 percent of the existing floor area shall be permitted to maintain the existing means of ventilation without an increase provided no additional plumbing fixture is being proposed.</w:t>
      </w:r>
    </w:p>
    <w:p w14:paraId="0CD6E615" w14:textId="77777777" w:rsidR="001B7F77" w:rsidRPr="001B7F77" w:rsidRDefault="001B7F77" w:rsidP="0001508F">
      <w:pPr>
        <w:widowControl w:val="0"/>
        <w:numPr>
          <w:ilvl w:val="0"/>
          <w:numId w:val="22"/>
        </w:numPr>
        <w:suppressAutoHyphens/>
        <w:spacing w:before="120"/>
        <w:jc w:val="left"/>
        <w:rPr>
          <w:u w:val="single"/>
        </w:rPr>
      </w:pPr>
      <w:r w:rsidRPr="001B7F77">
        <w:rPr>
          <w:u w:val="single"/>
        </w:rPr>
        <w:t xml:space="preserve">Kitchens and kitchenettes enlarged to meet the accessibility requirements of the </w:t>
      </w:r>
      <w:r w:rsidRPr="001B7F77">
        <w:rPr>
          <w:i/>
          <w:iCs/>
          <w:u w:val="single"/>
        </w:rPr>
        <w:t>New York City Building Code</w:t>
      </w:r>
      <w:r w:rsidRPr="001B7F77">
        <w:rPr>
          <w:u w:val="single"/>
        </w:rPr>
        <w:t xml:space="preserve"> shall be permitted to maintain the existing means of ventilation without an increase in ventilation size provided no additional cooking appliance load is being proposed.</w:t>
      </w:r>
    </w:p>
    <w:p w14:paraId="2B456695" w14:textId="77777777" w:rsidR="001B7F77" w:rsidRPr="001B7F77" w:rsidRDefault="001B7F77" w:rsidP="001B7F77">
      <w:pPr>
        <w:widowControl w:val="0"/>
        <w:suppressAutoHyphens/>
        <w:spacing w:before="120"/>
        <w:rPr>
          <w:b/>
        </w:rPr>
        <w:sectPr w:rsidR="001B7F77" w:rsidRPr="001B7F77" w:rsidSect="001B7F77">
          <w:footerReference w:type="default" r:id="rId62"/>
          <w:pgSz w:w="12240" w:h="15840" w:code="1"/>
          <w:pgMar w:top="1440" w:right="1440" w:bottom="1440" w:left="1440" w:header="720" w:footer="720" w:gutter="0"/>
          <w:lnNumType w:countBy="1"/>
          <w:cols w:space="720"/>
          <w:docGrid w:linePitch="360"/>
        </w:sectPr>
      </w:pPr>
    </w:p>
    <w:p w14:paraId="207D2963" w14:textId="77777777" w:rsidR="001B7F77" w:rsidRPr="001B7F77" w:rsidRDefault="001B7F77" w:rsidP="001B7F77">
      <w:pPr>
        <w:widowControl w:val="0"/>
        <w:suppressAutoHyphens/>
        <w:spacing w:before="120"/>
        <w:jc w:val="center"/>
        <w:outlineLvl w:val="0"/>
        <w:rPr>
          <w:rFonts w:eastAsia="Times"/>
          <w:b/>
          <w:u w:val="single"/>
        </w:rPr>
      </w:pPr>
      <w:r w:rsidRPr="001B7F77">
        <w:rPr>
          <w:rFonts w:eastAsia="Times"/>
          <w:b/>
          <w:u w:val="single"/>
        </w:rPr>
        <w:t>CHAPTER 9</w:t>
      </w:r>
      <w:r w:rsidRPr="001B7F77">
        <w:rPr>
          <w:rFonts w:eastAsia="Times"/>
          <w:b/>
          <w:u w:val="single"/>
        </w:rPr>
        <w:br/>
        <w:t>ALTERATIONS—LEVEL 2</w:t>
      </w:r>
    </w:p>
    <w:p w14:paraId="7CA98AD6" w14:textId="77777777" w:rsidR="001B7F77" w:rsidRPr="001B7F77" w:rsidRDefault="001B7F77" w:rsidP="001B7F77">
      <w:pPr>
        <w:widowControl w:val="0"/>
        <w:suppressAutoHyphens/>
        <w:spacing w:before="120"/>
        <w:jc w:val="center"/>
        <w:outlineLvl w:val="0"/>
        <w:rPr>
          <w:rFonts w:eastAsia="Helvetica Neue"/>
          <w:b/>
          <w:color w:val="000000"/>
          <w:u w:val="single"/>
        </w:rPr>
      </w:pPr>
      <w:r w:rsidRPr="001B7F77">
        <w:rPr>
          <w:rFonts w:eastAsia="Helvetica Neue"/>
          <w:b/>
          <w:color w:val="000000"/>
          <w:u w:val="single"/>
        </w:rPr>
        <w:t>SECTION EBC 901</w:t>
      </w:r>
      <w:r w:rsidRPr="001B7F77">
        <w:rPr>
          <w:rFonts w:eastAsia="Helvetica Neue"/>
          <w:b/>
          <w:color w:val="000000"/>
          <w:u w:val="single"/>
        </w:rPr>
        <w:br/>
        <w:t>GENERAL</w:t>
      </w:r>
    </w:p>
    <w:p w14:paraId="0F4025B6" w14:textId="77777777" w:rsidR="001B7F77" w:rsidRPr="001B7F77" w:rsidRDefault="001B7F77" w:rsidP="001B7F77">
      <w:pPr>
        <w:suppressAutoHyphens/>
        <w:spacing w:before="120"/>
        <w:rPr>
          <w:rFonts w:eastAsia="Times"/>
          <w:color w:val="000000"/>
        </w:rPr>
      </w:pPr>
      <w:r w:rsidRPr="001B7F77">
        <w:rPr>
          <w:rFonts w:eastAsia="Times"/>
          <w:b/>
          <w:color w:val="000000"/>
          <w:u w:val="single"/>
        </w:rPr>
        <w:t>901.1 Scope.</w:t>
      </w:r>
      <w:r w:rsidRPr="001B7F77">
        <w:rPr>
          <w:rFonts w:eastAsia="Times"/>
          <w:color w:val="000000"/>
          <w:u w:val="single"/>
        </w:rPr>
        <w:t xml:space="preserve"> Level 2 alterations as described in Section 603 shall comply with the requirements of this chapter and Chapter 3.</w:t>
      </w:r>
    </w:p>
    <w:p w14:paraId="2AF3753C" w14:textId="77777777" w:rsidR="001B7F77" w:rsidRPr="001B7F77" w:rsidRDefault="001B7F77" w:rsidP="001B7F77">
      <w:pPr>
        <w:suppressAutoHyphens/>
        <w:spacing w:before="120"/>
        <w:rPr>
          <w:rFonts w:eastAsia="Times"/>
          <w:color w:val="000000"/>
        </w:rPr>
      </w:pPr>
      <w:r w:rsidRPr="001B7F77">
        <w:rPr>
          <w:rFonts w:eastAsia="Times"/>
          <w:b/>
          <w:bCs/>
          <w:u w:val="single"/>
        </w:rPr>
        <w:t>901.2 Compliance.</w:t>
      </w:r>
      <w:r w:rsidRPr="001B7F77">
        <w:rPr>
          <w:rFonts w:eastAsia="Times"/>
          <w:u w:val="single"/>
        </w:rPr>
        <w:t xml:space="preserve"> In addition to the provisions of this chapter, level 2 alteration work shall comply with all of the requirements of Chapter 8. The requirements of Sections 803, 804 and 805 shall apply to Level 2 alteration work within all work areas whether or not they include exits and corridors shared by more than one tenant and regardless of the occupant load, except as otherwise provided in Sections 903, 904, and 905.</w:t>
      </w:r>
    </w:p>
    <w:p w14:paraId="58E54886" w14:textId="77777777" w:rsidR="001B7F77" w:rsidRPr="001B7F77" w:rsidRDefault="001B7F77" w:rsidP="001B7F77">
      <w:pPr>
        <w:suppressAutoHyphens/>
        <w:spacing w:before="120"/>
        <w:ind w:left="360"/>
        <w:rPr>
          <w:rFonts w:eastAsia="Times"/>
          <w:color w:val="000000"/>
        </w:rPr>
      </w:pPr>
      <w:r w:rsidRPr="001B7F77">
        <w:rPr>
          <w:rFonts w:eastAsia="Times"/>
          <w:b/>
          <w:color w:val="000000"/>
          <w:u w:val="single"/>
        </w:rPr>
        <w:t>901.2.1</w:t>
      </w:r>
      <w:r w:rsidRPr="001B7F77">
        <w:rPr>
          <w:rFonts w:eastAsia="Times"/>
          <w:color w:val="000000"/>
          <w:u w:val="single"/>
        </w:rPr>
        <w:t xml:space="preserve"> </w:t>
      </w:r>
      <w:r w:rsidRPr="001B7F77">
        <w:rPr>
          <w:rFonts w:eastAsia="Times"/>
          <w:b/>
          <w:color w:val="000000"/>
          <w:u w:val="single"/>
        </w:rPr>
        <w:t>Building safety performance and scoring method</w:t>
      </w:r>
      <w:r w:rsidRPr="001B7F77">
        <w:rPr>
          <w:rFonts w:eastAsia="Times"/>
          <w:color w:val="000000"/>
          <w:u w:val="single"/>
        </w:rPr>
        <w:t xml:space="preserve">. The design professional of record may elect to comply with Chapter 13 as an alternative to compliance with any of the requirements of Sections 903, 904 and 905, </w:t>
      </w:r>
      <w:r w:rsidRPr="001B7F77">
        <w:rPr>
          <w:rFonts w:eastAsia="Times"/>
          <w:u w:val="single"/>
        </w:rPr>
        <w:t xml:space="preserve">including Sections 803, 804 and 805, </w:t>
      </w:r>
      <w:r w:rsidRPr="001B7F77">
        <w:rPr>
          <w:rFonts w:eastAsia="Times"/>
          <w:color w:val="000000"/>
          <w:u w:val="single"/>
        </w:rPr>
        <w:t>in accordance with Section 301.1.4.</w:t>
      </w:r>
    </w:p>
    <w:p w14:paraId="6F1C32B0" w14:textId="77777777" w:rsidR="001B7F77" w:rsidRPr="001B7F77" w:rsidRDefault="001B7F77" w:rsidP="001B7F77">
      <w:pPr>
        <w:suppressAutoHyphens/>
        <w:spacing w:before="120"/>
        <w:ind w:left="360"/>
        <w:rPr>
          <w:rFonts w:eastAsia="Times"/>
          <w:color w:val="000000"/>
        </w:rPr>
      </w:pPr>
      <w:r w:rsidRPr="001B7F77">
        <w:rPr>
          <w:rFonts w:eastAsia="Times"/>
          <w:b/>
          <w:bCs/>
          <w:color w:val="000000"/>
          <w:u w:val="single"/>
        </w:rPr>
        <w:t>901.2.2</w:t>
      </w:r>
      <w:r w:rsidRPr="001B7F77">
        <w:rPr>
          <w:rFonts w:eastAsia="Times"/>
          <w:color w:val="000000"/>
          <w:u w:val="single"/>
        </w:rPr>
        <w:t xml:space="preserve"> </w:t>
      </w:r>
      <w:r w:rsidRPr="001B7F77">
        <w:rPr>
          <w:b/>
          <w:u w:val="single"/>
        </w:rPr>
        <w:t>Work that increases floor surface area of an existing building by more than 110 percent.</w:t>
      </w:r>
      <w:r w:rsidRPr="001B7F77">
        <w:rPr>
          <w:rFonts w:eastAsia="Times"/>
          <w:color w:val="000000"/>
          <w:u w:val="single"/>
        </w:rPr>
        <w:t xml:space="preserve"> Where a Level 2 alteration made to an existing building causes the existing floor surface area to be increased by more than 110 percent pursuant to Section 302.7, such building shall comply with the </w:t>
      </w:r>
      <w:r w:rsidRPr="001B7F77">
        <w:rPr>
          <w:rFonts w:eastAsia="Times"/>
          <w:i/>
          <w:iCs/>
          <w:color w:val="000000"/>
          <w:u w:val="single"/>
        </w:rPr>
        <w:t>New York City Building Code</w:t>
      </w:r>
      <w:r w:rsidRPr="001B7F77">
        <w:rPr>
          <w:rFonts w:eastAsia="Times"/>
          <w:u w:val="single"/>
        </w:rPr>
        <w:t xml:space="preserve"> as if hereafter erected.</w:t>
      </w:r>
    </w:p>
    <w:p w14:paraId="27D18D5D" w14:textId="77777777" w:rsidR="001B7F77" w:rsidRPr="001B7F77" w:rsidRDefault="001B7F77" w:rsidP="001B7F77">
      <w:pPr>
        <w:widowControl w:val="0"/>
        <w:suppressAutoHyphens/>
        <w:spacing w:before="120"/>
        <w:jc w:val="center"/>
        <w:outlineLvl w:val="0"/>
        <w:rPr>
          <w:rFonts w:eastAsia="Helvetica Neue"/>
          <w:b/>
          <w:color w:val="000000"/>
          <w:u w:val="single"/>
        </w:rPr>
      </w:pPr>
    </w:p>
    <w:p w14:paraId="2D28F357" w14:textId="77777777" w:rsidR="001B7F77" w:rsidRPr="001B7F77" w:rsidRDefault="001B7F77" w:rsidP="001B7F77">
      <w:pPr>
        <w:widowControl w:val="0"/>
        <w:suppressAutoHyphens/>
        <w:spacing w:before="120"/>
        <w:jc w:val="center"/>
        <w:outlineLvl w:val="0"/>
        <w:rPr>
          <w:rFonts w:eastAsia="Helvetica Neue"/>
          <w:b/>
          <w:color w:val="000000"/>
          <w:u w:val="single"/>
        </w:rPr>
      </w:pPr>
      <w:r w:rsidRPr="001B7F77">
        <w:rPr>
          <w:rFonts w:eastAsia="Helvetica Neue"/>
          <w:b/>
          <w:color w:val="000000"/>
          <w:u w:val="single"/>
        </w:rPr>
        <w:t xml:space="preserve">SECTION EBC 902 </w:t>
      </w:r>
      <w:r w:rsidRPr="001B7F77">
        <w:rPr>
          <w:rFonts w:eastAsia="Helvetica Neue"/>
          <w:b/>
          <w:color w:val="000000"/>
          <w:u w:val="single"/>
        </w:rPr>
        <w:br/>
        <w:t xml:space="preserve">SPECIAL USE AND </w:t>
      </w:r>
      <w:r w:rsidRPr="001B7F77">
        <w:rPr>
          <w:rFonts w:eastAsia="Times"/>
          <w:b/>
          <w:u w:val="single"/>
        </w:rPr>
        <w:t>OCCUPANCY</w:t>
      </w:r>
      <w:bookmarkStart w:id="191" w:name="_Hlk56431737"/>
    </w:p>
    <w:bookmarkEnd w:id="191"/>
    <w:p w14:paraId="170C202F" w14:textId="77777777" w:rsidR="001B7F77" w:rsidRPr="001B7F77" w:rsidRDefault="001B7F77" w:rsidP="001B7F77">
      <w:pPr>
        <w:suppressAutoHyphens/>
        <w:spacing w:before="120"/>
        <w:rPr>
          <w:rFonts w:eastAsia="Times"/>
          <w:color w:val="000000"/>
          <w:u w:val="single"/>
        </w:rPr>
      </w:pPr>
      <w:r w:rsidRPr="001B7F77">
        <w:rPr>
          <w:rFonts w:eastAsia="Times"/>
          <w:b/>
          <w:color w:val="000000"/>
          <w:u w:val="single"/>
        </w:rPr>
        <w:t xml:space="preserve">902.1 Uses and occupancies subject to Chapter 4 of the </w:t>
      </w:r>
      <w:r w:rsidRPr="001B7F77">
        <w:rPr>
          <w:rFonts w:eastAsia="Times"/>
          <w:b/>
          <w:i/>
          <w:iCs/>
          <w:color w:val="000000"/>
          <w:u w:val="single"/>
        </w:rPr>
        <w:t>New York City Building Code</w:t>
      </w:r>
      <w:r w:rsidRPr="001B7F77">
        <w:rPr>
          <w:rFonts w:eastAsia="Times"/>
          <w:b/>
          <w:color w:val="000000"/>
          <w:u w:val="single"/>
        </w:rPr>
        <w:t>.</w:t>
      </w:r>
      <w:r w:rsidRPr="001B7F77">
        <w:rPr>
          <w:rFonts w:eastAsia="Times"/>
          <w:color w:val="000000"/>
          <w:u w:val="single"/>
        </w:rPr>
        <w:t xml:space="preserve"> Except as stated in Section 901.2.2 of this code, where an existing building occupied by a use or occupancy that is identified in Chapter 4 of the </w:t>
      </w:r>
      <w:r w:rsidRPr="001B7F77">
        <w:rPr>
          <w:rFonts w:eastAsia="Times"/>
          <w:i/>
          <w:iCs/>
          <w:color w:val="000000"/>
          <w:u w:val="single"/>
        </w:rPr>
        <w:t>New York City Building Code</w:t>
      </w:r>
      <w:r w:rsidRPr="001B7F77">
        <w:rPr>
          <w:rFonts w:eastAsia="Times"/>
          <w:color w:val="000000"/>
          <w:u w:val="single"/>
        </w:rPr>
        <w:t xml:space="preserve"> is undergoing</w:t>
      </w:r>
      <w:r w:rsidRPr="001B7F77">
        <w:rPr>
          <w:rFonts w:eastAsia="Times"/>
          <w:b/>
          <w:color w:val="000000"/>
          <w:u w:val="single"/>
        </w:rPr>
        <w:t xml:space="preserve"> </w:t>
      </w:r>
      <w:r w:rsidRPr="001B7F77">
        <w:rPr>
          <w:rFonts w:eastAsia="Times"/>
          <w:color w:val="000000"/>
          <w:u w:val="single"/>
        </w:rPr>
        <w:t xml:space="preserve">a level 2 alteration, such alteration work within the work area shall comply with the applicable requirements of Chapter 4 of the </w:t>
      </w:r>
      <w:r w:rsidRPr="001B7F77">
        <w:rPr>
          <w:rFonts w:eastAsia="Times"/>
          <w:i/>
          <w:iCs/>
          <w:color w:val="000000"/>
          <w:u w:val="single"/>
        </w:rPr>
        <w:t>New York City Building Code</w:t>
      </w:r>
      <w:r w:rsidRPr="001B7F77">
        <w:rPr>
          <w:rFonts w:eastAsia="Times"/>
          <w:color w:val="000000"/>
          <w:u w:val="single"/>
        </w:rPr>
        <w:t xml:space="preserve"> and this section.</w:t>
      </w:r>
      <w:bookmarkStart w:id="192" w:name="_Hlk75247698"/>
    </w:p>
    <w:bookmarkEnd w:id="192"/>
    <w:p w14:paraId="473B5ACE" w14:textId="77777777" w:rsidR="001B7F77" w:rsidRPr="001B7F77" w:rsidRDefault="001B7F77" w:rsidP="001B7F77">
      <w:pPr>
        <w:suppressAutoHyphens/>
        <w:spacing w:before="120"/>
        <w:ind w:left="360"/>
        <w:rPr>
          <w:rFonts w:eastAsia="Times"/>
          <w:color w:val="000000"/>
          <w:u w:val="single"/>
        </w:rPr>
      </w:pPr>
      <w:r w:rsidRPr="001B7F77">
        <w:rPr>
          <w:rFonts w:eastAsia="Times"/>
          <w:b/>
          <w:color w:val="000000"/>
          <w:u w:val="single"/>
        </w:rPr>
        <w:t>902.1.1 High-rise buildings.</w:t>
      </w:r>
      <w:r w:rsidRPr="001B7F77">
        <w:rPr>
          <w:rFonts w:eastAsia="Times"/>
          <w:color w:val="000000"/>
          <w:u w:val="single"/>
        </w:rPr>
        <w:t xml:space="preserve"> Within work areas</w:t>
      </w:r>
      <w:r w:rsidRPr="001B7F77">
        <w:rPr>
          <w:bCs/>
          <w:u w:val="single"/>
        </w:rPr>
        <w:t xml:space="preserve"> </w:t>
      </w:r>
      <w:r w:rsidRPr="001B7F77">
        <w:rPr>
          <w:rFonts w:eastAsia="Times"/>
          <w:color w:val="000000"/>
          <w:u w:val="single"/>
        </w:rPr>
        <w:t xml:space="preserve">in buildings having occupied floors more than 75 feet (22 860 mm) above the lowest level of fire department vehicle access, alteration work shall comply with applicable provisions of Section 403 of the </w:t>
      </w:r>
      <w:r w:rsidRPr="001B7F77">
        <w:rPr>
          <w:rFonts w:eastAsia="Times"/>
          <w:i/>
          <w:iCs/>
          <w:color w:val="000000"/>
          <w:u w:val="single"/>
        </w:rPr>
        <w:t>New York City Building Code</w:t>
      </w:r>
      <w:r w:rsidRPr="001B7F77">
        <w:rPr>
          <w:rFonts w:eastAsia="Times"/>
          <w:color w:val="000000"/>
          <w:u w:val="single"/>
        </w:rPr>
        <w:t xml:space="preserve"> and Sections 902.1.1.1 through 902.1.1.7 of this code.</w:t>
      </w:r>
    </w:p>
    <w:p w14:paraId="4B175F5C" w14:textId="77777777" w:rsidR="001B7F77" w:rsidRPr="001B7F77" w:rsidRDefault="001B7F77" w:rsidP="001B7F77">
      <w:pPr>
        <w:suppressAutoHyphens/>
        <w:spacing w:before="120"/>
        <w:ind w:left="720"/>
        <w:rPr>
          <w:rFonts w:eastAsia="Times"/>
          <w:u w:val="single"/>
        </w:rPr>
      </w:pPr>
      <w:bookmarkStart w:id="193" w:name="_Hlk77170722"/>
      <w:r w:rsidRPr="001B7F77">
        <w:rPr>
          <w:rFonts w:eastAsia="Times"/>
          <w:b/>
          <w:bCs/>
          <w:u w:val="single"/>
        </w:rPr>
        <w:t>902.1.1.1 Smoke detection systems control and ducts and air transfer openings.</w:t>
      </w:r>
      <w:r w:rsidRPr="001B7F77">
        <w:rPr>
          <w:rFonts w:eastAsia="Times"/>
          <w:u w:val="single"/>
        </w:rPr>
        <w:t xml:space="preserve"> All duct and air transfer openings within the work area and all fan systems serving the work area shall be newly installed or made to comply with Sections 606 and 607 of the </w:t>
      </w:r>
      <w:r w:rsidRPr="001B7F77">
        <w:rPr>
          <w:rFonts w:eastAsia="Times"/>
          <w:i/>
          <w:iCs/>
          <w:u w:val="single"/>
        </w:rPr>
        <w:t>New York City Mechanical Code</w:t>
      </w:r>
      <w:r w:rsidRPr="001B7F77">
        <w:rPr>
          <w:rFonts w:eastAsia="Times"/>
          <w:u w:val="single"/>
        </w:rPr>
        <w:t>.</w:t>
      </w:r>
    </w:p>
    <w:p w14:paraId="5AB2340C" w14:textId="77777777" w:rsidR="001B7F77" w:rsidRPr="001B7F77" w:rsidRDefault="001B7F77" w:rsidP="001B7F77">
      <w:pPr>
        <w:suppressAutoHyphens/>
        <w:spacing w:before="120"/>
        <w:ind w:left="1080"/>
        <w:rPr>
          <w:u w:val="single"/>
        </w:rPr>
      </w:pPr>
      <w:r w:rsidRPr="001B7F77">
        <w:rPr>
          <w:rFonts w:eastAsia="Times"/>
          <w:b/>
          <w:bCs/>
          <w:u w:val="single"/>
        </w:rPr>
        <w:t>Exception:</w:t>
      </w:r>
      <w:r w:rsidRPr="001B7F77">
        <w:rPr>
          <w:rFonts w:eastAsia="Times"/>
          <w:u w:val="single"/>
        </w:rPr>
        <w:t xml:space="preserve"> The s</w:t>
      </w:r>
      <w:r w:rsidRPr="001B7F77">
        <w:rPr>
          <w:u w:val="single"/>
        </w:rPr>
        <w:t xml:space="preserve">tandby power requirements of Sections 606 and 607 of the </w:t>
      </w:r>
      <w:r w:rsidRPr="001B7F77">
        <w:rPr>
          <w:i/>
          <w:iCs/>
          <w:u w:val="single"/>
        </w:rPr>
        <w:t>New York City Mechanical Code</w:t>
      </w:r>
      <w:r w:rsidRPr="001B7F77">
        <w:rPr>
          <w:u w:val="single"/>
        </w:rPr>
        <w:t xml:space="preserve"> shall not apply if both of the following conditions are met:</w:t>
      </w:r>
    </w:p>
    <w:p w14:paraId="01839238" w14:textId="77777777" w:rsidR="001B7F77" w:rsidRPr="001B7F77" w:rsidRDefault="001B7F77" w:rsidP="0001508F">
      <w:pPr>
        <w:widowControl w:val="0"/>
        <w:numPr>
          <w:ilvl w:val="0"/>
          <w:numId w:val="23"/>
        </w:numPr>
        <w:suppressAutoHyphens/>
        <w:spacing w:before="120"/>
        <w:ind w:left="1800"/>
        <w:contextualSpacing/>
        <w:jc w:val="left"/>
        <w:rPr>
          <w:rFonts w:eastAsia="Times" w:cs="Arial"/>
          <w:color w:val="000000"/>
          <w:sz w:val="22"/>
          <w:szCs w:val="22"/>
          <w:u w:val="single"/>
        </w:rPr>
      </w:pPr>
      <w:r w:rsidRPr="001B7F77">
        <w:rPr>
          <w:rFonts w:eastAsia="Calibri" w:cs="Arial"/>
          <w:color w:val="000000"/>
          <w:sz w:val="22"/>
          <w:szCs w:val="22"/>
          <w:u w:val="single"/>
        </w:rPr>
        <w:t>Standby power systems do not exist or existing standby power systems have insufficient capacity to serve this load.</w:t>
      </w:r>
    </w:p>
    <w:p w14:paraId="2F8D2A5D" w14:textId="77777777" w:rsidR="001B7F77" w:rsidRPr="001B7F77" w:rsidRDefault="001B7F77" w:rsidP="0001508F">
      <w:pPr>
        <w:widowControl w:val="0"/>
        <w:numPr>
          <w:ilvl w:val="0"/>
          <w:numId w:val="23"/>
        </w:numPr>
        <w:suppressAutoHyphens/>
        <w:spacing w:before="120"/>
        <w:ind w:left="1800"/>
        <w:contextualSpacing/>
        <w:jc w:val="left"/>
        <w:rPr>
          <w:rFonts w:eastAsia="Times" w:cs="Arial"/>
          <w:color w:val="000000"/>
          <w:sz w:val="22"/>
          <w:szCs w:val="22"/>
          <w:u w:val="single"/>
        </w:rPr>
      </w:pPr>
      <w:r w:rsidRPr="001B7F77">
        <w:rPr>
          <w:rFonts w:eastAsia="Calibri" w:cs="Arial"/>
          <w:color w:val="000000"/>
          <w:sz w:val="22"/>
          <w:szCs w:val="22"/>
          <w:u w:val="single"/>
        </w:rPr>
        <w:t>New standby or emergency power is not required by Section 902.1.1.7 of this code.</w:t>
      </w:r>
      <w:bookmarkEnd w:id="193"/>
    </w:p>
    <w:p w14:paraId="559EF838" w14:textId="77777777" w:rsidR="001B7F77" w:rsidRPr="001B7F77" w:rsidRDefault="001B7F77" w:rsidP="001B7F77">
      <w:pPr>
        <w:suppressAutoHyphens/>
        <w:spacing w:before="120"/>
        <w:ind w:left="720"/>
        <w:rPr>
          <w:rFonts w:eastAsia="Times"/>
          <w:color w:val="000000"/>
          <w:u w:val="single"/>
        </w:rPr>
      </w:pPr>
      <w:r w:rsidRPr="001B7F77">
        <w:rPr>
          <w:rFonts w:eastAsia="Times"/>
          <w:b/>
          <w:color w:val="000000"/>
          <w:u w:val="single"/>
        </w:rPr>
        <w:t>902.1.1.2</w:t>
      </w:r>
      <w:r w:rsidRPr="001B7F77">
        <w:rPr>
          <w:u w:val="single"/>
        </w:rPr>
        <w:t xml:space="preserve"> </w:t>
      </w:r>
      <w:r w:rsidRPr="001B7F77">
        <w:rPr>
          <w:rFonts w:eastAsia="Times"/>
          <w:b/>
          <w:color w:val="000000"/>
          <w:u w:val="single"/>
        </w:rPr>
        <w:t>Elevators.</w:t>
      </w:r>
      <w:r w:rsidRPr="001B7F77">
        <w:rPr>
          <w:rFonts w:eastAsia="Times"/>
          <w:color w:val="000000"/>
          <w:u w:val="single"/>
        </w:rPr>
        <w:t xml:space="preserve"> Where there is an elevator or elevators for public use, at least one elevator serving the work area shall comply with this section. Existing elevators with a travel distance of 25 feet (7620 mm) or more above or below the main floor or other level of a building and intended to serve the needs of emergency personnel for fire-fighting or rescue purposes shall be provided with emergency operation in accordance with ASME A17.3 as amended by Appendix K of the </w:t>
      </w:r>
      <w:r w:rsidRPr="001B7F77">
        <w:rPr>
          <w:rFonts w:eastAsia="Times"/>
          <w:i/>
          <w:iCs/>
          <w:color w:val="000000"/>
          <w:u w:val="single"/>
        </w:rPr>
        <w:t>New York City Building Code</w:t>
      </w:r>
      <w:r w:rsidRPr="001B7F77">
        <w:rPr>
          <w:rFonts w:eastAsia="Times"/>
          <w:color w:val="000000"/>
          <w:u w:val="single"/>
        </w:rPr>
        <w:t xml:space="preserve">. New elevators shall be provided with Phase I emergency recall operation and Phase II emergency in-car operation in accordance with ASME A17.1/CSAB44.1 as amended by Appendix K of the </w:t>
      </w:r>
      <w:r w:rsidRPr="001B7F77">
        <w:rPr>
          <w:rFonts w:eastAsia="Times"/>
          <w:i/>
          <w:iCs/>
          <w:color w:val="000000"/>
          <w:u w:val="single"/>
        </w:rPr>
        <w:t>New York City Building Code</w:t>
      </w:r>
      <w:r w:rsidRPr="001B7F77">
        <w:rPr>
          <w:rFonts w:eastAsia="Times"/>
          <w:color w:val="000000"/>
          <w:u w:val="single"/>
        </w:rPr>
        <w:t>.</w:t>
      </w:r>
    </w:p>
    <w:p w14:paraId="4EA557CB" w14:textId="77777777" w:rsidR="001B7F77" w:rsidRPr="001B7F77" w:rsidRDefault="001B7F77" w:rsidP="001B7F77">
      <w:pPr>
        <w:tabs>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spacing w:before="120"/>
        <w:ind w:left="720"/>
        <w:rPr>
          <w:rFonts w:eastAsia="Times"/>
          <w:color w:val="000000"/>
          <w:u w:val="single"/>
        </w:rPr>
      </w:pPr>
      <w:r w:rsidRPr="001B7F77">
        <w:rPr>
          <w:rFonts w:eastAsia="Times"/>
          <w:b/>
          <w:color w:val="000000"/>
          <w:u w:val="single"/>
        </w:rPr>
        <w:t>902.1.1.3 Additional exit stairway.</w:t>
      </w:r>
      <w:r w:rsidRPr="001B7F77">
        <w:rPr>
          <w:rFonts w:eastAsia="Times"/>
          <w:color w:val="000000"/>
          <w:u w:val="single"/>
        </w:rPr>
        <w:t xml:space="preserve"> In existing buildings erected pursuant to the laws in effect prior to December 31, 2014, with a height exceeding 420 feet (128 m), where the work area exceeds 75 percent of the building area, the requirements for additional exit stairway of Section 403.5.2 of the </w:t>
      </w:r>
      <w:r w:rsidRPr="001B7F77">
        <w:rPr>
          <w:rFonts w:eastAsia="Times"/>
          <w:i/>
          <w:iCs/>
          <w:color w:val="000000"/>
          <w:u w:val="single"/>
        </w:rPr>
        <w:t>New York City Building Code</w:t>
      </w:r>
      <w:r w:rsidRPr="001B7F77">
        <w:rPr>
          <w:rFonts w:eastAsia="Times"/>
          <w:color w:val="000000"/>
          <w:u w:val="single"/>
        </w:rPr>
        <w:t xml:space="preserve"> shall apply.</w:t>
      </w:r>
    </w:p>
    <w:p w14:paraId="3825E801" w14:textId="77777777" w:rsidR="001B7F77" w:rsidRPr="001B7F77" w:rsidRDefault="001B7F77" w:rsidP="001B7F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spacing w:before="120"/>
        <w:ind w:left="1080"/>
        <w:rPr>
          <w:rFonts w:eastAsia="Times"/>
          <w:b/>
          <w:bCs/>
          <w:color w:val="000000"/>
          <w:u w:val="single"/>
        </w:rPr>
      </w:pPr>
      <w:r w:rsidRPr="001B7F77">
        <w:rPr>
          <w:rFonts w:eastAsia="Times"/>
          <w:b/>
          <w:bCs/>
          <w:color w:val="000000"/>
          <w:u w:val="single"/>
        </w:rPr>
        <w:t>Exceptions:</w:t>
      </w:r>
    </w:p>
    <w:p w14:paraId="21423F5D" w14:textId="77777777" w:rsidR="001B7F77" w:rsidRPr="001B7F77" w:rsidRDefault="001B7F77" w:rsidP="001B7F77">
      <w:pPr>
        <w:tabs>
          <w:tab w:val="left" w:pos="24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spacing w:before="120"/>
        <w:ind w:left="1800" w:hanging="360"/>
        <w:rPr>
          <w:rFonts w:eastAsia="Times"/>
          <w:b/>
          <w:bCs/>
          <w:color w:val="000000"/>
          <w:u w:val="single"/>
        </w:rPr>
      </w:pPr>
      <w:r w:rsidRPr="001B7F77">
        <w:rPr>
          <w:rFonts w:eastAsia="Times"/>
          <w:color w:val="000000"/>
          <w:u w:val="single"/>
        </w:rPr>
        <w:t>1.</w:t>
      </w:r>
      <w:r w:rsidRPr="001B7F77">
        <w:rPr>
          <w:rFonts w:eastAsia="Times"/>
          <w:color w:val="000000"/>
          <w:u w:val="single"/>
        </w:rPr>
        <w:tab/>
        <w:t xml:space="preserve">In buildings where at least 50 percent of passenger elevators intended for general public use, including other elevators serving all floors, are used for occupant self-evacuation in compliance with Sections 3008.1 through 3008.11 of the </w:t>
      </w:r>
      <w:r w:rsidRPr="001B7F77">
        <w:rPr>
          <w:rFonts w:eastAsia="Times"/>
          <w:i/>
          <w:iCs/>
          <w:color w:val="000000"/>
          <w:u w:val="single"/>
        </w:rPr>
        <w:t>New York City Building Code</w:t>
      </w:r>
      <w:r w:rsidRPr="001B7F77">
        <w:rPr>
          <w:rFonts w:eastAsia="Times"/>
          <w:color w:val="000000"/>
          <w:u w:val="single"/>
        </w:rPr>
        <w:t>.</w:t>
      </w:r>
    </w:p>
    <w:p w14:paraId="058593D4" w14:textId="77777777" w:rsidR="001B7F77" w:rsidRPr="001B7F77" w:rsidRDefault="001B7F77" w:rsidP="001B7F77">
      <w:pPr>
        <w:tabs>
          <w:tab w:val="left" w:pos="24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spacing w:before="120"/>
        <w:ind w:left="1800" w:hanging="360"/>
        <w:rPr>
          <w:rFonts w:eastAsia="Times"/>
          <w:color w:val="000000"/>
          <w:u w:val="single"/>
        </w:rPr>
      </w:pPr>
      <w:r w:rsidRPr="001B7F77">
        <w:rPr>
          <w:rFonts w:eastAsia="Times"/>
          <w:color w:val="000000"/>
          <w:u w:val="single"/>
        </w:rPr>
        <w:t>2.</w:t>
      </w:r>
      <w:r w:rsidRPr="001B7F77">
        <w:rPr>
          <w:rFonts w:eastAsia="Times"/>
          <w:color w:val="000000"/>
          <w:u w:val="single"/>
        </w:rPr>
        <w:tab/>
        <w:t xml:space="preserve">Existing fully sprinklered buildings shall be considered in compliance with Section 3008.3.2 of the </w:t>
      </w:r>
      <w:r w:rsidRPr="001B7F77">
        <w:rPr>
          <w:rFonts w:eastAsia="Times"/>
          <w:i/>
          <w:iCs/>
          <w:color w:val="000000"/>
          <w:u w:val="single"/>
        </w:rPr>
        <w:t>New York City Building Code</w:t>
      </w:r>
      <w:r w:rsidRPr="001B7F77">
        <w:rPr>
          <w:rFonts w:eastAsia="Times"/>
          <w:color w:val="000000"/>
          <w:u w:val="single"/>
        </w:rPr>
        <w:t>.</w:t>
      </w:r>
    </w:p>
    <w:p w14:paraId="7084D29A" w14:textId="77777777" w:rsidR="001B7F77" w:rsidRPr="001B7F77" w:rsidRDefault="001B7F77" w:rsidP="001B7F77">
      <w:pPr>
        <w:suppressAutoHyphens/>
        <w:spacing w:before="120"/>
        <w:ind w:left="720"/>
        <w:rPr>
          <w:rFonts w:eastAsia="Times"/>
          <w:u w:val="single"/>
        </w:rPr>
      </w:pPr>
      <w:r w:rsidRPr="001B7F77">
        <w:rPr>
          <w:rFonts w:eastAsia="Times"/>
          <w:b/>
          <w:color w:val="000000"/>
          <w:u w:val="single"/>
        </w:rPr>
        <w:t>902.1.1.4 Structural integrity of exit enclosures and elevator hoistway enclosures</w:t>
      </w:r>
      <w:r w:rsidRPr="001B7F77">
        <w:rPr>
          <w:rFonts w:eastAsia="Times"/>
          <w:bCs/>
          <w:color w:val="000000"/>
          <w:u w:val="single"/>
        </w:rPr>
        <w:t xml:space="preserve">. Where the work area includes stairs or elevator hoistway enclosures, the design professional of record shall determine compliance of the enclosures with the structural integrity provisions of Section 403.2.3 of the </w:t>
      </w:r>
      <w:r w:rsidRPr="001B7F77">
        <w:rPr>
          <w:rFonts w:eastAsia="Times"/>
          <w:i/>
          <w:iCs/>
          <w:color w:val="000000"/>
          <w:u w:val="single"/>
        </w:rPr>
        <w:t>New York City Building Code</w:t>
      </w:r>
      <w:r w:rsidRPr="001B7F77">
        <w:rPr>
          <w:rFonts w:eastAsia="Times"/>
          <w:bCs/>
          <w:color w:val="000000"/>
          <w:u w:val="single"/>
        </w:rPr>
        <w:t xml:space="preserve">. Where the existing wall assembly of such enclosures do not meet the requirements of Section 403.2.3 of the </w:t>
      </w:r>
      <w:r w:rsidRPr="001B7F77">
        <w:rPr>
          <w:rFonts w:eastAsia="Times"/>
          <w:i/>
          <w:iCs/>
          <w:color w:val="000000"/>
          <w:u w:val="single"/>
        </w:rPr>
        <w:t>New York City Building Code</w:t>
      </w:r>
      <w:r w:rsidRPr="001B7F77">
        <w:rPr>
          <w:rFonts w:eastAsia="Times"/>
          <w:bCs/>
          <w:color w:val="000000"/>
          <w:u w:val="single"/>
        </w:rPr>
        <w:t xml:space="preserve">, the occupied side of such wall assembly within the work area shall comply with one of the methods provided in Section 403.2.3.2. In prior code buildings, existing concrete, masonry or masonry equivalent </w:t>
      </w:r>
      <w:r w:rsidRPr="001B7F77">
        <w:rPr>
          <w:rFonts w:eastAsia="Times"/>
          <w:color w:val="000000"/>
          <w:u w:val="single"/>
        </w:rPr>
        <w:t xml:space="preserve">exit and elevator hoistway enclosures shall be deemed to comply with the structural integrity requirements of Section 403.2.3 of the </w:t>
      </w:r>
      <w:r w:rsidRPr="001B7F77">
        <w:rPr>
          <w:rFonts w:eastAsia="Times"/>
          <w:i/>
          <w:iCs/>
          <w:color w:val="000000"/>
          <w:u w:val="single"/>
        </w:rPr>
        <w:t>New York City Building Code</w:t>
      </w:r>
      <w:r w:rsidRPr="001B7F77">
        <w:rPr>
          <w:rFonts w:eastAsia="Times"/>
          <w:color w:val="000000"/>
          <w:u w:val="single"/>
        </w:rPr>
        <w:t>.</w:t>
      </w:r>
    </w:p>
    <w:p w14:paraId="32904CB1" w14:textId="77777777" w:rsidR="001B7F77" w:rsidRPr="001B7F77" w:rsidRDefault="001B7F77" w:rsidP="001B7F77">
      <w:pPr>
        <w:suppressAutoHyphens/>
        <w:spacing w:before="120"/>
        <w:ind w:left="1080"/>
        <w:rPr>
          <w:rFonts w:eastAsia="Times"/>
          <w:color w:val="000000"/>
          <w:u w:val="single"/>
        </w:rPr>
      </w:pPr>
      <w:r w:rsidRPr="001B7F77">
        <w:rPr>
          <w:rFonts w:eastAsia="Times"/>
          <w:b/>
          <w:color w:val="000000"/>
          <w:u w:val="single"/>
        </w:rPr>
        <w:t>Exception</w:t>
      </w:r>
      <w:r w:rsidRPr="001B7F77">
        <w:rPr>
          <w:rFonts w:eastAsia="Times"/>
          <w:color w:val="000000"/>
          <w:u w:val="single"/>
        </w:rPr>
        <w:t xml:space="preserve">: New, relocated or altered exit and elevator hoistway enclosures shall comply with all of the requirements of Section 403.2.3 of the </w:t>
      </w:r>
      <w:r w:rsidRPr="001B7F77">
        <w:rPr>
          <w:rFonts w:eastAsia="Times"/>
          <w:i/>
          <w:iCs/>
          <w:color w:val="000000"/>
          <w:u w:val="single"/>
        </w:rPr>
        <w:t>New York City Building Code</w:t>
      </w:r>
      <w:r w:rsidRPr="001B7F77">
        <w:rPr>
          <w:rFonts w:eastAsia="Times"/>
          <w:color w:val="000000"/>
          <w:u w:val="single"/>
        </w:rPr>
        <w:t xml:space="preserve">. </w:t>
      </w:r>
      <w:bookmarkStart w:id="194" w:name="_Hlk75850668"/>
    </w:p>
    <w:bookmarkEnd w:id="194"/>
    <w:p w14:paraId="64DAE7C2" w14:textId="77777777" w:rsidR="001B7F77" w:rsidRPr="001B7F77" w:rsidRDefault="001B7F77" w:rsidP="001B7F77">
      <w:pPr>
        <w:suppressAutoHyphens/>
        <w:spacing w:before="120"/>
        <w:ind w:left="720"/>
        <w:rPr>
          <w:rFonts w:eastAsia="Times"/>
          <w:color w:val="000000"/>
          <w:u w:val="single"/>
        </w:rPr>
      </w:pPr>
      <w:r w:rsidRPr="001B7F77">
        <w:rPr>
          <w:rFonts w:eastAsia="Times"/>
          <w:b/>
          <w:color w:val="000000"/>
          <w:u w:val="single"/>
        </w:rPr>
        <w:t xml:space="preserve">902.1.1.5 Smokeproof exit enclosures. </w:t>
      </w:r>
      <w:r w:rsidRPr="001B7F77">
        <w:rPr>
          <w:rFonts w:eastAsia="Times"/>
          <w:color w:val="000000"/>
          <w:u w:val="single"/>
        </w:rPr>
        <w:t xml:space="preserve">In prior code buildings, where the work area exceeds 75 percent of the building area, smokeproof exit enclosures shall be provided for all exit stairways throughout the building in accordance with Sections 403.5.4, 909.20 and 1023.11 of the </w:t>
      </w:r>
      <w:r w:rsidRPr="001B7F77">
        <w:rPr>
          <w:rFonts w:eastAsia="Times"/>
          <w:i/>
          <w:iCs/>
          <w:color w:val="000000"/>
          <w:u w:val="single"/>
        </w:rPr>
        <w:t>New York City Building Code</w:t>
      </w:r>
      <w:r w:rsidRPr="001B7F77">
        <w:rPr>
          <w:rFonts w:eastAsia="Times"/>
          <w:color w:val="000000"/>
          <w:u w:val="single"/>
        </w:rPr>
        <w:t xml:space="preserve">. </w:t>
      </w:r>
    </w:p>
    <w:p w14:paraId="3CF9E5ED" w14:textId="77777777" w:rsidR="001B7F77" w:rsidRPr="001B7F77" w:rsidRDefault="001B7F77" w:rsidP="001B7F77">
      <w:pPr>
        <w:tabs>
          <w:tab w:val="left" w:pos="720"/>
        </w:tabs>
        <w:suppressAutoHyphens/>
        <w:spacing w:before="120"/>
        <w:ind w:left="720"/>
        <w:rPr>
          <w:rFonts w:eastAsia="Times"/>
          <w:color w:val="000000"/>
          <w:u w:val="single"/>
        </w:rPr>
      </w:pPr>
      <w:r w:rsidRPr="001B7F77">
        <w:rPr>
          <w:rFonts w:eastAsia="Times"/>
          <w:b/>
          <w:color w:val="000000"/>
          <w:u w:val="single"/>
        </w:rPr>
        <w:t>902.1.1.6 Elevator lobbies in prior code buildings</w:t>
      </w:r>
      <w:r w:rsidRPr="001B7F77">
        <w:rPr>
          <w:rFonts w:eastAsia="Times"/>
          <w:color w:val="000000"/>
          <w:u w:val="single"/>
        </w:rPr>
        <w:t xml:space="preserve">. Elevator lobbies required by Section 403.6.3 shall be constructed in accordance with Section 3006.1.1 or Section 3006.1.2 of the </w:t>
      </w:r>
      <w:r w:rsidRPr="001B7F77">
        <w:rPr>
          <w:rFonts w:eastAsia="Times"/>
          <w:i/>
          <w:iCs/>
          <w:color w:val="000000"/>
          <w:u w:val="single"/>
        </w:rPr>
        <w:t>New York City Building Code</w:t>
      </w:r>
      <w:r w:rsidRPr="001B7F77">
        <w:rPr>
          <w:rFonts w:eastAsia="Times"/>
          <w:color w:val="000000"/>
          <w:u w:val="single"/>
        </w:rPr>
        <w:t>, as applicable, on each floor being altered where the work area exceeds 50 percent of that floor.</w:t>
      </w:r>
    </w:p>
    <w:p w14:paraId="59F696E1" w14:textId="77777777" w:rsidR="001B7F77" w:rsidRPr="001B7F77" w:rsidRDefault="001B7F77" w:rsidP="001B7F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spacing w:before="120"/>
        <w:ind w:left="1080"/>
        <w:rPr>
          <w:rFonts w:eastAsia="Times"/>
          <w:b/>
          <w:color w:val="000000"/>
          <w:u w:val="single"/>
        </w:rPr>
      </w:pPr>
      <w:r w:rsidRPr="001B7F77">
        <w:rPr>
          <w:rFonts w:eastAsia="Times"/>
          <w:b/>
          <w:color w:val="000000"/>
          <w:u w:val="single"/>
        </w:rPr>
        <w:t>Exceptions.</w:t>
      </w:r>
    </w:p>
    <w:p w14:paraId="64071126" w14:textId="77777777" w:rsidR="001B7F77" w:rsidRPr="001B7F77" w:rsidRDefault="001B7F77" w:rsidP="001B7F77">
      <w:pPr>
        <w:tabs>
          <w:tab w:val="left" w:pos="24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spacing w:before="120"/>
        <w:ind w:left="1800" w:hanging="360"/>
        <w:rPr>
          <w:rFonts w:eastAsia="Times"/>
          <w:color w:val="000000"/>
          <w:u w:val="single"/>
        </w:rPr>
      </w:pPr>
      <w:r w:rsidRPr="001B7F77">
        <w:rPr>
          <w:rFonts w:eastAsia="Times"/>
          <w:color w:val="000000"/>
          <w:u w:val="single"/>
        </w:rPr>
        <w:t>1.</w:t>
      </w:r>
      <w:r w:rsidRPr="001B7F77">
        <w:rPr>
          <w:rFonts w:eastAsia="Times"/>
          <w:color w:val="000000"/>
          <w:u w:val="single"/>
        </w:rPr>
        <w:tab/>
        <w:t>Elevator lobbies shall not be required for elevators that are located within other occupied tenant spaces that are not subject to alteration work.</w:t>
      </w:r>
    </w:p>
    <w:p w14:paraId="7E29CFB8" w14:textId="77777777" w:rsidR="001B7F77" w:rsidRPr="001B7F77" w:rsidRDefault="001B7F77" w:rsidP="001B7F77">
      <w:pPr>
        <w:tabs>
          <w:tab w:val="left" w:pos="24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spacing w:before="120"/>
        <w:ind w:left="1800" w:hanging="360"/>
        <w:rPr>
          <w:rFonts w:eastAsia="Times"/>
          <w:color w:val="000000"/>
          <w:u w:val="single"/>
        </w:rPr>
      </w:pPr>
      <w:r w:rsidRPr="001B7F77">
        <w:rPr>
          <w:rFonts w:eastAsia="Times"/>
          <w:color w:val="000000"/>
          <w:u w:val="single"/>
        </w:rPr>
        <w:t>2.</w:t>
      </w:r>
      <w:r w:rsidRPr="001B7F77">
        <w:rPr>
          <w:rFonts w:eastAsia="Times"/>
          <w:color w:val="000000"/>
          <w:u w:val="single"/>
        </w:rPr>
        <w:tab/>
        <w:t xml:space="preserve">Notwithstanding Exception 1, where the work area exceeds 75 percent of the building area, elevator lobbies shall be constructed in accordance with Section 3006.1.1 or Section 3006.1.2 of the </w:t>
      </w:r>
      <w:r w:rsidRPr="001B7F77">
        <w:rPr>
          <w:rFonts w:eastAsia="Times"/>
          <w:i/>
          <w:iCs/>
          <w:color w:val="000000"/>
          <w:u w:val="single"/>
        </w:rPr>
        <w:t>New York City Building Code</w:t>
      </w:r>
      <w:r w:rsidRPr="001B7F77">
        <w:rPr>
          <w:rFonts w:eastAsia="Times"/>
          <w:color w:val="000000"/>
          <w:u w:val="single"/>
        </w:rPr>
        <w:t>, as applicable, on all floors served by elevators.</w:t>
      </w:r>
    </w:p>
    <w:p w14:paraId="2512BBC8" w14:textId="77777777" w:rsidR="001B7F77" w:rsidRPr="001B7F77" w:rsidRDefault="001B7F77" w:rsidP="001B7F77">
      <w:pPr>
        <w:suppressAutoHyphens/>
        <w:spacing w:before="120"/>
        <w:ind w:left="1080"/>
        <w:rPr>
          <w:rFonts w:eastAsia="Times"/>
          <w:color w:val="000000"/>
          <w:u w:val="single"/>
        </w:rPr>
      </w:pPr>
      <w:r w:rsidRPr="001B7F77">
        <w:rPr>
          <w:rFonts w:eastAsia="Times"/>
          <w:b/>
          <w:color w:val="000000"/>
          <w:u w:val="single"/>
        </w:rPr>
        <w:t>902.1.1.6.1</w:t>
      </w:r>
      <w:r w:rsidRPr="001B7F77">
        <w:rPr>
          <w:rFonts w:eastAsia="Times"/>
          <w:color w:val="000000"/>
          <w:u w:val="single"/>
        </w:rPr>
        <w:t xml:space="preserve"> </w:t>
      </w:r>
      <w:r w:rsidRPr="001B7F77">
        <w:rPr>
          <w:rFonts w:eastAsia="Times"/>
          <w:b/>
          <w:color w:val="000000"/>
          <w:u w:val="single"/>
        </w:rPr>
        <w:t>Access to an exit stair not available</w:t>
      </w:r>
      <w:r w:rsidRPr="001B7F77">
        <w:rPr>
          <w:rFonts w:eastAsia="Times"/>
          <w:bCs/>
          <w:color w:val="000000"/>
          <w:u w:val="single"/>
        </w:rPr>
        <w:t>. Except as permitted</w:t>
      </w:r>
      <w:r w:rsidRPr="001B7F77">
        <w:rPr>
          <w:rFonts w:eastAsia="Times"/>
          <w:color w:val="000000"/>
          <w:u w:val="single"/>
        </w:rPr>
        <w:t xml:space="preserve"> by Section 902.1.1.6.2, where the elevator lobby cannot provide access to an exit, a red telephone shall be installed in the vestibule near the elevator doors in the elevator lobby to communicate with the main lobby fire command station or building manager’s office or to a central service station when the building is not attended. The phone shall provide two-way communication in accordance with Section 907.2.13.3 of the </w:t>
      </w:r>
      <w:r w:rsidRPr="001B7F77">
        <w:rPr>
          <w:rFonts w:eastAsia="Times"/>
          <w:i/>
          <w:iCs/>
          <w:color w:val="000000"/>
          <w:u w:val="single"/>
        </w:rPr>
        <w:t>New York City Building Code</w:t>
      </w:r>
      <w:r w:rsidRPr="001B7F77">
        <w:rPr>
          <w:rFonts w:eastAsia="Times"/>
          <w:color w:val="000000"/>
          <w:u w:val="single"/>
        </w:rPr>
        <w:t xml:space="preserve"> and shall comply with the requirements of NFPA 72 as modified by Appendix Q of the </w:t>
      </w:r>
      <w:r w:rsidRPr="001B7F77">
        <w:rPr>
          <w:rFonts w:eastAsia="Times"/>
          <w:i/>
          <w:iCs/>
          <w:color w:val="000000"/>
          <w:u w:val="single"/>
        </w:rPr>
        <w:t>New York City Building Code</w:t>
      </w:r>
      <w:r w:rsidRPr="001B7F77">
        <w:rPr>
          <w:rFonts w:eastAsia="Times"/>
          <w:color w:val="000000"/>
          <w:u w:val="single"/>
        </w:rPr>
        <w:t>. A sign shall be posted near the phone. The sign shall read “In Case of Fire or Other Emergency, Use This Phone to Contact Lobby or Building Manager or Central Service Station”.</w:t>
      </w:r>
    </w:p>
    <w:p w14:paraId="5ABABDE6" w14:textId="77777777" w:rsidR="001B7F77" w:rsidRPr="001B7F77" w:rsidRDefault="001B7F77" w:rsidP="001B7F77">
      <w:pPr>
        <w:suppressAutoHyphens/>
        <w:spacing w:before="120"/>
        <w:ind w:left="1080"/>
        <w:rPr>
          <w:rFonts w:eastAsia="Times"/>
          <w:color w:val="000000"/>
          <w:u w:val="single"/>
        </w:rPr>
      </w:pPr>
      <w:r w:rsidRPr="001B7F77">
        <w:rPr>
          <w:rFonts w:eastAsia="Times"/>
          <w:b/>
          <w:color w:val="000000"/>
          <w:u w:val="single"/>
        </w:rPr>
        <w:t xml:space="preserve">902.1.1.6.2 Locking of lobby doors. </w:t>
      </w:r>
      <w:r w:rsidRPr="001B7F77">
        <w:rPr>
          <w:rFonts w:eastAsia="Times"/>
          <w:color w:val="000000"/>
          <w:u w:val="single"/>
        </w:rPr>
        <w:t>Where locking devices are proposed on elevator lobby doors for security reasons to prevent access that leads to an exit, such locking devices shall be installed in accordance with</w:t>
      </w:r>
      <w:bookmarkStart w:id="195" w:name="_Hlk78187689"/>
      <w:r w:rsidRPr="001B7F77">
        <w:rPr>
          <w:rFonts w:eastAsia="Times"/>
          <w:color w:val="000000"/>
          <w:u w:val="single"/>
        </w:rPr>
        <w:t xml:space="preserve"> Appendix K of the </w:t>
      </w:r>
      <w:bookmarkEnd w:id="195"/>
      <w:r w:rsidRPr="001B7F77">
        <w:rPr>
          <w:rFonts w:eastAsia="Times"/>
          <w:i/>
          <w:iCs/>
          <w:color w:val="000000"/>
          <w:u w:val="single"/>
        </w:rPr>
        <w:t>New York City Building Code</w:t>
      </w:r>
      <w:r w:rsidRPr="001B7F77">
        <w:rPr>
          <w:rFonts w:eastAsia="Times"/>
          <w:color w:val="000000"/>
          <w:u w:val="single"/>
        </w:rPr>
        <w:t>.</w:t>
      </w:r>
      <w:r w:rsidRPr="001B7F77">
        <w:rPr>
          <w:color w:val="FF0000"/>
        </w:rPr>
        <w:t xml:space="preserve"> </w:t>
      </w:r>
    </w:p>
    <w:p w14:paraId="4913FD04" w14:textId="77777777" w:rsidR="001B7F77" w:rsidRPr="001B7F77" w:rsidRDefault="001B7F77" w:rsidP="001B7F77">
      <w:pPr>
        <w:suppressAutoHyphens/>
        <w:spacing w:before="120"/>
        <w:ind w:left="720"/>
        <w:rPr>
          <w:rFonts w:eastAsia="Times"/>
          <w:color w:val="000000"/>
        </w:rPr>
      </w:pPr>
      <w:r w:rsidRPr="001B7F77">
        <w:rPr>
          <w:rFonts w:eastAsia="Times"/>
          <w:b/>
          <w:u w:val="single"/>
        </w:rPr>
        <w:t xml:space="preserve">902.1.1.7 Emergency and standby systems. </w:t>
      </w:r>
      <w:r w:rsidRPr="001B7F77">
        <w:rPr>
          <w:rFonts w:eastAsia="Times"/>
          <w:u w:val="single"/>
        </w:rPr>
        <w:t xml:space="preserve">Where an existing building is undergoing a Level 2 alteration and the work area exceeds 75 percent of the building area, the building shall comply with Chapter 27 of the </w:t>
      </w:r>
      <w:r w:rsidRPr="001B7F77">
        <w:rPr>
          <w:rFonts w:eastAsia="Times"/>
          <w:i/>
          <w:iCs/>
          <w:u w:val="single"/>
        </w:rPr>
        <w:t>New York City Building Code</w:t>
      </w:r>
      <w:r w:rsidRPr="001B7F77">
        <w:rPr>
          <w:rFonts w:eastAsia="Times"/>
          <w:u w:val="single"/>
        </w:rPr>
        <w:t>.</w:t>
      </w:r>
    </w:p>
    <w:p w14:paraId="1EDE61D7" w14:textId="77777777" w:rsidR="001B7F77" w:rsidRPr="001B7F77" w:rsidRDefault="001B7F77" w:rsidP="001B7F77">
      <w:pPr>
        <w:suppressAutoHyphens/>
        <w:spacing w:before="120"/>
        <w:ind w:left="360"/>
        <w:rPr>
          <w:rFonts w:eastAsia="Times"/>
          <w:color w:val="000000"/>
          <w:u w:val="single"/>
        </w:rPr>
      </w:pPr>
      <w:r w:rsidRPr="001B7F77">
        <w:rPr>
          <w:rFonts w:eastAsia="Times"/>
          <w:b/>
          <w:color w:val="000000"/>
          <w:u w:val="single"/>
        </w:rPr>
        <w:t>902.1.2 Boiler and furnace equipment rooms.</w:t>
      </w:r>
      <w:r w:rsidRPr="001B7F77">
        <w:rPr>
          <w:rFonts w:eastAsia="Times"/>
          <w:color w:val="000000"/>
          <w:u w:val="single"/>
        </w:rPr>
        <w:t xml:space="preserve"> Boiler and furnace equipment rooms </w:t>
      </w:r>
      <w:r w:rsidRPr="001B7F77">
        <w:rPr>
          <w:color w:val="000000"/>
          <w:u w:val="single"/>
        </w:rPr>
        <w:t xml:space="preserve">located within single occupancy or mixed occupancy existing buildings </w:t>
      </w:r>
      <w:r w:rsidRPr="001B7F77">
        <w:rPr>
          <w:rFonts w:eastAsia="Times"/>
          <w:color w:val="000000"/>
          <w:u w:val="single"/>
        </w:rPr>
        <w:t xml:space="preserve">of Occupancy Groups I-1, I-2, I-4, R-1 or R-2 shall be enclosed by fire-resistance-rated construction in accordance with Section 509 of the </w:t>
      </w:r>
      <w:r w:rsidRPr="001B7F77">
        <w:rPr>
          <w:rFonts w:eastAsia="Times"/>
          <w:i/>
          <w:iCs/>
          <w:color w:val="000000"/>
          <w:u w:val="single"/>
        </w:rPr>
        <w:t>New York City Building Code</w:t>
      </w:r>
      <w:r w:rsidRPr="001B7F77">
        <w:rPr>
          <w:rFonts w:eastAsia="Times"/>
          <w:color w:val="000000"/>
          <w:u w:val="single"/>
        </w:rPr>
        <w:t>.</w:t>
      </w:r>
    </w:p>
    <w:p w14:paraId="545C3159" w14:textId="77777777" w:rsidR="001B7F77" w:rsidRPr="001B7F77" w:rsidRDefault="001B7F77" w:rsidP="001B7F77">
      <w:pPr>
        <w:widowControl w:val="0"/>
        <w:suppressAutoHyphens/>
        <w:spacing w:before="120"/>
        <w:jc w:val="center"/>
        <w:outlineLvl w:val="0"/>
        <w:rPr>
          <w:rFonts w:eastAsia="Helvetica Neue"/>
          <w:b/>
          <w:bCs/>
          <w:color w:val="000000"/>
          <w:u w:val="single"/>
        </w:rPr>
      </w:pPr>
    </w:p>
    <w:p w14:paraId="6FDDFEAB" w14:textId="77777777" w:rsidR="001B7F77" w:rsidRPr="001B7F77" w:rsidRDefault="001B7F77" w:rsidP="001B7F77">
      <w:pPr>
        <w:widowControl w:val="0"/>
        <w:suppressAutoHyphens/>
        <w:spacing w:before="120"/>
        <w:jc w:val="center"/>
        <w:outlineLvl w:val="0"/>
        <w:rPr>
          <w:rFonts w:eastAsia="Helvetica Neue"/>
          <w:b/>
          <w:bCs/>
          <w:color w:val="000000"/>
          <w:u w:val="single"/>
        </w:rPr>
      </w:pPr>
      <w:r w:rsidRPr="001B7F77">
        <w:rPr>
          <w:rFonts w:eastAsia="Helvetica Neue"/>
          <w:b/>
          <w:bCs/>
          <w:color w:val="000000"/>
          <w:u w:val="single"/>
        </w:rPr>
        <w:t xml:space="preserve">SECTION </w:t>
      </w:r>
      <w:r w:rsidRPr="001B7F77">
        <w:rPr>
          <w:rFonts w:eastAsia="Helvetica Neue"/>
          <w:b/>
          <w:color w:val="000000"/>
          <w:u w:val="single"/>
        </w:rPr>
        <w:t xml:space="preserve">EBC </w:t>
      </w:r>
      <w:r w:rsidRPr="001B7F77">
        <w:rPr>
          <w:rFonts w:eastAsia="Helvetica Neue"/>
          <w:b/>
          <w:bCs/>
          <w:color w:val="000000"/>
          <w:u w:val="single"/>
        </w:rPr>
        <w:t>903</w:t>
      </w:r>
      <w:r w:rsidRPr="001B7F77">
        <w:rPr>
          <w:rFonts w:eastAsia="Helvetica Neue"/>
          <w:b/>
          <w:bCs/>
          <w:color w:val="000000"/>
          <w:u w:val="single"/>
        </w:rPr>
        <w:br/>
        <w:t xml:space="preserve">BUILDING </w:t>
      </w:r>
      <w:r w:rsidRPr="001B7F77">
        <w:rPr>
          <w:rFonts w:eastAsia="Times"/>
          <w:b/>
          <w:u w:val="single"/>
        </w:rPr>
        <w:t>ELEMENTS</w:t>
      </w:r>
      <w:r w:rsidRPr="001B7F77">
        <w:rPr>
          <w:rFonts w:eastAsia="Helvetica Neue"/>
          <w:b/>
          <w:bCs/>
          <w:color w:val="000000"/>
          <w:u w:val="single"/>
        </w:rPr>
        <w:t xml:space="preserve"> AND MATERIALS</w:t>
      </w:r>
    </w:p>
    <w:p w14:paraId="327FD012" w14:textId="77777777" w:rsidR="001B7F77" w:rsidRPr="001B7F77" w:rsidRDefault="001B7F77" w:rsidP="001B7F77">
      <w:pPr>
        <w:suppressAutoHyphens/>
        <w:spacing w:before="120"/>
        <w:rPr>
          <w:rFonts w:eastAsia="Times"/>
          <w:color w:val="000000"/>
        </w:rPr>
      </w:pPr>
      <w:bookmarkStart w:id="196" w:name="_Hlk75444550"/>
      <w:r w:rsidRPr="001B7F77">
        <w:rPr>
          <w:rFonts w:eastAsia="Times"/>
          <w:b/>
          <w:color w:val="000000"/>
          <w:u w:val="single"/>
        </w:rPr>
        <w:t>903.1 Existing shafts and vertical openings.</w:t>
      </w:r>
      <w:r w:rsidRPr="001B7F77">
        <w:rPr>
          <w:rFonts w:eastAsia="Times"/>
          <w:color w:val="000000"/>
          <w:u w:val="single"/>
        </w:rPr>
        <w:t xml:space="preserve"> Existing shafts and vertical openings, including stairways, shall be enclosed and protected in accordance with the </w:t>
      </w:r>
      <w:r w:rsidRPr="001B7F77">
        <w:rPr>
          <w:rFonts w:eastAsia="Times"/>
          <w:i/>
          <w:iCs/>
          <w:color w:val="000000"/>
          <w:u w:val="single"/>
        </w:rPr>
        <w:t>New York City Building Code</w:t>
      </w:r>
      <w:r w:rsidRPr="001B7F77">
        <w:rPr>
          <w:rFonts w:eastAsia="Times"/>
          <w:color w:val="000000"/>
          <w:u w:val="single"/>
        </w:rPr>
        <w:t xml:space="preserve"> from the highest level within the work area, including the level of exit discharge and all floors below the level of exit discharge. Where the proposed alteration results in a reduction in the </w:t>
      </w:r>
      <w:bookmarkStart w:id="197" w:name="_Hlk77249911"/>
      <w:r w:rsidRPr="001B7F77">
        <w:rPr>
          <w:rFonts w:eastAsia="Times"/>
          <w:u w:val="single"/>
        </w:rPr>
        <w:t>existing fire-resistive rating</w:t>
      </w:r>
      <w:bookmarkEnd w:id="197"/>
      <w:r w:rsidRPr="001B7F77">
        <w:rPr>
          <w:rFonts w:eastAsia="Times"/>
          <w:u w:val="single"/>
        </w:rPr>
        <w:t xml:space="preserve">, </w:t>
      </w:r>
      <w:r w:rsidRPr="001B7F77">
        <w:rPr>
          <w:rFonts w:eastAsia="Times"/>
          <w:color w:val="000000"/>
          <w:u w:val="single"/>
        </w:rPr>
        <w:t>the registered design professional of record shall demonstrate compliance with Section 303.2 of this code.</w:t>
      </w:r>
    </w:p>
    <w:bookmarkEnd w:id="196"/>
    <w:p w14:paraId="6C5E1662" w14:textId="77777777" w:rsidR="001B7F77" w:rsidRPr="001B7F77" w:rsidRDefault="001B7F77" w:rsidP="001B7F77">
      <w:pPr>
        <w:suppressAutoHyphens/>
        <w:spacing w:before="120"/>
        <w:ind w:left="360"/>
        <w:rPr>
          <w:rFonts w:eastAsia="Times"/>
          <w:color w:val="000000"/>
          <w:u w:val="single"/>
        </w:rPr>
      </w:pPr>
      <w:r w:rsidRPr="001B7F77">
        <w:rPr>
          <w:b/>
          <w:color w:val="000000"/>
          <w:u w:val="single"/>
        </w:rPr>
        <w:t xml:space="preserve">903.1.1 Prior code buildings. </w:t>
      </w:r>
      <w:r w:rsidRPr="001B7F77">
        <w:rPr>
          <w:color w:val="000000"/>
          <w:u w:val="single"/>
        </w:rPr>
        <w:t>In prior code buildings,</w:t>
      </w:r>
      <w:r w:rsidRPr="001B7F77">
        <w:rPr>
          <w:b/>
          <w:color w:val="000000"/>
          <w:u w:val="single"/>
        </w:rPr>
        <w:t xml:space="preserve"> </w:t>
      </w:r>
      <w:r w:rsidRPr="001B7F77">
        <w:rPr>
          <w:color w:val="000000"/>
          <w:u w:val="single"/>
        </w:rPr>
        <w:t xml:space="preserve">existing shafts and vertical openings, including stairways, shall be </w:t>
      </w:r>
      <w:r w:rsidRPr="001B7F77">
        <w:rPr>
          <w:u w:val="single"/>
        </w:rPr>
        <w:t xml:space="preserve">enclosed and </w:t>
      </w:r>
      <w:r w:rsidRPr="001B7F77">
        <w:rPr>
          <w:color w:val="000000"/>
          <w:u w:val="single"/>
        </w:rPr>
        <w:t xml:space="preserve">protected in accordance with Section 803.2.1 from the highest level within the work area </w:t>
      </w:r>
      <w:r w:rsidRPr="001B7F77">
        <w:rPr>
          <w:rFonts w:eastAsia="Times"/>
          <w:color w:val="000000"/>
          <w:u w:val="single"/>
        </w:rPr>
        <w:t>including the level of exit discharge and all floors below.</w:t>
      </w:r>
    </w:p>
    <w:p w14:paraId="708D9141" w14:textId="77777777" w:rsidR="001B7F77" w:rsidRPr="001B7F77" w:rsidRDefault="001B7F77" w:rsidP="001B7F77">
      <w:pPr>
        <w:suppressAutoHyphens/>
        <w:spacing w:before="120"/>
        <w:rPr>
          <w:rFonts w:eastAsia="Times"/>
          <w:color w:val="000000"/>
          <w:u w:val="single"/>
        </w:rPr>
      </w:pPr>
      <w:r w:rsidRPr="001B7F77">
        <w:rPr>
          <w:rFonts w:eastAsia="Times"/>
          <w:b/>
          <w:color w:val="000000"/>
          <w:u w:val="single"/>
        </w:rPr>
        <w:t>903.2 Fire separations in Group R-3.</w:t>
      </w:r>
      <w:r w:rsidRPr="001B7F77">
        <w:rPr>
          <w:rFonts w:eastAsia="Times"/>
          <w:color w:val="000000"/>
          <w:u w:val="single"/>
        </w:rPr>
        <w:t xml:space="preserve"> Fire separation in Group R-3 occupancies shall be in accordance with Section 903.2.1.</w:t>
      </w:r>
    </w:p>
    <w:p w14:paraId="020A5AEF" w14:textId="77777777" w:rsidR="001B7F77" w:rsidRPr="001B7F77" w:rsidRDefault="001B7F77" w:rsidP="001B7F77">
      <w:pPr>
        <w:suppressAutoHyphens/>
        <w:spacing w:before="120"/>
        <w:ind w:left="360"/>
        <w:rPr>
          <w:u w:val="single"/>
        </w:rPr>
      </w:pPr>
      <w:bookmarkStart w:id="198" w:name="_Hlk79580708"/>
      <w:r w:rsidRPr="001B7F77">
        <w:rPr>
          <w:rFonts w:eastAsia="Times"/>
          <w:b/>
          <w:color w:val="000000"/>
          <w:u w:val="single"/>
        </w:rPr>
        <w:t>903.2.1 Separation required in R-3 occupancy.</w:t>
      </w:r>
      <w:r w:rsidRPr="001B7F77">
        <w:rPr>
          <w:rFonts w:eastAsia="Times"/>
          <w:color w:val="000000"/>
          <w:u w:val="single"/>
        </w:rPr>
        <w:t xml:space="preserve"> Where the work area in any attached one- or two-family dwellings results in the removal of wall or ceiling finishes exposing the existing fire separation that was constructed in accordance with Appendix M of the </w:t>
      </w:r>
      <w:r w:rsidRPr="001B7F77">
        <w:rPr>
          <w:rFonts w:eastAsia="Times"/>
          <w:i/>
          <w:iCs/>
          <w:color w:val="000000"/>
          <w:u w:val="single"/>
        </w:rPr>
        <w:t>New York City Building Code</w:t>
      </w:r>
      <w:r w:rsidRPr="001B7F77">
        <w:rPr>
          <w:rFonts w:eastAsia="Times"/>
          <w:color w:val="000000"/>
          <w:u w:val="single"/>
        </w:rPr>
        <w:t xml:space="preserve"> or department issued memorandum on the same subject matter, special inspection shall be performed in accordance with Section 1705.17 of the </w:t>
      </w:r>
      <w:r w:rsidRPr="001B7F77">
        <w:rPr>
          <w:rFonts w:eastAsia="Times"/>
          <w:i/>
          <w:iCs/>
          <w:color w:val="000000"/>
          <w:u w:val="single"/>
        </w:rPr>
        <w:t>New York City Building Code</w:t>
      </w:r>
      <w:r w:rsidRPr="001B7F77">
        <w:rPr>
          <w:rFonts w:eastAsia="Times"/>
          <w:color w:val="000000"/>
          <w:u w:val="single"/>
        </w:rPr>
        <w:t xml:space="preserve"> on the side of the dwelling unit wall that is part of the work area to determine whether the assembly is in compliance with Chapter 7 of the </w:t>
      </w:r>
      <w:r w:rsidRPr="001B7F77">
        <w:rPr>
          <w:rFonts w:eastAsia="Times"/>
          <w:i/>
          <w:iCs/>
          <w:color w:val="000000"/>
          <w:u w:val="single"/>
        </w:rPr>
        <w:t>New York City Building Code</w:t>
      </w:r>
      <w:r w:rsidRPr="001B7F77">
        <w:rPr>
          <w:rFonts w:eastAsia="Times"/>
          <w:color w:val="000000"/>
          <w:u w:val="single"/>
        </w:rPr>
        <w:t>. Any wall or portions thereof separating the dwelling units that are identified as not continuous from the foundation to the underside of the roof sheathing shall be constructed to provide a continuous fire separation using construction materials consistent with the existing wall or complying with the requirements for new structures. Such work shall be limited to the side of the dwelling unit wall that is part of the work area.</w:t>
      </w:r>
      <w:bookmarkEnd w:id="198"/>
    </w:p>
    <w:p w14:paraId="624F4116" w14:textId="77777777" w:rsidR="001B7F77" w:rsidRPr="001B7F77" w:rsidRDefault="001B7F77" w:rsidP="001B7F77">
      <w:pPr>
        <w:suppressAutoHyphens/>
        <w:spacing w:before="120"/>
        <w:rPr>
          <w:rFonts w:eastAsia="Times"/>
          <w:color w:val="000000"/>
        </w:rPr>
      </w:pPr>
      <w:r w:rsidRPr="001B7F77">
        <w:rPr>
          <w:rFonts w:eastAsia="Times"/>
          <w:b/>
          <w:color w:val="000000"/>
          <w:u w:val="single"/>
        </w:rPr>
        <w:t>903.3 Interior finish.</w:t>
      </w:r>
      <w:r w:rsidRPr="001B7F77">
        <w:rPr>
          <w:rFonts w:eastAsia="Times"/>
          <w:color w:val="000000"/>
          <w:u w:val="single"/>
        </w:rPr>
        <w:t xml:space="preserve"> The interior finish of walls and ceilings in exits and corridors in any work area or exit serving the work area, between the highest floor on which there is a work area and the floor of exit discharge, shall comply with the requirements of Section 803.4.</w:t>
      </w:r>
    </w:p>
    <w:p w14:paraId="1580E707" w14:textId="77777777" w:rsidR="001B7F77" w:rsidRPr="001B7F77" w:rsidRDefault="001B7F77" w:rsidP="001B7F77">
      <w:pPr>
        <w:suppressAutoHyphens/>
        <w:spacing w:before="120"/>
        <w:ind w:left="360"/>
        <w:rPr>
          <w:rFonts w:eastAsia="Times"/>
          <w:color w:val="000000"/>
          <w:u w:val="single"/>
        </w:rPr>
      </w:pPr>
      <w:r w:rsidRPr="001B7F77">
        <w:rPr>
          <w:rFonts w:eastAsia="Times"/>
          <w:b/>
          <w:color w:val="000000"/>
          <w:u w:val="single"/>
        </w:rPr>
        <w:t>Exception</w:t>
      </w:r>
      <w:r w:rsidRPr="001B7F77">
        <w:rPr>
          <w:rFonts w:eastAsia="Times"/>
          <w:color w:val="000000"/>
          <w:u w:val="single"/>
        </w:rPr>
        <w:t>: Interior finish of walls and ceilings in corridors and exits within tenant spaces that are entirely outside the work area.</w:t>
      </w:r>
    </w:p>
    <w:p w14:paraId="0D2BAF98" w14:textId="77777777" w:rsidR="001B7F77" w:rsidRPr="001B7F77" w:rsidRDefault="001B7F77" w:rsidP="001B7F77">
      <w:pPr>
        <w:suppressAutoHyphens/>
        <w:spacing w:before="120"/>
        <w:rPr>
          <w:color w:val="000000"/>
          <w:u w:val="single"/>
        </w:rPr>
      </w:pPr>
      <w:r w:rsidRPr="001B7F77">
        <w:rPr>
          <w:b/>
          <w:bCs/>
          <w:color w:val="000000"/>
          <w:u w:val="single"/>
        </w:rPr>
        <w:t>903.4 Protection of window openings on lot line air shafts in Group R-2 buildings.</w:t>
      </w:r>
      <w:r w:rsidRPr="001B7F77">
        <w:rPr>
          <w:color w:val="000000"/>
          <w:u w:val="single"/>
        </w:rPr>
        <w:t xml:space="preserve"> Where a prior code building is undergoing a Level 2 alteration and the building contains windows that open onto a lot line air shaft as defined in Chapter 2, and any part of such window is less than 3 feet (914 mm) from the lot line or less than 6 feet (1829 mm) from another window on the adjacent building, all such windows shall be protected in accordance with Section 803.8. For the purpose of this section, separation distance to adjacent buildings shall be measured in any direction to the nearest edges of window openings.</w:t>
      </w:r>
    </w:p>
    <w:p w14:paraId="5FFC0899" w14:textId="77777777" w:rsidR="001B7F77" w:rsidRPr="001B7F77" w:rsidRDefault="001B7F77" w:rsidP="001B7F77">
      <w:pPr>
        <w:suppressAutoHyphens/>
        <w:spacing w:before="120"/>
        <w:ind w:left="360"/>
        <w:rPr>
          <w:color w:val="000000"/>
          <w:u w:val="single"/>
        </w:rPr>
      </w:pPr>
      <w:r w:rsidRPr="001B7F77">
        <w:rPr>
          <w:b/>
          <w:bCs/>
          <w:color w:val="000000"/>
          <w:u w:val="single"/>
        </w:rPr>
        <w:t>Exception</w:t>
      </w:r>
      <w:r w:rsidRPr="001B7F77">
        <w:rPr>
          <w:color w:val="000000"/>
          <w:u w:val="single"/>
        </w:rPr>
        <w:t>. Windows located in occupied tenant spaces outside the work area.</w:t>
      </w:r>
    </w:p>
    <w:p w14:paraId="62E2C021" w14:textId="77777777" w:rsidR="001B7F77" w:rsidRPr="001B7F77" w:rsidRDefault="001B7F77" w:rsidP="001B7F77">
      <w:pPr>
        <w:suppressAutoHyphens/>
        <w:spacing w:before="120"/>
        <w:ind w:left="360"/>
        <w:rPr>
          <w:color w:val="000000"/>
          <w:u w:val="single"/>
        </w:rPr>
      </w:pPr>
      <w:r w:rsidRPr="001B7F77">
        <w:rPr>
          <w:b/>
          <w:bCs/>
          <w:color w:val="000000"/>
          <w:u w:val="single"/>
        </w:rPr>
        <w:t>903.4.1 Work areas exceeding 75 percent of the building area.</w:t>
      </w:r>
      <w:r w:rsidRPr="001B7F77">
        <w:rPr>
          <w:color w:val="000000"/>
          <w:u w:val="single"/>
        </w:rPr>
        <w:t xml:space="preserve"> Where the work area exceeds 75 percent of building area, all windows opening on lot line air shafts shall be protected in accordance with Section 803.8 throughout the building.</w:t>
      </w:r>
    </w:p>
    <w:p w14:paraId="2FF19711" w14:textId="77777777" w:rsidR="001B7F77" w:rsidRPr="001B7F77" w:rsidRDefault="001B7F77" w:rsidP="001B7F77">
      <w:pPr>
        <w:suppressAutoHyphens/>
        <w:spacing w:before="120"/>
        <w:rPr>
          <w:rFonts w:eastAsia="Times"/>
          <w:bCs/>
          <w:color w:val="000000"/>
        </w:rPr>
      </w:pPr>
      <w:r w:rsidRPr="001B7F77">
        <w:rPr>
          <w:b/>
          <w:bCs/>
          <w:color w:val="000000"/>
          <w:u w:val="single"/>
        </w:rPr>
        <w:t xml:space="preserve">903.5 Existing buildings in fire districts. </w:t>
      </w:r>
      <w:r w:rsidRPr="001B7F77">
        <w:rPr>
          <w:rFonts w:eastAsia="Times"/>
          <w:bCs/>
          <w:color w:val="000000"/>
          <w:u w:val="single"/>
        </w:rPr>
        <w:t>Alterations made to existing buildings shall comply with Sections 302.6 and 803.9.</w:t>
      </w:r>
    </w:p>
    <w:p w14:paraId="623D4249" w14:textId="77777777" w:rsidR="001B7F77" w:rsidRPr="001B7F77" w:rsidRDefault="001B7F77" w:rsidP="001B7F77">
      <w:pPr>
        <w:widowControl w:val="0"/>
        <w:suppressAutoHyphens/>
        <w:spacing w:before="120"/>
        <w:jc w:val="center"/>
        <w:outlineLvl w:val="0"/>
        <w:rPr>
          <w:rFonts w:eastAsia="Helvetica Neue"/>
          <w:b/>
          <w:color w:val="000000"/>
          <w:u w:val="single"/>
        </w:rPr>
      </w:pPr>
    </w:p>
    <w:p w14:paraId="6324E5ED" w14:textId="77777777" w:rsidR="001B7F77" w:rsidRPr="001B7F77" w:rsidRDefault="001B7F77" w:rsidP="001B7F77">
      <w:pPr>
        <w:widowControl w:val="0"/>
        <w:suppressAutoHyphens/>
        <w:spacing w:before="120"/>
        <w:jc w:val="center"/>
        <w:outlineLvl w:val="0"/>
        <w:rPr>
          <w:rFonts w:eastAsia="Helvetica Neue"/>
          <w:b/>
          <w:color w:val="000000"/>
          <w:u w:val="single"/>
        </w:rPr>
      </w:pPr>
      <w:r w:rsidRPr="001B7F77">
        <w:rPr>
          <w:rFonts w:eastAsia="Helvetica Neue"/>
          <w:b/>
          <w:color w:val="000000"/>
          <w:u w:val="single"/>
        </w:rPr>
        <w:t xml:space="preserve">SECTION </w:t>
      </w:r>
      <w:r w:rsidRPr="001B7F77">
        <w:rPr>
          <w:rFonts w:eastAsia="Times"/>
          <w:b/>
          <w:u w:val="single"/>
        </w:rPr>
        <w:t>EBC</w:t>
      </w:r>
      <w:r w:rsidRPr="001B7F77">
        <w:rPr>
          <w:rFonts w:eastAsia="Helvetica Neue"/>
          <w:b/>
          <w:color w:val="000000"/>
          <w:u w:val="single"/>
        </w:rPr>
        <w:t xml:space="preserve"> 904</w:t>
      </w:r>
      <w:r w:rsidRPr="001B7F77">
        <w:rPr>
          <w:rFonts w:eastAsia="Helvetica Neue"/>
          <w:b/>
          <w:color w:val="000000"/>
          <w:u w:val="single"/>
        </w:rPr>
        <w:br/>
        <w:t>FIRE PROTECTION</w:t>
      </w:r>
    </w:p>
    <w:p w14:paraId="19959529" w14:textId="77777777" w:rsidR="001B7F77" w:rsidRPr="001B7F77" w:rsidRDefault="001B7F77" w:rsidP="001B7F77">
      <w:pPr>
        <w:suppressAutoHyphens/>
        <w:spacing w:before="120"/>
        <w:rPr>
          <w:rFonts w:eastAsia="Times"/>
          <w:bCs/>
          <w:color w:val="000000"/>
        </w:rPr>
      </w:pPr>
      <w:r w:rsidRPr="001B7F77">
        <w:rPr>
          <w:rFonts w:eastAsia="Times"/>
          <w:b/>
          <w:color w:val="000000"/>
          <w:u w:val="single"/>
        </w:rPr>
        <w:t>904.1 General.</w:t>
      </w:r>
      <w:r w:rsidRPr="001B7F77">
        <w:rPr>
          <w:rFonts w:eastAsia="Times"/>
          <w:bCs/>
          <w:color w:val="000000"/>
          <w:u w:val="single"/>
        </w:rPr>
        <w:t xml:space="preserve"> Existing buildings undergoing a Level 2 alteration shall be provided with fire protection systems in accordance with this section, Section 304 and </w:t>
      </w:r>
      <w:r w:rsidRPr="001B7F77">
        <w:rPr>
          <w:rFonts w:eastAsia="Times"/>
          <w:u w:val="single"/>
        </w:rPr>
        <w:t>Section 804, as applicable.</w:t>
      </w:r>
    </w:p>
    <w:p w14:paraId="1A87F421" w14:textId="77777777" w:rsidR="001B7F77" w:rsidRPr="001B7F77" w:rsidRDefault="001B7F77" w:rsidP="001B7F77">
      <w:pPr>
        <w:suppressAutoHyphens/>
        <w:spacing w:before="120"/>
        <w:ind w:left="360"/>
        <w:rPr>
          <w:rFonts w:eastAsia="Times"/>
          <w:bCs/>
          <w:color w:val="000000"/>
        </w:rPr>
      </w:pPr>
      <w:r w:rsidRPr="001B7F77">
        <w:rPr>
          <w:b/>
          <w:bCs/>
          <w:color w:val="000000"/>
          <w:u w:val="single"/>
        </w:rPr>
        <w:t>904</w:t>
      </w:r>
      <w:r w:rsidRPr="001B7F77">
        <w:rPr>
          <w:rFonts w:eastAsia="Times"/>
          <w:b/>
          <w:color w:val="000000"/>
          <w:u w:val="single"/>
        </w:rPr>
        <w:t>.1.1 Compliance within the work area.</w:t>
      </w:r>
      <w:r w:rsidRPr="001B7F77">
        <w:rPr>
          <w:rFonts w:eastAsia="Times"/>
          <w:bCs/>
          <w:color w:val="000000"/>
          <w:u w:val="single"/>
        </w:rPr>
        <w:t xml:space="preserve"> See Sections 904.2 and 904.4.</w:t>
      </w:r>
    </w:p>
    <w:p w14:paraId="6CAD4C3C" w14:textId="77777777" w:rsidR="001B7F77" w:rsidRPr="001B7F77" w:rsidRDefault="001B7F77" w:rsidP="001B7F77">
      <w:pPr>
        <w:suppressAutoHyphens/>
        <w:spacing w:before="120"/>
        <w:ind w:left="360"/>
        <w:rPr>
          <w:rFonts w:eastAsia="Times"/>
          <w:bCs/>
          <w:color w:val="000000"/>
        </w:rPr>
      </w:pPr>
      <w:r w:rsidRPr="001B7F77">
        <w:rPr>
          <w:rFonts w:eastAsia="Times"/>
          <w:b/>
          <w:color w:val="000000"/>
          <w:u w:val="single"/>
        </w:rPr>
        <w:t>904.1.2 Compliance throughout the building</w:t>
      </w:r>
      <w:r w:rsidRPr="001B7F77">
        <w:rPr>
          <w:rFonts w:eastAsia="Times"/>
          <w:bCs/>
          <w:color w:val="000000"/>
          <w:u w:val="single"/>
        </w:rPr>
        <w:t xml:space="preserve">. The entire building shall comply with Chapter 9 of the </w:t>
      </w:r>
      <w:r w:rsidRPr="001B7F77">
        <w:rPr>
          <w:rFonts w:eastAsia="Times"/>
          <w:bCs/>
          <w:i/>
          <w:iCs/>
          <w:color w:val="000000"/>
          <w:u w:val="single"/>
        </w:rPr>
        <w:t>New York City Building Code</w:t>
      </w:r>
      <w:r w:rsidRPr="001B7F77">
        <w:rPr>
          <w:rFonts w:eastAsia="Times"/>
          <w:bCs/>
          <w:color w:val="000000"/>
          <w:u w:val="single"/>
        </w:rPr>
        <w:t xml:space="preserve"> </w:t>
      </w:r>
      <w:r w:rsidRPr="001B7F77">
        <w:rPr>
          <w:rFonts w:eastAsia="Times"/>
          <w:u w:val="single"/>
        </w:rPr>
        <w:t xml:space="preserve">as if hereafter erected </w:t>
      </w:r>
      <w:r w:rsidRPr="001B7F77">
        <w:rPr>
          <w:rFonts w:eastAsia="Times"/>
          <w:bCs/>
          <w:color w:val="000000"/>
          <w:u w:val="single"/>
        </w:rPr>
        <w:t>where:</w:t>
      </w:r>
    </w:p>
    <w:p w14:paraId="4F52871E" w14:textId="77777777" w:rsidR="001B7F77" w:rsidRPr="001B7F77" w:rsidRDefault="001B7F77" w:rsidP="0001508F">
      <w:pPr>
        <w:widowControl w:val="0"/>
        <w:numPr>
          <w:ilvl w:val="0"/>
          <w:numId w:val="24"/>
        </w:numPr>
        <w:suppressAutoHyphens/>
        <w:spacing w:before="120"/>
        <w:ind w:left="1080"/>
        <w:contextualSpacing/>
        <w:jc w:val="left"/>
        <w:rPr>
          <w:rFonts w:eastAsia="Times" w:cs="Arial"/>
          <w:bCs/>
          <w:color w:val="000000"/>
          <w:sz w:val="22"/>
          <w:szCs w:val="22"/>
          <w:u w:val="single"/>
        </w:rPr>
      </w:pPr>
      <w:r w:rsidRPr="001B7F77">
        <w:rPr>
          <w:rFonts w:eastAsia="Times" w:cs="Arial"/>
          <w:bCs/>
          <w:color w:val="000000"/>
          <w:sz w:val="22"/>
          <w:szCs w:val="22"/>
          <w:u w:val="single"/>
        </w:rPr>
        <w:t>The Level 2 alteration work is covered by</w:t>
      </w:r>
      <w:r w:rsidRPr="001B7F77">
        <w:rPr>
          <w:rFonts w:eastAsia="Times" w:cs="Arial"/>
          <w:color w:val="000000"/>
          <w:sz w:val="22"/>
          <w:szCs w:val="22"/>
          <w:u w:val="single"/>
        </w:rPr>
        <w:t xml:space="preserve"> Section 901.2.2 of </w:t>
      </w:r>
      <w:r w:rsidRPr="001B7F77">
        <w:rPr>
          <w:rFonts w:eastAsia="Times" w:cs="Arial"/>
          <w:bCs/>
          <w:color w:val="000000"/>
          <w:sz w:val="22"/>
          <w:szCs w:val="22"/>
          <w:u w:val="single"/>
        </w:rPr>
        <w:t>this code; or</w:t>
      </w:r>
    </w:p>
    <w:p w14:paraId="2C166457" w14:textId="77777777" w:rsidR="001B7F77" w:rsidRPr="001B7F77" w:rsidRDefault="001B7F77" w:rsidP="0001508F">
      <w:pPr>
        <w:widowControl w:val="0"/>
        <w:numPr>
          <w:ilvl w:val="0"/>
          <w:numId w:val="24"/>
        </w:numPr>
        <w:suppressAutoHyphens/>
        <w:spacing w:before="120"/>
        <w:ind w:left="1080"/>
        <w:contextualSpacing/>
        <w:jc w:val="left"/>
        <w:rPr>
          <w:rFonts w:eastAsia="Times" w:cs="Arial"/>
          <w:bCs/>
          <w:color w:val="000000"/>
          <w:sz w:val="22"/>
          <w:szCs w:val="22"/>
          <w:u w:val="single"/>
        </w:rPr>
      </w:pPr>
      <w:r w:rsidRPr="001B7F77">
        <w:rPr>
          <w:rFonts w:eastAsia="Times" w:cs="Arial"/>
          <w:bCs/>
          <w:color w:val="000000"/>
          <w:sz w:val="22"/>
          <w:szCs w:val="22"/>
          <w:u w:val="single"/>
        </w:rPr>
        <w:t>The Level 2 alteration work area exceeds 75 percent of the building area.</w:t>
      </w:r>
    </w:p>
    <w:p w14:paraId="72141A4B" w14:textId="77777777" w:rsidR="001B7F77" w:rsidRPr="001B7F77" w:rsidRDefault="001B7F77" w:rsidP="001B7F77">
      <w:pPr>
        <w:suppressAutoHyphens/>
        <w:spacing w:before="120"/>
        <w:rPr>
          <w:rFonts w:eastAsia="Times"/>
          <w:color w:val="000000"/>
        </w:rPr>
      </w:pPr>
      <w:r w:rsidRPr="001B7F77">
        <w:rPr>
          <w:rFonts w:eastAsia="Times"/>
          <w:b/>
          <w:color w:val="000000"/>
          <w:u w:val="single"/>
        </w:rPr>
        <w:t>904.2 Automatic sprinkler systems.</w:t>
      </w:r>
      <w:r w:rsidRPr="001B7F77">
        <w:rPr>
          <w:rFonts w:eastAsia="Times"/>
          <w:color w:val="000000"/>
          <w:u w:val="single"/>
        </w:rPr>
        <w:t xml:space="preserve"> Except as stated in Sections 904.2.1 through 904.2.3, an automatic sprinkler system shall be provided in the work area in accordance with Section 804.2 regardless of the occupant load, the percentage of the work area per floor, and whether or not the work area includes exits or corridors serving more than one tenant. The design and installation of the system shall be in accordance with Chapter 9 of the </w:t>
      </w:r>
      <w:r w:rsidRPr="001B7F77">
        <w:rPr>
          <w:rFonts w:eastAsia="Times"/>
          <w:i/>
          <w:iCs/>
          <w:color w:val="000000"/>
          <w:u w:val="single"/>
        </w:rPr>
        <w:t>New York City Building Code</w:t>
      </w:r>
      <w:r w:rsidRPr="001B7F77">
        <w:rPr>
          <w:rFonts w:eastAsia="Times"/>
          <w:color w:val="000000"/>
          <w:u w:val="single"/>
        </w:rPr>
        <w:t xml:space="preserve">, </w:t>
      </w:r>
      <w:bookmarkStart w:id="199" w:name="_Hlk43221881"/>
      <w:r w:rsidRPr="001B7F77">
        <w:rPr>
          <w:rFonts w:eastAsia="Times"/>
          <w:color w:val="000000"/>
          <w:u w:val="single"/>
        </w:rPr>
        <w:t>except as permitted for prior code buildings in Section 804.2.8 of this code.</w:t>
      </w:r>
    </w:p>
    <w:bookmarkEnd w:id="199"/>
    <w:p w14:paraId="0841B466" w14:textId="77777777" w:rsidR="001B7F77" w:rsidRPr="001B7F77" w:rsidRDefault="001B7F77" w:rsidP="001B7F77">
      <w:pPr>
        <w:suppressAutoHyphens/>
        <w:spacing w:before="120"/>
        <w:ind w:left="360"/>
        <w:rPr>
          <w:rFonts w:eastAsia="Times"/>
          <w:color w:val="000000"/>
        </w:rPr>
      </w:pPr>
      <w:r w:rsidRPr="001B7F77">
        <w:rPr>
          <w:rFonts w:eastAsia="Times"/>
          <w:b/>
          <w:bCs/>
          <w:u w:val="single"/>
        </w:rPr>
        <w:t>904.2.1 High-rise buildings.</w:t>
      </w:r>
      <w:r w:rsidRPr="001B7F77">
        <w:rPr>
          <w:rFonts w:eastAsia="Times"/>
          <w:u w:val="single"/>
        </w:rPr>
        <w:t xml:space="preserve"> Where a prior code high-rise building is undergoing a Level 2 alteration, an automatic sprinkler system shall be provided in work areas as required by Chapter 9 of the </w:t>
      </w:r>
      <w:r w:rsidRPr="001B7F77">
        <w:rPr>
          <w:rFonts w:eastAsia="Times"/>
          <w:i/>
          <w:iCs/>
          <w:u w:val="single"/>
        </w:rPr>
        <w:t>New York City Building Code</w:t>
      </w:r>
      <w:r w:rsidRPr="001B7F77">
        <w:rPr>
          <w:rFonts w:eastAsia="Times"/>
          <w:u w:val="single"/>
        </w:rPr>
        <w:t>. Prior code buildings with existing sprinkler systems may use the provisions of Section 804.2.8 of this code.</w:t>
      </w:r>
    </w:p>
    <w:p w14:paraId="5BB257FD" w14:textId="77777777" w:rsidR="001B7F77" w:rsidRPr="001B7F77" w:rsidRDefault="001B7F77" w:rsidP="001B7F77">
      <w:pPr>
        <w:suppressAutoHyphens/>
        <w:spacing w:before="120"/>
        <w:ind w:left="360"/>
        <w:rPr>
          <w:rFonts w:eastAsia="Times"/>
          <w:color w:val="000000"/>
        </w:rPr>
      </w:pPr>
      <w:r w:rsidRPr="001B7F77">
        <w:rPr>
          <w:rFonts w:eastAsia="Times"/>
          <w:b/>
          <w:color w:val="000000"/>
          <w:u w:val="single"/>
        </w:rPr>
        <w:t>904.2.2 Rubbish and linen chutes.</w:t>
      </w:r>
      <w:r w:rsidRPr="001B7F77">
        <w:rPr>
          <w:rFonts w:eastAsia="Times"/>
          <w:color w:val="000000"/>
          <w:u w:val="single"/>
        </w:rPr>
        <w:t xml:space="preserve"> Rubbish and linen chutes located in the work area shall be provided with an automatic sprinkler system where protection of the rubbish and linen chute would be required under the provisions of the </w:t>
      </w:r>
      <w:r w:rsidRPr="001B7F77">
        <w:rPr>
          <w:rFonts w:eastAsia="Times"/>
          <w:i/>
          <w:iCs/>
          <w:color w:val="000000"/>
          <w:u w:val="single"/>
        </w:rPr>
        <w:t>New York City Building Code</w:t>
      </w:r>
      <w:r w:rsidRPr="001B7F77">
        <w:rPr>
          <w:rFonts w:eastAsia="Times"/>
          <w:color w:val="000000"/>
          <w:u w:val="single"/>
        </w:rPr>
        <w:t xml:space="preserve"> for new construction.</w:t>
      </w:r>
    </w:p>
    <w:p w14:paraId="63E661D2" w14:textId="77777777" w:rsidR="001B7F77" w:rsidRPr="001B7F77" w:rsidRDefault="001B7F77" w:rsidP="001B7F77">
      <w:pPr>
        <w:suppressAutoHyphens/>
        <w:spacing w:before="120"/>
        <w:ind w:left="360"/>
        <w:rPr>
          <w:u w:val="single"/>
        </w:rPr>
      </w:pPr>
      <w:r w:rsidRPr="001B7F77">
        <w:rPr>
          <w:rFonts w:eastAsia="Times"/>
          <w:b/>
          <w:color w:val="000000"/>
          <w:u w:val="single"/>
        </w:rPr>
        <w:t>904.2.3 Upholstered furniture or mattresses.</w:t>
      </w:r>
      <w:r w:rsidRPr="001B7F77">
        <w:rPr>
          <w:rFonts w:eastAsia="Times"/>
          <w:color w:val="000000"/>
          <w:u w:val="single"/>
        </w:rPr>
        <w:t xml:space="preserve"> Work areas shall be provided with an automatic sprinkler system in accordance with the </w:t>
      </w:r>
      <w:r w:rsidRPr="001B7F77">
        <w:rPr>
          <w:rFonts w:eastAsia="Times"/>
          <w:i/>
          <w:iCs/>
          <w:color w:val="000000"/>
          <w:u w:val="single"/>
        </w:rPr>
        <w:t>New York City Building Code</w:t>
      </w:r>
      <w:r w:rsidRPr="001B7F77">
        <w:rPr>
          <w:rFonts w:eastAsia="Times"/>
          <w:color w:val="000000"/>
          <w:u w:val="single"/>
        </w:rPr>
        <w:t xml:space="preserve"> where any of the following conditions exist within the work area:</w:t>
      </w:r>
    </w:p>
    <w:p w14:paraId="1843981F" w14:textId="77777777" w:rsidR="001B7F77" w:rsidRPr="001B7F77" w:rsidRDefault="001B7F77" w:rsidP="001B7F77">
      <w:pPr>
        <w:suppressAutoHyphens/>
        <w:spacing w:before="120"/>
        <w:ind w:left="1080" w:hanging="360"/>
        <w:rPr>
          <w:rFonts w:eastAsia="Times"/>
          <w:color w:val="000000"/>
          <w:u w:val="single"/>
        </w:rPr>
      </w:pPr>
      <w:r w:rsidRPr="001B7F77">
        <w:rPr>
          <w:rFonts w:eastAsia="Times"/>
          <w:color w:val="000000"/>
          <w:u w:val="single"/>
        </w:rPr>
        <w:t>1.</w:t>
      </w:r>
      <w:r w:rsidRPr="001B7F77">
        <w:rPr>
          <w:rFonts w:eastAsia="Times"/>
          <w:color w:val="000000"/>
          <w:u w:val="single"/>
        </w:rPr>
        <w:tab/>
        <w:t>A Group F-1 occupancy used for the manufacture of upholstered furniture or mattresses exceeds 2,500 square feet (232 m</w:t>
      </w:r>
      <w:r w:rsidRPr="001B7F77">
        <w:rPr>
          <w:rFonts w:eastAsia="Times"/>
          <w:color w:val="000000"/>
          <w:u w:val="single"/>
          <w:vertAlign w:val="superscript"/>
        </w:rPr>
        <w:t>2</w:t>
      </w:r>
      <w:r w:rsidRPr="001B7F77">
        <w:rPr>
          <w:rFonts w:eastAsia="Times"/>
          <w:color w:val="000000"/>
          <w:u w:val="single"/>
        </w:rPr>
        <w:t>).</w:t>
      </w:r>
    </w:p>
    <w:p w14:paraId="742FA723" w14:textId="77777777" w:rsidR="001B7F77" w:rsidRPr="001B7F77" w:rsidRDefault="001B7F77" w:rsidP="001B7F77">
      <w:pPr>
        <w:suppressAutoHyphens/>
        <w:spacing w:before="120"/>
        <w:ind w:left="1080" w:hanging="360"/>
        <w:rPr>
          <w:rFonts w:eastAsia="Times"/>
          <w:color w:val="000000"/>
          <w:u w:val="single"/>
        </w:rPr>
      </w:pPr>
      <w:r w:rsidRPr="001B7F77">
        <w:rPr>
          <w:rFonts w:eastAsia="Times"/>
          <w:color w:val="000000"/>
          <w:u w:val="single"/>
        </w:rPr>
        <w:t>2.</w:t>
      </w:r>
      <w:r w:rsidRPr="001B7F77">
        <w:rPr>
          <w:rFonts w:eastAsia="Times"/>
          <w:color w:val="000000"/>
          <w:u w:val="single"/>
        </w:rPr>
        <w:tab/>
        <w:t>A Group M occupancy used for the display and sale of upholstered furniture or mattresses exceeds 5,000 square feet (464 m</w:t>
      </w:r>
      <w:r w:rsidRPr="001B7F77">
        <w:rPr>
          <w:rFonts w:eastAsia="Times"/>
          <w:color w:val="000000"/>
          <w:u w:val="single"/>
          <w:vertAlign w:val="superscript"/>
        </w:rPr>
        <w:t>2</w:t>
      </w:r>
      <w:r w:rsidRPr="001B7F77">
        <w:rPr>
          <w:rFonts w:eastAsia="Times"/>
          <w:color w:val="000000"/>
          <w:u w:val="single"/>
        </w:rPr>
        <w:t>).</w:t>
      </w:r>
    </w:p>
    <w:p w14:paraId="632BEDA9" w14:textId="77777777" w:rsidR="001B7F77" w:rsidRPr="001B7F77" w:rsidRDefault="001B7F77" w:rsidP="001B7F77">
      <w:pPr>
        <w:suppressAutoHyphens/>
        <w:spacing w:before="120"/>
        <w:ind w:left="1080" w:hanging="360"/>
        <w:rPr>
          <w:rFonts w:eastAsia="Times"/>
          <w:color w:val="000000"/>
          <w:u w:val="single"/>
        </w:rPr>
      </w:pPr>
      <w:r w:rsidRPr="001B7F77">
        <w:rPr>
          <w:rFonts w:eastAsia="Times"/>
          <w:color w:val="000000"/>
          <w:u w:val="single"/>
        </w:rPr>
        <w:t>3.</w:t>
      </w:r>
      <w:r w:rsidRPr="001B7F77">
        <w:rPr>
          <w:rFonts w:eastAsia="Times"/>
          <w:color w:val="000000"/>
          <w:u w:val="single"/>
        </w:rPr>
        <w:tab/>
        <w:t>A Group S-1 occupancy used for the storage of upholstered furniture or mattresses exceeds 2,500 square feet (232 m</w:t>
      </w:r>
      <w:r w:rsidRPr="001B7F77">
        <w:rPr>
          <w:rFonts w:eastAsia="Times"/>
          <w:color w:val="000000"/>
          <w:u w:val="single"/>
          <w:vertAlign w:val="superscript"/>
        </w:rPr>
        <w:t>2</w:t>
      </w:r>
      <w:r w:rsidRPr="001B7F77">
        <w:rPr>
          <w:rFonts w:eastAsia="Times"/>
          <w:color w:val="000000"/>
          <w:u w:val="single"/>
        </w:rPr>
        <w:t>).</w:t>
      </w:r>
    </w:p>
    <w:p w14:paraId="274967A7" w14:textId="77777777" w:rsidR="001B7F77" w:rsidRPr="001B7F77" w:rsidRDefault="001B7F77" w:rsidP="001B7F77">
      <w:pPr>
        <w:suppressAutoHyphens/>
        <w:spacing w:before="120"/>
        <w:rPr>
          <w:rFonts w:eastAsia="Times"/>
          <w:b/>
          <w:color w:val="000000"/>
        </w:rPr>
      </w:pPr>
      <w:r w:rsidRPr="001B7F77">
        <w:rPr>
          <w:rFonts w:eastAsia="Times"/>
          <w:b/>
          <w:color w:val="000000"/>
          <w:u w:val="single"/>
        </w:rPr>
        <w:t>904.3 Reserved.</w:t>
      </w:r>
    </w:p>
    <w:p w14:paraId="461A43CA" w14:textId="77777777" w:rsidR="001B7F77" w:rsidRPr="001B7F77" w:rsidRDefault="001B7F77" w:rsidP="001B7F77">
      <w:pPr>
        <w:suppressAutoHyphens/>
        <w:spacing w:before="120"/>
        <w:rPr>
          <w:b/>
          <w:u w:val="single"/>
        </w:rPr>
      </w:pPr>
      <w:r w:rsidRPr="001B7F77">
        <w:rPr>
          <w:rFonts w:eastAsia="Times"/>
          <w:b/>
          <w:u w:val="single"/>
        </w:rPr>
        <w:t>904.4 Fire alarm and detection systems.</w:t>
      </w:r>
      <w:r w:rsidRPr="001B7F77">
        <w:rPr>
          <w:rFonts w:eastAsia="Times"/>
          <w:u w:val="single"/>
        </w:rPr>
        <w:t xml:space="preserve"> Fire alarm and detection systems shall be provided </w:t>
      </w:r>
      <w:bookmarkStart w:id="200" w:name="_Hlk124429413"/>
      <w:r w:rsidRPr="001B7F77">
        <w:rPr>
          <w:rFonts w:eastAsia="Times"/>
          <w:u w:val="single"/>
        </w:rPr>
        <w:t>throughout the work area</w:t>
      </w:r>
      <w:r w:rsidRPr="001B7F77">
        <w:rPr>
          <w:rFonts w:eastAsia="Times"/>
          <w:color w:val="C00000"/>
          <w:u w:val="single"/>
        </w:rPr>
        <w:t xml:space="preserve"> </w:t>
      </w:r>
      <w:bookmarkEnd w:id="200"/>
      <w:r w:rsidRPr="001B7F77">
        <w:rPr>
          <w:rFonts w:eastAsia="Times"/>
          <w:u w:val="single"/>
        </w:rPr>
        <w:t xml:space="preserve">in accordance with Section 907 of the </w:t>
      </w:r>
      <w:r w:rsidRPr="001B7F77">
        <w:rPr>
          <w:rFonts w:eastAsia="Times"/>
          <w:i/>
          <w:iCs/>
          <w:u w:val="single"/>
        </w:rPr>
        <w:t>New York City Building Code</w:t>
      </w:r>
      <w:r w:rsidRPr="001B7F77">
        <w:rPr>
          <w:rFonts w:eastAsia="Times"/>
          <w:u w:val="single"/>
        </w:rPr>
        <w:t xml:space="preserve"> as required for new construction.</w:t>
      </w:r>
    </w:p>
    <w:p w14:paraId="78A77937" w14:textId="77777777" w:rsidR="001B7F77" w:rsidRPr="001B7F77" w:rsidRDefault="001B7F77" w:rsidP="001B7F77">
      <w:pPr>
        <w:widowControl w:val="0"/>
        <w:suppressAutoHyphens/>
        <w:spacing w:before="120"/>
        <w:jc w:val="center"/>
        <w:outlineLvl w:val="0"/>
        <w:rPr>
          <w:rFonts w:eastAsia="Helvetica Neue"/>
          <w:b/>
          <w:bCs/>
          <w:color w:val="000000"/>
          <w:u w:val="single"/>
        </w:rPr>
      </w:pPr>
    </w:p>
    <w:p w14:paraId="4BE23535" w14:textId="77777777" w:rsidR="001B7F77" w:rsidRPr="001B7F77" w:rsidRDefault="001B7F77" w:rsidP="001B7F77">
      <w:pPr>
        <w:widowControl w:val="0"/>
        <w:suppressAutoHyphens/>
        <w:spacing w:before="120"/>
        <w:jc w:val="center"/>
        <w:outlineLvl w:val="0"/>
        <w:rPr>
          <w:rFonts w:eastAsia="Times"/>
          <w:b/>
          <w:bCs/>
          <w:color w:val="000000"/>
          <w:u w:val="single"/>
        </w:rPr>
      </w:pPr>
      <w:r w:rsidRPr="001B7F77">
        <w:rPr>
          <w:rFonts w:eastAsia="Helvetica Neue"/>
          <w:b/>
          <w:bCs/>
          <w:color w:val="000000"/>
          <w:u w:val="single"/>
        </w:rPr>
        <w:t xml:space="preserve">SECTION </w:t>
      </w:r>
      <w:r w:rsidRPr="001B7F77">
        <w:rPr>
          <w:rFonts w:eastAsia="Helvetica Neue"/>
          <w:b/>
          <w:color w:val="000000"/>
          <w:u w:val="single"/>
        </w:rPr>
        <w:t xml:space="preserve">EBC </w:t>
      </w:r>
      <w:r w:rsidRPr="001B7F77">
        <w:rPr>
          <w:rFonts w:eastAsia="Helvetica Neue"/>
          <w:b/>
          <w:bCs/>
          <w:color w:val="000000"/>
          <w:u w:val="single"/>
        </w:rPr>
        <w:t>905</w:t>
      </w:r>
      <w:r w:rsidRPr="001B7F77">
        <w:rPr>
          <w:rFonts w:eastAsia="Helvetica Neue"/>
          <w:b/>
          <w:bCs/>
          <w:color w:val="000000"/>
          <w:u w:val="single"/>
        </w:rPr>
        <w:br/>
        <w:t xml:space="preserve">MEANS OF </w:t>
      </w:r>
      <w:r w:rsidRPr="001B7F77">
        <w:rPr>
          <w:rFonts w:eastAsia="Times"/>
          <w:b/>
          <w:u w:val="single"/>
        </w:rPr>
        <w:t>EGRESS</w:t>
      </w:r>
    </w:p>
    <w:p w14:paraId="40200068" w14:textId="77777777" w:rsidR="001B7F77" w:rsidRPr="001B7F77" w:rsidRDefault="001B7F77" w:rsidP="001B7F77">
      <w:pPr>
        <w:suppressAutoHyphens/>
        <w:spacing w:before="120"/>
        <w:rPr>
          <w:rFonts w:eastAsia="Times"/>
          <w:color w:val="000000"/>
          <w:u w:val="single"/>
        </w:rPr>
      </w:pPr>
      <w:bookmarkStart w:id="201" w:name="_Hlk79572428"/>
      <w:r w:rsidRPr="001B7F77">
        <w:rPr>
          <w:rFonts w:eastAsia="Times"/>
          <w:b/>
          <w:color w:val="000000"/>
          <w:u w:val="single"/>
        </w:rPr>
        <w:t>905.1 General.</w:t>
      </w:r>
      <w:r w:rsidRPr="001B7F77">
        <w:rPr>
          <w:rFonts w:eastAsia="Times"/>
          <w:color w:val="000000"/>
          <w:u w:val="single"/>
        </w:rPr>
        <w:t xml:space="preserve"> Except as stated in Section 901.2.2, the means of egress shall comply with the requirements of Sections 305 and 805 within the work area that includes exits and corridors regardless of the number of tenants served by such exits and corridors. The means of egress shall also comply with Sections 905.1.1 and 905.1.2. </w:t>
      </w:r>
    </w:p>
    <w:p w14:paraId="26BC5A91" w14:textId="77777777" w:rsidR="001B7F77" w:rsidRPr="001B7F77" w:rsidRDefault="001B7F77" w:rsidP="001B7F77">
      <w:pPr>
        <w:suppressAutoHyphens/>
        <w:spacing w:before="120"/>
        <w:ind w:left="360"/>
        <w:rPr>
          <w:rFonts w:eastAsia="Times"/>
          <w:color w:val="000000"/>
          <w:u w:val="single"/>
        </w:rPr>
      </w:pPr>
      <w:bookmarkStart w:id="202" w:name="_Hlk79572358"/>
      <w:bookmarkStart w:id="203" w:name="_Hlk79572312"/>
      <w:r w:rsidRPr="001B7F77">
        <w:rPr>
          <w:rFonts w:eastAsia="Times"/>
          <w:b/>
          <w:color w:val="000000"/>
          <w:u w:val="single"/>
        </w:rPr>
        <w:t>905.1.1 Means-of-egress lighting.</w:t>
      </w:r>
      <w:r w:rsidRPr="001B7F77">
        <w:rPr>
          <w:rFonts w:eastAsia="Times"/>
          <w:color w:val="000000"/>
          <w:u w:val="single"/>
        </w:rPr>
        <w:t xml:space="preserve"> All interior exit stairways and ramps from the highest work area floor to the exit discharge shall be provided with artificial lighting in accordance with the requirements of Chapter 10 of the </w:t>
      </w:r>
      <w:r w:rsidRPr="001B7F77">
        <w:rPr>
          <w:rFonts w:eastAsia="Times"/>
          <w:i/>
          <w:iCs/>
          <w:color w:val="000000"/>
          <w:u w:val="single"/>
        </w:rPr>
        <w:t>New York City Building Code</w:t>
      </w:r>
      <w:bookmarkEnd w:id="202"/>
      <w:r w:rsidRPr="001B7F77">
        <w:rPr>
          <w:rFonts w:eastAsia="Times"/>
          <w:color w:val="000000"/>
          <w:u w:val="single"/>
        </w:rPr>
        <w:t>.</w:t>
      </w:r>
      <w:bookmarkEnd w:id="203"/>
    </w:p>
    <w:bookmarkEnd w:id="201"/>
    <w:p w14:paraId="22EB3CC7" w14:textId="77777777" w:rsidR="001B7F77" w:rsidRPr="001B7F77" w:rsidRDefault="001B7F77" w:rsidP="001B7F77">
      <w:pPr>
        <w:suppressAutoHyphens/>
        <w:spacing w:before="120"/>
        <w:ind w:left="360"/>
        <w:rPr>
          <w:rFonts w:eastAsia="Times"/>
          <w:color w:val="000000"/>
          <w:u w:val="single"/>
        </w:rPr>
      </w:pPr>
      <w:r w:rsidRPr="001B7F77">
        <w:rPr>
          <w:rFonts w:eastAsia="Times"/>
          <w:b/>
          <w:color w:val="000000"/>
          <w:u w:val="single"/>
        </w:rPr>
        <w:t>905.1.2 Exit signs.</w:t>
      </w:r>
      <w:r w:rsidRPr="001B7F77">
        <w:rPr>
          <w:rFonts w:eastAsia="Times"/>
          <w:color w:val="000000"/>
          <w:u w:val="single"/>
        </w:rPr>
        <w:t xml:space="preserve"> Means of egress from the highest work area floor to the exit discharge shall be provided with exit signs in accordance with the requirements of Chapter 10 of the </w:t>
      </w:r>
      <w:r w:rsidRPr="001B7F77">
        <w:rPr>
          <w:rFonts w:eastAsia="Times"/>
          <w:i/>
          <w:iCs/>
          <w:color w:val="000000"/>
          <w:u w:val="single"/>
        </w:rPr>
        <w:t>New York City Building Code</w:t>
      </w:r>
      <w:r w:rsidRPr="001B7F77">
        <w:rPr>
          <w:rFonts w:eastAsia="Times"/>
          <w:color w:val="000000"/>
          <w:u w:val="single"/>
        </w:rPr>
        <w:t>.</w:t>
      </w:r>
    </w:p>
    <w:p w14:paraId="35875870" w14:textId="77777777" w:rsidR="001B7F77" w:rsidRPr="001B7F77" w:rsidRDefault="001B7F77" w:rsidP="001B7F77">
      <w:pPr>
        <w:suppressAutoHyphens/>
        <w:spacing w:before="120"/>
        <w:rPr>
          <w:rFonts w:eastAsia="Times"/>
          <w:color w:val="000000"/>
          <w:u w:val="single"/>
        </w:rPr>
      </w:pPr>
      <w:r w:rsidRPr="001B7F77">
        <w:rPr>
          <w:rFonts w:eastAsia="Times"/>
          <w:b/>
          <w:color w:val="000000"/>
          <w:u w:val="single"/>
        </w:rPr>
        <w:t>905.2 Existing combustible stairs in prior code buildings.</w:t>
      </w:r>
      <w:r w:rsidRPr="001B7F77">
        <w:rPr>
          <w:rFonts w:eastAsia="Times"/>
          <w:color w:val="000000"/>
          <w:u w:val="single"/>
        </w:rPr>
        <w:t xml:space="preserve"> Where a prior code building of Occupancy Group R-1 or R-2 is undergoing a Level 2 alteration and the work area exceeds 75 percent of the building area, existing exit stairs constructed of combustible materials shall be replaced in their entirety with non-combustible construction, including stairs, landings, handrails and guards. The replacement stair shall meet the requirements of Chapter 10 of the </w:t>
      </w:r>
      <w:r w:rsidRPr="001B7F77">
        <w:rPr>
          <w:rFonts w:eastAsia="Times"/>
          <w:i/>
          <w:iCs/>
          <w:color w:val="000000"/>
          <w:u w:val="single"/>
        </w:rPr>
        <w:t>New York City Building Code</w:t>
      </w:r>
      <w:r w:rsidRPr="001B7F77">
        <w:rPr>
          <w:rFonts w:eastAsia="Times"/>
          <w:color w:val="000000"/>
          <w:u w:val="single"/>
        </w:rPr>
        <w:t xml:space="preserve">. Where the size of the existing shaft does not allow for full compliance with Chapter 10 of the </w:t>
      </w:r>
      <w:r w:rsidRPr="001B7F77">
        <w:rPr>
          <w:rFonts w:eastAsia="Times"/>
          <w:i/>
          <w:iCs/>
          <w:color w:val="000000"/>
          <w:u w:val="single"/>
        </w:rPr>
        <w:t>New York City Building Code</w:t>
      </w:r>
      <w:r w:rsidRPr="001B7F77">
        <w:rPr>
          <w:rFonts w:eastAsia="Times"/>
          <w:color w:val="000000"/>
          <w:u w:val="single"/>
        </w:rPr>
        <w:t xml:space="preserve"> in regards to required dimensions, the replacement stair may comply with Section 805.12.1 of this code.</w:t>
      </w:r>
    </w:p>
    <w:p w14:paraId="245898BB" w14:textId="77777777" w:rsidR="001B7F77" w:rsidRPr="001B7F77" w:rsidRDefault="001B7F77" w:rsidP="001B7F77">
      <w:pPr>
        <w:suppressAutoHyphens/>
        <w:spacing w:before="120"/>
        <w:ind w:left="360"/>
        <w:rPr>
          <w:rFonts w:eastAsia="Times"/>
          <w:b/>
          <w:color w:val="000000"/>
          <w:u w:val="single"/>
        </w:rPr>
      </w:pPr>
      <w:r w:rsidRPr="001B7F77">
        <w:rPr>
          <w:rFonts w:eastAsia="Times"/>
          <w:b/>
          <w:color w:val="000000"/>
          <w:u w:val="single"/>
        </w:rPr>
        <w:t>Exception:</w:t>
      </w:r>
      <w:r w:rsidRPr="001B7F77">
        <w:rPr>
          <w:rFonts w:eastAsia="Times"/>
          <w:color w:val="000000"/>
          <w:u w:val="single"/>
        </w:rPr>
        <w:t xml:space="preserve"> Prior code buildings that are fully sprinklered and comply with the fire protection requirements of Chapter 9 of the </w:t>
      </w:r>
      <w:r w:rsidRPr="001B7F77">
        <w:rPr>
          <w:rFonts w:eastAsia="Times"/>
          <w:i/>
          <w:iCs/>
          <w:color w:val="000000"/>
          <w:u w:val="single"/>
        </w:rPr>
        <w:t>New York City Building Code</w:t>
      </w:r>
      <w:r w:rsidRPr="001B7F77">
        <w:rPr>
          <w:rFonts w:eastAsia="Times"/>
          <w:color w:val="000000"/>
          <w:u w:val="single"/>
        </w:rPr>
        <w:t xml:space="preserve">. </w:t>
      </w:r>
    </w:p>
    <w:p w14:paraId="75E801D1" w14:textId="77777777" w:rsidR="001B7F77" w:rsidRPr="001B7F77" w:rsidRDefault="001B7F77" w:rsidP="001B7F77">
      <w:pPr>
        <w:widowControl w:val="0"/>
        <w:suppressAutoHyphens/>
        <w:spacing w:before="120"/>
        <w:jc w:val="center"/>
        <w:outlineLvl w:val="0"/>
        <w:rPr>
          <w:rFonts w:eastAsia="Helvetica Neue"/>
          <w:b/>
          <w:bCs/>
          <w:color w:val="000000"/>
          <w:u w:val="single"/>
        </w:rPr>
      </w:pPr>
    </w:p>
    <w:p w14:paraId="609A9E7E" w14:textId="77777777" w:rsidR="001B7F77" w:rsidRPr="001B7F77" w:rsidRDefault="001B7F77" w:rsidP="001B7F77">
      <w:pPr>
        <w:widowControl w:val="0"/>
        <w:suppressAutoHyphens/>
        <w:spacing w:before="120"/>
        <w:jc w:val="center"/>
        <w:outlineLvl w:val="0"/>
        <w:rPr>
          <w:rFonts w:eastAsia="Times"/>
          <w:b/>
          <w:bCs/>
          <w:color w:val="000000"/>
          <w:u w:val="single"/>
        </w:rPr>
      </w:pPr>
      <w:r w:rsidRPr="001B7F77">
        <w:rPr>
          <w:rFonts w:eastAsia="Helvetica Neue"/>
          <w:b/>
          <w:bCs/>
          <w:color w:val="000000"/>
          <w:u w:val="single"/>
        </w:rPr>
        <w:t xml:space="preserve">SECTION </w:t>
      </w:r>
      <w:r w:rsidRPr="001B7F77">
        <w:rPr>
          <w:rFonts w:eastAsia="Times"/>
          <w:b/>
          <w:u w:val="single"/>
        </w:rPr>
        <w:t>EBC</w:t>
      </w:r>
      <w:r w:rsidRPr="001B7F77">
        <w:rPr>
          <w:rFonts w:eastAsia="Helvetica Neue"/>
          <w:b/>
          <w:color w:val="000000"/>
          <w:u w:val="single"/>
        </w:rPr>
        <w:t xml:space="preserve"> </w:t>
      </w:r>
      <w:r w:rsidRPr="001B7F77">
        <w:rPr>
          <w:rFonts w:eastAsia="Helvetica Neue"/>
          <w:b/>
          <w:bCs/>
          <w:color w:val="000000"/>
          <w:u w:val="single"/>
        </w:rPr>
        <w:t>906</w:t>
      </w:r>
      <w:r w:rsidRPr="001B7F77">
        <w:rPr>
          <w:rFonts w:eastAsia="Helvetica Neue"/>
          <w:b/>
          <w:bCs/>
          <w:color w:val="000000"/>
          <w:u w:val="single"/>
        </w:rPr>
        <w:br/>
        <w:t>ACCESSIBILITY</w:t>
      </w:r>
    </w:p>
    <w:p w14:paraId="26BF3372" w14:textId="77777777" w:rsidR="001B7F77" w:rsidRPr="001B7F77" w:rsidRDefault="001B7F77" w:rsidP="001B7F77">
      <w:pPr>
        <w:suppressAutoHyphens/>
        <w:spacing w:before="120"/>
        <w:rPr>
          <w:rFonts w:eastAsia="Times"/>
          <w:b/>
          <w:color w:val="000000"/>
          <w:u w:val="single"/>
        </w:rPr>
      </w:pPr>
      <w:r w:rsidRPr="001B7F77">
        <w:rPr>
          <w:rFonts w:eastAsia="Times"/>
          <w:b/>
          <w:color w:val="000000"/>
          <w:u w:val="single"/>
        </w:rPr>
        <w:t xml:space="preserve">906.1 General. </w:t>
      </w:r>
      <w:r w:rsidRPr="001B7F77">
        <w:rPr>
          <w:rFonts w:eastAsia="Times"/>
          <w:color w:val="000000"/>
          <w:u w:val="single"/>
        </w:rPr>
        <w:t xml:space="preserve">Within the work area, a building, facility or element that is altered shall comply with Chapter 11 of the </w:t>
      </w:r>
      <w:r w:rsidRPr="001B7F77">
        <w:rPr>
          <w:rFonts w:eastAsia="Times"/>
          <w:i/>
          <w:iCs/>
          <w:color w:val="000000"/>
          <w:u w:val="single"/>
        </w:rPr>
        <w:t>New York City Building Code</w:t>
      </w:r>
      <w:r w:rsidRPr="001B7F77">
        <w:rPr>
          <w:rFonts w:eastAsia="Times"/>
          <w:color w:val="000000"/>
          <w:u w:val="single"/>
        </w:rPr>
        <w:t>, this section and Sections 306 and 806 of this code.</w:t>
      </w:r>
    </w:p>
    <w:p w14:paraId="102576EE" w14:textId="77777777" w:rsidR="001B7F77" w:rsidRPr="001B7F77" w:rsidRDefault="001B7F77" w:rsidP="001B7F77">
      <w:pPr>
        <w:suppressAutoHyphens/>
        <w:spacing w:before="120"/>
        <w:ind w:left="360"/>
        <w:rPr>
          <w:rFonts w:eastAsia="Times"/>
          <w:bCs/>
          <w:color w:val="000000"/>
          <w:u w:val="single"/>
        </w:rPr>
      </w:pPr>
      <w:r w:rsidRPr="001B7F77">
        <w:rPr>
          <w:rFonts w:eastAsia="Times"/>
          <w:b/>
          <w:color w:val="000000"/>
          <w:u w:val="single"/>
        </w:rPr>
        <w:t xml:space="preserve">Exception: </w:t>
      </w:r>
      <w:r w:rsidRPr="001B7F77">
        <w:rPr>
          <w:rFonts w:eastAsia="Times"/>
          <w:bCs/>
          <w:color w:val="000000"/>
          <w:u w:val="single"/>
        </w:rPr>
        <w:t xml:space="preserve">Where the commissioner grants a waiver from certain requirements of Chapter 11 of the </w:t>
      </w:r>
      <w:r w:rsidRPr="001B7F77">
        <w:rPr>
          <w:rFonts w:eastAsia="Times"/>
          <w:bCs/>
          <w:i/>
          <w:iCs/>
          <w:color w:val="000000"/>
          <w:u w:val="single"/>
        </w:rPr>
        <w:t>New York City Building Code</w:t>
      </w:r>
      <w:r w:rsidRPr="001B7F77">
        <w:rPr>
          <w:rFonts w:eastAsia="Times"/>
          <w:bCs/>
          <w:color w:val="000000"/>
          <w:u w:val="single"/>
        </w:rPr>
        <w:t xml:space="preserve"> pursuant to Section 306 of this code.</w:t>
      </w:r>
    </w:p>
    <w:p w14:paraId="08504C20" w14:textId="77777777" w:rsidR="001B7F77" w:rsidRPr="001B7F77" w:rsidRDefault="001B7F77" w:rsidP="001B7F77">
      <w:pPr>
        <w:suppressAutoHyphens/>
        <w:spacing w:before="120"/>
        <w:ind w:left="360"/>
        <w:rPr>
          <w:rFonts w:eastAsia="Times"/>
          <w:color w:val="000000"/>
          <w:u w:val="single"/>
        </w:rPr>
      </w:pPr>
      <w:r w:rsidRPr="001B7F77">
        <w:rPr>
          <w:rFonts w:eastAsia="Times"/>
          <w:b/>
          <w:color w:val="000000"/>
          <w:u w:val="single"/>
        </w:rPr>
        <w:t xml:space="preserve">906.1.1 Applicability of Chapter 11 of the </w:t>
      </w:r>
      <w:r w:rsidRPr="001B7F77">
        <w:rPr>
          <w:rFonts w:eastAsia="Times"/>
          <w:b/>
          <w:i/>
          <w:iCs/>
          <w:color w:val="000000"/>
          <w:u w:val="single"/>
        </w:rPr>
        <w:t>New York City Building Code</w:t>
      </w:r>
      <w:r w:rsidRPr="001B7F77">
        <w:rPr>
          <w:rFonts w:eastAsia="Times"/>
          <w:b/>
          <w:color w:val="000000"/>
          <w:u w:val="single"/>
        </w:rPr>
        <w:t xml:space="preserve"> to the entire building.</w:t>
      </w:r>
      <w:r w:rsidRPr="001B7F77">
        <w:rPr>
          <w:rFonts w:eastAsia="Times"/>
          <w:color w:val="000000"/>
          <w:u w:val="single"/>
        </w:rPr>
        <w:t xml:space="preserve"> Where a building is undergoing a Level 2 alteration, the entire building shall comply with the provisions of Chapter 11 of the </w:t>
      </w:r>
      <w:r w:rsidRPr="001B7F77">
        <w:rPr>
          <w:rFonts w:eastAsia="Times"/>
          <w:i/>
          <w:iCs/>
          <w:color w:val="000000"/>
          <w:u w:val="single"/>
        </w:rPr>
        <w:t>New York City Building Code</w:t>
      </w:r>
      <w:r w:rsidRPr="001B7F77">
        <w:rPr>
          <w:rFonts w:eastAsia="Times"/>
          <w:color w:val="000000"/>
          <w:u w:val="single"/>
        </w:rPr>
        <w:t xml:space="preserve"> as if hereafter erected.</w:t>
      </w:r>
    </w:p>
    <w:p w14:paraId="0B851BEE" w14:textId="77777777" w:rsidR="001B7F77" w:rsidRPr="001B7F77" w:rsidRDefault="001B7F77" w:rsidP="001B7F77">
      <w:pPr>
        <w:suppressAutoHyphens/>
        <w:spacing w:before="120"/>
        <w:ind w:left="720"/>
        <w:rPr>
          <w:rFonts w:eastAsia="Times"/>
          <w:color w:val="000000"/>
          <w:u w:val="single"/>
        </w:rPr>
      </w:pPr>
      <w:r w:rsidRPr="001B7F77">
        <w:rPr>
          <w:rFonts w:eastAsia="Times"/>
          <w:b/>
          <w:bCs/>
          <w:color w:val="000000"/>
          <w:u w:val="single"/>
        </w:rPr>
        <w:t>Exception:</w:t>
      </w:r>
      <w:r w:rsidRPr="001B7F77">
        <w:rPr>
          <w:rFonts w:eastAsia="Times"/>
          <w:color w:val="000000"/>
          <w:u w:val="single"/>
        </w:rPr>
        <w:t xml:space="preserve"> In a building of Occupancy Group R-2, where the dwelling or sleeping units included in the work area exceed more than 50 percent of the dwelling or sleeping units in the building and are under a single ownership, all common use facilities serving those dwelling or sleeping units shall comply with the requirements of Chapter 11 of the </w:t>
      </w:r>
      <w:r w:rsidRPr="001B7F77">
        <w:rPr>
          <w:rFonts w:eastAsia="Times"/>
          <w:i/>
          <w:iCs/>
          <w:color w:val="000000"/>
          <w:u w:val="single"/>
        </w:rPr>
        <w:t>New York City Building Code</w:t>
      </w:r>
      <w:r w:rsidRPr="001B7F77">
        <w:rPr>
          <w:rFonts w:eastAsia="Times"/>
          <w:color w:val="000000"/>
          <w:u w:val="single"/>
        </w:rPr>
        <w:t>.</w:t>
      </w:r>
      <w:r w:rsidRPr="001B7F77">
        <w:rPr>
          <w:color w:val="FF0000"/>
        </w:rPr>
        <w:t xml:space="preserve"> </w:t>
      </w:r>
    </w:p>
    <w:p w14:paraId="0C8D24B3" w14:textId="77777777" w:rsidR="001B7F77" w:rsidRPr="001B7F77" w:rsidRDefault="001B7F77" w:rsidP="001B7F77">
      <w:pPr>
        <w:widowControl w:val="0"/>
        <w:suppressAutoHyphens/>
        <w:spacing w:before="120"/>
        <w:jc w:val="center"/>
        <w:outlineLvl w:val="0"/>
        <w:rPr>
          <w:rFonts w:eastAsia="Helvetica Neue"/>
          <w:b/>
          <w:color w:val="000000"/>
          <w:u w:val="single"/>
        </w:rPr>
      </w:pPr>
    </w:p>
    <w:p w14:paraId="1DC59316" w14:textId="77777777" w:rsidR="001B7F77" w:rsidRPr="001B7F77" w:rsidRDefault="001B7F77" w:rsidP="001B7F77">
      <w:pPr>
        <w:widowControl w:val="0"/>
        <w:suppressAutoHyphens/>
        <w:spacing w:before="120"/>
        <w:jc w:val="center"/>
        <w:outlineLvl w:val="0"/>
        <w:rPr>
          <w:rFonts w:eastAsia="Helvetica Neue"/>
          <w:b/>
          <w:color w:val="000000"/>
          <w:u w:val="single"/>
        </w:rPr>
      </w:pPr>
      <w:r w:rsidRPr="001B7F77">
        <w:rPr>
          <w:rFonts w:eastAsia="Helvetica Neue"/>
          <w:b/>
          <w:color w:val="000000"/>
          <w:u w:val="single"/>
        </w:rPr>
        <w:t>SECTION EBC 907</w:t>
      </w:r>
      <w:r w:rsidRPr="001B7F77">
        <w:rPr>
          <w:rFonts w:eastAsia="Helvetica Neue"/>
          <w:b/>
          <w:color w:val="000000"/>
          <w:u w:val="single"/>
        </w:rPr>
        <w:br/>
      </w:r>
      <w:r w:rsidRPr="001B7F77">
        <w:rPr>
          <w:rFonts w:eastAsia="Times"/>
          <w:b/>
          <w:u w:val="single"/>
        </w:rPr>
        <w:t>STRUCTURAL</w:t>
      </w:r>
    </w:p>
    <w:p w14:paraId="3FA88557" w14:textId="77777777" w:rsidR="001B7F77" w:rsidRPr="001B7F77" w:rsidRDefault="001B7F77" w:rsidP="001B7F77">
      <w:pPr>
        <w:suppressAutoHyphens/>
        <w:spacing w:before="120"/>
        <w:rPr>
          <w:rFonts w:eastAsia="Times"/>
          <w:color w:val="000000"/>
        </w:rPr>
      </w:pPr>
      <w:bookmarkStart w:id="204" w:name="_Hlk77170161"/>
      <w:r w:rsidRPr="001B7F77">
        <w:rPr>
          <w:rFonts w:eastAsia="Times"/>
          <w:b/>
          <w:color w:val="000000"/>
          <w:u w:val="single"/>
        </w:rPr>
        <w:t>907.1 General.</w:t>
      </w:r>
      <w:r w:rsidRPr="001B7F77">
        <w:rPr>
          <w:rFonts w:eastAsia="Times"/>
          <w:color w:val="000000"/>
          <w:u w:val="single"/>
        </w:rPr>
        <w:t xml:space="preserve"> Where existing buildings are undergoing Level 2 alterations including structural alterations, the provisions of Chapter 7 shall apply.</w:t>
      </w:r>
    </w:p>
    <w:p w14:paraId="3F1025FC" w14:textId="77777777" w:rsidR="001B7F77" w:rsidRPr="001B7F77" w:rsidRDefault="001B7F77" w:rsidP="001B7F77">
      <w:pPr>
        <w:shd w:val="clear" w:color="auto" w:fill="FFFFFF"/>
        <w:suppressAutoHyphens/>
        <w:spacing w:before="120"/>
        <w:rPr>
          <w:color w:val="000000"/>
          <w:u w:val="single"/>
        </w:rPr>
      </w:pPr>
      <w:r w:rsidRPr="001B7F77">
        <w:rPr>
          <w:b/>
          <w:bCs/>
          <w:color w:val="000000"/>
          <w:u w:val="single"/>
        </w:rPr>
        <w:t>907.2. Structural condition assessment.</w:t>
      </w:r>
      <w:r w:rsidRPr="001B7F77">
        <w:rPr>
          <w:color w:val="000000"/>
          <w:u w:val="single"/>
        </w:rPr>
        <w:t xml:space="preserve"> Level 2 alterations shall require an initial structural condition assessment pursuant to Section 704.3. Where the Level 2 alteration includes a structural alteration, a detailed structural condition assessment pursuant to Section 704.4 is also required.</w:t>
      </w:r>
      <w:bookmarkEnd w:id="204"/>
      <w:r w:rsidRPr="001B7F77">
        <w:rPr>
          <w:color w:val="FF0000"/>
        </w:rPr>
        <w:t xml:space="preserve"> </w:t>
      </w:r>
    </w:p>
    <w:p w14:paraId="698E040B" w14:textId="77777777" w:rsidR="001B7F77" w:rsidRPr="001B7F77" w:rsidRDefault="001B7F77" w:rsidP="001B7F77">
      <w:pPr>
        <w:widowControl w:val="0"/>
        <w:suppressAutoHyphens/>
        <w:spacing w:before="120"/>
        <w:jc w:val="center"/>
        <w:outlineLvl w:val="0"/>
        <w:rPr>
          <w:rFonts w:eastAsia="Helvetica Neue"/>
          <w:b/>
          <w:color w:val="000000"/>
          <w:u w:val="single"/>
        </w:rPr>
      </w:pPr>
    </w:p>
    <w:p w14:paraId="083E0F7D" w14:textId="77777777" w:rsidR="001B7F77" w:rsidRPr="001B7F77" w:rsidRDefault="001B7F77" w:rsidP="001B7F77">
      <w:pPr>
        <w:widowControl w:val="0"/>
        <w:suppressAutoHyphens/>
        <w:spacing w:before="120"/>
        <w:jc w:val="center"/>
        <w:outlineLvl w:val="0"/>
        <w:rPr>
          <w:rFonts w:eastAsia="Helvetica Neue"/>
          <w:b/>
          <w:color w:val="000000"/>
          <w:u w:val="single"/>
        </w:rPr>
      </w:pPr>
      <w:r w:rsidRPr="001B7F77">
        <w:rPr>
          <w:rFonts w:eastAsia="Helvetica Neue"/>
          <w:b/>
          <w:color w:val="000000"/>
          <w:u w:val="single"/>
        </w:rPr>
        <w:t xml:space="preserve">SECTION EBC </w:t>
      </w:r>
      <w:r w:rsidRPr="001B7F77">
        <w:rPr>
          <w:rFonts w:eastAsia="Times"/>
          <w:b/>
          <w:u w:val="single"/>
        </w:rPr>
        <w:t>908</w:t>
      </w:r>
      <w:r w:rsidRPr="001B7F77">
        <w:rPr>
          <w:rFonts w:eastAsia="Helvetica Neue"/>
          <w:b/>
          <w:color w:val="000000"/>
          <w:u w:val="single"/>
        </w:rPr>
        <w:br/>
        <w:t>ELECTRICAL</w:t>
      </w:r>
    </w:p>
    <w:p w14:paraId="4FE4DAB1" w14:textId="77777777" w:rsidR="001B7F77" w:rsidRPr="001B7F77" w:rsidRDefault="001B7F77" w:rsidP="001B7F77">
      <w:pPr>
        <w:suppressAutoHyphens/>
        <w:spacing w:before="120"/>
        <w:rPr>
          <w:rFonts w:eastAsia="Times"/>
          <w:color w:val="000000"/>
        </w:rPr>
      </w:pPr>
      <w:r w:rsidRPr="001B7F77">
        <w:rPr>
          <w:rFonts w:eastAsia="Times"/>
          <w:b/>
          <w:color w:val="000000"/>
          <w:u w:val="single"/>
        </w:rPr>
        <w:t>908.1</w:t>
      </w:r>
      <w:r w:rsidRPr="001B7F77">
        <w:rPr>
          <w:rFonts w:eastAsia="Times"/>
          <w:color w:val="000000"/>
          <w:u w:val="single"/>
        </w:rPr>
        <w:t xml:space="preserve"> </w:t>
      </w:r>
      <w:r w:rsidRPr="001B7F77">
        <w:rPr>
          <w:rFonts w:eastAsia="Times"/>
          <w:b/>
          <w:color w:val="000000"/>
          <w:u w:val="single"/>
        </w:rPr>
        <w:t>General.</w:t>
      </w:r>
      <w:r w:rsidRPr="001B7F77">
        <w:rPr>
          <w:rFonts w:eastAsia="Times"/>
          <w:color w:val="000000"/>
          <w:u w:val="single"/>
        </w:rPr>
        <w:t xml:space="preserve"> All electrical equipment and wiring within work areas shall comply with all applicable requirements of the </w:t>
      </w:r>
      <w:r w:rsidRPr="001B7F77">
        <w:rPr>
          <w:rFonts w:eastAsia="Times"/>
          <w:i/>
          <w:iCs/>
          <w:color w:val="000000"/>
          <w:u w:val="single"/>
        </w:rPr>
        <w:t>New York City Electrical Code</w:t>
      </w:r>
      <w:r w:rsidRPr="001B7F77">
        <w:rPr>
          <w:rFonts w:eastAsia="Times"/>
          <w:color w:val="000000"/>
          <w:u w:val="single"/>
        </w:rPr>
        <w:t>, this section and Sections 308 and 808 of this code.</w:t>
      </w:r>
    </w:p>
    <w:p w14:paraId="19A69F8E" w14:textId="77777777" w:rsidR="001B7F77" w:rsidRPr="001B7F77" w:rsidRDefault="001B7F77" w:rsidP="001B7F77">
      <w:pPr>
        <w:suppressAutoHyphens/>
        <w:spacing w:before="120"/>
        <w:ind w:left="360"/>
        <w:rPr>
          <w:rFonts w:eastAsia="Times"/>
          <w:color w:val="000000"/>
        </w:rPr>
      </w:pPr>
      <w:r w:rsidRPr="001B7F77">
        <w:rPr>
          <w:rFonts w:eastAsia="Times"/>
          <w:b/>
          <w:color w:val="000000"/>
          <w:u w:val="single"/>
        </w:rPr>
        <w:t xml:space="preserve">908.1.1 Compliance of the entire electrical system as new construction. </w:t>
      </w:r>
      <w:r w:rsidRPr="001B7F77">
        <w:rPr>
          <w:rFonts w:eastAsia="Times"/>
          <w:color w:val="000000"/>
          <w:u w:val="single"/>
        </w:rPr>
        <w:t xml:space="preserve">Where the building is undergoing a Level 2 alteration and the work area exceeds 75 percent of the building area, the entire electrical system shall comply with the provisions of the </w:t>
      </w:r>
      <w:r w:rsidRPr="001B7F77">
        <w:rPr>
          <w:rFonts w:eastAsia="Times"/>
          <w:i/>
          <w:iCs/>
          <w:color w:val="000000"/>
          <w:u w:val="single"/>
        </w:rPr>
        <w:t>New York City Electrical Code</w:t>
      </w:r>
      <w:r w:rsidRPr="001B7F77">
        <w:rPr>
          <w:rFonts w:eastAsia="Times"/>
          <w:color w:val="000000"/>
          <w:u w:val="single"/>
        </w:rPr>
        <w:t xml:space="preserve"> for new construction.</w:t>
      </w:r>
    </w:p>
    <w:p w14:paraId="2843C99A" w14:textId="77777777" w:rsidR="001B7F77" w:rsidRPr="001B7F77" w:rsidRDefault="001B7F77" w:rsidP="001B7F77">
      <w:pPr>
        <w:widowControl w:val="0"/>
        <w:suppressAutoHyphens/>
        <w:spacing w:before="120"/>
        <w:jc w:val="center"/>
        <w:outlineLvl w:val="0"/>
        <w:rPr>
          <w:b/>
          <w:color w:val="000000"/>
          <w:u w:val="single"/>
        </w:rPr>
      </w:pPr>
      <w:bookmarkStart w:id="205" w:name="_Hlk77170570"/>
    </w:p>
    <w:p w14:paraId="4B99E991" w14:textId="77777777" w:rsidR="001B7F77" w:rsidRPr="001B7F77" w:rsidRDefault="001B7F77" w:rsidP="001B7F77">
      <w:pPr>
        <w:widowControl w:val="0"/>
        <w:suppressAutoHyphens/>
        <w:spacing w:before="120"/>
        <w:jc w:val="center"/>
        <w:outlineLvl w:val="0"/>
        <w:rPr>
          <w:b/>
          <w:color w:val="000000"/>
          <w:u w:val="single"/>
        </w:rPr>
      </w:pPr>
      <w:r w:rsidRPr="001B7F77">
        <w:rPr>
          <w:b/>
          <w:color w:val="000000"/>
          <w:u w:val="single"/>
        </w:rPr>
        <w:t xml:space="preserve">SECTION </w:t>
      </w:r>
      <w:r w:rsidRPr="001B7F77">
        <w:rPr>
          <w:rFonts w:eastAsia="Helvetica Neue"/>
          <w:b/>
          <w:color w:val="000000"/>
          <w:u w:val="single"/>
        </w:rPr>
        <w:t xml:space="preserve">EBC </w:t>
      </w:r>
      <w:r w:rsidRPr="001B7F77">
        <w:rPr>
          <w:b/>
          <w:color w:val="000000"/>
          <w:u w:val="single"/>
        </w:rPr>
        <w:t>909</w:t>
      </w:r>
      <w:r w:rsidRPr="001B7F77">
        <w:rPr>
          <w:b/>
          <w:color w:val="000000"/>
          <w:u w:val="single"/>
        </w:rPr>
        <w:br/>
      </w:r>
      <w:r w:rsidRPr="001B7F77">
        <w:rPr>
          <w:rFonts w:eastAsia="Times"/>
          <w:b/>
          <w:u w:val="single"/>
        </w:rPr>
        <w:t>MECHANICAL</w:t>
      </w:r>
    </w:p>
    <w:p w14:paraId="6AA24A99" w14:textId="77777777" w:rsidR="001B7F77" w:rsidRPr="001B7F77" w:rsidRDefault="001B7F77" w:rsidP="001B7F77">
      <w:pPr>
        <w:suppressAutoHyphens/>
        <w:spacing w:before="120"/>
        <w:rPr>
          <w:u w:val="single"/>
        </w:rPr>
      </w:pPr>
      <w:r w:rsidRPr="001B7F77">
        <w:rPr>
          <w:b/>
          <w:u w:val="single"/>
        </w:rPr>
        <w:t>909.1</w:t>
      </w:r>
      <w:r w:rsidRPr="001B7F77">
        <w:rPr>
          <w:u w:val="single"/>
        </w:rPr>
        <w:t xml:space="preserve"> </w:t>
      </w:r>
      <w:r w:rsidRPr="001B7F77">
        <w:rPr>
          <w:b/>
          <w:u w:val="single"/>
        </w:rPr>
        <w:t>General</w:t>
      </w:r>
      <w:r w:rsidRPr="001B7F77">
        <w:rPr>
          <w:u w:val="single"/>
        </w:rPr>
        <w:t>. Mechanical elements and systems within work areas in buildings undergoing a Level 2 alteration shall comply with Section 309, Section 809 and this section.</w:t>
      </w:r>
    </w:p>
    <w:p w14:paraId="6F14B123" w14:textId="77777777" w:rsidR="001B7F77" w:rsidRPr="001B7F77" w:rsidRDefault="001B7F77" w:rsidP="001B7F77">
      <w:pPr>
        <w:suppressAutoHyphens/>
        <w:spacing w:before="120"/>
        <w:rPr>
          <w:rFonts w:eastAsia="Calibri"/>
        </w:rPr>
      </w:pPr>
      <w:r w:rsidRPr="001B7F77">
        <w:rPr>
          <w:rFonts w:eastAsia="Calibri"/>
          <w:b/>
          <w:u w:val="single"/>
        </w:rPr>
        <w:t xml:space="preserve">909.2 Applicability of </w:t>
      </w:r>
      <w:r w:rsidRPr="001B7F77">
        <w:rPr>
          <w:rFonts w:eastAsia="Calibri"/>
          <w:b/>
          <w:i/>
          <w:iCs/>
          <w:u w:val="single"/>
        </w:rPr>
        <w:t>New York City Mechanical Code</w:t>
      </w:r>
      <w:r w:rsidRPr="001B7F77">
        <w:rPr>
          <w:rFonts w:eastAsia="Calibri"/>
          <w:u w:val="single"/>
        </w:rPr>
        <w:t xml:space="preserve">. Where an existing building is undergoing a Level 2 alteration, all existing mechanical systems within the work area, including components, equipment and appliances, shall comply with </w:t>
      </w:r>
      <w:r w:rsidRPr="001B7F77">
        <w:rPr>
          <w:rFonts w:eastAsia="Calibri"/>
          <w:i/>
          <w:iCs/>
          <w:u w:val="single"/>
        </w:rPr>
        <w:t>the New York City Mechanical Code</w:t>
      </w:r>
      <w:r w:rsidRPr="001B7F77">
        <w:rPr>
          <w:rFonts w:eastAsia="Calibri"/>
          <w:u w:val="single"/>
        </w:rPr>
        <w:t>, this section and Section 809.2 of this code.</w:t>
      </w:r>
    </w:p>
    <w:p w14:paraId="07DC7897" w14:textId="77777777" w:rsidR="001B7F77" w:rsidRPr="001B7F77" w:rsidRDefault="001B7F77" w:rsidP="001B7F77">
      <w:pPr>
        <w:suppressAutoHyphens/>
        <w:spacing w:before="120"/>
        <w:ind w:left="360"/>
        <w:rPr>
          <w:rFonts w:eastAsia="Calibri"/>
        </w:rPr>
      </w:pPr>
      <w:r w:rsidRPr="001B7F77">
        <w:rPr>
          <w:rFonts w:eastAsia="Calibri"/>
          <w:b/>
          <w:bCs/>
          <w:u w:val="single"/>
        </w:rPr>
        <w:t>909.2.1 Ventilation</w:t>
      </w:r>
      <w:r w:rsidRPr="001B7F77">
        <w:rPr>
          <w:rFonts w:eastAsia="Calibri"/>
          <w:u w:val="single"/>
        </w:rPr>
        <w:t xml:space="preserve">. Ventilation systems serving work areas of a Level 2 alteration shall be newly installed or altered to comply with requirements of Chapter 4 of the </w:t>
      </w:r>
      <w:r w:rsidRPr="001B7F77">
        <w:rPr>
          <w:rFonts w:eastAsia="Calibri"/>
          <w:i/>
          <w:iCs/>
          <w:u w:val="single"/>
        </w:rPr>
        <w:t>New York City Mechanical Code</w:t>
      </w:r>
      <w:r w:rsidRPr="001B7F77">
        <w:rPr>
          <w:rFonts w:eastAsia="Calibri"/>
          <w:u w:val="single"/>
        </w:rPr>
        <w:t xml:space="preserve"> for new construction.</w:t>
      </w:r>
    </w:p>
    <w:p w14:paraId="300AE97C" w14:textId="77777777" w:rsidR="001B7F77" w:rsidRPr="001B7F77" w:rsidRDefault="001B7F77" w:rsidP="001B7F77">
      <w:pPr>
        <w:suppressAutoHyphens/>
        <w:spacing w:before="120"/>
        <w:ind w:left="360"/>
      </w:pPr>
      <w:r w:rsidRPr="001B7F77">
        <w:rPr>
          <w:rFonts w:eastAsia="Calibri"/>
          <w:b/>
          <w:bCs/>
          <w:u w:val="single"/>
        </w:rPr>
        <w:t>909.2.2 Exhaust systems</w:t>
      </w:r>
      <w:r w:rsidRPr="001B7F77">
        <w:rPr>
          <w:rFonts w:eastAsia="Calibri"/>
          <w:u w:val="single"/>
        </w:rPr>
        <w:t xml:space="preserve">. Exhaust systems serving work areas of a Level 2 alteration shall be newly installed or altered to comply with requirements of Chapter 5 of the </w:t>
      </w:r>
      <w:r w:rsidRPr="001B7F77">
        <w:rPr>
          <w:rFonts w:eastAsia="Calibri"/>
          <w:i/>
          <w:iCs/>
          <w:u w:val="single"/>
        </w:rPr>
        <w:t xml:space="preserve">New York City Mechanical Code </w:t>
      </w:r>
      <w:r w:rsidRPr="001B7F77">
        <w:rPr>
          <w:rFonts w:eastAsia="Calibri"/>
          <w:u w:val="single"/>
        </w:rPr>
        <w:t>for new construction.</w:t>
      </w:r>
    </w:p>
    <w:p w14:paraId="2DAC0F77" w14:textId="77777777" w:rsidR="001B7F77" w:rsidRPr="001B7F77" w:rsidRDefault="001B7F77" w:rsidP="001B7F77">
      <w:pPr>
        <w:suppressAutoHyphens/>
        <w:spacing w:before="120"/>
        <w:ind w:left="360"/>
        <w:rPr>
          <w:rFonts w:eastAsia="Calibri"/>
          <w:u w:val="single"/>
        </w:rPr>
      </w:pPr>
      <w:r w:rsidRPr="001B7F77">
        <w:rPr>
          <w:rFonts w:eastAsia="Calibri"/>
          <w:b/>
          <w:bCs/>
          <w:u w:val="single"/>
        </w:rPr>
        <w:t>909.2.3 Compliance of ventilation, exhaust, and duct systems as new construction</w:t>
      </w:r>
      <w:r w:rsidRPr="001B7F77">
        <w:rPr>
          <w:rFonts w:eastAsia="Calibri"/>
          <w:u w:val="single"/>
        </w:rPr>
        <w:t xml:space="preserve">. Where the building is undergoing a Level 2 alteration and the work area exceeds 75 percent of the building floor area, all ventilation, exhaust and duct systems shall be newly installed or altered to comply with the provisions of Chapters 4, 5 and 6 of the </w:t>
      </w:r>
      <w:r w:rsidRPr="001B7F77">
        <w:rPr>
          <w:rFonts w:eastAsia="Calibri"/>
          <w:i/>
          <w:iCs/>
          <w:u w:val="single"/>
        </w:rPr>
        <w:t>New York City Mechanical Code</w:t>
      </w:r>
      <w:r w:rsidRPr="001B7F77">
        <w:rPr>
          <w:rFonts w:eastAsia="Calibri"/>
          <w:u w:val="single"/>
        </w:rPr>
        <w:t xml:space="preserve"> for new construction.</w:t>
      </w:r>
    </w:p>
    <w:p w14:paraId="3CDA24C4" w14:textId="77777777" w:rsidR="001B7F77" w:rsidRPr="001B7F77" w:rsidRDefault="001B7F77" w:rsidP="001B7F77">
      <w:pPr>
        <w:widowControl w:val="0"/>
        <w:suppressAutoHyphens/>
        <w:spacing w:before="120"/>
        <w:jc w:val="center"/>
        <w:outlineLvl w:val="0"/>
        <w:rPr>
          <w:b/>
          <w:color w:val="000000"/>
          <w:u w:val="single"/>
        </w:rPr>
      </w:pPr>
    </w:p>
    <w:p w14:paraId="17C1598F" w14:textId="77777777" w:rsidR="001B7F77" w:rsidRPr="001B7F77" w:rsidRDefault="001B7F77" w:rsidP="001B7F77">
      <w:pPr>
        <w:widowControl w:val="0"/>
        <w:suppressAutoHyphens/>
        <w:spacing w:before="120"/>
        <w:jc w:val="center"/>
        <w:outlineLvl w:val="0"/>
        <w:rPr>
          <w:b/>
          <w:color w:val="000000"/>
          <w:u w:val="single"/>
        </w:rPr>
      </w:pPr>
      <w:r w:rsidRPr="001B7F77">
        <w:rPr>
          <w:b/>
          <w:color w:val="000000"/>
          <w:u w:val="single"/>
        </w:rPr>
        <w:t xml:space="preserve">SECTION </w:t>
      </w:r>
      <w:r w:rsidRPr="001B7F77">
        <w:rPr>
          <w:rFonts w:eastAsia="Times"/>
          <w:b/>
          <w:u w:val="single"/>
        </w:rPr>
        <w:t>EBC</w:t>
      </w:r>
      <w:r w:rsidRPr="001B7F77">
        <w:rPr>
          <w:rFonts w:eastAsia="Helvetica Neue"/>
          <w:b/>
          <w:color w:val="000000"/>
          <w:u w:val="single"/>
        </w:rPr>
        <w:t xml:space="preserve"> </w:t>
      </w:r>
      <w:r w:rsidRPr="001B7F77">
        <w:rPr>
          <w:b/>
          <w:color w:val="000000"/>
          <w:u w:val="single"/>
        </w:rPr>
        <w:t>910</w:t>
      </w:r>
      <w:r w:rsidRPr="001B7F77">
        <w:rPr>
          <w:b/>
          <w:color w:val="000000"/>
          <w:u w:val="single"/>
        </w:rPr>
        <w:br/>
      </w:r>
      <w:bookmarkEnd w:id="205"/>
      <w:r w:rsidRPr="001B7F77">
        <w:rPr>
          <w:b/>
          <w:color w:val="000000"/>
          <w:u w:val="single"/>
        </w:rPr>
        <w:t>PLUMBING</w:t>
      </w:r>
    </w:p>
    <w:p w14:paraId="6F957B11" w14:textId="77777777" w:rsidR="001B7F77" w:rsidRPr="001B7F77" w:rsidRDefault="001B7F77" w:rsidP="001B7F77">
      <w:pPr>
        <w:suppressAutoHyphens/>
        <w:spacing w:before="120"/>
      </w:pPr>
      <w:r w:rsidRPr="001B7F77">
        <w:rPr>
          <w:b/>
          <w:u w:val="single"/>
        </w:rPr>
        <w:t>910.1</w:t>
      </w:r>
      <w:r w:rsidRPr="001B7F77">
        <w:rPr>
          <w:u w:val="single"/>
        </w:rPr>
        <w:t xml:space="preserve"> </w:t>
      </w:r>
      <w:r w:rsidRPr="001B7F77">
        <w:rPr>
          <w:b/>
          <w:u w:val="single"/>
        </w:rPr>
        <w:t>General</w:t>
      </w:r>
      <w:r w:rsidRPr="001B7F77">
        <w:rPr>
          <w:u w:val="single"/>
        </w:rPr>
        <w:t>. Plumbing elements and systems within work areas in buildings undergoing a Level 2 alteration shall comply with Section 310, Section 810 and this section.</w:t>
      </w:r>
    </w:p>
    <w:p w14:paraId="549F3D40" w14:textId="77777777" w:rsidR="001B7F77" w:rsidRPr="001B7F77" w:rsidRDefault="001B7F77" w:rsidP="001B7F77">
      <w:pPr>
        <w:suppressAutoHyphens/>
        <w:spacing w:before="120"/>
        <w:ind w:left="360"/>
        <w:rPr>
          <w:rFonts w:eastAsia="Times"/>
          <w:bCs/>
          <w:u w:val="single"/>
        </w:rPr>
      </w:pPr>
      <w:r w:rsidRPr="001B7F77">
        <w:rPr>
          <w:rFonts w:eastAsia="Times"/>
          <w:b/>
          <w:color w:val="000000"/>
          <w:u w:val="single"/>
        </w:rPr>
        <w:t xml:space="preserve">910.1.1 Compliance of the entire plumbing system as new construction. </w:t>
      </w:r>
      <w:r w:rsidRPr="001B7F77">
        <w:rPr>
          <w:rFonts w:eastAsia="Times"/>
          <w:bCs/>
          <w:color w:val="000000"/>
          <w:u w:val="single"/>
        </w:rPr>
        <w:t xml:space="preserve">Where the building is undergoing a Level 2 alteration and the work area exceeds 75 percent of the building area, the entire plumbing system shall comply with the provisions of the </w:t>
      </w:r>
      <w:r w:rsidRPr="001B7F77">
        <w:rPr>
          <w:rFonts w:eastAsia="Times"/>
          <w:bCs/>
          <w:i/>
          <w:iCs/>
          <w:color w:val="000000"/>
          <w:u w:val="single"/>
        </w:rPr>
        <w:t>New York City Plumbing Code</w:t>
      </w:r>
      <w:r w:rsidRPr="001B7F77">
        <w:rPr>
          <w:rFonts w:eastAsia="Times"/>
          <w:bCs/>
          <w:color w:val="000000"/>
          <w:u w:val="single"/>
        </w:rPr>
        <w:t xml:space="preserve"> for new construction.</w:t>
      </w:r>
    </w:p>
    <w:p w14:paraId="7BFDA6AC" w14:textId="77777777" w:rsidR="001B7F77" w:rsidRPr="001B7F77" w:rsidRDefault="001B7F77" w:rsidP="001B7F77">
      <w:pPr>
        <w:suppressAutoHyphens/>
        <w:spacing w:before="120"/>
        <w:ind w:left="720"/>
        <w:rPr>
          <w:rFonts w:eastAsia="Times"/>
          <w:color w:val="000000"/>
          <w:u w:val="single"/>
        </w:rPr>
      </w:pPr>
      <w:r w:rsidRPr="001B7F77">
        <w:rPr>
          <w:rFonts w:eastAsia="Times"/>
          <w:b/>
          <w:u w:val="single"/>
        </w:rPr>
        <w:t>Exception.</w:t>
      </w:r>
      <w:r w:rsidRPr="001B7F77">
        <w:rPr>
          <w:rFonts w:eastAsia="Times"/>
          <w:u w:val="single"/>
        </w:rPr>
        <w:t xml:space="preserve"> Plumbing system components that are found to be in code-compliant condition upon inspection and certification by a licensed master plumber shall be permitted to remain.</w:t>
      </w:r>
    </w:p>
    <w:p w14:paraId="4CF0204D" w14:textId="77777777" w:rsidR="001B7F77" w:rsidRPr="001B7F77" w:rsidRDefault="001B7F77" w:rsidP="001B7F77">
      <w:pPr>
        <w:widowControl w:val="0"/>
        <w:suppressAutoHyphens/>
        <w:spacing w:before="120"/>
        <w:jc w:val="center"/>
        <w:outlineLvl w:val="0"/>
        <w:rPr>
          <w:b/>
          <w:color w:val="000000"/>
          <w:u w:val="single"/>
        </w:rPr>
      </w:pPr>
    </w:p>
    <w:p w14:paraId="331401B7" w14:textId="77777777" w:rsidR="001B7F77" w:rsidRPr="001B7F77" w:rsidRDefault="001B7F77" w:rsidP="001B7F77">
      <w:pPr>
        <w:widowControl w:val="0"/>
        <w:suppressAutoHyphens/>
        <w:spacing w:before="120"/>
        <w:jc w:val="center"/>
        <w:outlineLvl w:val="0"/>
        <w:rPr>
          <w:u w:val="single"/>
        </w:rPr>
      </w:pPr>
      <w:r w:rsidRPr="001B7F77">
        <w:rPr>
          <w:b/>
          <w:color w:val="000000"/>
          <w:u w:val="single"/>
        </w:rPr>
        <w:t xml:space="preserve">SECTION </w:t>
      </w:r>
      <w:r w:rsidRPr="001B7F77">
        <w:rPr>
          <w:rFonts w:eastAsia="Times"/>
          <w:b/>
          <w:u w:val="single"/>
        </w:rPr>
        <w:t>EBC</w:t>
      </w:r>
      <w:r w:rsidRPr="001B7F77">
        <w:rPr>
          <w:rFonts w:eastAsia="Helvetica Neue"/>
          <w:b/>
          <w:color w:val="000000"/>
          <w:u w:val="single"/>
        </w:rPr>
        <w:t xml:space="preserve"> </w:t>
      </w:r>
      <w:r w:rsidRPr="001B7F77">
        <w:rPr>
          <w:b/>
          <w:color w:val="000000"/>
          <w:u w:val="single"/>
        </w:rPr>
        <w:t>911</w:t>
      </w:r>
      <w:r w:rsidRPr="001B7F77">
        <w:rPr>
          <w:b/>
          <w:color w:val="000000"/>
          <w:u w:val="single"/>
        </w:rPr>
        <w:br/>
        <w:t>FUEL GAS</w:t>
      </w:r>
    </w:p>
    <w:p w14:paraId="219297DC" w14:textId="77777777" w:rsidR="001B7F77" w:rsidRPr="001B7F77" w:rsidRDefault="001B7F77" w:rsidP="001B7F77">
      <w:pPr>
        <w:suppressAutoHyphens/>
        <w:spacing w:before="120"/>
        <w:rPr>
          <w:u w:val="single"/>
        </w:rPr>
      </w:pPr>
      <w:r w:rsidRPr="001B7F77">
        <w:rPr>
          <w:b/>
          <w:u w:val="single"/>
        </w:rPr>
        <w:t>911.1</w:t>
      </w:r>
      <w:r w:rsidRPr="001B7F77">
        <w:rPr>
          <w:u w:val="single"/>
        </w:rPr>
        <w:t xml:space="preserve"> </w:t>
      </w:r>
      <w:r w:rsidRPr="001B7F77">
        <w:rPr>
          <w:b/>
          <w:u w:val="single"/>
        </w:rPr>
        <w:t>General</w:t>
      </w:r>
      <w:r w:rsidRPr="001B7F77">
        <w:rPr>
          <w:u w:val="single"/>
        </w:rPr>
        <w:t>. Fuel gas elements and systems within work areas in buildings undergoing a Level 2 alteration shall comply with Section 311, Section 811 and this section.</w:t>
      </w:r>
    </w:p>
    <w:p w14:paraId="0FD88640" w14:textId="77777777" w:rsidR="001B7F77" w:rsidRPr="001B7F77" w:rsidRDefault="001B7F77" w:rsidP="001B7F77">
      <w:pPr>
        <w:suppressAutoHyphens/>
        <w:spacing w:before="120"/>
        <w:ind w:left="360"/>
        <w:rPr>
          <w:rFonts w:eastAsia="Times"/>
          <w:bCs/>
          <w:color w:val="000000"/>
          <w:u w:val="single"/>
        </w:rPr>
      </w:pPr>
      <w:r w:rsidRPr="001B7F77">
        <w:rPr>
          <w:rFonts w:eastAsia="Times"/>
          <w:b/>
          <w:color w:val="000000"/>
          <w:u w:val="single"/>
        </w:rPr>
        <w:t>91</w:t>
      </w:r>
      <w:r w:rsidRPr="001B7F77">
        <w:rPr>
          <w:rFonts w:eastAsia="Times"/>
          <w:b/>
          <w:u w:val="single"/>
        </w:rPr>
        <w:t>1</w:t>
      </w:r>
      <w:r w:rsidRPr="001B7F77">
        <w:rPr>
          <w:rFonts w:eastAsia="Times"/>
          <w:b/>
          <w:color w:val="000000"/>
          <w:u w:val="single"/>
        </w:rPr>
        <w:t xml:space="preserve">.1.1 Compliance of entire fuel gas system as new construction. </w:t>
      </w:r>
      <w:r w:rsidRPr="001B7F77">
        <w:rPr>
          <w:rFonts w:eastAsia="Times"/>
          <w:bCs/>
          <w:color w:val="000000"/>
          <w:u w:val="single"/>
        </w:rPr>
        <w:t xml:space="preserve">Where the building is undergoing a Level 2 alteration and the work area exceeds 75 percent of the building floor area, the entire fuel gas system shall comply with the provisions of the </w:t>
      </w:r>
      <w:r w:rsidRPr="001B7F77">
        <w:rPr>
          <w:rFonts w:eastAsia="Times"/>
          <w:bCs/>
          <w:i/>
          <w:iCs/>
          <w:color w:val="000000"/>
          <w:u w:val="single"/>
        </w:rPr>
        <w:t>New York City Fuel Gas Code</w:t>
      </w:r>
      <w:r w:rsidRPr="001B7F77">
        <w:rPr>
          <w:rFonts w:eastAsia="Times"/>
          <w:bCs/>
          <w:color w:val="000000"/>
          <w:u w:val="single"/>
        </w:rPr>
        <w:t xml:space="preserve"> for new construction.</w:t>
      </w:r>
    </w:p>
    <w:p w14:paraId="00A308FD" w14:textId="77777777" w:rsidR="001B7F77" w:rsidRPr="001B7F77" w:rsidRDefault="001B7F77" w:rsidP="001B7F77">
      <w:pPr>
        <w:suppressAutoHyphens/>
        <w:spacing w:before="120"/>
        <w:ind w:left="720"/>
        <w:rPr>
          <w:rFonts w:eastAsia="Times"/>
          <w:u w:val="single"/>
        </w:rPr>
      </w:pPr>
      <w:r w:rsidRPr="001B7F77">
        <w:rPr>
          <w:rFonts w:eastAsia="Times"/>
          <w:b/>
          <w:bCs/>
          <w:color w:val="000000"/>
          <w:u w:val="single"/>
        </w:rPr>
        <w:t>Exception</w:t>
      </w:r>
      <w:r w:rsidRPr="001B7F77">
        <w:rPr>
          <w:rFonts w:eastAsia="Times"/>
          <w:color w:val="000000"/>
          <w:u w:val="single"/>
        </w:rPr>
        <w:t>. Fuel gas system components that are found to be in code</w:t>
      </w:r>
      <w:r w:rsidRPr="001B7F77">
        <w:rPr>
          <w:rFonts w:eastAsia="Times"/>
          <w:u w:val="single"/>
        </w:rPr>
        <w:t>-</w:t>
      </w:r>
      <w:r w:rsidRPr="001B7F77">
        <w:rPr>
          <w:rFonts w:eastAsia="Times"/>
          <w:color w:val="000000"/>
          <w:u w:val="single"/>
        </w:rPr>
        <w:t xml:space="preserve">compliant condition </w:t>
      </w:r>
      <w:r w:rsidRPr="001B7F77">
        <w:rPr>
          <w:rFonts w:eastAsia="Times"/>
          <w:u w:val="single"/>
        </w:rPr>
        <w:t xml:space="preserve">upon inspection and certification by a licensed master plumber </w:t>
      </w:r>
      <w:r w:rsidRPr="001B7F77">
        <w:rPr>
          <w:rFonts w:eastAsia="Times"/>
          <w:color w:val="000000"/>
          <w:u w:val="single"/>
        </w:rPr>
        <w:t>shall be permitted to remain.</w:t>
      </w:r>
    </w:p>
    <w:p w14:paraId="099C8D2F" w14:textId="77777777" w:rsidR="001B7F77" w:rsidRPr="001B7F77" w:rsidRDefault="001B7F77" w:rsidP="001B7F77">
      <w:pPr>
        <w:widowControl w:val="0"/>
        <w:suppressAutoHyphens/>
        <w:spacing w:before="120"/>
        <w:jc w:val="center"/>
        <w:outlineLvl w:val="0"/>
        <w:rPr>
          <w:b/>
          <w:color w:val="000000"/>
          <w:u w:val="single"/>
        </w:rPr>
      </w:pPr>
    </w:p>
    <w:p w14:paraId="55E0EB30" w14:textId="77777777" w:rsidR="001B7F77" w:rsidRPr="001B7F77" w:rsidRDefault="001B7F77" w:rsidP="001B7F77">
      <w:pPr>
        <w:widowControl w:val="0"/>
        <w:suppressAutoHyphens/>
        <w:spacing w:before="120"/>
        <w:jc w:val="center"/>
        <w:outlineLvl w:val="0"/>
        <w:rPr>
          <w:b/>
          <w:u w:val="single"/>
        </w:rPr>
      </w:pPr>
      <w:r w:rsidRPr="001B7F77">
        <w:rPr>
          <w:b/>
          <w:color w:val="000000"/>
          <w:u w:val="single"/>
        </w:rPr>
        <w:t xml:space="preserve">SECTION </w:t>
      </w:r>
      <w:r w:rsidRPr="001B7F77">
        <w:rPr>
          <w:rFonts w:eastAsia="Helvetica Neue"/>
          <w:b/>
          <w:color w:val="000000"/>
          <w:u w:val="single"/>
        </w:rPr>
        <w:t xml:space="preserve">EBC </w:t>
      </w:r>
      <w:r w:rsidRPr="001B7F77">
        <w:rPr>
          <w:b/>
          <w:color w:val="000000"/>
          <w:u w:val="single"/>
        </w:rPr>
        <w:t>912</w:t>
      </w:r>
      <w:r w:rsidRPr="001B7F77">
        <w:rPr>
          <w:b/>
          <w:color w:val="000000"/>
          <w:u w:val="single"/>
        </w:rPr>
        <w:br/>
      </w:r>
      <w:r w:rsidRPr="001B7F77">
        <w:rPr>
          <w:rFonts w:eastAsia="Helvetica Neue"/>
          <w:b/>
          <w:color w:val="000000"/>
          <w:u w:val="single"/>
        </w:rPr>
        <w:t xml:space="preserve">ENERGY </w:t>
      </w:r>
      <w:r w:rsidRPr="001B7F77">
        <w:rPr>
          <w:rFonts w:eastAsia="Times"/>
          <w:b/>
          <w:u w:val="single"/>
        </w:rPr>
        <w:t>CONSERVATION</w:t>
      </w:r>
    </w:p>
    <w:p w14:paraId="30AB6EBC" w14:textId="77777777" w:rsidR="001B7F77" w:rsidRPr="001B7F77" w:rsidRDefault="001B7F77" w:rsidP="001B7F77">
      <w:pPr>
        <w:tabs>
          <w:tab w:val="left" w:pos="5913"/>
          <w:tab w:val="left" w:pos="6138"/>
        </w:tabs>
        <w:suppressAutoHyphens/>
        <w:spacing w:before="120"/>
        <w:rPr>
          <w:rFonts w:eastAsia="Times"/>
          <w:color w:val="000000"/>
        </w:rPr>
      </w:pPr>
      <w:r w:rsidRPr="001B7F77">
        <w:rPr>
          <w:rFonts w:eastAsia="Times"/>
          <w:b/>
          <w:color w:val="000000"/>
          <w:u w:val="single"/>
        </w:rPr>
        <w:t>91</w:t>
      </w:r>
      <w:r w:rsidRPr="001B7F77">
        <w:rPr>
          <w:rFonts w:eastAsia="Times"/>
          <w:b/>
          <w:u w:val="single"/>
        </w:rPr>
        <w:t>2</w:t>
      </w:r>
      <w:r w:rsidRPr="001B7F77">
        <w:rPr>
          <w:rFonts w:eastAsia="Times"/>
          <w:b/>
          <w:color w:val="000000"/>
          <w:u w:val="single"/>
        </w:rPr>
        <w:t xml:space="preserve">.1 Minimum requirements. </w:t>
      </w:r>
      <w:r w:rsidRPr="001B7F77">
        <w:rPr>
          <w:rFonts w:eastAsia="Times"/>
          <w:color w:val="000000"/>
          <w:u w:val="single"/>
        </w:rPr>
        <w:t xml:space="preserve">Level 2 alterations to existing buildings or structures are permitted without requiring the entire building or structure to comply with the energy requirements of the </w:t>
      </w:r>
      <w:r w:rsidRPr="001B7F77">
        <w:rPr>
          <w:rFonts w:eastAsia="Times"/>
          <w:i/>
          <w:iCs/>
          <w:color w:val="000000"/>
          <w:u w:val="single"/>
        </w:rPr>
        <w:t xml:space="preserve">New York City Energy Conservation </w:t>
      </w:r>
      <w:r w:rsidRPr="001B7F77">
        <w:rPr>
          <w:rFonts w:eastAsia="Times"/>
          <w:i/>
          <w:iCs/>
          <w:u w:val="single"/>
        </w:rPr>
        <w:t>Code.</w:t>
      </w:r>
      <w:r w:rsidRPr="001B7F77">
        <w:rPr>
          <w:rFonts w:eastAsia="Times"/>
          <w:u w:val="single"/>
        </w:rPr>
        <w:t xml:space="preserve"> Level 2 alterations shall conform to </w:t>
      </w:r>
      <w:r w:rsidRPr="001B7F77">
        <w:rPr>
          <w:rFonts w:eastAsia="Times"/>
          <w:color w:val="000000"/>
          <w:u w:val="single"/>
        </w:rPr>
        <w:t xml:space="preserve">the energy requirements of Chapters R5 or C5 of the </w:t>
      </w:r>
      <w:r w:rsidRPr="001B7F77">
        <w:rPr>
          <w:rFonts w:eastAsia="Times"/>
          <w:i/>
          <w:iCs/>
          <w:color w:val="000000"/>
          <w:u w:val="single"/>
        </w:rPr>
        <w:t>New York City Energy Conservation Code</w:t>
      </w:r>
      <w:r w:rsidRPr="001B7F77">
        <w:rPr>
          <w:rFonts w:eastAsia="Times"/>
          <w:color w:val="000000"/>
          <w:u w:val="single"/>
        </w:rPr>
        <w:t>, as applicable.</w:t>
      </w:r>
    </w:p>
    <w:p w14:paraId="3BC3FFCF" w14:textId="77777777" w:rsidR="001B7F77" w:rsidRPr="001B7F77" w:rsidRDefault="001B7F77" w:rsidP="001B7F77">
      <w:pPr>
        <w:jc w:val="left"/>
      </w:pPr>
      <w:r w:rsidRPr="001B7F77">
        <w:br w:type="page"/>
      </w:r>
    </w:p>
    <w:p w14:paraId="6939760C" w14:textId="77777777" w:rsidR="001B7F77" w:rsidRPr="001B7F77" w:rsidRDefault="001B7F77" w:rsidP="001B7F77">
      <w:pPr>
        <w:widowControl w:val="0"/>
        <w:suppressAutoHyphens/>
        <w:spacing w:before="120"/>
        <w:jc w:val="center"/>
        <w:outlineLvl w:val="0"/>
        <w:rPr>
          <w:rFonts w:eastAsia="Times"/>
          <w:b/>
          <w:color w:val="000000"/>
          <w:u w:val="single"/>
        </w:rPr>
      </w:pPr>
      <w:r w:rsidRPr="001B7F77">
        <w:rPr>
          <w:b/>
          <w:color w:val="000000"/>
          <w:u w:val="single"/>
        </w:rPr>
        <w:t>CHAPTER</w:t>
      </w:r>
      <w:r w:rsidRPr="001B7F77">
        <w:rPr>
          <w:rFonts w:eastAsia="Times"/>
          <w:b/>
          <w:color w:val="000000"/>
          <w:u w:val="single"/>
        </w:rPr>
        <w:t xml:space="preserve"> 10</w:t>
      </w:r>
      <w:r w:rsidRPr="001B7F77">
        <w:rPr>
          <w:rFonts w:eastAsia="Times"/>
          <w:b/>
          <w:color w:val="000000"/>
          <w:u w:val="single"/>
        </w:rPr>
        <w:br/>
        <w:t>CHANGE OF OCCUPANCY</w:t>
      </w:r>
    </w:p>
    <w:p w14:paraId="5C729FFF" w14:textId="77777777" w:rsidR="001B7F77" w:rsidRPr="001B7F77" w:rsidRDefault="001B7F77" w:rsidP="001B7F77">
      <w:pPr>
        <w:widowControl w:val="0"/>
        <w:suppressAutoHyphens/>
        <w:spacing w:before="120"/>
        <w:jc w:val="center"/>
        <w:outlineLvl w:val="0"/>
        <w:rPr>
          <w:rFonts w:eastAsia="Helvetica Neue"/>
          <w:b/>
          <w:color w:val="000000"/>
          <w:u w:val="single"/>
        </w:rPr>
      </w:pPr>
      <w:r w:rsidRPr="001B7F77">
        <w:rPr>
          <w:b/>
          <w:color w:val="000000"/>
          <w:u w:val="single"/>
        </w:rPr>
        <w:t>SECTION</w:t>
      </w:r>
      <w:r w:rsidRPr="001B7F77">
        <w:rPr>
          <w:rFonts w:eastAsia="Helvetica Neue"/>
          <w:b/>
          <w:color w:val="000000"/>
          <w:u w:val="single"/>
        </w:rPr>
        <w:t xml:space="preserve"> EBC 1001</w:t>
      </w:r>
      <w:r w:rsidRPr="001B7F77">
        <w:rPr>
          <w:rFonts w:eastAsia="Helvetica Neue"/>
          <w:b/>
          <w:color w:val="000000"/>
          <w:u w:val="single"/>
        </w:rPr>
        <w:br/>
        <w:t>GENERAL</w:t>
      </w:r>
    </w:p>
    <w:p w14:paraId="3470DA38" w14:textId="77777777" w:rsidR="001B7F77" w:rsidRPr="001B7F77" w:rsidRDefault="001B7F77" w:rsidP="001B7F77">
      <w:pPr>
        <w:widowControl w:val="0"/>
        <w:suppressAutoHyphens/>
        <w:spacing w:before="120"/>
        <w:rPr>
          <w:rFonts w:eastAsia="Times"/>
          <w:color w:val="000000"/>
        </w:rPr>
      </w:pPr>
      <w:r w:rsidRPr="001B7F77">
        <w:rPr>
          <w:rFonts w:eastAsia="Times"/>
          <w:b/>
          <w:color w:val="000000"/>
          <w:u w:val="single"/>
        </w:rPr>
        <w:t>1001.1 Scope.</w:t>
      </w:r>
      <w:r w:rsidRPr="001B7F77">
        <w:rPr>
          <w:rFonts w:eastAsia="Times"/>
          <w:color w:val="000000"/>
          <w:u w:val="single"/>
        </w:rPr>
        <w:t xml:space="preserve"> The provisions of this chapter shall apply where a change of occupancy occurs, as defined in Section 202, and as described in this chapter.</w:t>
      </w:r>
    </w:p>
    <w:p w14:paraId="6870755A" w14:textId="77777777" w:rsidR="001B7F77" w:rsidRPr="001B7F77" w:rsidRDefault="001B7F77" w:rsidP="001B7F77">
      <w:pPr>
        <w:widowControl w:val="0"/>
        <w:suppressAutoHyphens/>
        <w:spacing w:before="120"/>
        <w:rPr>
          <w:rFonts w:eastAsia="Times"/>
          <w:color w:val="000000"/>
          <w:szCs w:val="24"/>
          <w:vertAlign w:val="superscript"/>
        </w:rPr>
      </w:pPr>
      <w:r w:rsidRPr="001B7F77">
        <w:rPr>
          <w:rFonts w:eastAsia="Times"/>
          <w:b/>
          <w:bCs/>
          <w:u w:val="single"/>
        </w:rPr>
        <w:t>1001.2 Certificate of occupancy.</w:t>
      </w:r>
      <w:r w:rsidRPr="001B7F77">
        <w:rPr>
          <w:rFonts w:eastAsia="Times"/>
          <w:u w:val="single"/>
        </w:rPr>
        <w:t xml:space="preserve"> A </w:t>
      </w:r>
      <w:r w:rsidRPr="001B7F77">
        <w:rPr>
          <w:rFonts w:eastAsia="Times"/>
          <w:szCs w:val="24"/>
          <w:u w:val="single"/>
        </w:rPr>
        <w:t xml:space="preserve">change of occupancy of a building or space shall not be made without the approval of the department. A certificate of occupancy shall be issued for a change of occupancy when required by Section 28-118 of the </w:t>
      </w:r>
      <w:r w:rsidRPr="001B7F77">
        <w:rPr>
          <w:rFonts w:eastAsia="Times"/>
          <w:i/>
          <w:iCs/>
          <w:szCs w:val="24"/>
          <w:u w:val="single"/>
        </w:rPr>
        <w:t>Administrative Code.</w:t>
      </w:r>
      <w:r w:rsidRPr="001B7F77">
        <w:rPr>
          <w:rFonts w:eastAsia="Times"/>
          <w:szCs w:val="24"/>
          <w:vertAlign w:val="superscript"/>
        </w:rPr>
        <w:t xml:space="preserve"> </w:t>
      </w:r>
    </w:p>
    <w:p w14:paraId="3D52E3D3" w14:textId="77777777" w:rsidR="001B7F77" w:rsidRPr="001B7F77" w:rsidRDefault="001B7F77" w:rsidP="001B7F77">
      <w:pPr>
        <w:widowControl w:val="0"/>
        <w:suppressAutoHyphens/>
        <w:spacing w:before="120"/>
        <w:rPr>
          <w:rFonts w:eastAsia="Times"/>
          <w:color w:val="000000"/>
          <w:szCs w:val="24"/>
          <w:u w:val="single"/>
        </w:rPr>
      </w:pPr>
      <w:r w:rsidRPr="001B7F77">
        <w:rPr>
          <w:rFonts w:eastAsia="Times"/>
          <w:b/>
          <w:color w:val="000000"/>
          <w:szCs w:val="24"/>
          <w:u w:val="single"/>
        </w:rPr>
        <w:t xml:space="preserve">1001.3 Change of occupancy. </w:t>
      </w:r>
      <w:r w:rsidRPr="001B7F77">
        <w:rPr>
          <w:rFonts w:eastAsia="Times"/>
          <w:bCs/>
          <w:color w:val="000000"/>
          <w:szCs w:val="24"/>
          <w:u w:val="single"/>
        </w:rPr>
        <w:t>A</w:t>
      </w:r>
      <w:r w:rsidRPr="001B7F77">
        <w:rPr>
          <w:rFonts w:eastAsia="Times"/>
          <w:color w:val="000000"/>
          <w:szCs w:val="24"/>
          <w:u w:val="single"/>
        </w:rPr>
        <w:t>s used in this chapter, the term “Change of Occupancy” shall include:</w:t>
      </w:r>
    </w:p>
    <w:p w14:paraId="2FFADF3C" w14:textId="77777777" w:rsidR="001B7F77" w:rsidRPr="001B7F77" w:rsidRDefault="001B7F77" w:rsidP="001B7F77">
      <w:pPr>
        <w:widowControl w:val="0"/>
        <w:suppressAutoHyphens/>
        <w:spacing w:before="120"/>
        <w:ind w:left="720" w:hanging="360"/>
        <w:rPr>
          <w:rFonts w:eastAsia="Times"/>
          <w:color w:val="000000"/>
          <w:szCs w:val="24"/>
          <w:u w:val="single"/>
        </w:rPr>
      </w:pPr>
      <w:r w:rsidRPr="001B7F77">
        <w:rPr>
          <w:rFonts w:eastAsia="Times"/>
          <w:color w:val="000000"/>
          <w:szCs w:val="24"/>
          <w:u w:val="single"/>
        </w:rPr>
        <w:t>1.</w:t>
      </w:r>
      <w:r w:rsidRPr="001B7F77">
        <w:rPr>
          <w:rFonts w:eastAsia="Times"/>
          <w:color w:val="000000"/>
          <w:szCs w:val="24"/>
          <w:u w:val="single"/>
        </w:rPr>
        <w:tab/>
        <w:t>A change of occupancy classification. This includes a change from one Group to another Group (for example: B to E, A-2 to B, R-1 to R-2 or A-3 to A-1)</w:t>
      </w:r>
    </w:p>
    <w:p w14:paraId="4652C282" w14:textId="77777777" w:rsidR="001B7F77" w:rsidRPr="001B7F77" w:rsidRDefault="001B7F77" w:rsidP="001B7F77">
      <w:pPr>
        <w:widowControl w:val="0"/>
        <w:suppressAutoHyphens/>
        <w:spacing w:before="120"/>
        <w:ind w:left="720" w:hanging="360"/>
        <w:rPr>
          <w:rFonts w:eastAsia="Times"/>
          <w:color w:val="000000"/>
          <w:szCs w:val="24"/>
          <w:u w:val="single"/>
        </w:rPr>
      </w:pPr>
      <w:r w:rsidRPr="001B7F77">
        <w:rPr>
          <w:rFonts w:eastAsia="Times"/>
          <w:szCs w:val="24"/>
          <w:u w:val="single"/>
        </w:rPr>
        <w:t>2.</w:t>
      </w:r>
      <w:r w:rsidRPr="001B7F77">
        <w:rPr>
          <w:szCs w:val="24"/>
        </w:rPr>
        <w:tab/>
      </w:r>
      <w:r w:rsidRPr="001B7F77">
        <w:rPr>
          <w:rFonts w:eastAsia="Times"/>
          <w:szCs w:val="24"/>
          <w:u w:val="single"/>
        </w:rPr>
        <w:t>A change of use within the same Occupancy Group, which shall mean:</w:t>
      </w:r>
    </w:p>
    <w:p w14:paraId="6FFCDA87" w14:textId="77777777" w:rsidR="001B7F77" w:rsidRPr="001B7F77" w:rsidRDefault="001B7F77" w:rsidP="0001508F">
      <w:pPr>
        <w:widowControl w:val="0"/>
        <w:numPr>
          <w:ilvl w:val="1"/>
          <w:numId w:val="25"/>
        </w:numPr>
        <w:suppressAutoHyphens/>
        <w:spacing w:before="120"/>
        <w:ind w:left="1267" w:hanging="547"/>
        <w:contextualSpacing/>
        <w:jc w:val="left"/>
        <w:rPr>
          <w:rFonts w:eastAsia="Times"/>
          <w:color w:val="000000"/>
          <w:szCs w:val="24"/>
          <w:u w:val="single"/>
        </w:rPr>
      </w:pPr>
      <w:r w:rsidRPr="001B7F77">
        <w:rPr>
          <w:rFonts w:eastAsia="Times"/>
          <w:color w:val="000000"/>
          <w:szCs w:val="24"/>
          <w:u w:val="single"/>
        </w:rPr>
        <w:t>A change that requires compliance with different code requirements.</w:t>
      </w:r>
    </w:p>
    <w:p w14:paraId="52585D0F" w14:textId="77777777" w:rsidR="001B7F77" w:rsidRPr="001B7F77" w:rsidRDefault="001B7F77" w:rsidP="0001508F">
      <w:pPr>
        <w:widowControl w:val="0"/>
        <w:numPr>
          <w:ilvl w:val="1"/>
          <w:numId w:val="25"/>
        </w:numPr>
        <w:suppressAutoHyphens/>
        <w:spacing w:before="120"/>
        <w:ind w:left="1267" w:hanging="547"/>
        <w:contextualSpacing/>
        <w:jc w:val="left"/>
        <w:rPr>
          <w:rFonts w:eastAsia="Times"/>
          <w:color w:val="000000"/>
          <w:szCs w:val="24"/>
          <w:u w:val="single"/>
        </w:rPr>
      </w:pPr>
      <w:r w:rsidRPr="001B7F77">
        <w:rPr>
          <w:rFonts w:eastAsia="Times"/>
          <w:color w:val="000000"/>
          <w:szCs w:val="24"/>
          <w:u w:val="single"/>
        </w:rPr>
        <w:t>A change that triggers more restrictive fire protection requirements.</w:t>
      </w:r>
    </w:p>
    <w:p w14:paraId="22F6F792" w14:textId="77777777" w:rsidR="001B7F77" w:rsidRPr="001B7F77" w:rsidRDefault="001B7F77" w:rsidP="0001508F">
      <w:pPr>
        <w:widowControl w:val="0"/>
        <w:numPr>
          <w:ilvl w:val="1"/>
          <w:numId w:val="25"/>
        </w:numPr>
        <w:suppressAutoHyphens/>
        <w:spacing w:before="120"/>
        <w:ind w:left="1267" w:hanging="547"/>
        <w:contextualSpacing/>
        <w:jc w:val="left"/>
        <w:rPr>
          <w:rFonts w:eastAsia="Times"/>
          <w:color w:val="000000"/>
          <w:szCs w:val="24"/>
          <w:u w:val="single"/>
        </w:rPr>
      </w:pPr>
      <w:r w:rsidRPr="001B7F77">
        <w:rPr>
          <w:rFonts w:eastAsia="Times"/>
          <w:color w:val="000000"/>
          <w:szCs w:val="24"/>
          <w:u w:val="single"/>
        </w:rPr>
        <w:t xml:space="preserve"> A change of how a space is being used within a facility.</w:t>
      </w:r>
    </w:p>
    <w:p w14:paraId="77845DD3" w14:textId="77777777" w:rsidR="001B7F77" w:rsidRPr="001B7F77" w:rsidRDefault="001B7F77" w:rsidP="001B7F77">
      <w:pPr>
        <w:widowControl w:val="0"/>
        <w:suppressAutoHyphens/>
        <w:spacing w:before="120"/>
        <w:rPr>
          <w:rFonts w:eastAsia="Arial"/>
          <w:color w:val="000000"/>
          <w:szCs w:val="24"/>
          <w:u w:val="single"/>
        </w:rPr>
      </w:pPr>
      <w:r w:rsidRPr="001B7F77">
        <w:rPr>
          <w:rFonts w:eastAsia="Arial"/>
          <w:b/>
          <w:color w:val="000000"/>
          <w:szCs w:val="24"/>
          <w:u w:val="single"/>
        </w:rPr>
        <w:t xml:space="preserve">1001.4 Compliance. </w:t>
      </w:r>
      <w:r w:rsidRPr="001B7F77">
        <w:rPr>
          <w:rFonts w:eastAsia="Arial"/>
          <w:color w:val="000000"/>
          <w:szCs w:val="24"/>
          <w:u w:val="single"/>
        </w:rPr>
        <w:t>Where a building or portion thereof is subject to a change of occupancy as described in Section 1001.3, such building or portion thereof shall comply with Sections 1001.4.1 and 1001.4.2.</w:t>
      </w:r>
    </w:p>
    <w:p w14:paraId="2C1053ED" w14:textId="77777777" w:rsidR="001B7F77" w:rsidRPr="001B7F77" w:rsidRDefault="001B7F77" w:rsidP="001B7F77">
      <w:pPr>
        <w:widowControl w:val="0"/>
        <w:suppressAutoHyphens/>
        <w:spacing w:before="120"/>
        <w:ind w:left="360"/>
        <w:rPr>
          <w:rFonts w:eastAsia="Arial"/>
          <w:color w:val="000000"/>
        </w:rPr>
      </w:pPr>
      <w:r w:rsidRPr="001B7F77">
        <w:rPr>
          <w:rFonts w:eastAsia="Arial"/>
          <w:b/>
          <w:color w:val="000000"/>
          <w:szCs w:val="24"/>
          <w:u w:val="single"/>
        </w:rPr>
        <w:t>1001.4.1 Change of occupancy classification</w:t>
      </w:r>
      <w:r w:rsidRPr="001B7F77">
        <w:rPr>
          <w:rFonts w:eastAsia="Calibri"/>
          <w:b/>
          <w:u w:val="single"/>
        </w:rPr>
        <w:t xml:space="preserve">. </w:t>
      </w:r>
      <w:r w:rsidRPr="001B7F77">
        <w:rPr>
          <w:rFonts w:eastAsia="Arial"/>
          <w:color w:val="000000"/>
          <w:u w:val="single"/>
        </w:rPr>
        <w:t>Where the occupancy classification of a building or portion thereof is changed, the provisions of Sections 1002 through 1012 shall apply to such change.</w:t>
      </w:r>
    </w:p>
    <w:p w14:paraId="097070B6" w14:textId="77777777" w:rsidR="001B7F77" w:rsidRPr="001B7F77" w:rsidRDefault="001B7F77" w:rsidP="001B7F77">
      <w:pPr>
        <w:widowControl w:val="0"/>
        <w:suppressAutoHyphens/>
        <w:spacing w:before="120"/>
        <w:ind w:left="360"/>
        <w:rPr>
          <w:rFonts w:eastAsia="Times"/>
          <w:color w:val="000000"/>
          <w:u w:val="single"/>
        </w:rPr>
      </w:pPr>
      <w:r w:rsidRPr="001B7F77">
        <w:rPr>
          <w:rFonts w:eastAsia="Times"/>
          <w:b/>
          <w:color w:val="000000"/>
          <w:u w:val="single"/>
        </w:rPr>
        <w:t xml:space="preserve">1001.4.2 A change of use within the same Occupancy Group. </w:t>
      </w:r>
      <w:r w:rsidRPr="001B7F77">
        <w:rPr>
          <w:rFonts w:eastAsia="Times"/>
          <w:color w:val="000000"/>
          <w:u w:val="single"/>
        </w:rPr>
        <w:t>Where the use of a building or space is changed to a different use within the same Occupancy Group that requires compliance with different code requirements, such building or space shall comply with the applicable provisions of Sections 1002 to 1012 and Chapters 8 or 9 as applicable. For the purposes of complying with Chapters 8 or 9, work area shall be considered that portion of the building subject to change.</w:t>
      </w:r>
    </w:p>
    <w:p w14:paraId="39A09FC7" w14:textId="77777777" w:rsidR="001B7F77" w:rsidRPr="001B7F77" w:rsidRDefault="001B7F77" w:rsidP="001B7F77">
      <w:pPr>
        <w:widowControl w:val="0"/>
        <w:suppressAutoHyphens/>
        <w:spacing w:before="120"/>
        <w:rPr>
          <w:rFonts w:eastAsia="Times"/>
          <w:color w:val="000000"/>
        </w:rPr>
      </w:pPr>
      <w:r w:rsidRPr="001B7F77">
        <w:rPr>
          <w:rFonts w:eastAsia="Times"/>
          <w:b/>
          <w:color w:val="000000"/>
          <w:u w:val="single"/>
        </w:rPr>
        <w:t>1001.5 Existing buildings within the fire districts.</w:t>
      </w:r>
      <w:r w:rsidRPr="001B7F77">
        <w:rPr>
          <w:rFonts w:eastAsia="Times"/>
          <w:color w:val="000000"/>
          <w:u w:val="single"/>
        </w:rPr>
        <w:t xml:space="preserve"> A change of occupancy of an existing building within the fire district shall not be made unless such change is permitted in the fire district for the building construction type. A change of occupancy to Group H-1 is prohibited within fire districts.</w:t>
      </w:r>
    </w:p>
    <w:p w14:paraId="621E6ED5" w14:textId="77777777" w:rsidR="001B7F77" w:rsidRPr="001B7F77" w:rsidRDefault="001B7F77" w:rsidP="001B7F77">
      <w:pPr>
        <w:widowControl w:val="0"/>
        <w:suppressAutoHyphens/>
        <w:spacing w:before="120"/>
        <w:jc w:val="center"/>
        <w:outlineLvl w:val="0"/>
        <w:rPr>
          <w:rFonts w:eastAsia="Helvetica Neue"/>
          <w:b/>
          <w:color w:val="000000"/>
          <w:u w:val="single"/>
        </w:rPr>
      </w:pPr>
    </w:p>
    <w:p w14:paraId="448EBD8A" w14:textId="77777777" w:rsidR="001B7F77" w:rsidRPr="001B7F77" w:rsidRDefault="001B7F77" w:rsidP="001B7F77">
      <w:pPr>
        <w:widowControl w:val="0"/>
        <w:suppressAutoHyphens/>
        <w:spacing w:before="120"/>
        <w:jc w:val="center"/>
        <w:outlineLvl w:val="0"/>
        <w:rPr>
          <w:rFonts w:eastAsia="Helvetica Neue"/>
          <w:b/>
          <w:color w:val="000000"/>
          <w:u w:val="single"/>
        </w:rPr>
      </w:pPr>
      <w:r w:rsidRPr="001B7F77">
        <w:rPr>
          <w:rFonts w:eastAsia="Helvetica Neue"/>
          <w:b/>
          <w:color w:val="000000"/>
          <w:u w:val="single"/>
        </w:rPr>
        <w:t xml:space="preserve">SECTION </w:t>
      </w:r>
      <w:r w:rsidRPr="001B7F77">
        <w:rPr>
          <w:b/>
          <w:color w:val="000000"/>
          <w:u w:val="single"/>
        </w:rPr>
        <w:t>EBC</w:t>
      </w:r>
      <w:r w:rsidRPr="001B7F77">
        <w:rPr>
          <w:rFonts w:eastAsia="Helvetica Neue"/>
          <w:b/>
          <w:color w:val="000000"/>
          <w:u w:val="single"/>
        </w:rPr>
        <w:t xml:space="preserve"> 1002</w:t>
      </w:r>
      <w:r w:rsidRPr="001B7F77">
        <w:rPr>
          <w:rFonts w:eastAsia="Helvetica Neue"/>
          <w:b/>
          <w:color w:val="000000"/>
          <w:u w:val="single"/>
        </w:rPr>
        <w:br/>
        <w:t>SPECIAL USE AND OCCUPANCY</w:t>
      </w:r>
    </w:p>
    <w:p w14:paraId="330A4102" w14:textId="77777777" w:rsidR="001B7F77" w:rsidRPr="001B7F77" w:rsidRDefault="001B7F77" w:rsidP="001B7F77">
      <w:pPr>
        <w:widowControl w:val="0"/>
        <w:suppressAutoHyphens/>
        <w:spacing w:before="120"/>
        <w:rPr>
          <w:rFonts w:eastAsia="Times"/>
          <w:color w:val="000000"/>
          <w:u w:val="single"/>
        </w:rPr>
      </w:pPr>
      <w:r w:rsidRPr="001B7F77">
        <w:rPr>
          <w:rFonts w:eastAsia="Times"/>
          <w:b/>
          <w:bCs/>
          <w:color w:val="000000"/>
          <w:u w:val="single"/>
        </w:rPr>
        <w:t xml:space="preserve">1002.1 Compliance with Chapter 4 of the </w:t>
      </w:r>
      <w:r w:rsidRPr="001B7F77">
        <w:rPr>
          <w:rFonts w:eastAsia="Times"/>
          <w:b/>
          <w:bCs/>
          <w:i/>
          <w:iCs/>
          <w:color w:val="000000"/>
          <w:u w:val="single"/>
        </w:rPr>
        <w:t>New York City Building Code</w:t>
      </w:r>
      <w:r w:rsidRPr="001B7F77">
        <w:rPr>
          <w:rFonts w:eastAsia="Times"/>
          <w:b/>
          <w:bCs/>
          <w:color w:val="000000"/>
          <w:u w:val="single"/>
        </w:rPr>
        <w:t>.</w:t>
      </w:r>
      <w:r w:rsidRPr="001B7F77">
        <w:rPr>
          <w:rFonts w:eastAsia="Times"/>
          <w:color w:val="000000"/>
          <w:u w:val="single"/>
        </w:rPr>
        <w:t xml:space="preserve"> Where the character or use of an existing building or part of an existing building is changed to a special use or occupancy categories subject to Chapter 4 of the </w:t>
      </w:r>
      <w:r w:rsidRPr="001B7F77">
        <w:rPr>
          <w:rFonts w:eastAsia="Times"/>
          <w:i/>
          <w:iCs/>
          <w:color w:val="000000"/>
          <w:u w:val="single"/>
        </w:rPr>
        <w:t>New York City Building Code</w:t>
      </w:r>
      <w:r w:rsidRPr="001B7F77">
        <w:rPr>
          <w:rFonts w:eastAsia="Times"/>
          <w:color w:val="000000"/>
          <w:u w:val="single"/>
        </w:rPr>
        <w:t xml:space="preserve">, such building, or part thereof, shall comply with all of the applicable requirements of Chapter 4 of the </w:t>
      </w:r>
      <w:r w:rsidRPr="001B7F77">
        <w:rPr>
          <w:rFonts w:eastAsia="Times"/>
          <w:i/>
          <w:iCs/>
          <w:color w:val="000000"/>
          <w:u w:val="single"/>
        </w:rPr>
        <w:t>New York City Building Code</w:t>
      </w:r>
      <w:r w:rsidRPr="001B7F77">
        <w:rPr>
          <w:rFonts w:eastAsia="Times"/>
          <w:color w:val="000000"/>
          <w:u w:val="single"/>
        </w:rPr>
        <w:t>.</w:t>
      </w:r>
    </w:p>
    <w:p w14:paraId="2B6CB674" w14:textId="77777777" w:rsidR="001B7F77" w:rsidRPr="001B7F77" w:rsidRDefault="001B7F77" w:rsidP="001B7F77">
      <w:pPr>
        <w:widowControl w:val="0"/>
        <w:suppressAutoHyphens/>
        <w:spacing w:before="120"/>
        <w:rPr>
          <w:rFonts w:eastAsia="Helvetica Neue"/>
          <w:bCs/>
          <w:color w:val="000000"/>
          <w:u w:val="single"/>
        </w:rPr>
      </w:pPr>
      <w:r w:rsidRPr="001B7F77">
        <w:rPr>
          <w:rFonts w:eastAsia="Helvetica Neue"/>
          <w:b/>
          <w:color w:val="000000"/>
          <w:u w:val="single"/>
        </w:rPr>
        <w:t>1002.2 Incidental use areas.</w:t>
      </w:r>
      <w:r w:rsidRPr="001B7F77">
        <w:rPr>
          <w:rFonts w:eastAsia="Helvetica Neue"/>
          <w:bCs/>
          <w:color w:val="000000"/>
          <w:u w:val="single"/>
        </w:rPr>
        <w:t xml:space="preserve"> Where the use of a space is changed to one of the incidental uses listed in Table 509 of the </w:t>
      </w:r>
      <w:r w:rsidRPr="001B7F77">
        <w:rPr>
          <w:rFonts w:eastAsia="Helvetica Neue"/>
          <w:bCs/>
          <w:i/>
          <w:iCs/>
          <w:color w:val="000000"/>
          <w:u w:val="single"/>
        </w:rPr>
        <w:t>New York City Building Code</w:t>
      </w:r>
      <w:r w:rsidRPr="001B7F77">
        <w:rPr>
          <w:rFonts w:eastAsia="Helvetica Neue"/>
          <w:bCs/>
          <w:color w:val="000000"/>
          <w:u w:val="single"/>
        </w:rPr>
        <w:t xml:space="preserve">, such change shall be subject to Section 509 of the </w:t>
      </w:r>
      <w:r w:rsidRPr="001B7F77">
        <w:rPr>
          <w:rFonts w:eastAsia="Helvetica Neue"/>
          <w:bCs/>
          <w:i/>
          <w:iCs/>
          <w:color w:val="000000"/>
          <w:u w:val="single"/>
        </w:rPr>
        <w:t>New York City Building Code</w:t>
      </w:r>
      <w:r w:rsidRPr="001B7F77">
        <w:rPr>
          <w:rFonts w:eastAsia="Helvetica Neue"/>
          <w:bCs/>
          <w:color w:val="000000"/>
          <w:u w:val="single"/>
        </w:rPr>
        <w:t>.</w:t>
      </w:r>
    </w:p>
    <w:p w14:paraId="04A059FC" w14:textId="77777777" w:rsidR="001B7F77" w:rsidRPr="001B7F77" w:rsidRDefault="001B7F77" w:rsidP="001B7F77">
      <w:pPr>
        <w:widowControl w:val="0"/>
        <w:suppressAutoHyphens/>
        <w:spacing w:before="120"/>
        <w:jc w:val="center"/>
        <w:outlineLvl w:val="0"/>
        <w:rPr>
          <w:rFonts w:eastAsia="Helvetica Neue"/>
          <w:b/>
          <w:color w:val="000000"/>
          <w:u w:val="single"/>
        </w:rPr>
      </w:pPr>
    </w:p>
    <w:p w14:paraId="16A8C3DC" w14:textId="77777777" w:rsidR="001B7F77" w:rsidRPr="001B7F77" w:rsidRDefault="001B7F77" w:rsidP="001B7F77">
      <w:pPr>
        <w:widowControl w:val="0"/>
        <w:suppressAutoHyphens/>
        <w:spacing w:before="120"/>
        <w:jc w:val="center"/>
        <w:outlineLvl w:val="0"/>
        <w:rPr>
          <w:rFonts w:eastAsia="Helvetica Neue"/>
          <w:b/>
          <w:color w:val="000000"/>
          <w:u w:val="single"/>
        </w:rPr>
      </w:pPr>
      <w:r w:rsidRPr="001B7F77">
        <w:rPr>
          <w:rFonts w:eastAsia="Helvetica Neue"/>
          <w:b/>
          <w:color w:val="000000"/>
          <w:u w:val="single"/>
        </w:rPr>
        <w:t xml:space="preserve">SECTION </w:t>
      </w:r>
      <w:r w:rsidRPr="001B7F77">
        <w:rPr>
          <w:b/>
          <w:color w:val="000000"/>
          <w:u w:val="single"/>
        </w:rPr>
        <w:t>EBC</w:t>
      </w:r>
      <w:r w:rsidRPr="001B7F77">
        <w:rPr>
          <w:rFonts w:eastAsia="Helvetica Neue"/>
          <w:b/>
          <w:color w:val="000000"/>
          <w:u w:val="single"/>
        </w:rPr>
        <w:t xml:space="preserve"> 1003</w:t>
      </w:r>
      <w:r w:rsidRPr="001B7F77">
        <w:rPr>
          <w:rFonts w:eastAsia="Helvetica Neue"/>
          <w:b/>
          <w:color w:val="000000"/>
          <w:u w:val="single"/>
        </w:rPr>
        <w:br/>
        <w:t>BUILDING ELEMENTS AND MATERIALS</w:t>
      </w:r>
    </w:p>
    <w:p w14:paraId="636E81F2" w14:textId="77777777" w:rsidR="001B7F77" w:rsidRPr="001B7F77" w:rsidRDefault="001B7F77" w:rsidP="001B7F77">
      <w:pPr>
        <w:widowControl w:val="0"/>
        <w:suppressAutoHyphens/>
        <w:spacing w:before="120"/>
        <w:rPr>
          <w:rFonts w:eastAsia="Times"/>
          <w:color w:val="000000"/>
          <w:u w:val="single"/>
        </w:rPr>
      </w:pPr>
      <w:r w:rsidRPr="001B7F77">
        <w:rPr>
          <w:rFonts w:eastAsia="Times"/>
          <w:b/>
          <w:color w:val="000000"/>
          <w:u w:val="single"/>
        </w:rPr>
        <w:t xml:space="preserve">1003.1 General. </w:t>
      </w:r>
      <w:r w:rsidRPr="001B7F77">
        <w:rPr>
          <w:rFonts w:eastAsia="Times"/>
          <w:color w:val="000000"/>
          <w:u w:val="single"/>
        </w:rPr>
        <w:t>Building elements and materials in portions of buildings undergoing a change of occupancy classification shall comply with this section.</w:t>
      </w:r>
    </w:p>
    <w:p w14:paraId="217C1581" w14:textId="77777777" w:rsidR="001B7F77" w:rsidRPr="001B7F77" w:rsidRDefault="001B7F77" w:rsidP="001B7F77">
      <w:pPr>
        <w:widowControl w:val="0"/>
        <w:suppressAutoHyphens/>
        <w:spacing w:before="120"/>
        <w:rPr>
          <w:rFonts w:eastAsia="Times"/>
          <w:color w:val="000000"/>
          <w:u w:val="single"/>
        </w:rPr>
      </w:pPr>
      <w:r w:rsidRPr="001B7F77">
        <w:rPr>
          <w:rFonts w:eastAsia="Times"/>
          <w:b/>
          <w:color w:val="000000"/>
          <w:u w:val="single"/>
        </w:rPr>
        <w:t xml:space="preserve">1003.2 Heights and areas. </w:t>
      </w:r>
      <w:r w:rsidRPr="001B7F77">
        <w:rPr>
          <w:rFonts w:eastAsia="Times"/>
          <w:color w:val="000000"/>
          <w:u w:val="single"/>
        </w:rPr>
        <w:t>Hazard categories with regard to height and area shall be in accordance with Table 1003.2.</w:t>
      </w:r>
    </w:p>
    <w:p w14:paraId="3051C19E" w14:textId="77777777" w:rsidR="001B7F77" w:rsidRPr="001B7F77" w:rsidRDefault="001B7F77" w:rsidP="001B7F77">
      <w:pPr>
        <w:suppressAutoHyphens/>
        <w:spacing w:before="120"/>
        <w:jc w:val="center"/>
        <w:rPr>
          <w:rFonts w:eastAsia="Helvetica Neue"/>
          <w:b/>
          <w:color w:val="000000"/>
          <w:u w:val="single"/>
        </w:rPr>
      </w:pPr>
      <w:r w:rsidRPr="001B7F77">
        <w:rPr>
          <w:rFonts w:eastAsia="Helvetica Neue"/>
          <w:b/>
          <w:color w:val="000000"/>
          <w:u w:val="single"/>
        </w:rPr>
        <w:t>TABLE 1003.2</w:t>
      </w:r>
      <w:r w:rsidRPr="001B7F77">
        <w:rPr>
          <w:rFonts w:eastAsia="Helvetica Neue"/>
          <w:b/>
          <w:color w:val="000000"/>
          <w:u w:val="single"/>
        </w:rPr>
        <w:br/>
        <w:t>HEIGHTS AND AREAS HAZARD CATEGORIES</w:t>
      </w:r>
    </w:p>
    <w:tbl>
      <w:tblPr>
        <w:tblW w:w="5000" w:type="pct"/>
        <w:tblCellMar>
          <w:top w:w="60" w:type="dxa"/>
          <w:left w:w="40" w:type="dxa"/>
          <w:bottom w:w="20" w:type="dxa"/>
          <w:right w:w="40" w:type="dxa"/>
        </w:tblCellMar>
        <w:tblLook w:val="04A0" w:firstRow="1" w:lastRow="0" w:firstColumn="1" w:lastColumn="0" w:noHBand="0" w:noVBand="1"/>
      </w:tblPr>
      <w:tblGrid>
        <w:gridCol w:w="3587"/>
        <w:gridCol w:w="5763"/>
      </w:tblGrid>
      <w:tr w:rsidR="001B7F77" w:rsidRPr="001B7F77" w14:paraId="675C03FE" w14:textId="77777777" w:rsidTr="006655A1">
        <w:trPr>
          <w:trHeight w:val="200"/>
        </w:trPr>
        <w:tc>
          <w:tcPr>
            <w:tcW w:w="1918" w:type="pct"/>
            <w:tcBorders>
              <w:top w:val="single" w:sz="4" w:space="0" w:color="000000"/>
              <w:left w:val="single" w:sz="4" w:space="0" w:color="000000"/>
              <w:bottom w:val="single" w:sz="4" w:space="0" w:color="000000"/>
              <w:right w:val="single" w:sz="4" w:space="0" w:color="000000"/>
            </w:tcBorders>
            <w:vAlign w:val="center"/>
            <w:hideMark/>
          </w:tcPr>
          <w:p w14:paraId="4B7D9660" w14:textId="77777777" w:rsidR="001B7F77" w:rsidRPr="001B7F77" w:rsidRDefault="001B7F77" w:rsidP="001B7F77">
            <w:pPr>
              <w:suppressAutoHyphens/>
              <w:spacing w:before="120"/>
              <w:jc w:val="center"/>
              <w:rPr>
                <w:rFonts w:eastAsia="Helvetica Neue"/>
                <w:b/>
                <w:color w:val="000000"/>
                <w:u w:val="single"/>
              </w:rPr>
            </w:pPr>
            <w:r w:rsidRPr="001B7F77">
              <w:rPr>
                <w:rFonts w:eastAsia="Helvetica Neue"/>
                <w:b/>
                <w:color w:val="000000"/>
                <w:u w:val="single"/>
              </w:rPr>
              <w:t>RELATIVE HAZARD</w:t>
            </w:r>
          </w:p>
        </w:tc>
        <w:tc>
          <w:tcPr>
            <w:tcW w:w="3082" w:type="pct"/>
            <w:tcBorders>
              <w:top w:val="single" w:sz="4" w:space="0" w:color="000000"/>
              <w:left w:val="single" w:sz="4" w:space="0" w:color="000000"/>
              <w:bottom w:val="single" w:sz="4" w:space="0" w:color="000000"/>
              <w:right w:val="single" w:sz="4" w:space="0" w:color="000000"/>
            </w:tcBorders>
            <w:vAlign w:val="center"/>
            <w:hideMark/>
          </w:tcPr>
          <w:p w14:paraId="2BFEC1C2" w14:textId="77777777" w:rsidR="001B7F77" w:rsidRPr="001B7F77" w:rsidRDefault="001B7F77" w:rsidP="001B7F77">
            <w:pPr>
              <w:suppressAutoHyphens/>
              <w:spacing w:before="120"/>
              <w:jc w:val="center"/>
              <w:rPr>
                <w:rFonts w:eastAsia="Helvetica Neue"/>
                <w:b/>
                <w:color w:val="000000"/>
                <w:u w:val="single"/>
              </w:rPr>
            </w:pPr>
            <w:r w:rsidRPr="001B7F77">
              <w:rPr>
                <w:rFonts w:eastAsia="Helvetica Neue"/>
                <w:b/>
                <w:color w:val="000000"/>
                <w:u w:val="single"/>
              </w:rPr>
              <w:t>OCCUPANCY CLASSIFICATIONS</w:t>
            </w:r>
          </w:p>
        </w:tc>
      </w:tr>
      <w:tr w:rsidR="001B7F77" w:rsidRPr="001B7F77" w14:paraId="51D973C9" w14:textId="77777777" w:rsidTr="006655A1">
        <w:trPr>
          <w:trHeight w:val="260"/>
        </w:trPr>
        <w:tc>
          <w:tcPr>
            <w:tcW w:w="1918" w:type="pct"/>
            <w:tcBorders>
              <w:top w:val="single" w:sz="4" w:space="0" w:color="000000"/>
              <w:left w:val="single" w:sz="4" w:space="0" w:color="000000"/>
              <w:bottom w:val="single" w:sz="4" w:space="0" w:color="000000"/>
              <w:right w:val="single" w:sz="4" w:space="0" w:color="000000"/>
            </w:tcBorders>
            <w:vAlign w:val="center"/>
            <w:hideMark/>
          </w:tcPr>
          <w:p w14:paraId="50122347" w14:textId="77777777" w:rsidR="001B7F77" w:rsidRPr="001B7F77" w:rsidRDefault="001B7F77" w:rsidP="001B7F77">
            <w:pPr>
              <w:suppressAutoHyphens/>
              <w:spacing w:before="120"/>
              <w:jc w:val="center"/>
              <w:rPr>
                <w:rFonts w:eastAsia="Times"/>
                <w:color w:val="000000"/>
                <w:u w:val="single"/>
              </w:rPr>
            </w:pPr>
            <w:r w:rsidRPr="001B7F77">
              <w:rPr>
                <w:rFonts w:eastAsia="Times"/>
                <w:color w:val="000000"/>
                <w:u w:val="single"/>
              </w:rPr>
              <w:t>1 (Highest Hazard)</w:t>
            </w:r>
          </w:p>
        </w:tc>
        <w:tc>
          <w:tcPr>
            <w:tcW w:w="3082" w:type="pct"/>
            <w:tcBorders>
              <w:top w:val="single" w:sz="4" w:space="0" w:color="000000"/>
              <w:left w:val="single" w:sz="4" w:space="0" w:color="000000"/>
              <w:bottom w:val="single" w:sz="4" w:space="0" w:color="000000"/>
              <w:right w:val="single" w:sz="4" w:space="0" w:color="000000"/>
            </w:tcBorders>
            <w:vAlign w:val="center"/>
            <w:hideMark/>
          </w:tcPr>
          <w:p w14:paraId="62E04C3C" w14:textId="77777777" w:rsidR="001B7F77" w:rsidRPr="001B7F77" w:rsidRDefault="001B7F77" w:rsidP="001B7F77">
            <w:pPr>
              <w:suppressAutoHyphens/>
              <w:spacing w:before="120"/>
              <w:jc w:val="center"/>
              <w:rPr>
                <w:rFonts w:eastAsia="Times"/>
                <w:color w:val="000000"/>
                <w:u w:val="single"/>
              </w:rPr>
            </w:pPr>
            <w:r w:rsidRPr="001B7F77">
              <w:rPr>
                <w:rFonts w:eastAsia="Times"/>
                <w:color w:val="000000"/>
                <w:u w:val="single"/>
              </w:rPr>
              <w:t>H</w:t>
            </w:r>
          </w:p>
        </w:tc>
      </w:tr>
      <w:tr w:rsidR="001B7F77" w:rsidRPr="001B7F77" w14:paraId="4BB57630" w14:textId="77777777" w:rsidTr="006655A1">
        <w:trPr>
          <w:trHeight w:val="260"/>
        </w:trPr>
        <w:tc>
          <w:tcPr>
            <w:tcW w:w="1918" w:type="pct"/>
            <w:tcBorders>
              <w:top w:val="single" w:sz="4" w:space="0" w:color="000000"/>
              <w:left w:val="single" w:sz="4" w:space="0" w:color="000000"/>
              <w:bottom w:val="single" w:sz="4" w:space="0" w:color="000000"/>
              <w:right w:val="single" w:sz="4" w:space="0" w:color="000000"/>
            </w:tcBorders>
            <w:vAlign w:val="center"/>
            <w:hideMark/>
          </w:tcPr>
          <w:p w14:paraId="1E3BC5A1" w14:textId="77777777" w:rsidR="001B7F77" w:rsidRPr="001B7F77" w:rsidRDefault="001B7F77" w:rsidP="001B7F77">
            <w:pPr>
              <w:suppressAutoHyphens/>
              <w:spacing w:before="120"/>
              <w:jc w:val="center"/>
              <w:rPr>
                <w:rFonts w:eastAsia="Times"/>
                <w:color w:val="000000"/>
                <w:u w:val="single"/>
              </w:rPr>
            </w:pPr>
            <w:r w:rsidRPr="001B7F77">
              <w:rPr>
                <w:rFonts w:eastAsia="Times"/>
                <w:color w:val="000000"/>
                <w:u w:val="single"/>
              </w:rPr>
              <w:t>2</w:t>
            </w:r>
          </w:p>
        </w:tc>
        <w:tc>
          <w:tcPr>
            <w:tcW w:w="3082" w:type="pct"/>
            <w:tcBorders>
              <w:top w:val="single" w:sz="4" w:space="0" w:color="000000"/>
              <w:left w:val="single" w:sz="4" w:space="0" w:color="000000"/>
              <w:bottom w:val="single" w:sz="4" w:space="0" w:color="000000"/>
              <w:right w:val="single" w:sz="4" w:space="0" w:color="000000"/>
            </w:tcBorders>
            <w:vAlign w:val="center"/>
            <w:hideMark/>
          </w:tcPr>
          <w:p w14:paraId="761982A2" w14:textId="77777777" w:rsidR="001B7F77" w:rsidRPr="001B7F77" w:rsidRDefault="001B7F77" w:rsidP="001B7F77">
            <w:pPr>
              <w:suppressAutoHyphens/>
              <w:spacing w:before="120"/>
              <w:jc w:val="center"/>
              <w:rPr>
                <w:rFonts w:eastAsia="Times"/>
                <w:color w:val="000000"/>
                <w:u w:val="single"/>
              </w:rPr>
            </w:pPr>
            <w:r w:rsidRPr="001B7F77">
              <w:rPr>
                <w:rFonts w:eastAsia="Times"/>
                <w:color w:val="000000"/>
                <w:u w:val="single"/>
              </w:rPr>
              <w:t xml:space="preserve">A-1, A-2, A-3, A-4, I, R-1, R-2 </w:t>
            </w:r>
          </w:p>
        </w:tc>
      </w:tr>
      <w:tr w:rsidR="001B7F77" w:rsidRPr="001B7F77" w14:paraId="22691742" w14:textId="77777777" w:rsidTr="006655A1">
        <w:trPr>
          <w:trHeight w:val="260"/>
        </w:trPr>
        <w:tc>
          <w:tcPr>
            <w:tcW w:w="1918" w:type="pct"/>
            <w:tcBorders>
              <w:top w:val="single" w:sz="4" w:space="0" w:color="000000"/>
              <w:left w:val="single" w:sz="4" w:space="0" w:color="000000"/>
              <w:bottom w:val="single" w:sz="4" w:space="0" w:color="000000"/>
              <w:right w:val="single" w:sz="4" w:space="0" w:color="000000"/>
            </w:tcBorders>
            <w:vAlign w:val="center"/>
            <w:hideMark/>
          </w:tcPr>
          <w:p w14:paraId="0B83FAAA" w14:textId="77777777" w:rsidR="001B7F77" w:rsidRPr="001B7F77" w:rsidRDefault="001B7F77" w:rsidP="001B7F77">
            <w:pPr>
              <w:suppressAutoHyphens/>
              <w:spacing w:before="120"/>
              <w:jc w:val="center"/>
              <w:rPr>
                <w:rFonts w:eastAsia="Times"/>
                <w:color w:val="000000"/>
                <w:u w:val="single"/>
              </w:rPr>
            </w:pPr>
            <w:r w:rsidRPr="001B7F77">
              <w:rPr>
                <w:rFonts w:eastAsia="Times"/>
                <w:color w:val="000000"/>
                <w:u w:val="single"/>
              </w:rPr>
              <w:t>3</w:t>
            </w:r>
          </w:p>
        </w:tc>
        <w:tc>
          <w:tcPr>
            <w:tcW w:w="3082" w:type="pct"/>
            <w:tcBorders>
              <w:top w:val="single" w:sz="4" w:space="0" w:color="000000"/>
              <w:left w:val="single" w:sz="4" w:space="0" w:color="000000"/>
              <w:bottom w:val="single" w:sz="4" w:space="0" w:color="000000"/>
              <w:right w:val="single" w:sz="4" w:space="0" w:color="000000"/>
            </w:tcBorders>
            <w:vAlign w:val="center"/>
            <w:hideMark/>
          </w:tcPr>
          <w:p w14:paraId="6133FC76" w14:textId="77777777" w:rsidR="001B7F77" w:rsidRPr="001B7F77" w:rsidRDefault="001B7F77" w:rsidP="001B7F77">
            <w:pPr>
              <w:suppressAutoHyphens/>
              <w:spacing w:before="120"/>
              <w:jc w:val="center"/>
              <w:rPr>
                <w:rFonts w:eastAsia="Times"/>
                <w:color w:val="000000"/>
                <w:u w:val="single"/>
              </w:rPr>
            </w:pPr>
            <w:r w:rsidRPr="001B7F77">
              <w:rPr>
                <w:rFonts w:eastAsia="Times"/>
                <w:color w:val="000000"/>
                <w:u w:val="single"/>
              </w:rPr>
              <w:t>E, F-1, S-1, M</w:t>
            </w:r>
          </w:p>
        </w:tc>
      </w:tr>
      <w:tr w:rsidR="001B7F77" w:rsidRPr="001B7F77" w14:paraId="17B9B208" w14:textId="77777777" w:rsidTr="006655A1">
        <w:trPr>
          <w:trHeight w:val="260"/>
        </w:trPr>
        <w:tc>
          <w:tcPr>
            <w:tcW w:w="1918" w:type="pct"/>
            <w:tcBorders>
              <w:top w:val="single" w:sz="4" w:space="0" w:color="000000"/>
              <w:left w:val="single" w:sz="4" w:space="0" w:color="000000"/>
              <w:bottom w:val="single" w:sz="4" w:space="0" w:color="000000"/>
              <w:right w:val="single" w:sz="4" w:space="0" w:color="000000"/>
            </w:tcBorders>
            <w:vAlign w:val="center"/>
            <w:hideMark/>
          </w:tcPr>
          <w:p w14:paraId="34ADF108" w14:textId="77777777" w:rsidR="001B7F77" w:rsidRPr="001B7F77" w:rsidRDefault="001B7F77" w:rsidP="001B7F77">
            <w:pPr>
              <w:suppressAutoHyphens/>
              <w:spacing w:before="120"/>
              <w:jc w:val="center"/>
              <w:rPr>
                <w:rFonts w:eastAsia="Times"/>
                <w:color w:val="000000"/>
                <w:u w:val="single"/>
              </w:rPr>
            </w:pPr>
            <w:r w:rsidRPr="001B7F77">
              <w:rPr>
                <w:rFonts w:eastAsia="Times"/>
                <w:color w:val="000000"/>
                <w:u w:val="single"/>
              </w:rPr>
              <w:t>4 (Lowest Hazard)</w:t>
            </w:r>
          </w:p>
        </w:tc>
        <w:tc>
          <w:tcPr>
            <w:tcW w:w="3082" w:type="pct"/>
            <w:tcBorders>
              <w:top w:val="single" w:sz="4" w:space="0" w:color="000000"/>
              <w:left w:val="single" w:sz="4" w:space="0" w:color="000000"/>
              <w:bottom w:val="single" w:sz="4" w:space="0" w:color="000000"/>
              <w:right w:val="single" w:sz="4" w:space="0" w:color="000000"/>
            </w:tcBorders>
            <w:vAlign w:val="center"/>
            <w:hideMark/>
          </w:tcPr>
          <w:p w14:paraId="10048046" w14:textId="77777777" w:rsidR="001B7F77" w:rsidRPr="001B7F77" w:rsidRDefault="001B7F77" w:rsidP="001B7F77">
            <w:pPr>
              <w:suppressAutoHyphens/>
              <w:spacing w:before="120"/>
              <w:jc w:val="center"/>
              <w:rPr>
                <w:rFonts w:eastAsia="Times"/>
                <w:color w:val="000000"/>
                <w:u w:val="single"/>
              </w:rPr>
            </w:pPr>
            <w:r w:rsidRPr="001B7F77">
              <w:rPr>
                <w:rFonts w:eastAsia="Times"/>
                <w:color w:val="000000"/>
                <w:u w:val="single"/>
              </w:rPr>
              <w:t>B, F-2, S-2, A-5, R-3, U</w:t>
            </w:r>
          </w:p>
        </w:tc>
      </w:tr>
    </w:tbl>
    <w:p w14:paraId="49EFA403" w14:textId="77777777" w:rsidR="001B7F77" w:rsidRPr="001B7F77" w:rsidRDefault="001B7F77" w:rsidP="001B7F77">
      <w:pPr>
        <w:tabs>
          <w:tab w:val="left" w:pos="360"/>
        </w:tabs>
        <w:spacing w:before="120"/>
        <w:ind w:left="360"/>
        <w:rPr>
          <w:rFonts w:eastAsia="Calibri"/>
          <w:color w:val="222222"/>
          <w:szCs w:val="24"/>
          <w:u w:val="single"/>
        </w:rPr>
      </w:pPr>
      <w:bookmarkStart w:id="206" w:name="_Hlk78188662"/>
      <w:r w:rsidRPr="001B7F77">
        <w:rPr>
          <w:rFonts w:eastAsia="Calibri"/>
          <w:b/>
          <w:color w:val="000000"/>
          <w:szCs w:val="24"/>
          <w:u w:val="single"/>
        </w:rPr>
        <w:t>1003.2.1 Height and area for change to higher hazard category.</w:t>
      </w:r>
      <w:r w:rsidRPr="001B7F77">
        <w:rPr>
          <w:rFonts w:eastAsia="Calibri"/>
          <w:color w:val="000000"/>
          <w:szCs w:val="24"/>
          <w:u w:val="single"/>
        </w:rPr>
        <w:t xml:space="preserve"> When a change of occupancy classification is made to a higher hazard category (lower number) as shown in Table 1003.2 of this code, heights and areas of buildings and structures shall comply with the requirements of Chapter 5 of the </w:t>
      </w:r>
      <w:r w:rsidRPr="001B7F77">
        <w:rPr>
          <w:rFonts w:eastAsia="Calibri"/>
          <w:i/>
          <w:iCs/>
          <w:color w:val="000000"/>
          <w:szCs w:val="24"/>
          <w:u w:val="single"/>
        </w:rPr>
        <w:t>New York City Building Code</w:t>
      </w:r>
      <w:r w:rsidRPr="001B7F77">
        <w:rPr>
          <w:rFonts w:eastAsia="Calibri"/>
          <w:color w:val="000000"/>
          <w:szCs w:val="24"/>
          <w:u w:val="single"/>
        </w:rPr>
        <w:t xml:space="preserve"> for the new occupancy classification.</w:t>
      </w:r>
    </w:p>
    <w:p w14:paraId="0973EF65" w14:textId="77777777" w:rsidR="001B7F77" w:rsidRPr="001B7F77" w:rsidRDefault="001B7F77" w:rsidP="001B7F77">
      <w:pPr>
        <w:spacing w:before="120"/>
        <w:ind w:left="720"/>
        <w:rPr>
          <w:rFonts w:eastAsia="Calibri"/>
          <w:bCs/>
          <w:color w:val="000000"/>
          <w:szCs w:val="24"/>
          <w:u w:val="single"/>
        </w:rPr>
      </w:pPr>
      <w:r w:rsidRPr="001B7F77">
        <w:rPr>
          <w:rFonts w:eastAsia="Calibri"/>
          <w:b/>
          <w:bCs/>
          <w:color w:val="000000"/>
          <w:szCs w:val="24"/>
          <w:u w:val="single"/>
        </w:rPr>
        <w:t>Exception:</w:t>
      </w:r>
      <w:r w:rsidRPr="001B7F77">
        <w:rPr>
          <w:rFonts w:eastAsia="Calibri"/>
          <w:bCs/>
          <w:color w:val="000000"/>
          <w:szCs w:val="24"/>
          <w:u w:val="single"/>
        </w:rPr>
        <w:t xml:space="preserve"> For high-rise buildings constructed pursuant to building codes in existence prior to the effective date of the 2014 </w:t>
      </w:r>
      <w:r w:rsidRPr="001B7F77">
        <w:rPr>
          <w:rFonts w:eastAsia="Calibri"/>
          <w:bCs/>
          <w:i/>
          <w:iCs/>
          <w:color w:val="000000"/>
          <w:szCs w:val="24"/>
          <w:u w:val="single"/>
        </w:rPr>
        <w:t>New York City Construction Codes</w:t>
      </w:r>
      <w:r w:rsidRPr="001B7F77">
        <w:rPr>
          <w:rFonts w:eastAsia="Calibri"/>
          <w:bCs/>
          <w:color w:val="000000"/>
          <w:szCs w:val="24"/>
          <w:u w:val="single"/>
        </w:rPr>
        <w:t xml:space="preserve">, and are equipped throughout with an automatic sprinkler system in accordance with Section 903.3.1.1 of the </w:t>
      </w:r>
      <w:r w:rsidRPr="001B7F77">
        <w:rPr>
          <w:rFonts w:eastAsia="Calibri"/>
          <w:bCs/>
          <w:i/>
          <w:iCs/>
          <w:color w:val="000000"/>
          <w:szCs w:val="24"/>
          <w:u w:val="single"/>
        </w:rPr>
        <w:t>New York City Building Code</w:t>
      </w:r>
      <w:r w:rsidRPr="001B7F77">
        <w:rPr>
          <w:rFonts w:eastAsia="Calibri"/>
          <w:bCs/>
          <w:color w:val="000000"/>
          <w:szCs w:val="24"/>
          <w:u w:val="single"/>
        </w:rPr>
        <w:t xml:space="preserve">, the fire-resistance rating of the existing building elements that were allowed to be reduced in accordance with Table 601 of the </w:t>
      </w:r>
      <w:r w:rsidRPr="001B7F77">
        <w:rPr>
          <w:rFonts w:eastAsia="Calibri"/>
          <w:bCs/>
          <w:i/>
          <w:iCs/>
          <w:color w:val="000000"/>
          <w:szCs w:val="24"/>
          <w:u w:val="single"/>
        </w:rPr>
        <w:t>New York City Building Code</w:t>
      </w:r>
      <w:r w:rsidRPr="001B7F77">
        <w:rPr>
          <w:rFonts w:eastAsia="Calibri"/>
          <w:bCs/>
          <w:color w:val="000000"/>
          <w:szCs w:val="24"/>
          <w:u w:val="single"/>
        </w:rPr>
        <w:t xml:space="preserve"> may be maintained. However, any proposed change to the construction classification of the building or fire-resistance rating of the building elements shall be made to comply with Section 403.2.1 of the </w:t>
      </w:r>
      <w:r w:rsidRPr="001B7F77">
        <w:rPr>
          <w:rFonts w:eastAsia="Calibri"/>
          <w:bCs/>
          <w:i/>
          <w:iCs/>
          <w:color w:val="000000"/>
          <w:szCs w:val="24"/>
          <w:u w:val="single"/>
        </w:rPr>
        <w:t>New York City Building Code</w:t>
      </w:r>
      <w:r w:rsidRPr="001B7F77">
        <w:rPr>
          <w:rFonts w:eastAsia="Calibri"/>
          <w:bCs/>
          <w:color w:val="000000"/>
          <w:szCs w:val="24"/>
          <w:u w:val="single"/>
        </w:rPr>
        <w:t>.</w:t>
      </w:r>
    </w:p>
    <w:bookmarkEnd w:id="206"/>
    <w:p w14:paraId="3FB3A32C" w14:textId="77777777" w:rsidR="001B7F77" w:rsidRPr="001B7F77" w:rsidRDefault="001B7F77" w:rsidP="001B7F77">
      <w:pPr>
        <w:suppressAutoHyphens/>
        <w:spacing w:before="120"/>
        <w:ind w:left="720"/>
        <w:rPr>
          <w:rFonts w:eastAsia="Times"/>
          <w:color w:val="000000"/>
          <w:szCs w:val="24"/>
          <w:u w:val="single"/>
        </w:rPr>
      </w:pPr>
      <w:r w:rsidRPr="001B7F77">
        <w:rPr>
          <w:rFonts w:eastAsia="Times"/>
          <w:b/>
          <w:color w:val="000000"/>
          <w:szCs w:val="24"/>
          <w:u w:val="single"/>
        </w:rPr>
        <w:t>1003.2.1.1 Fire wall alternative.</w:t>
      </w:r>
      <w:r w:rsidRPr="001B7F77">
        <w:rPr>
          <w:rFonts w:eastAsia="Times"/>
          <w:color w:val="000000"/>
          <w:szCs w:val="24"/>
          <w:u w:val="single"/>
        </w:rPr>
        <w:t xml:space="preserve"> In groups other than Groups H, F-1 and S-1, fire barriers and horizontal assemblies constructed in accordance with Sections 707 and 711 of the </w:t>
      </w:r>
      <w:r w:rsidRPr="001B7F77">
        <w:rPr>
          <w:rFonts w:eastAsia="Times"/>
          <w:i/>
          <w:iCs/>
          <w:color w:val="000000"/>
          <w:szCs w:val="24"/>
          <w:u w:val="single"/>
        </w:rPr>
        <w:t>New York City Building Code</w:t>
      </w:r>
      <w:r w:rsidRPr="001B7F77">
        <w:rPr>
          <w:rFonts w:eastAsia="Times"/>
          <w:color w:val="000000"/>
          <w:szCs w:val="24"/>
          <w:u w:val="single"/>
        </w:rPr>
        <w:t xml:space="preserve"> shall be permitted to be used in lieu of fire walls to subdivide the building into separate buildings for the purpose of complying with the area limitations required for the new occupancy where all of the following conditions are met:</w:t>
      </w:r>
    </w:p>
    <w:p w14:paraId="6987B2A3" w14:textId="77777777" w:rsidR="001B7F77" w:rsidRPr="001B7F77" w:rsidRDefault="001B7F77" w:rsidP="001B7F77">
      <w:pPr>
        <w:suppressAutoHyphens/>
        <w:spacing w:before="120"/>
        <w:ind w:left="1440" w:hanging="330"/>
        <w:rPr>
          <w:rFonts w:eastAsia="Times"/>
          <w:color w:val="000000"/>
          <w:szCs w:val="24"/>
          <w:u w:val="single"/>
        </w:rPr>
      </w:pPr>
      <w:r w:rsidRPr="001B7F77">
        <w:rPr>
          <w:rFonts w:eastAsia="Times"/>
          <w:color w:val="000000"/>
          <w:szCs w:val="24"/>
          <w:u w:val="single"/>
        </w:rPr>
        <w:t>1.</w:t>
      </w:r>
      <w:r w:rsidRPr="001B7F77">
        <w:rPr>
          <w:rFonts w:eastAsia="Times"/>
          <w:color w:val="000000"/>
          <w:szCs w:val="24"/>
          <w:u w:val="single"/>
        </w:rPr>
        <w:tab/>
        <w:t xml:space="preserve">The buildings are protected throughout with an automatic sprinkler system in accordance with Section 903.3.1.1 of the </w:t>
      </w:r>
      <w:r w:rsidRPr="001B7F77">
        <w:rPr>
          <w:rFonts w:eastAsia="Times"/>
          <w:i/>
          <w:iCs/>
          <w:color w:val="000000"/>
          <w:szCs w:val="24"/>
          <w:u w:val="single"/>
        </w:rPr>
        <w:t>New York City Building Code</w:t>
      </w:r>
      <w:r w:rsidRPr="001B7F77">
        <w:rPr>
          <w:rFonts w:eastAsia="Times"/>
          <w:color w:val="000000"/>
          <w:szCs w:val="24"/>
          <w:u w:val="single"/>
        </w:rPr>
        <w:t>;</w:t>
      </w:r>
    </w:p>
    <w:p w14:paraId="15DD0763" w14:textId="77777777" w:rsidR="001B7F77" w:rsidRPr="001B7F77" w:rsidRDefault="001B7F77" w:rsidP="001B7F77">
      <w:pPr>
        <w:suppressAutoHyphens/>
        <w:spacing w:before="120"/>
        <w:ind w:left="1440" w:hanging="330"/>
        <w:rPr>
          <w:rFonts w:eastAsia="Times"/>
          <w:color w:val="000000"/>
          <w:u w:val="single"/>
        </w:rPr>
      </w:pPr>
      <w:r w:rsidRPr="001B7F77">
        <w:rPr>
          <w:rFonts w:eastAsia="Times"/>
          <w:color w:val="000000"/>
          <w:szCs w:val="24"/>
          <w:u w:val="single"/>
        </w:rPr>
        <w:t>2.</w:t>
      </w:r>
      <w:r w:rsidRPr="001B7F77">
        <w:rPr>
          <w:rFonts w:eastAsia="Times"/>
          <w:color w:val="000000"/>
          <w:szCs w:val="24"/>
          <w:u w:val="single"/>
        </w:rPr>
        <w:tab/>
        <w:t>The maximum allowable area between fire barriers, horizontal assemblies, or any combination thereof shall not exceed the maximum allowable ar</w:t>
      </w:r>
      <w:r w:rsidRPr="001B7F77">
        <w:rPr>
          <w:rFonts w:eastAsia="Times"/>
          <w:color w:val="000000"/>
          <w:u w:val="single"/>
        </w:rPr>
        <w:t xml:space="preserve">ea determined in accordance with Chapter 5 of the </w:t>
      </w:r>
      <w:r w:rsidRPr="001B7F77">
        <w:rPr>
          <w:rFonts w:eastAsia="Times"/>
          <w:i/>
          <w:iCs/>
          <w:color w:val="000000"/>
          <w:u w:val="single"/>
        </w:rPr>
        <w:t>New York City Building Code</w:t>
      </w:r>
      <w:r w:rsidRPr="001B7F77">
        <w:rPr>
          <w:rFonts w:eastAsia="Times"/>
          <w:color w:val="000000"/>
          <w:u w:val="single"/>
        </w:rPr>
        <w:t xml:space="preserve"> without an increase allowed for an automatic sprinkler system in accordance with Section 506 of the </w:t>
      </w:r>
      <w:r w:rsidRPr="001B7F77">
        <w:rPr>
          <w:rFonts w:eastAsia="Times"/>
          <w:i/>
          <w:iCs/>
          <w:color w:val="000000"/>
          <w:u w:val="single"/>
        </w:rPr>
        <w:t>New York City Building Code</w:t>
      </w:r>
      <w:r w:rsidRPr="001B7F77">
        <w:rPr>
          <w:rFonts w:eastAsia="Times"/>
          <w:color w:val="000000"/>
          <w:u w:val="single"/>
        </w:rPr>
        <w:t>; and</w:t>
      </w:r>
    </w:p>
    <w:p w14:paraId="5B711138" w14:textId="77777777" w:rsidR="001B7F77" w:rsidRPr="001B7F77" w:rsidRDefault="001B7F77" w:rsidP="001B7F77">
      <w:pPr>
        <w:suppressAutoHyphens/>
        <w:spacing w:before="120"/>
        <w:ind w:left="1440" w:hanging="330"/>
        <w:rPr>
          <w:rFonts w:eastAsia="Times"/>
          <w:color w:val="000000"/>
          <w:u w:val="single"/>
        </w:rPr>
      </w:pPr>
      <w:r w:rsidRPr="001B7F77">
        <w:rPr>
          <w:rFonts w:eastAsia="Times"/>
          <w:color w:val="000000"/>
          <w:u w:val="single"/>
        </w:rPr>
        <w:t>3.</w:t>
      </w:r>
      <w:r w:rsidRPr="001B7F77">
        <w:rPr>
          <w:rFonts w:eastAsia="Times"/>
          <w:color w:val="000000"/>
          <w:u w:val="single"/>
        </w:rPr>
        <w:tab/>
        <w:t xml:space="preserve">The fire-resistance rating of the fire barriers and horizontal assemblies shall be not less than that specified for fire walls in Table 706.4 of the </w:t>
      </w:r>
      <w:r w:rsidRPr="001B7F77">
        <w:rPr>
          <w:rFonts w:eastAsia="Times"/>
          <w:i/>
          <w:iCs/>
          <w:color w:val="000000"/>
          <w:u w:val="single"/>
        </w:rPr>
        <w:t>New York City Building Code</w:t>
      </w:r>
      <w:r w:rsidRPr="001B7F77">
        <w:rPr>
          <w:rFonts w:eastAsia="Times"/>
          <w:color w:val="000000"/>
          <w:u w:val="single"/>
        </w:rPr>
        <w:t>.</w:t>
      </w:r>
    </w:p>
    <w:p w14:paraId="1BAE6A49" w14:textId="77777777" w:rsidR="001B7F77" w:rsidRPr="001B7F77" w:rsidRDefault="001B7F77" w:rsidP="001B7F77">
      <w:pPr>
        <w:suppressAutoHyphens/>
        <w:spacing w:before="120"/>
        <w:ind w:left="1080"/>
        <w:rPr>
          <w:rFonts w:eastAsia="Times"/>
          <w:color w:val="000000"/>
          <w:u w:val="single"/>
        </w:rPr>
      </w:pPr>
      <w:r w:rsidRPr="001B7F77">
        <w:rPr>
          <w:rFonts w:eastAsia="Times"/>
          <w:b/>
          <w:color w:val="000000"/>
          <w:u w:val="single"/>
        </w:rPr>
        <w:t>Exception</w:t>
      </w:r>
      <w:r w:rsidRPr="001B7F77">
        <w:rPr>
          <w:rFonts w:eastAsia="Times"/>
          <w:color w:val="000000"/>
          <w:u w:val="single"/>
        </w:rPr>
        <w:t xml:space="preserve">: Where horizontal assemblies are used to limit the maximum allowable area, the required fire-resistance rating of the horizontal assemblies shall be permitted to be reduced by 1 hour provided the height and number of stories increases allowed for an automatic sprinkler system by Section 504 of the </w:t>
      </w:r>
      <w:r w:rsidRPr="001B7F77">
        <w:rPr>
          <w:rFonts w:eastAsia="Times"/>
          <w:i/>
          <w:iCs/>
          <w:color w:val="000000"/>
          <w:u w:val="single"/>
        </w:rPr>
        <w:t>New York City Building Code</w:t>
      </w:r>
      <w:r w:rsidRPr="001B7F77">
        <w:rPr>
          <w:rFonts w:eastAsia="Times"/>
          <w:color w:val="000000"/>
          <w:u w:val="single"/>
        </w:rPr>
        <w:t xml:space="preserve"> are not used for the buildings.</w:t>
      </w:r>
    </w:p>
    <w:p w14:paraId="0D303D4D" w14:textId="77777777" w:rsidR="001B7F77" w:rsidRPr="001B7F77" w:rsidRDefault="001B7F77" w:rsidP="001B7F77">
      <w:pPr>
        <w:suppressAutoHyphens/>
        <w:spacing w:before="120"/>
        <w:ind w:left="360"/>
        <w:rPr>
          <w:rFonts w:eastAsia="Times"/>
          <w:color w:val="000000"/>
          <w:u w:val="single"/>
        </w:rPr>
      </w:pPr>
      <w:r w:rsidRPr="001B7F77">
        <w:rPr>
          <w:rFonts w:eastAsia="Times"/>
          <w:b/>
          <w:color w:val="000000"/>
          <w:u w:val="single"/>
        </w:rPr>
        <w:t xml:space="preserve">1003.2.2 Fire barriers. </w:t>
      </w:r>
      <w:r w:rsidRPr="001B7F77">
        <w:rPr>
          <w:rFonts w:eastAsia="Times"/>
          <w:color w:val="000000"/>
          <w:u w:val="single"/>
        </w:rPr>
        <w:t xml:space="preserve">Where a change of occupancy classification is made to a higher hazard category (lower number) as shown in Table 1003.2 of this code, fire barriers in separated mixed use buildings shall comply with the fire-resistance requirements of the </w:t>
      </w:r>
      <w:r w:rsidRPr="001B7F77">
        <w:rPr>
          <w:rFonts w:eastAsia="Times"/>
          <w:i/>
          <w:iCs/>
          <w:color w:val="000000"/>
          <w:u w:val="single"/>
        </w:rPr>
        <w:t>New York City Building Code</w:t>
      </w:r>
      <w:r w:rsidRPr="001B7F77">
        <w:rPr>
          <w:rFonts w:eastAsia="Times"/>
          <w:color w:val="000000"/>
          <w:u w:val="single"/>
        </w:rPr>
        <w:t>.</w:t>
      </w:r>
    </w:p>
    <w:p w14:paraId="0EAC7117" w14:textId="77777777" w:rsidR="001B7F77" w:rsidRPr="001B7F77" w:rsidRDefault="001B7F77" w:rsidP="001B7F77">
      <w:pPr>
        <w:suppressAutoHyphens/>
        <w:spacing w:before="120"/>
        <w:ind w:left="720"/>
        <w:rPr>
          <w:rFonts w:eastAsia="Times"/>
          <w:color w:val="000000"/>
          <w:u w:val="single"/>
        </w:rPr>
      </w:pPr>
      <w:r w:rsidRPr="001B7F77">
        <w:rPr>
          <w:rFonts w:eastAsia="Times"/>
          <w:b/>
          <w:color w:val="000000"/>
          <w:u w:val="single"/>
        </w:rPr>
        <w:t>Exception</w:t>
      </w:r>
      <w:r w:rsidRPr="001B7F77">
        <w:rPr>
          <w:rFonts w:eastAsia="Times"/>
          <w:color w:val="000000"/>
          <w:u w:val="single"/>
        </w:rPr>
        <w:t xml:space="preserve">: In prior code buildings subject to verification by the registered design professional of record, where the fire barriers are required to have a 1-hour fire-resistance rating, existing wood lath and plaster in good condition, existing </w:t>
      </w:r>
      <w:r w:rsidRPr="001B7F77">
        <w:rPr>
          <w:rFonts w:eastAsia="Times"/>
          <w:color w:val="000000"/>
          <w:u w:val="single"/>
          <w:vertAlign w:val="superscript"/>
        </w:rPr>
        <w:t>1</w:t>
      </w:r>
      <w:r w:rsidRPr="001B7F77">
        <w:rPr>
          <w:rFonts w:eastAsia="Times"/>
          <w:color w:val="000000"/>
          <w:u w:val="single"/>
        </w:rPr>
        <w:t>/</w:t>
      </w:r>
      <w:r w:rsidRPr="001B7F77">
        <w:rPr>
          <w:rFonts w:eastAsia="Times"/>
          <w:color w:val="000000"/>
          <w:u w:val="single"/>
          <w:vertAlign w:val="subscript"/>
        </w:rPr>
        <w:t>2</w:t>
      </w:r>
      <w:r w:rsidRPr="001B7F77">
        <w:rPr>
          <w:rFonts w:eastAsia="Times"/>
          <w:color w:val="000000"/>
          <w:u w:val="single"/>
        </w:rPr>
        <w:t>-inch-thick (12.7 mm) gypsum wallboard or other materials acceptable to the department shall be permitted.</w:t>
      </w:r>
    </w:p>
    <w:p w14:paraId="087B4917" w14:textId="77777777" w:rsidR="001B7F77" w:rsidRPr="001B7F77" w:rsidRDefault="001B7F77" w:rsidP="001B7F77">
      <w:pPr>
        <w:suppressAutoHyphens/>
        <w:spacing w:before="120"/>
        <w:ind w:left="360"/>
        <w:rPr>
          <w:rFonts w:eastAsia="Times"/>
          <w:color w:val="000000"/>
        </w:rPr>
      </w:pPr>
      <w:r w:rsidRPr="001B7F77">
        <w:rPr>
          <w:rFonts w:eastAsia="Times"/>
          <w:b/>
          <w:color w:val="000000"/>
          <w:u w:val="single"/>
        </w:rPr>
        <w:t>1003.2.3 Height and area for change to equal or lesser hazard category</w:t>
      </w:r>
      <w:r w:rsidRPr="001B7F77">
        <w:rPr>
          <w:rFonts w:eastAsia="Times"/>
          <w:color w:val="000000"/>
          <w:u w:val="single"/>
        </w:rPr>
        <w:t>. Where a change of occupancy classification is made to an equal or lesser hazard category (higher number) as shown in Table 1003.2 of this code, the height and area of the existing building shall be deemed acceptable.</w:t>
      </w:r>
    </w:p>
    <w:p w14:paraId="7CAFA0A3" w14:textId="77777777" w:rsidR="001B7F77" w:rsidRPr="001B7F77" w:rsidRDefault="001B7F77" w:rsidP="001B7F77">
      <w:pPr>
        <w:suppressAutoHyphens/>
        <w:spacing w:before="120"/>
        <w:rPr>
          <w:rFonts w:eastAsia="Times"/>
          <w:color w:val="000000"/>
        </w:rPr>
      </w:pPr>
      <w:r w:rsidRPr="001B7F77">
        <w:rPr>
          <w:rFonts w:eastAsia="Times"/>
          <w:b/>
          <w:color w:val="000000"/>
          <w:u w:val="single"/>
        </w:rPr>
        <w:t>1003.3 Exterior wall fire-resistance ratings</w:t>
      </w:r>
      <w:r w:rsidRPr="001B7F77">
        <w:rPr>
          <w:rFonts w:eastAsia="Times"/>
          <w:color w:val="000000"/>
          <w:u w:val="single"/>
        </w:rPr>
        <w:t>. Hazard categories with regard to fire-resistance ratings of exterior walls shall be in accordance with Table 1003.3.</w:t>
      </w:r>
    </w:p>
    <w:p w14:paraId="78B290A3" w14:textId="77777777" w:rsidR="001B7F77" w:rsidRPr="001B7F77" w:rsidRDefault="001B7F77" w:rsidP="001B7F77">
      <w:pPr>
        <w:widowControl w:val="0"/>
        <w:suppressAutoHyphens/>
        <w:spacing w:before="120"/>
        <w:jc w:val="center"/>
        <w:outlineLvl w:val="0"/>
        <w:rPr>
          <w:rFonts w:eastAsia="Helvetica Neue"/>
          <w:b/>
          <w:color w:val="000000"/>
          <w:u w:val="single"/>
        </w:rPr>
      </w:pPr>
      <w:r w:rsidRPr="001B7F77">
        <w:rPr>
          <w:rFonts w:eastAsia="Helvetica Neue"/>
          <w:b/>
          <w:color w:val="000000"/>
          <w:u w:val="single"/>
        </w:rPr>
        <w:t xml:space="preserve">TABLE </w:t>
      </w:r>
      <w:r w:rsidRPr="001B7F77">
        <w:rPr>
          <w:b/>
          <w:color w:val="000000"/>
          <w:u w:val="single"/>
        </w:rPr>
        <w:t>1003</w:t>
      </w:r>
      <w:r w:rsidRPr="001B7F77">
        <w:rPr>
          <w:rFonts w:eastAsia="Helvetica Neue"/>
          <w:b/>
          <w:color w:val="000000"/>
          <w:u w:val="single"/>
        </w:rPr>
        <w:t>.3</w:t>
      </w:r>
      <w:r w:rsidRPr="001B7F77">
        <w:rPr>
          <w:rFonts w:eastAsia="Helvetica Neue"/>
          <w:b/>
          <w:color w:val="000000"/>
          <w:u w:val="single"/>
        </w:rPr>
        <w:br/>
        <w:t>EXPOSURE OF EXTERIOR WALLS HAZARD CATEGORIES</w:t>
      </w:r>
    </w:p>
    <w:tbl>
      <w:tblPr>
        <w:tblW w:w="5000" w:type="pct"/>
        <w:tblCellMar>
          <w:top w:w="60" w:type="dxa"/>
          <w:left w:w="40" w:type="dxa"/>
          <w:bottom w:w="20" w:type="dxa"/>
          <w:right w:w="40" w:type="dxa"/>
        </w:tblCellMar>
        <w:tblLook w:val="04A0" w:firstRow="1" w:lastRow="0" w:firstColumn="1" w:lastColumn="0" w:noHBand="0" w:noVBand="1"/>
      </w:tblPr>
      <w:tblGrid>
        <w:gridCol w:w="3229"/>
        <w:gridCol w:w="6121"/>
      </w:tblGrid>
      <w:tr w:rsidR="001B7F77" w:rsidRPr="001B7F77" w14:paraId="2DB7C323" w14:textId="77777777" w:rsidTr="006655A1">
        <w:trPr>
          <w:cantSplit/>
          <w:trHeight w:val="150"/>
        </w:trPr>
        <w:tc>
          <w:tcPr>
            <w:tcW w:w="1727" w:type="pct"/>
            <w:tcBorders>
              <w:top w:val="single" w:sz="4" w:space="0" w:color="000000"/>
              <w:left w:val="single" w:sz="4" w:space="0" w:color="000000"/>
              <w:bottom w:val="single" w:sz="4" w:space="0" w:color="000000"/>
              <w:right w:val="single" w:sz="4" w:space="0" w:color="000000"/>
            </w:tcBorders>
            <w:vAlign w:val="center"/>
            <w:hideMark/>
          </w:tcPr>
          <w:p w14:paraId="7563AE21" w14:textId="77777777" w:rsidR="001B7F77" w:rsidRPr="001B7F77" w:rsidRDefault="001B7F77" w:rsidP="001B7F77">
            <w:pPr>
              <w:suppressAutoHyphens/>
              <w:spacing w:before="120"/>
              <w:jc w:val="center"/>
              <w:rPr>
                <w:rFonts w:eastAsia="Helvetica Neue"/>
                <w:b/>
                <w:color w:val="000000"/>
                <w:u w:val="single"/>
              </w:rPr>
            </w:pPr>
            <w:r w:rsidRPr="001B7F77">
              <w:rPr>
                <w:rFonts w:eastAsia="Helvetica Neue"/>
                <w:b/>
                <w:color w:val="000000"/>
                <w:u w:val="single"/>
              </w:rPr>
              <w:t>RELATIVE HAZARD</w:t>
            </w:r>
          </w:p>
        </w:tc>
        <w:tc>
          <w:tcPr>
            <w:tcW w:w="3273" w:type="pct"/>
            <w:tcBorders>
              <w:top w:val="single" w:sz="4" w:space="0" w:color="000000"/>
              <w:left w:val="single" w:sz="4" w:space="0" w:color="000000"/>
              <w:bottom w:val="single" w:sz="4" w:space="0" w:color="000000"/>
              <w:right w:val="single" w:sz="4" w:space="0" w:color="000000"/>
            </w:tcBorders>
            <w:vAlign w:val="center"/>
            <w:hideMark/>
          </w:tcPr>
          <w:p w14:paraId="0C1C1E01" w14:textId="77777777" w:rsidR="001B7F77" w:rsidRPr="001B7F77" w:rsidRDefault="001B7F77" w:rsidP="001B7F77">
            <w:pPr>
              <w:suppressAutoHyphens/>
              <w:spacing w:before="120"/>
              <w:jc w:val="center"/>
              <w:rPr>
                <w:rFonts w:eastAsia="Helvetica Neue"/>
                <w:b/>
                <w:color w:val="000000"/>
                <w:u w:val="single"/>
              </w:rPr>
            </w:pPr>
            <w:r w:rsidRPr="001B7F77">
              <w:rPr>
                <w:rFonts w:eastAsia="Helvetica Neue"/>
                <w:b/>
                <w:color w:val="000000"/>
                <w:u w:val="single"/>
              </w:rPr>
              <w:t>OCCUPANCY CLASSIFICATION</w:t>
            </w:r>
          </w:p>
        </w:tc>
      </w:tr>
      <w:tr w:rsidR="001B7F77" w:rsidRPr="001B7F77" w14:paraId="0BF6BBCD" w14:textId="77777777" w:rsidTr="006655A1">
        <w:trPr>
          <w:cantSplit/>
          <w:trHeight w:val="195"/>
        </w:trPr>
        <w:tc>
          <w:tcPr>
            <w:tcW w:w="1727" w:type="pct"/>
            <w:tcBorders>
              <w:top w:val="single" w:sz="4" w:space="0" w:color="000000"/>
              <w:left w:val="single" w:sz="4" w:space="0" w:color="000000"/>
              <w:bottom w:val="single" w:sz="4" w:space="0" w:color="000000"/>
              <w:right w:val="single" w:sz="4" w:space="0" w:color="000000"/>
            </w:tcBorders>
            <w:vAlign w:val="center"/>
            <w:hideMark/>
          </w:tcPr>
          <w:p w14:paraId="7DC5E715" w14:textId="77777777" w:rsidR="001B7F77" w:rsidRPr="001B7F77" w:rsidRDefault="001B7F77" w:rsidP="001B7F77">
            <w:pPr>
              <w:suppressAutoHyphens/>
              <w:spacing w:before="120"/>
              <w:jc w:val="center"/>
              <w:rPr>
                <w:rFonts w:eastAsia="Times"/>
                <w:color w:val="000000"/>
                <w:u w:val="single"/>
              </w:rPr>
            </w:pPr>
            <w:r w:rsidRPr="001B7F77">
              <w:rPr>
                <w:rFonts w:eastAsia="Times"/>
                <w:color w:val="000000"/>
                <w:u w:val="single"/>
              </w:rPr>
              <w:t>1 (Highest Hazard)</w:t>
            </w:r>
          </w:p>
        </w:tc>
        <w:tc>
          <w:tcPr>
            <w:tcW w:w="3273" w:type="pct"/>
            <w:tcBorders>
              <w:top w:val="single" w:sz="4" w:space="0" w:color="000000"/>
              <w:left w:val="single" w:sz="4" w:space="0" w:color="000000"/>
              <w:bottom w:val="single" w:sz="4" w:space="0" w:color="000000"/>
              <w:right w:val="single" w:sz="4" w:space="0" w:color="000000"/>
            </w:tcBorders>
            <w:vAlign w:val="center"/>
            <w:hideMark/>
          </w:tcPr>
          <w:p w14:paraId="2C3F1AE0" w14:textId="77777777" w:rsidR="001B7F77" w:rsidRPr="001B7F77" w:rsidRDefault="001B7F77" w:rsidP="001B7F77">
            <w:pPr>
              <w:suppressAutoHyphens/>
              <w:spacing w:before="120"/>
              <w:jc w:val="center"/>
              <w:rPr>
                <w:rFonts w:eastAsia="Times"/>
                <w:color w:val="000000"/>
                <w:u w:val="single"/>
              </w:rPr>
            </w:pPr>
            <w:r w:rsidRPr="001B7F77">
              <w:rPr>
                <w:rFonts w:eastAsia="Times"/>
                <w:color w:val="000000"/>
                <w:u w:val="single"/>
              </w:rPr>
              <w:t>H</w:t>
            </w:r>
          </w:p>
        </w:tc>
      </w:tr>
      <w:tr w:rsidR="001B7F77" w:rsidRPr="001B7F77" w14:paraId="1833CB3E" w14:textId="77777777" w:rsidTr="006655A1">
        <w:trPr>
          <w:cantSplit/>
          <w:trHeight w:val="195"/>
        </w:trPr>
        <w:tc>
          <w:tcPr>
            <w:tcW w:w="1727" w:type="pct"/>
            <w:tcBorders>
              <w:top w:val="single" w:sz="4" w:space="0" w:color="000000"/>
              <w:left w:val="single" w:sz="4" w:space="0" w:color="000000"/>
              <w:bottom w:val="single" w:sz="4" w:space="0" w:color="000000"/>
              <w:right w:val="single" w:sz="4" w:space="0" w:color="000000"/>
            </w:tcBorders>
            <w:vAlign w:val="center"/>
            <w:hideMark/>
          </w:tcPr>
          <w:p w14:paraId="138F5256" w14:textId="77777777" w:rsidR="001B7F77" w:rsidRPr="001B7F77" w:rsidRDefault="001B7F77" w:rsidP="001B7F77">
            <w:pPr>
              <w:suppressAutoHyphens/>
              <w:spacing w:before="120"/>
              <w:jc w:val="center"/>
              <w:rPr>
                <w:rFonts w:eastAsia="Times"/>
                <w:color w:val="000000"/>
                <w:u w:val="single"/>
              </w:rPr>
            </w:pPr>
            <w:r w:rsidRPr="001B7F77">
              <w:rPr>
                <w:rFonts w:eastAsia="Times"/>
                <w:color w:val="000000"/>
                <w:u w:val="single"/>
              </w:rPr>
              <w:t>2</w:t>
            </w:r>
          </w:p>
        </w:tc>
        <w:tc>
          <w:tcPr>
            <w:tcW w:w="3273" w:type="pct"/>
            <w:tcBorders>
              <w:top w:val="single" w:sz="4" w:space="0" w:color="000000"/>
              <w:left w:val="single" w:sz="4" w:space="0" w:color="000000"/>
              <w:bottom w:val="single" w:sz="4" w:space="0" w:color="000000"/>
              <w:right w:val="single" w:sz="4" w:space="0" w:color="000000"/>
            </w:tcBorders>
            <w:vAlign w:val="center"/>
            <w:hideMark/>
          </w:tcPr>
          <w:p w14:paraId="7C565CD1" w14:textId="77777777" w:rsidR="001B7F77" w:rsidRPr="001B7F77" w:rsidRDefault="001B7F77" w:rsidP="001B7F77">
            <w:pPr>
              <w:suppressAutoHyphens/>
              <w:spacing w:before="120"/>
              <w:jc w:val="center"/>
              <w:rPr>
                <w:rFonts w:eastAsia="Times"/>
                <w:color w:val="000000"/>
                <w:u w:val="single"/>
              </w:rPr>
            </w:pPr>
            <w:r w:rsidRPr="001B7F77">
              <w:rPr>
                <w:rFonts w:eastAsia="Times"/>
                <w:color w:val="000000"/>
                <w:u w:val="single"/>
              </w:rPr>
              <w:t>F-1, M, S-1</w:t>
            </w:r>
          </w:p>
        </w:tc>
      </w:tr>
      <w:tr w:rsidR="001B7F77" w:rsidRPr="001B7F77" w14:paraId="1AA46183" w14:textId="77777777" w:rsidTr="006655A1">
        <w:trPr>
          <w:cantSplit/>
          <w:trHeight w:val="195"/>
        </w:trPr>
        <w:tc>
          <w:tcPr>
            <w:tcW w:w="1727" w:type="pct"/>
            <w:tcBorders>
              <w:top w:val="single" w:sz="4" w:space="0" w:color="000000"/>
              <w:left w:val="single" w:sz="4" w:space="0" w:color="000000"/>
              <w:bottom w:val="single" w:sz="4" w:space="0" w:color="000000"/>
              <w:right w:val="single" w:sz="4" w:space="0" w:color="000000"/>
            </w:tcBorders>
            <w:vAlign w:val="center"/>
            <w:hideMark/>
          </w:tcPr>
          <w:p w14:paraId="1608D32E" w14:textId="77777777" w:rsidR="001B7F77" w:rsidRPr="001B7F77" w:rsidRDefault="001B7F77" w:rsidP="001B7F77">
            <w:pPr>
              <w:suppressAutoHyphens/>
              <w:spacing w:before="120"/>
              <w:jc w:val="center"/>
              <w:rPr>
                <w:rFonts w:eastAsia="Times"/>
                <w:color w:val="000000"/>
                <w:u w:val="single"/>
              </w:rPr>
            </w:pPr>
            <w:r w:rsidRPr="001B7F77">
              <w:rPr>
                <w:rFonts w:eastAsia="Times"/>
                <w:color w:val="000000"/>
                <w:u w:val="single"/>
              </w:rPr>
              <w:t>3</w:t>
            </w:r>
          </w:p>
        </w:tc>
        <w:tc>
          <w:tcPr>
            <w:tcW w:w="3273" w:type="pct"/>
            <w:tcBorders>
              <w:top w:val="single" w:sz="4" w:space="0" w:color="000000"/>
              <w:left w:val="single" w:sz="4" w:space="0" w:color="000000"/>
              <w:bottom w:val="single" w:sz="4" w:space="0" w:color="000000"/>
              <w:right w:val="single" w:sz="4" w:space="0" w:color="000000"/>
            </w:tcBorders>
            <w:vAlign w:val="center"/>
            <w:hideMark/>
          </w:tcPr>
          <w:p w14:paraId="6B9A5464" w14:textId="77777777" w:rsidR="001B7F77" w:rsidRPr="001B7F77" w:rsidRDefault="001B7F77" w:rsidP="001B7F77">
            <w:pPr>
              <w:suppressAutoHyphens/>
              <w:spacing w:before="120"/>
              <w:jc w:val="center"/>
              <w:rPr>
                <w:rFonts w:eastAsia="Times"/>
                <w:color w:val="000000"/>
                <w:u w:val="single"/>
              </w:rPr>
            </w:pPr>
            <w:r w:rsidRPr="001B7F77">
              <w:rPr>
                <w:rFonts w:eastAsia="Times"/>
                <w:color w:val="000000"/>
                <w:u w:val="single"/>
              </w:rPr>
              <w:t>A, B, E, I, R</w:t>
            </w:r>
          </w:p>
        </w:tc>
      </w:tr>
      <w:tr w:rsidR="001B7F77" w:rsidRPr="001B7F77" w14:paraId="48C2B434" w14:textId="77777777" w:rsidTr="006655A1">
        <w:trPr>
          <w:cantSplit/>
          <w:trHeight w:val="195"/>
        </w:trPr>
        <w:tc>
          <w:tcPr>
            <w:tcW w:w="1727" w:type="pct"/>
            <w:tcBorders>
              <w:top w:val="single" w:sz="4" w:space="0" w:color="000000"/>
              <w:left w:val="single" w:sz="4" w:space="0" w:color="000000"/>
              <w:bottom w:val="single" w:sz="4" w:space="0" w:color="000000"/>
              <w:right w:val="single" w:sz="4" w:space="0" w:color="000000"/>
            </w:tcBorders>
            <w:vAlign w:val="center"/>
            <w:hideMark/>
          </w:tcPr>
          <w:p w14:paraId="2F3DA8B2" w14:textId="77777777" w:rsidR="001B7F77" w:rsidRPr="001B7F77" w:rsidRDefault="001B7F77" w:rsidP="001B7F77">
            <w:pPr>
              <w:suppressAutoHyphens/>
              <w:spacing w:before="120"/>
              <w:jc w:val="center"/>
              <w:rPr>
                <w:rFonts w:eastAsia="Times"/>
                <w:color w:val="000000"/>
                <w:u w:val="single"/>
              </w:rPr>
            </w:pPr>
            <w:r w:rsidRPr="001B7F77">
              <w:rPr>
                <w:rFonts w:eastAsia="Times"/>
                <w:color w:val="000000"/>
                <w:u w:val="single"/>
              </w:rPr>
              <w:t>4 (Lowest Hazard)</w:t>
            </w:r>
          </w:p>
        </w:tc>
        <w:tc>
          <w:tcPr>
            <w:tcW w:w="3273" w:type="pct"/>
            <w:tcBorders>
              <w:top w:val="single" w:sz="4" w:space="0" w:color="000000"/>
              <w:left w:val="single" w:sz="4" w:space="0" w:color="000000"/>
              <w:bottom w:val="single" w:sz="4" w:space="0" w:color="000000"/>
              <w:right w:val="single" w:sz="4" w:space="0" w:color="000000"/>
            </w:tcBorders>
            <w:vAlign w:val="center"/>
            <w:hideMark/>
          </w:tcPr>
          <w:p w14:paraId="6B7D80CA" w14:textId="77777777" w:rsidR="001B7F77" w:rsidRPr="001B7F77" w:rsidRDefault="001B7F77" w:rsidP="001B7F77">
            <w:pPr>
              <w:suppressAutoHyphens/>
              <w:spacing w:before="120"/>
              <w:jc w:val="center"/>
              <w:rPr>
                <w:rFonts w:eastAsia="Times"/>
                <w:color w:val="000000"/>
                <w:u w:val="single"/>
              </w:rPr>
            </w:pPr>
            <w:r w:rsidRPr="001B7F77">
              <w:rPr>
                <w:rFonts w:eastAsia="Times"/>
                <w:color w:val="000000"/>
                <w:u w:val="single"/>
              </w:rPr>
              <w:t>F-2, S-2, U</w:t>
            </w:r>
          </w:p>
        </w:tc>
      </w:tr>
    </w:tbl>
    <w:p w14:paraId="7087FB3D" w14:textId="77777777" w:rsidR="001B7F77" w:rsidRPr="001B7F77" w:rsidRDefault="001B7F77" w:rsidP="001B7F77">
      <w:pPr>
        <w:suppressAutoHyphens/>
        <w:spacing w:before="120"/>
        <w:ind w:left="360"/>
        <w:rPr>
          <w:rFonts w:eastAsia="Times"/>
          <w:color w:val="000000"/>
          <w:u w:val="single"/>
        </w:rPr>
      </w:pPr>
      <w:r w:rsidRPr="001B7F77">
        <w:rPr>
          <w:rFonts w:eastAsia="Times"/>
          <w:b/>
          <w:color w:val="000000"/>
          <w:u w:val="single"/>
        </w:rPr>
        <w:t>1003.3.1 Exterior wall rating for change of occupancy classification to a higher hazard category</w:t>
      </w:r>
      <w:r w:rsidRPr="001B7F77">
        <w:rPr>
          <w:rFonts w:eastAsia="Times"/>
          <w:color w:val="000000"/>
          <w:u w:val="single"/>
        </w:rPr>
        <w:t xml:space="preserve">. Where a change of occupancy classification is made to a higher hazard category (lower number) as shown in Table 1003.3 of this code, exterior walls shall have fire resistance and exterior opening protectives as required by the </w:t>
      </w:r>
      <w:r w:rsidRPr="001B7F77">
        <w:rPr>
          <w:rFonts w:eastAsia="Times"/>
          <w:i/>
          <w:iCs/>
          <w:color w:val="000000"/>
          <w:u w:val="single"/>
        </w:rPr>
        <w:t>New York City Building Code</w:t>
      </w:r>
      <w:r w:rsidRPr="001B7F77">
        <w:rPr>
          <w:rFonts w:eastAsia="Times"/>
          <w:color w:val="000000"/>
          <w:u w:val="single"/>
        </w:rPr>
        <w:t>.</w:t>
      </w:r>
    </w:p>
    <w:p w14:paraId="2BBE56E3" w14:textId="77777777" w:rsidR="001B7F77" w:rsidRPr="001B7F77" w:rsidRDefault="001B7F77" w:rsidP="001B7F77">
      <w:pPr>
        <w:suppressAutoHyphens/>
        <w:spacing w:before="120"/>
        <w:ind w:left="720"/>
        <w:rPr>
          <w:rFonts w:eastAsia="Times"/>
          <w:color w:val="000000"/>
          <w:u w:val="single"/>
        </w:rPr>
      </w:pPr>
      <w:r w:rsidRPr="001B7F77">
        <w:rPr>
          <w:rFonts w:eastAsia="Times"/>
          <w:b/>
          <w:color w:val="000000"/>
          <w:u w:val="single"/>
        </w:rPr>
        <w:t>Exception</w:t>
      </w:r>
      <w:r w:rsidRPr="001B7F77">
        <w:rPr>
          <w:rFonts w:eastAsia="Times"/>
          <w:color w:val="000000"/>
          <w:u w:val="single"/>
        </w:rPr>
        <w:t>: A 2-hour fire-resistance rating shall be allowed where the building does not exceed three stories in height and is classified as one of the following Occupancy Groups: A-2 and A-3 with an occupant load of less than 300, B, F, M or S.</w:t>
      </w:r>
    </w:p>
    <w:p w14:paraId="40180287" w14:textId="77777777" w:rsidR="001B7F77" w:rsidRPr="001B7F77" w:rsidRDefault="001B7F77" w:rsidP="001B7F77">
      <w:pPr>
        <w:suppressAutoHyphens/>
        <w:spacing w:before="120"/>
        <w:ind w:left="360"/>
        <w:rPr>
          <w:rFonts w:eastAsia="Times"/>
          <w:color w:val="000000"/>
          <w:u w:val="single"/>
        </w:rPr>
      </w:pPr>
      <w:r w:rsidRPr="001B7F77">
        <w:rPr>
          <w:rFonts w:eastAsia="Times"/>
          <w:b/>
          <w:color w:val="000000"/>
          <w:u w:val="single"/>
        </w:rPr>
        <w:t>1003.3.2 Exterior wall rating for change of occupancy classification to an equal or lesser hazard category</w:t>
      </w:r>
      <w:r w:rsidRPr="001B7F77">
        <w:rPr>
          <w:rFonts w:eastAsia="Times"/>
          <w:color w:val="000000"/>
          <w:u w:val="single"/>
        </w:rPr>
        <w:t>. When a change of occupancy classification is made to an equal or lesser hazard category (higher number) as shown in Table 1003.3, existing exterior walls, including openings, shall be accepted.</w:t>
      </w:r>
    </w:p>
    <w:p w14:paraId="7425DA7E" w14:textId="77777777" w:rsidR="001B7F77" w:rsidRPr="001B7F77" w:rsidRDefault="001B7F77" w:rsidP="001B7F77">
      <w:pPr>
        <w:suppressAutoHyphens/>
        <w:spacing w:before="120"/>
        <w:ind w:left="360"/>
        <w:rPr>
          <w:rFonts w:eastAsia="Times"/>
          <w:color w:val="000000"/>
          <w:u w:val="single"/>
        </w:rPr>
      </w:pPr>
      <w:r w:rsidRPr="001B7F77">
        <w:rPr>
          <w:rFonts w:eastAsia="Times"/>
          <w:b/>
          <w:color w:val="000000"/>
          <w:u w:val="single"/>
        </w:rPr>
        <w:t>1003.3.3 Opening protectives</w:t>
      </w:r>
      <w:r w:rsidRPr="001B7F77">
        <w:rPr>
          <w:rFonts w:eastAsia="Times"/>
          <w:color w:val="000000"/>
          <w:u w:val="single"/>
        </w:rPr>
        <w:t xml:space="preserve">. Openings in exterior walls shall be protected as required by the </w:t>
      </w:r>
      <w:r w:rsidRPr="001B7F77">
        <w:rPr>
          <w:rFonts w:eastAsia="Times"/>
          <w:i/>
          <w:iCs/>
          <w:color w:val="000000"/>
          <w:u w:val="single"/>
        </w:rPr>
        <w:t>New York City Building Code</w:t>
      </w:r>
      <w:r w:rsidRPr="001B7F77">
        <w:rPr>
          <w:rFonts w:eastAsia="Times"/>
          <w:color w:val="000000"/>
          <w:u w:val="single"/>
        </w:rPr>
        <w:t xml:space="preserve">. Where openings in the exterior walls are required to be protected because of their distance from the lot line, the sum of the area of such openings shall comply with the allowable area of Table 705.8 of the </w:t>
      </w:r>
      <w:r w:rsidRPr="001B7F77">
        <w:rPr>
          <w:rFonts w:eastAsia="Times"/>
          <w:i/>
          <w:iCs/>
          <w:color w:val="000000"/>
          <w:u w:val="single"/>
        </w:rPr>
        <w:t>New York City Building Code</w:t>
      </w:r>
      <w:r w:rsidRPr="001B7F77">
        <w:rPr>
          <w:rFonts w:eastAsia="Times"/>
          <w:color w:val="000000"/>
          <w:u w:val="single"/>
        </w:rPr>
        <w:t>.</w:t>
      </w:r>
    </w:p>
    <w:p w14:paraId="6B3C11BA" w14:textId="77777777" w:rsidR="001B7F77" w:rsidRPr="001B7F77" w:rsidRDefault="001B7F77" w:rsidP="001B7F77">
      <w:pPr>
        <w:suppressAutoHyphens/>
        <w:spacing w:before="120"/>
        <w:ind w:left="720"/>
        <w:rPr>
          <w:rFonts w:eastAsia="Times"/>
          <w:color w:val="000000"/>
          <w:u w:val="single"/>
        </w:rPr>
      </w:pPr>
      <w:r w:rsidRPr="001B7F77">
        <w:rPr>
          <w:rFonts w:eastAsia="Times"/>
          <w:b/>
          <w:color w:val="000000"/>
          <w:u w:val="single"/>
        </w:rPr>
        <w:t>Exceptions:</w:t>
      </w:r>
      <w:r w:rsidRPr="001B7F77">
        <w:rPr>
          <w:rFonts w:eastAsia="Times"/>
          <w:color w:val="000000"/>
          <w:u w:val="single"/>
        </w:rPr>
        <w:t xml:space="preserve"> The following exceptions shall apply to existing openings.</w:t>
      </w:r>
    </w:p>
    <w:p w14:paraId="7A80F372" w14:textId="77777777" w:rsidR="001B7F77" w:rsidRPr="001B7F77" w:rsidRDefault="001B7F77" w:rsidP="001B7F77">
      <w:pPr>
        <w:suppressAutoHyphens/>
        <w:spacing w:before="120"/>
        <w:ind w:left="1440" w:hanging="360"/>
        <w:rPr>
          <w:rFonts w:eastAsia="Times"/>
          <w:color w:val="000000"/>
          <w:u w:val="single"/>
        </w:rPr>
      </w:pPr>
      <w:r w:rsidRPr="001B7F77">
        <w:rPr>
          <w:rFonts w:eastAsia="Times"/>
          <w:color w:val="000000"/>
          <w:u w:val="single"/>
        </w:rPr>
        <w:t>1.</w:t>
      </w:r>
      <w:r w:rsidRPr="001B7F77">
        <w:rPr>
          <w:rFonts w:eastAsia="Times"/>
          <w:color w:val="000000"/>
          <w:u w:val="single"/>
        </w:rPr>
        <w:tab/>
        <w:t xml:space="preserve">Existing openings that are not in compliance with the area limitations of Section 705.8 of the </w:t>
      </w:r>
      <w:r w:rsidRPr="001B7F77">
        <w:rPr>
          <w:rFonts w:eastAsia="Times"/>
          <w:i/>
          <w:iCs/>
          <w:color w:val="000000"/>
          <w:u w:val="single"/>
        </w:rPr>
        <w:t>New York City Building Code</w:t>
      </w:r>
      <w:r w:rsidRPr="001B7F77">
        <w:rPr>
          <w:rFonts w:eastAsia="Times"/>
          <w:color w:val="000000"/>
          <w:u w:val="single"/>
        </w:rPr>
        <w:t xml:space="preserve"> can be maintained provided that they are protected in accordance with Sections 715.4 and 715.5 of the </w:t>
      </w:r>
      <w:r w:rsidRPr="001B7F77">
        <w:rPr>
          <w:rFonts w:eastAsia="Times"/>
          <w:i/>
          <w:iCs/>
          <w:color w:val="000000"/>
          <w:u w:val="single"/>
        </w:rPr>
        <w:t>New York City Building Code</w:t>
      </w:r>
      <w:r w:rsidRPr="001B7F77">
        <w:rPr>
          <w:rFonts w:eastAsia="Times"/>
          <w:color w:val="000000"/>
          <w:u w:val="single"/>
        </w:rPr>
        <w:t>.</w:t>
      </w:r>
    </w:p>
    <w:p w14:paraId="40084564" w14:textId="77777777" w:rsidR="001B7F77" w:rsidRPr="001B7F77" w:rsidRDefault="001B7F77" w:rsidP="001B7F77">
      <w:pPr>
        <w:suppressAutoHyphens/>
        <w:spacing w:before="120"/>
        <w:ind w:left="1440" w:hanging="360"/>
        <w:rPr>
          <w:rFonts w:eastAsia="Times"/>
          <w:color w:val="000000"/>
          <w:u w:val="single"/>
        </w:rPr>
      </w:pPr>
      <w:r w:rsidRPr="001B7F77">
        <w:rPr>
          <w:rFonts w:eastAsia="Times"/>
          <w:color w:val="000000"/>
          <w:u w:val="single"/>
        </w:rPr>
        <w:t>2.</w:t>
      </w:r>
      <w:r w:rsidRPr="001B7F77">
        <w:rPr>
          <w:rFonts w:eastAsia="Times"/>
          <w:color w:val="000000"/>
          <w:u w:val="single"/>
        </w:rPr>
        <w:tab/>
        <w:t xml:space="preserve">Protected openings shall not be required in buildings of Group R-2 and R-3 occupancies that are located not less than 3 feet (914 mm) from the lot line. The allowable area of openings per story shall be in accordance with the fire separation distance as indicated in Table 705.8 of the </w:t>
      </w:r>
      <w:r w:rsidRPr="001B7F77">
        <w:rPr>
          <w:rFonts w:eastAsia="Times"/>
          <w:i/>
          <w:iCs/>
          <w:color w:val="000000"/>
          <w:u w:val="single"/>
        </w:rPr>
        <w:t>New York City Building Code</w:t>
      </w:r>
      <w:r w:rsidRPr="001B7F77">
        <w:rPr>
          <w:rFonts w:eastAsia="Times"/>
          <w:color w:val="000000"/>
          <w:u w:val="single"/>
        </w:rPr>
        <w:t>.</w:t>
      </w:r>
    </w:p>
    <w:p w14:paraId="185AD33D" w14:textId="77777777" w:rsidR="001B7F77" w:rsidRPr="001B7F77" w:rsidRDefault="001B7F77" w:rsidP="001B7F77">
      <w:pPr>
        <w:suppressAutoHyphens/>
        <w:spacing w:before="120"/>
        <w:ind w:left="1440" w:hanging="360"/>
        <w:rPr>
          <w:rFonts w:eastAsia="Times"/>
          <w:color w:val="000000"/>
          <w:u w:val="single"/>
        </w:rPr>
      </w:pPr>
      <w:r w:rsidRPr="001B7F77">
        <w:rPr>
          <w:rFonts w:eastAsia="Times"/>
          <w:color w:val="000000"/>
          <w:u w:val="single"/>
        </w:rPr>
        <w:t>3.</w:t>
      </w:r>
      <w:r w:rsidRPr="001B7F77">
        <w:rPr>
          <w:rFonts w:eastAsia="Times"/>
          <w:color w:val="000000"/>
          <w:u w:val="single"/>
        </w:rPr>
        <w:tab/>
        <w:t xml:space="preserve">Exterior opening protectives are not required where an automatic sprinkler system has been installed throughout provided the area limitations of Section 705.8 of the </w:t>
      </w:r>
      <w:r w:rsidRPr="001B7F77">
        <w:rPr>
          <w:rFonts w:eastAsia="Times"/>
          <w:i/>
          <w:iCs/>
          <w:color w:val="000000"/>
          <w:u w:val="single"/>
        </w:rPr>
        <w:t>New York City Building Code</w:t>
      </w:r>
      <w:r w:rsidRPr="001B7F77">
        <w:rPr>
          <w:rFonts w:eastAsia="Times"/>
          <w:color w:val="000000"/>
          <w:u w:val="single"/>
        </w:rPr>
        <w:t xml:space="preserve"> are not exceeded.</w:t>
      </w:r>
    </w:p>
    <w:p w14:paraId="6F6690B1" w14:textId="77777777" w:rsidR="001B7F77" w:rsidRPr="001B7F77" w:rsidRDefault="001B7F77" w:rsidP="001B7F77">
      <w:pPr>
        <w:suppressAutoHyphens/>
        <w:spacing w:before="120"/>
        <w:ind w:left="1440" w:hanging="360"/>
        <w:rPr>
          <w:rFonts w:eastAsia="Times"/>
          <w:color w:val="000000"/>
          <w:u w:val="single"/>
        </w:rPr>
      </w:pPr>
      <w:r w:rsidRPr="001B7F77">
        <w:rPr>
          <w:rFonts w:eastAsia="Times"/>
          <w:color w:val="000000"/>
          <w:u w:val="single"/>
        </w:rPr>
        <w:t>4.</w:t>
      </w:r>
      <w:r w:rsidRPr="001B7F77">
        <w:rPr>
          <w:rFonts w:eastAsia="Times"/>
          <w:color w:val="000000"/>
          <w:u w:val="single"/>
        </w:rPr>
        <w:tab/>
        <w:t xml:space="preserve">Exterior opening protectives are not required where the change of occupancy group is to an equal or lower hazard classification in accordance with Table 1003.3 of this code provided the area limitations of Section 705.8 of the </w:t>
      </w:r>
      <w:r w:rsidRPr="001B7F77">
        <w:rPr>
          <w:rFonts w:eastAsia="Times"/>
          <w:i/>
          <w:iCs/>
          <w:color w:val="000000"/>
          <w:u w:val="single"/>
        </w:rPr>
        <w:t>New York City Building Code</w:t>
      </w:r>
      <w:r w:rsidRPr="001B7F77">
        <w:rPr>
          <w:rFonts w:eastAsia="Times"/>
          <w:color w:val="000000"/>
          <w:u w:val="single"/>
        </w:rPr>
        <w:t xml:space="preserve"> are not exceeded.</w:t>
      </w:r>
    </w:p>
    <w:p w14:paraId="4CC9C5B8" w14:textId="77777777" w:rsidR="001B7F77" w:rsidRPr="001B7F77" w:rsidRDefault="001B7F77" w:rsidP="001B7F77">
      <w:pPr>
        <w:suppressAutoHyphens/>
        <w:spacing w:before="120"/>
        <w:rPr>
          <w:rFonts w:eastAsia="Times"/>
          <w:color w:val="000000"/>
        </w:rPr>
      </w:pPr>
      <w:r w:rsidRPr="001B7F77">
        <w:rPr>
          <w:rFonts w:eastAsia="Times"/>
          <w:b/>
          <w:color w:val="000000"/>
          <w:u w:val="single"/>
        </w:rPr>
        <w:t>1003.4 Enclosure of vertical shafts.</w:t>
      </w:r>
      <w:r w:rsidRPr="001B7F77">
        <w:rPr>
          <w:rFonts w:eastAsia="Times"/>
          <w:color w:val="000000"/>
          <w:u w:val="single"/>
        </w:rPr>
        <w:t xml:space="preserve"> Enclosure of vertical shafts shall be in accordance with Sections 1003.4.1 through 1003.4.4.</w:t>
      </w:r>
    </w:p>
    <w:p w14:paraId="73B30194" w14:textId="77777777" w:rsidR="001B7F77" w:rsidRPr="001B7F77" w:rsidRDefault="001B7F77" w:rsidP="001B7F77">
      <w:pPr>
        <w:suppressAutoHyphens/>
        <w:spacing w:before="120"/>
        <w:ind w:left="360"/>
        <w:rPr>
          <w:rFonts w:eastAsia="Times"/>
          <w:color w:val="000000"/>
          <w:u w:val="single"/>
        </w:rPr>
      </w:pPr>
      <w:r w:rsidRPr="001B7F77">
        <w:rPr>
          <w:rFonts w:eastAsia="Times"/>
          <w:b/>
          <w:color w:val="000000"/>
          <w:u w:val="single"/>
        </w:rPr>
        <w:t>1003.4.1 Minimum requirements</w:t>
      </w:r>
      <w:r w:rsidRPr="001B7F77">
        <w:rPr>
          <w:rFonts w:eastAsia="Times"/>
          <w:color w:val="000000"/>
          <w:u w:val="single"/>
        </w:rPr>
        <w:t xml:space="preserve">. Vertical shafts shall be designed to meet the </w:t>
      </w:r>
      <w:r w:rsidRPr="001B7F77">
        <w:rPr>
          <w:rFonts w:eastAsia="Times"/>
          <w:i/>
          <w:iCs/>
          <w:color w:val="000000"/>
          <w:u w:val="single"/>
        </w:rPr>
        <w:t>New York City Building Code</w:t>
      </w:r>
      <w:r w:rsidRPr="001B7F77">
        <w:rPr>
          <w:rFonts w:eastAsia="Times"/>
          <w:color w:val="000000"/>
          <w:u w:val="single"/>
        </w:rPr>
        <w:t xml:space="preserve"> requirements or the requirements of this section.</w:t>
      </w:r>
    </w:p>
    <w:p w14:paraId="35506D86" w14:textId="77777777" w:rsidR="001B7F77" w:rsidRPr="001B7F77" w:rsidRDefault="001B7F77" w:rsidP="001B7F77">
      <w:pPr>
        <w:suppressAutoHyphens/>
        <w:spacing w:before="120"/>
        <w:ind w:left="360"/>
        <w:rPr>
          <w:rFonts w:eastAsia="Times"/>
          <w:color w:val="000000"/>
          <w:u w:val="single"/>
        </w:rPr>
      </w:pPr>
      <w:r w:rsidRPr="001B7F77">
        <w:rPr>
          <w:rFonts w:eastAsia="Times"/>
          <w:b/>
          <w:color w:val="000000"/>
          <w:u w:val="single"/>
        </w:rPr>
        <w:t>1003.4.2 Stairways.</w:t>
      </w:r>
      <w:r w:rsidRPr="001B7F77">
        <w:rPr>
          <w:rFonts w:eastAsia="Times"/>
          <w:color w:val="000000"/>
          <w:u w:val="single"/>
        </w:rPr>
        <w:t xml:space="preserve"> When a change of occupancy classification is made to a higher hazard category (lower number) as shown in Table 1005.2, interior stairways shall be enclosed as required by the </w:t>
      </w:r>
      <w:r w:rsidRPr="001B7F77">
        <w:rPr>
          <w:rFonts w:eastAsia="Times"/>
          <w:i/>
          <w:iCs/>
          <w:color w:val="000000"/>
          <w:u w:val="single"/>
        </w:rPr>
        <w:t>New York City Building Code</w:t>
      </w:r>
      <w:r w:rsidRPr="001B7F77">
        <w:rPr>
          <w:rFonts w:eastAsia="Times"/>
          <w:color w:val="000000"/>
          <w:u w:val="single"/>
        </w:rPr>
        <w:t>.</w:t>
      </w:r>
    </w:p>
    <w:p w14:paraId="698670BD" w14:textId="77777777" w:rsidR="001B7F77" w:rsidRPr="001B7F77" w:rsidRDefault="001B7F77" w:rsidP="001B7F77">
      <w:pPr>
        <w:suppressAutoHyphens/>
        <w:spacing w:before="120"/>
        <w:ind w:left="720"/>
        <w:rPr>
          <w:rFonts w:eastAsia="Times"/>
          <w:color w:val="000000"/>
          <w:u w:val="single"/>
        </w:rPr>
      </w:pPr>
      <w:r w:rsidRPr="001B7F77">
        <w:rPr>
          <w:rFonts w:eastAsia="Times"/>
          <w:b/>
          <w:color w:val="000000"/>
          <w:u w:val="single"/>
        </w:rPr>
        <w:t xml:space="preserve">Exception: </w:t>
      </w:r>
      <w:r w:rsidRPr="001B7F77">
        <w:rPr>
          <w:rFonts w:eastAsia="Times"/>
          <w:color w:val="000000"/>
          <w:u w:val="single"/>
        </w:rPr>
        <w:t xml:space="preserve">In prior code buildings, where the </w:t>
      </w:r>
      <w:r w:rsidRPr="001B7F77">
        <w:rPr>
          <w:rFonts w:eastAsia="Times"/>
          <w:i/>
          <w:iCs/>
          <w:color w:val="000000"/>
          <w:u w:val="single"/>
        </w:rPr>
        <w:t>New York City Building Code</w:t>
      </w:r>
      <w:r w:rsidRPr="001B7F77">
        <w:rPr>
          <w:rFonts w:eastAsia="Times"/>
          <w:color w:val="000000"/>
          <w:u w:val="single"/>
        </w:rPr>
        <w:t xml:space="preserve"> allows for reduction in fire rating of stair enclosures below the existing fire rating of such stair enclosure, such reduction shall not be permitted unless the building or portion thereof subject to the change is protected with an automatic sprinkler system from the highest floor undergoing the change of occupancy to and including the level of exit discharge.</w:t>
      </w:r>
    </w:p>
    <w:p w14:paraId="659FF24D" w14:textId="77777777" w:rsidR="001B7F77" w:rsidRPr="001B7F77" w:rsidRDefault="001B7F77" w:rsidP="001B7F77">
      <w:pPr>
        <w:suppressAutoHyphens/>
        <w:spacing w:before="120"/>
        <w:ind w:left="360"/>
        <w:rPr>
          <w:rFonts w:eastAsia="Times"/>
          <w:color w:val="000000"/>
          <w:u w:val="single"/>
        </w:rPr>
      </w:pPr>
      <w:r w:rsidRPr="001B7F77">
        <w:rPr>
          <w:rFonts w:eastAsia="Times"/>
          <w:b/>
          <w:color w:val="000000"/>
          <w:u w:val="single"/>
        </w:rPr>
        <w:t>1003.4.3 Other vertical shafts</w:t>
      </w:r>
      <w:r w:rsidRPr="001B7F77">
        <w:rPr>
          <w:rFonts w:eastAsia="Times"/>
          <w:color w:val="000000"/>
          <w:u w:val="single"/>
        </w:rPr>
        <w:t xml:space="preserve">. Interior vertical shafts other than stairways, including but not limited to elevator hoistways and service and utility shafts, shall be enclosed as required by the </w:t>
      </w:r>
      <w:r w:rsidRPr="001B7F77">
        <w:rPr>
          <w:rFonts w:eastAsia="Times"/>
          <w:i/>
          <w:iCs/>
          <w:color w:val="000000"/>
          <w:u w:val="single"/>
        </w:rPr>
        <w:t>New York City Building Code</w:t>
      </w:r>
      <w:r w:rsidRPr="001B7F77">
        <w:rPr>
          <w:rFonts w:eastAsia="Times"/>
          <w:color w:val="000000"/>
          <w:u w:val="single"/>
        </w:rPr>
        <w:t xml:space="preserve"> when there is a change of occupancy classification to a higher hazard category (lower number) as specified in Table 1005.2.</w:t>
      </w:r>
    </w:p>
    <w:p w14:paraId="441F668A" w14:textId="77777777" w:rsidR="001B7F77" w:rsidRPr="001B7F77" w:rsidRDefault="001B7F77" w:rsidP="001B7F77">
      <w:pPr>
        <w:suppressAutoHyphens/>
        <w:spacing w:before="120"/>
        <w:ind w:left="720"/>
        <w:rPr>
          <w:rFonts w:eastAsia="Times"/>
          <w:color w:val="000000"/>
          <w:u w:val="single"/>
        </w:rPr>
      </w:pPr>
      <w:r w:rsidRPr="001B7F77">
        <w:rPr>
          <w:rFonts w:eastAsia="Times"/>
          <w:b/>
          <w:color w:val="000000"/>
          <w:u w:val="single"/>
        </w:rPr>
        <w:t xml:space="preserve">Exception. </w:t>
      </w:r>
      <w:r w:rsidRPr="001B7F77">
        <w:rPr>
          <w:rFonts w:eastAsia="Times"/>
          <w:color w:val="000000"/>
          <w:u w:val="single"/>
        </w:rPr>
        <w:t>In prior code buildings, existing 1-hour interior shaft enclosures shall be accepted where a higher rating is required and the building or portion thereof subject to the change in occupancy classification is protected with an automatic sprinkler system from the highest floor undergoing the change to and including level of exit discharge.</w:t>
      </w:r>
    </w:p>
    <w:p w14:paraId="03AD8B90" w14:textId="77777777" w:rsidR="001B7F77" w:rsidRPr="001B7F77" w:rsidRDefault="001B7F77" w:rsidP="001B7F77">
      <w:pPr>
        <w:suppressAutoHyphens/>
        <w:spacing w:before="120"/>
        <w:ind w:left="360"/>
        <w:rPr>
          <w:rFonts w:eastAsia="Times"/>
          <w:color w:val="000000"/>
          <w:u w:val="single"/>
        </w:rPr>
      </w:pPr>
      <w:r w:rsidRPr="001B7F77">
        <w:rPr>
          <w:rFonts w:eastAsia="Times"/>
          <w:b/>
          <w:color w:val="000000"/>
          <w:u w:val="single"/>
        </w:rPr>
        <w:t>1003.4.4 Openings.</w:t>
      </w:r>
      <w:r w:rsidRPr="001B7F77">
        <w:rPr>
          <w:rFonts w:eastAsia="Times"/>
          <w:color w:val="000000"/>
          <w:u w:val="single"/>
        </w:rPr>
        <w:t xml:space="preserve"> When there is a change of occupancy classification to a higher hazard category (lower number) as specified in Table 1005.2, all openings into existing vertical shaft enclosures shall be protected by fire assemblies having a fire protection rating corresponding to the vertical shaft rating, but not less than 1 hour, and shall be maintained self-closing or be automatic-closing by actuation of a smoke detector. All other openings, including duct and air transfer openings, shall be fire protected in an approved manner. Existing fusible link-type automatic door-closing devices shall be permitted in all shafts except stairways if the fusible link rating does not exceed 135°F (57°C).</w:t>
      </w:r>
    </w:p>
    <w:p w14:paraId="33CFB51B" w14:textId="77777777" w:rsidR="001B7F77" w:rsidRPr="001B7F77" w:rsidRDefault="001B7F77" w:rsidP="001B7F77">
      <w:pPr>
        <w:suppressAutoHyphens/>
        <w:spacing w:before="120"/>
        <w:ind w:left="720"/>
        <w:rPr>
          <w:rFonts w:eastAsia="Times"/>
          <w:color w:val="000000"/>
          <w:u w:val="single"/>
        </w:rPr>
      </w:pPr>
      <w:r w:rsidRPr="001B7F77">
        <w:rPr>
          <w:rFonts w:eastAsia="Times"/>
          <w:b/>
          <w:color w:val="000000"/>
          <w:u w:val="single"/>
        </w:rPr>
        <w:t xml:space="preserve">1003.4.4.1 Window openings on lot line air shafts. </w:t>
      </w:r>
      <w:r w:rsidRPr="001B7F77">
        <w:rPr>
          <w:rFonts w:eastAsia="Times"/>
          <w:color w:val="000000"/>
          <w:u w:val="single"/>
        </w:rPr>
        <w:t>Where an existing building or portion thereof, classified in occupancy Group R-1 or R-2, is undergoing a change in occupancy classification, all window openings on a lot line air shaft, as described in Section 803.8, shall be protected in accordance with Section 803.8.</w:t>
      </w:r>
    </w:p>
    <w:p w14:paraId="4263A393" w14:textId="77777777" w:rsidR="001B7F77" w:rsidRPr="001B7F77" w:rsidRDefault="001B7F77" w:rsidP="001B7F77">
      <w:pPr>
        <w:suppressAutoHyphens/>
        <w:spacing w:before="120"/>
        <w:rPr>
          <w:rFonts w:eastAsia="Times"/>
          <w:color w:val="000000"/>
          <w:u w:val="single"/>
        </w:rPr>
      </w:pPr>
      <w:r w:rsidRPr="001B7F77">
        <w:rPr>
          <w:rFonts w:eastAsia="Times"/>
          <w:b/>
          <w:color w:val="000000"/>
          <w:u w:val="single"/>
        </w:rPr>
        <w:t>1003.5 Interior finish</w:t>
      </w:r>
      <w:r w:rsidRPr="001B7F77">
        <w:rPr>
          <w:rFonts w:eastAsia="Times"/>
          <w:color w:val="000000"/>
          <w:u w:val="single"/>
        </w:rPr>
        <w:t xml:space="preserve">. Where work is being done in areas of the building undergoing the change of occupancy classification, the interior finish of walls, floors and ceilings shall comply with the requirements of the </w:t>
      </w:r>
      <w:r w:rsidRPr="001B7F77">
        <w:rPr>
          <w:rFonts w:eastAsia="Times"/>
          <w:i/>
          <w:iCs/>
          <w:color w:val="000000"/>
          <w:u w:val="single"/>
        </w:rPr>
        <w:t>New York City Building Code</w:t>
      </w:r>
      <w:r w:rsidRPr="001B7F77">
        <w:rPr>
          <w:rFonts w:eastAsia="Times"/>
          <w:color w:val="000000"/>
          <w:u w:val="single"/>
        </w:rPr>
        <w:t xml:space="preserve"> for the new occupancy classification.</w:t>
      </w:r>
    </w:p>
    <w:p w14:paraId="03872548" w14:textId="77777777" w:rsidR="001B7F77" w:rsidRPr="001B7F77" w:rsidRDefault="001B7F77" w:rsidP="001B7F77">
      <w:pPr>
        <w:widowControl w:val="0"/>
        <w:suppressAutoHyphens/>
        <w:spacing w:before="120"/>
        <w:jc w:val="center"/>
        <w:outlineLvl w:val="0"/>
        <w:rPr>
          <w:rFonts w:eastAsia="Helvetica Neue"/>
          <w:b/>
          <w:color w:val="000000"/>
          <w:u w:val="single"/>
        </w:rPr>
      </w:pPr>
    </w:p>
    <w:p w14:paraId="72ADFDB1" w14:textId="77777777" w:rsidR="001B7F77" w:rsidRPr="001B7F77" w:rsidRDefault="001B7F77" w:rsidP="001B7F77">
      <w:pPr>
        <w:widowControl w:val="0"/>
        <w:suppressAutoHyphens/>
        <w:spacing w:before="120"/>
        <w:jc w:val="center"/>
        <w:outlineLvl w:val="0"/>
        <w:rPr>
          <w:rFonts w:eastAsia="Helvetica Neue"/>
          <w:b/>
          <w:color w:val="000000"/>
          <w:u w:val="single"/>
        </w:rPr>
      </w:pPr>
      <w:r w:rsidRPr="001B7F77">
        <w:rPr>
          <w:rFonts w:eastAsia="Helvetica Neue"/>
          <w:b/>
          <w:color w:val="000000"/>
          <w:u w:val="single"/>
        </w:rPr>
        <w:t xml:space="preserve">SECTION </w:t>
      </w:r>
      <w:r w:rsidRPr="001B7F77">
        <w:rPr>
          <w:b/>
          <w:color w:val="000000"/>
          <w:u w:val="single"/>
        </w:rPr>
        <w:t>EBC</w:t>
      </w:r>
      <w:r w:rsidRPr="001B7F77">
        <w:rPr>
          <w:rFonts w:eastAsia="Helvetica Neue"/>
          <w:b/>
          <w:color w:val="000000"/>
          <w:u w:val="single"/>
        </w:rPr>
        <w:t xml:space="preserve"> 1004</w:t>
      </w:r>
      <w:r w:rsidRPr="001B7F77">
        <w:rPr>
          <w:rFonts w:eastAsia="Helvetica Neue"/>
          <w:b/>
          <w:color w:val="000000"/>
          <w:u w:val="single"/>
        </w:rPr>
        <w:br/>
        <w:t>FIRE PROTECTION</w:t>
      </w:r>
    </w:p>
    <w:p w14:paraId="17EA5488" w14:textId="77777777" w:rsidR="001B7F77" w:rsidRPr="001B7F77" w:rsidRDefault="001B7F77" w:rsidP="001B7F77">
      <w:pPr>
        <w:widowControl w:val="0"/>
        <w:suppressAutoHyphens/>
        <w:spacing w:before="120"/>
        <w:rPr>
          <w:color w:val="000000"/>
          <w:u w:val="single"/>
        </w:rPr>
      </w:pPr>
      <w:r w:rsidRPr="001B7F77">
        <w:rPr>
          <w:b/>
          <w:color w:val="000000"/>
          <w:u w:val="single"/>
        </w:rPr>
        <w:t>1004.1 Change of occupancy classification or change of use within the same Occupancy Group.</w:t>
      </w:r>
      <w:r w:rsidRPr="001B7F77">
        <w:rPr>
          <w:color w:val="000000"/>
          <w:u w:val="single"/>
        </w:rPr>
        <w:t xml:space="preserve"> Fire protection systems governed by Chapter 9 of the </w:t>
      </w:r>
      <w:r w:rsidRPr="001B7F77">
        <w:rPr>
          <w:i/>
          <w:iCs/>
          <w:color w:val="000000"/>
          <w:u w:val="single"/>
        </w:rPr>
        <w:t>New York City Building Code</w:t>
      </w:r>
      <w:r w:rsidRPr="001B7F77">
        <w:rPr>
          <w:color w:val="000000"/>
          <w:u w:val="single"/>
        </w:rPr>
        <w:t xml:space="preserve"> shall be provided in accordance with Sections 1004.1.1 and 1004.1.2.</w:t>
      </w:r>
    </w:p>
    <w:p w14:paraId="13B9A82C" w14:textId="77777777" w:rsidR="001B7F77" w:rsidRPr="001B7F77" w:rsidRDefault="001B7F77" w:rsidP="001B7F77">
      <w:pPr>
        <w:widowControl w:val="0"/>
        <w:suppressAutoHyphens/>
        <w:spacing w:before="120"/>
        <w:ind w:left="360"/>
        <w:rPr>
          <w:color w:val="000000"/>
        </w:rPr>
      </w:pPr>
      <w:r w:rsidRPr="001B7F77">
        <w:rPr>
          <w:b/>
          <w:color w:val="000000"/>
          <w:u w:val="single"/>
        </w:rPr>
        <w:t>1004.1.1 Change in the main use or dominant occupancy of the building</w:t>
      </w:r>
      <w:r w:rsidRPr="001B7F77">
        <w:rPr>
          <w:color w:val="000000"/>
          <w:u w:val="single"/>
        </w:rPr>
        <w:t xml:space="preserve">. Where there is a change </w:t>
      </w:r>
      <w:r w:rsidRPr="001B7F77">
        <w:rPr>
          <w:rFonts w:eastAsia="Times"/>
          <w:color w:val="000000"/>
          <w:u w:val="single"/>
        </w:rPr>
        <w:t>to</w:t>
      </w:r>
      <w:r w:rsidRPr="001B7F77">
        <w:rPr>
          <w:color w:val="000000"/>
          <w:u w:val="single"/>
        </w:rPr>
        <w:t xml:space="preserve"> the main use or dominant occupancy of the building, the entire building shall comply with the requirements of Chapter 9 of the </w:t>
      </w:r>
      <w:r w:rsidRPr="001B7F77">
        <w:rPr>
          <w:i/>
          <w:iCs/>
          <w:color w:val="000000"/>
          <w:u w:val="single"/>
        </w:rPr>
        <w:t>New York City Building Code</w:t>
      </w:r>
      <w:r w:rsidRPr="001B7F77">
        <w:rPr>
          <w:color w:val="000000"/>
          <w:u w:val="single"/>
        </w:rPr>
        <w:t xml:space="preserve"> as if hereafter erected.</w:t>
      </w:r>
    </w:p>
    <w:p w14:paraId="54754D64" w14:textId="77777777" w:rsidR="001B7F77" w:rsidRPr="001B7F77" w:rsidRDefault="001B7F77" w:rsidP="001B7F77">
      <w:pPr>
        <w:widowControl w:val="0"/>
        <w:suppressAutoHyphens/>
        <w:spacing w:before="120"/>
        <w:ind w:left="360"/>
        <w:rPr>
          <w:rFonts w:eastAsia="Times"/>
          <w:color w:val="000000"/>
        </w:rPr>
      </w:pPr>
      <w:r w:rsidRPr="001B7F77">
        <w:rPr>
          <w:rFonts w:eastAsia="Times"/>
          <w:b/>
          <w:color w:val="000000"/>
          <w:u w:val="single"/>
        </w:rPr>
        <w:t xml:space="preserve">1004.1.2 Partial change of occupancy classification or a change in use that triggers more restrictive fire protection requirements in Chapter 9 of the </w:t>
      </w:r>
      <w:r w:rsidRPr="001B7F77">
        <w:rPr>
          <w:rFonts w:eastAsia="Times"/>
          <w:b/>
          <w:i/>
          <w:iCs/>
          <w:color w:val="000000"/>
          <w:u w:val="single"/>
        </w:rPr>
        <w:t>New York City Building Code</w:t>
      </w:r>
      <w:r w:rsidRPr="001B7F77">
        <w:rPr>
          <w:rFonts w:eastAsia="Times"/>
          <w:b/>
          <w:color w:val="000000"/>
          <w:u w:val="single"/>
        </w:rPr>
        <w:t xml:space="preserve">. </w:t>
      </w:r>
      <w:r w:rsidRPr="001B7F77">
        <w:rPr>
          <w:rFonts w:eastAsia="Times"/>
          <w:color w:val="000000"/>
          <w:u w:val="single"/>
        </w:rPr>
        <w:t xml:space="preserve">Where a portion of an existing building is changed to a new occupancy classification or to a use that requires compliance with a more restrictive fire protection requirement as per Chapter 9 of the </w:t>
      </w:r>
      <w:r w:rsidRPr="001B7F77">
        <w:rPr>
          <w:rFonts w:eastAsia="Times"/>
          <w:i/>
          <w:iCs/>
          <w:color w:val="000000"/>
          <w:u w:val="single"/>
        </w:rPr>
        <w:t>New York City Building Code</w:t>
      </w:r>
      <w:r w:rsidRPr="001B7F77">
        <w:rPr>
          <w:rFonts w:eastAsia="Times"/>
          <w:color w:val="000000"/>
          <w:u w:val="single"/>
        </w:rPr>
        <w:t>, such portion of the building shall comply with the requirements of Chapter 9 subject to the separation conditions as indicated in Sections 1004.1.2.1 and 1004.1.2.2 of this code.</w:t>
      </w:r>
    </w:p>
    <w:p w14:paraId="3326D204" w14:textId="77777777" w:rsidR="001B7F77" w:rsidRPr="001B7F77" w:rsidRDefault="001B7F77" w:rsidP="001B7F77">
      <w:pPr>
        <w:widowControl w:val="0"/>
        <w:suppressAutoHyphens/>
        <w:spacing w:before="120"/>
        <w:ind w:left="720"/>
        <w:rPr>
          <w:rFonts w:eastAsia="Times"/>
          <w:color w:val="000000"/>
        </w:rPr>
      </w:pPr>
      <w:r w:rsidRPr="001B7F77">
        <w:rPr>
          <w:rFonts w:eastAsia="Times"/>
          <w:b/>
          <w:color w:val="000000"/>
          <w:u w:val="single"/>
        </w:rPr>
        <w:t>1004.1.2.1 Change without separation</w:t>
      </w:r>
      <w:r w:rsidRPr="001B7F77">
        <w:rPr>
          <w:rFonts w:eastAsia="Times"/>
          <w:color w:val="000000"/>
          <w:u w:val="single"/>
        </w:rPr>
        <w:t xml:space="preserve">. Where the portion of the existing building subject to the change is not separated from the remainder of the building with fire barriers or horizontal assemblies having a fire-resistance rating as required in the </w:t>
      </w:r>
      <w:r w:rsidRPr="001B7F77">
        <w:rPr>
          <w:rFonts w:eastAsia="Times"/>
          <w:i/>
          <w:iCs/>
          <w:color w:val="000000"/>
          <w:u w:val="single"/>
        </w:rPr>
        <w:t>New York City Building Code</w:t>
      </w:r>
      <w:r w:rsidRPr="001B7F77">
        <w:rPr>
          <w:rFonts w:eastAsia="Times"/>
          <w:color w:val="000000"/>
          <w:u w:val="single"/>
        </w:rPr>
        <w:t xml:space="preserve"> for the separate occupancy or use, the entire nonseparated area shall comply with all of the requirements of Chapter 9 applied throughout the nonseparated area for the most restrictive occupancy classification or use in the nonseparated area and with the requirements of this chapter.</w:t>
      </w:r>
    </w:p>
    <w:p w14:paraId="7353B160" w14:textId="77777777" w:rsidR="001B7F77" w:rsidRPr="001B7F77" w:rsidRDefault="001B7F77" w:rsidP="001B7F77">
      <w:pPr>
        <w:widowControl w:val="0"/>
        <w:suppressAutoHyphens/>
        <w:spacing w:before="120"/>
        <w:ind w:left="720"/>
        <w:rPr>
          <w:rFonts w:eastAsia="Times"/>
          <w:color w:val="000000"/>
          <w:u w:val="single"/>
        </w:rPr>
      </w:pPr>
      <w:r w:rsidRPr="001B7F77">
        <w:rPr>
          <w:rFonts w:eastAsia="Times"/>
          <w:b/>
          <w:color w:val="000000"/>
          <w:u w:val="single"/>
        </w:rPr>
        <w:t>1004.1.2.2 Change with separation.</w:t>
      </w:r>
      <w:r w:rsidRPr="001B7F77">
        <w:rPr>
          <w:rFonts w:eastAsia="Times"/>
          <w:color w:val="000000"/>
          <w:u w:val="single"/>
        </w:rPr>
        <w:t xml:space="preserve"> Where the portion of the existing building subject to the change is separated from the remainder of the building with fire barriers or horizontal assemblies having a fire-resistance rating as required in the </w:t>
      </w:r>
      <w:r w:rsidRPr="001B7F77">
        <w:rPr>
          <w:rFonts w:eastAsia="Times"/>
          <w:i/>
          <w:iCs/>
          <w:color w:val="000000"/>
          <w:u w:val="single"/>
        </w:rPr>
        <w:t>New York City Building Code</w:t>
      </w:r>
      <w:r w:rsidRPr="001B7F77">
        <w:rPr>
          <w:rFonts w:eastAsia="Times"/>
          <w:color w:val="000000"/>
          <w:u w:val="single"/>
        </w:rPr>
        <w:t xml:space="preserve"> for the separate occupancy, that portion shall comply with all of the requirements of Chapter 9 for the new occupancy classification or use and with the requirements of this chapter.</w:t>
      </w:r>
    </w:p>
    <w:p w14:paraId="6CC8AC7A" w14:textId="77777777" w:rsidR="001B7F77" w:rsidRPr="001B7F77" w:rsidRDefault="001B7F77" w:rsidP="001B7F77">
      <w:pPr>
        <w:widowControl w:val="0"/>
        <w:suppressAutoHyphens/>
        <w:spacing w:before="120"/>
        <w:jc w:val="center"/>
        <w:outlineLvl w:val="0"/>
        <w:rPr>
          <w:rFonts w:eastAsia="Helvetica Neue"/>
          <w:b/>
          <w:color w:val="000000"/>
          <w:u w:val="single"/>
        </w:rPr>
      </w:pPr>
    </w:p>
    <w:p w14:paraId="698DC738" w14:textId="77777777" w:rsidR="001B7F77" w:rsidRPr="001B7F77" w:rsidRDefault="001B7F77" w:rsidP="001B7F77">
      <w:pPr>
        <w:widowControl w:val="0"/>
        <w:suppressAutoHyphens/>
        <w:spacing w:before="120"/>
        <w:jc w:val="center"/>
        <w:outlineLvl w:val="0"/>
        <w:rPr>
          <w:rFonts w:eastAsia="Helvetica Neue"/>
          <w:b/>
          <w:color w:val="000000"/>
          <w:u w:val="single"/>
        </w:rPr>
      </w:pPr>
      <w:r w:rsidRPr="001B7F77">
        <w:rPr>
          <w:rFonts w:eastAsia="Helvetica Neue"/>
          <w:b/>
          <w:color w:val="000000"/>
          <w:u w:val="single"/>
        </w:rPr>
        <w:t xml:space="preserve">SECTION </w:t>
      </w:r>
      <w:r w:rsidRPr="001B7F77">
        <w:rPr>
          <w:b/>
          <w:color w:val="000000"/>
          <w:u w:val="single"/>
        </w:rPr>
        <w:t>EBC</w:t>
      </w:r>
      <w:r w:rsidRPr="001B7F77">
        <w:rPr>
          <w:rFonts w:eastAsia="Helvetica Neue"/>
          <w:b/>
          <w:color w:val="000000"/>
          <w:u w:val="single"/>
        </w:rPr>
        <w:t xml:space="preserve"> 1005</w:t>
      </w:r>
      <w:r w:rsidRPr="001B7F77">
        <w:rPr>
          <w:rFonts w:eastAsia="Helvetica Neue"/>
          <w:b/>
          <w:color w:val="000000"/>
          <w:u w:val="single"/>
        </w:rPr>
        <w:br/>
        <w:t>MEANS OF EGRESS</w:t>
      </w:r>
    </w:p>
    <w:p w14:paraId="7F2095C4" w14:textId="77777777" w:rsidR="001B7F77" w:rsidRPr="001B7F77" w:rsidRDefault="001B7F77" w:rsidP="001B7F77">
      <w:pPr>
        <w:widowControl w:val="0"/>
        <w:suppressAutoHyphens/>
        <w:spacing w:before="120"/>
        <w:rPr>
          <w:rFonts w:eastAsia="Times"/>
          <w:color w:val="000000"/>
          <w:u w:val="single"/>
        </w:rPr>
      </w:pPr>
      <w:r w:rsidRPr="001B7F77">
        <w:rPr>
          <w:rFonts w:eastAsia="Times"/>
          <w:b/>
          <w:color w:val="000000"/>
          <w:u w:val="single"/>
        </w:rPr>
        <w:t>1005.1 General</w:t>
      </w:r>
      <w:r w:rsidRPr="001B7F77">
        <w:rPr>
          <w:rFonts w:eastAsia="Times"/>
          <w:color w:val="000000"/>
          <w:u w:val="single"/>
        </w:rPr>
        <w:t>. Means of egress in portions of buildings undergoing a change of occupancy classification shall comply with Sections 1005.2 through 1005.6.</w:t>
      </w:r>
    </w:p>
    <w:p w14:paraId="201E8C06" w14:textId="77777777" w:rsidR="001B7F77" w:rsidRPr="001B7F77" w:rsidRDefault="001B7F77" w:rsidP="001B7F77">
      <w:pPr>
        <w:widowControl w:val="0"/>
        <w:suppressAutoHyphens/>
        <w:spacing w:before="120"/>
        <w:rPr>
          <w:rFonts w:eastAsia="Times"/>
          <w:color w:val="000000"/>
          <w:u w:val="single"/>
        </w:rPr>
      </w:pPr>
      <w:r w:rsidRPr="001B7F77">
        <w:rPr>
          <w:rFonts w:eastAsia="Times"/>
          <w:b/>
          <w:color w:val="000000"/>
          <w:u w:val="single"/>
        </w:rPr>
        <w:t>1005.2 Hazard categories</w:t>
      </w:r>
      <w:r w:rsidRPr="001B7F77">
        <w:rPr>
          <w:rFonts w:eastAsia="Times"/>
          <w:color w:val="000000"/>
          <w:u w:val="single"/>
        </w:rPr>
        <w:t>. Hazard categories with regard to life safety and means of egress shall be in accordance with Table 1005.2.</w:t>
      </w:r>
    </w:p>
    <w:p w14:paraId="4EEE738F" w14:textId="77777777" w:rsidR="001B7F77" w:rsidRPr="001B7F77" w:rsidRDefault="001B7F77" w:rsidP="001B7F77">
      <w:pPr>
        <w:widowControl w:val="0"/>
        <w:suppressAutoHyphens/>
        <w:spacing w:before="120"/>
        <w:jc w:val="center"/>
        <w:outlineLvl w:val="0"/>
        <w:rPr>
          <w:rFonts w:eastAsia="Helvetica Neue"/>
          <w:b/>
          <w:color w:val="000000"/>
          <w:u w:val="single"/>
        </w:rPr>
      </w:pPr>
      <w:r w:rsidRPr="001B7F77">
        <w:rPr>
          <w:rFonts w:eastAsia="Helvetica Neue"/>
          <w:b/>
          <w:color w:val="000000"/>
          <w:u w:val="single"/>
        </w:rPr>
        <w:t xml:space="preserve">TABLE </w:t>
      </w:r>
      <w:r w:rsidRPr="001B7F77">
        <w:rPr>
          <w:b/>
          <w:color w:val="000000"/>
          <w:u w:val="single"/>
        </w:rPr>
        <w:t>1005</w:t>
      </w:r>
      <w:r w:rsidRPr="001B7F77">
        <w:rPr>
          <w:rFonts w:eastAsia="Helvetica Neue"/>
          <w:b/>
          <w:color w:val="000000"/>
          <w:u w:val="single"/>
        </w:rPr>
        <w:t>.2</w:t>
      </w:r>
      <w:r w:rsidRPr="001B7F77">
        <w:rPr>
          <w:rFonts w:eastAsia="Helvetica Neue"/>
          <w:b/>
          <w:color w:val="000000"/>
          <w:u w:val="single"/>
        </w:rPr>
        <w:br/>
        <w:t>MEANS OF EGRESS HAZARD CATEGORIES</w:t>
      </w:r>
    </w:p>
    <w:tbl>
      <w:tblPr>
        <w:tblW w:w="4920" w:type="dxa"/>
        <w:tblInd w:w="2127" w:type="dxa"/>
        <w:tblLayout w:type="fixed"/>
        <w:tblCellMar>
          <w:top w:w="60" w:type="dxa"/>
          <w:left w:w="40" w:type="dxa"/>
          <w:bottom w:w="20" w:type="dxa"/>
          <w:right w:w="40" w:type="dxa"/>
        </w:tblCellMar>
        <w:tblLook w:val="04A0" w:firstRow="1" w:lastRow="0" w:firstColumn="1" w:lastColumn="0" w:noHBand="0" w:noVBand="1"/>
      </w:tblPr>
      <w:tblGrid>
        <w:gridCol w:w="1900"/>
        <w:gridCol w:w="3020"/>
      </w:tblGrid>
      <w:tr w:rsidR="001B7F77" w:rsidRPr="001B7F77" w14:paraId="29E00235" w14:textId="77777777" w:rsidTr="006655A1">
        <w:trPr>
          <w:trHeight w:val="200"/>
        </w:trPr>
        <w:tc>
          <w:tcPr>
            <w:tcW w:w="1900" w:type="dxa"/>
            <w:tcBorders>
              <w:top w:val="single" w:sz="4" w:space="0" w:color="000000"/>
              <w:left w:val="single" w:sz="4" w:space="0" w:color="000000"/>
              <w:bottom w:val="single" w:sz="4" w:space="0" w:color="000000"/>
              <w:right w:val="single" w:sz="4" w:space="0" w:color="000000"/>
            </w:tcBorders>
            <w:vAlign w:val="center"/>
            <w:hideMark/>
          </w:tcPr>
          <w:p w14:paraId="2CD40353" w14:textId="77777777" w:rsidR="001B7F77" w:rsidRPr="001B7F77" w:rsidRDefault="001B7F77" w:rsidP="001B7F77">
            <w:pPr>
              <w:suppressAutoHyphens/>
              <w:spacing w:before="120"/>
              <w:jc w:val="center"/>
              <w:rPr>
                <w:rFonts w:eastAsia="Helvetica Neue"/>
                <w:b/>
                <w:color w:val="000000"/>
                <w:sz w:val="20"/>
                <w:u w:val="single"/>
              </w:rPr>
            </w:pPr>
            <w:r w:rsidRPr="001B7F77">
              <w:rPr>
                <w:rFonts w:eastAsia="Helvetica Neue"/>
                <w:b/>
                <w:color w:val="000000"/>
                <w:sz w:val="20"/>
                <w:u w:val="single"/>
              </w:rPr>
              <w:t>RELATIVE HAZARD</w:t>
            </w:r>
          </w:p>
        </w:tc>
        <w:tc>
          <w:tcPr>
            <w:tcW w:w="3020" w:type="dxa"/>
            <w:tcBorders>
              <w:top w:val="single" w:sz="4" w:space="0" w:color="000000"/>
              <w:left w:val="single" w:sz="4" w:space="0" w:color="000000"/>
              <w:bottom w:val="single" w:sz="4" w:space="0" w:color="000000"/>
              <w:right w:val="single" w:sz="4" w:space="0" w:color="000000"/>
            </w:tcBorders>
            <w:vAlign w:val="center"/>
            <w:hideMark/>
          </w:tcPr>
          <w:p w14:paraId="5C9060D7" w14:textId="77777777" w:rsidR="001B7F77" w:rsidRPr="001B7F77" w:rsidRDefault="001B7F77" w:rsidP="001B7F77">
            <w:pPr>
              <w:suppressAutoHyphens/>
              <w:spacing w:before="120"/>
              <w:jc w:val="center"/>
              <w:rPr>
                <w:rFonts w:eastAsia="Helvetica Neue"/>
                <w:b/>
                <w:color w:val="000000"/>
                <w:sz w:val="20"/>
                <w:u w:val="single"/>
              </w:rPr>
            </w:pPr>
            <w:r w:rsidRPr="001B7F77">
              <w:rPr>
                <w:rFonts w:eastAsia="Helvetica Neue"/>
                <w:b/>
                <w:color w:val="000000"/>
                <w:sz w:val="20"/>
                <w:u w:val="single"/>
              </w:rPr>
              <w:t>OCCUPANCY CLASSIFICATIONS</w:t>
            </w:r>
          </w:p>
        </w:tc>
      </w:tr>
      <w:tr w:rsidR="001B7F77" w:rsidRPr="001B7F77" w14:paraId="2AB80154" w14:textId="77777777" w:rsidTr="006655A1">
        <w:trPr>
          <w:trHeight w:val="260"/>
        </w:trPr>
        <w:tc>
          <w:tcPr>
            <w:tcW w:w="1900" w:type="dxa"/>
            <w:tcBorders>
              <w:top w:val="single" w:sz="4" w:space="0" w:color="000000"/>
              <w:left w:val="single" w:sz="4" w:space="0" w:color="000000"/>
              <w:bottom w:val="single" w:sz="4" w:space="0" w:color="000000"/>
              <w:right w:val="single" w:sz="4" w:space="0" w:color="000000"/>
            </w:tcBorders>
            <w:vAlign w:val="center"/>
            <w:hideMark/>
          </w:tcPr>
          <w:p w14:paraId="11C16686" w14:textId="77777777" w:rsidR="001B7F77" w:rsidRPr="001B7F77" w:rsidRDefault="001B7F77" w:rsidP="001B7F77">
            <w:pPr>
              <w:suppressAutoHyphens/>
              <w:spacing w:before="120"/>
              <w:jc w:val="center"/>
              <w:rPr>
                <w:rFonts w:eastAsia="Times"/>
                <w:color w:val="000000"/>
                <w:sz w:val="20"/>
                <w:u w:val="single"/>
              </w:rPr>
            </w:pPr>
            <w:r w:rsidRPr="001B7F77">
              <w:rPr>
                <w:rFonts w:eastAsia="Times"/>
                <w:color w:val="000000"/>
                <w:sz w:val="20"/>
                <w:u w:val="single"/>
              </w:rPr>
              <w:t>1 (Highest Hazard)</w:t>
            </w:r>
          </w:p>
        </w:tc>
        <w:tc>
          <w:tcPr>
            <w:tcW w:w="3020" w:type="dxa"/>
            <w:tcBorders>
              <w:top w:val="single" w:sz="4" w:space="0" w:color="000000"/>
              <w:left w:val="single" w:sz="4" w:space="0" w:color="000000"/>
              <w:bottom w:val="single" w:sz="4" w:space="0" w:color="000000"/>
              <w:right w:val="single" w:sz="4" w:space="0" w:color="000000"/>
            </w:tcBorders>
            <w:vAlign w:val="center"/>
            <w:hideMark/>
          </w:tcPr>
          <w:p w14:paraId="4386F028" w14:textId="77777777" w:rsidR="001B7F77" w:rsidRPr="001B7F77" w:rsidRDefault="001B7F77" w:rsidP="001B7F77">
            <w:pPr>
              <w:suppressAutoHyphens/>
              <w:spacing w:before="120"/>
              <w:jc w:val="center"/>
              <w:rPr>
                <w:rFonts w:eastAsia="Times"/>
                <w:color w:val="000000"/>
                <w:sz w:val="20"/>
                <w:u w:val="single"/>
              </w:rPr>
            </w:pPr>
            <w:r w:rsidRPr="001B7F77">
              <w:rPr>
                <w:rFonts w:eastAsia="Times"/>
                <w:color w:val="000000"/>
                <w:sz w:val="20"/>
                <w:u w:val="single"/>
              </w:rPr>
              <w:t>H</w:t>
            </w:r>
          </w:p>
        </w:tc>
      </w:tr>
      <w:tr w:rsidR="001B7F77" w:rsidRPr="001B7F77" w14:paraId="16972A79" w14:textId="77777777" w:rsidTr="006655A1">
        <w:trPr>
          <w:trHeight w:val="260"/>
        </w:trPr>
        <w:tc>
          <w:tcPr>
            <w:tcW w:w="1900" w:type="dxa"/>
            <w:tcBorders>
              <w:top w:val="single" w:sz="4" w:space="0" w:color="000000"/>
              <w:left w:val="single" w:sz="4" w:space="0" w:color="000000"/>
              <w:bottom w:val="single" w:sz="4" w:space="0" w:color="000000"/>
              <w:right w:val="single" w:sz="4" w:space="0" w:color="000000"/>
            </w:tcBorders>
            <w:vAlign w:val="center"/>
            <w:hideMark/>
          </w:tcPr>
          <w:p w14:paraId="7017C256" w14:textId="77777777" w:rsidR="001B7F77" w:rsidRPr="001B7F77" w:rsidRDefault="001B7F77" w:rsidP="001B7F77">
            <w:pPr>
              <w:suppressAutoHyphens/>
              <w:spacing w:before="120"/>
              <w:jc w:val="center"/>
              <w:rPr>
                <w:rFonts w:eastAsia="Times"/>
                <w:color w:val="000000"/>
                <w:sz w:val="20"/>
                <w:u w:val="single"/>
              </w:rPr>
            </w:pPr>
            <w:r w:rsidRPr="001B7F77">
              <w:rPr>
                <w:rFonts w:eastAsia="Times"/>
                <w:color w:val="000000"/>
                <w:sz w:val="20"/>
                <w:u w:val="single"/>
              </w:rPr>
              <w:t>2</w:t>
            </w:r>
          </w:p>
        </w:tc>
        <w:tc>
          <w:tcPr>
            <w:tcW w:w="3020" w:type="dxa"/>
            <w:tcBorders>
              <w:top w:val="single" w:sz="4" w:space="0" w:color="000000"/>
              <w:left w:val="single" w:sz="4" w:space="0" w:color="000000"/>
              <w:bottom w:val="single" w:sz="4" w:space="0" w:color="000000"/>
              <w:right w:val="single" w:sz="4" w:space="0" w:color="000000"/>
            </w:tcBorders>
            <w:vAlign w:val="center"/>
            <w:hideMark/>
          </w:tcPr>
          <w:p w14:paraId="5A8760BD" w14:textId="77777777" w:rsidR="001B7F77" w:rsidRPr="001B7F77" w:rsidRDefault="001B7F77" w:rsidP="001B7F77">
            <w:pPr>
              <w:suppressAutoHyphens/>
              <w:spacing w:before="120"/>
              <w:jc w:val="center"/>
              <w:rPr>
                <w:rFonts w:eastAsia="Times"/>
                <w:color w:val="000000"/>
                <w:sz w:val="20"/>
                <w:u w:val="single"/>
              </w:rPr>
            </w:pPr>
            <w:r w:rsidRPr="001B7F77">
              <w:rPr>
                <w:rFonts w:eastAsia="Times"/>
                <w:color w:val="000000"/>
                <w:sz w:val="20"/>
                <w:u w:val="single"/>
              </w:rPr>
              <w:t>I-2, I-3, I-4</w:t>
            </w:r>
          </w:p>
        </w:tc>
      </w:tr>
      <w:tr w:rsidR="001B7F77" w:rsidRPr="001B7F77" w14:paraId="3DA1CB35" w14:textId="77777777" w:rsidTr="006655A1">
        <w:trPr>
          <w:trHeight w:val="260"/>
        </w:trPr>
        <w:tc>
          <w:tcPr>
            <w:tcW w:w="1900" w:type="dxa"/>
            <w:tcBorders>
              <w:top w:val="single" w:sz="4" w:space="0" w:color="000000"/>
              <w:left w:val="single" w:sz="4" w:space="0" w:color="000000"/>
              <w:bottom w:val="single" w:sz="4" w:space="0" w:color="000000"/>
              <w:right w:val="single" w:sz="4" w:space="0" w:color="000000"/>
            </w:tcBorders>
            <w:vAlign w:val="center"/>
            <w:hideMark/>
          </w:tcPr>
          <w:p w14:paraId="40452871" w14:textId="77777777" w:rsidR="001B7F77" w:rsidRPr="001B7F77" w:rsidRDefault="001B7F77" w:rsidP="001B7F77">
            <w:pPr>
              <w:suppressAutoHyphens/>
              <w:spacing w:before="120"/>
              <w:jc w:val="center"/>
              <w:rPr>
                <w:rFonts w:eastAsia="Times"/>
                <w:color w:val="000000"/>
                <w:sz w:val="20"/>
                <w:u w:val="single"/>
              </w:rPr>
            </w:pPr>
            <w:r w:rsidRPr="001B7F77">
              <w:rPr>
                <w:rFonts w:eastAsia="Times"/>
                <w:color w:val="000000"/>
                <w:sz w:val="20"/>
                <w:u w:val="single"/>
              </w:rPr>
              <w:t>3</w:t>
            </w:r>
          </w:p>
        </w:tc>
        <w:tc>
          <w:tcPr>
            <w:tcW w:w="3020" w:type="dxa"/>
            <w:tcBorders>
              <w:top w:val="single" w:sz="4" w:space="0" w:color="000000"/>
              <w:left w:val="single" w:sz="4" w:space="0" w:color="000000"/>
              <w:bottom w:val="single" w:sz="4" w:space="0" w:color="000000"/>
              <w:right w:val="single" w:sz="4" w:space="0" w:color="000000"/>
            </w:tcBorders>
            <w:vAlign w:val="center"/>
            <w:hideMark/>
          </w:tcPr>
          <w:p w14:paraId="382D51A4" w14:textId="77777777" w:rsidR="001B7F77" w:rsidRPr="001B7F77" w:rsidRDefault="001B7F77" w:rsidP="001B7F77">
            <w:pPr>
              <w:suppressAutoHyphens/>
              <w:spacing w:before="120"/>
              <w:jc w:val="center"/>
              <w:rPr>
                <w:rFonts w:eastAsia="Times"/>
                <w:color w:val="000000"/>
                <w:sz w:val="20"/>
                <w:u w:val="single"/>
              </w:rPr>
            </w:pPr>
            <w:r w:rsidRPr="001B7F77">
              <w:rPr>
                <w:rFonts w:eastAsia="Times"/>
                <w:color w:val="000000"/>
                <w:sz w:val="20"/>
                <w:u w:val="single"/>
              </w:rPr>
              <w:t>A, B, E, I-1, M, R-1, R-2</w:t>
            </w:r>
          </w:p>
        </w:tc>
      </w:tr>
      <w:tr w:rsidR="001B7F77" w:rsidRPr="001B7F77" w14:paraId="69A77E87" w14:textId="77777777" w:rsidTr="006655A1">
        <w:trPr>
          <w:trHeight w:val="260"/>
        </w:trPr>
        <w:tc>
          <w:tcPr>
            <w:tcW w:w="1900" w:type="dxa"/>
            <w:tcBorders>
              <w:top w:val="single" w:sz="4" w:space="0" w:color="000000"/>
              <w:left w:val="single" w:sz="4" w:space="0" w:color="000000"/>
              <w:bottom w:val="single" w:sz="4" w:space="0" w:color="000000"/>
              <w:right w:val="single" w:sz="4" w:space="0" w:color="000000"/>
            </w:tcBorders>
            <w:vAlign w:val="center"/>
            <w:hideMark/>
          </w:tcPr>
          <w:p w14:paraId="02FD86CD" w14:textId="77777777" w:rsidR="001B7F77" w:rsidRPr="001B7F77" w:rsidRDefault="001B7F77" w:rsidP="001B7F77">
            <w:pPr>
              <w:suppressAutoHyphens/>
              <w:spacing w:before="120"/>
              <w:jc w:val="center"/>
              <w:rPr>
                <w:rFonts w:eastAsia="Times"/>
                <w:color w:val="000000"/>
                <w:sz w:val="20"/>
                <w:u w:val="single"/>
              </w:rPr>
            </w:pPr>
            <w:r w:rsidRPr="001B7F77">
              <w:rPr>
                <w:rFonts w:eastAsia="Times"/>
                <w:color w:val="000000"/>
                <w:sz w:val="20"/>
                <w:u w:val="single"/>
              </w:rPr>
              <w:t>4</w:t>
            </w:r>
          </w:p>
        </w:tc>
        <w:tc>
          <w:tcPr>
            <w:tcW w:w="3020" w:type="dxa"/>
            <w:tcBorders>
              <w:top w:val="single" w:sz="4" w:space="0" w:color="000000"/>
              <w:left w:val="single" w:sz="4" w:space="0" w:color="000000"/>
              <w:bottom w:val="single" w:sz="4" w:space="0" w:color="000000"/>
              <w:right w:val="single" w:sz="4" w:space="0" w:color="000000"/>
            </w:tcBorders>
            <w:vAlign w:val="center"/>
            <w:hideMark/>
          </w:tcPr>
          <w:p w14:paraId="53291215" w14:textId="77777777" w:rsidR="001B7F77" w:rsidRPr="001B7F77" w:rsidRDefault="001B7F77" w:rsidP="001B7F77">
            <w:pPr>
              <w:suppressAutoHyphens/>
              <w:spacing w:before="120"/>
              <w:jc w:val="center"/>
              <w:rPr>
                <w:rFonts w:eastAsia="Times"/>
                <w:color w:val="000000"/>
                <w:sz w:val="20"/>
                <w:u w:val="single"/>
              </w:rPr>
            </w:pPr>
            <w:r w:rsidRPr="001B7F77">
              <w:rPr>
                <w:rFonts w:eastAsia="Times"/>
                <w:color w:val="000000"/>
                <w:sz w:val="20"/>
                <w:u w:val="single"/>
              </w:rPr>
              <w:t>F-1, R-3, S-1</w:t>
            </w:r>
          </w:p>
        </w:tc>
      </w:tr>
      <w:tr w:rsidR="001B7F77" w:rsidRPr="001B7F77" w14:paraId="14ABE9C7" w14:textId="77777777" w:rsidTr="006655A1">
        <w:trPr>
          <w:trHeight w:val="260"/>
        </w:trPr>
        <w:tc>
          <w:tcPr>
            <w:tcW w:w="1900" w:type="dxa"/>
            <w:tcBorders>
              <w:top w:val="single" w:sz="4" w:space="0" w:color="000000"/>
              <w:left w:val="single" w:sz="4" w:space="0" w:color="000000"/>
              <w:bottom w:val="single" w:sz="4" w:space="0" w:color="000000"/>
              <w:right w:val="single" w:sz="4" w:space="0" w:color="000000"/>
            </w:tcBorders>
            <w:vAlign w:val="center"/>
            <w:hideMark/>
          </w:tcPr>
          <w:p w14:paraId="59ADFC26" w14:textId="77777777" w:rsidR="001B7F77" w:rsidRPr="001B7F77" w:rsidRDefault="001B7F77" w:rsidP="001B7F77">
            <w:pPr>
              <w:suppressAutoHyphens/>
              <w:spacing w:before="120"/>
              <w:jc w:val="center"/>
              <w:rPr>
                <w:rFonts w:eastAsia="Times"/>
                <w:color w:val="000000"/>
                <w:sz w:val="20"/>
                <w:u w:val="single"/>
              </w:rPr>
            </w:pPr>
            <w:r w:rsidRPr="001B7F77">
              <w:rPr>
                <w:rFonts w:eastAsia="Times"/>
                <w:color w:val="000000"/>
                <w:sz w:val="20"/>
                <w:u w:val="single"/>
              </w:rPr>
              <w:t>5 (Lowest Hazard)</w:t>
            </w:r>
          </w:p>
        </w:tc>
        <w:tc>
          <w:tcPr>
            <w:tcW w:w="3020" w:type="dxa"/>
            <w:tcBorders>
              <w:top w:val="single" w:sz="4" w:space="0" w:color="000000"/>
              <w:left w:val="single" w:sz="4" w:space="0" w:color="000000"/>
              <w:bottom w:val="single" w:sz="4" w:space="0" w:color="000000"/>
              <w:right w:val="single" w:sz="4" w:space="0" w:color="000000"/>
            </w:tcBorders>
            <w:vAlign w:val="center"/>
            <w:hideMark/>
          </w:tcPr>
          <w:p w14:paraId="02AF285B" w14:textId="77777777" w:rsidR="001B7F77" w:rsidRPr="001B7F77" w:rsidRDefault="001B7F77" w:rsidP="001B7F77">
            <w:pPr>
              <w:suppressAutoHyphens/>
              <w:spacing w:before="120"/>
              <w:jc w:val="center"/>
              <w:rPr>
                <w:rFonts w:eastAsia="Times"/>
                <w:color w:val="000000"/>
                <w:sz w:val="20"/>
                <w:u w:val="single"/>
              </w:rPr>
            </w:pPr>
            <w:r w:rsidRPr="001B7F77">
              <w:rPr>
                <w:rFonts w:eastAsia="Times"/>
                <w:color w:val="000000"/>
                <w:sz w:val="20"/>
                <w:u w:val="single"/>
              </w:rPr>
              <w:t>F-2, S-2, U</w:t>
            </w:r>
          </w:p>
        </w:tc>
      </w:tr>
    </w:tbl>
    <w:p w14:paraId="22342C0C" w14:textId="77777777" w:rsidR="001B7F77" w:rsidRPr="001B7F77" w:rsidRDefault="001B7F77" w:rsidP="001B7F77">
      <w:pPr>
        <w:widowControl w:val="0"/>
        <w:suppressAutoHyphens/>
        <w:spacing w:before="120"/>
        <w:ind w:left="360"/>
        <w:rPr>
          <w:rFonts w:eastAsia="Times"/>
          <w:color w:val="000000"/>
          <w:u w:val="single"/>
        </w:rPr>
      </w:pPr>
      <w:r w:rsidRPr="001B7F77">
        <w:rPr>
          <w:rFonts w:eastAsia="Times"/>
          <w:b/>
          <w:color w:val="000000"/>
          <w:u w:val="single"/>
        </w:rPr>
        <w:t>1005.2.1 Means of egress for change to higher hazard category</w:t>
      </w:r>
      <w:r w:rsidRPr="001B7F77">
        <w:rPr>
          <w:rFonts w:eastAsia="Times"/>
          <w:color w:val="000000"/>
          <w:u w:val="single"/>
        </w:rPr>
        <w:t xml:space="preserve">. When a change of occupancy </w:t>
      </w:r>
      <w:r w:rsidRPr="001B7F77">
        <w:rPr>
          <w:bCs/>
          <w:color w:val="000000"/>
          <w:u w:val="single"/>
        </w:rPr>
        <w:t>classification</w:t>
      </w:r>
      <w:r w:rsidRPr="001B7F77">
        <w:rPr>
          <w:rFonts w:eastAsia="Times"/>
          <w:color w:val="000000"/>
          <w:u w:val="single"/>
        </w:rPr>
        <w:t xml:space="preserve"> is made to a higher hazard category (lower number) as shown in Table 1005.2 of this code, the means of egress shall comply with the requirements of Chapter 10 of the </w:t>
      </w:r>
      <w:r w:rsidRPr="001B7F77">
        <w:rPr>
          <w:rFonts w:eastAsia="Times"/>
          <w:i/>
          <w:iCs/>
          <w:color w:val="000000"/>
          <w:u w:val="single"/>
        </w:rPr>
        <w:t>New York City Building Code</w:t>
      </w:r>
      <w:r w:rsidRPr="001B7F77">
        <w:rPr>
          <w:rFonts w:eastAsia="Times"/>
          <w:color w:val="000000"/>
          <w:u w:val="single"/>
        </w:rPr>
        <w:t>.</w:t>
      </w:r>
    </w:p>
    <w:p w14:paraId="468A8E0B" w14:textId="77777777" w:rsidR="001B7F77" w:rsidRPr="001B7F77" w:rsidRDefault="001B7F77" w:rsidP="001B7F77">
      <w:pPr>
        <w:widowControl w:val="0"/>
        <w:suppressAutoHyphens/>
        <w:spacing w:before="120"/>
        <w:ind w:left="720"/>
        <w:rPr>
          <w:rFonts w:eastAsia="Times"/>
          <w:color w:val="000000"/>
          <w:u w:val="single"/>
        </w:rPr>
      </w:pPr>
      <w:r w:rsidRPr="001B7F77">
        <w:rPr>
          <w:rFonts w:eastAsia="Times"/>
          <w:b/>
          <w:color w:val="000000"/>
          <w:u w:val="single"/>
        </w:rPr>
        <w:t>Exceptions:</w:t>
      </w:r>
      <w:r w:rsidRPr="001B7F77">
        <w:rPr>
          <w:rFonts w:eastAsia="Times"/>
          <w:color w:val="000000"/>
          <w:u w:val="single"/>
        </w:rPr>
        <w:t xml:space="preserve"> Prior code buildings shall be permitted to comply with the provisions of Section 305.5 and the following, as applicable:</w:t>
      </w:r>
    </w:p>
    <w:p w14:paraId="4C7812FD" w14:textId="77777777" w:rsidR="001B7F77" w:rsidRPr="001B7F77" w:rsidRDefault="001B7F77" w:rsidP="001B7F77">
      <w:pPr>
        <w:widowControl w:val="0"/>
        <w:suppressAutoHyphens/>
        <w:spacing w:before="120"/>
        <w:ind w:left="1440" w:hanging="360"/>
        <w:rPr>
          <w:rFonts w:eastAsia="Times"/>
          <w:color w:val="000000"/>
          <w:u w:val="single"/>
        </w:rPr>
      </w:pPr>
      <w:r w:rsidRPr="001B7F77">
        <w:rPr>
          <w:rFonts w:eastAsia="Times"/>
          <w:color w:val="000000"/>
          <w:u w:val="single"/>
        </w:rPr>
        <w:t>1.</w:t>
      </w:r>
      <w:r w:rsidRPr="001B7F77">
        <w:rPr>
          <w:rFonts w:eastAsia="Times"/>
          <w:color w:val="000000"/>
          <w:u w:val="single"/>
        </w:rPr>
        <w:tab/>
        <w:t>Stairways shall be enclosed in compliance with the applicable provisions of Section 903.1.</w:t>
      </w:r>
    </w:p>
    <w:p w14:paraId="357D4954" w14:textId="77777777" w:rsidR="001B7F77" w:rsidRPr="001B7F77" w:rsidRDefault="001B7F77" w:rsidP="001B7F77">
      <w:pPr>
        <w:widowControl w:val="0"/>
        <w:suppressAutoHyphens/>
        <w:spacing w:before="120"/>
        <w:ind w:left="1440" w:hanging="360"/>
        <w:rPr>
          <w:rFonts w:eastAsia="Times"/>
          <w:color w:val="000000"/>
          <w:u w:val="single"/>
        </w:rPr>
      </w:pPr>
      <w:r w:rsidRPr="001B7F77">
        <w:rPr>
          <w:rFonts w:eastAsia="Times"/>
          <w:color w:val="000000"/>
          <w:u w:val="single"/>
        </w:rPr>
        <w:t>2.</w:t>
      </w:r>
      <w:r w:rsidRPr="001B7F77">
        <w:rPr>
          <w:rFonts w:eastAsia="Times"/>
          <w:color w:val="000000"/>
          <w:u w:val="single"/>
        </w:rPr>
        <w:tab/>
        <w:t>Existing corridor doorways, transoms and other corridor openings shall comply with the requirements of Section 805.</w:t>
      </w:r>
    </w:p>
    <w:p w14:paraId="2272F80E" w14:textId="77777777" w:rsidR="001B7F77" w:rsidRPr="001B7F77" w:rsidRDefault="001B7F77" w:rsidP="001B7F77">
      <w:pPr>
        <w:widowControl w:val="0"/>
        <w:suppressAutoHyphens/>
        <w:spacing w:before="120"/>
        <w:ind w:left="1440" w:hanging="360"/>
        <w:rPr>
          <w:rFonts w:eastAsia="Times"/>
          <w:color w:val="000000"/>
          <w:u w:val="single"/>
        </w:rPr>
      </w:pPr>
      <w:r w:rsidRPr="001B7F77">
        <w:rPr>
          <w:rFonts w:eastAsia="Times"/>
          <w:color w:val="000000"/>
          <w:u w:val="single"/>
        </w:rPr>
        <w:t>3.</w:t>
      </w:r>
      <w:r w:rsidRPr="001B7F77">
        <w:rPr>
          <w:rFonts w:eastAsia="Times"/>
          <w:color w:val="000000"/>
          <w:u w:val="single"/>
        </w:rPr>
        <w:tab/>
        <w:t>Existing dead-end corridors shall comply with the requirements of Section 805.</w:t>
      </w:r>
    </w:p>
    <w:p w14:paraId="2FA2F113" w14:textId="77777777" w:rsidR="001B7F77" w:rsidRPr="001B7F77" w:rsidRDefault="001B7F77" w:rsidP="001B7F77">
      <w:pPr>
        <w:widowControl w:val="0"/>
        <w:suppressAutoHyphens/>
        <w:spacing w:before="120"/>
        <w:ind w:left="1440" w:hanging="360"/>
        <w:rPr>
          <w:rFonts w:eastAsia="Times"/>
          <w:color w:val="000000"/>
          <w:u w:val="single"/>
        </w:rPr>
      </w:pPr>
      <w:r w:rsidRPr="001B7F77">
        <w:rPr>
          <w:rFonts w:eastAsia="Times"/>
          <w:color w:val="000000"/>
          <w:u w:val="single"/>
        </w:rPr>
        <w:t>4.</w:t>
      </w:r>
      <w:r w:rsidRPr="001B7F77">
        <w:rPr>
          <w:rFonts w:eastAsia="Times"/>
          <w:color w:val="000000"/>
          <w:u w:val="single"/>
        </w:rPr>
        <w:tab/>
        <w:t xml:space="preserve">For the purpose of complying with Section 1029 of the </w:t>
      </w:r>
      <w:r w:rsidRPr="001B7F77">
        <w:rPr>
          <w:rFonts w:eastAsia="Times"/>
          <w:i/>
          <w:iCs/>
          <w:color w:val="000000"/>
          <w:u w:val="single"/>
        </w:rPr>
        <w:t>New York City Building Code</w:t>
      </w:r>
      <w:r w:rsidRPr="001B7F77">
        <w:rPr>
          <w:rFonts w:eastAsia="Times"/>
          <w:color w:val="000000"/>
          <w:u w:val="single"/>
        </w:rPr>
        <w:t>, an existing operable window with clear opening area no less than 4 square feet (0.38 m</w:t>
      </w:r>
      <w:r w:rsidRPr="001B7F77">
        <w:rPr>
          <w:rFonts w:eastAsia="Times"/>
          <w:color w:val="000000"/>
          <w:u w:val="single"/>
          <w:vertAlign w:val="superscript"/>
        </w:rPr>
        <w:t>2</w:t>
      </w:r>
      <w:r w:rsidRPr="001B7F77">
        <w:rPr>
          <w:rFonts w:eastAsia="Times"/>
          <w:color w:val="000000"/>
          <w:u w:val="single"/>
        </w:rPr>
        <w:t xml:space="preserve">) and minimum opening height and width of 22 inches (559 mm) and 20 inches (508 mm), respectively, shall be accepted as an emergency escape and rescue opening provided other requirements of Section 1029 of the </w:t>
      </w:r>
      <w:r w:rsidRPr="001B7F77">
        <w:rPr>
          <w:rFonts w:eastAsia="Times"/>
          <w:i/>
          <w:iCs/>
          <w:color w:val="000000"/>
          <w:u w:val="single"/>
        </w:rPr>
        <w:t>New York City Building Code</w:t>
      </w:r>
      <w:r w:rsidRPr="001B7F77">
        <w:rPr>
          <w:rFonts w:eastAsia="Times"/>
          <w:color w:val="000000"/>
          <w:u w:val="single"/>
        </w:rPr>
        <w:t xml:space="preserve"> are complied with. </w:t>
      </w:r>
    </w:p>
    <w:p w14:paraId="19074464" w14:textId="77777777" w:rsidR="001B7F77" w:rsidRPr="001B7F77" w:rsidRDefault="001B7F77" w:rsidP="001B7F77">
      <w:pPr>
        <w:widowControl w:val="0"/>
        <w:suppressAutoHyphens/>
        <w:spacing w:before="120"/>
        <w:ind w:left="360"/>
        <w:rPr>
          <w:rFonts w:eastAsia="Times"/>
          <w:color w:val="000000"/>
          <w:u w:val="single"/>
        </w:rPr>
      </w:pPr>
      <w:r w:rsidRPr="001B7F77">
        <w:rPr>
          <w:rFonts w:eastAsia="Times"/>
          <w:b/>
          <w:color w:val="000000"/>
          <w:u w:val="single"/>
        </w:rPr>
        <w:t>1005.2.2 Means of egress for change to equal or lower hazard category</w:t>
      </w:r>
      <w:r w:rsidRPr="001B7F77">
        <w:rPr>
          <w:rFonts w:eastAsia="Times"/>
          <w:color w:val="000000"/>
          <w:u w:val="single"/>
        </w:rPr>
        <w:t xml:space="preserve">. Where a change of occupancy classification is made to an equal or lesser hazard category (higher number) as shown in Table 1005.2, existing elements of the means of egress shall comply with the requirements of Section 905 for the new occupancy classification. Newly constructed or configured means of egress shall comply with the requirements of Chapter 10 of the </w:t>
      </w:r>
      <w:r w:rsidRPr="001B7F77">
        <w:rPr>
          <w:rFonts w:eastAsia="Times"/>
          <w:i/>
          <w:iCs/>
          <w:color w:val="000000"/>
          <w:u w:val="single"/>
        </w:rPr>
        <w:t>New York City Building Code</w:t>
      </w:r>
      <w:r w:rsidRPr="001B7F77">
        <w:rPr>
          <w:rFonts w:eastAsia="Times"/>
          <w:color w:val="000000"/>
          <w:u w:val="single"/>
        </w:rPr>
        <w:t>.</w:t>
      </w:r>
    </w:p>
    <w:p w14:paraId="46D765AD" w14:textId="77777777" w:rsidR="001B7F77" w:rsidRPr="001B7F77" w:rsidRDefault="001B7F77" w:rsidP="001B7F77">
      <w:pPr>
        <w:widowControl w:val="0"/>
        <w:suppressAutoHyphens/>
        <w:spacing w:before="120"/>
        <w:ind w:left="720"/>
        <w:rPr>
          <w:rFonts w:eastAsia="Times"/>
          <w:color w:val="000000"/>
          <w:u w:val="single"/>
        </w:rPr>
      </w:pPr>
      <w:r w:rsidRPr="001B7F77">
        <w:rPr>
          <w:rFonts w:eastAsia="Times"/>
          <w:b/>
          <w:color w:val="000000"/>
          <w:u w:val="single"/>
        </w:rPr>
        <w:t>Exception</w:t>
      </w:r>
      <w:r w:rsidRPr="001B7F77">
        <w:rPr>
          <w:rFonts w:eastAsia="Times"/>
          <w:color w:val="000000"/>
          <w:u w:val="single"/>
        </w:rPr>
        <w:t xml:space="preserve">: Prior code buildings shall be permitted to comply with Section 305.5 and buildings with existing scissors stairs may be changed to Group B or R occupancies without the requirement for an additional exit stair, where the building is equipped with an automatic sprinkler system in accordance with Chapter 9 of the </w:t>
      </w:r>
      <w:r w:rsidRPr="001B7F77">
        <w:rPr>
          <w:rFonts w:eastAsia="Times"/>
          <w:i/>
          <w:iCs/>
          <w:color w:val="000000"/>
          <w:u w:val="single"/>
        </w:rPr>
        <w:t>New York City Building Code</w:t>
      </w:r>
      <w:r w:rsidRPr="001B7F77">
        <w:rPr>
          <w:rFonts w:eastAsia="Times"/>
          <w:color w:val="000000"/>
          <w:u w:val="single"/>
        </w:rPr>
        <w:t xml:space="preserve"> and where the height of the building does not exceed 75 feet (22 860 mm) from the lowest level of fire department vehicle access to highest occupied floor or 6 stories, whichever is less.</w:t>
      </w:r>
    </w:p>
    <w:p w14:paraId="50648446" w14:textId="77777777" w:rsidR="001B7F77" w:rsidRPr="001B7F77" w:rsidRDefault="001B7F77" w:rsidP="001B7F77">
      <w:pPr>
        <w:widowControl w:val="0"/>
        <w:suppressAutoHyphens/>
        <w:spacing w:before="120"/>
        <w:rPr>
          <w:rFonts w:eastAsia="Times"/>
          <w:color w:val="000000"/>
        </w:rPr>
      </w:pPr>
      <w:r w:rsidRPr="001B7F77">
        <w:rPr>
          <w:rFonts w:eastAsia="Times"/>
          <w:b/>
          <w:color w:val="000000"/>
          <w:u w:val="single"/>
        </w:rPr>
        <w:t>1005.3 Egress capacity</w:t>
      </w:r>
      <w:r w:rsidRPr="001B7F77">
        <w:rPr>
          <w:rFonts w:eastAsia="Times"/>
          <w:color w:val="000000"/>
          <w:u w:val="single"/>
        </w:rPr>
        <w:t xml:space="preserve">. Egress capacity shall be no less than as specified in Chapter 10 of the </w:t>
      </w:r>
      <w:r w:rsidRPr="001B7F77">
        <w:rPr>
          <w:rFonts w:eastAsia="Times"/>
          <w:i/>
          <w:iCs/>
          <w:color w:val="000000"/>
          <w:u w:val="single"/>
        </w:rPr>
        <w:t>New York City Building Code</w:t>
      </w:r>
      <w:r w:rsidRPr="001B7F77">
        <w:rPr>
          <w:rFonts w:eastAsia="Times"/>
          <w:color w:val="000000"/>
          <w:u w:val="single"/>
        </w:rPr>
        <w:t xml:space="preserve"> for the new occupancy.</w:t>
      </w:r>
    </w:p>
    <w:p w14:paraId="3B3356E2" w14:textId="77777777" w:rsidR="001B7F77" w:rsidRPr="001B7F77" w:rsidRDefault="001B7F77" w:rsidP="001B7F77">
      <w:pPr>
        <w:widowControl w:val="0"/>
        <w:suppressAutoHyphens/>
        <w:spacing w:before="120"/>
        <w:rPr>
          <w:rFonts w:eastAsia="Times"/>
          <w:color w:val="000000"/>
        </w:rPr>
      </w:pPr>
      <w:r w:rsidRPr="001B7F77">
        <w:rPr>
          <w:rFonts w:eastAsia="Times"/>
          <w:b/>
          <w:color w:val="000000"/>
          <w:u w:val="single"/>
        </w:rPr>
        <w:t>1005.4 Handrails.</w:t>
      </w:r>
      <w:r w:rsidRPr="001B7F77">
        <w:rPr>
          <w:rFonts w:eastAsia="Times"/>
          <w:color w:val="000000"/>
          <w:u w:val="single"/>
        </w:rPr>
        <w:t xml:space="preserve"> Existing stairways shall comply with the handrail requirements of Section 805.9 from the area subject to the change of occupancy classification to the exit discharge level.</w:t>
      </w:r>
    </w:p>
    <w:p w14:paraId="3B98F3B1" w14:textId="77777777" w:rsidR="001B7F77" w:rsidRPr="001B7F77" w:rsidRDefault="001B7F77" w:rsidP="001B7F77">
      <w:pPr>
        <w:widowControl w:val="0"/>
        <w:suppressAutoHyphens/>
        <w:spacing w:before="120"/>
        <w:rPr>
          <w:rFonts w:eastAsia="Times"/>
          <w:color w:val="000000"/>
          <w:u w:val="single"/>
        </w:rPr>
      </w:pPr>
      <w:r w:rsidRPr="001B7F77">
        <w:rPr>
          <w:rFonts w:eastAsia="Times"/>
          <w:b/>
          <w:color w:val="000000"/>
          <w:u w:val="single"/>
        </w:rPr>
        <w:t>1005.5 Guards</w:t>
      </w:r>
      <w:r w:rsidRPr="001B7F77">
        <w:rPr>
          <w:rFonts w:eastAsia="Times"/>
          <w:color w:val="000000"/>
          <w:u w:val="single"/>
        </w:rPr>
        <w:t>. Existing guards shall comply with the requirements of Section 805.11 in the area subject to the change of occupancy classification including those along the egress path from the work area to the level of exit discharge.</w:t>
      </w:r>
    </w:p>
    <w:p w14:paraId="75C9B419" w14:textId="77777777" w:rsidR="001B7F77" w:rsidRPr="001B7F77" w:rsidRDefault="001B7F77" w:rsidP="001B7F77">
      <w:pPr>
        <w:widowControl w:val="0"/>
        <w:suppressAutoHyphens/>
        <w:spacing w:before="120"/>
        <w:rPr>
          <w:rFonts w:eastAsia="Times"/>
          <w:color w:val="000000"/>
        </w:rPr>
      </w:pPr>
      <w:r w:rsidRPr="001B7F77">
        <w:rPr>
          <w:rFonts w:eastAsia="Times"/>
          <w:b/>
          <w:color w:val="000000"/>
          <w:u w:val="single"/>
        </w:rPr>
        <w:t>1005.6 Additional requirements for prior code buildings.</w:t>
      </w:r>
      <w:r w:rsidRPr="001B7F77">
        <w:rPr>
          <w:rFonts w:eastAsia="Times"/>
          <w:color w:val="000000"/>
          <w:u w:val="single"/>
        </w:rPr>
        <w:t xml:space="preserve"> Prior code buildings shall also comply with Sections 1005.6.1 and 1005.6.2.</w:t>
      </w:r>
    </w:p>
    <w:p w14:paraId="560F2B60" w14:textId="77777777" w:rsidR="001B7F77" w:rsidRPr="001B7F77" w:rsidRDefault="001B7F77" w:rsidP="001B7F77">
      <w:pPr>
        <w:widowControl w:val="0"/>
        <w:suppressAutoHyphens/>
        <w:spacing w:before="120"/>
        <w:ind w:left="360"/>
        <w:rPr>
          <w:rFonts w:eastAsia="Times"/>
          <w:color w:val="000000"/>
          <w:u w:val="single"/>
        </w:rPr>
      </w:pPr>
      <w:r w:rsidRPr="001B7F77">
        <w:rPr>
          <w:rFonts w:eastAsia="Times"/>
          <w:b/>
          <w:color w:val="000000"/>
          <w:u w:val="single"/>
        </w:rPr>
        <w:t>1005.6.1 Replacement of combustible stairs</w:t>
      </w:r>
      <w:r w:rsidRPr="001B7F77">
        <w:rPr>
          <w:rFonts w:eastAsia="Times"/>
          <w:color w:val="000000"/>
          <w:u w:val="single"/>
        </w:rPr>
        <w:t>. In prior code buildings of Occupancy Groups R-1 and R-2, where the floor area subject to the change of occupancy is more than 50 percent of the building area, existing stairs constructed of combustible materials shall be replaced in their entirety with non-combustible construction, including stairs, landings, handrails and guards.</w:t>
      </w:r>
    </w:p>
    <w:p w14:paraId="1EFFEB4D" w14:textId="77777777" w:rsidR="001B7F77" w:rsidRPr="001B7F77" w:rsidRDefault="001B7F77" w:rsidP="001B7F77">
      <w:pPr>
        <w:widowControl w:val="0"/>
        <w:suppressAutoHyphens/>
        <w:spacing w:before="120"/>
        <w:ind w:left="720"/>
        <w:rPr>
          <w:rFonts w:eastAsia="Times"/>
          <w:color w:val="000000"/>
          <w:u w:val="single"/>
        </w:rPr>
      </w:pPr>
      <w:r w:rsidRPr="001B7F77">
        <w:rPr>
          <w:rFonts w:eastAsia="Times"/>
          <w:b/>
          <w:color w:val="000000"/>
          <w:u w:val="single"/>
        </w:rPr>
        <w:t>Exception</w:t>
      </w:r>
      <w:r w:rsidRPr="001B7F77">
        <w:rPr>
          <w:rFonts w:eastAsia="Times"/>
          <w:color w:val="000000"/>
          <w:u w:val="single"/>
        </w:rPr>
        <w:t xml:space="preserve">: Buildings that are fully sprinklered and comply with the fire protection requirements of Chapter 9 of the </w:t>
      </w:r>
      <w:r w:rsidRPr="001B7F77">
        <w:rPr>
          <w:rFonts w:eastAsia="Times"/>
          <w:i/>
          <w:iCs/>
          <w:color w:val="000000"/>
          <w:u w:val="single"/>
        </w:rPr>
        <w:t>New York City Building Code</w:t>
      </w:r>
      <w:r w:rsidRPr="001B7F77">
        <w:rPr>
          <w:rFonts w:eastAsia="Times"/>
          <w:color w:val="000000"/>
          <w:u w:val="single"/>
        </w:rPr>
        <w:t>.</w:t>
      </w:r>
    </w:p>
    <w:p w14:paraId="5AF2B240" w14:textId="77777777" w:rsidR="001B7F77" w:rsidRPr="001B7F77" w:rsidRDefault="001B7F77" w:rsidP="001B7F77">
      <w:pPr>
        <w:widowControl w:val="0"/>
        <w:suppressAutoHyphens/>
        <w:spacing w:before="120"/>
        <w:ind w:left="360"/>
        <w:rPr>
          <w:rFonts w:eastAsia="Times"/>
          <w:color w:val="000000"/>
          <w:u w:val="single"/>
        </w:rPr>
      </w:pPr>
      <w:r w:rsidRPr="001B7F77">
        <w:rPr>
          <w:rFonts w:eastAsia="Times"/>
          <w:b/>
          <w:bCs/>
          <w:u w:val="single"/>
        </w:rPr>
        <w:t xml:space="preserve">1005.6.2 Means of egress from cellar level used in connection with small establishments classified as occupancy Groups B, M or A-2 in prior code buildings. </w:t>
      </w:r>
      <w:r w:rsidRPr="001B7F77">
        <w:rPr>
          <w:rFonts w:eastAsia="Times"/>
          <w:u w:val="single"/>
        </w:rPr>
        <w:t>Where a cellar space is undergoing a change of occupancy to be used in connection with a Group B, M or A-2 establishment occupying the grade story above and such establishment does not exceed 2000 square feet (185.8 m</w:t>
      </w:r>
      <w:r w:rsidRPr="001B7F77">
        <w:rPr>
          <w:rFonts w:eastAsia="Times"/>
          <w:u w:val="single"/>
          <w:vertAlign w:val="superscript"/>
        </w:rPr>
        <w:t>2</w:t>
      </w:r>
      <w:r w:rsidRPr="001B7F77">
        <w:rPr>
          <w:rFonts w:eastAsia="Times"/>
          <w:u w:val="single"/>
        </w:rPr>
        <w:t>) in area, the means of egress and protection of such cellar space may comply with Sections 1005.6.2.1 through 1005.6.2.3, as applicable.</w:t>
      </w:r>
    </w:p>
    <w:p w14:paraId="2BAD33D1" w14:textId="77777777" w:rsidR="001B7F77" w:rsidRPr="001B7F77" w:rsidRDefault="001B7F77" w:rsidP="001B7F77">
      <w:pPr>
        <w:widowControl w:val="0"/>
        <w:suppressAutoHyphens/>
        <w:spacing w:before="120"/>
        <w:ind w:left="720"/>
        <w:rPr>
          <w:rFonts w:eastAsia="Times"/>
          <w:color w:val="000000"/>
          <w:u w:val="single"/>
        </w:rPr>
      </w:pPr>
      <w:r w:rsidRPr="001B7F77">
        <w:rPr>
          <w:rFonts w:eastAsia="Times"/>
          <w:b/>
          <w:color w:val="000000"/>
          <w:u w:val="single"/>
        </w:rPr>
        <w:t xml:space="preserve">Exception. </w:t>
      </w:r>
      <w:r w:rsidRPr="001B7F77">
        <w:rPr>
          <w:rFonts w:eastAsia="Times"/>
          <w:color w:val="000000"/>
          <w:u w:val="single"/>
        </w:rPr>
        <w:t xml:space="preserve">The cellar level meets the requirements of the </w:t>
      </w:r>
      <w:r w:rsidRPr="001B7F77">
        <w:rPr>
          <w:rFonts w:eastAsia="Times"/>
          <w:i/>
          <w:iCs/>
          <w:color w:val="000000"/>
          <w:u w:val="single"/>
        </w:rPr>
        <w:t>New York City Building Code</w:t>
      </w:r>
      <w:r w:rsidRPr="001B7F77">
        <w:rPr>
          <w:rFonts w:eastAsia="Times"/>
          <w:color w:val="000000"/>
          <w:u w:val="single"/>
        </w:rPr>
        <w:t xml:space="preserve"> for new construction.</w:t>
      </w:r>
    </w:p>
    <w:p w14:paraId="2EA9A85A" w14:textId="77777777" w:rsidR="001B7F77" w:rsidRPr="001B7F77" w:rsidRDefault="001B7F77" w:rsidP="001B7F77">
      <w:pPr>
        <w:widowControl w:val="0"/>
        <w:suppressAutoHyphens/>
        <w:spacing w:before="120"/>
        <w:ind w:left="720"/>
        <w:rPr>
          <w:u w:val="single"/>
        </w:rPr>
      </w:pPr>
      <w:r w:rsidRPr="001B7F77">
        <w:rPr>
          <w:b/>
          <w:u w:val="single"/>
        </w:rPr>
        <w:t>1005.6.2.1 Cellar space is used by employees of the establishment.</w:t>
      </w:r>
      <w:r w:rsidRPr="001B7F77">
        <w:rPr>
          <w:u w:val="single"/>
        </w:rPr>
        <w:t xml:space="preserve"> Where the cellar space is to be used only by employees of the establishment above, all the following conditions shall be complied with:</w:t>
      </w:r>
    </w:p>
    <w:p w14:paraId="3DAC4CDA" w14:textId="77777777" w:rsidR="001B7F77" w:rsidRPr="001B7F77" w:rsidRDefault="001B7F77" w:rsidP="0001508F">
      <w:pPr>
        <w:widowControl w:val="0"/>
        <w:numPr>
          <w:ilvl w:val="0"/>
          <w:numId w:val="26"/>
        </w:numPr>
        <w:suppressAutoHyphens/>
        <w:spacing w:before="120"/>
        <w:ind w:left="1440"/>
        <w:jc w:val="left"/>
        <w:rPr>
          <w:rFonts w:eastAsia="Calibri"/>
          <w:color w:val="000000"/>
          <w:u w:val="single"/>
        </w:rPr>
      </w:pPr>
      <w:r w:rsidRPr="001B7F77">
        <w:rPr>
          <w:rFonts w:eastAsia="Calibri"/>
          <w:color w:val="000000"/>
          <w:u w:val="single"/>
        </w:rPr>
        <w:t>The cellar space does not exceed 50 percent of the floor area of the establishment above and not to be occupied by more than 10 employees;</w:t>
      </w:r>
    </w:p>
    <w:p w14:paraId="160D1DF7" w14:textId="77777777" w:rsidR="001B7F77" w:rsidRPr="001B7F77" w:rsidRDefault="001B7F77" w:rsidP="0001508F">
      <w:pPr>
        <w:widowControl w:val="0"/>
        <w:numPr>
          <w:ilvl w:val="0"/>
          <w:numId w:val="26"/>
        </w:numPr>
        <w:suppressAutoHyphens/>
        <w:spacing w:before="120"/>
        <w:ind w:left="1440"/>
        <w:jc w:val="left"/>
        <w:rPr>
          <w:rFonts w:eastAsia="Calibri"/>
          <w:color w:val="000000"/>
          <w:u w:val="single"/>
        </w:rPr>
      </w:pPr>
      <w:r w:rsidRPr="001B7F77">
        <w:rPr>
          <w:rFonts w:eastAsia="Calibri"/>
          <w:color w:val="000000"/>
          <w:u w:val="single"/>
        </w:rPr>
        <w:t xml:space="preserve">The entire cellar is protected by an automatic sprinkler system in accordance with Chapter 9 of the </w:t>
      </w:r>
      <w:r w:rsidRPr="001B7F77">
        <w:rPr>
          <w:rFonts w:eastAsia="Calibri"/>
          <w:i/>
          <w:iCs/>
          <w:color w:val="000000"/>
          <w:u w:val="single"/>
        </w:rPr>
        <w:t>New York City Building Code</w:t>
      </w:r>
      <w:r w:rsidRPr="001B7F77">
        <w:rPr>
          <w:rFonts w:eastAsia="Calibri"/>
          <w:color w:val="000000"/>
          <w:u w:val="single"/>
        </w:rPr>
        <w:t xml:space="preserve">; and </w:t>
      </w:r>
    </w:p>
    <w:p w14:paraId="10434D3F" w14:textId="77777777" w:rsidR="001B7F77" w:rsidRPr="001B7F77" w:rsidRDefault="001B7F77" w:rsidP="0001508F">
      <w:pPr>
        <w:widowControl w:val="0"/>
        <w:numPr>
          <w:ilvl w:val="0"/>
          <w:numId w:val="26"/>
        </w:numPr>
        <w:suppressAutoHyphens/>
        <w:spacing w:before="120"/>
        <w:ind w:left="1440"/>
        <w:jc w:val="left"/>
        <w:rPr>
          <w:rFonts w:eastAsia="Calibri"/>
          <w:color w:val="000000"/>
          <w:u w:val="single"/>
        </w:rPr>
      </w:pPr>
      <w:r w:rsidRPr="001B7F77">
        <w:rPr>
          <w:rFonts w:eastAsia="Calibri"/>
          <w:color w:val="000000"/>
          <w:u w:val="single"/>
        </w:rPr>
        <w:t>The means of egress from the cellar space shall consist of:</w:t>
      </w:r>
    </w:p>
    <w:p w14:paraId="00F72C6D" w14:textId="77777777" w:rsidR="001B7F77" w:rsidRPr="001B7F77" w:rsidRDefault="001B7F77" w:rsidP="0001508F">
      <w:pPr>
        <w:widowControl w:val="0"/>
        <w:numPr>
          <w:ilvl w:val="1"/>
          <w:numId w:val="26"/>
        </w:numPr>
        <w:suppressAutoHyphens/>
        <w:spacing w:before="120"/>
        <w:ind w:left="1980" w:hanging="521"/>
        <w:jc w:val="left"/>
        <w:rPr>
          <w:rFonts w:eastAsia="Calibri"/>
          <w:color w:val="000000"/>
          <w:u w:val="single"/>
        </w:rPr>
      </w:pPr>
      <w:r w:rsidRPr="001B7F77">
        <w:rPr>
          <w:rFonts w:eastAsia="Calibri"/>
          <w:color w:val="000000"/>
          <w:u w:val="single"/>
        </w:rPr>
        <w:t>A door opening onto either a public corridor leading to the enclosed egress stairway that maintains enclosure to discharge at the street, or opening directly to an enclosed stair or exit passageway leading to the street; and</w:t>
      </w:r>
    </w:p>
    <w:p w14:paraId="25701077" w14:textId="77777777" w:rsidR="001B7F77" w:rsidRPr="001B7F77" w:rsidRDefault="001B7F77" w:rsidP="0001508F">
      <w:pPr>
        <w:widowControl w:val="0"/>
        <w:numPr>
          <w:ilvl w:val="1"/>
          <w:numId w:val="26"/>
        </w:numPr>
        <w:suppressAutoHyphens/>
        <w:spacing w:before="120"/>
        <w:ind w:left="1980" w:hanging="521"/>
        <w:jc w:val="left"/>
        <w:rPr>
          <w:rFonts w:eastAsia="Calibri"/>
          <w:color w:val="000000"/>
          <w:u w:val="single"/>
        </w:rPr>
      </w:pPr>
      <w:r w:rsidRPr="001B7F77">
        <w:rPr>
          <w:rFonts w:eastAsia="Calibri"/>
          <w:color w:val="000000"/>
          <w:u w:val="single"/>
        </w:rPr>
        <w:t xml:space="preserve">A door to an enclosed stair not less than 30 inches (762 mm) wide leading to the establishment above. </w:t>
      </w:r>
    </w:p>
    <w:p w14:paraId="573467EB" w14:textId="77777777" w:rsidR="001B7F77" w:rsidRPr="001B7F77" w:rsidRDefault="001B7F77" w:rsidP="001B7F77">
      <w:pPr>
        <w:widowControl w:val="0"/>
        <w:suppressAutoHyphens/>
        <w:spacing w:before="120"/>
        <w:ind w:left="720"/>
        <w:rPr>
          <w:u w:val="single"/>
        </w:rPr>
      </w:pPr>
      <w:bookmarkStart w:id="207" w:name="_Hlk78452925"/>
      <w:r w:rsidRPr="001B7F77">
        <w:rPr>
          <w:b/>
          <w:u w:val="single"/>
        </w:rPr>
        <w:t>1005.6.2.2 Cellar level is used by patrons or customers of the establishment.</w:t>
      </w:r>
      <w:r w:rsidRPr="001B7F77">
        <w:rPr>
          <w:u w:val="single"/>
        </w:rPr>
        <w:t xml:space="preserve"> Where the cellar is to be used by patrons or customers of the establishment above, all the following conditions shall be complied with:</w:t>
      </w:r>
    </w:p>
    <w:p w14:paraId="10837AAD" w14:textId="77777777" w:rsidR="001B7F77" w:rsidRPr="001B7F77" w:rsidRDefault="001B7F77" w:rsidP="0001508F">
      <w:pPr>
        <w:widowControl w:val="0"/>
        <w:numPr>
          <w:ilvl w:val="0"/>
          <w:numId w:val="27"/>
        </w:numPr>
        <w:suppressAutoHyphens/>
        <w:spacing w:before="120"/>
        <w:ind w:left="1440"/>
        <w:jc w:val="left"/>
        <w:rPr>
          <w:u w:val="single"/>
        </w:rPr>
      </w:pPr>
      <w:r w:rsidRPr="001B7F77">
        <w:rPr>
          <w:u w:val="single"/>
        </w:rPr>
        <w:t>The cellar level and the floor above are protected by an automatic sprinkler system and the cellar space has an occupant load of not more than 50 persons;</w:t>
      </w:r>
    </w:p>
    <w:p w14:paraId="1F0607FB" w14:textId="77777777" w:rsidR="001B7F77" w:rsidRPr="001B7F77" w:rsidRDefault="001B7F77" w:rsidP="0001508F">
      <w:pPr>
        <w:widowControl w:val="0"/>
        <w:numPr>
          <w:ilvl w:val="0"/>
          <w:numId w:val="27"/>
        </w:numPr>
        <w:suppressAutoHyphens/>
        <w:spacing w:before="120"/>
        <w:ind w:left="1440"/>
        <w:jc w:val="left"/>
        <w:rPr>
          <w:rFonts w:eastAsia="Calibri"/>
          <w:color w:val="000000"/>
          <w:u w:val="single"/>
        </w:rPr>
      </w:pPr>
      <w:r w:rsidRPr="001B7F77">
        <w:rPr>
          <w:rFonts w:eastAsia="Calibri"/>
          <w:color w:val="000000"/>
          <w:u w:val="single"/>
        </w:rPr>
        <w:t>The means of egress from the cellar shall consist of:</w:t>
      </w:r>
    </w:p>
    <w:p w14:paraId="456CE673" w14:textId="77777777" w:rsidR="001B7F77" w:rsidRPr="001B7F77" w:rsidRDefault="001B7F77" w:rsidP="0001508F">
      <w:pPr>
        <w:widowControl w:val="0"/>
        <w:numPr>
          <w:ilvl w:val="1"/>
          <w:numId w:val="27"/>
        </w:numPr>
        <w:suppressAutoHyphens/>
        <w:spacing w:before="120"/>
        <w:ind w:left="1980" w:hanging="521"/>
        <w:jc w:val="left"/>
        <w:rPr>
          <w:rFonts w:eastAsia="Calibri"/>
          <w:color w:val="000000"/>
          <w:u w:val="single"/>
        </w:rPr>
      </w:pPr>
      <w:r w:rsidRPr="001B7F77">
        <w:rPr>
          <w:rFonts w:eastAsia="Calibri"/>
          <w:color w:val="000000"/>
          <w:u w:val="single"/>
        </w:rPr>
        <w:t>An exit door opening onto a public corridor leading to the enclosed egress stairway that maintains enclosure to discharge at the street or an opening directly to an enclosed stair or exit passageway leading to the street; and</w:t>
      </w:r>
    </w:p>
    <w:p w14:paraId="7DD1A171" w14:textId="77777777" w:rsidR="001B7F77" w:rsidRPr="001B7F77" w:rsidRDefault="001B7F77" w:rsidP="0001508F">
      <w:pPr>
        <w:widowControl w:val="0"/>
        <w:numPr>
          <w:ilvl w:val="1"/>
          <w:numId w:val="27"/>
        </w:numPr>
        <w:suppressAutoHyphens/>
        <w:spacing w:before="120"/>
        <w:ind w:left="1980" w:hanging="521"/>
        <w:jc w:val="left"/>
        <w:rPr>
          <w:rFonts w:eastAsia="Calibri"/>
          <w:color w:val="000000"/>
          <w:u w:val="single"/>
        </w:rPr>
      </w:pPr>
      <w:r w:rsidRPr="001B7F77">
        <w:rPr>
          <w:rFonts w:eastAsia="Calibri"/>
          <w:color w:val="000000"/>
          <w:u w:val="single"/>
        </w:rPr>
        <w:t xml:space="preserve">A door to an enclosed connecting stair not less than 44 inches (1118 mm) wide leading to the establishment above. </w:t>
      </w:r>
    </w:p>
    <w:p w14:paraId="6E2B59D1" w14:textId="77777777" w:rsidR="001B7F77" w:rsidRPr="001B7F77" w:rsidRDefault="001B7F77" w:rsidP="001B7F77">
      <w:pPr>
        <w:widowControl w:val="0"/>
        <w:suppressAutoHyphens/>
        <w:spacing w:before="120"/>
        <w:ind w:left="720"/>
      </w:pPr>
      <w:bookmarkStart w:id="208" w:name="_heading=h.30j0zll"/>
      <w:bookmarkEnd w:id="207"/>
      <w:bookmarkEnd w:id="208"/>
      <w:r w:rsidRPr="001B7F77">
        <w:rPr>
          <w:b/>
          <w:u w:val="single"/>
        </w:rPr>
        <w:t xml:space="preserve">1005.6.2.3 Cellar level is occupied by customers or patrons in excess of the limits of Sections 1005.6.2.1 and 1005.6.2.2. </w:t>
      </w:r>
      <w:r w:rsidRPr="001B7F77">
        <w:rPr>
          <w:u w:val="single"/>
        </w:rPr>
        <w:t xml:space="preserve">Where the cellar level is occupied by more than 50 people, two enclosed means of egress leading directly to the street, in compliance with Chapter 10 of the </w:t>
      </w:r>
      <w:r w:rsidRPr="001B7F77">
        <w:rPr>
          <w:i/>
          <w:iCs/>
          <w:u w:val="single"/>
        </w:rPr>
        <w:t>New York City Building Code</w:t>
      </w:r>
      <w:r w:rsidRPr="001B7F77">
        <w:rPr>
          <w:u w:val="single"/>
        </w:rPr>
        <w:t xml:space="preserve">, shall be provided. In addition, such level shall be protected with automatic sprinkler system in accordance with Chapter 9 of the </w:t>
      </w:r>
      <w:r w:rsidRPr="001B7F77">
        <w:rPr>
          <w:i/>
          <w:iCs/>
          <w:u w:val="single"/>
        </w:rPr>
        <w:t>New York City Building Code</w:t>
      </w:r>
      <w:r w:rsidRPr="001B7F77">
        <w:rPr>
          <w:u w:val="single"/>
        </w:rPr>
        <w:t>.</w:t>
      </w:r>
    </w:p>
    <w:p w14:paraId="1021AB2D" w14:textId="77777777" w:rsidR="001B7F77" w:rsidRPr="001B7F77" w:rsidRDefault="001B7F77" w:rsidP="001B7F77">
      <w:pPr>
        <w:widowControl w:val="0"/>
        <w:suppressAutoHyphens/>
        <w:spacing w:before="120"/>
        <w:jc w:val="center"/>
        <w:outlineLvl w:val="0"/>
        <w:rPr>
          <w:b/>
          <w:color w:val="000000"/>
          <w:u w:val="single"/>
        </w:rPr>
      </w:pPr>
    </w:p>
    <w:p w14:paraId="76B0A7C0" w14:textId="77777777" w:rsidR="001B7F77" w:rsidRPr="001B7F77" w:rsidRDefault="001B7F77" w:rsidP="001B7F77">
      <w:pPr>
        <w:widowControl w:val="0"/>
        <w:suppressAutoHyphens/>
        <w:spacing w:before="120"/>
        <w:jc w:val="center"/>
        <w:outlineLvl w:val="0"/>
        <w:rPr>
          <w:rFonts w:eastAsia="Helvetica Neue"/>
          <w:b/>
          <w:color w:val="000000"/>
          <w:u w:val="single"/>
        </w:rPr>
      </w:pPr>
      <w:r w:rsidRPr="001B7F77">
        <w:rPr>
          <w:b/>
          <w:color w:val="000000"/>
          <w:u w:val="single"/>
        </w:rPr>
        <w:t>SECTION</w:t>
      </w:r>
      <w:r w:rsidRPr="001B7F77">
        <w:rPr>
          <w:rFonts w:eastAsia="Helvetica Neue"/>
          <w:b/>
          <w:color w:val="000000"/>
          <w:u w:val="single"/>
        </w:rPr>
        <w:t xml:space="preserve"> EBC 1006</w:t>
      </w:r>
      <w:r w:rsidRPr="001B7F77">
        <w:rPr>
          <w:rFonts w:eastAsia="Helvetica Neue"/>
          <w:b/>
          <w:color w:val="000000"/>
          <w:u w:val="single"/>
        </w:rPr>
        <w:br/>
        <w:t>ACCESSIBILITY</w:t>
      </w:r>
    </w:p>
    <w:p w14:paraId="722058BF" w14:textId="77777777" w:rsidR="001B7F77" w:rsidRPr="001B7F77" w:rsidRDefault="001B7F77" w:rsidP="001B7F77">
      <w:pPr>
        <w:widowControl w:val="0"/>
        <w:suppressAutoHyphens/>
        <w:spacing w:before="120"/>
        <w:rPr>
          <w:rFonts w:eastAsia="Times"/>
          <w:color w:val="000000"/>
        </w:rPr>
      </w:pPr>
      <w:r w:rsidRPr="001B7F77">
        <w:rPr>
          <w:rFonts w:eastAsia="Times"/>
          <w:b/>
          <w:color w:val="000000"/>
          <w:u w:val="single"/>
        </w:rPr>
        <w:t>1006.1 General</w:t>
      </w:r>
      <w:r w:rsidRPr="001B7F77">
        <w:rPr>
          <w:rFonts w:eastAsia="Times"/>
          <w:color w:val="000000"/>
          <w:u w:val="single"/>
        </w:rPr>
        <w:t xml:space="preserve">. Accessibility in buildings or portions of buildings undergoing a change of occupancy, as described in Section 1001.3, shall comply with Chapter 11 of the </w:t>
      </w:r>
      <w:r w:rsidRPr="001B7F77">
        <w:rPr>
          <w:rFonts w:eastAsia="Times"/>
          <w:i/>
          <w:iCs/>
          <w:color w:val="000000"/>
          <w:u w:val="single"/>
        </w:rPr>
        <w:t>New York City Building Code</w:t>
      </w:r>
      <w:r w:rsidRPr="001B7F77">
        <w:rPr>
          <w:rFonts w:eastAsia="Times"/>
          <w:color w:val="000000"/>
          <w:u w:val="single"/>
        </w:rPr>
        <w:t>, in accordance with Section 1006.1.1 of this code.</w:t>
      </w:r>
    </w:p>
    <w:p w14:paraId="5DF99C15" w14:textId="77777777" w:rsidR="001B7F77" w:rsidRPr="001B7F77" w:rsidRDefault="001B7F77" w:rsidP="001B7F77">
      <w:pPr>
        <w:widowControl w:val="0"/>
        <w:suppressAutoHyphens/>
        <w:spacing w:before="120"/>
        <w:ind w:left="360"/>
        <w:rPr>
          <w:color w:val="000000"/>
          <w:u w:val="single"/>
        </w:rPr>
      </w:pPr>
      <w:r w:rsidRPr="001B7F77">
        <w:rPr>
          <w:b/>
          <w:bCs/>
          <w:u w:val="single"/>
        </w:rPr>
        <w:t>1006.1.1 Requirements based on change of occupancy classification or a change of use</w:t>
      </w:r>
      <w:r w:rsidRPr="001B7F77">
        <w:rPr>
          <w:u w:val="single"/>
        </w:rPr>
        <w:t xml:space="preserve">. Where a building or portion thereof is undergoing a change of occupancy classification or a change of use as described in Section 1001.3, requirements of </w:t>
      </w:r>
      <w:r w:rsidRPr="001B7F77">
        <w:rPr>
          <w:i/>
          <w:iCs/>
          <w:u w:val="single"/>
        </w:rPr>
        <w:t>New York City Building Code</w:t>
      </w:r>
      <w:r w:rsidRPr="001B7F77">
        <w:rPr>
          <w:u w:val="single"/>
        </w:rPr>
        <w:t xml:space="preserve"> Chapter 11 shall apply as follows:</w:t>
      </w:r>
    </w:p>
    <w:p w14:paraId="4BE5C5D8" w14:textId="77777777" w:rsidR="001B7F77" w:rsidRPr="001B7F77" w:rsidRDefault="001B7F77" w:rsidP="001B7F77">
      <w:pPr>
        <w:widowControl w:val="0"/>
        <w:suppressAutoHyphens/>
        <w:spacing w:before="120"/>
        <w:ind w:left="1080" w:hanging="360"/>
        <w:rPr>
          <w:color w:val="000000"/>
          <w:u w:val="single"/>
        </w:rPr>
      </w:pPr>
      <w:r w:rsidRPr="001B7F77">
        <w:rPr>
          <w:color w:val="000000"/>
          <w:u w:val="single"/>
        </w:rPr>
        <w:t>1.</w:t>
      </w:r>
      <w:r w:rsidRPr="001B7F77">
        <w:rPr>
          <w:color w:val="000000"/>
          <w:u w:val="single"/>
        </w:rPr>
        <w:tab/>
        <w:t>To the entire building, as if the building were hereafter erected, where the change is made in the main use or dominant occupancy of such building.</w:t>
      </w:r>
    </w:p>
    <w:p w14:paraId="48E3BEBE" w14:textId="77777777" w:rsidR="001B7F77" w:rsidRPr="001B7F77" w:rsidRDefault="001B7F77" w:rsidP="001B7F77">
      <w:pPr>
        <w:widowControl w:val="0"/>
        <w:suppressAutoHyphens/>
        <w:spacing w:before="120"/>
        <w:ind w:left="1080" w:hanging="360"/>
        <w:rPr>
          <w:color w:val="000000"/>
          <w:u w:val="single"/>
        </w:rPr>
      </w:pPr>
      <w:r w:rsidRPr="001B7F77">
        <w:rPr>
          <w:color w:val="000000"/>
          <w:u w:val="single"/>
        </w:rPr>
        <w:t>2.</w:t>
      </w:r>
      <w:r w:rsidRPr="001B7F77">
        <w:rPr>
          <w:color w:val="000000"/>
          <w:u w:val="single"/>
        </w:rPr>
        <w:tab/>
        <w:t xml:space="preserve">Throughout a space, including the immediate entrance(s) thereto, where an alteration is made that is considered either (i) a change in occupancy classification of such space in accordance with Chapter 3 of the </w:t>
      </w:r>
      <w:r w:rsidRPr="001B7F77">
        <w:rPr>
          <w:i/>
          <w:iCs/>
          <w:color w:val="000000"/>
          <w:u w:val="single"/>
        </w:rPr>
        <w:t>New York City Building Code</w:t>
      </w:r>
      <w:r w:rsidRPr="001B7F77">
        <w:rPr>
          <w:color w:val="000000"/>
          <w:u w:val="single"/>
        </w:rPr>
        <w:t>, or (ii)</w:t>
      </w:r>
      <w:r w:rsidRPr="001B7F77">
        <w:rPr>
          <w:b/>
          <w:color w:val="000000"/>
          <w:u w:val="single"/>
        </w:rPr>
        <w:t xml:space="preserve"> </w:t>
      </w:r>
      <w:r w:rsidRPr="001B7F77">
        <w:rPr>
          <w:color w:val="000000"/>
          <w:u w:val="single"/>
        </w:rPr>
        <w:t xml:space="preserve">a change in how a space is being used, or (iii) a change in the zoning use group of such space in accordance with the </w:t>
      </w:r>
      <w:r w:rsidRPr="001B7F77">
        <w:rPr>
          <w:i/>
          <w:iCs/>
          <w:color w:val="000000"/>
          <w:u w:val="single"/>
        </w:rPr>
        <w:t>New York City Zoning Resolution</w:t>
      </w:r>
      <w:r w:rsidRPr="001B7F77">
        <w:rPr>
          <w:color w:val="000000"/>
          <w:u w:val="single"/>
        </w:rPr>
        <w:t>.</w:t>
      </w:r>
    </w:p>
    <w:p w14:paraId="64195F9B" w14:textId="77777777" w:rsidR="001B7F77" w:rsidRPr="001B7F77" w:rsidRDefault="001B7F77" w:rsidP="001B7F77">
      <w:pPr>
        <w:widowControl w:val="0"/>
        <w:suppressAutoHyphens/>
        <w:spacing w:before="120"/>
        <w:ind w:left="1620" w:hanging="540"/>
        <w:rPr>
          <w:color w:val="000000"/>
          <w:u w:val="single"/>
        </w:rPr>
      </w:pPr>
      <w:r w:rsidRPr="001B7F77">
        <w:rPr>
          <w:color w:val="000000"/>
          <w:u w:val="single"/>
        </w:rPr>
        <w:t>2.1.</w:t>
      </w:r>
      <w:r w:rsidRPr="001B7F77">
        <w:rPr>
          <w:color w:val="000000"/>
          <w:u w:val="single"/>
        </w:rPr>
        <w:tab/>
        <w:t>Where the immediate entrance(s) to such space provides direct access to the sidewalk, such immediate entrance(s) shall be provided with an accessible route to the sidewalk. Where the immediate entrance(s) to such space are only through an adjacent space, such as a building lobby, such space shall be provided with an accessible route, through the adjacent space, to the sidewalk.</w:t>
      </w:r>
    </w:p>
    <w:p w14:paraId="3C759C51" w14:textId="77777777" w:rsidR="001B7F77" w:rsidRPr="001B7F77" w:rsidRDefault="001B7F77" w:rsidP="001B7F77">
      <w:pPr>
        <w:widowControl w:val="0"/>
        <w:suppressAutoHyphens/>
        <w:spacing w:before="120"/>
        <w:ind w:left="1620" w:hanging="540"/>
        <w:rPr>
          <w:color w:val="000000"/>
          <w:u w:val="single"/>
        </w:rPr>
      </w:pPr>
      <w:r w:rsidRPr="001B7F77">
        <w:rPr>
          <w:color w:val="000000"/>
          <w:u w:val="single"/>
        </w:rPr>
        <w:t>2.2.</w:t>
      </w:r>
      <w:r w:rsidRPr="001B7F77">
        <w:rPr>
          <w:color w:val="000000"/>
          <w:u w:val="single"/>
        </w:rPr>
        <w:tab/>
        <w:t>Where elevator service is provided in the building and the rooftop is undergoing a change of use or occupancy that is intended for use by general public or building occupants served by such elevator service, an accessible route shall be provided to access such rooftop.</w:t>
      </w:r>
    </w:p>
    <w:p w14:paraId="06FAB58F" w14:textId="77777777" w:rsidR="001B7F77" w:rsidRPr="001B7F77" w:rsidRDefault="001B7F77" w:rsidP="001B7F77">
      <w:pPr>
        <w:widowControl w:val="0"/>
        <w:suppressAutoHyphens/>
        <w:spacing w:before="120"/>
        <w:jc w:val="center"/>
        <w:outlineLvl w:val="0"/>
        <w:rPr>
          <w:rFonts w:eastAsia="Helvetica Neue"/>
          <w:b/>
          <w:color w:val="000000"/>
          <w:u w:val="single"/>
        </w:rPr>
      </w:pPr>
    </w:p>
    <w:p w14:paraId="5B13D22A" w14:textId="77777777" w:rsidR="001B7F77" w:rsidRPr="001B7F77" w:rsidRDefault="001B7F77" w:rsidP="001B7F77">
      <w:pPr>
        <w:widowControl w:val="0"/>
        <w:suppressAutoHyphens/>
        <w:spacing w:before="120"/>
        <w:jc w:val="center"/>
        <w:outlineLvl w:val="0"/>
        <w:rPr>
          <w:rFonts w:eastAsia="Helvetica Neue"/>
          <w:b/>
          <w:color w:val="000000"/>
          <w:u w:val="single"/>
        </w:rPr>
      </w:pPr>
      <w:r w:rsidRPr="001B7F77">
        <w:rPr>
          <w:rFonts w:eastAsia="Helvetica Neue"/>
          <w:b/>
          <w:color w:val="000000"/>
          <w:u w:val="single"/>
        </w:rPr>
        <w:t xml:space="preserve">SECTION </w:t>
      </w:r>
      <w:r w:rsidRPr="001B7F77">
        <w:rPr>
          <w:b/>
          <w:color w:val="000000"/>
          <w:u w:val="single"/>
        </w:rPr>
        <w:t>EBC</w:t>
      </w:r>
      <w:r w:rsidRPr="001B7F77">
        <w:rPr>
          <w:rFonts w:eastAsia="Helvetica Neue"/>
          <w:b/>
          <w:color w:val="000000"/>
          <w:u w:val="single"/>
        </w:rPr>
        <w:t xml:space="preserve"> 1007</w:t>
      </w:r>
      <w:r w:rsidRPr="001B7F77">
        <w:rPr>
          <w:rFonts w:eastAsia="Helvetica Neue"/>
          <w:b/>
          <w:color w:val="000000"/>
          <w:u w:val="single"/>
        </w:rPr>
        <w:br/>
        <w:t>STRUCTURAL</w:t>
      </w:r>
    </w:p>
    <w:p w14:paraId="22727D56" w14:textId="77777777" w:rsidR="001B7F77" w:rsidRPr="001B7F77" w:rsidRDefault="001B7F77" w:rsidP="001B7F77">
      <w:pPr>
        <w:widowControl w:val="0"/>
        <w:suppressAutoHyphens/>
        <w:spacing w:before="120"/>
        <w:rPr>
          <w:rFonts w:eastAsia="Times"/>
          <w:color w:val="000000"/>
        </w:rPr>
      </w:pPr>
      <w:r w:rsidRPr="001B7F77">
        <w:rPr>
          <w:rFonts w:eastAsia="Times"/>
          <w:b/>
          <w:color w:val="000000"/>
          <w:u w:val="single"/>
        </w:rPr>
        <w:t>1007.1 Compliance with chapter 7</w:t>
      </w:r>
      <w:r w:rsidRPr="001B7F77">
        <w:rPr>
          <w:rFonts w:eastAsia="Times"/>
          <w:color w:val="000000"/>
          <w:u w:val="single"/>
        </w:rPr>
        <w:t>. Buildings or portions thereof subject to a change of occupancy as described in Section 1001.3, shall be subject to Chapter 7.</w:t>
      </w:r>
      <w:r w:rsidRPr="001B7F77">
        <w:rPr>
          <w:rFonts w:eastAsia="Times"/>
          <w:color w:val="000000"/>
        </w:rPr>
        <w:t xml:space="preserve"> </w:t>
      </w:r>
    </w:p>
    <w:p w14:paraId="1D3F0B2F" w14:textId="77777777" w:rsidR="001B7F77" w:rsidRPr="001B7F77" w:rsidRDefault="001B7F77" w:rsidP="001B7F77">
      <w:pPr>
        <w:widowControl w:val="0"/>
        <w:shd w:val="clear" w:color="auto" w:fill="FFFFFF"/>
        <w:suppressAutoHyphens/>
        <w:spacing w:before="120"/>
        <w:rPr>
          <w:color w:val="000000"/>
        </w:rPr>
      </w:pPr>
      <w:r w:rsidRPr="001B7F77">
        <w:rPr>
          <w:b/>
          <w:bCs/>
          <w:color w:val="000000"/>
          <w:u w:val="single"/>
        </w:rPr>
        <w:t>1007.2. Structural condition assessment.</w:t>
      </w:r>
      <w:r w:rsidRPr="001B7F77">
        <w:rPr>
          <w:color w:val="000000"/>
          <w:u w:val="single"/>
        </w:rPr>
        <w:t xml:space="preserve"> Buildings or portions thereof subject to a change of occupancy shall require an initial structural condition assessment per Section 704.2.2. Where the change of occupancy includes a structural alteration, a detailed structural condition assessment per Section 704.3 is also required.</w:t>
      </w:r>
    </w:p>
    <w:p w14:paraId="169CD3BB" w14:textId="77777777" w:rsidR="001B7F77" w:rsidRPr="001B7F77" w:rsidRDefault="001B7F77" w:rsidP="001B7F77">
      <w:pPr>
        <w:widowControl w:val="0"/>
        <w:suppressAutoHyphens/>
        <w:spacing w:before="120"/>
        <w:jc w:val="center"/>
        <w:outlineLvl w:val="0"/>
        <w:rPr>
          <w:rFonts w:eastAsia="Helvetica Neue"/>
          <w:b/>
          <w:color w:val="000000"/>
          <w:u w:val="single"/>
        </w:rPr>
      </w:pPr>
    </w:p>
    <w:p w14:paraId="1973759E" w14:textId="77777777" w:rsidR="001B7F77" w:rsidRPr="001B7F77" w:rsidRDefault="001B7F77" w:rsidP="001B7F77">
      <w:pPr>
        <w:widowControl w:val="0"/>
        <w:suppressAutoHyphens/>
        <w:spacing w:before="120"/>
        <w:jc w:val="center"/>
        <w:outlineLvl w:val="0"/>
        <w:rPr>
          <w:rFonts w:eastAsia="Helvetica Neue"/>
          <w:b/>
          <w:color w:val="000000"/>
          <w:u w:val="single"/>
        </w:rPr>
      </w:pPr>
      <w:r w:rsidRPr="001B7F77">
        <w:rPr>
          <w:rFonts w:eastAsia="Helvetica Neue"/>
          <w:b/>
          <w:color w:val="000000"/>
          <w:u w:val="single"/>
        </w:rPr>
        <w:t xml:space="preserve">SECTION </w:t>
      </w:r>
      <w:r w:rsidRPr="001B7F77">
        <w:rPr>
          <w:b/>
          <w:color w:val="000000"/>
          <w:u w:val="single"/>
        </w:rPr>
        <w:t>EBC</w:t>
      </w:r>
      <w:r w:rsidRPr="001B7F77">
        <w:rPr>
          <w:rFonts w:eastAsia="Helvetica Neue"/>
          <w:b/>
          <w:color w:val="000000"/>
          <w:u w:val="single"/>
        </w:rPr>
        <w:t xml:space="preserve"> 1008</w:t>
      </w:r>
      <w:r w:rsidRPr="001B7F77">
        <w:rPr>
          <w:rFonts w:eastAsia="Helvetica Neue"/>
          <w:b/>
          <w:color w:val="000000"/>
          <w:u w:val="single"/>
        </w:rPr>
        <w:br/>
        <w:t>ELECTRICAL</w:t>
      </w:r>
    </w:p>
    <w:p w14:paraId="7D73E937" w14:textId="77777777" w:rsidR="001B7F77" w:rsidRPr="001B7F77" w:rsidRDefault="001B7F77" w:rsidP="001B7F77">
      <w:pPr>
        <w:widowControl w:val="0"/>
        <w:suppressAutoHyphens/>
        <w:spacing w:before="120"/>
        <w:rPr>
          <w:rFonts w:eastAsia="Times"/>
          <w:color w:val="000000"/>
        </w:rPr>
      </w:pPr>
      <w:r w:rsidRPr="001B7F77">
        <w:rPr>
          <w:rFonts w:eastAsia="Times"/>
          <w:b/>
          <w:color w:val="000000"/>
          <w:u w:val="single"/>
        </w:rPr>
        <w:t>1008.1 Special occupancies</w:t>
      </w:r>
      <w:r w:rsidRPr="001B7F77">
        <w:rPr>
          <w:rFonts w:eastAsia="Times"/>
          <w:color w:val="000000"/>
          <w:u w:val="single"/>
        </w:rPr>
        <w:t xml:space="preserve">. Where the occupancy or use of an existing building or part of an existing building is changed to one of the following special occupancies as described in the </w:t>
      </w:r>
      <w:r w:rsidRPr="001B7F77">
        <w:rPr>
          <w:rFonts w:eastAsia="Times"/>
          <w:i/>
          <w:iCs/>
          <w:color w:val="000000"/>
          <w:u w:val="single"/>
        </w:rPr>
        <w:t>New York City Electrical Code</w:t>
      </w:r>
      <w:r w:rsidRPr="001B7F77">
        <w:rPr>
          <w:rFonts w:eastAsia="Times"/>
          <w:color w:val="000000"/>
          <w:u w:val="single"/>
        </w:rPr>
        <w:t xml:space="preserve">, the electrical wiring and equipment of the building or portion thereof that contains the proposed occupancy shall comply with the applicable requirements of the </w:t>
      </w:r>
      <w:r w:rsidRPr="001B7F77">
        <w:rPr>
          <w:rFonts w:eastAsia="Times"/>
          <w:i/>
          <w:iCs/>
          <w:color w:val="000000"/>
          <w:u w:val="single"/>
        </w:rPr>
        <w:t>New York City Electrical Code</w:t>
      </w:r>
      <w:r w:rsidRPr="001B7F77">
        <w:rPr>
          <w:rFonts w:eastAsia="Times"/>
          <w:color w:val="000000"/>
          <w:u w:val="single"/>
        </w:rPr>
        <w:t xml:space="preserve"> whether or not a change of Occupancy Group is involved:</w:t>
      </w:r>
    </w:p>
    <w:p w14:paraId="62C6D35F" w14:textId="77777777" w:rsidR="001B7F77" w:rsidRPr="001B7F77" w:rsidRDefault="001B7F77" w:rsidP="001B7F77">
      <w:pPr>
        <w:widowControl w:val="0"/>
        <w:suppressAutoHyphens/>
        <w:spacing w:before="120"/>
        <w:ind w:left="900" w:hanging="540"/>
        <w:rPr>
          <w:rFonts w:eastAsia="Times"/>
          <w:color w:val="000000"/>
          <w:u w:val="single"/>
        </w:rPr>
      </w:pPr>
      <w:r w:rsidRPr="001B7F77">
        <w:rPr>
          <w:rFonts w:eastAsia="Times"/>
          <w:color w:val="000000"/>
          <w:u w:val="single"/>
        </w:rPr>
        <w:t>1.</w:t>
      </w:r>
      <w:r w:rsidRPr="001B7F77">
        <w:rPr>
          <w:rFonts w:eastAsia="Times"/>
          <w:color w:val="000000"/>
          <w:u w:val="single"/>
        </w:rPr>
        <w:tab/>
        <w:t>Hazardous locations.</w:t>
      </w:r>
    </w:p>
    <w:p w14:paraId="00A7CF0A" w14:textId="77777777" w:rsidR="001B7F77" w:rsidRPr="001B7F77" w:rsidRDefault="001B7F77" w:rsidP="001B7F77">
      <w:pPr>
        <w:widowControl w:val="0"/>
        <w:suppressAutoHyphens/>
        <w:spacing w:before="120"/>
        <w:ind w:left="900" w:hanging="540"/>
        <w:rPr>
          <w:rFonts w:eastAsia="Times"/>
          <w:color w:val="000000"/>
          <w:u w:val="single"/>
        </w:rPr>
      </w:pPr>
      <w:r w:rsidRPr="001B7F77">
        <w:rPr>
          <w:rFonts w:eastAsia="Times"/>
          <w:color w:val="000000"/>
          <w:u w:val="single"/>
        </w:rPr>
        <w:t>2.</w:t>
      </w:r>
      <w:r w:rsidRPr="001B7F77">
        <w:rPr>
          <w:rFonts w:eastAsia="Times"/>
          <w:color w:val="000000"/>
          <w:u w:val="single"/>
        </w:rPr>
        <w:tab/>
        <w:t>Commercial garages, repair, and storage.</w:t>
      </w:r>
    </w:p>
    <w:p w14:paraId="40BE58D9" w14:textId="77777777" w:rsidR="001B7F77" w:rsidRPr="001B7F77" w:rsidRDefault="001B7F77" w:rsidP="001B7F77">
      <w:pPr>
        <w:widowControl w:val="0"/>
        <w:suppressAutoHyphens/>
        <w:spacing w:before="120"/>
        <w:ind w:left="900" w:hanging="540"/>
        <w:rPr>
          <w:rFonts w:eastAsia="Times"/>
          <w:color w:val="000000"/>
          <w:u w:val="single"/>
        </w:rPr>
      </w:pPr>
      <w:r w:rsidRPr="001B7F77">
        <w:rPr>
          <w:rFonts w:eastAsia="Times"/>
          <w:color w:val="000000"/>
          <w:u w:val="single"/>
        </w:rPr>
        <w:t>3.</w:t>
      </w:r>
      <w:r w:rsidRPr="001B7F77">
        <w:rPr>
          <w:rFonts w:eastAsia="Times"/>
          <w:color w:val="000000"/>
          <w:u w:val="single"/>
        </w:rPr>
        <w:tab/>
        <w:t>Aircraft hangars.</w:t>
      </w:r>
    </w:p>
    <w:p w14:paraId="616348BC" w14:textId="77777777" w:rsidR="001B7F77" w:rsidRPr="001B7F77" w:rsidRDefault="001B7F77" w:rsidP="001B7F77">
      <w:pPr>
        <w:widowControl w:val="0"/>
        <w:suppressAutoHyphens/>
        <w:spacing w:before="120"/>
        <w:ind w:left="900" w:hanging="540"/>
        <w:rPr>
          <w:rFonts w:eastAsia="Times"/>
          <w:color w:val="000000"/>
          <w:u w:val="single"/>
        </w:rPr>
      </w:pPr>
      <w:r w:rsidRPr="001B7F77">
        <w:rPr>
          <w:rFonts w:eastAsia="Times"/>
          <w:color w:val="000000"/>
          <w:u w:val="single"/>
        </w:rPr>
        <w:t>4.</w:t>
      </w:r>
      <w:r w:rsidRPr="001B7F77">
        <w:rPr>
          <w:rFonts w:eastAsia="Times"/>
          <w:color w:val="000000"/>
          <w:u w:val="single"/>
        </w:rPr>
        <w:tab/>
        <w:t>Gasoline dispensing and service stations.</w:t>
      </w:r>
    </w:p>
    <w:p w14:paraId="38EA39AD" w14:textId="77777777" w:rsidR="001B7F77" w:rsidRPr="001B7F77" w:rsidRDefault="001B7F77" w:rsidP="001B7F77">
      <w:pPr>
        <w:widowControl w:val="0"/>
        <w:suppressAutoHyphens/>
        <w:spacing w:before="120"/>
        <w:ind w:left="900" w:hanging="540"/>
        <w:rPr>
          <w:rFonts w:eastAsia="Times"/>
          <w:color w:val="000000"/>
          <w:u w:val="single"/>
        </w:rPr>
      </w:pPr>
      <w:r w:rsidRPr="001B7F77">
        <w:rPr>
          <w:rFonts w:eastAsia="Times"/>
          <w:color w:val="000000"/>
          <w:u w:val="single"/>
        </w:rPr>
        <w:t>5.</w:t>
      </w:r>
      <w:r w:rsidRPr="001B7F77">
        <w:rPr>
          <w:rFonts w:eastAsia="Times"/>
          <w:color w:val="000000"/>
          <w:u w:val="single"/>
        </w:rPr>
        <w:tab/>
        <w:t>Bulk storage plants.</w:t>
      </w:r>
    </w:p>
    <w:p w14:paraId="0CB37279" w14:textId="77777777" w:rsidR="001B7F77" w:rsidRPr="001B7F77" w:rsidRDefault="001B7F77" w:rsidP="001B7F77">
      <w:pPr>
        <w:widowControl w:val="0"/>
        <w:suppressAutoHyphens/>
        <w:spacing w:before="120"/>
        <w:ind w:left="900" w:hanging="540"/>
        <w:rPr>
          <w:rFonts w:eastAsia="Times"/>
          <w:color w:val="000000"/>
          <w:u w:val="single"/>
        </w:rPr>
      </w:pPr>
      <w:r w:rsidRPr="001B7F77">
        <w:rPr>
          <w:rFonts w:eastAsia="Times"/>
          <w:color w:val="000000"/>
          <w:u w:val="single"/>
        </w:rPr>
        <w:t>6.</w:t>
      </w:r>
      <w:r w:rsidRPr="001B7F77">
        <w:rPr>
          <w:rFonts w:eastAsia="Times"/>
          <w:color w:val="000000"/>
          <w:u w:val="single"/>
        </w:rPr>
        <w:tab/>
        <w:t>Spray application, dipping, and coating processes.</w:t>
      </w:r>
    </w:p>
    <w:p w14:paraId="5B3B5084" w14:textId="77777777" w:rsidR="001B7F77" w:rsidRPr="001B7F77" w:rsidRDefault="001B7F77" w:rsidP="001B7F77">
      <w:pPr>
        <w:widowControl w:val="0"/>
        <w:suppressAutoHyphens/>
        <w:spacing w:before="120"/>
        <w:ind w:left="900" w:hanging="540"/>
        <w:rPr>
          <w:rFonts w:eastAsia="Times"/>
          <w:color w:val="000000"/>
          <w:u w:val="single"/>
        </w:rPr>
      </w:pPr>
      <w:r w:rsidRPr="001B7F77">
        <w:rPr>
          <w:rFonts w:eastAsia="Times"/>
          <w:color w:val="000000"/>
          <w:u w:val="single"/>
        </w:rPr>
        <w:t>7.</w:t>
      </w:r>
      <w:r w:rsidRPr="001B7F77">
        <w:rPr>
          <w:rFonts w:eastAsia="Times"/>
          <w:color w:val="000000"/>
          <w:u w:val="single"/>
        </w:rPr>
        <w:tab/>
        <w:t>Health care facilities.</w:t>
      </w:r>
    </w:p>
    <w:p w14:paraId="0D8CB983" w14:textId="77777777" w:rsidR="001B7F77" w:rsidRPr="001B7F77" w:rsidRDefault="001B7F77" w:rsidP="001B7F77">
      <w:pPr>
        <w:widowControl w:val="0"/>
        <w:suppressAutoHyphens/>
        <w:spacing w:before="120"/>
        <w:ind w:left="900" w:hanging="540"/>
        <w:rPr>
          <w:rFonts w:eastAsia="Times"/>
          <w:color w:val="000000"/>
          <w:u w:val="single"/>
        </w:rPr>
      </w:pPr>
      <w:r w:rsidRPr="001B7F77">
        <w:rPr>
          <w:rFonts w:eastAsia="Times"/>
          <w:color w:val="000000"/>
          <w:u w:val="single"/>
        </w:rPr>
        <w:t>8.</w:t>
      </w:r>
      <w:r w:rsidRPr="001B7F77">
        <w:rPr>
          <w:rFonts w:eastAsia="Times"/>
          <w:color w:val="000000"/>
          <w:u w:val="single"/>
        </w:rPr>
        <w:tab/>
        <w:t>Places of assembly.</w:t>
      </w:r>
    </w:p>
    <w:p w14:paraId="6AB59D18" w14:textId="77777777" w:rsidR="001B7F77" w:rsidRPr="001B7F77" w:rsidRDefault="001B7F77" w:rsidP="001B7F77">
      <w:pPr>
        <w:widowControl w:val="0"/>
        <w:suppressAutoHyphens/>
        <w:spacing w:before="120"/>
        <w:ind w:left="900" w:hanging="540"/>
        <w:rPr>
          <w:rFonts w:eastAsia="Times"/>
          <w:color w:val="000000"/>
          <w:u w:val="single"/>
        </w:rPr>
      </w:pPr>
      <w:r w:rsidRPr="001B7F77">
        <w:rPr>
          <w:rFonts w:eastAsia="Times"/>
          <w:color w:val="000000"/>
          <w:u w:val="single"/>
        </w:rPr>
        <w:t>9.</w:t>
      </w:r>
      <w:r w:rsidRPr="001B7F77">
        <w:rPr>
          <w:rFonts w:eastAsia="Times"/>
          <w:color w:val="000000"/>
          <w:u w:val="single"/>
        </w:rPr>
        <w:tab/>
        <w:t>Theaters, audience areas of motion picture and television studios, and similar locations.</w:t>
      </w:r>
    </w:p>
    <w:p w14:paraId="54589EFF" w14:textId="77777777" w:rsidR="001B7F77" w:rsidRPr="001B7F77" w:rsidRDefault="001B7F77" w:rsidP="001B7F77">
      <w:pPr>
        <w:widowControl w:val="0"/>
        <w:suppressAutoHyphens/>
        <w:spacing w:before="120"/>
        <w:ind w:left="900" w:hanging="540"/>
        <w:rPr>
          <w:rFonts w:eastAsia="Times"/>
          <w:color w:val="000000"/>
          <w:u w:val="single"/>
        </w:rPr>
      </w:pPr>
      <w:r w:rsidRPr="001B7F77">
        <w:rPr>
          <w:rFonts w:eastAsia="Times"/>
          <w:color w:val="000000"/>
          <w:u w:val="single"/>
        </w:rPr>
        <w:t>10.</w:t>
      </w:r>
      <w:r w:rsidRPr="001B7F77">
        <w:rPr>
          <w:rFonts w:eastAsia="Times"/>
          <w:color w:val="000000"/>
          <w:u w:val="single"/>
        </w:rPr>
        <w:tab/>
        <w:t>Motion picture and television studios and similar locations.</w:t>
      </w:r>
    </w:p>
    <w:p w14:paraId="66D89173" w14:textId="77777777" w:rsidR="001B7F77" w:rsidRPr="001B7F77" w:rsidRDefault="001B7F77" w:rsidP="001B7F77">
      <w:pPr>
        <w:widowControl w:val="0"/>
        <w:suppressAutoHyphens/>
        <w:spacing w:before="120"/>
        <w:ind w:left="900" w:hanging="540"/>
        <w:rPr>
          <w:rFonts w:eastAsia="Times"/>
          <w:color w:val="000000"/>
          <w:u w:val="single"/>
        </w:rPr>
      </w:pPr>
      <w:r w:rsidRPr="001B7F77">
        <w:rPr>
          <w:rFonts w:eastAsia="Times"/>
          <w:color w:val="000000"/>
          <w:u w:val="single"/>
        </w:rPr>
        <w:t>11.</w:t>
      </w:r>
      <w:r w:rsidRPr="001B7F77">
        <w:rPr>
          <w:rFonts w:eastAsia="Times"/>
          <w:color w:val="000000"/>
          <w:u w:val="single"/>
        </w:rPr>
        <w:tab/>
        <w:t>Motion picture projectors.</w:t>
      </w:r>
    </w:p>
    <w:p w14:paraId="1D50C970" w14:textId="77777777" w:rsidR="001B7F77" w:rsidRPr="001B7F77" w:rsidRDefault="001B7F77" w:rsidP="001B7F77">
      <w:pPr>
        <w:widowControl w:val="0"/>
        <w:suppressAutoHyphens/>
        <w:spacing w:before="120"/>
        <w:ind w:left="900" w:hanging="540"/>
        <w:rPr>
          <w:rFonts w:eastAsia="Times"/>
          <w:color w:val="000000"/>
          <w:u w:val="single"/>
        </w:rPr>
      </w:pPr>
      <w:r w:rsidRPr="001B7F77">
        <w:rPr>
          <w:rFonts w:eastAsia="Times"/>
          <w:color w:val="000000"/>
          <w:u w:val="single"/>
        </w:rPr>
        <w:t>12.</w:t>
      </w:r>
      <w:r w:rsidRPr="001B7F77">
        <w:rPr>
          <w:rFonts w:eastAsia="Times"/>
          <w:color w:val="000000"/>
          <w:u w:val="single"/>
        </w:rPr>
        <w:tab/>
        <w:t>Agricultural buildings.</w:t>
      </w:r>
    </w:p>
    <w:p w14:paraId="3F4C8D4D" w14:textId="77777777" w:rsidR="001B7F77" w:rsidRPr="001B7F77" w:rsidRDefault="001B7F77" w:rsidP="001B7F77">
      <w:pPr>
        <w:widowControl w:val="0"/>
        <w:suppressAutoHyphens/>
        <w:spacing w:before="120"/>
        <w:ind w:left="900" w:hanging="540"/>
        <w:rPr>
          <w:rFonts w:eastAsia="Times"/>
          <w:u w:val="single"/>
        </w:rPr>
      </w:pPr>
      <w:r w:rsidRPr="001B7F77">
        <w:rPr>
          <w:rFonts w:eastAsia="Times"/>
          <w:u w:val="single"/>
        </w:rPr>
        <w:t>13.</w:t>
      </w:r>
      <w:r w:rsidRPr="001B7F77">
        <w:rPr>
          <w:rFonts w:eastAsia="Times"/>
          <w:u w:val="single"/>
        </w:rPr>
        <w:tab/>
        <w:t>Marinas.</w:t>
      </w:r>
    </w:p>
    <w:p w14:paraId="76D5A4FA" w14:textId="77777777" w:rsidR="001B7F77" w:rsidRPr="001B7F77" w:rsidRDefault="001B7F77" w:rsidP="001B7F77">
      <w:pPr>
        <w:widowControl w:val="0"/>
        <w:suppressAutoHyphens/>
        <w:spacing w:before="120"/>
        <w:rPr>
          <w:rFonts w:eastAsia="Times"/>
          <w:color w:val="000000"/>
        </w:rPr>
      </w:pPr>
      <w:bookmarkStart w:id="209" w:name="_Hlk76990270"/>
      <w:r w:rsidRPr="001B7F77">
        <w:rPr>
          <w:rFonts w:eastAsia="Times"/>
          <w:b/>
          <w:color w:val="000000"/>
          <w:u w:val="single"/>
        </w:rPr>
        <w:t>1008.2 Unsafe conditions</w:t>
      </w:r>
      <w:r w:rsidRPr="001B7F77">
        <w:rPr>
          <w:rFonts w:eastAsia="Times"/>
          <w:color w:val="000000"/>
          <w:u w:val="single"/>
        </w:rPr>
        <w:t xml:space="preserve">. Where the occupancy of an existing building or part of an existing building is changed, all unsafe conditions shall be corrected without requiring that all parts of the electrical system comply with the </w:t>
      </w:r>
      <w:r w:rsidRPr="001B7F77">
        <w:rPr>
          <w:rFonts w:eastAsia="Times"/>
          <w:i/>
          <w:iCs/>
          <w:color w:val="000000"/>
          <w:u w:val="single"/>
        </w:rPr>
        <w:t>New York City Electrical Code</w:t>
      </w:r>
      <w:r w:rsidRPr="001B7F77">
        <w:rPr>
          <w:rFonts w:eastAsia="Times"/>
          <w:color w:val="000000"/>
          <w:u w:val="single"/>
        </w:rPr>
        <w:t>.</w:t>
      </w:r>
    </w:p>
    <w:bookmarkEnd w:id="209"/>
    <w:p w14:paraId="7D26FB22" w14:textId="77777777" w:rsidR="001B7F77" w:rsidRPr="001B7F77" w:rsidRDefault="001B7F77" w:rsidP="001B7F77">
      <w:pPr>
        <w:widowControl w:val="0"/>
        <w:suppressAutoHyphens/>
        <w:spacing w:before="120"/>
        <w:rPr>
          <w:rFonts w:eastAsia="Times"/>
          <w:color w:val="000000"/>
        </w:rPr>
      </w:pPr>
      <w:r w:rsidRPr="001B7F77">
        <w:rPr>
          <w:rFonts w:eastAsia="Times"/>
          <w:b/>
          <w:color w:val="000000"/>
          <w:u w:val="single"/>
        </w:rPr>
        <w:t>1008.3 Service upgrade</w:t>
      </w:r>
      <w:r w:rsidRPr="001B7F77">
        <w:rPr>
          <w:rFonts w:eastAsia="Times"/>
          <w:color w:val="000000"/>
          <w:u w:val="single"/>
        </w:rPr>
        <w:t xml:space="preserve">. </w:t>
      </w:r>
      <w:r w:rsidRPr="001B7F77">
        <w:rPr>
          <w:rFonts w:eastAsia="Times"/>
          <w:u w:val="single"/>
        </w:rPr>
        <w:t xml:space="preserve">Where the occupancy of an existing building or part of an existing building is changed, the electrical service shall comply with the requirements of the </w:t>
      </w:r>
      <w:r w:rsidRPr="001B7F77">
        <w:rPr>
          <w:rFonts w:eastAsia="Times"/>
          <w:i/>
          <w:iCs/>
          <w:u w:val="single"/>
        </w:rPr>
        <w:t>New York City Electrical Code</w:t>
      </w:r>
      <w:r w:rsidRPr="001B7F77">
        <w:rPr>
          <w:rFonts w:eastAsia="Times"/>
          <w:u w:val="single"/>
        </w:rPr>
        <w:t xml:space="preserve"> for the new occupancy.</w:t>
      </w:r>
    </w:p>
    <w:p w14:paraId="5B7D5258" w14:textId="77777777" w:rsidR="001B7F77" w:rsidRPr="001B7F77" w:rsidRDefault="001B7F77" w:rsidP="001B7F77">
      <w:pPr>
        <w:widowControl w:val="0"/>
        <w:suppressAutoHyphens/>
        <w:spacing w:before="120"/>
        <w:rPr>
          <w:rFonts w:eastAsia="Times"/>
          <w:color w:val="000000"/>
        </w:rPr>
      </w:pPr>
      <w:r w:rsidRPr="001B7F77">
        <w:rPr>
          <w:rFonts w:eastAsia="Times"/>
          <w:b/>
          <w:u w:val="single"/>
        </w:rPr>
        <w:t>1008.4 Quantity and location of required electrical outlets.</w:t>
      </w:r>
      <w:r w:rsidRPr="001B7F77">
        <w:rPr>
          <w:rFonts w:eastAsia="Times"/>
          <w:u w:val="single"/>
        </w:rPr>
        <w:t xml:space="preserve"> Where the occupancy of an existing building or part of an existing building is changed, the quantity and location of required electrical outlets shall comply with the New </w:t>
      </w:r>
      <w:r w:rsidRPr="001B7F77">
        <w:rPr>
          <w:rFonts w:eastAsia="Times"/>
          <w:i/>
          <w:iCs/>
          <w:u w:val="single"/>
        </w:rPr>
        <w:t>York City Electrical Code</w:t>
      </w:r>
      <w:r w:rsidRPr="001B7F77">
        <w:rPr>
          <w:rFonts w:eastAsia="Times"/>
          <w:u w:val="single"/>
        </w:rPr>
        <w:t xml:space="preserve"> for the new occupancy.</w:t>
      </w:r>
    </w:p>
    <w:p w14:paraId="71CCD1B5" w14:textId="77777777" w:rsidR="001B7F77" w:rsidRPr="001B7F77" w:rsidRDefault="001B7F77" w:rsidP="001B7F77">
      <w:pPr>
        <w:widowControl w:val="0"/>
        <w:suppressAutoHyphens/>
        <w:spacing w:before="120"/>
        <w:jc w:val="center"/>
        <w:outlineLvl w:val="0"/>
        <w:rPr>
          <w:rFonts w:eastAsia="Helvetica Neue"/>
          <w:b/>
          <w:color w:val="000000"/>
          <w:u w:val="single"/>
        </w:rPr>
      </w:pPr>
    </w:p>
    <w:p w14:paraId="5996017E" w14:textId="77777777" w:rsidR="001B7F77" w:rsidRPr="001B7F77" w:rsidRDefault="001B7F77" w:rsidP="001B7F77">
      <w:pPr>
        <w:widowControl w:val="0"/>
        <w:suppressAutoHyphens/>
        <w:spacing w:before="120"/>
        <w:jc w:val="center"/>
        <w:outlineLvl w:val="0"/>
        <w:rPr>
          <w:rFonts w:eastAsia="Helvetica Neue"/>
          <w:b/>
          <w:color w:val="000000"/>
          <w:u w:val="single"/>
        </w:rPr>
      </w:pPr>
      <w:r w:rsidRPr="001B7F77">
        <w:rPr>
          <w:rFonts w:eastAsia="Helvetica Neue"/>
          <w:b/>
          <w:color w:val="000000"/>
          <w:u w:val="single"/>
        </w:rPr>
        <w:t xml:space="preserve">SECTION </w:t>
      </w:r>
      <w:r w:rsidRPr="001B7F77">
        <w:rPr>
          <w:b/>
          <w:color w:val="000000"/>
          <w:u w:val="single"/>
        </w:rPr>
        <w:t>EBC</w:t>
      </w:r>
      <w:r w:rsidRPr="001B7F77">
        <w:rPr>
          <w:rFonts w:eastAsia="Helvetica Neue"/>
          <w:b/>
          <w:color w:val="000000"/>
          <w:u w:val="single"/>
        </w:rPr>
        <w:t xml:space="preserve"> 1009</w:t>
      </w:r>
      <w:r w:rsidRPr="001B7F77">
        <w:rPr>
          <w:rFonts w:eastAsia="Helvetica Neue"/>
          <w:b/>
          <w:color w:val="000000"/>
          <w:u w:val="single"/>
        </w:rPr>
        <w:br/>
        <w:t>MECHANICAL</w:t>
      </w:r>
    </w:p>
    <w:p w14:paraId="6AC4189C" w14:textId="77777777" w:rsidR="001B7F77" w:rsidRPr="001B7F77" w:rsidRDefault="001B7F77" w:rsidP="001B7F77">
      <w:pPr>
        <w:widowControl w:val="0"/>
        <w:suppressAutoHyphens/>
        <w:spacing w:before="120"/>
        <w:rPr>
          <w:color w:val="000000"/>
        </w:rPr>
      </w:pPr>
      <w:r w:rsidRPr="001B7F77">
        <w:rPr>
          <w:b/>
          <w:color w:val="000000"/>
          <w:u w:val="single"/>
        </w:rPr>
        <w:t>1009.1 Mechanical requirements</w:t>
      </w:r>
      <w:r w:rsidRPr="001B7F77">
        <w:rPr>
          <w:color w:val="000000"/>
          <w:u w:val="single"/>
        </w:rPr>
        <w:t>. Where the existing building or part of an existing building is subject to a change of occupancy, mechanical systems serving the new occupancy or use shall comply with Sections 1009.1.1 and 1009.1.2.</w:t>
      </w:r>
    </w:p>
    <w:p w14:paraId="7FF110B4" w14:textId="77777777" w:rsidR="001B7F77" w:rsidRPr="001B7F77" w:rsidRDefault="001B7F77" w:rsidP="001B7F77">
      <w:pPr>
        <w:widowControl w:val="0"/>
        <w:suppressAutoHyphens/>
        <w:spacing w:before="120"/>
        <w:ind w:left="360"/>
        <w:rPr>
          <w:color w:val="000000"/>
        </w:rPr>
      </w:pPr>
      <w:r w:rsidRPr="001B7F77">
        <w:rPr>
          <w:b/>
          <w:color w:val="000000"/>
          <w:u w:val="single"/>
        </w:rPr>
        <w:t>1009.1.1 Change in occupancy classification</w:t>
      </w:r>
      <w:r w:rsidRPr="001B7F77">
        <w:rPr>
          <w:color w:val="000000"/>
          <w:u w:val="single"/>
        </w:rPr>
        <w:t xml:space="preserve">. Where there is a change in the occupancy classification of the building or portion thereof, the building area subject to change shall comply with all the requirements of the </w:t>
      </w:r>
      <w:r w:rsidRPr="001B7F77">
        <w:rPr>
          <w:i/>
          <w:iCs/>
          <w:color w:val="000000"/>
          <w:u w:val="single"/>
        </w:rPr>
        <w:t>New York City Mechanical Code</w:t>
      </w:r>
      <w:r w:rsidRPr="001B7F77">
        <w:rPr>
          <w:color w:val="000000"/>
          <w:u w:val="single"/>
        </w:rPr>
        <w:t xml:space="preserve"> for the new occupancy classification.</w:t>
      </w:r>
    </w:p>
    <w:p w14:paraId="5E1AC924" w14:textId="77777777" w:rsidR="001B7F77" w:rsidRPr="001B7F77" w:rsidRDefault="001B7F77" w:rsidP="001B7F77">
      <w:pPr>
        <w:widowControl w:val="0"/>
        <w:suppressAutoHyphens/>
        <w:spacing w:before="120"/>
        <w:ind w:left="360"/>
        <w:rPr>
          <w:rFonts w:eastAsia="Times"/>
          <w:color w:val="000000"/>
        </w:rPr>
      </w:pPr>
      <w:r w:rsidRPr="001B7F77">
        <w:rPr>
          <w:rFonts w:eastAsia="Times"/>
          <w:b/>
          <w:color w:val="000000"/>
          <w:u w:val="single"/>
        </w:rPr>
        <w:t xml:space="preserve">1009.1.2 A change of use within the same Occupancy Group. </w:t>
      </w:r>
      <w:r w:rsidRPr="001B7F77">
        <w:rPr>
          <w:rFonts w:eastAsia="Times"/>
          <w:color w:val="000000"/>
          <w:u w:val="single"/>
        </w:rPr>
        <w:t>Where a building or space is changed to a use with higher mechanical ventilation demand, the mechanical system serving such building or space shall comply with the requirements of Section 809 or 909 as applicable.</w:t>
      </w:r>
    </w:p>
    <w:p w14:paraId="44A35EBE" w14:textId="77777777" w:rsidR="001B7F77" w:rsidRPr="001B7F77" w:rsidRDefault="001B7F77" w:rsidP="001B7F77">
      <w:pPr>
        <w:widowControl w:val="0"/>
        <w:suppressAutoHyphens/>
        <w:spacing w:before="120"/>
        <w:jc w:val="center"/>
        <w:outlineLvl w:val="0"/>
        <w:rPr>
          <w:rFonts w:eastAsia="Helvetica Neue"/>
          <w:b/>
          <w:color w:val="000000"/>
          <w:u w:val="single"/>
        </w:rPr>
      </w:pPr>
    </w:p>
    <w:p w14:paraId="4A7671BE" w14:textId="77777777" w:rsidR="001B7F77" w:rsidRPr="001B7F77" w:rsidRDefault="001B7F77" w:rsidP="001B7F77">
      <w:pPr>
        <w:widowControl w:val="0"/>
        <w:suppressAutoHyphens/>
        <w:spacing w:before="120"/>
        <w:jc w:val="center"/>
        <w:outlineLvl w:val="0"/>
        <w:rPr>
          <w:rFonts w:eastAsia="Helvetica Neue"/>
          <w:b/>
          <w:color w:val="000000"/>
          <w:u w:val="single"/>
        </w:rPr>
      </w:pPr>
      <w:r w:rsidRPr="001B7F77">
        <w:rPr>
          <w:rFonts w:eastAsia="Helvetica Neue"/>
          <w:b/>
          <w:color w:val="000000"/>
          <w:u w:val="single"/>
        </w:rPr>
        <w:t xml:space="preserve">SECTION </w:t>
      </w:r>
      <w:r w:rsidRPr="001B7F77">
        <w:rPr>
          <w:b/>
          <w:color w:val="000000"/>
          <w:u w:val="single"/>
        </w:rPr>
        <w:t>EBC</w:t>
      </w:r>
      <w:r w:rsidRPr="001B7F77">
        <w:rPr>
          <w:rFonts w:eastAsia="Helvetica Neue"/>
          <w:b/>
          <w:color w:val="000000"/>
          <w:u w:val="single"/>
        </w:rPr>
        <w:t xml:space="preserve"> 1010</w:t>
      </w:r>
      <w:r w:rsidRPr="001B7F77">
        <w:rPr>
          <w:rFonts w:eastAsia="Helvetica Neue"/>
          <w:b/>
          <w:color w:val="000000"/>
          <w:u w:val="single"/>
        </w:rPr>
        <w:br/>
        <w:t>PLUMBING</w:t>
      </w:r>
    </w:p>
    <w:p w14:paraId="3CF6743E" w14:textId="77777777" w:rsidR="001B7F77" w:rsidRPr="001B7F77" w:rsidRDefault="001B7F77" w:rsidP="001B7F77">
      <w:pPr>
        <w:widowControl w:val="0"/>
        <w:suppressAutoHyphens/>
        <w:spacing w:before="120"/>
        <w:rPr>
          <w:color w:val="000000"/>
        </w:rPr>
      </w:pPr>
      <w:r w:rsidRPr="001B7F77">
        <w:rPr>
          <w:b/>
          <w:color w:val="000000"/>
          <w:u w:val="single"/>
        </w:rPr>
        <w:t>1010.1 Plumbing requirements.</w:t>
      </w:r>
      <w:r w:rsidRPr="001B7F77">
        <w:rPr>
          <w:color w:val="000000"/>
          <w:u w:val="single"/>
        </w:rPr>
        <w:t xml:space="preserve"> Where the existing building or part of an existing building is subject to a change of occupancy, the plumbing system serving the new occupancy or use shall comply with Sections 1010.1.1 through 1010.1.8.</w:t>
      </w:r>
    </w:p>
    <w:p w14:paraId="55D64FC8" w14:textId="77777777" w:rsidR="001B7F77" w:rsidRPr="001B7F77" w:rsidRDefault="001B7F77" w:rsidP="001B7F77">
      <w:pPr>
        <w:widowControl w:val="0"/>
        <w:suppressAutoHyphens/>
        <w:spacing w:before="120"/>
        <w:ind w:left="360"/>
        <w:rPr>
          <w:color w:val="000000"/>
        </w:rPr>
      </w:pPr>
      <w:r w:rsidRPr="001B7F77">
        <w:rPr>
          <w:b/>
          <w:color w:val="000000"/>
          <w:u w:val="single"/>
        </w:rPr>
        <w:t>1010.1.1 Change in occupancy classification</w:t>
      </w:r>
      <w:r w:rsidRPr="001B7F77">
        <w:rPr>
          <w:color w:val="000000"/>
          <w:u w:val="single"/>
        </w:rPr>
        <w:t xml:space="preserve">. Where there is a change in the occupancy classification of the building or portion thereof, the area of the building subject to change shall comply with all the requirements of the </w:t>
      </w:r>
      <w:r w:rsidRPr="001B7F77">
        <w:rPr>
          <w:i/>
          <w:iCs/>
          <w:color w:val="000000"/>
          <w:u w:val="single"/>
        </w:rPr>
        <w:t>New York City Plumbing Code</w:t>
      </w:r>
      <w:r w:rsidRPr="001B7F77">
        <w:rPr>
          <w:color w:val="000000"/>
          <w:u w:val="single"/>
        </w:rPr>
        <w:t xml:space="preserve"> for the new occupancy classification.</w:t>
      </w:r>
    </w:p>
    <w:p w14:paraId="19BF7CA8" w14:textId="77777777" w:rsidR="001B7F77" w:rsidRPr="001B7F77" w:rsidRDefault="001B7F77" w:rsidP="001B7F77">
      <w:pPr>
        <w:widowControl w:val="0"/>
        <w:suppressAutoHyphens/>
        <w:spacing w:before="120"/>
        <w:ind w:left="360"/>
        <w:rPr>
          <w:rFonts w:eastAsia="Times"/>
          <w:color w:val="000000"/>
          <w:u w:val="single"/>
        </w:rPr>
      </w:pPr>
      <w:r w:rsidRPr="001B7F77">
        <w:rPr>
          <w:rFonts w:eastAsia="Times"/>
          <w:b/>
          <w:color w:val="000000"/>
          <w:u w:val="single"/>
        </w:rPr>
        <w:t xml:space="preserve">1010.1.2 A change of use within the same Occupancy Group. </w:t>
      </w:r>
      <w:r w:rsidRPr="001B7F77">
        <w:rPr>
          <w:rFonts w:eastAsia="Times"/>
          <w:color w:val="000000"/>
          <w:u w:val="single"/>
        </w:rPr>
        <w:t xml:space="preserve">Where a building or space is changed to a use with different plumbing requirements, the plumbing system serving such building or space shall comply with the requirements of Sections 1010.1.3 through </w:t>
      </w:r>
      <w:r w:rsidRPr="001B7F77">
        <w:rPr>
          <w:color w:val="000000"/>
          <w:u w:val="single"/>
        </w:rPr>
        <w:t xml:space="preserve">1010.1.8 </w:t>
      </w:r>
      <w:r w:rsidRPr="001B7F77">
        <w:rPr>
          <w:rFonts w:eastAsia="Times"/>
          <w:color w:val="000000"/>
          <w:u w:val="single"/>
        </w:rPr>
        <w:t>as applicable. Alteration work associated with such change shall comply with Sections 810 or 910 as applicable to the level of alteration made to the building or space.</w:t>
      </w:r>
    </w:p>
    <w:p w14:paraId="621DFA11" w14:textId="77777777" w:rsidR="001B7F77" w:rsidRPr="001B7F77" w:rsidRDefault="001B7F77" w:rsidP="001B7F77">
      <w:pPr>
        <w:widowControl w:val="0"/>
        <w:suppressAutoHyphens/>
        <w:spacing w:before="120"/>
        <w:ind w:left="360"/>
        <w:rPr>
          <w:rFonts w:eastAsia="Times"/>
          <w:color w:val="000000"/>
          <w:u w:val="single"/>
        </w:rPr>
      </w:pPr>
      <w:r w:rsidRPr="001B7F77">
        <w:rPr>
          <w:rFonts w:eastAsia="Times"/>
          <w:b/>
          <w:color w:val="000000"/>
          <w:u w:val="single"/>
        </w:rPr>
        <w:t>1010.1.3 Increased demand</w:t>
      </w:r>
      <w:r w:rsidRPr="001B7F77">
        <w:rPr>
          <w:rFonts w:eastAsia="Times"/>
          <w:color w:val="000000"/>
          <w:u w:val="single"/>
        </w:rPr>
        <w:t xml:space="preserve">. Where the occupancy or use of an existing building or part of an existing building is changed, such that the new occupancy or use is subject to increased or different plumbing fixture requirements or to increased water supply requirements in accordance with the </w:t>
      </w:r>
      <w:r w:rsidRPr="001B7F77">
        <w:rPr>
          <w:rFonts w:eastAsia="Times"/>
          <w:i/>
          <w:iCs/>
          <w:color w:val="000000"/>
          <w:u w:val="single"/>
        </w:rPr>
        <w:t>New York City Plumbing Code</w:t>
      </w:r>
      <w:r w:rsidRPr="001B7F77">
        <w:rPr>
          <w:rFonts w:eastAsia="Times"/>
          <w:color w:val="000000"/>
          <w:u w:val="single"/>
        </w:rPr>
        <w:t xml:space="preserve">, the new occupancy or use shall comply with the </w:t>
      </w:r>
      <w:r w:rsidRPr="001B7F77">
        <w:rPr>
          <w:rFonts w:eastAsia="Times"/>
          <w:i/>
          <w:iCs/>
          <w:color w:val="000000"/>
          <w:u w:val="single"/>
        </w:rPr>
        <w:t>New York City Plumbing Code</w:t>
      </w:r>
      <w:r w:rsidRPr="001B7F77">
        <w:rPr>
          <w:rFonts w:eastAsia="Times"/>
          <w:color w:val="000000"/>
          <w:u w:val="single"/>
        </w:rPr>
        <w:t xml:space="preserve"> provisions.</w:t>
      </w:r>
    </w:p>
    <w:p w14:paraId="330F517E" w14:textId="77777777" w:rsidR="001B7F77" w:rsidRPr="001B7F77" w:rsidRDefault="001B7F77" w:rsidP="001B7F77">
      <w:pPr>
        <w:widowControl w:val="0"/>
        <w:suppressAutoHyphens/>
        <w:spacing w:before="120"/>
        <w:ind w:left="720"/>
        <w:rPr>
          <w:rFonts w:eastAsia="Times"/>
          <w:color w:val="000000"/>
          <w:u w:val="single"/>
        </w:rPr>
      </w:pPr>
      <w:r w:rsidRPr="001B7F77">
        <w:rPr>
          <w:rFonts w:eastAsia="Times"/>
          <w:b/>
          <w:bCs/>
          <w:u w:val="single"/>
        </w:rPr>
        <w:t>Exception.</w:t>
      </w:r>
      <w:r w:rsidRPr="001B7F77">
        <w:rPr>
          <w:rFonts w:eastAsia="Times"/>
          <w:u w:val="single"/>
        </w:rPr>
        <w:t xml:space="preserve"> Where the change affects less than 10 percent of the building floor area and does not require more than one additional plumbing fixture.</w:t>
      </w:r>
    </w:p>
    <w:p w14:paraId="6DB61727" w14:textId="77777777" w:rsidR="001B7F77" w:rsidRPr="001B7F77" w:rsidRDefault="001B7F77" w:rsidP="001B7F77">
      <w:pPr>
        <w:widowControl w:val="0"/>
        <w:suppressAutoHyphens/>
        <w:spacing w:before="120"/>
        <w:ind w:left="360"/>
        <w:rPr>
          <w:rFonts w:eastAsia="Times"/>
          <w:color w:val="000000"/>
        </w:rPr>
      </w:pPr>
      <w:r w:rsidRPr="001B7F77">
        <w:rPr>
          <w:rFonts w:eastAsia="Times"/>
          <w:b/>
          <w:color w:val="000000"/>
          <w:u w:val="single"/>
        </w:rPr>
        <w:t>1010.1.4 Food-handling occupancies</w:t>
      </w:r>
      <w:r w:rsidRPr="001B7F77">
        <w:rPr>
          <w:rFonts w:eastAsia="Times"/>
          <w:color w:val="000000"/>
          <w:u w:val="single"/>
        </w:rPr>
        <w:t xml:space="preserve">. If the new occupancy or use is a food-handling establishment, all existing sanitary waste lines located above the food or drink preparation or storage areas shall be protected to prevent leaking pipes or condensation on pipes from contaminating food or drink through the installation of drip pans. New drainage lines shall not be installed above such areas and shall be protected in accordance with the </w:t>
      </w:r>
      <w:r w:rsidRPr="001B7F77">
        <w:rPr>
          <w:rFonts w:eastAsia="Times"/>
          <w:i/>
          <w:iCs/>
          <w:color w:val="000000"/>
          <w:u w:val="single"/>
        </w:rPr>
        <w:t>New York City Plumbing Code.</w:t>
      </w:r>
    </w:p>
    <w:p w14:paraId="7DA31ED6" w14:textId="77777777" w:rsidR="001B7F77" w:rsidRPr="001B7F77" w:rsidRDefault="001B7F77" w:rsidP="001B7F77">
      <w:pPr>
        <w:widowControl w:val="0"/>
        <w:suppressAutoHyphens/>
        <w:spacing w:before="120"/>
        <w:ind w:left="360"/>
        <w:rPr>
          <w:rFonts w:eastAsia="Times"/>
          <w:color w:val="000000"/>
        </w:rPr>
      </w:pPr>
      <w:r w:rsidRPr="001B7F77">
        <w:rPr>
          <w:rFonts w:eastAsia="Times"/>
          <w:b/>
          <w:color w:val="000000"/>
          <w:u w:val="single"/>
        </w:rPr>
        <w:t>1010.1.5 Interceptor required.</w:t>
      </w:r>
      <w:r w:rsidRPr="001B7F77">
        <w:rPr>
          <w:rFonts w:eastAsia="Times"/>
          <w:color w:val="000000"/>
          <w:u w:val="single"/>
        </w:rPr>
        <w:t xml:space="preserve"> If the new occupancy or use will produce grease-laden wastes, interceptors shall be provided as required in the </w:t>
      </w:r>
      <w:r w:rsidRPr="001B7F77">
        <w:rPr>
          <w:rFonts w:eastAsia="Times"/>
          <w:i/>
          <w:iCs/>
          <w:color w:val="000000"/>
          <w:u w:val="single"/>
        </w:rPr>
        <w:t>New York City Plumbing Code</w:t>
      </w:r>
      <w:r w:rsidRPr="001B7F77">
        <w:rPr>
          <w:rFonts w:eastAsia="Times"/>
          <w:color w:val="000000"/>
          <w:u w:val="single"/>
        </w:rPr>
        <w:t>. Grease-laden waste shall not discharge to a public sewer system without the approval the New York City Department of Environmental Protection.</w:t>
      </w:r>
    </w:p>
    <w:p w14:paraId="75E2F8B1" w14:textId="77777777" w:rsidR="001B7F77" w:rsidRPr="001B7F77" w:rsidRDefault="001B7F77" w:rsidP="001B7F77">
      <w:pPr>
        <w:widowControl w:val="0"/>
        <w:suppressAutoHyphens/>
        <w:spacing w:before="120"/>
        <w:ind w:left="360"/>
        <w:rPr>
          <w:rFonts w:eastAsia="Times"/>
          <w:color w:val="000000"/>
          <w:u w:val="single"/>
        </w:rPr>
      </w:pPr>
      <w:r w:rsidRPr="001B7F77">
        <w:rPr>
          <w:b/>
          <w:bCs/>
          <w:u w:val="single"/>
        </w:rPr>
        <w:t>1010.1.6 Oil separator</w:t>
      </w:r>
      <w:r w:rsidRPr="001B7F77">
        <w:rPr>
          <w:rFonts w:eastAsia="Times"/>
          <w:b/>
          <w:color w:val="000000"/>
          <w:u w:val="single"/>
        </w:rPr>
        <w:t>.</w:t>
      </w:r>
      <w:r w:rsidRPr="001B7F77">
        <w:rPr>
          <w:rFonts w:eastAsia="Times"/>
          <w:color w:val="000000"/>
          <w:u w:val="single"/>
        </w:rPr>
        <w:t xml:space="preserve"> If the new occupancy or use will produce oil-laden wastes, an oil separator shall be provided as required in the </w:t>
      </w:r>
      <w:r w:rsidRPr="001B7F77">
        <w:rPr>
          <w:rFonts w:eastAsia="Times"/>
          <w:i/>
          <w:iCs/>
          <w:color w:val="000000"/>
          <w:u w:val="single"/>
        </w:rPr>
        <w:t>New York City Plumbing Code</w:t>
      </w:r>
      <w:r w:rsidRPr="001B7F77">
        <w:rPr>
          <w:rFonts w:eastAsia="Times"/>
          <w:color w:val="000000"/>
          <w:u w:val="single"/>
        </w:rPr>
        <w:t>. Oil-laden waste shall not discharge to a public sewer system without the approval the New York City Department of Environmental Protection.</w:t>
      </w:r>
    </w:p>
    <w:p w14:paraId="1F6B8F5F" w14:textId="77777777" w:rsidR="001B7F77" w:rsidRPr="001B7F77" w:rsidRDefault="001B7F77" w:rsidP="001B7F77">
      <w:pPr>
        <w:widowControl w:val="0"/>
        <w:suppressAutoHyphens/>
        <w:spacing w:before="120"/>
        <w:ind w:left="360"/>
        <w:rPr>
          <w:rFonts w:eastAsia="Times"/>
          <w:color w:val="000000"/>
          <w:u w:val="single"/>
        </w:rPr>
      </w:pPr>
      <w:r w:rsidRPr="001B7F77">
        <w:rPr>
          <w:rFonts w:eastAsia="Times"/>
          <w:b/>
          <w:color w:val="000000"/>
          <w:u w:val="single"/>
        </w:rPr>
        <w:t>1010.1.7 Chemical wastes</w:t>
      </w:r>
      <w:r w:rsidRPr="001B7F77">
        <w:rPr>
          <w:rFonts w:eastAsia="Times"/>
          <w:color w:val="000000"/>
          <w:u w:val="single"/>
        </w:rPr>
        <w:t>. If the new occupancy or use will produce chemical wastes, the following shall apply:</w:t>
      </w:r>
    </w:p>
    <w:p w14:paraId="7C67E6BB" w14:textId="77777777" w:rsidR="001B7F77" w:rsidRPr="001B7F77" w:rsidRDefault="001B7F77" w:rsidP="001B7F77">
      <w:pPr>
        <w:widowControl w:val="0"/>
        <w:suppressAutoHyphens/>
        <w:spacing w:before="120"/>
        <w:ind w:left="1080" w:hanging="400"/>
        <w:rPr>
          <w:rFonts w:eastAsia="Times"/>
          <w:color w:val="000000"/>
          <w:u w:val="single"/>
        </w:rPr>
      </w:pPr>
      <w:r w:rsidRPr="001B7F77">
        <w:rPr>
          <w:rFonts w:eastAsia="Times"/>
          <w:color w:val="000000"/>
          <w:u w:val="single"/>
        </w:rPr>
        <w:t>1.</w:t>
      </w:r>
      <w:r w:rsidRPr="001B7F77">
        <w:rPr>
          <w:rFonts w:eastAsia="Times"/>
          <w:color w:val="000000"/>
          <w:u w:val="single"/>
        </w:rPr>
        <w:tab/>
        <w:t>If the existing piping is not compatible with the chemical waste, the waste shall be neutralized prior to entering the drainage system, or the piping shall be changed to a compatible material.</w:t>
      </w:r>
    </w:p>
    <w:p w14:paraId="390B8F1E" w14:textId="77777777" w:rsidR="001B7F77" w:rsidRPr="001B7F77" w:rsidRDefault="001B7F77" w:rsidP="001B7F77">
      <w:pPr>
        <w:widowControl w:val="0"/>
        <w:suppressAutoHyphens/>
        <w:spacing w:before="120"/>
        <w:ind w:left="1080" w:hanging="400"/>
        <w:rPr>
          <w:rFonts w:eastAsia="Times"/>
          <w:color w:val="000000"/>
          <w:u w:val="single"/>
        </w:rPr>
      </w:pPr>
      <w:r w:rsidRPr="001B7F77">
        <w:rPr>
          <w:rFonts w:eastAsia="Times"/>
          <w:color w:val="000000"/>
          <w:u w:val="single"/>
        </w:rPr>
        <w:t>2.</w:t>
      </w:r>
      <w:r w:rsidRPr="001B7F77">
        <w:rPr>
          <w:rFonts w:eastAsia="Times"/>
          <w:color w:val="000000"/>
          <w:u w:val="single"/>
        </w:rPr>
        <w:tab/>
        <w:t>Chemical waste shall not discharge to a public sewer system without the approval of the New York City Department of Environmental Protection.</w:t>
      </w:r>
    </w:p>
    <w:p w14:paraId="0B7E3D0E" w14:textId="77777777" w:rsidR="001B7F77" w:rsidRPr="001B7F77" w:rsidRDefault="001B7F77" w:rsidP="001B7F77">
      <w:pPr>
        <w:widowControl w:val="0"/>
        <w:suppressAutoHyphens/>
        <w:spacing w:before="120"/>
        <w:ind w:left="360"/>
        <w:rPr>
          <w:rFonts w:eastAsia="Times"/>
          <w:color w:val="000000"/>
        </w:rPr>
      </w:pPr>
      <w:r w:rsidRPr="001B7F77">
        <w:rPr>
          <w:rFonts w:eastAsia="Times"/>
          <w:b/>
          <w:color w:val="000000"/>
          <w:u w:val="single"/>
        </w:rPr>
        <w:t>1010.1.8 Group I-2.</w:t>
      </w:r>
      <w:r w:rsidRPr="001B7F77">
        <w:rPr>
          <w:rFonts w:eastAsia="Times"/>
          <w:color w:val="000000"/>
          <w:u w:val="single"/>
        </w:rPr>
        <w:t xml:space="preserve"> If the Occupancy Group is changed to Group I-2, the plumbing system shall comply with the applicable requirements of the </w:t>
      </w:r>
      <w:r w:rsidRPr="001B7F77">
        <w:rPr>
          <w:rFonts w:eastAsia="Times"/>
          <w:i/>
          <w:iCs/>
          <w:color w:val="000000"/>
          <w:u w:val="single"/>
        </w:rPr>
        <w:t>New York City Plumbing Code</w:t>
      </w:r>
      <w:r w:rsidRPr="001B7F77">
        <w:rPr>
          <w:rFonts w:eastAsia="Times"/>
          <w:color w:val="000000"/>
          <w:u w:val="single"/>
        </w:rPr>
        <w:t xml:space="preserve"> for new construction.</w:t>
      </w:r>
    </w:p>
    <w:p w14:paraId="04F8FCAF" w14:textId="77777777" w:rsidR="001B7F77" w:rsidRPr="001B7F77" w:rsidRDefault="001B7F77" w:rsidP="001B7F77">
      <w:pPr>
        <w:widowControl w:val="0"/>
        <w:suppressAutoHyphens/>
        <w:spacing w:before="120"/>
        <w:jc w:val="center"/>
        <w:outlineLvl w:val="0"/>
        <w:rPr>
          <w:rFonts w:eastAsia="Helvetica Neue"/>
          <w:b/>
          <w:color w:val="000000"/>
          <w:u w:val="single"/>
        </w:rPr>
      </w:pPr>
    </w:p>
    <w:p w14:paraId="5F027AB2" w14:textId="77777777" w:rsidR="001B7F77" w:rsidRPr="001B7F77" w:rsidRDefault="001B7F77" w:rsidP="001B7F77">
      <w:pPr>
        <w:widowControl w:val="0"/>
        <w:suppressAutoHyphens/>
        <w:spacing w:before="120"/>
        <w:jc w:val="center"/>
        <w:outlineLvl w:val="0"/>
        <w:rPr>
          <w:rFonts w:eastAsia="Helvetica Neue"/>
          <w:color w:val="000000"/>
          <w:u w:val="single"/>
        </w:rPr>
      </w:pPr>
      <w:r w:rsidRPr="001B7F77">
        <w:rPr>
          <w:rFonts w:eastAsia="Helvetica Neue"/>
          <w:b/>
          <w:color w:val="000000"/>
          <w:u w:val="single"/>
        </w:rPr>
        <w:t xml:space="preserve">SECTION EBC </w:t>
      </w:r>
      <w:r w:rsidRPr="001B7F77">
        <w:rPr>
          <w:b/>
          <w:color w:val="000000"/>
          <w:u w:val="single"/>
        </w:rPr>
        <w:t>1011</w:t>
      </w:r>
      <w:r w:rsidRPr="001B7F77">
        <w:rPr>
          <w:rFonts w:eastAsia="Helvetica Neue"/>
          <w:b/>
          <w:color w:val="000000"/>
          <w:u w:val="single"/>
        </w:rPr>
        <w:br/>
        <w:t>ENERGY CONSERVATION</w:t>
      </w:r>
    </w:p>
    <w:p w14:paraId="7D29F68C" w14:textId="77777777" w:rsidR="001B7F77" w:rsidRPr="001B7F77" w:rsidRDefault="001B7F77" w:rsidP="001B7F77">
      <w:pPr>
        <w:suppressAutoHyphens/>
        <w:spacing w:before="120"/>
        <w:rPr>
          <w:rFonts w:eastAsia="Helvetica Neue"/>
          <w:color w:val="000000"/>
        </w:rPr>
      </w:pPr>
      <w:r w:rsidRPr="001B7F77">
        <w:rPr>
          <w:rFonts w:eastAsia="Helvetica Neue"/>
          <w:b/>
          <w:color w:val="000000"/>
          <w:u w:val="single"/>
        </w:rPr>
        <w:t xml:space="preserve">1011.1 Minimum requirements. </w:t>
      </w:r>
      <w:r w:rsidRPr="001B7F77">
        <w:rPr>
          <w:rFonts w:eastAsia="Helvetica Neue"/>
          <w:color w:val="000000"/>
          <w:u w:val="single"/>
        </w:rPr>
        <w:t xml:space="preserve">Where an existing building or portion thereof is undergoing a change of occupancy, such change shall be subject to Chapter C5 or R5 of the </w:t>
      </w:r>
      <w:r w:rsidRPr="001B7F77">
        <w:rPr>
          <w:rFonts w:eastAsia="Helvetica Neue"/>
          <w:i/>
          <w:iCs/>
          <w:color w:val="000000"/>
          <w:u w:val="single"/>
        </w:rPr>
        <w:t>New York City Energy Conservation Code</w:t>
      </w:r>
      <w:r w:rsidRPr="001B7F77">
        <w:rPr>
          <w:rFonts w:eastAsia="Helvetica Neue"/>
          <w:color w:val="000000"/>
          <w:u w:val="single"/>
        </w:rPr>
        <w:t>, as applicable.</w:t>
      </w:r>
    </w:p>
    <w:p w14:paraId="4DE44AAD" w14:textId="77777777" w:rsidR="001B7F77" w:rsidRPr="001B7F77" w:rsidRDefault="001B7F77" w:rsidP="001B7F77">
      <w:pPr>
        <w:widowControl w:val="0"/>
        <w:suppressAutoHyphens/>
        <w:spacing w:before="120"/>
        <w:jc w:val="center"/>
        <w:outlineLvl w:val="0"/>
        <w:rPr>
          <w:b/>
          <w:color w:val="000000"/>
          <w:u w:val="single"/>
        </w:rPr>
      </w:pPr>
    </w:p>
    <w:p w14:paraId="4A11A564" w14:textId="77777777" w:rsidR="001B7F77" w:rsidRPr="001B7F77" w:rsidRDefault="001B7F77" w:rsidP="001B7F77">
      <w:pPr>
        <w:widowControl w:val="0"/>
        <w:suppressAutoHyphens/>
        <w:spacing w:before="120"/>
        <w:jc w:val="center"/>
        <w:outlineLvl w:val="0"/>
        <w:rPr>
          <w:rFonts w:eastAsia="Helvetica Neue"/>
          <w:b/>
          <w:color w:val="000000"/>
          <w:u w:val="single"/>
        </w:rPr>
      </w:pPr>
      <w:r w:rsidRPr="001B7F77">
        <w:rPr>
          <w:b/>
          <w:color w:val="000000"/>
          <w:u w:val="single"/>
        </w:rPr>
        <w:t>SECTION</w:t>
      </w:r>
      <w:r w:rsidRPr="001B7F77">
        <w:rPr>
          <w:rFonts w:eastAsia="Helvetica Neue"/>
          <w:b/>
          <w:color w:val="000000"/>
          <w:u w:val="single"/>
        </w:rPr>
        <w:t xml:space="preserve"> EBC 1012</w:t>
      </w:r>
      <w:r w:rsidRPr="001B7F77">
        <w:rPr>
          <w:rFonts w:eastAsia="Helvetica Neue"/>
          <w:b/>
          <w:color w:val="000000"/>
          <w:u w:val="single"/>
        </w:rPr>
        <w:br/>
        <w:t>OTHER REQUIREMENTS</w:t>
      </w:r>
    </w:p>
    <w:p w14:paraId="2202BF4D" w14:textId="77777777" w:rsidR="001B7F77" w:rsidRPr="001B7F77" w:rsidRDefault="001B7F77" w:rsidP="001B7F77">
      <w:pPr>
        <w:widowControl w:val="0"/>
        <w:suppressAutoHyphens/>
        <w:spacing w:before="120"/>
        <w:rPr>
          <w:rFonts w:eastAsia="Times"/>
          <w:color w:val="000000"/>
        </w:rPr>
      </w:pPr>
      <w:r w:rsidRPr="001B7F77">
        <w:rPr>
          <w:rFonts w:eastAsia="Times"/>
          <w:b/>
          <w:color w:val="000000"/>
          <w:u w:val="single"/>
        </w:rPr>
        <w:t>1012.1 Light and ventilation.</w:t>
      </w:r>
      <w:r w:rsidRPr="001B7F77">
        <w:rPr>
          <w:rFonts w:eastAsia="Times"/>
          <w:color w:val="000000"/>
          <w:u w:val="single"/>
        </w:rPr>
        <w:t xml:space="preserve"> Light and ventilation shall comply with the requirements of Chapter 12 of the </w:t>
      </w:r>
      <w:r w:rsidRPr="001B7F77">
        <w:rPr>
          <w:rFonts w:eastAsia="Times"/>
          <w:i/>
          <w:iCs/>
          <w:color w:val="000000"/>
          <w:u w:val="single"/>
        </w:rPr>
        <w:t>New York City Building Code</w:t>
      </w:r>
      <w:r w:rsidRPr="001B7F77">
        <w:rPr>
          <w:rFonts w:eastAsia="Times"/>
          <w:color w:val="000000"/>
          <w:u w:val="single"/>
        </w:rPr>
        <w:t xml:space="preserve"> for the new occupancy or use.</w:t>
      </w:r>
    </w:p>
    <w:p w14:paraId="5E71BBDF" w14:textId="77777777" w:rsidR="001B7F77" w:rsidRPr="001B7F77" w:rsidRDefault="001B7F77" w:rsidP="001B7F77">
      <w:pPr>
        <w:widowControl w:val="0"/>
        <w:suppressAutoHyphens/>
        <w:spacing w:before="120"/>
        <w:ind w:left="360"/>
        <w:rPr>
          <w:rFonts w:eastAsia="Times"/>
          <w:color w:val="000000"/>
        </w:rPr>
      </w:pPr>
      <w:r w:rsidRPr="001B7F77">
        <w:rPr>
          <w:rFonts w:eastAsia="Times"/>
          <w:b/>
          <w:color w:val="000000"/>
          <w:u w:val="single"/>
        </w:rPr>
        <w:t xml:space="preserve">1012.1.1 Group R-1, R-2 and I-1 occupancies. </w:t>
      </w:r>
      <w:r w:rsidRPr="001B7F77">
        <w:rPr>
          <w:rFonts w:eastAsia="Times"/>
          <w:color w:val="000000"/>
          <w:u w:val="single"/>
        </w:rPr>
        <w:t xml:space="preserve">Where the occupancy classification of an existing building or part thereof is changed to Occupancy Group R-1, R-2 or I-1, such change shall also be subject to the requirements of Appendix D of this code and the </w:t>
      </w:r>
      <w:r w:rsidRPr="001B7F77">
        <w:rPr>
          <w:rFonts w:eastAsia="Times"/>
          <w:i/>
          <w:iCs/>
          <w:color w:val="000000"/>
          <w:u w:val="single"/>
        </w:rPr>
        <w:t>New York City Housing Maintenance Code</w:t>
      </w:r>
      <w:r w:rsidRPr="001B7F77">
        <w:rPr>
          <w:rFonts w:eastAsia="Times"/>
          <w:color w:val="000000"/>
          <w:u w:val="single"/>
        </w:rPr>
        <w:t>.</w:t>
      </w:r>
    </w:p>
    <w:p w14:paraId="4C413E1E" w14:textId="77777777" w:rsidR="001B7F77" w:rsidRPr="001B7F77" w:rsidRDefault="001B7F77" w:rsidP="001B7F77">
      <w:pPr>
        <w:widowControl w:val="0"/>
        <w:suppressAutoHyphens/>
        <w:spacing w:before="120"/>
        <w:ind w:left="360"/>
        <w:rPr>
          <w:rFonts w:eastAsia="Times"/>
          <w:color w:val="000000"/>
          <w:u w:val="single"/>
        </w:rPr>
      </w:pPr>
      <w:r w:rsidRPr="001B7F77">
        <w:rPr>
          <w:rFonts w:eastAsia="Times"/>
          <w:b/>
          <w:color w:val="000000"/>
          <w:u w:val="single"/>
        </w:rPr>
        <w:t>1012.1.2 Group R-3 occupancy.</w:t>
      </w:r>
      <w:r w:rsidRPr="001B7F77">
        <w:rPr>
          <w:rFonts w:eastAsia="Times"/>
          <w:color w:val="000000"/>
          <w:u w:val="single"/>
        </w:rPr>
        <w:t xml:space="preserve"> Where the occupancy classification of a building or part thereof is changed to Occupancy Group R-3, such change shall also be subject to the requirements of the </w:t>
      </w:r>
      <w:r w:rsidRPr="001B7F77">
        <w:rPr>
          <w:rFonts w:eastAsia="Times"/>
          <w:i/>
          <w:iCs/>
          <w:color w:val="000000"/>
          <w:u w:val="single"/>
        </w:rPr>
        <w:t>New York City Housing Maintenance Code</w:t>
      </w:r>
      <w:r w:rsidRPr="001B7F77">
        <w:rPr>
          <w:rFonts w:eastAsia="Times"/>
          <w:color w:val="000000"/>
          <w:u w:val="single"/>
        </w:rPr>
        <w:t>.</w:t>
      </w:r>
    </w:p>
    <w:p w14:paraId="7DF8D225" w14:textId="77777777" w:rsidR="001B7F77" w:rsidRPr="001B7F77" w:rsidRDefault="001B7F77" w:rsidP="001B7F77">
      <w:pPr>
        <w:widowControl w:val="0"/>
        <w:suppressAutoHyphens/>
        <w:spacing w:before="120"/>
        <w:rPr>
          <w:b/>
        </w:rPr>
        <w:sectPr w:rsidR="001B7F77" w:rsidRPr="001B7F77" w:rsidSect="001B7F77">
          <w:footerReference w:type="default" r:id="rId63"/>
          <w:pgSz w:w="12240" w:h="15840" w:code="1"/>
          <w:pgMar w:top="1440" w:right="1440" w:bottom="1440" w:left="1440" w:header="720" w:footer="720" w:gutter="0"/>
          <w:lnNumType w:countBy="1"/>
          <w:cols w:space="720"/>
          <w:docGrid w:linePitch="360"/>
        </w:sectPr>
      </w:pPr>
    </w:p>
    <w:p w14:paraId="4DA2E00F" w14:textId="77777777" w:rsidR="001B7F77" w:rsidRPr="001B7F77" w:rsidRDefault="001B7F77" w:rsidP="001B7F77">
      <w:pPr>
        <w:widowControl w:val="0"/>
        <w:suppressAutoHyphens/>
        <w:spacing w:before="120"/>
        <w:jc w:val="center"/>
        <w:outlineLvl w:val="0"/>
        <w:rPr>
          <w:rFonts w:eastAsia="Times"/>
          <w:b/>
          <w:color w:val="000000"/>
          <w:u w:val="single"/>
        </w:rPr>
      </w:pPr>
      <w:r w:rsidRPr="001B7F77">
        <w:rPr>
          <w:rFonts w:eastAsia="Helvetica Neue"/>
          <w:b/>
          <w:color w:val="000000"/>
          <w:u w:val="single"/>
        </w:rPr>
        <w:t>CHAPTER</w:t>
      </w:r>
      <w:r w:rsidRPr="001B7F77">
        <w:rPr>
          <w:rFonts w:eastAsia="Times"/>
          <w:b/>
          <w:color w:val="000000"/>
          <w:u w:val="single"/>
        </w:rPr>
        <w:t xml:space="preserve"> 11</w:t>
      </w:r>
      <w:r w:rsidRPr="001B7F77">
        <w:rPr>
          <w:rFonts w:eastAsia="Times"/>
          <w:b/>
          <w:color w:val="000000"/>
          <w:u w:val="single"/>
        </w:rPr>
        <w:br/>
        <w:t>ADDITIONS</w:t>
      </w:r>
    </w:p>
    <w:p w14:paraId="7C7A7AC9" w14:textId="77777777" w:rsidR="001B7F77" w:rsidRPr="001B7F77" w:rsidRDefault="001B7F77" w:rsidP="001B7F77">
      <w:pPr>
        <w:widowControl w:val="0"/>
        <w:suppressAutoHyphens/>
        <w:spacing w:before="120"/>
        <w:jc w:val="center"/>
        <w:outlineLvl w:val="0"/>
        <w:rPr>
          <w:b/>
          <w:color w:val="000000"/>
          <w:u w:val="single"/>
        </w:rPr>
      </w:pPr>
      <w:r w:rsidRPr="001B7F77">
        <w:rPr>
          <w:b/>
          <w:color w:val="000000"/>
          <w:u w:val="single"/>
        </w:rPr>
        <w:t>SECTION EBC 1101</w:t>
      </w:r>
      <w:r w:rsidRPr="001B7F77">
        <w:rPr>
          <w:b/>
          <w:color w:val="000000"/>
          <w:u w:val="single"/>
        </w:rPr>
        <w:br/>
      </w:r>
      <w:r w:rsidRPr="001B7F77">
        <w:rPr>
          <w:rFonts w:eastAsia="Helvetica Neue"/>
          <w:b/>
          <w:color w:val="000000"/>
          <w:u w:val="single"/>
        </w:rPr>
        <w:t>GENERAL</w:t>
      </w:r>
    </w:p>
    <w:p w14:paraId="01C55AF9" w14:textId="77777777" w:rsidR="001B7F77" w:rsidRPr="001B7F77" w:rsidRDefault="001B7F77" w:rsidP="001B7F77">
      <w:pPr>
        <w:tabs>
          <w:tab w:val="left" w:pos="10800"/>
          <w:tab w:val="left" w:pos="11520"/>
          <w:tab w:val="left" w:pos="12240"/>
          <w:tab w:val="left" w:pos="12960"/>
        </w:tabs>
        <w:suppressAutoHyphens/>
        <w:spacing w:before="120"/>
        <w:rPr>
          <w:rFonts w:eastAsia="Times"/>
          <w:color w:val="000000"/>
          <w:u w:val="single"/>
        </w:rPr>
      </w:pPr>
      <w:r w:rsidRPr="001B7F77">
        <w:rPr>
          <w:rFonts w:eastAsia="Times"/>
          <w:b/>
          <w:color w:val="000000"/>
          <w:u w:val="single"/>
        </w:rPr>
        <w:t xml:space="preserve">1101.1 Scope. </w:t>
      </w:r>
      <w:r w:rsidRPr="001B7F77">
        <w:rPr>
          <w:rFonts w:eastAsia="Times"/>
          <w:color w:val="000000"/>
          <w:u w:val="single"/>
        </w:rPr>
        <w:t xml:space="preserve">An addition to an existing building or structure shall comply with the </w:t>
      </w:r>
      <w:r w:rsidRPr="001B7F77">
        <w:rPr>
          <w:rFonts w:eastAsia="Times"/>
          <w:i/>
          <w:iCs/>
          <w:color w:val="000000"/>
          <w:u w:val="single"/>
        </w:rPr>
        <w:t>New York City Building Code</w:t>
      </w:r>
      <w:r w:rsidRPr="001B7F77">
        <w:rPr>
          <w:rFonts w:eastAsia="Times"/>
          <w:color w:val="000000"/>
          <w:u w:val="single"/>
        </w:rPr>
        <w:t xml:space="preserve"> as required for new construction without requiring the existing building or structure to be altered to meet such new construction requirements, except as required by this chapter. Where an addition impacts the existing building or structure, that portion shall comply with this code.</w:t>
      </w:r>
    </w:p>
    <w:p w14:paraId="0B3FAFF1" w14:textId="77777777" w:rsidR="001B7F77" w:rsidRPr="001B7F77" w:rsidRDefault="001B7F77" w:rsidP="001B7F77">
      <w:pPr>
        <w:tabs>
          <w:tab w:val="left" w:pos="10800"/>
          <w:tab w:val="left" w:pos="11520"/>
          <w:tab w:val="left" w:pos="12240"/>
          <w:tab w:val="left" w:pos="12960"/>
        </w:tabs>
        <w:suppressAutoHyphens/>
        <w:spacing w:before="120"/>
        <w:rPr>
          <w:rFonts w:eastAsia="Times"/>
          <w:color w:val="000000"/>
          <w:u w:val="single"/>
        </w:rPr>
      </w:pPr>
      <w:r w:rsidRPr="001B7F77">
        <w:rPr>
          <w:rFonts w:eastAsia="Times"/>
          <w:b/>
          <w:color w:val="000000"/>
          <w:u w:val="single"/>
        </w:rPr>
        <w:t xml:space="preserve">1101.2 Creation or extension of noncompliance. </w:t>
      </w:r>
      <w:r w:rsidRPr="001B7F77">
        <w:rPr>
          <w:rFonts w:eastAsia="Times"/>
          <w:color w:val="000000"/>
          <w:u w:val="single"/>
        </w:rPr>
        <w:t>An addition shall not create or extend any noncompliance in the existing building to which the addition is being made with regard to accessibility, structural strength, fire safety, height and area limitations, means of egress, or the capacity of mechanical, plumbing or electrical systems, except as may be permitted by this chapter.</w:t>
      </w:r>
    </w:p>
    <w:p w14:paraId="254D6DD9" w14:textId="77777777" w:rsidR="001B7F77" w:rsidRPr="001B7F77" w:rsidRDefault="001B7F77" w:rsidP="001B7F77">
      <w:pPr>
        <w:tabs>
          <w:tab w:val="left" w:pos="10800"/>
          <w:tab w:val="left" w:pos="11520"/>
          <w:tab w:val="left" w:pos="12240"/>
          <w:tab w:val="left" w:pos="12960"/>
        </w:tabs>
        <w:suppressAutoHyphens/>
        <w:spacing w:before="120"/>
        <w:rPr>
          <w:rFonts w:eastAsia="Times"/>
          <w:color w:val="000000"/>
        </w:rPr>
      </w:pPr>
      <w:r w:rsidRPr="001B7F77">
        <w:rPr>
          <w:rFonts w:eastAsia="Times"/>
          <w:b/>
          <w:color w:val="000000"/>
          <w:u w:val="single"/>
        </w:rPr>
        <w:t xml:space="preserve">1101.3 Other work. </w:t>
      </w:r>
      <w:r w:rsidRPr="001B7F77">
        <w:rPr>
          <w:rFonts w:eastAsia="Times"/>
          <w:color w:val="000000"/>
          <w:u w:val="single"/>
        </w:rPr>
        <w:t>Any alteration work within an existing building to which an addition is being made shall comply with the applicable requirements for the work as classified in Chapter 6.</w:t>
      </w:r>
    </w:p>
    <w:p w14:paraId="267BD845" w14:textId="77777777" w:rsidR="001B7F77" w:rsidRPr="001B7F77" w:rsidRDefault="001B7F77" w:rsidP="001B7F77">
      <w:pPr>
        <w:suppressAutoHyphens/>
        <w:spacing w:before="120"/>
        <w:ind w:right="36"/>
        <w:rPr>
          <w:rFonts w:eastAsia="Times"/>
          <w:color w:val="000000"/>
        </w:rPr>
      </w:pPr>
      <w:r w:rsidRPr="001B7F77">
        <w:rPr>
          <w:b/>
          <w:color w:val="000000"/>
          <w:u w:val="single"/>
        </w:rPr>
        <w:t>1101.4</w:t>
      </w:r>
      <w:r w:rsidRPr="001B7F77">
        <w:rPr>
          <w:color w:val="000000"/>
          <w:u w:val="single"/>
        </w:rPr>
        <w:t xml:space="preserve"> </w:t>
      </w:r>
      <w:r w:rsidRPr="001B7F77">
        <w:rPr>
          <w:b/>
          <w:u w:val="single"/>
        </w:rPr>
        <w:t>Work that increases floor surface area of an existing building by more than 110 percent.</w:t>
      </w:r>
      <w:r w:rsidRPr="001B7F77">
        <w:rPr>
          <w:rFonts w:eastAsia="Times"/>
          <w:color w:val="000000"/>
          <w:u w:val="single"/>
        </w:rPr>
        <w:t xml:space="preserve"> Where an addition including alteration made to an existing building causes the existing floor surface area to be increased by more than 110 percent pursuant to Section 302.7, the entire building shall be made to comply with the provisions of the </w:t>
      </w:r>
      <w:r w:rsidRPr="001B7F77">
        <w:rPr>
          <w:rFonts w:eastAsia="Times"/>
          <w:i/>
          <w:iCs/>
          <w:color w:val="000000"/>
          <w:u w:val="single"/>
        </w:rPr>
        <w:t>New York City Building Code</w:t>
      </w:r>
      <w:r w:rsidRPr="001B7F77">
        <w:rPr>
          <w:rFonts w:eastAsia="Times"/>
          <w:color w:val="000000"/>
          <w:u w:val="single"/>
        </w:rPr>
        <w:t xml:space="preserve"> as if it were a new construction hereafter erected.</w:t>
      </w:r>
    </w:p>
    <w:p w14:paraId="78248D5E" w14:textId="77777777" w:rsidR="001B7F77" w:rsidRPr="001B7F77" w:rsidRDefault="001B7F77" w:rsidP="001B7F77">
      <w:pPr>
        <w:widowControl w:val="0"/>
        <w:suppressAutoHyphens/>
        <w:spacing w:before="120"/>
        <w:jc w:val="center"/>
        <w:outlineLvl w:val="0"/>
        <w:rPr>
          <w:b/>
          <w:color w:val="000000"/>
          <w:u w:val="single"/>
        </w:rPr>
      </w:pPr>
    </w:p>
    <w:p w14:paraId="2D503D7B" w14:textId="77777777" w:rsidR="001B7F77" w:rsidRPr="001B7F77" w:rsidRDefault="001B7F77" w:rsidP="001B7F77">
      <w:pPr>
        <w:widowControl w:val="0"/>
        <w:suppressAutoHyphens/>
        <w:spacing w:before="120"/>
        <w:jc w:val="center"/>
        <w:outlineLvl w:val="0"/>
        <w:rPr>
          <w:b/>
          <w:color w:val="000000"/>
          <w:u w:val="single"/>
        </w:rPr>
      </w:pPr>
      <w:r w:rsidRPr="001B7F77">
        <w:rPr>
          <w:b/>
          <w:color w:val="000000"/>
          <w:u w:val="single"/>
        </w:rPr>
        <w:t xml:space="preserve">SECTION </w:t>
      </w:r>
      <w:r w:rsidRPr="001B7F77">
        <w:rPr>
          <w:rFonts w:eastAsia="Helvetica Neue"/>
          <w:b/>
          <w:color w:val="000000"/>
          <w:u w:val="single"/>
        </w:rPr>
        <w:t>EBC</w:t>
      </w:r>
      <w:r w:rsidRPr="001B7F77">
        <w:rPr>
          <w:b/>
          <w:color w:val="000000"/>
          <w:u w:val="single"/>
        </w:rPr>
        <w:t xml:space="preserve"> 1102</w:t>
      </w:r>
      <w:r w:rsidRPr="001B7F77">
        <w:rPr>
          <w:b/>
          <w:color w:val="000000"/>
          <w:u w:val="single"/>
        </w:rPr>
        <w:br/>
        <w:t>HEIGHTS AND AREAS</w:t>
      </w:r>
    </w:p>
    <w:p w14:paraId="7A537052" w14:textId="77777777" w:rsidR="001B7F77" w:rsidRPr="001B7F77" w:rsidRDefault="001B7F77" w:rsidP="001B7F77">
      <w:pPr>
        <w:tabs>
          <w:tab w:val="left" w:pos="11520"/>
          <w:tab w:val="left" w:pos="12240"/>
          <w:tab w:val="left" w:pos="12960"/>
        </w:tabs>
        <w:suppressAutoHyphens/>
        <w:spacing w:before="120" w:line="256" w:lineRule="auto"/>
        <w:rPr>
          <w:rFonts w:eastAsia="Times"/>
          <w:color w:val="000000"/>
          <w:u w:val="single"/>
        </w:rPr>
      </w:pPr>
      <w:r w:rsidRPr="001B7F77">
        <w:rPr>
          <w:rFonts w:eastAsia="Times"/>
          <w:b/>
          <w:color w:val="000000"/>
          <w:u w:val="single"/>
        </w:rPr>
        <w:t xml:space="preserve">1102.1 Height limitations. </w:t>
      </w:r>
      <w:r w:rsidRPr="001B7F77">
        <w:rPr>
          <w:rFonts w:eastAsia="Times"/>
          <w:color w:val="000000"/>
          <w:u w:val="single"/>
        </w:rPr>
        <w:t xml:space="preserve">No addition shall increase the height of an existing building beyond that permitted under the applicable provisions of Chapter 5 of the </w:t>
      </w:r>
      <w:r w:rsidRPr="001B7F77">
        <w:rPr>
          <w:rFonts w:eastAsia="Times"/>
          <w:i/>
          <w:iCs/>
          <w:color w:val="000000"/>
          <w:u w:val="single"/>
        </w:rPr>
        <w:t>New York City Building Code</w:t>
      </w:r>
      <w:r w:rsidRPr="001B7F77">
        <w:rPr>
          <w:rFonts w:eastAsia="Times"/>
          <w:color w:val="000000"/>
          <w:u w:val="single"/>
        </w:rPr>
        <w:t xml:space="preserve"> for new construction.</w:t>
      </w:r>
    </w:p>
    <w:p w14:paraId="6E08F56B" w14:textId="77777777" w:rsidR="001B7F77" w:rsidRPr="001B7F77" w:rsidRDefault="001B7F77" w:rsidP="001B7F77">
      <w:pPr>
        <w:tabs>
          <w:tab w:val="left" w:pos="11520"/>
          <w:tab w:val="left" w:pos="12240"/>
          <w:tab w:val="left" w:pos="12960"/>
        </w:tabs>
        <w:suppressAutoHyphens/>
        <w:spacing w:before="120" w:line="256" w:lineRule="auto"/>
        <w:rPr>
          <w:rFonts w:eastAsia="Times"/>
          <w:color w:val="000000"/>
          <w:u w:val="single"/>
        </w:rPr>
      </w:pPr>
      <w:r w:rsidRPr="001B7F77">
        <w:rPr>
          <w:rFonts w:eastAsia="Times"/>
          <w:b/>
          <w:color w:val="000000"/>
          <w:u w:val="single"/>
        </w:rPr>
        <w:t>1102.2 Area limitations.</w:t>
      </w:r>
      <w:r w:rsidRPr="001B7F77">
        <w:rPr>
          <w:rFonts w:eastAsia="Times"/>
          <w:color w:val="000000"/>
          <w:u w:val="single"/>
        </w:rPr>
        <w:t xml:space="preserve"> No addition shall increase the area of an existing building beyond that permitted under the applicable provisions of Chapter 5 of the </w:t>
      </w:r>
      <w:r w:rsidRPr="001B7F77">
        <w:rPr>
          <w:rFonts w:eastAsia="Times"/>
          <w:i/>
          <w:iCs/>
          <w:color w:val="000000"/>
          <w:u w:val="single"/>
        </w:rPr>
        <w:t>New York City Building Code</w:t>
      </w:r>
      <w:r w:rsidRPr="001B7F77">
        <w:rPr>
          <w:rFonts w:eastAsia="Times"/>
          <w:color w:val="000000"/>
          <w:u w:val="single"/>
        </w:rPr>
        <w:t xml:space="preserve"> for new construction unless fire separation, as required by the </w:t>
      </w:r>
      <w:r w:rsidRPr="001B7F77">
        <w:rPr>
          <w:rFonts w:eastAsia="Times"/>
          <w:i/>
          <w:iCs/>
          <w:color w:val="000000"/>
          <w:u w:val="single"/>
        </w:rPr>
        <w:t>New York City Building Code</w:t>
      </w:r>
      <w:r w:rsidRPr="001B7F77">
        <w:rPr>
          <w:rFonts w:eastAsia="Times"/>
          <w:color w:val="000000"/>
          <w:u w:val="single"/>
        </w:rPr>
        <w:t>, is provided.</w:t>
      </w:r>
    </w:p>
    <w:p w14:paraId="68BBFEFB" w14:textId="77777777" w:rsidR="001B7F77" w:rsidRPr="001B7F77" w:rsidRDefault="001B7F77" w:rsidP="001B7F77">
      <w:pPr>
        <w:tabs>
          <w:tab w:val="left" w:pos="240"/>
          <w:tab w:val="left" w:pos="11520"/>
          <w:tab w:val="left" w:pos="12240"/>
          <w:tab w:val="left" w:pos="12960"/>
        </w:tabs>
        <w:suppressAutoHyphens/>
        <w:spacing w:before="120" w:line="256" w:lineRule="auto"/>
        <w:ind w:left="360"/>
        <w:rPr>
          <w:rFonts w:eastAsia="Times"/>
          <w:color w:val="000000"/>
          <w:u w:val="single"/>
        </w:rPr>
      </w:pPr>
      <w:r w:rsidRPr="001B7F77">
        <w:rPr>
          <w:rFonts w:eastAsia="Times"/>
          <w:b/>
          <w:color w:val="000000"/>
          <w:u w:val="single"/>
        </w:rPr>
        <w:t>Exception:</w:t>
      </w:r>
      <w:r w:rsidRPr="001B7F77">
        <w:rPr>
          <w:rFonts w:eastAsia="Times"/>
          <w:color w:val="000000"/>
          <w:u w:val="single"/>
        </w:rPr>
        <w:t xml:space="preserve"> In-filling of floor openings and non-occupiable appendages, such as elevator and exit stairway shafts, shall not be included in determining the floor area as set forth in Chapter 5 of the </w:t>
      </w:r>
      <w:r w:rsidRPr="001B7F77">
        <w:rPr>
          <w:rFonts w:eastAsia="Times"/>
          <w:i/>
          <w:iCs/>
          <w:color w:val="000000"/>
          <w:u w:val="single"/>
        </w:rPr>
        <w:t>New York City Building Code</w:t>
      </w:r>
      <w:r w:rsidRPr="001B7F77">
        <w:rPr>
          <w:rFonts w:eastAsia="Times"/>
          <w:color w:val="000000"/>
          <w:u w:val="single"/>
        </w:rPr>
        <w:t>.</w:t>
      </w:r>
    </w:p>
    <w:p w14:paraId="0F31DFCB" w14:textId="77777777" w:rsidR="001B7F77" w:rsidRPr="001B7F77" w:rsidRDefault="001B7F77" w:rsidP="001B7F77">
      <w:pPr>
        <w:tabs>
          <w:tab w:val="left" w:pos="11520"/>
          <w:tab w:val="left" w:pos="12240"/>
          <w:tab w:val="left" w:pos="12960"/>
        </w:tabs>
        <w:suppressAutoHyphens/>
        <w:spacing w:before="120" w:line="256" w:lineRule="auto"/>
        <w:rPr>
          <w:rFonts w:eastAsia="Times"/>
          <w:color w:val="000000"/>
          <w:u w:val="single"/>
        </w:rPr>
      </w:pPr>
      <w:r w:rsidRPr="001B7F77">
        <w:rPr>
          <w:rFonts w:eastAsia="Times"/>
          <w:b/>
          <w:color w:val="000000"/>
          <w:u w:val="single"/>
        </w:rPr>
        <w:t xml:space="preserve">1102.3 Fire areas. </w:t>
      </w:r>
      <w:r w:rsidRPr="001B7F77">
        <w:rPr>
          <w:rFonts w:eastAsia="Times"/>
          <w:color w:val="000000"/>
          <w:u w:val="single"/>
        </w:rPr>
        <w:t xml:space="preserve">Existing fire areas increased by the addition shall comply with Chapter 9 of the </w:t>
      </w:r>
      <w:r w:rsidRPr="001B7F77">
        <w:rPr>
          <w:rFonts w:eastAsia="Times"/>
          <w:i/>
          <w:iCs/>
          <w:color w:val="000000"/>
          <w:u w:val="single"/>
        </w:rPr>
        <w:t>New York City Building Code</w:t>
      </w:r>
      <w:r w:rsidRPr="001B7F77">
        <w:rPr>
          <w:rFonts w:eastAsia="Times"/>
          <w:color w:val="000000"/>
          <w:u w:val="single"/>
        </w:rPr>
        <w:t>.</w:t>
      </w:r>
    </w:p>
    <w:p w14:paraId="076324D9" w14:textId="77777777" w:rsidR="001B7F77" w:rsidRPr="001B7F77" w:rsidRDefault="001B7F77" w:rsidP="001B7F77">
      <w:pPr>
        <w:tabs>
          <w:tab w:val="left" w:pos="11520"/>
          <w:tab w:val="left" w:pos="12240"/>
          <w:tab w:val="left" w:pos="12960"/>
        </w:tabs>
        <w:suppressAutoHyphens/>
        <w:spacing w:before="120" w:line="256" w:lineRule="auto"/>
        <w:rPr>
          <w:rFonts w:eastAsia="Times"/>
          <w:color w:val="000000"/>
          <w:u w:val="single"/>
        </w:rPr>
      </w:pPr>
      <w:r w:rsidRPr="001B7F77">
        <w:rPr>
          <w:rFonts w:eastAsia="Times"/>
          <w:b/>
          <w:color w:val="000000"/>
          <w:u w:val="single"/>
        </w:rPr>
        <w:t>1102.4 Additions made to certain multiple dwellings.</w:t>
      </w:r>
      <w:r w:rsidRPr="001B7F77">
        <w:rPr>
          <w:rFonts w:eastAsia="Times"/>
          <w:color w:val="000000"/>
          <w:u w:val="single"/>
        </w:rPr>
        <w:t xml:space="preserve"> Vertical and horizontal additions made to multiple dwellings erected in accordance with the law in effect before December 6, 1968, shall also comply with the applicable provisions of Chapters D5, D6 and D7 of Appendix D.</w:t>
      </w:r>
    </w:p>
    <w:p w14:paraId="018951DB" w14:textId="77777777" w:rsidR="001B7F77" w:rsidRPr="001B7F77" w:rsidRDefault="001B7F77" w:rsidP="001B7F77">
      <w:pPr>
        <w:tabs>
          <w:tab w:val="left" w:pos="11520"/>
          <w:tab w:val="left" w:pos="12240"/>
          <w:tab w:val="left" w:pos="12960"/>
        </w:tabs>
        <w:suppressAutoHyphens/>
        <w:spacing w:before="120" w:line="256" w:lineRule="auto"/>
        <w:rPr>
          <w:rFonts w:eastAsia="Times"/>
          <w:bCs/>
          <w:color w:val="000000"/>
          <w:szCs w:val="24"/>
          <w:u w:val="single"/>
        </w:rPr>
      </w:pPr>
      <w:r w:rsidRPr="001B7F77">
        <w:rPr>
          <w:rFonts w:eastAsia="Times"/>
          <w:b/>
          <w:color w:val="000000"/>
          <w:u w:val="single"/>
        </w:rPr>
        <w:t xml:space="preserve">1102.5 Existing buildings within the fire district. </w:t>
      </w:r>
      <w:r w:rsidRPr="001B7F77">
        <w:rPr>
          <w:rFonts w:eastAsia="Times"/>
          <w:bCs/>
          <w:color w:val="000000"/>
          <w:u w:val="single"/>
        </w:rPr>
        <w:t xml:space="preserve">In accordance with Section 302.6 and Appendix D of the </w:t>
      </w:r>
      <w:r w:rsidRPr="001B7F77">
        <w:rPr>
          <w:rFonts w:eastAsia="Times"/>
          <w:bCs/>
          <w:i/>
          <w:iCs/>
          <w:color w:val="000000"/>
          <w:u w:val="single"/>
        </w:rPr>
        <w:t>New York City Building Code</w:t>
      </w:r>
      <w:r w:rsidRPr="001B7F77">
        <w:rPr>
          <w:rFonts w:eastAsia="Times"/>
          <w:bCs/>
          <w:color w:val="000000"/>
          <w:u w:val="single"/>
        </w:rPr>
        <w:t xml:space="preserve">, an existing building shall not hereafter be increased in height or area unless it is of a type of construction permitted for new buildings within the fire district or altered to comply with the requirements for such type of construction. Nor shall </w:t>
      </w:r>
      <w:r w:rsidRPr="001B7F77">
        <w:rPr>
          <w:rFonts w:eastAsia="Times"/>
          <w:bCs/>
          <w:color w:val="000000"/>
          <w:szCs w:val="24"/>
          <w:u w:val="single"/>
        </w:rPr>
        <w:t>any existing building be hereafter extended on any side, nor square footage or floors added within the existing building, unless such modifications are of a type of construction permitted for new buildings within the fire district.</w:t>
      </w:r>
    </w:p>
    <w:p w14:paraId="0C15FACE" w14:textId="77777777" w:rsidR="001B7F77" w:rsidRPr="001B7F77" w:rsidRDefault="001B7F77" w:rsidP="001B7F77">
      <w:pPr>
        <w:suppressAutoHyphens/>
        <w:spacing w:before="120"/>
        <w:ind w:left="360"/>
        <w:rPr>
          <w:rFonts w:eastAsia="Times"/>
          <w:b/>
          <w:color w:val="000000"/>
          <w:szCs w:val="24"/>
          <w:u w:val="single"/>
        </w:rPr>
      </w:pPr>
      <w:r w:rsidRPr="001B7F77">
        <w:rPr>
          <w:rFonts w:eastAsia="Times"/>
          <w:b/>
          <w:color w:val="000000"/>
          <w:szCs w:val="24"/>
          <w:u w:val="single"/>
        </w:rPr>
        <w:t xml:space="preserve">Exceptions: </w:t>
      </w:r>
    </w:p>
    <w:p w14:paraId="424365D0" w14:textId="77777777" w:rsidR="001B7F77" w:rsidRPr="001B7F77" w:rsidRDefault="001B7F77" w:rsidP="0001508F">
      <w:pPr>
        <w:widowControl w:val="0"/>
        <w:numPr>
          <w:ilvl w:val="0"/>
          <w:numId w:val="28"/>
        </w:numPr>
        <w:suppressAutoHyphens/>
        <w:kinsoku w:val="0"/>
        <w:spacing w:before="120"/>
        <w:contextualSpacing/>
        <w:jc w:val="left"/>
        <w:rPr>
          <w:rFonts w:eastAsia="Times" w:cs="Arial"/>
          <w:bCs/>
          <w:color w:val="000000"/>
          <w:szCs w:val="24"/>
          <w:u w:val="single"/>
        </w:rPr>
      </w:pPr>
      <w:r w:rsidRPr="001B7F77">
        <w:rPr>
          <w:rFonts w:eastAsia="Times" w:cs="Arial"/>
          <w:bCs/>
          <w:color w:val="000000"/>
          <w:szCs w:val="24"/>
          <w:u w:val="single"/>
        </w:rPr>
        <w:t xml:space="preserve">Existing one- and two-family dwellings of a type of construction not permitted in the fire district can be extended by 25 percent of the floor area existing at the time the building was included in the fire district. Such extension shall be of any type of construction permitted by the </w:t>
      </w:r>
      <w:r w:rsidRPr="001B7F77">
        <w:rPr>
          <w:rFonts w:eastAsia="Times" w:cs="Arial"/>
          <w:bCs/>
          <w:i/>
          <w:iCs/>
          <w:color w:val="000000"/>
          <w:szCs w:val="24"/>
          <w:u w:val="single"/>
        </w:rPr>
        <w:t>New York City Building Code</w:t>
      </w:r>
      <w:r w:rsidRPr="001B7F77">
        <w:rPr>
          <w:rFonts w:eastAsia="Times" w:cs="Arial"/>
          <w:bCs/>
          <w:color w:val="000000"/>
          <w:szCs w:val="24"/>
          <w:u w:val="single"/>
        </w:rPr>
        <w:t>.</w:t>
      </w:r>
    </w:p>
    <w:p w14:paraId="2EA5ABA7" w14:textId="77777777" w:rsidR="001B7F77" w:rsidRPr="001B7F77" w:rsidRDefault="001B7F77" w:rsidP="0001508F">
      <w:pPr>
        <w:widowControl w:val="0"/>
        <w:numPr>
          <w:ilvl w:val="0"/>
          <w:numId w:val="28"/>
        </w:numPr>
        <w:suppressAutoHyphens/>
        <w:kinsoku w:val="0"/>
        <w:spacing w:before="120"/>
        <w:contextualSpacing/>
        <w:jc w:val="left"/>
        <w:rPr>
          <w:rFonts w:eastAsia="Times" w:cs="Arial"/>
          <w:color w:val="000000"/>
          <w:szCs w:val="24"/>
          <w:u w:val="single"/>
        </w:rPr>
      </w:pPr>
      <w:r w:rsidRPr="001B7F77">
        <w:rPr>
          <w:rFonts w:eastAsia="Times" w:cs="Arial"/>
          <w:color w:val="000000"/>
          <w:szCs w:val="24"/>
          <w:u w:val="single"/>
        </w:rPr>
        <w:t>Prior code one- and two-family dwellings of construction class VA may be enlarged to a maximum height of 50 feet (15.2 m) or 4 stories</w:t>
      </w:r>
      <w:r w:rsidRPr="001B7F77">
        <w:rPr>
          <w:rFonts w:eastAsia="Times" w:cs="Arial"/>
          <w:color w:val="FF0000"/>
          <w:szCs w:val="24"/>
          <w:u w:val="single"/>
        </w:rPr>
        <w:t>,</w:t>
      </w:r>
      <w:r w:rsidRPr="001B7F77">
        <w:rPr>
          <w:rFonts w:eastAsia="Times" w:cs="Arial"/>
          <w:color w:val="000000"/>
          <w:szCs w:val="24"/>
          <w:u w:val="single"/>
        </w:rPr>
        <w:t xml:space="preserve"> whichever is less, and a maximum area of 5,000 SF (465 m</w:t>
      </w:r>
      <w:r w:rsidRPr="001B7F77">
        <w:rPr>
          <w:rFonts w:eastAsia="Times" w:cs="Arial"/>
          <w:color w:val="000000"/>
          <w:szCs w:val="24"/>
          <w:u w:val="single"/>
          <w:vertAlign w:val="superscript"/>
        </w:rPr>
        <w:t>2</w:t>
      </w:r>
      <w:r w:rsidRPr="001B7F77">
        <w:rPr>
          <w:rFonts w:eastAsia="Times" w:cs="Arial"/>
          <w:color w:val="000000"/>
          <w:szCs w:val="24"/>
          <w:u w:val="single"/>
        </w:rPr>
        <w:t xml:space="preserve">) per floor, where such building is protected with a sprinkler system and smoke alarm system in compliance with Chapter 9 of the </w:t>
      </w:r>
      <w:r w:rsidRPr="001B7F77">
        <w:rPr>
          <w:rFonts w:eastAsia="Times" w:cs="Arial"/>
          <w:i/>
          <w:iCs/>
          <w:color w:val="000000"/>
          <w:szCs w:val="24"/>
          <w:u w:val="single"/>
        </w:rPr>
        <w:t>New York City Building Code</w:t>
      </w:r>
      <w:r w:rsidRPr="001B7F77">
        <w:rPr>
          <w:rFonts w:eastAsia="Times" w:cs="Arial"/>
          <w:color w:val="000000"/>
          <w:szCs w:val="24"/>
          <w:u w:val="single"/>
        </w:rPr>
        <w:t>.</w:t>
      </w:r>
    </w:p>
    <w:p w14:paraId="24B6E19D" w14:textId="77777777" w:rsidR="001B7F77" w:rsidRPr="001B7F77" w:rsidRDefault="001B7F77" w:rsidP="001B7F77">
      <w:pPr>
        <w:spacing w:before="120"/>
        <w:ind w:left="720"/>
        <w:contextualSpacing/>
        <w:rPr>
          <w:rFonts w:eastAsia="Times" w:cs="Arial"/>
          <w:bCs/>
          <w:color w:val="000000"/>
          <w:szCs w:val="24"/>
          <w:u w:val="single"/>
        </w:rPr>
      </w:pPr>
    </w:p>
    <w:p w14:paraId="16FA0381" w14:textId="77777777" w:rsidR="001B7F77" w:rsidRPr="001B7F77" w:rsidRDefault="001B7F77" w:rsidP="001B7F77">
      <w:pPr>
        <w:widowControl w:val="0"/>
        <w:suppressAutoHyphens/>
        <w:spacing w:before="120"/>
        <w:jc w:val="center"/>
        <w:outlineLvl w:val="0"/>
        <w:rPr>
          <w:b/>
          <w:color w:val="000000"/>
          <w:u w:val="single"/>
        </w:rPr>
      </w:pPr>
      <w:r w:rsidRPr="001B7F77">
        <w:rPr>
          <w:b/>
          <w:color w:val="000000"/>
          <w:u w:val="single"/>
        </w:rPr>
        <w:t>SECTION EBC 1103</w:t>
      </w:r>
      <w:r w:rsidRPr="001B7F77">
        <w:rPr>
          <w:b/>
          <w:color w:val="000000"/>
          <w:u w:val="single"/>
        </w:rPr>
        <w:br/>
        <w:t>STRUCTURAL</w:t>
      </w:r>
    </w:p>
    <w:p w14:paraId="10651993" w14:textId="77777777" w:rsidR="001B7F77" w:rsidRPr="001B7F77" w:rsidRDefault="001B7F77" w:rsidP="001B7F77">
      <w:pPr>
        <w:tabs>
          <w:tab w:val="left" w:pos="11520"/>
          <w:tab w:val="left" w:pos="12240"/>
          <w:tab w:val="left" w:pos="12960"/>
        </w:tabs>
        <w:suppressAutoHyphens/>
        <w:spacing w:before="120"/>
        <w:rPr>
          <w:rFonts w:eastAsia="Times"/>
          <w:color w:val="000000"/>
        </w:rPr>
      </w:pPr>
      <w:bookmarkStart w:id="210" w:name="_Hlk73030323"/>
      <w:r w:rsidRPr="001B7F77">
        <w:rPr>
          <w:rFonts w:eastAsia="Times"/>
          <w:b/>
          <w:color w:val="000000"/>
          <w:u w:val="single"/>
        </w:rPr>
        <w:t xml:space="preserve">1103.1 Compliance with Chapter 7 of the New York City Existing Building Code. </w:t>
      </w:r>
      <w:r w:rsidRPr="001B7F77">
        <w:rPr>
          <w:rFonts w:eastAsia="Times"/>
          <w:color w:val="000000"/>
          <w:u w:val="single"/>
        </w:rPr>
        <w:t xml:space="preserve">Additions to existing buildings or structures are new construction and shall comply with the </w:t>
      </w:r>
      <w:r w:rsidRPr="001B7F77">
        <w:rPr>
          <w:rFonts w:eastAsia="Times"/>
          <w:i/>
          <w:iCs/>
          <w:color w:val="000000"/>
          <w:u w:val="single"/>
        </w:rPr>
        <w:t>New York City Building Code</w:t>
      </w:r>
      <w:r w:rsidRPr="001B7F77">
        <w:rPr>
          <w:rFonts w:eastAsia="Times"/>
          <w:color w:val="000000"/>
          <w:u w:val="single"/>
        </w:rPr>
        <w:t xml:space="preserve"> and Chapter 7 of this code.</w:t>
      </w:r>
    </w:p>
    <w:p w14:paraId="1192C83D" w14:textId="77777777" w:rsidR="001B7F77" w:rsidRPr="001B7F77" w:rsidRDefault="001B7F77" w:rsidP="001B7F77">
      <w:pPr>
        <w:tabs>
          <w:tab w:val="left" w:pos="11520"/>
          <w:tab w:val="left" w:pos="12240"/>
          <w:tab w:val="left" w:pos="12960"/>
        </w:tabs>
        <w:suppressAutoHyphens/>
        <w:spacing w:before="120"/>
        <w:rPr>
          <w:color w:val="000000"/>
        </w:rPr>
      </w:pPr>
      <w:r w:rsidRPr="001B7F77">
        <w:rPr>
          <w:rFonts w:eastAsia="Times"/>
          <w:b/>
          <w:color w:val="000000"/>
          <w:u w:val="single"/>
        </w:rPr>
        <w:t>1103.2 Flood hazard areas.</w:t>
      </w:r>
      <w:r w:rsidRPr="001B7F77">
        <w:rPr>
          <w:color w:val="000000"/>
          <w:u w:val="single"/>
        </w:rPr>
        <w:t xml:space="preserve"> Additions and foundations in flood hazard areas shall comply with Appendix G of the </w:t>
      </w:r>
      <w:r w:rsidRPr="001B7F77">
        <w:rPr>
          <w:i/>
          <w:iCs/>
          <w:color w:val="000000"/>
          <w:u w:val="single"/>
        </w:rPr>
        <w:t>New York City Building Code</w:t>
      </w:r>
      <w:r w:rsidRPr="001B7F77">
        <w:rPr>
          <w:color w:val="000000"/>
          <w:u w:val="single"/>
        </w:rPr>
        <w:t xml:space="preserve"> and Chapter 7 of this code.</w:t>
      </w:r>
    </w:p>
    <w:p w14:paraId="4718899A" w14:textId="77777777" w:rsidR="001B7F77" w:rsidRPr="001B7F77" w:rsidRDefault="001B7F77" w:rsidP="001B7F77">
      <w:pPr>
        <w:shd w:val="clear" w:color="auto" w:fill="FFFFFF"/>
        <w:suppressAutoHyphens/>
        <w:spacing w:before="120"/>
        <w:rPr>
          <w:color w:val="000000"/>
        </w:rPr>
      </w:pPr>
      <w:r w:rsidRPr="001B7F77">
        <w:rPr>
          <w:b/>
          <w:bCs/>
          <w:color w:val="000000"/>
          <w:u w:val="single"/>
        </w:rPr>
        <w:t>1103.3 Structural condition assessment.</w:t>
      </w:r>
      <w:r w:rsidRPr="001B7F77">
        <w:rPr>
          <w:color w:val="000000"/>
          <w:u w:val="single"/>
        </w:rPr>
        <w:t xml:space="preserve"> Additions to existing buildings or structures shall require an initial structural condition assessment in accordance with Section 704.2. Where the addition to the existing building or structure includes a structural alteration or an increase in loads applied to the existing building or structure, a detailed structural condition assessment in accordance with Section 704.3 is also required.</w:t>
      </w:r>
    </w:p>
    <w:bookmarkEnd w:id="210"/>
    <w:p w14:paraId="1363B0B0" w14:textId="77777777" w:rsidR="001B7F77" w:rsidRPr="001B7F77" w:rsidRDefault="001B7F77" w:rsidP="001B7F77">
      <w:pPr>
        <w:widowControl w:val="0"/>
        <w:suppressAutoHyphens/>
        <w:spacing w:before="120"/>
        <w:jc w:val="center"/>
        <w:outlineLvl w:val="0"/>
        <w:rPr>
          <w:b/>
          <w:color w:val="000000"/>
          <w:u w:val="single"/>
        </w:rPr>
      </w:pPr>
    </w:p>
    <w:p w14:paraId="727E1E4F" w14:textId="77777777" w:rsidR="001B7F77" w:rsidRPr="001B7F77" w:rsidRDefault="001B7F77" w:rsidP="001B7F77">
      <w:pPr>
        <w:widowControl w:val="0"/>
        <w:suppressAutoHyphens/>
        <w:spacing w:before="120"/>
        <w:jc w:val="center"/>
        <w:outlineLvl w:val="0"/>
        <w:rPr>
          <w:color w:val="000000"/>
          <w:u w:val="single"/>
        </w:rPr>
      </w:pPr>
      <w:r w:rsidRPr="001B7F77">
        <w:rPr>
          <w:b/>
          <w:color w:val="000000"/>
          <w:u w:val="single"/>
        </w:rPr>
        <w:t>SECTION EBC 1104</w:t>
      </w:r>
      <w:r w:rsidRPr="001B7F77">
        <w:rPr>
          <w:b/>
          <w:color w:val="000000"/>
          <w:u w:val="single"/>
        </w:rPr>
        <w:br/>
        <w:t xml:space="preserve">FIRE </w:t>
      </w:r>
      <w:r w:rsidRPr="001B7F77">
        <w:rPr>
          <w:rFonts w:eastAsia="Helvetica Neue"/>
          <w:b/>
          <w:color w:val="000000"/>
          <w:u w:val="single"/>
        </w:rPr>
        <w:t>PROTECTION</w:t>
      </w:r>
    </w:p>
    <w:p w14:paraId="6B5DBCC0" w14:textId="77777777" w:rsidR="001B7F77" w:rsidRPr="001B7F77" w:rsidRDefault="001B7F77" w:rsidP="001B7F77">
      <w:pPr>
        <w:suppressAutoHyphens/>
        <w:spacing w:before="120"/>
      </w:pPr>
      <w:r w:rsidRPr="001B7F77">
        <w:rPr>
          <w:b/>
          <w:color w:val="000000"/>
          <w:u w:val="single"/>
        </w:rPr>
        <w:t>1104.1</w:t>
      </w:r>
      <w:r w:rsidRPr="001B7F77">
        <w:rPr>
          <w:color w:val="000000"/>
          <w:u w:val="single"/>
        </w:rPr>
        <w:t xml:space="preserve"> </w:t>
      </w:r>
      <w:r w:rsidRPr="001B7F77">
        <w:rPr>
          <w:b/>
          <w:color w:val="000000"/>
          <w:u w:val="single"/>
        </w:rPr>
        <w:t>Requirements.</w:t>
      </w:r>
      <w:r w:rsidRPr="001B7F77">
        <w:rPr>
          <w:color w:val="000000"/>
          <w:u w:val="single"/>
        </w:rPr>
        <w:t xml:space="preserve"> Fire protection systems shall be provided in additions to existing buildings in accordance with Chapter 9 of the </w:t>
      </w:r>
      <w:r w:rsidRPr="001B7F77">
        <w:rPr>
          <w:i/>
          <w:iCs/>
          <w:color w:val="000000"/>
          <w:u w:val="single"/>
        </w:rPr>
        <w:t>New York City Building Code</w:t>
      </w:r>
      <w:r w:rsidRPr="001B7F77">
        <w:rPr>
          <w:color w:val="000000"/>
          <w:u w:val="single"/>
        </w:rPr>
        <w:t xml:space="preserve"> where such systems would be required in new construction for a space or building or where required by the </w:t>
      </w:r>
      <w:r w:rsidRPr="001B7F77">
        <w:rPr>
          <w:i/>
          <w:iCs/>
          <w:color w:val="000000"/>
          <w:u w:val="single"/>
        </w:rPr>
        <w:t>New York City Fire Code</w:t>
      </w:r>
      <w:r w:rsidRPr="001B7F77">
        <w:rPr>
          <w:color w:val="000000"/>
          <w:u w:val="single"/>
        </w:rPr>
        <w:t>.</w:t>
      </w:r>
    </w:p>
    <w:p w14:paraId="061EFBED" w14:textId="77777777" w:rsidR="001B7F77" w:rsidRPr="001B7F77" w:rsidRDefault="001B7F77" w:rsidP="001B7F77">
      <w:pPr>
        <w:suppressAutoHyphens/>
        <w:spacing w:before="120"/>
        <w:rPr>
          <w:color w:val="000000"/>
          <w:u w:val="single"/>
        </w:rPr>
      </w:pPr>
      <w:r w:rsidRPr="001B7F77">
        <w:rPr>
          <w:rFonts w:eastAsia="Times"/>
          <w:b/>
          <w:color w:val="000000"/>
          <w:u w:val="single"/>
        </w:rPr>
        <w:t xml:space="preserve">1104.2 Sprinkler system. </w:t>
      </w:r>
      <w:r w:rsidRPr="001B7F77">
        <w:rPr>
          <w:color w:val="000000"/>
          <w:u w:val="single"/>
        </w:rPr>
        <w:t>Sprinkler systems shall be provided in additions to a building as required by Section 1104.1.</w:t>
      </w:r>
    </w:p>
    <w:p w14:paraId="6DB37568" w14:textId="77777777" w:rsidR="001B7F77" w:rsidRPr="001B7F77" w:rsidRDefault="001B7F77" w:rsidP="001B7F77">
      <w:pPr>
        <w:suppressAutoHyphens/>
        <w:spacing w:before="120"/>
        <w:ind w:left="360"/>
        <w:rPr>
          <w:u w:val="single"/>
        </w:rPr>
      </w:pPr>
      <w:r w:rsidRPr="001B7F77">
        <w:rPr>
          <w:b/>
          <w:u w:val="single"/>
        </w:rPr>
        <w:t xml:space="preserve">Exception: </w:t>
      </w:r>
      <w:r w:rsidRPr="001B7F77">
        <w:rPr>
          <w:u w:val="single"/>
        </w:rPr>
        <w:t xml:space="preserve">Sprinklers shall not be required to be installed in additions to unsprinklered buildings to be occupied exclusively as one- or two-family dwellings. This exception shall not apply where sprinkler protection is otherwise required due to a change of occupancy or alterations made to the existing building pursuant to Chapters 9 or 10, or where sprinkler protection is required by the </w:t>
      </w:r>
      <w:r w:rsidRPr="001B7F77">
        <w:rPr>
          <w:i/>
          <w:iCs/>
          <w:u w:val="single"/>
        </w:rPr>
        <w:t>New York City Fire Code</w:t>
      </w:r>
      <w:r w:rsidRPr="001B7F77">
        <w:rPr>
          <w:u w:val="single"/>
        </w:rPr>
        <w:t>.</w:t>
      </w:r>
    </w:p>
    <w:p w14:paraId="18AC0D78" w14:textId="77777777" w:rsidR="001B7F77" w:rsidRPr="001B7F77" w:rsidRDefault="001B7F77" w:rsidP="001B7F77">
      <w:pPr>
        <w:suppressAutoHyphens/>
        <w:spacing w:before="120"/>
        <w:rPr>
          <w:color w:val="000000"/>
        </w:rPr>
      </w:pPr>
      <w:r w:rsidRPr="001B7F77">
        <w:rPr>
          <w:b/>
          <w:u w:val="single"/>
        </w:rPr>
        <w:t xml:space="preserve">1104.3 Standpipe systems. </w:t>
      </w:r>
      <w:r w:rsidRPr="001B7F77">
        <w:rPr>
          <w:color w:val="000000"/>
          <w:u w:val="single"/>
        </w:rPr>
        <w:t>Standpipe systems shall be provided in additions to existing buildings as required by Section 1104.1, and Sections 1104.3.1 and 1104.3.2 for prior code buildings.</w:t>
      </w:r>
    </w:p>
    <w:p w14:paraId="1B8D83A5" w14:textId="77777777" w:rsidR="001B7F77" w:rsidRPr="001B7F77" w:rsidRDefault="001B7F77" w:rsidP="001B7F77">
      <w:pPr>
        <w:suppressAutoHyphens/>
        <w:spacing w:before="120"/>
        <w:ind w:left="360"/>
      </w:pPr>
      <w:r w:rsidRPr="001B7F77">
        <w:rPr>
          <w:b/>
          <w:u w:val="single"/>
        </w:rPr>
        <w:t xml:space="preserve">1104.3.1 Additions made to prior code buildings with existing standpipe systems. </w:t>
      </w:r>
      <w:r w:rsidRPr="001B7F77">
        <w:rPr>
          <w:u w:val="single"/>
        </w:rPr>
        <w:t xml:space="preserve">Where the alteration involves the addition of stories to a building with an existing standpipe system, and one or more stair shafts are not currently equipped with standpipes, standpipes shall be provided in all required stairways in accordance with Chapter 9 of the </w:t>
      </w:r>
      <w:r w:rsidRPr="001B7F77">
        <w:rPr>
          <w:i/>
          <w:iCs/>
          <w:u w:val="single"/>
        </w:rPr>
        <w:t>New York City Building Code</w:t>
      </w:r>
      <w:r w:rsidRPr="001B7F77">
        <w:rPr>
          <w:u w:val="single"/>
        </w:rPr>
        <w:t>.</w:t>
      </w:r>
    </w:p>
    <w:p w14:paraId="1F001C9F" w14:textId="77777777" w:rsidR="001B7F77" w:rsidRPr="001B7F77" w:rsidRDefault="001B7F77" w:rsidP="001B7F77">
      <w:pPr>
        <w:suppressAutoHyphens/>
        <w:spacing w:before="120"/>
        <w:ind w:left="720"/>
        <w:rPr>
          <w:color w:val="000000"/>
          <w:u w:val="single"/>
        </w:rPr>
      </w:pPr>
      <w:r w:rsidRPr="001B7F77">
        <w:rPr>
          <w:b/>
          <w:color w:val="000000"/>
          <w:u w:val="single"/>
        </w:rPr>
        <w:t xml:space="preserve">Exception: </w:t>
      </w:r>
      <w:r w:rsidRPr="001B7F77">
        <w:rPr>
          <w:color w:val="000000"/>
          <w:u w:val="single"/>
        </w:rPr>
        <w:t>Additional standpipes are not required where all of the following conditions are met:</w:t>
      </w:r>
    </w:p>
    <w:p w14:paraId="6256C4C5" w14:textId="77777777" w:rsidR="001B7F77" w:rsidRPr="001B7F77" w:rsidRDefault="001B7F77" w:rsidP="001B7F77">
      <w:pPr>
        <w:suppressAutoHyphens/>
        <w:spacing w:before="120"/>
        <w:ind w:left="1440" w:hanging="360"/>
        <w:rPr>
          <w:color w:val="000000"/>
          <w:u w:val="single"/>
        </w:rPr>
      </w:pPr>
      <w:r w:rsidRPr="001B7F77">
        <w:rPr>
          <w:color w:val="000000"/>
          <w:u w:val="single"/>
        </w:rPr>
        <w:t>1.</w:t>
      </w:r>
      <w:r w:rsidRPr="001B7F77">
        <w:rPr>
          <w:color w:val="000000"/>
          <w:u w:val="single"/>
        </w:rPr>
        <w:tab/>
        <w:t>The alteration involves the addition of only one story;</w:t>
      </w:r>
    </w:p>
    <w:p w14:paraId="35C79E92" w14:textId="77777777" w:rsidR="001B7F77" w:rsidRPr="001B7F77" w:rsidRDefault="001B7F77" w:rsidP="001B7F77">
      <w:pPr>
        <w:suppressAutoHyphens/>
        <w:spacing w:before="120"/>
        <w:ind w:left="1440" w:hanging="360"/>
        <w:rPr>
          <w:color w:val="000000"/>
          <w:u w:val="single"/>
        </w:rPr>
      </w:pPr>
      <w:r w:rsidRPr="001B7F77">
        <w:rPr>
          <w:color w:val="000000"/>
          <w:u w:val="single"/>
        </w:rPr>
        <w:t>2.</w:t>
      </w:r>
      <w:r w:rsidRPr="001B7F77">
        <w:rPr>
          <w:color w:val="000000"/>
          <w:u w:val="single"/>
        </w:rPr>
        <w:tab/>
        <w:t xml:space="preserve">Existing standpipes in existing stair shafts are extended in accordance with Chapter 9 of the </w:t>
      </w:r>
      <w:r w:rsidRPr="001B7F77">
        <w:rPr>
          <w:i/>
          <w:iCs/>
          <w:color w:val="000000"/>
          <w:u w:val="single"/>
        </w:rPr>
        <w:t>New York City Building Code</w:t>
      </w:r>
      <w:r w:rsidRPr="001B7F77">
        <w:rPr>
          <w:color w:val="000000"/>
          <w:u w:val="single"/>
        </w:rPr>
        <w:t>;</w:t>
      </w:r>
    </w:p>
    <w:p w14:paraId="461B1B2F" w14:textId="77777777" w:rsidR="001B7F77" w:rsidRPr="001B7F77" w:rsidRDefault="001B7F77" w:rsidP="001B7F77">
      <w:pPr>
        <w:suppressAutoHyphens/>
        <w:spacing w:before="120"/>
        <w:ind w:left="1440" w:hanging="360"/>
        <w:rPr>
          <w:color w:val="000000"/>
          <w:u w:val="single"/>
        </w:rPr>
      </w:pPr>
      <w:r w:rsidRPr="001B7F77">
        <w:rPr>
          <w:color w:val="000000"/>
          <w:u w:val="single"/>
        </w:rPr>
        <w:t>3.</w:t>
      </w:r>
      <w:r w:rsidRPr="001B7F77">
        <w:rPr>
          <w:color w:val="000000"/>
          <w:u w:val="single"/>
        </w:rPr>
        <w:tab/>
        <w:t xml:space="preserve">Standpipe hose connections are provided in compliance with Section 905.4, Item 6 of the </w:t>
      </w:r>
      <w:r w:rsidRPr="001B7F77">
        <w:rPr>
          <w:i/>
          <w:iCs/>
          <w:color w:val="000000"/>
          <w:u w:val="single"/>
        </w:rPr>
        <w:t>New York City Building Code</w:t>
      </w:r>
      <w:r w:rsidRPr="001B7F77">
        <w:rPr>
          <w:color w:val="000000"/>
          <w:u w:val="single"/>
        </w:rPr>
        <w:t>; and</w:t>
      </w:r>
    </w:p>
    <w:p w14:paraId="18EEB33E" w14:textId="77777777" w:rsidR="001B7F77" w:rsidRPr="001B7F77" w:rsidRDefault="001B7F77" w:rsidP="001B7F77">
      <w:pPr>
        <w:suppressAutoHyphens/>
        <w:spacing w:before="120"/>
        <w:ind w:left="1440" w:hanging="360"/>
        <w:rPr>
          <w:color w:val="000000"/>
          <w:u w:val="single"/>
        </w:rPr>
      </w:pPr>
      <w:r w:rsidRPr="001B7F77">
        <w:rPr>
          <w:color w:val="000000"/>
          <w:u w:val="single"/>
        </w:rPr>
        <w:t>4.</w:t>
      </w:r>
      <w:r w:rsidRPr="001B7F77">
        <w:rPr>
          <w:color w:val="000000"/>
          <w:u w:val="single"/>
        </w:rPr>
        <w:tab/>
        <w:t>The demand on the standpipe system, including any additional demand, with respect to flow and pressure does not exceed the capacity of the existing approved system.</w:t>
      </w:r>
    </w:p>
    <w:p w14:paraId="185F0AD9" w14:textId="77777777" w:rsidR="001B7F77" w:rsidRPr="001B7F77" w:rsidRDefault="001B7F77" w:rsidP="001B7F77">
      <w:pPr>
        <w:suppressAutoHyphens/>
        <w:spacing w:before="120"/>
        <w:ind w:left="360"/>
        <w:rPr>
          <w:color w:val="000000"/>
          <w:u w:val="single"/>
        </w:rPr>
      </w:pPr>
      <w:r w:rsidRPr="001B7F77">
        <w:rPr>
          <w:rFonts w:eastAsia="Times"/>
          <w:b/>
          <w:color w:val="000000"/>
          <w:u w:val="single"/>
        </w:rPr>
        <w:t xml:space="preserve">1104.3.2 </w:t>
      </w:r>
      <w:r w:rsidRPr="001B7F77">
        <w:rPr>
          <w:b/>
          <w:color w:val="000000"/>
          <w:u w:val="single"/>
        </w:rPr>
        <w:t xml:space="preserve">Additions made to prior code buildings with no existing standpipe systems. </w:t>
      </w:r>
      <w:r w:rsidRPr="001B7F77">
        <w:rPr>
          <w:color w:val="000000"/>
          <w:u w:val="single"/>
        </w:rPr>
        <w:t xml:space="preserve">Where the alteration involves the addition of stories to a building with no existing standpipe system, standpipes shall be provided in all required stairways in accordance with Chapter 9 of the </w:t>
      </w:r>
      <w:r w:rsidRPr="001B7F77">
        <w:rPr>
          <w:i/>
          <w:iCs/>
          <w:color w:val="000000"/>
          <w:u w:val="single"/>
        </w:rPr>
        <w:t>New York City Building Code</w:t>
      </w:r>
      <w:r w:rsidRPr="001B7F77">
        <w:rPr>
          <w:color w:val="000000"/>
          <w:u w:val="single"/>
        </w:rPr>
        <w:t>.</w:t>
      </w:r>
    </w:p>
    <w:p w14:paraId="112FD896" w14:textId="77777777" w:rsidR="001B7F77" w:rsidRPr="001B7F77" w:rsidRDefault="001B7F77" w:rsidP="001B7F77">
      <w:pPr>
        <w:suppressAutoHyphens/>
        <w:spacing w:before="120"/>
        <w:ind w:left="720"/>
        <w:rPr>
          <w:color w:val="000000"/>
          <w:u w:val="single"/>
        </w:rPr>
      </w:pPr>
      <w:r w:rsidRPr="001B7F77">
        <w:rPr>
          <w:b/>
          <w:color w:val="000000"/>
          <w:u w:val="single"/>
        </w:rPr>
        <w:t xml:space="preserve">Exception: </w:t>
      </w:r>
      <w:r w:rsidRPr="001B7F77">
        <w:rPr>
          <w:color w:val="000000"/>
          <w:u w:val="single"/>
        </w:rPr>
        <w:t>Standpipes are not required where all of the following conditions are met:</w:t>
      </w:r>
    </w:p>
    <w:p w14:paraId="7394BD58" w14:textId="77777777" w:rsidR="001B7F77" w:rsidRPr="001B7F77" w:rsidRDefault="001B7F77" w:rsidP="001B7F77">
      <w:pPr>
        <w:suppressAutoHyphens/>
        <w:spacing w:before="120"/>
        <w:ind w:left="1440" w:hanging="360"/>
        <w:rPr>
          <w:color w:val="000000"/>
          <w:u w:val="single"/>
        </w:rPr>
      </w:pPr>
      <w:r w:rsidRPr="001B7F77">
        <w:rPr>
          <w:color w:val="000000"/>
          <w:u w:val="single"/>
        </w:rPr>
        <w:t>1.</w:t>
      </w:r>
      <w:r w:rsidRPr="001B7F77">
        <w:rPr>
          <w:color w:val="000000"/>
          <w:u w:val="single"/>
        </w:rPr>
        <w:tab/>
        <w:t>The alteration involves the addition of only one story;</w:t>
      </w:r>
    </w:p>
    <w:p w14:paraId="2C30C46B" w14:textId="77777777" w:rsidR="001B7F77" w:rsidRPr="001B7F77" w:rsidRDefault="001B7F77" w:rsidP="001B7F77">
      <w:pPr>
        <w:suppressAutoHyphens/>
        <w:spacing w:before="120"/>
        <w:ind w:left="1440" w:hanging="360"/>
        <w:rPr>
          <w:color w:val="000000"/>
          <w:u w:val="single"/>
        </w:rPr>
      </w:pPr>
      <w:r w:rsidRPr="001B7F77">
        <w:rPr>
          <w:color w:val="000000"/>
          <w:u w:val="single"/>
        </w:rPr>
        <w:t>2.</w:t>
      </w:r>
      <w:r w:rsidRPr="001B7F77">
        <w:rPr>
          <w:color w:val="000000"/>
          <w:u w:val="single"/>
        </w:rPr>
        <w:tab/>
        <w:t>The completed building does not exceed 6 stories; and</w:t>
      </w:r>
    </w:p>
    <w:p w14:paraId="65EC02A1" w14:textId="77777777" w:rsidR="001B7F77" w:rsidRPr="001B7F77" w:rsidRDefault="001B7F77" w:rsidP="001B7F77">
      <w:pPr>
        <w:suppressAutoHyphens/>
        <w:spacing w:before="120"/>
        <w:ind w:left="1440" w:hanging="360"/>
        <w:rPr>
          <w:color w:val="000000"/>
          <w:u w:val="single"/>
        </w:rPr>
      </w:pPr>
      <w:r w:rsidRPr="001B7F77">
        <w:rPr>
          <w:color w:val="000000"/>
          <w:u w:val="single"/>
        </w:rPr>
        <w:t>3.</w:t>
      </w:r>
      <w:r w:rsidRPr="001B7F77">
        <w:rPr>
          <w:color w:val="000000"/>
          <w:u w:val="single"/>
        </w:rPr>
        <w:tab/>
        <w:t>The completed building does not exceed 85 feet (22.86 m) in height.</w:t>
      </w:r>
    </w:p>
    <w:p w14:paraId="2A2DB873" w14:textId="77777777" w:rsidR="001B7F77" w:rsidRPr="001B7F77" w:rsidRDefault="001B7F77" w:rsidP="001B7F77">
      <w:pPr>
        <w:suppressAutoHyphens/>
        <w:spacing w:before="120"/>
        <w:rPr>
          <w:color w:val="000000"/>
          <w:u w:val="single"/>
        </w:rPr>
      </w:pPr>
      <w:bookmarkStart w:id="211" w:name="_Hlk150860749"/>
      <w:r w:rsidRPr="001B7F77">
        <w:rPr>
          <w:b/>
          <w:color w:val="000000"/>
          <w:u w:val="single"/>
        </w:rPr>
        <w:t xml:space="preserve">1104.4 Fire alarm requirements for additions made to buildings. </w:t>
      </w:r>
      <w:r w:rsidRPr="001B7F77">
        <w:rPr>
          <w:color w:val="000000"/>
          <w:u w:val="single"/>
        </w:rPr>
        <w:t>Fire alarm systems shall be provided in additions as required by Section 1104.1, and the existing building shall comply with Sections 1104.4.1 through 1104.4.3 as applicable. The fire alarm components for additions shall be connected to the fire alarm system serving the main use or dominant occupancy of the existing building.</w:t>
      </w:r>
    </w:p>
    <w:bookmarkEnd w:id="211"/>
    <w:p w14:paraId="3709E513" w14:textId="77777777" w:rsidR="001B7F77" w:rsidRPr="001B7F77" w:rsidRDefault="001B7F77" w:rsidP="001B7F77">
      <w:pPr>
        <w:suppressAutoHyphens/>
        <w:spacing w:before="120"/>
        <w:ind w:left="360"/>
        <w:rPr>
          <w:color w:val="000000"/>
          <w:u w:val="single"/>
        </w:rPr>
      </w:pPr>
      <w:r w:rsidRPr="001B7F77">
        <w:rPr>
          <w:rFonts w:eastAsia="Times"/>
          <w:b/>
          <w:color w:val="000000"/>
          <w:u w:val="single"/>
        </w:rPr>
        <w:t>1104.4.1</w:t>
      </w:r>
      <w:r w:rsidRPr="001B7F77">
        <w:rPr>
          <w:b/>
          <w:color w:val="000000"/>
          <w:u w:val="single"/>
        </w:rPr>
        <w:t xml:space="preserve"> Large-area buildings.</w:t>
      </w:r>
      <w:r w:rsidRPr="001B7F77">
        <w:rPr>
          <w:color w:val="000000"/>
          <w:u w:val="single"/>
        </w:rPr>
        <w:t xml:space="preserve"> Additions resulting in a large-area building shall comply with Sections 1104.4.1.1 and 1104.4.1.2.</w:t>
      </w:r>
    </w:p>
    <w:p w14:paraId="11A5E6D1" w14:textId="77777777" w:rsidR="001B7F77" w:rsidRPr="001B7F77" w:rsidRDefault="001B7F77" w:rsidP="001B7F77">
      <w:pPr>
        <w:suppressAutoHyphens/>
        <w:spacing w:before="120"/>
        <w:ind w:left="720"/>
        <w:rPr>
          <w:color w:val="000000"/>
          <w:u w:val="single"/>
        </w:rPr>
      </w:pPr>
      <w:bookmarkStart w:id="212" w:name="_Hlk150860678"/>
      <w:r w:rsidRPr="001B7F77">
        <w:rPr>
          <w:rFonts w:eastAsia="Times"/>
          <w:b/>
          <w:bCs/>
          <w:u w:val="single"/>
        </w:rPr>
        <w:t>1104.4.1.1 Fire alarm in large-area building.</w:t>
      </w:r>
      <w:r w:rsidRPr="001B7F77">
        <w:rPr>
          <w:rFonts w:eastAsia="Times"/>
          <w:u w:val="single"/>
        </w:rPr>
        <w:t xml:space="preserve"> </w:t>
      </w:r>
      <w:r w:rsidRPr="001B7F77">
        <w:rPr>
          <w:color w:val="000000"/>
          <w:u w:val="single"/>
        </w:rPr>
        <w:t xml:space="preserve">Where the addition results in the building being classified as a large-area building pursuant to Section 907.2.2.2, 907.2.7.1, 907.2.10.1 or 907.2.8.5 of the </w:t>
      </w:r>
      <w:r w:rsidRPr="001B7F77">
        <w:rPr>
          <w:i/>
          <w:iCs/>
          <w:color w:val="000000"/>
          <w:u w:val="single"/>
        </w:rPr>
        <w:t>New York City Building Code</w:t>
      </w:r>
      <w:r w:rsidRPr="001B7F77">
        <w:rPr>
          <w:color w:val="000000"/>
          <w:u w:val="single"/>
        </w:rPr>
        <w:t>, the fire alarm requirements of those sections shall apply to the entire building.</w:t>
      </w:r>
    </w:p>
    <w:bookmarkEnd w:id="212"/>
    <w:p w14:paraId="24949C65" w14:textId="77777777" w:rsidR="001B7F77" w:rsidRPr="001B7F77" w:rsidRDefault="001B7F77" w:rsidP="001B7F77">
      <w:pPr>
        <w:suppressAutoHyphens/>
        <w:spacing w:before="120"/>
        <w:ind w:left="720"/>
        <w:rPr>
          <w:rFonts w:eastAsia="Times"/>
          <w:u w:val="single"/>
        </w:rPr>
      </w:pPr>
      <w:r w:rsidRPr="001B7F77">
        <w:rPr>
          <w:rFonts w:eastAsia="Times"/>
          <w:b/>
          <w:bCs/>
          <w:u w:val="single"/>
        </w:rPr>
        <w:t>1104.4.1.2 Auxiliary radio communications systems in large-area buildings.</w:t>
      </w:r>
      <w:r w:rsidRPr="001B7F77">
        <w:rPr>
          <w:rFonts w:eastAsia="Times"/>
          <w:u w:val="single"/>
        </w:rPr>
        <w:t xml:space="preserve"> Where the addition results in the total building area exceeding 250,000 square feet </w:t>
      </w:r>
      <w:r w:rsidRPr="001B7F77">
        <w:rPr>
          <w:u w:val="single"/>
        </w:rPr>
        <w:t>(23 226 m</w:t>
      </w:r>
      <w:r w:rsidRPr="001B7F77">
        <w:rPr>
          <w:u w:val="single"/>
          <w:vertAlign w:val="superscript"/>
        </w:rPr>
        <w:t>2</w:t>
      </w:r>
      <w:r w:rsidRPr="001B7F77">
        <w:rPr>
          <w:u w:val="single"/>
        </w:rPr>
        <w:t>)</w:t>
      </w:r>
      <w:r w:rsidRPr="001B7F77">
        <w:rPr>
          <w:rFonts w:eastAsia="Times"/>
          <w:u w:val="single"/>
        </w:rPr>
        <w:t xml:space="preserve">, an auxiliary radio communication system in accordance with Section 916 of the </w:t>
      </w:r>
      <w:r w:rsidRPr="001B7F77">
        <w:rPr>
          <w:rFonts w:eastAsia="Times"/>
          <w:i/>
          <w:iCs/>
          <w:u w:val="single"/>
        </w:rPr>
        <w:t>New York City Building Code</w:t>
      </w:r>
      <w:r w:rsidRPr="001B7F77">
        <w:rPr>
          <w:rFonts w:eastAsia="Times"/>
          <w:u w:val="single"/>
        </w:rPr>
        <w:t xml:space="preserve"> shall be provided.</w:t>
      </w:r>
    </w:p>
    <w:p w14:paraId="74409891" w14:textId="77777777" w:rsidR="001B7F77" w:rsidRPr="001B7F77" w:rsidRDefault="001B7F77" w:rsidP="001B7F77">
      <w:pPr>
        <w:suppressAutoHyphens/>
        <w:spacing w:before="120"/>
        <w:ind w:left="1080"/>
        <w:rPr>
          <w:color w:val="000000"/>
          <w:u w:val="single"/>
        </w:rPr>
      </w:pPr>
      <w:bookmarkStart w:id="213" w:name="_Hlk133226236"/>
      <w:r w:rsidRPr="001B7F77">
        <w:rPr>
          <w:b/>
          <w:bCs/>
          <w:color w:val="000000"/>
          <w:u w:val="single"/>
        </w:rPr>
        <w:t>Exception.</w:t>
      </w:r>
      <w:r w:rsidRPr="001B7F77">
        <w:rPr>
          <w:color w:val="000000"/>
          <w:u w:val="single"/>
        </w:rPr>
        <w:t xml:space="preserve"> ARCS shall not be required in buildings constructed pursuant to building codes in effect prior to November 7, 2022, where the addition does not exceed 10 percent of the building area in existence or indicated on filed plans on or before </w:t>
      </w:r>
      <w:bookmarkEnd w:id="213"/>
      <w:r w:rsidRPr="001B7F77">
        <w:rPr>
          <w:color w:val="000000"/>
          <w:u w:val="single"/>
        </w:rPr>
        <w:t>such date.</w:t>
      </w:r>
    </w:p>
    <w:p w14:paraId="6D29F69F" w14:textId="77777777" w:rsidR="001B7F77" w:rsidRPr="001B7F77" w:rsidRDefault="001B7F77" w:rsidP="001B7F77">
      <w:pPr>
        <w:suppressAutoHyphens/>
        <w:spacing w:before="120"/>
        <w:ind w:left="360"/>
        <w:rPr>
          <w:u w:val="single"/>
        </w:rPr>
      </w:pPr>
      <w:r w:rsidRPr="001B7F77">
        <w:rPr>
          <w:rFonts w:eastAsia="Times"/>
          <w:b/>
          <w:color w:val="000000"/>
          <w:u w:val="single"/>
        </w:rPr>
        <w:t>1104.4.2</w:t>
      </w:r>
      <w:r w:rsidRPr="001B7F77">
        <w:rPr>
          <w:color w:val="000000"/>
          <w:u w:val="single"/>
        </w:rPr>
        <w:t xml:space="preserve"> </w:t>
      </w:r>
      <w:r w:rsidRPr="001B7F77">
        <w:rPr>
          <w:b/>
          <w:color w:val="000000"/>
          <w:u w:val="single"/>
        </w:rPr>
        <w:t xml:space="preserve">High-rise buildings. </w:t>
      </w:r>
      <w:r w:rsidRPr="001B7F77">
        <w:rPr>
          <w:color w:val="000000"/>
          <w:u w:val="single"/>
        </w:rPr>
        <w:t xml:space="preserve">Where the vertical addition to the existing building results in the building being classified as a high-rise building subject to Section 403 of the </w:t>
      </w:r>
      <w:r w:rsidRPr="001B7F77">
        <w:rPr>
          <w:i/>
          <w:iCs/>
          <w:color w:val="000000"/>
          <w:u w:val="single"/>
        </w:rPr>
        <w:t>New York City Building Code</w:t>
      </w:r>
      <w:r w:rsidRPr="001B7F77">
        <w:rPr>
          <w:color w:val="000000"/>
          <w:u w:val="single"/>
        </w:rPr>
        <w:t xml:space="preserve">, the fire alarm requirements of Section 907.2.13 of the </w:t>
      </w:r>
      <w:r w:rsidRPr="001B7F77">
        <w:rPr>
          <w:i/>
          <w:iCs/>
          <w:color w:val="000000"/>
          <w:u w:val="single"/>
        </w:rPr>
        <w:t>New York City Building Code</w:t>
      </w:r>
      <w:r w:rsidRPr="001B7F77">
        <w:rPr>
          <w:color w:val="000000"/>
          <w:u w:val="single"/>
        </w:rPr>
        <w:t xml:space="preserve"> shall apply to the entire building.</w:t>
      </w:r>
    </w:p>
    <w:p w14:paraId="7DE72D04" w14:textId="77777777" w:rsidR="001B7F77" w:rsidRPr="001B7F77" w:rsidRDefault="001B7F77" w:rsidP="001B7F77">
      <w:pPr>
        <w:suppressAutoHyphens/>
        <w:spacing w:before="120"/>
        <w:ind w:left="720"/>
        <w:rPr>
          <w:u w:val="single"/>
        </w:rPr>
      </w:pPr>
      <w:r w:rsidRPr="001B7F77">
        <w:rPr>
          <w:b/>
          <w:color w:val="000000"/>
          <w:u w:val="single"/>
        </w:rPr>
        <w:t xml:space="preserve">Exception. </w:t>
      </w:r>
      <w:r w:rsidRPr="001B7F77">
        <w:rPr>
          <w:color w:val="000000"/>
          <w:u w:val="single"/>
        </w:rPr>
        <w:t xml:space="preserve">In prior code buildings, compliance with Section 907.2.13 of the </w:t>
      </w:r>
      <w:r w:rsidRPr="001B7F77">
        <w:rPr>
          <w:i/>
          <w:iCs/>
          <w:color w:val="000000"/>
          <w:u w:val="single"/>
        </w:rPr>
        <w:t>New York City Building Code</w:t>
      </w:r>
      <w:r w:rsidRPr="001B7F77">
        <w:rPr>
          <w:color w:val="000000"/>
          <w:u w:val="single"/>
        </w:rPr>
        <w:t xml:space="preserve"> shall not be required where the vertical addition is limited to a penthouse level that does not exceed 33⅓ percent of the roof area including other rooftop structures in accordance with Section 504.3 of the </w:t>
      </w:r>
      <w:r w:rsidRPr="001B7F77">
        <w:rPr>
          <w:i/>
          <w:iCs/>
          <w:color w:val="000000"/>
          <w:u w:val="single"/>
        </w:rPr>
        <w:t>New York City Building Code</w:t>
      </w:r>
      <w:r w:rsidRPr="001B7F77">
        <w:rPr>
          <w:color w:val="000000"/>
          <w:u w:val="single"/>
        </w:rPr>
        <w:t>.</w:t>
      </w:r>
    </w:p>
    <w:p w14:paraId="28B6EB04" w14:textId="77777777" w:rsidR="001B7F77" w:rsidRPr="001B7F77" w:rsidRDefault="001B7F77" w:rsidP="001B7F77">
      <w:pPr>
        <w:suppressAutoHyphens/>
        <w:spacing w:before="120"/>
        <w:ind w:left="360"/>
        <w:rPr>
          <w:rFonts w:eastAsia="Times"/>
          <w:color w:val="000000"/>
          <w:szCs w:val="24"/>
          <w:u w:val="single"/>
        </w:rPr>
      </w:pPr>
      <w:r w:rsidRPr="001B7F77">
        <w:rPr>
          <w:rFonts w:eastAsia="Times"/>
          <w:b/>
          <w:color w:val="000000"/>
          <w:u w:val="single"/>
        </w:rPr>
        <w:t xml:space="preserve">1104.4.3 </w:t>
      </w:r>
      <w:r w:rsidRPr="001B7F77">
        <w:rPr>
          <w:b/>
          <w:color w:val="000000"/>
          <w:u w:val="single"/>
        </w:rPr>
        <w:t>Smoke and carbon monoxide alarm detection in existing portions of a building</w:t>
      </w:r>
      <w:r w:rsidRPr="001B7F77">
        <w:rPr>
          <w:rFonts w:eastAsia="Times"/>
          <w:color w:val="000000"/>
          <w:u w:val="single"/>
        </w:rPr>
        <w:t>.</w:t>
      </w:r>
      <w:r w:rsidRPr="001B7F77">
        <w:rPr>
          <w:rFonts w:eastAsia="Times"/>
          <w:color w:val="000000"/>
        </w:rPr>
        <w:t xml:space="preserve"> </w:t>
      </w:r>
      <w:r w:rsidRPr="001B7F77">
        <w:rPr>
          <w:rFonts w:eastAsia="Times"/>
          <w:color w:val="000000"/>
          <w:u w:val="single"/>
        </w:rPr>
        <w:t xml:space="preserve">Where an addition is made to a building or structure of a Group R-2 occupancy that constitutes a portion of a dwelling unit, the entire remaining portion of the dwelling unit shall be provided with smoke and carbon monoxide alarms as required by Chapter 9 of the </w:t>
      </w:r>
      <w:r w:rsidRPr="001B7F77">
        <w:rPr>
          <w:rFonts w:eastAsia="Times"/>
          <w:i/>
          <w:iCs/>
          <w:color w:val="000000"/>
          <w:u w:val="single"/>
        </w:rPr>
        <w:t>New York City Building Code</w:t>
      </w:r>
      <w:r w:rsidRPr="001B7F77">
        <w:rPr>
          <w:rFonts w:eastAsia="Times"/>
          <w:i/>
          <w:color w:val="000000"/>
          <w:u w:val="single"/>
        </w:rPr>
        <w:t>.</w:t>
      </w:r>
    </w:p>
    <w:p w14:paraId="0C62B5F9" w14:textId="77777777" w:rsidR="001B7F77" w:rsidRPr="001B7F77" w:rsidRDefault="001B7F77" w:rsidP="001B7F77">
      <w:pPr>
        <w:suppressAutoHyphens/>
        <w:spacing w:before="120"/>
        <w:rPr>
          <w:rFonts w:eastAsia="Times"/>
          <w:color w:val="000000"/>
        </w:rPr>
      </w:pPr>
      <w:r w:rsidRPr="001B7F77">
        <w:rPr>
          <w:rFonts w:eastAsia="Times"/>
          <w:b/>
          <w:color w:val="000000"/>
          <w:u w:val="single"/>
        </w:rPr>
        <w:t xml:space="preserve">1104.5 Other alteration work. </w:t>
      </w:r>
      <w:r w:rsidRPr="001B7F77">
        <w:rPr>
          <w:rFonts w:eastAsia="Times"/>
          <w:color w:val="000000"/>
          <w:u w:val="single"/>
        </w:rPr>
        <w:t>Any alteration work within an existing building to which an addition is being made shall comply with the fire protection requirements of Chapters 8 or 9 of this code, as applicable.</w:t>
      </w:r>
    </w:p>
    <w:p w14:paraId="41EBC9CE" w14:textId="77777777" w:rsidR="001B7F77" w:rsidRPr="001B7F77" w:rsidRDefault="001B7F77" w:rsidP="001B7F77">
      <w:pPr>
        <w:widowControl w:val="0"/>
        <w:suppressAutoHyphens/>
        <w:spacing w:before="120"/>
        <w:jc w:val="center"/>
        <w:outlineLvl w:val="0"/>
        <w:rPr>
          <w:rFonts w:eastAsia="Helvetica Neue"/>
          <w:b/>
          <w:color w:val="000000"/>
          <w:u w:val="single"/>
        </w:rPr>
      </w:pPr>
    </w:p>
    <w:p w14:paraId="0DA9AE18" w14:textId="77777777" w:rsidR="001B7F77" w:rsidRPr="001B7F77" w:rsidRDefault="001B7F77" w:rsidP="001B7F77">
      <w:pPr>
        <w:widowControl w:val="0"/>
        <w:suppressAutoHyphens/>
        <w:spacing w:before="120"/>
        <w:jc w:val="center"/>
        <w:outlineLvl w:val="0"/>
        <w:rPr>
          <w:rFonts w:eastAsia="Helvetica Neue"/>
          <w:b/>
          <w:color w:val="000000"/>
          <w:u w:val="single"/>
        </w:rPr>
      </w:pPr>
      <w:r w:rsidRPr="001B7F77">
        <w:rPr>
          <w:rFonts w:eastAsia="Helvetica Neue"/>
          <w:b/>
          <w:color w:val="000000"/>
          <w:u w:val="single"/>
        </w:rPr>
        <w:t>SECTION EBC 1105</w:t>
      </w:r>
      <w:r w:rsidRPr="001B7F77">
        <w:rPr>
          <w:rFonts w:eastAsia="Helvetica Neue"/>
          <w:b/>
          <w:color w:val="000000"/>
          <w:u w:val="single"/>
        </w:rPr>
        <w:br/>
        <w:t>MEANS OF EGRESS</w:t>
      </w:r>
    </w:p>
    <w:p w14:paraId="4188826B" w14:textId="77777777" w:rsidR="001B7F77" w:rsidRPr="001B7F77" w:rsidRDefault="001B7F77" w:rsidP="001B7F77">
      <w:pPr>
        <w:suppressAutoHyphens/>
        <w:spacing w:before="120"/>
        <w:rPr>
          <w:u w:val="single"/>
        </w:rPr>
      </w:pPr>
      <w:r w:rsidRPr="001B7F77">
        <w:rPr>
          <w:b/>
          <w:color w:val="000000"/>
          <w:u w:val="single"/>
        </w:rPr>
        <w:t>1105.1 General</w:t>
      </w:r>
      <w:r w:rsidRPr="001B7F77">
        <w:rPr>
          <w:color w:val="000000"/>
          <w:u w:val="single"/>
        </w:rPr>
        <w:t xml:space="preserve">. Means of egress from an addition to an existing building or structure shall comply with Chapter 10 of the </w:t>
      </w:r>
      <w:r w:rsidRPr="001B7F77">
        <w:rPr>
          <w:i/>
          <w:iCs/>
          <w:color w:val="000000"/>
          <w:u w:val="single"/>
        </w:rPr>
        <w:t>New York City Building Code</w:t>
      </w:r>
      <w:r w:rsidRPr="001B7F77">
        <w:rPr>
          <w:color w:val="000000"/>
          <w:u w:val="single"/>
        </w:rPr>
        <w:t xml:space="preserve"> and with this section. Means of egress from additions shall be permitted to utilize existing exit facilities of the building or structure in accordance with sections 1105.2 through 1105.3. Compliance with Chapter 10 of the </w:t>
      </w:r>
      <w:r w:rsidRPr="001B7F77">
        <w:rPr>
          <w:i/>
          <w:iCs/>
          <w:color w:val="000000"/>
          <w:u w:val="single"/>
        </w:rPr>
        <w:t>New York City Building Code</w:t>
      </w:r>
      <w:r w:rsidRPr="001B7F77">
        <w:rPr>
          <w:color w:val="000000"/>
          <w:u w:val="single"/>
        </w:rPr>
        <w:t xml:space="preserve"> for the new addition’s means of egress shall not conflict with the safe use of the existing egress facilities.</w:t>
      </w:r>
    </w:p>
    <w:p w14:paraId="2D002973" w14:textId="77777777" w:rsidR="001B7F77" w:rsidRPr="001B7F77" w:rsidRDefault="001B7F77" w:rsidP="001B7F77">
      <w:pPr>
        <w:suppressAutoHyphens/>
        <w:spacing w:before="120"/>
        <w:rPr>
          <w:color w:val="000000"/>
        </w:rPr>
      </w:pPr>
      <w:r w:rsidRPr="001B7F77">
        <w:rPr>
          <w:b/>
          <w:color w:val="000000"/>
          <w:u w:val="single"/>
        </w:rPr>
        <w:t xml:space="preserve">1105.2 The addition does not increase the existing floor surface area by more than 110 percent. </w:t>
      </w:r>
      <w:r w:rsidRPr="001B7F77">
        <w:rPr>
          <w:color w:val="000000"/>
          <w:u w:val="single"/>
        </w:rPr>
        <w:t>Where the addition including alteration made to the building does not exceed the existing floor surface area by more than 110 percent pursuant to Section 302.7, the existing exit facilities shall be permitted to be utilized by the new addition to discharge onto the outside, subject to Sections 1105.2.1 and 1005.2.2. Such existing exit facilities shall be in compliance with the terms of their approval prior to the proposed addition.</w:t>
      </w:r>
    </w:p>
    <w:p w14:paraId="7A42EDCD" w14:textId="77777777" w:rsidR="001B7F77" w:rsidRPr="001B7F77" w:rsidRDefault="001B7F77" w:rsidP="001B7F77">
      <w:pPr>
        <w:suppressAutoHyphens/>
        <w:spacing w:before="120"/>
        <w:ind w:left="360"/>
        <w:rPr>
          <w:color w:val="000000"/>
        </w:rPr>
      </w:pPr>
      <w:r w:rsidRPr="001B7F77">
        <w:rPr>
          <w:b/>
          <w:color w:val="000000"/>
          <w:u w:val="single"/>
        </w:rPr>
        <w:t xml:space="preserve">1105.2.1. Prior code buildings. </w:t>
      </w:r>
      <w:r w:rsidRPr="001B7F77">
        <w:rPr>
          <w:color w:val="000000"/>
          <w:u w:val="single"/>
        </w:rPr>
        <w:t xml:space="preserve">Means of egress components serving the addition shall comply with Chapter 10 of the </w:t>
      </w:r>
      <w:r w:rsidRPr="001B7F77">
        <w:rPr>
          <w:i/>
          <w:iCs/>
          <w:color w:val="000000"/>
          <w:u w:val="single"/>
        </w:rPr>
        <w:t>New York City Building Code</w:t>
      </w:r>
      <w:r w:rsidRPr="001B7F77">
        <w:rPr>
          <w:color w:val="000000"/>
          <w:u w:val="single"/>
        </w:rPr>
        <w:t xml:space="preserve"> or as permitted by Section 305.5.</w:t>
      </w:r>
    </w:p>
    <w:p w14:paraId="74A9C72F" w14:textId="77777777" w:rsidR="001B7F77" w:rsidRPr="001B7F77" w:rsidRDefault="001B7F77" w:rsidP="001B7F77">
      <w:pPr>
        <w:suppressAutoHyphens/>
        <w:spacing w:before="120"/>
        <w:ind w:left="720"/>
        <w:rPr>
          <w:color w:val="000000"/>
          <w:u w:val="single"/>
        </w:rPr>
      </w:pPr>
      <w:r w:rsidRPr="001B7F77">
        <w:rPr>
          <w:b/>
          <w:color w:val="000000"/>
          <w:u w:val="single"/>
        </w:rPr>
        <w:t>1105.2.1.1</w:t>
      </w:r>
      <w:r w:rsidRPr="001B7F77">
        <w:rPr>
          <w:color w:val="000000"/>
          <w:u w:val="single"/>
        </w:rPr>
        <w:t xml:space="preserve"> </w:t>
      </w:r>
      <w:r w:rsidRPr="001B7F77">
        <w:rPr>
          <w:b/>
          <w:color w:val="000000"/>
          <w:u w:val="single"/>
        </w:rPr>
        <w:t xml:space="preserve">Vertical exits. </w:t>
      </w:r>
      <w:r w:rsidRPr="001B7F77">
        <w:rPr>
          <w:color w:val="000000"/>
          <w:u w:val="single"/>
        </w:rPr>
        <w:t>In prior code buildings, existing vertical exits may be extended to serve the addition, maintaining its width, in compliance with Section 305.5 provided the occupant load of the new addition shall not exceed the capacity of the existing stairs.</w:t>
      </w:r>
    </w:p>
    <w:p w14:paraId="304B3DB4" w14:textId="77777777" w:rsidR="001B7F77" w:rsidRPr="001B7F77" w:rsidRDefault="001B7F77" w:rsidP="001B7F77">
      <w:pPr>
        <w:suppressAutoHyphens/>
        <w:spacing w:before="120"/>
        <w:ind w:left="360"/>
        <w:rPr>
          <w:color w:val="000000"/>
          <w:u w:val="single"/>
        </w:rPr>
      </w:pPr>
      <w:r w:rsidRPr="001B7F77">
        <w:rPr>
          <w:b/>
          <w:color w:val="000000"/>
          <w:u w:val="single"/>
        </w:rPr>
        <w:t>1105.2.2 Horizontal additions.</w:t>
      </w:r>
      <w:r w:rsidRPr="001B7F77">
        <w:rPr>
          <w:color w:val="000000"/>
          <w:u w:val="single"/>
        </w:rPr>
        <w:t xml:space="preserve"> Where the horizontal addition contains a new egress stair, such stair shall comply with Chapter 10 of the </w:t>
      </w:r>
      <w:r w:rsidRPr="001B7F77">
        <w:rPr>
          <w:i/>
          <w:iCs/>
          <w:color w:val="000000"/>
          <w:u w:val="single"/>
        </w:rPr>
        <w:t>New York City Building Code</w:t>
      </w:r>
      <w:r w:rsidRPr="001B7F77">
        <w:rPr>
          <w:color w:val="000000"/>
          <w:u w:val="single"/>
        </w:rPr>
        <w:t>. The new addition shall be permitted to utilize the additional exit facilities provided in the existing portion of the building. Where such existing building is a prior code building, use of existing means of egress shall be permitted to comply with Section 305.5.</w:t>
      </w:r>
    </w:p>
    <w:p w14:paraId="518ADDF5" w14:textId="77777777" w:rsidR="001B7F77" w:rsidRPr="001B7F77" w:rsidRDefault="001B7F77" w:rsidP="001B7F77">
      <w:pPr>
        <w:suppressAutoHyphens/>
        <w:spacing w:before="120"/>
        <w:rPr>
          <w:color w:val="000000"/>
          <w:u w:val="single"/>
        </w:rPr>
      </w:pPr>
      <w:r w:rsidRPr="001B7F77">
        <w:rPr>
          <w:b/>
          <w:color w:val="000000"/>
          <w:u w:val="single"/>
        </w:rPr>
        <w:t xml:space="preserve">1105.3 Work that increases existing floor surface area of an existing building by more than 110 percent. </w:t>
      </w:r>
      <w:r w:rsidRPr="001B7F77">
        <w:rPr>
          <w:color w:val="000000"/>
          <w:u w:val="single"/>
        </w:rPr>
        <w:t xml:space="preserve">Where the addition including alteration made to the building involves an increase in the floor surface area by more than 110 percent, as per Section 1101.4, the entire means of egress system for the building including the addition shall comply with Chapter 10 of the </w:t>
      </w:r>
      <w:r w:rsidRPr="001B7F77">
        <w:rPr>
          <w:i/>
          <w:iCs/>
          <w:color w:val="000000"/>
          <w:u w:val="single"/>
        </w:rPr>
        <w:t>New York City Building Code</w:t>
      </w:r>
      <w:r w:rsidRPr="001B7F77">
        <w:rPr>
          <w:color w:val="000000"/>
          <w:u w:val="single"/>
        </w:rPr>
        <w:t xml:space="preserve"> as if hereafter erected.</w:t>
      </w:r>
    </w:p>
    <w:p w14:paraId="5771E95A" w14:textId="77777777" w:rsidR="001B7F77" w:rsidRPr="001B7F77" w:rsidRDefault="001B7F77" w:rsidP="001B7F77">
      <w:pPr>
        <w:suppressAutoHyphens/>
        <w:spacing w:before="120"/>
        <w:ind w:left="360"/>
        <w:rPr>
          <w:color w:val="000000"/>
          <w:u w:val="single"/>
        </w:rPr>
      </w:pPr>
      <w:r w:rsidRPr="001B7F77">
        <w:rPr>
          <w:b/>
          <w:color w:val="000000"/>
          <w:u w:val="single"/>
        </w:rPr>
        <w:t>Exception.</w:t>
      </w:r>
      <w:r w:rsidRPr="001B7F77">
        <w:rPr>
          <w:color w:val="000000"/>
          <w:u w:val="single"/>
        </w:rPr>
        <w:t xml:space="preserve"> The existing means of egress need not be altered to meet the requirements of Chapter 10 of the </w:t>
      </w:r>
      <w:r w:rsidRPr="001B7F77">
        <w:rPr>
          <w:i/>
          <w:iCs/>
          <w:color w:val="000000"/>
          <w:u w:val="single"/>
        </w:rPr>
        <w:t>New York City Building Code</w:t>
      </w:r>
      <w:r w:rsidRPr="001B7F77">
        <w:rPr>
          <w:color w:val="000000"/>
          <w:u w:val="single"/>
        </w:rPr>
        <w:t xml:space="preserve"> as hereafter erected where the horizontal addition made to the existing building acts as an independent building section meeting all the following conditions:</w:t>
      </w:r>
    </w:p>
    <w:p w14:paraId="48120A5F" w14:textId="77777777" w:rsidR="001B7F77" w:rsidRPr="001B7F77" w:rsidRDefault="001B7F77" w:rsidP="0001508F">
      <w:pPr>
        <w:widowControl w:val="0"/>
        <w:numPr>
          <w:ilvl w:val="0"/>
          <w:numId w:val="29"/>
        </w:numPr>
        <w:suppressAutoHyphens/>
        <w:kinsoku w:val="0"/>
        <w:spacing w:before="120"/>
        <w:ind w:left="1080"/>
        <w:jc w:val="left"/>
        <w:rPr>
          <w:u w:val="single"/>
        </w:rPr>
      </w:pPr>
      <w:r w:rsidRPr="001B7F77">
        <w:rPr>
          <w:color w:val="000000"/>
          <w:u w:val="single"/>
        </w:rPr>
        <w:t>The horizontal addition is provided with means of egress independent of the existing building;</w:t>
      </w:r>
    </w:p>
    <w:p w14:paraId="7724AED5" w14:textId="77777777" w:rsidR="001B7F77" w:rsidRPr="001B7F77" w:rsidRDefault="001B7F77" w:rsidP="0001508F">
      <w:pPr>
        <w:widowControl w:val="0"/>
        <w:numPr>
          <w:ilvl w:val="0"/>
          <w:numId w:val="29"/>
        </w:numPr>
        <w:suppressAutoHyphens/>
        <w:kinsoku w:val="0"/>
        <w:spacing w:before="120"/>
        <w:ind w:left="1080"/>
        <w:jc w:val="left"/>
        <w:rPr>
          <w:u w:val="single"/>
        </w:rPr>
      </w:pPr>
      <w:r w:rsidRPr="001B7F77">
        <w:rPr>
          <w:color w:val="000000"/>
          <w:u w:val="single"/>
        </w:rPr>
        <w:t>The horizontal addition is separated from the existing building by a minimum of two-hour rated fire barrier; and</w:t>
      </w:r>
    </w:p>
    <w:p w14:paraId="555416CA" w14:textId="77777777" w:rsidR="001B7F77" w:rsidRPr="001B7F77" w:rsidRDefault="001B7F77" w:rsidP="0001508F">
      <w:pPr>
        <w:widowControl w:val="0"/>
        <w:numPr>
          <w:ilvl w:val="0"/>
          <w:numId w:val="29"/>
        </w:numPr>
        <w:suppressAutoHyphens/>
        <w:kinsoku w:val="0"/>
        <w:spacing w:before="120"/>
        <w:ind w:left="1080"/>
        <w:jc w:val="left"/>
        <w:rPr>
          <w:u w:val="single"/>
        </w:rPr>
      </w:pPr>
      <w:r w:rsidRPr="001B7F77">
        <w:rPr>
          <w:color w:val="000000"/>
          <w:u w:val="single"/>
        </w:rPr>
        <w:t xml:space="preserve">The horizontal addition complies with all applicable fire protection requirements of Chapter 9 of the </w:t>
      </w:r>
      <w:r w:rsidRPr="001B7F77">
        <w:rPr>
          <w:i/>
          <w:iCs/>
          <w:color w:val="000000"/>
          <w:u w:val="single"/>
        </w:rPr>
        <w:t>New York City Building Code</w:t>
      </w:r>
      <w:r w:rsidRPr="001B7F77">
        <w:rPr>
          <w:color w:val="000000"/>
          <w:u w:val="single"/>
        </w:rPr>
        <w:t>.</w:t>
      </w:r>
    </w:p>
    <w:p w14:paraId="15FB3580" w14:textId="77777777" w:rsidR="001B7F77" w:rsidRPr="001B7F77" w:rsidRDefault="001B7F77" w:rsidP="001B7F77">
      <w:pPr>
        <w:widowControl w:val="0"/>
        <w:suppressAutoHyphens/>
        <w:spacing w:before="120"/>
        <w:jc w:val="center"/>
        <w:outlineLvl w:val="0"/>
        <w:rPr>
          <w:b/>
          <w:color w:val="000000"/>
          <w:u w:val="single"/>
        </w:rPr>
      </w:pPr>
    </w:p>
    <w:p w14:paraId="61403B7A" w14:textId="77777777" w:rsidR="001B7F77" w:rsidRPr="001B7F77" w:rsidRDefault="001B7F77" w:rsidP="001B7F77">
      <w:pPr>
        <w:widowControl w:val="0"/>
        <w:suppressAutoHyphens/>
        <w:spacing w:before="120"/>
        <w:jc w:val="center"/>
        <w:outlineLvl w:val="0"/>
        <w:rPr>
          <w:b/>
          <w:color w:val="000000"/>
          <w:u w:val="single"/>
        </w:rPr>
      </w:pPr>
      <w:r w:rsidRPr="001B7F77">
        <w:rPr>
          <w:b/>
          <w:color w:val="000000"/>
          <w:u w:val="single"/>
        </w:rPr>
        <w:t>SECTION EBC 1106</w:t>
      </w:r>
      <w:r w:rsidRPr="001B7F77">
        <w:rPr>
          <w:b/>
          <w:color w:val="000000"/>
          <w:u w:val="single"/>
        </w:rPr>
        <w:br/>
        <w:t>ACCESSIBILITY</w:t>
      </w:r>
    </w:p>
    <w:p w14:paraId="78369833" w14:textId="77777777" w:rsidR="001B7F77" w:rsidRPr="001B7F77" w:rsidRDefault="001B7F77" w:rsidP="001B7F77">
      <w:pPr>
        <w:tabs>
          <w:tab w:val="left" w:pos="11520"/>
          <w:tab w:val="left" w:pos="12240"/>
          <w:tab w:val="left" w:pos="12960"/>
        </w:tabs>
        <w:suppressAutoHyphens/>
        <w:spacing w:before="120"/>
        <w:rPr>
          <w:rFonts w:eastAsia="Times"/>
          <w:color w:val="000000"/>
        </w:rPr>
      </w:pPr>
      <w:r w:rsidRPr="001B7F77">
        <w:rPr>
          <w:rFonts w:eastAsia="Times"/>
          <w:b/>
          <w:color w:val="000000"/>
          <w:u w:val="single"/>
        </w:rPr>
        <w:t xml:space="preserve">1106.1 Minimum requirements. </w:t>
      </w:r>
      <w:r w:rsidRPr="001B7F77">
        <w:rPr>
          <w:rFonts w:eastAsia="Times"/>
          <w:color w:val="000000"/>
          <w:u w:val="single"/>
        </w:rPr>
        <w:t xml:space="preserve">Accessibility provisions of Chapter 11 of the </w:t>
      </w:r>
      <w:r w:rsidRPr="001B7F77">
        <w:rPr>
          <w:rFonts w:eastAsia="Times"/>
          <w:i/>
          <w:iCs/>
          <w:color w:val="000000"/>
          <w:u w:val="single"/>
        </w:rPr>
        <w:t>New York City Building Code</w:t>
      </w:r>
      <w:r w:rsidRPr="001B7F77">
        <w:rPr>
          <w:rFonts w:eastAsia="Times"/>
          <w:color w:val="000000"/>
          <w:u w:val="single"/>
        </w:rPr>
        <w:t xml:space="preserve"> for new construction shall apply to additions. An addition that affects the accessibility to, or contains an area of, primary function shall also comply with the requirements of Sections 806 and 906, as applicable.</w:t>
      </w:r>
    </w:p>
    <w:p w14:paraId="6179D768" w14:textId="77777777" w:rsidR="001B7F77" w:rsidRPr="001B7F77" w:rsidRDefault="001B7F77" w:rsidP="001B7F77">
      <w:pPr>
        <w:tabs>
          <w:tab w:val="left" w:pos="11520"/>
          <w:tab w:val="left" w:pos="12240"/>
          <w:tab w:val="left" w:pos="12960"/>
        </w:tabs>
        <w:suppressAutoHyphens/>
        <w:spacing w:before="120"/>
      </w:pPr>
      <w:r w:rsidRPr="001B7F77">
        <w:rPr>
          <w:rFonts w:eastAsia="Times"/>
          <w:b/>
          <w:color w:val="000000"/>
          <w:u w:val="single"/>
        </w:rPr>
        <w:t>1106.2</w:t>
      </w:r>
      <w:r w:rsidRPr="001B7F77">
        <w:rPr>
          <w:rFonts w:eastAsia="Times"/>
          <w:color w:val="000000"/>
          <w:u w:val="single"/>
        </w:rPr>
        <w:t xml:space="preserve"> </w:t>
      </w:r>
      <w:r w:rsidRPr="001B7F77">
        <w:rPr>
          <w:rFonts w:eastAsia="Times"/>
          <w:b/>
          <w:color w:val="000000"/>
          <w:u w:val="single"/>
        </w:rPr>
        <w:t xml:space="preserve">Additions requiring accessibility throughout a building. </w:t>
      </w:r>
      <w:r w:rsidRPr="001B7F77">
        <w:rPr>
          <w:rFonts w:eastAsia="Times"/>
          <w:color w:val="000000"/>
          <w:u w:val="single"/>
        </w:rPr>
        <w:t xml:space="preserve">In accordance with Section 1101.4 of this code, </w:t>
      </w:r>
      <w:r w:rsidRPr="001B7F77">
        <w:rPr>
          <w:u w:val="single"/>
        </w:rPr>
        <w:t xml:space="preserve">where an addition, including any alteration made to the building, increases the existing floor surface area of the existing building by more than 110 percent, the entire building shall be made to comply with Chapter 11 of the </w:t>
      </w:r>
      <w:r w:rsidRPr="001B7F77">
        <w:rPr>
          <w:i/>
          <w:iCs/>
          <w:u w:val="single"/>
        </w:rPr>
        <w:t>New York City Building Code</w:t>
      </w:r>
      <w:r w:rsidRPr="001B7F77">
        <w:rPr>
          <w:u w:val="single"/>
        </w:rPr>
        <w:t xml:space="preserve"> as if it were new construction hereafter erected.</w:t>
      </w:r>
      <w:r w:rsidRPr="001B7F77">
        <w:t xml:space="preserve"> </w:t>
      </w:r>
    </w:p>
    <w:p w14:paraId="1A49ACCA" w14:textId="77777777" w:rsidR="001B7F77" w:rsidRPr="001B7F77" w:rsidRDefault="001B7F77" w:rsidP="001B7F77">
      <w:pPr>
        <w:widowControl w:val="0"/>
        <w:suppressAutoHyphens/>
        <w:spacing w:before="120"/>
        <w:jc w:val="center"/>
        <w:outlineLvl w:val="0"/>
        <w:rPr>
          <w:b/>
          <w:color w:val="000000"/>
          <w:u w:val="single"/>
        </w:rPr>
      </w:pPr>
    </w:p>
    <w:p w14:paraId="17768C77" w14:textId="77777777" w:rsidR="001B7F77" w:rsidRPr="001B7F77" w:rsidRDefault="001B7F77" w:rsidP="001B7F77">
      <w:pPr>
        <w:widowControl w:val="0"/>
        <w:suppressAutoHyphens/>
        <w:spacing w:before="120"/>
        <w:jc w:val="center"/>
        <w:outlineLvl w:val="0"/>
        <w:rPr>
          <w:b/>
          <w:color w:val="000000"/>
          <w:u w:val="single"/>
        </w:rPr>
      </w:pPr>
      <w:r w:rsidRPr="001B7F77">
        <w:rPr>
          <w:b/>
          <w:color w:val="000000"/>
          <w:u w:val="single"/>
        </w:rPr>
        <w:t xml:space="preserve">SECTION EBC </w:t>
      </w:r>
      <w:r w:rsidRPr="001B7F77">
        <w:rPr>
          <w:rFonts w:eastAsia="Helvetica Neue"/>
          <w:b/>
          <w:color w:val="000000"/>
          <w:u w:val="single"/>
        </w:rPr>
        <w:t>1107</w:t>
      </w:r>
      <w:r w:rsidRPr="001B7F77">
        <w:rPr>
          <w:b/>
          <w:color w:val="000000"/>
          <w:u w:val="single"/>
        </w:rPr>
        <w:br/>
        <w:t>ENERGY CONSERVATION</w:t>
      </w:r>
    </w:p>
    <w:p w14:paraId="39F764DB" w14:textId="77777777" w:rsidR="001B7F77" w:rsidRPr="001B7F77" w:rsidRDefault="001B7F77" w:rsidP="001B7F77">
      <w:pPr>
        <w:tabs>
          <w:tab w:val="left" w:pos="11520"/>
          <w:tab w:val="left" w:pos="12240"/>
          <w:tab w:val="left" w:pos="12960"/>
        </w:tabs>
        <w:suppressAutoHyphens/>
        <w:spacing w:before="120"/>
        <w:rPr>
          <w:rFonts w:eastAsia="Times"/>
          <w:color w:val="000000"/>
        </w:rPr>
      </w:pPr>
      <w:r w:rsidRPr="001B7F77">
        <w:rPr>
          <w:rFonts w:eastAsia="Times"/>
          <w:b/>
          <w:color w:val="000000"/>
          <w:u w:val="single"/>
        </w:rPr>
        <w:t xml:space="preserve">1107.1 Minimum requirements. </w:t>
      </w:r>
      <w:r w:rsidRPr="001B7F77">
        <w:rPr>
          <w:rFonts w:eastAsia="Times"/>
          <w:color w:val="000000"/>
          <w:u w:val="single"/>
        </w:rPr>
        <w:t xml:space="preserve">Additions to existing buildings shall conform to the energy requirements of the </w:t>
      </w:r>
      <w:r w:rsidRPr="001B7F77">
        <w:rPr>
          <w:rFonts w:eastAsia="Times"/>
          <w:i/>
          <w:iCs/>
          <w:color w:val="000000"/>
          <w:u w:val="single"/>
        </w:rPr>
        <w:t>New York City Energy Conservation Code</w:t>
      </w:r>
      <w:r w:rsidRPr="001B7F77">
        <w:rPr>
          <w:rFonts w:eastAsia="Times"/>
          <w:color w:val="000000"/>
          <w:u w:val="single"/>
        </w:rPr>
        <w:t xml:space="preserve"> as they relate to new construction.</w:t>
      </w:r>
    </w:p>
    <w:p w14:paraId="62E5052A" w14:textId="77777777" w:rsidR="001B7F77" w:rsidRPr="001B7F77" w:rsidRDefault="001B7F77" w:rsidP="001B7F77">
      <w:pPr>
        <w:widowControl w:val="0"/>
        <w:suppressAutoHyphens/>
        <w:spacing w:before="120"/>
        <w:jc w:val="center"/>
        <w:outlineLvl w:val="0"/>
        <w:rPr>
          <w:b/>
          <w:color w:val="000000"/>
          <w:u w:val="single"/>
        </w:rPr>
      </w:pPr>
    </w:p>
    <w:p w14:paraId="070413C6" w14:textId="77777777" w:rsidR="001B7F77" w:rsidRPr="001B7F77" w:rsidRDefault="001B7F77" w:rsidP="001B7F77">
      <w:pPr>
        <w:widowControl w:val="0"/>
        <w:suppressAutoHyphens/>
        <w:spacing w:before="120"/>
        <w:jc w:val="center"/>
        <w:outlineLvl w:val="0"/>
        <w:rPr>
          <w:b/>
          <w:color w:val="000000"/>
          <w:u w:val="single"/>
        </w:rPr>
      </w:pPr>
      <w:r w:rsidRPr="001B7F77">
        <w:rPr>
          <w:b/>
          <w:color w:val="000000"/>
          <w:u w:val="single"/>
        </w:rPr>
        <w:t>SECTION EBC 1108</w:t>
      </w:r>
      <w:r w:rsidRPr="001B7F77">
        <w:rPr>
          <w:b/>
          <w:color w:val="000000"/>
          <w:u w:val="single"/>
        </w:rPr>
        <w:br/>
        <w:t>OTHER BUILDING SYSTEMS</w:t>
      </w:r>
    </w:p>
    <w:p w14:paraId="42773B8A" w14:textId="77777777" w:rsidR="001B7F77" w:rsidRPr="001B7F77" w:rsidRDefault="001B7F77" w:rsidP="001B7F77">
      <w:pPr>
        <w:suppressAutoHyphens/>
        <w:spacing w:before="120"/>
        <w:rPr>
          <w:rFonts w:eastAsia="Arial"/>
          <w:color w:val="000000"/>
        </w:rPr>
      </w:pPr>
      <w:r w:rsidRPr="001B7F77">
        <w:rPr>
          <w:b/>
          <w:color w:val="000000"/>
          <w:u w:val="single"/>
        </w:rPr>
        <w:t>1108.1 General</w:t>
      </w:r>
      <w:r w:rsidRPr="001B7F77">
        <w:rPr>
          <w:rFonts w:eastAsia="Arial"/>
          <w:b/>
          <w:color w:val="000000"/>
          <w:u w:val="single"/>
        </w:rPr>
        <w:t xml:space="preserve">. </w:t>
      </w:r>
      <w:r w:rsidRPr="001B7F77">
        <w:rPr>
          <w:color w:val="000000"/>
          <w:u w:val="single"/>
        </w:rPr>
        <w:t>Additions to building systems, elements and components in existing buildings shall be subject to Sections 1108.2 through 1108.6.</w:t>
      </w:r>
    </w:p>
    <w:p w14:paraId="73340834" w14:textId="77777777" w:rsidR="001B7F77" w:rsidRPr="001B7F77" w:rsidRDefault="001B7F77" w:rsidP="001B7F77">
      <w:pPr>
        <w:suppressAutoHyphens/>
        <w:spacing w:before="120"/>
        <w:rPr>
          <w:color w:val="000000"/>
          <w:u w:val="single"/>
        </w:rPr>
      </w:pPr>
      <w:r w:rsidRPr="001B7F77">
        <w:rPr>
          <w:b/>
          <w:color w:val="000000"/>
          <w:u w:val="single"/>
        </w:rPr>
        <w:t>1108.2 Plumbing.</w:t>
      </w:r>
      <w:r w:rsidRPr="001B7F77">
        <w:rPr>
          <w:color w:val="000000"/>
          <w:u w:val="single"/>
        </w:rPr>
        <w:t xml:space="preserve"> Where additions are made to existing buildings, the alterations and additions to plumbing systems, equipment and appliances shall be in accordance with the </w:t>
      </w:r>
      <w:r w:rsidRPr="001B7F77">
        <w:rPr>
          <w:i/>
          <w:iCs/>
          <w:color w:val="000000"/>
          <w:u w:val="single"/>
        </w:rPr>
        <w:t>New York City Plumbing Code</w:t>
      </w:r>
      <w:r w:rsidRPr="001B7F77">
        <w:rPr>
          <w:color w:val="000000"/>
          <w:u w:val="single"/>
        </w:rPr>
        <w:t xml:space="preserve"> and this code, as required by Section 310.</w:t>
      </w:r>
    </w:p>
    <w:p w14:paraId="2E2BA263" w14:textId="77777777" w:rsidR="001B7F77" w:rsidRPr="001B7F77" w:rsidRDefault="001B7F77" w:rsidP="001B7F77">
      <w:pPr>
        <w:suppressAutoHyphens/>
        <w:spacing w:before="120"/>
      </w:pPr>
      <w:r w:rsidRPr="001B7F77">
        <w:rPr>
          <w:b/>
          <w:color w:val="000000"/>
          <w:u w:val="single"/>
        </w:rPr>
        <w:t xml:space="preserve">1108.3 Fuel gas. </w:t>
      </w:r>
      <w:r w:rsidRPr="001B7F77">
        <w:rPr>
          <w:u w:val="single"/>
        </w:rPr>
        <w:t>Where a</w:t>
      </w:r>
      <w:r w:rsidRPr="001B7F77">
        <w:rPr>
          <w:color w:val="000000"/>
          <w:u w:val="single"/>
        </w:rPr>
        <w:t xml:space="preserve">dditions are made to existing buildings, </w:t>
      </w:r>
      <w:r w:rsidRPr="001B7F77">
        <w:rPr>
          <w:u w:val="single"/>
        </w:rPr>
        <w:t xml:space="preserve">the alterations and additions to fuel gas piping systems, equipment and appliances shall be in accordance with the </w:t>
      </w:r>
      <w:r w:rsidRPr="001B7F77">
        <w:rPr>
          <w:i/>
          <w:iCs/>
          <w:u w:val="single"/>
        </w:rPr>
        <w:t>New York City Fuel Gas Code</w:t>
      </w:r>
      <w:r w:rsidRPr="001B7F77">
        <w:rPr>
          <w:u w:val="single"/>
        </w:rPr>
        <w:t xml:space="preserve"> and this code, as required by Section 311.</w:t>
      </w:r>
    </w:p>
    <w:p w14:paraId="5B016E3B" w14:textId="77777777" w:rsidR="001B7F77" w:rsidRPr="001B7F77" w:rsidRDefault="001B7F77" w:rsidP="001B7F77">
      <w:pPr>
        <w:suppressAutoHyphens/>
        <w:spacing w:before="120"/>
      </w:pPr>
      <w:r w:rsidRPr="001B7F77">
        <w:rPr>
          <w:b/>
          <w:u w:val="single"/>
        </w:rPr>
        <w:t>1108.4 Mechanical</w:t>
      </w:r>
      <w:r w:rsidRPr="001B7F77">
        <w:rPr>
          <w:u w:val="single"/>
        </w:rPr>
        <w:t xml:space="preserve">. Where additions are made to existing buildings, the alterations and additions to mechanical systems, equipment or appliances shall be in accordance with the </w:t>
      </w:r>
      <w:r w:rsidRPr="001B7F77">
        <w:rPr>
          <w:i/>
          <w:iCs/>
          <w:u w:val="single"/>
        </w:rPr>
        <w:t>New York City Mechanical Code</w:t>
      </w:r>
      <w:r w:rsidRPr="001B7F77">
        <w:rPr>
          <w:u w:val="single"/>
        </w:rPr>
        <w:t xml:space="preserve"> and this code, as required by Section 309.</w:t>
      </w:r>
    </w:p>
    <w:p w14:paraId="60EEA519" w14:textId="77777777" w:rsidR="001B7F77" w:rsidRPr="001B7F77" w:rsidRDefault="001B7F77" w:rsidP="001B7F77">
      <w:pPr>
        <w:suppressAutoHyphens/>
        <w:spacing w:before="120"/>
      </w:pPr>
      <w:r w:rsidRPr="001B7F77">
        <w:rPr>
          <w:b/>
          <w:u w:val="single"/>
        </w:rPr>
        <w:t>1108.5 Electrical.</w:t>
      </w:r>
      <w:r w:rsidRPr="001B7F77">
        <w:rPr>
          <w:u w:val="single"/>
        </w:rPr>
        <w:t xml:space="preserve"> Where </w:t>
      </w:r>
      <w:r w:rsidRPr="001B7F77">
        <w:rPr>
          <w:rFonts w:eastAsia="Times"/>
          <w:u w:val="single"/>
        </w:rPr>
        <w:t xml:space="preserve">additions are made to existing buildings, the alterations and additions to electrical systems, equipment and appliances shall be in accordance with the </w:t>
      </w:r>
      <w:r w:rsidRPr="001B7F77">
        <w:rPr>
          <w:rFonts w:eastAsia="Times"/>
          <w:i/>
          <w:iCs/>
          <w:u w:val="single"/>
        </w:rPr>
        <w:t>New York City Electrical Code</w:t>
      </w:r>
      <w:r w:rsidRPr="001B7F77">
        <w:rPr>
          <w:rFonts w:eastAsia="Times"/>
          <w:u w:val="single"/>
        </w:rPr>
        <w:t xml:space="preserve"> and this code, as required by Section 308.</w:t>
      </w:r>
    </w:p>
    <w:p w14:paraId="3E409DDA" w14:textId="77777777" w:rsidR="001B7F77" w:rsidRPr="001B7F77" w:rsidRDefault="001B7F77" w:rsidP="001B7F77">
      <w:pPr>
        <w:suppressAutoHyphens/>
        <w:spacing w:before="120"/>
        <w:rPr>
          <w:b/>
          <w:u w:val="single"/>
        </w:rPr>
      </w:pPr>
      <w:r w:rsidRPr="001B7F77">
        <w:rPr>
          <w:b/>
          <w:u w:val="single"/>
        </w:rPr>
        <w:t>1108.6 Elevators.</w:t>
      </w:r>
      <w:r w:rsidRPr="001B7F77">
        <w:rPr>
          <w:u w:val="single"/>
        </w:rPr>
        <w:t xml:space="preserve"> Where additions are made to existing buildings, the alterations and additions to existing elevators shall be in accordance with Chapter 30 and Appendix K of the </w:t>
      </w:r>
      <w:r w:rsidRPr="001B7F77">
        <w:rPr>
          <w:i/>
          <w:iCs/>
          <w:u w:val="single"/>
        </w:rPr>
        <w:t>New York City Building Code</w:t>
      </w:r>
      <w:r w:rsidRPr="001B7F77">
        <w:rPr>
          <w:u w:val="single"/>
        </w:rPr>
        <w:t>.</w:t>
      </w:r>
    </w:p>
    <w:p w14:paraId="4FF49201" w14:textId="77777777" w:rsidR="001B7F77" w:rsidRPr="001B7F77" w:rsidRDefault="001B7F77" w:rsidP="001B7F77">
      <w:pPr>
        <w:suppressAutoHyphens/>
        <w:spacing w:before="120"/>
        <w:ind w:left="360"/>
        <w:rPr>
          <w:u w:val="single"/>
        </w:rPr>
      </w:pPr>
      <w:r w:rsidRPr="001B7F77">
        <w:rPr>
          <w:b/>
          <w:u w:val="single"/>
        </w:rPr>
        <w:t>Exception:</w:t>
      </w:r>
      <w:r w:rsidRPr="001B7F77">
        <w:rPr>
          <w:u w:val="single"/>
        </w:rPr>
        <w:t xml:space="preserve"> Extensions of existing elevators are not required to serve penthouse structures comprising the upper level of a multi-story R-2 occupancy dwelling unit located upon the roof of a sixth story of a building erected in accordance with the laws in effect before December 6, 1968 and provided that the building is deemed to be 6 stories or less pursuant to Section 504.3 of the </w:t>
      </w:r>
      <w:r w:rsidRPr="001B7F77">
        <w:rPr>
          <w:i/>
          <w:iCs/>
          <w:u w:val="single"/>
        </w:rPr>
        <w:t>New York City Building Code</w:t>
      </w:r>
      <w:r w:rsidRPr="001B7F77">
        <w:rPr>
          <w:u w:val="single"/>
        </w:rPr>
        <w:t>.</w:t>
      </w:r>
    </w:p>
    <w:p w14:paraId="74921A16" w14:textId="77777777" w:rsidR="001B7F77" w:rsidRPr="001B7F77" w:rsidRDefault="001B7F77" w:rsidP="001B7F77">
      <w:pPr>
        <w:suppressAutoHyphens/>
        <w:spacing w:before="120"/>
        <w:ind w:left="360"/>
        <w:rPr>
          <w:u w:val="single"/>
        </w:rPr>
      </w:pPr>
      <w:r w:rsidRPr="001B7F77">
        <w:rPr>
          <w:b/>
          <w:u w:val="single"/>
        </w:rPr>
        <w:t>1108.6.1 Existing non-elevator buildings.</w:t>
      </w:r>
      <w:r w:rsidRPr="001B7F77">
        <w:rPr>
          <w:u w:val="single"/>
        </w:rPr>
        <w:t xml:space="preserve"> Where vertical additions are made to existing non-elevator buildings such that the number of stories exceeds the limits specified by Chapter 30 of the </w:t>
      </w:r>
      <w:r w:rsidRPr="001B7F77">
        <w:rPr>
          <w:i/>
          <w:iCs/>
          <w:u w:val="single"/>
        </w:rPr>
        <w:t>New York City Building Code</w:t>
      </w:r>
      <w:r w:rsidRPr="001B7F77">
        <w:rPr>
          <w:u w:val="single"/>
        </w:rPr>
        <w:t>, such buildings shall be provided with at least one elevator that accesses all floors.</w:t>
      </w:r>
    </w:p>
    <w:p w14:paraId="23FFA326" w14:textId="77777777" w:rsidR="001B7F77" w:rsidRPr="001B7F77" w:rsidRDefault="001B7F77" w:rsidP="001B7F77">
      <w:pPr>
        <w:suppressAutoHyphens/>
        <w:spacing w:before="120"/>
        <w:ind w:left="720"/>
        <w:rPr>
          <w:b/>
          <w:u w:val="single"/>
        </w:rPr>
      </w:pPr>
      <w:r w:rsidRPr="001B7F77">
        <w:rPr>
          <w:b/>
          <w:u w:val="single"/>
        </w:rPr>
        <w:t>Exceptions:</w:t>
      </w:r>
    </w:p>
    <w:p w14:paraId="2122A4AD" w14:textId="77777777" w:rsidR="001B7F77" w:rsidRPr="001B7F77" w:rsidRDefault="001B7F77" w:rsidP="0001508F">
      <w:pPr>
        <w:widowControl w:val="0"/>
        <w:numPr>
          <w:ilvl w:val="0"/>
          <w:numId w:val="30"/>
        </w:numPr>
        <w:suppressAutoHyphens/>
        <w:kinsoku w:val="0"/>
        <w:spacing w:before="120"/>
        <w:jc w:val="left"/>
        <w:rPr>
          <w:u w:val="single"/>
        </w:rPr>
      </w:pPr>
      <w:r w:rsidRPr="001B7F77">
        <w:rPr>
          <w:u w:val="single"/>
        </w:rPr>
        <w:t>The addition of a penthouse level above an existing four-story non-elevator building in Group R-2, where such building is constructed in accordance with the laws in effect on December 6, 1968 or later, provided the penthouse addition meets both of the following conditions:</w:t>
      </w:r>
    </w:p>
    <w:p w14:paraId="49143958" w14:textId="77777777" w:rsidR="001B7F77" w:rsidRPr="001B7F77" w:rsidRDefault="001B7F77" w:rsidP="0001508F">
      <w:pPr>
        <w:widowControl w:val="0"/>
        <w:numPr>
          <w:ilvl w:val="1"/>
          <w:numId w:val="30"/>
        </w:numPr>
        <w:suppressAutoHyphens/>
        <w:kinsoku w:val="0"/>
        <w:spacing w:before="120"/>
        <w:jc w:val="left"/>
        <w:rPr>
          <w:u w:val="single"/>
        </w:rPr>
      </w:pPr>
      <w:r w:rsidRPr="001B7F77">
        <w:rPr>
          <w:u w:val="single"/>
        </w:rPr>
        <w:t xml:space="preserve">The area of the penthouse addition and other roof structures do not constitute a new story as described in Chapter 15 of the </w:t>
      </w:r>
      <w:r w:rsidRPr="001B7F77">
        <w:rPr>
          <w:i/>
          <w:iCs/>
          <w:u w:val="single"/>
        </w:rPr>
        <w:t>New York City Building Code</w:t>
      </w:r>
      <w:r w:rsidRPr="001B7F77">
        <w:rPr>
          <w:u w:val="single"/>
        </w:rPr>
        <w:t>, and</w:t>
      </w:r>
    </w:p>
    <w:p w14:paraId="27E8BD29" w14:textId="77777777" w:rsidR="001B7F77" w:rsidRPr="001B7F77" w:rsidRDefault="001B7F77" w:rsidP="0001508F">
      <w:pPr>
        <w:widowControl w:val="0"/>
        <w:numPr>
          <w:ilvl w:val="1"/>
          <w:numId w:val="30"/>
        </w:numPr>
        <w:suppressAutoHyphens/>
        <w:kinsoku w:val="0"/>
        <w:spacing w:before="120"/>
        <w:jc w:val="left"/>
        <w:rPr>
          <w:u w:val="single"/>
        </w:rPr>
      </w:pPr>
      <w:r w:rsidRPr="001B7F77">
        <w:rPr>
          <w:u w:val="single"/>
        </w:rPr>
        <w:t>The addition is directly connected to the existing dwelling unit below.</w:t>
      </w:r>
    </w:p>
    <w:p w14:paraId="26AD9FB8" w14:textId="77777777" w:rsidR="001B7F77" w:rsidRPr="001B7F77" w:rsidRDefault="001B7F77" w:rsidP="0001508F">
      <w:pPr>
        <w:widowControl w:val="0"/>
        <w:numPr>
          <w:ilvl w:val="0"/>
          <w:numId w:val="30"/>
        </w:numPr>
        <w:suppressAutoHyphens/>
        <w:kinsoku w:val="0"/>
        <w:spacing w:before="120"/>
        <w:jc w:val="left"/>
        <w:rPr>
          <w:u w:val="single"/>
        </w:rPr>
      </w:pPr>
      <w:r w:rsidRPr="001B7F77">
        <w:rPr>
          <w:u w:val="single"/>
        </w:rPr>
        <w:t xml:space="preserve">Vertical additions to multiple dwellings constructed pursuant to laws in effect before December 6, 1968, as provided for in Section D306.1 of Appendix D of the </w:t>
      </w:r>
      <w:r w:rsidRPr="001B7F77">
        <w:rPr>
          <w:i/>
          <w:iCs/>
          <w:u w:val="single"/>
        </w:rPr>
        <w:t>New York City Building Code</w:t>
      </w:r>
      <w:r w:rsidRPr="001B7F77">
        <w:rPr>
          <w:u w:val="single"/>
        </w:rPr>
        <w:t>.</w:t>
      </w:r>
    </w:p>
    <w:p w14:paraId="6DD516CE" w14:textId="77777777" w:rsidR="001B7F77" w:rsidRPr="001B7F77" w:rsidRDefault="001B7F77" w:rsidP="001B7F77">
      <w:pPr>
        <w:suppressAutoHyphens/>
        <w:spacing w:before="120"/>
        <w:rPr>
          <w:bCs/>
          <w:u w:val="single"/>
        </w:rPr>
      </w:pPr>
      <w:r w:rsidRPr="001B7F77">
        <w:rPr>
          <w:b/>
          <w:u w:val="single"/>
        </w:rPr>
        <w:t>1108.7 Other alteration work within the existing building</w:t>
      </w:r>
      <w:r w:rsidRPr="001B7F77">
        <w:rPr>
          <w:bCs/>
          <w:u w:val="single"/>
        </w:rPr>
        <w:t>. Any alteration work within an existing building to which an addition is being made shall comply with the plumbing, fuel gas, mechanical, electrical or elevator requirements of Chapters 8 and 9 of this code, as applicable.</w:t>
      </w:r>
    </w:p>
    <w:p w14:paraId="22D8C92F" w14:textId="77777777" w:rsidR="001B7F77" w:rsidRPr="001B7F77" w:rsidRDefault="001B7F77" w:rsidP="001B7F77">
      <w:pPr>
        <w:widowControl w:val="0"/>
        <w:suppressAutoHyphens/>
        <w:spacing w:before="120"/>
        <w:rPr>
          <w:b/>
        </w:rPr>
        <w:sectPr w:rsidR="001B7F77" w:rsidRPr="001B7F77" w:rsidSect="001B7F77">
          <w:footerReference w:type="default" r:id="rId64"/>
          <w:pgSz w:w="12240" w:h="15840" w:code="1"/>
          <w:pgMar w:top="1440" w:right="1440" w:bottom="1440" w:left="1440" w:header="720" w:footer="720" w:gutter="0"/>
          <w:lnNumType w:countBy="1"/>
          <w:cols w:space="720"/>
          <w:docGrid w:linePitch="360"/>
        </w:sectPr>
      </w:pPr>
    </w:p>
    <w:p w14:paraId="71AADCB9" w14:textId="77777777" w:rsidR="001B7F77" w:rsidRPr="001B7F77" w:rsidRDefault="001B7F77" w:rsidP="001B7F77">
      <w:pPr>
        <w:widowControl w:val="0"/>
        <w:suppressAutoHyphens/>
        <w:spacing w:before="120"/>
        <w:jc w:val="center"/>
        <w:outlineLvl w:val="0"/>
        <w:rPr>
          <w:b/>
          <w:u w:val="single"/>
        </w:rPr>
      </w:pPr>
      <w:r w:rsidRPr="001B7F77">
        <w:rPr>
          <w:b/>
          <w:color w:val="000000"/>
          <w:u w:val="single"/>
        </w:rPr>
        <w:t>CHAPTER</w:t>
      </w:r>
      <w:r w:rsidRPr="001B7F77">
        <w:rPr>
          <w:b/>
          <w:u w:val="single"/>
        </w:rPr>
        <w:t xml:space="preserve"> 12</w:t>
      </w:r>
    </w:p>
    <w:p w14:paraId="42E29E71" w14:textId="77777777" w:rsidR="001B7F77" w:rsidRPr="001B7F77" w:rsidRDefault="001B7F77" w:rsidP="001B7F77">
      <w:pPr>
        <w:widowControl w:val="0"/>
        <w:suppressAutoHyphens/>
        <w:spacing w:before="120"/>
        <w:jc w:val="center"/>
        <w:outlineLvl w:val="0"/>
        <w:rPr>
          <w:b/>
          <w:u w:val="single"/>
        </w:rPr>
      </w:pPr>
      <w:r w:rsidRPr="001B7F77">
        <w:rPr>
          <w:b/>
          <w:u w:val="single"/>
        </w:rPr>
        <w:t>RESERVED</w:t>
      </w:r>
    </w:p>
    <w:p w14:paraId="0AE52AFF" w14:textId="77777777" w:rsidR="001B7F77" w:rsidRPr="001B7F77" w:rsidRDefault="001B7F77" w:rsidP="001B7F77">
      <w:pPr>
        <w:suppressAutoHyphens/>
        <w:spacing w:before="120" w:line="259" w:lineRule="auto"/>
        <w:jc w:val="left"/>
        <w:rPr>
          <w:b/>
          <w:u w:val="single"/>
        </w:rPr>
      </w:pPr>
      <w:r w:rsidRPr="001B7F77">
        <w:rPr>
          <w:b/>
          <w:u w:val="single"/>
        </w:rPr>
        <w:br w:type="page"/>
      </w:r>
    </w:p>
    <w:p w14:paraId="14AF393A" w14:textId="77777777" w:rsidR="001B7F77" w:rsidRPr="001B7F77" w:rsidRDefault="001B7F77" w:rsidP="001B7F77">
      <w:pPr>
        <w:widowControl w:val="0"/>
        <w:suppressAutoHyphens/>
        <w:spacing w:before="120"/>
        <w:jc w:val="center"/>
        <w:outlineLvl w:val="0"/>
        <w:rPr>
          <w:b/>
          <w:u w:val="single"/>
        </w:rPr>
      </w:pPr>
    </w:p>
    <w:p w14:paraId="21332F94" w14:textId="77777777" w:rsidR="001B7F77" w:rsidRPr="001B7F77" w:rsidRDefault="001B7F77" w:rsidP="001B7F77">
      <w:pPr>
        <w:widowControl w:val="0"/>
        <w:suppressAutoHyphens/>
        <w:spacing w:before="120"/>
        <w:jc w:val="center"/>
        <w:outlineLvl w:val="0"/>
        <w:rPr>
          <w:u w:val="single"/>
        </w:rPr>
      </w:pPr>
      <w:r w:rsidRPr="001B7F77">
        <w:rPr>
          <w:b/>
          <w:color w:val="000000"/>
          <w:u w:val="single"/>
        </w:rPr>
        <w:t>CHAPTER</w:t>
      </w:r>
      <w:r w:rsidRPr="001B7F77">
        <w:rPr>
          <w:b/>
          <w:u w:val="single"/>
        </w:rPr>
        <w:t xml:space="preserve"> 13</w:t>
      </w:r>
      <w:r w:rsidRPr="001B7F77">
        <w:rPr>
          <w:b/>
          <w:u w:val="single"/>
        </w:rPr>
        <w:br/>
      </w:r>
      <w:r w:rsidRPr="001B7F77">
        <w:rPr>
          <w:b/>
          <w:color w:val="000000"/>
          <w:u w:val="single"/>
        </w:rPr>
        <w:t>BUILDING SAFETY PERFORMANCE AND SCORING METHOD</w:t>
      </w:r>
    </w:p>
    <w:p w14:paraId="43B4FB82" w14:textId="77777777" w:rsidR="001B7F77" w:rsidRPr="001B7F77" w:rsidRDefault="001B7F77" w:rsidP="001B7F77">
      <w:pPr>
        <w:widowControl w:val="0"/>
        <w:suppressAutoHyphens/>
        <w:spacing w:before="120"/>
        <w:jc w:val="center"/>
        <w:outlineLvl w:val="0"/>
        <w:rPr>
          <w:b/>
          <w:bCs/>
          <w:u w:val="single"/>
        </w:rPr>
      </w:pPr>
      <w:r w:rsidRPr="001B7F77">
        <w:rPr>
          <w:b/>
          <w:bCs/>
          <w:u w:val="single"/>
        </w:rPr>
        <w:t xml:space="preserve">SECTION </w:t>
      </w:r>
      <w:r w:rsidRPr="001B7F77">
        <w:rPr>
          <w:b/>
          <w:color w:val="000000"/>
          <w:u w:val="single"/>
        </w:rPr>
        <w:t>EBC</w:t>
      </w:r>
      <w:r w:rsidRPr="001B7F77">
        <w:rPr>
          <w:b/>
          <w:bCs/>
          <w:u w:val="single"/>
        </w:rPr>
        <w:t xml:space="preserve"> 1301</w:t>
      </w:r>
      <w:r w:rsidRPr="001B7F77">
        <w:rPr>
          <w:b/>
          <w:bCs/>
          <w:u w:val="single"/>
        </w:rPr>
        <w:br/>
        <w:t>GENERAL</w:t>
      </w:r>
    </w:p>
    <w:p w14:paraId="112193A7" w14:textId="77777777" w:rsidR="001B7F77" w:rsidRPr="001B7F77" w:rsidRDefault="001B7F77" w:rsidP="001B7F77">
      <w:pPr>
        <w:suppressAutoHyphens/>
        <w:spacing w:before="120"/>
        <w:rPr>
          <w:u w:val="single"/>
        </w:rPr>
      </w:pPr>
      <w:r w:rsidRPr="001B7F77">
        <w:rPr>
          <w:b/>
          <w:bCs/>
          <w:u w:val="single"/>
        </w:rPr>
        <w:t>1301.1 Scope.</w:t>
      </w:r>
      <w:r w:rsidRPr="001B7F77">
        <w:rPr>
          <w:u w:val="single"/>
        </w:rPr>
        <w:t xml:space="preserve"> The provisions of this chapter shall apply to the alterations, additions and changes of occupancy of existing buildings built prior to July 1, 2008, including moved structures, as referenced in Section 301.1.4 when elected by the design professional of record, as an alternative to the life safety requirements of Chapters 8 through 11 and Chapter 14. The provisions of this chapter are intended to maintain or increase the current degree of public safety in existing buildings while permitting alterations, additions and changes of occupancy of these buildings.</w:t>
      </w:r>
    </w:p>
    <w:p w14:paraId="502A36F2" w14:textId="77777777" w:rsidR="001B7F77" w:rsidRPr="001B7F77" w:rsidRDefault="001B7F77" w:rsidP="001B7F77">
      <w:pPr>
        <w:suppressAutoHyphens/>
        <w:spacing w:before="120"/>
        <w:ind w:left="360"/>
        <w:rPr>
          <w:u w:val="single"/>
        </w:rPr>
      </w:pPr>
      <w:r w:rsidRPr="001B7F77">
        <w:rPr>
          <w:b/>
          <w:u w:val="single"/>
        </w:rPr>
        <w:t>1301.1.1 Compliance with other provisions of this code.</w:t>
      </w:r>
      <w:r w:rsidRPr="001B7F77">
        <w:rPr>
          <w:u w:val="single"/>
        </w:rPr>
        <w:t xml:space="preserve"> When this chapter is elected as an alternative to compliance with the life safety provisions of Chapters 8 through 11 as referenced by Section 301.1.3, alterations, additions and changes of occupancy to existing structures shall comply with all other applicable provisions of Chapters 8 through 11 and Chapter 3 of this code related to use of material, accessibility, structural, plumbing, mechanical, electrical, fuel gas and energy conservation, including all other requirements of this code not covered by this chapter.</w:t>
      </w:r>
    </w:p>
    <w:p w14:paraId="7E8AD47A" w14:textId="77777777" w:rsidR="001B7F77" w:rsidRPr="001B7F77" w:rsidRDefault="001B7F77" w:rsidP="001B7F77">
      <w:pPr>
        <w:suppressAutoHyphens/>
        <w:spacing w:before="120"/>
        <w:ind w:left="720"/>
        <w:rPr>
          <w:u w:val="single"/>
        </w:rPr>
      </w:pPr>
      <w:r w:rsidRPr="001B7F77">
        <w:rPr>
          <w:b/>
          <w:u w:val="single"/>
        </w:rPr>
        <w:t xml:space="preserve">1301.1.1.1 Increase in floor surface area by more than 110 percent. </w:t>
      </w:r>
      <w:r w:rsidRPr="001B7F77">
        <w:rPr>
          <w:u w:val="single"/>
        </w:rPr>
        <w:t>Where</w:t>
      </w:r>
      <w:r w:rsidRPr="001B7F77">
        <w:rPr>
          <w:b/>
          <w:u w:val="single"/>
        </w:rPr>
        <w:t xml:space="preserve"> </w:t>
      </w:r>
      <w:r w:rsidRPr="001B7F77">
        <w:rPr>
          <w:u w:val="single"/>
        </w:rPr>
        <w:t xml:space="preserve">the proposed addition and/or alteration made to an existing building causes an increase in the building floor surface area, over the amount of existing floor surface area, by more than 110 percent, such building shall comply with the </w:t>
      </w:r>
      <w:r w:rsidRPr="001B7F77">
        <w:rPr>
          <w:i/>
          <w:iCs/>
          <w:u w:val="single"/>
        </w:rPr>
        <w:t>New York City Building Code</w:t>
      </w:r>
      <w:r w:rsidRPr="001B7F77">
        <w:rPr>
          <w:u w:val="single"/>
        </w:rPr>
        <w:t xml:space="preserve"> as hereafter erected and this chapter shall not apply, pursuant to Section 302.7.</w:t>
      </w:r>
    </w:p>
    <w:p w14:paraId="2F06421C" w14:textId="77777777" w:rsidR="001B7F77" w:rsidRPr="001B7F77" w:rsidRDefault="001B7F77" w:rsidP="001B7F77">
      <w:pPr>
        <w:widowControl w:val="0"/>
        <w:suppressAutoHyphens/>
        <w:spacing w:before="120"/>
        <w:jc w:val="center"/>
        <w:outlineLvl w:val="0"/>
        <w:rPr>
          <w:b/>
          <w:bCs/>
          <w:u w:val="single"/>
        </w:rPr>
      </w:pPr>
    </w:p>
    <w:p w14:paraId="1E22F455" w14:textId="77777777" w:rsidR="001B7F77" w:rsidRPr="001B7F77" w:rsidRDefault="001B7F77" w:rsidP="001B7F77">
      <w:pPr>
        <w:widowControl w:val="0"/>
        <w:suppressAutoHyphens/>
        <w:spacing w:before="120"/>
        <w:jc w:val="center"/>
        <w:outlineLvl w:val="0"/>
        <w:rPr>
          <w:b/>
          <w:bCs/>
          <w:u w:val="single"/>
        </w:rPr>
      </w:pPr>
      <w:r w:rsidRPr="001B7F77">
        <w:rPr>
          <w:b/>
          <w:bCs/>
          <w:u w:val="single"/>
        </w:rPr>
        <w:t xml:space="preserve">SECTION </w:t>
      </w:r>
      <w:r w:rsidRPr="001B7F77">
        <w:rPr>
          <w:b/>
          <w:color w:val="000000"/>
          <w:u w:val="single"/>
        </w:rPr>
        <w:t>EBC</w:t>
      </w:r>
      <w:r w:rsidRPr="001B7F77">
        <w:rPr>
          <w:b/>
          <w:bCs/>
          <w:u w:val="single"/>
        </w:rPr>
        <w:t xml:space="preserve"> 1302</w:t>
      </w:r>
      <w:r w:rsidRPr="001B7F77">
        <w:rPr>
          <w:b/>
          <w:bCs/>
          <w:u w:val="single"/>
        </w:rPr>
        <w:br/>
        <w:t>APPLICABILITY</w:t>
      </w:r>
    </w:p>
    <w:p w14:paraId="3E041148" w14:textId="77777777" w:rsidR="001B7F77" w:rsidRPr="001B7F77" w:rsidRDefault="001B7F77" w:rsidP="001B7F77">
      <w:pPr>
        <w:suppressAutoHyphens/>
        <w:spacing w:before="120"/>
        <w:rPr>
          <w:bCs/>
          <w:u w:val="single"/>
        </w:rPr>
      </w:pPr>
      <w:r w:rsidRPr="001B7F77">
        <w:rPr>
          <w:b/>
          <w:bCs/>
          <w:u w:val="single"/>
        </w:rPr>
        <w:t xml:space="preserve">1302.1 Applicability. </w:t>
      </w:r>
      <w:r w:rsidRPr="001B7F77">
        <w:rPr>
          <w:bCs/>
          <w:u w:val="single"/>
        </w:rPr>
        <w:t>Buildings existing prior to</w:t>
      </w:r>
      <w:r w:rsidRPr="001B7F77">
        <w:rPr>
          <w:b/>
          <w:bCs/>
          <w:u w:val="single"/>
        </w:rPr>
        <w:t xml:space="preserve"> </w:t>
      </w:r>
      <w:r w:rsidRPr="001B7F77">
        <w:rPr>
          <w:u w:val="single"/>
        </w:rPr>
        <w:t>July 1, 2008</w:t>
      </w:r>
      <w:r w:rsidRPr="001B7F77">
        <w:rPr>
          <w:bCs/>
          <w:u w:val="single"/>
        </w:rPr>
        <w:t>, in which there is work involving additions, alterations or changes of occupancy shall be made to conform to the requirements of this chapter, when elected by the design professional of record as an alternative to the fire and life safety provisions of Chapters 8 through 11. The provisions of Sections 1302.1.1 through 1302.1.3 shall apply to existing occupancies that will continue to be, or are proposed to be, in Groups A, B, E, F, I-2, M, R and S. These provisions shall not apply to buildings with occupancies in Group H or I-1, I-3 or I-4. Registered design professionals evaluating buildings classified in Groups R-1 and R-2 shall not violate the requirements of Appendix D</w:t>
      </w:r>
      <w:r w:rsidRPr="001B7F77">
        <w:rPr>
          <w:u w:val="single"/>
        </w:rPr>
        <w:t xml:space="preserve"> </w:t>
      </w:r>
      <w:r w:rsidRPr="001B7F77">
        <w:rPr>
          <w:bCs/>
          <w:u w:val="single"/>
        </w:rPr>
        <w:t>in their application of this chapter.</w:t>
      </w:r>
    </w:p>
    <w:p w14:paraId="3D17DE09" w14:textId="77777777" w:rsidR="001B7F77" w:rsidRPr="001B7F77" w:rsidRDefault="001B7F77" w:rsidP="001B7F77">
      <w:pPr>
        <w:suppressAutoHyphens/>
        <w:spacing w:before="120"/>
        <w:ind w:left="360"/>
        <w:rPr>
          <w:u w:val="single"/>
        </w:rPr>
      </w:pPr>
      <w:r w:rsidRPr="001B7F77">
        <w:rPr>
          <w:b/>
          <w:u w:val="single"/>
        </w:rPr>
        <w:t>1302.1.1 Change in use or occupancy.</w:t>
      </w:r>
      <w:r w:rsidRPr="001B7F77">
        <w:rPr>
          <w:u w:val="single"/>
        </w:rPr>
        <w:t xml:space="preserve"> Where an existing building or portion thereof, is changed to a new use or occupancy classification, the requirements of Chapters 3 or 10 of this code, as applicable, shall apply except as indicated in this chapter and Table 301.1.4.</w:t>
      </w:r>
    </w:p>
    <w:p w14:paraId="57ADC1CE" w14:textId="77777777" w:rsidR="001B7F77" w:rsidRPr="001B7F77" w:rsidRDefault="001B7F77" w:rsidP="001B7F77">
      <w:pPr>
        <w:suppressAutoHyphens/>
        <w:spacing w:before="120"/>
        <w:ind w:left="360"/>
        <w:rPr>
          <w:u w:val="single"/>
        </w:rPr>
      </w:pPr>
      <w:r w:rsidRPr="001B7F77">
        <w:rPr>
          <w:b/>
          <w:u w:val="single"/>
        </w:rPr>
        <w:t>1302.1.2 Additions.</w:t>
      </w:r>
      <w:r w:rsidRPr="001B7F77">
        <w:rPr>
          <w:u w:val="single"/>
        </w:rPr>
        <w:t xml:space="preserve"> Additions to existing buildings shall comply with the requirements of Chapters 3 or 11 of this code as applicable, except as indicated in this chapter and Table 301.1.4.</w:t>
      </w:r>
    </w:p>
    <w:p w14:paraId="3FF0E110" w14:textId="77777777" w:rsidR="001B7F77" w:rsidRPr="001B7F77" w:rsidRDefault="001B7F77" w:rsidP="001B7F77">
      <w:pPr>
        <w:suppressAutoHyphens/>
        <w:spacing w:before="120"/>
        <w:ind w:left="360"/>
        <w:rPr>
          <w:u w:val="single"/>
        </w:rPr>
      </w:pPr>
      <w:r w:rsidRPr="001B7F77">
        <w:rPr>
          <w:b/>
          <w:u w:val="single"/>
        </w:rPr>
        <w:t>1302.1.3 Alterations.</w:t>
      </w:r>
      <w:r w:rsidRPr="001B7F77">
        <w:rPr>
          <w:u w:val="single"/>
        </w:rPr>
        <w:t xml:space="preserve"> Alterations to existing buildings or portions thereof shall comply with the requirements of Chapters 3, 8 or 9 of this code, as applicable, except as indicated in this chapter and Table 301.1.4. </w:t>
      </w:r>
    </w:p>
    <w:p w14:paraId="16F70BDD" w14:textId="77777777" w:rsidR="001B7F77" w:rsidRPr="001B7F77" w:rsidRDefault="001B7F77" w:rsidP="001B7F77">
      <w:pPr>
        <w:widowControl w:val="0"/>
        <w:suppressAutoHyphens/>
        <w:spacing w:before="120"/>
        <w:jc w:val="center"/>
        <w:outlineLvl w:val="0"/>
        <w:rPr>
          <w:b/>
          <w:bCs/>
          <w:u w:val="single"/>
        </w:rPr>
      </w:pPr>
    </w:p>
    <w:p w14:paraId="1E8EEA17" w14:textId="77777777" w:rsidR="001B7F77" w:rsidRPr="001B7F77" w:rsidRDefault="001B7F77" w:rsidP="001B7F77">
      <w:pPr>
        <w:widowControl w:val="0"/>
        <w:suppressAutoHyphens/>
        <w:spacing w:before="120"/>
        <w:jc w:val="center"/>
        <w:outlineLvl w:val="0"/>
        <w:rPr>
          <w:b/>
          <w:bCs/>
          <w:u w:val="single"/>
        </w:rPr>
      </w:pPr>
      <w:r w:rsidRPr="001B7F77">
        <w:rPr>
          <w:b/>
          <w:bCs/>
          <w:u w:val="single"/>
        </w:rPr>
        <w:t xml:space="preserve">SECTION </w:t>
      </w:r>
      <w:r w:rsidRPr="001B7F77">
        <w:rPr>
          <w:b/>
          <w:color w:val="000000"/>
          <w:u w:val="single"/>
        </w:rPr>
        <w:t>EBC</w:t>
      </w:r>
      <w:r w:rsidRPr="001B7F77">
        <w:rPr>
          <w:b/>
          <w:bCs/>
          <w:u w:val="single"/>
        </w:rPr>
        <w:t xml:space="preserve"> 1303</w:t>
      </w:r>
      <w:r w:rsidRPr="001B7F77">
        <w:rPr>
          <w:b/>
          <w:bCs/>
          <w:u w:val="single"/>
        </w:rPr>
        <w:br/>
        <w:t>ACCEPTANCE</w:t>
      </w:r>
    </w:p>
    <w:p w14:paraId="6BB72ECC" w14:textId="77777777" w:rsidR="001B7F77" w:rsidRPr="001B7F77" w:rsidRDefault="001B7F77" w:rsidP="001B7F77">
      <w:pPr>
        <w:suppressAutoHyphens/>
        <w:spacing w:before="120"/>
        <w:rPr>
          <w:bCs/>
          <w:u w:val="single"/>
        </w:rPr>
      </w:pPr>
      <w:r w:rsidRPr="001B7F77">
        <w:rPr>
          <w:b/>
          <w:u w:val="single"/>
        </w:rPr>
        <w:t>1303.1 Acceptance.</w:t>
      </w:r>
      <w:r w:rsidRPr="001B7F77">
        <w:rPr>
          <w:bCs/>
          <w:u w:val="single"/>
        </w:rPr>
        <w:t xml:space="preserve"> For alterations, additions, and changes of occupancy to existing buildings that are evaluated in accordance with this chapter as permitted by Section 301.1.4, compliance with this chapter shall be reviewed and accepted by the department.</w:t>
      </w:r>
    </w:p>
    <w:p w14:paraId="6D8B3C05" w14:textId="77777777" w:rsidR="001B7F77" w:rsidRPr="001B7F77" w:rsidRDefault="001B7F77" w:rsidP="001B7F77">
      <w:pPr>
        <w:suppressAutoHyphens/>
        <w:spacing w:before="120"/>
        <w:ind w:left="360"/>
        <w:rPr>
          <w:u w:val="single"/>
        </w:rPr>
      </w:pPr>
      <w:r w:rsidRPr="001B7F77">
        <w:rPr>
          <w:b/>
          <w:u w:val="single"/>
        </w:rPr>
        <w:t>1303.1.1 Compliance with other codes.</w:t>
      </w:r>
      <w:r w:rsidRPr="001B7F77">
        <w:rPr>
          <w:u w:val="single"/>
        </w:rPr>
        <w:t xml:space="preserve"> Buildings that are evaluated in accordance with this chapter shall comply with the New York City Construction Codes as applicable.</w:t>
      </w:r>
    </w:p>
    <w:p w14:paraId="118A8C06" w14:textId="77777777" w:rsidR="001B7F77" w:rsidRPr="001B7F77" w:rsidRDefault="001B7F77" w:rsidP="001B7F77">
      <w:pPr>
        <w:widowControl w:val="0"/>
        <w:suppressAutoHyphens/>
        <w:spacing w:before="120"/>
        <w:jc w:val="center"/>
        <w:outlineLvl w:val="0"/>
        <w:rPr>
          <w:b/>
          <w:u w:val="single"/>
        </w:rPr>
      </w:pPr>
    </w:p>
    <w:p w14:paraId="0B2A6D91" w14:textId="77777777" w:rsidR="001B7F77" w:rsidRPr="001B7F77" w:rsidRDefault="001B7F77" w:rsidP="001B7F77">
      <w:pPr>
        <w:widowControl w:val="0"/>
        <w:suppressAutoHyphens/>
        <w:spacing w:before="120"/>
        <w:jc w:val="center"/>
        <w:outlineLvl w:val="0"/>
        <w:rPr>
          <w:b/>
          <w:u w:val="single"/>
        </w:rPr>
      </w:pPr>
      <w:r w:rsidRPr="001B7F77">
        <w:rPr>
          <w:b/>
          <w:u w:val="single"/>
        </w:rPr>
        <w:t xml:space="preserve">SECTION </w:t>
      </w:r>
      <w:r w:rsidRPr="001B7F77">
        <w:rPr>
          <w:b/>
          <w:color w:val="000000"/>
          <w:u w:val="single"/>
        </w:rPr>
        <w:t>EBC</w:t>
      </w:r>
      <w:r w:rsidRPr="001B7F77">
        <w:rPr>
          <w:b/>
          <w:u w:val="single"/>
        </w:rPr>
        <w:t xml:space="preserve"> 1304</w:t>
      </w:r>
      <w:r w:rsidRPr="001B7F77">
        <w:rPr>
          <w:b/>
          <w:u w:val="single"/>
        </w:rPr>
        <w:br/>
        <w:t>INVESTIGATION AND EVALUATION</w:t>
      </w:r>
    </w:p>
    <w:p w14:paraId="75BA0DAB" w14:textId="77777777" w:rsidR="001B7F77" w:rsidRPr="001B7F77" w:rsidRDefault="001B7F77" w:rsidP="001B7F77">
      <w:pPr>
        <w:suppressAutoHyphens/>
        <w:spacing w:before="120"/>
        <w:rPr>
          <w:bCs/>
          <w:u w:val="single"/>
        </w:rPr>
      </w:pPr>
      <w:r w:rsidRPr="001B7F77">
        <w:rPr>
          <w:b/>
          <w:bCs/>
          <w:u w:val="single"/>
        </w:rPr>
        <w:t>1304.1 Investigation and evaluation.</w:t>
      </w:r>
      <w:r w:rsidRPr="001B7F77">
        <w:rPr>
          <w:bCs/>
          <w:u w:val="single"/>
        </w:rPr>
        <w:t xml:space="preserve"> For proposed work covered by this chapter, the building owner shall cause the existing building to be investigated and evaluated by a registered design professional in accordance with the provisions of Section 1304.</w:t>
      </w:r>
    </w:p>
    <w:p w14:paraId="7DAB4996" w14:textId="77777777" w:rsidR="001B7F77" w:rsidRPr="001B7F77" w:rsidRDefault="001B7F77" w:rsidP="001B7F77">
      <w:pPr>
        <w:suppressAutoHyphens/>
        <w:spacing w:before="120"/>
        <w:ind w:left="360"/>
        <w:rPr>
          <w:u w:val="single"/>
        </w:rPr>
      </w:pPr>
      <w:r w:rsidRPr="001B7F77">
        <w:rPr>
          <w:b/>
          <w:u w:val="single"/>
        </w:rPr>
        <w:t>1304.1.1 Submittal.</w:t>
      </w:r>
      <w:r w:rsidRPr="001B7F77">
        <w:rPr>
          <w:u w:val="single"/>
        </w:rPr>
        <w:t xml:space="preserve"> The results of the investigation and evaluation as required in Sections 1304.2 and 1304.3 along with proposed compliance alternatives, shall be submitted to the department for review and consideration.</w:t>
      </w:r>
    </w:p>
    <w:p w14:paraId="2F32F20F" w14:textId="77777777" w:rsidR="001B7F77" w:rsidRPr="001B7F77" w:rsidRDefault="001B7F77" w:rsidP="001B7F77">
      <w:pPr>
        <w:suppressAutoHyphens/>
        <w:spacing w:before="120"/>
        <w:ind w:left="360"/>
        <w:rPr>
          <w:u w:val="single"/>
        </w:rPr>
      </w:pPr>
      <w:r w:rsidRPr="001B7F77">
        <w:rPr>
          <w:b/>
          <w:u w:val="single"/>
        </w:rPr>
        <w:t xml:space="preserve">1304.1.2 Determination of compliance. </w:t>
      </w:r>
      <w:r w:rsidRPr="001B7F77">
        <w:rPr>
          <w:u w:val="single"/>
        </w:rPr>
        <w:t>The department shall determine whether the existing building, with the proposed addition, alteration, or change of occupancy, complies with the provisions of this chapter in accordance with the evaluation process in Section 1304.3.</w:t>
      </w:r>
    </w:p>
    <w:p w14:paraId="507CF8F3" w14:textId="77777777" w:rsidR="001B7F77" w:rsidRPr="001B7F77" w:rsidRDefault="001B7F77" w:rsidP="001B7F77">
      <w:pPr>
        <w:suppressAutoHyphens/>
        <w:spacing w:before="120"/>
        <w:rPr>
          <w:bCs/>
          <w:u w:val="single"/>
        </w:rPr>
      </w:pPr>
      <w:r w:rsidRPr="001B7F77">
        <w:rPr>
          <w:b/>
          <w:bCs/>
          <w:u w:val="single"/>
        </w:rPr>
        <w:t>1304.2 Evaluation.</w:t>
      </w:r>
      <w:r w:rsidRPr="001B7F77">
        <w:rPr>
          <w:bCs/>
          <w:u w:val="single"/>
        </w:rPr>
        <w:t xml:space="preserve"> The evaluation shall be comprised of three categories: fire safety, means of egress, and general safety, as described in this section and Section 1304.3.</w:t>
      </w:r>
    </w:p>
    <w:p w14:paraId="65675166" w14:textId="77777777" w:rsidR="001B7F77" w:rsidRPr="001B7F77" w:rsidRDefault="001B7F77" w:rsidP="001B7F77">
      <w:pPr>
        <w:suppressAutoHyphens/>
        <w:spacing w:before="120"/>
        <w:ind w:left="360"/>
        <w:rPr>
          <w:u w:val="single"/>
        </w:rPr>
      </w:pPr>
      <w:r w:rsidRPr="001B7F77">
        <w:rPr>
          <w:b/>
          <w:u w:val="single"/>
        </w:rPr>
        <w:t xml:space="preserve">1304.2.1 Fire safety. </w:t>
      </w:r>
      <w:r w:rsidRPr="001B7F77">
        <w:rPr>
          <w:u w:val="single"/>
        </w:rPr>
        <w:t>Included within the fire safety category are passive fire protection and active fire protection features of the building.</w:t>
      </w:r>
    </w:p>
    <w:p w14:paraId="47AAAF10" w14:textId="77777777" w:rsidR="001B7F77" w:rsidRPr="001B7F77" w:rsidRDefault="001B7F77" w:rsidP="001B7F77">
      <w:pPr>
        <w:suppressAutoHyphens/>
        <w:spacing w:before="120"/>
        <w:ind w:left="360"/>
        <w:rPr>
          <w:u w:val="single"/>
        </w:rPr>
      </w:pPr>
      <w:r w:rsidRPr="001B7F77">
        <w:rPr>
          <w:b/>
          <w:u w:val="single"/>
        </w:rPr>
        <w:t xml:space="preserve">1304.2.2 Means of egress. </w:t>
      </w:r>
      <w:r w:rsidRPr="001B7F77">
        <w:rPr>
          <w:u w:val="single"/>
        </w:rPr>
        <w:t>Included within the means of egress category are the configuration, characteristics, and support features for means of egress in the building.</w:t>
      </w:r>
    </w:p>
    <w:p w14:paraId="7A0AE00F" w14:textId="77777777" w:rsidR="001B7F77" w:rsidRPr="001B7F77" w:rsidRDefault="001B7F77" w:rsidP="001B7F77">
      <w:pPr>
        <w:suppressAutoHyphens/>
        <w:spacing w:before="120"/>
        <w:ind w:left="360"/>
        <w:rPr>
          <w:u w:val="single"/>
        </w:rPr>
      </w:pPr>
      <w:bookmarkStart w:id="214" w:name="_Hlk54868893"/>
      <w:r w:rsidRPr="001B7F77">
        <w:rPr>
          <w:b/>
          <w:u w:val="single"/>
        </w:rPr>
        <w:t>1304.2</w:t>
      </w:r>
      <w:bookmarkEnd w:id="214"/>
      <w:r w:rsidRPr="001B7F77">
        <w:rPr>
          <w:b/>
          <w:u w:val="single"/>
        </w:rPr>
        <w:t>.3 General safety.</w:t>
      </w:r>
      <w:r w:rsidRPr="001B7F77">
        <w:rPr>
          <w:u w:val="single"/>
        </w:rPr>
        <w:t xml:space="preserve"> Included within the general safety category are the fire safety parameters and the means-of-egress parameters.</w:t>
      </w:r>
    </w:p>
    <w:p w14:paraId="0E42AB32" w14:textId="77777777" w:rsidR="001B7F77" w:rsidRPr="001B7F77" w:rsidRDefault="001B7F77" w:rsidP="001B7F77">
      <w:pPr>
        <w:suppressAutoHyphens/>
        <w:spacing w:before="120"/>
        <w:rPr>
          <w:bCs/>
          <w:u w:val="single"/>
        </w:rPr>
      </w:pPr>
      <w:r w:rsidRPr="001B7F77">
        <w:rPr>
          <w:b/>
          <w:bCs/>
          <w:u w:val="single"/>
        </w:rPr>
        <w:t xml:space="preserve">1304.3 Evaluation and scoring process. </w:t>
      </w:r>
      <w:r w:rsidRPr="001B7F77">
        <w:rPr>
          <w:bCs/>
          <w:u w:val="single"/>
        </w:rPr>
        <w:t>The department shall promulgate rules to determine the building elements and systems within the three categories of Sections 1304.2.1 through 1304.2.3 subject to the investigation and evaluation process. The rules shall also determine the value of each element or system contributing to the overall building score.</w:t>
      </w:r>
    </w:p>
    <w:p w14:paraId="2EAE4780" w14:textId="77777777" w:rsidR="001B7F77" w:rsidRPr="001B7F77" w:rsidRDefault="001B7F77" w:rsidP="001B7F77">
      <w:pPr>
        <w:widowControl w:val="0"/>
        <w:suppressAutoHyphens/>
        <w:spacing w:before="120"/>
        <w:rPr>
          <w:b/>
        </w:rPr>
        <w:sectPr w:rsidR="001B7F77" w:rsidRPr="001B7F77" w:rsidSect="001B7F77">
          <w:headerReference w:type="even" r:id="rId65"/>
          <w:headerReference w:type="default" r:id="rId66"/>
          <w:footerReference w:type="even" r:id="rId67"/>
          <w:footerReference w:type="default" r:id="rId68"/>
          <w:headerReference w:type="first" r:id="rId69"/>
          <w:footerReference w:type="first" r:id="rId70"/>
          <w:pgSz w:w="12240" w:h="15840" w:code="1"/>
          <w:pgMar w:top="1440" w:right="1440" w:bottom="1440" w:left="1440" w:header="720" w:footer="720" w:gutter="0"/>
          <w:lnNumType w:countBy="1"/>
          <w:cols w:space="720"/>
          <w:docGrid w:linePitch="360"/>
        </w:sectPr>
      </w:pPr>
    </w:p>
    <w:p w14:paraId="6EF9C506" w14:textId="77777777" w:rsidR="001B7F77" w:rsidRPr="001B7F77" w:rsidRDefault="001B7F77" w:rsidP="001B7F77">
      <w:pPr>
        <w:widowControl w:val="0"/>
        <w:suppressAutoHyphens/>
        <w:spacing w:before="120"/>
        <w:jc w:val="center"/>
        <w:outlineLvl w:val="0"/>
        <w:rPr>
          <w:rFonts w:eastAsia="Helvetica Neue"/>
          <w:b/>
          <w:color w:val="000000"/>
          <w:u w:val="single"/>
        </w:rPr>
      </w:pPr>
      <w:r w:rsidRPr="001B7F77">
        <w:rPr>
          <w:b/>
          <w:u w:val="single"/>
        </w:rPr>
        <w:t>CHAPTER</w:t>
      </w:r>
      <w:r w:rsidRPr="001B7F77">
        <w:rPr>
          <w:rFonts w:eastAsia="Helvetica Neue"/>
          <w:b/>
          <w:color w:val="000000"/>
          <w:u w:val="single"/>
        </w:rPr>
        <w:t xml:space="preserve"> 14</w:t>
      </w:r>
      <w:r w:rsidRPr="001B7F77">
        <w:rPr>
          <w:rFonts w:eastAsia="Helvetica Neue"/>
          <w:b/>
          <w:color w:val="000000"/>
          <w:u w:val="single"/>
        </w:rPr>
        <w:br/>
        <w:t>RELOCATED,</w:t>
      </w:r>
      <w:r w:rsidRPr="001B7F77">
        <w:rPr>
          <w:u w:val="single"/>
        </w:rPr>
        <w:t xml:space="preserve"> </w:t>
      </w:r>
      <w:r w:rsidRPr="001B7F77">
        <w:rPr>
          <w:rFonts w:eastAsia="Helvetica Neue"/>
          <w:b/>
          <w:color w:val="000000"/>
          <w:u w:val="single"/>
        </w:rPr>
        <w:t>MOVED OR RAISED BUILDINGS</w:t>
      </w:r>
    </w:p>
    <w:p w14:paraId="7F087AFA" w14:textId="77777777" w:rsidR="001B7F77" w:rsidRPr="001B7F77" w:rsidRDefault="001B7F77" w:rsidP="001B7F77">
      <w:pPr>
        <w:widowControl w:val="0"/>
        <w:suppressAutoHyphens/>
        <w:spacing w:before="120"/>
        <w:jc w:val="center"/>
        <w:outlineLvl w:val="0"/>
        <w:rPr>
          <w:rFonts w:eastAsia="Calibri"/>
          <w:b/>
          <w:color w:val="000000"/>
          <w:u w:val="single"/>
        </w:rPr>
      </w:pPr>
      <w:r w:rsidRPr="001B7F77">
        <w:rPr>
          <w:b/>
          <w:color w:val="000000"/>
          <w:u w:val="single"/>
        </w:rPr>
        <w:t>SECTION EBC 1401</w:t>
      </w:r>
      <w:r w:rsidRPr="001B7F77">
        <w:rPr>
          <w:b/>
          <w:color w:val="000000"/>
          <w:u w:val="single"/>
        </w:rPr>
        <w:br/>
      </w:r>
      <w:r w:rsidRPr="001B7F77">
        <w:rPr>
          <w:b/>
          <w:u w:val="single"/>
        </w:rPr>
        <w:t>GENERAL</w:t>
      </w:r>
    </w:p>
    <w:p w14:paraId="0362B625" w14:textId="77777777" w:rsidR="001B7F77" w:rsidRPr="001B7F77" w:rsidRDefault="001B7F77" w:rsidP="001B7F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spacing w:before="120"/>
        <w:rPr>
          <w:rFonts w:eastAsia="Times"/>
          <w:color w:val="000000"/>
          <w:u w:val="single"/>
        </w:rPr>
      </w:pPr>
      <w:r w:rsidRPr="001B7F77">
        <w:rPr>
          <w:rFonts w:eastAsia="Times"/>
          <w:b/>
          <w:color w:val="000000"/>
          <w:u w:val="single"/>
        </w:rPr>
        <w:t>1401.1 Scope.</w:t>
      </w:r>
      <w:r w:rsidRPr="001B7F77">
        <w:rPr>
          <w:rFonts w:eastAsia="Times"/>
          <w:color w:val="000000"/>
          <w:u w:val="single"/>
        </w:rPr>
        <w:t xml:space="preserve"> This chapter provides requirements for relocated, moved or raised buildings including relocatable buildings, as defined in Chapter 2.</w:t>
      </w:r>
    </w:p>
    <w:p w14:paraId="7CF25D83" w14:textId="77777777" w:rsidR="001B7F77" w:rsidRPr="001B7F77" w:rsidRDefault="001B7F77" w:rsidP="001B7F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spacing w:before="120"/>
        <w:ind w:left="432"/>
        <w:rPr>
          <w:rFonts w:eastAsia="Times"/>
          <w:color w:val="000000"/>
        </w:rPr>
      </w:pPr>
      <w:r w:rsidRPr="001B7F77">
        <w:rPr>
          <w:rFonts w:eastAsia="Times"/>
          <w:b/>
          <w:bCs/>
          <w:color w:val="000000"/>
          <w:u w:val="single"/>
        </w:rPr>
        <w:t>1401.1.1 Multiple dwellings</w:t>
      </w:r>
      <w:r w:rsidRPr="001B7F77">
        <w:rPr>
          <w:rFonts w:eastAsia="Times"/>
          <w:color w:val="000000"/>
          <w:u w:val="single"/>
        </w:rPr>
        <w:t>. The relocation, moving or raising of multiple dwellings shall also comply with Appendix D.</w:t>
      </w:r>
      <w:r w:rsidRPr="001B7F77">
        <w:rPr>
          <w:rFonts w:eastAsia="Times"/>
          <w:color w:val="000000"/>
        </w:rPr>
        <w:t xml:space="preserve"> </w:t>
      </w:r>
    </w:p>
    <w:p w14:paraId="78FA7401" w14:textId="77777777" w:rsidR="001B7F77" w:rsidRPr="001B7F77" w:rsidRDefault="001B7F77" w:rsidP="001B7F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spacing w:before="120"/>
        <w:rPr>
          <w:rFonts w:eastAsia="Calibri"/>
        </w:rPr>
      </w:pPr>
      <w:r w:rsidRPr="001B7F77">
        <w:rPr>
          <w:rFonts w:eastAsia="Times"/>
          <w:b/>
          <w:color w:val="000000"/>
          <w:u w:val="single"/>
        </w:rPr>
        <w:t>1401.2 Conformance.</w:t>
      </w:r>
      <w:r w:rsidRPr="001B7F77">
        <w:rPr>
          <w:rFonts w:eastAsia="Times"/>
          <w:color w:val="000000"/>
          <w:u w:val="single"/>
        </w:rPr>
        <w:t xml:space="preserve"> The relocation, moving or raising of a building shall not create any new noncompliance with the applicable provisions of the </w:t>
      </w:r>
      <w:r w:rsidRPr="001B7F77">
        <w:rPr>
          <w:rFonts w:eastAsia="Times"/>
          <w:i/>
          <w:iCs/>
          <w:color w:val="000000"/>
          <w:u w:val="single"/>
        </w:rPr>
        <w:t>New York City Building Code</w:t>
      </w:r>
      <w:r w:rsidRPr="001B7F77">
        <w:rPr>
          <w:rFonts w:eastAsia="Times"/>
          <w:color w:val="000000"/>
          <w:u w:val="single"/>
        </w:rPr>
        <w:t xml:space="preserve">. Any repair, alteration or change of occupancy undertaken within the relocated, moved or raised building shall comply with the requirements of this code applicable to the work being performed, as indicated in Chapter 6 of this code. Any field-fabricated elements shall comply with the requirements of the </w:t>
      </w:r>
      <w:r w:rsidRPr="001B7F77">
        <w:rPr>
          <w:rFonts w:eastAsia="Times"/>
          <w:i/>
          <w:iCs/>
          <w:color w:val="000000"/>
          <w:u w:val="single"/>
        </w:rPr>
        <w:t>New York City Building Code</w:t>
      </w:r>
      <w:r w:rsidRPr="001B7F77">
        <w:rPr>
          <w:rFonts w:eastAsia="Times"/>
          <w:color w:val="000000"/>
          <w:u w:val="single"/>
        </w:rPr>
        <w:t>.</w:t>
      </w:r>
      <w:r w:rsidRPr="001B7F77">
        <w:t xml:space="preserve"> </w:t>
      </w:r>
    </w:p>
    <w:p w14:paraId="3B414FA9" w14:textId="77777777" w:rsidR="001B7F77" w:rsidRPr="001B7F77" w:rsidRDefault="001B7F77" w:rsidP="001B7F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spacing w:before="120"/>
        <w:ind w:left="432"/>
        <w:rPr>
          <w:rFonts w:eastAsia="Times"/>
          <w:b/>
          <w:bCs/>
          <w:u w:val="single"/>
        </w:rPr>
      </w:pPr>
      <w:r w:rsidRPr="001B7F77">
        <w:rPr>
          <w:rFonts w:eastAsia="Times"/>
          <w:b/>
          <w:bCs/>
          <w:color w:val="000000"/>
          <w:u w:val="single"/>
        </w:rPr>
        <w:t>Exception:</w:t>
      </w:r>
      <w:r w:rsidRPr="001B7F77">
        <w:rPr>
          <w:rFonts w:eastAsia="Times"/>
          <w:color w:val="000000"/>
          <w:u w:val="single"/>
        </w:rPr>
        <w:t xml:space="preserve"> Frame structures designated as historic structures may be relocated into fire districts subject to the approval of the commissioner. </w:t>
      </w:r>
    </w:p>
    <w:p w14:paraId="5399E5A1" w14:textId="77777777" w:rsidR="001B7F77" w:rsidRPr="001B7F77" w:rsidRDefault="001B7F77" w:rsidP="001B7F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spacing w:before="120"/>
        <w:ind w:left="432"/>
        <w:rPr>
          <w:rFonts w:eastAsia="Times"/>
        </w:rPr>
      </w:pPr>
      <w:r w:rsidRPr="001B7F77">
        <w:rPr>
          <w:rFonts w:eastAsia="Times"/>
          <w:b/>
          <w:bCs/>
          <w:color w:val="000000"/>
          <w:u w:val="single"/>
        </w:rPr>
        <w:t>1401</w:t>
      </w:r>
      <w:r w:rsidRPr="001B7F77">
        <w:rPr>
          <w:rFonts w:eastAsia="Times"/>
          <w:b/>
          <w:bCs/>
          <w:u w:val="single"/>
        </w:rPr>
        <w:t>.2.1 Exterior walls and openings.</w:t>
      </w:r>
      <w:r w:rsidRPr="001B7F77">
        <w:rPr>
          <w:rFonts w:eastAsia="Times"/>
          <w:u w:val="single"/>
        </w:rPr>
        <w:t xml:space="preserve"> Exterior walls and openings of relocated or moved buildings shall comply with Chapter 7 of the </w:t>
      </w:r>
      <w:r w:rsidRPr="001B7F77">
        <w:rPr>
          <w:rFonts w:eastAsia="Times"/>
          <w:i/>
          <w:iCs/>
          <w:u w:val="single"/>
        </w:rPr>
        <w:t>New York City Building Code</w:t>
      </w:r>
      <w:r w:rsidRPr="001B7F77">
        <w:rPr>
          <w:rFonts w:eastAsia="Times"/>
          <w:u w:val="single"/>
        </w:rPr>
        <w:t>.</w:t>
      </w:r>
    </w:p>
    <w:p w14:paraId="520B2628" w14:textId="77777777" w:rsidR="001B7F77" w:rsidRPr="001B7F77" w:rsidRDefault="001B7F77" w:rsidP="001B7F77">
      <w:pPr>
        <w:widowControl w:val="0"/>
        <w:suppressAutoHyphens/>
        <w:spacing w:before="120"/>
        <w:jc w:val="center"/>
        <w:outlineLvl w:val="0"/>
        <w:rPr>
          <w:rFonts w:eastAsia="Helvetica Neue"/>
          <w:b/>
          <w:color w:val="000000"/>
          <w:u w:val="single"/>
        </w:rPr>
      </w:pPr>
    </w:p>
    <w:p w14:paraId="10C3B01D" w14:textId="77777777" w:rsidR="001B7F77" w:rsidRPr="001B7F77" w:rsidRDefault="001B7F77" w:rsidP="001B7F77">
      <w:pPr>
        <w:widowControl w:val="0"/>
        <w:suppressAutoHyphens/>
        <w:spacing w:before="120"/>
        <w:jc w:val="center"/>
        <w:outlineLvl w:val="0"/>
        <w:rPr>
          <w:rFonts w:eastAsia="Helvetica Neue"/>
          <w:b/>
          <w:color w:val="000000"/>
          <w:u w:val="single"/>
        </w:rPr>
      </w:pPr>
      <w:r w:rsidRPr="001B7F77">
        <w:rPr>
          <w:rFonts w:eastAsia="Helvetica Neue"/>
          <w:b/>
          <w:color w:val="000000"/>
          <w:u w:val="single"/>
        </w:rPr>
        <w:t>SECTION EBC 1402</w:t>
      </w:r>
      <w:r w:rsidRPr="001B7F77">
        <w:rPr>
          <w:rFonts w:eastAsia="Helvetica Neue"/>
          <w:b/>
          <w:color w:val="000000"/>
          <w:u w:val="single"/>
        </w:rPr>
        <w:br/>
      </w:r>
      <w:r w:rsidRPr="001B7F77">
        <w:rPr>
          <w:b/>
          <w:u w:val="single"/>
        </w:rPr>
        <w:t>REQUIREMENTS</w:t>
      </w:r>
    </w:p>
    <w:p w14:paraId="3E480B5F" w14:textId="77777777" w:rsidR="001B7F77" w:rsidRPr="001B7F77" w:rsidRDefault="001B7F77" w:rsidP="001B7F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spacing w:before="120"/>
        <w:rPr>
          <w:rFonts w:eastAsia="Calibri"/>
        </w:rPr>
      </w:pPr>
      <w:r w:rsidRPr="001B7F77">
        <w:rPr>
          <w:rFonts w:eastAsia="Times"/>
          <w:b/>
          <w:color w:val="000000"/>
          <w:u w:val="single"/>
        </w:rPr>
        <w:t>1402.1 Location on the lot.</w:t>
      </w:r>
      <w:r w:rsidRPr="001B7F77">
        <w:rPr>
          <w:rFonts w:eastAsia="Times"/>
          <w:color w:val="000000"/>
          <w:u w:val="single"/>
        </w:rPr>
        <w:t xml:space="preserve"> Relocated, moved or raised buildings shall be located on the lot in accordance with the requirements of the </w:t>
      </w:r>
      <w:r w:rsidRPr="001B7F77">
        <w:rPr>
          <w:rFonts w:eastAsia="Times"/>
          <w:i/>
          <w:iCs/>
          <w:color w:val="000000"/>
          <w:u w:val="single"/>
        </w:rPr>
        <w:t>New York City Building Code</w:t>
      </w:r>
      <w:r w:rsidRPr="001B7F77">
        <w:rPr>
          <w:rFonts w:eastAsia="Times"/>
          <w:color w:val="000000"/>
          <w:u w:val="single"/>
        </w:rPr>
        <w:t>,</w:t>
      </w:r>
      <w:r w:rsidRPr="001B7F77">
        <w:rPr>
          <w:u w:val="single"/>
        </w:rPr>
        <w:t xml:space="preserve"> the </w:t>
      </w:r>
      <w:r w:rsidRPr="001B7F77">
        <w:rPr>
          <w:i/>
          <w:iCs/>
          <w:u w:val="single"/>
        </w:rPr>
        <w:t>New York City</w:t>
      </w:r>
      <w:r w:rsidRPr="001B7F77">
        <w:rPr>
          <w:rFonts w:eastAsia="Times"/>
          <w:i/>
          <w:iCs/>
          <w:color w:val="000000"/>
          <w:u w:val="single"/>
        </w:rPr>
        <w:t xml:space="preserve"> Fire Code</w:t>
      </w:r>
      <w:r w:rsidRPr="001B7F77">
        <w:rPr>
          <w:rFonts w:eastAsia="Times"/>
          <w:color w:val="000000"/>
          <w:u w:val="single"/>
        </w:rPr>
        <w:t xml:space="preserve">, </w:t>
      </w:r>
      <w:r w:rsidRPr="001B7F77">
        <w:rPr>
          <w:u w:val="single"/>
        </w:rPr>
        <w:t xml:space="preserve">the </w:t>
      </w:r>
      <w:r w:rsidRPr="001B7F77">
        <w:rPr>
          <w:rFonts w:eastAsia="Times"/>
          <w:i/>
          <w:iCs/>
          <w:color w:val="000000"/>
          <w:u w:val="single"/>
        </w:rPr>
        <w:t>New York City Zoning Resolution</w:t>
      </w:r>
      <w:r w:rsidRPr="001B7F77">
        <w:rPr>
          <w:rFonts w:eastAsia="Times"/>
          <w:color w:val="000000"/>
          <w:u w:val="single"/>
        </w:rPr>
        <w:t>, applicable Federal, State and local laws,</w:t>
      </w:r>
      <w:r w:rsidRPr="001B7F77">
        <w:rPr>
          <w:u w:val="single"/>
        </w:rPr>
        <w:t xml:space="preserve"> rules and regulations.</w:t>
      </w:r>
    </w:p>
    <w:p w14:paraId="6CE9163F" w14:textId="77777777" w:rsidR="001B7F77" w:rsidRPr="001B7F77" w:rsidRDefault="001B7F77" w:rsidP="001B7F77">
      <w:pPr>
        <w:widowControl w:val="0"/>
        <w:suppressAutoHyphens/>
        <w:spacing w:before="120"/>
        <w:ind w:left="360"/>
        <w:rPr>
          <w:rFonts w:eastAsia="Times"/>
          <w:color w:val="000000"/>
        </w:rPr>
      </w:pPr>
      <w:r w:rsidRPr="001B7F77">
        <w:rPr>
          <w:rFonts w:eastAsia="Times"/>
          <w:b/>
          <w:bCs/>
          <w:color w:val="000000"/>
          <w:u w:val="single"/>
        </w:rPr>
        <w:t>1402.1.1 Relocating or moving buildings into the fire district</w:t>
      </w:r>
      <w:r w:rsidRPr="001B7F77">
        <w:rPr>
          <w:rFonts w:eastAsia="Times"/>
          <w:color w:val="000000"/>
          <w:u w:val="single"/>
        </w:rPr>
        <w:t xml:space="preserve">. Buildings shall not hereafter be relocated or moved into the fire district or to another lot in the fire district unless the building is of a type of construction permitted in the fire district. The prohibitions set forth in this section shall not apply to historic frame buildings where approved by the commissioner in accordance with Section 1401.2. </w:t>
      </w:r>
    </w:p>
    <w:p w14:paraId="45076DD1" w14:textId="77777777" w:rsidR="001B7F77" w:rsidRPr="001B7F77" w:rsidRDefault="001B7F77" w:rsidP="001B7F77">
      <w:pPr>
        <w:widowControl w:val="0"/>
        <w:suppressAutoHyphens/>
        <w:spacing w:before="120"/>
        <w:ind w:left="720"/>
        <w:rPr>
          <w:rFonts w:eastAsia="Calibri"/>
        </w:rPr>
      </w:pPr>
      <w:r w:rsidRPr="001B7F77">
        <w:rPr>
          <w:rFonts w:eastAsia="Times"/>
          <w:b/>
          <w:color w:val="000000"/>
          <w:u w:val="single"/>
        </w:rPr>
        <w:t xml:space="preserve">1402.1.1.1 Group </w:t>
      </w:r>
      <w:r w:rsidRPr="001B7F77">
        <w:rPr>
          <w:b/>
          <w:u w:val="single"/>
        </w:rPr>
        <w:t>R-1 and R-2 occupancies.</w:t>
      </w:r>
      <w:r w:rsidRPr="001B7F77">
        <w:rPr>
          <w:b/>
          <w:bCs/>
          <w:w w:val="110"/>
          <w:u w:val="single"/>
        </w:rPr>
        <w:t xml:space="preserve"> </w:t>
      </w:r>
      <w:r w:rsidRPr="001B7F77">
        <w:rPr>
          <w:u w:val="single"/>
        </w:rPr>
        <w:t>No building or space classified in Occupancy Group R-1 or R-2 may be relocated to a lot containing a building classified in construction Type IIB, VA or VB.</w:t>
      </w:r>
    </w:p>
    <w:p w14:paraId="490CB960" w14:textId="77777777" w:rsidR="001B7F77" w:rsidRPr="001B7F77" w:rsidRDefault="001B7F77" w:rsidP="001B7F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spacing w:before="120"/>
        <w:rPr>
          <w:rFonts w:eastAsia="Times"/>
          <w:bCs/>
          <w:color w:val="000000"/>
        </w:rPr>
      </w:pPr>
      <w:r w:rsidRPr="001B7F77">
        <w:rPr>
          <w:rFonts w:eastAsia="Times"/>
          <w:b/>
          <w:color w:val="000000"/>
          <w:u w:val="single"/>
        </w:rPr>
        <w:t>1402.2 Compliance with Chapter 7.</w:t>
      </w:r>
      <w:r w:rsidRPr="001B7F77">
        <w:rPr>
          <w:rFonts w:eastAsia="Times"/>
          <w:bCs/>
          <w:color w:val="000000"/>
          <w:u w:val="single"/>
        </w:rPr>
        <w:t xml:space="preserve"> Relocated, moved or raised buildings shall comply with Chapter 7.</w:t>
      </w:r>
    </w:p>
    <w:p w14:paraId="08307889" w14:textId="77777777" w:rsidR="001B7F77" w:rsidRPr="001B7F77" w:rsidRDefault="001B7F77" w:rsidP="001B7F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spacing w:before="120"/>
        <w:rPr>
          <w:rFonts w:eastAsia="Times"/>
          <w:b/>
          <w:color w:val="000000"/>
        </w:rPr>
      </w:pPr>
      <w:r w:rsidRPr="001B7F77">
        <w:rPr>
          <w:rFonts w:eastAsia="Times"/>
          <w:b/>
          <w:color w:val="000000"/>
          <w:u w:val="single"/>
        </w:rPr>
        <w:t>1402.3 Flood hazard areas.</w:t>
      </w:r>
      <w:r w:rsidRPr="001B7F77">
        <w:rPr>
          <w:rFonts w:eastAsia="Times"/>
          <w:color w:val="000000"/>
          <w:u w:val="single"/>
        </w:rPr>
        <w:t xml:space="preserve"> If buildings are to be relocated or moved into a flood hazard area, or are raised within a flood hazard area, such buildings shall comply with Section 1612 and Appendix G of the </w:t>
      </w:r>
      <w:r w:rsidRPr="001B7F77">
        <w:rPr>
          <w:rFonts w:eastAsia="Times"/>
          <w:i/>
          <w:iCs/>
          <w:color w:val="000000"/>
          <w:u w:val="single"/>
        </w:rPr>
        <w:t>New York City Building Code</w:t>
      </w:r>
      <w:r w:rsidRPr="001B7F77">
        <w:rPr>
          <w:rFonts w:eastAsia="Times"/>
          <w:color w:val="000000"/>
          <w:u w:val="single"/>
        </w:rPr>
        <w:t>.</w:t>
      </w:r>
    </w:p>
    <w:p w14:paraId="468CDF62" w14:textId="77777777" w:rsidR="001B7F77" w:rsidRPr="001B7F77" w:rsidRDefault="001B7F77" w:rsidP="001B7F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spacing w:before="120"/>
        <w:rPr>
          <w:rFonts w:eastAsia="Times"/>
          <w:color w:val="000000"/>
        </w:rPr>
      </w:pPr>
      <w:r w:rsidRPr="001B7F77">
        <w:rPr>
          <w:rFonts w:eastAsia="Times"/>
          <w:b/>
          <w:color w:val="000000"/>
          <w:u w:val="single"/>
        </w:rPr>
        <w:t>1402.4 Required inspection.</w:t>
      </w:r>
      <w:r w:rsidRPr="001B7F77">
        <w:rPr>
          <w:rFonts w:eastAsia="Times"/>
          <w:color w:val="000000"/>
          <w:u w:val="single"/>
        </w:rPr>
        <w:t xml:space="preserve"> The department may inspect or require an approved agency to inspect, at the expense of the owner, the various structural parts of a relocated, moved or raised building to verify that structural components and connections have not sustained structural damage.</w:t>
      </w:r>
      <w:r w:rsidRPr="001B7F77">
        <w:rPr>
          <w:rFonts w:eastAsia="Times"/>
          <w:color w:val="000000"/>
        </w:rPr>
        <w:t xml:space="preserve"> </w:t>
      </w:r>
    </w:p>
    <w:p w14:paraId="2562949C" w14:textId="77777777" w:rsidR="001B7F77" w:rsidRPr="001B7F77" w:rsidRDefault="001B7F77" w:rsidP="001B7F77">
      <w:pPr>
        <w:widowControl w:val="0"/>
        <w:suppressAutoHyphens/>
        <w:spacing w:before="120"/>
        <w:ind w:left="360"/>
        <w:rPr>
          <w:rFonts w:eastAsia="Times"/>
          <w:color w:val="000000"/>
        </w:rPr>
      </w:pPr>
      <w:r w:rsidRPr="001B7F77">
        <w:rPr>
          <w:rFonts w:eastAsia="Times"/>
          <w:b/>
          <w:color w:val="000000"/>
          <w:u w:val="single"/>
        </w:rPr>
        <w:t>1402.4.1 Special inspection of relocating, raising and moving of a building</w:t>
      </w:r>
      <w:r w:rsidRPr="001B7F77">
        <w:rPr>
          <w:rFonts w:eastAsia="Times"/>
          <w:color w:val="000000"/>
          <w:u w:val="single"/>
        </w:rPr>
        <w:t>.</w:t>
      </w:r>
      <w:r w:rsidRPr="001B7F77">
        <w:rPr>
          <w:rFonts w:eastAsia="Times"/>
          <w:b/>
          <w:color w:val="000000"/>
          <w:u w:val="single"/>
        </w:rPr>
        <w:t xml:space="preserve"> </w:t>
      </w:r>
      <w:bookmarkStart w:id="215" w:name="_Hlk76732734"/>
      <w:r w:rsidRPr="001B7F77">
        <w:rPr>
          <w:rFonts w:eastAsia="Times"/>
          <w:color w:val="000000"/>
          <w:u w:val="single"/>
        </w:rPr>
        <w:t xml:space="preserve">Where an existing building is being relocated, moved or the lowest above-grade floor or lowest subgrade floor of a building is to be raised, lifted or elevated, periodic special inspection of such work is required. </w:t>
      </w:r>
      <w:bookmarkEnd w:id="215"/>
      <w:r w:rsidRPr="001B7F77">
        <w:rPr>
          <w:rFonts w:eastAsia="Times"/>
          <w:color w:val="000000"/>
          <w:u w:val="single"/>
        </w:rPr>
        <w:t xml:space="preserve">The permit holder shall notify the department in writing at least 48 hours before the commencement of such work. All new structural work shall be inspected in accordance with Chapter 17 of the </w:t>
      </w:r>
      <w:r w:rsidRPr="001B7F77">
        <w:rPr>
          <w:rFonts w:eastAsia="Times"/>
          <w:i/>
          <w:iCs/>
          <w:color w:val="000000"/>
          <w:u w:val="single"/>
        </w:rPr>
        <w:t>New York City Building Code</w:t>
      </w:r>
      <w:r w:rsidRPr="001B7F77">
        <w:rPr>
          <w:rFonts w:eastAsia="Times"/>
          <w:color w:val="000000"/>
          <w:u w:val="single"/>
        </w:rPr>
        <w:t>.</w:t>
      </w:r>
    </w:p>
    <w:p w14:paraId="51EBEEA0" w14:textId="77777777" w:rsidR="001B7F77" w:rsidRPr="001B7F77" w:rsidRDefault="001B7F77" w:rsidP="001B7F77">
      <w:pPr>
        <w:widowControl w:val="0"/>
        <w:suppressAutoHyphens/>
        <w:spacing w:before="120"/>
        <w:rPr>
          <w:rFonts w:eastAsia="Times"/>
          <w:color w:val="000000"/>
        </w:rPr>
      </w:pPr>
      <w:r w:rsidRPr="001B7F77">
        <w:rPr>
          <w:rFonts w:eastAsia="Times"/>
          <w:b/>
          <w:color w:val="000000"/>
          <w:u w:val="single"/>
        </w:rPr>
        <w:t>1402.5 Exit discharge</w:t>
      </w:r>
      <w:r w:rsidRPr="001B7F77">
        <w:rPr>
          <w:rFonts w:eastAsia="Times"/>
          <w:color w:val="000000"/>
          <w:u w:val="single"/>
        </w:rPr>
        <w:t xml:space="preserve">. Relocated or moved buildings shall provide access to a public way in accordance with the exit discharge provisions of Chapter 10 of the </w:t>
      </w:r>
      <w:r w:rsidRPr="001B7F77">
        <w:rPr>
          <w:rFonts w:eastAsia="Times"/>
          <w:i/>
          <w:iCs/>
          <w:color w:val="000000"/>
          <w:u w:val="single"/>
        </w:rPr>
        <w:t>New York City Building Code</w:t>
      </w:r>
      <w:r w:rsidRPr="001B7F77">
        <w:rPr>
          <w:rFonts w:eastAsia="Times"/>
          <w:color w:val="000000"/>
          <w:u w:val="single"/>
        </w:rPr>
        <w:t>.</w:t>
      </w:r>
    </w:p>
    <w:p w14:paraId="632E54AD" w14:textId="77777777" w:rsidR="001B7F77" w:rsidRPr="001B7F77" w:rsidRDefault="001B7F77" w:rsidP="001B7F77">
      <w:pPr>
        <w:widowControl w:val="0"/>
        <w:suppressAutoHyphens/>
        <w:spacing w:before="120"/>
        <w:rPr>
          <w:rFonts w:eastAsia="Calibri"/>
          <w:color w:val="000000"/>
        </w:rPr>
      </w:pPr>
      <w:r w:rsidRPr="001B7F77">
        <w:rPr>
          <w:b/>
          <w:color w:val="000000"/>
          <w:u w:val="single"/>
        </w:rPr>
        <w:t xml:space="preserve">1402.6 Accessibility. </w:t>
      </w:r>
      <w:r w:rsidRPr="001B7F77">
        <w:rPr>
          <w:color w:val="000000"/>
          <w:u w:val="single"/>
        </w:rPr>
        <w:t>Relocated, moved or raised buildings shall be located on the lot so as to be accessible</w:t>
      </w:r>
      <w:r w:rsidRPr="001B7F77">
        <w:rPr>
          <w:u w:val="single"/>
        </w:rPr>
        <w:t xml:space="preserve"> </w:t>
      </w:r>
      <w:r w:rsidRPr="001B7F77">
        <w:rPr>
          <w:color w:val="000000"/>
          <w:u w:val="single"/>
        </w:rPr>
        <w:t>at each</w:t>
      </w:r>
      <w:r w:rsidRPr="001B7F77">
        <w:rPr>
          <w:u w:val="single"/>
        </w:rPr>
        <w:t xml:space="preserve"> </w:t>
      </w:r>
      <w:r w:rsidRPr="001B7F77">
        <w:rPr>
          <w:color w:val="000000"/>
          <w:u w:val="single"/>
        </w:rPr>
        <w:t xml:space="preserve">entrance in accordance with Chapter 11 of the </w:t>
      </w:r>
      <w:r w:rsidRPr="001B7F77">
        <w:rPr>
          <w:i/>
          <w:iCs/>
          <w:color w:val="000000"/>
          <w:u w:val="single"/>
        </w:rPr>
        <w:t>New York City Building Code</w:t>
      </w:r>
      <w:r w:rsidRPr="001B7F77">
        <w:rPr>
          <w:color w:val="000000"/>
          <w:u w:val="single"/>
        </w:rPr>
        <w:t>.</w:t>
      </w:r>
    </w:p>
    <w:p w14:paraId="037367EA" w14:textId="77777777" w:rsidR="001B7F77" w:rsidRPr="001B7F77" w:rsidRDefault="001B7F77" w:rsidP="001B7F77">
      <w:pPr>
        <w:widowControl w:val="0"/>
        <w:suppressAutoHyphens/>
        <w:spacing w:before="120"/>
        <w:rPr>
          <w:color w:val="000000"/>
          <w:u w:val="single"/>
        </w:rPr>
      </w:pPr>
      <w:r w:rsidRPr="001B7F77">
        <w:rPr>
          <w:b/>
          <w:color w:val="000000"/>
          <w:u w:val="single"/>
        </w:rPr>
        <w:t xml:space="preserve">1402.7 Fire protection. </w:t>
      </w:r>
      <w:r w:rsidRPr="001B7F77">
        <w:rPr>
          <w:color w:val="000000"/>
          <w:u w:val="single"/>
        </w:rPr>
        <w:t xml:space="preserve">Where new utility connections are required for a relocated building, subject to the approval of the New York City Department of Environmental Protection, water service lines used exclusively for supplying fire protection systems shall be provided where a building of similar use, occupancy, construction and height is required to be protected in accordance with Chapter 9 of the </w:t>
      </w:r>
      <w:r w:rsidRPr="001B7F77">
        <w:rPr>
          <w:i/>
          <w:iCs/>
          <w:color w:val="000000"/>
          <w:u w:val="single"/>
        </w:rPr>
        <w:t>New York City Building Code</w:t>
      </w:r>
      <w:r w:rsidRPr="001B7F77">
        <w:rPr>
          <w:color w:val="000000"/>
          <w:u w:val="single"/>
        </w:rPr>
        <w:t xml:space="preserve">. Such connection shall be ready for future installations, when required by this code. </w:t>
      </w:r>
    </w:p>
    <w:p w14:paraId="7D66212B" w14:textId="77777777" w:rsidR="001B7F77" w:rsidRPr="001B7F77" w:rsidRDefault="001B7F77" w:rsidP="001B7F77">
      <w:pPr>
        <w:widowControl w:val="0"/>
        <w:suppressAutoHyphens/>
        <w:spacing w:before="120"/>
        <w:ind w:left="360"/>
        <w:rPr>
          <w:color w:val="000000"/>
          <w:u w:val="single"/>
        </w:rPr>
      </w:pPr>
      <w:r w:rsidRPr="001B7F77">
        <w:rPr>
          <w:b/>
          <w:bCs/>
          <w:color w:val="000000"/>
          <w:u w:val="single"/>
        </w:rPr>
        <w:t>Exception:</w:t>
      </w:r>
      <w:r w:rsidRPr="001B7F77">
        <w:rPr>
          <w:color w:val="000000"/>
          <w:u w:val="single"/>
        </w:rPr>
        <w:t xml:space="preserve"> One- or two-family dwellings, where space is reserved for future installation of a pressurized tank sized to provide the anticipated water flow demands of a sprinkler system designed in accordance with Chapter 9 of the </w:t>
      </w:r>
      <w:r w:rsidRPr="001B7F77">
        <w:rPr>
          <w:i/>
          <w:iCs/>
          <w:color w:val="000000"/>
          <w:u w:val="single"/>
        </w:rPr>
        <w:t>New York City Building Code</w:t>
      </w:r>
      <w:r w:rsidRPr="001B7F77">
        <w:rPr>
          <w:color w:val="000000"/>
          <w:u w:val="single"/>
        </w:rPr>
        <w:t>.</w:t>
      </w:r>
    </w:p>
    <w:p w14:paraId="5213726B" w14:textId="77777777" w:rsidR="001B7F77" w:rsidRPr="001B7F77" w:rsidRDefault="001B7F77" w:rsidP="001B7F77">
      <w:pPr>
        <w:widowControl w:val="0"/>
        <w:suppressAutoHyphens/>
        <w:spacing w:before="120"/>
        <w:rPr>
          <w:b/>
        </w:rPr>
        <w:sectPr w:rsidR="001B7F77" w:rsidRPr="001B7F77" w:rsidSect="001B7F77">
          <w:footerReference w:type="default" r:id="rId71"/>
          <w:pgSz w:w="12240" w:h="15840" w:code="1"/>
          <w:pgMar w:top="1440" w:right="1440" w:bottom="1440" w:left="1440" w:header="720" w:footer="720" w:gutter="0"/>
          <w:lnNumType w:countBy="1"/>
          <w:cols w:space="720"/>
          <w:docGrid w:linePitch="360"/>
        </w:sectPr>
      </w:pPr>
    </w:p>
    <w:p w14:paraId="4F196031" w14:textId="77777777" w:rsidR="001B7F77" w:rsidRPr="001B7F77" w:rsidRDefault="001B7F77" w:rsidP="001B7F77">
      <w:pPr>
        <w:widowControl w:val="0"/>
        <w:suppressAutoHyphens/>
        <w:spacing w:before="120"/>
        <w:jc w:val="center"/>
        <w:outlineLvl w:val="0"/>
        <w:rPr>
          <w:b/>
          <w:bCs/>
          <w:u w:val="single"/>
        </w:rPr>
      </w:pPr>
      <w:bookmarkStart w:id="216" w:name="_Hlk70420490"/>
      <w:r w:rsidRPr="001B7F77">
        <w:rPr>
          <w:b/>
          <w:u w:val="single"/>
        </w:rPr>
        <w:t>CHAPTER</w:t>
      </w:r>
      <w:r w:rsidRPr="001B7F77">
        <w:rPr>
          <w:b/>
          <w:bCs/>
          <w:u w:val="single"/>
        </w:rPr>
        <w:t xml:space="preserve"> 15</w:t>
      </w:r>
      <w:r w:rsidRPr="001B7F77">
        <w:rPr>
          <w:b/>
          <w:bCs/>
          <w:u w:val="single"/>
        </w:rPr>
        <w:br/>
        <w:t xml:space="preserve">ADDITIONAL SAFEGUARDS DURING CONSTRUCTION OR DEMOLITION FOR EXISTING BUILDINGS AND </w:t>
      </w:r>
      <w:r w:rsidRPr="001B7F77">
        <w:rPr>
          <w:b/>
          <w:u w:val="single"/>
        </w:rPr>
        <w:t>OCCUPIED</w:t>
      </w:r>
      <w:r w:rsidRPr="001B7F77">
        <w:rPr>
          <w:b/>
          <w:bCs/>
          <w:u w:val="single"/>
        </w:rPr>
        <w:t xml:space="preserve"> BUILDINGS </w:t>
      </w:r>
    </w:p>
    <w:p w14:paraId="1B8C122B" w14:textId="77777777" w:rsidR="001B7F77" w:rsidRPr="001B7F77" w:rsidRDefault="001B7F77" w:rsidP="001B7F77">
      <w:pPr>
        <w:widowControl w:val="0"/>
        <w:suppressAutoHyphens/>
        <w:spacing w:before="120"/>
        <w:jc w:val="center"/>
        <w:outlineLvl w:val="0"/>
        <w:rPr>
          <w:b/>
          <w:bCs/>
          <w:u w:val="single"/>
        </w:rPr>
      </w:pPr>
      <w:r w:rsidRPr="001B7F77">
        <w:rPr>
          <w:b/>
          <w:bCs/>
          <w:u w:val="single"/>
        </w:rPr>
        <w:t>SECTION EBC 1501</w:t>
      </w:r>
      <w:r w:rsidRPr="001B7F77">
        <w:rPr>
          <w:b/>
          <w:bCs/>
          <w:u w:val="single"/>
        </w:rPr>
        <w:br/>
      </w:r>
      <w:r w:rsidRPr="001B7F77">
        <w:rPr>
          <w:b/>
          <w:u w:val="single"/>
        </w:rPr>
        <w:t>GENERAL</w:t>
      </w:r>
    </w:p>
    <w:p w14:paraId="67A1B158" w14:textId="77777777" w:rsidR="001B7F77" w:rsidRPr="001B7F77" w:rsidRDefault="001B7F77" w:rsidP="001B7F77">
      <w:pPr>
        <w:widowControl w:val="0"/>
        <w:suppressAutoHyphens/>
        <w:spacing w:before="120"/>
        <w:rPr>
          <w:rFonts w:eastAsia="Times"/>
          <w:color w:val="000000"/>
          <w:u w:val="single"/>
        </w:rPr>
      </w:pPr>
      <w:r w:rsidRPr="001B7F77">
        <w:rPr>
          <w:b/>
          <w:bCs/>
          <w:u w:val="single"/>
        </w:rPr>
        <w:t>1501.1 Scope.</w:t>
      </w:r>
      <w:r w:rsidRPr="001B7F77">
        <w:rPr>
          <w:u w:val="single"/>
        </w:rPr>
        <w:t xml:space="preserve"> The requirements of this chapter shall apply to construction or demolition operations performed in existing buildings, as well as buildings that will </w:t>
      </w:r>
      <w:r w:rsidRPr="001B7F77">
        <w:rPr>
          <w:rFonts w:eastAsia="Times"/>
          <w:u w:val="single"/>
        </w:rPr>
        <w:t>be occupied during</w:t>
      </w:r>
      <w:r w:rsidRPr="001B7F77">
        <w:rPr>
          <w:rFonts w:eastAsia="Times"/>
          <w:color w:val="000000"/>
          <w:u w:val="single"/>
        </w:rPr>
        <w:t xml:space="preserve"> work, including newly constructed buildings that are partially occupied while work is ongoing.</w:t>
      </w:r>
    </w:p>
    <w:p w14:paraId="411D5FE0" w14:textId="77777777" w:rsidR="001B7F77" w:rsidRPr="001B7F77" w:rsidRDefault="001B7F77" w:rsidP="001B7F77">
      <w:pPr>
        <w:widowControl w:val="0"/>
        <w:suppressAutoHyphens/>
        <w:spacing w:before="120"/>
        <w:rPr>
          <w:u w:val="single"/>
        </w:rPr>
      </w:pPr>
      <w:r w:rsidRPr="001B7F77">
        <w:rPr>
          <w:b/>
          <w:bCs/>
          <w:u w:val="single"/>
        </w:rPr>
        <w:t xml:space="preserve">1501.2 Compliance with the </w:t>
      </w:r>
      <w:r w:rsidRPr="001B7F77">
        <w:rPr>
          <w:b/>
          <w:bCs/>
          <w:i/>
          <w:iCs/>
          <w:u w:val="single"/>
        </w:rPr>
        <w:t>New York City Building Code</w:t>
      </w:r>
      <w:r w:rsidRPr="001B7F77">
        <w:rPr>
          <w:b/>
          <w:bCs/>
          <w:u w:val="single"/>
        </w:rPr>
        <w:t>.</w:t>
      </w:r>
      <w:r w:rsidRPr="001B7F77">
        <w:rPr>
          <w:u w:val="single"/>
        </w:rPr>
        <w:t xml:space="preserve"> In addition to the provisions of this chapter, Chapter 33 of the </w:t>
      </w:r>
      <w:r w:rsidRPr="001B7F77">
        <w:rPr>
          <w:i/>
          <w:iCs/>
          <w:u w:val="single"/>
        </w:rPr>
        <w:t>New York City Building Code</w:t>
      </w:r>
      <w:r w:rsidRPr="001B7F77">
        <w:rPr>
          <w:u w:val="single"/>
        </w:rPr>
        <w:t xml:space="preserve"> shall also govern the conduct of all construction or demolition operations with regard to the safety of the public and property. </w:t>
      </w:r>
    </w:p>
    <w:p w14:paraId="1EF3E53A" w14:textId="77777777" w:rsidR="001B7F77" w:rsidRPr="001B7F77" w:rsidRDefault="001B7F77" w:rsidP="001B7F77">
      <w:pPr>
        <w:widowControl w:val="0"/>
        <w:suppressAutoHyphens/>
        <w:spacing w:before="120"/>
        <w:rPr>
          <w:u w:val="single"/>
        </w:rPr>
      </w:pPr>
      <w:r w:rsidRPr="001B7F77">
        <w:rPr>
          <w:b/>
          <w:bCs/>
          <w:u w:val="single"/>
        </w:rPr>
        <w:t xml:space="preserve">1501.3 Responsibility for safety. </w:t>
      </w:r>
      <w:r w:rsidRPr="001B7F77">
        <w:rPr>
          <w:u w:val="single"/>
        </w:rPr>
        <w:t>Nothing in this chapter shall be construed to relieve persons engaged in construction or demolition operations from complying with other applicable provisions of law, nor is it intended to alter or diminish any obligation otherwise imposed by law on any party engaged in a construction or demolition operation, including but not limited to the owner, construction manager, general contractor, subcontractors, material men, registered design professionals, or other party to engage in sound design and engineering, safe construction or demolition practices, including but not limited to debris removal, and to act in a reasonable and responsible manner to maintain a safe construction or demolition site.</w:t>
      </w:r>
    </w:p>
    <w:p w14:paraId="0DAD952D" w14:textId="77777777" w:rsidR="001B7F77" w:rsidRPr="001B7F77" w:rsidRDefault="001B7F77" w:rsidP="001B7F77">
      <w:pPr>
        <w:widowControl w:val="0"/>
        <w:suppressAutoHyphens/>
        <w:spacing w:before="120"/>
        <w:jc w:val="center"/>
        <w:outlineLvl w:val="0"/>
        <w:rPr>
          <w:b/>
          <w:bCs/>
          <w:u w:val="single"/>
        </w:rPr>
      </w:pPr>
    </w:p>
    <w:p w14:paraId="57408E2D" w14:textId="77777777" w:rsidR="001B7F77" w:rsidRPr="001B7F77" w:rsidRDefault="001B7F77" w:rsidP="001B7F77">
      <w:pPr>
        <w:widowControl w:val="0"/>
        <w:suppressAutoHyphens/>
        <w:spacing w:before="120"/>
        <w:jc w:val="center"/>
        <w:outlineLvl w:val="0"/>
        <w:rPr>
          <w:b/>
          <w:bCs/>
          <w:u w:val="single"/>
        </w:rPr>
      </w:pPr>
      <w:r w:rsidRPr="001B7F77">
        <w:rPr>
          <w:b/>
          <w:bCs/>
          <w:u w:val="single"/>
        </w:rPr>
        <w:t xml:space="preserve">SECTION </w:t>
      </w:r>
      <w:r w:rsidRPr="001B7F77">
        <w:rPr>
          <w:b/>
          <w:u w:val="single"/>
        </w:rPr>
        <w:t>EBC</w:t>
      </w:r>
      <w:r w:rsidRPr="001B7F77">
        <w:rPr>
          <w:b/>
          <w:bCs/>
          <w:u w:val="single"/>
        </w:rPr>
        <w:t xml:space="preserve"> 1502</w:t>
      </w:r>
      <w:r w:rsidRPr="001B7F77">
        <w:rPr>
          <w:b/>
          <w:bCs/>
          <w:u w:val="single"/>
        </w:rPr>
        <w:br/>
        <w:t>SAFEGUARDS FOR OCCUPANTS</w:t>
      </w:r>
    </w:p>
    <w:p w14:paraId="629B4257" w14:textId="77777777" w:rsidR="001B7F77" w:rsidRPr="001B7F77" w:rsidRDefault="001B7F77" w:rsidP="001B7F77">
      <w:pPr>
        <w:widowControl w:val="0"/>
        <w:suppressAutoHyphens/>
        <w:spacing w:before="120"/>
        <w:rPr>
          <w:u w:val="single"/>
        </w:rPr>
      </w:pPr>
      <w:r w:rsidRPr="001B7F77">
        <w:rPr>
          <w:b/>
          <w:bCs/>
          <w:u w:val="single"/>
        </w:rPr>
        <w:t xml:space="preserve">1502.1 Occupant protection required. </w:t>
      </w:r>
      <w:r w:rsidRPr="001B7F77">
        <w:rPr>
          <w:u w:val="single"/>
        </w:rPr>
        <w:t xml:space="preserve">When construction or demolition activity occurs in an occupied building, barricades, signs, drop cloths, and other protective means shall be installed and maintained as necessary to provide reasonable protection for the occupants against hazard and nuisance. Such protective means shall be indicated on an occupant protection plan, or on a tenant protection plan, as applicable. Protective means shall also be installed as required by this code, the </w:t>
      </w:r>
      <w:r w:rsidRPr="001B7F77">
        <w:rPr>
          <w:i/>
          <w:iCs/>
          <w:u w:val="single"/>
        </w:rPr>
        <w:t>New York City Building Code</w:t>
      </w:r>
      <w:r w:rsidRPr="001B7F77">
        <w:rPr>
          <w:u w:val="single"/>
        </w:rPr>
        <w:t>, and any other applicable provisions of law.</w:t>
      </w:r>
    </w:p>
    <w:p w14:paraId="794CF651" w14:textId="77777777" w:rsidR="001B7F77" w:rsidRPr="001B7F77" w:rsidRDefault="001B7F77" w:rsidP="001B7F77">
      <w:pPr>
        <w:widowControl w:val="0"/>
        <w:suppressAutoHyphens/>
        <w:spacing w:before="120"/>
        <w:rPr>
          <w:u w:val="single"/>
        </w:rPr>
      </w:pPr>
      <w:r w:rsidRPr="001B7F77">
        <w:rPr>
          <w:b/>
          <w:bCs/>
          <w:u w:val="single"/>
        </w:rPr>
        <w:t>1502.2 Common areas.</w:t>
      </w:r>
      <w:r w:rsidRPr="001B7F77">
        <w:rPr>
          <w:u w:val="single"/>
        </w:rPr>
        <w:t xml:space="preserve"> Common areas open to the public shall be left clean and free from hazards at the end of the workday.</w:t>
      </w:r>
    </w:p>
    <w:p w14:paraId="18928527" w14:textId="77777777" w:rsidR="001B7F77" w:rsidRPr="001B7F77" w:rsidRDefault="001B7F77" w:rsidP="001B7F77">
      <w:pPr>
        <w:widowControl w:val="0"/>
        <w:suppressAutoHyphens/>
        <w:spacing w:before="120"/>
        <w:rPr>
          <w:u w:val="single"/>
        </w:rPr>
      </w:pPr>
      <w:r w:rsidRPr="001B7F77">
        <w:rPr>
          <w:b/>
          <w:bCs/>
          <w:u w:val="single"/>
        </w:rPr>
        <w:t>1502.3 Notification of disruption of utility services, egress, and accessibility features.</w:t>
      </w:r>
      <w:r w:rsidRPr="001B7F77">
        <w:rPr>
          <w:u w:val="single"/>
        </w:rPr>
        <w:t xml:space="preserve"> In a building, including newly constructed buildings, </w:t>
      </w:r>
      <w:r w:rsidRPr="001B7F77">
        <w:rPr>
          <w:rFonts w:eastAsia="Times"/>
          <w:u w:val="single"/>
        </w:rPr>
        <w:t>in which any dwelling unit will be occupied during</w:t>
      </w:r>
      <w:r w:rsidRPr="001B7F77">
        <w:rPr>
          <w:rFonts w:eastAsia="Times"/>
          <w:color w:val="000000"/>
          <w:u w:val="single"/>
        </w:rPr>
        <w:t xml:space="preserve"> construction or demolition work, </w:t>
      </w:r>
      <w:r w:rsidRPr="001B7F77">
        <w:rPr>
          <w:u w:val="single"/>
        </w:rPr>
        <w:t>and where heat, hot water, cold water, gas, electricity, or other utility services are to be disrupted by such work, or where required means of egress or accessibility features are to be impacted by such work</w:t>
      </w:r>
      <w:r w:rsidRPr="001B7F77">
        <w:rPr>
          <w:rFonts w:eastAsia="Times"/>
          <w:color w:val="000000"/>
          <w:u w:val="single"/>
        </w:rPr>
        <w:t>,</w:t>
      </w:r>
      <w:r w:rsidRPr="001B7F77">
        <w:rPr>
          <w:u w:val="single"/>
        </w:rPr>
        <w:t xml:space="preserve"> occupants of the dwelling units shall be provided a minimum of 48-hours’ notice prior to the disruption or impact, unless the disruption or impact is due to an emergency condition. When due to an emergency condition, notice of the disruption or impact shall be made as soon as practicable.</w:t>
      </w:r>
    </w:p>
    <w:p w14:paraId="480AE93B" w14:textId="77777777" w:rsidR="001B7F77" w:rsidRPr="001B7F77" w:rsidRDefault="001B7F77" w:rsidP="001B7F77">
      <w:pPr>
        <w:widowControl w:val="0"/>
        <w:suppressAutoHyphens/>
        <w:spacing w:before="120"/>
        <w:ind w:left="360"/>
        <w:rPr>
          <w:u w:val="single"/>
        </w:rPr>
      </w:pPr>
      <w:r w:rsidRPr="001B7F77">
        <w:rPr>
          <w:b/>
          <w:bCs/>
          <w:u w:val="single"/>
        </w:rPr>
        <w:t xml:space="preserve">Exception: </w:t>
      </w:r>
      <w:r w:rsidRPr="001B7F77">
        <w:rPr>
          <w:u w:val="single"/>
        </w:rPr>
        <w:t>Notification of disruption of elevator service shall comply with the requirements of Section 1502.4.</w:t>
      </w:r>
    </w:p>
    <w:p w14:paraId="65A261E2" w14:textId="77777777" w:rsidR="001B7F77" w:rsidRPr="001B7F77" w:rsidRDefault="001B7F77" w:rsidP="001B7F77">
      <w:pPr>
        <w:widowControl w:val="0"/>
        <w:suppressAutoHyphens/>
        <w:spacing w:before="120"/>
        <w:rPr>
          <w:u w:val="single"/>
        </w:rPr>
      </w:pPr>
      <w:r w:rsidRPr="001B7F77">
        <w:rPr>
          <w:b/>
          <w:bCs/>
          <w:u w:val="single"/>
        </w:rPr>
        <w:t>1502.4 Notification of disruption of elevator service.</w:t>
      </w:r>
      <w:r w:rsidRPr="001B7F77">
        <w:rPr>
          <w:u w:val="single"/>
        </w:rPr>
        <w:t xml:space="preserve"> Notification of disruption of elevator service shall be provided in accordance with Section 28-304.10 of the </w:t>
      </w:r>
      <w:r w:rsidRPr="001B7F77">
        <w:rPr>
          <w:i/>
          <w:iCs/>
          <w:u w:val="single"/>
        </w:rPr>
        <w:t>Administrative Code</w:t>
      </w:r>
      <w:r w:rsidRPr="001B7F77">
        <w:rPr>
          <w:u w:val="single"/>
        </w:rPr>
        <w:t>.</w:t>
      </w:r>
    </w:p>
    <w:p w14:paraId="2192190F" w14:textId="77777777" w:rsidR="001B7F77" w:rsidRPr="001B7F77" w:rsidRDefault="001B7F77" w:rsidP="001B7F77">
      <w:pPr>
        <w:widowControl w:val="0"/>
        <w:suppressAutoHyphens/>
        <w:spacing w:before="120"/>
        <w:rPr>
          <w:u w:val="single"/>
        </w:rPr>
      </w:pPr>
      <w:r w:rsidRPr="001B7F77">
        <w:rPr>
          <w:b/>
          <w:bCs/>
          <w:u w:val="single"/>
        </w:rPr>
        <w:t>1502.5 Tenant and occupant protection plans.</w:t>
      </w:r>
      <w:r w:rsidRPr="001B7F77">
        <w:rPr>
          <w:u w:val="single"/>
        </w:rPr>
        <w:t xml:space="preserve"> A tenant protection plan shall be prepared when required by Section 1503. An occupant protection plan shall be prepared when required by Section 1504.</w:t>
      </w:r>
    </w:p>
    <w:p w14:paraId="7CD814E2" w14:textId="77777777" w:rsidR="001B7F77" w:rsidRPr="001B7F77" w:rsidRDefault="001B7F77" w:rsidP="001B7F77">
      <w:pPr>
        <w:widowControl w:val="0"/>
        <w:suppressAutoHyphens/>
        <w:spacing w:before="120"/>
        <w:rPr>
          <w:u w:val="single"/>
        </w:rPr>
      </w:pPr>
      <w:r w:rsidRPr="001B7F77">
        <w:rPr>
          <w:b/>
          <w:bCs/>
          <w:u w:val="single"/>
        </w:rPr>
        <w:t xml:space="preserve">1502.6 Egress. </w:t>
      </w:r>
      <w:r w:rsidRPr="001B7F77">
        <w:rPr>
          <w:u w:val="single"/>
        </w:rPr>
        <w:t>The requirements of Section 1505 shall apply.</w:t>
      </w:r>
    </w:p>
    <w:p w14:paraId="08A62A66" w14:textId="77777777" w:rsidR="001B7F77" w:rsidRPr="001B7F77" w:rsidRDefault="001B7F77" w:rsidP="001B7F77">
      <w:pPr>
        <w:widowControl w:val="0"/>
        <w:suppressAutoHyphens/>
        <w:spacing w:before="120"/>
        <w:rPr>
          <w:u w:val="single"/>
        </w:rPr>
      </w:pPr>
      <w:r w:rsidRPr="001B7F77">
        <w:rPr>
          <w:b/>
          <w:bCs/>
          <w:u w:val="single"/>
        </w:rPr>
        <w:t>1502.7 Tenant and occupant safety notes for limited alteration applications.</w:t>
      </w:r>
      <w:r w:rsidRPr="001B7F77">
        <w:rPr>
          <w:u w:val="single"/>
        </w:rPr>
        <w:t xml:space="preserve"> When required by rules promulgated by the department, work performed under a limited alteration application shall be conducted in accordance with tenant and occupant safety notes, with such notes posted at the worksite in a location readily visible to the public. The content of the tenant and occupant safety notes shall summarize existing code and legal requirements.</w:t>
      </w:r>
    </w:p>
    <w:p w14:paraId="69B54E1D" w14:textId="77777777" w:rsidR="001B7F77" w:rsidRPr="001B7F77" w:rsidRDefault="001B7F77" w:rsidP="001B7F77">
      <w:pPr>
        <w:widowControl w:val="0"/>
        <w:suppressAutoHyphens/>
        <w:spacing w:before="120"/>
        <w:jc w:val="center"/>
        <w:outlineLvl w:val="0"/>
        <w:rPr>
          <w:b/>
          <w:bCs/>
          <w:u w:val="single"/>
        </w:rPr>
      </w:pPr>
      <w:bookmarkStart w:id="217" w:name="_Hlk70420279"/>
    </w:p>
    <w:p w14:paraId="6B829E2D" w14:textId="77777777" w:rsidR="001B7F77" w:rsidRPr="001B7F77" w:rsidRDefault="001B7F77" w:rsidP="001B7F77">
      <w:pPr>
        <w:widowControl w:val="0"/>
        <w:suppressAutoHyphens/>
        <w:spacing w:before="120"/>
        <w:jc w:val="center"/>
        <w:outlineLvl w:val="0"/>
        <w:rPr>
          <w:b/>
          <w:bCs/>
          <w:u w:val="single"/>
        </w:rPr>
      </w:pPr>
      <w:r w:rsidRPr="001B7F77">
        <w:rPr>
          <w:b/>
          <w:bCs/>
          <w:u w:val="single"/>
        </w:rPr>
        <w:t xml:space="preserve">SECTION </w:t>
      </w:r>
      <w:r w:rsidRPr="001B7F77">
        <w:rPr>
          <w:b/>
          <w:u w:val="single"/>
        </w:rPr>
        <w:t>EBC</w:t>
      </w:r>
      <w:r w:rsidRPr="001B7F77">
        <w:rPr>
          <w:b/>
          <w:bCs/>
          <w:u w:val="single"/>
        </w:rPr>
        <w:t xml:space="preserve"> 1503</w:t>
      </w:r>
      <w:r w:rsidRPr="001B7F77">
        <w:rPr>
          <w:b/>
          <w:bCs/>
          <w:u w:val="single"/>
        </w:rPr>
        <w:br/>
        <w:t>TENANT PROTECTION PLAN</w:t>
      </w:r>
    </w:p>
    <w:p w14:paraId="0CFB16EB" w14:textId="77777777" w:rsidR="001B7F77" w:rsidRPr="001B7F77" w:rsidRDefault="001B7F77" w:rsidP="001B7F77">
      <w:pPr>
        <w:widowControl w:val="0"/>
        <w:suppressAutoHyphens/>
        <w:spacing w:before="120"/>
        <w:rPr>
          <w:rFonts w:eastAsia="Times"/>
          <w:color w:val="000000"/>
          <w:szCs w:val="24"/>
          <w:u w:val="single"/>
        </w:rPr>
      </w:pPr>
      <w:bookmarkStart w:id="218" w:name="_Hlk69394851"/>
      <w:r w:rsidRPr="001B7F77">
        <w:rPr>
          <w:b/>
          <w:bCs/>
          <w:szCs w:val="24"/>
          <w:u w:val="single"/>
        </w:rPr>
        <w:t>1503.1</w:t>
      </w:r>
      <w:bookmarkEnd w:id="218"/>
      <w:r w:rsidRPr="001B7F77">
        <w:rPr>
          <w:b/>
          <w:bCs/>
          <w:szCs w:val="24"/>
          <w:u w:val="single"/>
        </w:rPr>
        <w:t xml:space="preserve"> Where required.</w:t>
      </w:r>
      <w:r w:rsidRPr="001B7F77">
        <w:rPr>
          <w:szCs w:val="24"/>
          <w:u w:val="single"/>
        </w:rPr>
        <w:t xml:space="preserve"> </w:t>
      </w:r>
      <w:r w:rsidRPr="001B7F77">
        <w:rPr>
          <w:rFonts w:eastAsia="Times"/>
          <w:szCs w:val="24"/>
          <w:u w:val="single"/>
        </w:rPr>
        <w:t>Alteration, construction, or partial demolition work performed in a building in which any dwelling unit will be occupied during</w:t>
      </w:r>
      <w:r w:rsidRPr="001B7F77">
        <w:rPr>
          <w:rFonts w:eastAsia="Times"/>
          <w:color w:val="000000"/>
          <w:szCs w:val="24"/>
          <w:u w:val="single"/>
        </w:rPr>
        <w:t xml:space="preserve"> the work, including newly constructed buildings with one or more occupied dwelling units, shall be conducted in accordance with a tenant protection plan.</w:t>
      </w:r>
    </w:p>
    <w:p w14:paraId="17AADE82" w14:textId="77777777" w:rsidR="001B7F77" w:rsidRPr="001B7F77" w:rsidRDefault="001B7F77" w:rsidP="001B7F77">
      <w:pPr>
        <w:widowControl w:val="0"/>
        <w:suppressAutoHyphens/>
        <w:spacing w:before="120"/>
        <w:ind w:left="360"/>
        <w:rPr>
          <w:rFonts w:eastAsia="Times"/>
          <w:color w:val="000000"/>
          <w:szCs w:val="24"/>
          <w:u w:val="single"/>
        </w:rPr>
      </w:pPr>
      <w:r w:rsidRPr="001B7F77">
        <w:rPr>
          <w:rFonts w:eastAsia="Times"/>
          <w:b/>
          <w:bCs/>
          <w:color w:val="000000"/>
          <w:szCs w:val="24"/>
          <w:u w:val="single"/>
        </w:rPr>
        <w:t xml:space="preserve">Exceptions: </w:t>
      </w:r>
      <w:r w:rsidRPr="001B7F77">
        <w:rPr>
          <w:rFonts w:eastAsia="Times"/>
          <w:color w:val="000000"/>
          <w:szCs w:val="24"/>
          <w:u w:val="single"/>
        </w:rPr>
        <w:t>A tenant protection plan is not required for the following types of work. This exception shall not alleviate the owner, contractor, or any other entity engaged in the work from their obligation to comply with applicable tenant protection laws and regulations.</w:t>
      </w:r>
    </w:p>
    <w:p w14:paraId="1126F05B" w14:textId="77777777" w:rsidR="001B7F77" w:rsidRPr="001B7F77" w:rsidRDefault="001B7F77" w:rsidP="001B7F77">
      <w:pPr>
        <w:widowControl w:val="0"/>
        <w:spacing w:before="120"/>
        <w:ind w:left="1080" w:hanging="360"/>
        <w:contextualSpacing/>
        <w:rPr>
          <w:rFonts w:eastAsia="Times"/>
          <w:color w:val="000000"/>
          <w:szCs w:val="24"/>
          <w:u w:val="single"/>
        </w:rPr>
      </w:pPr>
      <w:r w:rsidRPr="001B7F77">
        <w:rPr>
          <w:rFonts w:eastAsia="Times"/>
          <w:color w:val="000000"/>
          <w:szCs w:val="24"/>
          <w:u w:val="single"/>
        </w:rPr>
        <w:t>1.</w:t>
      </w:r>
      <w:r w:rsidRPr="001B7F77">
        <w:rPr>
          <w:rFonts w:eastAsia="Times"/>
          <w:color w:val="000000"/>
          <w:szCs w:val="24"/>
          <w:u w:val="single"/>
        </w:rPr>
        <w:tab/>
        <w:t>Work that does not require a permit.</w:t>
      </w:r>
    </w:p>
    <w:p w14:paraId="1DDF7F58" w14:textId="77777777" w:rsidR="001B7F77" w:rsidRPr="001B7F77" w:rsidRDefault="001B7F77" w:rsidP="001B7F77">
      <w:pPr>
        <w:widowControl w:val="0"/>
        <w:spacing w:before="120"/>
        <w:ind w:left="1080" w:hanging="360"/>
        <w:contextualSpacing/>
        <w:rPr>
          <w:rFonts w:eastAsia="Times"/>
          <w:color w:val="000000"/>
          <w:szCs w:val="24"/>
          <w:u w:val="single"/>
        </w:rPr>
      </w:pPr>
      <w:r w:rsidRPr="001B7F77">
        <w:rPr>
          <w:rFonts w:eastAsia="Times"/>
          <w:color w:val="000000"/>
          <w:szCs w:val="24"/>
          <w:u w:val="single"/>
        </w:rPr>
        <w:t>2.</w:t>
      </w:r>
      <w:r w:rsidRPr="001B7F77">
        <w:rPr>
          <w:rFonts w:eastAsia="Times"/>
          <w:color w:val="000000"/>
          <w:szCs w:val="24"/>
          <w:u w:val="single"/>
        </w:rPr>
        <w:tab/>
        <w:t xml:space="preserve">Work whose scope is limited to that authorized by a Limited Alteration Application. </w:t>
      </w:r>
    </w:p>
    <w:p w14:paraId="222513DC" w14:textId="77777777" w:rsidR="001B7F77" w:rsidRPr="001B7F77" w:rsidRDefault="001B7F77" w:rsidP="001B7F77">
      <w:pPr>
        <w:widowControl w:val="0"/>
        <w:spacing w:before="120"/>
        <w:ind w:left="1080" w:hanging="360"/>
        <w:contextualSpacing/>
        <w:rPr>
          <w:rFonts w:eastAsia="Times"/>
          <w:color w:val="000000"/>
          <w:szCs w:val="24"/>
          <w:u w:val="single"/>
        </w:rPr>
      </w:pPr>
      <w:r w:rsidRPr="001B7F77">
        <w:rPr>
          <w:rFonts w:eastAsia="Times"/>
          <w:color w:val="000000"/>
          <w:szCs w:val="24"/>
          <w:u w:val="single"/>
        </w:rPr>
        <w:t>3.</w:t>
      </w:r>
      <w:r w:rsidRPr="001B7F77">
        <w:rPr>
          <w:rFonts w:eastAsia="Times"/>
          <w:color w:val="000000"/>
          <w:szCs w:val="24"/>
          <w:u w:val="single"/>
        </w:rPr>
        <w:tab/>
        <w:t>Work limited to the alteration of an existing elevator.</w:t>
      </w:r>
    </w:p>
    <w:p w14:paraId="03779DF1" w14:textId="77777777" w:rsidR="001B7F77" w:rsidRPr="001B7F77" w:rsidRDefault="001B7F77" w:rsidP="001B7F77">
      <w:pPr>
        <w:widowControl w:val="0"/>
        <w:spacing w:before="120"/>
        <w:ind w:left="1080" w:hanging="360"/>
        <w:contextualSpacing/>
        <w:rPr>
          <w:rFonts w:eastAsia="Times"/>
          <w:color w:val="000000"/>
          <w:szCs w:val="24"/>
          <w:u w:val="single"/>
        </w:rPr>
      </w:pPr>
      <w:r w:rsidRPr="001B7F77">
        <w:rPr>
          <w:rFonts w:eastAsia="Times"/>
          <w:color w:val="000000"/>
          <w:szCs w:val="24"/>
          <w:u w:val="single"/>
        </w:rPr>
        <w:t>4.</w:t>
      </w:r>
      <w:r w:rsidRPr="001B7F77">
        <w:rPr>
          <w:rFonts w:eastAsia="Times"/>
          <w:color w:val="000000"/>
          <w:szCs w:val="24"/>
          <w:u w:val="single"/>
        </w:rPr>
        <w:tab/>
        <w:t>Electrical work that does not require the submittal of plans to the department.</w:t>
      </w:r>
    </w:p>
    <w:p w14:paraId="1EF2D0D0" w14:textId="77777777" w:rsidR="001B7F77" w:rsidRPr="001B7F77" w:rsidRDefault="001B7F77" w:rsidP="001B7F77">
      <w:pPr>
        <w:widowControl w:val="0"/>
        <w:suppressAutoHyphens/>
        <w:spacing w:before="120"/>
        <w:rPr>
          <w:szCs w:val="24"/>
          <w:u w:val="single"/>
        </w:rPr>
      </w:pPr>
      <w:r w:rsidRPr="001B7F77">
        <w:rPr>
          <w:b/>
          <w:bCs/>
          <w:szCs w:val="24"/>
          <w:u w:val="single"/>
        </w:rPr>
        <w:t>1503.2 Applicant.</w:t>
      </w:r>
      <w:r w:rsidRPr="001B7F77">
        <w:rPr>
          <w:szCs w:val="24"/>
          <w:u w:val="single"/>
        </w:rPr>
        <w:t xml:space="preserve"> The tenant protection plan shall be prepared by a registered design professional and filed with the department. Such registered design professional shall be retained by the general contractor performing the alteration, construction, or partial demolition work.</w:t>
      </w:r>
    </w:p>
    <w:p w14:paraId="6441801F" w14:textId="77777777" w:rsidR="001B7F77" w:rsidRPr="001B7F77" w:rsidRDefault="001B7F77" w:rsidP="001B7F77">
      <w:pPr>
        <w:widowControl w:val="0"/>
        <w:suppressAutoHyphens/>
        <w:spacing w:before="120"/>
        <w:ind w:left="720"/>
        <w:rPr>
          <w:szCs w:val="24"/>
          <w:u w:val="single"/>
        </w:rPr>
      </w:pPr>
      <w:r w:rsidRPr="001B7F77">
        <w:rPr>
          <w:b/>
          <w:bCs/>
          <w:szCs w:val="24"/>
          <w:u w:val="single"/>
        </w:rPr>
        <w:t xml:space="preserve">Exceptions: </w:t>
      </w:r>
      <w:r w:rsidRPr="001B7F77">
        <w:rPr>
          <w:szCs w:val="24"/>
          <w:u w:val="single"/>
        </w:rPr>
        <w:t>In the following instances, the tenant protection plan may be prepared and filed by the registered design professional of record retained by the owner as part of the underlying application for alteration, construction, or partial demolition work:</w:t>
      </w:r>
    </w:p>
    <w:p w14:paraId="3FDD06D2" w14:textId="77777777" w:rsidR="001B7F77" w:rsidRPr="001B7F77" w:rsidRDefault="001B7F77" w:rsidP="001B7F77">
      <w:pPr>
        <w:widowControl w:val="0"/>
        <w:spacing w:before="120"/>
        <w:ind w:left="1440" w:hanging="360"/>
        <w:contextualSpacing/>
        <w:rPr>
          <w:rFonts w:eastAsia="Calibri"/>
          <w:color w:val="000000"/>
          <w:szCs w:val="24"/>
          <w:u w:val="single"/>
        </w:rPr>
      </w:pPr>
      <w:r w:rsidRPr="001B7F77">
        <w:rPr>
          <w:rFonts w:eastAsia="Calibri"/>
          <w:color w:val="000000"/>
          <w:szCs w:val="24"/>
          <w:u w:val="single"/>
        </w:rPr>
        <w:t>1.</w:t>
      </w:r>
      <w:r w:rsidRPr="001B7F77">
        <w:rPr>
          <w:rFonts w:eastAsia="Calibri"/>
          <w:color w:val="000000"/>
          <w:szCs w:val="24"/>
          <w:u w:val="single"/>
        </w:rPr>
        <w:tab/>
        <w:t>Work in occupied one- and two-family homes.</w:t>
      </w:r>
    </w:p>
    <w:p w14:paraId="1D5B6CCD" w14:textId="77777777" w:rsidR="001B7F77" w:rsidRPr="001B7F77" w:rsidRDefault="001B7F77" w:rsidP="001B7F77">
      <w:pPr>
        <w:widowControl w:val="0"/>
        <w:spacing w:before="120"/>
        <w:ind w:left="1440" w:hanging="360"/>
        <w:contextualSpacing/>
        <w:rPr>
          <w:rFonts w:eastAsia="Calibri"/>
          <w:color w:val="000000"/>
          <w:szCs w:val="24"/>
          <w:u w:val="single"/>
        </w:rPr>
      </w:pPr>
      <w:r w:rsidRPr="001B7F77">
        <w:rPr>
          <w:rFonts w:eastAsia="Calibri"/>
          <w:color w:val="000000"/>
          <w:szCs w:val="24"/>
          <w:u w:val="single"/>
        </w:rPr>
        <w:t>2.</w:t>
      </w:r>
      <w:r w:rsidRPr="001B7F77">
        <w:rPr>
          <w:rFonts w:eastAsia="Calibri"/>
          <w:color w:val="000000"/>
          <w:szCs w:val="24"/>
          <w:u w:val="single"/>
        </w:rPr>
        <w:tab/>
        <w:t>Work limited to the interior of a single, owner-occupied dwelling unit of an occupied multiple dwelling with no disruption to the essential services of other units. For a dwelling unit within a property that is owned by a condominium or held by a shareholder of a cooperative corporation under a proprietary lease, the unit must be occupied by the owners of record for such unit.</w:t>
      </w:r>
    </w:p>
    <w:p w14:paraId="5769A506" w14:textId="77777777" w:rsidR="001B7F77" w:rsidRPr="001B7F77" w:rsidRDefault="001B7F77" w:rsidP="001B7F77">
      <w:pPr>
        <w:widowControl w:val="0"/>
        <w:suppressAutoHyphens/>
        <w:spacing w:before="120"/>
        <w:rPr>
          <w:szCs w:val="24"/>
          <w:u w:val="single"/>
        </w:rPr>
      </w:pPr>
      <w:r w:rsidRPr="001B7F77">
        <w:rPr>
          <w:b/>
          <w:bCs/>
          <w:szCs w:val="24"/>
          <w:u w:val="single"/>
        </w:rPr>
        <w:t>1503.3 Permit issuance.</w:t>
      </w:r>
      <w:r w:rsidRPr="001B7F77">
        <w:rPr>
          <w:szCs w:val="24"/>
          <w:u w:val="single"/>
        </w:rPr>
        <w:t xml:space="preserve"> No permit shall be issued for work that requires a tenant protection plan unless such plan is approved by the department.</w:t>
      </w:r>
    </w:p>
    <w:p w14:paraId="0AECCBFF" w14:textId="77777777" w:rsidR="001B7F77" w:rsidRPr="001B7F77" w:rsidRDefault="001B7F77" w:rsidP="001B7F77">
      <w:pPr>
        <w:widowControl w:val="0"/>
        <w:suppressAutoHyphens/>
        <w:spacing w:before="120"/>
        <w:rPr>
          <w:szCs w:val="24"/>
          <w:u w:val="single"/>
        </w:rPr>
      </w:pPr>
      <w:r w:rsidRPr="001B7F77">
        <w:rPr>
          <w:b/>
          <w:bCs/>
          <w:szCs w:val="24"/>
          <w:u w:val="single"/>
        </w:rPr>
        <w:t>1503.4 The plan.</w:t>
      </w:r>
      <w:r w:rsidRPr="001B7F77">
        <w:rPr>
          <w:szCs w:val="24"/>
          <w:u w:val="single"/>
        </w:rPr>
        <w:t xml:space="preserve"> Tenant protection plans shall, at a minimum, contain the items required by Sections 1503.4.1 and 1503.4.2.</w:t>
      </w:r>
    </w:p>
    <w:p w14:paraId="395AAFEF" w14:textId="77777777" w:rsidR="001B7F77" w:rsidRPr="001B7F77" w:rsidRDefault="001B7F77" w:rsidP="001B7F77">
      <w:pPr>
        <w:widowControl w:val="0"/>
        <w:suppressAutoHyphens/>
        <w:spacing w:before="120"/>
        <w:ind w:left="360"/>
        <w:rPr>
          <w:szCs w:val="24"/>
          <w:u w:val="single"/>
        </w:rPr>
      </w:pPr>
      <w:bookmarkStart w:id="219" w:name="_Hlk69395161"/>
      <w:r w:rsidRPr="001B7F77">
        <w:rPr>
          <w:rFonts w:eastAsia="Times"/>
          <w:b/>
          <w:color w:val="000000"/>
          <w:szCs w:val="24"/>
          <w:u w:val="single"/>
        </w:rPr>
        <w:t>1503.4.1</w:t>
      </w:r>
      <w:bookmarkEnd w:id="219"/>
      <w:r w:rsidRPr="001B7F77">
        <w:rPr>
          <w:rFonts w:eastAsia="Times"/>
          <w:b/>
          <w:color w:val="000000"/>
          <w:szCs w:val="24"/>
          <w:u w:val="single"/>
        </w:rPr>
        <w:t xml:space="preserve"> Plan statement.</w:t>
      </w:r>
      <w:r w:rsidRPr="001B7F77">
        <w:rPr>
          <w:b/>
          <w:color w:val="000000"/>
          <w:szCs w:val="24"/>
          <w:u w:val="single"/>
        </w:rPr>
        <w:t xml:space="preserve"> </w:t>
      </w:r>
      <w:r w:rsidRPr="001B7F77">
        <w:rPr>
          <w:color w:val="000000"/>
          <w:szCs w:val="24"/>
          <w:u w:val="single"/>
        </w:rPr>
        <w:t xml:space="preserve">The tenant protection plan shall contain a statement </w:t>
      </w:r>
      <w:bookmarkStart w:id="220" w:name="_Hlk69395174"/>
      <w:r w:rsidRPr="001B7F77">
        <w:rPr>
          <w:szCs w:val="24"/>
          <w:u w:val="single"/>
        </w:rPr>
        <w:t>signed by the owner and signed by the applicant</w:t>
      </w:r>
      <w:bookmarkEnd w:id="220"/>
      <w:r w:rsidRPr="001B7F77">
        <w:rPr>
          <w:szCs w:val="24"/>
          <w:u w:val="single"/>
        </w:rPr>
        <w:t xml:space="preserve"> affirming </w:t>
      </w:r>
      <w:r w:rsidRPr="001B7F77">
        <w:rPr>
          <w:color w:val="000000"/>
          <w:szCs w:val="24"/>
          <w:u w:val="single"/>
        </w:rPr>
        <w:t xml:space="preserve">that the building contains dwelling units that will be occupied </w:t>
      </w:r>
      <w:r w:rsidRPr="001B7F77">
        <w:rPr>
          <w:rFonts w:eastAsia="Times"/>
          <w:color w:val="000000"/>
          <w:szCs w:val="24"/>
          <w:u w:val="single"/>
        </w:rPr>
        <w:t>during</w:t>
      </w:r>
      <w:r w:rsidRPr="001B7F77">
        <w:rPr>
          <w:color w:val="000000"/>
          <w:szCs w:val="24"/>
          <w:u w:val="single"/>
        </w:rPr>
        <w:t xml:space="preserve"> construction. In addition, such statement shall</w:t>
      </w:r>
      <w:r w:rsidRPr="001B7F77">
        <w:rPr>
          <w:szCs w:val="24"/>
          <w:u w:val="single"/>
        </w:rPr>
        <w:t xml:space="preserve"> indicate, </w:t>
      </w:r>
      <w:r w:rsidRPr="001B7F77">
        <w:rPr>
          <w:color w:val="000000"/>
          <w:szCs w:val="24"/>
          <w:u w:val="single"/>
        </w:rPr>
        <w:t xml:space="preserve">in sufficient detail, the specific units that are or may be occupied during </w:t>
      </w:r>
      <w:r w:rsidRPr="001B7F77">
        <w:rPr>
          <w:rFonts w:eastAsia="Times"/>
          <w:color w:val="000000"/>
          <w:szCs w:val="24"/>
          <w:u w:val="single"/>
        </w:rPr>
        <w:t>construction</w:t>
      </w:r>
      <w:r w:rsidRPr="001B7F77">
        <w:rPr>
          <w:color w:val="000000"/>
          <w:szCs w:val="24"/>
          <w:u w:val="single"/>
        </w:rPr>
        <w:t xml:space="preserve">, and the means and methods to be employed to safeguard the safety and health of the occupants throughout the construction, including, where applicable, details such as temporary fire-rated assemblies, opening protectives, or dust containment procedures. Such means and methods shall be described with particularity and in no case shall terms such as </w:t>
      </w:r>
      <w:r w:rsidRPr="001B7F77">
        <w:rPr>
          <w:rFonts w:eastAsia="Times"/>
          <w:color w:val="000000"/>
          <w:szCs w:val="24"/>
          <w:u w:val="single"/>
        </w:rPr>
        <w:t>"</w:t>
      </w:r>
      <w:r w:rsidRPr="001B7F77">
        <w:rPr>
          <w:color w:val="000000"/>
          <w:szCs w:val="24"/>
          <w:u w:val="single"/>
        </w:rPr>
        <w:t xml:space="preserve">code </w:t>
      </w:r>
      <w:r w:rsidRPr="001B7F77">
        <w:rPr>
          <w:rFonts w:eastAsia="Times"/>
          <w:color w:val="000000"/>
          <w:szCs w:val="24"/>
          <w:u w:val="single"/>
        </w:rPr>
        <w:t>compliant," "</w:t>
      </w:r>
      <w:r w:rsidRPr="001B7F77">
        <w:rPr>
          <w:color w:val="000000"/>
          <w:szCs w:val="24"/>
          <w:u w:val="single"/>
        </w:rPr>
        <w:t>approved</w:t>
      </w:r>
      <w:r w:rsidRPr="001B7F77">
        <w:rPr>
          <w:rFonts w:eastAsia="Times"/>
          <w:color w:val="000000"/>
          <w:szCs w:val="24"/>
          <w:u w:val="single"/>
        </w:rPr>
        <w:t>," "</w:t>
      </w:r>
      <w:r w:rsidRPr="001B7F77">
        <w:rPr>
          <w:color w:val="000000"/>
          <w:szCs w:val="24"/>
          <w:u w:val="single"/>
        </w:rPr>
        <w:t>legal</w:t>
      </w:r>
      <w:r w:rsidRPr="001B7F77">
        <w:rPr>
          <w:rFonts w:eastAsia="Times"/>
          <w:color w:val="000000"/>
          <w:szCs w:val="24"/>
          <w:u w:val="single"/>
        </w:rPr>
        <w:t>," "</w:t>
      </w:r>
      <w:r w:rsidRPr="001B7F77">
        <w:rPr>
          <w:color w:val="000000"/>
          <w:szCs w:val="24"/>
          <w:u w:val="single"/>
        </w:rPr>
        <w:t>protected in accordance with law,</w:t>
      </w:r>
      <w:r w:rsidRPr="001B7F77">
        <w:rPr>
          <w:rFonts w:eastAsia="Times"/>
          <w:color w:val="000000"/>
          <w:szCs w:val="24"/>
          <w:u w:val="single"/>
        </w:rPr>
        <w:t xml:space="preserve">" </w:t>
      </w:r>
      <w:r w:rsidRPr="001B7F77">
        <w:rPr>
          <w:color w:val="000000"/>
          <w:szCs w:val="24"/>
          <w:u w:val="single"/>
        </w:rPr>
        <w:t>or similar terms be used as</w:t>
      </w:r>
      <w:r w:rsidRPr="001B7F77">
        <w:rPr>
          <w:rFonts w:eastAsia="Times"/>
          <w:color w:val="000000"/>
          <w:szCs w:val="24"/>
          <w:u w:val="single"/>
        </w:rPr>
        <w:t xml:space="preserve"> a</w:t>
      </w:r>
      <w:r w:rsidRPr="001B7F77">
        <w:rPr>
          <w:color w:val="000000"/>
          <w:szCs w:val="24"/>
          <w:u w:val="single"/>
        </w:rPr>
        <w:t xml:space="preserve"> substitute for such description</w:t>
      </w:r>
      <w:r w:rsidRPr="001B7F77">
        <w:rPr>
          <w:szCs w:val="24"/>
          <w:u w:val="single"/>
        </w:rPr>
        <w:t>.</w:t>
      </w:r>
    </w:p>
    <w:p w14:paraId="671C2370" w14:textId="77777777" w:rsidR="001B7F77" w:rsidRPr="001B7F77" w:rsidRDefault="001B7F77" w:rsidP="001B7F77">
      <w:pPr>
        <w:widowControl w:val="0"/>
        <w:suppressAutoHyphens/>
        <w:spacing w:before="120"/>
        <w:ind w:left="360"/>
        <w:rPr>
          <w:szCs w:val="24"/>
          <w:u w:val="single"/>
        </w:rPr>
      </w:pPr>
      <w:bookmarkStart w:id="221" w:name="_Hlk72163898"/>
      <w:r w:rsidRPr="001B7F77">
        <w:rPr>
          <w:rFonts w:eastAsia="Times"/>
          <w:b/>
          <w:color w:val="000000"/>
          <w:szCs w:val="24"/>
          <w:u w:val="single"/>
        </w:rPr>
        <w:t xml:space="preserve">1503.4.2 </w:t>
      </w:r>
      <w:bookmarkEnd w:id="221"/>
      <w:r w:rsidRPr="001B7F77">
        <w:rPr>
          <w:rFonts w:eastAsia="Times"/>
          <w:b/>
          <w:color w:val="000000"/>
          <w:szCs w:val="24"/>
          <w:u w:val="single"/>
        </w:rPr>
        <w:t xml:space="preserve">Plan content. </w:t>
      </w:r>
      <w:r w:rsidRPr="001B7F77">
        <w:rPr>
          <w:color w:val="000000"/>
          <w:szCs w:val="24"/>
          <w:u w:val="single"/>
        </w:rPr>
        <w:t xml:space="preserve">The tenant protection plan must be site specific. The elements of the tenant protection plan may vary depending on the nature and scope of the work but, at a minimum, must comply with all applicable laws and regulations, including the </w:t>
      </w:r>
      <w:r w:rsidRPr="001B7F77">
        <w:rPr>
          <w:i/>
          <w:iCs/>
          <w:color w:val="000000"/>
          <w:szCs w:val="24"/>
          <w:u w:val="single"/>
        </w:rPr>
        <w:t xml:space="preserve">New York </w:t>
      </w:r>
      <w:r w:rsidRPr="001B7F77">
        <w:rPr>
          <w:i/>
          <w:iCs/>
          <w:szCs w:val="24"/>
          <w:u w:val="single"/>
        </w:rPr>
        <w:t>City</w:t>
      </w:r>
      <w:r w:rsidRPr="001B7F77">
        <w:rPr>
          <w:i/>
          <w:iCs/>
          <w:color w:val="000000"/>
          <w:szCs w:val="24"/>
          <w:u w:val="single"/>
        </w:rPr>
        <w:t xml:space="preserve"> Construction Codes</w:t>
      </w:r>
      <w:r w:rsidRPr="001B7F77">
        <w:rPr>
          <w:color w:val="000000"/>
          <w:szCs w:val="24"/>
          <w:u w:val="single"/>
        </w:rPr>
        <w:t xml:space="preserve">, the </w:t>
      </w:r>
      <w:r w:rsidRPr="001B7F77">
        <w:rPr>
          <w:i/>
          <w:iCs/>
          <w:color w:val="000000"/>
          <w:szCs w:val="24"/>
          <w:u w:val="single"/>
        </w:rPr>
        <w:t>New York City Fire Code</w:t>
      </w:r>
      <w:r w:rsidRPr="001B7F77">
        <w:rPr>
          <w:color w:val="000000"/>
          <w:szCs w:val="24"/>
          <w:u w:val="single"/>
        </w:rPr>
        <w:t xml:space="preserve">, the </w:t>
      </w:r>
      <w:r w:rsidRPr="001B7F77">
        <w:rPr>
          <w:i/>
          <w:iCs/>
          <w:color w:val="000000"/>
          <w:szCs w:val="24"/>
          <w:u w:val="single"/>
        </w:rPr>
        <w:t xml:space="preserve">New York </w:t>
      </w:r>
      <w:r w:rsidRPr="001B7F77">
        <w:rPr>
          <w:i/>
          <w:iCs/>
          <w:szCs w:val="24"/>
          <w:u w:val="single"/>
        </w:rPr>
        <w:t>City Housing Maintenance Code</w:t>
      </w:r>
      <w:r w:rsidRPr="001B7F77">
        <w:rPr>
          <w:color w:val="000000"/>
          <w:szCs w:val="24"/>
          <w:u w:val="single"/>
        </w:rPr>
        <w:t>, the</w:t>
      </w:r>
      <w:r w:rsidRPr="001B7F77">
        <w:rPr>
          <w:i/>
          <w:iCs/>
          <w:color w:val="000000"/>
          <w:szCs w:val="24"/>
          <w:u w:val="single"/>
        </w:rPr>
        <w:t xml:space="preserve"> New York </w:t>
      </w:r>
      <w:r w:rsidRPr="001B7F77">
        <w:rPr>
          <w:i/>
          <w:iCs/>
          <w:szCs w:val="24"/>
          <w:u w:val="single"/>
        </w:rPr>
        <w:t>City Noise Control Code</w:t>
      </w:r>
      <w:r w:rsidRPr="001B7F77">
        <w:rPr>
          <w:color w:val="000000"/>
          <w:szCs w:val="24"/>
          <w:u w:val="single"/>
        </w:rPr>
        <w:t xml:space="preserve"> and the </w:t>
      </w:r>
      <w:r w:rsidRPr="001B7F77">
        <w:rPr>
          <w:i/>
          <w:iCs/>
          <w:color w:val="000000"/>
          <w:szCs w:val="24"/>
          <w:u w:val="single"/>
        </w:rPr>
        <w:t xml:space="preserve">New York </w:t>
      </w:r>
      <w:r w:rsidRPr="001B7F77">
        <w:rPr>
          <w:i/>
          <w:iCs/>
          <w:szCs w:val="24"/>
          <w:u w:val="single"/>
        </w:rPr>
        <w:t>City Health Code</w:t>
      </w:r>
      <w:r w:rsidRPr="001B7F77">
        <w:rPr>
          <w:color w:val="000000"/>
          <w:szCs w:val="24"/>
          <w:u w:val="single"/>
        </w:rPr>
        <w:t>, and shall make detailed and specific provisions for</w:t>
      </w:r>
      <w:r w:rsidRPr="001B7F77">
        <w:rPr>
          <w:szCs w:val="24"/>
          <w:u w:val="single"/>
        </w:rPr>
        <w:t>:</w:t>
      </w:r>
    </w:p>
    <w:p w14:paraId="3D8861B2" w14:textId="77777777" w:rsidR="001B7F77" w:rsidRPr="001B7F77" w:rsidRDefault="001B7F77" w:rsidP="001B7F77">
      <w:pPr>
        <w:widowControl w:val="0"/>
        <w:suppressAutoHyphens/>
        <w:spacing w:before="120"/>
        <w:ind w:left="1080" w:hanging="360"/>
        <w:rPr>
          <w:szCs w:val="24"/>
          <w:u w:val="single"/>
        </w:rPr>
      </w:pPr>
      <w:r w:rsidRPr="001B7F77">
        <w:rPr>
          <w:b/>
          <w:bCs/>
          <w:szCs w:val="24"/>
          <w:u w:val="single"/>
        </w:rPr>
        <w:t>1.</w:t>
      </w:r>
      <w:r w:rsidRPr="001B7F77">
        <w:rPr>
          <w:b/>
          <w:bCs/>
          <w:szCs w:val="24"/>
          <w:u w:val="single"/>
        </w:rPr>
        <w:tab/>
        <w:t>Egress.</w:t>
      </w:r>
      <w:r w:rsidRPr="001B7F77">
        <w:rPr>
          <w:szCs w:val="24"/>
          <w:u w:val="single"/>
        </w:rPr>
        <w:t xml:space="preserve"> The tenant protection plan shall identify the egress that will be provided. At all times in the course of construction, provision shall be made for code compliant means of egress, as required by the </w:t>
      </w:r>
      <w:r w:rsidRPr="001B7F77">
        <w:rPr>
          <w:i/>
          <w:iCs/>
          <w:szCs w:val="24"/>
          <w:u w:val="single"/>
        </w:rPr>
        <w:t>New York City Construction Codes</w:t>
      </w:r>
      <w:r w:rsidRPr="001B7F77">
        <w:rPr>
          <w:szCs w:val="24"/>
          <w:u w:val="single"/>
        </w:rPr>
        <w:t>. Required egress shall not be obstructed at any time except where approved by the commissioner.</w:t>
      </w:r>
    </w:p>
    <w:p w14:paraId="3418B39F" w14:textId="77777777" w:rsidR="001B7F77" w:rsidRPr="001B7F77" w:rsidRDefault="001B7F77" w:rsidP="001B7F77">
      <w:pPr>
        <w:widowControl w:val="0"/>
        <w:suppressAutoHyphens/>
        <w:spacing w:before="120"/>
        <w:ind w:left="1080" w:hanging="360"/>
        <w:rPr>
          <w:szCs w:val="24"/>
          <w:u w:val="single"/>
        </w:rPr>
      </w:pPr>
      <w:r w:rsidRPr="001B7F77">
        <w:rPr>
          <w:b/>
          <w:bCs/>
          <w:szCs w:val="24"/>
          <w:u w:val="single"/>
        </w:rPr>
        <w:t>2.</w:t>
      </w:r>
      <w:r w:rsidRPr="001B7F77">
        <w:rPr>
          <w:b/>
          <w:bCs/>
          <w:szCs w:val="24"/>
          <w:u w:val="single"/>
        </w:rPr>
        <w:tab/>
        <w:t>Fire safety.</w:t>
      </w:r>
      <w:r w:rsidRPr="001B7F77">
        <w:rPr>
          <w:szCs w:val="24"/>
          <w:u w:val="single"/>
        </w:rPr>
        <w:t xml:space="preserve"> All necessary laws and controls, including those with respect to occupied dwellings, as well as additional safety measures necessitated by the construction, shall be strictly observed.</w:t>
      </w:r>
    </w:p>
    <w:p w14:paraId="32AF98F4" w14:textId="77777777" w:rsidR="001B7F77" w:rsidRPr="001B7F77" w:rsidRDefault="001B7F77" w:rsidP="001B7F77">
      <w:pPr>
        <w:widowControl w:val="0"/>
        <w:suppressAutoHyphens/>
        <w:spacing w:before="120"/>
        <w:ind w:left="1080" w:hanging="360"/>
        <w:rPr>
          <w:szCs w:val="24"/>
          <w:u w:val="single"/>
        </w:rPr>
      </w:pPr>
      <w:r w:rsidRPr="001B7F77">
        <w:rPr>
          <w:b/>
          <w:bCs/>
          <w:szCs w:val="24"/>
          <w:u w:val="single"/>
        </w:rPr>
        <w:t>3.</w:t>
      </w:r>
      <w:r w:rsidRPr="001B7F77">
        <w:rPr>
          <w:b/>
          <w:bCs/>
          <w:szCs w:val="24"/>
          <w:u w:val="single"/>
        </w:rPr>
        <w:tab/>
        <w:t>Health requirements.</w:t>
      </w:r>
      <w:r w:rsidRPr="001B7F77">
        <w:rPr>
          <w:szCs w:val="24"/>
          <w:u w:val="single"/>
        </w:rPr>
        <w:t xml:space="preserve"> Specification of means and methods to be used for control of dust, disposal of construction debris, pest control, and maintenance of sanitary facilities shall be included.</w:t>
      </w:r>
    </w:p>
    <w:p w14:paraId="158B9957" w14:textId="77777777" w:rsidR="001B7F77" w:rsidRPr="001B7F77" w:rsidRDefault="001B7F77" w:rsidP="001B7F77">
      <w:pPr>
        <w:widowControl w:val="0"/>
        <w:suppressAutoHyphens/>
        <w:spacing w:before="120"/>
        <w:ind w:left="1620" w:hanging="540"/>
        <w:rPr>
          <w:szCs w:val="24"/>
          <w:u w:val="single"/>
        </w:rPr>
      </w:pPr>
      <w:r w:rsidRPr="001B7F77">
        <w:rPr>
          <w:b/>
          <w:bCs/>
          <w:szCs w:val="24"/>
          <w:u w:val="single"/>
        </w:rPr>
        <w:t>3.1.</w:t>
      </w:r>
      <w:r w:rsidRPr="001B7F77">
        <w:rPr>
          <w:szCs w:val="24"/>
          <w:u w:val="single"/>
        </w:rPr>
        <w:tab/>
      </w:r>
      <w:r w:rsidRPr="001B7F77">
        <w:rPr>
          <w:b/>
          <w:bCs/>
          <w:szCs w:val="24"/>
          <w:u w:val="single"/>
        </w:rPr>
        <w:t xml:space="preserve">Lead and asbestos. </w:t>
      </w:r>
      <w:r w:rsidRPr="001B7F77">
        <w:rPr>
          <w:szCs w:val="24"/>
          <w:u w:val="single"/>
        </w:rPr>
        <w:t>There shall be included a statement of compliance with applicable provisions of law relating to lead and asbestos, and such statement shall describe with particularity what means and methods are being undertaken to meet such compliance.</w:t>
      </w:r>
    </w:p>
    <w:p w14:paraId="27866A23" w14:textId="77777777" w:rsidR="001B7F77" w:rsidRPr="001B7F77" w:rsidRDefault="001B7F77" w:rsidP="001B7F77">
      <w:pPr>
        <w:widowControl w:val="0"/>
        <w:suppressAutoHyphens/>
        <w:spacing w:before="120"/>
        <w:ind w:left="1080" w:hanging="360"/>
        <w:rPr>
          <w:szCs w:val="24"/>
          <w:u w:val="single"/>
        </w:rPr>
      </w:pPr>
      <w:r w:rsidRPr="001B7F77">
        <w:rPr>
          <w:b/>
          <w:bCs/>
          <w:szCs w:val="24"/>
          <w:u w:val="single"/>
        </w:rPr>
        <w:t>4.</w:t>
      </w:r>
      <w:r w:rsidRPr="001B7F77">
        <w:rPr>
          <w:b/>
          <w:bCs/>
          <w:szCs w:val="24"/>
          <w:u w:val="single"/>
        </w:rPr>
        <w:tab/>
        <w:t>Compliance with housing standards.</w:t>
      </w:r>
      <w:r w:rsidRPr="001B7F77">
        <w:rPr>
          <w:szCs w:val="24"/>
          <w:u w:val="single"/>
        </w:rPr>
        <w:t xml:space="preserve"> The requirements of the </w:t>
      </w:r>
      <w:r w:rsidRPr="001B7F77">
        <w:rPr>
          <w:i/>
          <w:iCs/>
          <w:szCs w:val="24"/>
          <w:u w:val="single"/>
        </w:rPr>
        <w:t>New York City Housing Maintenance Code</w:t>
      </w:r>
      <w:r w:rsidRPr="001B7F77">
        <w:rPr>
          <w:szCs w:val="24"/>
          <w:u w:val="single"/>
        </w:rPr>
        <w:t xml:space="preserve"> and the </w:t>
      </w:r>
      <w:r w:rsidRPr="001B7F77">
        <w:rPr>
          <w:i/>
          <w:iCs/>
          <w:szCs w:val="24"/>
          <w:u w:val="single"/>
        </w:rPr>
        <w:t>New York State Multiple Dwelling Law</w:t>
      </w:r>
      <w:r w:rsidRPr="001B7F77">
        <w:rPr>
          <w:szCs w:val="24"/>
          <w:u w:val="single"/>
        </w:rPr>
        <w:t>, where applicable, shall be strictly observed.</w:t>
      </w:r>
    </w:p>
    <w:p w14:paraId="6AA277C9" w14:textId="77777777" w:rsidR="001B7F77" w:rsidRPr="001B7F77" w:rsidRDefault="001B7F77" w:rsidP="001B7F77">
      <w:pPr>
        <w:widowControl w:val="0"/>
        <w:suppressAutoHyphens/>
        <w:spacing w:before="120"/>
        <w:ind w:left="1080" w:hanging="360"/>
        <w:rPr>
          <w:szCs w:val="24"/>
          <w:u w:val="single"/>
        </w:rPr>
      </w:pPr>
      <w:r w:rsidRPr="001B7F77">
        <w:rPr>
          <w:b/>
          <w:bCs/>
          <w:szCs w:val="24"/>
          <w:u w:val="single"/>
        </w:rPr>
        <w:t>5.</w:t>
      </w:r>
      <w:r w:rsidRPr="001B7F77">
        <w:rPr>
          <w:b/>
          <w:bCs/>
          <w:szCs w:val="24"/>
          <w:u w:val="single"/>
        </w:rPr>
        <w:tab/>
        <w:t>Structural safety.</w:t>
      </w:r>
      <w:r w:rsidRPr="001B7F77">
        <w:rPr>
          <w:szCs w:val="24"/>
          <w:u w:val="single"/>
        </w:rPr>
        <w:t xml:space="preserve"> No structural work shall be done that may endanger the tenants.</w:t>
      </w:r>
    </w:p>
    <w:p w14:paraId="75DA4743" w14:textId="77777777" w:rsidR="001B7F77" w:rsidRPr="001B7F77" w:rsidRDefault="001B7F77" w:rsidP="001B7F77">
      <w:pPr>
        <w:widowControl w:val="0"/>
        <w:suppressAutoHyphens/>
        <w:spacing w:before="120"/>
        <w:ind w:left="1080" w:hanging="360"/>
        <w:rPr>
          <w:szCs w:val="24"/>
        </w:rPr>
      </w:pPr>
      <w:r w:rsidRPr="001B7F77">
        <w:rPr>
          <w:b/>
          <w:bCs/>
          <w:szCs w:val="24"/>
          <w:u w:val="single"/>
        </w:rPr>
        <w:t>6.</w:t>
      </w:r>
      <w:r w:rsidRPr="001B7F77">
        <w:rPr>
          <w:b/>
          <w:bCs/>
          <w:szCs w:val="24"/>
          <w:u w:val="single"/>
        </w:rPr>
        <w:tab/>
        <w:t>Noise restrictions.</w:t>
      </w:r>
      <w:r w:rsidRPr="001B7F77">
        <w:rPr>
          <w:szCs w:val="24"/>
          <w:u w:val="single"/>
        </w:rPr>
        <w:t xml:space="preserve"> Specification of means and methods to be used for the limitation of noise to acceptable levels in accordance with the </w:t>
      </w:r>
      <w:r w:rsidRPr="001B7F77">
        <w:rPr>
          <w:i/>
          <w:iCs/>
          <w:szCs w:val="24"/>
          <w:u w:val="single"/>
        </w:rPr>
        <w:t>New York City Noise Control Code</w:t>
      </w:r>
      <w:r w:rsidRPr="001B7F77">
        <w:rPr>
          <w:szCs w:val="24"/>
          <w:u w:val="single"/>
        </w:rPr>
        <w:t xml:space="preserve"> shall be included. Where hours of the day or the days of the week in which construction work may be undertaken are limited pursuant to the </w:t>
      </w:r>
      <w:r w:rsidRPr="001B7F77">
        <w:rPr>
          <w:i/>
          <w:iCs/>
          <w:szCs w:val="24"/>
          <w:u w:val="single"/>
        </w:rPr>
        <w:t>New York City Noise Control Code</w:t>
      </w:r>
      <w:r w:rsidRPr="001B7F77">
        <w:rPr>
          <w:szCs w:val="24"/>
          <w:u w:val="single"/>
        </w:rPr>
        <w:t>, such limitations shall be stated.</w:t>
      </w:r>
    </w:p>
    <w:p w14:paraId="51ECCF19" w14:textId="77777777" w:rsidR="001B7F77" w:rsidRPr="001B7F77" w:rsidRDefault="001B7F77" w:rsidP="001B7F77">
      <w:pPr>
        <w:widowControl w:val="0"/>
        <w:suppressAutoHyphens/>
        <w:spacing w:before="120"/>
        <w:ind w:left="1080" w:hanging="360"/>
        <w:rPr>
          <w:szCs w:val="24"/>
          <w:u w:val="single"/>
        </w:rPr>
      </w:pPr>
      <w:r w:rsidRPr="001B7F77">
        <w:rPr>
          <w:b/>
          <w:bCs/>
          <w:szCs w:val="24"/>
          <w:u w:val="single"/>
        </w:rPr>
        <w:t>7.</w:t>
      </w:r>
      <w:r w:rsidRPr="001B7F77">
        <w:rPr>
          <w:b/>
          <w:bCs/>
          <w:szCs w:val="24"/>
          <w:u w:val="single"/>
        </w:rPr>
        <w:tab/>
        <w:t>Maintaining essential services.</w:t>
      </w:r>
      <w:r w:rsidRPr="001B7F77">
        <w:rPr>
          <w:szCs w:val="24"/>
          <w:u w:val="single"/>
        </w:rPr>
        <w:t xml:space="preserve"> Where heat, hot water, cold water, gas, electricity, or other utility services are provided in such building or in any dwelling unit located therein, the tenant protection plan shall specify the means and methods to be used for maintaining such services during such work in accordance with the requirements of the </w:t>
      </w:r>
      <w:r w:rsidRPr="001B7F77">
        <w:rPr>
          <w:i/>
          <w:iCs/>
          <w:szCs w:val="24"/>
          <w:u w:val="single"/>
        </w:rPr>
        <w:t>New York City Housing Maintenance Code</w:t>
      </w:r>
      <w:r w:rsidRPr="001B7F77">
        <w:rPr>
          <w:szCs w:val="24"/>
          <w:u w:val="single"/>
        </w:rPr>
        <w:t>.</w:t>
      </w:r>
    </w:p>
    <w:p w14:paraId="04D1D25E" w14:textId="77777777" w:rsidR="001B7F77" w:rsidRPr="001B7F77" w:rsidRDefault="001B7F77" w:rsidP="001B7F77">
      <w:pPr>
        <w:widowControl w:val="0"/>
        <w:suppressAutoHyphens/>
        <w:spacing w:before="120"/>
        <w:ind w:left="1620" w:hanging="540"/>
        <w:rPr>
          <w:szCs w:val="24"/>
          <w:u w:val="single"/>
        </w:rPr>
      </w:pPr>
      <w:r w:rsidRPr="001B7F77">
        <w:rPr>
          <w:b/>
          <w:bCs/>
          <w:szCs w:val="24"/>
          <w:u w:val="single"/>
        </w:rPr>
        <w:t>7.1.</w:t>
      </w:r>
      <w:r w:rsidRPr="001B7F77">
        <w:rPr>
          <w:b/>
          <w:bCs/>
          <w:szCs w:val="24"/>
          <w:u w:val="single"/>
        </w:rPr>
        <w:tab/>
        <w:t xml:space="preserve">Disruptions. </w:t>
      </w:r>
      <w:r w:rsidRPr="001B7F77">
        <w:rPr>
          <w:szCs w:val="24"/>
          <w:u w:val="single"/>
        </w:rPr>
        <w:t>If a disruption of any such service is anticipated during the work, the plan shall specify the anticipated duration of such disruption and the means and methods to be employed to minimize such disruption, including the provision of sufficient alternatives for such service during such disruption.</w:t>
      </w:r>
    </w:p>
    <w:p w14:paraId="0080234A" w14:textId="77777777" w:rsidR="001B7F77" w:rsidRPr="001B7F77" w:rsidRDefault="001B7F77" w:rsidP="001B7F77">
      <w:pPr>
        <w:widowControl w:val="0"/>
        <w:suppressAutoHyphens/>
        <w:spacing w:before="120"/>
        <w:ind w:left="1620" w:hanging="540"/>
        <w:rPr>
          <w:szCs w:val="24"/>
          <w:u w:val="single"/>
        </w:rPr>
      </w:pPr>
      <w:r w:rsidRPr="001B7F77">
        <w:rPr>
          <w:b/>
          <w:bCs/>
          <w:szCs w:val="24"/>
          <w:u w:val="single"/>
        </w:rPr>
        <w:t>7.2.</w:t>
      </w:r>
      <w:r w:rsidRPr="001B7F77">
        <w:rPr>
          <w:b/>
          <w:bCs/>
          <w:szCs w:val="24"/>
          <w:u w:val="single"/>
        </w:rPr>
        <w:tab/>
        <w:t>Coordinating work to minimize disruptions.</w:t>
      </w:r>
      <w:r w:rsidRPr="001B7F77">
        <w:rPr>
          <w:szCs w:val="24"/>
          <w:u w:val="single"/>
        </w:rPr>
        <w:t xml:space="preserve"> Where disruptions are anticipated, the plan shall specify coordination efforts to be employed to minimize disruption to tenants, including but not limited to staging or phasing of work.</w:t>
      </w:r>
    </w:p>
    <w:p w14:paraId="4ED677C4" w14:textId="77777777" w:rsidR="001B7F77" w:rsidRPr="001B7F77" w:rsidRDefault="001B7F77" w:rsidP="001B7F77">
      <w:pPr>
        <w:widowControl w:val="0"/>
        <w:suppressAutoHyphens/>
        <w:spacing w:before="120"/>
        <w:ind w:left="1080" w:hanging="360"/>
        <w:rPr>
          <w:szCs w:val="24"/>
          <w:u w:val="single"/>
        </w:rPr>
      </w:pPr>
      <w:r w:rsidRPr="001B7F77">
        <w:rPr>
          <w:b/>
          <w:bCs/>
          <w:szCs w:val="24"/>
          <w:u w:val="single"/>
        </w:rPr>
        <w:t>8.</w:t>
      </w:r>
      <w:r w:rsidRPr="001B7F77">
        <w:rPr>
          <w:b/>
          <w:bCs/>
          <w:szCs w:val="24"/>
          <w:u w:val="single"/>
        </w:rPr>
        <w:tab/>
        <w:t>Maintaining accessibility.</w:t>
      </w:r>
      <w:r w:rsidRPr="001B7F77">
        <w:rPr>
          <w:szCs w:val="24"/>
          <w:u w:val="single"/>
        </w:rPr>
        <w:t xml:space="preserve"> The tenant protection plan shall specify the means and methods to be used to maintain existing levels of accessibility for building tenants.</w:t>
      </w:r>
    </w:p>
    <w:p w14:paraId="14BD88A7" w14:textId="77777777" w:rsidR="001B7F77" w:rsidRPr="001B7F77" w:rsidRDefault="001B7F77" w:rsidP="001B7F77">
      <w:pPr>
        <w:widowControl w:val="0"/>
        <w:suppressAutoHyphens/>
        <w:spacing w:before="120"/>
        <w:ind w:left="1620" w:hanging="540"/>
        <w:rPr>
          <w:szCs w:val="24"/>
          <w:u w:val="single"/>
        </w:rPr>
      </w:pPr>
      <w:r w:rsidRPr="001B7F77">
        <w:rPr>
          <w:b/>
          <w:bCs/>
          <w:szCs w:val="24"/>
          <w:u w:val="single"/>
        </w:rPr>
        <w:t>8.1.</w:t>
      </w:r>
      <w:r w:rsidRPr="001B7F77">
        <w:rPr>
          <w:b/>
          <w:bCs/>
          <w:szCs w:val="24"/>
          <w:u w:val="single"/>
        </w:rPr>
        <w:tab/>
        <w:t xml:space="preserve"> Disruptions. </w:t>
      </w:r>
      <w:r w:rsidRPr="001B7F77">
        <w:rPr>
          <w:szCs w:val="24"/>
          <w:u w:val="single"/>
        </w:rPr>
        <w:t>If accessibility is anticipated to be disrupted by the work, then the plan shall specify the anticipated duration of such disruption and the means and methods to be employed to minimize disruption to tenants, including the provision of sufficient alternatives.</w:t>
      </w:r>
    </w:p>
    <w:p w14:paraId="46302391" w14:textId="77777777" w:rsidR="001B7F77" w:rsidRPr="001B7F77" w:rsidRDefault="001B7F77" w:rsidP="001B7F77">
      <w:pPr>
        <w:widowControl w:val="0"/>
        <w:suppressAutoHyphens/>
        <w:spacing w:before="120"/>
        <w:ind w:left="1080" w:hanging="360"/>
        <w:rPr>
          <w:szCs w:val="24"/>
          <w:u w:val="single"/>
        </w:rPr>
      </w:pPr>
      <w:r w:rsidRPr="001B7F77">
        <w:rPr>
          <w:b/>
          <w:bCs/>
          <w:szCs w:val="24"/>
          <w:u w:val="single"/>
        </w:rPr>
        <w:t>9.</w:t>
      </w:r>
      <w:r w:rsidRPr="001B7F77">
        <w:rPr>
          <w:szCs w:val="24"/>
          <w:u w:val="single"/>
        </w:rPr>
        <w:tab/>
      </w:r>
      <w:r w:rsidRPr="001B7F77">
        <w:rPr>
          <w:b/>
          <w:bCs/>
          <w:szCs w:val="24"/>
          <w:u w:val="single"/>
        </w:rPr>
        <w:t>Notifications.</w:t>
      </w:r>
      <w:r w:rsidRPr="001B7F77">
        <w:rPr>
          <w:szCs w:val="24"/>
          <w:u w:val="single"/>
        </w:rPr>
        <w:t xml:space="preserve"> The tenant protection plan shall indicate the means and methods to provide required notifications to the tenants, including but not limited to notifications required by Sections 1502.3 and 1502.4.</w:t>
      </w:r>
    </w:p>
    <w:p w14:paraId="3FD154A8" w14:textId="77777777" w:rsidR="001B7F77" w:rsidRPr="001B7F77" w:rsidRDefault="001B7F77" w:rsidP="001B7F77">
      <w:pPr>
        <w:widowControl w:val="0"/>
        <w:suppressAutoHyphens/>
        <w:spacing w:before="120"/>
        <w:rPr>
          <w:szCs w:val="24"/>
          <w:u w:val="single"/>
        </w:rPr>
      </w:pPr>
      <w:r w:rsidRPr="001B7F77">
        <w:rPr>
          <w:b/>
          <w:bCs/>
          <w:szCs w:val="24"/>
          <w:u w:val="single"/>
        </w:rPr>
        <w:t>1503.5 Public availability of tenant protection plan.</w:t>
      </w:r>
      <w:r w:rsidRPr="001B7F77">
        <w:rPr>
          <w:szCs w:val="24"/>
          <w:u w:val="single"/>
        </w:rPr>
        <w:t xml:space="preserve"> Upon issuance of a permit for work containing a tenant protection plan, the department shall make the tenant protection plan publicly available on its website.</w:t>
      </w:r>
    </w:p>
    <w:p w14:paraId="5CA988D9" w14:textId="77777777" w:rsidR="001B7F77" w:rsidRPr="001B7F77" w:rsidRDefault="001B7F77" w:rsidP="001B7F77">
      <w:pPr>
        <w:widowControl w:val="0"/>
        <w:suppressAutoHyphens/>
        <w:spacing w:before="120"/>
        <w:rPr>
          <w:szCs w:val="24"/>
          <w:u w:val="single"/>
        </w:rPr>
      </w:pPr>
      <w:r w:rsidRPr="001B7F77">
        <w:rPr>
          <w:b/>
          <w:bCs/>
          <w:szCs w:val="24"/>
          <w:u w:val="single"/>
        </w:rPr>
        <w:t>1503.6 Provision of copy of tenant protection plan to tenants upon request.</w:t>
      </w:r>
      <w:r w:rsidRPr="001B7F77">
        <w:rPr>
          <w:szCs w:val="24"/>
          <w:u w:val="single"/>
        </w:rPr>
        <w:t xml:space="preserve"> The owner of a building undergoing work for which a tenant protection plan is required by Section 1503.1 shall, upon request from a tenant of a dwelling unit within such building, provide such tenant with a paper copy of the tenant protection plan approved by the department.</w:t>
      </w:r>
    </w:p>
    <w:p w14:paraId="6EF3C22C" w14:textId="77777777" w:rsidR="001B7F77" w:rsidRPr="001B7F77" w:rsidRDefault="001B7F77" w:rsidP="001B7F77">
      <w:pPr>
        <w:widowControl w:val="0"/>
        <w:suppressAutoHyphens/>
        <w:spacing w:before="120"/>
        <w:rPr>
          <w:szCs w:val="24"/>
          <w:u w:val="single"/>
        </w:rPr>
      </w:pPr>
      <w:r w:rsidRPr="001B7F77">
        <w:rPr>
          <w:b/>
          <w:bCs/>
          <w:szCs w:val="24"/>
          <w:u w:val="single"/>
        </w:rPr>
        <w:t xml:space="preserve">1503.7 Notice to tenants. </w:t>
      </w:r>
      <w:r w:rsidRPr="001B7F77">
        <w:rPr>
          <w:szCs w:val="24"/>
          <w:u w:val="single"/>
        </w:rPr>
        <w:t>Upon issuance of a permit for work containing a tenant protection plan, the owner shall (i) distribute a notice regarding such plan to each occupied dwelling unit and (ii) post a notice regarding such plan in a conspicuous manner in the building lobby, as well as on each floor within ten feet of the elevator, or in a building where there is no elevator, within ten feet of or in the main stairwell on such floor. The notice shall be in a form created or approved by the department and shall include:</w:t>
      </w:r>
    </w:p>
    <w:p w14:paraId="186D0DEB" w14:textId="77777777" w:rsidR="001B7F77" w:rsidRPr="001B7F77" w:rsidRDefault="001B7F77" w:rsidP="001B7F77">
      <w:pPr>
        <w:widowControl w:val="0"/>
        <w:spacing w:before="120"/>
        <w:ind w:left="1080" w:hanging="360"/>
        <w:contextualSpacing/>
        <w:rPr>
          <w:rFonts w:eastAsia="Calibri"/>
          <w:color w:val="000000"/>
          <w:szCs w:val="24"/>
          <w:u w:val="single"/>
        </w:rPr>
      </w:pPr>
      <w:r w:rsidRPr="001B7F77">
        <w:rPr>
          <w:rFonts w:eastAsia="Calibri"/>
          <w:color w:val="000000"/>
          <w:szCs w:val="24"/>
          <w:u w:val="single"/>
        </w:rPr>
        <w:t>1.</w:t>
      </w:r>
      <w:r w:rsidRPr="001B7F77">
        <w:rPr>
          <w:rFonts w:eastAsia="Calibri"/>
          <w:color w:val="000000"/>
          <w:szCs w:val="24"/>
          <w:u w:val="single"/>
        </w:rPr>
        <w:tab/>
        <w:t>A statement that tenants of the building may obtain a paper copy of such plan from the owner and may access such plan on the department website;</w:t>
      </w:r>
    </w:p>
    <w:p w14:paraId="2ABBB4A2" w14:textId="77777777" w:rsidR="001B7F77" w:rsidRPr="001B7F77" w:rsidRDefault="001B7F77" w:rsidP="001B7F77">
      <w:pPr>
        <w:widowControl w:val="0"/>
        <w:spacing w:before="120"/>
        <w:ind w:left="1080" w:hanging="360"/>
        <w:contextualSpacing/>
        <w:rPr>
          <w:rFonts w:eastAsia="Calibri"/>
          <w:color w:val="000000"/>
          <w:szCs w:val="24"/>
          <w:u w:val="single"/>
        </w:rPr>
      </w:pPr>
      <w:r w:rsidRPr="001B7F77">
        <w:rPr>
          <w:rFonts w:eastAsia="Calibri"/>
          <w:color w:val="000000"/>
          <w:szCs w:val="24"/>
          <w:u w:val="single"/>
        </w:rPr>
        <w:t>2.</w:t>
      </w:r>
      <w:r w:rsidRPr="001B7F77">
        <w:rPr>
          <w:rFonts w:eastAsia="Calibri"/>
          <w:color w:val="000000"/>
          <w:szCs w:val="24"/>
          <w:u w:val="single"/>
        </w:rPr>
        <w:tab/>
        <w:t>The name and contact information of the site safety manager, site safety coordinator, or superintendent of construction required by Section 3301.3</w:t>
      </w:r>
      <w:r w:rsidRPr="001B7F77">
        <w:rPr>
          <w:rFonts w:eastAsia="Calibri"/>
          <w:iCs/>
          <w:color w:val="000000"/>
          <w:szCs w:val="24"/>
          <w:u w:val="single"/>
        </w:rPr>
        <w:t xml:space="preserve"> of the </w:t>
      </w:r>
      <w:r w:rsidRPr="001B7F77">
        <w:rPr>
          <w:rFonts w:eastAsia="Calibri"/>
          <w:i/>
          <w:iCs/>
          <w:color w:val="000000"/>
          <w:szCs w:val="24"/>
          <w:u w:val="single"/>
        </w:rPr>
        <w:t>New York City Building Code</w:t>
      </w:r>
      <w:r w:rsidRPr="001B7F77">
        <w:rPr>
          <w:rFonts w:eastAsia="Calibri"/>
          <w:color w:val="000000"/>
          <w:szCs w:val="24"/>
          <w:u w:val="single"/>
        </w:rPr>
        <w:t>, as applicable, or, if there is no site safety manager, site safety coordinator, or superintendent of construction, the name and contact information of the owner of the building or such owner’s designee; and</w:t>
      </w:r>
    </w:p>
    <w:p w14:paraId="7E0D7088" w14:textId="77777777" w:rsidR="001B7F77" w:rsidRPr="001B7F77" w:rsidRDefault="001B7F77" w:rsidP="001B7F77">
      <w:pPr>
        <w:widowControl w:val="0"/>
        <w:spacing w:before="120"/>
        <w:ind w:left="1080" w:hanging="360"/>
        <w:contextualSpacing/>
        <w:rPr>
          <w:rFonts w:eastAsia="Calibri"/>
          <w:color w:val="000000"/>
          <w:szCs w:val="24"/>
          <w:u w:val="single"/>
        </w:rPr>
      </w:pPr>
      <w:r w:rsidRPr="001B7F77">
        <w:rPr>
          <w:rFonts w:eastAsia="Calibri"/>
          <w:color w:val="000000"/>
          <w:szCs w:val="24"/>
          <w:u w:val="single"/>
        </w:rPr>
        <w:t>3.</w:t>
      </w:r>
      <w:r w:rsidRPr="001B7F77">
        <w:rPr>
          <w:rFonts w:eastAsia="Calibri"/>
          <w:color w:val="000000"/>
          <w:szCs w:val="24"/>
          <w:u w:val="single"/>
        </w:rPr>
        <w:tab/>
        <w:t>A statement that tenants of the building may call 311 to make complaints about the work.</w:t>
      </w:r>
    </w:p>
    <w:p w14:paraId="64A30EC2" w14:textId="77777777" w:rsidR="001B7F77" w:rsidRPr="001B7F77" w:rsidRDefault="001B7F77" w:rsidP="001B7F77">
      <w:pPr>
        <w:widowControl w:val="0"/>
        <w:spacing w:before="120"/>
        <w:ind w:left="1080" w:hanging="360"/>
        <w:contextualSpacing/>
        <w:rPr>
          <w:rFonts w:eastAsia="Calibri"/>
          <w:color w:val="000000"/>
          <w:szCs w:val="24"/>
          <w:u w:val="single"/>
        </w:rPr>
      </w:pPr>
      <w:bookmarkStart w:id="222" w:name="_Hlk69395514"/>
      <w:r w:rsidRPr="001B7F77">
        <w:rPr>
          <w:rFonts w:eastAsia="Calibri"/>
          <w:color w:val="000000"/>
          <w:szCs w:val="24"/>
          <w:u w:val="single"/>
        </w:rPr>
        <w:t xml:space="preserve">4. </w:t>
      </w:r>
      <w:r w:rsidRPr="001B7F77">
        <w:rPr>
          <w:rFonts w:eastAsia="Calibri"/>
          <w:color w:val="000000"/>
          <w:szCs w:val="24"/>
          <w:u w:val="single"/>
        </w:rPr>
        <w:tab/>
        <w:t>Where the work involves the disturbance of lead-based paint, as defined in Section 27-2056.2, or paint of unknown lead content, occupants of the building shall be directed to information regarding the hazards associated with lead-contaminated dust in a form established by the department in collaboration with the Department of Health and Mental Hygiene.</w:t>
      </w:r>
    </w:p>
    <w:p w14:paraId="5E7A2455" w14:textId="77777777" w:rsidR="001B7F77" w:rsidRPr="001B7F77" w:rsidRDefault="001B7F77" w:rsidP="001B7F77">
      <w:pPr>
        <w:widowControl w:val="0"/>
        <w:suppressAutoHyphens/>
        <w:spacing w:before="120"/>
        <w:rPr>
          <w:u w:val="single"/>
        </w:rPr>
      </w:pPr>
      <w:r w:rsidRPr="001B7F77">
        <w:rPr>
          <w:b/>
          <w:bCs/>
          <w:szCs w:val="24"/>
          <w:u w:val="single"/>
        </w:rPr>
        <w:t xml:space="preserve">1503.8 </w:t>
      </w:r>
      <w:bookmarkEnd w:id="222"/>
      <w:r w:rsidRPr="001B7F77">
        <w:rPr>
          <w:b/>
          <w:bCs/>
          <w:szCs w:val="24"/>
          <w:u w:val="single"/>
        </w:rPr>
        <w:t>Phased tenant protection plans.</w:t>
      </w:r>
      <w:r w:rsidRPr="001B7F77">
        <w:rPr>
          <w:szCs w:val="24"/>
          <w:u w:val="single"/>
        </w:rPr>
        <w:t xml:space="preserve"> Multiple layouts of the tenant protection features enumerated in Section 1503.4 may be submitted at any time during construction operations to show phased tenant protection plan designs consistent with the phase of anticipated work. Layouts submitted subsequent to a previously</w:t>
      </w:r>
      <w:r w:rsidRPr="001B7F77">
        <w:rPr>
          <w:u w:val="single"/>
        </w:rPr>
        <w:t xml:space="preserve"> approved tenant protection plan shall constitute an amendment to such plan. Such amended plan shall be approved by the department prior to the commencement of the work requiring such amended plan.</w:t>
      </w:r>
    </w:p>
    <w:p w14:paraId="0ED0B463" w14:textId="77777777" w:rsidR="001B7F77" w:rsidRPr="001B7F77" w:rsidRDefault="001B7F77" w:rsidP="001B7F77">
      <w:pPr>
        <w:widowControl w:val="0"/>
        <w:suppressAutoHyphens/>
        <w:spacing w:before="120"/>
        <w:rPr>
          <w:u w:val="single"/>
        </w:rPr>
      </w:pPr>
      <w:bookmarkStart w:id="223" w:name="_Hlk69395833"/>
      <w:r w:rsidRPr="001B7F77">
        <w:rPr>
          <w:b/>
          <w:bCs/>
          <w:u w:val="single"/>
        </w:rPr>
        <w:t>1503.9</w:t>
      </w:r>
      <w:bookmarkEnd w:id="223"/>
      <w:r w:rsidRPr="001B7F77">
        <w:rPr>
          <w:b/>
          <w:bCs/>
          <w:u w:val="single"/>
        </w:rPr>
        <w:t xml:space="preserve"> Contractor statement.</w:t>
      </w:r>
      <w:r w:rsidRPr="001B7F77">
        <w:rPr>
          <w:u w:val="single"/>
        </w:rPr>
        <w:t xml:space="preserve"> The permit holder for the underlying alteration, construction, or partial demolition shall sign a statement certifying that the tenant protection plan submitted by the registered design professional aligns with the scope of work intended.</w:t>
      </w:r>
    </w:p>
    <w:p w14:paraId="77A4F5D4" w14:textId="77777777" w:rsidR="001B7F77" w:rsidRPr="001B7F77" w:rsidRDefault="001B7F77" w:rsidP="001B7F77">
      <w:pPr>
        <w:widowControl w:val="0"/>
        <w:suppressAutoHyphens/>
        <w:spacing w:before="120"/>
        <w:ind w:left="360"/>
        <w:rPr>
          <w:u w:val="single"/>
        </w:rPr>
      </w:pPr>
      <w:r w:rsidRPr="001B7F77">
        <w:rPr>
          <w:b/>
          <w:color w:val="000000"/>
          <w:u w:val="single"/>
        </w:rPr>
        <w:t xml:space="preserve">Exception: </w:t>
      </w:r>
      <w:r w:rsidRPr="001B7F77">
        <w:rPr>
          <w:color w:val="000000"/>
          <w:u w:val="single"/>
        </w:rPr>
        <w:t>This statement shall not be required where</w:t>
      </w:r>
      <w:r w:rsidRPr="001B7F77">
        <w:rPr>
          <w:u w:val="single"/>
        </w:rPr>
        <w:t xml:space="preserve"> a tenant protection plan is filed as part of the underlying application, as permitted under the exception to Section 1503.2.</w:t>
      </w:r>
    </w:p>
    <w:p w14:paraId="0E77CB3E" w14:textId="77777777" w:rsidR="001B7F77" w:rsidRPr="001B7F77" w:rsidRDefault="001B7F77" w:rsidP="001B7F77">
      <w:pPr>
        <w:widowControl w:val="0"/>
        <w:suppressAutoHyphens/>
        <w:spacing w:before="120"/>
        <w:rPr>
          <w:u w:val="single"/>
        </w:rPr>
      </w:pPr>
      <w:r w:rsidRPr="001B7F77">
        <w:rPr>
          <w:b/>
          <w:bCs/>
          <w:u w:val="single"/>
        </w:rPr>
        <w:t xml:space="preserve">1503.10 Special inspection. </w:t>
      </w:r>
      <w:r w:rsidRPr="001B7F77">
        <w:rPr>
          <w:u w:val="single"/>
        </w:rPr>
        <w:t xml:space="preserve">Tenant protection plans shall be subject to special inspection in accordance with Section 1705.26 of the </w:t>
      </w:r>
      <w:r w:rsidRPr="001B7F77">
        <w:rPr>
          <w:i/>
          <w:iCs/>
          <w:u w:val="single"/>
        </w:rPr>
        <w:t>New York City Building Code</w:t>
      </w:r>
      <w:r w:rsidRPr="001B7F77">
        <w:rPr>
          <w:u w:val="single"/>
        </w:rPr>
        <w:t>. The special inspector shall be employed by a special inspection agency and shall possess the qualifications set forth in rules promulgated by the commissioner.</w:t>
      </w:r>
    </w:p>
    <w:p w14:paraId="24BCBB81" w14:textId="77777777" w:rsidR="001B7F77" w:rsidRPr="001B7F77" w:rsidRDefault="001B7F77" w:rsidP="001B7F77">
      <w:pPr>
        <w:widowControl w:val="0"/>
        <w:suppressAutoHyphens/>
        <w:spacing w:before="120"/>
        <w:rPr>
          <w:u w:val="single"/>
        </w:rPr>
      </w:pPr>
      <w:r w:rsidRPr="001B7F77">
        <w:rPr>
          <w:b/>
          <w:bCs/>
          <w:u w:val="single"/>
        </w:rPr>
        <w:t>1503.11 Department inspection of tenant protection plan.</w:t>
      </w:r>
      <w:r w:rsidRPr="001B7F77">
        <w:rPr>
          <w:u w:val="single"/>
        </w:rPr>
        <w:t xml:space="preserve"> The owner shall notify the department in writing at least 72 hours prior to the commencement of any work requiring a tenant protection plan. The department shall conduct an inspection of at least 10 percent of such sites within seven days after the commencement of such work to verify compliance with the tenant protection plan. The department shall conduct follow-up inspections of such sites every 180 days until the work is completed to verify compliance with the </w:t>
      </w:r>
      <w:r w:rsidRPr="001B7F77">
        <w:rPr>
          <w:i/>
          <w:iCs/>
          <w:u w:val="single"/>
        </w:rPr>
        <w:t>New York City Construction Codes</w:t>
      </w:r>
      <w:r w:rsidRPr="001B7F77">
        <w:rPr>
          <w:u w:val="single"/>
        </w:rPr>
        <w:t xml:space="preserve"> and tenant protection plan. Additionally, the department shall conduct an inspection within 10 days of receipt of a complaint concerning such work. Where the department receives a complaint alleging that dust is not being contained or controlled in accordance with a tenant protection plan, it shall conduct an inspection within 24 hours. The department shall, in collaboration with the Department of Health and Mental Hygiene, develop a procedure to complete a lead-contaminated dust test upon a determination that dust is not being contained or controlled during such tenant protection plan inspections or an inspection conducted in response to a complaint, and take any appropriate enforcement action, including the issuance of an order pursuant to section 28-207.2 of the </w:t>
      </w:r>
      <w:r w:rsidRPr="001B7F77">
        <w:rPr>
          <w:i/>
          <w:iCs/>
          <w:u w:val="single"/>
        </w:rPr>
        <w:t>Administrative Code</w:t>
      </w:r>
      <w:r w:rsidRPr="001B7F77">
        <w:rPr>
          <w:u w:val="single"/>
        </w:rPr>
        <w:t>. The Department of Health and Mental Hygiene shall assist the department to implement such procedure, including submitting dust samples collected by the department to a laboratory for analysis. The department shall refer the result of any such inspection to the Department of Health and Mental Hygiene for review and further inspection in accordance with the New York City health code.</w:t>
      </w:r>
    </w:p>
    <w:p w14:paraId="7771FD41" w14:textId="77777777" w:rsidR="001B7F77" w:rsidRPr="001B7F77" w:rsidRDefault="001B7F77" w:rsidP="001B7F77">
      <w:pPr>
        <w:widowControl w:val="0"/>
        <w:suppressAutoHyphens/>
        <w:spacing w:before="120"/>
        <w:rPr>
          <w:u w:val="single"/>
        </w:rPr>
      </w:pPr>
      <w:r w:rsidRPr="001B7F77">
        <w:rPr>
          <w:b/>
          <w:bCs/>
          <w:u w:val="single"/>
        </w:rPr>
        <w:t>1503.12 Enforcement of tenant protection plan.</w:t>
      </w:r>
      <w:r w:rsidRPr="001B7F77">
        <w:rPr>
          <w:u w:val="single"/>
        </w:rPr>
        <w:t xml:space="preserve"> If work is not being performed in accordance with the tenant protection plan, the commissioner may issue a stop work order pursuant to Section 28-207.2 of the </w:t>
      </w:r>
      <w:r w:rsidRPr="001B7F77">
        <w:rPr>
          <w:i/>
          <w:iCs/>
          <w:u w:val="single"/>
        </w:rPr>
        <w:t>Administrative Code</w:t>
      </w:r>
      <w:r w:rsidRPr="001B7F77">
        <w:rPr>
          <w:u w:val="single"/>
        </w:rPr>
        <w:t>.</w:t>
      </w:r>
    </w:p>
    <w:bookmarkEnd w:id="217"/>
    <w:p w14:paraId="6B0DAC0F" w14:textId="77777777" w:rsidR="001B7F77" w:rsidRPr="001B7F77" w:rsidRDefault="001B7F77" w:rsidP="001B7F77">
      <w:pPr>
        <w:widowControl w:val="0"/>
        <w:suppressAutoHyphens/>
        <w:spacing w:before="120"/>
        <w:jc w:val="center"/>
        <w:outlineLvl w:val="0"/>
        <w:rPr>
          <w:b/>
          <w:bCs/>
          <w:u w:val="single"/>
        </w:rPr>
      </w:pPr>
    </w:p>
    <w:p w14:paraId="068EA8A0" w14:textId="77777777" w:rsidR="001B7F77" w:rsidRPr="001B7F77" w:rsidRDefault="001B7F77" w:rsidP="001B7F77">
      <w:pPr>
        <w:widowControl w:val="0"/>
        <w:suppressAutoHyphens/>
        <w:spacing w:before="120"/>
        <w:jc w:val="center"/>
        <w:outlineLvl w:val="0"/>
        <w:rPr>
          <w:b/>
          <w:bCs/>
          <w:u w:val="single"/>
        </w:rPr>
      </w:pPr>
      <w:r w:rsidRPr="001B7F77">
        <w:rPr>
          <w:b/>
          <w:bCs/>
          <w:u w:val="single"/>
        </w:rPr>
        <w:t>SECTION EBC 1504</w:t>
      </w:r>
      <w:r w:rsidRPr="001B7F77">
        <w:rPr>
          <w:b/>
          <w:bCs/>
          <w:u w:val="single"/>
        </w:rPr>
        <w:br/>
        <w:t>OCCUPANT PROTECTION PLAN</w:t>
      </w:r>
    </w:p>
    <w:p w14:paraId="29E7A844" w14:textId="77777777" w:rsidR="001B7F77" w:rsidRPr="001B7F77" w:rsidRDefault="001B7F77" w:rsidP="001B7F77">
      <w:pPr>
        <w:widowControl w:val="0"/>
        <w:suppressAutoHyphens/>
        <w:spacing w:before="120"/>
        <w:rPr>
          <w:rFonts w:eastAsia="Times"/>
          <w:color w:val="000000"/>
          <w:szCs w:val="24"/>
          <w:u w:val="single"/>
        </w:rPr>
      </w:pPr>
      <w:r w:rsidRPr="001B7F77">
        <w:rPr>
          <w:rFonts w:eastAsia="Times"/>
          <w:b/>
          <w:u w:val="single"/>
        </w:rPr>
        <w:t>1504.1 Where required.</w:t>
      </w:r>
      <w:r w:rsidRPr="001B7F77">
        <w:rPr>
          <w:rFonts w:eastAsia="Times"/>
          <w:u w:val="single"/>
        </w:rPr>
        <w:t xml:space="preserve"> Alteration, construction, or partial demolition work performed in a building that will be occupied during the work, </w:t>
      </w:r>
      <w:r w:rsidRPr="001B7F77">
        <w:rPr>
          <w:rFonts w:eastAsia="Times"/>
          <w:color w:val="000000"/>
          <w:u w:val="single"/>
        </w:rPr>
        <w:t xml:space="preserve">including newly constructed buildings that are </w:t>
      </w:r>
      <w:r w:rsidRPr="001B7F77">
        <w:rPr>
          <w:rFonts w:eastAsia="Times"/>
          <w:color w:val="000000"/>
          <w:szCs w:val="24"/>
          <w:u w:val="single"/>
        </w:rPr>
        <w:t>partially occupied while work is ongoing, shall be conducted in accordance with an occupant protection plan.</w:t>
      </w:r>
    </w:p>
    <w:p w14:paraId="372EFDA3" w14:textId="77777777" w:rsidR="001B7F77" w:rsidRPr="001B7F77" w:rsidRDefault="001B7F77" w:rsidP="001B7F77">
      <w:pPr>
        <w:widowControl w:val="0"/>
        <w:suppressAutoHyphens/>
        <w:spacing w:before="120"/>
        <w:ind w:left="360"/>
        <w:rPr>
          <w:rFonts w:eastAsia="Times"/>
          <w:color w:val="000000"/>
          <w:szCs w:val="24"/>
          <w:u w:val="single"/>
        </w:rPr>
      </w:pPr>
      <w:r w:rsidRPr="001B7F77">
        <w:rPr>
          <w:rFonts w:eastAsia="Times"/>
          <w:b/>
          <w:bCs/>
          <w:color w:val="000000"/>
          <w:szCs w:val="24"/>
          <w:u w:val="single"/>
        </w:rPr>
        <w:t xml:space="preserve">Exceptions: </w:t>
      </w:r>
      <w:r w:rsidRPr="001B7F77">
        <w:rPr>
          <w:rFonts w:eastAsia="Times"/>
          <w:color w:val="000000"/>
          <w:szCs w:val="24"/>
          <w:u w:val="single"/>
        </w:rPr>
        <w:t>An occupant protection plan is not required for the following types of work. This exception shall not alleviate the owner, contractor, or any other entity engaged in the work from their obligation to comply with applicable occupant protection laws and regulations.</w:t>
      </w:r>
    </w:p>
    <w:p w14:paraId="20C53441" w14:textId="77777777" w:rsidR="001B7F77" w:rsidRPr="001B7F77" w:rsidRDefault="001B7F77" w:rsidP="001B7F77">
      <w:pPr>
        <w:widowControl w:val="0"/>
        <w:spacing w:before="120"/>
        <w:ind w:left="1080" w:hanging="360"/>
        <w:contextualSpacing/>
        <w:rPr>
          <w:rFonts w:eastAsia="Times"/>
          <w:color w:val="000000"/>
          <w:szCs w:val="24"/>
          <w:u w:val="single"/>
        </w:rPr>
      </w:pPr>
      <w:r w:rsidRPr="001B7F77">
        <w:rPr>
          <w:rFonts w:eastAsia="Times"/>
          <w:color w:val="000000"/>
          <w:szCs w:val="24"/>
          <w:u w:val="single"/>
        </w:rPr>
        <w:t>1.</w:t>
      </w:r>
      <w:r w:rsidRPr="001B7F77">
        <w:rPr>
          <w:rFonts w:eastAsia="Times"/>
          <w:color w:val="000000"/>
          <w:szCs w:val="24"/>
          <w:u w:val="single"/>
        </w:rPr>
        <w:tab/>
        <w:t>Work subject to a tenant protection plan in accordance with Section 1503.</w:t>
      </w:r>
    </w:p>
    <w:p w14:paraId="48725384" w14:textId="77777777" w:rsidR="001B7F77" w:rsidRPr="001B7F77" w:rsidRDefault="001B7F77" w:rsidP="001B7F77">
      <w:pPr>
        <w:widowControl w:val="0"/>
        <w:spacing w:before="120"/>
        <w:ind w:left="1080" w:hanging="360"/>
        <w:contextualSpacing/>
        <w:rPr>
          <w:rFonts w:eastAsia="Times"/>
          <w:color w:val="000000"/>
          <w:szCs w:val="24"/>
          <w:u w:val="single"/>
        </w:rPr>
      </w:pPr>
      <w:r w:rsidRPr="001B7F77">
        <w:rPr>
          <w:rFonts w:eastAsia="Times"/>
          <w:color w:val="000000"/>
          <w:szCs w:val="24"/>
          <w:u w:val="single"/>
        </w:rPr>
        <w:t>2.</w:t>
      </w:r>
      <w:r w:rsidRPr="001B7F77">
        <w:rPr>
          <w:rFonts w:eastAsia="Times"/>
          <w:color w:val="000000"/>
          <w:szCs w:val="24"/>
          <w:u w:val="single"/>
        </w:rPr>
        <w:tab/>
        <w:t>Work that does not require a permit.</w:t>
      </w:r>
    </w:p>
    <w:p w14:paraId="64FAC7BE" w14:textId="77777777" w:rsidR="001B7F77" w:rsidRPr="001B7F77" w:rsidRDefault="001B7F77" w:rsidP="001B7F77">
      <w:pPr>
        <w:widowControl w:val="0"/>
        <w:spacing w:before="120"/>
        <w:ind w:left="1080" w:hanging="360"/>
        <w:contextualSpacing/>
        <w:rPr>
          <w:rFonts w:eastAsia="Times"/>
          <w:color w:val="000000"/>
          <w:szCs w:val="24"/>
          <w:u w:val="single"/>
        </w:rPr>
      </w:pPr>
      <w:r w:rsidRPr="001B7F77">
        <w:rPr>
          <w:rFonts w:eastAsia="Times"/>
          <w:color w:val="000000"/>
          <w:szCs w:val="24"/>
          <w:u w:val="single"/>
        </w:rPr>
        <w:t>3.</w:t>
      </w:r>
      <w:r w:rsidRPr="001B7F77">
        <w:rPr>
          <w:rFonts w:eastAsia="Times"/>
          <w:color w:val="000000"/>
          <w:szCs w:val="24"/>
          <w:u w:val="single"/>
        </w:rPr>
        <w:tab/>
        <w:t>Work whose scope is limited to that authorized by a Limited Alteration Application.</w:t>
      </w:r>
    </w:p>
    <w:p w14:paraId="03CDA73C" w14:textId="77777777" w:rsidR="001B7F77" w:rsidRPr="001B7F77" w:rsidRDefault="001B7F77" w:rsidP="001B7F77">
      <w:pPr>
        <w:widowControl w:val="0"/>
        <w:spacing w:before="120"/>
        <w:ind w:left="1080" w:hanging="360"/>
        <w:contextualSpacing/>
        <w:rPr>
          <w:rFonts w:eastAsia="Times"/>
          <w:color w:val="000000"/>
          <w:szCs w:val="24"/>
          <w:u w:val="single"/>
        </w:rPr>
      </w:pPr>
      <w:r w:rsidRPr="001B7F77">
        <w:rPr>
          <w:rFonts w:eastAsia="Times"/>
          <w:color w:val="000000"/>
          <w:szCs w:val="24"/>
          <w:u w:val="single"/>
        </w:rPr>
        <w:t>4.</w:t>
      </w:r>
      <w:r w:rsidRPr="001B7F77">
        <w:rPr>
          <w:rFonts w:eastAsia="Times"/>
          <w:color w:val="000000"/>
          <w:szCs w:val="24"/>
          <w:u w:val="single"/>
        </w:rPr>
        <w:tab/>
        <w:t>Work limited to the alteration of an existing elevator.</w:t>
      </w:r>
    </w:p>
    <w:p w14:paraId="039548CC" w14:textId="77777777" w:rsidR="001B7F77" w:rsidRPr="001B7F77" w:rsidRDefault="001B7F77" w:rsidP="001B7F77">
      <w:pPr>
        <w:widowControl w:val="0"/>
        <w:spacing w:before="120"/>
        <w:ind w:left="1080" w:hanging="360"/>
        <w:contextualSpacing/>
        <w:rPr>
          <w:rFonts w:eastAsia="Times"/>
          <w:color w:val="000000"/>
          <w:szCs w:val="24"/>
          <w:u w:val="single"/>
        </w:rPr>
      </w:pPr>
      <w:r w:rsidRPr="001B7F77">
        <w:rPr>
          <w:rFonts w:eastAsia="Times"/>
          <w:color w:val="000000"/>
          <w:szCs w:val="24"/>
          <w:u w:val="single"/>
        </w:rPr>
        <w:t>5.</w:t>
      </w:r>
      <w:r w:rsidRPr="001B7F77">
        <w:rPr>
          <w:rFonts w:eastAsia="Times"/>
          <w:color w:val="000000"/>
          <w:szCs w:val="24"/>
          <w:u w:val="single"/>
        </w:rPr>
        <w:tab/>
        <w:t>Electrical work that does not require the submittal of plans to the department.</w:t>
      </w:r>
    </w:p>
    <w:p w14:paraId="11165CBB" w14:textId="77777777" w:rsidR="001B7F77" w:rsidRPr="001B7F77" w:rsidRDefault="001B7F77" w:rsidP="001B7F77">
      <w:pPr>
        <w:widowControl w:val="0"/>
        <w:suppressAutoHyphens/>
        <w:spacing w:before="120"/>
        <w:rPr>
          <w:color w:val="000000"/>
          <w:u w:val="single"/>
        </w:rPr>
      </w:pPr>
      <w:bookmarkStart w:id="224" w:name="_Hlk69405274"/>
      <w:r w:rsidRPr="001B7F77">
        <w:rPr>
          <w:rFonts w:eastAsia="Times"/>
          <w:b/>
          <w:szCs w:val="24"/>
          <w:u w:val="single"/>
        </w:rPr>
        <w:t xml:space="preserve">1504.2 </w:t>
      </w:r>
      <w:bookmarkEnd w:id="224"/>
      <w:r w:rsidRPr="001B7F77">
        <w:rPr>
          <w:rFonts w:eastAsia="Times"/>
          <w:b/>
          <w:szCs w:val="24"/>
          <w:u w:val="single"/>
        </w:rPr>
        <w:t xml:space="preserve">Preparing the plan. </w:t>
      </w:r>
      <w:r w:rsidRPr="001B7F77">
        <w:rPr>
          <w:bCs/>
          <w:szCs w:val="24"/>
          <w:u w:val="single"/>
        </w:rPr>
        <w:t xml:space="preserve">The </w:t>
      </w:r>
      <w:r w:rsidRPr="001B7F77">
        <w:rPr>
          <w:rFonts w:eastAsia="Times"/>
          <w:color w:val="000000"/>
          <w:szCs w:val="24"/>
          <w:u w:val="single"/>
        </w:rPr>
        <w:t xml:space="preserve">occupant protection plan shall be prepared by or on behalf of the general contractor performing the alteration, construction, or partial demolition work. Where </w:t>
      </w:r>
      <w:r w:rsidRPr="001B7F77">
        <w:rPr>
          <w:color w:val="000000"/>
          <w:szCs w:val="24"/>
          <w:u w:val="single"/>
        </w:rPr>
        <w:t>the work will result in a change to building use or occupancy, a permanent</w:t>
      </w:r>
      <w:r w:rsidRPr="001B7F77">
        <w:rPr>
          <w:color w:val="000000"/>
          <w:u w:val="single"/>
        </w:rPr>
        <w:t xml:space="preserve"> change to egress, a temporary reduction to egress during work, or a disruption to fire alarm, standpipe, or sprinkler or similar fire suppression systems during work, such individual preparing the occupant protection plan shall be a registered design professional.</w:t>
      </w:r>
    </w:p>
    <w:p w14:paraId="21F02244" w14:textId="77777777" w:rsidR="001B7F77" w:rsidRPr="001B7F77" w:rsidRDefault="001B7F77" w:rsidP="001B7F77">
      <w:pPr>
        <w:widowControl w:val="0"/>
        <w:suppressAutoHyphens/>
        <w:spacing w:before="120"/>
        <w:rPr>
          <w:bCs/>
          <w:color w:val="000000"/>
          <w:u w:val="single"/>
        </w:rPr>
      </w:pPr>
      <w:r w:rsidRPr="001B7F77">
        <w:rPr>
          <w:rFonts w:eastAsia="Times"/>
          <w:b/>
          <w:color w:val="000000"/>
          <w:u w:val="single"/>
        </w:rPr>
        <w:t>1504.3 The plan.</w:t>
      </w:r>
      <w:r w:rsidRPr="001B7F77">
        <w:rPr>
          <w:b/>
          <w:color w:val="000000"/>
          <w:u w:val="single"/>
        </w:rPr>
        <w:t xml:space="preserve"> </w:t>
      </w:r>
      <w:r w:rsidRPr="001B7F77">
        <w:rPr>
          <w:bCs/>
          <w:color w:val="000000"/>
          <w:u w:val="single"/>
        </w:rPr>
        <w:t>The occupant protection plan shall provide the same level of detail and clarity, and include the same content and statements, as a tenant protection plan required under Section 1503.4. The term “tenant” in such sections shall, for the purpose of this section, mean “occupant,” and the terms “dwelling,” “dwelling unit,” or “unit” shall mean “occupied space.”</w:t>
      </w:r>
    </w:p>
    <w:p w14:paraId="145F4440" w14:textId="77777777" w:rsidR="001B7F77" w:rsidRPr="001B7F77" w:rsidRDefault="001B7F77" w:rsidP="001B7F77">
      <w:pPr>
        <w:widowControl w:val="0"/>
        <w:suppressAutoHyphens/>
        <w:spacing w:before="120"/>
        <w:rPr>
          <w:color w:val="000000"/>
          <w:u w:val="single"/>
        </w:rPr>
      </w:pPr>
      <w:r w:rsidRPr="001B7F77">
        <w:rPr>
          <w:rFonts w:eastAsia="Times"/>
          <w:b/>
          <w:color w:val="000000"/>
          <w:u w:val="single"/>
        </w:rPr>
        <w:t xml:space="preserve">1504.4 </w:t>
      </w:r>
      <w:r w:rsidRPr="001B7F77">
        <w:rPr>
          <w:b/>
          <w:color w:val="000000"/>
          <w:u w:val="single"/>
        </w:rPr>
        <w:t>Available upon request</w:t>
      </w:r>
      <w:r w:rsidRPr="001B7F77">
        <w:rPr>
          <w:color w:val="000000"/>
          <w:u w:val="single"/>
        </w:rPr>
        <w:t xml:space="preserve">. </w:t>
      </w:r>
      <w:r w:rsidRPr="001B7F77">
        <w:rPr>
          <w:rFonts w:eastAsia="Times"/>
          <w:color w:val="000000"/>
          <w:u w:val="single"/>
        </w:rPr>
        <w:t>The occupant protection plan shall be kept at the site by the general contractor performing the alteration, construction, or partial demolition work, and shall be made available to the department upon request.</w:t>
      </w:r>
    </w:p>
    <w:p w14:paraId="25CA11E9" w14:textId="77777777" w:rsidR="001B7F77" w:rsidRPr="001B7F77" w:rsidRDefault="001B7F77" w:rsidP="001B7F77">
      <w:pPr>
        <w:widowControl w:val="0"/>
        <w:suppressAutoHyphens/>
        <w:spacing w:before="120"/>
        <w:rPr>
          <w:color w:val="000000"/>
          <w:u w:val="single"/>
        </w:rPr>
      </w:pPr>
      <w:r w:rsidRPr="001B7F77">
        <w:rPr>
          <w:rFonts w:eastAsia="Times"/>
          <w:b/>
          <w:color w:val="000000"/>
          <w:u w:val="single"/>
        </w:rPr>
        <w:t>1504.5</w:t>
      </w:r>
      <w:r w:rsidRPr="001B7F77">
        <w:rPr>
          <w:b/>
          <w:u w:val="single"/>
        </w:rPr>
        <w:t xml:space="preserve"> </w:t>
      </w:r>
      <w:r w:rsidRPr="001B7F77">
        <w:rPr>
          <w:b/>
          <w:color w:val="000000"/>
          <w:u w:val="single"/>
        </w:rPr>
        <w:t>Provision of copy of occupant protection plan to occupants upon request.</w:t>
      </w:r>
      <w:r w:rsidRPr="001B7F77">
        <w:rPr>
          <w:color w:val="000000"/>
          <w:u w:val="single"/>
        </w:rPr>
        <w:t xml:space="preserve"> The owner of a building undergoing work for which an occupant protection plan is required shall, upon request from an occupant of such building, provide such occupant with a paper copy of the occupant protection plan.</w:t>
      </w:r>
    </w:p>
    <w:p w14:paraId="541DD622" w14:textId="77777777" w:rsidR="001B7F77" w:rsidRPr="001B7F77" w:rsidRDefault="001B7F77" w:rsidP="001B7F77">
      <w:pPr>
        <w:widowControl w:val="0"/>
        <w:suppressAutoHyphens/>
        <w:spacing w:before="120"/>
        <w:rPr>
          <w:color w:val="000000"/>
          <w:u w:val="single"/>
        </w:rPr>
      </w:pPr>
      <w:bookmarkStart w:id="225" w:name="_Hlk69406232"/>
      <w:r w:rsidRPr="001B7F77">
        <w:rPr>
          <w:rFonts w:eastAsia="Times"/>
          <w:b/>
          <w:color w:val="000000"/>
          <w:u w:val="single"/>
        </w:rPr>
        <w:t>1504.6</w:t>
      </w:r>
      <w:r w:rsidRPr="001B7F77">
        <w:rPr>
          <w:b/>
          <w:color w:val="000000"/>
          <w:u w:val="single"/>
        </w:rPr>
        <w:t xml:space="preserve"> </w:t>
      </w:r>
      <w:bookmarkEnd w:id="225"/>
      <w:r w:rsidRPr="001B7F77">
        <w:rPr>
          <w:b/>
          <w:color w:val="000000"/>
          <w:u w:val="single"/>
        </w:rPr>
        <w:t xml:space="preserve">Notice to occupants. </w:t>
      </w:r>
      <w:r w:rsidRPr="001B7F77">
        <w:rPr>
          <w:color w:val="000000"/>
          <w:u w:val="single"/>
        </w:rPr>
        <w:t xml:space="preserve">Upon issuance of a permit for work requiring an occupant protection plan, the owner shall post a notice regarding such plan in a conspicuous manner in the building lobby, as well as within ten feet of the elevator on each floor open to the public where such work is occurring, or in a building where there is no elevator, within ten feet of or in the main stairwell on such floor. The notice shall be in a form created or approved by the department and shall include: </w:t>
      </w:r>
    </w:p>
    <w:p w14:paraId="17ACC2ED" w14:textId="77777777" w:rsidR="001B7F77" w:rsidRPr="001B7F77" w:rsidRDefault="001B7F77" w:rsidP="001B7F77">
      <w:pPr>
        <w:widowControl w:val="0"/>
        <w:suppressAutoHyphens/>
        <w:spacing w:before="120"/>
        <w:ind w:left="720" w:hanging="360"/>
        <w:rPr>
          <w:color w:val="000000"/>
          <w:u w:val="single"/>
        </w:rPr>
      </w:pPr>
      <w:r w:rsidRPr="001B7F77">
        <w:rPr>
          <w:color w:val="000000"/>
          <w:u w:val="single"/>
        </w:rPr>
        <w:t>1.</w:t>
      </w:r>
      <w:r w:rsidRPr="001B7F77">
        <w:rPr>
          <w:color w:val="000000"/>
          <w:u w:val="single"/>
        </w:rPr>
        <w:tab/>
        <w:t>A statement that occupants of the building may obtain a paper copy of such plan from the owner;</w:t>
      </w:r>
      <w:r w:rsidRPr="001B7F77">
        <w:rPr>
          <w:rFonts w:eastAsia="Times"/>
          <w:color w:val="000000"/>
          <w:u w:val="single"/>
        </w:rPr>
        <w:t xml:space="preserve"> </w:t>
      </w:r>
    </w:p>
    <w:p w14:paraId="59BEB924" w14:textId="77777777" w:rsidR="001B7F77" w:rsidRPr="001B7F77" w:rsidRDefault="001B7F77" w:rsidP="001B7F77">
      <w:pPr>
        <w:widowControl w:val="0"/>
        <w:suppressAutoHyphens/>
        <w:spacing w:before="120"/>
        <w:ind w:left="720" w:hanging="360"/>
        <w:rPr>
          <w:color w:val="000000"/>
          <w:u w:val="single"/>
        </w:rPr>
      </w:pPr>
      <w:r w:rsidRPr="001B7F77">
        <w:rPr>
          <w:color w:val="000000"/>
          <w:u w:val="single"/>
        </w:rPr>
        <w:t>2.</w:t>
      </w:r>
      <w:r w:rsidRPr="001B7F77">
        <w:rPr>
          <w:color w:val="000000"/>
          <w:u w:val="single"/>
        </w:rPr>
        <w:tab/>
        <w:t>The name and contact information of the site safety manager, site safety coordinator, or superintendent of construction required by Section 3301.3</w:t>
      </w:r>
      <w:r w:rsidRPr="001B7F77">
        <w:rPr>
          <w:iCs/>
          <w:u w:val="single"/>
        </w:rPr>
        <w:t xml:space="preserve"> of the </w:t>
      </w:r>
      <w:r w:rsidRPr="001B7F77">
        <w:rPr>
          <w:i/>
          <w:iCs/>
          <w:u w:val="single"/>
        </w:rPr>
        <w:t>New York City Building Code</w:t>
      </w:r>
      <w:r w:rsidRPr="001B7F77">
        <w:rPr>
          <w:color w:val="000000"/>
          <w:u w:val="single"/>
        </w:rPr>
        <w:t>, as applicable, or, if there is no site safety manager, site safety coordinator, or superintendent of construction, the name and contact information of the owner of the building or such owner’s designee, or, if the site is owned or leased by a government entity, the name and contact information of the project officer, building manager, or similar designated official; and</w:t>
      </w:r>
    </w:p>
    <w:p w14:paraId="04D17904" w14:textId="77777777" w:rsidR="001B7F77" w:rsidRPr="001B7F77" w:rsidRDefault="001B7F77" w:rsidP="001B7F77">
      <w:pPr>
        <w:widowControl w:val="0"/>
        <w:suppressAutoHyphens/>
        <w:spacing w:before="120"/>
        <w:ind w:left="720" w:hanging="360"/>
        <w:rPr>
          <w:color w:val="000000"/>
          <w:u w:val="single"/>
        </w:rPr>
      </w:pPr>
      <w:r w:rsidRPr="001B7F77">
        <w:rPr>
          <w:color w:val="000000"/>
          <w:u w:val="single"/>
        </w:rPr>
        <w:t>3.</w:t>
      </w:r>
      <w:r w:rsidRPr="001B7F77">
        <w:rPr>
          <w:color w:val="000000"/>
          <w:u w:val="single"/>
        </w:rPr>
        <w:tab/>
        <w:t>A statement that occupants of the building may call 311 to make complaints about the work.</w:t>
      </w:r>
    </w:p>
    <w:p w14:paraId="731C473F" w14:textId="77777777" w:rsidR="001B7F77" w:rsidRPr="001B7F77" w:rsidRDefault="001B7F77" w:rsidP="001B7F77">
      <w:pPr>
        <w:widowControl w:val="0"/>
        <w:suppressAutoHyphens/>
        <w:spacing w:before="120"/>
        <w:rPr>
          <w:bCs/>
          <w:color w:val="000000"/>
          <w:u w:val="single"/>
        </w:rPr>
      </w:pPr>
      <w:r w:rsidRPr="001B7F77">
        <w:rPr>
          <w:rFonts w:eastAsia="Times"/>
          <w:b/>
          <w:color w:val="000000"/>
          <w:u w:val="single"/>
        </w:rPr>
        <w:t>1504.7</w:t>
      </w:r>
      <w:r w:rsidRPr="001B7F77">
        <w:rPr>
          <w:b/>
          <w:color w:val="000000"/>
          <w:u w:val="single"/>
        </w:rPr>
        <w:t xml:space="preserve"> Phased occupant protection plans. </w:t>
      </w:r>
      <w:r w:rsidRPr="001B7F77">
        <w:rPr>
          <w:u w:val="single"/>
        </w:rPr>
        <w:t xml:space="preserve">The occupant protection plan may be developed in phases to show the occupant protection plan layouts consistent with the anticipated work for such phase. </w:t>
      </w:r>
      <w:r w:rsidRPr="001B7F77">
        <w:rPr>
          <w:bCs/>
          <w:color w:val="000000"/>
          <w:u w:val="single"/>
        </w:rPr>
        <w:t xml:space="preserve">The occupant protection plan maintained at the site must be a complete and self-contained </w:t>
      </w:r>
      <w:r w:rsidRPr="001B7F77">
        <w:rPr>
          <w:color w:val="000000"/>
          <w:u w:val="single"/>
        </w:rPr>
        <w:t>document</w:t>
      </w:r>
      <w:r w:rsidRPr="001B7F77">
        <w:rPr>
          <w:bCs/>
          <w:color w:val="000000"/>
          <w:u w:val="single"/>
        </w:rPr>
        <w:t xml:space="preserve"> that fully accords with the ongoing work.</w:t>
      </w:r>
    </w:p>
    <w:bookmarkEnd w:id="216"/>
    <w:p w14:paraId="1EE62FF4" w14:textId="77777777" w:rsidR="001B7F77" w:rsidRPr="001B7F77" w:rsidRDefault="001B7F77" w:rsidP="001B7F77">
      <w:pPr>
        <w:widowControl w:val="0"/>
        <w:suppressAutoHyphens/>
        <w:spacing w:before="120"/>
        <w:jc w:val="center"/>
        <w:outlineLvl w:val="0"/>
        <w:rPr>
          <w:b/>
          <w:u w:val="single"/>
        </w:rPr>
      </w:pPr>
    </w:p>
    <w:p w14:paraId="7FCA650D" w14:textId="77777777" w:rsidR="001B7F77" w:rsidRPr="001B7F77" w:rsidRDefault="001B7F77" w:rsidP="001B7F77">
      <w:pPr>
        <w:widowControl w:val="0"/>
        <w:suppressAutoHyphens/>
        <w:spacing w:before="120"/>
        <w:jc w:val="center"/>
        <w:outlineLvl w:val="0"/>
        <w:rPr>
          <w:b/>
          <w:bCs/>
          <w:u w:val="single"/>
        </w:rPr>
      </w:pPr>
      <w:r w:rsidRPr="001B7F77">
        <w:rPr>
          <w:b/>
          <w:u w:val="single"/>
        </w:rPr>
        <w:t>SECTION</w:t>
      </w:r>
      <w:r w:rsidRPr="001B7F77">
        <w:rPr>
          <w:b/>
          <w:bCs/>
          <w:u w:val="single"/>
        </w:rPr>
        <w:t xml:space="preserve"> EBC 1505</w:t>
      </w:r>
      <w:r w:rsidRPr="001B7F77">
        <w:rPr>
          <w:b/>
          <w:bCs/>
          <w:u w:val="single"/>
        </w:rPr>
        <w:br/>
        <w:t>MAINTAINING MEANS OF EGRESS</w:t>
      </w:r>
    </w:p>
    <w:p w14:paraId="12939385" w14:textId="77777777" w:rsidR="001B7F77" w:rsidRPr="001B7F77" w:rsidRDefault="001B7F77" w:rsidP="001B7F77">
      <w:pPr>
        <w:widowControl w:val="0"/>
        <w:suppressAutoHyphens/>
        <w:spacing w:before="120"/>
        <w:rPr>
          <w:u w:val="single"/>
        </w:rPr>
      </w:pPr>
      <w:r w:rsidRPr="001B7F77">
        <w:rPr>
          <w:b/>
          <w:bCs/>
          <w:u w:val="single"/>
        </w:rPr>
        <w:t xml:space="preserve">1505.1 Maintenance of means of egress. </w:t>
      </w:r>
      <w:r w:rsidRPr="001B7F77">
        <w:rPr>
          <w:u w:val="single"/>
        </w:rPr>
        <w:t>Existing required means of egress shall be maintained at all times during construction or demolition operations in an occupied building and shall not be removed, obstructed, or altered in any manner that would diminish the full effectiveness of such means of egress.</w:t>
      </w:r>
    </w:p>
    <w:p w14:paraId="428F0918" w14:textId="77777777" w:rsidR="001B7F77" w:rsidRPr="001B7F77" w:rsidRDefault="001B7F77" w:rsidP="001B7F77">
      <w:pPr>
        <w:widowControl w:val="0"/>
        <w:suppressAutoHyphens/>
        <w:spacing w:before="120"/>
        <w:ind w:left="720"/>
        <w:rPr>
          <w:u w:val="single"/>
        </w:rPr>
      </w:pPr>
      <w:r w:rsidRPr="001B7F77">
        <w:rPr>
          <w:b/>
          <w:bCs/>
          <w:u w:val="single"/>
        </w:rPr>
        <w:t xml:space="preserve">Exceptions: </w:t>
      </w:r>
    </w:p>
    <w:p w14:paraId="045CA4E8" w14:textId="77777777" w:rsidR="001B7F77" w:rsidRPr="001B7F77" w:rsidRDefault="001B7F77" w:rsidP="001B7F77">
      <w:pPr>
        <w:widowControl w:val="0"/>
        <w:suppressAutoHyphens/>
        <w:spacing w:before="120"/>
        <w:ind w:left="720"/>
        <w:rPr>
          <w:strike/>
          <w:u w:val="single"/>
        </w:rPr>
      </w:pPr>
      <w:r w:rsidRPr="001B7F77">
        <w:rPr>
          <w:u w:val="single"/>
        </w:rPr>
        <w:t xml:space="preserve">1. Where a new permanent or temporary means of egress that complies with all applicable egress requirements of Chapter 10 of the </w:t>
      </w:r>
      <w:r w:rsidRPr="001B7F77">
        <w:rPr>
          <w:i/>
          <w:iCs/>
          <w:u w:val="single"/>
        </w:rPr>
        <w:t>New York City Building Code</w:t>
      </w:r>
      <w:r w:rsidRPr="001B7F77">
        <w:rPr>
          <w:u w:val="single"/>
        </w:rPr>
        <w:t xml:space="preserve"> is provided in substitution, and the new permanent or temporary means of egress has satisfactorily passed an inspection by the department or another party designated by the department prior to the diminishment of any existing required means of egress in the building</w:t>
      </w:r>
      <w:r w:rsidRPr="001B7F77">
        <w:rPr>
          <w:color w:val="000000"/>
          <w:u w:val="single"/>
        </w:rPr>
        <w:t>.</w:t>
      </w:r>
    </w:p>
    <w:p w14:paraId="712EFAD2" w14:textId="77777777" w:rsidR="001B7F77" w:rsidRPr="001B7F77" w:rsidRDefault="001B7F77" w:rsidP="001B7F77">
      <w:pPr>
        <w:widowControl w:val="0"/>
        <w:suppressAutoHyphens/>
        <w:spacing w:before="120"/>
        <w:ind w:left="720"/>
        <w:rPr>
          <w:u w:val="single"/>
        </w:rPr>
      </w:pPr>
      <w:r w:rsidRPr="001B7F77">
        <w:rPr>
          <w:u w:val="single"/>
        </w:rPr>
        <w:t xml:space="preserve">2. A variance approved in accordance with Section 28-103.3 of the </w:t>
      </w:r>
      <w:r w:rsidRPr="001B7F77">
        <w:rPr>
          <w:i/>
          <w:iCs/>
          <w:u w:val="single"/>
        </w:rPr>
        <w:t>Administrative Code</w:t>
      </w:r>
      <w:r w:rsidRPr="001B7F77">
        <w:rPr>
          <w:u w:val="single"/>
        </w:rPr>
        <w:t>.</w:t>
      </w:r>
    </w:p>
    <w:p w14:paraId="32594061" w14:textId="77777777" w:rsidR="001B7F77" w:rsidRPr="001B7F77" w:rsidRDefault="001B7F77" w:rsidP="001B7F77">
      <w:pPr>
        <w:widowControl w:val="0"/>
        <w:suppressAutoHyphens/>
        <w:spacing w:before="120"/>
        <w:jc w:val="center"/>
        <w:outlineLvl w:val="0"/>
        <w:rPr>
          <w:b/>
          <w:bCs/>
          <w:u w:val="single"/>
        </w:rPr>
      </w:pPr>
    </w:p>
    <w:p w14:paraId="250786E8" w14:textId="77777777" w:rsidR="001B7F77" w:rsidRPr="001B7F77" w:rsidRDefault="001B7F77" w:rsidP="001B7F77">
      <w:pPr>
        <w:widowControl w:val="0"/>
        <w:suppressAutoHyphens/>
        <w:spacing w:before="120"/>
        <w:jc w:val="center"/>
        <w:outlineLvl w:val="0"/>
        <w:rPr>
          <w:b/>
          <w:bCs/>
          <w:u w:val="single"/>
        </w:rPr>
      </w:pPr>
      <w:r w:rsidRPr="001B7F77">
        <w:rPr>
          <w:b/>
          <w:bCs/>
          <w:u w:val="single"/>
        </w:rPr>
        <w:t xml:space="preserve">SECTION </w:t>
      </w:r>
      <w:r w:rsidRPr="001B7F77">
        <w:rPr>
          <w:b/>
          <w:u w:val="single"/>
        </w:rPr>
        <w:t>EBC</w:t>
      </w:r>
      <w:r w:rsidRPr="001B7F77">
        <w:rPr>
          <w:b/>
          <w:bCs/>
          <w:u w:val="single"/>
        </w:rPr>
        <w:t xml:space="preserve"> 1506</w:t>
      </w:r>
      <w:r w:rsidRPr="001B7F77">
        <w:rPr>
          <w:b/>
          <w:bCs/>
          <w:u w:val="single"/>
        </w:rPr>
        <w:br/>
        <w:t>AUTOMATIC SPRINKLER SYSTEM</w:t>
      </w:r>
    </w:p>
    <w:p w14:paraId="2CCF3891" w14:textId="77777777" w:rsidR="001B7F77" w:rsidRPr="001B7F77" w:rsidRDefault="001B7F77" w:rsidP="001B7F77">
      <w:pPr>
        <w:widowControl w:val="0"/>
        <w:suppressAutoHyphens/>
        <w:spacing w:before="120"/>
        <w:rPr>
          <w:u w:val="single"/>
        </w:rPr>
      </w:pPr>
      <w:r w:rsidRPr="001B7F77">
        <w:rPr>
          <w:b/>
          <w:bCs/>
          <w:u w:val="single"/>
        </w:rPr>
        <w:t>1506.1 Sprinkler systems during alteration or demolition.</w:t>
      </w:r>
      <w:r w:rsidRPr="001B7F77">
        <w:rPr>
          <w:u w:val="single"/>
        </w:rPr>
        <w:t xml:space="preserve"> Existing sprinkler systems in buildings undergoing an alteration or demolition shall comply with the requirements of Section 3303.7.4 of the </w:t>
      </w:r>
      <w:r w:rsidRPr="001B7F77">
        <w:rPr>
          <w:i/>
          <w:iCs/>
          <w:u w:val="single"/>
        </w:rPr>
        <w:t>New York City Building Code</w:t>
      </w:r>
      <w:r w:rsidRPr="001B7F77">
        <w:rPr>
          <w:u w:val="single"/>
        </w:rPr>
        <w:t xml:space="preserve"> and Section 1506.2 of this code.</w:t>
      </w:r>
    </w:p>
    <w:p w14:paraId="24B9D4B1" w14:textId="77777777" w:rsidR="001B7F77" w:rsidRPr="001B7F77" w:rsidRDefault="001B7F77" w:rsidP="001B7F77">
      <w:pPr>
        <w:widowControl w:val="0"/>
        <w:suppressAutoHyphens/>
        <w:spacing w:before="120"/>
        <w:rPr>
          <w:rFonts w:eastAsia="Times"/>
          <w:color w:val="000000"/>
          <w:u w:val="single"/>
        </w:rPr>
      </w:pPr>
      <w:r w:rsidRPr="001B7F77">
        <w:rPr>
          <w:rFonts w:eastAsia="Times"/>
          <w:b/>
          <w:u w:val="single"/>
        </w:rPr>
        <w:t xml:space="preserve">1506.2 Sprinkler protection during construction in fully sprinklered buildings. </w:t>
      </w:r>
      <w:r w:rsidRPr="001B7F77">
        <w:rPr>
          <w:rFonts w:eastAsia="Times"/>
          <w:bCs/>
          <w:u w:val="single"/>
        </w:rPr>
        <w:t>W</w:t>
      </w:r>
      <w:r w:rsidRPr="001B7F77">
        <w:rPr>
          <w:rFonts w:eastAsia="Times"/>
          <w:color w:val="000000"/>
          <w:u w:val="single"/>
        </w:rPr>
        <w:t xml:space="preserve">here alterations are proposed to a floor on which the sprinkler system is to be temporarily disconnected in the work area, Temporary Core Sprinkler Protection (TCSP) shall be provided in accordance with Sections 1506.2.1 through 1506.2.5. Alterations shall also comply with the </w:t>
      </w:r>
      <w:r w:rsidRPr="001B7F77">
        <w:rPr>
          <w:rFonts w:eastAsia="Times"/>
          <w:i/>
          <w:iCs/>
          <w:color w:val="000000"/>
          <w:u w:val="single"/>
        </w:rPr>
        <w:t>New York City Fire Code</w:t>
      </w:r>
      <w:r w:rsidRPr="001B7F77">
        <w:rPr>
          <w:rFonts w:eastAsia="Times"/>
          <w:color w:val="000000"/>
          <w:u w:val="single"/>
        </w:rPr>
        <w:t>, including referenced standards therein.</w:t>
      </w:r>
    </w:p>
    <w:p w14:paraId="08213EC1" w14:textId="77777777" w:rsidR="001B7F77" w:rsidRPr="001B7F77" w:rsidRDefault="001B7F77" w:rsidP="001B7F77">
      <w:pPr>
        <w:widowControl w:val="0"/>
        <w:suppressAutoHyphens/>
        <w:spacing w:before="120"/>
        <w:ind w:left="360"/>
        <w:rPr>
          <w:rFonts w:eastAsia="Times"/>
          <w:color w:val="000000"/>
          <w:u w:val="single"/>
        </w:rPr>
      </w:pPr>
      <w:bookmarkStart w:id="226" w:name="_Hlk81212008"/>
      <w:r w:rsidRPr="001B7F77">
        <w:rPr>
          <w:rFonts w:eastAsia="Times"/>
          <w:b/>
          <w:color w:val="000000"/>
          <w:u w:val="single"/>
        </w:rPr>
        <w:t xml:space="preserve">1506.2.1 </w:t>
      </w:r>
      <w:bookmarkStart w:id="227" w:name="_Hlk81212097"/>
      <w:bookmarkEnd w:id="226"/>
      <w:r w:rsidRPr="001B7F77">
        <w:rPr>
          <w:rFonts w:eastAsia="Times"/>
          <w:b/>
          <w:color w:val="000000"/>
          <w:u w:val="single"/>
        </w:rPr>
        <w:t>Temporary Core Sprinkler Protection (TCSP)</w:t>
      </w:r>
      <w:r w:rsidRPr="001B7F77">
        <w:rPr>
          <w:rFonts w:eastAsia="Times"/>
          <w:color w:val="000000"/>
          <w:u w:val="single"/>
        </w:rPr>
        <w:t xml:space="preserve">. </w:t>
      </w:r>
      <w:bookmarkEnd w:id="227"/>
      <w:r w:rsidRPr="001B7F77">
        <w:rPr>
          <w:rFonts w:eastAsia="Times"/>
          <w:color w:val="000000"/>
          <w:u w:val="single"/>
        </w:rPr>
        <w:t xml:space="preserve">As a temporary fire protection measure, TCSP shall be provided on occupied floors on which an existing sprinkler system is to be temporarily disconnected during alterations. When provided, TCSP shall be connected to the fire alarm system in the building. In buildings without a fire alarm system, TCSP shall be connected to a local annunciation and notification system. TCSP shall comply with and shall be placed in accordance with applicable requirements of NFPA 13 as modified by Appendix Q of the </w:t>
      </w:r>
      <w:r w:rsidRPr="001B7F77">
        <w:rPr>
          <w:rFonts w:eastAsia="Times"/>
          <w:i/>
          <w:iCs/>
          <w:color w:val="000000"/>
          <w:u w:val="single"/>
        </w:rPr>
        <w:t>New York City Building Code</w:t>
      </w:r>
      <w:r w:rsidRPr="001B7F77">
        <w:rPr>
          <w:rFonts w:eastAsia="Times"/>
          <w:color w:val="000000"/>
          <w:u w:val="single"/>
        </w:rPr>
        <w:t>. TCSP shall provide the same responses as the existing sprinkler system monitoring in the building. TCSP shall be provided at the following locations:</w:t>
      </w:r>
    </w:p>
    <w:p w14:paraId="7E712B48" w14:textId="77777777" w:rsidR="001B7F77" w:rsidRPr="001B7F77" w:rsidRDefault="001B7F77" w:rsidP="001B7F77">
      <w:pPr>
        <w:widowControl w:val="0"/>
        <w:suppressAutoHyphens/>
        <w:spacing w:before="120"/>
        <w:ind w:left="1260" w:hanging="360"/>
        <w:rPr>
          <w:rFonts w:eastAsia="Times"/>
          <w:u w:val="single"/>
        </w:rPr>
      </w:pPr>
      <w:r w:rsidRPr="001B7F77">
        <w:rPr>
          <w:rFonts w:eastAsia="Times"/>
          <w:u w:val="single"/>
        </w:rPr>
        <w:t>1.</w:t>
      </w:r>
      <w:r w:rsidRPr="001B7F77">
        <w:rPr>
          <w:rFonts w:eastAsia="Times"/>
          <w:u w:val="single"/>
        </w:rPr>
        <w:tab/>
        <w:t>At the elevator hoistway openings.</w:t>
      </w:r>
    </w:p>
    <w:p w14:paraId="569659B3" w14:textId="77777777" w:rsidR="001B7F77" w:rsidRPr="001B7F77" w:rsidRDefault="001B7F77" w:rsidP="001B7F77">
      <w:pPr>
        <w:widowControl w:val="0"/>
        <w:suppressAutoHyphens/>
        <w:spacing w:before="120"/>
        <w:ind w:left="1260" w:hanging="360"/>
        <w:rPr>
          <w:rFonts w:eastAsia="Times"/>
          <w:u w:val="single"/>
        </w:rPr>
      </w:pPr>
      <w:r w:rsidRPr="001B7F77">
        <w:rPr>
          <w:rFonts w:eastAsia="Times"/>
          <w:u w:val="single"/>
        </w:rPr>
        <w:t>2.</w:t>
      </w:r>
      <w:r w:rsidRPr="001B7F77">
        <w:rPr>
          <w:rFonts w:eastAsia="Times"/>
          <w:u w:val="single"/>
        </w:rPr>
        <w:tab/>
        <w:t>At exit doors to required exit stairways.</w:t>
      </w:r>
    </w:p>
    <w:p w14:paraId="60FBFB45" w14:textId="77777777" w:rsidR="001B7F77" w:rsidRPr="001B7F77" w:rsidRDefault="001B7F77" w:rsidP="001B7F77">
      <w:pPr>
        <w:widowControl w:val="0"/>
        <w:suppressAutoHyphens/>
        <w:spacing w:before="120"/>
        <w:ind w:left="1260" w:hanging="360"/>
        <w:rPr>
          <w:rFonts w:eastAsia="Times"/>
          <w:u w:val="single"/>
        </w:rPr>
      </w:pPr>
      <w:r w:rsidRPr="001B7F77">
        <w:rPr>
          <w:rFonts w:eastAsia="Times"/>
          <w:u w:val="single"/>
        </w:rPr>
        <w:t>3.</w:t>
      </w:r>
      <w:r w:rsidRPr="001B7F77">
        <w:rPr>
          <w:rFonts w:eastAsia="Times"/>
          <w:u w:val="single"/>
        </w:rPr>
        <w:tab/>
        <w:t>Along the egress paths, including corridors, connecting all required exits and elevator lobbies.</w:t>
      </w:r>
    </w:p>
    <w:p w14:paraId="3DE37EB4" w14:textId="77777777" w:rsidR="001B7F77" w:rsidRPr="001B7F77" w:rsidRDefault="001B7F77" w:rsidP="001B7F77">
      <w:pPr>
        <w:widowControl w:val="0"/>
        <w:suppressAutoHyphens/>
        <w:spacing w:before="120"/>
        <w:ind w:left="360"/>
        <w:rPr>
          <w:rFonts w:eastAsia="Times"/>
          <w:u w:val="single"/>
        </w:rPr>
      </w:pPr>
      <w:bookmarkStart w:id="228" w:name="_Hlk81212016"/>
      <w:r w:rsidRPr="001B7F77">
        <w:rPr>
          <w:rFonts w:eastAsia="Times"/>
          <w:b/>
          <w:u w:val="single"/>
        </w:rPr>
        <w:t xml:space="preserve">1506.2.2 </w:t>
      </w:r>
      <w:bookmarkStart w:id="229" w:name="_Hlk81212088"/>
      <w:bookmarkEnd w:id="228"/>
      <w:r w:rsidRPr="001B7F77">
        <w:rPr>
          <w:rFonts w:eastAsia="Times"/>
          <w:b/>
          <w:u w:val="single"/>
        </w:rPr>
        <w:t>Sprinkler protection on partially occupied floors.</w:t>
      </w:r>
      <w:r w:rsidRPr="001B7F77">
        <w:rPr>
          <w:rFonts w:eastAsia="Times"/>
          <w:u w:val="single"/>
        </w:rPr>
        <w:t xml:space="preserve"> </w:t>
      </w:r>
      <w:bookmarkEnd w:id="229"/>
      <w:r w:rsidRPr="001B7F77">
        <w:rPr>
          <w:rFonts w:eastAsia="Times"/>
          <w:u w:val="single"/>
        </w:rPr>
        <w:t>When a floor is partially occupied during an alteration, the sprinkler heads in the work area may be temporarily removed and the TCSP that complies with Section 1506.2.1 shall not be required provided all the following conditions are met:</w:t>
      </w:r>
    </w:p>
    <w:p w14:paraId="5B8083CC" w14:textId="77777777" w:rsidR="001B7F77" w:rsidRPr="001B7F77" w:rsidRDefault="001B7F77" w:rsidP="001B7F77">
      <w:pPr>
        <w:widowControl w:val="0"/>
        <w:suppressAutoHyphens/>
        <w:spacing w:before="120"/>
        <w:ind w:left="1080" w:hanging="360"/>
        <w:rPr>
          <w:rFonts w:eastAsia="Times"/>
          <w:u w:val="single"/>
        </w:rPr>
      </w:pPr>
      <w:r w:rsidRPr="001B7F77">
        <w:rPr>
          <w:rFonts w:eastAsia="Times"/>
          <w:u w:val="single"/>
        </w:rPr>
        <w:t>1.</w:t>
      </w:r>
      <w:r w:rsidRPr="001B7F77">
        <w:rPr>
          <w:rFonts w:eastAsia="Times"/>
          <w:u w:val="single"/>
        </w:rPr>
        <w:tab/>
        <w:t>The work area does not exceed 52,000 square feet and is fully compartmented in at least 1- hour fire-rated barriers or horizontal assemblies;</w:t>
      </w:r>
    </w:p>
    <w:p w14:paraId="6C4D2317" w14:textId="77777777" w:rsidR="001B7F77" w:rsidRPr="001B7F77" w:rsidRDefault="001B7F77" w:rsidP="001B7F77">
      <w:pPr>
        <w:widowControl w:val="0"/>
        <w:suppressAutoHyphens/>
        <w:spacing w:before="120"/>
        <w:ind w:left="1080" w:hanging="360"/>
        <w:rPr>
          <w:rFonts w:eastAsia="Times"/>
          <w:u w:val="single"/>
        </w:rPr>
      </w:pPr>
      <w:r w:rsidRPr="001B7F77">
        <w:rPr>
          <w:rFonts w:eastAsia="Times"/>
          <w:u w:val="single"/>
        </w:rPr>
        <w:t>2.</w:t>
      </w:r>
      <w:r w:rsidRPr="001B7F77">
        <w:rPr>
          <w:rFonts w:eastAsia="Times"/>
          <w:u w:val="single"/>
        </w:rPr>
        <w:tab/>
        <w:t>The entire floor’s sprinkler system remains intact outside of the work area;</w:t>
      </w:r>
    </w:p>
    <w:p w14:paraId="66481E77" w14:textId="77777777" w:rsidR="001B7F77" w:rsidRPr="001B7F77" w:rsidRDefault="001B7F77" w:rsidP="001B7F77">
      <w:pPr>
        <w:widowControl w:val="0"/>
        <w:suppressAutoHyphens/>
        <w:spacing w:before="120"/>
        <w:ind w:left="1080" w:hanging="360"/>
        <w:rPr>
          <w:rFonts w:eastAsia="Times"/>
          <w:u w:val="single"/>
        </w:rPr>
      </w:pPr>
      <w:r w:rsidRPr="001B7F77">
        <w:rPr>
          <w:rFonts w:eastAsia="Times"/>
          <w:u w:val="single"/>
        </w:rPr>
        <w:t>3.</w:t>
      </w:r>
      <w:r w:rsidRPr="001B7F77">
        <w:rPr>
          <w:rFonts w:eastAsia="Times"/>
          <w:u w:val="single"/>
        </w:rPr>
        <w:tab/>
        <w:t xml:space="preserve">Sprinkler head(s) are placed on both sides of all entrances to and exits from the work area; </w:t>
      </w:r>
    </w:p>
    <w:p w14:paraId="77C5B7D5" w14:textId="77777777" w:rsidR="001B7F77" w:rsidRPr="001B7F77" w:rsidRDefault="001B7F77" w:rsidP="001B7F77">
      <w:pPr>
        <w:widowControl w:val="0"/>
        <w:suppressAutoHyphens/>
        <w:spacing w:before="120"/>
        <w:ind w:left="1080"/>
        <w:rPr>
          <w:rFonts w:eastAsia="Times"/>
          <w:b/>
          <w:bCs/>
          <w:u w:val="single"/>
        </w:rPr>
      </w:pPr>
      <w:r w:rsidRPr="001B7F77">
        <w:rPr>
          <w:rFonts w:eastAsia="Times"/>
          <w:b/>
          <w:bCs/>
          <w:u w:val="single"/>
        </w:rPr>
        <w:t xml:space="preserve">Exceptions: </w:t>
      </w:r>
    </w:p>
    <w:p w14:paraId="772A6933" w14:textId="77777777" w:rsidR="001B7F77" w:rsidRPr="001B7F77" w:rsidRDefault="001B7F77" w:rsidP="001B7F77">
      <w:pPr>
        <w:widowControl w:val="0"/>
        <w:suppressAutoHyphens/>
        <w:spacing w:before="120"/>
        <w:ind w:left="1800" w:hanging="360"/>
        <w:rPr>
          <w:rFonts w:eastAsia="Times"/>
          <w:u w:val="single"/>
        </w:rPr>
      </w:pPr>
      <w:r w:rsidRPr="001B7F77">
        <w:rPr>
          <w:rFonts w:eastAsia="Times"/>
          <w:u w:val="single"/>
        </w:rPr>
        <w:t>1.</w:t>
      </w:r>
      <w:r w:rsidRPr="001B7F77">
        <w:rPr>
          <w:rFonts w:eastAsia="Times"/>
          <w:u w:val="single"/>
        </w:rPr>
        <w:tab/>
        <w:t>Spaces located outside of the first floor entrances and exits.</w:t>
      </w:r>
    </w:p>
    <w:p w14:paraId="3112CF6D" w14:textId="77777777" w:rsidR="001B7F77" w:rsidRPr="001B7F77" w:rsidRDefault="001B7F77" w:rsidP="001B7F77">
      <w:pPr>
        <w:widowControl w:val="0"/>
        <w:suppressAutoHyphens/>
        <w:spacing w:before="120"/>
        <w:ind w:left="1800" w:hanging="360"/>
        <w:rPr>
          <w:rFonts w:eastAsia="Times"/>
          <w:u w:val="single"/>
        </w:rPr>
      </w:pPr>
      <w:r w:rsidRPr="001B7F77">
        <w:rPr>
          <w:rFonts w:eastAsia="Times"/>
          <w:u w:val="single"/>
        </w:rPr>
        <w:t>2.</w:t>
      </w:r>
      <w:r w:rsidRPr="001B7F77">
        <w:rPr>
          <w:rFonts w:eastAsia="Times"/>
          <w:u w:val="single"/>
        </w:rPr>
        <w:tab/>
        <w:t>Openings to exit enclosures.</w:t>
      </w:r>
    </w:p>
    <w:p w14:paraId="39AC52DA" w14:textId="77777777" w:rsidR="001B7F77" w:rsidRPr="001B7F77" w:rsidRDefault="001B7F77" w:rsidP="001B7F77">
      <w:pPr>
        <w:widowControl w:val="0"/>
        <w:suppressAutoHyphens/>
        <w:spacing w:before="120"/>
        <w:ind w:left="1080" w:hanging="360"/>
        <w:rPr>
          <w:rFonts w:eastAsia="Times"/>
          <w:u w:val="single"/>
        </w:rPr>
      </w:pPr>
      <w:r w:rsidRPr="001B7F77">
        <w:rPr>
          <w:rFonts w:eastAsia="Times"/>
          <w:u w:val="single"/>
        </w:rPr>
        <w:t>4.</w:t>
      </w:r>
      <w:r w:rsidRPr="001B7F77">
        <w:rPr>
          <w:rFonts w:eastAsia="Times"/>
          <w:u w:val="single"/>
        </w:rPr>
        <w:tab/>
        <w:t xml:space="preserve">Heat detectors are placed on the construction side of the entrance doors to the temporary compartmented work area. Heat detectors shall be installed in compliance with NFPA 72 as modified by Appendix Q of the </w:t>
      </w:r>
      <w:r w:rsidRPr="001B7F77">
        <w:rPr>
          <w:rFonts w:eastAsia="Times"/>
          <w:i/>
          <w:iCs/>
          <w:u w:val="single"/>
        </w:rPr>
        <w:t>New York City Building Code</w:t>
      </w:r>
      <w:r w:rsidRPr="001B7F77">
        <w:rPr>
          <w:rFonts w:eastAsia="Times"/>
          <w:u w:val="single"/>
        </w:rPr>
        <w:t xml:space="preserve"> for the occupancy in which they are placed and shall be connected to the fire alarm system in the building. Where there is no fire alarm system, heat detectors shall be connected to a local annunciation and notification system;</w:t>
      </w:r>
    </w:p>
    <w:p w14:paraId="22F34F43" w14:textId="77777777" w:rsidR="001B7F77" w:rsidRPr="001B7F77" w:rsidRDefault="001B7F77" w:rsidP="001B7F77">
      <w:pPr>
        <w:widowControl w:val="0"/>
        <w:suppressAutoHyphens/>
        <w:spacing w:before="120"/>
        <w:ind w:left="1080" w:hanging="360"/>
        <w:rPr>
          <w:rFonts w:eastAsia="Times"/>
          <w:u w:val="single"/>
        </w:rPr>
      </w:pPr>
      <w:r w:rsidRPr="001B7F77">
        <w:rPr>
          <w:rFonts w:eastAsia="Times"/>
          <w:u w:val="single"/>
        </w:rPr>
        <w:t>5.</w:t>
      </w:r>
      <w:r w:rsidRPr="001B7F77">
        <w:rPr>
          <w:rFonts w:eastAsia="Times"/>
          <w:u w:val="single"/>
        </w:rPr>
        <w:tab/>
        <w:t>Sprinkler heads are not placed inside the stairwell when the work area is near the stairwell;</w:t>
      </w:r>
    </w:p>
    <w:p w14:paraId="6B347D8D" w14:textId="77777777" w:rsidR="001B7F77" w:rsidRPr="001B7F77" w:rsidRDefault="001B7F77" w:rsidP="001B7F77">
      <w:pPr>
        <w:widowControl w:val="0"/>
        <w:suppressAutoHyphens/>
        <w:spacing w:before="120"/>
        <w:ind w:left="1080" w:hanging="360"/>
        <w:rPr>
          <w:rFonts w:eastAsia="Times"/>
          <w:u w:val="single"/>
        </w:rPr>
      </w:pPr>
      <w:r w:rsidRPr="001B7F77">
        <w:rPr>
          <w:rFonts w:eastAsia="Times"/>
          <w:u w:val="single"/>
        </w:rPr>
        <w:t>6.</w:t>
      </w:r>
      <w:r w:rsidRPr="001B7F77">
        <w:rPr>
          <w:rFonts w:eastAsia="Times"/>
          <w:u w:val="single"/>
        </w:rPr>
        <w:tab/>
        <w:t>All required exits are maintained for the duration of the construction, including those from the work area; and</w:t>
      </w:r>
    </w:p>
    <w:p w14:paraId="57C17D9C" w14:textId="77777777" w:rsidR="001B7F77" w:rsidRPr="001B7F77" w:rsidRDefault="001B7F77" w:rsidP="001B7F77">
      <w:pPr>
        <w:widowControl w:val="0"/>
        <w:suppressAutoHyphens/>
        <w:spacing w:before="120"/>
        <w:ind w:left="1080" w:hanging="360"/>
        <w:rPr>
          <w:rFonts w:eastAsia="Times"/>
          <w:u w:val="single"/>
        </w:rPr>
      </w:pPr>
      <w:r w:rsidRPr="001B7F77">
        <w:rPr>
          <w:rFonts w:eastAsia="Times"/>
          <w:u w:val="single"/>
        </w:rPr>
        <w:t>7.</w:t>
      </w:r>
      <w:r w:rsidRPr="001B7F77">
        <w:rPr>
          <w:rFonts w:eastAsia="Times"/>
          <w:u w:val="single"/>
        </w:rPr>
        <w:tab/>
        <w:t xml:space="preserve">Application for a permanent replacement sprinkler system is made within 60 days of application filed for the temporary removal of sprinklers. </w:t>
      </w:r>
    </w:p>
    <w:p w14:paraId="34FCBF63" w14:textId="77777777" w:rsidR="001B7F77" w:rsidRPr="001B7F77" w:rsidRDefault="001B7F77" w:rsidP="001B7F77">
      <w:pPr>
        <w:widowControl w:val="0"/>
        <w:suppressAutoHyphens/>
        <w:spacing w:before="120"/>
        <w:ind w:left="360"/>
        <w:rPr>
          <w:rFonts w:eastAsia="Times"/>
          <w:u w:val="single"/>
        </w:rPr>
      </w:pPr>
      <w:r w:rsidRPr="001B7F77">
        <w:rPr>
          <w:rFonts w:eastAsia="Times"/>
          <w:b/>
          <w:u w:val="single"/>
        </w:rPr>
        <w:t xml:space="preserve">1506.2.3 Sprinkler protection on unoccupied floors. </w:t>
      </w:r>
      <w:r w:rsidRPr="001B7F77">
        <w:rPr>
          <w:rFonts w:eastAsia="Times"/>
          <w:u w:val="single"/>
        </w:rPr>
        <w:t>TCSP, as described in Section 1506.2.1, shall be provided when an entire floor is unoccupied during an alteration in a fully sprinklered existing building</w:t>
      </w:r>
      <w:r w:rsidRPr="001B7F77">
        <w:rPr>
          <w:rFonts w:eastAsia="Times"/>
          <w:bCs/>
          <w:u w:val="single"/>
        </w:rPr>
        <w:t xml:space="preserve">. </w:t>
      </w:r>
      <w:r w:rsidRPr="001B7F77">
        <w:rPr>
          <w:rFonts w:eastAsia="Times"/>
          <w:u w:val="single"/>
        </w:rPr>
        <w:t xml:space="preserve">The sprinklers shall be located at an appropriate height above the floor to clear any future ductwork and sprinklers and shall comply with and be placed in accordance with Section 903 of the </w:t>
      </w:r>
      <w:r w:rsidRPr="001B7F77">
        <w:rPr>
          <w:rFonts w:eastAsia="Times"/>
          <w:i/>
          <w:iCs/>
          <w:u w:val="single"/>
        </w:rPr>
        <w:t>New York City Building Code</w:t>
      </w:r>
      <w:r w:rsidRPr="001B7F77">
        <w:rPr>
          <w:rFonts w:eastAsia="Times"/>
          <w:u w:val="single"/>
        </w:rPr>
        <w:t xml:space="preserve">. </w:t>
      </w:r>
    </w:p>
    <w:p w14:paraId="5F46FA27" w14:textId="77777777" w:rsidR="001B7F77" w:rsidRPr="001B7F77" w:rsidRDefault="001B7F77" w:rsidP="001B7F77">
      <w:pPr>
        <w:widowControl w:val="0"/>
        <w:suppressAutoHyphens/>
        <w:spacing w:before="120"/>
        <w:ind w:left="360"/>
        <w:rPr>
          <w:rFonts w:eastAsia="Times"/>
          <w:u w:val="single"/>
        </w:rPr>
      </w:pPr>
      <w:r w:rsidRPr="001B7F77">
        <w:rPr>
          <w:rFonts w:eastAsia="Times"/>
          <w:b/>
          <w:u w:val="single"/>
        </w:rPr>
        <w:t xml:space="preserve">1506.2.4 Scope of work with duration of one year or more. </w:t>
      </w:r>
      <w:r w:rsidRPr="001B7F77">
        <w:rPr>
          <w:rFonts w:eastAsia="Times"/>
          <w:u w:val="single"/>
        </w:rPr>
        <w:t xml:space="preserve">Where the alteration work is expected to take a year or longer, temporary protection measures described in Sections 1506.2.2 and 1506.2.3 shall not be permitted and the entire floor(s) undergoing alterations shall be sprinklered in accordance with Section 903 of the </w:t>
      </w:r>
      <w:r w:rsidRPr="001B7F77">
        <w:rPr>
          <w:rFonts w:eastAsia="Times"/>
          <w:i/>
          <w:iCs/>
          <w:u w:val="single"/>
        </w:rPr>
        <w:t>New York City Building Code</w:t>
      </w:r>
      <w:r w:rsidRPr="001B7F77">
        <w:rPr>
          <w:rFonts w:eastAsia="Times"/>
          <w:u w:val="single"/>
        </w:rPr>
        <w:t>.</w:t>
      </w:r>
    </w:p>
    <w:p w14:paraId="72B85096" w14:textId="6081ECC8" w:rsidR="001B7F77" w:rsidRPr="001B7F77" w:rsidRDefault="001B7F77" w:rsidP="00F771C5">
      <w:pPr>
        <w:widowControl w:val="0"/>
        <w:suppressAutoHyphens/>
        <w:spacing w:before="120"/>
        <w:ind w:left="360"/>
        <w:rPr>
          <w:rFonts w:eastAsia="Times"/>
          <w:u w:val="single"/>
        </w:rPr>
      </w:pPr>
      <w:r w:rsidRPr="001B7F77">
        <w:rPr>
          <w:rFonts w:eastAsia="Times"/>
          <w:b/>
          <w:u w:val="single"/>
        </w:rPr>
        <w:t xml:space="preserve">1506.2.5 Compliance with the </w:t>
      </w:r>
      <w:r w:rsidRPr="001B7F77">
        <w:rPr>
          <w:rFonts w:eastAsia="Times"/>
          <w:b/>
          <w:i/>
          <w:u w:val="single"/>
        </w:rPr>
        <w:t>New York City Fire Code</w:t>
      </w:r>
      <w:r w:rsidRPr="001B7F77">
        <w:rPr>
          <w:rFonts w:eastAsia="Times"/>
          <w:b/>
          <w:u w:val="single"/>
        </w:rPr>
        <w:t>.</w:t>
      </w:r>
      <w:r w:rsidRPr="001B7F77">
        <w:rPr>
          <w:rFonts w:eastAsia="Times"/>
          <w:u w:val="single"/>
        </w:rPr>
        <w:t xml:space="preserve"> Where temporary removal or disconnection of sprinkler system is permitted in accordance with Sections 1506.2.2 or 1506.2.3, the building owner shall comply with the </w:t>
      </w:r>
      <w:r w:rsidRPr="001B7F77">
        <w:rPr>
          <w:rFonts w:eastAsia="Times"/>
          <w:i/>
          <w:u w:val="single"/>
        </w:rPr>
        <w:t>New York City Fire Code</w:t>
      </w:r>
      <w:r w:rsidRPr="001B7F77">
        <w:rPr>
          <w:rFonts w:eastAsia="Times"/>
          <w:u w:val="single"/>
        </w:rPr>
        <w:t xml:space="preserve"> out-of-service requirements.</w:t>
      </w:r>
      <w:r w:rsidRPr="001B7F77">
        <w:rPr>
          <w:rFonts w:eastAsia="Times"/>
          <w:u w:val="single"/>
        </w:rPr>
        <w:br w:type="page"/>
      </w:r>
    </w:p>
    <w:p w14:paraId="23F876EA" w14:textId="77777777" w:rsidR="001B7F77" w:rsidRPr="001B7F77" w:rsidRDefault="001B7F77" w:rsidP="001B7F77">
      <w:pPr>
        <w:widowControl w:val="0"/>
        <w:suppressAutoHyphens/>
        <w:spacing w:before="120"/>
        <w:jc w:val="center"/>
        <w:outlineLvl w:val="0"/>
        <w:rPr>
          <w:b/>
          <w:bCs/>
          <w:caps/>
          <w:w w:val="105"/>
          <w:u w:val="single"/>
        </w:rPr>
      </w:pPr>
      <w:r w:rsidRPr="001B7F77">
        <w:rPr>
          <w:b/>
          <w:bCs/>
          <w:caps/>
          <w:w w:val="105"/>
          <w:u w:val="single"/>
        </w:rPr>
        <w:t>CHAPTER 16</w:t>
      </w:r>
      <w:r w:rsidRPr="001B7F77">
        <w:rPr>
          <w:b/>
          <w:bCs/>
          <w:caps/>
          <w:w w:val="105"/>
          <w:u w:val="single"/>
        </w:rPr>
        <w:fldChar w:fldCharType="begin"/>
      </w:r>
      <w:r w:rsidRPr="001B7F77">
        <w:rPr>
          <w:b/>
          <w:bCs/>
          <w:caps/>
          <w:w w:val="105"/>
          <w:u w:val="single"/>
        </w:rPr>
        <w:instrText xml:space="preserve"> DOCVARIABLE  ChapterNo  \* MERGEFORMAT </w:instrText>
      </w:r>
      <w:r w:rsidRPr="001B7F77">
        <w:rPr>
          <w:b/>
          <w:bCs/>
          <w:caps/>
          <w:w w:val="105"/>
          <w:u w:val="single"/>
        </w:rPr>
        <w:fldChar w:fldCharType="end"/>
      </w:r>
      <w:r w:rsidRPr="001B7F77">
        <w:rPr>
          <w:b/>
          <w:bCs/>
          <w:caps/>
          <w:w w:val="105"/>
          <w:u w:val="single"/>
        </w:rPr>
        <w:br/>
        <w:t>REFERENCED STANDARDS</w:t>
      </w:r>
    </w:p>
    <w:p w14:paraId="0DF6C28E" w14:textId="77777777" w:rsidR="001B7F77" w:rsidRPr="001B7F77" w:rsidRDefault="001B7F77" w:rsidP="001B7F77">
      <w:pPr>
        <w:suppressAutoHyphens/>
        <w:spacing w:before="120"/>
        <w:jc w:val="center"/>
        <w:rPr>
          <w:b/>
          <w:bCs/>
          <w:u w:val="single"/>
        </w:rPr>
      </w:pPr>
      <w:r w:rsidRPr="001B7F77">
        <w:rPr>
          <w:b/>
          <w:bCs/>
          <w:u w:val="single"/>
        </w:rPr>
        <w:t>S</w:t>
      </w:r>
      <w:r w:rsidRPr="001B7F77">
        <w:rPr>
          <w:b/>
          <w:bCs/>
          <w:caps/>
          <w:w w:val="105"/>
          <w:u w:val="single"/>
        </w:rPr>
        <w:t>ECTION EBC 16</w:t>
      </w:r>
      <w:r w:rsidRPr="001B7F77">
        <w:rPr>
          <w:b/>
          <w:bCs/>
          <w:caps/>
          <w:w w:val="105"/>
          <w:u w:val="single"/>
        </w:rPr>
        <w:fldChar w:fldCharType="begin"/>
      </w:r>
      <w:r w:rsidRPr="001B7F77">
        <w:rPr>
          <w:b/>
          <w:bCs/>
          <w:caps/>
          <w:w w:val="105"/>
          <w:u w:val="single"/>
        </w:rPr>
        <w:instrText xml:space="preserve"> DOCVARIABLE  ChapterNo  \* MERGEFORMAT </w:instrText>
      </w:r>
      <w:r w:rsidRPr="001B7F77">
        <w:rPr>
          <w:b/>
          <w:bCs/>
          <w:caps/>
          <w:w w:val="105"/>
          <w:u w:val="single"/>
        </w:rPr>
        <w:fldChar w:fldCharType="end"/>
      </w:r>
      <w:r w:rsidRPr="001B7F77">
        <w:rPr>
          <w:b/>
          <w:bCs/>
          <w:caps/>
          <w:w w:val="105"/>
          <w:u w:val="single"/>
        </w:rPr>
        <w:t>01</w:t>
      </w:r>
      <w:r w:rsidRPr="001B7F77">
        <w:rPr>
          <w:b/>
          <w:bCs/>
          <w:caps/>
          <w:w w:val="105"/>
          <w:u w:val="single"/>
        </w:rPr>
        <w:br/>
        <w:t>GENERAL</w:t>
      </w:r>
    </w:p>
    <w:p w14:paraId="4E92895E" w14:textId="77777777" w:rsidR="001B7F77" w:rsidRPr="001B7F77" w:rsidRDefault="001B7F77" w:rsidP="001B7F77">
      <w:pPr>
        <w:suppressAutoHyphens/>
        <w:spacing w:before="120"/>
        <w:jc w:val="left"/>
        <w:rPr>
          <w:u w:val="single"/>
        </w:rPr>
      </w:pPr>
      <w:r w:rsidRPr="001B7F77">
        <w:rPr>
          <w:b/>
          <w:bCs/>
          <w:u w:val="single"/>
        </w:rPr>
        <w:t>1601.1 General.</w:t>
      </w:r>
      <w:r w:rsidRPr="001B7F77">
        <w:rPr>
          <w:u w:val="single"/>
        </w:rPr>
        <w:t xml:space="preserve"> This chapter lists the standards that are referenced in various sections of this document. The standards are listed herein by the promulgating agency of the standard, the standard identification, the effective date and title and the section or sections of this document that reference the standard.</w:t>
      </w:r>
    </w:p>
    <w:p w14:paraId="66ACB56F" w14:textId="77777777" w:rsidR="001B7F77" w:rsidRPr="001B7F77" w:rsidRDefault="001B7F77" w:rsidP="001B7F77">
      <w:pPr>
        <w:suppressAutoHyphens/>
        <w:spacing w:before="120"/>
        <w:jc w:val="left"/>
        <w:rPr>
          <w:u w:val="single"/>
        </w:rPr>
      </w:pPr>
      <w:r w:rsidRPr="001B7F77">
        <w:rPr>
          <w:b/>
          <w:bCs/>
          <w:u w:val="single"/>
        </w:rPr>
        <w:t>1601.2 Subsequent additions, modifications or deletions.</w:t>
      </w:r>
      <w:r w:rsidRPr="001B7F77">
        <w:rPr>
          <w:u w:val="single"/>
        </w:rPr>
        <w:t xml:space="preserve"> Refer to the rules of the department for any subsequent additions, modifications or deletions that may have been made to these standards in accordance with Section 28-103.19 of the </w:t>
      </w:r>
      <w:r w:rsidRPr="001B7F77">
        <w:rPr>
          <w:i/>
          <w:u w:val="single"/>
        </w:rPr>
        <w:t>Administrative Code</w:t>
      </w:r>
      <w:r w:rsidRPr="001B7F77">
        <w:rPr>
          <w:u w:val="single"/>
        </w:rPr>
        <w:t>.</w:t>
      </w:r>
    </w:p>
    <w:p w14:paraId="0476EBDE" w14:textId="53EFD328" w:rsidR="001B7F77" w:rsidRPr="0068283E" w:rsidRDefault="001B7F77" w:rsidP="001B7F77">
      <w:pPr>
        <w:suppressAutoHyphens/>
        <w:spacing w:before="120"/>
        <w:jc w:val="left"/>
        <w:rPr>
          <w:u w:val="single"/>
        </w:rPr>
        <w:sectPr w:rsidR="001B7F77" w:rsidRPr="0068283E" w:rsidSect="001B7F77">
          <w:pgSz w:w="12240" w:h="15840"/>
          <w:pgMar w:top="1440" w:right="1440" w:bottom="1440" w:left="1440" w:header="720" w:footer="720" w:gutter="0"/>
          <w:lnNumType w:countBy="1"/>
          <w:cols w:space="720"/>
        </w:sectPr>
      </w:pPr>
      <w:r w:rsidRPr="001B7F77">
        <w:rPr>
          <w:b/>
          <w:bCs/>
          <w:u w:val="single"/>
        </w:rPr>
        <w:t>1601.3 Applicability.</w:t>
      </w:r>
      <w:r w:rsidRPr="001B7F77">
        <w:rPr>
          <w:u w:val="single"/>
        </w:rPr>
        <w:t xml:space="preserve"> The application of the referenced standards shall be as specified in Section 102.4.3.</w:t>
      </w:r>
    </w:p>
    <w:p w14:paraId="61434DC2" w14:textId="77777777" w:rsidR="001B7F77" w:rsidRPr="001B7F77" w:rsidRDefault="001B7F77" w:rsidP="001B7F77">
      <w:pPr>
        <w:suppressAutoHyphens/>
        <w:spacing w:before="120"/>
        <w:jc w:val="center"/>
        <w:rPr>
          <w:b/>
          <w:bCs/>
          <w:caps/>
          <w:w w:val="105"/>
          <w:u w:val="single"/>
        </w:rPr>
      </w:pPr>
      <w:r w:rsidRPr="001B7F77">
        <w:rPr>
          <w:b/>
          <w:bCs/>
          <w:caps/>
          <w:w w:val="105"/>
          <w:u w:val="single"/>
        </w:rPr>
        <w:t>SECTION EBC 16</w:t>
      </w:r>
      <w:r w:rsidRPr="001B7F77">
        <w:rPr>
          <w:b/>
          <w:bCs/>
          <w:caps/>
          <w:w w:val="105"/>
          <w:u w:val="single"/>
        </w:rPr>
        <w:fldChar w:fldCharType="begin"/>
      </w:r>
      <w:r w:rsidRPr="001B7F77">
        <w:rPr>
          <w:b/>
          <w:bCs/>
          <w:caps/>
          <w:w w:val="105"/>
          <w:u w:val="single"/>
        </w:rPr>
        <w:instrText xml:space="preserve"> DOCVARIABLE  ChapterNo  \* MERGEFORMAT </w:instrText>
      </w:r>
      <w:r w:rsidRPr="001B7F77">
        <w:rPr>
          <w:b/>
          <w:bCs/>
          <w:caps/>
          <w:w w:val="105"/>
          <w:u w:val="single"/>
        </w:rPr>
        <w:fldChar w:fldCharType="end"/>
      </w:r>
      <w:r w:rsidRPr="001B7F77">
        <w:rPr>
          <w:b/>
          <w:bCs/>
          <w:caps/>
          <w:w w:val="105"/>
          <w:u w:val="single"/>
        </w:rPr>
        <w:t>02</w:t>
      </w:r>
      <w:r w:rsidRPr="001B7F77">
        <w:rPr>
          <w:b/>
          <w:bCs/>
          <w:caps/>
          <w:w w:val="105"/>
          <w:u w:val="single"/>
        </w:rPr>
        <w:br/>
        <w:t>STANDARDS</w:t>
      </w:r>
    </w:p>
    <w:tbl>
      <w:tblPr>
        <w:tblW w:w="541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7"/>
        <w:gridCol w:w="6143"/>
        <w:gridCol w:w="1944"/>
      </w:tblGrid>
      <w:tr w:rsidR="001B7F77" w:rsidRPr="001B7F77" w14:paraId="57D326B2" w14:textId="77777777" w:rsidTr="006655A1">
        <w:trPr>
          <w:cantSplit/>
          <w:trHeight w:val="714"/>
          <w:tblHeader/>
        </w:trPr>
        <w:tc>
          <w:tcPr>
            <w:tcW w:w="1010" w:type="pct"/>
            <w:tcBorders>
              <w:top w:val="single" w:sz="4" w:space="0" w:color="auto"/>
              <w:left w:val="single" w:sz="4" w:space="0" w:color="auto"/>
              <w:bottom w:val="single" w:sz="4" w:space="0" w:color="auto"/>
              <w:right w:val="single" w:sz="4" w:space="0" w:color="auto"/>
            </w:tcBorders>
            <w:hideMark/>
          </w:tcPr>
          <w:p w14:paraId="6E0AE876" w14:textId="77777777" w:rsidR="001B7F77" w:rsidRPr="001B7F77" w:rsidRDefault="001B7F77" w:rsidP="001B7F77">
            <w:pPr>
              <w:suppressAutoHyphens/>
              <w:spacing w:before="120"/>
              <w:jc w:val="left"/>
              <w:rPr>
                <w:b/>
                <w:bCs/>
                <w:u w:val="single"/>
              </w:rPr>
            </w:pPr>
            <w:bookmarkStart w:id="230" w:name="_Hlk79055565"/>
            <w:r w:rsidRPr="001B7F77">
              <w:rPr>
                <w:b/>
                <w:bCs/>
                <w:u w:val="single"/>
              </w:rPr>
              <w:t>ASCE/SEI</w:t>
            </w:r>
          </w:p>
        </w:tc>
        <w:tc>
          <w:tcPr>
            <w:tcW w:w="3031" w:type="pct"/>
            <w:tcBorders>
              <w:top w:val="single" w:sz="4" w:space="0" w:color="auto"/>
              <w:left w:val="single" w:sz="4" w:space="0" w:color="auto"/>
              <w:bottom w:val="single" w:sz="4" w:space="0" w:color="auto"/>
              <w:right w:val="single" w:sz="4" w:space="0" w:color="auto"/>
            </w:tcBorders>
            <w:vAlign w:val="bottom"/>
            <w:hideMark/>
          </w:tcPr>
          <w:p w14:paraId="3384E0AB" w14:textId="77777777" w:rsidR="001B7F77" w:rsidRPr="001B7F77" w:rsidRDefault="001B7F77" w:rsidP="001B7F77">
            <w:pPr>
              <w:suppressAutoHyphens/>
              <w:spacing w:before="120"/>
              <w:jc w:val="left"/>
              <w:rPr>
                <w:u w:val="single"/>
              </w:rPr>
            </w:pPr>
            <w:r w:rsidRPr="001B7F77">
              <w:rPr>
                <w:u w:val="single"/>
              </w:rPr>
              <w:t xml:space="preserve">American Society of Civil Engineers </w:t>
            </w:r>
            <w:r w:rsidRPr="001B7F77">
              <w:rPr>
                <w:u w:val="single"/>
              </w:rPr>
              <w:br/>
              <w:t>Structural Engineering Institute</w:t>
            </w:r>
            <w:r w:rsidRPr="001B7F77">
              <w:rPr>
                <w:u w:val="single"/>
              </w:rPr>
              <w:br/>
              <w:t>1801 Alexander Bell Drive</w:t>
            </w:r>
            <w:r w:rsidRPr="001B7F77">
              <w:rPr>
                <w:u w:val="single"/>
              </w:rPr>
              <w:br/>
              <w:t>Reston, VA 20191-4400</w:t>
            </w:r>
          </w:p>
        </w:tc>
        <w:tc>
          <w:tcPr>
            <w:tcW w:w="959" w:type="pct"/>
            <w:tcBorders>
              <w:top w:val="single" w:sz="4" w:space="0" w:color="auto"/>
              <w:left w:val="single" w:sz="4" w:space="0" w:color="auto"/>
              <w:bottom w:val="single" w:sz="4" w:space="0" w:color="auto"/>
              <w:right w:val="single" w:sz="4" w:space="0" w:color="auto"/>
            </w:tcBorders>
            <w:vAlign w:val="bottom"/>
          </w:tcPr>
          <w:p w14:paraId="0BABC5E2" w14:textId="77777777" w:rsidR="001B7F77" w:rsidRPr="001B7F77" w:rsidRDefault="001B7F77" w:rsidP="001B7F77">
            <w:pPr>
              <w:suppressAutoHyphens/>
              <w:spacing w:before="120"/>
              <w:jc w:val="left"/>
              <w:rPr>
                <w:u w:val="single"/>
              </w:rPr>
            </w:pPr>
          </w:p>
        </w:tc>
      </w:tr>
      <w:tr w:rsidR="001B7F77" w:rsidRPr="001B7F77" w14:paraId="2FAB5AD2" w14:textId="77777777" w:rsidTr="006655A1">
        <w:trPr>
          <w:cantSplit/>
          <w:trHeight w:val="854"/>
          <w:tblHeader/>
        </w:trPr>
        <w:tc>
          <w:tcPr>
            <w:tcW w:w="1010" w:type="pct"/>
            <w:tcBorders>
              <w:top w:val="single" w:sz="4" w:space="0" w:color="auto"/>
              <w:left w:val="single" w:sz="4" w:space="0" w:color="auto"/>
              <w:bottom w:val="single" w:sz="4" w:space="0" w:color="auto"/>
              <w:right w:val="single" w:sz="4" w:space="0" w:color="auto"/>
            </w:tcBorders>
            <w:hideMark/>
          </w:tcPr>
          <w:p w14:paraId="5A807253" w14:textId="77777777" w:rsidR="001B7F77" w:rsidRPr="001B7F77" w:rsidRDefault="001B7F77" w:rsidP="001B7F77">
            <w:pPr>
              <w:suppressAutoHyphens/>
              <w:spacing w:before="120"/>
              <w:jc w:val="left"/>
              <w:rPr>
                <w:u w:val="single"/>
              </w:rPr>
            </w:pPr>
            <w:r w:rsidRPr="001B7F77">
              <w:rPr>
                <w:u w:val="single"/>
              </w:rPr>
              <w:t>Standard</w:t>
            </w:r>
            <w:r w:rsidRPr="001B7F77">
              <w:rPr>
                <w:u w:val="single"/>
              </w:rPr>
              <w:br/>
              <w:t>reference</w:t>
            </w:r>
            <w:r w:rsidRPr="001B7F77">
              <w:rPr>
                <w:u w:val="single"/>
              </w:rPr>
              <w:br/>
              <w:t>number</w:t>
            </w:r>
          </w:p>
        </w:tc>
        <w:tc>
          <w:tcPr>
            <w:tcW w:w="3031" w:type="pct"/>
            <w:tcBorders>
              <w:top w:val="single" w:sz="4" w:space="0" w:color="auto"/>
              <w:left w:val="single" w:sz="4" w:space="0" w:color="auto"/>
              <w:bottom w:val="single" w:sz="4" w:space="0" w:color="auto"/>
              <w:right w:val="single" w:sz="4" w:space="0" w:color="auto"/>
            </w:tcBorders>
            <w:vAlign w:val="bottom"/>
            <w:hideMark/>
          </w:tcPr>
          <w:p w14:paraId="0CAEB711" w14:textId="77777777" w:rsidR="001B7F77" w:rsidRPr="001B7F77" w:rsidRDefault="001B7F77" w:rsidP="001B7F77">
            <w:pPr>
              <w:suppressAutoHyphens/>
              <w:spacing w:before="120"/>
              <w:jc w:val="left"/>
              <w:rPr>
                <w:u w:val="single"/>
              </w:rPr>
            </w:pPr>
            <w:r w:rsidRPr="001B7F77">
              <w:rPr>
                <w:u w:val="single"/>
              </w:rPr>
              <w:t>Title</w:t>
            </w:r>
          </w:p>
        </w:tc>
        <w:tc>
          <w:tcPr>
            <w:tcW w:w="959" w:type="pct"/>
            <w:tcBorders>
              <w:top w:val="single" w:sz="4" w:space="0" w:color="auto"/>
              <w:left w:val="single" w:sz="4" w:space="0" w:color="auto"/>
              <w:bottom w:val="single" w:sz="4" w:space="0" w:color="auto"/>
              <w:right w:val="single" w:sz="4" w:space="0" w:color="auto"/>
            </w:tcBorders>
            <w:vAlign w:val="center"/>
            <w:hideMark/>
          </w:tcPr>
          <w:p w14:paraId="25B1C3A5" w14:textId="77777777" w:rsidR="001B7F77" w:rsidRPr="001B7F77" w:rsidRDefault="001B7F77" w:rsidP="001B7F77">
            <w:pPr>
              <w:suppressAutoHyphens/>
              <w:spacing w:before="120"/>
              <w:jc w:val="left"/>
              <w:rPr>
                <w:u w:val="single"/>
              </w:rPr>
            </w:pPr>
            <w:r w:rsidRPr="001B7F77">
              <w:rPr>
                <w:u w:val="single"/>
              </w:rPr>
              <w:t>Referenced</w:t>
            </w:r>
            <w:r w:rsidRPr="001B7F77">
              <w:rPr>
                <w:u w:val="single"/>
              </w:rPr>
              <w:br/>
              <w:t>in code</w:t>
            </w:r>
            <w:r w:rsidRPr="001B7F77">
              <w:rPr>
                <w:u w:val="single"/>
              </w:rPr>
              <w:br/>
              <w:t>section number</w:t>
            </w:r>
          </w:p>
        </w:tc>
      </w:tr>
      <w:tr w:rsidR="001B7F77" w:rsidRPr="001B7F77" w14:paraId="00530518" w14:textId="77777777" w:rsidTr="006655A1">
        <w:trPr>
          <w:trHeight w:val="559"/>
        </w:trPr>
        <w:tc>
          <w:tcPr>
            <w:tcW w:w="1010" w:type="pct"/>
            <w:tcBorders>
              <w:top w:val="single" w:sz="4" w:space="0" w:color="auto"/>
              <w:left w:val="single" w:sz="4" w:space="0" w:color="auto"/>
              <w:bottom w:val="single" w:sz="4" w:space="0" w:color="auto"/>
              <w:right w:val="single" w:sz="4" w:space="0" w:color="auto"/>
            </w:tcBorders>
            <w:vAlign w:val="center"/>
            <w:hideMark/>
          </w:tcPr>
          <w:p w14:paraId="5BC807E0" w14:textId="77777777" w:rsidR="001B7F77" w:rsidRPr="001B7F77" w:rsidRDefault="001B7F77" w:rsidP="001B7F77">
            <w:pPr>
              <w:suppressAutoHyphens/>
              <w:spacing w:before="120"/>
              <w:jc w:val="left"/>
              <w:rPr>
                <w:u w:val="single"/>
              </w:rPr>
            </w:pPr>
            <w:r w:rsidRPr="001B7F77">
              <w:rPr>
                <w:u w:val="single"/>
              </w:rPr>
              <w:t>7—16*</w:t>
            </w:r>
          </w:p>
          <w:p w14:paraId="23E2F132" w14:textId="77777777" w:rsidR="001B7F77" w:rsidRPr="001B7F77" w:rsidRDefault="001B7F77" w:rsidP="001B7F77">
            <w:pPr>
              <w:suppressAutoHyphens/>
              <w:spacing w:before="120"/>
              <w:jc w:val="left"/>
              <w:rPr>
                <w:u w:val="single"/>
              </w:rPr>
            </w:pPr>
            <w:r w:rsidRPr="001B7F77">
              <w:rPr>
                <w:u w:val="single"/>
              </w:rPr>
              <w:t xml:space="preserve">*As modified in Chapter 16 of the </w:t>
            </w:r>
            <w:r w:rsidRPr="001B7F77">
              <w:rPr>
                <w:i/>
                <w:iCs/>
                <w:u w:val="single"/>
              </w:rPr>
              <w:t>New York City Building Code</w:t>
            </w:r>
          </w:p>
        </w:tc>
        <w:tc>
          <w:tcPr>
            <w:tcW w:w="3031" w:type="pct"/>
            <w:tcBorders>
              <w:top w:val="single" w:sz="4" w:space="0" w:color="auto"/>
              <w:left w:val="single" w:sz="4" w:space="0" w:color="auto"/>
              <w:bottom w:val="single" w:sz="4" w:space="0" w:color="auto"/>
              <w:right w:val="single" w:sz="4" w:space="0" w:color="auto"/>
            </w:tcBorders>
            <w:vAlign w:val="center"/>
            <w:hideMark/>
          </w:tcPr>
          <w:p w14:paraId="544BD651" w14:textId="77777777" w:rsidR="001B7F77" w:rsidRPr="001B7F77" w:rsidRDefault="001B7F77" w:rsidP="001B7F77">
            <w:pPr>
              <w:suppressAutoHyphens/>
              <w:spacing w:before="120"/>
              <w:jc w:val="left"/>
              <w:rPr>
                <w:u w:val="single"/>
              </w:rPr>
            </w:pPr>
            <w:r w:rsidRPr="001B7F77">
              <w:rPr>
                <w:u w:val="single"/>
              </w:rPr>
              <w:t>Minimum Design Loads and Associated Criteria for Buildings and Other Structures with Supplement No. 1</w:t>
            </w:r>
          </w:p>
        </w:tc>
        <w:tc>
          <w:tcPr>
            <w:tcW w:w="959" w:type="pct"/>
            <w:tcBorders>
              <w:top w:val="single" w:sz="4" w:space="0" w:color="auto"/>
              <w:left w:val="single" w:sz="4" w:space="0" w:color="auto"/>
              <w:bottom w:val="single" w:sz="4" w:space="0" w:color="auto"/>
              <w:right w:val="single" w:sz="4" w:space="0" w:color="auto"/>
            </w:tcBorders>
            <w:vAlign w:val="center"/>
            <w:hideMark/>
          </w:tcPr>
          <w:p w14:paraId="7C69C261" w14:textId="77777777" w:rsidR="001B7F77" w:rsidRPr="001B7F77" w:rsidRDefault="001B7F77" w:rsidP="001B7F77">
            <w:pPr>
              <w:suppressAutoHyphens/>
              <w:spacing w:before="120"/>
              <w:jc w:val="left"/>
              <w:rPr>
                <w:u w:val="single"/>
              </w:rPr>
            </w:pPr>
            <w:r w:rsidRPr="001B7F77">
              <w:rPr>
                <w:u w:val="single"/>
              </w:rPr>
              <w:t>307.2.1, 705.4</w:t>
            </w:r>
          </w:p>
        </w:tc>
      </w:tr>
      <w:tr w:rsidR="001B7F77" w:rsidRPr="001B7F77" w14:paraId="2062F278" w14:textId="77777777" w:rsidTr="006655A1">
        <w:trPr>
          <w:trHeight w:val="559"/>
        </w:trPr>
        <w:tc>
          <w:tcPr>
            <w:tcW w:w="1010" w:type="pct"/>
            <w:tcBorders>
              <w:top w:val="single" w:sz="4" w:space="0" w:color="auto"/>
              <w:left w:val="single" w:sz="4" w:space="0" w:color="auto"/>
              <w:bottom w:val="single" w:sz="4" w:space="0" w:color="auto"/>
              <w:right w:val="single" w:sz="4" w:space="0" w:color="auto"/>
            </w:tcBorders>
            <w:vAlign w:val="center"/>
            <w:hideMark/>
          </w:tcPr>
          <w:p w14:paraId="0BF714F5" w14:textId="77777777" w:rsidR="001B7F77" w:rsidRPr="001B7F77" w:rsidRDefault="001B7F77" w:rsidP="001B7F77">
            <w:pPr>
              <w:suppressAutoHyphens/>
              <w:spacing w:before="120"/>
              <w:jc w:val="left"/>
              <w:rPr>
                <w:u w:val="single"/>
              </w:rPr>
            </w:pPr>
            <w:r w:rsidRPr="001B7F77">
              <w:rPr>
                <w:u w:val="single"/>
              </w:rPr>
              <w:t>41—17</w:t>
            </w:r>
          </w:p>
        </w:tc>
        <w:tc>
          <w:tcPr>
            <w:tcW w:w="3031" w:type="pct"/>
            <w:tcBorders>
              <w:top w:val="single" w:sz="4" w:space="0" w:color="auto"/>
              <w:left w:val="single" w:sz="4" w:space="0" w:color="auto"/>
              <w:bottom w:val="single" w:sz="4" w:space="0" w:color="auto"/>
              <w:right w:val="single" w:sz="4" w:space="0" w:color="auto"/>
            </w:tcBorders>
            <w:vAlign w:val="center"/>
            <w:hideMark/>
          </w:tcPr>
          <w:p w14:paraId="20EBA711" w14:textId="77777777" w:rsidR="001B7F77" w:rsidRPr="001B7F77" w:rsidRDefault="001B7F77" w:rsidP="001B7F77">
            <w:pPr>
              <w:suppressAutoHyphens/>
              <w:spacing w:before="120"/>
              <w:jc w:val="left"/>
              <w:rPr>
                <w:u w:val="single"/>
              </w:rPr>
            </w:pPr>
            <w:r w:rsidRPr="001B7F77">
              <w:rPr>
                <w:u w:val="single"/>
              </w:rPr>
              <w:t>Seismic Evaluation and Retrofit of Existing Buildings</w:t>
            </w:r>
          </w:p>
        </w:tc>
        <w:tc>
          <w:tcPr>
            <w:tcW w:w="959" w:type="pct"/>
            <w:tcBorders>
              <w:top w:val="single" w:sz="4" w:space="0" w:color="auto"/>
              <w:left w:val="single" w:sz="4" w:space="0" w:color="auto"/>
              <w:bottom w:val="single" w:sz="4" w:space="0" w:color="auto"/>
              <w:right w:val="single" w:sz="4" w:space="0" w:color="auto"/>
            </w:tcBorders>
            <w:vAlign w:val="center"/>
            <w:hideMark/>
          </w:tcPr>
          <w:p w14:paraId="0B74F18A" w14:textId="77777777" w:rsidR="001B7F77" w:rsidRPr="001B7F77" w:rsidRDefault="001B7F77" w:rsidP="001B7F77">
            <w:pPr>
              <w:suppressAutoHyphens/>
              <w:spacing w:before="120"/>
              <w:jc w:val="left"/>
              <w:rPr>
                <w:u w:val="single"/>
              </w:rPr>
            </w:pPr>
            <w:r w:rsidRPr="001B7F77">
              <w:rPr>
                <w:u w:val="single"/>
              </w:rPr>
              <w:t>202 (BSE-1N, BSE-2N), 703.5.3.3, 705.6, Table 705.6</w:t>
            </w:r>
          </w:p>
        </w:tc>
      </w:tr>
      <w:bookmarkEnd w:id="230"/>
    </w:tbl>
    <w:p w14:paraId="0EFCB1B0" w14:textId="77777777" w:rsidR="001B7F77" w:rsidRPr="001B7F77" w:rsidRDefault="001B7F77" w:rsidP="001B7F77">
      <w:pPr>
        <w:suppressAutoHyphens/>
        <w:spacing w:before="120"/>
        <w:jc w:val="left"/>
        <w:rPr>
          <w:u w:val="single"/>
        </w:rPr>
      </w:pPr>
    </w:p>
    <w:tbl>
      <w:tblPr>
        <w:tblW w:w="54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6034"/>
        <w:gridCol w:w="1989"/>
      </w:tblGrid>
      <w:tr w:rsidR="001B7F77" w:rsidRPr="001B7F77" w14:paraId="5AC7E11B" w14:textId="77777777" w:rsidTr="006655A1">
        <w:trPr>
          <w:cantSplit/>
          <w:trHeight w:val="714"/>
          <w:tblHeader/>
        </w:trPr>
        <w:tc>
          <w:tcPr>
            <w:tcW w:w="1059" w:type="pct"/>
            <w:tcBorders>
              <w:top w:val="single" w:sz="4" w:space="0" w:color="auto"/>
              <w:left w:val="single" w:sz="4" w:space="0" w:color="auto"/>
              <w:bottom w:val="single" w:sz="4" w:space="0" w:color="auto"/>
              <w:right w:val="single" w:sz="4" w:space="0" w:color="auto"/>
            </w:tcBorders>
            <w:hideMark/>
          </w:tcPr>
          <w:p w14:paraId="0F395EBB" w14:textId="77777777" w:rsidR="001B7F77" w:rsidRPr="001B7F77" w:rsidRDefault="001B7F77" w:rsidP="001B7F77">
            <w:pPr>
              <w:suppressAutoHyphens/>
              <w:spacing w:before="120"/>
              <w:jc w:val="left"/>
              <w:rPr>
                <w:b/>
                <w:bCs/>
                <w:u w:val="single"/>
              </w:rPr>
            </w:pPr>
            <w:r w:rsidRPr="001B7F77">
              <w:rPr>
                <w:b/>
                <w:bCs/>
                <w:u w:val="single"/>
              </w:rPr>
              <w:t>ASME</w:t>
            </w:r>
          </w:p>
        </w:tc>
        <w:tc>
          <w:tcPr>
            <w:tcW w:w="2964" w:type="pct"/>
            <w:tcBorders>
              <w:top w:val="single" w:sz="4" w:space="0" w:color="auto"/>
              <w:left w:val="single" w:sz="4" w:space="0" w:color="auto"/>
              <w:bottom w:val="single" w:sz="4" w:space="0" w:color="auto"/>
              <w:right w:val="single" w:sz="4" w:space="0" w:color="auto"/>
            </w:tcBorders>
            <w:vAlign w:val="bottom"/>
            <w:hideMark/>
          </w:tcPr>
          <w:p w14:paraId="26F3E717" w14:textId="77777777" w:rsidR="001B7F77" w:rsidRPr="001B7F77" w:rsidRDefault="001B7F77" w:rsidP="001B7F77">
            <w:pPr>
              <w:suppressAutoHyphens/>
              <w:spacing w:before="120"/>
              <w:jc w:val="left"/>
              <w:rPr>
                <w:u w:val="single"/>
              </w:rPr>
            </w:pPr>
            <w:r w:rsidRPr="001B7F77">
              <w:rPr>
                <w:u w:val="single"/>
              </w:rPr>
              <w:t xml:space="preserve">American Society of Mechanical Engineers </w:t>
            </w:r>
            <w:r w:rsidRPr="001B7F77">
              <w:rPr>
                <w:u w:val="single"/>
              </w:rPr>
              <w:br/>
              <w:t xml:space="preserve">3 Park Avenue </w:t>
            </w:r>
            <w:r w:rsidRPr="001B7F77">
              <w:rPr>
                <w:u w:val="single"/>
              </w:rPr>
              <w:br/>
              <w:t>New York, NY 10016</w:t>
            </w:r>
          </w:p>
        </w:tc>
        <w:tc>
          <w:tcPr>
            <w:tcW w:w="977" w:type="pct"/>
            <w:tcBorders>
              <w:top w:val="single" w:sz="4" w:space="0" w:color="auto"/>
              <w:left w:val="single" w:sz="4" w:space="0" w:color="auto"/>
              <w:bottom w:val="single" w:sz="4" w:space="0" w:color="auto"/>
              <w:right w:val="single" w:sz="4" w:space="0" w:color="auto"/>
            </w:tcBorders>
            <w:vAlign w:val="bottom"/>
          </w:tcPr>
          <w:p w14:paraId="75F5338F" w14:textId="77777777" w:rsidR="001B7F77" w:rsidRPr="001B7F77" w:rsidRDefault="001B7F77" w:rsidP="001B7F77">
            <w:pPr>
              <w:suppressAutoHyphens/>
              <w:spacing w:before="120"/>
              <w:jc w:val="left"/>
              <w:rPr>
                <w:u w:val="single"/>
              </w:rPr>
            </w:pPr>
          </w:p>
        </w:tc>
      </w:tr>
      <w:tr w:rsidR="001B7F77" w:rsidRPr="001B7F77" w14:paraId="662B416E" w14:textId="77777777" w:rsidTr="006655A1">
        <w:trPr>
          <w:cantSplit/>
          <w:trHeight w:val="854"/>
          <w:tblHeader/>
        </w:trPr>
        <w:tc>
          <w:tcPr>
            <w:tcW w:w="1059" w:type="pct"/>
            <w:tcBorders>
              <w:top w:val="single" w:sz="4" w:space="0" w:color="auto"/>
              <w:left w:val="single" w:sz="4" w:space="0" w:color="auto"/>
              <w:bottom w:val="single" w:sz="4" w:space="0" w:color="auto"/>
              <w:right w:val="single" w:sz="4" w:space="0" w:color="auto"/>
            </w:tcBorders>
            <w:hideMark/>
          </w:tcPr>
          <w:p w14:paraId="4113BD79" w14:textId="77777777" w:rsidR="001B7F77" w:rsidRPr="001B7F77" w:rsidRDefault="001B7F77" w:rsidP="001B7F77">
            <w:pPr>
              <w:suppressAutoHyphens/>
              <w:spacing w:before="120"/>
              <w:jc w:val="left"/>
              <w:rPr>
                <w:u w:val="single"/>
              </w:rPr>
            </w:pPr>
            <w:r w:rsidRPr="001B7F77">
              <w:rPr>
                <w:u w:val="single"/>
              </w:rPr>
              <w:t>Standard</w:t>
            </w:r>
            <w:r w:rsidRPr="001B7F77">
              <w:rPr>
                <w:u w:val="single"/>
              </w:rPr>
              <w:br/>
              <w:t>reference</w:t>
            </w:r>
            <w:r w:rsidRPr="001B7F77">
              <w:rPr>
                <w:u w:val="single"/>
              </w:rPr>
              <w:br/>
              <w:t>number</w:t>
            </w:r>
          </w:p>
        </w:tc>
        <w:tc>
          <w:tcPr>
            <w:tcW w:w="2964" w:type="pct"/>
            <w:tcBorders>
              <w:top w:val="single" w:sz="4" w:space="0" w:color="auto"/>
              <w:left w:val="single" w:sz="4" w:space="0" w:color="auto"/>
              <w:bottom w:val="single" w:sz="4" w:space="0" w:color="auto"/>
              <w:right w:val="single" w:sz="4" w:space="0" w:color="auto"/>
            </w:tcBorders>
            <w:vAlign w:val="bottom"/>
            <w:hideMark/>
          </w:tcPr>
          <w:p w14:paraId="2D589DAE" w14:textId="77777777" w:rsidR="001B7F77" w:rsidRPr="001B7F77" w:rsidRDefault="001B7F77" w:rsidP="001B7F77">
            <w:pPr>
              <w:suppressAutoHyphens/>
              <w:spacing w:before="120"/>
              <w:jc w:val="left"/>
              <w:rPr>
                <w:u w:val="single"/>
              </w:rPr>
            </w:pPr>
            <w:r w:rsidRPr="001B7F77">
              <w:rPr>
                <w:u w:val="single"/>
              </w:rPr>
              <w:t>Title</w:t>
            </w:r>
          </w:p>
        </w:tc>
        <w:tc>
          <w:tcPr>
            <w:tcW w:w="977" w:type="pct"/>
            <w:tcBorders>
              <w:top w:val="single" w:sz="4" w:space="0" w:color="auto"/>
              <w:left w:val="single" w:sz="4" w:space="0" w:color="auto"/>
              <w:bottom w:val="single" w:sz="4" w:space="0" w:color="auto"/>
              <w:right w:val="single" w:sz="4" w:space="0" w:color="auto"/>
            </w:tcBorders>
            <w:vAlign w:val="bottom"/>
            <w:hideMark/>
          </w:tcPr>
          <w:p w14:paraId="3BA5E411" w14:textId="77777777" w:rsidR="001B7F77" w:rsidRPr="001B7F77" w:rsidRDefault="001B7F77" w:rsidP="001B7F77">
            <w:pPr>
              <w:suppressAutoHyphens/>
              <w:spacing w:before="120"/>
              <w:jc w:val="left"/>
              <w:rPr>
                <w:u w:val="single"/>
              </w:rPr>
            </w:pPr>
            <w:r w:rsidRPr="001B7F77">
              <w:rPr>
                <w:u w:val="single"/>
              </w:rPr>
              <w:t>Referenced</w:t>
            </w:r>
            <w:r w:rsidRPr="001B7F77">
              <w:rPr>
                <w:u w:val="single"/>
              </w:rPr>
              <w:br/>
              <w:t>in code</w:t>
            </w:r>
            <w:r w:rsidRPr="001B7F77">
              <w:rPr>
                <w:u w:val="single"/>
              </w:rPr>
              <w:br/>
              <w:t>section number</w:t>
            </w:r>
          </w:p>
        </w:tc>
      </w:tr>
      <w:tr w:rsidR="001B7F77" w:rsidRPr="001B7F77" w14:paraId="24425A51" w14:textId="77777777" w:rsidTr="006655A1">
        <w:trPr>
          <w:cantSplit/>
          <w:trHeight w:val="559"/>
        </w:trPr>
        <w:tc>
          <w:tcPr>
            <w:tcW w:w="1059" w:type="pct"/>
            <w:tcBorders>
              <w:top w:val="single" w:sz="4" w:space="0" w:color="auto"/>
              <w:left w:val="single" w:sz="4" w:space="0" w:color="auto"/>
              <w:bottom w:val="single" w:sz="4" w:space="0" w:color="auto"/>
              <w:right w:val="single" w:sz="4" w:space="0" w:color="auto"/>
            </w:tcBorders>
            <w:vAlign w:val="center"/>
            <w:hideMark/>
          </w:tcPr>
          <w:p w14:paraId="247A1053" w14:textId="77777777" w:rsidR="001B7F77" w:rsidRPr="001B7F77" w:rsidRDefault="001B7F77" w:rsidP="001B7F77">
            <w:pPr>
              <w:suppressAutoHyphens/>
              <w:spacing w:before="120"/>
              <w:jc w:val="left"/>
              <w:rPr>
                <w:u w:val="single"/>
              </w:rPr>
            </w:pPr>
            <w:r w:rsidRPr="001B7F77">
              <w:rPr>
                <w:u w:val="single"/>
              </w:rPr>
              <w:t>A17.1—13*</w:t>
            </w:r>
            <w:r w:rsidRPr="001B7F77">
              <w:rPr>
                <w:u w:val="single"/>
              </w:rPr>
              <w:br/>
              <w:t>CSA B44—2013</w:t>
            </w:r>
          </w:p>
          <w:p w14:paraId="79D10130" w14:textId="77777777" w:rsidR="001B7F77" w:rsidRPr="001B7F77" w:rsidRDefault="001B7F77" w:rsidP="001B7F77">
            <w:pPr>
              <w:suppressAutoHyphens/>
              <w:spacing w:before="120"/>
              <w:jc w:val="left"/>
              <w:rPr>
                <w:u w:val="single"/>
              </w:rPr>
            </w:pPr>
            <w:r w:rsidRPr="001B7F77">
              <w:rPr>
                <w:u w:val="single"/>
              </w:rPr>
              <w:t xml:space="preserve">*As modified in Appendix K of the </w:t>
            </w:r>
            <w:r w:rsidRPr="001B7F77">
              <w:rPr>
                <w:i/>
                <w:iCs/>
                <w:u w:val="single"/>
              </w:rPr>
              <w:t>New York City Building Code</w:t>
            </w:r>
          </w:p>
        </w:tc>
        <w:tc>
          <w:tcPr>
            <w:tcW w:w="2964" w:type="pct"/>
            <w:tcBorders>
              <w:top w:val="single" w:sz="4" w:space="0" w:color="auto"/>
              <w:left w:val="single" w:sz="4" w:space="0" w:color="auto"/>
              <w:bottom w:val="single" w:sz="4" w:space="0" w:color="auto"/>
              <w:right w:val="single" w:sz="4" w:space="0" w:color="auto"/>
            </w:tcBorders>
            <w:vAlign w:val="center"/>
            <w:hideMark/>
          </w:tcPr>
          <w:p w14:paraId="622781C0" w14:textId="77777777" w:rsidR="001B7F77" w:rsidRPr="001B7F77" w:rsidRDefault="001B7F77" w:rsidP="001B7F77">
            <w:pPr>
              <w:suppressAutoHyphens/>
              <w:spacing w:before="120"/>
              <w:jc w:val="left"/>
              <w:rPr>
                <w:u w:val="single"/>
              </w:rPr>
            </w:pPr>
            <w:r w:rsidRPr="001B7F77">
              <w:rPr>
                <w:u w:val="single"/>
              </w:rPr>
              <w:t>Safety Code for Elevators and Escalators</w:t>
            </w:r>
          </w:p>
        </w:tc>
        <w:tc>
          <w:tcPr>
            <w:tcW w:w="977" w:type="pct"/>
            <w:tcBorders>
              <w:top w:val="single" w:sz="4" w:space="0" w:color="auto"/>
              <w:left w:val="single" w:sz="4" w:space="0" w:color="auto"/>
              <w:bottom w:val="single" w:sz="4" w:space="0" w:color="auto"/>
              <w:right w:val="single" w:sz="4" w:space="0" w:color="auto"/>
            </w:tcBorders>
            <w:vAlign w:val="center"/>
            <w:hideMark/>
          </w:tcPr>
          <w:p w14:paraId="20A99192" w14:textId="77777777" w:rsidR="001B7F77" w:rsidRPr="001B7F77" w:rsidRDefault="001B7F77" w:rsidP="001B7F77">
            <w:pPr>
              <w:suppressAutoHyphens/>
              <w:spacing w:before="120"/>
              <w:jc w:val="left"/>
              <w:rPr>
                <w:bCs/>
                <w:u w:val="single"/>
              </w:rPr>
            </w:pPr>
            <w:r w:rsidRPr="001B7F77">
              <w:rPr>
                <w:bCs/>
                <w:u w:val="single"/>
              </w:rPr>
              <w:t>306.2.4, 312.6.6, 403.2.5.1, Table 403.2.5.1, 510.2, Table 510.2, 510.3, 806.2.2, 812.1, Table 812.1, 902.1.1.2</w:t>
            </w:r>
          </w:p>
        </w:tc>
      </w:tr>
      <w:tr w:rsidR="001B7F77" w:rsidRPr="001B7F77" w14:paraId="3EC00E3D" w14:textId="77777777" w:rsidTr="006655A1">
        <w:trPr>
          <w:cantSplit/>
          <w:trHeight w:val="559"/>
        </w:trPr>
        <w:tc>
          <w:tcPr>
            <w:tcW w:w="1059" w:type="pct"/>
            <w:tcBorders>
              <w:top w:val="single" w:sz="4" w:space="0" w:color="auto"/>
              <w:left w:val="single" w:sz="4" w:space="0" w:color="auto"/>
              <w:bottom w:val="single" w:sz="4" w:space="0" w:color="auto"/>
              <w:right w:val="single" w:sz="4" w:space="0" w:color="auto"/>
            </w:tcBorders>
            <w:vAlign w:val="center"/>
            <w:hideMark/>
          </w:tcPr>
          <w:p w14:paraId="208FABD2" w14:textId="77777777" w:rsidR="001B7F77" w:rsidRPr="001B7F77" w:rsidRDefault="001B7F77" w:rsidP="001B7F77">
            <w:pPr>
              <w:suppressAutoHyphens/>
              <w:spacing w:before="120"/>
              <w:jc w:val="left"/>
              <w:rPr>
                <w:u w:val="single"/>
              </w:rPr>
            </w:pPr>
            <w:r w:rsidRPr="001B7F77">
              <w:rPr>
                <w:u w:val="single"/>
              </w:rPr>
              <w:t>A17.3—2015*</w:t>
            </w:r>
          </w:p>
          <w:p w14:paraId="42BF5B53" w14:textId="77777777" w:rsidR="001B7F77" w:rsidRPr="001B7F77" w:rsidRDefault="001B7F77" w:rsidP="001B7F77">
            <w:pPr>
              <w:suppressAutoHyphens/>
              <w:spacing w:before="120"/>
              <w:jc w:val="left"/>
              <w:rPr>
                <w:u w:val="single"/>
              </w:rPr>
            </w:pPr>
            <w:r w:rsidRPr="001B7F77">
              <w:rPr>
                <w:u w:val="single"/>
              </w:rPr>
              <w:t xml:space="preserve">*As modified in Appendix K of the </w:t>
            </w:r>
            <w:r w:rsidRPr="001B7F77">
              <w:rPr>
                <w:i/>
                <w:iCs/>
                <w:u w:val="single"/>
              </w:rPr>
              <w:t>New York City Building Code</w:t>
            </w:r>
          </w:p>
        </w:tc>
        <w:tc>
          <w:tcPr>
            <w:tcW w:w="2964" w:type="pct"/>
            <w:tcBorders>
              <w:top w:val="single" w:sz="4" w:space="0" w:color="auto"/>
              <w:left w:val="single" w:sz="4" w:space="0" w:color="auto"/>
              <w:bottom w:val="single" w:sz="4" w:space="0" w:color="auto"/>
              <w:right w:val="single" w:sz="4" w:space="0" w:color="auto"/>
            </w:tcBorders>
            <w:vAlign w:val="center"/>
            <w:hideMark/>
          </w:tcPr>
          <w:p w14:paraId="421F564B" w14:textId="77777777" w:rsidR="001B7F77" w:rsidRPr="001B7F77" w:rsidRDefault="001B7F77" w:rsidP="001B7F77">
            <w:pPr>
              <w:suppressAutoHyphens/>
              <w:spacing w:before="120"/>
              <w:jc w:val="left"/>
              <w:rPr>
                <w:u w:val="single"/>
              </w:rPr>
            </w:pPr>
            <w:r w:rsidRPr="001B7F77">
              <w:rPr>
                <w:u w:val="single"/>
              </w:rPr>
              <w:t>Safety Code for Existing Elevators and Escalators</w:t>
            </w:r>
          </w:p>
        </w:tc>
        <w:tc>
          <w:tcPr>
            <w:tcW w:w="977" w:type="pct"/>
            <w:tcBorders>
              <w:top w:val="single" w:sz="4" w:space="0" w:color="auto"/>
              <w:left w:val="single" w:sz="4" w:space="0" w:color="auto"/>
              <w:bottom w:val="single" w:sz="4" w:space="0" w:color="auto"/>
              <w:right w:val="single" w:sz="4" w:space="0" w:color="auto"/>
            </w:tcBorders>
            <w:vAlign w:val="center"/>
            <w:hideMark/>
          </w:tcPr>
          <w:p w14:paraId="473E5E9A" w14:textId="77777777" w:rsidR="001B7F77" w:rsidRPr="001B7F77" w:rsidRDefault="001B7F77" w:rsidP="001B7F77">
            <w:pPr>
              <w:suppressAutoHyphens/>
              <w:spacing w:before="120"/>
              <w:jc w:val="left"/>
              <w:rPr>
                <w:u w:val="single"/>
              </w:rPr>
            </w:pPr>
            <w:r w:rsidRPr="001B7F77">
              <w:rPr>
                <w:u w:val="single"/>
              </w:rPr>
              <w:t>118.2.4, 312.2, 902.1.1.2</w:t>
            </w:r>
          </w:p>
        </w:tc>
      </w:tr>
      <w:tr w:rsidR="001B7F77" w:rsidRPr="001B7F77" w14:paraId="6E3C137D" w14:textId="77777777" w:rsidTr="006655A1">
        <w:trPr>
          <w:cantSplit/>
          <w:trHeight w:val="559"/>
        </w:trPr>
        <w:tc>
          <w:tcPr>
            <w:tcW w:w="1059" w:type="pct"/>
            <w:tcBorders>
              <w:top w:val="single" w:sz="4" w:space="0" w:color="auto"/>
              <w:left w:val="single" w:sz="4" w:space="0" w:color="auto"/>
              <w:bottom w:val="single" w:sz="4" w:space="0" w:color="auto"/>
              <w:right w:val="single" w:sz="4" w:space="0" w:color="auto"/>
            </w:tcBorders>
            <w:vAlign w:val="center"/>
            <w:hideMark/>
          </w:tcPr>
          <w:p w14:paraId="68EF2142" w14:textId="77777777" w:rsidR="001B7F77" w:rsidRPr="001B7F77" w:rsidRDefault="001B7F77" w:rsidP="001B7F77">
            <w:pPr>
              <w:suppressAutoHyphens/>
              <w:spacing w:before="120"/>
              <w:jc w:val="left"/>
              <w:rPr>
                <w:u w:val="single"/>
              </w:rPr>
            </w:pPr>
            <w:r w:rsidRPr="001B7F77">
              <w:rPr>
                <w:u w:val="single"/>
              </w:rPr>
              <w:t>A18.1—2014</w:t>
            </w:r>
          </w:p>
        </w:tc>
        <w:tc>
          <w:tcPr>
            <w:tcW w:w="2964" w:type="pct"/>
            <w:tcBorders>
              <w:top w:val="single" w:sz="4" w:space="0" w:color="auto"/>
              <w:left w:val="single" w:sz="4" w:space="0" w:color="auto"/>
              <w:bottom w:val="single" w:sz="4" w:space="0" w:color="auto"/>
              <w:right w:val="single" w:sz="4" w:space="0" w:color="auto"/>
            </w:tcBorders>
            <w:vAlign w:val="center"/>
            <w:hideMark/>
          </w:tcPr>
          <w:p w14:paraId="38DBDEC8" w14:textId="77777777" w:rsidR="001B7F77" w:rsidRPr="001B7F77" w:rsidRDefault="001B7F77" w:rsidP="001B7F77">
            <w:pPr>
              <w:suppressAutoHyphens/>
              <w:spacing w:before="120"/>
              <w:jc w:val="left"/>
              <w:rPr>
                <w:u w:val="single"/>
              </w:rPr>
            </w:pPr>
            <w:r w:rsidRPr="001B7F77">
              <w:rPr>
                <w:u w:val="single"/>
              </w:rPr>
              <w:t>Safety Standard for Platform Lifts and Stairway Chairlifts</w:t>
            </w:r>
          </w:p>
        </w:tc>
        <w:tc>
          <w:tcPr>
            <w:tcW w:w="977" w:type="pct"/>
            <w:tcBorders>
              <w:top w:val="single" w:sz="4" w:space="0" w:color="auto"/>
              <w:left w:val="single" w:sz="4" w:space="0" w:color="auto"/>
              <w:bottom w:val="single" w:sz="4" w:space="0" w:color="auto"/>
              <w:right w:val="single" w:sz="4" w:space="0" w:color="auto"/>
            </w:tcBorders>
            <w:vAlign w:val="center"/>
            <w:hideMark/>
          </w:tcPr>
          <w:p w14:paraId="65FE7785" w14:textId="77777777" w:rsidR="001B7F77" w:rsidRPr="001B7F77" w:rsidRDefault="001B7F77" w:rsidP="001B7F77">
            <w:pPr>
              <w:suppressAutoHyphens/>
              <w:spacing w:before="120"/>
              <w:jc w:val="left"/>
              <w:rPr>
                <w:u w:val="single"/>
              </w:rPr>
            </w:pPr>
            <w:r w:rsidRPr="001B7F77">
              <w:rPr>
                <w:u w:val="single"/>
              </w:rPr>
              <w:t>306.2.5</w:t>
            </w:r>
          </w:p>
        </w:tc>
      </w:tr>
    </w:tbl>
    <w:p w14:paraId="11C48B03" w14:textId="77777777" w:rsidR="001B7F77" w:rsidRPr="001B7F77" w:rsidRDefault="001B7F77" w:rsidP="001B7F77">
      <w:pPr>
        <w:suppressAutoHyphens/>
        <w:spacing w:before="120"/>
        <w:jc w:val="left"/>
        <w:rPr>
          <w:u w:val="single"/>
        </w:rPr>
      </w:pPr>
    </w:p>
    <w:tbl>
      <w:tblPr>
        <w:tblW w:w="54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1"/>
        <w:gridCol w:w="5821"/>
        <w:gridCol w:w="2510"/>
      </w:tblGrid>
      <w:tr w:rsidR="001B7F77" w:rsidRPr="001B7F77" w14:paraId="71813AA3" w14:textId="77777777" w:rsidTr="006655A1">
        <w:trPr>
          <w:cantSplit/>
          <w:trHeight w:val="714"/>
          <w:tblHeader/>
        </w:trPr>
        <w:tc>
          <w:tcPr>
            <w:tcW w:w="1052" w:type="pct"/>
            <w:tcBorders>
              <w:top w:val="single" w:sz="4" w:space="0" w:color="auto"/>
              <w:left w:val="single" w:sz="4" w:space="0" w:color="auto"/>
              <w:bottom w:val="single" w:sz="4" w:space="0" w:color="auto"/>
              <w:right w:val="single" w:sz="4" w:space="0" w:color="auto"/>
            </w:tcBorders>
            <w:hideMark/>
          </w:tcPr>
          <w:p w14:paraId="3C15BB72" w14:textId="77777777" w:rsidR="001B7F77" w:rsidRPr="001B7F77" w:rsidRDefault="001B7F77" w:rsidP="001B7F77">
            <w:pPr>
              <w:suppressAutoHyphens/>
              <w:spacing w:before="120"/>
              <w:jc w:val="left"/>
              <w:rPr>
                <w:b/>
                <w:bCs/>
                <w:u w:val="single"/>
              </w:rPr>
            </w:pPr>
            <w:r w:rsidRPr="001B7F77">
              <w:rPr>
                <w:b/>
                <w:bCs/>
                <w:u w:val="single"/>
              </w:rPr>
              <w:t>ASTM</w:t>
            </w:r>
          </w:p>
        </w:tc>
        <w:tc>
          <w:tcPr>
            <w:tcW w:w="2961" w:type="pct"/>
            <w:tcBorders>
              <w:top w:val="single" w:sz="4" w:space="0" w:color="auto"/>
              <w:left w:val="single" w:sz="4" w:space="0" w:color="auto"/>
              <w:bottom w:val="single" w:sz="4" w:space="0" w:color="auto"/>
              <w:right w:val="single" w:sz="4" w:space="0" w:color="auto"/>
            </w:tcBorders>
            <w:vAlign w:val="bottom"/>
            <w:hideMark/>
          </w:tcPr>
          <w:p w14:paraId="28C4D796" w14:textId="77777777" w:rsidR="001B7F77" w:rsidRPr="001B7F77" w:rsidRDefault="001B7F77" w:rsidP="001B7F77">
            <w:pPr>
              <w:suppressAutoHyphens/>
              <w:spacing w:before="120"/>
              <w:jc w:val="left"/>
              <w:rPr>
                <w:u w:val="single"/>
              </w:rPr>
            </w:pPr>
            <w:r w:rsidRPr="001B7F77">
              <w:rPr>
                <w:u w:val="single"/>
              </w:rPr>
              <w:t xml:space="preserve">ASTM International </w:t>
            </w:r>
            <w:r w:rsidRPr="001B7F77">
              <w:rPr>
                <w:u w:val="single"/>
              </w:rPr>
              <w:br/>
              <w:t xml:space="preserve">100 Barr Harbor Drive </w:t>
            </w:r>
            <w:r w:rsidRPr="001B7F77">
              <w:rPr>
                <w:u w:val="single"/>
              </w:rPr>
              <w:br/>
              <w:t>West Conshohocken, PA 19428-2959</w:t>
            </w:r>
          </w:p>
        </w:tc>
        <w:tc>
          <w:tcPr>
            <w:tcW w:w="987" w:type="pct"/>
            <w:tcBorders>
              <w:top w:val="single" w:sz="4" w:space="0" w:color="auto"/>
              <w:left w:val="single" w:sz="4" w:space="0" w:color="auto"/>
              <w:bottom w:val="single" w:sz="4" w:space="0" w:color="auto"/>
              <w:right w:val="single" w:sz="4" w:space="0" w:color="auto"/>
            </w:tcBorders>
            <w:vAlign w:val="bottom"/>
          </w:tcPr>
          <w:p w14:paraId="228F60CC" w14:textId="77777777" w:rsidR="001B7F77" w:rsidRPr="001B7F77" w:rsidRDefault="001B7F77" w:rsidP="001B7F77">
            <w:pPr>
              <w:suppressAutoHyphens/>
              <w:spacing w:before="120"/>
              <w:jc w:val="left"/>
              <w:rPr>
                <w:u w:val="single"/>
              </w:rPr>
            </w:pPr>
          </w:p>
        </w:tc>
      </w:tr>
      <w:tr w:rsidR="001B7F77" w:rsidRPr="001B7F77" w14:paraId="037628BE" w14:textId="77777777" w:rsidTr="006655A1">
        <w:trPr>
          <w:cantSplit/>
          <w:trHeight w:val="854"/>
          <w:tblHeader/>
        </w:trPr>
        <w:tc>
          <w:tcPr>
            <w:tcW w:w="1052" w:type="pct"/>
            <w:tcBorders>
              <w:top w:val="single" w:sz="4" w:space="0" w:color="auto"/>
              <w:left w:val="single" w:sz="4" w:space="0" w:color="auto"/>
              <w:bottom w:val="single" w:sz="4" w:space="0" w:color="auto"/>
              <w:right w:val="single" w:sz="4" w:space="0" w:color="auto"/>
            </w:tcBorders>
            <w:hideMark/>
          </w:tcPr>
          <w:p w14:paraId="05B378D4" w14:textId="77777777" w:rsidR="001B7F77" w:rsidRPr="001B7F77" w:rsidRDefault="001B7F77" w:rsidP="001B7F77">
            <w:pPr>
              <w:suppressAutoHyphens/>
              <w:spacing w:before="120"/>
              <w:jc w:val="left"/>
              <w:rPr>
                <w:u w:val="single"/>
              </w:rPr>
            </w:pPr>
            <w:r w:rsidRPr="001B7F77">
              <w:rPr>
                <w:u w:val="single"/>
              </w:rPr>
              <w:t>Standard</w:t>
            </w:r>
            <w:r w:rsidRPr="001B7F77">
              <w:rPr>
                <w:u w:val="single"/>
              </w:rPr>
              <w:br/>
              <w:t>reference</w:t>
            </w:r>
            <w:r w:rsidRPr="001B7F77">
              <w:rPr>
                <w:u w:val="single"/>
              </w:rPr>
              <w:br/>
              <w:t>number</w:t>
            </w:r>
          </w:p>
        </w:tc>
        <w:tc>
          <w:tcPr>
            <w:tcW w:w="2961" w:type="pct"/>
            <w:tcBorders>
              <w:top w:val="single" w:sz="4" w:space="0" w:color="auto"/>
              <w:left w:val="single" w:sz="4" w:space="0" w:color="auto"/>
              <w:bottom w:val="single" w:sz="4" w:space="0" w:color="auto"/>
              <w:right w:val="single" w:sz="4" w:space="0" w:color="auto"/>
            </w:tcBorders>
            <w:vAlign w:val="bottom"/>
            <w:hideMark/>
          </w:tcPr>
          <w:p w14:paraId="512F08FF" w14:textId="77777777" w:rsidR="001B7F77" w:rsidRPr="001B7F77" w:rsidRDefault="001B7F77" w:rsidP="001B7F77">
            <w:pPr>
              <w:suppressAutoHyphens/>
              <w:spacing w:before="120"/>
              <w:jc w:val="left"/>
              <w:rPr>
                <w:u w:val="single"/>
              </w:rPr>
            </w:pPr>
            <w:r w:rsidRPr="001B7F77">
              <w:rPr>
                <w:u w:val="single"/>
              </w:rPr>
              <w:t>Title</w:t>
            </w:r>
          </w:p>
        </w:tc>
        <w:tc>
          <w:tcPr>
            <w:tcW w:w="987" w:type="pct"/>
            <w:tcBorders>
              <w:top w:val="single" w:sz="4" w:space="0" w:color="auto"/>
              <w:left w:val="single" w:sz="4" w:space="0" w:color="auto"/>
              <w:bottom w:val="single" w:sz="4" w:space="0" w:color="auto"/>
              <w:right w:val="single" w:sz="4" w:space="0" w:color="auto"/>
            </w:tcBorders>
            <w:vAlign w:val="bottom"/>
            <w:hideMark/>
          </w:tcPr>
          <w:p w14:paraId="14791061" w14:textId="77777777" w:rsidR="001B7F77" w:rsidRPr="001B7F77" w:rsidRDefault="001B7F77" w:rsidP="001B7F77">
            <w:pPr>
              <w:suppressAutoHyphens/>
              <w:spacing w:before="120"/>
              <w:jc w:val="left"/>
              <w:rPr>
                <w:u w:val="single"/>
              </w:rPr>
            </w:pPr>
            <w:r w:rsidRPr="001B7F77">
              <w:rPr>
                <w:u w:val="single"/>
              </w:rPr>
              <w:t>Referenced</w:t>
            </w:r>
            <w:r w:rsidRPr="001B7F77">
              <w:rPr>
                <w:u w:val="single"/>
              </w:rPr>
              <w:br/>
              <w:t>in code</w:t>
            </w:r>
            <w:r w:rsidRPr="001B7F77">
              <w:rPr>
                <w:u w:val="single"/>
              </w:rPr>
              <w:br/>
              <w:t>section number</w:t>
            </w:r>
          </w:p>
        </w:tc>
      </w:tr>
      <w:tr w:rsidR="001B7F77" w:rsidRPr="001B7F77" w14:paraId="3C2CF51B" w14:textId="77777777" w:rsidTr="006655A1">
        <w:trPr>
          <w:trHeight w:val="559"/>
        </w:trPr>
        <w:tc>
          <w:tcPr>
            <w:tcW w:w="1052" w:type="pct"/>
            <w:tcBorders>
              <w:top w:val="single" w:sz="4" w:space="0" w:color="auto"/>
              <w:left w:val="single" w:sz="4" w:space="0" w:color="auto"/>
              <w:bottom w:val="single" w:sz="4" w:space="0" w:color="auto"/>
              <w:right w:val="single" w:sz="4" w:space="0" w:color="auto"/>
            </w:tcBorders>
            <w:vAlign w:val="center"/>
            <w:hideMark/>
          </w:tcPr>
          <w:p w14:paraId="6705A9C8" w14:textId="77777777" w:rsidR="001B7F77" w:rsidRPr="001B7F77" w:rsidRDefault="001B7F77" w:rsidP="001B7F77">
            <w:pPr>
              <w:suppressAutoHyphens/>
              <w:spacing w:before="120"/>
              <w:jc w:val="left"/>
              <w:rPr>
                <w:u w:val="single"/>
              </w:rPr>
            </w:pPr>
            <w:r w:rsidRPr="001B7F77">
              <w:rPr>
                <w:u w:val="single"/>
              </w:rPr>
              <w:t>E136—2012</w:t>
            </w:r>
          </w:p>
        </w:tc>
        <w:tc>
          <w:tcPr>
            <w:tcW w:w="2961" w:type="pct"/>
            <w:tcBorders>
              <w:top w:val="single" w:sz="4" w:space="0" w:color="auto"/>
              <w:left w:val="single" w:sz="4" w:space="0" w:color="auto"/>
              <w:bottom w:val="single" w:sz="4" w:space="0" w:color="auto"/>
              <w:right w:val="single" w:sz="4" w:space="0" w:color="auto"/>
            </w:tcBorders>
            <w:vAlign w:val="center"/>
            <w:hideMark/>
          </w:tcPr>
          <w:p w14:paraId="5F4F56AA" w14:textId="77777777" w:rsidR="001B7F77" w:rsidRPr="001B7F77" w:rsidRDefault="001B7F77" w:rsidP="001B7F77">
            <w:pPr>
              <w:suppressAutoHyphens/>
              <w:spacing w:before="120"/>
              <w:jc w:val="left"/>
              <w:rPr>
                <w:u w:val="single"/>
              </w:rPr>
            </w:pPr>
            <w:r w:rsidRPr="001B7F77">
              <w:rPr>
                <w:u w:val="single"/>
              </w:rPr>
              <w:t>Test Method for Behavior of Materials in a Vertical Tube Furnace at 750°C</w:t>
            </w:r>
          </w:p>
        </w:tc>
        <w:tc>
          <w:tcPr>
            <w:tcW w:w="987" w:type="pct"/>
            <w:tcBorders>
              <w:top w:val="single" w:sz="4" w:space="0" w:color="auto"/>
              <w:left w:val="single" w:sz="4" w:space="0" w:color="auto"/>
              <w:bottom w:val="single" w:sz="4" w:space="0" w:color="auto"/>
              <w:right w:val="single" w:sz="4" w:space="0" w:color="auto"/>
            </w:tcBorders>
            <w:vAlign w:val="center"/>
            <w:hideMark/>
          </w:tcPr>
          <w:p w14:paraId="01BC9F03" w14:textId="77777777" w:rsidR="001B7F77" w:rsidRPr="001B7F77" w:rsidRDefault="001B7F77" w:rsidP="001B7F77">
            <w:pPr>
              <w:suppressAutoHyphens/>
              <w:spacing w:before="120"/>
              <w:jc w:val="left"/>
              <w:rPr>
                <w:u w:val="single"/>
              </w:rPr>
            </w:pPr>
            <w:r w:rsidRPr="001B7F77">
              <w:rPr>
                <w:u w:val="single"/>
              </w:rPr>
              <w:t>202 (NONCOMBUSTIBLE MATERIAL)</w:t>
            </w:r>
          </w:p>
        </w:tc>
      </w:tr>
      <w:tr w:rsidR="001B7F77" w:rsidRPr="001B7F77" w14:paraId="20CAE056" w14:textId="77777777" w:rsidTr="006655A1">
        <w:trPr>
          <w:trHeight w:val="559"/>
        </w:trPr>
        <w:tc>
          <w:tcPr>
            <w:tcW w:w="1052" w:type="pct"/>
            <w:tcBorders>
              <w:top w:val="single" w:sz="4" w:space="0" w:color="auto"/>
              <w:left w:val="single" w:sz="4" w:space="0" w:color="auto"/>
              <w:bottom w:val="single" w:sz="4" w:space="0" w:color="auto"/>
              <w:right w:val="single" w:sz="4" w:space="0" w:color="auto"/>
            </w:tcBorders>
            <w:vAlign w:val="center"/>
            <w:hideMark/>
          </w:tcPr>
          <w:p w14:paraId="23C3DD70" w14:textId="77777777" w:rsidR="001B7F77" w:rsidRPr="001B7F77" w:rsidRDefault="001B7F77" w:rsidP="001B7F77">
            <w:pPr>
              <w:suppressAutoHyphens/>
              <w:spacing w:before="120"/>
              <w:jc w:val="left"/>
              <w:rPr>
                <w:u w:val="single"/>
              </w:rPr>
            </w:pPr>
            <w:r w:rsidRPr="001B7F77">
              <w:rPr>
                <w:u w:val="single"/>
              </w:rPr>
              <w:t>E814—2013</w:t>
            </w:r>
          </w:p>
        </w:tc>
        <w:tc>
          <w:tcPr>
            <w:tcW w:w="2961" w:type="pct"/>
            <w:tcBorders>
              <w:top w:val="single" w:sz="4" w:space="0" w:color="auto"/>
              <w:left w:val="single" w:sz="4" w:space="0" w:color="auto"/>
              <w:bottom w:val="single" w:sz="4" w:space="0" w:color="auto"/>
              <w:right w:val="single" w:sz="4" w:space="0" w:color="auto"/>
            </w:tcBorders>
            <w:vAlign w:val="center"/>
            <w:hideMark/>
          </w:tcPr>
          <w:p w14:paraId="2C12C6E3" w14:textId="77777777" w:rsidR="001B7F77" w:rsidRPr="001B7F77" w:rsidRDefault="001B7F77" w:rsidP="001B7F77">
            <w:pPr>
              <w:suppressAutoHyphens/>
              <w:spacing w:before="120"/>
              <w:jc w:val="left"/>
              <w:rPr>
                <w:u w:val="single"/>
              </w:rPr>
            </w:pPr>
            <w:r w:rsidRPr="001B7F77">
              <w:rPr>
                <w:u w:val="single"/>
              </w:rPr>
              <w:t>Test Method of Fire Tests of Through-penetration Firestops</w:t>
            </w:r>
          </w:p>
        </w:tc>
        <w:tc>
          <w:tcPr>
            <w:tcW w:w="987" w:type="pct"/>
            <w:tcBorders>
              <w:top w:val="single" w:sz="4" w:space="0" w:color="auto"/>
              <w:left w:val="single" w:sz="4" w:space="0" w:color="auto"/>
              <w:bottom w:val="single" w:sz="4" w:space="0" w:color="auto"/>
              <w:right w:val="single" w:sz="4" w:space="0" w:color="auto"/>
            </w:tcBorders>
            <w:vAlign w:val="center"/>
            <w:hideMark/>
          </w:tcPr>
          <w:p w14:paraId="6764CAF4" w14:textId="77777777" w:rsidR="001B7F77" w:rsidRPr="001B7F77" w:rsidRDefault="001B7F77" w:rsidP="001B7F77">
            <w:pPr>
              <w:suppressAutoHyphens/>
              <w:spacing w:before="120"/>
              <w:jc w:val="left"/>
              <w:rPr>
                <w:u w:val="single"/>
              </w:rPr>
            </w:pPr>
            <w:r w:rsidRPr="001B7F77">
              <w:rPr>
                <w:u w:val="single"/>
              </w:rPr>
              <w:t>502.7.3</w:t>
            </w:r>
          </w:p>
        </w:tc>
      </w:tr>
    </w:tbl>
    <w:p w14:paraId="220D1A16" w14:textId="77777777" w:rsidR="001B7F77" w:rsidRPr="001B7F77" w:rsidRDefault="001B7F77" w:rsidP="001B7F77">
      <w:pPr>
        <w:suppressAutoHyphens/>
        <w:spacing w:before="120"/>
        <w:jc w:val="left"/>
        <w:rPr>
          <w:u w:val="single"/>
        </w:rPr>
      </w:pPr>
    </w:p>
    <w:tbl>
      <w:tblPr>
        <w:tblW w:w="54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5860"/>
        <w:gridCol w:w="2240"/>
      </w:tblGrid>
      <w:tr w:rsidR="001B7F77" w:rsidRPr="001B7F77" w14:paraId="4FBDB8F4" w14:textId="77777777" w:rsidTr="006655A1">
        <w:trPr>
          <w:cantSplit/>
          <w:trHeight w:val="714"/>
          <w:tblHeader/>
        </w:trPr>
        <w:tc>
          <w:tcPr>
            <w:tcW w:w="1051" w:type="pct"/>
            <w:tcBorders>
              <w:top w:val="single" w:sz="4" w:space="0" w:color="auto"/>
              <w:left w:val="single" w:sz="4" w:space="0" w:color="auto"/>
              <w:bottom w:val="single" w:sz="4" w:space="0" w:color="auto"/>
              <w:right w:val="single" w:sz="4" w:space="0" w:color="auto"/>
            </w:tcBorders>
            <w:hideMark/>
          </w:tcPr>
          <w:p w14:paraId="6BAE8579" w14:textId="77777777" w:rsidR="001B7F77" w:rsidRPr="001B7F77" w:rsidRDefault="001B7F77" w:rsidP="001B7F77">
            <w:pPr>
              <w:suppressAutoHyphens/>
              <w:spacing w:before="120"/>
              <w:jc w:val="left"/>
              <w:rPr>
                <w:b/>
                <w:bCs/>
                <w:u w:val="single"/>
              </w:rPr>
            </w:pPr>
            <w:r w:rsidRPr="001B7F77">
              <w:rPr>
                <w:b/>
                <w:bCs/>
                <w:u w:val="single"/>
              </w:rPr>
              <w:t>ICC</w:t>
            </w:r>
          </w:p>
        </w:tc>
        <w:tc>
          <w:tcPr>
            <w:tcW w:w="2857" w:type="pct"/>
            <w:tcBorders>
              <w:top w:val="single" w:sz="4" w:space="0" w:color="auto"/>
              <w:left w:val="single" w:sz="4" w:space="0" w:color="auto"/>
              <w:bottom w:val="single" w:sz="4" w:space="0" w:color="auto"/>
              <w:right w:val="single" w:sz="4" w:space="0" w:color="auto"/>
            </w:tcBorders>
            <w:vAlign w:val="bottom"/>
            <w:hideMark/>
          </w:tcPr>
          <w:p w14:paraId="214357BD" w14:textId="77777777" w:rsidR="001B7F77" w:rsidRPr="001B7F77" w:rsidRDefault="001B7F77" w:rsidP="001B7F77">
            <w:pPr>
              <w:suppressAutoHyphens/>
              <w:spacing w:before="120"/>
              <w:jc w:val="left"/>
              <w:rPr>
                <w:u w:val="single"/>
              </w:rPr>
            </w:pPr>
            <w:r w:rsidRPr="001B7F77">
              <w:rPr>
                <w:u w:val="single"/>
              </w:rPr>
              <w:t>International Code Council, Inc.</w:t>
            </w:r>
            <w:r w:rsidRPr="001B7F77">
              <w:rPr>
                <w:u w:val="single"/>
              </w:rPr>
              <w:br/>
              <w:t>500 New Jersey Ave, NW, 6th Floor</w:t>
            </w:r>
            <w:r w:rsidRPr="001B7F77">
              <w:rPr>
                <w:u w:val="single"/>
              </w:rPr>
              <w:br/>
              <w:t>Washington, DC 20001</w:t>
            </w:r>
          </w:p>
        </w:tc>
        <w:tc>
          <w:tcPr>
            <w:tcW w:w="1092" w:type="pct"/>
            <w:tcBorders>
              <w:top w:val="single" w:sz="4" w:space="0" w:color="auto"/>
              <w:left w:val="single" w:sz="4" w:space="0" w:color="auto"/>
              <w:bottom w:val="single" w:sz="4" w:space="0" w:color="auto"/>
              <w:right w:val="single" w:sz="4" w:space="0" w:color="auto"/>
            </w:tcBorders>
            <w:vAlign w:val="bottom"/>
          </w:tcPr>
          <w:p w14:paraId="2F89ACFA" w14:textId="77777777" w:rsidR="001B7F77" w:rsidRPr="001B7F77" w:rsidRDefault="001B7F77" w:rsidP="001B7F77">
            <w:pPr>
              <w:suppressAutoHyphens/>
              <w:spacing w:before="120"/>
              <w:jc w:val="left"/>
              <w:rPr>
                <w:u w:val="single"/>
              </w:rPr>
            </w:pPr>
          </w:p>
        </w:tc>
      </w:tr>
      <w:tr w:rsidR="001B7F77" w:rsidRPr="001B7F77" w14:paraId="0A0321A1" w14:textId="77777777" w:rsidTr="006655A1">
        <w:trPr>
          <w:cantSplit/>
          <w:trHeight w:val="854"/>
          <w:tblHeader/>
        </w:trPr>
        <w:tc>
          <w:tcPr>
            <w:tcW w:w="1051" w:type="pct"/>
            <w:tcBorders>
              <w:top w:val="single" w:sz="4" w:space="0" w:color="auto"/>
              <w:left w:val="single" w:sz="4" w:space="0" w:color="auto"/>
              <w:bottom w:val="single" w:sz="4" w:space="0" w:color="auto"/>
              <w:right w:val="single" w:sz="4" w:space="0" w:color="auto"/>
            </w:tcBorders>
            <w:hideMark/>
          </w:tcPr>
          <w:p w14:paraId="3C6D4314" w14:textId="77777777" w:rsidR="001B7F77" w:rsidRPr="001B7F77" w:rsidRDefault="001B7F77" w:rsidP="001B7F77">
            <w:pPr>
              <w:suppressAutoHyphens/>
              <w:spacing w:before="120"/>
              <w:jc w:val="left"/>
              <w:rPr>
                <w:u w:val="single"/>
              </w:rPr>
            </w:pPr>
            <w:r w:rsidRPr="001B7F77">
              <w:rPr>
                <w:u w:val="single"/>
              </w:rPr>
              <w:t>Standard</w:t>
            </w:r>
            <w:r w:rsidRPr="001B7F77">
              <w:rPr>
                <w:u w:val="single"/>
              </w:rPr>
              <w:br/>
              <w:t>reference</w:t>
            </w:r>
            <w:r w:rsidRPr="001B7F77">
              <w:rPr>
                <w:u w:val="single"/>
              </w:rPr>
              <w:br/>
              <w:t>number</w:t>
            </w:r>
          </w:p>
        </w:tc>
        <w:tc>
          <w:tcPr>
            <w:tcW w:w="2857" w:type="pct"/>
            <w:tcBorders>
              <w:top w:val="single" w:sz="4" w:space="0" w:color="auto"/>
              <w:left w:val="single" w:sz="4" w:space="0" w:color="auto"/>
              <w:bottom w:val="single" w:sz="4" w:space="0" w:color="auto"/>
              <w:right w:val="single" w:sz="4" w:space="0" w:color="auto"/>
            </w:tcBorders>
            <w:vAlign w:val="bottom"/>
            <w:hideMark/>
          </w:tcPr>
          <w:p w14:paraId="46B33952" w14:textId="77777777" w:rsidR="001B7F77" w:rsidRPr="001B7F77" w:rsidRDefault="001B7F77" w:rsidP="001B7F77">
            <w:pPr>
              <w:suppressAutoHyphens/>
              <w:spacing w:before="120"/>
              <w:jc w:val="left"/>
              <w:rPr>
                <w:u w:val="single"/>
              </w:rPr>
            </w:pPr>
            <w:r w:rsidRPr="001B7F77">
              <w:rPr>
                <w:u w:val="single"/>
              </w:rPr>
              <w:t>Title</w:t>
            </w:r>
          </w:p>
        </w:tc>
        <w:tc>
          <w:tcPr>
            <w:tcW w:w="1092" w:type="pct"/>
            <w:tcBorders>
              <w:top w:val="single" w:sz="4" w:space="0" w:color="auto"/>
              <w:left w:val="single" w:sz="4" w:space="0" w:color="auto"/>
              <w:bottom w:val="single" w:sz="4" w:space="0" w:color="auto"/>
              <w:right w:val="single" w:sz="4" w:space="0" w:color="auto"/>
            </w:tcBorders>
            <w:vAlign w:val="bottom"/>
            <w:hideMark/>
          </w:tcPr>
          <w:p w14:paraId="64AADD92" w14:textId="77777777" w:rsidR="001B7F77" w:rsidRPr="001B7F77" w:rsidRDefault="001B7F77" w:rsidP="001B7F77">
            <w:pPr>
              <w:suppressAutoHyphens/>
              <w:spacing w:before="120"/>
              <w:jc w:val="left"/>
              <w:rPr>
                <w:u w:val="single"/>
              </w:rPr>
            </w:pPr>
            <w:r w:rsidRPr="001B7F77">
              <w:rPr>
                <w:u w:val="single"/>
              </w:rPr>
              <w:t>Referenced</w:t>
            </w:r>
            <w:r w:rsidRPr="001B7F77">
              <w:rPr>
                <w:u w:val="single"/>
              </w:rPr>
              <w:br/>
              <w:t>in code</w:t>
            </w:r>
            <w:r w:rsidRPr="001B7F77">
              <w:rPr>
                <w:u w:val="single"/>
              </w:rPr>
              <w:br/>
              <w:t>section number</w:t>
            </w:r>
          </w:p>
        </w:tc>
      </w:tr>
      <w:tr w:rsidR="001B7F77" w:rsidRPr="001B7F77" w14:paraId="4F67FDE1" w14:textId="77777777" w:rsidTr="006655A1">
        <w:trPr>
          <w:trHeight w:val="559"/>
        </w:trPr>
        <w:tc>
          <w:tcPr>
            <w:tcW w:w="1051" w:type="pct"/>
            <w:tcBorders>
              <w:top w:val="single" w:sz="4" w:space="0" w:color="auto"/>
              <w:left w:val="single" w:sz="4" w:space="0" w:color="auto"/>
              <w:bottom w:val="single" w:sz="4" w:space="0" w:color="auto"/>
              <w:right w:val="single" w:sz="4" w:space="0" w:color="auto"/>
            </w:tcBorders>
            <w:vAlign w:val="center"/>
            <w:hideMark/>
          </w:tcPr>
          <w:p w14:paraId="352DCD12" w14:textId="77777777" w:rsidR="001B7F77" w:rsidRPr="001B7F77" w:rsidRDefault="001B7F77" w:rsidP="001B7F77">
            <w:pPr>
              <w:suppressAutoHyphens/>
              <w:spacing w:before="120"/>
              <w:jc w:val="left"/>
              <w:rPr>
                <w:u w:val="single"/>
              </w:rPr>
            </w:pPr>
            <w:r w:rsidRPr="001B7F77">
              <w:rPr>
                <w:u w:val="single"/>
              </w:rPr>
              <w:t>A117.1—09</w:t>
            </w:r>
          </w:p>
        </w:tc>
        <w:tc>
          <w:tcPr>
            <w:tcW w:w="2857" w:type="pct"/>
            <w:tcBorders>
              <w:top w:val="single" w:sz="4" w:space="0" w:color="auto"/>
              <w:left w:val="single" w:sz="4" w:space="0" w:color="auto"/>
              <w:bottom w:val="single" w:sz="4" w:space="0" w:color="auto"/>
              <w:right w:val="single" w:sz="4" w:space="0" w:color="auto"/>
            </w:tcBorders>
            <w:vAlign w:val="center"/>
            <w:hideMark/>
          </w:tcPr>
          <w:p w14:paraId="3920EC21" w14:textId="77777777" w:rsidR="001B7F77" w:rsidRPr="001B7F77" w:rsidRDefault="001B7F77" w:rsidP="001B7F77">
            <w:pPr>
              <w:suppressAutoHyphens/>
              <w:spacing w:before="120"/>
              <w:jc w:val="left"/>
              <w:rPr>
                <w:u w:val="single"/>
              </w:rPr>
            </w:pPr>
            <w:r w:rsidRPr="001B7F77">
              <w:rPr>
                <w:u w:val="single"/>
              </w:rPr>
              <w:t>Accessible and Usable Buildings and Facilities</w:t>
            </w:r>
          </w:p>
        </w:tc>
        <w:tc>
          <w:tcPr>
            <w:tcW w:w="1092" w:type="pct"/>
            <w:tcBorders>
              <w:top w:val="single" w:sz="4" w:space="0" w:color="auto"/>
              <w:left w:val="single" w:sz="4" w:space="0" w:color="auto"/>
              <w:bottom w:val="single" w:sz="4" w:space="0" w:color="auto"/>
              <w:right w:val="single" w:sz="4" w:space="0" w:color="auto"/>
            </w:tcBorders>
            <w:vAlign w:val="center"/>
            <w:hideMark/>
          </w:tcPr>
          <w:p w14:paraId="3F0F777E" w14:textId="77777777" w:rsidR="001B7F77" w:rsidRPr="001B7F77" w:rsidRDefault="001B7F77" w:rsidP="001B7F77">
            <w:pPr>
              <w:suppressAutoHyphens/>
              <w:spacing w:before="120"/>
              <w:jc w:val="left"/>
              <w:rPr>
                <w:u w:val="single"/>
              </w:rPr>
            </w:pPr>
            <w:r w:rsidRPr="001B7F77">
              <w:rPr>
                <w:u w:val="single"/>
              </w:rPr>
              <w:t>306.2.3, 306.2.4, 306.2.5, 806.2.2, 806.2.9, 806.2.10, 806.2.12</w:t>
            </w:r>
          </w:p>
        </w:tc>
      </w:tr>
    </w:tbl>
    <w:p w14:paraId="63838A29" w14:textId="77777777" w:rsidR="001B7F77" w:rsidRPr="001B7F77" w:rsidRDefault="001B7F77" w:rsidP="001B7F77">
      <w:pPr>
        <w:suppressAutoHyphens/>
        <w:spacing w:before="120"/>
        <w:jc w:val="left"/>
        <w:rPr>
          <w:u w:val="single"/>
        </w:rPr>
      </w:pPr>
    </w:p>
    <w:tbl>
      <w:tblPr>
        <w:tblW w:w="54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5860"/>
        <w:gridCol w:w="2240"/>
      </w:tblGrid>
      <w:tr w:rsidR="001B7F77" w:rsidRPr="001B7F77" w14:paraId="242BEA47" w14:textId="77777777" w:rsidTr="006655A1">
        <w:trPr>
          <w:cantSplit/>
          <w:trHeight w:val="714"/>
          <w:tblHeader/>
        </w:trPr>
        <w:tc>
          <w:tcPr>
            <w:tcW w:w="1051" w:type="pct"/>
            <w:tcBorders>
              <w:top w:val="single" w:sz="4" w:space="0" w:color="auto"/>
              <w:left w:val="single" w:sz="4" w:space="0" w:color="auto"/>
              <w:bottom w:val="single" w:sz="4" w:space="0" w:color="auto"/>
              <w:right w:val="single" w:sz="4" w:space="0" w:color="auto"/>
            </w:tcBorders>
            <w:hideMark/>
          </w:tcPr>
          <w:p w14:paraId="4858368A" w14:textId="77777777" w:rsidR="001B7F77" w:rsidRPr="001B7F77" w:rsidRDefault="001B7F77" w:rsidP="001B7F77">
            <w:pPr>
              <w:suppressAutoHyphens/>
              <w:spacing w:before="120"/>
              <w:jc w:val="left"/>
              <w:rPr>
                <w:b/>
                <w:bCs/>
                <w:u w:val="single"/>
              </w:rPr>
            </w:pPr>
            <w:r w:rsidRPr="001B7F77">
              <w:rPr>
                <w:b/>
                <w:bCs/>
                <w:u w:val="single"/>
              </w:rPr>
              <w:t>NFPA</w:t>
            </w:r>
          </w:p>
        </w:tc>
        <w:tc>
          <w:tcPr>
            <w:tcW w:w="2857" w:type="pct"/>
            <w:tcBorders>
              <w:top w:val="single" w:sz="4" w:space="0" w:color="auto"/>
              <w:left w:val="single" w:sz="4" w:space="0" w:color="auto"/>
              <w:bottom w:val="single" w:sz="4" w:space="0" w:color="auto"/>
              <w:right w:val="single" w:sz="4" w:space="0" w:color="auto"/>
            </w:tcBorders>
            <w:vAlign w:val="bottom"/>
            <w:hideMark/>
          </w:tcPr>
          <w:p w14:paraId="7B311855" w14:textId="77777777" w:rsidR="001B7F77" w:rsidRPr="001B7F77" w:rsidRDefault="001B7F77" w:rsidP="001B7F77">
            <w:pPr>
              <w:suppressAutoHyphens/>
              <w:spacing w:before="120"/>
              <w:jc w:val="left"/>
              <w:rPr>
                <w:u w:val="single"/>
              </w:rPr>
            </w:pPr>
            <w:r w:rsidRPr="001B7F77">
              <w:rPr>
                <w:u w:val="single"/>
              </w:rPr>
              <w:t xml:space="preserve">National Fire Protection Agency </w:t>
            </w:r>
            <w:r w:rsidRPr="001B7F77">
              <w:rPr>
                <w:u w:val="single"/>
              </w:rPr>
              <w:br/>
              <w:t xml:space="preserve">1 Batterymarch Park </w:t>
            </w:r>
            <w:r w:rsidRPr="001B7F77">
              <w:rPr>
                <w:u w:val="single"/>
              </w:rPr>
              <w:br/>
              <w:t>Quincy, MA 02269-9101</w:t>
            </w:r>
          </w:p>
        </w:tc>
        <w:tc>
          <w:tcPr>
            <w:tcW w:w="1092" w:type="pct"/>
            <w:tcBorders>
              <w:top w:val="single" w:sz="4" w:space="0" w:color="auto"/>
              <w:left w:val="single" w:sz="4" w:space="0" w:color="auto"/>
              <w:bottom w:val="single" w:sz="4" w:space="0" w:color="auto"/>
              <w:right w:val="single" w:sz="4" w:space="0" w:color="auto"/>
            </w:tcBorders>
            <w:vAlign w:val="bottom"/>
          </w:tcPr>
          <w:p w14:paraId="257F6AAB" w14:textId="77777777" w:rsidR="001B7F77" w:rsidRPr="001B7F77" w:rsidRDefault="001B7F77" w:rsidP="001B7F77">
            <w:pPr>
              <w:suppressAutoHyphens/>
              <w:spacing w:before="120"/>
              <w:jc w:val="left"/>
              <w:rPr>
                <w:u w:val="single"/>
              </w:rPr>
            </w:pPr>
          </w:p>
        </w:tc>
      </w:tr>
      <w:tr w:rsidR="001B7F77" w:rsidRPr="001B7F77" w14:paraId="48167173" w14:textId="77777777" w:rsidTr="006655A1">
        <w:trPr>
          <w:cantSplit/>
          <w:trHeight w:val="854"/>
          <w:tblHeader/>
        </w:trPr>
        <w:tc>
          <w:tcPr>
            <w:tcW w:w="1051" w:type="pct"/>
            <w:tcBorders>
              <w:top w:val="single" w:sz="4" w:space="0" w:color="auto"/>
              <w:left w:val="single" w:sz="4" w:space="0" w:color="auto"/>
              <w:bottom w:val="single" w:sz="4" w:space="0" w:color="auto"/>
              <w:right w:val="single" w:sz="4" w:space="0" w:color="auto"/>
            </w:tcBorders>
            <w:hideMark/>
          </w:tcPr>
          <w:p w14:paraId="43C77C8F" w14:textId="77777777" w:rsidR="001B7F77" w:rsidRPr="001B7F77" w:rsidRDefault="001B7F77" w:rsidP="001B7F77">
            <w:pPr>
              <w:suppressAutoHyphens/>
              <w:spacing w:before="120"/>
              <w:jc w:val="left"/>
              <w:rPr>
                <w:u w:val="single"/>
              </w:rPr>
            </w:pPr>
            <w:r w:rsidRPr="001B7F77">
              <w:rPr>
                <w:u w:val="single"/>
              </w:rPr>
              <w:t>Standard</w:t>
            </w:r>
            <w:r w:rsidRPr="001B7F77">
              <w:rPr>
                <w:u w:val="single"/>
              </w:rPr>
              <w:br/>
              <w:t>reference</w:t>
            </w:r>
            <w:r w:rsidRPr="001B7F77">
              <w:rPr>
                <w:u w:val="single"/>
              </w:rPr>
              <w:br/>
              <w:t>number</w:t>
            </w:r>
          </w:p>
        </w:tc>
        <w:tc>
          <w:tcPr>
            <w:tcW w:w="2857" w:type="pct"/>
            <w:tcBorders>
              <w:top w:val="single" w:sz="4" w:space="0" w:color="auto"/>
              <w:left w:val="single" w:sz="4" w:space="0" w:color="auto"/>
              <w:bottom w:val="single" w:sz="4" w:space="0" w:color="auto"/>
              <w:right w:val="single" w:sz="4" w:space="0" w:color="auto"/>
            </w:tcBorders>
            <w:vAlign w:val="bottom"/>
            <w:hideMark/>
          </w:tcPr>
          <w:p w14:paraId="570260D3" w14:textId="77777777" w:rsidR="001B7F77" w:rsidRPr="001B7F77" w:rsidRDefault="001B7F77" w:rsidP="001B7F77">
            <w:pPr>
              <w:suppressAutoHyphens/>
              <w:spacing w:before="120"/>
              <w:jc w:val="left"/>
              <w:rPr>
                <w:u w:val="single"/>
              </w:rPr>
            </w:pPr>
            <w:r w:rsidRPr="001B7F77">
              <w:rPr>
                <w:u w:val="single"/>
              </w:rPr>
              <w:t>Title</w:t>
            </w:r>
          </w:p>
        </w:tc>
        <w:tc>
          <w:tcPr>
            <w:tcW w:w="1092" w:type="pct"/>
            <w:tcBorders>
              <w:top w:val="single" w:sz="4" w:space="0" w:color="auto"/>
              <w:left w:val="single" w:sz="4" w:space="0" w:color="auto"/>
              <w:bottom w:val="single" w:sz="4" w:space="0" w:color="auto"/>
              <w:right w:val="single" w:sz="4" w:space="0" w:color="auto"/>
            </w:tcBorders>
            <w:vAlign w:val="bottom"/>
            <w:hideMark/>
          </w:tcPr>
          <w:p w14:paraId="1149678E" w14:textId="77777777" w:rsidR="001B7F77" w:rsidRPr="001B7F77" w:rsidRDefault="001B7F77" w:rsidP="001B7F77">
            <w:pPr>
              <w:suppressAutoHyphens/>
              <w:spacing w:before="120"/>
              <w:jc w:val="left"/>
              <w:rPr>
                <w:u w:val="single"/>
              </w:rPr>
            </w:pPr>
            <w:r w:rsidRPr="001B7F77">
              <w:rPr>
                <w:u w:val="single"/>
              </w:rPr>
              <w:t>Referenced</w:t>
            </w:r>
            <w:r w:rsidRPr="001B7F77">
              <w:rPr>
                <w:u w:val="single"/>
              </w:rPr>
              <w:br/>
              <w:t>in code</w:t>
            </w:r>
            <w:r w:rsidRPr="001B7F77">
              <w:rPr>
                <w:u w:val="single"/>
              </w:rPr>
              <w:br/>
              <w:t>section number</w:t>
            </w:r>
          </w:p>
        </w:tc>
      </w:tr>
      <w:tr w:rsidR="001B7F77" w:rsidRPr="001B7F77" w14:paraId="78A3EB98" w14:textId="77777777" w:rsidTr="006655A1">
        <w:trPr>
          <w:cantSplit/>
          <w:trHeight w:val="559"/>
        </w:trPr>
        <w:tc>
          <w:tcPr>
            <w:tcW w:w="1051" w:type="pct"/>
            <w:tcBorders>
              <w:top w:val="single" w:sz="4" w:space="0" w:color="auto"/>
              <w:left w:val="single" w:sz="4" w:space="0" w:color="auto"/>
              <w:bottom w:val="single" w:sz="4" w:space="0" w:color="auto"/>
              <w:right w:val="single" w:sz="4" w:space="0" w:color="auto"/>
            </w:tcBorders>
            <w:vAlign w:val="center"/>
            <w:hideMark/>
          </w:tcPr>
          <w:p w14:paraId="200B31D4" w14:textId="77777777" w:rsidR="001B7F77" w:rsidRPr="001B7F77" w:rsidRDefault="001B7F77" w:rsidP="001B7F77">
            <w:pPr>
              <w:suppressAutoHyphens/>
              <w:spacing w:before="120"/>
              <w:jc w:val="left"/>
              <w:rPr>
                <w:u w:val="single"/>
              </w:rPr>
            </w:pPr>
            <w:r w:rsidRPr="001B7F77">
              <w:rPr>
                <w:u w:val="single"/>
              </w:rPr>
              <w:t>13—16*</w:t>
            </w:r>
          </w:p>
          <w:p w14:paraId="68835ED1" w14:textId="77777777" w:rsidR="001B7F77" w:rsidRPr="001B7F77" w:rsidRDefault="001B7F77" w:rsidP="001B7F77">
            <w:pPr>
              <w:suppressAutoHyphens/>
              <w:spacing w:before="120"/>
              <w:jc w:val="left"/>
              <w:rPr>
                <w:u w:val="single"/>
              </w:rPr>
            </w:pPr>
            <w:r w:rsidRPr="001B7F77">
              <w:rPr>
                <w:u w:val="single"/>
              </w:rPr>
              <w:t xml:space="preserve">*As modified in Appendix Q of the </w:t>
            </w:r>
            <w:r w:rsidRPr="001B7F77">
              <w:rPr>
                <w:i/>
                <w:iCs/>
                <w:u w:val="single"/>
              </w:rPr>
              <w:t>New York City Building Code</w:t>
            </w:r>
          </w:p>
        </w:tc>
        <w:tc>
          <w:tcPr>
            <w:tcW w:w="2857" w:type="pct"/>
            <w:tcBorders>
              <w:top w:val="single" w:sz="4" w:space="0" w:color="auto"/>
              <w:left w:val="single" w:sz="4" w:space="0" w:color="auto"/>
              <w:bottom w:val="single" w:sz="4" w:space="0" w:color="auto"/>
              <w:right w:val="single" w:sz="4" w:space="0" w:color="auto"/>
            </w:tcBorders>
            <w:vAlign w:val="center"/>
            <w:hideMark/>
          </w:tcPr>
          <w:p w14:paraId="12D958BC" w14:textId="77777777" w:rsidR="001B7F77" w:rsidRPr="001B7F77" w:rsidRDefault="001B7F77" w:rsidP="001B7F77">
            <w:pPr>
              <w:suppressAutoHyphens/>
              <w:spacing w:before="120"/>
              <w:jc w:val="left"/>
              <w:rPr>
                <w:u w:val="single"/>
              </w:rPr>
            </w:pPr>
            <w:r w:rsidRPr="001B7F77">
              <w:rPr>
                <w:u w:val="single"/>
              </w:rPr>
              <w:t>Installation of Sprinkler Systems</w:t>
            </w:r>
          </w:p>
        </w:tc>
        <w:tc>
          <w:tcPr>
            <w:tcW w:w="1092" w:type="pct"/>
            <w:tcBorders>
              <w:top w:val="single" w:sz="4" w:space="0" w:color="auto"/>
              <w:left w:val="single" w:sz="4" w:space="0" w:color="auto"/>
              <w:bottom w:val="single" w:sz="4" w:space="0" w:color="auto"/>
              <w:right w:val="single" w:sz="4" w:space="0" w:color="auto"/>
            </w:tcBorders>
            <w:vAlign w:val="center"/>
            <w:hideMark/>
          </w:tcPr>
          <w:p w14:paraId="372DF1D9" w14:textId="77777777" w:rsidR="001B7F77" w:rsidRPr="001B7F77" w:rsidRDefault="001B7F77" w:rsidP="001B7F77">
            <w:pPr>
              <w:suppressAutoHyphens/>
              <w:spacing w:before="120"/>
              <w:jc w:val="left"/>
              <w:rPr>
                <w:u w:val="single"/>
              </w:rPr>
            </w:pPr>
            <w:r w:rsidRPr="001B7F77">
              <w:rPr>
                <w:u w:val="single"/>
              </w:rPr>
              <w:t>504.2.2, 505.2.2, 803.2.1, 804.2.8.2, 804.2.8.2.1, 1506.2.1</w:t>
            </w:r>
          </w:p>
        </w:tc>
      </w:tr>
      <w:tr w:rsidR="001B7F77" w:rsidRPr="001B7F77" w14:paraId="03FD808A" w14:textId="77777777" w:rsidTr="006655A1">
        <w:trPr>
          <w:cantSplit/>
          <w:trHeight w:val="559"/>
        </w:trPr>
        <w:tc>
          <w:tcPr>
            <w:tcW w:w="1051" w:type="pct"/>
            <w:tcBorders>
              <w:top w:val="single" w:sz="4" w:space="0" w:color="auto"/>
              <w:left w:val="single" w:sz="4" w:space="0" w:color="auto"/>
              <w:bottom w:val="single" w:sz="4" w:space="0" w:color="auto"/>
              <w:right w:val="single" w:sz="4" w:space="0" w:color="auto"/>
            </w:tcBorders>
            <w:vAlign w:val="center"/>
            <w:hideMark/>
          </w:tcPr>
          <w:p w14:paraId="43921749" w14:textId="77777777" w:rsidR="001B7F77" w:rsidRPr="001B7F77" w:rsidRDefault="001B7F77" w:rsidP="001B7F77">
            <w:pPr>
              <w:suppressAutoHyphens/>
              <w:spacing w:before="120"/>
              <w:jc w:val="left"/>
              <w:rPr>
                <w:u w:val="single"/>
              </w:rPr>
            </w:pPr>
            <w:r w:rsidRPr="001B7F77">
              <w:rPr>
                <w:u w:val="single"/>
              </w:rPr>
              <w:t>72—16*</w:t>
            </w:r>
          </w:p>
          <w:p w14:paraId="5694291B" w14:textId="77777777" w:rsidR="001B7F77" w:rsidRPr="001B7F77" w:rsidRDefault="001B7F77" w:rsidP="001B7F77">
            <w:pPr>
              <w:suppressAutoHyphens/>
              <w:spacing w:before="120"/>
              <w:jc w:val="left"/>
              <w:rPr>
                <w:u w:val="single"/>
              </w:rPr>
            </w:pPr>
            <w:r w:rsidRPr="001B7F77">
              <w:rPr>
                <w:u w:val="single"/>
              </w:rPr>
              <w:t xml:space="preserve">*As modified in Appendix Q of the </w:t>
            </w:r>
            <w:r w:rsidRPr="001B7F77">
              <w:rPr>
                <w:i/>
                <w:iCs/>
                <w:u w:val="single"/>
              </w:rPr>
              <w:t>New York City Building Code</w:t>
            </w:r>
          </w:p>
        </w:tc>
        <w:tc>
          <w:tcPr>
            <w:tcW w:w="2857" w:type="pct"/>
            <w:tcBorders>
              <w:top w:val="single" w:sz="4" w:space="0" w:color="auto"/>
              <w:left w:val="single" w:sz="4" w:space="0" w:color="auto"/>
              <w:bottom w:val="single" w:sz="4" w:space="0" w:color="auto"/>
              <w:right w:val="single" w:sz="4" w:space="0" w:color="auto"/>
            </w:tcBorders>
            <w:vAlign w:val="center"/>
            <w:hideMark/>
          </w:tcPr>
          <w:p w14:paraId="0CF9C5A2" w14:textId="77777777" w:rsidR="001B7F77" w:rsidRPr="001B7F77" w:rsidRDefault="001B7F77" w:rsidP="001B7F77">
            <w:pPr>
              <w:suppressAutoHyphens/>
              <w:spacing w:before="120"/>
              <w:jc w:val="left"/>
              <w:rPr>
                <w:u w:val="single"/>
              </w:rPr>
            </w:pPr>
            <w:r w:rsidRPr="001B7F77">
              <w:rPr>
                <w:u w:val="single"/>
              </w:rPr>
              <w:t>National Fire Alarm Code</w:t>
            </w:r>
          </w:p>
        </w:tc>
        <w:tc>
          <w:tcPr>
            <w:tcW w:w="1092" w:type="pct"/>
            <w:tcBorders>
              <w:top w:val="single" w:sz="4" w:space="0" w:color="auto"/>
              <w:left w:val="single" w:sz="4" w:space="0" w:color="auto"/>
              <w:bottom w:val="single" w:sz="4" w:space="0" w:color="auto"/>
              <w:right w:val="single" w:sz="4" w:space="0" w:color="auto"/>
            </w:tcBorders>
            <w:vAlign w:val="center"/>
            <w:hideMark/>
          </w:tcPr>
          <w:p w14:paraId="651F7CA4" w14:textId="77777777" w:rsidR="001B7F77" w:rsidRPr="001B7F77" w:rsidRDefault="001B7F77" w:rsidP="001B7F77">
            <w:pPr>
              <w:suppressAutoHyphens/>
              <w:spacing w:before="120"/>
              <w:jc w:val="left"/>
              <w:rPr>
                <w:u w:val="single"/>
              </w:rPr>
            </w:pPr>
            <w:r w:rsidRPr="001B7F77">
              <w:rPr>
                <w:u w:val="single"/>
              </w:rPr>
              <w:t>312.6.6, 804.4, 804.4.2, 808.5, 902.1.1.6.1, 1506.2.2</w:t>
            </w:r>
          </w:p>
        </w:tc>
      </w:tr>
      <w:tr w:rsidR="001B7F77" w:rsidRPr="001B7F77" w14:paraId="3EAE681C" w14:textId="77777777" w:rsidTr="006655A1">
        <w:trPr>
          <w:trHeight w:val="559"/>
        </w:trPr>
        <w:tc>
          <w:tcPr>
            <w:tcW w:w="1051" w:type="pct"/>
            <w:tcBorders>
              <w:top w:val="single" w:sz="4" w:space="0" w:color="auto"/>
              <w:left w:val="single" w:sz="4" w:space="0" w:color="auto"/>
              <w:bottom w:val="single" w:sz="4" w:space="0" w:color="auto"/>
              <w:right w:val="single" w:sz="4" w:space="0" w:color="auto"/>
            </w:tcBorders>
            <w:vAlign w:val="center"/>
            <w:hideMark/>
          </w:tcPr>
          <w:p w14:paraId="2F38E342" w14:textId="77777777" w:rsidR="001B7F77" w:rsidRPr="001B7F77" w:rsidRDefault="001B7F77" w:rsidP="001B7F77">
            <w:pPr>
              <w:suppressAutoHyphens/>
              <w:spacing w:before="120"/>
              <w:jc w:val="left"/>
              <w:rPr>
                <w:u w:val="single"/>
              </w:rPr>
            </w:pPr>
            <w:r w:rsidRPr="001B7F77">
              <w:rPr>
                <w:u w:val="single"/>
              </w:rPr>
              <w:t>80—13</w:t>
            </w:r>
          </w:p>
        </w:tc>
        <w:tc>
          <w:tcPr>
            <w:tcW w:w="2857" w:type="pct"/>
            <w:tcBorders>
              <w:top w:val="single" w:sz="4" w:space="0" w:color="auto"/>
              <w:left w:val="single" w:sz="4" w:space="0" w:color="auto"/>
              <w:bottom w:val="single" w:sz="4" w:space="0" w:color="auto"/>
              <w:right w:val="single" w:sz="4" w:space="0" w:color="auto"/>
            </w:tcBorders>
            <w:vAlign w:val="center"/>
            <w:hideMark/>
          </w:tcPr>
          <w:p w14:paraId="34732C80" w14:textId="77777777" w:rsidR="001B7F77" w:rsidRPr="001B7F77" w:rsidRDefault="001B7F77" w:rsidP="001B7F77">
            <w:pPr>
              <w:suppressAutoHyphens/>
              <w:spacing w:before="120"/>
              <w:jc w:val="left"/>
              <w:rPr>
                <w:u w:val="single"/>
              </w:rPr>
            </w:pPr>
            <w:r w:rsidRPr="001B7F77">
              <w:rPr>
                <w:u w:val="single"/>
              </w:rPr>
              <w:t>Fire Dampers</w:t>
            </w:r>
          </w:p>
        </w:tc>
        <w:tc>
          <w:tcPr>
            <w:tcW w:w="1092" w:type="pct"/>
            <w:tcBorders>
              <w:top w:val="single" w:sz="4" w:space="0" w:color="auto"/>
              <w:left w:val="single" w:sz="4" w:space="0" w:color="auto"/>
              <w:bottom w:val="single" w:sz="4" w:space="0" w:color="auto"/>
              <w:right w:val="single" w:sz="4" w:space="0" w:color="auto"/>
            </w:tcBorders>
            <w:vAlign w:val="center"/>
            <w:hideMark/>
          </w:tcPr>
          <w:p w14:paraId="417EF5F4" w14:textId="77777777" w:rsidR="001B7F77" w:rsidRPr="001B7F77" w:rsidRDefault="001B7F77" w:rsidP="001B7F77">
            <w:pPr>
              <w:suppressAutoHyphens/>
              <w:spacing w:before="120"/>
              <w:jc w:val="left"/>
              <w:rPr>
                <w:u w:val="single"/>
              </w:rPr>
            </w:pPr>
            <w:r w:rsidRPr="001B7F77">
              <w:rPr>
                <w:u w:val="single"/>
              </w:rPr>
              <w:t>809.2.6.2</w:t>
            </w:r>
          </w:p>
        </w:tc>
      </w:tr>
      <w:tr w:rsidR="001B7F77" w:rsidRPr="001B7F77" w14:paraId="0492AF84" w14:textId="77777777" w:rsidTr="006655A1">
        <w:trPr>
          <w:trHeight w:val="559"/>
        </w:trPr>
        <w:tc>
          <w:tcPr>
            <w:tcW w:w="1051" w:type="pct"/>
            <w:tcBorders>
              <w:top w:val="single" w:sz="4" w:space="0" w:color="auto"/>
              <w:left w:val="single" w:sz="4" w:space="0" w:color="auto"/>
              <w:bottom w:val="single" w:sz="4" w:space="0" w:color="auto"/>
              <w:right w:val="single" w:sz="4" w:space="0" w:color="auto"/>
            </w:tcBorders>
            <w:vAlign w:val="center"/>
            <w:hideMark/>
          </w:tcPr>
          <w:p w14:paraId="43DCC52D" w14:textId="77777777" w:rsidR="001B7F77" w:rsidRPr="001B7F77" w:rsidRDefault="001B7F77" w:rsidP="001B7F77">
            <w:pPr>
              <w:suppressAutoHyphens/>
              <w:spacing w:before="120"/>
              <w:jc w:val="left"/>
              <w:rPr>
                <w:u w:val="single"/>
              </w:rPr>
            </w:pPr>
            <w:r w:rsidRPr="001B7F77">
              <w:rPr>
                <w:u w:val="single"/>
              </w:rPr>
              <w:t>105—13</w:t>
            </w:r>
          </w:p>
        </w:tc>
        <w:tc>
          <w:tcPr>
            <w:tcW w:w="2857" w:type="pct"/>
            <w:tcBorders>
              <w:top w:val="single" w:sz="4" w:space="0" w:color="auto"/>
              <w:left w:val="single" w:sz="4" w:space="0" w:color="auto"/>
              <w:bottom w:val="single" w:sz="4" w:space="0" w:color="auto"/>
              <w:right w:val="single" w:sz="4" w:space="0" w:color="auto"/>
            </w:tcBorders>
            <w:vAlign w:val="center"/>
            <w:hideMark/>
          </w:tcPr>
          <w:p w14:paraId="0785225F" w14:textId="77777777" w:rsidR="001B7F77" w:rsidRPr="001B7F77" w:rsidRDefault="001B7F77" w:rsidP="001B7F77">
            <w:pPr>
              <w:suppressAutoHyphens/>
              <w:spacing w:before="120"/>
              <w:jc w:val="left"/>
              <w:rPr>
                <w:u w:val="single"/>
              </w:rPr>
            </w:pPr>
            <w:r w:rsidRPr="001B7F77">
              <w:rPr>
                <w:u w:val="single"/>
              </w:rPr>
              <w:t>Smoke dampers</w:t>
            </w:r>
          </w:p>
        </w:tc>
        <w:tc>
          <w:tcPr>
            <w:tcW w:w="1092" w:type="pct"/>
            <w:tcBorders>
              <w:top w:val="single" w:sz="4" w:space="0" w:color="auto"/>
              <w:left w:val="single" w:sz="4" w:space="0" w:color="auto"/>
              <w:bottom w:val="single" w:sz="4" w:space="0" w:color="auto"/>
              <w:right w:val="single" w:sz="4" w:space="0" w:color="auto"/>
            </w:tcBorders>
            <w:vAlign w:val="center"/>
            <w:hideMark/>
          </w:tcPr>
          <w:p w14:paraId="198453E1" w14:textId="77777777" w:rsidR="001B7F77" w:rsidRPr="001B7F77" w:rsidRDefault="001B7F77" w:rsidP="001B7F77">
            <w:pPr>
              <w:suppressAutoHyphens/>
              <w:spacing w:before="120"/>
              <w:jc w:val="left"/>
              <w:rPr>
                <w:u w:val="single"/>
              </w:rPr>
            </w:pPr>
            <w:r w:rsidRPr="001B7F77">
              <w:rPr>
                <w:u w:val="single"/>
              </w:rPr>
              <w:t>809.2.6.3</w:t>
            </w:r>
          </w:p>
        </w:tc>
      </w:tr>
    </w:tbl>
    <w:p w14:paraId="0A640717" w14:textId="77777777" w:rsidR="001B7F77" w:rsidRPr="001B7F77" w:rsidRDefault="001B7F77" w:rsidP="001B7F77">
      <w:pPr>
        <w:suppressAutoHyphens/>
        <w:spacing w:before="120"/>
        <w:jc w:val="left"/>
        <w:rPr>
          <w:u w:val="single"/>
        </w:rPr>
      </w:pPr>
    </w:p>
    <w:tbl>
      <w:tblPr>
        <w:tblW w:w="54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5860"/>
        <w:gridCol w:w="2240"/>
      </w:tblGrid>
      <w:tr w:rsidR="001B7F77" w:rsidRPr="001B7F77" w14:paraId="28FFE658" w14:textId="77777777" w:rsidTr="006655A1">
        <w:trPr>
          <w:cantSplit/>
          <w:trHeight w:val="714"/>
          <w:tblHeader/>
        </w:trPr>
        <w:tc>
          <w:tcPr>
            <w:tcW w:w="1051" w:type="pct"/>
            <w:tcBorders>
              <w:top w:val="single" w:sz="4" w:space="0" w:color="auto"/>
              <w:left w:val="single" w:sz="4" w:space="0" w:color="auto"/>
              <w:bottom w:val="single" w:sz="4" w:space="0" w:color="auto"/>
              <w:right w:val="single" w:sz="4" w:space="0" w:color="auto"/>
            </w:tcBorders>
            <w:hideMark/>
          </w:tcPr>
          <w:p w14:paraId="3A70B04F" w14:textId="77777777" w:rsidR="001B7F77" w:rsidRPr="001B7F77" w:rsidRDefault="001B7F77" w:rsidP="001B7F77">
            <w:pPr>
              <w:suppressAutoHyphens/>
              <w:spacing w:before="120"/>
              <w:jc w:val="left"/>
              <w:rPr>
                <w:b/>
                <w:bCs/>
                <w:u w:val="single"/>
              </w:rPr>
            </w:pPr>
            <w:r w:rsidRPr="001B7F77">
              <w:rPr>
                <w:b/>
                <w:bCs/>
                <w:u w:val="single"/>
              </w:rPr>
              <w:t>TMS</w:t>
            </w:r>
          </w:p>
        </w:tc>
        <w:tc>
          <w:tcPr>
            <w:tcW w:w="2857" w:type="pct"/>
            <w:tcBorders>
              <w:top w:val="single" w:sz="4" w:space="0" w:color="auto"/>
              <w:left w:val="single" w:sz="4" w:space="0" w:color="auto"/>
              <w:bottom w:val="single" w:sz="4" w:space="0" w:color="auto"/>
              <w:right w:val="single" w:sz="4" w:space="0" w:color="auto"/>
            </w:tcBorders>
            <w:hideMark/>
          </w:tcPr>
          <w:p w14:paraId="10288DF6" w14:textId="77777777" w:rsidR="001B7F77" w:rsidRPr="001B7F77" w:rsidRDefault="001B7F77" w:rsidP="001B7F77">
            <w:pPr>
              <w:suppressAutoHyphens/>
              <w:spacing w:before="120"/>
              <w:jc w:val="left"/>
              <w:rPr>
                <w:u w:val="single"/>
              </w:rPr>
            </w:pPr>
            <w:r w:rsidRPr="001B7F77">
              <w:rPr>
                <w:u w:val="single"/>
              </w:rPr>
              <w:t>The Masonry Society</w:t>
            </w:r>
            <w:r w:rsidRPr="001B7F77">
              <w:rPr>
                <w:u w:val="single"/>
              </w:rPr>
              <w:br/>
              <w:t xml:space="preserve">105 South Sunset Street, Suite Q </w:t>
            </w:r>
            <w:r w:rsidRPr="001B7F77">
              <w:rPr>
                <w:u w:val="single"/>
              </w:rPr>
              <w:br/>
              <w:t>Longmont, CO 80501</w:t>
            </w:r>
          </w:p>
        </w:tc>
        <w:tc>
          <w:tcPr>
            <w:tcW w:w="1092" w:type="pct"/>
            <w:tcBorders>
              <w:top w:val="single" w:sz="4" w:space="0" w:color="auto"/>
              <w:left w:val="single" w:sz="4" w:space="0" w:color="auto"/>
              <w:bottom w:val="single" w:sz="4" w:space="0" w:color="auto"/>
              <w:right w:val="single" w:sz="4" w:space="0" w:color="auto"/>
            </w:tcBorders>
            <w:vAlign w:val="bottom"/>
          </w:tcPr>
          <w:p w14:paraId="7EDABFE0" w14:textId="77777777" w:rsidR="001B7F77" w:rsidRPr="001B7F77" w:rsidRDefault="001B7F77" w:rsidP="001B7F77">
            <w:pPr>
              <w:suppressAutoHyphens/>
              <w:spacing w:before="120"/>
              <w:jc w:val="left"/>
              <w:rPr>
                <w:u w:val="single"/>
              </w:rPr>
            </w:pPr>
          </w:p>
        </w:tc>
      </w:tr>
      <w:tr w:rsidR="001B7F77" w:rsidRPr="001B7F77" w14:paraId="691EFF9E" w14:textId="77777777" w:rsidTr="006655A1">
        <w:trPr>
          <w:cantSplit/>
          <w:trHeight w:val="854"/>
          <w:tblHeader/>
        </w:trPr>
        <w:tc>
          <w:tcPr>
            <w:tcW w:w="1051" w:type="pct"/>
            <w:tcBorders>
              <w:top w:val="single" w:sz="4" w:space="0" w:color="auto"/>
              <w:left w:val="single" w:sz="4" w:space="0" w:color="auto"/>
              <w:bottom w:val="single" w:sz="4" w:space="0" w:color="auto"/>
              <w:right w:val="single" w:sz="4" w:space="0" w:color="auto"/>
            </w:tcBorders>
            <w:hideMark/>
          </w:tcPr>
          <w:p w14:paraId="7C347C15" w14:textId="77777777" w:rsidR="001B7F77" w:rsidRPr="001B7F77" w:rsidRDefault="001B7F77" w:rsidP="001B7F77">
            <w:pPr>
              <w:suppressAutoHyphens/>
              <w:spacing w:before="120"/>
              <w:jc w:val="left"/>
              <w:rPr>
                <w:u w:val="single"/>
              </w:rPr>
            </w:pPr>
            <w:r w:rsidRPr="001B7F77">
              <w:rPr>
                <w:u w:val="single"/>
              </w:rPr>
              <w:t>Standard</w:t>
            </w:r>
            <w:r w:rsidRPr="001B7F77">
              <w:rPr>
                <w:u w:val="single"/>
              </w:rPr>
              <w:br/>
              <w:t>reference</w:t>
            </w:r>
            <w:r w:rsidRPr="001B7F77">
              <w:rPr>
                <w:u w:val="single"/>
              </w:rPr>
              <w:br/>
              <w:t>number</w:t>
            </w:r>
          </w:p>
        </w:tc>
        <w:tc>
          <w:tcPr>
            <w:tcW w:w="2857" w:type="pct"/>
            <w:tcBorders>
              <w:top w:val="single" w:sz="4" w:space="0" w:color="auto"/>
              <w:left w:val="single" w:sz="4" w:space="0" w:color="auto"/>
              <w:bottom w:val="single" w:sz="4" w:space="0" w:color="auto"/>
              <w:right w:val="single" w:sz="4" w:space="0" w:color="auto"/>
            </w:tcBorders>
            <w:vAlign w:val="bottom"/>
            <w:hideMark/>
          </w:tcPr>
          <w:p w14:paraId="048921BA" w14:textId="77777777" w:rsidR="001B7F77" w:rsidRPr="001B7F77" w:rsidRDefault="001B7F77" w:rsidP="001B7F77">
            <w:pPr>
              <w:suppressAutoHyphens/>
              <w:spacing w:before="120"/>
              <w:jc w:val="left"/>
              <w:rPr>
                <w:u w:val="single"/>
              </w:rPr>
            </w:pPr>
            <w:r w:rsidRPr="001B7F77">
              <w:rPr>
                <w:u w:val="single"/>
              </w:rPr>
              <w:t>Title</w:t>
            </w:r>
          </w:p>
        </w:tc>
        <w:tc>
          <w:tcPr>
            <w:tcW w:w="1092" w:type="pct"/>
            <w:tcBorders>
              <w:top w:val="single" w:sz="4" w:space="0" w:color="auto"/>
              <w:left w:val="single" w:sz="4" w:space="0" w:color="auto"/>
              <w:bottom w:val="single" w:sz="4" w:space="0" w:color="auto"/>
              <w:right w:val="single" w:sz="4" w:space="0" w:color="auto"/>
            </w:tcBorders>
            <w:vAlign w:val="bottom"/>
            <w:hideMark/>
          </w:tcPr>
          <w:p w14:paraId="1BDF85DC" w14:textId="77777777" w:rsidR="001B7F77" w:rsidRPr="001B7F77" w:rsidRDefault="001B7F77" w:rsidP="001B7F77">
            <w:pPr>
              <w:suppressAutoHyphens/>
              <w:spacing w:before="120"/>
              <w:jc w:val="left"/>
              <w:rPr>
                <w:u w:val="single"/>
              </w:rPr>
            </w:pPr>
            <w:r w:rsidRPr="001B7F77">
              <w:rPr>
                <w:u w:val="single"/>
              </w:rPr>
              <w:t>Referenced</w:t>
            </w:r>
            <w:r w:rsidRPr="001B7F77">
              <w:rPr>
                <w:u w:val="single"/>
              </w:rPr>
              <w:br/>
              <w:t>in code</w:t>
            </w:r>
            <w:r w:rsidRPr="001B7F77">
              <w:rPr>
                <w:u w:val="single"/>
              </w:rPr>
              <w:br/>
              <w:t>section number</w:t>
            </w:r>
          </w:p>
        </w:tc>
      </w:tr>
      <w:tr w:rsidR="001B7F77" w:rsidRPr="001B7F77" w14:paraId="0CE7C491" w14:textId="77777777" w:rsidTr="006655A1">
        <w:trPr>
          <w:trHeight w:val="559"/>
        </w:trPr>
        <w:tc>
          <w:tcPr>
            <w:tcW w:w="1051" w:type="pct"/>
            <w:tcBorders>
              <w:top w:val="single" w:sz="4" w:space="0" w:color="auto"/>
              <w:left w:val="single" w:sz="4" w:space="0" w:color="auto"/>
              <w:bottom w:val="single" w:sz="4" w:space="0" w:color="auto"/>
              <w:right w:val="single" w:sz="4" w:space="0" w:color="auto"/>
            </w:tcBorders>
            <w:hideMark/>
          </w:tcPr>
          <w:p w14:paraId="6541412A" w14:textId="77777777" w:rsidR="001B7F77" w:rsidRPr="001B7F77" w:rsidRDefault="001B7F77" w:rsidP="001B7F77">
            <w:pPr>
              <w:suppressAutoHyphens/>
              <w:spacing w:before="120"/>
              <w:jc w:val="left"/>
              <w:rPr>
                <w:u w:val="single"/>
              </w:rPr>
            </w:pPr>
            <w:r w:rsidRPr="001B7F77">
              <w:rPr>
                <w:u w:val="single"/>
              </w:rPr>
              <w:t>402—2016*</w:t>
            </w:r>
          </w:p>
          <w:p w14:paraId="136DD043" w14:textId="77777777" w:rsidR="001B7F77" w:rsidRPr="001B7F77" w:rsidRDefault="001B7F77" w:rsidP="001B7F77">
            <w:pPr>
              <w:suppressAutoHyphens/>
              <w:spacing w:before="120"/>
              <w:jc w:val="left"/>
              <w:rPr>
                <w:u w:val="single"/>
              </w:rPr>
            </w:pPr>
            <w:r w:rsidRPr="001B7F77">
              <w:rPr>
                <w:u w:val="single"/>
              </w:rPr>
              <w:t xml:space="preserve">*As modified in Chapter 21 of the </w:t>
            </w:r>
            <w:r w:rsidRPr="001B7F77">
              <w:rPr>
                <w:i/>
                <w:iCs/>
                <w:u w:val="single"/>
              </w:rPr>
              <w:t>New York City Building Code</w:t>
            </w:r>
          </w:p>
        </w:tc>
        <w:tc>
          <w:tcPr>
            <w:tcW w:w="2857" w:type="pct"/>
            <w:tcBorders>
              <w:top w:val="single" w:sz="4" w:space="0" w:color="auto"/>
              <w:left w:val="single" w:sz="4" w:space="0" w:color="auto"/>
              <w:bottom w:val="single" w:sz="4" w:space="0" w:color="auto"/>
              <w:right w:val="single" w:sz="4" w:space="0" w:color="auto"/>
            </w:tcBorders>
            <w:vAlign w:val="center"/>
            <w:hideMark/>
          </w:tcPr>
          <w:p w14:paraId="76DB524F" w14:textId="77777777" w:rsidR="001B7F77" w:rsidRPr="001B7F77" w:rsidRDefault="001B7F77" w:rsidP="001B7F77">
            <w:pPr>
              <w:suppressAutoHyphens/>
              <w:spacing w:before="120"/>
              <w:jc w:val="left"/>
              <w:rPr>
                <w:u w:val="single"/>
              </w:rPr>
            </w:pPr>
            <w:r w:rsidRPr="001B7F77">
              <w:rPr>
                <w:u w:val="single"/>
              </w:rPr>
              <w:t>Building Code Requirements and Specifications for Masonry Structures</w:t>
            </w:r>
          </w:p>
        </w:tc>
        <w:tc>
          <w:tcPr>
            <w:tcW w:w="1092" w:type="pct"/>
            <w:tcBorders>
              <w:top w:val="single" w:sz="4" w:space="0" w:color="auto"/>
              <w:left w:val="single" w:sz="4" w:space="0" w:color="auto"/>
              <w:bottom w:val="single" w:sz="4" w:space="0" w:color="auto"/>
              <w:right w:val="single" w:sz="4" w:space="0" w:color="auto"/>
            </w:tcBorders>
            <w:vAlign w:val="center"/>
            <w:hideMark/>
          </w:tcPr>
          <w:p w14:paraId="56F194D6" w14:textId="77777777" w:rsidR="001B7F77" w:rsidRPr="001B7F77" w:rsidRDefault="001B7F77" w:rsidP="001B7F77">
            <w:pPr>
              <w:suppressAutoHyphens/>
              <w:spacing w:before="120"/>
              <w:jc w:val="left"/>
              <w:rPr>
                <w:u w:val="single"/>
              </w:rPr>
            </w:pPr>
            <w:r w:rsidRPr="001B7F77">
              <w:rPr>
                <w:u w:val="single"/>
              </w:rPr>
              <w:t>703.5.3.4</w:t>
            </w:r>
          </w:p>
        </w:tc>
      </w:tr>
    </w:tbl>
    <w:p w14:paraId="326C9497" w14:textId="77777777" w:rsidR="001B7F77" w:rsidRPr="001B7F77" w:rsidRDefault="001B7F77" w:rsidP="001B7F77">
      <w:pPr>
        <w:suppressAutoHyphens/>
        <w:spacing w:before="120"/>
        <w:jc w:val="left"/>
        <w:rPr>
          <w:u w:val="single"/>
        </w:rPr>
      </w:pPr>
    </w:p>
    <w:tbl>
      <w:tblPr>
        <w:tblW w:w="54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5860"/>
        <w:gridCol w:w="2240"/>
      </w:tblGrid>
      <w:tr w:rsidR="001B7F77" w:rsidRPr="001B7F77" w14:paraId="50EA1BC0" w14:textId="77777777" w:rsidTr="006655A1">
        <w:trPr>
          <w:cantSplit/>
          <w:trHeight w:val="714"/>
          <w:tblHeader/>
        </w:trPr>
        <w:tc>
          <w:tcPr>
            <w:tcW w:w="1051" w:type="pct"/>
            <w:tcBorders>
              <w:top w:val="single" w:sz="4" w:space="0" w:color="auto"/>
              <w:left w:val="single" w:sz="4" w:space="0" w:color="auto"/>
              <w:bottom w:val="single" w:sz="4" w:space="0" w:color="auto"/>
              <w:right w:val="single" w:sz="4" w:space="0" w:color="auto"/>
            </w:tcBorders>
            <w:hideMark/>
          </w:tcPr>
          <w:p w14:paraId="0A8D3B40" w14:textId="77777777" w:rsidR="001B7F77" w:rsidRPr="001B7F77" w:rsidRDefault="001B7F77" w:rsidP="001B7F77">
            <w:pPr>
              <w:suppressAutoHyphens/>
              <w:spacing w:before="120"/>
              <w:jc w:val="left"/>
              <w:rPr>
                <w:b/>
                <w:bCs/>
                <w:u w:val="single"/>
              </w:rPr>
            </w:pPr>
            <w:r w:rsidRPr="001B7F77">
              <w:rPr>
                <w:b/>
                <w:bCs/>
                <w:u w:val="single"/>
              </w:rPr>
              <w:t>UL</w:t>
            </w:r>
          </w:p>
        </w:tc>
        <w:tc>
          <w:tcPr>
            <w:tcW w:w="2857" w:type="pct"/>
            <w:tcBorders>
              <w:top w:val="single" w:sz="4" w:space="0" w:color="auto"/>
              <w:left w:val="single" w:sz="4" w:space="0" w:color="auto"/>
              <w:bottom w:val="single" w:sz="4" w:space="0" w:color="auto"/>
              <w:right w:val="single" w:sz="4" w:space="0" w:color="auto"/>
            </w:tcBorders>
            <w:vAlign w:val="bottom"/>
            <w:hideMark/>
          </w:tcPr>
          <w:p w14:paraId="6726CA48" w14:textId="77777777" w:rsidR="001B7F77" w:rsidRPr="001B7F77" w:rsidRDefault="001B7F77" w:rsidP="001B7F77">
            <w:pPr>
              <w:suppressAutoHyphens/>
              <w:spacing w:before="120"/>
              <w:jc w:val="left"/>
              <w:rPr>
                <w:u w:val="single"/>
              </w:rPr>
            </w:pPr>
            <w:r w:rsidRPr="001B7F77">
              <w:rPr>
                <w:u w:val="single"/>
              </w:rPr>
              <w:t xml:space="preserve">UL LLC </w:t>
            </w:r>
            <w:r w:rsidRPr="001B7F77">
              <w:rPr>
                <w:u w:val="single"/>
              </w:rPr>
              <w:br/>
              <w:t xml:space="preserve">333 Pfingsten Road </w:t>
            </w:r>
            <w:r w:rsidRPr="001B7F77">
              <w:rPr>
                <w:u w:val="single"/>
              </w:rPr>
              <w:br/>
              <w:t>Northbrook, IL 60062</w:t>
            </w:r>
          </w:p>
        </w:tc>
        <w:tc>
          <w:tcPr>
            <w:tcW w:w="1092" w:type="pct"/>
            <w:tcBorders>
              <w:top w:val="single" w:sz="4" w:space="0" w:color="auto"/>
              <w:left w:val="single" w:sz="4" w:space="0" w:color="auto"/>
              <w:bottom w:val="single" w:sz="4" w:space="0" w:color="auto"/>
              <w:right w:val="single" w:sz="4" w:space="0" w:color="auto"/>
            </w:tcBorders>
            <w:vAlign w:val="bottom"/>
          </w:tcPr>
          <w:p w14:paraId="562B29A9" w14:textId="77777777" w:rsidR="001B7F77" w:rsidRPr="001B7F77" w:rsidRDefault="001B7F77" w:rsidP="001B7F77">
            <w:pPr>
              <w:suppressAutoHyphens/>
              <w:spacing w:before="120"/>
              <w:jc w:val="left"/>
              <w:rPr>
                <w:u w:val="single"/>
              </w:rPr>
            </w:pPr>
          </w:p>
        </w:tc>
      </w:tr>
      <w:tr w:rsidR="001B7F77" w:rsidRPr="001B7F77" w14:paraId="2C0E2D8C" w14:textId="77777777" w:rsidTr="006655A1">
        <w:trPr>
          <w:cantSplit/>
          <w:trHeight w:val="854"/>
          <w:tblHeader/>
        </w:trPr>
        <w:tc>
          <w:tcPr>
            <w:tcW w:w="1051" w:type="pct"/>
            <w:tcBorders>
              <w:top w:val="single" w:sz="4" w:space="0" w:color="auto"/>
              <w:left w:val="single" w:sz="4" w:space="0" w:color="auto"/>
              <w:bottom w:val="single" w:sz="4" w:space="0" w:color="auto"/>
              <w:right w:val="single" w:sz="4" w:space="0" w:color="auto"/>
            </w:tcBorders>
            <w:hideMark/>
          </w:tcPr>
          <w:p w14:paraId="4037690B" w14:textId="77777777" w:rsidR="001B7F77" w:rsidRPr="001B7F77" w:rsidRDefault="001B7F77" w:rsidP="001B7F77">
            <w:pPr>
              <w:suppressAutoHyphens/>
              <w:spacing w:before="120"/>
              <w:jc w:val="left"/>
              <w:rPr>
                <w:u w:val="single"/>
              </w:rPr>
            </w:pPr>
            <w:r w:rsidRPr="001B7F77">
              <w:rPr>
                <w:u w:val="single"/>
              </w:rPr>
              <w:t>Standard</w:t>
            </w:r>
            <w:r w:rsidRPr="001B7F77">
              <w:rPr>
                <w:u w:val="single"/>
              </w:rPr>
              <w:br/>
              <w:t>reference</w:t>
            </w:r>
            <w:r w:rsidRPr="001B7F77">
              <w:rPr>
                <w:u w:val="single"/>
              </w:rPr>
              <w:br/>
              <w:t>number</w:t>
            </w:r>
          </w:p>
        </w:tc>
        <w:tc>
          <w:tcPr>
            <w:tcW w:w="2857" w:type="pct"/>
            <w:tcBorders>
              <w:top w:val="single" w:sz="4" w:space="0" w:color="auto"/>
              <w:left w:val="single" w:sz="4" w:space="0" w:color="auto"/>
              <w:bottom w:val="single" w:sz="4" w:space="0" w:color="auto"/>
              <w:right w:val="single" w:sz="4" w:space="0" w:color="auto"/>
            </w:tcBorders>
            <w:vAlign w:val="bottom"/>
            <w:hideMark/>
          </w:tcPr>
          <w:p w14:paraId="28C5B219" w14:textId="77777777" w:rsidR="001B7F77" w:rsidRPr="001B7F77" w:rsidRDefault="001B7F77" w:rsidP="001B7F77">
            <w:pPr>
              <w:suppressAutoHyphens/>
              <w:spacing w:before="120"/>
              <w:jc w:val="left"/>
              <w:rPr>
                <w:u w:val="single"/>
              </w:rPr>
            </w:pPr>
            <w:r w:rsidRPr="001B7F77">
              <w:rPr>
                <w:u w:val="single"/>
              </w:rPr>
              <w:t>Title</w:t>
            </w:r>
          </w:p>
        </w:tc>
        <w:tc>
          <w:tcPr>
            <w:tcW w:w="1092" w:type="pct"/>
            <w:tcBorders>
              <w:top w:val="single" w:sz="4" w:space="0" w:color="auto"/>
              <w:left w:val="single" w:sz="4" w:space="0" w:color="auto"/>
              <w:bottom w:val="single" w:sz="4" w:space="0" w:color="auto"/>
              <w:right w:val="single" w:sz="4" w:space="0" w:color="auto"/>
            </w:tcBorders>
            <w:vAlign w:val="bottom"/>
            <w:hideMark/>
          </w:tcPr>
          <w:p w14:paraId="434E4086" w14:textId="77777777" w:rsidR="001B7F77" w:rsidRPr="001B7F77" w:rsidRDefault="001B7F77" w:rsidP="001B7F77">
            <w:pPr>
              <w:suppressAutoHyphens/>
              <w:spacing w:before="120"/>
              <w:jc w:val="left"/>
              <w:rPr>
                <w:u w:val="single"/>
              </w:rPr>
            </w:pPr>
            <w:r w:rsidRPr="001B7F77">
              <w:rPr>
                <w:u w:val="single"/>
              </w:rPr>
              <w:t>Referenced</w:t>
            </w:r>
            <w:r w:rsidRPr="001B7F77">
              <w:rPr>
                <w:u w:val="single"/>
              </w:rPr>
              <w:br/>
              <w:t>in code</w:t>
            </w:r>
            <w:r w:rsidRPr="001B7F77">
              <w:rPr>
                <w:u w:val="single"/>
              </w:rPr>
              <w:br/>
              <w:t>section number</w:t>
            </w:r>
          </w:p>
        </w:tc>
      </w:tr>
      <w:tr w:rsidR="001B7F77" w:rsidRPr="001B7F77" w14:paraId="0194DC7D" w14:textId="77777777" w:rsidTr="006655A1">
        <w:trPr>
          <w:trHeight w:val="559"/>
        </w:trPr>
        <w:tc>
          <w:tcPr>
            <w:tcW w:w="1051" w:type="pct"/>
            <w:tcBorders>
              <w:top w:val="single" w:sz="4" w:space="0" w:color="auto"/>
              <w:left w:val="single" w:sz="4" w:space="0" w:color="auto"/>
              <w:bottom w:val="single" w:sz="4" w:space="0" w:color="auto"/>
              <w:right w:val="single" w:sz="4" w:space="0" w:color="auto"/>
            </w:tcBorders>
            <w:vAlign w:val="center"/>
            <w:hideMark/>
          </w:tcPr>
          <w:p w14:paraId="36F617AC" w14:textId="77777777" w:rsidR="001B7F77" w:rsidRPr="001B7F77" w:rsidRDefault="001B7F77" w:rsidP="001B7F77">
            <w:pPr>
              <w:suppressAutoHyphens/>
              <w:spacing w:before="120"/>
              <w:jc w:val="left"/>
              <w:rPr>
                <w:u w:val="single"/>
              </w:rPr>
            </w:pPr>
            <w:r w:rsidRPr="001B7F77">
              <w:rPr>
                <w:u w:val="single"/>
              </w:rPr>
              <w:t>1479—03</w:t>
            </w:r>
          </w:p>
        </w:tc>
        <w:tc>
          <w:tcPr>
            <w:tcW w:w="2857" w:type="pct"/>
            <w:tcBorders>
              <w:top w:val="single" w:sz="4" w:space="0" w:color="auto"/>
              <w:left w:val="single" w:sz="4" w:space="0" w:color="auto"/>
              <w:bottom w:val="single" w:sz="4" w:space="0" w:color="auto"/>
              <w:right w:val="single" w:sz="4" w:space="0" w:color="auto"/>
            </w:tcBorders>
            <w:vAlign w:val="center"/>
            <w:hideMark/>
          </w:tcPr>
          <w:p w14:paraId="19F6E3B9" w14:textId="77777777" w:rsidR="001B7F77" w:rsidRPr="001B7F77" w:rsidRDefault="001B7F77" w:rsidP="001B7F77">
            <w:pPr>
              <w:suppressAutoHyphens/>
              <w:spacing w:before="120"/>
              <w:jc w:val="left"/>
              <w:rPr>
                <w:u w:val="single"/>
              </w:rPr>
            </w:pPr>
            <w:r w:rsidRPr="001B7F77">
              <w:rPr>
                <w:u w:val="single"/>
              </w:rPr>
              <w:t>Fire Tests of Through-penetration Firestops—with Revisions through October 2012</w:t>
            </w:r>
          </w:p>
        </w:tc>
        <w:tc>
          <w:tcPr>
            <w:tcW w:w="1092" w:type="pct"/>
            <w:tcBorders>
              <w:top w:val="single" w:sz="4" w:space="0" w:color="auto"/>
              <w:left w:val="single" w:sz="4" w:space="0" w:color="auto"/>
              <w:bottom w:val="single" w:sz="4" w:space="0" w:color="auto"/>
              <w:right w:val="single" w:sz="4" w:space="0" w:color="auto"/>
            </w:tcBorders>
            <w:vAlign w:val="center"/>
            <w:hideMark/>
          </w:tcPr>
          <w:p w14:paraId="2F8AF990" w14:textId="77777777" w:rsidR="001B7F77" w:rsidRPr="001B7F77" w:rsidRDefault="001B7F77" w:rsidP="001B7F77">
            <w:pPr>
              <w:suppressAutoHyphens/>
              <w:spacing w:before="120"/>
              <w:jc w:val="left"/>
              <w:rPr>
                <w:u w:val="single"/>
              </w:rPr>
            </w:pPr>
            <w:r w:rsidRPr="001B7F77">
              <w:rPr>
                <w:u w:val="single"/>
              </w:rPr>
              <w:t>502.7.3</w:t>
            </w:r>
          </w:p>
        </w:tc>
      </w:tr>
      <w:tr w:rsidR="001B7F77" w:rsidRPr="001B7F77" w14:paraId="26735EE9" w14:textId="77777777" w:rsidTr="006655A1">
        <w:trPr>
          <w:trHeight w:val="559"/>
        </w:trPr>
        <w:tc>
          <w:tcPr>
            <w:tcW w:w="1051" w:type="pct"/>
            <w:tcBorders>
              <w:top w:val="single" w:sz="4" w:space="0" w:color="auto"/>
              <w:left w:val="single" w:sz="4" w:space="0" w:color="auto"/>
              <w:bottom w:val="single" w:sz="4" w:space="0" w:color="auto"/>
              <w:right w:val="single" w:sz="4" w:space="0" w:color="auto"/>
            </w:tcBorders>
            <w:vAlign w:val="center"/>
            <w:hideMark/>
          </w:tcPr>
          <w:p w14:paraId="46DB4C5A" w14:textId="77777777" w:rsidR="001B7F77" w:rsidRPr="001B7F77" w:rsidRDefault="001B7F77" w:rsidP="001B7F77">
            <w:pPr>
              <w:suppressAutoHyphens/>
              <w:spacing w:before="120"/>
              <w:jc w:val="left"/>
              <w:rPr>
                <w:u w:val="single"/>
              </w:rPr>
            </w:pPr>
            <w:r w:rsidRPr="001B7F77">
              <w:rPr>
                <w:u w:val="single"/>
              </w:rPr>
              <w:t>2085—97 (R2010)</w:t>
            </w:r>
          </w:p>
        </w:tc>
        <w:tc>
          <w:tcPr>
            <w:tcW w:w="2857" w:type="pct"/>
            <w:tcBorders>
              <w:top w:val="single" w:sz="4" w:space="0" w:color="auto"/>
              <w:left w:val="single" w:sz="4" w:space="0" w:color="auto"/>
              <w:bottom w:val="single" w:sz="4" w:space="0" w:color="auto"/>
              <w:right w:val="single" w:sz="4" w:space="0" w:color="auto"/>
            </w:tcBorders>
            <w:vAlign w:val="center"/>
            <w:hideMark/>
          </w:tcPr>
          <w:p w14:paraId="660CE13A" w14:textId="77777777" w:rsidR="001B7F77" w:rsidRPr="001B7F77" w:rsidRDefault="001B7F77" w:rsidP="001B7F77">
            <w:pPr>
              <w:suppressAutoHyphens/>
              <w:spacing w:before="120"/>
              <w:jc w:val="left"/>
              <w:rPr>
                <w:u w:val="single"/>
              </w:rPr>
            </w:pPr>
            <w:r w:rsidRPr="001B7F77">
              <w:rPr>
                <w:u w:val="single"/>
              </w:rPr>
              <w:t>Standard for Protected Aboveground Tanks for Flammable and Combustible Liquids (with Revisions through 2010)</w:t>
            </w:r>
          </w:p>
        </w:tc>
        <w:tc>
          <w:tcPr>
            <w:tcW w:w="1092" w:type="pct"/>
            <w:tcBorders>
              <w:top w:val="single" w:sz="4" w:space="0" w:color="auto"/>
              <w:left w:val="single" w:sz="4" w:space="0" w:color="auto"/>
              <w:bottom w:val="single" w:sz="4" w:space="0" w:color="auto"/>
              <w:right w:val="single" w:sz="4" w:space="0" w:color="auto"/>
            </w:tcBorders>
            <w:vAlign w:val="center"/>
            <w:hideMark/>
          </w:tcPr>
          <w:p w14:paraId="17294CC8" w14:textId="77777777" w:rsidR="001B7F77" w:rsidRPr="001B7F77" w:rsidRDefault="001B7F77" w:rsidP="001B7F77">
            <w:pPr>
              <w:suppressAutoHyphens/>
              <w:spacing w:before="120"/>
              <w:jc w:val="left"/>
              <w:rPr>
                <w:u w:val="single"/>
              </w:rPr>
            </w:pPr>
            <w:r w:rsidRPr="001B7F77">
              <w:rPr>
                <w:u w:val="single"/>
              </w:rPr>
              <w:t>809.2.13</w:t>
            </w:r>
          </w:p>
        </w:tc>
      </w:tr>
    </w:tbl>
    <w:p w14:paraId="330CEAB6" w14:textId="77777777" w:rsidR="001B7F77" w:rsidRPr="001B7F77" w:rsidRDefault="001B7F77" w:rsidP="001B7F77">
      <w:pPr>
        <w:suppressAutoHyphens/>
        <w:spacing w:before="120"/>
        <w:jc w:val="left"/>
        <w:rPr>
          <w:u w:val="single"/>
        </w:rPr>
      </w:pPr>
    </w:p>
    <w:p w14:paraId="11950855" w14:textId="77777777" w:rsidR="001B7F77" w:rsidRPr="001B7F77" w:rsidRDefault="001B7F77" w:rsidP="001B7F77">
      <w:pPr>
        <w:suppressAutoHyphens/>
        <w:spacing w:before="120"/>
        <w:jc w:val="left"/>
      </w:pPr>
    </w:p>
    <w:p w14:paraId="1D6D71E8" w14:textId="77777777" w:rsidR="001B7F77" w:rsidRPr="001B7F77" w:rsidRDefault="001B7F77" w:rsidP="001B7F77">
      <w:pPr>
        <w:suppressAutoHyphens/>
        <w:spacing w:before="120" w:line="259" w:lineRule="auto"/>
        <w:jc w:val="left"/>
      </w:pPr>
      <w:r w:rsidRPr="001B7F77">
        <w:br w:type="page"/>
      </w:r>
    </w:p>
    <w:p w14:paraId="0AB7A0A2" w14:textId="77777777" w:rsidR="001B7F77" w:rsidRPr="001B7F77" w:rsidRDefault="001B7F77" w:rsidP="001B7F77">
      <w:pPr>
        <w:widowControl w:val="0"/>
        <w:suppressAutoHyphens/>
        <w:spacing w:before="120"/>
        <w:jc w:val="center"/>
        <w:outlineLvl w:val="0"/>
        <w:rPr>
          <w:rFonts w:eastAsia="Times"/>
          <w:b/>
          <w:bCs/>
          <w:szCs w:val="24"/>
          <w:u w:val="single"/>
        </w:rPr>
      </w:pPr>
      <w:r w:rsidRPr="001B7F77">
        <w:rPr>
          <w:rFonts w:eastAsia="Times"/>
          <w:b/>
          <w:bCs/>
          <w:noProof/>
          <w:szCs w:val="24"/>
          <w:u w:val="single"/>
        </w:rPr>
        <mc:AlternateContent>
          <mc:Choice Requires="wps">
            <w:drawing>
              <wp:anchor distT="0" distB="0" distL="114300" distR="114300" simplePos="0" relativeHeight="251662336" behindDoc="0" locked="0" layoutInCell="1" allowOverlap="1" wp14:anchorId="2ADF0BD9" wp14:editId="49D644DF">
                <wp:simplePos x="0" y="0"/>
                <wp:positionH relativeFrom="column">
                  <wp:posOffset>0</wp:posOffset>
                </wp:positionH>
                <wp:positionV relativeFrom="paragraph">
                  <wp:posOffset>0</wp:posOffset>
                </wp:positionV>
                <wp:extent cx="635000" cy="635000"/>
                <wp:effectExtent l="0" t="0" r="3175" b="3175"/>
                <wp:wrapNone/>
                <wp:docPr id="20" name="Rectangle 20"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5C851F6" id="Rectangle 20" o:spid="_x0000_s1026" style="position:absolute;margin-left:0;margin-top:0;width:50pt;height:50pt;z-index:2516623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sidRPr="001B7F77">
        <w:rPr>
          <w:rFonts w:eastAsia="Times"/>
          <w:b/>
          <w:bCs/>
          <w:szCs w:val="24"/>
          <w:u w:val="single"/>
        </w:rPr>
        <w:t>APPENDIX A</w:t>
      </w:r>
      <w:r w:rsidRPr="001B7F77">
        <w:rPr>
          <w:rFonts w:eastAsia="Times"/>
          <w:b/>
          <w:bCs/>
          <w:szCs w:val="24"/>
          <w:u w:val="single"/>
        </w:rPr>
        <w:br/>
        <w:t>GUIDELINES FOR THE STRENGTHENING OF EXISTING BUILDINGS</w:t>
      </w:r>
    </w:p>
    <w:p w14:paraId="419A280A" w14:textId="77777777" w:rsidR="001B7F77" w:rsidRPr="001B7F77" w:rsidRDefault="001B7F77" w:rsidP="001B7F77">
      <w:pPr>
        <w:widowControl w:val="0"/>
        <w:suppressAutoHyphens/>
        <w:spacing w:before="120"/>
        <w:jc w:val="center"/>
        <w:outlineLvl w:val="0"/>
        <w:rPr>
          <w:rFonts w:eastAsia="Times"/>
          <w:b/>
          <w:bCs/>
          <w:szCs w:val="24"/>
          <w:u w:val="single"/>
        </w:rPr>
      </w:pPr>
      <w:r w:rsidRPr="001B7F77">
        <w:rPr>
          <w:rFonts w:eastAsia="Times"/>
          <w:b/>
          <w:bCs/>
          <w:szCs w:val="24"/>
          <w:u w:val="single"/>
        </w:rPr>
        <w:t>CHAPTER A1</w:t>
      </w:r>
      <w:r w:rsidRPr="001B7F77">
        <w:rPr>
          <w:rFonts w:eastAsia="Times"/>
          <w:b/>
          <w:bCs/>
          <w:szCs w:val="24"/>
          <w:u w:val="single"/>
        </w:rPr>
        <w:br/>
        <w:t>STRENGTHENING PROVISIONS FOR UNREINFORCED MASONRY WALLS, PARAPETS AND CHIMNEYS</w:t>
      </w:r>
    </w:p>
    <w:p w14:paraId="51FEE285" w14:textId="77777777" w:rsidR="001B7F77" w:rsidRPr="001B7F77" w:rsidRDefault="001B7F77" w:rsidP="001B7F77">
      <w:pPr>
        <w:widowControl w:val="0"/>
        <w:suppressAutoHyphens/>
        <w:spacing w:before="120"/>
        <w:jc w:val="center"/>
        <w:outlineLvl w:val="0"/>
        <w:rPr>
          <w:rFonts w:eastAsia="Times"/>
          <w:b/>
          <w:bCs/>
          <w:szCs w:val="24"/>
          <w:u w:val="single"/>
        </w:rPr>
      </w:pPr>
      <w:r w:rsidRPr="001B7F77">
        <w:rPr>
          <w:rFonts w:eastAsia="Times"/>
          <w:b/>
          <w:bCs/>
          <w:szCs w:val="24"/>
          <w:u w:val="single"/>
        </w:rPr>
        <w:t>SECTION EBC A101</w:t>
      </w:r>
      <w:r w:rsidRPr="001B7F77">
        <w:rPr>
          <w:rFonts w:eastAsia="Times"/>
          <w:b/>
          <w:bCs/>
          <w:szCs w:val="24"/>
          <w:u w:val="single"/>
        </w:rPr>
        <w:br/>
        <w:t>SCOPE</w:t>
      </w:r>
    </w:p>
    <w:p w14:paraId="3A44EED2" w14:textId="77777777" w:rsidR="001B7F77" w:rsidRPr="001B7F77" w:rsidRDefault="001B7F77" w:rsidP="001B7F77">
      <w:pPr>
        <w:suppressAutoHyphens/>
        <w:spacing w:before="120"/>
        <w:ind w:left="2" w:hanging="2"/>
        <w:rPr>
          <w:rFonts w:eastAsia="Calibri"/>
          <w:szCs w:val="24"/>
          <w:u w:val="single"/>
        </w:rPr>
      </w:pPr>
      <w:r w:rsidRPr="001B7F77">
        <w:rPr>
          <w:rFonts w:eastAsia="Times"/>
          <w:b/>
          <w:szCs w:val="24"/>
          <w:u w:val="single"/>
        </w:rPr>
        <w:t>A101.1 General.</w:t>
      </w:r>
      <w:r w:rsidRPr="001B7F77">
        <w:rPr>
          <w:rFonts w:eastAsia="Times"/>
          <w:szCs w:val="24"/>
          <w:u w:val="single"/>
        </w:rPr>
        <w:t xml:space="preserve"> This Appendix gives requirements for connecting walls to floors and parapets and chimneys to roofs for existing unreinforced masonry buildings with wood framed floors or roofs, where required by Chapter 7.</w:t>
      </w:r>
    </w:p>
    <w:p w14:paraId="018AB45A" w14:textId="77777777" w:rsidR="001B7F77" w:rsidRPr="001B7F77" w:rsidRDefault="001B7F77" w:rsidP="001B7F77">
      <w:pPr>
        <w:suppressAutoHyphens/>
        <w:spacing w:before="120"/>
        <w:ind w:left="2" w:hanging="2"/>
        <w:rPr>
          <w:rFonts w:eastAsia="Times"/>
          <w:szCs w:val="24"/>
          <w:u w:val="single"/>
        </w:rPr>
      </w:pPr>
      <w:r w:rsidRPr="001B7F77">
        <w:rPr>
          <w:szCs w:val="24"/>
          <w:u w:val="single"/>
        </w:rPr>
        <w:t xml:space="preserve">The provisions of this Appendix are intended as minimum standards for incrementally improving structural seismic resistance and are established primarily to reduce the risk of loss, damage to property or injury to persons. Compliance with these provisions will not necessarily prevent loss of life or injury or prevent earthquake damage to retrofitted </w:t>
      </w:r>
      <w:r w:rsidRPr="001B7F77">
        <w:rPr>
          <w:rFonts w:eastAsia="Times"/>
          <w:szCs w:val="24"/>
          <w:u w:val="single"/>
        </w:rPr>
        <w:t xml:space="preserve">buildings. </w:t>
      </w:r>
    </w:p>
    <w:p w14:paraId="41358DCD" w14:textId="77777777" w:rsidR="001B7F77" w:rsidRPr="001B7F77" w:rsidRDefault="001B7F77" w:rsidP="001B7F77">
      <w:pPr>
        <w:suppressAutoHyphens/>
        <w:spacing w:before="120"/>
        <w:ind w:left="2" w:hanging="2"/>
        <w:rPr>
          <w:rFonts w:eastAsia="Times"/>
          <w:szCs w:val="24"/>
          <w:u w:val="single"/>
        </w:rPr>
      </w:pPr>
      <w:r w:rsidRPr="001B7F77">
        <w:rPr>
          <w:rFonts w:eastAsia="Times"/>
          <w:szCs w:val="24"/>
          <w:u w:val="single"/>
        </w:rPr>
        <w:t>This Appendix is based on a seismic design criteria limit of Sd1&lt;=.133, and wind conditions of Exposure D. This Appendix does not apply to essential or hazardous facilities.</w:t>
      </w:r>
    </w:p>
    <w:p w14:paraId="3E8DD8A7" w14:textId="77777777" w:rsidR="001B7F77" w:rsidRPr="001B7F77" w:rsidRDefault="001B7F77" w:rsidP="001B7F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spacing w:before="120"/>
        <w:ind w:left="-2"/>
        <w:rPr>
          <w:rFonts w:eastAsia="Times"/>
          <w:b/>
          <w:bCs/>
          <w:szCs w:val="24"/>
          <w:u w:val="single"/>
        </w:rPr>
      </w:pPr>
      <w:r w:rsidRPr="001B7F77">
        <w:rPr>
          <w:rFonts w:eastAsia="Times"/>
          <w:b/>
          <w:bCs/>
          <w:szCs w:val="24"/>
          <w:u w:val="single"/>
        </w:rPr>
        <w:t>A101.2 Definitions.</w:t>
      </w:r>
    </w:p>
    <w:p w14:paraId="62BD422D" w14:textId="77777777" w:rsidR="001B7F77" w:rsidRPr="001B7F77" w:rsidRDefault="001B7F77" w:rsidP="001B7F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spacing w:before="120"/>
        <w:ind w:left="-2"/>
        <w:rPr>
          <w:rFonts w:eastAsia="Times"/>
          <w:szCs w:val="24"/>
          <w:u w:val="single"/>
        </w:rPr>
      </w:pPr>
      <w:r w:rsidRPr="001B7F77">
        <w:rPr>
          <w:rFonts w:eastAsia="Times"/>
          <w:b/>
          <w:bCs/>
          <w:szCs w:val="24"/>
          <w:u w:val="single"/>
        </w:rPr>
        <w:t xml:space="preserve">UNREINFORCED MASONRY (URM). </w:t>
      </w:r>
      <w:r w:rsidRPr="001B7F77">
        <w:rPr>
          <w:rFonts w:eastAsia="Times"/>
          <w:szCs w:val="24"/>
          <w:u w:val="single"/>
        </w:rPr>
        <w:t>Includes burned clay, concrete, or sand-lime brick; hollow clay or concrete block; plain concrete; and hollow clay tile.</w:t>
      </w:r>
    </w:p>
    <w:p w14:paraId="11A0AB71" w14:textId="77777777" w:rsidR="001B7F77" w:rsidRPr="001B7F77" w:rsidRDefault="001B7F77" w:rsidP="001B7F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spacing w:before="120"/>
        <w:ind w:left="-2"/>
        <w:rPr>
          <w:rFonts w:eastAsia="Times"/>
          <w:szCs w:val="24"/>
          <w:u w:val="single"/>
        </w:rPr>
      </w:pPr>
      <w:r w:rsidRPr="001B7F77">
        <w:rPr>
          <w:rFonts w:eastAsia="Times"/>
          <w:b/>
          <w:bCs/>
          <w:szCs w:val="24"/>
          <w:u w:val="single"/>
        </w:rPr>
        <w:t xml:space="preserve">UNREINFORCED MASONRY WALL. </w:t>
      </w:r>
      <w:r w:rsidRPr="001B7F77">
        <w:rPr>
          <w:rFonts w:eastAsia="Times"/>
          <w:szCs w:val="24"/>
          <w:u w:val="single"/>
        </w:rPr>
        <w:t>A masonry wall that:</w:t>
      </w:r>
    </w:p>
    <w:p w14:paraId="5BDDC186" w14:textId="77777777" w:rsidR="001B7F77" w:rsidRPr="001B7F77" w:rsidRDefault="001B7F77" w:rsidP="0001508F">
      <w:pPr>
        <w:numPr>
          <w:ilvl w:val="0"/>
          <w:numId w:val="3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spacing w:before="120"/>
        <w:ind w:left="720"/>
        <w:contextualSpacing/>
        <w:jc w:val="left"/>
        <w:rPr>
          <w:rFonts w:eastAsia="Times"/>
          <w:color w:val="000000"/>
          <w:szCs w:val="24"/>
          <w:u w:val="single"/>
        </w:rPr>
      </w:pPr>
      <w:r w:rsidRPr="001B7F77">
        <w:rPr>
          <w:rFonts w:eastAsia="Times"/>
          <w:color w:val="000000"/>
          <w:szCs w:val="24"/>
          <w:u w:val="single"/>
        </w:rPr>
        <w:t>Relies solely on the tensile strength of masonry units, mortar, and grout in resisting design loads. Any area of reinforcement that may be present is neglected in determining resistance to loads; and</w:t>
      </w:r>
    </w:p>
    <w:p w14:paraId="655629B6" w14:textId="77777777" w:rsidR="001B7F77" w:rsidRPr="001B7F77" w:rsidRDefault="001B7F77" w:rsidP="0001508F">
      <w:pPr>
        <w:numPr>
          <w:ilvl w:val="0"/>
          <w:numId w:val="3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spacing w:before="120"/>
        <w:ind w:left="720"/>
        <w:contextualSpacing/>
        <w:jc w:val="left"/>
        <w:rPr>
          <w:rFonts w:eastAsia="Times"/>
          <w:color w:val="000000"/>
          <w:szCs w:val="24"/>
          <w:u w:val="single"/>
        </w:rPr>
      </w:pPr>
      <w:r w:rsidRPr="001B7F77">
        <w:rPr>
          <w:rFonts w:eastAsia="Times"/>
          <w:color w:val="000000"/>
          <w:szCs w:val="24"/>
          <w:u w:val="single"/>
        </w:rPr>
        <w:t>Carries a minimum service load of 100 pounds per lineal foot (1459 N/m) of roof and/or floor loads.</w:t>
      </w:r>
    </w:p>
    <w:p w14:paraId="358B2ADF" w14:textId="77777777" w:rsidR="001B7F77" w:rsidRPr="001B7F77" w:rsidRDefault="001B7F77" w:rsidP="001B7F77">
      <w:pPr>
        <w:widowControl w:val="0"/>
        <w:suppressAutoHyphens/>
        <w:spacing w:before="120"/>
        <w:jc w:val="center"/>
        <w:outlineLvl w:val="0"/>
        <w:rPr>
          <w:rFonts w:eastAsia="Times"/>
          <w:b/>
          <w:bCs/>
          <w:szCs w:val="24"/>
          <w:u w:val="single"/>
        </w:rPr>
      </w:pPr>
    </w:p>
    <w:p w14:paraId="36F87B3D" w14:textId="77777777" w:rsidR="001B7F77" w:rsidRPr="001B7F77" w:rsidRDefault="001B7F77" w:rsidP="001B7F77">
      <w:pPr>
        <w:widowControl w:val="0"/>
        <w:suppressAutoHyphens/>
        <w:spacing w:before="120"/>
        <w:jc w:val="center"/>
        <w:outlineLvl w:val="0"/>
        <w:rPr>
          <w:rFonts w:eastAsia="Times"/>
          <w:b/>
          <w:bCs/>
          <w:szCs w:val="24"/>
          <w:u w:val="single"/>
        </w:rPr>
      </w:pPr>
      <w:r w:rsidRPr="001B7F77">
        <w:rPr>
          <w:rFonts w:eastAsia="Times"/>
          <w:b/>
          <w:bCs/>
          <w:szCs w:val="24"/>
          <w:u w:val="single"/>
        </w:rPr>
        <w:t>SECTION EBC A102</w:t>
      </w:r>
      <w:r w:rsidRPr="001B7F77">
        <w:rPr>
          <w:rFonts w:eastAsia="Times"/>
          <w:b/>
          <w:bCs/>
          <w:szCs w:val="24"/>
          <w:u w:val="single"/>
        </w:rPr>
        <w:br/>
        <w:t>MASONRY WALL CONNECTIONS</w:t>
      </w:r>
    </w:p>
    <w:p w14:paraId="759C9EE9" w14:textId="77777777" w:rsidR="001B7F77" w:rsidRPr="001B7F77" w:rsidRDefault="001B7F77" w:rsidP="001B7F77">
      <w:pPr>
        <w:tabs>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spacing w:before="120"/>
        <w:rPr>
          <w:rFonts w:eastAsia="Times"/>
          <w:szCs w:val="24"/>
          <w:u w:val="single"/>
        </w:rPr>
      </w:pPr>
      <w:r w:rsidRPr="001B7F77">
        <w:rPr>
          <w:rFonts w:eastAsia="Times"/>
          <w:b/>
          <w:szCs w:val="24"/>
          <w:u w:val="single"/>
        </w:rPr>
        <w:t xml:space="preserve">A102.1 Connection locations. </w:t>
      </w:r>
      <w:r w:rsidRPr="001B7F77">
        <w:rPr>
          <w:rFonts w:eastAsia="Times"/>
          <w:bCs/>
          <w:szCs w:val="24"/>
          <w:u w:val="single"/>
        </w:rPr>
        <w:t>Un</w:t>
      </w:r>
      <w:r w:rsidRPr="001B7F77">
        <w:rPr>
          <w:rFonts w:eastAsia="Times"/>
          <w:szCs w:val="24"/>
          <w:u w:val="single"/>
        </w:rPr>
        <w:t>reinforced masonry walls shall be connected at the roof and floor levels.</w:t>
      </w:r>
    </w:p>
    <w:p w14:paraId="148942FD" w14:textId="77777777" w:rsidR="001B7F77" w:rsidRPr="001B7F77" w:rsidRDefault="001B7F77" w:rsidP="001B7F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spacing w:before="120"/>
        <w:ind w:leftChars="161" w:left="386"/>
        <w:rPr>
          <w:rFonts w:eastAsia="Times"/>
          <w:szCs w:val="24"/>
          <w:u w:val="single"/>
        </w:rPr>
      </w:pPr>
      <w:r w:rsidRPr="001B7F77">
        <w:rPr>
          <w:rFonts w:eastAsia="Times"/>
          <w:b/>
          <w:szCs w:val="24"/>
          <w:u w:val="single"/>
        </w:rPr>
        <w:t>A102.1.1 Connection requirements.</w:t>
      </w:r>
      <w:r w:rsidRPr="001B7F77">
        <w:rPr>
          <w:rFonts w:eastAsia="Times"/>
          <w:szCs w:val="24"/>
          <w:u w:val="single"/>
        </w:rPr>
        <w:t xml:space="preserve"> Connections shall consist of existing connections and/or new connections. New connections shall be as shown in Figures A1-1, A1-2 or A1-3 where applicable, and provided at a maximum plan spacing of five feet and four inches (1625 mm) on center. A registered design professional can provide alternative anchor spacings and details for loads conforming to the </w:t>
      </w:r>
      <w:r w:rsidRPr="001B7F77">
        <w:rPr>
          <w:rFonts w:eastAsia="Times"/>
          <w:i/>
          <w:iCs/>
          <w:szCs w:val="24"/>
          <w:u w:val="single"/>
        </w:rPr>
        <w:t>New York City Building Code</w:t>
      </w:r>
      <w:r w:rsidRPr="001B7F77">
        <w:rPr>
          <w:rFonts w:eastAsia="Times"/>
          <w:szCs w:val="24"/>
          <w:u w:val="single"/>
        </w:rPr>
        <w:t>. All wall connections shall be secured to the framing members parallel or perpendicular to the wall. Cross-grain bending in wood members used for wall connections is prohibited.</w:t>
      </w:r>
    </w:p>
    <w:p w14:paraId="70DB9E94" w14:textId="77777777" w:rsidR="001B7F77" w:rsidRPr="001B7F77" w:rsidRDefault="001B7F77" w:rsidP="001B7F77">
      <w:pPr>
        <w:suppressAutoHyphens/>
        <w:spacing w:before="120"/>
        <w:ind w:left="2" w:hanging="2"/>
        <w:rPr>
          <w:rFonts w:eastAsia="Times"/>
          <w:szCs w:val="24"/>
          <w:u w:val="single"/>
        </w:rPr>
      </w:pPr>
      <w:r w:rsidRPr="001B7F77">
        <w:rPr>
          <w:rFonts w:eastAsia="Times"/>
          <w:b/>
          <w:szCs w:val="24"/>
          <w:u w:val="single"/>
        </w:rPr>
        <w:t>A102.2 Minimum wall connection capacity.</w:t>
      </w:r>
      <w:r w:rsidRPr="001B7F77">
        <w:rPr>
          <w:rFonts w:eastAsia="Times"/>
          <w:szCs w:val="24"/>
          <w:u w:val="single"/>
        </w:rPr>
        <w:t xml:space="preserve"> Connection of walls to each floor or roof shall be able to resist a minimum service load of 200 pounds per linear foot (2919 N/m), acting normal to the wall at the level of the floor or roof. Existing wall connections, if used, must meet the requirements of this chapter, or must be supplemented with new connections to comply with requirements.</w:t>
      </w:r>
    </w:p>
    <w:p w14:paraId="345F7639" w14:textId="77777777" w:rsidR="001B7F77" w:rsidRPr="001B7F77" w:rsidRDefault="001B7F77" w:rsidP="001B7F77">
      <w:pPr>
        <w:suppressAutoHyphens/>
        <w:spacing w:before="120"/>
        <w:ind w:leftChars="162" w:left="391" w:hanging="2"/>
        <w:rPr>
          <w:rFonts w:eastAsia="Times"/>
          <w:szCs w:val="24"/>
          <w:u w:val="single"/>
        </w:rPr>
      </w:pPr>
      <w:r w:rsidRPr="001B7F77">
        <w:rPr>
          <w:rFonts w:eastAsia="Times"/>
          <w:b/>
          <w:szCs w:val="24"/>
          <w:u w:val="single"/>
        </w:rPr>
        <w:t xml:space="preserve">A102.2.1 Existing wall connections capacity. </w:t>
      </w:r>
      <w:r w:rsidRPr="001B7F77">
        <w:rPr>
          <w:rFonts w:eastAsia="Times"/>
          <w:szCs w:val="24"/>
          <w:u w:val="single"/>
        </w:rPr>
        <w:t>Existing connections used as all or part of the required wall connections shall be considered to have a service tension capacity of 100 pounds (445 N), unless tested or evaluated by a registered design professional. Friction shall be neglected in determining existing connection capacity.</w:t>
      </w:r>
    </w:p>
    <w:p w14:paraId="4D473642" w14:textId="77777777" w:rsidR="001B7F77" w:rsidRPr="001B7F77" w:rsidRDefault="001B7F77" w:rsidP="001B7F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spacing w:before="120"/>
        <w:ind w:leftChars="163" w:left="391" w:firstLine="2"/>
        <w:rPr>
          <w:rFonts w:eastAsia="Times"/>
          <w:szCs w:val="24"/>
          <w:u w:val="single"/>
        </w:rPr>
      </w:pPr>
      <w:bookmarkStart w:id="231" w:name="_Hlk111553107"/>
      <w:r w:rsidRPr="001B7F77">
        <w:rPr>
          <w:rFonts w:eastAsia="Times"/>
          <w:b/>
          <w:bCs/>
          <w:szCs w:val="24"/>
          <w:u w:val="single"/>
        </w:rPr>
        <w:t xml:space="preserve">A102.2.2 Wall connections per </w:t>
      </w:r>
      <w:r w:rsidRPr="001B7F77">
        <w:rPr>
          <w:rFonts w:eastAsia="Times"/>
          <w:b/>
          <w:bCs/>
          <w:i/>
          <w:iCs/>
          <w:szCs w:val="24"/>
          <w:u w:val="single"/>
        </w:rPr>
        <w:t>New York City Building Code</w:t>
      </w:r>
      <w:r w:rsidRPr="001B7F77">
        <w:rPr>
          <w:rFonts w:eastAsia="Times"/>
          <w:b/>
          <w:bCs/>
          <w:szCs w:val="24"/>
          <w:u w:val="single"/>
        </w:rPr>
        <w:t xml:space="preserve"> Chapter 33. </w:t>
      </w:r>
      <w:r w:rsidRPr="001B7F77">
        <w:rPr>
          <w:rFonts w:eastAsia="Times"/>
          <w:szCs w:val="24"/>
          <w:u w:val="single"/>
        </w:rPr>
        <w:t>Wall connections installed as required by Section 3309 and attached to joists in a manner similar to Detail A1-1 may be deemed to comply with the requirements of this Appendix.</w:t>
      </w:r>
    </w:p>
    <w:bookmarkEnd w:id="231"/>
    <w:p w14:paraId="3FF95BBE" w14:textId="77777777" w:rsidR="001B7F77" w:rsidRPr="001B7F77" w:rsidRDefault="001B7F77" w:rsidP="001B7F77">
      <w:pPr>
        <w:tabs>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spacing w:before="120"/>
        <w:rPr>
          <w:rFonts w:eastAsia="Times"/>
          <w:szCs w:val="24"/>
          <w:u w:val="single"/>
        </w:rPr>
      </w:pPr>
      <w:r w:rsidRPr="001B7F77">
        <w:rPr>
          <w:rFonts w:eastAsia="Times"/>
          <w:b/>
          <w:bCs/>
          <w:szCs w:val="24"/>
          <w:u w:val="single"/>
        </w:rPr>
        <w:t>A102.3 Wall connection testing and inspection.</w:t>
      </w:r>
      <w:r w:rsidRPr="001B7F77">
        <w:rPr>
          <w:rFonts w:eastAsia="Times"/>
          <w:szCs w:val="24"/>
          <w:u w:val="single"/>
        </w:rPr>
        <w:t xml:space="preserve"> New wall connections shall be tested and inspected in accordance with the requirements of Chapter 17 of the </w:t>
      </w:r>
      <w:r w:rsidRPr="001B7F77">
        <w:rPr>
          <w:rFonts w:eastAsia="Times"/>
          <w:i/>
          <w:iCs/>
          <w:szCs w:val="24"/>
          <w:u w:val="single"/>
        </w:rPr>
        <w:t>New York City Building Code</w:t>
      </w:r>
      <w:r w:rsidRPr="001B7F77">
        <w:rPr>
          <w:rFonts w:eastAsia="Times"/>
          <w:szCs w:val="24"/>
          <w:u w:val="single"/>
        </w:rPr>
        <w:t>, and as required by the connection manufacturer. Testing of existing wall connections, if required, shall be specified and evaluated by a registered design professional.</w:t>
      </w:r>
    </w:p>
    <w:p w14:paraId="5C4152BA" w14:textId="77777777" w:rsidR="001B7F77" w:rsidRPr="001B7F77" w:rsidRDefault="001B7F77" w:rsidP="001B7F77">
      <w:pPr>
        <w:tabs>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spacing w:before="120"/>
        <w:rPr>
          <w:rFonts w:eastAsia="Times"/>
          <w:szCs w:val="24"/>
          <w:u w:val="single"/>
        </w:rPr>
      </w:pPr>
      <w:r w:rsidRPr="001B7F77">
        <w:rPr>
          <w:rFonts w:eastAsia="Times"/>
          <w:b/>
          <w:bCs/>
          <w:szCs w:val="24"/>
          <w:u w:val="single"/>
        </w:rPr>
        <w:t>A102.4</w:t>
      </w:r>
      <w:r w:rsidRPr="001B7F77">
        <w:rPr>
          <w:rFonts w:eastAsia="Times"/>
          <w:b/>
          <w:bCs/>
          <w:szCs w:val="24"/>
          <w:u w:val="single"/>
        </w:rPr>
        <w:tab/>
        <w:t xml:space="preserve"> Existing wall wythe bonding and pattern.</w:t>
      </w:r>
      <w:r w:rsidRPr="001B7F77">
        <w:rPr>
          <w:rFonts w:eastAsia="Times"/>
          <w:szCs w:val="24"/>
          <w:u w:val="single"/>
        </w:rPr>
        <w:t xml:space="preserve"> A registered design professional shall confirm that the existing exterior wall wythes that are being anchored are properly bonded together. If wythes are not properly bonded together, or the bonding pattern of wythes is different from header courses every sixth course, a registered design professional shall evaluate the conditions and design repairs if required.</w:t>
      </w:r>
    </w:p>
    <w:p w14:paraId="510F8715" w14:textId="77777777" w:rsidR="001B7F77" w:rsidRPr="001B7F77" w:rsidRDefault="001B7F77" w:rsidP="001B7F77">
      <w:pPr>
        <w:widowControl w:val="0"/>
        <w:suppressAutoHyphens/>
        <w:spacing w:before="120"/>
        <w:jc w:val="center"/>
        <w:outlineLvl w:val="0"/>
        <w:rPr>
          <w:rFonts w:eastAsia="Times"/>
          <w:b/>
          <w:bCs/>
          <w:szCs w:val="24"/>
          <w:u w:val="single"/>
        </w:rPr>
      </w:pPr>
    </w:p>
    <w:p w14:paraId="5BBDFE7A" w14:textId="77777777" w:rsidR="001B7F77" w:rsidRPr="001B7F77" w:rsidRDefault="001B7F77" w:rsidP="001B7F77">
      <w:pPr>
        <w:widowControl w:val="0"/>
        <w:suppressAutoHyphens/>
        <w:spacing w:before="120"/>
        <w:jc w:val="center"/>
        <w:outlineLvl w:val="0"/>
        <w:rPr>
          <w:rFonts w:eastAsia="Times"/>
          <w:b/>
          <w:bCs/>
          <w:szCs w:val="24"/>
          <w:u w:val="single"/>
        </w:rPr>
      </w:pPr>
      <w:r w:rsidRPr="001B7F77">
        <w:rPr>
          <w:rFonts w:eastAsia="Times"/>
          <w:b/>
          <w:bCs/>
          <w:szCs w:val="24"/>
          <w:u w:val="single"/>
        </w:rPr>
        <w:t>SECTION EBC A103</w:t>
      </w:r>
      <w:r w:rsidRPr="001B7F77">
        <w:rPr>
          <w:rFonts w:eastAsia="Times"/>
          <w:b/>
          <w:bCs/>
          <w:szCs w:val="24"/>
          <w:u w:val="single"/>
        </w:rPr>
        <w:br/>
        <w:t>PARAPETS AND CHIMNEYS</w:t>
      </w:r>
    </w:p>
    <w:p w14:paraId="22D883F6" w14:textId="77777777" w:rsidR="001B7F77" w:rsidRPr="001B7F77" w:rsidRDefault="001B7F77" w:rsidP="001B7F77">
      <w:pPr>
        <w:spacing w:before="120"/>
        <w:ind w:left="2" w:hanging="2"/>
        <w:rPr>
          <w:rFonts w:eastAsia="Times"/>
          <w:szCs w:val="24"/>
          <w:u w:val="single"/>
        </w:rPr>
      </w:pPr>
      <w:r w:rsidRPr="001B7F77">
        <w:rPr>
          <w:rFonts w:eastAsia="Times"/>
          <w:b/>
          <w:szCs w:val="24"/>
          <w:u w:val="single"/>
        </w:rPr>
        <w:t>A103.1 Parapet and Chimney heights.</w:t>
      </w:r>
      <w:r w:rsidRPr="001B7F77">
        <w:rPr>
          <w:rFonts w:eastAsia="Times"/>
          <w:szCs w:val="24"/>
          <w:u w:val="single"/>
        </w:rPr>
        <w:t xml:space="preserve"> The maximum height of an unbraced unreinforced masonry parapet or chimney above the lower of either the level of anchors or the roof sheathing shall not exceed 3.0 times its thickness. Other ratios may be used if justified by a registered design professional. Parapets and chimneys not conforming to this chapter shall be removed, reduced in height if allowed, stabilized, strengthened, or laterally braced to ensure that the parapets and chimneys remain in their original positions and conform to this chapter.</w:t>
      </w:r>
    </w:p>
    <w:p w14:paraId="674B2E96" w14:textId="77777777" w:rsidR="001B7F77" w:rsidRPr="001B7F77" w:rsidRDefault="001B7F77" w:rsidP="001B7F77">
      <w:pPr>
        <w:spacing w:before="120"/>
        <w:rPr>
          <w:rFonts w:eastAsia="Times"/>
          <w:b/>
          <w:bCs/>
          <w:szCs w:val="24"/>
          <w:u w:val="single"/>
        </w:rPr>
      </w:pPr>
      <w:r w:rsidRPr="001B7F77">
        <w:rPr>
          <w:rFonts w:eastAsia="Times"/>
          <w:b/>
          <w:bCs/>
          <w:szCs w:val="24"/>
          <w:u w:val="single"/>
        </w:rPr>
        <w:t>A103.2 Lateral bracing.</w:t>
      </w:r>
      <w:r w:rsidRPr="001B7F77">
        <w:rPr>
          <w:rFonts w:eastAsia="Times"/>
          <w:szCs w:val="24"/>
          <w:u w:val="single"/>
        </w:rPr>
        <w:t xml:space="preserve"> If the parapet or chimney height exceeds the allowed maximum, and new lateral bracing is chosen as a remedy, then the lateral bracing system shall be as shown in Figures A1.4 through A1.6 as applicable. A registered design professional can provide alternative bracing details for loads conforming to the </w:t>
      </w:r>
      <w:r w:rsidRPr="001B7F77">
        <w:rPr>
          <w:rFonts w:eastAsia="Times"/>
          <w:i/>
          <w:iCs/>
          <w:szCs w:val="24"/>
          <w:u w:val="single"/>
        </w:rPr>
        <w:t>New York City Building Code</w:t>
      </w:r>
      <w:r w:rsidRPr="001B7F77">
        <w:rPr>
          <w:rFonts w:eastAsia="Times"/>
          <w:szCs w:val="24"/>
          <w:u w:val="single"/>
        </w:rPr>
        <w:t>. Parapet and chimney corrective work is to be performed in conjunction with the installation of roof connections.</w:t>
      </w:r>
    </w:p>
    <w:p w14:paraId="4A470F80" w14:textId="77777777" w:rsidR="001B7F77" w:rsidRPr="001B7F77" w:rsidRDefault="001B7F77" w:rsidP="001B7F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spacing w:before="120"/>
        <w:ind w:left="2" w:hanging="2"/>
        <w:rPr>
          <w:rFonts w:eastAsia="Times"/>
          <w:szCs w:val="24"/>
          <w:u w:val="single"/>
        </w:rPr>
      </w:pPr>
      <w:r w:rsidRPr="001B7F77">
        <w:rPr>
          <w:rFonts w:eastAsia="Times"/>
          <w:b/>
          <w:bCs/>
          <w:szCs w:val="24"/>
          <w:u w:val="single"/>
        </w:rPr>
        <w:t xml:space="preserve">A103.3 Existing coping connections. </w:t>
      </w:r>
      <w:r w:rsidRPr="001B7F77">
        <w:rPr>
          <w:rFonts w:eastAsia="Times"/>
          <w:szCs w:val="24"/>
          <w:u w:val="single"/>
        </w:rPr>
        <w:t>The stability and strength of connections of parapet and chimney copings shall be evaluated by a registered design professional.</w:t>
      </w:r>
    </w:p>
    <w:p w14:paraId="232A87A1" w14:textId="77777777" w:rsidR="001B7F77" w:rsidRPr="001B7F77" w:rsidRDefault="001B7F77" w:rsidP="001B7F77">
      <w:pPr>
        <w:widowControl w:val="0"/>
        <w:suppressAutoHyphens/>
        <w:spacing w:before="120"/>
        <w:ind w:left="2" w:hanging="2"/>
        <w:jc w:val="center"/>
        <w:rPr>
          <w:rFonts w:eastAsia="Times"/>
          <w:b/>
          <w:bCs/>
          <w:szCs w:val="24"/>
          <w:u w:val="single"/>
        </w:rPr>
      </w:pPr>
      <w:r w:rsidRPr="001B7F77">
        <w:rPr>
          <w:rFonts w:eastAsia="Times"/>
          <w:b/>
          <w:noProof/>
          <w:szCs w:val="24"/>
        </w:rPr>
        <w:drawing>
          <wp:inline distT="0" distB="0" distL="0" distR="0" wp14:anchorId="3C1CEBF7" wp14:editId="3C952B1D">
            <wp:extent cx="5943600" cy="7134225"/>
            <wp:effectExtent l="0" t="0" r="0" b="9525"/>
            <wp:docPr id="19" name="Picture 19" descr="A diagram of a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diagram of a wall&#10;&#10;Description automatically generated"/>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943600" cy="7134225"/>
                    </a:xfrm>
                    <a:prstGeom prst="rect">
                      <a:avLst/>
                    </a:prstGeom>
                    <a:noFill/>
                    <a:ln>
                      <a:noFill/>
                    </a:ln>
                  </pic:spPr>
                </pic:pic>
              </a:graphicData>
            </a:graphic>
          </wp:inline>
        </w:drawing>
      </w:r>
    </w:p>
    <w:p w14:paraId="31A1F512" w14:textId="77777777" w:rsidR="001B7F77" w:rsidRPr="001B7F77" w:rsidRDefault="001B7F77" w:rsidP="001B7F77">
      <w:pPr>
        <w:widowControl w:val="0"/>
        <w:suppressAutoHyphens/>
        <w:spacing w:before="120"/>
        <w:ind w:left="2" w:hanging="2"/>
        <w:jc w:val="center"/>
        <w:rPr>
          <w:rFonts w:eastAsia="Times"/>
          <w:b/>
          <w:bCs/>
          <w:szCs w:val="24"/>
          <w:u w:val="single"/>
        </w:rPr>
      </w:pPr>
    </w:p>
    <w:p w14:paraId="2D437541" w14:textId="77777777" w:rsidR="001B7F77" w:rsidRPr="001B7F77" w:rsidRDefault="001B7F77" w:rsidP="001B7F77">
      <w:pPr>
        <w:widowControl w:val="0"/>
        <w:suppressAutoHyphens/>
        <w:spacing w:before="120"/>
        <w:ind w:left="2" w:hanging="2"/>
        <w:jc w:val="center"/>
        <w:rPr>
          <w:rFonts w:eastAsia="Times"/>
          <w:b/>
          <w:bCs/>
          <w:szCs w:val="24"/>
          <w:u w:val="single"/>
        </w:rPr>
      </w:pPr>
      <w:r w:rsidRPr="001B7F77">
        <w:rPr>
          <w:rFonts w:eastAsia="Times"/>
          <w:b/>
          <w:noProof/>
          <w:szCs w:val="24"/>
        </w:rPr>
        <w:drawing>
          <wp:inline distT="0" distB="0" distL="0" distR="0" wp14:anchorId="41A3BCD8" wp14:editId="419084FB">
            <wp:extent cx="5943600" cy="4543425"/>
            <wp:effectExtent l="0" t="0" r="0" b="9525"/>
            <wp:docPr id="18" name="Picture 18" descr="A diagram of a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diagram of a wall&#10;&#10;Description automatically generated"/>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943600" cy="4543425"/>
                    </a:xfrm>
                    <a:prstGeom prst="rect">
                      <a:avLst/>
                    </a:prstGeom>
                    <a:noFill/>
                    <a:ln>
                      <a:noFill/>
                    </a:ln>
                  </pic:spPr>
                </pic:pic>
              </a:graphicData>
            </a:graphic>
          </wp:inline>
        </w:drawing>
      </w:r>
      <w:r w:rsidRPr="001B7F77">
        <w:rPr>
          <w:rFonts w:eastAsia="Times"/>
          <w:b/>
          <w:bCs/>
          <w:szCs w:val="24"/>
          <w:u w:val="single"/>
        </w:rPr>
        <w:t xml:space="preserve"> </w:t>
      </w:r>
      <w:r w:rsidRPr="001B7F77">
        <w:rPr>
          <w:rFonts w:eastAsia="Times"/>
          <w:b/>
          <w:noProof/>
          <w:szCs w:val="24"/>
        </w:rPr>
        <w:drawing>
          <wp:inline distT="0" distB="0" distL="0" distR="0" wp14:anchorId="604A7B35" wp14:editId="24657AEB">
            <wp:extent cx="5943600" cy="4210050"/>
            <wp:effectExtent l="0" t="0" r="0" b="0"/>
            <wp:docPr id="17" name="Picture 17" descr="A blueprint of a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blueprint of a wall&#10;&#10;Description automatically generated"/>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943600" cy="4210050"/>
                    </a:xfrm>
                    <a:prstGeom prst="rect">
                      <a:avLst/>
                    </a:prstGeom>
                    <a:noFill/>
                    <a:ln>
                      <a:noFill/>
                    </a:ln>
                  </pic:spPr>
                </pic:pic>
              </a:graphicData>
            </a:graphic>
          </wp:inline>
        </w:drawing>
      </w:r>
      <w:r w:rsidRPr="001B7F77">
        <w:rPr>
          <w:rFonts w:eastAsia="Times"/>
          <w:b/>
          <w:bCs/>
          <w:szCs w:val="24"/>
          <w:u w:val="single"/>
        </w:rPr>
        <w:t xml:space="preserve"> </w:t>
      </w:r>
      <w:r w:rsidRPr="001B7F77">
        <w:rPr>
          <w:rFonts w:eastAsia="Times"/>
          <w:b/>
          <w:noProof/>
          <w:szCs w:val="24"/>
        </w:rPr>
        <w:drawing>
          <wp:inline distT="0" distB="0" distL="0" distR="0" wp14:anchorId="64295AF7" wp14:editId="2193AE84">
            <wp:extent cx="5943600" cy="7848600"/>
            <wp:effectExtent l="0" t="0" r="0" b="0"/>
            <wp:docPr id="16" name="Picture 16" descr="A blueprint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blueprint of a building&#10;&#10;Description automatically generated"/>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943600" cy="7848600"/>
                    </a:xfrm>
                    <a:prstGeom prst="rect">
                      <a:avLst/>
                    </a:prstGeom>
                    <a:noFill/>
                    <a:ln>
                      <a:noFill/>
                    </a:ln>
                  </pic:spPr>
                </pic:pic>
              </a:graphicData>
            </a:graphic>
          </wp:inline>
        </w:drawing>
      </w:r>
      <w:r w:rsidRPr="001B7F77">
        <w:rPr>
          <w:rFonts w:eastAsia="Times"/>
          <w:b/>
          <w:bCs/>
          <w:szCs w:val="24"/>
          <w:u w:val="single"/>
        </w:rPr>
        <w:t xml:space="preserve"> </w:t>
      </w:r>
    </w:p>
    <w:p w14:paraId="0FF5FD8E" w14:textId="77777777" w:rsidR="001B7F77" w:rsidRPr="001B7F77" w:rsidRDefault="001B7F77" w:rsidP="001B7F77">
      <w:pPr>
        <w:widowControl w:val="0"/>
        <w:suppressAutoHyphens/>
        <w:spacing w:before="120"/>
        <w:ind w:left="2" w:hanging="2"/>
        <w:jc w:val="center"/>
        <w:rPr>
          <w:rFonts w:eastAsia="Times"/>
          <w:b/>
          <w:bCs/>
          <w:szCs w:val="24"/>
          <w:u w:val="single"/>
        </w:rPr>
      </w:pPr>
      <w:r w:rsidRPr="001B7F77">
        <w:rPr>
          <w:rFonts w:eastAsia="Times"/>
          <w:b/>
          <w:noProof/>
          <w:szCs w:val="24"/>
        </w:rPr>
        <w:drawing>
          <wp:inline distT="0" distB="0" distL="0" distR="0" wp14:anchorId="399AD04D" wp14:editId="0335E55B">
            <wp:extent cx="5943600" cy="7639050"/>
            <wp:effectExtent l="0" t="0" r="0" b="0"/>
            <wp:docPr id="15" name="Picture 15" descr="A blueprint of a roo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blueprint of a roof&#10;&#10;Description automatically generated"/>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943600" cy="7639050"/>
                    </a:xfrm>
                    <a:prstGeom prst="rect">
                      <a:avLst/>
                    </a:prstGeom>
                    <a:noFill/>
                    <a:ln>
                      <a:noFill/>
                    </a:ln>
                  </pic:spPr>
                </pic:pic>
              </a:graphicData>
            </a:graphic>
          </wp:inline>
        </w:drawing>
      </w:r>
      <w:r w:rsidRPr="001B7F77">
        <w:rPr>
          <w:rFonts w:eastAsia="Times"/>
          <w:b/>
          <w:bCs/>
          <w:szCs w:val="24"/>
          <w:u w:val="single"/>
        </w:rPr>
        <w:t xml:space="preserve"> </w:t>
      </w:r>
      <w:r w:rsidRPr="001B7F77">
        <w:rPr>
          <w:rFonts w:eastAsia="Times"/>
          <w:b/>
          <w:noProof/>
          <w:szCs w:val="24"/>
        </w:rPr>
        <w:drawing>
          <wp:inline distT="0" distB="0" distL="0" distR="0" wp14:anchorId="45AC7D32" wp14:editId="054BB64B">
            <wp:extent cx="5943600" cy="7839075"/>
            <wp:effectExtent l="0" t="0" r="0" b="9525"/>
            <wp:docPr id="14" name="Picture 14" descr="A diagram of a be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diagram of a beam&#10;&#10;Description automatically generated"/>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943600" cy="7839075"/>
                    </a:xfrm>
                    <a:prstGeom prst="rect">
                      <a:avLst/>
                    </a:prstGeom>
                    <a:noFill/>
                    <a:ln>
                      <a:noFill/>
                    </a:ln>
                  </pic:spPr>
                </pic:pic>
              </a:graphicData>
            </a:graphic>
          </wp:inline>
        </w:drawing>
      </w:r>
      <w:r w:rsidRPr="001B7F77">
        <w:rPr>
          <w:rFonts w:eastAsia="Times"/>
          <w:b/>
          <w:bCs/>
          <w:szCs w:val="24"/>
          <w:u w:val="single"/>
        </w:rPr>
        <w:t xml:space="preserve"> </w:t>
      </w:r>
    </w:p>
    <w:p w14:paraId="6B0CFA3D" w14:textId="77777777" w:rsidR="001B7F77" w:rsidRPr="001B7F77" w:rsidRDefault="001B7F77" w:rsidP="001B7F77">
      <w:pPr>
        <w:widowControl w:val="0"/>
        <w:suppressAutoHyphens/>
        <w:spacing w:before="120"/>
        <w:ind w:left="2" w:hanging="2"/>
        <w:jc w:val="center"/>
        <w:rPr>
          <w:rFonts w:eastAsia="Times"/>
          <w:b/>
          <w:bCs/>
          <w:szCs w:val="24"/>
          <w:u w:val="single"/>
        </w:rPr>
      </w:pPr>
    </w:p>
    <w:p w14:paraId="6BE8E534" w14:textId="77777777" w:rsidR="001B7F77" w:rsidRPr="001B7F77" w:rsidRDefault="001B7F77" w:rsidP="001B7F77">
      <w:pPr>
        <w:widowControl w:val="0"/>
        <w:suppressAutoHyphens/>
        <w:spacing w:before="120"/>
        <w:jc w:val="center"/>
        <w:outlineLvl w:val="0"/>
        <w:rPr>
          <w:rFonts w:eastAsia="Times"/>
          <w:b/>
          <w:bCs/>
          <w:szCs w:val="24"/>
          <w:u w:val="single"/>
        </w:rPr>
      </w:pPr>
      <w:r w:rsidRPr="001B7F77">
        <w:rPr>
          <w:rFonts w:eastAsia="Times"/>
          <w:b/>
          <w:bCs/>
          <w:szCs w:val="24"/>
          <w:u w:val="single"/>
        </w:rPr>
        <w:t>CHAPTER A2</w:t>
      </w:r>
      <w:r w:rsidRPr="001B7F77">
        <w:rPr>
          <w:rFonts w:eastAsia="Times"/>
          <w:b/>
          <w:bCs/>
          <w:szCs w:val="24"/>
          <w:u w:val="single"/>
        </w:rPr>
        <w:br/>
        <w:t>RESERVED</w:t>
      </w:r>
    </w:p>
    <w:p w14:paraId="60ADDD39" w14:textId="77777777" w:rsidR="001B7F77" w:rsidRPr="001B7F77" w:rsidRDefault="001B7F77" w:rsidP="001B7F77">
      <w:pPr>
        <w:widowControl w:val="0"/>
        <w:suppressAutoHyphens/>
        <w:spacing w:before="120"/>
        <w:jc w:val="center"/>
        <w:outlineLvl w:val="0"/>
        <w:rPr>
          <w:rFonts w:eastAsia="Times"/>
          <w:b/>
          <w:bCs/>
          <w:szCs w:val="24"/>
          <w:u w:val="single"/>
        </w:rPr>
      </w:pPr>
    </w:p>
    <w:p w14:paraId="090CABC0" w14:textId="77777777" w:rsidR="001B7F77" w:rsidRPr="001B7F77" w:rsidRDefault="001B7F77" w:rsidP="001B7F77">
      <w:pPr>
        <w:widowControl w:val="0"/>
        <w:suppressAutoHyphens/>
        <w:spacing w:before="120"/>
        <w:jc w:val="center"/>
        <w:outlineLvl w:val="0"/>
        <w:rPr>
          <w:rFonts w:eastAsia="Times"/>
          <w:b/>
          <w:bCs/>
          <w:szCs w:val="24"/>
          <w:u w:val="single"/>
        </w:rPr>
      </w:pPr>
      <w:r w:rsidRPr="001B7F77">
        <w:rPr>
          <w:rFonts w:eastAsia="Times"/>
          <w:b/>
          <w:bCs/>
          <w:szCs w:val="24"/>
          <w:u w:val="single"/>
        </w:rPr>
        <w:t>CHAPTER A3</w:t>
      </w:r>
      <w:r w:rsidRPr="001B7F77">
        <w:rPr>
          <w:rFonts w:eastAsia="Times"/>
          <w:b/>
          <w:bCs/>
          <w:szCs w:val="24"/>
          <w:u w:val="single"/>
        </w:rPr>
        <w:br/>
        <w:t xml:space="preserve">PRESCRIPTIVE AND SCHEMATIC PROVISIONS FOR STRENGTHENING </w:t>
      </w:r>
      <w:r w:rsidRPr="001B7F77">
        <w:rPr>
          <w:rFonts w:eastAsia="Times"/>
          <w:b/>
          <w:bCs/>
          <w:szCs w:val="24"/>
          <w:u w:val="single"/>
        </w:rPr>
        <w:br/>
        <w:t xml:space="preserve">OF SILL PLATE ANCHORAGE AND CRIPPLE WALLS OF LIGHT, WOOD-FRAME RESIDENTIAL BUILDINGS </w:t>
      </w:r>
    </w:p>
    <w:p w14:paraId="4625A8A3" w14:textId="77777777" w:rsidR="001B7F77" w:rsidRPr="001B7F77" w:rsidRDefault="001B7F77" w:rsidP="001B7F77">
      <w:pPr>
        <w:widowControl w:val="0"/>
        <w:suppressAutoHyphens/>
        <w:spacing w:before="120"/>
        <w:jc w:val="center"/>
        <w:outlineLvl w:val="0"/>
        <w:rPr>
          <w:rFonts w:eastAsia="Times"/>
          <w:b/>
          <w:bCs/>
          <w:szCs w:val="24"/>
          <w:u w:val="single"/>
        </w:rPr>
      </w:pPr>
      <w:r w:rsidRPr="001B7F77">
        <w:rPr>
          <w:rFonts w:eastAsia="Times"/>
          <w:b/>
          <w:bCs/>
          <w:szCs w:val="24"/>
          <w:u w:val="single"/>
        </w:rPr>
        <w:t>SECTION A301</w:t>
      </w:r>
      <w:r w:rsidRPr="001B7F77">
        <w:rPr>
          <w:rFonts w:eastAsia="Times"/>
          <w:b/>
          <w:bCs/>
          <w:szCs w:val="24"/>
          <w:u w:val="single"/>
        </w:rPr>
        <w:br/>
        <w:t>GENERAL</w:t>
      </w:r>
    </w:p>
    <w:p w14:paraId="2DC33E6C" w14:textId="77777777" w:rsidR="001B7F77" w:rsidRPr="001B7F77" w:rsidRDefault="001B7F77" w:rsidP="001B7F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spacing w:before="120"/>
        <w:ind w:left="-2"/>
        <w:rPr>
          <w:rFonts w:eastAsia="Times"/>
          <w:szCs w:val="24"/>
          <w:u w:val="single"/>
        </w:rPr>
      </w:pPr>
      <w:r w:rsidRPr="001B7F77">
        <w:rPr>
          <w:rFonts w:eastAsia="Times"/>
          <w:b/>
          <w:bCs/>
          <w:szCs w:val="24"/>
          <w:u w:val="single"/>
        </w:rPr>
        <w:t xml:space="preserve">A301.1 Purpose. </w:t>
      </w:r>
      <w:r w:rsidRPr="001B7F77">
        <w:rPr>
          <w:rFonts w:eastAsia="Times"/>
          <w:szCs w:val="24"/>
          <w:u w:val="single"/>
        </w:rPr>
        <w:t>The provisions of this chapter are intended to reduce the risk of lateral force induced damage to existing wood-frame residential buildings. The requirements in this chapter are prescriptive or schematic minimum standards intended to incrementally improve the lateral force resisting performance of residential buildings. Compliance with these provisions will not necessarily prevent damage due to earthquake, wind, or flood loading.</w:t>
      </w:r>
    </w:p>
    <w:p w14:paraId="363E7A78" w14:textId="77777777" w:rsidR="001B7F77" w:rsidRPr="001B7F77" w:rsidRDefault="001B7F77" w:rsidP="001B7F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spacing w:before="120"/>
        <w:ind w:left="2" w:hanging="2"/>
        <w:rPr>
          <w:rFonts w:eastAsia="Times"/>
          <w:szCs w:val="24"/>
          <w:u w:val="single"/>
        </w:rPr>
      </w:pPr>
      <w:r w:rsidRPr="001B7F77">
        <w:rPr>
          <w:rFonts w:eastAsia="Times"/>
          <w:szCs w:val="24"/>
          <w:u w:val="single"/>
        </w:rPr>
        <w:t>This chapter includes standards for strengthening that may be approved by the commissioner without requiring submittal of plans or calculations prepared by a registered design professional. The provisions of this chapter are not intended to prevent the use of any material or method of construction not prescribed herein. The commissioner may require that construction documents for strengthening using alternative materials or methods be prepared by a registered design professional.</w:t>
      </w:r>
    </w:p>
    <w:p w14:paraId="15ED2124" w14:textId="77777777" w:rsidR="001B7F77" w:rsidRPr="001B7F77" w:rsidRDefault="001B7F77" w:rsidP="001B7F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spacing w:before="120"/>
        <w:ind w:left="2" w:hanging="2"/>
        <w:rPr>
          <w:rFonts w:eastAsia="Times"/>
          <w:szCs w:val="24"/>
          <w:u w:val="single"/>
        </w:rPr>
      </w:pPr>
      <w:r w:rsidRPr="001B7F77">
        <w:rPr>
          <w:rFonts w:eastAsia="Times"/>
          <w:b/>
          <w:szCs w:val="24"/>
          <w:u w:val="single"/>
        </w:rPr>
        <w:t>A301.2 Scope.</w:t>
      </w:r>
      <w:r w:rsidRPr="001B7F77">
        <w:rPr>
          <w:rFonts w:eastAsia="Times"/>
          <w:szCs w:val="24"/>
          <w:u w:val="single"/>
        </w:rPr>
        <w:t xml:space="preserve"> Perform prescriptive strengthening and/or repairs of sill connections per Figures A3-1 through A3-3. For framing conditions or materials not shown in these Figures, consult a registered design professional. For strengthening and/or repairing cripple walls, use the recommended schematic information in Figures A3-4 through A3-6 in conjunction with consultation with a registered design professional. If existing sill plates are in poor condition, consult a registered design professional.</w:t>
      </w:r>
    </w:p>
    <w:p w14:paraId="451D29DC" w14:textId="77777777" w:rsidR="001B7F77" w:rsidRPr="001B7F77" w:rsidRDefault="001B7F77" w:rsidP="001B7F77">
      <w:pPr>
        <w:widowControl w:val="0"/>
        <w:suppressAutoHyphens/>
        <w:spacing w:before="120"/>
        <w:ind w:left="2" w:hanging="2"/>
        <w:jc w:val="left"/>
        <w:rPr>
          <w:rFonts w:eastAsia="Times"/>
          <w:szCs w:val="24"/>
          <w:u w:val="single"/>
        </w:rPr>
      </w:pPr>
    </w:p>
    <w:p w14:paraId="0ADBB737" w14:textId="77777777" w:rsidR="001B7F77" w:rsidRPr="001B7F77" w:rsidRDefault="001B7F77" w:rsidP="001B7F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spacing w:before="120"/>
        <w:ind w:left="2" w:hanging="2"/>
        <w:rPr>
          <w:rFonts w:eastAsia="Times"/>
          <w:szCs w:val="24"/>
          <w:u w:val="single"/>
        </w:rPr>
      </w:pPr>
      <w:r w:rsidRPr="001B7F77">
        <w:rPr>
          <w:rFonts w:eastAsia="Times"/>
          <w:noProof/>
          <w:szCs w:val="24"/>
        </w:rPr>
        <w:drawing>
          <wp:inline distT="0" distB="0" distL="0" distR="0" wp14:anchorId="449D1E88" wp14:editId="5AA92597">
            <wp:extent cx="5943600" cy="7686675"/>
            <wp:effectExtent l="0" t="0" r="0" b="9525"/>
            <wp:docPr id="13" name="Picture 13" descr="A blueprint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blueprint of a building&#10;&#10;Description automatically generated"/>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943600" cy="7686675"/>
                    </a:xfrm>
                    <a:prstGeom prst="rect">
                      <a:avLst/>
                    </a:prstGeom>
                    <a:noFill/>
                    <a:ln>
                      <a:noFill/>
                    </a:ln>
                  </pic:spPr>
                </pic:pic>
              </a:graphicData>
            </a:graphic>
          </wp:inline>
        </w:drawing>
      </w:r>
    </w:p>
    <w:p w14:paraId="2A1067BD" w14:textId="77777777" w:rsidR="001B7F77" w:rsidRPr="001B7F77" w:rsidRDefault="001B7F77" w:rsidP="001B7F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spacing w:before="120"/>
        <w:ind w:left="2" w:hanging="2"/>
        <w:rPr>
          <w:rFonts w:eastAsia="Times"/>
          <w:szCs w:val="24"/>
          <w:u w:val="single"/>
        </w:rPr>
      </w:pPr>
      <w:r w:rsidRPr="001B7F77">
        <w:rPr>
          <w:rFonts w:eastAsia="Times"/>
          <w:noProof/>
          <w:szCs w:val="24"/>
        </w:rPr>
        <w:drawing>
          <wp:inline distT="0" distB="0" distL="0" distR="0" wp14:anchorId="2613F80F" wp14:editId="672027FF">
            <wp:extent cx="5943600" cy="7743825"/>
            <wp:effectExtent l="0" t="0" r="0" b="9525"/>
            <wp:docPr id="12" name="Picture 12" descr="A blueprint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blueprint of a building&#10;&#10;Description automatically generated"/>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943600" cy="7743825"/>
                    </a:xfrm>
                    <a:prstGeom prst="rect">
                      <a:avLst/>
                    </a:prstGeom>
                    <a:noFill/>
                    <a:ln>
                      <a:noFill/>
                    </a:ln>
                  </pic:spPr>
                </pic:pic>
              </a:graphicData>
            </a:graphic>
          </wp:inline>
        </w:drawing>
      </w:r>
    </w:p>
    <w:p w14:paraId="52687E53" w14:textId="77777777" w:rsidR="001B7F77" w:rsidRPr="001B7F77" w:rsidRDefault="001B7F77" w:rsidP="001B7F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spacing w:before="120"/>
        <w:ind w:left="2" w:hanging="2"/>
        <w:rPr>
          <w:rFonts w:eastAsia="Times"/>
          <w:szCs w:val="24"/>
          <w:u w:val="single"/>
        </w:rPr>
      </w:pPr>
      <w:r w:rsidRPr="001B7F77">
        <w:rPr>
          <w:rFonts w:eastAsia="Times"/>
          <w:noProof/>
          <w:szCs w:val="24"/>
        </w:rPr>
        <w:drawing>
          <wp:inline distT="0" distB="0" distL="0" distR="0" wp14:anchorId="57AB4597" wp14:editId="60999788">
            <wp:extent cx="5943600" cy="7781925"/>
            <wp:effectExtent l="0" t="0" r="0" b="9525"/>
            <wp:docPr id="11" name="Picture 11" descr="A diagram of a foundation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diagram of a foundation wall&#10;&#10;Description automatically generated"/>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943600" cy="7781925"/>
                    </a:xfrm>
                    <a:prstGeom prst="rect">
                      <a:avLst/>
                    </a:prstGeom>
                    <a:noFill/>
                    <a:ln>
                      <a:noFill/>
                    </a:ln>
                  </pic:spPr>
                </pic:pic>
              </a:graphicData>
            </a:graphic>
          </wp:inline>
        </w:drawing>
      </w:r>
      <w:r w:rsidRPr="001B7F77">
        <w:rPr>
          <w:noProof/>
          <w:u w:val="single"/>
        </w:rPr>
        <w:t xml:space="preserve"> </w:t>
      </w:r>
      <w:r w:rsidRPr="001B7F77">
        <w:rPr>
          <w:rFonts w:eastAsia="Times"/>
          <w:noProof/>
          <w:szCs w:val="24"/>
        </w:rPr>
        <w:drawing>
          <wp:inline distT="0" distB="0" distL="0" distR="0" wp14:anchorId="7F5728E6" wp14:editId="4DC9005B">
            <wp:extent cx="5943600" cy="6991350"/>
            <wp:effectExtent l="0" t="0" r="0" b="0"/>
            <wp:docPr id="10" name="Picture 10" descr="A diagram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diagram of a building&#10;&#10;Description automatically generated"/>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943600" cy="6991350"/>
                    </a:xfrm>
                    <a:prstGeom prst="rect">
                      <a:avLst/>
                    </a:prstGeom>
                    <a:noFill/>
                    <a:ln>
                      <a:noFill/>
                    </a:ln>
                  </pic:spPr>
                </pic:pic>
              </a:graphicData>
            </a:graphic>
          </wp:inline>
        </w:drawing>
      </w:r>
    </w:p>
    <w:p w14:paraId="0DC306A1" w14:textId="77777777" w:rsidR="001B7F77" w:rsidRPr="001B7F77" w:rsidRDefault="001B7F77" w:rsidP="001B7F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spacing w:before="120"/>
        <w:ind w:left="2" w:hanging="2"/>
        <w:rPr>
          <w:rFonts w:eastAsia="Times"/>
          <w:szCs w:val="24"/>
          <w:u w:val="single"/>
        </w:rPr>
      </w:pPr>
      <w:r w:rsidRPr="001B7F77">
        <w:rPr>
          <w:rFonts w:eastAsia="Times"/>
          <w:noProof/>
          <w:szCs w:val="24"/>
        </w:rPr>
        <w:drawing>
          <wp:inline distT="0" distB="0" distL="0" distR="0" wp14:anchorId="331F8631" wp14:editId="5B6BC530">
            <wp:extent cx="5943600" cy="7639050"/>
            <wp:effectExtent l="0" t="0" r="0" b="0"/>
            <wp:docPr id="9" name="Picture 9" descr="A blueprint of a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print of a house&#10;&#10;Description automatically generated"/>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943600" cy="7639050"/>
                    </a:xfrm>
                    <a:prstGeom prst="rect">
                      <a:avLst/>
                    </a:prstGeom>
                    <a:noFill/>
                    <a:ln>
                      <a:noFill/>
                    </a:ln>
                  </pic:spPr>
                </pic:pic>
              </a:graphicData>
            </a:graphic>
          </wp:inline>
        </w:drawing>
      </w:r>
    </w:p>
    <w:p w14:paraId="0DE2051D" w14:textId="77777777" w:rsidR="001B7F77" w:rsidRPr="001B7F77" w:rsidRDefault="001B7F77" w:rsidP="001B7F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spacing w:before="120"/>
        <w:ind w:left="2" w:hanging="2"/>
        <w:rPr>
          <w:rFonts w:eastAsia="Times"/>
          <w:szCs w:val="24"/>
          <w:u w:val="single"/>
        </w:rPr>
      </w:pPr>
      <w:r w:rsidRPr="001B7F77">
        <w:rPr>
          <w:rFonts w:eastAsia="Times"/>
          <w:noProof/>
          <w:szCs w:val="24"/>
        </w:rPr>
        <w:drawing>
          <wp:inline distT="0" distB="0" distL="0" distR="0" wp14:anchorId="5078B5E7" wp14:editId="41E7353C">
            <wp:extent cx="5943600" cy="7134225"/>
            <wp:effectExtent l="0" t="0" r="0" b="9525"/>
            <wp:docPr id="8" name="Picture 8" descr="A paper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aper with text on it&#10;&#10;Description automatically generated"/>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943600" cy="7134225"/>
                    </a:xfrm>
                    <a:prstGeom prst="rect">
                      <a:avLst/>
                    </a:prstGeom>
                    <a:noFill/>
                    <a:ln>
                      <a:noFill/>
                    </a:ln>
                  </pic:spPr>
                </pic:pic>
              </a:graphicData>
            </a:graphic>
          </wp:inline>
        </w:drawing>
      </w:r>
    </w:p>
    <w:p w14:paraId="32EAECF9" w14:textId="77777777" w:rsidR="001B7F77" w:rsidRPr="001B7F77" w:rsidRDefault="001B7F77" w:rsidP="001B7F77">
      <w:pPr>
        <w:suppressAutoHyphens/>
        <w:spacing w:before="120"/>
        <w:jc w:val="left"/>
        <w:rPr>
          <w:rFonts w:ascii="Times" w:eastAsia="Times" w:hAnsi="Times" w:cs="Times"/>
          <w:b/>
          <w:szCs w:val="24"/>
          <w:u w:val="single"/>
        </w:rPr>
      </w:pPr>
      <w:r w:rsidRPr="001B7F77">
        <w:rPr>
          <w:rFonts w:ascii="Times" w:eastAsia="Times" w:hAnsi="Times" w:cs="Times"/>
          <w:b/>
          <w:szCs w:val="24"/>
          <w:u w:val="single"/>
        </w:rPr>
        <w:br w:type="page"/>
      </w:r>
    </w:p>
    <w:p w14:paraId="7991D236" w14:textId="77777777" w:rsidR="001B7F77" w:rsidRPr="001B7F77" w:rsidRDefault="001B7F77" w:rsidP="001B7F77">
      <w:pPr>
        <w:widowControl w:val="0"/>
        <w:suppressAutoHyphens/>
        <w:spacing w:before="120"/>
        <w:jc w:val="center"/>
        <w:outlineLvl w:val="0"/>
        <w:rPr>
          <w:rFonts w:eastAsia="Times"/>
          <w:b/>
          <w:bCs/>
          <w:szCs w:val="24"/>
          <w:u w:val="single"/>
        </w:rPr>
      </w:pPr>
      <w:r w:rsidRPr="001B7F77">
        <w:rPr>
          <w:rFonts w:eastAsia="Times"/>
          <w:b/>
          <w:bCs/>
          <w:szCs w:val="24"/>
          <w:u w:val="single"/>
        </w:rPr>
        <w:t>CHAPTER A4</w:t>
      </w:r>
      <w:r w:rsidRPr="001B7F77">
        <w:rPr>
          <w:rFonts w:eastAsia="Times"/>
          <w:b/>
          <w:bCs/>
          <w:szCs w:val="24"/>
          <w:u w:val="single"/>
        </w:rPr>
        <w:br/>
        <w:t>STRENGTHENING PROVISIONS FOR UNREINFORCED MASONRY WALL BUILDINGS WITH OPEN FRONT OR REAR WALLS AT GROUND FLOOR LEVEL</w:t>
      </w:r>
    </w:p>
    <w:p w14:paraId="6A3A65F0" w14:textId="77777777" w:rsidR="001B7F77" w:rsidRPr="001B7F77" w:rsidRDefault="001B7F77" w:rsidP="001B7F77">
      <w:pPr>
        <w:widowControl w:val="0"/>
        <w:suppressAutoHyphens/>
        <w:spacing w:before="120"/>
        <w:jc w:val="center"/>
        <w:outlineLvl w:val="0"/>
        <w:rPr>
          <w:rFonts w:eastAsia="Times"/>
          <w:b/>
          <w:bCs/>
          <w:szCs w:val="24"/>
          <w:u w:val="single"/>
        </w:rPr>
      </w:pPr>
      <w:r w:rsidRPr="001B7F77">
        <w:rPr>
          <w:rFonts w:eastAsia="Times"/>
          <w:b/>
          <w:bCs/>
          <w:szCs w:val="24"/>
          <w:u w:val="single"/>
        </w:rPr>
        <w:t>SECTION EBC A401</w:t>
      </w:r>
      <w:r w:rsidRPr="001B7F77">
        <w:rPr>
          <w:rFonts w:eastAsia="Times"/>
          <w:b/>
          <w:bCs/>
          <w:szCs w:val="24"/>
          <w:u w:val="single"/>
        </w:rPr>
        <w:br/>
        <w:t>SCOPE</w:t>
      </w:r>
    </w:p>
    <w:p w14:paraId="5D659FFF" w14:textId="77777777" w:rsidR="001B7F77" w:rsidRPr="001B7F77" w:rsidRDefault="001B7F77" w:rsidP="001B7F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spacing w:before="120"/>
        <w:rPr>
          <w:rFonts w:ascii="Times" w:eastAsia="Times" w:hAnsi="Times" w:cs="Times"/>
          <w:bCs/>
          <w:color w:val="000000"/>
          <w:szCs w:val="24"/>
          <w:u w:val="single"/>
        </w:rPr>
      </w:pPr>
      <w:r w:rsidRPr="001B7F77">
        <w:rPr>
          <w:rFonts w:ascii="Times" w:eastAsia="Times" w:hAnsi="Times" w:cs="Times"/>
          <w:b/>
          <w:color w:val="000000"/>
          <w:szCs w:val="24"/>
          <w:u w:val="single"/>
        </w:rPr>
        <w:t xml:space="preserve">A401.1. Applicability. </w:t>
      </w:r>
      <w:r w:rsidRPr="001B7F77">
        <w:rPr>
          <w:rFonts w:ascii="Times" w:eastAsia="Times" w:hAnsi="Times" w:cs="Times"/>
          <w:bCs/>
          <w:color w:val="000000"/>
          <w:szCs w:val="24"/>
          <w:u w:val="single"/>
        </w:rPr>
        <w:t>The prescriptive provisions of this chapter may be applied without performing numerical calculations. The provisions of this Appendix are limited to the following conditions:</w:t>
      </w:r>
    </w:p>
    <w:p w14:paraId="1EB7E47D" w14:textId="77777777" w:rsidR="001B7F77" w:rsidRPr="001B7F77" w:rsidRDefault="001B7F77" w:rsidP="0001508F">
      <w:pPr>
        <w:numPr>
          <w:ilvl w:val="0"/>
          <w:numId w:val="32"/>
        </w:numPr>
        <w:suppressAutoHyphens/>
        <w:spacing w:before="120"/>
        <w:contextualSpacing/>
        <w:jc w:val="left"/>
        <w:rPr>
          <w:rFonts w:ascii="Times" w:eastAsia="Times" w:hAnsi="Times" w:cs="Times"/>
          <w:color w:val="000000"/>
          <w:szCs w:val="24"/>
          <w:u w:val="single"/>
        </w:rPr>
      </w:pPr>
      <w:r w:rsidRPr="001B7F77">
        <w:rPr>
          <w:rFonts w:ascii="Times" w:eastAsia="Times" w:hAnsi="Times" w:cs="Times"/>
          <w:color w:val="000000"/>
          <w:szCs w:val="24"/>
          <w:u w:val="single"/>
        </w:rPr>
        <w:t>Buildings of four stories or less.</w:t>
      </w:r>
    </w:p>
    <w:p w14:paraId="0FC543A3" w14:textId="77777777" w:rsidR="001B7F77" w:rsidRPr="001B7F77" w:rsidRDefault="001B7F77" w:rsidP="0001508F">
      <w:pPr>
        <w:numPr>
          <w:ilvl w:val="0"/>
          <w:numId w:val="32"/>
        </w:numPr>
        <w:suppressAutoHyphens/>
        <w:spacing w:before="120"/>
        <w:contextualSpacing/>
        <w:jc w:val="left"/>
        <w:rPr>
          <w:rFonts w:ascii="Times" w:eastAsia="Times" w:hAnsi="Times" w:cs="Times"/>
          <w:color w:val="000000"/>
          <w:szCs w:val="24"/>
          <w:u w:val="single"/>
        </w:rPr>
      </w:pPr>
      <w:r w:rsidRPr="001B7F77">
        <w:rPr>
          <w:rFonts w:ascii="Times" w:eastAsia="Times" w:hAnsi="Times" w:cs="Times"/>
          <w:color w:val="000000"/>
          <w:szCs w:val="24"/>
          <w:u w:val="single"/>
        </w:rPr>
        <w:t>The existing or proposed soft story occurs at only the lowest building level.</w:t>
      </w:r>
    </w:p>
    <w:p w14:paraId="1DC08ED9" w14:textId="77777777" w:rsidR="001B7F77" w:rsidRPr="001B7F77" w:rsidRDefault="001B7F77" w:rsidP="0001508F">
      <w:pPr>
        <w:numPr>
          <w:ilvl w:val="0"/>
          <w:numId w:val="32"/>
        </w:numPr>
        <w:suppressAutoHyphens/>
        <w:spacing w:before="120"/>
        <w:contextualSpacing/>
        <w:jc w:val="left"/>
        <w:rPr>
          <w:rFonts w:ascii="Times" w:eastAsia="Times" w:hAnsi="Times" w:cs="Times"/>
          <w:color w:val="000000"/>
          <w:szCs w:val="24"/>
          <w:u w:val="single"/>
        </w:rPr>
      </w:pPr>
      <w:r w:rsidRPr="001B7F77">
        <w:rPr>
          <w:rFonts w:ascii="Times" w:eastAsia="Times" w:hAnsi="Times" w:cs="Times"/>
          <w:color w:val="000000"/>
          <w:szCs w:val="24"/>
          <w:u w:val="single"/>
        </w:rPr>
        <w:t>The building is less than 40.5 feet (12,344 mm) tall from the ground level to the top of the parapet.</w:t>
      </w:r>
    </w:p>
    <w:p w14:paraId="7F34CB02" w14:textId="77777777" w:rsidR="001B7F77" w:rsidRPr="001B7F77" w:rsidRDefault="001B7F77" w:rsidP="0001508F">
      <w:pPr>
        <w:numPr>
          <w:ilvl w:val="0"/>
          <w:numId w:val="32"/>
        </w:numPr>
        <w:suppressAutoHyphens/>
        <w:spacing w:before="120"/>
        <w:contextualSpacing/>
        <w:jc w:val="left"/>
        <w:rPr>
          <w:rFonts w:ascii="Times" w:eastAsia="Times" w:hAnsi="Times" w:cs="Times"/>
          <w:color w:val="000000"/>
          <w:szCs w:val="24"/>
          <w:u w:val="single"/>
        </w:rPr>
      </w:pPr>
      <w:r w:rsidRPr="001B7F77">
        <w:rPr>
          <w:rFonts w:ascii="Times" w:eastAsia="Times" w:hAnsi="Times" w:cs="Times"/>
          <w:color w:val="000000"/>
          <w:szCs w:val="24"/>
          <w:u w:val="single"/>
        </w:rPr>
        <w:t xml:space="preserve">The building has a rectangular or approximately rectangular plan width by length footprint that varies within 20 feet by 60 feet (6,096 mm x 18,288 mm) to 25 feet by 85 feet (7,620 mm x 25,908 mm). </w:t>
      </w:r>
    </w:p>
    <w:p w14:paraId="275D0410" w14:textId="77777777" w:rsidR="001B7F77" w:rsidRPr="001B7F77" w:rsidRDefault="001B7F77" w:rsidP="0001508F">
      <w:pPr>
        <w:numPr>
          <w:ilvl w:val="0"/>
          <w:numId w:val="32"/>
        </w:numPr>
        <w:suppressAutoHyphens/>
        <w:spacing w:before="120"/>
        <w:contextualSpacing/>
        <w:jc w:val="left"/>
        <w:rPr>
          <w:rFonts w:ascii="Times" w:eastAsia="Times" w:hAnsi="Times" w:cs="Times"/>
          <w:color w:val="000000"/>
          <w:szCs w:val="24"/>
          <w:u w:val="single"/>
        </w:rPr>
      </w:pPr>
      <w:r w:rsidRPr="001B7F77">
        <w:rPr>
          <w:rFonts w:ascii="Times" w:eastAsia="Times" w:hAnsi="Times" w:cs="Times"/>
          <w:color w:val="000000"/>
          <w:szCs w:val="24"/>
          <w:u w:val="single"/>
        </w:rPr>
        <w:t>The soft story occurs on the shorter side of the rectangle.</w:t>
      </w:r>
    </w:p>
    <w:p w14:paraId="3671A8DD" w14:textId="77777777" w:rsidR="001B7F77" w:rsidRPr="001B7F77" w:rsidRDefault="001B7F77" w:rsidP="0001508F">
      <w:pPr>
        <w:numPr>
          <w:ilvl w:val="0"/>
          <w:numId w:val="32"/>
        </w:numPr>
        <w:suppressAutoHyphens/>
        <w:spacing w:before="120"/>
        <w:contextualSpacing/>
        <w:jc w:val="left"/>
        <w:rPr>
          <w:rFonts w:ascii="Times" w:eastAsia="Times" w:hAnsi="Times" w:cs="Times"/>
          <w:color w:val="000000"/>
          <w:szCs w:val="24"/>
          <w:u w:val="single"/>
        </w:rPr>
      </w:pPr>
      <w:r w:rsidRPr="001B7F77">
        <w:rPr>
          <w:rFonts w:ascii="Times" w:eastAsia="Times" w:hAnsi="Times" w:cs="Times"/>
          <w:color w:val="000000"/>
          <w:szCs w:val="24"/>
          <w:u w:val="single"/>
        </w:rPr>
        <w:t xml:space="preserve">The wall containing the soft story is solid masonry 12” (304.8 mm) thick. </w:t>
      </w:r>
    </w:p>
    <w:p w14:paraId="4167F1F7" w14:textId="77777777" w:rsidR="001B7F77" w:rsidRPr="001B7F77" w:rsidRDefault="001B7F77" w:rsidP="0001508F">
      <w:pPr>
        <w:numPr>
          <w:ilvl w:val="0"/>
          <w:numId w:val="32"/>
        </w:numPr>
        <w:suppressAutoHyphens/>
        <w:spacing w:before="120"/>
        <w:contextualSpacing/>
        <w:jc w:val="left"/>
        <w:rPr>
          <w:rFonts w:ascii="Times" w:eastAsia="Times" w:hAnsi="Times" w:cs="Times"/>
          <w:b/>
          <w:szCs w:val="24"/>
          <w:u w:val="single"/>
        </w:rPr>
      </w:pPr>
      <w:r w:rsidRPr="001B7F77">
        <w:rPr>
          <w:rFonts w:ascii="Times" w:eastAsia="Times" w:hAnsi="Times" w:cs="Times"/>
          <w:color w:val="000000"/>
          <w:szCs w:val="24"/>
          <w:u w:val="single"/>
        </w:rPr>
        <w:t xml:space="preserve">The typical floor of the building is wood framed construction. </w:t>
      </w:r>
    </w:p>
    <w:p w14:paraId="4BBA55BD" w14:textId="77777777" w:rsidR="001B7F77" w:rsidRPr="001B7F77" w:rsidRDefault="001B7F77" w:rsidP="001B7F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720"/>
        <w:contextualSpacing/>
        <w:rPr>
          <w:rFonts w:ascii="Times" w:eastAsia="Times" w:hAnsi="Times" w:cs="Times"/>
          <w:b/>
          <w:color w:val="000000"/>
          <w:szCs w:val="24"/>
          <w:u w:val="single"/>
        </w:rPr>
      </w:pPr>
    </w:p>
    <w:p w14:paraId="467818AA" w14:textId="77777777" w:rsidR="001B7F77" w:rsidRPr="001B7F77" w:rsidRDefault="001B7F77" w:rsidP="001B7F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contextualSpacing/>
        <w:rPr>
          <w:rFonts w:ascii="Times" w:eastAsia="Times" w:hAnsi="Times" w:cs="Times"/>
          <w:color w:val="000000"/>
          <w:szCs w:val="24"/>
          <w:u w:val="single"/>
        </w:rPr>
      </w:pPr>
      <w:r w:rsidRPr="001B7F77">
        <w:rPr>
          <w:rFonts w:ascii="Times" w:eastAsia="Times" w:hAnsi="Times" w:cs="Times"/>
          <w:b/>
          <w:bCs/>
          <w:color w:val="000000"/>
          <w:szCs w:val="24"/>
          <w:u w:val="single"/>
        </w:rPr>
        <w:t>A401.2</w:t>
      </w:r>
      <w:r w:rsidRPr="001B7F77">
        <w:rPr>
          <w:rFonts w:ascii="Times" w:eastAsia="Times" w:hAnsi="Times" w:cs="Times"/>
          <w:color w:val="000000"/>
          <w:szCs w:val="24"/>
          <w:u w:val="single"/>
        </w:rPr>
        <w:t xml:space="preserve">. </w:t>
      </w:r>
      <w:r w:rsidRPr="001B7F77">
        <w:rPr>
          <w:rFonts w:ascii="Times" w:eastAsia="Times" w:hAnsi="Times" w:cs="Times"/>
          <w:b/>
          <w:bCs/>
          <w:color w:val="000000"/>
          <w:szCs w:val="24"/>
          <w:u w:val="single"/>
        </w:rPr>
        <w:t>General.</w:t>
      </w:r>
      <w:r w:rsidRPr="001B7F77">
        <w:rPr>
          <w:rFonts w:ascii="Times" w:eastAsia="Times" w:hAnsi="Times" w:cs="Times"/>
          <w:color w:val="000000"/>
          <w:szCs w:val="24"/>
          <w:u w:val="single"/>
        </w:rPr>
        <w:t xml:space="preserve"> Provide prescriptive strengthening of the soft story per Section A402, or alternatively strengthen the soft story with the aid of a registered design professional following methods described in Chapter 7 of the </w:t>
      </w:r>
      <w:r w:rsidRPr="001B7F77">
        <w:rPr>
          <w:rFonts w:ascii="Times" w:eastAsia="Times" w:hAnsi="Times" w:cs="Times"/>
          <w:i/>
          <w:iCs/>
          <w:color w:val="000000"/>
          <w:szCs w:val="24"/>
          <w:u w:val="single"/>
        </w:rPr>
        <w:t>New York City Existing Building Code</w:t>
      </w:r>
      <w:r w:rsidRPr="001B7F77">
        <w:rPr>
          <w:rFonts w:ascii="Times" w:eastAsia="Times" w:hAnsi="Times" w:cs="Times"/>
          <w:color w:val="000000"/>
          <w:szCs w:val="24"/>
          <w:u w:val="single"/>
        </w:rPr>
        <w:t>.</w:t>
      </w:r>
    </w:p>
    <w:p w14:paraId="085705E8" w14:textId="77777777" w:rsidR="001B7F77" w:rsidRPr="001B7F77" w:rsidRDefault="001B7F77" w:rsidP="001B7F77">
      <w:pPr>
        <w:widowControl w:val="0"/>
        <w:suppressAutoHyphens/>
        <w:spacing w:before="120"/>
        <w:jc w:val="center"/>
        <w:outlineLvl w:val="0"/>
        <w:rPr>
          <w:rFonts w:eastAsia="Times"/>
          <w:b/>
          <w:bCs/>
          <w:szCs w:val="24"/>
          <w:u w:val="single"/>
        </w:rPr>
      </w:pPr>
    </w:p>
    <w:p w14:paraId="0D8A4816" w14:textId="77777777" w:rsidR="001B7F77" w:rsidRPr="001B7F77" w:rsidRDefault="001B7F77" w:rsidP="001B7F77">
      <w:pPr>
        <w:widowControl w:val="0"/>
        <w:suppressAutoHyphens/>
        <w:spacing w:before="120"/>
        <w:jc w:val="center"/>
        <w:outlineLvl w:val="0"/>
        <w:rPr>
          <w:rFonts w:eastAsia="Times"/>
          <w:b/>
          <w:bCs/>
          <w:szCs w:val="24"/>
          <w:u w:val="single"/>
        </w:rPr>
      </w:pPr>
      <w:r w:rsidRPr="001B7F77">
        <w:rPr>
          <w:rFonts w:eastAsia="Times"/>
          <w:b/>
          <w:bCs/>
          <w:szCs w:val="24"/>
          <w:u w:val="single"/>
        </w:rPr>
        <w:t>SECTION EBC A402</w:t>
      </w:r>
      <w:r w:rsidRPr="001B7F77">
        <w:rPr>
          <w:rFonts w:eastAsia="Times"/>
          <w:b/>
          <w:bCs/>
          <w:szCs w:val="24"/>
          <w:u w:val="single"/>
        </w:rPr>
        <w:br/>
        <w:t>PRESCRIPTIVE REQUIREMENTS</w:t>
      </w:r>
    </w:p>
    <w:p w14:paraId="0CFC2D51" w14:textId="77777777" w:rsidR="001B7F77" w:rsidRPr="001B7F77" w:rsidRDefault="001B7F77" w:rsidP="001B7F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spacing w:before="120"/>
        <w:ind w:left="2" w:hanging="2"/>
        <w:rPr>
          <w:rFonts w:ascii="Times" w:eastAsia="Times" w:hAnsi="Times" w:cs="Times"/>
          <w:szCs w:val="24"/>
          <w:u w:val="single"/>
        </w:rPr>
      </w:pPr>
      <w:r w:rsidRPr="001B7F77">
        <w:rPr>
          <w:rFonts w:ascii="Times" w:eastAsia="Times" w:hAnsi="Times" w:cs="Times"/>
          <w:b/>
          <w:szCs w:val="24"/>
          <w:u w:val="single"/>
        </w:rPr>
        <w:t xml:space="preserve">A402.1. General. </w:t>
      </w:r>
      <w:r w:rsidRPr="001B7F77">
        <w:rPr>
          <w:rFonts w:ascii="Times" w:eastAsia="Times" w:hAnsi="Times" w:cs="Times"/>
          <w:szCs w:val="24"/>
          <w:u w:val="single"/>
        </w:rPr>
        <w:t>A new steel moment frame shall be added at the soft story. The moment frame shall be located in the plane of the wall opening. The minimum permitted member sizes and connection details for the prescriptive steel posts and beams for the moment frame are shown in Figures A4-1 through A4-7.</w:t>
      </w:r>
    </w:p>
    <w:p w14:paraId="41632E2E" w14:textId="77777777" w:rsidR="001B7F77" w:rsidRPr="001B7F77" w:rsidRDefault="001B7F77" w:rsidP="001B7F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spacing w:before="120"/>
        <w:ind w:left="2" w:hanging="2"/>
        <w:rPr>
          <w:rFonts w:ascii="Times" w:eastAsia="Times" w:hAnsi="Times" w:cs="Times"/>
          <w:szCs w:val="24"/>
          <w:u w:val="single"/>
        </w:rPr>
      </w:pPr>
      <w:r w:rsidRPr="001B7F77">
        <w:rPr>
          <w:rFonts w:ascii="Times" w:eastAsia="Times" w:hAnsi="Times" w:cs="Times"/>
          <w:b/>
          <w:szCs w:val="24"/>
          <w:u w:val="single"/>
        </w:rPr>
        <w:t xml:space="preserve">A402.2. Beam-to-post moment connections. </w:t>
      </w:r>
      <w:r w:rsidRPr="001B7F77">
        <w:rPr>
          <w:rFonts w:ascii="Times" w:eastAsia="Times" w:hAnsi="Times" w:cs="Times"/>
          <w:szCs w:val="24"/>
          <w:u w:val="single"/>
        </w:rPr>
        <w:t>All connections between beams and posts in the moment frame shall be able to develop moment resistance in the connected beams and post ends per Figures A4-4 and A4-5.</w:t>
      </w:r>
    </w:p>
    <w:p w14:paraId="14EF6591" w14:textId="77777777" w:rsidR="001B7F77" w:rsidRPr="001B7F77" w:rsidRDefault="001B7F77" w:rsidP="001B7F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spacing w:before="120"/>
        <w:ind w:left="2" w:hanging="2"/>
        <w:rPr>
          <w:rFonts w:ascii="Times" w:eastAsia="Times" w:hAnsi="Times" w:cs="Times"/>
          <w:szCs w:val="24"/>
          <w:u w:val="single"/>
        </w:rPr>
      </w:pPr>
      <w:r w:rsidRPr="001B7F77">
        <w:rPr>
          <w:rFonts w:ascii="Times" w:eastAsia="Times" w:hAnsi="Times" w:cs="Times"/>
          <w:b/>
          <w:szCs w:val="24"/>
          <w:u w:val="single"/>
        </w:rPr>
        <w:t xml:space="preserve">A402.3. Post base plates. </w:t>
      </w:r>
      <w:r w:rsidRPr="001B7F77">
        <w:rPr>
          <w:rFonts w:ascii="Times" w:eastAsia="Times" w:hAnsi="Times" w:cs="Times"/>
          <w:bCs/>
          <w:szCs w:val="24"/>
          <w:u w:val="single"/>
        </w:rPr>
        <w:t>P</w:t>
      </w:r>
      <w:r w:rsidRPr="001B7F77">
        <w:rPr>
          <w:rFonts w:ascii="Times" w:eastAsia="Times" w:hAnsi="Times" w:cs="Times"/>
          <w:szCs w:val="24"/>
          <w:u w:val="single"/>
        </w:rPr>
        <w:t>osts shall be anchored to the existing foundation wall with base plates and adhesive anchors. The base plate connection detail shall comply with Figure A4-1 and A4-7.</w:t>
      </w:r>
    </w:p>
    <w:p w14:paraId="3F1830C3" w14:textId="77777777" w:rsidR="001B7F77" w:rsidRPr="001B7F77" w:rsidRDefault="001B7F77" w:rsidP="001B7F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spacing w:before="120"/>
        <w:ind w:left="2" w:hanging="2"/>
        <w:rPr>
          <w:rFonts w:ascii="Times" w:eastAsia="Times" w:hAnsi="Times" w:cs="Times"/>
          <w:szCs w:val="24"/>
          <w:u w:val="single"/>
        </w:rPr>
      </w:pPr>
      <w:r w:rsidRPr="001B7F77">
        <w:rPr>
          <w:rFonts w:ascii="Times" w:eastAsia="Times" w:hAnsi="Times" w:cs="Times"/>
          <w:b/>
          <w:szCs w:val="24"/>
          <w:u w:val="single"/>
        </w:rPr>
        <w:t xml:space="preserve">A402.4 Connections of existing walls to new posts. </w:t>
      </w:r>
      <w:r w:rsidRPr="001B7F77">
        <w:rPr>
          <w:rFonts w:ascii="Times" w:eastAsia="Times" w:hAnsi="Times" w:cs="Times"/>
          <w:szCs w:val="24"/>
          <w:u w:val="single"/>
        </w:rPr>
        <w:t>The existing walls adjacent to new posts shall be anchored to the new posts per Figure A4-1 and A4-6. Additional requirements of the post-installed anchor manufacturer shall apply.</w:t>
      </w:r>
    </w:p>
    <w:p w14:paraId="1E136E73" w14:textId="77777777" w:rsidR="001B7F77" w:rsidRPr="001B7F77" w:rsidRDefault="001B7F77" w:rsidP="001B7F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spacing w:before="120"/>
        <w:ind w:left="2" w:hanging="2"/>
        <w:rPr>
          <w:rFonts w:ascii="Times" w:eastAsia="Times" w:hAnsi="Times" w:cs="Times"/>
          <w:szCs w:val="24"/>
          <w:u w:val="single"/>
        </w:rPr>
      </w:pPr>
      <w:r w:rsidRPr="001B7F77">
        <w:rPr>
          <w:rFonts w:ascii="Times" w:eastAsia="Times" w:hAnsi="Times" w:cs="Times"/>
          <w:b/>
          <w:bCs/>
          <w:szCs w:val="24"/>
          <w:u w:val="single"/>
        </w:rPr>
        <w:t xml:space="preserve">A402.5 Other applicable requirements of the </w:t>
      </w:r>
      <w:r w:rsidRPr="001B7F77">
        <w:rPr>
          <w:rFonts w:ascii="Times" w:eastAsia="Times" w:hAnsi="Times" w:cs="Times"/>
          <w:b/>
          <w:bCs/>
          <w:i/>
          <w:iCs/>
          <w:szCs w:val="24"/>
          <w:u w:val="single"/>
        </w:rPr>
        <w:t>New York City Building Code</w:t>
      </w:r>
      <w:r w:rsidRPr="001B7F77">
        <w:rPr>
          <w:rFonts w:ascii="Times" w:eastAsia="Times" w:hAnsi="Times" w:cs="Times"/>
          <w:b/>
          <w:bCs/>
          <w:szCs w:val="24"/>
          <w:u w:val="single"/>
        </w:rPr>
        <w:t xml:space="preserve">. </w:t>
      </w:r>
      <w:r w:rsidRPr="001B7F77">
        <w:rPr>
          <w:rFonts w:ascii="Times" w:eastAsia="Times" w:hAnsi="Times" w:cs="Times"/>
          <w:szCs w:val="24"/>
          <w:u w:val="single"/>
        </w:rPr>
        <w:t xml:space="preserve">The use of the prescriptive solution for a soft story does not preclude adherence to other applicable provisions of the </w:t>
      </w:r>
      <w:r w:rsidRPr="001B7F77">
        <w:rPr>
          <w:rFonts w:ascii="Times" w:eastAsia="Times" w:hAnsi="Times" w:cs="Times"/>
          <w:i/>
          <w:iCs/>
          <w:szCs w:val="24"/>
          <w:u w:val="single"/>
        </w:rPr>
        <w:t>New York City Building Code,</w:t>
      </w:r>
      <w:r w:rsidRPr="001B7F77">
        <w:rPr>
          <w:rFonts w:ascii="Times" w:eastAsia="Times" w:hAnsi="Times" w:cs="Times"/>
          <w:szCs w:val="24"/>
          <w:u w:val="single"/>
        </w:rPr>
        <w:t xml:space="preserve"> including special inspections and fire resistance, weather protection, as well as maintaining stability of the building during construction by means of temporary shoring and/or bracing.</w:t>
      </w:r>
    </w:p>
    <w:p w14:paraId="6A8101CC" w14:textId="77777777" w:rsidR="001B7F77" w:rsidRPr="001B7F77" w:rsidRDefault="001B7F77" w:rsidP="001B7F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spacing w:before="120"/>
        <w:ind w:left="2" w:hanging="2"/>
        <w:rPr>
          <w:rFonts w:ascii="Times" w:eastAsia="Times" w:hAnsi="Times" w:cs="Times"/>
          <w:szCs w:val="24"/>
          <w:u w:val="single"/>
        </w:rPr>
      </w:pPr>
    </w:p>
    <w:p w14:paraId="722EEF02" w14:textId="77777777" w:rsidR="001B7F77" w:rsidRPr="001B7F77" w:rsidRDefault="001B7F77" w:rsidP="001B7F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spacing w:before="120"/>
        <w:ind w:left="2" w:hanging="2"/>
        <w:rPr>
          <w:rFonts w:eastAsia="Times"/>
          <w:szCs w:val="24"/>
          <w:u w:val="single"/>
        </w:rPr>
      </w:pPr>
      <w:r w:rsidRPr="001B7F77">
        <w:rPr>
          <w:rFonts w:eastAsia="Times"/>
          <w:noProof/>
          <w:szCs w:val="24"/>
        </w:rPr>
        <w:drawing>
          <wp:inline distT="0" distB="0" distL="0" distR="0" wp14:anchorId="5DF2223A" wp14:editId="2D17E656">
            <wp:extent cx="5943600" cy="7324725"/>
            <wp:effectExtent l="0" t="0" r="0" b="9525"/>
            <wp:docPr id="7" name="Picture 7" descr="A blueprint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blueprint of a building&#10;&#10;Description automatically generated"/>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943600" cy="7324725"/>
                    </a:xfrm>
                    <a:prstGeom prst="rect">
                      <a:avLst/>
                    </a:prstGeom>
                    <a:noFill/>
                    <a:ln>
                      <a:noFill/>
                    </a:ln>
                  </pic:spPr>
                </pic:pic>
              </a:graphicData>
            </a:graphic>
          </wp:inline>
        </w:drawing>
      </w:r>
    </w:p>
    <w:p w14:paraId="0D942241" w14:textId="77777777" w:rsidR="001B7F77" w:rsidRPr="001B7F77" w:rsidRDefault="001B7F77" w:rsidP="001B7F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spacing w:before="120"/>
        <w:ind w:left="2" w:hanging="2"/>
        <w:rPr>
          <w:rFonts w:ascii="Calibri" w:eastAsia="Calibri" w:hAnsi="Calibri" w:cs="Calibri"/>
          <w:noProof/>
          <w:u w:val="single"/>
        </w:rPr>
      </w:pPr>
      <w:r w:rsidRPr="001B7F77">
        <w:rPr>
          <w:rFonts w:eastAsia="Times"/>
          <w:noProof/>
          <w:szCs w:val="24"/>
        </w:rPr>
        <w:drawing>
          <wp:inline distT="0" distB="0" distL="0" distR="0" wp14:anchorId="08EC2DDD" wp14:editId="67A828BC">
            <wp:extent cx="5943600" cy="7496175"/>
            <wp:effectExtent l="0" t="0" r="0" b="9525"/>
            <wp:docPr id="6" name="Picture 6" descr="A list of instructions for a construction 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ist of instructions for a construction site&#10;&#10;Description automatically generated"/>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943600" cy="7496175"/>
                    </a:xfrm>
                    <a:prstGeom prst="rect">
                      <a:avLst/>
                    </a:prstGeom>
                    <a:noFill/>
                    <a:ln>
                      <a:noFill/>
                    </a:ln>
                  </pic:spPr>
                </pic:pic>
              </a:graphicData>
            </a:graphic>
          </wp:inline>
        </w:drawing>
      </w:r>
      <w:r w:rsidRPr="001B7F77">
        <w:rPr>
          <w:noProof/>
          <w:u w:val="single"/>
        </w:rPr>
        <w:t xml:space="preserve"> </w:t>
      </w:r>
      <w:r w:rsidRPr="001B7F77">
        <w:rPr>
          <w:rFonts w:eastAsia="Times"/>
          <w:noProof/>
          <w:szCs w:val="24"/>
        </w:rPr>
        <w:drawing>
          <wp:inline distT="0" distB="0" distL="0" distR="0" wp14:anchorId="392FB001" wp14:editId="757FEBEE">
            <wp:extent cx="5943600" cy="7315200"/>
            <wp:effectExtent l="0" t="0" r="0" b="0"/>
            <wp:docPr id="5" name="Picture 5" descr="A diagram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diagram of a building&#10;&#10;Description automatically generated"/>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943600" cy="7315200"/>
                    </a:xfrm>
                    <a:prstGeom prst="rect">
                      <a:avLst/>
                    </a:prstGeom>
                    <a:noFill/>
                    <a:ln>
                      <a:noFill/>
                    </a:ln>
                  </pic:spPr>
                </pic:pic>
              </a:graphicData>
            </a:graphic>
          </wp:inline>
        </w:drawing>
      </w:r>
    </w:p>
    <w:p w14:paraId="06F2DB47" w14:textId="77777777" w:rsidR="001B7F77" w:rsidRPr="001B7F77" w:rsidRDefault="001B7F77" w:rsidP="001B7F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spacing w:before="120"/>
        <w:ind w:left="2" w:hanging="2"/>
        <w:rPr>
          <w:rFonts w:eastAsia="Times"/>
          <w:szCs w:val="24"/>
          <w:u w:val="single"/>
        </w:rPr>
      </w:pPr>
      <w:r w:rsidRPr="001B7F77">
        <w:rPr>
          <w:rFonts w:eastAsia="Times"/>
          <w:noProof/>
          <w:szCs w:val="24"/>
        </w:rPr>
        <w:drawing>
          <wp:inline distT="0" distB="0" distL="0" distR="0" wp14:anchorId="478AF3EF" wp14:editId="38BCF603">
            <wp:extent cx="5943600" cy="7343775"/>
            <wp:effectExtent l="0" t="0" r="0" b="9525"/>
            <wp:docPr id="4" name="Picture 4" descr="A diagram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diagram of a building&#10;&#10;Description automatically generated"/>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943600" cy="7343775"/>
                    </a:xfrm>
                    <a:prstGeom prst="rect">
                      <a:avLst/>
                    </a:prstGeom>
                    <a:noFill/>
                    <a:ln>
                      <a:noFill/>
                    </a:ln>
                  </pic:spPr>
                </pic:pic>
              </a:graphicData>
            </a:graphic>
          </wp:inline>
        </w:drawing>
      </w:r>
    </w:p>
    <w:p w14:paraId="2DD2E718" w14:textId="77777777" w:rsidR="001B7F77" w:rsidRPr="001B7F77" w:rsidRDefault="001B7F77" w:rsidP="001B7F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spacing w:before="120"/>
        <w:ind w:left="2" w:hanging="2"/>
        <w:rPr>
          <w:rFonts w:eastAsia="Times"/>
          <w:szCs w:val="24"/>
          <w:u w:val="single"/>
        </w:rPr>
      </w:pPr>
      <w:r w:rsidRPr="001B7F77">
        <w:rPr>
          <w:rFonts w:eastAsia="Times"/>
          <w:noProof/>
          <w:szCs w:val="24"/>
        </w:rPr>
        <w:drawing>
          <wp:inline distT="0" distB="0" distL="0" distR="0" wp14:anchorId="443690EE" wp14:editId="7C62CB01">
            <wp:extent cx="5943600" cy="6657975"/>
            <wp:effectExtent l="0" t="0" r="0" b="9525"/>
            <wp:docPr id="3" name="Picture 3" descr="A diagram of a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diagram of a wall&#10;&#10;Description automatically generated"/>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943600" cy="6657975"/>
                    </a:xfrm>
                    <a:prstGeom prst="rect">
                      <a:avLst/>
                    </a:prstGeom>
                    <a:noFill/>
                    <a:ln>
                      <a:noFill/>
                    </a:ln>
                  </pic:spPr>
                </pic:pic>
              </a:graphicData>
            </a:graphic>
          </wp:inline>
        </w:drawing>
      </w:r>
    </w:p>
    <w:p w14:paraId="0EF85552" w14:textId="77777777" w:rsidR="001B7F77" w:rsidRPr="001B7F77" w:rsidRDefault="001B7F77" w:rsidP="001B7F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spacing w:before="120"/>
        <w:ind w:left="2" w:hanging="2"/>
        <w:rPr>
          <w:u w:val="single"/>
        </w:rPr>
        <w:sectPr w:rsidR="001B7F77" w:rsidRPr="001B7F77" w:rsidSect="001B7F77">
          <w:footerReference w:type="default" r:id="rId89"/>
          <w:pgSz w:w="12240" w:h="15840"/>
          <w:pgMar w:top="1440" w:right="1440" w:bottom="1440" w:left="1440" w:header="720" w:footer="720" w:gutter="0"/>
          <w:lnNumType w:countBy="1"/>
          <w:cols w:space="720"/>
          <w:docGrid w:linePitch="360"/>
        </w:sectPr>
      </w:pPr>
      <w:r w:rsidRPr="001B7F77">
        <w:rPr>
          <w:rFonts w:eastAsia="Times"/>
          <w:noProof/>
          <w:szCs w:val="24"/>
        </w:rPr>
        <w:drawing>
          <wp:inline distT="0" distB="0" distL="0" distR="0" wp14:anchorId="7512EFAE" wp14:editId="7281CC09">
            <wp:extent cx="5943600" cy="7648575"/>
            <wp:effectExtent l="0" t="0" r="0" b="9525"/>
            <wp:docPr id="2" name="Picture 2" descr="A close-up of a bluepr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up of a blueprint&#10;&#10;Description automatically generated"/>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943600" cy="7648575"/>
                    </a:xfrm>
                    <a:prstGeom prst="rect">
                      <a:avLst/>
                    </a:prstGeom>
                    <a:noFill/>
                    <a:ln>
                      <a:noFill/>
                    </a:ln>
                  </pic:spPr>
                </pic:pic>
              </a:graphicData>
            </a:graphic>
          </wp:inline>
        </w:drawing>
      </w:r>
    </w:p>
    <w:p w14:paraId="67EDD6D8" w14:textId="77777777" w:rsidR="001B7F77" w:rsidRPr="001B7F77" w:rsidRDefault="001B7F77" w:rsidP="001B7F77">
      <w:pPr>
        <w:suppressAutoHyphens/>
        <w:spacing w:before="120"/>
        <w:jc w:val="center"/>
        <w:rPr>
          <w:rFonts w:eastAsia="Times"/>
          <w:b/>
          <w:u w:val="single"/>
        </w:rPr>
      </w:pPr>
      <w:r w:rsidRPr="001B7F77">
        <w:rPr>
          <w:rFonts w:eastAsia="Times"/>
          <w:b/>
          <w:u w:val="single"/>
        </w:rPr>
        <w:t>APPENDIX D</w:t>
      </w:r>
      <w:r w:rsidRPr="001B7F77">
        <w:rPr>
          <w:rFonts w:eastAsia="Times"/>
          <w:b/>
          <w:u w:val="single"/>
        </w:rPr>
        <w:br/>
      </w:r>
      <w:bookmarkStart w:id="232" w:name="_heading=h.dgx2lmmmncjy" w:colFirst="0" w:colLast="0"/>
      <w:bookmarkEnd w:id="232"/>
      <w:r w:rsidRPr="001B7F77">
        <w:rPr>
          <w:rFonts w:eastAsia="Times"/>
          <w:b/>
          <w:u w:val="single"/>
        </w:rPr>
        <w:t>MULTIPLE DWELLINGS</w:t>
      </w:r>
    </w:p>
    <w:p w14:paraId="2A58152E" w14:textId="77777777" w:rsidR="001B7F77" w:rsidRPr="001B7F77" w:rsidRDefault="001B7F77" w:rsidP="001B7F77">
      <w:pPr>
        <w:suppressAutoHyphens/>
        <w:spacing w:before="120"/>
        <w:rPr>
          <w:rFonts w:eastAsia="Times"/>
          <w:b/>
          <w:u w:val="single"/>
        </w:rPr>
      </w:pPr>
      <w:r w:rsidRPr="001B7F77">
        <w:rPr>
          <w:rFonts w:eastAsia="Times"/>
          <w:b/>
          <w:u w:val="single"/>
        </w:rPr>
        <w:t xml:space="preserve">Table of Contents </w:t>
      </w:r>
    </w:p>
    <w:p w14:paraId="10315118" w14:textId="77777777" w:rsidR="001B7F77" w:rsidRPr="001B7F77" w:rsidRDefault="001B7F77" w:rsidP="001B7F77">
      <w:pPr>
        <w:suppressAutoHyphens/>
        <w:spacing w:before="120"/>
        <w:rPr>
          <w:rFonts w:eastAsia="Times"/>
          <w:u w:val="single"/>
        </w:rPr>
      </w:pPr>
      <w:bookmarkStart w:id="233" w:name="_heading=h.g8ja2kpn0lqj" w:colFirst="0" w:colLast="0"/>
      <w:bookmarkEnd w:id="233"/>
      <w:r w:rsidRPr="001B7F77">
        <w:rPr>
          <w:rFonts w:eastAsia="Times"/>
          <w:u w:val="single"/>
        </w:rPr>
        <w:t>Chapter D1</w:t>
      </w:r>
      <w:r w:rsidRPr="001B7F77">
        <w:rPr>
          <w:rFonts w:eastAsia="Times"/>
          <w:u w:val="single"/>
        </w:rPr>
        <w:tab/>
        <w:t>General</w:t>
      </w:r>
    </w:p>
    <w:p w14:paraId="4F00AEDB" w14:textId="77777777" w:rsidR="001B7F77" w:rsidRPr="001B7F77" w:rsidRDefault="001B7F77" w:rsidP="001B7F77">
      <w:pPr>
        <w:suppressAutoHyphens/>
        <w:spacing w:before="120"/>
        <w:rPr>
          <w:rFonts w:eastAsia="Times"/>
          <w:u w:val="single"/>
        </w:rPr>
      </w:pPr>
      <w:r w:rsidRPr="001B7F77">
        <w:rPr>
          <w:rFonts w:eastAsia="Times"/>
          <w:u w:val="single"/>
        </w:rPr>
        <w:t>Chapter D2</w:t>
      </w:r>
      <w:r w:rsidRPr="001B7F77">
        <w:rPr>
          <w:rFonts w:eastAsia="Times"/>
          <w:u w:val="single"/>
        </w:rPr>
        <w:tab/>
        <w:t>Definitions</w:t>
      </w:r>
    </w:p>
    <w:p w14:paraId="6840D6AE" w14:textId="77777777" w:rsidR="001B7F77" w:rsidRPr="001B7F77" w:rsidRDefault="001B7F77" w:rsidP="001B7F77">
      <w:pPr>
        <w:suppressAutoHyphens/>
        <w:spacing w:before="120"/>
        <w:rPr>
          <w:rFonts w:eastAsia="Times"/>
          <w:u w:val="single"/>
        </w:rPr>
      </w:pPr>
      <w:r w:rsidRPr="001B7F77">
        <w:rPr>
          <w:rFonts w:eastAsia="Times"/>
          <w:u w:val="single"/>
        </w:rPr>
        <w:t>Chapter D3</w:t>
      </w:r>
      <w:r w:rsidRPr="001B7F77">
        <w:rPr>
          <w:rFonts w:eastAsia="Times"/>
          <w:u w:val="single"/>
        </w:rPr>
        <w:tab/>
        <w:t>General Provisions for all Multiple Dwellings (MDL Articles 2 and 3)</w:t>
      </w:r>
    </w:p>
    <w:p w14:paraId="1A78CA39" w14:textId="77777777" w:rsidR="001B7F77" w:rsidRPr="001B7F77" w:rsidRDefault="001B7F77" w:rsidP="001B7F77">
      <w:pPr>
        <w:suppressAutoHyphens/>
        <w:spacing w:before="120"/>
        <w:rPr>
          <w:rFonts w:eastAsia="Times"/>
          <w:u w:val="single"/>
        </w:rPr>
      </w:pPr>
      <w:r w:rsidRPr="001B7F77">
        <w:rPr>
          <w:rFonts w:eastAsia="Times"/>
          <w:u w:val="single"/>
        </w:rPr>
        <w:t>Chapter D4</w:t>
      </w:r>
      <w:r w:rsidRPr="001B7F77">
        <w:rPr>
          <w:rFonts w:eastAsia="Times"/>
          <w:u w:val="single"/>
        </w:rPr>
        <w:tab/>
        <w:t>Pre-1968 Hereafter Erected Fireproof Multiple Dwellings (MDL Article 4)</w:t>
      </w:r>
    </w:p>
    <w:p w14:paraId="26F2AD99" w14:textId="77777777" w:rsidR="001B7F77" w:rsidRPr="001B7F77" w:rsidRDefault="001B7F77" w:rsidP="001B7F77">
      <w:pPr>
        <w:suppressAutoHyphens/>
        <w:spacing w:before="120"/>
        <w:rPr>
          <w:rFonts w:eastAsia="Times"/>
          <w:u w:val="single"/>
        </w:rPr>
      </w:pPr>
      <w:r w:rsidRPr="001B7F77">
        <w:rPr>
          <w:rFonts w:eastAsia="Times"/>
          <w:u w:val="single"/>
        </w:rPr>
        <w:t>Chapter D5</w:t>
      </w:r>
      <w:r w:rsidRPr="001B7F77">
        <w:rPr>
          <w:rFonts w:eastAsia="Times"/>
          <w:u w:val="single"/>
        </w:rPr>
        <w:tab/>
        <w:t>Pre-1968 Hereafter Erected Non-fireproof Multiple Dwellings (MDL Article 5)</w:t>
      </w:r>
    </w:p>
    <w:p w14:paraId="46FA8599" w14:textId="77777777" w:rsidR="001B7F77" w:rsidRPr="001B7F77" w:rsidRDefault="001B7F77" w:rsidP="001B7F77">
      <w:pPr>
        <w:suppressAutoHyphens/>
        <w:spacing w:before="120"/>
        <w:rPr>
          <w:rFonts w:eastAsia="Times"/>
          <w:u w:val="single"/>
        </w:rPr>
      </w:pPr>
      <w:r w:rsidRPr="001B7F77">
        <w:rPr>
          <w:rFonts w:eastAsia="Times"/>
          <w:u w:val="single"/>
        </w:rPr>
        <w:t>Chapter D6</w:t>
      </w:r>
      <w:r w:rsidRPr="001B7F77">
        <w:rPr>
          <w:rFonts w:eastAsia="Times"/>
          <w:u w:val="single"/>
        </w:rPr>
        <w:tab/>
        <w:t>Converted Dwellings (MDL Article 6)</w:t>
      </w:r>
    </w:p>
    <w:p w14:paraId="13E40F35" w14:textId="77777777" w:rsidR="001B7F77" w:rsidRPr="001B7F77" w:rsidRDefault="001B7F77" w:rsidP="001B7F77">
      <w:pPr>
        <w:suppressAutoHyphens/>
        <w:spacing w:before="120"/>
        <w:rPr>
          <w:rFonts w:eastAsia="Times"/>
          <w:u w:val="single"/>
        </w:rPr>
      </w:pPr>
      <w:r w:rsidRPr="001B7F77">
        <w:rPr>
          <w:rFonts w:eastAsia="Times"/>
          <w:u w:val="single"/>
        </w:rPr>
        <w:t>Chapter D7</w:t>
      </w:r>
      <w:r w:rsidRPr="001B7F77">
        <w:rPr>
          <w:rFonts w:eastAsia="Times"/>
          <w:u w:val="single"/>
        </w:rPr>
        <w:tab/>
        <w:t>Tenements (MDL Article 7)</w:t>
      </w:r>
    </w:p>
    <w:p w14:paraId="2F2828D1" w14:textId="77777777" w:rsidR="001B7F77" w:rsidRPr="001B7F77" w:rsidRDefault="001B7F77" w:rsidP="001B7F77">
      <w:pPr>
        <w:suppressAutoHyphens/>
        <w:spacing w:before="120"/>
        <w:ind w:left="1440" w:hanging="1440"/>
        <w:rPr>
          <w:rFonts w:eastAsia="Times"/>
          <w:u w:val="single"/>
        </w:rPr>
      </w:pPr>
      <w:r w:rsidRPr="001B7F77">
        <w:rPr>
          <w:rFonts w:eastAsia="Times"/>
          <w:u w:val="single"/>
        </w:rPr>
        <w:t>Chapter D8</w:t>
      </w:r>
      <w:r w:rsidRPr="001B7F77">
        <w:rPr>
          <w:rFonts w:eastAsia="Times"/>
          <w:u w:val="single"/>
        </w:rPr>
        <w:tab/>
        <w:t>RESERVED</w:t>
      </w:r>
    </w:p>
    <w:p w14:paraId="32B2951F" w14:textId="77777777" w:rsidR="001B7F77" w:rsidRPr="001B7F77" w:rsidRDefault="001B7F77" w:rsidP="001B7F77">
      <w:pPr>
        <w:suppressAutoHyphens/>
        <w:spacing w:before="120"/>
        <w:rPr>
          <w:rFonts w:eastAsia="Times"/>
          <w:u w:val="single"/>
        </w:rPr>
      </w:pPr>
      <w:r w:rsidRPr="001B7F77">
        <w:rPr>
          <w:rFonts w:eastAsia="Times"/>
          <w:u w:val="single"/>
        </w:rPr>
        <w:t>Chapter D9</w:t>
      </w:r>
      <w:r w:rsidRPr="001B7F77">
        <w:rPr>
          <w:rFonts w:eastAsia="Times"/>
          <w:u w:val="single"/>
        </w:rPr>
        <w:tab/>
        <w:t>Lodging Houses (MDL 66)</w:t>
      </w:r>
    </w:p>
    <w:p w14:paraId="080F8CC6" w14:textId="77777777" w:rsidR="001B7F77" w:rsidRPr="001B7F77" w:rsidRDefault="001B7F77" w:rsidP="001B7F77">
      <w:pPr>
        <w:suppressAutoHyphens/>
        <w:spacing w:before="120"/>
        <w:ind w:left="1440" w:hanging="1440"/>
        <w:rPr>
          <w:rFonts w:eastAsia="Times"/>
          <w:b/>
          <w:u w:val="single"/>
        </w:rPr>
      </w:pPr>
      <w:r w:rsidRPr="001B7F77">
        <w:rPr>
          <w:rFonts w:eastAsia="Times"/>
          <w:u w:val="single"/>
        </w:rPr>
        <w:t>Chapter D10</w:t>
      </w:r>
      <w:r w:rsidRPr="001B7F77">
        <w:rPr>
          <w:rFonts w:eastAsia="Times"/>
          <w:u w:val="single"/>
        </w:rPr>
        <w:tab/>
        <w:t>Heretofore Erected Existing Class A and Class B Multiple Dwellings and certain Hereafter Erected Class B Multiple Dwellings (MDL 67)</w:t>
      </w:r>
    </w:p>
    <w:p w14:paraId="5798387B" w14:textId="77777777" w:rsidR="001B7F77" w:rsidRPr="001B7F77" w:rsidRDefault="001B7F77" w:rsidP="001B7F77">
      <w:pPr>
        <w:pBdr>
          <w:top w:val="nil"/>
          <w:left w:val="nil"/>
          <w:bottom w:val="nil"/>
          <w:right w:val="nil"/>
          <w:between w:val="nil"/>
        </w:pBdr>
        <w:suppressAutoHyphens/>
        <w:spacing w:before="120"/>
        <w:jc w:val="center"/>
        <w:rPr>
          <w:rFonts w:eastAsia="Times"/>
          <w:b/>
          <w:color w:val="000000"/>
          <w:u w:val="single"/>
        </w:rPr>
      </w:pPr>
      <w:bookmarkStart w:id="234" w:name="_heading=h.4y2doso9lklf" w:colFirst="0" w:colLast="0"/>
      <w:bookmarkStart w:id="235" w:name="_Hlk80604427"/>
      <w:bookmarkEnd w:id="234"/>
      <w:r w:rsidRPr="001B7F77">
        <w:rPr>
          <w:rFonts w:eastAsia="Times"/>
          <w:b/>
          <w:color w:val="000000"/>
          <w:u w:val="single"/>
        </w:rPr>
        <w:t>CHAPTER D1</w:t>
      </w:r>
      <w:r w:rsidRPr="001B7F77">
        <w:rPr>
          <w:rFonts w:eastAsia="Times"/>
          <w:b/>
          <w:color w:val="000000"/>
          <w:u w:val="single"/>
        </w:rPr>
        <w:br/>
        <w:t>GENERAL</w:t>
      </w:r>
    </w:p>
    <w:p w14:paraId="05BBBB80" w14:textId="77777777" w:rsidR="001B7F77" w:rsidRPr="001B7F77" w:rsidRDefault="001B7F77" w:rsidP="001B7F77">
      <w:pPr>
        <w:pBdr>
          <w:top w:val="nil"/>
          <w:left w:val="nil"/>
          <w:bottom w:val="nil"/>
          <w:right w:val="nil"/>
          <w:between w:val="nil"/>
        </w:pBdr>
        <w:suppressAutoHyphens/>
        <w:spacing w:before="120"/>
        <w:rPr>
          <w:rFonts w:eastAsia="Times"/>
          <w:color w:val="000000"/>
          <w:u w:val="single"/>
        </w:rPr>
      </w:pPr>
      <w:r w:rsidRPr="001B7F77">
        <w:rPr>
          <w:rFonts w:eastAsia="Times"/>
          <w:b/>
          <w:bCs/>
          <w:u w:val="single"/>
        </w:rPr>
        <w:t xml:space="preserve">D101 Purpose. </w:t>
      </w:r>
      <w:r w:rsidRPr="001B7F77">
        <w:rPr>
          <w:rFonts w:eastAsia="Times"/>
          <w:u w:val="single"/>
        </w:rPr>
        <w:t xml:space="preserve">The purpose of this appendix is to supplement the </w:t>
      </w:r>
      <w:r w:rsidRPr="001B7F77">
        <w:rPr>
          <w:rFonts w:eastAsia="Times"/>
          <w:i/>
          <w:iCs/>
          <w:u w:val="single"/>
        </w:rPr>
        <w:t>New York City Existing Building Code</w:t>
      </w:r>
      <w:r w:rsidRPr="001B7F77">
        <w:rPr>
          <w:rFonts w:eastAsia="Times"/>
          <w:u w:val="single"/>
        </w:rPr>
        <w:t xml:space="preserve"> by establishing certain minimum standards for the alteration, addition, repair, change of occupancy and relocation of existing buildings that are multiple dwellings or are to be converted to multiple dwellings. These supplemental standards are in addition to all applicable requirements of Chapters 1 through 15 of this code.</w:t>
      </w:r>
    </w:p>
    <w:p w14:paraId="0E14D7CC" w14:textId="77777777" w:rsidR="001B7F77" w:rsidRPr="001B7F77" w:rsidRDefault="001B7F77" w:rsidP="001B7F77">
      <w:pPr>
        <w:pBdr>
          <w:top w:val="nil"/>
          <w:left w:val="nil"/>
          <w:bottom w:val="nil"/>
          <w:right w:val="nil"/>
          <w:between w:val="nil"/>
        </w:pBdr>
        <w:suppressAutoHyphens/>
        <w:spacing w:before="120"/>
        <w:ind w:left="360"/>
        <w:rPr>
          <w:rFonts w:eastAsia="Times"/>
          <w:color w:val="000000"/>
          <w:u w:val="single"/>
        </w:rPr>
      </w:pPr>
      <w:r w:rsidRPr="001B7F77">
        <w:rPr>
          <w:rFonts w:eastAsia="Times"/>
          <w:b/>
          <w:color w:val="000000"/>
          <w:u w:val="single"/>
        </w:rPr>
        <w:t>D101.1 Multiple Dwelling Law.</w:t>
      </w:r>
      <w:r w:rsidRPr="001B7F77">
        <w:rPr>
          <w:rFonts w:eastAsia="Times"/>
          <w:color w:val="000000"/>
          <w:u w:val="single"/>
        </w:rPr>
        <w:t xml:space="preserve"> Except as provided in Section D104.3.1, the MDL remains applicable to multiple dwellings.</w:t>
      </w:r>
    </w:p>
    <w:p w14:paraId="50A76CB9" w14:textId="77777777" w:rsidR="001B7F77" w:rsidRPr="001B7F77" w:rsidRDefault="001B7F77" w:rsidP="001B7F77">
      <w:pPr>
        <w:pBdr>
          <w:top w:val="nil"/>
          <w:left w:val="nil"/>
          <w:bottom w:val="nil"/>
          <w:right w:val="nil"/>
          <w:between w:val="nil"/>
        </w:pBdr>
        <w:suppressAutoHyphens/>
        <w:spacing w:before="120"/>
        <w:ind w:left="720"/>
        <w:rPr>
          <w:rFonts w:eastAsia="Times"/>
          <w:color w:val="000000"/>
          <w:u w:val="single"/>
        </w:rPr>
      </w:pPr>
      <w:r w:rsidRPr="001B7F77">
        <w:rPr>
          <w:rFonts w:eastAsia="Times"/>
          <w:b/>
          <w:color w:val="000000"/>
          <w:u w:val="single"/>
        </w:rPr>
        <w:t>D101.1.1 Construction requirements of MDL.</w:t>
      </w:r>
      <w:r w:rsidRPr="001B7F77">
        <w:rPr>
          <w:rFonts w:eastAsia="Times"/>
          <w:color w:val="000000"/>
          <w:u w:val="single"/>
        </w:rPr>
        <w:t xml:space="preserve"> The provisions of this appendix are intended to be at least as stringent as the construction requirements of applicable provisions of the MDL.</w:t>
      </w:r>
    </w:p>
    <w:p w14:paraId="4202D737" w14:textId="77777777" w:rsidR="001B7F77" w:rsidRPr="001B7F77" w:rsidRDefault="001B7F77" w:rsidP="001B7F77">
      <w:pPr>
        <w:pBdr>
          <w:top w:val="nil"/>
          <w:left w:val="nil"/>
          <w:bottom w:val="nil"/>
          <w:right w:val="nil"/>
          <w:between w:val="nil"/>
        </w:pBdr>
        <w:suppressAutoHyphens/>
        <w:spacing w:before="120"/>
        <w:ind w:left="720"/>
        <w:rPr>
          <w:rFonts w:eastAsia="Times"/>
          <w:u w:val="single"/>
        </w:rPr>
      </w:pPr>
      <w:r w:rsidRPr="001B7F77">
        <w:rPr>
          <w:rFonts w:eastAsia="Times"/>
          <w:b/>
          <w:color w:val="000000"/>
          <w:u w:val="single"/>
        </w:rPr>
        <w:t xml:space="preserve">D101.1.2 Administrative requirements of MDL. </w:t>
      </w:r>
      <w:r w:rsidRPr="001B7F77">
        <w:rPr>
          <w:rFonts w:eastAsia="Times"/>
          <w:color w:val="000000"/>
          <w:u w:val="single"/>
        </w:rPr>
        <w:t>The provisions of this appendix are not intended to restate or recite the provisions of the MDL that do not relate to construction requirements.</w:t>
      </w:r>
    </w:p>
    <w:p w14:paraId="020722F0" w14:textId="77777777" w:rsidR="001B7F77" w:rsidRPr="001B7F77" w:rsidRDefault="001B7F77" w:rsidP="001B7F77">
      <w:pPr>
        <w:pBdr>
          <w:top w:val="nil"/>
          <w:left w:val="nil"/>
          <w:bottom w:val="nil"/>
          <w:right w:val="nil"/>
          <w:between w:val="nil"/>
        </w:pBdr>
        <w:suppressAutoHyphens/>
        <w:spacing w:before="120"/>
        <w:ind w:left="720"/>
        <w:rPr>
          <w:rFonts w:eastAsia="Times"/>
          <w:color w:val="000000"/>
          <w:u w:val="single"/>
        </w:rPr>
      </w:pPr>
      <w:r w:rsidRPr="001B7F77">
        <w:rPr>
          <w:rFonts w:eastAsia="Times"/>
          <w:b/>
          <w:color w:val="000000"/>
          <w:u w:val="single"/>
        </w:rPr>
        <w:t>D101.1.3 Use of parentheticals.</w:t>
      </w:r>
      <w:r w:rsidRPr="001B7F77">
        <w:rPr>
          <w:rFonts w:eastAsia="Times"/>
          <w:color w:val="000000"/>
          <w:u w:val="single"/>
        </w:rPr>
        <w:t xml:space="preserve"> The provisions identified in parentheses in this appendix are intended to direct the user to the analogous sections of the MDL for informational purposes only and are not intended to establish applicability of such sections in their entirety.</w:t>
      </w:r>
    </w:p>
    <w:p w14:paraId="66D40F60" w14:textId="77777777" w:rsidR="001B7F77" w:rsidRPr="001B7F77" w:rsidRDefault="001B7F77" w:rsidP="001B7F77">
      <w:pPr>
        <w:pBdr>
          <w:top w:val="nil"/>
          <w:left w:val="nil"/>
          <w:bottom w:val="nil"/>
          <w:right w:val="nil"/>
          <w:between w:val="nil"/>
        </w:pBdr>
        <w:suppressAutoHyphens/>
        <w:spacing w:before="120"/>
        <w:rPr>
          <w:rFonts w:eastAsia="Times"/>
          <w:color w:val="000000"/>
          <w:u w:val="single"/>
        </w:rPr>
      </w:pPr>
      <w:r w:rsidRPr="001B7F77">
        <w:rPr>
          <w:rFonts w:eastAsia="Times"/>
          <w:b/>
          <w:color w:val="000000"/>
          <w:u w:val="single"/>
        </w:rPr>
        <w:t xml:space="preserve">D102 Applicability of this appendix. </w:t>
      </w:r>
      <w:r w:rsidRPr="001B7F77">
        <w:rPr>
          <w:rFonts w:eastAsia="Times"/>
          <w:color w:val="000000"/>
          <w:u w:val="single"/>
        </w:rPr>
        <w:t>This appendix applies to all existing multiple dwellings whenever erected or whenever converted, including prior code multiple dwellings and including multiple dwellings erected or converted after July 1, 2008. See Section D301 regarding the applicability of certain chapters of this appendix to the various multiple dwelling classifications.</w:t>
      </w:r>
    </w:p>
    <w:p w14:paraId="705ECCF0" w14:textId="77777777" w:rsidR="001B7F77" w:rsidRPr="001B7F77" w:rsidRDefault="001B7F77" w:rsidP="001B7F77">
      <w:pPr>
        <w:pBdr>
          <w:top w:val="nil"/>
          <w:left w:val="nil"/>
          <w:bottom w:val="nil"/>
          <w:right w:val="nil"/>
          <w:between w:val="nil"/>
        </w:pBdr>
        <w:suppressAutoHyphens/>
        <w:spacing w:before="120"/>
        <w:rPr>
          <w:rFonts w:eastAsia="Times"/>
          <w:color w:val="000000"/>
          <w:u w:val="single"/>
        </w:rPr>
      </w:pPr>
      <w:bookmarkStart w:id="236" w:name="_Hlk74068020"/>
      <w:r w:rsidRPr="001B7F77">
        <w:rPr>
          <w:rFonts w:eastAsia="Times"/>
          <w:b/>
          <w:color w:val="000000"/>
          <w:u w:val="single"/>
        </w:rPr>
        <w:t>D103 Multiple Dwelling Classification</w:t>
      </w:r>
      <w:bookmarkEnd w:id="236"/>
      <w:r w:rsidRPr="001B7F77">
        <w:rPr>
          <w:rFonts w:eastAsia="Times"/>
          <w:b/>
          <w:color w:val="000000"/>
          <w:u w:val="single"/>
        </w:rPr>
        <w:t xml:space="preserve">. </w:t>
      </w:r>
      <w:r w:rsidRPr="001B7F77">
        <w:rPr>
          <w:rFonts w:eastAsia="Times"/>
          <w:color w:val="000000"/>
          <w:u w:val="single"/>
        </w:rPr>
        <w:t>All multiple dwelling shall be classified, in accordance with the records of the department, into one of the categories listed in Table D103.</w:t>
      </w:r>
    </w:p>
    <w:tbl>
      <w:tblPr>
        <w:tblStyle w:val="TableGridLight"/>
        <w:tblpPr w:leftFromText="180" w:rightFromText="180" w:vertAnchor="text" w:horzAnchor="margin" w:tblpY="-66"/>
        <w:tblW w:w="8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450"/>
        <w:gridCol w:w="1450"/>
        <w:gridCol w:w="5368"/>
      </w:tblGrid>
      <w:tr w:rsidR="001B7F77" w:rsidRPr="001B7F77" w14:paraId="2727684A" w14:textId="77777777" w:rsidTr="006655A1">
        <w:trPr>
          <w:trHeight w:val="900"/>
        </w:trPr>
        <w:tc>
          <w:tcPr>
            <w:tcW w:w="8268" w:type="dxa"/>
            <w:gridSpan w:val="3"/>
            <w:tcBorders>
              <w:top w:val="nil"/>
              <w:left w:val="nil"/>
              <w:bottom w:val="single" w:sz="4" w:space="0" w:color="auto"/>
              <w:right w:val="nil"/>
            </w:tcBorders>
          </w:tcPr>
          <w:p w14:paraId="7FE8F5B7" w14:textId="77777777" w:rsidR="001B7F77" w:rsidRPr="001B7F77" w:rsidRDefault="001B7F77" w:rsidP="001B7F77">
            <w:pPr>
              <w:suppressAutoHyphens/>
              <w:spacing w:before="120"/>
              <w:jc w:val="center"/>
              <w:rPr>
                <w:rFonts w:eastAsia="Times"/>
                <w:b/>
                <w:bCs/>
                <w:caps/>
                <w:u w:val="single"/>
              </w:rPr>
            </w:pPr>
            <w:r w:rsidRPr="001B7F77">
              <w:rPr>
                <w:rFonts w:eastAsia="Times"/>
                <w:b/>
                <w:bCs/>
                <w:caps/>
                <w:u w:val="single"/>
              </w:rPr>
              <w:t>Table D103</w:t>
            </w:r>
            <w:r w:rsidRPr="001B7F77">
              <w:rPr>
                <w:rFonts w:eastAsia="Times"/>
                <w:b/>
                <w:bCs/>
                <w:caps/>
                <w:u w:val="single"/>
              </w:rPr>
              <w:br/>
              <w:t>Multiple Dwelling Classifications</w:t>
            </w:r>
          </w:p>
        </w:tc>
      </w:tr>
      <w:tr w:rsidR="001B7F77" w:rsidRPr="001B7F77" w14:paraId="10160148" w14:textId="77777777" w:rsidTr="006655A1">
        <w:trPr>
          <w:trHeight w:val="144"/>
        </w:trPr>
        <w:tc>
          <w:tcPr>
            <w:tcW w:w="1450" w:type="dxa"/>
            <w:tcBorders>
              <w:top w:val="single" w:sz="4" w:space="0" w:color="auto"/>
            </w:tcBorders>
          </w:tcPr>
          <w:p w14:paraId="2DD8ADA2" w14:textId="77777777" w:rsidR="001B7F77" w:rsidRPr="001B7F77" w:rsidRDefault="001B7F77" w:rsidP="001B7F77">
            <w:pPr>
              <w:keepNext/>
              <w:keepLines/>
              <w:pBdr>
                <w:top w:val="nil"/>
                <w:left w:val="nil"/>
                <w:bottom w:val="nil"/>
                <w:right w:val="nil"/>
                <w:between w:val="nil"/>
              </w:pBdr>
              <w:suppressAutoHyphens/>
              <w:spacing w:before="120"/>
              <w:jc w:val="center"/>
              <w:rPr>
                <w:rFonts w:eastAsia="Times"/>
                <w:b/>
                <w:bCs/>
                <w:u w:val="single"/>
              </w:rPr>
            </w:pPr>
            <w:r w:rsidRPr="001B7F77">
              <w:rPr>
                <w:rFonts w:eastAsia="Times"/>
                <w:b/>
                <w:bCs/>
                <w:u w:val="single"/>
              </w:rPr>
              <w:t>CLASS A</w:t>
            </w:r>
          </w:p>
        </w:tc>
        <w:tc>
          <w:tcPr>
            <w:tcW w:w="1450" w:type="dxa"/>
            <w:tcBorders>
              <w:top w:val="single" w:sz="4" w:space="0" w:color="auto"/>
            </w:tcBorders>
          </w:tcPr>
          <w:p w14:paraId="6C89F604" w14:textId="77777777" w:rsidR="001B7F77" w:rsidRPr="001B7F77" w:rsidRDefault="001B7F77" w:rsidP="001B7F77">
            <w:pPr>
              <w:keepNext/>
              <w:keepLines/>
              <w:pBdr>
                <w:top w:val="nil"/>
                <w:left w:val="nil"/>
                <w:bottom w:val="nil"/>
                <w:right w:val="nil"/>
                <w:between w:val="nil"/>
              </w:pBdr>
              <w:suppressAutoHyphens/>
              <w:spacing w:before="120"/>
              <w:jc w:val="center"/>
              <w:rPr>
                <w:rFonts w:eastAsia="Times"/>
                <w:b/>
                <w:bCs/>
                <w:u w:val="single"/>
              </w:rPr>
            </w:pPr>
            <w:r w:rsidRPr="001B7F77">
              <w:rPr>
                <w:rFonts w:eastAsia="Times"/>
                <w:b/>
                <w:bCs/>
                <w:u w:val="single"/>
              </w:rPr>
              <w:t>CLASS B</w:t>
            </w:r>
          </w:p>
        </w:tc>
        <w:tc>
          <w:tcPr>
            <w:tcW w:w="5368" w:type="dxa"/>
            <w:tcBorders>
              <w:top w:val="single" w:sz="4" w:space="0" w:color="auto"/>
            </w:tcBorders>
          </w:tcPr>
          <w:p w14:paraId="03AFF350" w14:textId="77777777" w:rsidR="001B7F77" w:rsidRPr="001B7F77" w:rsidRDefault="001B7F77" w:rsidP="001B7F77">
            <w:pPr>
              <w:keepNext/>
              <w:keepLines/>
              <w:pBdr>
                <w:top w:val="nil"/>
                <w:left w:val="nil"/>
                <w:bottom w:val="nil"/>
                <w:right w:val="nil"/>
                <w:between w:val="nil"/>
              </w:pBdr>
              <w:suppressAutoHyphens/>
              <w:spacing w:before="120"/>
              <w:jc w:val="center"/>
              <w:rPr>
                <w:rFonts w:eastAsia="Times"/>
                <w:b/>
                <w:bCs/>
                <w:u w:val="single"/>
              </w:rPr>
            </w:pPr>
            <w:r w:rsidRPr="001B7F77">
              <w:rPr>
                <w:rFonts w:eastAsia="Times"/>
                <w:b/>
                <w:bCs/>
                <w:u w:val="single"/>
              </w:rPr>
              <w:t>DESCRIPTION</w:t>
            </w:r>
          </w:p>
        </w:tc>
      </w:tr>
      <w:tr w:rsidR="001B7F77" w:rsidRPr="001B7F77" w14:paraId="1CC94A55" w14:textId="77777777" w:rsidTr="006655A1">
        <w:trPr>
          <w:trHeight w:val="144"/>
        </w:trPr>
        <w:tc>
          <w:tcPr>
            <w:tcW w:w="1450" w:type="dxa"/>
          </w:tcPr>
          <w:p w14:paraId="373BE9FE" w14:textId="77777777" w:rsidR="001B7F77" w:rsidRPr="001B7F77" w:rsidRDefault="001B7F77" w:rsidP="001B7F77">
            <w:pPr>
              <w:pBdr>
                <w:top w:val="nil"/>
                <w:left w:val="nil"/>
                <w:bottom w:val="nil"/>
                <w:right w:val="nil"/>
                <w:between w:val="nil"/>
              </w:pBdr>
              <w:suppressAutoHyphens/>
              <w:spacing w:before="120"/>
              <w:jc w:val="left"/>
              <w:rPr>
                <w:rFonts w:eastAsia="Times"/>
                <w:u w:val="single"/>
              </w:rPr>
            </w:pPr>
            <w:r w:rsidRPr="001B7F77">
              <w:rPr>
                <w:rFonts w:eastAsia="Times"/>
                <w:u w:val="single"/>
              </w:rPr>
              <w:t>OL</w:t>
            </w:r>
          </w:p>
        </w:tc>
        <w:tc>
          <w:tcPr>
            <w:tcW w:w="1450" w:type="dxa"/>
          </w:tcPr>
          <w:p w14:paraId="108C9004" w14:textId="77777777" w:rsidR="001B7F77" w:rsidRPr="001B7F77" w:rsidRDefault="001B7F77" w:rsidP="001B7F77">
            <w:pPr>
              <w:pBdr>
                <w:top w:val="nil"/>
                <w:left w:val="nil"/>
                <w:bottom w:val="nil"/>
                <w:right w:val="nil"/>
                <w:between w:val="nil"/>
              </w:pBdr>
              <w:suppressAutoHyphens/>
              <w:spacing w:before="120"/>
              <w:jc w:val="left"/>
              <w:rPr>
                <w:rFonts w:eastAsia="Times"/>
                <w:u w:val="single"/>
              </w:rPr>
            </w:pPr>
          </w:p>
        </w:tc>
        <w:tc>
          <w:tcPr>
            <w:tcW w:w="5368" w:type="dxa"/>
          </w:tcPr>
          <w:p w14:paraId="7B7D9BA7" w14:textId="77777777" w:rsidR="001B7F77" w:rsidRPr="001B7F77" w:rsidRDefault="001B7F77" w:rsidP="001B7F77">
            <w:pPr>
              <w:pBdr>
                <w:top w:val="nil"/>
                <w:left w:val="nil"/>
                <w:bottom w:val="nil"/>
                <w:right w:val="nil"/>
                <w:between w:val="nil"/>
              </w:pBdr>
              <w:suppressAutoHyphens/>
              <w:spacing w:before="120"/>
              <w:rPr>
                <w:rFonts w:eastAsia="Times"/>
                <w:u w:val="single"/>
              </w:rPr>
            </w:pPr>
            <w:r w:rsidRPr="001B7F77">
              <w:rPr>
                <w:rFonts w:eastAsia="Times"/>
                <w:b/>
                <w:u w:val="single"/>
              </w:rPr>
              <w:t xml:space="preserve">Old Law Tenement – </w:t>
            </w:r>
            <w:r w:rsidRPr="001B7F77">
              <w:rPr>
                <w:rFonts w:eastAsia="Times"/>
                <w:u w:val="single"/>
              </w:rPr>
              <w:t xml:space="preserve">Originally erected as a multiple dwelling in accordance with the laws in effect prior to April 12, 1901, and recorded as OL in the Tenement House Department (now Department of Housing Preservation and Development) before April 18, 1929. </w:t>
            </w:r>
          </w:p>
        </w:tc>
      </w:tr>
      <w:tr w:rsidR="001B7F77" w:rsidRPr="001B7F77" w14:paraId="3C2AE422" w14:textId="77777777" w:rsidTr="006655A1">
        <w:trPr>
          <w:trHeight w:val="144"/>
        </w:trPr>
        <w:tc>
          <w:tcPr>
            <w:tcW w:w="1450" w:type="dxa"/>
          </w:tcPr>
          <w:p w14:paraId="713571AC" w14:textId="77777777" w:rsidR="001B7F77" w:rsidRPr="001B7F77" w:rsidRDefault="001B7F77" w:rsidP="001B7F77">
            <w:pPr>
              <w:pBdr>
                <w:top w:val="nil"/>
                <w:left w:val="nil"/>
                <w:bottom w:val="nil"/>
                <w:right w:val="nil"/>
                <w:between w:val="nil"/>
              </w:pBdr>
              <w:suppressAutoHyphens/>
              <w:spacing w:before="120"/>
              <w:jc w:val="left"/>
              <w:rPr>
                <w:rFonts w:eastAsia="Times"/>
                <w:u w:val="single"/>
              </w:rPr>
            </w:pPr>
            <w:r w:rsidRPr="001B7F77">
              <w:rPr>
                <w:rFonts w:eastAsia="Times"/>
                <w:u w:val="single"/>
              </w:rPr>
              <w:t>OLSR</w:t>
            </w:r>
          </w:p>
        </w:tc>
        <w:tc>
          <w:tcPr>
            <w:tcW w:w="1450" w:type="dxa"/>
          </w:tcPr>
          <w:p w14:paraId="2A56C8AD" w14:textId="77777777" w:rsidR="001B7F77" w:rsidRPr="001B7F77" w:rsidRDefault="001B7F77" w:rsidP="001B7F77">
            <w:pPr>
              <w:pBdr>
                <w:top w:val="nil"/>
                <w:left w:val="nil"/>
                <w:bottom w:val="nil"/>
                <w:right w:val="nil"/>
                <w:between w:val="nil"/>
              </w:pBdr>
              <w:suppressAutoHyphens/>
              <w:spacing w:before="120"/>
              <w:jc w:val="left"/>
              <w:rPr>
                <w:rFonts w:eastAsia="Times"/>
                <w:u w:val="single"/>
              </w:rPr>
            </w:pPr>
          </w:p>
        </w:tc>
        <w:tc>
          <w:tcPr>
            <w:tcW w:w="5368" w:type="dxa"/>
          </w:tcPr>
          <w:p w14:paraId="5E5D4B9E" w14:textId="77777777" w:rsidR="001B7F77" w:rsidRPr="001B7F77" w:rsidRDefault="001B7F77" w:rsidP="001B7F77">
            <w:pPr>
              <w:pBdr>
                <w:top w:val="nil"/>
                <w:left w:val="nil"/>
                <w:bottom w:val="nil"/>
                <w:right w:val="nil"/>
                <w:between w:val="nil"/>
              </w:pBdr>
              <w:suppressAutoHyphens/>
              <w:spacing w:before="120"/>
              <w:rPr>
                <w:rFonts w:eastAsia="Times"/>
                <w:u w:val="single"/>
              </w:rPr>
            </w:pPr>
            <w:r w:rsidRPr="001B7F77">
              <w:rPr>
                <w:rFonts w:eastAsia="Times"/>
                <w:b/>
                <w:u w:val="single"/>
              </w:rPr>
              <w:t>Old Law Tenement, Single Room Occupancy –</w:t>
            </w:r>
            <w:r w:rsidRPr="001B7F77">
              <w:rPr>
                <w:rFonts w:eastAsia="Times"/>
                <w:u w:val="single"/>
              </w:rPr>
              <w:t xml:space="preserve"> Old law tenements that contain units converted to single room occupancy pursuant to MDL § 248. When a Class A tenement is converted to OLSR, it remains a Class A multiple dwelling.</w:t>
            </w:r>
          </w:p>
        </w:tc>
      </w:tr>
      <w:tr w:rsidR="001B7F77" w:rsidRPr="001B7F77" w14:paraId="67D25DBA" w14:textId="77777777" w:rsidTr="006655A1">
        <w:trPr>
          <w:trHeight w:val="144"/>
        </w:trPr>
        <w:tc>
          <w:tcPr>
            <w:tcW w:w="1450" w:type="dxa"/>
          </w:tcPr>
          <w:p w14:paraId="547ED03B" w14:textId="77777777" w:rsidR="001B7F77" w:rsidRPr="001B7F77" w:rsidRDefault="001B7F77" w:rsidP="001B7F77">
            <w:pPr>
              <w:pBdr>
                <w:top w:val="nil"/>
                <w:left w:val="nil"/>
                <w:bottom w:val="nil"/>
                <w:right w:val="nil"/>
                <w:between w:val="nil"/>
              </w:pBdr>
              <w:suppressAutoHyphens/>
              <w:spacing w:before="120"/>
              <w:jc w:val="left"/>
              <w:rPr>
                <w:rFonts w:eastAsia="Times"/>
                <w:u w:val="single"/>
              </w:rPr>
            </w:pPr>
            <w:r w:rsidRPr="001B7F77">
              <w:rPr>
                <w:rFonts w:eastAsia="Times"/>
                <w:u w:val="single"/>
              </w:rPr>
              <w:t>COL</w:t>
            </w:r>
          </w:p>
        </w:tc>
        <w:tc>
          <w:tcPr>
            <w:tcW w:w="1450" w:type="dxa"/>
          </w:tcPr>
          <w:p w14:paraId="20074625" w14:textId="77777777" w:rsidR="001B7F77" w:rsidRPr="001B7F77" w:rsidRDefault="001B7F77" w:rsidP="001B7F77">
            <w:pPr>
              <w:pBdr>
                <w:top w:val="nil"/>
                <w:left w:val="nil"/>
                <w:bottom w:val="nil"/>
                <w:right w:val="nil"/>
                <w:between w:val="nil"/>
              </w:pBdr>
              <w:suppressAutoHyphens/>
              <w:spacing w:before="120"/>
              <w:jc w:val="left"/>
              <w:rPr>
                <w:rFonts w:eastAsia="Times"/>
                <w:u w:val="single"/>
              </w:rPr>
            </w:pPr>
          </w:p>
        </w:tc>
        <w:tc>
          <w:tcPr>
            <w:tcW w:w="5368" w:type="dxa"/>
          </w:tcPr>
          <w:p w14:paraId="521AC3B2" w14:textId="77777777" w:rsidR="001B7F77" w:rsidRPr="001B7F77" w:rsidRDefault="001B7F77" w:rsidP="001B7F77">
            <w:pPr>
              <w:pBdr>
                <w:top w:val="nil"/>
                <w:left w:val="nil"/>
                <w:bottom w:val="nil"/>
                <w:right w:val="nil"/>
                <w:between w:val="nil"/>
              </w:pBdr>
              <w:suppressAutoHyphens/>
              <w:spacing w:before="120"/>
              <w:rPr>
                <w:rFonts w:eastAsia="Times"/>
                <w:u w:val="single"/>
              </w:rPr>
            </w:pPr>
            <w:r w:rsidRPr="001B7F77">
              <w:rPr>
                <w:rFonts w:eastAsia="Times"/>
                <w:b/>
                <w:u w:val="single"/>
              </w:rPr>
              <w:t xml:space="preserve">Converted Old Law – </w:t>
            </w:r>
            <w:r w:rsidRPr="001B7F77">
              <w:rPr>
                <w:rFonts w:eastAsia="Times"/>
                <w:u w:val="single"/>
              </w:rPr>
              <w:t>An OL not originally erected as a tenement but converted to OL and recorded as COL in the Department of Housing Preservation and Development.</w:t>
            </w:r>
          </w:p>
        </w:tc>
      </w:tr>
      <w:tr w:rsidR="001B7F77" w:rsidRPr="001B7F77" w14:paraId="23341220" w14:textId="77777777" w:rsidTr="006655A1">
        <w:trPr>
          <w:trHeight w:val="2238"/>
        </w:trPr>
        <w:tc>
          <w:tcPr>
            <w:tcW w:w="1450" w:type="dxa"/>
          </w:tcPr>
          <w:p w14:paraId="0C628F27" w14:textId="77777777" w:rsidR="001B7F77" w:rsidRPr="001B7F77" w:rsidRDefault="001B7F77" w:rsidP="001B7F77">
            <w:pPr>
              <w:pBdr>
                <w:top w:val="nil"/>
                <w:left w:val="nil"/>
                <w:bottom w:val="nil"/>
                <w:right w:val="nil"/>
                <w:between w:val="nil"/>
              </w:pBdr>
              <w:suppressAutoHyphens/>
              <w:spacing w:before="120"/>
              <w:jc w:val="left"/>
              <w:rPr>
                <w:rFonts w:eastAsia="Times"/>
                <w:u w:val="single"/>
              </w:rPr>
            </w:pPr>
            <w:r w:rsidRPr="001B7F77">
              <w:rPr>
                <w:rFonts w:eastAsia="Times"/>
                <w:u w:val="single"/>
              </w:rPr>
              <w:t>NL</w:t>
            </w:r>
          </w:p>
        </w:tc>
        <w:tc>
          <w:tcPr>
            <w:tcW w:w="1450" w:type="dxa"/>
          </w:tcPr>
          <w:p w14:paraId="3C1A71D5" w14:textId="77777777" w:rsidR="001B7F77" w:rsidRPr="001B7F77" w:rsidRDefault="001B7F77" w:rsidP="001B7F77">
            <w:pPr>
              <w:pBdr>
                <w:top w:val="nil"/>
                <w:left w:val="nil"/>
                <w:bottom w:val="nil"/>
                <w:right w:val="nil"/>
                <w:between w:val="nil"/>
              </w:pBdr>
              <w:suppressAutoHyphens/>
              <w:spacing w:before="120"/>
              <w:jc w:val="left"/>
              <w:rPr>
                <w:rFonts w:eastAsia="Times"/>
                <w:u w:val="single"/>
              </w:rPr>
            </w:pPr>
          </w:p>
        </w:tc>
        <w:tc>
          <w:tcPr>
            <w:tcW w:w="5368" w:type="dxa"/>
          </w:tcPr>
          <w:p w14:paraId="5D8DC7BA" w14:textId="77777777" w:rsidR="001B7F77" w:rsidRPr="001B7F77" w:rsidRDefault="001B7F77" w:rsidP="001B7F77">
            <w:pPr>
              <w:pBdr>
                <w:top w:val="nil"/>
                <w:left w:val="nil"/>
                <w:bottom w:val="nil"/>
                <w:right w:val="nil"/>
                <w:between w:val="nil"/>
              </w:pBdr>
              <w:suppressAutoHyphens/>
              <w:spacing w:before="120"/>
              <w:rPr>
                <w:rFonts w:eastAsia="Times"/>
                <w:u w:val="single"/>
              </w:rPr>
            </w:pPr>
            <w:r w:rsidRPr="001B7F77">
              <w:rPr>
                <w:rFonts w:eastAsia="Times"/>
                <w:b/>
                <w:u w:val="single"/>
              </w:rPr>
              <w:t>New Law Tenement –</w:t>
            </w:r>
            <w:r w:rsidRPr="001B7F77">
              <w:rPr>
                <w:rFonts w:eastAsia="Times"/>
                <w:u w:val="single"/>
              </w:rPr>
              <w:t xml:space="preserve"> Originally erected as a multiple dwelling in accordance with the laws in effect after April 12, 1901, and prior to April 18, 1929, and recorded as NL in the Tenement House Department (now Department of Housing Preservation and Development) before April 18, 1929. </w:t>
            </w:r>
          </w:p>
        </w:tc>
      </w:tr>
      <w:tr w:rsidR="001B7F77" w:rsidRPr="001B7F77" w14:paraId="222C1BF3" w14:textId="77777777" w:rsidTr="006655A1">
        <w:trPr>
          <w:trHeight w:val="1667"/>
        </w:trPr>
        <w:tc>
          <w:tcPr>
            <w:tcW w:w="1450" w:type="dxa"/>
          </w:tcPr>
          <w:p w14:paraId="1FA80A27" w14:textId="77777777" w:rsidR="001B7F77" w:rsidRPr="001B7F77" w:rsidRDefault="001B7F77" w:rsidP="001B7F77">
            <w:pPr>
              <w:pBdr>
                <w:top w:val="nil"/>
                <w:left w:val="nil"/>
                <w:bottom w:val="nil"/>
                <w:right w:val="nil"/>
                <w:between w:val="nil"/>
              </w:pBdr>
              <w:suppressAutoHyphens/>
              <w:spacing w:before="120"/>
              <w:jc w:val="left"/>
              <w:rPr>
                <w:rFonts w:eastAsia="Times"/>
                <w:u w:val="single"/>
              </w:rPr>
            </w:pPr>
            <w:r w:rsidRPr="001B7F77">
              <w:rPr>
                <w:rFonts w:eastAsia="Times"/>
                <w:u w:val="single"/>
              </w:rPr>
              <w:t>NLSR</w:t>
            </w:r>
          </w:p>
        </w:tc>
        <w:tc>
          <w:tcPr>
            <w:tcW w:w="1450" w:type="dxa"/>
          </w:tcPr>
          <w:p w14:paraId="0C9A3A4F" w14:textId="77777777" w:rsidR="001B7F77" w:rsidRPr="001B7F77" w:rsidRDefault="001B7F77" w:rsidP="001B7F77">
            <w:pPr>
              <w:pBdr>
                <w:top w:val="nil"/>
                <w:left w:val="nil"/>
                <w:bottom w:val="nil"/>
                <w:right w:val="nil"/>
                <w:between w:val="nil"/>
              </w:pBdr>
              <w:suppressAutoHyphens/>
              <w:spacing w:before="120"/>
              <w:jc w:val="left"/>
              <w:rPr>
                <w:rFonts w:eastAsia="Times"/>
                <w:u w:val="single"/>
              </w:rPr>
            </w:pPr>
          </w:p>
        </w:tc>
        <w:tc>
          <w:tcPr>
            <w:tcW w:w="5368" w:type="dxa"/>
          </w:tcPr>
          <w:p w14:paraId="13BBAEC3" w14:textId="77777777" w:rsidR="001B7F77" w:rsidRPr="001B7F77" w:rsidRDefault="001B7F77" w:rsidP="001B7F77">
            <w:pPr>
              <w:pBdr>
                <w:top w:val="nil"/>
                <w:left w:val="nil"/>
                <w:bottom w:val="nil"/>
                <w:right w:val="nil"/>
                <w:between w:val="nil"/>
              </w:pBdr>
              <w:suppressAutoHyphens/>
              <w:spacing w:before="120"/>
              <w:rPr>
                <w:rFonts w:eastAsia="Times"/>
                <w:u w:val="single"/>
              </w:rPr>
            </w:pPr>
            <w:r w:rsidRPr="001B7F77">
              <w:rPr>
                <w:rFonts w:eastAsia="Times"/>
                <w:b/>
                <w:u w:val="single"/>
              </w:rPr>
              <w:t>New Law Tenement, Single Room Occupancy –</w:t>
            </w:r>
            <w:r w:rsidRPr="001B7F77">
              <w:rPr>
                <w:rFonts w:eastAsia="Times"/>
                <w:u w:val="single"/>
              </w:rPr>
              <w:t xml:space="preserve"> New law tenements that contain units converted to single room occupancy pursuant to MDL § 248. When a Class A tenement is converted to NLSR, it remains a Class A multiple dwelling.</w:t>
            </w:r>
          </w:p>
        </w:tc>
      </w:tr>
      <w:tr w:rsidR="001B7F77" w:rsidRPr="001B7F77" w14:paraId="1F636777" w14:textId="77777777" w:rsidTr="006655A1">
        <w:trPr>
          <w:trHeight w:val="1382"/>
        </w:trPr>
        <w:tc>
          <w:tcPr>
            <w:tcW w:w="1450" w:type="dxa"/>
          </w:tcPr>
          <w:p w14:paraId="1138FA18" w14:textId="77777777" w:rsidR="001B7F77" w:rsidRPr="001B7F77" w:rsidRDefault="001B7F77" w:rsidP="001B7F77">
            <w:pPr>
              <w:pBdr>
                <w:top w:val="nil"/>
                <w:left w:val="nil"/>
                <w:bottom w:val="nil"/>
                <w:right w:val="nil"/>
                <w:between w:val="nil"/>
              </w:pBdr>
              <w:suppressAutoHyphens/>
              <w:spacing w:before="120"/>
              <w:jc w:val="left"/>
              <w:rPr>
                <w:rFonts w:eastAsia="Times"/>
                <w:u w:val="single"/>
              </w:rPr>
            </w:pPr>
            <w:r w:rsidRPr="001B7F77">
              <w:rPr>
                <w:rFonts w:eastAsia="Times"/>
                <w:u w:val="single"/>
              </w:rPr>
              <w:t>CNL</w:t>
            </w:r>
          </w:p>
        </w:tc>
        <w:tc>
          <w:tcPr>
            <w:tcW w:w="1450" w:type="dxa"/>
          </w:tcPr>
          <w:p w14:paraId="51DF22C4" w14:textId="77777777" w:rsidR="001B7F77" w:rsidRPr="001B7F77" w:rsidRDefault="001B7F77" w:rsidP="001B7F77">
            <w:pPr>
              <w:pBdr>
                <w:top w:val="nil"/>
                <w:left w:val="nil"/>
                <w:bottom w:val="nil"/>
                <w:right w:val="nil"/>
                <w:between w:val="nil"/>
              </w:pBdr>
              <w:suppressAutoHyphens/>
              <w:spacing w:before="120"/>
              <w:jc w:val="left"/>
              <w:rPr>
                <w:rFonts w:eastAsia="Times"/>
                <w:u w:val="single"/>
              </w:rPr>
            </w:pPr>
          </w:p>
        </w:tc>
        <w:tc>
          <w:tcPr>
            <w:tcW w:w="5368" w:type="dxa"/>
          </w:tcPr>
          <w:p w14:paraId="78458DF2" w14:textId="77777777" w:rsidR="001B7F77" w:rsidRPr="001B7F77" w:rsidRDefault="001B7F77" w:rsidP="001B7F77">
            <w:pPr>
              <w:pBdr>
                <w:top w:val="nil"/>
                <w:left w:val="nil"/>
                <w:bottom w:val="nil"/>
                <w:right w:val="nil"/>
                <w:between w:val="nil"/>
              </w:pBdr>
              <w:suppressAutoHyphens/>
              <w:spacing w:before="120"/>
              <w:rPr>
                <w:rFonts w:eastAsia="Times"/>
                <w:u w:val="single"/>
              </w:rPr>
            </w:pPr>
            <w:r w:rsidRPr="001B7F77">
              <w:rPr>
                <w:rFonts w:eastAsia="Times"/>
                <w:b/>
                <w:u w:val="single"/>
              </w:rPr>
              <w:t xml:space="preserve">Converted New Law – </w:t>
            </w:r>
            <w:r w:rsidRPr="001B7F77">
              <w:rPr>
                <w:rFonts w:eastAsia="Times"/>
                <w:u w:val="single"/>
              </w:rPr>
              <w:t>A NL not originally erected as a NL but converted to NL and recorded as CNL in the Department of Housing Preservation and Development.</w:t>
            </w:r>
          </w:p>
        </w:tc>
      </w:tr>
      <w:tr w:rsidR="001B7F77" w:rsidRPr="001B7F77" w14:paraId="55AA04F4" w14:textId="77777777" w:rsidTr="006655A1">
        <w:trPr>
          <w:trHeight w:val="1096"/>
        </w:trPr>
        <w:tc>
          <w:tcPr>
            <w:tcW w:w="1450" w:type="dxa"/>
          </w:tcPr>
          <w:p w14:paraId="4384FF18" w14:textId="77777777" w:rsidR="001B7F77" w:rsidRPr="001B7F77" w:rsidRDefault="001B7F77" w:rsidP="001B7F77">
            <w:pPr>
              <w:pBdr>
                <w:top w:val="nil"/>
                <w:left w:val="nil"/>
                <w:bottom w:val="nil"/>
                <w:right w:val="nil"/>
                <w:between w:val="nil"/>
              </w:pBdr>
              <w:suppressAutoHyphens/>
              <w:spacing w:before="120"/>
              <w:jc w:val="left"/>
              <w:rPr>
                <w:rFonts w:eastAsia="Times"/>
                <w:u w:val="single"/>
              </w:rPr>
            </w:pPr>
            <w:r w:rsidRPr="001B7F77">
              <w:rPr>
                <w:rFonts w:eastAsia="Times"/>
                <w:u w:val="single"/>
              </w:rPr>
              <w:t>HCA</w:t>
            </w:r>
          </w:p>
        </w:tc>
        <w:tc>
          <w:tcPr>
            <w:tcW w:w="1450" w:type="dxa"/>
          </w:tcPr>
          <w:p w14:paraId="603B24C4" w14:textId="77777777" w:rsidR="001B7F77" w:rsidRPr="001B7F77" w:rsidRDefault="001B7F77" w:rsidP="001B7F77">
            <w:pPr>
              <w:pBdr>
                <w:top w:val="nil"/>
                <w:left w:val="nil"/>
                <w:bottom w:val="nil"/>
                <w:right w:val="nil"/>
                <w:between w:val="nil"/>
              </w:pBdr>
              <w:suppressAutoHyphens/>
              <w:spacing w:before="120"/>
              <w:jc w:val="left"/>
              <w:rPr>
                <w:rFonts w:eastAsia="Times"/>
                <w:u w:val="single"/>
              </w:rPr>
            </w:pPr>
            <w:r w:rsidRPr="001B7F77">
              <w:rPr>
                <w:rFonts w:eastAsia="Times"/>
                <w:u w:val="single"/>
              </w:rPr>
              <w:t>HCB</w:t>
            </w:r>
          </w:p>
        </w:tc>
        <w:tc>
          <w:tcPr>
            <w:tcW w:w="5368" w:type="dxa"/>
          </w:tcPr>
          <w:p w14:paraId="57FE665E" w14:textId="77777777" w:rsidR="001B7F77" w:rsidRPr="001B7F77" w:rsidRDefault="001B7F77" w:rsidP="001B7F77">
            <w:pPr>
              <w:pBdr>
                <w:top w:val="nil"/>
                <w:left w:val="nil"/>
                <w:bottom w:val="nil"/>
                <w:right w:val="nil"/>
                <w:between w:val="nil"/>
              </w:pBdr>
              <w:suppressAutoHyphens/>
              <w:spacing w:before="120"/>
              <w:rPr>
                <w:rFonts w:eastAsia="Times"/>
                <w:u w:val="single"/>
              </w:rPr>
            </w:pPr>
            <w:r w:rsidRPr="001B7F77">
              <w:rPr>
                <w:rFonts w:eastAsia="Times"/>
                <w:b/>
                <w:u w:val="single"/>
              </w:rPr>
              <w:t>Heretofore Converted –</w:t>
            </w:r>
            <w:r w:rsidRPr="001B7F77">
              <w:rPr>
                <w:rFonts w:eastAsia="Times"/>
                <w:u w:val="single"/>
              </w:rPr>
              <w:t xml:space="preserve"> Originally erected as a 1- or 2-family dwelling, and converted prior to April 18, 1929, to a multiple dwelling.</w:t>
            </w:r>
          </w:p>
        </w:tc>
      </w:tr>
      <w:tr w:rsidR="001B7F77" w:rsidRPr="001B7F77" w14:paraId="53E1724E" w14:textId="77777777" w:rsidTr="006655A1">
        <w:trPr>
          <w:trHeight w:val="1667"/>
        </w:trPr>
        <w:tc>
          <w:tcPr>
            <w:tcW w:w="1450" w:type="dxa"/>
          </w:tcPr>
          <w:p w14:paraId="768CF88D" w14:textId="77777777" w:rsidR="001B7F77" w:rsidRPr="001B7F77" w:rsidRDefault="001B7F77" w:rsidP="001B7F77">
            <w:pPr>
              <w:pBdr>
                <w:top w:val="nil"/>
                <w:left w:val="nil"/>
                <w:bottom w:val="nil"/>
                <w:right w:val="nil"/>
                <w:between w:val="nil"/>
              </w:pBdr>
              <w:suppressAutoHyphens/>
              <w:spacing w:before="120"/>
              <w:jc w:val="left"/>
              <w:rPr>
                <w:rFonts w:eastAsia="Times"/>
                <w:u w:val="single"/>
              </w:rPr>
            </w:pPr>
            <w:r w:rsidRPr="001B7F77">
              <w:rPr>
                <w:rFonts w:eastAsia="Times"/>
                <w:u w:val="single"/>
              </w:rPr>
              <w:t>HACA</w:t>
            </w:r>
          </w:p>
        </w:tc>
        <w:tc>
          <w:tcPr>
            <w:tcW w:w="1450" w:type="dxa"/>
          </w:tcPr>
          <w:p w14:paraId="1928395A" w14:textId="77777777" w:rsidR="001B7F77" w:rsidRPr="001B7F77" w:rsidRDefault="001B7F77" w:rsidP="001B7F77">
            <w:pPr>
              <w:pBdr>
                <w:top w:val="nil"/>
                <w:left w:val="nil"/>
                <w:bottom w:val="nil"/>
                <w:right w:val="nil"/>
                <w:between w:val="nil"/>
              </w:pBdr>
              <w:suppressAutoHyphens/>
              <w:spacing w:before="120"/>
              <w:jc w:val="left"/>
              <w:rPr>
                <w:rFonts w:eastAsia="Times"/>
                <w:u w:val="single"/>
              </w:rPr>
            </w:pPr>
            <w:r w:rsidRPr="001B7F77">
              <w:rPr>
                <w:rFonts w:eastAsia="Times"/>
                <w:u w:val="single"/>
              </w:rPr>
              <w:t>HACB</w:t>
            </w:r>
          </w:p>
        </w:tc>
        <w:tc>
          <w:tcPr>
            <w:tcW w:w="5368" w:type="dxa"/>
          </w:tcPr>
          <w:p w14:paraId="372CFC8D" w14:textId="77777777" w:rsidR="001B7F77" w:rsidRPr="001B7F77" w:rsidRDefault="001B7F77" w:rsidP="001B7F77">
            <w:pPr>
              <w:pBdr>
                <w:top w:val="nil"/>
                <w:left w:val="nil"/>
                <w:bottom w:val="nil"/>
                <w:right w:val="nil"/>
                <w:between w:val="nil"/>
              </w:pBdr>
              <w:suppressAutoHyphens/>
              <w:spacing w:before="120"/>
              <w:rPr>
                <w:rFonts w:eastAsia="Times"/>
                <w:u w:val="single"/>
              </w:rPr>
            </w:pPr>
            <w:r w:rsidRPr="001B7F77">
              <w:rPr>
                <w:rFonts w:eastAsia="Times"/>
                <w:b/>
                <w:bCs/>
                <w:u w:val="single"/>
              </w:rPr>
              <w:t>Hereafter Converted –</w:t>
            </w:r>
            <w:r w:rsidRPr="001B7F77">
              <w:rPr>
                <w:rFonts w:eastAsia="Times"/>
                <w:u w:val="single"/>
              </w:rPr>
              <w:t xml:space="preserve"> Originally erected as a 1- or 2-family dwelling in accordance with the laws in effect prior to December 6, 1968, and converted after April 18, 1929, and before the effective date of the local law that added this section to a multiple dwelling in accordance with such laws.</w:t>
            </w:r>
          </w:p>
        </w:tc>
      </w:tr>
      <w:tr w:rsidR="001B7F77" w:rsidRPr="001B7F77" w14:paraId="16C1F9A0" w14:textId="77777777" w:rsidTr="006655A1">
        <w:trPr>
          <w:trHeight w:val="1953"/>
        </w:trPr>
        <w:tc>
          <w:tcPr>
            <w:tcW w:w="1450" w:type="dxa"/>
          </w:tcPr>
          <w:p w14:paraId="0AEB0650" w14:textId="77777777" w:rsidR="001B7F77" w:rsidRPr="001B7F77" w:rsidRDefault="001B7F77" w:rsidP="001B7F77">
            <w:pPr>
              <w:pBdr>
                <w:top w:val="nil"/>
                <w:left w:val="nil"/>
                <w:bottom w:val="nil"/>
                <w:right w:val="nil"/>
                <w:between w:val="nil"/>
              </w:pBdr>
              <w:suppressAutoHyphens/>
              <w:spacing w:before="120"/>
              <w:jc w:val="left"/>
              <w:rPr>
                <w:rFonts w:eastAsia="Times"/>
                <w:u w:val="single"/>
              </w:rPr>
            </w:pPr>
            <w:r w:rsidRPr="001B7F77">
              <w:rPr>
                <w:rFonts w:eastAsia="Times"/>
                <w:u w:val="single"/>
              </w:rPr>
              <w:t>EBC-CDA</w:t>
            </w:r>
          </w:p>
        </w:tc>
        <w:tc>
          <w:tcPr>
            <w:tcW w:w="1450" w:type="dxa"/>
          </w:tcPr>
          <w:p w14:paraId="755DD4B8" w14:textId="77777777" w:rsidR="001B7F77" w:rsidRPr="001B7F77" w:rsidRDefault="001B7F77" w:rsidP="001B7F77">
            <w:pPr>
              <w:pBdr>
                <w:top w:val="nil"/>
                <w:left w:val="nil"/>
                <w:bottom w:val="nil"/>
                <w:right w:val="nil"/>
                <w:between w:val="nil"/>
              </w:pBdr>
              <w:suppressAutoHyphens/>
              <w:spacing w:before="120"/>
              <w:jc w:val="left"/>
              <w:rPr>
                <w:rFonts w:eastAsia="Times"/>
                <w:u w:val="single"/>
              </w:rPr>
            </w:pPr>
          </w:p>
        </w:tc>
        <w:tc>
          <w:tcPr>
            <w:tcW w:w="5368" w:type="dxa"/>
          </w:tcPr>
          <w:p w14:paraId="2BB696BF" w14:textId="77777777" w:rsidR="001B7F77" w:rsidRPr="001B7F77" w:rsidRDefault="001B7F77" w:rsidP="001B7F77">
            <w:pPr>
              <w:pBdr>
                <w:top w:val="nil"/>
                <w:left w:val="nil"/>
                <w:bottom w:val="nil"/>
                <w:right w:val="nil"/>
                <w:between w:val="nil"/>
              </w:pBdr>
              <w:suppressAutoHyphens/>
              <w:spacing w:before="120"/>
              <w:rPr>
                <w:rFonts w:eastAsia="Times"/>
                <w:u w:val="single"/>
              </w:rPr>
            </w:pPr>
            <w:r w:rsidRPr="001B7F77">
              <w:rPr>
                <w:rFonts w:eastAsia="Times"/>
                <w:b/>
                <w:u w:val="single"/>
              </w:rPr>
              <w:t xml:space="preserve">EBC Converted Dwelling – </w:t>
            </w:r>
            <w:r w:rsidRPr="001B7F77">
              <w:rPr>
                <w:rFonts w:eastAsia="Times"/>
                <w:u w:val="single"/>
              </w:rPr>
              <w:t>Originally erected as a 1- or 2-family dwelling in accordance with the laws in effect prior to December 6, 1968, and converted on or after the effective date of the local law that added this section</w:t>
            </w:r>
            <w:r w:rsidRPr="001B7F77" w:rsidDel="00A97B8D">
              <w:rPr>
                <w:rFonts w:eastAsia="Times"/>
                <w:u w:val="single"/>
              </w:rPr>
              <w:t xml:space="preserve"> </w:t>
            </w:r>
            <w:r w:rsidRPr="001B7F77">
              <w:rPr>
                <w:rFonts w:eastAsia="Times"/>
                <w:u w:val="single"/>
              </w:rPr>
              <w:t xml:space="preserve">to a multiple dwelling in accordance with Chapters D3 and D6 of the </w:t>
            </w:r>
            <w:r w:rsidRPr="001B7F77">
              <w:rPr>
                <w:rFonts w:eastAsia="Times"/>
                <w:i/>
                <w:u w:val="single"/>
              </w:rPr>
              <w:t>New York City Existing Building Code</w:t>
            </w:r>
            <w:r w:rsidRPr="001B7F77">
              <w:rPr>
                <w:rFonts w:eastAsia="Times"/>
                <w:u w:val="single"/>
              </w:rPr>
              <w:t>.</w:t>
            </w:r>
          </w:p>
        </w:tc>
      </w:tr>
      <w:tr w:rsidR="001B7F77" w:rsidRPr="001B7F77" w14:paraId="078266DC" w14:textId="77777777" w:rsidTr="006655A1">
        <w:trPr>
          <w:trHeight w:val="1953"/>
        </w:trPr>
        <w:tc>
          <w:tcPr>
            <w:tcW w:w="1450" w:type="dxa"/>
          </w:tcPr>
          <w:p w14:paraId="2A92399B" w14:textId="77777777" w:rsidR="001B7F77" w:rsidRPr="001B7F77" w:rsidRDefault="001B7F77" w:rsidP="001B7F77">
            <w:pPr>
              <w:pBdr>
                <w:top w:val="nil"/>
                <w:left w:val="nil"/>
                <w:bottom w:val="nil"/>
                <w:right w:val="nil"/>
                <w:between w:val="nil"/>
              </w:pBdr>
              <w:suppressAutoHyphens/>
              <w:spacing w:before="120"/>
              <w:jc w:val="left"/>
              <w:rPr>
                <w:rFonts w:eastAsia="Times"/>
                <w:u w:val="single"/>
              </w:rPr>
            </w:pPr>
            <w:r w:rsidRPr="001B7F77">
              <w:rPr>
                <w:rFonts w:eastAsia="Times"/>
                <w:u w:val="single"/>
              </w:rPr>
              <w:t>HEXA</w:t>
            </w:r>
          </w:p>
        </w:tc>
        <w:tc>
          <w:tcPr>
            <w:tcW w:w="1450" w:type="dxa"/>
          </w:tcPr>
          <w:p w14:paraId="46B8B7EA" w14:textId="77777777" w:rsidR="001B7F77" w:rsidRPr="001B7F77" w:rsidRDefault="001B7F77" w:rsidP="001B7F77">
            <w:pPr>
              <w:pBdr>
                <w:top w:val="nil"/>
                <w:left w:val="nil"/>
                <w:bottom w:val="nil"/>
                <w:right w:val="nil"/>
                <w:between w:val="nil"/>
              </w:pBdr>
              <w:suppressAutoHyphens/>
              <w:spacing w:before="120"/>
              <w:jc w:val="left"/>
              <w:rPr>
                <w:rFonts w:eastAsia="Times"/>
                <w:u w:val="single"/>
              </w:rPr>
            </w:pPr>
            <w:r w:rsidRPr="001B7F77">
              <w:rPr>
                <w:rFonts w:eastAsia="Times"/>
                <w:u w:val="single"/>
              </w:rPr>
              <w:t>HEXB</w:t>
            </w:r>
          </w:p>
        </w:tc>
        <w:tc>
          <w:tcPr>
            <w:tcW w:w="5368" w:type="dxa"/>
          </w:tcPr>
          <w:p w14:paraId="37746639" w14:textId="77777777" w:rsidR="001B7F77" w:rsidRPr="001B7F77" w:rsidRDefault="001B7F77" w:rsidP="001B7F77">
            <w:pPr>
              <w:pBdr>
                <w:top w:val="nil"/>
                <w:left w:val="nil"/>
                <w:bottom w:val="nil"/>
                <w:right w:val="nil"/>
                <w:between w:val="nil"/>
              </w:pBdr>
              <w:suppressAutoHyphens/>
              <w:spacing w:before="120"/>
              <w:rPr>
                <w:rFonts w:eastAsia="Times"/>
                <w:u w:val="single"/>
              </w:rPr>
            </w:pPr>
            <w:r w:rsidRPr="001B7F77">
              <w:rPr>
                <w:rFonts w:eastAsia="Times"/>
                <w:b/>
                <w:u w:val="single"/>
              </w:rPr>
              <w:t>Heretofore Erected Existing –</w:t>
            </w:r>
            <w:r w:rsidRPr="001B7F77">
              <w:rPr>
                <w:rFonts w:eastAsia="Times"/>
                <w:u w:val="single"/>
              </w:rPr>
              <w:t xml:space="preserve"> Erected in accordance with the laws in effect prior to January 1, 1929, as an apartment hotel or a hotel, and subsequently maintained or altered in accordance with Chapter D10 of the </w:t>
            </w:r>
            <w:r w:rsidRPr="001B7F77">
              <w:rPr>
                <w:rFonts w:eastAsia="Times"/>
                <w:i/>
                <w:u w:val="single"/>
              </w:rPr>
              <w:t>New York City Existing Building Code</w:t>
            </w:r>
            <w:r w:rsidRPr="001B7F77">
              <w:rPr>
                <w:rFonts w:eastAsia="Times"/>
                <w:u w:val="single"/>
              </w:rPr>
              <w:t xml:space="preserve">. </w:t>
            </w:r>
          </w:p>
        </w:tc>
      </w:tr>
      <w:tr w:rsidR="001B7F77" w:rsidRPr="001B7F77" w14:paraId="2D7526A1" w14:textId="77777777" w:rsidTr="006655A1">
        <w:trPr>
          <w:trHeight w:val="8624"/>
        </w:trPr>
        <w:tc>
          <w:tcPr>
            <w:tcW w:w="1450" w:type="dxa"/>
          </w:tcPr>
          <w:p w14:paraId="30B0CAB5" w14:textId="77777777" w:rsidR="001B7F77" w:rsidRPr="001B7F77" w:rsidRDefault="001B7F77" w:rsidP="001B7F77">
            <w:pPr>
              <w:pBdr>
                <w:top w:val="nil"/>
                <w:left w:val="nil"/>
                <w:bottom w:val="nil"/>
                <w:right w:val="nil"/>
                <w:between w:val="nil"/>
              </w:pBdr>
              <w:suppressAutoHyphens/>
              <w:spacing w:before="120"/>
              <w:jc w:val="left"/>
              <w:rPr>
                <w:rFonts w:eastAsia="Times"/>
                <w:u w:val="single"/>
              </w:rPr>
            </w:pPr>
            <w:r w:rsidRPr="001B7F77">
              <w:rPr>
                <w:rFonts w:eastAsia="Times"/>
                <w:u w:val="single"/>
              </w:rPr>
              <w:t xml:space="preserve">HAEA </w:t>
            </w:r>
          </w:p>
        </w:tc>
        <w:tc>
          <w:tcPr>
            <w:tcW w:w="1450" w:type="dxa"/>
          </w:tcPr>
          <w:p w14:paraId="095D51DB" w14:textId="77777777" w:rsidR="001B7F77" w:rsidRPr="001B7F77" w:rsidRDefault="001B7F77" w:rsidP="001B7F77">
            <w:pPr>
              <w:pBdr>
                <w:top w:val="nil"/>
                <w:left w:val="nil"/>
                <w:bottom w:val="nil"/>
                <w:right w:val="nil"/>
                <w:between w:val="nil"/>
              </w:pBdr>
              <w:suppressAutoHyphens/>
              <w:spacing w:before="120"/>
              <w:jc w:val="left"/>
              <w:rPr>
                <w:rFonts w:eastAsia="Times"/>
                <w:u w:val="single"/>
              </w:rPr>
            </w:pPr>
            <w:r w:rsidRPr="001B7F77">
              <w:rPr>
                <w:rFonts w:eastAsia="Times"/>
                <w:u w:val="single"/>
              </w:rPr>
              <w:t xml:space="preserve">HAEB </w:t>
            </w:r>
          </w:p>
        </w:tc>
        <w:tc>
          <w:tcPr>
            <w:tcW w:w="5368" w:type="dxa"/>
          </w:tcPr>
          <w:p w14:paraId="5C19F8B4" w14:textId="77777777" w:rsidR="001B7F77" w:rsidRPr="001B7F77" w:rsidRDefault="001B7F77" w:rsidP="001B7F77">
            <w:pPr>
              <w:pBdr>
                <w:top w:val="nil"/>
                <w:left w:val="nil"/>
                <w:bottom w:val="nil"/>
                <w:right w:val="nil"/>
                <w:between w:val="nil"/>
              </w:pBdr>
              <w:suppressAutoHyphens/>
              <w:spacing w:before="120"/>
              <w:rPr>
                <w:rFonts w:eastAsia="Times"/>
                <w:u w:val="single"/>
              </w:rPr>
            </w:pPr>
            <w:r w:rsidRPr="001B7F77">
              <w:rPr>
                <w:rFonts w:eastAsia="Times"/>
                <w:b/>
                <w:u w:val="single"/>
              </w:rPr>
              <w:t xml:space="preserve">Hereafter Erected – </w:t>
            </w:r>
            <w:r w:rsidRPr="001B7F77">
              <w:rPr>
                <w:rFonts w:eastAsia="Times"/>
                <w:u w:val="single"/>
              </w:rPr>
              <w:t xml:space="preserve">Originally erected or converted as a multiple dwelling in accordance with the laws in effect after January 1, 1929. This classification does not include converted dwellings or conversions subject to </w:t>
            </w:r>
            <w:r w:rsidRPr="001B7F77">
              <w:rPr>
                <w:rFonts w:eastAsia="Times"/>
                <w:sz w:val="22"/>
                <w:szCs w:val="22"/>
                <w:u w:val="single"/>
              </w:rPr>
              <w:t>MDL Article 7-B</w:t>
            </w:r>
            <w:r w:rsidRPr="001B7F77">
              <w:rPr>
                <w:rFonts w:eastAsia="Times"/>
                <w:u w:val="single"/>
              </w:rPr>
              <w:t>. This classification falls into three subclasses:</w:t>
            </w:r>
          </w:p>
          <w:p w14:paraId="6B66E96E" w14:textId="77777777" w:rsidR="001B7F77" w:rsidRPr="001B7F77" w:rsidRDefault="001B7F77" w:rsidP="0001508F">
            <w:pPr>
              <w:numPr>
                <w:ilvl w:val="0"/>
                <w:numId w:val="38"/>
              </w:numPr>
              <w:pBdr>
                <w:top w:val="nil"/>
                <w:left w:val="nil"/>
                <w:bottom w:val="nil"/>
                <w:right w:val="nil"/>
                <w:between w:val="nil"/>
              </w:pBdr>
              <w:suppressAutoHyphens/>
              <w:spacing w:before="120"/>
              <w:jc w:val="left"/>
              <w:rPr>
                <w:rFonts w:eastAsia="Times"/>
                <w:u w:val="single"/>
              </w:rPr>
            </w:pPr>
            <w:r w:rsidRPr="001B7F77">
              <w:rPr>
                <w:rFonts w:eastAsia="Times"/>
                <w:u w:val="single"/>
              </w:rPr>
              <w:t>HAEA/HAEB (1929-1968): Erected in accordance with the laws in effect before December 6, 1968 or converted prior to the effective date of the local law that added this section</w:t>
            </w:r>
            <w:r w:rsidRPr="001B7F77" w:rsidDel="00A97B8D">
              <w:rPr>
                <w:rFonts w:eastAsia="Times"/>
                <w:u w:val="single"/>
              </w:rPr>
              <w:t xml:space="preserve"> </w:t>
            </w:r>
            <w:r w:rsidRPr="001B7F77">
              <w:rPr>
                <w:rFonts w:eastAsia="Times"/>
                <w:u w:val="single"/>
              </w:rPr>
              <w:t>in accordance with the laws in effect before December 6, 1968. Such buildings were subject to MDL Article 3 and Articles 4 or 5 and the 1938 Building Code at the time of erection or conversion.</w:t>
            </w:r>
          </w:p>
          <w:p w14:paraId="66160B35" w14:textId="77777777" w:rsidR="001B7F77" w:rsidRPr="001B7F77" w:rsidRDefault="001B7F77" w:rsidP="0001508F">
            <w:pPr>
              <w:numPr>
                <w:ilvl w:val="0"/>
                <w:numId w:val="38"/>
              </w:numPr>
              <w:pBdr>
                <w:top w:val="nil"/>
                <w:left w:val="nil"/>
                <w:bottom w:val="nil"/>
                <w:right w:val="nil"/>
                <w:between w:val="nil"/>
              </w:pBdr>
              <w:suppressAutoHyphens/>
              <w:spacing w:before="120"/>
              <w:jc w:val="left"/>
              <w:rPr>
                <w:rFonts w:eastAsia="Times"/>
                <w:u w:val="single"/>
              </w:rPr>
            </w:pPr>
            <w:r w:rsidRPr="001B7F77">
              <w:rPr>
                <w:rFonts w:eastAsia="Times"/>
                <w:u w:val="single"/>
              </w:rPr>
              <w:t>HAEA/HAEB (1968-2008): Erected in accordance with the laws in effect on or after December 6, 1968, and before July 1, 2008 or converted prior to the effective date of the local law that added this section</w:t>
            </w:r>
            <w:r w:rsidRPr="001B7F77" w:rsidDel="00A97B8D">
              <w:rPr>
                <w:rFonts w:eastAsia="Times"/>
                <w:u w:val="single"/>
              </w:rPr>
              <w:t xml:space="preserve"> </w:t>
            </w:r>
            <w:r w:rsidRPr="001B7F77">
              <w:rPr>
                <w:rFonts w:eastAsia="Times"/>
                <w:u w:val="single"/>
              </w:rPr>
              <w:t>in accordance with the laws in effect on or after December 6, 1968, and before July 1, 2008. Such buildings were subject to MDL Article 3 and the 1968 Building Code at the time of erection or conversion.</w:t>
            </w:r>
          </w:p>
          <w:p w14:paraId="76B8DFF8" w14:textId="77777777" w:rsidR="001B7F77" w:rsidRPr="001B7F77" w:rsidRDefault="001B7F77" w:rsidP="0001508F">
            <w:pPr>
              <w:numPr>
                <w:ilvl w:val="0"/>
                <w:numId w:val="38"/>
              </w:numPr>
              <w:pBdr>
                <w:top w:val="nil"/>
                <w:left w:val="nil"/>
                <w:bottom w:val="nil"/>
                <w:right w:val="nil"/>
                <w:between w:val="nil"/>
              </w:pBdr>
              <w:suppressAutoHyphens/>
              <w:spacing w:before="120"/>
              <w:jc w:val="left"/>
              <w:rPr>
                <w:rFonts w:eastAsia="Times"/>
                <w:u w:val="single"/>
              </w:rPr>
            </w:pPr>
            <w:r w:rsidRPr="001B7F77">
              <w:rPr>
                <w:rFonts w:eastAsia="Times"/>
                <w:u w:val="single"/>
              </w:rPr>
              <w:t xml:space="preserve">HAEA/HAEB (2008+): Erected or converted in accordance with the laws in effect on or after July 1, 2008. Such buildings are subject to MDL Article 3 and the </w:t>
            </w:r>
            <w:r w:rsidRPr="001B7F77">
              <w:rPr>
                <w:rFonts w:eastAsia="Times"/>
                <w:i/>
                <w:iCs/>
                <w:u w:val="single"/>
              </w:rPr>
              <w:t>New York City Construction Codes</w:t>
            </w:r>
            <w:r w:rsidRPr="001B7F77">
              <w:rPr>
                <w:rFonts w:eastAsia="Times"/>
                <w:u w:val="single"/>
              </w:rPr>
              <w:t>. This category includes conversions to multiple dwellings after the effective date of the local law that added this section</w:t>
            </w:r>
            <w:r w:rsidRPr="001B7F77" w:rsidDel="00A97B8D">
              <w:rPr>
                <w:rFonts w:eastAsia="Times"/>
                <w:u w:val="single"/>
              </w:rPr>
              <w:t xml:space="preserve"> </w:t>
            </w:r>
            <w:r w:rsidRPr="001B7F77">
              <w:rPr>
                <w:rFonts w:eastAsia="Times"/>
                <w:u w:val="single"/>
              </w:rPr>
              <w:t xml:space="preserve">subject to this code including Chapter D3, including where a multiple dwelling is altered or converted to another class or kind in accordance with Section D303. </w:t>
            </w:r>
          </w:p>
        </w:tc>
      </w:tr>
      <w:tr w:rsidR="001B7F77" w:rsidRPr="001B7F77" w14:paraId="0A65B551" w14:textId="77777777" w:rsidTr="006655A1">
        <w:trPr>
          <w:trHeight w:val="2524"/>
        </w:trPr>
        <w:tc>
          <w:tcPr>
            <w:tcW w:w="1450" w:type="dxa"/>
          </w:tcPr>
          <w:p w14:paraId="0257B9F2" w14:textId="77777777" w:rsidR="001B7F77" w:rsidRPr="001B7F77" w:rsidRDefault="001B7F77" w:rsidP="001B7F77">
            <w:pPr>
              <w:pBdr>
                <w:top w:val="nil"/>
                <w:left w:val="nil"/>
                <w:bottom w:val="nil"/>
                <w:right w:val="nil"/>
                <w:between w:val="nil"/>
              </w:pBdr>
              <w:suppressAutoHyphens/>
              <w:spacing w:before="120"/>
              <w:jc w:val="left"/>
              <w:rPr>
                <w:rFonts w:eastAsia="Times"/>
                <w:u w:val="single"/>
              </w:rPr>
            </w:pPr>
            <w:r w:rsidRPr="001B7F77">
              <w:rPr>
                <w:rFonts w:eastAsia="Times"/>
                <w:u w:val="single"/>
              </w:rPr>
              <w:t>CAA</w:t>
            </w:r>
          </w:p>
        </w:tc>
        <w:tc>
          <w:tcPr>
            <w:tcW w:w="1450" w:type="dxa"/>
          </w:tcPr>
          <w:p w14:paraId="7A852904" w14:textId="77777777" w:rsidR="001B7F77" w:rsidRPr="001B7F77" w:rsidRDefault="001B7F77" w:rsidP="001B7F77">
            <w:pPr>
              <w:pBdr>
                <w:top w:val="nil"/>
                <w:left w:val="nil"/>
                <w:bottom w:val="nil"/>
                <w:right w:val="nil"/>
                <w:between w:val="nil"/>
              </w:pBdr>
              <w:suppressAutoHyphens/>
              <w:spacing w:before="120"/>
              <w:jc w:val="left"/>
              <w:rPr>
                <w:rFonts w:eastAsia="Times"/>
                <w:u w:val="single"/>
              </w:rPr>
            </w:pPr>
          </w:p>
        </w:tc>
        <w:tc>
          <w:tcPr>
            <w:tcW w:w="5368" w:type="dxa"/>
          </w:tcPr>
          <w:p w14:paraId="61836FD2" w14:textId="77777777" w:rsidR="001B7F77" w:rsidRPr="001B7F77" w:rsidRDefault="001B7F77" w:rsidP="001B7F77">
            <w:pPr>
              <w:pBdr>
                <w:top w:val="nil"/>
                <w:left w:val="nil"/>
                <w:bottom w:val="nil"/>
                <w:right w:val="nil"/>
                <w:between w:val="nil"/>
              </w:pBdr>
              <w:suppressAutoHyphens/>
              <w:spacing w:before="120"/>
              <w:rPr>
                <w:rFonts w:eastAsia="Times"/>
                <w:u w:val="single"/>
              </w:rPr>
            </w:pPr>
            <w:r w:rsidRPr="001B7F77">
              <w:rPr>
                <w:rFonts w:eastAsia="Times"/>
                <w:b/>
                <w:u w:val="single"/>
              </w:rPr>
              <w:t>Commercial Altered –</w:t>
            </w:r>
            <w:r w:rsidRPr="001B7F77">
              <w:rPr>
                <w:rFonts w:eastAsia="Times"/>
                <w:u w:val="single"/>
              </w:rPr>
              <w:t xml:space="preserve"> Originally erected in accordance with the laws in effect prior to December 6, 1968, as a nonresidential building, and used prior to January 1, 1977 for one or more of the nonresidential purposes enumerated in MDL § 277, and subsequently converted to a multiple dwelling in compliance with the 1938 Building Code and MDL Article 7-B.</w:t>
            </w:r>
          </w:p>
        </w:tc>
      </w:tr>
      <w:tr w:rsidR="001B7F77" w:rsidRPr="001B7F77" w14:paraId="6718FD49" w14:textId="77777777" w:rsidTr="006655A1">
        <w:trPr>
          <w:trHeight w:val="1667"/>
        </w:trPr>
        <w:tc>
          <w:tcPr>
            <w:tcW w:w="1450" w:type="dxa"/>
          </w:tcPr>
          <w:p w14:paraId="7AE998B9" w14:textId="77777777" w:rsidR="001B7F77" w:rsidRPr="001B7F77" w:rsidRDefault="001B7F77" w:rsidP="001B7F77">
            <w:pPr>
              <w:pBdr>
                <w:top w:val="nil"/>
                <w:left w:val="nil"/>
                <w:bottom w:val="nil"/>
                <w:right w:val="nil"/>
                <w:between w:val="nil"/>
              </w:pBdr>
              <w:suppressAutoHyphens/>
              <w:spacing w:before="120"/>
              <w:jc w:val="left"/>
              <w:rPr>
                <w:rFonts w:eastAsia="Times"/>
                <w:u w:val="single"/>
              </w:rPr>
            </w:pPr>
            <w:bookmarkStart w:id="237" w:name="_Hlk167180557"/>
            <w:r w:rsidRPr="001B7F77">
              <w:rPr>
                <w:rFonts w:eastAsia="Times"/>
                <w:u w:val="single"/>
              </w:rPr>
              <w:t>JAR</w:t>
            </w:r>
          </w:p>
        </w:tc>
        <w:tc>
          <w:tcPr>
            <w:tcW w:w="1450" w:type="dxa"/>
          </w:tcPr>
          <w:p w14:paraId="6E94E92A" w14:textId="77777777" w:rsidR="001B7F77" w:rsidRPr="001B7F77" w:rsidRDefault="001B7F77" w:rsidP="001B7F77">
            <w:pPr>
              <w:pBdr>
                <w:top w:val="nil"/>
                <w:left w:val="nil"/>
                <w:bottom w:val="nil"/>
                <w:right w:val="nil"/>
                <w:between w:val="nil"/>
              </w:pBdr>
              <w:suppressAutoHyphens/>
              <w:spacing w:before="120"/>
              <w:jc w:val="left"/>
              <w:rPr>
                <w:rFonts w:eastAsia="Times"/>
                <w:u w:val="single"/>
              </w:rPr>
            </w:pPr>
          </w:p>
        </w:tc>
        <w:tc>
          <w:tcPr>
            <w:tcW w:w="5368" w:type="dxa"/>
          </w:tcPr>
          <w:p w14:paraId="61C1E91E" w14:textId="77777777" w:rsidR="001B7F77" w:rsidRPr="001B7F77" w:rsidRDefault="001B7F77" w:rsidP="001B7F77">
            <w:pPr>
              <w:pBdr>
                <w:top w:val="nil"/>
                <w:left w:val="nil"/>
                <w:bottom w:val="nil"/>
                <w:right w:val="nil"/>
                <w:between w:val="nil"/>
              </w:pBdr>
              <w:suppressAutoHyphens/>
              <w:spacing w:before="120"/>
              <w:rPr>
                <w:rFonts w:eastAsia="Times"/>
                <w:u w:val="single"/>
              </w:rPr>
            </w:pPr>
            <w:r w:rsidRPr="001B7F77">
              <w:rPr>
                <w:rFonts w:eastAsia="Times"/>
                <w:b/>
                <w:u w:val="single"/>
              </w:rPr>
              <w:t>Joint Artist In Residence –</w:t>
            </w:r>
            <w:r w:rsidRPr="001B7F77">
              <w:rPr>
                <w:rFonts w:eastAsia="Times"/>
                <w:u w:val="single"/>
              </w:rPr>
              <w:t xml:space="preserve"> Containing DUs that are classified as a “joint living work quarters for artists” under Zoning Resolution § 12-10. These units are located in buildings converted pursuant to the 1938 Building Code and MDL Article 7-B.</w:t>
            </w:r>
          </w:p>
        </w:tc>
      </w:tr>
      <w:bookmarkEnd w:id="237"/>
      <w:tr w:rsidR="001B7F77" w:rsidRPr="001B7F77" w14:paraId="002D74CA" w14:textId="77777777" w:rsidTr="006655A1">
        <w:trPr>
          <w:trHeight w:val="1096"/>
        </w:trPr>
        <w:tc>
          <w:tcPr>
            <w:tcW w:w="1450" w:type="dxa"/>
          </w:tcPr>
          <w:p w14:paraId="44B9CE1C" w14:textId="77777777" w:rsidR="001B7F77" w:rsidRPr="001B7F77" w:rsidRDefault="001B7F77" w:rsidP="001B7F77">
            <w:pPr>
              <w:pBdr>
                <w:top w:val="nil"/>
                <w:left w:val="nil"/>
                <w:bottom w:val="nil"/>
                <w:right w:val="nil"/>
                <w:between w:val="nil"/>
              </w:pBdr>
              <w:suppressAutoHyphens/>
              <w:spacing w:before="120"/>
              <w:jc w:val="left"/>
              <w:rPr>
                <w:rFonts w:eastAsia="Times"/>
                <w:u w:val="single"/>
              </w:rPr>
            </w:pPr>
          </w:p>
        </w:tc>
        <w:tc>
          <w:tcPr>
            <w:tcW w:w="1450" w:type="dxa"/>
          </w:tcPr>
          <w:p w14:paraId="2724D3ED" w14:textId="77777777" w:rsidR="001B7F77" w:rsidRPr="001B7F77" w:rsidRDefault="001B7F77" w:rsidP="001B7F77">
            <w:pPr>
              <w:pBdr>
                <w:top w:val="nil"/>
                <w:left w:val="nil"/>
                <w:bottom w:val="nil"/>
                <w:right w:val="nil"/>
                <w:between w:val="nil"/>
              </w:pBdr>
              <w:suppressAutoHyphens/>
              <w:spacing w:before="120"/>
              <w:jc w:val="left"/>
              <w:rPr>
                <w:rFonts w:eastAsia="Times"/>
                <w:u w:val="single"/>
              </w:rPr>
            </w:pPr>
            <w:r w:rsidRPr="001B7F77">
              <w:rPr>
                <w:rFonts w:eastAsia="Times"/>
                <w:u w:val="single"/>
              </w:rPr>
              <w:t>LH</w:t>
            </w:r>
          </w:p>
        </w:tc>
        <w:tc>
          <w:tcPr>
            <w:tcW w:w="5368" w:type="dxa"/>
          </w:tcPr>
          <w:p w14:paraId="4AE2F713" w14:textId="77777777" w:rsidR="001B7F77" w:rsidRPr="001B7F77" w:rsidRDefault="001B7F77" w:rsidP="001B7F77">
            <w:pPr>
              <w:pBdr>
                <w:top w:val="nil"/>
                <w:left w:val="nil"/>
                <w:bottom w:val="nil"/>
                <w:right w:val="nil"/>
                <w:between w:val="nil"/>
              </w:pBdr>
              <w:suppressAutoHyphens/>
              <w:spacing w:before="120"/>
              <w:rPr>
                <w:rFonts w:eastAsia="Times"/>
                <w:u w:val="single"/>
              </w:rPr>
            </w:pPr>
            <w:r w:rsidRPr="001B7F77">
              <w:rPr>
                <w:rFonts w:eastAsia="Times"/>
                <w:b/>
                <w:u w:val="single"/>
              </w:rPr>
              <w:t xml:space="preserve">Lodging House – </w:t>
            </w:r>
            <w:r w:rsidRPr="001B7F77">
              <w:rPr>
                <w:rFonts w:eastAsia="Times"/>
                <w:u w:val="single"/>
              </w:rPr>
              <w:t xml:space="preserve">A multiple dwelling in which persons are housed for hire in open rooms, for a single night or for less than a month. </w:t>
            </w:r>
          </w:p>
        </w:tc>
      </w:tr>
    </w:tbl>
    <w:p w14:paraId="6AE61789" w14:textId="77777777" w:rsidR="001B7F77" w:rsidRPr="001B7F77" w:rsidRDefault="001B7F77" w:rsidP="001B7F77">
      <w:pPr>
        <w:suppressAutoHyphens/>
        <w:spacing w:before="120"/>
        <w:jc w:val="left"/>
        <w:rPr>
          <w:u w:val="single"/>
        </w:rPr>
      </w:pPr>
    </w:p>
    <w:p w14:paraId="1821DEC8" w14:textId="77777777" w:rsidR="001B7F77" w:rsidRPr="001B7F77" w:rsidRDefault="001B7F77" w:rsidP="001B7F77">
      <w:pPr>
        <w:pBdr>
          <w:top w:val="nil"/>
          <w:left w:val="nil"/>
          <w:bottom w:val="nil"/>
          <w:right w:val="nil"/>
          <w:between w:val="nil"/>
        </w:pBdr>
        <w:suppressAutoHyphens/>
        <w:spacing w:before="120"/>
        <w:ind w:left="360"/>
        <w:rPr>
          <w:rFonts w:eastAsia="Times"/>
          <w:b/>
          <w:color w:val="000000"/>
        </w:rPr>
        <w:sectPr w:rsidR="001B7F77" w:rsidRPr="001B7F77" w:rsidSect="001B7F77">
          <w:footerReference w:type="even" r:id="rId91"/>
          <w:footerReference w:type="default" r:id="rId92"/>
          <w:footerReference w:type="first" r:id="rId93"/>
          <w:pgSz w:w="12240" w:h="15840"/>
          <w:pgMar w:top="1440" w:right="1440" w:bottom="1440" w:left="1440" w:header="720" w:footer="720" w:gutter="0"/>
          <w:lnNumType w:countBy="1"/>
          <w:cols w:space="720"/>
        </w:sectPr>
      </w:pPr>
    </w:p>
    <w:p w14:paraId="666C51D5" w14:textId="77777777" w:rsidR="001B7F77" w:rsidRPr="001B7F77" w:rsidRDefault="001B7F77" w:rsidP="001B7F77">
      <w:pPr>
        <w:pBdr>
          <w:top w:val="nil"/>
          <w:left w:val="nil"/>
          <w:bottom w:val="nil"/>
          <w:right w:val="nil"/>
          <w:between w:val="nil"/>
        </w:pBdr>
        <w:suppressAutoHyphens/>
        <w:spacing w:before="120"/>
        <w:ind w:left="360"/>
        <w:rPr>
          <w:rFonts w:eastAsia="Times"/>
          <w:color w:val="000000"/>
          <w:u w:val="single"/>
        </w:rPr>
      </w:pPr>
      <w:r w:rsidRPr="001B7F77">
        <w:rPr>
          <w:rFonts w:eastAsia="Times"/>
          <w:b/>
          <w:color w:val="000000"/>
          <w:u w:val="single"/>
        </w:rPr>
        <w:t>D103.1 Determination of classification (MDL 8).</w:t>
      </w:r>
      <w:r w:rsidRPr="001B7F77">
        <w:rPr>
          <w:rFonts w:eastAsia="Times"/>
          <w:color w:val="000000"/>
          <w:u w:val="single"/>
        </w:rPr>
        <w:t xml:space="preserve"> The department shall have the power to classify dwellings.</w:t>
      </w:r>
    </w:p>
    <w:p w14:paraId="648C348A" w14:textId="77777777" w:rsidR="001B7F77" w:rsidRPr="001B7F77" w:rsidRDefault="001B7F77" w:rsidP="001B7F77">
      <w:pPr>
        <w:pBdr>
          <w:top w:val="nil"/>
          <w:left w:val="nil"/>
          <w:bottom w:val="nil"/>
          <w:right w:val="nil"/>
          <w:between w:val="nil"/>
        </w:pBdr>
        <w:suppressAutoHyphens/>
        <w:spacing w:before="120"/>
        <w:rPr>
          <w:rFonts w:eastAsia="Times"/>
          <w:b/>
          <w:color w:val="000000"/>
          <w:u w:val="single"/>
        </w:rPr>
      </w:pPr>
      <w:bookmarkStart w:id="238" w:name="_Hlk74068210"/>
      <w:r w:rsidRPr="001B7F77">
        <w:rPr>
          <w:rFonts w:eastAsia="Times"/>
          <w:b/>
          <w:color w:val="000000"/>
          <w:u w:val="single"/>
        </w:rPr>
        <w:t xml:space="preserve">D104 Applicability of other </w:t>
      </w:r>
      <w:bookmarkEnd w:id="238"/>
      <w:r w:rsidRPr="001B7F77">
        <w:rPr>
          <w:rFonts w:eastAsia="Times"/>
          <w:b/>
          <w:color w:val="000000"/>
          <w:u w:val="single"/>
        </w:rPr>
        <w:t xml:space="preserve">requirements. </w:t>
      </w:r>
      <w:r w:rsidRPr="001B7F77">
        <w:rPr>
          <w:rFonts w:eastAsia="Times"/>
          <w:bCs/>
          <w:color w:val="000000"/>
          <w:u w:val="single"/>
        </w:rPr>
        <w:t>The applicability of other laws and requirements shall be in accordance with Sections D104.1 through D104.3.</w:t>
      </w:r>
    </w:p>
    <w:p w14:paraId="71C87C01" w14:textId="77777777" w:rsidR="001B7F77" w:rsidRPr="001B7F77" w:rsidRDefault="001B7F77" w:rsidP="001B7F77">
      <w:pPr>
        <w:pBdr>
          <w:top w:val="nil"/>
          <w:left w:val="nil"/>
          <w:bottom w:val="nil"/>
          <w:right w:val="nil"/>
          <w:between w:val="nil"/>
        </w:pBdr>
        <w:suppressAutoHyphens/>
        <w:spacing w:before="120"/>
        <w:ind w:left="360"/>
        <w:rPr>
          <w:rFonts w:eastAsia="Times"/>
          <w:color w:val="000000"/>
          <w:u w:val="single"/>
        </w:rPr>
      </w:pPr>
      <w:bookmarkStart w:id="239" w:name="_Hlk74068284"/>
      <w:r w:rsidRPr="001B7F77">
        <w:rPr>
          <w:rFonts w:eastAsia="Times"/>
          <w:b/>
          <w:color w:val="000000"/>
          <w:u w:val="single"/>
        </w:rPr>
        <w:t>D104.1 Applicability of other provisions of this code</w:t>
      </w:r>
      <w:bookmarkEnd w:id="239"/>
      <w:r w:rsidRPr="001B7F77">
        <w:rPr>
          <w:rFonts w:eastAsia="Times"/>
          <w:b/>
          <w:color w:val="000000"/>
          <w:u w:val="single"/>
        </w:rPr>
        <w:t>.</w:t>
      </w:r>
      <w:r w:rsidRPr="001B7F77">
        <w:rPr>
          <w:rFonts w:eastAsia="Times"/>
          <w:color w:val="000000"/>
          <w:u w:val="single"/>
        </w:rPr>
        <w:t xml:space="preserve"> In addition to this Appendix D, the alteration, addition, repair, change of occupancy and relocation of existing multiple dwellings shall comply with all applicable provisions of Chapters 1 through 15 of this code.</w:t>
      </w:r>
    </w:p>
    <w:p w14:paraId="334A2574" w14:textId="77777777" w:rsidR="001B7F77" w:rsidRPr="001B7F77" w:rsidRDefault="001B7F77" w:rsidP="001B7F77">
      <w:pPr>
        <w:pBdr>
          <w:top w:val="nil"/>
          <w:left w:val="nil"/>
          <w:bottom w:val="nil"/>
          <w:right w:val="nil"/>
          <w:between w:val="nil"/>
        </w:pBdr>
        <w:suppressAutoHyphens/>
        <w:spacing w:before="120"/>
        <w:ind w:left="360"/>
        <w:rPr>
          <w:rFonts w:eastAsia="Times"/>
          <w:color w:val="000000"/>
          <w:u w:val="single"/>
        </w:rPr>
      </w:pPr>
      <w:r w:rsidRPr="001B7F77">
        <w:rPr>
          <w:rFonts w:eastAsia="Times"/>
          <w:b/>
          <w:color w:val="000000"/>
          <w:u w:val="single"/>
        </w:rPr>
        <w:t xml:space="preserve">D104.2 Existing conditions. </w:t>
      </w:r>
      <w:r w:rsidRPr="001B7F77">
        <w:rPr>
          <w:rFonts w:eastAsia="Times"/>
          <w:color w:val="000000"/>
          <w:u w:val="single"/>
        </w:rPr>
        <w:t xml:space="preserve">The provisions of the 1938 Building Code and 1968 Building Code remain applicable to the extent that they establish the lawful existing conditions of a multiple dwelling, and such provisions remain enforceable by the department, absent a lawful permit issued by the department to alter the building in accordance with the </w:t>
      </w:r>
      <w:r w:rsidRPr="001B7F77">
        <w:rPr>
          <w:rFonts w:eastAsia="Times"/>
          <w:i/>
          <w:color w:val="000000"/>
          <w:u w:val="single"/>
        </w:rPr>
        <w:t>New York City Existing Building Code</w:t>
      </w:r>
      <w:r w:rsidRPr="001B7F77">
        <w:rPr>
          <w:rFonts w:eastAsia="Times"/>
          <w:color w:val="000000"/>
          <w:u w:val="single"/>
        </w:rPr>
        <w:t xml:space="preserve"> and this Appendix D in a manner inconsistent with such prior codes.</w:t>
      </w:r>
    </w:p>
    <w:p w14:paraId="3E8BACFB" w14:textId="77777777" w:rsidR="001B7F77" w:rsidRPr="001B7F77" w:rsidRDefault="001B7F77" w:rsidP="001B7F77">
      <w:pPr>
        <w:pBdr>
          <w:top w:val="nil"/>
          <w:left w:val="nil"/>
          <w:bottom w:val="nil"/>
          <w:right w:val="nil"/>
          <w:between w:val="nil"/>
        </w:pBdr>
        <w:suppressAutoHyphens/>
        <w:spacing w:before="120"/>
        <w:ind w:left="360"/>
        <w:rPr>
          <w:rFonts w:eastAsia="Times"/>
          <w:color w:val="000000"/>
          <w:u w:val="single"/>
        </w:rPr>
      </w:pPr>
      <w:bookmarkStart w:id="240" w:name="_Hlk74068600"/>
      <w:r w:rsidRPr="001B7F77">
        <w:rPr>
          <w:rFonts w:eastAsia="Times"/>
          <w:b/>
          <w:color w:val="000000"/>
          <w:u w:val="single"/>
        </w:rPr>
        <w:t xml:space="preserve">D104.3 Applicability of the MDL. </w:t>
      </w:r>
      <w:bookmarkEnd w:id="240"/>
      <w:r w:rsidRPr="001B7F77">
        <w:rPr>
          <w:rFonts w:eastAsia="Times"/>
          <w:color w:val="000000"/>
          <w:u w:val="single"/>
        </w:rPr>
        <w:t>The provisions of this code including Appendix D incorporate or supplement but do not abrogate any applicable provisions of the MDL. See Section D104.3.1 for provisions of the MDL that are hereafter inapplicable to alterations and conversions for all multiple dwellings. See Section D101.1 regarding the intent of this appendix with respect to the MDL.</w:t>
      </w:r>
    </w:p>
    <w:p w14:paraId="0F77EADC" w14:textId="77777777" w:rsidR="001B7F77" w:rsidRPr="001B7F77" w:rsidRDefault="001B7F77" w:rsidP="001B7F77">
      <w:pPr>
        <w:pBdr>
          <w:top w:val="nil"/>
          <w:left w:val="nil"/>
          <w:bottom w:val="nil"/>
          <w:right w:val="nil"/>
          <w:between w:val="nil"/>
        </w:pBdr>
        <w:suppressAutoHyphens/>
        <w:spacing w:before="120"/>
        <w:ind w:left="720"/>
        <w:rPr>
          <w:rFonts w:eastAsia="Times"/>
          <w:color w:val="000000"/>
          <w:u w:val="single"/>
        </w:rPr>
      </w:pPr>
      <w:r w:rsidRPr="001B7F77">
        <w:rPr>
          <w:rFonts w:eastAsia="Times"/>
          <w:b/>
          <w:bCs/>
          <w:u w:val="single"/>
        </w:rPr>
        <w:t xml:space="preserve">D104.3.1 Provisions inapplicable to alterations. </w:t>
      </w:r>
      <w:r w:rsidRPr="001B7F77">
        <w:rPr>
          <w:rFonts w:eastAsia="Times"/>
          <w:u w:val="single"/>
        </w:rPr>
        <w:t>In accordance with MDL Section 3(11), the following provisions of the MDL are inapplicable for all alterations and conversions performed after the effective date of the local law that added this section, and the applicable requirements of this code shall apply in lieu thereof:</w:t>
      </w:r>
    </w:p>
    <w:p w14:paraId="0679ACF4" w14:textId="77777777" w:rsidR="001B7F77" w:rsidRPr="001B7F77" w:rsidRDefault="001B7F77" w:rsidP="001B7F77">
      <w:pPr>
        <w:pBdr>
          <w:top w:val="nil"/>
          <w:left w:val="nil"/>
          <w:bottom w:val="nil"/>
          <w:right w:val="nil"/>
          <w:between w:val="nil"/>
        </w:pBdr>
        <w:suppressAutoHyphens/>
        <w:spacing w:before="120"/>
        <w:ind w:left="1440" w:hanging="360"/>
        <w:rPr>
          <w:rFonts w:eastAsia="Times"/>
          <w:u w:val="single"/>
        </w:rPr>
      </w:pPr>
      <w:r w:rsidRPr="001B7F77">
        <w:rPr>
          <w:rFonts w:eastAsia="Times"/>
          <w:color w:val="000000"/>
          <w:u w:val="single"/>
        </w:rPr>
        <w:t>1.</w:t>
      </w:r>
      <w:r w:rsidRPr="001B7F77">
        <w:rPr>
          <w:rFonts w:eastAsia="Times"/>
          <w:color w:val="000000"/>
          <w:u w:val="single"/>
        </w:rPr>
        <w:tab/>
        <w:t>Section 4(25), definition of “fireproof multiple dwelling”</w:t>
      </w:r>
    </w:p>
    <w:p w14:paraId="04ECB482" w14:textId="77777777" w:rsidR="001B7F77" w:rsidRPr="001B7F77" w:rsidRDefault="001B7F77" w:rsidP="001B7F77">
      <w:pPr>
        <w:pBdr>
          <w:top w:val="nil"/>
          <w:left w:val="nil"/>
          <w:bottom w:val="nil"/>
          <w:right w:val="nil"/>
          <w:between w:val="nil"/>
        </w:pBdr>
        <w:suppressAutoHyphens/>
        <w:spacing w:before="120"/>
        <w:ind w:left="1440" w:hanging="360"/>
        <w:rPr>
          <w:rFonts w:eastAsia="Times"/>
          <w:u w:val="single"/>
        </w:rPr>
      </w:pPr>
      <w:r w:rsidRPr="001B7F77">
        <w:rPr>
          <w:rFonts w:eastAsia="Times"/>
          <w:color w:val="000000"/>
          <w:u w:val="single"/>
        </w:rPr>
        <w:t>2.</w:t>
      </w:r>
      <w:r w:rsidRPr="001B7F77">
        <w:rPr>
          <w:rFonts w:eastAsia="Times"/>
          <w:color w:val="000000"/>
          <w:u w:val="single"/>
        </w:rPr>
        <w:tab/>
        <w:t>Section 4(27), definition of “non-fireproof dwelling”</w:t>
      </w:r>
    </w:p>
    <w:p w14:paraId="07D5849F" w14:textId="77777777" w:rsidR="001B7F77" w:rsidRPr="001B7F77" w:rsidRDefault="001B7F77" w:rsidP="001B7F77">
      <w:pPr>
        <w:pBdr>
          <w:top w:val="nil"/>
          <w:left w:val="nil"/>
          <w:bottom w:val="nil"/>
          <w:right w:val="nil"/>
          <w:between w:val="nil"/>
        </w:pBdr>
        <w:suppressAutoHyphens/>
        <w:spacing w:before="120"/>
        <w:ind w:left="1440" w:hanging="360"/>
        <w:rPr>
          <w:rFonts w:eastAsia="Times"/>
          <w:u w:val="single"/>
        </w:rPr>
      </w:pPr>
      <w:r w:rsidRPr="001B7F77">
        <w:rPr>
          <w:rFonts w:eastAsia="Times"/>
          <w:color w:val="000000"/>
          <w:u w:val="single"/>
        </w:rPr>
        <w:t>3.</w:t>
      </w:r>
      <w:r w:rsidRPr="001B7F77">
        <w:rPr>
          <w:rFonts w:eastAsia="Times"/>
          <w:color w:val="000000"/>
          <w:u w:val="single"/>
        </w:rPr>
        <w:tab/>
        <w:t>Section 4(28), definition of “frame dwelling”</w:t>
      </w:r>
    </w:p>
    <w:p w14:paraId="254D6D61" w14:textId="77777777" w:rsidR="001B7F77" w:rsidRPr="001B7F77" w:rsidRDefault="001B7F77" w:rsidP="00FD2721">
      <w:pPr>
        <w:pBdr>
          <w:top w:val="nil"/>
          <w:left w:val="nil"/>
          <w:bottom w:val="nil"/>
          <w:right w:val="nil"/>
          <w:between w:val="nil"/>
        </w:pBdr>
        <w:suppressAutoHyphens/>
        <w:spacing w:before="120"/>
        <w:ind w:left="1440" w:hanging="360"/>
        <w:rPr>
          <w:rFonts w:eastAsia="Times"/>
          <w:u w:val="single"/>
        </w:rPr>
      </w:pPr>
      <w:r w:rsidRPr="001B7F77">
        <w:rPr>
          <w:rFonts w:eastAsia="Times"/>
          <w:color w:val="000000"/>
          <w:u w:val="single"/>
        </w:rPr>
        <w:t>4.</w:t>
      </w:r>
      <w:r w:rsidRPr="001B7F77">
        <w:rPr>
          <w:rFonts w:eastAsia="Times"/>
          <w:color w:val="000000"/>
          <w:u w:val="single"/>
        </w:rPr>
        <w:tab/>
        <w:t>Section 4(35)(c), definition of “height” for certain fireproof multiple dwellings</w:t>
      </w:r>
    </w:p>
    <w:p w14:paraId="2669DCC2" w14:textId="77777777" w:rsidR="001B7F77" w:rsidRPr="001B7F77" w:rsidRDefault="001B7F77" w:rsidP="00FD2721">
      <w:pPr>
        <w:pBdr>
          <w:top w:val="nil"/>
          <w:left w:val="nil"/>
          <w:bottom w:val="nil"/>
          <w:right w:val="nil"/>
          <w:between w:val="nil"/>
        </w:pBdr>
        <w:suppressAutoHyphens/>
        <w:spacing w:before="120"/>
        <w:ind w:left="1440" w:hanging="360"/>
        <w:rPr>
          <w:rFonts w:eastAsia="Times"/>
          <w:u w:val="single"/>
        </w:rPr>
      </w:pPr>
      <w:r w:rsidRPr="001B7F77">
        <w:rPr>
          <w:rFonts w:eastAsia="Times"/>
          <w:color w:val="000000"/>
          <w:u w:val="single"/>
        </w:rPr>
        <w:t>5.</w:t>
      </w:r>
      <w:r w:rsidRPr="001B7F77">
        <w:rPr>
          <w:rFonts w:eastAsia="Times"/>
          <w:color w:val="000000"/>
          <w:u w:val="single"/>
        </w:rPr>
        <w:tab/>
        <w:t>Section 4(36), definition of “story”</w:t>
      </w:r>
    </w:p>
    <w:p w14:paraId="4646D2FF" w14:textId="77777777" w:rsidR="001B7F77" w:rsidRPr="001B7F77" w:rsidRDefault="001B7F77" w:rsidP="00FD2721">
      <w:pPr>
        <w:pBdr>
          <w:top w:val="nil"/>
          <w:left w:val="nil"/>
          <w:bottom w:val="nil"/>
          <w:right w:val="nil"/>
          <w:between w:val="nil"/>
        </w:pBdr>
        <w:suppressAutoHyphens/>
        <w:spacing w:before="120"/>
        <w:ind w:left="1440" w:hanging="360"/>
        <w:rPr>
          <w:rFonts w:eastAsia="Times"/>
          <w:u w:val="single"/>
        </w:rPr>
      </w:pPr>
      <w:r w:rsidRPr="001B7F77">
        <w:rPr>
          <w:rFonts w:eastAsia="Times"/>
          <w:color w:val="000000"/>
          <w:u w:val="single"/>
        </w:rPr>
        <w:t>6.</w:t>
      </w:r>
      <w:r w:rsidRPr="001B7F77">
        <w:rPr>
          <w:rFonts w:eastAsia="Times"/>
          <w:color w:val="000000"/>
          <w:u w:val="single"/>
        </w:rPr>
        <w:tab/>
        <w:t>Section 4(39), definition of “section”</w:t>
      </w:r>
    </w:p>
    <w:p w14:paraId="26195648" w14:textId="77777777" w:rsidR="001B7F77" w:rsidRPr="001B7F77" w:rsidRDefault="001B7F77" w:rsidP="00FD2721">
      <w:pPr>
        <w:pBdr>
          <w:top w:val="nil"/>
          <w:left w:val="nil"/>
          <w:bottom w:val="nil"/>
          <w:right w:val="nil"/>
          <w:between w:val="nil"/>
        </w:pBdr>
        <w:suppressAutoHyphens/>
        <w:spacing w:before="120"/>
        <w:ind w:left="1440" w:hanging="360"/>
        <w:rPr>
          <w:rFonts w:eastAsia="Times"/>
          <w:u w:val="single"/>
        </w:rPr>
      </w:pPr>
      <w:r w:rsidRPr="001B7F77">
        <w:rPr>
          <w:rFonts w:eastAsia="Times"/>
          <w:color w:val="000000"/>
          <w:u w:val="single"/>
        </w:rPr>
        <w:t>7.</w:t>
      </w:r>
      <w:r w:rsidRPr="001B7F77">
        <w:rPr>
          <w:rFonts w:eastAsia="Times"/>
          <w:color w:val="000000"/>
          <w:u w:val="single"/>
        </w:rPr>
        <w:tab/>
        <w:t>Section 28(3), certain passageways</w:t>
      </w:r>
    </w:p>
    <w:p w14:paraId="350FD33C" w14:textId="77777777" w:rsidR="001B7F77" w:rsidRPr="001B7F77" w:rsidRDefault="001B7F77" w:rsidP="00FD2721">
      <w:pPr>
        <w:pBdr>
          <w:top w:val="nil"/>
          <w:left w:val="nil"/>
          <w:bottom w:val="nil"/>
          <w:right w:val="nil"/>
          <w:between w:val="nil"/>
        </w:pBdr>
        <w:suppressAutoHyphens/>
        <w:spacing w:before="120"/>
        <w:ind w:left="1440" w:hanging="360"/>
        <w:rPr>
          <w:rFonts w:eastAsia="Times"/>
          <w:u w:val="single"/>
        </w:rPr>
      </w:pPr>
      <w:r w:rsidRPr="001B7F77">
        <w:rPr>
          <w:rFonts w:eastAsia="Times"/>
          <w:color w:val="000000"/>
          <w:u w:val="single"/>
        </w:rPr>
        <w:t>8.</w:t>
      </w:r>
      <w:r w:rsidRPr="001B7F77">
        <w:rPr>
          <w:rFonts w:eastAsia="Times"/>
          <w:color w:val="000000"/>
          <w:u w:val="single"/>
        </w:rPr>
        <w:tab/>
        <w:t>Section 36, “Windows and skylights for public halls and stairs”</w:t>
      </w:r>
    </w:p>
    <w:p w14:paraId="3B277EC9" w14:textId="77777777" w:rsidR="001B7F77" w:rsidRPr="001B7F77" w:rsidRDefault="001B7F77" w:rsidP="00FD2721">
      <w:pPr>
        <w:pBdr>
          <w:top w:val="nil"/>
          <w:left w:val="nil"/>
          <w:bottom w:val="nil"/>
          <w:right w:val="nil"/>
          <w:between w:val="nil"/>
        </w:pBdr>
        <w:suppressAutoHyphens/>
        <w:spacing w:before="120"/>
        <w:ind w:left="1440" w:hanging="360"/>
        <w:rPr>
          <w:rFonts w:eastAsia="Times"/>
          <w:u w:val="single"/>
        </w:rPr>
      </w:pPr>
      <w:r w:rsidRPr="001B7F77">
        <w:rPr>
          <w:rFonts w:eastAsia="Times"/>
          <w:color w:val="000000"/>
          <w:u w:val="single"/>
        </w:rPr>
        <w:t>9.</w:t>
      </w:r>
      <w:r w:rsidRPr="001B7F77">
        <w:rPr>
          <w:rFonts w:eastAsia="Times"/>
          <w:color w:val="000000"/>
          <w:u w:val="single"/>
        </w:rPr>
        <w:tab/>
        <w:t>Section 37, “Artificial hall lighting</w:t>
      </w:r>
    </w:p>
    <w:p w14:paraId="7537C4A0" w14:textId="77777777" w:rsidR="001B7F77" w:rsidRPr="001B7F77" w:rsidRDefault="001B7F77" w:rsidP="00FD2721">
      <w:pPr>
        <w:pBdr>
          <w:top w:val="nil"/>
          <w:left w:val="nil"/>
          <w:bottom w:val="nil"/>
          <w:right w:val="nil"/>
          <w:between w:val="nil"/>
        </w:pBdr>
        <w:suppressAutoHyphens/>
        <w:spacing w:before="120"/>
        <w:ind w:left="1440" w:hanging="360"/>
        <w:rPr>
          <w:rFonts w:eastAsia="Times"/>
          <w:u w:val="single"/>
        </w:rPr>
      </w:pPr>
      <w:r w:rsidRPr="001B7F77">
        <w:rPr>
          <w:rFonts w:eastAsia="Times"/>
          <w:color w:val="000000"/>
          <w:u w:val="single"/>
        </w:rPr>
        <w:t>10.</w:t>
      </w:r>
      <w:r w:rsidRPr="001B7F77">
        <w:rPr>
          <w:rFonts w:eastAsia="Times"/>
          <w:color w:val="000000"/>
          <w:u w:val="single"/>
        </w:rPr>
        <w:tab/>
        <w:t>Section 50, “Entrance halls”</w:t>
      </w:r>
    </w:p>
    <w:p w14:paraId="777F25A2" w14:textId="77777777" w:rsidR="001B7F77" w:rsidRPr="001B7F77" w:rsidRDefault="001B7F77" w:rsidP="00FD2721">
      <w:pPr>
        <w:pBdr>
          <w:top w:val="nil"/>
          <w:left w:val="nil"/>
          <w:bottom w:val="nil"/>
          <w:right w:val="nil"/>
          <w:between w:val="nil"/>
        </w:pBdr>
        <w:suppressAutoHyphens/>
        <w:spacing w:before="120"/>
        <w:ind w:left="1440" w:hanging="360"/>
        <w:rPr>
          <w:rFonts w:eastAsia="Times"/>
          <w:u w:val="single"/>
        </w:rPr>
      </w:pPr>
      <w:r w:rsidRPr="001B7F77">
        <w:rPr>
          <w:rFonts w:eastAsia="Times"/>
          <w:color w:val="000000"/>
          <w:u w:val="single"/>
        </w:rPr>
        <w:t>11.</w:t>
      </w:r>
      <w:r w:rsidRPr="001B7F77">
        <w:rPr>
          <w:rFonts w:eastAsia="Times"/>
          <w:color w:val="000000"/>
          <w:u w:val="single"/>
        </w:rPr>
        <w:tab/>
        <w:t>Section 51, “Shafts, elevators and dumbwaiters”</w:t>
      </w:r>
    </w:p>
    <w:p w14:paraId="63D3AD43" w14:textId="77777777" w:rsidR="001B7F77" w:rsidRPr="001B7F77" w:rsidRDefault="001B7F77" w:rsidP="00FD2721">
      <w:pPr>
        <w:pBdr>
          <w:top w:val="nil"/>
          <w:left w:val="nil"/>
          <w:bottom w:val="nil"/>
          <w:right w:val="nil"/>
          <w:between w:val="nil"/>
        </w:pBdr>
        <w:suppressAutoHyphens/>
        <w:spacing w:before="120"/>
        <w:ind w:left="1440" w:hanging="360"/>
        <w:rPr>
          <w:rFonts w:eastAsia="Times"/>
          <w:u w:val="single"/>
        </w:rPr>
      </w:pPr>
      <w:r w:rsidRPr="001B7F77">
        <w:rPr>
          <w:rFonts w:eastAsia="Times"/>
          <w:color w:val="000000"/>
          <w:u w:val="single"/>
        </w:rPr>
        <w:t>12.</w:t>
      </w:r>
      <w:r w:rsidRPr="001B7F77">
        <w:rPr>
          <w:rFonts w:eastAsia="Times"/>
          <w:color w:val="000000"/>
          <w:u w:val="single"/>
        </w:rPr>
        <w:tab/>
        <w:t>Section 52, “Stairs”</w:t>
      </w:r>
    </w:p>
    <w:p w14:paraId="4AAAD575" w14:textId="77777777" w:rsidR="001B7F77" w:rsidRPr="001B7F77" w:rsidRDefault="001B7F77" w:rsidP="00FD2721">
      <w:pPr>
        <w:pBdr>
          <w:top w:val="nil"/>
          <w:left w:val="nil"/>
          <w:bottom w:val="nil"/>
          <w:right w:val="nil"/>
          <w:between w:val="nil"/>
        </w:pBdr>
        <w:suppressAutoHyphens/>
        <w:spacing w:before="120"/>
        <w:ind w:left="1440" w:hanging="360"/>
        <w:rPr>
          <w:rFonts w:eastAsia="Times"/>
          <w:u w:val="single"/>
        </w:rPr>
      </w:pPr>
      <w:r w:rsidRPr="001B7F77">
        <w:rPr>
          <w:rFonts w:eastAsia="Times"/>
          <w:color w:val="000000"/>
          <w:u w:val="single"/>
        </w:rPr>
        <w:t>13.</w:t>
      </w:r>
      <w:r w:rsidRPr="001B7F77">
        <w:rPr>
          <w:rFonts w:eastAsia="Times"/>
          <w:color w:val="000000"/>
          <w:u w:val="single"/>
        </w:rPr>
        <w:tab/>
        <w:t>Section 53, “Fire-escapes”</w:t>
      </w:r>
    </w:p>
    <w:p w14:paraId="16CBB57C" w14:textId="77777777" w:rsidR="001B7F77" w:rsidRPr="001B7F77" w:rsidRDefault="001B7F77" w:rsidP="00FD2721">
      <w:pPr>
        <w:pBdr>
          <w:top w:val="nil"/>
          <w:left w:val="nil"/>
          <w:bottom w:val="nil"/>
          <w:right w:val="nil"/>
          <w:between w:val="nil"/>
        </w:pBdr>
        <w:suppressAutoHyphens/>
        <w:spacing w:before="120"/>
        <w:ind w:left="1440" w:hanging="360"/>
        <w:rPr>
          <w:rFonts w:eastAsia="Times"/>
          <w:u w:val="single"/>
        </w:rPr>
      </w:pPr>
      <w:r w:rsidRPr="001B7F77">
        <w:rPr>
          <w:rFonts w:eastAsia="Times"/>
          <w:color w:val="000000"/>
          <w:u w:val="single"/>
        </w:rPr>
        <w:t>14.</w:t>
      </w:r>
      <w:r w:rsidRPr="001B7F77">
        <w:rPr>
          <w:rFonts w:eastAsia="Times"/>
          <w:color w:val="000000"/>
          <w:u w:val="single"/>
        </w:rPr>
        <w:tab/>
        <w:t>Section 55, “Wainscoting”</w:t>
      </w:r>
    </w:p>
    <w:p w14:paraId="1FFE1091" w14:textId="77777777" w:rsidR="001B7F77" w:rsidRPr="001B7F77" w:rsidRDefault="001B7F77" w:rsidP="00FD2721">
      <w:pPr>
        <w:pBdr>
          <w:top w:val="nil"/>
          <w:left w:val="nil"/>
          <w:bottom w:val="nil"/>
          <w:right w:val="nil"/>
          <w:between w:val="nil"/>
        </w:pBdr>
        <w:suppressAutoHyphens/>
        <w:spacing w:before="120"/>
        <w:ind w:left="1440" w:hanging="360"/>
        <w:rPr>
          <w:rFonts w:eastAsia="Times"/>
          <w:u w:val="single"/>
        </w:rPr>
      </w:pPr>
      <w:r w:rsidRPr="001B7F77">
        <w:rPr>
          <w:rFonts w:eastAsia="Times"/>
          <w:color w:val="000000"/>
          <w:u w:val="single"/>
        </w:rPr>
        <w:t>15.</w:t>
      </w:r>
      <w:r w:rsidRPr="001B7F77">
        <w:rPr>
          <w:rFonts w:eastAsia="Times"/>
          <w:color w:val="000000"/>
          <w:u w:val="single"/>
        </w:rPr>
        <w:tab/>
        <w:t>Section 60, “Motor vehicle storage”</w:t>
      </w:r>
    </w:p>
    <w:p w14:paraId="70CE5F31" w14:textId="77777777" w:rsidR="001B7F77" w:rsidRPr="001B7F77" w:rsidRDefault="001B7F77" w:rsidP="00FD2721">
      <w:pPr>
        <w:pBdr>
          <w:top w:val="nil"/>
          <w:left w:val="nil"/>
          <w:bottom w:val="nil"/>
          <w:right w:val="nil"/>
          <w:between w:val="nil"/>
        </w:pBdr>
        <w:suppressAutoHyphens/>
        <w:spacing w:before="120"/>
        <w:ind w:left="1440" w:hanging="360"/>
        <w:rPr>
          <w:rFonts w:eastAsia="Times"/>
          <w:u w:val="single"/>
        </w:rPr>
      </w:pPr>
      <w:r w:rsidRPr="001B7F77">
        <w:rPr>
          <w:rFonts w:eastAsia="Times"/>
          <w:color w:val="000000"/>
          <w:u w:val="single"/>
        </w:rPr>
        <w:t>16.</w:t>
      </w:r>
      <w:r w:rsidRPr="001B7F77">
        <w:rPr>
          <w:rFonts w:eastAsia="Times"/>
          <w:color w:val="000000"/>
          <w:u w:val="single"/>
        </w:rPr>
        <w:tab/>
        <w:t>Section 61, “Business Uses”</w:t>
      </w:r>
    </w:p>
    <w:p w14:paraId="3826D6CF" w14:textId="77777777" w:rsidR="001B7F77" w:rsidRPr="001B7F77" w:rsidRDefault="001B7F77" w:rsidP="00FD2721">
      <w:pPr>
        <w:pBdr>
          <w:top w:val="nil"/>
          <w:left w:val="nil"/>
          <w:bottom w:val="nil"/>
          <w:right w:val="nil"/>
          <w:between w:val="nil"/>
        </w:pBdr>
        <w:suppressAutoHyphens/>
        <w:spacing w:before="120"/>
        <w:ind w:left="1440" w:hanging="360"/>
        <w:rPr>
          <w:rFonts w:eastAsia="Times"/>
          <w:u w:val="single"/>
        </w:rPr>
      </w:pPr>
      <w:r w:rsidRPr="001B7F77">
        <w:rPr>
          <w:rFonts w:eastAsia="Times"/>
          <w:color w:val="000000"/>
          <w:u w:val="single"/>
        </w:rPr>
        <w:t>17.</w:t>
      </w:r>
      <w:r w:rsidRPr="001B7F77">
        <w:rPr>
          <w:rFonts w:eastAsia="Times"/>
          <w:color w:val="000000"/>
          <w:u w:val="single"/>
        </w:rPr>
        <w:tab/>
        <w:t>Section 67, “Hotels and certain other class A and class B buildings”</w:t>
      </w:r>
    </w:p>
    <w:p w14:paraId="450B8E5A" w14:textId="77777777" w:rsidR="001B7F77" w:rsidRPr="001B7F77" w:rsidRDefault="001B7F77" w:rsidP="00FD2721">
      <w:pPr>
        <w:pBdr>
          <w:top w:val="nil"/>
          <w:left w:val="nil"/>
          <w:bottom w:val="nil"/>
          <w:right w:val="nil"/>
          <w:between w:val="nil"/>
        </w:pBdr>
        <w:suppressAutoHyphens/>
        <w:spacing w:before="120"/>
        <w:ind w:left="1440" w:hanging="360"/>
        <w:rPr>
          <w:rFonts w:eastAsia="Times"/>
          <w:u w:val="single"/>
        </w:rPr>
      </w:pPr>
      <w:r w:rsidRPr="001B7F77">
        <w:rPr>
          <w:rFonts w:eastAsia="Times"/>
          <w:color w:val="000000"/>
          <w:u w:val="single"/>
        </w:rPr>
        <w:t>18.</w:t>
      </w:r>
      <w:r w:rsidRPr="001B7F77">
        <w:rPr>
          <w:rFonts w:eastAsia="Times"/>
          <w:color w:val="000000"/>
          <w:u w:val="single"/>
        </w:rPr>
        <w:tab/>
        <w:t>Section 75(1), (2), (4) and (5), “Water supply”</w:t>
      </w:r>
    </w:p>
    <w:p w14:paraId="6760F3A7" w14:textId="77777777" w:rsidR="001B7F77" w:rsidRPr="001B7F77" w:rsidRDefault="001B7F77" w:rsidP="00FD2721">
      <w:pPr>
        <w:pBdr>
          <w:top w:val="nil"/>
          <w:left w:val="nil"/>
          <w:bottom w:val="nil"/>
          <w:right w:val="nil"/>
          <w:between w:val="nil"/>
        </w:pBdr>
        <w:suppressAutoHyphens/>
        <w:spacing w:before="120"/>
        <w:ind w:left="1440" w:hanging="360"/>
        <w:rPr>
          <w:rFonts w:eastAsia="Times"/>
          <w:u w:val="single"/>
        </w:rPr>
      </w:pPr>
      <w:r w:rsidRPr="001B7F77">
        <w:rPr>
          <w:rFonts w:eastAsia="Times"/>
          <w:color w:val="000000"/>
          <w:u w:val="single"/>
        </w:rPr>
        <w:t>19.</w:t>
      </w:r>
      <w:r w:rsidRPr="001B7F77">
        <w:rPr>
          <w:rFonts w:eastAsia="Times"/>
          <w:color w:val="000000"/>
          <w:u w:val="single"/>
        </w:rPr>
        <w:tab/>
        <w:t>Article 4, Sections 101 through 117, “Fireproof Multiple Dwellings”</w:t>
      </w:r>
    </w:p>
    <w:p w14:paraId="0D702929" w14:textId="77777777" w:rsidR="001B7F77" w:rsidRPr="001B7F77" w:rsidRDefault="001B7F77" w:rsidP="00FD2721">
      <w:pPr>
        <w:pBdr>
          <w:top w:val="nil"/>
          <w:left w:val="nil"/>
          <w:bottom w:val="nil"/>
          <w:right w:val="nil"/>
          <w:between w:val="nil"/>
        </w:pBdr>
        <w:suppressAutoHyphens/>
        <w:spacing w:before="120"/>
        <w:ind w:left="1440" w:hanging="360"/>
        <w:rPr>
          <w:rFonts w:eastAsia="Times"/>
          <w:u w:val="single"/>
        </w:rPr>
      </w:pPr>
      <w:r w:rsidRPr="001B7F77">
        <w:rPr>
          <w:rFonts w:eastAsia="Times"/>
          <w:color w:val="000000"/>
          <w:u w:val="single"/>
        </w:rPr>
        <w:t>20.</w:t>
      </w:r>
      <w:r w:rsidRPr="001B7F77">
        <w:rPr>
          <w:rFonts w:eastAsia="Times"/>
          <w:color w:val="000000"/>
          <w:u w:val="single"/>
        </w:rPr>
        <w:tab/>
        <w:t>Article 5, “Non-fireproof Multiple Dwellings”</w:t>
      </w:r>
    </w:p>
    <w:p w14:paraId="22E7B50E" w14:textId="77777777" w:rsidR="001B7F77" w:rsidRPr="001B7F77" w:rsidRDefault="001B7F77" w:rsidP="00FD2721">
      <w:pPr>
        <w:pBdr>
          <w:top w:val="nil"/>
          <w:left w:val="nil"/>
          <w:bottom w:val="nil"/>
          <w:right w:val="nil"/>
          <w:between w:val="nil"/>
        </w:pBdr>
        <w:suppressAutoHyphens/>
        <w:spacing w:before="120"/>
        <w:ind w:left="1440" w:hanging="360"/>
        <w:rPr>
          <w:rFonts w:eastAsia="Times"/>
          <w:u w:val="single"/>
        </w:rPr>
      </w:pPr>
      <w:r w:rsidRPr="001B7F77">
        <w:rPr>
          <w:rFonts w:eastAsia="Times"/>
          <w:color w:val="000000"/>
          <w:u w:val="single"/>
        </w:rPr>
        <w:t>21.</w:t>
      </w:r>
      <w:r w:rsidRPr="001B7F77">
        <w:rPr>
          <w:rFonts w:eastAsia="Times"/>
          <w:color w:val="000000"/>
          <w:u w:val="single"/>
        </w:rPr>
        <w:tab/>
        <w:t>Article 5-A, “Garden-type Maisonette</w:t>
      </w:r>
      <w:r w:rsidRPr="001B7F77">
        <w:rPr>
          <w:rFonts w:eastAsia="Times"/>
          <w:u w:val="single"/>
        </w:rPr>
        <w:t xml:space="preserve"> </w:t>
      </w:r>
      <w:r w:rsidRPr="001B7F77">
        <w:rPr>
          <w:rFonts w:eastAsia="Times"/>
          <w:color w:val="000000"/>
          <w:u w:val="single"/>
        </w:rPr>
        <w:t>Dwelling Projects”</w:t>
      </w:r>
    </w:p>
    <w:p w14:paraId="2E19A58A" w14:textId="77777777" w:rsidR="001B7F77" w:rsidRPr="001B7F77" w:rsidRDefault="001B7F77" w:rsidP="00FD2721">
      <w:pPr>
        <w:pBdr>
          <w:top w:val="nil"/>
          <w:left w:val="nil"/>
          <w:bottom w:val="nil"/>
          <w:right w:val="nil"/>
          <w:between w:val="nil"/>
        </w:pBdr>
        <w:suppressAutoHyphens/>
        <w:spacing w:before="120"/>
        <w:ind w:left="1440" w:hanging="360"/>
        <w:rPr>
          <w:rFonts w:eastAsia="Times"/>
          <w:color w:val="000000"/>
          <w:u w:val="single"/>
        </w:rPr>
      </w:pPr>
      <w:r w:rsidRPr="001B7F77">
        <w:rPr>
          <w:rFonts w:eastAsia="Times"/>
          <w:color w:val="000000"/>
          <w:u w:val="single"/>
        </w:rPr>
        <w:t>22.</w:t>
      </w:r>
      <w:r w:rsidRPr="001B7F77">
        <w:rPr>
          <w:rFonts w:eastAsia="Times"/>
          <w:color w:val="000000"/>
          <w:u w:val="single"/>
        </w:rPr>
        <w:tab/>
        <w:t>Article 6, “Converted Dwellings”</w:t>
      </w:r>
    </w:p>
    <w:p w14:paraId="28F0759A" w14:textId="77777777" w:rsidR="001B7F77" w:rsidRPr="001B7F77" w:rsidRDefault="001B7F77" w:rsidP="00FD2721">
      <w:pPr>
        <w:pBdr>
          <w:top w:val="nil"/>
          <w:left w:val="nil"/>
          <w:bottom w:val="nil"/>
          <w:right w:val="nil"/>
          <w:between w:val="nil"/>
        </w:pBdr>
        <w:suppressAutoHyphens/>
        <w:spacing w:before="120"/>
        <w:ind w:left="1080"/>
        <w:rPr>
          <w:rFonts w:eastAsia="Times"/>
          <w:color w:val="000000"/>
          <w:u w:val="single"/>
        </w:rPr>
      </w:pPr>
      <w:r w:rsidRPr="001B7F77">
        <w:rPr>
          <w:rFonts w:eastAsia="Times"/>
          <w:b/>
          <w:color w:val="000000"/>
          <w:u w:val="single"/>
        </w:rPr>
        <w:t xml:space="preserve">D104.3.1.1 Existing conditions. </w:t>
      </w:r>
      <w:r w:rsidRPr="001B7F77">
        <w:rPr>
          <w:rFonts w:eastAsia="Times"/>
          <w:color w:val="000000"/>
          <w:u w:val="single"/>
        </w:rPr>
        <w:t xml:space="preserve">The provisions of the MDL enumerated in Section D104.3.1 remain applicable to the extent that they establish the lawful existing conditions of a multiple dwelling. Such provisions remain enforceable by the department, absent a lawful permit issued by the department to alter the building in a manner inconsistent with such provisions and in accordance with the </w:t>
      </w:r>
      <w:r w:rsidRPr="001B7F77">
        <w:rPr>
          <w:rFonts w:eastAsia="Times"/>
          <w:i/>
          <w:color w:val="000000"/>
          <w:u w:val="single"/>
        </w:rPr>
        <w:t>New York City Existing Building Code</w:t>
      </w:r>
      <w:r w:rsidRPr="001B7F77">
        <w:rPr>
          <w:rFonts w:eastAsia="Times"/>
          <w:color w:val="000000"/>
          <w:u w:val="single"/>
        </w:rPr>
        <w:t xml:space="preserve"> and this Appendix D.</w:t>
      </w:r>
    </w:p>
    <w:p w14:paraId="2BDC5FF3"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u w:val="single"/>
        </w:rPr>
      </w:pPr>
      <w:r w:rsidRPr="001B7F77">
        <w:rPr>
          <w:rFonts w:eastAsia="Times"/>
          <w:b/>
          <w:color w:val="000000"/>
          <w:u w:val="single"/>
        </w:rPr>
        <w:t xml:space="preserve">D104.3.2 Provisions applicable to alterations (MDL 3(5)). </w:t>
      </w:r>
      <w:r w:rsidRPr="001B7F77">
        <w:rPr>
          <w:rFonts w:eastAsia="Times"/>
          <w:color w:val="000000"/>
          <w:u w:val="single"/>
        </w:rPr>
        <w:t xml:space="preserve">All provisions of the MDL not enumerated in Section D104.3.1 remain applicable to alterations to multiple dwellings as described in this section. Whenever a requirement of the </w:t>
      </w:r>
      <w:r w:rsidRPr="001B7F77">
        <w:rPr>
          <w:rFonts w:eastAsia="Times"/>
          <w:i/>
          <w:color w:val="000000"/>
          <w:u w:val="single"/>
        </w:rPr>
        <w:t>New York City Existing Building Code</w:t>
      </w:r>
      <w:r w:rsidRPr="001B7F77">
        <w:rPr>
          <w:rFonts w:eastAsia="Times"/>
          <w:color w:val="000000"/>
          <w:u w:val="single"/>
        </w:rPr>
        <w:t xml:space="preserve"> is more restrictive, the </w:t>
      </w:r>
      <w:r w:rsidRPr="001B7F77">
        <w:rPr>
          <w:rFonts w:eastAsia="Times"/>
          <w:i/>
          <w:color w:val="000000"/>
          <w:u w:val="single"/>
        </w:rPr>
        <w:t>New York City Existing Building Code</w:t>
      </w:r>
      <w:r w:rsidRPr="001B7F77">
        <w:rPr>
          <w:rFonts w:eastAsia="Times"/>
          <w:color w:val="000000"/>
          <w:u w:val="single"/>
        </w:rPr>
        <w:t xml:space="preserve"> shall govern and take precedence over any lesser requirements of the MDL. When, however, any applicable provisions of the MDL impose more restrictive requirements, the provisions of the MDL shall govern. See Section D101.1 regarding the intent of this appendix with respect to the MDL.</w:t>
      </w:r>
    </w:p>
    <w:p w14:paraId="4059C04C" w14:textId="77777777" w:rsidR="001B7F77" w:rsidRPr="001B7F77" w:rsidRDefault="001B7F77" w:rsidP="00FD2721">
      <w:pPr>
        <w:pBdr>
          <w:top w:val="nil"/>
          <w:left w:val="nil"/>
          <w:bottom w:val="nil"/>
          <w:right w:val="nil"/>
          <w:between w:val="nil"/>
        </w:pBdr>
        <w:suppressAutoHyphens/>
        <w:spacing w:before="120"/>
        <w:rPr>
          <w:rFonts w:eastAsia="Times"/>
          <w:color w:val="000000"/>
          <w:u w:val="single"/>
        </w:rPr>
      </w:pPr>
      <w:r w:rsidRPr="001B7F77">
        <w:rPr>
          <w:rFonts w:eastAsia="Times"/>
          <w:b/>
          <w:color w:val="000000"/>
          <w:u w:val="single"/>
        </w:rPr>
        <w:t>D105 Variation.</w:t>
      </w:r>
    </w:p>
    <w:p w14:paraId="4E330757" w14:textId="77777777" w:rsidR="001B7F77" w:rsidRPr="001B7F77" w:rsidRDefault="001B7F77" w:rsidP="00FD2721">
      <w:pPr>
        <w:pBdr>
          <w:top w:val="nil"/>
          <w:left w:val="nil"/>
          <w:bottom w:val="nil"/>
          <w:right w:val="nil"/>
          <w:between w:val="nil"/>
        </w:pBdr>
        <w:suppressAutoHyphens/>
        <w:spacing w:before="120"/>
        <w:ind w:left="360"/>
        <w:rPr>
          <w:rFonts w:eastAsia="Times"/>
          <w:color w:val="000000"/>
          <w:u w:val="single"/>
        </w:rPr>
      </w:pPr>
      <w:r w:rsidRPr="001B7F77">
        <w:rPr>
          <w:rFonts w:eastAsia="Times"/>
          <w:b/>
          <w:color w:val="000000"/>
          <w:u w:val="single"/>
        </w:rPr>
        <w:t xml:space="preserve">D105.1 By the department. </w:t>
      </w:r>
      <w:r w:rsidRPr="001B7F77">
        <w:rPr>
          <w:rFonts w:eastAsia="Times"/>
          <w:color w:val="000000"/>
          <w:u w:val="single"/>
        </w:rPr>
        <w:t xml:space="preserve">The provisions of this appendix shall be subject to the variation by the Commissioner pursuant to the provisions of Section 28-103.3 of the </w:t>
      </w:r>
      <w:r w:rsidRPr="001B7F77">
        <w:rPr>
          <w:rFonts w:eastAsia="Times"/>
          <w:i/>
          <w:color w:val="000000"/>
          <w:u w:val="single"/>
        </w:rPr>
        <w:t>Administrative Code</w:t>
      </w:r>
      <w:r w:rsidRPr="001B7F77">
        <w:rPr>
          <w:rFonts w:eastAsia="Times"/>
          <w:color w:val="000000"/>
          <w:u w:val="single"/>
        </w:rPr>
        <w:t xml:space="preserve"> and Section 645(b)(2) of the New York City Charter.</w:t>
      </w:r>
    </w:p>
    <w:p w14:paraId="16AD6562"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u w:val="single"/>
        </w:rPr>
      </w:pPr>
      <w:r w:rsidRPr="001B7F77">
        <w:rPr>
          <w:rFonts w:eastAsia="Times"/>
          <w:b/>
          <w:color w:val="000000"/>
          <w:u w:val="single"/>
        </w:rPr>
        <w:t>Exception.</w:t>
      </w:r>
      <w:r w:rsidRPr="001B7F77">
        <w:rPr>
          <w:rFonts w:eastAsia="Times"/>
          <w:color w:val="000000"/>
          <w:u w:val="single"/>
        </w:rPr>
        <w:t xml:space="preserve"> The commissioner shall not vary any provision of this appendix that would result in its being less stringent than an applicable provision of the MDL. Refer to Section D104.3.1 for the provisions of the MDL that are not applicable. </w:t>
      </w:r>
    </w:p>
    <w:p w14:paraId="15170CBD" w14:textId="77777777" w:rsidR="001B7F77" w:rsidRPr="001B7F77" w:rsidRDefault="001B7F77" w:rsidP="00FD2721">
      <w:pPr>
        <w:pBdr>
          <w:top w:val="nil"/>
          <w:left w:val="nil"/>
          <w:bottom w:val="nil"/>
          <w:right w:val="nil"/>
          <w:between w:val="nil"/>
        </w:pBdr>
        <w:suppressAutoHyphens/>
        <w:spacing w:before="120"/>
        <w:ind w:left="360"/>
        <w:rPr>
          <w:rFonts w:eastAsia="Times"/>
          <w:color w:val="000000"/>
          <w:u w:val="single"/>
        </w:rPr>
      </w:pPr>
      <w:r w:rsidRPr="001B7F77">
        <w:rPr>
          <w:rFonts w:eastAsia="Times"/>
          <w:b/>
          <w:color w:val="000000"/>
          <w:u w:val="single"/>
        </w:rPr>
        <w:t xml:space="preserve">D105.2 By the Board of Standards and Appeals. </w:t>
      </w:r>
      <w:r w:rsidRPr="001B7F77">
        <w:rPr>
          <w:rFonts w:eastAsia="Times"/>
          <w:color w:val="000000"/>
          <w:u w:val="single"/>
        </w:rPr>
        <w:t xml:space="preserve">The provisions of this appendix shall be subject to variation by the Board of Standards and Appeals pursuant to Section 28-103.3 of the </w:t>
      </w:r>
      <w:r w:rsidRPr="001B7F77">
        <w:rPr>
          <w:rFonts w:eastAsia="Times"/>
          <w:i/>
          <w:color w:val="000000"/>
          <w:u w:val="single"/>
        </w:rPr>
        <w:t>Administrative Code</w:t>
      </w:r>
      <w:r w:rsidRPr="001B7F77">
        <w:rPr>
          <w:rFonts w:eastAsia="Times"/>
          <w:color w:val="000000"/>
          <w:u w:val="single"/>
        </w:rPr>
        <w:t xml:space="preserve"> and Section 666(7) of the New York City Charter, provided that, where such variation would result in the application of requirements less stringent than any applicable provisions of the MDL, the Board of Standards and Appeals shall vary such provision of this appendix only to the extent that the BSA is also authorized to vary such application provision of the MDL pursuant to Section 310 of the MDL.</w:t>
      </w:r>
    </w:p>
    <w:p w14:paraId="3050619D" w14:textId="77777777" w:rsidR="001B7F77" w:rsidRPr="001B7F77" w:rsidRDefault="001B7F77" w:rsidP="00FD2721">
      <w:pPr>
        <w:pBdr>
          <w:top w:val="nil"/>
          <w:left w:val="nil"/>
          <w:bottom w:val="nil"/>
          <w:right w:val="nil"/>
          <w:between w:val="nil"/>
        </w:pBdr>
        <w:suppressAutoHyphens/>
        <w:spacing w:before="120"/>
        <w:jc w:val="center"/>
        <w:rPr>
          <w:rFonts w:eastAsia="Times"/>
          <w:b/>
          <w:color w:val="000000"/>
          <w:u w:val="single"/>
        </w:rPr>
      </w:pPr>
    </w:p>
    <w:p w14:paraId="16BD8B4B" w14:textId="77777777" w:rsidR="001B7F77" w:rsidRPr="001B7F77" w:rsidRDefault="001B7F77" w:rsidP="00FD2721">
      <w:pPr>
        <w:pBdr>
          <w:top w:val="nil"/>
          <w:left w:val="nil"/>
          <w:bottom w:val="nil"/>
          <w:right w:val="nil"/>
          <w:between w:val="nil"/>
        </w:pBdr>
        <w:suppressAutoHyphens/>
        <w:spacing w:before="120"/>
        <w:jc w:val="center"/>
        <w:rPr>
          <w:rFonts w:ascii="Times New Roman Bold" w:eastAsia="Times" w:hAnsi="Times New Roman Bold"/>
          <w:b/>
          <w:caps/>
          <w:color w:val="000000"/>
          <w:u w:val="single"/>
        </w:rPr>
      </w:pPr>
      <w:r w:rsidRPr="001B7F77">
        <w:rPr>
          <w:rFonts w:ascii="Times New Roman Bold" w:eastAsia="Times" w:hAnsi="Times New Roman Bold"/>
          <w:b/>
          <w:caps/>
          <w:color w:val="000000"/>
          <w:u w:val="single"/>
        </w:rPr>
        <w:t>Chapter D2</w:t>
      </w:r>
    </w:p>
    <w:p w14:paraId="00958C20" w14:textId="77777777" w:rsidR="001B7F77" w:rsidRPr="001B7F77" w:rsidRDefault="001B7F77" w:rsidP="00FD2721">
      <w:pPr>
        <w:pBdr>
          <w:top w:val="nil"/>
          <w:left w:val="nil"/>
          <w:bottom w:val="nil"/>
          <w:right w:val="nil"/>
          <w:between w:val="nil"/>
        </w:pBdr>
        <w:suppressAutoHyphens/>
        <w:spacing w:before="120"/>
        <w:jc w:val="center"/>
        <w:rPr>
          <w:rFonts w:ascii="Times New Roman Bold" w:eastAsia="Times" w:hAnsi="Times New Roman Bold"/>
          <w:b/>
          <w:caps/>
          <w:color w:val="000000"/>
          <w:u w:val="single"/>
        </w:rPr>
      </w:pPr>
      <w:r w:rsidRPr="001B7F77">
        <w:rPr>
          <w:rFonts w:ascii="Times New Roman Bold" w:eastAsia="Times" w:hAnsi="Times New Roman Bold"/>
          <w:b/>
          <w:caps/>
          <w:color w:val="000000"/>
          <w:u w:val="single"/>
        </w:rPr>
        <w:t>Definitions</w:t>
      </w:r>
    </w:p>
    <w:p w14:paraId="042D4CDE" w14:textId="77777777" w:rsidR="001B7F77" w:rsidRPr="001B7F77" w:rsidRDefault="001B7F77" w:rsidP="00FD2721">
      <w:pPr>
        <w:pBdr>
          <w:top w:val="nil"/>
          <w:left w:val="nil"/>
          <w:bottom w:val="nil"/>
          <w:right w:val="nil"/>
          <w:between w:val="nil"/>
        </w:pBdr>
        <w:suppressAutoHyphens/>
        <w:spacing w:before="120"/>
        <w:rPr>
          <w:rFonts w:eastAsia="Times"/>
          <w:color w:val="000000"/>
          <w:u w:val="single"/>
        </w:rPr>
      </w:pPr>
      <w:r w:rsidRPr="001B7F77">
        <w:rPr>
          <w:rFonts w:eastAsia="Times"/>
          <w:b/>
          <w:color w:val="000000"/>
          <w:u w:val="single"/>
        </w:rPr>
        <w:t xml:space="preserve">D201 General. </w:t>
      </w:r>
      <w:r w:rsidRPr="001B7F77">
        <w:rPr>
          <w:rFonts w:eastAsia="Times"/>
          <w:color w:val="000000"/>
          <w:u w:val="single"/>
        </w:rPr>
        <w:t>Unless otherwise expressly stated, the following words and terms shall, for the purposes of this appendix, have the meanings shown herein. Refer to Chapter 2 of this code for general definitions.</w:t>
      </w:r>
    </w:p>
    <w:p w14:paraId="58EA9EB0" w14:textId="77777777" w:rsidR="001B7F77" w:rsidRPr="001B7F77" w:rsidRDefault="001B7F77" w:rsidP="00FD2721">
      <w:pPr>
        <w:pBdr>
          <w:top w:val="nil"/>
          <w:left w:val="nil"/>
          <w:bottom w:val="nil"/>
          <w:right w:val="nil"/>
          <w:between w:val="nil"/>
        </w:pBdr>
        <w:suppressAutoHyphens/>
        <w:spacing w:before="120"/>
        <w:ind w:left="360"/>
        <w:rPr>
          <w:rFonts w:eastAsia="Times"/>
          <w:color w:val="000000"/>
          <w:u w:val="single"/>
        </w:rPr>
      </w:pPr>
      <w:r w:rsidRPr="001B7F77">
        <w:rPr>
          <w:rFonts w:eastAsia="Times"/>
          <w:b/>
          <w:color w:val="000000"/>
          <w:u w:val="single"/>
        </w:rPr>
        <w:t xml:space="preserve">1938 BUILDING CODE. </w:t>
      </w:r>
      <w:r w:rsidRPr="001B7F77">
        <w:rPr>
          <w:rFonts w:eastAsia="Times"/>
          <w:color w:val="000000"/>
          <w:u w:val="single"/>
        </w:rPr>
        <w:t>The building law and regulations in effect prior to December 6, 1968.</w:t>
      </w:r>
    </w:p>
    <w:p w14:paraId="3BD6BA8F" w14:textId="77777777" w:rsidR="001B7F77" w:rsidRPr="001B7F77" w:rsidRDefault="001B7F77" w:rsidP="00FD2721">
      <w:pPr>
        <w:pBdr>
          <w:top w:val="nil"/>
          <w:left w:val="nil"/>
          <w:bottom w:val="nil"/>
          <w:right w:val="nil"/>
          <w:between w:val="nil"/>
        </w:pBdr>
        <w:suppressAutoHyphens/>
        <w:spacing w:before="120"/>
        <w:ind w:left="360"/>
        <w:rPr>
          <w:rFonts w:eastAsia="Times"/>
          <w:color w:val="000000"/>
          <w:u w:val="single"/>
        </w:rPr>
      </w:pPr>
      <w:r w:rsidRPr="001B7F77">
        <w:rPr>
          <w:rFonts w:eastAsia="Times"/>
          <w:b/>
          <w:color w:val="000000"/>
          <w:u w:val="single"/>
        </w:rPr>
        <w:t xml:space="preserve">1968 BUILDING CODE. </w:t>
      </w:r>
      <w:r w:rsidRPr="001B7F77">
        <w:rPr>
          <w:rFonts w:eastAsia="Times"/>
          <w:color w:val="000000"/>
          <w:u w:val="single"/>
        </w:rPr>
        <w:t>The building law and regulations in effect prior to July 1, 2008.</w:t>
      </w:r>
    </w:p>
    <w:p w14:paraId="37BFDAC3" w14:textId="77777777" w:rsidR="001B7F77" w:rsidRPr="001B7F77" w:rsidRDefault="001B7F77" w:rsidP="00FD2721">
      <w:pPr>
        <w:pBdr>
          <w:top w:val="nil"/>
          <w:left w:val="nil"/>
          <w:bottom w:val="nil"/>
          <w:right w:val="nil"/>
          <w:between w:val="nil"/>
        </w:pBdr>
        <w:suppressAutoHyphens/>
        <w:spacing w:before="120"/>
        <w:ind w:left="360"/>
        <w:rPr>
          <w:rFonts w:eastAsia="Times"/>
          <w:color w:val="000000"/>
          <w:u w:val="single"/>
        </w:rPr>
      </w:pPr>
      <w:r w:rsidRPr="001B7F77">
        <w:rPr>
          <w:rFonts w:eastAsia="Times"/>
          <w:b/>
          <w:color w:val="000000"/>
          <w:u w:val="single"/>
        </w:rPr>
        <w:t>APARTMENT.</w:t>
      </w:r>
      <w:r w:rsidRPr="001B7F77">
        <w:rPr>
          <w:rFonts w:eastAsia="Times"/>
          <w:color w:val="000000"/>
          <w:u w:val="single"/>
        </w:rPr>
        <w:t xml:space="preserve"> See Chapter 2 of the </w:t>
      </w:r>
      <w:r w:rsidRPr="001B7F77">
        <w:rPr>
          <w:rFonts w:eastAsia="Times"/>
          <w:i/>
          <w:iCs/>
          <w:color w:val="000000"/>
          <w:u w:val="single"/>
        </w:rPr>
        <w:t>New York City Building Code</w:t>
      </w:r>
      <w:r w:rsidRPr="001B7F77">
        <w:rPr>
          <w:rFonts w:eastAsia="Times"/>
          <w:color w:val="000000"/>
          <w:u w:val="single"/>
        </w:rPr>
        <w:t>.</w:t>
      </w:r>
    </w:p>
    <w:p w14:paraId="56384A5F" w14:textId="77777777" w:rsidR="001B7F77" w:rsidRPr="001B7F77" w:rsidRDefault="001B7F77" w:rsidP="00FD2721">
      <w:pPr>
        <w:pBdr>
          <w:top w:val="nil"/>
          <w:left w:val="nil"/>
          <w:bottom w:val="nil"/>
          <w:right w:val="nil"/>
          <w:between w:val="nil"/>
        </w:pBdr>
        <w:suppressAutoHyphens/>
        <w:spacing w:before="120"/>
        <w:ind w:left="360"/>
        <w:rPr>
          <w:rFonts w:eastAsia="Times"/>
          <w:bCs/>
          <w:color w:val="000000"/>
          <w:u w:val="single"/>
        </w:rPr>
      </w:pPr>
      <w:r w:rsidRPr="001B7F77">
        <w:rPr>
          <w:rFonts w:eastAsia="Times"/>
          <w:b/>
          <w:color w:val="000000"/>
          <w:u w:val="single"/>
        </w:rPr>
        <w:t xml:space="preserve">BASEMENT (MDL 4(38)). </w:t>
      </w:r>
      <w:r w:rsidRPr="001B7F77">
        <w:rPr>
          <w:rFonts w:eastAsia="Times"/>
          <w:bCs/>
          <w:color w:val="000000"/>
          <w:u w:val="single"/>
        </w:rPr>
        <w:t>A "basement" is a story partly below the curb level but having at least one-half of its height above the curb level; except that where every part of the building is set back more than 25 feet (7620 mm) from a street line, the height shall be measured from the adjoining grade elevations calculated from final grade elevations taken at intervals of 10 feet (3048 mm) around the exterior walls of the building. A basement shall be counted as a story in determining height.</w:t>
      </w:r>
    </w:p>
    <w:p w14:paraId="488A0F0E" w14:textId="77777777" w:rsidR="001B7F77" w:rsidRPr="001B7F77" w:rsidRDefault="001B7F77" w:rsidP="00FD2721">
      <w:pPr>
        <w:pBdr>
          <w:top w:val="nil"/>
          <w:left w:val="nil"/>
          <w:bottom w:val="nil"/>
          <w:right w:val="nil"/>
          <w:between w:val="nil"/>
        </w:pBdr>
        <w:suppressAutoHyphens/>
        <w:spacing w:before="120"/>
        <w:ind w:left="360"/>
        <w:rPr>
          <w:rFonts w:eastAsia="Times"/>
          <w:bCs/>
          <w:color w:val="000000"/>
          <w:u w:val="single"/>
        </w:rPr>
      </w:pPr>
      <w:r w:rsidRPr="001B7F77">
        <w:rPr>
          <w:rFonts w:eastAsia="Times"/>
          <w:b/>
          <w:color w:val="000000"/>
          <w:u w:val="single"/>
        </w:rPr>
        <w:t xml:space="preserve">CELLAR (MDL 4(37)). </w:t>
      </w:r>
      <w:r w:rsidRPr="001B7F77">
        <w:rPr>
          <w:rFonts w:eastAsia="Times"/>
          <w:bCs/>
          <w:color w:val="000000"/>
          <w:u w:val="single"/>
        </w:rPr>
        <w:t>A "cellar" in a dwelling is an enclosed space having more than one-half of its height below the curb level; except that where every part of the building is set back more than 25 feet (7620 mm) from a street line, the height shall be measured from the adjoining grade elevations calculated from final grade elevations taken at intervals of ten feet around the exterior walls of the building. A cellar shall not be counted as a story.</w:t>
      </w:r>
    </w:p>
    <w:p w14:paraId="73705F2E" w14:textId="77777777" w:rsidR="001B7F77" w:rsidRPr="001B7F77" w:rsidRDefault="001B7F77" w:rsidP="00FD2721">
      <w:pPr>
        <w:pBdr>
          <w:top w:val="nil"/>
          <w:left w:val="nil"/>
          <w:bottom w:val="nil"/>
          <w:right w:val="nil"/>
          <w:between w:val="nil"/>
        </w:pBdr>
        <w:suppressAutoHyphens/>
        <w:spacing w:before="120"/>
        <w:ind w:left="360"/>
        <w:rPr>
          <w:rFonts w:eastAsia="Times"/>
          <w:color w:val="000000"/>
          <w:u w:val="single"/>
        </w:rPr>
      </w:pPr>
      <w:r w:rsidRPr="001B7F77">
        <w:rPr>
          <w:rFonts w:eastAsia="Times"/>
          <w:b/>
          <w:color w:val="000000"/>
          <w:u w:val="single"/>
        </w:rPr>
        <w:t>CLASS A MULTIPLE DWELLING (MDL 4(8)).</w:t>
      </w:r>
      <w:r w:rsidRPr="001B7F77">
        <w:rPr>
          <w:rFonts w:eastAsia="Times"/>
          <w:color w:val="000000"/>
          <w:u w:val="single"/>
        </w:rPr>
        <w:t xml:space="preserve"> A multiple dwelling that is occupied for permanent residence purposes. This class shall include tenements, flat houses, maisonette apartments, apartment houses, apartment hotels, bachelor apartments, studio apartments, duplex apartments, kitchenette apartments, garden-type maisonette dwelling projects, and all other multiple dwellings except Class B multiple dwellings. A Class A multiple dwelling shall only be used for permanent residence purposes. For the purposes of this definition, "permanent residence purposes" shall consist of occupancy of a dwelling unit by the same natural person or family for 30 consecutive days or more and a person or family so occupying a dwelling unit shall be referred to herein as the permanent occupants of such dwelling unit. The following uses of a dwelling unit by the permanent occupants thereof shall not be deemed to be inconsistent with the occupancy of such dwelling unit for permanent residence purposes:</w:t>
      </w:r>
    </w:p>
    <w:p w14:paraId="39005269" w14:textId="77777777" w:rsidR="001B7F77" w:rsidRPr="001B7F77" w:rsidRDefault="001B7F77" w:rsidP="00FD2721">
      <w:pPr>
        <w:pBdr>
          <w:top w:val="nil"/>
          <w:left w:val="nil"/>
          <w:bottom w:val="nil"/>
          <w:right w:val="nil"/>
          <w:between w:val="nil"/>
        </w:pBdr>
        <w:suppressAutoHyphens/>
        <w:spacing w:before="120"/>
        <w:ind w:left="900" w:hanging="360"/>
        <w:rPr>
          <w:rFonts w:eastAsia="Times"/>
          <w:u w:val="single"/>
        </w:rPr>
      </w:pPr>
      <w:r w:rsidRPr="001B7F77">
        <w:rPr>
          <w:rFonts w:eastAsia="Times"/>
          <w:color w:val="000000"/>
          <w:u w:val="single"/>
        </w:rPr>
        <w:t>1.</w:t>
      </w:r>
      <w:r w:rsidRPr="001B7F77">
        <w:rPr>
          <w:rFonts w:eastAsia="Times"/>
          <w:color w:val="000000"/>
          <w:u w:val="single"/>
        </w:rPr>
        <w:tab/>
        <w:t>Occupancy of such dwelling unit for fewer than 30 consecutive days by other natural persons living within the household of the permanent occupant such as house guests or lawful boarders, roomers or lodgers; or</w:t>
      </w:r>
    </w:p>
    <w:p w14:paraId="5C6652CB" w14:textId="77777777" w:rsidR="001B7F77" w:rsidRPr="001B7F77" w:rsidRDefault="001B7F77" w:rsidP="00FD2721">
      <w:pPr>
        <w:pBdr>
          <w:top w:val="nil"/>
          <w:left w:val="nil"/>
          <w:bottom w:val="nil"/>
          <w:right w:val="nil"/>
          <w:between w:val="nil"/>
        </w:pBdr>
        <w:suppressAutoHyphens/>
        <w:spacing w:before="120"/>
        <w:ind w:left="900" w:hanging="360"/>
        <w:rPr>
          <w:rFonts w:eastAsia="Times"/>
          <w:u w:val="single"/>
        </w:rPr>
      </w:pPr>
      <w:r w:rsidRPr="001B7F77">
        <w:rPr>
          <w:rFonts w:eastAsia="Times"/>
          <w:color w:val="000000"/>
          <w:u w:val="single"/>
        </w:rPr>
        <w:t>2.</w:t>
      </w:r>
      <w:r w:rsidRPr="001B7F77">
        <w:rPr>
          <w:rFonts w:eastAsia="Times"/>
          <w:color w:val="000000"/>
          <w:u w:val="single"/>
        </w:rPr>
        <w:tab/>
        <w:t>Incidental and occasional occupancy of such dwelling unit for fewer than 30 consecutive days by other natural persons when the permanent occupants are temporarily absent for personal reasons such as vacation or medical treatment, provided that there is no monetary compensation paid to the permanent occupants for such occupancy.</w:t>
      </w:r>
    </w:p>
    <w:p w14:paraId="5C832EFB"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u w:val="single"/>
        </w:rPr>
      </w:pPr>
      <w:r w:rsidRPr="001B7F77">
        <w:rPr>
          <w:rFonts w:eastAsia="Times"/>
          <w:b/>
          <w:color w:val="000000"/>
          <w:u w:val="single"/>
        </w:rPr>
        <w:t>Exception.</w:t>
      </w:r>
      <w:r w:rsidRPr="001B7F77">
        <w:rPr>
          <w:rFonts w:eastAsia="Times"/>
          <w:color w:val="000000"/>
          <w:u w:val="single"/>
        </w:rPr>
        <w:t xml:space="preserve"> In a Class A multiple dwelling owned by an accredited not-for-profit college or university or leased by such a college or university under a net lease for a term of 49 years or more, the use of designated dwelling units for occupancy for fewer than 30 consecutive days shall not be inconsistent with the occupancy of such multiple dwelling for permanent residence purposes if:</w:t>
      </w:r>
    </w:p>
    <w:p w14:paraId="2FAE28FA" w14:textId="77777777" w:rsidR="001B7F77" w:rsidRPr="001B7F77" w:rsidRDefault="001B7F77" w:rsidP="00FD2721">
      <w:pPr>
        <w:pBdr>
          <w:top w:val="nil"/>
          <w:left w:val="nil"/>
          <w:bottom w:val="nil"/>
          <w:right w:val="nil"/>
          <w:between w:val="nil"/>
        </w:pBdr>
        <w:suppressAutoHyphens/>
        <w:spacing w:before="120"/>
        <w:ind w:left="1440" w:hanging="360"/>
        <w:rPr>
          <w:rFonts w:eastAsia="Times"/>
          <w:u w:val="single"/>
        </w:rPr>
      </w:pPr>
      <w:r w:rsidRPr="001B7F77">
        <w:rPr>
          <w:rFonts w:eastAsia="Times"/>
          <w:color w:val="000000"/>
          <w:u w:val="single"/>
        </w:rPr>
        <w:t>1.</w:t>
      </w:r>
      <w:r w:rsidRPr="001B7F77">
        <w:rPr>
          <w:rFonts w:eastAsia="Times"/>
          <w:color w:val="000000"/>
          <w:u w:val="single"/>
        </w:rPr>
        <w:tab/>
        <w:t>No more than 5% of the dwelling units in such multiple dwelling but not less than one dwelling unit, are designated for such use and the designation of a unit once made may not be changed to another unit;</w:t>
      </w:r>
    </w:p>
    <w:p w14:paraId="4766D7D6" w14:textId="77777777" w:rsidR="001B7F77" w:rsidRPr="001B7F77" w:rsidRDefault="001B7F77" w:rsidP="00FD2721">
      <w:pPr>
        <w:pBdr>
          <w:top w:val="nil"/>
          <w:left w:val="nil"/>
          <w:bottom w:val="nil"/>
          <w:right w:val="nil"/>
          <w:between w:val="nil"/>
        </w:pBdr>
        <w:suppressAutoHyphens/>
        <w:spacing w:before="120"/>
        <w:ind w:left="1440" w:hanging="360"/>
        <w:rPr>
          <w:rFonts w:eastAsia="Times"/>
          <w:u w:val="single"/>
        </w:rPr>
      </w:pPr>
      <w:r w:rsidRPr="001B7F77">
        <w:rPr>
          <w:rFonts w:eastAsia="Times"/>
          <w:color w:val="000000"/>
          <w:u w:val="single"/>
        </w:rPr>
        <w:t>2.</w:t>
      </w:r>
      <w:r w:rsidRPr="001B7F77">
        <w:rPr>
          <w:rFonts w:eastAsia="Times"/>
          <w:color w:val="000000"/>
          <w:u w:val="single"/>
        </w:rPr>
        <w:tab/>
        <w:t>A list of the designated dwelling units certified by an authorized representative of the college or university is kept on the premises by the owner or net lessee and made available upon request for inspection by the department or Fire Department;</w:t>
      </w:r>
    </w:p>
    <w:p w14:paraId="4F72FE7D" w14:textId="77777777" w:rsidR="001B7F77" w:rsidRPr="001B7F77" w:rsidRDefault="001B7F77" w:rsidP="00FD2721">
      <w:pPr>
        <w:pBdr>
          <w:top w:val="nil"/>
          <w:left w:val="nil"/>
          <w:bottom w:val="nil"/>
          <w:right w:val="nil"/>
          <w:between w:val="nil"/>
        </w:pBdr>
        <w:suppressAutoHyphens/>
        <w:spacing w:before="120"/>
        <w:ind w:left="1440" w:hanging="360"/>
        <w:rPr>
          <w:rFonts w:eastAsia="Times"/>
          <w:color w:val="000000"/>
          <w:u w:val="single"/>
        </w:rPr>
      </w:pPr>
      <w:r w:rsidRPr="001B7F77">
        <w:rPr>
          <w:rFonts w:eastAsia="Times"/>
          <w:color w:val="000000"/>
          <w:u w:val="single"/>
        </w:rPr>
        <w:t>3.</w:t>
      </w:r>
      <w:r w:rsidRPr="001B7F77">
        <w:rPr>
          <w:rFonts w:eastAsia="Times"/>
          <w:color w:val="000000"/>
          <w:u w:val="single"/>
        </w:rPr>
        <w:tab/>
        <w:t>Only designated dwelling units on the certified list are used for occupancy for fewer than thirty consecutive days and only by</w:t>
      </w:r>
    </w:p>
    <w:p w14:paraId="0999E1C6" w14:textId="77777777" w:rsidR="001B7F77" w:rsidRPr="001B7F77" w:rsidRDefault="001B7F77" w:rsidP="00FD2721">
      <w:pPr>
        <w:pBdr>
          <w:top w:val="nil"/>
          <w:left w:val="nil"/>
          <w:bottom w:val="nil"/>
          <w:right w:val="nil"/>
          <w:between w:val="nil"/>
        </w:pBdr>
        <w:suppressAutoHyphens/>
        <w:spacing w:before="120"/>
        <w:ind w:left="1980" w:hanging="540"/>
        <w:rPr>
          <w:rFonts w:eastAsia="Times"/>
          <w:color w:val="000000"/>
          <w:u w:val="single"/>
        </w:rPr>
      </w:pPr>
      <w:r w:rsidRPr="001B7F77">
        <w:rPr>
          <w:rFonts w:eastAsia="Times"/>
          <w:color w:val="000000"/>
          <w:u w:val="single"/>
        </w:rPr>
        <w:t>3.1</w:t>
      </w:r>
      <w:r w:rsidRPr="001B7F77">
        <w:rPr>
          <w:rFonts w:eastAsia="Times"/>
          <w:color w:val="000000"/>
          <w:u w:val="single"/>
        </w:rPr>
        <w:tab/>
        <w:t xml:space="preserve"> natural persons, other than persons whose only relationship with the college or university is as a student, for whom the college or university has undertaken to provide housing accommodations such as visiting professors and academics, graduate students with research or teaching fellowships, researchers and persons presenting academic papers, interviewing for positions of employment or having other similar business with the college or university, or</w:t>
      </w:r>
    </w:p>
    <w:p w14:paraId="6F770CAB" w14:textId="77777777" w:rsidR="001B7F77" w:rsidRPr="001B7F77" w:rsidRDefault="001B7F77" w:rsidP="00FD2721">
      <w:pPr>
        <w:pBdr>
          <w:top w:val="nil"/>
          <w:left w:val="nil"/>
          <w:bottom w:val="nil"/>
          <w:right w:val="nil"/>
          <w:between w:val="nil"/>
        </w:pBdr>
        <w:suppressAutoHyphens/>
        <w:spacing w:before="120"/>
        <w:ind w:left="1980" w:hanging="540"/>
        <w:rPr>
          <w:rFonts w:eastAsia="Times"/>
          <w:u w:val="single"/>
        </w:rPr>
      </w:pPr>
      <w:r w:rsidRPr="001B7F77">
        <w:rPr>
          <w:rFonts w:eastAsia="Times"/>
          <w:color w:val="000000"/>
          <w:u w:val="single"/>
        </w:rPr>
        <w:t>3.2</w:t>
      </w:r>
      <w:r w:rsidRPr="001B7F77">
        <w:rPr>
          <w:rFonts w:eastAsia="Times"/>
          <w:color w:val="000000"/>
          <w:u w:val="single"/>
        </w:rPr>
        <w:tab/>
        <w:t xml:space="preserve"> natural persons for whom a hospital affiliated with such college or university has undertaken to provide housing accommodations such as patients, patients' families and/or accompanying escorts, medical professionals and healthcare consultants or persons having other similar business with such hospital. A log shall be maintained on the premises of the names and addresses of such persons and the duration and reason for their stay. Such log shall be accessible upon request for inspection by the department and the Fire Department;</w:t>
      </w:r>
    </w:p>
    <w:p w14:paraId="452DEE9D" w14:textId="77777777" w:rsidR="001B7F77" w:rsidRPr="001B7F77" w:rsidRDefault="001B7F77" w:rsidP="00FD2721">
      <w:pPr>
        <w:pBdr>
          <w:top w:val="nil"/>
          <w:left w:val="nil"/>
          <w:bottom w:val="nil"/>
          <w:right w:val="nil"/>
          <w:between w:val="nil"/>
        </w:pBdr>
        <w:suppressAutoHyphens/>
        <w:spacing w:before="120"/>
        <w:ind w:left="1440" w:hanging="360"/>
        <w:rPr>
          <w:rFonts w:eastAsia="Times"/>
          <w:u w:val="single"/>
        </w:rPr>
      </w:pPr>
      <w:r w:rsidRPr="001B7F77">
        <w:rPr>
          <w:rFonts w:eastAsia="Times"/>
          <w:color w:val="000000"/>
          <w:u w:val="single"/>
        </w:rPr>
        <w:t>4.</w:t>
      </w:r>
      <w:r w:rsidRPr="001B7F77">
        <w:rPr>
          <w:rFonts w:eastAsia="Times"/>
          <w:color w:val="000000"/>
          <w:u w:val="single"/>
        </w:rPr>
        <w:tab/>
        <w:t>No rent or other payment is collected for such occupancy; and</w:t>
      </w:r>
    </w:p>
    <w:p w14:paraId="0E27C57F" w14:textId="77777777" w:rsidR="001B7F77" w:rsidRPr="001B7F77" w:rsidRDefault="001B7F77" w:rsidP="00FD2721">
      <w:pPr>
        <w:pBdr>
          <w:top w:val="nil"/>
          <w:left w:val="nil"/>
          <w:bottom w:val="nil"/>
          <w:right w:val="nil"/>
          <w:between w:val="nil"/>
        </w:pBdr>
        <w:suppressAutoHyphens/>
        <w:spacing w:before="120"/>
        <w:ind w:left="1440" w:hanging="360"/>
        <w:rPr>
          <w:rFonts w:eastAsia="Times"/>
          <w:u w:val="single"/>
        </w:rPr>
      </w:pPr>
      <w:r w:rsidRPr="001B7F77">
        <w:rPr>
          <w:rFonts w:eastAsia="Times"/>
          <w:color w:val="000000"/>
          <w:u w:val="single"/>
        </w:rPr>
        <w:t>5.</w:t>
      </w:r>
      <w:r w:rsidRPr="001B7F77">
        <w:rPr>
          <w:rFonts w:eastAsia="Times"/>
          <w:color w:val="000000"/>
          <w:u w:val="single"/>
        </w:rPr>
        <w:tab/>
        <w:t>The Fire Department shall require the filing of a fire safety plan or other appropriate fire safety procedure.</w:t>
      </w:r>
    </w:p>
    <w:p w14:paraId="26D03F0D" w14:textId="77777777" w:rsidR="001B7F77" w:rsidRPr="001B7F77" w:rsidRDefault="001B7F77" w:rsidP="00FD2721">
      <w:pPr>
        <w:pBdr>
          <w:top w:val="nil"/>
          <w:left w:val="nil"/>
          <w:bottom w:val="nil"/>
          <w:right w:val="nil"/>
          <w:between w:val="nil"/>
        </w:pBdr>
        <w:suppressAutoHyphens/>
        <w:spacing w:before="120"/>
        <w:ind w:left="360"/>
        <w:rPr>
          <w:rFonts w:eastAsia="Times"/>
          <w:color w:val="000000"/>
          <w:u w:val="single"/>
        </w:rPr>
      </w:pPr>
      <w:r w:rsidRPr="001B7F77">
        <w:rPr>
          <w:rFonts w:eastAsia="Times"/>
          <w:b/>
          <w:color w:val="000000"/>
          <w:u w:val="single"/>
        </w:rPr>
        <w:t xml:space="preserve">CLASS B MULTIPLE DWELLING (MDL 4(9)). </w:t>
      </w:r>
      <w:r w:rsidRPr="001B7F77">
        <w:rPr>
          <w:rFonts w:eastAsia="Times"/>
          <w:color w:val="000000"/>
          <w:u w:val="single"/>
        </w:rPr>
        <w:t>A multiple dwelling which is occupied, as a rule transiently, as the more or less temporary abode of individuals or families who are lodged with or without meals. This class shall include hotels, lodging houses, rooming houses, boarding houses, boarding schools, furnished room houses, lodgings, club houses, college and school dormitories and dwellings designed as private dwellings but occupied by one or two families with five or more transient boarders, roomers or lodgers in one household.</w:t>
      </w:r>
    </w:p>
    <w:p w14:paraId="1E0FAC1E" w14:textId="77777777" w:rsidR="001B7F77" w:rsidRPr="001B7F77" w:rsidRDefault="001B7F77" w:rsidP="00FD2721">
      <w:pPr>
        <w:pBdr>
          <w:top w:val="nil"/>
          <w:left w:val="nil"/>
          <w:bottom w:val="nil"/>
          <w:right w:val="nil"/>
          <w:between w:val="nil"/>
        </w:pBdr>
        <w:suppressAutoHyphens/>
        <w:spacing w:before="120"/>
        <w:ind w:left="360"/>
        <w:rPr>
          <w:rFonts w:eastAsia="Times"/>
          <w:color w:val="000000"/>
          <w:u w:val="single"/>
        </w:rPr>
      </w:pPr>
      <w:r w:rsidRPr="001B7F77">
        <w:rPr>
          <w:rFonts w:eastAsia="Times"/>
          <w:b/>
          <w:color w:val="000000"/>
          <w:u w:val="single"/>
        </w:rPr>
        <w:t xml:space="preserve">CONVERTED DWELLING (MDL 4(10)). </w:t>
      </w:r>
      <w:r w:rsidRPr="001B7F77">
        <w:rPr>
          <w:rFonts w:eastAsia="Times"/>
          <w:color w:val="000000"/>
          <w:u w:val="single"/>
        </w:rPr>
        <w:t>A dwelling erected before December 6, 1968, to be occupied by 1 or 2 families living independently of each other, and subsequently converted to a multiple dwelling:</w:t>
      </w:r>
    </w:p>
    <w:p w14:paraId="5A4ABEEF" w14:textId="77777777" w:rsidR="001B7F77" w:rsidRPr="001B7F77" w:rsidRDefault="001B7F77" w:rsidP="00FD2721">
      <w:pPr>
        <w:pBdr>
          <w:top w:val="nil"/>
          <w:left w:val="nil"/>
          <w:bottom w:val="nil"/>
          <w:right w:val="nil"/>
          <w:between w:val="nil"/>
        </w:pBdr>
        <w:suppressAutoHyphens/>
        <w:spacing w:before="120"/>
        <w:ind w:left="1080" w:hanging="360"/>
        <w:rPr>
          <w:rFonts w:eastAsia="Times"/>
          <w:u w:val="single"/>
        </w:rPr>
      </w:pPr>
      <w:r w:rsidRPr="001B7F77">
        <w:rPr>
          <w:rFonts w:eastAsia="Times"/>
          <w:color w:val="000000"/>
          <w:u w:val="single"/>
        </w:rPr>
        <w:t>1.</w:t>
      </w:r>
      <w:r w:rsidRPr="001B7F77">
        <w:rPr>
          <w:rFonts w:eastAsia="Times"/>
          <w:color w:val="000000"/>
          <w:u w:val="single"/>
        </w:rPr>
        <w:tab/>
        <w:t xml:space="preserve">Prior to </w:t>
      </w:r>
      <w:r w:rsidRPr="001B7F77">
        <w:rPr>
          <w:rFonts w:eastAsia="Times"/>
          <w:u w:val="single"/>
        </w:rPr>
        <w:t>the effective date of the local law that added this section</w:t>
      </w:r>
      <w:r w:rsidRPr="001B7F77" w:rsidDel="00A97B8D">
        <w:rPr>
          <w:rFonts w:eastAsia="Times"/>
          <w:color w:val="000000"/>
          <w:u w:val="single"/>
        </w:rPr>
        <w:t xml:space="preserve"> </w:t>
      </w:r>
      <w:r w:rsidRPr="001B7F77">
        <w:rPr>
          <w:rFonts w:eastAsia="Times"/>
          <w:color w:val="000000"/>
          <w:u w:val="single"/>
        </w:rPr>
        <w:t>pursuant to Article 6 of the MDL (pursuant to Section D103, such multiple dwellings as classified as HCA, HCB, HACA of HACB); or</w:t>
      </w:r>
    </w:p>
    <w:p w14:paraId="008BADF8" w14:textId="77777777" w:rsidR="001B7F77" w:rsidRPr="001B7F77" w:rsidRDefault="001B7F77" w:rsidP="00FD2721">
      <w:pPr>
        <w:pBdr>
          <w:top w:val="nil"/>
          <w:left w:val="nil"/>
          <w:bottom w:val="nil"/>
          <w:right w:val="nil"/>
          <w:between w:val="nil"/>
        </w:pBdr>
        <w:suppressAutoHyphens/>
        <w:spacing w:before="120"/>
        <w:ind w:left="1080" w:hanging="360"/>
        <w:rPr>
          <w:rFonts w:eastAsia="Times"/>
          <w:u w:val="single"/>
        </w:rPr>
      </w:pPr>
      <w:r w:rsidRPr="001B7F77">
        <w:rPr>
          <w:rFonts w:eastAsia="Times"/>
          <w:color w:val="000000"/>
          <w:u w:val="single"/>
        </w:rPr>
        <w:t>2.</w:t>
      </w:r>
      <w:r w:rsidRPr="001B7F77">
        <w:rPr>
          <w:rFonts w:eastAsia="Times"/>
          <w:color w:val="000000"/>
          <w:u w:val="single"/>
        </w:rPr>
        <w:tab/>
        <w:t xml:space="preserve">On or after </w:t>
      </w:r>
      <w:r w:rsidRPr="001B7F77">
        <w:rPr>
          <w:rFonts w:eastAsia="Times"/>
          <w:u w:val="single"/>
        </w:rPr>
        <w:t>the effective date of the local law that added this section</w:t>
      </w:r>
      <w:r w:rsidRPr="001B7F77">
        <w:rPr>
          <w:rFonts w:eastAsia="Times"/>
          <w:color w:val="000000"/>
          <w:u w:val="single"/>
        </w:rPr>
        <w:t xml:space="preserve"> pursuant to Chapter D6 (pursuant to Section D103, such multiple dwellings are classified as EBC-CDA).</w:t>
      </w:r>
    </w:p>
    <w:p w14:paraId="099DC017" w14:textId="77777777" w:rsidR="001B7F77" w:rsidRPr="001B7F77" w:rsidRDefault="001B7F77" w:rsidP="00FD2721">
      <w:pPr>
        <w:pBdr>
          <w:top w:val="nil"/>
          <w:left w:val="nil"/>
          <w:bottom w:val="nil"/>
          <w:right w:val="nil"/>
          <w:between w:val="nil"/>
        </w:pBdr>
        <w:suppressAutoHyphens/>
        <w:spacing w:before="120"/>
        <w:ind w:left="360"/>
        <w:rPr>
          <w:rFonts w:eastAsia="Times"/>
          <w:color w:val="000000"/>
          <w:u w:val="single"/>
        </w:rPr>
      </w:pPr>
      <w:r w:rsidRPr="001B7F77">
        <w:rPr>
          <w:rFonts w:eastAsia="Times"/>
          <w:b/>
          <w:color w:val="000000"/>
          <w:u w:val="single"/>
        </w:rPr>
        <w:t>COURT (MDL 4(32)).</w:t>
      </w:r>
      <w:r w:rsidRPr="001B7F77">
        <w:rPr>
          <w:rFonts w:eastAsia="Times"/>
          <w:color w:val="000000"/>
          <w:u w:val="single"/>
        </w:rPr>
        <w:t xml:space="preserve"> An open space other than a side or rear yard, on the same zoning lot as a dwelling.</w:t>
      </w:r>
    </w:p>
    <w:p w14:paraId="03DEE04B" w14:textId="77777777" w:rsidR="001B7F77" w:rsidRPr="001B7F77" w:rsidRDefault="001B7F77" w:rsidP="00FD2721">
      <w:pPr>
        <w:pBdr>
          <w:top w:val="nil"/>
          <w:left w:val="nil"/>
          <w:bottom w:val="nil"/>
          <w:right w:val="nil"/>
          <w:between w:val="nil"/>
        </w:pBdr>
        <w:suppressAutoHyphens/>
        <w:spacing w:before="120"/>
        <w:ind w:left="360"/>
        <w:rPr>
          <w:rFonts w:eastAsia="Times"/>
          <w:color w:val="000000"/>
          <w:u w:val="single"/>
        </w:rPr>
      </w:pPr>
      <w:r w:rsidRPr="001B7F77">
        <w:rPr>
          <w:rFonts w:eastAsia="Times"/>
          <w:b/>
          <w:color w:val="000000"/>
          <w:u w:val="single"/>
        </w:rPr>
        <w:t>COURT, INNER (MDL 4(32)).</w:t>
      </w:r>
      <w:r w:rsidRPr="001B7F77">
        <w:rPr>
          <w:rFonts w:eastAsia="Times"/>
          <w:color w:val="000000"/>
          <w:u w:val="single"/>
        </w:rPr>
        <w:t xml:space="preserve"> A court not extending to the street or rear yard.</w:t>
      </w:r>
    </w:p>
    <w:p w14:paraId="184F4320" w14:textId="77777777" w:rsidR="001B7F77" w:rsidRPr="001B7F77" w:rsidRDefault="001B7F77" w:rsidP="00FD2721">
      <w:pPr>
        <w:pBdr>
          <w:top w:val="nil"/>
          <w:left w:val="nil"/>
          <w:bottom w:val="nil"/>
          <w:right w:val="nil"/>
          <w:between w:val="nil"/>
        </w:pBdr>
        <w:suppressAutoHyphens/>
        <w:spacing w:before="120"/>
        <w:ind w:left="360"/>
        <w:rPr>
          <w:rFonts w:eastAsia="Times"/>
          <w:color w:val="000000"/>
          <w:u w:val="single"/>
        </w:rPr>
      </w:pPr>
      <w:r w:rsidRPr="001B7F77">
        <w:rPr>
          <w:rFonts w:eastAsia="Times"/>
          <w:b/>
          <w:color w:val="000000"/>
          <w:u w:val="single"/>
        </w:rPr>
        <w:t xml:space="preserve">COURT, OUTER (MDL 4(32)). </w:t>
      </w:r>
      <w:r w:rsidRPr="001B7F77">
        <w:rPr>
          <w:rFonts w:eastAsia="Times"/>
          <w:color w:val="000000"/>
          <w:u w:val="single"/>
        </w:rPr>
        <w:t>A court extending to the street or rear yard.</w:t>
      </w:r>
    </w:p>
    <w:p w14:paraId="33CEE25A" w14:textId="77777777" w:rsidR="001B7F77" w:rsidRPr="001B7F77" w:rsidRDefault="001B7F77" w:rsidP="00FD2721">
      <w:pPr>
        <w:pBdr>
          <w:top w:val="nil"/>
          <w:left w:val="nil"/>
          <w:bottom w:val="nil"/>
          <w:right w:val="nil"/>
          <w:between w:val="nil"/>
        </w:pBdr>
        <w:suppressAutoHyphens/>
        <w:spacing w:before="120"/>
        <w:ind w:left="360"/>
        <w:rPr>
          <w:rFonts w:eastAsia="Times"/>
          <w:color w:val="000000"/>
          <w:u w:val="single"/>
        </w:rPr>
      </w:pPr>
      <w:r w:rsidRPr="001B7F77">
        <w:rPr>
          <w:rFonts w:eastAsia="Times"/>
          <w:b/>
          <w:color w:val="000000"/>
          <w:u w:val="single"/>
        </w:rPr>
        <w:t xml:space="preserve">CUBICLE (MDL 4(21)). </w:t>
      </w:r>
      <w:r w:rsidRPr="001B7F77">
        <w:rPr>
          <w:rFonts w:eastAsia="Times"/>
          <w:color w:val="000000"/>
          <w:u w:val="single"/>
        </w:rPr>
        <w:t>A small, partially enclosed sleeping space with or without a window to the outer air within a living room in an existing lodging house.</w:t>
      </w:r>
    </w:p>
    <w:p w14:paraId="22CE6FF9" w14:textId="77777777" w:rsidR="001B7F77" w:rsidRPr="001B7F77" w:rsidRDefault="001B7F77" w:rsidP="00FD2721">
      <w:pPr>
        <w:pBdr>
          <w:top w:val="nil"/>
          <w:left w:val="nil"/>
          <w:bottom w:val="nil"/>
          <w:right w:val="nil"/>
          <w:between w:val="nil"/>
        </w:pBdr>
        <w:suppressAutoHyphens/>
        <w:spacing w:before="120"/>
        <w:ind w:left="360"/>
        <w:rPr>
          <w:rFonts w:eastAsia="Times"/>
          <w:bCs/>
          <w:color w:val="000000"/>
          <w:u w:val="single"/>
        </w:rPr>
      </w:pPr>
      <w:r w:rsidRPr="001B7F77">
        <w:rPr>
          <w:rFonts w:eastAsia="Times"/>
          <w:b/>
          <w:color w:val="000000"/>
          <w:u w:val="single"/>
        </w:rPr>
        <w:t xml:space="preserve">CURB LEVEL (MDL 4(33)). </w:t>
      </w:r>
      <w:r w:rsidRPr="001B7F77">
        <w:rPr>
          <w:rFonts w:eastAsia="Times"/>
          <w:bCs/>
          <w:color w:val="000000"/>
          <w:u w:val="single"/>
        </w:rPr>
        <w:t>The "curb level", for the purpose of measuring the height of any portion of a building, is the level of the curb at the center of the front of the building; except that where a building faces on more than one street, the curb level is the average of the levels of the curbs at the center of each front. Where no curb elevation has been established the average elevation of the final grade adjoining all exterior walls of a building, calculated from grade elevations taken at intervals of ten feet around the exterior walls of the building, shall be considered the curb level, unless the city engineer shall establish such curb level or its equivalent.</w:t>
      </w:r>
    </w:p>
    <w:p w14:paraId="64AA7A69" w14:textId="77777777" w:rsidR="001B7F77" w:rsidRPr="001B7F77" w:rsidRDefault="001B7F77" w:rsidP="00FD2721">
      <w:pPr>
        <w:pBdr>
          <w:top w:val="nil"/>
          <w:left w:val="nil"/>
          <w:bottom w:val="nil"/>
          <w:right w:val="nil"/>
          <w:between w:val="nil"/>
        </w:pBdr>
        <w:suppressAutoHyphens/>
        <w:spacing w:before="120"/>
        <w:ind w:left="360"/>
        <w:rPr>
          <w:rFonts w:eastAsia="Times"/>
          <w:i/>
          <w:color w:val="000000"/>
          <w:u w:val="single"/>
        </w:rPr>
      </w:pPr>
      <w:r w:rsidRPr="001B7F77">
        <w:rPr>
          <w:rFonts w:eastAsia="Times"/>
          <w:b/>
          <w:color w:val="000000"/>
          <w:u w:val="single"/>
        </w:rPr>
        <w:t xml:space="preserve">DWELLING (MDL 4(4)). </w:t>
      </w:r>
      <w:r w:rsidRPr="001B7F77">
        <w:rPr>
          <w:rFonts w:eastAsia="Times"/>
          <w:color w:val="000000"/>
          <w:u w:val="single"/>
        </w:rPr>
        <w:t xml:space="preserve">See Chapter 2 of the </w:t>
      </w:r>
      <w:r w:rsidRPr="001B7F77">
        <w:rPr>
          <w:rFonts w:eastAsia="Times"/>
          <w:i/>
          <w:iCs/>
          <w:color w:val="000000"/>
          <w:u w:val="single"/>
        </w:rPr>
        <w:t>New York City Building Code</w:t>
      </w:r>
      <w:r w:rsidRPr="001B7F77">
        <w:rPr>
          <w:rFonts w:eastAsia="Times"/>
          <w:i/>
          <w:color w:val="000000"/>
          <w:u w:val="single"/>
        </w:rPr>
        <w:t>.</w:t>
      </w:r>
    </w:p>
    <w:p w14:paraId="7B26F342" w14:textId="77777777" w:rsidR="001B7F77" w:rsidRPr="001B7F77" w:rsidRDefault="001B7F77" w:rsidP="00FD2721">
      <w:pPr>
        <w:pBdr>
          <w:top w:val="nil"/>
          <w:left w:val="nil"/>
          <w:bottom w:val="nil"/>
          <w:right w:val="nil"/>
          <w:between w:val="nil"/>
        </w:pBdr>
        <w:suppressAutoHyphens/>
        <w:spacing w:before="120"/>
        <w:ind w:left="360"/>
        <w:rPr>
          <w:rFonts w:eastAsia="Times"/>
          <w:color w:val="000000"/>
          <w:u w:val="single"/>
        </w:rPr>
      </w:pPr>
      <w:r w:rsidRPr="001B7F77">
        <w:rPr>
          <w:rFonts w:eastAsia="Times"/>
          <w:b/>
          <w:color w:val="000000"/>
          <w:u w:val="single"/>
        </w:rPr>
        <w:t>DWELLING UNIT.</w:t>
      </w:r>
      <w:r w:rsidRPr="001B7F77">
        <w:rPr>
          <w:rFonts w:eastAsia="Times"/>
          <w:color w:val="000000"/>
          <w:u w:val="single"/>
        </w:rPr>
        <w:t xml:space="preserve"> See Chapter 2 of the </w:t>
      </w:r>
      <w:r w:rsidRPr="001B7F77">
        <w:rPr>
          <w:rFonts w:eastAsia="Times"/>
          <w:i/>
          <w:iCs/>
          <w:color w:val="000000"/>
          <w:u w:val="single"/>
        </w:rPr>
        <w:t>New York City Building Code</w:t>
      </w:r>
      <w:r w:rsidRPr="001B7F77">
        <w:rPr>
          <w:rFonts w:eastAsia="Times"/>
          <w:color w:val="000000"/>
          <w:u w:val="single"/>
        </w:rPr>
        <w:t>.</w:t>
      </w:r>
    </w:p>
    <w:p w14:paraId="204F1CB8" w14:textId="77777777" w:rsidR="001B7F77" w:rsidRPr="001B7F77" w:rsidRDefault="001B7F77" w:rsidP="00FD2721">
      <w:pPr>
        <w:pBdr>
          <w:top w:val="nil"/>
          <w:left w:val="nil"/>
          <w:bottom w:val="nil"/>
          <w:right w:val="nil"/>
          <w:between w:val="nil"/>
        </w:pBdr>
        <w:suppressAutoHyphens/>
        <w:spacing w:before="120"/>
        <w:ind w:left="360"/>
        <w:rPr>
          <w:rFonts w:eastAsia="Times"/>
          <w:color w:val="000000"/>
          <w:u w:val="single"/>
        </w:rPr>
      </w:pPr>
      <w:r w:rsidRPr="001B7F77">
        <w:rPr>
          <w:rFonts w:eastAsia="Times"/>
          <w:b/>
          <w:bCs/>
          <w:color w:val="000000"/>
          <w:u w:val="single"/>
        </w:rPr>
        <w:t>FIRE ESCAPE (MDL 4(42)(c)).</w:t>
      </w:r>
      <w:r w:rsidRPr="001B7F77">
        <w:rPr>
          <w:rFonts w:eastAsia="Times"/>
          <w:color w:val="000000"/>
          <w:u w:val="single"/>
        </w:rPr>
        <w:t xml:space="preserve"> A "fire-escape" is a combination of outside balconies and stairs providing an unobstructed means of egress from rooms or spaces in a building.</w:t>
      </w:r>
    </w:p>
    <w:p w14:paraId="160D8E7F" w14:textId="77777777" w:rsidR="001B7F77" w:rsidRPr="001B7F77" w:rsidRDefault="001B7F77" w:rsidP="00FD2721">
      <w:pPr>
        <w:pBdr>
          <w:top w:val="nil"/>
          <w:left w:val="nil"/>
          <w:bottom w:val="nil"/>
          <w:right w:val="nil"/>
          <w:between w:val="nil"/>
        </w:pBdr>
        <w:suppressAutoHyphens/>
        <w:spacing w:before="120"/>
        <w:ind w:left="360"/>
        <w:rPr>
          <w:rFonts w:eastAsia="Times"/>
          <w:color w:val="000000"/>
          <w:u w:val="single"/>
        </w:rPr>
      </w:pPr>
      <w:r w:rsidRPr="001B7F77">
        <w:rPr>
          <w:rFonts w:eastAsia="Times"/>
          <w:b/>
          <w:color w:val="000000"/>
          <w:u w:val="single"/>
        </w:rPr>
        <w:t xml:space="preserve">FIRE-RETARDED (MDL 4(29)). </w:t>
      </w:r>
      <w:r w:rsidRPr="001B7F77">
        <w:rPr>
          <w:rFonts w:eastAsia="Times"/>
          <w:color w:val="000000"/>
          <w:u w:val="single"/>
        </w:rPr>
        <w:t>As applied to a part or parts of a building, part or parts that are:</w:t>
      </w:r>
    </w:p>
    <w:p w14:paraId="212054D6" w14:textId="77777777" w:rsidR="001B7F77" w:rsidRPr="001B7F77" w:rsidRDefault="001B7F77" w:rsidP="00FD2721">
      <w:pPr>
        <w:pBdr>
          <w:top w:val="nil"/>
          <w:left w:val="nil"/>
          <w:bottom w:val="nil"/>
          <w:right w:val="nil"/>
          <w:between w:val="nil"/>
        </w:pBdr>
        <w:suppressAutoHyphens/>
        <w:spacing w:before="120"/>
        <w:ind w:left="1080" w:hanging="360"/>
        <w:rPr>
          <w:rFonts w:eastAsia="Times"/>
          <w:u w:val="single"/>
        </w:rPr>
      </w:pPr>
      <w:r w:rsidRPr="001B7F77">
        <w:rPr>
          <w:rFonts w:eastAsia="Times"/>
          <w:color w:val="000000"/>
          <w:u w:val="single"/>
        </w:rPr>
        <w:t>1.</w:t>
      </w:r>
      <w:r w:rsidRPr="001B7F77">
        <w:rPr>
          <w:rFonts w:eastAsia="Times"/>
          <w:color w:val="000000"/>
          <w:u w:val="single"/>
        </w:rPr>
        <w:tab/>
        <w:t>Previously protected against fire in accordance with Section E402 of Appendix E, and if altered thereafter, altered in accordance with Section D306.13;</w:t>
      </w:r>
    </w:p>
    <w:p w14:paraId="70636025" w14:textId="77777777" w:rsidR="001B7F77" w:rsidRPr="001B7F77" w:rsidRDefault="001B7F77" w:rsidP="00FD2721">
      <w:pPr>
        <w:pBdr>
          <w:top w:val="nil"/>
          <w:left w:val="nil"/>
          <w:bottom w:val="nil"/>
          <w:right w:val="nil"/>
          <w:between w:val="nil"/>
        </w:pBdr>
        <w:suppressAutoHyphens/>
        <w:spacing w:before="120"/>
        <w:ind w:left="1080" w:hanging="360"/>
        <w:rPr>
          <w:rFonts w:eastAsia="Times"/>
          <w:u w:val="single"/>
        </w:rPr>
      </w:pPr>
      <w:r w:rsidRPr="001B7F77">
        <w:rPr>
          <w:rFonts w:eastAsia="Times"/>
          <w:color w:val="000000"/>
          <w:u w:val="single"/>
        </w:rPr>
        <w:t>2.</w:t>
      </w:r>
      <w:r w:rsidRPr="001B7F77">
        <w:rPr>
          <w:rFonts w:eastAsia="Times"/>
          <w:color w:val="000000"/>
          <w:u w:val="single"/>
        </w:rPr>
        <w:tab/>
        <w:t>Protected against fire with materials of standard fire-resistive ratings of at least 1 hour.</w:t>
      </w:r>
    </w:p>
    <w:p w14:paraId="2F6C5371" w14:textId="77777777" w:rsidR="001B7F77" w:rsidRPr="001B7F77" w:rsidRDefault="001B7F77" w:rsidP="00FD2721">
      <w:pPr>
        <w:pBdr>
          <w:top w:val="nil"/>
          <w:left w:val="nil"/>
          <w:bottom w:val="nil"/>
          <w:right w:val="nil"/>
          <w:between w:val="nil"/>
        </w:pBdr>
        <w:suppressAutoHyphens/>
        <w:spacing w:before="120"/>
        <w:ind w:left="360"/>
        <w:rPr>
          <w:rFonts w:eastAsia="Times"/>
          <w:color w:val="000000"/>
          <w:u w:val="single"/>
        </w:rPr>
      </w:pPr>
      <w:r w:rsidRPr="001B7F77">
        <w:rPr>
          <w:rFonts w:eastAsia="Times"/>
          <w:b/>
          <w:color w:val="000000"/>
          <w:u w:val="single"/>
        </w:rPr>
        <w:t xml:space="preserve">FIREPROOF (MDL 4(26)). </w:t>
      </w:r>
      <w:r w:rsidRPr="001B7F77">
        <w:rPr>
          <w:rFonts w:eastAsia="Times"/>
          <w:color w:val="000000"/>
          <w:u w:val="single"/>
        </w:rPr>
        <w:t>As applied to a part or parts of a fireproof or non-fireproof building, such part or parts are made of incombustible materials with standard fire-resistive ratings not less than those required for the corresponding part or parts of a fireproof multiple dwelling.</w:t>
      </w:r>
    </w:p>
    <w:p w14:paraId="69C9F462" w14:textId="77777777" w:rsidR="001B7F77" w:rsidRPr="001B7F77" w:rsidRDefault="001B7F77" w:rsidP="00FD2721">
      <w:pPr>
        <w:pBdr>
          <w:top w:val="nil"/>
          <w:left w:val="nil"/>
          <w:bottom w:val="nil"/>
          <w:right w:val="nil"/>
          <w:between w:val="nil"/>
        </w:pBdr>
        <w:suppressAutoHyphens/>
        <w:spacing w:before="120"/>
        <w:ind w:left="360"/>
        <w:rPr>
          <w:rFonts w:eastAsia="Times"/>
          <w:color w:val="000000"/>
          <w:u w:val="single"/>
        </w:rPr>
      </w:pPr>
      <w:r w:rsidRPr="001B7F77">
        <w:rPr>
          <w:rFonts w:eastAsia="Times"/>
          <w:b/>
          <w:color w:val="000000"/>
          <w:u w:val="single"/>
        </w:rPr>
        <w:t>FIREPROOF MULTIPLE DWELLING (MDL 4(25)).</w:t>
      </w:r>
      <w:r w:rsidRPr="001B7F77">
        <w:rPr>
          <w:rFonts w:eastAsia="Times"/>
          <w:color w:val="000000"/>
          <w:u w:val="single"/>
        </w:rPr>
        <w:t xml:space="preserve"> A multiple dwelling in which the walls and other structural members are of incombustible materials or assemblies meeting all of the requirements of the building code and with standard fire-resistive ratings of not less than those set forth in Table D201(1).</w:t>
      </w:r>
    </w:p>
    <w:p w14:paraId="03B147BF" w14:textId="77777777" w:rsidR="001B7F77" w:rsidRPr="001B7F77" w:rsidRDefault="001B7F77" w:rsidP="00FD2721">
      <w:pPr>
        <w:pBdr>
          <w:top w:val="nil"/>
          <w:left w:val="nil"/>
          <w:bottom w:val="nil"/>
          <w:right w:val="nil"/>
          <w:between w:val="nil"/>
        </w:pBdr>
        <w:suppressAutoHyphens/>
        <w:spacing w:before="120"/>
        <w:ind w:left="360"/>
        <w:jc w:val="center"/>
        <w:rPr>
          <w:rFonts w:eastAsia="Times"/>
          <w:b/>
          <w:color w:val="000000"/>
          <w:u w:val="single"/>
        </w:rPr>
      </w:pPr>
      <w:r w:rsidRPr="001B7F77">
        <w:rPr>
          <w:rFonts w:eastAsia="Times"/>
          <w:b/>
          <w:color w:val="000000"/>
          <w:u w:val="single"/>
        </w:rPr>
        <w:t xml:space="preserve">TABLE D201(1) FIRE-RESISTIVE RATINGS OF </w:t>
      </w:r>
    </w:p>
    <w:p w14:paraId="431A0C54" w14:textId="77777777" w:rsidR="001B7F77" w:rsidRPr="001B7F77" w:rsidRDefault="001B7F77" w:rsidP="00FD2721">
      <w:pPr>
        <w:pBdr>
          <w:top w:val="nil"/>
          <w:left w:val="nil"/>
          <w:bottom w:val="nil"/>
          <w:right w:val="nil"/>
          <w:between w:val="nil"/>
        </w:pBdr>
        <w:suppressAutoHyphens/>
        <w:spacing w:before="120"/>
        <w:ind w:left="360"/>
        <w:jc w:val="center"/>
        <w:rPr>
          <w:rFonts w:eastAsia="Times"/>
          <w:b/>
          <w:color w:val="000000"/>
          <w:u w:val="single"/>
        </w:rPr>
      </w:pPr>
      <w:r w:rsidRPr="001B7F77">
        <w:rPr>
          <w:rFonts w:eastAsia="Times"/>
          <w:b/>
          <w:color w:val="000000"/>
          <w:u w:val="single"/>
        </w:rPr>
        <w:t>FIREPROOF BUILDING ELEMENTS</w:t>
      </w:r>
      <w:r w:rsidRPr="001B7F77">
        <w:rPr>
          <w:rFonts w:eastAsia="Times"/>
          <w:b/>
          <w:color w:val="000000"/>
          <w:u w:val="single"/>
          <w:vertAlign w:val="superscript"/>
        </w:rPr>
        <w:t>a</w:t>
      </w:r>
      <w:r w:rsidRPr="001B7F77">
        <w:rPr>
          <w:rFonts w:eastAsia="Times"/>
          <w:b/>
          <w:color w:val="000000"/>
          <w:u w:val="single"/>
        </w:rPr>
        <w:t xml:space="preserve"> </w:t>
      </w:r>
    </w:p>
    <w:tbl>
      <w:tblPr>
        <w:tblStyle w:val="3"/>
        <w:tblW w:w="9134" w:type="dxa"/>
        <w:tblInd w:w="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780"/>
        <w:gridCol w:w="3095"/>
        <w:gridCol w:w="2259"/>
      </w:tblGrid>
      <w:tr w:rsidR="001B7F77" w:rsidRPr="001B7F77" w14:paraId="3DC5BEC7" w14:textId="77777777" w:rsidTr="006655A1">
        <w:trPr>
          <w:cantSplit/>
          <w:tblHeader/>
        </w:trPr>
        <w:tc>
          <w:tcPr>
            <w:tcW w:w="3780" w:type="dxa"/>
            <w:shd w:val="clear" w:color="auto" w:fill="auto"/>
          </w:tcPr>
          <w:p w14:paraId="5957D738" w14:textId="77777777" w:rsidR="001B7F77" w:rsidRPr="001B7F77" w:rsidRDefault="001B7F77" w:rsidP="00FD2721">
            <w:pPr>
              <w:pBdr>
                <w:top w:val="nil"/>
                <w:left w:val="nil"/>
                <w:bottom w:val="nil"/>
                <w:right w:val="nil"/>
                <w:between w:val="nil"/>
              </w:pBdr>
              <w:suppressAutoHyphens/>
              <w:spacing w:before="120"/>
              <w:jc w:val="left"/>
              <w:rPr>
                <w:rFonts w:eastAsia="Times"/>
                <w:b/>
                <w:bCs/>
                <w:u w:val="single"/>
              </w:rPr>
            </w:pPr>
            <w:r w:rsidRPr="001B7F77">
              <w:rPr>
                <w:rFonts w:eastAsia="Times"/>
                <w:b/>
                <w:bCs/>
                <w:u w:val="single"/>
              </w:rPr>
              <w:t>Incombustible material or assembly</w:t>
            </w:r>
          </w:p>
        </w:tc>
        <w:tc>
          <w:tcPr>
            <w:tcW w:w="3095" w:type="dxa"/>
            <w:shd w:val="clear" w:color="auto" w:fill="auto"/>
          </w:tcPr>
          <w:p w14:paraId="19E85DFB" w14:textId="77777777" w:rsidR="001B7F77" w:rsidRPr="001B7F77" w:rsidRDefault="001B7F77" w:rsidP="00FD2721">
            <w:pPr>
              <w:pBdr>
                <w:top w:val="nil"/>
                <w:left w:val="nil"/>
                <w:bottom w:val="nil"/>
                <w:right w:val="nil"/>
                <w:between w:val="nil"/>
              </w:pBdr>
              <w:suppressAutoHyphens/>
              <w:spacing w:before="120"/>
              <w:jc w:val="left"/>
              <w:rPr>
                <w:rFonts w:eastAsia="Times"/>
                <w:b/>
                <w:bCs/>
                <w:u w:val="single"/>
              </w:rPr>
            </w:pPr>
            <w:r w:rsidRPr="001B7F77">
              <w:rPr>
                <w:rFonts w:eastAsia="Times"/>
                <w:b/>
                <w:bCs/>
                <w:u w:val="single"/>
              </w:rPr>
              <w:t>Multiple dwelling more than one hundred feet in height</w:t>
            </w:r>
          </w:p>
        </w:tc>
        <w:tc>
          <w:tcPr>
            <w:tcW w:w="2259" w:type="dxa"/>
            <w:shd w:val="clear" w:color="auto" w:fill="auto"/>
          </w:tcPr>
          <w:p w14:paraId="026A2979" w14:textId="77777777" w:rsidR="001B7F77" w:rsidRPr="001B7F77" w:rsidRDefault="001B7F77" w:rsidP="00FD2721">
            <w:pPr>
              <w:pBdr>
                <w:top w:val="nil"/>
                <w:left w:val="nil"/>
                <w:bottom w:val="nil"/>
                <w:right w:val="nil"/>
                <w:between w:val="nil"/>
              </w:pBdr>
              <w:suppressAutoHyphens/>
              <w:spacing w:before="120"/>
              <w:jc w:val="left"/>
              <w:rPr>
                <w:rFonts w:eastAsia="Times"/>
                <w:b/>
                <w:bCs/>
                <w:u w:val="single"/>
              </w:rPr>
            </w:pPr>
            <w:r w:rsidRPr="001B7F77">
              <w:rPr>
                <w:rFonts w:eastAsia="Times"/>
                <w:b/>
                <w:bCs/>
                <w:u w:val="single"/>
              </w:rPr>
              <w:t>Multiple dwelling one hundred feet or less in height</w:t>
            </w:r>
          </w:p>
        </w:tc>
      </w:tr>
      <w:tr w:rsidR="001B7F77" w:rsidRPr="001B7F77" w14:paraId="4905F427" w14:textId="77777777" w:rsidTr="006655A1">
        <w:tc>
          <w:tcPr>
            <w:tcW w:w="3780" w:type="dxa"/>
            <w:shd w:val="clear" w:color="auto" w:fill="auto"/>
          </w:tcPr>
          <w:p w14:paraId="6634BE7F" w14:textId="77777777" w:rsidR="001B7F77" w:rsidRPr="001B7F77" w:rsidRDefault="001B7F77" w:rsidP="00FD2721">
            <w:pPr>
              <w:pBdr>
                <w:top w:val="nil"/>
                <w:left w:val="nil"/>
                <w:bottom w:val="nil"/>
                <w:right w:val="nil"/>
                <w:between w:val="nil"/>
              </w:pBdr>
              <w:suppressAutoHyphens/>
              <w:spacing w:before="120"/>
              <w:jc w:val="left"/>
              <w:rPr>
                <w:rFonts w:eastAsia="Times"/>
                <w:u w:val="single"/>
              </w:rPr>
            </w:pPr>
            <w:r w:rsidRPr="001B7F77">
              <w:rPr>
                <w:rFonts w:eastAsia="Times"/>
                <w:u w:val="single"/>
              </w:rPr>
              <w:t>Fire Walls</w:t>
            </w:r>
          </w:p>
        </w:tc>
        <w:tc>
          <w:tcPr>
            <w:tcW w:w="3095" w:type="dxa"/>
            <w:shd w:val="clear" w:color="auto" w:fill="auto"/>
          </w:tcPr>
          <w:p w14:paraId="107CF5B1" w14:textId="77777777" w:rsidR="001B7F77" w:rsidRPr="001B7F77" w:rsidRDefault="001B7F77" w:rsidP="00FD2721">
            <w:pPr>
              <w:pBdr>
                <w:top w:val="nil"/>
                <w:left w:val="nil"/>
                <w:bottom w:val="nil"/>
                <w:right w:val="nil"/>
                <w:between w:val="nil"/>
              </w:pBdr>
              <w:suppressAutoHyphens/>
              <w:spacing w:before="120"/>
              <w:jc w:val="left"/>
              <w:rPr>
                <w:rFonts w:eastAsia="Times"/>
                <w:u w:val="single"/>
              </w:rPr>
            </w:pPr>
            <w:r w:rsidRPr="001B7F77">
              <w:rPr>
                <w:rFonts w:eastAsia="Times"/>
                <w:u w:val="single"/>
              </w:rPr>
              <w:t>4 hours</w:t>
            </w:r>
          </w:p>
        </w:tc>
        <w:tc>
          <w:tcPr>
            <w:tcW w:w="2259" w:type="dxa"/>
            <w:shd w:val="clear" w:color="auto" w:fill="auto"/>
          </w:tcPr>
          <w:p w14:paraId="24EA3BD4" w14:textId="77777777" w:rsidR="001B7F77" w:rsidRPr="001B7F77" w:rsidRDefault="001B7F77" w:rsidP="00FD2721">
            <w:pPr>
              <w:pBdr>
                <w:top w:val="nil"/>
                <w:left w:val="nil"/>
                <w:bottom w:val="nil"/>
                <w:right w:val="nil"/>
                <w:between w:val="nil"/>
              </w:pBdr>
              <w:suppressAutoHyphens/>
              <w:spacing w:before="120"/>
              <w:jc w:val="left"/>
              <w:rPr>
                <w:rFonts w:eastAsia="Times"/>
                <w:u w:val="single"/>
              </w:rPr>
            </w:pPr>
            <w:r w:rsidRPr="001B7F77">
              <w:rPr>
                <w:rFonts w:eastAsia="Times"/>
                <w:u w:val="single"/>
              </w:rPr>
              <w:t>4 hours</w:t>
            </w:r>
          </w:p>
        </w:tc>
      </w:tr>
      <w:tr w:rsidR="001B7F77" w:rsidRPr="001B7F77" w14:paraId="7D382BEC" w14:textId="77777777" w:rsidTr="006655A1">
        <w:tc>
          <w:tcPr>
            <w:tcW w:w="3780" w:type="dxa"/>
            <w:shd w:val="clear" w:color="auto" w:fill="auto"/>
          </w:tcPr>
          <w:p w14:paraId="04746898" w14:textId="77777777" w:rsidR="001B7F77" w:rsidRPr="001B7F77" w:rsidRDefault="001B7F77" w:rsidP="00FD2721">
            <w:pPr>
              <w:pBdr>
                <w:top w:val="nil"/>
                <w:left w:val="nil"/>
                <w:bottom w:val="nil"/>
                <w:right w:val="nil"/>
                <w:between w:val="nil"/>
              </w:pBdr>
              <w:suppressAutoHyphens/>
              <w:spacing w:before="120"/>
              <w:jc w:val="left"/>
              <w:rPr>
                <w:rFonts w:eastAsia="Times"/>
                <w:u w:val="single"/>
              </w:rPr>
            </w:pPr>
            <w:r w:rsidRPr="001B7F77">
              <w:rPr>
                <w:rFonts w:eastAsia="Times"/>
                <w:u w:val="single"/>
              </w:rPr>
              <w:t>Party Walls</w:t>
            </w:r>
          </w:p>
        </w:tc>
        <w:tc>
          <w:tcPr>
            <w:tcW w:w="3095" w:type="dxa"/>
            <w:shd w:val="clear" w:color="auto" w:fill="auto"/>
          </w:tcPr>
          <w:p w14:paraId="00DD3C54" w14:textId="77777777" w:rsidR="001B7F77" w:rsidRPr="001B7F77" w:rsidRDefault="001B7F77" w:rsidP="00FD2721">
            <w:pPr>
              <w:pBdr>
                <w:top w:val="nil"/>
                <w:left w:val="nil"/>
                <w:bottom w:val="nil"/>
                <w:right w:val="nil"/>
                <w:between w:val="nil"/>
              </w:pBdr>
              <w:suppressAutoHyphens/>
              <w:spacing w:before="120"/>
              <w:jc w:val="left"/>
              <w:rPr>
                <w:rFonts w:eastAsia="Times"/>
                <w:u w:val="single"/>
              </w:rPr>
            </w:pPr>
            <w:r w:rsidRPr="001B7F77">
              <w:rPr>
                <w:rFonts w:eastAsia="Times"/>
                <w:u w:val="single"/>
              </w:rPr>
              <w:t>4 hours</w:t>
            </w:r>
          </w:p>
        </w:tc>
        <w:tc>
          <w:tcPr>
            <w:tcW w:w="2259" w:type="dxa"/>
            <w:shd w:val="clear" w:color="auto" w:fill="auto"/>
          </w:tcPr>
          <w:p w14:paraId="42602354" w14:textId="77777777" w:rsidR="001B7F77" w:rsidRPr="001B7F77" w:rsidRDefault="001B7F77" w:rsidP="00FD2721">
            <w:pPr>
              <w:pBdr>
                <w:top w:val="nil"/>
                <w:left w:val="nil"/>
                <w:bottom w:val="nil"/>
                <w:right w:val="nil"/>
                <w:between w:val="nil"/>
              </w:pBdr>
              <w:suppressAutoHyphens/>
              <w:spacing w:before="120"/>
              <w:jc w:val="left"/>
              <w:rPr>
                <w:rFonts w:eastAsia="Times"/>
                <w:u w:val="single"/>
              </w:rPr>
            </w:pPr>
            <w:r w:rsidRPr="001B7F77">
              <w:rPr>
                <w:rFonts w:eastAsia="Times"/>
                <w:u w:val="single"/>
              </w:rPr>
              <w:t>4 hours</w:t>
            </w:r>
          </w:p>
        </w:tc>
      </w:tr>
      <w:tr w:rsidR="001B7F77" w:rsidRPr="001B7F77" w14:paraId="20D42D65" w14:textId="77777777" w:rsidTr="006655A1">
        <w:tc>
          <w:tcPr>
            <w:tcW w:w="3780" w:type="dxa"/>
            <w:shd w:val="clear" w:color="auto" w:fill="auto"/>
          </w:tcPr>
          <w:p w14:paraId="6EFA034E" w14:textId="77777777" w:rsidR="001B7F77" w:rsidRPr="001B7F77" w:rsidRDefault="001B7F77" w:rsidP="00FD2721">
            <w:pPr>
              <w:pBdr>
                <w:top w:val="nil"/>
                <w:left w:val="nil"/>
                <w:bottom w:val="nil"/>
                <w:right w:val="nil"/>
                <w:between w:val="nil"/>
              </w:pBdr>
              <w:suppressAutoHyphens/>
              <w:spacing w:before="120"/>
              <w:jc w:val="left"/>
              <w:rPr>
                <w:rFonts w:eastAsia="Times"/>
                <w:u w:val="single"/>
              </w:rPr>
            </w:pPr>
            <w:r w:rsidRPr="001B7F77">
              <w:rPr>
                <w:rFonts w:eastAsia="Times"/>
                <w:u w:val="single"/>
              </w:rPr>
              <w:t>Piers</w:t>
            </w:r>
          </w:p>
        </w:tc>
        <w:tc>
          <w:tcPr>
            <w:tcW w:w="3095" w:type="dxa"/>
            <w:shd w:val="clear" w:color="auto" w:fill="auto"/>
          </w:tcPr>
          <w:p w14:paraId="085DA9DF" w14:textId="77777777" w:rsidR="001B7F77" w:rsidRPr="001B7F77" w:rsidRDefault="001B7F77" w:rsidP="00FD2721">
            <w:pPr>
              <w:pBdr>
                <w:top w:val="nil"/>
                <w:left w:val="nil"/>
                <w:bottom w:val="nil"/>
                <w:right w:val="nil"/>
                <w:between w:val="nil"/>
              </w:pBdr>
              <w:suppressAutoHyphens/>
              <w:spacing w:before="120"/>
              <w:jc w:val="left"/>
              <w:rPr>
                <w:rFonts w:eastAsia="Times"/>
                <w:u w:val="single"/>
              </w:rPr>
            </w:pPr>
            <w:r w:rsidRPr="001B7F77">
              <w:rPr>
                <w:rFonts w:eastAsia="Times"/>
                <w:u w:val="single"/>
              </w:rPr>
              <w:t>4 hours</w:t>
            </w:r>
          </w:p>
        </w:tc>
        <w:tc>
          <w:tcPr>
            <w:tcW w:w="2259" w:type="dxa"/>
            <w:shd w:val="clear" w:color="auto" w:fill="auto"/>
          </w:tcPr>
          <w:p w14:paraId="0C4A7E19" w14:textId="77777777" w:rsidR="001B7F77" w:rsidRPr="001B7F77" w:rsidRDefault="001B7F77" w:rsidP="00FD2721">
            <w:pPr>
              <w:pBdr>
                <w:top w:val="nil"/>
                <w:left w:val="nil"/>
                <w:bottom w:val="nil"/>
                <w:right w:val="nil"/>
                <w:between w:val="nil"/>
              </w:pBdr>
              <w:suppressAutoHyphens/>
              <w:spacing w:before="120"/>
              <w:jc w:val="left"/>
              <w:rPr>
                <w:rFonts w:eastAsia="Times"/>
                <w:u w:val="single"/>
              </w:rPr>
            </w:pPr>
            <w:r w:rsidRPr="001B7F77">
              <w:rPr>
                <w:rFonts w:eastAsia="Times"/>
                <w:u w:val="single"/>
              </w:rPr>
              <w:t>4 hours</w:t>
            </w:r>
          </w:p>
        </w:tc>
      </w:tr>
      <w:tr w:rsidR="001B7F77" w:rsidRPr="001B7F77" w14:paraId="380A6455" w14:textId="77777777" w:rsidTr="006655A1">
        <w:tc>
          <w:tcPr>
            <w:tcW w:w="3780" w:type="dxa"/>
            <w:shd w:val="clear" w:color="auto" w:fill="auto"/>
          </w:tcPr>
          <w:p w14:paraId="06DE4AE5" w14:textId="77777777" w:rsidR="001B7F77" w:rsidRPr="001B7F77" w:rsidRDefault="001B7F77" w:rsidP="00FD2721">
            <w:pPr>
              <w:pBdr>
                <w:top w:val="nil"/>
                <w:left w:val="nil"/>
                <w:bottom w:val="nil"/>
                <w:right w:val="nil"/>
                <w:between w:val="nil"/>
              </w:pBdr>
              <w:suppressAutoHyphens/>
              <w:spacing w:before="120"/>
              <w:jc w:val="left"/>
              <w:rPr>
                <w:rFonts w:eastAsia="Times"/>
                <w:u w:val="single"/>
              </w:rPr>
            </w:pPr>
            <w:r w:rsidRPr="001B7F77">
              <w:rPr>
                <w:rFonts w:eastAsia="Times"/>
                <w:u w:val="single"/>
              </w:rPr>
              <w:t xml:space="preserve">Columns </w:t>
            </w:r>
          </w:p>
        </w:tc>
        <w:tc>
          <w:tcPr>
            <w:tcW w:w="3095" w:type="dxa"/>
            <w:shd w:val="clear" w:color="auto" w:fill="auto"/>
          </w:tcPr>
          <w:p w14:paraId="18EBE672" w14:textId="77777777" w:rsidR="001B7F77" w:rsidRPr="001B7F77" w:rsidRDefault="001B7F77" w:rsidP="00FD2721">
            <w:pPr>
              <w:pBdr>
                <w:top w:val="nil"/>
                <w:left w:val="nil"/>
                <w:bottom w:val="nil"/>
                <w:right w:val="nil"/>
                <w:between w:val="nil"/>
              </w:pBdr>
              <w:suppressAutoHyphens/>
              <w:spacing w:before="120"/>
              <w:jc w:val="left"/>
              <w:rPr>
                <w:rFonts w:eastAsia="Times"/>
                <w:u w:val="single"/>
              </w:rPr>
            </w:pPr>
            <w:r w:rsidRPr="001B7F77">
              <w:rPr>
                <w:rFonts w:eastAsia="Times"/>
                <w:u w:val="single"/>
              </w:rPr>
              <w:t>4 hours</w:t>
            </w:r>
          </w:p>
        </w:tc>
        <w:tc>
          <w:tcPr>
            <w:tcW w:w="2259" w:type="dxa"/>
            <w:shd w:val="clear" w:color="auto" w:fill="auto"/>
          </w:tcPr>
          <w:p w14:paraId="2CF4602F" w14:textId="77777777" w:rsidR="001B7F77" w:rsidRPr="001B7F77" w:rsidRDefault="001B7F77" w:rsidP="00FD2721">
            <w:pPr>
              <w:pBdr>
                <w:top w:val="nil"/>
                <w:left w:val="nil"/>
                <w:bottom w:val="nil"/>
                <w:right w:val="nil"/>
                <w:between w:val="nil"/>
              </w:pBdr>
              <w:suppressAutoHyphens/>
              <w:spacing w:before="120"/>
              <w:jc w:val="left"/>
              <w:rPr>
                <w:rFonts w:eastAsia="Times"/>
                <w:u w:val="single"/>
              </w:rPr>
            </w:pPr>
            <w:r w:rsidRPr="001B7F77">
              <w:rPr>
                <w:rFonts w:eastAsia="Times"/>
                <w:u w:val="single"/>
              </w:rPr>
              <w:t>4 hours (exterior)</w:t>
            </w:r>
          </w:p>
          <w:p w14:paraId="361AAA77" w14:textId="77777777" w:rsidR="001B7F77" w:rsidRPr="001B7F77" w:rsidRDefault="001B7F77" w:rsidP="00FD2721">
            <w:pPr>
              <w:pBdr>
                <w:top w:val="nil"/>
                <w:left w:val="nil"/>
                <w:bottom w:val="nil"/>
                <w:right w:val="nil"/>
                <w:between w:val="nil"/>
              </w:pBdr>
              <w:suppressAutoHyphens/>
              <w:spacing w:before="120"/>
              <w:jc w:val="left"/>
              <w:rPr>
                <w:rFonts w:eastAsia="Times"/>
                <w:u w:val="single"/>
              </w:rPr>
            </w:pPr>
            <w:r w:rsidRPr="001B7F77">
              <w:rPr>
                <w:rFonts w:eastAsia="Times"/>
                <w:u w:val="single"/>
              </w:rPr>
              <w:t>2 hours (interior)</w:t>
            </w:r>
          </w:p>
        </w:tc>
      </w:tr>
      <w:tr w:rsidR="001B7F77" w:rsidRPr="001B7F77" w14:paraId="08C9EEA9" w14:textId="77777777" w:rsidTr="006655A1">
        <w:tc>
          <w:tcPr>
            <w:tcW w:w="3780" w:type="dxa"/>
            <w:shd w:val="clear" w:color="auto" w:fill="auto"/>
          </w:tcPr>
          <w:p w14:paraId="01B7E733" w14:textId="77777777" w:rsidR="001B7F77" w:rsidRPr="001B7F77" w:rsidRDefault="001B7F77" w:rsidP="00FD2721">
            <w:pPr>
              <w:pBdr>
                <w:top w:val="nil"/>
                <w:left w:val="nil"/>
                <w:bottom w:val="nil"/>
                <w:right w:val="nil"/>
                <w:between w:val="nil"/>
              </w:pBdr>
              <w:suppressAutoHyphens/>
              <w:spacing w:before="120"/>
              <w:jc w:val="left"/>
              <w:rPr>
                <w:rFonts w:eastAsia="Times"/>
                <w:u w:val="single"/>
              </w:rPr>
            </w:pPr>
            <w:r w:rsidRPr="001B7F77">
              <w:rPr>
                <w:rFonts w:eastAsia="Times"/>
                <w:u w:val="single"/>
              </w:rPr>
              <w:t>Interior structural members which carry walls</w:t>
            </w:r>
          </w:p>
        </w:tc>
        <w:tc>
          <w:tcPr>
            <w:tcW w:w="3095" w:type="dxa"/>
            <w:shd w:val="clear" w:color="auto" w:fill="auto"/>
          </w:tcPr>
          <w:p w14:paraId="072D4C99" w14:textId="77777777" w:rsidR="001B7F77" w:rsidRPr="001B7F77" w:rsidRDefault="001B7F77" w:rsidP="00FD2721">
            <w:pPr>
              <w:pBdr>
                <w:top w:val="nil"/>
                <w:left w:val="nil"/>
                <w:bottom w:val="nil"/>
                <w:right w:val="nil"/>
                <w:between w:val="nil"/>
              </w:pBdr>
              <w:suppressAutoHyphens/>
              <w:spacing w:before="120"/>
              <w:jc w:val="left"/>
              <w:rPr>
                <w:rFonts w:eastAsia="Times"/>
                <w:u w:val="single"/>
              </w:rPr>
            </w:pPr>
            <w:r w:rsidRPr="001B7F77">
              <w:rPr>
                <w:rFonts w:eastAsia="Times"/>
                <w:u w:val="single"/>
              </w:rPr>
              <w:t>4 hours</w:t>
            </w:r>
          </w:p>
        </w:tc>
        <w:tc>
          <w:tcPr>
            <w:tcW w:w="2259" w:type="dxa"/>
            <w:shd w:val="clear" w:color="auto" w:fill="auto"/>
          </w:tcPr>
          <w:p w14:paraId="6FE03E7B" w14:textId="77777777" w:rsidR="001B7F77" w:rsidRPr="001B7F77" w:rsidRDefault="001B7F77" w:rsidP="00FD2721">
            <w:pPr>
              <w:pBdr>
                <w:top w:val="nil"/>
                <w:left w:val="nil"/>
                <w:bottom w:val="nil"/>
                <w:right w:val="nil"/>
                <w:between w:val="nil"/>
              </w:pBdr>
              <w:suppressAutoHyphens/>
              <w:spacing w:before="120"/>
              <w:jc w:val="left"/>
              <w:rPr>
                <w:rFonts w:eastAsia="Times"/>
                <w:u w:val="single"/>
              </w:rPr>
            </w:pPr>
            <w:r w:rsidRPr="001B7F77">
              <w:rPr>
                <w:rFonts w:eastAsia="Times"/>
                <w:u w:val="single"/>
              </w:rPr>
              <w:t>4 hours</w:t>
            </w:r>
          </w:p>
        </w:tc>
      </w:tr>
      <w:tr w:rsidR="001B7F77" w:rsidRPr="001B7F77" w14:paraId="72FEA4CD" w14:textId="77777777" w:rsidTr="006655A1">
        <w:tc>
          <w:tcPr>
            <w:tcW w:w="3780" w:type="dxa"/>
            <w:shd w:val="clear" w:color="auto" w:fill="auto"/>
          </w:tcPr>
          <w:p w14:paraId="45D58902" w14:textId="77777777" w:rsidR="001B7F77" w:rsidRPr="001B7F77" w:rsidRDefault="001B7F77" w:rsidP="00FD2721">
            <w:pPr>
              <w:pBdr>
                <w:top w:val="nil"/>
                <w:left w:val="nil"/>
                <w:bottom w:val="nil"/>
                <w:right w:val="nil"/>
                <w:between w:val="nil"/>
              </w:pBdr>
              <w:suppressAutoHyphens/>
              <w:spacing w:before="120"/>
              <w:jc w:val="left"/>
              <w:rPr>
                <w:rFonts w:eastAsia="Times"/>
                <w:u w:val="single"/>
              </w:rPr>
            </w:pPr>
            <w:r w:rsidRPr="001B7F77">
              <w:rPr>
                <w:rFonts w:eastAsia="Times"/>
                <w:u w:val="single"/>
              </w:rPr>
              <w:t>Girders carrying columns</w:t>
            </w:r>
          </w:p>
        </w:tc>
        <w:tc>
          <w:tcPr>
            <w:tcW w:w="3095" w:type="dxa"/>
            <w:shd w:val="clear" w:color="auto" w:fill="auto"/>
          </w:tcPr>
          <w:p w14:paraId="2BF5F3BC" w14:textId="77777777" w:rsidR="001B7F77" w:rsidRPr="001B7F77" w:rsidRDefault="001B7F77" w:rsidP="00FD2721">
            <w:pPr>
              <w:pBdr>
                <w:top w:val="nil"/>
                <w:left w:val="nil"/>
                <w:bottom w:val="nil"/>
                <w:right w:val="nil"/>
                <w:between w:val="nil"/>
              </w:pBdr>
              <w:suppressAutoHyphens/>
              <w:spacing w:before="120"/>
              <w:jc w:val="left"/>
              <w:rPr>
                <w:rFonts w:eastAsia="Times"/>
                <w:u w:val="single"/>
              </w:rPr>
            </w:pPr>
            <w:r w:rsidRPr="001B7F77">
              <w:rPr>
                <w:rFonts w:eastAsia="Times"/>
                <w:u w:val="single"/>
              </w:rPr>
              <w:t>4 hours</w:t>
            </w:r>
          </w:p>
        </w:tc>
        <w:tc>
          <w:tcPr>
            <w:tcW w:w="2259" w:type="dxa"/>
            <w:shd w:val="clear" w:color="auto" w:fill="auto"/>
          </w:tcPr>
          <w:p w14:paraId="15943D41" w14:textId="77777777" w:rsidR="001B7F77" w:rsidRPr="001B7F77" w:rsidRDefault="001B7F77" w:rsidP="00FD2721">
            <w:pPr>
              <w:pBdr>
                <w:top w:val="nil"/>
                <w:left w:val="nil"/>
                <w:bottom w:val="nil"/>
                <w:right w:val="nil"/>
                <w:between w:val="nil"/>
              </w:pBdr>
              <w:suppressAutoHyphens/>
              <w:spacing w:before="120"/>
              <w:jc w:val="left"/>
              <w:rPr>
                <w:rFonts w:eastAsia="Times"/>
                <w:u w:val="single"/>
              </w:rPr>
            </w:pPr>
            <w:r w:rsidRPr="001B7F77">
              <w:rPr>
                <w:rFonts w:eastAsia="Times"/>
                <w:u w:val="single"/>
              </w:rPr>
              <w:t>4 hours</w:t>
            </w:r>
          </w:p>
        </w:tc>
      </w:tr>
      <w:tr w:rsidR="001B7F77" w:rsidRPr="001B7F77" w14:paraId="0AAE1423" w14:textId="77777777" w:rsidTr="006655A1">
        <w:tc>
          <w:tcPr>
            <w:tcW w:w="3780" w:type="dxa"/>
            <w:shd w:val="clear" w:color="auto" w:fill="auto"/>
          </w:tcPr>
          <w:p w14:paraId="2E054389" w14:textId="77777777" w:rsidR="001B7F77" w:rsidRPr="001B7F77" w:rsidRDefault="001B7F77" w:rsidP="00FD2721">
            <w:pPr>
              <w:pBdr>
                <w:top w:val="nil"/>
                <w:left w:val="nil"/>
                <w:bottom w:val="nil"/>
                <w:right w:val="nil"/>
                <w:between w:val="nil"/>
              </w:pBdr>
              <w:suppressAutoHyphens/>
              <w:spacing w:before="120"/>
              <w:jc w:val="left"/>
              <w:rPr>
                <w:rFonts w:eastAsia="Times"/>
                <w:u w:val="single"/>
              </w:rPr>
            </w:pPr>
            <w:r w:rsidRPr="001B7F77">
              <w:rPr>
                <w:rFonts w:eastAsia="Times"/>
                <w:u w:val="single"/>
              </w:rPr>
              <w:t>Exterior walls other than panel walls</w:t>
            </w:r>
          </w:p>
        </w:tc>
        <w:tc>
          <w:tcPr>
            <w:tcW w:w="3095" w:type="dxa"/>
            <w:shd w:val="clear" w:color="auto" w:fill="auto"/>
          </w:tcPr>
          <w:p w14:paraId="1AFCAA60" w14:textId="77777777" w:rsidR="001B7F77" w:rsidRPr="001B7F77" w:rsidRDefault="001B7F77" w:rsidP="00FD2721">
            <w:pPr>
              <w:pBdr>
                <w:top w:val="nil"/>
                <w:left w:val="nil"/>
                <w:bottom w:val="nil"/>
                <w:right w:val="nil"/>
                <w:between w:val="nil"/>
              </w:pBdr>
              <w:suppressAutoHyphens/>
              <w:spacing w:before="120"/>
              <w:jc w:val="left"/>
              <w:rPr>
                <w:rFonts w:eastAsia="Times"/>
                <w:u w:val="single"/>
              </w:rPr>
            </w:pPr>
            <w:r w:rsidRPr="001B7F77">
              <w:rPr>
                <w:rFonts w:eastAsia="Times"/>
                <w:u w:val="single"/>
              </w:rPr>
              <w:t>4 hours</w:t>
            </w:r>
          </w:p>
        </w:tc>
        <w:tc>
          <w:tcPr>
            <w:tcW w:w="2259" w:type="dxa"/>
            <w:shd w:val="clear" w:color="auto" w:fill="auto"/>
          </w:tcPr>
          <w:p w14:paraId="6A20E2EA" w14:textId="77777777" w:rsidR="001B7F77" w:rsidRPr="001B7F77" w:rsidRDefault="001B7F77" w:rsidP="00FD2721">
            <w:pPr>
              <w:pBdr>
                <w:top w:val="nil"/>
                <w:left w:val="nil"/>
                <w:bottom w:val="nil"/>
                <w:right w:val="nil"/>
                <w:between w:val="nil"/>
              </w:pBdr>
              <w:suppressAutoHyphens/>
              <w:spacing w:before="120"/>
              <w:jc w:val="left"/>
              <w:rPr>
                <w:rFonts w:eastAsia="Times"/>
                <w:u w:val="single"/>
              </w:rPr>
            </w:pPr>
            <w:r w:rsidRPr="001B7F77">
              <w:rPr>
                <w:rFonts w:eastAsia="Times"/>
                <w:u w:val="single"/>
              </w:rPr>
              <w:t>3 hours</w:t>
            </w:r>
          </w:p>
        </w:tc>
      </w:tr>
      <w:tr w:rsidR="001B7F77" w:rsidRPr="001B7F77" w14:paraId="04253223" w14:textId="77777777" w:rsidTr="006655A1">
        <w:tc>
          <w:tcPr>
            <w:tcW w:w="3780" w:type="dxa"/>
            <w:shd w:val="clear" w:color="auto" w:fill="auto"/>
          </w:tcPr>
          <w:p w14:paraId="5347301F" w14:textId="77777777" w:rsidR="001B7F77" w:rsidRPr="001B7F77" w:rsidRDefault="001B7F77" w:rsidP="00FD2721">
            <w:pPr>
              <w:pBdr>
                <w:top w:val="nil"/>
                <w:left w:val="nil"/>
                <w:bottom w:val="nil"/>
                <w:right w:val="nil"/>
                <w:between w:val="nil"/>
              </w:pBdr>
              <w:suppressAutoHyphens/>
              <w:spacing w:before="120"/>
              <w:jc w:val="left"/>
              <w:rPr>
                <w:rFonts w:eastAsia="Times"/>
                <w:u w:val="single"/>
              </w:rPr>
            </w:pPr>
            <w:r w:rsidRPr="001B7F77">
              <w:rPr>
                <w:rFonts w:eastAsia="Times"/>
                <w:u w:val="single"/>
              </w:rPr>
              <w:t>Other girders</w:t>
            </w:r>
          </w:p>
        </w:tc>
        <w:tc>
          <w:tcPr>
            <w:tcW w:w="3095" w:type="dxa"/>
            <w:shd w:val="clear" w:color="auto" w:fill="auto"/>
          </w:tcPr>
          <w:p w14:paraId="6D0DF1F2" w14:textId="77777777" w:rsidR="001B7F77" w:rsidRPr="001B7F77" w:rsidRDefault="001B7F77" w:rsidP="00FD2721">
            <w:pPr>
              <w:pBdr>
                <w:top w:val="nil"/>
                <w:left w:val="nil"/>
                <w:bottom w:val="nil"/>
                <w:right w:val="nil"/>
                <w:between w:val="nil"/>
              </w:pBdr>
              <w:suppressAutoHyphens/>
              <w:spacing w:before="120"/>
              <w:jc w:val="left"/>
              <w:rPr>
                <w:rFonts w:eastAsia="Times"/>
                <w:u w:val="single"/>
              </w:rPr>
            </w:pPr>
            <w:r w:rsidRPr="001B7F77">
              <w:rPr>
                <w:rFonts w:eastAsia="Times"/>
                <w:u w:val="single"/>
              </w:rPr>
              <w:t>3 hours</w:t>
            </w:r>
          </w:p>
        </w:tc>
        <w:tc>
          <w:tcPr>
            <w:tcW w:w="2259" w:type="dxa"/>
            <w:shd w:val="clear" w:color="auto" w:fill="auto"/>
          </w:tcPr>
          <w:p w14:paraId="4B07C534" w14:textId="77777777" w:rsidR="001B7F77" w:rsidRPr="001B7F77" w:rsidRDefault="001B7F77" w:rsidP="00FD2721">
            <w:pPr>
              <w:pBdr>
                <w:top w:val="nil"/>
                <w:left w:val="nil"/>
                <w:bottom w:val="nil"/>
                <w:right w:val="nil"/>
                <w:between w:val="nil"/>
              </w:pBdr>
              <w:suppressAutoHyphens/>
              <w:spacing w:before="120"/>
              <w:jc w:val="left"/>
              <w:rPr>
                <w:rFonts w:eastAsia="Times"/>
                <w:u w:val="single"/>
              </w:rPr>
            </w:pPr>
            <w:r w:rsidRPr="001B7F77">
              <w:rPr>
                <w:rFonts w:eastAsia="Times"/>
                <w:u w:val="single"/>
              </w:rPr>
              <w:t>3 hours</w:t>
            </w:r>
          </w:p>
        </w:tc>
      </w:tr>
      <w:tr w:rsidR="001B7F77" w:rsidRPr="001B7F77" w14:paraId="5A0B07A7" w14:textId="77777777" w:rsidTr="006655A1">
        <w:tc>
          <w:tcPr>
            <w:tcW w:w="3780" w:type="dxa"/>
            <w:shd w:val="clear" w:color="auto" w:fill="auto"/>
          </w:tcPr>
          <w:p w14:paraId="22011ED1" w14:textId="77777777" w:rsidR="001B7F77" w:rsidRPr="001B7F77" w:rsidRDefault="001B7F77" w:rsidP="00FD2721">
            <w:pPr>
              <w:pBdr>
                <w:top w:val="nil"/>
                <w:left w:val="nil"/>
                <w:bottom w:val="nil"/>
                <w:right w:val="nil"/>
                <w:between w:val="nil"/>
              </w:pBdr>
              <w:suppressAutoHyphens/>
              <w:spacing w:before="120"/>
              <w:jc w:val="left"/>
              <w:rPr>
                <w:rFonts w:eastAsia="Times"/>
                <w:u w:val="single"/>
              </w:rPr>
            </w:pPr>
            <w:r w:rsidRPr="001B7F77">
              <w:rPr>
                <w:rFonts w:eastAsia="Times"/>
                <w:u w:val="single"/>
              </w:rPr>
              <w:t>Fire partitions</w:t>
            </w:r>
          </w:p>
        </w:tc>
        <w:tc>
          <w:tcPr>
            <w:tcW w:w="3095" w:type="dxa"/>
            <w:shd w:val="clear" w:color="auto" w:fill="auto"/>
          </w:tcPr>
          <w:p w14:paraId="2007F0F3" w14:textId="77777777" w:rsidR="001B7F77" w:rsidRPr="001B7F77" w:rsidRDefault="001B7F77" w:rsidP="00FD2721">
            <w:pPr>
              <w:pBdr>
                <w:top w:val="nil"/>
                <w:left w:val="nil"/>
                <w:bottom w:val="nil"/>
                <w:right w:val="nil"/>
                <w:between w:val="nil"/>
              </w:pBdr>
              <w:suppressAutoHyphens/>
              <w:spacing w:before="120"/>
              <w:jc w:val="left"/>
              <w:rPr>
                <w:rFonts w:eastAsia="Times"/>
                <w:u w:val="single"/>
              </w:rPr>
            </w:pPr>
            <w:r w:rsidRPr="001B7F77">
              <w:rPr>
                <w:rFonts w:eastAsia="Times"/>
                <w:u w:val="single"/>
              </w:rPr>
              <w:t>3 hours</w:t>
            </w:r>
          </w:p>
        </w:tc>
        <w:tc>
          <w:tcPr>
            <w:tcW w:w="2259" w:type="dxa"/>
            <w:shd w:val="clear" w:color="auto" w:fill="auto"/>
          </w:tcPr>
          <w:p w14:paraId="6BB35684" w14:textId="77777777" w:rsidR="001B7F77" w:rsidRPr="001B7F77" w:rsidRDefault="001B7F77" w:rsidP="00FD2721">
            <w:pPr>
              <w:pBdr>
                <w:top w:val="nil"/>
                <w:left w:val="nil"/>
                <w:bottom w:val="nil"/>
                <w:right w:val="nil"/>
                <w:between w:val="nil"/>
              </w:pBdr>
              <w:suppressAutoHyphens/>
              <w:spacing w:before="120"/>
              <w:jc w:val="left"/>
              <w:rPr>
                <w:rFonts w:eastAsia="Times"/>
                <w:u w:val="single"/>
              </w:rPr>
            </w:pPr>
            <w:r w:rsidRPr="001B7F77">
              <w:rPr>
                <w:rFonts w:eastAsia="Times"/>
                <w:u w:val="single"/>
              </w:rPr>
              <w:t>3 hours</w:t>
            </w:r>
          </w:p>
        </w:tc>
      </w:tr>
      <w:tr w:rsidR="001B7F77" w:rsidRPr="001B7F77" w14:paraId="33B150AE" w14:textId="77777777" w:rsidTr="006655A1">
        <w:tc>
          <w:tcPr>
            <w:tcW w:w="3780" w:type="dxa"/>
            <w:shd w:val="clear" w:color="auto" w:fill="auto"/>
          </w:tcPr>
          <w:p w14:paraId="74317BB0" w14:textId="77777777" w:rsidR="001B7F77" w:rsidRPr="001B7F77" w:rsidRDefault="001B7F77" w:rsidP="00FD2721">
            <w:pPr>
              <w:pBdr>
                <w:top w:val="nil"/>
                <w:left w:val="nil"/>
                <w:bottom w:val="nil"/>
                <w:right w:val="nil"/>
                <w:between w:val="nil"/>
              </w:pBdr>
              <w:suppressAutoHyphens/>
              <w:spacing w:before="120"/>
              <w:jc w:val="left"/>
              <w:rPr>
                <w:rFonts w:eastAsia="Times"/>
                <w:u w:val="single"/>
              </w:rPr>
            </w:pPr>
            <w:r w:rsidRPr="001B7F77">
              <w:rPr>
                <w:rFonts w:eastAsia="Times"/>
                <w:u w:val="single"/>
              </w:rPr>
              <w:t>Floors including their beams and girders</w:t>
            </w:r>
          </w:p>
        </w:tc>
        <w:tc>
          <w:tcPr>
            <w:tcW w:w="3095" w:type="dxa"/>
            <w:shd w:val="clear" w:color="auto" w:fill="auto"/>
          </w:tcPr>
          <w:p w14:paraId="29630FF7" w14:textId="77777777" w:rsidR="001B7F77" w:rsidRPr="001B7F77" w:rsidRDefault="001B7F77" w:rsidP="00FD2721">
            <w:pPr>
              <w:pBdr>
                <w:top w:val="nil"/>
                <w:left w:val="nil"/>
                <w:bottom w:val="nil"/>
                <w:right w:val="nil"/>
                <w:between w:val="nil"/>
              </w:pBdr>
              <w:suppressAutoHyphens/>
              <w:spacing w:before="120"/>
              <w:jc w:val="left"/>
              <w:rPr>
                <w:rFonts w:eastAsia="Times"/>
                <w:u w:val="single"/>
              </w:rPr>
            </w:pPr>
            <w:r w:rsidRPr="001B7F77">
              <w:rPr>
                <w:rFonts w:eastAsia="Times"/>
                <w:u w:val="single"/>
              </w:rPr>
              <w:t>3 hours</w:t>
            </w:r>
          </w:p>
        </w:tc>
        <w:tc>
          <w:tcPr>
            <w:tcW w:w="2259" w:type="dxa"/>
            <w:shd w:val="clear" w:color="auto" w:fill="auto"/>
          </w:tcPr>
          <w:p w14:paraId="5868487A" w14:textId="77777777" w:rsidR="001B7F77" w:rsidRPr="001B7F77" w:rsidRDefault="001B7F77" w:rsidP="00FD2721">
            <w:pPr>
              <w:pBdr>
                <w:top w:val="nil"/>
                <w:left w:val="nil"/>
                <w:bottom w:val="nil"/>
                <w:right w:val="nil"/>
                <w:between w:val="nil"/>
              </w:pBdr>
              <w:suppressAutoHyphens/>
              <w:spacing w:before="120"/>
              <w:jc w:val="left"/>
              <w:rPr>
                <w:rFonts w:eastAsia="Times"/>
                <w:u w:val="single"/>
              </w:rPr>
            </w:pPr>
            <w:r w:rsidRPr="001B7F77">
              <w:rPr>
                <w:rFonts w:eastAsia="Times"/>
                <w:u w:val="single"/>
              </w:rPr>
              <w:t>1 ½ hours</w:t>
            </w:r>
            <w:r w:rsidRPr="001B7F77">
              <w:rPr>
                <w:rFonts w:eastAsia="Times"/>
                <w:u w:val="single"/>
                <w:vertAlign w:val="superscript"/>
              </w:rPr>
              <w:t>b</w:t>
            </w:r>
          </w:p>
        </w:tc>
      </w:tr>
      <w:tr w:rsidR="001B7F77" w:rsidRPr="001B7F77" w14:paraId="1B318A5A" w14:textId="77777777" w:rsidTr="006655A1">
        <w:tc>
          <w:tcPr>
            <w:tcW w:w="3780" w:type="dxa"/>
            <w:shd w:val="clear" w:color="auto" w:fill="auto"/>
          </w:tcPr>
          <w:p w14:paraId="3470ED51" w14:textId="77777777" w:rsidR="001B7F77" w:rsidRPr="001B7F77" w:rsidRDefault="001B7F77" w:rsidP="00FD2721">
            <w:pPr>
              <w:pBdr>
                <w:top w:val="nil"/>
                <w:left w:val="nil"/>
                <w:bottom w:val="nil"/>
                <w:right w:val="nil"/>
                <w:between w:val="nil"/>
              </w:pBdr>
              <w:suppressAutoHyphens/>
              <w:spacing w:before="120"/>
              <w:jc w:val="left"/>
              <w:rPr>
                <w:rFonts w:eastAsia="Times"/>
                <w:u w:val="single"/>
              </w:rPr>
            </w:pPr>
            <w:r w:rsidRPr="001B7F77">
              <w:rPr>
                <w:rFonts w:eastAsia="Times"/>
                <w:u w:val="single"/>
              </w:rPr>
              <w:t>Beams</w:t>
            </w:r>
          </w:p>
        </w:tc>
        <w:tc>
          <w:tcPr>
            <w:tcW w:w="3095" w:type="dxa"/>
            <w:shd w:val="clear" w:color="auto" w:fill="auto"/>
          </w:tcPr>
          <w:p w14:paraId="6B4D088D" w14:textId="77777777" w:rsidR="001B7F77" w:rsidRPr="001B7F77" w:rsidRDefault="001B7F77" w:rsidP="00FD2721">
            <w:pPr>
              <w:pBdr>
                <w:top w:val="nil"/>
                <w:left w:val="nil"/>
                <w:bottom w:val="nil"/>
                <w:right w:val="nil"/>
                <w:between w:val="nil"/>
              </w:pBdr>
              <w:suppressAutoHyphens/>
              <w:spacing w:before="120"/>
              <w:jc w:val="left"/>
              <w:rPr>
                <w:rFonts w:eastAsia="Times"/>
                <w:u w:val="single"/>
              </w:rPr>
            </w:pPr>
            <w:r w:rsidRPr="001B7F77">
              <w:rPr>
                <w:rFonts w:eastAsia="Times"/>
                <w:u w:val="single"/>
              </w:rPr>
              <w:t>3 hours</w:t>
            </w:r>
          </w:p>
        </w:tc>
        <w:tc>
          <w:tcPr>
            <w:tcW w:w="2259" w:type="dxa"/>
            <w:shd w:val="clear" w:color="auto" w:fill="auto"/>
          </w:tcPr>
          <w:p w14:paraId="054DF80C" w14:textId="77777777" w:rsidR="001B7F77" w:rsidRPr="001B7F77" w:rsidRDefault="001B7F77" w:rsidP="00FD2721">
            <w:pPr>
              <w:pBdr>
                <w:top w:val="nil"/>
                <w:left w:val="nil"/>
                <w:bottom w:val="nil"/>
                <w:right w:val="nil"/>
                <w:between w:val="nil"/>
              </w:pBdr>
              <w:suppressAutoHyphens/>
              <w:spacing w:before="120"/>
              <w:jc w:val="left"/>
              <w:rPr>
                <w:rFonts w:eastAsia="Times"/>
                <w:u w:val="single"/>
              </w:rPr>
            </w:pPr>
            <w:r w:rsidRPr="001B7F77">
              <w:rPr>
                <w:rFonts w:eastAsia="Times"/>
                <w:u w:val="single"/>
              </w:rPr>
              <w:t>1 ½ hours</w:t>
            </w:r>
          </w:p>
        </w:tc>
      </w:tr>
      <w:tr w:rsidR="001B7F77" w:rsidRPr="001B7F77" w14:paraId="1490EFFE" w14:textId="77777777" w:rsidTr="006655A1">
        <w:tc>
          <w:tcPr>
            <w:tcW w:w="3780" w:type="dxa"/>
            <w:shd w:val="clear" w:color="auto" w:fill="auto"/>
          </w:tcPr>
          <w:p w14:paraId="569555B1" w14:textId="77777777" w:rsidR="001B7F77" w:rsidRPr="001B7F77" w:rsidRDefault="001B7F77" w:rsidP="00FD2721">
            <w:pPr>
              <w:pBdr>
                <w:top w:val="nil"/>
                <w:left w:val="nil"/>
                <w:bottom w:val="nil"/>
                <w:right w:val="nil"/>
                <w:between w:val="nil"/>
              </w:pBdr>
              <w:suppressAutoHyphens/>
              <w:spacing w:before="120"/>
              <w:jc w:val="left"/>
              <w:rPr>
                <w:rFonts w:eastAsia="Times"/>
                <w:u w:val="single"/>
              </w:rPr>
            </w:pPr>
            <w:r w:rsidRPr="001B7F77">
              <w:rPr>
                <w:rFonts w:eastAsia="Times"/>
                <w:u w:val="single"/>
              </w:rPr>
              <w:t>Roofs</w:t>
            </w:r>
          </w:p>
        </w:tc>
        <w:tc>
          <w:tcPr>
            <w:tcW w:w="3095" w:type="dxa"/>
            <w:shd w:val="clear" w:color="auto" w:fill="auto"/>
          </w:tcPr>
          <w:p w14:paraId="3A054D94" w14:textId="77777777" w:rsidR="001B7F77" w:rsidRPr="001B7F77" w:rsidRDefault="001B7F77" w:rsidP="00FD2721">
            <w:pPr>
              <w:pBdr>
                <w:top w:val="nil"/>
                <w:left w:val="nil"/>
                <w:bottom w:val="nil"/>
                <w:right w:val="nil"/>
                <w:between w:val="nil"/>
              </w:pBdr>
              <w:suppressAutoHyphens/>
              <w:spacing w:before="120"/>
              <w:jc w:val="left"/>
              <w:rPr>
                <w:rFonts w:eastAsia="Times"/>
                <w:u w:val="single"/>
              </w:rPr>
            </w:pPr>
            <w:r w:rsidRPr="001B7F77">
              <w:rPr>
                <w:rFonts w:eastAsia="Times"/>
                <w:u w:val="single"/>
              </w:rPr>
              <w:t>3 hours</w:t>
            </w:r>
          </w:p>
        </w:tc>
        <w:tc>
          <w:tcPr>
            <w:tcW w:w="2259" w:type="dxa"/>
            <w:shd w:val="clear" w:color="auto" w:fill="auto"/>
          </w:tcPr>
          <w:p w14:paraId="787DFE47" w14:textId="77777777" w:rsidR="001B7F77" w:rsidRPr="001B7F77" w:rsidRDefault="001B7F77" w:rsidP="00FD2721">
            <w:pPr>
              <w:pBdr>
                <w:top w:val="nil"/>
                <w:left w:val="nil"/>
                <w:bottom w:val="nil"/>
                <w:right w:val="nil"/>
                <w:between w:val="nil"/>
              </w:pBdr>
              <w:suppressAutoHyphens/>
              <w:spacing w:before="120"/>
              <w:jc w:val="left"/>
              <w:rPr>
                <w:rFonts w:eastAsia="Times"/>
                <w:u w:val="single"/>
              </w:rPr>
            </w:pPr>
            <w:r w:rsidRPr="001B7F77">
              <w:rPr>
                <w:rFonts w:eastAsia="Times"/>
                <w:u w:val="single"/>
              </w:rPr>
              <w:t>1 ½ hours</w:t>
            </w:r>
            <w:r w:rsidRPr="001B7F77">
              <w:rPr>
                <w:rFonts w:eastAsia="Times"/>
                <w:u w:val="single"/>
                <w:vertAlign w:val="superscript"/>
              </w:rPr>
              <w:t>b</w:t>
            </w:r>
          </w:p>
        </w:tc>
      </w:tr>
      <w:tr w:rsidR="001B7F77" w:rsidRPr="001B7F77" w14:paraId="75B88EAD" w14:textId="77777777" w:rsidTr="006655A1">
        <w:tc>
          <w:tcPr>
            <w:tcW w:w="3780" w:type="dxa"/>
            <w:shd w:val="clear" w:color="auto" w:fill="auto"/>
          </w:tcPr>
          <w:p w14:paraId="1753A30A" w14:textId="77777777" w:rsidR="001B7F77" w:rsidRPr="001B7F77" w:rsidRDefault="001B7F77" w:rsidP="00FD2721">
            <w:pPr>
              <w:pBdr>
                <w:top w:val="nil"/>
                <w:left w:val="nil"/>
                <w:bottom w:val="nil"/>
                <w:right w:val="nil"/>
                <w:between w:val="nil"/>
              </w:pBdr>
              <w:suppressAutoHyphens/>
              <w:spacing w:before="120"/>
              <w:jc w:val="left"/>
              <w:rPr>
                <w:rFonts w:eastAsia="Times"/>
                <w:u w:val="single"/>
              </w:rPr>
            </w:pPr>
            <w:r w:rsidRPr="001B7F77">
              <w:rPr>
                <w:rFonts w:eastAsia="Times"/>
                <w:u w:val="single"/>
              </w:rPr>
              <w:t>Floor fillings</w:t>
            </w:r>
          </w:p>
        </w:tc>
        <w:tc>
          <w:tcPr>
            <w:tcW w:w="3095" w:type="dxa"/>
            <w:shd w:val="clear" w:color="auto" w:fill="auto"/>
          </w:tcPr>
          <w:p w14:paraId="7EA28035" w14:textId="77777777" w:rsidR="001B7F77" w:rsidRPr="001B7F77" w:rsidRDefault="001B7F77" w:rsidP="00FD2721">
            <w:pPr>
              <w:pBdr>
                <w:top w:val="nil"/>
                <w:left w:val="nil"/>
                <w:bottom w:val="nil"/>
                <w:right w:val="nil"/>
                <w:between w:val="nil"/>
              </w:pBdr>
              <w:suppressAutoHyphens/>
              <w:spacing w:before="120"/>
              <w:jc w:val="left"/>
              <w:rPr>
                <w:rFonts w:eastAsia="Times"/>
                <w:u w:val="single"/>
              </w:rPr>
            </w:pPr>
            <w:r w:rsidRPr="001B7F77">
              <w:rPr>
                <w:rFonts w:eastAsia="Times"/>
                <w:u w:val="single"/>
              </w:rPr>
              <w:t>3 hours</w:t>
            </w:r>
          </w:p>
        </w:tc>
        <w:tc>
          <w:tcPr>
            <w:tcW w:w="2259" w:type="dxa"/>
            <w:shd w:val="clear" w:color="auto" w:fill="auto"/>
          </w:tcPr>
          <w:p w14:paraId="3B1D7FB1" w14:textId="77777777" w:rsidR="001B7F77" w:rsidRPr="001B7F77" w:rsidRDefault="001B7F77" w:rsidP="00FD2721">
            <w:pPr>
              <w:pBdr>
                <w:top w:val="nil"/>
                <w:left w:val="nil"/>
                <w:bottom w:val="nil"/>
                <w:right w:val="nil"/>
                <w:between w:val="nil"/>
              </w:pBdr>
              <w:suppressAutoHyphens/>
              <w:spacing w:before="120"/>
              <w:jc w:val="left"/>
              <w:rPr>
                <w:rFonts w:eastAsia="Times"/>
                <w:u w:val="single"/>
              </w:rPr>
            </w:pPr>
            <w:r w:rsidRPr="001B7F77">
              <w:rPr>
                <w:rFonts w:eastAsia="Times"/>
                <w:u w:val="single"/>
              </w:rPr>
              <w:t>1 ½ hours</w:t>
            </w:r>
            <w:r w:rsidRPr="001B7F77">
              <w:rPr>
                <w:rFonts w:eastAsia="Times"/>
                <w:u w:val="single"/>
                <w:vertAlign w:val="superscript"/>
              </w:rPr>
              <w:t>b</w:t>
            </w:r>
          </w:p>
        </w:tc>
      </w:tr>
      <w:tr w:rsidR="001B7F77" w:rsidRPr="001B7F77" w14:paraId="4BFC69EA" w14:textId="77777777" w:rsidTr="006655A1">
        <w:tc>
          <w:tcPr>
            <w:tcW w:w="3780" w:type="dxa"/>
            <w:shd w:val="clear" w:color="auto" w:fill="auto"/>
          </w:tcPr>
          <w:p w14:paraId="444679D5" w14:textId="77777777" w:rsidR="001B7F77" w:rsidRPr="001B7F77" w:rsidRDefault="001B7F77" w:rsidP="00FD2721">
            <w:pPr>
              <w:pBdr>
                <w:top w:val="nil"/>
                <w:left w:val="nil"/>
                <w:bottom w:val="nil"/>
                <w:right w:val="nil"/>
                <w:between w:val="nil"/>
              </w:pBdr>
              <w:suppressAutoHyphens/>
              <w:spacing w:before="120"/>
              <w:jc w:val="left"/>
              <w:rPr>
                <w:rFonts w:eastAsia="Times"/>
                <w:u w:val="single"/>
              </w:rPr>
            </w:pPr>
            <w:r w:rsidRPr="001B7F77">
              <w:rPr>
                <w:rFonts w:eastAsia="Times"/>
                <w:u w:val="single"/>
              </w:rPr>
              <w:t>Stairway enclosures</w:t>
            </w:r>
          </w:p>
        </w:tc>
        <w:tc>
          <w:tcPr>
            <w:tcW w:w="3095" w:type="dxa"/>
            <w:shd w:val="clear" w:color="auto" w:fill="auto"/>
          </w:tcPr>
          <w:p w14:paraId="5EBCCB4D" w14:textId="77777777" w:rsidR="001B7F77" w:rsidRPr="001B7F77" w:rsidRDefault="001B7F77" w:rsidP="00FD2721">
            <w:pPr>
              <w:pBdr>
                <w:top w:val="nil"/>
                <w:left w:val="nil"/>
                <w:bottom w:val="nil"/>
                <w:right w:val="nil"/>
                <w:between w:val="nil"/>
              </w:pBdr>
              <w:suppressAutoHyphens/>
              <w:spacing w:before="120"/>
              <w:jc w:val="left"/>
              <w:rPr>
                <w:rFonts w:eastAsia="Times"/>
                <w:u w:val="single"/>
              </w:rPr>
            </w:pPr>
            <w:r w:rsidRPr="001B7F77">
              <w:rPr>
                <w:rFonts w:eastAsia="Times"/>
                <w:u w:val="single"/>
              </w:rPr>
              <w:t>3 hours</w:t>
            </w:r>
          </w:p>
        </w:tc>
        <w:tc>
          <w:tcPr>
            <w:tcW w:w="2259" w:type="dxa"/>
            <w:shd w:val="clear" w:color="auto" w:fill="auto"/>
          </w:tcPr>
          <w:p w14:paraId="0BD02A88" w14:textId="77777777" w:rsidR="001B7F77" w:rsidRPr="001B7F77" w:rsidRDefault="001B7F77" w:rsidP="00FD2721">
            <w:pPr>
              <w:pBdr>
                <w:top w:val="nil"/>
                <w:left w:val="nil"/>
                <w:bottom w:val="nil"/>
                <w:right w:val="nil"/>
                <w:between w:val="nil"/>
              </w:pBdr>
              <w:suppressAutoHyphens/>
              <w:spacing w:before="120"/>
              <w:jc w:val="left"/>
              <w:rPr>
                <w:rFonts w:eastAsia="Times"/>
                <w:u w:val="single"/>
              </w:rPr>
            </w:pPr>
            <w:r w:rsidRPr="001B7F77">
              <w:rPr>
                <w:rFonts w:eastAsia="Times"/>
                <w:u w:val="single"/>
              </w:rPr>
              <w:t>3 hours</w:t>
            </w:r>
          </w:p>
        </w:tc>
      </w:tr>
      <w:tr w:rsidR="001B7F77" w:rsidRPr="001B7F77" w14:paraId="4121DB15" w14:textId="77777777" w:rsidTr="006655A1">
        <w:tc>
          <w:tcPr>
            <w:tcW w:w="3780" w:type="dxa"/>
            <w:shd w:val="clear" w:color="auto" w:fill="auto"/>
          </w:tcPr>
          <w:p w14:paraId="2D780CED" w14:textId="77777777" w:rsidR="001B7F77" w:rsidRPr="001B7F77" w:rsidRDefault="001B7F77" w:rsidP="00FD2721">
            <w:pPr>
              <w:pBdr>
                <w:top w:val="nil"/>
                <w:left w:val="nil"/>
                <w:bottom w:val="nil"/>
                <w:right w:val="nil"/>
                <w:between w:val="nil"/>
              </w:pBdr>
              <w:suppressAutoHyphens/>
              <w:spacing w:before="120"/>
              <w:jc w:val="left"/>
              <w:rPr>
                <w:rFonts w:eastAsia="Times"/>
                <w:u w:val="single"/>
              </w:rPr>
            </w:pPr>
            <w:r w:rsidRPr="001B7F77">
              <w:rPr>
                <w:rFonts w:eastAsia="Times"/>
                <w:u w:val="single"/>
              </w:rPr>
              <w:t>Exterior panel walls</w:t>
            </w:r>
          </w:p>
        </w:tc>
        <w:tc>
          <w:tcPr>
            <w:tcW w:w="3095" w:type="dxa"/>
            <w:shd w:val="clear" w:color="auto" w:fill="auto"/>
          </w:tcPr>
          <w:p w14:paraId="7194AE8B" w14:textId="77777777" w:rsidR="001B7F77" w:rsidRPr="001B7F77" w:rsidRDefault="001B7F77" w:rsidP="00FD2721">
            <w:pPr>
              <w:pBdr>
                <w:top w:val="nil"/>
                <w:left w:val="nil"/>
                <w:bottom w:val="nil"/>
                <w:right w:val="nil"/>
                <w:between w:val="nil"/>
              </w:pBdr>
              <w:suppressAutoHyphens/>
              <w:spacing w:before="120"/>
              <w:jc w:val="left"/>
              <w:rPr>
                <w:rFonts w:eastAsia="Times"/>
                <w:u w:val="single"/>
              </w:rPr>
            </w:pPr>
            <w:r w:rsidRPr="001B7F77">
              <w:rPr>
                <w:rFonts w:eastAsia="Times"/>
                <w:u w:val="single"/>
              </w:rPr>
              <w:t>2 hours</w:t>
            </w:r>
          </w:p>
        </w:tc>
        <w:tc>
          <w:tcPr>
            <w:tcW w:w="2259" w:type="dxa"/>
            <w:shd w:val="clear" w:color="auto" w:fill="auto"/>
          </w:tcPr>
          <w:p w14:paraId="6FF91184" w14:textId="77777777" w:rsidR="001B7F77" w:rsidRPr="001B7F77" w:rsidRDefault="001B7F77" w:rsidP="00FD2721">
            <w:pPr>
              <w:pBdr>
                <w:top w:val="nil"/>
                <w:left w:val="nil"/>
                <w:bottom w:val="nil"/>
                <w:right w:val="nil"/>
                <w:between w:val="nil"/>
              </w:pBdr>
              <w:suppressAutoHyphens/>
              <w:spacing w:before="120"/>
              <w:jc w:val="left"/>
              <w:rPr>
                <w:rFonts w:eastAsia="Times"/>
                <w:u w:val="single"/>
              </w:rPr>
            </w:pPr>
            <w:r w:rsidRPr="001B7F77">
              <w:rPr>
                <w:rFonts w:eastAsia="Times"/>
                <w:u w:val="single"/>
              </w:rPr>
              <w:t>2 hours</w:t>
            </w:r>
          </w:p>
        </w:tc>
      </w:tr>
    </w:tbl>
    <w:p w14:paraId="4ADE7E48"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 w:val="18"/>
          <w:szCs w:val="14"/>
          <w:u w:val="single"/>
        </w:rPr>
      </w:pPr>
      <w:r w:rsidRPr="001B7F77">
        <w:rPr>
          <w:rFonts w:eastAsia="Times"/>
          <w:color w:val="000000"/>
          <w:sz w:val="18"/>
          <w:szCs w:val="14"/>
          <w:u w:val="single"/>
        </w:rPr>
        <w:t xml:space="preserve">a. For buildings constructed on or after December 6, 1968, fireproof building elements shall, at a minimum, meet the fire-resistive ratings required for those of Type IIA construction as provided for in Table 601 of the </w:t>
      </w:r>
      <w:r w:rsidRPr="001B7F77">
        <w:rPr>
          <w:rFonts w:eastAsia="Times"/>
          <w:i/>
          <w:iCs/>
          <w:color w:val="000000"/>
          <w:sz w:val="18"/>
          <w:szCs w:val="14"/>
          <w:u w:val="single"/>
        </w:rPr>
        <w:t>New York City Building Code</w:t>
      </w:r>
      <w:r w:rsidRPr="001B7F77">
        <w:rPr>
          <w:rFonts w:eastAsia="Times"/>
          <w:color w:val="000000"/>
          <w:sz w:val="18"/>
          <w:szCs w:val="14"/>
          <w:u w:val="single"/>
        </w:rPr>
        <w:t xml:space="preserve">. </w:t>
      </w:r>
    </w:p>
    <w:p w14:paraId="549F7F33"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 w:val="18"/>
          <w:szCs w:val="14"/>
          <w:u w:val="single"/>
        </w:rPr>
      </w:pPr>
      <w:r w:rsidRPr="001B7F77">
        <w:rPr>
          <w:rFonts w:eastAsia="Times"/>
          <w:color w:val="000000"/>
          <w:sz w:val="18"/>
          <w:szCs w:val="14"/>
          <w:u w:val="single"/>
        </w:rPr>
        <w:t>b. Value shall be 1 hour for fireproof multiple dwellings 3 stories or less in height.</w:t>
      </w:r>
    </w:p>
    <w:p w14:paraId="05DFA8B7" w14:textId="77777777" w:rsidR="001B7F77" w:rsidRPr="001B7F77" w:rsidRDefault="001B7F77" w:rsidP="00FD2721">
      <w:pPr>
        <w:pBdr>
          <w:top w:val="nil"/>
          <w:left w:val="nil"/>
          <w:bottom w:val="nil"/>
          <w:right w:val="nil"/>
          <w:between w:val="nil"/>
        </w:pBdr>
        <w:suppressAutoHyphens/>
        <w:spacing w:before="120"/>
        <w:ind w:left="360"/>
        <w:rPr>
          <w:rFonts w:eastAsia="Times"/>
          <w:bCs/>
          <w:color w:val="000000"/>
          <w:u w:val="single"/>
        </w:rPr>
      </w:pPr>
      <w:r w:rsidRPr="001B7F77">
        <w:rPr>
          <w:rFonts w:eastAsia="Times"/>
          <w:b/>
          <w:color w:val="000000"/>
          <w:u w:val="single"/>
        </w:rPr>
        <w:t xml:space="preserve">FLOOR SPACE (MDL 4(18)). </w:t>
      </w:r>
      <w:r w:rsidRPr="001B7F77">
        <w:rPr>
          <w:rFonts w:eastAsia="Times"/>
          <w:bCs/>
          <w:color w:val="000000"/>
          <w:u w:val="single"/>
        </w:rPr>
        <w:t>The clear area of the floor contained within the partitions or walls enclosing any room, space, foyer, hall or passageways of any dwelling.</w:t>
      </w:r>
    </w:p>
    <w:p w14:paraId="70581825" w14:textId="77777777" w:rsidR="001B7F77" w:rsidRPr="001B7F77" w:rsidRDefault="001B7F77" w:rsidP="00FD2721">
      <w:pPr>
        <w:pBdr>
          <w:top w:val="nil"/>
          <w:left w:val="nil"/>
          <w:bottom w:val="nil"/>
          <w:right w:val="nil"/>
          <w:between w:val="nil"/>
        </w:pBdr>
        <w:suppressAutoHyphens/>
        <w:spacing w:before="120"/>
        <w:ind w:left="360"/>
        <w:rPr>
          <w:rFonts w:eastAsia="Times"/>
          <w:color w:val="000000"/>
          <w:u w:val="single"/>
        </w:rPr>
      </w:pPr>
      <w:r w:rsidRPr="001B7F77">
        <w:rPr>
          <w:rFonts w:eastAsia="Times"/>
          <w:b/>
          <w:color w:val="000000"/>
          <w:u w:val="single"/>
        </w:rPr>
        <w:t xml:space="preserve">FRAME DWELLING (MDL 4(28)). </w:t>
      </w:r>
      <w:r w:rsidRPr="001B7F77">
        <w:rPr>
          <w:rFonts w:eastAsia="Times"/>
          <w:color w:val="000000"/>
          <w:u w:val="single"/>
        </w:rPr>
        <w:t>A dwelling of which the exterior walls or any structural parts of such walls are of wood. A dwelling which would not otherwise be a frame dwelling shall not be deemed a frame dwelling by reason of the existence on such dwelling of frame oriel, bay or dormer windows, frame porches not more than one story in height, or frame extensions not more than one story in height and 59 square feet (5.5 m</w:t>
      </w:r>
      <w:r w:rsidRPr="001B7F77">
        <w:rPr>
          <w:rFonts w:eastAsia="Times"/>
          <w:color w:val="000000"/>
          <w:u w:val="single"/>
          <w:vertAlign w:val="superscript"/>
        </w:rPr>
        <w:t>2</w:t>
      </w:r>
      <w:r w:rsidRPr="001B7F77">
        <w:rPr>
          <w:rFonts w:eastAsia="Times"/>
          <w:color w:val="000000"/>
          <w:u w:val="single"/>
        </w:rPr>
        <w:t>) in area if such windows, porches or extensions were erected prior to April 13, 1940.</w:t>
      </w:r>
    </w:p>
    <w:p w14:paraId="7EA32EF6" w14:textId="77777777" w:rsidR="001B7F77" w:rsidRPr="001B7F77" w:rsidRDefault="001B7F77" w:rsidP="00FD2721">
      <w:pPr>
        <w:pBdr>
          <w:top w:val="nil"/>
          <w:left w:val="nil"/>
          <w:bottom w:val="nil"/>
          <w:right w:val="nil"/>
          <w:between w:val="nil"/>
        </w:pBdr>
        <w:suppressAutoHyphens/>
        <w:spacing w:before="120"/>
        <w:ind w:left="360"/>
        <w:rPr>
          <w:rFonts w:eastAsia="Times"/>
          <w:color w:val="000000"/>
          <w:u w:val="single"/>
        </w:rPr>
      </w:pPr>
      <w:r w:rsidRPr="001B7F77">
        <w:rPr>
          <w:rFonts w:eastAsia="Times"/>
          <w:b/>
          <w:color w:val="000000"/>
          <w:u w:val="single"/>
        </w:rPr>
        <w:t xml:space="preserve">HEIGHT (MDL 4(35)). </w:t>
      </w:r>
      <w:r w:rsidRPr="001B7F77">
        <w:rPr>
          <w:rFonts w:eastAsia="Times"/>
          <w:color w:val="000000"/>
          <w:u w:val="single"/>
        </w:rPr>
        <w:t xml:space="preserve">Notwithstanding the definition of height in the </w:t>
      </w:r>
      <w:r w:rsidRPr="001B7F77">
        <w:rPr>
          <w:rFonts w:eastAsia="Times"/>
          <w:i/>
          <w:iCs/>
          <w:color w:val="000000"/>
          <w:u w:val="single"/>
        </w:rPr>
        <w:t>New York City Building Code</w:t>
      </w:r>
      <w:r w:rsidRPr="001B7F77">
        <w:rPr>
          <w:rFonts w:eastAsia="Times"/>
          <w:color w:val="000000"/>
          <w:u w:val="single"/>
        </w:rPr>
        <w:t>, for the purposes of this Appendix D, the definition of height shall be as follows.</w:t>
      </w:r>
      <w:r w:rsidRPr="001B7F77">
        <w:rPr>
          <w:rFonts w:eastAsia="Times"/>
          <w:b/>
          <w:color w:val="000000"/>
          <w:u w:val="single"/>
        </w:rPr>
        <w:t xml:space="preserve"> </w:t>
      </w:r>
      <w:r w:rsidRPr="001B7F77">
        <w:rPr>
          <w:rFonts w:eastAsia="Times"/>
          <w:color w:val="000000"/>
          <w:u w:val="single"/>
        </w:rPr>
        <w:t>The vertical distance from the curb level to the level of the highest point of the roof beams; except that, in the case of pitched roofs, it is the vertical distance from the curb level to the mean height level of the gable or roof above the vertical street wall. When no roof beams exist or when there are structures wholly or partly above the roof, the height shall, except as otherwise expressly provided, be measured from the curb level to the level of the highest point of any such structure; except that where every part of the building is set back more than 25 feet (7620 mm) from a street line, the height shall be measured from the average grade elevation calculated from the final grade elevations taken at intervals of 10 feet (3048 mm) around the exterior walls of the building.</w:t>
      </w:r>
    </w:p>
    <w:p w14:paraId="554D8662"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u w:val="single"/>
        </w:rPr>
      </w:pPr>
      <w:r w:rsidRPr="001B7F77">
        <w:rPr>
          <w:rFonts w:eastAsia="Times"/>
          <w:b/>
          <w:color w:val="000000"/>
          <w:u w:val="single"/>
        </w:rPr>
        <w:t>Exceptions:</w:t>
      </w:r>
    </w:p>
    <w:p w14:paraId="1A29308D" w14:textId="77777777" w:rsidR="001B7F77" w:rsidRPr="001B7F77" w:rsidRDefault="001B7F77" w:rsidP="00FD2721">
      <w:pPr>
        <w:pBdr>
          <w:top w:val="nil"/>
          <w:left w:val="nil"/>
          <w:bottom w:val="nil"/>
          <w:right w:val="nil"/>
          <w:between w:val="nil"/>
        </w:pBdr>
        <w:suppressAutoHyphens/>
        <w:spacing w:before="120"/>
        <w:ind w:left="1440" w:hanging="360"/>
        <w:rPr>
          <w:u w:val="single"/>
        </w:rPr>
      </w:pPr>
      <w:r w:rsidRPr="001B7F77">
        <w:rPr>
          <w:rFonts w:eastAsia="Times"/>
          <w:bCs/>
          <w:color w:val="000000"/>
          <w:u w:val="single"/>
        </w:rPr>
        <w:t>1.</w:t>
      </w:r>
      <w:r w:rsidRPr="001B7F77">
        <w:rPr>
          <w:rFonts w:eastAsia="Times"/>
          <w:b/>
          <w:color w:val="000000"/>
          <w:u w:val="single"/>
        </w:rPr>
        <w:tab/>
        <w:t>Certain superstructures (MDL 4(35(b)).</w:t>
      </w:r>
      <w:r w:rsidRPr="001B7F77">
        <w:rPr>
          <w:rFonts w:eastAsia="Times"/>
          <w:color w:val="000000"/>
          <w:u w:val="single"/>
        </w:rPr>
        <w:t xml:space="preserve"> Except as otherwise provided in Section D702.1, the following superstructure shall not be considered in measuring the height of a dwelling:</w:t>
      </w:r>
    </w:p>
    <w:p w14:paraId="3938479F" w14:textId="77777777" w:rsidR="001B7F77" w:rsidRPr="001B7F77" w:rsidRDefault="001B7F77" w:rsidP="00FD2721">
      <w:pPr>
        <w:pBdr>
          <w:top w:val="nil"/>
          <w:left w:val="nil"/>
          <w:bottom w:val="nil"/>
          <w:right w:val="nil"/>
          <w:between w:val="nil"/>
        </w:pBdr>
        <w:suppressAutoHyphens/>
        <w:spacing w:before="120"/>
        <w:ind w:left="1980" w:hanging="540"/>
        <w:rPr>
          <w:rFonts w:eastAsia="Times"/>
          <w:u w:val="single"/>
        </w:rPr>
      </w:pPr>
      <w:r w:rsidRPr="001B7F77">
        <w:rPr>
          <w:rFonts w:eastAsia="Times"/>
          <w:color w:val="000000"/>
          <w:u w:val="single"/>
        </w:rPr>
        <w:t>1.1.</w:t>
      </w:r>
      <w:r w:rsidRPr="001B7F77">
        <w:rPr>
          <w:rFonts w:eastAsia="Times"/>
          <w:color w:val="000000"/>
          <w:u w:val="single"/>
        </w:rPr>
        <w:tab/>
        <w:t>parapet walls or guard railings;</w:t>
      </w:r>
    </w:p>
    <w:p w14:paraId="3F2073A8" w14:textId="77777777" w:rsidR="001B7F77" w:rsidRPr="001B7F77" w:rsidRDefault="001B7F77" w:rsidP="00FD2721">
      <w:pPr>
        <w:pBdr>
          <w:top w:val="nil"/>
          <w:left w:val="nil"/>
          <w:bottom w:val="nil"/>
          <w:right w:val="nil"/>
          <w:between w:val="nil"/>
        </w:pBdr>
        <w:suppressAutoHyphens/>
        <w:spacing w:before="120"/>
        <w:ind w:left="1980" w:hanging="540"/>
        <w:rPr>
          <w:rFonts w:eastAsia="Times"/>
          <w:color w:val="000000"/>
          <w:u w:val="single"/>
        </w:rPr>
      </w:pPr>
      <w:r w:rsidRPr="001B7F77">
        <w:rPr>
          <w:rFonts w:eastAsia="Times"/>
          <w:color w:val="000000"/>
          <w:u w:val="single"/>
        </w:rPr>
        <w:t>1.2.</w:t>
      </w:r>
      <w:r w:rsidRPr="001B7F77">
        <w:rPr>
          <w:rFonts w:eastAsia="Times"/>
          <w:color w:val="000000"/>
          <w:u w:val="single"/>
        </w:rPr>
        <w:tab/>
        <w:t>other superstructures 12 feet (3658 mm) or less in height and occupying 15 percent or less of the area of the roof;</w:t>
      </w:r>
    </w:p>
    <w:p w14:paraId="5B01C627" w14:textId="77777777" w:rsidR="001B7F77" w:rsidRPr="001B7F77" w:rsidRDefault="001B7F77" w:rsidP="00FD2721">
      <w:pPr>
        <w:pBdr>
          <w:top w:val="nil"/>
          <w:left w:val="nil"/>
          <w:bottom w:val="nil"/>
          <w:right w:val="nil"/>
          <w:between w:val="nil"/>
        </w:pBdr>
        <w:suppressAutoHyphens/>
        <w:spacing w:before="120"/>
        <w:ind w:left="1980" w:hanging="540"/>
        <w:rPr>
          <w:rFonts w:eastAsia="Times"/>
          <w:color w:val="000000"/>
          <w:u w:val="single"/>
        </w:rPr>
      </w:pPr>
      <w:r w:rsidRPr="001B7F77">
        <w:rPr>
          <w:rFonts w:eastAsia="Times"/>
          <w:color w:val="000000"/>
          <w:u w:val="single"/>
        </w:rPr>
        <w:t>1.3.</w:t>
      </w:r>
      <w:r w:rsidRPr="001B7F77">
        <w:rPr>
          <w:rFonts w:eastAsia="Times"/>
          <w:color w:val="000000"/>
          <w:u w:val="single"/>
        </w:rPr>
        <w:tab/>
        <w:t>elevator enclosures 30 feet (9144 mm) or less in height used solely for elevator purposes;</w:t>
      </w:r>
    </w:p>
    <w:p w14:paraId="6E1BA300" w14:textId="77777777" w:rsidR="001B7F77" w:rsidRPr="001B7F77" w:rsidRDefault="001B7F77" w:rsidP="00FD2721">
      <w:pPr>
        <w:pBdr>
          <w:top w:val="nil"/>
          <w:left w:val="nil"/>
          <w:bottom w:val="nil"/>
          <w:right w:val="nil"/>
          <w:between w:val="nil"/>
        </w:pBdr>
        <w:suppressAutoHyphens/>
        <w:spacing w:before="120"/>
        <w:ind w:left="1980" w:hanging="540"/>
        <w:rPr>
          <w:rFonts w:eastAsia="Times"/>
          <w:color w:val="000000"/>
          <w:u w:val="single"/>
        </w:rPr>
      </w:pPr>
      <w:r w:rsidRPr="001B7F77">
        <w:rPr>
          <w:rFonts w:eastAsia="Times"/>
          <w:color w:val="000000"/>
          <w:u w:val="single"/>
        </w:rPr>
        <w:t>1.4.</w:t>
      </w:r>
      <w:r w:rsidRPr="001B7F77">
        <w:rPr>
          <w:rFonts w:eastAsia="Times"/>
          <w:color w:val="000000"/>
          <w:u w:val="single"/>
        </w:rPr>
        <w:tab/>
        <w:t>enclosures 50 feet (15 240 mm) or less in height used solely for tanks, cooling towers or other mechanical equipment; and</w:t>
      </w:r>
    </w:p>
    <w:p w14:paraId="3549393A" w14:textId="77777777" w:rsidR="001B7F77" w:rsidRPr="001B7F77" w:rsidRDefault="001B7F77" w:rsidP="00FD2721">
      <w:pPr>
        <w:pBdr>
          <w:top w:val="nil"/>
          <w:left w:val="nil"/>
          <w:bottom w:val="nil"/>
          <w:right w:val="nil"/>
          <w:between w:val="nil"/>
        </w:pBdr>
        <w:suppressAutoHyphens/>
        <w:spacing w:before="120"/>
        <w:ind w:left="1980" w:hanging="540"/>
        <w:rPr>
          <w:rFonts w:eastAsia="Times"/>
          <w:color w:val="000000"/>
          <w:u w:val="single"/>
        </w:rPr>
      </w:pPr>
      <w:r w:rsidRPr="001B7F77">
        <w:rPr>
          <w:rFonts w:eastAsia="Times"/>
          <w:color w:val="000000"/>
          <w:u w:val="single"/>
        </w:rPr>
        <w:t>1.5.</w:t>
      </w:r>
      <w:r w:rsidRPr="001B7F77">
        <w:rPr>
          <w:rFonts w:eastAsia="Times"/>
          <w:color w:val="000000"/>
          <w:u w:val="single"/>
        </w:rPr>
        <w:tab/>
        <w:t>where approved by the department, pergolas, spires, chimneys, other ornamental treatments, roof gardens and playgrounds.</w:t>
      </w:r>
    </w:p>
    <w:p w14:paraId="55253438" w14:textId="77777777" w:rsidR="001B7F77" w:rsidRPr="001B7F77" w:rsidRDefault="001B7F77" w:rsidP="00FD2721">
      <w:pPr>
        <w:pBdr>
          <w:top w:val="nil"/>
          <w:left w:val="nil"/>
          <w:bottom w:val="nil"/>
          <w:right w:val="nil"/>
          <w:between w:val="nil"/>
        </w:pBdr>
        <w:suppressAutoHyphens/>
        <w:spacing w:before="120"/>
        <w:ind w:left="1440" w:hanging="360"/>
        <w:rPr>
          <w:rFonts w:eastAsia="Times"/>
          <w:color w:val="000000"/>
          <w:u w:val="single"/>
        </w:rPr>
      </w:pPr>
      <w:r w:rsidRPr="001B7F77">
        <w:rPr>
          <w:rFonts w:eastAsia="Times"/>
          <w:b/>
          <w:color w:val="000000"/>
          <w:u w:val="single"/>
        </w:rPr>
        <w:t>2.</w:t>
      </w:r>
      <w:r w:rsidRPr="001B7F77">
        <w:rPr>
          <w:rFonts w:eastAsia="Times"/>
          <w:b/>
          <w:color w:val="000000"/>
          <w:u w:val="single"/>
        </w:rPr>
        <w:tab/>
        <w:t>Penthouse dwellings on fireproof multiple dwellings (MDL 4(35)(c)).</w:t>
      </w:r>
      <w:r w:rsidRPr="001B7F77">
        <w:rPr>
          <w:rFonts w:eastAsia="Times"/>
          <w:color w:val="000000"/>
          <w:u w:val="single"/>
        </w:rPr>
        <w:t xml:space="preserve"> When on the main roof of any fireproof multiple dwelling erected after April 18, 1929, in which one or more passenger elevators are operated, a penthouse dwelling is erected the height of which does not exceed 12 feet (3658 mm) and the walls of which are set back as provided in this paragraph, the height of such multiple dwelling shall be measured as though no such penthouse had been erected thereon. Such penthouse walls shall be set back from the outer face of the front parapet wall at least 5 feet (1524 mm), from the outer face of the yard parapet wall at least 10 feet (3048 mm), and from the inner face of every other parapet wall at least 3 feet (914 mm); except that the setback so required from any parapet wall facing any court or yard or recess therefrom but not facing any street may be reduced one-third for each 10 percent by which the area of such court or yard exceeds the required minimum area thereof at the highest level of such parapet wall, and the setback so required from any parapet wall facing any street may be reduced 1 foot (305 mm) for each 1 foot (305 mm) that such parapet wall is set back from the building line established by law at the highest level of such parapet wall, provided that in the opinion of the department safe and sufficient passage is provided to and from every part of the main roof. Any penthouse wall which may be flush with the inner face of any parapet wall may be flush with the outer face thereof.</w:t>
      </w:r>
    </w:p>
    <w:p w14:paraId="0F51337F" w14:textId="77777777" w:rsidR="001B7F77" w:rsidRPr="001B7F77" w:rsidRDefault="001B7F77" w:rsidP="00FD2721">
      <w:pPr>
        <w:pBdr>
          <w:top w:val="nil"/>
          <w:left w:val="nil"/>
          <w:bottom w:val="nil"/>
          <w:right w:val="nil"/>
          <w:between w:val="nil"/>
        </w:pBdr>
        <w:tabs>
          <w:tab w:val="left" w:pos="900"/>
        </w:tabs>
        <w:suppressAutoHyphens/>
        <w:spacing w:before="120"/>
        <w:ind w:left="1440" w:hanging="360"/>
        <w:rPr>
          <w:u w:val="single"/>
        </w:rPr>
      </w:pPr>
      <w:r w:rsidRPr="001B7F77">
        <w:rPr>
          <w:rFonts w:eastAsia="Times"/>
          <w:b/>
          <w:color w:val="000000"/>
          <w:u w:val="single"/>
        </w:rPr>
        <w:t>3.</w:t>
      </w:r>
      <w:r w:rsidRPr="001B7F77">
        <w:rPr>
          <w:rFonts w:eastAsia="Times"/>
          <w:b/>
          <w:color w:val="000000"/>
          <w:u w:val="single"/>
        </w:rPr>
        <w:tab/>
        <w:t xml:space="preserve">Rear multiple dwellings with adjacent ground curb level (MDL 4(35)(d)). </w:t>
      </w:r>
      <w:r w:rsidRPr="001B7F77">
        <w:rPr>
          <w:rFonts w:eastAsia="Times"/>
          <w:color w:val="000000"/>
          <w:u w:val="single"/>
        </w:rPr>
        <w:t>If a rear multiple dwelling is erected after April 18, 1929, on the same lot as a front multiple dwelling, and the depth of the yard of the front multiple dwelling is more than 60 feet (18 288 mm) and the lowest point of such yard is below the curb level and below the floor of a cellar of the front multiple dwelling or of the lowest story thereof if there is no cellar, the height of the rear multiple dwelling shall be measured from such lowest point instead of from the curb level.</w:t>
      </w:r>
    </w:p>
    <w:p w14:paraId="393138DF" w14:textId="77777777" w:rsidR="001B7F77" w:rsidRPr="001B7F77" w:rsidRDefault="001B7F77" w:rsidP="00FD2721">
      <w:pPr>
        <w:pBdr>
          <w:top w:val="nil"/>
          <w:left w:val="nil"/>
          <w:bottom w:val="nil"/>
          <w:right w:val="nil"/>
          <w:between w:val="nil"/>
        </w:pBdr>
        <w:suppressAutoHyphens/>
        <w:spacing w:before="120"/>
        <w:ind w:left="360"/>
        <w:rPr>
          <w:rFonts w:eastAsia="Times"/>
          <w:bCs/>
          <w:color w:val="000000"/>
          <w:u w:val="single"/>
        </w:rPr>
      </w:pPr>
      <w:r w:rsidRPr="001B7F77">
        <w:rPr>
          <w:rFonts w:eastAsia="Times"/>
          <w:b/>
          <w:color w:val="000000"/>
          <w:u w:val="single"/>
        </w:rPr>
        <w:t xml:space="preserve">HOTEL (MDL 4(12)). </w:t>
      </w:r>
      <w:r w:rsidRPr="001B7F77">
        <w:rPr>
          <w:rFonts w:eastAsia="Times"/>
          <w:bCs/>
          <w:color w:val="000000"/>
          <w:u w:val="single"/>
        </w:rPr>
        <w:t>An inn having 30 or more sleeping rooms.</w:t>
      </w:r>
    </w:p>
    <w:p w14:paraId="305FA385" w14:textId="77777777" w:rsidR="001B7F77" w:rsidRPr="001B7F77" w:rsidRDefault="001B7F77" w:rsidP="00FD2721">
      <w:pPr>
        <w:pBdr>
          <w:top w:val="nil"/>
          <w:left w:val="nil"/>
          <w:bottom w:val="nil"/>
          <w:right w:val="nil"/>
          <w:between w:val="nil"/>
        </w:pBdr>
        <w:suppressAutoHyphens/>
        <w:spacing w:before="120"/>
        <w:ind w:left="360"/>
        <w:rPr>
          <w:rFonts w:eastAsia="Times"/>
          <w:color w:val="000000"/>
          <w:u w:val="single"/>
        </w:rPr>
      </w:pPr>
      <w:r w:rsidRPr="001B7F77">
        <w:rPr>
          <w:rFonts w:eastAsia="Times"/>
          <w:b/>
          <w:color w:val="000000"/>
          <w:u w:val="single"/>
        </w:rPr>
        <w:t>LIVING ROOM (MDL 4(18)).</w:t>
      </w:r>
      <w:r w:rsidRPr="001B7F77">
        <w:rPr>
          <w:rFonts w:eastAsia="Times"/>
          <w:color w:val="000000"/>
          <w:u w:val="single"/>
        </w:rPr>
        <w:t xml:space="preserve"> A room which is not a public hall, public vestibule, public room or other public part of a dwelling. Every room used for sleeping purposes shall be deemed a living room. Dining bays and dinettes 55 square feet (5 m</w:t>
      </w:r>
      <w:r w:rsidRPr="001B7F77">
        <w:rPr>
          <w:rFonts w:eastAsia="Times"/>
          <w:color w:val="000000"/>
          <w:u w:val="single"/>
          <w:vertAlign w:val="superscript"/>
        </w:rPr>
        <w:t>2</w:t>
      </w:r>
      <w:r w:rsidRPr="001B7F77">
        <w:rPr>
          <w:rFonts w:eastAsia="Times"/>
          <w:color w:val="000000"/>
          <w:u w:val="single"/>
        </w:rPr>
        <w:t xml:space="preserve">) or less in floor area, foyers as described in Chapter 12 of the </w:t>
      </w:r>
      <w:r w:rsidRPr="001B7F77">
        <w:rPr>
          <w:rFonts w:eastAsia="Times"/>
          <w:i/>
          <w:iCs/>
          <w:color w:val="000000"/>
          <w:u w:val="single"/>
        </w:rPr>
        <w:t>New York City Building Code</w:t>
      </w:r>
      <w:r w:rsidRPr="001B7F77">
        <w:rPr>
          <w:rFonts w:eastAsia="Times"/>
          <w:color w:val="000000"/>
          <w:u w:val="single"/>
        </w:rPr>
        <w:t>, water-closet compartments, bathrooms, cooking spaces less than 80 square feet (7 m</w:t>
      </w:r>
      <w:bookmarkStart w:id="241" w:name="_Hlk57846460"/>
      <w:r w:rsidRPr="001B7F77">
        <w:rPr>
          <w:rFonts w:eastAsia="Times"/>
          <w:color w:val="000000"/>
          <w:u w:val="single"/>
          <w:vertAlign w:val="superscript"/>
        </w:rPr>
        <w:t>2</w:t>
      </w:r>
      <w:bookmarkEnd w:id="241"/>
      <w:r w:rsidRPr="001B7F77">
        <w:rPr>
          <w:rFonts w:eastAsia="Times"/>
          <w:color w:val="000000"/>
          <w:u w:val="single"/>
        </w:rPr>
        <w:t>) in area, and halls, corridors and passageways entirely within an apartment or suite of rooms shall not be deemed living rooms.</w:t>
      </w:r>
    </w:p>
    <w:p w14:paraId="6010FD5B" w14:textId="77777777" w:rsidR="001B7F77" w:rsidRPr="001B7F77" w:rsidRDefault="001B7F77" w:rsidP="00FD2721">
      <w:pPr>
        <w:pBdr>
          <w:top w:val="nil"/>
          <w:left w:val="nil"/>
          <w:bottom w:val="nil"/>
          <w:right w:val="nil"/>
          <w:between w:val="nil"/>
        </w:pBdr>
        <w:suppressAutoHyphens/>
        <w:spacing w:before="120"/>
        <w:ind w:left="360"/>
        <w:rPr>
          <w:rFonts w:eastAsia="Times"/>
          <w:color w:val="000000"/>
          <w:u w:val="single"/>
        </w:rPr>
      </w:pPr>
      <w:r w:rsidRPr="001B7F77">
        <w:rPr>
          <w:rFonts w:eastAsia="Times"/>
          <w:b/>
          <w:color w:val="000000"/>
          <w:u w:val="single"/>
        </w:rPr>
        <w:t xml:space="preserve">LODGING HOUSE (LH) (MDL 4(14)). </w:t>
      </w:r>
      <w:r w:rsidRPr="001B7F77">
        <w:rPr>
          <w:rFonts w:eastAsia="Times"/>
          <w:color w:val="000000"/>
          <w:u w:val="single"/>
        </w:rPr>
        <w:t>A multiple dwelling in which persons are housed in open rooms, for a single night, or for no longer than 29 days. The creation of or conversion to a lodging house shall be limited by Section 27-2077 of the New York City Housing Maintenance Code.</w:t>
      </w:r>
    </w:p>
    <w:p w14:paraId="06D47650" w14:textId="77777777" w:rsidR="001B7F77" w:rsidRPr="001B7F77" w:rsidRDefault="001B7F77" w:rsidP="00FD2721">
      <w:pPr>
        <w:pBdr>
          <w:top w:val="nil"/>
          <w:left w:val="nil"/>
          <w:bottom w:val="nil"/>
          <w:right w:val="nil"/>
          <w:between w:val="nil"/>
        </w:pBdr>
        <w:suppressAutoHyphens/>
        <w:spacing w:before="120"/>
        <w:ind w:left="360"/>
        <w:rPr>
          <w:rFonts w:eastAsia="Times"/>
          <w:color w:val="000000"/>
          <w:u w:val="single"/>
        </w:rPr>
      </w:pPr>
      <w:r w:rsidRPr="001B7F77">
        <w:rPr>
          <w:rFonts w:eastAsia="Times"/>
          <w:b/>
          <w:color w:val="000000"/>
          <w:u w:val="single"/>
        </w:rPr>
        <w:t xml:space="preserve">MDL. </w:t>
      </w:r>
      <w:r w:rsidRPr="001B7F77">
        <w:rPr>
          <w:rFonts w:eastAsia="Times"/>
          <w:color w:val="000000"/>
          <w:u w:val="single"/>
        </w:rPr>
        <w:t>The New York State Multiple Dwelling Law.</w:t>
      </w:r>
    </w:p>
    <w:p w14:paraId="1FCB7DE8" w14:textId="77777777" w:rsidR="001B7F77" w:rsidRPr="001B7F77" w:rsidRDefault="001B7F77" w:rsidP="00FD2721">
      <w:pPr>
        <w:pBdr>
          <w:top w:val="nil"/>
          <w:left w:val="nil"/>
          <w:bottom w:val="nil"/>
          <w:right w:val="nil"/>
          <w:between w:val="nil"/>
        </w:pBdr>
        <w:suppressAutoHyphens/>
        <w:spacing w:before="120"/>
        <w:ind w:left="360"/>
        <w:rPr>
          <w:rFonts w:eastAsia="Times"/>
          <w:color w:val="000000"/>
          <w:u w:val="single"/>
        </w:rPr>
      </w:pPr>
      <w:r w:rsidRPr="001B7F77">
        <w:rPr>
          <w:rFonts w:eastAsia="Times"/>
          <w:b/>
          <w:bCs/>
          <w:color w:val="000000"/>
          <w:u w:val="single"/>
        </w:rPr>
        <w:t>MULTIPLE DWELLING (MDL 4(7)).</w:t>
      </w:r>
      <w:r w:rsidRPr="001B7F77">
        <w:rPr>
          <w:rFonts w:eastAsia="Times"/>
          <w:color w:val="000000"/>
          <w:u w:val="single"/>
        </w:rPr>
        <w:t xml:space="preserve"> A "multiple dwelling" is a dwelling which is either rented, leased, let or hired out, to be occupied, or is occupied as the residence or home of 3 or more families living independently of each other. On and after July 1, 1955, a "multiple dwelling" shall also include residential quarters for members or personnel of any hospital staff which are not located in any building used primarily for hospital use provided, however, that any building which was erected, altered or converted prior to July 1, 1955, to be occupied by such members or personnel or is so occupied on such date shall not be subject to the requirements of this chapter only so long as it continues to be so occupied provided there are local laws applicable to such building and such building is in compliance with such local laws. A "multiple dwelling" shall not be deemed to include a hospital, convent, monastery, asylum or public institution, or a fireproof building used wholly for commercial purposes except for not more than one janitor's apartment and not more than one penthouse occupied by not more than two families. For the purposes of this chapter "multiple dwellings" are divided into 2 classes: "class A" and "class B." Building or portion of the building classified as I-1 occupancy in accordance with Chapter 3 of </w:t>
      </w:r>
      <w:r w:rsidRPr="001B7F77">
        <w:rPr>
          <w:rFonts w:eastAsia="Times"/>
          <w:i/>
          <w:iCs/>
          <w:color w:val="000000"/>
          <w:u w:val="single"/>
        </w:rPr>
        <w:t>New York City Building Code</w:t>
      </w:r>
      <w:r w:rsidRPr="001B7F77">
        <w:rPr>
          <w:rFonts w:eastAsia="Times"/>
          <w:color w:val="000000"/>
          <w:u w:val="single"/>
        </w:rPr>
        <w:t xml:space="preserve"> shall be deemed to be a multiple dwelling.</w:t>
      </w:r>
    </w:p>
    <w:p w14:paraId="5CA9F283" w14:textId="77777777" w:rsidR="001B7F77" w:rsidRPr="001B7F77" w:rsidRDefault="001B7F77" w:rsidP="00FD2721">
      <w:pPr>
        <w:pBdr>
          <w:top w:val="nil"/>
          <w:left w:val="nil"/>
          <w:bottom w:val="nil"/>
          <w:right w:val="nil"/>
          <w:between w:val="nil"/>
        </w:pBdr>
        <w:suppressAutoHyphens/>
        <w:spacing w:before="120"/>
        <w:ind w:left="360"/>
        <w:rPr>
          <w:rFonts w:eastAsia="Times"/>
          <w:color w:val="000000"/>
          <w:u w:val="single"/>
        </w:rPr>
      </w:pPr>
      <w:r w:rsidRPr="001B7F77">
        <w:rPr>
          <w:rFonts w:eastAsia="Times"/>
          <w:b/>
          <w:color w:val="000000"/>
          <w:u w:val="single"/>
        </w:rPr>
        <w:t xml:space="preserve">NON-FIREPROOF MULTIPLE DWELLING (MDL 4(27)). </w:t>
      </w:r>
      <w:r w:rsidRPr="001B7F77">
        <w:rPr>
          <w:rFonts w:eastAsia="Times"/>
          <w:color w:val="000000"/>
          <w:u w:val="single"/>
        </w:rPr>
        <w:t>A multiple dwelling which does not meet the requirements for a fireproof multiple dwelling.</w:t>
      </w:r>
    </w:p>
    <w:p w14:paraId="7EC9857F" w14:textId="77777777" w:rsidR="001B7F77" w:rsidRPr="001B7F77" w:rsidRDefault="001B7F77" w:rsidP="00FD2721">
      <w:pPr>
        <w:pBdr>
          <w:top w:val="nil"/>
          <w:left w:val="nil"/>
          <w:bottom w:val="nil"/>
          <w:right w:val="nil"/>
          <w:between w:val="nil"/>
        </w:pBdr>
        <w:suppressAutoHyphens/>
        <w:spacing w:before="120"/>
        <w:ind w:left="360"/>
        <w:rPr>
          <w:rFonts w:eastAsia="Times"/>
          <w:color w:val="000000"/>
          <w:u w:val="single"/>
        </w:rPr>
      </w:pPr>
      <w:r w:rsidRPr="001B7F77">
        <w:rPr>
          <w:rFonts w:eastAsia="Times"/>
          <w:b/>
          <w:color w:val="000000"/>
          <w:u w:val="single"/>
        </w:rPr>
        <w:t xml:space="preserve">PUBLIC HALL (MDL 4(17)). </w:t>
      </w:r>
      <w:r w:rsidRPr="001B7F77">
        <w:rPr>
          <w:rFonts w:eastAsia="Times"/>
          <w:color w:val="000000"/>
          <w:u w:val="single"/>
        </w:rPr>
        <w:t>A hall, corridor or passageway within a building but outside of all apartments and suites of private rooms.</w:t>
      </w:r>
    </w:p>
    <w:p w14:paraId="14134749" w14:textId="77777777" w:rsidR="001B7F77" w:rsidRPr="001B7F77" w:rsidRDefault="001B7F77" w:rsidP="00FD2721">
      <w:pPr>
        <w:pBdr>
          <w:top w:val="nil"/>
          <w:left w:val="nil"/>
          <w:bottom w:val="nil"/>
          <w:right w:val="nil"/>
          <w:between w:val="nil"/>
        </w:pBdr>
        <w:suppressAutoHyphens/>
        <w:spacing w:before="120"/>
        <w:ind w:left="360"/>
        <w:rPr>
          <w:rFonts w:eastAsia="Times"/>
          <w:color w:val="000000"/>
          <w:u w:val="single"/>
        </w:rPr>
      </w:pPr>
      <w:r w:rsidRPr="001B7F77">
        <w:rPr>
          <w:rFonts w:eastAsia="Times"/>
          <w:b/>
          <w:color w:val="000000"/>
          <w:u w:val="single"/>
        </w:rPr>
        <w:t xml:space="preserve">PUBLIC ROOM OR PART (MDL 4(17)). </w:t>
      </w:r>
      <w:r w:rsidRPr="001B7F77">
        <w:rPr>
          <w:rFonts w:eastAsia="Times"/>
          <w:color w:val="000000"/>
          <w:u w:val="single"/>
        </w:rPr>
        <w:t>A space used in common by the occupants of 2 or more apartments or rooms, or by persons who are not tenants, or exclusively for mechanical equipment of such dwelling or for storage purposes.</w:t>
      </w:r>
    </w:p>
    <w:p w14:paraId="42A26F98" w14:textId="77777777" w:rsidR="001B7F77" w:rsidRPr="001B7F77" w:rsidRDefault="001B7F77" w:rsidP="00FD2721">
      <w:pPr>
        <w:pBdr>
          <w:top w:val="nil"/>
          <w:left w:val="nil"/>
          <w:bottom w:val="nil"/>
          <w:right w:val="nil"/>
          <w:between w:val="nil"/>
        </w:pBdr>
        <w:suppressAutoHyphens/>
        <w:spacing w:before="120"/>
        <w:ind w:left="360"/>
        <w:rPr>
          <w:rFonts w:eastAsia="Times"/>
          <w:color w:val="000000"/>
          <w:u w:val="single"/>
        </w:rPr>
      </w:pPr>
      <w:r w:rsidRPr="001B7F77">
        <w:rPr>
          <w:rFonts w:eastAsia="Times"/>
          <w:b/>
          <w:color w:val="000000"/>
          <w:u w:val="single"/>
        </w:rPr>
        <w:t xml:space="preserve">PUBLIC VESTIBULE (MDL 4(17)). </w:t>
      </w:r>
      <w:r w:rsidRPr="001B7F77">
        <w:rPr>
          <w:rFonts w:eastAsia="Times"/>
          <w:color w:val="000000"/>
          <w:u w:val="single"/>
        </w:rPr>
        <w:t>A corridor, not within an apartment or suite of private rooms, providing access to a stair or elevator and not wider than 7 feet (2134 mm) nor longer than twice the width of the stair or elevator shafts opening upon it.</w:t>
      </w:r>
    </w:p>
    <w:p w14:paraId="6C9FFD46" w14:textId="77777777" w:rsidR="001B7F77" w:rsidRPr="001B7F77" w:rsidRDefault="001B7F77" w:rsidP="00FD2721">
      <w:pPr>
        <w:pBdr>
          <w:top w:val="nil"/>
          <w:left w:val="nil"/>
          <w:bottom w:val="nil"/>
          <w:right w:val="nil"/>
          <w:between w:val="nil"/>
        </w:pBdr>
        <w:suppressAutoHyphens/>
        <w:spacing w:before="120"/>
        <w:ind w:left="360"/>
        <w:rPr>
          <w:rFonts w:eastAsia="Times"/>
          <w:bCs/>
          <w:color w:val="000000"/>
          <w:u w:val="single"/>
        </w:rPr>
      </w:pPr>
      <w:r w:rsidRPr="001B7F77">
        <w:rPr>
          <w:rFonts w:eastAsia="Times"/>
          <w:b/>
          <w:color w:val="000000"/>
          <w:u w:val="single"/>
        </w:rPr>
        <w:t xml:space="preserve">REAR YARD (MDL 4(32)). </w:t>
      </w:r>
      <w:r w:rsidRPr="001B7F77">
        <w:rPr>
          <w:rFonts w:eastAsia="Times"/>
          <w:bCs/>
          <w:color w:val="000000"/>
          <w:u w:val="single"/>
        </w:rPr>
        <w:t>An open space on the same zoning lot with a dwelling between the extreme rear line of the zoning lot and the extreme rear wall of the dwelling.</w:t>
      </w:r>
    </w:p>
    <w:p w14:paraId="50C44537" w14:textId="77777777" w:rsidR="001B7F77" w:rsidRPr="001B7F77" w:rsidRDefault="001B7F77" w:rsidP="00FD2721">
      <w:pPr>
        <w:pBdr>
          <w:top w:val="nil"/>
          <w:left w:val="nil"/>
          <w:bottom w:val="nil"/>
          <w:right w:val="nil"/>
          <w:between w:val="nil"/>
        </w:pBdr>
        <w:suppressAutoHyphens/>
        <w:spacing w:before="120"/>
        <w:ind w:left="360"/>
        <w:rPr>
          <w:rFonts w:eastAsia="Times"/>
          <w:bCs/>
          <w:color w:val="000000"/>
          <w:u w:val="single"/>
        </w:rPr>
      </w:pPr>
      <w:r w:rsidRPr="001B7F77">
        <w:rPr>
          <w:rFonts w:eastAsia="Times"/>
          <w:b/>
          <w:color w:val="000000"/>
          <w:u w:val="single"/>
        </w:rPr>
        <w:t xml:space="preserve">ROOMING HOUSE, FURNISHED ROOM HOUSE (MDL 4(13)). </w:t>
      </w:r>
      <w:r w:rsidRPr="001B7F77">
        <w:rPr>
          <w:rFonts w:eastAsia="Times"/>
          <w:bCs/>
          <w:color w:val="000000"/>
          <w:u w:val="single"/>
        </w:rPr>
        <w:t>A "rooming house" or a "furnished room house" is a multiple dwelling, other than a hotel, having less than 30 sleeping rooms and in which persons either individually or as families are housed for hire or otherwise with or without meals. An inn with less than 30 sleeping rooms is a rooming house.</w:t>
      </w:r>
    </w:p>
    <w:p w14:paraId="14A02048" w14:textId="77777777" w:rsidR="001B7F77" w:rsidRPr="001B7F77" w:rsidRDefault="001B7F77" w:rsidP="00FD2721">
      <w:pPr>
        <w:pBdr>
          <w:top w:val="nil"/>
          <w:left w:val="nil"/>
          <w:bottom w:val="nil"/>
          <w:right w:val="nil"/>
          <w:between w:val="nil"/>
        </w:pBdr>
        <w:suppressAutoHyphens/>
        <w:spacing w:before="120"/>
        <w:ind w:left="360"/>
        <w:rPr>
          <w:rFonts w:eastAsia="Times"/>
          <w:bCs/>
          <w:color w:val="000000"/>
          <w:u w:val="single"/>
        </w:rPr>
      </w:pPr>
      <w:r w:rsidRPr="001B7F77">
        <w:rPr>
          <w:rFonts w:eastAsia="Times"/>
          <w:bCs/>
          <w:color w:val="000000"/>
          <w:u w:val="single"/>
        </w:rPr>
        <w:t xml:space="preserve">The creation of or conversion to a rooming house or a furnished room house shall be limited by Section 27-2077 of the </w:t>
      </w:r>
      <w:r w:rsidRPr="001B7F77">
        <w:rPr>
          <w:rFonts w:eastAsia="Times"/>
          <w:bCs/>
          <w:i/>
          <w:iCs/>
          <w:color w:val="000000"/>
          <w:u w:val="single"/>
        </w:rPr>
        <w:t>New York City Housing Maintenance Code</w:t>
      </w:r>
      <w:r w:rsidRPr="001B7F77">
        <w:rPr>
          <w:rFonts w:eastAsia="Times"/>
          <w:bCs/>
          <w:color w:val="000000"/>
          <w:u w:val="single"/>
        </w:rPr>
        <w:t>.</w:t>
      </w:r>
    </w:p>
    <w:p w14:paraId="5E0320B4" w14:textId="77777777" w:rsidR="001B7F77" w:rsidRPr="001B7F77" w:rsidRDefault="001B7F77" w:rsidP="00FD2721">
      <w:pPr>
        <w:pBdr>
          <w:top w:val="nil"/>
          <w:left w:val="nil"/>
          <w:bottom w:val="nil"/>
          <w:right w:val="nil"/>
          <w:between w:val="nil"/>
        </w:pBdr>
        <w:suppressAutoHyphens/>
        <w:spacing w:before="120"/>
        <w:ind w:left="360"/>
        <w:rPr>
          <w:rFonts w:eastAsia="Times"/>
          <w:bCs/>
          <w:color w:val="000000"/>
          <w:u w:val="single"/>
        </w:rPr>
      </w:pPr>
      <w:r w:rsidRPr="001B7F77">
        <w:rPr>
          <w:rFonts w:eastAsia="Times"/>
          <w:b/>
          <w:color w:val="000000"/>
          <w:u w:val="single"/>
        </w:rPr>
        <w:t xml:space="preserve">SECTION (MDL 4(39). </w:t>
      </w:r>
      <w:r w:rsidRPr="001B7F77">
        <w:rPr>
          <w:rFonts w:eastAsia="Times"/>
          <w:bCs/>
          <w:color w:val="000000"/>
          <w:u w:val="single"/>
        </w:rPr>
        <w:t>A "section" of a multiple dwelling is a part thereof, other than an apartment or suite of rooms, separated as a unit from the rest of such dwelling by fireproof construction.</w:t>
      </w:r>
    </w:p>
    <w:p w14:paraId="390A7C39" w14:textId="77777777" w:rsidR="001B7F77" w:rsidRPr="001B7F77" w:rsidRDefault="001B7F77" w:rsidP="00FD2721">
      <w:pPr>
        <w:pBdr>
          <w:top w:val="nil"/>
          <w:left w:val="nil"/>
          <w:bottom w:val="nil"/>
          <w:right w:val="nil"/>
          <w:between w:val="nil"/>
        </w:pBdr>
        <w:suppressAutoHyphens/>
        <w:spacing w:before="120"/>
        <w:ind w:left="360"/>
        <w:rPr>
          <w:rFonts w:eastAsia="Times"/>
          <w:color w:val="000000"/>
          <w:u w:val="single"/>
        </w:rPr>
      </w:pPr>
      <w:r w:rsidRPr="001B7F77">
        <w:rPr>
          <w:rFonts w:eastAsia="Times"/>
          <w:b/>
          <w:color w:val="000000"/>
          <w:u w:val="single"/>
        </w:rPr>
        <w:t xml:space="preserve">SINGLE ROOM OCCUPANCY (MDL 4(16)). </w:t>
      </w:r>
      <w:r w:rsidRPr="001B7F77">
        <w:rPr>
          <w:rFonts w:eastAsia="Times"/>
          <w:color w:val="000000"/>
          <w:u w:val="single"/>
        </w:rPr>
        <w:t xml:space="preserve">The occupancy by 1 or 2 persons of a single room, or of 2 or more rooms which are joined together, separated from all other rooms within a dwelling unit in a multiple dwelling, so that the occupant or occupants thereof reside separately and independently of the other occupant or occupants of the same dwelling unit. When a class A multiple dwelling is used wholly or in part for single room occupancy, it remains a class A multiple dwelling. The creation of or conversion to single room occupancy shall be limited by Section 27-2077 of the </w:t>
      </w:r>
      <w:r w:rsidRPr="001B7F77">
        <w:rPr>
          <w:rFonts w:eastAsia="Times"/>
          <w:i/>
          <w:iCs/>
          <w:color w:val="000000"/>
          <w:u w:val="single"/>
        </w:rPr>
        <w:t>New York City Housing Maintenance Code</w:t>
      </w:r>
      <w:r w:rsidRPr="001B7F77">
        <w:rPr>
          <w:rFonts w:eastAsia="Times"/>
          <w:u w:val="single"/>
        </w:rPr>
        <w:t>.</w:t>
      </w:r>
    </w:p>
    <w:p w14:paraId="624C6096" w14:textId="77777777" w:rsidR="001B7F77" w:rsidRPr="001B7F77" w:rsidRDefault="001B7F77" w:rsidP="00FD2721">
      <w:pPr>
        <w:pBdr>
          <w:top w:val="nil"/>
          <w:left w:val="nil"/>
          <w:bottom w:val="nil"/>
          <w:right w:val="nil"/>
          <w:between w:val="nil"/>
        </w:pBdr>
        <w:suppressAutoHyphens/>
        <w:spacing w:before="120"/>
        <w:ind w:left="360"/>
        <w:rPr>
          <w:rFonts w:eastAsia="Times"/>
          <w:color w:val="000000"/>
          <w:u w:val="single"/>
        </w:rPr>
      </w:pPr>
      <w:r w:rsidRPr="001B7F77">
        <w:rPr>
          <w:rFonts w:eastAsia="Times"/>
          <w:b/>
          <w:color w:val="000000"/>
          <w:u w:val="single"/>
        </w:rPr>
        <w:t>STORY (MDL 4(36)).</w:t>
      </w:r>
      <w:r w:rsidRPr="001B7F77">
        <w:rPr>
          <w:rFonts w:eastAsia="Times"/>
          <w:color w:val="000000"/>
          <w:u w:val="single"/>
        </w:rPr>
        <w:t xml:space="preserve"> A space between the level of one finished floor and the level of the next higher finished floor, or, if the top story, of the space between the level of the highest finished floor and the top of the highest roof beams, or, if the first story, of the space between the level of the finished floor and the finished ceiling immediately above. For the purpose of measuring height by stories in multiple dwellings erected after April 18, 1929, one additional story shall be added for each 12 feet (3 658 mm) or fraction thereof that the first story exceeds 15 feet (4 572 mm) in height, and for each 12 feet (3 658 mm) or fraction thereof that any story above the first story exceeds 12 feet (3 658 mm) in height.</w:t>
      </w:r>
    </w:p>
    <w:p w14:paraId="27223814" w14:textId="77777777" w:rsidR="001B7F77" w:rsidRPr="001B7F77" w:rsidRDefault="001B7F77" w:rsidP="00FD2721">
      <w:pPr>
        <w:pBdr>
          <w:top w:val="nil"/>
          <w:left w:val="nil"/>
          <w:bottom w:val="nil"/>
          <w:right w:val="nil"/>
          <w:between w:val="nil"/>
        </w:pBdr>
        <w:suppressAutoHyphens/>
        <w:spacing w:before="120"/>
        <w:ind w:left="360"/>
        <w:rPr>
          <w:rFonts w:eastAsia="Times"/>
          <w:bCs/>
          <w:color w:val="000000"/>
          <w:u w:val="single"/>
        </w:rPr>
      </w:pPr>
      <w:r w:rsidRPr="001B7F77">
        <w:rPr>
          <w:rFonts w:eastAsia="Times"/>
          <w:b/>
          <w:color w:val="000000"/>
          <w:u w:val="single"/>
        </w:rPr>
        <w:t xml:space="preserve">STREET WALL (MDL 4(34)). </w:t>
      </w:r>
      <w:r w:rsidRPr="001B7F77">
        <w:rPr>
          <w:rFonts w:eastAsia="Times"/>
          <w:bCs/>
          <w:color w:val="000000"/>
          <w:u w:val="single"/>
        </w:rPr>
        <w:t>A "street wall" of a building, at any level, is the wall of the building nearest to a street line abutting the property.</w:t>
      </w:r>
    </w:p>
    <w:p w14:paraId="66CE2C15" w14:textId="77777777" w:rsidR="001B7F77" w:rsidRPr="001B7F77" w:rsidRDefault="001B7F77" w:rsidP="00FD2721">
      <w:pPr>
        <w:pBdr>
          <w:top w:val="nil"/>
          <w:left w:val="nil"/>
          <w:bottom w:val="nil"/>
          <w:right w:val="nil"/>
          <w:between w:val="nil"/>
        </w:pBdr>
        <w:suppressAutoHyphens/>
        <w:spacing w:before="120"/>
        <w:ind w:left="360"/>
        <w:rPr>
          <w:rFonts w:eastAsia="Times"/>
          <w:color w:val="000000"/>
          <w:u w:val="single"/>
        </w:rPr>
      </w:pPr>
      <w:r w:rsidRPr="001B7F77">
        <w:rPr>
          <w:rFonts w:eastAsia="Times"/>
          <w:b/>
          <w:color w:val="000000"/>
          <w:u w:val="single"/>
        </w:rPr>
        <w:t xml:space="preserve">TENEMENT (MDL 4(11)). </w:t>
      </w:r>
      <w:r w:rsidRPr="001B7F77">
        <w:rPr>
          <w:rFonts w:eastAsia="Times"/>
          <w:color w:val="000000"/>
          <w:u w:val="single"/>
        </w:rPr>
        <w:t>Any building or structure or any portion thereof, erected before April 18, 1929, which is occupied, wholly or in part, as the residence of 3 families or more living independently of each other and doing their cooking upon the premises, and includes apartment houses, flat houses and all other houses so erected and occupied, except that a tenement shall not be deemed to include any converted dwelling.</w:t>
      </w:r>
    </w:p>
    <w:p w14:paraId="0E7E1326" w14:textId="77777777" w:rsidR="001B7F77" w:rsidRPr="001B7F77" w:rsidRDefault="001B7F77" w:rsidP="00FD2721">
      <w:pPr>
        <w:pBdr>
          <w:top w:val="nil"/>
          <w:left w:val="nil"/>
          <w:bottom w:val="nil"/>
          <w:right w:val="nil"/>
          <w:between w:val="nil"/>
        </w:pBdr>
        <w:suppressAutoHyphens/>
        <w:spacing w:before="120"/>
        <w:ind w:left="360"/>
        <w:rPr>
          <w:rFonts w:eastAsia="Times"/>
          <w:color w:val="000000"/>
          <w:u w:val="single"/>
        </w:rPr>
      </w:pPr>
      <w:r w:rsidRPr="001B7F77">
        <w:rPr>
          <w:rFonts w:eastAsia="Times"/>
          <w:b/>
          <w:color w:val="000000"/>
          <w:u w:val="single"/>
        </w:rPr>
        <w:t xml:space="preserve">TENEMENT, NEW LAW (NL) (MDL 4(11)). </w:t>
      </w:r>
      <w:r w:rsidRPr="001B7F77">
        <w:rPr>
          <w:rFonts w:eastAsia="Times"/>
          <w:color w:val="000000"/>
          <w:u w:val="single"/>
        </w:rPr>
        <w:t>A tenement erected on or after April 12, 1901, and before April 18, 1929, except that it shall not be deemed to include any converted dwelling.</w:t>
      </w:r>
    </w:p>
    <w:p w14:paraId="15B15367" w14:textId="77777777" w:rsidR="001B7F77" w:rsidRPr="001B7F77" w:rsidRDefault="001B7F77" w:rsidP="00FD2721">
      <w:pPr>
        <w:pBdr>
          <w:top w:val="nil"/>
          <w:left w:val="nil"/>
          <w:bottom w:val="nil"/>
          <w:right w:val="nil"/>
          <w:between w:val="nil"/>
        </w:pBdr>
        <w:suppressAutoHyphens/>
        <w:spacing w:before="120"/>
        <w:ind w:left="360"/>
        <w:rPr>
          <w:rFonts w:eastAsia="Times"/>
          <w:color w:val="000000"/>
          <w:u w:val="single"/>
        </w:rPr>
      </w:pPr>
      <w:r w:rsidRPr="001B7F77">
        <w:rPr>
          <w:rFonts w:eastAsia="Times"/>
          <w:b/>
          <w:color w:val="000000"/>
          <w:u w:val="single"/>
        </w:rPr>
        <w:t xml:space="preserve">TENEMENT, OLD LAW (OL) (MDL 4(11)). </w:t>
      </w:r>
      <w:r w:rsidRPr="001B7F77">
        <w:rPr>
          <w:rFonts w:eastAsia="Times"/>
          <w:color w:val="000000"/>
          <w:u w:val="single"/>
        </w:rPr>
        <w:t>A tenement existing before April 12, 1901, and recorded as such in the department before April 18, 1929, except that it shall not be deemed to include any converted dwelling.</w:t>
      </w:r>
    </w:p>
    <w:p w14:paraId="4ED94B8B" w14:textId="77777777" w:rsidR="001B7F77" w:rsidRPr="001B7F77" w:rsidRDefault="001B7F77" w:rsidP="00FD2721">
      <w:pPr>
        <w:pBdr>
          <w:top w:val="nil"/>
          <w:left w:val="nil"/>
          <w:bottom w:val="nil"/>
          <w:right w:val="nil"/>
          <w:between w:val="nil"/>
        </w:pBdr>
        <w:suppressAutoHyphens/>
        <w:spacing w:before="120"/>
        <w:jc w:val="center"/>
        <w:rPr>
          <w:rFonts w:eastAsia="Times"/>
          <w:b/>
          <w:color w:val="000000"/>
          <w:u w:val="single"/>
        </w:rPr>
      </w:pPr>
      <w:bookmarkStart w:id="242" w:name="_Hlk77080529"/>
      <w:r w:rsidRPr="001B7F77">
        <w:rPr>
          <w:rFonts w:eastAsia="Times"/>
          <w:b/>
          <w:color w:val="000000"/>
          <w:u w:val="single"/>
        </w:rPr>
        <w:t>CHAPTER D3</w:t>
      </w:r>
      <w:r w:rsidRPr="001B7F77">
        <w:rPr>
          <w:rFonts w:eastAsia="Times"/>
          <w:b/>
          <w:color w:val="000000"/>
          <w:u w:val="single"/>
        </w:rPr>
        <w:br/>
        <w:t xml:space="preserve">GENERAL PROVISIONS FOR ALL MULTIPLE DWELLINGS </w:t>
      </w:r>
      <w:r w:rsidRPr="001B7F77">
        <w:rPr>
          <w:rFonts w:eastAsia="Times"/>
          <w:b/>
          <w:color w:val="000000"/>
          <w:u w:val="single"/>
        </w:rPr>
        <w:br/>
        <w:t>(MDL ARTICLES 2 AND 3)</w:t>
      </w:r>
      <w:bookmarkEnd w:id="242"/>
    </w:p>
    <w:p w14:paraId="0133E506" w14:textId="77777777" w:rsidR="001B7F77" w:rsidRPr="001B7F77" w:rsidRDefault="001B7F77" w:rsidP="00FD2721">
      <w:pPr>
        <w:pBdr>
          <w:top w:val="nil"/>
          <w:left w:val="nil"/>
          <w:bottom w:val="nil"/>
          <w:right w:val="nil"/>
          <w:between w:val="nil"/>
        </w:pBdr>
        <w:suppressAutoHyphens/>
        <w:spacing w:before="120"/>
        <w:rPr>
          <w:rFonts w:eastAsia="Times"/>
          <w:color w:val="000000"/>
          <w:u w:val="single"/>
        </w:rPr>
      </w:pPr>
      <w:r w:rsidRPr="001B7F77">
        <w:rPr>
          <w:rFonts w:eastAsia="Times"/>
          <w:b/>
          <w:color w:val="000000"/>
          <w:u w:val="single"/>
        </w:rPr>
        <w:t xml:space="preserve">D301 Applicability. </w:t>
      </w:r>
      <w:r w:rsidRPr="001B7F77">
        <w:rPr>
          <w:rFonts w:eastAsia="Times"/>
          <w:color w:val="000000"/>
          <w:u w:val="single"/>
        </w:rPr>
        <w:t>Alterations, additions, repairs, change of occupancy and relocation of all existing multiple dwellings, whenever erected or converted, shall comply with the provisions of this code and any applicable provisions of this Chapter D3. Multiple dwellings shall also comply with the applicable provisions of chapters as outlined by classification in Table D301.</w:t>
      </w:r>
    </w:p>
    <w:p w14:paraId="3EE5BC45" w14:textId="77777777" w:rsidR="001B7F77" w:rsidRPr="001B7F77" w:rsidRDefault="001B7F77" w:rsidP="00FD2721">
      <w:pPr>
        <w:pBdr>
          <w:top w:val="nil"/>
          <w:left w:val="nil"/>
          <w:bottom w:val="nil"/>
          <w:right w:val="nil"/>
          <w:between w:val="nil"/>
        </w:pBdr>
        <w:suppressAutoHyphens/>
        <w:spacing w:before="120"/>
        <w:rPr>
          <w:rFonts w:eastAsia="Times"/>
          <w:color w:val="000000"/>
          <w:u w:val="single"/>
        </w:rPr>
      </w:pPr>
    </w:p>
    <w:p w14:paraId="0E74798A" w14:textId="77777777" w:rsidR="001B7F77" w:rsidRPr="001B7F77" w:rsidRDefault="001B7F77" w:rsidP="00FD2721">
      <w:pPr>
        <w:pBdr>
          <w:top w:val="nil"/>
          <w:left w:val="nil"/>
          <w:bottom w:val="nil"/>
          <w:right w:val="nil"/>
          <w:between w:val="nil"/>
        </w:pBdr>
        <w:suppressAutoHyphens/>
        <w:spacing w:before="120"/>
        <w:jc w:val="center"/>
        <w:rPr>
          <w:rFonts w:eastAsia="Times"/>
          <w:b/>
          <w:bCs/>
          <w:color w:val="000000"/>
          <w:u w:val="single"/>
        </w:rPr>
      </w:pPr>
      <w:r w:rsidRPr="001B7F77">
        <w:rPr>
          <w:rFonts w:eastAsia="Times"/>
          <w:b/>
          <w:bCs/>
          <w:color w:val="000000"/>
          <w:u w:val="single"/>
        </w:rPr>
        <w:t>TABLE D301</w:t>
      </w:r>
    </w:p>
    <w:p w14:paraId="2567533D" w14:textId="77777777" w:rsidR="001B7F77" w:rsidRPr="001B7F77" w:rsidRDefault="001B7F77" w:rsidP="00FD2721">
      <w:pPr>
        <w:pBdr>
          <w:top w:val="nil"/>
          <w:left w:val="nil"/>
          <w:bottom w:val="nil"/>
          <w:right w:val="nil"/>
          <w:between w:val="nil"/>
        </w:pBdr>
        <w:suppressAutoHyphens/>
        <w:spacing w:before="120"/>
        <w:jc w:val="center"/>
        <w:rPr>
          <w:rFonts w:eastAsia="Times"/>
          <w:b/>
          <w:bCs/>
          <w:color w:val="000000"/>
          <w:u w:val="single"/>
        </w:rPr>
      </w:pPr>
      <w:r w:rsidRPr="001B7F77">
        <w:rPr>
          <w:rFonts w:eastAsia="Times"/>
          <w:b/>
          <w:bCs/>
          <w:color w:val="000000"/>
          <w:u w:val="single"/>
        </w:rPr>
        <w:t>APPLICABILITY BY CLASSIFICATION</w:t>
      </w:r>
    </w:p>
    <w:tbl>
      <w:tblPr>
        <w:tblStyle w:val="2"/>
        <w:tblW w:w="7170" w:type="dxa"/>
        <w:jc w:val="center"/>
        <w:tblBorders>
          <w:top w:val="single" w:sz="12" w:space="0" w:color="008000"/>
          <w:left w:val="single" w:sz="6" w:space="0" w:color="008000"/>
          <w:bottom w:val="single" w:sz="12" w:space="0" w:color="008000"/>
          <w:right w:val="single" w:sz="6" w:space="0" w:color="008000"/>
          <w:insideH w:val="single" w:sz="6" w:space="0" w:color="000000"/>
          <w:insideV w:val="single" w:sz="6" w:space="0" w:color="000000"/>
        </w:tblBorders>
        <w:tblLayout w:type="fixed"/>
        <w:tblLook w:val="0400" w:firstRow="0" w:lastRow="0" w:firstColumn="0" w:lastColumn="0" w:noHBand="0" w:noVBand="1"/>
      </w:tblPr>
      <w:tblGrid>
        <w:gridCol w:w="4920"/>
        <w:gridCol w:w="2250"/>
      </w:tblGrid>
      <w:tr w:rsidR="001B7F77" w:rsidRPr="001B7F77" w14:paraId="6B05B385" w14:textId="77777777" w:rsidTr="006655A1">
        <w:trPr>
          <w:jc w:val="center"/>
        </w:trPr>
        <w:tc>
          <w:tcPr>
            <w:tcW w:w="4920" w:type="dxa"/>
            <w:tcBorders>
              <w:top w:val="single" w:sz="12" w:space="0" w:color="008000"/>
              <w:left w:val="single" w:sz="6" w:space="0" w:color="008000"/>
              <w:bottom w:val="single" w:sz="12" w:space="0" w:color="008000"/>
              <w:right w:val="single" w:sz="6" w:space="0" w:color="008000"/>
            </w:tcBorders>
            <w:shd w:val="clear" w:color="auto" w:fill="FFFFFF"/>
          </w:tcPr>
          <w:p w14:paraId="07F1162B" w14:textId="77777777" w:rsidR="001B7F77" w:rsidRPr="001B7F77" w:rsidRDefault="001B7F77" w:rsidP="00FD2721">
            <w:pPr>
              <w:pBdr>
                <w:top w:val="nil"/>
                <w:left w:val="nil"/>
                <w:bottom w:val="nil"/>
                <w:right w:val="nil"/>
                <w:between w:val="nil"/>
              </w:pBdr>
              <w:suppressAutoHyphens/>
              <w:spacing w:before="120"/>
              <w:jc w:val="left"/>
              <w:rPr>
                <w:rFonts w:eastAsia="Times"/>
                <w:b/>
                <w:u w:val="single"/>
              </w:rPr>
            </w:pPr>
            <w:r w:rsidRPr="001B7F77">
              <w:rPr>
                <w:rFonts w:eastAsia="Times"/>
                <w:b/>
                <w:u w:val="single"/>
              </w:rPr>
              <w:t>CLASSIFICATION:</w:t>
            </w:r>
          </w:p>
        </w:tc>
        <w:tc>
          <w:tcPr>
            <w:tcW w:w="2250" w:type="dxa"/>
            <w:tcBorders>
              <w:top w:val="single" w:sz="12" w:space="0" w:color="008000"/>
              <w:left w:val="single" w:sz="6" w:space="0" w:color="008000"/>
              <w:bottom w:val="single" w:sz="12" w:space="0" w:color="008000"/>
              <w:right w:val="single" w:sz="6" w:space="0" w:color="008000"/>
            </w:tcBorders>
            <w:shd w:val="clear" w:color="auto" w:fill="FFFFFF"/>
          </w:tcPr>
          <w:p w14:paraId="46EC1C47" w14:textId="77777777" w:rsidR="001B7F77" w:rsidRPr="001B7F77" w:rsidRDefault="001B7F77" w:rsidP="00FD2721">
            <w:pPr>
              <w:pBdr>
                <w:top w:val="nil"/>
                <w:left w:val="nil"/>
                <w:bottom w:val="nil"/>
                <w:right w:val="nil"/>
                <w:between w:val="nil"/>
              </w:pBdr>
              <w:suppressAutoHyphens/>
              <w:spacing w:before="120"/>
              <w:jc w:val="left"/>
              <w:rPr>
                <w:rFonts w:eastAsia="Times"/>
                <w:b/>
                <w:u w:val="single"/>
              </w:rPr>
            </w:pPr>
            <w:r w:rsidRPr="001B7F77">
              <w:rPr>
                <w:rFonts w:eastAsia="Times"/>
                <w:b/>
                <w:u w:val="single"/>
              </w:rPr>
              <w:t>CHAPTER OF THIS APPENDIX:</w:t>
            </w:r>
          </w:p>
        </w:tc>
      </w:tr>
      <w:tr w:rsidR="001B7F77" w:rsidRPr="001B7F77" w14:paraId="75B53645" w14:textId="77777777" w:rsidTr="006655A1">
        <w:trPr>
          <w:jc w:val="center"/>
        </w:trPr>
        <w:tc>
          <w:tcPr>
            <w:tcW w:w="4920" w:type="dxa"/>
            <w:shd w:val="clear" w:color="auto" w:fill="FFFFFF"/>
          </w:tcPr>
          <w:p w14:paraId="54C4EC74" w14:textId="77777777" w:rsidR="001B7F77" w:rsidRPr="001B7F77" w:rsidRDefault="001B7F77" w:rsidP="00FD2721">
            <w:pPr>
              <w:pBdr>
                <w:top w:val="nil"/>
                <w:left w:val="nil"/>
                <w:bottom w:val="nil"/>
                <w:right w:val="nil"/>
                <w:between w:val="nil"/>
              </w:pBdr>
              <w:suppressAutoHyphens/>
              <w:spacing w:before="120"/>
              <w:jc w:val="left"/>
              <w:rPr>
                <w:rFonts w:eastAsia="Times"/>
                <w:u w:val="single"/>
              </w:rPr>
            </w:pPr>
            <w:r w:rsidRPr="001B7F77">
              <w:rPr>
                <w:rFonts w:eastAsia="Times"/>
                <w:u w:val="single"/>
              </w:rPr>
              <w:t xml:space="preserve">HAEA (1929-1968), HAEB (1929-1968) – Fireproof </w:t>
            </w:r>
          </w:p>
        </w:tc>
        <w:tc>
          <w:tcPr>
            <w:tcW w:w="2250" w:type="dxa"/>
            <w:shd w:val="clear" w:color="auto" w:fill="FFFFFF"/>
          </w:tcPr>
          <w:p w14:paraId="21AFF0CA" w14:textId="77777777" w:rsidR="001B7F77" w:rsidRPr="001B7F77" w:rsidRDefault="001B7F77" w:rsidP="00FD2721">
            <w:pPr>
              <w:pBdr>
                <w:top w:val="nil"/>
                <w:left w:val="nil"/>
                <w:bottom w:val="nil"/>
                <w:right w:val="nil"/>
                <w:between w:val="nil"/>
              </w:pBdr>
              <w:suppressAutoHyphens/>
              <w:spacing w:before="120"/>
              <w:jc w:val="left"/>
              <w:rPr>
                <w:rFonts w:eastAsia="Times"/>
                <w:u w:val="single"/>
              </w:rPr>
            </w:pPr>
            <w:r w:rsidRPr="001B7F77">
              <w:rPr>
                <w:rFonts w:eastAsia="Times"/>
                <w:u w:val="single"/>
              </w:rPr>
              <w:t>Chapters D3, D4</w:t>
            </w:r>
          </w:p>
        </w:tc>
      </w:tr>
      <w:tr w:rsidR="001B7F77" w:rsidRPr="001B7F77" w14:paraId="7655DC0F" w14:textId="77777777" w:rsidTr="006655A1">
        <w:trPr>
          <w:jc w:val="center"/>
        </w:trPr>
        <w:tc>
          <w:tcPr>
            <w:tcW w:w="4920" w:type="dxa"/>
            <w:shd w:val="clear" w:color="auto" w:fill="FFFFFF"/>
          </w:tcPr>
          <w:p w14:paraId="43EFDA72" w14:textId="77777777" w:rsidR="001B7F77" w:rsidRPr="001B7F77" w:rsidRDefault="001B7F77" w:rsidP="00FD2721">
            <w:pPr>
              <w:pBdr>
                <w:top w:val="nil"/>
                <w:left w:val="nil"/>
                <w:bottom w:val="nil"/>
                <w:right w:val="nil"/>
                <w:between w:val="nil"/>
              </w:pBdr>
              <w:suppressAutoHyphens/>
              <w:spacing w:before="120"/>
              <w:jc w:val="left"/>
              <w:rPr>
                <w:rFonts w:eastAsia="Times"/>
                <w:u w:val="single"/>
              </w:rPr>
            </w:pPr>
            <w:r w:rsidRPr="001B7F77">
              <w:rPr>
                <w:rFonts w:eastAsia="Times"/>
                <w:u w:val="single"/>
              </w:rPr>
              <w:t>HAEA (1929-1968), HAEB (1929-1968) – Nonfireproof</w:t>
            </w:r>
          </w:p>
        </w:tc>
        <w:tc>
          <w:tcPr>
            <w:tcW w:w="2250" w:type="dxa"/>
            <w:shd w:val="clear" w:color="auto" w:fill="FFFFFF"/>
          </w:tcPr>
          <w:p w14:paraId="639C181C" w14:textId="77777777" w:rsidR="001B7F77" w:rsidRPr="001B7F77" w:rsidRDefault="001B7F77" w:rsidP="00FD2721">
            <w:pPr>
              <w:pBdr>
                <w:top w:val="nil"/>
                <w:left w:val="nil"/>
                <w:bottom w:val="nil"/>
                <w:right w:val="nil"/>
                <w:between w:val="nil"/>
              </w:pBdr>
              <w:suppressAutoHyphens/>
              <w:spacing w:before="120"/>
              <w:jc w:val="left"/>
              <w:rPr>
                <w:rFonts w:eastAsia="Times"/>
                <w:u w:val="single"/>
              </w:rPr>
            </w:pPr>
            <w:r w:rsidRPr="001B7F77">
              <w:rPr>
                <w:rFonts w:eastAsia="Times"/>
                <w:u w:val="single"/>
              </w:rPr>
              <w:t>Chapters D3, D5</w:t>
            </w:r>
          </w:p>
        </w:tc>
      </w:tr>
      <w:tr w:rsidR="001B7F77" w:rsidRPr="001B7F77" w14:paraId="7C28D89D" w14:textId="77777777" w:rsidTr="006655A1">
        <w:trPr>
          <w:jc w:val="center"/>
        </w:trPr>
        <w:tc>
          <w:tcPr>
            <w:tcW w:w="4920" w:type="dxa"/>
            <w:shd w:val="clear" w:color="auto" w:fill="FFFFFF"/>
          </w:tcPr>
          <w:p w14:paraId="56E82F3F" w14:textId="77777777" w:rsidR="001B7F77" w:rsidRPr="001B7F77" w:rsidRDefault="001B7F77" w:rsidP="00FD2721">
            <w:pPr>
              <w:pBdr>
                <w:top w:val="nil"/>
                <w:left w:val="nil"/>
                <w:bottom w:val="nil"/>
                <w:right w:val="nil"/>
                <w:between w:val="nil"/>
              </w:pBdr>
              <w:suppressAutoHyphens/>
              <w:spacing w:before="120"/>
              <w:jc w:val="left"/>
              <w:rPr>
                <w:rFonts w:eastAsia="Times"/>
                <w:u w:val="single"/>
              </w:rPr>
            </w:pPr>
            <w:r w:rsidRPr="001B7F77">
              <w:rPr>
                <w:rFonts w:eastAsia="Times"/>
                <w:u w:val="single"/>
              </w:rPr>
              <w:t>HAEA (1968-2008), HAEB (1968-2008)</w:t>
            </w:r>
          </w:p>
        </w:tc>
        <w:tc>
          <w:tcPr>
            <w:tcW w:w="2250" w:type="dxa"/>
            <w:shd w:val="clear" w:color="auto" w:fill="FFFFFF"/>
          </w:tcPr>
          <w:p w14:paraId="24697136" w14:textId="77777777" w:rsidR="001B7F77" w:rsidRPr="001B7F77" w:rsidRDefault="001B7F77" w:rsidP="00FD2721">
            <w:pPr>
              <w:pBdr>
                <w:top w:val="nil"/>
                <w:left w:val="nil"/>
                <w:bottom w:val="nil"/>
                <w:right w:val="nil"/>
                <w:between w:val="nil"/>
              </w:pBdr>
              <w:suppressAutoHyphens/>
              <w:spacing w:before="120"/>
              <w:jc w:val="left"/>
              <w:rPr>
                <w:rFonts w:eastAsia="Times"/>
                <w:u w:val="single"/>
              </w:rPr>
            </w:pPr>
            <w:r w:rsidRPr="001B7F77">
              <w:rPr>
                <w:rFonts w:eastAsia="Times"/>
                <w:u w:val="single"/>
              </w:rPr>
              <w:t>Chapter D3</w:t>
            </w:r>
          </w:p>
        </w:tc>
      </w:tr>
      <w:tr w:rsidR="001B7F77" w:rsidRPr="001B7F77" w14:paraId="7EAD455B" w14:textId="77777777" w:rsidTr="006655A1">
        <w:trPr>
          <w:jc w:val="center"/>
        </w:trPr>
        <w:tc>
          <w:tcPr>
            <w:tcW w:w="4920" w:type="dxa"/>
            <w:shd w:val="clear" w:color="auto" w:fill="FFFFFF"/>
          </w:tcPr>
          <w:p w14:paraId="460B017C" w14:textId="77777777" w:rsidR="001B7F77" w:rsidRPr="001B7F77" w:rsidRDefault="001B7F77" w:rsidP="00FD2721">
            <w:pPr>
              <w:pBdr>
                <w:top w:val="nil"/>
                <w:left w:val="nil"/>
                <w:bottom w:val="nil"/>
                <w:right w:val="nil"/>
                <w:between w:val="nil"/>
              </w:pBdr>
              <w:suppressAutoHyphens/>
              <w:spacing w:before="120"/>
              <w:jc w:val="left"/>
              <w:rPr>
                <w:rFonts w:eastAsia="Times"/>
                <w:u w:val="single"/>
              </w:rPr>
            </w:pPr>
            <w:r w:rsidRPr="001B7F77">
              <w:rPr>
                <w:rFonts w:eastAsia="Times"/>
                <w:u w:val="single"/>
              </w:rPr>
              <w:t xml:space="preserve">HAEA (2008+), HAEB (2008+) </w:t>
            </w:r>
          </w:p>
        </w:tc>
        <w:tc>
          <w:tcPr>
            <w:tcW w:w="2250" w:type="dxa"/>
            <w:shd w:val="clear" w:color="auto" w:fill="FFFFFF"/>
          </w:tcPr>
          <w:p w14:paraId="2F44D507" w14:textId="77777777" w:rsidR="001B7F77" w:rsidRPr="001B7F77" w:rsidRDefault="001B7F77" w:rsidP="00FD2721">
            <w:pPr>
              <w:pBdr>
                <w:top w:val="nil"/>
                <w:left w:val="nil"/>
                <w:bottom w:val="nil"/>
                <w:right w:val="nil"/>
                <w:between w:val="nil"/>
              </w:pBdr>
              <w:suppressAutoHyphens/>
              <w:spacing w:before="120"/>
              <w:jc w:val="left"/>
              <w:rPr>
                <w:rFonts w:eastAsia="Times"/>
                <w:u w:val="single"/>
              </w:rPr>
            </w:pPr>
            <w:r w:rsidRPr="001B7F77">
              <w:rPr>
                <w:rFonts w:eastAsia="Times"/>
                <w:u w:val="single"/>
              </w:rPr>
              <w:t>Chapter D3</w:t>
            </w:r>
          </w:p>
        </w:tc>
      </w:tr>
      <w:tr w:rsidR="001B7F77" w:rsidRPr="001B7F77" w14:paraId="44109AE9" w14:textId="77777777" w:rsidTr="006655A1">
        <w:trPr>
          <w:jc w:val="center"/>
        </w:trPr>
        <w:tc>
          <w:tcPr>
            <w:tcW w:w="4920" w:type="dxa"/>
            <w:shd w:val="clear" w:color="auto" w:fill="FFFFFF"/>
          </w:tcPr>
          <w:p w14:paraId="584AAFC4" w14:textId="77777777" w:rsidR="001B7F77" w:rsidRPr="001B7F77" w:rsidRDefault="001B7F77" w:rsidP="00FD2721">
            <w:pPr>
              <w:pBdr>
                <w:top w:val="nil"/>
                <w:left w:val="nil"/>
                <w:bottom w:val="nil"/>
                <w:right w:val="nil"/>
                <w:between w:val="nil"/>
              </w:pBdr>
              <w:suppressAutoHyphens/>
              <w:spacing w:before="120"/>
              <w:jc w:val="left"/>
              <w:rPr>
                <w:rFonts w:eastAsia="Times"/>
                <w:u w:val="single"/>
              </w:rPr>
            </w:pPr>
            <w:r w:rsidRPr="001B7F77">
              <w:rPr>
                <w:rFonts w:eastAsia="Times"/>
                <w:u w:val="single"/>
              </w:rPr>
              <w:t>HCA, HCB, HACA, HACB</w:t>
            </w:r>
          </w:p>
        </w:tc>
        <w:tc>
          <w:tcPr>
            <w:tcW w:w="2250" w:type="dxa"/>
            <w:shd w:val="clear" w:color="auto" w:fill="FFFFFF"/>
          </w:tcPr>
          <w:p w14:paraId="4445C7D9" w14:textId="77777777" w:rsidR="001B7F77" w:rsidRPr="001B7F77" w:rsidRDefault="001B7F77" w:rsidP="00FD2721">
            <w:pPr>
              <w:pBdr>
                <w:top w:val="nil"/>
                <w:left w:val="nil"/>
                <w:bottom w:val="nil"/>
                <w:right w:val="nil"/>
                <w:between w:val="nil"/>
              </w:pBdr>
              <w:suppressAutoHyphens/>
              <w:spacing w:before="120"/>
              <w:jc w:val="left"/>
              <w:rPr>
                <w:rFonts w:eastAsia="Times"/>
                <w:u w:val="single"/>
              </w:rPr>
            </w:pPr>
            <w:r w:rsidRPr="001B7F77">
              <w:rPr>
                <w:rFonts w:eastAsia="Times"/>
                <w:u w:val="single"/>
              </w:rPr>
              <w:t>Chapters D3, D6</w:t>
            </w:r>
          </w:p>
        </w:tc>
      </w:tr>
      <w:tr w:rsidR="001B7F77" w:rsidRPr="001B7F77" w14:paraId="0E193405" w14:textId="77777777" w:rsidTr="006655A1">
        <w:trPr>
          <w:jc w:val="center"/>
        </w:trPr>
        <w:tc>
          <w:tcPr>
            <w:tcW w:w="4920" w:type="dxa"/>
            <w:shd w:val="clear" w:color="auto" w:fill="FFFFFF"/>
          </w:tcPr>
          <w:p w14:paraId="4C13B6A2" w14:textId="77777777" w:rsidR="001B7F77" w:rsidRPr="001B7F77" w:rsidRDefault="001B7F77" w:rsidP="00FD2721">
            <w:pPr>
              <w:pBdr>
                <w:top w:val="nil"/>
                <w:left w:val="nil"/>
                <w:bottom w:val="nil"/>
                <w:right w:val="nil"/>
                <w:between w:val="nil"/>
              </w:pBdr>
              <w:suppressAutoHyphens/>
              <w:spacing w:before="120"/>
              <w:jc w:val="left"/>
              <w:rPr>
                <w:rFonts w:eastAsia="Times"/>
                <w:u w:val="single"/>
              </w:rPr>
            </w:pPr>
            <w:r w:rsidRPr="001B7F77">
              <w:rPr>
                <w:rFonts w:eastAsia="Times"/>
                <w:u w:val="single"/>
              </w:rPr>
              <w:t xml:space="preserve">EBC-CDA </w:t>
            </w:r>
          </w:p>
        </w:tc>
        <w:tc>
          <w:tcPr>
            <w:tcW w:w="2250" w:type="dxa"/>
            <w:shd w:val="clear" w:color="auto" w:fill="FFFFFF"/>
          </w:tcPr>
          <w:p w14:paraId="2B524476" w14:textId="77777777" w:rsidR="001B7F77" w:rsidRPr="001B7F77" w:rsidRDefault="001B7F77" w:rsidP="00FD2721">
            <w:pPr>
              <w:pBdr>
                <w:top w:val="nil"/>
                <w:left w:val="nil"/>
                <w:bottom w:val="nil"/>
                <w:right w:val="nil"/>
                <w:between w:val="nil"/>
              </w:pBdr>
              <w:suppressAutoHyphens/>
              <w:spacing w:before="120"/>
              <w:jc w:val="left"/>
              <w:rPr>
                <w:rFonts w:eastAsia="Times"/>
                <w:u w:val="single"/>
              </w:rPr>
            </w:pPr>
            <w:r w:rsidRPr="001B7F77">
              <w:rPr>
                <w:rFonts w:eastAsia="Times"/>
                <w:u w:val="single"/>
              </w:rPr>
              <w:t>Chapters D3, D6</w:t>
            </w:r>
          </w:p>
        </w:tc>
      </w:tr>
      <w:tr w:rsidR="001B7F77" w:rsidRPr="001B7F77" w14:paraId="5AB37BB0" w14:textId="77777777" w:rsidTr="006655A1">
        <w:trPr>
          <w:jc w:val="center"/>
        </w:trPr>
        <w:tc>
          <w:tcPr>
            <w:tcW w:w="4920" w:type="dxa"/>
            <w:shd w:val="clear" w:color="auto" w:fill="FFFFFF"/>
          </w:tcPr>
          <w:p w14:paraId="77ED4C6D" w14:textId="77777777" w:rsidR="001B7F77" w:rsidRPr="001B7F77" w:rsidRDefault="001B7F77" w:rsidP="00FD2721">
            <w:pPr>
              <w:pBdr>
                <w:top w:val="nil"/>
                <w:left w:val="nil"/>
                <w:bottom w:val="nil"/>
                <w:right w:val="nil"/>
                <w:between w:val="nil"/>
              </w:pBdr>
              <w:suppressAutoHyphens/>
              <w:spacing w:before="120"/>
              <w:jc w:val="left"/>
              <w:rPr>
                <w:rFonts w:eastAsia="Times"/>
                <w:u w:val="single"/>
              </w:rPr>
            </w:pPr>
            <w:r w:rsidRPr="001B7F77">
              <w:rPr>
                <w:rFonts w:eastAsia="Times"/>
                <w:u w:val="single"/>
              </w:rPr>
              <w:t>OL, OLSR, COL, NL, NLSR, CNL</w:t>
            </w:r>
          </w:p>
        </w:tc>
        <w:tc>
          <w:tcPr>
            <w:tcW w:w="2250" w:type="dxa"/>
            <w:shd w:val="clear" w:color="auto" w:fill="FFFFFF"/>
          </w:tcPr>
          <w:p w14:paraId="6599DCAB" w14:textId="77777777" w:rsidR="001B7F77" w:rsidRPr="001B7F77" w:rsidRDefault="001B7F77" w:rsidP="00FD2721">
            <w:pPr>
              <w:pBdr>
                <w:top w:val="nil"/>
                <w:left w:val="nil"/>
                <w:bottom w:val="nil"/>
                <w:right w:val="nil"/>
                <w:between w:val="nil"/>
              </w:pBdr>
              <w:suppressAutoHyphens/>
              <w:spacing w:before="120"/>
              <w:jc w:val="left"/>
              <w:rPr>
                <w:rFonts w:eastAsia="Times"/>
                <w:u w:val="single"/>
              </w:rPr>
            </w:pPr>
            <w:r w:rsidRPr="001B7F77">
              <w:rPr>
                <w:rFonts w:eastAsia="Times"/>
                <w:u w:val="single"/>
              </w:rPr>
              <w:t>Chapters D3, D7</w:t>
            </w:r>
          </w:p>
        </w:tc>
      </w:tr>
      <w:tr w:rsidR="001B7F77" w:rsidRPr="001B7F77" w14:paraId="118B4436" w14:textId="77777777" w:rsidTr="006655A1">
        <w:trPr>
          <w:jc w:val="center"/>
        </w:trPr>
        <w:tc>
          <w:tcPr>
            <w:tcW w:w="4920" w:type="dxa"/>
            <w:shd w:val="clear" w:color="auto" w:fill="FFFFFF"/>
          </w:tcPr>
          <w:p w14:paraId="329CFA89" w14:textId="77777777" w:rsidR="001B7F77" w:rsidRPr="001B7F77" w:rsidRDefault="001B7F77" w:rsidP="00FD2721">
            <w:pPr>
              <w:pBdr>
                <w:top w:val="nil"/>
                <w:left w:val="nil"/>
                <w:bottom w:val="nil"/>
                <w:right w:val="nil"/>
                <w:between w:val="nil"/>
              </w:pBdr>
              <w:suppressAutoHyphens/>
              <w:spacing w:before="120"/>
              <w:jc w:val="left"/>
              <w:rPr>
                <w:rFonts w:eastAsia="Times"/>
                <w:u w:val="single"/>
              </w:rPr>
            </w:pPr>
            <w:r w:rsidRPr="001B7F77">
              <w:rPr>
                <w:rFonts w:eastAsia="Times"/>
                <w:u w:val="single"/>
              </w:rPr>
              <w:t>CAA, JAR</w:t>
            </w:r>
          </w:p>
        </w:tc>
        <w:tc>
          <w:tcPr>
            <w:tcW w:w="2250" w:type="dxa"/>
            <w:shd w:val="clear" w:color="auto" w:fill="FFFFFF"/>
          </w:tcPr>
          <w:p w14:paraId="4B442D50" w14:textId="77777777" w:rsidR="001B7F77" w:rsidRPr="001B7F77" w:rsidRDefault="001B7F77" w:rsidP="00FD2721">
            <w:pPr>
              <w:pBdr>
                <w:top w:val="nil"/>
                <w:left w:val="nil"/>
                <w:bottom w:val="nil"/>
                <w:right w:val="nil"/>
                <w:between w:val="nil"/>
              </w:pBdr>
              <w:suppressAutoHyphens/>
              <w:spacing w:before="120"/>
              <w:jc w:val="left"/>
              <w:rPr>
                <w:rFonts w:eastAsia="Times"/>
                <w:u w:val="single"/>
              </w:rPr>
            </w:pPr>
            <w:r w:rsidRPr="001B7F77">
              <w:rPr>
                <w:rFonts w:eastAsia="Times"/>
                <w:u w:val="single"/>
              </w:rPr>
              <w:t>Chapters D3</w:t>
            </w:r>
          </w:p>
        </w:tc>
      </w:tr>
      <w:tr w:rsidR="001B7F77" w:rsidRPr="001B7F77" w14:paraId="387F8A10" w14:textId="77777777" w:rsidTr="006655A1">
        <w:trPr>
          <w:jc w:val="center"/>
        </w:trPr>
        <w:tc>
          <w:tcPr>
            <w:tcW w:w="4920" w:type="dxa"/>
            <w:shd w:val="clear" w:color="auto" w:fill="FFFFFF"/>
          </w:tcPr>
          <w:p w14:paraId="26C47F8B" w14:textId="77777777" w:rsidR="001B7F77" w:rsidRPr="001B7F77" w:rsidRDefault="001B7F77" w:rsidP="00FD2721">
            <w:pPr>
              <w:pBdr>
                <w:top w:val="nil"/>
                <w:left w:val="nil"/>
                <w:bottom w:val="nil"/>
                <w:right w:val="nil"/>
                <w:between w:val="nil"/>
              </w:pBdr>
              <w:suppressAutoHyphens/>
              <w:spacing w:before="120"/>
              <w:jc w:val="left"/>
              <w:rPr>
                <w:rFonts w:eastAsia="Times"/>
                <w:u w:val="single"/>
              </w:rPr>
            </w:pPr>
            <w:r w:rsidRPr="001B7F77">
              <w:rPr>
                <w:rFonts w:eastAsia="Times"/>
                <w:u w:val="single"/>
              </w:rPr>
              <w:t>LH</w:t>
            </w:r>
          </w:p>
        </w:tc>
        <w:tc>
          <w:tcPr>
            <w:tcW w:w="2250" w:type="dxa"/>
            <w:shd w:val="clear" w:color="auto" w:fill="FFFFFF"/>
          </w:tcPr>
          <w:p w14:paraId="5B5DCC9D" w14:textId="77777777" w:rsidR="001B7F77" w:rsidRPr="001B7F77" w:rsidRDefault="001B7F77" w:rsidP="00FD2721">
            <w:pPr>
              <w:pBdr>
                <w:top w:val="nil"/>
                <w:left w:val="nil"/>
                <w:bottom w:val="nil"/>
                <w:right w:val="nil"/>
                <w:between w:val="nil"/>
              </w:pBdr>
              <w:suppressAutoHyphens/>
              <w:spacing w:before="120"/>
              <w:jc w:val="left"/>
              <w:rPr>
                <w:rFonts w:eastAsia="Times"/>
                <w:u w:val="single"/>
              </w:rPr>
            </w:pPr>
            <w:r w:rsidRPr="001B7F77">
              <w:rPr>
                <w:rFonts w:eastAsia="Times"/>
                <w:u w:val="single"/>
              </w:rPr>
              <w:t>Chapters D3, D9</w:t>
            </w:r>
          </w:p>
        </w:tc>
      </w:tr>
      <w:tr w:rsidR="001B7F77" w:rsidRPr="001B7F77" w14:paraId="3B50CFAA" w14:textId="77777777" w:rsidTr="006655A1">
        <w:trPr>
          <w:jc w:val="center"/>
        </w:trPr>
        <w:tc>
          <w:tcPr>
            <w:tcW w:w="4920" w:type="dxa"/>
            <w:shd w:val="clear" w:color="auto" w:fill="FFFFFF"/>
          </w:tcPr>
          <w:p w14:paraId="0FE0584A" w14:textId="77777777" w:rsidR="001B7F77" w:rsidRPr="001B7F77" w:rsidRDefault="001B7F77" w:rsidP="00FD2721">
            <w:pPr>
              <w:pBdr>
                <w:top w:val="nil"/>
                <w:left w:val="nil"/>
                <w:bottom w:val="nil"/>
                <w:right w:val="nil"/>
                <w:between w:val="nil"/>
              </w:pBdr>
              <w:suppressAutoHyphens/>
              <w:spacing w:before="120"/>
              <w:jc w:val="left"/>
              <w:rPr>
                <w:rFonts w:eastAsia="Times"/>
                <w:u w:val="single"/>
              </w:rPr>
            </w:pPr>
            <w:r w:rsidRPr="001B7F77">
              <w:rPr>
                <w:rFonts w:eastAsia="Times"/>
                <w:u w:val="single"/>
              </w:rPr>
              <w:t>HEXA, HEXB, HAEB (1929-1968)</w:t>
            </w:r>
          </w:p>
        </w:tc>
        <w:tc>
          <w:tcPr>
            <w:tcW w:w="2250" w:type="dxa"/>
            <w:shd w:val="clear" w:color="auto" w:fill="FFFFFF"/>
          </w:tcPr>
          <w:p w14:paraId="2CA7C582" w14:textId="77777777" w:rsidR="001B7F77" w:rsidRPr="001B7F77" w:rsidRDefault="001B7F77" w:rsidP="00FD2721">
            <w:pPr>
              <w:pBdr>
                <w:top w:val="nil"/>
                <w:left w:val="nil"/>
                <w:bottom w:val="nil"/>
                <w:right w:val="nil"/>
                <w:between w:val="nil"/>
              </w:pBdr>
              <w:suppressAutoHyphens/>
              <w:spacing w:before="120"/>
              <w:jc w:val="left"/>
              <w:rPr>
                <w:rFonts w:eastAsia="Times"/>
                <w:u w:val="single"/>
              </w:rPr>
            </w:pPr>
            <w:r w:rsidRPr="001B7F77">
              <w:rPr>
                <w:rFonts w:eastAsia="Times"/>
                <w:u w:val="single"/>
              </w:rPr>
              <w:t>Chapters D3, D10</w:t>
            </w:r>
          </w:p>
        </w:tc>
      </w:tr>
    </w:tbl>
    <w:p w14:paraId="263B7285" w14:textId="77777777" w:rsidR="001B7F77" w:rsidRPr="001B7F77" w:rsidRDefault="001B7F77" w:rsidP="00FD2721">
      <w:pPr>
        <w:pBdr>
          <w:top w:val="nil"/>
          <w:left w:val="nil"/>
          <w:bottom w:val="nil"/>
          <w:right w:val="nil"/>
          <w:between w:val="nil"/>
        </w:pBdr>
        <w:suppressAutoHyphens/>
        <w:spacing w:before="120"/>
        <w:rPr>
          <w:rFonts w:eastAsia="Times"/>
          <w:color w:val="000000"/>
          <w:u w:val="single"/>
        </w:rPr>
      </w:pPr>
      <w:r w:rsidRPr="001B7F77">
        <w:rPr>
          <w:rFonts w:eastAsia="Times"/>
          <w:b/>
          <w:color w:val="000000"/>
          <w:u w:val="single"/>
        </w:rPr>
        <w:t>D302 Conversions to a multiple dwelling (MDL 9(2)).</w:t>
      </w:r>
      <w:r w:rsidRPr="001B7F77">
        <w:rPr>
          <w:rFonts w:eastAsia="Times"/>
          <w:color w:val="000000"/>
          <w:u w:val="single"/>
        </w:rPr>
        <w:t xml:space="preserve"> A building, not a dwelling, converted to a multiple dwelling shall comply with the requirements of Sections D302.1 and D302.2, and shall be classified as HAEA (2008+) or HAEB (2008+).</w:t>
      </w:r>
    </w:p>
    <w:p w14:paraId="51A50FEA" w14:textId="77777777" w:rsidR="001B7F77" w:rsidRPr="001B7F77" w:rsidRDefault="001B7F77" w:rsidP="00FD2721">
      <w:pPr>
        <w:pBdr>
          <w:top w:val="nil"/>
          <w:left w:val="nil"/>
          <w:bottom w:val="nil"/>
          <w:right w:val="nil"/>
          <w:between w:val="nil"/>
        </w:pBdr>
        <w:suppressAutoHyphens/>
        <w:spacing w:before="120"/>
        <w:ind w:left="360"/>
        <w:rPr>
          <w:rFonts w:eastAsia="Times"/>
          <w:b/>
          <w:color w:val="000000"/>
          <w:u w:val="single"/>
        </w:rPr>
      </w:pPr>
      <w:r w:rsidRPr="001B7F77">
        <w:rPr>
          <w:rFonts w:eastAsia="Times"/>
          <w:b/>
          <w:color w:val="000000"/>
          <w:u w:val="single"/>
        </w:rPr>
        <w:t>Exceptions:</w:t>
      </w:r>
    </w:p>
    <w:p w14:paraId="4460554E" w14:textId="77777777" w:rsidR="001B7F77" w:rsidRPr="001B7F77" w:rsidRDefault="001B7F77" w:rsidP="00FD2721">
      <w:pPr>
        <w:pBdr>
          <w:top w:val="nil"/>
          <w:left w:val="nil"/>
          <w:bottom w:val="nil"/>
          <w:right w:val="nil"/>
          <w:between w:val="nil"/>
        </w:pBdr>
        <w:suppressAutoHyphens/>
        <w:spacing w:before="120"/>
        <w:ind w:left="1080" w:hanging="360"/>
        <w:rPr>
          <w:rFonts w:eastAsia="Times"/>
          <w:u w:val="single"/>
        </w:rPr>
      </w:pPr>
      <w:r w:rsidRPr="001B7F77">
        <w:rPr>
          <w:rFonts w:eastAsia="Times"/>
          <w:color w:val="000000"/>
          <w:u w:val="single"/>
        </w:rPr>
        <w:t>1.</w:t>
      </w:r>
      <w:r w:rsidRPr="001B7F77">
        <w:rPr>
          <w:rFonts w:eastAsia="Times"/>
          <w:color w:val="000000"/>
          <w:u w:val="single"/>
        </w:rPr>
        <w:tab/>
        <w:t>Conversions to CAAs and JARs to the extent otherwise provided for in MDL 277.</w:t>
      </w:r>
    </w:p>
    <w:p w14:paraId="3EB56E3F" w14:textId="77777777" w:rsidR="001B7F77" w:rsidRPr="001B7F77" w:rsidRDefault="001B7F77" w:rsidP="00FD2721">
      <w:pPr>
        <w:pBdr>
          <w:top w:val="nil"/>
          <w:left w:val="nil"/>
          <w:bottom w:val="nil"/>
          <w:right w:val="nil"/>
          <w:between w:val="nil"/>
        </w:pBdr>
        <w:suppressAutoHyphens/>
        <w:spacing w:before="120"/>
        <w:ind w:left="1080" w:hanging="360"/>
        <w:rPr>
          <w:rFonts w:eastAsia="Times"/>
          <w:u w:val="single"/>
        </w:rPr>
      </w:pPr>
      <w:r w:rsidRPr="001B7F77">
        <w:rPr>
          <w:rFonts w:eastAsia="Times"/>
          <w:color w:val="000000"/>
          <w:u w:val="single"/>
        </w:rPr>
        <w:t>2.</w:t>
      </w:r>
      <w:r w:rsidRPr="001B7F77">
        <w:rPr>
          <w:rFonts w:eastAsia="Times"/>
          <w:color w:val="000000"/>
          <w:u w:val="single"/>
        </w:rPr>
        <w:tab/>
        <w:t>Reconversions to OL or NL to the extent otherwise provided for in Section D701.1 (MDL 9(6)).</w:t>
      </w:r>
    </w:p>
    <w:p w14:paraId="515349B7" w14:textId="77777777" w:rsidR="001B7F77" w:rsidRPr="001B7F77" w:rsidRDefault="001B7F77" w:rsidP="00FD2721">
      <w:pPr>
        <w:pBdr>
          <w:top w:val="nil"/>
          <w:left w:val="nil"/>
          <w:bottom w:val="nil"/>
          <w:right w:val="nil"/>
          <w:between w:val="nil"/>
        </w:pBdr>
        <w:suppressAutoHyphens/>
        <w:spacing w:before="120"/>
        <w:ind w:left="360"/>
        <w:rPr>
          <w:rFonts w:eastAsia="Times"/>
          <w:iCs/>
          <w:color w:val="000000"/>
          <w:u w:val="single"/>
        </w:rPr>
      </w:pPr>
      <w:r w:rsidRPr="001B7F77">
        <w:rPr>
          <w:rFonts w:eastAsia="Times"/>
          <w:b/>
          <w:color w:val="000000"/>
          <w:u w:val="single"/>
        </w:rPr>
        <w:t>D302.1 Applicable provisions other than height, bulk, open spaces (MDL 9(2)).</w:t>
      </w:r>
      <w:r w:rsidRPr="001B7F77">
        <w:rPr>
          <w:rFonts w:eastAsia="Times"/>
          <w:color w:val="000000"/>
          <w:u w:val="single"/>
        </w:rPr>
        <w:t xml:space="preserve"> A building, not a dwelling, converted to a multiple dwelling, shall thereupon comply with the applicable provisions of this </w:t>
      </w:r>
      <w:r w:rsidRPr="001B7F77">
        <w:rPr>
          <w:rFonts w:eastAsia="Times"/>
          <w:iCs/>
          <w:color w:val="000000"/>
          <w:u w:val="single"/>
        </w:rPr>
        <w:t>Code, including Chapter D3.</w:t>
      </w:r>
    </w:p>
    <w:p w14:paraId="033FE1BA" w14:textId="77777777" w:rsidR="001B7F77" w:rsidRPr="001B7F77" w:rsidRDefault="001B7F77" w:rsidP="00FD2721">
      <w:pPr>
        <w:pBdr>
          <w:top w:val="nil"/>
          <w:left w:val="nil"/>
          <w:bottom w:val="nil"/>
          <w:right w:val="nil"/>
          <w:between w:val="nil"/>
        </w:pBdr>
        <w:suppressAutoHyphens/>
        <w:spacing w:before="120"/>
        <w:ind w:left="360"/>
        <w:rPr>
          <w:rFonts w:eastAsia="Times"/>
          <w:color w:val="000000"/>
          <w:szCs w:val="24"/>
          <w:u w:val="single"/>
        </w:rPr>
      </w:pPr>
      <w:r w:rsidRPr="001B7F77">
        <w:rPr>
          <w:rFonts w:eastAsia="Times"/>
          <w:b/>
          <w:color w:val="000000"/>
          <w:u w:val="single"/>
        </w:rPr>
        <w:t>D302.2 Height, bulk, open spaces (MDL 9(2), 26).</w:t>
      </w:r>
      <w:r w:rsidRPr="001B7F77">
        <w:rPr>
          <w:rFonts w:eastAsia="Times"/>
          <w:color w:val="000000"/>
          <w:u w:val="single"/>
        </w:rPr>
        <w:t xml:space="preserve"> A building, not a dwelling, converted to </w:t>
      </w:r>
      <w:r w:rsidRPr="001B7F77">
        <w:rPr>
          <w:rFonts w:eastAsia="Times"/>
          <w:color w:val="000000"/>
          <w:szCs w:val="24"/>
          <w:u w:val="single"/>
        </w:rPr>
        <w:t>a multiple dwelling shall thereupon comply with all applicable requirements for yards and courts under the New York City Zoning Resolution and shall thereupon comply with the floor area ratio provisions of Section 26(3) of the MDL. For the purposes of this section:</w:t>
      </w:r>
    </w:p>
    <w:p w14:paraId="44C353CB" w14:textId="77777777" w:rsidR="001B7F77" w:rsidRPr="001B7F77" w:rsidRDefault="001B7F77" w:rsidP="00FD2721">
      <w:pPr>
        <w:numPr>
          <w:ilvl w:val="0"/>
          <w:numId w:val="47"/>
        </w:numPr>
        <w:pBdr>
          <w:top w:val="nil"/>
          <w:left w:val="nil"/>
          <w:bottom w:val="nil"/>
          <w:right w:val="nil"/>
          <w:between w:val="nil"/>
        </w:pBdr>
        <w:suppressAutoHyphens/>
        <w:spacing w:before="120"/>
        <w:ind w:left="1080"/>
        <w:contextualSpacing/>
        <w:jc w:val="left"/>
        <w:rPr>
          <w:rFonts w:eastAsia="Times"/>
          <w:color w:val="000000"/>
          <w:szCs w:val="24"/>
          <w:u w:val="single"/>
        </w:rPr>
      </w:pPr>
      <w:r w:rsidRPr="001B7F77">
        <w:rPr>
          <w:rFonts w:eastAsia="Times"/>
          <w:color w:val="000000"/>
          <w:szCs w:val="24"/>
          <w:u w:val="single"/>
        </w:rPr>
        <w:t>Conversions that are allowed by the New York City Zoning Resolution to retain existing non-complying yards and courts shall, at a minimum, meet the light and air requirements of MDL 277.</w:t>
      </w:r>
    </w:p>
    <w:p w14:paraId="14726792" w14:textId="77777777" w:rsidR="001B7F77" w:rsidRPr="001B7F77" w:rsidRDefault="001B7F77" w:rsidP="00FD2721">
      <w:pPr>
        <w:numPr>
          <w:ilvl w:val="0"/>
          <w:numId w:val="47"/>
        </w:numPr>
        <w:pBdr>
          <w:top w:val="nil"/>
          <w:left w:val="nil"/>
          <w:bottom w:val="nil"/>
          <w:right w:val="nil"/>
          <w:between w:val="nil"/>
        </w:pBdr>
        <w:suppressAutoHyphens/>
        <w:spacing w:before="120"/>
        <w:ind w:left="1080"/>
        <w:contextualSpacing/>
        <w:jc w:val="left"/>
        <w:rPr>
          <w:rFonts w:eastAsia="Times"/>
          <w:color w:val="000000"/>
          <w:szCs w:val="24"/>
          <w:u w:val="single"/>
        </w:rPr>
      </w:pPr>
      <w:r w:rsidRPr="001B7F77">
        <w:rPr>
          <w:rFonts w:eastAsia="Times"/>
          <w:color w:val="000000"/>
          <w:szCs w:val="24"/>
          <w:u w:val="single"/>
        </w:rPr>
        <w:t xml:space="preserve">For buildings converted to multiple dwellings classified as commercial uses under the New York City Zoning Resolution, including but not limited to transient hotels as such term is defined in New York City Zoning Resolution, any courts with required windows opening thereon shall comply with Section D305.1. </w:t>
      </w:r>
    </w:p>
    <w:p w14:paraId="03FC07D6" w14:textId="77777777" w:rsidR="001B7F77" w:rsidRPr="001B7F77" w:rsidRDefault="001B7F77" w:rsidP="00FD2721">
      <w:pPr>
        <w:numPr>
          <w:ilvl w:val="0"/>
          <w:numId w:val="47"/>
        </w:numPr>
        <w:pBdr>
          <w:top w:val="nil"/>
          <w:left w:val="nil"/>
          <w:bottom w:val="nil"/>
          <w:right w:val="nil"/>
          <w:between w:val="nil"/>
        </w:pBdr>
        <w:suppressAutoHyphens/>
        <w:spacing w:before="120"/>
        <w:ind w:left="1080"/>
        <w:contextualSpacing/>
        <w:jc w:val="left"/>
        <w:rPr>
          <w:rFonts w:eastAsia="Times"/>
          <w:color w:val="000000"/>
          <w:szCs w:val="24"/>
          <w:u w:val="single"/>
        </w:rPr>
      </w:pPr>
      <w:r w:rsidRPr="001B7F77">
        <w:rPr>
          <w:rFonts w:eastAsia="Times"/>
          <w:color w:val="000000"/>
          <w:szCs w:val="24"/>
          <w:u w:val="single"/>
        </w:rPr>
        <w:t xml:space="preserve">Buildings granted a lawful variance, authorization or special permit modifying the requirements of the New York City Zoning Resolution with respect to yards and courts by the Board of Standards and Appeals or the City Planning Commission shall be deemed in compliance with this Section D302.2. </w:t>
      </w:r>
    </w:p>
    <w:p w14:paraId="76C54E44" w14:textId="77777777" w:rsidR="001B7F77" w:rsidRPr="001B7F77" w:rsidRDefault="001B7F77" w:rsidP="00FD2721">
      <w:pPr>
        <w:pBdr>
          <w:top w:val="nil"/>
          <w:left w:val="nil"/>
          <w:bottom w:val="nil"/>
          <w:right w:val="nil"/>
          <w:between w:val="nil"/>
        </w:pBdr>
        <w:suppressAutoHyphens/>
        <w:spacing w:before="120"/>
        <w:rPr>
          <w:rFonts w:eastAsia="Times"/>
          <w:color w:val="000000"/>
          <w:szCs w:val="24"/>
          <w:u w:val="single"/>
        </w:rPr>
      </w:pPr>
      <w:r w:rsidRPr="001B7F77">
        <w:rPr>
          <w:rFonts w:eastAsia="Times"/>
          <w:b/>
          <w:color w:val="000000"/>
          <w:szCs w:val="24"/>
          <w:u w:val="single"/>
        </w:rPr>
        <w:t>D303 Changes from one class or kind (MDL 9(3), 9(4)).</w:t>
      </w:r>
      <w:r w:rsidRPr="001B7F77">
        <w:rPr>
          <w:rFonts w:eastAsia="Times"/>
          <w:color w:val="000000"/>
          <w:szCs w:val="24"/>
          <w:u w:val="single"/>
        </w:rPr>
        <w:t xml:space="preserve"> A dwelling, of one class or kind, altered or converted to another class or kind, shall comply with the requirements of Section D303.1 and D303.2 and shall be classified as HAEA (2008+) or HAEB (2008+).</w:t>
      </w:r>
    </w:p>
    <w:p w14:paraId="0A588962" w14:textId="77777777" w:rsidR="001B7F77" w:rsidRPr="001B7F77" w:rsidRDefault="001B7F77" w:rsidP="00FD2721">
      <w:pPr>
        <w:pBdr>
          <w:top w:val="nil"/>
          <w:left w:val="nil"/>
          <w:bottom w:val="nil"/>
          <w:right w:val="nil"/>
          <w:between w:val="nil"/>
        </w:pBdr>
        <w:suppressAutoHyphens/>
        <w:spacing w:before="120"/>
        <w:ind w:left="360"/>
        <w:rPr>
          <w:rFonts w:eastAsia="Times"/>
          <w:b/>
          <w:color w:val="000000"/>
          <w:szCs w:val="24"/>
          <w:u w:val="single"/>
        </w:rPr>
      </w:pPr>
      <w:r w:rsidRPr="001B7F77">
        <w:rPr>
          <w:rFonts w:eastAsia="Times"/>
          <w:b/>
          <w:color w:val="000000"/>
          <w:szCs w:val="24"/>
          <w:u w:val="single"/>
        </w:rPr>
        <w:t>Exceptions:</w:t>
      </w:r>
    </w:p>
    <w:p w14:paraId="019B1FB1" w14:textId="77777777" w:rsidR="001B7F77" w:rsidRPr="001B7F77" w:rsidRDefault="001B7F77" w:rsidP="00FD2721">
      <w:pPr>
        <w:pBdr>
          <w:top w:val="nil"/>
          <w:left w:val="nil"/>
          <w:bottom w:val="nil"/>
          <w:right w:val="nil"/>
          <w:between w:val="nil"/>
        </w:pBdr>
        <w:suppressAutoHyphens/>
        <w:spacing w:before="120"/>
        <w:ind w:left="1080" w:hanging="360"/>
        <w:rPr>
          <w:rFonts w:eastAsia="Times"/>
          <w:szCs w:val="24"/>
          <w:u w:val="single"/>
        </w:rPr>
      </w:pPr>
      <w:r w:rsidRPr="001B7F77">
        <w:rPr>
          <w:rFonts w:eastAsia="Times"/>
          <w:color w:val="000000"/>
          <w:szCs w:val="24"/>
          <w:u w:val="single"/>
        </w:rPr>
        <w:t>1.</w:t>
      </w:r>
      <w:r w:rsidRPr="001B7F77">
        <w:rPr>
          <w:rFonts w:eastAsia="Times"/>
          <w:color w:val="000000"/>
          <w:szCs w:val="24"/>
          <w:u w:val="single"/>
        </w:rPr>
        <w:tab/>
        <w:t>The conversion from a 1- or 2-family dwelling to a converted dwelling to the extent otherwise provided for in Sections D603 or D604 (MDL 9(3)).</w:t>
      </w:r>
    </w:p>
    <w:p w14:paraId="371B676C" w14:textId="77777777" w:rsidR="001B7F77" w:rsidRPr="001B7F77" w:rsidRDefault="001B7F77" w:rsidP="00FD2721">
      <w:pPr>
        <w:pBdr>
          <w:top w:val="nil"/>
          <w:left w:val="nil"/>
          <w:bottom w:val="nil"/>
          <w:right w:val="nil"/>
          <w:between w:val="nil"/>
        </w:pBdr>
        <w:suppressAutoHyphens/>
        <w:spacing w:before="120"/>
        <w:ind w:left="1080" w:hanging="360"/>
        <w:rPr>
          <w:rFonts w:eastAsia="Times"/>
          <w:szCs w:val="24"/>
          <w:u w:val="single"/>
        </w:rPr>
      </w:pPr>
      <w:r w:rsidRPr="001B7F77">
        <w:rPr>
          <w:rFonts w:eastAsia="Times"/>
          <w:color w:val="000000"/>
          <w:szCs w:val="24"/>
          <w:u w:val="single"/>
        </w:rPr>
        <w:t>2.</w:t>
      </w:r>
      <w:r w:rsidRPr="001B7F77">
        <w:rPr>
          <w:rFonts w:eastAsia="Times"/>
          <w:color w:val="000000"/>
          <w:szCs w:val="24"/>
          <w:u w:val="single"/>
        </w:rPr>
        <w:tab/>
        <w:t>The change of a converted dwelling from Class B to Class A to the extent otherwise provided for in Chapter D6 (MDL 9(3)).</w:t>
      </w:r>
    </w:p>
    <w:p w14:paraId="315B74D3" w14:textId="77777777" w:rsidR="001B7F77" w:rsidRPr="001B7F77" w:rsidRDefault="001B7F77" w:rsidP="00FD2721">
      <w:pPr>
        <w:pBdr>
          <w:top w:val="nil"/>
          <w:left w:val="nil"/>
          <w:bottom w:val="nil"/>
          <w:right w:val="nil"/>
          <w:between w:val="nil"/>
        </w:pBdr>
        <w:suppressAutoHyphens/>
        <w:spacing w:before="120"/>
        <w:ind w:left="1080" w:hanging="360"/>
        <w:rPr>
          <w:rFonts w:eastAsia="Times"/>
          <w:szCs w:val="24"/>
          <w:u w:val="single"/>
        </w:rPr>
      </w:pPr>
      <w:r w:rsidRPr="001B7F77">
        <w:rPr>
          <w:rFonts w:eastAsia="Times"/>
          <w:color w:val="000000"/>
          <w:szCs w:val="24"/>
          <w:u w:val="single"/>
        </w:rPr>
        <w:t>3.</w:t>
      </w:r>
      <w:r w:rsidRPr="001B7F77">
        <w:rPr>
          <w:rFonts w:eastAsia="Times"/>
          <w:color w:val="000000"/>
          <w:szCs w:val="24"/>
          <w:u w:val="single"/>
        </w:rPr>
        <w:tab/>
        <w:t>The change of a tenement to single room occupancy to the extent otherwise provided for Sections D303.3 and D704 (MDL 9(8)).</w:t>
      </w:r>
    </w:p>
    <w:p w14:paraId="1C9D98BF" w14:textId="77777777" w:rsidR="001B7F77" w:rsidRPr="001B7F77" w:rsidRDefault="001B7F77" w:rsidP="00FD2721">
      <w:pPr>
        <w:pBdr>
          <w:top w:val="nil"/>
          <w:left w:val="nil"/>
          <w:bottom w:val="nil"/>
          <w:right w:val="nil"/>
          <w:between w:val="nil"/>
        </w:pBdr>
        <w:suppressAutoHyphens/>
        <w:spacing w:before="120"/>
        <w:ind w:left="1080" w:hanging="360"/>
        <w:rPr>
          <w:rFonts w:eastAsia="Times"/>
          <w:szCs w:val="24"/>
          <w:u w:val="single"/>
        </w:rPr>
      </w:pPr>
      <w:r w:rsidRPr="001B7F77">
        <w:rPr>
          <w:rFonts w:eastAsia="Times"/>
          <w:color w:val="000000"/>
          <w:szCs w:val="24"/>
          <w:u w:val="single"/>
        </w:rPr>
        <w:t>4.</w:t>
      </w:r>
      <w:r w:rsidRPr="001B7F77">
        <w:rPr>
          <w:rFonts w:eastAsia="Times"/>
          <w:color w:val="000000"/>
          <w:szCs w:val="24"/>
          <w:u w:val="single"/>
        </w:rPr>
        <w:tab/>
        <w:t>The reconversions to tenements to the extent otherwise provided for Section D701.1 (MDL 9(6)).</w:t>
      </w:r>
    </w:p>
    <w:p w14:paraId="64F9A5E9" w14:textId="77777777" w:rsidR="001B7F77" w:rsidRPr="001B7F77" w:rsidRDefault="001B7F77" w:rsidP="00FD2721">
      <w:pPr>
        <w:pBdr>
          <w:top w:val="nil"/>
          <w:left w:val="nil"/>
          <w:bottom w:val="nil"/>
          <w:right w:val="nil"/>
          <w:between w:val="nil"/>
        </w:pBdr>
        <w:suppressAutoHyphens/>
        <w:spacing w:before="120"/>
        <w:ind w:left="1080" w:hanging="360"/>
        <w:rPr>
          <w:rFonts w:eastAsia="Times"/>
          <w:szCs w:val="24"/>
          <w:u w:val="single"/>
        </w:rPr>
      </w:pPr>
      <w:r w:rsidRPr="001B7F77">
        <w:rPr>
          <w:rFonts w:eastAsia="Times"/>
          <w:color w:val="000000"/>
          <w:szCs w:val="24"/>
          <w:u w:val="single"/>
        </w:rPr>
        <w:t>5.</w:t>
      </w:r>
      <w:r w:rsidRPr="001B7F77">
        <w:rPr>
          <w:rFonts w:eastAsia="Times"/>
          <w:color w:val="000000"/>
          <w:szCs w:val="24"/>
          <w:u w:val="single"/>
        </w:rPr>
        <w:tab/>
        <w:t xml:space="preserve">The change from HEXB to a HEXA to the extent the application of Sections D303.1 and D303.2 would require changes to the egress systems, yards or courts, provided that the entire dwelling is of fireproof construction and provided the room sizes comply with the minimum requirements in the </w:t>
      </w:r>
      <w:r w:rsidRPr="001B7F77">
        <w:rPr>
          <w:rFonts w:eastAsia="Times"/>
          <w:i/>
          <w:iCs/>
          <w:color w:val="000000"/>
          <w:szCs w:val="24"/>
          <w:u w:val="single"/>
        </w:rPr>
        <w:t>New York City Building Code</w:t>
      </w:r>
      <w:r w:rsidRPr="001B7F77">
        <w:rPr>
          <w:rFonts w:eastAsia="Times"/>
          <w:color w:val="000000"/>
          <w:szCs w:val="24"/>
          <w:u w:val="single"/>
        </w:rPr>
        <w:t xml:space="preserve"> for dwelling units in a group R-2 occupancy (MDL 9(4)).</w:t>
      </w:r>
    </w:p>
    <w:p w14:paraId="585EC345" w14:textId="77777777" w:rsidR="001B7F77" w:rsidRPr="001B7F77" w:rsidRDefault="001B7F77" w:rsidP="00FD2721">
      <w:pPr>
        <w:pBdr>
          <w:top w:val="nil"/>
          <w:left w:val="nil"/>
          <w:bottom w:val="nil"/>
          <w:right w:val="nil"/>
          <w:between w:val="nil"/>
        </w:pBdr>
        <w:suppressAutoHyphens/>
        <w:spacing w:before="120"/>
        <w:ind w:left="360"/>
        <w:rPr>
          <w:rFonts w:eastAsia="Times"/>
          <w:color w:val="000000"/>
          <w:szCs w:val="24"/>
          <w:u w:val="single"/>
        </w:rPr>
      </w:pPr>
      <w:r w:rsidRPr="001B7F77">
        <w:rPr>
          <w:rFonts w:eastAsia="Times"/>
          <w:b/>
          <w:color w:val="000000"/>
          <w:szCs w:val="24"/>
          <w:u w:val="single"/>
        </w:rPr>
        <w:t>D303.1 Applicable provisions other than height, bulk, open spaces (MDL 9(3), 9(4), 9(6), 9(8)).</w:t>
      </w:r>
      <w:r w:rsidRPr="001B7F77">
        <w:rPr>
          <w:rFonts w:eastAsia="Times"/>
          <w:color w:val="000000"/>
          <w:szCs w:val="24"/>
          <w:u w:val="single"/>
        </w:rPr>
        <w:t xml:space="preserve"> A dwelling of one class or kind, altered or converted to another class or kind, shall thereupon comply with the applicable provisions of this code</w:t>
      </w:r>
      <w:r w:rsidRPr="001B7F77">
        <w:rPr>
          <w:rFonts w:eastAsia="Times"/>
          <w:iCs/>
          <w:color w:val="000000"/>
          <w:szCs w:val="24"/>
          <w:u w:val="single"/>
        </w:rPr>
        <w:t>, including Chapter D3.</w:t>
      </w:r>
    </w:p>
    <w:p w14:paraId="46760FEC" w14:textId="77777777" w:rsidR="001B7F77" w:rsidRPr="001B7F77" w:rsidRDefault="001B7F77" w:rsidP="00FD2721">
      <w:pPr>
        <w:pBdr>
          <w:top w:val="nil"/>
          <w:left w:val="nil"/>
          <w:bottom w:val="nil"/>
          <w:right w:val="nil"/>
          <w:between w:val="nil"/>
        </w:pBdr>
        <w:suppressAutoHyphens/>
        <w:spacing w:before="120"/>
        <w:ind w:left="360"/>
        <w:rPr>
          <w:rFonts w:eastAsia="Times"/>
          <w:color w:val="000000"/>
          <w:szCs w:val="24"/>
          <w:u w:val="single"/>
        </w:rPr>
      </w:pPr>
      <w:r w:rsidRPr="001B7F77">
        <w:rPr>
          <w:rFonts w:eastAsia="Times"/>
          <w:b/>
          <w:color w:val="000000"/>
          <w:szCs w:val="24"/>
          <w:u w:val="single"/>
        </w:rPr>
        <w:t>D303.2 Height, bulk, open spaces (MDL 9(3), 26).</w:t>
      </w:r>
      <w:r w:rsidRPr="001B7F77">
        <w:rPr>
          <w:rFonts w:eastAsia="Times"/>
          <w:color w:val="000000"/>
          <w:szCs w:val="24"/>
          <w:u w:val="single"/>
        </w:rPr>
        <w:t xml:space="preserve"> A dwelling of one class or kind, altered or converted to another class or kind, shall thereupon comply with all applicable requirements for yards and courts under the New York City Zoning Resolution and shall thereupon comply with the floor area ratio provisions of Section 26(3) of the MDL. For the purposes of this section:</w:t>
      </w:r>
    </w:p>
    <w:p w14:paraId="3A4DB31E" w14:textId="77777777" w:rsidR="001B7F77" w:rsidRPr="001B7F77" w:rsidRDefault="001B7F77" w:rsidP="00FD2721">
      <w:pPr>
        <w:numPr>
          <w:ilvl w:val="0"/>
          <w:numId w:val="48"/>
        </w:numPr>
        <w:pBdr>
          <w:top w:val="nil"/>
          <w:left w:val="nil"/>
          <w:bottom w:val="nil"/>
          <w:right w:val="nil"/>
          <w:between w:val="nil"/>
        </w:pBdr>
        <w:suppressAutoHyphens/>
        <w:spacing w:before="120"/>
        <w:ind w:left="1080"/>
        <w:contextualSpacing/>
        <w:jc w:val="left"/>
        <w:rPr>
          <w:rFonts w:eastAsia="Times"/>
          <w:color w:val="000000"/>
          <w:szCs w:val="24"/>
          <w:u w:val="single"/>
        </w:rPr>
      </w:pPr>
      <w:r w:rsidRPr="001B7F77">
        <w:rPr>
          <w:rFonts w:eastAsia="Times"/>
          <w:color w:val="000000"/>
          <w:szCs w:val="24"/>
          <w:u w:val="single"/>
        </w:rPr>
        <w:t>Alterations or conversions that are allowed by the New York City Zoning Resolution to retain existing non-complying yards and courts shall, at a minimum, meet the light and air requirements of MDL 277. Existing courts or yards constructed in accordance with MDL Article 7 shall not be reduced below the dimension prescribed in Chapter D7.</w:t>
      </w:r>
    </w:p>
    <w:p w14:paraId="51DD4C55" w14:textId="77777777" w:rsidR="001B7F77" w:rsidRPr="001B7F77" w:rsidRDefault="001B7F77" w:rsidP="00FD2721">
      <w:pPr>
        <w:numPr>
          <w:ilvl w:val="0"/>
          <w:numId w:val="48"/>
        </w:numPr>
        <w:pBdr>
          <w:top w:val="nil"/>
          <w:left w:val="nil"/>
          <w:bottom w:val="nil"/>
          <w:right w:val="nil"/>
          <w:between w:val="nil"/>
        </w:pBdr>
        <w:suppressAutoHyphens/>
        <w:spacing w:before="120"/>
        <w:ind w:left="1080"/>
        <w:contextualSpacing/>
        <w:jc w:val="left"/>
        <w:rPr>
          <w:rFonts w:eastAsia="Times"/>
          <w:color w:val="000000"/>
          <w:szCs w:val="24"/>
          <w:u w:val="single"/>
        </w:rPr>
      </w:pPr>
      <w:r w:rsidRPr="001B7F77">
        <w:rPr>
          <w:rFonts w:eastAsia="Times"/>
          <w:color w:val="000000"/>
          <w:szCs w:val="24"/>
          <w:u w:val="single"/>
        </w:rPr>
        <w:t xml:space="preserve">For buildings altered or converted to multiple dwellings classified as commercial uses under the New York City Zoning Resolution, including but not limited to transient hotels as such term is defined in New York City Zoning Resolution, any courts with required windows opening thereon shall comply with Section D305.1. </w:t>
      </w:r>
    </w:p>
    <w:p w14:paraId="31C628D4" w14:textId="77777777" w:rsidR="001B7F77" w:rsidRPr="001B7F77" w:rsidRDefault="001B7F77" w:rsidP="00FD2721">
      <w:pPr>
        <w:numPr>
          <w:ilvl w:val="0"/>
          <w:numId w:val="48"/>
        </w:numPr>
        <w:pBdr>
          <w:top w:val="nil"/>
          <w:left w:val="nil"/>
          <w:bottom w:val="nil"/>
          <w:right w:val="nil"/>
          <w:between w:val="nil"/>
        </w:pBdr>
        <w:suppressAutoHyphens/>
        <w:spacing w:before="120"/>
        <w:ind w:left="1080"/>
        <w:contextualSpacing/>
        <w:jc w:val="left"/>
        <w:rPr>
          <w:rFonts w:eastAsia="Times"/>
          <w:color w:val="000000"/>
          <w:szCs w:val="24"/>
          <w:u w:val="single"/>
        </w:rPr>
      </w:pPr>
      <w:r w:rsidRPr="001B7F77">
        <w:rPr>
          <w:rFonts w:eastAsia="Times"/>
          <w:color w:val="000000"/>
          <w:szCs w:val="24"/>
          <w:u w:val="single"/>
        </w:rPr>
        <w:t>Buildings granted a lawful variance, authorization or special permit modifying the requirements of the New York City Zoning Resolution with respect to yards and courts by the Board of Standards and Appeals or the City Planning Commission shall be deemed in compliance with this Section D303.2.</w:t>
      </w:r>
    </w:p>
    <w:p w14:paraId="1A191F97" w14:textId="77777777" w:rsidR="001B7F77" w:rsidRPr="001B7F77" w:rsidRDefault="001B7F77" w:rsidP="00FD2721">
      <w:pPr>
        <w:pBdr>
          <w:top w:val="nil"/>
          <w:left w:val="nil"/>
          <w:bottom w:val="nil"/>
          <w:right w:val="nil"/>
          <w:between w:val="nil"/>
        </w:pBdr>
        <w:suppressAutoHyphens/>
        <w:spacing w:before="120"/>
        <w:ind w:left="360"/>
        <w:rPr>
          <w:rFonts w:eastAsia="Times"/>
          <w:color w:val="000000"/>
          <w:szCs w:val="24"/>
          <w:u w:val="single"/>
        </w:rPr>
      </w:pPr>
      <w:r w:rsidRPr="001B7F77">
        <w:rPr>
          <w:rFonts w:eastAsia="Times"/>
          <w:b/>
          <w:color w:val="000000"/>
          <w:szCs w:val="24"/>
          <w:u w:val="single"/>
        </w:rPr>
        <w:t xml:space="preserve">D303.3 Conversion to single room occupancy (MDL 9(8)). </w:t>
      </w:r>
      <w:r w:rsidRPr="001B7F77">
        <w:rPr>
          <w:rFonts w:eastAsia="Times"/>
          <w:color w:val="000000"/>
          <w:szCs w:val="24"/>
          <w:u w:val="single"/>
        </w:rPr>
        <w:t>Any dwelling unit in any Class A multiple dwelling may be occupied for single room occupancy only if such dwelling complies with the provisions of section D704 and all other provisions of this code applicable to such dwelling.</w:t>
      </w:r>
    </w:p>
    <w:p w14:paraId="50DD9DC6" w14:textId="77777777" w:rsidR="001B7F77" w:rsidRPr="001B7F77" w:rsidRDefault="001B7F77" w:rsidP="00FD2721">
      <w:pPr>
        <w:pBdr>
          <w:top w:val="nil"/>
          <w:left w:val="nil"/>
          <w:bottom w:val="nil"/>
          <w:right w:val="nil"/>
          <w:between w:val="nil"/>
        </w:pBdr>
        <w:suppressAutoHyphens/>
        <w:spacing w:before="120"/>
        <w:ind w:left="360"/>
        <w:rPr>
          <w:rFonts w:eastAsia="Times"/>
          <w:color w:val="000000"/>
          <w:szCs w:val="24"/>
          <w:u w:val="single"/>
        </w:rPr>
      </w:pPr>
      <w:r w:rsidRPr="001B7F77">
        <w:rPr>
          <w:rFonts w:eastAsia="Times"/>
          <w:b/>
          <w:color w:val="000000"/>
          <w:szCs w:val="24"/>
          <w:u w:val="single"/>
        </w:rPr>
        <w:t>D303.4 Class A use in Class B multiple dwelling (MDL 9(7)).</w:t>
      </w:r>
      <w:r w:rsidRPr="001B7F77">
        <w:rPr>
          <w:rFonts w:eastAsia="Times"/>
          <w:color w:val="000000"/>
          <w:szCs w:val="24"/>
          <w:u w:val="single"/>
        </w:rPr>
        <w:t xml:space="preserve"> In any Class B multiple dwelling, except a rooming house or lodging house, any dwelling unit may be occupied as a dwelling unit in a Class A multiple dwelling, provided such dwelling unit has both lawful sanitary and cooking facilities for the sole use of the one family residing therein and complies with all the requirements for dwelling units in Class A multiple dwellings erected after April 18, 1929, including that such occupancy conforms to any applicable provisions of the New York City Zoning Resolution including location of uses within buildings and a new or amended certificate of occupancy is obtained where required by law. However, where such dwelling unit does not have both lawful sanitary and cooking facilities for the sole use of the one family residing therein, the creation thereby of any rooming unit must be authorized pursuant to Section 27-2077 of the Housing Maintenance Code. In any rooming house or lodging house, one dwelling unit may be occupied as a dwelling unit in a Class A multiple dwelling, provided such dwelling unit is occupied solely by the owner, janitor, superintendent or caretaker.</w:t>
      </w:r>
    </w:p>
    <w:p w14:paraId="60FA9E6D" w14:textId="77777777" w:rsidR="001B7F77" w:rsidRPr="001B7F77" w:rsidRDefault="001B7F77" w:rsidP="00FD2721">
      <w:pPr>
        <w:pBdr>
          <w:top w:val="nil"/>
          <w:left w:val="nil"/>
          <w:bottom w:val="nil"/>
          <w:right w:val="nil"/>
          <w:between w:val="nil"/>
        </w:pBdr>
        <w:suppressAutoHyphens/>
        <w:spacing w:before="120"/>
        <w:rPr>
          <w:rFonts w:eastAsia="Times"/>
          <w:color w:val="000000"/>
          <w:szCs w:val="24"/>
          <w:u w:val="single"/>
        </w:rPr>
      </w:pPr>
      <w:r w:rsidRPr="001B7F77">
        <w:rPr>
          <w:rFonts w:eastAsia="Times"/>
          <w:b/>
          <w:color w:val="000000"/>
          <w:szCs w:val="24"/>
          <w:u w:val="single"/>
        </w:rPr>
        <w:t>D304 Dwellings damaged or moved.</w:t>
      </w:r>
    </w:p>
    <w:p w14:paraId="099CB236" w14:textId="77777777" w:rsidR="001B7F77" w:rsidRPr="001B7F77" w:rsidRDefault="001B7F77" w:rsidP="00FD2721">
      <w:pPr>
        <w:pBdr>
          <w:top w:val="nil"/>
          <w:left w:val="nil"/>
          <w:bottom w:val="nil"/>
          <w:right w:val="nil"/>
          <w:between w:val="nil"/>
        </w:pBdr>
        <w:suppressAutoHyphens/>
        <w:spacing w:before="120"/>
        <w:ind w:left="360"/>
        <w:rPr>
          <w:rFonts w:eastAsia="Times"/>
          <w:color w:val="000000"/>
          <w:szCs w:val="24"/>
          <w:u w:val="single"/>
        </w:rPr>
      </w:pPr>
      <w:r w:rsidRPr="001B7F77">
        <w:rPr>
          <w:rFonts w:eastAsia="Times"/>
          <w:b/>
          <w:color w:val="000000"/>
          <w:szCs w:val="24"/>
          <w:u w:val="single"/>
        </w:rPr>
        <w:t>D304.1 Dwelling damaged by fire or other causes (MDL 11(1)).</w:t>
      </w:r>
      <w:r w:rsidRPr="001B7F77">
        <w:rPr>
          <w:rFonts w:eastAsia="Times"/>
          <w:color w:val="000000"/>
          <w:szCs w:val="24"/>
          <w:u w:val="single"/>
        </w:rPr>
        <w:t xml:space="preserve"> A multiple dwelling erected prior to April 19, 1929 that is damaged by fire or other cause to the extent of two-thirds or more of its value at the time of such damage exclusive of the value of the foundation, shall not be repaired or rebuilt except in compliance with the New York City Construction Codes as if hereafter erected.</w:t>
      </w:r>
    </w:p>
    <w:p w14:paraId="5B6D89B2"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D304.1.1 Effect on zoning resolution.</w:t>
      </w:r>
      <w:r w:rsidRPr="001B7F77">
        <w:rPr>
          <w:rFonts w:eastAsia="Times"/>
          <w:color w:val="000000"/>
          <w:szCs w:val="24"/>
          <w:u w:val="single"/>
        </w:rPr>
        <w:t xml:space="preserve"> The provisions of Section D304.1 shall not be construed to affect the status of any nonconforming use or non-complying bulk otherwise permitted to be retained pursuant to the New York City Zoning Resolution.</w:t>
      </w:r>
    </w:p>
    <w:p w14:paraId="144867D4" w14:textId="77777777" w:rsidR="001B7F77" w:rsidRPr="001B7F77" w:rsidRDefault="001B7F77" w:rsidP="00FD2721">
      <w:pPr>
        <w:pBdr>
          <w:top w:val="nil"/>
          <w:left w:val="nil"/>
          <w:bottom w:val="nil"/>
          <w:right w:val="nil"/>
          <w:between w:val="nil"/>
        </w:pBdr>
        <w:suppressAutoHyphens/>
        <w:spacing w:before="120"/>
        <w:ind w:left="360"/>
        <w:rPr>
          <w:rFonts w:eastAsia="Times"/>
          <w:color w:val="000000"/>
          <w:szCs w:val="24"/>
          <w:u w:val="single"/>
        </w:rPr>
      </w:pPr>
      <w:r w:rsidRPr="001B7F77">
        <w:rPr>
          <w:rFonts w:eastAsia="Times"/>
          <w:b/>
          <w:color w:val="000000"/>
          <w:szCs w:val="24"/>
          <w:u w:val="single"/>
        </w:rPr>
        <w:t xml:space="preserve">D304.2 Non-fireproof stair damaged by fire or other causes (MDL 11(2)). </w:t>
      </w:r>
      <w:r w:rsidRPr="001B7F77">
        <w:rPr>
          <w:rFonts w:eastAsia="Times"/>
          <w:color w:val="000000"/>
          <w:szCs w:val="24"/>
          <w:u w:val="single"/>
        </w:rPr>
        <w:t xml:space="preserve">A non-fireproof stair in any multiple dwelling that is damaged by fire or other cause to such extent that such stair or the first flight thereof above the entrance story is required to be rebuilt, such stair to the extent that it is required to be rebuilt shall be built of materials required of exit stairs for new construction pursuant to the </w:t>
      </w:r>
      <w:r w:rsidRPr="001B7F77">
        <w:rPr>
          <w:rFonts w:eastAsia="Times"/>
          <w:i/>
          <w:iCs/>
          <w:color w:val="000000"/>
          <w:szCs w:val="24"/>
          <w:u w:val="single"/>
        </w:rPr>
        <w:t>New York City Building Code</w:t>
      </w:r>
      <w:r w:rsidRPr="001B7F77">
        <w:rPr>
          <w:rFonts w:eastAsia="Times"/>
          <w:color w:val="000000"/>
          <w:szCs w:val="24"/>
          <w:u w:val="single"/>
        </w:rPr>
        <w:t>.</w:t>
      </w:r>
    </w:p>
    <w:p w14:paraId="38C3F4A7" w14:textId="77777777" w:rsidR="001B7F77" w:rsidRPr="001B7F77" w:rsidRDefault="001B7F77" w:rsidP="00FD2721">
      <w:pPr>
        <w:pBdr>
          <w:top w:val="nil"/>
          <w:left w:val="nil"/>
          <w:bottom w:val="nil"/>
          <w:right w:val="nil"/>
          <w:between w:val="nil"/>
        </w:pBdr>
        <w:suppressAutoHyphens/>
        <w:spacing w:before="120"/>
        <w:ind w:left="360"/>
        <w:rPr>
          <w:rFonts w:eastAsia="Times"/>
          <w:color w:val="000000"/>
          <w:szCs w:val="24"/>
          <w:u w:val="single"/>
        </w:rPr>
      </w:pPr>
      <w:r w:rsidRPr="001B7F77">
        <w:rPr>
          <w:rFonts w:eastAsia="Times"/>
          <w:b/>
          <w:color w:val="000000"/>
          <w:szCs w:val="24"/>
          <w:u w:val="single"/>
        </w:rPr>
        <w:t>D304.3 Dwelling moved (MDL 11(3)).</w:t>
      </w:r>
      <w:r w:rsidRPr="001B7F77">
        <w:rPr>
          <w:rFonts w:eastAsia="Times"/>
          <w:color w:val="000000"/>
          <w:szCs w:val="24"/>
          <w:u w:val="single"/>
        </w:rPr>
        <w:t xml:space="preserve"> If any dwelling erected prior to April 19, 1929, be moved from one tax lot to another, such dwelling shall thereupon be made to conform to all the provisions of this Appendix relative to light, ventilation, fire protection and egress of a dwelling erected after April 18, 1929, but no frame building of any kind whatsoever whenever erected shall be moved so as to be placed upon the same tax lot with any multiple dwelling, nor shall any multiple dwelling whenever erected be moved so as to be placed upon the same tax lot with any frame building.</w:t>
      </w:r>
    </w:p>
    <w:p w14:paraId="508D6CD4" w14:textId="77777777" w:rsidR="001B7F77" w:rsidRPr="001B7F77" w:rsidRDefault="001B7F77" w:rsidP="00FD2721">
      <w:pPr>
        <w:pBdr>
          <w:top w:val="nil"/>
          <w:left w:val="nil"/>
          <w:bottom w:val="nil"/>
          <w:right w:val="nil"/>
          <w:between w:val="nil"/>
        </w:pBdr>
        <w:suppressAutoHyphens/>
        <w:spacing w:before="120"/>
        <w:rPr>
          <w:rFonts w:eastAsia="Times"/>
          <w:b/>
          <w:color w:val="000000"/>
          <w:szCs w:val="24"/>
          <w:u w:val="single"/>
        </w:rPr>
      </w:pPr>
      <w:r w:rsidRPr="001B7F77">
        <w:rPr>
          <w:rFonts w:eastAsia="Times"/>
          <w:b/>
          <w:color w:val="000000"/>
          <w:szCs w:val="24"/>
          <w:u w:val="single"/>
        </w:rPr>
        <w:t>D305 Light and air (MDL 3, Title 1)</w:t>
      </w:r>
    </w:p>
    <w:p w14:paraId="5C94E9C4" w14:textId="77777777" w:rsidR="001B7F77" w:rsidRPr="001B7F77" w:rsidRDefault="001B7F77" w:rsidP="00FD2721">
      <w:pPr>
        <w:pBdr>
          <w:top w:val="nil"/>
          <w:left w:val="nil"/>
          <w:bottom w:val="nil"/>
          <w:right w:val="nil"/>
          <w:between w:val="nil"/>
        </w:pBdr>
        <w:suppressAutoHyphens/>
        <w:spacing w:before="120"/>
        <w:ind w:left="360"/>
        <w:rPr>
          <w:rFonts w:eastAsia="Times"/>
          <w:color w:val="000000"/>
          <w:szCs w:val="24"/>
          <w:u w:val="single"/>
        </w:rPr>
      </w:pPr>
      <w:r w:rsidRPr="001B7F77">
        <w:rPr>
          <w:rFonts w:eastAsia="Times"/>
          <w:b/>
          <w:color w:val="000000"/>
          <w:szCs w:val="24"/>
          <w:u w:val="single"/>
        </w:rPr>
        <w:t>D305.1 Commercial courts (MDL 26(7)).</w:t>
      </w:r>
      <w:r w:rsidRPr="001B7F77">
        <w:rPr>
          <w:rFonts w:eastAsia="Times"/>
          <w:color w:val="000000"/>
          <w:szCs w:val="24"/>
          <w:u w:val="single"/>
        </w:rPr>
        <w:t xml:space="preserve"> Except as otherwise provided in the New York City Zoning Resolution, courts for multiple dwellings classified as commercial uses under the Zoning Resolution, including but not limited to transient hotels as such term is defined in New York City Zoning Resolution, shall comply with Sections D305.1.1 and D305.1.2 for any court supplying required light and air to living rooms.</w:t>
      </w:r>
    </w:p>
    <w:p w14:paraId="57D8DB7E"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D305.1.1 Commercial inner courts (MDL 26(7)(a)).</w:t>
      </w:r>
      <w:r w:rsidRPr="001B7F77">
        <w:rPr>
          <w:rFonts w:eastAsia="Times"/>
          <w:color w:val="000000"/>
          <w:szCs w:val="24"/>
          <w:u w:val="single"/>
        </w:rPr>
        <w:t xml:space="preserve"> An inner court shall have minimum width of 4 inches (107 mm) per foot for each 1 foot (305 mm) of height of such court, but in no event less than 15 feet (4 572 mm) in width at any point. The area of such inner court shall be twice the square of the width of the court dimension based on the height of such court, but in no event less than 350 square feet (32.5 </w:t>
      </w:r>
      <w:bookmarkStart w:id="243" w:name="_Hlk57846483"/>
      <w:r w:rsidRPr="001B7F77">
        <w:rPr>
          <w:rFonts w:eastAsia="Times"/>
          <w:color w:val="000000"/>
          <w:szCs w:val="24"/>
          <w:u w:val="single"/>
        </w:rPr>
        <w:t>m</w:t>
      </w:r>
      <w:r w:rsidRPr="001B7F77">
        <w:rPr>
          <w:rFonts w:eastAsia="Times"/>
          <w:color w:val="000000"/>
          <w:szCs w:val="24"/>
          <w:u w:val="single"/>
          <w:vertAlign w:val="superscript"/>
        </w:rPr>
        <w:t>2</w:t>
      </w:r>
      <w:bookmarkEnd w:id="243"/>
      <w:r w:rsidRPr="001B7F77">
        <w:rPr>
          <w:rFonts w:eastAsia="Times"/>
          <w:color w:val="000000"/>
          <w:szCs w:val="24"/>
          <w:u w:val="single"/>
        </w:rPr>
        <w:t>) in area. The area of such court need not exceed 1,200 square feet (111.5 m</w:t>
      </w:r>
      <w:r w:rsidRPr="001B7F77">
        <w:rPr>
          <w:rFonts w:eastAsia="Times"/>
          <w:color w:val="000000"/>
          <w:szCs w:val="24"/>
          <w:u w:val="single"/>
          <w:vertAlign w:val="superscript"/>
        </w:rPr>
        <w:t>2</w:t>
      </w:r>
      <w:r w:rsidRPr="001B7F77">
        <w:rPr>
          <w:rFonts w:eastAsia="Times"/>
          <w:color w:val="000000"/>
          <w:szCs w:val="24"/>
          <w:u w:val="single"/>
        </w:rPr>
        <w:t>) provided that the minimum horizontal distance between any required window of a living room opening on an inner court shall not be less than 30 feet (9 144 mm) from any wall opposite such window. For a dwelling 3 stories or less in height, an inner court may have a minimum width of 3 inches (76 mm) for each 1 foot (305 mm) of height of such court, but in no event less than 10 feet (3 048 mm) in width at any point. The area of such court shall be twice the square of the required width of court dimension based on the height of such court but in no event less than 250 square feet (23 m</w:t>
      </w:r>
      <w:r w:rsidRPr="001B7F77">
        <w:rPr>
          <w:rFonts w:eastAsia="Times"/>
          <w:color w:val="000000"/>
          <w:szCs w:val="24"/>
          <w:u w:val="single"/>
          <w:vertAlign w:val="superscript"/>
        </w:rPr>
        <w:t>2</w:t>
      </w:r>
      <w:r w:rsidRPr="001B7F77">
        <w:rPr>
          <w:rFonts w:eastAsia="Times"/>
          <w:color w:val="000000"/>
          <w:szCs w:val="24"/>
          <w:u w:val="single"/>
        </w:rPr>
        <w:t>) in area. An air in-take of fireproof construction shall be provided at or near the lowest level of every inner court of dwellings exceeding 2 stories in height, and shall communicate directly with a street or yard. Such in-take shall have a vertical cross-sectional area of not less than 21 square feet (2 m</w:t>
      </w:r>
      <w:r w:rsidRPr="001B7F77">
        <w:rPr>
          <w:rFonts w:eastAsia="Times"/>
          <w:color w:val="000000"/>
          <w:szCs w:val="24"/>
          <w:u w:val="single"/>
          <w:vertAlign w:val="superscript"/>
        </w:rPr>
        <w:t>2</w:t>
      </w:r>
      <w:r w:rsidRPr="001B7F77">
        <w:rPr>
          <w:rFonts w:eastAsia="Times"/>
          <w:color w:val="000000"/>
          <w:szCs w:val="24"/>
          <w:u w:val="single"/>
        </w:rPr>
        <w:t>) and a minimum width of not less than 3 feet (914 mm) in its least dimension, and shall be open and unobstructed throughout, except that where the intake is not used as a passage or exit, gates or grilles which do not interfere with ventilation may be installed.</w:t>
      </w:r>
    </w:p>
    <w:p w14:paraId="35696211"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D305.1.2 Commercial outer courts (MDL 26(7)(b)).</w:t>
      </w:r>
      <w:r w:rsidRPr="001B7F77">
        <w:rPr>
          <w:rFonts w:eastAsia="Times"/>
          <w:color w:val="000000"/>
          <w:szCs w:val="24"/>
          <w:u w:val="single"/>
        </w:rPr>
        <w:t xml:space="preserve"> An outer court at any given height shall have a minimum width at least equal to twice the depth of such outer court if such outer court is less than 30 feet (9 144 mm) wide. Such outer court shall have a width at least equal to its depth if such court is 30 feet (9 144 mm) or more in width. An outer court need not exceed 60 feet (18 288 mm) in width. An outer court on a side lot line may begin at the level of the floor of the lowest story in which there is a living room opening therefrom. Any outer court not on a side lot line may begin at any level, the height of such court to be measured from the level at which such court begins.</w:t>
      </w:r>
    </w:p>
    <w:p w14:paraId="26E3F23B" w14:textId="77777777" w:rsidR="001B7F77" w:rsidRPr="001B7F77" w:rsidRDefault="001B7F77" w:rsidP="00FD2721">
      <w:pPr>
        <w:pBdr>
          <w:top w:val="nil"/>
          <w:left w:val="nil"/>
          <w:bottom w:val="nil"/>
          <w:right w:val="nil"/>
          <w:between w:val="nil"/>
        </w:pBdr>
        <w:suppressAutoHyphens/>
        <w:spacing w:before="120"/>
        <w:ind w:left="360"/>
        <w:rPr>
          <w:rFonts w:eastAsia="Times"/>
          <w:bCs/>
          <w:color w:val="000000"/>
          <w:szCs w:val="24"/>
          <w:u w:val="single"/>
        </w:rPr>
      </w:pPr>
      <w:r w:rsidRPr="001B7F77">
        <w:rPr>
          <w:rFonts w:eastAsia="Times"/>
          <w:b/>
          <w:color w:val="000000"/>
          <w:szCs w:val="24"/>
          <w:u w:val="single"/>
        </w:rPr>
        <w:t xml:space="preserve">D305.2 Conversions and changes of class or kind (MDL 9(2), 9(3)). </w:t>
      </w:r>
      <w:r w:rsidRPr="001B7F77">
        <w:rPr>
          <w:rFonts w:eastAsia="Times"/>
          <w:bCs/>
          <w:color w:val="000000"/>
          <w:szCs w:val="24"/>
          <w:u w:val="single"/>
        </w:rPr>
        <w:t xml:space="preserve">Conversions to a multiple dwelling subject to Section D302 and dwellings of one class or kind altered or converted to another class or kind subject to Section D303 shall comply with the Chapter 12 of the </w:t>
      </w:r>
      <w:r w:rsidRPr="001B7F77">
        <w:rPr>
          <w:rFonts w:eastAsia="Times"/>
          <w:bCs/>
          <w:i/>
          <w:iCs/>
          <w:color w:val="000000"/>
          <w:szCs w:val="24"/>
          <w:u w:val="single"/>
        </w:rPr>
        <w:t xml:space="preserve">New York City Building Code </w:t>
      </w:r>
      <w:r w:rsidRPr="001B7F77">
        <w:rPr>
          <w:rFonts w:eastAsia="Times"/>
          <w:bCs/>
          <w:color w:val="000000"/>
          <w:szCs w:val="24"/>
          <w:u w:val="single"/>
        </w:rPr>
        <w:t>relating to court walls for multiple dwellings, natural ventilation, natural light and interior space dimensions.</w:t>
      </w:r>
    </w:p>
    <w:p w14:paraId="11D082ED" w14:textId="77777777" w:rsidR="001B7F77" w:rsidRPr="001B7F77" w:rsidRDefault="001B7F77" w:rsidP="00FD2721">
      <w:pPr>
        <w:pBdr>
          <w:top w:val="nil"/>
          <w:left w:val="nil"/>
          <w:bottom w:val="nil"/>
          <w:right w:val="nil"/>
          <w:between w:val="nil"/>
        </w:pBdr>
        <w:suppressAutoHyphens/>
        <w:spacing w:before="120"/>
        <w:ind w:left="360"/>
        <w:rPr>
          <w:rFonts w:eastAsia="Times"/>
          <w:color w:val="000000"/>
          <w:szCs w:val="24"/>
          <w:u w:val="single"/>
        </w:rPr>
      </w:pPr>
      <w:r w:rsidRPr="001B7F77">
        <w:rPr>
          <w:rFonts w:eastAsia="Times"/>
          <w:b/>
          <w:color w:val="000000"/>
          <w:szCs w:val="24"/>
          <w:u w:val="single"/>
        </w:rPr>
        <w:t>D305.3 Department approval required for lighting and ventilation of rooms (MDL 30(5)).</w:t>
      </w:r>
      <w:r w:rsidRPr="001B7F77">
        <w:rPr>
          <w:rFonts w:eastAsia="Times"/>
          <w:color w:val="000000"/>
          <w:szCs w:val="24"/>
          <w:u w:val="single"/>
        </w:rPr>
        <w:t xml:space="preserve"> No multiple dwelling shall be so altered as to diminish the light or ventilation of any room or public hall or stairs in any way not approved by the department.</w:t>
      </w:r>
    </w:p>
    <w:p w14:paraId="073B6823"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 xml:space="preserve">D305.3.1 Alcoves (MDL 32). </w:t>
      </w:r>
      <w:r w:rsidRPr="001B7F77">
        <w:rPr>
          <w:rFonts w:eastAsia="Times"/>
          <w:color w:val="000000"/>
          <w:szCs w:val="24"/>
          <w:u w:val="single"/>
        </w:rPr>
        <w:t xml:space="preserve">Except for cubicles permitted in existing lodging houses, no part of any room shall be enclosed or subdivided at any time, wholly or in part, by a curtain, portiere, fixed or movable partition or other contrivance or device, unless each such enclosure or subdivision shall contain a separate window as required for a room by Chapter 12 of the </w:t>
      </w:r>
      <w:r w:rsidRPr="001B7F77">
        <w:rPr>
          <w:rFonts w:eastAsia="Times"/>
          <w:i/>
          <w:iCs/>
          <w:color w:val="000000"/>
          <w:szCs w:val="24"/>
          <w:u w:val="single"/>
        </w:rPr>
        <w:t>New York City Building Code</w:t>
      </w:r>
      <w:r w:rsidRPr="001B7F77">
        <w:rPr>
          <w:rFonts w:eastAsia="Times"/>
          <w:color w:val="000000"/>
          <w:szCs w:val="24"/>
          <w:u w:val="single"/>
        </w:rPr>
        <w:t xml:space="preserve"> and a floor space of at least seventy square feet.</w:t>
      </w:r>
    </w:p>
    <w:p w14:paraId="0D16B65F" w14:textId="77777777" w:rsidR="001B7F77" w:rsidRPr="001B7F77" w:rsidRDefault="001B7F77" w:rsidP="00FD2721">
      <w:pPr>
        <w:pBdr>
          <w:top w:val="nil"/>
          <w:left w:val="nil"/>
          <w:bottom w:val="nil"/>
          <w:right w:val="nil"/>
          <w:between w:val="nil"/>
        </w:pBdr>
        <w:suppressAutoHyphens/>
        <w:spacing w:before="120"/>
        <w:ind w:left="360"/>
        <w:rPr>
          <w:rFonts w:eastAsia="Times"/>
          <w:color w:val="000000"/>
          <w:szCs w:val="24"/>
          <w:u w:val="single"/>
        </w:rPr>
      </w:pPr>
      <w:bookmarkStart w:id="244" w:name="_Hlk167188711"/>
      <w:r w:rsidRPr="001B7F77">
        <w:rPr>
          <w:rFonts w:eastAsia="Times"/>
          <w:b/>
          <w:color w:val="000000"/>
          <w:szCs w:val="24"/>
          <w:u w:val="single"/>
        </w:rPr>
        <w:t xml:space="preserve">D305.4 Rooms in basements and cellars (MDL 34(6)). </w:t>
      </w:r>
    </w:p>
    <w:p w14:paraId="3B5F2212"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D305.4.1 New rooms in basements or cellars (MDL 34(6), 218(2)).</w:t>
      </w:r>
      <w:r w:rsidRPr="001B7F77">
        <w:rPr>
          <w:rFonts w:eastAsia="Times"/>
          <w:color w:val="000000"/>
          <w:szCs w:val="24"/>
          <w:u w:val="single"/>
        </w:rPr>
        <w:t xml:space="preserve"> Rooms created after </w:t>
      </w:r>
      <w:r w:rsidRPr="001B7F77">
        <w:rPr>
          <w:rFonts w:eastAsia="Times"/>
          <w:szCs w:val="24"/>
          <w:u w:val="single"/>
        </w:rPr>
        <w:t>the effective date of the local law that added this section</w:t>
      </w:r>
      <w:r w:rsidRPr="001B7F77" w:rsidDel="00A97B8D">
        <w:rPr>
          <w:rFonts w:eastAsia="Times"/>
          <w:color w:val="000000"/>
          <w:szCs w:val="24"/>
          <w:u w:val="single"/>
        </w:rPr>
        <w:t xml:space="preserve"> </w:t>
      </w:r>
      <w:r w:rsidRPr="001B7F77">
        <w:rPr>
          <w:rFonts w:eastAsia="Times"/>
          <w:color w:val="000000"/>
          <w:szCs w:val="24"/>
          <w:u w:val="single"/>
        </w:rPr>
        <w:t>in basements and cellars within dwelling units and, regardless of multiple dwelling classification, shall comply with all of the following requirements, and no other compliance paths in this code or in the MDL shall be applicable:</w:t>
      </w:r>
    </w:p>
    <w:bookmarkEnd w:id="244"/>
    <w:p w14:paraId="4BAAD1EC" w14:textId="77777777" w:rsidR="001B7F77" w:rsidRPr="001B7F77" w:rsidRDefault="001B7F77" w:rsidP="00FD2721">
      <w:pPr>
        <w:pBdr>
          <w:top w:val="nil"/>
          <w:left w:val="nil"/>
          <w:bottom w:val="nil"/>
          <w:right w:val="nil"/>
          <w:between w:val="nil"/>
        </w:pBdr>
        <w:suppressAutoHyphens/>
        <w:spacing w:before="120"/>
        <w:ind w:left="1440" w:hanging="360"/>
        <w:rPr>
          <w:rFonts w:eastAsia="Times"/>
          <w:szCs w:val="24"/>
          <w:u w:val="single"/>
        </w:rPr>
      </w:pPr>
      <w:r w:rsidRPr="001B7F77">
        <w:rPr>
          <w:rFonts w:eastAsia="Times"/>
          <w:color w:val="000000"/>
          <w:szCs w:val="24"/>
          <w:u w:val="single"/>
        </w:rPr>
        <w:t>1.</w:t>
      </w:r>
      <w:r w:rsidRPr="001B7F77">
        <w:rPr>
          <w:rFonts w:eastAsia="Times"/>
          <w:color w:val="000000"/>
          <w:szCs w:val="24"/>
          <w:u w:val="single"/>
        </w:rPr>
        <w:tab/>
        <w:t>Such dwelling unit has at least one half of its height and all of its window surfaces above every part of an "adequate adjacent space." Such "adequate adjacent space" shall be open to the sky, properly drained to the satisfaction of the department, and a continuous surface area outside the dwelling not less than 30 feet (9 144 mm) in its least dimension and abutting at same level, or directly below, every part of the exterior walls of such dwelling unit and of every other dwelling unit on the same floor. Such "adequate adjacent space" shall include only space which is located on the same zoning lot or plot as the dwelling or on a street or public place or space.</w:t>
      </w:r>
    </w:p>
    <w:p w14:paraId="73442C37" w14:textId="77777777" w:rsidR="001B7F77" w:rsidRPr="001B7F77" w:rsidRDefault="001B7F77" w:rsidP="00FD2721">
      <w:pPr>
        <w:pBdr>
          <w:top w:val="nil"/>
          <w:left w:val="nil"/>
          <w:bottom w:val="nil"/>
          <w:right w:val="nil"/>
          <w:between w:val="nil"/>
        </w:pBdr>
        <w:suppressAutoHyphens/>
        <w:spacing w:before="120"/>
        <w:ind w:left="1440" w:hanging="360"/>
        <w:rPr>
          <w:rFonts w:eastAsia="Times"/>
          <w:color w:val="000000"/>
          <w:szCs w:val="24"/>
          <w:u w:val="single"/>
        </w:rPr>
      </w:pPr>
      <w:r w:rsidRPr="001B7F77">
        <w:rPr>
          <w:rFonts w:eastAsia="Times"/>
          <w:color w:val="000000"/>
          <w:szCs w:val="24"/>
          <w:u w:val="single"/>
        </w:rPr>
        <w:t>2.</w:t>
      </w:r>
      <w:r w:rsidRPr="001B7F77">
        <w:rPr>
          <w:rFonts w:eastAsia="Times"/>
          <w:color w:val="000000"/>
          <w:szCs w:val="24"/>
          <w:u w:val="single"/>
        </w:rPr>
        <w:tab/>
        <w:t>Every living room of such dwelling unit is everywhere at least 8 feet (2 438 mm) high from the floor to the ceiling in dwellings erected after July 1, 1957, and 7 feet (2 134 mm) in dwellings erected prior thereto.</w:t>
      </w:r>
    </w:p>
    <w:p w14:paraId="19611FE3" w14:textId="77777777" w:rsidR="001B7F77" w:rsidRPr="001B7F77" w:rsidRDefault="001B7F77" w:rsidP="00FD2721">
      <w:pPr>
        <w:pBdr>
          <w:top w:val="nil"/>
          <w:left w:val="nil"/>
          <w:bottom w:val="nil"/>
          <w:right w:val="nil"/>
          <w:between w:val="nil"/>
        </w:pBdr>
        <w:suppressAutoHyphens/>
        <w:spacing w:before="120"/>
        <w:ind w:left="1440" w:hanging="360"/>
        <w:rPr>
          <w:rFonts w:eastAsia="Times"/>
          <w:szCs w:val="24"/>
          <w:u w:val="single"/>
        </w:rPr>
      </w:pPr>
      <w:r w:rsidRPr="001B7F77">
        <w:rPr>
          <w:rFonts w:eastAsia="Times"/>
          <w:color w:val="000000"/>
          <w:szCs w:val="24"/>
          <w:u w:val="single"/>
        </w:rPr>
        <w:t>3.</w:t>
      </w:r>
      <w:r w:rsidRPr="001B7F77">
        <w:rPr>
          <w:rFonts w:eastAsia="Times"/>
          <w:color w:val="000000"/>
          <w:szCs w:val="24"/>
          <w:u w:val="single"/>
        </w:rPr>
        <w:tab/>
        <w:t>All parts of the exterior walls of the dwelling which are below ground level and on the same floor as such dwelling unit or above such floor are dampproof to the satisfaction of the department and the floor of such dwelling unit is dampproof and waterproof.</w:t>
      </w:r>
    </w:p>
    <w:p w14:paraId="3E10FC24" w14:textId="77777777" w:rsidR="001B7F77" w:rsidRPr="001B7F77" w:rsidRDefault="001B7F77" w:rsidP="00FD2721">
      <w:pPr>
        <w:pBdr>
          <w:top w:val="nil"/>
          <w:left w:val="nil"/>
          <w:bottom w:val="nil"/>
          <w:right w:val="nil"/>
          <w:between w:val="nil"/>
        </w:pBdr>
        <w:suppressAutoHyphens/>
        <w:spacing w:before="120"/>
        <w:ind w:left="1440" w:hanging="360"/>
        <w:rPr>
          <w:rFonts w:eastAsia="Times"/>
          <w:szCs w:val="24"/>
          <w:u w:val="single"/>
        </w:rPr>
      </w:pPr>
      <w:r w:rsidRPr="001B7F77">
        <w:rPr>
          <w:rFonts w:eastAsia="Times"/>
          <w:color w:val="000000"/>
          <w:szCs w:val="24"/>
          <w:u w:val="single"/>
        </w:rPr>
        <w:t>4.</w:t>
      </w:r>
      <w:r w:rsidRPr="001B7F77">
        <w:rPr>
          <w:rFonts w:eastAsia="Times"/>
          <w:color w:val="000000"/>
          <w:szCs w:val="24"/>
          <w:u w:val="single"/>
        </w:rPr>
        <w:tab/>
        <w:t>The yard and every court of the dwelling containing such dwelling unit are adequately drained to the satisfaction of the department.</w:t>
      </w:r>
    </w:p>
    <w:p w14:paraId="2CA5BF28" w14:textId="77777777" w:rsidR="001B7F77" w:rsidRPr="001B7F77" w:rsidRDefault="001B7F77" w:rsidP="00FD2721">
      <w:pPr>
        <w:pBdr>
          <w:top w:val="nil"/>
          <w:left w:val="nil"/>
          <w:bottom w:val="nil"/>
          <w:right w:val="nil"/>
          <w:between w:val="nil"/>
        </w:pBdr>
        <w:suppressAutoHyphens/>
        <w:spacing w:before="120"/>
        <w:ind w:left="1440" w:hanging="360"/>
        <w:rPr>
          <w:rFonts w:eastAsia="Times"/>
          <w:color w:val="000000"/>
          <w:szCs w:val="24"/>
          <w:u w:val="single"/>
        </w:rPr>
      </w:pPr>
      <w:r w:rsidRPr="001B7F77">
        <w:rPr>
          <w:rFonts w:eastAsia="Times"/>
          <w:color w:val="000000"/>
          <w:szCs w:val="24"/>
          <w:u w:val="single"/>
        </w:rPr>
        <w:t>5.</w:t>
      </w:r>
      <w:r w:rsidRPr="001B7F77">
        <w:rPr>
          <w:rFonts w:eastAsia="Times"/>
          <w:color w:val="000000"/>
          <w:szCs w:val="24"/>
          <w:u w:val="single"/>
        </w:rPr>
        <w:tab/>
        <w:t>If any part of the dwelling unit is below the "adequate adjacent space" referred to in Item 1 of this section, all ceilings, walls and partitions of such dwelling unit including the studs are constructed of noncombustible materials, except that with respect to existing dwelling units, such existing ceilings, walls or partitions shall be permitted to remain either fire-retarded or sprinklered.</w:t>
      </w:r>
    </w:p>
    <w:p w14:paraId="6DA31F58" w14:textId="77777777" w:rsidR="001B7F77" w:rsidRPr="001B7F77" w:rsidRDefault="001B7F77" w:rsidP="00FD2721">
      <w:pPr>
        <w:pBdr>
          <w:top w:val="nil"/>
          <w:left w:val="nil"/>
          <w:bottom w:val="nil"/>
          <w:right w:val="nil"/>
          <w:between w:val="nil"/>
        </w:pBdr>
        <w:suppressAutoHyphens/>
        <w:spacing w:before="120"/>
        <w:ind w:left="1440" w:hanging="360"/>
        <w:rPr>
          <w:rFonts w:eastAsia="Times"/>
          <w:szCs w:val="24"/>
          <w:u w:val="single"/>
        </w:rPr>
      </w:pPr>
      <w:r w:rsidRPr="001B7F77">
        <w:rPr>
          <w:rFonts w:eastAsia="Times"/>
          <w:color w:val="000000"/>
          <w:szCs w:val="24"/>
          <w:u w:val="single"/>
        </w:rPr>
        <w:t>6.</w:t>
      </w:r>
      <w:r w:rsidRPr="001B7F77">
        <w:rPr>
          <w:rFonts w:eastAsia="Times"/>
          <w:color w:val="000000"/>
          <w:szCs w:val="24"/>
          <w:u w:val="single"/>
        </w:rPr>
        <w:tab/>
        <w:t>Such dwelling unit and every part of the floor on which it is situated meet all of the requirements which would be in effect for such floor if none of the rooms thereon were used for living purposes.</w:t>
      </w:r>
    </w:p>
    <w:p w14:paraId="25F66D8E" w14:textId="77777777" w:rsidR="001B7F77" w:rsidRPr="001B7F77" w:rsidRDefault="001B7F77" w:rsidP="00FD2721">
      <w:pPr>
        <w:pBdr>
          <w:top w:val="nil"/>
          <w:left w:val="nil"/>
          <w:bottom w:val="nil"/>
          <w:right w:val="nil"/>
          <w:between w:val="nil"/>
        </w:pBdr>
        <w:suppressAutoHyphens/>
        <w:spacing w:before="120"/>
        <w:ind w:left="1440" w:hanging="360"/>
        <w:rPr>
          <w:rFonts w:eastAsia="Times"/>
          <w:szCs w:val="24"/>
          <w:u w:val="single"/>
        </w:rPr>
      </w:pPr>
      <w:r w:rsidRPr="001B7F77">
        <w:rPr>
          <w:rFonts w:eastAsia="Times"/>
          <w:color w:val="000000"/>
          <w:szCs w:val="24"/>
          <w:u w:val="single"/>
        </w:rPr>
        <w:t>7.</w:t>
      </w:r>
      <w:r w:rsidRPr="001B7F77">
        <w:rPr>
          <w:rFonts w:eastAsia="Times"/>
          <w:color w:val="000000"/>
          <w:szCs w:val="24"/>
          <w:u w:val="single"/>
        </w:rPr>
        <w:tab/>
        <w:t>Such dwelling unit complies with all of the requirements for dwelling units in the same dwelling which are not in a cellar or basement.</w:t>
      </w:r>
    </w:p>
    <w:p w14:paraId="79D59A5A" w14:textId="77777777" w:rsidR="001B7F77" w:rsidRPr="001B7F77" w:rsidRDefault="001B7F77" w:rsidP="00FD2721">
      <w:pPr>
        <w:pBdr>
          <w:top w:val="nil"/>
          <w:left w:val="nil"/>
          <w:bottom w:val="nil"/>
          <w:right w:val="nil"/>
          <w:between w:val="nil"/>
        </w:pBdr>
        <w:suppressAutoHyphens/>
        <w:spacing w:before="120"/>
        <w:ind w:left="1440" w:hanging="360"/>
        <w:rPr>
          <w:rFonts w:eastAsia="Times"/>
          <w:color w:val="000000"/>
          <w:szCs w:val="24"/>
          <w:u w:val="single"/>
        </w:rPr>
      </w:pPr>
      <w:r w:rsidRPr="001B7F77">
        <w:rPr>
          <w:rFonts w:eastAsia="Times"/>
          <w:color w:val="000000"/>
          <w:szCs w:val="24"/>
          <w:u w:val="single"/>
        </w:rPr>
        <w:t>8.</w:t>
      </w:r>
      <w:r w:rsidRPr="001B7F77">
        <w:rPr>
          <w:rFonts w:eastAsia="Times"/>
          <w:color w:val="000000"/>
          <w:szCs w:val="24"/>
          <w:u w:val="single"/>
        </w:rPr>
        <w:tab/>
        <w:t>The floor on which such dwelling unit is situated, if a cellar, shall nevertheless be counted as a story for the purpose of all requirements of this appendix except those relating to the height of the dwelling.</w:t>
      </w:r>
    </w:p>
    <w:p w14:paraId="128F70A0"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 xml:space="preserve">D305.4.2 Existing rooms in basements and cellars (MDL 34(5), 177(5), 216(5)). </w:t>
      </w:r>
      <w:r w:rsidRPr="001B7F77">
        <w:rPr>
          <w:rFonts w:eastAsia="Times"/>
          <w:color w:val="000000"/>
          <w:szCs w:val="24"/>
          <w:u w:val="single"/>
        </w:rPr>
        <w:t>Existing rooms in cellars and basements within dwelling units shall comply with the provisions of Section D305.4.1, or, based on the multiple dwelling classification, shall be permitted to comply with:</w:t>
      </w:r>
    </w:p>
    <w:p w14:paraId="23E05C67" w14:textId="77777777" w:rsidR="001B7F77" w:rsidRPr="001B7F77" w:rsidRDefault="001B7F77" w:rsidP="00FD2721">
      <w:pPr>
        <w:pBdr>
          <w:top w:val="nil"/>
          <w:left w:val="nil"/>
          <w:bottom w:val="nil"/>
          <w:right w:val="nil"/>
          <w:between w:val="nil"/>
        </w:pBdr>
        <w:suppressAutoHyphens/>
        <w:spacing w:before="120"/>
        <w:ind w:left="1440" w:hanging="360"/>
        <w:rPr>
          <w:rFonts w:eastAsia="Times"/>
          <w:szCs w:val="24"/>
          <w:u w:val="single"/>
        </w:rPr>
      </w:pPr>
      <w:r w:rsidRPr="001B7F77">
        <w:rPr>
          <w:rFonts w:eastAsia="Times"/>
          <w:color w:val="000000"/>
          <w:szCs w:val="24"/>
          <w:u w:val="single"/>
        </w:rPr>
        <w:t>1.</w:t>
      </w:r>
      <w:r w:rsidRPr="001B7F77">
        <w:rPr>
          <w:rFonts w:eastAsia="Times"/>
          <w:color w:val="000000"/>
          <w:szCs w:val="24"/>
          <w:u w:val="single"/>
        </w:rPr>
        <w:tab/>
        <w:t>Section D402.2 for fireproof buildings classified as HAEA (1929-1968) or HAEB (1929-1968)</w:t>
      </w:r>
    </w:p>
    <w:p w14:paraId="7145B0AF" w14:textId="77777777" w:rsidR="001B7F77" w:rsidRPr="001B7F77" w:rsidRDefault="001B7F77" w:rsidP="00FD2721">
      <w:pPr>
        <w:pBdr>
          <w:top w:val="nil"/>
          <w:left w:val="nil"/>
          <w:bottom w:val="nil"/>
          <w:right w:val="nil"/>
          <w:between w:val="nil"/>
        </w:pBdr>
        <w:suppressAutoHyphens/>
        <w:spacing w:before="120"/>
        <w:ind w:left="1440" w:hanging="360"/>
        <w:rPr>
          <w:rFonts w:eastAsia="Times"/>
          <w:szCs w:val="24"/>
          <w:u w:val="single"/>
        </w:rPr>
      </w:pPr>
      <w:r w:rsidRPr="001B7F77">
        <w:rPr>
          <w:rFonts w:eastAsia="Times"/>
          <w:color w:val="000000"/>
          <w:szCs w:val="24"/>
          <w:u w:val="single"/>
        </w:rPr>
        <w:t>2.</w:t>
      </w:r>
      <w:r w:rsidRPr="001B7F77">
        <w:rPr>
          <w:rFonts w:eastAsia="Times"/>
          <w:color w:val="000000"/>
          <w:szCs w:val="24"/>
          <w:u w:val="single"/>
        </w:rPr>
        <w:tab/>
        <w:t>Section D505.2 for non-fireproof buildings classified as HAEA (1929-1968) or HAEB (1929-1968)</w:t>
      </w:r>
    </w:p>
    <w:p w14:paraId="19981E8A" w14:textId="77777777" w:rsidR="001B7F77" w:rsidRPr="001B7F77" w:rsidRDefault="001B7F77" w:rsidP="00FD2721">
      <w:pPr>
        <w:pBdr>
          <w:top w:val="nil"/>
          <w:left w:val="nil"/>
          <w:bottom w:val="nil"/>
          <w:right w:val="nil"/>
          <w:between w:val="nil"/>
        </w:pBdr>
        <w:suppressAutoHyphens/>
        <w:spacing w:before="120"/>
        <w:ind w:left="1440" w:hanging="360"/>
        <w:rPr>
          <w:rFonts w:eastAsia="Times"/>
          <w:szCs w:val="24"/>
          <w:u w:val="single"/>
        </w:rPr>
      </w:pPr>
      <w:r w:rsidRPr="001B7F77">
        <w:rPr>
          <w:rFonts w:eastAsia="Times"/>
          <w:color w:val="000000"/>
          <w:szCs w:val="24"/>
          <w:u w:val="single"/>
        </w:rPr>
        <w:t>3.</w:t>
      </w:r>
      <w:r w:rsidRPr="001B7F77">
        <w:rPr>
          <w:rFonts w:eastAsia="Times"/>
          <w:color w:val="000000"/>
          <w:szCs w:val="24"/>
          <w:u w:val="single"/>
        </w:rPr>
        <w:tab/>
        <w:t>Section D605.2 for converted dwellings</w:t>
      </w:r>
    </w:p>
    <w:p w14:paraId="7BD85C6F" w14:textId="77777777" w:rsidR="001B7F77" w:rsidRPr="001B7F77" w:rsidRDefault="001B7F77" w:rsidP="00FD2721">
      <w:pPr>
        <w:pBdr>
          <w:top w:val="nil"/>
          <w:left w:val="nil"/>
          <w:bottom w:val="nil"/>
          <w:right w:val="nil"/>
          <w:between w:val="nil"/>
        </w:pBdr>
        <w:suppressAutoHyphens/>
        <w:spacing w:before="120"/>
        <w:ind w:left="1440" w:hanging="360"/>
        <w:rPr>
          <w:rFonts w:eastAsia="Times"/>
          <w:szCs w:val="24"/>
          <w:u w:val="single"/>
        </w:rPr>
      </w:pPr>
      <w:r w:rsidRPr="001B7F77">
        <w:rPr>
          <w:rFonts w:eastAsia="Times"/>
          <w:color w:val="000000"/>
          <w:szCs w:val="24"/>
          <w:u w:val="single"/>
        </w:rPr>
        <w:t>4.</w:t>
      </w:r>
      <w:r w:rsidRPr="001B7F77">
        <w:rPr>
          <w:rFonts w:eastAsia="Times"/>
          <w:color w:val="000000"/>
          <w:szCs w:val="24"/>
          <w:u w:val="single"/>
        </w:rPr>
        <w:tab/>
        <w:t>Section D702.6.2 for OLs and NLs.</w:t>
      </w:r>
    </w:p>
    <w:p w14:paraId="365F1964" w14:textId="77777777" w:rsidR="001B7F77" w:rsidRPr="001B7F77" w:rsidRDefault="001B7F77" w:rsidP="00FD2721">
      <w:pPr>
        <w:pBdr>
          <w:top w:val="nil"/>
          <w:left w:val="nil"/>
          <w:bottom w:val="nil"/>
          <w:right w:val="nil"/>
          <w:between w:val="nil"/>
        </w:pBdr>
        <w:suppressAutoHyphens/>
        <w:spacing w:before="120"/>
        <w:ind w:left="360"/>
        <w:rPr>
          <w:rFonts w:eastAsia="Times"/>
          <w:color w:val="000000"/>
          <w:szCs w:val="24"/>
          <w:u w:val="single"/>
        </w:rPr>
      </w:pPr>
      <w:r w:rsidRPr="001B7F77">
        <w:rPr>
          <w:rFonts w:eastAsia="Times"/>
          <w:b/>
          <w:color w:val="000000"/>
          <w:szCs w:val="24"/>
          <w:u w:val="single"/>
        </w:rPr>
        <w:t xml:space="preserve">D305.5 Entrance doors (MDL 35). </w:t>
      </w:r>
      <w:r w:rsidRPr="001B7F77">
        <w:rPr>
          <w:rFonts w:eastAsia="Times"/>
          <w:color w:val="000000"/>
          <w:szCs w:val="24"/>
          <w:u w:val="single"/>
        </w:rPr>
        <w:t xml:space="preserve">No alterations or repairs shall be made in doors giving access to an entrance hall from the outside of the dwelling that would reduce the existing area of glazing to less than 5 square feet of glazed surface. New conversions to a multiple dwelling subject to Section D302 and dwellings of one class or kind altered or converted to another class or kind subject to Section D303 shall provide at least 5 square feet of such glazed area. </w:t>
      </w:r>
    </w:p>
    <w:p w14:paraId="795DEFF6" w14:textId="77777777" w:rsidR="001B7F77" w:rsidRPr="001B7F77" w:rsidRDefault="001B7F77" w:rsidP="00FD2721">
      <w:pPr>
        <w:pBdr>
          <w:top w:val="nil"/>
          <w:left w:val="nil"/>
          <w:bottom w:val="nil"/>
          <w:right w:val="nil"/>
          <w:between w:val="nil"/>
        </w:pBdr>
        <w:suppressAutoHyphens/>
        <w:spacing w:before="120"/>
        <w:ind w:left="360"/>
        <w:rPr>
          <w:rFonts w:eastAsia="Times"/>
          <w:color w:val="000000"/>
          <w:szCs w:val="24"/>
          <w:u w:val="single"/>
        </w:rPr>
      </w:pPr>
      <w:r w:rsidRPr="001B7F77">
        <w:rPr>
          <w:rFonts w:eastAsia="Times"/>
          <w:b/>
          <w:color w:val="000000"/>
          <w:szCs w:val="24"/>
          <w:u w:val="single"/>
        </w:rPr>
        <w:t xml:space="preserve">D305.6 Existing windows in </w:t>
      </w:r>
      <w:r w:rsidRPr="001B7F77">
        <w:rPr>
          <w:rFonts w:eastAsia="Times"/>
          <w:b/>
          <w:szCs w:val="24"/>
          <w:u w:val="single"/>
        </w:rPr>
        <w:t>public</w:t>
      </w:r>
      <w:r w:rsidRPr="001B7F77">
        <w:rPr>
          <w:rFonts w:eastAsia="Times"/>
          <w:b/>
          <w:color w:val="000000"/>
          <w:szCs w:val="24"/>
          <w:u w:val="single"/>
        </w:rPr>
        <w:t xml:space="preserve"> halls (MDL 36). </w:t>
      </w:r>
      <w:r w:rsidRPr="001B7F77">
        <w:rPr>
          <w:rFonts w:eastAsia="Times"/>
          <w:color w:val="000000"/>
          <w:szCs w:val="24"/>
          <w:u w:val="single"/>
        </w:rPr>
        <w:t xml:space="preserve">Existing windows in public halls shall be permitted to be removed provided mechanical ventilation is installed in accordance with the </w:t>
      </w:r>
      <w:r w:rsidRPr="001B7F77">
        <w:rPr>
          <w:rFonts w:eastAsia="Times"/>
          <w:i/>
          <w:iCs/>
          <w:color w:val="000000"/>
          <w:szCs w:val="24"/>
          <w:u w:val="single"/>
        </w:rPr>
        <w:t>New York City Mechanical Code</w:t>
      </w:r>
      <w:r w:rsidRPr="001B7F77">
        <w:rPr>
          <w:rFonts w:eastAsia="Times"/>
          <w:color w:val="000000"/>
          <w:szCs w:val="24"/>
          <w:u w:val="single"/>
        </w:rPr>
        <w:t>.</w:t>
      </w:r>
    </w:p>
    <w:p w14:paraId="23CB9A05"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 xml:space="preserve">Exception: </w:t>
      </w:r>
      <w:r w:rsidRPr="001B7F77">
        <w:rPr>
          <w:rFonts w:eastAsia="Times"/>
          <w:color w:val="000000"/>
          <w:szCs w:val="24"/>
          <w:u w:val="single"/>
        </w:rPr>
        <w:t>Where windows are required for certain NLs in accordance with Chapter D7.</w:t>
      </w:r>
    </w:p>
    <w:p w14:paraId="54E069C9" w14:textId="77777777" w:rsidR="001B7F77" w:rsidRPr="001B7F77" w:rsidRDefault="001B7F77" w:rsidP="00FD2721">
      <w:pPr>
        <w:pBdr>
          <w:top w:val="nil"/>
          <w:left w:val="nil"/>
          <w:bottom w:val="nil"/>
          <w:right w:val="nil"/>
          <w:between w:val="nil"/>
        </w:pBdr>
        <w:suppressAutoHyphens/>
        <w:spacing w:before="120"/>
        <w:ind w:left="360"/>
        <w:rPr>
          <w:rFonts w:eastAsia="Times"/>
          <w:color w:val="000000"/>
          <w:szCs w:val="24"/>
          <w:u w:val="single"/>
        </w:rPr>
      </w:pPr>
      <w:r w:rsidRPr="001B7F77">
        <w:rPr>
          <w:rFonts w:eastAsia="Times"/>
          <w:b/>
          <w:color w:val="000000"/>
          <w:szCs w:val="24"/>
          <w:u w:val="single"/>
        </w:rPr>
        <w:t xml:space="preserve">D305.7 Existing skylights in stairs (MDL 36). </w:t>
      </w:r>
      <w:r w:rsidRPr="001B7F77">
        <w:rPr>
          <w:rFonts w:eastAsia="Times"/>
          <w:color w:val="000000"/>
          <w:szCs w:val="24"/>
          <w:u w:val="single"/>
        </w:rPr>
        <w:t xml:space="preserve">Existing skylights in stairs shall be permitted to be removed where smoke vents are installed in accordance with Section 713.12 of the </w:t>
      </w:r>
      <w:r w:rsidRPr="001B7F77">
        <w:rPr>
          <w:rFonts w:eastAsia="Times"/>
          <w:i/>
          <w:iCs/>
          <w:color w:val="000000"/>
          <w:szCs w:val="24"/>
          <w:u w:val="single"/>
        </w:rPr>
        <w:t>New York City Building Code</w:t>
      </w:r>
      <w:r w:rsidRPr="001B7F77">
        <w:rPr>
          <w:rFonts w:eastAsia="Times"/>
          <w:color w:val="000000"/>
          <w:szCs w:val="24"/>
          <w:u w:val="single"/>
        </w:rPr>
        <w:t>.</w:t>
      </w:r>
    </w:p>
    <w:p w14:paraId="40473829"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 xml:space="preserve">Exception: </w:t>
      </w:r>
      <w:r w:rsidRPr="001B7F77">
        <w:rPr>
          <w:rFonts w:eastAsia="Times"/>
          <w:color w:val="000000"/>
          <w:szCs w:val="24"/>
          <w:u w:val="single"/>
        </w:rPr>
        <w:t>Where skylights are required for certain OLs and NLs in accordance with Chapter D7 and for certain CAAs and JARs in accordance with MDL 277.</w:t>
      </w:r>
    </w:p>
    <w:p w14:paraId="07424534" w14:textId="77777777" w:rsidR="001B7F77" w:rsidRPr="001B7F77" w:rsidRDefault="001B7F77" w:rsidP="00FD2721">
      <w:pPr>
        <w:pBdr>
          <w:top w:val="nil"/>
          <w:left w:val="nil"/>
          <w:bottom w:val="nil"/>
          <w:right w:val="nil"/>
          <w:between w:val="nil"/>
        </w:pBdr>
        <w:suppressAutoHyphens/>
        <w:spacing w:before="120"/>
        <w:ind w:left="360"/>
        <w:rPr>
          <w:rFonts w:eastAsia="Times"/>
          <w:color w:val="FF0000"/>
          <w:szCs w:val="24"/>
        </w:rPr>
      </w:pPr>
      <w:bookmarkStart w:id="245" w:name="_Hlk78893861"/>
      <w:r w:rsidRPr="001B7F77">
        <w:rPr>
          <w:b/>
          <w:bCs/>
          <w:szCs w:val="24"/>
          <w:u w:val="single"/>
        </w:rPr>
        <w:t>D305.8 Multiple buildings on the same tax lot (MDL 28(2)).</w:t>
      </w:r>
      <w:r w:rsidRPr="001B7F77">
        <w:rPr>
          <w:szCs w:val="24"/>
          <w:u w:val="single"/>
        </w:rPr>
        <w:t xml:space="preserve"> If a multiple dwelling is located anywhere on the same tax lot with another building, any additions or conversions shall not reduce the unoccupied open space between buildings in any way that would result in an increase of noncompliance with MDL 28(2).</w:t>
      </w:r>
      <w:bookmarkEnd w:id="245"/>
    </w:p>
    <w:bookmarkEnd w:id="235"/>
    <w:p w14:paraId="14659A3C" w14:textId="77777777" w:rsidR="001B7F77" w:rsidRPr="001B7F77" w:rsidRDefault="001B7F77" w:rsidP="00FD2721">
      <w:pPr>
        <w:pBdr>
          <w:top w:val="nil"/>
          <w:left w:val="nil"/>
          <w:bottom w:val="nil"/>
          <w:right w:val="nil"/>
          <w:between w:val="nil"/>
        </w:pBdr>
        <w:suppressAutoHyphens/>
        <w:spacing w:before="120"/>
        <w:ind w:left="360"/>
        <w:rPr>
          <w:rFonts w:eastAsia="Times"/>
          <w:bCs/>
          <w:color w:val="000000"/>
          <w:szCs w:val="24"/>
          <w:u w:val="single"/>
        </w:rPr>
      </w:pPr>
      <w:r w:rsidRPr="001B7F77">
        <w:rPr>
          <w:rFonts w:eastAsia="Times"/>
          <w:b/>
          <w:color w:val="000000"/>
          <w:szCs w:val="24"/>
          <w:u w:val="single"/>
        </w:rPr>
        <w:t xml:space="preserve">D305.9 Cubic feet per occupant (MDL 31(6)(a), (b)). </w:t>
      </w:r>
      <w:r w:rsidRPr="001B7F77">
        <w:rPr>
          <w:rFonts w:eastAsia="Times"/>
          <w:bCs/>
          <w:color w:val="000000"/>
          <w:szCs w:val="24"/>
          <w:u w:val="single"/>
        </w:rPr>
        <w:t>Living rooms created or reconfigured shall provide at least 400 cubic feet (11.3 m</w:t>
      </w:r>
      <w:r w:rsidRPr="001B7F77">
        <w:rPr>
          <w:rFonts w:eastAsia="Times"/>
          <w:bCs/>
          <w:color w:val="000000"/>
          <w:szCs w:val="24"/>
          <w:u w:val="single"/>
          <w:vertAlign w:val="superscript"/>
        </w:rPr>
        <w:t>3</w:t>
      </w:r>
      <w:r w:rsidRPr="001B7F77">
        <w:rPr>
          <w:rFonts w:eastAsia="Times"/>
          <w:bCs/>
          <w:color w:val="000000"/>
          <w:szCs w:val="24"/>
          <w:u w:val="single"/>
        </w:rPr>
        <w:t>) of air for each adult, and 200 cubic feet of air for each child occupying such room, considering children of 12 years of age or more as adults and 2 children between the ages of 2 and 11 years inclusive as the equivalent of one adult. Children under 2 years of age need not be considered as occupants.</w:t>
      </w:r>
    </w:p>
    <w:p w14:paraId="18DAA812" w14:textId="77777777" w:rsidR="001B7F77" w:rsidRPr="001B7F77" w:rsidRDefault="001B7F77" w:rsidP="00FD2721">
      <w:pPr>
        <w:pBdr>
          <w:top w:val="nil"/>
          <w:left w:val="nil"/>
          <w:bottom w:val="nil"/>
          <w:right w:val="nil"/>
          <w:between w:val="nil"/>
        </w:pBdr>
        <w:suppressAutoHyphens/>
        <w:spacing w:before="120"/>
        <w:rPr>
          <w:rFonts w:eastAsia="Times"/>
          <w:b/>
          <w:color w:val="000000"/>
          <w:szCs w:val="24"/>
          <w:u w:val="single"/>
        </w:rPr>
      </w:pPr>
      <w:r w:rsidRPr="001B7F77">
        <w:rPr>
          <w:rFonts w:eastAsia="Times"/>
          <w:b/>
          <w:color w:val="000000"/>
          <w:szCs w:val="24"/>
          <w:u w:val="single"/>
        </w:rPr>
        <w:t>D306 Fire protection and safety (MDL 3, Title 2)</w:t>
      </w:r>
    </w:p>
    <w:p w14:paraId="176E7DD4" w14:textId="77777777" w:rsidR="001B7F77" w:rsidRPr="001B7F77" w:rsidRDefault="001B7F77" w:rsidP="00FD2721">
      <w:pPr>
        <w:pBdr>
          <w:top w:val="nil"/>
          <w:left w:val="nil"/>
          <w:bottom w:val="nil"/>
          <w:right w:val="nil"/>
          <w:between w:val="nil"/>
        </w:pBdr>
        <w:suppressAutoHyphens/>
        <w:spacing w:before="120"/>
        <w:ind w:left="360"/>
        <w:rPr>
          <w:rFonts w:eastAsia="Times"/>
          <w:color w:val="000000"/>
          <w:szCs w:val="24"/>
          <w:u w:val="single"/>
        </w:rPr>
      </w:pPr>
      <w:r w:rsidRPr="001B7F77">
        <w:rPr>
          <w:rFonts w:eastAsia="Times"/>
          <w:b/>
          <w:color w:val="000000"/>
          <w:szCs w:val="24"/>
          <w:u w:val="single"/>
        </w:rPr>
        <w:t xml:space="preserve">D306.1 Elevators (MDL 51(6)). </w:t>
      </w:r>
      <w:r w:rsidRPr="001B7F77">
        <w:rPr>
          <w:rFonts w:eastAsia="Times"/>
          <w:color w:val="000000"/>
          <w:szCs w:val="24"/>
          <w:u w:val="single"/>
        </w:rPr>
        <w:t xml:space="preserve">Notwithstanding the provisions of Section 3002.4 of the </w:t>
      </w:r>
      <w:r w:rsidRPr="001B7F77">
        <w:rPr>
          <w:rFonts w:eastAsia="Times"/>
          <w:i/>
          <w:iCs/>
          <w:color w:val="000000"/>
          <w:szCs w:val="24"/>
          <w:u w:val="single"/>
        </w:rPr>
        <w:t>New York City Building Code</w:t>
      </w:r>
      <w:r w:rsidRPr="001B7F77">
        <w:rPr>
          <w:rFonts w:eastAsia="Times"/>
          <w:color w:val="000000"/>
          <w:szCs w:val="24"/>
          <w:u w:val="single"/>
        </w:rPr>
        <w:t>, the installation of new elevators shall not be required where all of the following conditions apply:</w:t>
      </w:r>
    </w:p>
    <w:p w14:paraId="04DDE5D7" w14:textId="77777777" w:rsidR="001B7F77" w:rsidRPr="001B7F77" w:rsidRDefault="001B7F77" w:rsidP="00FD2721">
      <w:pPr>
        <w:numPr>
          <w:ilvl w:val="0"/>
          <w:numId w:val="41"/>
        </w:numPr>
        <w:pBdr>
          <w:top w:val="nil"/>
          <w:left w:val="nil"/>
          <w:bottom w:val="nil"/>
          <w:right w:val="nil"/>
          <w:between w:val="nil"/>
        </w:pBdr>
        <w:suppressAutoHyphens/>
        <w:spacing w:before="120"/>
        <w:ind w:left="1080"/>
        <w:jc w:val="left"/>
        <w:rPr>
          <w:rFonts w:eastAsia="Times"/>
          <w:szCs w:val="24"/>
          <w:u w:val="single"/>
        </w:rPr>
      </w:pPr>
      <w:r w:rsidRPr="001B7F77">
        <w:rPr>
          <w:rFonts w:eastAsia="Times"/>
          <w:color w:val="000000"/>
          <w:szCs w:val="24"/>
          <w:u w:val="single"/>
        </w:rPr>
        <w:t>The building was constructed prior to December 6, 1968;</w:t>
      </w:r>
    </w:p>
    <w:p w14:paraId="4FC728F2" w14:textId="77777777" w:rsidR="001B7F77" w:rsidRPr="001B7F77" w:rsidRDefault="001B7F77" w:rsidP="00FD2721">
      <w:pPr>
        <w:numPr>
          <w:ilvl w:val="0"/>
          <w:numId w:val="41"/>
        </w:numPr>
        <w:pBdr>
          <w:top w:val="nil"/>
          <w:left w:val="nil"/>
          <w:bottom w:val="nil"/>
          <w:right w:val="nil"/>
          <w:between w:val="nil"/>
        </w:pBdr>
        <w:suppressAutoHyphens/>
        <w:spacing w:before="120"/>
        <w:ind w:left="1080"/>
        <w:jc w:val="left"/>
        <w:rPr>
          <w:rFonts w:eastAsia="Times"/>
          <w:szCs w:val="24"/>
          <w:u w:val="single"/>
        </w:rPr>
      </w:pPr>
      <w:r w:rsidRPr="001B7F77">
        <w:rPr>
          <w:rFonts w:eastAsia="Times"/>
          <w:color w:val="000000"/>
          <w:szCs w:val="24"/>
          <w:u w:val="single"/>
        </w:rPr>
        <w:t xml:space="preserve">The building does not have an elevator on the date of the application; </w:t>
      </w:r>
    </w:p>
    <w:p w14:paraId="267A9C77" w14:textId="77777777" w:rsidR="001B7F77" w:rsidRPr="001B7F77" w:rsidRDefault="001B7F77" w:rsidP="00FD2721">
      <w:pPr>
        <w:numPr>
          <w:ilvl w:val="0"/>
          <w:numId w:val="41"/>
        </w:numPr>
        <w:pBdr>
          <w:top w:val="nil"/>
          <w:left w:val="nil"/>
          <w:bottom w:val="nil"/>
          <w:right w:val="nil"/>
          <w:between w:val="nil"/>
        </w:pBdr>
        <w:suppressAutoHyphens/>
        <w:spacing w:before="120"/>
        <w:ind w:left="1080"/>
        <w:jc w:val="left"/>
        <w:rPr>
          <w:rFonts w:eastAsia="Times"/>
          <w:szCs w:val="24"/>
          <w:u w:val="single"/>
        </w:rPr>
      </w:pPr>
      <w:r w:rsidRPr="001B7F77">
        <w:rPr>
          <w:rFonts w:eastAsia="Times"/>
          <w:color w:val="000000"/>
          <w:szCs w:val="24"/>
          <w:u w:val="single"/>
        </w:rPr>
        <w:t>The building is or is being converted to a Class A multiple dwelling; and</w:t>
      </w:r>
    </w:p>
    <w:p w14:paraId="48D13ED2" w14:textId="77777777" w:rsidR="001B7F77" w:rsidRPr="001B7F77" w:rsidRDefault="001B7F77" w:rsidP="00FD2721">
      <w:pPr>
        <w:numPr>
          <w:ilvl w:val="0"/>
          <w:numId w:val="41"/>
        </w:numPr>
        <w:pBdr>
          <w:top w:val="nil"/>
          <w:left w:val="nil"/>
          <w:bottom w:val="nil"/>
          <w:right w:val="nil"/>
          <w:between w:val="nil"/>
        </w:pBdr>
        <w:suppressAutoHyphens/>
        <w:spacing w:before="120"/>
        <w:ind w:left="1080"/>
        <w:jc w:val="left"/>
        <w:rPr>
          <w:rFonts w:eastAsia="Times"/>
          <w:szCs w:val="24"/>
          <w:u w:val="single"/>
        </w:rPr>
      </w:pPr>
      <w:r w:rsidRPr="001B7F77">
        <w:rPr>
          <w:rFonts w:eastAsia="Times"/>
          <w:color w:val="000000"/>
          <w:szCs w:val="24"/>
          <w:u w:val="single"/>
        </w:rPr>
        <w:t>The building will be 6 stories or less in height upon completion of the alteration.</w:t>
      </w:r>
    </w:p>
    <w:p w14:paraId="1E63E3F8" w14:textId="77777777" w:rsidR="001B7F77" w:rsidRPr="001B7F77" w:rsidRDefault="001B7F77" w:rsidP="00FD2721">
      <w:pPr>
        <w:pBdr>
          <w:top w:val="nil"/>
          <w:left w:val="nil"/>
          <w:bottom w:val="nil"/>
          <w:right w:val="nil"/>
          <w:between w:val="nil"/>
        </w:pBdr>
        <w:suppressAutoHyphens/>
        <w:spacing w:before="120"/>
        <w:ind w:left="720"/>
        <w:rPr>
          <w:rFonts w:eastAsia="Times"/>
          <w:b/>
          <w:color w:val="000000"/>
          <w:szCs w:val="24"/>
          <w:u w:val="single"/>
        </w:rPr>
      </w:pPr>
      <w:r w:rsidRPr="001B7F77">
        <w:rPr>
          <w:rFonts w:eastAsia="Times"/>
          <w:b/>
          <w:color w:val="000000"/>
          <w:szCs w:val="24"/>
          <w:u w:val="single"/>
        </w:rPr>
        <w:t xml:space="preserve">Exceptions: </w:t>
      </w:r>
    </w:p>
    <w:p w14:paraId="792D6739" w14:textId="77777777" w:rsidR="001B7F77" w:rsidRPr="001B7F77" w:rsidRDefault="001B7F77" w:rsidP="00FD2721">
      <w:pPr>
        <w:pBdr>
          <w:top w:val="nil"/>
          <w:left w:val="nil"/>
          <w:bottom w:val="nil"/>
          <w:right w:val="nil"/>
          <w:between w:val="nil"/>
        </w:pBdr>
        <w:suppressAutoHyphens/>
        <w:spacing w:before="120"/>
        <w:ind w:left="1080" w:hanging="360"/>
        <w:rPr>
          <w:rFonts w:eastAsia="Times"/>
          <w:bCs/>
          <w:color w:val="000000"/>
          <w:szCs w:val="24"/>
          <w:u w:val="single"/>
        </w:rPr>
      </w:pPr>
      <w:r w:rsidRPr="001B7F77">
        <w:rPr>
          <w:rFonts w:eastAsia="Times"/>
          <w:bCs/>
          <w:color w:val="000000"/>
          <w:szCs w:val="24"/>
          <w:u w:val="single"/>
        </w:rPr>
        <w:t>1.</w:t>
      </w:r>
      <w:r w:rsidRPr="001B7F77">
        <w:rPr>
          <w:rFonts w:eastAsia="Times"/>
          <w:bCs/>
          <w:color w:val="000000"/>
          <w:szCs w:val="24"/>
          <w:u w:val="single"/>
        </w:rPr>
        <w:tab/>
        <w:t xml:space="preserve">Where a new elevator is required to provide accessibility pursuant to this code and Chapter 11 of the </w:t>
      </w:r>
      <w:r w:rsidRPr="001B7F77">
        <w:rPr>
          <w:rFonts w:eastAsia="Times"/>
          <w:bCs/>
          <w:i/>
          <w:iCs/>
          <w:color w:val="000000"/>
          <w:szCs w:val="24"/>
          <w:u w:val="single"/>
        </w:rPr>
        <w:t>New York City Building Code</w:t>
      </w:r>
      <w:r w:rsidRPr="001B7F77">
        <w:rPr>
          <w:rFonts w:eastAsia="Times"/>
          <w:bCs/>
          <w:color w:val="000000"/>
          <w:szCs w:val="24"/>
          <w:u w:val="single"/>
        </w:rPr>
        <w:t>.</w:t>
      </w:r>
    </w:p>
    <w:p w14:paraId="5DDDF682" w14:textId="77777777" w:rsidR="001B7F77" w:rsidRPr="001B7F77" w:rsidRDefault="001B7F77" w:rsidP="00FD2721">
      <w:pPr>
        <w:pBdr>
          <w:top w:val="nil"/>
          <w:left w:val="nil"/>
          <w:bottom w:val="nil"/>
          <w:right w:val="nil"/>
          <w:between w:val="nil"/>
        </w:pBdr>
        <w:suppressAutoHyphens/>
        <w:spacing w:before="120"/>
        <w:ind w:left="1080" w:hanging="360"/>
        <w:rPr>
          <w:rFonts w:eastAsia="Times"/>
          <w:bCs/>
          <w:i/>
          <w:iCs/>
          <w:color w:val="000000"/>
          <w:szCs w:val="24"/>
          <w:u w:val="single"/>
        </w:rPr>
      </w:pPr>
      <w:r w:rsidRPr="001B7F77">
        <w:rPr>
          <w:rFonts w:eastAsia="Times"/>
          <w:bCs/>
          <w:color w:val="000000"/>
          <w:szCs w:val="24"/>
          <w:u w:val="single"/>
        </w:rPr>
        <w:t>2.</w:t>
      </w:r>
      <w:r w:rsidRPr="001B7F77">
        <w:rPr>
          <w:rFonts w:eastAsia="Times"/>
          <w:bCs/>
          <w:color w:val="000000"/>
          <w:szCs w:val="24"/>
          <w:u w:val="single"/>
        </w:rPr>
        <w:tab/>
        <w:t>Where the alteration results in an increase in the floor surface area by more than 110% in accordance with Section 302.7 of this code</w:t>
      </w:r>
      <w:r w:rsidRPr="001B7F77">
        <w:rPr>
          <w:rFonts w:eastAsia="Times"/>
          <w:bCs/>
          <w:i/>
          <w:iCs/>
          <w:color w:val="000000"/>
          <w:szCs w:val="24"/>
          <w:u w:val="single"/>
        </w:rPr>
        <w:t>.</w:t>
      </w:r>
    </w:p>
    <w:p w14:paraId="2746BC5C" w14:textId="77777777" w:rsidR="001B7F77" w:rsidRPr="001B7F77" w:rsidRDefault="001B7F77" w:rsidP="00FD2721">
      <w:pPr>
        <w:pBdr>
          <w:top w:val="nil"/>
          <w:left w:val="nil"/>
          <w:bottom w:val="nil"/>
          <w:right w:val="nil"/>
          <w:between w:val="nil"/>
        </w:pBdr>
        <w:suppressAutoHyphens/>
        <w:spacing w:before="120"/>
        <w:ind w:left="1080" w:hanging="360"/>
        <w:rPr>
          <w:rFonts w:eastAsia="Times"/>
          <w:bCs/>
          <w:color w:val="000000"/>
          <w:szCs w:val="24"/>
          <w:u w:val="single"/>
        </w:rPr>
      </w:pPr>
      <w:r w:rsidRPr="001B7F77">
        <w:rPr>
          <w:rFonts w:eastAsia="Times"/>
          <w:bCs/>
          <w:color w:val="000000"/>
          <w:szCs w:val="24"/>
          <w:u w:val="single"/>
        </w:rPr>
        <w:t>3.</w:t>
      </w:r>
      <w:r w:rsidRPr="001B7F77">
        <w:rPr>
          <w:rFonts w:eastAsia="Times"/>
          <w:bCs/>
          <w:color w:val="000000"/>
          <w:szCs w:val="24"/>
          <w:u w:val="single"/>
        </w:rPr>
        <w:tab/>
        <w:t>Where a damaged dwelling is required to be repaired or rebuilt in accordance with Section D304.1 of this code.</w:t>
      </w:r>
    </w:p>
    <w:p w14:paraId="5FB4D4CF" w14:textId="77777777" w:rsidR="001B7F77" w:rsidRPr="001B7F77" w:rsidRDefault="001B7F77" w:rsidP="00FD2721">
      <w:pPr>
        <w:pBdr>
          <w:top w:val="nil"/>
          <w:left w:val="nil"/>
          <w:bottom w:val="nil"/>
          <w:right w:val="nil"/>
          <w:between w:val="nil"/>
        </w:pBdr>
        <w:suppressAutoHyphens/>
        <w:spacing w:before="120"/>
        <w:ind w:left="720"/>
        <w:rPr>
          <w:rFonts w:eastAsia="Times"/>
          <w:b/>
          <w:color w:val="000000"/>
          <w:szCs w:val="24"/>
          <w:u w:val="single"/>
        </w:rPr>
      </w:pPr>
      <w:r w:rsidRPr="001B7F77">
        <w:rPr>
          <w:rFonts w:eastAsia="Times"/>
          <w:b/>
          <w:color w:val="000000"/>
          <w:szCs w:val="24"/>
          <w:u w:val="single"/>
        </w:rPr>
        <w:t xml:space="preserve">D306.1.1 Penthouses. </w:t>
      </w:r>
      <w:r w:rsidRPr="001B7F77">
        <w:rPr>
          <w:rFonts w:eastAsia="Times"/>
          <w:color w:val="000000"/>
          <w:szCs w:val="24"/>
          <w:u w:val="single"/>
        </w:rPr>
        <w:t xml:space="preserve">Penthouse structures located upon the roof of a sixth story and which form the upper level of multistory dwelling units shall not be deemed a story for the purposes of applying Item 4 of Section D306.1, provided that the building is deemed to be 6 stories or less pursuant Section 504.3 of the </w:t>
      </w:r>
      <w:r w:rsidRPr="001B7F77">
        <w:rPr>
          <w:rFonts w:eastAsia="Times"/>
          <w:i/>
          <w:iCs/>
          <w:color w:val="000000"/>
          <w:szCs w:val="24"/>
          <w:u w:val="single"/>
        </w:rPr>
        <w:t>New York City Building Code</w:t>
      </w:r>
      <w:r w:rsidRPr="001B7F77">
        <w:rPr>
          <w:rFonts w:eastAsia="Times"/>
          <w:color w:val="000000"/>
          <w:szCs w:val="24"/>
          <w:u w:val="single"/>
        </w:rPr>
        <w:t>.</w:t>
      </w:r>
    </w:p>
    <w:p w14:paraId="3754FCAA" w14:textId="77777777" w:rsidR="001B7F77" w:rsidRPr="001B7F77" w:rsidRDefault="001B7F77" w:rsidP="00FD2721">
      <w:pPr>
        <w:pBdr>
          <w:top w:val="nil"/>
          <w:left w:val="nil"/>
          <w:bottom w:val="nil"/>
          <w:right w:val="nil"/>
          <w:between w:val="nil"/>
        </w:pBdr>
        <w:suppressAutoHyphens/>
        <w:spacing w:before="120"/>
        <w:ind w:left="720"/>
        <w:rPr>
          <w:rFonts w:eastAsia="Times"/>
          <w:b/>
          <w:color w:val="000000"/>
          <w:szCs w:val="24"/>
          <w:u w:val="single"/>
        </w:rPr>
      </w:pPr>
      <w:r w:rsidRPr="001B7F77">
        <w:rPr>
          <w:rFonts w:eastAsia="Times"/>
          <w:b/>
          <w:color w:val="000000"/>
          <w:szCs w:val="24"/>
          <w:u w:val="single"/>
        </w:rPr>
        <w:t xml:space="preserve">D306.1.2 New conversions and changes of class or kind (MDL 9(2), 9(3)). </w:t>
      </w:r>
      <w:r w:rsidRPr="001B7F77">
        <w:rPr>
          <w:rFonts w:eastAsia="Times"/>
          <w:bCs/>
          <w:color w:val="000000"/>
          <w:szCs w:val="24"/>
          <w:u w:val="single"/>
        </w:rPr>
        <w:t xml:space="preserve">New conversions to a multiple dwelling subject to Section D302 and dwellings of one class or kind altered or converted to another class or kind subject to Section D303 shall be provided with an elevator unless exempted by Section D306.1 for buildings erected prior to December 6, 1968, or Section 3002.4 of the </w:t>
      </w:r>
      <w:r w:rsidRPr="001B7F77">
        <w:rPr>
          <w:rFonts w:eastAsia="Times"/>
          <w:bCs/>
          <w:i/>
          <w:iCs/>
          <w:color w:val="000000"/>
          <w:szCs w:val="24"/>
          <w:u w:val="single"/>
        </w:rPr>
        <w:t>New York City Building Code</w:t>
      </w:r>
      <w:r w:rsidRPr="001B7F77">
        <w:rPr>
          <w:rFonts w:eastAsia="Times"/>
          <w:bCs/>
          <w:color w:val="000000"/>
          <w:szCs w:val="24"/>
          <w:u w:val="single"/>
        </w:rPr>
        <w:t xml:space="preserve"> for buildings erected on or after such date. </w:t>
      </w:r>
    </w:p>
    <w:p w14:paraId="526DDC13" w14:textId="77777777" w:rsidR="001B7F77" w:rsidRPr="001B7F77" w:rsidRDefault="001B7F77" w:rsidP="00FD2721">
      <w:pPr>
        <w:widowControl w:val="0"/>
        <w:pBdr>
          <w:top w:val="nil"/>
          <w:left w:val="nil"/>
          <w:bottom w:val="nil"/>
          <w:right w:val="nil"/>
          <w:between w:val="nil"/>
        </w:pBdr>
        <w:suppressAutoHyphens/>
        <w:spacing w:before="120"/>
        <w:ind w:left="360"/>
        <w:rPr>
          <w:rFonts w:eastAsia="Times"/>
          <w:color w:val="000000"/>
          <w:szCs w:val="24"/>
          <w:u w:val="single"/>
        </w:rPr>
      </w:pPr>
      <w:r w:rsidRPr="001B7F77">
        <w:rPr>
          <w:rFonts w:eastAsia="Times"/>
          <w:b/>
          <w:color w:val="000000"/>
          <w:szCs w:val="24"/>
          <w:u w:val="single"/>
        </w:rPr>
        <w:t xml:space="preserve">D306.2 Interior cellar and basement stairs (MDL 52(5)(a)). </w:t>
      </w:r>
      <w:r w:rsidRPr="001B7F77">
        <w:rPr>
          <w:rFonts w:eastAsia="Times"/>
          <w:color w:val="000000"/>
          <w:szCs w:val="24"/>
          <w:u w:val="single"/>
        </w:rPr>
        <w:t>For a multiple dwelling erected prior to December 6, 1968, any stair communicating between the cellar and the story above, or the basement and the story above if there be no cellar, shall be enclosed at top and bottom with at least 2-hour fire-resistive rated construction and assemblies.</w:t>
      </w:r>
    </w:p>
    <w:p w14:paraId="5BA0A855" w14:textId="77777777" w:rsidR="001B7F77" w:rsidRPr="001B7F77" w:rsidRDefault="001B7F77" w:rsidP="00FD2721">
      <w:pPr>
        <w:widowControl w:val="0"/>
        <w:pBdr>
          <w:top w:val="nil"/>
          <w:left w:val="nil"/>
          <w:bottom w:val="nil"/>
          <w:right w:val="nil"/>
          <w:between w:val="nil"/>
        </w:pBdr>
        <w:suppressAutoHyphens/>
        <w:spacing w:before="120"/>
        <w:ind w:left="720"/>
        <w:rPr>
          <w:rFonts w:eastAsia="Times"/>
          <w:b/>
          <w:color w:val="000000"/>
          <w:szCs w:val="24"/>
          <w:u w:val="single"/>
        </w:rPr>
      </w:pPr>
      <w:r w:rsidRPr="001B7F77">
        <w:rPr>
          <w:rFonts w:eastAsia="Times"/>
          <w:b/>
          <w:color w:val="000000"/>
          <w:szCs w:val="24"/>
          <w:u w:val="single"/>
        </w:rPr>
        <w:t>Exceptions:</w:t>
      </w:r>
    </w:p>
    <w:p w14:paraId="3D66A024" w14:textId="77777777" w:rsidR="001B7F77" w:rsidRPr="001B7F77" w:rsidRDefault="001B7F77" w:rsidP="00FD2721">
      <w:pPr>
        <w:widowControl w:val="0"/>
        <w:pBdr>
          <w:top w:val="nil"/>
          <w:left w:val="nil"/>
          <w:bottom w:val="nil"/>
          <w:right w:val="nil"/>
          <w:between w:val="nil"/>
        </w:pBdr>
        <w:suppressAutoHyphens/>
        <w:spacing w:before="120"/>
        <w:ind w:left="1440" w:hanging="360"/>
        <w:rPr>
          <w:rFonts w:eastAsia="Times"/>
          <w:szCs w:val="24"/>
          <w:u w:val="single"/>
        </w:rPr>
      </w:pPr>
      <w:r w:rsidRPr="001B7F77">
        <w:rPr>
          <w:rFonts w:eastAsia="Times"/>
          <w:color w:val="000000"/>
          <w:szCs w:val="24"/>
          <w:u w:val="single"/>
        </w:rPr>
        <w:t>Non-fireproof buildings classified as HAEA (1929-1968) and HAEB (1929-1968) shall comply with the provisions of Section D503 and Section D306.2 shall not apply.</w:t>
      </w:r>
    </w:p>
    <w:p w14:paraId="251A680F" w14:textId="77777777" w:rsidR="001B7F77" w:rsidRPr="001B7F77" w:rsidRDefault="001B7F77" w:rsidP="00FD2721">
      <w:pPr>
        <w:widowControl w:val="0"/>
        <w:pBdr>
          <w:top w:val="nil"/>
          <w:left w:val="nil"/>
          <w:bottom w:val="nil"/>
          <w:right w:val="nil"/>
          <w:between w:val="nil"/>
        </w:pBdr>
        <w:suppressAutoHyphens/>
        <w:spacing w:before="120"/>
        <w:ind w:left="1440" w:hanging="360"/>
        <w:rPr>
          <w:rFonts w:eastAsia="Times"/>
          <w:szCs w:val="24"/>
          <w:u w:val="single"/>
        </w:rPr>
      </w:pPr>
      <w:r w:rsidRPr="001B7F77">
        <w:rPr>
          <w:rFonts w:eastAsia="Times"/>
          <w:color w:val="000000"/>
          <w:szCs w:val="24"/>
          <w:u w:val="single"/>
        </w:rPr>
        <w:t>Buildings classified as OL or NL shall comply with the provisions of Sections D703.13 and D703.14 and the provisions of D306.2 shall not apply.</w:t>
      </w:r>
    </w:p>
    <w:p w14:paraId="0116DF45" w14:textId="77777777" w:rsidR="001B7F77" w:rsidRPr="001B7F77" w:rsidRDefault="001B7F77" w:rsidP="00FD2721">
      <w:pPr>
        <w:widowControl w:val="0"/>
        <w:pBdr>
          <w:top w:val="nil"/>
          <w:left w:val="nil"/>
          <w:bottom w:val="nil"/>
          <w:right w:val="nil"/>
          <w:between w:val="nil"/>
        </w:pBdr>
        <w:suppressAutoHyphens/>
        <w:spacing w:before="120"/>
        <w:ind w:left="1440" w:hanging="360"/>
        <w:rPr>
          <w:rFonts w:eastAsia="Times"/>
          <w:color w:val="000000"/>
          <w:szCs w:val="24"/>
          <w:u w:val="single"/>
        </w:rPr>
      </w:pPr>
      <w:r w:rsidRPr="001B7F77">
        <w:rPr>
          <w:rFonts w:eastAsia="Times"/>
          <w:color w:val="000000"/>
          <w:szCs w:val="24"/>
          <w:u w:val="single"/>
        </w:rPr>
        <w:t>No enclosures shall be required for stairs or vertical openings from such cellar or basement, other than exit enclosures, provided all of the following conditions are met:</w:t>
      </w:r>
    </w:p>
    <w:p w14:paraId="6580090B" w14:textId="77777777" w:rsidR="001B7F77" w:rsidRPr="001B7F77" w:rsidRDefault="001B7F77" w:rsidP="00FD2721">
      <w:pPr>
        <w:widowControl w:val="0"/>
        <w:numPr>
          <w:ilvl w:val="1"/>
          <w:numId w:val="0"/>
        </w:numPr>
        <w:pBdr>
          <w:top w:val="nil"/>
          <w:left w:val="nil"/>
          <w:bottom w:val="nil"/>
          <w:right w:val="nil"/>
          <w:between w:val="nil"/>
        </w:pBdr>
        <w:suppressAutoHyphens/>
        <w:spacing w:before="120"/>
        <w:ind w:left="1980" w:hanging="540"/>
        <w:rPr>
          <w:rFonts w:eastAsia="Times"/>
          <w:szCs w:val="24"/>
          <w:u w:val="single"/>
        </w:rPr>
      </w:pPr>
      <w:r w:rsidRPr="001B7F77">
        <w:rPr>
          <w:rFonts w:eastAsia="Times"/>
          <w:color w:val="000000"/>
          <w:szCs w:val="24"/>
          <w:u w:val="single"/>
        </w:rPr>
        <w:t>such resulting fire area is separated from every other stair accessing upper stories by fire barriers and horizontal assemblies having at least a 2-hour fire-resistive rating;</w:t>
      </w:r>
    </w:p>
    <w:p w14:paraId="7BE7E6ED" w14:textId="77777777" w:rsidR="001B7F77" w:rsidRPr="001B7F77" w:rsidRDefault="001B7F77" w:rsidP="00FD2721">
      <w:pPr>
        <w:widowControl w:val="0"/>
        <w:numPr>
          <w:ilvl w:val="1"/>
          <w:numId w:val="0"/>
        </w:numPr>
        <w:pBdr>
          <w:top w:val="nil"/>
          <w:left w:val="nil"/>
          <w:bottom w:val="nil"/>
          <w:right w:val="nil"/>
          <w:between w:val="nil"/>
        </w:pBdr>
        <w:suppressAutoHyphens/>
        <w:spacing w:before="120"/>
        <w:ind w:left="1980" w:hanging="540"/>
        <w:rPr>
          <w:rFonts w:eastAsia="Times"/>
          <w:szCs w:val="24"/>
          <w:u w:val="single"/>
        </w:rPr>
      </w:pPr>
      <w:r w:rsidRPr="001B7F77">
        <w:rPr>
          <w:rFonts w:eastAsia="Times"/>
          <w:color w:val="000000"/>
          <w:szCs w:val="24"/>
          <w:u w:val="single"/>
        </w:rPr>
        <w:t>a full system of automatic sprinklers is installed throughout the building with a water-flow alarm connected to a central supervising station;</w:t>
      </w:r>
    </w:p>
    <w:p w14:paraId="0A93080A" w14:textId="77777777" w:rsidR="001B7F77" w:rsidRPr="001B7F77" w:rsidRDefault="001B7F77" w:rsidP="00FD2721">
      <w:pPr>
        <w:widowControl w:val="0"/>
        <w:numPr>
          <w:ilvl w:val="1"/>
          <w:numId w:val="0"/>
        </w:numPr>
        <w:pBdr>
          <w:top w:val="nil"/>
          <w:left w:val="nil"/>
          <w:bottom w:val="nil"/>
          <w:right w:val="nil"/>
          <w:between w:val="nil"/>
        </w:pBdr>
        <w:suppressAutoHyphens/>
        <w:spacing w:before="120"/>
        <w:ind w:left="1980" w:hanging="540"/>
        <w:rPr>
          <w:rFonts w:eastAsia="Times"/>
          <w:szCs w:val="24"/>
          <w:u w:val="single"/>
        </w:rPr>
      </w:pPr>
      <w:r w:rsidRPr="001B7F77">
        <w:rPr>
          <w:rFonts w:eastAsia="Times"/>
          <w:color w:val="000000"/>
          <w:szCs w:val="24"/>
          <w:u w:val="single"/>
        </w:rPr>
        <w:t xml:space="preserve">hard-wired smoke and carbon monoxide alarms or detectors are installed throughout the building as required for new construction in accordance with Chapter 9 of the </w:t>
      </w:r>
      <w:r w:rsidRPr="001B7F77">
        <w:rPr>
          <w:rFonts w:eastAsia="Times"/>
          <w:i/>
          <w:iCs/>
          <w:color w:val="000000"/>
          <w:szCs w:val="24"/>
          <w:u w:val="single"/>
        </w:rPr>
        <w:t>New York City Building Code</w:t>
      </w:r>
      <w:r w:rsidRPr="001B7F77">
        <w:rPr>
          <w:rFonts w:eastAsia="Times"/>
          <w:color w:val="000000"/>
          <w:szCs w:val="24"/>
          <w:u w:val="single"/>
        </w:rPr>
        <w:t>; and</w:t>
      </w:r>
    </w:p>
    <w:p w14:paraId="45A81783" w14:textId="77777777" w:rsidR="001B7F77" w:rsidRPr="001B7F77" w:rsidRDefault="001B7F77" w:rsidP="00FD2721">
      <w:pPr>
        <w:widowControl w:val="0"/>
        <w:numPr>
          <w:ilvl w:val="1"/>
          <w:numId w:val="0"/>
        </w:numPr>
        <w:pBdr>
          <w:top w:val="nil"/>
          <w:left w:val="nil"/>
          <w:bottom w:val="nil"/>
          <w:right w:val="nil"/>
          <w:between w:val="nil"/>
        </w:pBdr>
        <w:suppressAutoHyphens/>
        <w:spacing w:before="120"/>
        <w:ind w:left="1980" w:hanging="540"/>
        <w:rPr>
          <w:rFonts w:eastAsia="Times"/>
          <w:szCs w:val="24"/>
          <w:u w:val="single"/>
        </w:rPr>
      </w:pPr>
      <w:r w:rsidRPr="001B7F77">
        <w:rPr>
          <w:rFonts w:eastAsia="Times"/>
          <w:color w:val="000000"/>
          <w:szCs w:val="24"/>
          <w:u w:val="single"/>
        </w:rPr>
        <w:t xml:space="preserve">the building’s height and area comply with the height and area limitations of Chapter 5 of the </w:t>
      </w:r>
      <w:r w:rsidRPr="001B7F77">
        <w:rPr>
          <w:rFonts w:eastAsia="Times"/>
          <w:i/>
          <w:iCs/>
          <w:color w:val="000000"/>
          <w:szCs w:val="24"/>
          <w:u w:val="single"/>
        </w:rPr>
        <w:t>New York City Building Code</w:t>
      </w:r>
      <w:r w:rsidRPr="001B7F77">
        <w:rPr>
          <w:rFonts w:eastAsia="Times"/>
          <w:color w:val="000000"/>
          <w:szCs w:val="24"/>
          <w:u w:val="single"/>
        </w:rPr>
        <w:t xml:space="preserve"> based on the Type of construction.</w:t>
      </w:r>
    </w:p>
    <w:p w14:paraId="5C9AD90D" w14:textId="77777777" w:rsidR="001B7F77" w:rsidRPr="001B7F77" w:rsidRDefault="001B7F77" w:rsidP="00FD2721">
      <w:pPr>
        <w:pBdr>
          <w:top w:val="nil"/>
          <w:left w:val="nil"/>
          <w:bottom w:val="nil"/>
          <w:right w:val="nil"/>
          <w:between w:val="nil"/>
        </w:pBdr>
        <w:suppressAutoHyphens/>
        <w:spacing w:before="120"/>
        <w:ind w:left="360"/>
        <w:rPr>
          <w:rFonts w:eastAsia="Times"/>
          <w:color w:val="000000"/>
          <w:szCs w:val="24"/>
          <w:u w:val="single"/>
        </w:rPr>
      </w:pPr>
      <w:r w:rsidRPr="001B7F77">
        <w:rPr>
          <w:rFonts w:eastAsia="Times"/>
          <w:b/>
          <w:color w:val="000000"/>
          <w:szCs w:val="24"/>
          <w:u w:val="single"/>
        </w:rPr>
        <w:t xml:space="preserve">D306.3 Fire escapes (MDL 53). </w:t>
      </w:r>
      <w:r w:rsidRPr="001B7F77">
        <w:rPr>
          <w:rFonts w:eastAsia="Times"/>
          <w:color w:val="000000"/>
          <w:szCs w:val="24"/>
          <w:u w:val="single"/>
        </w:rPr>
        <w:t xml:space="preserve">For buildings erected prior to December 6, 1968, fire escapes shall be permitted as a second means of egress for Class A multiple dwellings that are not more than 6 stories and 75 feet (22 860 mm) in height. Every such fire escape erected after </w:t>
      </w:r>
      <w:r w:rsidRPr="001B7F77">
        <w:rPr>
          <w:rFonts w:eastAsia="Times"/>
          <w:szCs w:val="24"/>
          <w:u w:val="single"/>
        </w:rPr>
        <w:t>the effective date of the local law that added this section</w:t>
      </w:r>
      <w:r w:rsidRPr="001B7F77">
        <w:rPr>
          <w:rFonts w:eastAsia="Times"/>
          <w:color w:val="000000"/>
          <w:szCs w:val="24"/>
          <w:u w:val="single"/>
        </w:rPr>
        <w:t>, shall be located, arranged, constructed and maintained in accordance with Section D306.3 and rules of the department. Existing fire escapes shall be permitted to remain except as provided for in rules of the department.</w:t>
      </w:r>
    </w:p>
    <w:p w14:paraId="3B85A71B" w14:textId="77777777" w:rsidR="001B7F77" w:rsidRPr="001B7F77" w:rsidRDefault="001B7F77" w:rsidP="00FD2721">
      <w:pPr>
        <w:pBdr>
          <w:top w:val="nil"/>
          <w:left w:val="nil"/>
          <w:bottom w:val="nil"/>
          <w:right w:val="nil"/>
          <w:between w:val="nil"/>
        </w:pBdr>
        <w:suppressAutoHyphens/>
        <w:spacing w:before="120"/>
        <w:ind w:left="720"/>
        <w:rPr>
          <w:rFonts w:eastAsia="Times"/>
          <w:b/>
          <w:color w:val="000000"/>
          <w:szCs w:val="24"/>
          <w:u w:val="single"/>
        </w:rPr>
      </w:pPr>
      <w:r w:rsidRPr="001B7F77">
        <w:rPr>
          <w:rFonts w:eastAsia="Times"/>
          <w:b/>
          <w:color w:val="000000"/>
          <w:szCs w:val="24"/>
          <w:u w:val="single"/>
        </w:rPr>
        <w:t xml:space="preserve">Exception: </w:t>
      </w:r>
      <w:r w:rsidRPr="001B7F77">
        <w:rPr>
          <w:rFonts w:eastAsia="Times"/>
          <w:bCs/>
          <w:color w:val="000000"/>
          <w:szCs w:val="24"/>
          <w:u w:val="single"/>
        </w:rPr>
        <w:t>Penthouse</w:t>
      </w:r>
      <w:r w:rsidRPr="001B7F77">
        <w:rPr>
          <w:rFonts w:eastAsia="Times"/>
          <w:color w:val="000000"/>
          <w:szCs w:val="24"/>
          <w:u w:val="single"/>
        </w:rPr>
        <w:t xml:space="preserve"> structures located upon the roof of a sixth story and which form the upper level of multi-story dwelling units shall not be deemed a story for the purposes of applying Section D306.3, provided that the building is deemed to be 6 stories or less pursuant to Section 504.3 of the </w:t>
      </w:r>
      <w:r w:rsidRPr="001B7F77">
        <w:rPr>
          <w:rFonts w:eastAsia="Times"/>
          <w:i/>
          <w:iCs/>
          <w:color w:val="000000"/>
          <w:szCs w:val="24"/>
          <w:u w:val="single"/>
        </w:rPr>
        <w:t>New York City Building Code</w:t>
      </w:r>
      <w:r w:rsidRPr="001B7F77">
        <w:rPr>
          <w:rFonts w:eastAsia="Times"/>
          <w:color w:val="000000"/>
          <w:szCs w:val="24"/>
          <w:u w:val="single"/>
        </w:rPr>
        <w:t>.</w:t>
      </w:r>
    </w:p>
    <w:p w14:paraId="1168996B"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 xml:space="preserve">D306.3.1 Access from dwelling unit (MDL 53(1)). </w:t>
      </w:r>
      <w:r w:rsidRPr="001B7F77">
        <w:rPr>
          <w:rFonts w:eastAsia="Times"/>
          <w:color w:val="000000"/>
          <w:szCs w:val="24"/>
          <w:u w:val="single"/>
        </w:rPr>
        <w:t>Access to a fire-escape shall be from a living room or private hall in each apartment or suite of rooms at each story above the entrance story, and such access shall not include any window of a stairhall.</w:t>
      </w:r>
    </w:p>
    <w:p w14:paraId="74D252D8" w14:textId="77777777" w:rsidR="001B7F77" w:rsidRPr="001B7F77" w:rsidRDefault="001B7F77" w:rsidP="00FD2721">
      <w:pPr>
        <w:pBdr>
          <w:top w:val="nil"/>
          <w:left w:val="nil"/>
          <w:bottom w:val="nil"/>
          <w:right w:val="nil"/>
          <w:between w:val="nil"/>
        </w:pBdr>
        <w:suppressAutoHyphens/>
        <w:spacing w:before="120"/>
        <w:ind w:left="1080"/>
        <w:rPr>
          <w:rFonts w:eastAsia="Times"/>
          <w:color w:val="000000"/>
          <w:szCs w:val="24"/>
          <w:u w:val="single"/>
        </w:rPr>
      </w:pPr>
      <w:r w:rsidRPr="001B7F77">
        <w:rPr>
          <w:rFonts w:eastAsia="Times"/>
          <w:b/>
          <w:color w:val="000000"/>
          <w:szCs w:val="24"/>
          <w:u w:val="single"/>
        </w:rPr>
        <w:t xml:space="preserve">D306.3.1.1 Passage through public hall prohibited (MDL 53(1)(a)). </w:t>
      </w:r>
      <w:r w:rsidRPr="001B7F77">
        <w:rPr>
          <w:rFonts w:eastAsia="Times"/>
          <w:color w:val="000000"/>
          <w:szCs w:val="24"/>
          <w:u w:val="single"/>
        </w:rPr>
        <w:t>Such room or private hall shall be an integral part of such apartment or suite of rooms and accessible to every room thereof without passing through a public hall.</w:t>
      </w:r>
    </w:p>
    <w:p w14:paraId="43C1126B" w14:textId="77777777" w:rsidR="001B7F77" w:rsidRPr="001B7F77" w:rsidRDefault="001B7F77" w:rsidP="00FD2721">
      <w:pPr>
        <w:pBdr>
          <w:top w:val="nil"/>
          <w:left w:val="nil"/>
          <w:bottom w:val="nil"/>
          <w:right w:val="nil"/>
          <w:between w:val="nil"/>
        </w:pBdr>
        <w:suppressAutoHyphens/>
        <w:spacing w:before="120"/>
        <w:ind w:left="1080"/>
        <w:rPr>
          <w:rFonts w:eastAsia="Times"/>
          <w:color w:val="000000"/>
          <w:szCs w:val="24"/>
          <w:u w:val="single"/>
        </w:rPr>
      </w:pPr>
      <w:r w:rsidRPr="001B7F77">
        <w:rPr>
          <w:rFonts w:eastAsia="Times"/>
          <w:b/>
          <w:color w:val="000000"/>
          <w:szCs w:val="24"/>
          <w:u w:val="single"/>
        </w:rPr>
        <w:t xml:space="preserve">D306.3.1.2 Boarders or lodgers (MDL 53(1)(b)). </w:t>
      </w:r>
      <w:r w:rsidRPr="001B7F77">
        <w:rPr>
          <w:rFonts w:eastAsia="Times"/>
          <w:color w:val="000000"/>
          <w:szCs w:val="24"/>
          <w:u w:val="single"/>
        </w:rPr>
        <w:t>When one or more living rooms of any apartment or suite of rooms are rented to boarders or lodgers, every such room shall be directly accessible to a fire-escape without passing through a public hall, and for separately occupied living rooms access to fire-escapes shall be direct from such rooms without passing through a public hall or any other separately occupied room.</w:t>
      </w:r>
    </w:p>
    <w:p w14:paraId="60EC66B7" w14:textId="77777777" w:rsidR="001B7F77" w:rsidRPr="001B7F77" w:rsidRDefault="001B7F77" w:rsidP="00FD2721">
      <w:pPr>
        <w:pBdr>
          <w:top w:val="nil"/>
          <w:left w:val="nil"/>
          <w:bottom w:val="nil"/>
          <w:right w:val="nil"/>
          <w:between w:val="nil"/>
        </w:pBdr>
        <w:suppressAutoHyphens/>
        <w:spacing w:before="120"/>
        <w:ind w:left="1080"/>
        <w:rPr>
          <w:rFonts w:eastAsia="Times"/>
          <w:color w:val="000000"/>
          <w:szCs w:val="24"/>
          <w:u w:val="single"/>
        </w:rPr>
      </w:pPr>
      <w:r w:rsidRPr="001B7F77">
        <w:rPr>
          <w:rFonts w:eastAsia="Times"/>
          <w:b/>
          <w:color w:val="000000"/>
          <w:szCs w:val="24"/>
          <w:u w:val="single"/>
        </w:rPr>
        <w:t>D306.3.1.</w:t>
      </w:r>
      <w:r w:rsidRPr="001B7F77">
        <w:rPr>
          <w:rFonts w:eastAsia="Times"/>
          <w:b/>
          <w:szCs w:val="24"/>
          <w:u w:val="single"/>
        </w:rPr>
        <w:t>3</w:t>
      </w:r>
      <w:r w:rsidRPr="001B7F77">
        <w:rPr>
          <w:rFonts w:eastAsia="Times"/>
          <w:b/>
          <w:color w:val="000000"/>
          <w:szCs w:val="24"/>
          <w:u w:val="single"/>
        </w:rPr>
        <w:t xml:space="preserve"> Obstructions (MDL 53(1)(c)). </w:t>
      </w:r>
      <w:r w:rsidRPr="001B7F77">
        <w:rPr>
          <w:rFonts w:eastAsia="Times"/>
          <w:color w:val="000000"/>
          <w:szCs w:val="24"/>
          <w:u w:val="single"/>
        </w:rPr>
        <w:t>Access to any fire-escape shall not be obstructed by sinks or kitchen fixtures or in any other way. Iron bars, grilles, gates, or other obstructing devices on any window giving access to fire-escapes or to a required secondary means of egress shall be unlawful unless such devices are of a type approved by the Fire Commissioner, or as previously approved and prescribed by the Board of Standards and Appeals.</w:t>
      </w:r>
    </w:p>
    <w:p w14:paraId="682D5E22" w14:textId="77777777" w:rsidR="001B7F77" w:rsidRPr="001B7F77" w:rsidRDefault="001B7F77" w:rsidP="00FD2721">
      <w:pPr>
        <w:pBdr>
          <w:top w:val="nil"/>
          <w:left w:val="nil"/>
          <w:bottom w:val="nil"/>
          <w:right w:val="nil"/>
          <w:between w:val="nil"/>
        </w:pBdr>
        <w:suppressAutoHyphens/>
        <w:spacing w:before="120"/>
        <w:ind w:left="1080"/>
        <w:rPr>
          <w:rFonts w:eastAsia="Times"/>
          <w:color w:val="000000"/>
          <w:szCs w:val="24"/>
          <w:u w:val="single"/>
        </w:rPr>
      </w:pPr>
      <w:r w:rsidRPr="001B7F77">
        <w:rPr>
          <w:rFonts w:eastAsia="Times"/>
          <w:b/>
          <w:color w:val="000000"/>
          <w:szCs w:val="24"/>
          <w:u w:val="single"/>
        </w:rPr>
        <w:t>D306.3.1.</w:t>
      </w:r>
      <w:r w:rsidRPr="001B7F77">
        <w:rPr>
          <w:rFonts w:eastAsia="Times"/>
          <w:b/>
          <w:szCs w:val="24"/>
          <w:u w:val="single"/>
        </w:rPr>
        <w:t>4</w:t>
      </w:r>
      <w:r w:rsidRPr="001B7F77">
        <w:rPr>
          <w:rFonts w:eastAsia="Times"/>
          <w:b/>
          <w:color w:val="000000"/>
          <w:szCs w:val="24"/>
          <w:u w:val="single"/>
        </w:rPr>
        <w:t xml:space="preserve"> Minimum opening dimensions (MDL 53(1)(d)). </w:t>
      </w:r>
      <w:r w:rsidRPr="001B7F77">
        <w:rPr>
          <w:rFonts w:eastAsia="Times"/>
          <w:color w:val="000000"/>
          <w:szCs w:val="24"/>
          <w:u w:val="single"/>
        </w:rPr>
        <w:t>Every such fire-escape shall be accessible to one or more exterior doors or windows opening from the room, apartment, suite of rooms or other space which it serves as means of egress, and such window or door shall be 24 inches (610 mm) or more in clear width and 30 inches (762 mm) or more in clear height. The sill of any such window shall be within 36 inches (914 mm) of the floor.</w:t>
      </w:r>
    </w:p>
    <w:p w14:paraId="2F812E85"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 xml:space="preserve">D306.3.2 Location (MDL 53(2)). </w:t>
      </w:r>
      <w:r w:rsidRPr="001B7F77">
        <w:rPr>
          <w:rFonts w:eastAsia="Times"/>
          <w:color w:val="000000"/>
          <w:szCs w:val="24"/>
          <w:u w:val="single"/>
        </w:rPr>
        <w:t>A required fire-escape may be erected in any of the following places:</w:t>
      </w:r>
    </w:p>
    <w:p w14:paraId="09E27AF0" w14:textId="77777777" w:rsidR="001B7F77" w:rsidRPr="001B7F77" w:rsidRDefault="001B7F77" w:rsidP="00FD2721">
      <w:pPr>
        <w:suppressAutoHyphens/>
        <w:spacing w:before="120"/>
        <w:ind w:left="1440" w:hanging="360"/>
        <w:rPr>
          <w:rFonts w:eastAsia="Times"/>
          <w:szCs w:val="24"/>
          <w:u w:val="single"/>
        </w:rPr>
      </w:pPr>
      <w:r w:rsidRPr="001B7F77">
        <w:rPr>
          <w:rFonts w:eastAsia="Times"/>
          <w:szCs w:val="24"/>
          <w:u w:val="single"/>
        </w:rPr>
        <w:t>1.</w:t>
      </w:r>
      <w:r w:rsidRPr="001B7F77">
        <w:rPr>
          <w:rFonts w:eastAsia="Times"/>
          <w:szCs w:val="24"/>
          <w:u w:val="single"/>
        </w:rPr>
        <w:tab/>
        <w:t>On a wall facing a street or yard;</w:t>
      </w:r>
    </w:p>
    <w:p w14:paraId="5092FBC3" w14:textId="77777777" w:rsidR="001B7F77" w:rsidRPr="001B7F77" w:rsidRDefault="001B7F77" w:rsidP="00FD2721">
      <w:pPr>
        <w:suppressAutoHyphens/>
        <w:spacing w:before="120"/>
        <w:ind w:left="1440" w:hanging="360"/>
        <w:rPr>
          <w:rFonts w:eastAsia="Times"/>
          <w:szCs w:val="24"/>
          <w:u w:val="single"/>
        </w:rPr>
      </w:pPr>
      <w:r w:rsidRPr="001B7F77">
        <w:rPr>
          <w:rFonts w:eastAsia="Times"/>
          <w:szCs w:val="24"/>
          <w:u w:val="single"/>
        </w:rPr>
        <w:t>2.</w:t>
      </w:r>
      <w:r w:rsidRPr="001B7F77">
        <w:rPr>
          <w:rFonts w:eastAsia="Times"/>
          <w:szCs w:val="24"/>
          <w:u w:val="single"/>
        </w:rPr>
        <w:tab/>
        <w:t>In a court of a non-fireproof multiple dwelling to serve an apartment or suite of rooms which does not contain any room fronting upon a street or yard, or in any inner court 35 feet (10 668 mm) or more in its least horizontal dimension, provided the fire-escape does not project more than 48 inches (1 219 mm) from the wall of the dwelling and is directly connected at the bottom of such court with a fireproof passageway at least 36 inches (914 mm) wide and 7 feet (2 134 mm) high leading directly to a street unless the court itself leads to a street;</w:t>
      </w:r>
    </w:p>
    <w:p w14:paraId="31D158FC" w14:textId="77777777" w:rsidR="001B7F77" w:rsidRPr="001B7F77" w:rsidRDefault="001B7F77" w:rsidP="00FD2721">
      <w:pPr>
        <w:suppressAutoHyphens/>
        <w:spacing w:before="120"/>
        <w:ind w:left="1440" w:hanging="360"/>
        <w:rPr>
          <w:rFonts w:eastAsia="Times"/>
          <w:szCs w:val="24"/>
          <w:u w:val="single"/>
        </w:rPr>
      </w:pPr>
      <w:r w:rsidRPr="001B7F77">
        <w:rPr>
          <w:rFonts w:eastAsia="Times"/>
          <w:szCs w:val="24"/>
          <w:u w:val="single"/>
        </w:rPr>
        <w:t>3.</w:t>
      </w:r>
      <w:r w:rsidRPr="001B7F77">
        <w:rPr>
          <w:rFonts w:eastAsia="Times"/>
          <w:szCs w:val="24"/>
          <w:u w:val="single"/>
        </w:rPr>
        <w:tab/>
        <w:t>In any outer court 18 feet (5 486 mm) or more in width and 30 feet (9 144 mm) or less in length;</w:t>
      </w:r>
    </w:p>
    <w:p w14:paraId="474F79AA" w14:textId="77777777" w:rsidR="001B7F77" w:rsidRPr="001B7F77" w:rsidRDefault="001B7F77" w:rsidP="00FD2721">
      <w:pPr>
        <w:suppressAutoHyphens/>
        <w:spacing w:before="120"/>
        <w:ind w:left="1440" w:hanging="360"/>
        <w:rPr>
          <w:rFonts w:eastAsia="Times"/>
          <w:szCs w:val="24"/>
          <w:u w:val="single"/>
        </w:rPr>
      </w:pPr>
      <w:r w:rsidRPr="001B7F77">
        <w:rPr>
          <w:rFonts w:eastAsia="Times"/>
          <w:szCs w:val="24"/>
          <w:u w:val="single"/>
        </w:rPr>
        <w:t>4.</w:t>
      </w:r>
      <w:r w:rsidRPr="001B7F77">
        <w:rPr>
          <w:rFonts w:eastAsia="Times"/>
          <w:szCs w:val="24"/>
          <w:u w:val="single"/>
        </w:rPr>
        <w:tab/>
        <w:t xml:space="preserve">In any outer court more than 18 feet (5 486 mm) in width the length of which does not exceed its width by more than 70 </w:t>
      </w:r>
      <w:r w:rsidRPr="001B7F77">
        <w:rPr>
          <w:rFonts w:eastAsia="Times"/>
          <w:color w:val="000000"/>
          <w:szCs w:val="24"/>
          <w:u w:val="single"/>
        </w:rPr>
        <w:t>percent</w:t>
      </w:r>
      <w:r w:rsidRPr="001B7F77">
        <w:rPr>
          <w:rFonts w:eastAsia="Times"/>
          <w:szCs w:val="24"/>
          <w:u w:val="single"/>
        </w:rPr>
        <w:t>;</w:t>
      </w:r>
    </w:p>
    <w:p w14:paraId="4EFB387D" w14:textId="77777777" w:rsidR="001B7F77" w:rsidRPr="001B7F77" w:rsidRDefault="001B7F77" w:rsidP="00FD2721">
      <w:pPr>
        <w:suppressAutoHyphens/>
        <w:spacing w:before="120"/>
        <w:ind w:left="1440" w:hanging="360"/>
        <w:rPr>
          <w:rFonts w:eastAsia="Times"/>
          <w:szCs w:val="24"/>
          <w:u w:val="single"/>
        </w:rPr>
      </w:pPr>
      <w:r w:rsidRPr="001B7F77">
        <w:rPr>
          <w:rFonts w:eastAsia="Times"/>
          <w:szCs w:val="24"/>
          <w:u w:val="single"/>
        </w:rPr>
        <w:t>5.</w:t>
      </w:r>
      <w:r w:rsidRPr="001B7F77">
        <w:rPr>
          <w:rFonts w:eastAsia="Times"/>
          <w:szCs w:val="24"/>
          <w:u w:val="single"/>
        </w:rPr>
        <w:tab/>
        <w:t>In any outer court 10 feet (3 048 mm) or more in width at every point and situated on a lot line;</w:t>
      </w:r>
    </w:p>
    <w:p w14:paraId="16B2E310" w14:textId="77777777" w:rsidR="001B7F77" w:rsidRPr="001B7F77" w:rsidRDefault="001B7F77" w:rsidP="00FD2721">
      <w:pPr>
        <w:suppressAutoHyphens/>
        <w:spacing w:before="120"/>
        <w:ind w:left="1440" w:hanging="360"/>
        <w:rPr>
          <w:rFonts w:eastAsia="Times"/>
          <w:szCs w:val="24"/>
          <w:u w:val="single"/>
        </w:rPr>
      </w:pPr>
      <w:r w:rsidRPr="001B7F77">
        <w:rPr>
          <w:rFonts w:eastAsia="Times"/>
          <w:szCs w:val="24"/>
          <w:u w:val="single"/>
        </w:rPr>
        <w:t>6.</w:t>
      </w:r>
      <w:r w:rsidRPr="001B7F77">
        <w:rPr>
          <w:rFonts w:eastAsia="Times"/>
          <w:szCs w:val="24"/>
          <w:u w:val="single"/>
        </w:rPr>
        <w:tab/>
        <w:t>In any outer court 7 feet (2 137 mm) or more in width at every point which is situated on a lot line and extends from a street to a yard;</w:t>
      </w:r>
    </w:p>
    <w:p w14:paraId="67BD9382" w14:textId="77777777" w:rsidR="001B7F77" w:rsidRPr="001B7F77" w:rsidRDefault="001B7F77" w:rsidP="00FD2721">
      <w:pPr>
        <w:suppressAutoHyphens/>
        <w:spacing w:before="120"/>
        <w:ind w:left="1440" w:hanging="360"/>
        <w:rPr>
          <w:rFonts w:eastAsia="Times"/>
          <w:szCs w:val="24"/>
          <w:u w:val="single"/>
        </w:rPr>
      </w:pPr>
      <w:r w:rsidRPr="001B7F77">
        <w:rPr>
          <w:rFonts w:eastAsia="Times"/>
          <w:szCs w:val="24"/>
          <w:u w:val="single"/>
        </w:rPr>
        <w:t>7.</w:t>
      </w:r>
      <w:r w:rsidRPr="001B7F77">
        <w:rPr>
          <w:rFonts w:eastAsia="Times"/>
          <w:szCs w:val="24"/>
          <w:u w:val="single"/>
        </w:rPr>
        <w:tab/>
        <w:t xml:space="preserve">In a recess on the front wall of a multiple dwelling, provided the recess does not exceed 5 feet (1 524 mm) in depth, is used solely for fire-escape purposes and has 75 </w:t>
      </w:r>
      <w:r w:rsidRPr="001B7F77">
        <w:rPr>
          <w:rFonts w:eastAsia="Times"/>
          <w:color w:val="000000"/>
          <w:szCs w:val="24"/>
          <w:u w:val="single"/>
        </w:rPr>
        <w:t>percent</w:t>
      </w:r>
      <w:r w:rsidRPr="001B7F77">
        <w:rPr>
          <w:rFonts w:eastAsia="Times"/>
          <w:szCs w:val="24"/>
          <w:u w:val="single"/>
        </w:rPr>
        <w:t xml:space="preserve"> or more of its area open to the street, and is otherwise unenclosed and open at the top. No such recess shall be counted as a part of the unoccupied area of the premises or be construed as a court unless its entire area is open to the street.</w:t>
      </w:r>
    </w:p>
    <w:p w14:paraId="6ED0D2FE"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 xml:space="preserve">D306.3.3 Projection (MDL 53(3)). </w:t>
      </w:r>
      <w:r w:rsidRPr="001B7F77">
        <w:rPr>
          <w:rFonts w:eastAsia="Times"/>
          <w:color w:val="000000"/>
          <w:szCs w:val="24"/>
          <w:u w:val="single"/>
        </w:rPr>
        <w:t>No fire-escape may project more than 4 1/2 feet (1372 mm) into a public highway from the lot line of the multiple dwelling it serves. Every part of such fire-escape shall be at least 10 feet (3048 mm) above any sidewalk directly below.</w:t>
      </w:r>
    </w:p>
    <w:p w14:paraId="5C3B4246"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 xml:space="preserve">D306.3.4 Construction (MDL 53(4)). </w:t>
      </w:r>
      <w:r w:rsidRPr="001B7F77">
        <w:rPr>
          <w:rFonts w:eastAsia="Times"/>
          <w:color w:val="000000"/>
          <w:szCs w:val="24"/>
          <w:u w:val="single"/>
        </w:rPr>
        <w:t>Fire escapes shall be constructed in accordance with the following:</w:t>
      </w:r>
    </w:p>
    <w:p w14:paraId="686A55C3" w14:textId="77777777" w:rsidR="001B7F77" w:rsidRPr="001B7F77" w:rsidRDefault="001B7F77" w:rsidP="00FD2721">
      <w:pPr>
        <w:suppressAutoHyphens/>
        <w:spacing w:before="120"/>
        <w:ind w:left="1440" w:hanging="360"/>
        <w:rPr>
          <w:rFonts w:eastAsia="Times"/>
          <w:szCs w:val="24"/>
          <w:u w:val="single"/>
        </w:rPr>
      </w:pPr>
      <w:r w:rsidRPr="001B7F77">
        <w:rPr>
          <w:rFonts w:eastAsia="Times"/>
          <w:szCs w:val="24"/>
          <w:u w:val="single"/>
        </w:rPr>
        <w:t>1.</w:t>
      </w:r>
      <w:r w:rsidRPr="001B7F77">
        <w:rPr>
          <w:rFonts w:eastAsia="Times"/>
          <w:szCs w:val="24"/>
          <w:u w:val="single"/>
        </w:rPr>
        <w:tab/>
        <w:t>Every fire-escape shall be constructed of open balconies and stairways of iron or stone capable of sustaining a load of at least 80 pounds per square foot (391 kg/m</w:t>
      </w:r>
      <w:r w:rsidRPr="001B7F77">
        <w:rPr>
          <w:rFonts w:eastAsia="Times"/>
          <w:szCs w:val="24"/>
          <w:u w:val="single"/>
          <w:vertAlign w:val="superscript"/>
        </w:rPr>
        <w:t>2</w:t>
      </w:r>
      <w:r w:rsidRPr="001B7F77">
        <w:rPr>
          <w:rFonts w:eastAsia="Times"/>
          <w:szCs w:val="24"/>
          <w:u w:val="single"/>
        </w:rPr>
        <w:t>). The use or reuse of old materials or cast iron in the construction of fire-escapes shall be unlawful.</w:t>
      </w:r>
    </w:p>
    <w:p w14:paraId="52690DFA" w14:textId="77777777" w:rsidR="001B7F77" w:rsidRPr="001B7F77" w:rsidRDefault="001B7F77" w:rsidP="00FD2721">
      <w:pPr>
        <w:suppressAutoHyphens/>
        <w:spacing w:before="120"/>
        <w:ind w:left="1440" w:hanging="360"/>
        <w:rPr>
          <w:rFonts w:eastAsia="Times"/>
          <w:szCs w:val="24"/>
          <w:u w:val="single"/>
        </w:rPr>
      </w:pPr>
      <w:r w:rsidRPr="001B7F77">
        <w:rPr>
          <w:rFonts w:eastAsia="Times"/>
          <w:szCs w:val="24"/>
          <w:u w:val="single"/>
        </w:rPr>
        <w:t>2.</w:t>
      </w:r>
      <w:r w:rsidRPr="001B7F77">
        <w:rPr>
          <w:rFonts w:eastAsia="Times"/>
          <w:szCs w:val="24"/>
          <w:u w:val="single"/>
        </w:rPr>
        <w:tab/>
        <w:t>Balconies for fire-escapes shall be 36 inches (914 mm) or more in clear width.</w:t>
      </w:r>
    </w:p>
    <w:p w14:paraId="234A1E7E" w14:textId="77777777" w:rsidR="001B7F77" w:rsidRPr="001B7F77" w:rsidRDefault="001B7F77" w:rsidP="00FD2721">
      <w:pPr>
        <w:suppressAutoHyphens/>
        <w:spacing w:before="120"/>
        <w:ind w:left="1440" w:hanging="360"/>
        <w:rPr>
          <w:rFonts w:eastAsia="Times"/>
          <w:szCs w:val="24"/>
          <w:u w:val="single"/>
        </w:rPr>
      </w:pPr>
      <w:r w:rsidRPr="001B7F77">
        <w:rPr>
          <w:rFonts w:eastAsia="Times"/>
          <w:szCs w:val="24"/>
          <w:u w:val="single"/>
        </w:rPr>
        <w:t>3.</w:t>
      </w:r>
      <w:r w:rsidRPr="001B7F77">
        <w:rPr>
          <w:rFonts w:eastAsia="Times"/>
          <w:szCs w:val="24"/>
          <w:u w:val="single"/>
        </w:rPr>
        <w:tab/>
        <w:t>Every stairway shall be placed at an angle of 60 degrees (1 rad) or less with flat open steps at least 6 inches (152 mm) in width and 20 inches (508 mm) in length and with a maximum rise of 9 inches (229 mm).</w:t>
      </w:r>
    </w:p>
    <w:p w14:paraId="6D80861C" w14:textId="77777777" w:rsidR="001B7F77" w:rsidRPr="001B7F77" w:rsidRDefault="001B7F77" w:rsidP="00FD2721">
      <w:pPr>
        <w:suppressAutoHyphens/>
        <w:spacing w:before="120"/>
        <w:ind w:left="1440" w:hanging="360"/>
        <w:rPr>
          <w:rFonts w:eastAsia="Times"/>
          <w:szCs w:val="24"/>
          <w:u w:val="single"/>
        </w:rPr>
      </w:pPr>
      <w:r w:rsidRPr="001B7F77">
        <w:rPr>
          <w:rFonts w:eastAsia="Times"/>
          <w:szCs w:val="24"/>
          <w:u w:val="single"/>
        </w:rPr>
        <w:t>4.</w:t>
      </w:r>
      <w:r w:rsidRPr="001B7F77">
        <w:rPr>
          <w:rFonts w:eastAsia="Times"/>
          <w:szCs w:val="24"/>
          <w:u w:val="single"/>
        </w:rPr>
        <w:tab/>
        <w:t>The opening in any balcony for such a stairway shall be at least 21 inches (533 mm) by 28 inches (711 mm).</w:t>
      </w:r>
    </w:p>
    <w:p w14:paraId="76A5E52B"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 xml:space="preserve">D306.3.5 Drop ladders (MDL 53(5)). </w:t>
      </w:r>
      <w:r w:rsidRPr="001B7F77">
        <w:rPr>
          <w:rFonts w:eastAsia="Times"/>
          <w:color w:val="000000"/>
          <w:szCs w:val="24"/>
          <w:u w:val="single"/>
        </w:rPr>
        <w:t>Drop ladders shall be constructed in accordance with the following:</w:t>
      </w:r>
    </w:p>
    <w:p w14:paraId="55558C58" w14:textId="77777777" w:rsidR="001B7F77" w:rsidRPr="001B7F77" w:rsidRDefault="001B7F77" w:rsidP="00FD2721">
      <w:pPr>
        <w:suppressAutoHyphens/>
        <w:spacing w:before="120"/>
        <w:ind w:left="1440" w:hanging="360"/>
        <w:rPr>
          <w:rFonts w:eastAsia="Times"/>
          <w:szCs w:val="24"/>
          <w:u w:val="single"/>
        </w:rPr>
      </w:pPr>
      <w:r w:rsidRPr="001B7F77">
        <w:rPr>
          <w:rFonts w:eastAsia="Times"/>
          <w:szCs w:val="24"/>
          <w:u w:val="single"/>
        </w:rPr>
        <w:t>1.</w:t>
      </w:r>
      <w:r w:rsidRPr="001B7F77">
        <w:rPr>
          <w:rFonts w:eastAsia="Times"/>
          <w:szCs w:val="24"/>
          <w:u w:val="single"/>
        </w:rPr>
        <w:tab/>
        <w:t>There shall be provided from the lowest balcony a drop ladder 15 inches (381 mm) in width and of sufficient length to reach to a safe landing place beneath. Such ladder shall be constructed, located and arranged so as to be held in proper position at all times and, unless properly counter-balanced, shall be placed in guides so that it can be easily lowered.</w:t>
      </w:r>
    </w:p>
    <w:p w14:paraId="4DF5F132" w14:textId="77777777" w:rsidR="001B7F77" w:rsidRPr="001B7F77" w:rsidRDefault="001B7F77" w:rsidP="00FD2721">
      <w:pPr>
        <w:suppressAutoHyphens/>
        <w:spacing w:before="120"/>
        <w:ind w:left="1440" w:hanging="360"/>
        <w:rPr>
          <w:rFonts w:eastAsia="Times"/>
          <w:szCs w:val="24"/>
          <w:u w:val="single"/>
        </w:rPr>
      </w:pPr>
      <w:r w:rsidRPr="001B7F77">
        <w:rPr>
          <w:rFonts w:eastAsia="Times"/>
          <w:szCs w:val="24"/>
          <w:u w:val="single"/>
        </w:rPr>
        <w:t>2.</w:t>
      </w:r>
      <w:r w:rsidRPr="001B7F77">
        <w:rPr>
          <w:rFonts w:eastAsia="Times"/>
          <w:szCs w:val="24"/>
          <w:u w:val="single"/>
        </w:rPr>
        <w:tab/>
        <w:t>The distance from the lowest balcony to the ground or safe landing place beneath shall be not more than 16 feet (4 877 mm), except that the department may permit such lowest balcony to be up to 18 feet (5 486 mm) above a public sidewalk because of structural conditions in any multiple dwelling erected before April 18, 1929.</w:t>
      </w:r>
    </w:p>
    <w:p w14:paraId="6F32F436" w14:textId="77777777" w:rsidR="001B7F77" w:rsidRPr="001B7F77" w:rsidRDefault="001B7F77" w:rsidP="00FD2721">
      <w:pPr>
        <w:suppressAutoHyphens/>
        <w:spacing w:before="120"/>
        <w:ind w:left="1440" w:hanging="360"/>
        <w:rPr>
          <w:rFonts w:eastAsia="Times"/>
          <w:szCs w:val="24"/>
          <w:u w:val="single"/>
        </w:rPr>
      </w:pPr>
      <w:r w:rsidRPr="001B7F77">
        <w:rPr>
          <w:rFonts w:eastAsia="Times"/>
          <w:szCs w:val="24"/>
          <w:u w:val="single"/>
        </w:rPr>
        <w:t>3.</w:t>
      </w:r>
      <w:r w:rsidRPr="001B7F77">
        <w:rPr>
          <w:rFonts w:eastAsia="Times"/>
          <w:szCs w:val="24"/>
          <w:u w:val="single"/>
        </w:rPr>
        <w:tab/>
        <w:t>No drop ladder shall be required where the distance from the lowest balcony to a safe landing place beneath is 5 feet (1 524 mm) or less.</w:t>
      </w:r>
    </w:p>
    <w:p w14:paraId="10CFAEC9"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 xml:space="preserve">D306.3.6 Roof access (MDL 53(6)). </w:t>
      </w:r>
      <w:r w:rsidRPr="001B7F77">
        <w:rPr>
          <w:rFonts w:eastAsia="Times"/>
          <w:color w:val="000000"/>
          <w:szCs w:val="24"/>
          <w:u w:val="single"/>
        </w:rPr>
        <w:t>The balcony on the top story shall be provided with a stairway or a gooseneck ladder from such balcony to and above the roof and securely fastened thereto.</w:t>
      </w:r>
    </w:p>
    <w:p w14:paraId="0A710F8B" w14:textId="77777777" w:rsidR="001B7F77" w:rsidRPr="001B7F77" w:rsidRDefault="001B7F77" w:rsidP="00FD2721">
      <w:pPr>
        <w:pBdr>
          <w:top w:val="nil"/>
          <w:left w:val="nil"/>
          <w:bottom w:val="nil"/>
          <w:right w:val="nil"/>
          <w:between w:val="nil"/>
        </w:pBdr>
        <w:suppressAutoHyphens/>
        <w:spacing w:before="120"/>
        <w:ind w:left="1080"/>
        <w:rPr>
          <w:rFonts w:eastAsia="Times"/>
          <w:color w:val="000000"/>
          <w:szCs w:val="24"/>
          <w:u w:val="single"/>
        </w:rPr>
      </w:pPr>
      <w:r w:rsidRPr="001B7F77">
        <w:rPr>
          <w:rFonts w:eastAsia="Times"/>
          <w:b/>
          <w:bCs/>
          <w:color w:val="000000"/>
          <w:szCs w:val="24"/>
          <w:u w:val="single"/>
        </w:rPr>
        <w:t>Exceptions</w:t>
      </w:r>
      <w:r w:rsidRPr="001B7F77">
        <w:rPr>
          <w:rFonts w:eastAsia="Times"/>
          <w:color w:val="000000"/>
          <w:szCs w:val="24"/>
          <w:u w:val="single"/>
        </w:rPr>
        <w:t>: no such stairway or ladder shall be required:</w:t>
      </w:r>
    </w:p>
    <w:p w14:paraId="2E6DF5A7" w14:textId="77777777" w:rsidR="001B7F77" w:rsidRPr="001B7F77" w:rsidRDefault="001B7F77" w:rsidP="00FD2721">
      <w:pPr>
        <w:suppressAutoHyphens/>
        <w:spacing w:before="120"/>
        <w:ind w:left="1800" w:hanging="360"/>
        <w:rPr>
          <w:rFonts w:eastAsia="Times"/>
          <w:szCs w:val="24"/>
          <w:u w:val="single"/>
        </w:rPr>
      </w:pPr>
      <w:r w:rsidRPr="001B7F77">
        <w:rPr>
          <w:rFonts w:eastAsia="Times"/>
          <w:szCs w:val="24"/>
          <w:u w:val="single"/>
        </w:rPr>
        <w:t>1.</w:t>
      </w:r>
      <w:r w:rsidRPr="001B7F77">
        <w:rPr>
          <w:rFonts w:eastAsia="Times"/>
          <w:szCs w:val="24"/>
          <w:u w:val="single"/>
        </w:rPr>
        <w:tab/>
        <w:t>On multiple dwellings 2 stories or less in height erected after April 18, 1929.</w:t>
      </w:r>
    </w:p>
    <w:p w14:paraId="4B75DD50" w14:textId="77777777" w:rsidR="001B7F77" w:rsidRPr="001B7F77" w:rsidRDefault="001B7F77" w:rsidP="00FD2721">
      <w:pPr>
        <w:suppressAutoHyphens/>
        <w:spacing w:before="120"/>
        <w:ind w:left="1800" w:hanging="360"/>
        <w:rPr>
          <w:rFonts w:eastAsia="Times"/>
          <w:szCs w:val="24"/>
          <w:u w:val="single"/>
        </w:rPr>
      </w:pPr>
      <w:r w:rsidRPr="001B7F77">
        <w:rPr>
          <w:rFonts w:eastAsia="Times"/>
          <w:szCs w:val="24"/>
          <w:u w:val="single"/>
        </w:rPr>
        <w:t>2.</w:t>
      </w:r>
      <w:r w:rsidRPr="001B7F77">
        <w:rPr>
          <w:rFonts w:eastAsia="Times"/>
          <w:szCs w:val="24"/>
          <w:u w:val="single"/>
        </w:rPr>
        <w:tab/>
        <w:t>Wherever there is a peak roof with a pitch in excess of twenty degrees;</w:t>
      </w:r>
    </w:p>
    <w:p w14:paraId="03B81125" w14:textId="77777777" w:rsidR="001B7F77" w:rsidRPr="001B7F77" w:rsidRDefault="001B7F77" w:rsidP="00FD2721">
      <w:pPr>
        <w:suppressAutoHyphens/>
        <w:spacing w:before="120"/>
        <w:ind w:left="1800" w:hanging="360"/>
        <w:rPr>
          <w:rFonts w:eastAsia="Times"/>
          <w:szCs w:val="24"/>
          <w:u w:val="single"/>
        </w:rPr>
      </w:pPr>
      <w:r w:rsidRPr="001B7F77">
        <w:rPr>
          <w:rFonts w:eastAsia="Times"/>
          <w:szCs w:val="24"/>
          <w:u w:val="single"/>
        </w:rPr>
        <w:t>3.</w:t>
      </w:r>
      <w:r w:rsidRPr="001B7F77">
        <w:rPr>
          <w:rFonts w:eastAsia="Times"/>
          <w:szCs w:val="24"/>
          <w:u w:val="single"/>
        </w:rPr>
        <w:tab/>
        <w:t>When the fire-escape is on the front of the dwelling, in a recess on the front of the dwelling, or on an outer court opening to a street.</w:t>
      </w:r>
    </w:p>
    <w:p w14:paraId="47766C11"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 xml:space="preserve">D306.3.7 Painting (MDL 53(7)). </w:t>
      </w:r>
      <w:r w:rsidRPr="001B7F77">
        <w:rPr>
          <w:rFonts w:eastAsia="Times"/>
          <w:color w:val="000000"/>
          <w:szCs w:val="24"/>
          <w:u w:val="single"/>
        </w:rPr>
        <w:t>Every fire-escape if constructed of material subject to rusting shall be painted with two or more coats of paint in contrasting colors; in the case of a new fire-escape the first coat before erection, and the second coat after erection. Whenever a fire-escape becomes rusty, the owner shall repaint it with two additional coats of good paint.</w:t>
      </w:r>
    </w:p>
    <w:p w14:paraId="251CA7C9"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 xml:space="preserve">D306.3.8 Commissioners order (MDL 53(8)(a)). </w:t>
      </w:r>
      <w:r w:rsidRPr="001B7F77">
        <w:rPr>
          <w:rFonts w:eastAsia="Times"/>
          <w:color w:val="000000"/>
          <w:szCs w:val="24"/>
          <w:u w:val="single"/>
        </w:rPr>
        <w:t>Whenever a non-fireproof multiple dwelling is not provided with sufficient means of egress in case of fire, the commissioner may order such additional fire-escapes or balconies as in its judgment may be deemed necessary.</w:t>
      </w:r>
    </w:p>
    <w:p w14:paraId="575D9B2A"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 xml:space="preserve">D306.3.9 Good order and repair (MDL 53(8)(b)). </w:t>
      </w:r>
      <w:r w:rsidRPr="001B7F77">
        <w:rPr>
          <w:rFonts w:eastAsia="Times"/>
          <w:color w:val="000000"/>
          <w:szCs w:val="24"/>
          <w:u w:val="single"/>
        </w:rPr>
        <w:t>The owner of a multiple dwelling shall keep and maintain every fire-escape thereon in good order and repair.</w:t>
      </w:r>
    </w:p>
    <w:p w14:paraId="3D168F99"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 xml:space="preserve">D306.3.10 Encumbrances (MDL 53(8)(c)). </w:t>
      </w:r>
      <w:r w:rsidRPr="001B7F77">
        <w:rPr>
          <w:rFonts w:eastAsia="Times"/>
          <w:color w:val="000000"/>
          <w:szCs w:val="24"/>
          <w:u w:val="single"/>
        </w:rPr>
        <w:t>No person shall at any time place any encumbrance of any kind before or upon any fire-escape, or place or keep a cover of any kind over the stairway opening in a balcony of such fire-escape. The Fire Department shall enforce the Fire Code with respect to unlawful encumbrances or covers on fire escapes.</w:t>
      </w:r>
    </w:p>
    <w:p w14:paraId="258FA54B"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D306.3.11 Removals (MDL 53(9)).</w:t>
      </w:r>
      <w:r w:rsidRPr="001B7F77">
        <w:rPr>
          <w:rFonts w:eastAsia="Times"/>
          <w:color w:val="000000"/>
          <w:szCs w:val="24"/>
          <w:u w:val="single"/>
        </w:rPr>
        <w:t xml:space="preserve"> No fire-escape shall be removed from or constructed on any existing multiple dwelling without permission from the department. No fire-escape shall be removed from any apartment or suite of rooms without due precaution against leaving occupants of such apartment or suite of rooms without adequate means of egress in case of fire. A wire, chain cable, vertical ladder or rope fire-escape is an unlawful means of egress. Every such fire-escape, if required as a means of egress, shall be removed and replaced by a system of fire-escapes constructed and arranged as provided in this section.</w:t>
      </w:r>
    </w:p>
    <w:p w14:paraId="12C4F761" w14:textId="77777777" w:rsidR="001B7F77" w:rsidRPr="001B7F77" w:rsidRDefault="001B7F77" w:rsidP="00FD2721">
      <w:pPr>
        <w:widowControl w:val="0"/>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D306.3.12 Access to street.</w:t>
      </w:r>
      <w:r w:rsidRPr="001B7F77">
        <w:rPr>
          <w:rFonts w:eastAsia="Times"/>
          <w:color w:val="000000"/>
          <w:szCs w:val="24"/>
          <w:u w:val="single"/>
        </w:rPr>
        <w:t xml:space="preserve"> Every required second means of egress from an apartment or suite of rooms, including by means of a fire escape, into a rear yard or a court shall be provided with an approved path of egress to the street, by means of an open court or open yard that extends to the street, or by means of a fireproof passageway. Any such passageways shall be not less than 7 feet (2134 mm) in height and not less than 3 feet (914 mm) in width and shall at all times be kept clear and unobstructed. Doors and gates at the end of such passageways are prohibited, except that a door or gate equipped with an approved-type knob or panic bolt which shall be readily openable from the inside will be permitted at the building line. Doors and gates provided with keylocks or padlocks are prohibited. </w:t>
      </w:r>
    </w:p>
    <w:p w14:paraId="29530281" w14:textId="77777777" w:rsidR="001B7F77" w:rsidRPr="001B7F77" w:rsidRDefault="001B7F77" w:rsidP="00FD2721">
      <w:pPr>
        <w:widowControl w:val="0"/>
        <w:pBdr>
          <w:top w:val="nil"/>
          <w:left w:val="nil"/>
          <w:bottom w:val="nil"/>
          <w:right w:val="nil"/>
          <w:between w:val="nil"/>
        </w:pBdr>
        <w:suppressAutoHyphens/>
        <w:spacing w:before="120"/>
        <w:ind w:left="1080"/>
        <w:rPr>
          <w:rFonts w:eastAsia="Times"/>
          <w:color w:val="000000"/>
          <w:szCs w:val="24"/>
          <w:u w:val="single"/>
        </w:rPr>
      </w:pPr>
      <w:r w:rsidRPr="001B7F77">
        <w:rPr>
          <w:rFonts w:eastAsia="Times"/>
          <w:b/>
          <w:color w:val="000000"/>
          <w:szCs w:val="24"/>
          <w:u w:val="single"/>
        </w:rPr>
        <w:t>Exception for converted dwellings and OLs</w:t>
      </w:r>
      <w:r w:rsidRPr="001B7F77">
        <w:rPr>
          <w:rFonts w:eastAsia="Times"/>
          <w:color w:val="000000"/>
          <w:szCs w:val="24"/>
          <w:u w:val="single"/>
        </w:rPr>
        <w:t>.</w:t>
      </w:r>
      <w:r w:rsidRPr="001B7F77">
        <w:rPr>
          <w:rFonts w:eastAsia="Times"/>
          <w:b/>
          <w:color w:val="000000"/>
          <w:szCs w:val="24"/>
          <w:u w:val="single"/>
        </w:rPr>
        <w:t xml:space="preserve"> </w:t>
      </w:r>
      <w:r w:rsidRPr="001B7F77">
        <w:rPr>
          <w:rFonts w:eastAsia="Times"/>
          <w:color w:val="000000"/>
          <w:szCs w:val="24"/>
          <w:u w:val="single"/>
        </w:rPr>
        <w:t>For converted dwellings and OLs, access to the street is not required if either of the following conditions is met:</w:t>
      </w:r>
    </w:p>
    <w:p w14:paraId="7093E687" w14:textId="77777777" w:rsidR="001B7F77" w:rsidRPr="001B7F77" w:rsidRDefault="001B7F77" w:rsidP="00FD2721">
      <w:pPr>
        <w:widowControl w:val="0"/>
        <w:numPr>
          <w:ilvl w:val="0"/>
          <w:numId w:val="42"/>
        </w:numPr>
        <w:pBdr>
          <w:top w:val="nil"/>
          <w:left w:val="nil"/>
          <w:bottom w:val="nil"/>
          <w:right w:val="nil"/>
          <w:between w:val="nil"/>
        </w:pBdr>
        <w:suppressAutoHyphens/>
        <w:spacing w:before="120"/>
        <w:ind w:left="1800"/>
        <w:jc w:val="left"/>
        <w:rPr>
          <w:rFonts w:eastAsia="Times"/>
          <w:color w:val="000000"/>
          <w:szCs w:val="24"/>
          <w:u w:val="single"/>
        </w:rPr>
      </w:pPr>
      <w:r w:rsidRPr="001B7F77">
        <w:rPr>
          <w:rFonts w:eastAsia="Times"/>
          <w:color w:val="000000"/>
          <w:szCs w:val="24"/>
          <w:u w:val="single"/>
        </w:rPr>
        <w:t>The rear yard of the building is 30 feet (9 144 mm) or more in depth and the required second means of egress from an apartment or suite of rooms terminates in such rear yard or in a court that extends to such rear yard; or</w:t>
      </w:r>
    </w:p>
    <w:p w14:paraId="74FFB6CF" w14:textId="77777777" w:rsidR="001B7F77" w:rsidRPr="001B7F77" w:rsidRDefault="001B7F77" w:rsidP="00FD2721">
      <w:pPr>
        <w:widowControl w:val="0"/>
        <w:numPr>
          <w:ilvl w:val="0"/>
          <w:numId w:val="42"/>
        </w:numPr>
        <w:pBdr>
          <w:top w:val="nil"/>
          <w:left w:val="nil"/>
          <w:bottom w:val="nil"/>
          <w:right w:val="nil"/>
          <w:between w:val="nil"/>
        </w:pBdr>
        <w:suppressAutoHyphens/>
        <w:spacing w:before="120"/>
        <w:ind w:left="1800"/>
        <w:jc w:val="left"/>
        <w:rPr>
          <w:rFonts w:eastAsia="Times"/>
          <w:color w:val="000000"/>
          <w:szCs w:val="24"/>
          <w:u w:val="single"/>
        </w:rPr>
      </w:pPr>
      <w:r w:rsidRPr="001B7F77">
        <w:rPr>
          <w:rFonts w:eastAsia="Times"/>
          <w:color w:val="000000"/>
          <w:szCs w:val="24"/>
          <w:u w:val="single"/>
        </w:rPr>
        <w:t>The rear yard of the building is less than 30 feet (9 144 mm) in depth, but the required second means of egress from an apartment or suite of rooms terminates in such rear yard or in a court that extends to such rear yard, and from there to the rear yard of an adjoining premises. Such egress to the rear yard of an adjoining premises shall be permitted to be through a door or gate in a lot-line fence, provided, however, that such door or gate provides adequate egress and is not locked or secured in any manner except by a readily accessible, easy to open hook or bolt.</w:t>
      </w:r>
    </w:p>
    <w:p w14:paraId="11152773" w14:textId="77777777" w:rsidR="001B7F77" w:rsidRPr="001B7F77" w:rsidRDefault="001B7F77" w:rsidP="00FD2721">
      <w:pPr>
        <w:widowControl w:val="0"/>
        <w:numPr>
          <w:ilvl w:val="1"/>
          <w:numId w:val="42"/>
        </w:numPr>
        <w:pBdr>
          <w:top w:val="nil"/>
          <w:left w:val="nil"/>
          <w:bottom w:val="nil"/>
          <w:right w:val="nil"/>
          <w:between w:val="nil"/>
        </w:pBdr>
        <w:suppressAutoHyphens/>
        <w:spacing w:before="120"/>
        <w:ind w:left="2340" w:hanging="540"/>
        <w:jc w:val="left"/>
        <w:rPr>
          <w:rFonts w:eastAsia="Times"/>
          <w:color w:val="000000"/>
          <w:szCs w:val="24"/>
          <w:u w:val="single"/>
        </w:rPr>
      </w:pPr>
      <w:r w:rsidRPr="001B7F77">
        <w:rPr>
          <w:rFonts w:eastAsia="Times"/>
          <w:color w:val="000000"/>
          <w:szCs w:val="24"/>
          <w:u w:val="single"/>
        </w:rPr>
        <w:t xml:space="preserve">An owner of a converted dwelling or old law tenement requiring the egress shall not be deemed in violation of this Item 2 so long as egress to an adjoining premise’s rear yard exists and is unobstructed. </w:t>
      </w:r>
    </w:p>
    <w:p w14:paraId="7397312E" w14:textId="77777777" w:rsidR="001B7F77" w:rsidRPr="001B7F77" w:rsidRDefault="001B7F77" w:rsidP="00FD2721">
      <w:pPr>
        <w:widowControl w:val="0"/>
        <w:numPr>
          <w:ilvl w:val="1"/>
          <w:numId w:val="42"/>
        </w:numPr>
        <w:pBdr>
          <w:top w:val="nil"/>
          <w:left w:val="nil"/>
          <w:bottom w:val="nil"/>
          <w:right w:val="nil"/>
          <w:between w:val="nil"/>
        </w:pBdr>
        <w:suppressAutoHyphens/>
        <w:spacing w:before="120"/>
        <w:ind w:left="2340" w:hanging="540"/>
        <w:jc w:val="left"/>
        <w:rPr>
          <w:rFonts w:eastAsia="Times"/>
          <w:color w:val="000000"/>
          <w:szCs w:val="24"/>
          <w:u w:val="single"/>
        </w:rPr>
      </w:pPr>
      <w:r w:rsidRPr="001B7F77">
        <w:rPr>
          <w:rFonts w:eastAsia="Times"/>
          <w:color w:val="000000"/>
          <w:szCs w:val="24"/>
          <w:u w:val="single"/>
        </w:rPr>
        <w:t>If the actions of the owner of the adjoining premises results in the obstruction of any such egress, including by the construction of a rear yard enlargement removing the adjoining rear yard, the owner of the converted dwelling or old law tenement requiring the egress shall be in violation of this Item 2.</w:t>
      </w:r>
    </w:p>
    <w:p w14:paraId="0A4699B7" w14:textId="77777777" w:rsidR="001B7F77" w:rsidRPr="001B7F77" w:rsidRDefault="001B7F77" w:rsidP="00FD2721">
      <w:pPr>
        <w:widowControl w:val="0"/>
        <w:numPr>
          <w:ilvl w:val="1"/>
          <w:numId w:val="42"/>
        </w:numPr>
        <w:pBdr>
          <w:top w:val="nil"/>
          <w:left w:val="nil"/>
          <w:bottom w:val="nil"/>
          <w:right w:val="nil"/>
          <w:between w:val="nil"/>
        </w:pBdr>
        <w:suppressAutoHyphens/>
        <w:spacing w:before="120"/>
        <w:ind w:left="2340" w:hanging="540"/>
        <w:jc w:val="left"/>
        <w:rPr>
          <w:rFonts w:eastAsia="Times"/>
          <w:color w:val="000000"/>
          <w:szCs w:val="24"/>
          <w:u w:val="single"/>
        </w:rPr>
      </w:pPr>
      <w:r w:rsidRPr="001B7F77">
        <w:rPr>
          <w:rFonts w:eastAsia="Times"/>
          <w:color w:val="000000"/>
          <w:szCs w:val="24"/>
          <w:u w:val="single"/>
        </w:rPr>
        <w:t>The adjoining premises’ rear yard can change over time from one adjoining premises to another adjoining premises, and no egress easement permanently establishing any particular egress arrangement between adjoining owners shall be required by the department, until such time as an alteration is proposed that would increase the number of dwelling units or create new dwelling units that would rely on egress to the rear yard of an adjoining premises.</w:t>
      </w:r>
    </w:p>
    <w:p w14:paraId="5183B973" w14:textId="77777777" w:rsidR="001B7F77" w:rsidRPr="001B7F77" w:rsidRDefault="001B7F77" w:rsidP="00FD2721">
      <w:pPr>
        <w:pBdr>
          <w:top w:val="nil"/>
          <w:left w:val="nil"/>
          <w:bottom w:val="nil"/>
          <w:right w:val="nil"/>
          <w:between w:val="nil"/>
        </w:pBdr>
        <w:suppressAutoHyphens/>
        <w:spacing w:before="120"/>
        <w:ind w:left="1080"/>
        <w:rPr>
          <w:rFonts w:eastAsia="Times"/>
          <w:b/>
          <w:color w:val="000000"/>
          <w:szCs w:val="24"/>
          <w:u w:val="single"/>
        </w:rPr>
      </w:pPr>
      <w:r w:rsidRPr="001B7F77">
        <w:rPr>
          <w:rFonts w:eastAsia="Times"/>
          <w:b/>
          <w:color w:val="000000"/>
          <w:szCs w:val="24"/>
          <w:u w:val="single"/>
        </w:rPr>
        <w:t xml:space="preserve">D306.3.12.1 Rear yard enlargements. </w:t>
      </w:r>
      <w:r w:rsidRPr="001B7F77">
        <w:rPr>
          <w:rFonts w:eastAsia="Times"/>
          <w:bCs/>
          <w:color w:val="000000"/>
          <w:szCs w:val="24"/>
          <w:u w:val="single"/>
        </w:rPr>
        <w:t>No rear yard serving as a means of egress pursuant to Section D306.3.12 shall be obstructed with an enlargement unless an egress path is provided to the street.</w:t>
      </w:r>
    </w:p>
    <w:p w14:paraId="456E64EB" w14:textId="77777777" w:rsidR="001B7F77" w:rsidRPr="001B7F77" w:rsidRDefault="001B7F77" w:rsidP="00FD2721">
      <w:pPr>
        <w:pBdr>
          <w:top w:val="nil"/>
          <w:left w:val="nil"/>
          <w:bottom w:val="nil"/>
          <w:right w:val="nil"/>
          <w:between w:val="nil"/>
        </w:pBdr>
        <w:suppressAutoHyphens/>
        <w:spacing w:before="120"/>
        <w:ind w:left="1440"/>
        <w:rPr>
          <w:rFonts w:eastAsia="Times"/>
          <w:bCs/>
          <w:color w:val="000000"/>
          <w:szCs w:val="24"/>
          <w:u w:val="single"/>
        </w:rPr>
      </w:pPr>
      <w:r w:rsidRPr="001B7F77">
        <w:rPr>
          <w:rFonts w:eastAsia="Times"/>
          <w:b/>
          <w:color w:val="000000"/>
          <w:szCs w:val="24"/>
          <w:u w:val="single"/>
        </w:rPr>
        <w:t xml:space="preserve">Exception. </w:t>
      </w:r>
      <w:r w:rsidRPr="001B7F77">
        <w:rPr>
          <w:rFonts w:eastAsia="Times"/>
          <w:bCs/>
          <w:color w:val="000000"/>
          <w:szCs w:val="24"/>
          <w:u w:val="single"/>
        </w:rPr>
        <w:t>For converted dwellings and OLs, such egress path shall be permitted to extend to the rear yard of an adjoining premises.</w:t>
      </w:r>
    </w:p>
    <w:p w14:paraId="372253AE"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D306.3.13 Rules (MDL 53(10)).</w:t>
      </w:r>
      <w:r w:rsidRPr="001B7F77">
        <w:rPr>
          <w:rFonts w:eastAsia="Times"/>
          <w:color w:val="000000"/>
          <w:szCs w:val="24"/>
          <w:u w:val="single"/>
        </w:rPr>
        <w:t xml:space="preserve"> The department shall have the power to make supplementary rules relating to fire-escapes.</w:t>
      </w:r>
    </w:p>
    <w:p w14:paraId="3AF0F88D" w14:textId="77777777" w:rsidR="001B7F77" w:rsidRPr="001B7F77" w:rsidRDefault="001B7F77" w:rsidP="00FD2721">
      <w:pPr>
        <w:pBdr>
          <w:top w:val="nil"/>
          <w:left w:val="nil"/>
          <w:bottom w:val="nil"/>
          <w:right w:val="nil"/>
          <w:between w:val="nil"/>
        </w:pBdr>
        <w:suppressAutoHyphens/>
        <w:spacing w:before="120"/>
        <w:ind w:left="360"/>
        <w:rPr>
          <w:rFonts w:eastAsia="Times"/>
          <w:color w:val="000000"/>
          <w:szCs w:val="24"/>
          <w:u w:val="single"/>
        </w:rPr>
      </w:pPr>
      <w:bookmarkStart w:id="246" w:name="_Hlk80089212"/>
      <w:r w:rsidRPr="001B7F77">
        <w:rPr>
          <w:rFonts w:eastAsia="Times"/>
          <w:b/>
          <w:color w:val="000000"/>
          <w:szCs w:val="24"/>
          <w:u w:val="single"/>
        </w:rPr>
        <w:t xml:space="preserve">D306.4 </w:t>
      </w:r>
      <w:bookmarkEnd w:id="246"/>
      <w:r w:rsidRPr="001B7F77">
        <w:rPr>
          <w:rFonts w:eastAsia="Times"/>
          <w:b/>
          <w:color w:val="000000"/>
          <w:szCs w:val="24"/>
          <w:u w:val="single"/>
        </w:rPr>
        <w:t>Existing cellar entrances (MDL 54, 192 and 245).</w:t>
      </w:r>
      <w:r w:rsidRPr="001B7F77">
        <w:rPr>
          <w:rFonts w:eastAsia="Times"/>
          <w:color w:val="000000"/>
          <w:szCs w:val="24"/>
          <w:u w:val="single"/>
        </w:rPr>
        <w:t xml:space="preserve"> An existing direct entrance to the cellar, or to the lowest story if there be no cellar, from the outside of the multiple dwelling shall not be obstructed or diminished in any way which would result in noncompliance with Sections 54, 192, or 245 of the MDL or sections of the prior Tenement House Law. </w:t>
      </w:r>
    </w:p>
    <w:p w14:paraId="497C17DB" w14:textId="77777777" w:rsidR="001B7F77" w:rsidRPr="001B7F77" w:rsidRDefault="001B7F77" w:rsidP="00FD2721">
      <w:pPr>
        <w:pBdr>
          <w:top w:val="nil"/>
          <w:left w:val="nil"/>
          <w:bottom w:val="nil"/>
          <w:right w:val="nil"/>
          <w:between w:val="nil"/>
        </w:pBdr>
        <w:suppressAutoHyphens/>
        <w:spacing w:before="120"/>
        <w:ind w:left="360"/>
        <w:rPr>
          <w:rFonts w:eastAsia="Times"/>
          <w:color w:val="000000"/>
          <w:szCs w:val="24"/>
          <w:u w:val="single"/>
        </w:rPr>
      </w:pPr>
      <w:r w:rsidRPr="001B7F77">
        <w:rPr>
          <w:rFonts w:eastAsia="Times"/>
          <w:b/>
          <w:color w:val="000000"/>
          <w:szCs w:val="24"/>
          <w:u w:val="single"/>
        </w:rPr>
        <w:t xml:space="preserve">D306.5 Frame buildings and extensions (MDL 56). </w:t>
      </w:r>
      <w:r w:rsidRPr="001B7F77">
        <w:rPr>
          <w:rFonts w:eastAsia="Times"/>
          <w:color w:val="000000"/>
          <w:szCs w:val="24"/>
          <w:u w:val="single"/>
        </w:rPr>
        <w:t>The following limitations shall apply to frame buildings:</w:t>
      </w:r>
    </w:p>
    <w:p w14:paraId="38AC1635" w14:textId="77777777" w:rsidR="001B7F77" w:rsidRPr="001B7F77" w:rsidRDefault="001B7F77" w:rsidP="00FD2721">
      <w:pPr>
        <w:suppressAutoHyphens/>
        <w:spacing w:before="120"/>
        <w:ind w:left="1080" w:hanging="360"/>
        <w:rPr>
          <w:rFonts w:eastAsia="Times"/>
          <w:szCs w:val="24"/>
          <w:u w:val="single"/>
        </w:rPr>
      </w:pPr>
      <w:r w:rsidRPr="001B7F77">
        <w:rPr>
          <w:rFonts w:eastAsia="Times"/>
          <w:szCs w:val="24"/>
          <w:u w:val="single"/>
        </w:rPr>
        <w:t>1.</w:t>
      </w:r>
      <w:r w:rsidRPr="001B7F77">
        <w:rPr>
          <w:rFonts w:eastAsia="Times"/>
          <w:szCs w:val="24"/>
          <w:u w:val="single"/>
        </w:rPr>
        <w:tab/>
        <w:t>No frame multiple dwelling shall be erected and no frame dwelling not used as a multiple dwelling on April 18, 1929, shall be altered or converted to such use or occupancy.</w:t>
      </w:r>
    </w:p>
    <w:p w14:paraId="3CDCCD70" w14:textId="77777777" w:rsidR="001B7F77" w:rsidRPr="001B7F77" w:rsidRDefault="001B7F77" w:rsidP="00FD2721">
      <w:pPr>
        <w:suppressAutoHyphens/>
        <w:spacing w:before="120"/>
        <w:ind w:left="1080" w:hanging="360"/>
        <w:rPr>
          <w:rFonts w:eastAsia="Times"/>
          <w:szCs w:val="24"/>
          <w:u w:val="single"/>
        </w:rPr>
      </w:pPr>
      <w:r w:rsidRPr="001B7F77">
        <w:rPr>
          <w:rFonts w:eastAsia="Times"/>
          <w:szCs w:val="24"/>
          <w:u w:val="single"/>
        </w:rPr>
        <w:t>2.</w:t>
      </w:r>
      <w:r w:rsidRPr="001B7F77">
        <w:rPr>
          <w:rFonts w:eastAsia="Times"/>
          <w:szCs w:val="24"/>
          <w:u w:val="single"/>
        </w:rPr>
        <w:tab/>
        <w:t>No existing frame multiple dwelling shall be increased in height nor shall it be altered to permit a greater occupancy on any story than provided for on April 18, 1929.</w:t>
      </w:r>
    </w:p>
    <w:p w14:paraId="7DC227E3" w14:textId="77777777" w:rsidR="001B7F77" w:rsidRPr="001B7F77" w:rsidRDefault="001B7F77" w:rsidP="00FD2721">
      <w:pPr>
        <w:suppressAutoHyphens/>
        <w:spacing w:before="120"/>
        <w:ind w:left="1080" w:hanging="360"/>
        <w:rPr>
          <w:rFonts w:eastAsia="Times"/>
          <w:szCs w:val="24"/>
          <w:u w:val="single"/>
        </w:rPr>
      </w:pPr>
      <w:r w:rsidRPr="001B7F77">
        <w:rPr>
          <w:rFonts w:eastAsia="Times"/>
          <w:szCs w:val="24"/>
          <w:u w:val="single"/>
        </w:rPr>
        <w:t>3.</w:t>
      </w:r>
      <w:r w:rsidRPr="001B7F77">
        <w:rPr>
          <w:rFonts w:eastAsia="Times"/>
          <w:szCs w:val="24"/>
          <w:u w:val="single"/>
        </w:rPr>
        <w:tab/>
        <w:t>No frame building of any kind whatsoever shall be placed or built upon the same tax lot with any multiple dwelling.</w:t>
      </w:r>
    </w:p>
    <w:p w14:paraId="1C812661" w14:textId="77777777" w:rsidR="001B7F77" w:rsidRPr="001B7F77" w:rsidRDefault="001B7F77" w:rsidP="00FD2721">
      <w:pPr>
        <w:suppressAutoHyphens/>
        <w:spacing w:before="120"/>
        <w:ind w:left="1080" w:hanging="360"/>
        <w:rPr>
          <w:rFonts w:eastAsia="Times"/>
          <w:szCs w:val="24"/>
          <w:u w:val="single"/>
        </w:rPr>
      </w:pPr>
      <w:r w:rsidRPr="001B7F77">
        <w:rPr>
          <w:rFonts w:eastAsia="Times"/>
          <w:szCs w:val="24"/>
          <w:u w:val="single"/>
        </w:rPr>
        <w:t>4.</w:t>
      </w:r>
      <w:r w:rsidRPr="001B7F77">
        <w:rPr>
          <w:rFonts w:eastAsia="Times"/>
          <w:szCs w:val="24"/>
          <w:u w:val="single"/>
        </w:rPr>
        <w:tab/>
        <w:t>No multiple dwelling shall be placed or built upon the same tax lot with any frame building.</w:t>
      </w:r>
    </w:p>
    <w:p w14:paraId="21AA14E8" w14:textId="77777777" w:rsidR="001B7F77" w:rsidRPr="001B7F77" w:rsidRDefault="001B7F77" w:rsidP="00FD2721">
      <w:pPr>
        <w:suppressAutoHyphens/>
        <w:spacing w:before="120"/>
        <w:ind w:left="1080" w:hanging="360"/>
        <w:rPr>
          <w:rFonts w:eastAsia="Times"/>
          <w:szCs w:val="24"/>
          <w:u w:val="single"/>
        </w:rPr>
      </w:pPr>
      <w:r w:rsidRPr="001B7F77">
        <w:rPr>
          <w:rFonts w:eastAsia="Times"/>
          <w:szCs w:val="24"/>
          <w:u w:val="single"/>
        </w:rPr>
        <w:t>5.</w:t>
      </w:r>
      <w:r w:rsidRPr="001B7F77">
        <w:rPr>
          <w:rFonts w:eastAsia="Times"/>
          <w:szCs w:val="24"/>
          <w:u w:val="single"/>
        </w:rPr>
        <w:tab/>
        <w:t>No frame multiple dwelling, no wooden structure of any kind or class on the same tax lot with any frame dwelling or with any multiple dwelling, and no other building on the same tax lot with any frame dwelling, shall be altered or converted so as to be enlarged, extended or increased in height or bulk or in the number of rooms, apartments or dwelling units therein; except that an extension constructed with fireproof walls may be made to a frame building if the first story of such extension is used solely for business not prohibited by any local law or ordinance, or if such extension contains not more than one living room on any story.</w:t>
      </w:r>
    </w:p>
    <w:p w14:paraId="14F0CE91" w14:textId="77777777" w:rsidR="001B7F77" w:rsidRPr="001B7F77" w:rsidRDefault="001B7F77" w:rsidP="00FD2721">
      <w:pPr>
        <w:suppressAutoHyphens/>
        <w:spacing w:before="120"/>
        <w:ind w:left="1080" w:hanging="360"/>
        <w:rPr>
          <w:rFonts w:eastAsia="Times"/>
          <w:szCs w:val="24"/>
          <w:u w:val="single"/>
        </w:rPr>
      </w:pPr>
      <w:r w:rsidRPr="001B7F77">
        <w:rPr>
          <w:rFonts w:eastAsia="Times"/>
          <w:szCs w:val="24"/>
          <w:u w:val="single"/>
        </w:rPr>
        <w:t>6.</w:t>
      </w:r>
      <w:r w:rsidRPr="001B7F77">
        <w:rPr>
          <w:rFonts w:eastAsia="Times"/>
          <w:szCs w:val="24"/>
          <w:u w:val="single"/>
        </w:rPr>
        <w:tab/>
        <w:t xml:space="preserve">No frame building shall be converted to a multiple dwelling pursuant to Section D302 and no frame dwelling of one class or kind shall be converted to another class or kind pursuant to Section D303. </w:t>
      </w:r>
    </w:p>
    <w:p w14:paraId="753152AF" w14:textId="77777777" w:rsidR="001B7F77" w:rsidRPr="001B7F77" w:rsidRDefault="001B7F77" w:rsidP="00FD2721">
      <w:pPr>
        <w:widowControl w:val="0"/>
        <w:suppressAutoHyphens/>
        <w:spacing w:before="120"/>
        <w:ind w:left="1080"/>
        <w:rPr>
          <w:rFonts w:eastAsia="Times"/>
          <w:szCs w:val="24"/>
          <w:u w:val="single"/>
        </w:rPr>
      </w:pPr>
      <w:bookmarkStart w:id="247" w:name="_Hlk80083515"/>
      <w:r w:rsidRPr="001B7F77">
        <w:rPr>
          <w:rFonts w:eastAsia="Times"/>
          <w:b/>
          <w:szCs w:val="24"/>
          <w:u w:val="single"/>
        </w:rPr>
        <w:t>Exception (MDL 56(7)).</w:t>
      </w:r>
      <w:r w:rsidRPr="001B7F77">
        <w:rPr>
          <w:rFonts w:eastAsia="Times"/>
          <w:szCs w:val="24"/>
          <w:u w:val="single"/>
        </w:rPr>
        <w:t xml:space="preserve"> For any frame dwelling 3 stories or less in height, notwithstanding the provisions of Section D306.5, the conversion of that portion of said dwelling used as a store or other non-residential shall be permitted to be converted to no more than one additional apartment; provided, however, that all of the following provisions are met:</w:t>
      </w:r>
    </w:p>
    <w:p w14:paraId="003E04C1" w14:textId="77777777" w:rsidR="001B7F77" w:rsidRPr="001B7F77" w:rsidRDefault="001B7F77" w:rsidP="00FD2721">
      <w:pPr>
        <w:widowControl w:val="0"/>
        <w:numPr>
          <w:ilvl w:val="0"/>
          <w:numId w:val="39"/>
        </w:numPr>
        <w:pBdr>
          <w:top w:val="nil"/>
          <w:left w:val="nil"/>
          <w:bottom w:val="nil"/>
          <w:right w:val="nil"/>
          <w:between w:val="nil"/>
        </w:pBdr>
        <w:suppressAutoHyphens/>
        <w:spacing w:before="120"/>
        <w:ind w:left="1800"/>
        <w:jc w:val="left"/>
        <w:rPr>
          <w:rFonts w:eastAsia="Times"/>
          <w:szCs w:val="24"/>
          <w:u w:val="single"/>
        </w:rPr>
      </w:pPr>
      <w:r w:rsidRPr="001B7F77">
        <w:rPr>
          <w:rFonts w:eastAsia="Times"/>
          <w:color w:val="000000"/>
          <w:szCs w:val="24"/>
          <w:u w:val="single"/>
        </w:rPr>
        <w:t>such space has been vacant for at least 1 year;</w:t>
      </w:r>
    </w:p>
    <w:p w14:paraId="66491948" w14:textId="77777777" w:rsidR="001B7F77" w:rsidRPr="001B7F77" w:rsidRDefault="001B7F77" w:rsidP="00FD2721">
      <w:pPr>
        <w:widowControl w:val="0"/>
        <w:numPr>
          <w:ilvl w:val="0"/>
          <w:numId w:val="39"/>
        </w:numPr>
        <w:pBdr>
          <w:top w:val="nil"/>
          <w:left w:val="nil"/>
          <w:bottom w:val="nil"/>
          <w:right w:val="nil"/>
          <w:between w:val="nil"/>
        </w:pBdr>
        <w:suppressAutoHyphens/>
        <w:spacing w:before="120"/>
        <w:ind w:left="1800"/>
        <w:jc w:val="left"/>
        <w:rPr>
          <w:rFonts w:eastAsia="Times"/>
          <w:szCs w:val="24"/>
          <w:u w:val="single"/>
        </w:rPr>
      </w:pPr>
      <w:r w:rsidRPr="001B7F77">
        <w:rPr>
          <w:rFonts w:eastAsia="Times"/>
          <w:color w:val="000000"/>
          <w:szCs w:val="24"/>
          <w:u w:val="single"/>
        </w:rPr>
        <w:t xml:space="preserve">such space has a minimum of 300 square feet of floor area; </w:t>
      </w:r>
    </w:p>
    <w:p w14:paraId="1D5BCFB4" w14:textId="77777777" w:rsidR="001B7F77" w:rsidRPr="001B7F77" w:rsidRDefault="001B7F77" w:rsidP="00FD2721">
      <w:pPr>
        <w:widowControl w:val="0"/>
        <w:numPr>
          <w:ilvl w:val="0"/>
          <w:numId w:val="39"/>
        </w:numPr>
        <w:pBdr>
          <w:top w:val="nil"/>
          <w:left w:val="nil"/>
          <w:bottom w:val="nil"/>
          <w:right w:val="nil"/>
          <w:between w:val="nil"/>
        </w:pBdr>
        <w:suppressAutoHyphens/>
        <w:spacing w:before="120"/>
        <w:ind w:left="1800"/>
        <w:jc w:val="left"/>
        <w:rPr>
          <w:rFonts w:eastAsia="Times"/>
          <w:szCs w:val="24"/>
          <w:u w:val="single"/>
        </w:rPr>
      </w:pPr>
      <w:r w:rsidRPr="001B7F77">
        <w:rPr>
          <w:rFonts w:eastAsia="Times"/>
          <w:color w:val="000000"/>
          <w:szCs w:val="24"/>
          <w:u w:val="single"/>
        </w:rPr>
        <w:t xml:space="preserve">the conversion must be for a class "A" use; </w:t>
      </w:r>
    </w:p>
    <w:p w14:paraId="663BE782" w14:textId="77777777" w:rsidR="001B7F77" w:rsidRPr="001B7F77" w:rsidRDefault="001B7F77" w:rsidP="00FD2721">
      <w:pPr>
        <w:widowControl w:val="0"/>
        <w:numPr>
          <w:ilvl w:val="0"/>
          <w:numId w:val="39"/>
        </w:numPr>
        <w:pBdr>
          <w:top w:val="nil"/>
          <w:left w:val="nil"/>
          <w:bottom w:val="nil"/>
          <w:right w:val="nil"/>
          <w:between w:val="nil"/>
        </w:pBdr>
        <w:suppressAutoHyphens/>
        <w:spacing w:before="120"/>
        <w:ind w:left="1800"/>
        <w:jc w:val="left"/>
        <w:rPr>
          <w:rFonts w:eastAsia="Times"/>
          <w:szCs w:val="24"/>
          <w:u w:val="single"/>
        </w:rPr>
      </w:pPr>
      <w:r w:rsidRPr="001B7F77">
        <w:rPr>
          <w:rFonts w:eastAsia="Times"/>
          <w:color w:val="000000"/>
          <w:szCs w:val="24"/>
          <w:u w:val="single"/>
        </w:rPr>
        <w:t xml:space="preserve">said unit shall contain a cooking space and a complete bathroom; </w:t>
      </w:r>
    </w:p>
    <w:p w14:paraId="232D4C22" w14:textId="77777777" w:rsidR="001B7F77" w:rsidRPr="001B7F77" w:rsidRDefault="001B7F77" w:rsidP="00FD2721">
      <w:pPr>
        <w:widowControl w:val="0"/>
        <w:numPr>
          <w:ilvl w:val="0"/>
          <w:numId w:val="39"/>
        </w:numPr>
        <w:pBdr>
          <w:top w:val="nil"/>
          <w:left w:val="nil"/>
          <w:bottom w:val="nil"/>
          <w:right w:val="nil"/>
          <w:between w:val="nil"/>
        </w:pBdr>
        <w:suppressAutoHyphens/>
        <w:spacing w:before="120"/>
        <w:ind w:left="1800"/>
        <w:jc w:val="left"/>
        <w:rPr>
          <w:rFonts w:eastAsia="Times"/>
          <w:color w:val="000000"/>
          <w:szCs w:val="24"/>
          <w:u w:val="single"/>
        </w:rPr>
      </w:pPr>
      <w:r w:rsidRPr="001B7F77">
        <w:rPr>
          <w:rFonts w:eastAsia="Times"/>
          <w:color w:val="000000"/>
          <w:szCs w:val="24"/>
          <w:u w:val="single"/>
        </w:rPr>
        <w:t>all walls and ceilings of the new dwelling unit shall be separated from other dwelling units and from public halls, public vestibules, public rooms or other public parts of a dwelling by a minimum of 1-hour fire barriers and horizontal assemblies; and</w:t>
      </w:r>
    </w:p>
    <w:p w14:paraId="1BCE6907" w14:textId="77777777" w:rsidR="001B7F77" w:rsidRPr="001B7F77" w:rsidRDefault="001B7F77" w:rsidP="00FD2721">
      <w:pPr>
        <w:widowControl w:val="0"/>
        <w:numPr>
          <w:ilvl w:val="0"/>
          <w:numId w:val="39"/>
        </w:numPr>
        <w:pBdr>
          <w:top w:val="nil"/>
          <w:left w:val="nil"/>
          <w:bottom w:val="nil"/>
          <w:right w:val="nil"/>
          <w:between w:val="nil"/>
        </w:pBdr>
        <w:suppressAutoHyphens/>
        <w:spacing w:before="120"/>
        <w:ind w:left="1800"/>
        <w:jc w:val="left"/>
        <w:rPr>
          <w:rFonts w:eastAsia="Times"/>
          <w:szCs w:val="24"/>
          <w:u w:val="single"/>
        </w:rPr>
      </w:pPr>
      <w:r w:rsidRPr="001B7F77">
        <w:rPr>
          <w:rFonts w:eastAsia="Times"/>
          <w:color w:val="000000"/>
          <w:szCs w:val="24"/>
          <w:u w:val="single"/>
        </w:rPr>
        <w:t>the height and bulk of the dwelling shall not be increased except as provided for in this Section D306.5.</w:t>
      </w:r>
    </w:p>
    <w:bookmarkEnd w:id="247"/>
    <w:p w14:paraId="589FFF9E" w14:textId="77777777" w:rsidR="001B7F77" w:rsidRPr="001B7F77" w:rsidRDefault="001B7F77" w:rsidP="00FD2721">
      <w:pPr>
        <w:pBdr>
          <w:top w:val="nil"/>
          <w:left w:val="nil"/>
          <w:bottom w:val="nil"/>
          <w:right w:val="nil"/>
          <w:between w:val="nil"/>
        </w:pBdr>
        <w:suppressAutoHyphens/>
        <w:spacing w:before="120"/>
        <w:ind w:left="360"/>
        <w:rPr>
          <w:rFonts w:eastAsia="Times"/>
          <w:bCs/>
          <w:color w:val="000000"/>
          <w:szCs w:val="24"/>
          <w:u w:val="single"/>
        </w:rPr>
      </w:pPr>
      <w:r w:rsidRPr="001B7F77">
        <w:rPr>
          <w:rFonts w:eastAsia="Times"/>
          <w:b/>
          <w:color w:val="000000"/>
          <w:szCs w:val="24"/>
          <w:u w:val="single"/>
        </w:rPr>
        <w:t xml:space="preserve">D306.6 Business use. </w:t>
      </w:r>
      <w:r w:rsidRPr="001B7F77">
        <w:rPr>
          <w:rFonts w:eastAsia="Times"/>
          <w:bCs/>
          <w:color w:val="000000"/>
          <w:szCs w:val="24"/>
          <w:u w:val="single"/>
        </w:rPr>
        <w:t>Business uses in any multiple dwelling shall comply with Sections D306.6.1 through D306.6.4.</w:t>
      </w:r>
    </w:p>
    <w:p w14:paraId="0D1E3495"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 xml:space="preserve">D306.6.1 Walls and ceilings (MDL 61(5)). </w:t>
      </w:r>
      <w:r w:rsidRPr="001B7F77">
        <w:rPr>
          <w:rFonts w:eastAsia="Times"/>
          <w:color w:val="000000"/>
          <w:szCs w:val="24"/>
          <w:u w:val="single"/>
        </w:rPr>
        <w:t>Where business is conducted in any non-fireproof multiple dwelling, the department may require the walls and ceilings of any such business space to be separated from other dwelling units and from public halls, public vestibules, public rooms or other public parts of a dwelling by 1-hour fire barriers and horizontal assemblies, when the department shall deem such requirement necessary for the protection of the occupants.</w:t>
      </w:r>
    </w:p>
    <w:p w14:paraId="5AD3E5FC"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 xml:space="preserve">D306.6.2 Roofs of extensions for business use (MDL 61(6)). </w:t>
      </w:r>
      <w:r w:rsidRPr="001B7F77">
        <w:rPr>
          <w:rFonts w:eastAsia="Times"/>
          <w:color w:val="000000"/>
          <w:szCs w:val="24"/>
          <w:u w:val="single"/>
        </w:rPr>
        <w:t>If the ground story of any non-fireproof multiple dwelling is extended for business purposes after April 18, 1929, the underside of the ceiling-roof assembly shall have a minimum of a 1-hour fire-resistive rating. If there are fire-escapes above such extension, its roof shall be fireproof construction.</w:t>
      </w:r>
    </w:p>
    <w:p w14:paraId="0E2AD4AF" w14:textId="77777777" w:rsidR="001B7F77" w:rsidRPr="001B7F77" w:rsidRDefault="001B7F77" w:rsidP="00FD2721">
      <w:pPr>
        <w:pBdr>
          <w:top w:val="nil"/>
          <w:left w:val="nil"/>
          <w:bottom w:val="nil"/>
          <w:right w:val="nil"/>
          <w:between w:val="nil"/>
        </w:pBdr>
        <w:suppressAutoHyphens/>
        <w:spacing w:before="120"/>
        <w:ind w:left="720"/>
        <w:rPr>
          <w:rFonts w:eastAsia="Times"/>
          <w:szCs w:val="24"/>
          <w:u w:val="single"/>
        </w:rPr>
      </w:pPr>
      <w:r w:rsidRPr="001B7F77">
        <w:rPr>
          <w:rFonts w:eastAsia="Times"/>
          <w:b/>
          <w:szCs w:val="24"/>
          <w:u w:val="single"/>
        </w:rPr>
        <w:t>D306.6.3 Mixed occupancies.</w:t>
      </w:r>
      <w:r w:rsidRPr="001B7F77">
        <w:rPr>
          <w:rFonts w:eastAsia="Times"/>
          <w:szCs w:val="24"/>
          <w:u w:val="single"/>
        </w:rPr>
        <w:t xml:space="preserve"> In accordance with the </w:t>
      </w:r>
      <w:r w:rsidRPr="001B7F77">
        <w:rPr>
          <w:rFonts w:eastAsia="Times"/>
          <w:i/>
          <w:iCs/>
          <w:szCs w:val="24"/>
          <w:u w:val="single"/>
        </w:rPr>
        <w:t>New York City Building Code</w:t>
      </w:r>
      <w:r w:rsidRPr="001B7F77">
        <w:rPr>
          <w:rFonts w:eastAsia="Times"/>
          <w:szCs w:val="24"/>
          <w:u w:val="single"/>
        </w:rPr>
        <w:t>, egress shall be permitted to be shared by dwelling units and non-residential occupancies, provided that associated egress elements meet the more stringent requirements applicable to both occupancies.</w:t>
      </w:r>
    </w:p>
    <w:p w14:paraId="1C2DF2C7" w14:textId="77777777" w:rsidR="001B7F77" w:rsidRPr="001B7F77" w:rsidRDefault="001B7F77" w:rsidP="00FD2721">
      <w:pPr>
        <w:pBdr>
          <w:top w:val="nil"/>
          <w:left w:val="nil"/>
          <w:bottom w:val="nil"/>
          <w:right w:val="nil"/>
          <w:between w:val="nil"/>
        </w:pBdr>
        <w:suppressAutoHyphens/>
        <w:spacing w:before="120"/>
        <w:ind w:left="720"/>
        <w:rPr>
          <w:rFonts w:eastAsia="Times"/>
          <w:bCs/>
          <w:color w:val="000000"/>
          <w:szCs w:val="24"/>
          <w:u w:val="single"/>
        </w:rPr>
      </w:pPr>
      <w:r w:rsidRPr="001B7F77">
        <w:rPr>
          <w:rFonts w:eastAsia="Times"/>
          <w:b/>
          <w:color w:val="000000"/>
          <w:szCs w:val="24"/>
          <w:u w:val="single"/>
        </w:rPr>
        <w:t xml:space="preserve">D306.6.4 Bakeries and fat boiling (MDL 59). </w:t>
      </w:r>
      <w:r w:rsidRPr="001B7F77">
        <w:rPr>
          <w:rFonts w:eastAsia="Times"/>
          <w:bCs/>
          <w:color w:val="000000"/>
          <w:szCs w:val="24"/>
          <w:u w:val="single"/>
        </w:rPr>
        <w:t xml:space="preserve">The provisions of this section shall apply where a bakery or business place where fat is boiled is located on a tax lot containing a multiple dwelling. </w:t>
      </w:r>
    </w:p>
    <w:p w14:paraId="29C76E6C" w14:textId="77777777" w:rsidR="001B7F77" w:rsidRPr="001B7F77" w:rsidRDefault="001B7F77" w:rsidP="00FD2721">
      <w:pPr>
        <w:pBdr>
          <w:top w:val="nil"/>
          <w:left w:val="nil"/>
          <w:bottom w:val="nil"/>
          <w:right w:val="nil"/>
          <w:between w:val="nil"/>
        </w:pBdr>
        <w:suppressAutoHyphens/>
        <w:spacing w:before="120"/>
        <w:ind w:left="1080"/>
        <w:rPr>
          <w:rFonts w:eastAsia="Times"/>
          <w:b/>
          <w:color w:val="000000"/>
          <w:szCs w:val="24"/>
          <w:u w:val="single"/>
        </w:rPr>
      </w:pPr>
      <w:r w:rsidRPr="001B7F77">
        <w:rPr>
          <w:rFonts w:eastAsia="Times"/>
          <w:b/>
          <w:color w:val="000000"/>
          <w:szCs w:val="24"/>
          <w:u w:val="single"/>
        </w:rPr>
        <w:t xml:space="preserve">D306.6.4.1 Fire rated separations (MDL 59(1)). </w:t>
      </w:r>
      <w:r w:rsidRPr="001B7F77">
        <w:rPr>
          <w:rFonts w:eastAsia="Times"/>
          <w:bCs/>
          <w:color w:val="000000"/>
          <w:szCs w:val="24"/>
          <w:u w:val="single"/>
        </w:rPr>
        <w:t>It shall be unlawful to construct or maintain a bakery or a place of business where fat is boiled in any non-fireproof multiple dwelling or upon the lot on which such dwelling is situated, unless the ceiling, side walls and all exposed iron or wooden beams, girders and columns within the said bakery or business place where fat is boiled, are protected with fireproof assemblies.</w:t>
      </w:r>
    </w:p>
    <w:p w14:paraId="62E3EC90" w14:textId="77777777" w:rsidR="001B7F77" w:rsidRPr="001B7F77" w:rsidRDefault="001B7F77" w:rsidP="00FD2721">
      <w:pPr>
        <w:pBdr>
          <w:top w:val="nil"/>
          <w:left w:val="nil"/>
          <w:bottom w:val="nil"/>
          <w:right w:val="nil"/>
          <w:between w:val="nil"/>
        </w:pBdr>
        <w:suppressAutoHyphens/>
        <w:spacing w:before="120"/>
        <w:ind w:left="1080"/>
        <w:rPr>
          <w:rFonts w:eastAsia="Times"/>
          <w:b/>
          <w:color w:val="000000"/>
          <w:szCs w:val="24"/>
          <w:u w:val="single"/>
        </w:rPr>
      </w:pPr>
      <w:r w:rsidRPr="001B7F77">
        <w:rPr>
          <w:rFonts w:eastAsia="Times"/>
          <w:b/>
          <w:color w:val="000000"/>
          <w:szCs w:val="24"/>
          <w:u w:val="single"/>
        </w:rPr>
        <w:t xml:space="preserve">D306.6.4.2 Openings (MDL 59(2)(a), (b)). </w:t>
      </w:r>
      <w:r w:rsidRPr="001B7F77">
        <w:rPr>
          <w:rFonts w:eastAsia="Times"/>
          <w:bCs/>
          <w:color w:val="000000"/>
          <w:szCs w:val="24"/>
          <w:u w:val="single"/>
        </w:rPr>
        <w:t>There shall be no door, window, dumbwaiter shaft or other opening between such a bakery or business place where fat is boiled and any other part of the dwelling.</w:t>
      </w:r>
    </w:p>
    <w:p w14:paraId="5CF74D84" w14:textId="77777777" w:rsidR="001B7F77" w:rsidRPr="001B7F77" w:rsidRDefault="001B7F77" w:rsidP="00FD2721">
      <w:pPr>
        <w:pBdr>
          <w:top w:val="nil"/>
          <w:left w:val="nil"/>
          <w:bottom w:val="nil"/>
          <w:right w:val="nil"/>
          <w:between w:val="nil"/>
        </w:pBdr>
        <w:suppressAutoHyphens/>
        <w:spacing w:before="120"/>
        <w:ind w:left="1440"/>
        <w:rPr>
          <w:rFonts w:eastAsia="Times"/>
          <w:b/>
          <w:color w:val="000000"/>
          <w:szCs w:val="24"/>
          <w:u w:val="single"/>
        </w:rPr>
      </w:pPr>
      <w:r w:rsidRPr="001B7F77">
        <w:rPr>
          <w:rFonts w:eastAsia="Times"/>
          <w:b/>
          <w:color w:val="000000"/>
          <w:szCs w:val="24"/>
          <w:u w:val="single"/>
        </w:rPr>
        <w:t>Exceptions:</w:t>
      </w:r>
    </w:p>
    <w:p w14:paraId="1665AECD" w14:textId="77777777" w:rsidR="001B7F77" w:rsidRPr="001B7F77" w:rsidRDefault="001B7F77" w:rsidP="00FD2721">
      <w:pPr>
        <w:pBdr>
          <w:top w:val="nil"/>
          <w:left w:val="nil"/>
          <w:bottom w:val="nil"/>
          <w:right w:val="nil"/>
          <w:between w:val="nil"/>
        </w:pBdr>
        <w:suppressAutoHyphens/>
        <w:spacing w:before="120"/>
        <w:ind w:left="2160" w:hanging="360"/>
        <w:rPr>
          <w:rFonts w:eastAsia="Times"/>
          <w:bCs/>
          <w:color w:val="000000"/>
          <w:szCs w:val="24"/>
          <w:u w:val="single"/>
        </w:rPr>
      </w:pPr>
      <w:r w:rsidRPr="001B7F77">
        <w:rPr>
          <w:rFonts w:eastAsia="Times"/>
          <w:bCs/>
          <w:color w:val="000000"/>
          <w:szCs w:val="24"/>
          <w:u w:val="single"/>
        </w:rPr>
        <w:t>1.</w:t>
      </w:r>
      <w:r w:rsidRPr="001B7F77">
        <w:rPr>
          <w:rFonts w:eastAsia="Times"/>
          <w:bCs/>
          <w:color w:val="000000"/>
          <w:szCs w:val="24"/>
          <w:u w:val="single"/>
        </w:rPr>
        <w:tab/>
        <w:t>There may be access to the public parts of the dwelling from any bakery maintained therein if the product of such bakery is consumed exclusively within such dwelling.</w:t>
      </w:r>
    </w:p>
    <w:p w14:paraId="55EFACE3" w14:textId="77777777" w:rsidR="001B7F77" w:rsidRPr="001B7F77" w:rsidRDefault="001B7F77" w:rsidP="00FD2721">
      <w:pPr>
        <w:pBdr>
          <w:top w:val="nil"/>
          <w:left w:val="nil"/>
          <w:bottom w:val="nil"/>
          <w:right w:val="nil"/>
          <w:between w:val="nil"/>
        </w:pBdr>
        <w:suppressAutoHyphens/>
        <w:spacing w:before="120"/>
        <w:ind w:left="2160" w:hanging="360"/>
        <w:rPr>
          <w:rFonts w:eastAsia="Times"/>
          <w:bCs/>
          <w:color w:val="000000"/>
          <w:szCs w:val="24"/>
          <w:u w:val="single"/>
        </w:rPr>
      </w:pPr>
      <w:r w:rsidRPr="001B7F77">
        <w:rPr>
          <w:rFonts w:eastAsia="Times"/>
          <w:bCs/>
          <w:color w:val="000000"/>
          <w:szCs w:val="24"/>
          <w:u w:val="single"/>
        </w:rPr>
        <w:t>2.</w:t>
      </w:r>
      <w:r w:rsidRPr="001B7F77">
        <w:rPr>
          <w:rFonts w:eastAsia="Times"/>
          <w:bCs/>
          <w:color w:val="000000"/>
          <w:szCs w:val="24"/>
          <w:u w:val="single"/>
        </w:rPr>
        <w:tab/>
        <w:t xml:space="preserve">In a fireproof hotel where a retail bakery is maintained therein, there may be access to the public parts of the hotel, provided the door openings leading thereto from such bakery and the door assemblies are be protected in accordance with Section 716 of the </w:t>
      </w:r>
      <w:r w:rsidRPr="001B7F77">
        <w:rPr>
          <w:rFonts w:eastAsia="Times"/>
          <w:bCs/>
          <w:i/>
          <w:iCs/>
          <w:color w:val="000000"/>
          <w:szCs w:val="24"/>
          <w:u w:val="single"/>
        </w:rPr>
        <w:t>New York City Building Code</w:t>
      </w:r>
      <w:r w:rsidRPr="001B7F77">
        <w:rPr>
          <w:rFonts w:eastAsia="Times"/>
          <w:bCs/>
          <w:color w:val="000000"/>
          <w:szCs w:val="24"/>
          <w:u w:val="single"/>
        </w:rPr>
        <w:t xml:space="preserve">, and provided the public parts of such bakery premises are protected by sprinklers in accordance with Section 903 of the </w:t>
      </w:r>
      <w:r w:rsidRPr="001B7F77">
        <w:rPr>
          <w:rFonts w:eastAsia="Times"/>
          <w:bCs/>
          <w:i/>
          <w:iCs/>
          <w:color w:val="000000"/>
          <w:szCs w:val="24"/>
          <w:u w:val="single"/>
        </w:rPr>
        <w:t>New York City Building Code</w:t>
      </w:r>
      <w:r w:rsidRPr="001B7F77">
        <w:rPr>
          <w:rFonts w:eastAsia="Times"/>
          <w:bCs/>
          <w:color w:val="000000"/>
          <w:szCs w:val="24"/>
          <w:u w:val="single"/>
        </w:rPr>
        <w:t>.</w:t>
      </w:r>
    </w:p>
    <w:p w14:paraId="66C86611" w14:textId="77777777" w:rsidR="001B7F77" w:rsidRPr="001B7F77" w:rsidRDefault="001B7F77" w:rsidP="00FD2721">
      <w:pPr>
        <w:pBdr>
          <w:top w:val="nil"/>
          <w:left w:val="nil"/>
          <w:bottom w:val="nil"/>
          <w:right w:val="nil"/>
          <w:between w:val="nil"/>
        </w:pBdr>
        <w:suppressAutoHyphens/>
        <w:spacing w:before="120"/>
        <w:ind w:left="1080"/>
        <w:rPr>
          <w:rFonts w:eastAsia="Times"/>
          <w:bCs/>
          <w:color w:val="000000"/>
          <w:szCs w:val="24"/>
          <w:u w:val="single"/>
        </w:rPr>
      </w:pPr>
      <w:r w:rsidRPr="001B7F77">
        <w:rPr>
          <w:rFonts w:eastAsia="Times"/>
          <w:b/>
          <w:color w:val="000000"/>
          <w:szCs w:val="24"/>
          <w:u w:val="single"/>
        </w:rPr>
        <w:t>D306.6.4.3 Dumbwaiters (MDL 59(2)(c)).</w:t>
      </w:r>
      <w:r w:rsidRPr="001B7F77">
        <w:rPr>
          <w:rFonts w:eastAsia="Times"/>
          <w:bCs/>
          <w:color w:val="000000"/>
          <w:szCs w:val="24"/>
          <w:u w:val="single"/>
        </w:rPr>
        <w:t xml:space="preserve"> In bakeries in which no fat is boiled and on the premises of which there is no apparatus for fat boiling, a dumbwaiter communicating between the place where the baking is done and a bakery store above may be maintained if entirely enclosed in a brick shaft with walls 8 inches (457 mm) or more in thickness, without any openings whatever except one door opening into the bakeshop and one into the bakery store. Every such opening shall be provided with a door protected in accordance with Section 716 of the </w:t>
      </w:r>
      <w:r w:rsidRPr="001B7F77">
        <w:rPr>
          <w:rFonts w:eastAsia="Times"/>
          <w:bCs/>
          <w:i/>
          <w:iCs/>
          <w:color w:val="000000"/>
          <w:szCs w:val="24"/>
          <w:u w:val="single"/>
        </w:rPr>
        <w:t>New York City Building Code</w:t>
      </w:r>
      <w:r w:rsidRPr="001B7F77">
        <w:rPr>
          <w:rFonts w:eastAsia="Times"/>
          <w:bCs/>
          <w:color w:val="000000"/>
          <w:szCs w:val="24"/>
          <w:u w:val="single"/>
        </w:rPr>
        <w:t>, so arranged that when one door is open, the other is entirely closed.</w:t>
      </w:r>
    </w:p>
    <w:p w14:paraId="31007FB4" w14:textId="77777777" w:rsidR="001B7F77" w:rsidRPr="001B7F77" w:rsidRDefault="001B7F77" w:rsidP="00FD2721">
      <w:pPr>
        <w:pBdr>
          <w:top w:val="nil"/>
          <w:left w:val="nil"/>
          <w:bottom w:val="nil"/>
          <w:right w:val="nil"/>
          <w:between w:val="nil"/>
        </w:pBdr>
        <w:suppressAutoHyphens/>
        <w:spacing w:before="120"/>
        <w:ind w:left="360"/>
        <w:rPr>
          <w:rFonts w:eastAsia="Times"/>
          <w:bCs/>
          <w:color w:val="000000"/>
          <w:szCs w:val="24"/>
          <w:u w:val="single"/>
        </w:rPr>
      </w:pPr>
      <w:r w:rsidRPr="001B7F77">
        <w:rPr>
          <w:rFonts w:eastAsia="Times"/>
          <w:b/>
          <w:color w:val="000000"/>
          <w:szCs w:val="24"/>
          <w:u w:val="single"/>
        </w:rPr>
        <w:t>D306.7 Parapets, guard railings and wires (MDL 62).</w:t>
      </w:r>
      <w:r w:rsidRPr="001B7F77">
        <w:rPr>
          <w:rFonts w:eastAsia="Times"/>
          <w:bCs/>
          <w:color w:val="000000"/>
          <w:szCs w:val="24"/>
          <w:u w:val="single"/>
        </w:rPr>
        <w:t xml:space="preserve"> Parapets, guard railings and wires shall comply with sections 306.7.1 and 306.7.2. </w:t>
      </w:r>
    </w:p>
    <w:p w14:paraId="7B2FFAF2" w14:textId="77777777" w:rsidR="001B7F77" w:rsidRPr="001B7F77" w:rsidRDefault="001B7F77" w:rsidP="00FD2721">
      <w:pPr>
        <w:pBdr>
          <w:top w:val="nil"/>
          <w:left w:val="nil"/>
          <w:bottom w:val="nil"/>
          <w:right w:val="nil"/>
          <w:between w:val="nil"/>
        </w:pBdr>
        <w:suppressAutoHyphens/>
        <w:spacing w:before="120"/>
        <w:ind w:left="720"/>
        <w:rPr>
          <w:rFonts w:eastAsia="Times"/>
          <w:b/>
          <w:color w:val="000000"/>
          <w:szCs w:val="24"/>
          <w:u w:val="single"/>
        </w:rPr>
      </w:pPr>
      <w:r w:rsidRPr="001B7F77">
        <w:rPr>
          <w:rFonts w:eastAsia="Times"/>
          <w:b/>
          <w:color w:val="000000"/>
          <w:szCs w:val="24"/>
          <w:u w:val="single"/>
        </w:rPr>
        <w:t xml:space="preserve">D306.7.1 Parapets and guard railings (MDL 62(1)). </w:t>
      </w:r>
      <w:r w:rsidRPr="001B7F77">
        <w:rPr>
          <w:rFonts w:eastAsia="Times"/>
          <w:bCs/>
          <w:color w:val="000000"/>
          <w:szCs w:val="24"/>
          <w:u w:val="single"/>
        </w:rPr>
        <w:t xml:space="preserve">Guards shall not be reduced to less than required by Section 1510.8 of the </w:t>
      </w:r>
      <w:r w:rsidRPr="001B7F77">
        <w:rPr>
          <w:rFonts w:eastAsia="Times"/>
          <w:bCs/>
          <w:i/>
          <w:iCs/>
          <w:color w:val="000000"/>
          <w:szCs w:val="24"/>
          <w:u w:val="single"/>
        </w:rPr>
        <w:t>New York City Building Code.</w:t>
      </w:r>
      <w:r w:rsidRPr="001B7F77">
        <w:rPr>
          <w:rFonts w:eastAsia="Times"/>
          <w:bCs/>
          <w:color w:val="000000"/>
          <w:szCs w:val="24"/>
          <w:u w:val="single"/>
        </w:rPr>
        <w:t xml:space="preserve"> New conversions to a multiple dwelling subject to Section D302 and dwellings of one class or kind altered or converted to another class or kind subject to Section D303 shall comply Section 1510.8 of the </w:t>
      </w:r>
      <w:r w:rsidRPr="001B7F77">
        <w:rPr>
          <w:rFonts w:eastAsia="Times"/>
          <w:bCs/>
          <w:i/>
          <w:iCs/>
          <w:color w:val="000000"/>
          <w:szCs w:val="24"/>
          <w:u w:val="single"/>
        </w:rPr>
        <w:t>New York City Building Code</w:t>
      </w:r>
      <w:r w:rsidRPr="001B7F77">
        <w:rPr>
          <w:rFonts w:eastAsia="Times"/>
          <w:bCs/>
          <w:color w:val="000000"/>
          <w:szCs w:val="24"/>
          <w:u w:val="single"/>
        </w:rPr>
        <w:t xml:space="preserve"> as if newly constructed.</w:t>
      </w:r>
    </w:p>
    <w:p w14:paraId="7ABB1EF4"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 xml:space="preserve">D306.7.2 Wires attached to vent lines or fire escapes (MDL 62(2)). </w:t>
      </w:r>
      <w:r w:rsidRPr="001B7F77">
        <w:rPr>
          <w:rFonts w:eastAsia="Times"/>
          <w:color w:val="000000"/>
          <w:szCs w:val="24"/>
          <w:u w:val="single"/>
        </w:rPr>
        <w:t>No radio or television antennae and no other wires or conduits shall be attached to any soil or vent line extending above the roof nor to any fire escape.</w:t>
      </w:r>
    </w:p>
    <w:p w14:paraId="779F7F62" w14:textId="77777777" w:rsidR="001B7F77" w:rsidRPr="001B7F77" w:rsidRDefault="001B7F77" w:rsidP="00FD2721">
      <w:pPr>
        <w:pBdr>
          <w:top w:val="nil"/>
          <w:left w:val="nil"/>
          <w:bottom w:val="nil"/>
          <w:right w:val="nil"/>
          <w:between w:val="nil"/>
        </w:pBdr>
        <w:suppressAutoHyphens/>
        <w:spacing w:before="120"/>
        <w:ind w:left="360"/>
        <w:rPr>
          <w:rFonts w:eastAsia="Times"/>
          <w:color w:val="000000"/>
          <w:szCs w:val="24"/>
          <w:u w:val="single"/>
        </w:rPr>
      </w:pPr>
      <w:r w:rsidRPr="001B7F77">
        <w:rPr>
          <w:rFonts w:eastAsia="Times"/>
          <w:b/>
          <w:color w:val="000000"/>
          <w:szCs w:val="24"/>
          <w:u w:val="single"/>
        </w:rPr>
        <w:t xml:space="preserve">D306.8 Boiler rooms (MDL 65). </w:t>
      </w:r>
      <w:r w:rsidRPr="001B7F77">
        <w:rPr>
          <w:rFonts w:eastAsia="Times"/>
          <w:bCs/>
          <w:color w:val="000000"/>
          <w:szCs w:val="24"/>
          <w:u w:val="single"/>
        </w:rPr>
        <w:t xml:space="preserve">Boiler rooms shall be enclosed with noncombustible material in accordance with Table 509 of the </w:t>
      </w:r>
      <w:r w:rsidRPr="001B7F77">
        <w:rPr>
          <w:rFonts w:eastAsia="Times"/>
          <w:bCs/>
          <w:i/>
          <w:iCs/>
          <w:color w:val="000000"/>
          <w:szCs w:val="24"/>
          <w:u w:val="single"/>
        </w:rPr>
        <w:t>New York City Building Code</w:t>
      </w:r>
      <w:r w:rsidRPr="001B7F77">
        <w:rPr>
          <w:rFonts w:eastAsia="Times"/>
          <w:bCs/>
          <w:color w:val="000000"/>
          <w:szCs w:val="24"/>
          <w:u w:val="single"/>
        </w:rPr>
        <w:t>, but in no case shall such enclosure have less than 2-hour fire-resistance rating.</w:t>
      </w:r>
      <w:r w:rsidRPr="001B7F77">
        <w:rPr>
          <w:rFonts w:eastAsia="Times"/>
          <w:b/>
          <w:color w:val="000000"/>
          <w:szCs w:val="24"/>
          <w:u w:val="single"/>
        </w:rPr>
        <w:t xml:space="preserve"> </w:t>
      </w:r>
      <w:r w:rsidRPr="001B7F77">
        <w:rPr>
          <w:rFonts w:eastAsia="Times"/>
          <w:color w:val="000000"/>
          <w:szCs w:val="24"/>
          <w:u w:val="single"/>
        </w:rPr>
        <w:t xml:space="preserve">No alterations shall result in having to pass through any boiler room in order to access the remainder of the cellar or lowest story in which the boiler is located, and no alteration shall result in the installation of a cellar or basement stair or shaft within a boiler room. </w:t>
      </w:r>
    </w:p>
    <w:p w14:paraId="3CE6BF79" w14:textId="77777777" w:rsidR="001B7F77" w:rsidRPr="001B7F77" w:rsidRDefault="001B7F77" w:rsidP="00FD2721">
      <w:pPr>
        <w:pBdr>
          <w:top w:val="nil"/>
          <w:left w:val="nil"/>
          <w:bottom w:val="nil"/>
          <w:right w:val="nil"/>
          <w:between w:val="nil"/>
        </w:pBdr>
        <w:spacing w:before="120"/>
        <w:ind w:left="360"/>
        <w:contextualSpacing/>
        <w:rPr>
          <w:rFonts w:eastAsia="Calibri"/>
          <w:color w:val="000000"/>
          <w:szCs w:val="24"/>
          <w:u w:val="single"/>
        </w:rPr>
      </w:pPr>
      <w:bookmarkStart w:id="248" w:name="_Hlk78896006"/>
      <w:r w:rsidRPr="001B7F77">
        <w:rPr>
          <w:rFonts w:eastAsia="Calibri"/>
          <w:b/>
          <w:bCs/>
          <w:color w:val="000000"/>
          <w:szCs w:val="24"/>
          <w:u w:val="single"/>
        </w:rPr>
        <w:t xml:space="preserve">D306.9 Access to the rear yard of multiple dwellings (MDL 26(5)(f), 63(2)). </w:t>
      </w:r>
      <w:r w:rsidRPr="001B7F77">
        <w:rPr>
          <w:rFonts w:eastAsia="Calibri"/>
          <w:color w:val="000000"/>
          <w:szCs w:val="24"/>
          <w:u w:val="single"/>
        </w:rPr>
        <w:t>Existing access passageways between the street and the rear yard of a multiple dwelling shall be maintained and shall not be obstructed or diminished in any way that would result in noncompliance with MDL 26(5)(f) or MDL 63(2).</w:t>
      </w:r>
      <w:bookmarkEnd w:id="248"/>
      <w:r w:rsidRPr="001B7F77">
        <w:rPr>
          <w:rFonts w:eastAsia="Calibri"/>
          <w:color w:val="000000"/>
          <w:szCs w:val="24"/>
          <w:u w:val="single"/>
        </w:rPr>
        <w:t xml:space="preserve"> New conversions to a multiple dwelling subject to Section D302 and dwellings of one class or kind altered or converted to another class or kind subject to Section D303 shall comply with MDL 26(5)(f) and MDL 63(2). </w:t>
      </w:r>
    </w:p>
    <w:p w14:paraId="7B4C5BF2" w14:textId="77777777" w:rsidR="001B7F77" w:rsidRPr="001B7F77" w:rsidRDefault="001B7F77" w:rsidP="00FD2721">
      <w:pPr>
        <w:widowControl w:val="0"/>
        <w:pBdr>
          <w:top w:val="nil"/>
          <w:left w:val="nil"/>
          <w:bottom w:val="nil"/>
          <w:right w:val="nil"/>
          <w:between w:val="nil"/>
        </w:pBdr>
        <w:suppressAutoHyphens/>
        <w:spacing w:before="120"/>
        <w:ind w:left="360"/>
        <w:rPr>
          <w:rFonts w:eastAsia="Times"/>
          <w:color w:val="FF0000"/>
          <w:szCs w:val="24"/>
        </w:rPr>
      </w:pPr>
      <w:r w:rsidRPr="001B7F77">
        <w:rPr>
          <w:rFonts w:eastAsia="Times"/>
          <w:b/>
          <w:color w:val="000000"/>
          <w:szCs w:val="24"/>
          <w:u w:val="single"/>
        </w:rPr>
        <w:t>D306.10 Extension roofs.</w:t>
      </w:r>
      <w:r w:rsidRPr="001B7F77">
        <w:rPr>
          <w:rFonts w:eastAsia="Times"/>
          <w:color w:val="000000"/>
          <w:szCs w:val="24"/>
          <w:u w:val="single"/>
        </w:rPr>
        <w:t xml:space="preserve"> Where the roof of an extension is proposed to be used as a means of egress from a fire-escape, or where a fire-escape balcony is to be located directly above said roof, such roof shall be of fireproof construction. </w:t>
      </w:r>
    </w:p>
    <w:p w14:paraId="3B704EB2" w14:textId="77777777" w:rsidR="001B7F77" w:rsidRPr="001B7F77" w:rsidRDefault="001B7F77" w:rsidP="00FD2721">
      <w:pPr>
        <w:widowControl w:val="0"/>
        <w:pBdr>
          <w:top w:val="nil"/>
          <w:left w:val="nil"/>
          <w:bottom w:val="nil"/>
          <w:right w:val="nil"/>
          <w:between w:val="nil"/>
        </w:pBdr>
        <w:suppressAutoHyphens/>
        <w:spacing w:before="120"/>
        <w:ind w:left="360"/>
        <w:rPr>
          <w:rFonts w:eastAsia="Times"/>
          <w:color w:val="000000"/>
          <w:szCs w:val="24"/>
          <w:u w:val="single"/>
        </w:rPr>
      </w:pPr>
      <w:r w:rsidRPr="001B7F77">
        <w:rPr>
          <w:rFonts w:eastAsia="Times"/>
          <w:b/>
          <w:color w:val="000000"/>
          <w:szCs w:val="24"/>
          <w:u w:val="single"/>
        </w:rPr>
        <w:t xml:space="preserve">D306.11 Fire divisions (C26-254.0, C26-631.0, C26-632.0). </w:t>
      </w:r>
      <w:r w:rsidRPr="001B7F77">
        <w:rPr>
          <w:rFonts w:eastAsia="Times"/>
          <w:color w:val="000000"/>
          <w:szCs w:val="24"/>
          <w:u w:val="single"/>
        </w:rPr>
        <w:t>For non-fireproof multiple dwellings erected prior to December 6, 1968, the maximum area between fire walls shall be 3,000 square feet (278.5 m</w:t>
      </w:r>
      <w:r w:rsidRPr="001B7F77">
        <w:rPr>
          <w:rFonts w:eastAsia="Times"/>
          <w:color w:val="000000"/>
          <w:szCs w:val="24"/>
          <w:u w:val="single"/>
          <w:vertAlign w:val="superscript"/>
        </w:rPr>
        <w:t>2</w:t>
      </w:r>
      <w:r w:rsidRPr="001B7F77">
        <w:rPr>
          <w:rFonts w:eastAsia="Times"/>
          <w:color w:val="000000"/>
          <w:szCs w:val="24"/>
          <w:u w:val="single"/>
        </w:rPr>
        <w:t xml:space="preserve">), measured including exterior wall thicknesses. Such fire walls shall be noncombustible affording a 4-hour </w:t>
      </w:r>
      <w:r w:rsidRPr="001B7F77">
        <w:rPr>
          <w:rFonts w:eastAsia="Times"/>
          <w:szCs w:val="24"/>
          <w:u w:val="single"/>
        </w:rPr>
        <w:t>fire-resistive</w:t>
      </w:r>
      <w:r w:rsidRPr="001B7F77">
        <w:rPr>
          <w:rFonts w:eastAsia="Times"/>
          <w:color w:val="000000"/>
          <w:szCs w:val="24"/>
          <w:u w:val="single"/>
        </w:rPr>
        <w:t xml:space="preserve"> rating and shall be continuous from the foundation to the roof. Alterations shall not reduce the degree of noncompliance with these requirements.</w:t>
      </w:r>
    </w:p>
    <w:p w14:paraId="5E87DF33" w14:textId="77777777" w:rsidR="001B7F77" w:rsidRPr="001B7F77" w:rsidRDefault="001B7F77" w:rsidP="00FD2721">
      <w:pPr>
        <w:widowControl w:val="0"/>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 xml:space="preserve">Exception: </w:t>
      </w:r>
      <w:r w:rsidRPr="001B7F77">
        <w:rPr>
          <w:rFonts w:eastAsia="Times"/>
          <w:color w:val="000000"/>
          <w:szCs w:val="24"/>
          <w:u w:val="single"/>
        </w:rPr>
        <w:t xml:space="preserve">Buildings that are fully sprinklered and that comply with the height and area limitations of Chapter 5 of the </w:t>
      </w:r>
      <w:r w:rsidRPr="001B7F77">
        <w:rPr>
          <w:rFonts w:eastAsia="Times"/>
          <w:i/>
          <w:iCs/>
          <w:color w:val="000000"/>
          <w:szCs w:val="24"/>
          <w:u w:val="single"/>
        </w:rPr>
        <w:t>New York City Building Code</w:t>
      </w:r>
      <w:r w:rsidRPr="001B7F77">
        <w:rPr>
          <w:rFonts w:eastAsia="Times"/>
          <w:color w:val="000000"/>
          <w:szCs w:val="24"/>
          <w:u w:val="single"/>
        </w:rPr>
        <w:t>.</w:t>
      </w:r>
    </w:p>
    <w:p w14:paraId="1D8A8DE2" w14:textId="77777777" w:rsidR="001B7F77" w:rsidRPr="001B7F77" w:rsidRDefault="001B7F77" w:rsidP="00FD2721">
      <w:pPr>
        <w:widowControl w:val="0"/>
        <w:pBdr>
          <w:top w:val="nil"/>
          <w:left w:val="nil"/>
          <w:bottom w:val="nil"/>
          <w:right w:val="nil"/>
          <w:between w:val="nil"/>
        </w:pBdr>
        <w:suppressAutoHyphens/>
        <w:spacing w:before="120"/>
        <w:ind w:left="360"/>
        <w:rPr>
          <w:rFonts w:eastAsia="Times"/>
          <w:b/>
          <w:color w:val="000000"/>
          <w:szCs w:val="24"/>
        </w:rPr>
      </w:pPr>
      <w:r w:rsidRPr="001B7F77">
        <w:rPr>
          <w:rFonts w:eastAsia="Times"/>
          <w:b/>
          <w:color w:val="000000"/>
          <w:szCs w:val="24"/>
          <w:u w:val="single"/>
        </w:rPr>
        <w:t xml:space="preserve">D306.12 Bearing of joists (C26-528.0). </w:t>
      </w:r>
      <w:r w:rsidRPr="001B7F77">
        <w:rPr>
          <w:rFonts w:eastAsia="Times"/>
          <w:color w:val="000000"/>
          <w:szCs w:val="24"/>
          <w:u w:val="single"/>
        </w:rPr>
        <w:t>For non-fireproof multiple dwellings erected prior to December 6, 1968, the ends of floor and roof joists and beams shall be supported in accordance with the requirements of Section 803.11.</w:t>
      </w:r>
      <w:r w:rsidRPr="001B7F77">
        <w:rPr>
          <w:rFonts w:eastAsia="Times"/>
          <w:color w:val="000000"/>
          <w:szCs w:val="24"/>
        </w:rPr>
        <w:t xml:space="preserve"> </w:t>
      </w:r>
    </w:p>
    <w:p w14:paraId="6771CF39" w14:textId="77777777" w:rsidR="001B7F77" w:rsidRPr="001B7F77" w:rsidRDefault="001B7F77" w:rsidP="00FD2721">
      <w:pPr>
        <w:widowControl w:val="0"/>
        <w:pBdr>
          <w:top w:val="nil"/>
          <w:left w:val="nil"/>
          <w:bottom w:val="nil"/>
          <w:right w:val="nil"/>
          <w:between w:val="nil"/>
        </w:pBdr>
        <w:suppressAutoHyphens/>
        <w:spacing w:before="120"/>
        <w:ind w:left="360"/>
        <w:rPr>
          <w:rFonts w:eastAsia="Times"/>
          <w:color w:val="000000"/>
          <w:szCs w:val="24"/>
          <w:u w:val="single"/>
        </w:rPr>
      </w:pPr>
      <w:r w:rsidRPr="001B7F77">
        <w:rPr>
          <w:rFonts w:eastAsia="Times"/>
          <w:b/>
          <w:color w:val="000000"/>
          <w:szCs w:val="24"/>
          <w:u w:val="single"/>
        </w:rPr>
        <w:t xml:space="preserve">D306.13 Fire barriers, horizontal assemblies and fire-retarding (MDL 152(2), 152(3), 152(7)). </w:t>
      </w:r>
      <w:r w:rsidRPr="001B7F77">
        <w:rPr>
          <w:rFonts w:eastAsia="Times"/>
          <w:color w:val="000000"/>
          <w:szCs w:val="24"/>
          <w:u w:val="single"/>
        </w:rPr>
        <w:t xml:space="preserve">Fire barriers or horizontal assemblies in accordance with Chapter 7 of the </w:t>
      </w:r>
      <w:r w:rsidRPr="001B7F77">
        <w:rPr>
          <w:rFonts w:eastAsia="Times"/>
          <w:i/>
          <w:iCs/>
          <w:color w:val="000000"/>
          <w:szCs w:val="24"/>
          <w:u w:val="single"/>
        </w:rPr>
        <w:t>New York City Building Code</w:t>
      </w:r>
      <w:r w:rsidRPr="001B7F77">
        <w:rPr>
          <w:rFonts w:eastAsia="Times"/>
          <w:color w:val="000000"/>
          <w:szCs w:val="24"/>
          <w:u w:val="single"/>
        </w:rPr>
        <w:t xml:space="preserve"> shall be provided where alterations or replacements are performed to existing wall assemblies or floor-ceiling assemblies that:</w:t>
      </w:r>
    </w:p>
    <w:p w14:paraId="1427996C" w14:textId="77777777" w:rsidR="001B7F77" w:rsidRPr="001B7F77" w:rsidRDefault="001B7F77" w:rsidP="00FD2721">
      <w:pPr>
        <w:widowControl w:val="0"/>
        <w:numPr>
          <w:ilvl w:val="0"/>
          <w:numId w:val="40"/>
        </w:numPr>
        <w:pBdr>
          <w:top w:val="nil"/>
          <w:left w:val="nil"/>
          <w:bottom w:val="nil"/>
          <w:right w:val="nil"/>
          <w:between w:val="nil"/>
        </w:pBdr>
        <w:suppressAutoHyphens/>
        <w:spacing w:before="120"/>
        <w:ind w:left="1080"/>
        <w:jc w:val="left"/>
        <w:rPr>
          <w:rFonts w:eastAsia="Times"/>
          <w:szCs w:val="24"/>
          <w:u w:val="single"/>
        </w:rPr>
      </w:pPr>
      <w:r w:rsidRPr="001B7F77">
        <w:rPr>
          <w:rFonts w:eastAsia="Times"/>
          <w:color w:val="000000"/>
          <w:szCs w:val="24"/>
          <w:u w:val="single"/>
        </w:rPr>
        <w:t>Separate dwelling units from each other;</w:t>
      </w:r>
    </w:p>
    <w:p w14:paraId="4E35844C" w14:textId="77777777" w:rsidR="001B7F77" w:rsidRPr="001B7F77" w:rsidRDefault="001B7F77" w:rsidP="00FD2721">
      <w:pPr>
        <w:widowControl w:val="0"/>
        <w:numPr>
          <w:ilvl w:val="0"/>
          <w:numId w:val="40"/>
        </w:numPr>
        <w:pBdr>
          <w:top w:val="nil"/>
          <w:left w:val="nil"/>
          <w:bottom w:val="nil"/>
          <w:right w:val="nil"/>
          <w:between w:val="nil"/>
        </w:pBdr>
        <w:suppressAutoHyphens/>
        <w:spacing w:before="120"/>
        <w:ind w:left="1080"/>
        <w:jc w:val="left"/>
        <w:rPr>
          <w:rFonts w:eastAsia="Times"/>
          <w:szCs w:val="24"/>
          <w:u w:val="single"/>
        </w:rPr>
      </w:pPr>
      <w:r w:rsidRPr="001B7F77">
        <w:rPr>
          <w:rFonts w:eastAsia="Times"/>
          <w:color w:val="000000"/>
          <w:szCs w:val="24"/>
          <w:u w:val="single"/>
        </w:rPr>
        <w:t xml:space="preserve">Separate dwelling units from public halls, public vestibules, public rooms or other public parts of a dwelling; </w:t>
      </w:r>
    </w:p>
    <w:p w14:paraId="76213D0F" w14:textId="77777777" w:rsidR="001B7F77" w:rsidRPr="001B7F77" w:rsidRDefault="001B7F77" w:rsidP="00FD2721">
      <w:pPr>
        <w:widowControl w:val="0"/>
        <w:numPr>
          <w:ilvl w:val="0"/>
          <w:numId w:val="40"/>
        </w:numPr>
        <w:pBdr>
          <w:top w:val="nil"/>
          <w:left w:val="nil"/>
          <w:bottom w:val="nil"/>
          <w:right w:val="nil"/>
          <w:between w:val="nil"/>
        </w:pBdr>
        <w:suppressAutoHyphens/>
        <w:spacing w:before="120"/>
        <w:ind w:left="1080"/>
        <w:jc w:val="left"/>
        <w:rPr>
          <w:rFonts w:eastAsia="Times"/>
          <w:szCs w:val="24"/>
          <w:u w:val="single"/>
        </w:rPr>
      </w:pPr>
      <w:r w:rsidRPr="001B7F77">
        <w:rPr>
          <w:rFonts w:eastAsia="Times"/>
          <w:color w:val="000000"/>
          <w:szCs w:val="24"/>
          <w:u w:val="single"/>
        </w:rPr>
        <w:t>Are required to be fire-retarded pursuant to the provisions of this appendix or Appendix E;</w:t>
      </w:r>
    </w:p>
    <w:p w14:paraId="74306667" w14:textId="77777777" w:rsidR="001B7F77" w:rsidRPr="001B7F77" w:rsidRDefault="001B7F77" w:rsidP="00FD2721">
      <w:pPr>
        <w:widowControl w:val="0"/>
        <w:numPr>
          <w:ilvl w:val="0"/>
          <w:numId w:val="40"/>
        </w:numPr>
        <w:pBdr>
          <w:top w:val="nil"/>
          <w:left w:val="nil"/>
          <w:bottom w:val="nil"/>
          <w:right w:val="nil"/>
          <w:between w:val="nil"/>
        </w:pBdr>
        <w:suppressAutoHyphens/>
        <w:spacing w:before="120"/>
        <w:ind w:left="1080"/>
        <w:jc w:val="left"/>
        <w:rPr>
          <w:rFonts w:eastAsia="Times"/>
          <w:szCs w:val="24"/>
          <w:u w:val="single"/>
        </w:rPr>
      </w:pPr>
      <w:r w:rsidRPr="001B7F77">
        <w:rPr>
          <w:rFonts w:eastAsia="Times"/>
          <w:color w:val="000000"/>
          <w:szCs w:val="24"/>
          <w:u w:val="single"/>
        </w:rPr>
        <w:t>Comprise structural flooring systems including floor-ceiling assemblies between stories of the same multi-story dwelling unit; or</w:t>
      </w:r>
    </w:p>
    <w:p w14:paraId="7FD5644A" w14:textId="77777777" w:rsidR="001B7F77" w:rsidRPr="001B7F77" w:rsidRDefault="001B7F77" w:rsidP="00FD2721">
      <w:pPr>
        <w:widowControl w:val="0"/>
        <w:numPr>
          <w:ilvl w:val="0"/>
          <w:numId w:val="40"/>
        </w:numPr>
        <w:pBdr>
          <w:top w:val="nil"/>
          <w:left w:val="nil"/>
          <w:bottom w:val="nil"/>
          <w:right w:val="nil"/>
          <w:between w:val="nil"/>
        </w:pBdr>
        <w:suppressAutoHyphens/>
        <w:spacing w:before="120"/>
        <w:ind w:left="1080"/>
        <w:jc w:val="left"/>
        <w:rPr>
          <w:rFonts w:eastAsia="Times"/>
          <w:szCs w:val="24"/>
          <w:u w:val="single"/>
        </w:rPr>
      </w:pPr>
      <w:r w:rsidRPr="001B7F77">
        <w:rPr>
          <w:rFonts w:eastAsia="Times"/>
          <w:color w:val="000000"/>
          <w:szCs w:val="24"/>
          <w:u w:val="single"/>
        </w:rPr>
        <w:t xml:space="preserve">Are required under any applicable provision of law to have a </w:t>
      </w:r>
      <w:r w:rsidRPr="001B7F77">
        <w:rPr>
          <w:rFonts w:eastAsia="Times"/>
          <w:szCs w:val="24"/>
          <w:u w:val="single"/>
        </w:rPr>
        <w:t>fire-resistive</w:t>
      </w:r>
      <w:r w:rsidRPr="001B7F77">
        <w:rPr>
          <w:rFonts w:eastAsia="Times"/>
          <w:color w:val="000000"/>
          <w:szCs w:val="24"/>
          <w:u w:val="single"/>
        </w:rPr>
        <w:t xml:space="preserve"> rating</w:t>
      </w:r>
    </w:p>
    <w:p w14:paraId="38757A39" w14:textId="77777777" w:rsidR="001B7F77" w:rsidRPr="001B7F77" w:rsidRDefault="001B7F77" w:rsidP="00FD2721">
      <w:pPr>
        <w:widowControl w:val="0"/>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D306.13.1 Rating.</w:t>
      </w:r>
      <w:r w:rsidRPr="001B7F77">
        <w:rPr>
          <w:rFonts w:eastAsia="Times"/>
          <w:color w:val="000000"/>
          <w:szCs w:val="24"/>
          <w:u w:val="single"/>
        </w:rPr>
        <w:t xml:space="preserve"> Such fire barriers or horizontal assemblies shall be rated for the number of hours specified in accordance with this code, including this appendix. Where such applicable code requires fire-retarded walls or horizontal assemblies, the altered fire- retarded walls or horizontal assemblies shall be constructed as fire barriers or horizontal assemblies with a fire-resistance rating of not less than 1 hour.</w:t>
      </w:r>
    </w:p>
    <w:p w14:paraId="0DDEA29E"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D306.13.2 Access</w:t>
      </w:r>
      <w:r w:rsidRPr="001B7F77">
        <w:rPr>
          <w:rFonts w:eastAsia="Times"/>
          <w:color w:val="000000"/>
          <w:szCs w:val="24"/>
          <w:u w:val="single"/>
        </w:rPr>
        <w:t>. Where the required rating of an altered wall assembly cannot be provided with the required rating because only one side of the wall assembly is within the tenant space, such that the other side cannot be upgraded to comply or cannot be ascertained if it does comply, the side of the altered wall assembly within the tenant space shall be provided with 2 layers of 5/8-inch (16-mm) fire rated wall boards applied directly</w:t>
      </w:r>
      <w:r w:rsidRPr="001B7F77">
        <w:rPr>
          <w:szCs w:val="24"/>
          <w:u w:val="single"/>
        </w:rPr>
        <w:t xml:space="preserve"> </w:t>
      </w:r>
      <w:r w:rsidRPr="001B7F77">
        <w:rPr>
          <w:rFonts w:eastAsia="Times"/>
          <w:color w:val="000000"/>
          <w:szCs w:val="24"/>
          <w:u w:val="single"/>
        </w:rPr>
        <w:t>against the studs, with mineral rock wool filling placed between the studs, and shall be extended in accordance with Section D306.13.3.</w:t>
      </w:r>
    </w:p>
    <w:p w14:paraId="31114CEF"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D306.13.3 Continuity</w:t>
      </w:r>
      <w:r w:rsidRPr="001B7F77">
        <w:rPr>
          <w:rFonts w:eastAsia="Times"/>
          <w:color w:val="000000"/>
          <w:szCs w:val="24"/>
          <w:u w:val="single"/>
        </w:rPr>
        <w:t>. Such altered wall assemblies shall be extended from the top of the floor/ceiling assembly below to the underside of the floor or roof sheathing, slab or deck above, and shall be securely attached thereto. Such fire barriers shall be continuous through concealed spaces, such as the space above a suspended ceiling.</w:t>
      </w:r>
    </w:p>
    <w:p w14:paraId="7FC135E0" w14:textId="77777777" w:rsidR="001B7F77" w:rsidRPr="001B7F77" w:rsidRDefault="001B7F77" w:rsidP="00FD2721">
      <w:pPr>
        <w:pBdr>
          <w:top w:val="nil"/>
          <w:left w:val="nil"/>
          <w:bottom w:val="nil"/>
          <w:right w:val="nil"/>
          <w:between w:val="nil"/>
        </w:pBdr>
        <w:suppressAutoHyphens/>
        <w:spacing w:before="120"/>
        <w:ind w:left="360"/>
        <w:rPr>
          <w:rFonts w:eastAsia="Times"/>
          <w:bCs/>
          <w:color w:val="000000"/>
          <w:szCs w:val="24"/>
          <w:u w:val="single"/>
        </w:rPr>
      </w:pPr>
      <w:r w:rsidRPr="001B7F77">
        <w:rPr>
          <w:rFonts w:eastAsia="Times"/>
          <w:b/>
          <w:color w:val="000000"/>
          <w:szCs w:val="24"/>
          <w:u w:val="single"/>
        </w:rPr>
        <w:t xml:space="preserve">D306.14 Conversions and changes of class or kind (MDL 9(2), 9(3)). </w:t>
      </w:r>
      <w:r w:rsidRPr="001B7F77">
        <w:rPr>
          <w:rFonts w:eastAsia="Times"/>
          <w:bCs/>
          <w:color w:val="000000"/>
          <w:szCs w:val="24"/>
          <w:u w:val="single"/>
        </w:rPr>
        <w:t xml:space="preserve">Conversions to a multiple dwelling subject to Section D302 and dwellings of one class or kind altered or converted to another class or kind subject to Section D303 shall comply with the following: </w:t>
      </w:r>
    </w:p>
    <w:p w14:paraId="323CD666" w14:textId="77777777" w:rsidR="001B7F77" w:rsidRPr="001B7F77" w:rsidRDefault="001B7F77" w:rsidP="00FD2721">
      <w:pPr>
        <w:pBdr>
          <w:top w:val="nil"/>
          <w:left w:val="nil"/>
          <w:bottom w:val="nil"/>
          <w:right w:val="nil"/>
          <w:between w:val="nil"/>
        </w:pBdr>
        <w:suppressAutoHyphens/>
        <w:spacing w:before="120"/>
        <w:ind w:left="1080" w:hanging="360"/>
        <w:rPr>
          <w:rFonts w:eastAsia="Times"/>
          <w:bCs/>
          <w:color w:val="000000"/>
          <w:szCs w:val="24"/>
          <w:u w:val="single"/>
        </w:rPr>
      </w:pPr>
      <w:r w:rsidRPr="001B7F77">
        <w:rPr>
          <w:rFonts w:eastAsia="Times"/>
          <w:bCs/>
          <w:color w:val="000000"/>
          <w:szCs w:val="24"/>
          <w:u w:val="single"/>
        </w:rPr>
        <w:t>1.</w:t>
      </w:r>
      <w:r w:rsidRPr="001B7F77">
        <w:rPr>
          <w:rFonts w:eastAsia="Times"/>
          <w:bCs/>
          <w:color w:val="000000"/>
          <w:szCs w:val="24"/>
          <w:u w:val="single"/>
        </w:rPr>
        <w:tab/>
        <w:t xml:space="preserve">The entire building shall comply with the height and area limits of Chapter 5 of the </w:t>
      </w:r>
      <w:r w:rsidRPr="001B7F77">
        <w:rPr>
          <w:rFonts w:eastAsia="Times"/>
          <w:bCs/>
          <w:i/>
          <w:iCs/>
          <w:color w:val="000000"/>
          <w:szCs w:val="24"/>
          <w:u w:val="single"/>
        </w:rPr>
        <w:t>New York City Building Code</w:t>
      </w:r>
      <w:r w:rsidRPr="001B7F77">
        <w:rPr>
          <w:rFonts w:eastAsia="Times"/>
          <w:bCs/>
          <w:color w:val="000000"/>
          <w:szCs w:val="24"/>
          <w:u w:val="single"/>
        </w:rPr>
        <w:t>.</w:t>
      </w:r>
    </w:p>
    <w:p w14:paraId="62F9E2FD" w14:textId="77777777" w:rsidR="001B7F77" w:rsidRPr="001B7F77" w:rsidRDefault="001B7F77" w:rsidP="00FD2721">
      <w:pPr>
        <w:pBdr>
          <w:top w:val="nil"/>
          <w:left w:val="nil"/>
          <w:bottom w:val="nil"/>
          <w:right w:val="nil"/>
          <w:between w:val="nil"/>
        </w:pBdr>
        <w:suppressAutoHyphens/>
        <w:spacing w:before="120"/>
        <w:ind w:left="1080" w:hanging="360"/>
        <w:rPr>
          <w:rFonts w:eastAsia="Times"/>
          <w:bCs/>
          <w:i/>
          <w:iCs/>
          <w:color w:val="000000"/>
          <w:szCs w:val="24"/>
          <w:u w:val="single"/>
        </w:rPr>
      </w:pPr>
      <w:r w:rsidRPr="001B7F77">
        <w:rPr>
          <w:rFonts w:eastAsia="Times"/>
          <w:bCs/>
          <w:color w:val="000000"/>
          <w:szCs w:val="24"/>
          <w:u w:val="single"/>
        </w:rPr>
        <w:t>2.</w:t>
      </w:r>
      <w:r w:rsidRPr="001B7F77">
        <w:rPr>
          <w:rFonts w:eastAsia="Times"/>
          <w:bCs/>
          <w:color w:val="000000"/>
          <w:szCs w:val="24"/>
          <w:u w:val="single"/>
        </w:rPr>
        <w:tab/>
        <w:t xml:space="preserve">The entire building shall be provided with fire protection systems in accordance with Chapter 9 of the </w:t>
      </w:r>
      <w:r w:rsidRPr="001B7F77">
        <w:rPr>
          <w:rFonts w:eastAsia="Times"/>
          <w:bCs/>
          <w:i/>
          <w:iCs/>
          <w:color w:val="000000"/>
          <w:szCs w:val="24"/>
          <w:u w:val="single"/>
        </w:rPr>
        <w:t>New York City Building Code.</w:t>
      </w:r>
    </w:p>
    <w:p w14:paraId="2785FF3E" w14:textId="77777777" w:rsidR="001B7F77" w:rsidRPr="001B7F77" w:rsidRDefault="001B7F77" w:rsidP="00FD2721">
      <w:pPr>
        <w:pBdr>
          <w:top w:val="nil"/>
          <w:left w:val="nil"/>
          <w:bottom w:val="nil"/>
          <w:right w:val="nil"/>
          <w:between w:val="nil"/>
        </w:pBdr>
        <w:suppressAutoHyphens/>
        <w:spacing w:before="120"/>
        <w:ind w:left="1080" w:hanging="360"/>
        <w:rPr>
          <w:rFonts w:eastAsia="Times"/>
          <w:bCs/>
          <w:color w:val="000000"/>
          <w:szCs w:val="24"/>
          <w:u w:val="single"/>
        </w:rPr>
      </w:pPr>
      <w:r w:rsidRPr="001B7F77">
        <w:rPr>
          <w:rFonts w:eastAsia="Times"/>
          <w:bCs/>
          <w:color w:val="000000"/>
          <w:szCs w:val="24"/>
          <w:u w:val="single"/>
        </w:rPr>
        <w:t>3.</w:t>
      </w:r>
      <w:r w:rsidRPr="001B7F77">
        <w:rPr>
          <w:rFonts w:eastAsia="Times"/>
          <w:bCs/>
          <w:color w:val="000000"/>
          <w:szCs w:val="24"/>
          <w:u w:val="single"/>
        </w:rPr>
        <w:tab/>
        <w:t xml:space="preserve">All dwelling units shall be provided with access to at least two means of egress. For buildings under 75 feet </w:t>
      </w:r>
      <w:r w:rsidRPr="001B7F77">
        <w:rPr>
          <w:rFonts w:eastAsia="Times"/>
          <w:color w:val="000000"/>
          <w:szCs w:val="24"/>
          <w:u w:val="single"/>
        </w:rPr>
        <w:t xml:space="preserve">(22 860 mm) </w:t>
      </w:r>
      <w:r w:rsidRPr="001B7F77">
        <w:rPr>
          <w:rFonts w:eastAsia="Times"/>
          <w:bCs/>
          <w:color w:val="000000"/>
          <w:szCs w:val="24"/>
          <w:u w:val="single"/>
        </w:rPr>
        <w:t>or 6 stories in height and constructed prior to December 6, 1968, one of such means of egress shall be permitted to be a fire escape in accordance with Section D306.3.</w:t>
      </w:r>
    </w:p>
    <w:p w14:paraId="5A9DC69D" w14:textId="77777777" w:rsidR="001B7F77" w:rsidRPr="001B7F77" w:rsidRDefault="001B7F77" w:rsidP="00FD2721">
      <w:pPr>
        <w:pBdr>
          <w:top w:val="nil"/>
          <w:left w:val="nil"/>
          <w:bottom w:val="nil"/>
          <w:right w:val="nil"/>
          <w:between w:val="nil"/>
        </w:pBdr>
        <w:suppressAutoHyphens/>
        <w:spacing w:before="120"/>
        <w:ind w:left="1080" w:hanging="360"/>
        <w:rPr>
          <w:rFonts w:eastAsia="Times"/>
          <w:bCs/>
          <w:color w:val="000000"/>
          <w:szCs w:val="24"/>
          <w:u w:val="single"/>
        </w:rPr>
      </w:pPr>
      <w:r w:rsidRPr="001B7F77">
        <w:rPr>
          <w:rFonts w:eastAsia="Times"/>
          <w:bCs/>
          <w:color w:val="000000"/>
          <w:szCs w:val="24"/>
          <w:u w:val="single"/>
        </w:rPr>
        <w:t>4.</w:t>
      </w:r>
      <w:r w:rsidRPr="001B7F77">
        <w:rPr>
          <w:rFonts w:eastAsia="Times"/>
          <w:bCs/>
          <w:color w:val="000000"/>
          <w:szCs w:val="24"/>
          <w:u w:val="single"/>
        </w:rPr>
        <w:tab/>
        <w:t xml:space="preserve">Fire escapes terminating at yards or courts shall have provide direct access to the street by a court or yard or a fire passage in accordance with the provisions of Section D306.3.12. </w:t>
      </w:r>
    </w:p>
    <w:p w14:paraId="71D94DBF" w14:textId="77777777" w:rsidR="001B7F77" w:rsidRPr="001B7F77" w:rsidRDefault="001B7F77" w:rsidP="00FD2721">
      <w:pPr>
        <w:pBdr>
          <w:top w:val="nil"/>
          <w:left w:val="nil"/>
          <w:bottom w:val="nil"/>
          <w:right w:val="nil"/>
          <w:between w:val="nil"/>
        </w:pBdr>
        <w:suppressAutoHyphens/>
        <w:spacing w:before="120"/>
        <w:ind w:left="1080" w:hanging="360"/>
        <w:rPr>
          <w:rFonts w:eastAsia="Times"/>
          <w:bCs/>
          <w:color w:val="000000"/>
          <w:szCs w:val="24"/>
          <w:u w:val="single"/>
        </w:rPr>
      </w:pPr>
      <w:r w:rsidRPr="001B7F77">
        <w:rPr>
          <w:rFonts w:eastAsia="Times"/>
          <w:bCs/>
          <w:color w:val="000000"/>
          <w:szCs w:val="24"/>
          <w:u w:val="single"/>
        </w:rPr>
        <w:t>5.</w:t>
      </w:r>
      <w:r w:rsidRPr="001B7F77">
        <w:rPr>
          <w:rFonts w:eastAsia="Times"/>
          <w:bCs/>
          <w:color w:val="000000"/>
          <w:szCs w:val="24"/>
          <w:u w:val="single"/>
        </w:rPr>
        <w:tab/>
        <w:t>Existing windows opening onto lot-line air shafts shall be protected in the manner described in Section 803.8 of this code.</w:t>
      </w:r>
    </w:p>
    <w:p w14:paraId="38889AFD" w14:textId="77777777" w:rsidR="001B7F77" w:rsidRPr="001B7F77" w:rsidRDefault="001B7F77" w:rsidP="00FD2721">
      <w:pPr>
        <w:pBdr>
          <w:top w:val="nil"/>
          <w:left w:val="nil"/>
          <w:bottom w:val="nil"/>
          <w:right w:val="nil"/>
          <w:between w:val="nil"/>
        </w:pBdr>
        <w:suppressAutoHyphens/>
        <w:spacing w:before="120"/>
        <w:rPr>
          <w:rFonts w:eastAsia="Times"/>
          <w:b/>
          <w:color w:val="000000"/>
          <w:szCs w:val="24"/>
          <w:u w:val="single"/>
        </w:rPr>
      </w:pPr>
      <w:r w:rsidRPr="001B7F77">
        <w:rPr>
          <w:rFonts w:eastAsia="Times"/>
          <w:b/>
          <w:color w:val="000000"/>
          <w:szCs w:val="24"/>
          <w:u w:val="single"/>
        </w:rPr>
        <w:t>D307 Sanitation and health (MDL 3, Title 3)</w:t>
      </w:r>
    </w:p>
    <w:p w14:paraId="6BAEA676" w14:textId="77777777" w:rsidR="001B7F77" w:rsidRPr="001B7F77" w:rsidRDefault="001B7F77" w:rsidP="00FD2721">
      <w:pPr>
        <w:pBdr>
          <w:top w:val="nil"/>
          <w:left w:val="nil"/>
          <w:bottom w:val="nil"/>
          <w:right w:val="nil"/>
          <w:between w:val="nil"/>
        </w:pBdr>
        <w:suppressAutoHyphens/>
        <w:spacing w:before="120"/>
        <w:ind w:left="360"/>
        <w:rPr>
          <w:rFonts w:eastAsia="Times"/>
          <w:color w:val="000000"/>
          <w:szCs w:val="24"/>
          <w:u w:val="single"/>
        </w:rPr>
      </w:pPr>
      <w:r w:rsidRPr="001B7F77">
        <w:rPr>
          <w:rFonts w:eastAsia="Times"/>
          <w:b/>
          <w:color w:val="000000"/>
          <w:szCs w:val="24"/>
          <w:u w:val="single"/>
        </w:rPr>
        <w:t>D307.1 Water closet and bath accommodations (MDL 76).</w:t>
      </w:r>
    </w:p>
    <w:p w14:paraId="2634F2CE"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 xml:space="preserve">D307.1.1 Opening to kitchen (MDL 76(1)(c)). </w:t>
      </w:r>
      <w:r w:rsidRPr="001B7F77">
        <w:rPr>
          <w:rFonts w:eastAsia="Times"/>
          <w:color w:val="000000"/>
          <w:szCs w:val="24"/>
          <w:u w:val="single"/>
        </w:rPr>
        <w:t xml:space="preserve">No toilet room or bathroom shall open onto any kitchen or kitchenette in accordance with Section 1210.4 of the </w:t>
      </w:r>
      <w:r w:rsidRPr="001B7F77">
        <w:rPr>
          <w:rFonts w:eastAsia="Times"/>
          <w:i/>
          <w:iCs/>
          <w:color w:val="000000"/>
          <w:szCs w:val="24"/>
          <w:u w:val="single"/>
        </w:rPr>
        <w:t>New York City Building Code</w:t>
      </w:r>
      <w:r w:rsidRPr="001B7F77">
        <w:rPr>
          <w:rFonts w:eastAsia="Times"/>
          <w:color w:val="000000"/>
          <w:szCs w:val="24"/>
          <w:u w:val="single"/>
        </w:rPr>
        <w:t>. Alterations to the layout of a dwelling unit shall not increase the degree of noncompliance with this requirement.</w:t>
      </w:r>
    </w:p>
    <w:p w14:paraId="58539F14" w14:textId="77777777" w:rsidR="001B7F77" w:rsidRPr="001B7F77" w:rsidRDefault="001B7F77" w:rsidP="00FD2721">
      <w:pPr>
        <w:pBdr>
          <w:top w:val="nil"/>
          <w:left w:val="nil"/>
          <w:bottom w:val="nil"/>
          <w:right w:val="nil"/>
          <w:between w:val="nil"/>
        </w:pBdr>
        <w:suppressAutoHyphens/>
        <w:spacing w:before="120"/>
        <w:ind w:left="1080"/>
        <w:rPr>
          <w:rFonts w:eastAsia="Times"/>
          <w:color w:val="000000"/>
          <w:szCs w:val="24"/>
          <w:u w:val="single"/>
        </w:rPr>
      </w:pPr>
      <w:r w:rsidRPr="001B7F77">
        <w:rPr>
          <w:rFonts w:eastAsia="Times"/>
          <w:b/>
          <w:color w:val="000000"/>
          <w:szCs w:val="24"/>
          <w:u w:val="single"/>
        </w:rPr>
        <w:t xml:space="preserve">Exception: </w:t>
      </w:r>
      <w:r w:rsidRPr="001B7F77">
        <w:rPr>
          <w:rFonts w:eastAsia="Times"/>
          <w:color w:val="000000"/>
          <w:szCs w:val="24"/>
          <w:u w:val="single"/>
        </w:rPr>
        <w:t>In multiple dwellings erected or converted prior to April 18, 1929, upon a showing of practical difficulty, the commissioner may permit a toilet room or bathroom to open onto a kitchen or kitchenette.</w:t>
      </w:r>
    </w:p>
    <w:p w14:paraId="1B0A9EBB" w14:textId="77777777" w:rsidR="001B7F77" w:rsidRPr="001B7F77" w:rsidRDefault="001B7F77" w:rsidP="00FD2721">
      <w:pPr>
        <w:pBdr>
          <w:top w:val="nil"/>
          <w:left w:val="nil"/>
          <w:bottom w:val="nil"/>
          <w:right w:val="nil"/>
          <w:between w:val="nil"/>
        </w:pBdr>
        <w:suppressAutoHyphens/>
        <w:spacing w:before="120"/>
        <w:ind w:left="720"/>
        <w:rPr>
          <w:rFonts w:eastAsia="Times"/>
          <w:bCs/>
          <w:color w:val="000000"/>
          <w:szCs w:val="24"/>
          <w:u w:val="single"/>
        </w:rPr>
      </w:pPr>
      <w:r w:rsidRPr="001B7F77">
        <w:rPr>
          <w:rFonts w:eastAsia="Times"/>
          <w:b/>
          <w:color w:val="000000"/>
          <w:szCs w:val="24"/>
          <w:u w:val="single"/>
        </w:rPr>
        <w:t xml:space="preserve">D307.1.2 Toilets in cellars or basements (MDL 76(1)(b)). </w:t>
      </w:r>
      <w:r w:rsidRPr="001B7F77">
        <w:rPr>
          <w:rFonts w:eastAsia="Times"/>
          <w:bCs/>
          <w:color w:val="000000"/>
          <w:szCs w:val="24"/>
          <w:u w:val="single"/>
        </w:rPr>
        <w:t>No water closet shall be installed, kept or maintained in a cellar or basement unless it is provided for lawful living rooms in such cellar or basement, or is supplementary to water-closet accommodations required for a dwelling unit.</w:t>
      </w:r>
    </w:p>
    <w:p w14:paraId="017824F5" w14:textId="77777777" w:rsidR="001B7F77" w:rsidRPr="001B7F77" w:rsidRDefault="001B7F77" w:rsidP="00FD2721">
      <w:pPr>
        <w:pBdr>
          <w:top w:val="nil"/>
          <w:left w:val="nil"/>
          <w:bottom w:val="nil"/>
          <w:right w:val="nil"/>
          <w:between w:val="nil"/>
        </w:pBdr>
        <w:suppressAutoHyphens/>
        <w:spacing w:before="120"/>
        <w:ind w:left="360"/>
        <w:rPr>
          <w:rFonts w:eastAsia="Times"/>
          <w:color w:val="000000"/>
          <w:szCs w:val="24"/>
          <w:u w:val="single"/>
        </w:rPr>
      </w:pPr>
      <w:r w:rsidRPr="001B7F77">
        <w:rPr>
          <w:rFonts w:eastAsia="Times"/>
          <w:b/>
          <w:color w:val="000000"/>
          <w:szCs w:val="24"/>
          <w:u w:val="single"/>
        </w:rPr>
        <w:t xml:space="preserve">D307.2 Refuse chutes for prior code buildings (MDL 81)). </w:t>
      </w:r>
      <w:r w:rsidRPr="001B7F77">
        <w:rPr>
          <w:rFonts w:eastAsia="Times"/>
          <w:color w:val="000000"/>
          <w:szCs w:val="24"/>
          <w:u w:val="single"/>
        </w:rPr>
        <w:t xml:space="preserve">Notwithstanding the provisions of Section 1213.3 of the </w:t>
      </w:r>
      <w:r w:rsidRPr="001B7F77">
        <w:rPr>
          <w:rFonts w:eastAsia="Times"/>
          <w:i/>
          <w:iCs/>
          <w:color w:val="000000"/>
          <w:szCs w:val="24"/>
          <w:u w:val="single"/>
        </w:rPr>
        <w:t>New York City Building Code</w:t>
      </w:r>
      <w:r w:rsidRPr="001B7F77">
        <w:rPr>
          <w:rFonts w:eastAsia="Times"/>
          <w:color w:val="000000"/>
          <w:szCs w:val="24"/>
          <w:u w:val="single"/>
        </w:rPr>
        <w:t>, the installation of new refuse chutes shall not be required where all of the following conditions apply:</w:t>
      </w:r>
    </w:p>
    <w:p w14:paraId="792E873E" w14:textId="77777777" w:rsidR="001B7F77" w:rsidRPr="001B7F77" w:rsidRDefault="001B7F77" w:rsidP="00FD2721">
      <w:pPr>
        <w:pBdr>
          <w:top w:val="nil"/>
          <w:left w:val="nil"/>
          <w:bottom w:val="nil"/>
          <w:right w:val="nil"/>
          <w:between w:val="nil"/>
        </w:pBdr>
        <w:suppressAutoHyphens/>
        <w:spacing w:before="120"/>
        <w:ind w:left="1080" w:hanging="360"/>
        <w:rPr>
          <w:rFonts w:eastAsia="Times"/>
          <w:szCs w:val="24"/>
          <w:u w:val="single"/>
        </w:rPr>
      </w:pPr>
      <w:r w:rsidRPr="001B7F77">
        <w:rPr>
          <w:rFonts w:eastAsia="Times"/>
          <w:color w:val="000000"/>
          <w:szCs w:val="24"/>
          <w:u w:val="single"/>
        </w:rPr>
        <w:t>1.</w:t>
      </w:r>
      <w:r w:rsidRPr="001B7F77">
        <w:rPr>
          <w:rFonts w:eastAsia="Times"/>
          <w:color w:val="000000"/>
          <w:szCs w:val="24"/>
          <w:u w:val="single"/>
        </w:rPr>
        <w:tab/>
        <w:t>The building was constructed prior to July 1, 2008;</w:t>
      </w:r>
    </w:p>
    <w:p w14:paraId="0907573B" w14:textId="77777777" w:rsidR="001B7F77" w:rsidRPr="001B7F77" w:rsidRDefault="001B7F77" w:rsidP="00FD2721">
      <w:pPr>
        <w:pBdr>
          <w:top w:val="nil"/>
          <w:left w:val="nil"/>
          <w:bottom w:val="nil"/>
          <w:right w:val="nil"/>
          <w:between w:val="nil"/>
        </w:pBdr>
        <w:suppressAutoHyphens/>
        <w:spacing w:before="120"/>
        <w:ind w:left="1080" w:hanging="360"/>
        <w:rPr>
          <w:rFonts w:eastAsia="Times"/>
          <w:szCs w:val="24"/>
          <w:u w:val="single"/>
        </w:rPr>
      </w:pPr>
      <w:r w:rsidRPr="001B7F77">
        <w:rPr>
          <w:rFonts w:eastAsia="Times"/>
          <w:color w:val="000000"/>
          <w:szCs w:val="24"/>
          <w:u w:val="single"/>
        </w:rPr>
        <w:t>2.</w:t>
      </w:r>
      <w:r w:rsidRPr="001B7F77">
        <w:rPr>
          <w:rFonts w:eastAsia="Times"/>
          <w:color w:val="000000"/>
          <w:szCs w:val="24"/>
          <w:u w:val="single"/>
        </w:rPr>
        <w:tab/>
        <w:t>The building currently does not have a refuse chute;</w:t>
      </w:r>
    </w:p>
    <w:p w14:paraId="79AA1B44" w14:textId="77777777" w:rsidR="001B7F77" w:rsidRPr="001B7F77" w:rsidRDefault="001B7F77" w:rsidP="00FD2721">
      <w:pPr>
        <w:pBdr>
          <w:top w:val="nil"/>
          <w:left w:val="nil"/>
          <w:bottom w:val="nil"/>
          <w:right w:val="nil"/>
          <w:between w:val="nil"/>
        </w:pBdr>
        <w:suppressAutoHyphens/>
        <w:spacing w:before="120"/>
        <w:ind w:left="1080" w:hanging="360"/>
        <w:rPr>
          <w:rFonts w:eastAsia="Times"/>
          <w:szCs w:val="24"/>
          <w:u w:val="single"/>
        </w:rPr>
      </w:pPr>
      <w:r w:rsidRPr="001B7F77">
        <w:rPr>
          <w:rFonts w:eastAsia="Times"/>
          <w:color w:val="000000"/>
          <w:szCs w:val="24"/>
          <w:u w:val="single"/>
        </w:rPr>
        <w:t>3.</w:t>
      </w:r>
      <w:r w:rsidRPr="001B7F77">
        <w:rPr>
          <w:rFonts w:eastAsia="Times"/>
          <w:color w:val="000000"/>
          <w:szCs w:val="24"/>
          <w:u w:val="single"/>
        </w:rPr>
        <w:tab/>
        <w:t xml:space="preserve">The building is provided with a refuse storage space complying with Sections 1213.1.1 or 1213.1.2 of the </w:t>
      </w:r>
      <w:r w:rsidRPr="001B7F77">
        <w:rPr>
          <w:rFonts w:eastAsia="Times"/>
          <w:i/>
          <w:iCs/>
          <w:color w:val="000000"/>
          <w:szCs w:val="24"/>
          <w:u w:val="single"/>
        </w:rPr>
        <w:t>New York City Building Code</w:t>
      </w:r>
      <w:r w:rsidRPr="001B7F77">
        <w:rPr>
          <w:rFonts w:eastAsia="Times"/>
          <w:color w:val="000000"/>
          <w:szCs w:val="24"/>
          <w:u w:val="single"/>
        </w:rPr>
        <w:t>;</w:t>
      </w:r>
    </w:p>
    <w:p w14:paraId="0DE4FFAF" w14:textId="77777777" w:rsidR="001B7F77" w:rsidRPr="001B7F77" w:rsidRDefault="001B7F77" w:rsidP="00FD2721">
      <w:pPr>
        <w:pBdr>
          <w:top w:val="nil"/>
          <w:left w:val="nil"/>
          <w:bottom w:val="nil"/>
          <w:right w:val="nil"/>
          <w:between w:val="nil"/>
        </w:pBdr>
        <w:suppressAutoHyphens/>
        <w:spacing w:before="120"/>
        <w:ind w:left="1080" w:hanging="360"/>
        <w:rPr>
          <w:rFonts w:eastAsia="Times"/>
          <w:szCs w:val="24"/>
          <w:u w:val="single"/>
        </w:rPr>
      </w:pPr>
      <w:r w:rsidRPr="001B7F77">
        <w:rPr>
          <w:rFonts w:eastAsia="Times"/>
          <w:color w:val="000000"/>
          <w:szCs w:val="24"/>
          <w:u w:val="single"/>
        </w:rPr>
        <w:t>4.</w:t>
      </w:r>
      <w:r w:rsidRPr="001B7F77">
        <w:rPr>
          <w:rFonts w:eastAsia="Times"/>
          <w:color w:val="000000"/>
          <w:szCs w:val="24"/>
          <w:u w:val="single"/>
        </w:rPr>
        <w:tab/>
        <w:t xml:space="preserve">The building, if containing 12 or more dwelling units, is provided with a compactor complying with Section 1213.2 of the </w:t>
      </w:r>
      <w:r w:rsidRPr="001B7F77">
        <w:rPr>
          <w:rFonts w:eastAsia="Times"/>
          <w:i/>
          <w:iCs/>
          <w:color w:val="000000"/>
          <w:szCs w:val="24"/>
          <w:u w:val="single"/>
        </w:rPr>
        <w:t>New York City Building Code</w:t>
      </w:r>
      <w:r w:rsidRPr="001B7F77">
        <w:rPr>
          <w:rFonts w:eastAsia="Times"/>
          <w:color w:val="000000"/>
          <w:szCs w:val="24"/>
          <w:u w:val="single"/>
        </w:rPr>
        <w:t>; and</w:t>
      </w:r>
    </w:p>
    <w:p w14:paraId="25319958" w14:textId="77777777" w:rsidR="001B7F77" w:rsidRPr="001B7F77" w:rsidRDefault="001B7F77" w:rsidP="00FD2721">
      <w:pPr>
        <w:pBdr>
          <w:top w:val="nil"/>
          <w:left w:val="nil"/>
          <w:bottom w:val="nil"/>
          <w:right w:val="nil"/>
          <w:between w:val="nil"/>
        </w:pBdr>
        <w:suppressAutoHyphens/>
        <w:spacing w:before="120"/>
        <w:ind w:left="1080" w:hanging="360"/>
        <w:rPr>
          <w:rFonts w:eastAsia="Times"/>
          <w:szCs w:val="24"/>
          <w:u w:val="single"/>
        </w:rPr>
      </w:pPr>
      <w:r w:rsidRPr="001B7F77">
        <w:rPr>
          <w:rFonts w:eastAsia="Times"/>
          <w:color w:val="000000"/>
          <w:szCs w:val="24"/>
          <w:u w:val="single"/>
        </w:rPr>
        <w:t>5.</w:t>
      </w:r>
      <w:r w:rsidRPr="001B7F77">
        <w:rPr>
          <w:rFonts w:eastAsia="Times"/>
          <w:color w:val="000000"/>
          <w:szCs w:val="24"/>
          <w:u w:val="single"/>
        </w:rPr>
        <w:tab/>
        <w:t>The building will be 6 stories or less upon completion of the alteration.</w:t>
      </w:r>
    </w:p>
    <w:p w14:paraId="7AD4845B"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 xml:space="preserve">Exceptions: </w:t>
      </w:r>
      <w:r w:rsidRPr="001B7F77">
        <w:rPr>
          <w:rFonts w:eastAsia="Times"/>
          <w:color w:val="000000"/>
          <w:szCs w:val="24"/>
          <w:u w:val="single"/>
        </w:rPr>
        <w:t xml:space="preserve">Penthouse structures located upon the roof of a sixth story and which form the upper level of multi-story dwelling units shall not be deemed a story for the purposes of applying Section D307.2, provided that the building is deemed to be 6 stories or less pursuant to Section 504.3 of the </w:t>
      </w:r>
      <w:r w:rsidRPr="001B7F77">
        <w:rPr>
          <w:rFonts w:eastAsia="Times"/>
          <w:i/>
          <w:iCs/>
          <w:color w:val="000000"/>
          <w:szCs w:val="24"/>
          <w:u w:val="single"/>
        </w:rPr>
        <w:t>New York City Building Code</w:t>
      </w:r>
      <w:r w:rsidRPr="001B7F77">
        <w:rPr>
          <w:rFonts w:eastAsia="Times"/>
          <w:color w:val="000000"/>
          <w:szCs w:val="24"/>
          <w:u w:val="single"/>
        </w:rPr>
        <w:t>.</w:t>
      </w:r>
    </w:p>
    <w:p w14:paraId="45E68A86" w14:textId="77777777" w:rsidR="001B7F77" w:rsidRPr="001B7F77" w:rsidRDefault="001B7F77" w:rsidP="00FD2721">
      <w:pPr>
        <w:pBdr>
          <w:top w:val="nil"/>
          <w:left w:val="nil"/>
          <w:bottom w:val="nil"/>
          <w:right w:val="nil"/>
          <w:between w:val="nil"/>
        </w:pBdr>
        <w:suppressAutoHyphens/>
        <w:spacing w:before="120"/>
        <w:ind w:left="360"/>
        <w:rPr>
          <w:rFonts w:eastAsia="Times"/>
          <w:u w:val="single"/>
        </w:rPr>
      </w:pPr>
      <w:r w:rsidRPr="001B7F77">
        <w:rPr>
          <w:rFonts w:eastAsia="Times"/>
          <w:b/>
          <w:bCs/>
          <w:szCs w:val="24"/>
          <w:u w:val="single"/>
        </w:rPr>
        <w:t>D307.3 Privacy (MDL 82).</w:t>
      </w:r>
      <w:r w:rsidRPr="001B7F77">
        <w:rPr>
          <w:rFonts w:eastAsia="Times"/>
          <w:szCs w:val="24"/>
          <w:u w:val="single"/>
        </w:rPr>
        <w:t xml:space="preserve"> In every dwelling unit of 3 or more living rooms in every Class A multiple dwelling erected after April 18, 1929, there shall be access to every living room and bedroom</w:t>
      </w:r>
      <w:r w:rsidRPr="001B7F77">
        <w:rPr>
          <w:rFonts w:eastAsia="Times"/>
          <w:u w:val="single"/>
        </w:rPr>
        <w:t xml:space="preserve"> without passing through any bedroom.</w:t>
      </w:r>
    </w:p>
    <w:p w14:paraId="385D0D13" w14:textId="77777777" w:rsidR="001B7F77" w:rsidRPr="001B7F77" w:rsidRDefault="001B7F77" w:rsidP="00FD2721">
      <w:pPr>
        <w:pBdr>
          <w:top w:val="nil"/>
          <w:left w:val="nil"/>
          <w:bottom w:val="nil"/>
          <w:right w:val="nil"/>
          <w:between w:val="nil"/>
        </w:pBdr>
        <w:suppressAutoHyphens/>
        <w:spacing w:before="120"/>
        <w:jc w:val="center"/>
        <w:rPr>
          <w:rFonts w:eastAsia="Times"/>
          <w:b/>
          <w:color w:val="000000"/>
          <w:u w:val="single"/>
        </w:rPr>
      </w:pPr>
    </w:p>
    <w:p w14:paraId="64CB55EF" w14:textId="77777777" w:rsidR="001B7F77" w:rsidRPr="001B7F77" w:rsidRDefault="001B7F77" w:rsidP="00FD2721">
      <w:pPr>
        <w:pBdr>
          <w:top w:val="nil"/>
          <w:left w:val="nil"/>
          <w:bottom w:val="nil"/>
          <w:right w:val="nil"/>
          <w:between w:val="nil"/>
        </w:pBdr>
        <w:suppressAutoHyphens/>
        <w:spacing w:before="120"/>
        <w:jc w:val="center"/>
        <w:rPr>
          <w:rFonts w:eastAsia="Times"/>
          <w:b/>
          <w:color w:val="000000"/>
          <w:u w:val="single"/>
        </w:rPr>
      </w:pPr>
      <w:r w:rsidRPr="001B7F77">
        <w:rPr>
          <w:rFonts w:eastAsia="Times"/>
          <w:b/>
          <w:color w:val="000000"/>
          <w:u w:val="single"/>
        </w:rPr>
        <w:t>CHAPTER D4</w:t>
      </w:r>
      <w:r w:rsidRPr="001B7F77">
        <w:rPr>
          <w:rFonts w:eastAsia="Times"/>
          <w:b/>
          <w:color w:val="000000"/>
          <w:u w:val="single"/>
        </w:rPr>
        <w:br/>
        <w:t xml:space="preserve">PRE-1968 HEREAFTER ERECTED FIREPROOF MULTIPLE DWELLINGS </w:t>
      </w:r>
      <w:r w:rsidRPr="001B7F77">
        <w:rPr>
          <w:rFonts w:eastAsia="Times"/>
          <w:b/>
          <w:color w:val="000000"/>
          <w:u w:val="single"/>
        </w:rPr>
        <w:br/>
        <w:t>(MDL ARTICLE 4)</w:t>
      </w:r>
    </w:p>
    <w:p w14:paraId="67ACAF54" w14:textId="77777777" w:rsidR="001B7F77" w:rsidRPr="001B7F77" w:rsidRDefault="001B7F77" w:rsidP="00FD2721">
      <w:pPr>
        <w:pBdr>
          <w:top w:val="nil"/>
          <w:left w:val="nil"/>
          <w:bottom w:val="nil"/>
          <w:right w:val="nil"/>
          <w:between w:val="nil"/>
        </w:pBdr>
        <w:suppressAutoHyphens/>
        <w:spacing w:before="120"/>
        <w:rPr>
          <w:rFonts w:eastAsia="Times"/>
          <w:color w:val="000000"/>
          <w:u w:val="single"/>
        </w:rPr>
      </w:pPr>
      <w:r w:rsidRPr="001B7F77">
        <w:rPr>
          <w:rFonts w:eastAsia="Times"/>
          <w:b/>
          <w:color w:val="000000"/>
          <w:u w:val="single"/>
        </w:rPr>
        <w:t xml:space="preserve">D401 Applicability. </w:t>
      </w:r>
      <w:r w:rsidRPr="001B7F77">
        <w:rPr>
          <w:rFonts w:eastAsia="Times"/>
          <w:color w:val="000000"/>
          <w:u w:val="single"/>
        </w:rPr>
        <w:t>Alterations, additions, repairs and changes of occupancy of fireproof multiple dwellings erected prior to December 6, 1968, and classified as HAEA (1929-1968) and HAEB (1929-1968) shall comply with the provisions of this code and the additional provisions of Chapter D3.</w:t>
      </w:r>
    </w:p>
    <w:p w14:paraId="66CF0CDE" w14:textId="77777777" w:rsidR="001B7F77" w:rsidRPr="001B7F77" w:rsidRDefault="001B7F77" w:rsidP="00FD2721">
      <w:pPr>
        <w:pBdr>
          <w:top w:val="nil"/>
          <w:left w:val="nil"/>
          <w:bottom w:val="nil"/>
          <w:right w:val="nil"/>
          <w:between w:val="nil"/>
        </w:pBdr>
        <w:suppressAutoHyphens/>
        <w:spacing w:before="120"/>
        <w:rPr>
          <w:rFonts w:eastAsia="Times"/>
          <w:b/>
          <w:color w:val="000000"/>
          <w:szCs w:val="24"/>
          <w:u w:val="single"/>
        </w:rPr>
      </w:pPr>
      <w:r w:rsidRPr="001B7F77">
        <w:rPr>
          <w:rFonts w:eastAsia="Times"/>
          <w:b/>
          <w:color w:val="000000"/>
          <w:u w:val="single"/>
        </w:rPr>
        <w:t xml:space="preserve">D402 Rooms in </w:t>
      </w:r>
      <w:r w:rsidRPr="001B7F77">
        <w:rPr>
          <w:rFonts w:eastAsia="Times"/>
          <w:b/>
          <w:color w:val="000000"/>
          <w:szCs w:val="24"/>
          <w:u w:val="single"/>
        </w:rPr>
        <w:t>basements and cellars.</w:t>
      </w:r>
    </w:p>
    <w:p w14:paraId="302D9B4F" w14:textId="77777777" w:rsidR="001B7F77" w:rsidRPr="001B7F77" w:rsidRDefault="001B7F77" w:rsidP="00FD2721">
      <w:pPr>
        <w:pBdr>
          <w:top w:val="nil"/>
          <w:left w:val="nil"/>
          <w:bottom w:val="nil"/>
          <w:right w:val="nil"/>
          <w:between w:val="nil"/>
        </w:pBdr>
        <w:suppressAutoHyphens/>
        <w:spacing w:before="120"/>
        <w:ind w:left="360"/>
        <w:rPr>
          <w:rFonts w:eastAsia="Times"/>
          <w:color w:val="000000"/>
          <w:szCs w:val="24"/>
          <w:u w:val="single"/>
        </w:rPr>
      </w:pPr>
      <w:r w:rsidRPr="001B7F77">
        <w:rPr>
          <w:rFonts w:eastAsia="Times"/>
          <w:b/>
          <w:color w:val="000000"/>
          <w:szCs w:val="24"/>
          <w:u w:val="single"/>
        </w:rPr>
        <w:t>D402.1 New rooms in basements or cellars (MDL 34(6)).</w:t>
      </w:r>
      <w:r w:rsidRPr="001B7F77">
        <w:rPr>
          <w:rFonts w:eastAsia="Times"/>
          <w:color w:val="000000"/>
          <w:szCs w:val="24"/>
          <w:u w:val="single"/>
        </w:rPr>
        <w:t xml:space="preserve"> Rooms created on or after </w:t>
      </w:r>
      <w:r w:rsidRPr="001B7F77">
        <w:rPr>
          <w:rFonts w:eastAsia="Times"/>
          <w:szCs w:val="24"/>
          <w:u w:val="single"/>
        </w:rPr>
        <w:t>the effective date of the local law that added this section</w:t>
      </w:r>
      <w:r w:rsidRPr="001B7F77" w:rsidDel="00A97B8D">
        <w:rPr>
          <w:rFonts w:eastAsia="Times"/>
          <w:color w:val="000000"/>
          <w:szCs w:val="24"/>
          <w:u w:val="single"/>
        </w:rPr>
        <w:t xml:space="preserve"> </w:t>
      </w:r>
      <w:r w:rsidRPr="001B7F77">
        <w:rPr>
          <w:rFonts w:eastAsia="Times"/>
          <w:color w:val="000000"/>
          <w:szCs w:val="24"/>
          <w:u w:val="single"/>
        </w:rPr>
        <w:t>in basements and cellars within dwelling units in fireproof multiple dwellings classified as HAEA (1929-1968) or HAEB (1929-1968) shall comply with the requirements of Section D305.4.1.</w:t>
      </w:r>
    </w:p>
    <w:p w14:paraId="60ABE670" w14:textId="77777777" w:rsidR="001B7F77" w:rsidRPr="001B7F77" w:rsidRDefault="001B7F77" w:rsidP="00FD2721">
      <w:pPr>
        <w:pBdr>
          <w:top w:val="nil"/>
          <w:left w:val="nil"/>
          <w:bottom w:val="nil"/>
          <w:right w:val="nil"/>
          <w:between w:val="nil"/>
        </w:pBdr>
        <w:suppressAutoHyphens/>
        <w:spacing w:before="120"/>
        <w:ind w:left="360"/>
        <w:rPr>
          <w:rFonts w:eastAsia="Times"/>
          <w:color w:val="000000"/>
          <w:szCs w:val="24"/>
          <w:u w:val="single"/>
        </w:rPr>
      </w:pPr>
      <w:r w:rsidRPr="001B7F77">
        <w:rPr>
          <w:rFonts w:eastAsia="Times"/>
          <w:b/>
          <w:color w:val="000000"/>
          <w:szCs w:val="24"/>
          <w:u w:val="single"/>
        </w:rPr>
        <w:t xml:space="preserve">D402.2. Existing rooms in basements and cellars (MDL 34(5), 34(6)). </w:t>
      </w:r>
      <w:r w:rsidRPr="001B7F77">
        <w:rPr>
          <w:rFonts w:eastAsia="Times"/>
          <w:color w:val="000000"/>
          <w:szCs w:val="24"/>
          <w:u w:val="single"/>
        </w:rPr>
        <w:t>For the purposes of establishing the lawful conditions of existing rooms in basements or cellars within dwelling units in fireproof multiple dwellings classified as HAEA (1929-1968) or HAEB (1929-1968), refer to Section D305.4.1 or Sections 34(1) to 34(4) of the MDL.</w:t>
      </w:r>
    </w:p>
    <w:p w14:paraId="3DB42E21" w14:textId="77777777" w:rsidR="001B7F77" w:rsidRPr="001B7F77" w:rsidRDefault="001B7F77" w:rsidP="00FD2721">
      <w:pPr>
        <w:pBdr>
          <w:top w:val="nil"/>
          <w:left w:val="nil"/>
          <w:bottom w:val="nil"/>
          <w:right w:val="nil"/>
          <w:between w:val="nil"/>
        </w:pBdr>
        <w:suppressAutoHyphens/>
        <w:spacing w:before="120"/>
        <w:jc w:val="center"/>
        <w:rPr>
          <w:rFonts w:eastAsia="Times"/>
          <w:b/>
          <w:color w:val="000000"/>
          <w:szCs w:val="24"/>
          <w:u w:val="single"/>
        </w:rPr>
      </w:pPr>
    </w:p>
    <w:p w14:paraId="445A80DA" w14:textId="77777777" w:rsidR="001B7F77" w:rsidRPr="001B7F77" w:rsidRDefault="001B7F77" w:rsidP="00FD2721">
      <w:pPr>
        <w:pBdr>
          <w:top w:val="nil"/>
          <w:left w:val="nil"/>
          <w:bottom w:val="nil"/>
          <w:right w:val="nil"/>
          <w:between w:val="nil"/>
        </w:pBdr>
        <w:suppressAutoHyphens/>
        <w:spacing w:before="120"/>
        <w:jc w:val="center"/>
        <w:rPr>
          <w:rFonts w:eastAsia="Times"/>
          <w:b/>
          <w:color w:val="000000"/>
          <w:szCs w:val="24"/>
          <w:u w:val="single"/>
        </w:rPr>
      </w:pPr>
      <w:r w:rsidRPr="001B7F77">
        <w:rPr>
          <w:rFonts w:eastAsia="Times"/>
          <w:b/>
          <w:color w:val="000000"/>
          <w:szCs w:val="24"/>
          <w:u w:val="single"/>
        </w:rPr>
        <w:t>CHAPTER D5</w:t>
      </w:r>
      <w:r w:rsidRPr="001B7F77">
        <w:rPr>
          <w:rFonts w:eastAsia="Times"/>
          <w:b/>
          <w:color w:val="000000"/>
          <w:szCs w:val="24"/>
          <w:u w:val="single"/>
        </w:rPr>
        <w:br/>
        <w:t xml:space="preserve">PRE-1968 HEREAFTER ERECTED NON-FIREPROOF MULTIPLE DWELLINGS </w:t>
      </w:r>
      <w:r w:rsidRPr="001B7F77">
        <w:rPr>
          <w:rFonts w:eastAsia="Times"/>
          <w:b/>
          <w:color w:val="000000"/>
          <w:szCs w:val="24"/>
          <w:u w:val="single"/>
        </w:rPr>
        <w:br/>
        <w:t>(MDL ARTICLE 5)</w:t>
      </w:r>
    </w:p>
    <w:p w14:paraId="5F0E155E" w14:textId="77777777" w:rsidR="001B7F77" w:rsidRPr="001B7F77" w:rsidRDefault="001B7F77" w:rsidP="00FD2721">
      <w:pPr>
        <w:pBdr>
          <w:top w:val="nil"/>
          <w:left w:val="nil"/>
          <w:bottom w:val="nil"/>
          <w:right w:val="nil"/>
          <w:between w:val="nil"/>
        </w:pBdr>
        <w:suppressAutoHyphens/>
        <w:spacing w:before="120"/>
        <w:rPr>
          <w:rFonts w:eastAsia="Times"/>
          <w:color w:val="000000"/>
          <w:szCs w:val="24"/>
          <w:u w:val="single"/>
        </w:rPr>
      </w:pPr>
      <w:r w:rsidRPr="001B7F77">
        <w:rPr>
          <w:rFonts w:eastAsia="Times"/>
          <w:b/>
          <w:color w:val="000000"/>
          <w:szCs w:val="24"/>
          <w:u w:val="single"/>
        </w:rPr>
        <w:t xml:space="preserve">D501 Applicability. </w:t>
      </w:r>
      <w:r w:rsidRPr="001B7F77">
        <w:rPr>
          <w:rFonts w:eastAsia="Times"/>
          <w:color w:val="000000"/>
          <w:szCs w:val="24"/>
          <w:u w:val="single"/>
        </w:rPr>
        <w:t>Alterations, additions, repairs and changes of occupancy of non-fireproof multiple dwellings classified as HAEA (1929-1968) or HAEB (1929-1968) shall comply with the provisions of this code and the additional provisions in this Chapter D5.</w:t>
      </w:r>
    </w:p>
    <w:p w14:paraId="3A569FC0" w14:textId="77777777" w:rsidR="001B7F77" w:rsidRPr="001B7F77" w:rsidRDefault="001B7F77" w:rsidP="00FD2721">
      <w:pPr>
        <w:widowControl w:val="0"/>
        <w:pBdr>
          <w:top w:val="nil"/>
          <w:left w:val="nil"/>
          <w:bottom w:val="nil"/>
          <w:right w:val="nil"/>
          <w:between w:val="nil"/>
        </w:pBdr>
        <w:suppressAutoHyphens/>
        <w:spacing w:before="120"/>
        <w:rPr>
          <w:rFonts w:eastAsia="Times"/>
          <w:color w:val="000000"/>
          <w:szCs w:val="24"/>
          <w:u w:val="single"/>
        </w:rPr>
      </w:pPr>
      <w:r w:rsidRPr="001B7F77">
        <w:rPr>
          <w:rFonts w:eastAsia="Times"/>
          <w:b/>
          <w:color w:val="000000"/>
          <w:szCs w:val="24"/>
          <w:u w:val="single"/>
        </w:rPr>
        <w:t xml:space="preserve">D502 Maximum height (MDL 101, 141). </w:t>
      </w:r>
      <w:r w:rsidRPr="001B7F77">
        <w:rPr>
          <w:rFonts w:eastAsia="Times"/>
          <w:color w:val="000000"/>
          <w:szCs w:val="24"/>
          <w:u w:val="single"/>
        </w:rPr>
        <w:t>Such a dwelling shall not be increased in height greater than 75 feet (22 860 mm) above curb level or 6 stories.</w:t>
      </w:r>
    </w:p>
    <w:p w14:paraId="283B521B" w14:textId="77777777" w:rsidR="001B7F77" w:rsidRPr="001B7F77" w:rsidRDefault="001B7F77" w:rsidP="00FD2721">
      <w:pPr>
        <w:widowControl w:val="0"/>
        <w:pBdr>
          <w:top w:val="nil"/>
          <w:left w:val="nil"/>
          <w:bottom w:val="nil"/>
          <w:right w:val="nil"/>
          <w:between w:val="nil"/>
        </w:pBdr>
        <w:suppressAutoHyphens/>
        <w:spacing w:before="120"/>
        <w:ind w:left="360"/>
        <w:rPr>
          <w:rFonts w:eastAsia="Times"/>
          <w:b/>
          <w:color w:val="000000"/>
          <w:szCs w:val="24"/>
          <w:u w:val="single"/>
        </w:rPr>
      </w:pPr>
      <w:r w:rsidRPr="001B7F77">
        <w:rPr>
          <w:rFonts w:eastAsia="Times"/>
          <w:b/>
          <w:color w:val="000000"/>
          <w:szCs w:val="24"/>
          <w:u w:val="single"/>
        </w:rPr>
        <w:t xml:space="preserve">Exception: </w:t>
      </w:r>
      <w:r w:rsidRPr="001B7F77">
        <w:rPr>
          <w:rFonts w:eastAsia="Times"/>
          <w:color w:val="000000"/>
          <w:szCs w:val="24"/>
          <w:u w:val="single"/>
        </w:rPr>
        <w:t xml:space="preserve">Such a dwelling may be increased in height above 75 feet (22 860 mm) or 6 stories, provided such dwelling meets the requirements of Items 1 through 4, below. In such cases, notwithstanding any contrary requirements of this code or the </w:t>
      </w:r>
      <w:r w:rsidRPr="001B7F77">
        <w:rPr>
          <w:rFonts w:eastAsia="Times"/>
          <w:i/>
          <w:iCs/>
          <w:color w:val="000000"/>
          <w:szCs w:val="24"/>
          <w:u w:val="single"/>
        </w:rPr>
        <w:t>New York City Building Code</w:t>
      </w:r>
      <w:r w:rsidRPr="001B7F77">
        <w:rPr>
          <w:rFonts w:eastAsia="Times"/>
          <w:color w:val="000000"/>
          <w:szCs w:val="24"/>
          <w:u w:val="single"/>
        </w:rPr>
        <w:t>, any existing unenclosed stair needs to be enclosed and separated from the public halls only at the altered portions of the building.</w:t>
      </w:r>
    </w:p>
    <w:p w14:paraId="06C9A8FC" w14:textId="77777777" w:rsidR="001B7F77" w:rsidRPr="001B7F77" w:rsidRDefault="001B7F77" w:rsidP="00FD2721">
      <w:pPr>
        <w:widowControl w:val="0"/>
        <w:numPr>
          <w:ilvl w:val="0"/>
          <w:numId w:val="45"/>
        </w:numPr>
        <w:pBdr>
          <w:top w:val="nil"/>
          <w:left w:val="nil"/>
          <w:bottom w:val="nil"/>
          <w:right w:val="nil"/>
          <w:between w:val="nil"/>
        </w:pBdr>
        <w:suppressAutoHyphens/>
        <w:spacing w:before="120"/>
        <w:ind w:left="1080"/>
        <w:jc w:val="left"/>
        <w:rPr>
          <w:rFonts w:eastAsia="Times"/>
          <w:szCs w:val="24"/>
          <w:u w:val="single"/>
        </w:rPr>
      </w:pPr>
      <w:r w:rsidRPr="001B7F77">
        <w:rPr>
          <w:rFonts w:eastAsia="Times"/>
          <w:color w:val="000000"/>
          <w:szCs w:val="24"/>
          <w:u w:val="single"/>
        </w:rPr>
        <w:t xml:space="preserve">The entire building shall comply with the height and area limitations of Chapter 5 of the </w:t>
      </w:r>
      <w:r w:rsidRPr="001B7F77">
        <w:rPr>
          <w:rFonts w:eastAsia="Times"/>
          <w:i/>
          <w:iCs/>
          <w:color w:val="000000"/>
          <w:szCs w:val="24"/>
          <w:u w:val="single"/>
        </w:rPr>
        <w:t>New York City Building Code</w:t>
      </w:r>
      <w:r w:rsidRPr="001B7F77">
        <w:rPr>
          <w:rFonts w:eastAsia="Times"/>
          <w:color w:val="000000"/>
          <w:szCs w:val="24"/>
          <w:u w:val="single"/>
        </w:rPr>
        <w:t>.</w:t>
      </w:r>
    </w:p>
    <w:p w14:paraId="0164707E" w14:textId="77777777" w:rsidR="001B7F77" w:rsidRPr="001B7F77" w:rsidRDefault="001B7F77" w:rsidP="00FD2721">
      <w:pPr>
        <w:widowControl w:val="0"/>
        <w:numPr>
          <w:ilvl w:val="0"/>
          <w:numId w:val="45"/>
        </w:numPr>
        <w:pBdr>
          <w:top w:val="nil"/>
          <w:left w:val="nil"/>
          <w:bottom w:val="nil"/>
          <w:right w:val="nil"/>
          <w:between w:val="nil"/>
        </w:pBdr>
        <w:suppressAutoHyphens/>
        <w:spacing w:before="120"/>
        <w:ind w:left="1080"/>
        <w:jc w:val="left"/>
        <w:rPr>
          <w:rFonts w:eastAsia="Times"/>
          <w:szCs w:val="24"/>
          <w:u w:val="single"/>
        </w:rPr>
      </w:pPr>
      <w:r w:rsidRPr="001B7F77">
        <w:rPr>
          <w:rFonts w:eastAsia="Times"/>
          <w:color w:val="000000"/>
          <w:szCs w:val="24"/>
          <w:u w:val="single"/>
        </w:rPr>
        <w:t xml:space="preserve">The entire building shall comply with Chapter 9 of the </w:t>
      </w:r>
      <w:r w:rsidRPr="001B7F77">
        <w:rPr>
          <w:rFonts w:eastAsia="Times"/>
          <w:i/>
          <w:iCs/>
          <w:color w:val="000000"/>
          <w:szCs w:val="24"/>
          <w:u w:val="single"/>
        </w:rPr>
        <w:t>New York City Building Code</w:t>
      </w:r>
      <w:r w:rsidRPr="001B7F77">
        <w:rPr>
          <w:rFonts w:eastAsia="Times"/>
          <w:iCs/>
          <w:color w:val="000000"/>
          <w:szCs w:val="24"/>
          <w:u w:val="single"/>
        </w:rPr>
        <w:t xml:space="preserve"> as if hereafter erected</w:t>
      </w:r>
      <w:r w:rsidRPr="001B7F77">
        <w:rPr>
          <w:rFonts w:eastAsia="Times"/>
          <w:color w:val="000000"/>
          <w:szCs w:val="24"/>
          <w:u w:val="single"/>
        </w:rPr>
        <w:t>.</w:t>
      </w:r>
    </w:p>
    <w:p w14:paraId="053C33F2" w14:textId="77777777" w:rsidR="001B7F77" w:rsidRPr="001B7F77" w:rsidRDefault="001B7F77" w:rsidP="00FD2721">
      <w:pPr>
        <w:widowControl w:val="0"/>
        <w:numPr>
          <w:ilvl w:val="0"/>
          <w:numId w:val="45"/>
        </w:numPr>
        <w:pBdr>
          <w:top w:val="nil"/>
          <w:left w:val="nil"/>
          <w:bottom w:val="nil"/>
          <w:right w:val="nil"/>
          <w:between w:val="nil"/>
        </w:pBdr>
        <w:suppressAutoHyphens/>
        <w:spacing w:before="120"/>
        <w:ind w:left="1080"/>
        <w:jc w:val="left"/>
        <w:rPr>
          <w:rFonts w:eastAsia="Times"/>
          <w:szCs w:val="24"/>
          <w:u w:val="single"/>
        </w:rPr>
      </w:pPr>
      <w:r w:rsidRPr="001B7F77">
        <w:rPr>
          <w:rFonts w:eastAsia="Times"/>
          <w:color w:val="000000"/>
          <w:szCs w:val="24"/>
          <w:u w:val="single"/>
        </w:rPr>
        <w:t>The building shall comply with any applicable elevator requirements of Section D306.1.</w:t>
      </w:r>
    </w:p>
    <w:p w14:paraId="71A177CB" w14:textId="77777777" w:rsidR="001B7F77" w:rsidRPr="001B7F77" w:rsidRDefault="001B7F77" w:rsidP="00FD2721">
      <w:pPr>
        <w:widowControl w:val="0"/>
        <w:numPr>
          <w:ilvl w:val="0"/>
          <w:numId w:val="45"/>
        </w:numPr>
        <w:pBdr>
          <w:top w:val="nil"/>
          <w:left w:val="nil"/>
          <w:bottom w:val="nil"/>
          <w:right w:val="nil"/>
          <w:between w:val="nil"/>
        </w:pBdr>
        <w:suppressAutoHyphens/>
        <w:spacing w:before="120"/>
        <w:ind w:left="1080"/>
        <w:jc w:val="left"/>
        <w:rPr>
          <w:rFonts w:eastAsia="Times"/>
          <w:szCs w:val="24"/>
          <w:u w:val="single"/>
        </w:rPr>
      </w:pPr>
      <w:r w:rsidRPr="001B7F77">
        <w:rPr>
          <w:rFonts w:eastAsia="Times"/>
          <w:color w:val="000000"/>
          <w:szCs w:val="24"/>
          <w:u w:val="single"/>
        </w:rPr>
        <w:t xml:space="preserve">Fire escapes shall not be utilized as a second means of egress from dwelling units unless </w:t>
      </w:r>
      <w:r w:rsidRPr="001B7F77">
        <w:rPr>
          <w:rFonts w:eastAsia="Times"/>
          <w:bCs/>
          <w:color w:val="000000"/>
          <w:szCs w:val="24"/>
          <w:u w:val="single"/>
        </w:rPr>
        <w:t>the addition comprises a penthouse</w:t>
      </w:r>
      <w:r w:rsidRPr="001B7F77">
        <w:rPr>
          <w:rFonts w:eastAsia="Times"/>
          <w:color w:val="000000"/>
          <w:szCs w:val="24"/>
          <w:u w:val="single"/>
        </w:rPr>
        <w:t xml:space="preserve"> structure that is located upon the roof of a sixth story and that forms the upper level of a multi-story dwelling unit, and the building is deemed to be no more than 6 stories pursuant Section 504.3 of the </w:t>
      </w:r>
      <w:r w:rsidRPr="001B7F77">
        <w:rPr>
          <w:rFonts w:eastAsia="Times"/>
          <w:i/>
          <w:iCs/>
          <w:color w:val="000000"/>
          <w:szCs w:val="24"/>
          <w:u w:val="single"/>
        </w:rPr>
        <w:t>New York City Building Code</w:t>
      </w:r>
      <w:r w:rsidRPr="001B7F77">
        <w:rPr>
          <w:rFonts w:eastAsia="Times"/>
          <w:i/>
          <w:color w:val="000000"/>
          <w:szCs w:val="24"/>
          <w:u w:val="single"/>
        </w:rPr>
        <w:t xml:space="preserve">. </w:t>
      </w:r>
    </w:p>
    <w:p w14:paraId="5A7DAAE0" w14:textId="77777777" w:rsidR="001B7F77" w:rsidRPr="001B7F77" w:rsidRDefault="001B7F77" w:rsidP="00FD2721">
      <w:pPr>
        <w:widowControl w:val="0"/>
        <w:pBdr>
          <w:top w:val="nil"/>
          <w:left w:val="nil"/>
          <w:bottom w:val="nil"/>
          <w:right w:val="nil"/>
          <w:between w:val="nil"/>
        </w:pBdr>
        <w:suppressAutoHyphens/>
        <w:spacing w:before="120"/>
        <w:rPr>
          <w:rFonts w:eastAsia="Times"/>
          <w:color w:val="000000"/>
          <w:szCs w:val="24"/>
          <w:u w:val="single"/>
        </w:rPr>
      </w:pPr>
      <w:r w:rsidRPr="001B7F77">
        <w:rPr>
          <w:rFonts w:eastAsia="Times"/>
          <w:b/>
          <w:color w:val="000000"/>
          <w:szCs w:val="24"/>
          <w:u w:val="single"/>
        </w:rPr>
        <w:t>D50</w:t>
      </w:r>
      <w:r w:rsidRPr="001B7F77">
        <w:rPr>
          <w:rFonts w:eastAsia="Times"/>
          <w:b/>
          <w:szCs w:val="24"/>
          <w:u w:val="single"/>
        </w:rPr>
        <w:t>3</w:t>
      </w:r>
      <w:r w:rsidRPr="001B7F77">
        <w:rPr>
          <w:rFonts w:eastAsia="Times"/>
          <w:b/>
          <w:color w:val="000000"/>
          <w:szCs w:val="24"/>
          <w:u w:val="single"/>
        </w:rPr>
        <w:t xml:space="preserve"> Fireproof first floor (MDL 143, 150). </w:t>
      </w:r>
      <w:r w:rsidRPr="001B7F77">
        <w:rPr>
          <w:rFonts w:eastAsia="Times"/>
          <w:color w:val="000000"/>
          <w:szCs w:val="24"/>
          <w:u w:val="single"/>
        </w:rPr>
        <w:t xml:space="preserve">Any existing fireproof first floor, and any existing fireproof second floor where the cellar below the first floor is less than one half the area of the first floor, shall be maintained as fireproof and shall not be pierced. </w:t>
      </w:r>
    </w:p>
    <w:p w14:paraId="22114531" w14:textId="77777777" w:rsidR="001B7F77" w:rsidRPr="001B7F77" w:rsidRDefault="001B7F77" w:rsidP="00FD2721">
      <w:pPr>
        <w:widowControl w:val="0"/>
        <w:pBdr>
          <w:top w:val="nil"/>
          <w:left w:val="nil"/>
          <w:bottom w:val="nil"/>
          <w:right w:val="nil"/>
          <w:between w:val="nil"/>
        </w:pBdr>
        <w:suppressAutoHyphens/>
        <w:spacing w:before="120"/>
        <w:ind w:left="360"/>
        <w:rPr>
          <w:rFonts w:eastAsia="Times"/>
          <w:b/>
          <w:color w:val="000000"/>
          <w:szCs w:val="24"/>
          <w:u w:val="single"/>
        </w:rPr>
      </w:pPr>
      <w:r w:rsidRPr="001B7F77">
        <w:rPr>
          <w:rFonts w:eastAsia="Times"/>
          <w:b/>
          <w:color w:val="000000"/>
          <w:szCs w:val="24"/>
          <w:u w:val="single"/>
        </w:rPr>
        <w:t>Exceptions:</w:t>
      </w:r>
    </w:p>
    <w:p w14:paraId="0B983F46" w14:textId="77777777" w:rsidR="001B7F77" w:rsidRPr="001B7F77" w:rsidRDefault="001B7F77" w:rsidP="00FD2721">
      <w:pPr>
        <w:widowControl w:val="0"/>
        <w:numPr>
          <w:ilvl w:val="0"/>
          <w:numId w:val="44"/>
        </w:numPr>
        <w:pBdr>
          <w:top w:val="nil"/>
          <w:left w:val="nil"/>
          <w:bottom w:val="nil"/>
          <w:right w:val="nil"/>
          <w:between w:val="nil"/>
        </w:pBdr>
        <w:suppressAutoHyphens/>
        <w:spacing w:before="120"/>
        <w:ind w:left="1080"/>
        <w:jc w:val="left"/>
        <w:rPr>
          <w:rFonts w:eastAsia="Times"/>
          <w:szCs w:val="24"/>
          <w:u w:val="single"/>
        </w:rPr>
      </w:pPr>
      <w:r w:rsidRPr="001B7F77">
        <w:rPr>
          <w:rFonts w:eastAsia="Times"/>
          <w:color w:val="000000"/>
          <w:szCs w:val="24"/>
          <w:u w:val="single"/>
        </w:rPr>
        <w:t xml:space="preserve">Firestopped penetrations in accordance with Chapter 7 of the </w:t>
      </w:r>
      <w:r w:rsidRPr="001B7F77">
        <w:rPr>
          <w:rFonts w:eastAsia="Times"/>
          <w:i/>
          <w:iCs/>
          <w:color w:val="000000"/>
          <w:szCs w:val="24"/>
          <w:u w:val="single"/>
        </w:rPr>
        <w:t xml:space="preserve">New York City Building Code </w:t>
      </w:r>
      <w:r w:rsidRPr="001B7F77">
        <w:rPr>
          <w:rFonts w:eastAsia="Times"/>
          <w:color w:val="000000"/>
          <w:szCs w:val="24"/>
          <w:u w:val="single"/>
        </w:rPr>
        <w:t>shall be permitted to pierce such floor.</w:t>
      </w:r>
    </w:p>
    <w:p w14:paraId="6AC00511" w14:textId="77777777" w:rsidR="001B7F77" w:rsidRPr="001B7F77" w:rsidRDefault="001B7F77" w:rsidP="00FD2721">
      <w:pPr>
        <w:widowControl w:val="0"/>
        <w:numPr>
          <w:ilvl w:val="0"/>
          <w:numId w:val="44"/>
        </w:numPr>
        <w:pBdr>
          <w:top w:val="nil"/>
          <w:left w:val="nil"/>
          <w:bottom w:val="nil"/>
          <w:right w:val="nil"/>
          <w:between w:val="nil"/>
        </w:pBdr>
        <w:suppressAutoHyphens/>
        <w:spacing w:before="120"/>
        <w:ind w:left="1080"/>
        <w:jc w:val="left"/>
        <w:rPr>
          <w:rFonts w:eastAsia="Times"/>
          <w:szCs w:val="24"/>
          <w:u w:val="single"/>
        </w:rPr>
      </w:pPr>
      <w:r w:rsidRPr="001B7F77">
        <w:rPr>
          <w:rFonts w:eastAsia="Times"/>
          <w:color w:val="000000"/>
          <w:szCs w:val="24"/>
          <w:u w:val="single"/>
        </w:rPr>
        <w:t xml:space="preserve">Elevator, refuse chute and dumbwaiter shafts meeting the enclosure requirements of Chapter 7 of the </w:t>
      </w:r>
      <w:r w:rsidRPr="001B7F77">
        <w:rPr>
          <w:rFonts w:eastAsia="Times"/>
          <w:i/>
          <w:iCs/>
          <w:color w:val="000000"/>
          <w:szCs w:val="24"/>
          <w:u w:val="single"/>
        </w:rPr>
        <w:t>New York City Building Code</w:t>
      </w:r>
      <w:r w:rsidRPr="001B7F77">
        <w:rPr>
          <w:rFonts w:eastAsia="Times"/>
          <w:color w:val="000000"/>
          <w:szCs w:val="24"/>
          <w:u w:val="single"/>
        </w:rPr>
        <w:t xml:space="preserve"> shall be permitted to pierce such floor.</w:t>
      </w:r>
    </w:p>
    <w:p w14:paraId="638F568F" w14:textId="77777777" w:rsidR="001B7F77" w:rsidRPr="001B7F77" w:rsidRDefault="001B7F77" w:rsidP="00FD2721">
      <w:pPr>
        <w:widowControl w:val="0"/>
        <w:numPr>
          <w:ilvl w:val="0"/>
          <w:numId w:val="44"/>
        </w:numPr>
        <w:pBdr>
          <w:top w:val="nil"/>
          <w:left w:val="nil"/>
          <w:bottom w:val="nil"/>
          <w:right w:val="nil"/>
          <w:between w:val="nil"/>
        </w:pBdr>
        <w:suppressAutoHyphens/>
        <w:spacing w:before="120"/>
        <w:ind w:left="1080"/>
        <w:jc w:val="left"/>
        <w:rPr>
          <w:rFonts w:eastAsia="Times"/>
          <w:szCs w:val="24"/>
          <w:u w:val="single"/>
        </w:rPr>
      </w:pPr>
      <w:r w:rsidRPr="001B7F77">
        <w:rPr>
          <w:rFonts w:eastAsia="Times"/>
          <w:color w:val="000000"/>
          <w:szCs w:val="24"/>
          <w:u w:val="single"/>
        </w:rPr>
        <w:t>Stairs located outside the dwelling that, if enclosed, shall be fireproof, and in a fireproof enclosure with fireproof doors and door assemblies, with the doors self-closing at all openings, shall be permitted to pierce such floor.</w:t>
      </w:r>
    </w:p>
    <w:p w14:paraId="0CF88FAF" w14:textId="77777777" w:rsidR="001B7F77" w:rsidRPr="001B7F77" w:rsidRDefault="001B7F77" w:rsidP="00FD2721">
      <w:pPr>
        <w:widowControl w:val="0"/>
        <w:numPr>
          <w:ilvl w:val="0"/>
          <w:numId w:val="44"/>
        </w:numPr>
        <w:pBdr>
          <w:top w:val="nil"/>
          <w:left w:val="nil"/>
          <w:bottom w:val="nil"/>
          <w:right w:val="nil"/>
          <w:between w:val="nil"/>
        </w:pBdr>
        <w:suppressAutoHyphens/>
        <w:spacing w:before="120"/>
        <w:ind w:left="1080"/>
        <w:jc w:val="left"/>
        <w:rPr>
          <w:rFonts w:eastAsia="Times"/>
          <w:szCs w:val="24"/>
          <w:u w:val="single"/>
        </w:rPr>
      </w:pPr>
      <w:r w:rsidRPr="001B7F77">
        <w:rPr>
          <w:rFonts w:eastAsia="Times"/>
          <w:color w:val="000000"/>
          <w:szCs w:val="24"/>
          <w:u w:val="single"/>
        </w:rPr>
        <w:t>Stairs extending not more than one story shall be permitted to pierce such floor, provided that such stairs are (i) enclosed from all other spaces in the dwelling by fire barriers and horizontal assemblies having a 3-hour fire resistive rating, (ii) provided with vestibules at the top and bottom of the stairs that are at least 50 square feet (4.6. m</w:t>
      </w:r>
      <w:r w:rsidRPr="001B7F77">
        <w:rPr>
          <w:rFonts w:eastAsia="Times"/>
          <w:color w:val="000000"/>
          <w:szCs w:val="24"/>
          <w:u w:val="single"/>
          <w:vertAlign w:val="superscript"/>
        </w:rPr>
        <w:t>2</w:t>
      </w:r>
      <w:r w:rsidRPr="001B7F77">
        <w:rPr>
          <w:rFonts w:eastAsia="Times"/>
          <w:color w:val="000000"/>
          <w:szCs w:val="24"/>
          <w:u w:val="single"/>
        </w:rPr>
        <w:t>) and no larger than 75 square feet (7 m2), and (iii) are provided with and separated by enclosures from all other spaces in the dwelling by fire barriers and horizontal assemblies having a 3-hour fire resistive rating.</w:t>
      </w:r>
      <w:r w:rsidRPr="001B7F77">
        <w:rPr>
          <w:rFonts w:eastAsia="Calibri"/>
          <w:szCs w:val="24"/>
          <w:u w:val="single"/>
          <w:shd w:val="clear" w:color="auto" w:fill="00FFFF"/>
        </w:rPr>
        <w:t xml:space="preserve"> </w:t>
      </w:r>
    </w:p>
    <w:p w14:paraId="36ACD6FC" w14:textId="77777777" w:rsidR="001B7F77" w:rsidRPr="001B7F77" w:rsidRDefault="001B7F77" w:rsidP="00FD2721">
      <w:pPr>
        <w:widowControl w:val="0"/>
        <w:numPr>
          <w:ilvl w:val="0"/>
          <w:numId w:val="44"/>
        </w:numPr>
        <w:pBdr>
          <w:top w:val="nil"/>
          <w:left w:val="nil"/>
          <w:bottom w:val="nil"/>
          <w:right w:val="nil"/>
          <w:between w:val="nil"/>
        </w:pBdr>
        <w:suppressAutoHyphens/>
        <w:spacing w:before="120"/>
        <w:ind w:left="1080"/>
        <w:jc w:val="left"/>
        <w:rPr>
          <w:rFonts w:eastAsia="Times"/>
          <w:szCs w:val="24"/>
          <w:u w:val="single"/>
        </w:rPr>
      </w:pPr>
      <w:r w:rsidRPr="001B7F77">
        <w:rPr>
          <w:rFonts w:eastAsia="Times"/>
          <w:color w:val="000000"/>
          <w:szCs w:val="24"/>
          <w:u w:val="single"/>
        </w:rPr>
        <w:t>Stairs in dwellings 3 stories or less in height which are occupied by two families or fewer on every story and that are enclosed by fire barriers and horizontal assemblies having a 2-hour fire resistive rating shall be permitted to pierce such floor.</w:t>
      </w:r>
    </w:p>
    <w:p w14:paraId="1FC0540C" w14:textId="77777777" w:rsidR="001B7F77" w:rsidRPr="001B7F77" w:rsidRDefault="001B7F77" w:rsidP="00FD2721">
      <w:pPr>
        <w:widowControl w:val="0"/>
        <w:pBdr>
          <w:top w:val="nil"/>
          <w:left w:val="nil"/>
          <w:bottom w:val="nil"/>
          <w:right w:val="nil"/>
          <w:between w:val="nil"/>
        </w:pBdr>
        <w:suppressAutoHyphens/>
        <w:spacing w:before="120"/>
        <w:ind w:left="1080" w:hanging="360"/>
        <w:rPr>
          <w:rFonts w:eastAsia="Times"/>
          <w:color w:val="000000"/>
          <w:szCs w:val="24"/>
          <w:u w:val="single"/>
        </w:rPr>
      </w:pPr>
      <w:r w:rsidRPr="001B7F77">
        <w:rPr>
          <w:rFonts w:eastAsia="Times"/>
          <w:color w:val="000000"/>
          <w:szCs w:val="24"/>
          <w:u w:val="single"/>
        </w:rPr>
        <w:t>6.</w:t>
      </w:r>
      <w:r w:rsidRPr="001B7F77">
        <w:rPr>
          <w:rFonts w:eastAsia="Times"/>
          <w:color w:val="000000"/>
          <w:szCs w:val="24"/>
          <w:u w:val="single"/>
        </w:rPr>
        <w:tab/>
        <w:t>No enclosures shall be required for stairs or vertical openings from such cellar or basement, other than exit enclosures, provided all of the following conditions are met:</w:t>
      </w:r>
    </w:p>
    <w:p w14:paraId="30650350" w14:textId="77777777" w:rsidR="001B7F77" w:rsidRPr="001B7F77" w:rsidRDefault="001B7F77" w:rsidP="00FD2721">
      <w:pPr>
        <w:widowControl w:val="0"/>
        <w:pBdr>
          <w:top w:val="nil"/>
          <w:left w:val="nil"/>
          <w:bottom w:val="nil"/>
          <w:right w:val="nil"/>
          <w:between w:val="nil"/>
        </w:pBdr>
        <w:suppressAutoHyphens/>
        <w:spacing w:before="120"/>
        <w:ind w:left="1620" w:hanging="540"/>
        <w:rPr>
          <w:rFonts w:eastAsia="Times"/>
          <w:szCs w:val="24"/>
          <w:u w:val="single"/>
        </w:rPr>
      </w:pPr>
      <w:r w:rsidRPr="001B7F77">
        <w:rPr>
          <w:rFonts w:eastAsia="Times"/>
          <w:color w:val="000000"/>
          <w:szCs w:val="24"/>
          <w:u w:val="single"/>
        </w:rPr>
        <w:t>6.1.</w:t>
      </w:r>
      <w:r w:rsidRPr="001B7F77">
        <w:rPr>
          <w:rFonts w:eastAsia="Times"/>
          <w:color w:val="000000"/>
          <w:szCs w:val="24"/>
          <w:u w:val="single"/>
        </w:rPr>
        <w:tab/>
        <w:t>such resulting fire area is separated from every other stair accessing upper stories by fire barriers and horizontal assemblies having at least a 2-hour fire-resistive rating;</w:t>
      </w:r>
    </w:p>
    <w:p w14:paraId="2E3CDB52" w14:textId="77777777" w:rsidR="001B7F77" w:rsidRPr="001B7F77" w:rsidRDefault="001B7F77" w:rsidP="00FD2721">
      <w:pPr>
        <w:widowControl w:val="0"/>
        <w:pBdr>
          <w:top w:val="nil"/>
          <w:left w:val="nil"/>
          <w:bottom w:val="nil"/>
          <w:right w:val="nil"/>
          <w:between w:val="nil"/>
        </w:pBdr>
        <w:suppressAutoHyphens/>
        <w:spacing w:before="120"/>
        <w:ind w:left="1620" w:hanging="540"/>
        <w:rPr>
          <w:rFonts w:eastAsia="Times"/>
          <w:szCs w:val="24"/>
          <w:u w:val="single"/>
        </w:rPr>
      </w:pPr>
      <w:r w:rsidRPr="001B7F77">
        <w:rPr>
          <w:rFonts w:eastAsia="Times"/>
          <w:color w:val="000000"/>
          <w:szCs w:val="24"/>
          <w:u w:val="single"/>
        </w:rPr>
        <w:t>6.2.</w:t>
      </w:r>
      <w:r w:rsidRPr="001B7F77">
        <w:rPr>
          <w:rFonts w:eastAsia="Times"/>
          <w:color w:val="000000"/>
          <w:szCs w:val="24"/>
          <w:u w:val="single"/>
        </w:rPr>
        <w:tab/>
        <w:t xml:space="preserve"> a full system of automatic sprinklers is installed throughout the building with a water-flow alarm connected to a central supervising station;</w:t>
      </w:r>
    </w:p>
    <w:p w14:paraId="6FB6A8A9" w14:textId="77777777" w:rsidR="001B7F77" w:rsidRPr="001B7F77" w:rsidRDefault="001B7F77" w:rsidP="00FD2721">
      <w:pPr>
        <w:widowControl w:val="0"/>
        <w:pBdr>
          <w:top w:val="nil"/>
          <w:left w:val="nil"/>
          <w:bottom w:val="nil"/>
          <w:right w:val="nil"/>
          <w:between w:val="nil"/>
        </w:pBdr>
        <w:suppressAutoHyphens/>
        <w:spacing w:before="120"/>
        <w:ind w:left="1620" w:hanging="540"/>
        <w:rPr>
          <w:rFonts w:eastAsia="Times"/>
          <w:szCs w:val="24"/>
          <w:u w:val="single"/>
        </w:rPr>
      </w:pPr>
      <w:r w:rsidRPr="001B7F77">
        <w:rPr>
          <w:rFonts w:eastAsia="Times"/>
          <w:color w:val="000000"/>
          <w:szCs w:val="24"/>
          <w:u w:val="single"/>
        </w:rPr>
        <w:t>6.3.</w:t>
      </w:r>
      <w:r w:rsidRPr="001B7F77">
        <w:rPr>
          <w:rFonts w:eastAsia="Times"/>
          <w:color w:val="000000"/>
          <w:szCs w:val="24"/>
          <w:u w:val="single"/>
        </w:rPr>
        <w:tab/>
        <w:t xml:space="preserve">hard-wired smoke and carbon monoxide alarms or detectors are installed throughout the building as required for new construction in accordance with Chapter 9 of the </w:t>
      </w:r>
      <w:r w:rsidRPr="001B7F77">
        <w:rPr>
          <w:rFonts w:eastAsia="Times"/>
          <w:i/>
          <w:iCs/>
          <w:color w:val="000000"/>
          <w:szCs w:val="24"/>
          <w:u w:val="single"/>
        </w:rPr>
        <w:t>New York City Building Code</w:t>
      </w:r>
      <w:r w:rsidRPr="001B7F77">
        <w:rPr>
          <w:rFonts w:eastAsia="Times"/>
          <w:color w:val="000000"/>
          <w:szCs w:val="24"/>
          <w:u w:val="single"/>
        </w:rPr>
        <w:t>; and</w:t>
      </w:r>
    </w:p>
    <w:p w14:paraId="4D714D5C" w14:textId="77777777" w:rsidR="001B7F77" w:rsidRPr="001B7F77" w:rsidRDefault="001B7F77" w:rsidP="00FD2721">
      <w:pPr>
        <w:widowControl w:val="0"/>
        <w:pBdr>
          <w:top w:val="nil"/>
          <w:left w:val="nil"/>
          <w:bottom w:val="nil"/>
          <w:right w:val="nil"/>
          <w:between w:val="nil"/>
        </w:pBdr>
        <w:suppressAutoHyphens/>
        <w:spacing w:before="120"/>
        <w:ind w:left="1620" w:hanging="540"/>
        <w:rPr>
          <w:rFonts w:eastAsia="Times"/>
          <w:szCs w:val="24"/>
          <w:u w:val="single"/>
        </w:rPr>
      </w:pPr>
      <w:r w:rsidRPr="001B7F77">
        <w:rPr>
          <w:rFonts w:eastAsia="Times"/>
          <w:color w:val="000000"/>
          <w:szCs w:val="24"/>
          <w:u w:val="single"/>
        </w:rPr>
        <w:t>6.4.</w:t>
      </w:r>
      <w:r w:rsidRPr="001B7F77">
        <w:rPr>
          <w:rFonts w:eastAsia="Times"/>
          <w:color w:val="000000"/>
          <w:szCs w:val="24"/>
          <w:u w:val="single"/>
        </w:rPr>
        <w:tab/>
        <w:t xml:space="preserve">the building’s height and area comply with the height and area limitations of Chapter 5 of the </w:t>
      </w:r>
      <w:r w:rsidRPr="001B7F77">
        <w:rPr>
          <w:rFonts w:eastAsia="Times"/>
          <w:i/>
          <w:iCs/>
          <w:color w:val="000000"/>
          <w:szCs w:val="24"/>
          <w:u w:val="single"/>
        </w:rPr>
        <w:t>New York City Building Code</w:t>
      </w:r>
      <w:r w:rsidRPr="001B7F77">
        <w:rPr>
          <w:rFonts w:eastAsia="Times"/>
          <w:color w:val="000000"/>
          <w:szCs w:val="24"/>
          <w:u w:val="single"/>
        </w:rPr>
        <w:t xml:space="preserve"> based on the type of construction.</w:t>
      </w:r>
    </w:p>
    <w:p w14:paraId="0EB1A6E7" w14:textId="77777777" w:rsidR="001B7F77" w:rsidRPr="001B7F77" w:rsidRDefault="001B7F77" w:rsidP="00FD2721">
      <w:pPr>
        <w:widowControl w:val="0"/>
        <w:pBdr>
          <w:top w:val="nil"/>
          <w:left w:val="nil"/>
          <w:bottom w:val="nil"/>
          <w:right w:val="nil"/>
          <w:between w:val="nil"/>
        </w:pBdr>
        <w:suppressAutoHyphens/>
        <w:spacing w:before="120"/>
        <w:rPr>
          <w:rFonts w:eastAsia="Times"/>
          <w:color w:val="000000"/>
          <w:szCs w:val="24"/>
          <w:u w:val="single"/>
        </w:rPr>
      </w:pPr>
      <w:r w:rsidRPr="001B7F77">
        <w:rPr>
          <w:rFonts w:eastAsia="Times"/>
          <w:b/>
          <w:color w:val="000000"/>
          <w:szCs w:val="24"/>
          <w:u w:val="single"/>
        </w:rPr>
        <w:t>D50</w:t>
      </w:r>
      <w:r w:rsidRPr="001B7F77">
        <w:rPr>
          <w:rFonts w:eastAsia="Times"/>
          <w:b/>
          <w:szCs w:val="24"/>
          <w:u w:val="single"/>
        </w:rPr>
        <w:t xml:space="preserve">4 </w:t>
      </w:r>
      <w:r w:rsidRPr="001B7F77">
        <w:rPr>
          <w:rFonts w:eastAsia="Times"/>
          <w:b/>
          <w:color w:val="000000"/>
          <w:szCs w:val="24"/>
          <w:u w:val="single"/>
        </w:rPr>
        <w:t xml:space="preserve">Fireproof stair enclosures (MDL 148(3)). </w:t>
      </w:r>
      <w:r w:rsidRPr="001B7F77">
        <w:rPr>
          <w:rFonts w:eastAsia="Times"/>
          <w:color w:val="000000"/>
          <w:szCs w:val="24"/>
          <w:u w:val="single"/>
        </w:rPr>
        <w:t>Every stair, fire-stair and fire-tower shall be completely separated from every other stair, fire-stair and fire-tower and from every public hall and shaft by fireproof walls, with fireproof doors and assemblies, with the doors self-closing and without transoms, at all openings. The doors giving access to such stairs shall not be held open by any device whatsoever.</w:t>
      </w:r>
    </w:p>
    <w:p w14:paraId="505CB5A6" w14:textId="77777777" w:rsidR="001B7F77" w:rsidRPr="001B7F77" w:rsidRDefault="001B7F77" w:rsidP="00FD2721">
      <w:pPr>
        <w:widowControl w:val="0"/>
        <w:pBdr>
          <w:top w:val="nil"/>
          <w:left w:val="nil"/>
          <w:bottom w:val="nil"/>
          <w:right w:val="nil"/>
          <w:between w:val="nil"/>
        </w:pBdr>
        <w:suppressAutoHyphens/>
        <w:spacing w:before="120"/>
        <w:ind w:left="360"/>
        <w:rPr>
          <w:rFonts w:eastAsia="Times"/>
          <w:b/>
          <w:color w:val="000000"/>
          <w:szCs w:val="24"/>
          <w:u w:val="single"/>
        </w:rPr>
      </w:pPr>
      <w:r w:rsidRPr="001B7F77">
        <w:rPr>
          <w:rFonts w:eastAsia="Times"/>
          <w:b/>
          <w:color w:val="000000"/>
          <w:szCs w:val="24"/>
          <w:u w:val="single"/>
        </w:rPr>
        <w:t>Exceptions:</w:t>
      </w:r>
    </w:p>
    <w:p w14:paraId="0FB170F5" w14:textId="77777777" w:rsidR="001B7F77" w:rsidRPr="001B7F77" w:rsidRDefault="001B7F77" w:rsidP="00FD2721">
      <w:pPr>
        <w:widowControl w:val="0"/>
        <w:numPr>
          <w:ilvl w:val="0"/>
          <w:numId w:val="43"/>
        </w:numPr>
        <w:pBdr>
          <w:top w:val="nil"/>
          <w:left w:val="nil"/>
          <w:bottom w:val="nil"/>
          <w:right w:val="nil"/>
          <w:between w:val="nil"/>
        </w:pBdr>
        <w:suppressAutoHyphens/>
        <w:spacing w:before="120"/>
        <w:ind w:left="1080"/>
        <w:jc w:val="left"/>
        <w:rPr>
          <w:rFonts w:eastAsia="Times"/>
          <w:szCs w:val="24"/>
          <w:u w:val="single"/>
        </w:rPr>
      </w:pPr>
      <w:r w:rsidRPr="001B7F77">
        <w:rPr>
          <w:rFonts w:eastAsia="Times"/>
          <w:color w:val="000000"/>
          <w:szCs w:val="24"/>
          <w:u w:val="single"/>
        </w:rPr>
        <w:t>In dwellings two stories or less in height such walls shall be permitted to be constructed as 1-hour fire barriers in lieu of being fireproof.</w:t>
      </w:r>
    </w:p>
    <w:p w14:paraId="25471DB4" w14:textId="77777777" w:rsidR="001B7F77" w:rsidRPr="001B7F77" w:rsidRDefault="001B7F77" w:rsidP="00FD2721">
      <w:pPr>
        <w:widowControl w:val="0"/>
        <w:numPr>
          <w:ilvl w:val="0"/>
          <w:numId w:val="43"/>
        </w:numPr>
        <w:pBdr>
          <w:top w:val="nil"/>
          <w:left w:val="nil"/>
          <w:bottom w:val="nil"/>
          <w:right w:val="nil"/>
          <w:between w:val="nil"/>
        </w:pBdr>
        <w:suppressAutoHyphens/>
        <w:spacing w:before="120"/>
        <w:ind w:left="1080"/>
        <w:jc w:val="left"/>
        <w:rPr>
          <w:rFonts w:eastAsia="Times"/>
          <w:szCs w:val="24"/>
          <w:u w:val="single"/>
        </w:rPr>
      </w:pPr>
      <w:r w:rsidRPr="001B7F77">
        <w:rPr>
          <w:rFonts w:eastAsia="Times"/>
          <w:color w:val="000000"/>
          <w:szCs w:val="24"/>
          <w:u w:val="single"/>
        </w:rPr>
        <w:t xml:space="preserve">In lieu of fireproof walls, such noncombustible walls shall be permitted to have a 2-hour fire-resistive rating where a full system of automatic sprinklers is installed throughout the building with a water-flow alarm connected to a central supervising station, </w:t>
      </w:r>
      <w:r w:rsidRPr="001B7F77">
        <w:rPr>
          <w:rFonts w:eastAsia="Times"/>
          <w:szCs w:val="24"/>
          <w:u w:val="single"/>
        </w:rPr>
        <w:t xml:space="preserve">and </w:t>
      </w:r>
      <w:r w:rsidRPr="001B7F77">
        <w:rPr>
          <w:rFonts w:eastAsia="Times"/>
          <w:color w:val="000000"/>
          <w:szCs w:val="24"/>
          <w:u w:val="single"/>
        </w:rPr>
        <w:t xml:space="preserve">hard-wired smoke and carbon monoxide alarms or detectors are installed throughout the building as required for new construction in accordance with Chapter 9 of the </w:t>
      </w:r>
      <w:r w:rsidRPr="001B7F77">
        <w:rPr>
          <w:rFonts w:eastAsia="Times"/>
          <w:i/>
          <w:iCs/>
          <w:color w:val="000000"/>
          <w:szCs w:val="24"/>
          <w:u w:val="single"/>
        </w:rPr>
        <w:t>New York City Building Code</w:t>
      </w:r>
      <w:r w:rsidRPr="001B7F77">
        <w:rPr>
          <w:rFonts w:eastAsia="Times"/>
          <w:color w:val="000000"/>
          <w:szCs w:val="24"/>
          <w:u w:val="single"/>
        </w:rPr>
        <w:t>.</w:t>
      </w:r>
    </w:p>
    <w:p w14:paraId="344B4CCC" w14:textId="77777777" w:rsidR="001B7F77" w:rsidRPr="001B7F77" w:rsidRDefault="001B7F77" w:rsidP="00FD2721">
      <w:pPr>
        <w:widowControl w:val="0"/>
        <w:pBdr>
          <w:top w:val="nil"/>
          <w:left w:val="nil"/>
          <w:bottom w:val="nil"/>
          <w:right w:val="nil"/>
          <w:between w:val="nil"/>
        </w:pBdr>
        <w:suppressAutoHyphens/>
        <w:spacing w:before="120"/>
        <w:rPr>
          <w:rFonts w:eastAsia="Times"/>
          <w:b/>
          <w:color w:val="000000"/>
          <w:szCs w:val="24"/>
        </w:rPr>
      </w:pPr>
      <w:r w:rsidRPr="001B7F77">
        <w:rPr>
          <w:rFonts w:eastAsia="Times"/>
          <w:b/>
          <w:color w:val="000000"/>
          <w:szCs w:val="24"/>
          <w:u w:val="single"/>
        </w:rPr>
        <w:t>D50</w:t>
      </w:r>
      <w:r w:rsidRPr="001B7F77">
        <w:rPr>
          <w:rFonts w:eastAsia="Times"/>
          <w:b/>
          <w:szCs w:val="24"/>
          <w:u w:val="single"/>
        </w:rPr>
        <w:t>5</w:t>
      </w:r>
      <w:r w:rsidRPr="001B7F77">
        <w:rPr>
          <w:rFonts w:eastAsia="Times"/>
          <w:b/>
          <w:color w:val="000000"/>
          <w:szCs w:val="24"/>
          <w:u w:val="single"/>
        </w:rPr>
        <w:t xml:space="preserve"> Spaces under stairs (MDL 151).</w:t>
      </w:r>
    </w:p>
    <w:p w14:paraId="47CDEFBF" w14:textId="77777777" w:rsidR="001B7F77" w:rsidRPr="001B7F77" w:rsidRDefault="001B7F77" w:rsidP="00FD2721">
      <w:pPr>
        <w:widowControl w:val="0"/>
        <w:pBdr>
          <w:top w:val="nil"/>
          <w:left w:val="nil"/>
          <w:bottom w:val="nil"/>
          <w:right w:val="nil"/>
          <w:between w:val="nil"/>
        </w:pBdr>
        <w:suppressAutoHyphens/>
        <w:spacing w:before="120"/>
        <w:ind w:left="360"/>
        <w:rPr>
          <w:rFonts w:eastAsia="Times"/>
          <w:color w:val="000000"/>
          <w:szCs w:val="24"/>
          <w:u w:val="single"/>
        </w:rPr>
      </w:pPr>
      <w:r w:rsidRPr="001B7F77">
        <w:rPr>
          <w:rFonts w:eastAsia="Times"/>
          <w:b/>
          <w:color w:val="000000"/>
          <w:szCs w:val="24"/>
          <w:u w:val="single"/>
        </w:rPr>
        <w:t>D50</w:t>
      </w:r>
      <w:r w:rsidRPr="001B7F77">
        <w:rPr>
          <w:rFonts w:eastAsia="Times"/>
          <w:b/>
          <w:szCs w:val="24"/>
          <w:u w:val="single"/>
        </w:rPr>
        <w:t>5</w:t>
      </w:r>
      <w:r w:rsidRPr="001B7F77">
        <w:rPr>
          <w:rFonts w:eastAsia="Times"/>
          <w:b/>
          <w:color w:val="000000"/>
          <w:szCs w:val="24"/>
          <w:u w:val="single"/>
        </w:rPr>
        <w:t xml:space="preserve">.1 Enclosed spaces. </w:t>
      </w:r>
      <w:r w:rsidRPr="001B7F77">
        <w:rPr>
          <w:rFonts w:eastAsia="Times"/>
          <w:color w:val="000000"/>
          <w:szCs w:val="24"/>
          <w:u w:val="single"/>
        </w:rPr>
        <w:t>It shall be unlawful to have a closet of any kind under any public stair. The space beneath every stair from the foot of the stair to a point where the soffit is 4 feet (1219 mm) or more above the floor shall be entirely enclosed with unpierced 1-hour fire barriers. Such enclosure beneath a flight of public stairs leading from the entrance story to the story next above shall be fireproof.</w:t>
      </w:r>
    </w:p>
    <w:p w14:paraId="427350B9" w14:textId="77777777" w:rsidR="001B7F77" w:rsidRPr="001B7F77" w:rsidRDefault="001B7F77" w:rsidP="00FD2721">
      <w:pPr>
        <w:pBdr>
          <w:top w:val="nil"/>
          <w:left w:val="nil"/>
          <w:bottom w:val="nil"/>
          <w:right w:val="nil"/>
          <w:between w:val="nil"/>
        </w:pBdr>
        <w:suppressAutoHyphens/>
        <w:spacing w:before="120"/>
        <w:ind w:left="360"/>
        <w:rPr>
          <w:rFonts w:eastAsia="Times"/>
          <w:color w:val="000000"/>
          <w:szCs w:val="24"/>
          <w:u w:val="single"/>
        </w:rPr>
      </w:pPr>
      <w:r w:rsidRPr="001B7F77">
        <w:rPr>
          <w:rFonts w:eastAsia="Times"/>
          <w:b/>
          <w:color w:val="000000"/>
          <w:szCs w:val="24"/>
          <w:u w:val="single"/>
        </w:rPr>
        <w:t>D50</w:t>
      </w:r>
      <w:r w:rsidRPr="001B7F77">
        <w:rPr>
          <w:rFonts w:eastAsia="Times"/>
          <w:b/>
          <w:szCs w:val="24"/>
          <w:u w:val="single"/>
        </w:rPr>
        <w:t>5</w:t>
      </w:r>
      <w:r w:rsidRPr="001B7F77">
        <w:rPr>
          <w:rFonts w:eastAsia="Times"/>
          <w:b/>
          <w:color w:val="000000"/>
          <w:szCs w:val="24"/>
          <w:u w:val="single"/>
        </w:rPr>
        <w:t>.</w:t>
      </w:r>
      <w:r w:rsidRPr="001B7F77">
        <w:rPr>
          <w:rFonts w:eastAsia="Times"/>
          <w:b/>
          <w:szCs w:val="24"/>
          <w:u w:val="single"/>
        </w:rPr>
        <w:t>2</w:t>
      </w:r>
      <w:r w:rsidRPr="001B7F77">
        <w:rPr>
          <w:rFonts w:eastAsia="Times"/>
          <w:b/>
          <w:color w:val="000000"/>
          <w:szCs w:val="24"/>
          <w:u w:val="single"/>
        </w:rPr>
        <w:t xml:space="preserve"> Unenclosed spaces. </w:t>
      </w:r>
      <w:r w:rsidRPr="001B7F77">
        <w:rPr>
          <w:rFonts w:eastAsia="Times"/>
          <w:color w:val="000000"/>
          <w:szCs w:val="24"/>
          <w:u w:val="single"/>
        </w:rPr>
        <w:t>Any unenclosed portion of the space beneath a flight of public stairs leading from the entrance story to the story next above shall be left entirely open and kept clear and free from encumbrance.</w:t>
      </w:r>
    </w:p>
    <w:p w14:paraId="5CEC96FB" w14:textId="77777777" w:rsidR="001B7F77" w:rsidRPr="001B7F77" w:rsidRDefault="001B7F77" w:rsidP="00FD2721">
      <w:pPr>
        <w:pBdr>
          <w:top w:val="nil"/>
          <w:left w:val="nil"/>
          <w:bottom w:val="nil"/>
          <w:right w:val="nil"/>
          <w:between w:val="nil"/>
        </w:pBdr>
        <w:suppressAutoHyphens/>
        <w:spacing w:before="120"/>
        <w:rPr>
          <w:rFonts w:eastAsia="Times"/>
          <w:b/>
          <w:color w:val="000000"/>
          <w:szCs w:val="24"/>
          <w:u w:val="single"/>
        </w:rPr>
      </w:pPr>
      <w:r w:rsidRPr="001B7F77">
        <w:rPr>
          <w:rFonts w:eastAsia="Times"/>
          <w:b/>
          <w:color w:val="000000"/>
          <w:szCs w:val="24"/>
          <w:u w:val="single"/>
        </w:rPr>
        <w:t>D50</w:t>
      </w:r>
      <w:r w:rsidRPr="001B7F77">
        <w:rPr>
          <w:rFonts w:eastAsia="Times"/>
          <w:b/>
          <w:szCs w:val="24"/>
          <w:u w:val="single"/>
        </w:rPr>
        <w:t>6</w:t>
      </w:r>
      <w:r w:rsidRPr="001B7F77">
        <w:rPr>
          <w:rFonts w:eastAsia="Times"/>
          <w:b/>
          <w:color w:val="000000"/>
          <w:szCs w:val="24"/>
          <w:u w:val="single"/>
        </w:rPr>
        <w:t xml:space="preserve"> Rooms in basements and cellars.</w:t>
      </w:r>
    </w:p>
    <w:p w14:paraId="7B6909D9" w14:textId="77777777" w:rsidR="001B7F77" w:rsidRPr="001B7F77" w:rsidRDefault="001B7F77" w:rsidP="00FD2721">
      <w:pPr>
        <w:pBdr>
          <w:top w:val="nil"/>
          <w:left w:val="nil"/>
          <w:bottom w:val="nil"/>
          <w:right w:val="nil"/>
          <w:between w:val="nil"/>
        </w:pBdr>
        <w:suppressAutoHyphens/>
        <w:spacing w:before="120"/>
        <w:ind w:left="360"/>
        <w:rPr>
          <w:rFonts w:eastAsia="Times"/>
          <w:color w:val="000000"/>
          <w:szCs w:val="24"/>
          <w:u w:val="single"/>
        </w:rPr>
      </w:pPr>
      <w:r w:rsidRPr="001B7F77">
        <w:rPr>
          <w:rFonts w:eastAsia="Times"/>
          <w:b/>
          <w:color w:val="000000"/>
          <w:szCs w:val="24"/>
          <w:u w:val="single"/>
        </w:rPr>
        <w:t>D50</w:t>
      </w:r>
      <w:r w:rsidRPr="001B7F77">
        <w:rPr>
          <w:rFonts w:eastAsia="Times"/>
          <w:b/>
          <w:szCs w:val="24"/>
          <w:u w:val="single"/>
        </w:rPr>
        <w:t>6</w:t>
      </w:r>
      <w:r w:rsidRPr="001B7F77">
        <w:rPr>
          <w:rFonts w:eastAsia="Times"/>
          <w:b/>
          <w:color w:val="000000"/>
          <w:szCs w:val="24"/>
          <w:u w:val="single"/>
        </w:rPr>
        <w:t>.1 New rooms in basements or cellars (MDL 34(6)).</w:t>
      </w:r>
      <w:r w:rsidRPr="001B7F77">
        <w:rPr>
          <w:rFonts w:eastAsia="Times"/>
          <w:color w:val="000000"/>
          <w:szCs w:val="24"/>
          <w:u w:val="single"/>
        </w:rPr>
        <w:t xml:space="preserve"> Rooms created on or after </w:t>
      </w:r>
      <w:r w:rsidRPr="001B7F77">
        <w:rPr>
          <w:rFonts w:eastAsia="Times"/>
          <w:szCs w:val="24"/>
          <w:u w:val="single"/>
        </w:rPr>
        <w:t>the effective date of the local law that added this section</w:t>
      </w:r>
      <w:r w:rsidRPr="001B7F77">
        <w:rPr>
          <w:rFonts w:eastAsia="Times"/>
          <w:color w:val="000000"/>
          <w:szCs w:val="24"/>
          <w:u w:val="single"/>
        </w:rPr>
        <w:t xml:space="preserve"> in basements and cellars within dwelling units in non-fireproof multiple dwellings classified as HAEA (1929-1968) or HAEB (1929-1968) shall comply with the requirements of Section D305.4.2.</w:t>
      </w:r>
    </w:p>
    <w:p w14:paraId="07ABD4E7" w14:textId="77777777" w:rsidR="001B7F77" w:rsidRPr="001B7F77" w:rsidRDefault="001B7F77" w:rsidP="00FD2721">
      <w:pPr>
        <w:pBdr>
          <w:top w:val="nil"/>
          <w:left w:val="nil"/>
          <w:bottom w:val="nil"/>
          <w:right w:val="nil"/>
          <w:between w:val="nil"/>
        </w:pBdr>
        <w:suppressAutoHyphens/>
        <w:spacing w:before="120"/>
        <w:ind w:left="360"/>
        <w:rPr>
          <w:rFonts w:eastAsia="Times"/>
          <w:color w:val="000000"/>
          <w:szCs w:val="24"/>
          <w:u w:val="single"/>
        </w:rPr>
      </w:pPr>
      <w:r w:rsidRPr="001B7F77">
        <w:rPr>
          <w:rFonts w:eastAsia="Times"/>
          <w:b/>
          <w:color w:val="000000"/>
          <w:szCs w:val="24"/>
          <w:u w:val="single"/>
        </w:rPr>
        <w:t>D50</w:t>
      </w:r>
      <w:r w:rsidRPr="001B7F77">
        <w:rPr>
          <w:rFonts w:eastAsia="Times"/>
          <w:b/>
          <w:szCs w:val="24"/>
          <w:u w:val="single"/>
        </w:rPr>
        <w:t>6</w:t>
      </w:r>
      <w:r w:rsidRPr="001B7F77">
        <w:rPr>
          <w:rFonts w:eastAsia="Times"/>
          <w:b/>
          <w:color w:val="000000"/>
          <w:szCs w:val="24"/>
          <w:u w:val="single"/>
        </w:rPr>
        <w:t xml:space="preserve">.2 Existing rooms in basements and cellars (MDL 34(5), 34(6)). </w:t>
      </w:r>
      <w:r w:rsidRPr="001B7F77">
        <w:rPr>
          <w:rFonts w:eastAsia="Times"/>
          <w:color w:val="000000"/>
          <w:szCs w:val="24"/>
          <w:u w:val="single"/>
        </w:rPr>
        <w:t>For the purposes of establishing the lawful conditions of existing rooms in basements or cellars within dwelling units in non-fireproof multiple dwellings classified as HAEA (1929-1968) or HAEB (1929-1968), refer to Section D305.4.1 or Sections 34(1) to 34(4) of the MDL.</w:t>
      </w:r>
    </w:p>
    <w:p w14:paraId="66135A30" w14:textId="77777777" w:rsidR="001B7F77" w:rsidRPr="001B7F77" w:rsidRDefault="001B7F77" w:rsidP="00FD2721">
      <w:pPr>
        <w:pBdr>
          <w:top w:val="nil"/>
          <w:left w:val="nil"/>
          <w:bottom w:val="nil"/>
          <w:right w:val="nil"/>
          <w:between w:val="nil"/>
        </w:pBdr>
        <w:suppressAutoHyphens/>
        <w:spacing w:before="120"/>
        <w:jc w:val="center"/>
        <w:rPr>
          <w:rFonts w:eastAsia="Times"/>
          <w:b/>
          <w:color w:val="000000"/>
          <w:szCs w:val="24"/>
          <w:u w:val="single"/>
        </w:rPr>
      </w:pPr>
    </w:p>
    <w:p w14:paraId="0F77CD17" w14:textId="77777777" w:rsidR="001B7F77" w:rsidRPr="001B7F77" w:rsidRDefault="001B7F77" w:rsidP="00FD2721">
      <w:pPr>
        <w:pBdr>
          <w:top w:val="nil"/>
          <w:left w:val="nil"/>
          <w:bottom w:val="nil"/>
          <w:right w:val="nil"/>
          <w:between w:val="nil"/>
        </w:pBdr>
        <w:suppressAutoHyphens/>
        <w:spacing w:before="120"/>
        <w:jc w:val="center"/>
        <w:rPr>
          <w:rFonts w:eastAsia="Times"/>
          <w:b/>
          <w:color w:val="000000"/>
          <w:szCs w:val="24"/>
          <w:u w:val="single"/>
        </w:rPr>
      </w:pPr>
      <w:r w:rsidRPr="001B7F77">
        <w:rPr>
          <w:rFonts w:eastAsia="Times"/>
          <w:b/>
          <w:color w:val="000000"/>
          <w:szCs w:val="24"/>
          <w:u w:val="single"/>
        </w:rPr>
        <w:t>CHAPTER D6</w:t>
      </w:r>
      <w:r w:rsidRPr="001B7F77">
        <w:rPr>
          <w:rFonts w:eastAsia="Times"/>
          <w:b/>
          <w:color w:val="000000"/>
          <w:szCs w:val="24"/>
          <w:u w:val="single"/>
        </w:rPr>
        <w:br/>
        <w:t xml:space="preserve">CONVERTED DWELLINGS </w:t>
      </w:r>
      <w:r w:rsidRPr="001B7F77">
        <w:rPr>
          <w:rFonts w:eastAsia="Times"/>
          <w:b/>
          <w:color w:val="000000"/>
          <w:szCs w:val="24"/>
          <w:u w:val="single"/>
        </w:rPr>
        <w:br/>
        <w:t>(MDL ARTICLE 6)</w:t>
      </w:r>
    </w:p>
    <w:p w14:paraId="0203A32E" w14:textId="77777777" w:rsidR="001B7F77" w:rsidRPr="001B7F77" w:rsidRDefault="001B7F77" w:rsidP="00FD2721">
      <w:pPr>
        <w:pBdr>
          <w:top w:val="nil"/>
          <w:left w:val="nil"/>
          <w:bottom w:val="nil"/>
          <w:right w:val="nil"/>
          <w:between w:val="nil"/>
        </w:pBdr>
        <w:suppressAutoHyphens/>
        <w:spacing w:before="120"/>
        <w:rPr>
          <w:rFonts w:eastAsia="Times"/>
          <w:color w:val="000000"/>
          <w:szCs w:val="24"/>
          <w:u w:val="single"/>
        </w:rPr>
      </w:pPr>
      <w:r w:rsidRPr="001B7F77">
        <w:rPr>
          <w:rFonts w:eastAsia="Times"/>
          <w:b/>
          <w:color w:val="000000"/>
          <w:szCs w:val="24"/>
          <w:u w:val="single"/>
        </w:rPr>
        <w:t xml:space="preserve">D601 Applicability. </w:t>
      </w:r>
      <w:r w:rsidRPr="001B7F77">
        <w:rPr>
          <w:rFonts w:eastAsia="Times"/>
          <w:color w:val="000000"/>
          <w:szCs w:val="24"/>
          <w:u w:val="single"/>
        </w:rPr>
        <w:t>Alterations, additions, repairs and changes of occupancy of a multiple dwelling classified as HCA, HACA, HCB and HACB, and conversion of a building originally erected before December 6, 1968, as a 1- or 2-family dwelling to a EBC-CDA, shall comply with the provisions of this code and the additional provisions in this Chapter D6.</w:t>
      </w:r>
    </w:p>
    <w:p w14:paraId="6097DB8C" w14:textId="77777777" w:rsidR="001B7F77" w:rsidRPr="001B7F77" w:rsidRDefault="001B7F77" w:rsidP="00FD2721">
      <w:pPr>
        <w:pBdr>
          <w:top w:val="nil"/>
          <w:left w:val="nil"/>
          <w:bottom w:val="nil"/>
          <w:right w:val="nil"/>
          <w:between w:val="nil"/>
        </w:pBdr>
        <w:tabs>
          <w:tab w:val="left" w:pos="5910"/>
        </w:tabs>
        <w:suppressAutoHyphens/>
        <w:spacing w:before="120"/>
        <w:ind w:left="360"/>
        <w:rPr>
          <w:rFonts w:eastAsia="Times"/>
          <w:color w:val="000000"/>
          <w:szCs w:val="24"/>
          <w:u w:val="single"/>
        </w:rPr>
      </w:pPr>
      <w:r w:rsidRPr="001B7F77">
        <w:rPr>
          <w:rFonts w:eastAsia="Times"/>
          <w:b/>
          <w:color w:val="000000"/>
          <w:szCs w:val="24"/>
          <w:u w:val="single"/>
        </w:rPr>
        <w:t xml:space="preserve">D601.1 Dwellings erected after December 6, 1968. </w:t>
      </w:r>
      <w:r w:rsidRPr="001B7F77">
        <w:rPr>
          <w:rFonts w:eastAsia="Times"/>
          <w:color w:val="000000"/>
          <w:szCs w:val="24"/>
          <w:u w:val="single"/>
        </w:rPr>
        <w:t xml:space="preserve">This Chapter D6 shall not apply to conversions of buildings originally erected on or after December 6, 1968, as 1- or 2-family dwellings. Such buildings shall be classified as HAEA (1968-2008) or HAEA (2008+), as applicable. </w:t>
      </w:r>
    </w:p>
    <w:p w14:paraId="3CCE80C6" w14:textId="77777777" w:rsidR="001B7F77" w:rsidRPr="001B7F77" w:rsidRDefault="001B7F77" w:rsidP="00FD2721">
      <w:pPr>
        <w:pBdr>
          <w:top w:val="nil"/>
          <w:left w:val="nil"/>
          <w:bottom w:val="nil"/>
          <w:right w:val="nil"/>
          <w:between w:val="nil"/>
        </w:pBdr>
        <w:tabs>
          <w:tab w:val="left" w:pos="5910"/>
        </w:tabs>
        <w:suppressAutoHyphens/>
        <w:spacing w:before="120"/>
        <w:ind w:left="360"/>
        <w:rPr>
          <w:rFonts w:eastAsia="Times"/>
          <w:color w:val="000000"/>
          <w:szCs w:val="24"/>
          <w:u w:val="single"/>
        </w:rPr>
      </w:pPr>
      <w:r w:rsidRPr="001B7F77">
        <w:rPr>
          <w:rFonts w:eastAsia="Times"/>
          <w:b/>
          <w:color w:val="000000"/>
          <w:szCs w:val="24"/>
          <w:u w:val="single"/>
        </w:rPr>
        <w:t>D601.2 Conversion to HAEA (MDL 9(3)).</w:t>
      </w:r>
      <w:r w:rsidRPr="001B7F77">
        <w:rPr>
          <w:rFonts w:eastAsia="Times"/>
          <w:color w:val="000000"/>
          <w:szCs w:val="24"/>
          <w:u w:val="single"/>
        </w:rPr>
        <w:t xml:space="preserve"> Where multiple dwellings classified as HCA, HACA, HCB and HACB are converted to HAEA (2008+), they shall comply with the provisions of Chapter D3 pursuant to Section D303, and the provisions of this Chapter D6 shall not apply. </w:t>
      </w:r>
    </w:p>
    <w:p w14:paraId="592F0086" w14:textId="77777777" w:rsidR="001B7F77" w:rsidRPr="001B7F77" w:rsidRDefault="001B7F77" w:rsidP="00FD2721">
      <w:pPr>
        <w:pBdr>
          <w:top w:val="nil"/>
          <w:left w:val="nil"/>
          <w:bottom w:val="nil"/>
          <w:right w:val="nil"/>
          <w:between w:val="nil"/>
        </w:pBdr>
        <w:suppressAutoHyphens/>
        <w:spacing w:before="120"/>
        <w:rPr>
          <w:rFonts w:eastAsia="Times"/>
          <w:color w:val="000000"/>
          <w:szCs w:val="24"/>
          <w:u w:val="single"/>
        </w:rPr>
      </w:pPr>
      <w:r w:rsidRPr="001B7F77">
        <w:rPr>
          <w:rFonts w:eastAsia="Times"/>
          <w:b/>
          <w:color w:val="000000"/>
          <w:szCs w:val="24"/>
          <w:u w:val="single"/>
        </w:rPr>
        <w:t xml:space="preserve">D602 Alterations to existing converted dwellings. </w:t>
      </w:r>
      <w:r w:rsidRPr="001B7F77">
        <w:rPr>
          <w:rFonts w:eastAsia="Times"/>
          <w:color w:val="000000"/>
          <w:szCs w:val="24"/>
          <w:u w:val="single"/>
        </w:rPr>
        <w:t>Alterations to existing multiple dwellings classified as HCA, HACA, HCB and HACB shall comply with this code and Sections D602.1 through D602.4.</w:t>
      </w:r>
    </w:p>
    <w:p w14:paraId="7B33F14A" w14:textId="77777777" w:rsidR="001B7F77" w:rsidRPr="001B7F77" w:rsidRDefault="001B7F77" w:rsidP="00FD2721">
      <w:pPr>
        <w:suppressAutoHyphens/>
        <w:spacing w:before="120"/>
        <w:ind w:left="360"/>
        <w:rPr>
          <w:szCs w:val="24"/>
          <w:u w:val="single"/>
        </w:rPr>
      </w:pPr>
      <w:r w:rsidRPr="001B7F77">
        <w:rPr>
          <w:rFonts w:eastAsia="Times"/>
          <w:b/>
          <w:szCs w:val="24"/>
          <w:u w:val="single"/>
        </w:rPr>
        <w:t xml:space="preserve">D602.1 Increase in units/additions. </w:t>
      </w:r>
      <w:r w:rsidRPr="001B7F77">
        <w:rPr>
          <w:rFonts w:eastAsia="Times"/>
          <w:szCs w:val="24"/>
          <w:u w:val="single"/>
        </w:rPr>
        <w:t>Such a dwelling shall not be increased: (i) in number of units, (ii) in height, (iii) by rooftop addition (other than a stair or elevator bulkhead), (iv) in stories, or (v) by horizontal addition so as to exceed by 25% or more the area on any story which such building occupied at the time of its conversions; unless all of the following are met:</w:t>
      </w:r>
    </w:p>
    <w:p w14:paraId="12BC9135" w14:textId="77777777" w:rsidR="001B7F77" w:rsidRPr="001B7F77" w:rsidRDefault="001B7F77" w:rsidP="00FD2721">
      <w:pPr>
        <w:numPr>
          <w:ilvl w:val="0"/>
          <w:numId w:val="46"/>
        </w:numPr>
        <w:suppressAutoHyphens/>
        <w:spacing w:before="120"/>
        <w:ind w:left="1080"/>
        <w:jc w:val="left"/>
        <w:rPr>
          <w:rFonts w:eastAsia="Times"/>
          <w:szCs w:val="24"/>
          <w:u w:val="single"/>
        </w:rPr>
      </w:pPr>
      <w:r w:rsidRPr="001B7F77">
        <w:rPr>
          <w:rFonts w:eastAsia="Times"/>
          <w:szCs w:val="24"/>
          <w:u w:val="single"/>
        </w:rPr>
        <w:t>A second means of egress shall be provided that is directly accessible from within every dwelling unit in the building including those outside the work area, which shall be either a system of outside fire-escapes, constructed and arranged as provided in Section D306.3, a fire-stair, or a fire-tower. Where such second means of egress discharges into a rear yard of less than 30 feet, compliance with Section D303.6.12 shall be required</w:t>
      </w:r>
      <w:bookmarkStart w:id="249" w:name="_Hlk130296542"/>
      <w:r w:rsidRPr="001B7F77">
        <w:rPr>
          <w:rFonts w:eastAsia="Times"/>
          <w:szCs w:val="24"/>
          <w:u w:val="single"/>
        </w:rPr>
        <w:t>;</w:t>
      </w:r>
      <w:bookmarkEnd w:id="249"/>
    </w:p>
    <w:p w14:paraId="671B5254" w14:textId="77777777" w:rsidR="001B7F77" w:rsidRPr="001B7F77" w:rsidRDefault="001B7F77" w:rsidP="00FD2721">
      <w:pPr>
        <w:numPr>
          <w:ilvl w:val="0"/>
          <w:numId w:val="46"/>
        </w:numPr>
        <w:suppressAutoHyphens/>
        <w:spacing w:before="120"/>
        <w:ind w:left="1080"/>
        <w:jc w:val="left"/>
        <w:rPr>
          <w:rFonts w:eastAsia="Times"/>
          <w:szCs w:val="24"/>
          <w:u w:val="single"/>
        </w:rPr>
      </w:pPr>
      <w:r w:rsidRPr="001B7F77">
        <w:rPr>
          <w:rFonts w:eastAsia="Times"/>
          <w:szCs w:val="24"/>
          <w:u w:val="single"/>
        </w:rPr>
        <w:t>Any existing first means of egress that extends to the roof shall be maintained, provided where the number of stories is increased, the stairs shall be a minimum of 36 inches (914 mm). A bulkhead shall be provided in lieu of an existing scuttle when the number of stories increases to any number exceeding three stories above a basement;</w:t>
      </w:r>
    </w:p>
    <w:p w14:paraId="1E324393" w14:textId="77777777" w:rsidR="001B7F77" w:rsidRPr="001B7F77" w:rsidRDefault="001B7F77" w:rsidP="00FD2721">
      <w:pPr>
        <w:numPr>
          <w:ilvl w:val="0"/>
          <w:numId w:val="46"/>
        </w:numPr>
        <w:suppressAutoHyphens/>
        <w:spacing w:before="120"/>
        <w:ind w:left="1080"/>
        <w:jc w:val="left"/>
        <w:rPr>
          <w:rFonts w:eastAsia="Times"/>
          <w:szCs w:val="24"/>
          <w:u w:val="single"/>
        </w:rPr>
      </w:pPr>
      <w:r w:rsidRPr="001B7F77">
        <w:rPr>
          <w:rFonts w:eastAsia="Times"/>
          <w:szCs w:val="24"/>
          <w:u w:val="single"/>
        </w:rPr>
        <w:t xml:space="preserve">Sprinklers shall be provided throughout the building in accordance with Section 903 of the </w:t>
      </w:r>
      <w:r w:rsidRPr="001B7F77">
        <w:rPr>
          <w:rFonts w:eastAsia="Times"/>
          <w:i/>
          <w:iCs/>
          <w:szCs w:val="24"/>
          <w:u w:val="single"/>
        </w:rPr>
        <w:t>New York City Building Code</w:t>
      </w:r>
      <w:r w:rsidRPr="001B7F77">
        <w:rPr>
          <w:rFonts w:eastAsia="Times"/>
          <w:szCs w:val="24"/>
          <w:u w:val="single"/>
        </w:rPr>
        <w:t>;</w:t>
      </w:r>
    </w:p>
    <w:p w14:paraId="095716D4" w14:textId="77777777" w:rsidR="001B7F77" w:rsidRPr="001B7F77" w:rsidRDefault="001B7F77" w:rsidP="00FD2721">
      <w:pPr>
        <w:numPr>
          <w:ilvl w:val="0"/>
          <w:numId w:val="46"/>
        </w:numPr>
        <w:suppressAutoHyphens/>
        <w:spacing w:before="120"/>
        <w:ind w:left="1080"/>
        <w:jc w:val="left"/>
        <w:rPr>
          <w:rFonts w:eastAsia="Times"/>
          <w:szCs w:val="24"/>
          <w:u w:val="single"/>
        </w:rPr>
      </w:pPr>
      <w:r w:rsidRPr="001B7F77">
        <w:rPr>
          <w:rFonts w:eastAsia="Times"/>
          <w:szCs w:val="24"/>
          <w:u w:val="single"/>
        </w:rPr>
        <w:t xml:space="preserve">The building shall not become a high-rise building, and shall comply with the height and area limitations of Chapter 5 of the </w:t>
      </w:r>
      <w:r w:rsidRPr="001B7F77">
        <w:rPr>
          <w:rFonts w:eastAsia="Times"/>
          <w:i/>
          <w:iCs/>
          <w:szCs w:val="24"/>
          <w:u w:val="single"/>
        </w:rPr>
        <w:t>New York City Building Code</w:t>
      </w:r>
      <w:r w:rsidRPr="001B7F77">
        <w:rPr>
          <w:rFonts w:eastAsia="Times"/>
          <w:szCs w:val="24"/>
          <w:u w:val="single"/>
        </w:rPr>
        <w:t xml:space="preserve"> not to exceed 6 stories in height above grade plane, as such term height is defined in the </w:t>
      </w:r>
      <w:r w:rsidRPr="001B7F77">
        <w:rPr>
          <w:rFonts w:eastAsia="Times"/>
          <w:i/>
          <w:iCs/>
          <w:szCs w:val="24"/>
          <w:u w:val="single"/>
        </w:rPr>
        <w:t>New York City Building Code</w:t>
      </w:r>
      <w:r w:rsidRPr="001B7F77">
        <w:rPr>
          <w:rFonts w:eastAsia="Times"/>
          <w:szCs w:val="24"/>
          <w:u w:val="single"/>
        </w:rPr>
        <w:t>;</w:t>
      </w:r>
    </w:p>
    <w:p w14:paraId="6D136DDF" w14:textId="77777777" w:rsidR="001B7F77" w:rsidRPr="001B7F77" w:rsidRDefault="001B7F77" w:rsidP="00FD2721">
      <w:pPr>
        <w:numPr>
          <w:ilvl w:val="0"/>
          <w:numId w:val="46"/>
        </w:numPr>
        <w:suppressAutoHyphens/>
        <w:spacing w:before="120"/>
        <w:ind w:left="1080"/>
        <w:jc w:val="left"/>
        <w:rPr>
          <w:rFonts w:eastAsia="Times"/>
          <w:szCs w:val="24"/>
          <w:u w:val="single"/>
        </w:rPr>
      </w:pPr>
      <w:bookmarkStart w:id="250" w:name="_Hlk78883254"/>
      <w:r w:rsidRPr="001B7F77">
        <w:rPr>
          <w:rFonts w:eastAsia="Times"/>
          <w:szCs w:val="24"/>
          <w:u w:val="single"/>
        </w:rPr>
        <w:t xml:space="preserve">The building shall have a fire alarm system in accordance with Section 907 of the </w:t>
      </w:r>
      <w:r w:rsidRPr="001B7F77">
        <w:rPr>
          <w:rFonts w:eastAsia="Times"/>
          <w:i/>
          <w:iCs/>
          <w:szCs w:val="24"/>
          <w:u w:val="single"/>
        </w:rPr>
        <w:t>New York City Building Code</w:t>
      </w:r>
      <w:r w:rsidRPr="001B7F77">
        <w:rPr>
          <w:rFonts w:eastAsia="Times"/>
          <w:szCs w:val="24"/>
          <w:u w:val="single"/>
        </w:rPr>
        <w:t>;</w:t>
      </w:r>
    </w:p>
    <w:p w14:paraId="1D6B0052" w14:textId="77777777" w:rsidR="001B7F77" w:rsidRPr="001B7F77" w:rsidRDefault="001B7F77" w:rsidP="00FD2721">
      <w:pPr>
        <w:numPr>
          <w:ilvl w:val="0"/>
          <w:numId w:val="46"/>
        </w:numPr>
        <w:suppressAutoHyphens/>
        <w:spacing w:before="120"/>
        <w:ind w:left="1080"/>
        <w:jc w:val="left"/>
        <w:rPr>
          <w:rFonts w:eastAsia="Times"/>
          <w:szCs w:val="24"/>
          <w:u w:val="single"/>
        </w:rPr>
      </w:pPr>
      <w:r w:rsidRPr="001B7F77">
        <w:rPr>
          <w:rFonts w:eastAsia="Times"/>
          <w:szCs w:val="24"/>
          <w:u w:val="single"/>
        </w:rPr>
        <w:t xml:space="preserve">Carbon monoxide and smoke alarms shall be provided throughout the building in accordance with Chapter 9 of the </w:t>
      </w:r>
      <w:r w:rsidRPr="001B7F77">
        <w:rPr>
          <w:rFonts w:eastAsia="Times"/>
          <w:i/>
          <w:iCs/>
          <w:szCs w:val="24"/>
          <w:u w:val="single"/>
        </w:rPr>
        <w:t>New York City Building Code</w:t>
      </w:r>
      <w:r w:rsidRPr="001B7F77">
        <w:rPr>
          <w:rFonts w:eastAsia="Times"/>
          <w:szCs w:val="24"/>
          <w:u w:val="single"/>
        </w:rPr>
        <w:t>;</w:t>
      </w:r>
    </w:p>
    <w:bookmarkEnd w:id="250"/>
    <w:p w14:paraId="2CF80A74" w14:textId="77777777" w:rsidR="001B7F77" w:rsidRPr="001B7F77" w:rsidRDefault="001B7F77" w:rsidP="00FD2721">
      <w:pPr>
        <w:numPr>
          <w:ilvl w:val="0"/>
          <w:numId w:val="46"/>
        </w:numPr>
        <w:suppressAutoHyphens/>
        <w:spacing w:before="120"/>
        <w:ind w:left="1080"/>
        <w:jc w:val="left"/>
        <w:rPr>
          <w:rFonts w:eastAsia="Times"/>
          <w:szCs w:val="24"/>
          <w:u w:val="single"/>
        </w:rPr>
      </w:pPr>
      <w:r w:rsidRPr="001B7F77">
        <w:rPr>
          <w:rFonts w:eastAsia="Times"/>
          <w:szCs w:val="24"/>
          <w:u w:val="single"/>
        </w:rPr>
        <w:t xml:space="preserve">The building is not a frame building;  </w:t>
      </w:r>
    </w:p>
    <w:p w14:paraId="42B5D49D" w14:textId="77777777" w:rsidR="001B7F77" w:rsidRPr="001B7F77" w:rsidRDefault="001B7F77" w:rsidP="00FD2721">
      <w:pPr>
        <w:numPr>
          <w:ilvl w:val="0"/>
          <w:numId w:val="46"/>
        </w:numPr>
        <w:suppressAutoHyphens/>
        <w:spacing w:before="120"/>
        <w:ind w:left="1080"/>
        <w:jc w:val="left"/>
        <w:rPr>
          <w:rFonts w:eastAsia="Times"/>
          <w:szCs w:val="24"/>
          <w:u w:val="single"/>
        </w:rPr>
      </w:pPr>
      <w:r w:rsidRPr="001B7F77">
        <w:rPr>
          <w:rFonts w:eastAsia="Times"/>
          <w:szCs w:val="24"/>
          <w:u w:val="single"/>
        </w:rPr>
        <w:t>No portion of the building constituting an addition shall contain Class B dwelling units;</w:t>
      </w:r>
    </w:p>
    <w:p w14:paraId="54AA6805" w14:textId="77777777" w:rsidR="001B7F77" w:rsidRPr="001B7F77" w:rsidRDefault="001B7F77" w:rsidP="00FD2721">
      <w:pPr>
        <w:numPr>
          <w:ilvl w:val="0"/>
          <w:numId w:val="46"/>
        </w:numPr>
        <w:suppressAutoHyphens/>
        <w:spacing w:before="120"/>
        <w:ind w:left="1080"/>
        <w:jc w:val="left"/>
        <w:rPr>
          <w:rFonts w:eastAsia="Times"/>
          <w:szCs w:val="24"/>
          <w:u w:val="single"/>
        </w:rPr>
      </w:pPr>
      <w:r w:rsidRPr="001B7F77">
        <w:rPr>
          <w:rFonts w:eastAsia="Times"/>
          <w:szCs w:val="24"/>
          <w:u w:val="single"/>
        </w:rPr>
        <w:t>The public hall and stair partitions shall be constructed as 1-hour fire barriers and the soffit of the stairs, if combustible, fire retarded in accordance with Section E402 of Appendix E;</w:t>
      </w:r>
    </w:p>
    <w:p w14:paraId="2865719E" w14:textId="77777777" w:rsidR="001B7F77" w:rsidRPr="001B7F77" w:rsidRDefault="001B7F77" w:rsidP="00FD2721">
      <w:pPr>
        <w:numPr>
          <w:ilvl w:val="0"/>
          <w:numId w:val="46"/>
        </w:numPr>
        <w:suppressAutoHyphens/>
        <w:spacing w:before="120"/>
        <w:ind w:left="1080"/>
        <w:jc w:val="left"/>
        <w:rPr>
          <w:rFonts w:eastAsia="Times"/>
          <w:szCs w:val="24"/>
          <w:u w:val="single"/>
        </w:rPr>
      </w:pPr>
      <w:r w:rsidRPr="001B7F77">
        <w:rPr>
          <w:rFonts w:eastAsia="Times"/>
          <w:szCs w:val="24"/>
          <w:u w:val="single"/>
        </w:rPr>
        <w:t xml:space="preserve">Doors opening to the public hall and stair shall be in compliance with Chapter 7 of the </w:t>
      </w:r>
      <w:r w:rsidRPr="001B7F77">
        <w:rPr>
          <w:rFonts w:eastAsia="Times"/>
          <w:i/>
          <w:iCs/>
          <w:szCs w:val="24"/>
          <w:u w:val="single"/>
        </w:rPr>
        <w:t>New York City Building Code</w:t>
      </w:r>
      <w:r w:rsidRPr="001B7F77">
        <w:rPr>
          <w:rFonts w:eastAsia="Times"/>
          <w:szCs w:val="24"/>
          <w:u w:val="single"/>
        </w:rPr>
        <w:t xml:space="preserve"> for opening protectives;</w:t>
      </w:r>
      <w:r w:rsidRPr="001B7F77">
        <w:rPr>
          <w:rFonts w:eastAsia="Times"/>
          <w:color w:val="000000"/>
          <w:szCs w:val="24"/>
          <w:u w:val="single"/>
        </w:rPr>
        <w:t xml:space="preserve"> and</w:t>
      </w:r>
    </w:p>
    <w:p w14:paraId="56C48028" w14:textId="77777777" w:rsidR="001B7F77" w:rsidRPr="001B7F77" w:rsidRDefault="001B7F77" w:rsidP="00FD2721">
      <w:pPr>
        <w:numPr>
          <w:ilvl w:val="0"/>
          <w:numId w:val="46"/>
        </w:numPr>
        <w:suppressAutoHyphens/>
        <w:spacing w:before="120"/>
        <w:ind w:left="1080"/>
        <w:jc w:val="left"/>
        <w:rPr>
          <w:rFonts w:eastAsia="Times"/>
          <w:szCs w:val="24"/>
          <w:u w:val="single"/>
        </w:rPr>
      </w:pPr>
      <w:r w:rsidRPr="001B7F77">
        <w:rPr>
          <w:rFonts w:eastAsia="Times"/>
          <w:szCs w:val="24"/>
          <w:u w:val="single"/>
        </w:rPr>
        <w:t>Notwithstanding any contrary requirements of the New York City Existing Building Code, the stairs need to be separated from the public halls only at the enlarged portions of the building.</w:t>
      </w:r>
    </w:p>
    <w:p w14:paraId="4B755C7E" w14:textId="77777777" w:rsidR="001B7F77" w:rsidRPr="001B7F77" w:rsidRDefault="001B7F77" w:rsidP="00FD2721">
      <w:pPr>
        <w:suppressAutoHyphens/>
        <w:spacing w:before="120"/>
        <w:ind w:left="1080"/>
        <w:rPr>
          <w:szCs w:val="24"/>
          <w:u w:val="single"/>
        </w:rPr>
      </w:pPr>
      <w:r w:rsidRPr="001B7F77">
        <w:rPr>
          <w:b/>
          <w:bCs/>
          <w:szCs w:val="24"/>
          <w:u w:val="single"/>
        </w:rPr>
        <w:t>Exceptions.</w:t>
      </w:r>
      <w:r w:rsidRPr="001B7F77">
        <w:rPr>
          <w:szCs w:val="24"/>
          <w:u w:val="single"/>
        </w:rPr>
        <w:t xml:space="preserve"> </w:t>
      </w:r>
      <w:r w:rsidRPr="001B7F77">
        <w:rPr>
          <w:rFonts w:eastAsia="Times"/>
          <w:color w:val="000000"/>
          <w:szCs w:val="24"/>
          <w:u w:val="single"/>
        </w:rPr>
        <w:t>The following exceptions may not be utilized as part of the same alteration project:</w:t>
      </w:r>
    </w:p>
    <w:p w14:paraId="706A1F11" w14:textId="77777777" w:rsidR="001B7F77" w:rsidRPr="001B7F77" w:rsidRDefault="001B7F77" w:rsidP="00FD2721">
      <w:pPr>
        <w:suppressAutoHyphens/>
        <w:spacing w:before="120"/>
        <w:ind w:left="1440" w:hanging="360"/>
        <w:rPr>
          <w:szCs w:val="24"/>
          <w:u w:val="single"/>
        </w:rPr>
      </w:pPr>
      <w:r w:rsidRPr="001B7F77">
        <w:rPr>
          <w:b/>
          <w:bCs/>
          <w:szCs w:val="24"/>
          <w:u w:val="single"/>
        </w:rPr>
        <w:t>1.</w:t>
      </w:r>
      <w:r w:rsidRPr="001B7F77">
        <w:rPr>
          <w:b/>
          <w:bCs/>
          <w:szCs w:val="24"/>
          <w:u w:val="single"/>
        </w:rPr>
        <w:tab/>
        <w:t>Penthouse additions.</w:t>
      </w:r>
      <w:r w:rsidRPr="001B7F77">
        <w:rPr>
          <w:szCs w:val="24"/>
          <w:u w:val="single"/>
        </w:rPr>
        <w:t xml:space="preserve"> Only the following shall be required where a building is being vertically enlarged with a penthouse in connection with a Class A dwelling unit below, and such penthouse is not considered a story in accordance with Section 504.3 of the </w:t>
      </w:r>
      <w:r w:rsidRPr="001B7F77">
        <w:rPr>
          <w:i/>
          <w:iCs/>
          <w:szCs w:val="24"/>
          <w:u w:val="single"/>
        </w:rPr>
        <w:t>New York City Building Code</w:t>
      </w:r>
      <w:r w:rsidRPr="001B7F77">
        <w:rPr>
          <w:szCs w:val="24"/>
          <w:u w:val="single"/>
        </w:rPr>
        <w:t xml:space="preserve">: </w:t>
      </w:r>
    </w:p>
    <w:p w14:paraId="3236D274" w14:textId="77777777" w:rsidR="001B7F77" w:rsidRPr="001B7F77" w:rsidRDefault="001B7F77" w:rsidP="00FD2721">
      <w:pPr>
        <w:suppressAutoHyphens/>
        <w:spacing w:before="120"/>
        <w:ind w:left="1980" w:hanging="540"/>
        <w:rPr>
          <w:szCs w:val="24"/>
          <w:u w:val="single"/>
        </w:rPr>
      </w:pPr>
      <w:r w:rsidRPr="001B7F77">
        <w:rPr>
          <w:szCs w:val="24"/>
          <w:u w:val="single"/>
        </w:rPr>
        <w:t>1.1</w:t>
      </w:r>
      <w:r w:rsidRPr="001B7F77">
        <w:rPr>
          <w:szCs w:val="24"/>
          <w:u w:val="single"/>
        </w:rPr>
        <w:tab/>
        <w:t>Any existing first means of egress that extends to the roof shall be maintained and extended to the roof, and shall be permitted of the same width as the existing stairs. A bulkhead shall be provided in lieu of an existing scuttle.</w:t>
      </w:r>
    </w:p>
    <w:p w14:paraId="7C34689B" w14:textId="77777777" w:rsidR="001B7F77" w:rsidRPr="001B7F77" w:rsidRDefault="001B7F77" w:rsidP="00FD2721">
      <w:pPr>
        <w:suppressAutoHyphens/>
        <w:spacing w:before="120"/>
        <w:ind w:left="1980" w:hanging="540"/>
        <w:rPr>
          <w:szCs w:val="24"/>
          <w:u w:val="single"/>
        </w:rPr>
      </w:pPr>
      <w:r w:rsidRPr="001B7F77">
        <w:rPr>
          <w:szCs w:val="24"/>
          <w:u w:val="single"/>
        </w:rPr>
        <w:t>1.2.</w:t>
      </w:r>
      <w:r w:rsidRPr="001B7F77">
        <w:rPr>
          <w:szCs w:val="24"/>
          <w:u w:val="single"/>
        </w:rPr>
        <w:tab/>
        <w:t xml:space="preserve">Sprinklers shall be provided in accordance with Section 903 of the </w:t>
      </w:r>
      <w:r w:rsidRPr="001B7F77">
        <w:rPr>
          <w:i/>
          <w:iCs/>
          <w:szCs w:val="24"/>
          <w:u w:val="single"/>
        </w:rPr>
        <w:t>New York City Building Code</w:t>
      </w:r>
      <w:r w:rsidRPr="001B7F77">
        <w:rPr>
          <w:szCs w:val="24"/>
          <w:u w:val="single"/>
        </w:rPr>
        <w:t xml:space="preserve"> throughout the dwelling unit, including the penthouse addition, and shall extend to protect the public hall and stair at all levels of such dwelling unit. </w:t>
      </w:r>
    </w:p>
    <w:p w14:paraId="019DF28E" w14:textId="77777777" w:rsidR="001B7F77" w:rsidRPr="001B7F77" w:rsidRDefault="001B7F77" w:rsidP="00FD2721">
      <w:pPr>
        <w:suppressAutoHyphens/>
        <w:spacing w:before="120"/>
        <w:ind w:left="1980" w:hanging="540"/>
        <w:rPr>
          <w:szCs w:val="24"/>
          <w:u w:val="single"/>
        </w:rPr>
      </w:pPr>
      <w:r w:rsidRPr="001B7F77">
        <w:rPr>
          <w:szCs w:val="24"/>
          <w:u w:val="single"/>
        </w:rPr>
        <w:t>1.3</w:t>
      </w:r>
      <w:r w:rsidRPr="001B7F77">
        <w:rPr>
          <w:szCs w:val="24"/>
          <w:u w:val="single"/>
        </w:rPr>
        <w:tab/>
        <w:t xml:space="preserve"> Carbon monoxide and smoke alarms shall be provided throughout the dwelling unit, including the penthouse, in accordance with Chapter 9 of the </w:t>
      </w:r>
      <w:r w:rsidRPr="001B7F77">
        <w:rPr>
          <w:i/>
          <w:iCs/>
          <w:szCs w:val="24"/>
          <w:u w:val="single"/>
        </w:rPr>
        <w:t>New York City Building Code</w:t>
      </w:r>
      <w:r w:rsidRPr="001B7F77">
        <w:rPr>
          <w:szCs w:val="24"/>
          <w:u w:val="single"/>
        </w:rPr>
        <w:t>.</w:t>
      </w:r>
    </w:p>
    <w:p w14:paraId="236EE8F6" w14:textId="77777777" w:rsidR="001B7F77" w:rsidRPr="001B7F77" w:rsidRDefault="001B7F77" w:rsidP="00FD2721">
      <w:pPr>
        <w:suppressAutoHyphens/>
        <w:spacing w:before="120"/>
        <w:ind w:left="1980" w:hanging="540"/>
        <w:rPr>
          <w:szCs w:val="24"/>
          <w:u w:val="single"/>
        </w:rPr>
      </w:pPr>
      <w:r w:rsidRPr="001B7F77">
        <w:rPr>
          <w:szCs w:val="24"/>
          <w:u w:val="single"/>
        </w:rPr>
        <w:t>1.4.</w:t>
      </w:r>
      <w:r w:rsidRPr="001B7F77">
        <w:rPr>
          <w:szCs w:val="24"/>
          <w:u w:val="single"/>
        </w:rPr>
        <w:tab/>
        <w:t xml:space="preserve">The building is not a frame building. </w:t>
      </w:r>
    </w:p>
    <w:p w14:paraId="70EBE1C2" w14:textId="77777777" w:rsidR="001B7F77" w:rsidRPr="001B7F77" w:rsidRDefault="001B7F77" w:rsidP="00FD2721">
      <w:pPr>
        <w:suppressAutoHyphens/>
        <w:spacing w:before="120"/>
        <w:ind w:left="1440" w:hanging="360"/>
        <w:rPr>
          <w:szCs w:val="24"/>
          <w:u w:val="single"/>
        </w:rPr>
      </w:pPr>
      <w:r w:rsidRPr="001B7F77">
        <w:rPr>
          <w:b/>
          <w:bCs/>
          <w:szCs w:val="24"/>
          <w:u w:val="single"/>
        </w:rPr>
        <w:t>2.</w:t>
      </w:r>
      <w:r w:rsidRPr="001B7F77">
        <w:rPr>
          <w:b/>
          <w:bCs/>
          <w:szCs w:val="24"/>
          <w:u w:val="single"/>
        </w:rPr>
        <w:tab/>
        <w:t>One-story horizontal additions.</w:t>
      </w:r>
      <w:r w:rsidRPr="001B7F77">
        <w:rPr>
          <w:szCs w:val="24"/>
          <w:u w:val="single"/>
        </w:rPr>
        <w:t xml:space="preserve"> Only the following shall be required where not more than 1 story is being horizontally enlarged by 50% or less of the area on such story: </w:t>
      </w:r>
    </w:p>
    <w:p w14:paraId="2440C441" w14:textId="77777777" w:rsidR="001B7F77" w:rsidRPr="001B7F77" w:rsidRDefault="001B7F77" w:rsidP="00FD2721">
      <w:pPr>
        <w:suppressAutoHyphens/>
        <w:spacing w:before="120"/>
        <w:ind w:left="1980" w:hanging="540"/>
        <w:rPr>
          <w:szCs w:val="24"/>
          <w:u w:val="single"/>
        </w:rPr>
      </w:pPr>
      <w:r w:rsidRPr="001B7F77">
        <w:rPr>
          <w:szCs w:val="24"/>
          <w:u w:val="single"/>
        </w:rPr>
        <w:t>2.1</w:t>
      </w:r>
      <w:r w:rsidRPr="001B7F77">
        <w:rPr>
          <w:szCs w:val="24"/>
          <w:u w:val="single"/>
        </w:rPr>
        <w:tab/>
        <w:t xml:space="preserve">The addition shall be provided with sprinklers in accordance with Section 903 of the </w:t>
      </w:r>
      <w:r w:rsidRPr="001B7F77">
        <w:rPr>
          <w:i/>
          <w:iCs/>
          <w:szCs w:val="24"/>
          <w:u w:val="single"/>
        </w:rPr>
        <w:t>New York City Building Code</w:t>
      </w:r>
      <w:r w:rsidRPr="001B7F77">
        <w:rPr>
          <w:szCs w:val="24"/>
          <w:u w:val="single"/>
        </w:rPr>
        <w:t xml:space="preserve">, including any dwelling units in connection therewith. </w:t>
      </w:r>
    </w:p>
    <w:p w14:paraId="63B5BBB7" w14:textId="77777777" w:rsidR="001B7F77" w:rsidRPr="001B7F77" w:rsidRDefault="001B7F77" w:rsidP="00FD2721">
      <w:pPr>
        <w:suppressAutoHyphens/>
        <w:spacing w:before="120"/>
        <w:ind w:left="1980" w:hanging="540"/>
        <w:rPr>
          <w:szCs w:val="24"/>
          <w:u w:val="single"/>
        </w:rPr>
      </w:pPr>
      <w:r w:rsidRPr="001B7F77">
        <w:rPr>
          <w:szCs w:val="24"/>
          <w:u w:val="single"/>
        </w:rPr>
        <w:t>2.2</w:t>
      </w:r>
      <w:r w:rsidRPr="001B7F77">
        <w:rPr>
          <w:szCs w:val="24"/>
          <w:u w:val="single"/>
        </w:rPr>
        <w:tab/>
        <w:t xml:space="preserve"> The addition shall be provided with carbon monoxide and smoke alarms in accordance with Chapter 9 of the </w:t>
      </w:r>
      <w:r w:rsidRPr="001B7F77">
        <w:rPr>
          <w:i/>
          <w:iCs/>
          <w:szCs w:val="24"/>
          <w:u w:val="single"/>
        </w:rPr>
        <w:t>New York City Building Code</w:t>
      </w:r>
      <w:r w:rsidRPr="001B7F77">
        <w:rPr>
          <w:szCs w:val="24"/>
          <w:u w:val="single"/>
        </w:rPr>
        <w:t>, including any dwelling units in connection therewith.</w:t>
      </w:r>
    </w:p>
    <w:p w14:paraId="4DEF4DF8" w14:textId="77777777" w:rsidR="001B7F77" w:rsidRPr="001B7F77" w:rsidRDefault="001B7F77" w:rsidP="00FD2721">
      <w:pPr>
        <w:suppressAutoHyphens/>
        <w:spacing w:before="120"/>
        <w:ind w:left="1980" w:hanging="540"/>
        <w:rPr>
          <w:szCs w:val="24"/>
          <w:u w:val="single"/>
        </w:rPr>
      </w:pPr>
      <w:r w:rsidRPr="001B7F77">
        <w:rPr>
          <w:szCs w:val="24"/>
          <w:u w:val="single"/>
        </w:rPr>
        <w:t>2.3.</w:t>
      </w:r>
      <w:r w:rsidRPr="001B7F77">
        <w:rPr>
          <w:szCs w:val="24"/>
          <w:u w:val="single"/>
        </w:rPr>
        <w:tab/>
        <w:t xml:space="preserve">The building is not a frame building. </w:t>
      </w:r>
    </w:p>
    <w:p w14:paraId="708F11E9" w14:textId="77777777" w:rsidR="001B7F77" w:rsidRPr="001B7F77" w:rsidRDefault="001B7F77" w:rsidP="00FD2721">
      <w:pPr>
        <w:suppressAutoHyphens/>
        <w:spacing w:before="120"/>
        <w:ind w:left="1440" w:hanging="360"/>
        <w:rPr>
          <w:szCs w:val="24"/>
          <w:u w:val="single"/>
        </w:rPr>
      </w:pPr>
      <w:r w:rsidRPr="001B7F77">
        <w:rPr>
          <w:b/>
          <w:bCs/>
          <w:szCs w:val="24"/>
          <w:u w:val="single"/>
        </w:rPr>
        <w:t>3.</w:t>
      </w:r>
      <w:r w:rsidRPr="001B7F77">
        <w:rPr>
          <w:b/>
          <w:bCs/>
          <w:szCs w:val="24"/>
          <w:u w:val="single"/>
        </w:rPr>
        <w:tab/>
        <w:t>Increase in number of dwelling units by 50% or less.</w:t>
      </w:r>
      <w:r w:rsidRPr="001B7F77">
        <w:rPr>
          <w:szCs w:val="24"/>
          <w:u w:val="single"/>
        </w:rPr>
        <w:t xml:space="preserve"> Only the following shall be required where the number of dwelling units is increased by 50% or less by subdivision of existing dwelling units or by a change of occupancy: </w:t>
      </w:r>
    </w:p>
    <w:p w14:paraId="3BAF0A49" w14:textId="77777777" w:rsidR="001B7F77" w:rsidRPr="001B7F77" w:rsidRDefault="001B7F77" w:rsidP="00FD2721">
      <w:pPr>
        <w:suppressAutoHyphens/>
        <w:spacing w:before="120"/>
        <w:ind w:left="1980" w:hanging="540"/>
        <w:rPr>
          <w:szCs w:val="24"/>
          <w:u w:val="single"/>
        </w:rPr>
      </w:pPr>
      <w:r w:rsidRPr="001B7F77">
        <w:rPr>
          <w:szCs w:val="24"/>
          <w:u w:val="single"/>
        </w:rPr>
        <w:t>1.1</w:t>
      </w:r>
      <w:r w:rsidRPr="001B7F77">
        <w:rPr>
          <w:szCs w:val="24"/>
          <w:u w:val="single"/>
        </w:rPr>
        <w:tab/>
        <w:t xml:space="preserve">The subdivided or newly created dwelling units shall be provided with two means of egress. </w:t>
      </w:r>
    </w:p>
    <w:p w14:paraId="452A6910" w14:textId="77777777" w:rsidR="001B7F77" w:rsidRPr="001B7F77" w:rsidRDefault="001B7F77" w:rsidP="00FD2721">
      <w:pPr>
        <w:suppressAutoHyphens/>
        <w:spacing w:before="120"/>
        <w:ind w:left="1980" w:hanging="540"/>
        <w:rPr>
          <w:szCs w:val="24"/>
          <w:u w:val="single"/>
        </w:rPr>
      </w:pPr>
      <w:r w:rsidRPr="001B7F77">
        <w:rPr>
          <w:szCs w:val="24"/>
          <w:u w:val="single"/>
        </w:rPr>
        <w:t>1.2.</w:t>
      </w:r>
      <w:r w:rsidRPr="001B7F77">
        <w:rPr>
          <w:szCs w:val="24"/>
          <w:u w:val="single"/>
        </w:rPr>
        <w:tab/>
        <w:t xml:space="preserve">Sprinklers shall be provided in accordance with Section 903 of the </w:t>
      </w:r>
      <w:r w:rsidRPr="001B7F77">
        <w:rPr>
          <w:i/>
          <w:iCs/>
          <w:szCs w:val="24"/>
          <w:u w:val="single"/>
        </w:rPr>
        <w:t>New York City Building Code</w:t>
      </w:r>
      <w:r w:rsidRPr="001B7F77">
        <w:rPr>
          <w:szCs w:val="24"/>
          <w:u w:val="single"/>
        </w:rPr>
        <w:t xml:space="preserve"> throughout the subdivided or newly created dwelling units, and shall extend to protect the public hall and stair at the levels of such dwelling units. </w:t>
      </w:r>
    </w:p>
    <w:p w14:paraId="070D5CCA" w14:textId="77777777" w:rsidR="001B7F77" w:rsidRPr="001B7F77" w:rsidRDefault="001B7F77" w:rsidP="00FD2721">
      <w:pPr>
        <w:suppressAutoHyphens/>
        <w:spacing w:before="120"/>
        <w:ind w:left="1980" w:hanging="540"/>
        <w:rPr>
          <w:szCs w:val="24"/>
          <w:u w:val="single"/>
        </w:rPr>
      </w:pPr>
      <w:r w:rsidRPr="001B7F77">
        <w:rPr>
          <w:szCs w:val="24"/>
          <w:u w:val="single"/>
        </w:rPr>
        <w:t>1.3</w:t>
      </w:r>
      <w:r w:rsidRPr="001B7F77">
        <w:rPr>
          <w:szCs w:val="24"/>
          <w:u w:val="single"/>
        </w:rPr>
        <w:tab/>
        <w:t xml:space="preserve"> Carbon monoxide and smoke alarms shall be provided throughout the subdivided or newly created dwelling units, in accordance with Chapter 9 of the </w:t>
      </w:r>
      <w:r w:rsidRPr="001B7F77">
        <w:rPr>
          <w:i/>
          <w:iCs/>
          <w:szCs w:val="24"/>
          <w:u w:val="single"/>
        </w:rPr>
        <w:t>New York City Building Code</w:t>
      </w:r>
      <w:r w:rsidRPr="001B7F77">
        <w:rPr>
          <w:szCs w:val="24"/>
          <w:u w:val="single"/>
        </w:rPr>
        <w:t>.</w:t>
      </w:r>
    </w:p>
    <w:p w14:paraId="26AD59EC" w14:textId="77777777" w:rsidR="001B7F77" w:rsidRPr="001B7F77" w:rsidRDefault="001B7F77" w:rsidP="00FD2721">
      <w:pPr>
        <w:suppressAutoHyphens/>
        <w:spacing w:before="120"/>
        <w:ind w:left="1980" w:hanging="540"/>
        <w:rPr>
          <w:szCs w:val="24"/>
          <w:u w:val="single"/>
        </w:rPr>
      </w:pPr>
      <w:r w:rsidRPr="001B7F77">
        <w:rPr>
          <w:szCs w:val="24"/>
          <w:u w:val="single"/>
        </w:rPr>
        <w:t>1.4.</w:t>
      </w:r>
      <w:r w:rsidRPr="001B7F77">
        <w:rPr>
          <w:szCs w:val="24"/>
          <w:u w:val="single"/>
        </w:rPr>
        <w:tab/>
        <w:t xml:space="preserve">The building is not a frame building. </w:t>
      </w:r>
    </w:p>
    <w:p w14:paraId="635F7079" w14:textId="77777777" w:rsidR="001B7F77" w:rsidRPr="001B7F77" w:rsidRDefault="001B7F77" w:rsidP="00FD2721">
      <w:pPr>
        <w:suppressAutoHyphens/>
        <w:spacing w:before="120"/>
        <w:ind w:left="360"/>
        <w:rPr>
          <w:szCs w:val="24"/>
          <w:u w:val="single"/>
        </w:rPr>
      </w:pPr>
      <w:r w:rsidRPr="001B7F77">
        <w:rPr>
          <w:rFonts w:eastAsia="Times"/>
          <w:b/>
          <w:szCs w:val="24"/>
          <w:u w:val="single"/>
        </w:rPr>
        <w:t>D602.2</w:t>
      </w:r>
      <w:r w:rsidRPr="001B7F77">
        <w:rPr>
          <w:rFonts w:eastAsia="Times"/>
          <w:b/>
          <w:szCs w:val="24"/>
          <w:u w:val="single"/>
        </w:rPr>
        <w:tab/>
        <w:t>Living room size.</w:t>
      </w:r>
      <w:r w:rsidRPr="001B7F77">
        <w:rPr>
          <w:rFonts w:eastAsia="Times"/>
          <w:szCs w:val="24"/>
          <w:u w:val="single"/>
        </w:rPr>
        <w:t xml:space="preserve"> For buildings classified as HCA or HACA originally erected as a 1- or 2-family dwelling on or before April 1, 1929, any requirement of this code that covers the same subject matter as the following shall not apply, and such following requirements shall apply in lieu thereof: </w:t>
      </w:r>
    </w:p>
    <w:p w14:paraId="5F6AC592" w14:textId="77777777" w:rsidR="001B7F77" w:rsidRPr="001B7F77" w:rsidRDefault="001B7F77" w:rsidP="00FD2721">
      <w:pPr>
        <w:suppressAutoHyphens/>
        <w:spacing w:before="120"/>
        <w:ind w:left="1080" w:hanging="360"/>
        <w:rPr>
          <w:rFonts w:eastAsia="Times"/>
          <w:szCs w:val="24"/>
          <w:u w:val="single"/>
        </w:rPr>
      </w:pPr>
      <w:r w:rsidRPr="001B7F77">
        <w:rPr>
          <w:rFonts w:eastAsia="Times"/>
          <w:szCs w:val="24"/>
          <w:u w:val="single"/>
        </w:rPr>
        <w:t>1.</w:t>
      </w:r>
      <w:r w:rsidRPr="001B7F77">
        <w:rPr>
          <w:rFonts w:eastAsia="Times"/>
          <w:szCs w:val="24"/>
          <w:u w:val="single"/>
        </w:rPr>
        <w:tab/>
        <w:t>Every living room shall contain 550 cubic feet (16 m</w:t>
      </w:r>
      <w:r w:rsidRPr="001B7F77">
        <w:rPr>
          <w:rFonts w:eastAsia="Times"/>
          <w:szCs w:val="24"/>
          <w:u w:val="single"/>
          <w:vertAlign w:val="superscript"/>
        </w:rPr>
        <w:t>3</w:t>
      </w:r>
      <w:r w:rsidRPr="001B7F77">
        <w:rPr>
          <w:rFonts w:eastAsia="Times"/>
          <w:szCs w:val="24"/>
          <w:u w:val="single"/>
        </w:rPr>
        <w:t>) or more of air.</w:t>
      </w:r>
    </w:p>
    <w:p w14:paraId="1E2A564C" w14:textId="77777777" w:rsidR="001B7F77" w:rsidRPr="001B7F77" w:rsidRDefault="001B7F77" w:rsidP="00FD2721">
      <w:pPr>
        <w:suppressAutoHyphens/>
        <w:spacing w:before="120"/>
        <w:ind w:left="1080" w:hanging="360"/>
        <w:rPr>
          <w:rFonts w:eastAsia="Times"/>
          <w:szCs w:val="24"/>
          <w:u w:val="single"/>
        </w:rPr>
      </w:pPr>
      <w:r w:rsidRPr="001B7F77">
        <w:rPr>
          <w:rFonts w:eastAsia="Times"/>
          <w:szCs w:val="24"/>
          <w:u w:val="single"/>
        </w:rPr>
        <w:t>2.</w:t>
      </w:r>
      <w:r w:rsidRPr="001B7F77">
        <w:rPr>
          <w:rFonts w:eastAsia="Times"/>
          <w:szCs w:val="24"/>
          <w:u w:val="single"/>
        </w:rPr>
        <w:tab/>
        <w:t>Every living room shall be at least 6 feet (1829 mm) wide at its narrowest part.</w:t>
      </w:r>
    </w:p>
    <w:p w14:paraId="593D566F" w14:textId="77777777" w:rsidR="001B7F77" w:rsidRPr="001B7F77" w:rsidRDefault="001B7F77" w:rsidP="00FD2721">
      <w:pPr>
        <w:suppressAutoHyphens/>
        <w:spacing w:before="120"/>
        <w:ind w:left="1080" w:hanging="360"/>
        <w:rPr>
          <w:rFonts w:eastAsia="Times"/>
          <w:szCs w:val="24"/>
          <w:u w:val="single"/>
        </w:rPr>
      </w:pPr>
      <w:r w:rsidRPr="001B7F77">
        <w:rPr>
          <w:rFonts w:eastAsia="Times"/>
          <w:szCs w:val="24"/>
          <w:u w:val="single"/>
        </w:rPr>
        <w:t>3.</w:t>
      </w:r>
      <w:r w:rsidRPr="001B7F77">
        <w:rPr>
          <w:rFonts w:eastAsia="Times"/>
          <w:szCs w:val="24"/>
          <w:u w:val="single"/>
        </w:rPr>
        <w:tab/>
        <w:t>Every living room shall have a minimum height of 7 feet (2134 mm) if such room is in the basement, of 7 feet (2134 mm) at all points more than 6 feet (1829mm) from the front of such room if it is on the top story, and of 8 feet (2438 mm) if on any other story.</w:t>
      </w:r>
    </w:p>
    <w:p w14:paraId="2129BC57" w14:textId="77777777" w:rsidR="001B7F77" w:rsidRPr="001B7F77" w:rsidRDefault="001B7F77" w:rsidP="00FD2721">
      <w:pPr>
        <w:suppressAutoHyphens/>
        <w:spacing w:before="120"/>
        <w:ind w:left="360"/>
        <w:rPr>
          <w:szCs w:val="24"/>
          <w:u w:val="single"/>
        </w:rPr>
      </w:pPr>
      <w:r w:rsidRPr="001B7F77">
        <w:rPr>
          <w:rFonts w:eastAsia="Times"/>
          <w:b/>
          <w:szCs w:val="24"/>
          <w:u w:val="single"/>
        </w:rPr>
        <w:t>D602.3 Natural light and ventilation.</w:t>
      </w:r>
      <w:r w:rsidRPr="001B7F77">
        <w:rPr>
          <w:rFonts w:eastAsia="Times"/>
          <w:szCs w:val="24"/>
          <w:u w:val="single"/>
        </w:rPr>
        <w:t xml:space="preserve"> For buildings classified as HCA or HACA originally erected as a 1- or 2-family dwelling on or before April 1, 1929, any requirement of </w:t>
      </w:r>
      <w:r w:rsidRPr="001B7F77">
        <w:rPr>
          <w:rFonts w:eastAsia="Times"/>
          <w:iCs/>
          <w:szCs w:val="24"/>
          <w:u w:val="single"/>
        </w:rPr>
        <w:t>this code</w:t>
      </w:r>
      <w:r w:rsidRPr="001B7F77">
        <w:rPr>
          <w:rFonts w:eastAsia="Times"/>
          <w:szCs w:val="24"/>
          <w:u w:val="single"/>
        </w:rPr>
        <w:t xml:space="preserve"> that covers the same subject matter as the following shall not apply, and such following requirements shall apply in lieu thereof:</w:t>
      </w:r>
    </w:p>
    <w:p w14:paraId="592B0B2E" w14:textId="77777777" w:rsidR="001B7F77" w:rsidRPr="001B7F77" w:rsidRDefault="001B7F77" w:rsidP="00FD2721">
      <w:pPr>
        <w:suppressAutoHyphens/>
        <w:spacing w:before="120"/>
        <w:ind w:left="1080" w:hanging="360"/>
        <w:rPr>
          <w:rFonts w:eastAsia="Times"/>
          <w:szCs w:val="24"/>
          <w:u w:val="single"/>
        </w:rPr>
      </w:pPr>
      <w:r w:rsidRPr="001B7F77">
        <w:rPr>
          <w:rFonts w:eastAsia="Times"/>
          <w:szCs w:val="24"/>
          <w:u w:val="single"/>
        </w:rPr>
        <w:t>1.</w:t>
      </w:r>
      <w:r w:rsidRPr="001B7F77">
        <w:rPr>
          <w:rFonts w:eastAsia="Times"/>
          <w:szCs w:val="24"/>
          <w:u w:val="single"/>
        </w:rPr>
        <w:tab/>
        <w:t xml:space="preserve">Every alcove, except a kitchenette or foyer, shall be deemed a living room and shall open into an immediately adjoining living room which opens directly on a yard or street. Such an alcove shall be separately lighted and ventilated, and of such size as provided for other living rooms, unless it has an opening between the alcove and the room or space at least 80 percent of the area of the common wall and the floor area of the alcove does not exceed twice the area of the opening. Alterations shall not increase the degree of noncompliance for any existing unaltered alcoves. </w:t>
      </w:r>
    </w:p>
    <w:p w14:paraId="6358B8AE" w14:textId="77777777" w:rsidR="001B7F77" w:rsidRPr="001B7F77" w:rsidRDefault="001B7F77" w:rsidP="00FD2721">
      <w:pPr>
        <w:suppressAutoHyphens/>
        <w:spacing w:before="120"/>
        <w:ind w:left="1080" w:hanging="360"/>
        <w:rPr>
          <w:rFonts w:eastAsia="Times"/>
          <w:szCs w:val="24"/>
          <w:u w:val="single"/>
        </w:rPr>
      </w:pPr>
      <w:r w:rsidRPr="001B7F77">
        <w:rPr>
          <w:rFonts w:eastAsia="Times"/>
          <w:szCs w:val="24"/>
          <w:u w:val="single"/>
        </w:rPr>
        <w:t>2.</w:t>
      </w:r>
      <w:r w:rsidRPr="001B7F77">
        <w:rPr>
          <w:rFonts w:eastAsia="Times"/>
          <w:szCs w:val="24"/>
          <w:u w:val="single"/>
        </w:rPr>
        <w:tab/>
        <w:t>Any room on a top story shall be permitted to be lighted and ventilated by an openable skylight of the dimensions specified for windows and arranged to provide ventilating openings of 6 square feet (0.5 m</w:t>
      </w:r>
      <w:r w:rsidRPr="001B7F77">
        <w:rPr>
          <w:rFonts w:eastAsia="Times"/>
          <w:szCs w:val="24"/>
          <w:u w:val="single"/>
          <w:vertAlign w:val="superscript"/>
        </w:rPr>
        <w:t>2</w:t>
      </w:r>
      <w:r w:rsidRPr="001B7F77">
        <w:rPr>
          <w:rFonts w:eastAsia="Times"/>
          <w:szCs w:val="24"/>
          <w:u w:val="single"/>
        </w:rPr>
        <w:t>) or more. Such a skylight shall be accepted in lieu of a window.</w:t>
      </w:r>
    </w:p>
    <w:p w14:paraId="5DB1C44D" w14:textId="77777777" w:rsidR="001B7F77" w:rsidRPr="001B7F77" w:rsidRDefault="001B7F77" w:rsidP="00FD2721">
      <w:pPr>
        <w:suppressAutoHyphens/>
        <w:spacing w:before="120"/>
        <w:ind w:left="360"/>
        <w:rPr>
          <w:rFonts w:eastAsia="Times"/>
          <w:szCs w:val="24"/>
          <w:u w:val="single"/>
        </w:rPr>
      </w:pPr>
      <w:r w:rsidRPr="001B7F77">
        <w:rPr>
          <w:rFonts w:eastAsia="Times"/>
          <w:b/>
          <w:szCs w:val="24"/>
          <w:u w:val="single"/>
        </w:rPr>
        <w:t xml:space="preserve">D602.4. </w:t>
      </w:r>
      <w:r w:rsidRPr="001B7F77">
        <w:rPr>
          <w:rFonts w:eastAsia="Times"/>
          <w:b/>
          <w:bCs/>
          <w:szCs w:val="24"/>
          <w:u w:val="single"/>
        </w:rPr>
        <w:t>Means of Egress</w:t>
      </w:r>
      <w:r w:rsidRPr="001B7F77">
        <w:rPr>
          <w:rFonts w:eastAsia="Times"/>
          <w:szCs w:val="24"/>
          <w:u w:val="single"/>
        </w:rPr>
        <w:t xml:space="preserve">. Non-fireproof converted dwellings shall be permitted to retain their existing means of egress, including where it is a single stair that is provided with sprinklers and lawfully installed prior to the effective date of the local law that added this section. Where any such single stair is to be relocated within the dwelling, such single means of egress shall no longer be permitted to be retained, and a second means of egress shall be provided directly accessible from within each dwelling unit and shall be either a system of outside fire-escapes, constructed and arranged as provided in Section D306.3, a fire-stair, or a fire-tower. Where such second means of egress discharges into a rear yard of less than 30 feet, compliance with Section D303.6.12 shall be required. </w:t>
      </w:r>
    </w:p>
    <w:p w14:paraId="07C496B1" w14:textId="77777777" w:rsidR="001B7F77" w:rsidRPr="001B7F77" w:rsidRDefault="001B7F77" w:rsidP="00FD2721">
      <w:pPr>
        <w:pBdr>
          <w:top w:val="nil"/>
          <w:left w:val="nil"/>
          <w:bottom w:val="nil"/>
          <w:right w:val="nil"/>
          <w:between w:val="nil"/>
        </w:pBdr>
        <w:suppressAutoHyphens/>
        <w:spacing w:before="120"/>
        <w:rPr>
          <w:rFonts w:eastAsia="Times"/>
          <w:color w:val="000000"/>
          <w:szCs w:val="24"/>
        </w:rPr>
      </w:pPr>
      <w:r w:rsidRPr="001B7F77">
        <w:rPr>
          <w:rFonts w:eastAsia="Times"/>
          <w:b/>
          <w:color w:val="000000"/>
          <w:szCs w:val="24"/>
          <w:u w:val="single"/>
        </w:rPr>
        <w:t xml:space="preserve">D603 Conversion to 3 families; no more than 3 stories. </w:t>
      </w:r>
      <w:r w:rsidRPr="001B7F77">
        <w:rPr>
          <w:rFonts w:eastAsia="Times"/>
          <w:color w:val="000000"/>
          <w:szCs w:val="24"/>
          <w:u w:val="single"/>
        </w:rPr>
        <w:t>A building originally erected before December 6, 1968, as a 1- or 2-family dwelling, 3 stories or less in height, shall be permitted to be converted to a Class A multiple dwelling with no more than 3 families and shall be classified EBC-CDA, provided such building meets this code and the following requirements. However, for such building, any requirement of this code that covers the same subject matter as the following shall not apply, and such following requirements in Sections D603.1 through D603.15 shall apply in lieu thereof:</w:t>
      </w:r>
      <w:r w:rsidRPr="001B7F77">
        <w:rPr>
          <w:rFonts w:eastAsia="Times"/>
          <w:color w:val="000000"/>
          <w:szCs w:val="24"/>
        </w:rPr>
        <w:t xml:space="preserve"> </w:t>
      </w:r>
    </w:p>
    <w:p w14:paraId="1BD5BA2D" w14:textId="77777777" w:rsidR="001B7F77" w:rsidRPr="001B7F77" w:rsidRDefault="001B7F77" w:rsidP="00FD2721">
      <w:pPr>
        <w:pBdr>
          <w:top w:val="nil"/>
          <w:left w:val="nil"/>
          <w:bottom w:val="nil"/>
          <w:right w:val="nil"/>
          <w:between w:val="nil"/>
        </w:pBdr>
        <w:suppressAutoHyphens/>
        <w:spacing w:before="120"/>
        <w:ind w:left="360"/>
        <w:rPr>
          <w:szCs w:val="24"/>
          <w:u w:val="single"/>
        </w:rPr>
      </w:pPr>
      <w:r w:rsidRPr="001B7F77">
        <w:rPr>
          <w:rFonts w:eastAsia="Times"/>
          <w:b/>
          <w:color w:val="000000"/>
          <w:szCs w:val="24"/>
          <w:u w:val="single"/>
        </w:rPr>
        <w:t>D603.1 Frame buildings.</w:t>
      </w:r>
      <w:r w:rsidRPr="001B7F77">
        <w:rPr>
          <w:rFonts w:eastAsia="Times"/>
          <w:color w:val="000000"/>
          <w:szCs w:val="24"/>
          <w:u w:val="single"/>
        </w:rPr>
        <w:t xml:space="preserve"> </w:t>
      </w:r>
      <w:r w:rsidRPr="001B7F77">
        <w:rPr>
          <w:rFonts w:eastAsia="Times"/>
          <w:szCs w:val="24"/>
          <w:u w:val="single"/>
        </w:rPr>
        <w:t>The building shall not be a frame building. However, the conversion of nonresidential spaces in existing frame buildings to apartments shall be permitted in accordance with the Exception to Section D306.5.</w:t>
      </w:r>
    </w:p>
    <w:p w14:paraId="71541AD3" w14:textId="77777777" w:rsidR="001B7F77" w:rsidRPr="001B7F77" w:rsidRDefault="001B7F77" w:rsidP="00FD2721">
      <w:pPr>
        <w:pBdr>
          <w:top w:val="nil"/>
          <w:left w:val="nil"/>
          <w:bottom w:val="nil"/>
          <w:right w:val="nil"/>
          <w:between w:val="nil"/>
        </w:pBdr>
        <w:suppressAutoHyphens/>
        <w:spacing w:before="120"/>
        <w:ind w:left="360"/>
        <w:rPr>
          <w:szCs w:val="24"/>
          <w:u w:val="single"/>
        </w:rPr>
      </w:pPr>
      <w:r w:rsidRPr="001B7F77">
        <w:rPr>
          <w:rFonts w:eastAsia="Times"/>
          <w:b/>
          <w:color w:val="000000"/>
          <w:szCs w:val="24"/>
          <w:u w:val="single"/>
        </w:rPr>
        <w:t>D603.2 Treads and risers.</w:t>
      </w:r>
      <w:r w:rsidRPr="001B7F77">
        <w:rPr>
          <w:rFonts w:eastAsia="Times"/>
          <w:color w:val="000000"/>
          <w:szCs w:val="24"/>
          <w:u w:val="single"/>
        </w:rPr>
        <w:t xml:space="preserve"> The treads and risers of every stair shall be of uniform height and width in any one flight. Each tread, exclusive of nosing, shall be not less than 9 ½ inches wide (241.5 mm); each riser shall not exceed 7 ¾ inches (197 mm) in height; and the product of the number of inches in the width of the tread and the number of inches in the height of the riser shall be at least 70 inches (1778 mm) and at most 75 inches (1905 mm).</w:t>
      </w:r>
    </w:p>
    <w:p w14:paraId="4295FF9F" w14:textId="77777777" w:rsidR="001B7F77" w:rsidRPr="001B7F77" w:rsidRDefault="001B7F77" w:rsidP="00FD2721">
      <w:pPr>
        <w:pBdr>
          <w:top w:val="nil"/>
          <w:left w:val="nil"/>
          <w:bottom w:val="nil"/>
          <w:right w:val="nil"/>
          <w:between w:val="nil"/>
        </w:pBdr>
        <w:suppressAutoHyphens/>
        <w:spacing w:before="120"/>
        <w:ind w:left="360"/>
        <w:rPr>
          <w:szCs w:val="24"/>
          <w:u w:val="single"/>
        </w:rPr>
      </w:pPr>
      <w:r w:rsidRPr="001B7F77">
        <w:rPr>
          <w:rFonts w:eastAsia="Times"/>
          <w:b/>
          <w:color w:val="000000"/>
          <w:szCs w:val="24"/>
          <w:u w:val="single"/>
        </w:rPr>
        <w:t>D603.3 Public hall.</w:t>
      </w:r>
      <w:r w:rsidRPr="001B7F77">
        <w:rPr>
          <w:rFonts w:eastAsia="Times"/>
          <w:color w:val="000000"/>
          <w:szCs w:val="24"/>
          <w:u w:val="single"/>
        </w:rPr>
        <w:t xml:space="preserve"> Every public stair hall shall provide access to the street as well as extending to and through the roof by a bulkhead or scuttle, except that no bulkhead or scuttle, or stair or ladder leading thereto, shall be required where the roof is a peak roof with a pitch of more than 15 degrees (0.26 rad). </w:t>
      </w:r>
    </w:p>
    <w:p w14:paraId="0F7C510E" w14:textId="77777777" w:rsidR="001B7F77" w:rsidRPr="001B7F77" w:rsidRDefault="001B7F77" w:rsidP="00FD2721">
      <w:pPr>
        <w:pBdr>
          <w:top w:val="nil"/>
          <w:left w:val="nil"/>
          <w:bottom w:val="nil"/>
          <w:right w:val="nil"/>
          <w:between w:val="nil"/>
        </w:pBdr>
        <w:suppressAutoHyphens/>
        <w:spacing w:before="120"/>
        <w:ind w:left="360"/>
        <w:rPr>
          <w:szCs w:val="24"/>
          <w:u w:val="single"/>
        </w:rPr>
      </w:pPr>
      <w:r w:rsidRPr="001B7F77">
        <w:rPr>
          <w:rFonts w:eastAsia="Times"/>
          <w:b/>
          <w:color w:val="000000"/>
          <w:szCs w:val="24"/>
          <w:u w:val="single"/>
        </w:rPr>
        <w:t>D603.4 Stairs.</w:t>
      </w:r>
      <w:r w:rsidRPr="001B7F77">
        <w:rPr>
          <w:rFonts w:eastAsia="Times"/>
          <w:color w:val="000000"/>
          <w:szCs w:val="24"/>
          <w:u w:val="single"/>
        </w:rPr>
        <w:t xml:space="preserve"> Existing wood stairs shall be permitted to remain. Existing stairs shall be at least 30 inches (762 mm) in clear width. </w:t>
      </w:r>
    </w:p>
    <w:p w14:paraId="2F3E34D8" w14:textId="77777777" w:rsidR="001B7F77" w:rsidRPr="001B7F77" w:rsidRDefault="001B7F77" w:rsidP="00FD2721">
      <w:pPr>
        <w:pBdr>
          <w:top w:val="nil"/>
          <w:left w:val="nil"/>
          <w:bottom w:val="nil"/>
          <w:right w:val="nil"/>
          <w:between w:val="nil"/>
        </w:pBdr>
        <w:suppressAutoHyphens/>
        <w:spacing w:before="120"/>
        <w:ind w:left="360"/>
        <w:rPr>
          <w:szCs w:val="24"/>
          <w:u w:val="single"/>
        </w:rPr>
      </w:pPr>
      <w:r w:rsidRPr="001B7F77">
        <w:rPr>
          <w:rFonts w:eastAsia="Times"/>
          <w:b/>
          <w:color w:val="000000"/>
          <w:szCs w:val="24"/>
          <w:u w:val="single"/>
        </w:rPr>
        <w:t>D603.5 Entrance hall.</w:t>
      </w:r>
      <w:r w:rsidRPr="001B7F77">
        <w:rPr>
          <w:rFonts w:eastAsia="Times"/>
          <w:color w:val="000000"/>
          <w:szCs w:val="24"/>
          <w:u w:val="single"/>
        </w:rPr>
        <w:t xml:space="preserve"> The entrance hall to the street shall be at least 32 inches (813 mm) in clear width.</w:t>
      </w:r>
    </w:p>
    <w:p w14:paraId="007E0323" w14:textId="77777777" w:rsidR="001B7F77" w:rsidRPr="001B7F77" w:rsidRDefault="001B7F77" w:rsidP="00FD2721">
      <w:pPr>
        <w:pBdr>
          <w:top w:val="nil"/>
          <w:left w:val="nil"/>
          <w:bottom w:val="nil"/>
          <w:right w:val="nil"/>
          <w:between w:val="nil"/>
        </w:pBdr>
        <w:suppressAutoHyphens/>
        <w:spacing w:before="120"/>
        <w:ind w:left="360"/>
        <w:rPr>
          <w:szCs w:val="24"/>
          <w:u w:val="single"/>
        </w:rPr>
      </w:pPr>
      <w:r w:rsidRPr="001B7F77">
        <w:rPr>
          <w:rFonts w:eastAsia="Times"/>
          <w:b/>
          <w:color w:val="000000"/>
          <w:szCs w:val="24"/>
          <w:u w:val="single"/>
        </w:rPr>
        <w:t>D603.6 Scuttle.</w:t>
      </w:r>
      <w:r w:rsidRPr="001B7F77">
        <w:rPr>
          <w:rFonts w:eastAsia="Times"/>
          <w:color w:val="000000"/>
          <w:szCs w:val="24"/>
          <w:u w:val="single"/>
        </w:rPr>
        <w:t xml:space="preserve"> Any scuttle required by Section D603.3 shall be at least 21 inches (533 mm) in width and 28 inches (711 mm) in length, covered on the outside with metal and provided with a stair or a stationary iron ladder leading thereto and easily accessible to all occupants of the dwelling. Every scuttle shall be located in the ceiling of the stair hall on the top story and access to the roof through the scuttle shall be direct and uninterrupted. It shall be unlawful to enclose in any manner the ladder or stair leading to a scuttle. </w:t>
      </w:r>
    </w:p>
    <w:p w14:paraId="7D4AFFD2" w14:textId="77777777" w:rsidR="001B7F77" w:rsidRPr="001B7F77" w:rsidRDefault="001B7F77" w:rsidP="00FD2721">
      <w:pPr>
        <w:pBdr>
          <w:top w:val="nil"/>
          <w:left w:val="nil"/>
          <w:bottom w:val="nil"/>
          <w:right w:val="nil"/>
          <w:between w:val="nil"/>
        </w:pBdr>
        <w:suppressAutoHyphens/>
        <w:spacing w:before="120"/>
        <w:ind w:left="360"/>
        <w:rPr>
          <w:szCs w:val="24"/>
          <w:u w:val="single"/>
        </w:rPr>
      </w:pPr>
      <w:r w:rsidRPr="001B7F77">
        <w:rPr>
          <w:rFonts w:eastAsia="Times"/>
          <w:b/>
          <w:color w:val="000000"/>
          <w:szCs w:val="24"/>
          <w:u w:val="single"/>
        </w:rPr>
        <w:t>D603.7 Roof access.</w:t>
      </w:r>
      <w:r w:rsidRPr="001B7F77">
        <w:rPr>
          <w:rFonts w:eastAsia="Times"/>
          <w:color w:val="000000"/>
          <w:szCs w:val="24"/>
          <w:u w:val="single"/>
        </w:rPr>
        <w:t xml:space="preserve"> Every bulkhead door or scuttle shall not be self-locking and shall be fastened on the inside with movable bolts, hooks, or a lock which does not require a key to open from the inside of the dwelling. </w:t>
      </w:r>
    </w:p>
    <w:p w14:paraId="41451EA4" w14:textId="77777777" w:rsidR="001B7F77" w:rsidRPr="001B7F77" w:rsidRDefault="001B7F77" w:rsidP="00FD2721">
      <w:pPr>
        <w:pBdr>
          <w:top w:val="nil"/>
          <w:left w:val="nil"/>
          <w:bottom w:val="nil"/>
          <w:right w:val="nil"/>
          <w:between w:val="nil"/>
        </w:pBdr>
        <w:suppressAutoHyphens/>
        <w:spacing w:before="120"/>
        <w:ind w:left="360"/>
        <w:rPr>
          <w:szCs w:val="24"/>
          <w:u w:val="single"/>
        </w:rPr>
      </w:pPr>
      <w:r w:rsidRPr="001B7F77">
        <w:rPr>
          <w:rFonts w:eastAsia="Times"/>
          <w:b/>
          <w:color w:val="000000"/>
          <w:szCs w:val="24"/>
          <w:u w:val="single"/>
        </w:rPr>
        <w:t>D603.8 Business purposes.</w:t>
      </w:r>
      <w:r w:rsidRPr="001B7F77">
        <w:rPr>
          <w:rFonts w:eastAsia="Times"/>
          <w:color w:val="000000"/>
          <w:szCs w:val="24"/>
          <w:u w:val="single"/>
        </w:rPr>
        <w:t xml:space="preserve"> No part of such dwelling shall be used for business purposes, except a home occupation as provided for in the New York City Zoning Resolution.</w:t>
      </w:r>
    </w:p>
    <w:p w14:paraId="13B548A1" w14:textId="77777777" w:rsidR="001B7F77" w:rsidRPr="001B7F77" w:rsidRDefault="001B7F77" w:rsidP="00FD2721">
      <w:pPr>
        <w:pBdr>
          <w:top w:val="nil"/>
          <w:left w:val="nil"/>
          <w:bottom w:val="nil"/>
          <w:right w:val="nil"/>
          <w:between w:val="nil"/>
        </w:pBdr>
        <w:suppressAutoHyphens/>
        <w:spacing w:before="120"/>
        <w:ind w:left="360"/>
        <w:rPr>
          <w:szCs w:val="24"/>
          <w:u w:val="single"/>
        </w:rPr>
      </w:pPr>
      <w:r w:rsidRPr="001B7F77">
        <w:rPr>
          <w:rFonts w:eastAsia="Times"/>
          <w:b/>
          <w:color w:val="000000"/>
          <w:szCs w:val="24"/>
          <w:u w:val="single"/>
        </w:rPr>
        <w:t>D603.9 Boarders, roomers, lodgers.</w:t>
      </w:r>
      <w:r w:rsidRPr="001B7F77">
        <w:rPr>
          <w:rFonts w:eastAsia="Times"/>
          <w:color w:val="000000"/>
          <w:szCs w:val="24"/>
          <w:u w:val="single"/>
        </w:rPr>
        <w:t xml:space="preserve"> No part of such dwelling shall be arranged, designed for or occupied by roomers, boarders or lodgers.</w:t>
      </w:r>
    </w:p>
    <w:p w14:paraId="2CB0142B" w14:textId="77777777" w:rsidR="001B7F77" w:rsidRPr="001B7F77" w:rsidRDefault="001B7F77" w:rsidP="00FD2721">
      <w:pPr>
        <w:pBdr>
          <w:top w:val="nil"/>
          <w:left w:val="nil"/>
          <w:bottom w:val="nil"/>
          <w:right w:val="nil"/>
          <w:between w:val="nil"/>
        </w:pBdr>
        <w:suppressAutoHyphens/>
        <w:spacing w:before="120"/>
        <w:ind w:left="360"/>
        <w:rPr>
          <w:szCs w:val="24"/>
          <w:u w:val="single"/>
        </w:rPr>
      </w:pPr>
      <w:r w:rsidRPr="001B7F77">
        <w:rPr>
          <w:rFonts w:eastAsia="Times"/>
          <w:b/>
          <w:color w:val="000000"/>
          <w:szCs w:val="24"/>
          <w:u w:val="single"/>
        </w:rPr>
        <w:t>D603.10 Dwelling unit doors.</w:t>
      </w:r>
      <w:r w:rsidRPr="001B7F77">
        <w:rPr>
          <w:rFonts w:eastAsia="Times"/>
          <w:color w:val="000000"/>
          <w:szCs w:val="24"/>
          <w:u w:val="single"/>
        </w:rPr>
        <w:t xml:space="preserve"> The dwelling unit entrance doors and door assemblies in public stair halls and public halls shall be provided with self-closing door assemblies with a minimum of a ¾-hour fire resistance rating.</w:t>
      </w:r>
    </w:p>
    <w:p w14:paraId="7A027AA0" w14:textId="77777777" w:rsidR="001B7F77" w:rsidRPr="001B7F77" w:rsidRDefault="001B7F77" w:rsidP="00FD2721">
      <w:pPr>
        <w:pBdr>
          <w:top w:val="nil"/>
          <w:left w:val="nil"/>
          <w:bottom w:val="nil"/>
          <w:right w:val="nil"/>
          <w:between w:val="nil"/>
        </w:pBdr>
        <w:suppressAutoHyphens/>
        <w:spacing w:before="120"/>
        <w:ind w:left="360"/>
        <w:rPr>
          <w:szCs w:val="24"/>
          <w:u w:val="single"/>
        </w:rPr>
      </w:pPr>
      <w:r w:rsidRPr="001B7F77">
        <w:rPr>
          <w:rFonts w:eastAsia="Times"/>
          <w:b/>
          <w:color w:val="000000"/>
          <w:szCs w:val="24"/>
          <w:u w:val="single"/>
        </w:rPr>
        <w:t>D603.11 Fire rating of public hall and fire retarding of stairs.</w:t>
      </w:r>
      <w:r w:rsidRPr="001B7F77">
        <w:rPr>
          <w:rFonts w:eastAsia="Times"/>
          <w:color w:val="000000"/>
          <w:szCs w:val="24"/>
          <w:u w:val="single"/>
        </w:rPr>
        <w:t xml:space="preserve"> The public hall and stair partitions shall be constructed as 1-hour fire barriers and the soffit of the stairs, if combustible, shall be fire retarded in accordance with Section E402 of Appendix E. </w:t>
      </w:r>
    </w:p>
    <w:p w14:paraId="4C27577E" w14:textId="77777777" w:rsidR="001B7F77" w:rsidRPr="001B7F77" w:rsidRDefault="001B7F77" w:rsidP="00FD2721">
      <w:pPr>
        <w:pBdr>
          <w:top w:val="nil"/>
          <w:left w:val="nil"/>
          <w:bottom w:val="nil"/>
          <w:right w:val="nil"/>
          <w:between w:val="nil"/>
        </w:pBdr>
        <w:suppressAutoHyphens/>
        <w:spacing w:before="120"/>
        <w:ind w:left="360"/>
        <w:rPr>
          <w:szCs w:val="24"/>
          <w:u w:val="single"/>
        </w:rPr>
      </w:pPr>
      <w:r w:rsidRPr="001B7F77">
        <w:rPr>
          <w:rFonts w:eastAsia="Times"/>
          <w:b/>
          <w:color w:val="000000"/>
          <w:szCs w:val="24"/>
          <w:u w:val="single"/>
        </w:rPr>
        <w:t>D603.12 Fire rating of ceilings.</w:t>
      </w:r>
      <w:r w:rsidRPr="001B7F77">
        <w:rPr>
          <w:rFonts w:eastAsia="Times"/>
          <w:color w:val="000000"/>
          <w:szCs w:val="24"/>
          <w:u w:val="single"/>
        </w:rPr>
        <w:t xml:space="preserve"> The ceiling of the cellar and the ceiling of any dwelling unit located below a different dwelling unit, or below a public hall or stair, shall be constructed as horizontal assemblies with a fire-resistance rating of not less than 1 hour. </w:t>
      </w:r>
    </w:p>
    <w:p w14:paraId="1C5450EC" w14:textId="77777777" w:rsidR="001B7F77" w:rsidRPr="001B7F77" w:rsidRDefault="001B7F77" w:rsidP="00FD2721">
      <w:pPr>
        <w:pBdr>
          <w:top w:val="nil"/>
          <w:left w:val="nil"/>
          <w:bottom w:val="nil"/>
          <w:right w:val="nil"/>
          <w:between w:val="nil"/>
        </w:pBdr>
        <w:suppressAutoHyphens/>
        <w:spacing w:before="120"/>
        <w:ind w:left="360"/>
        <w:rPr>
          <w:szCs w:val="24"/>
          <w:u w:val="single"/>
        </w:rPr>
      </w:pPr>
      <w:r w:rsidRPr="001B7F77">
        <w:rPr>
          <w:rFonts w:eastAsia="Times"/>
          <w:b/>
          <w:color w:val="000000"/>
          <w:szCs w:val="24"/>
          <w:u w:val="single"/>
        </w:rPr>
        <w:t xml:space="preserve">D603.13 Separation of dwelling units. </w:t>
      </w:r>
      <w:r w:rsidRPr="001B7F77">
        <w:rPr>
          <w:rFonts w:eastAsia="Times"/>
          <w:bCs/>
          <w:color w:val="000000"/>
          <w:szCs w:val="24"/>
          <w:u w:val="single"/>
        </w:rPr>
        <w:t xml:space="preserve">Dwelling units shall be separated by assemblies meeting a </w:t>
      </w:r>
      <w:r w:rsidRPr="001B7F77">
        <w:rPr>
          <w:rFonts w:eastAsia="Times"/>
          <w:color w:val="000000"/>
          <w:szCs w:val="24"/>
          <w:u w:val="single"/>
        </w:rPr>
        <w:t>fire-resistance rating of not less than 1 hour.</w:t>
      </w:r>
      <w:r w:rsidRPr="001B7F77">
        <w:rPr>
          <w:szCs w:val="24"/>
          <w:u w:val="single"/>
        </w:rPr>
        <w:t xml:space="preserve"> </w:t>
      </w:r>
    </w:p>
    <w:p w14:paraId="69B12089" w14:textId="77777777" w:rsidR="001B7F77" w:rsidRPr="001B7F77" w:rsidRDefault="001B7F77" w:rsidP="00FD2721">
      <w:pPr>
        <w:pBdr>
          <w:top w:val="nil"/>
          <w:left w:val="nil"/>
          <w:bottom w:val="nil"/>
          <w:right w:val="nil"/>
          <w:between w:val="nil"/>
        </w:pBdr>
        <w:suppressAutoHyphens/>
        <w:spacing w:before="120"/>
        <w:ind w:left="360"/>
        <w:rPr>
          <w:szCs w:val="24"/>
          <w:u w:val="single"/>
        </w:rPr>
      </w:pPr>
      <w:r w:rsidRPr="001B7F77">
        <w:rPr>
          <w:rFonts w:eastAsia="Times"/>
          <w:b/>
          <w:color w:val="000000"/>
          <w:szCs w:val="24"/>
          <w:u w:val="single"/>
        </w:rPr>
        <w:t xml:space="preserve">D603.14 Cellar entrance. </w:t>
      </w:r>
      <w:r w:rsidRPr="001B7F77">
        <w:rPr>
          <w:rFonts w:eastAsia="Times"/>
          <w:color w:val="000000"/>
          <w:szCs w:val="24"/>
          <w:u w:val="single"/>
        </w:rPr>
        <w:t>If there is a cellar, there shall be an independent entrance thereto from outside the dwelling by means of a metal fire ladder or fireproof stair leading to an opening in the outside cellar wall at least 30 inches (762 mm) in width and 6 feet (1829 mm) in height. Such entrance to the cellar shall be permitted to be through an areaway or through a fireproof passageway leading directly to the street. The entrance to the cellar may be closed off with a grating or doors which shall not be locked or bolted unless they can be readily unbolted or unlocked from the inside without a key and shall be arranged and constructed so as to be readily opened at all times. Such cellar entrance shall not be used to satisfy a required means of egress unless it also meets the standards required for such egress.</w:t>
      </w:r>
    </w:p>
    <w:p w14:paraId="4B3A0774" w14:textId="77777777" w:rsidR="001B7F77" w:rsidRPr="001B7F77" w:rsidRDefault="001B7F77" w:rsidP="00FD2721">
      <w:pPr>
        <w:pBdr>
          <w:top w:val="nil"/>
          <w:left w:val="nil"/>
          <w:bottom w:val="nil"/>
          <w:right w:val="nil"/>
          <w:between w:val="nil"/>
        </w:pBdr>
        <w:suppressAutoHyphens/>
        <w:spacing w:before="120"/>
        <w:ind w:left="360"/>
        <w:rPr>
          <w:szCs w:val="24"/>
          <w:u w:val="single"/>
        </w:rPr>
      </w:pPr>
      <w:r w:rsidRPr="001B7F77">
        <w:rPr>
          <w:rFonts w:eastAsia="Times"/>
          <w:b/>
          <w:color w:val="000000"/>
          <w:szCs w:val="24"/>
          <w:u w:val="single"/>
        </w:rPr>
        <w:t xml:space="preserve">D603.15 Sprinklers. </w:t>
      </w:r>
      <w:bookmarkStart w:id="251" w:name="_Hlk78882783"/>
      <w:r w:rsidRPr="001B7F77">
        <w:rPr>
          <w:rFonts w:eastAsia="Times"/>
          <w:color w:val="000000"/>
          <w:szCs w:val="24"/>
          <w:u w:val="single"/>
        </w:rPr>
        <w:t xml:space="preserve">Sprinklers shall be provided throughout the building in accordance with Section 903 of the </w:t>
      </w:r>
      <w:r w:rsidRPr="001B7F77">
        <w:rPr>
          <w:rFonts w:eastAsia="Times"/>
          <w:i/>
          <w:iCs/>
          <w:color w:val="000000"/>
          <w:szCs w:val="24"/>
          <w:u w:val="single"/>
        </w:rPr>
        <w:t>New York City Building Code</w:t>
      </w:r>
      <w:r w:rsidRPr="001B7F77">
        <w:rPr>
          <w:rFonts w:eastAsia="Times"/>
          <w:color w:val="000000"/>
          <w:szCs w:val="24"/>
          <w:u w:val="single"/>
        </w:rPr>
        <w:t>.</w:t>
      </w:r>
    </w:p>
    <w:bookmarkEnd w:id="251"/>
    <w:p w14:paraId="0C3CC543" w14:textId="77777777" w:rsidR="001B7F77" w:rsidRPr="001B7F77" w:rsidRDefault="001B7F77" w:rsidP="00FD2721">
      <w:pPr>
        <w:pBdr>
          <w:top w:val="nil"/>
          <w:left w:val="nil"/>
          <w:bottom w:val="nil"/>
          <w:right w:val="nil"/>
          <w:between w:val="nil"/>
        </w:pBdr>
        <w:suppressAutoHyphens/>
        <w:spacing w:before="120"/>
        <w:rPr>
          <w:rFonts w:eastAsia="Times"/>
          <w:color w:val="000000"/>
          <w:szCs w:val="24"/>
          <w:u w:val="single"/>
        </w:rPr>
      </w:pPr>
      <w:r w:rsidRPr="001B7F77">
        <w:rPr>
          <w:rFonts w:eastAsia="Times"/>
          <w:b/>
          <w:color w:val="000000"/>
          <w:szCs w:val="24"/>
          <w:u w:val="single"/>
        </w:rPr>
        <w:t xml:space="preserve">D604 Conversion to more than 3 families and/or more than 3 stories. </w:t>
      </w:r>
      <w:r w:rsidRPr="001B7F77">
        <w:rPr>
          <w:rFonts w:eastAsia="Times"/>
          <w:color w:val="000000"/>
          <w:szCs w:val="24"/>
          <w:u w:val="single"/>
        </w:rPr>
        <w:t xml:space="preserve">A building originally erected as a 1- or 2-family dwelling on or before April 1, 1929, shall be permitted to be converted to a Class A multiple dwelling and shall be classified as ECB-CDA provided such building meets this code and the following requirements. However, any requirement of this code that covers the same subject matter as the following shall not apply, and such following requirements from Section D604.1 through D604.14 shall apply in lieu thereof: </w:t>
      </w:r>
    </w:p>
    <w:p w14:paraId="12683FD5" w14:textId="77777777" w:rsidR="001B7F77" w:rsidRPr="001B7F77" w:rsidRDefault="001B7F77" w:rsidP="00FD2721">
      <w:pPr>
        <w:pBdr>
          <w:top w:val="nil"/>
          <w:left w:val="nil"/>
          <w:bottom w:val="nil"/>
          <w:right w:val="nil"/>
          <w:between w:val="nil"/>
        </w:pBdr>
        <w:suppressAutoHyphens/>
        <w:spacing w:before="120"/>
        <w:ind w:left="360"/>
        <w:rPr>
          <w:color w:val="000000"/>
          <w:szCs w:val="24"/>
          <w:u w:val="single"/>
        </w:rPr>
      </w:pPr>
      <w:bookmarkStart w:id="252" w:name="_Hlk80024327"/>
      <w:r w:rsidRPr="001B7F77">
        <w:rPr>
          <w:rFonts w:eastAsia="Times"/>
          <w:b/>
          <w:color w:val="000000"/>
          <w:szCs w:val="24"/>
          <w:u w:val="single"/>
        </w:rPr>
        <w:t>D604.1 Frame buildings.</w:t>
      </w:r>
      <w:r w:rsidRPr="001B7F77">
        <w:rPr>
          <w:rFonts w:eastAsia="Times"/>
          <w:color w:val="000000"/>
          <w:szCs w:val="24"/>
          <w:u w:val="single"/>
        </w:rPr>
        <w:t xml:space="preserve"> </w:t>
      </w:r>
      <w:r w:rsidRPr="001B7F77">
        <w:rPr>
          <w:rFonts w:eastAsia="Times"/>
          <w:szCs w:val="24"/>
          <w:u w:val="single"/>
        </w:rPr>
        <w:t>The building shall not be a frame building. However, the conversion of nonresidential spaces in existing frame buildings to apartments shall be converted in accordance with the Exception to Section D306.5.</w:t>
      </w:r>
    </w:p>
    <w:p w14:paraId="44659376" w14:textId="77777777" w:rsidR="001B7F77" w:rsidRPr="001B7F77" w:rsidRDefault="001B7F77" w:rsidP="00FD2721">
      <w:pPr>
        <w:pBdr>
          <w:top w:val="nil"/>
          <w:left w:val="nil"/>
          <w:bottom w:val="nil"/>
          <w:right w:val="nil"/>
          <w:between w:val="nil"/>
        </w:pBdr>
        <w:suppressAutoHyphens/>
        <w:spacing w:before="120"/>
        <w:ind w:left="360"/>
        <w:rPr>
          <w:rFonts w:eastAsia="Times"/>
          <w:szCs w:val="24"/>
          <w:u w:val="single"/>
        </w:rPr>
      </w:pPr>
      <w:r w:rsidRPr="001B7F77">
        <w:rPr>
          <w:rFonts w:eastAsia="Times"/>
          <w:b/>
          <w:bCs/>
          <w:color w:val="000000"/>
          <w:szCs w:val="24"/>
          <w:u w:val="single"/>
        </w:rPr>
        <w:t>D604.2 Height and area limitations</w:t>
      </w:r>
      <w:r w:rsidRPr="001B7F77">
        <w:rPr>
          <w:rFonts w:eastAsia="Times"/>
          <w:color w:val="000000"/>
          <w:szCs w:val="24"/>
          <w:u w:val="single"/>
        </w:rPr>
        <w:t xml:space="preserve">. The building, including any additions, shall comply with the height and area limitations of Chapter 5 of the </w:t>
      </w:r>
      <w:r w:rsidRPr="001B7F77">
        <w:rPr>
          <w:rFonts w:eastAsia="Times"/>
          <w:i/>
          <w:iCs/>
          <w:color w:val="000000"/>
          <w:szCs w:val="24"/>
          <w:u w:val="single"/>
        </w:rPr>
        <w:t>New York City Building Code</w:t>
      </w:r>
      <w:r w:rsidRPr="001B7F77">
        <w:rPr>
          <w:rFonts w:eastAsia="Times"/>
          <w:color w:val="000000"/>
          <w:szCs w:val="24"/>
          <w:u w:val="single"/>
        </w:rPr>
        <w:t>,</w:t>
      </w:r>
      <w:r w:rsidRPr="001B7F77">
        <w:rPr>
          <w:rFonts w:eastAsia="Times"/>
          <w:szCs w:val="24"/>
          <w:u w:val="single"/>
        </w:rPr>
        <w:t xml:space="preserve"> not to exceed six stories in height</w:t>
      </w:r>
      <w:r w:rsidRPr="001B7F77">
        <w:rPr>
          <w:rFonts w:eastAsia="Times"/>
          <w:i/>
          <w:iCs/>
          <w:szCs w:val="24"/>
          <w:u w:val="single"/>
        </w:rPr>
        <w:t>,</w:t>
      </w:r>
      <w:r w:rsidRPr="001B7F77">
        <w:rPr>
          <w:rFonts w:eastAsia="Times"/>
          <w:szCs w:val="24"/>
          <w:u w:val="single"/>
        </w:rPr>
        <w:t xml:space="preserve"> as such term height is defined in the </w:t>
      </w:r>
      <w:r w:rsidRPr="001B7F77">
        <w:rPr>
          <w:rFonts w:eastAsia="Times"/>
          <w:i/>
          <w:iCs/>
          <w:szCs w:val="24"/>
          <w:u w:val="single"/>
        </w:rPr>
        <w:t>New York City Building Code</w:t>
      </w:r>
      <w:r w:rsidRPr="001B7F77">
        <w:rPr>
          <w:rFonts w:eastAsia="Times"/>
          <w:szCs w:val="24"/>
          <w:u w:val="single"/>
        </w:rPr>
        <w:t>.</w:t>
      </w:r>
    </w:p>
    <w:p w14:paraId="07D701D8" w14:textId="77777777" w:rsidR="001B7F77" w:rsidRPr="001B7F77" w:rsidRDefault="001B7F77" w:rsidP="00FD2721">
      <w:pPr>
        <w:pBdr>
          <w:top w:val="nil"/>
          <w:left w:val="nil"/>
          <w:bottom w:val="nil"/>
          <w:right w:val="nil"/>
          <w:between w:val="nil"/>
        </w:pBdr>
        <w:suppressAutoHyphens/>
        <w:spacing w:before="120"/>
        <w:ind w:left="360"/>
        <w:rPr>
          <w:rFonts w:eastAsia="Times"/>
          <w:szCs w:val="24"/>
          <w:u w:val="single"/>
        </w:rPr>
      </w:pPr>
      <w:r w:rsidRPr="001B7F77">
        <w:rPr>
          <w:rFonts w:eastAsia="Times"/>
          <w:b/>
          <w:bCs/>
          <w:szCs w:val="24"/>
          <w:u w:val="single"/>
        </w:rPr>
        <w:t>D604.3 Fire alarm system.</w:t>
      </w:r>
      <w:r w:rsidRPr="001B7F77">
        <w:rPr>
          <w:rFonts w:eastAsia="Times"/>
          <w:szCs w:val="24"/>
          <w:u w:val="single"/>
        </w:rPr>
        <w:t xml:space="preserve"> The building shall have a fire alarm system in accordance with Section 907 of the </w:t>
      </w:r>
      <w:r w:rsidRPr="001B7F77">
        <w:rPr>
          <w:rFonts w:eastAsia="Times"/>
          <w:i/>
          <w:iCs/>
          <w:szCs w:val="24"/>
          <w:u w:val="single"/>
        </w:rPr>
        <w:t>New York City Building Code</w:t>
      </w:r>
      <w:r w:rsidRPr="001B7F77">
        <w:rPr>
          <w:rFonts w:eastAsia="Times"/>
          <w:szCs w:val="24"/>
          <w:u w:val="single"/>
        </w:rPr>
        <w:t>.</w:t>
      </w:r>
    </w:p>
    <w:p w14:paraId="5E6E6521" w14:textId="77777777" w:rsidR="001B7F77" w:rsidRPr="001B7F77" w:rsidRDefault="001B7F77" w:rsidP="00FD2721">
      <w:pPr>
        <w:pBdr>
          <w:top w:val="nil"/>
          <w:left w:val="nil"/>
          <w:bottom w:val="nil"/>
          <w:right w:val="nil"/>
          <w:between w:val="nil"/>
        </w:pBdr>
        <w:suppressAutoHyphens/>
        <w:spacing w:before="120"/>
        <w:ind w:left="360"/>
        <w:rPr>
          <w:rFonts w:eastAsia="Times"/>
          <w:szCs w:val="24"/>
          <w:u w:val="single"/>
        </w:rPr>
      </w:pPr>
      <w:r w:rsidRPr="001B7F77">
        <w:rPr>
          <w:rFonts w:eastAsia="Times"/>
          <w:b/>
          <w:bCs/>
          <w:szCs w:val="24"/>
          <w:u w:val="single"/>
        </w:rPr>
        <w:t>D604.4 Detection system.</w:t>
      </w:r>
      <w:r w:rsidRPr="001B7F77">
        <w:rPr>
          <w:rFonts w:eastAsia="Times"/>
          <w:szCs w:val="24"/>
          <w:u w:val="single"/>
        </w:rPr>
        <w:t xml:space="preserve"> The building shall be provided with carbon monoxide and smoke alarms in accordance with Chapter 9 of the </w:t>
      </w:r>
      <w:r w:rsidRPr="001B7F77">
        <w:rPr>
          <w:rFonts w:eastAsia="Times"/>
          <w:i/>
          <w:iCs/>
          <w:szCs w:val="24"/>
          <w:u w:val="single"/>
        </w:rPr>
        <w:t>New York City Building Code</w:t>
      </w:r>
      <w:r w:rsidRPr="001B7F77">
        <w:rPr>
          <w:rFonts w:eastAsia="Times"/>
          <w:szCs w:val="24"/>
          <w:u w:val="single"/>
        </w:rPr>
        <w:t>.</w:t>
      </w:r>
    </w:p>
    <w:p w14:paraId="4C2A7C87" w14:textId="77777777" w:rsidR="001B7F77" w:rsidRPr="001B7F77" w:rsidRDefault="001B7F77" w:rsidP="00FD2721">
      <w:pPr>
        <w:pBdr>
          <w:top w:val="nil"/>
          <w:left w:val="nil"/>
          <w:bottom w:val="nil"/>
          <w:right w:val="nil"/>
          <w:between w:val="nil"/>
        </w:pBdr>
        <w:suppressAutoHyphens/>
        <w:spacing w:before="120"/>
        <w:ind w:left="360"/>
        <w:rPr>
          <w:szCs w:val="24"/>
          <w:u w:val="single"/>
        </w:rPr>
      </w:pPr>
      <w:r w:rsidRPr="001B7F77">
        <w:rPr>
          <w:rFonts w:eastAsia="Times"/>
          <w:b/>
          <w:color w:val="000000"/>
          <w:szCs w:val="24"/>
          <w:u w:val="single"/>
        </w:rPr>
        <w:t>D604.5 Two means of egress.</w:t>
      </w:r>
      <w:r w:rsidRPr="001B7F77">
        <w:rPr>
          <w:rFonts w:eastAsia="Times"/>
          <w:color w:val="000000"/>
          <w:szCs w:val="24"/>
          <w:u w:val="single"/>
        </w:rPr>
        <w:t xml:space="preserve"> Egress from every dwelling unit on each story shall be provided with 2 independent means of egress as follows:</w:t>
      </w:r>
    </w:p>
    <w:p w14:paraId="14F82335"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bCs/>
          <w:szCs w:val="24"/>
          <w:u w:val="single"/>
        </w:rPr>
        <w:t>D604.5.1 First means of egress.</w:t>
      </w:r>
      <w:r w:rsidRPr="001B7F77">
        <w:rPr>
          <w:rFonts w:eastAsia="Times"/>
          <w:szCs w:val="24"/>
          <w:u w:val="single"/>
        </w:rPr>
        <w:t xml:space="preserve"> </w:t>
      </w:r>
      <w:r w:rsidRPr="001B7F77">
        <w:rPr>
          <w:rFonts w:eastAsia="Times"/>
          <w:color w:val="000000"/>
          <w:szCs w:val="24"/>
          <w:u w:val="single"/>
        </w:rPr>
        <w:t>One means of egress shall be a stair providing access to the street and comply with the following:</w:t>
      </w:r>
    </w:p>
    <w:p w14:paraId="0E6B6BC5" w14:textId="77777777" w:rsidR="001B7F77" w:rsidRPr="001B7F77" w:rsidRDefault="001B7F77" w:rsidP="00FD2721">
      <w:pPr>
        <w:numPr>
          <w:ilvl w:val="0"/>
          <w:numId w:val="49"/>
        </w:numPr>
        <w:pBdr>
          <w:top w:val="nil"/>
          <w:left w:val="nil"/>
          <w:bottom w:val="nil"/>
          <w:right w:val="nil"/>
          <w:between w:val="nil"/>
        </w:pBdr>
        <w:suppressAutoHyphens/>
        <w:spacing w:before="120"/>
        <w:ind w:left="1440"/>
        <w:jc w:val="left"/>
        <w:rPr>
          <w:rFonts w:eastAsia="Times"/>
          <w:szCs w:val="24"/>
          <w:u w:val="single"/>
        </w:rPr>
      </w:pPr>
      <w:r w:rsidRPr="001B7F77">
        <w:rPr>
          <w:rFonts w:eastAsia="Times"/>
          <w:b/>
          <w:bCs/>
          <w:color w:val="000000"/>
          <w:szCs w:val="24"/>
          <w:u w:val="single"/>
        </w:rPr>
        <w:t>Roof access.</w:t>
      </w:r>
      <w:r w:rsidRPr="001B7F77">
        <w:rPr>
          <w:rFonts w:eastAsia="Times"/>
          <w:color w:val="000000"/>
          <w:szCs w:val="24"/>
          <w:u w:val="single"/>
        </w:rPr>
        <w:t xml:space="preserve"> The stair shall extend to and through the roof by a bulkhead, except that a scuttle may be used in lieu of a bulkhead if the dwelling does not exceed in height 3 stories not including the basement, or if it does not exceed a basement and 4 other stories in height and is occupied by not more than 2 families on any story, and except that no bulkhead or scuttle, or stair or ladder leading thereto, shall be required where the roof is a peak roof with a pitch of more than 15 degrees (0.26 rad).</w:t>
      </w:r>
    </w:p>
    <w:p w14:paraId="4A120AEE" w14:textId="77777777" w:rsidR="001B7F77" w:rsidRPr="001B7F77" w:rsidRDefault="001B7F77" w:rsidP="00FD2721">
      <w:pPr>
        <w:numPr>
          <w:ilvl w:val="0"/>
          <w:numId w:val="49"/>
        </w:numPr>
        <w:pBdr>
          <w:top w:val="nil"/>
          <w:left w:val="nil"/>
          <w:bottom w:val="nil"/>
          <w:right w:val="nil"/>
          <w:between w:val="nil"/>
        </w:pBdr>
        <w:suppressAutoHyphens/>
        <w:spacing w:before="120"/>
        <w:ind w:left="1440"/>
        <w:jc w:val="left"/>
        <w:rPr>
          <w:rFonts w:eastAsia="Times"/>
          <w:szCs w:val="24"/>
          <w:u w:val="single"/>
        </w:rPr>
      </w:pPr>
      <w:r w:rsidRPr="001B7F77">
        <w:rPr>
          <w:rFonts w:eastAsia="Times"/>
          <w:b/>
          <w:bCs/>
          <w:color w:val="000000"/>
          <w:szCs w:val="24"/>
          <w:u w:val="single"/>
        </w:rPr>
        <w:t>Scuttles.</w:t>
      </w:r>
      <w:r w:rsidRPr="001B7F77">
        <w:rPr>
          <w:rFonts w:eastAsia="Times"/>
          <w:color w:val="000000"/>
          <w:szCs w:val="24"/>
          <w:u w:val="single"/>
        </w:rPr>
        <w:t xml:space="preserve"> Any scuttle provided pursuant to Section D604.5.1, Item 1, shall be at least 21 inches (533 mm) in width and 28 inches (711 mm) in length, covered on the outside with metal and provided with a stair or a stationary iron ladder leading thereto and easily accessible to all occupants of the dwelling. Every scuttle shall be located in the ceiling of the stair hall on the top story and access to the roof through the scuttle shall be direct and uninterrupted. It shall be unlawful to enclose in any manner the ladder or stair leading to a scuttle. </w:t>
      </w:r>
    </w:p>
    <w:p w14:paraId="313A264D" w14:textId="77777777" w:rsidR="001B7F77" w:rsidRPr="001B7F77" w:rsidRDefault="001B7F77" w:rsidP="00FD2721">
      <w:pPr>
        <w:numPr>
          <w:ilvl w:val="0"/>
          <w:numId w:val="49"/>
        </w:numPr>
        <w:pBdr>
          <w:top w:val="nil"/>
          <w:left w:val="nil"/>
          <w:bottom w:val="nil"/>
          <w:right w:val="nil"/>
          <w:between w:val="nil"/>
        </w:pBdr>
        <w:suppressAutoHyphens/>
        <w:spacing w:before="120"/>
        <w:ind w:left="1440"/>
        <w:jc w:val="left"/>
        <w:rPr>
          <w:rFonts w:eastAsia="Times"/>
          <w:szCs w:val="24"/>
          <w:u w:val="single"/>
        </w:rPr>
      </w:pPr>
      <w:r w:rsidRPr="001B7F77">
        <w:rPr>
          <w:rFonts w:eastAsia="Times"/>
          <w:b/>
          <w:bCs/>
          <w:color w:val="000000"/>
          <w:szCs w:val="24"/>
          <w:u w:val="single"/>
        </w:rPr>
        <w:t>Obstructions to roof access</w:t>
      </w:r>
      <w:r w:rsidRPr="001B7F77">
        <w:rPr>
          <w:rFonts w:eastAsia="Times"/>
          <w:color w:val="000000"/>
          <w:szCs w:val="24"/>
          <w:u w:val="single"/>
        </w:rPr>
        <w:t>. Every bulkhead door or scuttle shall not be self-locking and shall be fastened on the inside with movable bolts, hooks, or a lock which does not require a key to open from the inside of the dwelling.</w:t>
      </w:r>
    </w:p>
    <w:p w14:paraId="1EDC29A6" w14:textId="77777777" w:rsidR="001B7F77" w:rsidRPr="001B7F77" w:rsidRDefault="001B7F77" w:rsidP="00FD2721">
      <w:pPr>
        <w:numPr>
          <w:ilvl w:val="0"/>
          <w:numId w:val="49"/>
        </w:numPr>
        <w:pBdr>
          <w:top w:val="nil"/>
          <w:left w:val="nil"/>
          <w:bottom w:val="nil"/>
          <w:right w:val="nil"/>
          <w:between w:val="nil"/>
        </w:pBdr>
        <w:suppressAutoHyphens/>
        <w:spacing w:before="120"/>
        <w:ind w:left="1440"/>
        <w:jc w:val="left"/>
        <w:rPr>
          <w:rFonts w:eastAsia="Times"/>
          <w:szCs w:val="24"/>
          <w:u w:val="single"/>
        </w:rPr>
      </w:pPr>
      <w:r w:rsidRPr="001B7F77">
        <w:rPr>
          <w:rFonts w:eastAsia="Times"/>
          <w:b/>
          <w:bCs/>
          <w:color w:val="000000"/>
          <w:szCs w:val="24"/>
          <w:u w:val="single"/>
        </w:rPr>
        <w:t>Existing wood stairs</w:t>
      </w:r>
      <w:r w:rsidRPr="001B7F77">
        <w:rPr>
          <w:rFonts w:eastAsia="Times"/>
          <w:color w:val="000000"/>
          <w:szCs w:val="24"/>
          <w:u w:val="single"/>
        </w:rPr>
        <w:t>. Existing wood stairs shall be permitted to remain.</w:t>
      </w:r>
    </w:p>
    <w:p w14:paraId="7F367854" w14:textId="77777777" w:rsidR="001B7F77" w:rsidRPr="001B7F77" w:rsidRDefault="001B7F77" w:rsidP="00FD2721">
      <w:pPr>
        <w:numPr>
          <w:ilvl w:val="0"/>
          <w:numId w:val="49"/>
        </w:numPr>
        <w:pBdr>
          <w:top w:val="nil"/>
          <w:left w:val="nil"/>
          <w:bottom w:val="nil"/>
          <w:right w:val="nil"/>
          <w:between w:val="nil"/>
        </w:pBdr>
        <w:suppressAutoHyphens/>
        <w:spacing w:before="120"/>
        <w:ind w:left="1440"/>
        <w:jc w:val="left"/>
        <w:rPr>
          <w:rFonts w:eastAsia="Times"/>
          <w:szCs w:val="24"/>
          <w:u w:val="single"/>
        </w:rPr>
      </w:pPr>
      <w:r w:rsidRPr="001B7F77">
        <w:rPr>
          <w:rFonts w:eastAsia="Times"/>
          <w:b/>
          <w:bCs/>
          <w:color w:val="000000"/>
          <w:szCs w:val="24"/>
          <w:u w:val="single"/>
        </w:rPr>
        <w:t>Independently enclosed public hall.</w:t>
      </w:r>
      <w:r w:rsidRPr="001B7F77">
        <w:rPr>
          <w:rFonts w:eastAsia="Times"/>
          <w:color w:val="000000"/>
          <w:szCs w:val="24"/>
          <w:u w:val="single"/>
        </w:rPr>
        <w:t xml:space="preserve"> Existing stairs without an intervening public hall between the stair enclosure and the apartment entrance doors need not be provided.</w:t>
      </w:r>
    </w:p>
    <w:p w14:paraId="67B3231A" w14:textId="77777777" w:rsidR="001B7F77" w:rsidRPr="001B7F77" w:rsidRDefault="001B7F77" w:rsidP="00FD2721">
      <w:pPr>
        <w:numPr>
          <w:ilvl w:val="0"/>
          <w:numId w:val="49"/>
        </w:numPr>
        <w:pBdr>
          <w:top w:val="nil"/>
          <w:left w:val="nil"/>
          <w:bottom w:val="nil"/>
          <w:right w:val="nil"/>
          <w:between w:val="nil"/>
        </w:pBdr>
        <w:suppressAutoHyphens/>
        <w:spacing w:before="120"/>
        <w:ind w:left="1440"/>
        <w:jc w:val="left"/>
        <w:rPr>
          <w:rFonts w:eastAsia="Times"/>
          <w:szCs w:val="24"/>
          <w:u w:val="single"/>
        </w:rPr>
      </w:pPr>
      <w:r w:rsidRPr="001B7F77">
        <w:rPr>
          <w:rFonts w:eastAsia="Times"/>
          <w:b/>
          <w:bCs/>
          <w:color w:val="000000"/>
          <w:szCs w:val="24"/>
          <w:u w:val="single"/>
        </w:rPr>
        <w:t>Existing stair width.</w:t>
      </w:r>
      <w:r w:rsidRPr="001B7F77">
        <w:rPr>
          <w:rFonts w:eastAsia="Times"/>
          <w:color w:val="000000"/>
          <w:szCs w:val="24"/>
          <w:u w:val="single"/>
        </w:rPr>
        <w:t xml:space="preserve"> Existing stairs shall be at least 30 inches (762 mm) in clear width for buildings up to 3 stories above a basement and 36 inches (914 mm) for all other buildings. The entrance hall to the street shall be at least 32 inches (813 mm) in clear width. </w:t>
      </w:r>
    </w:p>
    <w:p w14:paraId="5E568E8F" w14:textId="77777777" w:rsidR="001B7F77" w:rsidRPr="001B7F77" w:rsidRDefault="001B7F77" w:rsidP="00FD2721">
      <w:pPr>
        <w:numPr>
          <w:ilvl w:val="0"/>
          <w:numId w:val="49"/>
        </w:numPr>
        <w:pBdr>
          <w:top w:val="nil"/>
          <w:left w:val="nil"/>
          <w:bottom w:val="nil"/>
          <w:right w:val="nil"/>
          <w:between w:val="nil"/>
        </w:pBdr>
        <w:suppressAutoHyphens/>
        <w:spacing w:before="120"/>
        <w:ind w:left="1440"/>
        <w:jc w:val="left"/>
        <w:rPr>
          <w:rFonts w:eastAsia="Times"/>
          <w:szCs w:val="24"/>
          <w:u w:val="single"/>
        </w:rPr>
      </w:pPr>
      <w:r w:rsidRPr="001B7F77">
        <w:rPr>
          <w:rFonts w:eastAsia="Times"/>
          <w:b/>
          <w:bCs/>
          <w:color w:val="000000"/>
          <w:szCs w:val="24"/>
          <w:u w:val="single"/>
        </w:rPr>
        <w:t>Wainscoting.</w:t>
      </w:r>
      <w:r w:rsidRPr="001B7F77">
        <w:rPr>
          <w:rFonts w:eastAsia="Times"/>
          <w:color w:val="000000"/>
          <w:szCs w:val="24"/>
          <w:u w:val="single"/>
        </w:rPr>
        <w:t xml:space="preserve"> Wood wainscoting shall be permitted to remain.</w:t>
      </w:r>
    </w:p>
    <w:p w14:paraId="39A7F64A" w14:textId="77777777" w:rsidR="001B7F77" w:rsidRPr="001B7F77" w:rsidRDefault="001B7F77" w:rsidP="00FD2721">
      <w:pPr>
        <w:pBdr>
          <w:top w:val="nil"/>
          <w:left w:val="nil"/>
          <w:bottom w:val="nil"/>
          <w:right w:val="nil"/>
          <w:between w:val="nil"/>
        </w:pBdr>
        <w:suppressAutoHyphens/>
        <w:spacing w:before="120"/>
        <w:ind w:left="720"/>
        <w:rPr>
          <w:rFonts w:eastAsia="Times"/>
          <w:szCs w:val="24"/>
          <w:u w:val="single"/>
        </w:rPr>
      </w:pPr>
      <w:r w:rsidRPr="001B7F77">
        <w:rPr>
          <w:rFonts w:eastAsia="Times"/>
          <w:b/>
          <w:bCs/>
          <w:color w:val="000000"/>
          <w:szCs w:val="24"/>
          <w:u w:val="single"/>
        </w:rPr>
        <w:t>D604.5.2 Second means of egress.</w:t>
      </w:r>
      <w:r w:rsidRPr="001B7F77">
        <w:rPr>
          <w:rFonts w:eastAsia="Times"/>
          <w:color w:val="000000"/>
          <w:szCs w:val="24"/>
          <w:u w:val="single"/>
        </w:rPr>
        <w:t xml:space="preserve"> A second means of egress shall be directly accessible from within each dwelling unit and shall be either a system of outside fire-escapes, constructed and arranged as provided in Section D306.3, a fire-stair, or a fire-tower. Where such second means of egress discharges into a rear yard of less than 30 feet (9144 mm), compliance with Section D303.6.12 shall be required.</w:t>
      </w:r>
    </w:p>
    <w:p w14:paraId="7BA055C3" w14:textId="77777777" w:rsidR="001B7F77" w:rsidRPr="001B7F77" w:rsidRDefault="001B7F77" w:rsidP="00FD2721">
      <w:pPr>
        <w:pBdr>
          <w:top w:val="nil"/>
          <w:left w:val="nil"/>
          <w:bottom w:val="nil"/>
          <w:right w:val="nil"/>
          <w:between w:val="nil"/>
        </w:pBdr>
        <w:suppressAutoHyphens/>
        <w:spacing w:before="120"/>
        <w:ind w:left="360"/>
        <w:rPr>
          <w:szCs w:val="24"/>
          <w:u w:val="single"/>
        </w:rPr>
      </w:pPr>
      <w:r w:rsidRPr="001B7F77">
        <w:rPr>
          <w:rFonts w:eastAsia="Times"/>
          <w:b/>
          <w:color w:val="000000"/>
          <w:szCs w:val="24"/>
          <w:u w:val="single"/>
        </w:rPr>
        <w:t>D604.6 Dwelling unit doors.</w:t>
      </w:r>
      <w:r w:rsidRPr="001B7F77">
        <w:rPr>
          <w:rFonts w:eastAsia="Times"/>
          <w:color w:val="000000"/>
          <w:szCs w:val="24"/>
          <w:u w:val="single"/>
        </w:rPr>
        <w:t xml:space="preserve"> The dwelling unit entrance doors and door assemblies in public stair halls and public halls shall be provided with self-closing door assemblies with a minimum of a ¾-hour fire resistance rating. </w:t>
      </w:r>
    </w:p>
    <w:p w14:paraId="510714B9" w14:textId="77777777" w:rsidR="001B7F77" w:rsidRPr="001B7F77" w:rsidRDefault="001B7F77" w:rsidP="00FD2721">
      <w:pPr>
        <w:pBdr>
          <w:top w:val="nil"/>
          <w:left w:val="nil"/>
          <w:bottom w:val="nil"/>
          <w:right w:val="nil"/>
          <w:between w:val="nil"/>
        </w:pBdr>
        <w:suppressAutoHyphens/>
        <w:spacing w:before="120"/>
        <w:ind w:left="360"/>
        <w:rPr>
          <w:szCs w:val="24"/>
          <w:u w:val="single"/>
        </w:rPr>
      </w:pPr>
      <w:r w:rsidRPr="001B7F77">
        <w:rPr>
          <w:rFonts w:eastAsia="Times"/>
          <w:b/>
          <w:color w:val="000000"/>
          <w:szCs w:val="24"/>
          <w:u w:val="single"/>
        </w:rPr>
        <w:t>D604.7 Interior windows.</w:t>
      </w:r>
      <w:r w:rsidRPr="001B7F77">
        <w:rPr>
          <w:rFonts w:eastAsia="Times"/>
          <w:color w:val="000000"/>
          <w:szCs w:val="24"/>
          <w:u w:val="single"/>
        </w:rPr>
        <w:t xml:space="preserve"> All windows, transoms or other openings between dwelling units and the public hall or stair hall shall be sealed with 1-hour fire-resistance-rated assemblies.</w:t>
      </w:r>
    </w:p>
    <w:p w14:paraId="17B2D2DA" w14:textId="77777777" w:rsidR="001B7F77" w:rsidRPr="001B7F77" w:rsidRDefault="001B7F77" w:rsidP="00FD2721">
      <w:pPr>
        <w:pBdr>
          <w:top w:val="nil"/>
          <w:left w:val="nil"/>
          <w:bottom w:val="nil"/>
          <w:right w:val="nil"/>
          <w:between w:val="nil"/>
        </w:pBdr>
        <w:suppressAutoHyphens/>
        <w:spacing w:before="120"/>
        <w:ind w:left="360"/>
        <w:rPr>
          <w:szCs w:val="24"/>
          <w:u w:val="single"/>
        </w:rPr>
      </w:pPr>
      <w:r w:rsidRPr="001B7F77">
        <w:rPr>
          <w:rFonts w:eastAsia="Times"/>
          <w:b/>
          <w:color w:val="000000"/>
          <w:szCs w:val="24"/>
          <w:u w:val="single"/>
        </w:rPr>
        <w:t>D604.8 Fire rating of public hall and fire retarding of stairs.</w:t>
      </w:r>
      <w:r w:rsidRPr="001B7F77">
        <w:rPr>
          <w:rFonts w:eastAsia="Times"/>
          <w:color w:val="000000"/>
          <w:szCs w:val="24"/>
          <w:u w:val="single"/>
        </w:rPr>
        <w:t xml:space="preserve"> The public hall and stair partitions shall be constructed as 1-hour fire barriers and the soffit of the stairs, if combustible, shall be fire retarded in accordance with Section E402 of Appendix E. </w:t>
      </w:r>
    </w:p>
    <w:p w14:paraId="424FC046" w14:textId="77777777" w:rsidR="001B7F77" w:rsidRPr="001B7F77" w:rsidRDefault="001B7F77" w:rsidP="00FD2721">
      <w:pPr>
        <w:pBdr>
          <w:top w:val="nil"/>
          <w:left w:val="nil"/>
          <w:bottom w:val="nil"/>
          <w:right w:val="nil"/>
          <w:between w:val="nil"/>
        </w:pBdr>
        <w:suppressAutoHyphens/>
        <w:spacing w:before="120"/>
        <w:ind w:left="360"/>
        <w:rPr>
          <w:szCs w:val="24"/>
          <w:u w:val="single"/>
        </w:rPr>
      </w:pPr>
      <w:r w:rsidRPr="001B7F77">
        <w:rPr>
          <w:rFonts w:eastAsia="Times"/>
          <w:b/>
          <w:color w:val="000000"/>
          <w:szCs w:val="24"/>
          <w:u w:val="single"/>
        </w:rPr>
        <w:t>D604.9 Fire retarding of ceilings.</w:t>
      </w:r>
      <w:r w:rsidRPr="001B7F77">
        <w:rPr>
          <w:rFonts w:eastAsia="Times"/>
          <w:color w:val="000000"/>
          <w:szCs w:val="24"/>
          <w:u w:val="single"/>
        </w:rPr>
        <w:t xml:space="preserve"> The ceiling of the cellar, the ceiling of any dwelling unit located below a different dwelling unit or below a public hall or stair and the ceiling of a commercial space shall be constructed as horizontal assemblies with a fire-resistance rating of not less than 1 hour.</w:t>
      </w:r>
      <w:r w:rsidRPr="001B7F77">
        <w:rPr>
          <w:szCs w:val="24"/>
          <w:u w:val="single"/>
        </w:rPr>
        <w:t xml:space="preserve"> </w:t>
      </w:r>
    </w:p>
    <w:p w14:paraId="0890176C" w14:textId="77777777" w:rsidR="001B7F77" w:rsidRPr="001B7F77" w:rsidRDefault="001B7F77" w:rsidP="00FD2721">
      <w:pPr>
        <w:pBdr>
          <w:top w:val="nil"/>
          <w:left w:val="nil"/>
          <w:bottom w:val="nil"/>
          <w:right w:val="nil"/>
          <w:between w:val="nil"/>
        </w:pBdr>
        <w:suppressAutoHyphens/>
        <w:spacing w:before="120"/>
        <w:ind w:left="360"/>
        <w:rPr>
          <w:szCs w:val="24"/>
          <w:u w:val="single"/>
        </w:rPr>
      </w:pPr>
      <w:r w:rsidRPr="001B7F77">
        <w:rPr>
          <w:rFonts w:eastAsia="Times"/>
          <w:b/>
          <w:color w:val="000000"/>
          <w:szCs w:val="24"/>
          <w:u w:val="single"/>
        </w:rPr>
        <w:t xml:space="preserve">D604.10 Separation of dwelling units. </w:t>
      </w:r>
      <w:r w:rsidRPr="001B7F77">
        <w:rPr>
          <w:rFonts w:eastAsia="Times"/>
          <w:bCs/>
          <w:color w:val="000000"/>
          <w:szCs w:val="24"/>
          <w:u w:val="single"/>
        </w:rPr>
        <w:t xml:space="preserve">Dwelling units shall be separated by assemblies meeting a </w:t>
      </w:r>
      <w:r w:rsidRPr="001B7F77">
        <w:rPr>
          <w:rFonts w:eastAsia="Times"/>
          <w:color w:val="000000"/>
          <w:szCs w:val="24"/>
          <w:u w:val="single"/>
        </w:rPr>
        <w:t>fire-resistance rating of not less than 1 hour.</w:t>
      </w:r>
      <w:r w:rsidRPr="001B7F77">
        <w:rPr>
          <w:szCs w:val="24"/>
          <w:u w:val="single"/>
        </w:rPr>
        <w:t xml:space="preserve"> </w:t>
      </w:r>
    </w:p>
    <w:bookmarkEnd w:id="252"/>
    <w:p w14:paraId="1ADF437B" w14:textId="77777777" w:rsidR="001B7F77" w:rsidRPr="001B7F77" w:rsidRDefault="001B7F77" w:rsidP="00FD2721">
      <w:pPr>
        <w:pBdr>
          <w:top w:val="nil"/>
          <w:left w:val="nil"/>
          <w:bottom w:val="nil"/>
          <w:right w:val="nil"/>
          <w:between w:val="nil"/>
        </w:pBdr>
        <w:suppressAutoHyphens/>
        <w:spacing w:before="120"/>
        <w:ind w:left="720" w:hanging="360"/>
        <w:rPr>
          <w:szCs w:val="24"/>
          <w:u w:val="single"/>
        </w:rPr>
      </w:pPr>
      <w:r w:rsidRPr="001B7F77">
        <w:rPr>
          <w:rFonts w:eastAsia="Times"/>
          <w:b/>
          <w:color w:val="000000"/>
          <w:szCs w:val="24"/>
          <w:u w:val="single"/>
        </w:rPr>
        <w:t>D604.11</w:t>
      </w:r>
      <w:r w:rsidRPr="001B7F77">
        <w:rPr>
          <w:rFonts w:eastAsia="Times"/>
          <w:b/>
          <w:color w:val="000000"/>
          <w:szCs w:val="24"/>
          <w:u w:val="single"/>
        </w:rPr>
        <w:tab/>
        <w:t>Living room size.</w:t>
      </w:r>
      <w:r w:rsidRPr="001B7F77">
        <w:rPr>
          <w:rFonts w:eastAsia="Times"/>
          <w:color w:val="000000"/>
          <w:szCs w:val="24"/>
          <w:u w:val="single"/>
        </w:rPr>
        <w:t xml:space="preserve"> Every living room: </w:t>
      </w:r>
    </w:p>
    <w:p w14:paraId="022C96D6" w14:textId="77777777" w:rsidR="001B7F77" w:rsidRPr="001B7F77" w:rsidRDefault="001B7F77" w:rsidP="00FD2721">
      <w:pPr>
        <w:pBdr>
          <w:top w:val="nil"/>
          <w:left w:val="nil"/>
          <w:bottom w:val="nil"/>
          <w:right w:val="nil"/>
          <w:between w:val="nil"/>
        </w:pBdr>
        <w:suppressAutoHyphens/>
        <w:spacing w:before="120"/>
        <w:ind w:left="1080" w:hanging="360"/>
        <w:rPr>
          <w:rFonts w:eastAsia="Times"/>
          <w:szCs w:val="24"/>
          <w:u w:val="single"/>
        </w:rPr>
      </w:pPr>
      <w:r w:rsidRPr="001B7F77">
        <w:rPr>
          <w:rFonts w:eastAsia="Times"/>
          <w:b/>
          <w:bCs/>
          <w:color w:val="000000"/>
          <w:szCs w:val="24"/>
          <w:u w:val="single"/>
        </w:rPr>
        <w:t>1.</w:t>
      </w:r>
      <w:r w:rsidRPr="001B7F77">
        <w:rPr>
          <w:rFonts w:eastAsia="Times"/>
          <w:color w:val="000000"/>
          <w:szCs w:val="24"/>
          <w:u w:val="single"/>
        </w:rPr>
        <w:tab/>
        <w:t>Shall contain 550 cubic feet (16 m</w:t>
      </w:r>
      <w:r w:rsidRPr="001B7F77">
        <w:rPr>
          <w:rFonts w:eastAsia="Times"/>
          <w:color w:val="000000"/>
          <w:szCs w:val="24"/>
          <w:u w:val="single"/>
          <w:vertAlign w:val="superscript"/>
        </w:rPr>
        <w:t>3</w:t>
      </w:r>
      <w:r w:rsidRPr="001B7F77">
        <w:rPr>
          <w:rFonts w:eastAsia="Times"/>
          <w:color w:val="000000"/>
          <w:szCs w:val="24"/>
          <w:u w:val="single"/>
        </w:rPr>
        <w:t xml:space="preserve">) or more of air; </w:t>
      </w:r>
    </w:p>
    <w:p w14:paraId="03A3385B" w14:textId="77777777" w:rsidR="001B7F77" w:rsidRPr="001B7F77" w:rsidRDefault="001B7F77" w:rsidP="00FD2721">
      <w:pPr>
        <w:pBdr>
          <w:top w:val="nil"/>
          <w:left w:val="nil"/>
          <w:bottom w:val="nil"/>
          <w:right w:val="nil"/>
          <w:between w:val="nil"/>
        </w:pBdr>
        <w:suppressAutoHyphens/>
        <w:spacing w:before="120"/>
        <w:ind w:left="1080" w:hanging="360"/>
        <w:rPr>
          <w:rFonts w:eastAsia="Times"/>
          <w:szCs w:val="24"/>
          <w:u w:val="single"/>
        </w:rPr>
      </w:pPr>
      <w:r w:rsidRPr="001B7F77">
        <w:rPr>
          <w:rFonts w:eastAsia="Times"/>
          <w:b/>
          <w:bCs/>
          <w:color w:val="000000"/>
          <w:szCs w:val="24"/>
          <w:u w:val="single"/>
        </w:rPr>
        <w:t>2.</w:t>
      </w:r>
      <w:r w:rsidRPr="001B7F77">
        <w:rPr>
          <w:rFonts w:eastAsia="Times"/>
          <w:color w:val="000000"/>
          <w:szCs w:val="24"/>
          <w:u w:val="single"/>
        </w:rPr>
        <w:tab/>
        <w:t xml:space="preserve">Shall be at least 6 feet (1 829 mm) wide at its narrowest part; </w:t>
      </w:r>
    </w:p>
    <w:p w14:paraId="27B5BFC6" w14:textId="77777777" w:rsidR="001B7F77" w:rsidRPr="001B7F77" w:rsidRDefault="001B7F77" w:rsidP="00FD2721">
      <w:pPr>
        <w:pBdr>
          <w:top w:val="nil"/>
          <w:left w:val="nil"/>
          <w:bottom w:val="nil"/>
          <w:right w:val="nil"/>
          <w:between w:val="nil"/>
        </w:pBdr>
        <w:suppressAutoHyphens/>
        <w:spacing w:before="120"/>
        <w:ind w:left="1080" w:hanging="360"/>
        <w:rPr>
          <w:rFonts w:eastAsia="Times"/>
          <w:szCs w:val="24"/>
          <w:u w:val="single"/>
        </w:rPr>
      </w:pPr>
      <w:r w:rsidRPr="001B7F77">
        <w:rPr>
          <w:rFonts w:eastAsia="Times"/>
          <w:b/>
          <w:bCs/>
          <w:color w:val="000000"/>
          <w:szCs w:val="24"/>
          <w:u w:val="single"/>
        </w:rPr>
        <w:t>3.</w:t>
      </w:r>
      <w:r w:rsidRPr="001B7F77">
        <w:rPr>
          <w:rFonts w:eastAsia="Times"/>
          <w:color w:val="000000"/>
          <w:szCs w:val="24"/>
          <w:u w:val="single"/>
        </w:rPr>
        <w:tab/>
        <w:t xml:space="preserve">Shall have a minimum height of 7 feet (2134 mm) if such room is in the basement, of 7 feet (2134 mm) at all points more than 6 feet (1829 mm) from the front of such room if it is on the top story, and of 8 feet (2438 mm) if on any other story. </w:t>
      </w:r>
    </w:p>
    <w:p w14:paraId="028AC8B2" w14:textId="77777777" w:rsidR="001B7F77" w:rsidRPr="001B7F77" w:rsidRDefault="001B7F77" w:rsidP="00FD2721">
      <w:pPr>
        <w:pBdr>
          <w:top w:val="nil"/>
          <w:left w:val="nil"/>
          <w:bottom w:val="nil"/>
          <w:right w:val="nil"/>
          <w:between w:val="nil"/>
        </w:pBdr>
        <w:suppressAutoHyphens/>
        <w:spacing w:before="120"/>
        <w:ind w:left="360"/>
        <w:rPr>
          <w:szCs w:val="24"/>
          <w:u w:val="single"/>
        </w:rPr>
      </w:pPr>
      <w:r w:rsidRPr="001B7F77">
        <w:rPr>
          <w:rFonts w:eastAsia="Times"/>
          <w:b/>
          <w:color w:val="000000"/>
          <w:szCs w:val="24"/>
          <w:u w:val="single"/>
        </w:rPr>
        <w:t>D604.12</w:t>
      </w:r>
      <w:r w:rsidRPr="001B7F77">
        <w:rPr>
          <w:rFonts w:eastAsia="Times"/>
          <w:b/>
          <w:color w:val="000000"/>
          <w:szCs w:val="24"/>
          <w:u w:val="single"/>
        </w:rPr>
        <w:tab/>
        <w:t>Natural light and ventilation.</w:t>
      </w:r>
      <w:r w:rsidRPr="001B7F77">
        <w:rPr>
          <w:rFonts w:eastAsia="Times"/>
          <w:color w:val="000000"/>
          <w:szCs w:val="24"/>
          <w:u w:val="single"/>
        </w:rPr>
        <w:t xml:space="preserve"> The natural light and ventilation shall comply with the following:</w:t>
      </w:r>
    </w:p>
    <w:p w14:paraId="2141FA9E" w14:textId="77777777" w:rsidR="001B7F77" w:rsidRPr="001B7F77" w:rsidRDefault="001B7F77" w:rsidP="00FD2721">
      <w:pPr>
        <w:pBdr>
          <w:top w:val="nil"/>
          <w:left w:val="nil"/>
          <w:bottom w:val="nil"/>
          <w:right w:val="nil"/>
          <w:between w:val="nil"/>
        </w:pBdr>
        <w:suppressAutoHyphens/>
        <w:spacing w:before="120"/>
        <w:ind w:left="1080" w:hanging="360"/>
        <w:rPr>
          <w:rFonts w:eastAsia="Times"/>
          <w:szCs w:val="24"/>
          <w:u w:val="single"/>
        </w:rPr>
      </w:pPr>
      <w:r w:rsidRPr="001B7F77">
        <w:rPr>
          <w:rFonts w:eastAsia="Times"/>
          <w:color w:val="000000"/>
          <w:szCs w:val="24"/>
          <w:u w:val="single"/>
        </w:rPr>
        <w:t>1.</w:t>
      </w:r>
      <w:r w:rsidRPr="001B7F77">
        <w:rPr>
          <w:rFonts w:eastAsia="Times"/>
          <w:color w:val="000000"/>
          <w:szCs w:val="24"/>
          <w:u w:val="single"/>
        </w:rPr>
        <w:tab/>
        <w:t xml:space="preserve">Every alcove, except a kitchenette or foyer, shall be deemed a living room and shall open into an immediately adjoining living room which opens directly on a yard or street. Such an alcove shall be separately lighted and ventilated, and of such size as provided for other living rooms, unless it has an opening </w:t>
      </w:r>
      <w:r w:rsidRPr="001B7F77">
        <w:rPr>
          <w:rFonts w:eastAsia="Times"/>
          <w:szCs w:val="24"/>
          <w:u w:val="single"/>
        </w:rPr>
        <w:t>between the alcove and the room or space at least 80 percent of the area of the common wall and the floor area of the alcove does not exceed twice the area of the opening</w:t>
      </w:r>
      <w:r w:rsidRPr="001B7F77">
        <w:rPr>
          <w:rFonts w:eastAsia="Times"/>
          <w:color w:val="000000"/>
          <w:szCs w:val="24"/>
          <w:u w:val="single"/>
        </w:rPr>
        <w:t>.</w:t>
      </w:r>
    </w:p>
    <w:p w14:paraId="7B384618" w14:textId="77777777" w:rsidR="001B7F77" w:rsidRPr="001B7F77" w:rsidRDefault="001B7F77" w:rsidP="00FD2721">
      <w:pPr>
        <w:pBdr>
          <w:top w:val="nil"/>
          <w:left w:val="nil"/>
          <w:bottom w:val="nil"/>
          <w:right w:val="nil"/>
          <w:between w:val="nil"/>
        </w:pBdr>
        <w:suppressAutoHyphens/>
        <w:spacing w:before="120"/>
        <w:ind w:left="1080" w:hanging="360"/>
        <w:rPr>
          <w:rFonts w:eastAsia="Times"/>
          <w:szCs w:val="24"/>
          <w:u w:val="single"/>
        </w:rPr>
      </w:pPr>
      <w:r w:rsidRPr="001B7F77">
        <w:rPr>
          <w:rFonts w:eastAsia="Times"/>
          <w:color w:val="000000"/>
          <w:szCs w:val="24"/>
          <w:u w:val="single"/>
        </w:rPr>
        <w:t>2.</w:t>
      </w:r>
      <w:r w:rsidRPr="001B7F77">
        <w:rPr>
          <w:rFonts w:eastAsia="Times"/>
          <w:color w:val="000000"/>
          <w:szCs w:val="24"/>
          <w:u w:val="single"/>
        </w:rPr>
        <w:tab/>
        <w:t>Any room on a top story shall be permitted to be lighted and ventilated by a skylight of the dimensions specified for windows and arranged to provide ventilating openings of 6 square feet (0.5 m</w:t>
      </w:r>
      <w:r w:rsidRPr="001B7F77">
        <w:rPr>
          <w:rFonts w:eastAsia="Times"/>
          <w:color w:val="000000"/>
          <w:szCs w:val="24"/>
          <w:u w:val="single"/>
          <w:vertAlign w:val="superscript"/>
        </w:rPr>
        <w:t>2</w:t>
      </w:r>
      <w:r w:rsidRPr="001B7F77">
        <w:rPr>
          <w:rFonts w:eastAsia="Times"/>
          <w:color w:val="000000"/>
          <w:szCs w:val="24"/>
          <w:u w:val="single"/>
        </w:rPr>
        <w:t>) or more. Such a skylight shall be accepted in lieu of a window.</w:t>
      </w:r>
    </w:p>
    <w:p w14:paraId="38E5F2E1" w14:textId="77777777" w:rsidR="001B7F77" w:rsidRPr="001B7F77" w:rsidRDefault="001B7F77" w:rsidP="00FD2721">
      <w:pPr>
        <w:pBdr>
          <w:top w:val="nil"/>
          <w:left w:val="nil"/>
          <w:bottom w:val="nil"/>
          <w:right w:val="nil"/>
          <w:between w:val="nil"/>
        </w:pBdr>
        <w:suppressAutoHyphens/>
        <w:spacing w:before="120"/>
        <w:ind w:left="360"/>
        <w:rPr>
          <w:szCs w:val="24"/>
          <w:u w:val="single"/>
        </w:rPr>
      </w:pPr>
      <w:r w:rsidRPr="001B7F77">
        <w:rPr>
          <w:rFonts w:eastAsia="Times"/>
          <w:b/>
          <w:color w:val="000000"/>
          <w:szCs w:val="24"/>
          <w:u w:val="single"/>
        </w:rPr>
        <w:t xml:space="preserve">D604.13 Cellar entrance. </w:t>
      </w:r>
      <w:r w:rsidRPr="001B7F77">
        <w:rPr>
          <w:rFonts w:eastAsia="Times"/>
          <w:color w:val="000000"/>
          <w:szCs w:val="24"/>
          <w:u w:val="single"/>
        </w:rPr>
        <w:t>If there is a cellar, there shall be an independent entrance thereto from outside the dwelling by means of a metal fire ladder or fireproof stair leading to an opening in the outside cellar wall at least 30 inches (762 mm) in width and 6 feet (1829 mm) in height. Such entrance to the cellar shall be permitted to be through an areaway or through a fireproof passageway leading directly to the street. The entrance to the cellar may be closed off with a grating or doors which shall not be locked or bolted unless they can be readily unbolted or unlocked from the inside without a key and shall be arranged and constructed so as to be readily opened at all times. Such cellar entrance shall not be used to satisfy a required means of egress unless it also meets the standards required for such egress.</w:t>
      </w:r>
    </w:p>
    <w:p w14:paraId="68A37009" w14:textId="77777777" w:rsidR="001B7F77" w:rsidRPr="001B7F77" w:rsidRDefault="001B7F77" w:rsidP="00FD2721">
      <w:pPr>
        <w:pBdr>
          <w:top w:val="nil"/>
          <w:left w:val="nil"/>
          <w:bottom w:val="nil"/>
          <w:right w:val="nil"/>
          <w:between w:val="nil"/>
        </w:pBdr>
        <w:suppressAutoHyphens/>
        <w:spacing w:before="120"/>
        <w:ind w:left="360"/>
        <w:rPr>
          <w:rFonts w:eastAsia="Times"/>
          <w:color w:val="000000"/>
          <w:szCs w:val="24"/>
          <w:u w:val="single"/>
        </w:rPr>
      </w:pPr>
      <w:r w:rsidRPr="001B7F77">
        <w:rPr>
          <w:rFonts w:eastAsia="Times"/>
          <w:b/>
          <w:color w:val="000000"/>
          <w:szCs w:val="24"/>
          <w:u w:val="single"/>
        </w:rPr>
        <w:t xml:space="preserve">D604.14 Sprinklers. </w:t>
      </w:r>
      <w:r w:rsidRPr="001B7F77">
        <w:rPr>
          <w:rFonts w:eastAsia="Times"/>
          <w:color w:val="000000"/>
          <w:szCs w:val="24"/>
          <w:u w:val="single"/>
        </w:rPr>
        <w:t xml:space="preserve">Sprinklers shall be provided throughout the building in accordance with Section 903 of the </w:t>
      </w:r>
      <w:r w:rsidRPr="001B7F77">
        <w:rPr>
          <w:rFonts w:eastAsia="Times"/>
          <w:i/>
          <w:iCs/>
          <w:color w:val="000000"/>
          <w:szCs w:val="24"/>
          <w:u w:val="single"/>
        </w:rPr>
        <w:t>New York City Building Code</w:t>
      </w:r>
      <w:r w:rsidRPr="001B7F77">
        <w:rPr>
          <w:rFonts w:eastAsia="Times"/>
          <w:color w:val="000000"/>
          <w:szCs w:val="24"/>
          <w:u w:val="single"/>
        </w:rPr>
        <w:t>.</w:t>
      </w:r>
    </w:p>
    <w:p w14:paraId="610E025A" w14:textId="77777777" w:rsidR="001B7F77" w:rsidRPr="001B7F77" w:rsidRDefault="001B7F77" w:rsidP="00FD2721">
      <w:pPr>
        <w:pBdr>
          <w:top w:val="nil"/>
          <w:left w:val="nil"/>
          <w:bottom w:val="nil"/>
          <w:right w:val="nil"/>
          <w:between w:val="nil"/>
        </w:pBdr>
        <w:suppressAutoHyphens/>
        <w:spacing w:before="120"/>
        <w:ind w:left="360"/>
        <w:rPr>
          <w:rFonts w:eastAsia="Times"/>
          <w:szCs w:val="24"/>
          <w:u w:val="single"/>
        </w:rPr>
      </w:pPr>
      <w:r w:rsidRPr="001B7F77">
        <w:rPr>
          <w:rFonts w:eastAsia="Times"/>
          <w:b/>
          <w:bCs/>
          <w:szCs w:val="24"/>
          <w:u w:val="single"/>
        </w:rPr>
        <w:t>D604.15 Elevator.</w:t>
      </w:r>
      <w:r w:rsidRPr="001B7F77">
        <w:rPr>
          <w:rFonts w:eastAsia="Times"/>
          <w:szCs w:val="24"/>
          <w:u w:val="single"/>
        </w:rPr>
        <w:t xml:space="preserve"> The building shall be required to provide an elevator where required by Section D306.1.</w:t>
      </w:r>
    </w:p>
    <w:p w14:paraId="717D24EA" w14:textId="77777777" w:rsidR="001B7F77" w:rsidRPr="001B7F77" w:rsidRDefault="001B7F77" w:rsidP="00FD2721">
      <w:pPr>
        <w:pBdr>
          <w:top w:val="nil"/>
          <w:left w:val="nil"/>
          <w:bottom w:val="nil"/>
          <w:right w:val="nil"/>
          <w:between w:val="nil"/>
        </w:pBdr>
        <w:suppressAutoHyphens/>
        <w:spacing w:before="120"/>
        <w:rPr>
          <w:rFonts w:eastAsia="Times"/>
          <w:b/>
          <w:color w:val="000000"/>
          <w:szCs w:val="24"/>
          <w:u w:val="single"/>
        </w:rPr>
      </w:pPr>
      <w:r w:rsidRPr="001B7F77">
        <w:rPr>
          <w:rFonts w:eastAsia="Times"/>
          <w:b/>
          <w:color w:val="000000"/>
          <w:szCs w:val="24"/>
          <w:u w:val="single"/>
        </w:rPr>
        <w:t>D605 Rooms in basements and cellars.</w:t>
      </w:r>
    </w:p>
    <w:p w14:paraId="68FE0643" w14:textId="77777777" w:rsidR="001B7F77" w:rsidRPr="001B7F77" w:rsidRDefault="001B7F77" w:rsidP="00FD2721">
      <w:pPr>
        <w:pBdr>
          <w:top w:val="nil"/>
          <w:left w:val="nil"/>
          <w:bottom w:val="nil"/>
          <w:right w:val="nil"/>
          <w:between w:val="nil"/>
        </w:pBdr>
        <w:suppressAutoHyphens/>
        <w:spacing w:before="120"/>
        <w:ind w:left="360"/>
        <w:rPr>
          <w:rFonts w:eastAsia="Times"/>
          <w:color w:val="000000"/>
          <w:szCs w:val="24"/>
          <w:u w:val="single"/>
        </w:rPr>
      </w:pPr>
      <w:r w:rsidRPr="001B7F77">
        <w:rPr>
          <w:rFonts w:eastAsia="Times"/>
          <w:b/>
          <w:color w:val="000000"/>
          <w:szCs w:val="24"/>
          <w:u w:val="single"/>
        </w:rPr>
        <w:t>D605.1 New rooms in basements or cellars (MDL 34(6), 177(1)).</w:t>
      </w:r>
      <w:r w:rsidRPr="001B7F77">
        <w:rPr>
          <w:rFonts w:eastAsia="Times"/>
          <w:color w:val="000000"/>
          <w:szCs w:val="24"/>
          <w:u w:val="single"/>
        </w:rPr>
        <w:t xml:space="preserve"> Rooms created after </w:t>
      </w:r>
      <w:r w:rsidRPr="001B7F77">
        <w:rPr>
          <w:rFonts w:eastAsia="Times"/>
          <w:szCs w:val="24"/>
          <w:u w:val="single"/>
        </w:rPr>
        <w:t>the effective date of the local law that added this section</w:t>
      </w:r>
      <w:r w:rsidRPr="001B7F77">
        <w:rPr>
          <w:rFonts w:eastAsia="Times"/>
          <w:color w:val="000000"/>
          <w:szCs w:val="24"/>
          <w:u w:val="single"/>
        </w:rPr>
        <w:t xml:space="preserve"> in basements and cellars within dwelling units in converted dwellings shall comply with the requirements of Section D305.4.1.</w:t>
      </w:r>
    </w:p>
    <w:p w14:paraId="74432FD9" w14:textId="77777777" w:rsidR="001B7F77" w:rsidRPr="001B7F77" w:rsidRDefault="001B7F77" w:rsidP="00FD2721">
      <w:pPr>
        <w:pBdr>
          <w:top w:val="nil"/>
          <w:left w:val="nil"/>
          <w:bottom w:val="nil"/>
          <w:right w:val="nil"/>
          <w:between w:val="nil"/>
        </w:pBdr>
        <w:suppressAutoHyphens/>
        <w:spacing w:before="120"/>
        <w:ind w:left="360"/>
        <w:rPr>
          <w:rFonts w:eastAsia="Times"/>
          <w:color w:val="000000"/>
          <w:u w:val="single"/>
        </w:rPr>
      </w:pPr>
      <w:r w:rsidRPr="001B7F77">
        <w:rPr>
          <w:rFonts w:eastAsia="Times"/>
          <w:b/>
          <w:color w:val="000000"/>
          <w:szCs w:val="24"/>
          <w:u w:val="single"/>
        </w:rPr>
        <w:t>D605.2 Existing rooms in basements and cellars (MDL 34(6), 177(5)).</w:t>
      </w:r>
      <w:r w:rsidRPr="001B7F77">
        <w:rPr>
          <w:rFonts w:eastAsia="Times"/>
          <w:color w:val="000000"/>
          <w:szCs w:val="24"/>
          <w:u w:val="single"/>
        </w:rPr>
        <w:t xml:space="preserve"> For the purposes of establishing the lawful conditions of existing rooms in basements or cellars within dwelling units in converted dwellings, refer to Section D305</w:t>
      </w:r>
      <w:r w:rsidRPr="001B7F77">
        <w:rPr>
          <w:rFonts w:eastAsia="Times"/>
          <w:color w:val="000000"/>
          <w:u w:val="single"/>
        </w:rPr>
        <w:t>.4.1 or Sections 177(1) to (4) of the MDL.</w:t>
      </w:r>
    </w:p>
    <w:p w14:paraId="508F8D2B" w14:textId="77777777" w:rsidR="001B7F77" w:rsidRPr="001B7F77" w:rsidRDefault="001B7F77" w:rsidP="00FD2721">
      <w:pPr>
        <w:pBdr>
          <w:top w:val="nil"/>
          <w:left w:val="nil"/>
          <w:bottom w:val="nil"/>
          <w:right w:val="nil"/>
          <w:between w:val="nil"/>
        </w:pBdr>
        <w:suppressAutoHyphens/>
        <w:spacing w:before="120"/>
        <w:jc w:val="center"/>
        <w:rPr>
          <w:rFonts w:eastAsia="Times"/>
          <w:b/>
          <w:color w:val="000000"/>
          <w:u w:val="single"/>
        </w:rPr>
      </w:pPr>
    </w:p>
    <w:p w14:paraId="2E2795D8" w14:textId="77777777" w:rsidR="001B7F77" w:rsidRPr="001B7F77" w:rsidRDefault="001B7F77" w:rsidP="00FD2721">
      <w:pPr>
        <w:pBdr>
          <w:top w:val="nil"/>
          <w:left w:val="nil"/>
          <w:bottom w:val="nil"/>
          <w:right w:val="nil"/>
          <w:between w:val="nil"/>
        </w:pBdr>
        <w:suppressAutoHyphens/>
        <w:spacing w:before="120"/>
        <w:jc w:val="center"/>
        <w:rPr>
          <w:rFonts w:eastAsia="Times"/>
          <w:b/>
          <w:color w:val="000000"/>
          <w:u w:val="single"/>
        </w:rPr>
      </w:pPr>
      <w:r w:rsidRPr="001B7F77">
        <w:rPr>
          <w:rFonts w:eastAsia="Times"/>
          <w:b/>
          <w:color w:val="000000"/>
          <w:u w:val="single"/>
        </w:rPr>
        <w:t>CHAPTER D7</w:t>
      </w:r>
      <w:r w:rsidRPr="001B7F77">
        <w:rPr>
          <w:rFonts w:eastAsia="Times"/>
          <w:b/>
          <w:color w:val="000000"/>
          <w:u w:val="single"/>
        </w:rPr>
        <w:br/>
        <w:t xml:space="preserve">TENEMENTS </w:t>
      </w:r>
      <w:r w:rsidRPr="001B7F77">
        <w:rPr>
          <w:rFonts w:eastAsia="Times"/>
          <w:b/>
          <w:color w:val="000000"/>
          <w:u w:val="single"/>
        </w:rPr>
        <w:br/>
        <w:t>(MDL ARTICLE 7)</w:t>
      </w:r>
    </w:p>
    <w:p w14:paraId="3FAC5689" w14:textId="77777777" w:rsidR="001B7F77" w:rsidRPr="001B7F77" w:rsidRDefault="001B7F77" w:rsidP="00FD2721">
      <w:pPr>
        <w:pBdr>
          <w:top w:val="nil"/>
          <w:left w:val="nil"/>
          <w:bottom w:val="nil"/>
          <w:right w:val="nil"/>
          <w:between w:val="nil"/>
        </w:pBdr>
        <w:suppressAutoHyphens/>
        <w:spacing w:before="120"/>
        <w:rPr>
          <w:rFonts w:eastAsia="Times"/>
          <w:color w:val="000000"/>
          <w:u w:val="single"/>
        </w:rPr>
      </w:pPr>
      <w:r w:rsidRPr="001B7F77">
        <w:rPr>
          <w:rFonts w:eastAsia="Times"/>
          <w:b/>
          <w:color w:val="000000"/>
          <w:u w:val="single"/>
        </w:rPr>
        <w:t xml:space="preserve">D701 Applicability (MDL 210). </w:t>
      </w:r>
      <w:r w:rsidRPr="001B7F77">
        <w:rPr>
          <w:rFonts w:eastAsia="Times"/>
          <w:color w:val="000000"/>
          <w:u w:val="single"/>
        </w:rPr>
        <w:t>Alterations, additions, repairs, and changes of occupancy of a multiple dwelling classified as OL or NL shall comply with the provisions of this code and this Chapter D7. In addition to the provisions of this Chapter D7, the following enumerated articles and sections in MDL, to the extent required therein, apply to tenements. Where there is a conflict between the provisions of this Chapter D7 and the provisions of this code, the more restrictive shall apply.</w:t>
      </w:r>
    </w:p>
    <w:tbl>
      <w:tblPr>
        <w:tblStyle w:val="1"/>
        <w:tblW w:w="8208" w:type="dxa"/>
        <w:jc w:val="center"/>
        <w:tblBorders>
          <w:top w:val="single" w:sz="12" w:space="0" w:color="008000"/>
          <w:left w:val="single" w:sz="6" w:space="0" w:color="008000"/>
          <w:bottom w:val="single" w:sz="12" w:space="0" w:color="008000"/>
          <w:right w:val="single" w:sz="6" w:space="0" w:color="008000"/>
          <w:insideH w:val="single" w:sz="6" w:space="0" w:color="000000"/>
          <w:insideV w:val="single" w:sz="6" w:space="0" w:color="000000"/>
        </w:tblBorders>
        <w:tblLayout w:type="fixed"/>
        <w:tblLook w:val="0400" w:firstRow="0" w:lastRow="0" w:firstColumn="0" w:lastColumn="0" w:noHBand="0" w:noVBand="1"/>
      </w:tblPr>
      <w:tblGrid>
        <w:gridCol w:w="1540"/>
        <w:gridCol w:w="6668"/>
      </w:tblGrid>
      <w:tr w:rsidR="001B7F77" w:rsidRPr="001B7F77" w14:paraId="10661AA5" w14:textId="77777777" w:rsidTr="006655A1">
        <w:trPr>
          <w:jc w:val="center"/>
        </w:trPr>
        <w:tc>
          <w:tcPr>
            <w:tcW w:w="1540" w:type="dxa"/>
            <w:tcBorders>
              <w:top w:val="single" w:sz="12" w:space="0" w:color="008000"/>
              <w:left w:val="single" w:sz="6" w:space="0" w:color="008000"/>
              <w:bottom w:val="single" w:sz="12" w:space="0" w:color="008000"/>
              <w:right w:val="single" w:sz="6" w:space="0" w:color="008000"/>
            </w:tcBorders>
            <w:shd w:val="clear" w:color="auto" w:fill="auto"/>
          </w:tcPr>
          <w:p w14:paraId="5180A228" w14:textId="77777777" w:rsidR="001B7F77" w:rsidRPr="001B7F77" w:rsidRDefault="001B7F77" w:rsidP="00FD2721">
            <w:pPr>
              <w:pBdr>
                <w:top w:val="nil"/>
                <w:left w:val="nil"/>
                <w:bottom w:val="nil"/>
                <w:right w:val="nil"/>
                <w:between w:val="nil"/>
              </w:pBdr>
              <w:suppressAutoHyphens/>
              <w:spacing w:before="120"/>
              <w:rPr>
                <w:rFonts w:eastAsia="Times"/>
                <w:b/>
                <w:bCs/>
                <w:u w:val="single"/>
              </w:rPr>
            </w:pPr>
            <w:r w:rsidRPr="001B7F77">
              <w:rPr>
                <w:rFonts w:eastAsia="Times"/>
                <w:b/>
                <w:bCs/>
                <w:u w:val="single"/>
              </w:rPr>
              <w:t>ARTICLES:</w:t>
            </w:r>
          </w:p>
        </w:tc>
        <w:tc>
          <w:tcPr>
            <w:tcW w:w="6668" w:type="dxa"/>
            <w:tcBorders>
              <w:top w:val="single" w:sz="12" w:space="0" w:color="008000"/>
              <w:left w:val="single" w:sz="6" w:space="0" w:color="008000"/>
              <w:bottom w:val="single" w:sz="12" w:space="0" w:color="008000"/>
              <w:right w:val="single" w:sz="6" w:space="0" w:color="008000"/>
            </w:tcBorders>
            <w:shd w:val="clear" w:color="auto" w:fill="auto"/>
          </w:tcPr>
          <w:p w14:paraId="4ED9B0F2" w14:textId="77777777" w:rsidR="001B7F77" w:rsidRPr="001B7F77" w:rsidRDefault="001B7F77" w:rsidP="00FD2721">
            <w:pPr>
              <w:pBdr>
                <w:top w:val="nil"/>
                <w:left w:val="nil"/>
                <w:bottom w:val="nil"/>
                <w:right w:val="nil"/>
                <w:between w:val="nil"/>
              </w:pBdr>
              <w:suppressAutoHyphens/>
              <w:spacing w:before="120"/>
              <w:rPr>
                <w:rFonts w:eastAsia="Times"/>
                <w:u w:val="single"/>
              </w:rPr>
            </w:pPr>
            <w:r w:rsidRPr="001B7F77">
              <w:rPr>
                <w:rFonts w:eastAsia="Times"/>
                <w:u w:val="single"/>
              </w:rPr>
              <w:t>1. Introductory provisions: definitions</w:t>
            </w:r>
          </w:p>
        </w:tc>
      </w:tr>
      <w:tr w:rsidR="001B7F77" w:rsidRPr="001B7F77" w14:paraId="7C432B3E" w14:textId="77777777" w:rsidTr="006655A1">
        <w:trPr>
          <w:jc w:val="center"/>
        </w:trPr>
        <w:tc>
          <w:tcPr>
            <w:tcW w:w="1540" w:type="dxa"/>
            <w:shd w:val="clear" w:color="auto" w:fill="auto"/>
          </w:tcPr>
          <w:p w14:paraId="3818E08B" w14:textId="77777777" w:rsidR="001B7F77" w:rsidRPr="001B7F77" w:rsidRDefault="001B7F77" w:rsidP="00FD2721">
            <w:pPr>
              <w:pBdr>
                <w:top w:val="nil"/>
                <w:left w:val="nil"/>
                <w:bottom w:val="nil"/>
                <w:right w:val="nil"/>
                <w:between w:val="nil"/>
              </w:pBdr>
              <w:suppressAutoHyphens/>
              <w:spacing w:before="120"/>
              <w:rPr>
                <w:rFonts w:eastAsia="Times"/>
                <w:u w:val="single"/>
              </w:rPr>
            </w:pPr>
          </w:p>
        </w:tc>
        <w:tc>
          <w:tcPr>
            <w:tcW w:w="6668" w:type="dxa"/>
            <w:shd w:val="clear" w:color="auto" w:fill="auto"/>
          </w:tcPr>
          <w:p w14:paraId="2D6AFB9B" w14:textId="77777777" w:rsidR="001B7F77" w:rsidRPr="001B7F77" w:rsidRDefault="001B7F77" w:rsidP="00FD2721">
            <w:pPr>
              <w:pBdr>
                <w:top w:val="nil"/>
                <w:left w:val="nil"/>
                <w:bottom w:val="nil"/>
                <w:right w:val="nil"/>
                <w:between w:val="nil"/>
              </w:pBdr>
              <w:suppressAutoHyphens/>
              <w:spacing w:before="120"/>
              <w:rPr>
                <w:rFonts w:eastAsia="Times"/>
                <w:u w:val="single"/>
              </w:rPr>
            </w:pPr>
            <w:r w:rsidRPr="001B7F77">
              <w:rPr>
                <w:rFonts w:eastAsia="Times"/>
                <w:u w:val="single"/>
              </w:rPr>
              <w:t>2. Miscellaneous application</w:t>
            </w:r>
          </w:p>
        </w:tc>
      </w:tr>
      <w:tr w:rsidR="001B7F77" w:rsidRPr="001B7F77" w14:paraId="54302A88" w14:textId="77777777" w:rsidTr="006655A1">
        <w:trPr>
          <w:jc w:val="center"/>
        </w:trPr>
        <w:tc>
          <w:tcPr>
            <w:tcW w:w="1540" w:type="dxa"/>
            <w:shd w:val="clear" w:color="auto" w:fill="auto"/>
          </w:tcPr>
          <w:p w14:paraId="37DEE3BB" w14:textId="77777777" w:rsidR="001B7F77" w:rsidRPr="001B7F77" w:rsidRDefault="001B7F77" w:rsidP="00FD2721">
            <w:pPr>
              <w:pBdr>
                <w:top w:val="nil"/>
                <w:left w:val="nil"/>
                <w:bottom w:val="nil"/>
                <w:right w:val="nil"/>
                <w:between w:val="nil"/>
              </w:pBdr>
              <w:suppressAutoHyphens/>
              <w:spacing w:before="120"/>
              <w:rPr>
                <w:rFonts w:eastAsia="Times"/>
                <w:u w:val="single"/>
              </w:rPr>
            </w:pPr>
          </w:p>
        </w:tc>
        <w:tc>
          <w:tcPr>
            <w:tcW w:w="6668" w:type="dxa"/>
            <w:shd w:val="clear" w:color="auto" w:fill="auto"/>
          </w:tcPr>
          <w:p w14:paraId="7CD360A9" w14:textId="77777777" w:rsidR="001B7F77" w:rsidRPr="001B7F77" w:rsidRDefault="001B7F77" w:rsidP="00FD2721">
            <w:pPr>
              <w:pBdr>
                <w:top w:val="nil"/>
                <w:left w:val="nil"/>
                <w:bottom w:val="nil"/>
                <w:right w:val="nil"/>
                <w:between w:val="nil"/>
              </w:pBdr>
              <w:suppressAutoHyphens/>
              <w:spacing w:before="120"/>
              <w:rPr>
                <w:rFonts w:eastAsia="Times"/>
                <w:u w:val="single"/>
              </w:rPr>
            </w:pPr>
            <w:r w:rsidRPr="001B7F77">
              <w:rPr>
                <w:rFonts w:eastAsia="Times"/>
                <w:u w:val="single"/>
              </w:rPr>
              <w:t>8. Requirements and remedies</w:t>
            </w:r>
          </w:p>
        </w:tc>
      </w:tr>
      <w:tr w:rsidR="001B7F77" w:rsidRPr="001B7F77" w14:paraId="2403B0D6" w14:textId="77777777" w:rsidTr="006655A1">
        <w:trPr>
          <w:jc w:val="center"/>
        </w:trPr>
        <w:tc>
          <w:tcPr>
            <w:tcW w:w="1540" w:type="dxa"/>
            <w:shd w:val="clear" w:color="auto" w:fill="auto"/>
          </w:tcPr>
          <w:p w14:paraId="56DC760D" w14:textId="77777777" w:rsidR="001B7F77" w:rsidRPr="001B7F77" w:rsidRDefault="001B7F77" w:rsidP="00FD2721">
            <w:pPr>
              <w:pBdr>
                <w:top w:val="nil"/>
                <w:left w:val="nil"/>
                <w:bottom w:val="nil"/>
                <w:right w:val="nil"/>
                <w:between w:val="nil"/>
              </w:pBdr>
              <w:suppressAutoHyphens/>
              <w:spacing w:before="120"/>
              <w:rPr>
                <w:rFonts w:eastAsia="Times"/>
                <w:u w:val="single"/>
              </w:rPr>
            </w:pPr>
          </w:p>
        </w:tc>
        <w:tc>
          <w:tcPr>
            <w:tcW w:w="6668" w:type="dxa"/>
            <w:shd w:val="clear" w:color="auto" w:fill="auto"/>
          </w:tcPr>
          <w:p w14:paraId="62A9B7F9" w14:textId="77777777" w:rsidR="001B7F77" w:rsidRPr="001B7F77" w:rsidRDefault="001B7F77" w:rsidP="00FD2721">
            <w:pPr>
              <w:pBdr>
                <w:top w:val="nil"/>
                <w:left w:val="nil"/>
                <w:bottom w:val="nil"/>
                <w:right w:val="nil"/>
                <w:between w:val="nil"/>
              </w:pBdr>
              <w:suppressAutoHyphens/>
              <w:spacing w:before="120"/>
              <w:rPr>
                <w:rFonts w:eastAsia="Times"/>
                <w:u w:val="single"/>
              </w:rPr>
            </w:pPr>
            <w:r w:rsidRPr="001B7F77">
              <w:rPr>
                <w:rFonts w:eastAsia="Times"/>
                <w:u w:val="single"/>
              </w:rPr>
              <w:t>9. Registry of names and service of papers</w:t>
            </w:r>
          </w:p>
        </w:tc>
      </w:tr>
      <w:tr w:rsidR="001B7F77" w:rsidRPr="001B7F77" w14:paraId="2CEF1550" w14:textId="77777777" w:rsidTr="006655A1">
        <w:trPr>
          <w:jc w:val="center"/>
        </w:trPr>
        <w:tc>
          <w:tcPr>
            <w:tcW w:w="1540" w:type="dxa"/>
            <w:shd w:val="clear" w:color="auto" w:fill="auto"/>
          </w:tcPr>
          <w:p w14:paraId="3CA3D25E" w14:textId="77777777" w:rsidR="001B7F77" w:rsidRPr="001B7F77" w:rsidRDefault="001B7F77" w:rsidP="00FD2721">
            <w:pPr>
              <w:pBdr>
                <w:top w:val="nil"/>
                <w:left w:val="nil"/>
                <w:bottom w:val="nil"/>
                <w:right w:val="nil"/>
                <w:between w:val="nil"/>
              </w:pBdr>
              <w:suppressAutoHyphens/>
              <w:spacing w:before="120"/>
              <w:rPr>
                <w:rFonts w:eastAsia="Times"/>
                <w:u w:val="single"/>
              </w:rPr>
            </w:pPr>
          </w:p>
        </w:tc>
        <w:tc>
          <w:tcPr>
            <w:tcW w:w="6668" w:type="dxa"/>
            <w:shd w:val="clear" w:color="auto" w:fill="auto"/>
          </w:tcPr>
          <w:p w14:paraId="73CA24B4" w14:textId="77777777" w:rsidR="001B7F77" w:rsidRPr="001B7F77" w:rsidRDefault="001B7F77" w:rsidP="00FD2721">
            <w:pPr>
              <w:pBdr>
                <w:top w:val="nil"/>
                <w:left w:val="nil"/>
                <w:bottom w:val="nil"/>
                <w:right w:val="nil"/>
                <w:between w:val="nil"/>
              </w:pBdr>
              <w:suppressAutoHyphens/>
              <w:spacing w:before="120"/>
              <w:rPr>
                <w:rFonts w:eastAsia="Times"/>
                <w:u w:val="single"/>
              </w:rPr>
            </w:pPr>
            <w:r w:rsidRPr="001B7F77">
              <w:rPr>
                <w:rFonts w:eastAsia="Times"/>
                <w:u w:val="single"/>
              </w:rPr>
              <w:t>10. Prostitution</w:t>
            </w:r>
          </w:p>
        </w:tc>
      </w:tr>
      <w:tr w:rsidR="001B7F77" w:rsidRPr="001B7F77" w14:paraId="7E005862" w14:textId="77777777" w:rsidTr="006655A1">
        <w:trPr>
          <w:jc w:val="center"/>
        </w:trPr>
        <w:tc>
          <w:tcPr>
            <w:tcW w:w="1540" w:type="dxa"/>
            <w:shd w:val="clear" w:color="auto" w:fill="auto"/>
          </w:tcPr>
          <w:p w14:paraId="6B1164B8" w14:textId="77777777" w:rsidR="001B7F77" w:rsidRPr="001B7F77" w:rsidRDefault="001B7F77" w:rsidP="00FD2721">
            <w:pPr>
              <w:pBdr>
                <w:top w:val="nil"/>
                <w:left w:val="nil"/>
                <w:bottom w:val="nil"/>
                <w:right w:val="nil"/>
                <w:between w:val="nil"/>
              </w:pBdr>
              <w:suppressAutoHyphens/>
              <w:spacing w:before="120"/>
              <w:rPr>
                <w:rFonts w:eastAsia="Times"/>
                <w:u w:val="single"/>
              </w:rPr>
            </w:pPr>
          </w:p>
        </w:tc>
        <w:tc>
          <w:tcPr>
            <w:tcW w:w="6668" w:type="dxa"/>
            <w:shd w:val="clear" w:color="auto" w:fill="auto"/>
          </w:tcPr>
          <w:p w14:paraId="1551CBB3" w14:textId="77777777" w:rsidR="001B7F77" w:rsidRPr="001B7F77" w:rsidRDefault="001B7F77" w:rsidP="00FD2721">
            <w:pPr>
              <w:pBdr>
                <w:top w:val="nil"/>
                <w:left w:val="nil"/>
                <w:bottom w:val="nil"/>
                <w:right w:val="nil"/>
                <w:between w:val="nil"/>
              </w:pBdr>
              <w:suppressAutoHyphens/>
              <w:spacing w:before="120"/>
              <w:rPr>
                <w:rFonts w:eastAsia="Times"/>
                <w:u w:val="single"/>
              </w:rPr>
            </w:pPr>
            <w:r w:rsidRPr="001B7F77">
              <w:rPr>
                <w:rFonts w:eastAsia="Times"/>
                <w:u w:val="single"/>
              </w:rPr>
              <w:t>11. Laws repealed; saving clause; effect</w:t>
            </w:r>
          </w:p>
        </w:tc>
      </w:tr>
      <w:tr w:rsidR="001B7F77" w:rsidRPr="001B7F77" w14:paraId="16F31209" w14:textId="77777777" w:rsidTr="006655A1">
        <w:trPr>
          <w:jc w:val="center"/>
        </w:trPr>
        <w:tc>
          <w:tcPr>
            <w:tcW w:w="1540" w:type="dxa"/>
            <w:shd w:val="clear" w:color="auto" w:fill="auto"/>
          </w:tcPr>
          <w:p w14:paraId="6E4B96F1" w14:textId="77777777" w:rsidR="001B7F77" w:rsidRPr="001B7F77" w:rsidRDefault="001B7F77" w:rsidP="00FD2721">
            <w:pPr>
              <w:pBdr>
                <w:top w:val="nil"/>
                <w:left w:val="nil"/>
                <w:bottom w:val="nil"/>
                <w:right w:val="nil"/>
                <w:between w:val="nil"/>
              </w:pBdr>
              <w:suppressAutoHyphens/>
              <w:spacing w:before="120"/>
              <w:rPr>
                <w:rFonts w:eastAsia="Times"/>
                <w:u w:val="single"/>
              </w:rPr>
            </w:pPr>
          </w:p>
        </w:tc>
        <w:tc>
          <w:tcPr>
            <w:tcW w:w="6668" w:type="dxa"/>
            <w:shd w:val="clear" w:color="auto" w:fill="auto"/>
          </w:tcPr>
          <w:p w14:paraId="64EA98C1" w14:textId="77777777" w:rsidR="001B7F77" w:rsidRPr="001B7F77" w:rsidRDefault="001B7F77" w:rsidP="00FD2721">
            <w:pPr>
              <w:pBdr>
                <w:top w:val="nil"/>
                <w:left w:val="nil"/>
                <w:bottom w:val="nil"/>
                <w:right w:val="nil"/>
                <w:between w:val="nil"/>
              </w:pBdr>
              <w:suppressAutoHyphens/>
              <w:spacing w:before="120"/>
              <w:rPr>
                <w:rFonts w:eastAsia="Times"/>
                <w:u w:val="single"/>
              </w:rPr>
            </w:pPr>
          </w:p>
        </w:tc>
      </w:tr>
      <w:tr w:rsidR="001B7F77" w:rsidRPr="001B7F77" w14:paraId="5352C7B5" w14:textId="77777777" w:rsidTr="006655A1">
        <w:trPr>
          <w:jc w:val="center"/>
        </w:trPr>
        <w:tc>
          <w:tcPr>
            <w:tcW w:w="1540" w:type="dxa"/>
            <w:shd w:val="clear" w:color="auto" w:fill="auto"/>
          </w:tcPr>
          <w:p w14:paraId="0607A8A8" w14:textId="77777777" w:rsidR="001B7F77" w:rsidRPr="001B7F77" w:rsidRDefault="001B7F77" w:rsidP="00FD2721">
            <w:pPr>
              <w:pBdr>
                <w:top w:val="nil"/>
                <w:left w:val="nil"/>
                <w:bottom w:val="nil"/>
                <w:right w:val="nil"/>
                <w:between w:val="nil"/>
              </w:pBdr>
              <w:suppressAutoHyphens/>
              <w:spacing w:before="120"/>
              <w:rPr>
                <w:rFonts w:eastAsia="Times"/>
                <w:b/>
                <w:bCs/>
                <w:u w:val="single"/>
              </w:rPr>
            </w:pPr>
            <w:r w:rsidRPr="001B7F77">
              <w:rPr>
                <w:rFonts w:eastAsia="Times"/>
                <w:b/>
                <w:bCs/>
                <w:u w:val="single"/>
              </w:rPr>
              <w:t>SECTIONS:</w:t>
            </w:r>
          </w:p>
        </w:tc>
        <w:tc>
          <w:tcPr>
            <w:tcW w:w="6668" w:type="dxa"/>
            <w:shd w:val="clear" w:color="auto" w:fill="auto"/>
          </w:tcPr>
          <w:p w14:paraId="6EDDF026" w14:textId="77777777" w:rsidR="001B7F77" w:rsidRPr="001B7F77" w:rsidRDefault="001B7F77" w:rsidP="00FD2721">
            <w:pPr>
              <w:pBdr>
                <w:top w:val="nil"/>
                <w:left w:val="nil"/>
                <w:bottom w:val="nil"/>
                <w:right w:val="nil"/>
                <w:between w:val="nil"/>
              </w:pBdr>
              <w:suppressAutoHyphens/>
              <w:spacing w:before="120"/>
              <w:rPr>
                <w:rFonts w:eastAsia="Times"/>
                <w:u w:val="single"/>
              </w:rPr>
            </w:pPr>
            <w:r w:rsidRPr="001B7F77">
              <w:rPr>
                <w:rFonts w:eastAsia="Times"/>
                <w:u w:val="single"/>
              </w:rPr>
              <w:t>28. Two or more buildings on same lot</w:t>
            </w:r>
          </w:p>
        </w:tc>
      </w:tr>
      <w:tr w:rsidR="001B7F77" w:rsidRPr="001B7F77" w14:paraId="11613E79" w14:textId="77777777" w:rsidTr="006655A1">
        <w:trPr>
          <w:jc w:val="center"/>
        </w:trPr>
        <w:tc>
          <w:tcPr>
            <w:tcW w:w="1540" w:type="dxa"/>
            <w:shd w:val="clear" w:color="auto" w:fill="auto"/>
          </w:tcPr>
          <w:p w14:paraId="29C445CB" w14:textId="77777777" w:rsidR="001B7F77" w:rsidRPr="001B7F77" w:rsidRDefault="001B7F77" w:rsidP="00FD2721">
            <w:pPr>
              <w:pBdr>
                <w:top w:val="nil"/>
                <w:left w:val="nil"/>
                <w:bottom w:val="nil"/>
                <w:right w:val="nil"/>
                <w:between w:val="nil"/>
              </w:pBdr>
              <w:suppressAutoHyphens/>
              <w:spacing w:before="120"/>
              <w:rPr>
                <w:rFonts w:eastAsia="Times"/>
                <w:b/>
                <w:bCs/>
                <w:u w:val="single"/>
              </w:rPr>
            </w:pPr>
          </w:p>
        </w:tc>
        <w:tc>
          <w:tcPr>
            <w:tcW w:w="6668" w:type="dxa"/>
            <w:shd w:val="clear" w:color="auto" w:fill="auto"/>
          </w:tcPr>
          <w:p w14:paraId="69B64AD2" w14:textId="77777777" w:rsidR="001B7F77" w:rsidRPr="001B7F77" w:rsidRDefault="001B7F77" w:rsidP="00FD2721">
            <w:pPr>
              <w:pBdr>
                <w:top w:val="nil"/>
                <w:left w:val="nil"/>
                <w:bottom w:val="nil"/>
                <w:right w:val="nil"/>
                <w:between w:val="nil"/>
              </w:pBdr>
              <w:suppressAutoHyphens/>
              <w:spacing w:before="120"/>
              <w:rPr>
                <w:rFonts w:eastAsia="Times"/>
                <w:u w:val="single"/>
              </w:rPr>
            </w:pPr>
            <w:r w:rsidRPr="001B7F77">
              <w:rPr>
                <w:rFonts w:eastAsia="Times"/>
                <w:u w:val="single"/>
              </w:rPr>
              <w:t>29. Painting of courts and shafts</w:t>
            </w:r>
          </w:p>
        </w:tc>
      </w:tr>
      <w:tr w:rsidR="001B7F77" w:rsidRPr="001B7F77" w14:paraId="68234439" w14:textId="77777777" w:rsidTr="006655A1">
        <w:trPr>
          <w:jc w:val="center"/>
        </w:trPr>
        <w:tc>
          <w:tcPr>
            <w:tcW w:w="1540" w:type="dxa"/>
            <w:shd w:val="clear" w:color="auto" w:fill="auto"/>
          </w:tcPr>
          <w:p w14:paraId="5AA655D0" w14:textId="77777777" w:rsidR="001B7F77" w:rsidRPr="001B7F77" w:rsidRDefault="001B7F77" w:rsidP="00FD2721">
            <w:pPr>
              <w:pBdr>
                <w:top w:val="nil"/>
                <w:left w:val="nil"/>
                <w:bottom w:val="nil"/>
                <w:right w:val="nil"/>
                <w:between w:val="nil"/>
              </w:pBdr>
              <w:suppressAutoHyphens/>
              <w:spacing w:before="120"/>
              <w:rPr>
                <w:rFonts w:eastAsia="Times"/>
                <w:u w:val="single"/>
              </w:rPr>
            </w:pPr>
          </w:p>
        </w:tc>
        <w:tc>
          <w:tcPr>
            <w:tcW w:w="6668" w:type="dxa"/>
            <w:shd w:val="clear" w:color="auto" w:fill="auto"/>
          </w:tcPr>
          <w:p w14:paraId="3A36ECB2" w14:textId="77777777" w:rsidR="001B7F77" w:rsidRPr="001B7F77" w:rsidRDefault="001B7F77" w:rsidP="00FD2721">
            <w:pPr>
              <w:pBdr>
                <w:top w:val="nil"/>
                <w:left w:val="nil"/>
                <w:bottom w:val="nil"/>
                <w:right w:val="nil"/>
                <w:between w:val="nil"/>
              </w:pBdr>
              <w:suppressAutoHyphens/>
              <w:spacing w:before="120"/>
              <w:rPr>
                <w:rFonts w:eastAsia="Times"/>
                <w:u w:val="single"/>
              </w:rPr>
            </w:pPr>
            <w:r w:rsidRPr="001B7F77">
              <w:rPr>
                <w:rFonts w:eastAsia="Times"/>
                <w:u w:val="single"/>
              </w:rPr>
              <w:t>31. Size of rooms, subdivision six only</w:t>
            </w:r>
          </w:p>
        </w:tc>
      </w:tr>
      <w:tr w:rsidR="001B7F77" w:rsidRPr="001B7F77" w14:paraId="130084C9" w14:textId="77777777" w:rsidTr="006655A1">
        <w:trPr>
          <w:jc w:val="center"/>
        </w:trPr>
        <w:tc>
          <w:tcPr>
            <w:tcW w:w="1540" w:type="dxa"/>
            <w:shd w:val="clear" w:color="auto" w:fill="auto"/>
          </w:tcPr>
          <w:p w14:paraId="2BFD3D90" w14:textId="77777777" w:rsidR="001B7F77" w:rsidRPr="001B7F77" w:rsidRDefault="001B7F77" w:rsidP="00FD2721">
            <w:pPr>
              <w:pBdr>
                <w:top w:val="nil"/>
                <w:left w:val="nil"/>
                <w:bottom w:val="nil"/>
                <w:right w:val="nil"/>
                <w:between w:val="nil"/>
              </w:pBdr>
              <w:suppressAutoHyphens/>
              <w:spacing w:before="120"/>
              <w:rPr>
                <w:rFonts w:eastAsia="Times"/>
                <w:u w:val="single"/>
              </w:rPr>
            </w:pPr>
          </w:p>
        </w:tc>
        <w:tc>
          <w:tcPr>
            <w:tcW w:w="6668" w:type="dxa"/>
            <w:shd w:val="clear" w:color="auto" w:fill="auto"/>
          </w:tcPr>
          <w:p w14:paraId="2D2F84A5" w14:textId="77777777" w:rsidR="001B7F77" w:rsidRPr="001B7F77" w:rsidRDefault="001B7F77" w:rsidP="00FD2721">
            <w:pPr>
              <w:pBdr>
                <w:top w:val="nil"/>
                <w:left w:val="nil"/>
                <w:bottom w:val="nil"/>
                <w:right w:val="nil"/>
                <w:between w:val="nil"/>
              </w:pBdr>
              <w:suppressAutoHyphens/>
              <w:spacing w:before="120"/>
              <w:rPr>
                <w:rFonts w:eastAsia="Times"/>
                <w:u w:val="single"/>
              </w:rPr>
            </w:pPr>
            <w:r w:rsidRPr="001B7F77">
              <w:rPr>
                <w:rFonts w:eastAsia="Times"/>
                <w:u w:val="single"/>
              </w:rPr>
              <w:t>33. Cooking spaces</w:t>
            </w:r>
          </w:p>
        </w:tc>
      </w:tr>
      <w:tr w:rsidR="001B7F77" w:rsidRPr="001B7F77" w14:paraId="652F9A65" w14:textId="77777777" w:rsidTr="006655A1">
        <w:trPr>
          <w:jc w:val="center"/>
        </w:trPr>
        <w:tc>
          <w:tcPr>
            <w:tcW w:w="1540" w:type="dxa"/>
            <w:shd w:val="clear" w:color="auto" w:fill="auto"/>
          </w:tcPr>
          <w:p w14:paraId="15F2DA81" w14:textId="77777777" w:rsidR="001B7F77" w:rsidRPr="001B7F77" w:rsidRDefault="001B7F77" w:rsidP="00FD2721">
            <w:pPr>
              <w:pBdr>
                <w:top w:val="nil"/>
                <w:left w:val="nil"/>
                <w:bottom w:val="nil"/>
                <w:right w:val="nil"/>
                <w:between w:val="nil"/>
              </w:pBdr>
              <w:suppressAutoHyphens/>
              <w:spacing w:before="120"/>
              <w:rPr>
                <w:rFonts w:eastAsia="Times"/>
                <w:u w:val="single"/>
              </w:rPr>
            </w:pPr>
          </w:p>
        </w:tc>
        <w:tc>
          <w:tcPr>
            <w:tcW w:w="6668" w:type="dxa"/>
            <w:shd w:val="clear" w:color="auto" w:fill="auto"/>
          </w:tcPr>
          <w:p w14:paraId="20B54548" w14:textId="77777777" w:rsidR="001B7F77" w:rsidRPr="001B7F77" w:rsidRDefault="001B7F77" w:rsidP="00FD2721">
            <w:pPr>
              <w:pBdr>
                <w:top w:val="nil"/>
                <w:left w:val="nil"/>
                <w:bottom w:val="nil"/>
                <w:right w:val="nil"/>
                <w:between w:val="nil"/>
              </w:pBdr>
              <w:suppressAutoHyphens/>
              <w:spacing w:before="120"/>
              <w:rPr>
                <w:rFonts w:eastAsia="Times"/>
                <w:u w:val="single"/>
              </w:rPr>
            </w:pPr>
            <w:r w:rsidRPr="001B7F77">
              <w:rPr>
                <w:rFonts w:eastAsia="Times"/>
                <w:u w:val="single"/>
              </w:rPr>
              <w:t>34. Rooms in basements and cellars, subdivisions five and six only</w:t>
            </w:r>
          </w:p>
        </w:tc>
      </w:tr>
      <w:tr w:rsidR="001B7F77" w:rsidRPr="001B7F77" w14:paraId="24DCC4C0" w14:textId="77777777" w:rsidTr="006655A1">
        <w:trPr>
          <w:jc w:val="center"/>
        </w:trPr>
        <w:tc>
          <w:tcPr>
            <w:tcW w:w="1540" w:type="dxa"/>
            <w:shd w:val="clear" w:color="auto" w:fill="auto"/>
          </w:tcPr>
          <w:p w14:paraId="6E42FA37" w14:textId="77777777" w:rsidR="001B7F77" w:rsidRPr="001B7F77" w:rsidRDefault="001B7F77" w:rsidP="00FD2721">
            <w:pPr>
              <w:pBdr>
                <w:top w:val="nil"/>
                <w:left w:val="nil"/>
                <w:bottom w:val="nil"/>
                <w:right w:val="nil"/>
                <w:between w:val="nil"/>
              </w:pBdr>
              <w:suppressAutoHyphens/>
              <w:spacing w:before="120"/>
              <w:rPr>
                <w:rFonts w:eastAsia="Times"/>
                <w:u w:val="single"/>
              </w:rPr>
            </w:pPr>
          </w:p>
        </w:tc>
        <w:tc>
          <w:tcPr>
            <w:tcW w:w="6668" w:type="dxa"/>
            <w:shd w:val="clear" w:color="auto" w:fill="auto"/>
          </w:tcPr>
          <w:p w14:paraId="1A8614E8" w14:textId="77777777" w:rsidR="001B7F77" w:rsidRPr="001B7F77" w:rsidRDefault="001B7F77" w:rsidP="00FD2721">
            <w:pPr>
              <w:pBdr>
                <w:top w:val="nil"/>
                <w:left w:val="nil"/>
                <w:bottom w:val="nil"/>
                <w:right w:val="nil"/>
                <w:between w:val="nil"/>
              </w:pBdr>
              <w:suppressAutoHyphens/>
              <w:spacing w:before="120"/>
              <w:rPr>
                <w:rFonts w:eastAsia="Times"/>
                <w:u w:val="single"/>
              </w:rPr>
            </w:pPr>
            <w:r w:rsidRPr="001B7F77">
              <w:rPr>
                <w:rFonts w:eastAsia="Times"/>
                <w:u w:val="single"/>
              </w:rPr>
              <w:t>35. Entrance doors and lights</w:t>
            </w:r>
          </w:p>
        </w:tc>
      </w:tr>
      <w:tr w:rsidR="001B7F77" w:rsidRPr="001B7F77" w14:paraId="65D80EB8" w14:textId="77777777" w:rsidTr="006655A1">
        <w:trPr>
          <w:jc w:val="center"/>
        </w:trPr>
        <w:tc>
          <w:tcPr>
            <w:tcW w:w="1540" w:type="dxa"/>
            <w:shd w:val="clear" w:color="auto" w:fill="auto"/>
          </w:tcPr>
          <w:p w14:paraId="4474C3A1" w14:textId="77777777" w:rsidR="001B7F77" w:rsidRPr="001B7F77" w:rsidRDefault="001B7F77" w:rsidP="00FD2721">
            <w:pPr>
              <w:pBdr>
                <w:top w:val="nil"/>
                <w:left w:val="nil"/>
                <w:bottom w:val="nil"/>
                <w:right w:val="nil"/>
                <w:between w:val="nil"/>
              </w:pBdr>
              <w:suppressAutoHyphens/>
              <w:spacing w:before="120"/>
              <w:rPr>
                <w:rFonts w:eastAsia="Times"/>
                <w:u w:val="single"/>
              </w:rPr>
            </w:pPr>
          </w:p>
        </w:tc>
        <w:tc>
          <w:tcPr>
            <w:tcW w:w="6668" w:type="dxa"/>
            <w:shd w:val="clear" w:color="auto" w:fill="auto"/>
          </w:tcPr>
          <w:p w14:paraId="4E81D513" w14:textId="77777777" w:rsidR="001B7F77" w:rsidRPr="001B7F77" w:rsidRDefault="001B7F77" w:rsidP="00FD2721">
            <w:pPr>
              <w:pBdr>
                <w:top w:val="nil"/>
                <w:left w:val="nil"/>
                <w:bottom w:val="nil"/>
                <w:right w:val="nil"/>
                <w:between w:val="nil"/>
              </w:pBdr>
              <w:suppressAutoHyphens/>
              <w:spacing w:before="120"/>
              <w:rPr>
                <w:rFonts w:eastAsia="Times"/>
                <w:u w:val="single"/>
              </w:rPr>
            </w:pPr>
            <w:r w:rsidRPr="001B7F77">
              <w:rPr>
                <w:rFonts w:eastAsia="Times"/>
                <w:u w:val="single"/>
              </w:rPr>
              <w:t>37. Artificial hall lighting</w:t>
            </w:r>
          </w:p>
        </w:tc>
      </w:tr>
      <w:tr w:rsidR="001B7F77" w:rsidRPr="001B7F77" w14:paraId="737310B9" w14:textId="77777777" w:rsidTr="006655A1">
        <w:trPr>
          <w:jc w:val="center"/>
        </w:trPr>
        <w:tc>
          <w:tcPr>
            <w:tcW w:w="1540" w:type="dxa"/>
            <w:shd w:val="clear" w:color="auto" w:fill="auto"/>
          </w:tcPr>
          <w:p w14:paraId="2CB99A5D" w14:textId="77777777" w:rsidR="001B7F77" w:rsidRPr="001B7F77" w:rsidRDefault="001B7F77" w:rsidP="00FD2721">
            <w:pPr>
              <w:pBdr>
                <w:top w:val="nil"/>
                <w:left w:val="nil"/>
                <w:bottom w:val="nil"/>
                <w:right w:val="nil"/>
                <w:between w:val="nil"/>
              </w:pBdr>
              <w:suppressAutoHyphens/>
              <w:spacing w:before="120"/>
              <w:rPr>
                <w:rFonts w:eastAsia="Times"/>
                <w:u w:val="single"/>
              </w:rPr>
            </w:pPr>
          </w:p>
        </w:tc>
        <w:tc>
          <w:tcPr>
            <w:tcW w:w="6668" w:type="dxa"/>
            <w:shd w:val="clear" w:color="auto" w:fill="auto"/>
          </w:tcPr>
          <w:p w14:paraId="67639C61" w14:textId="77777777" w:rsidR="001B7F77" w:rsidRPr="001B7F77" w:rsidRDefault="001B7F77" w:rsidP="00FD2721">
            <w:pPr>
              <w:pBdr>
                <w:top w:val="nil"/>
                <w:left w:val="nil"/>
                <w:bottom w:val="nil"/>
                <w:right w:val="nil"/>
                <w:between w:val="nil"/>
              </w:pBdr>
              <w:suppressAutoHyphens/>
              <w:spacing w:before="120"/>
              <w:rPr>
                <w:rFonts w:eastAsia="Times"/>
                <w:u w:val="single"/>
              </w:rPr>
            </w:pPr>
            <w:r w:rsidRPr="001B7F77">
              <w:rPr>
                <w:rFonts w:eastAsia="Times"/>
                <w:u w:val="single"/>
              </w:rPr>
              <w:t>51. Shafts, elevators and dumbwaiters</w:t>
            </w:r>
          </w:p>
        </w:tc>
      </w:tr>
      <w:tr w:rsidR="001B7F77" w:rsidRPr="001B7F77" w14:paraId="213F0B74" w14:textId="77777777" w:rsidTr="006655A1">
        <w:trPr>
          <w:jc w:val="center"/>
        </w:trPr>
        <w:tc>
          <w:tcPr>
            <w:tcW w:w="1540" w:type="dxa"/>
            <w:shd w:val="clear" w:color="auto" w:fill="auto"/>
          </w:tcPr>
          <w:p w14:paraId="20558118" w14:textId="77777777" w:rsidR="001B7F77" w:rsidRPr="001B7F77" w:rsidRDefault="001B7F77" w:rsidP="00FD2721">
            <w:pPr>
              <w:pBdr>
                <w:top w:val="nil"/>
                <w:left w:val="nil"/>
                <w:bottom w:val="nil"/>
                <w:right w:val="nil"/>
                <w:between w:val="nil"/>
              </w:pBdr>
              <w:suppressAutoHyphens/>
              <w:spacing w:before="120"/>
              <w:rPr>
                <w:rFonts w:eastAsia="Times"/>
                <w:u w:val="single"/>
              </w:rPr>
            </w:pPr>
          </w:p>
        </w:tc>
        <w:tc>
          <w:tcPr>
            <w:tcW w:w="6668" w:type="dxa"/>
            <w:shd w:val="clear" w:color="auto" w:fill="auto"/>
          </w:tcPr>
          <w:p w14:paraId="0B46412D" w14:textId="77777777" w:rsidR="001B7F77" w:rsidRPr="001B7F77" w:rsidRDefault="001B7F77" w:rsidP="00FD2721">
            <w:pPr>
              <w:pBdr>
                <w:top w:val="nil"/>
                <w:left w:val="nil"/>
                <w:bottom w:val="nil"/>
                <w:right w:val="nil"/>
                <w:between w:val="nil"/>
              </w:pBdr>
              <w:suppressAutoHyphens/>
              <w:spacing w:before="120"/>
              <w:rPr>
                <w:rFonts w:eastAsia="Times"/>
                <w:u w:val="single"/>
              </w:rPr>
            </w:pPr>
            <w:r w:rsidRPr="001B7F77">
              <w:rPr>
                <w:rFonts w:eastAsia="Times"/>
                <w:u w:val="single"/>
              </w:rPr>
              <w:t>52. Stairs</w:t>
            </w:r>
          </w:p>
        </w:tc>
      </w:tr>
      <w:tr w:rsidR="001B7F77" w:rsidRPr="001B7F77" w14:paraId="477C4499" w14:textId="77777777" w:rsidTr="006655A1">
        <w:trPr>
          <w:jc w:val="center"/>
        </w:trPr>
        <w:tc>
          <w:tcPr>
            <w:tcW w:w="1540" w:type="dxa"/>
            <w:shd w:val="clear" w:color="auto" w:fill="auto"/>
          </w:tcPr>
          <w:p w14:paraId="0AA72C26" w14:textId="77777777" w:rsidR="001B7F77" w:rsidRPr="001B7F77" w:rsidRDefault="001B7F77" w:rsidP="00FD2721">
            <w:pPr>
              <w:pBdr>
                <w:top w:val="nil"/>
                <w:left w:val="nil"/>
                <w:bottom w:val="nil"/>
                <w:right w:val="nil"/>
                <w:between w:val="nil"/>
              </w:pBdr>
              <w:suppressAutoHyphens/>
              <w:spacing w:before="120"/>
              <w:rPr>
                <w:rFonts w:eastAsia="Times"/>
                <w:u w:val="single"/>
              </w:rPr>
            </w:pPr>
          </w:p>
        </w:tc>
        <w:tc>
          <w:tcPr>
            <w:tcW w:w="6668" w:type="dxa"/>
            <w:shd w:val="clear" w:color="auto" w:fill="auto"/>
          </w:tcPr>
          <w:p w14:paraId="4A555A76" w14:textId="77777777" w:rsidR="001B7F77" w:rsidRPr="001B7F77" w:rsidRDefault="001B7F77" w:rsidP="00FD2721">
            <w:pPr>
              <w:pBdr>
                <w:top w:val="nil"/>
                <w:left w:val="nil"/>
                <w:bottom w:val="nil"/>
                <w:right w:val="nil"/>
                <w:between w:val="nil"/>
              </w:pBdr>
              <w:suppressAutoHyphens/>
              <w:spacing w:before="120"/>
              <w:rPr>
                <w:rFonts w:eastAsia="Times"/>
                <w:u w:val="single"/>
              </w:rPr>
            </w:pPr>
            <w:r w:rsidRPr="001B7F77">
              <w:rPr>
                <w:rFonts w:eastAsia="Times"/>
                <w:u w:val="single"/>
              </w:rPr>
              <w:t>53. Fire-escapes</w:t>
            </w:r>
          </w:p>
        </w:tc>
      </w:tr>
      <w:tr w:rsidR="001B7F77" w:rsidRPr="001B7F77" w14:paraId="5C0023E6" w14:textId="77777777" w:rsidTr="006655A1">
        <w:trPr>
          <w:jc w:val="center"/>
        </w:trPr>
        <w:tc>
          <w:tcPr>
            <w:tcW w:w="1540" w:type="dxa"/>
            <w:shd w:val="clear" w:color="auto" w:fill="auto"/>
          </w:tcPr>
          <w:p w14:paraId="0560725C" w14:textId="77777777" w:rsidR="001B7F77" w:rsidRPr="001B7F77" w:rsidRDefault="001B7F77" w:rsidP="00FD2721">
            <w:pPr>
              <w:pBdr>
                <w:top w:val="nil"/>
                <w:left w:val="nil"/>
                <w:bottom w:val="nil"/>
                <w:right w:val="nil"/>
                <w:between w:val="nil"/>
              </w:pBdr>
              <w:suppressAutoHyphens/>
              <w:spacing w:before="120"/>
              <w:rPr>
                <w:rFonts w:eastAsia="Times"/>
                <w:u w:val="single"/>
              </w:rPr>
            </w:pPr>
          </w:p>
        </w:tc>
        <w:tc>
          <w:tcPr>
            <w:tcW w:w="6668" w:type="dxa"/>
            <w:shd w:val="clear" w:color="auto" w:fill="auto"/>
          </w:tcPr>
          <w:p w14:paraId="600FDF8E" w14:textId="77777777" w:rsidR="001B7F77" w:rsidRPr="001B7F77" w:rsidRDefault="001B7F77" w:rsidP="00FD2721">
            <w:pPr>
              <w:pBdr>
                <w:top w:val="nil"/>
                <w:left w:val="nil"/>
                <w:bottom w:val="nil"/>
                <w:right w:val="nil"/>
                <w:between w:val="nil"/>
              </w:pBdr>
              <w:suppressAutoHyphens/>
              <w:spacing w:before="120"/>
              <w:rPr>
                <w:rFonts w:eastAsia="Times"/>
                <w:u w:val="single"/>
              </w:rPr>
            </w:pPr>
            <w:r w:rsidRPr="001B7F77">
              <w:rPr>
                <w:rFonts w:eastAsia="Times"/>
                <w:u w:val="single"/>
              </w:rPr>
              <w:t>55. Wainscoting</w:t>
            </w:r>
          </w:p>
        </w:tc>
      </w:tr>
      <w:tr w:rsidR="001B7F77" w:rsidRPr="001B7F77" w14:paraId="4963E84F" w14:textId="77777777" w:rsidTr="006655A1">
        <w:trPr>
          <w:jc w:val="center"/>
        </w:trPr>
        <w:tc>
          <w:tcPr>
            <w:tcW w:w="1540" w:type="dxa"/>
            <w:shd w:val="clear" w:color="auto" w:fill="auto"/>
          </w:tcPr>
          <w:p w14:paraId="0C6E1C2E" w14:textId="77777777" w:rsidR="001B7F77" w:rsidRPr="001B7F77" w:rsidRDefault="001B7F77" w:rsidP="00FD2721">
            <w:pPr>
              <w:pBdr>
                <w:top w:val="nil"/>
                <w:left w:val="nil"/>
                <w:bottom w:val="nil"/>
                <w:right w:val="nil"/>
                <w:between w:val="nil"/>
              </w:pBdr>
              <w:suppressAutoHyphens/>
              <w:spacing w:before="120"/>
              <w:rPr>
                <w:rFonts w:eastAsia="Times"/>
                <w:u w:val="single"/>
              </w:rPr>
            </w:pPr>
          </w:p>
        </w:tc>
        <w:tc>
          <w:tcPr>
            <w:tcW w:w="6668" w:type="dxa"/>
            <w:shd w:val="clear" w:color="auto" w:fill="auto"/>
          </w:tcPr>
          <w:p w14:paraId="773BBA38" w14:textId="77777777" w:rsidR="001B7F77" w:rsidRPr="001B7F77" w:rsidRDefault="001B7F77" w:rsidP="00FD2721">
            <w:pPr>
              <w:pBdr>
                <w:top w:val="nil"/>
                <w:left w:val="nil"/>
                <w:bottom w:val="nil"/>
                <w:right w:val="nil"/>
                <w:between w:val="nil"/>
              </w:pBdr>
              <w:suppressAutoHyphens/>
              <w:spacing w:before="120"/>
              <w:rPr>
                <w:rFonts w:eastAsia="Times"/>
                <w:u w:val="single"/>
              </w:rPr>
            </w:pPr>
            <w:r w:rsidRPr="001B7F77">
              <w:rPr>
                <w:rFonts w:eastAsia="Times"/>
                <w:u w:val="single"/>
              </w:rPr>
              <w:t>56. Frame buildings and extensions</w:t>
            </w:r>
          </w:p>
        </w:tc>
      </w:tr>
      <w:tr w:rsidR="001B7F77" w:rsidRPr="001B7F77" w14:paraId="1EC54FB4" w14:textId="77777777" w:rsidTr="006655A1">
        <w:trPr>
          <w:jc w:val="center"/>
        </w:trPr>
        <w:tc>
          <w:tcPr>
            <w:tcW w:w="1540" w:type="dxa"/>
            <w:shd w:val="clear" w:color="auto" w:fill="auto"/>
          </w:tcPr>
          <w:p w14:paraId="18D4032E" w14:textId="77777777" w:rsidR="001B7F77" w:rsidRPr="001B7F77" w:rsidRDefault="001B7F77" w:rsidP="00FD2721">
            <w:pPr>
              <w:pBdr>
                <w:top w:val="nil"/>
                <w:left w:val="nil"/>
                <w:bottom w:val="nil"/>
                <w:right w:val="nil"/>
                <w:between w:val="nil"/>
              </w:pBdr>
              <w:suppressAutoHyphens/>
              <w:spacing w:before="120"/>
              <w:rPr>
                <w:rFonts w:eastAsia="Times"/>
                <w:u w:val="single"/>
              </w:rPr>
            </w:pPr>
          </w:p>
        </w:tc>
        <w:tc>
          <w:tcPr>
            <w:tcW w:w="6668" w:type="dxa"/>
            <w:shd w:val="clear" w:color="auto" w:fill="auto"/>
          </w:tcPr>
          <w:p w14:paraId="188AC571" w14:textId="77777777" w:rsidR="001B7F77" w:rsidRPr="001B7F77" w:rsidRDefault="001B7F77" w:rsidP="00FD2721">
            <w:pPr>
              <w:pBdr>
                <w:top w:val="nil"/>
                <w:left w:val="nil"/>
                <w:bottom w:val="nil"/>
                <w:right w:val="nil"/>
                <w:between w:val="nil"/>
              </w:pBdr>
              <w:suppressAutoHyphens/>
              <w:spacing w:before="120"/>
              <w:rPr>
                <w:rFonts w:eastAsia="Times"/>
                <w:u w:val="single"/>
              </w:rPr>
            </w:pPr>
            <w:r w:rsidRPr="001B7F77">
              <w:rPr>
                <w:rFonts w:eastAsia="Times"/>
                <w:u w:val="single"/>
              </w:rPr>
              <w:t>57. Bells; mail receptacles</w:t>
            </w:r>
          </w:p>
        </w:tc>
      </w:tr>
      <w:tr w:rsidR="001B7F77" w:rsidRPr="001B7F77" w14:paraId="24A3817B" w14:textId="77777777" w:rsidTr="006655A1">
        <w:trPr>
          <w:jc w:val="center"/>
        </w:trPr>
        <w:tc>
          <w:tcPr>
            <w:tcW w:w="1540" w:type="dxa"/>
            <w:shd w:val="clear" w:color="auto" w:fill="auto"/>
          </w:tcPr>
          <w:p w14:paraId="128F6317" w14:textId="77777777" w:rsidR="001B7F77" w:rsidRPr="001B7F77" w:rsidRDefault="001B7F77" w:rsidP="00FD2721">
            <w:pPr>
              <w:pBdr>
                <w:top w:val="nil"/>
                <w:left w:val="nil"/>
                <w:bottom w:val="nil"/>
                <w:right w:val="nil"/>
                <w:between w:val="nil"/>
              </w:pBdr>
              <w:suppressAutoHyphens/>
              <w:spacing w:before="120"/>
              <w:rPr>
                <w:rFonts w:eastAsia="Times"/>
                <w:u w:val="single"/>
              </w:rPr>
            </w:pPr>
          </w:p>
        </w:tc>
        <w:tc>
          <w:tcPr>
            <w:tcW w:w="6668" w:type="dxa"/>
            <w:shd w:val="clear" w:color="auto" w:fill="auto"/>
          </w:tcPr>
          <w:p w14:paraId="21D933C3" w14:textId="77777777" w:rsidR="001B7F77" w:rsidRPr="001B7F77" w:rsidRDefault="001B7F77" w:rsidP="00FD2721">
            <w:pPr>
              <w:pBdr>
                <w:top w:val="nil"/>
                <w:left w:val="nil"/>
                <w:bottom w:val="nil"/>
                <w:right w:val="nil"/>
                <w:between w:val="nil"/>
              </w:pBdr>
              <w:suppressAutoHyphens/>
              <w:spacing w:before="120"/>
              <w:rPr>
                <w:rFonts w:eastAsia="Times"/>
                <w:u w:val="single"/>
              </w:rPr>
            </w:pPr>
            <w:r w:rsidRPr="001B7F77">
              <w:rPr>
                <w:rFonts w:eastAsia="Times"/>
                <w:u w:val="single"/>
              </w:rPr>
              <w:t>58. Incombustible materials</w:t>
            </w:r>
          </w:p>
        </w:tc>
      </w:tr>
      <w:tr w:rsidR="001B7F77" w:rsidRPr="001B7F77" w14:paraId="068FFA82" w14:textId="77777777" w:rsidTr="006655A1">
        <w:trPr>
          <w:jc w:val="center"/>
        </w:trPr>
        <w:tc>
          <w:tcPr>
            <w:tcW w:w="1540" w:type="dxa"/>
            <w:shd w:val="clear" w:color="auto" w:fill="auto"/>
          </w:tcPr>
          <w:p w14:paraId="2FAB03A8" w14:textId="77777777" w:rsidR="001B7F77" w:rsidRPr="001B7F77" w:rsidRDefault="001B7F77" w:rsidP="00FD2721">
            <w:pPr>
              <w:pBdr>
                <w:top w:val="nil"/>
                <w:left w:val="nil"/>
                <w:bottom w:val="nil"/>
                <w:right w:val="nil"/>
                <w:between w:val="nil"/>
              </w:pBdr>
              <w:suppressAutoHyphens/>
              <w:spacing w:before="120"/>
              <w:rPr>
                <w:rFonts w:eastAsia="Times"/>
                <w:u w:val="single"/>
              </w:rPr>
            </w:pPr>
          </w:p>
        </w:tc>
        <w:tc>
          <w:tcPr>
            <w:tcW w:w="6668" w:type="dxa"/>
            <w:shd w:val="clear" w:color="auto" w:fill="auto"/>
          </w:tcPr>
          <w:p w14:paraId="4EB811CE" w14:textId="77777777" w:rsidR="001B7F77" w:rsidRPr="001B7F77" w:rsidRDefault="001B7F77" w:rsidP="00FD2721">
            <w:pPr>
              <w:pBdr>
                <w:top w:val="nil"/>
                <w:left w:val="nil"/>
                <w:bottom w:val="nil"/>
                <w:right w:val="nil"/>
                <w:between w:val="nil"/>
              </w:pBdr>
              <w:suppressAutoHyphens/>
              <w:spacing w:before="120"/>
              <w:rPr>
                <w:rFonts w:eastAsia="Times"/>
                <w:u w:val="single"/>
              </w:rPr>
            </w:pPr>
            <w:r w:rsidRPr="001B7F77">
              <w:rPr>
                <w:rFonts w:eastAsia="Times"/>
                <w:u w:val="single"/>
              </w:rPr>
              <w:t>59. Bakeries and fat boiling</w:t>
            </w:r>
          </w:p>
        </w:tc>
      </w:tr>
      <w:tr w:rsidR="001B7F77" w:rsidRPr="001B7F77" w14:paraId="60E1F859" w14:textId="77777777" w:rsidTr="006655A1">
        <w:trPr>
          <w:jc w:val="center"/>
        </w:trPr>
        <w:tc>
          <w:tcPr>
            <w:tcW w:w="1540" w:type="dxa"/>
            <w:shd w:val="clear" w:color="auto" w:fill="auto"/>
          </w:tcPr>
          <w:p w14:paraId="5C8A0B91" w14:textId="77777777" w:rsidR="001B7F77" w:rsidRPr="001B7F77" w:rsidRDefault="001B7F77" w:rsidP="00FD2721">
            <w:pPr>
              <w:pBdr>
                <w:top w:val="nil"/>
                <w:left w:val="nil"/>
                <w:bottom w:val="nil"/>
                <w:right w:val="nil"/>
                <w:between w:val="nil"/>
              </w:pBdr>
              <w:suppressAutoHyphens/>
              <w:spacing w:before="120"/>
              <w:rPr>
                <w:rFonts w:eastAsia="Times"/>
                <w:u w:val="single"/>
              </w:rPr>
            </w:pPr>
          </w:p>
        </w:tc>
        <w:tc>
          <w:tcPr>
            <w:tcW w:w="6668" w:type="dxa"/>
            <w:shd w:val="clear" w:color="auto" w:fill="auto"/>
          </w:tcPr>
          <w:p w14:paraId="36EA9850" w14:textId="77777777" w:rsidR="001B7F77" w:rsidRPr="001B7F77" w:rsidRDefault="001B7F77" w:rsidP="00FD2721">
            <w:pPr>
              <w:pBdr>
                <w:top w:val="nil"/>
                <w:left w:val="nil"/>
                <w:bottom w:val="nil"/>
                <w:right w:val="nil"/>
                <w:between w:val="nil"/>
              </w:pBdr>
              <w:suppressAutoHyphens/>
              <w:spacing w:before="120"/>
              <w:rPr>
                <w:rFonts w:eastAsia="Times"/>
                <w:u w:val="single"/>
              </w:rPr>
            </w:pPr>
            <w:r w:rsidRPr="001B7F77">
              <w:rPr>
                <w:rFonts w:eastAsia="Times"/>
                <w:u w:val="single"/>
              </w:rPr>
              <w:t>60. Motor vehicle storage</w:t>
            </w:r>
          </w:p>
        </w:tc>
      </w:tr>
      <w:tr w:rsidR="001B7F77" w:rsidRPr="001B7F77" w14:paraId="11E6B115" w14:textId="77777777" w:rsidTr="006655A1">
        <w:trPr>
          <w:jc w:val="center"/>
        </w:trPr>
        <w:tc>
          <w:tcPr>
            <w:tcW w:w="1540" w:type="dxa"/>
            <w:shd w:val="clear" w:color="auto" w:fill="auto"/>
          </w:tcPr>
          <w:p w14:paraId="58014C84" w14:textId="77777777" w:rsidR="001B7F77" w:rsidRPr="001B7F77" w:rsidRDefault="001B7F77" w:rsidP="00FD2721">
            <w:pPr>
              <w:pBdr>
                <w:top w:val="nil"/>
                <w:left w:val="nil"/>
                <w:bottom w:val="nil"/>
                <w:right w:val="nil"/>
                <w:between w:val="nil"/>
              </w:pBdr>
              <w:suppressAutoHyphens/>
              <w:spacing w:before="120"/>
              <w:rPr>
                <w:rFonts w:eastAsia="Times"/>
                <w:u w:val="single"/>
              </w:rPr>
            </w:pPr>
          </w:p>
        </w:tc>
        <w:tc>
          <w:tcPr>
            <w:tcW w:w="6668" w:type="dxa"/>
            <w:shd w:val="clear" w:color="auto" w:fill="auto"/>
          </w:tcPr>
          <w:p w14:paraId="44E14A28" w14:textId="77777777" w:rsidR="001B7F77" w:rsidRPr="001B7F77" w:rsidRDefault="001B7F77" w:rsidP="00FD2721">
            <w:pPr>
              <w:pBdr>
                <w:top w:val="nil"/>
                <w:left w:val="nil"/>
                <w:bottom w:val="nil"/>
                <w:right w:val="nil"/>
                <w:between w:val="nil"/>
              </w:pBdr>
              <w:suppressAutoHyphens/>
              <w:spacing w:before="120"/>
              <w:rPr>
                <w:rFonts w:eastAsia="Times"/>
                <w:u w:val="single"/>
              </w:rPr>
            </w:pPr>
            <w:r w:rsidRPr="001B7F77">
              <w:rPr>
                <w:rFonts w:eastAsia="Times"/>
                <w:u w:val="single"/>
              </w:rPr>
              <w:t>61. Business uses</w:t>
            </w:r>
          </w:p>
        </w:tc>
      </w:tr>
      <w:tr w:rsidR="001B7F77" w:rsidRPr="001B7F77" w14:paraId="689F3E4F" w14:textId="77777777" w:rsidTr="006655A1">
        <w:trPr>
          <w:jc w:val="center"/>
        </w:trPr>
        <w:tc>
          <w:tcPr>
            <w:tcW w:w="1540" w:type="dxa"/>
            <w:shd w:val="clear" w:color="auto" w:fill="auto"/>
          </w:tcPr>
          <w:p w14:paraId="5A243038" w14:textId="77777777" w:rsidR="001B7F77" w:rsidRPr="001B7F77" w:rsidRDefault="001B7F77" w:rsidP="00FD2721">
            <w:pPr>
              <w:pBdr>
                <w:top w:val="nil"/>
                <w:left w:val="nil"/>
                <w:bottom w:val="nil"/>
                <w:right w:val="nil"/>
                <w:between w:val="nil"/>
              </w:pBdr>
              <w:suppressAutoHyphens/>
              <w:spacing w:before="120"/>
              <w:rPr>
                <w:rFonts w:eastAsia="Times"/>
                <w:u w:val="single"/>
              </w:rPr>
            </w:pPr>
          </w:p>
        </w:tc>
        <w:tc>
          <w:tcPr>
            <w:tcW w:w="6668" w:type="dxa"/>
            <w:shd w:val="clear" w:color="auto" w:fill="auto"/>
          </w:tcPr>
          <w:p w14:paraId="395ABA06" w14:textId="77777777" w:rsidR="001B7F77" w:rsidRPr="001B7F77" w:rsidRDefault="001B7F77" w:rsidP="00FD2721">
            <w:pPr>
              <w:pBdr>
                <w:top w:val="nil"/>
                <w:left w:val="nil"/>
                <w:bottom w:val="nil"/>
                <w:right w:val="nil"/>
                <w:between w:val="nil"/>
              </w:pBdr>
              <w:suppressAutoHyphens/>
              <w:spacing w:before="120"/>
              <w:rPr>
                <w:rFonts w:eastAsia="Times"/>
                <w:u w:val="single"/>
              </w:rPr>
            </w:pPr>
            <w:r w:rsidRPr="001B7F77">
              <w:rPr>
                <w:rFonts w:eastAsia="Times"/>
                <w:u w:val="single"/>
              </w:rPr>
              <w:t>62. Parapets, guard railings and wires</w:t>
            </w:r>
          </w:p>
        </w:tc>
      </w:tr>
      <w:tr w:rsidR="001B7F77" w:rsidRPr="001B7F77" w14:paraId="4C16585F" w14:textId="77777777" w:rsidTr="006655A1">
        <w:trPr>
          <w:jc w:val="center"/>
        </w:trPr>
        <w:tc>
          <w:tcPr>
            <w:tcW w:w="1540" w:type="dxa"/>
            <w:shd w:val="clear" w:color="auto" w:fill="auto"/>
          </w:tcPr>
          <w:p w14:paraId="40265D80" w14:textId="77777777" w:rsidR="001B7F77" w:rsidRPr="001B7F77" w:rsidRDefault="001B7F77" w:rsidP="00FD2721">
            <w:pPr>
              <w:pBdr>
                <w:top w:val="nil"/>
                <w:left w:val="nil"/>
                <w:bottom w:val="nil"/>
                <w:right w:val="nil"/>
                <w:between w:val="nil"/>
              </w:pBdr>
              <w:suppressAutoHyphens/>
              <w:spacing w:before="120"/>
              <w:rPr>
                <w:rFonts w:eastAsia="Times"/>
                <w:u w:val="single"/>
              </w:rPr>
            </w:pPr>
          </w:p>
        </w:tc>
        <w:tc>
          <w:tcPr>
            <w:tcW w:w="6668" w:type="dxa"/>
            <w:shd w:val="clear" w:color="auto" w:fill="auto"/>
          </w:tcPr>
          <w:p w14:paraId="1ADDDA8F" w14:textId="77777777" w:rsidR="001B7F77" w:rsidRPr="001B7F77" w:rsidRDefault="001B7F77" w:rsidP="00FD2721">
            <w:pPr>
              <w:pBdr>
                <w:top w:val="nil"/>
                <w:left w:val="nil"/>
                <w:bottom w:val="nil"/>
                <w:right w:val="nil"/>
                <w:between w:val="nil"/>
              </w:pBdr>
              <w:suppressAutoHyphens/>
              <w:spacing w:before="120"/>
              <w:rPr>
                <w:rFonts w:eastAsia="Times"/>
                <w:u w:val="single"/>
              </w:rPr>
            </w:pPr>
            <w:r w:rsidRPr="001B7F77">
              <w:rPr>
                <w:rFonts w:eastAsia="Times"/>
                <w:u w:val="single"/>
              </w:rPr>
              <w:t>75. Water supply</w:t>
            </w:r>
          </w:p>
        </w:tc>
      </w:tr>
      <w:tr w:rsidR="001B7F77" w:rsidRPr="001B7F77" w14:paraId="7C4DB21C" w14:textId="77777777" w:rsidTr="006655A1">
        <w:trPr>
          <w:jc w:val="center"/>
        </w:trPr>
        <w:tc>
          <w:tcPr>
            <w:tcW w:w="1540" w:type="dxa"/>
            <w:shd w:val="clear" w:color="auto" w:fill="auto"/>
          </w:tcPr>
          <w:p w14:paraId="104905BD" w14:textId="77777777" w:rsidR="001B7F77" w:rsidRPr="001B7F77" w:rsidRDefault="001B7F77" w:rsidP="00FD2721">
            <w:pPr>
              <w:pBdr>
                <w:top w:val="nil"/>
                <w:left w:val="nil"/>
                <w:bottom w:val="nil"/>
                <w:right w:val="nil"/>
                <w:between w:val="nil"/>
              </w:pBdr>
              <w:suppressAutoHyphens/>
              <w:spacing w:before="120"/>
              <w:rPr>
                <w:rFonts w:eastAsia="Times"/>
                <w:u w:val="single"/>
              </w:rPr>
            </w:pPr>
          </w:p>
        </w:tc>
        <w:tc>
          <w:tcPr>
            <w:tcW w:w="6668" w:type="dxa"/>
            <w:shd w:val="clear" w:color="auto" w:fill="auto"/>
          </w:tcPr>
          <w:p w14:paraId="5C6DD33D" w14:textId="77777777" w:rsidR="001B7F77" w:rsidRPr="001B7F77" w:rsidRDefault="001B7F77" w:rsidP="00FD2721">
            <w:pPr>
              <w:pBdr>
                <w:top w:val="nil"/>
                <w:left w:val="nil"/>
                <w:bottom w:val="nil"/>
                <w:right w:val="nil"/>
                <w:between w:val="nil"/>
              </w:pBdr>
              <w:suppressAutoHyphens/>
              <w:spacing w:before="120"/>
              <w:rPr>
                <w:rFonts w:eastAsia="Times"/>
                <w:u w:val="single"/>
              </w:rPr>
            </w:pPr>
            <w:r w:rsidRPr="001B7F77">
              <w:rPr>
                <w:rFonts w:eastAsia="Times"/>
                <w:u w:val="single"/>
              </w:rPr>
              <w:t>76. Water-closet and bath accommodations</w:t>
            </w:r>
          </w:p>
        </w:tc>
      </w:tr>
      <w:tr w:rsidR="001B7F77" w:rsidRPr="001B7F77" w14:paraId="2CC727F5" w14:textId="77777777" w:rsidTr="006655A1">
        <w:trPr>
          <w:jc w:val="center"/>
        </w:trPr>
        <w:tc>
          <w:tcPr>
            <w:tcW w:w="1540" w:type="dxa"/>
            <w:shd w:val="clear" w:color="auto" w:fill="auto"/>
          </w:tcPr>
          <w:p w14:paraId="4BB6CC0A" w14:textId="77777777" w:rsidR="001B7F77" w:rsidRPr="001B7F77" w:rsidRDefault="001B7F77" w:rsidP="00FD2721">
            <w:pPr>
              <w:pBdr>
                <w:top w:val="nil"/>
                <w:left w:val="nil"/>
                <w:bottom w:val="nil"/>
                <w:right w:val="nil"/>
                <w:between w:val="nil"/>
              </w:pBdr>
              <w:suppressAutoHyphens/>
              <w:spacing w:before="120"/>
              <w:rPr>
                <w:rFonts w:eastAsia="Times"/>
                <w:u w:val="single"/>
              </w:rPr>
            </w:pPr>
          </w:p>
        </w:tc>
        <w:tc>
          <w:tcPr>
            <w:tcW w:w="6668" w:type="dxa"/>
            <w:shd w:val="clear" w:color="auto" w:fill="auto"/>
          </w:tcPr>
          <w:p w14:paraId="3EBE7CD1" w14:textId="77777777" w:rsidR="001B7F77" w:rsidRPr="001B7F77" w:rsidRDefault="001B7F77" w:rsidP="00FD2721">
            <w:pPr>
              <w:pBdr>
                <w:top w:val="nil"/>
                <w:left w:val="nil"/>
                <w:bottom w:val="nil"/>
                <w:right w:val="nil"/>
                <w:between w:val="nil"/>
              </w:pBdr>
              <w:suppressAutoHyphens/>
              <w:spacing w:before="120"/>
              <w:rPr>
                <w:rFonts w:eastAsia="Times"/>
                <w:u w:val="single"/>
              </w:rPr>
            </w:pPr>
            <w:r w:rsidRPr="001B7F77">
              <w:rPr>
                <w:rFonts w:eastAsia="Times"/>
                <w:u w:val="single"/>
              </w:rPr>
              <w:t>77. Plumbing and drainage</w:t>
            </w:r>
          </w:p>
        </w:tc>
      </w:tr>
      <w:tr w:rsidR="001B7F77" w:rsidRPr="001B7F77" w14:paraId="484857CB" w14:textId="77777777" w:rsidTr="006655A1">
        <w:trPr>
          <w:jc w:val="center"/>
        </w:trPr>
        <w:tc>
          <w:tcPr>
            <w:tcW w:w="1540" w:type="dxa"/>
            <w:shd w:val="clear" w:color="auto" w:fill="auto"/>
          </w:tcPr>
          <w:p w14:paraId="6F54A729" w14:textId="77777777" w:rsidR="001B7F77" w:rsidRPr="001B7F77" w:rsidRDefault="001B7F77" w:rsidP="00FD2721">
            <w:pPr>
              <w:pBdr>
                <w:top w:val="nil"/>
                <w:left w:val="nil"/>
                <w:bottom w:val="nil"/>
                <w:right w:val="nil"/>
                <w:between w:val="nil"/>
              </w:pBdr>
              <w:suppressAutoHyphens/>
              <w:spacing w:before="120"/>
              <w:rPr>
                <w:rFonts w:eastAsia="Times"/>
                <w:u w:val="single"/>
              </w:rPr>
            </w:pPr>
          </w:p>
        </w:tc>
        <w:tc>
          <w:tcPr>
            <w:tcW w:w="6668" w:type="dxa"/>
            <w:shd w:val="clear" w:color="auto" w:fill="auto"/>
          </w:tcPr>
          <w:p w14:paraId="1D9DC2D6" w14:textId="77777777" w:rsidR="001B7F77" w:rsidRPr="001B7F77" w:rsidRDefault="001B7F77" w:rsidP="00FD2721">
            <w:pPr>
              <w:pBdr>
                <w:top w:val="nil"/>
                <w:left w:val="nil"/>
                <w:bottom w:val="nil"/>
                <w:right w:val="nil"/>
                <w:between w:val="nil"/>
              </w:pBdr>
              <w:suppressAutoHyphens/>
              <w:spacing w:before="120"/>
              <w:rPr>
                <w:rFonts w:eastAsia="Times"/>
                <w:u w:val="single"/>
              </w:rPr>
            </w:pPr>
            <w:r w:rsidRPr="001B7F77">
              <w:rPr>
                <w:rFonts w:eastAsia="Times"/>
                <w:u w:val="single"/>
              </w:rPr>
              <w:t>78. Repairs</w:t>
            </w:r>
          </w:p>
        </w:tc>
      </w:tr>
      <w:tr w:rsidR="001B7F77" w:rsidRPr="001B7F77" w14:paraId="25E8FA34" w14:textId="77777777" w:rsidTr="006655A1">
        <w:trPr>
          <w:jc w:val="center"/>
        </w:trPr>
        <w:tc>
          <w:tcPr>
            <w:tcW w:w="1540" w:type="dxa"/>
            <w:shd w:val="clear" w:color="auto" w:fill="auto"/>
          </w:tcPr>
          <w:p w14:paraId="1A5CEE99" w14:textId="77777777" w:rsidR="001B7F77" w:rsidRPr="001B7F77" w:rsidRDefault="001B7F77" w:rsidP="00FD2721">
            <w:pPr>
              <w:pBdr>
                <w:top w:val="nil"/>
                <w:left w:val="nil"/>
                <w:bottom w:val="nil"/>
                <w:right w:val="nil"/>
                <w:between w:val="nil"/>
              </w:pBdr>
              <w:suppressAutoHyphens/>
              <w:spacing w:before="120"/>
              <w:rPr>
                <w:rFonts w:eastAsia="Times"/>
                <w:u w:val="single"/>
              </w:rPr>
            </w:pPr>
          </w:p>
        </w:tc>
        <w:tc>
          <w:tcPr>
            <w:tcW w:w="6668" w:type="dxa"/>
            <w:shd w:val="clear" w:color="auto" w:fill="auto"/>
          </w:tcPr>
          <w:p w14:paraId="7A3A33FA" w14:textId="77777777" w:rsidR="001B7F77" w:rsidRPr="001B7F77" w:rsidRDefault="001B7F77" w:rsidP="00FD2721">
            <w:pPr>
              <w:pBdr>
                <w:top w:val="nil"/>
                <w:left w:val="nil"/>
                <w:bottom w:val="nil"/>
                <w:right w:val="nil"/>
                <w:between w:val="nil"/>
              </w:pBdr>
              <w:suppressAutoHyphens/>
              <w:spacing w:before="120"/>
              <w:rPr>
                <w:rFonts w:eastAsia="Times"/>
                <w:u w:val="single"/>
              </w:rPr>
            </w:pPr>
            <w:r w:rsidRPr="001B7F77">
              <w:rPr>
                <w:rFonts w:eastAsia="Times"/>
                <w:u w:val="single"/>
              </w:rPr>
              <w:t>79. Heating</w:t>
            </w:r>
          </w:p>
        </w:tc>
      </w:tr>
      <w:tr w:rsidR="001B7F77" w:rsidRPr="001B7F77" w14:paraId="18ECE787" w14:textId="77777777" w:rsidTr="006655A1">
        <w:trPr>
          <w:jc w:val="center"/>
        </w:trPr>
        <w:tc>
          <w:tcPr>
            <w:tcW w:w="1540" w:type="dxa"/>
            <w:shd w:val="clear" w:color="auto" w:fill="auto"/>
          </w:tcPr>
          <w:p w14:paraId="75D36472" w14:textId="77777777" w:rsidR="001B7F77" w:rsidRPr="001B7F77" w:rsidRDefault="001B7F77" w:rsidP="00FD2721">
            <w:pPr>
              <w:pBdr>
                <w:top w:val="nil"/>
                <w:left w:val="nil"/>
                <w:bottom w:val="nil"/>
                <w:right w:val="nil"/>
                <w:between w:val="nil"/>
              </w:pBdr>
              <w:suppressAutoHyphens/>
              <w:spacing w:before="120"/>
              <w:rPr>
                <w:rFonts w:eastAsia="Times"/>
                <w:u w:val="single"/>
              </w:rPr>
            </w:pPr>
          </w:p>
        </w:tc>
        <w:tc>
          <w:tcPr>
            <w:tcW w:w="6668" w:type="dxa"/>
            <w:shd w:val="clear" w:color="auto" w:fill="auto"/>
          </w:tcPr>
          <w:p w14:paraId="49C15529" w14:textId="77777777" w:rsidR="001B7F77" w:rsidRPr="001B7F77" w:rsidRDefault="001B7F77" w:rsidP="00FD2721">
            <w:pPr>
              <w:pBdr>
                <w:top w:val="nil"/>
                <w:left w:val="nil"/>
                <w:bottom w:val="nil"/>
                <w:right w:val="nil"/>
                <w:between w:val="nil"/>
              </w:pBdr>
              <w:suppressAutoHyphens/>
              <w:spacing w:before="120"/>
              <w:rPr>
                <w:rFonts w:eastAsia="Times"/>
                <w:u w:val="single"/>
              </w:rPr>
            </w:pPr>
            <w:r w:rsidRPr="001B7F77">
              <w:rPr>
                <w:rFonts w:eastAsia="Times"/>
                <w:u w:val="single"/>
              </w:rPr>
              <w:t>80. Cleanliness</w:t>
            </w:r>
          </w:p>
        </w:tc>
      </w:tr>
      <w:tr w:rsidR="001B7F77" w:rsidRPr="001B7F77" w14:paraId="708D0F5B" w14:textId="77777777" w:rsidTr="006655A1">
        <w:trPr>
          <w:jc w:val="center"/>
        </w:trPr>
        <w:tc>
          <w:tcPr>
            <w:tcW w:w="1540" w:type="dxa"/>
            <w:shd w:val="clear" w:color="auto" w:fill="auto"/>
          </w:tcPr>
          <w:p w14:paraId="537AF385" w14:textId="77777777" w:rsidR="001B7F77" w:rsidRPr="001B7F77" w:rsidRDefault="001B7F77" w:rsidP="00FD2721">
            <w:pPr>
              <w:pBdr>
                <w:top w:val="nil"/>
                <w:left w:val="nil"/>
                <w:bottom w:val="nil"/>
                <w:right w:val="nil"/>
                <w:between w:val="nil"/>
              </w:pBdr>
              <w:suppressAutoHyphens/>
              <w:spacing w:before="120"/>
              <w:rPr>
                <w:rFonts w:eastAsia="Times"/>
                <w:u w:val="single"/>
              </w:rPr>
            </w:pPr>
          </w:p>
        </w:tc>
        <w:tc>
          <w:tcPr>
            <w:tcW w:w="6668" w:type="dxa"/>
            <w:shd w:val="clear" w:color="auto" w:fill="auto"/>
          </w:tcPr>
          <w:p w14:paraId="2EDD081D" w14:textId="77777777" w:rsidR="001B7F77" w:rsidRPr="001B7F77" w:rsidRDefault="001B7F77" w:rsidP="00FD2721">
            <w:pPr>
              <w:pBdr>
                <w:top w:val="nil"/>
                <w:left w:val="nil"/>
                <w:bottom w:val="nil"/>
                <w:right w:val="nil"/>
                <w:between w:val="nil"/>
              </w:pBdr>
              <w:suppressAutoHyphens/>
              <w:spacing w:before="120"/>
              <w:rPr>
                <w:rFonts w:eastAsia="Times"/>
                <w:u w:val="single"/>
              </w:rPr>
            </w:pPr>
            <w:r w:rsidRPr="001B7F77">
              <w:rPr>
                <w:rFonts w:eastAsia="Times"/>
                <w:u w:val="single"/>
              </w:rPr>
              <w:t>81. Receptacles for waste matter</w:t>
            </w:r>
          </w:p>
        </w:tc>
      </w:tr>
      <w:tr w:rsidR="001B7F77" w:rsidRPr="001B7F77" w14:paraId="1DDA919E" w14:textId="77777777" w:rsidTr="006655A1">
        <w:trPr>
          <w:jc w:val="center"/>
        </w:trPr>
        <w:tc>
          <w:tcPr>
            <w:tcW w:w="1540" w:type="dxa"/>
            <w:shd w:val="clear" w:color="auto" w:fill="auto"/>
          </w:tcPr>
          <w:p w14:paraId="6E93198E" w14:textId="77777777" w:rsidR="001B7F77" w:rsidRPr="001B7F77" w:rsidRDefault="001B7F77" w:rsidP="00FD2721">
            <w:pPr>
              <w:pBdr>
                <w:top w:val="nil"/>
                <w:left w:val="nil"/>
                <w:bottom w:val="nil"/>
                <w:right w:val="nil"/>
                <w:between w:val="nil"/>
              </w:pBdr>
              <w:suppressAutoHyphens/>
              <w:spacing w:before="120"/>
              <w:rPr>
                <w:rFonts w:eastAsia="Times"/>
                <w:u w:val="single"/>
              </w:rPr>
            </w:pPr>
          </w:p>
        </w:tc>
        <w:tc>
          <w:tcPr>
            <w:tcW w:w="6668" w:type="dxa"/>
            <w:shd w:val="clear" w:color="auto" w:fill="auto"/>
          </w:tcPr>
          <w:p w14:paraId="1C485466" w14:textId="77777777" w:rsidR="001B7F77" w:rsidRPr="001B7F77" w:rsidRDefault="001B7F77" w:rsidP="00FD2721">
            <w:pPr>
              <w:pBdr>
                <w:top w:val="nil"/>
                <w:left w:val="nil"/>
                <w:bottom w:val="nil"/>
                <w:right w:val="nil"/>
                <w:between w:val="nil"/>
              </w:pBdr>
              <w:suppressAutoHyphens/>
              <w:spacing w:before="120"/>
              <w:rPr>
                <w:rFonts w:eastAsia="Times"/>
                <w:u w:val="single"/>
              </w:rPr>
            </w:pPr>
            <w:r w:rsidRPr="001B7F77">
              <w:rPr>
                <w:rFonts w:eastAsia="Times"/>
                <w:u w:val="single"/>
              </w:rPr>
              <w:t>83. Janitor or housekeeper</w:t>
            </w:r>
          </w:p>
        </w:tc>
      </w:tr>
    </w:tbl>
    <w:p w14:paraId="65111597" w14:textId="77777777" w:rsidR="001B7F77" w:rsidRPr="001B7F77" w:rsidRDefault="001B7F77" w:rsidP="00FD2721">
      <w:pPr>
        <w:pBdr>
          <w:top w:val="nil"/>
          <w:left w:val="nil"/>
          <w:bottom w:val="nil"/>
          <w:right w:val="nil"/>
          <w:between w:val="nil"/>
        </w:pBdr>
        <w:suppressAutoHyphens/>
        <w:spacing w:before="120"/>
        <w:ind w:left="360"/>
        <w:rPr>
          <w:rFonts w:eastAsia="Times"/>
          <w:b/>
          <w:color w:val="000000"/>
        </w:rPr>
      </w:pPr>
    </w:p>
    <w:p w14:paraId="5B762EBA" w14:textId="77777777" w:rsidR="001B7F77" w:rsidRPr="001B7F77" w:rsidRDefault="001B7F77" w:rsidP="00FD2721">
      <w:pPr>
        <w:pBdr>
          <w:top w:val="nil"/>
          <w:left w:val="nil"/>
          <w:bottom w:val="nil"/>
          <w:right w:val="nil"/>
          <w:between w:val="nil"/>
        </w:pBdr>
        <w:suppressAutoHyphens/>
        <w:spacing w:before="120"/>
        <w:ind w:left="360"/>
        <w:rPr>
          <w:rFonts w:eastAsia="Times"/>
          <w:color w:val="000000"/>
          <w:szCs w:val="24"/>
          <w:u w:val="single"/>
        </w:rPr>
      </w:pPr>
      <w:r w:rsidRPr="001B7F77">
        <w:rPr>
          <w:rFonts w:eastAsia="Times"/>
          <w:b/>
          <w:color w:val="000000"/>
          <w:szCs w:val="24"/>
          <w:u w:val="single"/>
        </w:rPr>
        <w:t>D701.1 Reconversion to tenements (MDL 9(6)).</w:t>
      </w:r>
      <w:r w:rsidRPr="001B7F77">
        <w:rPr>
          <w:rFonts w:eastAsia="Times"/>
          <w:color w:val="000000"/>
          <w:szCs w:val="24"/>
          <w:u w:val="single"/>
        </w:rPr>
        <w:t xml:space="preserve"> Any tenement previously converted to other uses may be altered or reconverted to a tenement by complying with the provisions of this Chapter D7 and any other applicable provisions of this code, including any applicable requirements of Chapter 10, provided, however, that its height and bulk were not enlarged prior to such alteration or reconversion except as permitted by and in accordance with the provisions of Sections D702.1 and D702.2.</w:t>
      </w:r>
    </w:p>
    <w:p w14:paraId="5FEB6C7C" w14:textId="77777777" w:rsidR="001B7F77" w:rsidRPr="001B7F77" w:rsidRDefault="001B7F77" w:rsidP="00FD2721">
      <w:pPr>
        <w:pBdr>
          <w:top w:val="nil"/>
          <w:left w:val="nil"/>
          <w:bottom w:val="nil"/>
          <w:right w:val="nil"/>
          <w:between w:val="nil"/>
        </w:pBdr>
        <w:suppressAutoHyphens/>
        <w:spacing w:before="120"/>
        <w:ind w:left="360"/>
        <w:rPr>
          <w:rFonts w:eastAsia="Times"/>
          <w:color w:val="000000"/>
          <w:szCs w:val="24"/>
          <w:u w:val="single"/>
        </w:rPr>
      </w:pPr>
      <w:r w:rsidRPr="001B7F77">
        <w:rPr>
          <w:rFonts w:eastAsia="Times"/>
          <w:b/>
          <w:color w:val="000000"/>
          <w:szCs w:val="24"/>
          <w:u w:val="single"/>
        </w:rPr>
        <w:t>D701.2 Conversion to HAEA (MDL 9(3)).</w:t>
      </w:r>
      <w:r w:rsidRPr="001B7F77">
        <w:rPr>
          <w:rFonts w:eastAsia="Times"/>
          <w:color w:val="000000"/>
          <w:szCs w:val="24"/>
          <w:u w:val="single"/>
        </w:rPr>
        <w:t xml:space="preserve"> Where multiple dwellings classified as OL and NL are converted to HAEA (2008+), they shall comply with the provision of Chapter D3 pursuant to Section D303, and the provisions of this Chapter D7 shall not apply.</w:t>
      </w:r>
    </w:p>
    <w:p w14:paraId="65ADC5DC" w14:textId="77777777" w:rsidR="001B7F77" w:rsidRPr="001B7F77" w:rsidRDefault="001B7F77" w:rsidP="00FD2721">
      <w:pPr>
        <w:pBdr>
          <w:top w:val="nil"/>
          <w:left w:val="nil"/>
          <w:bottom w:val="nil"/>
          <w:right w:val="nil"/>
          <w:between w:val="nil"/>
        </w:pBdr>
        <w:suppressAutoHyphens/>
        <w:spacing w:before="120"/>
        <w:ind w:left="720"/>
        <w:rPr>
          <w:szCs w:val="24"/>
          <w:u w:val="single"/>
        </w:rPr>
      </w:pPr>
      <w:r w:rsidRPr="001B7F77">
        <w:rPr>
          <w:rFonts w:eastAsia="Times"/>
          <w:b/>
          <w:color w:val="000000"/>
          <w:szCs w:val="24"/>
          <w:u w:val="single"/>
        </w:rPr>
        <w:t xml:space="preserve">D701.2.1 Increase in number of living rooms (MDL 9(10)). </w:t>
      </w:r>
      <w:r w:rsidRPr="001B7F77">
        <w:rPr>
          <w:szCs w:val="24"/>
          <w:u w:val="single"/>
        </w:rPr>
        <w:t>If any OL or NL is altered so as to increase the number of living rooms by more than 20 percent, such dwelling, except as otherwise provided in sections D702.8 and D703, shall be made to conform to the requirements of this code and Chapter D3 with respect to HAEA (2008+).</w:t>
      </w:r>
    </w:p>
    <w:p w14:paraId="568C6994" w14:textId="77777777" w:rsidR="001B7F77" w:rsidRPr="001B7F77" w:rsidRDefault="001B7F77" w:rsidP="00FD2721">
      <w:pPr>
        <w:pBdr>
          <w:top w:val="nil"/>
          <w:left w:val="nil"/>
          <w:bottom w:val="nil"/>
          <w:right w:val="nil"/>
          <w:between w:val="nil"/>
        </w:pBdr>
        <w:suppressAutoHyphens/>
        <w:spacing w:before="120"/>
        <w:ind w:left="360"/>
        <w:rPr>
          <w:rFonts w:eastAsia="Times"/>
          <w:color w:val="000000"/>
          <w:szCs w:val="24"/>
          <w:u w:val="single"/>
        </w:rPr>
      </w:pPr>
      <w:r w:rsidRPr="001B7F77">
        <w:rPr>
          <w:rFonts w:eastAsia="Times"/>
          <w:b/>
          <w:color w:val="000000"/>
          <w:szCs w:val="24"/>
          <w:u w:val="single"/>
        </w:rPr>
        <w:t>D701.3 Variation.</w:t>
      </w:r>
      <w:r w:rsidRPr="001B7F77">
        <w:rPr>
          <w:rFonts w:eastAsia="Times"/>
          <w:color w:val="000000"/>
          <w:szCs w:val="24"/>
          <w:u w:val="single"/>
        </w:rPr>
        <w:t xml:space="preserve"> The provisions of Section 28-103.3 of the </w:t>
      </w:r>
      <w:r w:rsidRPr="001B7F77">
        <w:rPr>
          <w:rFonts w:eastAsia="Times"/>
          <w:i/>
          <w:color w:val="000000"/>
          <w:szCs w:val="24"/>
          <w:u w:val="single"/>
        </w:rPr>
        <w:t>Administrative Code</w:t>
      </w:r>
      <w:r w:rsidRPr="001B7F77">
        <w:rPr>
          <w:rFonts w:eastAsia="Times"/>
          <w:color w:val="000000"/>
          <w:szCs w:val="24"/>
          <w:u w:val="single"/>
        </w:rPr>
        <w:t xml:space="preserve"> and Section 645(b)(2) of the New York City Charter shall not apply to this Chapter D7. However, the Board of Standards and Appeals may vary the provisions of this Chapter D7 pursuant to Section D105.2.</w:t>
      </w:r>
    </w:p>
    <w:p w14:paraId="63BB38BE" w14:textId="77777777" w:rsidR="001B7F77" w:rsidRPr="001B7F77" w:rsidRDefault="001B7F77" w:rsidP="00FD2721">
      <w:pPr>
        <w:pBdr>
          <w:top w:val="nil"/>
          <w:left w:val="nil"/>
          <w:bottom w:val="nil"/>
          <w:right w:val="nil"/>
          <w:between w:val="nil"/>
        </w:pBdr>
        <w:suppressAutoHyphens/>
        <w:spacing w:before="120"/>
        <w:rPr>
          <w:rFonts w:eastAsia="Times"/>
          <w:b/>
          <w:color w:val="000000"/>
          <w:szCs w:val="24"/>
          <w:u w:val="single"/>
        </w:rPr>
      </w:pPr>
      <w:r w:rsidRPr="001B7F77">
        <w:rPr>
          <w:rFonts w:eastAsia="Times"/>
          <w:b/>
          <w:color w:val="000000"/>
          <w:szCs w:val="24"/>
          <w:u w:val="single"/>
        </w:rPr>
        <w:t>D702 Light and air (MDL 7 Title 1)</w:t>
      </w:r>
    </w:p>
    <w:p w14:paraId="207CB308" w14:textId="77777777" w:rsidR="001B7F77" w:rsidRPr="001B7F77" w:rsidRDefault="001B7F77" w:rsidP="00FD2721">
      <w:pPr>
        <w:pBdr>
          <w:top w:val="nil"/>
          <w:left w:val="nil"/>
          <w:bottom w:val="nil"/>
          <w:right w:val="nil"/>
          <w:between w:val="nil"/>
        </w:pBdr>
        <w:suppressAutoHyphens/>
        <w:spacing w:before="120"/>
        <w:ind w:left="360"/>
        <w:rPr>
          <w:rFonts w:eastAsia="Times"/>
          <w:b/>
          <w:color w:val="000000"/>
          <w:szCs w:val="24"/>
          <w:u w:val="single"/>
        </w:rPr>
      </w:pPr>
      <w:r w:rsidRPr="001B7F77">
        <w:rPr>
          <w:rFonts w:eastAsia="Times"/>
          <w:b/>
          <w:color w:val="000000"/>
          <w:szCs w:val="24"/>
          <w:u w:val="single"/>
        </w:rPr>
        <w:t>D702.1 Height and bulk (MDL 211)</w:t>
      </w:r>
    </w:p>
    <w:p w14:paraId="6AED03DC"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 xml:space="preserve">D702.1.1 Limitations (MDL 211(1)). </w:t>
      </w:r>
      <w:r w:rsidRPr="001B7F77">
        <w:rPr>
          <w:rFonts w:eastAsia="Times"/>
          <w:color w:val="000000"/>
          <w:szCs w:val="24"/>
          <w:u w:val="single"/>
        </w:rPr>
        <w:t>No tenement shall be increased in height so that its height shall exceed 1.5 times the width of the widest street upon which it stands. Except as otherwise provided in Section D702.1.4, no non-fireproof tenement shall be increased in height so that it shall exceed 5 stories, except that any tenement may be increased to any height permitted for multiple dwellings erected after April 18, 1929, if such tenement is altered to comply as HAEA (2008+) in accordance with Section D303.</w:t>
      </w:r>
    </w:p>
    <w:p w14:paraId="21B9F37A"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 xml:space="preserve">D702.1.2 Rooftop structures (MDL 211(2)). </w:t>
      </w:r>
      <w:r w:rsidRPr="001B7F77">
        <w:rPr>
          <w:rFonts w:eastAsia="Times"/>
          <w:color w:val="000000"/>
          <w:szCs w:val="24"/>
          <w:u w:val="single"/>
        </w:rPr>
        <w:t>If there are bulkheads, superstructures or penthouses exceeding 10 feet (3048 mm) in height or exceeding in aggregate area 10 percent of the area of the roof, the measurement of height shall be taken to the top of such bulkhead, superstructure or penthouse, except that this shall not apply to elevator enclosures not exceeding 23 feet (7010 mm) in height used solely for elevator purposes, nor to open pergolas or similar open ornamental treatment of roof-gardens or playgrounds.</w:t>
      </w:r>
    </w:p>
    <w:p w14:paraId="75BE602A"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 xml:space="preserve">D702.1.3 Fireproof tenements (MDL 211(3)). </w:t>
      </w:r>
      <w:r w:rsidRPr="001B7F77">
        <w:rPr>
          <w:rFonts w:eastAsia="Times"/>
          <w:color w:val="000000"/>
          <w:szCs w:val="24"/>
          <w:u w:val="single"/>
        </w:rPr>
        <w:t>In a fireproof tenement in which one or more passenger elevators are operated, penthouses may be erected on the main roof. Such penthouses shall be set back at least 5 feet (1524 mm) from the front walls and 10 feet (3048 mm) from the rear walls of the dwelling and at least three feet from any court wall. Such penthouses shall have a clear inside height of not less than 9 feet (2743 mm) from finished floor to finished ceiling, and shall not exceed 12 feet (3658 mm) in height from the high point of the main roof to the highest point of the penthouse roof. Such penthouses shall not be deemed to affect the measurement of height of the dwelling. All such penthouses shall be entirely fireproof.</w:t>
      </w:r>
    </w:p>
    <w:p w14:paraId="237C2B16"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 xml:space="preserve">D702.1.4 Non-fireproof OLs (MDL 211(4)). </w:t>
      </w:r>
      <w:r w:rsidRPr="001B7F77">
        <w:rPr>
          <w:rFonts w:eastAsia="Times"/>
          <w:color w:val="000000"/>
          <w:szCs w:val="24"/>
          <w:u w:val="single"/>
        </w:rPr>
        <w:t>Any non-fireproof OL 5 stories in height may be increased in number of stories to 6 provided that such increase in number of stories does not result in an increase in the height of the roof beams above the curb level. In any tenement so altered, the first floor above the lowest cellar, or above the basement or other lowest story, shall be fireproof. Any yard or court of such altered tenement shall not be less in any dimension than the minimum dimensions imposed on new developments by the Zoning Resolution.</w:t>
      </w:r>
    </w:p>
    <w:p w14:paraId="6D8DC055" w14:textId="77777777" w:rsidR="001B7F77" w:rsidRPr="001B7F77" w:rsidRDefault="001B7F77" w:rsidP="00FD2721">
      <w:pPr>
        <w:pBdr>
          <w:top w:val="nil"/>
          <w:left w:val="nil"/>
          <w:bottom w:val="nil"/>
          <w:right w:val="nil"/>
          <w:between w:val="nil"/>
        </w:pBdr>
        <w:suppressAutoHyphens/>
        <w:spacing w:before="120"/>
        <w:ind w:left="360"/>
        <w:rPr>
          <w:rFonts w:eastAsia="Times"/>
          <w:b/>
          <w:color w:val="000000"/>
          <w:szCs w:val="24"/>
          <w:u w:val="single"/>
        </w:rPr>
      </w:pPr>
      <w:r w:rsidRPr="001B7F77">
        <w:rPr>
          <w:rFonts w:eastAsia="Times"/>
          <w:b/>
          <w:color w:val="000000"/>
          <w:szCs w:val="24"/>
          <w:u w:val="single"/>
        </w:rPr>
        <w:t>D702.2 Yards and courts (MDL 212)</w:t>
      </w:r>
    </w:p>
    <w:p w14:paraId="721878CF"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 xml:space="preserve">D702.2.1 Reduction in yards and courts prohibited (MDL 212(1)). </w:t>
      </w:r>
      <w:r w:rsidRPr="001B7F77">
        <w:rPr>
          <w:rFonts w:eastAsia="Times"/>
          <w:color w:val="000000"/>
          <w:szCs w:val="24"/>
          <w:u w:val="single"/>
        </w:rPr>
        <w:t>No tenement shall be enlarged or its zoning lot diminished in any way that would leave any yard or court less in any dimension than the minimum dimensions prescribed for yards or courts in the Zoning Resolution. The restrictions of this subdivision shall not apply to NLs, on lots which run through from one street to another street and do not exceed 100 feet (30 480 mm) in depth.</w:t>
      </w:r>
    </w:p>
    <w:p w14:paraId="2FDF87D3"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 xml:space="preserve">D702.2.2 Courts constructed after December 15, 1961 (MDL 212(2), MDL 26(7)(a)). </w:t>
      </w:r>
      <w:r w:rsidRPr="001B7F77">
        <w:rPr>
          <w:rFonts w:eastAsia="Times"/>
          <w:color w:val="000000"/>
          <w:szCs w:val="24"/>
          <w:u w:val="single"/>
        </w:rPr>
        <w:t>Any court constructed on or after December 15, 1961, in a tenement to ventilate any room, public hall, water-closet compartment or bathroom shall be of the dimensions prescribed in the Zoning Resolution, and such court shall under no circumstances be roofed or covered over at the top. For dwellings exceeding 2 stories in height, every such court, if an inner court, shall be provided at the bottom with one or more horizontal air-intakes of fireproof construction at or near the lowest level of such inner court, and shall communicate directly with a street or yard. Such in-take shall have a vertical cross-sectional area of not less than 21 square feet (2 m</w:t>
      </w:r>
      <w:r w:rsidRPr="001B7F77">
        <w:rPr>
          <w:rFonts w:eastAsia="Times"/>
          <w:color w:val="000000"/>
          <w:szCs w:val="24"/>
          <w:u w:val="single"/>
          <w:vertAlign w:val="superscript"/>
        </w:rPr>
        <w:t>2</w:t>
      </w:r>
      <w:r w:rsidRPr="001B7F77">
        <w:rPr>
          <w:rFonts w:eastAsia="Times"/>
          <w:color w:val="000000"/>
          <w:szCs w:val="24"/>
          <w:u w:val="single"/>
        </w:rPr>
        <w:t>) and a minimum width of not less than 3 feet (914 mm) in its least dimension, and shall be open and unobstructed throughout, except that where the intake is not used as a passage or exit, gates or grilles which do not interfere with ventilation may be installed.</w:t>
      </w:r>
    </w:p>
    <w:p w14:paraId="2D6A6F69"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 xml:space="preserve">D702.2.3 Courts constructed after April 18, 1929 (MDL 212(3)). </w:t>
      </w:r>
      <w:r w:rsidRPr="001B7F77">
        <w:rPr>
          <w:rFonts w:eastAsia="Times"/>
          <w:color w:val="000000"/>
          <w:szCs w:val="24"/>
          <w:u w:val="single"/>
        </w:rPr>
        <w:t>Any shaft or court constructed after April 18, 1929, which is used to light or ventilate any room occupied for living purposes in any OL shall be at least 25 square feet (2.3 m</w:t>
      </w:r>
      <w:r w:rsidRPr="001B7F77">
        <w:rPr>
          <w:rFonts w:eastAsia="Times"/>
          <w:color w:val="000000"/>
          <w:szCs w:val="24"/>
          <w:u w:val="single"/>
          <w:vertAlign w:val="superscript"/>
        </w:rPr>
        <w:t>2</w:t>
      </w:r>
      <w:r w:rsidRPr="001B7F77">
        <w:rPr>
          <w:rFonts w:eastAsia="Times"/>
          <w:color w:val="000000"/>
          <w:szCs w:val="24"/>
          <w:u w:val="single"/>
        </w:rPr>
        <w:t>) in area and 4 feet (1219 mm) in width in every part, and shall under no circumstances be roofed or covered over at the top. Every such shaft shall be provided at the bottom with a horizontal air-intake or duct at least 4 square feet (0.5 m</w:t>
      </w:r>
      <w:r w:rsidRPr="001B7F77">
        <w:rPr>
          <w:rFonts w:eastAsia="Times"/>
          <w:color w:val="000000"/>
          <w:szCs w:val="24"/>
          <w:u w:val="single"/>
          <w:vertAlign w:val="superscript"/>
        </w:rPr>
        <w:t>2</w:t>
      </w:r>
      <w:r w:rsidRPr="001B7F77">
        <w:rPr>
          <w:rFonts w:eastAsia="Times"/>
          <w:color w:val="000000"/>
          <w:szCs w:val="24"/>
          <w:u w:val="single"/>
        </w:rPr>
        <w:t>) in area communicating directly with a street or yard and so arranged as to be easily cleaned.</w:t>
      </w:r>
    </w:p>
    <w:p w14:paraId="6740ED1A"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 xml:space="preserve">D702.2.4 Access to clean shafts and courts (MDL 212(4)). </w:t>
      </w:r>
      <w:r w:rsidRPr="001B7F77">
        <w:rPr>
          <w:rFonts w:eastAsia="Times"/>
          <w:color w:val="000000"/>
          <w:szCs w:val="24"/>
          <w:u w:val="single"/>
        </w:rPr>
        <w:t>In every OL there shall be a door at the bottom of every shaft and inner court giving access to the shaft or court and whenever the shaft or inner court is less than 200 square feet (18.6 m</w:t>
      </w:r>
      <w:r w:rsidRPr="001B7F77">
        <w:rPr>
          <w:rFonts w:eastAsia="Times"/>
          <w:color w:val="000000"/>
          <w:szCs w:val="24"/>
          <w:u w:val="single"/>
          <w:vertAlign w:val="superscript"/>
        </w:rPr>
        <w:t>2</w:t>
      </w:r>
      <w:r w:rsidRPr="001B7F77">
        <w:rPr>
          <w:rFonts w:eastAsia="Times"/>
          <w:color w:val="000000"/>
          <w:szCs w:val="24"/>
          <w:u w:val="single"/>
        </w:rPr>
        <w:t>) in area or 10 feet (3 048 mm) in any dimension, such door and its assembly shall be fireproof with the door self-closing. Where a window or door existing on April 18, 1929, gives proper access to such a shaft or court, such window or door shall be deemed sufficient.</w:t>
      </w:r>
    </w:p>
    <w:p w14:paraId="40D4F61B" w14:textId="77777777" w:rsidR="001B7F77" w:rsidRPr="001B7F77" w:rsidRDefault="001B7F77" w:rsidP="00FD2721">
      <w:pPr>
        <w:pBdr>
          <w:top w:val="nil"/>
          <w:left w:val="nil"/>
          <w:bottom w:val="nil"/>
          <w:right w:val="nil"/>
          <w:between w:val="nil"/>
        </w:pBdr>
        <w:suppressAutoHyphens/>
        <w:spacing w:before="120"/>
        <w:ind w:left="360"/>
        <w:rPr>
          <w:rFonts w:eastAsia="Times"/>
          <w:b/>
          <w:color w:val="000000"/>
          <w:szCs w:val="24"/>
          <w:u w:val="single"/>
        </w:rPr>
      </w:pPr>
      <w:r w:rsidRPr="001B7F77">
        <w:rPr>
          <w:rFonts w:eastAsia="Times"/>
          <w:b/>
          <w:color w:val="000000"/>
          <w:szCs w:val="24"/>
          <w:u w:val="single"/>
        </w:rPr>
        <w:t>D702.3 Lighting and ventilation of rooms (MDL 213)</w:t>
      </w:r>
    </w:p>
    <w:p w14:paraId="44F246B8"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 xml:space="preserve">D702.3.1 Diminution of light or ventilation prohibited (MDL 213(1)). </w:t>
      </w:r>
      <w:r w:rsidRPr="001B7F77">
        <w:rPr>
          <w:rFonts w:eastAsia="Times"/>
          <w:color w:val="000000"/>
          <w:szCs w:val="24"/>
          <w:u w:val="single"/>
        </w:rPr>
        <w:t>No tenement, its zoning or tax lot or any room, public hall or stairs therein shall be so altered as to have its light or ventilation diminished in any way not approved by the department.</w:t>
      </w:r>
    </w:p>
    <w:p w14:paraId="1D8FE3AD"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 xml:space="preserve">D702.3.2 Windows in NLs (MDL 213(2)). </w:t>
      </w:r>
      <w:r w:rsidRPr="001B7F77">
        <w:rPr>
          <w:rFonts w:eastAsia="Times"/>
          <w:color w:val="000000"/>
          <w:szCs w:val="24"/>
          <w:u w:val="single"/>
        </w:rPr>
        <w:t>In every NL, every stair hall, public hall and living room and at least one water-closet compartment or bathroom containing a water-closet in each dwelling unit, shall have at least one window opening directly upon a street or upon a lawful yard or court existing on April 18, 1929. Such window shall be so located as to properly light all portions of such hall, room or compartment. Every part of a dwelling unit of 3 rooms or fewer in such a tenement shall be within 18 feet (5 486 mm) of a street or yard or have a window opening upon a lawful inner or outer court existing on April 18, 1929. When a room in a tenement opens upon an inner court on a lot line and less than 10 feet (3 048 mm) wide from the lot line to the opposite wall of the dwelling, such room shall be provided with a sash window communicating with another room in the same dwelling unit. Such window shall contain at least 10 square feet (1 m</w:t>
      </w:r>
      <w:r w:rsidRPr="001B7F77">
        <w:rPr>
          <w:rFonts w:eastAsia="Times"/>
          <w:color w:val="000000"/>
          <w:szCs w:val="24"/>
          <w:u w:val="single"/>
          <w:vertAlign w:val="superscript"/>
        </w:rPr>
        <w:t>2</w:t>
      </w:r>
      <w:r w:rsidRPr="001B7F77">
        <w:rPr>
          <w:rFonts w:eastAsia="Times"/>
          <w:color w:val="000000"/>
          <w:szCs w:val="24"/>
          <w:u w:val="single"/>
        </w:rPr>
        <w:t>) of glazed surface and be made so as to open readily.</w:t>
      </w:r>
    </w:p>
    <w:p w14:paraId="341E2DBA" w14:textId="77777777" w:rsidR="001B7F77" w:rsidRPr="001B7F77" w:rsidRDefault="001B7F77" w:rsidP="00FD2721">
      <w:pPr>
        <w:pBdr>
          <w:top w:val="nil"/>
          <w:left w:val="nil"/>
          <w:bottom w:val="nil"/>
          <w:right w:val="nil"/>
          <w:between w:val="nil"/>
        </w:pBdr>
        <w:suppressAutoHyphens/>
        <w:spacing w:before="120"/>
        <w:ind w:left="720"/>
        <w:rPr>
          <w:rFonts w:eastAsia="Times"/>
          <w:b/>
          <w:color w:val="000000"/>
          <w:szCs w:val="24"/>
          <w:u w:val="single"/>
        </w:rPr>
      </w:pPr>
      <w:r w:rsidRPr="001B7F77">
        <w:rPr>
          <w:rFonts w:eastAsia="Times"/>
          <w:b/>
          <w:color w:val="000000"/>
          <w:szCs w:val="24"/>
          <w:u w:val="single"/>
        </w:rPr>
        <w:t>D702.3.3 Intentionally omitted (MDL 213(3)).</w:t>
      </w:r>
    </w:p>
    <w:p w14:paraId="04CD1629" w14:textId="77777777" w:rsidR="001B7F77" w:rsidRPr="001B7F77" w:rsidRDefault="001B7F77" w:rsidP="00FD2721">
      <w:pPr>
        <w:pBdr>
          <w:top w:val="nil"/>
          <w:left w:val="nil"/>
          <w:bottom w:val="nil"/>
          <w:right w:val="nil"/>
          <w:between w:val="nil"/>
        </w:pBdr>
        <w:suppressAutoHyphens/>
        <w:spacing w:before="120"/>
        <w:ind w:left="720"/>
        <w:rPr>
          <w:rFonts w:eastAsia="Times"/>
          <w:b/>
          <w:color w:val="000000"/>
          <w:szCs w:val="24"/>
          <w:u w:val="single"/>
        </w:rPr>
      </w:pPr>
      <w:r w:rsidRPr="001B7F77">
        <w:rPr>
          <w:rFonts w:eastAsia="Times"/>
          <w:b/>
          <w:color w:val="000000"/>
          <w:szCs w:val="24"/>
          <w:u w:val="single"/>
        </w:rPr>
        <w:t>D702.3.4 Intentionally omitted (MDL 213(4)).</w:t>
      </w:r>
    </w:p>
    <w:p w14:paraId="4AD7D15A"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 xml:space="preserve">D702.3.5 Windows in OLs (MDL 213(5)). </w:t>
      </w:r>
      <w:r w:rsidRPr="001B7F77">
        <w:rPr>
          <w:rFonts w:eastAsia="Times"/>
          <w:color w:val="000000"/>
          <w:szCs w:val="24"/>
          <w:u w:val="single"/>
        </w:rPr>
        <w:t>Notwithstanding anything in Section D702.3 to the contrary, on and after June 13, 1970, no room in any OL shall be used for living purposes unless such room shall have a window opening directly upon the street, or upon a yard not less than 4 feet deep, or above the roof of an adjoining building, or upon a court or shaft of not less than 20 square feet (1.86 m</w:t>
      </w:r>
      <w:r w:rsidRPr="001B7F77">
        <w:rPr>
          <w:rFonts w:eastAsia="Times"/>
          <w:color w:val="000000"/>
          <w:szCs w:val="24"/>
          <w:u w:val="single"/>
          <w:vertAlign w:val="superscript"/>
        </w:rPr>
        <w:t>2</w:t>
      </w:r>
      <w:r w:rsidRPr="001B7F77">
        <w:rPr>
          <w:rFonts w:eastAsia="Times"/>
          <w:color w:val="000000"/>
          <w:szCs w:val="24"/>
          <w:u w:val="single"/>
        </w:rPr>
        <w:t>) in area, open to the sky without roof or skylight, unless such room is located on the top floor and is adequately lighted and ventilated by a skylight opening directly to the outer air. An alcove shall be deemed to comply with the requirements of this subdivision if:</w:t>
      </w:r>
    </w:p>
    <w:p w14:paraId="548734D9" w14:textId="77777777" w:rsidR="001B7F77" w:rsidRPr="001B7F77" w:rsidRDefault="001B7F77" w:rsidP="00FD2721">
      <w:pPr>
        <w:pBdr>
          <w:top w:val="nil"/>
          <w:left w:val="nil"/>
          <w:bottom w:val="nil"/>
          <w:right w:val="nil"/>
          <w:between w:val="nil"/>
        </w:pBdr>
        <w:suppressAutoHyphens/>
        <w:spacing w:before="120"/>
        <w:ind w:left="1440" w:hanging="360"/>
        <w:rPr>
          <w:rFonts w:eastAsia="Times"/>
          <w:szCs w:val="24"/>
          <w:u w:val="single"/>
        </w:rPr>
      </w:pPr>
      <w:r w:rsidRPr="001B7F77">
        <w:rPr>
          <w:rFonts w:eastAsia="Times"/>
          <w:color w:val="000000"/>
          <w:szCs w:val="24"/>
          <w:u w:val="single"/>
        </w:rPr>
        <w:t>1.</w:t>
      </w:r>
      <w:r w:rsidRPr="001B7F77">
        <w:rPr>
          <w:rFonts w:eastAsia="Times"/>
          <w:color w:val="000000"/>
          <w:szCs w:val="24"/>
          <w:u w:val="single"/>
        </w:rPr>
        <w:tab/>
        <w:t>It opens directly into an immediately adjoining room in the same dwelling unit;</w:t>
      </w:r>
    </w:p>
    <w:p w14:paraId="620349CA" w14:textId="77777777" w:rsidR="001B7F77" w:rsidRPr="001B7F77" w:rsidRDefault="001B7F77" w:rsidP="00FD2721">
      <w:pPr>
        <w:pBdr>
          <w:top w:val="nil"/>
          <w:left w:val="nil"/>
          <w:bottom w:val="nil"/>
          <w:right w:val="nil"/>
          <w:between w:val="nil"/>
        </w:pBdr>
        <w:suppressAutoHyphens/>
        <w:spacing w:before="120"/>
        <w:ind w:left="1440" w:hanging="360"/>
        <w:rPr>
          <w:rFonts w:eastAsia="Times"/>
          <w:color w:val="000000"/>
          <w:szCs w:val="24"/>
          <w:u w:val="single"/>
        </w:rPr>
      </w:pPr>
      <w:r w:rsidRPr="001B7F77">
        <w:rPr>
          <w:rFonts w:eastAsia="Times"/>
          <w:color w:val="000000"/>
          <w:szCs w:val="24"/>
          <w:u w:val="single"/>
        </w:rPr>
        <w:t>2.</w:t>
      </w:r>
      <w:r w:rsidRPr="001B7F77">
        <w:rPr>
          <w:rFonts w:eastAsia="Times"/>
          <w:color w:val="000000"/>
          <w:szCs w:val="24"/>
          <w:u w:val="single"/>
        </w:rPr>
        <w:tab/>
        <w:t>Such adjoining room opens directly on a street or yard; and</w:t>
      </w:r>
    </w:p>
    <w:p w14:paraId="3332A5DF" w14:textId="77777777" w:rsidR="001B7F77" w:rsidRPr="001B7F77" w:rsidRDefault="001B7F77" w:rsidP="00FD2721">
      <w:pPr>
        <w:pBdr>
          <w:top w:val="nil"/>
          <w:left w:val="nil"/>
          <w:bottom w:val="nil"/>
          <w:right w:val="nil"/>
          <w:between w:val="nil"/>
        </w:pBdr>
        <w:suppressAutoHyphens/>
        <w:spacing w:before="120"/>
        <w:ind w:left="1440" w:hanging="360"/>
        <w:rPr>
          <w:rFonts w:eastAsia="Times"/>
          <w:color w:val="000000"/>
          <w:szCs w:val="24"/>
          <w:u w:val="single"/>
        </w:rPr>
      </w:pPr>
      <w:r w:rsidRPr="001B7F77">
        <w:rPr>
          <w:rFonts w:eastAsia="Times"/>
          <w:color w:val="000000"/>
          <w:szCs w:val="24"/>
          <w:u w:val="single"/>
        </w:rPr>
        <w:t>3.</w:t>
      </w:r>
      <w:r w:rsidRPr="001B7F77">
        <w:rPr>
          <w:rFonts w:eastAsia="Times"/>
          <w:color w:val="000000"/>
          <w:szCs w:val="24"/>
          <w:u w:val="single"/>
        </w:rPr>
        <w:tab/>
        <w:t>A single unbroken open space occupies at least 60% of the area of the vertical plane between the alcove and such adjoining room. The required open space between any such alcove and an adjoining room through which it receives light and ventilation shall not be obstructed by any curtain, portiere, fixed or movable partition or other contrivance or device.</w:t>
      </w:r>
    </w:p>
    <w:p w14:paraId="39122D89" w14:textId="77777777" w:rsidR="001B7F77" w:rsidRPr="001B7F77" w:rsidRDefault="001B7F77" w:rsidP="00FD2721">
      <w:pPr>
        <w:pBdr>
          <w:top w:val="nil"/>
          <w:left w:val="nil"/>
          <w:bottom w:val="nil"/>
          <w:right w:val="nil"/>
          <w:between w:val="nil"/>
        </w:pBdr>
        <w:suppressAutoHyphens/>
        <w:spacing w:before="120"/>
        <w:ind w:left="360"/>
        <w:rPr>
          <w:rFonts w:eastAsia="Times"/>
          <w:b/>
          <w:color w:val="000000"/>
          <w:szCs w:val="24"/>
          <w:u w:val="single"/>
        </w:rPr>
      </w:pPr>
      <w:r w:rsidRPr="001B7F77">
        <w:rPr>
          <w:rFonts w:eastAsia="Times"/>
          <w:b/>
          <w:color w:val="000000"/>
          <w:szCs w:val="24"/>
          <w:u w:val="single"/>
        </w:rPr>
        <w:t>D702.4 Size of rooms (MDL 214)</w:t>
      </w:r>
    </w:p>
    <w:p w14:paraId="0969AC3A"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 xml:space="preserve">D702.4.1 Rooms in NLs (MDL 214(1)). </w:t>
      </w:r>
      <w:r w:rsidRPr="001B7F77">
        <w:rPr>
          <w:rFonts w:eastAsia="Times"/>
          <w:color w:val="000000"/>
          <w:szCs w:val="24"/>
          <w:u w:val="single"/>
        </w:rPr>
        <w:t>Rooms in NLs shall meet the following standards:</w:t>
      </w:r>
    </w:p>
    <w:p w14:paraId="3600DD2D" w14:textId="77777777" w:rsidR="001B7F77" w:rsidRPr="001B7F77" w:rsidRDefault="001B7F77" w:rsidP="00FD2721">
      <w:pPr>
        <w:pBdr>
          <w:top w:val="nil"/>
          <w:left w:val="nil"/>
          <w:bottom w:val="nil"/>
          <w:right w:val="nil"/>
          <w:between w:val="nil"/>
        </w:pBdr>
        <w:suppressAutoHyphens/>
        <w:spacing w:before="120"/>
        <w:ind w:left="1440" w:hanging="360"/>
        <w:rPr>
          <w:rFonts w:eastAsia="Times"/>
          <w:szCs w:val="24"/>
          <w:u w:val="single"/>
        </w:rPr>
      </w:pPr>
      <w:r w:rsidRPr="001B7F77">
        <w:rPr>
          <w:rFonts w:eastAsia="Times"/>
          <w:color w:val="000000"/>
          <w:szCs w:val="24"/>
          <w:u w:val="single"/>
        </w:rPr>
        <w:t>1.</w:t>
      </w:r>
      <w:r w:rsidRPr="001B7F77">
        <w:rPr>
          <w:rFonts w:eastAsia="Times"/>
          <w:color w:val="000000"/>
          <w:szCs w:val="24"/>
          <w:u w:val="single"/>
        </w:rPr>
        <w:tab/>
        <w:t>In each dwelling unit there shall be at least one living room containing at least 120 square feet (11 m</w:t>
      </w:r>
      <w:r w:rsidRPr="001B7F77">
        <w:rPr>
          <w:rFonts w:eastAsia="Times"/>
          <w:color w:val="000000"/>
          <w:szCs w:val="24"/>
          <w:u w:val="single"/>
          <w:vertAlign w:val="superscript"/>
        </w:rPr>
        <w:t>2</w:t>
      </w:r>
      <w:r w:rsidRPr="001B7F77">
        <w:rPr>
          <w:rFonts w:eastAsia="Times"/>
          <w:color w:val="000000"/>
          <w:szCs w:val="24"/>
          <w:u w:val="single"/>
        </w:rPr>
        <w:t>) of clear floor area, and every other living room except a kitchen shall contain at least 70 square feet (6.5 m</w:t>
      </w:r>
      <w:r w:rsidRPr="001B7F77">
        <w:rPr>
          <w:rFonts w:eastAsia="Times"/>
          <w:color w:val="000000"/>
          <w:szCs w:val="24"/>
          <w:u w:val="single"/>
          <w:vertAlign w:val="superscript"/>
        </w:rPr>
        <w:t>2</w:t>
      </w:r>
      <w:r w:rsidRPr="001B7F77">
        <w:rPr>
          <w:rFonts w:eastAsia="Times"/>
          <w:color w:val="000000"/>
          <w:szCs w:val="24"/>
          <w:u w:val="single"/>
        </w:rPr>
        <w:t>) of clear floor area.</w:t>
      </w:r>
    </w:p>
    <w:p w14:paraId="5A31D259" w14:textId="77777777" w:rsidR="001B7F77" w:rsidRPr="001B7F77" w:rsidRDefault="001B7F77" w:rsidP="00FD2721">
      <w:pPr>
        <w:pBdr>
          <w:top w:val="nil"/>
          <w:left w:val="nil"/>
          <w:bottom w:val="nil"/>
          <w:right w:val="nil"/>
          <w:between w:val="nil"/>
        </w:pBdr>
        <w:suppressAutoHyphens/>
        <w:spacing w:before="120"/>
        <w:ind w:left="1440" w:hanging="360"/>
        <w:rPr>
          <w:rFonts w:eastAsia="Times"/>
          <w:color w:val="000000"/>
          <w:szCs w:val="24"/>
          <w:u w:val="single"/>
        </w:rPr>
      </w:pPr>
      <w:r w:rsidRPr="001B7F77">
        <w:rPr>
          <w:rFonts w:eastAsia="Times"/>
          <w:color w:val="000000"/>
          <w:szCs w:val="24"/>
          <w:u w:val="single"/>
        </w:rPr>
        <w:t>2.</w:t>
      </w:r>
      <w:r w:rsidRPr="001B7F77">
        <w:rPr>
          <w:rFonts w:eastAsia="Times"/>
          <w:color w:val="000000"/>
          <w:szCs w:val="24"/>
          <w:u w:val="single"/>
        </w:rPr>
        <w:tab/>
        <w:t>Every living room which contains less than 80 square feet (7.5 m</w:t>
      </w:r>
      <w:r w:rsidRPr="001B7F77">
        <w:rPr>
          <w:rFonts w:eastAsia="Times"/>
          <w:color w:val="000000"/>
          <w:szCs w:val="24"/>
          <w:u w:val="single"/>
          <w:vertAlign w:val="superscript"/>
        </w:rPr>
        <w:t>2</w:t>
      </w:r>
      <w:r w:rsidRPr="001B7F77">
        <w:rPr>
          <w:rFonts w:eastAsia="Times"/>
          <w:color w:val="000000"/>
          <w:szCs w:val="24"/>
          <w:u w:val="single"/>
        </w:rPr>
        <w:t>) of clear floor area or which is located in the cellar or basement shall be at least 9 feet high, and every other living room at least 8 feet (2438 mm) high; these measurements to be taken from finished floor to finished ceiling.</w:t>
      </w:r>
    </w:p>
    <w:p w14:paraId="445F99B7" w14:textId="77777777" w:rsidR="001B7F77" w:rsidRPr="001B7F77" w:rsidRDefault="001B7F77" w:rsidP="00FD2721">
      <w:pPr>
        <w:pBdr>
          <w:top w:val="nil"/>
          <w:left w:val="nil"/>
          <w:bottom w:val="nil"/>
          <w:right w:val="nil"/>
          <w:between w:val="nil"/>
        </w:pBdr>
        <w:suppressAutoHyphens/>
        <w:spacing w:before="120"/>
        <w:ind w:left="1440" w:hanging="360"/>
        <w:rPr>
          <w:rFonts w:eastAsia="Times"/>
          <w:szCs w:val="24"/>
          <w:u w:val="single"/>
        </w:rPr>
      </w:pPr>
      <w:r w:rsidRPr="001B7F77">
        <w:rPr>
          <w:rFonts w:eastAsia="Times"/>
          <w:color w:val="000000"/>
          <w:szCs w:val="24"/>
          <w:u w:val="single"/>
        </w:rPr>
        <w:t>3.</w:t>
      </w:r>
      <w:r w:rsidRPr="001B7F77">
        <w:rPr>
          <w:rFonts w:eastAsia="Times"/>
          <w:color w:val="000000"/>
          <w:szCs w:val="24"/>
          <w:u w:val="single"/>
        </w:rPr>
        <w:tab/>
        <w:t>Every living room shall have a horizontal dimension of at least 6 feet and, if the tenement was erected after April 18, 1912, of at least 7 feet (2134 mm); except that the minimum horizontal dimension of any kitchen and of a maid's or servant's sleeping room in a fire-proof tenement in which one or more passenger elevators are operated, shall be 6 feet (1829 mm).</w:t>
      </w:r>
    </w:p>
    <w:p w14:paraId="2298E536"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 xml:space="preserve">D702.4.2 Dining bays in all tenements (MDL 214(2)). </w:t>
      </w:r>
      <w:r w:rsidRPr="001B7F77">
        <w:rPr>
          <w:rFonts w:eastAsia="Times"/>
          <w:color w:val="000000"/>
          <w:szCs w:val="24"/>
          <w:u w:val="single"/>
        </w:rPr>
        <w:t>In any tenement, dwelling units containing 3 or more rooms may have dining bays, which shall not exceed 55 square feet in floor surface area and shall not be deemed separate rooms or subject to the requirements for separate rooms or alcoves. Every such dining bay shall be equipped with such appropriate permanent fittings as may be required by the department and shall also be provided with at least 1 window opening directly upon a street or upon a yard or court which was lawful on April 18, 1929. The area of such window shall be at least one-eighth of the floor surface area of such dining bay. No dining bay shall be permitted in any dwelling unit containing fewer than 3 rooms.</w:t>
      </w:r>
    </w:p>
    <w:p w14:paraId="5E9E1963"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D702.4.3 Alterations in NLs and OLs.</w:t>
      </w:r>
      <w:r w:rsidRPr="001B7F77">
        <w:rPr>
          <w:rFonts w:eastAsia="Times"/>
          <w:color w:val="000000"/>
          <w:szCs w:val="24"/>
          <w:u w:val="single"/>
        </w:rPr>
        <w:t xml:space="preserve"> Alterations and changes of layouts in tenements shall comply with the minimum room sizes of Chapter 12 of the </w:t>
      </w:r>
      <w:r w:rsidRPr="001B7F77">
        <w:rPr>
          <w:rFonts w:eastAsia="Times"/>
          <w:i/>
          <w:iCs/>
          <w:color w:val="000000"/>
          <w:szCs w:val="24"/>
          <w:u w:val="single"/>
        </w:rPr>
        <w:t>New York City Building Code</w:t>
      </w:r>
      <w:r w:rsidRPr="001B7F77">
        <w:rPr>
          <w:rFonts w:eastAsia="Times"/>
          <w:color w:val="000000"/>
          <w:szCs w:val="24"/>
          <w:u w:val="single"/>
        </w:rPr>
        <w:t>.</w:t>
      </w:r>
    </w:p>
    <w:p w14:paraId="7240E3D2" w14:textId="77777777" w:rsidR="001B7F77" w:rsidRPr="001B7F77" w:rsidRDefault="001B7F77" w:rsidP="00FD2721">
      <w:pPr>
        <w:pBdr>
          <w:top w:val="nil"/>
          <w:left w:val="nil"/>
          <w:bottom w:val="nil"/>
          <w:right w:val="nil"/>
          <w:between w:val="nil"/>
        </w:pBdr>
        <w:suppressAutoHyphens/>
        <w:spacing w:before="120"/>
        <w:ind w:left="1080"/>
        <w:rPr>
          <w:rFonts w:eastAsia="Times"/>
          <w:color w:val="000000"/>
          <w:szCs w:val="24"/>
          <w:u w:val="single"/>
        </w:rPr>
      </w:pPr>
      <w:r w:rsidRPr="001B7F77">
        <w:rPr>
          <w:rFonts w:eastAsia="Times"/>
          <w:b/>
          <w:color w:val="000000"/>
          <w:szCs w:val="24"/>
          <w:u w:val="single"/>
        </w:rPr>
        <w:t xml:space="preserve">Exception. </w:t>
      </w:r>
      <w:r w:rsidRPr="001B7F77">
        <w:rPr>
          <w:rFonts w:eastAsia="Times"/>
          <w:color w:val="000000"/>
          <w:szCs w:val="24"/>
          <w:u w:val="single"/>
        </w:rPr>
        <w:t xml:space="preserve">The commissioner may authorize room sizes smaller than those required by Chapter 12 of the </w:t>
      </w:r>
      <w:r w:rsidRPr="001B7F77">
        <w:rPr>
          <w:rFonts w:eastAsia="Times"/>
          <w:i/>
          <w:iCs/>
          <w:color w:val="000000"/>
          <w:szCs w:val="24"/>
          <w:u w:val="single"/>
        </w:rPr>
        <w:t>New York City Building Code</w:t>
      </w:r>
      <w:r w:rsidRPr="001B7F77">
        <w:rPr>
          <w:rFonts w:eastAsia="Times"/>
          <w:color w:val="000000"/>
          <w:szCs w:val="24"/>
          <w:u w:val="single"/>
        </w:rPr>
        <w:t xml:space="preserve">, but no less than required by the applicable provisions of the MDL, where there is a practical difficulty in accomplishing compliance with Chapter 12 of the </w:t>
      </w:r>
      <w:r w:rsidRPr="001B7F77">
        <w:rPr>
          <w:rFonts w:eastAsia="Times"/>
          <w:i/>
          <w:iCs/>
          <w:color w:val="000000"/>
          <w:szCs w:val="24"/>
          <w:u w:val="single"/>
        </w:rPr>
        <w:t>New York City Building Code</w:t>
      </w:r>
      <w:r w:rsidRPr="001B7F77">
        <w:rPr>
          <w:rFonts w:eastAsia="Times"/>
          <w:color w:val="000000"/>
          <w:szCs w:val="24"/>
          <w:u w:val="single"/>
        </w:rPr>
        <w:t xml:space="preserve">. </w:t>
      </w:r>
    </w:p>
    <w:p w14:paraId="3E70EEF8" w14:textId="77777777" w:rsidR="001B7F77" w:rsidRPr="001B7F77" w:rsidRDefault="001B7F77" w:rsidP="00FD2721">
      <w:pPr>
        <w:pBdr>
          <w:top w:val="nil"/>
          <w:left w:val="nil"/>
          <w:bottom w:val="nil"/>
          <w:right w:val="nil"/>
          <w:between w:val="nil"/>
        </w:pBdr>
        <w:suppressAutoHyphens/>
        <w:spacing w:before="120"/>
        <w:ind w:left="360"/>
        <w:rPr>
          <w:rFonts w:eastAsia="Times"/>
          <w:color w:val="000000"/>
          <w:szCs w:val="24"/>
          <w:u w:val="single"/>
        </w:rPr>
      </w:pPr>
      <w:r w:rsidRPr="001B7F77">
        <w:rPr>
          <w:rFonts w:eastAsia="Times"/>
          <w:b/>
          <w:color w:val="000000"/>
          <w:szCs w:val="24"/>
          <w:u w:val="single"/>
        </w:rPr>
        <w:t xml:space="preserve">D702.5 Alcoves. (MDL 215) </w:t>
      </w:r>
      <w:r w:rsidRPr="001B7F77">
        <w:rPr>
          <w:rFonts w:eastAsia="Times"/>
          <w:color w:val="000000"/>
          <w:szCs w:val="24"/>
          <w:u w:val="single"/>
        </w:rPr>
        <w:t>No part of any room shall be enclosed or subdivided, wholly or in part, by a curtain, portiere, fixed or movable partition or other contrivance or device unless each such enclosure or subdivision shall contain a separate window conforming to the provisions of Section 30 of the MDL for rooms in multiple dwellings erected after April 8, 1929, and have a clear floor area of at least 70 square feet (6.5 m</w:t>
      </w:r>
      <w:r w:rsidRPr="001B7F77">
        <w:rPr>
          <w:rFonts w:eastAsia="Times"/>
          <w:color w:val="000000"/>
          <w:szCs w:val="24"/>
          <w:u w:val="single"/>
          <w:vertAlign w:val="superscript"/>
        </w:rPr>
        <w:t>2</w:t>
      </w:r>
      <w:r w:rsidRPr="001B7F77">
        <w:rPr>
          <w:rFonts w:eastAsia="Times"/>
          <w:color w:val="000000"/>
          <w:szCs w:val="24"/>
          <w:u w:val="single"/>
        </w:rPr>
        <w:t>).</w:t>
      </w:r>
    </w:p>
    <w:p w14:paraId="0D8C675B" w14:textId="77777777" w:rsidR="001B7F77" w:rsidRPr="001B7F77" w:rsidRDefault="001B7F77" w:rsidP="00FD2721">
      <w:pPr>
        <w:pBdr>
          <w:top w:val="nil"/>
          <w:left w:val="nil"/>
          <w:bottom w:val="nil"/>
          <w:right w:val="nil"/>
          <w:between w:val="nil"/>
        </w:pBdr>
        <w:suppressAutoHyphens/>
        <w:spacing w:before="120"/>
        <w:ind w:left="360"/>
        <w:rPr>
          <w:rFonts w:eastAsia="Times"/>
          <w:b/>
          <w:color w:val="000000"/>
          <w:szCs w:val="24"/>
          <w:u w:val="single"/>
        </w:rPr>
      </w:pPr>
      <w:r w:rsidRPr="001B7F77">
        <w:rPr>
          <w:rFonts w:eastAsia="Times"/>
          <w:b/>
          <w:color w:val="000000"/>
          <w:szCs w:val="24"/>
          <w:u w:val="single"/>
        </w:rPr>
        <w:t>D702.6 Rooms in basements and cellars (MDL 216)</w:t>
      </w:r>
    </w:p>
    <w:p w14:paraId="5E65B791"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D702.6.1 New rooms in basements or cellars (MDL 34(6), 26(8), 218(2)).</w:t>
      </w:r>
      <w:r w:rsidRPr="001B7F77">
        <w:rPr>
          <w:rFonts w:eastAsia="Times"/>
          <w:color w:val="000000"/>
          <w:szCs w:val="24"/>
          <w:u w:val="single"/>
        </w:rPr>
        <w:t xml:space="preserve"> Rooms created on or after </w:t>
      </w:r>
      <w:r w:rsidRPr="001B7F77">
        <w:rPr>
          <w:rFonts w:eastAsia="Times"/>
          <w:szCs w:val="24"/>
          <w:u w:val="single"/>
        </w:rPr>
        <w:t>the effective date of the local law that added this section</w:t>
      </w:r>
      <w:r w:rsidRPr="001B7F77">
        <w:rPr>
          <w:rFonts w:eastAsia="Times"/>
          <w:color w:val="000000"/>
          <w:szCs w:val="24"/>
          <w:u w:val="single"/>
        </w:rPr>
        <w:t xml:space="preserve"> in basements and cellars within dwelling units in tenements shall comply with the requirements of Section D305.4.</w:t>
      </w:r>
    </w:p>
    <w:p w14:paraId="7F4027A3"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D702.6.2 Existing rooms in basements and cellars (MDL 34(6), 216(5)).</w:t>
      </w:r>
      <w:r w:rsidRPr="001B7F77">
        <w:rPr>
          <w:rFonts w:eastAsia="Times"/>
          <w:color w:val="000000"/>
          <w:szCs w:val="24"/>
          <w:u w:val="single"/>
        </w:rPr>
        <w:t xml:space="preserve"> For the purposes of establishing the lawful conditions of existing rooms in basements or cellars within dwelling units in OLs or NLs, refer to Section D305.4.1, or Sections 216(1) to (4) of the MDL.</w:t>
      </w:r>
    </w:p>
    <w:p w14:paraId="5B3DA2FB" w14:textId="77777777" w:rsidR="001B7F77" w:rsidRPr="001B7F77" w:rsidRDefault="001B7F77" w:rsidP="00FD2721">
      <w:pPr>
        <w:pBdr>
          <w:top w:val="nil"/>
          <w:left w:val="nil"/>
          <w:bottom w:val="nil"/>
          <w:right w:val="nil"/>
          <w:between w:val="nil"/>
        </w:pBdr>
        <w:suppressAutoHyphens/>
        <w:spacing w:before="120"/>
        <w:ind w:left="360"/>
        <w:rPr>
          <w:rFonts w:eastAsia="Times"/>
          <w:b/>
          <w:color w:val="000000"/>
          <w:szCs w:val="24"/>
          <w:u w:val="single"/>
        </w:rPr>
      </w:pPr>
      <w:r w:rsidRPr="001B7F77">
        <w:rPr>
          <w:rFonts w:eastAsia="Times"/>
          <w:b/>
          <w:color w:val="000000"/>
          <w:szCs w:val="24"/>
          <w:u w:val="single"/>
        </w:rPr>
        <w:t>D702.7 Lighting and ventilation of public halls and stairs (MDL 217)</w:t>
      </w:r>
    </w:p>
    <w:p w14:paraId="66A2604E"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D702.7.1 Public halls in larger NLs (MDL 217(1)).</w:t>
      </w:r>
      <w:r w:rsidRPr="001B7F77">
        <w:rPr>
          <w:rFonts w:eastAsia="Times"/>
          <w:color w:val="000000"/>
          <w:szCs w:val="24"/>
          <w:u w:val="single"/>
        </w:rPr>
        <w:t xml:space="preserve"> In every NL which exceeds 4 stories in height or is occupied by 3 families or more on any story, every public hall shall have at least one window opening directly upon a street, yard or court. Such window shall be located at the end of the hall and at right angles to its length, with an additional window in each 30 feet of hall or fraction thereof beyond the first 60 feet (18 288 mm) from such end window if the tenement was erected after April 18, 1912; or, if the window is not located at the end of the hall, there shall be at least one window opening directly upon a street, yard or court in every 20 feet (6 096 mm) of the length of the hall or fraction thereof, measured from one end of hall; but the foregoing provisions shall not apply to that portion of an entrance hall between the entrance and the first flight of stairs if the entrance door contains 5 square feet (0.5 m</w:t>
      </w:r>
      <w:r w:rsidRPr="001B7F77">
        <w:rPr>
          <w:rFonts w:eastAsia="Times"/>
          <w:color w:val="000000"/>
          <w:szCs w:val="24"/>
          <w:u w:val="single"/>
          <w:vertAlign w:val="superscript"/>
        </w:rPr>
        <w:t>2</w:t>
      </w:r>
      <w:r w:rsidRPr="001B7F77">
        <w:rPr>
          <w:rFonts w:eastAsia="Times"/>
          <w:color w:val="000000"/>
          <w:szCs w:val="24"/>
          <w:u w:val="single"/>
        </w:rPr>
        <w:t>) or more of glazed surface.</w:t>
      </w:r>
    </w:p>
    <w:p w14:paraId="7E558A77"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 xml:space="preserve">D702.7.2 Public halls recesses in such larger NLs (MDL 217(2)). </w:t>
      </w:r>
      <w:r w:rsidRPr="001B7F77">
        <w:rPr>
          <w:rFonts w:eastAsia="Times"/>
          <w:color w:val="000000"/>
          <w:szCs w:val="24"/>
          <w:u w:val="single"/>
        </w:rPr>
        <w:t>When the length of any recess or return off of a public hall in a larger NL as described in Section D702.7.1 does not exceed twice its width, no window shall be required. However, if the length of a recess or return exceeds twice its width there shall be an additional window or windows meeting the requirements for a separate public hall.</w:t>
      </w:r>
    </w:p>
    <w:p w14:paraId="32ADFA48"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D702.7.3 Public halls in smaller NLs (MDL 217(3)).</w:t>
      </w:r>
      <w:r w:rsidRPr="001B7F77">
        <w:rPr>
          <w:rFonts w:eastAsia="Times"/>
          <w:color w:val="000000"/>
          <w:szCs w:val="24"/>
          <w:u w:val="single"/>
        </w:rPr>
        <w:t xml:space="preserve"> Except as provided in Section D702.7.4, a NL which is 4 stories or less in height and occupied by not more than 2 families on any story shall either have windows in its public halls as provided for in Section D702.7.1 or a stairwell, 12 inches (305 mm) or more in width extending from the entrance story to the roof. In such a tenement, except as provided in Section D702.7.4, every entrance door shall contain 5 square feet (0.5 m</w:t>
      </w:r>
      <w:r w:rsidRPr="001B7F77">
        <w:rPr>
          <w:rFonts w:eastAsia="Times"/>
          <w:color w:val="000000"/>
          <w:szCs w:val="24"/>
          <w:u w:val="single"/>
          <w:vertAlign w:val="superscript"/>
        </w:rPr>
        <w:t>2</w:t>
      </w:r>
      <w:r w:rsidRPr="001B7F77">
        <w:rPr>
          <w:rFonts w:eastAsia="Times"/>
          <w:color w:val="000000"/>
          <w:szCs w:val="24"/>
          <w:u w:val="single"/>
        </w:rPr>
        <w:t>) or more of glazed surface, and all doors leading from the public halls shall be provided with translucent glass panels 5 square feet or more in area for each door and fixed transoms of translucent glass over each door.</w:t>
      </w:r>
    </w:p>
    <w:p w14:paraId="57676A28"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D702.7.4 Exceptions for windows and stairwells in smaller NLs (MDL 217(4)).</w:t>
      </w:r>
      <w:r w:rsidRPr="001B7F77">
        <w:rPr>
          <w:rFonts w:eastAsia="Times"/>
          <w:color w:val="000000"/>
          <w:szCs w:val="24"/>
          <w:u w:val="single"/>
        </w:rPr>
        <w:t xml:space="preserve"> Neither windows nor a stairwell shall be required in a NL which do not exceed 3 stories in height or 55 feet (16 764 mm) in depth and which are occupied by not more than 1 family on any story and in which the stairs descend in a straight and continuous run from the top story to the entrance story with proper landings at each story. Such tenements shall not be required to have glass panels or transoms in the doors leading from the public halls.</w:t>
      </w:r>
    </w:p>
    <w:p w14:paraId="35605DBE"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D702.7.5 Public hall window dimensions for NLs (MDL 217(5)).</w:t>
      </w:r>
      <w:r w:rsidRPr="001B7F77">
        <w:rPr>
          <w:rFonts w:eastAsia="Times"/>
          <w:color w:val="000000"/>
          <w:szCs w:val="24"/>
          <w:u w:val="single"/>
        </w:rPr>
        <w:t xml:space="preserve"> In every public hall that is provided with a window or windows in a NL, at least one such window shall be at least 2 feet 6 inches wide (762 mm) and 5 feet (1 524 mm) high.</w:t>
      </w:r>
    </w:p>
    <w:p w14:paraId="4CF91A5D"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D702.7.6 Stairs in NLs (MDL 217(6)).</w:t>
      </w:r>
      <w:r w:rsidRPr="001B7F77">
        <w:rPr>
          <w:rFonts w:eastAsia="Times"/>
          <w:color w:val="000000"/>
          <w:szCs w:val="24"/>
          <w:u w:val="single"/>
        </w:rPr>
        <w:t xml:space="preserve"> In every NL there shall be provided, at every floor level, a window opening upon a street, yard, court or space above a setback to light and ventilate every stair. Every such required window shall be of the size required by Section D702.7.5, except that a window opening upon a street need be only 4 feet (1 219 mm) high. On the top story a ventilating skylight of the same dimensions shall be accepted in lieu of a window for that story.</w:t>
      </w:r>
    </w:p>
    <w:p w14:paraId="0B75418C"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D702.7.7 Ventilating skylights in NLs (MDL 217(7)).</w:t>
      </w:r>
      <w:r w:rsidRPr="001B7F77">
        <w:rPr>
          <w:rFonts w:eastAsia="Times"/>
          <w:color w:val="000000"/>
          <w:szCs w:val="24"/>
          <w:u w:val="single"/>
        </w:rPr>
        <w:t xml:space="preserve"> In every NL there shall be in the roof, directly over each stairwell, a ventilating skylight provided with ridge ventilators having an opening of at least 40 square inches (25 806 mm</w:t>
      </w:r>
      <w:r w:rsidRPr="001B7F77">
        <w:rPr>
          <w:rFonts w:eastAsia="Times"/>
          <w:color w:val="000000"/>
          <w:szCs w:val="24"/>
          <w:u w:val="single"/>
          <w:vertAlign w:val="superscript"/>
        </w:rPr>
        <w:t>2</w:t>
      </w:r>
      <w:r w:rsidRPr="001B7F77">
        <w:rPr>
          <w:rFonts w:eastAsia="Times"/>
          <w:color w:val="000000"/>
          <w:szCs w:val="24"/>
          <w:u w:val="single"/>
        </w:rPr>
        <w:t>), or provided with fixed or movable louvres. The roof of every such skylight shall have at least 20 square feet (2 m</w:t>
      </w:r>
      <w:r w:rsidRPr="001B7F77">
        <w:rPr>
          <w:rFonts w:eastAsia="Times"/>
          <w:color w:val="000000"/>
          <w:szCs w:val="24"/>
          <w:u w:val="single"/>
          <w:vertAlign w:val="superscript"/>
        </w:rPr>
        <w:t>2</w:t>
      </w:r>
      <w:r w:rsidRPr="001B7F77">
        <w:rPr>
          <w:rFonts w:eastAsia="Times"/>
          <w:color w:val="000000"/>
          <w:szCs w:val="24"/>
          <w:u w:val="single"/>
        </w:rPr>
        <w:t>) of glazed surface. If the stairs and public halls are not provided at each story with windows opening directly to the outer air, the skylights shall be provided with ridge ventilators and also with fixed or movable louvres or movable sashes.</w:t>
      </w:r>
    </w:p>
    <w:p w14:paraId="2C605095"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D702.7.8 Glazed doors in lieu of windows in NLs (MDL 217(8)).</w:t>
      </w:r>
      <w:r w:rsidRPr="001B7F77">
        <w:rPr>
          <w:rFonts w:eastAsia="Times"/>
          <w:color w:val="000000"/>
          <w:szCs w:val="24"/>
          <w:u w:val="single"/>
        </w:rPr>
        <w:t xml:space="preserve"> A sash door shall be deemed the equivalent of a window for the purposes of this Section 702.7 if it contains the amount of glazed surface prescribed for such windows.</w:t>
      </w:r>
    </w:p>
    <w:p w14:paraId="06002ADD"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D702.7.9 Public halls and stairs in OLs (MDL 217(9)).</w:t>
      </w:r>
      <w:r w:rsidRPr="001B7F77">
        <w:rPr>
          <w:rFonts w:eastAsia="Times"/>
          <w:color w:val="000000"/>
          <w:szCs w:val="24"/>
          <w:u w:val="single"/>
        </w:rPr>
        <w:t xml:space="preserve"> In all OLs the public halls and stairs shall be provided with such skylights, ventilators, windows in bulkheads or other means of lighting and ventilation as may be deemed practicable by the department.</w:t>
      </w:r>
    </w:p>
    <w:p w14:paraId="4F7925BE"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D702.7.10 Ventilating skylights in OLs (MDL 217(10)).</w:t>
      </w:r>
      <w:r w:rsidRPr="001B7F77">
        <w:rPr>
          <w:rFonts w:eastAsia="Times"/>
          <w:color w:val="000000"/>
          <w:szCs w:val="24"/>
          <w:u w:val="single"/>
        </w:rPr>
        <w:t xml:space="preserve"> All skylights installed in OLs after April 18, 1929, shall be provided with ridge ventilators having an opening of at least 40 square inches (25 806 mm</w:t>
      </w:r>
      <w:r w:rsidRPr="001B7F77">
        <w:rPr>
          <w:rFonts w:eastAsia="Times"/>
          <w:color w:val="000000"/>
          <w:szCs w:val="24"/>
          <w:u w:val="single"/>
          <w:vertAlign w:val="superscript"/>
        </w:rPr>
        <w:t>2</w:t>
      </w:r>
      <w:r w:rsidRPr="001B7F77">
        <w:rPr>
          <w:rFonts w:eastAsia="Times"/>
          <w:color w:val="000000"/>
          <w:szCs w:val="24"/>
          <w:u w:val="single"/>
        </w:rPr>
        <w:t>) and also with fixed or movable louvres or with movable sashes. They shall be of such size as may be determined to be practicable by the department, and the roofs of such skylights shall be glazed with plain glass equipped with suitable wire screen above and below.</w:t>
      </w:r>
    </w:p>
    <w:p w14:paraId="75A9D278"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 xml:space="preserve">D702.7.11 </w:t>
      </w:r>
      <w:r w:rsidRPr="001B7F77">
        <w:rPr>
          <w:rFonts w:eastAsia="Times"/>
          <w:b/>
          <w:szCs w:val="24"/>
          <w:u w:val="single"/>
        </w:rPr>
        <w:t>Public hall</w:t>
      </w:r>
      <w:r w:rsidRPr="001B7F77">
        <w:rPr>
          <w:rFonts w:eastAsia="Times"/>
          <w:b/>
          <w:color w:val="000000"/>
          <w:szCs w:val="24"/>
          <w:u w:val="single"/>
        </w:rPr>
        <w:t xml:space="preserve"> </w:t>
      </w:r>
      <w:r w:rsidRPr="001B7F77">
        <w:rPr>
          <w:rFonts w:eastAsia="Times"/>
          <w:b/>
          <w:szCs w:val="24"/>
          <w:u w:val="single"/>
        </w:rPr>
        <w:t>windows</w:t>
      </w:r>
      <w:r w:rsidRPr="001B7F77">
        <w:rPr>
          <w:rFonts w:eastAsia="Times"/>
          <w:b/>
          <w:color w:val="000000"/>
          <w:szCs w:val="24"/>
          <w:u w:val="single"/>
        </w:rPr>
        <w:t xml:space="preserve"> in OLs (MDL 217(11)). </w:t>
      </w:r>
      <w:r w:rsidRPr="001B7F77">
        <w:rPr>
          <w:rFonts w:eastAsia="Times"/>
          <w:color w:val="000000"/>
          <w:szCs w:val="24"/>
          <w:u w:val="single"/>
        </w:rPr>
        <w:t>Whenever a public hall in any OL 4 stories or more in height is not light enough in the daytime to permit a person to read in every part thereof without the aid of artificial light, every door at the end of such hall or opening therefrom into a room shall have a glass panel or panels of an aggregate area of at least 4 square feet (0.5 m</w:t>
      </w:r>
      <w:r w:rsidRPr="001B7F77">
        <w:rPr>
          <w:rFonts w:eastAsia="Times"/>
          <w:color w:val="000000"/>
          <w:szCs w:val="24"/>
          <w:u w:val="single"/>
          <w:vertAlign w:val="superscript"/>
        </w:rPr>
        <w:t>2</w:t>
      </w:r>
      <w:r w:rsidRPr="001B7F77">
        <w:rPr>
          <w:rFonts w:eastAsia="Times"/>
          <w:color w:val="000000"/>
          <w:szCs w:val="24"/>
          <w:u w:val="single"/>
        </w:rPr>
        <w:t>); or in lieu thereof such hall may be lighted by a window or windows opening upon a street or upon a lawful yard, court or shaft, with the plane of each such window at right angles to the length of the hall. In any such tenement any public hall or stair that is not provided with a window opening directly upon a street or yard and is not sufficiently lighted in the opinion of the department, such space shall be provided by the owner with artificial light, which shall be kept burning at all times.</w:t>
      </w:r>
    </w:p>
    <w:p w14:paraId="0EFC4DBE"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 xml:space="preserve">D702.7.12 Separate public halls (MDL 217 (12)). </w:t>
      </w:r>
      <w:r w:rsidRPr="001B7F77">
        <w:rPr>
          <w:rFonts w:eastAsia="Times"/>
          <w:color w:val="000000"/>
          <w:szCs w:val="24"/>
          <w:u w:val="single"/>
        </w:rPr>
        <w:t>Any part of a public hall that is shut off from any other part of such hall by a door or doors shall be deemed a separate hall for the purposes of this Section D702.7.</w:t>
      </w:r>
    </w:p>
    <w:p w14:paraId="003F2727" w14:textId="77777777" w:rsidR="001B7F77" w:rsidRPr="001B7F77" w:rsidRDefault="001B7F77" w:rsidP="00FD2721">
      <w:pPr>
        <w:pBdr>
          <w:top w:val="nil"/>
          <w:left w:val="nil"/>
          <w:bottom w:val="nil"/>
          <w:right w:val="nil"/>
          <w:between w:val="nil"/>
        </w:pBdr>
        <w:suppressAutoHyphens/>
        <w:spacing w:before="120"/>
        <w:ind w:left="360"/>
        <w:rPr>
          <w:rFonts w:eastAsia="Times"/>
          <w:b/>
          <w:color w:val="000000"/>
          <w:szCs w:val="24"/>
          <w:u w:val="single"/>
        </w:rPr>
      </w:pPr>
      <w:r w:rsidRPr="001B7F77">
        <w:rPr>
          <w:rFonts w:eastAsia="Times"/>
          <w:b/>
          <w:color w:val="000000"/>
          <w:szCs w:val="24"/>
          <w:u w:val="single"/>
        </w:rPr>
        <w:t>D702.8 Certain alterations (MDL 218)</w:t>
      </w:r>
    </w:p>
    <w:p w14:paraId="11CDAE54"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 xml:space="preserve">D702.8.1 Alterations to certain NL units (MDL 218(1)). </w:t>
      </w:r>
      <w:r w:rsidRPr="001B7F77">
        <w:rPr>
          <w:rFonts w:eastAsia="Times"/>
          <w:color w:val="000000"/>
          <w:szCs w:val="24"/>
          <w:u w:val="single"/>
        </w:rPr>
        <w:t>Any non-fireproof NL erected after May 15, 1902, having dwelling units extending from street to yard and having one or more outer courts on a side lot line 4 feet (1 219 mm) or more in width or inner courts which alone or together with adjoining courts are 8 feet (2 438 mm) or more in width and 12 feet 6 inches (3 810 mm) or more in depth, may be altered into dwelling units opening either on the street or the yard, provided all such altered dwelling units also have windows opening on such a court. All such altered dwelling units shall be provided with a second means of egress as required by Section D703.2. The entrance and stair halls of such tenement shall be enclosed in fire barriers with a fire-resistance rating of at least 1-hour.</w:t>
      </w:r>
    </w:p>
    <w:p w14:paraId="1AA597F9"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 xml:space="preserve">D702.8.2. New rooms in basements or cellars (MDL 218(2)). </w:t>
      </w:r>
      <w:r w:rsidRPr="001B7F77">
        <w:rPr>
          <w:rFonts w:eastAsia="Times"/>
          <w:color w:val="000000"/>
          <w:szCs w:val="24"/>
          <w:u w:val="single"/>
        </w:rPr>
        <w:t>See section D702.6.1.</w:t>
      </w:r>
    </w:p>
    <w:p w14:paraId="5DC3E9ED"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 xml:space="preserve">D702.8.3 Alterations to rooms and halls (MDL 218(3)). </w:t>
      </w:r>
      <w:r w:rsidRPr="001B7F77">
        <w:rPr>
          <w:rFonts w:eastAsia="Times"/>
          <w:color w:val="000000"/>
          <w:szCs w:val="24"/>
          <w:u w:val="single"/>
        </w:rPr>
        <w:t>Any additional room or hall constructed or created in a tenement shall comply in all respects with the provisions of Chapter D7 respecting rooms or halls in NLs erected after April 18, 1912.</w:t>
      </w:r>
    </w:p>
    <w:p w14:paraId="3FF21D85"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 xml:space="preserve">D702.8.4 Increasing or decreasing the number of apartments or suites in NLs (MDL 218(4)). </w:t>
      </w:r>
      <w:r w:rsidRPr="001B7F77">
        <w:rPr>
          <w:rFonts w:eastAsia="Times"/>
          <w:color w:val="000000"/>
          <w:szCs w:val="24"/>
          <w:u w:val="single"/>
        </w:rPr>
        <w:t>The number of apartments or suites of rooms on any story in any NL may be altered so as to increase or decrease the number of living rooms provided such dwelling shall conform with the applicable provisions of Sections D703.6 and D703.7.</w:t>
      </w:r>
    </w:p>
    <w:p w14:paraId="46633D00"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 xml:space="preserve">D702.8.5 Increasing the number of apartments or suites in OLs (MDL 218(5)). </w:t>
      </w:r>
      <w:r w:rsidRPr="001B7F77">
        <w:rPr>
          <w:rFonts w:eastAsia="Times"/>
          <w:color w:val="000000"/>
          <w:szCs w:val="24"/>
          <w:u w:val="single"/>
        </w:rPr>
        <w:t>If the number of apartments or suites of rooms in any OL is increased, the altered apartment(s) shall be separated from other dwelling units and from public halls, public vestibules, public rooms or other public parts of a dwelling by 1-hour fire barriers and horizontal assemblies, the stairs shall extend to the roof and there shall be no inside stairs from the entrance story to a cellar, or to a basement or other story below the entrance story. However, such inside stair may be permitted provided such stair is constructed of incombustible material, has closed risers, is enclosed between the entrance story and the next lowest story with fireproof materials having a standard fire-resistive rating of at least 3 hours, and has fireproof doors and door assemblies at the top and bottom with the doors and door assemblies at the top and bottom with the doors self-closing. The soffit of any stair immediately above an inside cellar stair shall be fire-retarded and the jib partitions enclosing such cellar stair at the first story shall be 1-hour fire barriers.</w:t>
      </w:r>
    </w:p>
    <w:p w14:paraId="6827FFFD"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 xml:space="preserve">D702.8.6 Increasing the number of rooms in OLs, increasing the building height of OLs or combining OLs (MDL 218(6)). </w:t>
      </w:r>
      <w:r w:rsidRPr="001B7F77">
        <w:rPr>
          <w:rFonts w:eastAsia="Times"/>
          <w:color w:val="000000"/>
          <w:szCs w:val="24"/>
          <w:u w:val="single"/>
        </w:rPr>
        <w:t>If any OL shall be so altered as to increase the number of rooms therein by one-third or more, or if such tenement is increased both in number of rooms and in height and after such alteration is more than 4 stories or parts of stories above the curb level, or if such tenement is over 3 stories in height and is combined with another old-law tenement and the combined area on any story exceeds 3,000 square feet (278.5 m</w:t>
      </w:r>
      <w:r w:rsidRPr="001B7F77">
        <w:rPr>
          <w:rFonts w:eastAsia="Times"/>
          <w:color w:val="000000"/>
          <w:szCs w:val="24"/>
          <w:u w:val="single"/>
          <w:vertAlign w:val="superscript"/>
        </w:rPr>
        <w:t>2</w:t>
      </w:r>
      <w:r w:rsidRPr="001B7F77">
        <w:rPr>
          <w:rFonts w:eastAsia="Times"/>
          <w:color w:val="000000"/>
          <w:szCs w:val="24"/>
          <w:u w:val="single"/>
        </w:rPr>
        <w:t>), the stairs, stair halls, entrance halls and other public halls of the whole dwelling shall be made to conform to all of the NL requirements of Sections D703.4.2 (MDL 233), D703.5 (MDL 234), D703.6 (MDL 235), D703.7 (MDL 236), D703.8 (MDL 237) and D703.9 (MDL 238), except that such combined tenements, if over 3 stories in height, shall have in the roof a fireproof bulkhead with a fireproof self-closing door.</w:t>
      </w:r>
    </w:p>
    <w:p w14:paraId="619488B1"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 xml:space="preserve">D702.8.7 Increasing the number of apartments or suites in OLs (MDL 218(7)). </w:t>
      </w:r>
      <w:r w:rsidRPr="001B7F77">
        <w:rPr>
          <w:rFonts w:eastAsia="Times"/>
          <w:color w:val="000000"/>
          <w:szCs w:val="24"/>
          <w:u w:val="single"/>
        </w:rPr>
        <w:t>In lieu of fire retarding of the stairs soffits required under Section D702.8.5, there may be installed in public halls an automatic dry pipe valve system or, where halls are heated, an automatic wet pipe system. Where a sprinkler system is installed it shall be equipped on each story with heads in such number and spaced to protect the complete area of the public halls and stairs and shall be constructed, located and arranged on every stair and entrance hall and in every closet opening therefrom in such a manner as the department may require. Such sprinkler system shall be maintained continuously in good repair and serviceable condition.</w:t>
      </w:r>
    </w:p>
    <w:p w14:paraId="1A4CCAD7" w14:textId="77777777" w:rsidR="001B7F77" w:rsidRPr="001B7F77" w:rsidRDefault="001B7F77" w:rsidP="00FD2721">
      <w:pPr>
        <w:pBdr>
          <w:top w:val="nil"/>
          <w:left w:val="nil"/>
          <w:bottom w:val="nil"/>
          <w:right w:val="nil"/>
          <w:between w:val="nil"/>
        </w:pBdr>
        <w:suppressAutoHyphens/>
        <w:spacing w:before="120"/>
        <w:rPr>
          <w:rFonts w:eastAsia="Times"/>
          <w:b/>
          <w:color w:val="000000"/>
          <w:szCs w:val="24"/>
          <w:u w:val="single"/>
        </w:rPr>
      </w:pPr>
      <w:r w:rsidRPr="001B7F77">
        <w:rPr>
          <w:rFonts w:eastAsia="Times"/>
          <w:b/>
          <w:color w:val="000000"/>
          <w:szCs w:val="24"/>
          <w:u w:val="single"/>
        </w:rPr>
        <w:t>D703 Fire protection (MDL 7 Title 2)</w:t>
      </w:r>
    </w:p>
    <w:p w14:paraId="0F0E5A19" w14:textId="77777777" w:rsidR="001B7F77" w:rsidRPr="001B7F77" w:rsidRDefault="001B7F77" w:rsidP="00FD2721">
      <w:pPr>
        <w:pBdr>
          <w:top w:val="nil"/>
          <w:left w:val="nil"/>
          <w:bottom w:val="nil"/>
          <w:right w:val="nil"/>
          <w:between w:val="nil"/>
        </w:pBdr>
        <w:suppressAutoHyphens/>
        <w:spacing w:before="120"/>
        <w:ind w:left="360"/>
        <w:rPr>
          <w:rFonts w:eastAsia="Times"/>
          <w:i/>
          <w:iCs/>
          <w:color w:val="000000"/>
          <w:szCs w:val="24"/>
          <w:u w:val="single"/>
        </w:rPr>
      </w:pPr>
      <w:r w:rsidRPr="001B7F77">
        <w:rPr>
          <w:rFonts w:eastAsia="Times"/>
          <w:b/>
          <w:color w:val="000000"/>
          <w:szCs w:val="24"/>
          <w:u w:val="single"/>
        </w:rPr>
        <w:t xml:space="preserve">D703.1 Chimneys and fireplaces (MDL 230). </w:t>
      </w:r>
      <w:r w:rsidRPr="001B7F77">
        <w:rPr>
          <w:rFonts w:eastAsia="Times"/>
          <w:color w:val="000000"/>
          <w:szCs w:val="24"/>
          <w:u w:val="single"/>
        </w:rPr>
        <w:t xml:space="preserve">In every existing tenement which is not heated from a central heating plant there shall be adequate flues or chimneys through every floor with a fireplace or place for a stove properly connected with one of such flues or chimneys for every dwelling unit. New installations shall be in accordance with the </w:t>
      </w:r>
      <w:r w:rsidRPr="001B7F77">
        <w:rPr>
          <w:rFonts w:eastAsia="Times"/>
          <w:i/>
          <w:iCs/>
          <w:color w:val="000000"/>
          <w:szCs w:val="24"/>
          <w:u w:val="single"/>
        </w:rPr>
        <w:t>New York City Mechanical Code</w:t>
      </w:r>
      <w:r w:rsidRPr="001B7F77">
        <w:rPr>
          <w:rFonts w:eastAsia="Times"/>
          <w:color w:val="000000"/>
          <w:szCs w:val="24"/>
          <w:u w:val="single"/>
        </w:rPr>
        <w:t xml:space="preserve"> and </w:t>
      </w:r>
      <w:r w:rsidRPr="001B7F77">
        <w:rPr>
          <w:rFonts w:eastAsia="Times"/>
          <w:i/>
          <w:iCs/>
          <w:color w:val="000000"/>
          <w:szCs w:val="24"/>
          <w:u w:val="single"/>
        </w:rPr>
        <w:t>New York City Fuel Gas Code</w:t>
      </w:r>
      <w:r w:rsidRPr="001B7F77">
        <w:rPr>
          <w:rFonts w:eastAsia="Times"/>
          <w:color w:val="000000"/>
          <w:szCs w:val="24"/>
          <w:u w:val="single"/>
        </w:rPr>
        <w:t>, as applicable</w:t>
      </w:r>
      <w:r w:rsidRPr="001B7F77">
        <w:rPr>
          <w:rFonts w:eastAsia="Times"/>
          <w:i/>
          <w:iCs/>
          <w:color w:val="000000"/>
          <w:szCs w:val="24"/>
          <w:u w:val="single"/>
        </w:rPr>
        <w:t xml:space="preserve">. </w:t>
      </w:r>
    </w:p>
    <w:p w14:paraId="34A32934" w14:textId="77777777" w:rsidR="001B7F77" w:rsidRPr="001B7F77" w:rsidRDefault="001B7F77" w:rsidP="00FD2721">
      <w:pPr>
        <w:pBdr>
          <w:top w:val="nil"/>
          <w:left w:val="nil"/>
          <w:bottom w:val="nil"/>
          <w:right w:val="nil"/>
          <w:between w:val="nil"/>
        </w:pBdr>
        <w:suppressAutoHyphens/>
        <w:spacing w:before="120"/>
        <w:ind w:left="360"/>
        <w:rPr>
          <w:rFonts w:eastAsia="Times"/>
          <w:b/>
          <w:color w:val="000000"/>
          <w:szCs w:val="24"/>
          <w:u w:val="single"/>
        </w:rPr>
      </w:pPr>
      <w:r w:rsidRPr="001B7F77">
        <w:rPr>
          <w:rFonts w:eastAsia="Times"/>
          <w:b/>
          <w:color w:val="000000"/>
          <w:szCs w:val="24"/>
          <w:u w:val="single"/>
        </w:rPr>
        <w:t xml:space="preserve">D703.2 Egress of certain tenements (MDL 231). </w:t>
      </w:r>
      <w:r w:rsidRPr="001B7F77">
        <w:rPr>
          <w:rFonts w:eastAsia="Times"/>
          <w:color w:val="000000"/>
          <w:szCs w:val="24"/>
          <w:u w:val="single"/>
        </w:rPr>
        <w:t>Every non-fireproof tenement exceeding 2 stories in height and every fireproof NL erected after May 16, 1913, shall comply with Section D703.2.1 through D703.2.3.</w:t>
      </w:r>
    </w:p>
    <w:p w14:paraId="72708B9A"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 xml:space="preserve">D703.2.1 Two means of egress in such tenements (MDL 231(1)). </w:t>
      </w:r>
      <w:r w:rsidRPr="001B7F77">
        <w:rPr>
          <w:rFonts w:eastAsia="Times"/>
          <w:color w:val="000000"/>
          <w:szCs w:val="24"/>
          <w:u w:val="single"/>
        </w:rPr>
        <w:t>Every such tenements shall have at least 2 independent means of egress, which shall extend from the ground story to the roof, be located remote from each other and be separated from each other by walls.</w:t>
      </w:r>
    </w:p>
    <w:p w14:paraId="62A8795F"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 xml:space="preserve">D703.2.2 First means of egress in such tenements (MDL 231(2)). </w:t>
      </w:r>
      <w:r w:rsidRPr="001B7F77">
        <w:rPr>
          <w:rFonts w:eastAsia="Times"/>
          <w:color w:val="000000"/>
          <w:szCs w:val="24"/>
          <w:u w:val="single"/>
        </w:rPr>
        <w:t>One of such means of egress shall be a flight of stairs constructed as provided in Sections D703.4 to D703.9 inclusive; but this sentence shall not be construed to require any alteration in the material or width of any stair or its treads and risers lawfully permitted on April 18, 1929.</w:t>
      </w:r>
    </w:p>
    <w:p w14:paraId="74451709"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 xml:space="preserve">D703.2.3 Second means of egress in such tenements (MDL 231(3)). </w:t>
      </w:r>
      <w:r w:rsidRPr="001B7F77">
        <w:rPr>
          <w:rFonts w:eastAsia="Times"/>
          <w:color w:val="000000"/>
          <w:szCs w:val="24"/>
          <w:u w:val="single"/>
        </w:rPr>
        <w:t>The other required means of egress shall be directly accessible at each story to each dwelling unit without having to pass through the first means of egress. Such other means of egress shall be any one of the following, as the owner may elect:</w:t>
      </w:r>
    </w:p>
    <w:p w14:paraId="1991B932" w14:textId="77777777" w:rsidR="001B7F77" w:rsidRPr="001B7F77" w:rsidRDefault="001B7F77" w:rsidP="00FD2721">
      <w:pPr>
        <w:pBdr>
          <w:top w:val="nil"/>
          <w:left w:val="nil"/>
          <w:bottom w:val="nil"/>
          <w:right w:val="nil"/>
          <w:between w:val="nil"/>
        </w:pBdr>
        <w:suppressAutoHyphens/>
        <w:spacing w:before="120"/>
        <w:ind w:left="1440" w:hanging="360"/>
        <w:rPr>
          <w:rFonts w:eastAsia="Times"/>
          <w:color w:val="000000"/>
          <w:szCs w:val="24"/>
          <w:u w:val="single"/>
        </w:rPr>
      </w:pPr>
      <w:r w:rsidRPr="001B7F77">
        <w:rPr>
          <w:rFonts w:eastAsia="Times"/>
          <w:color w:val="000000"/>
          <w:szCs w:val="24"/>
          <w:u w:val="single"/>
        </w:rPr>
        <w:t>1.</w:t>
      </w:r>
      <w:r w:rsidRPr="001B7F77">
        <w:rPr>
          <w:rFonts w:eastAsia="Times"/>
          <w:color w:val="000000"/>
          <w:szCs w:val="24"/>
          <w:u w:val="single"/>
        </w:rPr>
        <w:tab/>
        <w:t>A system of outside fire-escapes constructed as provided in Section D306.3.</w:t>
      </w:r>
    </w:p>
    <w:p w14:paraId="067A6FA3" w14:textId="77777777" w:rsidR="001B7F77" w:rsidRPr="001B7F77" w:rsidRDefault="001B7F77" w:rsidP="00FD2721">
      <w:pPr>
        <w:pBdr>
          <w:top w:val="nil"/>
          <w:left w:val="nil"/>
          <w:bottom w:val="nil"/>
          <w:right w:val="nil"/>
          <w:between w:val="nil"/>
        </w:pBdr>
        <w:suppressAutoHyphens/>
        <w:spacing w:before="120"/>
        <w:ind w:left="1440" w:hanging="360"/>
        <w:rPr>
          <w:rFonts w:eastAsia="Times"/>
          <w:szCs w:val="24"/>
          <w:u w:val="single"/>
        </w:rPr>
      </w:pPr>
      <w:r w:rsidRPr="001B7F77">
        <w:rPr>
          <w:rFonts w:eastAsia="Times"/>
          <w:color w:val="000000"/>
          <w:szCs w:val="24"/>
          <w:u w:val="single"/>
        </w:rPr>
        <w:t>2.</w:t>
      </w:r>
      <w:r w:rsidRPr="001B7F77">
        <w:rPr>
          <w:rFonts w:eastAsia="Times"/>
          <w:color w:val="000000"/>
          <w:szCs w:val="24"/>
          <w:u w:val="single"/>
        </w:rPr>
        <w:tab/>
        <w:t>An additional stair, either inside or outside, constructed and arranged as provided in sections D703.4 to D703.9 inclusive.</w:t>
      </w:r>
    </w:p>
    <w:p w14:paraId="221963BC" w14:textId="77777777" w:rsidR="001B7F77" w:rsidRPr="001B7F77" w:rsidRDefault="001B7F77" w:rsidP="00FD2721">
      <w:pPr>
        <w:pBdr>
          <w:top w:val="nil"/>
          <w:left w:val="nil"/>
          <w:bottom w:val="nil"/>
          <w:right w:val="nil"/>
          <w:between w:val="nil"/>
        </w:pBdr>
        <w:suppressAutoHyphens/>
        <w:spacing w:before="120"/>
        <w:ind w:left="1440" w:hanging="360"/>
        <w:rPr>
          <w:rFonts w:eastAsia="Times"/>
          <w:szCs w:val="24"/>
          <w:u w:val="single"/>
        </w:rPr>
      </w:pPr>
      <w:r w:rsidRPr="001B7F77">
        <w:rPr>
          <w:rFonts w:eastAsia="Times"/>
          <w:color w:val="000000"/>
          <w:szCs w:val="24"/>
          <w:u w:val="single"/>
        </w:rPr>
        <w:t>3.</w:t>
      </w:r>
      <w:r w:rsidRPr="001B7F77">
        <w:rPr>
          <w:rFonts w:eastAsia="Times"/>
          <w:color w:val="000000"/>
          <w:szCs w:val="24"/>
          <w:u w:val="single"/>
        </w:rPr>
        <w:tab/>
        <w:t>A fire-tower or fire-stair constructed and arranged as provided in Section D703.10.</w:t>
      </w:r>
    </w:p>
    <w:p w14:paraId="4313DA85" w14:textId="77777777" w:rsidR="001B7F77" w:rsidRPr="001B7F77" w:rsidRDefault="001B7F77" w:rsidP="00FD2721">
      <w:pPr>
        <w:pBdr>
          <w:top w:val="nil"/>
          <w:left w:val="nil"/>
          <w:bottom w:val="nil"/>
          <w:right w:val="nil"/>
          <w:between w:val="nil"/>
        </w:pBdr>
        <w:suppressAutoHyphens/>
        <w:spacing w:before="120"/>
        <w:ind w:left="1440" w:hanging="360"/>
        <w:rPr>
          <w:rFonts w:eastAsia="Times"/>
          <w:szCs w:val="24"/>
          <w:u w:val="single"/>
        </w:rPr>
      </w:pPr>
      <w:r w:rsidRPr="001B7F77">
        <w:rPr>
          <w:rFonts w:eastAsia="Times"/>
          <w:color w:val="000000"/>
          <w:szCs w:val="24"/>
          <w:u w:val="single"/>
        </w:rPr>
        <w:t>4.</w:t>
      </w:r>
      <w:r w:rsidRPr="001B7F77">
        <w:rPr>
          <w:rFonts w:eastAsia="Times"/>
          <w:color w:val="000000"/>
          <w:szCs w:val="24"/>
          <w:u w:val="single"/>
        </w:rPr>
        <w:tab/>
        <w:t>Except as provided in Section D303.6.11, any means of egress lawfully permitted on April 18, 1929, except wire, chain, cable, vertical ladder, or rope fire-escapes.</w:t>
      </w:r>
    </w:p>
    <w:p w14:paraId="6BB2F522" w14:textId="77777777" w:rsidR="001B7F77" w:rsidRPr="001B7F77" w:rsidRDefault="001B7F77" w:rsidP="00FD2721">
      <w:pPr>
        <w:pBdr>
          <w:top w:val="nil"/>
          <w:left w:val="nil"/>
          <w:bottom w:val="nil"/>
          <w:right w:val="nil"/>
          <w:between w:val="nil"/>
        </w:pBdr>
        <w:suppressAutoHyphens/>
        <w:spacing w:before="120"/>
        <w:ind w:left="360"/>
        <w:rPr>
          <w:rFonts w:eastAsia="Times"/>
          <w:b/>
          <w:color w:val="000000"/>
          <w:szCs w:val="24"/>
          <w:u w:val="single"/>
        </w:rPr>
      </w:pPr>
      <w:r w:rsidRPr="001B7F77">
        <w:rPr>
          <w:rFonts w:eastAsia="Times"/>
          <w:b/>
          <w:color w:val="000000"/>
          <w:szCs w:val="24"/>
          <w:u w:val="single"/>
        </w:rPr>
        <w:t>D703.3 Fire escapes (MDL 232)</w:t>
      </w:r>
    </w:p>
    <w:p w14:paraId="4B730ADE"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D703.3.1 Standards (MDL 232(1)).</w:t>
      </w:r>
      <w:r w:rsidRPr="001B7F77">
        <w:rPr>
          <w:rFonts w:eastAsia="Times"/>
          <w:color w:val="000000"/>
          <w:szCs w:val="24"/>
          <w:u w:val="single"/>
        </w:rPr>
        <w:t xml:space="preserve"> All fire-escapes erected after April 18, 1929, shall be arranged and constructed in conformity with the provisions of Section D303.6.</w:t>
      </w:r>
    </w:p>
    <w:p w14:paraId="1774C7AF"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D703.3.2 Prohibited fire escapes (MDL 232(2)).</w:t>
      </w:r>
      <w:r w:rsidRPr="001B7F77">
        <w:rPr>
          <w:rFonts w:eastAsia="Times"/>
          <w:color w:val="000000"/>
          <w:szCs w:val="24"/>
          <w:u w:val="single"/>
        </w:rPr>
        <w:t xml:space="preserve"> As specifically indicated in subdivision 9 of Section D303.6, a wire, chain, cable, vertical ladder, or rope fire-escape is an unlawful means of egress from any dwelling unit. Every such fire-escape shall be removed and replaced, if required as a means of egress, by a system of fire-escapes constructed and arranged as provided in Section D303.6.</w:t>
      </w:r>
    </w:p>
    <w:p w14:paraId="761D40AA" w14:textId="77777777" w:rsidR="001B7F77" w:rsidRPr="001B7F77" w:rsidRDefault="001B7F77" w:rsidP="00FD2721">
      <w:pPr>
        <w:pBdr>
          <w:top w:val="nil"/>
          <w:left w:val="nil"/>
          <w:bottom w:val="nil"/>
          <w:right w:val="nil"/>
          <w:between w:val="nil"/>
        </w:pBdr>
        <w:suppressAutoHyphens/>
        <w:spacing w:before="120"/>
        <w:ind w:left="360"/>
        <w:rPr>
          <w:rFonts w:eastAsia="Times"/>
          <w:b/>
          <w:color w:val="000000"/>
          <w:szCs w:val="24"/>
          <w:u w:val="single"/>
        </w:rPr>
      </w:pPr>
      <w:r w:rsidRPr="001B7F77">
        <w:rPr>
          <w:rFonts w:eastAsia="Times"/>
          <w:b/>
          <w:color w:val="000000"/>
          <w:szCs w:val="24"/>
          <w:u w:val="single"/>
        </w:rPr>
        <w:t>D703.4 Bulkheads and scuttles (MDL 233)</w:t>
      </w:r>
    </w:p>
    <w:p w14:paraId="5B46AD85"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D703.4.1 Bulkhead required (MDL 233(1)).</w:t>
      </w:r>
      <w:r w:rsidRPr="001B7F77">
        <w:rPr>
          <w:rFonts w:eastAsia="Times"/>
          <w:color w:val="000000"/>
          <w:szCs w:val="24"/>
          <w:u w:val="single"/>
        </w:rPr>
        <w:t xml:space="preserve"> Every tenement, except as otherwise provided in Section D703.4, shall have in the roof a fireproof bulkhead with a fireproof door and after January 1, 1957, the door shall be self-closing. Bulkheads existing on April 18, 1929, shall be lawful and may be replaced or repaired with material conforming to the material of which such bulkhead consisted on such date.</w:t>
      </w:r>
    </w:p>
    <w:p w14:paraId="417BB995"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 xml:space="preserve">D703.4.2 Bulkheads </w:t>
      </w:r>
      <w:r w:rsidRPr="001B7F77">
        <w:rPr>
          <w:rFonts w:eastAsia="Times"/>
          <w:b/>
          <w:szCs w:val="24"/>
          <w:u w:val="single"/>
        </w:rPr>
        <w:t>for certain OLs (MDL 233(2))</w:t>
      </w:r>
      <w:r w:rsidRPr="001B7F77">
        <w:rPr>
          <w:rFonts w:eastAsia="Times"/>
          <w:b/>
          <w:color w:val="000000"/>
          <w:szCs w:val="24"/>
          <w:u w:val="single"/>
        </w:rPr>
        <w:t>.</w:t>
      </w:r>
      <w:r w:rsidRPr="001B7F77">
        <w:rPr>
          <w:rFonts w:eastAsia="Times"/>
          <w:color w:val="000000"/>
          <w:szCs w:val="24"/>
          <w:u w:val="single"/>
        </w:rPr>
        <w:t xml:space="preserve"> A bulkhead in the roof of an OL which is more than a basement and 4 other stories in height or which is a basement and 4 other stories in height and occupied by 3 or more families on any story, may be of wood covered with metal on the outside and fire-retarded on the inside. Such a bulkhead shall be equipped with a fire-retarded door and assembly with the door self-closing.</w:t>
      </w:r>
    </w:p>
    <w:p w14:paraId="428B630B"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 xml:space="preserve">D703.4.3 </w:t>
      </w:r>
      <w:r w:rsidRPr="001B7F77">
        <w:rPr>
          <w:rFonts w:eastAsia="Times"/>
          <w:b/>
          <w:szCs w:val="24"/>
          <w:u w:val="single"/>
        </w:rPr>
        <w:t>Scuttles for certain OLs (MDL 233(3))</w:t>
      </w:r>
      <w:r w:rsidRPr="001B7F77">
        <w:rPr>
          <w:rFonts w:eastAsia="Times"/>
          <w:b/>
          <w:color w:val="000000"/>
          <w:szCs w:val="24"/>
          <w:u w:val="single"/>
        </w:rPr>
        <w:t xml:space="preserve">. </w:t>
      </w:r>
      <w:r w:rsidRPr="001B7F77">
        <w:rPr>
          <w:rFonts w:eastAsia="Times"/>
          <w:color w:val="000000"/>
          <w:szCs w:val="24"/>
          <w:u w:val="single"/>
        </w:rPr>
        <w:t>In any OL which is 4 stories or less in height or which is a basement and 4 other stories in height and occupied by not more than 2 families on any story, no bulkhead shall be required provided such tenement is equipped with a scuttle located in the ceiling of a public hall on the top story and with access thereto direct, uninterrupted and easily accessible to all tenants. All such scuttles shall be at least 21 inches (533 mm) in width and 28 inches (711 mm) in length. They shall be constructed so as to be readily opened, covered on the outside with metal and provided with stairs or stationary iron ladders leading thereto.</w:t>
      </w:r>
    </w:p>
    <w:p w14:paraId="786375A2"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 xml:space="preserve">D703.4.4 Certain NLs (MDL 233(4)). </w:t>
      </w:r>
      <w:r w:rsidRPr="001B7F77">
        <w:rPr>
          <w:rFonts w:eastAsia="Times"/>
          <w:color w:val="000000"/>
          <w:szCs w:val="24"/>
          <w:u w:val="single"/>
        </w:rPr>
        <w:t>Every required stair in every NL erected after April 18, 1912, which is more than a basement and 3 other stories in height shall extend to and through a bulkhead in the roof. Such bulkhead shall have a fireproof door and assembly with the door self-closing and may be constructed of wood covered with metal on the outside and fire-retarded on the inside.</w:t>
      </w:r>
    </w:p>
    <w:p w14:paraId="1AA4C37C"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 xml:space="preserve">D703.4.5 Stairs leading to bulkheads (MDL 233(5)). </w:t>
      </w:r>
      <w:r w:rsidRPr="001B7F77">
        <w:rPr>
          <w:rFonts w:eastAsia="Times"/>
          <w:color w:val="000000"/>
          <w:szCs w:val="24"/>
          <w:u w:val="single"/>
        </w:rPr>
        <w:t>Stairs leading to required bulkheads shall be fireproof and constructed as specified in Sections D703.5 to D703.9 inclusive, except that any such stairs existing on April 18, 1929, shall be permitted without alteration, and that any such stairs constructed after such date in any old-law tenement may have such width and angle of ascent, and risers and treads of such dimensions, as approved by the department. All stairs to required bulkheads shall be provided with a guide or hand rail.</w:t>
      </w:r>
    </w:p>
    <w:p w14:paraId="3DEC3ACC"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 xml:space="preserve">D703.4.6 Bulkheads doors and scuttle hatches (MDL 233(6)). </w:t>
      </w:r>
      <w:r w:rsidRPr="001B7F77">
        <w:rPr>
          <w:rFonts w:eastAsia="Times"/>
          <w:color w:val="000000"/>
          <w:szCs w:val="24"/>
          <w:u w:val="single"/>
        </w:rPr>
        <w:t>Bulkhead doors and scuttles shall not be self-locking, and shall be fastened on the inside with movable bolts, hooks, or a lock which does not require a key to open it from the inside of the dwelling. All key locks are unlawful and where existing shall be removed.</w:t>
      </w:r>
    </w:p>
    <w:p w14:paraId="2A987A47" w14:textId="77777777" w:rsidR="001B7F77" w:rsidRPr="001B7F77" w:rsidRDefault="001B7F77" w:rsidP="00FD2721">
      <w:pPr>
        <w:pBdr>
          <w:top w:val="nil"/>
          <w:left w:val="nil"/>
          <w:bottom w:val="nil"/>
          <w:right w:val="nil"/>
          <w:between w:val="nil"/>
        </w:pBdr>
        <w:suppressAutoHyphens/>
        <w:spacing w:before="120"/>
        <w:ind w:left="360"/>
        <w:rPr>
          <w:rFonts w:eastAsia="Times"/>
          <w:b/>
          <w:color w:val="000000"/>
          <w:szCs w:val="24"/>
          <w:u w:val="single"/>
        </w:rPr>
      </w:pPr>
      <w:r w:rsidRPr="001B7F77">
        <w:rPr>
          <w:rFonts w:eastAsia="Times"/>
          <w:b/>
          <w:color w:val="000000"/>
          <w:szCs w:val="24"/>
          <w:u w:val="single"/>
        </w:rPr>
        <w:t>D703.5 Stairs and public halls (MDL 234)</w:t>
      </w:r>
    </w:p>
    <w:p w14:paraId="3697CB49"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 xml:space="preserve">D703.5.1 Stairs in NLs erected after 4/18/1912 (MDL 234(1)). </w:t>
      </w:r>
      <w:r w:rsidRPr="001B7F77">
        <w:rPr>
          <w:rFonts w:eastAsia="Times"/>
          <w:color w:val="000000"/>
          <w:szCs w:val="24"/>
          <w:u w:val="single"/>
        </w:rPr>
        <w:t>In every NL erected after April 18, 1912, all stairs shall extend from the entrance story to the roof, except as otherwise provided in Section 703.4, and the stairs and public halls shall each be at least 3 feet (914 mm) in clear width. Every dwelling unit in such a tenement shall be directly accessible at each story to such stairs and public halls, and every story of such dwelling unit shall be so accessible to such a stair and public hall or to a tower fire-escape or stairway, as provided in this Section D703.5 and Sections D703.6 to D703.10 inclusive.</w:t>
      </w:r>
    </w:p>
    <w:p w14:paraId="785E9305"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D703.5.</w:t>
      </w:r>
      <w:r w:rsidRPr="001B7F77">
        <w:rPr>
          <w:rFonts w:eastAsia="Times"/>
          <w:b/>
          <w:szCs w:val="24"/>
          <w:u w:val="single"/>
        </w:rPr>
        <w:t>2</w:t>
      </w:r>
      <w:r w:rsidRPr="001B7F77">
        <w:rPr>
          <w:rFonts w:eastAsia="Times"/>
          <w:b/>
          <w:color w:val="000000"/>
          <w:szCs w:val="24"/>
          <w:u w:val="single"/>
        </w:rPr>
        <w:t xml:space="preserve"> Stairs in all NLs (MDL 234(2)). </w:t>
      </w:r>
      <w:r w:rsidRPr="001B7F77">
        <w:rPr>
          <w:rFonts w:eastAsia="Times"/>
          <w:color w:val="000000"/>
          <w:szCs w:val="24"/>
          <w:u w:val="single"/>
        </w:rPr>
        <w:t xml:space="preserve">In every NL, except as provided in Section D703.9.2, Item 2, all stairs and public halls shall be completely separated from all other stairs and from every elevator by brick walls or partitions of terra cotta blocks at least 4 inches (102 mm) thick, or hollow cement blocks at least 4 inches (102 mm) thick which have successfully withstood a 3-hour standard fire test and been approved by the department and have fireproof doors and assemblies with the doors self-closing at all openings. From any portion of a public hall in such a tenement there may be a recess which shall not be deemed a public hall if the walls, floor and ceilings enclosing it are 1-hour fire barriers or horizontal assemblies and such recess is at all times adequately lighted by electric lights of at least 15 watts or as provided for in Chapter 10 of the </w:t>
      </w:r>
      <w:r w:rsidRPr="001B7F77">
        <w:rPr>
          <w:rFonts w:eastAsia="Times"/>
          <w:i/>
          <w:iCs/>
          <w:color w:val="000000"/>
          <w:szCs w:val="24"/>
          <w:u w:val="single"/>
        </w:rPr>
        <w:t>New York City Building Code</w:t>
      </w:r>
      <w:r w:rsidRPr="001B7F77">
        <w:rPr>
          <w:rFonts w:eastAsia="Times"/>
          <w:color w:val="000000"/>
          <w:szCs w:val="24"/>
          <w:u w:val="single"/>
        </w:rPr>
        <w:t>. Such a recess shall not be more than 20 feet (6 096 mm) long and shall not be used as a means of egress from more than 3 dwelling units.</w:t>
      </w:r>
    </w:p>
    <w:p w14:paraId="5F3B2F69" w14:textId="77777777" w:rsidR="001B7F77" w:rsidRPr="001B7F77" w:rsidRDefault="001B7F77" w:rsidP="00FD2721">
      <w:pPr>
        <w:pBdr>
          <w:top w:val="nil"/>
          <w:left w:val="nil"/>
          <w:bottom w:val="nil"/>
          <w:right w:val="nil"/>
          <w:between w:val="nil"/>
        </w:pBdr>
        <w:suppressAutoHyphens/>
        <w:spacing w:before="120"/>
        <w:ind w:left="360"/>
        <w:rPr>
          <w:rFonts w:eastAsia="Times"/>
          <w:b/>
          <w:color w:val="000000"/>
          <w:szCs w:val="24"/>
          <w:u w:val="single"/>
        </w:rPr>
      </w:pPr>
      <w:r w:rsidRPr="001B7F77">
        <w:rPr>
          <w:rFonts w:eastAsia="Times"/>
          <w:b/>
          <w:color w:val="000000"/>
          <w:szCs w:val="24"/>
          <w:u w:val="single"/>
        </w:rPr>
        <w:t>D703.6 Stairs in non-fireproof tenements (MDL 235)</w:t>
      </w:r>
    </w:p>
    <w:p w14:paraId="7C96AE13"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 xml:space="preserve">D703.6.1 Number of stairs in non-fireproof NLs (MDL 235(1)). </w:t>
      </w:r>
      <w:r w:rsidRPr="001B7F77">
        <w:rPr>
          <w:rFonts w:eastAsia="Times"/>
          <w:color w:val="000000"/>
          <w:szCs w:val="24"/>
          <w:u w:val="single"/>
        </w:rPr>
        <w:t>Every non-fireproof NL erected after May 15, 1902, containing more than 26 apartments or suites of rooms above the entrance story shall have an additional stair for every additional 26 apartments or suites or fraction thereof; except that if such tenement contains not more than 36 apartments above the entrance story, in lieu of an additional stair the stairs, stair halls and entrance halls throughout the entire tenement may each be at least one-half wider than is specified in Sections D703.5, D703.8 and D703.9.</w:t>
      </w:r>
    </w:p>
    <w:p w14:paraId="3BA1146D"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 xml:space="preserve">D703.6.2 Change in number of dwelling units in all non-fireproof tenements (MDL 235(2)). </w:t>
      </w:r>
      <w:r w:rsidRPr="001B7F77">
        <w:rPr>
          <w:rFonts w:eastAsia="Times"/>
          <w:color w:val="000000"/>
          <w:szCs w:val="24"/>
          <w:u w:val="single"/>
        </w:rPr>
        <w:t>The number of dwelling units on any story in any non-fireproof tenement may be altered, if the number of living rooms on such story is not increased by more than 20 percent. If the number of living rooms on any story or section thereof above the entrance story exceeds 20, there shall be an additional stair for each 20 rooms or fraction thereof on any such story or section thereof, except that if the number of living rooms on any such story or section does not exceed 30, in lieu of an additional stair one stair and every public hall connected therewith may be at least one-half wider than is specified in Sections D703.5, D703.8 and D703.9.</w:t>
      </w:r>
    </w:p>
    <w:p w14:paraId="2D996773"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 xml:space="preserve">D703.6.3 Change in number of dwelling units with a decrease in living rooms in non-fireproof tenements (MDL 235(3)). </w:t>
      </w:r>
      <w:r w:rsidRPr="001B7F77">
        <w:rPr>
          <w:rFonts w:eastAsia="Times"/>
          <w:color w:val="000000"/>
          <w:szCs w:val="24"/>
          <w:u w:val="single"/>
        </w:rPr>
        <w:t>Whenever the total number of rooms, exclusive of bathrooms, water-closet compartments, and cooking spaces less than 80 square feet in area, in any non-fireproof tenement or section thereof is decreased through the process of an alteration, the number of dwelling units may be altered and the provisions of this section which relate to additional stairs shall not be applicable.</w:t>
      </w:r>
    </w:p>
    <w:p w14:paraId="7122760C" w14:textId="77777777" w:rsidR="001B7F77" w:rsidRPr="001B7F77" w:rsidRDefault="001B7F77" w:rsidP="00FD2721">
      <w:pPr>
        <w:pBdr>
          <w:top w:val="nil"/>
          <w:left w:val="nil"/>
          <w:bottom w:val="nil"/>
          <w:right w:val="nil"/>
          <w:between w:val="nil"/>
        </w:pBdr>
        <w:suppressAutoHyphens/>
        <w:spacing w:before="120"/>
        <w:ind w:left="360"/>
        <w:rPr>
          <w:rFonts w:eastAsia="Times"/>
          <w:b/>
          <w:color w:val="000000"/>
          <w:szCs w:val="24"/>
          <w:u w:val="single"/>
        </w:rPr>
      </w:pPr>
      <w:r w:rsidRPr="001B7F77">
        <w:rPr>
          <w:rFonts w:eastAsia="Times"/>
          <w:b/>
          <w:color w:val="000000"/>
          <w:szCs w:val="24"/>
          <w:u w:val="single"/>
        </w:rPr>
        <w:t>D703.7 Stairs in fireproof tenements (MDL 236)</w:t>
      </w:r>
    </w:p>
    <w:p w14:paraId="5217B14E"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 xml:space="preserve">D703.7.1. </w:t>
      </w:r>
      <w:r w:rsidRPr="001B7F77">
        <w:rPr>
          <w:rFonts w:eastAsia="Times"/>
          <w:b/>
          <w:szCs w:val="24"/>
          <w:u w:val="single"/>
        </w:rPr>
        <w:t>Additional stairs in certain large NLs (MDL 236(1)).</w:t>
      </w:r>
      <w:r w:rsidRPr="001B7F77">
        <w:rPr>
          <w:rFonts w:eastAsia="Times"/>
          <w:b/>
          <w:color w:val="000000"/>
          <w:szCs w:val="24"/>
          <w:u w:val="single"/>
        </w:rPr>
        <w:t xml:space="preserve"> </w:t>
      </w:r>
      <w:r w:rsidRPr="001B7F77">
        <w:rPr>
          <w:rFonts w:eastAsia="Times"/>
          <w:color w:val="000000"/>
          <w:szCs w:val="24"/>
          <w:u w:val="single"/>
        </w:rPr>
        <w:t>Except as in this section otherwise provided, every fireproof NL erected after May 15, 1902, containing more than 36 apartments or suites of rooms above the entrance story shall have an additional stair for every additional 36 apartments or suites or fraction thereof.</w:t>
      </w:r>
    </w:p>
    <w:p w14:paraId="71F9DC6B"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 xml:space="preserve">D703.7.2. </w:t>
      </w:r>
      <w:r w:rsidRPr="001B7F77">
        <w:rPr>
          <w:rFonts w:eastAsia="Times"/>
          <w:b/>
          <w:szCs w:val="24"/>
          <w:u w:val="single"/>
        </w:rPr>
        <w:t>Alternative to first additional stair in certain large NLs (MDL 236(2)).</w:t>
      </w:r>
      <w:r w:rsidRPr="001B7F77">
        <w:rPr>
          <w:rFonts w:eastAsia="Times"/>
          <w:b/>
          <w:color w:val="000000"/>
          <w:szCs w:val="24"/>
          <w:u w:val="single"/>
        </w:rPr>
        <w:t xml:space="preserve"> </w:t>
      </w:r>
      <w:r w:rsidRPr="001B7F77">
        <w:rPr>
          <w:rFonts w:eastAsia="Times"/>
          <w:color w:val="000000"/>
          <w:szCs w:val="24"/>
          <w:u w:val="single"/>
        </w:rPr>
        <w:t>If a fireproof NL erected after May 15, 1902, containing more than 36 apartments or suites of rooms above the entrance story contains not more than 48 apartments or suites above the entrance story, in lieu of an additional stair the stairs, stair halls and entrance halls throughout the entire tenement may each be at least one-half wider than is specified in Sections D703.5, D703.8 and D703.9.</w:t>
      </w:r>
    </w:p>
    <w:p w14:paraId="1989E1F8"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 xml:space="preserve">D703.7.3. </w:t>
      </w:r>
      <w:r w:rsidRPr="001B7F77">
        <w:rPr>
          <w:rFonts w:eastAsia="Times"/>
          <w:b/>
          <w:szCs w:val="24"/>
          <w:u w:val="single"/>
        </w:rPr>
        <w:t>Alternative to second additional stair in certain large NLs (MDL 236(3)).</w:t>
      </w:r>
      <w:r w:rsidRPr="001B7F77">
        <w:rPr>
          <w:rFonts w:eastAsia="Times"/>
          <w:b/>
          <w:color w:val="000000"/>
          <w:szCs w:val="24"/>
          <w:u w:val="single"/>
        </w:rPr>
        <w:t xml:space="preserve"> </w:t>
      </w:r>
      <w:r w:rsidRPr="001B7F77">
        <w:rPr>
          <w:rFonts w:eastAsia="Times"/>
          <w:color w:val="000000"/>
          <w:szCs w:val="24"/>
          <w:u w:val="single"/>
        </w:rPr>
        <w:t>If a fireproof NL erected after May 15, 1902, contains more than 72 apartments or suites but not more than 84 above the entrance story, in lieu of 3 stairs there may be only 2 stairs, provided that 1 of such stairs and the stair and entrance halls connected therewith are at least one-half wider than is specified in Sections D703.5, D703.8 and D703.9.</w:t>
      </w:r>
    </w:p>
    <w:p w14:paraId="59AEAC8D"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 xml:space="preserve">D703.7.4. Effect of janitor’s dwelling unit (MDL 236(4)). </w:t>
      </w:r>
      <w:r w:rsidRPr="001B7F77">
        <w:rPr>
          <w:rFonts w:eastAsia="Times"/>
          <w:color w:val="000000"/>
          <w:szCs w:val="24"/>
          <w:u w:val="single"/>
        </w:rPr>
        <w:t>For the purposes of Section D703.7, a janitor's dwelling unit in a penthouse shall not be construed as an additional dwelling unit.</w:t>
      </w:r>
    </w:p>
    <w:p w14:paraId="1D1E85AD"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D703.7.</w:t>
      </w:r>
      <w:r w:rsidRPr="001B7F77">
        <w:rPr>
          <w:rFonts w:eastAsia="Times"/>
          <w:b/>
          <w:szCs w:val="24"/>
          <w:u w:val="single"/>
        </w:rPr>
        <w:t>5</w:t>
      </w:r>
      <w:r w:rsidRPr="001B7F77">
        <w:rPr>
          <w:rFonts w:eastAsia="Times"/>
          <w:b/>
          <w:color w:val="000000"/>
          <w:szCs w:val="24"/>
          <w:u w:val="single"/>
        </w:rPr>
        <w:t xml:space="preserve">. Change in number of dwelling units in all fireproof tenements (MDL 236(5)). </w:t>
      </w:r>
      <w:r w:rsidRPr="001B7F77">
        <w:rPr>
          <w:rFonts w:eastAsia="Times"/>
          <w:color w:val="000000"/>
          <w:szCs w:val="24"/>
          <w:u w:val="single"/>
        </w:rPr>
        <w:t>The number of dwelling units on any story in any fireproof tenement may be altered, if the number of living rooms on such story is not increased by more than 30 percent. If the number of living rooms on any story or section thereof above the entrance story exceeds 30, there shall be an additional stair for each 30 rooms or fraction thereof on any such story or section thereof, except that if the number of living rooms on any such story or section does not exceed 40, in lieu of an additional stair one stair and every public hall connected therewith may be at least one-half wider than is specified in Sections D703.5, D703.8 and D703.9; but in every such tenement erected before May 16, 1913, and altered as herein permitted, the occupants of each additional dwelling unit shall have access to at least two independent means of egress, which shall be made to conform to the requirements of Section 703.2 for fireproof tenements erected after May 16, 1913.</w:t>
      </w:r>
    </w:p>
    <w:p w14:paraId="36FAF944"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D703.7.</w:t>
      </w:r>
      <w:r w:rsidRPr="001B7F77">
        <w:rPr>
          <w:rFonts w:eastAsia="Times"/>
          <w:b/>
          <w:szCs w:val="24"/>
          <w:u w:val="single"/>
        </w:rPr>
        <w:t>6</w:t>
      </w:r>
      <w:r w:rsidRPr="001B7F77">
        <w:rPr>
          <w:rFonts w:eastAsia="Times"/>
          <w:b/>
          <w:color w:val="000000"/>
          <w:szCs w:val="24"/>
          <w:u w:val="single"/>
        </w:rPr>
        <w:t xml:space="preserve"> Change in number of dwelling units with a decrease in living rooms (MDL 236(6)). </w:t>
      </w:r>
      <w:r w:rsidRPr="001B7F77">
        <w:rPr>
          <w:rFonts w:eastAsia="Times"/>
          <w:color w:val="000000"/>
          <w:szCs w:val="24"/>
          <w:u w:val="single"/>
        </w:rPr>
        <w:t>Whenever the total number of rooms, exclusive of bathrooms, water-closet compartments, and cooking spaces less than 80 square feet in area, in any fireproof tenement or section thereof is decreased through the process of an alteration, the number of dwelling units may be altered and the provisions of this section which relate to additional stairs shall not be applicable.</w:t>
      </w:r>
    </w:p>
    <w:p w14:paraId="5539811D" w14:textId="77777777" w:rsidR="001B7F77" w:rsidRPr="001B7F77" w:rsidRDefault="001B7F77" w:rsidP="00FD2721">
      <w:pPr>
        <w:pBdr>
          <w:top w:val="nil"/>
          <w:left w:val="nil"/>
          <w:bottom w:val="nil"/>
          <w:right w:val="nil"/>
          <w:between w:val="nil"/>
        </w:pBdr>
        <w:suppressAutoHyphens/>
        <w:spacing w:before="120"/>
        <w:ind w:left="360"/>
        <w:rPr>
          <w:rFonts w:eastAsia="Times"/>
          <w:b/>
          <w:color w:val="000000"/>
          <w:szCs w:val="24"/>
          <w:u w:val="single"/>
        </w:rPr>
      </w:pPr>
      <w:r w:rsidRPr="001B7F77">
        <w:rPr>
          <w:rFonts w:eastAsia="Times"/>
          <w:b/>
          <w:color w:val="000000"/>
          <w:szCs w:val="24"/>
          <w:u w:val="single"/>
        </w:rPr>
        <w:t>D703.8 Stair construction (MDL 237)</w:t>
      </w:r>
    </w:p>
    <w:p w14:paraId="1A1B2674"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 xml:space="preserve">D703.8.1 Access from street for NLs (MDL 237(1)). </w:t>
      </w:r>
      <w:r w:rsidRPr="001B7F77">
        <w:rPr>
          <w:rFonts w:eastAsia="Times"/>
          <w:color w:val="000000"/>
          <w:szCs w:val="24"/>
          <w:u w:val="single"/>
        </w:rPr>
        <w:t>Every stair in a NL shall be accessible on the entrance story from a street or street court, or from an inner court which connects directly with a street.</w:t>
      </w:r>
    </w:p>
    <w:p w14:paraId="1E9EFFB8"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 xml:space="preserve">D703.8.2 Risers and treads for NLs (MDL 237(2)). </w:t>
      </w:r>
      <w:r w:rsidRPr="001B7F77">
        <w:rPr>
          <w:rFonts w:eastAsia="Times"/>
          <w:color w:val="000000"/>
          <w:szCs w:val="24"/>
          <w:u w:val="single"/>
        </w:rPr>
        <w:t>All stairs in NLs shall have risers of 8 inches (203 mm) or less and treads at least 10 inches (254 mm) in clear width and 3 feet (914 mm) in clear length.</w:t>
      </w:r>
    </w:p>
    <w:p w14:paraId="54C4E592"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 xml:space="preserve">D703.8.3 Existing winding stairs (MDL 237(3)). </w:t>
      </w:r>
      <w:r w:rsidRPr="001B7F77">
        <w:rPr>
          <w:rFonts w:eastAsia="Times"/>
          <w:color w:val="000000"/>
          <w:szCs w:val="24"/>
          <w:u w:val="single"/>
        </w:rPr>
        <w:t>Winding stairs shall be unlawful except in a tenement provided with a passenger elevator. When winding stairs or radial steps are installed or used, the strings from which the risers radiate shall be curved on a circle of at least 1 foot (305 mm) diameter, the treads shall be at least 4 inches (102 mm) wide at the string, not including the nosing, and the angle formed by the face of each riser and the string shall not diverge more than 40 degrees (0.7 rad) from a line normal to the string at the intersection of such riser. It shall be unlawful to construct new winding stairs.</w:t>
      </w:r>
    </w:p>
    <w:p w14:paraId="20A806EE"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 xml:space="preserve">D703.8.4 Reconstructed stairs (MDL 237(4), 52(2), 52(3), 52(4), 52(5), 52(6)). </w:t>
      </w:r>
      <w:r w:rsidRPr="001B7F77">
        <w:rPr>
          <w:rFonts w:eastAsia="Times"/>
          <w:color w:val="000000"/>
          <w:szCs w:val="24"/>
          <w:u w:val="single"/>
        </w:rPr>
        <w:t>Stairs constructed after April 18, 1929, shall comply with the following:</w:t>
      </w:r>
    </w:p>
    <w:p w14:paraId="691E99B9" w14:textId="77777777" w:rsidR="001B7F77" w:rsidRPr="001B7F77" w:rsidRDefault="001B7F77" w:rsidP="00FD2721">
      <w:pPr>
        <w:pBdr>
          <w:top w:val="nil"/>
          <w:left w:val="nil"/>
          <w:bottom w:val="nil"/>
          <w:right w:val="nil"/>
          <w:between w:val="nil"/>
        </w:pBdr>
        <w:suppressAutoHyphens/>
        <w:spacing w:before="120"/>
        <w:ind w:left="1440" w:hanging="360"/>
        <w:rPr>
          <w:rFonts w:eastAsia="Times"/>
          <w:color w:val="000000"/>
          <w:szCs w:val="24"/>
          <w:u w:val="single"/>
        </w:rPr>
      </w:pPr>
      <w:r w:rsidRPr="001B7F77">
        <w:rPr>
          <w:rFonts w:eastAsia="Times"/>
          <w:color w:val="000000"/>
          <w:szCs w:val="24"/>
          <w:u w:val="single"/>
        </w:rPr>
        <w:t>1.</w:t>
      </w:r>
      <w:r w:rsidRPr="001B7F77">
        <w:rPr>
          <w:rFonts w:eastAsia="Times"/>
          <w:color w:val="000000"/>
          <w:szCs w:val="24"/>
          <w:u w:val="single"/>
        </w:rPr>
        <w:tab/>
        <w:t>The upper surface of every balustrade or railing placed in any stair shall be at least 30 inches (762 mm) and at most 32 inches (812.8 mm) above the front edge of the stair treads, and at any stair landing shall be at least 32 inches (812.8 mm) and at most 36 inches (914 mm) above the level of such landing.</w:t>
      </w:r>
    </w:p>
    <w:p w14:paraId="55FC3010" w14:textId="77777777" w:rsidR="001B7F77" w:rsidRPr="001B7F77" w:rsidRDefault="001B7F77" w:rsidP="00FD2721">
      <w:pPr>
        <w:pBdr>
          <w:top w:val="nil"/>
          <w:left w:val="nil"/>
          <w:bottom w:val="nil"/>
          <w:right w:val="nil"/>
          <w:between w:val="nil"/>
        </w:pBdr>
        <w:suppressAutoHyphens/>
        <w:spacing w:before="120"/>
        <w:ind w:left="1440" w:hanging="360"/>
        <w:rPr>
          <w:rFonts w:eastAsia="Times"/>
          <w:color w:val="000000"/>
          <w:szCs w:val="24"/>
          <w:u w:val="single"/>
        </w:rPr>
      </w:pPr>
      <w:r w:rsidRPr="001B7F77">
        <w:rPr>
          <w:rFonts w:eastAsia="Times"/>
          <w:color w:val="000000"/>
          <w:szCs w:val="24"/>
          <w:u w:val="single"/>
        </w:rPr>
        <w:t>2.</w:t>
      </w:r>
      <w:r w:rsidRPr="001B7F77">
        <w:rPr>
          <w:rFonts w:eastAsia="Times"/>
          <w:color w:val="000000"/>
          <w:szCs w:val="24"/>
          <w:u w:val="single"/>
        </w:rPr>
        <w:tab/>
        <w:t>The treads and risers of every stair, fire-stair and fire-tower constructed after April 18, 1929, in any multiple dwelling shall be of uniform height and width in any one flight. Each tread, exclusive of nosing, shall be not less than 9.5 inches (241 mm) wide; each riser shall not exceed 7.75 inches (197 mm) in height; and the product of the number of inches in the width of the tread and the number of inches in the height of the riser shall be at least 70 and at most 75.</w:t>
      </w:r>
    </w:p>
    <w:p w14:paraId="46CCB831" w14:textId="77777777" w:rsidR="001B7F77" w:rsidRPr="001B7F77" w:rsidRDefault="001B7F77" w:rsidP="00FD2721">
      <w:pPr>
        <w:pBdr>
          <w:top w:val="nil"/>
          <w:left w:val="nil"/>
          <w:bottom w:val="nil"/>
          <w:right w:val="nil"/>
          <w:between w:val="nil"/>
        </w:pBdr>
        <w:suppressAutoHyphens/>
        <w:spacing w:before="120"/>
        <w:ind w:left="1440" w:hanging="360"/>
        <w:rPr>
          <w:rFonts w:eastAsia="Times"/>
          <w:color w:val="000000"/>
          <w:szCs w:val="24"/>
          <w:u w:val="single"/>
        </w:rPr>
      </w:pPr>
      <w:r w:rsidRPr="001B7F77">
        <w:rPr>
          <w:rFonts w:eastAsia="Times"/>
          <w:color w:val="000000"/>
          <w:szCs w:val="24"/>
          <w:u w:val="single"/>
        </w:rPr>
        <w:t>3.</w:t>
      </w:r>
      <w:r w:rsidRPr="001B7F77">
        <w:rPr>
          <w:rFonts w:eastAsia="Times"/>
          <w:color w:val="000000"/>
          <w:szCs w:val="24"/>
          <w:u w:val="single"/>
        </w:rPr>
        <w:tab/>
        <w:t>No winding stairs shall be constructed.</w:t>
      </w:r>
    </w:p>
    <w:p w14:paraId="36C31C99" w14:textId="77777777" w:rsidR="001B7F77" w:rsidRPr="001B7F77" w:rsidRDefault="001B7F77" w:rsidP="00FD2721">
      <w:pPr>
        <w:pBdr>
          <w:top w:val="nil"/>
          <w:left w:val="nil"/>
          <w:bottom w:val="nil"/>
          <w:right w:val="nil"/>
          <w:between w:val="nil"/>
        </w:pBdr>
        <w:suppressAutoHyphens/>
        <w:spacing w:before="120"/>
        <w:ind w:left="1440" w:hanging="360"/>
        <w:rPr>
          <w:rFonts w:eastAsia="Times"/>
          <w:color w:val="000000"/>
          <w:szCs w:val="24"/>
          <w:u w:val="single"/>
        </w:rPr>
      </w:pPr>
      <w:r w:rsidRPr="001B7F77">
        <w:rPr>
          <w:rFonts w:eastAsia="Times"/>
          <w:color w:val="000000"/>
          <w:szCs w:val="24"/>
          <w:u w:val="single"/>
        </w:rPr>
        <w:t>4.</w:t>
      </w:r>
      <w:r w:rsidRPr="001B7F77">
        <w:rPr>
          <w:rFonts w:eastAsia="Times"/>
          <w:color w:val="000000"/>
          <w:szCs w:val="24"/>
          <w:u w:val="single"/>
        </w:rPr>
        <w:tab/>
        <w:t>Except as otherwise provided in Item 5, every stair constructed after April 18, 1929, leading to a cellar or basement from the first story above shall be entirely enclosed with fireproof walls and be provided with fireproof doors and assemblies at both top and bottom, with the doors self-closing; except that, in a non-fireproof multiple dwelling erected before such date, where such a stair is permitted such enclosing walls may be fire-retarded.</w:t>
      </w:r>
    </w:p>
    <w:p w14:paraId="762CE987" w14:textId="77777777" w:rsidR="001B7F77" w:rsidRPr="001B7F77" w:rsidRDefault="001B7F77" w:rsidP="00FD2721">
      <w:pPr>
        <w:pBdr>
          <w:top w:val="nil"/>
          <w:left w:val="nil"/>
          <w:bottom w:val="nil"/>
          <w:right w:val="nil"/>
          <w:between w:val="nil"/>
        </w:pBdr>
        <w:suppressAutoHyphens/>
        <w:spacing w:before="120"/>
        <w:ind w:left="1440" w:hanging="360"/>
        <w:rPr>
          <w:rFonts w:eastAsia="Times"/>
          <w:color w:val="000000"/>
          <w:szCs w:val="24"/>
          <w:u w:val="single"/>
        </w:rPr>
      </w:pPr>
      <w:r w:rsidRPr="001B7F77">
        <w:rPr>
          <w:rFonts w:eastAsia="Times"/>
          <w:color w:val="000000"/>
          <w:szCs w:val="24"/>
          <w:u w:val="single"/>
        </w:rPr>
        <w:t>5.</w:t>
      </w:r>
      <w:r w:rsidRPr="001B7F77">
        <w:rPr>
          <w:rFonts w:eastAsia="Times"/>
          <w:color w:val="000000"/>
          <w:szCs w:val="24"/>
          <w:u w:val="single"/>
        </w:rPr>
        <w:tab/>
        <w:t>When the first floor or a part thereof, in a fireproof multiple dwelling, is used for business purposes, a stair leading to a cellar or basement from such business space shall be enclosed in fireproof walls having a fire-resistive rating of at least 3 hours and be provided with a fireproof door and assembly at the bottom, with the door self-closing. No opening shall be permitted between such business space and the remainder of the dwelling.</w:t>
      </w:r>
    </w:p>
    <w:p w14:paraId="3407D8FA" w14:textId="77777777" w:rsidR="001B7F77" w:rsidRPr="001B7F77" w:rsidRDefault="001B7F77" w:rsidP="00FD2721">
      <w:pPr>
        <w:pBdr>
          <w:top w:val="nil"/>
          <w:left w:val="nil"/>
          <w:bottom w:val="nil"/>
          <w:right w:val="nil"/>
          <w:between w:val="nil"/>
        </w:pBdr>
        <w:suppressAutoHyphens/>
        <w:spacing w:before="120"/>
        <w:ind w:left="360"/>
        <w:rPr>
          <w:rFonts w:eastAsia="Times"/>
          <w:szCs w:val="24"/>
          <w:u w:val="single"/>
        </w:rPr>
      </w:pPr>
      <w:r w:rsidRPr="001B7F77">
        <w:rPr>
          <w:rFonts w:eastAsia="Times"/>
          <w:b/>
          <w:color w:val="000000"/>
          <w:szCs w:val="24"/>
          <w:u w:val="single"/>
        </w:rPr>
        <w:t xml:space="preserve">D703.9 Stairs and entrance halls (MDL 238). </w:t>
      </w:r>
      <w:r w:rsidRPr="001B7F77">
        <w:rPr>
          <w:rFonts w:eastAsia="Times"/>
          <w:color w:val="000000"/>
          <w:szCs w:val="24"/>
          <w:u w:val="single"/>
        </w:rPr>
        <w:t xml:space="preserve">All stair and entrance halls in tenements shall be constructed as provided </w:t>
      </w:r>
      <w:r w:rsidRPr="001B7F77">
        <w:rPr>
          <w:rFonts w:eastAsia="Times"/>
          <w:szCs w:val="24"/>
          <w:u w:val="single"/>
        </w:rPr>
        <w:t>in this Sections D703.9.1 through D703.9.4.</w:t>
      </w:r>
    </w:p>
    <w:p w14:paraId="2C1BCF41"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 xml:space="preserve">D703.9.1 Stair enclosures for all NLs. (MDL 238(1)) </w:t>
      </w:r>
      <w:r w:rsidRPr="001B7F77">
        <w:rPr>
          <w:rFonts w:eastAsia="Times"/>
          <w:color w:val="000000"/>
          <w:szCs w:val="24"/>
          <w:u w:val="single"/>
        </w:rPr>
        <w:t>In all NLs:</w:t>
      </w:r>
    </w:p>
    <w:p w14:paraId="41EAC1B0" w14:textId="77777777" w:rsidR="001B7F77" w:rsidRPr="001B7F77" w:rsidRDefault="001B7F77" w:rsidP="00FD2721">
      <w:pPr>
        <w:pBdr>
          <w:top w:val="nil"/>
          <w:left w:val="nil"/>
          <w:bottom w:val="nil"/>
          <w:right w:val="nil"/>
          <w:between w:val="nil"/>
        </w:pBdr>
        <w:suppressAutoHyphens/>
        <w:spacing w:before="120"/>
        <w:ind w:left="1440" w:hanging="360"/>
        <w:rPr>
          <w:szCs w:val="24"/>
          <w:u w:val="single"/>
        </w:rPr>
      </w:pPr>
      <w:r w:rsidRPr="001B7F77">
        <w:rPr>
          <w:rFonts w:eastAsia="Times"/>
          <w:b/>
          <w:color w:val="000000"/>
          <w:szCs w:val="24"/>
          <w:u w:val="single"/>
        </w:rPr>
        <w:t>1.</w:t>
      </w:r>
      <w:r w:rsidRPr="001B7F77">
        <w:rPr>
          <w:rFonts w:eastAsia="Times"/>
          <w:bCs/>
          <w:color w:val="000000"/>
          <w:szCs w:val="24"/>
          <w:u w:val="single"/>
        </w:rPr>
        <w:tab/>
      </w:r>
      <w:r w:rsidRPr="001B7F77">
        <w:rPr>
          <w:rFonts w:eastAsia="Times"/>
          <w:b/>
          <w:color w:val="000000"/>
          <w:szCs w:val="24"/>
          <w:u w:val="single"/>
        </w:rPr>
        <w:t xml:space="preserve">Doors. </w:t>
      </w:r>
      <w:r w:rsidRPr="001B7F77">
        <w:rPr>
          <w:rFonts w:eastAsia="Times"/>
          <w:color w:val="000000"/>
          <w:szCs w:val="24"/>
          <w:u w:val="single"/>
        </w:rPr>
        <w:t>On every story there shall be fireproof doors and assemblies with the doors self-closing separating every such stair and entrance hall from all non-fireproof parts of the tenement.</w:t>
      </w:r>
    </w:p>
    <w:p w14:paraId="661544F1" w14:textId="77777777" w:rsidR="001B7F77" w:rsidRPr="001B7F77" w:rsidRDefault="001B7F77" w:rsidP="00FD2721">
      <w:pPr>
        <w:pBdr>
          <w:top w:val="nil"/>
          <w:left w:val="nil"/>
          <w:bottom w:val="nil"/>
          <w:right w:val="nil"/>
          <w:between w:val="nil"/>
        </w:pBdr>
        <w:suppressAutoHyphens/>
        <w:spacing w:before="120"/>
        <w:ind w:left="1440" w:hanging="360"/>
        <w:rPr>
          <w:szCs w:val="24"/>
          <w:u w:val="single"/>
        </w:rPr>
      </w:pPr>
      <w:r w:rsidRPr="001B7F77">
        <w:rPr>
          <w:rFonts w:eastAsia="Times"/>
          <w:b/>
          <w:color w:val="000000"/>
          <w:szCs w:val="24"/>
          <w:u w:val="single"/>
        </w:rPr>
        <w:t>2.</w:t>
      </w:r>
      <w:r w:rsidRPr="001B7F77">
        <w:rPr>
          <w:rFonts w:eastAsia="Times"/>
          <w:bCs/>
          <w:color w:val="000000"/>
          <w:szCs w:val="24"/>
          <w:u w:val="single"/>
        </w:rPr>
        <w:tab/>
      </w:r>
      <w:r w:rsidRPr="001B7F77">
        <w:rPr>
          <w:rFonts w:eastAsia="Times"/>
          <w:b/>
          <w:color w:val="000000"/>
          <w:szCs w:val="24"/>
          <w:u w:val="single"/>
        </w:rPr>
        <w:t xml:space="preserve">Transoms and windows. </w:t>
      </w:r>
      <w:r w:rsidRPr="001B7F77">
        <w:rPr>
          <w:rFonts w:eastAsia="Times"/>
          <w:color w:val="000000"/>
          <w:szCs w:val="24"/>
          <w:u w:val="single"/>
        </w:rPr>
        <w:t>There shall be no transom, sash or similar opening of any kind from such stair and entrance halls to any other part of the tenement.</w:t>
      </w:r>
    </w:p>
    <w:p w14:paraId="5902C0BE" w14:textId="77777777" w:rsidR="001B7F77" w:rsidRPr="001B7F77" w:rsidRDefault="001B7F77" w:rsidP="00FD2721">
      <w:pPr>
        <w:pBdr>
          <w:top w:val="nil"/>
          <w:left w:val="nil"/>
          <w:bottom w:val="nil"/>
          <w:right w:val="nil"/>
          <w:between w:val="nil"/>
        </w:pBdr>
        <w:suppressAutoHyphens/>
        <w:spacing w:before="120"/>
        <w:ind w:left="1440" w:hanging="360"/>
        <w:rPr>
          <w:szCs w:val="24"/>
          <w:u w:val="single"/>
        </w:rPr>
      </w:pPr>
      <w:r w:rsidRPr="001B7F77">
        <w:rPr>
          <w:rFonts w:eastAsia="Times"/>
          <w:b/>
          <w:color w:val="000000"/>
          <w:szCs w:val="24"/>
          <w:u w:val="single"/>
        </w:rPr>
        <w:t>3.</w:t>
      </w:r>
      <w:r w:rsidRPr="001B7F77">
        <w:rPr>
          <w:rFonts w:eastAsia="Times"/>
          <w:bCs/>
          <w:color w:val="000000"/>
          <w:szCs w:val="24"/>
          <w:u w:val="single"/>
        </w:rPr>
        <w:tab/>
      </w:r>
      <w:r w:rsidRPr="001B7F77">
        <w:rPr>
          <w:rFonts w:eastAsia="Times"/>
          <w:b/>
          <w:color w:val="000000"/>
          <w:szCs w:val="24"/>
          <w:u w:val="single"/>
        </w:rPr>
        <w:t xml:space="preserve">Brick enclosures. </w:t>
      </w:r>
      <w:r w:rsidRPr="001B7F77">
        <w:rPr>
          <w:rFonts w:eastAsia="Times"/>
          <w:color w:val="000000"/>
          <w:szCs w:val="24"/>
          <w:u w:val="single"/>
        </w:rPr>
        <w:t>If such tenements are non-fireproof, and are occupied by 3 families or more on any story or are 5 stories or more in height, the stair and entrance halls shall be enclosed with brick walls, except as provided in Item 1 of Section D703.9.3.</w:t>
      </w:r>
    </w:p>
    <w:p w14:paraId="59A92824"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 xml:space="preserve">D703.9.2 </w:t>
      </w:r>
      <w:r w:rsidRPr="001B7F77">
        <w:rPr>
          <w:rFonts w:eastAsia="Times"/>
          <w:b/>
          <w:szCs w:val="24"/>
          <w:u w:val="single"/>
        </w:rPr>
        <w:t>Entrance hall construction, rear yard access and stair construction in certain NLs (MDL 238(2)).</w:t>
      </w:r>
      <w:r w:rsidRPr="001B7F77">
        <w:rPr>
          <w:rFonts w:eastAsia="Times"/>
          <w:b/>
          <w:color w:val="000000"/>
          <w:szCs w:val="24"/>
          <w:u w:val="single"/>
        </w:rPr>
        <w:t xml:space="preserve"> </w:t>
      </w:r>
      <w:r w:rsidRPr="001B7F77">
        <w:rPr>
          <w:rFonts w:eastAsia="Times"/>
          <w:color w:val="000000"/>
          <w:szCs w:val="24"/>
          <w:u w:val="single"/>
        </w:rPr>
        <w:t>In NLs erected after April 14, 1903:</w:t>
      </w:r>
    </w:p>
    <w:p w14:paraId="4975D53A" w14:textId="77777777" w:rsidR="001B7F77" w:rsidRPr="001B7F77" w:rsidRDefault="001B7F77" w:rsidP="00FD2721">
      <w:pPr>
        <w:pBdr>
          <w:top w:val="nil"/>
          <w:left w:val="nil"/>
          <w:bottom w:val="nil"/>
          <w:right w:val="nil"/>
          <w:between w:val="nil"/>
        </w:pBdr>
        <w:suppressAutoHyphens/>
        <w:spacing w:before="120"/>
        <w:ind w:left="1440" w:hanging="360"/>
        <w:rPr>
          <w:szCs w:val="24"/>
          <w:u w:val="single"/>
        </w:rPr>
      </w:pPr>
      <w:r w:rsidRPr="001B7F77">
        <w:rPr>
          <w:rFonts w:eastAsia="Times"/>
          <w:b/>
          <w:color w:val="000000"/>
          <w:szCs w:val="24"/>
          <w:u w:val="single"/>
        </w:rPr>
        <w:t>1.</w:t>
      </w:r>
      <w:r w:rsidRPr="001B7F77">
        <w:rPr>
          <w:rFonts w:eastAsia="Times"/>
          <w:b/>
          <w:color w:val="000000"/>
          <w:szCs w:val="24"/>
          <w:u w:val="single"/>
        </w:rPr>
        <w:tab/>
        <w:t xml:space="preserve">Clear width. </w:t>
      </w:r>
      <w:r w:rsidRPr="001B7F77">
        <w:rPr>
          <w:rFonts w:eastAsia="Times"/>
          <w:color w:val="000000"/>
          <w:szCs w:val="24"/>
          <w:u w:val="single"/>
        </w:rPr>
        <w:t>Every entrance hall shall have at least 3 feet 6 inches (1 067 mm) in clear width from the entrance up to and including the stair enclosure, and beyond that at least 3 feet (914 mm) in clear width. If such entrance hall is the only entrance to two stairs or more, that portion of the hall between the entrance and the first stair, including the stair enclosure, shall be at least 5 feet 3 inches (1 600 mm) wide.</w:t>
      </w:r>
    </w:p>
    <w:p w14:paraId="4881FE57" w14:textId="77777777" w:rsidR="001B7F77" w:rsidRPr="001B7F77" w:rsidRDefault="001B7F77" w:rsidP="00FD2721">
      <w:pPr>
        <w:pBdr>
          <w:top w:val="nil"/>
          <w:left w:val="nil"/>
          <w:bottom w:val="nil"/>
          <w:right w:val="nil"/>
          <w:between w:val="nil"/>
        </w:pBdr>
        <w:suppressAutoHyphens/>
        <w:spacing w:before="120"/>
        <w:ind w:left="1440" w:hanging="360"/>
        <w:rPr>
          <w:szCs w:val="24"/>
          <w:u w:val="single"/>
        </w:rPr>
      </w:pPr>
      <w:r w:rsidRPr="001B7F77">
        <w:rPr>
          <w:rFonts w:eastAsia="Times"/>
          <w:b/>
          <w:color w:val="000000"/>
          <w:szCs w:val="24"/>
          <w:u w:val="single"/>
        </w:rPr>
        <w:t>2.</w:t>
      </w:r>
      <w:r w:rsidRPr="001B7F77">
        <w:rPr>
          <w:rFonts w:eastAsia="Times"/>
          <w:bCs/>
          <w:color w:val="000000"/>
          <w:szCs w:val="24"/>
          <w:u w:val="single"/>
        </w:rPr>
        <w:tab/>
      </w:r>
      <w:r w:rsidRPr="001B7F77">
        <w:rPr>
          <w:rFonts w:eastAsia="Times"/>
          <w:b/>
          <w:color w:val="000000"/>
          <w:szCs w:val="24"/>
          <w:u w:val="single"/>
        </w:rPr>
        <w:t xml:space="preserve">Construction. </w:t>
      </w:r>
      <w:r w:rsidRPr="001B7F77">
        <w:rPr>
          <w:rFonts w:eastAsia="Times"/>
          <w:color w:val="000000"/>
          <w:szCs w:val="24"/>
          <w:u w:val="single"/>
        </w:rPr>
        <w:t>Entrance halls shall comply with the requirements of Sections D703.5 to D703.8 inclusive as to construction of stair and entrance halls, except that if such tenements are fireproof entrance hall enclosures need only withstand a fire test of 2½ hours and angle iron construction may be substituted for brick walls.</w:t>
      </w:r>
    </w:p>
    <w:p w14:paraId="3E073B81" w14:textId="77777777" w:rsidR="001B7F77" w:rsidRPr="001B7F77" w:rsidRDefault="001B7F77" w:rsidP="00FD2721">
      <w:pPr>
        <w:pBdr>
          <w:top w:val="nil"/>
          <w:left w:val="nil"/>
          <w:bottom w:val="nil"/>
          <w:right w:val="nil"/>
          <w:between w:val="nil"/>
        </w:pBdr>
        <w:suppressAutoHyphens/>
        <w:spacing w:before="120"/>
        <w:ind w:left="1440" w:hanging="360"/>
        <w:rPr>
          <w:szCs w:val="24"/>
          <w:u w:val="single"/>
        </w:rPr>
      </w:pPr>
      <w:r w:rsidRPr="001B7F77">
        <w:rPr>
          <w:rFonts w:eastAsia="Times"/>
          <w:b/>
          <w:color w:val="000000"/>
          <w:szCs w:val="24"/>
          <w:u w:val="single"/>
        </w:rPr>
        <w:t>3.</w:t>
      </w:r>
      <w:r w:rsidRPr="001B7F77">
        <w:rPr>
          <w:rFonts w:eastAsia="Times"/>
          <w:bCs/>
          <w:color w:val="000000"/>
          <w:szCs w:val="24"/>
          <w:u w:val="single"/>
        </w:rPr>
        <w:tab/>
      </w:r>
      <w:r w:rsidRPr="001B7F77">
        <w:rPr>
          <w:rFonts w:eastAsia="Times"/>
          <w:b/>
          <w:color w:val="000000"/>
          <w:szCs w:val="24"/>
          <w:u w:val="single"/>
        </w:rPr>
        <w:t xml:space="preserve">Rear yard access. </w:t>
      </w:r>
      <w:r w:rsidRPr="001B7F77">
        <w:rPr>
          <w:rFonts w:eastAsia="Times"/>
          <w:color w:val="000000"/>
          <w:szCs w:val="24"/>
          <w:u w:val="single"/>
        </w:rPr>
        <w:t>Access shall be provided from a street to the yard either in a direct line or through a court.</w:t>
      </w:r>
    </w:p>
    <w:p w14:paraId="36828CEB" w14:textId="77777777" w:rsidR="001B7F77" w:rsidRPr="001B7F77" w:rsidRDefault="001B7F77" w:rsidP="00FD2721">
      <w:pPr>
        <w:pBdr>
          <w:top w:val="nil"/>
          <w:left w:val="nil"/>
          <w:bottom w:val="nil"/>
          <w:right w:val="nil"/>
          <w:between w:val="nil"/>
        </w:pBdr>
        <w:suppressAutoHyphens/>
        <w:spacing w:before="120"/>
        <w:ind w:left="1440" w:hanging="360"/>
        <w:rPr>
          <w:szCs w:val="24"/>
          <w:u w:val="single"/>
        </w:rPr>
      </w:pPr>
      <w:r w:rsidRPr="001B7F77">
        <w:rPr>
          <w:rFonts w:eastAsia="Times"/>
          <w:b/>
          <w:color w:val="000000"/>
          <w:szCs w:val="24"/>
          <w:u w:val="single"/>
        </w:rPr>
        <w:t>4.</w:t>
      </w:r>
      <w:r w:rsidRPr="001B7F77">
        <w:rPr>
          <w:rFonts w:eastAsia="Times"/>
          <w:bCs/>
          <w:color w:val="000000"/>
          <w:szCs w:val="24"/>
          <w:u w:val="single"/>
        </w:rPr>
        <w:tab/>
      </w:r>
      <w:r w:rsidRPr="001B7F77">
        <w:rPr>
          <w:rFonts w:eastAsia="Times"/>
          <w:b/>
          <w:color w:val="000000"/>
          <w:szCs w:val="24"/>
          <w:u w:val="single"/>
        </w:rPr>
        <w:t xml:space="preserve">Maximum of four stories and two families per story. </w:t>
      </w:r>
      <w:r w:rsidRPr="001B7F77">
        <w:rPr>
          <w:rFonts w:eastAsia="Times"/>
          <w:color w:val="000000"/>
          <w:szCs w:val="24"/>
          <w:u w:val="single"/>
        </w:rPr>
        <w:t>For tenements occupied by not more than 2 families on any story and not more than 4 stories in height, the floors of the stair and entrance halls shall be fireproof or filled in between the floor beams with at least 5 inches (127 mm) of concrete deafening. The stairs shall be fireproof, or may be of wood provided the soffits of the stairs are fire-retarded, or covered with plaster board at least one half inch (13 mm) thick, with all joints true and well pointed. The stair and entrance halls in such tenements shall be enclosed on all sides with brick walls or with partitions of angle iron and fireproof blocks 4 inches (102 mm) or more in thickness, except as provided in Section D703.9.2, Item 5.</w:t>
      </w:r>
    </w:p>
    <w:p w14:paraId="4964F108" w14:textId="77777777" w:rsidR="001B7F77" w:rsidRPr="001B7F77" w:rsidRDefault="001B7F77" w:rsidP="00FD2721">
      <w:pPr>
        <w:pBdr>
          <w:top w:val="nil"/>
          <w:left w:val="nil"/>
          <w:bottom w:val="nil"/>
          <w:right w:val="nil"/>
          <w:between w:val="nil"/>
        </w:pBdr>
        <w:suppressAutoHyphens/>
        <w:spacing w:before="120"/>
        <w:ind w:left="1440" w:hanging="360"/>
        <w:rPr>
          <w:szCs w:val="24"/>
          <w:u w:val="single"/>
        </w:rPr>
      </w:pPr>
      <w:r w:rsidRPr="001B7F77">
        <w:rPr>
          <w:rFonts w:eastAsia="Times"/>
          <w:b/>
          <w:color w:val="000000"/>
          <w:szCs w:val="24"/>
          <w:u w:val="single"/>
        </w:rPr>
        <w:t>5.</w:t>
      </w:r>
      <w:r w:rsidRPr="001B7F77">
        <w:rPr>
          <w:rFonts w:eastAsia="Times"/>
          <w:bCs/>
          <w:color w:val="000000"/>
          <w:szCs w:val="24"/>
          <w:u w:val="single"/>
        </w:rPr>
        <w:tab/>
      </w:r>
      <w:r w:rsidRPr="001B7F77">
        <w:rPr>
          <w:rFonts w:eastAsia="Times"/>
          <w:b/>
          <w:color w:val="000000"/>
          <w:szCs w:val="24"/>
          <w:u w:val="single"/>
        </w:rPr>
        <w:t xml:space="preserve">Maximum of three stories and two families per story. </w:t>
      </w:r>
      <w:r w:rsidRPr="001B7F77">
        <w:rPr>
          <w:rFonts w:eastAsia="Times"/>
          <w:color w:val="000000"/>
          <w:szCs w:val="24"/>
          <w:u w:val="single"/>
        </w:rPr>
        <w:t>For tenements occupied by not more than 2 families on any story and not more than 3 stories in height, the stair and entrance halls may be enclosed 1-hour fire barriers, or covered with plaster board at least one half inch (13 mm) thick, with all joints true and well pointed and with the spaces between the studs filled in with brick to the height of the floor beams.</w:t>
      </w:r>
    </w:p>
    <w:p w14:paraId="407F9BB2"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 xml:space="preserve">D703.9.3 </w:t>
      </w:r>
      <w:r w:rsidRPr="001B7F77">
        <w:rPr>
          <w:rFonts w:eastAsia="Times"/>
          <w:b/>
          <w:szCs w:val="24"/>
          <w:u w:val="single"/>
        </w:rPr>
        <w:t>Stair, entrance hall and public hall construction in certain NLs (MDL 238(3)).</w:t>
      </w:r>
      <w:r w:rsidRPr="001B7F77">
        <w:rPr>
          <w:rFonts w:eastAsia="Times"/>
          <w:b/>
          <w:color w:val="000000"/>
          <w:szCs w:val="24"/>
          <w:u w:val="single"/>
        </w:rPr>
        <w:t xml:space="preserve"> </w:t>
      </w:r>
      <w:r w:rsidRPr="001B7F77">
        <w:rPr>
          <w:rFonts w:eastAsia="Times"/>
          <w:color w:val="000000"/>
          <w:szCs w:val="24"/>
          <w:u w:val="single"/>
        </w:rPr>
        <w:t>In NLs erected after April 18, 1912:</w:t>
      </w:r>
    </w:p>
    <w:p w14:paraId="7A84C2B1" w14:textId="77777777" w:rsidR="001B7F77" w:rsidRPr="001B7F77" w:rsidRDefault="001B7F77" w:rsidP="00FD2721">
      <w:pPr>
        <w:numPr>
          <w:ilvl w:val="0"/>
          <w:numId w:val="37"/>
        </w:numPr>
        <w:pBdr>
          <w:top w:val="nil"/>
          <w:left w:val="nil"/>
          <w:bottom w:val="nil"/>
          <w:right w:val="nil"/>
          <w:between w:val="nil"/>
        </w:pBdr>
        <w:suppressAutoHyphens/>
        <w:spacing w:before="120"/>
        <w:ind w:left="1440"/>
        <w:jc w:val="left"/>
        <w:rPr>
          <w:rFonts w:eastAsia="Times"/>
          <w:szCs w:val="24"/>
          <w:u w:val="single"/>
        </w:rPr>
      </w:pPr>
      <w:r w:rsidRPr="001B7F77">
        <w:rPr>
          <w:rFonts w:eastAsia="Times"/>
          <w:color w:val="000000"/>
          <w:szCs w:val="24"/>
          <w:u w:val="single"/>
        </w:rPr>
        <w:t xml:space="preserve">If such tenements are occupied by 3 or more families on any story, or are 5 stories or more in height, the stairs and entrance halls shall be fireproof throughout and all stairs provided with handrails, except that stair treads two inches (51 mm) or more in thickness and handrails may be of hard wood. All windows in such halls shall be fireproof and, except for windows opening on a street in a tenement 6 stories or less in height, shall be glazed with wire glass, and upon replacement after </w:t>
      </w:r>
      <w:r w:rsidRPr="001B7F77">
        <w:rPr>
          <w:rFonts w:eastAsia="Times"/>
          <w:szCs w:val="24"/>
          <w:u w:val="single"/>
        </w:rPr>
        <w:t>the effective date of the local law that added this section</w:t>
      </w:r>
      <w:r w:rsidRPr="001B7F77">
        <w:rPr>
          <w:rFonts w:eastAsia="Times"/>
          <w:color w:val="000000"/>
          <w:szCs w:val="24"/>
          <w:u w:val="single"/>
        </w:rPr>
        <w:t>, by fire rated glazing. Such halls shall be enclosed with brick walls, except that one or more sides may be left open to a street, yard or court.</w:t>
      </w:r>
    </w:p>
    <w:p w14:paraId="522E07FF" w14:textId="77777777" w:rsidR="001B7F77" w:rsidRPr="001B7F77" w:rsidRDefault="001B7F77" w:rsidP="00FD2721">
      <w:pPr>
        <w:numPr>
          <w:ilvl w:val="0"/>
          <w:numId w:val="37"/>
        </w:numPr>
        <w:pBdr>
          <w:top w:val="nil"/>
          <w:left w:val="nil"/>
          <w:bottom w:val="nil"/>
          <w:right w:val="nil"/>
          <w:between w:val="nil"/>
        </w:pBdr>
        <w:suppressAutoHyphens/>
        <w:spacing w:before="120"/>
        <w:ind w:left="1440"/>
        <w:jc w:val="left"/>
        <w:rPr>
          <w:rFonts w:eastAsia="Times"/>
          <w:szCs w:val="24"/>
          <w:u w:val="single"/>
        </w:rPr>
      </w:pPr>
      <w:r w:rsidRPr="001B7F77">
        <w:rPr>
          <w:rFonts w:eastAsia="Times"/>
          <w:color w:val="000000"/>
          <w:szCs w:val="24"/>
          <w:u w:val="single"/>
        </w:rPr>
        <w:t>Public halls which are more than 40 feet (12 192 mm) in length and are used as a means of egress from 4 or more dwelling units shall be fireproof throughout and doors opening there from and their assemblies shall be fireproof with the doors self-closing.</w:t>
      </w:r>
    </w:p>
    <w:p w14:paraId="4AF599AD"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D703.9.</w:t>
      </w:r>
      <w:r w:rsidRPr="001B7F77">
        <w:rPr>
          <w:rFonts w:eastAsia="Times"/>
          <w:b/>
          <w:szCs w:val="24"/>
          <w:u w:val="single"/>
        </w:rPr>
        <w:t>4</w:t>
      </w:r>
      <w:r w:rsidRPr="001B7F77">
        <w:rPr>
          <w:rFonts w:eastAsia="Times"/>
          <w:b/>
          <w:color w:val="000000"/>
          <w:szCs w:val="24"/>
          <w:u w:val="single"/>
        </w:rPr>
        <w:t xml:space="preserve"> </w:t>
      </w:r>
      <w:r w:rsidRPr="001B7F77">
        <w:rPr>
          <w:rFonts w:eastAsia="Times"/>
          <w:b/>
          <w:szCs w:val="24"/>
          <w:u w:val="single"/>
        </w:rPr>
        <w:t>Stairs, entrance halls and public halls in OLs (MDL 238(4)).</w:t>
      </w:r>
      <w:r w:rsidRPr="001B7F77">
        <w:rPr>
          <w:rFonts w:eastAsia="Times"/>
          <w:b/>
          <w:color w:val="000000"/>
          <w:szCs w:val="24"/>
          <w:u w:val="single"/>
        </w:rPr>
        <w:t xml:space="preserve"> </w:t>
      </w:r>
      <w:r w:rsidRPr="001B7F77">
        <w:rPr>
          <w:rFonts w:eastAsia="Times"/>
          <w:color w:val="000000"/>
          <w:szCs w:val="24"/>
          <w:u w:val="single"/>
        </w:rPr>
        <w:t>In OLs four stories or more in height:</w:t>
      </w:r>
    </w:p>
    <w:p w14:paraId="4B156C18" w14:textId="77777777" w:rsidR="001B7F77" w:rsidRPr="001B7F77" w:rsidRDefault="001B7F77" w:rsidP="00FD2721">
      <w:pPr>
        <w:pBdr>
          <w:top w:val="nil"/>
          <w:left w:val="nil"/>
          <w:bottom w:val="nil"/>
          <w:right w:val="nil"/>
          <w:between w:val="nil"/>
        </w:pBdr>
        <w:suppressAutoHyphens/>
        <w:spacing w:before="120"/>
        <w:ind w:left="1440" w:hanging="360"/>
        <w:rPr>
          <w:rFonts w:eastAsia="Times"/>
          <w:szCs w:val="24"/>
          <w:u w:val="single"/>
        </w:rPr>
      </w:pPr>
      <w:r w:rsidRPr="001B7F77">
        <w:rPr>
          <w:rFonts w:eastAsia="Times"/>
          <w:color w:val="000000"/>
          <w:szCs w:val="24"/>
          <w:u w:val="single"/>
        </w:rPr>
        <w:t>1.</w:t>
      </w:r>
      <w:r w:rsidRPr="001B7F77">
        <w:rPr>
          <w:rFonts w:eastAsia="Times"/>
          <w:color w:val="000000"/>
          <w:szCs w:val="24"/>
          <w:u w:val="single"/>
        </w:rPr>
        <w:tab/>
        <w:t>Whenever the entrance halls of any such tenements adjoin, they shall be separated by a 1-hour fire barrier.</w:t>
      </w:r>
    </w:p>
    <w:p w14:paraId="0FE0C44A" w14:textId="77777777" w:rsidR="001B7F77" w:rsidRPr="001B7F77" w:rsidRDefault="001B7F77" w:rsidP="00FD2721">
      <w:pPr>
        <w:pBdr>
          <w:top w:val="nil"/>
          <w:left w:val="nil"/>
          <w:bottom w:val="nil"/>
          <w:right w:val="nil"/>
          <w:between w:val="nil"/>
        </w:pBdr>
        <w:suppressAutoHyphens/>
        <w:spacing w:before="120"/>
        <w:ind w:left="1440" w:hanging="360"/>
        <w:rPr>
          <w:rFonts w:eastAsia="Times"/>
          <w:szCs w:val="24"/>
          <w:u w:val="single"/>
        </w:rPr>
      </w:pPr>
      <w:r w:rsidRPr="001B7F77">
        <w:rPr>
          <w:rFonts w:eastAsia="Times"/>
          <w:color w:val="000000"/>
          <w:szCs w:val="24"/>
          <w:u w:val="single"/>
        </w:rPr>
        <w:t>2.</w:t>
      </w:r>
      <w:r w:rsidRPr="001B7F77">
        <w:rPr>
          <w:rFonts w:eastAsia="Times"/>
          <w:color w:val="000000"/>
          <w:szCs w:val="24"/>
          <w:u w:val="single"/>
        </w:rPr>
        <w:tab/>
        <w:t>The walls and ceilings of every entrance hall and stair hall, and every public hall connected therewith, shall be 1-hour fire barriers or horizontal assemblies, and the soffit of every stair shall be fire-retarded. In all such halls all wood wainscoting except a flat base and stair stringers 10 inches (254 mm) or less in height, and all wood railings, balustrades and newel posts shall be removed completely and replaced with metal or other hard incombustible materials of such size and secured in such manner as may be approved by the department, except that handrails may be of hard wood.</w:t>
      </w:r>
    </w:p>
    <w:p w14:paraId="3CD7101E" w14:textId="77777777" w:rsidR="001B7F77" w:rsidRPr="001B7F77" w:rsidRDefault="001B7F77" w:rsidP="00FD2721">
      <w:pPr>
        <w:pBdr>
          <w:top w:val="nil"/>
          <w:left w:val="nil"/>
          <w:bottom w:val="nil"/>
          <w:right w:val="nil"/>
          <w:between w:val="nil"/>
        </w:pBdr>
        <w:suppressAutoHyphens/>
        <w:spacing w:before="120"/>
        <w:ind w:left="1440" w:hanging="360"/>
        <w:rPr>
          <w:rFonts w:eastAsia="Times"/>
          <w:szCs w:val="24"/>
          <w:u w:val="single"/>
        </w:rPr>
      </w:pPr>
      <w:r w:rsidRPr="001B7F77">
        <w:rPr>
          <w:rFonts w:eastAsia="Times"/>
          <w:color w:val="000000"/>
          <w:szCs w:val="24"/>
          <w:u w:val="single"/>
        </w:rPr>
        <w:t>3.</w:t>
      </w:r>
      <w:r w:rsidRPr="001B7F77">
        <w:rPr>
          <w:rFonts w:eastAsia="Times"/>
          <w:color w:val="000000"/>
          <w:szCs w:val="24"/>
          <w:u w:val="single"/>
        </w:rPr>
        <w:tab/>
        <w:t xml:space="preserve">Every door opening into any entrance hall or stair, or into any public hall connected therewith, shall be self-closing; every glazed opening or glazed panel in such a door shall be glazed with wire glass, and upon replacement after </w:t>
      </w:r>
      <w:r w:rsidRPr="001B7F77">
        <w:rPr>
          <w:rFonts w:eastAsia="Times"/>
          <w:szCs w:val="24"/>
          <w:u w:val="single"/>
        </w:rPr>
        <w:t>the effective date of the local law that added this section</w:t>
      </w:r>
      <w:r w:rsidRPr="001B7F77" w:rsidDel="00A97B8D">
        <w:rPr>
          <w:rFonts w:eastAsia="Times"/>
          <w:color w:val="000000"/>
          <w:szCs w:val="24"/>
          <w:u w:val="single"/>
        </w:rPr>
        <w:t xml:space="preserve"> </w:t>
      </w:r>
      <w:r w:rsidRPr="001B7F77">
        <w:rPr>
          <w:rFonts w:eastAsia="Times"/>
          <w:color w:val="000000"/>
          <w:szCs w:val="24"/>
          <w:u w:val="single"/>
        </w:rPr>
        <w:t>with fire rated glazing, and every transom opening into any public hall shall be glazed with wire glass, and upon replacement after [effective date] with fire rated glazing, and permanently secured in a closed position.</w:t>
      </w:r>
    </w:p>
    <w:p w14:paraId="21922272" w14:textId="77777777" w:rsidR="001B7F77" w:rsidRPr="001B7F77" w:rsidRDefault="001B7F77" w:rsidP="00FD2721">
      <w:pPr>
        <w:pBdr>
          <w:top w:val="nil"/>
          <w:left w:val="nil"/>
          <w:bottom w:val="nil"/>
          <w:right w:val="nil"/>
          <w:between w:val="nil"/>
        </w:pBdr>
        <w:suppressAutoHyphens/>
        <w:spacing w:before="120"/>
        <w:ind w:left="1440" w:hanging="360"/>
        <w:rPr>
          <w:rFonts w:eastAsia="Times"/>
          <w:szCs w:val="24"/>
          <w:u w:val="single"/>
        </w:rPr>
      </w:pPr>
      <w:r w:rsidRPr="001B7F77">
        <w:rPr>
          <w:rFonts w:eastAsia="Times"/>
          <w:color w:val="000000"/>
          <w:szCs w:val="24"/>
          <w:u w:val="single"/>
        </w:rPr>
        <w:t>4.</w:t>
      </w:r>
      <w:r w:rsidRPr="001B7F77">
        <w:rPr>
          <w:rFonts w:eastAsia="Times"/>
          <w:color w:val="000000"/>
          <w:szCs w:val="24"/>
          <w:u w:val="single"/>
        </w:rPr>
        <w:tab/>
        <w:t>Every interior sash, or opening other than a door, in the walls or partitions of such halls, and every window therein not opening to the outer air, shall be removed and the openings closed up with 1-hour fire barriers.</w:t>
      </w:r>
    </w:p>
    <w:p w14:paraId="7E403731" w14:textId="77777777" w:rsidR="001B7F77" w:rsidRPr="001B7F77" w:rsidRDefault="001B7F77" w:rsidP="00FD2721">
      <w:pPr>
        <w:pBdr>
          <w:top w:val="nil"/>
          <w:left w:val="nil"/>
          <w:bottom w:val="nil"/>
          <w:right w:val="nil"/>
          <w:between w:val="nil"/>
        </w:pBdr>
        <w:suppressAutoHyphens/>
        <w:spacing w:before="120"/>
        <w:ind w:left="360"/>
        <w:rPr>
          <w:rFonts w:eastAsia="Times"/>
          <w:color w:val="000000"/>
          <w:szCs w:val="24"/>
          <w:u w:val="single"/>
        </w:rPr>
      </w:pPr>
      <w:r w:rsidRPr="001B7F77">
        <w:rPr>
          <w:rFonts w:eastAsia="Times"/>
          <w:b/>
          <w:color w:val="000000"/>
          <w:szCs w:val="24"/>
          <w:u w:val="single"/>
        </w:rPr>
        <w:t xml:space="preserve">D703.10 Tower fire escapes and supplemental stairs (MDL 239). </w:t>
      </w:r>
      <w:r w:rsidRPr="001B7F77">
        <w:rPr>
          <w:rFonts w:eastAsia="Times"/>
          <w:color w:val="000000"/>
          <w:szCs w:val="24"/>
          <w:u w:val="single"/>
        </w:rPr>
        <w:t>In fireproof tenements tower fire-escapes or stairs which are supplemental to the stairs required by law may be installed providing such tower fire-escapes or stairs shall be shut off from all other parts of the dwelling by brick walls or partitions of terra cotta blocks at least 4 inches (102 mm) thick, or hollow cement blocks at least 4 inches (102 mm) thick which have successfully withstood a 3-hour standard fire test and been approved by the department, and have fireproof doors and assemblies with the doors self-closing at all openings. Whenever such supplementary stairs are provided they shall be constructed in accordance with regulations as may be adopted by the department. Such tower fire-escapes or stairs shall not be used as service stairs and shall be kept adequately lighted at all times and free from encumbrance.</w:t>
      </w:r>
    </w:p>
    <w:p w14:paraId="00925375" w14:textId="77777777" w:rsidR="001B7F77" w:rsidRPr="001B7F77" w:rsidRDefault="001B7F77" w:rsidP="00FD2721">
      <w:pPr>
        <w:pBdr>
          <w:top w:val="nil"/>
          <w:left w:val="nil"/>
          <w:bottom w:val="nil"/>
          <w:right w:val="nil"/>
          <w:between w:val="nil"/>
        </w:pBdr>
        <w:suppressAutoHyphens/>
        <w:spacing w:before="120"/>
        <w:ind w:left="360"/>
        <w:rPr>
          <w:rFonts w:eastAsia="Times"/>
          <w:b/>
          <w:color w:val="000000"/>
          <w:szCs w:val="24"/>
          <w:u w:val="single"/>
        </w:rPr>
      </w:pPr>
      <w:r w:rsidRPr="001B7F77">
        <w:rPr>
          <w:rFonts w:eastAsia="Times"/>
          <w:b/>
          <w:color w:val="000000"/>
          <w:szCs w:val="24"/>
          <w:u w:val="single"/>
        </w:rPr>
        <w:t>D703.11 First tier of beams (MDL 240)</w:t>
      </w:r>
    </w:p>
    <w:p w14:paraId="08985E56"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 xml:space="preserve">D703.11.1 All NLs five or more stories in height (MDL 240(1)). </w:t>
      </w:r>
      <w:r w:rsidRPr="001B7F77">
        <w:rPr>
          <w:rFonts w:eastAsia="Times"/>
          <w:color w:val="000000"/>
          <w:szCs w:val="24"/>
          <w:u w:val="single"/>
        </w:rPr>
        <w:t>In all NLs, which are 5 stories or more in height, the first floor above the lowest cellar, or, if there be no cellar, above the basement or other lowest story, shall be fireproof; and all exposed portions of any iron or steel beams below the floor arches shall be fire-retarded.</w:t>
      </w:r>
    </w:p>
    <w:p w14:paraId="5867D0E0"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 xml:space="preserve">D703.11.2 Non-fireproof NLs four stories or less in height (MDL 240(2)). </w:t>
      </w:r>
      <w:r w:rsidRPr="001B7F77">
        <w:rPr>
          <w:rFonts w:eastAsia="Times"/>
          <w:color w:val="000000"/>
          <w:szCs w:val="24"/>
          <w:u w:val="single"/>
        </w:rPr>
        <w:t>In all non-fireproof NLs which are four stories or less in height, the ceiling of the lowest cellar, or, if there be no cellar, of the basement or other lowest story, shall be 1-hour horizontal assemblies.</w:t>
      </w:r>
    </w:p>
    <w:p w14:paraId="21C4F93B"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 xml:space="preserve">D703.11.3 All OLs (MDL 240(3)). </w:t>
      </w:r>
      <w:r w:rsidRPr="001B7F77">
        <w:rPr>
          <w:rFonts w:eastAsia="Times"/>
          <w:color w:val="000000"/>
          <w:szCs w:val="24"/>
          <w:u w:val="single"/>
        </w:rPr>
        <w:t>In all OLs which are four stories or more in height, the ceiling of the cellar, or, if there be no cellar, of the basement or other lowest story, shall be 1-hour horizontal assemblies.</w:t>
      </w:r>
    </w:p>
    <w:p w14:paraId="1C9A121F" w14:textId="77777777" w:rsidR="001B7F77" w:rsidRPr="001B7F77" w:rsidRDefault="001B7F77" w:rsidP="00FD2721">
      <w:pPr>
        <w:pBdr>
          <w:top w:val="nil"/>
          <w:left w:val="nil"/>
          <w:bottom w:val="nil"/>
          <w:right w:val="nil"/>
          <w:between w:val="nil"/>
        </w:pBdr>
        <w:suppressAutoHyphens/>
        <w:spacing w:before="120"/>
        <w:ind w:left="360"/>
        <w:rPr>
          <w:rFonts w:eastAsia="Times"/>
          <w:b/>
          <w:color w:val="000000"/>
          <w:szCs w:val="24"/>
          <w:u w:val="single"/>
        </w:rPr>
      </w:pPr>
      <w:r w:rsidRPr="001B7F77">
        <w:rPr>
          <w:rFonts w:eastAsia="Times"/>
          <w:b/>
          <w:color w:val="000000"/>
          <w:szCs w:val="24"/>
          <w:u w:val="single"/>
        </w:rPr>
        <w:t>D703.12 Partitions; fire-stopping (MDL 241)</w:t>
      </w:r>
    </w:p>
    <w:p w14:paraId="5DB5DFE4"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 xml:space="preserve">D703.12.1 </w:t>
      </w:r>
      <w:r w:rsidRPr="001B7F77">
        <w:rPr>
          <w:rFonts w:eastAsia="Times"/>
          <w:b/>
          <w:szCs w:val="24"/>
          <w:u w:val="single"/>
        </w:rPr>
        <w:t>Partitions in c</w:t>
      </w:r>
      <w:r w:rsidRPr="001B7F77">
        <w:rPr>
          <w:rFonts w:eastAsia="Times"/>
          <w:b/>
          <w:color w:val="000000"/>
          <w:szCs w:val="24"/>
          <w:u w:val="single"/>
        </w:rPr>
        <w:t xml:space="preserve">ertain NLs (MDL 241(1)). </w:t>
      </w:r>
      <w:r w:rsidRPr="001B7F77">
        <w:rPr>
          <w:rFonts w:eastAsia="Times"/>
          <w:color w:val="000000"/>
          <w:szCs w:val="24"/>
          <w:u w:val="single"/>
        </w:rPr>
        <w:t>In NLs erected after April 18, 1912, wood stud dwelling unit partitions which are directly over each other shall run through the wood floor beams and rest upon the plate of the partition below. In fireproof tenements erected after such date all partitions shall rest directly upon the fireproof floor construction and extend to the fireproof beam filling above. Dwelling unit partitions within the meaning of this section are partitions crossing the floor beams at any angle and separating one dwelling unit from another or any part of a dwelling unit from any public part of the dwelling.</w:t>
      </w:r>
    </w:p>
    <w:p w14:paraId="255B0340"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 xml:space="preserve">D703.12.2 </w:t>
      </w:r>
      <w:r w:rsidRPr="001B7F77">
        <w:rPr>
          <w:rFonts w:eastAsia="Times"/>
          <w:b/>
          <w:szCs w:val="24"/>
          <w:u w:val="single"/>
        </w:rPr>
        <w:t>Firestopping in c</w:t>
      </w:r>
      <w:r w:rsidRPr="001B7F77">
        <w:rPr>
          <w:rFonts w:eastAsia="Times"/>
          <w:b/>
          <w:color w:val="000000"/>
          <w:szCs w:val="24"/>
          <w:u w:val="single"/>
        </w:rPr>
        <w:t xml:space="preserve">ertain NLs (MDL 241(2)). </w:t>
      </w:r>
      <w:r w:rsidRPr="001B7F77">
        <w:rPr>
          <w:rFonts w:eastAsia="Times"/>
          <w:color w:val="000000"/>
          <w:szCs w:val="24"/>
          <w:u w:val="single"/>
        </w:rPr>
        <w:t>In NLs erected after April 18, 1912, dwelling unit studding shall be filled in solidly between the uprights to the depth of the floor beams with incombustible materials.</w:t>
      </w:r>
    </w:p>
    <w:p w14:paraId="2F98646D"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 xml:space="preserve">D703.12.3 Brick fire stops in all </w:t>
      </w:r>
      <w:r w:rsidRPr="001B7F77">
        <w:rPr>
          <w:rFonts w:eastAsia="Times"/>
          <w:b/>
          <w:szCs w:val="24"/>
          <w:u w:val="single"/>
        </w:rPr>
        <w:t>n</w:t>
      </w:r>
      <w:r w:rsidRPr="001B7F77">
        <w:rPr>
          <w:rFonts w:eastAsia="Times"/>
          <w:b/>
          <w:color w:val="000000"/>
          <w:szCs w:val="24"/>
          <w:u w:val="single"/>
        </w:rPr>
        <w:t xml:space="preserve">on-fireproof NLs (MDL 241(3)). </w:t>
      </w:r>
      <w:r w:rsidRPr="001B7F77">
        <w:rPr>
          <w:rFonts w:eastAsia="Times"/>
          <w:color w:val="000000"/>
          <w:szCs w:val="24"/>
          <w:u w:val="single"/>
        </w:rPr>
        <w:t>In non-fireproof NLs, in every wall where wood furring is used, every course of masonry from the underside to the top of any floor beams shall project a distance of 2 inches (51 mm) or more beyond each face of the wall that is not on the outside of the dwelling, so as to provide an effective fire stop; and whenever floor beams run parallel to a wall and wood furring is used, every such beam shall always be kept 2 inches (51 mm) away from the wall, and the space between the beams and the wall shall be built up solidly with brickwork from the underside to the top of the floor beams so as to form an effective fire stop.</w:t>
      </w:r>
    </w:p>
    <w:p w14:paraId="04516997" w14:textId="77777777" w:rsidR="001B7F77" w:rsidRPr="001B7F77" w:rsidRDefault="001B7F77" w:rsidP="00FD2721">
      <w:pPr>
        <w:pBdr>
          <w:top w:val="nil"/>
          <w:left w:val="nil"/>
          <w:bottom w:val="nil"/>
          <w:right w:val="nil"/>
          <w:between w:val="nil"/>
        </w:pBdr>
        <w:suppressAutoHyphens/>
        <w:spacing w:before="120"/>
        <w:ind w:left="360"/>
        <w:rPr>
          <w:rFonts w:eastAsia="Times"/>
          <w:b/>
          <w:color w:val="000000"/>
          <w:szCs w:val="24"/>
          <w:u w:val="single"/>
        </w:rPr>
      </w:pPr>
      <w:r w:rsidRPr="001B7F77">
        <w:rPr>
          <w:rFonts w:eastAsia="Times"/>
          <w:b/>
          <w:color w:val="000000"/>
          <w:szCs w:val="24"/>
          <w:u w:val="single"/>
        </w:rPr>
        <w:t>D703.13 Cellar and basement stairs in non-fireproof tenements (MDL 242)</w:t>
      </w:r>
    </w:p>
    <w:p w14:paraId="424C7DFA"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 xml:space="preserve">D703.13.1 Non-fireproof NLs (MDL 242(1)). </w:t>
      </w:r>
      <w:r w:rsidRPr="001B7F77">
        <w:rPr>
          <w:rFonts w:eastAsia="Times"/>
          <w:color w:val="000000"/>
          <w:szCs w:val="24"/>
          <w:u w:val="single"/>
        </w:rPr>
        <w:t>Cellar stairs in non-fireproof NLs, which are occupied by 3 families or more on any story or which are 5 stories or more in height, shall be governed by the provisions of Section 150 of the MDL for non-fireproof multiple dwellings erected after April 18, 1929. In all other non-fireproof NLs, any stair leading to a cellar may be located inside the building, provided it is enclosed with fireproof walls and is provided with fireproof doors and assemblies at both the top and bottom, with the doors self-closing.</w:t>
      </w:r>
    </w:p>
    <w:p w14:paraId="0B89BB89"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 xml:space="preserve">D703.13.2 OLs (MDL 242(2)). </w:t>
      </w:r>
      <w:r w:rsidRPr="001B7F77">
        <w:rPr>
          <w:rFonts w:eastAsia="Times"/>
          <w:color w:val="000000"/>
          <w:szCs w:val="24"/>
          <w:u w:val="single"/>
        </w:rPr>
        <w:t>In OLs exceeding a basement and 3 other stories in height and provided with an inside cellar stair communicating between the entrance story and a cellar or lower story, the opening to such stair if located underneath the main stair leading to the upper stories shall be enclosed from the level of the entrance story up to the underside of the first flight of such main stairs. The soffit of such first flight of main stairs and the partitions forming such enclosure shall be fire-retarded or covered with twenty-six gauge metal. The opening to such enclosure shall be provided with a fireproof door and assembly with the door self-closing.</w:t>
      </w:r>
    </w:p>
    <w:p w14:paraId="3DEC36D5" w14:textId="77777777" w:rsidR="001B7F77" w:rsidRPr="001B7F77" w:rsidRDefault="001B7F77" w:rsidP="00FD2721">
      <w:pPr>
        <w:pBdr>
          <w:top w:val="nil"/>
          <w:left w:val="nil"/>
          <w:bottom w:val="nil"/>
          <w:right w:val="nil"/>
          <w:between w:val="nil"/>
        </w:pBdr>
        <w:suppressAutoHyphens/>
        <w:spacing w:before="120"/>
        <w:ind w:left="360"/>
        <w:rPr>
          <w:rFonts w:eastAsia="Times"/>
          <w:color w:val="000000"/>
          <w:szCs w:val="24"/>
          <w:u w:val="single"/>
        </w:rPr>
      </w:pPr>
      <w:r w:rsidRPr="001B7F77">
        <w:rPr>
          <w:rFonts w:eastAsia="Times"/>
          <w:b/>
          <w:color w:val="000000"/>
          <w:szCs w:val="24"/>
          <w:u w:val="single"/>
        </w:rPr>
        <w:t xml:space="preserve">D703.14 Cellar and basement stairs in certain fireproof NLs (MDL 243). </w:t>
      </w:r>
      <w:r w:rsidRPr="001B7F77">
        <w:rPr>
          <w:rFonts w:eastAsia="Times"/>
          <w:color w:val="000000"/>
          <w:szCs w:val="24"/>
          <w:u w:val="single"/>
        </w:rPr>
        <w:t>In fireproof tenements erected after April 18, 1912, the cellar and basement stairs shall be located, arranged and constructed in accordance with Section D703.14.1.</w:t>
      </w:r>
    </w:p>
    <w:p w14:paraId="2A006ED5"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 xml:space="preserve">D703.14.1 Stair construction standards (MDL 243, 106). </w:t>
      </w:r>
      <w:r w:rsidRPr="001B7F77">
        <w:rPr>
          <w:rFonts w:eastAsia="Times"/>
          <w:color w:val="000000"/>
          <w:szCs w:val="24"/>
          <w:u w:val="single"/>
        </w:rPr>
        <w:t>A cellar or basement stair may be located inside the dwelling, but shall not be located underneath a stair leading to the upper stories unless it is a basement stair leading upward from a basement which is the main entrance story of the dwelling, or unless it is a stair leading downward from the entrance story which is separated by a fireproof arch from the stair leading upward from the entrance story. All inside cellar or basement stairs shall be entirely enclosed with fireproof walls and be provided with fireproof doors and assemblies, with the doors self-closing, at all openings.</w:t>
      </w:r>
    </w:p>
    <w:p w14:paraId="6DA8B8F8" w14:textId="77777777" w:rsidR="001B7F77" w:rsidRPr="001B7F77" w:rsidRDefault="001B7F77" w:rsidP="00FD2721">
      <w:pPr>
        <w:pBdr>
          <w:top w:val="nil"/>
          <w:left w:val="nil"/>
          <w:bottom w:val="nil"/>
          <w:right w:val="nil"/>
          <w:between w:val="nil"/>
        </w:pBdr>
        <w:suppressAutoHyphens/>
        <w:spacing w:before="120"/>
        <w:ind w:left="360"/>
        <w:rPr>
          <w:rFonts w:eastAsia="Times"/>
          <w:color w:val="000000"/>
          <w:szCs w:val="24"/>
          <w:u w:val="single"/>
        </w:rPr>
      </w:pPr>
      <w:r w:rsidRPr="001B7F77">
        <w:rPr>
          <w:rFonts w:eastAsia="Times"/>
          <w:b/>
          <w:color w:val="000000"/>
          <w:szCs w:val="24"/>
          <w:u w:val="single"/>
        </w:rPr>
        <w:t xml:space="preserve">D703.15 Spaces under stairs in NLs (MDL 244). </w:t>
      </w:r>
      <w:r w:rsidRPr="001B7F77">
        <w:rPr>
          <w:rFonts w:eastAsia="Times"/>
          <w:color w:val="000000"/>
          <w:szCs w:val="24"/>
          <w:u w:val="single"/>
        </w:rPr>
        <w:t>In non-fireproof NLs, no closet of any kind shall be constructed or maintained under any stair leading from the entrance story to the upper stories, and such space shall be kept entirely open and clear of any encumbrance.</w:t>
      </w:r>
    </w:p>
    <w:p w14:paraId="7CCCE8E4" w14:textId="77777777" w:rsidR="001B7F77" w:rsidRPr="001B7F77" w:rsidRDefault="001B7F77" w:rsidP="00FD2721">
      <w:pPr>
        <w:pBdr>
          <w:top w:val="nil"/>
          <w:left w:val="nil"/>
          <w:bottom w:val="nil"/>
          <w:right w:val="nil"/>
          <w:between w:val="nil"/>
        </w:pBdr>
        <w:suppressAutoHyphens/>
        <w:spacing w:before="120"/>
        <w:ind w:left="360"/>
        <w:rPr>
          <w:rFonts w:eastAsia="Times"/>
          <w:b/>
          <w:bCs/>
          <w:szCs w:val="24"/>
          <w:u w:val="single"/>
        </w:rPr>
      </w:pPr>
      <w:r w:rsidRPr="001B7F77">
        <w:rPr>
          <w:rFonts w:eastAsia="Times"/>
          <w:b/>
          <w:bCs/>
          <w:szCs w:val="24"/>
          <w:u w:val="single"/>
        </w:rPr>
        <w:t>D703.16 Cellar entrance (MDL 245)</w:t>
      </w:r>
      <w:r w:rsidRPr="001B7F77">
        <w:rPr>
          <w:rFonts w:eastAsia="Times"/>
          <w:szCs w:val="24"/>
          <w:u w:val="single"/>
        </w:rPr>
        <w:t>. In tenements erected after April 12, 1901, there shall be an outside entrance to the cellar. Such tenements without cellars shall have an outside entrance to the basement or other lowest story.</w:t>
      </w:r>
    </w:p>
    <w:p w14:paraId="5C0F7B1F" w14:textId="77777777" w:rsidR="001B7F77" w:rsidRPr="001B7F77" w:rsidRDefault="001B7F77" w:rsidP="00FD2721">
      <w:pPr>
        <w:pBdr>
          <w:top w:val="nil"/>
          <w:left w:val="nil"/>
          <w:bottom w:val="nil"/>
          <w:right w:val="nil"/>
          <w:between w:val="nil"/>
        </w:pBdr>
        <w:suppressAutoHyphens/>
        <w:spacing w:before="120"/>
        <w:ind w:left="-90"/>
        <w:rPr>
          <w:rFonts w:eastAsia="Times"/>
          <w:b/>
          <w:color w:val="000000"/>
          <w:szCs w:val="24"/>
          <w:u w:val="single"/>
        </w:rPr>
      </w:pPr>
      <w:r w:rsidRPr="001B7F77">
        <w:rPr>
          <w:rFonts w:eastAsia="Times"/>
          <w:b/>
          <w:color w:val="000000"/>
          <w:szCs w:val="24"/>
          <w:u w:val="single"/>
        </w:rPr>
        <w:t>D704 Single Room occupancy (MDL 7, Title 2-A, Section 248)</w:t>
      </w:r>
    </w:p>
    <w:p w14:paraId="58F33DAF" w14:textId="77777777" w:rsidR="001B7F77" w:rsidRPr="001B7F77" w:rsidRDefault="001B7F77" w:rsidP="00FD2721">
      <w:pPr>
        <w:pBdr>
          <w:top w:val="nil"/>
          <w:left w:val="nil"/>
          <w:bottom w:val="nil"/>
          <w:right w:val="nil"/>
          <w:between w:val="nil"/>
        </w:pBdr>
        <w:suppressAutoHyphens/>
        <w:spacing w:before="120"/>
        <w:ind w:left="360"/>
        <w:rPr>
          <w:rFonts w:eastAsia="Times"/>
          <w:color w:val="000000"/>
          <w:szCs w:val="24"/>
          <w:u w:val="single"/>
        </w:rPr>
      </w:pPr>
      <w:r w:rsidRPr="001B7F77">
        <w:rPr>
          <w:rFonts w:eastAsia="Times"/>
          <w:b/>
          <w:color w:val="000000"/>
          <w:szCs w:val="24"/>
          <w:u w:val="single"/>
        </w:rPr>
        <w:t xml:space="preserve">D704.1 Single room occupancy (MDL 248(1)). </w:t>
      </w:r>
      <w:r w:rsidRPr="001B7F77">
        <w:rPr>
          <w:rFonts w:eastAsia="Times"/>
          <w:color w:val="000000"/>
          <w:szCs w:val="24"/>
          <w:u w:val="single"/>
        </w:rPr>
        <w:t>It shall be unlawful to occupy any frame multiple dwelling for single room occupancy. It shall be unlawful to occupy any other existing Class A dwelling or part thereof as a rooming house or furnished room house or for single room occupancy unless such dwelling or part shall conform to the provisions of this section and to such other provisions of this chapter as were applicable to such dwelling before such conversion. This section shall not be construed to prohibit the letting by a family of one or more rooms within their apartment to not more than a total of two boarders, roomers or lodgers provided, however, that every room in such apartment shall have free and unobstructed access to each required exit from such apartment as required by the provisions of Sections D704.4.1 to D704.4.3. A dwelling occupied pursuant to this section shall be deemed a Class A dwelling and dwelling units occupied pursuant to this section shall be occupied for permanent residence purposes, as defined in Section 4(8)(a) of the MDL.</w:t>
      </w:r>
    </w:p>
    <w:p w14:paraId="06925239"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 xml:space="preserve">D704.1.1 Creation of or conversion to rooming units. </w:t>
      </w:r>
      <w:r w:rsidRPr="001B7F77">
        <w:rPr>
          <w:rFonts w:eastAsia="Times"/>
          <w:color w:val="000000"/>
          <w:szCs w:val="24"/>
          <w:u w:val="single"/>
        </w:rPr>
        <w:t>The creation of or conversion to single room occupancy shall be limited by Section 27-2077 of the New York City Housing Maintenance Code.</w:t>
      </w:r>
    </w:p>
    <w:p w14:paraId="3668FA8C" w14:textId="77777777" w:rsidR="001B7F77" w:rsidRPr="001B7F77" w:rsidRDefault="001B7F77" w:rsidP="00FD2721">
      <w:pPr>
        <w:pBdr>
          <w:top w:val="nil"/>
          <w:left w:val="nil"/>
          <w:bottom w:val="nil"/>
          <w:right w:val="nil"/>
          <w:between w:val="nil"/>
        </w:pBdr>
        <w:suppressAutoHyphens/>
        <w:spacing w:before="120"/>
        <w:ind w:left="360"/>
        <w:rPr>
          <w:rFonts w:eastAsia="Times"/>
          <w:color w:val="000000"/>
          <w:szCs w:val="24"/>
          <w:u w:val="single"/>
        </w:rPr>
      </w:pPr>
      <w:r w:rsidRPr="001B7F77">
        <w:rPr>
          <w:rFonts w:eastAsia="Times"/>
          <w:b/>
          <w:color w:val="000000"/>
          <w:szCs w:val="24"/>
          <w:u w:val="single"/>
        </w:rPr>
        <w:t>D704.2 Stairs (MDL 248(2)).</w:t>
      </w:r>
      <w:r w:rsidRPr="001B7F77">
        <w:rPr>
          <w:rFonts w:eastAsia="Times"/>
          <w:color w:val="000000"/>
          <w:szCs w:val="24"/>
          <w:u w:val="single"/>
        </w:rPr>
        <w:t xml:space="preserve"> Any Class A dwelling or part thereof occupied as a rooming house or furnished room house or for single room occupancy pursuant to Section D704 may be so occupied without increasing the number of stairs.</w:t>
      </w:r>
    </w:p>
    <w:p w14:paraId="74609C48" w14:textId="77777777" w:rsidR="001B7F77" w:rsidRPr="001B7F77" w:rsidRDefault="001B7F77" w:rsidP="00FD2721">
      <w:pPr>
        <w:pBdr>
          <w:top w:val="nil"/>
          <w:left w:val="nil"/>
          <w:bottom w:val="nil"/>
          <w:right w:val="nil"/>
          <w:between w:val="nil"/>
        </w:pBdr>
        <w:suppressAutoHyphens/>
        <w:spacing w:before="120"/>
        <w:ind w:left="360"/>
        <w:rPr>
          <w:rFonts w:eastAsia="Times"/>
          <w:color w:val="000000"/>
          <w:szCs w:val="24"/>
          <w:u w:val="single"/>
        </w:rPr>
      </w:pPr>
      <w:r w:rsidRPr="001B7F77">
        <w:rPr>
          <w:rFonts w:eastAsia="Times"/>
          <w:b/>
          <w:color w:val="000000"/>
          <w:szCs w:val="24"/>
          <w:u w:val="single"/>
        </w:rPr>
        <w:t xml:space="preserve">D704.3 Increase in number of rooms and impairment of light and ventilation (MDL 248(3)). </w:t>
      </w:r>
      <w:r w:rsidRPr="001B7F77">
        <w:rPr>
          <w:rFonts w:eastAsia="Times"/>
          <w:color w:val="000000"/>
          <w:szCs w:val="24"/>
          <w:u w:val="single"/>
        </w:rPr>
        <w:t>The number of rooms shall not be increased nor shall the light or ventilation of any room be impaired.</w:t>
      </w:r>
    </w:p>
    <w:p w14:paraId="395864AD" w14:textId="77777777" w:rsidR="001B7F77" w:rsidRPr="001B7F77" w:rsidRDefault="001B7F77" w:rsidP="00FD2721">
      <w:pPr>
        <w:pBdr>
          <w:top w:val="nil"/>
          <w:left w:val="nil"/>
          <w:bottom w:val="nil"/>
          <w:right w:val="nil"/>
          <w:between w:val="nil"/>
        </w:pBdr>
        <w:suppressAutoHyphens/>
        <w:spacing w:before="120"/>
        <w:ind w:left="360"/>
        <w:rPr>
          <w:rFonts w:eastAsia="Times"/>
          <w:b/>
          <w:color w:val="000000"/>
          <w:szCs w:val="24"/>
          <w:u w:val="single"/>
        </w:rPr>
      </w:pPr>
      <w:r w:rsidRPr="001B7F77">
        <w:rPr>
          <w:rFonts w:eastAsia="Times"/>
          <w:b/>
          <w:color w:val="000000"/>
          <w:szCs w:val="24"/>
          <w:u w:val="single"/>
        </w:rPr>
        <w:t>D704.4 Egress (MDL 248(4)).</w:t>
      </w:r>
    </w:p>
    <w:p w14:paraId="0F1B17B1"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 xml:space="preserve">D704.4.1 Free and unobstructed access (MDL 248(4)(a)). </w:t>
      </w:r>
      <w:r w:rsidRPr="001B7F77">
        <w:rPr>
          <w:rFonts w:eastAsia="Times"/>
          <w:color w:val="000000"/>
          <w:szCs w:val="24"/>
          <w:u w:val="single"/>
        </w:rPr>
        <w:t>No room in any dwelling unit shall be so occupied unless each room therein shall have free and unobstructed access to each required means of egress from the dwelling without passing through any sleeping room, bathroom or water-closet compartment.</w:t>
      </w:r>
    </w:p>
    <w:p w14:paraId="1D68A8C9"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 xml:space="preserve">D704.4.2 Second means of egress (MDL 248(4)(b)). </w:t>
      </w:r>
      <w:r w:rsidRPr="001B7F77">
        <w:rPr>
          <w:rFonts w:eastAsia="Times"/>
          <w:color w:val="000000"/>
          <w:szCs w:val="24"/>
          <w:u w:val="single"/>
        </w:rPr>
        <w:t>There shall be access to a second means of egress within the dwelling unit without passing through any public stair or public hall. On and after July 1, 1957, every tenement used or occupied for single room occupancy in whole or in part under the provisions of this section and which does not have at least two means of egress accessible to each dwelling unit and extending from the ground story to the roof, shall be provided with at least two means of egress, or, in lieu of such egress, every stair hall or public hall, and every hall or passage within a dwelling unit, shall be equipped on each story with one or more automatic sprinkler heads approved by the department. Elevator shafts in such tenements shall be completely enclosed with fireproof or other incombustible material and the doors to such shafts shall be fireproof or shall be covered on all sides with incombustible material.</w:t>
      </w:r>
    </w:p>
    <w:p w14:paraId="531FE56F"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 xml:space="preserve">D704.4.3 Access to means of egress (MDL 248(4)(c)). </w:t>
      </w:r>
      <w:r w:rsidRPr="001B7F77">
        <w:rPr>
          <w:rFonts w:eastAsia="Times"/>
          <w:color w:val="000000"/>
          <w:szCs w:val="24"/>
          <w:u w:val="single"/>
        </w:rPr>
        <w:t>Where access to a required means of egress is provided through a room, such access to such room shall be through a clear opening at least thirty inches wide extending from floor to ceiling and such opening shall not be equipped with any door or door frame, or with any device by means of which the opening may be closed, concealed or obstructed.</w:t>
      </w:r>
    </w:p>
    <w:p w14:paraId="09B1B8EE"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 xml:space="preserve">D704.4.4 Door and door assemblies (MDL 248(4)(d)). </w:t>
      </w:r>
      <w:r w:rsidRPr="001B7F77">
        <w:rPr>
          <w:rFonts w:eastAsia="Times"/>
          <w:color w:val="000000"/>
          <w:szCs w:val="24"/>
          <w:u w:val="single"/>
        </w:rPr>
        <w:t>All doors which open to any public hall or required stair hall and the door assemblies shall be fireproof with the doors self-closing.</w:t>
      </w:r>
    </w:p>
    <w:p w14:paraId="021041A1"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 xml:space="preserve">D704.4.5 Access to means of egress (MDL 248(4)(e)). </w:t>
      </w:r>
      <w:r w:rsidRPr="001B7F77">
        <w:rPr>
          <w:rFonts w:eastAsia="Times"/>
          <w:color w:val="000000"/>
          <w:szCs w:val="24"/>
          <w:u w:val="single"/>
        </w:rPr>
        <w:t>All doors opening from any room to any hall or passage within a dwelling unit shall be self-closing and all transoms within a dwelling unit shall be permanently closed. All plain glass shall be removed from such doors and transoms and replaced with wire glass, wood or other non-shatterable material satisfactory to the department.</w:t>
      </w:r>
    </w:p>
    <w:p w14:paraId="44B275AF" w14:textId="77777777" w:rsidR="001B7F77" w:rsidRPr="001B7F77" w:rsidRDefault="001B7F77" w:rsidP="00FD2721">
      <w:pPr>
        <w:pBdr>
          <w:top w:val="nil"/>
          <w:left w:val="nil"/>
          <w:bottom w:val="nil"/>
          <w:right w:val="nil"/>
          <w:between w:val="nil"/>
        </w:pBdr>
        <w:suppressAutoHyphens/>
        <w:spacing w:before="120"/>
        <w:ind w:left="1080"/>
        <w:rPr>
          <w:rFonts w:eastAsia="Times"/>
          <w:color w:val="000000"/>
          <w:szCs w:val="24"/>
          <w:u w:val="single"/>
        </w:rPr>
      </w:pPr>
      <w:r w:rsidRPr="001B7F77">
        <w:rPr>
          <w:rFonts w:eastAsia="Times"/>
          <w:b/>
          <w:color w:val="000000"/>
          <w:szCs w:val="24"/>
          <w:u w:val="single"/>
        </w:rPr>
        <w:t xml:space="preserve">D704.4.5.1 Wire glass. </w:t>
      </w:r>
      <w:r w:rsidRPr="001B7F77">
        <w:rPr>
          <w:rFonts w:eastAsia="Times"/>
          <w:color w:val="000000"/>
          <w:szCs w:val="24"/>
          <w:u w:val="single"/>
        </w:rPr>
        <w:t xml:space="preserve">Glazing replaced after </w:t>
      </w:r>
      <w:r w:rsidRPr="001B7F77">
        <w:rPr>
          <w:rFonts w:eastAsia="Times"/>
          <w:szCs w:val="24"/>
          <w:u w:val="single"/>
        </w:rPr>
        <w:t>the effective date of the local law that added this section</w:t>
      </w:r>
      <w:r w:rsidRPr="001B7F77" w:rsidDel="00A97B8D">
        <w:rPr>
          <w:rFonts w:eastAsia="Times"/>
          <w:color w:val="000000"/>
          <w:szCs w:val="24"/>
          <w:u w:val="single"/>
        </w:rPr>
        <w:t xml:space="preserve"> </w:t>
      </w:r>
      <w:r w:rsidRPr="001B7F77">
        <w:rPr>
          <w:rFonts w:eastAsia="Times"/>
          <w:color w:val="000000"/>
          <w:szCs w:val="24"/>
          <w:u w:val="single"/>
        </w:rPr>
        <w:t xml:space="preserve">shall not be wire glass and shall comply with Chapter 24 of the </w:t>
      </w:r>
      <w:r w:rsidRPr="001B7F77">
        <w:rPr>
          <w:rFonts w:eastAsia="Times"/>
          <w:i/>
          <w:iCs/>
          <w:color w:val="000000"/>
          <w:szCs w:val="24"/>
          <w:u w:val="single"/>
        </w:rPr>
        <w:t>New York City Building Code</w:t>
      </w:r>
      <w:r w:rsidRPr="001B7F77">
        <w:rPr>
          <w:rFonts w:eastAsia="Times"/>
          <w:color w:val="000000"/>
          <w:szCs w:val="24"/>
          <w:u w:val="single"/>
        </w:rPr>
        <w:t>.</w:t>
      </w:r>
    </w:p>
    <w:p w14:paraId="0D599D43"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 xml:space="preserve">D704.4.6 Exit signs (MDL 248(4)(f)). </w:t>
      </w:r>
      <w:r w:rsidRPr="001B7F77">
        <w:rPr>
          <w:rFonts w:eastAsia="Times"/>
          <w:color w:val="000000"/>
          <w:szCs w:val="24"/>
          <w:u w:val="single"/>
        </w:rPr>
        <w:t>Directly over the opening to every required means of egress within a dwelling unit, there shall be a sign of a type approved by the department marked "Fire Exit" and lighted in red at all times to indicate clearly the location of the means of egress, and on the walls of any hall or passage within the dwelling unit leading to such means of egress there shall be maintained at all times arrows to indicate clearly the direction and location of the fire exit.</w:t>
      </w:r>
    </w:p>
    <w:p w14:paraId="41F2BFEC"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 xml:space="preserve">D704.4.7 Halls and passages within dwelling units (MDL 248(4)(g)). </w:t>
      </w:r>
      <w:r w:rsidRPr="001B7F77">
        <w:rPr>
          <w:rFonts w:eastAsia="Times"/>
          <w:color w:val="000000"/>
          <w:szCs w:val="24"/>
          <w:u w:val="single"/>
        </w:rPr>
        <w:t>Every hall or passage within a dwelling unit shall be unobstructed and well lighted at all times with a minimum of one foot-candle of light.</w:t>
      </w:r>
    </w:p>
    <w:p w14:paraId="18B99D80"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 xml:space="preserve">D704.4.8 Wood wainscoting removal (MDL 248(4)(h)). </w:t>
      </w:r>
      <w:r w:rsidRPr="001B7F77">
        <w:rPr>
          <w:rFonts w:eastAsia="Times"/>
          <w:color w:val="000000"/>
          <w:szCs w:val="24"/>
          <w:u w:val="single"/>
        </w:rPr>
        <w:t>All wood wainscoting except a flat base not exceeding 10 inches (254 mm) in height shall be removed from every hall or passage within a dwelling unit.</w:t>
      </w:r>
    </w:p>
    <w:p w14:paraId="23DBE608" w14:textId="77777777" w:rsidR="001B7F77" w:rsidRPr="001B7F77" w:rsidRDefault="001B7F77" w:rsidP="00FD2721">
      <w:pPr>
        <w:pBdr>
          <w:top w:val="nil"/>
          <w:left w:val="nil"/>
          <w:bottom w:val="nil"/>
          <w:right w:val="nil"/>
          <w:between w:val="nil"/>
        </w:pBdr>
        <w:suppressAutoHyphens/>
        <w:spacing w:before="120"/>
        <w:ind w:left="360"/>
        <w:rPr>
          <w:rFonts w:eastAsia="Times"/>
          <w:color w:val="000000"/>
          <w:szCs w:val="24"/>
          <w:u w:val="single"/>
        </w:rPr>
      </w:pPr>
      <w:r w:rsidRPr="001B7F77">
        <w:rPr>
          <w:rFonts w:eastAsia="Times"/>
          <w:b/>
          <w:color w:val="000000"/>
          <w:szCs w:val="24"/>
          <w:u w:val="single"/>
        </w:rPr>
        <w:t xml:space="preserve">D704.5 Sprinklers in non-fireproof dwellings (MDL 248(5)). </w:t>
      </w:r>
      <w:r w:rsidRPr="001B7F77">
        <w:rPr>
          <w:rFonts w:eastAsia="Times"/>
          <w:color w:val="000000"/>
          <w:szCs w:val="24"/>
          <w:u w:val="single"/>
        </w:rPr>
        <w:t>In every such dwelling which is not fireproof, every hall or passage within a dwelling unit shall be equipped with a sprinkler system, which shall be extended so as to have at least one sprinkler head in every room. The construction and arrangement of such sprinkler system shall comply with the requirements of the department.</w:t>
      </w:r>
    </w:p>
    <w:p w14:paraId="46149307" w14:textId="77777777" w:rsidR="001B7F77" w:rsidRPr="001B7F77" w:rsidRDefault="001B7F77" w:rsidP="00FD2721">
      <w:pPr>
        <w:pBdr>
          <w:top w:val="nil"/>
          <w:left w:val="nil"/>
          <w:bottom w:val="nil"/>
          <w:right w:val="nil"/>
          <w:between w:val="nil"/>
        </w:pBdr>
        <w:suppressAutoHyphens/>
        <w:spacing w:before="120"/>
        <w:ind w:left="360"/>
        <w:rPr>
          <w:rFonts w:eastAsia="Times"/>
          <w:color w:val="000000"/>
          <w:szCs w:val="24"/>
          <w:u w:val="single"/>
        </w:rPr>
      </w:pPr>
      <w:r w:rsidRPr="001B7F77">
        <w:rPr>
          <w:rFonts w:eastAsia="Times"/>
          <w:b/>
          <w:color w:val="000000"/>
          <w:szCs w:val="24"/>
          <w:u w:val="single"/>
        </w:rPr>
        <w:t xml:space="preserve">D704.6 Fire alarms (MDL 248(6)). </w:t>
      </w:r>
      <w:r w:rsidRPr="001B7F77">
        <w:rPr>
          <w:rFonts w:eastAsia="Times"/>
          <w:color w:val="000000"/>
          <w:szCs w:val="24"/>
          <w:u w:val="single"/>
        </w:rPr>
        <w:t>There shall be provided in each such dwelling an adequate and reliable fire alarm system, approved by the fire commissioner by means of which alarms of fire or other danger may be instantly communicated to every portion of the dwelling. Where, throughout the dwelling, a closed-circuit, automatic thermostatic fire-detecting system is installed which actuates an interior fire alarm system, or where, throughout the dwelling, an approved-type automatic sprinkler system is installed which actuates an interior fire alarm system by the flow of water through such sprinkler system, a watchman need not be provided as required in Section D704.15.</w:t>
      </w:r>
    </w:p>
    <w:p w14:paraId="1E595062" w14:textId="77777777" w:rsidR="001B7F77" w:rsidRPr="001B7F77" w:rsidRDefault="001B7F77" w:rsidP="00FD2721">
      <w:pPr>
        <w:pBdr>
          <w:top w:val="nil"/>
          <w:left w:val="nil"/>
          <w:bottom w:val="nil"/>
          <w:right w:val="nil"/>
          <w:between w:val="nil"/>
        </w:pBdr>
        <w:suppressAutoHyphens/>
        <w:spacing w:before="120"/>
        <w:ind w:left="360"/>
        <w:rPr>
          <w:rFonts w:eastAsia="Times"/>
          <w:color w:val="000000"/>
          <w:szCs w:val="24"/>
          <w:u w:val="single"/>
        </w:rPr>
      </w:pPr>
      <w:r w:rsidRPr="001B7F77">
        <w:rPr>
          <w:rFonts w:eastAsia="Times"/>
          <w:b/>
          <w:color w:val="000000"/>
          <w:szCs w:val="24"/>
          <w:u w:val="single"/>
        </w:rPr>
        <w:t xml:space="preserve">D704.7 Roof bulkhead (MDL 248(7)). </w:t>
      </w:r>
      <w:r w:rsidRPr="001B7F77">
        <w:rPr>
          <w:rFonts w:eastAsia="Times"/>
          <w:color w:val="000000"/>
          <w:szCs w:val="24"/>
          <w:u w:val="single"/>
        </w:rPr>
        <w:t>There shall be a fire-retarded bulkhead in the roof connecting directly with the highest portion of any stairway to the roof, which bulkhead shall contain a fireproof door and assembly with the door self-closing. The stairs leading to such bulkhead shall be fireproof or fire-retarded as required for public stairways in the other parts of such dwelling.</w:t>
      </w:r>
    </w:p>
    <w:p w14:paraId="636D7519" w14:textId="77777777" w:rsidR="001B7F77" w:rsidRPr="001B7F77" w:rsidRDefault="001B7F77" w:rsidP="00FD2721">
      <w:pPr>
        <w:pBdr>
          <w:top w:val="nil"/>
          <w:left w:val="nil"/>
          <w:bottom w:val="nil"/>
          <w:right w:val="nil"/>
          <w:between w:val="nil"/>
        </w:pBdr>
        <w:suppressAutoHyphens/>
        <w:spacing w:before="120"/>
        <w:ind w:left="360"/>
        <w:rPr>
          <w:rFonts w:eastAsia="Times"/>
          <w:color w:val="000000"/>
          <w:szCs w:val="24"/>
          <w:u w:val="single"/>
        </w:rPr>
      </w:pPr>
      <w:r w:rsidRPr="001B7F77">
        <w:rPr>
          <w:rFonts w:eastAsia="Times"/>
          <w:b/>
          <w:color w:val="000000"/>
          <w:szCs w:val="24"/>
          <w:u w:val="single"/>
        </w:rPr>
        <w:t>D704.8 Sanitary facilities (MDL 248(8)).</w:t>
      </w:r>
      <w:r w:rsidRPr="001B7F77">
        <w:rPr>
          <w:rFonts w:eastAsia="Times"/>
          <w:color w:val="000000"/>
          <w:szCs w:val="24"/>
          <w:u w:val="single"/>
        </w:rPr>
        <w:tab/>
      </w:r>
    </w:p>
    <w:p w14:paraId="79323471"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 xml:space="preserve">D704.8.1 Water supply (MDL 248(8)(a)). </w:t>
      </w:r>
      <w:r w:rsidRPr="001B7F77">
        <w:rPr>
          <w:rFonts w:eastAsia="Times"/>
          <w:color w:val="000000"/>
          <w:szCs w:val="24"/>
          <w:u w:val="single"/>
        </w:rPr>
        <w:t>Every wash basin, bath, shower, sink and laundry tub shall be provided with an adequate supply of hot and cold water.</w:t>
      </w:r>
    </w:p>
    <w:p w14:paraId="1612D6A1"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 xml:space="preserve">D704.8.2 Laundry facilities (MDL 248(8)(b)). </w:t>
      </w:r>
      <w:r w:rsidRPr="001B7F77">
        <w:rPr>
          <w:rFonts w:eastAsia="Times"/>
          <w:color w:val="000000"/>
          <w:szCs w:val="24"/>
          <w:u w:val="single"/>
        </w:rPr>
        <w:t>When the number of occupants of such a dwelling is eleven or more, there shall be provided for them in such dwelling at least one laundry tub and facilities for drying clothes.</w:t>
      </w:r>
    </w:p>
    <w:p w14:paraId="6BC09077" w14:textId="77777777" w:rsidR="001B7F77" w:rsidRPr="001B7F77" w:rsidRDefault="001B7F77" w:rsidP="00FD2721">
      <w:pPr>
        <w:pBdr>
          <w:top w:val="nil"/>
          <w:left w:val="nil"/>
          <w:bottom w:val="nil"/>
          <w:right w:val="nil"/>
          <w:between w:val="nil"/>
        </w:pBdr>
        <w:suppressAutoHyphens/>
        <w:spacing w:before="120"/>
        <w:ind w:left="360"/>
        <w:rPr>
          <w:rFonts w:eastAsia="Times"/>
          <w:color w:val="000000"/>
          <w:szCs w:val="24"/>
          <w:u w:val="single"/>
        </w:rPr>
      </w:pPr>
      <w:r w:rsidRPr="001B7F77">
        <w:rPr>
          <w:rFonts w:eastAsia="Times"/>
          <w:b/>
          <w:color w:val="000000"/>
          <w:szCs w:val="24"/>
          <w:u w:val="single"/>
        </w:rPr>
        <w:t xml:space="preserve">D704.9 Cooking facilities (MDL 248(9)). </w:t>
      </w:r>
      <w:r w:rsidRPr="001B7F77">
        <w:rPr>
          <w:rFonts w:eastAsia="Times"/>
          <w:color w:val="000000"/>
          <w:szCs w:val="24"/>
          <w:u w:val="single"/>
        </w:rPr>
        <w:t>Cooking shall be permitted only in kitchens and cooking spaces complying with the provisions of section 33 of the MDL. Any gas fixture in such spaces shall be connected with permanent, rigid piping. The use of any movable cooking apparatus in any sleeping room is unlawful.</w:t>
      </w:r>
    </w:p>
    <w:p w14:paraId="557304FD" w14:textId="77777777" w:rsidR="001B7F77" w:rsidRPr="001B7F77" w:rsidRDefault="001B7F77" w:rsidP="00FD2721">
      <w:pPr>
        <w:pBdr>
          <w:top w:val="nil"/>
          <w:left w:val="nil"/>
          <w:bottom w:val="nil"/>
          <w:right w:val="nil"/>
          <w:between w:val="nil"/>
        </w:pBdr>
        <w:suppressAutoHyphens/>
        <w:spacing w:before="120"/>
        <w:ind w:left="360"/>
        <w:rPr>
          <w:rFonts w:eastAsia="Times"/>
          <w:color w:val="000000"/>
          <w:szCs w:val="24"/>
          <w:u w:val="single"/>
        </w:rPr>
      </w:pPr>
      <w:r w:rsidRPr="001B7F77">
        <w:rPr>
          <w:rFonts w:eastAsia="Times"/>
          <w:b/>
          <w:color w:val="000000"/>
          <w:szCs w:val="24"/>
          <w:u w:val="single"/>
        </w:rPr>
        <w:t>D704.10 Heating systems (MDL 248(10)).</w:t>
      </w:r>
    </w:p>
    <w:p w14:paraId="38933D25"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D704.10.1</w:t>
      </w:r>
      <w:r w:rsidRPr="001B7F77">
        <w:rPr>
          <w:rFonts w:eastAsia="Times"/>
          <w:color w:val="000000"/>
          <w:szCs w:val="24"/>
          <w:u w:val="single"/>
        </w:rPr>
        <w:t xml:space="preserve"> </w:t>
      </w:r>
      <w:r w:rsidRPr="001B7F77">
        <w:rPr>
          <w:rFonts w:eastAsia="Times"/>
          <w:b/>
          <w:color w:val="000000"/>
          <w:szCs w:val="24"/>
          <w:u w:val="single"/>
        </w:rPr>
        <w:t xml:space="preserve">Central heating (MDL 248(10)(a)). </w:t>
      </w:r>
      <w:r w:rsidRPr="001B7F77">
        <w:rPr>
          <w:rFonts w:eastAsia="Times"/>
          <w:color w:val="000000"/>
          <w:szCs w:val="24"/>
          <w:u w:val="single"/>
        </w:rPr>
        <w:t>There shall be a central heating system adequate to heat every sleeping room in a dwelling to the temperature requirements prescribed by the New York City Housing Maintenance Code.</w:t>
      </w:r>
    </w:p>
    <w:p w14:paraId="039D891D"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D704.10.2</w:t>
      </w:r>
      <w:r w:rsidRPr="001B7F77">
        <w:rPr>
          <w:rFonts w:eastAsia="Times"/>
          <w:color w:val="000000"/>
          <w:szCs w:val="24"/>
          <w:u w:val="single"/>
        </w:rPr>
        <w:t xml:space="preserve"> </w:t>
      </w:r>
      <w:r w:rsidRPr="001B7F77">
        <w:rPr>
          <w:rFonts w:eastAsia="Times"/>
          <w:b/>
          <w:color w:val="000000"/>
          <w:szCs w:val="24"/>
          <w:u w:val="single"/>
        </w:rPr>
        <w:t xml:space="preserve">Prohibited appliances (MDL 248(10)(b)). </w:t>
      </w:r>
      <w:r w:rsidRPr="001B7F77">
        <w:rPr>
          <w:rFonts w:eastAsia="Times"/>
          <w:color w:val="000000"/>
          <w:szCs w:val="24"/>
          <w:u w:val="single"/>
        </w:rPr>
        <w:t>The use of any movable heating apparatus in any sleeping room is unlawful.</w:t>
      </w:r>
    </w:p>
    <w:p w14:paraId="4DA1DAC0"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D704.10.3</w:t>
      </w:r>
      <w:r w:rsidRPr="001B7F77">
        <w:rPr>
          <w:rFonts w:eastAsia="Times"/>
          <w:color w:val="000000"/>
          <w:szCs w:val="24"/>
          <w:u w:val="single"/>
        </w:rPr>
        <w:t xml:space="preserve"> </w:t>
      </w:r>
      <w:r w:rsidRPr="001B7F77">
        <w:rPr>
          <w:rFonts w:eastAsia="Times"/>
          <w:b/>
          <w:color w:val="000000"/>
          <w:szCs w:val="24"/>
          <w:u w:val="single"/>
        </w:rPr>
        <w:t xml:space="preserve">Boiler room (MDL 248(10)(c)). </w:t>
      </w:r>
      <w:r w:rsidRPr="001B7F77">
        <w:rPr>
          <w:rFonts w:eastAsia="Times"/>
          <w:color w:val="000000"/>
          <w:szCs w:val="24"/>
          <w:u w:val="single"/>
        </w:rPr>
        <w:t>Every boiler room shall be constructed in accordance with the provisions of Section 65 of the MDL and shall be adequately ventilated.</w:t>
      </w:r>
    </w:p>
    <w:p w14:paraId="5551E0F3" w14:textId="77777777" w:rsidR="001B7F77" w:rsidRPr="001B7F77" w:rsidRDefault="001B7F77" w:rsidP="00FD2721">
      <w:pPr>
        <w:pBdr>
          <w:top w:val="nil"/>
          <w:left w:val="nil"/>
          <w:bottom w:val="nil"/>
          <w:right w:val="nil"/>
          <w:between w:val="nil"/>
        </w:pBdr>
        <w:suppressAutoHyphens/>
        <w:spacing w:before="120"/>
        <w:ind w:left="360"/>
        <w:rPr>
          <w:rFonts w:eastAsia="Times"/>
          <w:color w:val="000000"/>
          <w:szCs w:val="24"/>
          <w:u w:val="single"/>
        </w:rPr>
      </w:pPr>
      <w:r w:rsidRPr="001B7F77">
        <w:rPr>
          <w:rFonts w:eastAsia="Times"/>
          <w:b/>
          <w:color w:val="000000"/>
          <w:szCs w:val="24"/>
          <w:u w:val="single"/>
        </w:rPr>
        <w:t>D704.11 Light and ventilation (MDL 248(11)).</w:t>
      </w:r>
    </w:p>
    <w:p w14:paraId="412FA504"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D704.11.1</w:t>
      </w:r>
      <w:r w:rsidRPr="001B7F77">
        <w:rPr>
          <w:rFonts w:eastAsia="Times"/>
          <w:color w:val="000000"/>
          <w:szCs w:val="24"/>
          <w:u w:val="single"/>
        </w:rPr>
        <w:t xml:space="preserve"> </w:t>
      </w:r>
      <w:r w:rsidRPr="001B7F77">
        <w:rPr>
          <w:rFonts w:eastAsia="Times"/>
          <w:b/>
          <w:color w:val="000000"/>
          <w:szCs w:val="24"/>
          <w:u w:val="single"/>
        </w:rPr>
        <w:t xml:space="preserve">Minimum area of windows (MDL 248(11)(a)). </w:t>
      </w:r>
      <w:r w:rsidRPr="001B7F77">
        <w:rPr>
          <w:rFonts w:eastAsia="Times"/>
          <w:color w:val="000000"/>
          <w:szCs w:val="24"/>
          <w:u w:val="single"/>
        </w:rPr>
        <w:t>No room may be occupied for sleeping purposes unless it has a window or windows with an aggregate glazed area of at least 10 percent of the total floor area of such room. Each such window shall be at least twelve feet in area and so constructed that at least half of its area may be opened.</w:t>
      </w:r>
    </w:p>
    <w:p w14:paraId="5BDA6304"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D704.11.2</w:t>
      </w:r>
      <w:r w:rsidRPr="001B7F77">
        <w:rPr>
          <w:rFonts w:eastAsia="Times"/>
          <w:color w:val="000000"/>
          <w:szCs w:val="24"/>
          <w:u w:val="single"/>
        </w:rPr>
        <w:t xml:space="preserve"> </w:t>
      </w:r>
      <w:r w:rsidRPr="001B7F77">
        <w:rPr>
          <w:rFonts w:eastAsia="Times"/>
          <w:b/>
          <w:color w:val="000000"/>
          <w:szCs w:val="24"/>
          <w:u w:val="single"/>
        </w:rPr>
        <w:t xml:space="preserve">Operable skylights (MDL 248(11)(b)). </w:t>
      </w:r>
      <w:r w:rsidRPr="001B7F77">
        <w:rPr>
          <w:rFonts w:eastAsia="Times"/>
          <w:color w:val="000000"/>
          <w:szCs w:val="24"/>
          <w:u w:val="single"/>
        </w:rPr>
        <w:t>Any room on a top story may be lighted and ventilated by a skylight of the same area as required for windows and arranged to provide an opening of at least six square feet for ventilation.</w:t>
      </w:r>
    </w:p>
    <w:p w14:paraId="6415851D"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 xml:space="preserve">D704.11.3 Open spaces upon which windows open (MDL 248(11)(c)). </w:t>
      </w:r>
      <w:r w:rsidRPr="001B7F77">
        <w:rPr>
          <w:rFonts w:eastAsia="Times"/>
          <w:color w:val="000000"/>
          <w:szCs w:val="24"/>
          <w:u w:val="single"/>
        </w:rPr>
        <w:t>In every sleeping room, except a room on the top story so lighted and ventilated, there shall be at least one window meeting the requirements of Section 213 of the MDL, except as otherwise specified in this subdivision, opening upon a street or upon a yard, court or shaft meeting the requirements of section 212 of the MDL, but in no case shall such a court or shaft be less than 28 inches (711 mm) in width.</w:t>
      </w:r>
    </w:p>
    <w:p w14:paraId="28A0A29F"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szCs w:val="24"/>
          <w:u w:val="single"/>
        </w:rPr>
      </w:pPr>
      <w:r w:rsidRPr="001B7F77">
        <w:rPr>
          <w:rFonts w:eastAsia="Times"/>
          <w:b/>
          <w:color w:val="000000"/>
          <w:szCs w:val="24"/>
          <w:u w:val="single"/>
        </w:rPr>
        <w:t>D704.11.4 Electrical illumination (MDL 248(11)(d)).</w:t>
      </w:r>
      <w:r w:rsidRPr="001B7F77">
        <w:rPr>
          <w:rFonts w:eastAsia="Times"/>
          <w:color w:val="000000"/>
          <w:szCs w:val="24"/>
          <w:u w:val="single"/>
        </w:rPr>
        <w:t xml:space="preserve"> Every room shall be adequately lighted by electricity. The use of gas or any other type of open flame lighting is unlawful.</w:t>
      </w:r>
    </w:p>
    <w:p w14:paraId="358B759E" w14:textId="77777777" w:rsidR="001B7F77" w:rsidRPr="001B7F77" w:rsidRDefault="001B7F77" w:rsidP="00FD2721">
      <w:pPr>
        <w:pBdr>
          <w:top w:val="nil"/>
          <w:left w:val="nil"/>
          <w:bottom w:val="nil"/>
          <w:right w:val="nil"/>
          <w:between w:val="nil"/>
        </w:pBdr>
        <w:suppressAutoHyphens/>
        <w:spacing w:before="120"/>
        <w:ind w:left="360"/>
        <w:rPr>
          <w:rFonts w:eastAsia="Times"/>
          <w:color w:val="000000"/>
          <w:szCs w:val="24"/>
          <w:u w:val="single"/>
        </w:rPr>
      </w:pPr>
      <w:r w:rsidRPr="001B7F77">
        <w:rPr>
          <w:rFonts w:eastAsia="Times"/>
          <w:b/>
          <w:color w:val="000000"/>
          <w:szCs w:val="24"/>
          <w:u w:val="single"/>
        </w:rPr>
        <w:t>D704.12 Maximum occupancy (MDL 248(12)).</w:t>
      </w:r>
      <w:r w:rsidRPr="001B7F77">
        <w:rPr>
          <w:rFonts w:eastAsia="Times"/>
          <w:color w:val="000000"/>
          <w:szCs w:val="24"/>
          <w:u w:val="single"/>
        </w:rPr>
        <w:t xml:space="preserve"> No room may be occupied for sleeping purposes by more than 2 adults considering children of 12 years or more as adults and two children between the ages of 2 and 11 years inclusive as the equivalent of one adult. Children under 2 years of age need not be considered as occupants.</w:t>
      </w:r>
    </w:p>
    <w:p w14:paraId="422C0FA8" w14:textId="77777777" w:rsidR="001B7F77" w:rsidRPr="001B7F77" w:rsidRDefault="001B7F77" w:rsidP="00FD2721">
      <w:pPr>
        <w:pBdr>
          <w:top w:val="nil"/>
          <w:left w:val="nil"/>
          <w:bottom w:val="nil"/>
          <w:right w:val="nil"/>
          <w:between w:val="nil"/>
        </w:pBdr>
        <w:suppressAutoHyphens/>
        <w:spacing w:before="120"/>
        <w:ind w:left="360"/>
        <w:rPr>
          <w:rFonts w:eastAsia="Times"/>
          <w:color w:val="000000"/>
          <w:szCs w:val="24"/>
          <w:u w:val="single"/>
        </w:rPr>
      </w:pPr>
      <w:r w:rsidRPr="001B7F77">
        <w:rPr>
          <w:rFonts w:eastAsia="Times"/>
          <w:b/>
          <w:color w:val="000000"/>
          <w:szCs w:val="24"/>
          <w:u w:val="single"/>
        </w:rPr>
        <w:t>D704.13 Operational requirements.</w:t>
      </w:r>
      <w:r w:rsidRPr="001B7F77">
        <w:rPr>
          <w:rFonts w:eastAsia="Times"/>
          <w:color w:val="000000"/>
          <w:szCs w:val="24"/>
          <w:u w:val="single"/>
        </w:rPr>
        <w:t xml:space="preserve"> For operational requirements such as housekeeping, cleaning, live-in manager and occupant register, see Sections 248(13), 248(14), 248(15) and 248(17) of the MDL.</w:t>
      </w:r>
    </w:p>
    <w:p w14:paraId="2F617108" w14:textId="77777777" w:rsidR="001B7F77" w:rsidRPr="001B7F77" w:rsidRDefault="001B7F77" w:rsidP="00FD2721">
      <w:pPr>
        <w:pBdr>
          <w:top w:val="nil"/>
          <w:left w:val="nil"/>
          <w:bottom w:val="nil"/>
          <w:right w:val="nil"/>
          <w:between w:val="nil"/>
        </w:pBdr>
        <w:suppressAutoHyphens/>
        <w:spacing w:before="120"/>
        <w:ind w:left="360"/>
        <w:rPr>
          <w:rFonts w:eastAsia="Times"/>
          <w:color w:val="000000"/>
          <w:szCs w:val="24"/>
          <w:u w:val="single"/>
        </w:rPr>
      </w:pPr>
      <w:r w:rsidRPr="001B7F77">
        <w:rPr>
          <w:rFonts w:eastAsia="Times"/>
          <w:b/>
          <w:color w:val="000000"/>
          <w:szCs w:val="24"/>
          <w:u w:val="single"/>
        </w:rPr>
        <w:t>D704.14 Intentionally omitted.</w:t>
      </w:r>
    </w:p>
    <w:p w14:paraId="483A00F2" w14:textId="77777777" w:rsidR="001B7F77" w:rsidRPr="001B7F77" w:rsidRDefault="001B7F77" w:rsidP="00FD2721">
      <w:pPr>
        <w:pBdr>
          <w:top w:val="nil"/>
          <w:left w:val="nil"/>
          <w:bottom w:val="nil"/>
          <w:right w:val="nil"/>
          <w:between w:val="nil"/>
        </w:pBdr>
        <w:suppressAutoHyphens/>
        <w:spacing w:before="120"/>
        <w:ind w:left="360"/>
        <w:rPr>
          <w:rFonts w:eastAsia="Times"/>
          <w:color w:val="000000"/>
          <w:szCs w:val="24"/>
          <w:u w:val="single"/>
        </w:rPr>
      </w:pPr>
      <w:r w:rsidRPr="001B7F77">
        <w:rPr>
          <w:rFonts w:eastAsia="Times"/>
          <w:b/>
          <w:color w:val="000000"/>
          <w:szCs w:val="24"/>
          <w:u w:val="single"/>
        </w:rPr>
        <w:t>D704.15 Competent watchman (MDL 248(15)).</w:t>
      </w:r>
      <w:r w:rsidRPr="001B7F77">
        <w:rPr>
          <w:rFonts w:eastAsia="Times"/>
          <w:color w:val="000000"/>
          <w:szCs w:val="24"/>
          <w:u w:val="single"/>
        </w:rPr>
        <w:t xml:space="preserve"> Except as provided in Section D704.6, there shall be on the premises at all times a competent watchman in charge of the dwelling.</w:t>
      </w:r>
    </w:p>
    <w:p w14:paraId="744310DD" w14:textId="77777777" w:rsidR="001B7F77" w:rsidRPr="001B7F77" w:rsidRDefault="001B7F77" w:rsidP="00FD2721">
      <w:pPr>
        <w:pBdr>
          <w:top w:val="nil"/>
          <w:left w:val="nil"/>
          <w:bottom w:val="nil"/>
          <w:right w:val="nil"/>
          <w:between w:val="nil"/>
        </w:pBdr>
        <w:suppressAutoHyphens/>
        <w:spacing w:before="120"/>
        <w:ind w:left="360"/>
        <w:rPr>
          <w:rFonts w:eastAsia="Times"/>
          <w:b/>
          <w:color w:val="000000"/>
          <w:szCs w:val="24"/>
          <w:u w:val="single"/>
        </w:rPr>
      </w:pPr>
      <w:r w:rsidRPr="001B7F77">
        <w:rPr>
          <w:rFonts w:eastAsia="Times"/>
          <w:b/>
          <w:color w:val="000000"/>
          <w:szCs w:val="24"/>
          <w:u w:val="single"/>
        </w:rPr>
        <w:t>D704.16 Intentionally omitted.</w:t>
      </w:r>
    </w:p>
    <w:p w14:paraId="4BEADD07" w14:textId="77777777" w:rsidR="001B7F77" w:rsidRPr="001B7F77" w:rsidRDefault="001B7F77" w:rsidP="00FD2721">
      <w:pPr>
        <w:pBdr>
          <w:top w:val="nil"/>
          <w:left w:val="nil"/>
          <w:bottom w:val="nil"/>
          <w:right w:val="nil"/>
          <w:between w:val="nil"/>
        </w:pBdr>
        <w:suppressAutoHyphens/>
        <w:spacing w:before="120"/>
        <w:ind w:left="360"/>
        <w:rPr>
          <w:rFonts w:eastAsia="Times"/>
          <w:color w:val="000000"/>
          <w:szCs w:val="24"/>
          <w:u w:val="single"/>
        </w:rPr>
      </w:pPr>
      <w:r w:rsidRPr="001B7F77">
        <w:rPr>
          <w:rFonts w:eastAsia="Times"/>
          <w:b/>
          <w:color w:val="000000"/>
          <w:szCs w:val="24"/>
          <w:u w:val="single"/>
        </w:rPr>
        <w:t>D704.17 Intentionally omitted.</w:t>
      </w:r>
    </w:p>
    <w:p w14:paraId="0C2E415E" w14:textId="77777777" w:rsidR="001B7F77" w:rsidRPr="001B7F77" w:rsidRDefault="001B7F77" w:rsidP="00FD2721">
      <w:pPr>
        <w:pBdr>
          <w:top w:val="nil"/>
          <w:left w:val="nil"/>
          <w:bottom w:val="nil"/>
          <w:right w:val="nil"/>
          <w:between w:val="nil"/>
        </w:pBdr>
        <w:suppressAutoHyphens/>
        <w:spacing w:before="120"/>
        <w:rPr>
          <w:rFonts w:eastAsia="Times"/>
          <w:b/>
          <w:color w:val="000000"/>
          <w:szCs w:val="24"/>
          <w:u w:val="single"/>
        </w:rPr>
      </w:pPr>
      <w:r w:rsidRPr="001B7F77">
        <w:rPr>
          <w:rFonts w:eastAsia="Times"/>
          <w:b/>
          <w:color w:val="000000"/>
          <w:szCs w:val="24"/>
          <w:u w:val="single"/>
        </w:rPr>
        <w:t>D705 Sanitation (MDL Article 7 Title 3)</w:t>
      </w:r>
    </w:p>
    <w:p w14:paraId="658E753C" w14:textId="77777777" w:rsidR="001B7F77" w:rsidRPr="001B7F77" w:rsidRDefault="001B7F77" w:rsidP="00FD2721">
      <w:pPr>
        <w:pBdr>
          <w:top w:val="nil"/>
          <w:left w:val="nil"/>
          <w:bottom w:val="nil"/>
          <w:right w:val="nil"/>
          <w:between w:val="nil"/>
        </w:pBdr>
        <w:suppressAutoHyphens/>
        <w:spacing w:before="120"/>
        <w:ind w:left="360"/>
        <w:rPr>
          <w:rFonts w:eastAsia="Times"/>
          <w:color w:val="000000"/>
          <w:szCs w:val="24"/>
          <w:u w:val="single"/>
        </w:rPr>
      </w:pPr>
      <w:r w:rsidRPr="001B7F77">
        <w:rPr>
          <w:rFonts w:eastAsia="Times"/>
          <w:b/>
          <w:color w:val="000000"/>
          <w:szCs w:val="24"/>
          <w:u w:val="single"/>
        </w:rPr>
        <w:t xml:space="preserve">D705.1 Water-closet compartments in OLs (MDL 250, 76(5)). </w:t>
      </w:r>
      <w:r w:rsidRPr="001B7F77">
        <w:rPr>
          <w:rFonts w:eastAsia="Times"/>
          <w:color w:val="000000"/>
          <w:szCs w:val="24"/>
          <w:u w:val="single"/>
        </w:rPr>
        <w:t>In every OL there shall be provided for the exclusive use of each family at least one water-closet compartment located within the dwelling. Such compartment shall be constructed and ventilated as approved by the department but such compartment shall be located on the same story as that on which the apartment occupied by each such family is situated and shall be equipped with lock and key.</w:t>
      </w:r>
    </w:p>
    <w:p w14:paraId="25346095" w14:textId="77777777" w:rsidR="001B7F77" w:rsidRPr="001B7F77" w:rsidRDefault="001B7F77" w:rsidP="00FD2721">
      <w:pPr>
        <w:pBdr>
          <w:top w:val="nil"/>
          <w:left w:val="nil"/>
          <w:bottom w:val="nil"/>
          <w:right w:val="nil"/>
          <w:between w:val="nil"/>
        </w:pBdr>
        <w:suppressAutoHyphens/>
        <w:spacing w:before="120"/>
        <w:ind w:left="360"/>
        <w:rPr>
          <w:rFonts w:eastAsia="Times"/>
          <w:color w:val="000000"/>
          <w:szCs w:val="24"/>
          <w:u w:val="single"/>
        </w:rPr>
      </w:pPr>
      <w:r w:rsidRPr="001B7F77">
        <w:rPr>
          <w:rFonts w:eastAsia="Times"/>
          <w:b/>
          <w:bCs/>
          <w:color w:val="000000"/>
          <w:szCs w:val="24"/>
          <w:u w:val="single"/>
        </w:rPr>
        <w:t>D705.2 Single room occupancy (MDL 250, 76(6)).</w:t>
      </w:r>
      <w:r w:rsidRPr="001B7F77">
        <w:rPr>
          <w:rFonts w:eastAsia="Times"/>
          <w:color w:val="000000"/>
          <w:szCs w:val="24"/>
          <w:u w:val="single"/>
        </w:rPr>
        <w:t xml:space="preserve"> Single room occupancies shall comply with the following:</w:t>
      </w:r>
    </w:p>
    <w:p w14:paraId="6569E92D" w14:textId="77777777" w:rsidR="001B7F77" w:rsidRPr="001B7F77" w:rsidRDefault="001B7F77" w:rsidP="00FD2721">
      <w:pPr>
        <w:pBdr>
          <w:top w:val="nil"/>
          <w:left w:val="nil"/>
          <w:bottom w:val="nil"/>
          <w:right w:val="nil"/>
          <w:between w:val="nil"/>
        </w:pBdr>
        <w:suppressAutoHyphens/>
        <w:spacing w:before="120"/>
        <w:ind w:left="1080" w:hanging="360"/>
        <w:rPr>
          <w:rFonts w:eastAsia="Times"/>
          <w:color w:val="000000"/>
          <w:szCs w:val="24"/>
          <w:u w:val="single"/>
        </w:rPr>
      </w:pPr>
      <w:r w:rsidRPr="001B7F77">
        <w:rPr>
          <w:rFonts w:eastAsia="Times"/>
          <w:color w:val="000000"/>
          <w:szCs w:val="24"/>
          <w:u w:val="single"/>
        </w:rPr>
        <w:t>1.</w:t>
      </w:r>
      <w:r w:rsidRPr="001B7F77">
        <w:rPr>
          <w:rFonts w:eastAsia="Times"/>
          <w:color w:val="000000"/>
          <w:szCs w:val="24"/>
          <w:u w:val="single"/>
        </w:rPr>
        <w:tab/>
        <w:t>Every apartment used for single room occupancy shall have at least one bath or shower, one wash-basin and one water-closet for each 6 adult persons who may lawfully occupy the rooms in such dwelling unit as provided in Section D704, and for any remainder of less than 6 persons. If additional baths or showers or water-closets are installed within a dwelling unit in order to comply with the provisions of this paragraph each water-closet shall be in an enclosure separate and apart from every bathroom or shower room and each bath or shower shall be in an enclosure separate and apart from every water-closet.</w:t>
      </w:r>
    </w:p>
    <w:p w14:paraId="2B235444" w14:textId="77777777" w:rsidR="001B7F77" w:rsidRPr="001B7F77" w:rsidRDefault="001B7F77" w:rsidP="00FD2721">
      <w:pPr>
        <w:pBdr>
          <w:top w:val="nil"/>
          <w:left w:val="nil"/>
          <w:bottom w:val="nil"/>
          <w:right w:val="nil"/>
          <w:between w:val="nil"/>
        </w:pBdr>
        <w:suppressAutoHyphens/>
        <w:spacing w:before="120"/>
        <w:ind w:left="1080" w:hanging="360"/>
        <w:rPr>
          <w:rFonts w:eastAsia="Times"/>
          <w:color w:val="000000"/>
          <w:szCs w:val="24"/>
          <w:u w:val="single"/>
        </w:rPr>
      </w:pPr>
      <w:r w:rsidRPr="001B7F77">
        <w:rPr>
          <w:rFonts w:eastAsia="Times"/>
          <w:color w:val="000000"/>
          <w:szCs w:val="24"/>
          <w:u w:val="single"/>
        </w:rPr>
        <w:t>2.</w:t>
      </w:r>
      <w:r w:rsidRPr="001B7F77">
        <w:rPr>
          <w:rFonts w:eastAsia="Times"/>
          <w:color w:val="000000"/>
          <w:szCs w:val="24"/>
          <w:u w:val="single"/>
        </w:rPr>
        <w:tab/>
        <w:t>There shall be access to each required water-closet and bathroom without passing through any sleeping room, except that any water-closet, wash-basin or bathroom which connects directly with any sleeping room shall be deemed to be available only to the occupants of such room and shall not be included in the computations for the required number of water-closets and bathrooms.</w:t>
      </w:r>
    </w:p>
    <w:p w14:paraId="05648448" w14:textId="77777777" w:rsidR="001B7F77" w:rsidRPr="001B7F77" w:rsidRDefault="001B7F77" w:rsidP="00FD2721">
      <w:pPr>
        <w:pBdr>
          <w:top w:val="nil"/>
          <w:left w:val="nil"/>
          <w:bottom w:val="nil"/>
          <w:right w:val="nil"/>
          <w:between w:val="nil"/>
        </w:pBdr>
        <w:suppressAutoHyphens/>
        <w:spacing w:before="120"/>
        <w:ind w:left="360"/>
        <w:rPr>
          <w:rFonts w:eastAsia="Times"/>
          <w:color w:val="000000"/>
          <w:szCs w:val="24"/>
          <w:u w:val="single"/>
        </w:rPr>
      </w:pPr>
      <w:r w:rsidRPr="001B7F77">
        <w:rPr>
          <w:rFonts w:eastAsia="Times"/>
          <w:b/>
          <w:color w:val="000000"/>
          <w:szCs w:val="24"/>
          <w:u w:val="single"/>
        </w:rPr>
        <w:t xml:space="preserve">D705.3 Ventilation of water-closet compartments and bathrooms (MDL 251, 76). </w:t>
      </w:r>
      <w:r w:rsidRPr="001B7F77">
        <w:rPr>
          <w:rFonts w:eastAsia="Times"/>
          <w:color w:val="000000"/>
          <w:szCs w:val="24"/>
          <w:u w:val="single"/>
        </w:rPr>
        <w:t>Water-closet compartments and bathrooms in fireproof tenements shall be ventilated and lighted by natural or mechanical means.</w:t>
      </w:r>
    </w:p>
    <w:p w14:paraId="7C336DE2" w14:textId="77777777" w:rsidR="001B7F77" w:rsidRPr="001B7F77" w:rsidRDefault="001B7F77" w:rsidP="00FD2721">
      <w:pPr>
        <w:pBdr>
          <w:top w:val="nil"/>
          <w:left w:val="nil"/>
          <w:bottom w:val="nil"/>
          <w:right w:val="nil"/>
          <w:between w:val="nil"/>
        </w:pBdr>
        <w:suppressAutoHyphens/>
        <w:spacing w:before="120"/>
        <w:ind w:left="360"/>
        <w:rPr>
          <w:rFonts w:eastAsia="Times"/>
          <w:color w:val="000000"/>
          <w:szCs w:val="24"/>
          <w:u w:val="single"/>
        </w:rPr>
      </w:pPr>
      <w:r w:rsidRPr="001B7F77">
        <w:rPr>
          <w:rFonts w:eastAsia="Times"/>
          <w:b/>
          <w:color w:val="000000"/>
          <w:szCs w:val="24"/>
          <w:u w:val="single"/>
        </w:rPr>
        <w:t>D705.</w:t>
      </w:r>
      <w:r w:rsidRPr="001B7F77">
        <w:rPr>
          <w:rFonts w:eastAsia="Times"/>
          <w:b/>
          <w:szCs w:val="24"/>
          <w:u w:val="single"/>
        </w:rPr>
        <w:t>4</w:t>
      </w:r>
      <w:r w:rsidRPr="001B7F77">
        <w:rPr>
          <w:rFonts w:eastAsia="Times"/>
          <w:b/>
          <w:color w:val="000000"/>
          <w:szCs w:val="24"/>
          <w:u w:val="single"/>
        </w:rPr>
        <w:t xml:space="preserve"> Privacy in NLs (MDL 252).</w:t>
      </w:r>
      <w:r w:rsidRPr="001B7F77">
        <w:rPr>
          <w:rFonts w:eastAsia="Times"/>
          <w:color w:val="000000"/>
          <w:szCs w:val="24"/>
          <w:u w:val="single"/>
        </w:rPr>
        <w:t xml:space="preserve"> In every dwelling unit of three or more rooms in any NL, there shall be access to every living room and bedroom and to at least one compartment or bathroom containing a water-closet without passing through any bedroom.</w:t>
      </w:r>
    </w:p>
    <w:p w14:paraId="5C0B6BFD" w14:textId="77777777" w:rsidR="001B7F77" w:rsidRPr="001B7F77" w:rsidRDefault="001B7F77" w:rsidP="00FD2721">
      <w:pPr>
        <w:pBdr>
          <w:top w:val="nil"/>
          <w:left w:val="nil"/>
          <w:bottom w:val="nil"/>
          <w:right w:val="nil"/>
          <w:between w:val="nil"/>
        </w:pBdr>
        <w:suppressAutoHyphens/>
        <w:spacing w:before="120"/>
        <w:ind w:left="360"/>
        <w:rPr>
          <w:rFonts w:eastAsia="Times"/>
          <w:color w:val="000000"/>
          <w:szCs w:val="24"/>
          <w:u w:val="single"/>
        </w:rPr>
      </w:pPr>
    </w:p>
    <w:p w14:paraId="3D3AB089" w14:textId="77777777" w:rsidR="001B7F77" w:rsidRPr="001B7F77" w:rsidRDefault="001B7F77" w:rsidP="00FD2721">
      <w:pPr>
        <w:pBdr>
          <w:top w:val="nil"/>
          <w:left w:val="nil"/>
          <w:bottom w:val="nil"/>
          <w:right w:val="nil"/>
          <w:between w:val="nil"/>
        </w:pBdr>
        <w:suppressAutoHyphens/>
        <w:spacing w:before="120"/>
        <w:jc w:val="center"/>
        <w:rPr>
          <w:rFonts w:eastAsia="Times"/>
          <w:b/>
          <w:color w:val="000000"/>
          <w:u w:val="single"/>
        </w:rPr>
      </w:pPr>
      <w:r w:rsidRPr="001B7F77">
        <w:rPr>
          <w:rFonts w:eastAsia="Times"/>
          <w:b/>
          <w:color w:val="000000"/>
          <w:u w:val="single"/>
        </w:rPr>
        <w:t>CHAPTER D8</w:t>
      </w:r>
      <w:r w:rsidRPr="001B7F77">
        <w:rPr>
          <w:rFonts w:eastAsia="Times"/>
          <w:b/>
          <w:color w:val="000000"/>
          <w:u w:val="single"/>
        </w:rPr>
        <w:br/>
        <w:t>RESERVED</w:t>
      </w:r>
    </w:p>
    <w:p w14:paraId="0F9359A1" w14:textId="77777777" w:rsidR="001B7F77" w:rsidRPr="001B7F77" w:rsidRDefault="001B7F77" w:rsidP="00FD2721">
      <w:pPr>
        <w:pBdr>
          <w:top w:val="nil"/>
          <w:left w:val="nil"/>
          <w:bottom w:val="nil"/>
          <w:right w:val="nil"/>
          <w:between w:val="nil"/>
        </w:pBdr>
        <w:suppressAutoHyphens/>
        <w:spacing w:before="120"/>
        <w:jc w:val="center"/>
        <w:rPr>
          <w:rFonts w:eastAsia="Times"/>
          <w:b/>
          <w:color w:val="000000"/>
          <w:u w:val="single"/>
        </w:rPr>
      </w:pPr>
    </w:p>
    <w:p w14:paraId="22E23182" w14:textId="77777777" w:rsidR="001B7F77" w:rsidRPr="001B7F77" w:rsidRDefault="001B7F77" w:rsidP="00FD2721">
      <w:pPr>
        <w:pBdr>
          <w:top w:val="nil"/>
          <w:left w:val="nil"/>
          <w:bottom w:val="nil"/>
          <w:right w:val="nil"/>
          <w:between w:val="nil"/>
        </w:pBdr>
        <w:suppressAutoHyphens/>
        <w:spacing w:before="120"/>
        <w:jc w:val="center"/>
        <w:rPr>
          <w:rFonts w:eastAsia="Times"/>
          <w:b/>
          <w:color w:val="000000"/>
          <w:u w:val="single"/>
        </w:rPr>
      </w:pPr>
      <w:r w:rsidRPr="001B7F77">
        <w:rPr>
          <w:rFonts w:eastAsia="Times"/>
          <w:b/>
          <w:color w:val="000000"/>
          <w:u w:val="single"/>
        </w:rPr>
        <w:t>CHAPTER D9</w:t>
      </w:r>
      <w:r w:rsidRPr="001B7F77">
        <w:rPr>
          <w:rFonts w:eastAsia="Times"/>
          <w:b/>
          <w:color w:val="000000"/>
          <w:u w:val="single"/>
        </w:rPr>
        <w:br/>
        <w:t xml:space="preserve">LODGING HOUSES </w:t>
      </w:r>
      <w:r w:rsidRPr="001B7F77">
        <w:rPr>
          <w:rFonts w:eastAsia="Times"/>
          <w:b/>
          <w:color w:val="000000"/>
          <w:u w:val="single"/>
        </w:rPr>
        <w:br/>
        <w:t>(MDL 66)</w:t>
      </w:r>
    </w:p>
    <w:p w14:paraId="5A920EA8" w14:textId="77777777" w:rsidR="001B7F77" w:rsidRPr="001B7F77" w:rsidRDefault="001B7F77" w:rsidP="00FD2721">
      <w:pPr>
        <w:pBdr>
          <w:top w:val="nil"/>
          <w:left w:val="nil"/>
          <w:bottom w:val="nil"/>
          <w:right w:val="nil"/>
          <w:between w:val="nil"/>
        </w:pBdr>
        <w:suppressAutoHyphens/>
        <w:spacing w:before="120"/>
        <w:rPr>
          <w:rFonts w:eastAsia="Times"/>
          <w:color w:val="000000"/>
          <w:u w:val="single"/>
        </w:rPr>
      </w:pPr>
      <w:r w:rsidRPr="001B7F77">
        <w:rPr>
          <w:rFonts w:eastAsia="Times"/>
          <w:b/>
          <w:color w:val="000000"/>
          <w:u w:val="single"/>
        </w:rPr>
        <w:t xml:space="preserve">D901 Alterations to and maintenance of lodging houses. </w:t>
      </w:r>
      <w:r w:rsidRPr="001B7F77">
        <w:rPr>
          <w:rFonts w:eastAsia="Times"/>
          <w:color w:val="000000"/>
          <w:u w:val="single"/>
        </w:rPr>
        <w:t xml:space="preserve">Alterations to multiple dwellings classified as LHs shall comply with the provisions of the </w:t>
      </w:r>
      <w:r w:rsidRPr="001B7F77">
        <w:rPr>
          <w:rFonts w:eastAsia="Times"/>
          <w:i/>
          <w:color w:val="000000"/>
          <w:u w:val="single"/>
        </w:rPr>
        <w:t>New York City Existing Building Code</w:t>
      </w:r>
      <w:r w:rsidRPr="001B7F77">
        <w:rPr>
          <w:rFonts w:eastAsia="Times"/>
          <w:color w:val="000000"/>
          <w:u w:val="single"/>
        </w:rPr>
        <w:t>, the provisions of Section 66 of the MDL and the rules of the Department of Housing and Development in relation to the conduct and maintenance of lodging houses.</w:t>
      </w:r>
    </w:p>
    <w:p w14:paraId="30493958" w14:textId="77777777" w:rsidR="001B7F77" w:rsidRPr="001B7F77" w:rsidRDefault="001B7F77" w:rsidP="00FD2721">
      <w:pPr>
        <w:pBdr>
          <w:top w:val="nil"/>
          <w:left w:val="nil"/>
          <w:bottom w:val="nil"/>
          <w:right w:val="nil"/>
          <w:between w:val="nil"/>
        </w:pBdr>
        <w:suppressAutoHyphens/>
        <w:spacing w:before="120"/>
        <w:jc w:val="center"/>
        <w:rPr>
          <w:rFonts w:eastAsia="Times"/>
          <w:b/>
          <w:color w:val="000000"/>
          <w:u w:val="single"/>
        </w:rPr>
      </w:pPr>
    </w:p>
    <w:p w14:paraId="0429B78B" w14:textId="77777777" w:rsidR="001B7F77" w:rsidRPr="001B7F77" w:rsidRDefault="001B7F77" w:rsidP="00FD2721">
      <w:pPr>
        <w:pBdr>
          <w:top w:val="nil"/>
          <w:left w:val="nil"/>
          <w:bottom w:val="nil"/>
          <w:right w:val="nil"/>
          <w:between w:val="nil"/>
        </w:pBdr>
        <w:suppressAutoHyphens/>
        <w:spacing w:before="120"/>
        <w:jc w:val="center"/>
        <w:rPr>
          <w:rFonts w:eastAsia="Times"/>
          <w:b/>
          <w:color w:val="000000"/>
          <w:u w:val="single"/>
        </w:rPr>
      </w:pPr>
      <w:r w:rsidRPr="001B7F77">
        <w:rPr>
          <w:rFonts w:eastAsia="Times"/>
          <w:b/>
          <w:color w:val="000000"/>
          <w:u w:val="single"/>
        </w:rPr>
        <w:t>CHAPTER D10</w:t>
      </w:r>
      <w:r w:rsidRPr="001B7F77">
        <w:rPr>
          <w:rFonts w:eastAsia="Times"/>
          <w:b/>
          <w:color w:val="000000"/>
          <w:u w:val="single"/>
        </w:rPr>
        <w:br/>
        <w:t>HERETOFORE ERECTED EXISTING CLASS A AND CLASS B MULTIPLE DWELLINGS AND CERTAIN HEREAFTER ERECTED CLASS B MULTIPLE DWELLINGS (MDL 67)</w:t>
      </w:r>
    </w:p>
    <w:p w14:paraId="4F73096A" w14:textId="77777777" w:rsidR="001B7F77" w:rsidRPr="001B7F77" w:rsidRDefault="001B7F77" w:rsidP="00FD2721">
      <w:pPr>
        <w:pBdr>
          <w:top w:val="nil"/>
          <w:left w:val="nil"/>
          <w:bottom w:val="nil"/>
          <w:right w:val="nil"/>
          <w:between w:val="nil"/>
        </w:pBdr>
        <w:suppressAutoHyphens/>
        <w:spacing w:before="120"/>
        <w:rPr>
          <w:rFonts w:eastAsia="Times"/>
          <w:color w:val="000000"/>
          <w:u w:val="single"/>
        </w:rPr>
      </w:pPr>
      <w:r w:rsidRPr="001B7F77">
        <w:rPr>
          <w:rFonts w:eastAsia="Times"/>
          <w:b/>
          <w:color w:val="000000"/>
          <w:u w:val="single"/>
        </w:rPr>
        <w:t xml:space="preserve">D1001 Applicability (MDL 67(1)). </w:t>
      </w:r>
      <w:r w:rsidRPr="001B7F77">
        <w:rPr>
          <w:rFonts w:eastAsia="Times"/>
          <w:color w:val="000000"/>
          <w:u w:val="single"/>
        </w:rPr>
        <w:t>Alterations to multiple dwellings classified as HEXA, HEXB and HAEB (1929-1968) shall comply with the provisions of this code and the additional provisions of this Chapter D10.</w:t>
      </w:r>
    </w:p>
    <w:p w14:paraId="0B3D1103" w14:textId="77777777" w:rsidR="001B7F77" w:rsidRPr="001B7F77" w:rsidRDefault="001B7F77" w:rsidP="00FD2721">
      <w:pPr>
        <w:pBdr>
          <w:top w:val="nil"/>
          <w:left w:val="nil"/>
          <w:bottom w:val="nil"/>
          <w:right w:val="nil"/>
          <w:between w:val="nil"/>
        </w:pBdr>
        <w:suppressAutoHyphens/>
        <w:spacing w:before="120"/>
        <w:rPr>
          <w:rFonts w:eastAsia="Times"/>
          <w:color w:val="000000"/>
          <w:u w:val="single"/>
        </w:rPr>
      </w:pPr>
      <w:r w:rsidRPr="001B7F77">
        <w:rPr>
          <w:rFonts w:eastAsia="Times"/>
          <w:b/>
          <w:color w:val="000000"/>
          <w:u w:val="single"/>
        </w:rPr>
        <w:t xml:space="preserve">D1002 Storage rooms (MDL 67(4)). </w:t>
      </w:r>
      <w:r w:rsidRPr="001B7F77">
        <w:rPr>
          <w:rFonts w:eastAsia="Times"/>
          <w:color w:val="000000"/>
          <w:u w:val="single"/>
        </w:rPr>
        <w:t>Any mattresses, furniture, paints, floor wax, linens, brooms, mops and other such inflammable or combustible paraphernalia incidental to the occupancy and maintenance of the dwelling shall be stored in completely enclosed compartments protected by one or more automatic sprinkler heads. Every door from any such compartment shall be self-closing.</w:t>
      </w:r>
    </w:p>
    <w:p w14:paraId="40C249FA" w14:textId="77777777" w:rsidR="001B7F77" w:rsidRPr="001B7F77" w:rsidRDefault="001B7F77" w:rsidP="00FD2721">
      <w:pPr>
        <w:pBdr>
          <w:top w:val="nil"/>
          <w:left w:val="nil"/>
          <w:bottom w:val="nil"/>
          <w:right w:val="nil"/>
          <w:between w:val="nil"/>
        </w:pBdr>
        <w:suppressAutoHyphens/>
        <w:spacing w:before="120"/>
        <w:ind w:left="360"/>
        <w:rPr>
          <w:rFonts w:eastAsia="Times"/>
          <w:color w:val="000000"/>
          <w:u w:val="single"/>
        </w:rPr>
      </w:pPr>
      <w:r w:rsidRPr="001B7F77">
        <w:rPr>
          <w:rFonts w:eastAsia="Times"/>
          <w:b/>
          <w:color w:val="000000"/>
          <w:u w:val="single"/>
        </w:rPr>
        <w:t>Exception</w:t>
      </w:r>
      <w:r w:rsidRPr="001B7F77">
        <w:rPr>
          <w:rFonts w:eastAsia="Times"/>
          <w:color w:val="000000"/>
          <w:u w:val="single"/>
        </w:rPr>
        <w:t>: Closets which do not exceed 100 square feet (9.5 m</w:t>
      </w:r>
      <w:r w:rsidRPr="001B7F77">
        <w:rPr>
          <w:rFonts w:eastAsia="Times"/>
          <w:color w:val="000000"/>
          <w:u w:val="single"/>
          <w:vertAlign w:val="superscript"/>
        </w:rPr>
        <w:t>2</w:t>
      </w:r>
      <w:r w:rsidRPr="001B7F77">
        <w:rPr>
          <w:rFonts w:eastAsia="Times"/>
          <w:color w:val="000000"/>
          <w:u w:val="single"/>
        </w:rPr>
        <w:t>) in floor area storing other than mattresses, furniture, paints and insecticides containing inflammable materials.</w:t>
      </w:r>
    </w:p>
    <w:p w14:paraId="789CC3E6" w14:textId="77777777" w:rsidR="001B7F77" w:rsidRPr="001B7F77" w:rsidRDefault="001B7F77" w:rsidP="00FD2721">
      <w:pPr>
        <w:pBdr>
          <w:top w:val="nil"/>
          <w:left w:val="nil"/>
          <w:bottom w:val="nil"/>
          <w:right w:val="nil"/>
          <w:between w:val="nil"/>
        </w:pBdr>
        <w:suppressAutoHyphens/>
        <w:spacing w:before="120"/>
        <w:rPr>
          <w:rFonts w:eastAsia="Times"/>
          <w:color w:val="000000"/>
          <w:u w:val="single"/>
        </w:rPr>
      </w:pPr>
      <w:r w:rsidRPr="001B7F77">
        <w:rPr>
          <w:rFonts w:eastAsia="Times"/>
          <w:b/>
          <w:color w:val="000000"/>
          <w:u w:val="single"/>
        </w:rPr>
        <w:t xml:space="preserve">D1003 Sprinklers in restaurants (MDL 67(5)). </w:t>
      </w:r>
      <w:r w:rsidRPr="001B7F77">
        <w:rPr>
          <w:rFonts w:eastAsia="Times"/>
          <w:color w:val="000000"/>
          <w:u w:val="single"/>
        </w:rPr>
        <w:t>All kitchens and pantries serving restaurants in non-fireproof dwellings shall be equipped with one or more automatic sprinkler heads.</w:t>
      </w:r>
    </w:p>
    <w:p w14:paraId="311444B8" w14:textId="77777777" w:rsidR="001B7F77" w:rsidRPr="001B7F77" w:rsidRDefault="001B7F77" w:rsidP="00FD2721">
      <w:pPr>
        <w:pBdr>
          <w:top w:val="nil"/>
          <w:left w:val="nil"/>
          <w:bottom w:val="nil"/>
          <w:right w:val="nil"/>
          <w:between w:val="nil"/>
        </w:pBdr>
        <w:suppressAutoHyphens/>
        <w:spacing w:before="120"/>
        <w:rPr>
          <w:rFonts w:eastAsia="Times"/>
          <w:color w:val="000000"/>
          <w:u w:val="single"/>
        </w:rPr>
      </w:pPr>
      <w:r w:rsidRPr="001B7F77">
        <w:rPr>
          <w:rFonts w:eastAsia="Times"/>
          <w:b/>
          <w:color w:val="000000"/>
          <w:u w:val="single"/>
        </w:rPr>
        <w:t xml:space="preserve">D1004 Means of egress (MDL 67(6), 67(7)). </w:t>
      </w:r>
      <w:r w:rsidRPr="001B7F77">
        <w:rPr>
          <w:rFonts w:eastAsia="Times"/>
          <w:color w:val="000000"/>
          <w:u w:val="single"/>
        </w:rPr>
        <w:t>Existing means of egress in compliance with Section 67 of the MDL shall be permitted to remain.</w:t>
      </w:r>
    </w:p>
    <w:p w14:paraId="719D0B8D" w14:textId="77777777" w:rsidR="001B7F77" w:rsidRPr="001B7F77" w:rsidRDefault="001B7F77" w:rsidP="00FD2721">
      <w:pPr>
        <w:pBdr>
          <w:top w:val="nil"/>
          <w:left w:val="nil"/>
          <w:bottom w:val="nil"/>
          <w:right w:val="nil"/>
          <w:between w:val="nil"/>
        </w:pBdr>
        <w:suppressAutoHyphens/>
        <w:spacing w:before="120"/>
        <w:ind w:left="360"/>
        <w:rPr>
          <w:rFonts w:eastAsia="Times"/>
          <w:color w:val="000000"/>
          <w:u w:val="single"/>
        </w:rPr>
      </w:pPr>
      <w:r w:rsidRPr="001B7F77">
        <w:rPr>
          <w:rFonts w:eastAsia="Times"/>
          <w:b/>
          <w:color w:val="000000"/>
          <w:u w:val="single"/>
        </w:rPr>
        <w:t>D1004.1 Increase in height or number of units.</w:t>
      </w:r>
      <w:r w:rsidRPr="001B7F77">
        <w:rPr>
          <w:rFonts w:eastAsia="Times"/>
          <w:color w:val="000000"/>
          <w:u w:val="single"/>
        </w:rPr>
        <w:t xml:space="preserve"> Neither the height of the dwelling nor the number of units shall be increased unless all units in the dwelling are afforded two independent means of unobstructed egress located remote from each other and accessible to each room, apartment or suite, one of which shall be an enclosed interior fire stair. The second means of egress shall be permitted to consist of any lawfully installed means of egress, including a system of fire escapes or exterior fire stairs. See Section D1004.3 for limitations on the installation of new fire escapes.</w:t>
      </w:r>
    </w:p>
    <w:p w14:paraId="30D10FB8" w14:textId="77777777" w:rsidR="001B7F77" w:rsidRPr="001B7F77" w:rsidRDefault="001B7F77" w:rsidP="00FD2721">
      <w:pPr>
        <w:pBdr>
          <w:top w:val="nil"/>
          <w:left w:val="nil"/>
          <w:bottom w:val="nil"/>
          <w:right w:val="nil"/>
          <w:between w:val="nil"/>
        </w:pBdr>
        <w:suppressAutoHyphens/>
        <w:spacing w:before="120"/>
        <w:ind w:left="360"/>
        <w:rPr>
          <w:rFonts w:eastAsia="Times"/>
          <w:color w:val="000000"/>
          <w:u w:val="single"/>
        </w:rPr>
      </w:pPr>
      <w:r w:rsidRPr="001B7F77">
        <w:rPr>
          <w:rFonts w:eastAsia="Times"/>
          <w:b/>
          <w:color w:val="000000"/>
          <w:u w:val="single"/>
        </w:rPr>
        <w:t>D1004.2 Increase in number of rooms (MDL 9(10)).</w:t>
      </w:r>
      <w:r w:rsidRPr="001B7F77">
        <w:rPr>
          <w:rFonts w:eastAsia="Times"/>
          <w:color w:val="000000"/>
          <w:u w:val="single"/>
        </w:rPr>
        <w:t xml:space="preserve"> If any HEXA is altered so as to increase the number of living rooms by more than 20 percent, the dwelling shall be altered to HAEA (2008+) and shall be subject to the requirements in Section D303.</w:t>
      </w:r>
    </w:p>
    <w:p w14:paraId="5F54C41C"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u w:val="single"/>
        </w:rPr>
      </w:pPr>
      <w:r w:rsidRPr="001B7F77">
        <w:rPr>
          <w:rFonts w:eastAsia="Times"/>
          <w:b/>
          <w:color w:val="000000"/>
          <w:u w:val="single"/>
        </w:rPr>
        <w:t xml:space="preserve">Exception: </w:t>
      </w:r>
      <w:r w:rsidRPr="001B7F77">
        <w:rPr>
          <w:rFonts w:eastAsia="Times"/>
          <w:color w:val="000000"/>
          <w:u w:val="single"/>
        </w:rPr>
        <w:t>Where the stairs are in compliance with the provisions of Sections D702.8, D703.6 and D703.7.</w:t>
      </w:r>
    </w:p>
    <w:p w14:paraId="51F43DD6" w14:textId="77777777" w:rsidR="001B7F77" w:rsidRPr="001B7F77" w:rsidRDefault="001B7F77" w:rsidP="00FD2721">
      <w:pPr>
        <w:pBdr>
          <w:top w:val="nil"/>
          <w:left w:val="nil"/>
          <w:bottom w:val="nil"/>
          <w:right w:val="nil"/>
          <w:between w:val="nil"/>
        </w:pBdr>
        <w:suppressAutoHyphens/>
        <w:spacing w:before="120"/>
        <w:ind w:left="360"/>
        <w:rPr>
          <w:rFonts w:eastAsia="Times"/>
          <w:color w:val="000000"/>
          <w:u w:val="single"/>
        </w:rPr>
      </w:pPr>
      <w:r w:rsidRPr="001B7F77">
        <w:rPr>
          <w:rFonts w:eastAsia="Times"/>
          <w:b/>
          <w:color w:val="000000"/>
          <w:u w:val="single"/>
        </w:rPr>
        <w:t>D1004.3 New fire escapes and exterior fire stairs.</w:t>
      </w:r>
      <w:r w:rsidRPr="001B7F77">
        <w:rPr>
          <w:rFonts w:eastAsia="Times"/>
          <w:color w:val="000000"/>
          <w:u w:val="single"/>
        </w:rPr>
        <w:t xml:space="preserve"> New fire escapes shall be permitted in accordance with requirements of Section D306.3. New exterior fire stairs shall be permitted in accordance with Chapter 10 of the </w:t>
      </w:r>
      <w:r w:rsidRPr="001B7F77">
        <w:rPr>
          <w:rFonts w:eastAsia="Times"/>
          <w:i/>
          <w:iCs/>
          <w:color w:val="000000"/>
          <w:u w:val="single"/>
        </w:rPr>
        <w:t>New York City Building Code</w:t>
      </w:r>
      <w:r w:rsidRPr="001B7F77">
        <w:rPr>
          <w:rFonts w:eastAsia="Times"/>
          <w:color w:val="000000"/>
          <w:u w:val="single"/>
        </w:rPr>
        <w:t>.</w:t>
      </w:r>
    </w:p>
    <w:p w14:paraId="21F52884" w14:textId="77777777" w:rsidR="001B7F77" w:rsidRPr="001B7F77" w:rsidRDefault="001B7F77" w:rsidP="00FD2721">
      <w:pPr>
        <w:pBdr>
          <w:top w:val="nil"/>
          <w:left w:val="nil"/>
          <w:bottom w:val="nil"/>
          <w:right w:val="nil"/>
          <w:between w:val="nil"/>
        </w:pBdr>
        <w:suppressAutoHyphens/>
        <w:spacing w:before="120"/>
        <w:ind w:left="720"/>
        <w:rPr>
          <w:rFonts w:eastAsia="Times"/>
          <w:color w:val="000000"/>
          <w:u w:val="single"/>
        </w:rPr>
      </w:pPr>
      <w:r w:rsidRPr="001B7F77">
        <w:rPr>
          <w:rFonts w:eastAsia="Times"/>
          <w:b/>
          <w:color w:val="000000"/>
          <w:u w:val="single"/>
        </w:rPr>
        <w:t>Exception:</w:t>
      </w:r>
      <w:r w:rsidRPr="001B7F77">
        <w:rPr>
          <w:rFonts w:eastAsia="Times"/>
          <w:color w:val="000000"/>
          <w:u w:val="single"/>
        </w:rPr>
        <w:t xml:space="preserve"> For buildings erected prior to April 5, 1944, exterior fire stairs shall be permitted to exceed the height limitations in Section 1026.2 of the </w:t>
      </w:r>
      <w:r w:rsidRPr="001B7F77">
        <w:rPr>
          <w:rFonts w:eastAsia="Times"/>
          <w:i/>
          <w:iCs/>
          <w:color w:val="000000"/>
          <w:u w:val="single"/>
        </w:rPr>
        <w:t>New York City Building Code</w:t>
      </w:r>
      <w:r w:rsidRPr="001B7F77">
        <w:rPr>
          <w:rFonts w:eastAsia="Times"/>
          <w:color w:val="000000"/>
          <w:u w:val="single"/>
        </w:rPr>
        <w:t xml:space="preserve">, as applicable, where the commissioner finds a practical difficulty in complying with the provisions of Chapter 10 of the </w:t>
      </w:r>
      <w:r w:rsidRPr="001B7F77">
        <w:rPr>
          <w:rFonts w:eastAsia="Times"/>
          <w:i/>
          <w:iCs/>
          <w:color w:val="000000"/>
          <w:u w:val="single"/>
        </w:rPr>
        <w:t>New York City Building Code</w:t>
      </w:r>
      <w:r w:rsidRPr="001B7F77">
        <w:rPr>
          <w:rFonts w:eastAsia="Times"/>
          <w:color w:val="000000"/>
          <w:u w:val="single"/>
        </w:rPr>
        <w:t xml:space="preserve"> and the portions of the building relying on such fire escape or exterior stairs are provided with a full system of automatic sprinklers.</w:t>
      </w:r>
    </w:p>
    <w:p w14:paraId="55200766" w14:textId="77777777" w:rsidR="001B7F77" w:rsidRPr="001B7F77" w:rsidRDefault="001B7F77" w:rsidP="00FD2721">
      <w:pPr>
        <w:pBdr>
          <w:top w:val="nil"/>
          <w:left w:val="nil"/>
          <w:bottom w:val="nil"/>
          <w:right w:val="nil"/>
          <w:between w:val="nil"/>
        </w:pBdr>
        <w:suppressAutoHyphens/>
        <w:spacing w:before="120"/>
        <w:ind w:left="360"/>
        <w:rPr>
          <w:rFonts w:eastAsia="Times"/>
          <w:color w:val="000000"/>
          <w:u w:val="single"/>
        </w:rPr>
      </w:pPr>
      <w:r w:rsidRPr="001B7F77">
        <w:rPr>
          <w:rFonts w:eastAsia="Times"/>
          <w:b/>
          <w:color w:val="000000"/>
          <w:u w:val="single"/>
        </w:rPr>
        <w:t xml:space="preserve">D1004.4 Access to existing fire escapes from public halls. </w:t>
      </w:r>
      <w:r w:rsidRPr="001B7F77">
        <w:rPr>
          <w:rFonts w:eastAsia="Times"/>
          <w:color w:val="000000"/>
          <w:u w:val="single"/>
        </w:rPr>
        <w:t xml:space="preserve">When access to an existing fire escape is provided from a public hall by a window or door, such window or doors shall have a </w:t>
      </w:r>
      <w:r w:rsidRPr="001B7F77">
        <w:rPr>
          <w:rFonts w:eastAsia="Times"/>
          <w:u w:val="single"/>
        </w:rPr>
        <w:t>fire-resistive</w:t>
      </w:r>
      <w:r w:rsidRPr="001B7F77">
        <w:rPr>
          <w:rFonts w:eastAsia="Times"/>
          <w:color w:val="000000"/>
          <w:u w:val="single"/>
        </w:rPr>
        <w:t xml:space="preserve"> rating of at least ¾ hour.</w:t>
      </w:r>
    </w:p>
    <w:p w14:paraId="48C8BDC7" w14:textId="77777777" w:rsidR="001B7F77" w:rsidRPr="001B7F77" w:rsidRDefault="001B7F77" w:rsidP="00FD2721">
      <w:pPr>
        <w:pBdr>
          <w:top w:val="nil"/>
          <w:left w:val="nil"/>
          <w:bottom w:val="nil"/>
          <w:right w:val="nil"/>
          <w:between w:val="nil"/>
        </w:pBdr>
        <w:suppressAutoHyphens/>
        <w:spacing w:before="120"/>
        <w:ind w:left="360"/>
        <w:rPr>
          <w:rFonts w:eastAsia="Times"/>
          <w:color w:val="000000"/>
          <w:u w:val="single"/>
        </w:rPr>
      </w:pPr>
      <w:r w:rsidRPr="001B7F77">
        <w:rPr>
          <w:rFonts w:eastAsia="Times"/>
          <w:b/>
          <w:color w:val="000000"/>
          <w:u w:val="single"/>
        </w:rPr>
        <w:t xml:space="preserve">D1004.5 Variation. </w:t>
      </w:r>
      <w:r w:rsidRPr="001B7F77">
        <w:rPr>
          <w:rFonts w:eastAsia="Times"/>
          <w:color w:val="000000"/>
          <w:u w:val="single"/>
        </w:rPr>
        <w:t xml:space="preserve">Nothing in Section D1004 shall be construed so as to limit the ability of the commissioner from issuing a variance relating to egress in accordance with Section 28-103.3 of the New York City </w:t>
      </w:r>
      <w:r w:rsidRPr="001B7F77">
        <w:rPr>
          <w:rFonts w:eastAsia="Times"/>
          <w:i/>
          <w:color w:val="000000"/>
          <w:u w:val="single"/>
        </w:rPr>
        <w:t>Administrative Code</w:t>
      </w:r>
      <w:r w:rsidRPr="001B7F77">
        <w:rPr>
          <w:rFonts w:eastAsia="Times"/>
          <w:color w:val="000000"/>
          <w:u w:val="single"/>
        </w:rPr>
        <w:t>.</w:t>
      </w:r>
    </w:p>
    <w:p w14:paraId="58256072" w14:textId="77777777" w:rsidR="001B7F77" w:rsidRPr="001B7F77" w:rsidRDefault="001B7F77" w:rsidP="00FD2721">
      <w:pPr>
        <w:pBdr>
          <w:top w:val="nil"/>
          <w:left w:val="nil"/>
          <w:bottom w:val="nil"/>
          <w:right w:val="nil"/>
          <w:between w:val="nil"/>
        </w:pBdr>
        <w:suppressAutoHyphens/>
        <w:spacing w:before="120"/>
        <w:rPr>
          <w:rFonts w:eastAsia="Times"/>
          <w:color w:val="000000"/>
          <w:u w:val="single"/>
        </w:rPr>
      </w:pPr>
      <w:r w:rsidRPr="001B7F77">
        <w:rPr>
          <w:rFonts w:eastAsia="Times"/>
          <w:b/>
          <w:color w:val="000000"/>
          <w:u w:val="single"/>
        </w:rPr>
        <w:t xml:space="preserve">D1005 Fire alarms (MDL 67(12), (15)(c)). </w:t>
      </w:r>
      <w:r w:rsidRPr="001B7F77">
        <w:rPr>
          <w:rFonts w:eastAsia="Times"/>
          <w:color w:val="000000"/>
          <w:u w:val="single"/>
        </w:rPr>
        <w:t>Pursuant to an application filed with the department, existing fire alarms systems and watchman’s detectors can be removed from HEXAs without substitution, notwithstanding that a number of rooms may have occupancies of 90 days or less. This section D1005 shall not be construed as to permit occupancies in HEXAs for periods of less than 30 days where such occupancy would be in violation of Section 4(8)(a) of the MDL.</w:t>
      </w:r>
    </w:p>
    <w:p w14:paraId="54E4F40F" w14:textId="77777777" w:rsidR="001B7F77" w:rsidRPr="001B7F77" w:rsidRDefault="001B7F77" w:rsidP="00FD2721">
      <w:pPr>
        <w:suppressAutoHyphens/>
        <w:spacing w:before="120" w:line="259" w:lineRule="auto"/>
        <w:jc w:val="left"/>
        <w:rPr>
          <w:b/>
          <w:u w:val="single"/>
        </w:rPr>
      </w:pPr>
      <w:r w:rsidRPr="001B7F77">
        <w:rPr>
          <w:b/>
          <w:u w:val="single"/>
        </w:rPr>
        <w:br w:type="page"/>
      </w:r>
    </w:p>
    <w:p w14:paraId="6E73C3E1" w14:textId="77777777" w:rsidR="001B7F77" w:rsidRPr="001B7F77" w:rsidRDefault="001B7F77" w:rsidP="00FD2721">
      <w:pPr>
        <w:suppressAutoHyphens/>
        <w:spacing w:before="120"/>
        <w:jc w:val="left"/>
      </w:pPr>
    </w:p>
    <w:p w14:paraId="6A2E862C" w14:textId="77777777" w:rsidR="001B7F77" w:rsidRPr="001B7F77" w:rsidRDefault="001B7F77" w:rsidP="00FD2721">
      <w:pPr>
        <w:suppressAutoHyphens/>
        <w:spacing w:before="120"/>
      </w:pPr>
    </w:p>
    <w:p w14:paraId="15DE3482" w14:textId="77777777" w:rsidR="001B7F77" w:rsidRPr="001B7F77" w:rsidRDefault="001B7F77" w:rsidP="00FD2721">
      <w:pPr>
        <w:widowControl w:val="0"/>
        <w:suppressAutoHyphens/>
        <w:spacing w:before="120"/>
        <w:jc w:val="center"/>
        <w:outlineLvl w:val="0"/>
        <w:rPr>
          <w:b/>
          <w:color w:val="000000"/>
          <w:u w:val="single"/>
        </w:rPr>
      </w:pPr>
      <w:r w:rsidRPr="001B7F77">
        <w:rPr>
          <w:b/>
          <w:u w:val="single"/>
        </w:rPr>
        <w:t>APPENDIX H</w:t>
      </w:r>
      <w:r w:rsidRPr="001B7F77">
        <w:rPr>
          <w:b/>
          <w:u w:val="single"/>
        </w:rPr>
        <w:br/>
        <w:t xml:space="preserve">IN-PLACE MATERIAL, COMPONENT </w:t>
      </w:r>
      <w:r w:rsidRPr="001B7F77">
        <w:rPr>
          <w:rFonts w:eastAsia="Times"/>
          <w:b/>
          <w:bCs/>
          <w:szCs w:val="24"/>
          <w:u w:val="single"/>
        </w:rPr>
        <w:t>PROPERTIES</w:t>
      </w:r>
      <w:r w:rsidRPr="001B7F77">
        <w:rPr>
          <w:b/>
          <w:u w:val="single"/>
        </w:rPr>
        <w:t xml:space="preserve"> AND ARCHAIC STRUCTURAL SYSTEMS</w:t>
      </w:r>
    </w:p>
    <w:p w14:paraId="08910FA2" w14:textId="77777777" w:rsidR="001B7F77" w:rsidRPr="001B7F77" w:rsidRDefault="001B7F77" w:rsidP="00FD2721">
      <w:pPr>
        <w:widowControl w:val="0"/>
        <w:suppressAutoHyphens/>
        <w:spacing w:before="120"/>
        <w:jc w:val="center"/>
        <w:outlineLvl w:val="0"/>
        <w:rPr>
          <w:b/>
          <w:bCs/>
          <w:u w:val="single"/>
        </w:rPr>
      </w:pPr>
      <w:r w:rsidRPr="001B7F77">
        <w:rPr>
          <w:b/>
          <w:bCs/>
          <w:u w:val="single"/>
        </w:rPr>
        <w:t>SECTION EBC H101</w:t>
      </w:r>
      <w:r w:rsidRPr="001B7F77">
        <w:rPr>
          <w:b/>
          <w:bCs/>
          <w:u w:val="single"/>
        </w:rPr>
        <w:br/>
        <w:t>IN-PLACE MATERIAL AND COMPONENT PROPERTIES</w:t>
      </w:r>
    </w:p>
    <w:p w14:paraId="40117A5D" w14:textId="77777777" w:rsidR="001B7F77" w:rsidRPr="001B7F77" w:rsidRDefault="001B7F77" w:rsidP="00FD2721">
      <w:pPr>
        <w:shd w:val="clear" w:color="auto" w:fill="FFFFFF"/>
        <w:suppressAutoHyphens/>
        <w:spacing w:before="120"/>
      </w:pPr>
      <w:r w:rsidRPr="001B7F77">
        <w:rPr>
          <w:b/>
          <w:bCs/>
          <w:u w:val="single"/>
        </w:rPr>
        <w:t>H101.1 General.</w:t>
      </w:r>
      <w:bookmarkStart w:id="253" w:name="_Hlk76975971"/>
      <w:r w:rsidRPr="001B7F77">
        <w:rPr>
          <w:bCs/>
          <w:u w:val="single"/>
        </w:rPr>
        <w:t xml:space="preserve"> </w:t>
      </w:r>
      <w:r w:rsidRPr="001B7F77">
        <w:rPr>
          <w:u w:val="single"/>
        </w:rPr>
        <w:t>The requirements for determining the in-place material strength and other properties for structural elements, when structural analysis is required by Chapter 7, shall be in accordance with Sections H101.2 through H101.3. Allowances for in-place archaic and legacy structural systems shall be in accordance with the conditions and limitations of Section H102.</w:t>
      </w:r>
    </w:p>
    <w:bookmarkEnd w:id="253"/>
    <w:p w14:paraId="79902AAE" w14:textId="77777777" w:rsidR="001B7F77" w:rsidRPr="001B7F77" w:rsidRDefault="001B7F77" w:rsidP="00FD2721">
      <w:pPr>
        <w:tabs>
          <w:tab w:val="left" w:pos="9270"/>
        </w:tabs>
        <w:suppressAutoHyphens/>
        <w:spacing w:before="120"/>
        <w:ind w:left="360"/>
        <w:rPr>
          <w:b/>
          <w:bCs/>
          <w:u w:val="single"/>
        </w:rPr>
      </w:pPr>
      <w:r w:rsidRPr="001B7F77">
        <w:rPr>
          <w:b/>
          <w:bCs/>
          <w:u w:val="single"/>
        </w:rPr>
        <w:t>Exceptions:</w:t>
      </w:r>
    </w:p>
    <w:p w14:paraId="2AC260CE" w14:textId="77777777" w:rsidR="001B7F77" w:rsidRPr="001B7F77" w:rsidRDefault="001B7F77" w:rsidP="00FD2721">
      <w:pPr>
        <w:widowControl w:val="0"/>
        <w:numPr>
          <w:ilvl w:val="0"/>
          <w:numId w:val="33"/>
        </w:numPr>
        <w:tabs>
          <w:tab w:val="left" w:pos="9270"/>
        </w:tabs>
        <w:suppressAutoHyphens/>
        <w:autoSpaceDN w:val="0"/>
        <w:spacing w:before="120"/>
        <w:ind w:left="1080"/>
        <w:jc w:val="left"/>
        <w:rPr>
          <w:u w:val="single"/>
        </w:rPr>
      </w:pPr>
      <w:r w:rsidRPr="001B7F77">
        <w:rPr>
          <w:u w:val="single"/>
        </w:rPr>
        <w:t>When structural design is performed in accordance with ASCE 41, the requirements for in-place material and component properties shall follow ASCE 41 in lieu of this section.</w:t>
      </w:r>
    </w:p>
    <w:p w14:paraId="7E088198" w14:textId="77777777" w:rsidR="001B7F77" w:rsidRPr="001B7F77" w:rsidRDefault="001B7F77" w:rsidP="00FD2721">
      <w:pPr>
        <w:widowControl w:val="0"/>
        <w:numPr>
          <w:ilvl w:val="0"/>
          <w:numId w:val="33"/>
        </w:numPr>
        <w:tabs>
          <w:tab w:val="left" w:pos="9270"/>
        </w:tabs>
        <w:suppressAutoHyphens/>
        <w:autoSpaceDN w:val="0"/>
        <w:spacing w:before="120"/>
        <w:ind w:left="1080"/>
        <w:jc w:val="left"/>
        <w:rPr>
          <w:u w:val="single"/>
        </w:rPr>
      </w:pPr>
      <w:r w:rsidRPr="001B7F77">
        <w:rPr>
          <w:u w:val="single"/>
        </w:rPr>
        <w:t>Material properties as specified in ASCE 41 may be used as an alternate to the properties in this appendix.</w:t>
      </w:r>
    </w:p>
    <w:p w14:paraId="27609E5B" w14:textId="77777777" w:rsidR="001B7F77" w:rsidRPr="001B7F77" w:rsidRDefault="001B7F77" w:rsidP="00FD2721">
      <w:pPr>
        <w:tabs>
          <w:tab w:val="left" w:pos="9270"/>
        </w:tabs>
        <w:suppressAutoHyphens/>
        <w:spacing w:before="120"/>
        <w:rPr>
          <w:u w:val="single"/>
        </w:rPr>
      </w:pPr>
      <w:bookmarkStart w:id="254" w:name="_Hlk81912091"/>
      <w:bookmarkStart w:id="255" w:name="_Hlk81912130"/>
      <w:r w:rsidRPr="001B7F77">
        <w:rPr>
          <w:b/>
          <w:bCs/>
          <w:u w:val="single"/>
        </w:rPr>
        <w:t xml:space="preserve">H101.2 </w:t>
      </w:r>
      <w:bookmarkStart w:id="256" w:name="_Hlk76976470"/>
      <w:r w:rsidRPr="001B7F77">
        <w:rPr>
          <w:b/>
          <w:bCs/>
          <w:u w:val="single"/>
        </w:rPr>
        <w:t>Material properties based on data or documentation.</w:t>
      </w:r>
      <w:bookmarkEnd w:id="256"/>
      <w:r w:rsidRPr="001B7F77">
        <w:rPr>
          <w:b/>
          <w:bCs/>
          <w:u w:val="single"/>
        </w:rPr>
        <w:t xml:space="preserve"> </w:t>
      </w:r>
      <w:r w:rsidRPr="001B7F77">
        <w:rPr>
          <w:u w:val="single"/>
        </w:rPr>
        <w:t>The in-place material strength and other properties for structural elements shall be determined in accordance with Sections H101.2.1 through H101.2.4.</w:t>
      </w:r>
    </w:p>
    <w:p w14:paraId="40A7BF88" w14:textId="77777777" w:rsidR="001B7F77" w:rsidRPr="001B7F77" w:rsidRDefault="001B7F77" w:rsidP="00FD2721">
      <w:pPr>
        <w:tabs>
          <w:tab w:val="left" w:pos="9270"/>
        </w:tabs>
        <w:suppressAutoHyphens/>
        <w:spacing w:before="120"/>
        <w:ind w:left="360"/>
        <w:rPr>
          <w:color w:val="000000"/>
        </w:rPr>
      </w:pPr>
      <w:bookmarkStart w:id="257" w:name="_Hlk81911723"/>
      <w:bookmarkStart w:id="258" w:name="_Hlk109642218"/>
      <w:bookmarkEnd w:id="254"/>
      <w:r w:rsidRPr="001B7F77">
        <w:rPr>
          <w:b/>
          <w:bCs/>
          <w:u w:val="single"/>
        </w:rPr>
        <w:t xml:space="preserve">H101.2.1 Acceptable engineering data or documentation. </w:t>
      </w:r>
      <w:bookmarkStart w:id="259" w:name="_Hlk79139213"/>
      <w:r w:rsidRPr="001B7F77">
        <w:rPr>
          <w:u w:val="single"/>
        </w:rPr>
        <w:t>Engineering data or documentation may be used</w:t>
      </w:r>
      <w:bookmarkEnd w:id="259"/>
      <w:r w:rsidRPr="001B7F77">
        <w:rPr>
          <w:u w:val="single"/>
        </w:rPr>
        <w:t xml:space="preserve"> to determine the age of buildings and materials. Only the following sources shall be used:</w:t>
      </w:r>
    </w:p>
    <w:p w14:paraId="7E6BA044" w14:textId="77777777" w:rsidR="001B7F77" w:rsidRPr="001B7F77" w:rsidRDefault="001B7F77" w:rsidP="00FD2721">
      <w:pPr>
        <w:tabs>
          <w:tab w:val="left" w:pos="9270"/>
        </w:tabs>
        <w:suppressAutoHyphens/>
        <w:spacing w:before="120"/>
        <w:ind w:left="1080" w:hanging="360"/>
        <w:rPr>
          <w:u w:val="single"/>
        </w:rPr>
      </w:pPr>
      <w:bookmarkStart w:id="260" w:name="_Hlk79139252"/>
      <w:r w:rsidRPr="001B7F77">
        <w:rPr>
          <w:u w:val="single"/>
        </w:rPr>
        <w:t>1.</w:t>
      </w:r>
      <w:r w:rsidRPr="001B7F77">
        <w:rPr>
          <w:u w:val="single"/>
        </w:rPr>
        <w:tab/>
        <w:t>Original construction documents or applications submitted to the department.</w:t>
      </w:r>
    </w:p>
    <w:p w14:paraId="01F04512" w14:textId="77777777" w:rsidR="001B7F77" w:rsidRPr="001B7F77" w:rsidRDefault="001B7F77" w:rsidP="00FD2721">
      <w:pPr>
        <w:tabs>
          <w:tab w:val="left" w:pos="9270"/>
        </w:tabs>
        <w:suppressAutoHyphens/>
        <w:spacing w:before="120"/>
        <w:ind w:left="1080" w:hanging="360"/>
        <w:rPr>
          <w:u w:val="single"/>
        </w:rPr>
      </w:pPr>
      <w:r w:rsidRPr="001B7F77">
        <w:rPr>
          <w:u w:val="single"/>
        </w:rPr>
        <w:t>2.</w:t>
      </w:r>
      <w:r w:rsidRPr="001B7F77">
        <w:rPr>
          <w:u w:val="single"/>
        </w:rPr>
        <w:tab/>
        <w:t>Material test records or material test reports.</w:t>
      </w:r>
    </w:p>
    <w:p w14:paraId="79967A75" w14:textId="77777777" w:rsidR="001B7F77" w:rsidRPr="001B7F77" w:rsidRDefault="001B7F77" w:rsidP="00FD2721">
      <w:pPr>
        <w:tabs>
          <w:tab w:val="left" w:pos="9270"/>
        </w:tabs>
        <w:suppressAutoHyphens/>
        <w:spacing w:before="120"/>
        <w:ind w:left="1080" w:hanging="360"/>
        <w:rPr>
          <w:u w:val="single"/>
        </w:rPr>
      </w:pPr>
      <w:r w:rsidRPr="001B7F77">
        <w:rPr>
          <w:u w:val="single"/>
        </w:rPr>
        <w:t>3.</w:t>
      </w:r>
      <w:r w:rsidRPr="001B7F77">
        <w:rPr>
          <w:u w:val="single"/>
        </w:rPr>
        <w:tab/>
        <w:t>Manufacturer material specifications related to the structure.</w:t>
      </w:r>
    </w:p>
    <w:p w14:paraId="1CE4E02E" w14:textId="77777777" w:rsidR="001B7F77" w:rsidRPr="001B7F77" w:rsidRDefault="001B7F77" w:rsidP="00FD2721">
      <w:pPr>
        <w:tabs>
          <w:tab w:val="left" w:pos="9270"/>
        </w:tabs>
        <w:suppressAutoHyphens/>
        <w:spacing w:before="120"/>
        <w:ind w:left="1080" w:hanging="360"/>
        <w:rPr>
          <w:b/>
          <w:bCs/>
          <w:u w:val="single"/>
        </w:rPr>
      </w:pPr>
      <w:r w:rsidRPr="001B7F77">
        <w:rPr>
          <w:u w:val="single"/>
        </w:rPr>
        <w:t>4.</w:t>
      </w:r>
      <w:r w:rsidRPr="001B7F77">
        <w:rPr>
          <w:b/>
          <w:bCs/>
          <w:u w:val="single"/>
        </w:rPr>
        <w:tab/>
      </w:r>
      <w:r w:rsidRPr="001B7F77">
        <w:rPr>
          <w:u w:val="single"/>
        </w:rPr>
        <w:t>P</w:t>
      </w:r>
      <w:r w:rsidRPr="001B7F77">
        <w:rPr>
          <w:rFonts w:eastAsia="Calibri"/>
          <w:u w:val="single"/>
        </w:rPr>
        <w:t>ublicly available records:</w:t>
      </w:r>
    </w:p>
    <w:p w14:paraId="13791111" w14:textId="77777777" w:rsidR="001B7F77" w:rsidRPr="001B7F77" w:rsidRDefault="001B7F77" w:rsidP="00FD2721">
      <w:pPr>
        <w:tabs>
          <w:tab w:val="left" w:pos="9270"/>
        </w:tabs>
        <w:suppressAutoHyphens/>
        <w:spacing w:before="120"/>
        <w:ind w:left="1620" w:hanging="540"/>
        <w:rPr>
          <w:u w:val="single"/>
        </w:rPr>
      </w:pPr>
      <w:r w:rsidRPr="001B7F77">
        <w:rPr>
          <w:u w:val="single"/>
        </w:rPr>
        <w:t>4.1.</w:t>
      </w:r>
      <w:r w:rsidRPr="001B7F77">
        <w:tab/>
      </w:r>
      <w:r w:rsidRPr="001B7F77">
        <w:rPr>
          <w:u w:val="single"/>
        </w:rPr>
        <w:t xml:space="preserve">New York City Department of Buildings’ </w:t>
      </w:r>
      <w:r w:rsidRPr="001B7F77">
        <w:rPr>
          <w:rFonts w:eastAsia="Calibri"/>
          <w:u w:val="single"/>
        </w:rPr>
        <w:t>“</w:t>
      </w:r>
      <w:r w:rsidRPr="001B7F77">
        <w:rPr>
          <w:u w:val="single"/>
        </w:rPr>
        <w:t>Building Information System,</w:t>
      </w:r>
      <w:r w:rsidRPr="001B7F77">
        <w:rPr>
          <w:rFonts w:eastAsia="Calibri"/>
          <w:u w:val="single"/>
        </w:rPr>
        <w:t>”</w:t>
      </w:r>
      <w:r w:rsidRPr="001B7F77">
        <w:rPr>
          <w:u w:val="single"/>
        </w:rPr>
        <w:t xml:space="preserve"> “ACTIONS.” </w:t>
      </w:r>
    </w:p>
    <w:p w14:paraId="2690702D" w14:textId="77777777" w:rsidR="001B7F77" w:rsidRPr="001B7F77" w:rsidRDefault="001B7F77" w:rsidP="00FD2721">
      <w:pPr>
        <w:tabs>
          <w:tab w:val="left" w:pos="9270"/>
        </w:tabs>
        <w:suppressAutoHyphens/>
        <w:spacing w:before="120"/>
        <w:ind w:left="1620" w:hanging="540"/>
        <w:rPr>
          <w:u w:val="single"/>
        </w:rPr>
      </w:pPr>
      <w:r w:rsidRPr="001B7F77">
        <w:rPr>
          <w:u w:val="single"/>
        </w:rPr>
        <w:t>4.2.</w:t>
      </w:r>
      <w:r w:rsidRPr="001B7F77">
        <w:rPr>
          <w:u w:val="single"/>
        </w:rPr>
        <w:tab/>
        <w:t xml:space="preserve">NYC Department of Buildings </w:t>
      </w:r>
      <w:r w:rsidRPr="001B7F77">
        <w:rPr>
          <w:rFonts w:eastAsia="Calibri"/>
          <w:u w:val="single"/>
        </w:rPr>
        <w:t>“</w:t>
      </w:r>
      <w:r w:rsidRPr="001B7F77">
        <w:rPr>
          <w:u w:val="single"/>
        </w:rPr>
        <w:t>Building Information System,</w:t>
      </w:r>
      <w:r w:rsidRPr="001B7F77">
        <w:rPr>
          <w:rFonts w:eastAsia="Calibri"/>
          <w:u w:val="single"/>
        </w:rPr>
        <w:t>”</w:t>
      </w:r>
      <w:r w:rsidRPr="001B7F77">
        <w:rPr>
          <w:u w:val="single"/>
        </w:rPr>
        <w:t xml:space="preserve"> “Certificate of Occupancy” using specifically those certificates marked as </w:t>
      </w:r>
      <w:r w:rsidRPr="001B7F77">
        <w:rPr>
          <w:rFonts w:eastAsia="Calibri"/>
          <w:u w:val="single"/>
        </w:rPr>
        <w:t>“</w:t>
      </w:r>
      <w:r w:rsidRPr="001B7F77">
        <w:rPr>
          <w:u w:val="single"/>
        </w:rPr>
        <w:t>new building.”</w:t>
      </w:r>
    </w:p>
    <w:p w14:paraId="0E2C2E44" w14:textId="77777777" w:rsidR="001B7F77" w:rsidRPr="001B7F77" w:rsidRDefault="001B7F77" w:rsidP="00FD2721">
      <w:pPr>
        <w:tabs>
          <w:tab w:val="left" w:pos="9270"/>
        </w:tabs>
        <w:suppressAutoHyphens/>
        <w:spacing w:before="120"/>
        <w:ind w:left="1620" w:hanging="540"/>
        <w:rPr>
          <w:u w:val="single"/>
        </w:rPr>
      </w:pPr>
      <w:r w:rsidRPr="001B7F77">
        <w:rPr>
          <w:u w:val="single"/>
        </w:rPr>
        <w:t>4.3.</w:t>
      </w:r>
      <w:r w:rsidRPr="001B7F77">
        <w:rPr>
          <w:u w:val="single"/>
        </w:rPr>
        <w:tab/>
        <w:t xml:space="preserve">NYC Department of Buildings </w:t>
      </w:r>
      <w:r w:rsidRPr="001B7F77">
        <w:rPr>
          <w:rFonts w:eastAsia="Calibri"/>
          <w:u w:val="single"/>
        </w:rPr>
        <w:t>“</w:t>
      </w:r>
      <w:r w:rsidRPr="001B7F77">
        <w:rPr>
          <w:u w:val="single"/>
        </w:rPr>
        <w:t>Building Information System,</w:t>
      </w:r>
      <w:r w:rsidRPr="001B7F77">
        <w:rPr>
          <w:rFonts w:eastAsia="Calibri"/>
          <w:u w:val="single"/>
        </w:rPr>
        <w:t xml:space="preserve">” marked as </w:t>
      </w:r>
      <w:r w:rsidRPr="001B7F77">
        <w:rPr>
          <w:u w:val="single"/>
        </w:rPr>
        <w:t xml:space="preserve">“Landmark” and NYC Landmarks Preservation Commission </w:t>
      </w:r>
      <w:r w:rsidRPr="001B7F77">
        <w:rPr>
          <w:rFonts w:eastAsia="Calibri"/>
          <w:u w:val="single"/>
        </w:rPr>
        <w:t>“</w:t>
      </w:r>
      <w:r w:rsidRPr="001B7F77">
        <w:rPr>
          <w:u w:val="single"/>
        </w:rPr>
        <w:t>Designation Reports.</w:t>
      </w:r>
      <w:r w:rsidRPr="001B7F77">
        <w:rPr>
          <w:rFonts w:eastAsia="Calibri"/>
          <w:u w:val="single"/>
        </w:rPr>
        <w:t>”</w:t>
      </w:r>
      <w:r w:rsidRPr="001B7F77">
        <w:rPr>
          <w:u w:val="single"/>
        </w:rPr>
        <w:t xml:space="preserve"> </w:t>
      </w:r>
    </w:p>
    <w:p w14:paraId="4FF797DB" w14:textId="77777777" w:rsidR="001B7F77" w:rsidRPr="001B7F77" w:rsidRDefault="001B7F77" w:rsidP="00FD2721">
      <w:pPr>
        <w:tabs>
          <w:tab w:val="left" w:pos="9270"/>
        </w:tabs>
        <w:suppressAutoHyphens/>
        <w:spacing w:before="120"/>
        <w:ind w:left="1620" w:hanging="540"/>
        <w:rPr>
          <w:u w:val="single"/>
        </w:rPr>
      </w:pPr>
      <w:r w:rsidRPr="001B7F77">
        <w:rPr>
          <w:u w:val="single"/>
        </w:rPr>
        <w:t>4.4.</w:t>
      </w:r>
      <w:r w:rsidRPr="001B7F77">
        <w:rPr>
          <w:u w:val="single"/>
        </w:rPr>
        <w:tab/>
        <w:t xml:space="preserve">NYC Department of Housing Preservation and Development: </w:t>
      </w:r>
      <w:r w:rsidRPr="001B7F77">
        <w:rPr>
          <w:rFonts w:eastAsia="Calibri"/>
          <w:u w:val="single"/>
        </w:rPr>
        <w:t>“</w:t>
      </w:r>
      <w:r w:rsidRPr="001B7F77">
        <w:rPr>
          <w:u w:val="single"/>
        </w:rPr>
        <w:t>I-cards</w:t>
      </w:r>
      <w:r w:rsidRPr="001B7F77">
        <w:rPr>
          <w:rFonts w:eastAsia="Calibri"/>
          <w:u w:val="single"/>
        </w:rPr>
        <w:t>” for multiple dwellings</w:t>
      </w:r>
      <w:r w:rsidRPr="001B7F77">
        <w:rPr>
          <w:u w:val="single"/>
        </w:rPr>
        <w:t xml:space="preserve"> provide an upper bound on the construction date. An “Old-Law Tenement” classification is sufficient to place the date of construction at 1900 or earlier.</w:t>
      </w:r>
    </w:p>
    <w:p w14:paraId="68898C64" w14:textId="77777777" w:rsidR="001B7F77" w:rsidRPr="001B7F77" w:rsidRDefault="001B7F77" w:rsidP="00FD2721">
      <w:pPr>
        <w:tabs>
          <w:tab w:val="left" w:pos="9270"/>
        </w:tabs>
        <w:suppressAutoHyphens/>
        <w:spacing w:before="120"/>
        <w:ind w:left="1620" w:hanging="540"/>
        <w:rPr>
          <w:u w:val="single"/>
        </w:rPr>
      </w:pPr>
      <w:r w:rsidRPr="001B7F77">
        <w:rPr>
          <w:u w:val="single"/>
        </w:rPr>
        <w:t>4.5.</w:t>
      </w:r>
      <w:r w:rsidRPr="001B7F77">
        <w:rPr>
          <w:u w:val="single"/>
        </w:rPr>
        <w:tab/>
        <w:t xml:space="preserve">NYC Department of City Planning </w:t>
      </w:r>
      <w:r w:rsidRPr="001B7F77">
        <w:rPr>
          <w:rFonts w:eastAsia="Calibri"/>
          <w:u w:val="single"/>
        </w:rPr>
        <w:t>“</w:t>
      </w:r>
      <w:r w:rsidRPr="001B7F77">
        <w:rPr>
          <w:u w:val="single"/>
        </w:rPr>
        <w:t>PLUTO</w:t>
      </w:r>
      <w:r w:rsidRPr="001B7F77">
        <w:rPr>
          <w:rFonts w:eastAsia="Calibri"/>
          <w:u w:val="single"/>
        </w:rPr>
        <w:t>”</w:t>
      </w:r>
      <w:r w:rsidRPr="001B7F77">
        <w:rPr>
          <w:u w:val="single"/>
        </w:rPr>
        <w:t xml:space="preserve"> website, or successor website, for buildings constructed after 1950 only.</w:t>
      </w:r>
    </w:p>
    <w:p w14:paraId="7FDBBE60" w14:textId="77777777" w:rsidR="001B7F77" w:rsidRPr="001B7F77" w:rsidRDefault="001B7F77" w:rsidP="00FD2721">
      <w:pPr>
        <w:tabs>
          <w:tab w:val="left" w:pos="9270"/>
        </w:tabs>
        <w:suppressAutoHyphens/>
        <w:spacing w:before="120"/>
        <w:ind w:left="1620" w:hanging="540"/>
        <w:rPr>
          <w:u w:val="single"/>
        </w:rPr>
      </w:pPr>
      <w:r w:rsidRPr="001B7F77">
        <w:rPr>
          <w:u w:val="single"/>
        </w:rPr>
        <w:t>4.6.</w:t>
      </w:r>
      <w:r w:rsidRPr="001B7F77">
        <w:rPr>
          <w:u w:val="single"/>
        </w:rPr>
        <w:tab/>
        <w:t xml:space="preserve">New York Public Library </w:t>
      </w:r>
      <w:r w:rsidRPr="001B7F77">
        <w:rPr>
          <w:rFonts w:eastAsia="Calibri"/>
          <w:u w:val="single"/>
        </w:rPr>
        <w:t>“NYC Fire Insurance, Topographic and Property Maps.”</w:t>
      </w:r>
      <w:bookmarkEnd w:id="260"/>
    </w:p>
    <w:p w14:paraId="2C237837" w14:textId="77777777" w:rsidR="001B7F77" w:rsidRPr="001B7F77" w:rsidRDefault="001B7F77" w:rsidP="00FD2721">
      <w:pPr>
        <w:tabs>
          <w:tab w:val="left" w:pos="9270"/>
        </w:tabs>
        <w:suppressAutoHyphens/>
        <w:spacing w:before="120"/>
        <w:ind w:left="360"/>
        <w:rPr>
          <w:u w:val="single"/>
        </w:rPr>
      </w:pPr>
      <w:bookmarkStart w:id="261" w:name="_Hlk90021364"/>
      <w:bookmarkEnd w:id="257"/>
      <w:bookmarkEnd w:id="258"/>
      <w:r w:rsidRPr="001B7F77">
        <w:rPr>
          <w:b/>
          <w:bCs/>
          <w:u w:val="single"/>
        </w:rPr>
        <w:t xml:space="preserve">H101.2.2 Lower bounds allowance. </w:t>
      </w:r>
      <w:r w:rsidRPr="001B7F77">
        <w:rPr>
          <w:bCs/>
          <w:u w:val="single"/>
        </w:rPr>
        <w:t>Where the age of the existing material is determined in accordance with Section H101.2.1, lower bounds for material properties as listed in Section H103 may be used in engineering calculations.</w:t>
      </w:r>
      <w:r w:rsidRPr="001B7F77">
        <w:rPr>
          <w:u w:val="single"/>
        </w:rPr>
        <w:t xml:space="preserve"> If the lower bounds listed in Section H103 are given as allowable stresses, they shall be used only with Allowable Stress Design.</w:t>
      </w:r>
    </w:p>
    <w:p w14:paraId="67C79BE3" w14:textId="77777777" w:rsidR="001B7F77" w:rsidRPr="001B7F77" w:rsidRDefault="001B7F77" w:rsidP="00FD2721">
      <w:pPr>
        <w:tabs>
          <w:tab w:val="left" w:pos="9270"/>
        </w:tabs>
        <w:suppressAutoHyphens/>
        <w:spacing w:before="120"/>
        <w:ind w:left="360"/>
        <w:rPr>
          <w:u w:val="single"/>
        </w:rPr>
      </w:pPr>
      <w:bookmarkStart w:id="262" w:name="_Hlk90021795"/>
      <w:bookmarkStart w:id="263" w:name="_Hlk110934378"/>
      <w:bookmarkEnd w:id="261"/>
      <w:r w:rsidRPr="001B7F77">
        <w:rPr>
          <w:b/>
          <w:bCs/>
          <w:u w:val="single"/>
        </w:rPr>
        <w:t xml:space="preserve">H101.2.3 Data to be confirmed or adjusted. </w:t>
      </w:r>
      <w:r w:rsidRPr="001B7F77">
        <w:rPr>
          <w:u w:val="single"/>
        </w:rPr>
        <w:t xml:space="preserve">Where material and component properties are determined in accordance with Section H101.2.1, such material and component properties shall be confirmed or adjusted by the engineer by performing an initial or detailed condition assessment required by Section 704. Where required by Section 704 or Section H101.3, such data shall be verified and supplemented by on-site investigations. On-site review by probes, test pits, or other means of visually confirming the structural components present conform to the existing documentation may be used. </w:t>
      </w:r>
    </w:p>
    <w:p w14:paraId="6FB43F5C" w14:textId="77777777" w:rsidR="001B7F77" w:rsidRPr="001B7F77" w:rsidRDefault="001B7F77" w:rsidP="00FD2721">
      <w:pPr>
        <w:tabs>
          <w:tab w:val="left" w:pos="9270"/>
        </w:tabs>
        <w:suppressAutoHyphens/>
        <w:spacing w:before="120"/>
        <w:ind w:left="360"/>
        <w:rPr>
          <w:b/>
          <w:bCs/>
        </w:rPr>
      </w:pPr>
      <w:bookmarkStart w:id="264" w:name="_Hlk89181279"/>
      <w:bookmarkEnd w:id="262"/>
      <w:bookmarkEnd w:id="263"/>
      <w:r w:rsidRPr="001B7F77">
        <w:rPr>
          <w:b/>
          <w:bCs/>
          <w:u w:val="single"/>
        </w:rPr>
        <w:t xml:space="preserve">H101.2.4 Unavailable or unreliable data. </w:t>
      </w:r>
      <w:r w:rsidRPr="001B7F77">
        <w:rPr>
          <w:bCs/>
          <w:u w:val="single"/>
        </w:rPr>
        <w:t>Where the age of the existing material cannot be determined using the allowable sources set forth in Section H101.2.1</w:t>
      </w:r>
      <w:r w:rsidRPr="001B7F77">
        <w:rPr>
          <w:u w:val="single"/>
        </w:rPr>
        <w:t>, material properties shall be determined by material testing as required by Section H101.3.</w:t>
      </w:r>
    </w:p>
    <w:p w14:paraId="70EF9BD6" w14:textId="77777777" w:rsidR="001B7F77" w:rsidRPr="001B7F77" w:rsidRDefault="001B7F77" w:rsidP="00FD2721">
      <w:pPr>
        <w:tabs>
          <w:tab w:val="left" w:pos="9270"/>
        </w:tabs>
        <w:suppressAutoHyphens/>
        <w:spacing w:before="120"/>
        <w:rPr>
          <w:u w:val="single"/>
        </w:rPr>
      </w:pPr>
      <w:bookmarkStart w:id="265" w:name="_Hlk90022336"/>
      <w:bookmarkEnd w:id="264"/>
      <w:r w:rsidRPr="001B7F77">
        <w:rPr>
          <w:b/>
          <w:bCs/>
          <w:u w:val="single"/>
        </w:rPr>
        <w:t>H101.3 Material testing.</w:t>
      </w:r>
      <w:r w:rsidRPr="001B7F77">
        <w:rPr>
          <w:u w:val="single"/>
        </w:rPr>
        <w:t xml:space="preserve"> </w:t>
      </w:r>
      <w:bookmarkStart w:id="266" w:name="_Hlk109639453"/>
      <w:r w:rsidRPr="001B7F77">
        <w:rPr>
          <w:u w:val="single"/>
        </w:rPr>
        <w:t xml:space="preserve">Material testing, including destructive and non-destructive testing of building materials and components, shall be performed </w:t>
      </w:r>
      <w:r w:rsidRPr="001B7F77">
        <w:rPr>
          <w:rFonts w:eastAsia="Calibri"/>
          <w:u w:val="single"/>
        </w:rPr>
        <w:t>in a manner consistent with nationally recognized standards.</w:t>
      </w:r>
      <w:r w:rsidRPr="001B7F77">
        <w:rPr>
          <w:rFonts w:eastAsia="Calibri"/>
        </w:rPr>
        <w:t xml:space="preserve"> </w:t>
      </w:r>
      <w:r w:rsidRPr="001B7F77">
        <w:rPr>
          <w:u w:val="single"/>
        </w:rPr>
        <w:t>Material testing shall be required when any of the following occur:</w:t>
      </w:r>
      <w:bookmarkEnd w:id="266"/>
    </w:p>
    <w:p w14:paraId="333A64D8" w14:textId="77777777" w:rsidR="001B7F77" w:rsidRPr="001B7F77" w:rsidRDefault="001B7F77" w:rsidP="00FD2721">
      <w:pPr>
        <w:widowControl w:val="0"/>
        <w:numPr>
          <w:ilvl w:val="0"/>
          <w:numId w:val="34"/>
        </w:numPr>
        <w:tabs>
          <w:tab w:val="left" w:pos="9270"/>
        </w:tabs>
        <w:suppressAutoHyphens/>
        <w:autoSpaceDN w:val="0"/>
        <w:spacing w:before="120"/>
        <w:ind w:left="1080"/>
        <w:contextualSpacing/>
        <w:jc w:val="left"/>
        <w:rPr>
          <w:rFonts w:eastAsia="Calibri"/>
          <w:color w:val="000000"/>
          <w:sz w:val="22"/>
          <w:szCs w:val="22"/>
          <w:u w:val="single"/>
        </w:rPr>
      </w:pPr>
      <w:r w:rsidRPr="001B7F77">
        <w:rPr>
          <w:rFonts w:eastAsia="Calibri"/>
          <w:color w:val="000000"/>
          <w:sz w:val="22"/>
          <w:szCs w:val="22"/>
          <w:u w:val="single"/>
        </w:rPr>
        <w:t xml:space="preserve">Data relating to building materials or components is not available. </w:t>
      </w:r>
    </w:p>
    <w:p w14:paraId="623B6EEF" w14:textId="77777777" w:rsidR="001B7F77" w:rsidRPr="001B7F77" w:rsidRDefault="001B7F77" w:rsidP="00FD2721">
      <w:pPr>
        <w:widowControl w:val="0"/>
        <w:numPr>
          <w:ilvl w:val="0"/>
          <w:numId w:val="34"/>
        </w:numPr>
        <w:tabs>
          <w:tab w:val="left" w:pos="9270"/>
        </w:tabs>
        <w:suppressAutoHyphens/>
        <w:autoSpaceDN w:val="0"/>
        <w:spacing w:before="120"/>
        <w:ind w:left="1080"/>
        <w:contextualSpacing/>
        <w:jc w:val="left"/>
        <w:rPr>
          <w:rFonts w:eastAsia="Calibri"/>
          <w:color w:val="000000"/>
          <w:sz w:val="22"/>
          <w:szCs w:val="22"/>
        </w:rPr>
      </w:pPr>
      <w:r w:rsidRPr="001B7F77">
        <w:rPr>
          <w:rFonts w:eastAsia="Calibri"/>
          <w:color w:val="000000"/>
          <w:sz w:val="22"/>
          <w:szCs w:val="22"/>
          <w:u w:val="single"/>
        </w:rPr>
        <w:t>Data available per Section H101.2.1 is not sufficient for the method of engineering used in calculations.</w:t>
      </w:r>
      <w:r w:rsidRPr="001B7F77">
        <w:rPr>
          <w:rFonts w:eastAsia="Calibri"/>
          <w:color w:val="000000"/>
          <w:sz w:val="22"/>
          <w:szCs w:val="22"/>
        </w:rPr>
        <w:t xml:space="preserve"> </w:t>
      </w:r>
    </w:p>
    <w:p w14:paraId="1D1BB712" w14:textId="77777777" w:rsidR="001B7F77" w:rsidRPr="001B7F77" w:rsidRDefault="001B7F77" w:rsidP="00FD2721">
      <w:pPr>
        <w:widowControl w:val="0"/>
        <w:numPr>
          <w:ilvl w:val="0"/>
          <w:numId w:val="34"/>
        </w:numPr>
        <w:tabs>
          <w:tab w:val="left" w:pos="9270"/>
        </w:tabs>
        <w:suppressAutoHyphens/>
        <w:autoSpaceDN w:val="0"/>
        <w:spacing w:before="120"/>
        <w:ind w:left="1080"/>
        <w:contextualSpacing/>
        <w:jc w:val="left"/>
        <w:rPr>
          <w:rFonts w:eastAsia="Calibri"/>
          <w:color w:val="000000"/>
          <w:sz w:val="22"/>
          <w:szCs w:val="22"/>
          <w:u w:val="single"/>
        </w:rPr>
      </w:pPr>
      <w:r w:rsidRPr="001B7F77">
        <w:rPr>
          <w:rFonts w:eastAsia="Calibri"/>
          <w:color w:val="000000"/>
          <w:sz w:val="22"/>
          <w:szCs w:val="22"/>
          <w:u w:val="single"/>
        </w:rPr>
        <w:t>Observed conditions indicate likelihood of original nonconformance.</w:t>
      </w:r>
    </w:p>
    <w:p w14:paraId="4B4AE4C3" w14:textId="77777777" w:rsidR="001B7F77" w:rsidRPr="001B7F77" w:rsidRDefault="001B7F77" w:rsidP="00FD2721">
      <w:pPr>
        <w:widowControl w:val="0"/>
        <w:numPr>
          <w:ilvl w:val="0"/>
          <w:numId w:val="34"/>
        </w:numPr>
        <w:tabs>
          <w:tab w:val="left" w:pos="9270"/>
        </w:tabs>
        <w:suppressAutoHyphens/>
        <w:autoSpaceDN w:val="0"/>
        <w:spacing w:before="120"/>
        <w:ind w:left="1080"/>
        <w:contextualSpacing/>
        <w:jc w:val="left"/>
        <w:rPr>
          <w:rFonts w:eastAsia="Calibri"/>
          <w:color w:val="000000"/>
          <w:sz w:val="22"/>
          <w:szCs w:val="22"/>
          <w:u w:val="single"/>
        </w:rPr>
      </w:pPr>
      <w:r w:rsidRPr="001B7F77">
        <w:rPr>
          <w:rFonts w:eastAsia="Calibri"/>
          <w:color w:val="000000"/>
          <w:sz w:val="22"/>
          <w:szCs w:val="22"/>
          <w:u w:val="single"/>
        </w:rPr>
        <w:t>Observed conditions indicate likelihood of past nonconforming alterations.</w:t>
      </w:r>
    </w:p>
    <w:p w14:paraId="1336E1A9" w14:textId="77777777" w:rsidR="001B7F77" w:rsidRPr="001B7F77" w:rsidRDefault="001B7F77" w:rsidP="00FD2721">
      <w:pPr>
        <w:widowControl w:val="0"/>
        <w:numPr>
          <w:ilvl w:val="0"/>
          <w:numId w:val="34"/>
        </w:numPr>
        <w:tabs>
          <w:tab w:val="left" w:pos="9270"/>
        </w:tabs>
        <w:suppressAutoHyphens/>
        <w:autoSpaceDN w:val="0"/>
        <w:spacing w:before="120"/>
        <w:ind w:left="1080"/>
        <w:contextualSpacing/>
        <w:jc w:val="left"/>
        <w:rPr>
          <w:rFonts w:eastAsia="Calibri"/>
          <w:color w:val="000000"/>
          <w:sz w:val="22"/>
          <w:szCs w:val="22"/>
          <w:u w:val="single"/>
        </w:rPr>
      </w:pPr>
      <w:r w:rsidRPr="001B7F77">
        <w:rPr>
          <w:rFonts w:eastAsia="Calibri"/>
          <w:color w:val="000000"/>
          <w:sz w:val="22"/>
          <w:szCs w:val="22"/>
          <w:u w:val="single"/>
        </w:rPr>
        <w:t>Observed conditions indicate likelihood of reduced capacity due to deterioration, including but not limited to misuse, aging, or lack of maintenance.</w:t>
      </w:r>
    </w:p>
    <w:bookmarkEnd w:id="255"/>
    <w:bookmarkEnd w:id="265"/>
    <w:p w14:paraId="3B7BDB8C" w14:textId="77777777" w:rsidR="001B7F77" w:rsidRPr="001B7F77" w:rsidRDefault="001B7F77" w:rsidP="00FD2721">
      <w:pPr>
        <w:widowControl w:val="0"/>
        <w:tabs>
          <w:tab w:val="left" w:pos="9270"/>
        </w:tabs>
        <w:suppressAutoHyphens/>
        <w:spacing w:before="120"/>
        <w:jc w:val="center"/>
        <w:outlineLvl w:val="0"/>
        <w:rPr>
          <w:b/>
          <w:bCs/>
          <w:u w:val="single"/>
        </w:rPr>
      </w:pPr>
    </w:p>
    <w:p w14:paraId="19A26AD2" w14:textId="77777777" w:rsidR="001B7F77" w:rsidRPr="001B7F77" w:rsidRDefault="001B7F77" w:rsidP="00FD2721">
      <w:pPr>
        <w:widowControl w:val="0"/>
        <w:tabs>
          <w:tab w:val="left" w:pos="9270"/>
        </w:tabs>
        <w:suppressAutoHyphens/>
        <w:spacing w:before="120"/>
        <w:jc w:val="center"/>
        <w:outlineLvl w:val="0"/>
        <w:rPr>
          <w:b/>
          <w:bCs/>
          <w:u w:val="single"/>
        </w:rPr>
      </w:pPr>
      <w:r w:rsidRPr="001B7F77">
        <w:rPr>
          <w:b/>
          <w:bCs/>
          <w:u w:val="single"/>
        </w:rPr>
        <w:t>SECTION EBC H102</w:t>
      </w:r>
      <w:r w:rsidRPr="001B7F77">
        <w:rPr>
          <w:b/>
          <w:bCs/>
          <w:u w:val="single"/>
        </w:rPr>
        <w:br/>
        <w:t>IN-PLACE ARCHAIC AND LEGACY STRUCTURAL SYSTEMS OR ASSEMBLIES</w:t>
      </w:r>
    </w:p>
    <w:p w14:paraId="06E8AF6B" w14:textId="77777777" w:rsidR="001B7F77" w:rsidRPr="001B7F77" w:rsidRDefault="001B7F77" w:rsidP="00FD2721">
      <w:pPr>
        <w:shd w:val="clear" w:color="auto" w:fill="FFFFFF"/>
        <w:tabs>
          <w:tab w:val="left" w:pos="9270"/>
        </w:tabs>
        <w:suppressAutoHyphens/>
        <w:spacing w:before="120"/>
        <w:rPr>
          <w:szCs w:val="24"/>
          <w:u w:val="single"/>
        </w:rPr>
      </w:pPr>
      <w:bookmarkStart w:id="267" w:name="_Hlk90023215"/>
      <w:r w:rsidRPr="001B7F77">
        <w:rPr>
          <w:b/>
          <w:szCs w:val="24"/>
          <w:u w:val="single"/>
        </w:rPr>
        <w:t>H102.1 Archaic and legacy structural systems:</w:t>
      </w:r>
      <w:r w:rsidRPr="001B7F77">
        <w:rPr>
          <w:szCs w:val="24"/>
          <w:u w:val="single"/>
        </w:rPr>
        <w:t xml:space="preserve"> </w:t>
      </w:r>
      <w:bookmarkStart w:id="268" w:name="_Hlk107403046"/>
      <w:r w:rsidRPr="001B7F77">
        <w:rPr>
          <w:szCs w:val="24"/>
          <w:u w:val="single"/>
        </w:rPr>
        <w:t>Existing structural systems and structural elements found in buildings are described in Sections H102.2 through H102.3, as applicable.</w:t>
      </w:r>
      <w:bookmarkEnd w:id="268"/>
      <w:r w:rsidRPr="001B7F77">
        <w:rPr>
          <w:szCs w:val="24"/>
          <w:u w:val="single"/>
        </w:rPr>
        <w:t xml:space="preserve"> Archaic and legacy systems and assemblies include components installed based on empirical methods or vernacular methods predating engineering standardizations that were not confirmed by </w:t>
      </w:r>
      <w:r w:rsidRPr="001B7F77">
        <w:rPr>
          <w:rFonts w:eastAsia="Calibri"/>
          <w:szCs w:val="24"/>
          <w:u w:val="single"/>
        </w:rPr>
        <w:t>numerical</w:t>
      </w:r>
      <w:r w:rsidRPr="001B7F77">
        <w:rPr>
          <w:szCs w:val="24"/>
          <w:u w:val="single"/>
        </w:rPr>
        <w:t xml:space="preserve"> methods or engineering </w:t>
      </w:r>
      <w:r w:rsidRPr="001B7F77">
        <w:rPr>
          <w:rFonts w:eastAsia="Calibri"/>
          <w:szCs w:val="24"/>
          <w:u w:val="single"/>
        </w:rPr>
        <w:t xml:space="preserve">theory. </w:t>
      </w:r>
      <w:r w:rsidRPr="001B7F77">
        <w:rPr>
          <w:szCs w:val="24"/>
          <w:u w:val="single"/>
        </w:rPr>
        <w:t>Methods of evaluating archaic and legacy systems and assemblies are permitted to be based on manufacturer’s technical literature, articles published by nationally recognized engineering journals and standards organizations, and general engineering principles.</w:t>
      </w:r>
    </w:p>
    <w:p w14:paraId="279E4708" w14:textId="77777777" w:rsidR="001B7F77" w:rsidRPr="001B7F77" w:rsidRDefault="001B7F77" w:rsidP="00FD2721">
      <w:pPr>
        <w:tabs>
          <w:tab w:val="left" w:pos="9270"/>
        </w:tabs>
        <w:suppressAutoHyphens/>
        <w:spacing w:before="120"/>
        <w:rPr>
          <w:szCs w:val="24"/>
          <w:u w:val="single"/>
        </w:rPr>
      </w:pPr>
      <w:bookmarkStart w:id="269" w:name="_Hlk90023475"/>
      <w:bookmarkEnd w:id="267"/>
      <w:r w:rsidRPr="001B7F77">
        <w:rPr>
          <w:b/>
          <w:bCs/>
          <w:szCs w:val="24"/>
          <w:u w:val="single"/>
        </w:rPr>
        <w:t>H102.2 Fireproof floor systems.</w:t>
      </w:r>
      <w:r w:rsidRPr="001B7F77">
        <w:rPr>
          <w:szCs w:val="24"/>
          <w:u w:val="single"/>
        </w:rPr>
        <w:t xml:space="preserve"> Fireproof floor systems that were load tested or approved according to methods specified within the </w:t>
      </w:r>
      <w:r w:rsidRPr="001B7F77">
        <w:rPr>
          <w:i/>
          <w:iCs/>
          <w:szCs w:val="24"/>
          <w:u w:val="single"/>
        </w:rPr>
        <w:t>New York City Building Code</w:t>
      </w:r>
      <w:r w:rsidRPr="001B7F77">
        <w:rPr>
          <w:szCs w:val="24"/>
          <w:u w:val="single"/>
        </w:rPr>
        <w:t xml:space="preserve"> may be </w:t>
      </w:r>
      <w:r w:rsidRPr="001B7F77">
        <w:rPr>
          <w:rFonts w:eastAsia="Calibri"/>
          <w:szCs w:val="24"/>
          <w:u w:val="single"/>
        </w:rPr>
        <w:t>allowed to support</w:t>
      </w:r>
      <w:r w:rsidRPr="001B7F77">
        <w:rPr>
          <w:szCs w:val="24"/>
          <w:u w:val="single"/>
        </w:rPr>
        <w:t xml:space="preserve"> gravity loads permitted by this code and the </w:t>
      </w:r>
      <w:r w:rsidRPr="001B7F77">
        <w:rPr>
          <w:i/>
          <w:iCs/>
          <w:szCs w:val="24"/>
          <w:u w:val="single"/>
        </w:rPr>
        <w:t xml:space="preserve">New York City Building Code </w:t>
      </w:r>
      <w:r w:rsidRPr="001B7F77">
        <w:rPr>
          <w:szCs w:val="24"/>
          <w:u w:val="single"/>
        </w:rPr>
        <w:t>without testing or listing individual component material properties in accordance with Sections H102.2.1 through H102.2.5.</w:t>
      </w:r>
    </w:p>
    <w:p w14:paraId="7E17C95B" w14:textId="77777777" w:rsidR="001B7F77" w:rsidRPr="001B7F77" w:rsidRDefault="001B7F77" w:rsidP="00FD2721">
      <w:pPr>
        <w:tabs>
          <w:tab w:val="left" w:pos="360"/>
          <w:tab w:val="left" w:pos="9270"/>
        </w:tabs>
        <w:spacing w:before="120"/>
        <w:ind w:left="360"/>
        <w:contextualSpacing/>
        <w:rPr>
          <w:rFonts w:eastAsia="Calibri"/>
          <w:color w:val="000000"/>
          <w:szCs w:val="24"/>
          <w:u w:val="single"/>
        </w:rPr>
      </w:pPr>
      <w:bookmarkStart w:id="270" w:name="_Hlk90023963"/>
      <w:bookmarkEnd w:id="269"/>
      <w:r w:rsidRPr="001B7F77">
        <w:rPr>
          <w:rFonts w:eastAsia="Calibri"/>
          <w:b/>
          <w:bCs/>
          <w:color w:val="000000"/>
          <w:szCs w:val="24"/>
          <w:u w:val="single"/>
        </w:rPr>
        <w:t xml:space="preserve">H102.2.1 Stone, brick, or terra cotta segmental arch floors. </w:t>
      </w:r>
      <w:r w:rsidRPr="001B7F77">
        <w:rPr>
          <w:rFonts w:eastAsia="Calibri"/>
          <w:color w:val="000000"/>
          <w:szCs w:val="24"/>
          <w:u w:val="single"/>
        </w:rPr>
        <w:t xml:space="preserve">Stone, brick, or terra cotta segmental arch floors that met the geometric requirements specified in prior versions of the </w:t>
      </w:r>
      <w:r w:rsidRPr="001B7F77">
        <w:rPr>
          <w:rFonts w:eastAsia="Calibri"/>
          <w:i/>
          <w:iCs/>
          <w:color w:val="000000"/>
          <w:szCs w:val="24"/>
          <w:u w:val="single"/>
        </w:rPr>
        <w:t>New York City Building Code</w:t>
      </w:r>
      <w:r w:rsidRPr="001B7F77">
        <w:rPr>
          <w:rFonts w:eastAsia="Calibri"/>
          <w:color w:val="000000"/>
          <w:szCs w:val="24"/>
          <w:u w:val="single"/>
        </w:rPr>
        <w:t xml:space="preserve"> may be allowed to support code-listed gravity loads without testing or listing individual material properties. Arch thrust in spans where work is performed and in adjacent spans shall be taken into consideration when alterations are made, and the structural integrity of individual terra cotta units shall be maintained.</w:t>
      </w:r>
    </w:p>
    <w:bookmarkEnd w:id="270"/>
    <w:p w14:paraId="7194A4E3" w14:textId="77777777" w:rsidR="001B7F77" w:rsidRPr="001B7F77" w:rsidRDefault="001B7F77" w:rsidP="00FD2721">
      <w:pPr>
        <w:tabs>
          <w:tab w:val="left" w:pos="360"/>
          <w:tab w:val="left" w:pos="9270"/>
        </w:tabs>
        <w:spacing w:before="120"/>
        <w:ind w:left="360"/>
        <w:contextualSpacing/>
        <w:rPr>
          <w:rFonts w:eastAsia="Calibri"/>
          <w:color w:val="000000"/>
          <w:szCs w:val="24"/>
          <w:u w:val="single"/>
        </w:rPr>
      </w:pPr>
      <w:r w:rsidRPr="001B7F77">
        <w:rPr>
          <w:rFonts w:eastAsia="Calibri"/>
          <w:b/>
          <w:bCs/>
          <w:color w:val="000000"/>
          <w:szCs w:val="24"/>
          <w:u w:val="single"/>
        </w:rPr>
        <w:t xml:space="preserve">H102.2.2 Unreinforced masonry and concrete arch floors. </w:t>
      </w:r>
      <w:r w:rsidRPr="001B7F77">
        <w:rPr>
          <w:rFonts w:eastAsia="Calibri"/>
          <w:color w:val="000000"/>
          <w:szCs w:val="24"/>
          <w:u w:val="single"/>
        </w:rPr>
        <w:t>Unreinforced masonry and concrete arch floors that were approved by the New York City Department of Buildings or other New York City or New York State agencies based on load testing</w:t>
      </w:r>
      <w:r w:rsidRPr="001B7F77">
        <w:rPr>
          <w:rFonts w:eastAsia="Calibri"/>
          <w:szCs w:val="24"/>
          <w:u w:val="single"/>
        </w:rPr>
        <w:t xml:space="preserve"> </w:t>
      </w:r>
      <w:bookmarkStart w:id="271" w:name="_Hlk83199122"/>
      <w:r w:rsidRPr="001B7F77">
        <w:rPr>
          <w:rFonts w:eastAsia="Calibri"/>
          <w:color w:val="000000"/>
          <w:szCs w:val="24"/>
          <w:u w:val="single"/>
        </w:rPr>
        <w:t>may be allowed to support code-listed gravity loads without testing or listing individual material properties</w:t>
      </w:r>
      <w:bookmarkEnd w:id="271"/>
      <w:r w:rsidRPr="001B7F77">
        <w:rPr>
          <w:rFonts w:eastAsia="Calibri"/>
          <w:color w:val="000000"/>
          <w:szCs w:val="24"/>
          <w:u w:val="single"/>
        </w:rPr>
        <w:t xml:space="preserve">. Arch thrust in spans where work is performed and in adjacent spans shall be taken into consideration when alterations are made, and the structural integrity of individual terra cotta units shall be maintained. Corrugated iron-arch floors with cinder or stone concrete fill shall be analyzed as concrete arches using the material and geometry observed. Deterioration of the iron-arch material shall be assessed for removal of loose overhead sections. </w:t>
      </w:r>
    </w:p>
    <w:p w14:paraId="6E8689FB" w14:textId="77777777" w:rsidR="001B7F77" w:rsidRPr="001B7F77" w:rsidRDefault="001B7F77" w:rsidP="00FD2721">
      <w:pPr>
        <w:spacing w:before="120"/>
        <w:ind w:left="360"/>
        <w:contextualSpacing/>
        <w:rPr>
          <w:rFonts w:eastAsia="Calibri"/>
          <w:color w:val="000000"/>
          <w:szCs w:val="24"/>
          <w:u w:val="single"/>
        </w:rPr>
      </w:pPr>
      <w:bookmarkStart w:id="272" w:name="_Hlk90024067"/>
      <w:r w:rsidRPr="001B7F77">
        <w:rPr>
          <w:rFonts w:eastAsia="Calibri"/>
          <w:b/>
          <w:bCs/>
          <w:color w:val="000000"/>
          <w:szCs w:val="24"/>
          <w:u w:val="single"/>
        </w:rPr>
        <w:t>H102.2.3 Draped mesh concrete floors.</w:t>
      </w:r>
      <w:r w:rsidRPr="001B7F77">
        <w:rPr>
          <w:rFonts w:eastAsia="Calibri"/>
          <w:color w:val="000000"/>
          <w:szCs w:val="24"/>
          <w:u w:val="single"/>
        </w:rPr>
        <w:t xml:space="preserve"> Draped-mesh concrete slabs are one-way concrete slabs spanning between encased metal beams reinforced with wires or wire mesh designed to carry floor gravity loads through catenary action. Commonly made with cinder concrete (concrete with coal cinders as coarse aggregate) but sometimes with stone concrete. Load is transferred from the slabs to the beams through both the encasement and the wires. Draped mesh concrete floors that were designed using the formulas specified in prior versions of the </w:t>
      </w:r>
      <w:r w:rsidRPr="001B7F77">
        <w:rPr>
          <w:rFonts w:eastAsia="Calibri"/>
          <w:i/>
          <w:iCs/>
          <w:color w:val="000000"/>
          <w:szCs w:val="24"/>
          <w:u w:val="single"/>
        </w:rPr>
        <w:t>New York City Building Code</w:t>
      </w:r>
      <w:bookmarkStart w:id="273" w:name="_Hlk83281755"/>
      <w:r w:rsidRPr="001B7F77">
        <w:rPr>
          <w:rFonts w:eastAsia="Calibri"/>
          <w:color w:val="000000"/>
          <w:szCs w:val="24"/>
          <w:u w:val="single"/>
        </w:rPr>
        <w:t xml:space="preserve"> may be allowed to support code-listed gravity loads without testing or listing individual material properties</w:t>
      </w:r>
      <w:bookmarkEnd w:id="273"/>
      <w:r w:rsidRPr="001B7F77">
        <w:rPr>
          <w:rFonts w:eastAsia="Calibri"/>
          <w:color w:val="000000"/>
          <w:szCs w:val="24"/>
          <w:u w:val="single"/>
        </w:rPr>
        <w:t xml:space="preserve"> in accordance with the following:</w:t>
      </w:r>
    </w:p>
    <w:p w14:paraId="3A684337" w14:textId="77777777" w:rsidR="001B7F77" w:rsidRPr="001B7F77" w:rsidRDefault="001B7F77" w:rsidP="00FD2721">
      <w:pPr>
        <w:tabs>
          <w:tab w:val="left" w:pos="9270"/>
        </w:tabs>
        <w:spacing w:before="120"/>
        <w:ind w:left="720" w:right="54"/>
        <w:contextualSpacing/>
        <w:jc w:val="left"/>
        <w:rPr>
          <w:rFonts w:eastAsia="Calibri"/>
          <w:color w:val="000000"/>
          <w:szCs w:val="24"/>
        </w:rPr>
      </w:pPr>
      <w:r w:rsidRPr="001B7F77">
        <w:rPr>
          <w:rFonts w:eastAsia="Calibri"/>
          <w:color w:val="000000"/>
          <w:szCs w:val="24"/>
          <w:u w:val="single"/>
        </w:rPr>
        <w:t>w = (3CA</w:t>
      </w:r>
      <w:r w:rsidRPr="001B7F77">
        <w:rPr>
          <w:rFonts w:eastAsia="Calibri"/>
          <w:color w:val="000000"/>
          <w:szCs w:val="24"/>
          <w:u w:val="single"/>
          <w:vertAlign w:val="subscript"/>
        </w:rPr>
        <w:t>s</w:t>
      </w:r>
      <w:r w:rsidRPr="001B7F77">
        <w:rPr>
          <w:rFonts w:eastAsia="Calibri"/>
          <w:color w:val="000000"/>
          <w:szCs w:val="24"/>
          <w:u w:val="single"/>
        </w:rPr>
        <w:t>) / L²</w:t>
      </w:r>
    </w:p>
    <w:p w14:paraId="4CE77783" w14:textId="77777777" w:rsidR="001B7F77" w:rsidRPr="001B7F77" w:rsidRDefault="001B7F77" w:rsidP="00FD2721">
      <w:pPr>
        <w:tabs>
          <w:tab w:val="left" w:pos="9270"/>
        </w:tabs>
        <w:spacing w:before="120"/>
        <w:ind w:left="1440" w:right="54"/>
        <w:contextualSpacing/>
        <w:jc w:val="left"/>
        <w:rPr>
          <w:rFonts w:eastAsia="Calibri"/>
          <w:b/>
          <w:bCs/>
          <w:color w:val="000000"/>
          <w:szCs w:val="24"/>
          <w:u w:val="single"/>
        </w:rPr>
      </w:pPr>
      <w:r w:rsidRPr="001B7F77">
        <w:rPr>
          <w:rFonts w:eastAsia="Calibri"/>
          <w:b/>
          <w:bCs/>
          <w:color w:val="000000"/>
          <w:szCs w:val="24"/>
          <w:u w:val="single"/>
        </w:rPr>
        <w:t>(Equation H-1)</w:t>
      </w:r>
    </w:p>
    <w:p w14:paraId="66E0B0F5" w14:textId="77777777" w:rsidR="001B7F77" w:rsidRPr="001B7F77" w:rsidRDefault="001B7F77" w:rsidP="00FD2721">
      <w:pPr>
        <w:tabs>
          <w:tab w:val="left" w:pos="9270"/>
        </w:tabs>
        <w:spacing w:before="120"/>
        <w:ind w:left="720"/>
        <w:contextualSpacing/>
        <w:rPr>
          <w:rFonts w:eastAsia="Calibri"/>
          <w:color w:val="000000"/>
          <w:szCs w:val="24"/>
          <w:u w:val="single"/>
        </w:rPr>
      </w:pPr>
      <w:r w:rsidRPr="001B7F77">
        <w:rPr>
          <w:rFonts w:eastAsia="Calibri"/>
          <w:color w:val="000000"/>
          <w:szCs w:val="24"/>
          <w:u w:val="single"/>
        </w:rPr>
        <w:t xml:space="preserve">where: </w:t>
      </w:r>
    </w:p>
    <w:p w14:paraId="54F19513" w14:textId="77777777" w:rsidR="001B7F77" w:rsidRPr="001B7F77" w:rsidRDefault="001B7F77" w:rsidP="00FD2721">
      <w:pPr>
        <w:tabs>
          <w:tab w:val="left" w:pos="9270"/>
        </w:tabs>
        <w:spacing w:before="120"/>
        <w:ind w:left="720"/>
        <w:contextualSpacing/>
        <w:rPr>
          <w:rFonts w:eastAsia="Calibri"/>
          <w:color w:val="000000"/>
          <w:szCs w:val="24"/>
          <w:u w:val="single"/>
        </w:rPr>
      </w:pPr>
      <w:r w:rsidRPr="001B7F77">
        <w:rPr>
          <w:rFonts w:eastAsia="Calibri"/>
          <w:color w:val="000000"/>
          <w:szCs w:val="24"/>
          <w:u w:val="single"/>
        </w:rPr>
        <w:t>w is the allowable gross uniform load on the floor (psf).</w:t>
      </w:r>
    </w:p>
    <w:p w14:paraId="52F0CD39" w14:textId="77777777" w:rsidR="001B7F77" w:rsidRPr="001B7F77" w:rsidRDefault="001B7F77" w:rsidP="00FD2721">
      <w:pPr>
        <w:tabs>
          <w:tab w:val="left" w:pos="9270"/>
        </w:tabs>
        <w:spacing w:before="120"/>
        <w:ind w:left="720"/>
        <w:contextualSpacing/>
        <w:rPr>
          <w:rFonts w:eastAsia="Calibri"/>
          <w:color w:val="000000"/>
          <w:szCs w:val="24"/>
          <w:u w:val="single"/>
        </w:rPr>
      </w:pPr>
      <w:r w:rsidRPr="001B7F77">
        <w:rPr>
          <w:rFonts w:eastAsia="Calibri"/>
          <w:color w:val="000000"/>
          <w:szCs w:val="24"/>
          <w:u w:val="single"/>
        </w:rPr>
        <w:t>A</w:t>
      </w:r>
      <w:r w:rsidRPr="001B7F77">
        <w:rPr>
          <w:rFonts w:eastAsia="Calibri"/>
          <w:color w:val="000000"/>
          <w:szCs w:val="24"/>
          <w:u w:val="single"/>
          <w:vertAlign w:val="subscript"/>
        </w:rPr>
        <w:t>s</w:t>
      </w:r>
      <w:r w:rsidRPr="001B7F77">
        <w:rPr>
          <w:rFonts w:eastAsia="Calibri"/>
          <w:color w:val="000000"/>
          <w:szCs w:val="24"/>
          <w:u w:val="single"/>
        </w:rPr>
        <w:t xml:space="preserve"> is the cross-sectional area of the main reinforcement (in²/ft of slab width).</w:t>
      </w:r>
    </w:p>
    <w:p w14:paraId="7AFDDCF1" w14:textId="77777777" w:rsidR="001B7F77" w:rsidRPr="001B7F77" w:rsidRDefault="001B7F77" w:rsidP="00FD2721">
      <w:pPr>
        <w:tabs>
          <w:tab w:val="left" w:pos="9270"/>
        </w:tabs>
        <w:spacing w:before="120"/>
        <w:ind w:left="720"/>
        <w:contextualSpacing/>
        <w:rPr>
          <w:rFonts w:eastAsia="Calibri"/>
          <w:color w:val="000000"/>
          <w:szCs w:val="24"/>
          <w:u w:val="single"/>
        </w:rPr>
      </w:pPr>
      <w:r w:rsidRPr="001B7F77">
        <w:rPr>
          <w:rFonts w:eastAsia="Calibri"/>
          <w:color w:val="000000"/>
          <w:szCs w:val="24"/>
          <w:u w:val="single"/>
        </w:rPr>
        <w:t>L is the clear span between steel-beam flanges (ft).</w:t>
      </w:r>
    </w:p>
    <w:p w14:paraId="78121690" w14:textId="77777777" w:rsidR="001B7F77" w:rsidRPr="001B7F77" w:rsidRDefault="001B7F77" w:rsidP="00FD2721">
      <w:pPr>
        <w:tabs>
          <w:tab w:val="left" w:pos="9270"/>
        </w:tabs>
        <w:spacing w:before="120"/>
        <w:ind w:left="720"/>
        <w:contextualSpacing/>
        <w:rPr>
          <w:rFonts w:eastAsia="Calibri"/>
          <w:color w:val="000000"/>
          <w:szCs w:val="24"/>
          <w:u w:val="single"/>
        </w:rPr>
      </w:pPr>
      <w:r w:rsidRPr="001B7F77">
        <w:rPr>
          <w:rFonts w:eastAsia="Calibri"/>
          <w:color w:val="000000"/>
          <w:szCs w:val="24"/>
          <w:u w:val="single"/>
        </w:rPr>
        <w:t>C is a coefficient as set forth below in note b.</w:t>
      </w:r>
    </w:p>
    <w:p w14:paraId="68F88CD1" w14:textId="77777777" w:rsidR="001B7F77" w:rsidRPr="001B7F77" w:rsidRDefault="001B7F77" w:rsidP="00FD2721">
      <w:pPr>
        <w:tabs>
          <w:tab w:val="left" w:pos="9270"/>
        </w:tabs>
        <w:spacing w:before="120"/>
        <w:ind w:left="720"/>
        <w:contextualSpacing/>
        <w:rPr>
          <w:color w:val="000000"/>
          <w:szCs w:val="24"/>
          <w:u w:val="single"/>
        </w:rPr>
      </w:pPr>
      <w:r w:rsidRPr="001B7F77">
        <w:rPr>
          <w:rFonts w:eastAsia="Calibri"/>
          <w:color w:val="000000"/>
          <w:szCs w:val="24"/>
          <w:u w:val="single"/>
        </w:rPr>
        <w:t>Note b: C is 20,000 psi for lightweight concrete (including cinder concrete) with continuous reinforcing; 14,000 psi for lightweight concrete (including cinder concrete) with reinforcing hooked or attached at one or both supports; 23,000 psi for stone concrete with continuous reinforcing; 15,000 psi for stone concrete (with reinforcing hooked or attached at one or both supports).</w:t>
      </w:r>
    </w:p>
    <w:p w14:paraId="223F2D88" w14:textId="77777777" w:rsidR="001B7F77" w:rsidRPr="001B7F77" w:rsidRDefault="001B7F77" w:rsidP="00FD2721">
      <w:pPr>
        <w:tabs>
          <w:tab w:val="left" w:pos="9270"/>
        </w:tabs>
        <w:spacing w:before="120"/>
        <w:ind w:left="720"/>
        <w:contextualSpacing/>
        <w:rPr>
          <w:rFonts w:eastAsia="Calibri"/>
          <w:color w:val="000000"/>
          <w:szCs w:val="24"/>
          <w:u w:val="single"/>
        </w:rPr>
      </w:pPr>
      <w:r w:rsidRPr="001B7F77">
        <w:rPr>
          <w:rFonts w:eastAsia="Calibri"/>
          <w:color w:val="000000"/>
          <w:szCs w:val="24"/>
          <w:u w:val="single"/>
        </w:rPr>
        <w:t>L may not exceed 10 feet for gross floor load of 200 psf or less; L may not exceed 8 ft for gross floor load that exceeds 200 psf.</w:t>
      </w:r>
    </w:p>
    <w:p w14:paraId="6CC27AB1" w14:textId="77777777" w:rsidR="001B7F77" w:rsidRPr="001B7F77" w:rsidRDefault="001B7F77" w:rsidP="00FD2721">
      <w:pPr>
        <w:tabs>
          <w:tab w:val="left" w:pos="9270"/>
        </w:tabs>
        <w:spacing w:before="120"/>
        <w:ind w:left="720"/>
        <w:contextualSpacing/>
        <w:rPr>
          <w:rFonts w:eastAsia="Calibri"/>
          <w:color w:val="000000"/>
          <w:szCs w:val="24"/>
          <w:u w:val="single"/>
        </w:rPr>
      </w:pPr>
      <w:r w:rsidRPr="001B7F77">
        <w:rPr>
          <w:rFonts w:eastAsia="Calibri"/>
          <w:color w:val="000000"/>
          <w:szCs w:val="24"/>
          <w:u w:val="single"/>
        </w:rPr>
        <w:t xml:space="preserve">Reinforcing wire must have an ultimate stress of at least 55,000 psi. </w:t>
      </w:r>
    </w:p>
    <w:p w14:paraId="7BE9D2A8" w14:textId="77777777" w:rsidR="001B7F77" w:rsidRPr="001B7F77" w:rsidRDefault="001B7F77" w:rsidP="00FD2721">
      <w:pPr>
        <w:tabs>
          <w:tab w:val="left" w:pos="9270"/>
        </w:tabs>
        <w:spacing w:before="120"/>
        <w:ind w:left="720"/>
        <w:contextualSpacing/>
        <w:rPr>
          <w:color w:val="000000"/>
          <w:szCs w:val="24"/>
          <w:u w:val="single"/>
        </w:rPr>
      </w:pPr>
      <w:r w:rsidRPr="001B7F77">
        <w:rPr>
          <w:rFonts w:eastAsia="Calibri"/>
          <w:color w:val="000000"/>
          <w:szCs w:val="24"/>
          <w:u w:val="single"/>
        </w:rPr>
        <w:t>C may be increased by the ratio of the actual ultimate stress to 55,000 psi, up to a maximum 30 percent increase.</w:t>
      </w:r>
    </w:p>
    <w:bookmarkEnd w:id="272"/>
    <w:p w14:paraId="544368B2" w14:textId="77777777" w:rsidR="001B7F77" w:rsidRPr="001B7F77" w:rsidRDefault="001B7F77" w:rsidP="00FD2721">
      <w:pPr>
        <w:suppressAutoHyphens/>
        <w:spacing w:before="120"/>
        <w:ind w:left="720" w:firstLine="360"/>
        <w:rPr>
          <w:rFonts w:eastAsia="Calibri"/>
          <w:szCs w:val="24"/>
          <w:u w:val="single"/>
        </w:rPr>
      </w:pPr>
      <w:r w:rsidRPr="001B7F77">
        <w:rPr>
          <w:rFonts w:eastAsia="Calibri"/>
          <w:szCs w:val="24"/>
          <w:u w:val="single"/>
        </w:rPr>
        <w:t>Where the slabs have been exposed to water (at the roof or at areas with plumbing) or have been previously altered, the reinforcing shall be examined for deterioration or cuts that reduce continuity or anchorage. Steel beams in cinder concrete areas exposed to water shall be examined for loss of section. Drawings for new alterations shall include details to preserve continuity and anchorage.</w:t>
      </w:r>
    </w:p>
    <w:p w14:paraId="391463A2" w14:textId="77777777" w:rsidR="001B7F77" w:rsidRPr="001B7F77" w:rsidRDefault="001B7F77" w:rsidP="00FD2721">
      <w:pPr>
        <w:tabs>
          <w:tab w:val="left" w:pos="360"/>
          <w:tab w:val="left" w:pos="9270"/>
        </w:tabs>
        <w:spacing w:before="120"/>
        <w:ind w:left="360"/>
        <w:contextualSpacing/>
        <w:rPr>
          <w:color w:val="000000"/>
          <w:szCs w:val="24"/>
          <w:u w:val="single"/>
        </w:rPr>
      </w:pPr>
      <w:bookmarkStart w:id="274" w:name="_Hlk90385498"/>
      <w:r w:rsidRPr="001B7F77">
        <w:rPr>
          <w:rFonts w:eastAsia="Calibri"/>
          <w:b/>
          <w:bCs/>
          <w:color w:val="000000"/>
          <w:szCs w:val="24"/>
          <w:u w:val="single"/>
        </w:rPr>
        <w:t>H102.2.4 Proprietary reinforced concrete systems.</w:t>
      </w:r>
      <w:r w:rsidRPr="001B7F77">
        <w:rPr>
          <w:rFonts w:eastAsia="Calibri"/>
          <w:color w:val="000000"/>
          <w:szCs w:val="24"/>
          <w:u w:val="single"/>
        </w:rPr>
        <w:t xml:space="preserve"> Proprietary reinforced concrete systems with capacity listed in the drawings that were approved by the New York City Department of Buildings based on load testing</w:t>
      </w:r>
      <w:r w:rsidRPr="001B7F77">
        <w:rPr>
          <w:rFonts w:eastAsia="Calibri"/>
          <w:color w:val="000000"/>
          <w:szCs w:val="24"/>
        </w:rPr>
        <w:t xml:space="preserve"> </w:t>
      </w:r>
      <w:r w:rsidRPr="001B7F77">
        <w:rPr>
          <w:rFonts w:eastAsia="Calibri"/>
          <w:color w:val="000000"/>
          <w:szCs w:val="24"/>
          <w:u w:val="single"/>
        </w:rPr>
        <w:t>may be allowed to support code-listed gravity loads without testing or listing individual material properties.</w:t>
      </w:r>
    </w:p>
    <w:p w14:paraId="5E3F1810" w14:textId="77777777" w:rsidR="001B7F77" w:rsidRPr="001B7F77" w:rsidRDefault="001B7F77" w:rsidP="00FD2721">
      <w:pPr>
        <w:tabs>
          <w:tab w:val="left" w:pos="360"/>
          <w:tab w:val="left" w:pos="9270"/>
        </w:tabs>
        <w:suppressAutoHyphens/>
        <w:spacing w:before="120"/>
        <w:ind w:left="360"/>
        <w:rPr>
          <w:szCs w:val="24"/>
          <w:u w:val="single"/>
        </w:rPr>
      </w:pPr>
      <w:bookmarkStart w:id="275" w:name="_Hlk90024171"/>
      <w:bookmarkEnd w:id="274"/>
      <w:r w:rsidRPr="001B7F77">
        <w:rPr>
          <w:b/>
          <w:bCs/>
          <w:szCs w:val="24"/>
          <w:u w:val="single"/>
        </w:rPr>
        <w:t>H102.2.5 Proprietary floor and roof deck systems.</w:t>
      </w:r>
      <w:r w:rsidRPr="001B7F77">
        <w:rPr>
          <w:szCs w:val="24"/>
          <w:u w:val="single"/>
        </w:rPr>
        <w:t xml:space="preserve"> Proprietary floor and roof deck systems identified with prior approval by a New York City agency for use are not required to be strengthened provided alterations do not cause the sum of the live and dead loads to exceed the previously approved capacity limits.</w:t>
      </w:r>
      <w:r w:rsidRPr="001B7F77">
        <w:rPr>
          <w:szCs w:val="24"/>
        </w:rPr>
        <w:t xml:space="preserve"> </w:t>
      </w:r>
    </w:p>
    <w:bookmarkEnd w:id="275"/>
    <w:p w14:paraId="358B1254" w14:textId="77777777" w:rsidR="001B7F77" w:rsidRPr="001B7F77" w:rsidRDefault="001B7F77" w:rsidP="00FD2721">
      <w:pPr>
        <w:tabs>
          <w:tab w:val="left" w:pos="360"/>
          <w:tab w:val="left" w:pos="9270"/>
        </w:tabs>
        <w:suppressAutoHyphens/>
        <w:spacing w:before="120"/>
        <w:rPr>
          <w:rFonts w:eastAsia="Calibri"/>
          <w:szCs w:val="24"/>
          <w:u w:val="single"/>
        </w:rPr>
      </w:pPr>
      <w:r w:rsidRPr="001B7F77">
        <w:rPr>
          <w:b/>
          <w:bCs/>
          <w:szCs w:val="24"/>
          <w:u w:val="single"/>
        </w:rPr>
        <w:t>H102.3 Other systems.</w:t>
      </w:r>
      <w:r w:rsidRPr="001B7F77">
        <w:rPr>
          <w:szCs w:val="24"/>
          <w:u w:val="single"/>
        </w:rPr>
        <w:t xml:space="preserve"> </w:t>
      </w:r>
      <w:r w:rsidRPr="001B7F77">
        <w:rPr>
          <w:rFonts w:eastAsia="Calibri"/>
          <w:szCs w:val="24"/>
          <w:u w:val="single"/>
        </w:rPr>
        <w:t>O</w:t>
      </w:r>
      <w:r w:rsidRPr="001B7F77">
        <w:rPr>
          <w:szCs w:val="24"/>
          <w:u w:val="single"/>
        </w:rPr>
        <w:t>ther systems that have been used in New York shall be evaluated based on general engineering principles and investigations. Design references obtained from various sources, including but not limited to m</w:t>
      </w:r>
      <w:r w:rsidRPr="001B7F77">
        <w:rPr>
          <w:rFonts w:eastAsia="Calibri"/>
          <w:szCs w:val="24"/>
          <w:u w:val="single"/>
        </w:rPr>
        <w:t>anufacturer’s literature, published manuals, and previous codes are permitted to be used for reference for systems and construction techniques described in Sections H102.3.1 through H102.3.15.</w:t>
      </w:r>
    </w:p>
    <w:p w14:paraId="334AE54D" w14:textId="77777777" w:rsidR="001B7F77" w:rsidRPr="001B7F77" w:rsidRDefault="001B7F77" w:rsidP="00FD2721">
      <w:pPr>
        <w:tabs>
          <w:tab w:val="left" w:pos="360"/>
          <w:tab w:val="left" w:pos="9270"/>
        </w:tabs>
        <w:suppressAutoHyphens/>
        <w:spacing w:before="120"/>
        <w:ind w:left="360"/>
        <w:rPr>
          <w:rFonts w:eastAsia="Calibri"/>
          <w:szCs w:val="24"/>
          <w:u w:val="single"/>
        </w:rPr>
      </w:pPr>
      <w:r w:rsidRPr="001B7F77">
        <w:rPr>
          <w:b/>
          <w:bCs/>
          <w:szCs w:val="24"/>
          <w:u w:val="single"/>
        </w:rPr>
        <w:t>H102.3.1 Open web joists.</w:t>
      </w:r>
      <w:r w:rsidRPr="001B7F77">
        <w:rPr>
          <w:szCs w:val="24"/>
          <w:u w:val="single"/>
        </w:rPr>
        <w:t xml:space="preserve"> Open web joists </w:t>
      </w:r>
      <w:r w:rsidRPr="001B7F77">
        <w:rPr>
          <w:rFonts w:eastAsia="Calibri"/>
          <w:szCs w:val="24"/>
          <w:u w:val="single"/>
        </w:rPr>
        <w:t>that predate Steel Joist Institute standards issued in 1928 shall be analyzed as steel trusses.</w:t>
      </w:r>
    </w:p>
    <w:p w14:paraId="5B4B8B12" w14:textId="77777777" w:rsidR="001B7F77" w:rsidRPr="001B7F77" w:rsidRDefault="001B7F77" w:rsidP="00FD2721">
      <w:pPr>
        <w:tabs>
          <w:tab w:val="left" w:pos="360"/>
          <w:tab w:val="left" w:pos="9270"/>
        </w:tabs>
        <w:suppressAutoHyphens/>
        <w:spacing w:before="120"/>
        <w:ind w:left="360"/>
        <w:rPr>
          <w:szCs w:val="24"/>
          <w:u w:val="single"/>
        </w:rPr>
      </w:pPr>
      <w:r w:rsidRPr="001B7F77">
        <w:rPr>
          <w:b/>
          <w:bCs/>
          <w:szCs w:val="24"/>
          <w:u w:val="single"/>
        </w:rPr>
        <w:t>H102.3.2 Buildings with relieving walls.</w:t>
      </w:r>
      <w:r w:rsidRPr="001B7F77">
        <w:rPr>
          <w:szCs w:val="24"/>
          <w:u w:val="single"/>
        </w:rPr>
        <w:t xml:space="preserve"> In </w:t>
      </w:r>
      <w:r w:rsidRPr="001B7F77">
        <w:rPr>
          <w:rFonts w:eastAsia="Calibri"/>
          <w:szCs w:val="24"/>
          <w:u w:val="single"/>
        </w:rPr>
        <w:t>masonry</w:t>
      </w:r>
      <w:r w:rsidRPr="001B7F77">
        <w:rPr>
          <w:szCs w:val="24"/>
          <w:u w:val="single"/>
        </w:rPr>
        <w:t xml:space="preserve"> bearing wall buildings where wood-joist floors are carried above and connected by wood-stud walls parallel to the masonry bearing walls, the contribution of such relieving walls to floor and roof support </w:t>
      </w:r>
      <w:r w:rsidRPr="001B7F77">
        <w:rPr>
          <w:rFonts w:eastAsia="Calibri"/>
          <w:szCs w:val="24"/>
          <w:u w:val="single"/>
        </w:rPr>
        <w:t>shall</w:t>
      </w:r>
      <w:r w:rsidRPr="001B7F77">
        <w:rPr>
          <w:szCs w:val="24"/>
          <w:u w:val="single"/>
        </w:rPr>
        <w:t xml:space="preserve"> be considered when designing alterations. The relieving walls shall be analyzed as wood bearing walls per this Code and shall not be removed without providing other adequate supports to the floors.</w:t>
      </w:r>
    </w:p>
    <w:p w14:paraId="7C23120B" w14:textId="77777777" w:rsidR="001B7F77" w:rsidRPr="001B7F77" w:rsidRDefault="001B7F77" w:rsidP="00FD2721">
      <w:pPr>
        <w:tabs>
          <w:tab w:val="left" w:pos="360"/>
          <w:tab w:val="left" w:pos="9270"/>
        </w:tabs>
        <w:suppressAutoHyphens/>
        <w:spacing w:before="120"/>
        <w:ind w:left="360"/>
        <w:rPr>
          <w:rFonts w:eastAsia="Calibri"/>
          <w:szCs w:val="24"/>
          <w:u w:val="single"/>
        </w:rPr>
      </w:pPr>
      <w:r w:rsidRPr="001B7F77">
        <w:rPr>
          <w:b/>
          <w:bCs/>
          <w:szCs w:val="24"/>
          <w:u w:val="single"/>
        </w:rPr>
        <w:t>H102.3.3 Bowstring trusses.</w:t>
      </w:r>
      <w:r w:rsidRPr="001B7F77">
        <w:rPr>
          <w:szCs w:val="24"/>
          <w:u w:val="single"/>
        </w:rPr>
        <w:t xml:space="preserve"> Wood </w:t>
      </w:r>
      <w:r w:rsidRPr="001B7F77">
        <w:rPr>
          <w:rFonts w:eastAsia="Calibri"/>
          <w:szCs w:val="24"/>
          <w:u w:val="single"/>
        </w:rPr>
        <w:t>trusses</w:t>
      </w:r>
      <w:r w:rsidRPr="001B7F77">
        <w:rPr>
          <w:szCs w:val="24"/>
          <w:u w:val="single"/>
        </w:rPr>
        <w:t xml:space="preserve"> made from lightweight members, typically nominal or true 2-inch members, with </w:t>
      </w:r>
      <w:r w:rsidRPr="001B7F77">
        <w:rPr>
          <w:rFonts w:eastAsia="Calibri"/>
          <w:szCs w:val="24"/>
          <w:u w:val="single"/>
        </w:rPr>
        <w:t>straight</w:t>
      </w:r>
      <w:r w:rsidRPr="001B7F77">
        <w:rPr>
          <w:szCs w:val="24"/>
          <w:u w:val="single"/>
        </w:rPr>
        <w:t xml:space="preserve"> lower chords, arched upper chords and lattice or diagonal web members, were </w:t>
      </w:r>
      <w:r w:rsidRPr="001B7F77">
        <w:rPr>
          <w:rFonts w:eastAsia="Calibri"/>
          <w:szCs w:val="24"/>
          <w:u w:val="single"/>
        </w:rPr>
        <w:t>typically</w:t>
      </w:r>
      <w:r w:rsidRPr="001B7F77">
        <w:rPr>
          <w:szCs w:val="24"/>
          <w:u w:val="single"/>
        </w:rPr>
        <w:t xml:space="preserve"> constructed between 1900 and the 1960. Where repairs or alterations involve bowstring trusses, the wood species and grade shall be identified, and the capacity of the truss shall be re-evaluated using material tensile capacity from current standards. The presence of lateral bracing, end conditions, splices within chords and end connections between chords at supports shall be </w:t>
      </w:r>
      <w:r w:rsidRPr="001B7F77">
        <w:rPr>
          <w:rFonts w:eastAsia="Calibri"/>
          <w:szCs w:val="24"/>
          <w:u w:val="single"/>
        </w:rPr>
        <w:t>determined when performing any condition assessment.</w:t>
      </w:r>
    </w:p>
    <w:p w14:paraId="68782E66" w14:textId="77777777" w:rsidR="001B7F77" w:rsidRPr="001B7F77" w:rsidRDefault="001B7F77" w:rsidP="00FD2721">
      <w:pPr>
        <w:tabs>
          <w:tab w:val="left" w:pos="9270"/>
        </w:tabs>
        <w:suppressAutoHyphens/>
        <w:spacing w:before="120"/>
        <w:ind w:left="720"/>
        <w:rPr>
          <w:szCs w:val="24"/>
        </w:rPr>
      </w:pPr>
      <w:r w:rsidRPr="001B7F77">
        <w:rPr>
          <w:rFonts w:eastAsia="Calibri"/>
          <w:b/>
          <w:bCs/>
          <w:szCs w:val="24"/>
          <w:u w:val="single"/>
        </w:rPr>
        <w:t>Exception:</w:t>
      </w:r>
      <w:r w:rsidRPr="001B7F77">
        <w:rPr>
          <w:rFonts w:eastAsia="Calibri"/>
          <w:szCs w:val="24"/>
          <w:u w:val="single"/>
        </w:rPr>
        <w:t xml:space="preserve"> </w:t>
      </w:r>
      <w:r w:rsidRPr="001B7F77">
        <w:rPr>
          <w:szCs w:val="24"/>
          <w:u w:val="single"/>
        </w:rPr>
        <w:t>Where bowstring trusses have been previously evaluated and reports accepted by the Department, the tension demand-capacity ratio of bottom chord and web members need not be re-evaluated as long as no new loads are added to the truss.</w:t>
      </w:r>
    </w:p>
    <w:p w14:paraId="6598E960" w14:textId="77777777" w:rsidR="001B7F77" w:rsidRPr="001B7F77" w:rsidRDefault="001B7F77" w:rsidP="00FD2721">
      <w:pPr>
        <w:tabs>
          <w:tab w:val="left" w:pos="9270"/>
        </w:tabs>
        <w:suppressAutoHyphens/>
        <w:spacing w:before="120"/>
        <w:ind w:left="360"/>
        <w:rPr>
          <w:szCs w:val="24"/>
          <w:u w:val="single"/>
        </w:rPr>
      </w:pPr>
      <w:bookmarkStart w:id="276" w:name="_Hlk90025138"/>
      <w:r w:rsidRPr="001B7F77">
        <w:rPr>
          <w:b/>
          <w:bCs/>
          <w:szCs w:val="24"/>
          <w:u w:val="single"/>
        </w:rPr>
        <w:t>H102.3.4 Cast iron columns.</w:t>
      </w:r>
      <w:r w:rsidRPr="001B7F77">
        <w:rPr>
          <w:szCs w:val="24"/>
          <w:u w:val="single"/>
        </w:rPr>
        <w:t xml:space="preserve"> Alterations involving cast iron columns shall comply with the following items:</w:t>
      </w:r>
    </w:p>
    <w:p w14:paraId="363DFE6A" w14:textId="77777777" w:rsidR="001B7F77" w:rsidRPr="001B7F77" w:rsidRDefault="001B7F77" w:rsidP="00FD2721">
      <w:pPr>
        <w:tabs>
          <w:tab w:val="left" w:pos="9270"/>
        </w:tabs>
        <w:suppressAutoHyphens/>
        <w:spacing w:before="120"/>
        <w:ind w:left="1080" w:hanging="360"/>
        <w:rPr>
          <w:szCs w:val="24"/>
          <w:u w:val="single"/>
        </w:rPr>
      </w:pPr>
      <w:r w:rsidRPr="001B7F77">
        <w:rPr>
          <w:szCs w:val="24"/>
          <w:u w:val="single"/>
        </w:rPr>
        <w:t>1.</w:t>
      </w:r>
      <w:r w:rsidRPr="001B7F77">
        <w:rPr>
          <w:szCs w:val="24"/>
          <w:u w:val="single"/>
        </w:rPr>
        <w:tab/>
        <w:t xml:space="preserve">Cast iron columns and supported framing shall not be altered so as to create eccentricity </w:t>
      </w:r>
      <w:r w:rsidRPr="001B7F77">
        <w:rPr>
          <w:rFonts w:eastAsia="Calibri"/>
          <w:szCs w:val="24"/>
          <w:u w:val="single"/>
        </w:rPr>
        <w:t>that</w:t>
      </w:r>
      <w:r w:rsidRPr="001B7F77">
        <w:rPr>
          <w:szCs w:val="24"/>
          <w:u w:val="single"/>
        </w:rPr>
        <w:t xml:space="preserve"> causes net tension or increases existing net tension in the shaft of the column. Cast iron columns shall not be used to resist shear or bending due to wind and seismic loads.</w:t>
      </w:r>
    </w:p>
    <w:p w14:paraId="0355E9A0" w14:textId="77777777" w:rsidR="001B7F77" w:rsidRPr="001B7F77" w:rsidRDefault="001B7F77" w:rsidP="00FD2721">
      <w:pPr>
        <w:tabs>
          <w:tab w:val="left" w:pos="9270"/>
        </w:tabs>
        <w:suppressAutoHyphens/>
        <w:spacing w:before="120"/>
        <w:ind w:left="1080" w:hanging="360"/>
        <w:rPr>
          <w:szCs w:val="24"/>
          <w:u w:val="single"/>
        </w:rPr>
      </w:pPr>
      <w:r w:rsidRPr="001B7F77">
        <w:rPr>
          <w:szCs w:val="24"/>
          <w:u w:val="single"/>
        </w:rPr>
        <w:t>2.</w:t>
      </w:r>
      <w:r w:rsidRPr="001B7F77">
        <w:rPr>
          <w:szCs w:val="24"/>
          <w:u w:val="single"/>
        </w:rPr>
        <w:tab/>
        <w:t>Data from coupon testing of cast iron shall not be used as the basis for general design strength. See Section H103.3.</w:t>
      </w:r>
    </w:p>
    <w:p w14:paraId="11F04CAF" w14:textId="77777777" w:rsidR="001B7F77" w:rsidRPr="001B7F77" w:rsidRDefault="001B7F77" w:rsidP="00FD2721">
      <w:pPr>
        <w:tabs>
          <w:tab w:val="left" w:pos="9270"/>
        </w:tabs>
        <w:suppressAutoHyphens/>
        <w:spacing w:before="120"/>
        <w:ind w:left="1080" w:hanging="360"/>
        <w:rPr>
          <w:color w:val="000000"/>
          <w:szCs w:val="24"/>
          <w:u w:val="single"/>
        </w:rPr>
      </w:pPr>
      <w:r w:rsidRPr="001B7F77">
        <w:rPr>
          <w:szCs w:val="24"/>
          <w:u w:val="single"/>
        </w:rPr>
        <w:t>3.</w:t>
      </w:r>
      <w:r w:rsidRPr="001B7F77">
        <w:rPr>
          <w:szCs w:val="24"/>
          <w:u w:val="single"/>
        </w:rPr>
        <w:tab/>
        <w:t>Structural cast iron shall not be welded.</w:t>
      </w:r>
    </w:p>
    <w:bookmarkEnd w:id="276"/>
    <w:p w14:paraId="4ABA99D5" w14:textId="77777777" w:rsidR="001B7F77" w:rsidRPr="001B7F77" w:rsidRDefault="001B7F77" w:rsidP="00FD2721">
      <w:pPr>
        <w:tabs>
          <w:tab w:val="left" w:pos="360"/>
          <w:tab w:val="left" w:pos="9270"/>
        </w:tabs>
        <w:suppressAutoHyphens/>
        <w:spacing w:before="120"/>
        <w:ind w:left="360"/>
        <w:rPr>
          <w:rFonts w:eastAsia="Calibri"/>
          <w:szCs w:val="24"/>
          <w:u w:val="single"/>
        </w:rPr>
      </w:pPr>
      <w:r w:rsidRPr="001B7F77">
        <w:rPr>
          <w:b/>
          <w:bCs/>
          <w:szCs w:val="24"/>
          <w:u w:val="single"/>
        </w:rPr>
        <w:t>H102.3.5 Early reinforced concrete.</w:t>
      </w:r>
      <w:r w:rsidRPr="001B7F77">
        <w:rPr>
          <w:szCs w:val="24"/>
          <w:u w:val="single"/>
        </w:rPr>
        <w:t xml:space="preserve"> Reinforced-concrete structure </w:t>
      </w:r>
      <w:r w:rsidRPr="001B7F77">
        <w:rPr>
          <w:rFonts w:eastAsia="Calibri"/>
          <w:szCs w:val="24"/>
          <w:u w:val="single"/>
        </w:rPr>
        <w:t>constructed</w:t>
      </w:r>
      <w:r w:rsidRPr="001B7F77">
        <w:rPr>
          <w:szCs w:val="24"/>
          <w:u w:val="single"/>
        </w:rPr>
        <w:t xml:space="preserve"> before 1941 may have designs that are not recognized by current code, including beams without stirrups or columns without lateral or vertical reinforcing. </w:t>
      </w:r>
      <w:r w:rsidRPr="001B7F77">
        <w:rPr>
          <w:rFonts w:eastAsia="Calibri"/>
          <w:szCs w:val="24"/>
          <w:u w:val="single"/>
        </w:rPr>
        <w:t>Analysis of such structures shall include the effects of reduced anchorage, shear capacity, and confinement.</w:t>
      </w:r>
    </w:p>
    <w:p w14:paraId="73AC6C6C" w14:textId="77777777" w:rsidR="001B7F77" w:rsidRPr="001B7F77" w:rsidRDefault="001B7F77" w:rsidP="00FD2721">
      <w:pPr>
        <w:tabs>
          <w:tab w:val="left" w:pos="360"/>
          <w:tab w:val="left" w:pos="9270"/>
        </w:tabs>
        <w:suppressAutoHyphens/>
        <w:spacing w:before="120"/>
        <w:ind w:left="360"/>
        <w:rPr>
          <w:szCs w:val="24"/>
          <w:u w:val="single"/>
        </w:rPr>
      </w:pPr>
      <w:r w:rsidRPr="001B7F77">
        <w:rPr>
          <w:b/>
          <w:bCs/>
          <w:szCs w:val="24"/>
          <w:u w:val="single"/>
        </w:rPr>
        <w:t>H102.3.6 Guastavino arch systems.</w:t>
      </w:r>
      <w:r w:rsidRPr="001B7F77">
        <w:rPr>
          <w:szCs w:val="24"/>
          <w:u w:val="single"/>
        </w:rPr>
        <w:t xml:space="preserve"> Arch and vault construction used for floors (see Section H102.2, Item 2), roofs, domes, and ceilings, composed of multiple layers of solid, flat, thin tiles set in thick mortar beds. Analysis of Guastavino structures shall </w:t>
      </w:r>
      <w:r w:rsidRPr="001B7F77">
        <w:rPr>
          <w:rFonts w:eastAsia="Calibri"/>
          <w:szCs w:val="24"/>
          <w:u w:val="single"/>
        </w:rPr>
        <w:t>u</w:t>
      </w:r>
      <w:r w:rsidRPr="001B7F77">
        <w:rPr>
          <w:szCs w:val="24"/>
          <w:u w:val="single"/>
        </w:rPr>
        <w:t>se thin-shell arch and vault methods.</w:t>
      </w:r>
    </w:p>
    <w:p w14:paraId="38C86897" w14:textId="77777777" w:rsidR="001B7F77" w:rsidRPr="001B7F77" w:rsidRDefault="001B7F77" w:rsidP="00FD2721">
      <w:pPr>
        <w:tabs>
          <w:tab w:val="left" w:pos="360"/>
          <w:tab w:val="left" w:pos="9270"/>
        </w:tabs>
        <w:suppressAutoHyphens/>
        <w:spacing w:before="120"/>
        <w:ind w:left="360"/>
        <w:rPr>
          <w:szCs w:val="24"/>
          <w:u w:val="single"/>
        </w:rPr>
      </w:pPr>
      <w:r w:rsidRPr="001B7F77">
        <w:rPr>
          <w:b/>
          <w:bCs/>
          <w:szCs w:val="24"/>
          <w:u w:val="single"/>
        </w:rPr>
        <w:t>H102.3</w:t>
      </w:r>
      <w:r w:rsidRPr="001B7F77">
        <w:rPr>
          <w:rFonts w:eastAsia="Calibri"/>
          <w:b/>
          <w:bCs/>
          <w:szCs w:val="24"/>
          <w:u w:val="single"/>
        </w:rPr>
        <w:t>.7</w:t>
      </w:r>
      <w:r w:rsidRPr="001B7F77">
        <w:rPr>
          <w:b/>
          <w:bCs/>
          <w:szCs w:val="24"/>
          <w:u w:val="single"/>
        </w:rPr>
        <w:t xml:space="preserve"> Gypsum decks.</w:t>
      </w:r>
      <w:r w:rsidRPr="001B7F77">
        <w:rPr>
          <w:szCs w:val="24"/>
          <w:u w:val="single"/>
        </w:rPr>
        <w:t xml:space="preserve"> Poured in place gypsum floor and roof decks utilize draped reinforcing mesh spanning over steel bulb tees supported by steel joist or wood framing members. Analysis shall use original manufacturer's design data or catenary formulas based on field-measured reinforcing.</w:t>
      </w:r>
    </w:p>
    <w:p w14:paraId="7B613E58" w14:textId="77777777" w:rsidR="001B7F77" w:rsidRPr="001B7F77" w:rsidRDefault="001B7F77" w:rsidP="00FD2721">
      <w:pPr>
        <w:tabs>
          <w:tab w:val="left" w:pos="360"/>
          <w:tab w:val="left" w:pos="9270"/>
        </w:tabs>
        <w:suppressAutoHyphens/>
        <w:spacing w:before="120"/>
        <w:ind w:left="360"/>
        <w:rPr>
          <w:szCs w:val="24"/>
          <w:u w:val="single"/>
        </w:rPr>
      </w:pPr>
      <w:r w:rsidRPr="001B7F77">
        <w:rPr>
          <w:b/>
          <w:bCs/>
          <w:szCs w:val="24"/>
          <w:u w:val="single"/>
        </w:rPr>
        <w:t xml:space="preserve">H102.3.8 Nogging walls. </w:t>
      </w:r>
      <w:r w:rsidRPr="001B7F77">
        <w:rPr>
          <w:szCs w:val="24"/>
          <w:u w:val="single"/>
        </w:rPr>
        <w:t xml:space="preserve">Wood-framed bearing walls with brick </w:t>
      </w:r>
      <w:r w:rsidRPr="001B7F77">
        <w:rPr>
          <w:rFonts w:eastAsia="Calibri"/>
          <w:szCs w:val="24"/>
          <w:u w:val="single"/>
        </w:rPr>
        <w:t>placed</w:t>
      </w:r>
      <w:r w:rsidRPr="001B7F77">
        <w:rPr>
          <w:szCs w:val="24"/>
          <w:u w:val="single"/>
        </w:rPr>
        <w:t xml:space="preserve"> between wood studs or timbers as insulation or fireproofing shall be analyzed as wood-frame buildings under this code. Brick between studs shall not be considered structural but, unless replaced with material of sufficient fire resistance, shall be preserved as fire separation, including repairs to the mortar if needed.</w:t>
      </w:r>
    </w:p>
    <w:p w14:paraId="5CA1BFD6" w14:textId="77777777" w:rsidR="001B7F77" w:rsidRPr="001B7F77" w:rsidRDefault="001B7F77" w:rsidP="00FD2721">
      <w:pPr>
        <w:tabs>
          <w:tab w:val="left" w:pos="360"/>
          <w:tab w:val="left" w:pos="9270"/>
        </w:tabs>
        <w:suppressAutoHyphens/>
        <w:spacing w:before="120"/>
        <w:ind w:left="360"/>
        <w:rPr>
          <w:szCs w:val="24"/>
          <w:u w:val="single"/>
        </w:rPr>
      </w:pPr>
      <w:r w:rsidRPr="001B7F77">
        <w:rPr>
          <w:b/>
          <w:bCs/>
          <w:szCs w:val="24"/>
          <w:u w:val="single"/>
        </w:rPr>
        <w:t>H102.3.9 Gypsum block partitions.</w:t>
      </w:r>
      <w:r w:rsidRPr="001B7F77">
        <w:rPr>
          <w:szCs w:val="24"/>
          <w:u w:val="single"/>
        </w:rPr>
        <w:t xml:space="preserve"> Lightweight gypsum unit masonry used for partitions, usually in fire-rated buildings. These partitions shall be laterally braced and shall not be used to support any gravity load </w:t>
      </w:r>
      <w:r w:rsidRPr="001B7F77">
        <w:rPr>
          <w:rFonts w:eastAsia="Calibri"/>
          <w:szCs w:val="24"/>
          <w:u w:val="single"/>
        </w:rPr>
        <w:t>other</w:t>
      </w:r>
      <w:r w:rsidRPr="001B7F77">
        <w:rPr>
          <w:szCs w:val="24"/>
          <w:u w:val="single"/>
        </w:rPr>
        <w:t xml:space="preserve"> than self-weight. Alterations shall maintain existing fire separation requirements of these partitions.</w:t>
      </w:r>
    </w:p>
    <w:p w14:paraId="444956F9" w14:textId="77777777" w:rsidR="001B7F77" w:rsidRPr="001B7F77" w:rsidRDefault="001B7F77" w:rsidP="00FD2721">
      <w:pPr>
        <w:tabs>
          <w:tab w:val="left" w:pos="360"/>
          <w:tab w:val="left" w:pos="9270"/>
        </w:tabs>
        <w:suppressAutoHyphens/>
        <w:spacing w:before="120"/>
        <w:ind w:left="360"/>
        <w:rPr>
          <w:color w:val="000000"/>
          <w:szCs w:val="24"/>
          <w:u w:val="single"/>
        </w:rPr>
      </w:pPr>
      <w:bookmarkStart w:id="277" w:name="_Hlk90540332"/>
      <w:r w:rsidRPr="001B7F77">
        <w:rPr>
          <w:b/>
          <w:bCs/>
          <w:szCs w:val="24"/>
          <w:u w:val="single"/>
        </w:rPr>
        <w:t>H102.3.10 Structural clay tile and terra cotta partitions.</w:t>
      </w:r>
      <w:r w:rsidRPr="001B7F77">
        <w:rPr>
          <w:szCs w:val="24"/>
          <w:u w:val="single"/>
        </w:rPr>
        <w:t xml:space="preserve"> Lightweight unit masonry used for partitions, usually in fire-rated buildings. These partitions shall be laterally braced and may be loadbearing or nonload-bearing. Alterations shall maintain existing fire separation requirements of these partitions.</w:t>
      </w:r>
    </w:p>
    <w:bookmarkEnd w:id="277"/>
    <w:p w14:paraId="4C9A6D51" w14:textId="77777777" w:rsidR="001B7F77" w:rsidRPr="001B7F77" w:rsidRDefault="001B7F77" w:rsidP="00FD2721">
      <w:pPr>
        <w:tabs>
          <w:tab w:val="left" w:pos="360"/>
          <w:tab w:val="left" w:pos="9270"/>
        </w:tabs>
        <w:suppressAutoHyphens/>
        <w:spacing w:before="120"/>
        <w:ind w:left="360"/>
        <w:rPr>
          <w:szCs w:val="24"/>
          <w:u w:val="single"/>
        </w:rPr>
      </w:pPr>
      <w:r w:rsidRPr="001B7F77">
        <w:rPr>
          <w:b/>
          <w:bCs/>
          <w:szCs w:val="24"/>
          <w:u w:val="single"/>
        </w:rPr>
        <w:t>H102.3.11 Reverse arch masonry foundations.</w:t>
      </w:r>
      <w:r w:rsidRPr="001B7F77">
        <w:rPr>
          <w:szCs w:val="24"/>
          <w:u w:val="single"/>
        </w:rPr>
        <w:t xml:space="preserve"> Strip footings consisting of inverted </w:t>
      </w:r>
      <w:r w:rsidRPr="001B7F77">
        <w:rPr>
          <w:rFonts w:eastAsia="Calibri"/>
          <w:szCs w:val="24"/>
          <w:u w:val="single"/>
        </w:rPr>
        <w:t>masonry</w:t>
      </w:r>
      <w:r w:rsidRPr="001B7F77">
        <w:rPr>
          <w:szCs w:val="24"/>
          <w:u w:val="single"/>
        </w:rPr>
        <w:t xml:space="preserve"> arches supporting individual columns or piers. Where alterations to the structure above change the differential loading between adjacent columns or piers, the effect on the arches shall be analyzed. The arches shall not be altered in a manner that reduces their continuity unless an alternate load path is provided.</w:t>
      </w:r>
    </w:p>
    <w:p w14:paraId="5B60949D" w14:textId="77777777" w:rsidR="001B7F77" w:rsidRPr="001B7F77" w:rsidRDefault="001B7F77" w:rsidP="00FD2721">
      <w:pPr>
        <w:tabs>
          <w:tab w:val="left" w:pos="360"/>
          <w:tab w:val="left" w:pos="9270"/>
        </w:tabs>
        <w:suppressAutoHyphens/>
        <w:spacing w:before="120"/>
        <w:ind w:left="360"/>
        <w:rPr>
          <w:szCs w:val="24"/>
          <w:u w:val="single"/>
        </w:rPr>
      </w:pPr>
      <w:r w:rsidRPr="001B7F77">
        <w:rPr>
          <w:b/>
          <w:bCs/>
          <w:szCs w:val="24"/>
          <w:u w:val="single"/>
        </w:rPr>
        <w:t>H102.3.12 Stone structural elements.</w:t>
      </w:r>
      <w:r w:rsidRPr="001B7F77">
        <w:rPr>
          <w:szCs w:val="24"/>
          <w:u w:val="single"/>
        </w:rPr>
        <w:t xml:space="preserve"> Where members of natural stone used as arches, beams, slabs, walls, or foundation elements are subject to an alteration, their carrying capacity shall be evaluated using ASTM standards for stone. The type of stone and flaws (inclusions, veining, and non-isotropic properties) shall be considered in the analysis.</w:t>
      </w:r>
    </w:p>
    <w:p w14:paraId="23324339" w14:textId="77777777" w:rsidR="001B7F77" w:rsidRPr="001B7F77" w:rsidRDefault="001B7F77" w:rsidP="00FD2721">
      <w:pPr>
        <w:tabs>
          <w:tab w:val="left" w:pos="360"/>
          <w:tab w:val="left" w:pos="9270"/>
        </w:tabs>
        <w:suppressAutoHyphens/>
        <w:spacing w:before="120"/>
        <w:ind w:left="360"/>
        <w:rPr>
          <w:rFonts w:eastAsia="Calibri"/>
          <w:szCs w:val="24"/>
          <w:u w:val="single"/>
        </w:rPr>
      </w:pPr>
      <w:r w:rsidRPr="001B7F77">
        <w:rPr>
          <w:b/>
          <w:bCs/>
          <w:szCs w:val="24"/>
          <w:u w:val="single"/>
        </w:rPr>
        <w:t>H102.3.13</w:t>
      </w:r>
      <w:r w:rsidRPr="001B7F77">
        <w:rPr>
          <w:szCs w:val="24"/>
          <w:u w:val="single"/>
        </w:rPr>
        <w:t xml:space="preserve"> </w:t>
      </w:r>
      <w:r w:rsidRPr="001B7F77">
        <w:rPr>
          <w:b/>
          <w:bCs/>
          <w:szCs w:val="24"/>
          <w:u w:val="single"/>
        </w:rPr>
        <w:t xml:space="preserve">Tongue and groove wood diaphragms. </w:t>
      </w:r>
      <w:r w:rsidRPr="001B7F77">
        <w:rPr>
          <w:szCs w:val="24"/>
          <w:u w:val="single"/>
        </w:rPr>
        <w:t xml:space="preserve">Tongue and groove wood diaphragms shall be </w:t>
      </w:r>
      <w:r w:rsidRPr="001B7F77">
        <w:rPr>
          <w:rFonts w:eastAsia="Calibri"/>
          <w:szCs w:val="24"/>
          <w:u w:val="single"/>
        </w:rPr>
        <w:t xml:space="preserve">analyzed for lateral load </w:t>
      </w:r>
      <w:r w:rsidRPr="001B7F77">
        <w:rPr>
          <w:szCs w:val="24"/>
          <w:u w:val="single"/>
        </w:rPr>
        <w:t xml:space="preserve">as lumber diaphragms in accordance with the </w:t>
      </w:r>
      <w:r w:rsidRPr="001B7F77">
        <w:rPr>
          <w:rFonts w:eastAsia="Calibri"/>
          <w:szCs w:val="24"/>
          <w:u w:val="single"/>
        </w:rPr>
        <w:t>“Special Design Provisions for Wind &amp; Seismic” set forth in the National Design Specification for Wood Construction.</w:t>
      </w:r>
    </w:p>
    <w:p w14:paraId="5A49A2AB" w14:textId="77777777" w:rsidR="001B7F77" w:rsidRPr="001B7F77" w:rsidRDefault="001B7F77" w:rsidP="00FD2721">
      <w:pPr>
        <w:tabs>
          <w:tab w:val="left" w:pos="360"/>
          <w:tab w:val="left" w:pos="9270"/>
        </w:tabs>
        <w:suppressAutoHyphens/>
        <w:spacing w:before="120"/>
        <w:ind w:left="360"/>
        <w:rPr>
          <w:szCs w:val="24"/>
          <w:u w:val="single"/>
        </w:rPr>
      </w:pPr>
      <w:bookmarkStart w:id="278" w:name="_Hlk108001673"/>
      <w:r w:rsidRPr="001B7F77">
        <w:rPr>
          <w:b/>
          <w:bCs/>
          <w:szCs w:val="24"/>
          <w:u w:val="single"/>
        </w:rPr>
        <w:t>H102.3.14</w:t>
      </w:r>
      <w:r w:rsidRPr="001B7F77">
        <w:rPr>
          <w:szCs w:val="24"/>
          <w:u w:val="single"/>
        </w:rPr>
        <w:t xml:space="preserve"> </w:t>
      </w:r>
      <w:r w:rsidRPr="001B7F77">
        <w:rPr>
          <w:b/>
          <w:bCs/>
          <w:szCs w:val="24"/>
          <w:u w:val="single"/>
        </w:rPr>
        <w:t>Rubble masonry.</w:t>
      </w:r>
      <w:r w:rsidRPr="001B7F77">
        <w:rPr>
          <w:szCs w:val="24"/>
          <w:u w:val="single"/>
        </w:rPr>
        <w:t xml:space="preserve"> Allowable compressive stress on masonry and foundation wall construction using irregularly shaped and random-sized stones shall be according to Table </w:t>
      </w:r>
      <w:r w:rsidRPr="001B7F77">
        <w:rPr>
          <w:rFonts w:eastAsia="Calibri"/>
          <w:szCs w:val="24"/>
          <w:u w:val="single"/>
        </w:rPr>
        <w:t xml:space="preserve">H103.5, </w:t>
      </w:r>
      <w:r w:rsidRPr="001B7F77">
        <w:rPr>
          <w:szCs w:val="24"/>
          <w:u w:val="single"/>
        </w:rPr>
        <w:t xml:space="preserve">provided the presence and condition of the mortar is satisfactory, that the mortar fills the voids between the stones and there is sufficient unweathered binder to maintain cohesion. </w:t>
      </w:r>
      <w:r w:rsidRPr="001B7F77">
        <w:rPr>
          <w:rFonts w:eastAsia="Calibri"/>
          <w:szCs w:val="24"/>
          <w:u w:val="single"/>
        </w:rPr>
        <w:t xml:space="preserve">The condition assessment </w:t>
      </w:r>
      <w:r w:rsidRPr="001B7F77">
        <w:rPr>
          <w:szCs w:val="24"/>
          <w:u w:val="single"/>
        </w:rPr>
        <w:t>of rubble walls shall include the condition of the mortar at the interior of the wall. Such assessment shall take into account that the mortar joints are wide and can be as much as 30% of the wall volume.</w:t>
      </w:r>
    </w:p>
    <w:bookmarkEnd w:id="278"/>
    <w:p w14:paraId="55F26677" w14:textId="77777777" w:rsidR="001B7F77" w:rsidRPr="001B7F77" w:rsidRDefault="001B7F77" w:rsidP="00FD2721">
      <w:pPr>
        <w:suppressAutoHyphens/>
        <w:spacing w:before="120"/>
        <w:ind w:left="360"/>
        <w:rPr>
          <w:u w:val="single"/>
        </w:rPr>
      </w:pPr>
      <w:r w:rsidRPr="001B7F77">
        <w:rPr>
          <w:b/>
          <w:bCs/>
          <w:szCs w:val="24"/>
          <w:u w:val="single"/>
        </w:rPr>
        <w:t>H102.3.15 Post-installed anchors.</w:t>
      </w:r>
      <w:r w:rsidRPr="001B7F77">
        <w:rPr>
          <w:szCs w:val="24"/>
          <w:u w:val="single"/>
        </w:rPr>
        <w:t xml:space="preserve"> Anchors installed in the horizontal or upwardly inclined position when the anchors are supporting a sustained tension load shall not be used in floors composed of terra cotta, gypsum, or cinder concrete unless they pass the test procedure in Section 1709.3 of the </w:t>
      </w:r>
      <w:r w:rsidRPr="001B7F77">
        <w:rPr>
          <w:i/>
          <w:iCs/>
          <w:szCs w:val="24"/>
          <w:u w:val="single"/>
        </w:rPr>
        <w:t>New York City</w:t>
      </w:r>
      <w:r w:rsidRPr="001B7F77">
        <w:rPr>
          <w:i/>
          <w:iCs/>
          <w:u w:val="single"/>
        </w:rPr>
        <w:t xml:space="preserve"> Building Code</w:t>
      </w:r>
      <w:r w:rsidRPr="001B7F77">
        <w:rPr>
          <w:u w:val="single"/>
        </w:rPr>
        <w:t>.</w:t>
      </w:r>
    </w:p>
    <w:p w14:paraId="4F51D618" w14:textId="77777777" w:rsidR="001B7F77" w:rsidRPr="001B7F77" w:rsidRDefault="001B7F77" w:rsidP="00FD2721">
      <w:pPr>
        <w:widowControl w:val="0"/>
        <w:tabs>
          <w:tab w:val="left" w:pos="9270"/>
        </w:tabs>
        <w:suppressAutoHyphens/>
        <w:spacing w:before="120"/>
        <w:jc w:val="center"/>
        <w:outlineLvl w:val="0"/>
        <w:rPr>
          <w:b/>
          <w:bCs/>
          <w:u w:val="single"/>
        </w:rPr>
      </w:pPr>
    </w:p>
    <w:p w14:paraId="118F4205" w14:textId="77777777" w:rsidR="001B7F77" w:rsidRPr="001B7F77" w:rsidRDefault="001B7F77" w:rsidP="00FD2721">
      <w:pPr>
        <w:widowControl w:val="0"/>
        <w:tabs>
          <w:tab w:val="left" w:pos="9270"/>
        </w:tabs>
        <w:suppressAutoHyphens/>
        <w:spacing w:before="120"/>
        <w:jc w:val="center"/>
        <w:outlineLvl w:val="0"/>
        <w:rPr>
          <w:b/>
          <w:bCs/>
          <w:u w:val="single"/>
        </w:rPr>
      </w:pPr>
      <w:r w:rsidRPr="001B7F77">
        <w:rPr>
          <w:b/>
          <w:bCs/>
          <w:u w:val="single"/>
        </w:rPr>
        <w:t>SECTION EBC H103</w:t>
      </w:r>
      <w:r w:rsidRPr="001B7F77">
        <w:rPr>
          <w:b/>
          <w:bCs/>
          <w:u w:val="single"/>
        </w:rPr>
        <w:br/>
        <w:t>HISTORIC MATERIAL PROPERTIES</w:t>
      </w:r>
    </w:p>
    <w:p w14:paraId="3FE4717D" w14:textId="77777777" w:rsidR="001B7F77" w:rsidRPr="001B7F77" w:rsidRDefault="001B7F77" w:rsidP="00FD2721">
      <w:pPr>
        <w:tabs>
          <w:tab w:val="left" w:pos="9270"/>
        </w:tabs>
        <w:suppressAutoHyphens/>
        <w:spacing w:before="120"/>
        <w:ind w:right="54"/>
        <w:rPr>
          <w:bCs/>
          <w:u w:val="single"/>
        </w:rPr>
      </w:pPr>
      <w:r w:rsidRPr="001B7F77">
        <w:rPr>
          <w:b/>
          <w:bCs/>
          <w:u w:val="single"/>
        </w:rPr>
        <w:t xml:space="preserve">H103.1 Historic material properties. </w:t>
      </w:r>
      <w:r w:rsidRPr="001B7F77">
        <w:rPr>
          <w:u w:val="single"/>
        </w:rPr>
        <w:t>Historic</w:t>
      </w:r>
      <w:r w:rsidRPr="001B7F77">
        <w:rPr>
          <w:b/>
          <w:bCs/>
          <w:u w:val="single"/>
        </w:rPr>
        <w:t xml:space="preserve"> </w:t>
      </w:r>
      <w:r w:rsidRPr="001B7F77">
        <w:rPr>
          <w:bCs/>
          <w:u w:val="single"/>
        </w:rPr>
        <w:t>material properties may be determined in accordance with Section H101.2.1 and using the information in Sections H103.2 through H103.8, as appropriate.</w:t>
      </w:r>
    </w:p>
    <w:p w14:paraId="39E2A0AD" w14:textId="77777777" w:rsidR="001B7F77" w:rsidRPr="001B7F77" w:rsidRDefault="001B7F77" w:rsidP="00FD2721">
      <w:pPr>
        <w:tabs>
          <w:tab w:val="left" w:pos="9270"/>
        </w:tabs>
        <w:suppressAutoHyphens/>
        <w:spacing w:before="120"/>
        <w:ind w:right="54"/>
        <w:rPr>
          <w:b/>
          <w:bCs/>
          <w:u w:val="single"/>
        </w:rPr>
      </w:pPr>
      <w:bookmarkStart w:id="279" w:name="_Hlk90025412"/>
      <w:r w:rsidRPr="001B7F77">
        <w:rPr>
          <w:b/>
          <w:bCs/>
          <w:u w:val="single"/>
        </w:rPr>
        <w:t xml:space="preserve">H103.2 Structural steel. </w:t>
      </w:r>
      <w:r w:rsidRPr="001B7F77">
        <w:rPr>
          <w:rFonts w:eastAsia="Calibri"/>
          <w:u w:val="single"/>
        </w:rPr>
        <w:t>The dates below indicate the year when codes, specifications, and standards were published. The possibility that back-stock materials were used at later dates shall be taken into account when determining historic material properties. Sampling and testing are recommended as appropriate, particularly for material manufactured before 1900.</w:t>
      </w:r>
    </w:p>
    <w:bookmarkEnd w:id="279"/>
    <w:p w14:paraId="463AE5A3" w14:textId="77777777" w:rsidR="001B7F77" w:rsidRPr="001B7F77" w:rsidRDefault="001B7F77" w:rsidP="00FD2721">
      <w:pPr>
        <w:widowControl w:val="0"/>
        <w:tabs>
          <w:tab w:val="left" w:pos="9270"/>
        </w:tabs>
        <w:suppressAutoHyphens/>
        <w:spacing w:before="120"/>
        <w:jc w:val="center"/>
        <w:outlineLvl w:val="0"/>
        <w:rPr>
          <w:b/>
          <w:bCs/>
          <w:u w:val="single"/>
        </w:rPr>
      </w:pPr>
      <w:r w:rsidRPr="001B7F77">
        <w:rPr>
          <w:b/>
          <w:bCs/>
          <w:u w:val="single"/>
        </w:rPr>
        <w:t>TABLE H103.2</w:t>
      </w:r>
      <w:r w:rsidRPr="001B7F77">
        <w:rPr>
          <w:b/>
          <w:bCs/>
          <w:u w:val="single"/>
        </w:rPr>
        <w:br/>
        <w:t>STEEL STRESSES: SHAPES, PLATES AND EYEBARS</w:t>
      </w:r>
    </w:p>
    <w:tbl>
      <w:tblPr>
        <w:tblW w:w="5000" w:type="pct"/>
        <w:tblCellMar>
          <w:top w:w="55" w:type="dxa"/>
          <w:left w:w="55" w:type="dxa"/>
          <w:bottom w:w="55" w:type="dxa"/>
          <w:right w:w="55" w:type="dxa"/>
        </w:tblCellMar>
        <w:tblLook w:val="04A0" w:firstRow="1" w:lastRow="0" w:firstColumn="1" w:lastColumn="0" w:noHBand="0" w:noVBand="1"/>
      </w:tblPr>
      <w:tblGrid>
        <w:gridCol w:w="3118"/>
        <w:gridCol w:w="3119"/>
        <w:gridCol w:w="3117"/>
      </w:tblGrid>
      <w:tr w:rsidR="001B7F77" w:rsidRPr="001B7F77" w14:paraId="7A6FAD5E" w14:textId="77777777" w:rsidTr="006655A1">
        <w:trPr>
          <w:trHeight w:val="288"/>
        </w:trPr>
        <w:tc>
          <w:tcPr>
            <w:tcW w:w="1667" w:type="pct"/>
            <w:tcBorders>
              <w:top w:val="single" w:sz="2" w:space="0" w:color="000000"/>
              <w:left w:val="single" w:sz="2" w:space="0" w:color="000000"/>
              <w:bottom w:val="single" w:sz="2" w:space="0" w:color="000000"/>
              <w:right w:val="nil"/>
            </w:tcBorders>
            <w:vAlign w:val="center"/>
            <w:hideMark/>
          </w:tcPr>
          <w:p w14:paraId="5C88816B" w14:textId="77777777" w:rsidR="001B7F77" w:rsidRPr="001B7F77" w:rsidRDefault="001B7F77" w:rsidP="00FD2721">
            <w:pPr>
              <w:widowControl w:val="0"/>
              <w:tabs>
                <w:tab w:val="left" w:pos="360"/>
                <w:tab w:val="left" w:pos="9270"/>
              </w:tabs>
              <w:spacing w:before="120"/>
              <w:ind w:right="54"/>
              <w:jc w:val="center"/>
              <w:rPr>
                <w:rFonts w:eastAsia="Calibri"/>
                <w:b/>
                <w:bCs/>
                <w:sz w:val="22"/>
                <w:szCs w:val="22"/>
                <w:u w:val="single"/>
              </w:rPr>
            </w:pPr>
            <w:r w:rsidRPr="001B7F77">
              <w:rPr>
                <w:rFonts w:eastAsia="Calibri"/>
                <w:b/>
                <w:bCs/>
                <w:sz w:val="22"/>
                <w:szCs w:val="22"/>
                <w:u w:val="single"/>
              </w:rPr>
              <w:t>Years</w:t>
            </w:r>
          </w:p>
        </w:tc>
        <w:tc>
          <w:tcPr>
            <w:tcW w:w="1667" w:type="pct"/>
            <w:tcBorders>
              <w:top w:val="single" w:sz="2" w:space="0" w:color="000000"/>
              <w:left w:val="single" w:sz="2" w:space="0" w:color="000000"/>
              <w:bottom w:val="single" w:sz="2" w:space="0" w:color="000000"/>
              <w:right w:val="nil"/>
            </w:tcBorders>
            <w:vAlign w:val="center"/>
            <w:hideMark/>
          </w:tcPr>
          <w:p w14:paraId="7BD9D297" w14:textId="77777777" w:rsidR="001B7F77" w:rsidRPr="001B7F77" w:rsidRDefault="001B7F77" w:rsidP="00FD2721">
            <w:pPr>
              <w:widowControl w:val="0"/>
              <w:tabs>
                <w:tab w:val="left" w:pos="360"/>
                <w:tab w:val="left" w:pos="9270"/>
              </w:tabs>
              <w:spacing w:before="120"/>
              <w:ind w:right="54"/>
              <w:jc w:val="center"/>
              <w:rPr>
                <w:rFonts w:eastAsia="Calibri"/>
                <w:b/>
                <w:bCs/>
                <w:sz w:val="22"/>
                <w:szCs w:val="22"/>
                <w:u w:val="single"/>
              </w:rPr>
            </w:pPr>
            <w:r w:rsidRPr="001B7F77">
              <w:rPr>
                <w:rFonts w:eastAsia="Calibri"/>
                <w:b/>
                <w:bCs/>
                <w:sz w:val="22"/>
                <w:szCs w:val="22"/>
                <w:u w:val="single"/>
              </w:rPr>
              <w:t>Yield Stress (ksi)</w:t>
            </w:r>
          </w:p>
        </w:tc>
        <w:tc>
          <w:tcPr>
            <w:tcW w:w="1667" w:type="pct"/>
            <w:tcBorders>
              <w:top w:val="single" w:sz="2" w:space="0" w:color="000000"/>
              <w:left w:val="single" w:sz="2" w:space="0" w:color="000000"/>
              <w:bottom w:val="single" w:sz="2" w:space="0" w:color="000000"/>
              <w:right w:val="single" w:sz="2" w:space="0" w:color="000000"/>
            </w:tcBorders>
            <w:vAlign w:val="center"/>
            <w:hideMark/>
          </w:tcPr>
          <w:p w14:paraId="6E70DA32" w14:textId="77777777" w:rsidR="001B7F77" w:rsidRPr="001B7F77" w:rsidRDefault="001B7F77" w:rsidP="00FD2721">
            <w:pPr>
              <w:widowControl w:val="0"/>
              <w:tabs>
                <w:tab w:val="left" w:pos="360"/>
                <w:tab w:val="left" w:pos="9270"/>
              </w:tabs>
              <w:spacing w:before="120"/>
              <w:ind w:right="54"/>
              <w:jc w:val="center"/>
              <w:rPr>
                <w:rFonts w:eastAsia="Calibri"/>
                <w:b/>
                <w:bCs/>
                <w:sz w:val="22"/>
                <w:szCs w:val="22"/>
                <w:u w:val="single"/>
              </w:rPr>
            </w:pPr>
            <w:r w:rsidRPr="001B7F77">
              <w:rPr>
                <w:rFonts w:eastAsia="Calibri"/>
                <w:b/>
                <w:bCs/>
                <w:sz w:val="22"/>
                <w:szCs w:val="22"/>
                <w:u w:val="single"/>
              </w:rPr>
              <w:t>Ultimate Tensile Stress (ksi)</w:t>
            </w:r>
          </w:p>
        </w:tc>
      </w:tr>
      <w:tr w:rsidR="001B7F77" w:rsidRPr="001B7F77" w14:paraId="78AA30C5" w14:textId="77777777" w:rsidTr="006655A1">
        <w:trPr>
          <w:trHeight w:val="288"/>
        </w:trPr>
        <w:tc>
          <w:tcPr>
            <w:tcW w:w="1667" w:type="pct"/>
            <w:tcBorders>
              <w:top w:val="nil"/>
              <w:left w:val="single" w:sz="2" w:space="0" w:color="000000"/>
              <w:bottom w:val="single" w:sz="2" w:space="0" w:color="000000"/>
              <w:right w:val="nil"/>
            </w:tcBorders>
            <w:vAlign w:val="center"/>
            <w:hideMark/>
          </w:tcPr>
          <w:p w14:paraId="295ADD12" w14:textId="77777777" w:rsidR="001B7F77" w:rsidRPr="001B7F77" w:rsidRDefault="001B7F77" w:rsidP="00FD2721">
            <w:pPr>
              <w:widowControl w:val="0"/>
              <w:tabs>
                <w:tab w:val="left" w:pos="360"/>
                <w:tab w:val="left" w:pos="9270"/>
              </w:tabs>
              <w:spacing w:before="120"/>
              <w:ind w:right="54"/>
              <w:jc w:val="center"/>
              <w:rPr>
                <w:rFonts w:eastAsia="Calibri"/>
                <w:szCs w:val="24"/>
                <w:u w:val="single"/>
              </w:rPr>
            </w:pPr>
            <w:r w:rsidRPr="001B7F77">
              <w:rPr>
                <w:rFonts w:eastAsia="Calibri"/>
                <w:szCs w:val="24"/>
                <w:u w:val="single"/>
              </w:rPr>
              <w:t>1880-1899</w:t>
            </w:r>
          </w:p>
        </w:tc>
        <w:tc>
          <w:tcPr>
            <w:tcW w:w="1667" w:type="pct"/>
            <w:tcBorders>
              <w:top w:val="nil"/>
              <w:left w:val="single" w:sz="2" w:space="0" w:color="000000"/>
              <w:bottom w:val="single" w:sz="2" w:space="0" w:color="000000"/>
              <w:right w:val="nil"/>
            </w:tcBorders>
            <w:vAlign w:val="center"/>
            <w:hideMark/>
          </w:tcPr>
          <w:p w14:paraId="1DDFC100" w14:textId="77777777" w:rsidR="001B7F77" w:rsidRPr="001B7F77" w:rsidRDefault="001B7F77" w:rsidP="00FD2721">
            <w:pPr>
              <w:widowControl w:val="0"/>
              <w:tabs>
                <w:tab w:val="left" w:pos="360"/>
                <w:tab w:val="left" w:pos="9270"/>
              </w:tabs>
              <w:spacing w:before="120"/>
              <w:ind w:right="54"/>
              <w:jc w:val="center"/>
              <w:rPr>
                <w:rFonts w:eastAsia="Calibri"/>
                <w:color w:val="000000"/>
                <w:szCs w:val="24"/>
                <w:u w:val="single"/>
              </w:rPr>
            </w:pPr>
            <w:r w:rsidRPr="001B7F77">
              <w:rPr>
                <w:rFonts w:eastAsia="Calibri"/>
                <w:color w:val="000000"/>
                <w:szCs w:val="24"/>
                <w:u w:val="single"/>
              </w:rPr>
              <w:t>20</w:t>
            </w:r>
          </w:p>
        </w:tc>
        <w:tc>
          <w:tcPr>
            <w:tcW w:w="1667" w:type="pct"/>
            <w:tcBorders>
              <w:top w:val="nil"/>
              <w:left w:val="single" w:sz="2" w:space="0" w:color="000000"/>
              <w:bottom w:val="single" w:sz="2" w:space="0" w:color="000000"/>
              <w:right w:val="single" w:sz="2" w:space="0" w:color="000000"/>
            </w:tcBorders>
            <w:vAlign w:val="center"/>
            <w:hideMark/>
          </w:tcPr>
          <w:p w14:paraId="2BFBDF17" w14:textId="77777777" w:rsidR="001B7F77" w:rsidRPr="001B7F77" w:rsidRDefault="001B7F77" w:rsidP="00FD2721">
            <w:pPr>
              <w:widowControl w:val="0"/>
              <w:tabs>
                <w:tab w:val="left" w:pos="360"/>
                <w:tab w:val="left" w:pos="9270"/>
              </w:tabs>
              <w:spacing w:before="120"/>
              <w:ind w:right="54"/>
              <w:jc w:val="center"/>
              <w:rPr>
                <w:rFonts w:eastAsia="Calibri"/>
                <w:szCs w:val="24"/>
                <w:u w:val="single"/>
              </w:rPr>
            </w:pPr>
            <w:r w:rsidRPr="001B7F77">
              <w:rPr>
                <w:rFonts w:eastAsia="Calibri"/>
                <w:szCs w:val="24"/>
                <w:u w:val="single"/>
              </w:rPr>
              <w:t>40</w:t>
            </w:r>
          </w:p>
        </w:tc>
      </w:tr>
      <w:tr w:rsidR="001B7F77" w:rsidRPr="001B7F77" w14:paraId="556684DB" w14:textId="77777777" w:rsidTr="006655A1">
        <w:trPr>
          <w:trHeight w:val="288"/>
        </w:trPr>
        <w:tc>
          <w:tcPr>
            <w:tcW w:w="1667" w:type="pct"/>
            <w:tcBorders>
              <w:top w:val="nil"/>
              <w:left w:val="single" w:sz="2" w:space="0" w:color="000000"/>
              <w:bottom w:val="single" w:sz="2" w:space="0" w:color="000000"/>
              <w:right w:val="nil"/>
            </w:tcBorders>
            <w:vAlign w:val="center"/>
            <w:hideMark/>
          </w:tcPr>
          <w:p w14:paraId="341DF758" w14:textId="77777777" w:rsidR="001B7F77" w:rsidRPr="001B7F77" w:rsidRDefault="001B7F77" w:rsidP="00FD2721">
            <w:pPr>
              <w:widowControl w:val="0"/>
              <w:tabs>
                <w:tab w:val="left" w:pos="360"/>
                <w:tab w:val="left" w:pos="9270"/>
              </w:tabs>
              <w:spacing w:before="120"/>
              <w:ind w:right="54"/>
              <w:jc w:val="center"/>
              <w:rPr>
                <w:rFonts w:eastAsia="Calibri"/>
                <w:szCs w:val="24"/>
                <w:u w:val="single"/>
              </w:rPr>
            </w:pPr>
            <w:r w:rsidRPr="001B7F77">
              <w:rPr>
                <w:rFonts w:eastAsia="Calibri"/>
                <w:szCs w:val="24"/>
                <w:u w:val="single"/>
              </w:rPr>
              <w:t>1900-1931</w:t>
            </w:r>
          </w:p>
        </w:tc>
        <w:tc>
          <w:tcPr>
            <w:tcW w:w="1667" w:type="pct"/>
            <w:tcBorders>
              <w:top w:val="nil"/>
              <w:left w:val="single" w:sz="2" w:space="0" w:color="000000"/>
              <w:bottom w:val="single" w:sz="2" w:space="0" w:color="000000"/>
              <w:right w:val="nil"/>
            </w:tcBorders>
            <w:vAlign w:val="center"/>
            <w:hideMark/>
          </w:tcPr>
          <w:p w14:paraId="7CA6B585" w14:textId="77777777" w:rsidR="001B7F77" w:rsidRPr="001B7F77" w:rsidRDefault="001B7F77" w:rsidP="00FD2721">
            <w:pPr>
              <w:widowControl w:val="0"/>
              <w:tabs>
                <w:tab w:val="left" w:pos="360"/>
                <w:tab w:val="left" w:pos="9270"/>
              </w:tabs>
              <w:spacing w:before="120"/>
              <w:ind w:right="54"/>
              <w:jc w:val="center"/>
              <w:rPr>
                <w:rFonts w:eastAsia="Calibri"/>
                <w:szCs w:val="24"/>
                <w:u w:val="single"/>
              </w:rPr>
            </w:pPr>
            <w:r w:rsidRPr="001B7F77">
              <w:rPr>
                <w:rFonts w:eastAsia="Calibri"/>
                <w:szCs w:val="24"/>
                <w:u w:val="single"/>
              </w:rPr>
              <w:t>27.5</w:t>
            </w:r>
          </w:p>
        </w:tc>
        <w:tc>
          <w:tcPr>
            <w:tcW w:w="1667" w:type="pct"/>
            <w:tcBorders>
              <w:top w:val="nil"/>
              <w:left w:val="single" w:sz="2" w:space="0" w:color="000000"/>
              <w:bottom w:val="single" w:sz="2" w:space="0" w:color="000000"/>
              <w:right w:val="single" w:sz="2" w:space="0" w:color="000000"/>
            </w:tcBorders>
            <w:vAlign w:val="center"/>
            <w:hideMark/>
          </w:tcPr>
          <w:p w14:paraId="228EA541" w14:textId="77777777" w:rsidR="001B7F77" w:rsidRPr="001B7F77" w:rsidRDefault="001B7F77" w:rsidP="00FD2721">
            <w:pPr>
              <w:widowControl w:val="0"/>
              <w:tabs>
                <w:tab w:val="left" w:pos="360"/>
                <w:tab w:val="left" w:pos="9270"/>
              </w:tabs>
              <w:spacing w:before="120"/>
              <w:ind w:right="54"/>
              <w:jc w:val="center"/>
              <w:rPr>
                <w:rFonts w:eastAsia="Calibri"/>
                <w:szCs w:val="24"/>
                <w:u w:val="single"/>
              </w:rPr>
            </w:pPr>
            <w:r w:rsidRPr="001B7F77">
              <w:rPr>
                <w:rFonts w:eastAsia="Calibri"/>
                <w:szCs w:val="24"/>
                <w:u w:val="single"/>
              </w:rPr>
              <w:t>55</w:t>
            </w:r>
          </w:p>
        </w:tc>
      </w:tr>
      <w:tr w:rsidR="001B7F77" w:rsidRPr="001B7F77" w14:paraId="0447FFB1" w14:textId="77777777" w:rsidTr="006655A1">
        <w:trPr>
          <w:trHeight w:val="288"/>
        </w:trPr>
        <w:tc>
          <w:tcPr>
            <w:tcW w:w="1667" w:type="pct"/>
            <w:tcBorders>
              <w:top w:val="nil"/>
              <w:left w:val="single" w:sz="2" w:space="0" w:color="000000"/>
              <w:bottom w:val="single" w:sz="2" w:space="0" w:color="000000"/>
              <w:right w:val="nil"/>
            </w:tcBorders>
            <w:vAlign w:val="center"/>
            <w:hideMark/>
          </w:tcPr>
          <w:p w14:paraId="5903A205" w14:textId="77777777" w:rsidR="001B7F77" w:rsidRPr="001B7F77" w:rsidRDefault="001B7F77" w:rsidP="00FD2721">
            <w:pPr>
              <w:widowControl w:val="0"/>
              <w:tabs>
                <w:tab w:val="left" w:pos="360"/>
                <w:tab w:val="left" w:pos="9270"/>
              </w:tabs>
              <w:spacing w:before="120"/>
              <w:ind w:right="54"/>
              <w:jc w:val="center"/>
              <w:rPr>
                <w:rFonts w:eastAsia="Calibri"/>
                <w:szCs w:val="24"/>
                <w:u w:val="single"/>
              </w:rPr>
            </w:pPr>
            <w:r w:rsidRPr="001B7F77">
              <w:rPr>
                <w:rFonts w:eastAsia="Calibri"/>
                <w:szCs w:val="24"/>
                <w:u w:val="single"/>
              </w:rPr>
              <w:t>1932-1961</w:t>
            </w:r>
          </w:p>
        </w:tc>
        <w:tc>
          <w:tcPr>
            <w:tcW w:w="1667" w:type="pct"/>
            <w:tcBorders>
              <w:top w:val="nil"/>
              <w:left w:val="single" w:sz="2" w:space="0" w:color="000000"/>
              <w:bottom w:val="single" w:sz="2" w:space="0" w:color="000000"/>
              <w:right w:val="nil"/>
            </w:tcBorders>
            <w:vAlign w:val="center"/>
            <w:hideMark/>
          </w:tcPr>
          <w:p w14:paraId="7B6B7932" w14:textId="77777777" w:rsidR="001B7F77" w:rsidRPr="001B7F77" w:rsidRDefault="001B7F77" w:rsidP="00FD2721">
            <w:pPr>
              <w:widowControl w:val="0"/>
              <w:tabs>
                <w:tab w:val="left" w:pos="360"/>
                <w:tab w:val="left" w:pos="9270"/>
              </w:tabs>
              <w:spacing w:before="120"/>
              <w:ind w:right="54"/>
              <w:jc w:val="center"/>
              <w:rPr>
                <w:rFonts w:eastAsia="Calibri"/>
                <w:szCs w:val="24"/>
                <w:u w:val="single"/>
              </w:rPr>
            </w:pPr>
            <w:r w:rsidRPr="001B7F77">
              <w:rPr>
                <w:rFonts w:eastAsia="Calibri"/>
                <w:szCs w:val="24"/>
                <w:u w:val="single"/>
              </w:rPr>
              <w:t>33</w:t>
            </w:r>
          </w:p>
        </w:tc>
        <w:tc>
          <w:tcPr>
            <w:tcW w:w="1667" w:type="pct"/>
            <w:tcBorders>
              <w:top w:val="nil"/>
              <w:left w:val="single" w:sz="2" w:space="0" w:color="000000"/>
              <w:bottom w:val="single" w:sz="2" w:space="0" w:color="000000"/>
              <w:right w:val="single" w:sz="2" w:space="0" w:color="000000"/>
            </w:tcBorders>
            <w:vAlign w:val="center"/>
            <w:hideMark/>
          </w:tcPr>
          <w:p w14:paraId="65157C22" w14:textId="77777777" w:rsidR="001B7F77" w:rsidRPr="001B7F77" w:rsidRDefault="001B7F77" w:rsidP="00FD2721">
            <w:pPr>
              <w:widowControl w:val="0"/>
              <w:tabs>
                <w:tab w:val="left" w:pos="360"/>
                <w:tab w:val="left" w:pos="9270"/>
              </w:tabs>
              <w:spacing w:before="120"/>
              <w:ind w:right="54"/>
              <w:jc w:val="center"/>
              <w:rPr>
                <w:rFonts w:eastAsia="Calibri"/>
                <w:szCs w:val="24"/>
                <w:u w:val="single"/>
              </w:rPr>
            </w:pPr>
            <w:r w:rsidRPr="001B7F77">
              <w:rPr>
                <w:rFonts w:eastAsia="Calibri"/>
                <w:szCs w:val="24"/>
                <w:u w:val="single"/>
              </w:rPr>
              <w:t>60</w:t>
            </w:r>
          </w:p>
        </w:tc>
      </w:tr>
      <w:tr w:rsidR="001B7F77" w:rsidRPr="001B7F77" w14:paraId="11915F16" w14:textId="77777777" w:rsidTr="006655A1">
        <w:trPr>
          <w:trHeight w:val="288"/>
        </w:trPr>
        <w:tc>
          <w:tcPr>
            <w:tcW w:w="1667" w:type="pct"/>
            <w:tcBorders>
              <w:top w:val="nil"/>
              <w:left w:val="single" w:sz="2" w:space="0" w:color="000000"/>
              <w:bottom w:val="single" w:sz="2" w:space="0" w:color="000000"/>
              <w:right w:val="nil"/>
            </w:tcBorders>
            <w:vAlign w:val="center"/>
            <w:hideMark/>
          </w:tcPr>
          <w:p w14:paraId="5928ECE3" w14:textId="77777777" w:rsidR="001B7F77" w:rsidRPr="001B7F77" w:rsidRDefault="001B7F77" w:rsidP="00FD2721">
            <w:pPr>
              <w:widowControl w:val="0"/>
              <w:tabs>
                <w:tab w:val="left" w:pos="360"/>
                <w:tab w:val="left" w:pos="9270"/>
              </w:tabs>
              <w:spacing w:before="120"/>
              <w:ind w:right="54"/>
              <w:jc w:val="center"/>
              <w:rPr>
                <w:rFonts w:eastAsia="Calibri"/>
                <w:szCs w:val="24"/>
                <w:u w:val="single"/>
              </w:rPr>
            </w:pPr>
            <w:r w:rsidRPr="001B7F77">
              <w:rPr>
                <w:rFonts w:eastAsia="Calibri"/>
                <w:szCs w:val="24"/>
                <w:u w:val="single"/>
              </w:rPr>
              <w:t>After 1961</w:t>
            </w:r>
          </w:p>
        </w:tc>
        <w:tc>
          <w:tcPr>
            <w:tcW w:w="1667" w:type="pct"/>
            <w:tcBorders>
              <w:top w:val="nil"/>
              <w:left w:val="single" w:sz="2" w:space="0" w:color="000000"/>
              <w:bottom w:val="single" w:sz="2" w:space="0" w:color="000000"/>
              <w:right w:val="nil"/>
            </w:tcBorders>
            <w:vAlign w:val="center"/>
            <w:hideMark/>
          </w:tcPr>
          <w:p w14:paraId="1214942A" w14:textId="77777777" w:rsidR="001B7F77" w:rsidRPr="001B7F77" w:rsidRDefault="001B7F77" w:rsidP="00FD2721">
            <w:pPr>
              <w:widowControl w:val="0"/>
              <w:tabs>
                <w:tab w:val="left" w:pos="360"/>
                <w:tab w:val="left" w:pos="9270"/>
              </w:tabs>
              <w:spacing w:before="120"/>
              <w:ind w:right="54"/>
              <w:jc w:val="center"/>
              <w:rPr>
                <w:rFonts w:eastAsia="Calibri"/>
                <w:szCs w:val="24"/>
                <w:u w:val="single"/>
              </w:rPr>
            </w:pPr>
            <w:r w:rsidRPr="001B7F77">
              <w:rPr>
                <w:rFonts w:eastAsia="Calibri"/>
                <w:szCs w:val="24"/>
                <w:u w:val="single"/>
              </w:rPr>
              <w:t>36</w:t>
            </w:r>
          </w:p>
        </w:tc>
        <w:tc>
          <w:tcPr>
            <w:tcW w:w="1667" w:type="pct"/>
            <w:tcBorders>
              <w:top w:val="nil"/>
              <w:left w:val="single" w:sz="2" w:space="0" w:color="000000"/>
              <w:bottom w:val="single" w:sz="2" w:space="0" w:color="000000"/>
              <w:right w:val="single" w:sz="2" w:space="0" w:color="000000"/>
            </w:tcBorders>
            <w:vAlign w:val="center"/>
            <w:hideMark/>
          </w:tcPr>
          <w:p w14:paraId="3A84BE9D" w14:textId="77777777" w:rsidR="001B7F77" w:rsidRPr="001B7F77" w:rsidRDefault="001B7F77" w:rsidP="00FD2721">
            <w:pPr>
              <w:widowControl w:val="0"/>
              <w:tabs>
                <w:tab w:val="left" w:pos="360"/>
                <w:tab w:val="left" w:pos="9270"/>
              </w:tabs>
              <w:spacing w:before="120"/>
              <w:ind w:right="54"/>
              <w:jc w:val="center"/>
              <w:rPr>
                <w:rFonts w:eastAsia="Calibri"/>
                <w:szCs w:val="24"/>
                <w:u w:val="single"/>
              </w:rPr>
            </w:pPr>
            <w:r w:rsidRPr="001B7F77">
              <w:rPr>
                <w:rFonts w:eastAsia="Calibri"/>
                <w:szCs w:val="24"/>
                <w:u w:val="single"/>
              </w:rPr>
              <w:t>58</w:t>
            </w:r>
          </w:p>
        </w:tc>
      </w:tr>
    </w:tbl>
    <w:p w14:paraId="10F97E80" w14:textId="77777777" w:rsidR="001B7F77" w:rsidRPr="001B7F77" w:rsidRDefault="001B7F77" w:rsidP="00FD2721">
      <w:pPr>
        <w:tabs>
          <w:tab w:val="left" w:pos="9270"/>
        </w:tabs>
        <w:suppressAutoHyphens/>
        <w:spacing w:before="120"/>
        <w:ind w:right="54"/>
        <w:jc w:val="left"/>
        <w:rPr>
          <w:b/>
          <w:bCs/>
          <w:color w:val="000000"/>
          <w:u w:val="single"/>
        </w:rPr>
      </w:pPr>
      <w:r w:rsidRPr="001B7F77">
        <w:rPr>
          <w:rFonts w:eastAsia="Calibri"/>
          <w:b/>
          <w:bCs/>
          <w:u w:val="single"/>
        </w:rPr>
        <w:t>CARBON STEEL BOLTS</w:t>
      </w:r>
    </w:p>
    <w:tbl>
      <w:tblPr>
        <w:tblW w:w="5000" w:type="pct"/>
        <w:tblCellMar>
          <w:top w:w="55" w:type="dxa"/>
          <w:left w:w="55" w:type="dxa"/>
          <w:bottom w:w="55" w:type="dxa"/>
          <w:right w:w="55" w:type="dxa"/>
        </w:tblCellMar>
        <w:tblLook w:val="04A0" w:firstRow="1" w:lastRow="0" w:firstColumn="1" w:lastColumn="0" w:noHBand="0" w:noVBand="1"/>
      </w:tblPr>
      <w:tblGrid>
        <w:gridCol w:w="3118"/>
        <w:gridCol w:w="3119"/>
        <w:gridCol w:w="3117"/>
      </w:tblGrid>
      <w:tr w:rsidR="001B7F77" w:rsidRPr="001B7F77" w14:paraId="4B39841C" w14:textId="77777777" w:rsidTr="006655A1">
        <w:trPr>
          <w:cantSplit/>
          <w:tblHeader/>
        </w:trPr>
        <w:tc>
          <w:tcPr>
            <w:tcW w:w="1667" w:type="pct"/>
            <w:tcBorders>
              <w:top w:val="single" w:sz="2" w:space="0" w:color="000000"/>
              <w:left w:val="single" w:sz="2" w:space="0" w:color="000000"/>
              <w:bottom w:val="single" w:sz="2" w:space="0" w:color="000000"/>
              <w:right w:val="nil"/>
            </w:tcBorders>
            <w:vAlign w:val="center"/>
            <w:hideMark/>
          </w:tcPr>
          <w:p w14:paraId="4E76AE1F" w14:textId="77777777" w:rsidR="001B7F77" w:rsidRPr="001B7F77" w:rsidRDefault="001B7F77" w:rsidP="00FD2721">
            <w:pPr>
              <w:widowControl w:val="0"/>
              <w:tabs>
                <w:tab w:val="left" w:pos="360"/>
              </w:tabs>
              <w:spacing w:before="120"/>
              <w:ind w:right="54"/>
              <w:jc w:val="center"/>
              <w:rPr>
                <w:rFonts w:eastAsia="Calibri"/>
                <w:b/>
                <w:bCs/>
                <w:szCs w:val="24"/>
                <w:u w:val="single"/>
              </w:rPr>
            </w:pPr>
            <w:r w:rsidRPr="001B7F77">
              <w:rPr>
                <w:rFonts w:eastAsia="Calibri"/>
                <w:b/>
                <w:bCs/>
                <w:szCs w:val="24"/>
                <w:u w:val="single"/>
              </w:rPr>
              <w:t>Years</w:t>
            </w:r>
          </w:p>
        </w:tc>
        <w:tc>
          <w:tcPr>
            <w:tcW w:w="1667" w:type="pct"/>
            <w:tcBorders>
              <w:top w:val="single" w:sz="2" w:space="0" w:color="000000"/>
              <w:left w:val="single" w:sz="2" w:space="0" w:color="000000"/>
              <w:bottom w:val="single" w:sz="2" w:space="0" w:color="000000"/>
              <w:right w:val="nil"/>
            </w:tcBorders>
            <w:vAlign w:val="center"/>
            <w:hideMark/>
          </w:tcPr>
          <w:p w14:paraId="3A02A8E3" w14:textId="77777777" w:rsidR="001B7F77" w:rsidRPr="001B7F77" w:rsidRDefault="001B7F77" w:rsidP="00FD2721">
            <w:pPr>
              <w:widowControl w:val="0"/>
              <w:tabs>
                <w:tab w:val="left" w:pos="360"/>
              </w:tabs>
              <w:spacing w:before="120"/>
              <w:ind w:right="54"/>
              <w:jc w:val="center"/>
              <w:rPr>
                <w:rFonts w:eastAsia="Calibri"/>
                <w:b/>
                <w:bCs/>
                <w:szCs w:val="24"/>
                <w:u w:val="single"/>
              </w:rPr>
            </w:pPr>
            <w:r w:rsidRPr="001B7F77">
              <w:rPr>
                <w:rFonts w:eastAsia="Calibri"/>
                <w:b/>
                <w:bCs/>
                <w:szCs w:val="24"/>
                <w:u w:val="single"/>
              </w:rPr>
              <w:t>Allowable Stress (ksi)</w:t>
            </w:r>
          </w:p>
        </w:tc>
        <w:tc>
          <w:tcPr>
            <w:tcW w:w="1667" w:type="pct"/>
            <w:tcBorders>
              <w:top w:val="single" w:sz="2" w:space="0" w:color="000000"/>
              <w:left w:val="single" w:sz="2" w:space="0" w:color="000000"/>
              <w:bottom w:val="single" w:sz="2" w:space="0" w:color="000000"/>
              <w:right w:val="single" w:sz="2" w:space="0" w:color="000000"/>
            </w:tcBorders>
            <w:vAlign w:val="center"/>
            <w:hideMark/>
          </w:tcPr>
          <w:p w14:paraId="1315ED33" w14:textId="77777777" w:rsidR="001B7F77" w:rsidRPr="001B7F77" w:rsidRDefault="001B7F77" w:rsidP="00FD2721">
            <w:pPr>
              <w:widowControl w:val="0"/>
              <w:tabs>
                <w:tab w:val="left" w:pos="360"/>
              </w:tabs>
              <w:spacing w:before="120"/>
              <w:ind w:right="54"/>
              <w:jc w:val="center"/>
              <w:rPr>
                <w:rFonts w:eastAsia="Calibri"/>
                <w:b/>
                <w:bCs/>
                <w:szCs w:val="24"/>
                <w:u w:val="single"/>
              </w:rPr>
            </w:pPr>
            <w:r w:rsidRPr="001B7F77">
              <w:rPr>
                <w:rFonts w:eastAsia="Calibri"/>
                <w:b/>
                <w:bCs/>
                <w:szCs w:val="24"/>
                <w:u w:val="single"/>
              </w:rPr>
              <w:t>Load Type</w:t>
            </w:r>
          </w:p>
        </w:tc>
      </w:tr>
      <w:tr w:rsidR="001B7F77" w:rsidRPr="001B7F77" w14:paraId="79877EAE" w14:textId="77777777" w:rsidTr="006655A1">
        <w:tc>
          <w:tcPr>
            <w:tcW w:w="1667" w:type="pct"/>
            <w:vMerge w:val="restart"/>
            <w:tcBorders>
              <w:top w:val="nil"/>
              <w:left w:val="single" w:sz="2" w:space="0" w:color="000000"/>
              <w:bottom w:val="single" w:sz="2" w:space="0" w:color="000000"/>
              <w:right w:val="nil"/>
            </w:tcBorders>
            <w:vAlign w:val="center"/>
            <w:hideMark/>
          </w:tcPr>
          <w:p w14:paraId="788E040E"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1899-1923</w:t>
            </w:r>
          </w:p>
        </w:tc>
        <w:tc>
          <w:tcPr>
            <w:tcW w:w="1667" w:type="pct"/>
            <w:tcBorders>
              <w:top w:val="nil"/>
              <w:left w:val="single" w:sz="2" w:space="0" w:color="000000"/>
              <w:bottom w:val="single" w:sz="2" w:space="0" w:color="000000"/>
              <w:right w:val="nil"/>
            </w:tcBorders>
            <w:vAlign w:val="center"/>
            <w:hideMark/>
          </w:tcPr>
          <w:p w14:paraId="7B3E7DC6" w14:textId="77777777" w:rsidR="001B7F77" w:rsidRPr="001B7F77" w:rsidRDefault="001B7F77" w:rsidP="00FD2721">
            <w:pPr>
              <w:widowControl w:val="0"/>
              <w:tabs>
                <w:tab w:val="left" w:pos="360"/>
              </w:tabs>
              <w:spacing w:before="120"/>
              <w:ind w:right="54"/>
              <w:jc w:val="center"/>
              <w:rPr>
                <w:rFonts w:eastAsia="Calibri"/>
                <w:color w:val="000000"/>
                <w:szCs w:val="24"/>
                <w:u w:val="single"/>
              </w:rPr>
            </w:pPr>
            <w:r w:rsidRPr="001B7F77">
              <w:rPr>
                <w:rFonts w:eastAsia="Calibri"/>
                <w:color w:val="000000"/>
                <w:szCs w:val="24"/>
                <w:u w:val="single"/>
              </w:rPr>
              <w:t>5</w:t>
            </w:r>
          </w:p>
        </w:tc>
        <w:tc>
          <w:tcPr>
            <w:tcW w:w="1667" w:type="pct"/>
            <w:tcBorders>
              <w:top w:val="nil"/>
              <w:left w:val="single" w:sz="2" w:space="0" w:color="000000"/>
              <w:bottom w:val="single" w:sz="2" w:space="0" w:color="000000"/>
              <w:right w:val="single" w:sz="2" w:space="0" w:color="000000"/>
            </w:tcBorders>
            <w:vAlign w:val="center"/>
            <w:hideMark/>
          </w:tcPr>
          <w:p w14:paraId="276C1C54"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Tension</w:t>
            </w:r>
          </w:p>
        </w:tc>
      </w:tr>
      <w:tr w:rsidR="001B7F77" w:rsidRPr="001B7F77" w14:paraId="44933FA6" w14:textId="77777777" w:rsidTr="006655A1">
        <w:tc>
          <w:tcPr>
            <w:tcW w:w="0" w:type="auto"/>
            <w:vMerge/>
            <w:tcBorders>
              <w:top w:val="nil"/>
              <w:left w:val="single" w:sz="2" w:space="0" w:color="000000"/>
              <w:bottom w:val="single" w:sz="2" w:space="0" w:color="000000"/>
              <w:right w:val="nil"/>
            </w:tcBorders>
            <w:vAlign w:val="center"/>
            <w:hideMark/>
          </w:tcPr>
          <w:p w14:paraId="5E13D3F1" w14:textId="77777777" w:rsidR="001B7F77" w:rsidRPr="001B7F77" w:rsidRDefault="001B7F77" w:rsidP="00FD2721">
            <w:pPr>
              <w:suppressAutoHyphens/>
              <w:spacing w:before="120" w:line="256" w:lineRule="auto"/>
              <w:jc w:val="left"/>
              <w:rPr>
                <w:szCs w:val="24"/>
                <w:u w:val="single"/>
              </w:rPr>
            </w:pPr>
          </w:p>
        </w:tc>
        <w:tc>
          <w:tcPr>
            <w:tcW w:w="1667" w:type="pct"/>
            <w:tcBorders>
              <w:top w:val="nil"/>
              <w:left w:val="single" w:sz="2" w:space="0" w:color="000000"/>
              <w:bottom w:val="single" w:sz="2" w:space="0" w:color="000000"/>
              <w:right w:val="nil"/>
            </w:tcBorders>
            <w:vAlign w:val="center"/>
            <w:hideMark/>
          </w:tcPr>
          <w:p w14:paraId="39B6B2C5"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7</w:t>
            </w:r>
          </w:p>
        </w:tc>
        <w:tc>
          <w:tcPr>
            <w:tcW w:w="1667" w:type="pct"/>
            <w:tcBorders>
              <w:top w:val="nil"/>
              <w:left w:val="single" w:sz="2" w:space="0" w:color="000000"/>
              <w:bottom w:val="single" w:sz="2" w:space="0" w:color="000000"/>
              <w:right w:val="single" w:sz="2" w:space="0" w:color="000000"/>
            </w:tcBorders>
            <w:vAlign w:val="center"/>
            <w:hideMark/>
          </w:tcPr>
          <w:p w14:paraId="30F510D3"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Shear</w:t>
            </w:r>
          </w:p>
        </w:tc>
      </w:tr>
      <w:tr w:rsidR="001B7F77" w:rsidRPr="001B7F77" w14:paraId="6F59EA05" w14:textId="77777777" w:rsidTr="006655A1">
        <w:tc>
          <w:tcPr>
            <w:tcW w:w="1667" w:type="pct"/>
            <w:vMerge w:val="restart"/>
            <w:tcBorders>
              <w:top w:val="nil"/>
              <w:left w:val="single" w:sz="2" w:space="0" w:color="000000"/>
              <w:bottom w:val="single" w:sz="2" w:space="0" w:color="000000"/>
              <w:right w:val="nil"/>
            </w:tcBorders>
            <w:vAlign w:val="center"/>
            <w:hideMark/>
          </w:tcPr>
          <w:p w14:paraId="5FFDAAB4"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1924-1941</w:t>
            </w:r>
          </w:p>
        </w:tc>
        <w:tc>
          <w:tcPr>
            <w:tcW w:w="1667" w:type="pct"/>
            <w:tcBorders>
              <w:top w:val="nil"/>
              <w:left w:val="single" w:sz="2" w:space="0" w:color="000000"/>
              <w:bottom w:val="single" w:sz="2" w:space="0" w:color="000000"/>
              <w:right w:val="nil"/>
            </w:tcBorders>
            <w:vAlign w:val="center"/>
            <w:hideMark/>
          </w:tcPr>
          <w:p w14:paraId="218AAEB5" w14:textId="77777777" w:rsidR="001B7F77" w:rsidRPr="001B7F77" w:rsidRDefault="001B7F77" w:rsidP="00FD2721">
            <w:pPr>
              <w:widowControl w:val="0"/>
              <w:tabs>
                <w:tab w:val="left" w:pos="360"/>
              </w:tabs>
              <w:spacing w:before="120"/>
              <w:ind w:right="54"/>
              <w:jc w:val="center"/>
              <w:rPr>
                <w:rFonts w:eastAsia="Calibri"/>
                <w:color w:val="000000"/>
                <w:szCs w:val="24"/>
                <w:u w:val="single"/>
              </w:rPr>
            </w:pPr>
            <w:r w:rsidRPr="001B7F77">
              <w:rPr>
                <w:rFonts w:eastAsia="Calibri"/>
                <w:color w:val="000000"/>
                <w:szCs w:val="24"/>
                <w:u w:val="single"/>
              </w:rPr>
              <w:t>7</w:t>
            </w:r>
          </w:p>
        </w:tc>
        <w:tc>
          <w:tcPr>
            <w:tcW w:w="1667" w:type="pct"/>
            <w:tcBorders>
              <w:top w:val="nil"/>
              <w:left w:val="single" w:sz="2" w:space="0" w:color="000000"/>
              <w:bottom w:val="single" w:sz="2" w:space="0" w:color="000000"/>
              <w:right w:val="single" w:sz="2" w:space="0" w:color="000000"/>
            </w:tcBorders>
            <w:vAlign w:val="center"/>
            <w:hideMark/>
          </w:tcPr>
          <w:p w14:paraId="605D1E22"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Tension</w:t>
            </w:r>
          </w:p>
        </w:tc>
      </w:tr>
      <w:tr w:rsidR="001B7F77" w:rsidRPr="001B7F77" w14:paraId="0ED1BF87" w14:textId="77777777" w:rsidTr="006655A1">
        <w:tc>
          <w:tcPr>
            <w:tcW w:w="0" w:type="auto"/>
            <w:vMerge/>
            <w:tcBorders>
              <w:top w:val="nil"/>
              <w:left w:val="single" w:sz="2" w:space="0" w:color="000000"/>
              <w:bottom w:val="single" w:sz="2" w:space="0" w:color="000000"/>
              <w:right w:val="nil"/>
            </w:tcBorders>
            <w:vAlign w:val="center"/>
            <w:hideMark/>
          </w:tcPr>
          <w:p w14:paraId="6773C2B1" w14:textId="77777777" w:rsidR="001B7F77" w:rsidRPr="001B7F77" w:rsidRDefault="001B7F77" w:rsidP="00FD2721">
            <w:pPr>
              <w:suppressAutoHyphens/>
              <w:spacing w:before="120" w:line="256" w:lineRule="auto"/>
              <w:jc w:val="left"/>
              <w:rPr>
                <w:szCs w:val="24"/>
                <w:u w:val="single"/>
              </w:rPr>
            </w:pPr>
          </w:p>
        </w:tc>
        <w:tc>
          <w:tcPr>
            <w:tcW w:w="1667" w:type="pct"/>
            <w:tcBorders>
              <w:top w:val="nil"/>
              <w:left w:val="single" w:sz="2" w:space="0" w:color="000000"/>
              <w:bottom w:val="single" w:sz="2" w:space="0" w:color="000000"/>
              <w:right w:val="nil"/>
            </w:tcBorders>
            <w:vAlign w:val="center"/>
            <w:hideMark/>
          </w:tcPr>
          <w:p w14:paraId="5F00EA53"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10</w:t>
            </w:r>
          </w:p>
        </w:tc>
        <w:tc>
          <w:tcPr>
            <w:tcW w:w="1667" w:type="pct"/>
            <w:tcBorders>
              <w:top w:val="nil"/>
              <w:left w:val="single" w:sz="2" w:space="0" w:color="000000"/>
              <w:bottom w:val="single" w:sz="2" w:space="0" w:color="000000"/>
              <w:right w:val="single" w:sz="2" w:space="0" w:color="000000"/>
            </w:tcBorders>
            <w:vAlign w:val="center"/>
            <w:hideMark/>
          </w:tcPr>
          <w:p w14:paraId="412A4CD1"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Shear</w:t>
            </w:r>
          </w:p>
        </w:tc>
      </w:tr>
      <w:tr w:rsidR="001B7F77" w:rsidRPr="001B7F77" w14:paraId="025BB721" w14:textId="77777777" w:rsidTr="006655A1">
        <w:tc>
          <w:tcPr>
            <w:tcW w:w="1667" w:type="pct"/>
            <w:vMerge w:val="restart"/>
            <w:tcBorders>
              <w:top w:val="single" w:sz="2" w:space="0" w:color="000000"/>
              <w:left w:val="single" w:sz="2" w:space="0" w:color="000000"/>
              <w:bottom w:val="single" w:sz="4" w:space="0" w:color="auto"/>
              <w:right w:val="nil"/>
            </w:tcBorders>
            <w:vAlign w:val="center"/>
            <w:hideMark/>
          </w:tcPr>
          <w:p w14:paraId="1FAD4A1A"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1942-1961</w:t>
            </w:r>
          </w:p>
        </w:tc>
        <w:tc>
          <w:tcPr>
            <w:tcW w:w="1667" w:type="pct"/>
            <w:tcBorders>
              <w:top w:val="single" w:sz="2" w:space="0" w:color="000000"/>
              <w:left w:val="single" w:sz="2" w:space="0" w:color="000000"/>
              <w:bottom w:val="single" w:sz="2" w:space="0" w:color="000000"/>
              <w:right w:val="nil"/>
            </w:tcBorders>
            <w:vAlign w:val="center"/>
            <w:hideMark/>
          </w:tcPr>
          <w:p w14:paraId="560099CA"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12</w:t>
            </w:r>
          </w:p>
        </w:tc>
        <w:tc>
          <w:tcPr>
            <w:tcW w:w="1667" w:type="pct"/>
            <w:tcBorders>
              <w:top w:val="single" w:sz="2" w:space="0" w:color="000000"/>
              <w:left w:val="single" w:sz="2" w:space="0" w:color="000000"/>
              <w:bottom w:val="single" w:sz="2" w:space="0" w:color="000000"/>
              <w:right w:val="single" w:sz="2" w:space="0" w:color="000000"/>
            </w:tcBorders>
            <w:vAlign w:val="center"/>
            <w:hideMark/>
          </w:tcPr>
          <w:p w14:paraId="7018CC1F"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Tension</w:t>
            </w:r>
          </w:p>
        </w:tc>
      </w:tr>
      <w:tr w:rsidR="001B7F77" w:rsidRPr="001B7F77" w14:paraId="7E7ED16D" w14:textId="77777777" w:rsidTr="006655A1">
        <w:tc>
          <w:tcPr>
            <w:tcW w:w="0" w:type="auto"/>
            <w:vMerge/>
            <w:tcBorders>
              <w:top w:val="single" w:sz="2" w:space="0" w:color="000000"/>
              <w:left w:val="single" w:sz="2" w:space="0" w:color="000000"/>
              <w:bottom w:val="single" w:sz="4" w:space="0" w:color="auto"/>
              <w:right w:val="nil"/>
            </w:tcBorders>
            <w:vAlign w:val="center"/>
            <w:hideMark/>
          </w:tcPr>
          <w:p w14:paraId="138D15D4" w14:textId="77777777" w:rsidR="001B7F77" w:rsidRPr="001B7F77" w:rsidRDefault="001B7F77" w:rsidP="00FD2721">
            <w:pPr>
              <w:suppressAutoHyphens/>
              <w:spacing w:before="120" w:line="256" w:lineRule="auto"/>
              <w:jc w:val="left"/>
              <w:rPr>
                <w:szCs w:val="24"/>
                <w:u w:val="single"/>
              </w:rPr>
            </w:pPr>
          </w:p>
        </w:tc>
        <w:tc>
          <w:tcPr>
            <w:tcW w:w="1667" w:type="pct"/>
            <w:tcBorders>
              <w:top w:val="single" w:sz="2" w:space="0" w:color="000000"/>
              <w:left w:val="single" w:sz="2" w:space="0" w:color="000000"/>
              <w:bottom w:val="single" w:sz="4" w:space="0" w:color="auto"/>
              <w:right w:val="nil"/>
            </w:tcBorders>
            <w:vAlign w:val="center"/>
            <w:hideMark/>
          </w:tcPr>
          <w:p w14:paraId="268B1945"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10</w:t>
            </w:r>
          </w:p>
        </w:tc>
        <w:tc>
          <w:tcPr>
            <w:tcW w:w="1667" w:type="pct"/>
            <w:tcBorders>
              <w:top w:val="single" w:sz="2" w:space="0" w:color="000000"/>
              <w:left w:val="single" w:sz="2" w:space="0" w:color="000000"/>
              <w:bottom w:val="single" w:sz="4" w:space="0" w:color="auto"/>
              <w:right w:val="single" w:sz="2" w:space="0" w:color="000000"/>
            </w:tcBorders>
            <w:vAlign w:val="center"/>
            <w:hideMark/>
          </w:tcPr>
          <w:p w14:paraId="41553FD6"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Shear</w:t>
            </w:r>
          </w:p>
        </w:tc>
      </w:tr>
      <w:tr w:rsidR="001B7F77" w:rsidRPr="001B7F77" w14:paraId="15EA8F65" w14:textId="77777777" w:rsidTr="006655A1">
        <w:trPr>
          <w:trHeight w:val="1069"/>
        </w:trPr>
        <w:tc>
          <w:tcPr>
            <w:tcW w:w="5000" w:type="pct"/>
            <w:gridSpan w:val="3"/>
            <w:tcBorders>
              <w:top w:val="single" w:sz="4" w:space="0" w:color="auto"/>
              <w:left w:val="nil"/>
              <w:bottom w:val="nil"/>
              <w:right w:val="nil"/>
            </w:tcBorders>
            <w:vAlign w:val="center"/>
            <w:hideMark/>
          </w:tcPr>
          <w:p w14:paraId="623536E2" w14:textId="77777777" w:rsidR="001B7F77" w:rsidRPr="001B7F77" w:rsidRDefault="001B7F77" w:rsidP="00FD2721">
            <w:pPr>
              <w:suppressAutoHyphens/>
              <w:spacing w:line="256" w:lineRule="auto"/>
              <w:ind w:left="572" w:right="54" w:hanging="302"/>
              <w:jc w:val="left"/>
              <w:rPr>
                <w:rFonts w:eastAsia="Calibri"/>
                <w:sz w:val="18"/>
                <w:szCs w:val="14"/>
                <w:u w:val="single"/>
              </w:rPr>
            </w:pPr>
            <w:r w:rsidRPr="001B7F77">
              <w:rPr>
                <w:rFonts w:eastAsia="Calibri"/>
                <w:sz w:val="18"/>
                <w:szCs w:val="14"/>
                <w:u w:val="single"/>
              </w:rPr>
              <w:t>Notes:</w:t>
            </w:r>
          </w:p>
          <w:p w14:paraId="2E8778B5" w14:textId="77777777" w:rsidR="001B7F77" w:rsidRPr="001B7F77" w:rsidRDefault="001B7F77" w:rsidP="00FD2721">
            <w:pPr>
              <w:suppressAutoHyphens/>
              <w:spacing w:line="256" w:lineRule="auto"/>
              <w:ind w:left="572" w:right="54" w:hanging="302"/>
              <w:jc w:val="left"/>
              <w:rPr>
                <w:sz w:val="18"/>
                <w:szCs w:val="14"/>
                <w:u w:val="single"/>
              </w:rPr>
            </w:pPr>
            <w:r w:rsidRPr="001B7F77">
              <w:rPr>
                <w:rFonts w:eastAsia="Calibri"/>
                <w:sz w:val="18"/>
                <w:szCs w:val="14"/>
                <w:u w:val="single"/>
              </w:rPr>
              <w:t>(a)</w:t>
            </w:r>
            <w:r w:rsidRPr="001B7F77">
              <w:rPr>
                <w:rFonts w:eastAsia="Calibri"/>
                <w:sz w:val="18"/>
                <w:szCs w:val="14"/>
                <w:u w:val="single"/>
              </w:rPr>
              <w:tab/>
              <w:t>capacities are based on nominal diameter of fastener.</w:t>
            </w:r>
          </w:p>
          <w:p w14:paraId="1E2E9438" w14:textId="77777777" w:rsidR="001B7F77" w:rsidRPr="001B7F77" w:rsidRDefault="001B7F77" w:rsidP="00FD2721">
            <w:pPr>
              <w:suppressAutoHyphens/>
              <w:spacing w:line="256" w:lineRule="auto"/>
              <w:ind w:left="572" w:right="54" w:hanging="302"/>
              <w:jc w:val="left"/>
              <w:rPr>
                <w:sz w:val="18"/>
                <w:szCs w:val="14"/>
                <w:u w:val="single"/>
              </w:rPr>
            </w:pPr>
            <w:r w:rsidRPr="001B7F77">
              <w:rPr>
                <w:rFonts w:eastAsia="Calibri"/>
                <w:sz w:val="18"/>
                <w:szCs w:val="14"/>
                <w:u w:val="single"/>
              </w:rPr>
              <w:t>(b)</w:t>
            </w:r>
            <w:r w:rsidRPr="001B7F77">
              <w:rPr>
                <w:rFonts w:eastAsia="Calibri"/>
                <w:sz w:val="18"/>
                <w:szCs w:val="14"/>
                <w:u w:val="single"/>
              </w:rPr>
              <w:tab/>
              <w:t>threads need not be excluded from shear plane.</w:t>
            </w:r>
          </w:p>
          <w:p w14:paraId="7BF8E15C" w14:textId="77777777" w:rsidR="001B7F77" w:rsidRPr="001B7F77" w:rsidRDefault="001B7F77" w:rsidP="00FD2721">
            <w:pPr>
              <w:suppressAutoHyphens/>
              <w:spacing w:line="256" w:lineRule="auto"/>
              <w:ind w:left="572" w:right="54" w:hanging="302"/>
              <w:jc w:val="left"/>
              <w:rPr>
                <w:u w:val="single"/>
              </w:rPr>
            </w:pPr>
            <w:r w:rsidRPr="001B7F77">
              <w:rPr>
                <w:rFonts w:eastAsia="Calibri"/>
                <w:sz w:val="18"/>
                <w:szCs w:val="14"/>
                <w:u w:val="single"/>
              </w:rPr>
              <w:t>(c)</w:t>
            </w:r>
            <w:r w:rsidRPr="001B7F77">
              <w:rPr>
                <w:rFonts w:eastAsia="Calibri"/>
                <w:sz w:val="18"/>
                <w:szCs w:val="14"/>
                <w:u w:val="single"/>
              </w:rPr>
              <w:tab/>
              <w:t>ASTM A307 published in 1947.</w:t>
            </w:r>
          </w:p>
        </w:tc>
      </w:tr>
    </w:tbl>
    <w:p w14:paraId="628BCAAA" w14:textId="77777777" w:rsidR="001B7F77" w:rsidRPr="001B7F77" w:rsidRDefault="001B7F77" w:rsidP="00FD2721">
      <w:pPr>
        <w:widowControl w:val="0"/>
        <w:suppressAutoHyphens/>
        <w:spacing w:before="120"/>
        <w:jc w:val="center"/>
        <w:outlineLvl w:val="0"/>
        <w:rPr>
          <w:b/>
          <w:bCs/>
          <w:u w:val="single"/>
        </w:rPr>
      </w:pPr>
      <w:r w:rsidRPr="001B7F77">
        <w:rPr>
          <w:b/>
          <w:bCs/>
          <w:u w:val="single"/>
        </w:rPr>
        <w:t>TABLE H103.2.1</w:t>
      </w:r>
      <w:r w:rsidRPr="001B7F77">
        <w:rPr>
          <w:b/>
          <w:bCs/>
          <w:u w:val="single"/>
        </w:rPr>
        <w:br/>
        <w:t>STEEL STRESSES: RIVETS</w:t>
      </w:r>
    </w:p>
    <w:tbl>
      <w:tblPr>
        <w:tblW w:w="5000" w:type="pct"/>
        <w:tblCellMar>
          <w:top w:w="55" w:type="dxa"/>
          <w:left w:w="55" w:type="dxa"/>
          <w:bottom w:w="55" w:type="dxa"/>
          <w:right w:w="55" w:type="dxa"/>
        </w:tblCellMar>
        <w:tblLook w:val="04A0" w:firstRow="1" w:lastRow="0" w:firstColumn="1" w:lastColumn="0" w:noHBand="0" w:noVBand="1"/>
      </w:tblPr>
      <w:tblGrid>
        <w:gridCol w:w="3118"/>
        <w:gridCol w:w="3119"/>
        <w:gridCol w:w="3117"/>
      </w:tblGrid>
      <w:tr w:rsidR="001B7F77" w:rsidRPr="001B7F77" w14:paraId="19D4AB30" w14:textId="77777777" w:rsidTr="006655A1">
        <w:trPr>
          <w:cantSplit/>
          <w:tblHeader/>
        </w:trPr>
        <w:tc>
          <w:tcPr>
            <w:tcW w:w="1667" w:type="pct"/>
            <w:tcBorders>
              <w:top w:val="single" w:sz="2" w:space="0" w:color="000000"/>
              <w:left w:val="single" w:sz="2" w:space="0" w:color="000000"/>
              <w:bottom w:val="single" w:sz="2" w:space="0" w:color="000000"/>
              <w:right w:val="nil"/>
            </w:tcBorders>
            <w:vAlign w:val="center"/>
            <w:hideMark/>
          </w:tcPr>
          <w:p w14:paraId="27EAC5B5" w14:textId="77777777" w:rsidR="001B7F77" w:rsidRPr="001B7F77" w:rsidRDefault="001B7F77" w:rsidP="00FD2721">
            <w:pPr>
              <w:widowControl w:val="0"/>
              <w:tabs>
                <w:tab w:val="left" w:pos="360"/>
              </w:tabs>
              <w:spacing w:before="120"/>
              <w:ind w:right="54"/>
              <w:jc w:val="center"/>
              <w:rPr>
                <w:rFonts w:eastAsia="Calibri"/>
                <w:b/>
                <w:bCs/>
                <w:szCs w:val="24"/>
                <w:u w:val="single"/>
              </w:rPr>
            </w:pPr>
            <w:r w:rsidRPr="001B7F77">
              <w:rPr>
                <w:rFonts w:eastAsia="Calibri"/>
                <w:b/>
                <w:bCs/>
                <w:szCs w:val="24"/>
                <w:u w:val="single"/>
              </w:rPr>
              <w:t>Years</w:t>
            </w:r>
          </w:p>
        </w:tc>
        <w:tc>
          <w:tcPr>
            <w:tcW w:w="1667" w:type="pct"/>
            <w:tcBorders>
              <w:top w:val="single" w:sz="2" w:space="0" w:color="000000"/>
              <w:left w:val="single" w:sz="2" w:space="0" w:color="000000"/>
              <w:bottom w:val="single" w:sz="2" w:space="0" w:color="000000"/>
              <w:right w:val="nil"/>
            </w:tcBorders>
            <w:vAlign w:val="center"/>
            <w:hideMark/>
          </w:tcPr>
          <w:p w14:paraId="74AF8472" w14:textId="77777777" w:rsidR="001B7F77" w:rsidRPr="001B7F77" w:rsidRDefault="001B7F77" w:rsidP="00FD2721">
            <w:pPr>
              <w:widowControl w:val="0"/>
              <w:tabs>
                <w:tab w:val="left" w:pos="360"/>
              </w:tabs>
              <w:spacing w:before="120"/>
              <w:ind w:right="54"/>
              <w:jc w:val="center"/>
              <w:rPr>
                <w:rFonts w:eastAsia="Calibri"/>
                <w:b/>
                <w:bCs/>
                <w:szCs w:val="24"/>
                <w:u w:val="single"/>
              </w:rPr>
            </w:pPr>
            <w:r w:rsidRPr="001B7F77">
              <w:rPr>
                <w:rFonts w:eastAsia="Calibri"/>
                <w:b/>
                <w:bCs/>
                <w:szCs w:val="24"/>
                <w:u w:val="single"/>
              </w:rPr>
              <w:t>Allowable Stress (ksi)</w:t>
            </w:r>
          </w:p>
        </w:tc>
        <w:tc>
          <w:tcPr>
            <w:tcW w:w="1667" w:type="pct"/>
            <w:tcBorders>
              <w:top w:val="single" w:sz="2" w:space="0" w:color="000000"/>
              <w:left w:val="single" w:sz="2" w:space="0" w:color="000000"/>
              <w:bottom w:val="single" w:sz="2" w:space="0" w:color="000000"/>
              <w:right w:val="single" w:sz="2" w:space="0" w:color="000000"/>
            </w:tcBorders>
            <w:vAlign w:val="center"/>
            <w:hideMark/>
          </w:tcPr>
          <w:p w14:paraId="0C790580" w14:textId="77777777" w:rsidR="001B7F77" w:rsidRPr="001B7F77" w:rsidRDefault="001B7F77" w:rsidP="00FD2721">
            <w:pPr>
              <w:widowControl w:val="0"/>
              <w:tabs>
                <w:tab w:val="left" w:pos="360"/>
              </w:tabs>
              <w:spacing w:before="120"/>
              <w:ind w:right="54"/>
              <w:jc w:val="center"/>
              <w:rPr>
                <w:rFonts w:eastAsia="Calibri"/>
                <w:b/>
                <w:bCs/>
                <w:szCs w:val="24"/>
                <w:u w:val="single"/>
              </w:rPr>
            </w:pPr>
            <w:r w:rsidRPr="001B7F77">
              <w:rPr>
                <w:rFonts w:eastAsia="Calibri"/>
                <w:b/>
                <w:bCs/>
                <w:szCs w:val="24"/>
                <w:u w:val="single"/>
              </w:rPr>
              <w:t>Load Type</w:t>
            </w:r>
          </w:p>
        </w:tc>
      </w:tr>
      <w:tr w:rsidR="001B7F77" w:rsidRPr="001B7F77" w14:paraId="65E5846C" w14:textId="77777777" w:rsidTr="006655A1">
        <w:tc>
          <w:tcPr>
            <w:tcW w:w="1667" w:type="pct"/>
            <w:vMerge w:val="restart"/>
            <w:tcBorders>
              <w:top w:val="nil"/>
              <w:left w:val="single" w:sz="2" w:space="0" w:color="000000"/>
              <w:bottom w:val="single" w:sz="2" w:space="0" w:color="000000"/>
              <w:right w:val="nil"/>
            </w:tcBorders>
            <w:vAlign w:val="center"/>
            <w:hideMark/>
          </w:tcPr>
          <w:p w14:paraId="0EB7FFF2"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1899-1923</w:t>
            </w:r>
          </w:p>
        </w:tc>
        <w:tc>
          <w:tcPr>
            <w:tcW w:w="1667" w:type="pct"/>
            <w:tcBorders>
              <w:top w:val="nil"/>
              <w:left w:val="single" w:sz="2" w:space="0" w:color="000000"/>
              <w:bottom w:val="single" w:sz="2" w:space="0" w:color="000000"/>
              <w:right w:val="nil"/>
            </w:tcBorders>
            <w:vAlign w:val="center"/>
            <w:hideMark/>
          </w:tcPr>
          <w:p w14:paraId="43E2A089" w14:textId="77777777" w:rsidR="001B7F77" w:rsidRPr="001B7F77" w:rsidRDefault="001B7F77" w:rsidP="00FD2721">
            <w:pPr>
              <w:widowControl w:val="0"/>
              <w:tabs>
                <w:tab w:val="left" w:pos="360"/>
              </w:tabs>
              <w:spacing w:before="120"/>
              <w:ind w:right="54"/>
              <w:jc w:val="center"/>
              <w:rPr>
                <w:rFonts w:eastAsia="Calibri"/>
                <w:color w:val="000000"/>
                <w:szCs w:val="24"/>
                <w:u w:val="single"/>
              </w:rPr>
            </w:pPr>
            <w:r w:rsidRPr="001B7F77">
              <w:rPr>
                <w:rFonts w:eastAsia="Calibri"/>
                <w:color w:val="000000"/>
                <w:szCs w:val="24"/>
                <w:u w:val="single"/>
              </w:rPr>
              <w:t>5</w:t>
            </w:r>
          </w:p>
        </w:tc>
        <w:tc>
          <w:tcPr>
            <w:tcW w:w="1667" w:type="pct"/>
            <w:tcBorders>
              <w:top w:val="nil"/>
              <w:left w:val="single" w:sz="2" w:space="0" w:color="000000"/>
              <w:bottom w:val="single" w:sz="2" w:space="0" w:color="000000"/>
              <w:right w:val="single" w:sz="2" w:space="0" w:color="000000"/>
            </w:tcBorders>
            <w:vAlign w:val="center"/>
            <w:hideMark/>
          </w:tcPr>
          <w:p w14:paraId="68357565"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Tension</w:t>
            </w:r>
          </w:p>
        </w:tc>
      </w:tr>
      <w:tr w:rsidR="001B7F77" w:rsidRPr="001B7F77" w14:paraId="3CFEE8AD" w14:textId="77777777" w:rsidTr="006655A1">
        <w:tc>
          <w:tcPr>
            <w:tcW w:w="0" w:type="auto"/>
            <w:vMerge/>
            <w:tcBorders>
              <w:top w:val="nil"/>
              <w:left w:val="single" w:sz="2" w:space="0" w:color="000000"/>
              <w:bottom w:val="single" w:sz="2" w:space="0" w:color="000000"/>
              <w:right w:val="nil"/>
            </w:tcBorders>
            <w:vAlign w:val="center"/>
            <w:hideMark/>
          </w:tcPr>
          <w:p w14:paraId="3116102E" w14:textId="77777777" w:rsidR="001B7F77" w:rsidRPr="001B7F77" w:rsidRDefault="001B7F77" w:rsidP="00FD2721">
            <w:pPr>
              <w:suppressAutoHyphens/>
              <w:spacing w:before="120" w:line="256" w:lineRule="auto"/>
              <w:jc w:val="left"/>
              <w:rPr>
                <w:szCs w:val="24"/>
                <w:u w:val="single"/>
              </w:rPr>
            </w:pPr>
          </w:p>
        </w:tc>
        <w:tc>
          <w:tcPr>
            <w:tcW w:w="1667" w:type="pct"/>
            <w:tcBorders>
              <w:top w:val="nil"/>
              <w:left w:val="single" w:sz="2" w:space="0" w:color="000000"/>
              <w:bottom w:val="single" w:sz="2" w:space="0" w:color="000000"/>
              <w:right w:val="nil"/>
            </w:tcBorders>
            <w:vAlign w:val="center"/>
            <w:hideMark/>
          </w:tcPr>
          <w:p w14:paraId="36779299"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8</w:t>
            </w:r>
          </w:p>
        </w:tc>
        <w:tc>
          <w:tcPr>
            <w:tcW w:w="1667" w:type="pct"/>
            <w:tcBorders>
              <w:top w:val="nil"/>
              <w:left w:val="single" w:sz="2" w:space="0" w:color="000000"/>
              <w:bottom w:val="single" w:sz="2" w:space="0" w:color="000000"/>
              <w:right w:val="single" w:sz="2" w:space="0" w:color="000000"/>
            </w:tcBorders>
            <w:vAlign w:val="center"/>
            <w:hideMark/>
          </w:tcPr>
          <w:p w14:paraId="243FC1EA"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Shear</w:t>
            </w:r>
          </w:p>
        </w:tc>
      </w:tr>
      <w:tr w:rsidR="001B7F77" w:rsidRPr="001B7F77" w14:paraId="02F40C5C" w14:textId="77777777" w:rsidTr="006655A1">
        <w:tc>
          <w:tcPr>
            <w:tcW w:w="1667" w:type="pct"/>
            <w:vMerge w:val="restart"/>
            <w:tcBorders>
              <w:top w:val="nil"/>
              <w:left w:val="single" w:sz="2" w:space="0" w:color="000000"/>
              <w:bottom w:val="single" w:sz="2" w:space="0" w:color="000000"/>
              <w:right w:val="nil"/>
            </w:tcBorders>
            <w:vAlign w:val="center"/>
            <w:hideMark/>
          </w:tcPr>
          <w:p w14:paraId="1A31174E"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1924-1936</w:t>
            </w:r>
          </w:p>
        </w:tc>
        <w:tc>
          <w:tcPr>
            <w:tcW w:w="1667" w:type="pct"/>
            <w:tcBorders>
              <w:top w:val="nil"/>
              <w:left w:val="single" w:sz="2" w:space="0" w:color="000000"/>
              <w:bottom w:val="single" w:sz="2" w:space="0" w:color="000000"/>
              <w:right w:val="nil"/>
            </w:tcBorders>
            <w:vAlign w:val="center"/>
            <w:hideMark/>
          </w:tcPr>
          <w:p w14:paraId="6857D8BC" w14:textId="77777777" w:rsidR="001B7F77" w:rsidRPr="001B7F77" w:rsidRDefault="001B7F77" w:rsidP="00FD2721">
            <w:pPr>
              <w:widowControl w:val="0"/>
              <w:tabs>
                <w:tab w:val="left" w:pos="360"/>
              </w:tabs>
              <w:spacing w:before="120"/>
              <w:ind w:right="54"/>
              <w:jc w:val="center"/>
              <w:rPr>
                <w:rFonts w:eastAsia="Calibri"/>
                <w:color w:val="000000"/>
                <w:szCs w:val="24"/>
                <w:u w:val="single"/>
              </w:rPr>
            </w:pPr>
            <w:r w:rsidRPr="001B7F77">
              <w:rPr>
                <w:rFonts w:eastAsia="Calibri"/>
                <w:color w:val="000000"/>
                <w:szCs w:val="24"/>
                <w:u w:val="single"/>
              </w:rPr>
              <w:t>7</w:t>
            </w:r>
          </w:p>
        </w:tc>
        <w:tc>
          <w:tcPr>
            <w:tcW w:w="1667" w:type="pct"/>
            <w:tcBorders>
              <w:top w:val="nil"/>
              <w:left w:val="single" w:sz="2" w:space="0" w:color="000000"/>
              <w:bottom w:val="single" w:sz="2" w:space="0" w:color="000000"/>
              <w:right w:val="single" w:sz="2" w:space="0" w:color="000000"/>
            </w:tcBorders>
            <w:vAlign w:val="center"/>
            <w:hideMark/>
          </w:tcPr>
          <w:p w14:paraId="0D22967E"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Tension</w:t>
            </w:r>
          </w:p>
        </w:tc>
      </w:tr>
      <w:tr w:rsidR="001B7F77" w:rsidRPr="001B7F77" w14:paraId="66FBD84C" w14:textId="77777777" w:rsidTr="006655A1">
        <w:tc>
          <w:tcPr>
            <w:tcW w:w="0" w:type="auto"/>
            <w:vMerge/>
            <w:tcBorders>
              <w:top w:val="nil"/>
              <w:left w:val="single" w:sz="2" w:space="0" w:color="000000"/>
              <w:bottom w:val="single" w:sz="2" w:space="0" w:color="000000"/>
              <w:right w:val="nil"/>
            </w:tcBorders>
            <w:vAlign w:val="center"/>
            <w:hideMark/>
          </w:tcPr>
          <w:p w14:paraId="678ADBD1" w14:textId="77777777" w:rsidR="001B7F77" w:rsidRPr="001B7F77" w:rsidRDefault="001B7F77" w:rsidP="00FD2721">
            <w:pPr>
              <w:suppressAutoHyphens/>
              <w:spacing w:before="120" w:line="256" w:lineRule="auto"/>
              <w:jc w:val="left"/>
              <w:rPr>
                <w:szCs w:val="24"/>
                <w:u w:val="single"/>
              </w:rPr>
            </w:pPr>
          </w:p>
        </w:tc>
        <w:tc>
          <w:tcPr>
            <w:tcW w:w="1667" w:type="pct"/>
            <w:tcBorders>
              <w:top w:val="nil"/>
              <w:left w:val="single" w:sz="2" w:space="0" w:color="000000"/>
              <w:bottom w:val="single" w:sz="2" w:space="0" w:color="000000"/>
              <w:right w:val="nil"/>
            </w:tcBorders>
            <w:vAlign w:val="center"/>
            <w:hideMark/>
          </w:tcPr>
          <w:p w14:paraId="551FDC2F"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10</w:t>
            </w:r>
          </w:p>
        </w:tc>
        <w:tc>
          <w:tcPr>
            <w:tcW w:w="1667" w:type="pct"/>
            <w:tcBorders>
              <w:top w:val="nil"/>
              <w:left w:val="single" w:sz="2" w:space="0" w:color="000000"/>
              <w:bottom w:val="single" w:sz="2" w:space="0" w:color="000000"/>
              <w:right w:val="single" w:sz="2" w:space="0" w:color="000000"/>
            </w:tcBorders>
            <w:vAlign w:val="center"/>
            <w:hideMark/>
          </w:tcPr>
          <w:p w14:paraId="424EE033"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Shear</w:t>
            </w:r>
          </w:p>
        </w:tc>
      </w:tr>
      <w:tr w:rsidR="001B7F77" w:rsidRPr="001B7F77" w14:paraId="3C4886A0" w14:textId="77777777" w:rsidTr="006655A1">
        <w:tc>
          <w:tcPr>
            <w:tcW w:w="1667" w:type="pct"/>
            <w:vMerge w:val="restart"/>
            <w:tcBorders>
              <w:top w:val="nil"/>
              <w:left w:val="single" w:sz="2" w:space="0" w:color="000000"/>
              <w:bottom w:val="single" w:sz="2" w:space="0" w:color="000000"/>
              <w:right w:val="nil"/>
            </w:tcBorders>
            <w:vAlign w:val="center"/>
            <w:hideMark/>
          </w:tcPr>
          <w:p w14:paraId="66A5B84B"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1937-1946</w:t>
            </w:r>
          </w:p>
        </w:tc>
        <w:tc>
          <w:tcPr>
            <w:tcW w:w="1667" w:type="pct"/>
            <w:tcBorders>
              <w:top w:val="nil"/>
              <w:left w:val="single" w:sz="2" w:space="0" w:color="000000"/>
              <w:bottom w:val="single" w:sz="2" w:space="0" w:color="000000"/>
              <w:right w:val="nil"/>
            </w:tcBorders>
            <w:vAlign w:val="center"/>
            <w:hideMark/>
          </w:tcPr>
          <w:p w14:paraId="7E9C0988"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15</w:t>
            </w:r>
          </w:p>
        </w:tc>
        <w:tc>
          <w:tcPr>
            <w:tcW w:w="1667" w:type="pct"/>
            <w:tcBorders>
              <w:top w:val="nil"/>
              <w:left w:val="single" w:sz="2" w:space="0" w:color="000000"/>
              <w:bottom w:val="single" w:sz="2" w:space="0" w:color="000000"/>
              <w:right w:val="single" w:sz="2" w:space="0" w:color="000000"/>
            </w:tcBorders>
            <w:vAlign w:val="center"/>
            <w:hideMark/>
          </w:tcPr>
          <w:p w14:paraId="4326A303"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Tension</w:t>
            </w:r>
          </w:p>
        </w:tc>
      </w:tr>
      <w:tr w:rsidR="001B7F77" w:rsidRPr="001B7F77" w14:paraId="37FB0F4A" w14:textId="77777777" w:rsidTr="006655A1">
        <w:tc>
          <w:tcPr>
            <w:tcW w:w="0" w:type="auto"/>
            <w:vMerge/>
            <w:tcBorders>
              <w:top w:val="nil"/>
              <w:left w:val="single" w:sz="2" w:space="0" w:color="000000"/>
              <w:bottom w:val="single" w:sz="2" w:space="0" w:color="000000"/>
              <w:right w:val="nil"/>
            </w:tcBorders>
            <w:vAlign w:val="center"/>
            <w:hideMark/>
          </w:tcPr>
          <w:p w14:paraId="45618E7A" w14:textId="77777777" w:rsidR="001B7F77" w:rsidRPr="001B7F77" w:rsidRDefault="001B7F77" w:rsidP="00FD2721">
            <w:pPr>
              <w:suppressAutoHyphens/>
              <w:spacing w:before="120" w:line="256" w:lineRule="auto"/>
              <w:jc w:val="left"/>
              <w:rPr>
                <w:szCs w:val="24"/>
                <w:u w:val="single"/>
              </w:rPr>
            </w:pPr>
          </w:p>
        </w:tc>
        <w:tc>
          <w:tcPr>
            <w:tcW w:w="1667" w:type="pct"/>
            <w:tcBorders>
              <w:top w:val="nil"/>
              <w:left w:val="single" w:sz="2" w:space="0" w:color="000000"/>
              <w:bottom w:val="single" w:sz="2" w:space="0" w:color="000000"/>
              <w:right w:val="nil"/>
            </w:tcBorders>
            <w:vAlign w:val="center"/>
            <w:hideMark/>
          </w:tcPr>
          <w:p w14:paraId="4AA3BCCE"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15</w:t>
            </w:r>
          </w:p>
        </w:tc>
        <w:tc>
          <w:tcPr>
            <w:tcW w:w="1667" w:type="pct"/>
            <w:tcBorders>
              <w:top w:val="nil"/>
              <w:left w:val="single" w:sz="2" w:space="0" w:color="000000"/>
              <w:bottom w:val="single" w:sz="2" w:space="0" w:color="000000"/>
              <w:right w:val="single" w:sz="2" w:space="0" w:color="000000"/>
            </w:tcBorders>
            <w:vAlign w:val="center"/>
            <w:hideMark/>
          </w:tcPr>
          <w:p w14:paraId="068F068D"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Shear</w:t>
            </w:r>
          </w:p>
        </w:tc>
      </w:tr>
      <w:tr w:rsidR="001B7F77" w:rsidRPr="001B7F77" w14:paraId="23C4DDD4" w14:textId="77777777" w:rsidTr="006655A1">
        <w:tc>
          <w:tcPr>
            <w:tcW w:w="1667" w:type="pct"/>
            <w:vMerge w:val="restart"/>
            <w:tcBorders>
              <w:top w:val="single" w:sz="2" w:space="0" w:color="000000"/>
              <w:left w:val="single" w:sz="2" w:space="0" w:color="000000"/>
              <w:bottom w:val="single" w:sz="4" w:space="0" w:color="auto"/>
              <w:right w:val="nil"/>
            </w:tcBorders>
            <w:vAlign w:val="center"/>
            <w:hideMark/>
          </w:tcPr>
          <w:p w14:paraId="358648F9"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1947-1961</w:t>
            </w:r>
          </w:p>
        </w:tc>
        <w:tc>
          <w:tcPr>
            <w:tcW w:w="1667" w:type="pct"/>
            <w:tcBorders>
              <w:top w:val="single" w:sz="2" w:space="0" w:color="000000"/>
              <w:left w:val="single" w:sz="2" w:space="0" w:color="000000"/>
              <w:bottom w:val="single" w:sz="2" w:space="0" w:color="000000"/>
              <w:right w:val="nil"/>
            </w:tcBorders>
            <w:vAlign w:val="center"/>
            <w:hideMark/>
          </w:tcPr>
          <w:p w14:paraId="7BAA500B"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20</w:t>
            </w:r>
          </w:p>
        </w:tc>
        <w:tc>
          <w:tcPr>
            <w:tcW w:w="1667" w:type="pct"/>
            <w:tcBorders>
              <w:top w:val="single" w:sz="2" w:space="0" w:color="000000"/>
              <w:left w:val="single" w:sz="2" w:space="0" w:color="000000"/>
              <w:bottom w:val="single" w:sz="2" w:space="0" w:color="000000"/>
              <w:right w:val="single" w:sz="2" w:space="0" w:color="000000"/>
            </w:tcBorders>
            <w:vAlign w:val="center"/>
            <w:hideMark/>
          </w:tcPr>
          <w:p w14:paraId="4FCDC329"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Tension</w:t>
            </w:r>
          </w:p>
        </w:tc>
      </w:tr>
      <w:tr w:rsidR="001B7F77" w:rsidRPr="001B7F77" w14:paraId="07604D0A" w14:textId="77777777" w:rsidTr="006655A1">
        <w:tc>
          <w:tcPr>
            <w:tcW w:w="0" w:type="auto"/>
            <w:vMerge/>
            <w:tcBorders>
              <w:top w:val="single" w:sz="2" w:space="0" w:color="000000"/>
              <w:left w:val="single" w:sz="2" w:space="0" w:color="000000"/>
              <w:bottom w:val="single" w:sz="4" w:space="0" w:color="auto"/>
              <w:right w:val="nil"/>
            </w:tcBorders>
            <w:vAlign w:val="center"/>
            <w:hideMark/>
          </w:tcPr>
          <w:p w14:paraId="527ED100" w14:textId="77777777" w:rsidR="001B7F77" w:rsidRPr="001B7F77" w:rsidRDefault="001B7F77" w:rsidP="00FD2721">
            <w:pPr>
              <w:suppressAutoHyphens/>
              <w:spacing w:before="120" w:line="256" w:lineRule="auto"/>
              <w:jc w:val="left"/>
              <w:rPr>
                <w:szCs w:val="24"/>
                <w:u w:val="single"/>
              </w:rPr>
            </w:pPr>
          </w:p>
        </w:tc>
        <w:tc>
          <w:tcPr>
            <w:tcW w:w="1667" w:type="pct"/>
            <w:tcBorders>
              <w:top w:val="single" w:sz="2" w:space="0" w:color="000000"/>
              <w:left w:val="single" w:sz="2" w:space="0" w:color="000000"/>
              <w:bottom w:val="single" w:sz="4" w:space="0" w:color="auto"/>
              <w:right w:val="nil"/>
            </w:tcBorders>
            <w:vAlign w:val="center"/>
            <w:hideMark/>
          </w:tcPr>
          <w:p w14:paraId="6624D5AC"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15</w:t>
            </w:r>
          </w:p>
        </w:tc>
        <w:tc>
          <w:tcPr>
            <w:tcW w:w="1667" w:type="pct"/>
            <w:tcBorders>
              <w:top w:val="single" w:sz="2" w:space="0" w:color="000000"/>
              <w:left w:val="single" w:sz="2" w:space="0" w:color="000000"/>
              <w:bottom w:val="single" w:sz="4" w:space="0" w:color="auto"/>
              <w:right w:val="single" w:sz="2" w:space="0" w:color="000000"/>
            </w:tcBorders>
            <w:vAlign w:val="center"/>
            <w:hideMark/>
          </w:tcPr>
          <w:p w14:paraId="2E261E2C"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Shear</w:t>
            </w:r>
          </w:p>
        </w:tc>
      </w:tr>
      <w:tr w:rsidR="001B7F77" w:rsidRPr="001B7F77" w14:paraId="5F21B849" w14:textId="77777777" w:rsidTr="006655A1">
        <w:tc>
          <w:tcPr>
            <w:tcW w:w="5000" w:type="pct"/>
            <w:gridSpan w:val="3"/>
            <w:tcBorders>
              <w:top w:val="single" w:sz="4" w:space="0" w:color="auto"/>
              <w:left w:val="nil"/>
              <w:bottom w:val="nil"/>
              <w:right w:val="nil"/>
            </w:tcBorders>
            <w:vAlign w:val="center"/>
            <w:hideMark/>
          </w:tcPr>
          <w:p w14:paraId="14781DF3" w14:textId="77777777" w:rsidR="001B7F77" w:rsidRPr="001B7F77" w:rsidRDefault="001B7F77" w:rsidP="00FD2721">
            <w:pPr>
              <w:suppressAutoHyphens/>
              <w:spacing w:before="120" w:line="256" w:lineRule="auto"/>
              <w:ind w:left="212" w:right="54"/>
              <w:jc w:val="left"/>
              <w:rPr>
                <w:u w:val="single"/>
              </w:rPr>
            </w:pPr>
            <w:r w:rsidRPr="001B7F77">
              <w:rPr>
                <w:rFonts w:eastAsia="Calibri"/>
                <w:sz w:val="18"/>
                <w:szCs w:val="14"/>
                <w:u w:val="single"/>
              </w:rPr>
              <w:t>Notes:</w:t>
            </w:r>
            <w:r w:rsidRPr="001B7F77">
              <w:rPr>
                <w:rFonts w:eastAsia="Calibri"/>
                <w:sz w:val="18"/>
                <w:szCs w:val="14"/>
                <w:u w:val="single"/>
              </w:rPr>
              <w:tab/>
              <w:t>ASTM A141 for rivets published in 1933.</w:t>
            </w:r>
          </w:p>
        </w:tc>
      </w:tr>
    </w:tbl>
    <w:p w14:paraId="2BA7AD86" w14:textId="77777777" w:rsidR="001B7F77" w:rsidRPr="001B7F77" w:rsidRDefault="001B7F77" w:rsidP="00FD2721">
      <w:pPr>
        <w:widowControl w:val="0"/>
        <w:suppressAutoHyphens/>
        <w:spacing w:before="120"/>
        <w:jc w:val="center"/>
        <w:outlineLvl w:val="0"/>
        <w:rPr>
          <w:b/>
          <w:bCs/>
          <w:u w:val="single"/>
        </w:rPr>
      </w:pPr>
      <w:r w:rsidRPr="001B7F77">
        <w:rPr>
          <w:b/>
          <w:bCs/>
          <w:u w:val="single"/>
        </w:rPr>
        <w:t>TABLE H103.2.3</w:t>
      </w:r>
      <w:r w:rsidRPr="001B7F77">
        <w:rPr>
          <w:b/>
          <w:bCs/>
          <w:u w:val="single"/>
        </w:rPr>
        <w:br/>
        <w:t>STEEL STRENGTH: WELD MATERIAL</w:t>
      </w:r>
    </w:p>
    <w:tbl>
      <w:tblPr>
        <w:tblW w:w="5000" w:type="pct"/>
        <w:tblCellMar>
          <w:top w:w="55" w:type="dxa"/>
          <w:left w:w="55" w:type="dxa"/>
          <w:bottom w:w="55" w:type="dxa"/>
          <w:right w:w="55" w:type="dxa"/>
        </w:tblCellMar>
        <w:tblLook w:val="04A0" w:firstRow="1" w:lastRow="0" w:firstColumn="1" w:lastColumn="0" w:noHBand="0" w:noVBand="1"/>
      </w:tblPr>
      <w:tblGrid>
        <w:gridCol w:w="3117"/>
        <w:gridCol w:w="6237"/>
      </w:tblGrid>
      <w:tr w:rsidR="001B7F77" w:rsidRPr="001B7F77" w14:paraId="3489F59C" w14:textId="77777777" w:rsidTr="006655A1">
        <w:tc>
          <w:tcPr>
            <w:tcW w:w="1666" w:type="pct"/>
            <w:tcBorders>
              <w:top w:val="single" w:sz="2" w:space="0" w:color="000000"/>
              <w:left w:val="single" w:sz="2" w:space="0" w:color="000000"/>
              <w:bottom w:val="single" w:sz="2" w:space="0" w:color="000000"/>
              <w:right w:val="nil"/>
            </w:tcBorders>
            <w:vAlign w:val="center"/>
            <w:hideMark/>
          </w:tcPr>
          <w:p w14:paraId="5AB8C1D3" w14:textId="77777777" w:rsidR="001B7F77" w:rsidRPr="001B7F77" w:rsidRDefault="001B7F77" w:rsidP="00FD2721">
            <w:pPr>
              <w:widowControl w:val="0"/>
              <w:tabs>
                <w:tab w:val="left" w:pos="360"/>
              </w:tabs>
              <w:spacing w:before="120"/>
              <w:ind w:right="54"/>
              <w:jc w:val="center"/>
              <w:rPr>
                <w:rFonts w:eastAsia="Calibri"/>
                <w:b/>
                <w:bCs/>
                <w:szCs w:val="24"/>
                <w:u w:val="single"/>
              </w:rPr>
            </w:pPr>
            <w:r w:rsidRPr="001B7F77">
              <w:rPr>
                <w:rFonts w:eastAsia="Calibri"/>
                <w:b/>
                <w:bCs/>
                <w:szCs w:val="24"/>
                <w:u w:val="single"/>
              </w:rPr>
              <w:t>Year</w:t>
            </w:r>
          </w:p>
        </w:tc>
        <w:tc>
          <w:tcPr>
            <w:tcW w:w="3334" w:type="pct"/>
            <w:tcBorders>
              <w:top w:val="single" w:sz="2" w:space="0" w:color="000000"/>
              <w:left w:val="single" w:sz="2" w:space="0" w:color="000000"/>
              <w:bottom w:val="single" w:sz="2" w:space="0" w:color="000000"/>
              <w:right w:val="single" w:sz="2" w:space="0" w:color="000000"/>
            </w:tcBorders>
            <w:vAlign w:val="center"/>
            <w:hideMark/>
          </w:tcPr>
          <w:p w14:paraId="7CF094D0" w14:textId="77777777" w:rsidR="001B7F77" w:rsidRPr="001B7F77" w:rsidRDefault="001B7F77" w:rsidP="00FD2721">
            <w:pPr>
              <w:widowControl w:val="0"/>
              <w:tabs>
                <w:tab w:val="left" w:pos="360"/>
              </w:tabs>
              <w:spacing w:before="120"/>
              <w:ind w:right="54"/>
              <w:jc w:val="center"/>
              <w:rPr>
                <w:rFonts w:eastAsia="Calibri"/>
                <w:b/>
                <w:bCs/>
                <w:szCs w:val="24"/>
                <w:u w:val="single"/>
              </w:rPr>
            </w:pPr>
            <w:r w:rsidRPr="001B7F77">
              <w:rPr>
                <w:rFonts w:eastAsia="Calibri"/>
                <w:b/>
                <w:bCs/>
                <w:color w:val="000000"/>
                <w:szCs w:val="24"/>
                <w:u w:val="single"/>
              </w:rPr>
              <w:t>W</w:t>
            </w:r>
            <w:r w:rsidRPr="001B7F77">
              <w:rPr>
                <w:rFonts w:eastAsia="Calibri"/>
                <w:b/>
                <w:bCs/>
                <w:szCs w:val="24"/>
                <w:u w:val="single"/>
              </w:rPr>
              <w:t>eld electrode tensile strength (ksi)</w:t>
            </w:r>
          </w:p>
        </w:tc>
      </w:tr>
      <w:tr w:rsidR="001B7F77" w:rsidRPr="001B7F77" w14:paraId="5E42E422" w14:textId="77777777" w:rsidTr="006655A1">
        <w:tc>
          <w:tcPr>
            <w:tcW w:w="1666" w:type="pct"/>
            <w:tcBorders>
              <w:top w:val="nil"/>
              <w:left w:val="single" w:sz="2" w:space="0" w:color="000000"/>
              <w:bottom w:val="single" w:sz="2" w:space="0" w:color="000000"/>
              <w:right w:val="nil"/>
            </w:tcBorders>
            <w:vAlign w:val="center"/>
            <w:hideMark/>
          </w:tcPr>
          <w:p w14:paraId="2BA039DD"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1934-1945</w:t>
            </w:r>
          </w:p>
        </w:tc>
        <w:tc>
          <w:tcPr>
            <w:tcW w:w="3334" w:type="pct"/>
            <w:tcBorders>
              <w:top w:val="nil"/>
              <w:left w:val="single" w:sz="2" w:space="0" w:color="000000"/>
              <w:bottom w:val="single" w:sz="2" w:space="0" w:color="000000"/>
              <w:right w:val="single" w:sz="2" w:space="0" w:color="000000"/>
            </w:tcBorders>
            <w:vAlign w:val="center"/>
            <w:hideMark/>
          </w:tcPr>
          <w:p w14:paraId="3CD8A51B"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40</w:t>
            </w:r>
          </w:p>
        </w:tc>
      </w:tr>
      <w:tr w:rsidR="001B7F77" w:rsidRPr="001B7F77" w14:paraId="69A78157" w14:textId="77777777" w:rsidTr="006655A1">
        <w:tc>
          <w:tcPr>
            <w:tcW w:w="1666" w:type="pct"/>
            <w:tcBorders>
              <w:top w:val="nil"/>
              <w:left w:val="single" w:sz="2" w:space="0" w:color="000000"/>
              <w:bottom w:val="single" w:sz="2" w:space="0" w:color="000000"/>
              <w:right w:val="nil"/>
            </w:tcBorders>
            <w:vAlign w:val="center"/>
            <w:hideMark/>
          </w:tcPr>
          <w:p w14:paraId="4736D8B3"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1946-1961</w:t>
            </w:r>
          </w:p>
        </w:tc>
        <w:tc>
          <w:tcPr>
            <w:tcW w:w="3334" w:type="pct"/>
            <w:tcBorders>
              <w:top w:val="nil"/>
              <w:left w:val="single" w:sz="2" w:space="0" w:color="000000"/>
              <w:bottom w:val="single" w:sz="2" w:space="0" w:color="000000"/>
              <w:right w:val="single" w:sz="2" w:space="0" w:color="000000"/>
            </w:tcBorders>
            <w:vAlign w:val="center"/>
            <w:hideMark/>
          </w:tcPr>
          <w:p w14:paraId="1E241788"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60</w:t>
            </w:r>
          </w:p>
        </w:tc>
      </w:tr>
    </w:tbl>
    <w:p w14:paraId="5A19C4A4" w14:textId="77777777" w:rsidR="001B7F77" w:rsidRPr="001B7F77" w:rsidRDefault="001B7F77" w:rsidP="00FD2721">
      <w:pPr>
        <w:suppressAutoHyphens/>
        <w:spacing w:before="120"/>
        <w:ind w:right="54"/>
        <w:rPr>
          <w:b/>
          <w:bCs/>
          <w:szCs w:val="24"/>
          <w:u w:val="single"/>
        </w:rPr>
      </w:pPr>
    </w:p>
    <w:p w14:paraId="29999FD8" w14:textId="77777777" w:rsidR="001B7F77" w:rsidRPr="001B7F77" w:rsidRDefault="001B7F77" w:rsidP="00FD2721">
      <w:pPr>
        <w:suppressAutoHyphens/>
        <w:spacing w:before="120"/>
        <w:ind w:right="54"/>
        <w:rPr>
          <w:color w:val="000000"/>
          <w:szCs w:val="24"/>
          <w:u w:val="single"/>
        </w:rPr>
      </w:pPr>
      <w:r w:rsidRPr="001B7F77">
        <w:rPr>
          <w:b/>
          <w:bCs/>
          <w:szCs w:val="24"/>
          <w:u w:val="single"/>
        </w:rPr>
        <w:t xml:space="preserve">H103.3 Cast iron. </w:t>
      </w:r>
      <w:r w:rsidRPr="001B7F77">
        <w:rPr>
          <w:szCs w:val="24"/>
          <w:u w:val="single"/>
        </w:rPr>
        <w:t>For cast iron, see the allowable working stress in Table H103.3.</w:t>
      </w:r>
    </w:p>
    <w:p w14:paraId="0595FA43" w14:textId="77777777" w:rsidR="001B7F77" w:rsidRPr="001B7F77" w:rsidRDefault="001B7F77" w:rsidP="00FD2721">
      <w:pPr>
        <w:widowControl w:val="0"/>
        <w:suppressAutoHyphens/>
        <w:spacing w:before="120"/>
        <w:jc w:val="center"/>
        <w:outlineLvl w:val="0"/>
        <w:rPr>
          <w:b/>
          <w:bCs/>
          <w:szCs w:val="24"/>
          <w:u w:val="single"/>
        </w:rPr>
      </w:pPr>
      <w:r w:rsidRPr="001B7F77">
        <w:rPr>
          <w:b/>
          <w:bCs/>
          <w:szCs w:val="24"/>
          <w:u w:val="single"/>
        </w:rPr>
        <w:t>TABLE H103.3</w:t>
      </w:r>
      <w:r w:rsidRPr="001B7F77">
        <w:rPr>
          <w:b/>
          <w:bCs/>
          <w:szCs w:val="24"/>
          <w:u w:val="single"/>
        </w:rPr>
        <w:br/>
        <w:t>CAST IRON ALLOWABLE WORKING STRESS</w:t>
      </w:r>
    </w:p>
    <w:tbl>
      <w:tblPr>
        <w:tblW w:w="5000" w:type="pct"/>
        <w:tblCellMar>
          <w:top w:w="55" w:type="dxa"/>
          <w:left w:w="55" w:type="dxa"/>
          <w:bottom w:w="55" w:type="dxa"/>
          <w:right w:w="55" w:type="dxa"/>
        </w:tblCellMar>
        <w:tblLook w:val="04A0" w:firstRow="1" w:lastRow="0" w:firstColumn="1" w:lastColumn="0" w:noHBand="0" w:noVBand="1"/>
      </w:tblPr>
      <w:tblGrid>
        <w:gridCol w:w="4679"/>
        <w:gridCol w:w="4675"/>
      </w:tblGrid>
      <w:tr w:rsidR="001B7F77" w:rsidRPr="001B7F77" w14:paraId="4661794E" w14:textId="77777777" w:rsidTr="006655A1">
        <w:trPr>
          <w:cantSplit/>
          <w:tblHeader/>
        </w:trPr>
        <w:tc>
          <w:tcPr>
            <w:tcW w:w="2501" w:type="pct"/>
            <w:tcBorders>
              <w:top w:val="single" w:sz="2" w:space="0" w:color="000000"/>
              <w:left w:val="single" w:sz="2" w:space="0" w:color="000000"/>
              <w:bottom w:val="single" w:sz="2" w:space="0" w:color="000000"/>
              <w:right w:val="nil"/>
            </w:tcBorders>
            <w:vAlign w:val="center"/>
            <w:hideMark/>
          </w:tcPr>
          <w:p w14:paraId="65AE992E" w14:textId="77777777" w:rsidR="001B7F77" w:rsidRPr="001B7F77" w:rsidRDefault="001B7F77" w:rsidP="00FD2721">
            <w:pPr>
              <w:widowControl w:val="0"/>
              <w:tabs>
                <w:tab w:val="left" w:pos="360"/>
              </w:tabs>
              <w:spacing w:before="120"/>
              <w:ind w:right="54"/>
              <w:jc w:val="center"/>
              <w:rPr>
                <w:rFonts w:eastAsia="Calibri"/>
                <w:b/>
                <w:bCs/>
                <w:szCs w:val="24"/>
                <w:u w:val="single"/>
              </w:rPr>
            </w:pPr>
            <w:r w:rsidRPr="001B7F77">
              <w:rPr>
                <w:rFonts w:eastAsia="Calibri"/>
                <w:b/>
                <w:bCs/>
                <w:szCs w:val="24"/>
                <w:u w:val="single"/>
              </w:rPr>
              <w:t>Stress Type</w:t>
            </w:r>
          </w:p>
        </w:tc>
        <w:tc>
          <w:tcPr>
            <w:tcW w:w="2499" w:type="pct"/>
            <w:tcBorders>
              <w:top w:val="single" w:sz="2" w:space="0" w:color="000000"/>
              <w:left w:val="single" w:sz="2" w:space="0" w:color="000000"/>
              <w:bottom w:val="single" w:sz="2" w:space="0" w:color="000000"/>
              <w:right w:val="single" w:sz="2" w:space="0" w:color="000000"/>
            </w:tcBorders>
            <w:vAlign w:val="center"/>
            <w:hideMark/>
          </w:tcPr>
          <w:p w14:paraId="7637666E" w14:textId="77777777" w:rsidR="001B7F77" w:rsidRPr="001B7F77" w:rsidRDefault="001B7F77" w:rsidP="00FD2721">
            <w:pPr>
              <w:widowControl w:val="0"/>
              <w:tabs>
                <w:tab w:val="left" w:pos="360"/>
              </w:tabs>
              <w:spacing w:before="120"/>
              <w:ind w:right="54"/>
              <w:jc w:val="center"/>
              <w:rPr>
                <w:rFonts w:eastAsia="Calibri"/>
                <w:b/>
                <w:bCs/>
                <w:szCs w:val="24"/>
                <w:u w:val="single"/>
              </w:rPr>
            </w:pPr>
            <w:r w:rsidRPr="001B7F77">
              <w:rPr>
                <w:rFonts w:eastAsia="Calibri"/>
                <w:b/>
                <w:bCs/>
                <w:szCs w:val="24"/>
                <w:u w:val="single"/>
              </w:rPr>
              <w:t>Allowable Working Stress (psi)</w:t>
            </w:r>
          </w:p>
        </w:tc>
      </w:tr>
      <w:tr w:rsidR="001B7F77" w:rsidRPr="001B7F77" w14:paraId="391E1495" w14:textId="77777777" w:rsidTr="006655A1">
        <w:tc>
          <w:tcPr>
            <w:tcW w:w="2501" w:type="pct"/>
            <w:tcBorders>
              <w:top w:val="nil"/>
              <w:left w:val="single" w:sz="2" w:space="0" w:color="000000"/>
              <w:bottom w:val="single" w:sz="2" w:space="0" w:color="000000"/>
              <w:right w:val="nil"/>
            </w:tcBorders>
            <w:vAlign w:val="center"/>
            <w:hideMark/>
          </w:tcPr>
          <w:p w14:paraId="24777C2E"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Tension</w:t>
            </w:r>
          </w:p>
        </w:tc>
        <w:tc>
          <w:tcPr>
            <w:tcW w:w="2499" w:type="pct"/>
            <w:tcBorders>
              <w:top w:val="nil"/>
              <w:left w:val="single" w:sz="2" w:space="0" w:color="000000"/>
              <w:bottom w:val="single" w:sz="2" w:space="0" w:color="000000"/>
              <w:right w:val="single" w:sz="2" w:space="0" w:color="000000"/>
            </w:tcBorders>
            <w:vAlign w:val="center"/>
            <w:hideMark/>
          </w:tcPr>
          <w:p w14:paraId="16E3B832"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2,500</w:t>
            </w:r>
          </w:p>
        </w:tc>
      </w:tr>
      <w:tr w:rsidR="001B7F77" w:rsidRPr="001B7F77" w14:paraId="6EFD4968" w14:textId="77777777" w:rsidTr="006655A1">
        <w:tc>
          <w:tcPr>
            <w:tcW w:w="2501" w:type="pct"/>
            <w:tcBorders>
              <w:top w:val="nil"/>
              <w:left w:val="single" w:sz="2" w:space="0" w:color="000000"/>
              <w:bottom w:val="single" w:sz="2" w:space="0" w:color="000000"/>
              <w:right w:val="nil"/>
            </w:tcBorders>
            <w:vAlign w:val="center"/>
            <w:hideMark/>
          </w:tcPr>
          <w:p w14:paraId="5208575E"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Shear</w:t>
            </w:r>
          </w:p>
        </w:tc>
        <w:tc>
          <w:tcPr>
            <w:tcW w:w="2499" w:type="pct"/>
            <w:tcBorders>
              <w:top w:val="nil"/>
              <w:left w:val="single" w:sz="2" w:space="0" w:color="000000"/>
              <w:bottom w:val="single" w:sz="2" w:space="0" w:color="000000"/>
              <w:right w:val="single" w:sz="2" w:space="0" w:color="000000"/>
            </w:tcBorders>
            <w:vAlign w:val="center"/>
            <w:hideMark/>
          </w:tcPr>
          <w:p w14:paraId="250C96AE"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2,500</w:t>
            </w:r>
          </w:p>
        </w:tc>
      </w:tr>
      <w:tr w:rsidR="001B7F77" w:rsidRPr="001B7F77" w14:paraId="0BA3AFB0" w14:textId="77777777" w:rsidTr="006655A1">
        <w:tc>
          <w:tcPr>
            <w:tcW w:w="2501" w:type="pct"/>
            <w:tcBorders>
              <w:top w:val="nil"/>
              <w:left w:val="single" w:sz="2" w:space="0" w:color="000000"/>
              <w:bottom w:val="single" w:sz="2" w:space="0" w:color="000000"/>
              <w:right w:val="nil"/>
            </w:tcBorders>
            <w:vAlign w:val="center"/>
            <w:hideMark/>
          </w:tcPr>
          <w:p w14:paraId="05F5FD77"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Flexural compression</w:t>
            </w:r>
          </w:p>
        </w:tc>
        <w:tc>
          <w:tcPr>
            <w:tcW w:w="2499" w:type="pct"/>
            <w:tcBorders>
              <w:top w:val="nil"/>
              <w:left w:val="single" w:sz="2" w:space="0" w:color="000000"/>
              <w:bottom w:val="single" w:sz="2" w:space="0" w:color="000000"/>
              <w:right w:val="single" w:sz="2" w:space="0" w:color="000000"/>
            </w:tcBorders>
            <w:vAlign w:val="center"/>
            <w:hideMark/>
          </w:tcPr>
          <w:p w14:paraId="49097A3F"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16,000</w:t>
            </w:r>
          </w:p>
        </w:tc>
      </w:tr>
      <w:tr w:rsidR="001B7F77" w:rsidRPr="001B7F77" w14:paraId="0A89DE89" w14:textId="77777777" w:rsidTr="006655A1">
        <w:tc>
          <w:tcPr>
            <w:tcW w:w="2501" w:type="pct"/>
            <w:tcBorders>
              <w:top w:val="nil"/>
              <w:left w:val="single" w:sz="2" w:space="0" w:color="000000"/>
              <w:bottom w:val="single" w:sz="2" w:space="0" w:color="000000"/>
              <w:right w:val="nil"/>
            </w:tcBorders>
            <w:vAlign w:val="center"/>
            <w:hideMark/>
          </w:tcPr>
          <w:p w14:paraId="21979C86"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Flexural tension</w:t>
            </w:r>
          </w:p>
        </w:tc>
        <w:tc>
          <w:tcPr>
            <w:tcW w:w="2499" w:type="pct"/>
            <w:tcBorders>
              <w:top w:val="nil"/>
              <w:left w:val="single" w:sz="2" w:space="0" w:color="000000"/>
              <w:bottom w:val="single" w:sz="2" w:space="0" w:color="000000"/>
              <w:right w:val="single" w:sz="2" w:space="0" w:color="000000"/>
            </w:tcBorders>
            <w:vAlign w:val="center"/>
            <w:hideMark/>
          </w:tcPr>
          <w:p w14:paraId="505C9340"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2,500</w:t>
            </w:r>
          </w:p>
        </w:tc>
      </w:tr>
      <w:tr w:rsidR="001B7F77" w:rsidRPr="001B7F77" w14:paraId="32B217AE" w14:textId="77777777" w:rsidTr="006655A1">
        <w:tc>
          <w:tcPr>
            <w:tcW w:w="2501" w:type="pct"/>
            <w:tcBorders>
              <w:top w:val="nil"/>
              <w:left w:val="single" w:sz="2" w:space="0" w:color="000000"/>
              <w:bottom w:val="single" w:sz="2" w:space="0" w:color="000000"/>
              <w:right w:val="nil"/>
            </w:tcBorders>
            <w:vAlign w:val="center"/>
            <w:hideMark/>
          </w:tcPr>
          <w:p w14:paraId="662AF0E7"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color w:val="000000"/>
                <w:szCs w:val="24"/>
                <w:u w:val="single"/>
              </w:rPr>
              <w:t>Compression</w:t>
            </w:r>
            <w:r w:rsidRPr="001B7F77">
              <w:rPr>
                <w:rFonts w:eastAsia="Calibri"/>
                <w:szCs w:val="24"/>
                <w:u w:val="single"/>
              </w:rPr>
              <w:t xml:space="preserve"> on columns</w:t>
            </w:r>
          </w:p>
        </w:tc>
        <w:tc>
          <w:tcPr>
            <w:tcW w:w="2499" w:type="pct"/>
            <w:tcBorders>
              <w:top w:val="nil"/>
              <w:left w:val="single" w:sz="2" w:space="0" w:color="000000"/>
              <w:bottom w:val="single" w:sz="2" w:space="0" w:color="000000"/>
              <w:right w:val="single" w:sz="2" w:space="0" w:color="000000"/>
            </w:tcBorders>
            <w:vAlign w:val="center"/>
            <w:hideMark/>
          </w:tcPr>
          <w:p w14:paraId="1868C488"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F</w:t>
            </w:r>
            <w:r w:rsidRPr="001B7F77">
              <w:rPr>
                <w:rFonts w:eastAsia="Calibri"/>
                <w:szCs w:val="24"/>
                <w:u w:val="single"/>
                <w:vertAlign w:val="subscript"/>
              </w:rPr>
              <w:t>a</w:t>
            </w:r>
            <w:r w:rsidRPr="001B7F77">
              <w:rPr>
                <w:rFonts w:eastAsia="Calibri"/>
                <w:szCs w:val="24"/>
                <w:u w:val="single"/>
              </w:rPr>
              <w:t xml:space="preserve"> = F</w:t>
            </w:r>
            <w:r w:rsidRPr="001B7F77">
              <w:rPr>
                <w:rFonts w:eastAsia="Calibri"/>
                <w:szCs w:val="24"/>
                <w:u w:val="single"/>
                <w:vertAlign w:val="subscript"/>
              </w:rPr>
              <w:t>cr</w:t>
            </w:r>
            <w:r w:rsidRPr="001B7F77">
              <w:rPr>
                <w:rFonts w:eastAsia="Calibri"/>
                <w:szCs w:val="24"/>
                <w:u w:val="single"/>
              </w:rPr>
              <w:t>/Ω</w:t>
            </w:r>
          </w:p>
          <w:p w14:paraId="06485D7E"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Ω = 2.3</w:t>
            </w:r>
          </w:p>
          <w:p w14:paraId="21375436"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F</w:t>
            </w:r>
            <w:r w:rsidRPr="001B7F77">
              <w:rPr>
                <w:rFonts w:eastAsia="Calibri"/>
                <w:szCs w:val="24"/>
                <w:u w:val="single"/>
                <w:vertAlign w:val="subscript"/>
              </w:rPr>
              <w:t>cr</w:t>
            </w:r>
            <w:r w:rsidRPr="001B7F77">
              <w:rPr>
                <w:rFonts w:eastAsia="Calibri"/>
                <w:szCs w:val="24"/>
                <w:u w:val="single"/>
              </w:rPr>
              <w:t>= 17000 for L/r ≤ 108</w:t>
            </w:r>
          </w:p>
          <w:p w14:paraId="62A66040"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F</w:t>
            </w:r>
            <w:r w:rsidRPr="001B7F77">
              <w:rPr>
                <w:rFonts w:eastAsia="Calibri"/>
                <w:szCs w:val="24"/>
                <w:u w:val="single"/>
                <w:vertAlign w:val="subscript"/>
              </w:rPr>
              <w:t>cr</w:t>
            </w:r>
            <w:r w:rsidRPr="001B7F77">
              <w:rPr>
                <w:rFonts w:eastAsia="Calibri"/>
                <w:szCs w:val="24"/>
                <w:u w:val="single"/>
              </w:rPr>
              <w:t xml:space="preserve"> = (198.3×10^6)/(L/r)^2 for L/r &gt; 108</w:t>
            </w:r>
          </w:p>
          <w:p w14:paraId="23C75FC7"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where L is the unbraced column length, r is the least radius of gyration for the column section, Ω is the ASD safety factor, Fa is the allowable stress, and Fcr is critical stress in psi.</w:t>
            </w:r>
          </w:p>
        </w:tc>
      </w:tr>
    </w:tbl>
    <w:p w14:paraId="75434580" w14:textId="77777777" w:rsidR="001B7F77" w:rsidRPr="001B7F77" w:rsidRDefault="001B7F77" w:rsidP="00FD2721">
      <w:pPr>
        <w:suppressAutoHyphens/>
        <w:spacing w:before="120"/>
        <w:ind w:right="54"/>
        <w:rPr>
          <w:b/>
          <w:bCs/>
          <w:szCs w:val="24"/>
          <w:u w:val="single"/>
        </w:rPr>
      </w:pPr>
    </w:p>
    <w:p w14:paraId="30CE30CB" w14:textId="77777777" w:rsidR="001B7F77" w:rsidRPr="001B7F77" w:rsidRDefault="001B7F77" w:rsidP="00FD2721">
      <w:pPr>
        <w:suppressAutoHyphens/>
        <w:spacing w:before="120"/>
        <w:ind w:right="54"/>
        <w:rPr>
          <w:color w:val="000000"/>
          <w:szCs w:val="24"/>
          <w:u w:val="single"/>
        </w:rPr>
      </w:pPr>
      <w:r w:rsidRPr="001B7F77">
        <w:rPr>
          <w:b/>
          <w:bCs/>
          <w:szCs w:val="24"/>
          <w:u w:val="single"/>
        </w:rPr>
        <w:t xml:space="preserve">H103.4 Structural concrete and reinforcing steel. </w:t>
      </w:r>
      <w:r w:rsidRPr="001B7F77">
        <w:rPr>
          <w:szCs w:val="24"/>
          <w:u w:val="single"/>
        </w:rPr>
        <w:t>For structural concrete and reinforcing steel, see the compressive strength values in Table H103.4.</w:t>
      </w:r>
    </w:p>
    <w:p w14:paraId="7132A7CC" w14:textId="77777777" w:rsidR="001B7F77" w:rsidRPr="001B7F77" w:rsidRDefault="001B7F77" w:rsidP="00FD2721">
      <w:pPr>
        <w:widowControl w:val="0"/>
        <w:suppressAutoHyphens/>
        <w:spacing w:before="120"/>
        <w:jc w:val="center"/>
        <w:outlineLvl w:val="0"/>
        <w:rPr>
          <w:b/>
          <w:bCs/>
          <w:szCs w:val="24"/>
          <w:u w:val="single"/>
        </w:rPr>
      </w:pPr>
      <w:r w:rsidRPr="001B7F77">
        <w:rPr>
          <w:b/>
          <w:bCs/>
          <w:szCs w:val="24"/>
          <w:u w:val="single"/>
        </w:rPr>
        <w:t>TABLE H103.4</w:t>
      </w:r>
      <w:r w:rsidRPr="001B7F77">
        <w:rPr>
          <w:b/>
          <w:bCs/>
          <w:szCs w:val="24"/>
          <w:u w:val="single"/>
        </w:rPr>
        <w:br/>
        <w:t>MINIMUM CONCRETE COMPRESSIVE STRENGTHS (PSI)</w:t>
      </w:r>
    </w:p>
    <w:tbl>
      <w:tblPr>
        <w:tblW w:w="5000" w:type="pct"/>
        <w:tblCellMar>
          <w:top w:w="55" w:type="dxa"/>
          <w:left w:w="55" w:type="dxa"/>
          <w:bottom w:w="55" w:type="dxa"/>
          <w:right w:w="55" w:type="dxa"/>
        </w:tblCellMar>
        <w:tblLook w:val="04A0" w:firstRow="1" w:lastRow="0" w:firstColumn="1" w:lastColumn="0" w:noHBand="0" w:noVBand="1"/>
      </w:tblPr>
      <w:tblGrid>
        <w:gridCol w:w="1562"/>
        <w:gridCol w:w="1557"/>
        <w:gridCol w:w="1560"/>
        <w:gridCol w:w="1562"/>
        <w:gridCol w:w="1555"/>
        <w:gridCol w:w="1558"/>
      </w:tblGrid>
      <w:tr w:rsidR="001B7F77" w:rsidRPr="001B7F77" w14:paraId="25F10291" w14:textId="77777777" w:rsidTr="006655A1">
        <w:trPr>
          <w:cantSplit/>
          <w:tblHeader/>
        </w:trPr>
        <w:tc>
          <w:tcPr>
            <w:tcW w:w="835" w:type="pct"/>
            <w:tcBorders>
              <w:top w:val="single" w:sz="2" w:space="0" w:color="000000"/>
              <w:left w:val="single" w:sz="2" w:space="0" w:color="000000"/>
              <w:bottom w:val="single" w:sz="2" w:space="0" w:color="000000"/>
              <w:right w:val="nil"/>
            </w:tcBorders>
            <w:vAlign w:val="center"/>
            <w:hideMark/>
          </w:tcPr>
          <w:p w14:paraId="3F5C24F6" w14:textId="77777777" w:rsidR="001B7F77" w:rsidRPr="001B7F77" w:rsidRDefault="001B7F77" w:rsidP="00FD2721">
            <w:pPr>
              <w:widowControl w:val="0"/>
              <w:tabs>
                <w:tab w:val="left" w:pos="360"/>
              </w:tabs>
              <w:spacing w:before="120"/>
              <w:ind w:right="54"/>
              <w:jc w:val="center"/>
              <w:rPr>
                <w:rFonts w:eastAsia="Calibri"/>
                <w:b/>
                <w:bCs/>
                <w:color w:val="000000"/>
                <w:szCs w:val="24"/>
                <w:u w:val="single"/>
              </w:rPr>
            </w:pPr>
            <w:r w:rsidRPr="001B7F77">
              <w:rPr>
                <w:rFonts w:eastAsia="Calibri"/>
                <w:b/>
                <w:bCs/>
                <w:color w:val="000000"/>
                <w:szCs w:val="24"/>
                <w:u w:val="single"/>
              </w:rPr>
              <w:t>Year</w:t>
            </w:r>
          </w:p>
        </w:tc>
        <w:tc>
          <w:tcPr>
            <w:tcW w:w="832" w:type="pct"/>
            <w:tcBorders>
              <w:top w:val="single" w:sz="2" w:space="0" w:color="000000"/>
              <w:left w:val="single" w:sz="2" w:space="0" w:color="000000"/>
              <w:bottom w:val="single" w:sz="2" w:space="0" w:color="000000"/>
              <w:right w:val="nil"/>
            </w:tcBorders>
            <w:vAlign w:val="center"/>
            <w:hideMark/>
          </w:tcPr>
          <w:p w14:paraId="4D02C1EA" w14:textId="77777777" w:rsidR="001B7F77" w:rsidRPr="001B7F77" w:rsidRDefault="001B7F77" w:rsidP="00FD2721">
            <w:pPr>
              <w:widowControl w:val="0"/>
              <w:tabs>
                <w:tab w:val="left" w:pos="360"/>
              </w:tabs>
              <w:spacing w:before="120"/>
              <w:ind w:right="54"/>
              <w:jc w:val="center"/>
              <w:rPr>
                <w:rFonts w:eastAsia="Calibri"/>
                <w:b/>
                <w:bCs/>
                <w:szCs w:val="24"/>
                <w:u w:val="single"/>
              </w:rPr>
            </w:pPr>
            <w:r w:rsidRPr="001B7F77">
              <w:rPr>
                <w:rFonts w:eastAsia="Calibri"/>
                <w:b/>
                <w:bCs/>
                <w:color w:val="000000"/>
                <w:szCs w:val="24"/>
                <w:u w:val="single"/>
              </w:rPr>
              <w:t>Footings</w:t>
            </w:r>
          </w:p>
        </w:tc>
        <w:tc>
          <w:tcPr>
            <w:tcW w:w="834" w:type="pct"/>
            <w:tcBorders>
              <w:top w:val="single" w:sz="2" w:space="0" w:color="000000"/>
              <w:left w:val="single" w:sz="2" w:space="0" w:color="000000"/>
              <w:bottom w:val="single" w:sz="2" w:space="0" w:color="000000"/>
              <w:right w:val="nil"/>
            </w:tcBorders>
            <w:vAlign w:val="center"/>
            <w:hideMark/>
          </w:tcPr>
          <w:p w14:paraId="7DD611F5" w14:textId="77777777" w:rsidR="001B7F77" w:rsidRPr="001B7F77" w:rsidRDefault="001B7F77" w:rsidP="00FD2721">
            <w:pPr>
              <w:widowControl w:val="0"/>
              <w:tabs>
                <w:tab w:val="left" w:pos="360"/>
              </w:tabs>
              <w:spacing w:before="120"/>
              <w:ind w:right="54"/>
              <w:jc w:val="center"/>
              <w:rPr>
                <w:rFonts w:eastAsia="Calibri"/>
                <w:b/>
                <w:bCs/>
                <w:szCs w:val="24"/>
                <w:u w:val="single"/>
              </w:rPr>
            </w:pPr>
            <w:r w:rsidRPr="001B7F77">
              <w:rPr>
                <w:rFonts w:eastAsia="Calibri"/>
                <w:b/>
                <w:bCs/>
                <w:szCs w:val="24"/>
                <w:u w:val="single"/>
              </w:rPr>
              <w:t>Beams</w:t>
            </w:r>
          </w:p>
        </w:tc>
        <w:tc>
          <w:tcPr>
            <w:tcW w:w="835" w:type="pct"/>
            <w:tcBorders>
              <w:top w:val="single" w:sz="2" w:space="0" w:color="000000"/>
              <w:left w:val="single" w:sz="2" w:space="0" w:color="000000"/>
              <w:bottom w:val="single" w:sz="2" w:space="0" w:color="000000"/>
              <w:right w:val="nil"/>
            </w:tcBorders>
            <w:vAlign w:val="center"/>
            <w:hideMark/>
          </w:tcPr>
          <w:p w14:paraId="187BF00C" w14:textId="77777777" w:rsidR="001B7F77" w:rsidRPr="001B7F77" w:rsidRDefault="001B7F77" w:rsidP="00FD2721">
            <w:pPr>
              <w:widowControl w:val="0"/>
              <w:tabs>
                <w:tab w:val="left" w:pos="360"/>
              </w:tabs>
              <w:spacing w:before="120"/>
              <w:ind w:right="54"/>
              <w:jc w:val="center"/>
              <w:rPr>
                <w:rFonts w:eastAsia="Calibri"/>
                <w:b/>
                <w:bCs/>
                <w:szCs w:val="24"/>
                <w:u w:val="single"/>
              </w:rPr>
            </w:pPr>
            <w:r w:rsidRPr="001B7F77">
              <w:rPr>
                <w:rFonts w:eastAsia="Calibri"/>
                <w:b/>
                <w:bCs/>
                <w:szCs w:val="24"/>
                <w:u w:val="single"/>
              </w:rPr>
              <w:t>Slabs</w:t>
            </w:r>
          </w:p>
        </w:tc>
        <w:tc>
          <w:tcPr>
            <w:tcW w:w="831" w:type="pct"/>
            <w:tcBorders>
              <w:top w:val="single" w:sz="2" w:space="0" w:color="000000"/>
              <w:left w:val="single" w:sz="2" w:space="0" w:color="000000"/>
              <w:bottom w:val="single" w:sz="2" w:space="0" w:color="000000"/>
              <w:right w:val="nil"/>
            </w:tcBorders>
            <w:vAlign w:val="center"/>
            <w:hideMark/>
          </w:tcPr>
          <w:p w14:paraId="65B4C291" w14:textId="77777777" w:rsidR="001B7F77" w:rsidRPr="001B7F77" w:rsidRDefault="001B7F77" w:rsidP="00FD2721">
            <w:pPr>
              <w:widowControl w:val="0"/>
              <w:tabs>
                <w:tab w:val="left" w:pos="360"/>
              </w:tabs>
              <w:spacing w:before="120"/>
              <w:ind w:right="54"/>
              <w:jc w:val="center"/>
              <w:rPr>
                <w:rFonts w:eastAsia="Calibri"/>
                <w:b/>
                <w:bCs/>
                <w:szCs w:val="24"/>
                <w:u w:val="single"/>
              </w:rPr>
            </w:pPr>
            <w:r w:rsidRPr="001B7F77">
              <w:rPr>
                <w:rFonts w:eastAsia="Calibri"/>
                <w:b/>
                <w:bCs/>
                <w:szCs w:val="24"/>
                <w:u w:val="single"/>
              </w:rPr>
              <w:t>Columns</w:t>
            </w:r>
          </w:p>
        </w:tc>
        <w:tc>
          <w:tcPr>
            <w:tcW w:w="833" w:type="pct"/>
            <w:tcBorders>
              <w:top w:val="single" w:sz="2" w:space="0" w:color="000000"/>
              <w:left w:val="single" w:sz="2" w:space="0" w:color="000000"/>
              <w:bottom w:val="single" w:sz="2" w:space="0" w:color="000000"/>
              <w:right w:val="single" w:sz="2" w:space="0" w:color="000000"/>
            </w:tcBorders>
            <w:vAlign w:val="center"/>
            <w:hideMark/>
          </w:tcPr>
          <w:p w14:paraId="62991615" w14:textId="77777777" w:rsidR="001B7F77" w:rsidRPr="001B7F77" w:rsidRDefault="001B7F77" w:rsidP="00FD2721">
            <w:pPr>
              <w:widowControl w:val="0"/>
              <w:tabs>
                <w:tab w:val="left" w:pos="360"/>
              </w:tabs>
              <w:spacing w:before="120"/>
              <w:ind w:right="54"/>
              <w:jc w:val="center"/>
              <w:rPr>
                <w:rFonts w:eastAsia="Calibri"/>
                <w:b/>
                <w:bCs/>
                <w:szCs w:val="24"/>
                <w:u w:val="single"/>
              </w:rPr>
            </w:pPr>
            <w:r w:rsidRPr="001B7F77">
              <w:rPr>
                <w:rFonts w:eastAsia="Calibri"/>
                <w:b/>
                <w:bCs/>
                <w:szCs w:val="24"/>
                <w:u w:val="single"/>
              </w:rPr>
              <w:t>Walls</w:t>
            </w:r>
          </w:p>
        </w:tc>
      </w:tr>
      <w:tr w:rsidR="001B7F77" w:rsidRPr="001B7F77" w14:paraId="391CAED6" w14:textId="77777777" w:rsidTr="006655A1">
        <w:tc>
          <w:tcPr>
            <w:tcW w:w="835" w:type="pct"/>
            <w:tcBorders>
              <w:top w:val="nil"/>
              <w:left w:val="single" w:sz="2" w:space="0" w:color="000000"/>
              <w:bottom w:val="single" w:sz="2" w:space="0" w:color="000000"/>
              <w:right w:val="nil"/>
            </w:tcBorders>
            <w:vAlign w:val="center"/>
            <w:hideMark/>
          </w:tcPr>
          <w:p w14:paraId="29FC2D79"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color w:val="000000"/>
                <w:szCs w:val="24"/>
                <w:u w:val="single"/>
              </w:rPr>
              <w:t>Prior to</w:t>
            </w:r>
            <w:r w:rsidRPr="001B7F77">
              <w:rPr>
                <w:rFonts w:eastAsia="Calibri"/>
                <w:szCs w:val="24"/>
                <w:u w:val="single"/>
              </w:rPr>
              <w:t xml:space="preserve"> 1900</w:t>
            </w:r>
          </w:p>
        </w:tc>
        <w:tc>
          <w:tcPr>
            <w:tcW w:w="832" w:type="pct"/>
            <w:tcBorders>
              <w:top w:val="nil"/>
              <w:left w:val="single" w:sz="2" w:space="0" w:color="000000"/>
              <w:bottom w:val="single" w:sz="2" w:space="0" w:color="000000"/>
              <w:right w:val="nil"/>
            </w:tcBorders>
            <w:vAlign w:val="center"/>
            <w:hideMark/>
          </w:tcPr>
          <w:p w14:paraId="4A6948A8"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900</w:t>
            </w:r>
          </w:p>
        </w:tc>
        <w:tc>
          <w:tcPr>
            <w:tcW w:w="834" w:type="pct"/>
            <w:tcBorders>
              <w:top w:val="nil"/>
              <w:left w:val="single" w:sz="2" w:space="0" w:color="000000"/>
              <w:bottom w:val="single" w:sz="2" w:space="0" w:color="000000"/>
              <w:right w:val="nil"/>
            </w:tcBorders>
            <w:vAlign w:val="center"/>
            <w:hideMark/>
          </w:tcPr>
          <w:p w14:paraId="44153CBB"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900</w:t>
            </w:r>
          </w:p>
        </w:tc>
        <w:tc>
          <w:tcPr>
            <w:tcW w:w="835" w:type="pct"/>
            <w:tcBorders>
              <w:top w:val="nil"/>
              <w:left w:val="single" w:sz="2" w:space="0" w:color="000000"/>
              <w:bottom w:val="single" w:sz="2" w:space="0" w:color="000000"/>
              <w:right w:val="nil"/>
            </w:tcBorders>
            <w:vAlign w:val="center"/>
            <w:hideMark/>
          </w:tcPr>
          <w:p w14:paraId="7DC7BAC1"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900</w:t>
            </w:r>
          </w:p>
        </w:tc>
        <w:tc>
          <w:tcPr>
            <w:tcW w:w="831" w:type="pct"/>
            <w:tcBorders>
              <w:top w:val="nil"/>
              <w:left w:val="single" w:sz="2" w:space="0" w:color="000000"/>
              <w:bottom w:val="single" w:sz="2" w:space="0" w:color="000000"/>
              <w:right w:val="nil"/>
            </w:tcBorders>
            <w:vAlign w:val="center"/>
            <w:hideMark/>
          </w:tcPr>
          <w:p w14:paraId="725482BC"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900</w:t>
            </w:r>
          </w:p>
        </w:tc>
        <w:tc>
          <w:tcPr>
            <w:tcW w:w="833" w:type="pct"/>
            <w:tcBorders>
              <w:top w:val="nil"/>
              <w:left w:val="single" w:sz="2" w:space="0" w:color="000000"/>
              <w:bottom w:val="single" w:sz="2" w:space="0" w:color="000000"/>
              <w:right w:val="single" w:sz="2" w:space="0" w:color="000000"/>
            </w:tcBorders>
            <w:vAlign w:val="center"/>
            <w:hideMark/>
          </w:tcPr>
          <w:p w14:paraId="2F28539E"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900</w:t>
            </w:r>
          </w:p>
        </w:tc>
      </w:tr>
      <w:tr w:rsidR="001B7F77" w:rsidRPr="001B7F77" w14:paraId="0D531CD7" w14:textId="77777777" w:rsidTr="006655A1">
        <w:tc>
          <w:tcPr>
            <w:tcW w:w="835" w:type="pct"/>
            <w:tcBorders>
              <w:top w:val="nil"/>
              <w:left w:val="single" w:sz="2" w:space="0" w:color="000000"/>
              <w:bottom w:val="single" w:sz="2" w:space="0" w:color="000000"/>
              <w:right w:val="nil"/>
            </w:tcBorders>
            <w:vAlign w:val="center"/>
            <w:hideMark/>
          </w:tcPr>
          <w:p w14:paraId="1C6C2ACD"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1900-1919</w:t>
            </w:r>
          </w:p>
        </w:tc>
        <w:tc>
          <w:tcPr>
            <w:tcW w:w="832" w:type="pct"/>
            <w:tcBorders>
              <w:top w:val="nil"/>
              <w:left w:val="single" w:sz="2" w:space="0" w:color="000000"/>
              <w:bottom w:val="single" w:sz="2" w:space="0" w:color="000000"/>
              <w:right w:val="nil"/>
            </w:tcBorders>
            <w:vAlign w:val="center"/>
            <w:hideMark/>
          </w:tcPr>
          <w:p w14:paraId="7CB2B2E4"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1000</w:t>
            </w:r>
          </w:p>
        </w:tc>
        <w:tc>
          <w:tcPr>
            <w:tcW w:w="834" w:type="pct"/>
            <w:tcBorders>
              <w:top w:val="nil"/>
              <w:left w:val="single" w:sz="2" w:space="0" w:color="000000"/>
              <w:bottom w:val="single" w:sz="2" w:space="0" w:color="000000"/>
              <w:right w:val="nil"/>
            </w:tcBorders>
            <w:vAlign w:val="center"/>
            <w:hideMark/>
          </w:tcPr>
          <w:p w14:paraId="6E85CC69"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2000</w:t>
            </w:r>
          </w:p>
        </w:tc>
        <w:tc>
          <w:tcPr>
            <w:tcW w:w="835" w:type="pct"/>
            <w:tcBorders>
              <w:top w:val="nil"/>
              <w:left w:val="single" w:sz="2" w:space="0" w:color="000000"/>
              <w:bottom w:val="single" w:sz="2" w:space="0" w:color="000000"/>
              <w:right w:val="nil"/>
            </w:tcBorders>
            <w:vAlign w:val="center"/>
            <w:hideMark/>
          </w:tcPr>
          <w:p w14:paraId="1DFFD474"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1500</w:t>
            </w:r>
          </w:p>
        </w:tc>
        <w:tc>
          <w:tcPr>
            <w:tcW w:w="831" w:type="pct"/>
            <w:tcBorders>
              <w:top w:val="nil"/>
              <w:left w:val="single" w:sz="2" w:space="0" w:color="000000"/>
              <w:bottom w:val="single" w:sz="2" w:space="0" w:color="000000"/>
              <w:right w:val="nil"/>
            </w:tcBorders>
            <w:vAlign w:val="center"/>
            <w:hideMark/>
          </w:tcPr>
          <w:p w14:paraId="7A8626CD"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2000</w:t>
            </w:r>
          </w:p>
        </w:tc>
        <w:tc>
          <w:tcPr>
            <w:tcW w:w="833" w:type="pct"/>
            <w:tcBorders>
              <w:top w:val="nil"/>
              <w:left w:val="single" w:sz="2" w:space="0" w:color="000000"/>
              <w:bottom w:val="single" w:sz="2" w:space="0" w:color="000000"/>
              <w:right w:val="single" w:sz="2" w:space="0" w:color="000000"/>
            </w:tcBorders>
            <w:vAlign w:val="center"/>
            <w:hideMark/>
          </w:tcPr>
          <w:p w14:paraId="078B7D50"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2000</w:t>
            </w:r>
          </w:p>
        </w:tc>
      </w:tr>
      <w:tr w:rsidR="001B7F77" w:rsidRPr="001B7F77" w14:paraId="5C5A5415" w14:textId="77777777" w:rsidTr="006655A1">
        <w:tc>
          <w:tcPr>
            <w:tcW w:w="835" w:type="pct"/>
            <w:tcBorders>
              <w:top w:val="nil"/>
              <w:left w:val="single" w:sz="2" w:space="0" w:color="000000"/>
              <w:bottom w:val="single" w:sz="2" w:space="0" w:color="000000"/>
              <w:right w:val="nil"/>
            </w:tcBorders>
            <w:vAlign w:val="center"/>
            <w:hideMark/>
          </w:tcPr>
          <w:p w14:paraId="48860F1D"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1920-1938</w:t>
            </w:r>
          </w:p>
        </w:tc>
        <w:tc>
          <w:tcPr>
            <w:tcW w:w="832" w:type="pct"/>
            <w:tcBorders>
              <w:top w:val="nil"/>
              <w:left w:val="single" w:sz="2" w:space="0" w:color="000000"/>
              <w:bottom w:val="single" w:sz="2" w:space="0" w:color="000000"/>
              <w:right w:val="nil"/>
            </w:tcBorders>
            <w:vAlign w:val="center"/>
            <w:hideMark/>
          </w:tcPr>
          <w:p w14:paraId="59FEAF6A"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1500</w:t>
            </w:r>
          </w:p>
        </w:tc>
        <w:tc>
          <w:tcPr>
            <w:tcW w:w="834" w:type="pct"/>
            <w:tcBorders>
              <w:top w:val="nil"/>
              <w:left w:val="single" w:sz="2" w:space="0" w:color="000000"/>
              <w:bottom w:val="single" w:sz="2" w:space="0" w:color="000000"/>
              <w:right w:val="nil"/>
            </w:tcBorders>
            <w:vAlign w:val="center"/>
            <w:hideMark/>
          </w:tcPr>
          <w:p w14:paraId="1A9C5438"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2000</w:t>
            </w:r>
          </w:p>
        </w:tc>
        <w:tc>
          <w:tcPr>
            <w:tcW w:w="835" w:type="pct"/>
            <w:tcBorders>
              <w:top w:val="nil"/>
              <w:left w:val="single" w:sz="2" w:space="0" w:color="000000"/>
              <w:bottom w:val="single" w:sz="2" w:space="0" w:color="000000"/>
              <w:right w:val="nil"/>
            </w:tcBorders>
            <w:vAlign w:val="center"/>
            <w:hideMark/>
          </w:tcPr>
          <w:p w14:paraId="7A57B298"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2000</w:t>
            </w:r>
          </w:p>
        </w:tc>
        <w:tc>
          <w:tcPr>
            <w:tcW w:w="831" w:type="pct"/>
            <w:tcBorders>
              <w:top w:val="nil"/>
              <w:left w:val="single" w:sz="2" w:space="0" w:color="000000"/>
              <w:bottom w:val="single" w:sz="2" w:space="0" w:color="000000"/>
              <w:right w:val="nil"/>
            </w:tcBorders>
            <w:vAlign w:val="center"/>
            <w:hideMark/>
          </w:tcPr>
          <w:p w14:paraId="116B71A6"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2000</w:t>
            </w:r>
          </w:p>
        </w:tc>
        <w:tc>
          <w:tcPr>
            <w:tcW w:w="833" w:type="pct"/>
            <w:tcBorders>
              <w:top w:val="nil"/>
              <w:left w:val="single" w:sz="2" w:space="0" w:color="000000"/>
              <w:bottom w:val="single" w:sz="2" w:space="0" w:color="000000"/>
              <w:right w:val="single" w:sz="2" w:space="0" w:color="000000"/>
            </w:tcBorders>
            <w:vAlign w:val="center"/>
            <w:hideMark/>
          </w:tcPr>
          <w:p w14:paraId="61F3ADAB"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2000</w:t>
            </w:r>
          </w:p>
        </w:tc>
      </w:tr>
      <w:tr w:rsidR="001B7F77" w:rsidRPr="001B7F77" w14:paraId="13DE076F" w14:textId="77777777" w:rsidTr="006655A1">
        <w:tc>
          <w:tcPr>
            <w:tcW w:w="835" w:type="pct"/>
            <w:tcBorders>
              <w:top w:val="nil"/>
              <w:left w:val="single" w:sz="2" w:space="0" w:color="000000"/>
              <w:bottom w:val="single" w:sz="2" w:space="0" w:color="000000"/>
              <w:right w:val="nil"/>
            </w:tcBorders>
            <w:vAlign w:val="center"/>
            <w:hideMark/>
          </w:tcPr>
          <w:p w14:paraId="1058971A"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1938-1949</w:t>
            </w:r>
          </w:p>
        </w:tc>
        <w:tc>
          <w:tcPr>
            <w:tcW w:w="832" w:type="pct"/>
            <w:tcBorders>
              <w:top w:val="nil"/>
              <w:left w:val="single" w:sz="2" w:space="0" w:color="000000"/>
              <w:bottom w:val="single" w:sz="2" w:space="0" w:color="000000"/>
              <w:right w:val="nil"/>
            </w:tcBorders>
            <w:vAlign w:val="center"/>
            <w:hideMark/>
          </w:tcPr>
          <w:p w14:paraId="31A98262"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2000</w:t>
            </w:r>
          </w:p>
        </w:tc>
        <w:tc>
          <w:tcPr>
            <w:tcW w:w="834" w:type="pct"/>
            <w:tcBorders>
              <w:top w:val="nil"/>
              <w:left w:val="single" w:sz="2" w:space="0" w:color="000000"/>
              <w:bottom w:val="single" w:sz="2" w:space="0" w:color="000000"/>
              <w:right w:val="nil"/>
            </w:tcBorders>
            <w:vAlign w:val="center"/>
            <w:hideMark/>
          </w:tcPr>
          <w:p w14:paraId="4EFBBD72"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2000</w:t>
            </w:r>
          </w:p>
        </w:tc>
        <w:tc>
          <w:tcPr>
            <w:tcW w:w="835" w:type="pct"/>
            <w:tcBorders>
              <w:top w:val="nil"/>
              <w:left w:val="single" w:sz="2" w:space="0" w:color="000000"/>
              <w:bottom w:val="single" w:sz="2" w:space="0" w:color="000000"/>
              <w:right w:val="nil"/>
            </w:tcBorders>
            <w:vAlign w:val="center"/>
            <w:hideMark/>
          </w:tcPr>
          <w:p w14:paraId="2A9FA212"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2000</w:t>
            </w:r>
          </w:p>
        </w:tc>
        <w:tc>
          <w:tcPr>
            <w:tcW w:w="831" w:type="pct"/>
            <w:tcBorders>
              <w:top w:val="nil"/>
              <w:left w:val="single" w:sz="2" w:space="0" w:color="000000"/>
              <w:bottom w:val="single" w:sz="2" w:space="0" w:color="000000"/>
              <w:right w:val="nil"/>
            </w:tcBorders>
            <w:vAlign w:val="center"/>
            <w:hideMark/>
          </w:tcPr>
          <w:p w14:paraId="49195658"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2000</w:t>
            </w:r>
          </w:p>
        </w:tc>
        <w:tc>
          <w:tcPr>
            <w:tcW w:w="833" w:type="pct"/>
            <w:tcBorders>
              <w:top w:val="nil"/>
              <w:left w:val="single" w:sz="2" w:space="0" w:color="000000"/>
              <w:bottom w:val="single" w:sz="2" w:space="0" w:color="000000"/>
              <w:right w:val="single" w:sz="2" w:space="0" w:color="000000"/>
            </w:tcBorders>
            <w:vAlign w:val="center"/>
            <w:hideMark/>
          </w:tcPr>
          <w:p w14:paraId="6C124495"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2000</w:t>
            </w:r>
          </w:p>
        </w:tc>
      </w:tr>
      <w:tr w:rsidR="001B7F77" w:rsidRPr="001B7F77" w14:paraId="3D91BC75" w14:textId="77777777" w:rsidTr="006655A1">
        <w:tc>
          <w:tcPr>
            <w:tcW w:w="835" w:type="pct"/>
            <w:tcBorders>
              <w:top w:val="nil"/>
              <w:left w:val="single" w:sz="2" w:space="0" w:color="000000"/>
              <w:bottom w:val="single" w:sz="2" w:space="0" w:color="000000"/>
              <w:right w:val="nil"/>
            </w:tcBorders>
            <w:vAlign w:val="center"/>
            <w:hideMark/>
          </w:tcPr>
          <w:p w14:paraId="47CFF82D"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1950-1969</w:t>
            </w:r>
          </w:p>
        </w:tc>
        <w:tc>
          <w:tcPr>
            <w:tcW w:w="832" w:type="pct"/>
            <w:tcBorders>
              <w:top w:val="nil"/>
              <w:left w:val="single" w:sz="2" w:space="0" w:color="000000"/>
              <w:bottom w:val="single" w:sz="2" w:space="0" w:color="000000"/>
              <w:right w:val="nil"/>
            </w:tcBorders>
            <w:vAlign w:val="center"/>
            <w:hideMark/>
          </w:tcPr>
          <w:p w14:paraId="1070C1CC"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2500</w:t>
            </w:r>
          </w:p>
        </w:tc>
        <w:tc>
          <w:tcPr>
            <w:tcW w:w="834" w:type="pct"/>
            <w:tcBorders>
              <w:top w:val="nil"/>
              <w:left w:val="single" w:sz="2" w:space="0" w:color="000000"/>
              <w:bottom w:val="single" w:sz="2" w:space="0" w:color="000000"/>
              <w:right w:val="nil"/>
            </w:tcBorders>
            <w:vAlign w:val="center"/>
            <w:hideMark/>
          </w:tcPr>
          <w:p w14:paraId="50C774B8"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3000</w:t>
            </w:r>
          </w:p>
        </w:tc>
        <w:tc>
          <w:tcPr>
            <w:tcW w:w="835" w:type="pct"/>
            <w:tcBorders>
              <w:top w:val="nil"/>
              <w:left w:val="single" w:sz="2" w:space="0" w:color="000000"/>
              <w:bottom w:val="single" w:sz="2" w:space="0" w:color="000000"/>
              <w:right w:val="nil"/>
            </w:tcBorders>
            <w:vAlign w:val="center"/>
            <w:hideMark/>
          </w:tcPr>
          <w:p w14:paraId="0ED586DF"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3000</w:t>
            </w:r>
          </w:p>
        </w:tc>
        <w:tc>
          <w:tcPr>
            <w:tcW w:w="831" w:type="pct"/>
            <w:tcBorders>
              <w:top w:val="nil"/>
              <w:left w:val="single" w:sz="2" w:space="0" w:color="000000"/>
              <w:bottom w:val="single" w:sz="2" w:space="0" w:color="000000"/>
              <w:right w:val="nil"/>
            </w:tcBorders>
            <w:vAlign w:val="center"/>
            <w:hideMark/>
          </w:tcPr>
          <w:p w14:paraId="30A3CC30"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3000</w:t>
            </w:r>
          </w:p>
        </w:tc>
        <w:tc>
          <w:tcPr>
            <w:tcW w:w="833" w:type="pct"/>
            <w:tcBorders>
              <w:top w:val="nil"/>
              <w:left w:val="single" w:sz="2" w:space="0" w:color="000000"/>
              <w:bottom w:val="single" w:sz="2" w:space="0" w:color="000000"/>
              <w:right w:val="single" w:sz="2" w:space="0" w:color="000000"/>
            </w:tcBorders>
            <w:vAlign w:val="center"/>
            <w:hideMark/>
          </w:tcPr>
          <w:p w14:paraId="16DD299A"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2500</w:t>
            </w:r>
          </w:p>
        </w:tc>
      </w:tr>
      <w:tr w:rsidR="001B7F77" w:rsidRPr="001B7F77" w14:paraId="1C3333E3" w14:textId="77777777" w:rsidTr="006655A1">
        <w:tc>
          <w:tcPr>
            <w:tcW w:w="835" w:type="pct"/>
            <w:tcBorders>
              <w:top w:val="single" w:sz="2" w:space="0" w:color="000000"/>
              <w:left w:val="single" w:sz="2" w:space="0" w:color="000000"/>
              <w:bottom w:val="single" w:sz="4" w:space="0" w:color="auto"/>
              <w:right w:val="nil"/>
            </w:tcBorders>
            <w:vAlign w:val="center"/>
            <w:hideMark/>
          </w:tcPr>
          <w:p w14:paraId="1AF7A13C"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1970-Present</w:t>
            </w:r>
          </w:p>
        </w:tc>
        <w:tc>
          <w:tcPr>
            <w:tcW w:w="832" w:type="pct"/>
            <w:tcBorders>
              <w:top w:val="single" w:sz="2" w:space="0" w:color="000000"/>
              <w:left w:val="single" w:sz="2" w:space="0" w:color="000000"/>
              <w:bottom w:val="single" w:sz="4" w:space="0" w:color="auto"/>
              <w:right w:val="nil"/>
            </w:tcBorders>
            <w:vAlign w:val="center"/>
            <w:hideMark/>
          </w:tcPr>
          <w:p w14:paraId="28F12E46"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3000</w:t>
            </w:r>
          </w:p>
        </w:tc>
        <w:tc>
          <w:tcPr>
            <w:tcW w:w="834" w:type="pct"/>
            <w:tcBorders>
              <w:top w:val="single" w:sz="2" w:space="0" w:color="000000"/>
              <w:left w:val="single" w:sz="2" w:space="0" w:color="000000"/>
              <w:bottom w:val="single" w:sz="4" w:space="0" w:color="auto"/>
              <w:right w:val="nil"/>
            </w:tcBorders>
            <w:vAlign w:val="center"/>
            <w:hideMark/>
          </w:tcPr>
          <w:p w14:paraId="4789051A"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3000</w:t>
            </w:r>
          </w:p>
        </w:tc>
        <w:tc>
          <w:tcPr>
            <w:tcW w:w="835" w:type="pct"/>
            <w:tcBorders>
              <w:top w:val="single" w:sz="2" w:space="0" w:color="000000"/>
              <w:left w:val="single" w:sz="2" w:space="0" w:color="000000"/>
              <w:bottom w:val="single" w:sz="4" w:space="0" w:color="auto"/>
              <w:right w:val="nil"/>
            </w:tcBorders>
            <w:vAlign w:val="center"/>
            <w:hideMark/>
          </w:tcPr>
          <w:p w14:paraId="6E958FD5"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3000</w:t>
            </w:r>
          </w:p>
        </w:tc>
        <w:tc>
          <w:tcPr>
            <w:tcW w:w="831" w:type="pct"/>
            <w:tcBorders>
              <w:top w:val="single" w:sz="2" w:space="0" w:color="000000"/>
              <w:left w:val="single" w:sz="2" w:space="0" w:color="000000"/>
              <w:bottom w:val="single" w:sz="4" w:space="0" w:color="auto"/>
              <w:right w:val="nil"/>
            </w:tcBorders>
            <w:vAlign w:val="center"/>
            <w:hideMark/>
          </w:tcPr>
          <w:p w14:paraId="7ABBD2F7"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3000</w:t>
            </w:r>
          </w:p>
        </w:tc>
        <w:tc>
          <w:tcPr>
            <w:tcW w:w="833" w:type="pct"/>
            <w:tcBorders>
              <w:top w:val="single" w:sz="2" w:space="0" w:color="000000"/>
              <w:left w:val="single" w:sz="2" w:space="0" w:color="000000"/>
              <w:bottom w:val="single" w:sz="4" w:space="0" w:color="auto"/>
              <w:right w:val="single" w:sz="2" w:space="0" w:color="000000"/>
            </w:tcBorders>
            <w:vAlign w:val="center"/>
            <w:hideMark/>
          </w:tcPr>
          <w:p w14:paraId="12993FD9"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3000</w:t>
            </w:r>
          </w:p>
        </w:tc>
      </w:tr>
      <w:tr w:rsidR="001B7F77" w:rsidRPr="001B7F77" w14:paraId="6A46FD09" w14:textId="77777777" w:rsidTr="006655A1">
        <w:tc>
          <w:tcPr>
            <w:tcW w:w="5000" w:type="pct"/>
            <w:gridSpan w:val="6"/>
            <w:tcBorders>
              <w:top w:val="single" w:sz="4" w:space="0" w:color="auto"/>
              <w:left w:val="nil"/>
              <w:bottom w:val="nil"/>
              <w:right w:val="nil"/>
            </w:tcBorders>
            <w:vAlign w:val="center"/>
            <w:hideMark/>
          </w:tcPr>
          <w:p w14:paraId="735A4CF3" w14:textId="77777777" w:rsidR="001B7F77" w:rsidRPr="001B7F77" w:rsidRDefault="001B7F77" w:rsidP="00FD2721">
            <w:pPr>
              <w:widowControl w:val="0"/>
              <w:tabs>
                <w:tab w:val="left" w:pos="360"/>
              </w:tabs>
              <w:spacing w:before="120"/>
              <w:ind w:left="212" w:right="54"/>
              <w:jc w:val="left"/>
              <w:rPr>
                <w:rFonts w:eastAsia="Calibri"/>
                <w:sz w:val="18"/>
                <w:szCs w:val="18"/>
                <w:u w:val="single"/>
              </w:rPr>
            </w:pPr>
            <w:r w:rsidRPr="001B7F77">
              <w:rPr>
                <w:rFonts w:eastAsia="Calibri"/>
                <w:sz w:val="18"/>
                <w:szCs w:val="18"/>
                <w:u w:val="single"/>
              </w:rPr>
              <w:t>Note: Cinder concrete when found shall have 0 psi value for reinforced-concrete analysis.</w:t>
            </w:r>
          </w:p>
        </w:tc>
      </w:tr>
    </w:tbl>
    <w:p w14:paraId="40663EBA" w14:textId="77777777" w:rsidR="001B7F77" w:rsidRPr="001B7F77" w:rsidRDefault="001B7F77" w:rsidP="00FD2721">
      <w:pPr>
        <w:widowControl w:val="0"/>
        <w:suppressAutoHyphens/>
        <w:spacing w:before="120"/>
        <w:jc w:val="center"/>
        <w:outlineLvl w:val="0"/>
        <w:rPr>
          <w:b/>
          <w:bCs/>
          <w:u w:val="single"/>
        </w:rPr>
      </w:pPr>
      <w:r w:rsidRPr="001B7F77">
        <w:rPr>
          <w:b/>
          <w:bCs/>
          <w:u w:val="single"/>
        </w:rPr>
        <w:t>TABLE H103.4.1</w:t>
      </w:r>
      <w:r w:rsidRPr="001B7F77">
        <w:rPr>
          <w:b/>
          <w:bCs/>
          <w:u w:val="single"/>
        </w:rPr>
        <w:br/>
        <w:t>MINIMUM REINFORCING BAR STRESSES</w:t>
      </w:r>
    </w:p>
    <w:tbl>
      <w:tblPr>
        <w:tblW w:w="5000" w:type="pct"/>
        <w:jc w:val="center"/>
        <w:tblCellMar>
          <w:top w:w="55" w:type="dxa"/>
          <w:left w:w="55" w:type="dxa"/>
          <w:bottom w:w="55" w:type="dxa"/>
          <w:right w:w="55" w:type="dxa"/>
        </w:tblCellMar>
        <w:tblLook w:val="04A0" w:firstRow="1" w:lastRow="0" w:firstColumn="1" w:lastColumn="0" w:noHBand="0" w:noVBand="1"/>
      </w:tblPr>
      <w:tblGrid>
        <w:gridCol w:w="3118"/>
        <w:gridCol w:w="3119"/>
        <w:gridCol w:w="3117"/>
      </w:tblGrid>
      <w:tr w:rsidR="001B7F77" w:rsidRPr="001B7F77" w14:paraId="70C53208" w14:textId="77777777" w:rsidTr="006655A1">
        <w:trPr>
          <w:cantSplit/>
          <w:tblHeader/>
          <w:jc w:val="center"/>
        </w:trPr>
        <w:tc>
          <w:tcPr>
            <w:tcW w:w="1667" w:type="pct"/>
            <w:tcBorders>
              <w:top w:val="single" w:sz="2" w:space="0" w:color="000000"/>
              <w:left w:val="single" w:sz="2" w:space="0" w:color="000000"/>
              <w:bottom w:val="single" w:sz="2" w:space="0" w:color="000000"/>
              <w:right w:val="nil"/>
            </w:tcBorders>
            <w:vAlign w:val="center"/>
            <w:hideMark/>
          </w:tcPr>
          <w:p w14:paraId="2D813419" w14:textId="77777777" w:rsidR="001B7F77" w:rsidRPr="001B7F77" w:rsidRDefault="001B7F77" w:rsidP="00FD2721">
            <w:pPr>
              <w:widowControl w:val="0"/>
              <w:tabs>
                <w:tab w:val="left" w:pos="360"/>
              </w:tabs>
              <w:spacing w:before="120"/>
              <w:ind w:right="54"/>
              <w:jc w:val="center"/>
              <w:rPr>
                <w:rFonts w:eastAsia="Calibri"/>
                <w:b/>
                <w:bCs/>
                <w:szCs w:val="24"/>
                <w:u w:val="single"/>
              </w:rPr>
            </w:pPr>
            <w:r w:rsidRPr="001B7F77">
              <w:rPr>
                <w:rFonts w:eastAsia="Calibri"/>
                <w:b/>
                <w:bCs/>
                <w:szCs w:val="24"/>
                <w:u w:val="single"/>
              </w:rPr>
              <w:t>Year</w:t>
            </w:r>
          </w:p>
        </w:tc>
        <w:tc>
          <w:tcPr>
            <w:tcW w:w="1667" w:type="pct"/>
            <w:tcBorders>
              <w:top w:val="single" w:sz="2" w:space="0" w:color="000000"/>
              <w:left w:val="single" w:sz="2" w:space="0" w:color="000000"/>
              <w:bottom w:val="single" w:sz="2" w:space="0" w:color="000000"/>
              <w:right w:val="nil"/>
            </w:tcBorders>
            <w:vAlign w:val="center"/>
            <w:hideMark/>
          </w:tcPr>
          <w:p w14:paraId="50B86458" w14:textId="77777777" w:rsidR="001B7F77" w:rsidRPr="001B7F77" w:rsidRDefault="001B7F77" w:rsidP="00FD2721">
            <w:pPr>
              <w:widowControl w:val="0"/>
              <w:tabs>
                <w:tab w:val="left" w:pos="360"/>
              </w:tabs>
              <w:spacing w:before="120"/>
              <w:ind w:right="54"/>
              <w:jc w:val="center"/>
              <w:rPr>
                <w:rFonts w:eastAsia="Calibri"/>
                <w:b/>
                <w:bCs/>
                <w:szCs w:val="24"/>
                <w:u w:val="single"/>
              </w:rPr>
            </w:pPr>
            <w:r w:rsidRPr="001B7F77">
              <w:rPr>
                <w:rFonts w:eastAsia="Calibri"/>
                <w:b/>
                <w:bCs/>
                <w:szCs w:val="24"/>
                <w:u w:val="single"/>
              </w:rPr>
              <w:t>Yield Stress (ksi)</w:t>
            </w:r>
          </w:p>
        </w:tc>
        <w:tc>
          <w:tcPr>
            <w:tcW w:w="1666" w:type="pct"/>
            <w:tcBorders>
              <w:top w:val="single" w:sz="2" w:space="0" w:color="000000"/>
              <w:left w:val="single" w:sz="2" w:space="0" w:color="000000"/>
              <w:bottom w:val="single" w:sz="2" w:space="0" w:color="000000"/>
              <w:right w:val="single" w:sz="2" w:space="0" w:color="000000"/>
            </w:tcBorders>
            <w:vAlign w:val="center"/>
            <w:hideMark/>
          </w:tcPr>
          <w:p w14:paraId="4CEE65D3" w14:textId="77777777" w:rsidR="001B7F77" w:rsidRPr="001B7F77" w:rsidRDefault="001B7F77" w:rsidP="00FD2721">
            <w:pPr>
              <w:widowControl w:val="0"/>
              <w:tabs>
                <w:tab w:val="left" w:pos="360"/>
              </w:tabs>
              <w:spacing w:before="120"/>
              <w:ind w:right="54"/>
              <w:jc w:val="center"/>
              <w:rPr>
                <w:rFonts w:eastAsia="Calibri"/>
                <w:b/>
                <w:bCs/>
                <w:szCs w:val="24"/>
                <w:u w:val="single"/>
              </w:rPr>
            </w:pPr>
            <w:r w:rsidRPr="001B7F77">
              <w:rPr>
                <w:rFonts w:eastAsia="Calibri"/>
                <w:b/>
                <w:bCs/>
                <w:szCs w:val="24"/>
                <w:u w:val="single"/>
              </w:rPr>
              <w:t>Tensile Stress (ksi)</w:t>
            </w:r>
          </w:p>
        </w:tc>
      </w:tr>
      <w:tr w:rsidR="001B7F77" w:rsidRPr="001B7F77" w14:paraId="375CC8C8" w14:textId="77777777" w:rsidTr="006655A1">
        <w:trPr>
          <w:jc w:val="center"/>
        </w:trPr>
        <w:tc>
          <w:tcPr>
            <w:tcW w:w="1667" w:type="pct"/>
            <w:tcBorders>
              <w:top w:val="nil"/>
              <w:left w:val="single" w:sz="2" w:space="0" w:color="000000"/>
              <w:bottom w:val="single" w:sz="2" w:space="0" w:color="000000"/>
              <w:right w:val="nil"/>
            </w:tcBorders>
            <w:vAlign w:val="center"/>
            <w:hideMark/>
          </w:tcPr>
          <w:p w14:paraId="581D49B3"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1904-1966</w:t>
            </w:r>
          </w:p>
        </w:tc>
        <w:tc>
          <w:tcPr>
            <w:tcW w:w="1667" w:type="pct"/>
            <w:tcBorders>
              <w:top w:val="nil"/>
              <w:left w:val="single" w:sz="2" w:space="0" w:color="000000"/>
              <w:bottom w:val="single" w:sz="2" w:space="0" w:color="000000"/>
              <w:right w:val="nil"/>
            </w:tcBorders>
            <w:vAlign w:val="center"/>
            <w:hideMark/>
          </w:tcPr>
          <w:p w14:paraId="76A14E56"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33</w:t>
            </w:r>
          </w:p>
        </w:tc>
        <w:tc>
          <w:tcPr>
            <w:tcW w:w="1666" w:type="pct"/>
            <w:tcBorders>
              <w:top w:val="nil"/>
              <w:left w:val="single" w:sz="2" w:space="0" w:color="000000"/>
              <w:bottom w:val="single" w:sz="2" w:space="0" w:color="000000"/>
              <w:right w:val="single" w:sz="2" w:space="0" w:color="000000"/>
            </w:tcBorders>
            <w:vAlign w:val="center"/>
            <w:hideMark/>
          </w:tcPr>
          <w:p w14:paraId="2547322E"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55</w:t>
            </w:r>
          </w:p>
        </w:tc>
      </w:tr>
      <w:tr w:rsidR="001B7F77" w:rsidRPr="001B7F77" w14:paraId="4A7D103B" w14:textId="77777777" w:rsidTr="006655A1">
        <w:trPr>
          <w:jc w:val="center"/>
        </w:trPr>
        <w:tc>
          <w:tcPr>
            <w:tcW w:w="1667" w:type="pct"/>
            <w:tcBorders>
              <w:top w:val="nil"/>
              <w:left w:val="single" w:sz="2" w:space="0" w:color="000000"/>
              <w:bottom w:val="single" w:sz="2" w:space="0" w:color="000000"/>
              <w:right w:val="nil"/>
            </w:tcBorders>
            <w:vAlign w:val="center"/>
            <w:hideMark/>
          </w:tcPr>
          <w:p w14:paraId="7D8F71BA"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1967-Present</w:t>
            </w:r>
          </w:p>
        </w:tc>
        <w:tc>
          <w:tcPr>
            <w:tcW w:w="1667" w:type="pct"/>
            <w:tcBorders>
              <w:top w:val="nil"/>
              <w:left w:val="single" w:sz="2" w:space="0" w:color="000000"/>
              <w:bottom w:val="single" w:sz="2" w:space="0" w:color="000000"/>
              <w:right w:val="nil"/>
            </w:tcBorders>
            <w:vAlign w:val="center"/>
            <w:hideMark/>
          </w:tcPr>
          <w:p w14:paraId="030ADAF2"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40</w:t>
            </w:r>
          </w:p>
        </w:tc>
        <w:tc>
          <w:tcPr>
            <w:tcW w:w="1666" w:type="pct"/>
            <w:tcBorders>
              <w:top w:val="nil"/>
              <w:left w:val="single" w:sz="2" w:space="0" w:color="000000"/>
              <w:bottom w:val="single" w:sz="2" w:space="0" w:color="000000"/>
              <w:right w:val="single" w:sz="2" w:space="0" w:color="000000"/>
            </w:tcBorders>
            <w:vAlign w:val="center"/>
            <w:hideMark/>
          </w:tcPr>
          <w:p w14:paraId="527E1875"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70</w:t>
            </w:r>
          </w:p>
        </w:tc>
      </w:tr>
    </w:tbl>
    <w:p w14:paraId="3AE47C1A" w14:textId="77777777" w:rsidR="001B7F77" w:rsidRPr="001B7F77" w:rsidRDefault="001B7F77" w:rsidP="00FD2721">
      <w:pPr>
        <w:suppressAutoHyphens/>
        <w:spacing w:before="120"/>
        <w:rPr>
          <w:color w:val="000000"/>
          <w:szCs w:val="24"/>
          <w:u w:val="single"/>
        </w:rPr>
      </w:pPr>
      <w:r w:rsidRPr="001B7F77">
        <w:rPr>
          <w:b/>
          <w:bCs/>
          <w:szCs w:val="24"/>
          <w:u w:val="single"/>
        </w:rPr>
        <w:t xml:space="preserve">H103.5 Masonry. </w:t>
      </w:r>
      <w:r w:rsidRPr="001B7F77">
        <w:rPr>
          <w:szCs w:val="24"/>
          <w:u w:val="single"/>
        </w:rPr>
        <w:t xml:space="preserve">For brick and block walls, the maximum allowable working stress in compression indicated below may be interpreted as 0.25 × f'm for use with the </w:t>
      </w:r>
      <w:r w:rsidRPr="001B7F77">
        <w:rPr>
          <w:i/>
          <w:iCs/>
          <w:szCs w:val="24"/>
          <w:u w:val="single"/>
        </w:rPr>
        <w:t>New York City Building Code</w:t>
      </w:r>
      <w:r w:rsidRPr="001B7F77">
        <w:rPr>
          <w:szCs w:val="24"/>
          <w:u w:val="single"/>
        </w:rPr>
        <w:t xml:space="preserve"> and its reference standard TMS 402.</w:t>
      </w:r>
    </w:p>
    <w:p w14:paraId="6A79D506" w14:textId="77777777" w:rsidR="001B7F77" w:rsidRPr="001B7F77" w:rsidRDefault="001B7F77" w:rsidP="00FD2721">
      <w:pPr>
        <w:widowControl w:val="0"/>
        <w:suppressAutoHyphens/>
        <w:spacing w:before="120"/>
        <w:jc w:val="center"/>
        <w:outlineLvl w:val="0"/>
        <w:rPr>
          <w:b/>
          <w:bCs/>
          <w:szCs w:val="24"/>
          <w:u w:val="single"/>
        </w:rPr>
      </w:pPr>
      <w:r w:rsidRPr="001B7F77">
        <w:rPr>
          <w:b/>
          <w:bCs/>
          <w:szCs w:val="24"/>
          <w:u w:val="single"/>
        </w:rPr>
        <w:t>TABLE H103.5</w:t>
      </w:r>
      <w:r w:rsidRPr="001B7F77">
        <w:rPr>
          <w:b/>
          <w:bCs/>
          <w:szCs w:val="24"/>
          <w:u w:val="single"/>
        </w:rPr>
        <w:br/>
        <w:t>MAXIMUM ALLOWABLE WORKING STRESS ON UNDAMAGED SOLID BRICK MASONRY WALLS (FULL MORTAR JOINTS) (PSI)</w:t>
      </w:r>
    </w:p>
    <w:tbl>
      <w:tblPr>
        <w:tblW w:w="50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1670"/>
        <w:gridCol w:w="1719"/>
        <w:gridCol w:w="1646"/>
        <w:gridCol w:w="2362"/>
        <w:gridCol w:w="2028"/>
      </w:tblGrid>
      <w:tr w:rsidR="001B7F77" w:rsidRPr="001B7F77" w14:paraId="2CE69A3D" w14:textId="77777777" w:rsidTr="006655A1">
        <w:trPr>
          <w:cantSplit/>
          <w:trHeight w:val="608"/>
          <w:tblHeader/>
        </w:trPr>
        <w:tc>
          <w:tcPr>
            <w:tcW w:w="886" w:type="pct"/>
            <w:tcBorders>
              <w:top w:val="single" w:sz="4" w:space="0" w:color="auto"/>
              <w:left w:val="single" w:sz="4" w:space="0" w:color="auto"/>
              <w:bottom w:val="single" w:sz="4" w:space="0" w:color="auto"/>
              <w:right w:val="single" w:sz="4" w:space="0" w:color="auto"/>
            </w:tcBorders>
            <w:vAlign w:val="center"/>
            <w:hideMark/>
          </w:tcPr>
          <w:p w14:paraId="5EEE3061" w14:textId="77777777" w:rsidR="001B7F77" w:rsidRPr="001B7F77" w:rsidRDefault="001B7F77" w:rsidP="00FD2721">
            <w:pPr>
              <w:suppressAutoHyphens/>
              <w:spacing w:before="120" w:line="256" w:lineRule="auto"/>
              <w:ind w:right="54"/>
              <w:jc w:val="center"/>
              <w:rPr>
                <w:b/>
                <w:bCs/>
                <w:szCs w:val="24"/>
                <w:u w:val="single"/>
              </w:rPr>
            </w:pPr>
            <w:r w:rsidRPr="001B7F77">
              <w:rPr>
                <w:b/>
                <w:bCs/>
                <w:szCs w:val="24"/>
                <w:u w:val="single"/>
              </w:rPr>
              <w:t>Year</w:t>
            </w:r>
          </w:p>
        </w:tc>
        <w:tc>
          <w:tcPr>
            <w:tcW w:w="912" w:type="pct"/>
            <w:tcBorders>
              <w:top w:val="single" w:sz="4" w:space="0" w:color="auto"/>
              <w:left w:val="single" w:sz="4" w:space="0" w:color="auto"/>
              <w:bottom w:val="single" w:sz="4" w:space="0" w:color="auto"/>
              <w:right w:val="single" w:sz="4" w:space="0" w:color="auto"/>
            </w:tcBorders>
            <w:vAlign w:val="center"/>
            <w:hideMark/>
          </w:tcPr>
          <w:p w14:paraId="72C2D3F9" w14:textId="77777777" w:rsidR="001B7F77" w:rsidRPr="001B7F77" w:rsidRDefault="001B7F77" w:rsidP="00FD2721">
            <w:pPr>
              <w:suppressAutoHyphens/>
              <w:spacing w:before="120" w:line="256" w:lineRule="auto"/>
              <w:ind w:right="54"/>
              <w:jc w:val="center"/>
              <w:rPr>
                <w:b/>
                <w:bCs/>
                <w:szCs w:val="24"/>
                <w:u w:val="single"/>
              </w:rPr>
            </w:pPr>
            <w:r w:rsidRPr="001B7F77">
              <w:rPr>
                <w:b/>
                <w:bCs/>
                <w:szCs w:val="24"/>
                <w:u w:val="single"/>
              </w:rPr>
              <w:t>Conditions for use</w:t>
            </w:r>
          </w:p>
        </w:tc>
        <w:tc>
          <w:tcPr>
            <w:tcW w:w="873" w:type="pct"/>
            <w:tcBorders>
              <w:top w:val="single" w:sz="4" w:space="0" w:color="auto"/>
              <w:left w:val="single" w:sz="4" w:space="0" w:color="auto"/>
              <w:bottom w:val="single" w:sz="4" w:space="0" w:color="auto"/>
              <w:right w:val="single" w:sz="4" w:space="0" w:color="auto"/>
            </w:tcBorders>
            <w:vAlign w:val="center"/>
            <w:hideMark/>
          </w:tcPr>
          <w:p w14:paraId="374AF663" w14:textId="77777777" w:rsidR="001B7F77" w:rsidRPr="001B7F77" w:rsidRDefault="001B7F77" w:rsidP="00FD2721">
            <w:pPr>
              <w:suppressAutoHyphens/>
              <w:spacing w:before="120" w:line="256" w:lineRule="auto"/>
              <w:ind w:right="54"/>
              <w:jc w:val="center"/>
              <w:rPr>
                <w:b/>
                <w:bCs/>
                <w:szCs w:val="24"/>
                <w:u w:val="single"/>
              </w:rPr>
            </w:pPr>
            <w:r w:rsidRPr="001B7F77">
              <w:rPr>
                <w:b/>
                <w:bCs/>
                <w:szCs w:val="24"/>
                <w:u w:val="single"/>
              </w:rPr>
              <w:t>Mortar</w:t>
            </w:r>
          </w:p>
        </w:tc>
        <w:tc>
          <w:tcPr>
            <w:tcW w:w="1253" w:type="pct"/>
            <w:tcBorders>
              <w:top w:val="single" w:sz="4" w:space="0" w:color="auto"/>
              <w:left w:val="single" w:sz="4" w:space="0" w:color="auto"/>
              <w:bottom w:val="single" w:sz="4" w:space="0" w:color="auto"/>
              <w:right w:val="single" w:sz="4" w:space="0" w:color="auto"/>
            </w:tcBorders>
            <w:vAlign w:val="center"/>
            <w:hideMark/>
          </w:tcPr>
          <w:p w14:paraId="51DB026A" w14:textId="77777777" w:rsidR="001B7F77" w:rsidRPr="001B7F77" w:rsidRDefault="001B7F77" w:rsidP="00FD2721">
            <w:pPr>
              <w:suppressAutoHyphens/>
              <w:spacing w:before="120" w:line="256" w:lineRule="auto"/>
              <w:ind w:right="54"/>
              <w:jc w:val="center"/>
              <w:rPr>
                <w:b/>
                <w:bCs/>
                <w:szCs w:val="24"/>
                <w:u w:val="single"/>
              </w:rPr>
            </w:pPr>
            <w:r w:rsidRPr="001B7F77">
              <w:rPr>
                <w:b/>
                <w:bCs/>
                <w:szCs w:val="24"/>
                <w:u w:val="single"/>
              </w:rPr>
              <w:t>Compression</w:t>
            </w:r>
          </w:p>
        </w:tc>
        <w:tc>
          <w:tcPr>
            <w:tcW w:w="1076" w:type="pct"/>
            <w:tcBorders>
              <w:top w:val="single" w:sz="4" w:space="0" w:color="auto"/>
              <w:left w:val="single" w:sz="4" w:space="0" w:color="auto"/>
              <w:bottom w:val="single" w:sz="4" w:space="0" w:color="auto"/>
              <w:right w:val="single" w:sz="4" w:space="0" w:color="auto"/>
            </w:tcBorders>
            <w:vAlign w:val="center"/>
            <w:hideMark/>
          </w:tcPr>
          <w:p w14:paraId="59F87D2A" w14:textId="77777777" w:rsidR="001B7F77" w:rsidRPr="001B7F77" w:rsidRDefault="001B7F77" w:rsidP="00FD2721">
            <w:pPr>
              <w:suppressAutoHyphens/>
              <w:spacing w:before="120" w:line="256" w:lineRule="auto"/>
              <w:ind w:right="54"/>
              <w:jc w:val="center"/>
              <w:rPr>
                <w:b/>
                <w:bCs/>
                <w:szCs w:val="24"/>
                <w:u w:val="single"/>
              </w:rPr>
            </w:pPr>
            <w:r w:rsidRPr="001B7F77">
              <w:rPr>
                <w:b/>
                <w:bCs/>
                <w:szCs w:val="24"/>
                <w:u w:val="single"/>
              </w:rPr>
              <w:t>Flexural Tension perpendicular to bed joints (Note 3)</w:t>
            </w:r>
          </w:p>
        </w:tc>
      </w:tr>
      <w:tr w:rsidR="001B7F77" w:rsidRPr="001B7F77" w14:paraId="03E9D1B7" w14:textId="77777777" w:rsidTr="006655A1">
        <w:trPr>
          <w:trHeight w:val="328"/>
        </w:trPr>
        <w:tc>
          <w:tcPr>
            <w:tcW w:w="886" w:type="pct"/>
            <w:tcBorders>
              <w:top w:val="single" w:sz="4" w:space="0" w:color="auto"/>
              <w:left w:val="single" w:sz="4" w:space="0" w:color="auto"/>
              <w:bottom w:val="single" w:sz="4" w:space="0" w:color="auto"/>
              <w:right w:val="single" w:sz="4" w:space="0" w:color="auto"/>
            </w:tcBorders>
            <w:vAlign w:val="center"/>
            <w:hideMark/>
          </w:tcPr>
          <w:p w14:paraId="25B7D1CE"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Pre 1900</w:t>
            </w:r>
          </w:p>
        </w:tc>
        <w:tc>
          <w:tcPr>
            <w:tcW w:w="912" w:type="pct"/>
            <w:tcBorders>
              <w:top w:val="single" w:sz="4" w:space="0" w:color="auto"/>
              <w:left w:val="single" w:sz="4" w:space="0" w:color="auto"/>
              <w:bottom w:val="single" w:sz="4" w:space="0" w:color="auto"/>
              <w:right w:val="single" w:sz="4" w:space="0" w:color="auto"/>
            </w:tcBorders>
            <w:vAlign w:val="center"/>
          </w:tcPr>
          <w:p w14:paraId="17F895CB" w14:textId="77777777" w:rsidR="001B7F77" w:rsidRPr="001B7F77" w:rsidRDefault="001B7F77" w:rsidP="00FD2721">
            <w:pPr>
              <w:suppressAutoHyphens/>
              <w:spacing w:before="120" w:line="256" w:lineRule="auto"/>
              <w:ind w:right="54"/>
              <w:jc w:val="center"/>
              <w:rPr>
                <w:szCs w:val="24"/>
                <w:u w:val="single"/>
              </w:rPr>
            </w:pPr>
          </w:p>
        </w:tc>
        <w:tc>
          <w:tcPr>
            <w:tcW w:w="873" w:type="pct"/>
            <w:tcBorders>
              <w:top w:val="single" w:sz="4" w:space="0" w:color="auto"/>
              <w:left w:val="single" w:sz="4" w:space="0" w:color="auto"/>
              <w:bottom w:val="single" w:sz="4" w:space="0" w:color="auto"/>
              <w:right w:val="single" w:sz="4" w:space="0" w:color="auto"/>
            </w:tcBorders>
            <w:vAlign w:val="center"/>
            <w:hideMark/>
          </w:tcPr>
          <w:p w14:paraId="36974AF0"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Lime</w:t>
            </w:r>
          </w:p>
        </w:tc>
        <w:tc>
          <w:tcPr>
            <w:tcW w:w="1253" w:type="pct"/>
            <w:tcBorders>
              <w:top w:val="single" w:sz="4" w:space="0" w:color="auto"/>
              <w:left w:val="single" w:sz="4" w:space="0" w:color="auto"/>
              <w:bottom w:val="single" w:sz="4" w:space="0" w:color="auto"/>
              <w:right w:val="single" w:sz="4" w:space="0" w:color="auto"/>
            </w:tcBorders>
            <w:vAlign w:val="center"/>
            <w:hideMark/>
          </w:tcPr>
          <w:p w14:paraId="6522A9E2"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100</w:t>
            </w:r>
          </w:p>
        </w:tc>
        <w:tc>
          <w:tcPr>
            <w:tcW w:w="1076" w:type="pct"/>
            <w:tcBorders>
              <w:top w:val="single" w:sz="4" w:space="0" w:color="auto"/>
              <w:left w:val="single" w:sz="4" w:space="0" w:color="auto"/>
              <w:bottom w:val="single" w:sz="4" w:space="0" w:color="auto"/>
              <w:right w:val="single" w:sz="4" w:space="0" w:color="auto"/>
            </w:tcBorders>
            <w:vAlign w:val="center"/>
            <w:hideMark/>
          </w:tcPr>
          <w:p w14:paraId="7DDC34FD"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0</w:t>
            </w:r>
          </w:p>
        </w:tc>
      </w:tr>
      <w:tr w:rsidR="001B7F77" w:rsidRPr="001B7F77" w14:paraId="127B0367" w14:textId="77777777" w:rsidTr="006655A1">
        <w:trPr>
          <w:trHeight w:val="608"/>
        </w:trPr>
        <w:tc>
          <w:tcPr>
            <w:tcW w:w="886" w:type="pct"/>
            <w:tcBorders>
              <w:top w:val="single" w:sz="4" w:space="0" w:color="auto"/>
              <w:left w:val="single" w:sz="4" w:space="0" w:color="auto"/>
              <w:bottom w:val="single" w:sz="4" w:space="0" w:color="auto"/>
              <w:right w:val="single" w:sz="4" w:space="0" w:color="auto"/>
            </w:tcBorders>
            <w:vAlign w:val="center"/>
            <w:hideMark/>
          </w:tcPr>
          <w:p w14:paraId="3C1EFA13"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Pre 1900</w:t>
            </w:r>
          </w:p>
        </w:tc>
        <w:tc>
          <w:tcPr>
            <w:tcW w:w="912" w:type="pct"/>
            <w:tcBorders>
              <w:top w:val="single" w:sz="4" w:space="0" w:color="auto"/>
              <w:left w:val="single" w:sz="4" w:space="0" w:color="auto"/>
              <w:bottom w:val="single" w:sz="4" w:space="0" w:color="auto"/>
              <w:right w:val="single" w:sz="4" w:space="0" w:color="auto"/>
            </w:tcBorders>
            <w:vAlign w:val="center"/>
            <w:hideMark/>
          </w:tcPr>
          <w:p w14:paraId="0B6C8545"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Probed as per note 1</w:t>
            </w:r>
          </w:p>
        </w:tc>
        <w:tc>
          <w:tcPr>
            <w:tcW w:w="873" w:type="pct"/>
            <w:tcBorders>
              <w:top w:val="single" w:sz="4" w:space="0" w:color="auto"/>
              <w:left w:val="single" w:sz="4" w:space="0" w:color="auto"/>
              <w:bottom w:val="single" w:sz="4" w:space="0" w:color="auto"/>
              <w:right w:val="single" w:sz="4" w:space="0" w:color="auto"/>
            </w:tcBorders>
            <w:vAlign w:val="center"/>
            <w:hideMark/>
          </w:tcPr>
          <w:p w14:paraId="5D415DCA"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cement-lime</w:t>
            </w:r>
          </w:p>
        </w:tc>
        <w:tc>
          <w:tcPr>
            <w:tcW w:w="1253" w:type="pct"/>
            <w:tcBorders>
              <w:top w:val="single" w:sz="4" w:space="0" w:color="auto"/>
              <w:left w:val="single" w:sz="4" w:space="0" w:color="auto"/>
              <w:bottom w:val="single" w:sz="4" w:space="0" w:color="auto"/>
              <w:right w:val="single" w:sz="4" w:space="0" w:color="auto"/>
            </w:tcBorders>
            <w:vAlign w:val="center"/>
            <w:hideMark/>
          </w:tcPr>
          <w:p w14:paraId="2FB7F14A"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150</w:t>
            </w:r>
          </w:p>
        </w:tc>
        <w:tc>
          <w:tcPr>
            <w:tcW w:w="1076" w:type="pct"/>
            <w:tcBorders>
              <w:top w:val="single" w:sz="4" w:space="0" w:color="auto"/>
              <w:left w:val="single" w:sz="4" w:space="0" w:color="auto"/>
              <w:bottom w:val="single" w:sz="4" w:space="0" w:color="auto"/>
              <w:right w:val="single" w:sz="4" w:space="0" w:color="auto"/>
            </w:tcBorders>
            <w:vAlign w:val="center"/>
            <w:hideMark/>
          </w:tcPr>
          <w:p w14:paraId="3EB074BB"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5</w:t>
            </w:r>
          </w:p>
        </w:tc>
      </w:tr>
      <w:tr w:rsidR="001B7F77" w:rsidRPr="001B7F77" w14:paraId="435D85E2" w14:textId="77777777" w:rsidTr="006655A1">
        <w:trPr>
          <w:trHeight w:val="920"/>
        </w:trPr>
        <w:tc>
          <w:tcPr>
            <w:tcW w:w="886" w:type="pct"/>
            <w:tcBorders>
              <w:top w:val="single" w:sz="4" w:space="0" w:color="auto"/>
              <w:left w:val="single" w:sz="4" w:space="0" w:color="auto"/>
              <w:bottom w:val="single" w:sz="4" w:space="0" w:color="auto"/>
              <w:right w:val="single" w:sz="4" w:space="0" w:color="auto"/>
            </w:tcBorders>
            <w:vAlign w:val="center"/>
            <w:hideMark/>
          </w:tcPr>
          <w:p w14:paraId="143E3540"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Pre-1900</w:t>
            </w:r>
          </w:p>
        </w:tc>
        <w:tc>
          <w:tcPr>
            <w:tcW w:w="912" w:type="pct"/>
            <w:tcBorders>
              <w:top w:val="single" w:sz="4" w:space="0" w:color="auto"/>
              <w:left w:val="single" w:sz="4" w:space="0" w:color="auto"/>
              <w:bottom w:val="single" w:sz="4" w:space="0" w:color="auto"/>
              <w:right w:val="single" w:sz="4" w:space="0" w:color="auto"/>
            </w:tcBorders>
            <w:vAlign w:val="center"/>
            <w:hideMark/>
          </w:tcPr>
          <w:p w14:paraId="318D9FE2"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See note 2</w:t>
            </w:r>
          </w:p>
        </w:tc>
        <w:tc>
          <w:tcPr>
            <w:tcW w:w="873" w:type="pct"/>
            <w:tcBorders>
              <w:top w:val="single" w:sz="4" w:space="0" w:color="auto"/>
              <w:left w:val="single" w:sz="4" w:space="0" w:color="auto"/>
              <w:bottom w:val="single" w:sz="4" w:space="0" w:color="auto"/>
              <w:right w:val="single" w:sz="4" w:space="0" w:color="auto"/>
            </w:tcBorders>
            <w:vAlign w:val="center"/>
            <w:hideMark/>
          </w:tcPr>
          <w:p w14:paraId="213B6D75"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Natural or Portland cement</w:t>
            </w:r>
          </w:p>
        </w:tc>
        <w:tc>
          <w:tcPr>
            <w:tcW w:w="1253" w:type="pct"/>
            <w:tcBorders>
              <w:top w:val="single" w:sz="4" w:space="0" w:color="auto"/>
              <w:left w:val="single" w:sz="4" w:space="0" w:color="auto"/>
              <w:bottom w:val="single" w:sz="4" w:space="0" w:color="auto"/>
              <w:right w:val="single" w:sz="4" w:space="0" w:color="auto"/>
            </w:tcBorders>
            <w:vAlign w:val="center"/>
            <w:hideMark/>
          </w:tcPr>
          <w:p w14:paraId="7FE2D87F"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200</w:t>
            </w:r>
          </w:p>
        </w:tc>
        <w:tc>
          <w:tcPr>
            <w:tcW w:w="1076" w:type="pct"/>
            <w:tcBorders>
              <w:top w:val="single" w:sz="4" w:space="0" w:color="auto"/>
              <w:left w:val="single" w:sz="4" w:space="0" w:color="auto"/>
              <w:bottom w:val="single" w:sz="4" w:space="0" w:color="auto"/>
              <w:right w:val="single" w:sz="4" w:space="0" w:color="auto"/>
            </w:tcBorders>
            <w:vAlign w:val="center"/>
            <w:hideMark/>
          </w:tcPr>
          <w:p w14:paraId="3C988CC7"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5</w:t>
            </w:r>
          </w:p>
        </w:tc>
      </w:tr>
      <w:tr w:rsidR="001B7F77" w:rsidRPr="001B7F77" w14:paraId="2718BF23" w14:textId="77777777" w:rsidTr="006655A1">
        <w:trPr>
          <w:trHeight w:val="328"/>
        </w:trPr>
        <w:tc>
          <w:tcPr>
            <w:tcW w:w="886" w:type="pct"/>
            <w:tcBorders>
              <w:top w:val="single" w:sz="4" w:space="0" w:color="auto"/>
              <w:left w:val="single" w:sz="4" w:space="0" w:color="auto"/>
              <w:bottom w:val="single" w:sz="4" w:space="0" w:color="auto"/>
              <w:right w:val="single" w:sz="4" w:space="0" w:color="auto"/>
            </w:tcBorders>
            <w:vAlign w:val="center"/>
            <w:hideMark/>
          </w:tcPr>
          <w:p w14:paraId="75E615E6"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Post 1900</w:t>
            </w:r>
          </w:p>
        </w:tc>
        <w:tc>
          <w:tcPr>
            <w:tcW w:w="912" w:type="pct"/>
            <w:tcBorders>
              <w:top w:val="single" w:sz="4" w:space="0" w:color="auto"/>
              <w:left w:val="single" w:sz="4" w:space="0" w:color="auto"/>
              <w:bottom w:val="single" w:sz="4" w:space="0" w:color="auto"/>
              <w:right w:val="single" w:sz="4" w:space="0" w:color="auto"/>
            </w:tcBorders>
            <w:vAlign w:val="center"/>
          </w:tcPr>
          <w:p w14:paraId="16E320DA" w14:textId="77777777" w:rsidR="001B7F77" w:rsidRPr="001B7F77" w:rsidRDefault="001B7F77" w:rsidP="00FD2721">
            <w:pPr>
              <w:suppressAutoHyphens/>
              <w:spacing w:before="120" w:line="256" w:lineRule="auto"/>
              <w:ind w:right="54"/>
              <w:jc w:val="center"/>
              <w:rPr>
                <w:szCs w:val="24"/>
                <w:u w:val="single"/>
              </w:rPr>
            </w:pPr>
          </w:p>
        </w:tc>
        <w:tc>
          <w:tcPr>
            <w:tcW w:w="873" w:type="pct"/>
            <w:tcBorders>
              <w:top w:val="single" w:sz="4" w:space="0" w:color="auto"/>
              <w:left w:val="single" w:sz="4" w:space="0" w:color="auto"/>
              <w:bottom w:val="single" w:sz="4" w:space="0" w:color="auto"/>
              <w:right w:val="single" w:sz="4" w:space="0" w:color="auto"/>
            </w:tcBorders>
            <w:vAlign w:val="center"/>
            <w:hideMark/>
          </w:tcPr>
          <w:p w14:paraId="22700E42"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Lime</w:t>
            </w:r>
          </w:p>
        </w:tc>
        <w:tc>
          <w:tcPr>
            <w:tcW w:w="1253" w:type="pct"/>
            <w:tcBorders>
              <w:top w:val="single" w:sz="4" w:space="0" w:color="auto"/>
              <w:left w:val="single" w:sz="4" w:space="0" w:color="auto"/>
              <w:bottom w:val="single" w:sz="4" w:space="0" w:color="auto"/>
              <w:right w:val="single" w:sz="4" w:space="0" w:color="auto"/>
            </w:tcBorders>
            <w:vAlign w:val="center"/>
            <w:hideMark/>
          </w:tcPr>
          <w:p w14:paraId="3FDFC342"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110</w:t>
            </w:r>
          </w:p>
        </w:tc>
        <w:tc>
          <w:tcPr>
            <w:tcW w:w="1076" w:type="pct"/>
            <w:tcBorders>
              <w:top w:val="single" w:sz="4" w:space="0" w:color="auto"/>
              <w:left w:val="single" w:sz="4" w:space="0" w:color="auto"/>
              <w:bottom w:val="single" w:sz="4" w:space="0" w:color="auto"/>
              <w:right w:val="single" w:sz="4" w:space="0" w:color="auto"/>
            </w:tcBorders>
            <w:vAlign w:val="center"/>
            <w:hideMark/>
          </w:tcPr>
          <w:p w14:paraId="0652872F"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5</w:t>
            </w:r>
          </w:p>
        </w:tc>
      </w:tr>
      <w:tr w:rsidR="001B7F77" w:rsidRPr="001B7F77" w14:paraId="659691F3" w14:textId="77777777" w:rsidTr="006655A1">
        <w:trPr>
          <w:trHeight w:val="328"/>
        </w:trPr>
        <w:tc>
          <w:tcPr>
            <w:tcW w:w="886" w:type="pct"/>
            <w:tcBorders>
              <w:top w:val="single" w:sz="4" w:space="0" w:color="auto"/>
              <w:left w:val="single" w:sz="4" w:space="0" w:color="auto"/>
              <w:bottom w:val="single" w:sz="4" w:space="0" w:color="auto"/>
              <w:right w:val="single" w:sz="4" w:space="0" w:color="auto"/>
            </w:tcBorders>
            <w:vAlign w:val="center"/>
            <w:hideMark/>
          </w:tcPr>
          <w:p w14:paraId="7B6969DE"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1900 -1938</w:t>
            </w:r>
          </w:p>
        </w:tc>
        <w:tc>
          <w:tcPr>
            <w:tcW w:w="912" w:type="pct"/>
            <w:tcBorders>
              <w:top w:val="single" w:sz="4" w:space="0" w:color="auto"/>
              <w:left w:val="single" w:sz="4" w:space="0" w:color="auto"/>
              <w:bottom w:val="single" w:sz="4" w:space="0" w:color="auto"/>
              <w:right w:val="single" w:sz="4" w:space="0" w:color="auto"/>
            </w:tcBorders>
            <w:vAlign w:val="center"/>
          </w:tcPr>
          <w:p w14:paraId="160F66C8" w14:textId="77777777" w:rsidR="001B7F77" w:rsidRPr="001B7F77" w:rsidRDefault="001B7F77" w:rsidP="00FD2721">
            <w:pPr>
              <w:suppressAutoHyphens/>
              <w:spacing w:before="120" w:line="256" w:lineRule="auto"/>
              <w:ind w:right="54"/>
              <w:jc w:val="center"/>
              <w:rPr>
                <w:szCs w:val="24"/>
                <w:u w:val="single"/>
              </w:rPr>
            </w:pPr>
          </w:p>
        </w:tc>
        <w:tc>
          <w:tcPr>
            <w:tcW w:w="873" w:type="pct"/>
            <w:tcBorders>
              <w:top w:val="single" w:sz="4" w:space="0" w:color="auto"/>
              <w:left w:val="single" w:sz="4" w:space="0" w:color="auto"/>
              <w:bottom w:val="single" w:sz="4" w:space="0" w:color="auto"/>
              <w:right w:val="single" w:sz="4" w:space="0" w:color="auto"/>
            </w:tcBorders>
            <w:vAlign w:val="center"/>
            <w:hideMark/>
          </w:tcPr>
          <w:p w14:paraId="67E6C751"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cement-lime</w:t>
            </w:r>
          </w:p>
        </w:tc>
        <w:tc>
          <w:tcPr>
            <w:tcW w:w="1253" w:type="pct"/>
            <w:tcBorders>
              <w:top w:val="single" w:sz="4" w:space="0" w:color="auto"/>
              <w:left w:val="single" w:sz="4" w:space="0" w:color="auto"/>
              <w:bottom w:val="single" w:sz="4" w:space="0" w:color="auto"/>
              <w:right w:val="single" w:sz="4" w:space="0" w:color="auto"/>
            </w:tcBorders>
            <w:vAlign w:val="center"/>
            <w:hideMark/>
          </w:tcPr>
          <w:p w14:paraId="1B796544"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160</w:t>
            </w:r>
          </w:p>
        </w:tc>
        <w:tc>
          <w:tcPr>
            <w:tcW w:w="1076" w:type="pct"/>
            <w:tcBorders>
              <w:top w:val="single" w:sz="4" w:space="0" w:color="auto"/>
              <w:left w:val="single" w:sz="4" w:space="0" w:color="auto"/>
              <w:bottom w:val="single" w:sz="4" w:space="0" w:color="auto"/>
              <w:right w:val="single" w:sz="4" w:space="0" w:color="auto"/>
            </w:tcBorders>
            <w:vAlign w:val="center"/>
            <w:hideMark/>
          </w:tcPr>
          <w:p w14:paraId="1B2E9854"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15</w:t>
            </w:r>
          </w:p>
        </w:tc>
      </w:tr>
      <w:tr w:rsidR="001B7F77" w:rsidRPr="001B7F77" w14:paraId="3A5DFAF3" w14:textId="77777777" w:rsidTr="006655A1">
        <w:trPr>
          <w:trHeight w:val="328"/>
        </w:trPr>
        <w:tc>
          <w:tcPr>
            <w:tcW w:w="886" w:type="pct"/>
            <w:tcBorders>
              <w:top w:val="single" w:sz="4" w:space="0" w:color="auto"/>
              <w:left w:val="single" w:sz="4" w:space="0" w:color="auto"/>
              <w:bottom w:val="single" w:sz="4" w:space="0" w:color="auto"/>
              <w:right w:val="single" w:sz="4" w:space="0" w:color="auto"/>
            </w:tcBorders>
            <w:vAlign w:val="center"/>
            <w:hideMark/>
          </w:tcPr>
          <w:p w14:paraId="5C6A0366"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Post 1938</w:t>
            </w:r>
          </w:p>
        </w:tc>
        <w:tc>
          <w:tcPr>
            <w:tcW w:w="912" w:type="pct"/>
            <w:tcBorders>
              <w:top w:val="single" w:sz="4" w:space="0" w:color="auto"/>
              <w:left w:val="single" w:sz="4" w:space="0" w:color="auto"/>
              <w:bottom w:val="single" w:sz="4" w:space="0" w:color="auto"/>
              <w:right w:val="single" w:sz="4" w:space="0" w:color="auto"/>
            </w:tcBorders>
            <w:vAlign w:val="center"/>
          </w:tcPr>
          <w:p w14:paraId="6A113E03" w14:textId="77777777" w:rsidR="001B7F77" w:rsidRPr="001B7F77" w:rsidRDefault="001B7F77" w:rsidP="00FD2721">
            <w:pPr>
              <w:suppressAutoHyphens/>
              <w:spacing w:before="120" w:line="256" w:lineRule="auto"/>
              <w:ind w:right="54"/>
              <w:jc w:val="center"/>
              <w:rPr>
                <w:szCs w:val="24"/>
                <w:u w:val="single"/>
              </w:rPr>
            </w:pPr>
          </w:p>
        </w:tc>
        <w:tc>
          <w:tcPr>
            <w:tcW w:w="873" w:type="pct"/>
            <w:tcBorders>
              <w:top w:val="single" w:sz="4" w:space="0" w:color="auto"/>
              <w:left w:val="single" w:sz="4" w:space="0" w:color="auto"/>
              <w:bottom w:val="single" w:sz="4" w:space="0" w:color="auto"/>
              <w:right w:val="single" w:sz="4" w:space="0" w:color="auto"/>
            </w:tcBorders>
            <w:vAlign w:val="center"/>
            <w:hideMark/>
          </w:tcPr>
          <w:p w14:paraId="3284F0C0"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cement-lime</w:t>
            </w:r>
          </w:p>
        </w:tc>
        <w:tc>
          <w:tcPr>
            <w:tcW w:w="1253" w:type="pct"/>
            <w:tcBorders>
              <w:top w:val="single" w:sz="4" w:space="0" w:color="auto"/>
              <w:left w:val="single" w:sz="4" w:space="0" w:color="auto"/>
              <w:bottom w:val="single" w:sz="4" w:space="0" w:color="auto"/>
              <w:right w:val="single" w:sz="4" w:space="0" w:color="auto"/>
            </w:tcBorders>
            <w:vAlign w:val="center"/>
            <w:hideMark/>
          </w:tcPr>
          <w:p w14:paraId="3114D2AA"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250</w:t>
            </w:r>
          </w:p>
        </w:tc>
        <w:tc>
          <w:tcPr>
            <w:tcW w:w="1076" w:type="pct"/>
            <w:tcBorders>
              <w:top w:val="single" w:sz="4" w:space="0" w:color="auto"/>
              <w:left w:val="single" w:sz="4" w:space="0" w:color="auto"/>
              <w:bottom w:val="single" w:sz="4" w:space="0" w:color="auto"/>
              <w:right w:val="single" w:sz="4" w:space="0" w:color="auto"/>
            </w:tcBorders>
            <w:vAlign w:val="center"/>
            <w:hideMark/>
          </w:tcPr>
          <w:p w14:paraId="06E2803B"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15</w:t>
            </w:r>
          </w:p>
        </w:tc>
      </w:tr>
      <w:tr w:rsidR="001B7F77" w:rsidRPr="001B7F77" w14:paraId="36A8881A" w14:textId="77777777" w:rsidTr="006655A1">
        <w:trPr>
          <w:trHeight w:val="328"/>
        </w:trPr>
        <w:tc>
          <w:tcPr>
            <w:tcW w:w="886" w:type="pct"/>
            <w:tcBorders>
              <w:top w:val="single" w:sz="4" w:space="0" w:color="auto"/>
              <w:left w:val="single" w:sz="4" w:space="0" w:color="auto"/>
              <w:bottom w:val="single" w:sz="4" w:space="0" w:color="auto"/>
              <w:right w:val="single" w:sz="4" w:space="0" w:color="auto"/>
            </w:tcBorders>
            <w:vAlign w:val="center"/>
            <w:hideMark/>
          </w:tcPr>
          <w:p w14:paraId="427119DD"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1900 -1938</w:t>
            </w:r>
          </w:p>
        </w:tc>
        <w:tc>
          <w:tcPr>
            <w:tcW w:w="912" w:type="pct"/>
            <w:tcBorders>
              <w:top w:val="single" w:sz="4" w:space="0" w:color="auto"/>
              <w:left w:val="single" w:sz="4" w:space="0" w:color="auto"/>
              <w:bottom w:val="single" w:sz="4" w:space="0" w:color="auto"/>
              <w:right w:val="single" w:sz="4" w:space="0" w:color="auto"/>
            </w:tcBorders>
            <w:vAlign w:val="center"/>
          </w:tcPr>
          <w:p w14:paraId="07FA081C" w14:textId="77777777" w:rsidR="001B7F77" w:rsidRPr="001B7F77" w:rsidRDefault="001B7F77" w:rsidP="00FD2721">
            <w:pPr>
              <w:suppressAutoHyphens/>
              <w:spacing w:before="120" w:line="256" w:lineRule="auto"/>
              <w:ind w:right="54"/>
              <w:jc w:val="center"/>
              <w:rPr>
                <w:szCs w:val="24"/>
                <w:u w:val="single"/>
              </w:rPr>
            </w:pPr>
          </w:p>
        </w:tc>
        <w:tc>
          <w:tcPr>
            <w:tcW w:w="873" w:type="pct"/>
            <w:tcBorders>
              <w:top w:val="single" w:sz="4" w:space="0" w:color="auto"/>
              <w:left w:val="single" w:sz="4" w:space="0" w:color="auto"/>
              <w:bottom w:val="single" w:sz="4" w:space="0" w:color="auto"/>
              <w:right w:val="single" w:sz="4" w:space="0" w:color="auto"/>
            </w:tcBorders>
            <w:vAlign w:val="center"/>
            <w:hideMark/>
          </w:tcPr>
          <w:p w14:paraId="1E15BEF7"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Cement</w:t>
            </w:r>
          </w:p>
        </w:tc>
        <w:tc>
          <w:tcPr>
            <w:tcW w:w="1253" w:type="pct"/>
            <w:tcBorders>
              <w:top w:val="single" w:sz="4" w:space="0" w:color="auto"/>
              <w:left w:val="single" w:sz="4" w:space="0" w:color="auto"/>
              <w:bottom w:val="single" w:sz="4" w:space="0" w:color="auto"/>
              <w:right w:val="single" w:sz="4" w:space="0" w:color="auto"/>
            </w:tcBorders>
            <w:vAlign w:val="center"/>
            <w:hideMark/>
          </w:tcPr>
          <w:p w14:paraId="434BC453"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250</w:t>
            </w:r>
          </w:p>
        </w:tc>
        <w:tc>
          <w:tcPr>
            <w:tcW w:w="1076" w:type="pct"/>
            <w:tcBorders>
              <w:top w:val="single" w:sz="4" w:space="0" w:color="auto"/>
              <w:left w:val="single" w:sz="4" w:space="0" w:color="auto"/>
              <w:bottom w:val="single" w:sz="4" w:space="0" w:color="auto"/>
              <w:right w:val="single" w:sz="4" w:space="0" w:color="auto"/>
            </w:tcBorders>
            <w:vAlign w:val="center"/>
            <w:hideMark/>
          </w:tcPr>
          <w:p w14:paraId="4CB77FA4"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25</w:t>
            </w:r>
          </w:p>
        </w:tc>
      </w:tr>
      <w:tr w:rsidR="001B7F77" w:rsidRPr="001B7F77" w14:paraId="6BD06207" w14:textId="77777777" w:rsidTr="006655A1">
        <w:trPr>
          <w:trHeight w:val="328"/>
        </w:trPr>
        <w:tc>
          <w:tcPr>
            <w:tcW w:w="886" w:type="pct"/>
            <w:tcBorders>
              <w:top w:val="single" w:sz="4" w:space="0" w:color="auto"/>
              <w:left w:val="single" w:sz="4" w:space="0" w:color="auto"/>
              <w:bottom w:val="single" w:sz="4" w:space="0" w:color="auto"/>
              <w:right w:val="single" w:sz="4" w:space="0" w:color="auto"/>
            </w:tcBorders>
            <w:vAlign w:val="center"/>
            <w:hideMark/>
          </w:tcPr>
          <w:p w14:paraId="7A7A18E5"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Post 1938</w:t>
            </w:r>
          </w:p>
        </w:tc>
        <w:tc>
          <w:tcPr>
            <w:tcW w:w="912" w:type="pct"/>
            <w:tcBorders>
              <w:top w:val="single" w:sz="4" w:space="0" w:color="auto"/>
              <w:left w:val="single" w:sz="4" w:space="0" w:color="auto"/>
              <w:bottom w:val="single" w:sz="4" w:space="0" w:color="auto"/>
              <w:right w:val="single" w:sz="4" w:space="0" w:color="auto"/>
            </w:tcBorders>
            <w:vAlign w:val="center"/>
          </w:tcPr>
          <w:p w14:paraId="391A0606" w14:textId="77777777" w:rsidR="001B7F77" w:rsidRPr="001B7F77" w:rsidRDefault="001B7F77" w:rsidP="00FD2721">
            <w:pPr>
              <w:suppressAutoHyphens/>
              <w:spacing w:before="120" w:line="256" w:lineRule="auto"/>
              <w:ind w:right="54"/>
              <w:jc w:val="center"/>
              <w:rPr>
                <w:szCs w:val="24"/>
                <w:u w:val="single"/>
              </w:rPr>
            </w:pPr>
          </w:p>
        </w:tc>
        <w:tc>
          <w:tcPr>
            <w:tcW w:w="873" w:type="pct"/>
            <w:tcBorders>
              <w:top w:val="single" w:sz="4" w:space="0" w:color="auto"/>
              <w:left w:val="single" w:sz="4" w:space="0" w:color="auto"/>
              <w:bottom w:val="single" w:sz="4" w:space="0" w:color="auto"/>
              <w:right w:val="single" w:sz="4" w:space="0" w:color="auto"/>
            </w:tcBorders>
            <w:vAlign w:val="center"/>
            <w:hideMark/>
          </w:tcPr>
          <w:p w14:paraId="3665DF55"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Cement</w:t>
            </w:r>
          </w:p>
        </w:tc>
        <w:tc>
          <w:tcPr>
            <w:tcW w:w="1253" w:type="pct"/>
            <w:tcBorders>
              <w:top w:val="single" w:sz="4" w:space="0" w:color="auto"/>
              <w:left w:val="single" w:sz="4" w:space="0" w:color="auto"/>
              <w:bottom w:val="single" w:sz="4" w:space="0" w:color="auto"/>
              <w:right w:val="single" w:sz="4" w:space="0" w:color="auto"/>
            </w:tcBorders>
            <w:vAlign w:val="center"/>
            <w:hideMark/>
          </w:tcPr>
          <w:p w14:paraId="7D35A0D5"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325</w:t>
            </w:r>
          </w:p>
        </w:tc>
        <w:tc>
          <w:tcPr>
            <w:tcW w:w="1076" w:type="pct"/>
            <w:tcBorders>
              <w:top w:val="single" w:sz="4" w:space="0" w:color="auto"/>
              <w:left w:val="single" w:sz="4" w:space="0" w:color="auto"/>
              <w:bottom w:val="single" w:sz="4" w:space="0" w:color="auto"/>
              <w:right w:val="single" w:sz="4" w:space="0" w:color="auto"/>
            </w:tcBorders>
            <w:vAlign w:val="center"/>
            <w:hideMark/>
          </w:tcPr>
          <w:p w14:paraId="0D680D3C"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25</w:t>
            </w:r>
          </w:p>
        </w:tc>
      </w:tr>
      <w:tr w:rsidR="001B7F77" w:rsidRPr="001B7F77" w14:paraId="20E62BDD" w14:textId="77777777" w:rsidTr="006655A1">
        <w:trPr>
          <w:trHeight w:val="283"/>
        </w:trPr>
        <w:tc>
          <w:tcPr>
            <w:tcW w:w="5000" w:type="pct"/>
            <w:gridSpan w:val="5"/>
            <w:tcBorders>
              <w:top w:val="single" w:sz="4" w:space="0" w:color="auto"/>
              <w:left w:val="single" w:sz="4" w:space="0" w:color="auto"/>
              <w:bottom w:val="single" w:sz="4" w:space="0" w:color="auto"/>
              <w:right w:val="single" w:sz="4" w:space="0" w:color="auto"/>
            </w:tcBorders>
            <w:vAlign w:val="center"/>
          </w:tcPr>
          <w:p w14:paraId="344D9F54" w14:textId="77777777" w:rsidR="001B7F77" w:rsidRPr="001B7F77" w:rsidRDefault="001B7F77" w:rsidP="00FD2721">
            <w:pPr>
              <w:suppressAutoHyphens/>
              <w:spacing w:before="120" w:line="256" w:lineRule="auto"/>
              <w:ind w:right="54"/>
              <w:jc w:val="center"/>
              <w:rPr>
                <w:szCs w:val="24"/>
                <w:u w:val="single"/>
              </w:rPr>
            </w:pPr>
          </w:p>
        </w:tc>
      </w:tr>
      <w:tr w:rsidR="001B7F77" w:rsidRPr="001B7F77" w14:paraId="22E0B142" w14:textId="77777777" w:rsidTr="006655A1">
        <w:trPr>
          <w:trHeight w:val="283"/>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392D88AA"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Maximum Allowable Working Stress on Undamaged Hollow Walls of Solid Brick Masonry Walls (full mortar joints) (psi)</w:t>
            </w:r>
          </w:p>
        </w:tc>
      </w:tr>
      <w:tr w:rsidR="001B7F77" w:rsidRPr="001B7F77" w14:paraId="357F14DF" w14:textId="77777777" w:rsidTr="006655A1">
        <w:trPr>
          <w:trHeight w:val="283"/>
        </w:trPr>
        <w:tc>
          <w:tcPr>
            <w:tcW w:w="886" w:type="pct"/>
            <w:vMerge w:val="restart"/>
            <w:tcBorders>
              <w:top w:val="single" w:sz="4" w:space="0" w:color="auto"/>
              <w:left w:val="single" w:sz="4" w:space="0" w:color="auto"/>
              <w:bottom w:val="single" w:sz="4" w:space="0" w:color="auto"/>
              <w:right w:val="single" w:sz="4" w:space="0" w:color="auto"/>
            </w:tcBorders>
            <w:vAlign w:val="center"/>
            <w:hideMark/>
          </w:tcPr>
          <w:p w14:paraId="20FD001A"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Post 1938</w:t>
            </w:r>
          </w:p>
        </w:tc>
        <w:tc>
          <w:tcPr>
            <w:tcW w:w="912" w:type="pct"/>
            <w:vMerge w:val="restart"/>
            <w:tcBorders>
              <w:top w:val="single" w:sz="4" w:space="0" w:color="auto"/>
              <w:left w:val="single" w:sz="4" w:space="0" w:color="auto"/>
              <w:bottom w:val="single" w:sz="4" w:space="0" w:color="auto"/>
              <w:right w:val="single" w:sz="4" w:space="0" w:color="auto"/>
            </w:tcBorders>
            <w:vAlign w:val="center"/>
          </w:tcPr>
          <w:p w14:paraId="24F9B818" w14:textId="77777777" w:rsidR="001B7F77" w:rsidRPr="001B7F77" w:rsidRDefault="001B7F77" w:rsidP="00FD2721">
            <w:pPr>
              <w:suppressAutoHyphens/>
              <w:spacing w:before="120" w:line="256" w:lineRule="auto"/>
              <w:ind w:right="54"/>
              <w:jc w:val="center"/>
              <w:rPr>
                <w:szCs w:val="24"/>
                <w:u w:val="single"/>
              </w:rPr>
            </w:pPr>
          </w:p>
        </w:tc>
        <w:tc>
          <w:tcPr>
            <w:tcW w:w="873" w:type="pct"/>
            <w:tcBorders>
              <w:top w:val="single" w:sz="4" w:space="0" w:color="auto"/>
              <w:left w:val="single" w:sz="4" w:space="0" w:color="auto"/>
              <w:bottom w:val="single" w:sz="4" w:space="0" w:color="auto"/>
              <w:right w:val="single" w:sz="4" w:space="0" w:color="auto"/>
            </w:tcBorders>
            <w:vAlign w:val="center"/>
            <w:hideMark/>
          </w:tcPr>
          <w:p w14:paraId="1B18319C"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Cement</w:t>
            </w:r>
          </w:p>
        </w:tc>
        <w:tc>
          <w:tcPr>
            <w:tcW w:w="1253" w:type="pct"/>
            <w:tcBorders>
              <w:top w:val="single" w:sz="4" w:space="0" w:color="auto"/>
              <w:left w:val="single" w:sz="4" w:space="0" w:color="auto"/>
              <w:bottom w:val="single" w:sz="4" w:space="0" w:color="auto"/>
              <w:right w:val="single" w:sz="4" w:space="0" w:color="auto"/>
            </w:tcBorders>
            <w:vAlign w:val="center"/>
            <w:hideMark/>
          </w:tcPr>
          <w:p w14:paraId="0A33ECB1"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150</w:t>
            </w:r>
          </w:p>
        </w:tc>
        <w:tc>
          <w:tcPr>
            <w:tcW w:w="1076" w:type="pct"/>
            <w:tcBorders>
              <w:top w:val="single" w:sz="4" w:space="0" w:color="auto"/>
              <w:left w:val="single" w:sz="4" w:space="0" w:color="auto"/>
              <w:bottom w:val="single" w:sz="4" w:space="0" w:color="auto"/>
              <w:right w:val="single" w:sz="4" w:space="0" w:color="auto"/>
            </w:tcBorders>
            <w:vAlign w:val="center"/>
            <w:hideMark/>
          </w:tcPr>
          <w:p w14:paraId="050BEC90"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25</w:t>
            </w:r>
          </w:p>
        </w:tc>
      </w:tr>
      <w:tr w:rsidR="001B7F77" w:rsidRPr="001B7F77" w14:paraId="26BBAA31" w14:textId="77777777" w:rsidTr="006655A1">
        <w:trPr>
          <w:trHeight w:val="2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509091" w14:textId="77777777" w:rsidR="001B7F77" w:rsidRPr="001B7F77" w:rsidRDefault="001B7F77" w:rsidP="00FD2721">
            <w:pPr>
              <w:suppressAutoHyphens/>
              <w:spacing w:before="120" w:line="256" w:lineRule="auto"/>
              <w:jc w:val="left"/>
              <w:rPr>
                <w:color w:val="000000"/>
                <w:szCs w:val="24"/>
                <w:u w:val="singl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C6F78D" w14:textId="77777777" w:rsidR="001B7F77" w:rsidRPr="001B7F77" w:rsidRDefault="001B7F77" w:rsidP="00FD2721">
            <w:pPr>
              <w:suppressAutoHyphens/>
              <w:spacing w:before="120" w:line="256" w:lineRule="auto"/>
              <w:jc w:val="left"/>
              <w:rPr>
                <w:color w:val="000000"/>
                <w:szCs w:val="24"/>
                <w:u w:val="single"/>
              </w:rPr>
            </w:pPr>
          </w:p>
        </w:tc>
        <w:tc>
          <w:tcPr>
            <w:tcW w:w="873" w:type="pct"/>
            <w:tcBorders>
              <w:top w:val="single" w:sz="4" w:space="0" w:color="auto"/>
              <w:left w:val="single" w:sz="4" w:space="0" w:color="auto"/>
              <w:bottom w:val="single" w:sz="4" w:space="0" w:color="auto"/>
              <w:right w:val="single" w:sz="4" w:space="0" w:color="auto"/>
            </w:tcBorders>
            <w:vAlign w:val="center"/>
            <w:hideMark/>
          </w:tcPr>
          <w:p w14:paraId="24138CC7"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cement-lime</w:t>
            </w:r>
          </w:p>
        </w:tc>
        <w:tc>
          <w:tcPr>
            <w:tcW w:w="1253" w:type="pct"/>
            <w:tcBorders>
              <w:top w:val="single" w:sz="4" w:space="0" w:color="auto"/>
              <w:left w:val="single" w:sz="4" w:space="0" w:color="auto"/>
              <w:bottom w:val="single" w:sz="4" w:space="0" w:color="auto"/>
              <w:right w:val="single" w:sz="4" w:space="0" w:color="auto"/>
            </w:tcBorders>
            <w:vAlign w:val="center"/>
            <w:hideMark/>
          </w:tcPr>
          <w:p w14:paraId="1D0C7CBF"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125</w:t>
            </w:r>
          </w:p>
        </w:tc>
        <w:tc>
          <w:tcPr>
            <w:tcW w:w="1076" w:type="pct"/>
            <w:tcBorders>
              <w:top w:val="single" w:sz="4" w:space="0" w:color="auto"/>
              <w:left w:val="single" w:sz="4" w:space="0" w:color="auto"/>
              <w:bottom w:val="single" w:sz="4" w:space="0" w:color="auto"/>
              <w:right w:val="single" w:sz="4" w:space="0" w:color="auto"/>
            </w:tcBorders>
            <w:vAlign w:val="center"/>
            <w:hideMark/>
          </w:tcPr>
          <w:p w14:paraId="031A65AF"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15</w:t>
            </w:r>
          </w:p>
        </w:tc>
      </w:tr>
      <w:tr w:rsidR="001B7F77" w:rsidRPr="001B7F77" w14:paraId="3354E6D2" w14:textId="77777777" w:rsidTr="006655A1">
        <w:trPr>
          <w:trHeight w:val="2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7CD573" w14:textId="77777777" w:rsidR="001B7F77" w:rsidRPr="001B7F77" w:rsidRDefault="001B7F77" w:rsidP="00FD2721">
            <w:pPr>
              <w:suppressAutoHyphens/>
              <w:spacing w:before="120" w:line="256" w:lineRule="auto"/>
              <w:jc w:val="left"/>
              <w:rPr>
                <w:color w:val="000000"/>
                <w:szCs w:val="24"/>
                <w:u w:val="singl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15575F" w14:textId="77777777" w:rsidR="001B7F77" w:rsidRPr="001B7F77" w:rsidRDefault="001B7F77" w:rsidP="00FD2721">
            <w:pPr>
              <w:suppressAutoHyphens/>
              <w:spacing w:before="120" w:line="256" w:lineRule="auto"/>
              <w:jc w:val="left"/>
              <w:rPr>
                <w:color w:val="000000"/>
                <w:szCs w:val="24"/>
                <w:u w:val="single"/>
              </w:rPr>
            </w:pPr>
          </w:p>
        </w:tc>
        <w:tc>
          <w:tcPr>
            <w:tcW w:w="873" w:type="pct"/>
            <w:tcBorders>
              <w:top w:val="single" w:sz="4" w:space="0" w:color="auto"/>
              <w:left w:val="single" w:sz="4" w:space="0" w:color="auto"/>
              <w:bottom w:val="single" w:sz="4" w:space="0" w:color="auto"/>
              <w:right w:val="single" w:sz="4" w:space="0" w:color="auto"/>
            </w:tcBorders>
            <w:vAlign w:val="center"/>
            <w:hideMark/>
          </w:tcPr>
          <w:p w14:paraId="25C5B300"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Lime</w:t>
            </w:r>
          </w:p>
        </w:tc>
        <w:tc>
          <w:tcPr>
            <w:tcW w:w="1253" w:type="pct"/>
            <w:tcBorders>
              <w:top w:val="single" w:sz="4" w:space="0" w:color="auto"/>
              <w:left w:val="single" w:sz="4" w:space="0" w:color="auto"/>
              <w:bottom w:val="single" w:sz="4" w:space="0" w:color="auto"/>
              <w:right w:val="single" w:sz="4" w:space="0" w:color="auto"/>
            </w:tcBorders>
            <w:vAlign w:val="center"/>
            <w:hideMark/>
          </w:tcPr>
          <w:p w14:paraId="2C70D886"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50</w:t>
            </w:r>
          </w:p>
        </w:tc>
        <w:tc>
          <w:tcPr>
            <w:tcW w:w="1076" w:type="pct"/>
            <w:tcBorders>
              <w:top w:val="single" w:sz="4" w:space="0" w:color="auto"/>
              <w:left w:val="single" w:sz="4" w:space="0" w:color="auto"/>
              <w:bottom w:val="single" w:sz="4" w:space="0" w:color="auto"/>
              <w:right w:val="single" w:sz="4" w:space="0" w:color="auto"/>
            </w:tcBorders>
            <w:vAlign w:val="center"/>
            <w:hideMark/>
          </w:tcPr>
          <w:p w14:paraId="002F5823"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15</w:t>
            </w:r>
          </w:p>
        </w:tc>
      </w:tr>
      <w:tr w:rsidR="001B7F77" w:rsidRPr="001B7F77" w14:paraId="6DECE49A" w14:textId="77777777" w:rsidTr="006655A1">
        <w:trPr>
          <w:trHeight w:val="608"/>
        </w:trPr>
        <w:tc>
          <w:tcPr>
            <w:tcW w:w="886" w:type="pct"/>
            <w:tcBorders>
              <w:top w:val="single" w:sz="4" w:space="0" w:color="auto"/>
              <w:left w:val="single" w:sz="4" w:space="0" w:color="auto"/>
              <w:bottom w:val="single" w:sz="4" w:space="0" w:color="auto"/>
              <w:right w:val="single" w:sz="4" w:space="0" w:color="auto"/>
            </w:tcBorders>
            <w:vAlign w:val="center"/>
            <w:hideMark/>
          </w:tcPr>
          <w:p w14:paraId="5B27D14B"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Note 1</w:t>
            </w:r>
          </w:p>
        </w:tc>
        <w:tc>
          <w:tcPr>
            <w:tcW w:w="4114" w:type="pct"/>
            <w:gridSpan w:val="4"/>
            <w:tcBorders>
              <w:top w:val="single" w:sz="4" w:space="0" w:color="auto"/>
              <w:left w:val="single" w:sz="4" w:space="0" w:color="auto"/>
              <w:bottom w:val="single" w:sz="4" w:space="0" w:color="auto"/>
              <w:right w:val="single" w:sz="4" w:space="0" w:color="auto"/>
            </w:tcBorders>
            <w:vAlign w:val="center"/>
            <w:hideMark/>
          </w:tcPr>
          <w:p w14:paraId="21950BA8"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Cement particles visually observed in mortar by removing a brick (2 locations) and documented in condition survey.</w:t>
            </w:r>
          </w:p>
        </w:tc>
      </w:tr>
      <w:tr w:rsidR="001B7F77" w:rsidRPr="001B7F77" w14:paraId="3ADC36AB" w14:textId="77777777" w:rsidTr="006655A1">
        <w:trPr>
          <w:trHeight w:val="328"/>
        </w:trPr>
        <w:tc>
          <w:tcPr>
            <w:tcW w:w="886" w:type="pct"/>
            <w:tcBorders>
              <w:top w:val="single" w:sz="4" w:space="0" w:color="auto"/>
              <w:left w:val="single" w:sz="4" w:space="0" w:color="auto"/>
              <w:bottom w:val="single" w:sz="4" w:space="0" w:color="auto"/>
              <w:right w:val="single" w:sz="4" w:space="0" w:color="auto"/>
            </w:tcBorders>
            <w:vAlign w:val="center"/>
            <w:hideMark/>
          </w:tcPr>
          <w:p w14:paraId="340AC71B"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Note 2</w:t>
            </w:r>
          </w:p>
        </w:tc>
        <w:tc>
          <w:tcPr>
            <w:tcW w:w="4114" w:type="pct"/>
            <w:gridSpan w:val="4"/>
            <w:tcBorders>
              <w:top w:val="single" w:sz="4" w:space="0" w:color="auto"/>
              <w:left w:val="single" w:sz="4" w:space="0" w:color="auto"/>
              <w:bottom w:val="single" w:sz="4" w:space="0" w:color="auto"/>
              <w:right w:val="single" w:sz="4" w:space="0" w:color="auto"/>
            </w:tcBorders>
            <w:vAlign w:val="center"/>
            <w:hideMark/>
          </w:tcPr>
          <w:p w14:paraId="1C8524A9"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See Section H101.2 for testing requirements.</w:t>
            </w:r>
          </w:p>
        </w:tc>
      </w:tr>
      <w:tr w:rsidR="001B7F77" w:rsidRPr="001B7F77" w14:paraId="52DD352E" w14:textId="77777777" w:rsidTr="006655A1">
        <w:trPr>
          <w:trHeight w:val="328"/>
        </w:trPr>
        <w:tc>
          <w:tcPr>
            <w:tcW w:w="886" w:type="pct"/>
            <w:tcBorders>
              <w:top w:val="single" w:sz="4" w:space="0" w:color="auto"/>
              <w:left w:val="single" w:sz="4" w:space="0" w:color="auto"/>
              <w:bottom w:val="single" w:sz="4" w:space="0" w:color="auto"/>
              <w:right w:val="single" w:sz="4" w:space="0" w:color="auto"/>
            </w:tcBorders>
            <w:vAlign w:val="center"/>
            <w:hideMark/>
          </w:tcPr>
          <w:p w14:paraId="2D2A1EB5"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Note 3</w:t>
            </w:r>
          </w:p>
        </w:tc>
        <w:tc>
          <w:tcPr>
            <w:tcW w:w="4114" w:type="pct"/>
            <w:gridSpan w:val="4"/>
            <w:tcBorders>
              <w:top w:val="single" w:sz="4" w:space="0" w:color="auto"/>
              <w:left w:val="single" w:sz="4" w:space="0" w:color="auto"/>
              <w:bottom w:val="single" w:sz="4" w:space="0" w:color="auto"/>
              <w:right w:val="single" w:sz="4" w:space="0" w:color="auto"/>
            </w:tcBorders>
            <w:vAlign w:val="center"/>
            <w:hideMark/>
          </w:tcPr>
          <w:p w14:paraId="43E8BE66"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Allowable shear shall be 1.4 times the given allowable tension.</w:t>
            </w:r>
          </w:p>
        </w:tc>
      </w:tr>
      <w:tr w:rsidR="001B7F77" w:rsidRPr="001B7F77" w14:paraId="4DA18FBE" w14:textId="77777777" w:rsidTr="006655A1">
        <w:trPr>
          <w:trHeight w:val="328"/>
        </w:trPr>
        <w:tc>
          <w:tcPr>
            <w:tcW w:w="5000" w:type="pct"/>
            <w:gridSpan w:val="5"/>
            <w:tcBorders>
              <w:top w:val="single" w:sz="4" w:space="0" w:color="auto"/>
              <w:left w:val="single" w:sz="4" w:space="0" w:color="auto"/>
              <w:bottom w:val="single" w:sz="4" w:space="0" w:color="auto"/>
              <w:right w:val="single" w:sz="4" w:space="0" w:color="auto"/>
            </w:tcBorders>
            <w:vAlign w:val="center"/>
          </w:tcPr>
          <w:p w14:paraId="0B4E15A8" w14:textId="77777777" w:rsidR="001B7F77" w:rsidRPr="001B7F77" w:rsidRDefault="001B7F77" w:rsidP="00FD2721">
            <w:pPr>
              <w:suppressAutoHyphens/>
              <w:spacing w:before="120" w:line="256" w:lineRule="auto"/>
              <w:ind w:right="54"/>
              <w:jc w:val="center"/>
              <w:rPr>
                <w:szCs w:val="24"/>
                <w:u w:val="single"/>
              </w:rPr>
            </w:pPr>
          </w:p>
        </w:tc>
      </w:tr>
      <w:tr w:rsidR="001B7F77" w:rsidRPr="001B7F77" w14:paraId="0880CD2D" w14:textId="77777777" w:rsidTr="006655A1">
        <w:trPr>
          <w:trHeight w:val="640"/>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4A145154"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Maximum Allowable Working Stress on Undamaged Concrete Block Walls (full mortar joints on bedding area with hollow or solid units) on net area unless otherwise noted (psi)</w:t>
            </w:r>
          </w:p>
        </w:tc>
      </w:tr>
      <w:tr w:rsidR="001B7F77" w:rsidRPr="001B7F77" w14:paraId="57C94275" w14:textId="77777777" w:rsidTr="006655A1">
        <w:trPr>
          <w:trHeight w:val="620"/>
        </w:trPr>
        <w:tc>
          <w:tcPr>
            <w:tcW w:w="886" w:type="pct"/>
            <w:tcBorders>
              <w:top w:val="single" w:sz="4" w:space="0" w:color="auto"/>
              <w:left w:val="single" w:sz="4" w:space="0" w:color="auto"/>
              <w:bottom w:val="single" w:sz="4" w:space="0" w:color="auto"/>
              <w:right w:val="single" w:sz="4" w:space="0" w:color="auto"/>
            </w:tcBorders>
            <w:vAlign w:val="center"/>
            <w:hideMark/>
          </w:tcPr>
          <w:p w14:paraId="504BD9AA"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Pre 1968</w:t>
            </w:r>
          </w:p>
        </w:tc>
        <w:tc>
          <w:tcPr>
            <w:tcW w:w="1785" w:type="pct"/>
            <w:gridSpan w:val="2"/>
            <w:vMerge w:val="restart"/>
            <w:tcBorders>
              <w:top w:val="single" w:sz="4" w:space="0" w:color="auto"/>
              <w:left w:val="single" w:sz="4" w:space="0" w:color="auto"/>
              <w:bottom w:val="single" w:sz="4" w:space="0" w:color="auto"/>
              <w:right w:val="single" w:sz="4" w:space="0" w:color="auto"/>
            </w:tcBorders>
            <w:vAlign w:val="center"/>
          </w:tcPr>
          <w:p w14:paraId="08EA2FF2" w14:textId="77777777" w:rsidR="001B7F77" w:rsidRPr="001B7F77" w:rsidRDefault="001B7F77" w:rsidP="00FD2721">
            <w:pPr>
              <w:suppressAutoHyphens/>
              <w:spacing w:before="120" w:line="256" w:lineRule="auto"/>
              <w:ind w:right="54"/>
              <w:jc w:val="center"/>
              <w:rPr>
                <w:szCs w:val="24"/>
                <w:u w:val="single"/>
              </w:rPr>
            </w:pPr>
          </w:p>
        </w:tc>
        <w:tc>
          <w:tcPr>
            <w:tcW w:w="1253" w:type="pct"/>
            <w:tcBorders>
              <w:top w:val="single" w:sz="4" w:space="0" w:color="auto"/>
              <w:left w:val="single" w:sz="4" w:space="0" w:color="auto"/>
              <w:bottom w:val="single" w:sz="4" w:space="0" w:color="auto"/>
              <w:right w:val="single" w:sz="4" w:space="0" w:color="auto"/>
            </w:tcBorders>
            <w:vAlign w:val="center"/>
            <w:hideMark/>
          </w:tcPr>
          <w:p w14:paraId="1B3DFA95"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58 (stress on gross area)</w:t>
            </w:r>
          </w:p>
        </w:tc>
        <w:tc>
          <w:tcPr>
            <w:tcW w:w="1076" w:type="pct"/>
            <w:tcBorders>
              <w:top w:val="single" w:sz="4" w:space="0" w:color="auto"/>
              <w:left w:val="single" w:sz="4" w:space="0" w:color="auto"/>
              <w:bottom w:val="single" w:sz="4" w:space="0" w:color="auto"/>
              <w:right w:val="single" w:sz="4" w:space="0" w:color="auto"/>
            </w:tcBorders>
            <w:vAlign w:val="center"/>
            <w:hideMark/>
          </w:tcPr>
          <w:p w14:paraId="33C2EB4A"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5</w:t>
            </w:r>
          </w:p>
        </w:tc>
      </w:tr>
      <w:tr w:rsidR="001B7F77" w:rsidRPr="001B7F77" w14:paraId="13505CFD" w14:textId="77777777" w:rsidTr="006655A1">
        <w:trPr>
          <w:trHeight w:val="328"/>
        </w:trPr>
        <w:tc>
          <w:tcPr>
            <w:tcW w:w="886" w:type="pct"/>
            <w:tcBorders>
              <w:top w:val="single" w:sz="4" w:space="0" w:color="auto"/>
              <w:left w:val="single" w:sz="4" w:space="0" w:color="auto"/>
              <w:bottom w:val="single" w:sz="4" w:space="0" w:color="auto"/>
              <w:right w:val="single" w:sz="4" w:space="0" w:color="auto"/>
            </w:tcBorders>
            <w:vAlign w:val="center"/>
            <w:hideMark/>
          </w:tcPr>
          <w:p w14:paraId="5F0774C5"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1968-1991</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3C17837B" w14:textId="77777777" w:rsidR="001B7F77" w:rsidRPr="001B7F77" w:rsidRDefault="001B7F77" w:rsidP="00FD2721">
            <w:pPr>
              <w:suppressAutoHyphens/>
              <w:spacing w:before="120" w:line="256" w:lineRule="auto"/>
              <w:jc w:val="left"/>
              <w:rPr>
                <w:color w:val="000000"/>
                <w:szCs w:val="24"/>
                <w:u w:val="single"/>
              </w:rPr>
            </w:pPr>
          </w:p>
        </w:tc>
        <w:tc>
          <w:tcPr>
            <w:tcW w:w="1253" w:type="pct"/>
            <w:tcBorders>
              <w:top w:val="single" w:sz="4" w:space="0" w:color="auto"/>
              <w:left w:val="single" w:sz="4" w:space="0" w:color="auto"/>
              <w:bottom w:val="single" w:sz="4" w:space="0" w:color="auto"/>
              <w:right w:val="single" w:sz="4" w:space="0" w:color="auto"/>
            </w:tcBorders>
            <w:vAlign w:val="center"/>
            <w:hideMark/>
          </w:tcPr>
          <w:p w14:paraId="6D1BDE52"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140</w:t>
            </w:r>
          </w:p>
        </w:tc>
        <w:tc>
          <w:tcPr>
            <w:tcW w:w="1076" w:type="pct"/>
            <w:tcBorders>
              <w:top w:val="single" w:sz="4" w:space="0" w:color="auto"/>
              <w:left w:val="single" w:sz="4" w:space="0" w:color="auto"/>
              <w:bottom w:val="single" w:sz="4" w:space="0" w:color="auto"/>
              <w:right w:val="single" w:sz="4" w:space="0" w:color="auto"/>
            </w:tcBorders>
            <w:vAlign w:val="center"/>
            <w:hideMark/>
          </w:tcPr>
          <w:p w14:paraId="612CEB6B"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5</w:t>
            </w:r>
          </w:p>
        </w:tc>
      </w:tr>
      <w:tr w:rsidR="001B7F77" w:rsidRPr="001B7F77" w14:paraId="00059472" w14:textId="77777777" w:rsidTr="006655A1">
        <w:trPr>
          <w:trHeight w:val="328"/>
        </w:trPr>
        <w:tc>
          <w:tcPr>
            <w:tcW w:w="886" w:type="pct"/>
            <w:tcBorders>
              <w:top w:val="single" w:sz="4" w:space="0" w:color="auto"/>
              <w:left w:val="single" w:sz="4" w:space="0" w:color="auto"/>
              <w:bottom w:val="single" w:sz="4" w:space="0" w:color="auto"/>
              <w:right w:val="single" w:sz="4" w:space="0" w:color="auto"/>
            </w:tcBorders>
            <w:vAlign w:val="center"/>
            <w:hideMark/>
          </w:tcPr>
          <w:p w14:paraId="0D0C05B8"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Post 1991</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14412FA" w14:textId="77777777" w:rsidR="001B7F77" w:rsidRPr="001B7F77" w:rsidRDefault="001B7F77" w:rsidP="00FD2721">
            <w:pPr>
              <w:suppressAutoHyphens/>
              <w:spacing w:before="120" w:line="256" w:lineRule="auto"/>
              <w:jc w:val="left"/>
              <w:rPr>
                <w:color w:val="000000"/>
                <w:szCs w:val="24"/>
                <w:u w:val="single"/>
              </w:rPr>
            </w:pPr>
          </w:p>
        </w:tc>
        <w:tc>
          <w:tcPr>
            <w:tcW w:w="1253" w:type="pct"/>
            <w:tcBorders>
              <w:top w:val="single" w:sz="4" w:space="0" w:color="auto"/>
              <w:left w:val="single" w:sz="4" w:space="0" w:color="auto"/>
              <w:bottom w:val="single" w:sz="4" w:space="0" w:color="auto"/>
              <w:right w:val="single" w:sz="4" w:space="0" w:color="auto"/>
            </w:tcBorders>
            <w:vAlign w:val="center"/>
            <w:hideMark/>
          </w:tcPr>
          <w:p w14:paraId="4B98BDF6"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250</w:t>
            </w:r>
          </w:p>
        </w:tc>
        <w:tc>
          <w:tcPr>
            <w:tcW w:w="1076" w:type="pct"/>
            <w:tcBorders>
              <w:top w:val="single" w:sz="4" w:space="0" w:color="auto"/>
              <w:left w:val="single" w:sz="4" w:space="0" w:color="auto"/>
              <w:bottom w:val="single" w:sz="4" w:space="0" w:color="auto"/>
              <w:right w:val="single" w:sz="4" w:space="0" w:color="auto"/>
            </w:tcBorders>
            <w:vAlign w:val="center"/>
            <w:hideMark/>
          </w:tcPr>
          <w:p w14:paraId="3DBC6899"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9</w:t>
            </w:r>
          </w:p>
        </w:tc>
      </w:tr>
      <w:tr w:rsidR="001B7F77" w:rsidRPr="001B7F77" w14:paraId="6F169B58" w14:textId="77777777" w:rsidTr="006655A1">
        <w:trPr>
          <w:trHeight w:val="283"/>
        </w:trPr>
        <w:tc>
          <w:tcPr>
            <w:tcW w:w="5000" w:type="pct"/>
            <w:gridSpan w:val="5"/>
            <w:tcBorders>
              <w:top w:val="single" w:sz="4" w:space="0" w:color="auto"/>
              <w:left w:val="single" w:sz="4" w:space="0" w:color="auto"/>
              <w:bottom w:val="single" w:sz="4" w:space="0" w:color="auto"/>
              <w:right w:val="single" w:sz="4" w:space="0" w:color="auto"/>
            </w:tcBorders>
            <w:vAlign w:val="center"/>
          </w:tcPr>
          <w:p w14:paraId="711C8B3D" w14:textId="77777777" w:rsidR="001B7F77" w:rsidRPr="001B7F77" w:rsidRDefault="001B7F77" w:rsidP="00FD2721">
            <w:pPr>
              <w:suppressAutoHyphens/>
              <w:spacing w:before="120" w:line="256" w:lineRule="auto"/>
              <w:ind w:right="54"/>
              <w:jc w:val="center"/>
              <w:rPr>
                <w:szCs w:val="24"/>
                <w:u w:val="single"/>
              </w:rPr>
            </w:pPr>
          </w:p>
        </w:tc>
      </w:tr>
      <w:tr w:rsidR="001B7F77" w:rsidRPr="001B7F77" w14:paraId="6341DF9C" w14:textId="77777777" w:rsidTr="006655A1">
        <w:trPr>
          <w:trHeight w:val="610"/>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5152743B"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Maximum Allowable Working Stress on Undamaged Rubble Masonry Walls (full mortar joints) (psi)</w:t>
            </w:r>
          </w:p>
        </w:tc>
      </w:tr>
      <w:tr w:rsidR="001B7F77" w:rsidRPr="001B7F77" w14:paraId="4C63A199" w14:textId="77777777" w:rsidTr="006655A1">
        <w:trPr>
          <w:trHeight w:val="540"/>
        </w:trPr>
        <w:tc>
          <w:tcPr>
            <w:tcW w:w="886" w:type="pct"/>
            <w:tcBorders>
              <w:top w:val="single" w:sz="4" w:space="0" w:color="auto"/>
              <w:left w:val="single" w:sz="4" w:space="0" w:color="auto"/>
              <w:bottom w:val="single" w:sz="4" w:space="0" w:color="auto"/>
              <w:right w:val="single" w:sz="4" w:space="0" w:color="auto"/>
            </w:tcBorders>
            <w:vAlign w:val="center"/>
            <w:hideMark/>
          </w:tcPr>
          <w:p w14:paraId="712C5E40"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Any</w:t>
            </w:r>
          </w:p>
        </w:tc>
        <w:tc>
          <w:tcPr>
            <w:tcW w:w="912" w:type="pct"/>
            <w:vMerge w:val="restart"/>
            <w:tcBorders>
              <w:top w:val="single" w:sz="4" w:space="0" w:color="auto"/>
              <w:left w:val="single" w:sz="4" w:space="0" w:color="auto"/>
              <w:bottom w:val="single" w:sz="4" w:space="0" w:color="auto"/>
              <w:right w:val="single" w:sz="4" w:space="0" w:color="auto"/>
            </w:tcBorders>
            <w:vAlign w:val="center"/>
          </w:tcPr>
          <w:p w14:paraId="4E28C3BF" w14:textId="77777777" w:rsidR="001B7F77" w:rsidRPr="001B7F77" w:rsidRDefault="001B7F77" w:rsidP="00FD2721">
            <w:pPr>
              <w:suppressAutoHyphens/>
              <w:spacing w:before="120" w:line="256" w:lineRule="auto"/>
              <w:ind w:right="54"/>
              <w:jc w:val="center"/>
              <w:rPr>
                <w:szCs w:val="24"/>
                <w:u w:val="single"/>
              </w:rPr>
            </w:pPr>
          </w:p>
        </w:tc>
        <w:tc>
          <w:tcPr>
            <w:tcW w:w="873" w:type="pct"/>
            <w:tcBorders>
              <w:top w:val="single" w:sz="4" w:space="0" w:color="auto"/>
              <w:left w:val="single" w:sz="4" w:space="0" w:color="auto"/>
              <w:bottom w:val="single" w:sz="4" w:space="0" w:color="auto"/>
              <w:right w:val="single" w:sz="4" w:space="0" w:color="auto"/>
            </w:tcBorders>
            <w:vAlign w:val="center"/>
            <w:hideMark/>
          </w:tcPr>
          <w:p w14:paraId="0CEA5207"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Lime</w:t>
            </w:r>
          </w:p>
        </w:tc>
        <w:tc>
          <w:tcPr>
            <w:tcW w:w="1253" w:type="pct"/>
            <w:tcBorders>
              <w:top w:val="single" w:sz="4" w:space="0" w:color="auto"/>
              <w:left w:val="single" w:sz="4" w:space="0" w:color="auto"/>
              <w:bottom w:val="single" w:sz="4" w:space="0" w:color="auto"/>
              <w:right w:val="single" w:sz="4" w:space="0" w:color="auto"/>
            </w:tcBorders>
            <w:vAlign w:val="center"/>
            <w:hideMark/>
          </w:tcPr>
          <w:p w14:paraId="14598FA4"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75</w:t>
            </w:r>
          </w:p>
        </w:tc>
        <w:tc>
          <w:tcPr>
            <w:tcW w:w="1076" w:type="pct"/>
            <w:tcBorders>
              <w:top w:val="single" w:sz="4" w:space="0" w:color="auto"/>
              <w:left w:val="single" w:sz="4" w:space="0" w:color="auto"/>
              <w:bottom w:val="single" w:sz="4" w:space="0" w:color="auto"/>
              <w:right w:val="single" w:sz="4" w:space="0" w:color="auto"/>
            </w:tcBorders>
            <w:vAlign w:val="center"/>
            <w:hideMark/>
          </w:tcPr>
          <w:p w14:paraId="4AE849CA"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0</w:t>
            </w:r>
          </w:p>
        </w:tc>
      </w:tr>
      <w:tr w:rsidR="001B7F77" w:rsidRPr="001B7F77" w14:paraId="6F09864B" w14:textId="77777777" w:rsidTr="006655A1">
        <w:trPr>
          <w:trHeight w:val="624"/>
        </w:trPr>
        <w:tc>
          <w:tcPr>
            <w:tcW w:w="886" w:type="pct"/>
            <w:tcBorders>
              <w:top w:val="single" w:sz="4" w:space="0" w:color="auto"/>
              <w:left w:val="single" w:sz="4" w:space="0" w:color="auto"/>
              <w:bottom w:val="single" w:sz="4" w:space="0" w:color="auto"/>
              <w:right w:val="single" w:sz="4" w:space="0" w:color="auto"/>
            </w:tcBorders>
            <w:vAlign w:val="center"/>
            <w:hideMark/>
          </w:tcPr>
          <w:p w14:paraId="253B54E8"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Any</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351874" w14:textId="77777777" w:rsidR="001B7F77" w:rsidRPr="001B7F77" w:rsidRDefault="001B7F77" w:rsidP="00FD2721">
            <w:pPr>
              <w:suppressAutoHyphens/>
              <w:spacing w:before="120" w:line="256" w:lineRule="auto"/>
              <w:jc w:val="left"/>
              <w:rPr>
                <w:color w:val="000000"/>
                <w:szCs w:val="24"/>
                <w:u w:val="single"/>
              </w:rPr>
            </w:pPr>
          </w:p>
        </w:tc>
        <w:tc>
          <w:tcPr>
            <w:tcW w:w="873" w:type="pct"/>
            <w:tcBorders>
              <w:top w:val="single" w:sz="4" w:space="0" w:color="auto"/>
              <w:left w:val="single" w:sz="4" w:space="0" w:color="auto"/>
              <w:bottom w:val="single" w:sz="4" w:space="0" w:color="auto"/>
              <w:right w:val="single" w:sz="4" w:space="0" w:color="auto"/>
            </w:tcBorders>
            <w:vAlign w:val="center"/>
            <w:hideMark/>
          </w:tcPr>
          <w:p w14:paraId="3FF8019E"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Cement</w:t>
            </w:r>
          </w:p>
        </w:tc>
        <w:tc>
          <w:tcPr>
            <w:tcW w:w="1253" w:type="pct"/>
            <w:tcBorders>
              <w:top w:val="single" w:sz="4" w:space="0" w:color="auto"/>
              <w:left w:val="single" w:sz="4" w:space="0" w:color="auto"/>
              <w:bottom w:val="single" w:sz="4" w:space="0" w:color="auto"/>
              <w:right w:val="single" w:sz="4" w:space="0" w:color="auto"/>
            </w:tcBorders>
            <w:vAlign w:val="center"/>
            <w:hideMark/>
          </w:tcPr>
          <w:p w14:paraId="2862DE65"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110</w:t>
            </w:r>
          </w:p>
        </w:tc>
        <w:tc>
          <w:tcPr>
            <w:tcW w:w="1076" w:type="pct"/>
            <w:tcBorders>
              <w:top w:val="single" w:sz="4" w:space="0" w:color="auto"/>
              <w:left w:val="single" w:sz="4" w:space="0" w:color="auto"/>
              <w:bottom w:val="single" w:sz="4" w:space="0" w:color="auto"/>
              <w:right w:val="single" w:sz="4" w:space="0" w:color="auto"/>
            </w:tcBorders>
            <w:vAlign w:val="center"/>
            <w:hideMark/>
          </w:tcPr>
          <w:p w14:paraId="73FA93EB"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0</w:t>
            </w:r>
          </w:p>
        </w:tc>
      </w:tr>
      <w:tr w:rsidR="001B7F77" w:rsidRPr="001B7F77" w14:paraId="3C0670AA" w14:textId="77777777" w:rsidTr="006655A1">
        <w:trPr>
          <w:trHeight w:val="624"/>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5B71E90D"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Maximum Allowable Working Stress on Undamaged Terra Cotta Masonry Walls (full mortar joints) (psi)</w:t>
            </w:r>
          </w:p>
        </w:tc>
      </w:tr>
      <w:tr w:rsidR="001B7F77" w:rsidRPr="001B7F77" w14:paraId="3F901D74" w14:textId="77777777" w:rsidTr="006655A1">
        <w:trPr>
          <w:trHeight w:val="624"/>
        </w:trPr>
        <w:tc>
          <w:tcPr>
            <w:tcW w:w="886" w:type="pct"/>
            <w:tcBorders>
              <w:top w:val="single" w:sz="4" w:space="0" w:color="auto"/>
              <w:left w:val="single" w:sz="4" w:space="0" w:color="auto"/>
              <w:bottom w:val="single" w:sz="4" w:space="0" w:color="auto"/>
              <w:right w:val="single" w:sz="4" w:space="0" w:color="auto"/>
            </w:tcBorders>
            <w:vAlign w:val="center"/>
            <w:hideMark/>
          </w:tcPr>
          <w:p w14:paraId="5E1CF489"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Any</w:t>
            </w:r>
          </w:p>
        </w:tc>
        <w:tc>
          <w:tcPr>
            <w:tcW w:w="912" w:type="pct"/>
            <w:tcBorders>
              <w:top w:val="single" w:sz="4" w:space="0" w:color="auto"/>
              <w:left w:val="single" w:sz="4" w:space="0" w:color="auto"/>
              <w:bottom w:val="single" w:sz="4" w:space="0" w:color="auto"/>
              <w:right w:val="single" w:sz="4" w:space="0" w:color="auto"/>
            </w:tcBorders>
            <w:vAlign w:val="center"/>
            <w:hideMark/>
          </w:tcPr>
          <w:p w14:paraId="17DE1040"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Cells oriented vertically.</w:t>
            </w:r>
          </w:p>
        </w:tc>
        <w:tc>
          <w:tcPr>
            <w:tcW w:w="873" w:type="pct"/>
            <w:tcBorders>
              <w:top w:val="single" w:sz="4" w:space="0" w:color="auto"/>
              <w:left w:val="single" w:sz="4" w:space="0" w:color="auto"/>
              <w:bottom w:val="single" w:sz="4" w:space="0" w:color="auto"/>
              <w:right w:val="single" w:sz="4" w:space="0" w:color="auto"/>
            </w:tcBorders>
            <w:vAlign w:val="center"/>
            <w:hideMark/>
          </w:tcPr>
          <w:p w14:paraId="3D2230FB"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cement</w:t>
            </w:r>
          </w:p>
        </w:tc>
        <w:tc>
          <w:tcPr>
            <w:tcW w:w="1253" w:type="pct"/>
            <w:tcBorders>
              <w:top w:val="single" w:sz="4" w:space="0" w:color="auto"/>
              <w:left w:val="single" w:sz="4" w:space="0" w:color="auto"/>
              <w:bottom w:val="single" w:sz="4" w:space="0" w:color="auto"/>
              <w:right w:val="single" w:sz="4" w:space="0" w:color="auto"/>
            </w:tcBorders>
            <w:vAlign w:val="center"/>
            <w:hideMark/>
          </w:tcPr>
          <w:p w14:paraId="63BDDCD5"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70 on gross area</w:t>
            </w:r>
          </w:p>
        </w:tc>
        <w:tc>
          <w:tcPr>
            <w:tcW w:w="1076" w:type="pct"/>
            <w:tcBorders>
              <w:top w:val="single" w:sz="4" w:space="0" w:color="auto"/>
              <w:left w:val="single" w:sz="4" w:space="0" w:color="auto"/>
              <w:bottom w:val="single" w:sz="4" w:space="0" w:color="auto"/>
              <w:right w:val="single" w:sz="4" w:space="0" w:color="auto"/>
            </w:tcBorders>
            <w:vAlign w:val="center"/>
            <w:hideMark/>
          </w:tcPr>
          <w:p w14:paraId="05CDB472"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0</w:t>
            </w:r>
          </w:p>
        </w:tc>
      </w:tr>
      <w:tr w:rsidR="001B7F77" w:rsidRPr="001B7F77" w14:paraId="7D220AB1" w14:textId="77777777" w:rsidTr="006655A1">
        <w:trPr>
          <w:trHeight w:val="624"/>
        </w:trPr>
        <w:tc>
          <w:tcPr>
            <w:tcW w:w="886" w:type="pct"/>
            <w:tcBorders>
              <w:top w:val="single" w:sz="4" w:space="0" w:color="auto"/>
              <w:left w:val="single" w:sz="4" w:space="0" w:color="auto"/>
              <w:bottom w:val="single" w:sz="4" w:space="0" w:color="auto"/>
              <w:right w:val="single" w:sz="4" w:space="0" w:color="auto"/>
            </w:tcBorders>
            <w:vAlign w:val="center"/>
            <w:hideMark/>
          </w:tcPr>
          <w:p w14:paraId="16C6D325"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Any</w:t>
            </w:r>
          </w:p>
        </w:tc>
        <w:tc>
          <w:tcPr>
            <w:tcW w:w="912" w:type="pct"/>
            <w:tcBorders>
              <w:top w:val="single" w:sz="4" w:space="0" w:color="auto"/>
              <w:left w:val="single" w:sz="4" w:space="0" w:color="auto"/>
              <w:bottom w:val="single" w:sz="4" w:space="0" w:color="auto"/>
              <w:right w:val="single" w:sz="4" w:space="0" w:color="auto"/>
            </w:tcBorders>
            <w:vAlign w:val="center"/>
            <w:hideMark/>
          </w:tcPr>
          <w:p w14:paraId="649EEA69"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Cells oriented horizontally</w:t>
            </w:r>
          </w:p>
        </w:tc>
        <w:tc>
          <w:tcPr>
            <w:tcW w:w="873" w:type="pct"/>
            <w:tcBorders>
              <w:top w:val="single" w:sz="4" w:space="0" w:color="auto"/>
              <w:left w:val="single" w:sz="4" w:space="0" w:color="auto"/>
              <w:bottom w:val="single" w:sz="4" w:space="0" w:color="auto"/>
              <w:right w:val="single" w:sz="4" w:space="0" w:color="auto"/>
            </w:tcBorders>
            <w:vAlign w:val="center"/>
            <w:hideMark/>
          </w:tcPr>
          <w:p w14:paraId="3F93B249"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Cement</w:t>
            </w:r>
          </w:p>
        </w:tc>
        <w:tc>
          <w:tcPr>
            <w:tcW w:w="1253" w:type="pct"/>
            <w:tcBorders>
              <w:top w:val="single" w:sz="4" w:space="0" w:color="auto"/>
              <w:left w:val="single" w:sz="4" w:space="0" w:color="auto"/>
              <w:bottom w:val="single" w:sz="4" w:space="0" w:color="auto"/>
              <w:right w:val="single" w:sz="4" w:space="0" w:color="auto"/>
            </w:tcBorders>
            <w:vAlign w:val="center"/>
            <w:hideMark/>
          </w:tcPr>
          <w:p w14:paraId="202B62D4"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70 on gross area</w:t>
            </w:r>
          </w:p>
        </w:tc>
        <w:tc>
          <w:tcPr>
            <w:tcW w:w="1076" w:type="pct"/>
            <w:tcBorders>
              <w:top w:val="single" w:sz="4" w:space="0" w:color="auto"/>
              <w:left w:val="single" w:sz="4" w:space="0" w:color="auto"/>
              <w:bottom w:val="single" w:sz="4" w:space="0" w:color="auto"/>
              <w:right w:val="single" w:sz="4" w:space="0" w:color="auto"/>
            </w:tcBorders>
            <w:vAlign w:val="center"/>
            <w:hideMark/>
          </w:tcPr>
          <w:p w14:paraId="3B7B1D5B"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0</w:t>
            </w:r>
          </w:p>
        </w:tc>
      </w:tr>
    </w:tbl>
    <w:p w14:paraId="1E0111F4" w14:textId="77777777" w:rsidR="001B7F77" w:rsidRPr="001B7F77" w:rsidRDefault="001B7F77" w:rsidP="00FD2721">
      <w:pPr>
        <w:suppressAutoHyphens/>
        <w:spacing w:before="120"/>
        <w:jc w:val="left"/>
        <w:rPr>
          <w:color w:val="000000"/>
          <w:u w:val="single"/>
        </w:rPr>
      </w:pPr>
      <w:r w:rsidRPr="001B7F77">
        <w:rPr>
          <w:b/>
          <w:bCs/>
          <w:u w:val="single"/>
        </w:rPr>
        <w:t xml:space="preserve">H103.6 Timber. </w:t>
      </w:r>
      <w:r w:rsidRPr="001B7F77">
        <w:rPr>
          <w:u w:val="single"/>
        </w:rPr>
        <w:t>For timber construction, see Sections H103.6.1 and H103.6.2.</w:t>
      </w:r>
    </w:p>
    <w:p w14:paraId="2A1A759D" w14:textId="77777777" w:rsidR="001B7F77" w:rsidRPr="001B7F77" w:rsidRDefault="001B7F77" w:rsidP="00FD2721">
      <w:pPr>
        <w:tabs>
          <w:tab w:val="left" w:pos="360"/>
        </w:tabs>
        <w:suppressAutoHyphens/>
        <w:spacing w:before="120"/>
        <w:ind w:left="360"/>
        <w:rPr>
          <w:u w:val="single"/>
        </w:rPr>
      </w:pPr>
      <w:r w:rsidRPr="001B7F77">
        <w:rPr>
          <w:b/>
          <w:bCs/>
          <w:u w:val="single"/>
        </w:rPr>
        <w:t>H103.6.1 Buildings erected on or before 1938.</w:t>
      </w:r>
      <w:r w:rsidRPr="001B7F77">
        <w:rPr>
          <w:u w:val="single"/>
        </w:rPr>
        <w:t xml:space="preserve"> Buildings erected on or before 1938 with wood-framed construction not having grade mark stamps use the allowable stresses from Table H103.6.1 if the wood species is known:</w:t>
      </w:r>
    </w:p>
    <w:p w14:paraId="541ED5CF" w14:textId="77777777" w:rsidR="001B7F77" w:rsidRPr="001B7F77" w:rsidRDefault="001B7F77" w:rsidP="00FD2721">
      <w:pPr>
        <w:widowControl w:val="0"/>
        <w:suppressAutoHyphens/>
        <w:spacing w:before="120"/>
        <w:jc w:val="center"/>
        <w:outlineLvl w:val="0"/>
        <w:rPr>
          <w:b/>
          <w:bCs/>
          <w:u w:val="single"/>
        </w:rPr>
      </w:pPr>
      <w:r w:rsidRPr="001B7F77">
        <w:rPr>
          <w:b/>
          <w:bCs/>
          <w:u w:val="single"/>
        </w:rPr>
        <w:t>TABLE H103.6.1</w:t>
      </w:r>
      <w:r w:rsidRPr="001B7F77">
        <w:rPr>
          <w:b/>
          <w:bCs/>
          <w:u w:val="single"/>
        </w:rPr>
        <w:br/>
        <w:t>TIMBER ALLOWABLE STRESSES</w:t>
      </w:r>
    </w:p>
    <w:tbl>
      <w:tblPr>
        <w:tblW w:w="4938" w:type="pct"/>
        <w:tblLook w:val="04A0" w:firstRow="1" w:lastRow="0" w:firstColumn="1" w:lastColumn="0" w:noHBand="0" w:noVBand="1"/>
      </w:tblPr>
      <w:tblGrid>
        <w:gridCol w:w="1674"/>
        <w:gridCol w:w="1683"/>
        <w:gridCol w:w="1679"/>
        <w:gridCol w:w="1565"/>
        <w:gridCol w:w="1229"/>
        <w:gridCol w:w="1408"/>
      </w:tblGrid>
      <w:tr w:rsidR="001B7F77" w:rsidRPr="001B7F77" w14:paraId="63511429" w14:textId="77777777" w:rsidTr="006655A1">
        <w:trPr>
          <w:cantSplit/>
          <w:trHeight w:val="540"/>
          <w:tblHeader/>
        </w:trPr>
        <w:tc>
          <w:tcPr>
            <w:tcW w:w="906" w:type="pct"/>
            <w:tcBorders>
              <w:top w:val="single" w:sz="2" w:space="0" w:color="000000"/>
              <w:left w:val="single" w:sz="2" w:space="0" w:color="000000"/>
              <w:bottom w:val="single" w:sz="2" w:space="0" w:color="000000"/>
              <w:right w:val="nil"/>
            </w:tcBorders>
            <w:vAlign w:val="center"/>
            <w:hideMark/>
          </w:tcPr>
          <w:p w14:paraId="3DFD54DE" w14:textId="77777777" w:rsidR="001B7F77" w:rsidRPr="001B7F77" w:rsidRDefault="001B7F77" w:rsidP="00FD2721">
            <w:pPr>
              <w:suppressAutoHyphens/>
              <w:spacing w:before="120" w:line="256" w:lineRule="auto"/>
              <w:ind w:right="54"/>
              <w:jc w:val="center"/>
              <w:rPr>
                <w:b/>
                <w:bCs/>
                <w:szCs w:val="24"/>
                <w:u w:val="single"/>
              </w:rPr>
            </w:pPr>
            <w:r w:rsidRPr="001B7F77">
              <w:rPr>
                <w:b/>
                <w:bCs/>
                <w:szCs w:val="24"/>
                <w:u w:val="single"/>
              </w:rPr>
              <w:t>Wood Species</w:t>
            </w:r>
          </w:p>
        </w:tc>
        <w:tc>
          <w:tcPr>
            <w:tcW w:w="911" w:type="pct"/>
            <w:tcBorders>
              <w:top w:val="single" w:sz="2" w:space="0" w:color="000000"/>
              <w:left w:val="single" w:sz="2" w:space="0" w:color="000000"/>
              <w:bottom w:val="single" w:sz="2" w:space="0" w:color="000000"/>
              <w:right w:val="nil"/>
            </w:tcBorders>
            <w:vAlign w:val="center"/>
            <w:hideMark/>
          </w:tcPr>
          <w:p w14:paraId="3AADAD5A" w14:textId="77777777" w:rsidR="001B7F77" w:rsidRPr="001B7F77" w:rsidRDefault="001B7F77" w:rsidP="00FD2721">
            <w:pPr>
              <w:suppressAutoHyphens/>
              <w:spacing w:before="120" w:line="256" w:lineRule="auto"/>
              <w:ind w:right="54"/>
              <w:jc w:val="center"/>
              <w:rPr>
                <w:b/>
                <w:bCs/>
                <w:szCs w:val="24"/>
                <w:u w:val="single"/>
              </w:rPr>
            </w:pPr>
            <w:r w:rsidRPr="001B7F77">
              <w:rPr>
                <w:b/>
                <w:bCs/>
                <w:szCs w:val="24"/>
                <w:u w:val="single"/>
              </w:rPr>
              <w:t>Compression (psi)</w:t>
            </w:r>
          </w:p>
        </w:tc>
        <w:tc>
          <w:tcPr>
            <w:tcW w:w="909" w:type="pct"/>
            <w:tcBorders>
              <w:top w:val="single" w:sz="2" w:space="0" w:color="000000"/>
              <w:left w:val="single" w:sz="2" w:space="0" w:color="000000"/>
              <w:bottom w:val="single" w:sz="2" w:space="0" w:color="000000"/>
              <w:right w:val="nil"/>
            </w:tcBorders>
            <w:vAlign w:val="center"/>
            <w:hideMark/>
          </w:tcPr>
          <w:p w14:paraId="33E03455" w14:textId="77777777" w:rsidR="001B7F77" w:rsidRPr="001B7F77" w:rsidRDefault="001B7F77" w:rsidP="00FD2721">
            <w:pPr>
              <w:widowControl w:val="0"/>
              <w:suppressAutoHyphens/>
              <w:spacing w:before="120"/>
              <w:jc w:val="center"/>
              <w:outlineLvl w:val="0"/>
              <w:rPr>
                <w:b/>
                <w:bCs/>
                <w:szCs w:val="24"/>
                <w:u w:val="single"/>
              </w:rPr>
            </w:pPr>
            <w:r w:rsidRPr="001B7F77">
              <w:rPr>
                <w:b/>
                <w:bCs/>
                <w:szCs w:val="24"/>
                <w:u w:val="single"/>
              </w:rPr>
              <w:t>Tension</w:t>
            </w:r>
            <w:r w:rsidRPr="001B7F77">
              <w:rPr>
                <w:b/>
                <w:bCs/>
                <w:szCs w:val="24"/>
                <w:u w:val="single"/>
              </w:rPr>
              <w:br/>
              <w:t>(psi)</w:t>
            </w:r>
          </w:p>
        </w:tc>
        <w:tc>
          <w:tcPr>
            <w:tcW w:w="847" w:type="pct"/>
            <w:tcBorders>
              <w:top w:val="single" w:sz="2" w:space="0" w:color="000000"/>
              <w:left w:val="single" w:sz="2" w:space="0" w:color="000000"/>
              <w:bottom w:val="single" w:sz="2" w:space="0" w:color="000000"/>
              <w:right w:val="nil"/>
            </w:tcBorders>
            <w:vAlign w:val="center"/>
            <w:hideMark/>
          </w:tcPr>
          <w:p w14:paraId="3B44642A" w14:textId="77777777" w:rsidR="001B7F77" w:rsidRPr="001B7F77" w:rsidRDefault="001B7F77" w:rsidP="00FD2721">
            <w:pPr>
              <w:suppressAutoHyphens/>
              <w:spacing w:before="120" w:line="256" w:lineRule="auto"/>
              <w:ind w:right="54"/>
              <w:jc w:val="center"/>
              <w:rPr>
                <w:b/>
                <w:bCs/>
                <w:szCs w:val="24"/>
                <w:u w:val="single"/>
              </w:rPr>
            </w:pPr>
            <w:r w:rsidRPr="001B7F77">
              <w:rPr>
                <w:b/>
                <w:bCs/>
                <w:szCs w:val="24"/>
                <w:u w:val="single"/>
              </w:rPr>
              <w:t>Shear</w:t>
            </w:r>
            <w:r w:rsidRPr="001B7F77">
              <w:rPr>
                <w:b/>
                <w:bCs/>
                <w:szCs w:val="24"/>
                <w:u w:val="single"/>
              </w:rPr>
              <w:br/>
              <w:t>(psi)</w:t>
            </w:r>
          </w:p>
        </w:tc>
        <w:tc>
          <w:tcPr>
            <w:tcW w:w="665" w:type="pct"/>
            <w:tcBorders>
              <w:top w:val="single" w:sz="2" w:space="0" w:color="000000"/>
              <w:left w:val="single" w:sz="2" w:space="0" w:color="000000"/>
              <w:bottom w:val="single" w:sz="2" w:space="0" w:color="000000"/>
              <w:right w:val="nil"/>
            </w:tcBorders>
            <w:vAlign w:val="center"/>
            <w:hideMark/>
          </w:tcPr>
          <w:p w14:paraId="49C37D71" w14:textId="77777777" w:rsidR="001B7F77" w:rsidRPr="001B7F77" w:rsidRDefault="001B7F77" w:rsidP="00FD2721">
            <w:pPr>
              <w:suppressAutoHyphens/>
              <w:spacing w:before="120" w:line="256" w:lineRule="auto"/>
              <w:ind w:right="54"/>
              <w:jc w:val="center"/>
              <w:rPr>
                <w:b/>
                <w:bCs/>
                <w:szCs w:val="24"/>
                <w:u w:val="single"/>
              </w:rPr>
            </w:pPr>
            <w:r w:rsidRPr="001B7F77">
              <w:rPr>
                <w:b/>
                <w:bCs/>
                <w:szCs w:val="24"/>
                <w:u w:val="single"/>
              </w:rPr>
              <w:t>Bending</w:t>
            </w:r>
            <w:r w:rsidRPr="001B7F77">
              <w:rPr>
                <w:b/>
                <w:bCs/>
                <w:szCs w:val="24"/>
                <w:u w:val="single"/>
              </w:rPr>
              <w:br/>
              <w:t>(psi)</w:t>
            </w:r>
          </w:p>
        </w:tc>
        <w:tc>
          <w:tcPr>
            <w:tcW w:w="762" w:type="pct"/>
            <w:tcBorders>
              <w:top w:val="single" w:sz="2" w:space="0" w:color="000000"/>
              <w:left w:val="single" w:sz="2" w:space="0" w:color="000000"/>
              <w:bottom w:val="single" w:sz="2" w:space="0" w:color="000000"/>
              <w:right w:val="single" w:sz="2" w:space="0" w:color="000000"/>
            </w:tcBorders>
            <w:vAlign w:val="center"/>
            <w:hideMark/>
          </w:tcPr>
          <w:p w14:paraId="6BB03E40" w14:textId="77777777" w:rsidR="001B7F77" w:rsidRPr="001B7F77" w:rsidRDefault="001B7F77" w:rsidP="00FD2721">
            <w:pPr>
              <w:suppressAutoHyphens/>
              <w:spacing w:before="120" w:line="256" w:lineRule="auto"/>
              <w:ind w:right="54"/>
              <w:jc w:val="center"/>
              <w:rPr>
                <w:b/>
                <w:bCs/>
                <w:szCs w:val="24"/>
                <w:u w:val="single"/>
              </w:rPr>
            </w:pPr>
            <w:r w:rsidRPr="001B7F77">
              <w:rPr>
                <w:b/>
                <w:bCs/>
                <w:szCs w:val="24"/>
                <w:u w:val="single"/>
              </w:rPr>
              <w:t>Elastic Modulus</w:t>
            </w:r>
            <w:r w:rsidRPr="001B7F77">
              <w:rPr>
                <w:b/>
                <w:bCs/>
                <w:szCs w:val="24"/>
                <w:u w:val="single"/>
              </w:rPr>
              <w:br/>
              <w:t>(psi)</w:t>
            </w:r>
          </w:p>
        </w:tc>
      </w:tr>
      <w:tr w:rsidR="001B7F77" w:rsidRPr="001B7F77" w14:paraId="62C21394" w14:textId="77777777" w:rsidTr="006655A1">
        <w:trPr>
          <w:trHeight w:val="540"/>
        </w:trPr>
        <w:tc>
          <w:tcPr>
            <w:tcW w:w="906" w:type="pct"/>
            <w:tcBorders>
              <w:top w:val="nil"/>
              <w:left w:val="single" w:sz="2" w:space="0" w:color="000000"/>
              <w:bottom w:val="single" w:sz="2" w:space="0" w:color="000000"/>
              <w:right w:val="nil"/>
            </w:tcBorders>
            <w:vAlign w:val="center"/>
            <w:hideMark/>
          </w:tcPr>
          <w:p w14:paraId="387F4CED"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Yellow Pine, Longleaf</w:t>
            </w:r>
          </w:p>
        </w:tc>
        <w:tc>
          <w:tcPr>
            <w:tcW w:w="911" w:type="pct"/>
            <w:tcBorders>
              <w:top w:val="nil"/>
              <w:left w:val="single" w:sz="2" w:space="0" w:color="000000"/>
              <w:bottom w:val="single" w:sz="2" w:space="0" w:color="000000"/>
              <w:right w:val="nil"/>
            </w:tcBorders>
            <w:vAlign w:val="center"/>
            <w:hideMark/>
          </w:tcPr>
          <w:p w14:paraId="06B6E662"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With grain: 1600</w:t>
            </w:r>
          </w:p>
          <w:p w14:paraId="31B0FF9D"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Across grain:</w:t>
            </w:r>
          </w:p>
          <w:p w14:paraId="6E4B04D9"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1000</w:t>
            </w:r>
          </w:p>
        </w:tc>
        <w:tc>
          <w:tcPr>
            <w:tcW w:w="909" w:type="pct"/>
            <w:tcBorders>
              <w:top w:val="nil"/>
              <w:left w:val="single" w:sz="2" w:space="0" w:color="000000"/>
              <w:bottom w:val="single" w:sz="2" w:space="0" w:color="000000"/>
              <w:right w:val="nil"/>
            </w:tcBorders>
            <w:vAlign w:val="center"/>
            <w:hideMark/>
          </w:tcPr>
          <w:p w14:paraId="4F05D85D"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1200</w:t>
            </w:r>
          </w:p>
        </w:tc>
        <w:tc>
          <w:tcPr>
            <w:tcW w:w="847" w:type="pct"/>
            <w:tcBorders>
              <w:top w:val="nil"/>
              <w:left w:val="single" w:sz="2" w:space="0" w:color="000000"/>
              <w:bottom w:val="single" w:sz="2" w:space="0" w:color="000000"/>
              <w:right w:val="nil"/>
            </w:tcBorders>
            <w:vAlign w:val="center"/>
            <w:hideMark/>
          </w:tcPr>
          <w:p w14:paraId="2E4A5867"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With grain: 150</w:t>
            </w:r>
          </w:p>
          <w:p w14:paraId="752E417B"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Across grain:</w:t>
            </w:r>
          </w:p>
          <w:p w14:paraId="0A92F244"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1000</w:t>
            </w:r>
          </w:p>
        </w:tc>
        <w:tc>
          <w:tcPr>
            <w:tcW w:w="665" w:type="pct"/>
            <w:tcBorders>
              <w:top w:val="nil"/>
              <w:left w:val="single" w:sz="2" w:space="0" w:color="000000"/>
              <w:bottom w:val="single" w:sz="2" w:space="0" w:color="000000"/>
              <w:right w:val="nil"/>
            </w:tcBorders>
            <w:vAlign w:val="center"/>
            <w:hideMark/>
          </w:tcPr>
          <w:p w14:paraId="4264C171"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1600</w:t>
            </w:r>
          </w:p>
        </w:tc>
        <w:tc>
          <w:tcPr>
            <w:tcW w:w="762" w:type="pct"/>
            <w:tcBorders>
              <w:top w:val="nil"/>
              <w:left w:val="single" w:sz="2" w:space="0" w:color="000000"/>
              <w:bottom w:val="single" w:sz="2" w:space="0" w:color="000000"/>
              <w:right w:val="single" w:sz="2" w:space="0" w:color="000000"/>
            </w:tcBorders>
            <w:vAlign w:val="center"/>
            <w:hideMark/>
          </w:tcPr>
          <w:p w14:paraId="2E5DE25F"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1,600,000</w:t>
            </w:r>
          </w:p>
        </w:tc>
      </w:tr>
      <w:tr w:rsidR="001B7F77" w:rsidRPr="001B7F77" w14:paraId="70990B64" w14:textId="77777777" w:rsidTr="006655A1">
        <w:trPr>
          <w:trHeight w:val="540"/>
        </w:trPr>
        <w:tc>
          <w:tcPr>
            <w:tcW w:w="906" w:type="pct"/>
            <w:tcBorders>
              <w:top w:val="nil"/>
              <w:left w:val="single" w:sz="2" w:space="0" w:color="000000"/>
              <w:bottom w:val="single" w:sz="2" w:space="0" w:color="000000"/>
              <w:right w:val="nil"/>
            </w:tcBorders>
            <w:vAlign w:val="center"/>
            <w:hideMark/>
          </w:tcPr>
          <w:p w14:paraId="4A75F007"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Douglas Fir</w:t>
            </w:r>
          </w:p>
        </w:tc>
        <w:tc>
          <w:tcPr>
            <w:tcW w:w="911" w:type="pct"/>
            <w:tcBorders>
              <w:top w:val="nil"/>
              <w:left w:val="single" w:sz="2" w:space="0" w:color="000000"/>
              <w:bottom w:val="single" w:sz="2" w:space="0" w:color="000000"/>
              <w:right w:val="nil"/>
            </w:tcBorders>
            <w:vAlign w:val="center"/>
            <w:hideMark/>
          </w:tcPr>
          <w:p w14:paraId="29861F86"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With grain: 1200</w:t>
            </w:r>
          </w:p>
          <w:p w14:paraId="19742F80"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Across grain: 800</w:t>
            </w:r>
          </w:p>
        </w:tc>
        <w:tc>
          <w:tcPr>
            <w:tcW w:w="909" w:type="pct"/>
            <w:tcBorders>
              <w:top w:val="nil"/>
              <w:left w:val="single" w:sz="2" w:space="0" w:color="000000"/>
              <w:bottom w:val="single" w:sz="2" w:space="0" w:color="000000"/>
              <w:right w:val="nil"/>
            </w:tcBorders>
            <w:vAlign w:val="center"/>
            <w:hideMark/>
          </w:tcPr>
          <w:p w14:paraId="194EF07C"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800</w:t>
            </w:r>
          </w:p>
        </w:tc>
        <w:tc>
          <w:tcPr>
            <w:tcW w:w="847" w:type="pct"/>
            <w:tcBorders>
              <w:top w:val="nil"/>
              <w:left w:val="single" w:sz="2" w:space="0" w:color="000000"/>
              <w:bottom w:val="single" w:sz="2" w:space="0" w:color="000000"/>
              <w:right w:val="nil"/>
            </w:tcBorders>
            <w:vAlign w:val="center"/>
            <w:hideMark/>
          </w:tcPr>
          <w:p w14:paraId="046C7441"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With grain: 100</w:t>
            </w:r>
          </w:p>
          <w:p w14:paraId="4FB4A5B9"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Across grain:</w:t>
            </w:r>
          </w:p>
          <w:p w14:paraId="60468851"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1000</w:t>
            </w:r>
          </w:p>
        </w:tc>
        <w:tc>
          <w:tcPr>
            <w:tcW w:w="665" w:type="pct"/>
            <w:tcBorders>
              <w:top w:val="nil"/>
              <w:left w:val="single" w:sz="2" w:space="0" w:color="000000"/>
              <w:bottom w:val="single" w:sz="2" w:space="0" w:color="000000"/>
              <w:right w:val="nil"/>
            </w:tcBorders>
            <w:vAlign w:val="center"/>
            <w:hideMark/>
          </w:tcPr>
          <w:p w14:paraId="0CE86AAA"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1200</w:t>
            </w:r>
          </w:p>
        </w:tc>
        <w:tc>
          <w:tcPr>
            <w:tcW w:w="762" w:type="pct"/>
            <w:tcBorders>
              <w:top w:val="nil"/>
              <w:left w:val="single" w:sz="2" w:space="0" w:color="000000"/>
              <w:bottom w:val="single" w:sz="2" w:space="0" w:color="000000"/>
              <w:right w:val="single" w:sz="2" w:space="0" w:color="000000"/>
            </w:tcBorders>
            <w:vAlign w:val="center"/>
            <w:hideMark/>
          </w:tcPr>
          <w:p w14:paraId="4B50AA10"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1,200,000</w:t>
            </w:r>
          </w:p>
        </w:tc>
      </w:tr>
      <w:tr w:rsidR="001B7F77" w:rsidRPr="001B7F77" w14:paraId="7ED75619" w14:textId="77777777" w:rsidTr="006655A1">
        <w:trPr>
          <w:trHeight w:val="540"/>
        </w:trPr>
        <w:tc>
          <w:tcPr>
            <w:tcW w:w="906" w:type="pct"/>
            <w:tcBorders>
              <w:top w:val="nil"/>
              <w:left w:val="single" w:sz="2" w:space="0" w:color="000000"/>
              <w:bottom w:val="single" w:sz="2" w:space="0" w:color="000000"/>
              <w:right w:val="nil"/>
            </w:tcBorders>
            <w:vAlign w:val="center"/>
            <w:hideMark/>
          </w:tcPr>
          <w:p w14:paraId="3A56E487"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Yellow Pine,</w:t>
            </w:r>
          </w:p>
          <w:p w14:paraId="3289E9C8"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Shortleaf</w:t>
            </w:r>
          </w:p>
        </w:tc>
        <w:tc>
          <w:tcPr>
            <w:tcW w:w="911" w:type="pct"/>
            <w:tcBorders>
              <w:top w:val="nil"/>
              <w:left w:val="single" w:sz="2" w:space="0" w:color="000000"/>
              <w:bottom w:val="single" w:sz="2" w:space="0" w:color="000000"/>
              <w:right w:val="nil"/>
            </w:tcBorders>
            <w:vAlign w:val="center"/>
            <w:hideMark/>
          </w:tcPr>
          <w:p w14:paraId="6FDA7638"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With grain: 1000</w:t>
            </w:r>
          </w:p>
          <w:p w14:paraId="2AF63702"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Across grain:</w:t>
            </w:r>
          </w:p>
          <w:p w14:paraId="42A91A86"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800</w:t>
            </w:r>
          </w:p>
        </w:tc>
        <w:tc>
          <w:tcPr>
            <w:tcW w:w="909" w:type="pct"/>
            <w:tcBorders>
              <w:top w:val="nil"/>
              <w:left w:val="single" w:sz="2" w:space="0" w:color="000000"/>
              <w:bottom w:val="single" w:sz="2" w:space="0" w:color="000000"/>
              <w:right w:val="nil"/>
            </w:tcBorders>
            <w:vAlign w:val="center"/>
            <w:hideMark/>
          </w:tcPr>
          <w:p w14:paraId="6C6B5580"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900</w:t>
            </w:r>
          </w:p>
        </w:tc>
        <w:tc>
          <w:tcPr>
            <w:tcW w:w="847" w:type="pct"/>
            <w:tcBorders>
              <w:top w:val="nil"/>
              <w:left w:val="single" w:sz="2" w:space="0" w:color="000000"/>
              <w:bottom w:val="single" w:sz="2" w:space="0" w:color="000000"/>
              <w:right w:val="nil"/>
            </w:tcBorders>
            <w:vAlign w:val="center"/>
            <w:hideMark/>
          </w:tcPr>
          <w:p w14:paraId="6CBC12FF"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With grain: 100</w:t>
            </w:r>
          </w:p>
          <w:p w14:paraId="0631B873"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Across grain:</w:t>
            </w:r>
          </w:p>
          <w:p w14:paraId="3C7DD856"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1000</w:t>
            </w:r>
          </w:p>
        </w:tc>
        <w:tc>
          <w:tcPr>
            <w:tcW w:w="665" w:type="pct"/>
            <w:tcBorders>
              <w:top w:val="nil"/>
              <w:left w:val="single" w:sz="2" w:space="0" w:color="000000"/>
              <w:bottom w:val="single" w:sz="2" w:space="0" w:color="000000"/>
              <w:right w:val="nil"/>
            </w:tcBorders>
            <w:vAlign w:val="center"/>
            <w:hideMark/>
          </w:tcPr>
          <w:p w14:paraId="42E13CCD"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1000</w:t>
            </w:r>
          </w:p>
        </w:tc>
        <w:tc>
          <w:tcPr>
            <w:tcW w:w="762" w:type="pct"/>
            <w:tcBorders>
              <w:top w:val="nil"/>
              <w:left w:val="single" w:sz="2" w:space="0" w:color="000000"/>
              <w:bottom w:val="single" w:sz="2" w:space="0" w:color="000000"/>
              <w:right w:val="single" w:sz="2" w:space="0" w:color="000000"/>
            </w:tcBorders>
            <w:vAlign w:val="center"/>
            <w:hideMark/>
          </w:tcPr>
          <w:p w14:paraId="55E64AFB"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1,000,000</w:t>
            </w:r>
          </w:p>
        </w:tc>
      </w:tr>
      <w:tr w:rsidR="001B7F77" w:rsidRPr="001B7F77" w14:paraId="298D43B1" w14:textId="77777777" w:rsidTr="006655A1">
        <w:trPr>
          <w:trHeight w:val="540"/>
        </w:trPr>
        <w:tc>
          <w:tcPr>
            <w:tcW w:w="906" w:type="pct"/>
            <w:tcBorders>
              <w:top w:val="nil"/>
              <w:left w:val="single" w:sz="2" w:space="0" w:color="000000"/>
              <w:bottom w:val="single" w:sz="2" w:space="0" w:color="000000"/>
              <w:right w:val="nil"/>
            </w:tcBorders>
            <w:vAlign w:val="center"/>
            <w:hideMark/>
          </w:tcPr>
          <w:p w14:paraId="260EF1E6"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Spruce</w:t>
            </w:r>
          </w:p>
        </w:tc>
        <w:tc>
          <w:tcPr>
            <w:tcW w:w="911" w:type="pct"/>
            <w:tcBorders>
              <w:top w:val="nil"/>
              <w:left w:val="single" w:sz="2" w:space="0" w:color="000000"/>
              <w:bottom w:val="single" w:sz="2" w:space="0" w:color="000000"/>
              <w:right w:val="nil"/>
            </w:tcBorders>
            <w:vAlign w:val="center"/>
            <w:hideMark/>
          </w:tcPr>
          <w:p w14:paraId="2662BEED"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With grain: 1200</w:t>
            </w:r>
          </w:p>
          <w:p w14:paraId="354350AE"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Across grain:</w:t>
            </w:r>
          </w:p>
          <w:p w14:paraId="727B0118"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800</w:t>
            </w:r>
          </w:p>
        </w:tc>
        <w:tc>
          <w:tcPr>
            <w:tcW w:w="909" w:type="pct"/>
            <w:tcBorders>
              <w:top w:val="nil"/>
              <w:left w:val="single" w:sz="2" w:space="0" w:color="000000"/>
              <w:bottom w:val="single" w:sz="2" w:space="0" w:color="000000"/>
              <w:right w:val="nil"/>
            </w:tcBorders>
            <w:vAlign w:val="center"/>
            <w:hideMark/>
          </w:tcPr>
          <w:p w14:paraId="73E5E668" w14:textId="77777777" w:rsidR="001B7F77" w:rsidRPr="001B7F77" w:rsidRDefault="001B7F77" w:rsidP="00FD2721">
            <w:pPr>
              <w:widowControl w:val="0"/>
              <w:suppressAutoHyphens/>
              <w:spacing w:before="120"/>
              <w:jc w:val="center"/>
              <w:outlineLvl w:val="0"/>
              <w:rPr>
                <w:szCs w:val="24"/>
                <w:u w:val="single"/>
              </w:rPr>
            </w:pPr>
            <w:r w:rsidRPr="001B7F77">
              <w:rPr>
                <w:szCs w:val="24"/>
                <w:u w:val="single"/>
              </w:rPr>
              <w:t>800</w:t>
            </w:r>
          </w:p>
        </w:tc>
        <w:tc>
          <w:tcPr>
            <w:tcW w:w="847" w:type="pct"/>
            <w:tcBorders>
              <w:top w:val="nil"/>
              <w:left w:val="single" w:sz="2" w:space="0" w:color="000000"/>
              <w:bottom w:val="single" w:sz="2" w:space="0" w:color="000000"/>
              <w:right w:val="nil"/>
            </w:tcBorders>
            <w:vAlign w:val="center"/>
            <w:hideMark/>
          </w:tcPr>
          <w:p w14:paraId="55C52B2D"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With grain: 100</w:t>
            </w:r>
          </w:p>
          <w:p w14:paraId="08163FE2"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Across grain:</w:t>
            </w:r>
          </w:p>
          <w:p w14:paraId="589D6F1B"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500</w:t>
            </w:r>
          </w:p>
        </w:tc>
        <w:tc>
          <w:tcPr>
            <w:tcW w:w="665" w:type="pct"/>
            <w:tcBorders>
              <w:top w:val="nil"/>
              <w:left w:val="single" w:sz="2" w:space="0" w:color="000000"/>
              <w:bottom w:val="single" w:sz="2" w:space="0" w:color="000000"/>
              <w:right w:val="nil"/>
            </w:tcBorders>
            <w:vAlign w:val="center"/>
            <w:hideMark/>
          </w:tcPr>
          <w:p w14:paraId="2ABC4CE1"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1000</w:t>
            </w:r>
          </w:p>
        </w:tc>
        <w:tc>
          <w:tcPr>
            <w:tcW w:w="762" w:type="pct"/>
            <w:tcBorders>
              <w:top w:val="nil"/>
              <w:left w:val="single" w:sz="2" w:space="0" w:color="000000"/>
              <w:bottom w:val="single" w:sz="2" w:space="0" w:color="000000"/>
              <w:right w:val="single" w:sz="2" w:space="0" w:color="000000"/>
            </w:tcBorders>
            <w:vAlign w:val="center"/>
            <w:hideMark/>
          </w:tcPr>
          <w:p w14:paraId="14DE2710" w14:textId="77777777" w:rsidR="001B7F77" w:rsidRPr="001B7F77" w:rsidRDefault="001B7F77" w:rsidP="00FD2721">
            <w:pPr>
              <w:suppressAutoHyphens/>
              <w:spacing w:before="120" w:line="256" w:lineRule="auto"/>
              <w:ind w:right="54"/>
              <w:jc w:val="center"/>
              <w:rPr>
                <w:szCs w:val="24"/>
                <w:u w:val="single"/>
              </w:rPr>
            </w:pPr>
            <w:r w:rsidRPr="001B7F77">
              <w:rPr>
                <w:szCs w:val="24"/>
                <w:u w:val="single"/>
              </w:rPr>
              <w:t>1,000,000</w:t>
            </w:r>
          </w:p>
        </w:tc>
      </w:tr>
    </w:tbl>
    <w:p w14:paraId="2B6A9D97" w14:textId="77777777" w:rsidR="001B7F77" w:rsidRPr="001B7F77" w:rsidRDefault="001B7F77" w:rsidP="00FD2721">
      <w:pPr>
        <w:suppressAutoHyphens/>
        <w:spacing w:before="120"/>
        <w:ind w:left="720"/>
        <w:rPr>
          <w:color w:val="000000"/>
          <w:u w:val="single"/>
        </w:rPr>
      </w:pPr>
      <w:r w:rsidRPr="001B7F77">
        <w:rPr>
          <w:b/>
          <w:bCs/>
          <w:szCs w:val="24"/>
          <w:u w:val="single"/>
        </w:rPr>
        <w:t xml:space="preserve">H103.6.1.1 Species not otherwise known. </w:t>
      </w:r>
      <w:r w:rsidRPr="001B7F77">
        <w:rPr>
          <w:szCs w:val="24"/>
          <w:u w:val="single"/>
        </w:rPr>
        <w:t>The wood species shall be taken</w:t>
      </w:r>
      <w:r w:rsidRPr="001B7F77">
        <w:rPr>
          <w:u w:val="single"/>
        </w:rPr>
        <w:t xml:space="preserve"> as Spruce from Table H103.6.1 where not otherwise known.</w:t>
      </w:r>
    </w:p>
    <w:p w14:paraId="342C7DDA" w14:textId="77777777" w:rsidR="001B7F77" w:rsidRPr="001B7F77" w:rsidRDefault="001B7F77" w:rsidP="00FD2721">
      <w:pPr>
        <w:tabs>
          <w:tab w:val="left" w:pos="360"/>
        </w:tabs>
        <w:suppressAutoHyphens/>
        <w:spacing w:before="120"/>
        <w:ind w:left="360"/>
        <w:rPr>
          <w:u w:val="single"/>
        </w:rPr>
      </w:pPr>
      <w:r w:rsidRPr="001B7F77">
        <w:rPr>
          <w:b/>
          <w:bCs/>
          <w:u w:val="single"/>
        </w:rPr>
        <w:t>H103.6.2 Building erected after 1938.</w:t>
      </w:r>
      <w:r w:rsidRPr="001B7F77">
        <w:rPr>
          <w:u w:val="single"/>
        </w:rPr>
        <w:t xml:space="preserve"> Buildings erected after 1938 in with wood-framed construction and having grade mark stamps, shall follow the current National Design Specifications.</w:t>
      </w:r>
    </w:p>
    <w:p w14:paraId="29E4DF6D" w14:textId="77777777" w:rsidR="001B7F77" w:rsidRPr="001B7F77" w:rsidRDefault="001B7F77" w:rsidP="00FD2721">
      <w:pPr>
        <w:suppressAutoHyphens/>
        <w:spacing w:before="120"/>
        <w:jc w:val="left"/>
        <w:rPr>
          <w:u w:val="single"/>
        </w:rPr>
      </w:pPr>
      <w:r w:rsidRPr="001B7F77">
        <w:rPr>
          <w:b/>
          <w:bCs/>
          <w:u w:val="single"/>
        </w:rPr>
        <w:t>H103.7 Cold-formed steel.</w:t>
      </w:r>
      <w:r w:rsidRPr="001B7F77">
        <w:rPr>
          <w:u w:val="single"/>
        </w:rPr>
        <w:t xml:space="preserve"> For cold-formed steel, use the strength values in Table H103.7.</w:t>
      </w:r>
    </w:p>
    <w:p w14:paraId="4C5C1A29" w14:textId="77777777" w:rsidR="001B7F77" w:rsidRPr="001B7F77" w:rsidRDefault="001B7F77" w:rsidP="00FD2721">
      <w:pPr>
        <w:widowControl w:val="0"/>
        <w:suppressAutoHyphens/>
        <w:spacing w:before="120"/>
        <w:jc w:val="center"/>
        <w:outlineLvl w:val="0"/>
        <w:rPr>
          <w:b/>
          <w:bCs/>
          <w:u w:val="single"/>
        </w:rPr>
      </w:pPr>
      <w:r w:rsidRPr="001B7F77">
        <w:rPr>
          <w:b/>
          <w:bCs/>
          <w:u w:val="single"/>
        </w:rPr>
        <w:t>TABLE H103.7</w:t>
      </w:r>
      <w:r w:rsidRPr="001B7F77">
        <w:rPr>
          <w:b/>
          <w:bCs/>
          <w:u w:val="single"/>
        </w:rPr>
        <w:br/>
        <w:t>COLD-FORMED STEEL STRENGTH</w:t>
      </w:r>
    </w:p>
    <w:tbl>
      <w:tblPr>
        <w:tblW w:w="5000" w:type="pct"/>
        <w:tblCellMar>
          <w:top w:w="55" w:type="dxa"/>
          <w:left w:w="55" w:type="dxa"/>
          <w:bottom w:w="55" w:type="dxa"/>
          <w:right w:w="55" w:type="dxa"/>
        </w:tblCellMar>
        <w:tblLook w:val="04A0" w:firstRow="1" w:lastRow="0" w:firstColumn="1" w:lastColumn="0" w:noHBand="0" w:noVBand="1"/>
      </w:tblPr>
      <w:tblGrid>
        <w:gridCol w:w="3118"/>
        <w:gridCol w:w="3119"/>
        <w:gridCol w:w="3117"/>
      </w:tblGrid>
      <w:tr w:rsidR="001B7F77" w:rsidRPr="001B7F77" w14:paraId="3253F895" w14:textId="77777777" w:rsidTr="006655A1">
        <w:trPr>
          <w:cantSplit/>
          <w:tblHeader/>
        </w:trPr>
        <w:tc>
          <w:tcPr>
            <w:tcW w:w="1667" w:type="pct"/>
            <w:tcBorders>
              <w:top w:val="single" w:sz="2" w:space="0" w:color="000000"/>
              <w:left w:val="single" w:sz="2" w:space="0" w:color="000000"/>
              <w:bottom w:val="single" w:sz="2" w:space="0" w:color="000000"/>
              <w:right w:val="nil"/>
            </w:tcBorders>
            <w:vAlign w:val="center"/>
            <w:hideMark/>
          </w:tcPr>
          <w:p w14:paraId="04646E44" w14:textId="77777777" w:rsidR="001B7F77" w:rsidRPr="001B7F77" w:rsidRDefault="001B7F77" w:rsidP="00FD2721">
            <w:pPr>
              <w:widowControl w:val="0"/>
              <w:tabs>
                <w:tab w:val="left" w:pos="360"/>
              </w:tabs>
              <w:spacing w:before="120"/>
              <w:ind w:right="54"/>
              <w:jc w:val="center"/>
              <w:rPr>
                <w:rFonts w:eastAsia="Calibri"/>
                <w:b/>
                <w:bCs/>
                <w:szCs w:val="24"/>
                <w:u w:val="single"/>
              </w:rPr>
            </w:pPr>
            <w:r w:rsidRPr="001B7F77">
              <w:rPr>
                <w:rFonts w:eastAsia="Calibri"/>
                <w:b/>
                <w:bCs/>
                <w:szCs w:val="24"/>
                <w:u w:val="single"/>
              </w:rPr>
              <w:t>Date</w:t>
            </w:r>
          </w:p>
        </w:tc>
        <w:tc>
          <w:tcPr>
            <w:tcW w:w="1667" w:type="pct"/>
            <w:tcBorders>
              <w:top w:val="single" w:sz="2" w:space="0" w:color="000000"/>
              <w:left w:val="single" w:sz="2" w:space="0" w:color="000000"/>
              <w:bottom w:val="single" w:sz="2" w:space="0" w:color="000000"/>
              <w:right w:val="nil"/>
            </w:tcBorders>
            <w:vAlign w:val="center"/>
            <w:hideMark/>
          </w:tcPr>
          <w:p w14:paraId="1BE6D23D" w14:textId="77777777" w:rsidR="001B7F77" w:rsidRPr="001B7F77" w:rsidRDefault="001B7F77" w:rsidP="00FD2721">
            <w:pPr>
              <w:widowControl w:val="0"/>
              <w:tabs>
                <w:tab w:val="left" w:pos="360"/>
              </w:tabs>
              <w:spacing w:before="120"/>
              <w:ind w:right="54"/>
              <w:jc w:val="center"/>
              <w:rPr>
                <w:rFonts w:eastAsia="Calibri"/>
                <w:b/>
                <w:bCs/>
                <w:szCs w:val="24"/>
                <w:u w:val="single"/>
              </w:rPr>
            </w:pPr>
            <w:r w:rsidRPr="001B7F77">
              <w:rPr>
                <w:rFonts w:eastAsia="Calibri"/>
                <w:b/>
                <w:bCs/>
                <w:szCs w:val="24"/>
                <w:u w:val="single"/>
              </w:rPr>
              <w:t>Tensile Strength (ksi)</w:t>
            </w:r>
          </w:p>
        </w:tc>
        <w:tc>
          <w:tcPr>
            <w:tcW w:w="1666" w:type="pct"/>
            <w:tcBorders>
              <w:top w:val="single" w:sz="2" w:space="0" w:color="000000"/>
              <w:left w:val="single" w:sz="2" w:space="0" w:color="000000"/>
              <w:bottom w:val="single" w:sz="2" w:space="0" w:color="000000"/>
              <w:right w:val="single" w:sz="2" w:space="0" w:color="000000"/>
            </w:tcBorders>
            <w:vAlign w:val="center"/>
            <w:hideMark/>
          </w:tcPr>
          <w:p w14:paraId="011C3618" w14:textId="77777777" w:rsidR="001B7F77" w:rsidRPr="001B7F77" w:rsidRDefault="001B7F77" w:rsidP="00FD2721">
            <w:pPr>
              <w:widowControl w:val="0"/>
              <w:tabs>
                <w:tab w:val="left" w:pos="360"/>
              </w:tabs>
              <w:spacing w:before="120"/>
              <w:ind w:right="54"/>
              <w:jc w:val="center"/>
              <w:rPr>
                <w:rFonts w:eastAsia="Calibri"/>
                <w:b/>
                <w:bCs/>
                <w:szCs w:val="24"/>
                <w:u w:val="single"/>
              </w:rPr>
            </w:pPr>
            <w:r w:rsidRPr="001B7F77">
              <w:rPr>
                <w:rFonts w:eastAsia="Calibri"/>
                <w:b/>
                <w:bCs/>
                <w:szCs w:val="24"/>
                <w:u w:val="single"/>
              </w:rPr>
              <w:t>Yield Strength (ksi)</w:t>
            </w:r>
          </w:p>
        </w:tc>
      </w:tr>
      <w:tr w:rsidR="001B7F77" w:rsidRPr="001B7F77" w14:paraId="212C1485" w14:textId="77777777" w:rsidTr="006655A1">
        <w:tc>
          <w:tcPr>
            <w:tcW w:w="1667" w:type="pct"/>
            <w:tcBorders>
              <w:top w:val="nil"/>
              <w:left w:val="single" w:sz="2" w:space="0" w:color="000000"/>
              <w:bottom w:val="single" w:sz="2" w:space="0" w:color="000000"/>
              <w:right w:val="nil"/>
            </w:tcBorders>
            <w:vAlign w:val="center"/>
            <w:hideMark/>
          </w:tcPr>
          <w:p w14:paraId="5A743901"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Prior to 1991</w:t>
            </w:r>
          </w:p>
        </w:tc>
        <w:tc>
          <w:tcPr>
            <w:tcW w:w="1667" w:type="pct"/>
            <w:tcBorders>
              <w:top w:val="nil"/>
              <w:left w:val="single" w:sz="2" w:space="0" w:color="000000"/>
              <w:bottom w:val="single" w:sz="2" w:space="0" w:color="000000"/>
              <w:right w:val="nil"/>
            </w:tcBorders>
            <w:vAlign w:val="center"/>
            <w:hideMark/>
          </w:tcPr>
          <w:p w14:paraId="37BBCEA4"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42</w:t>
            </w:r>
          </w:p>
        </w:tc>
        <w:tc>
          <w:tcPr>
            <w:tcW w:w="1666" w:type="pct"/>
            <w:tcBorders>
              <w:top w:val="nil"/>
              <w:left w:val="single" w:sz="2" w:space="0" w:color="000000"/>
              <w:bottom w:val="single" w:sz="2" w:space="0" w:color="000000"/>
              <w:right w:val="single" w:sz="2" w:space="0" w:color="000000"/>
            </w:tcBorders>
            <w:vAlign w:val="center"/>
            <w:hideMark/>
          </w:tcPr>
          <w:p w14:paraId="3AF341B2"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25</w:t>
            </w:r>
          </w:p>
        </w:tc>
      </w:tr>
      <w:tr w:rsidR="001B7F77" w:rsidRPr="001B7F77" w14:paraId="129DF038" w14:textId="77777777" w:rsidTr="006655A1">
        <w:tc>
          <w:tcPr>
            <w:tcW w:w="1667" w:type="pct"/>
            <w:tcBorders>
              <w:top w:val="nil"/>
              <w:left w:val="single" w:sz="2" w:space="0" w:color="000000"/>
              <w:bottom w:val="single" w:sz="2" w:space="0" w:color="000000"/>
              <w:right w:val="nil"/>
            </w:tcBorders>
            <w:vAlign w:val="center"/>
            <w:hideMark/>
          </w:tcPr>
          <w:p w14:paraId="331BF767"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1991 and after</w:t>
            </w:r>
          </w:p>
        </w:tc>
        <w:tc>
          <w:tcPr>
            <w:tcW w:w="1667" w:type="pct"/>
            <w:tcBorders>
              <w:top w:val="nil"/>
              <w:left w:val="single" w:sz="2" w:space="0" w:color="000000"/>
              <w:bottom w:val="single" w:sz="2" w:space="0" w:color="000000"/>
              <w:right w:val="nil"/>
            </w:tcBorders>
            <w:vAlign w:val="center"/>
            <w:hideMark/>
          </w:tcPr>
          <w:p w14:paraId="52EEF007"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45</w:t>
            </w:r>
          </w:p>
        </w:tc>
        <w:tc>
          <w:tcPr>
            <w:tcW w:w="1666" w:type="pct"/>
            <w:tcBorders>
              <w:top w:val="nil"/>
              <w:left w:val="single" w:sz="2" w:space="0" w:color="000000"/>
              <w:bottom w:val="single" w:sz="2" w:space="0" w:color="000000"/>
              <w:right w:val="single" w:sz="2" w:space="0" w:color="000000"/>
            </w:tcBorders>
            <w:vAlign w:val="center"/>
            <w:hideMark/>
          </w:tcPr>
          <w:p w14:paraId="337B0C91"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33</w:t>
            </w:r>
          </w:p>
        </w:tc>
      </w:tr>
    </w:tbl>
    <w:p w14:paraId="50154A24" w14:textId="77777777" w:rsidR="001B7F77" w:rsidRPr="001B7F77" w:rsidRDefault="001B7F77" w:rsidP="00FD2721">
      <w:pPr>
        <w:suppressAutoHyphens/>
        <w:spacing w:before="120"/>
        <w:ind w:right="54"/>
        <w:jc w:val="left"/>
        <w:rPr>
          <w:color w:val="000000"/>
          <w:szCs w:val="24"/>
          <w:u w:val="single"/>
        </w:rPr>
      </w:pPr>
      <w:r w:rsidRPr="001B7F77">
        <w:rPr>
          <w:b/>
          <w:bCs/>
          <w:szCs w:val="24"/>
          <w:u w:val="single"/>
        </w:rPr>
        <w:t>H103.8 Wrought iron.</w:t>
      </w:r>
      <w:r w:rsidRPr="001B7F77">
        <w:rPr>
          <w:szCs w:val="24"/>
          <w:u w:val="single"/>
        </w:rPr>
        <w:t xml:space="preserve"> For wrought iron, use the stress values in Table H103.8.</w:t>
      </w:r>
    </w:p>
    <w:p w14:paraId="5BCA30F3" w14:textId="77777777" w:rsidR="001B7F77" w:rsidRPr="001B7F77" w:rsidRDefault="001B7F77" w:rsidP="00FD2721">
      <w:pPr>
        <w:widowControl w:val="0"/>
        <w:suppressAutoHyphens/>
        <w:spacing w:before="120"/>
        <w:jc w:val="center"/>
        <w:outlineLvl w:val="0"/>
        <w:rPr>
          <w:b/>
          <w:bCs/>
          <w:szCs w:val="24"/>
          <w:u w:val="single"/>
        </w:rPr>
      </w:pPr>
      <w:r w:rsidRPr="001B7F77">
        <w:rPr>
          <w:b/>
          <w:bCs/>
          <w:szCs w:val="24"/>
          <w:u w:val="single"/>
        </w:rPr>
        <w:t>TABLE H103.8</w:t>
      </w:r>
      <w:r w:rsidRPr="001B7F77">
        <w:rPr>
          <w:b/>
          <w:bCs/>
          <w:szCs w:val="24"/>
          <w:u w:val="single"/>
        </w:rPr>
        <w:br/>
        <w:t>WROUGHT IRON ALLOWABLE STRESSES</w:t>
      </w:r>
    </w:p>
    <w:tbl>
      <w:tblPr>
        <w:tblW w:w="5000" w:type="pct"/>
        <w:tblCellMar>
          <w:top w:w="55" w:type="dxa"/>
          <w:left w:w="55" w:type="dxa"/>
          <w:bottom w:w="55" w:type="dxa"/>
          <w:right w:w="55" w:type="dxa"/>
        </w:tblCellMar>
        <w:tblLook w:val="04A0" w:firstRow="1" w:lastRow="0" w:firstColumn="1" w:lastColumn="0" w:noHBand="0" w:noVBand="1"/>
      </w:tblPr>
      <w:tblGrid>
        <w:gridCol w:w="2877"/>
        <w:gridCol w:w="2969"/>
        <w:gridCol w:w="3508"/>
      </w:tblGrid>
      <w:tr w:rsidR="001B7F77" w:rsidRPr="001B7F77" w14:paraId="08EEA478" w14:textId="77777777" w:rsidTr="006655A1">
        <w:trPr>
          <w:cantSplit/>
          <w:tblHeader/>
        </w:trPr>
        <w:tc>
          <w:tcPr>
            <w:tcW w:w="1538" w:type="pct"/>
            <w:tcBorders>
              <w:top w:val="single" w:sz="2" w:space="0" w:color="000000"/>
              <w:left w:val="single" w:sz="2" w:space="0" w:color="000000"/>
              <w:bottom w:val="single" w:sz="2" w:space="0" w:color="000000"/>
              <w:right w:val="nil"/>
            </w:tcBorders>
            <w:vAlign w:val="center"/>
            <w:hideMark/>
          </w:tcPr>
          <w:p w14:paraId="76C4CD5D" w14:textId="77777777" w:rsidR="001B7F77" w:rsidRPr="001B7F77" w:rsidRDefault="001B7F77" w:rsidP="00FD2721">
            <w:pPr>
              <w:widowControl w:val="0"/>
              <w:tabs>
                <w:tab w:val="left" w:pos="360"/>
              </w:tabs>
              <w:spacing w:before="120"/>
              <w:ind w:right="54"/>
              <w:jc w:val="center"/>
              <w:rPr>
                <w:rFonts w:eastAsia="Calibri"/>
                <w:b/>
                <w:bCs/>
                <w:szCs w:val="24"/>
                <w:u w:val="single"/>
              </w:rPr>
            </w:pPr>
            <w:r w:rsidRPr="001B7F77">
              <w:rPr>
                <w:rFonts w:eastAsia="Calibri"/>
                <w:b/>
                <w:bCs/>
                <w:color w:val="000000"/>
                <w:szCs w:val="24"/>
                <w:u w:val="single"/>
              </w:rPr>
              <w:t>Element</w:t>
            </w:r>
          </w:p>
        </w:tc>
        <w:tc>
          <w:tcPr>
            <w:tcW w:w="1587" w:type="pct"/>
            <w:tcBorders>
              <w:top w:val="single" w:sz="2" w:space="0" w:color="000000"/>
              <w:left w:val="single" w:sz="2" w:space="0" w:color="000000"/>
              <w:bottom w:val="single" w:sz="2" w:space="0" w:color="000000"/>
              <w:right w:val="nil"/>
            </w:tcBorders>
            <w:vAlign w:val="center"/>
            <w:hideMark/>
          </w:tcPr>
          <w:p w14:paraId="770768FC" w14:textId="77777777" w:rsidR="001B7F77" w:rsidRPr="001B7F77" w:rsidRDefault="001B7F77" w:rsidP="00FD2721">
            <w:pPr>
              <w:widowControl w:val="0"/>
              <w:tabs>
                <w:tab w:val="left" w:pos="360"/>
              </w:tabs>
              <w:spacing w:before="120"/>
              <w:ind w:right="54"/>
              <w:jc w:val="center"/>
              <w:rPr>
                <w:rFonts w:eastAsia="Calibri"/>
                <w:b/>
                <w:bCs/>
                <w:szCs w:val="24"/>
                <w:u w:val="single"/>
              </w:rPr>
            </w:pPr>
            <w:r w:rsidRPr="001B7F77">
              <w:rPr>
                <w:rFonts w:eastAsia="Calibri"/>
                <w:b/>
                <w:bCs/>
                <w:color w:val="000000"/>
                <w:szCs w:val="24"/>
                <w:u w:val="single"/>
              </w:rPr>
              <w:t>Stress Type</w:t>
            </w:r>
          </w:p>
        </w:tc>
        <w:tc>
          <w:tcPr>
            <w:tcW w:w="1875" w:type="pct"/>
            <w:tcBorders>
              <w:top w:val="single" w:sz="2" w:space="0" w:color="000000"/>
              <w:left w:val="single" w:sz="2" w:space="0" w:color="000000"/>
              <w:bottom w:val="single" w:sz="2" w:space="0" w:color="000000"/>
              <w:right w:val="single" w:sz="2" w:space="0" w:color="000000"/>
            </w:tcBorders>
            <w:vAlign w:val="center"/>
            <w:hideMark/>
          </w:tcPr>
          <w:p w14:paraId="725383A7" w14:textId="77777777" w:rsidR="001B7F77" w:rsidRPr="001B7F77" w:rsidRDefault="001B7F77" w:rsidP="00FD2721">
            <w:pPr>
              <w:widowControl w:val="0"/>
              <w:tabs>
                <w:tab w:val="left" w:pos="360"/>
              </w:tabs>
              <w:spacing w:before="120"/>
              <w:ind w:right="54"/>
              <w:jc w:val="center"/>
              <w:rPr>
                <w:rFonts w:eastAsia="Calibri"/>
                <w:b/>
                <w:bCs/>
                <w:szCs w:val="24"/>
                <w:u w:val="single"/>
              </w:rPr>
            </w:pPr>
            <w:r w:rsidRPr="001B7F77">
              <w:rPr>
                <w:rFonts w:eastAsia="Calibri"/>
                <w:b/>
                <w:bCs/>
                <w:szCs w:val="24"/>
                <w:u w:val="single"/>
              </w:rPr>
              <w:t>Allowable Working Stress (ksi)</w:t>
            </w:r>
          </w:p>
        </w:tc>
      </w:tr>
      <w:tr w:rsidR="001B7F77" w:rsidRPr="001B7F77" w14:paraId="4A9E436E" w14:textId="77777777" w:rsidTr="006655A1">
        <w:tc>
          <w:tcPr>
            <w:tcW w:w="1538" w:type="pct"/>
            <w:tcBorders>
              <w:top w:val="nil"/>
              <w:left w:val="single" w:sz="2" w:space="0" w:color="000000"/>
              <w:bottom w:val="single" w:sz="2" w:space="0" w:color="000000"/>
              <w:right w:val="nil"/>
            </w:tcBorders>
            <w:vAlign w:val="center"/>
            <w:hideMark/>
          </w:tcPr>
          <w:p w14:paraId="46283A61"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color w:val="000000"/>
                <w:szCs w:val="24"/>
                <w:u w:val="single"/>
              </w:rPr>
              <w:t>Shapes and plates</w:t>
            </w:r>
          </w:p>
        </w:tc>
        <w:tc>
          <w:tcPr>
            <w:tcW w:w="1587" w:type="pct"/>
            <w:tcBorders>
              <w:top w:val="nil"/>
              <w:left w:val="single" w:sz="2" w:space="0" w:color="000000"/>
              <w:bottom w:val="single" w:sz="2" w:space="0" w:color="000000"/>
              <w:right w:val="nil"/>
            </w:tcBorders>
            <w:vAlign w:val="center"/>
            <w:hideMark/>
          </w:tcPr>
          <w:p w14:paraId="10546A37"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color w:val="000000"/>
                <w:szCs w:val="24"/>
                <w:u w:val="single"/>
              </w:rPr>
              <w:t>Direct compression</w:t>
            </w:r>
          </w:p>
        </w:tc>
        <w:tc>
          <w:tcPr>
            <w:tcW w:w="1875" w:type="pct"/>
            <w:tcBorders>
              <w:top w:val="nil"/>
              <w:left w:val="single" w:sz="2" w:space="0" w:color="000000"/>
              <w:bottom w:val="single" w:sz="2" w:space="0" w:color="000000"/>
              <w:right w:val="single" w:sz="2" w:space="0" w:color="000000"/>
            </w:tcBorders>
            <w:vAlign w:val="center"/>
            <w:hideMark/>
          </w:tcPr>
          <w:p w14:paraId="117B84B1"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color w:val="000000"/>
                <w:szCs w:val="24"/>
                <w:u w:val="single"/>
              </w:rPr>
              <w:t>12</w:t>
            </w:r>
          </w:p>
        </w:tc>
      </w:tr>
      <w:tr w:rsidR="001B7F77" w:rsidRPr="001B7F77" w14:paraId="6FD5E0CD" w14:textId="77777777" w:rsidTr="006655A1">
        <w:tc>
          <w:tcPr>
            <w:tcW w:w="1538" w:type="pct"/>
            <w:tcBorders>
              <w:top w:val="nil"/>
              <w:left w:val="single" w:sz="2" w:space="0" w:color="000000"/>
              <w:bottom w:val="single" w:sz="2" w:space="0" w:color="000000"/>
              <w:right w:val="nil"/>
            </w:tcBorders>
            <w:vAlign w:val="center"/>
            <w:hideMark/>
          </w:tcPr>
          <w:p w14:paraId="348DB797"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Shapes and plates</w:t>
            </w:r>
          </w:p>
        </w:tc>
        <w:tc>
          <w:tcPr>
            <w:tcW w:w="1587" w:type="pct"/>
            <w:tcBorders>
              <w:top w:val="nil"/>
              <w:left w:val="single" w:sz="2" w:space="0" w:color="000000"/>
              <w:bottom w:val="single" w:sz="2" w:space="0" w:color="000000"/>
              <w:right w:val="nil"/>
            </w:tcBorders>
            <w:vAlign w:val="center"/>
            <w:hideMark/>
          </w:tcPr>
          <w:p w14:paraId="3BC8F386"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Tension</w:t>
            </w:r>
          </w:p>
        </w:tc>
        <w:tc>
          <w:tcPr>
            <w:tcW w:w="1875" w:type="pct"/>
            <w:tcBorders>
              <w:top w:val="nil"/>
              <w:left w:val="single" w:sz="2" w:space="0" w:color="000000"/>
              <w:bottom w:val="single" w:sz="2" w:space="0" w:color="000000"/>
              <w:right w:val="single" w:sz="2" w:space="0" w:color="000000"/>
            </w:tcBorders>
            <w:vAlign w:val="center"/>
            <w:hideMark/>
          </w:tcPr>
          <w:p w14:paraId="27332317"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12</w:t>
            </w:r>
          </w:p>
        </w:tc>
      </w:tr>
      <w:tr w:rsidR="001B7F77" w:rsidRPr="001B7F77" w14:paraId="447D2BE9" w14:textId="77777777" w:rsidTr="006655A1">
        <w:tc>
          <w:tcPr>
            <w:tcW w:w="1538" w:type="pct"/>
            <w:tcBorders>
              <w:top w:val="nil"/>
              <w:left w:val="single" w:sz="2" w:space="0" w:color="000000"/>
              <w:bottom w:val="single" w:sz="2" w:space="0" w:color="000000"/>
              <w:right w:val="nil"/>
            </w:tcBorders>
            <w:vAlign w:val="center"/>
            <w:hideMark/>
          </w:tcPr>
          <w:p w14:paraId="7B1E0231"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Shapes and plates</w:t>
            </w:r>
          </w:p>
        </w:tc>
        <w:tc>
          <w:tcPr>
            <w:tcW w:w="1587" w:type="pct"/>
            <w:tcBorders>
              <w:top w:val="nil"/>
              <w:left w:val="single" w:sz="2" w:space="0" w:color="000000"/>
              <w:bottom w:val="single" w:sz="2" w:space="0" w:color="000000"/>
              <w:right w:val="nil"/>
            </w:tcBorders>
            <w:vAlign w:val="center"/>
            <w:hideMark/>
          </w:tcPr>
          <w:p w14:paraId="49471D64"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Shear</w:t>
            </w:r>
          </w:p>
        </w:tc>
        <w:tc>
          <w:tcPr>
            <w:tcW w:w="1875" w:type="pct"/>
            <w:tcBorders>
              <w:top w:val="nil"/>
              <w:left w:val="single" w:sz="2" w:space="0" w:color="000000"/>
              <w:bottom w:val="single" w:sz="2" w:space="0" w:color="000000"/>
              <w:right w:val="single" w:sz="2" w:space="0" w:color="000000"/>
            </w:tcBorders>
            <w:vAlign w:val="center"/>
            <w:hideMark/>
          </w:tcPr>
          <w:p w14:paraId="483F6E74"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6</w:t>
            </w:r>
          </w:p>
        </w:tc>
      </w:tr>
      <w:tr w:rsidR="001B7F77" w:rsidRPr="001B7F77" w14:paraId="15A1F4BB" w14:textId="77777777" w:rsidTr="006655A1">
        <w:tc>
          <w:tcPr>
            <w:tcW w:w="1538" w:type="pct"/>
            <w:tcBorders>
              <w:top w:val="nil"/>
              <w:left w:val="single" w:sz="2" w:space="0" w:color="000000"/>
              <w:bottom w:val="single" w:sz="2" w:space="0" w:color="000000"/>
              <w:right w:val="nil"/>
            </w:tcBorders>
            <w:vAlign w:val="center"/>
            <w:hideMark/>
          </w:tcPr>
          <w:p w14:paraId="110A6656"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Rivets</w:t>
            </w:r>
          </w:p>
        </w:tc>
        <w:tc>
          <w:tcPr>
            <w:tcW w:w="1587" w:type="pct"/>
            <w:tcBorders>
              <w:top w:val="nil"/>
              <w:left w:val="single" w:sz="2" w:space="0" w:color="000000"/>
              <w:bottom w:val="single" w:sz="2" w:space="0" w:color="000000"/>
              <w:right w:val="nil"/>
            </w:tcBorders>
            <w:vAlign w:val="center"/>
            <w:hideMark/>
          </w:tcPr>
          <w:p w14:paraId="570498CE"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Shear</w:t>
            </w:r>
          </w:p>
        </w:tc>
        <w:tc>
          <w:tcPr>
            <w:tcW w:w="1875" w:type="pct"/>
            <w:tcBorders>
              <w:top w:val="nil"/>
              <w:left w:val="single" w:sz="2" w:space="0" w:color="000000"/>
              <w:bottom w:val="single" w:sz="2" w:space="0" w:color="000000"/>
              <w:right w:val="single" w:sz="2" w:space="0" w:color="000000"/>
            </w:tcBorders>
            <w:vAlign w:val="center"/>
            <w:hideMark/>
          </w:tcPr>
          <w:p w14:paraId="6666ED14"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6</w:t>
            </w:r>
          </w:p>
        </w:tc>
      </w:tr>
      <w:tr w:rsidR="001B7F77" w:rsidRPr="001B7F77" w14:paraId="32D15129" w14:textId="77777777" w:rsidTr="006655A1">
        <w:tc>
          <w:tcPr>
            <w:tcW w:w="1538" w:type="pct"/>
            <w:tcBorders>
              <w:top w:val="nil"/>
              <w:left w:val="single" w:sz="2" w:space="0" w:color="000000"/>
              <w:bottom w:val="single" w:sz="2" w:space="0" w:color="000000"/>
              <w:right w:val="nil"/>
            </w:tcBorders>
            <w:vAlign w:val="center"/>
            <w:hideMark/>
          </w:tcPr>
          <w:p w14:paraId="013662F5"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Bolts</w:t>
            </w:r>
          </w:p>
        </w:tc>
        <w:tc>
          <w:tcPr>
            <w:tcW w:w="1587" w:type="pct"/>
            <w:tcBorders>
              <w:top w:val="nil"/>
              <w:left w:val="single" w:sz="2" w:space="0" w:color="000000"/>
              <w:bottom w:val="single" w:sz="2" w:space="0" w:color="000000"/>
              <w:right w:val="nil"/>
            </w:tcBorders>
            <w:vAlign w:val="center"/>
            <w:hideMark/>
          </w:tcPr>
          <w:p w14:paraId="1E7F0D40"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Shear</w:t>
            </w:r>
          </w:p>
        </w:tc>
        <w:tc>
          <w:tcPr>
            <w:tcW w:w="1875" w:type="pct"/>
            <w:tcBorders>
              <w:top w:val="nil"/>
              <w:left w:val="single" w:sz="2" w:space="0" w:color="000000"/>
              <w:bottom w:val="single" w:sz="2" w:space="0" w:color="000000"/>
              <w:right w:val="single" w:sz="2" w:space="0" w:color="000000"/>
            </w:tcBorders>
            <w:vAlign w:val="center"/>
            <w:hideMark/>
          </w:tcPr>
          <w:p w14:paraId="0B2C053B" w14:textId="77777777" w:rsidR="001B7F77" w:rsidRPr="001B7F77" w:rsidRDefault="001B7F77" w:rsidP="00FD2721">
            <w:pPr>
              <w:widowControl w:val="0"/>
              <w:tabs>
                <w:tab w:val="left" w:pos="360"/>
              </w:tabs>
              <w:spacing w:before="120"/>
              <w:ind w:right="54"/>
              <w:jc w:val="center"/>
              <w:rPr>
                <w:rFonts w:eastAsia="Calibri"/>
                <w:szCs w:val="24"/>
                <w:u w:val="single"/>
              </w:rPr>
            </w:pPr>
            <w:r w:rsidRPr="001B7F77">
              <w:rPr>
                <w:rFonts w:eastAsia="Calibri"/>
                <w:szCs w:val="24"/>
                <w:u w:val="single"/>
              </w:rPr>
              <w:t>5.5</w:t>
            </w:r>
          </w:p>
        </w:tc>
      </w:tr>
    </w:tbl>
    <w:p w14:paraId="23234DE0" w14:textId="77777777" w:rsidR="001B7F77" w:rsidRDefault="001B7F77" w:rsidP="001B7F77">
      <w:pPr>
        <w:suppressLineNumber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spacing w:before="120"/>
        <w:rPr>
          <w:szCs w:val="24"/>
          <w:u w:val="single"/>
        </w:rPr>
      </w:pPr>
    </w:p>
    <w:p w14:paraId="1D797EB8" w14:textId="77777777" w:rsidR="00C26C23" w:rsidRDefault="00C26C23" w:rsidP="001B7F77">
      <w:pPr>
        <w:suppressLineNumber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spacing w:before="120"/>
        <w:rPr>
          <w:szCs w:val="24"/>
          <w:u w:val="single"/>
        </w:rPr>
      </w:pPr>
    </w:p>
    <w:p w14:paraId="05511F9C" w14:textId="77777777" w:rsidR="00C26C23" w:rsidRPr="001B7F77" w:rsidRDefault="00C26C23" w:rsidP="001B7F77">
      <w:pPr>
        <w:suppressLineNumber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spacing w:before="120"/>
        <w:rPr>
          <w:szCs w:val="24"/>
          <w:u w:val="single"/>
        </w:rPr>
      </w:pPr>
    </w:p>
    <w:p w14:paraId="1C6F6082" w14:textId="6A387109" w:rsidR="001B7F77" w:rsidRPr="001B7F77" w:rsidRDefault="001B7F77" w:rsidP="001B7F77">
      <w:pPr>
        <w:suppressLineNumbers/>
        <w:suppressAutoHyphens/>
        <w:spacing w:before="120" w:line="480" w:lineRule="auto"/>
        <w:ind w:firstLine="1440"/>
        <w:rPr>
          <w:szCs w:val="24"/>
        </w:rPr>
      </w:pPr>
      <w:r w:rsidRPr="001B7F77">
        <w:rPr>
          <w:szCs w:val="24"/>
        </w:rPr>
        <w:t>§ 3. Notwithstanding any other law or rule, tables, figures or equations in PDF or other electronic format to be added to the New York city existing building code need not be underlined to denote new matter being added. The absence of underlining to denote new matter</w:t>
      </w:r>
      <w:r w:rsidR="0068283E">
        <w:rPr>
          <w:szCs w:val="24"/>
        </w:rPr>
        <w:t xml:space="preserve"> </w:t>
      </w:r>
      <w:r w:rsidRPr="001B7F77">
        <w:rPr>
          <w:szCs w:val="24"/>
        </w:rPr>
        <w:t xml:space="preserve">being added shall not affect the validity of new tables, figures or equations in PDF or other electronic format to be added to the New York city existing building code. </w:t>
      </w:r>
    </w:p>
    <w:p w14:paraId="48C4C287" w14:textId="627D3A45" w:rsidR="001B7F77" w:rsidRPr="00715C53" w:rsidRDefault="001B7F77" w:rsidP="00715C53">
      <w:pPr>
        <w:suppressLineNumber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spacing w:before="120" w:line="480" w:lineRule="auto"/>
        <w:ind w:firstLine="1440"/>
      </w:pPr>
      <w:r w:rsidRPr="001B7F77">
        <w:t>§ 4. This local law shall take effect on the same day as a local law amending the administrative code of the city of New York and the New York city construction codes, in relation to conforming provisions of such codes with provisions of the New York city existing building code, as added by section two of the local law that added this section, takes effect.</w:t>
      </w:r>
      <w:r>
        <w:br w:type="page"/>
      </w:r>
    </w:p>
    <w:p w14:paraId="274C4BBD" w14:textId="77777777" w:rsidR="0001508F" w:rsidRDefault="0001508F" w:rsidP="00FD2721">
      <w:pPr>
        <w:suppressLineNumbers/>
        <w:jc w:val="center"/>
        <w:rPr>
          <w:szCs w:val="24"/>
        </w:rPr>
      </w:pPr>
      <w:bookmarkStart w:id="280" w:name="_Hlk209624619"/>
    </w:p>
    <w:p w14:paraId="066C5AEA" w14:textId="77777777" w:rsidR="00FD2721" w:rsidRDefault="00FD2721" w:rsidP="00FD2721">
      <w:pPr>
        <w:widowControl w:val="0"/>
        <w:suppressLineNumbers/>
        <w:kinsoku w:val="0"/>
        <w:jc w:val="center"/>
        <w:rPr>
          <w:szCs w:val="24"/>
        </w:rPr>
      </w:pPr>
    </w:p>
    <w:p w14:paraId="53B14B48" w14:textId="77777777" w:rsidR="00FD2721" w:rsidRDefault="00FD2721" w:rsidP="00FD2721">
      <w:pPr>
        <w:widowControl w:val="0"/>
        <w:suppressLineNumbers/>
        <w:kinsoku w:val="0"/>
        <w:jc w:val="center"/>
        <w:rPr>
          <w:szCs w:val="24"/>
        </w:rPr>
      </w:pPr>
    </w:p>
    <w:p w14:paraId="379865D1" w14:textId="77777777" w:rsidR="00FD2721" w:rsidRDefault="00FD2721" w:rsidP="00FD2721">
      <w:pPr>
        <w:widowControl w:val="0"/>
        <w:suppressLineNumbers/>
        <w:kinsoku w:val="0"/>
        <w:jc w:val="center"/>
        <w:rPr>
          <w:szCs w:val="24"/>
        </w:rPr>
      </w:pPr>
    </w:p>
    <w:p w14:paraId="0FED05F8" w14:textId="77777777" w:rsidR="00FD2721" w:rsidRDefault="00FD2721" w:rsidP="00FD2721">
      <w:pPr>
        <w:widowControl w:val="0"/>
        <w:suppressLineNumbers/>
        <w:kinsoku w:val="0"/>
        <w:jc w:val="center"/>
        <w:rPr>
          <w:szCs w:val="24"/>
        </w:rPr>
      </w:pPr>
    </w:p>
    <w:p w14:paraId="028D2563" w14:textId="77777777" w:rsidR="00FD2721" w:rsidRDefault="00FD2721" w:rsidP="00FD2721">
      <w:pPr>
        <w:widowControl w:val="0"/>
        <w:suppressLineNumbers/>
        <w:kinsoku w:val="0"/>
        <w:jc w:val="center"/>
        <w:rPr>
          <w:szCs w:val="24"/>
        </w:rPr>
      </w:pPr>
    </w:p>
    <w:p w14:paraId="48CB1525" w14:textId="77777777" w:rsidR="00FD2721" w:rsidRDefault="00FD2721" w:rsidP="00FD2721">
      <w:pPr>
        <w:widowControl w:val="0"/>
        <w:suppressLineNumbers/>
        <w:kinsoku w:val="0"/>
        <w:jc w:val="center"/>
        <w:rPr>
          <w:szCs w:val="24"/>
        </w:rPr>
      </w:pPr>
    </w:p>
    <w:p w14:paraId="6BF38E73" w14:textId="77777777" w:rsidR="00FD2721" w:rsidRDefault="00FD2721" w:rsidP="00FD2721">
      <w:pPr>
        <w:widowControl w:val="0"/>
        <w:suppressLineNumbers/>
        <w:kinsoku w:val="0"/>
        <w:jc w:val="center"/>
        <w:rPr>
          <w:szCs w:val="24"/>
        </w:rPr>
      </w:pPr>
    </w:p>
    <w:p w14:paraId="1BE2A4D4" w14:textId="77777777" w:rsidR="00FD2721" w:rsidRDefault="00FD2721" w:rsidP="00FD2721">
      <w:pPr>
        <w:widowControl w:val="0"/>
        <w:suppressLineNumbers/>
        <w:kinsoku w:val="0"/>
        <w:jc w:val="center"/>
        <w:rPr>
          <w:szCs w:val="24"/>
        </w:rPr>
      </w:pPr>
    </w:p>
    <w:p w14:paraId="72B372DB" w14:textId="77777777" w:rsidR="00FD2721" w:rsidRDefault="00FD2721" w:rsidP="00FD2721">
      <w:pPr>
        <w:widowControl w:val="0"/>
        <w:suppressLineNumbers/>
        <w:kinsoku w:val="0"/>
        <w:jc w:val="center"/>
        <w:rPr>
          <w:szCs w:val="24"/>
        </w:rPr>
      </w:pPr>
    </w:p>
    <w:p w14:paraId="45E60A9F" w14:textId="77777777" w:rsidR="00FD2721" w:rsidRDefault="00FD2721" w:rsidP="00FD2721">
      <w:pPr>
        <w:widowControl w:val="0"/>
        <w:suppressLineNumbers/>
        <w:kinsoku w:val="0"/>
        <w:jc w:val="center"/>
        <w:rPr>
          <w:szCs w:val="24"/>
        </w:rPr>
      </w:pPr>
    </w:p>
    <w:p w14:paraId="6BA52266" w14:textId="77777777" w:rsidR="00FD2721" w:rsidRDefault="00FD2721" w:rsidP="00FD2721">
      <w:pPr>
        <w:widowControl w:val="0"/>
        <w:suppressLineNumbers/>
        <w:kinsoku w:val="0"/>
        <w:jc w:val="center"/>
        <w:rPr>
          <w:szCs w:val="24"/>
        </w:rPr>
      </w:pPr>
    </w:p>
    <w:p w14:paraId="35BAFD01" w14:textId="77777777" w:rsidR="00FD2721" w:rsidRDefault="00FD2721" w:rsidP="00FD2721">
      <w:pPr>
        <w:widowControl w:val="0"/>
        <w:suppressLineNumbers/>
        <w:kinsoku w:val="0"/>
        <w:jc w:val="center"/>
        <w:rPr>
          <w:szCs w:val="24"/>
        </w:rPr>
      </w:pPr>
    </w:p>
    <w:p w14:paraId="2D2B70AE" w14:textId="77777777" w:rsidR="00FD2721" w:rsidRDefault="00FD2721" w:rsidP="00FD2721">
      <w:pPr>
        <w:widowControl w:val="0"/>
        <w:suppressLineNumbers/>
        <w:kinsoku w:val="0"/>
        <w:jc w:val="center"/>
        <w:rPr>
          <w:szCs w:val="24"/>
        </w:rPr>
      </w:pPr>
    </w:p>
    <w:p w14:paraId="4223ED59" w14:textId="77777777" w:rsidR="00FD2721" w:rsidRDefault="00FD2721" w:rsidP="00FD2721">
      <w:pPr>
        <w:widowControl w:val="0"/>
        <w:suppressLineNumbers/>
        <w:kinsoku w:val="0"/>
        <w:jc w:val="center"/>
        <w:rPr>
          <w:szCs w:val="24"/>
        </w:rPr>
      </w:pPr>
    </w:p>
    <w:p w14:paraId="532C71FF" w14:textId="77777777" w:rsidR="00FD2721" w:rsidRDefault="00FD2721" w:rsidP="00FD2721">
      <w:pPr>
        <w:widowControl w:val="0"/>
        <w:suppressLineNumbers/>
        <w:kinsoku w:val="0"/>
        <w:jc w:val="center"/>
        <w:rPr>
          <w:szCs w:val="24"/>
        </w:rPr>
      </w:pPr>
    </w:p>
    <w:p w14:paraId="2A05BAA9" w14:textId="77777777" w:rsidR="00FD2721" w:rsidRDefault="00FD2721" w:rsidP="00FD2721">
      <w:pPr>
        <w:widowControl w:val="0"/>
        <w:suppressLineNumbers/>
        <w:kinsoku w:val="0"/>
        <w:jc w:val="center"/>
        <w:rPr>
          <w:szCs w:val="24"/>
        </w:rPr>
      </w:pPr>
    </w:p>
    <w:p w14:paraId="350254DD" w14:textId="77777777" w:rsidR="00FD2721" w:rsidRDefault="00FD2721" w:rsidP="00FD2721">
      <w:pPr>
        <w:widowControl w:val="0"/>
        <w:suppressLineNumbers/>
        <w:kinsoku w:val="0"/>
        <w:jc w:val="center"/>
        <w:rPr>
          <w:szCs w:val="24"/>
        </w:rPr>
      </w:pPr>
    </w:p>
    <w:p w14:paraId="68742A7D" w14:textId="77777777" w:rsidR="00FD2721" w:rsidRDefault="00FD2721" w:rsidP="00FD2721">
      <w:pPr>
        <w:widowControl w:val="0"/>
        <w:suppressLineNumbers/>
        <w:kinsoku w:val="0"/>
        <w:jc w:val="center"/>
        <w:rPr>
          <w:szCs w:val="24"/>
        </w:rPr>
      </w:pPr>
    </w:p>
    <w:p w14:paraId="34D0890A" w14:textId="513B0C64" w:rsidR="00FD2721" w:rsidRDefault="00FD2721" w:rsidP="00FD2721">
      <w:pPr>
        <w:widowControl w:val="0"/>
        <w:suppressLineNumbers/>
        <w:kinsoku w:val="0"/>
        <w:jc w:val="center"/>
        <w:rPr>
          <w:szCs w:val="24"/>
        </w:rPr>
      </w:pPr>
      <w:r>
        <w:rPr>
          <w:szCs w:val="24"/>
        </w:rPr>
        <w:t>[THIS PAGE INTENTIONALLY BLANK]</w:t>
      </w:r>
    </w:p>
    <w:p w14:paraId="5FA8F317" w14:textId="77777777" w:rsidR="00FD2721" w:rsidRDefault="00FD2721" w:rsidP="00FD2721">
      <w:pPr>
        <w:widowControl w:val="0"/>
        <w:suppressLineNumbers/>
        <w:kinsoku w:val="0"/>
        <w:jc w:val="center"/>
        <w:rPr>
          <w:szCs w:val="24"/>
        </w:rPr>
      </w:pPr>
    </w:p>
    <w:p w14:paraId="03A3B8EC" w14:textId="77777777" w:rsidR="00FD2721" w:rsidRDefault="00FD2721" w:rsidP="00FD2721">
      <w:pPr>
        <w:widowControl w:val="0"/>
        <w:suppressLineNumbers/>
        <w:kinsoku w:val="0"/>
        <w:jc w:val="center"/>
        <w:rPr>
          <w:szCs w:val="24"/>
        </w:rPr>
      </w:pPr>
    </w:p>
    <w:p w14:paraId="7A4DFA68" w14:textId="77777777" w:rsidR="00FD2721" w:rsidRDefault="00FD2721" w:rsidP="00FD2721">
      <w:pPr>
        <w:widowControl w:val="0"/>
        <w:suppressLineNumbers/>
        <w:kinsoku w:val="0"/>
        <w:jc w:val="center"/>
        <w:rPr>
          <w:szCs w:val="24"/>
        </w:rPr>
      </w:pPr>
    </w:p>
    <w:p w14:paraId="519D9EF2" w14:textId="77777777" w:rsidR="00FD2721" w:rsidRDefault="00FD2721" w:rsidP="00FD2721">
      <w:pPr>
        <w:widowControl w:val="0"/>
        <w:suppressLineNumbers/>
        <w:kinsoku w:val="0"/>
        <w:jc w:val="center"/>
        <w:rPr>
          <w:szCs w:val="24"/>
        </w:rPr>
      </w:pPr>
    </w:p>
    <w:p w14:paraId="1BB06989" w14:textId="77777777" w:rsidR="00FD2721" w:rsidRDefault="00FD2721" w:rsidP="00FD2721">
      <w:pPr>
        <w:widowControl w:val="0"/>
        <w:suppressLineNumbers/>
        <w:kinsoku w:val="0"/>
        <w:jc w:val="center"/>
        <w:rPr>
          <w:szCs w:val="24"/>
        </w:rPr>
      </w:pPr>
    </w:p>
    <w:p w14:paraId="3AA3D803" w14:textId="77777777" w:rsidR="00FD2721" w:rsidRDefault="00FD2721" w:rsidP="00FD2721">
      <w:pPr>
        <w:widowControl w:val="0"/>
        <w:suppressLineNumbers/>
        <w:kinsoku w:val="0"/>
        <w:jc w:val="center"/>
        <w:rPr>
          <w:szCs w:val="24"/>
        </w:rPr>
      </w:pPr>
    </w:p>
    <w:p w14:paraId="0F61678B" w14:textId="77777777" w:rsidR="00FD2721" w:rsidRDefault="00FD2721" w:rsidP="00FD2721">
      <w:pPr>
        <w:widowControl w:val="0"/>
        <w:suppressLineNumbers/>
        <w:kinsoku w:val="0"/>
        <w:jc w:val="center"/>
        <w:rPr>
          <w:szCs w:val="24"/>
        </w:rPr>
      </w:pPr>
    </w:p>
    <w:p w14:paraId="486A4F8C" w14:textId="77777777" w:rsidR="00FD2721" w:rsidRDefault="00FD2721" w:rsidP="00FD2721">
      <w:pPr>
        <w:widowControl w:val="0"/>
        <w:suppressLineNumbers/>
        <w:kinsoku w:val="0"/>
        <w:jc w:val="center"/>
        <w:rPr>
          <w:szCs w:val="24"/>
        </w:rPr>
      </w:pPr>
    </w:p>
    <w:p w14:paraId="4621BF46" w14:textId="77777777" w:rsidR="00FD2721" w:rsidRDefault="00FD2721" w:rsidP="00FD2721">
      <w:pPr>
        <w:widowControl w:val="0"/>
        <w:suppressLineNumbers/>
        <w:kinsoku w:val="0"/>
        <w:jc w:val="center"/>
        <w:rPr>
          <w:szCs w:val="24"/>
        </w:rPr>
      </w:pPr>
    </w:p>
    <w:p w14:paraId="66FA83D8" w14:textId="77777777" w:rsidR="00FD2721" w:rsidRDefault="00FD2721" w:rsidP="00FD2721">
      <w:pPr>
        <w:widowControl w:val="0"/>
        <w:suppressLineNumbers/>
        <w:kinsoku w:val="0"/>
        <w:jc w:val="center"/>
        <w:rPr>
          <w:szCs w:val="24"/>
        </w:rPr>
      </w:pPr>
    </w:p>
    <w:p w14:paraId="40D83AD6" w14:textId="77777777" w:rsidR="00FD2721" w:rsidRDefault="00FD2721" w:rsidP="00FD2721">
      <w:pPr>
        <w:widowControl w:val="0"/>
        <w:suppressLineNumbers/>
        <w:kinsoku w:val="0"/>
        <w:jc w:val="center"/>
        <w:rPr>
          <w:szCs w:val="24"/>
        </w:rPr>
      </w:pPr>
    </w:p>
    <w:p w14:paraId="00B1A75D" w14:textId="77777777" w:rsidR="00FD2721" w:rsidRDefault="00FD2721" w:rsidP="00FD2721">
      <w:pPr>
        <w:widowControl w:val="0"/>
        <w:suppressLineNumbers/>
        <w:kinsoku w:val="0"/>
        <w:jc w:val="center"/>
        <w:rPr>
          <w:szCs w:val="24"/>
        </w:rPr>
      </w:pPr>
    </w:p>
    <w:p w14:paraId="3616E9C8" w14:textId="77777777" w:rsidR="00FD2721" w:rsidRDefault="00FD2721" w:rsidP="00FD2721">
      <w:pPr>
        <w:widowControl w:val="0"/>
        <w:suppressLineNumbers/>
        <w:kinsoku w:val="0"/>
        <w:jc w:val="center"/>
        <w:rPr>
          <w:szCs w:val="24"/>
        </w:rPr>
      </w:pPr>
    </w:p>
    <w:p w14:paraId="4B3F17FF" w14:textId="77777777" w:rsidR="00FD2721" w:rsidRDefault="00FD2721" w:rsidP="00FD2721">
      <w:pPr>
        <w:widowControl w:val="0"/>
        <w:suppressLineNumbers/>
        <w:kinsoku w:val="0"/>
        <w:jc w:val="center"/>
        <w:rPr>
          <w:szCs w:val="24"/>
        </w:rPr>
      </w:pPr>
    </w:p>
    <w:p w14:paraId="2F44D4D5" w14:textId="77777777" w:rsidR="00FD2721" w:rsidRDefault="00FD2721" w:rsidP="00FD2721">
      <w:pPr>
        <w:widowControl w:val="0"/>
        <w:suppressLineNumbers/>
        <w:kinsoku w:val="0"/>
        <w:jc w:val="center"/>
        <w:rPr>
          <w:szCs w:val="24"/>
        </w:rPr>
      </w:pPr>
    </w:p>
    <w:p w14:paraId="1836298B" w14:textId="77777777" w:rsidR="00FD2721" w:rsidRDefault="00FD2721" w:rsidP="00FD2721">
      <w:pPr>
        <w:widowControl w:val="0"/>
        <w:suppressLineNumbers/>
        <w:kinsoku w:val="0"/>
        <w:jc w:val="center"/>
        <w:rPr>
          <w:szCs w:val="24"/>
        </w:rPr>
      </w:pPr>
    </w:p>
    <w:p w14:paraId="33B1EDD1" w14:textId="77777777" w:rsidR="00FD2721" w:rsidRDefault="00FD2721" w:rsidP="00FD2721">
      <w:pPr>
        <w:widowControl w:val="0"/>
        <w:suppressLineNumbers/>
        <w:kinsoku w:val="0"/>
        <w:jc w:val="center"/>
        <w:rPr>
          <w:szCs w:val="24"/>
        </w:rPr>
      </w:pPr>
    </w:p>
    <w:p w14:paraId="1955846D" w14:textId="77777777" w:rsidR="00FD2721" w:rsidRDefault="00FD2721" w:rsidP="00FD2721">
      <w:pPr>
        <w:widowControl w:val="0"/>
        <w:suppressLineNumbers/>
        <w:kinsoku w:val="0"/>
        <w:jc w:val="center"/>
        <w:rPr>
          <w:szCs w:val="24"/>
        </w:rPr>
      </w:pPr>
    </w:p>
    <w:p w14:paraId="079037FB" w14:textId="77777777" w:rsidR="00FD2721" w:rsidRDefault="00FD2721" w:rsidP="00FD2721">
      <w:pPr>
        <w:widowControl w:val="0"/>
        <w:suppressLineNumbers/>
        <w:kinsoku w:val="0"/>
        <w:jc w:val="center"/>
        <w:rPr>
          <w:szCs w:val="24"/>
        </w:rPr>
      </w:pPr>
    </w:p>
    <w:p w14:paraId="65D2E7AF" w14:textId="77777777" w:rsidR="00FD2721" w:rsidRDefault="00FD2721" w:rsidP="00FD2721">
      <w:pPr>
        <w:widowControl w:val="0"/>
        <w:suppressLineNumbers/>
        <w:kinsoku w:val="0"/>
        <w:jc w:val="center"/>
        <w:rPr>
          <w:szCs w:val="24"/>
        </w:rPr>
      </w:pPr>
    </w:p>
    <w:p w14:paraId="4AFCF839" w14:textId="77777777" w:rsidR="00FD2721" w:rsidRDefault="00FD2721" w:rsidP="00FD2721">
      <w:pPr>
        <w:widowControl w:val="0"/>
        <w:suppressLineNumbers/>
        <w:kinsoku w:val="0"/>
        <w:jc w:val="center"/>
        <w:rPr>
          <w:szCs w:val="24"/>
        </w:rPr>
      </w:pPr>
    </w:p>
    <w:p w14:paraId="4BA0CB15" w14:textId="77777777" w:rsidR="00FD2721" w:rsidRDefault="00FD2721" w:rsidP="00FD2721">
      <w:pPr>
        <w:widowControl w:val="0"/>
        <w:suppressLineNumbers/>
        <w:kinsoku w:val="0"/>
        <w:jc w:val="center"/>
        <w:rPr>
          <w:szCs w:val="24"/>
        </w:rPr>
      </w:pPr>
    </w:p>
    <w:p w14:paraId="5AD89F6C" w14:textId="77777777" w:rsidR="00FD2721" w:rsidRDefault="00FD2721" w:rsidP="00FD2721">
      <w:pPr>
        <w:widowControl w:val="0"/>
        <w:suppressLineNumbers/>
        <w:kinsoku w:val="0"/>
        <w:jc w:val="center"/>
        <w:rPr>
          <w:szCs w:val="24"/>
        </w:rPr>
      </w:pPr>
    </w:p>
    <w:p w14:paraId="26E840E3" w14:textId="77777777" w:rsidR="00FD2721" w:rsidRDefault="00FD2721" w:rsidP="00FD2721">
      <w:pPr>
        <w:widowControl w:val="0"/>
        <w:suppressLineNumbers/>
        <w:kinsoku w:val="0"/>
        <w:jc w:val="center"/>
        <w:rPr>
          <w:szCs w:val="24"/>
        </w:rPr>
      </w:pPr>
    </w:p>
    <w:p w14:paraId="36B05682" w14:textId="77777777" w:rsidR="00FD2721" w:rsidRDefault="00FD2721" w:rsidP="00FD2721">
      <w:pPr>
        <w:widowControl w:val="0"/>
        <w:suppressLineNumbers/>
        <w:kinsoku w:val="0"/>
        <w:jc w:val="center"/>
        <w:rPr>
          <w:szCs w:val="24"/>
        </w:rPr>
      </w:pPr>
    </w:p>
    <w:p w14:paraId="43EA5E35" w14:textId="77777777" w:rsidR="00FD2721" w:rsidRDefault="00FD2721" w:rsidP="00FD2721">
      <w:pPr>
        <w:widowControl w:val="0"/>
        <w:suppressLineNumbers/>
        <w:kinsoku w:val="0"/>
        <w:jc w:val="center"/>
        <w:rPr>
          <w:szCs w:val="24"/>
        </w:rPr>
      </w:pPr>
    </w:p>
    <w:p w14:paraId="38027508" w14:textId="6F7A5A62" w:rsidR="0001508F" w:rsidRPr="0001508F" w:rsidRDefault="0001508F" w:rsidP="00FD2721">
      <w:pPr>
        <w:widowControl w:val="0"/>
        <w:suppressLineNumbers/>
        <w:kinsoku w:val="0"/>
        <w:jc w:val="center"/>
        <w:rPr>
          <w:szCs w:val="24"/>
        </w:rPr>
      </w:pPr>
      <w:r w:rsidRPr="0001508F">
        <w:rPr>
          <w:szCs w:val="24"/>
        </w:rPr>
        <w:t>Int. No. 1422</w:t>
      </w:r>
    </w:p>
    <w:p w14:paraId="515076E4" w14:textId="77777777" w:rsidR="0001508F" w:rsidRPr="0001508F" w:rsidRDefault="0001508F" w:rsidP="00FD2721">
      <w:pPr>
        <w:widowControl w:val="0"/>
        <w:suppressLineNumbers/>
        <w:kinsoku w:val="0"/>
        <w:jc w:val="left"/>
        <w:rPr>
          <w:szCs w:val="24"/>
        </w:rPr>
      </w:pPr>
    </w:p>
    <w:p w14:paraId="16EDF181" w14:textId="77777777" w:rsidR="0001508F" w:rsidRPr="0001508F" w:rsidRDefault="0001508F" w:rsidP="00FD2721">
      <w:pPr>
        <w:widowControl w:val="0"/>
        <w:suppressLineNumbers/>
        <w:kinsoku w:val="0"/>
        <w:rPr>
          <w:szCs w:val="24"/>
        </w:rPr>
      </w:pPr>
      <w:r w:rsidRPr="0001508F">
        <w:rPr>
          <w:szCs w:val="24"/>
        </w:rPr>
        <w:t>By Council Members Sanchez and Louis (by request of the Mayor)</w:t>
      </w:r>
    </w:p>
    <w:p w14:paraId="4156B230" w14:textId="77777777" w:rsidR="0001508F" w:rsidRPr="0001508F" w:rsidRDefault="0001508F" w:rsidP="00FD2721">
      <w:pPr>
        <w:widowControl w:val="0"/>
        <w:suppressLineNumbers/>
        <w:kinsoku w:val="0"/>
        <w:rPr>
          <w:szCs w:val="24"/>
        </w:rPr>
      </w:pPr>
    </w:p>
    <w:p w14:paraId="35FEAA7D" w14:textId="77777777" w:rsidR="0001508F" w:rsidRPr="0001508F" w:rsidRDefault="0001508F" w:rsidP="00FD2721">
      <w:pPr>
        <w:widowControl w:val="0"/>
        <w:suppressLineNumbers/>
        <w:kinsoku w:val="0"/>
        <w:rPr>
          <w:vanish/>
          <w:szCs w:val="24"/>
        </w:rPr>
      </w:pPr>
      <w:r w:rsidRPr="0001508F">
        <w:rPr>
          <w:vanish/>
          <w:szCs w:val="24"/>
        </w:rPr>
        <w:t>..Title</w:t>
      </w:r>
    </w:p>
    <w:p w14:paraId="05DF4917" w14:textId="77777777" w:rsidR="0001508F" w:rsidRPr="0001508F" w:rsidRDefault="0001508F" w:rsidP="00FD2721">
      <w:pPr>
        <w:widowControl w:val="0"/>
        <w:suppressLineNumbers/>
        <w:kinsoku w:val="0"/>
        <w:rPr>
          <w:szCs w:val="24"/>
        </w:rPr>
      </w:pPr>
      <w:r w:rsidRPr="0001508F">
        <w:rPr>
          <w:szCs w:val="24"/>
        </w:rPr>
        <w:t xml:space="preserve">A Local Law to amend the administrative code of the city of New York and the New York city construction codes, in relation to conforming provisions of such codes with provisions of the New York city existing building code and electrical and elevator inspections; and repealing </w:t>
      </w:r>
      <w:r w:rsidRPr="0001508F">
        <w:rPr>
          <w:rFonts w:eastAsia="Calibri"/>
          <w:szCs w:val="24"/>
        </w:rPr>
        <w:t xml:space="preserve">sections 28-120.1.1, 28-120.1.2, 28-120.1.3, 28-120.2, 28-120.3, 28-316.1 of the administrative code of the city of New York; sections </w:t>
      </w:r>
      <w:r w:rsidRPr="0001508F">
        <w:rPr>
          <w:szCs w:val="24"/>
        </w:rPr>
        <w:t xml:space="preserve">102.6, 106.10, </w:t>
      </w:r>
      <w:r w:rsidRPr="0001508F">
        <w:rPr>
          <w:bCs/>
          <w:szCs w:val="24"/>
        </w:rPr>
        <w:t xml:space="preserve">901.9.1, 901.9.1.1, 901.9.2, 901.9.3, 901.9.4, 901.9.4.1, 901.9.4.2, 901.9.4.3, 901.9.5, 901.9.5.1, 901.9.5.3, 901.9.5.4, 901.9.6, 1101.3.1, 1101.3.2, 1101.3.3, 1101.3.4, 1101.3.5, 1101.3.5.1, 1101.3.5.2, 1101.4, 1601.2.1, 1601.2.2, 1601.2.3, 1601.2.4, 3001.11.1, 3303.10.3, D102, D103, D104, and D105 </w:t>
      </w:r>
      <w:r w:rsidRPr="0001508F">
        <w:rPr>
          <w:szCs w:val="24"/>
        </w:rPr>
        <w:t xml:space="preserve"> of the New York city building code; </w:t>
      </w:r>
      <w:r w:rsidRPr="0001508F">
        <w:rPr>
          <w:bCs/>
          <w:szCs w:val="24"/>
        </w:rPr>
        <w:t xml:space="preserve">sections 102.2.1, 102.4.2.1, 102.4.2.2, 102.4.2.3, and 102.4.2.4 of the New York city fuel gas code; sections 102.4.2.1, 102.4.2.2, 102.4.2.3, 102.4.2.4, 102.4.2.5, 102.4.2.6, 1305.9.13 and 1305.16.1  of the New York city mechanical code; and sections 102.2.1, 102.2.2, 102.4.2.1, 102.4.2.2, 102.4.2.3, 601.3, 601.5 and 701.2.5 of the New York city plumbing code, relating to </w:t>
      </w:r>
      <w:r w:rsidRPr="0001508F">
        <w:rPr>
          <w:szCs w:val="24"/>
        </w:rPr>
        <w:t>conforming provisions of such codes with provisions of the New York city existing building code</w:t>
      </w:r>
    </w:p>
    <w:p w14:paraId="6203BC5D" w14:textId="77777777" w:rsidR="0001508F" w:rsidRPr="0001508F" w:rsidRDefault="0001508F" w:rsidP="00FD2721">
      <w:pPr>
        <w:widowControl w:val="0"/>
        <w:suppressLineNumbers/>
        <w:kinsoku w:val="0"/>
        <w:rPr>
          <w:vanish/>
          <w:szCs w:val="24"/>
        </w:rPr>
      </w:pPr>
      <w:r w:rsidRPr="0001508F">
        <w:rPr>
          <w:vanish/>
          <w:szCs w:val="24"/>
        </w:rPr>
        <w:t>..Body</w:t>
      </w:r>
    </w:p>
    <w:p w14:paraId="445E20CA" w14:textId="77777777" w:rsidR="0001508F" w:rsidRPr="0001508F" w:rsidRDefault="0001508F" w:rsidP="00FD2721">
      <w:pPr>
        <w:suppressLineNumbers/>
        <w:suppressAutoHyphens/>
        <w:spacing w:line="480" w:lineRule="auto"/>
        <w:rPr>
          <w:szCs w:val="24"/>
          <w:u w:val="single"/>
        </w:rPr>
      </w:pPr>
    </w:p>
    <w:p w14:paraId="6A1CB986" w14:textId="77777777" w:rsidR="0001508F" w:rsidRPr="0001508F" w:rsidRDefault="0001508F" w:rsidP="00FD2721">
      <w:pPr>
        <w:suppressLineNumbers/>
        <w:suppressAutoHyphens/>
        <w:spacing w:line="480" w:lineRule="auto"/>
        <w:rPr>
          <w:szCs w:val="24"/>
          <w:u w:val="single"/>
        </w:rPr>
      </w:pPr>
      <w:r w:rsidRPr="0001508F">
        <w:rPr>
          <w:szCs w:val="24"/>
          <w:u w:val="single"/>
        </w:rPr>
        <w:t>Be it enacted by the Council as follows:</w:t>
      </w:r>
    </w:p>
    <w:p w14:paraId="6B064935" w14:textId="77777777" w:rsidR="0001508F" w:rsidRPr="0001508F" w:rsidRDefault="0001508F" w:rsidP="0001508F">
      <w:pPr>
        <w:suppressAutoHyphens/>
        <w:spacing w:after="240" w:line="480" w:lineRule="auto"/>
        <w:rPr>
          <w:szCs w:val="24"/>
          <w:u w:val="single"/>
        </w:rPr>
        <w:sectPr w:rsidR="0001508F" w:rsidRPr="0001508F" w:rsidSect="00FD2721">
          <w:footerReference w:type="default" r:id="rId94"/>
          <w:type w:val="continuous"/>
          <w:pgSz w:w="12240" w:h="15840"/>
          <w:pgMar w:top="1440" w:right="1440" w:bottom="1440" w:left="1440" w:header="720" w:footer="720" w:gutter="0"/>
          <w:lnNumType w:countBy="1"/>
          <w:cols w:space="720"/>
          <w:docGrid w:linePitch="360"/>
        </w:sectPr>
      </w:pPr>
    </w:p>
    <w:p w14:paraId="6B3355EF" w14:textId="77777777" w:rsidR="0001508F" w:rsidRPr="0001508F" w:rsidRDefault="0001508F" w:rsidP="0001508F">
      <w:pPr>
        <w:suppressAutoHyphens/>
        <w:spacing w:line="480" w:lineRule="auto"/>
        <w:ind w:firstLine="720"/>
        <w:rPr>
          <w:szCs w:val="24"/>
        </w:rPr>
      </w:pPr>
      <w:r w:rsidRPr="0001508F">
        <w:rPr>
          <w:szCs w:val="24"/>
        </w:rPr>
        <w:t>Section 1.  Section 101.1 of the administrative code of the city of New York as amended by local law number 128 for the year 2024 is amended to read as follows:</w:t>
      </w:r>
    </w:p>
    <w:p w14:paraId="2B74B061" w14:textId="77777777" w:rsidR="0001508F" w:rsidRPr="0001508F" w:rsidRDefault="0001508F" w:rsidP="0001508F">
      <w:pPr>
        <w:widowControl w:val="0"/>
        <w:kinsoku w:val="0"/>
        <w:spacing w:before="120" w:after="120"/>
        <w:rPr>
          <w:spacing w:val="1"/>
          <w:szCs w:val="24"/>
        </w:rPr>
      </w:pPr>
      <w:r w:rsidRPr="0001508F">
        <w:rPr>
          <w:b/>
          <w:szCs w:val="24"/>
        </w:rPr>
        <w:t>§28-101.1 Title.</w:t>
      </w:r>
      <w:r w:rsidRPr="0001508F">
        <w:rPr>
          <w:b/>
          <w:bCs/>
          <w:w w:val="110"/>
          <w:szCs w:val="24"/>
        </w:rPr>
        <w:t xml:space="preserve"> </w:t>
      </w:r>
      <w:r w:rsidRPr="0001508F">
        <w:rPr>
          <w:spacing w:val="1"/>
          <w:szCs w:val="24"/>
        </w:rPr>
        <w:t>The provisions of this chapter shall apply to the administration of the codes set forth in this title[</w:t>
      </w:r>
      <w:r w:rsidRPr="0001508F">
        <w:rPr>
          <w:strike/>
          <w:spacing w:val="1"/>
          <w:szCs w:val="24"/>
        </w:rPr>
        <w:t>and the 1968 building code</w:t>
      </w:r>
      <w:r w:rsidRPr="0001508F">
        <w:rPr>
          <w:spacing w:val="1"/>
          <w:szCs w:val="24"/>
        </w:rPr>
        <w:t>]. This title shall be known and may be cited as the “New York city construction codes” and includes:</w:t>
      </w:r>
    </w:p>
    <w:p w14:paraId="369F4B23" w14:textId="77777777" w:rsidR="0001508F" w:rsidRPr="0001508F" w:rsidRDefault="0001508F" w:rsidP="0001508F">
      <w:pPr>
        <w:widowControl w:val="0"/>
        <w:kinsoku w:val="0"/>
        <w:spacing w:before="120" w:after="120"/>
        <w:ind w:left="360"/>
        <w:rPr>
          <w:spacing w:val="1"/>
          <w:szCs w:val="24"/>
        </w:rPr>
      </w:pPr>
      <w:r w:rsidRPr="0001508F">
        <w:rPr>
          <w:spacing w:val="1"/>
          <w:szCs w:val="24"/>
        </w:rPr>
        <w:t>The New York city plumbing code.</w:t>
      </w:r>
    </w:p>
    <w:p w14:paraId="181245A6" w14:textId="77777777" w:rsidR="0001508F" w:rsidRPr="0001508F" w:rsidRDefault="0001508F" w:rsidP="0001508F">
      <w:pPr>
        <w:widowControl w:val="0"/>
        <w:kinsoku w:val="0"/>
        <w:spacing w:before="120" w:after="120"/>
        <w:ind w:left="360"/>
        <w:rPr>
          <w:spacing w:val="1"/>
          <w:szCs w:val="24"/>
        </w:rPr>
      </w:pPr>
      <w:r w:rsidRPr="0001508F">
        <w:rPr>
          <w:spacing w:val="1"/>
          <w:szCs w:val="24"/>
        </w:rPr>
        <w:t>The New York city building code.</w:t>
      </w:r>
    </w:p>
    <w:p w14:paraId="1006B32B" w14:textId="77777777" w:rsidR="0001508F" w:rsidRPr="0001508F" w:rsidRDefault="0001508F" w:rsidP="0001508F">
      <w:pPr>
        <w:widowControl w:val="0"/>
        <w:kinsoku w:val="0"/>
        <w:spacing w:before="120" w:after="120"/>
        <w:ind w:left="360"/>
        <w:rPr>
          <w:spacing w:val="1"/>
          <w:szCs w:val="24"/>
        </w:rPr>
      </w:pPr>
      <w:r w:rsidRPr="0001508F">
        <w:rPr>
          <w:spacing w:val="1"/>
          <w:szCs w:val="24"/>
        </w:rPr>
        <w:t>The New York city mechanical code.</w:t>
      </w:r>
    </w:p>
    <w:p w14:paraId="6C14457F" w14:textId="77777777" w:rsidR="0001508F" w:rsidRPr="0001508F" w:rsidRDefault="0001508F" w:rsidP="0001508F">
      <w:pPr>
        <w:widowControl w:val="0"/>
        <w:kinsoku w:val="0"/>
        <w:spacing w:before="120" w:after="120"/>
        <w:ind w:left="360"/>
        <w:rPr>
          <w:spacing w:val="1"/>
          <w:szCs w:val="24"/>
        </w:rPr>
      </w:pPr>
      <w:r w:rsidRPr="0001508F">
        <w:rPr>
          <w:spacing w:val="1"/>
          <w:szCs w:val="24"/>
        </w:rPr>
        <w:t>The New York city fuel gas code.</w:t>
      </w:r>
    </w:p>
    <w:p w14:paraId="60BB00E9" w14:textId="77777777" w:rsidR="0001508F" w:rsidRPr="0001508F" w:rsidRDefault="0001508F" w:rsidP="0001508F">
      <w:pPr>
        <w:widowControl w:val="0"/>
        <w:kinsoku w:val="0"/>
        <w:spacing w:before="120" w:after="120"/>
        <w:ind w:left="360"/>
        <w:rPr>
          <w:spacing w:val="1"/>
          <w:szCs w:val="24"/>
        </w:rPr>
      </w:pPr>
      <w:r w:rsidRPr="0001508F">
        <w:rPr>
          <w:spacing w:val="1"/>
          <w:szCs w:val="24"/>
        </w:rPr>
        <w:t>The New York city energy conservation code.</w:t>
      </w:r>
    </w:p>
    <w:p w14:paraId="011EDA84" w14:textId="77777777" w:rsidR="0001508F" w:rsidRPr="0001508F" w:rsidRDefault="0001508F" w:rsidP="0001508F">
      <w:pPr>
        <w:widowControl w:val="0"/>
        <w:kinsoku w:val="0"/>
        <w:spacing w:before="120" w:after="120"/>
        <w:ind w:left="360"/>
        <w:rPr>
          <w:spacing w:val="1"/>
          <w:szCs w:val="24"/>
        </w:rPr>
      </w:pPr>
      <w:r w:rsidRPr="0001508F">
        <w:rPr>
          <w:spacing w:val="1"/>
          <w:szCs w:val="24"/>
        </w:rPr>
        <w:t xml:space="preserve">The New York city electrical code. </w:t>
      </w:r>
    </w:p>
    <w:p w14:paraId="17B1B4B3" w14:textId="77777777" w:rsidR="0001508F" w:rsidRPr="0001508F" w:rsidRDefault="0001508F" w:rsidP="0001508F">
      <w:pPr>
        <w:widowControl w:val="0"/>
        <w:kinsoku w:val="0"/>
        <w:spacing w:before="120" w:after="120"/>
        <w:ind w:left="360"/>
        <w:rPr>
          <w:b/>
          <w:szCs w:val="24"/>
        </w:rPr>
      </w:pPr>
      <w:r w:rsidRPr="0001508F">
        <w:rPr>
          <w:spacing w:val="1"/>
          <w:szCs w:val="24"/>
          <w:u w:val="single"/>
        </w:rPr>
        <w:t>The New York city existing building code.</w:t>
      </w:r>
    </w:p>
    <w:p w14:paraId="176DFA18" w14:textId="77777777" w:rsidR="0001508F" w:rsidRPr="0001508F" w:rsidRDefault="0001508F" w:rsidP="0001508F">
      <w:pPr>
        <w:widowControl w:val="0"/>
        <w:kinsoku w:val="0"/>
        <w:spacing w:before="120" w:after="120"/>
        <w:rPr>
          <w:b/>
          <w:szCs w:val="24"/>
        </w:rPr>
      </w:pPr>
    </w:p>
    <w:p w14:paraId="71201922" w14:textId="77777777" w:rsidR="0001508F" w:rsidRPr="0001508F" w:rsidRDefault="0001508F" w:rsidP="0001508F">
      <w:pPr>
        <w:suppressAutoHyphens/>
        <w:spacing w:line="480" w:lineRule="auto"/>
        <w:ind w:firstLine="720"/>
        <w:rPr>
          <w:szCs w:val="24"/>
        </w:rPr>
      </w:pPr>
      <w:r w:rsidRPr="0001508F">
        <w:rPr>
          <w:szCs w:val="24"/>
        </w:rPr>
        <w:t>§ 2.  Section 28-101.3.1  of the administrative code of the city of New York, as amended by local law number 126 for the year 2022, is amended to read as follows:</w:t>
      </w:r>
    </w:p>
    <w:p w14:paraId="77712E90" w14:textId="77777777" w:rsidR="0001508F" w:rsidRPr="0001508F" w:rsidRDefault="0001508F" w:rsidP="0001508F">
      <w:pPr>
        <w:widowControl w:val="0"/>
        <w:kinsoku w:val="0"/>
        <w:spacing w:before="120" w:after="120"/>
        <w:rPr>
          <w:spacing w:val="1"/>
          <w:szCs w:val="24"/>
        </w:rPr>
      </w:pPr>
      <w:r w:rsidRPr="0001508F">
        <w:rPr>
          <w:szCs w:val="24"/>
        </w:rPr>
        <w:t xml:space="preserve"> </w:t>
      </w:r>
      <w:r w:rsidRPr="0001508F">
        <w:rPr>
          <w:spacing w:val="1"/>
          <w:szCs w:val="24"/>
        </w:rPr>
        <w:t>§ 28-101.3.1 Occupancy classifications in prior codes. [</w:t>
      </w:r>
      <w:r w:rsidRPr="0001508F">
        <w:rPr>
          <w:strike/>
          <w:spacing w:val="1"/>
          <w:szCs w:val="24"/>
        </w:rPr>
        <w:t>With regard to prior code buildings, references</w:t>
      </w:r>
      <w:r w:rsidRPr="0001508F">
        <w:rPr>
          <w:spacing w:val="1"/>
          <w:szCs w:val="24"/>
        </w:rPr>
        <w:t xml:space="preserve">] </w:t>
      </w:r>
      <w:r w:rsidRPr="0001508F">
        <w:rPr>
          <w:spacing w:val="1"/>
          <w:szCs w:val="24"/>
          <w:u w:val="single"/>
        </w:rPr>
        <w:t xml:space="preserve">References </w:t>
      </w:r>
      <w:r w:rsidRPr="0001508F">
        <w:rPr>
          <w:spacing w:val="1"/>
          <w:szCs w:val="24"/>
        </w:rPr>
        <w:t>to occupancy classifications in this code shall be deemed to refer to the equivalent occupancy classification under the 1968 or prior building codes</w:t>
      </w:r>
      <w:r w:rsidRPr="0001508F">
        <w:rPr>
          <w:spacing w:val="1"/>
          <w:szCs w:val="24"/>
          <w:u w:val="single"/>
        </w:rPr>
        <w:t>, as applicable</w:t>
      </w:r>
      <w:r w:rsidRPr="0001508F">
        <w:rPr>
          <w:spacing w:val="1"/>
          <w:szCs w:val="24"/>
        </w:rPr>
        <w:t>.</w:t>
      </w:r>
    </w:p>
    <w:p w14:paraId="4C1440A0" w14:textId="77777777" w:rsidR="0001508F" w:rsidRPr="0001508F" w:rsidRDefault="0001508F" w:rsidP="0001508F">
      <w:pPr>
        <w:suppressAutoHyphens/>
        <w:spacing w:line="480" w:lineRule="auto"/>
        <w:ind w:firstLine="720"/>
        <w:rPr>
          <w:szCs w:val="24"/>
        </w:rPr>
      </w:pPr>
    </w:p>
    <w:p w14:paraId="40000CC5" w14:textId="77777777" w:rsidR="0001508F" w:rsidRPr="0001508F" w:rsidRDefault="0001508F" w:rsidP="0001508F">
      <w:pPr>
        <w:suppressAutoHyphens/>
        <w:spacing w:line="480" w:lineRule="auto"/>
        <w:ind w:firstLine="720"/>
        <w:rPr>
          <w:szCs w:val="24"/>
        </w:rPr>
      </w:pPr>
      <w:r w:rsidRPr="0001508F">
        <w:rPr>
          <w:szCs w:val="24"/>
        </w:rPr>
        <w:t>§ 3. Sections 28-101.4, 28-101.4.1, 28-101.4.2, 28-101.4.4, 101.4.5, 101.4.5.1 and 101.4.5.2 of the administrative code of the city of New York, as amended by local law number 126 for the year 2022, is amended to read as follows:</w:t>
      </w:r>
    </w:p>
    <w:p w14:paraId="5CF6C8D1" w14:textId="77777777" w:rsidR="0001508F" w:rsidRPr="0001508F" w:rsidRDefault="0001508F" w:rsidP="0001508F">
      <w:pPr>
        <w:widowControl w:val="0"/>
        <w:kinsoku w:val="0"/>
        <w:spacing w:before="120" w:after="120"/>
        <w:rPr>
          <w:spacing w:val="1"/>
          <w:szCs w:val="24"/>
        </w:rPr>
      </w:pPr>
      <w:r w:rsidRPr="0001508F">
        <w:rPr>
          <w:b/>
          <w:bCs/>
          <w:spacing w:val="1"/>
          <w:szCs w:val="24"/>
        </w:rPr>
        <w:t>§ 28-101.4 Effective date.</w:t>
      </w:r>
      <w:r w:rsidRPr="0001508F">
        <w:rPr>
          <w:spacing w:val="1"/>
          <w:szCs w:val="24"/>
        </w:rPr>
        <w:t xml:space="preserve"> Except as otherwise </w:t>
      </w:r>
      <w:r w:rsidRPr="0001508F">
        <w:rPr>
          <w:spacing w:val="1"/>
          <w:szCs w:val="24"/>
          <w:u w:val="single"/>
        </w:rPr>
        <w:t>specifically</w:t>
      </w:r>
      <w:r w:rsidRPr="0001508F">
        <w:rPr>
          <w:spacing w:val="1"/>
          <w:szCs w:val="24"/>
        </w:rPr>
        <w:t xml:space="preserve"> provided [</w:t>
      </w:r>
      <w:r w:rsidRPr="0001508F">
        <w:rPr>
          <w:strike/>
          <w:spacing w:val="1"/>
          <w:szCs w:val="24"/>
        </w:rPr>
        <w:t>in sections 28-101.4.1, 28-101.4.2, 28-101.4.3, 28-101.4.4, and 28-101.4.5</w:t>
      </w:r>
      <w:r w:rsidRPr="0001508F">
        <w:rPr>
          <w:spacing w:val="1"/>
          <w:szCs w:val="24"/>
        </w:rPr>
        <w:t xml:space="preserve">] on and after [July 1, 2008] </w:t>
      </w:r>
      <w:r w:rsidRPr="0001508F">
        <w:rPr>
          <w:spacing w:val="1"/>
          <w:szCs w:val="24"/>
          <w:u w:val="single"/>
        </w:rPr>
        <w:t>the effective date of the local law that added this section</w:t>
      </w:r>
      <w:r w:rsidRPr="0001508F">
        <w:rPr>
          <w:spacing w:val="1"/>
          <w:szCs w:val="24"/>
        </w:rPr>
        <w:t>, all work shall be performed in accordance with the provisions of this code.</w:t>
      </w:r>
    </w:p>
    <w:p w14:paraId="0282DF4F" w14:textId="77777777" w:rsidR="0001508F" w:rsidRPr="0001508F" w:rsidRDefault="0001508F" w:rsidP="0001508F">
      <w:pPr>
        <w:widowControl w:val="0"/>
        <w:kinsoku w:val="0"/>
        <w:spacing w:before="120" w:after="120"/>
        <w:rPr>
          <w:b/>
          <w:bCs/>
          <w:spacing w:val="1"/>
          <w:szCs w:val="24"/>
          <w:u w:val="single"/>
        </w:rPr>
      </w:pPr>
      <w:r w:rsidRPr="0001508F">
        <w:rPr>
          <w:b/>
          <w:bCs/>
          <w:spacing w:val="1"/>
          <w:szCs w:val="24"/>
          <w:u w:val="single"/>
        </w:rPr>
        <w:t>Exceptions:</w:t>
      </w:r>
    </w:p>
    <w:p w14:paraId="71BD83F5" w14:textId="77777777" w:rsidR="0001508F" w:rsidRPr="0001508F" w:rsidRDefault="0001508F" w:rsidP="0001508F">
      <w:pPr>
        <w:widowControl w:val="0"/>
        <w:kinsoku w:val="0"/>
        <w:spacing w:before="120" w:after="120"/>
        <w:rPr>
          <w:spacing w:val="1"/>
          <w:szCs w:val="24"/>
        </w:rPr>
      </w:pPr>
      <w:r w:rsidRPr="0001508F">
        <w:rPr>
          <w:b/>
          <w:bCs/>
          <w:spacing w:val="1"/>
          <w:szCs w:val="24"/>
        </w:rPr>
        <w:t> </w:t>
      </w:r>
      <w:r w:rsidRPr="0001508F">
        <w:rPr>
          <w:b/>
          <w:bCs/>
          <w:spacing w:val="1"/>
          <w:szCs w:val="24"/>
        </w:rPr>
        <w:t>[§ 28-101.4.1]</w:t>
      </w:r>
      <w:r w:rsidRPr="0001508F">
        <w:rPr>
          <w:b/>
          <w:bCs/>
          <w:spacing w:val="1"/>
          <w:szCs w:val="24"/>
          <w:u w:val="single"/>
        </w:rPr>
        <w:t xml:space="preserve"> 1.</w:t>
      </w:r>
      <w:r w:rsidRPr="0001508F">
        <w:rPr>
          <w:b/>
          <w:bCs/>
          <w:spacing w:val="1"/>
          <w:szCs w:val="24"/>
          <w:u w:val="single"/>
        </w:rPr>
        <w:t> </w:t>
      </w:r>
      <w:r w:rsidRPr="0001508F">
        <w:rPr>
          <w:b/>
          <w:bCs/>
          <w:spacing w:val="1"/>
          <w:szCs w:val="24"/>
        </w:rPr>
        <w:t>Permit issued or work commenced prior to [</w:t>
      </w:r>
      <w:r w:rsidRPr="0001508F">
        <w:rPr>
          <w:b/>
          <w:bCs/>
          <w:strike/>
          <w:spacing w:val="1"/>
          <w:szCs w:val="24"/>
        </w:rPr>
        <w:t>July 1, 2008</w:t>
      </w:r>
      <w:r w:rsidRPr="0001508F">
        <w:rPr>
          <w:b/>
          <w:bCs/>
          <w:spacing w:val="1"/>
          <w:szCs w:val="24"/>
        </w:rPr>
        <w:t xml:space="preserve">] </w:t>
      </w:r>
      <w:r w:rsidRPr="0001508F">
        <w:rPr>
          <w:b/>
          <w:bCs/>
          <w:spacing w:val="1"/>
          <w:szCs w:val="24"/>
          <w:u w:val="single"/>
        </w:rPr>
        <w:t>the effective date of the local law that amended this section</w:t>
      </w:r>
      <w:r w:rsidRPr="0001508F">
        <w:rPr>
          <w:b/>
          <w:bCs/>
          <w:spacing w:val="1"/>
          <w:szCs w:val="24"/>
        </w:rPr>
        <w:t>.</w:t>
      </w:r>
      <w:r w:rsidRPr="0001508F">
        <w:rPr>
          <w:spacing w:val="1"/>
          <w:szCs w:val="24"/>
        </w:rPr>
        <w:t xml:space="preserve"> If a permit for work was issued prior to [</w:t>
      </w:r>
      <w:r w:rsidRPr="0001508F">
        <w:rPr>
          <w:strike/>
          <w:spacing w:val="1"/>
          <w:szCs w:val="24"/>
        </w:rPr>
        <w:t>July 1, 2008</w:t>
      </w:r>
      <w:r w:rsidRPr="0001508F">
        <w:rPr>
          <w:spacing w:val="1"/>
          <w:szCs w:val="24"/>
        </w:rPr>
        <w:t xml:space="preserve">] </w:t>
      </w:r>
      <w:r w:rsidRPr="0001508F">
        <w:rPr>
          <w:spacing w:val="1"/>
          <w:szCs w:val="24"/>
          <w:u w:val="single"/>
        </w:rPr>
        <w:t>the effective date of the local law that amended this section</w:t>
      </w:r>
      <w:r w:rsidRPr="0001508F">
        <w:rPr>
          <w:spacing w:val="1"/>
          <w:szCs w:val="24"/>
        </w:rPr>
        <w:t xml:space="preserve"> or, if no permit was necessary, work was commenced prior to [</w:t>
      </w:r>
      <w:r w:rsidRPr="0001508F">
        <w:rPr>
          <w:strike/>
          <w:spacing w:val="1"/>
          <w:szCs w:val="24"/>
        </w:rPr>
        <w:t>July 1, 2008</w:t>
      </w:r>
      <w:r w:rsidRPr="0001508F">
        <w:rPr>
          <w:spacing w:val="1"/>
          <w:szCs w:val="24"/>
        </w:rPr>
        <w:t xml:space="preserve">] </w:t>
      </w:r>
      <w:r w:rsidRPr="0001508F">
        <w:rPr>
          <w:spacing w:val="1"/>
          <w:szCs w:val="24"/>
          <w:u w:val="single"/>
        </w:rPr>
        <w:t>the effective date of the local law that amended this section</w:t>
      </w:r>
      <w:r w:rsidRPr="0001508F">
        <w:rPr>
          <w:spacing w:val="1"/>
          <w:szCs w:val="24"/>
        </w:rPr>
        <w:t xml:space="preserve">, all of the provisions of [chapter 1 of title 27 of the administrative code] this code as [heretofore] in effect </w:t>
      </w:r>
      <w:r w:rsidRPr="0001508F">
        <w:rPr>
          <w:spacing w:val="1"/>
          <w:szCs w:val="24"/>
          <w:u w:val="single"/>
        </w:rPr>
        <w:t>prior to the effective date of the local law that amended this section</w:t>
      </w:r>
      <w:r w:rsidRPr="0001508F">
        <w:rPr>
          <w:spacing w:val="1"/>
          <w:szCs w:val="24"/>
        </w:rPr>
        <w:t xml:space="preserve"> shall apply to such work.</w:t>
      </w:r>
    </w:p>
    <w:p w14:paraId="0E7C38EF" w14:textId="77777777" w:rsidR="0001508F" w:rsidRPr="0001508F" w:rsidRDefault="0001508F" w:rsidP="0001508F">
      <w:pPr>
        <w:tabs>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before="60" w:after="80" w:line="200" w:lineRule="atLeast"/>
        <w:rPr>
          <w:rFonts w:ascii="Times" w:hAnsi="Times" w:cs="Times"/>
          <w:b/>
          <w:bCs/>
          <w:sz w:val="22"/>
          <w:szCs w:val="22"/>
        </w:rPr>
      </w:pPr>
    </w:p>
    <w:p w14:paraId="4EA0D4A8" w14:textId="77777777" w:rsidR="0001508F" w:rsidRPr="0001508F" w:rsidRDefault="0001508F" w:rsidP="0001508F">
      <w:pPr>
        <w:tabs>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before="60" w:after="80" w:line="200" w:lineRule="atLeast"/>
        <w:rPr>
          <w:spacing w:val="1"/>
          <w:szCs w:val="24"/>
        </w:rPr>
      </w:pPr>
      <w:r w:rsidRPr="0001508F">
        <w:rPr>
          <w:b/>
          <w:bCs/>
          <w:szCs w:val="24"/>
        </w:rPr>
        <w:t xml:space="preserve">[§28-101.4.2] </w:t>
      </w:r>
      <w:r w:rsidRPr="0001508F">
        <w:rPr>
          <w:b/>
          <w:bCs/>
          <w:szCs w:val="24"/>
          <w:u w:val="single"/>
        </w:rPr>
        <w:t>2.</w:t>
      </w:r>
      <w:r w:rsidRPr="0001508F">
        <w:rPr>
          <w:b/>
          <w:bCs/>
          <w:szCs w:val="24"/>
        </w:rPr>
        <w:t xml:space="preserve"> Applications for construction document approval submitted prior to [][</w:t>
      </w:r>
      <w:r w:rsidRPr="0001508F">
        <w:rPr>
          <w:b/>
          <w:bCs/>
          <w:strike/>
          <w:szCs w:val="24"/>
        </w:rPr>
        <w:t>July 1, 2008</w:t>
      </w:r>
      <w:r w:rsidRPr="0001508F">
        <w:rPr>
          <w:b/>
          <w:bCs/>
          <w:szCs w:val="24"/>
        </w:rPr>
        <w:t>]</w:t>
      </w:r>
      <w:r w:rsidRPr="0001508F">
        <w:rPr>
          <w:b/>
          <w:bCs/>
          <w:szCs w:val="24"/>
          <w:u w:val="single"/>
        </w:rPr>
        <w:t>the effective date of the local law that amended this section</w:t>
      </w:r>
      <w:r w:rsidRPr="0001508F">
        <w:rPr>
          <w:b/>
          <w:bCs/>
          <w:szCs w:val="24"/>
        </w:rPr>
        <w:t>.</w:t>
      </w:r>
      <w:r w:rsidRPr="0001508F">
        <w:rPr>
          <w:b/>
          <w:bCs/>
          <w:spacing w:val="-10"/>
          <w:w w:val="110"/>
          <w:szCs w:val="24"/>
        </w:rPr>
        <w:t xml:space="preserve"> </w:t>
      </w:r>
      <w:r w:rsidRPr="0001508F">
        <w:rPr>
          <w:spacing w:val="1"/>
          <w:szCs w:val="24"/>
        </w:rPr>
        <w:t>Any work for which an application for construction document approval was submitted to the department prior to [</w:t>
      </w:r>
      <w:r w:rsidRPr="0001508F">
        <w:rPr>
          <w:strike/>
          <w:spacing w:val="1"/>
          <w:szCs w:val="24"/>
        </w:rPr>
        <w:t>July 1, 2008</w:t>
      </w:r>
      <w:r w:rsidRPr="0001508F">
        <w:rPr>
          <w:spacing w:val="1"/>
          <w:szCs w:val="24"/>
        </w:rPr>
        <w:t>]</w:t>
      </w:r>
      <w:r w:rsidRPr="0001508F">
        <w:rPr>
          <w:spacing w:val="1"/>
          <w:szCs w:val="24"/>
          <w:u w:val="single"/>
        </w:rPr>
        <w:t>the effective date of the local law that amended this section</w:t>
      </w:r>
      <w:r w:rsidRPr="0001508F">
        <w:rPr>
          <w:spacing w:val="1"/>
          <w:szCs w:val="24"/>
        </w:rPr>
        <w:t xml:space="preserve"> and not thereafter abandoned, []may, at the option of the owner, be performed in its entirety in accordance with the provisions of this code, or in accordance with the [</w:t>
      </w:r>
      <w:r w:rsidRPr="0001508F">
        <w:rPr>
          <w:strike/>
          <w:spacing w:val="1"/>
          <w:szCs w:val="24"/>
        </w:rPr>
        <w:t>1968 building code</w:t>
      </w:r>
      <w:r w:rsidRPr="0001508F">
        <w:rPr>
          <w:spacing w:val="1"/>
          <w:szCs w:val="24"/>
        </w:rPr>
        <w:t>]</w:t>
      </w:r>
      <w:r w:rsidRPr="0001508F">
        <w:rPr>
          <w:spacing w:val="1"/>
          <w:szCs w:val="24"/>
          <w:u w:val="single"/>
        </w:rPr>
        <w:t>laws in effect prior to the effective date of the local law that amended this section</w:t>
      </w:r>
      <w:r w:rsidRPr="0001508F">
        <w:rPr>
          <w:spacing w:val="1"/>
          <w:szCs w:val="24"/>
        </w:rPr>
        <w:t xml:space="preserve">, provided that such work is commenced within twelve months after the date of issuance of a permit therefor and is diligently carried on to completion. The commissioner may, for good cause, extend the time period for commencement of the work beyond 12 months. </w:t>
      </w:r>
    </w:p>
    <w:p w14:paraId="0B0B14D7" w14:textId="77777777" w:rsidR="0001508F" w:rsidRPr="0001508F" w:rsidRDefault="0001508F" w:rsidP="0001508F">
      <w:pPr>
        <w:widowControl w:val="0"/>
        <w:kinsoku w:val="0"/>
        <w:spacing w:before="120" w:after="120"/>
        <w:rPr>
          <w:spacing w:val="1"/>
          <w:szCs w:val="24"/>
        </w:rPr>
      </w:pPr>
    </w:p>
    <w:p w14:paraId="432B2D7C" w14:textId="77777777" w:rsidR="0001508F" w:rsidRPr="0001508F" w:rsidRDefault="0001508F" w:rsidP="0001508F">
      <w:pPr>
        <w:widowControl w:val="0"/>
        <w:spacing w:before="120" w:after="120"/>
        <w:rPr>
          <w:b/>
          <w:szCs w:val="24"/>
        </w:rPr>
      </w:pPr>
      <w:r w:rsidRPr="0001508F">
        <w:rPr>
          <w:b/>
          <w:szCs w:val="24"/>
        </w:rPr>
        <w:t>[</w:t>
      </w:r>
      <w:r w:rsidRPr="0001508F">
        <w:rPr>
          <w:b/>
          <w:strike/>
          <w:szCs w:val="24"/>
        </w:rPr>
        <w:t xml:space="preserve">§28-101.4.3 Optional use of the 1968 building code for work on prior code buildings. </w:t>
      </w:r>
      <w:r w:rsidRPr="0001508F">
        <w:rPr>
          <w:bCs/>
          <w:strike/>
          <w:szCs w:val="24"/>
        </w:rPr>
        <w:t>At the option of the owner, and subject to applicable provisions of this code, work on prior code buildings may be performed in accordance with the requirements and standards set forth in the 1968 building code, or where the 1968 code so authorizes, the code in effect prior to December 6, 1968.</w:t>
      </w:r>
      <w:r w:rsidRPr="0001508F">
        <w:rPr>
          <w:bCs/>
          <w:szCs w:val="24"/>
        </w:rPr>
        <w:t>]</w:t>
      </w:r>
    </w:p>
    <w:p w14:paraId="6A7CBC6B" w14:textId="77777777" w:rsidR="0001508F" w:rsidRPr="0001508F" w:rsidRDefault="0001508F" w:rsidP="0001508F">
      <w:pPr>
        <w:suppressAutoHyphens/>
        <w:spacing w:after="240"/>
        <w:ind w:firstLine="720"/>
        <w:rPr>
          <w:b/>
          <w:szCs w:val="24"/>
        </w:rPr>
      </w:pPr>
      <w:r w:rsidRPr="0001508F">
        <w:rPr>
          <w:b/>
          <w:szCs w:val="24"/>
        </w:rPr>
        <w:t>[</w:t>
      </w:r>
      <w:r w:rsidRPr="0001508F">
        <w:rPr>
          <w:b/>
          <w:strike/>
          <w:szCs w:val="24"/>
        </w:rPr>
        <w:t>Exceptions:</w:t>
      </w:r>
      <w:r w:rsidRPr="0001508F">
        <w:rPr>
          <w:b/>
          <w:szCs w:val="24"/>
        </w:rPr>
        <w:t>]</w:t>
      </w:r>
    </w:p>
    <w:p w14:paraId="4E5554EC" w14:textId="77777777" w:rsidR="0001508F" w:rsidRPr="0001508F" w:rsidRDefault="0001508F" w:rsidP="0001508F">
      <w:pPr>
        <w:widowControl w:val="0"/>
        <w:spacing w:before="120" w:after="120"/>
        <w:ind w:left="1440" w:hanging="360"/>
        <w:rPr>
          <w:rFonts w:eastAsia="Calibri"/>
          <w:spacing w:val="1"/>
          <w:szCs w:val="24"/>
        </w:rPr>
      </w:pPr>
      <w:r w:rsidRPr="0001508F">
        <w:rPr>
          <w:rFonts w:eastAsia="Calibri"/>
          <w:spacing w:val="1"/>
          <w:szCs w:val="24"/>
        </w:rPr>
        <w:t>[</w:t>
      </w:r>
      <w:r w:rsidRPr="0001508F">
        <w:rPr>
          <w:rFonts w:eastAsia="Calibri"/>
          <w:strike/>
          <w:spacing w:val="1"/>
          <w:szCs w:val="24"/>
        </w:rPr>
        <w:t>1.</w:t>
      </w:r>
      <w:r w:rsidRPr="0001508F">
        <w:rPr>
          <w:rFonts w:eastAsia="Calibri"/>
          <w:strike/>
          <w:spacing w:val="1"/>
          <w:szCs w:val="24"/>
        </w:rPr>
        <w:tab/>
      </w:r>
      <w:r w:rsidRPr="0001508F">
        <w:rPr>
          <w:rFonts w:eastAsia="Calibri"/>
          <w:b/>
          <w:strike/>
          <w:spacing w:val="1"/>
          <w:szCs w:val="24"/>
        </w:rPr>
        <w:t xml:space="preserve">Fuel gas, plumbing, electrical, and mechanical work. </w:t>
      </w:r>
      <w:r w:rsidRPr="0001508F">
        <w:rPr>
          <w:rFonts w:eastAsia="Calibri"/>
          <w:strike/>
          <w:spacing w:val="1"/>
          <w:szCs w:val="24"/>
        </w:rPr>
        <w:t>The installation of and work on all appliances, equipment and systems regulated by the New York city fuel gas code, the New York city plumbing code</w:t>
      </w:r>
      <w:r w:rsidRPr="0001508F">
        <w:rPr>
          <w:strike/>
          <w:spacing w:val="1"/>
          <w:szCs w:val="24"/>
        </w:rPr>
        <w:t xml:space="preserve">, the </w:t>
      </w:r>
      <w:r w:rsidRPr="0001508F">
        <w:rPr>
          <w:iCs/>
          <w:strike/>
          <w:spacing w:val="1"/>
          <w:szCs w:val="24"/>
        </w:rPr>
        <w:t>New York city electrical code,</w:t>
      </w:r>
      <w:r w:rsidRPr="0001508F">
        <w:rPr>
          <w:strike/>
          <w:spacing w:val="1"/>
          <w:szCs w:val="24"/>
        </w:rPr>
        <w:t xml:space="preserve"> </w:t>
      </w:r>
      <w:r w:rsidRPr="0001508F">
        <w:rPr>
          <w:rFonts w:eastAsia="Calibri"/>
          <w:strike/>
          <w:spacing w:val="1"/>
          <w:szCs w:val="24"/>
        </w:rPr>
        <w:t xml:space="preserve"> and the New York city mechanical code shall be governed by applicable provisions of those codes relating to new and existing installations.</w:t>
      </w:r>
      <w:r w:rsidRPr="0001508F">
        <w:rPr>
          <w:rFonts w:eastAsia="Calibri"/>
          <w:spacing w:val="1"/>
          <w:szCs w:val="24"/>
        </w:rPr>
        <w:t>]</w:t>
      </w:r>
    </w:p>
    <w:p w14:paraId="3AA7CBD5" w14:textId="77777777" w:rsidR="0001508F" w:rsidRPr="0001508F" w:rsidRDefault="0001508F" w:rsidP="0001508F">
      <w:pPr>
        <w:widowControl w:val="0"/>
        <w:spacing w:before="120" w:after="120"/>
        <w:ind w:left="1440" w:hanging="360"/>
        <w:rPr>
          <w:rFonts w:eastAsia="Calibri"/>
          <w:spacing w:val="1"/>
          <w:szCs w:val="24"/>
        </w:rPr>
      </w:pPr>
      <w:r w:rsidRPr="0001508F">
        <w:rPr>
          <w:rFonts w:eastAsia="Calibri"/>
          <w:spacing w:val="1"/>
          <w:szCs w:val="24"/>
        </w:rPr>
        <w:t>[</w:t>
      </w:r>
      <w:r w:rsidRPr="0001508F">
        <w:rPr>
          <w:rFonts w:eastAsia="Calibri"/>
          <w:strike/>
          <w:spacing w:val="1"/>
          <w:szCs w:val="24"/>
        </w:rPr>
        <w:t>2.</w:t>
      </w:r>
      <w:r w:rsidRPr="0001508F">
        <w:rPr>
          <w:rFonts w:eastAsia="Calibri"/>
          <w:strike/>
          <w:spacing w:val="1"/>
          <w:szCs w:val="24"/>
        </w:rPr>
        <w:tab/>
      </w:r>
      <w:r w:rsidRPr="0001508F">
        <w:rPr>
          <w:rFonts w:eastAsia="Calibri"/>
          <w:b/>
          <w:strike/>
          <w:spacing w:val="1"/>
          <w:szCs w:val="24"/>
        </w:rPr>
        <w:t>Fire protection systems.</w:t>
      </w:r>
      <w:r w:rsidRPr="0001508F">
        <w:rPr>
          <w:rFonts w:eastAsia="Calibri"/>
          <w:strike/>
          <w:spacing w:val="1"/>
          <w:szCs w:val="24"/>
        </w:rPr>
        <w:t xml:space="preserve"> Alterations of buildings and changes of use or occupancy shall be governed by chapter 9 of the New York city building code, subject to special provisions for prior code buildings as set forth therein.</w:t>
      </w:r>
      <w:r w:rsidRPr="0001508F">
        <w:rPr>
          <w:rFonts w:eastAsia="Calibri"/>
          <w:spacing w:val="1"/>
          <w:szCs w:val="24"/>
        </w:rPr>
        <w:t>]</w:t>
      </w:r>
    </w:p>
    <w:p w14:paraId="52438C02" w14:textId="77777777" w:rsidR="0001508F" w:rsidRPr="0001508F" w:rsidRDefault="0001508F" w:rsidP="0001508F">
      <w:pPr>
        <w:widowControl w:val="0"/>
        <w:tabs>
          <w:tab w:val="left" w:pos="-1350"/>
        </w:tabs>
        <w:spacing w:before="120" w:after="120"/>
        <w:ind w:left="1440" w:hanging="360"/>
        <w:rPr>
          <w:rFonts w:eastAsia="Calibri"/>
          <w:spacing w:val="1"/>
          <w:szCs w:val="24"/>
        </w:rPr>
      </w:pPr>
      <w:r w:rsidRPr="0001508F">
        <w:rPr>
          <w:rFonts w:eastAsia="Calibri"/>
          <w:spacing w:val="1"/>
          <w:szCs w:val="24"/>
        </w:rPr>
        <w:t>[</w:t>
      </w:r>
      <w:r w:rsidRPr="0001508F">
        <w:rPr>
          <w:rFonts w:eastAsia="Calibri"/>
          <w:strike/>
          <w:spacing w:val="1"/>
          <w:szCs w:val="24"/>
        </w:rPr>
        <w:t>3.</w:t>
      </w:r>
      <w:r w:rsidRPr="0001508F">
        <w:rPr>
          <w:rFonts w:eastAsia="Calibri"/>
          <w:strike/>
          <w:spacing w:val="1"/>
          <w:szCs w:val="24"/>
        </w:rPr>
        <w:tab/>
      </w:r>
      <w:r w:rsidRPr="0001508F">
        <w:rPr>
          <w:rFonts w:eastAsia="Calibri"/>
          <w:b/>
          <w:strike/>
          <w:spacing w:val="1"/>
          <w:szCs w:val="24"/>
        </w:rPr>
        <w:t>Elevators, conveyors and amusement rides.</w:t>
      </w:r>
      <w:r w:rsidRPr="0001508F">
        <w:rPr>
          <w:rFonts w:eastAsia="Calibri"/>
          <w:strike/>
          <w:spacing w:val="1"/>
          <w:szCs w:val="24"/>
        </w:rPr>
        <w:t xml:space="preserve"> The installation of and work on elevators, conveyors, and amusement rides shall be governed by chapter 30 and appendix K of the New York city building code and the rules of the department, subject to special provisions for prior code buildings as set forth therein.</w:t>
      </w:r>
      <w:r w:rsidRPr="0001508F">
        <w:rPr>
          <w:rFonts w:eastAsia="Calibri"/>
          <w:spacing w:val="1"/>
          <w:szCs w:val="24"/>
        </w:rPr>
        <w:t>]</w:t>
      </w:r>
    </w:p>
    <w:p w14:paraId="045F1C92" w14:textId="77777777" w:rsidR="0001508F" w:rsidRPr="0001508F" w:rsidRDefault="0001508F" w:rsidP="0001508F">
      <w:pPr>
        <w:widowControl w:val="0"/>
        <w:tabs>
          <w:tab w:val="left" w:pos="-1800"/>
        </w:tabs>
        <w:spacing w:before="120" w:after="120"/>
        <w:ind w:left="1440" w:hanging="360"/>
        <w:rPr>
          <w:rFonts w:eastAsia="Calibri"/>
          <w:spacing w:val="1"/>
          <w:szCs w:val="24"/>
        </w:rPr>
      </w:pPr>
      <w:r w:rsidRPr="0001508F">
        <w:rPr>
          <w:rFonts w:eastAsia="Calibri"/>
          <w:spacing w:val="1"/>
          <w:szCs w:val="24"/>
        </w:rPr>
        <w:t>[</w:t>
      </w:r>
      <w:r w:rsidRPr="0001508F">
        <w:rPr>
          <w:rFonts w:eastAsia="Calibri"/>
          <w:strike/>
          <w:spacing w:val="1"/>
          <w:szCs w:val="24"/>
        </w:rPr>
        <w:t>4.</w:t>
      </w:r>
      <w:r w:rsidRPr="0001508F">
        <w:rPr>
          <w:rFonts w:eastAsia="Calibri"/>
          <w:b/>
          <w:strike/>
          <w:spacing w:val="1"/>
          <w:szCs w:val="24"/>
        </w:rPr>
        <w:tab/>
        <w:t>Safety during construction operations.</w:t>
      </w:r>
      <w:r w:rsidRPr="0001508F">
        <w:rPr>
          <w:rFonts w:eastAsia="Calibri"/>
          <w:strike/>
          <w:spacing w:val="1"/>
          <w:szCs w:val="24"/>
        </w:rPr>
        <w:t xml:space="preserve"> Safety of public and property during construction operations including demolition shall be governed by chapter 33 of the New York city building code.</w:t>
      </w:r>
      <w:r w:rsidRPr="0001508F">
        <w:rPr>
          <w:rFonts w:eastAsia="Calibri"/>
          <w:spacing w:val="1"/>
          <w:szCs w:val="24"/>
        </w:rPr>
        <w:t>]</w:t>
      </w:r>
    </w:p>
    <w:p w14:paraId="4FD7B979" w14:textId="77777777" w:rsidR="0001508F" w:rsidRPr="0001508F" w:rsidRDefault="0001508F" w:rsidP="0001508F">
      <w:pPr>
        <w:widowControl w:val="0"/>
        <w:tabs>
          <w:tab w:val="left" w:pos="-1350"/>
        </w:tabs>
        <w:spacing w:before="120" w:after="120"/>
        <w:ind w:left="1440" w:hanging="360"/>
        <w:rPr>
          <w:rFonts w:eastAsia="Calibri"/>
          <w:spacing w:val="1"/>
          <w:szCs w:val="24"/>
        </w:rPr>
      </w:pPr>
      <w:r w:rsidRPr="0001508F">
        <w:rPr>
          <w:rFonts w:eastAsia="Calibri"/>
          <w:spacing w:val="1"/>
          <w:szCs w:val="24"/>
        </w:rPr>
        <w:t>[</w:t>
      </w:r>
      <w:r w:rsidRPr="0001508F">
        <w:rPr>
          <w:rFonts w:eastAsia="Calibri"/>
          <w:strike/>
          <w:spacing w:val="1"/>
          <w:szCs w:val="24"/>
        </w:rPr>
        <w:t>5.</w:t>
      </w:r>
      <w:r w:rsidRPr="0001508F">
        <w:rPr>
          <w:rFonts w:eastAsia="Calibri"/>
          <w:b/>
          <w:strike/>
          <w:spacing w:val="1"/>
          <w:szCs w:val="24"/>
        </w:rPr>
        <w:tab/>
        <w:t>Accessibility.</w:t>
      </w:r>
      <w:r w:rsidRPr="0001508F">
        <w:rPr>
          <w:rFonts w:eastAsia="Calibri"/>
          <w:strike/>
          <w:spacing w:val="1"/>
          <w:szCs w:val="24"/>
        </w:rPr>
        <w:t xml:space="preserve"> Alterations, including minor alterations, of buildings and changes of use or occupancy, shall be governed by chapter 11 of the New York city building code, subject to special provisions for prior code buildings as set forth therein.</w:t>
      </w:r>
      <w:r w:rsidRPr="0001508F">
        <w:rPr>
          <w:rFonts w:eastAsia="Calibri"/>
          <w:spacing w:val="1"/>
          <w:szCs w:val="24"/>
        </w:rPr>
        <w:t>]</w:t>
      </w:r>
    </w:p>
    <w:p w14:paraId="21F325C9" w14:textId="77777777" w:rsidR="0001508F" w:rsidRPr="0001508F" w:rsidRDefault="0001508F" w:rsidP="0001508F">
      <w:pPr>
        <w:widowControl w:val="0"/>
        <w:tabs>
          <w:tab w:val="left" w:pos="480"/>
        </w:tabs>
        <w:spacing w:before="120" w:after="120"/>
        <w:ind w:left="1440" w:hanging="360"/>
        <w:rPr>
          <w:rFonts w:eastAsia="Calibri"/>
          <w:spacing w:val="1"/>
          <w:szCs w:val="24"/>
        </w:rPr>
      </w:pPr>
      <w:r w:rsidRPr="0001508F">
        <w:rPr>
          <w:rFonts w:eastAsia="Calibri"/>
          <w:spacing w:val="1"/>
          <w:szCs w:val="24"/>
        </w:rPr>
        <w:t>[</w:t>
      </w:r>
      <w:r w:rsidRPr="0001508F">
        <w:rPr>
          <w:rFonts w:eastAsia="Calibri"/>
          <w:strike/>
          <w:spacing w:val="1"/>
          <w:szCs w:val="24"/>
        </w:rPr>
        <w:t>6.</w:t>
      </w:r>
      <w:r w:rsidRPr="0001508F">
        <w:rPr>
          <w:rFonts w:eastAsia="Calibri"/>
          <w:b/>
          <w:strike/>
          <w:spacing w:val="1"/>
          <w:szCs w:val="24"/>
        </w:rPr>
        <w:tab/>
        <w:t>Encroachments into the public right of way.</w:t>
      </w:r>
      <w:r w:rsidRPr="0001508F">
        <w:rPr>
          <w:rFonts w:eastAsia="Calibri"/>
          <w:strike/>
          <w:spacing w:val="1"/>
          <w:szCs w:val="24"/>
        </w:rPr>
        <w:t xml:space="preserve"> Encroachments onto the public right of way shall be governed by chapter 32 of the New York city building code.</w:t>
      </w:r>
      <w:r w:rsidRPr="0001508F">
        <w:rPr>
          <w:rFonts w:eastAsia="Calibri"/>
          <w:spacing w:val="1"/>
          <w:szCs w:val="24"/>
        </w:rPr>
        <w:t>]</w:t>
      </w:r>
    </w:p>
    <w:p w14:paraId="07FD46CC" w14:textId="77777777" w:rsidR="0001508F" w:rsidRPr="0001508F" w:rsidRDefault="0001508F" w:rsidP="0001508F">
      <w:pPr>
        <w:widowControl w:val="0"/>
        <w:tabs>
          <w:tab w:val="left" w:pos="-1800"/>
        </w:tabs>
        <w:spacing w:before="120" w:after="120"/>
        <w:ind w:left="1440" w:hanging="360"/>
        <w:rPr>
          <w:rFonts w:eastAsia="Calibri"/>
          <w:spacing w:val="1"/>
          <w:szCs w:val="24"/>
        </w:rPr>
      </w:pPr>
      <w:r w:rsidRPr="0001508F">
        <w:rPr>
          <w:rFonts w:eastAsia="Calibri"/>
          <w:spacing w:val="1"/>
          <w:szCs w:val="24"/>
        </w:rPr>
        <w:t>[</w:t>
      </w:r>
      <w:r w:rsidRPr="0001508F">
        <w:rPr>
          <w:rFonts w:eastAsia="Calibri"/>
          <w:strike/>
          <w:spacing w:val="1"/>
          <w:szCs w:val="24"/>
        </w:rPr>
        <w:t>7.</w:t>
      </w:r>
      <w:r w:rsidRPr="0001508F">
        <w:rPr>
          <w:rFonts w:eastAsia="Calibri"/>
          <w:b/>
          <w:strike/>
          <w:spacing w:val="1"/>
          <w:szCs w:val="24"/>
        </w:rPr>
        <w:tab/>
        <w:t>Administration and enforcement.</w:t>
      </w:r>
      <w:r w:rsidRPr="0001508F">
        <w:rPr>
          <w:rFonts w:eastAsia="Calibri"/>
          <w:strike/>
          <w:spacing w:val="1"/>
          <w:szCs w:val="24"/>
        </w:rPr>
        <w:t xml:space="preserve"> Except as otherwise limited by the commissioner, administration and enforcement of the 1968 building code shall be in accordance with this code, including but not limited to approval of construction documents, issuance of permits and certificates of occupancy, tests and inspections, penalties and enforcement.</w:t>
      </w:r>
      <w:r w:rsidRPr="0001508F">
        <w:rPr>
          <w:rFonts w:eastAsia="Calibri"/>
          <w:spacing w:val="1"/>
          <w:szCs w:val="24"/>
        </w:rPr>
        <w:t>]</w:t>
      </w:r>
    </w:p>
    <w:p w14:paraId="1A91AB1F" w14:textId="77777777" w:rsidR="0001508F" w:rsidRPr="0001508F" w:rsidRDefault="0001508F" w:rsidP="0001508F">
      <w:pPr>
        <w:widowControl w:val="0"/>
        <w:tabs>
          <w:tab w:val="left" w:pos="-1800"/>
        </w:tabs>
        <w:spacing w:before="120" w:after="120"/>
        <w:ind w:left="1440" w:hanging="360"/>
        <w:rPr>
          <w:rFonts w:eastAsia="Calibri"/>
          <w:spacing w:val="1"/>
          <w:szCs w:val="24"/>
        </w:rPr>
      </w:pPr>
      <w:r w:rsidRPr="0001508F">
        <w:rPr>
          <w:rFonts w:eastAsia="Calibri"/>
          <w:spacing w:val="1"/>
          <w:szCs w:val="24"/>
        </w:rPr>
        <w:t>[</w:t>
      </w:r>
      <w:r w:rsidRPr="0001508F">
        <w:rPr>
          <w:rFonts w:eastAsia="Calibri"/>
          <w:strike/>
          <w:spacing w:val="1"/>
          <w:szCs w:val="24"/>
        </w:rPr>
        <w:t>8.</w:t>
      </w:r>
      <w:r w:rsidRPr="0001508F">
        <w:rPr>
          <w:rFonts w:eastAsia="Calibri"/>
          <w:b/>
          <w:strike/>
          <w:spacing w:val="1"/>
          <w:szCs w:val="24"/>
        </w:rPr>
        <w:tab/>
        <w:t>Special inspections.</w:t>
      </w:r>
      <w:r w:rsidRPr="0001508F">
        <w:rPr>
          <w:rFonts w:eastAsia="Calibri"/>
          <w:strike/>
          <w:spacing w:val="1"/>
          <w:szCs w:val="24"/>
        </w:rPr>
        <w:t xml:space="preserve"> Controlled inspections and semi-controlled inspections as referenced in the 1968 building code shall be deemed to be special inspections and shall be governed by the provisions of this code relating to special inspections.</w:t>
      </w:r>
      <w:r w:rsidRPr="0001508F">
        <w:rPr>
          <w:rFonts w:eastAsia="Calibri"/>
          <w:spacing w:val="1"/>
          <w:szCs w:val="24"/>
        </w:rPr>
        <w:t>]</w:t>
      </w:r>
    </w:p>
    <w:p w14:paraId="615E81C7" w14:textId="77777777" w:rsidR="0001508F" w:rsidRPr="0001508F" w:rsidRDefault="0001508F" w:rsidP="0001508F">
      <w:pPr>
        <w:widowControl w:val="0"/>
        <w:tabs>
          <w:tab w:val="left" w:pos="-1800"/>
        </w:tabs>
        <w:spacing w:before="120" w:after="120"/>
        <w:ind w:left="1440" w:hanging="360"/>
        <w:rPr>
          <w:rFonts w:eastAsia="Calibri"/>
          <w:spacing w:val="1"/>
          <w:szCs w:val="24"/>
        </w:rPr>
      </w:pPr>
      <w:r w:rsidRPr="0001508F">
        <w:rPr>
          <w:rFonts w:eastAsia="Calibri"/>
          <w:spacing w:val="1"/>
          <w:szCs w:val="24"/>
        </w:rPr>
        <w:t>[</w:t>
      </w:r>
      <w:r w:rsidRPr="0001508F">
        <w:rPr>
          <w:rFonts w:eastAsia="Calibri"/>
          <w:strike/>
          <w:spacing w:val="1"/>
          <w:szCs w:val="24"/>
        </w:rPr>
        <w:t>9.</w:t>
      </w:r>
      <w:r w:rsidRPr="0001508F">
        <w:rPr>
          <w:rFonts w:eastAsia="Calibri"/>
          <w:b/>
          <w:strike/>
          <w:spacing w:val="1"/>
          <w:szCs w:val="24"/>
        </w:rPr>
        <w:tab/>
        <w:t>Materials.</w:t>
      </w:r>
      <w:r w:rsidRPr="0001508F">
        <w:rPr>
          <w:rFonts w:eastAsia="Calibri"/>
          <w:strike/>
          <w:spacing w:val="1"/>
          <w:szCs w:val="24"/>
        </w:rPr>
        <w:t xml:space="preserve"> Materials regulated in their use by the 1968 building code shall be subject to applicable provisions of this code.</w:t>
      </w:r>
      <w:r w:rsidRPr="0001508F">
        <w:rPr>
          <w:rFonts w:eastAsia="Calibri"/>
          <w:spacing w:val="1"/>
          <w:szCs w:val="24"/>
        </w:rPr>
        <w:t>]</w:t>
      </w:r>
    </w:p>
    <w:p w14:paraId="01A58E02" w14:textId="77777777" w:rsidR="0001508F" w:rsidRPr="0001508F" w:rsidRDefault="0001508F" w:rsidP="0001508F">
      <w:pPr>
        <w:widowControl w:val="0"/>
        <w:spacing w:before="120" w:after="120"/>
        <w:ind w:left="1440" w:hanging="360"/>
        <w:rPr>
          <w:rFonts w:eastAsia="Calibri"/>
          <w:spacing w:val="1"/>
          <w:szCs w:val="24"/>
        </w:rPr>
      </w:pPr>
      <w:r w:rsidRPr="0001508F">
        <w:rPr>
          <w:rFonts w:eastAsia="Calibri"/>
          <w:spacing w:val="1"/>
          <w:szCs w:val="24"/>
        </w:rPr>
        <w:t>[</w:t>
      </w:r>
      <w:r w:rsidRPr="0001508F">
        <w:rPr>
          <w:rFonts w:eastAsia="Calibri"/>
          <w:strike/>
          <w:spacing w:val="1"/>
          <w:szCs w:val="24"/>
        </w:rPr>
        <w:t>10.</w:t>
      </w:r>
      <w:r w:rsidRPr="0001508F">
        <w:rPr>
          <w:rFonts w:eastAsia="Calibri"/>
          <w:b/>
          <w:strike/>
          <w:spacing w:val="1"/>
          <w:szCs w:val="24"/>
        </w:rPr>
        <w:t xml:space="preserve"> Security grilles.</w:t>
      </w:r>
      <w:r w:rsidRPr="0001508F">
        <w:rPr>
          <w:rFonts w:eastAsia="Calibri"/>
          <w:strike/>
          <w:spacing w:val="1"/>
          <w:szCs w:val="24"/>
        </w:rPr>
        <w:t xml:space="preserve"> The installation and replacement of security grilles shall comply with section 1008.1.4.5 of the New York city building code.</w:t>
      </w:r>
      <w:r w:rsidRPr="0001508F">
        <w:rPr>
          <w:rFonts w:eastAsia="Calibri"/>
          <w:spacing w:val="1"/>
          <w:szCs w:val="24"/>
        </w:rPr>
        <w:t>]</w:t>
      </w:r>
    </w:p>
    <w:p w14:paraId="4745869E" w14:textId="77777777" w:rsidR="0001508F" w:rsidRPr="0001508F" w:rsidRDefault="0001508F" w:rsidP="0001508F">
      <w:pPr>
        <w:widowControl w:val="0"/>
        <w:spacing w:before="120" w:after="120"/>
        <w:ind w:left="1440" w:hanging="360"/>
        <w:rPr>
          <w:rFonts w:eastAsia="Calibri"/>
          <w:spacing w:val="1"/>
          <w:szCs w:val="24"/>
        </w:rPr>
      </w:pPr>
      <w:r w:rsidRPr="0001508F">
        <w:rPr>
          <w:rFonts w:eastAsia="Calibri"/>
          <w:spacing w:val="1"/>
          <w:szCs w:val="24"/>
        </w:rPr>
        <w:t>[</w:t>
      </w:r>
      <w:r w:rsidRPr="0001508F">
        <w:rPr>
          <w:rFonts w:eastAsia="Calibri"/>
          <w:strike/>
          <w:spacing w:val="1"/>
          <w:szCs w:val="24"/>
        </w:rPr>
        <w:t>11.</w:t>
      </w:r>
      <w:r w:rsidRPr="0001508F">
        <w:rPr>
          <w:rFonts w:eastAsia="Calibri"/>
          <w:b/>
          <w:strike/>
          <w:spacing w:val="1"/>
          <w:szCs w:val="24"/>
        </w:rPr>
        <w:t xml:space="preserve"> Energy efficiency.</w:t>
      </w:r>
      <w:r w:rsidRPr="0001508F">
        <w:rPr>
          <w:rFonts w:eastAsia="Calibri"/>
          <w:strike/>
          <w:spacing w:val="1"/>
          <w:szCs w:val="24"/>
        </w:rPr>
        <w:t xml:space="preserve"> All work related to energy efficiency shall be regulated by the New York city energy conservation code.</w:t>
      </w:r>
      <w:r w:rsidRPr="0001508F">
        <w:rPr>
          <w:rFonts w:eastAsia="Calibri"/>
          <w:spacing w:val="1"/>
          <w:szCs w:val="24"/>
        </w:rPr>
        <w:t>]</w:t>
      </w:r>
    </w:p>
    <w:p w14:paraId="514A3576" w14:textId="77777777" w:rsidR="0001508F" w:rsidRPr="0001508F" w:rsidRDefault="0001508F" w:rsidP="0001508F">
      <w:pPr>
        <w:widowControl w:val="0"/>
        <w:spacing w:before="120" w:after="120"/>
        <w:ind w:left="1440" w:hanging="360"/>
        <w:rPr>
          <w:rFonts w:eastAsia="Calibri"/>
          <w:spacing w:val="1"/>
          <w:szCs w:val="24"/>
        </w:rPr>
      </w:pPr>
      <w:r w:rsidRPr="0001508F">
        <w:rPr>
          <w:rFonts w:eastAsia="Calibri"/>
          <w:spacing w:val="1"/>
          <w:szCs w:val="24"/>
        </w:rPr>
        <w:t>[</w:t>
      </w:r>
      <w:r w:rsidRPr="0001508F">
        <w:rPr>
          <w:rFonts w:eastAsia="Calibri"/>
          <w:strike/>
          <w:spacing w:val="1"/>
          <w:szCs w:val="24"/>
        </w:rPr>
        <w:t xml:space="preserve">12. </w:t>
      </w:r>
      <w:r w:rsidRPr="0001508F">
        <w:rPr>
          <w:rFonts w:eastAsia="Calibri"/>
          <w:b/>
          <w:strike/>
          <w:spacing w:val="1"/>
          <w:szCs w:val="24"/>
        </w:rPr>
        <w:t>Roof recovering and replacements.</w:t>
      </w:r>
      <w:r w:rsidRPr="0001508F">
        <w:rPr>
          <w:rFonts w:eastAsia="Calibri"/>
          <w:b/>
          <w:spacing w:val="1"/>
          <w:szCs w:val="24"/>
        </w:rPr>
        <w:t>]</w:t>
      </w:r>
    </w:p>
    <w:p w14:paraId="26F1E1E9" w14:textId="77777777" w:rsidR="0001508F" w:rsidRPr="0001508F" w:rsidRDefault="0001508F" w:rsidP="0001508F">
      <w:pPr>
        <w:widowControl w:val="0"/>
        <w:spacing w:before="120" w:after="120"/>
        <w:ind w:left="1980" w:hanging="540"/>
        <w:rPr>
          <w:rFonts w:eastAsia="Calibri"/>
          <w:spacing w:val="1"/>
          <w:szCs w:val="24"/>
        </w:rPr>
      </w:pPr>
      <w:r w:rsidRPr="0001508F">
        <w:rPr>
          <w:rFonts w:eastAsia="Calibri"/>
          <w:spacing w:val="1"/>
          <w:szCs w:val="24"/>
        </w:rPr>
        <w:t>[</w:t>
      </w:r>
      <w:r w:rsidRPr="0001508F">
        <w:rPr>
          <w:rFonts w:eastAsia="Calibri"/>
          <w:strike/>
          <w:spacing w:val="1"/>
          <w:szCs w:val="24"/>
        </w:rPr>
        <w:t>12.1.</w:t>
      </w:r>
      <w:r w:rsidRPr="0001508F">
        <w:rPr>
          <w:rFonts w:eastAsia="Calibri"/>
          <w:b/>
          <w:strike/>
          <w:spacing w:val="1"/>
          <w:szCs w:val="24"/>
        </w:rPr>
        <w:tab/>
        <w:t xml:space="preserve">Installation and materials. </w:t>
      </w:r>
      <w:r w:rsidRPr="0001508F">
        <w:rPr>
          <w:rFonts w:eastAsia="Calibri"/>
          <w:strike/>
          <w:spacing w:val="1"/>
          <w:szCs w:val="24"/>
        </w:rPr>
        <w:t>Work involving the recovering or replacing of an existing roof covering shall be governed by sections 1510.1 through 1510.6 of the New York city building code;</w:t>
      </w:r>
      <w:r w:rsidRPr="0001508F">
        <w:rPr>
          <w:rFonts w:eastAsia="Calibri"/>
          <w:spacing w:val="1"/>
          <w:szCs w:val="24"/>
        </w:rPr>
        <w:t>]</w:t>
      </w:r>
    </w:p>
    <w:p w14:paraId="28746CA8" w14:textId="77777777" w:rsidR="0001508F" w:rsidRPr="0001508F" w:rsidRDefault="0001508F" w:rsidP="0001508F">
      <w:pPr>
        <w:widowControl w:val="0"/>
        <w:spacing w:before="120" w:after="120"/>
        <w:ind w:left="1980" w:hanging="540"/>
        <w:rPr>
          <w:rFonts w:eastAsia="Calibri"/>
          <w:spacing w:val="1"/>
          <w:szCs w:val="24"/>
        </w:rPr>
      </w:pPr>
      <w:r w:rsidRPr="0001508F">
        <w:rPr>
          <w:rFonts w:eastAsia="Calibri"/>
          <w:spacing w:val="1"/>
          <w:szCs w:val="24"/>
        </w:rPr>
        <w:t>[</w:t>
      </w:r>
      <w:r w:rsidRPr="0001508F">
        <w:rPr>
          <w:rFonts w:eastAsia="Calibri"/>
          <w:strike/>
          <w:spacing w:val="1"/>
          <w:szCs w:val="24"/>
        </w:rPr>
        <w:t>12.2.</w:t>
      </w:r>
      <w:r w:rsidRPr="0001508F">
        <w:rPr>
          <w:rFonts w:eastAsia="Calibri"/>
          <w:strike/>
          <w:spacing w:val="1"/>
          <w:szCs w:val="24"/>
        </w:rPr>
        <w:tab/>
      </w:r>
      <w:r w:rsidRPr="0001508F">
        <w:rPr>
          <w:rFonts w:eastAsia="Calibri"/>
          <w:b/>
          <w:strike/>
          <w:spacing w:val="1"/>
          <w:szCs w:val="24"/>
        </w:rPr>
        <w:t>Cool roofs.</w:t>
      </w:r>
      <w:r w:rsidRPr="0001508F">
        <w:rPr>
          <w:rFonts w:eastAsia="Calibri"/>
          <w:strike/>
          <w:spacing w:val="1"/>
          <w:szCs w:val="24"/>
        </w:rPr>
        <w:t xml:space="preserve"> Work involving the recovering or replacing of an existing roof covering shall comply with section 1504.9 of the New York city building code unless the area to be recovered or replaced is less than fifty percent of the roof area and less than 500 square feet (46 m</w:t>
      </w:r>
      <w:r w:rsidRPr="0001508F">
        <w:rPr>
          <w:rFonts w:eastAsia="Calibri"/>
          <w:strike/>
          <w:spacing w:val="1"/>
          <w:szCs w:val="24"/>
          <w:vertAlign w:val="superscript"/>
        </w:rPr>
        <w:t>2</w:t>
      </w:r>
      <w:r w:rsidRPr="0001508F">
        <w:rPr>
          <w:rFonts w:eastAsia="Calibri"/>
          <w:strike/>
          <w:spacing w:val="1"/>
          <w:szCs w:val="24"/>
        </w:rPr>
        <w:t>).</w:t>
      </w:r>
      <w:r w:rsidRPr="0001508F">
        <w:rPr>
          <w:rFonts w:eastAsia="Calibri"/>
          <w:spacing w:val="1"/>
          <w:szCs w:val="24"/>
        </w:rPr>
        <w:t>]</w:t>
      </w:r>
    </w:p>
    <w:p w14:paraId="157927AD" w14:textId="77777777" w:rsidR="0001508F" w:rsidRPr="0001508F" w:rsidRDefault="0001508F" w:rsidP="0001508F">
      <w:pPr>
        <w:widowControl w:val="0"/>
        <w:spacing w:before="120" w:after="120"/>
        <w:ind w:left="1980" w:hanging="540"/>
        <w:rPr>
          <w:rFonts w:eastAsia="Calibri"/>
          <w:spacing w:val="1"/>
          <w:szCs w:val="24"/>
        </w:rPr>
      </w:pPr>
      <w:r w:rsidRPr="0001508F">
        <w:rPr>
          <w:rFonts w:eastAsia="Calibri"/>
          <w:spacing w:val="1"/>
          <w:szCs w:val="24"/>
        </w:rPr>
        <w:t>[</w:t>
      </w:r>
      <w:r w:rsidRPr="0001508F">
        <w:rPr>
          <w:rFonts w:eastAsia="Calibri"/>
          <w:strike/>
          <w:spacing w:val="1"/>
          <w:szCs w:val="24"/>
        </w:rPr>
        <w:t>12.3.</w:t>
      </w:r>
      <w:r w:rsidRPr="0001508F">
        <w:rPr>
          <w:rFonts w:eastAsia="Calibri"/>
          <w:strike/>
          <w:spacing w:val="1"/>
          <w:szCs w:val="24"/>
        </w:rPr>
        <w:tab/>
      </w:r>
      <w:r w:rsidRPr="0001508F">
        <w:rPr>
          <w:rFonts w:eastAsia="Calibri"/>
          <w:b/>
          <w:strike/>
          <w:spacing w:val="1"/>
          <w:szCs w:val="24"/>
        </w:rPr>
        <w:t>Green roofs.</w:t>
      </w:r>
      <w:r w:rsidRPr="0001508F">
        <w:rPr>
          <w:rFonts w:eastAsia="Calibri"/>
          <w:strike/>
          <w:spacing w:val="1"/>
          <w:szCs w:val="24"/>
        </w:rPr>
        <w:t xml:space="preserve"> Notwithstanding the applicant’s election to use the 1968 building code or prior code, work involving green roof systems and container gardens shall be permitted to be performed pursuant to Chapter 15 of the New York city building code.</w:t>
      </w:r>
      <w:r w:rsidRPr="0001508F">
        <w:rPr>
          <w:rFonts w:eastAsia="Calibri"/>
          <w:spacing w:val="1"/>
          <w:szCs w:val="24"/>
        </w:rPr>
        <w:t>]</w:t>
      </w:r>
    </w:p>
    <w:p w14:paraId="63F3C5A1" w14:textId="77777777" w:rsidR="0001508F" w:rsidRPr="0001508F" w:rsidRDefault="0001508F" w:rsidP="0001508F">
      <w:pPr>
        <w:widowControl w:val="0"/>
        <w:spacing w:before="120" w:after="120"/>
        <w:ind w:left="1980" w:hanging="540"/>
        <w:rPr>
          <w:rFonts w:eastAsia="Calibri"/>
          <w:spacing w:val="1"/>
          <w:szCs w:val="24"/>
        </w:rPr>
      </w:pPr>
      <w:r w:rsidRPr="0001508F">
        <w:rPr>
          <w:rFonts w:eastAsia="Calibri"/>
          <w:spacing w:val="1"/>
          <w:szCs w:val="24"/>
        </w:rPr>
        <w:t>[</w:t>
      </w:r>
      <w:r w:rsidRPr="0001508F">
        <w:rPr>
          <w:rFonts w:eastAsia="Calibri"/>
          <w:strike/>
          <w:spacing w:val="1"/>
          <w:szCs w:val="24"/>
        </w:rPr>
        <w:t>12.4.</w:t>
      </w:r>
      <w:r w:rsidRPr="0001508F">
        <w:rPr>
          <w:rFonts w:eastAsia="Calibri"/>
          <w:strike/>
          <w:spacing w:val="1"/>
          <w:szCs w:val="24"/>
        </w:rPr>
        <w:tab/>
      </w:r>
      <w:r w:rsidRPr="0001508F">
        <w:rPr>
          <w:rFonts w:eastAsia="Calibri"/>
          <w:b/>
          <w:strike/>
          <w:spacing w:val="1"/>
          <w:szCs w:val="24"/>
        </w:rPr>
        <w:t>Sustainable roofs.</w:t>
      </w:r>
      <w:r w:rsidRPr="0001508F">
        <w:rPr>
          <w:rFonts w:eastAsia="Calibri"/>
          <w:strike/>
          <w:spacing w:val="1"/>
          <w:szCs w:val="24"/>
        </w:rPr>
        <w:t xml:space="preserve"> Work involving the replacing of an entire existing roof deck or roof assembly shall comply with section 1511.2 of the New York city building code.</w:t>
      </w:r>
      <w:r w:rsidRPr="0001508F">
        <w:rPr>
          <w:rFonts w:eastAsia="Calibri"/>
          <w:spacing w:val="1"/>
          <w:szCs w:val="24"/>
        </w:rPr>
        <w:t>]</w:t>
      </w:r>
    </w:p>
    <w:p w14:paraId="19F18AA8" w14:textId="77777777" w:rsidR="0001508F" w:rsidRPr="0001508F" w:rsidRDefault="0001508F" w:rsidP="0001508F">
      <w:pPr>
        <w:widowControl w:val="0"/>
        <w:spacing w:before="120" w:after="120"/>
        <w:ind w:left="1440" w:hanging="360"/>
        <w:rPr>
          <w:rFonts w:eastAsia="Calibri"/>
          <w:spacing w:val="1"/>
          <w:szCs w:val="24"/>
        </w:rPr>
      </w:pPr>
      <w:r w:rsidRPr="0001508F">
        <w:rPr>
          <w:rFonts w:eastAsia="Calibri"/>
          <w:spacing w:val="1"/>
          <w:szCs w:val="24"/>
        </w:rPr>
        <w:t>[</w:t>
      </w:r>
      <w:r w:rsidRPr="0001508F">
        <w:rPr>
          <w:rFonts w:eastAsia="Calibri"/>
          <w:strike/>
          <w:spacing w:val="1"/>
          <w:szCs w:val="24"/>
        </w:rPr>
        <w:t xml:space="preserve">13. </w:t>
      </w:r>
      <w:r w:rsidRPr="0001508F">
        <w:rPr>
          <w:rFonts w:eastAsia="Calibri"/>
          <w:b/>
          <w:strike/>
          <w:spacing w:val="1"/>
          <w:szCs w:val="24"/>
        </w:rPr>
        <w:t>Handrails.</w:t>
      </w:r>
      <w:r w:rsidRPr="0001508F">
        <w:rPr>
          <w:rFonts w:eastAsia="Calibri"/>
          <w:strike/>
          <w:spacing w:val="1"/>
          <w:szCs w:val="24"/>
        </w:rPr>
        <w:t xml:space="preserve"> Where the alteration of a building includes the addition or replacement of an entire stair enclosure including the stairs, handrails shall comply with section 1009.12 and section 1012 of the New York city building code. Where the alteration of a building includes the addition or replacement of ramps, handrails shall comply with section 1010.8 and section 1012 of such code.</w:t>
      </w:r>
      <w:r w:rsidRPr="0001508F">
        <w:rPr>
          <w:rFonts w:eastAsia="Calibri"/>
          <w:spacing w:val="1"/>
          <w:szCs w:val="24"/>
        </w:rPr>
        <w:t>]</w:t>
      </w:r>
    </w:p>
    <w:p w14:paraId="6261085A" w14:textId="77777777" w:rsidR="0001508F" w:rsidRPr="0001508F" w:rsidRDefault="0001508F" w:rsidP="0001508F">
      <w:pPr>
        <w:widowControl w:val="0"/>
        <w:spacing w:before="120" w:after="120"/>
        <w:ind w:left="1440" w:hanging="360"/>
        <w:rPr>
          <w:rFonts w:eastAsia="Calibri"/>
          <w:spacing w:val="1"/>
          <w:szCs w:val="24"/>
        </w:rPr>
      </w:pPr>
      <w:r w:rsidRPr="0001508F">
        <w:rPr>
          <w:rFonts w:eastAsia="Calibri"/>
          <w:spacing w:val="1"/>
          <w:szCs w:val="24"/>
        </w:rPr>
        <w:t>[</w:t>
      </w:r>
      <w:r w:rsidRPr="0001508F">
        <w:rPr>
          <w:rFonts w:eastAsia="Calibri"/>
          <w:strike/>
          <w:spacing w:val="1"/>
          <w:szCs w:val="24"/>
        </w:rPr>
        <w:t xml:space="preserve">14. </w:t>
      </w:r>
      <w:r w:rsidRPr="0001508F">
        <w:rPr>
          <w:rFonts w:eastAsia="Calibri"/>
          <w:b/>
          <w:strike/>
          <w:spacing w:val="1"/>
          <w:szCs w:val="24"/>
        </w:rPr>
        <w:t>Guards.</w:t>
      </w:r>
      <w:r w:rsidRPr="0001508F">
        <w:rPr>
          <w:rFonts w:eastAsia="Calibri"/>
          <w:strike/>
          <w:spacing w:val="1"/>
          <w:szCs w:val="24"/>
        </w:rPr>
        <w:t xml:space="preserve"> Where the alteration or repair of a building involves the addition or replacement of guards, such guards shall comply with sections 1013 and 1607.7 of the New York city building code.</w:t>
      </w:r>
      <w:r w:rsidRPr="0001508F">
        <w:rPr>
          <w:rFonts w:eastAsia="Calibri"/>
          <w:spacing w:val="1"/>
          <w:szCs w:val="24"/>
        </w:rPr>
        <w:t>]</w:t>
      </w:r>
    </w:p>
    <w:p w14:paraId="3F8A3CD0" w14:textId="77777777" w:rsidR="0001508F" w:rsidRPr="0001508F" w:rsidRDefault="0001508F" w:rsidP="0001508F">
      <w:pPr>
        <w:widowControl w:val="0"/>
        <w:spacing w:before="120" w:after="120"/>
        <w:ind w:left="1440" w:hanging="360"/>
        <w:rPr>
          <w:rFonts w:eastAsia="Calibri"/>
          <w:spacing w:val="1"/>
          <w:szCs w:val="24"/>
        </w:rPr>
      </w:pPr>
      <w:r w:rsidRPr="0001508F">
        <w:rPr>
          <w:rFonts w:eastAsia="Calibri"/>
          <w:spacing w:val="1"/>
          <w:szCs w:val="24"/>
        </w:rPr>
        <w:t>[</w:t>
      </w:r>
      <w:r w:rsidRPr="0001508F">
        <w:rPr>
          <w:rFonts w:eastAsia="Calibri"/>
          <w:strike/>
          <w:spacing w:val="1"/>
          <w:szCs w:val="24"/>
        </w:rPr>
        <w:t xml:space="preserve">15. </w:t>
      </w:r>
      <w:r w:rsidRPr="0001508F">
        <w:rPr>
          <w:rFonts w:eastAsia="Calibri"/>
          <w:b/>
          <w:strike/>
          <w:spacing w:val="1"/>
          <w:szCs w:val="24"/>
        </w:rPr>
        <w:t>Flood hazard areas.</w:t>
      </w:r>
      <w:r w:rsidRPr="0001508F">
        <w:rPr>
          <w:rFonts w:eastAsia="Calibri"/>
          <w:strike/>
          <w:spacing w:val="1"/>
          <w:szCs w:val="24"/>
        </w:rPr>
        <w:t xml:space="preserve"> Within flood hazard areas in accordance with section 28-104.9.4, all work for any activity regulated by Appendix G of the New York city building code shall be governed by such appendix.</w:t>
      </w:r>
      <w:r w:rsidRPr="0001508F">
        <w:rPr>
          <w:rFonts w:eastAsia="Calibri"/>
          <w:spacing w:val="1"/>
          <w:szCs w:val="24"/>
        </w:rPr>
        <w:t>]</w:t>
      </w:r>
    </w:p>
    <w:p w14:paraId="354BC26B" w14:textId="77777777" w:rsidR="0001508F" w:rsidRPr="0001508F" w:rsidRDefault="0001508F" w:rsidP="0001508F">
      <w:pPr>
        <w:widowControl w:val="0"/>
        <w:spacing w:before="120" w:after="120"/>
        <w:ind w:left="1440" w:hanging="360"/>
        <w:rPr>
          <w:rFonts w:eastAsia="Calibri"/>
          <w:spacing w:val="1"/>
          <w:szCs w:val="24"/>
        </w:rPr>
      </w:pPr>
      <w:r w:rsidRPr="0001508F">
        <w:rPr>
          <w:rFonts w:eastAsia="Calibri"/>
          <w:spacing w:val="1"/>
          <w:szCs w:val="24"/>
        </w:rPr>
        <w:t>[</w:t>
      </w:r>
      <w:r w:rsidRPr="0001508F">
        <w:rPr>
          <w:rFonts w:eastAsia="Calibri"/>
          <w:strike/>
          <w:spacing w:val="1"/>
          <w:szCs w:val="24"/>
        </w:rPr>
        <w:t xml:space="preserve">16. </w:t>
      </w:r>
      <w:r w:rsidRPr="0001508F">
        <w:rPr>
          <w:rFonts w:eastAsia="Calibri"/>
          <w:b/>
          <w:strike/>
          <w:spacing w:val="1"/>
          <w:szCs w:val="24"/>
        </w:rPr>
        <w:t>Structural.</w:t>
      </w:r>
      <w:r w:rsidRPr="0001508F">
        <w:rPr>
          <w:rFonts w:eastAsia="Calibri"/>
          <w:strike/>
          <w:spacing w:val="1"/>
          <w:szCs w:val="24"/>
        </w:rPr>
        <w:t xml:space="preserve"> The use of load resistance factor design (LRFD), calculation of live loads, and applicability of seismic and wind loads shall be governed by special provisions for prior code buildings as set forth in section 1601.2 of the New York city building code.</w:t>
      </w:r>
      <w:r w:rsidRPr="0001508F">
        <w:rPr>
          <w:rFonts w:eastAsia="Calibri"/>
          <w:spacing w:val="1"/>
          <w:szCs w:val="24"/>
        </w:rPr>
        <w:t>]</w:t>
      </w:r>
    </w:p>
    <w:p w14:paraId="366E47F5" w14:textId="77777777" w:rsidR="0001508F" w:rsidRPr="0001508F" w:rsidRDefault="0001508F" w:rsidP="0001508F">
      <w:pPr>
        <w:widowControl w:val="0"/>
        <w:spacing w:before="120" w:after="120"/>
        <w:ind w:left="1440" w:hanging="360"/>
        <w:rPr>
          <w:rFonts w:eastAsia="Calibri"/>
          <w:spacing w:val="1"/>
          <w:szCs w:val="24"/>
        </w:rPr>
      </w:pPr>
      <w:r w:rsidRPr="0001508F">
        <w:rPr>
          <w:rFonts w:eastAsia="Calibri"/>
          <w:spacing w:val="1"/>
          <w:szCs w:val="24"/>
        </w:rPr>
        <w:t>[</w:t>
      </w:r>
      <w:r w:rsidRPr="0001508F">
        <w:rPr>
          <w:rFonts w:eastAsia="Calibri"/>
          <w:strike/>
          <w:spacing w:val="1"/>
          <w:szCs w:val="24"/>
        </w:rPr>
        <w:t xml:space="preserve">17. </w:t>
      </w:r>
      <w:r w:rsidRPr="0001508F">
        <w:rPr>
          <w:rFonts w:eastAsia="Calibri"/>
          <w:b/>
          <w:strike/>
          <w:spacing w:val="1"/>
          <w:szCs w:val="24"/>
        </w:rPr>
        <w:t>Emergency and standby power systems.</w:t>
      </w:r>
      <w:r w:rsidRPr="0001508F">
        <w:rPr>
          <w:rFonts w:eastAsia="Calibri"/>
          <w:strike/>
          <w:spacing w:val="1"/>
          <w:szCs w:val="24"/>
        </w:rPr>
        <w:t xml:space="preserve"> The installation of and work on emergency and standby power systems shall comply with section 2702.1 of the New York city building code.</w:t>
      </w:r>
      <w:r w:rsidRPr="0001508F">
        <w:rPr>
          <w:rFonts w:eastAsia="Calibri"/>
          <w:spacing w:val="1"/>
          <w:szCs w:val="24"/>
        </w:rPr>
        <w:t>]</w:t>
      </w:r>
    </w:p>
    <w:p w14:paraId="3FCB479D" w14:textId="77777777" w:rsidR="0001508F" w:rsidRPr="0001508F" w:rsidRDefault="0001508F" w:rsidP="0001508F">
      <w:pPr>
        <w:widowControl w:val="0"/>
        <w:spacing w:before="120" w:after="120"/>
        <w:ind w:left="1440" w:hanging="360"/>
        <w:rPr>
          <w:rFonts w:eastAsia="Calibri"/>
          <w:spacing w:val="1"/>
          <w:szCs w:val="24"/>
        </w:rPr>
      </w:pPr>
      <w:r w:rsidRPr="0001508F">
        <w:rPr>
          <w:rFonts w:eastAsia="Calibri"/>
          <w:spacing w:val="1"/>
          <w:szCs w:val="24"/>
        </w:rPr>
        <w:t>[</w:t>
      </w:r>
      <w:r w:rsidRPr="0001508F">
        <w:rPr>
          <w:rFonts w:eastAsia="Calibri"/>
          <w:strike/>
          <w:spacing w:val="1"/>
          <w:szCs w:val="24"/>
        </w:rPr>
        <w:t xml:space="preserve">18. </w:t>
      </w:r>
      <w:r w:rsidRPr="0001508F">
        <w:rPr>
          <w:rFonts w:eastAsia="Calibri"/>
          <w:b/>
          <w:strike/>
          <w:spacing w:val="1"/>
          <w:szCs w:val="24"/>
        </w:rPr>
        <w:t>Parking garages and open parking lots.</w:t>
      </w:r>
      <w:r w:rsidRPr="0001508F">
        <w:rPr>
          <w:rFonts w:eastAsia="Calibri"/>
          <w:strike/>
          <w:spacing w:val="1"/>
          <w:szCs w:val="24"/>
        </w:rPr>
        <w:t xml:space="preserve"> Where an alteration of a parking garage or an open parking lot includes an increase in the size of the electric service, such alteration shall include provisions for the installation of electric vehicle charging stations in accordance with section 406.2.11 or 406.7.11 of the New York city building code, as applicable.</w:t>
      </w:r>
      <w:r w:rsidRPr="0001508F">
        <w:rPr>
          <w:rFonts w:eastAsia="Calibri"/>
          <w:spacing w:val="1"/>
          <w:szCs w:val="24"/>
        </w:rPr>
        <w:t>]</w:t>
      </w:r>
    </w:p>
    <w:p w14:paraId="7487220E" w14:textId="77777777" w:rsidR="0001508F" w:rsidRPr="0001508F" w:rsidRDefault="0001508F" w:rsidP="0001508F">
      <w:pPr>
        <w:widowControl w:val="0"/>
        <w:spacing w:before="120" w:after="120"/>
        <w:ind w:left="1440" w:hanging="360"/>
        <w:rPr>
          <w:rFonts w:eastAsia="Calibri"/>
          <w:spacing w:val="1"/>
          <w:szCs w:val="24"/>
        </w:rPr>
      </w:pPr>
      <w:r w:rsidRPr="0001508F">
        <w:rPr>
          <w:rFonts w:eastAsia="Calibri"/>
          <w:spacing w:val="1"/>
          <w:szCs w:val="24"/>
        </w:rPr>
        <w:t>[</w:t>
      </w:r>
      <w:r w:rsidRPr="0001508F">
        <w:rPr>
          <w:rFonts w:eastAsia="Calibri"/>
          <w:strike/>
          <w:spacing w:val="1"/>
          <w:szCs w:val="24"/>
        </w:rPr>
        <w:t xml:space="preserve">19. </w:t>
      </w:r>
      <w:r w:rsidRPr="0001508F">
        <w:rPr>
          <w:rFonts w:eastAsia="Calibri"/>
          <w:b/>
          <w:strike/>
          <w:spacing w:val="1"/>
          <w:szCs w:val="24"/>
        </w:rPr>
        <w:t>Mold protection.</w:t>
      </w:r>
      <w:r w:rsidRPr="0001508F">
        <w:rPr>
          <w:rFonts w:eastAsia="Calibri"/>
          <w:strike/>
          <w:spacing w:val="1"/>
          <w:szCs w:val="24"/>
        </w:rPr>
        <w:t xml:space="preserve"> Alterations shall comply with sections 2506 and 2509 of the New York city building code relating to areas subject to moisture or water damage.</w:t>
      </w:r>
      <w:r w:rsidRPr="0001508F">
        <w:rPr>
          <w:rFonts w:eastAsia="Calibri"/>
          <w:spacing w:val="1"/>
          <w:szCs w:val="24"/>
        </w:rPr>
        <w:t>]</w:t>
      </w:r>
    </w:p>
    <w:p w14:paraId="7F3272FC" w14:textId="77777777" w:rsidR="0001508F" w:rsidRPr="0001508F" w:rsidRDefault="0001508F" w:rsidP="0001508F">
      <w:pPr>
        <w:widowControl w:val="0"/>
        <w:spacing w:before="120" w:after="120"/>
        <w:ind w:left="1440" w:hanging="360"/>
        <w:rPr>
          <w:rFonts w:eastAsia="Calibri"/>
          <w:spacing w:val="1"/>
          <w:szCs w:val="24"/>
        </w:rPr>
      </w:pPr>
      <w:r w:rsidRPr="0001508F">
        <w:rPr>
          <w:rFonts w:eastAsia="Calibri"/>
          <w:spacing w:val="1"/>
          <w:szCs w:val="24"/>
        </w:rPr>
        <w:t>[</w:t>
      </w:r>
      <w:r w:rsidRPr="0001508F">
        <w:rPr>
          <w:rFonts w:eastAsia="Calibri"/>
          <w:strike/>
          <w:spacing w:val="1"/>
          <w:szCs w:val="24"/>
        </w:rPr>
        <w:t xml:space="preserve">20. </w:t>
      </w:r>
      <w:r w:rsidRPr="0001508F">
        <w:rPr>
          <w:rFonts w:eastAsia="Calibri"/>
          <w:b/>
          <w:bCs/>
          <w:strike/>
          <w:spacing w:val="1"/>
          <w:szCs w:val="24"/>
        </w:rPr>
        <w:t>Exterior glazing.</w:t>
      </w:r>
      <w:r w:rsidRPr="0001508F">
        <w:rPr>
          <w:rFonts w:eastAsia="Calibri"/>
          <w:strike/>
          <w:spacing w:val="1"/>
          <w:szCs w:val="24"/>
        </w:rPr>
        <w:t xml:space="preserve"> Where the alteration of a building includes the replacement of all exterior glazing, such alteration shall comply with section 1403.8 of the New York city building code.</w:t>
      </w:r>
      <w:r w:rsidRPr="0001508F">
        <w:rPr>
          <w:rFonts w:eastAsia="Calibri"/>
          <w:spacing w:val="1"/>
          <w:szCs w:val="24"/>
        </w:rPr>
        <w:t>]</w:t>
      </w:r>
    </w:p>
    <w:p w14:paraId="4D723025" w14:textId="77777777" w:rsidR="0001508F" w:rsidRPr="0001508F" w:rsidRDefault="0001508F" w:rsidP="0001508F">
      <w:pPr>
        <w:suppressAutoHyphens/>
        <w:spacing w:after="240"/>
        <w:rPr>
          <w:bCs/>
          <w:szCs w:val="24"/>
        </w:rPr>
      </w:pPr>
      <w:r w:rsidRPr="0001508F">
        <w:rPr>
          <w:b/>
          <w:szCs w:val="24"/>
        </w:rPr>
        <w:t>[</w:t>
      </w:r>
      <w:r w:rsidRPr="0001508F">
        <w:rPr>
          <w:b/>
          <w:strike/>
          <w:szCs w:val="24"/>
        </w:rPr>
        <w:t>§28-101.4.4 Reductions of fire safety or structural safety of prior code buildings prohibited.</w:t>
      </w:r>
      <w:r w:rsidRPr="0001508F">
        <w:rPr>
          <w:rFonts w:ascii="Calibri" w:eastAsia="Calibri" w:hAnsi="Calibri"/>
          <w:strike/>
          <w:szCs w:val="24"/>
        </w:rPr>
        <w:t xml:space="preserve"> </w:t>
      </w:r>
      <w:r w:rsidRPr="0001508F">
        <w:rPr>
          <w:bCs/>
          <w:strike/>
          <w:szCs w:val="24"/>
        </w:rPr>
        <w:t>Notwithstanding any other provision of this code, where the alteration of any prior code building or structure in accordance with a provision of this code would result in a reduction of the fire safety or structural safety of such building, relevant provisions of the 1968 building code shall apply to such alteration unless there is full compliance with those provisions of this code that would mitigate or offset such reduction of fire protection or structural safety. Where the owner, having a choice to elect the 1968 building code or this code, chooses this code, the applicant shall submit a comparative analysis acceptable to the commissioner of the relevant fire safety and structural safety provisions under the 1968 building code and this code, demonstrating that the alteration does not result in a reduction to the fire and life safety of the building.</w:t>
      </w:r>
      <w:r w:rsidRPr="0001508F">
        <w:rPr>
          <w:bCs/>
          <w:szCs w:val="24"/>
        </w:rPr>
        <w:t>]</w:t>
      </w:r>
    </w:p>
    <w:p w14:paraId="30ADEC5C" w14:textId="77777777" w:rsidR="0001508F" w:rsidRPr="0001508F" w:rsidRDefault="0001508F" w:rsidP="0001508F">
      <w:pPr>
        <w:suppressAutoHyphens/>
        <w:spacing w:after="240"/>
        <w:ind w:left="360"/>
        <w:rPr>
          <w:b/>
          <w:szCs w:val="24"/>
        </w:rPr>
      </w:pPr>
      <w:r w:rsidRPr="0001508F">
        <w:rPr>
          <w:bCs/>
          <w:szCs w:val="24"/>
        </w:rPr>
        <w:t>[</w:t>
      </w:r>
      <w:r w:rsidRPr="0001508F">
        <w:rPr>
          <w:b/>
          <w:strike/>
          <w:szCs w:val="24"/>
        </w:rPr>
        <w:t>Exception:</w:t>
      </w:r>
      <w:r w:rsidRPr="0001508F">
        <w:rPr>
          <w:bCs/>
          <w:strike/>
          <w:szCs w:val="24"/>
        </w:rPr>
        <w:t xml:space="preserve"> The use of automatic-closing by smoke detection for doors serving vertical exit enclosures in accordance with section 713.7 of the New York city building code in a prior code building shall not be deemed to result in a reduction of the fire safety or structural safety of such a building.</w:t>
      </w:r>
      <w:r w:rsidRPr="0001508F">
        <w:rPr>
          <w:bCs/>
          <w:szCs w:val="24"/>
        </w:rPr>
        <w:t>]</w:t>
      </w:r>
    </w:p>
    <w:p w14:paraId="1B515500" w14:textId="77777777" w:rsidR="0001508F" w:rsidRPr="0001508F" w:rsidRDefault="0001508F" w:rsidP="0001508F">
      <w:pPr>
        <w:suppressAutoHyphens/>
        <w:spacing w:after="240"/>
        <w:rPr>
          <w:bCs/>
          <w:szCs w:val="24"/>
        </w:rPr>
      </w:pPr>
      <w:r w:rsidRPr="0001508F">
        <w:rPr>
          <w:b/>
          <w:szCs w:val="24"/>
        </w:rPr>
        <w:t>[</w:t>
      </w:r>
      <w:r w:rsidRPr="0001508F">
        <w:rPr>
          <w:b/>
          <w:strike/>
          <w:szCs w:val="24"/>
        </w:rPr>
        <w:t>§28-101.4.5</w:t>
      </w:r>
      <w:r w:rsidRPr="0001508F">
        <w:rPr>
          <w:b/>
          <w:szCs w:val="24"/>
        </w:rPr>
        <w:t xml:space="preserve">] </w:t>
      </w:r>
      <w:r w:rsidRPr="0001508F">
        <w:rPr>
          <w:b/>
          <w:szCs w:val="24"/>
          <w:u w:val="single"/>
        </w:rPr>
        <w:t>§28-101.4.2</w:t>
      </w:r>
      <w:r w:rsidRPr="0001508F">
        <w:rPr>
          <w:b/>
          <w:szCs w:val="24"/>
        </w:rPr>
        <w:t xml:space="preserve"> Work that increases existing floor surface area of [a prior code] </w:t>
      </w:r>
      <w:r w:rsidRPr="0001508F">
        <w:rPr>
          <w:b/>
          <w:szCs w:val="24"/>
          <w:u w:val="single"/>
        </w:rPr>
        <w:t>an</w:t>
      </w:r>
      <w:r w:rsidRPr="0001508F">
        <w:rPr>
          <w:b/>
          <w:szCs w:val="24"/>
        </w:rPr>
        <w:t xml:space="preserve"> </w:t>
      </w:r>
      <w:r w:rsidRPr="0001508F">
        <w:rPr>
          <w:b/>
          <w:szCs w:val="24"/>
          <w:u w:val="single"/>
        </w:rPr>
        <w:t>existing</w:t>
      </w:r>
      <w:r w:rsidRPr="0001508F">
        <w:rPr>
          <w:b/>
          <w:szCs w:val="24"/>
        </w:rPr>
        <w:t xml:space="preserve"> building by more than 110 percent.</w:t>
      </w:r>
      <w:r w:rsidRPr="0001508F">
        <w:rPr>
          <w:szCs w:val="24"/>
        </w:rPr>
        <w:t xml:space="preserve"> [</w:t>
      </w:r>
      <w:r w:rsidRPr="0001508F">
        <w:rPr>
          <w:bCs/>
          <w:strike/>
          <w:szCs w:val="24"/>
        </w:rPr>
        <w:t>Notwithstanding sections 28-101.4.3 and 28-102.4.3 or any other provision of this code that would authorize alterations of prior code buildings in accordance with the 1968 building code or prior codes, where the</w:t>
      </w:r>
      <w:r w:rsidRPr="0001508F">
        <w:rPr>
          <w:bCs/>
          <w:szCs w:val="24"/>
        </w:rPr>
        <w:t xml:space="preserve">] </w:t>
      </w:r>
      <w:r w:rsidRPr="0001508F">
        <w:rPr>
          <w:bCs/>
          <w:szCs w:val="24"/>
          <w:u w:val="single"/>
        </w:rPr>
        <w:t>Where, in accordance with chapter 3 of the existing building code,</w:t>
      </w:r>
      <w:r w:rsidRPr="0001508F">
        <w:rPr>
          <w:bCs/>
          <w:szCs w:val="24"/>
        </w:rPr>
        <w:t xml:space="preserve"> proposed work </w:t>
      </w:r>
      <w:r w:rsidRPr="0001508F">
        <w:rPr>
          <w:bCs/>
          <w:szCs w:val="24"/>
          <w:u w:val="single"/>
        </w:rPr>
        <w:t>on an existing building will,</w:t>
      </w:r>
      <w:r w:rsidRPr="0001508F">
        <w:rPr>
          <w:bCs/>
          <w:szCs w:val="24"/>
        </w:rPr>
        <w:t xml:space="preserve"> at the completion of construction, [will] increase the amount of floor surface area [</w:t>
      </w:r>
      <w:r w:rsidRPr="0001508F">
        <w:rPr>
          <w:bCs/>
          <w:strike/>
          <w:szCs w:val="24"/>
        </w:rPr>
        <w:t>of a prior code building</w:t>
      </w:r>
      <w:r w:rsidRPr="0001508F">
        <w:rPr>
          <w:bCs/>
          <w:szCs w:val="24"/>
        </w:rPr>
        <w:t>] by more than 110%, over the amount of existing floor surface area, such entire building shall be made to comply with the provisions of this code as if it were a new building [</w:t>
      </w:r>
      <w:r w:rsidRPr="0001508F">
        <w:rPr>
          <w:bCs/>
          <w:strike/>
          <w:szCs w:val="24"/>
        </w:rPr>
        <w:t>hereafter erected</w:t>
      </w:r>
      <w:r w:rsidRPr="0001508F">
        <w:rPr>
          <w:bCs/>
          <w:szCs w:val="24"/>
        </w:rPr>
        <w:t xml:space="preserve">]. </w:t>
      </w:r>
    </w:p>
    <w:p w14:paraId="1A3690BB" w14:textId="77777777" w:rsidR="0001508F" w:rsidRPr="0001508F" w:rsidRDefault="0001508F" w:rsidP="0001508F">
      <w:pPr>
        <w:suppressAutoHyphens/>
        <w:spacing w:after="240"/>
        <w:ind w:left="360"/>
        <w:rPr>
          <w:bCs/>
          <w:szCs w:val="24"/>
        </w:rPr>
      </w:pPr>
      <w:r w:rsidRPr="0001508F">
        <w:rPr>
          <w:bCs/>
          <w:szCs w:val="24"/>
        </w:rPr>
        <w:t>[</w:t>
      </w:r>
      <w:r w:rsidRPr="0001508F">
        <w:rPr>
          <w:b/>
          <w:strike/>
          <w:szCs w:val="24"/>
        </w:rPr>
        <w:t>Exceptions</w:t>
      </w:r>
      <w:r w:rsidRPr="0001508F">
        <w:rPr>
          <w:bCs/>
          <w:strike/>
          <w:szCs w:val="24"/>
        </w:rPr>
        <w:t>: When determining the amount of existing floor surface area for the purposes of section 28-101.4.5, the following shall be excluded from the measured square footage of floor surface area:</w:t>
      </w:r>
      <w:r w:rsidRPr="0001508F">
        <w:rPr>
          <w:bCs/>
          <w:szCs w:val="24"/>
        </w:rPr>
        <w:t>]</w:t>
      </w:r>
    </w:p>
    <w:p w14:paraId="3A5B2476" w14:textId="77777777" w:rsidR="0001508F" w:rsidRPr="0001508F" w:rsidRDefault="0001508F" w:rsidP="0001508F">
      <w:pPr>
        <w:suppressAutoHyphens/>
        <w:spacing w:after="240"/>
        <w:ind w:left="1080" w:hanging="360"/>
        <w:rPr>
          <w:bCs/>
          <w:szCs w:val="24"/>
        </w:rPr>
      </w:pPr>
      <w:r w:rsidRPr="0001508F">
        <w:rPr>
          <w:bCs/>
          <w:szCs w:val="24"/>
        </w:rPr>
        <w:t>[</w:t>
      </w:r>
      <w:r w:rsidRPr="0001508F">
        <w:rPr>
          <w:bCs/>
          <w:strike/>
          <w:szCs w:val="24"/>
        </w:rPr>
        <w:t>1.</w:t>
      </w:r>
      <w:r w:rsidRPr="0001508F">
        <w:rPr>
          <w:bCs/>
          <w:strike/>
          <w:szCs w:val="24"/>
        </w:rPr>
        <w:tab/>
        <w:t>The square footage of floors removed during the course of the work when such floors are removed together with the supporting beams, joists, decking and slabs on grade.</w:t>
      </w:r>
      <w:r w:rsidRPr="0001508F">
        <w:rPr>
          <w:bCs/>
          <w:szCs w:val="24"/>
        </w:rPr>
        <w:t>]</w:t>
      </w:r>
    </w:p>
    <w:p w14:paraId="55928421" w14:textId="77777777" w:rsidR="0001508F" w:rsidRPr="0001508F" w:rsidRDefault="0001508F" w:rsidP="0001508F">
      <w:pPr>
        <w:suppressAutoHyphens/>
        <w:spacing w:after="240"/>
        <w:ind w:left="1080" w:hanging="360"/>
        <w:rPr>
          <w:bCs/>
          <w:szCs w:val="24"/>
        </w:rPr>
      </w:pPr>
      <w:r w:rsidRPr="0001508F">
        <w:rPr>
          <w:bCs/>
          <w:szCs w:val="24"/>
        </w:rPr>
        <w:t>[</w:t>
      </w:r>
      <w:r w:rsidRPr="0001508F">
        <w:rPr>
          <w:bCs/>
          <w:strike/>
          <w:szCs w:val="24"/>
        </w:rPr>
        <w:t>2.</w:t>
      </w:r>
      <w:r w:rsidRPr="0001508F">
        <w:rPr>
          <w:bCs/>
          <w:strike/>
          <w:szCs w:val="24"/>
        </w:rPr>
        <w:tab/>
        <w:t>The square footage of any floor that was installed together with the supporting beams, joists, decking and slabs on grade less than 12 months prior to submission of the application for construction document approval for the proposed work. For the purposes of this exception, floors installed pursuant to a work permit signed off less than 12 months before such submission shall not be counted as existing floor surface area.</w:t>
      </w:r>
      <w:r w:rsidRPr="0001508F">
        <w:rPr>
          <w:bCs/>
          <w:szCs w:val="24"/>
        </w:rPr>
        <w:t>]</w:t>
      </w:r>
    </w:p>
    <w:p w14:paraId="70E3C7D8" w14:textId="77777777" w:rsidR="0001508F" w:rsidRPr="0001508F" w:rsidRDefault="0001508F" w:rsidP="0001508F">
      <w:pPr>
        <w:suppressAutoHyphens/>
        <w:spacing w:after="240"/>
        <w:rPr>
          <w:bCs/>
          <w:szCs w:val="24"/>
        </w:rPr>
      </w:pPr>
      <w:r w:rsidRPr="0001508F">
        <w:rPr>
          <w:bCs/>
          <w:szCs w:val="24"/>
        </w:rPr>
        <w:t>[</w:t>
      </w:r>
      <w:r w:rsidRPr="0001508F">
        <w:rPr>
          <w:b/>
          <w:strike/>
          <w:szCs w:val="24"/>
        </w:rPr>
        <w:t xml:space="preserve">§28-101.4.5.1 Changes in scope of work. </w:t>
      </w:r>
      <w:r w:rsidRPr="0001508F">
        <w:rPr>
          <w:bCs/>
          <w:strike/>
          <w:szCs w:val="24"/>
        </w:rPr>
        <w:t>In cases where changes in the scope of work during the course of construction would result in increasing the floor surface area at the completion of construction by more than 110 percent over the amount of existing floor surface area as determined pursuant to section 28-101.4.5, such entire building shall be made to comply with the provisions of this code as if hereafter erected and such work shall be refiled as a new building application in accordance with the provisions of section 28-105.2.</w:t>
      </w:r>
      <w:r w:rsidRPr="0001508F">
        <w:rPr>
          <w:bCs/>
          <w:szCs w:val="24"/>
        </w:rPr>
        <w:t>]</w:t>
      </w:r>
    </w:p>
    <w:p w14:paraId="6D768BD9" w14:textId="77777777" w:rsidR="0001508F" w:rsidRPr="0001508F" w:rsidRDefault="0001508F" w:rsidP="0001508F">
      <w:pPr>
        <w:suppressAutoHyphens/>
        <w:spacing w:after="240"/>
        <w:ind w:left="360"/>
        <w:rPr>
          <w:bCs/>
          <w:szCs w:val="24"/>
        </w:rPr>
      </w:pPr>
      <w:r w:rsidRPr="0001508F">
        <w:rPr>
          <w:bCs/>
          <w:szCs w:val="24"/>
        </w:rPr>
        <w:t>[</w:t>
      </w:r>
      <w:r w:rsidRPr="0001508F">
        <w:rPr>
          <w:b/>
          <w:strike/>
          <w:szCs w:val="24"/>
        </w:rPr>
        <w:t xml:space="preserve">Exception: </w:t>
      </w:r>
      <w:r w:rsidRPr="0001508F">
        <w:rPr>
          <w:bCs/>
          <w:strike/>
          <w:szCs w:val="24"/>
        </w:rPr>
        <w:t>Work to the extent necessary to relieve an emergency condition may be performed prior to amending plans or obtaining a new permit pursuant to sections 28-105.4.1 and 28-105.12.2.</w:t>
      </w:r>
      <w:r w:rsidRPr="0001508F">
        <w:rPr>
          <w:bCs/>
          <w:szCs w:val="24"/>
        </w:rPr>
        <w:t>]</w:t>
      </w:r>
    </w:p>
    <w:p w14:paraId="77DFF0B3" w14:textId="77777777" w:rsidR="0001508F" w:rsidRPr="0001508F" w:rsidRDefault="0001508F" w:rsidP="0001508F">
      <w:pPr>
        <w:suppressAutoHyphens/>
        <w:spacing w:after="240"/>
        <w:rPr>
          <w:bCs/>
          <w:szCs w:val="24"/>
        </w:rPr>
      </w:pPr>
      <w:r w:rsidRPr="0001508F">
        <w:rPr>
          <w:bCs/>
          <w:szCs w:val="24"/>
        </w:rPr>
        <w:t>[</w:t>
      </w:r>
      <w:r w:rsidRPr="0001508F">
        <w:rPr>
          <w:b/>
          <w:strike/>
          <w:szCs w:val="24"/>
        </w:rPr>
        <w:t xml:space="preserve">§28-101.4.5.2 Definitions. </w:t>
      </w:r>
      <w:r w:rsidRPr="0001508F">
        <w:rPr>
          <w:bCs/>
          <w:strike/>
          <w:szCs w:val="24"/>
        </w:rPr>
        <w:t>As used in Section 28-101.4.5, the following term shall have the following meaning unless the context or subject matter requires otherwise.</w:t>
      </w:r>
      <w:r w:rsidRPr="0001508F">
        <w:rPr>
          <w:bCs/>
          <w:szCs w:val="24"/>
        </w:rPr>
        <w:t>]</w:t>
      </w:r>
    </w:p>
    <w:p w14:paraId="65220061" w14:textId="77777777" w:rsidR="0001508F" w:rsidRPr="0001508F" w:rsidRDefault="0001508F" w:rsidP="0001508F">
      <w:pPr>
        <w:suppressAutoHyphens/>
        <w:spacing w:after="240"/>
        <w:ind w:left="360"/>
        <w:rPr>
          <w:bCs/>
          <w:szCs w:val="24"/>
        </w:rPr>
      </w:pPr>
      <w:r w:rsidRPr="0001508F">
        <w:rPr>
          <w:bCs/>
          <w:szCs w:val="24"/>
        </w:rPr>
        <w:t>[</w:t>
      </w:r>
      <w:r w:rsidRPr="0001508F">
        <w:rPr>
          <w:b/>
          <w:strike/>
          <w:szCs w:val="24"/>
        </w:rPr>
        <w:t>FLOOR SURFACE AREA.</w:t>
      </w:r>
      <w:r w:rsidRPr="0001508F">
        <w:rPr>
          <w:bCs/>
          <w:strike/>
          <w:szCs w:val="24"/>
        </w:rPr>
        <w:t xml:space="preserve"> Floor surface area is the gross square foot area of all horizontal floor and roof surfaces, including roofs of bulkheads and superstructures, of a building or structure at any level, including cellar, attic and roof.</w:t>
      </w:r>
      <w:r w:rsidRPr="0001508F">
        <w:rPr>
          <w:bCs/>
          <w:szCs w:val="24"/>
        </w:rPr>
        <w:t>]</w:t>
      </w:r>
    </w:p>
    <w:p w14:paraId="64758518" w14:textId="77777777" w:rsidR="0001508F" w:rsidRPr="0001508F" w:rsidRDefault="0001508F" w:rsidP="0001508F">
      <w:pPr>
        <w:suppressAutoHyphens/>
        <w:spacing w:after="240"/>
        <w:ind w:left="360"/>
        <w:rPr>
          <w:bCs/>
          <w:szCs w:val="24"/>
        </w:rPr>
      </w:pPr>
      <w:r w:rsidRPr="0001508F">
        <w:rPr>
          <w:bCs/>
          <w:szCs w:val="24"/>
        </w:rPr>
        <w:t>[</w:t>
      </w:r>
      <w:r w:rsidRPr="0001508F">
        <w:rPr>
          <w:b/>
          <w:strike/>
          <w:szCs w:val="24"/>
        </w:rPr>
        <w:t xml:space="preserve">§28-101.4.5.3 Effect on zoning resolution. </w:t>
      </w:r>
      <w:r w:rsidRPr="0001508F">
        <w:rPr>
          <w:bCs/>
          <w:strike/>
          <w:szCs w:val="24"/>
        </w:rPr>
        <w:t>The provisions of section 28-101.4.5 shall not be construed to affect the status of any nonconforming use or non-complying bulk otherwise permitted to be retained pursuant to the New York city zoning resolution.</w:t>
      </w:r>
      <w:r w:rsidRPr="0001508F">
        <w:rPr>
          <w:bCs/>
          <w:szCs w:val="24"/>
        </w:rPr>
        <w:t>]</w:t>
      </w:r>
    </w:p>
    <w:p w14:paraId="0B7FCD3A" w14:textId="77777777" w:rsidR="0001508F" w:rsidRPr="0001508F" w:rsidRDefault="0001508F" w:rsidP="0001508F">
      <w:pPr>
        <w:suppressAutoHyphens/>
        <w:spacing w:after="240" w:line="480" w:lineRule="auto"/>
        <w:ind w:firstLine="1440"/>
        <w:rPr>
          <w:bCs/>
          <w:szCs w:val="24"/>
        </w:rPr>
      </w:pPr>
      <w:r w:rsidRPr="0001508F">
        <w:rPr>
          <w:bCs/>
          <w:szCs w:val="24"/>
        </w:rPr>
        <w:t>§ 4. Section 28-101.5 of the administrative code of the city of New York, as amended by local law number 128 for the year 2024, is amended to read as follows:</w:t>
      </w:r>
    </w:p>
    <w:p w14:paraId="40F0E5F0" w14:textId="77777777" w:rsidR="0001508F" w:rsidRPr="0001508F" w:rsidRDefault="0001508F" w:rsidP="0001508F">
      <w:pPr>
        <w:suppressAutoHyphens/>
        <w:spacing w:after="240"/>
        <w:rPr>
          <w:spacing w:val="-6"/>
          <w:w w:val="115"/>
          <w:szCs w:val="24"/>
        </w:rPr>
      </w:pPr>
      <w:r w:rsidRPr="0001508F">
        <w:rPr>
          <w:b/>
          <w:szCs w:val="24"/>
        </w:rPr>
        <w:t>§28-101.5 Definitions.</w:t>
      </w:r>
      <w:r w:rsidRPr="0001508F">
        <w:rPr>
          <w:b/>
          <w:bCs/>
          <w:spacing w:val="-6"/>
          <w:w w:val="105"/>
          <w:szCs w:val="24"/>
        </w:rPr>
        <w:t xml:space="preserve"> </w:t>
      </w:r>
      <w:r w:rsidRPr="0001508F">
        <w:rPr>
          <w:spacing w:val="1"/>
          <w:szCs w:val="24"/>
        </w:rPr>
        <w:t>As used in this chapter and elsewhere in this title, the following terms shall have the following mean</w:t>
      </w:r>
      <w:r w:rsidRPr="0001508F">
        <w:rPr>
          <w:spacing w:val="1"/>
          <w:szCs w:val="24"/>
        </w:rPr>
        <w:softHyphen/>
        <w:t>ings unless the context or subject matter requires otherwise:</w:t>
      </w:r>
    </w:p>
    <w:p w14:paraId="74B2070B" w14:textId="77777777" w:rsidR="0001508F" w:rsidRPr="0001508F" w:rsidRDefault="0001508F" w:rsidP="0001508F">
      <w:pPr>
        <w:suppressAutoHyphens/>
        <w:spacing w:after="240"/>
        <w:rPr>
          <w:szCs w:val="24"/>
        </w:rPr>
      </w:pPr>
      <w:r w:rsidRPr="0001508F">
        <w:rPr>
          <w:b/>
          <w:szCs w:val="24"/>
        </w:rPr>
        <w:t>1968 BUILDING CODE.</w:t>
      </w:r>
      <w:r w:rsidRPr="0001508F">
        <w:rPr>
          <w:b/>
          <w:bCs/>
          <w:spacing w:val="-9"/>
          <w:w w:val="105"/>
          <w:szCs w:val="24"/>
        </w:rPr>
        <w:t xml:space="preserve"> [</w:t>
      </w:r>
      <w:r w:rsidRPr="0001508F">
        <w:rPr>
          <w:strike/>
          <w:spacing w:val="1"/>
          <w:szCs w:val="24"/>
        </w:rPr>
        <w:t>Chapter 1 of title 27 of the administrative code as hereafter in effect.</w:t>
      </w:r>
      <w:r w:rsidRPr="0001508F">
        <w:rPr>
          <w:spacing w:val="1"/>
          <w:szCs w:val="24"/>
        </w:rPr>
        <w:t>]</w:t>
      </w:r>
      <w:r w:rsidRPr="0001508F">
        <w:rPr>
          <w:spacing w:val="1"/>
          <w:szCs w:val="24"/>
          <w:u w:val="single"/>
        </w:rPr>
        <w:t>The building laws and regulations in effect prior to July 1, 2008.</w:t>
      </w:r>
    </w:p>
    <w:p w14:paraId="6CC52F8C" w14:textId="77777777" w:rsidR="0001508F" w:rsidRPr="0001508F" w:rsidRDefault="0001508F" w:rsidP="0001508F">
      <w:pPr>
        <w:suppressAutoHyphens/>
        <w:spacing w:after="240"/>
        <w:rPr>
          <w:szCs w:val="24"/>
        </w:rPr>
      </w:pPr>
      <w:r w:rsidRPr="0001508F">
        <w:rPr>
          <w:b/>
          <w:szCs w:val="24"/>
        </w:rPr>
        <w:t>[</w:t>
      </w:r>
      <w:r w:rsidRPr="0001508F">
        <w:rPr>
          <w:b/>
          <w:strike/>
          <w:szCs w:val="24"/>
        </w:rPr>
        <w:t>1968 OR PRIOR CODE BUILDINGS OR STRUCTURES (PRIOR CODE BUILDINGS).</w:t>
      </w:r>
      <w:r w:rsidRPr="0001508F">
        <w:rPr>
          <w:strike/>
          <w:szCs w:val="24"/>
        </w:rPr>
        <w:t xml:space="preserve"> (i) A building or structure in existence prior to July 1, 2008 or one for which a lawful building permit was issued for the erection of such building or structure prior to July 1, 2008. (ii) A building or structure erected in accordance with the 1968 building code under a lawful building permit issued for the erection of such building or structure on or after July 1, 2008 in accordance with section 28-101.4.2 of this code.</w:t>
      </w:r>
      <w:r w:rsidRPr="0001508F">
        <w:rPr>
          <w:szCs w:val="24"/>
        </w:rPr>
        <w:t>]</w:t>
      </w:r>
    </w:p>
    <w:p w14:paraId="63BE061E" w14:textId="77777777" w:rsidR="0001508F" w:rsidRPr="0001508F" w:rsidRDefault="0001508F" w:rsidP="0001508F">
      <w:pPr>
        <w:suppressAutoHyphens/>
        <w:spacing w:after="240"/>
        <w:rPr>
          <w:spacing w:val="1"/>
          <w:szCs w:val="24"/>
        </w:rPr>
      </w:pPr>
      <w:r w:rsidRPr="0001508F">
        <w:rPr>
          <w:b/>
          <w:bCs/>
          <w:spacing w:val="1"/>
          <w:szCs w:val="24"/>
        </w:rPr>
        <w:t xml:space="preserve">ADDITION. </w:t>
      </w:r>
      <w:r w:rsidRPr="0001508F">
        <w:rPr>
          <w:spacing w:val="1"/>
          <w:szCs w:val="24"/>
        </w:rPr>
        <w:t xml:space="preserve">[An alteration of a building in existence that increases its exterior dimensions including but not limited to an extension or increase in floor area or height (including an increase in height or area result from the construction of a rooftop structure or rooftop mechanical equipment) of the building.] </w:t>
      </w:r>
      <w:r w:rsidRPr="0001508F">
        <w:rPr>
          <w:szCs w:val="24"/>
          <w:u w:val="single"/>
        </w:rPr>
        <w:t>An alteration to an existing building that results in the increase of its floor area, number of stories, or height.</w:t>
      </w:r>
    </w:p>
    <w:p w14:paraId="0BFD9B45" w14:textId="77777777" w:rsidR="0001508F" w:rsidRPr="0001508F" w:rsidRDefault="0001508F" w:rsidP="0001508F">
      <w:pPr>
        <w:spacing w:before="100" w:beforeAutospacing="1" w:after="100" w:afterAutospacing="1"/>
        <w:jc w:val="left"/>
        <w:rPr>
          <w:rFonts w:ascii="Times" w:hAnsi="Times"/>
          <w:color w:val="000000"/>
          <w:szCs w:val="24"/>
        </w:rPr>
      </w:pPr>
      <w:r w:rsidRPr="0001508F">
        <w:rPr>
          <w:rFonts w:ascii="Times" w:hAnsi="Times"/>
          <w:b/>
          <w:bCs/>
          <w:color w:val="000000"/>
          <w:szCs w:val="24"/>
        </w:rPr>
        <w:t>ADMINISTRATIVE CODE.</w:t>
      </w:r>
      <w:r w:rsidRPr="0001508F">
        <w:rPr>
          <w:rFonts w:ascii="Times" w:hAnsi="Times"/>
          <w:color w:val="000000"/>
          <w:szCs w:val="24"/>
        </w:rPr>
        <w:t xml:space="preserve"> The administrative code of the city of New York.</w:t>
      </w:r>
    </w:p>
    <w:p w14:paraId="1B3A6EE6" w14:textId="77777777" w:rsidR="0001508F" w:rsidRPr="0001508F" w:rsidRDefault="0001508F" w:rsidP="0001508F">
      <w:pPr>
        <w:suppressAutoHyphens/>
        <w:spacing w:after="240"/>
        <w:rPr>
          <w:spacing w:val="1"/>
          <w:szCs w:val="24"/>
        </w:rPr>
      </w:pPr>
      <w:r w:rsidRPr="0001508F">
        <w:rPr>
          <w:b/>
          <w:szCs w:val="24"/>
        </w:rPr>
        <w:t>ALTERATION</w:t>
      </w:r>
      <w:r w:rsidRPr="0001508F">
        <w:rPr>
          <w:b/>
          <w:bCs/>
          <w:spacing w:val="-9"/>
          <w:w w:val="105"/>
          <w:szCs w:val="24"/>
        </w:rPr>
        <w:t xml:space="preserve">. </w:t>
      </w:r>
      <w:r w:rsidRPr="0001508F">
        <w:rPr>
          <w:spacing w:val="1"/>
          <w:szCs w:val="24"/>
        </w:rPr>
        <w:t>Any construction, addition, change of use or occupancy, [</w:t>
      </w:r>
      <w:r w:rsidRPr="0001508F">
        <w:rPr>
          <w:strike/>
          <w:spacing w:val="1"/>
          <w:szCs w:val="24"/>
        </w:rPr>
        <w:t>or</w:t>
      </w:r>
      <w:r w:rsidRPr="0001508F">
        <w:rPr>
          <w:spacing w:val="1"/>
          <w:szCs w:val="24"/>
        </w:rPr>
        <w:t xml:space="preserve">] </w:t>
      </w:r>
      <w:r w:rsidRPr="0001508F">
        <w:rPr>
          <w:spacing w:val="1"/>
          <w:szCs w:val="24"/>
          <w:u w:val="single"/>
        </w:rPr>
        <w:t>relocation, moving or raising of an existing building or structure for the purpose of</w:t>
      </w:r>
      <w:r w:rsidRPr="0001508F">
        <w:rPr>
          <w:spacing w:val="1"/>
          <w:szCs w:val="24"/>
        </w:rPr>
        <w:t xml:space="preserve"> renovation [</w:t>
      </w:r>
      <w:r w:rsidRPr="0001508F">
        <w:rPr>
          <w:strike/>
          <w:spacing w:val="1"/>
          <w:szCs w:val="24"/>
        </w:rPr>
        <w:t>to a building or structure in existence</w:t>
      </w:r>
      <w:r w:rsidRPr="0001508F">
        <w:rPr>
          <w:spacing w:val="1"/>
          <w:szCs w:val="24"/>
        </w:rPr>
        <w:t>]</w:t>
      </w:r>
      <w:r w:rsidRPr="0001508F">
        <w:rPr>
          <w:spacing w:val="1"/>
          <w:szCs w:val="24"/>
          <w:u w:val="single"/>
        </w:rPr>
        <w:t xml:space="preserve"> or accommodation of a new use or function</w:t>
      </w:r>
      <w:r w:rsidRPr="0001508F">
        <w:rPr>
          <w:spacing w:val="1"/>
          <w:szCs w:val="24"/>
        </w:rPr>
        <w:t>.</w:t>
      </w:r>
    </w:p>
    <w:p w14:paraId="2BBD3650" w14:textId="77777777" w:rsidR="0001508F" w:rsidRPr="0001508F" w:rsidRDefault="0001508F" w:rsidP="0001508F">
      <w:pPr>
        <w:spacing w:before="100" w:beforeAutospacing="1" w:after="100" w:afterAutospacing="1"/>
        <w:jc w:val="left"/>
        <w:rPr>
          <w:rFonts w:ascii="Times" w:hAnsi="Times"/>
          <w:color w:val="000000"/>
          <w:szCs w:val="24"/>
        </w:rPr>
      </w:pPr>
      <w:r w:rsidRPr="0001508F">
        <w:rPr>
          <w:rFonts w:ascii="Times" w:hAnsi="Times"/>
          <w:b/>
          <w:bCs/>
          <w:color w:val="000000"/>
          <w:szCs w:val="24"/>
        </w:rPr>
        <w:t>APPROVAL OR APPROVED.</w:t>
      </w:r>
      <w:r w:rsidRPr="0001508F">
        <w:rPr>
          <w:rFonts w:ascii="Times" w:hAnsi="Times"/>
          <w:color w:val="000000"/>
          <w:szCs w:val="24"/>
        </w:rPr>
        <w:t xml:space="preserve"> In reference to construction documents, the determination by the department after full examination that submitted construction documents comply with this code and other applicable laws and rules. In reference to materials, the determination by the commissioner that material is acceptable for its intended use.</w:t>
      </w:r>
    </w:p>
    <w:p w14:paraId="14D95CDA" w14:textId="77777777" w:rsidR="0001508F" w:rsidRPr="0001508F" w:rsidRDefault="0001508F" w:rsidP="0001508F">
      <w:pPr>
        <w:spacing w:before="100" w:beforeAutospacing="1" w:after="100" w:afterAutospacing="1"/>
        <w:jc w:val="left"/>
        <w:rPr>
          <w:rFonts w:ascii="Times" w:hAnsi="Times"/>
          <w:color w:val="000000"/>
          <w:szCs w:val="24"/>
        </w:rPr>
      </w:pPr>
      <w:r w:rsidRPr="0001508F">
        <w:rPr>
          <w:rFonts w:ascii="Times" w:hAnsi="Times"/>
          <w:b/>
          <w:bCs/>
          <w:color w:val="000000"/>
          <w:szCs w:val="24"/>
        </w:rPr>
        <w:t>APPROVED AGENCY.</w:t>
      </w:r>
      <w:r w:rsidRPr="0001508F">
        <w:rPr>
          <w:rFonts w:ascii="Times" w:hAnsi="Times"/>
          <w:color w:val="000000"/>
          <w:szCs w:val="24"/>
        </w:rPr>
        <w:t xml:space="preserve"> An established and recognized agency that is regularly engaged in conducting tests or furnishing inspection services, when approved pursuant to department rules as qualified to perform or witness identified testing or inspection services.</w:t>
      </w:r>
    </w:p>
    <w:p w14:paraId="71CBDD1A" w14:textId="77777777" w:rsidR="0001508F" w:rsidRPr="0001508F" w:rsidRDefault="0001508F" w:rsidP="0001508F">
      <w:pPr>
        <w:spacing w:before="100" w:beforeAutospacing="1" w:after="100" w:afterAutospacing="1"/>
        <w:jc w:val="left"/>
        <w:rPr>
          <w:rFonts w:ascii="Times" w:hAnsi="Times"/>
          <w:color w:val="000000"/>
          <w:szCs w:val="24"/>
        </w:rPr>
      </w:pPr>
      <w:r w:rsidRPr="0001508F">
        <w:rPr>
          <w:rFonts w:ascii="Times" w:hAnsi="Times"/>
          <w:b/>
          <w:bCs/>
          <w:color w:val="000000"/>
          <w:szCs w:val="24"/>
        </w:rPr>
        <w:t>APPROVED FABRICATOR.</w:t>
      </w:r>
      <w:r w:rsidRPr="0001508F">
        <w:rPr>
          <w:rFonts w:ascii="Times" w:hAnsi="Times"/>
          <w:color w:val="000000"/>
          <w:szCs w:val="24"/>
        </w:rPr>
        <w:t xml:space="preserve"> An established and qualified person, firm or corporation approved by the commissioner to custom manufacture or build products or assemblies regulated by this code, including the production of concrete.</w:t>
      </w:r>
    </w:p>
    <w:p w14:paraId="34EE1A58" w14:textId="77777777" w:rsidR="0001508F" w:rsidRPr="0001508F" w:rsidRDefault="0001508F" w:rsidP="0001508F">
      <w:pPr>
        <w:spacing w:before="100" w:beforeAutospacing="1" w:after="100" w:afterAutospacing="1"/>
        <w:jc w:val="left"/>
        <w:rPr>
          <w:rFonts w:ascii="Times" w:hAnsi="Times"/>
          <w:color w:val="000000"/>
          <w:szCs w:val="24"/>
        </w:rPr>
      </w:pPr>
      <w:r w:rsidRPr="0001508F">
        <w:rPr>
          <w:rFonts w:ascii="Times" w:hAnsi="Times"/>
          <w:b/>
          <w:bCs/>
          <w:color w:val="000000"/>
          <w:szCs w:val="24"/>
        </w:rPr>
        <w:t>APPROVED INSPECTION AGENCY.</w:t>
      </w:r>
      <w:r w:rsidRPr="0001508F">
        <w:rPr>
          <w:rFonts w:ascii="Times" w:hAnsi="Times"/>
          <w:color w:val="000000"/>
          <w:szCs w:val="24"/>
        </w:rPr>
        <w:t xml:space="preserve"> An approved agency that is approved by the department as qualified to perform one or more of the inspections required by this code.</w:t>
      </w:r>
    </w:p>
    <w:p w14:paraId="2D756B06" w14:textId="77777777" w:rsidR="0001508F" w:rsidRPr="0001508F" w:rsidRDefault="0001508F" w:rsidP="0001508F">
      <w:pPr>
        <w:spacing w:before="100" w:beforeAutospacing="1" w:after="100" w:afterAutospacing="1"/>
        <w:jc w:val="left"/>
        <w:rPr>
          <w:rFonts w:ascii="Times" w:hAnsi="Times"/>
          <w:color w:val="000000"/>
          <w:szCs w:val="24"/>
        </w:rPr>
      </w:pPr>
      <w:r w:rsidRPr="0001508F">
        <w:rPr>
          <w:rFonts w:ascii="Times" w:hAnsi="Times"/>
          <w:b/>
          <w:bCs/>
          <w:color w:val="000000"/>
          <w:szCs w:val="24"/>
        </w:rPr>
        <w:t>APPROVED TESTING AGENCY.</w:t>
      </w:r>
      <w:r w:rsidRPr="0001508F">
        <w:rPr>
          <w:rFonts w:ascii="Times" w:hAnsi="Times"/>
          <w:color w:val="000000"/>
          <w:szCs w:val="24"/>
        </w:rPr>
        <w:t xml:space="preserve"> An approved agency that is approved by the department as qualified to test and evaluate the performance of one or more of the materials regulated in their use by this code. Such term shall include, when approved pursuant to department rules, a third party testing or certification agency, evaluation agency, testing laboratory, testing service, licensed concrete testing laboratory, or other entity concerned with product evaluation.</w:t>
      </w:r>
    </w:p>
    <w:p w14:paraId="0C97A2D8" w14:textId="77777777" w:rsidR="0001508F" w:rsidRPr="0001508F" w:rsidRDefault="0001508F" w:rsidP="0001508F">
      <w:pPr>
        <w:spacing w:before="100" w:beforeAutospacing="1" w:after="100" w:afterAutospacing="1"/>
        <w:jc w:val="left"/>
        <w:rPr>
          <w:rFonts w:ascii="Times" w:hAnsi="Times"/>
          <w:color w:val="000000"/>
          <w:szCs w:val="24"/>
        </w:rPr>
      </w:pPr>
      <w:r w:rsidRPr="0001508F">
        <w:rPr>
          <w:rFonts w:ascii="Times" w:hAnsi="Times"/>
          <w:b/>
          <w:bCs/>
          <w:color w:val="000000"/>
          <w:szCs w:val="24"/>
        </w:rPr>
        <w:t>ARCHITECT.</w:t>
      </w:r>
      <w:r w:rsidRPr="0001508F">
        <w:rPr>
          <w:rFonts w:ascii="Times" w:hAnsi="Times"/>
          <w:color w:val="000000"/>
          <w:szCs w:val="24"/>
        </w:rPr>
        <w:t xml:space="preserve"> A person licensed and registered to practice the profession of architecture under the education law of the state of New York.</w:t>
      </w:r>
    </w:p>
    <w:p w14:paraId="304EEDE5" w14:textId="77777777" w:rsidR="0001508F" w:rsidRPr="0001508F" w:rsidRDefault="0001508F" w:rsidP="0001508F">
      <w:pPr>
        <w:spacing w:before="100" w:beforeAutospacing="1" w:after="100" w:afterAutospacing="1"/>
        <w:jc w:val="left"/>
        <w:rPr>
          <w:rFonts w:ascii="Times" w:hAnsi="Times"/>
          <w:color w:val="000000"/>
          <w:szCs w:val="24"/>
        </w:rPr>
      </w:pPr>
      <w:r w:rsidRPr="0001508F">
        <w:rPr>
          <w:rFonts w:ascii="Times" w:hAnsi="Times"/>
          <w:b/>
          <w:bCs/>
          <w:color w:val="000000"/>
          <w:szCs w:val="24"/>
        </w:rPr>
        <w:t>BUILDING.</w:t>
      </w:r>
      <w:r w:rsidRPr="0001508F">
        <w:rPr>
          <w:rFonts w:ascii="Times" w:hAnsi="Times"/>
          <w:color w:val="000000"/>
          <w:szCs w:val="24"/>
        </w:rPr>
        <w:t xml:space="preserve"> Any structure used or intended for supporting or sheltering any use or occupancy. The term shall be construed as if followed by the phrase "structure, premises, lot or part thereof" unless otherwise indicated by the text.</w:t>
      </w:r>
    </w:p>
    <w:p w14:paraId="5F093139" w14:textId="77777777" w:rsidR="0001508F" w:rsidRPr="0001508F" w:rsidRDefault="0001508F" w:rsidP="0001508F">
      <w:pPr>
        <w:spacing w:before="100" w:beforeAutospacing="1" w:after="100" w:afterAutospacing="1"/>
        <w:jc w:val="left"/>
        <w:rPr>
          <w:rFonts w:ascii="Times" w:hAnsi="Times"/>
          <w:color w:val="000000"/>
          <w:szCs w:val="24"/>
        </w:rPr>
      </w:pPr>
      <w:r w:rsidRPr="0001508F">
        <w:rPr>
          <w:rFonts w:ascii="Times" w:hAnsi="Times"/>
          <w:b/>
          <w:bCs/>
          <w:color w:val="000000"/>
          <w:szCs w:val="24"/>
        </w:rPr>
        <w:t>CERTIFICATE OF COMPLIANCE.</w:t>
      </w:r>
      <w:r w:rsidRPr="0001508F">
        <w:rPr>
          <w:rFonts w:ascii="Times" w:hAnsi="Times"/>
          <w:color w:val="000000"/>
          <w:szCs w:val="24"/>
        </w:rPr>
        <w:t xml:space="preserve"> A certificate stating that materials and products meet specified standards or that work was done in compliance with approved construction documents and other applicable provisions of law, or, with respect to specified service equipment, a certificate issued by the department authorizing the operation of such equipment. CITY. The city of New York.</w:t>
      </w:r>
    </w:p>
    <w:p w14:paraId="7EB23909" w14:textId="77777777" w:rsidR="0001508F" w:rsidRPr="0001508F" w:rsidRDefault="0001508F" w:rsidP="0001508F">
      <w:pPr>
        <w:spacing w:before="100" w:beforeAutospacing="1" w:after="100" w:afterAutospacing="1"/>
        <w:jc w:val="left"/>
        <w:rPr>
          <w:rFonts w:ascii="Times" w:hAnsi="Times"/>
          <w:color w:val="000000"/>
          <w:szCs w:val="24"/>
        </w:rPr>
      </w:pPr>
      <w:r w:rsidRPr="0001508F">
        <w:rPr>
          <w:rFonts w:ascii="Times" w:hAnsi="Times"/>
          <w:b/>
          <w:bCs/>
          <w:color w:val="000000"/>
          <w:szCs w:val="24"/>
        </w:rPr>
        <w:t>CHARTER.</w:t>
      </w:r>
      <w:r w:rsidRPr="0001508F">
        <w:rPr>
          <w:rFonts w:ascii="Times" w:hAnsi="Times"/>
          <w:color w:val="000000"/>
          <w:szCs w:val="24"/>
        </w:rPr>
        <w:t xml:space="preserve"> The New York city charter.</w:t>
      </w:r>
    </w:p>
    <w:p w14:paraId="16430C9A" w14:textId="77777777" w:rsidR="0001508F" w:rsidRPr="0001508F" w:rsidRDefault="0001508F" w:rsidP="0001508F">
      <w:pPr>
        <w:spacing w:before="100" w:beforeAutospacing="1" w:after="100" w:afterAutospacing="1"/>
        <w:jc w:val="left"/>
        <w:rPr>
          <w:rFonts w:ascii="Times" w:hAnsi="Times"/>
          <w:color w:val="000000"/>
          <w:szCs w:val="24"/>
        </w:rPr>
      </w:pPr>
      <w:r w:rsidRPr="0001508F">
        <w:rPr>
          <w:rFonts w:ascii="Times" w:hAnsi="Times"/>
          <w:b/>
          <w:bCs/>
          <w:color w:val="000000"/>
          <w:szCs w:val="24"/>
        </w:rPr>
        <w:t>COMMISSIONER.</w:t>
      </w:r>
      <w:r w:rsidRPr="0001508F">
        <w:rPr>
          <w:rFonts w:ascii="Times" w:hAnsi="Times"/>
          <w:color w:val="000000"/>
          <w:szCs w:val="24"/>
        </w:rPr>
        <w:t xml:space="preserve"> The commissioner of buildings of the city of New York, or his or her duly authorized representative.</w:t>
      </w:r>
    </w:p>
    <w:p w14:paraId="25472D04" w14:textId="77777777" w:rsidR="0001508F" w:rsidRPr="0001508F" w:rsidRDefault="0001508F" w:rsidP="0001508F">
      <w:pPr>
        <w:spacing w:before="100" w:beforeAutospacing="1" w:after="100" w:afterAutospacing="1"/>
        <w:jc w:val="left"/>
        <w:rPr>
          <w:rFonts w:ascii="Times" w:hAnsi="Times"/>
          <w:color w:val="000000"/>
          <w:szCs w:val="24"/>
        </w:rPr>
      </w:pPr>
      <w:r w:rsidRPr="0001508F">
        <w:rPr>
          <w:rFonts w:ascii="Times" w:hAnsi="Times"/>
          <w:b/>
          <w:bCs/>
          <w:color w:val="000000"/>
          <w:szCs w:val="24"/>
        </w:rPr>
        <w:t>CONSTRUCTION DOCUMENTS.</w:t>
      </w:r>
      <w:r w:rsidRPr="0001508F">
        <w:rPr>
          <w:rFonts w:ascii="Times" w:hAnsi="Times"/>
          <w:color w:val="000000"/>
          <w:szCs w:val="24"/>
        </w:rPr>
        <w:t xml:space="preserve"> Plans and specifications and other written, graphic and pictorial documents, prepared or assembled for describing the design, location, physical characteristics, and other elements of the project necessary for obtaining a building permit.</w:t>
      </w:r>
    </w:p>
    <w:p w14:paraId="3696A75A" w14:textId="77777777" w:rsidR="0001508F" w:rsidRPr="0001508F" w:rsidRDefault="0001508F" w:rsidP="0001508F">
      <w:pPr>
        <w:spacing w:before="100" w:beforeAutospacing="1" w:after="100" w:afterAutospacing="1"/>
        <w:jc w:val="left"/>
        <w:rPr>
          <w:rFonts w:ascii="Times" w:hAnsi="Times"/>
          <w:color w:val="000000"/>
          <w:szCs w:val="24"/>
        </w:rPr>
      </w:pPr>
      <w:r w:rsidRPr="0001508F">
        <w:rPr>
          <w:rFonts w:ascii="Times" w:hAnsi="Times"/>
          <w:b/>
          <w:bCs/>
          <w:color w:val="000000"/>
          <w:szCs w:val="24"/>
        </w:rPr>
        <w:t>DAY.</w:t>
      </w:r>
      <w:r w:rsidRPr="0001508F">
        <w:rPr>
          <w:rFonts w:ascii="Times" w:hAnsi="Times"/>
          <w:color w:val="000000"/>
          <w:szCs w:val="24"/>
        </w:rPr>
        <w:t xml:space="preserve"> A calendar day, computed in accordance with section 20 of the New York state general construction law, unless otherwise specified as a business day.</w:t>
      </w:r>
    </w:p>
    <w:p w14:paraId="4C9F0AAD" w14:textId="77777777" w:rsidR="0001508F" w:rsidRPr="0001508F" w:rsidRDefault="0001508F" w:rsidP="0001508F">
      <w:pPr>
        <w:spacing w:before="100" w:beforeAutospacing="1" w:after="100" w:afterAutospacing="1"/>
        <w:jc w:val="left"/>
        <w:rPr>
          <w:rFonts w:ascii="Times" w:hAnsi="Times"/>
          <w:color w:val="000000"/>
          <w:szCs w:val="24"/>
        </w:rPr>
      </w:pPr>
      <w:r w:rsidRPr="0001508F">
        <w:rPr>
          <w:rFonts w:ascii="Times" w:hAnsi="Times"/>
          <w:b/>
          <w:bCs/>
          <w:color w:val="000000"/>
          <w:szCs w:val="24"/>
        </w:rPr>
        <w:t>DEFERRED SUBMITTAL.</w:t>
      </w:r>
      <w:r w:rsidRPr="0001508F">
        <w:rPr>
          <w:rFonts w:ascii="Times" w:hAnsi="Times"/>
          <w:color w:val="000000"/>
          <w:szCs w:val="24"/>
        </w:rPr>
        <w:t xml:space="preserve"> Those portions of the design that are not submitted at the time of the application for construction document approval and that are to be submitted to the department within a specified period of time after the issuance of a permit.</w:t>
      </w:r>
    </w:p>
    <w:p w14:paraId="0C6966AB" w14:textId="77777777" w:rsidR="0001508F" w:rsidRPr="0001508F" w:rsidRDefault="0001508F" w:rsidP="0001508F">
      <w:pPr>
        <w:spacing w:before="100" w:beforeAutospacing="1" w:after="100" w:afterAutospacing="1"/>
        <w:jc w:val="left"/>
        <w:rPr>
          <w:rFonts w:ascii="Times" w:hAnsi="Times"/>
          <w:color w:val="000000"/>
          <w:szCs w:val="24"/>
        </w:rPr>
      </w:pPr>
      <w:r w:rsidRPr="0001508F">
        <w:rPr>
          <w:rFonts w:ascii="Times" w:hAnsi="Times"/>
          <w:b/>
          <w:bCs/>
          <w:color w:val="000000"/>
          <w:szCs w:val="24"/>
        </w:rPr>
        <w:t>DEMOLITION.</w:t>
      </w:r>
      <w:r w:rsidRPr="0001508F">
        <w:rPr>
          <w:rFonts w:ascii="Times" w:hAnsi="Times"/>
          <w:color w:val="000000"/>
          <w:szCs w:val="24"/>
        </w:rPr>
        <w:t xml:space="preserve"> Full or partial demolition.</w:t>
      </w:r>
    </w:p>
    <w:p w14:paraId="42945D1A" w14:textId="77777777" w:rsidR="0001508F" w:rsidRPr="0001508F" w:rsidRDefault="0001508F" w:rsidP="0001508F">
      <w:pPr>
        <w:spacing w:before="100" w:beforeAutospacing="1" w:after="100" w:afterAutospacing="1"/>
        <w:jc w:val="left"/>
        <w:rPr>
          <w:rFonts w:ascii="Times" w:hAnsi="Times"/>
          <w:color w:val="000000"/>
          <w:szCs w:val="24"/>
        </w:rPr>
      </w:pPr>
      <w:r w:rsidRPr="0001508F">
        <w:rPr>
          <w:rFonts w:ascii="Times" w:hAnsi="Times"/>
          <w:b/>
          <w:bCs/>
          <w:color w:val="000000"/>
          <w:szCs w:val="24"/>
        </w:rPr>
        <w:t>DEMOLITION, FULL.</w:t>
      </w:r>
      <w:r w:rsidRPr="0001508F">
        <w:rPr>
          <w:rFonts w:ascii="Times" w:hAnsi="Times"/>
          <w:color w:val="000000"/>
          <w:szCs w:val="24"/>
        </w:rPr>
        <w:t xml:space="preserve"> The dismantling, razing, or removal of all of a building or structure, including all operations incidental thereto.</w:t>
      </w:r>
    </w:p>
    <w:p w14:paraId="50C48403" w14:textId="77777777" w:rsidR="0001508F" w:rsidRPr="0001508F" w:rsidRDefault="0001508F" w:rsidP="0001508F">
      <w:pPr>
        <w:spacing w:before="100" w:beforeAutospacing="1" w:after="100" w:afterAutospacing="1"/>
        <w:jc w:val="left"/>
        <w:rPr>
          <w:rFonts w:ascii="Times" w:hAnsi="Times"/>
          <w:color w:val="000000"/>
          <w:szCs w:val="24"/>
        </w:rPr>
      </w:pPr>
      <w:r w:rsidRPr="0001508F">
        <w:rPr>
          <w:rFonts w:ascii="Times" w:hAnsi="Times"/>
          <w:b/>
          <w:bCs/>
          <w:color w:val="000000"/>
          <w:szCs w:val="24"/>
        </w:rPr>
        <w:t>DEMOLITION, PARTIAL.</w:t>
      </w:r>
      <w:r w:rsidRPr="0001508F">
        <w:rPr>
          <w:rFonts w:ascii="Times" w:hAnsi="Times"/>
          <w:color w:val="000000"/>
          <w:szCs w:val="24"/>
        </w:rPr>
        <w:t xml:space="preserve"> The dismantling, razing, or removal of structural members, floors, interior bearing walls, and/or exterior walls or portions thereof, including all operations incidental thereto.</w:t>
      </w:r>
    </w:p>
    <w:p w14:paraId="1E095191" w14:textId="77777777" w:rsidR="0001508F" w:rsidRPr="0001508F" w:rsidRDefault="0001508F" w:rsidP="0001508F">
      <w:pPr>
        <w:spacing w:before="100" w:beforeAutospacing="1" w:after="100" w:afterAutospacing="1"/>
        <w:jc w:val="left"/>
        <w:rPr>
          <w:rFonts w:ascii="Times" w:hAnsi="Times"/>
          <w:color w:val="000000"/>
          <w:szCs w:val="24"/>
        </w:rPr>
      </w:pPr>
      <w:r w:rsidRPr="0001508F">
        <w:rPr>
          <w:rFonts w:ascii="Times" w:hAnsi="Times"/>
          <w:b/>
          <w:bCs/>
          <w:color w:val="000000"/>
          <w:szCs w:val="24"/>
        </w:rPr>
        <w:t>DEPARTMENT.</w:t>
      </w:r>
      <w:r w:rsidRPr="0001508F">
        <w:rPr>
          <w:rFonts w:ascii="Times" w:hAnsi="Times"/>
          <w:color w:val="000000"/>
          <w:szCs w:val="24"/>
        </w:rPr>
        <w:t xml:space="preserve"> The department of buildings of the city of New York.</w:t>
      </w:r>
    </w:p>
    <w:p w14:paraId="668ADF6C" w14:textId="77777777" w:rsidR="0001508F" w:rsidRPr="0001508F" w:rsidRDefault="0001508F" w:rsidP="0001508F">
      <w:pPr>
        <w:spacing w:before="100" w:beforeAutospacing="1" w:after="100" w:afterAutospacing="1"/>
        <w:jc w:val="left"/>
        <w:rPr>
          <w:rFonts w:ascii="Times" w:hAnsi="Times"/>
          <w:color w:val="000000"/>
          <w:szCs w:val="24"/>
        </w:rPr>
      </w:pPr>
      <w:r w:rsidRPr="0001508F">
        <w:rPr>
          <w:rFonts w:ascii="Times" w:hAnsi="Times"/>
          <w:b/>
          <w:bCs/>
          <w:color w:val="000000"/>
          <w:szCs w:val="24"/>
        </w:rPr>
        <w:t>ENGINEER.</w:t>
      </w:r>
      <w:r w:rsidRPr="0001508F">
        <w:rPr>
          <w:rFonts w:ascii="Times" w:hAnsi="Times"/>
          <w:color w:val="000000"/>
          <w:szCs w:val="24"/>
        </w:rPr>
        <w:t xml:space="preserve"> A person licensed and registered to practice the profession of engineering under the education law of the state of New York.</w:t>
      </w:r>
    </w:p>
    <w:p w14:paraId="78AA1177" w14:textId="77777777" w:rsidR="0001508F" w:rsidRPr="0001508F" w:rsidRDefault="0001508F" w:rsidP="0001508F">
      <w:pPr>
        <w:spacing w:before="100" w:beforeAutospacing="1" w:after="100" w:afterAutospacing="1"/>
        <w:jc w:val="left"/>
        <w:rPr>
          <w:rFonts w:ascii="Times" w:hAnsi="Times"/>
          <w:color w:val="000000"/>
          <w:szCs w:val="24"/>
        </w:rPr>
      </w:pPr>
      <w:r w:rsidRPr="0001508F">
        <w:rPr>
          <w:rFonts w:ascii="Times" w:hAnsi="Times"/>
          <w:b/>
          <w:bCs/>
          <w:color w:val="000000"/>
          <w:szCs w:val="24"/>
        </w:rPr>
        <w:t>ENLARGEMENT.</w:t>
      </w:r>
      <w:r w:rsidRPr="0001508F">
        <w:rPr>
          <w:rFonts w:ascii="Times" w:hAnsi="Times"/>
          <w:color w:val="000000"/>
          <w:szCs w:val="24"/>
        </w:rPr>
        <w:t xml:space="preserve"> An addition.</w:t>
      </w:r>
    </w:p>
    <w:p w14:paraId="2F6CFD44" w14:textId="77777777" w:rsidR="0001508F" w:rsidRPr="0001508F" w:rsidRDefault="0001508F" w:rsidP="0001508F">
      <w:pPr>
        <w:spacing w:before="100" w:beforeAutospacing="1" w:after="100" w:afterAutospacing="1"/>
        <w:jc w:val="left"/>
        <w:rPr>
          <w:rFonts w:ascii="Times" w:hAnsi="Times"/>
          <w:color w:val="000000"/>
          <w:szCs w:val="24"/>
        </w:rPr>
      </w:pPr>
      <w:r w:rsidRPr="0001508F">
        <w:rPr>
          <w:rFonts w:ascii="Times" w:hAnsi="Times"/>
          <w:b/>
          <w:bCs/>
          <w:color w:val="000000"/>
          <w:szCs w:val="24"/>
        </w:rPr>
        <w:t>ENVIRONMENTAL CONTROL BOARD</w:t>
      </w:r>
      <w:r w:rsidRPr="0001508F">
        <w:rPr>
          <w:rFonts w:ascii="Times" w:hAnsi="Times"/>
          <w:color w:val="000000"/>
          <w:szCs w:val="24"/>
        </w:rPr>
        <w:t xml:space="preserve"> or </w:t>
      </w:r>
      <w:r w:rsidRPr="0001508F">
        <w:rPr>
          <w:rFonts w:ascii="Times" w:hAnsi="Times"/>
          <w:b/>
          <w:bCs/>
          <w:color w:val="000000"/>
          <w:szCs w:val="24"/>
        </w:rPr>
        <w:t>ECB</w:t>
      </w:r>
      <w:r w:rsidRPr="0001508F">
        <w:rPr>
          <w:rFonts w:ascii="Times" w:hAnsi="Times"/>
          <w:color w:val="000000"/>
          <w:szCs w:val="24"/>
        </w:rPr>
        <w:t>. The environmental control board established pursuant to section 1049-a of the charter within the office of administrative trials and hearings.</w:t>
      </w:r>
    </w:p>
    <w:p w14:paraId="033CD713" w14:textId="77777777" w:rsidR="0001508F" w:rsidRPr="0001508F" w:rsidRDefault="0001508F" w:rsidP="0001508F">
      <w:pPr>
        <w:spacing w:before="100" w:beforeAutospacing="1" w:after="100" w:afterAutospacing="1"/>
        <w:jc w:val="left"/>
        <w:rPr>
          <w:rFonts w:ascii="Times" w:hAnsi="Times"/>
          <w:color w:val="000000"/>
          <w:szCs w:val="24"/>
        </w:rPr>
      </w:pPr>
      <w:r w:rsidRPr="0001508F">
        <w:rPr>
          <w:rFonts w:ascii="Times" w:hAnsi="Times"/>
          <w:b/>
          <w:bCs/>
          <w:color w:val="000000"/>
          <w:szCs w:val="24"/>
        </w:rPr>
        <w:t>EXISTING BUILDING OR STRUCTURE.</w:t>
      </w:r>
      <w:r w:rsidRPr="0001508F">
        <w:rPr>
          <w:rFonts w:ascii="Times" w:hAnsi="Times"/>
          <w:color w:val="000000"/>
          <w:szCs w:val="24"/>
        </w:rPr>
        <w:t xml:space="preserve"> A completed building or structure that is in existence at the time of an applicable reference in this code.</w:t>
      </w:r>
    </w:p>
    <w:p w14:paraId="50139E50" w14:textId="77777777" w:rsidR="0001508F" w:rsidRPr="0001508F" w:rsidRDefault="0001508F" w:rsidP="0001508F">
      <w:pPr>
        <w:spacing w:before="100" w:beforeAutospacing="1" w:after="100" w:afterAutospacing="1"/>
        <w:jc w:val="left"/>
        <w:rPr>
          <w:rFonts w:ascii="Times" w:hAnsi="Times"/>
          <w:color w:val="000000"/>
          <w:szCs w:val="24"/>
        </w:rPr>
      </w:pPr>
      <w:r w:rsidRPr="0001508F">
        <w:rPr>
          <w:rFonts w:ascii="Times" w:hAnsi="Times"/>
          <w:b/>
          <w:bCs/>
          <w:color w:val="000000"/>
          <w:szCs w:val="24"/>
        </w:rPr>
        <w:t>FABRICATED ITEM.</w:t>
      </w:r>
      <w:r w:rsidRPr="0001508F">
        <w:rPr>
          <w:rFonts w:ascii="Times" w:hAnsi="Times"/>
          <w:color w:val="000000"/>
          <w:szCs w:val="24"/>
        </w:rPr>
        <w:t xml:space="preserve"> Products and assemblies regulated by this code that are custom manufactured or built prior to their incorporation into the work at the construction site. Fabricated items shall not include listed, labeled or approved products or assemblies. Materials produced in accordance with standard specifications referenced by this code, such as rolled structural steel shapes, steel-reinforcing bars, masonry units, and wood structural panels, or in accordance with a referenced standard listed in this code, which provides requirements for quality control done under the supervision of a third-party quality control agency, shall not be considered fabricated items.</w:t>
      </w:r>
    </w:p>
    <w:p w14:paraId="1BAD3590" w14:textId="77777777" w:rsidR="0001508F" w:rsidRPr="0001508F" w:rsidRDefault="0001508F" w:rsidP="0001508F">
      <w:pPr>
        <w:spacing w:before="100" w:beforeAutospacing="1" w:after="100" w:afterAutospacing="1"/>
        <w:jc w:val="left"/>
        <w:rPr>
          <w:rFonts w:ascii="Times" w:hAnsi="Times"/>
          <w:color w:val="000000"/>
          <w:szCs w:val="24"/>
        </w:rPr>
      </w:pPr>
      <w:r w:rsidRPr="0001508F">
        <w:rPr>
          <w:rFonts w:ascii="Times" w:hAnsi="Times"/>
          <w:b/>
          <w:bCs/>
          <w:color w:val="000000"/>
          <w:szCs w:val="24"/>
        </w:rPr>
        <w:t>FIRE PROTECTION PLAN.</w:t>
      </w:r>
      <w:r w:rsidRPr="0001508F">
        <w:rPr>
          <w:rFonts w:ascii="Times" w:hAnsi="Times"/>
          <w:color w:val="000000"/>
          <w:szCs w:val="24"/>
        </w:rPr>
        <w:t xml:space="preserve"> A report containing a narrative description of the life and fire safety systems and evacuation system for a structure.</w:t>
      </w:r>
    </w:p>
    <w:p w14:paraId="5EEC9F44" w14:textId="77777777" w:rsidR="0001508F" w:rsidRPr="0001508F" w:rsidRDefault="0001508F" w:rsidP="0001508F">
      <w:pPr>
        <w:spacing w:before="100" w:beforeAutospacing="1" w:after="100" w:afterAutospacing="1"/>
        <w:jc w:val="left"/>
        <w:rPr>
          <w:rFonts w:ascii="Times" w:hAnsi="Times"/>
          <w:color w:val="000000"/>
          <w:szCs w:val="24"/>
        </w:rPr>
      </w:pPr>
      <w:r w:rsidRPr="0001508F">
        <w:rPr>
          <w:rFonts w:ascii="Times" w:hAnsi="Times"/>
          <w:b/>
          <w:bCs/>
          <w:color w:val="000000"/>
          <w:szCs w:val="24"/>
        </w:rPr>
        <w:t>GREEN BUILDING PROJECT.</w:t>
      </w:r>
      <w:r w:rsidRPr="0001508F">
        <w:rPr>
          <w:rFonts w:ascii="Times" w:hAnsi="Times"/>
          <w:color w:val="000000"/>
          <w:szCs w:val="24"/>
        </w:rPr>
        <w:t xml:space="preserve"> A building project or renovation undertaken that, when constructed, will produce, from renewable resources, a decrease in carbon, or carbon equivalent, emissions in a percentage no less than 50 percent of such building's prior year emissions. This may include installation of renewable energy sources such as solar energy, geothermal ground source heat pumps, or wind energy systems.</w:t>
      </w:r>
    </w:p>
    <w:p w14:paraId="36A6D842" w14:textId="77777777" w:rsidR="0001508F" w:rsidRPr="0001508F" w:rsidRDefault="0001508F" w:rsidP="0001508F">
      <w:pPr>
        <w:spacing w:before="100" w:beforeAutospacing="1" w:after="100" w:afterAutospacing="1"/>
        <w:jc w:val="left"/>
        <w:rPr>
          <w:rFonts w:ascii="Times" w:hAnsi="Times"/>
          <w:color w:val="000000"/>
          <w:szCs w:val="24"/>
        </w:rPr>
      </w:pPr>
      <w:r w:rsidRPr="0001508F">
        <w:rPr>
          <w:rFonts w:ascii="Times" w:hAnsi="Times"/>
          <w:b/>
          <w:bCs/>
          <w:color w:val="000000"/>
          <w:szCs w:val="24"/>
        </w:rPr>
        <w:t>HEREAFTER.</w:t>
      </w:r>
      <w:r w:rsidRPr="0001508F">
        <w:rPr>
          <w:rFonts w:ascii="Times" w:hAnsi="Times"/>
          <w:color w:val="000000"/>
          <w:szCs w:val="24"/>
        </w:rPr>
        <w:t xml:space="preserve"> On or after [July 1, 2008] </w:t>
      </w:r>
      <w:r w:rsidRPr="0001508F">
        <w:rPr>
          <w:rFonts w:ascii="Times" w:hAnsi="Times"/>
          <w:color w:val="000000"/>
          <w:szCs w:val="24"/>
          <w:u w:val="single"/>
        </w:rPr>
        <w:t>the effective date of the New York city existing building code</w:t>
      </w:r>
      <w:r w:rsidRPr="0001508F">
        <w:rPr>
          <w:rFonts w:ascii="Times" w:hAnsi="Times"/>
          <w:color w:val="000000"/>
          <w:szCs w:val="24"/>
        </w:rPr>
        <w:t>.</w:t>
      </w:r>
    </w:p>
    <w:p w14:paraId="39C32CAD" w14:textId="77777777" w:rsidR="0001508F" w:rsidRPr="0001508F" w:rsidRDefault="0001508F" w:rsidP="0001508F">
      <w:pPr>
        <w:spacing w:before="100" w:beforeAutospacing="1" w:after="100" w:afterAutospacing="1"/>
        <w:jc w:val="left"/>
        <w:rPr>
          <w:rFonts w:ascii="Times" w:hAnsi="Times"/>
          <w:color w:val="000000"/>
          <w:szCs w:val="24"/>
        </w:rPr>
      </w:pPr>
      <w:r w:rsidRPr="0001508F">
        <w:rPr>
          <w:rFonts w:ascii="Times" w:hAnsi="Times"/>
          <w:b/>
          <w:bCs/>
          <w:color w:val="000000"/>
          <w:szCs w:val="24"/>
        </w:rPr>
        <w:t>HERETOFORE.</w:t>
      </w:r>
      <w:r w:rsidRPr="0001508F">
        <w:rPr>
          <w:rFonts w:ascii="Times" w:hAnsi="Times"/>
          <w:color w:val="000000"/>
          <w:szCs w:val="24"/>
        </w:rPr>
        <w:t xml:space="preserve"> Before [July 1, 2008] </w:t>
      </w:r>
      <w:r w:rsidRPr="0001508F">
        <w:rPr>
          <w:rFonts w:ascii="Times" w:hAnsi="Times"/>
          <w:color w:val="000000"/>
          <w:szCs w:val="24"/>
          <w:u w:val="single"/>
        </w:rPr>
        <w:t>the effective date of the New York city existing building code</w:t>
      </w:r>
      <w:r w:rsidRPr="0001508F">
        <w:rPr>
          <w:rFonts w:ascii="Times" w:hAnsi="Times"/>
          <w:color w:val="000000"/>
          <w:szCs w:val="24"/>
        </w:rPr>
        <w:t>.</w:t>
      </w:r>
    </w:p>
    <w:p w14:paraId="0F95B461" w14:textId="77777777" w:rsidR="0001508F" w:rsidRPr="0001508F" w:rsidRDefault="0001508F" w:rsidP="0001508F">
      <w:pPr>
        <w:spacing w:before="100" w:beforeAutospacing="1" w:after="100" w:afterAutospacing="1"/>
        <w:jc w:val="left"/>
        <w:rPr>
          <w:rFonts w:ascii="Times" w:hAnsi="Times"/>
          <w:color w:val="000000"/>
          <w:szCs w:val="24"/>
        </w:rPr>
      </w:pPr>
      <w:r w:rsidRPr="0001508F">
        <w:rPr>
          <w:rFonts w:ascii="Times" w:hAnsi="Times"/>
          <w:b/>
          <w:bCs/>
          <w:color w:val="000000"/>
          <w:szCs w:val="24"/>
        </w:rPr>
        <w:t>INSPECTION CERTIFICATE.</w:t>
      </w:r>
      <w:r w:rsidRPr="0001508F">
        <w:rPr>
          <w:rFonts w:ascii="Times" w:hAnsi="Times"/>
          <w:color w:val="000000"/>
          <w:szCs w:val="24"/>
        </w:rPr>
        <w:t xml:space="preserve"> Identification applied to a product by an approved agency containing the name of the manufacturer, the function and performance characteristics, and the name and identification of the approved agency that indicates that the product or material has been inspected and evaluated by such approved agency. An inspection certificate shall also mean a certificate issued by the department upon satisfactory completion of an inspection or test.</w:t>
      </w:r>
    </w:p>
    <w:p w14:paraId="7D35A44F" w14:textId="77777777" w:rsidR="0001508F" w:rsidRPr="0001508F" w:rsidRDefault="0001508F" w:rsidP="0001508F">
      <w:pPr>
        <w:spacing w:before="100" w:beforeAutospacing="1" w:after="100" w:afterAutospacing="1"/>
        <w:jc w:val="left"/>
        <w:rPr>
          <w:rFonts w:ascii="Times" w:hAnsi="Times"/>
          <w:color w:val="000000"/>
          <w:szCs w:val="24"/>
        </w:rPr>
      </w:pPr>
      <w:r w:rsidRPr="0001508F">
        <w:rPr>
          <w:rFonts w:ascii="Times" w:hAnsi="Times"/>
          <w:b/>
          <w:bCs/>
          <w:color w:val="000000"/>
          <w:szCs w:val="24"/>
        </w:rPr>
        <w:t>INTERIM CERTIFICATE OF OCCUPANCY</w:t>
      </w:r>
      <w:r w:rsidRPr="0001508F">
        <w:rPr>
          <w:rFonts w:ascii="Times" w:hAnsi="Times"/>
          <w:color w:val="000000"/>
          <w:szCs w:val="24"/>
        </w:rPr>
        <w:t>. A type of temporary certificate of occupancy authorizing occupancy of one or more floors of a building prior to the completion of all work needed to obtain a certificate of occupancy for the building, and that remains in effect until the issuance of a certificate of occupancy for the building.</w:t>
      </w:r>
    </w:p>
    <w:p w14:paraId="0DED57F3" w14:textId="77777777" w:rsidR="0001508F" w:rsidRPr="0001508F" w:rsidRDefault="0001508F" w:rsidP="0001508F">
      <w:pPr>
        <w:spacing w:before="100" w:beforeAutospacing="1" w:after="100" w:afterAutospacing="1"/>
        <w:jc w:val="left"/>
        <w:rPr>
          <w:rFonts w:ascii="Times" w:hAnsi="Times"/>
          <w:color w:val="000000"/>
          <w:szCs w:val="24"/>
        </w:rPr>
      </w:pPr>
      <w:r w:rsidRPr="0001508F">
        <w:rPr>
          <w:rFonts w:ascii="Times" w:hAnsi="Times"/>
          <w:b/>
          <w:bCs/>
          <w:color w:val="000000"/>
          <w:szCs w:val="24"/>
        </w:rPr>
        <w:t>LABEL.</w:t>
      </w:r>
      <w:r w:rsidRPr="0001508F">
        <w:rPr>
          <w:rFonts w:ascii="Times" w:hAnsi="Times"/>
          <w:color w:val="000000"/>
          <w:szCs w:val="24"/>
        </w:rPr>
        <w:t xml:space="preserve"> An identification applied on a product by the manufacturer that contains the name of the manufacturer, the function and performance characteristics of the product or material, and the name and identification of an approved agency and that indicates that a representative sample of the product or material has been tested and evaluated by an approved agency for compliance with nationally recognized standards or tests to determine suitable usage in a specific manner.</w:t>
      </w:r>
    </w:p>
    <w:p w14:paraId="6553B275" w14:textId="77777777" w:rsidR="0001508F" w:rsidRPr="0001508F" w:rsidRDefault="0001508F" w:rsidP="0001508F">
      <w:pPr>
        <w:spacing w:before="100" w:beforeAutospacing="1" w:after="100" w:afterAutospacing="1"/>
        <w:jc w:val="left"/>
        <w:rPr>
          <w:rFonts w:ascii="Times" w:hAnsi="Times"/>
          <w:color w:val="000000"/>
          <w:szCs w:val="24"/>
        </w:rPr>
      </w:pPr>
      <w:r w:rsidRPr="0001508F">
        <w:rPr>
          <w:rFonts w:ascii="Times" w:hAnsi="Times"/>
          <w:b/>
          <w:bCs/>
          <w:color w:val="000000"/>
          <w:szCs w:val="24"/>
        </w:rPr>
        <w:t>LABELED.</w:t>
      </w:r>
      <w:r w:rsidRPr="0001508F">
        <w:rPr>
          <w:rFonts w:ascii="Times" w:hAnsi="Times"/>
          <w:color w:val="000000"/>
          <w:szCs w:val="24"/>
        </w:rPr>
        <w:t xml:space="preserve"> Material to which has been attached a label, symbol or other identifying mark of the manufacturer that contains the name of the manufacturer, the function and performance characteristics of the product or material, and the name and identification of an approved agency and that indicates that a representative sample of the material has been tested and evaluated by an approved agency for compliance with nationally recognized standards or tests to determine suitable usage in a specified manner.</w:t>
      </w:r>
    </w:p>
    <w:p w14:paraId="56F220A6" w14:textId="77777777" w:rsidR="0001508F" w:rsidRPr="0001508F" w:rsidRDefault="0001508F" w:rsidP="0001508F">
      <w:pPr>
        <w:spacing w:before="100" w:beforeAutospacing="1" w:after="100" w:afterAutospacing="1"/>
        <w:jc w:val="left"/>
        <w:rPr>
          <w:rFonts w:ascii="Times" w:hAnsi="Times"/>
          <w:color w:val="000000"/>
          <w:szCs w:val="24"/>
        </w:rPr>
      </w:pPr>
      <w:r w:rsidRPr="0001508F">
        <w:rPr>
          <w:rFonts w:ascii="Times" w:hAnsi="Times"/>
          <w:b/>
          <w:bCs/>
          <w:color w:val="000000"/>
          <w:szCs w:val="24"/>
        </w:rPr>
        <w:t>LAND SURVEYOR.</w:t>
      </w:r>
      <w:r w:rsidRPr="0001508F">
        <w:rPr>
          <w:rFonts w:ascii="Times" w:hAnsi="Times"/>
          <w:color w:val="000000"/>
          <w:szCs w:val="24"/>
        </w:rPr>
        <w:t xml:space="preserve"> A person licensed and registered to practice the profession of land surveying under the education law of the state of New York.</w:t>
      </w:r>
    </w:p>
    <w:p w14:paraId="21DB5A98" w14:textId="77777777" w:rsidR="0001508F" w:rsidRPr="0001508F" w:rsidRDefault="0001508F" w:rsidP="0001508F">
      <w:pPr>
        <w:spacing w:before="100" w:beforeAutospacing="1" w:after="100" w:afterAutospacing="1"/>
        <w:jc w:val="left"/>
        <w:rPr>
          <w:rFonts w:ascii="Times" w:hAnsi="Times"/>
          <w:color w:val="000000"/>
          <w:szCs w:val="24"/>
        </w:rPr>
      </w:pPr>
      <w:r w:rsidRPr="0001508F">
        <w:rPr>
          <w:rFonts w:ascii="Times" w:hAnsi="Times"/>
          <w:b/>
          <w:bCs/>
          <w:color w:val="000000"/>
          <w:szCs w:val="24"/>
        </w:rPr>
        <w:t>LANDSCAPE ARCHITECT.</w:t>
      </w:r>
      <w:r w:rsidRPr="0001508F">
        <w:rPr>
          <w:rFonts w:ascii="Times" w:hAnsi="Times"/>
          <w:color w:val="000000"/>
          <w:szCs w:val="24"/>
        </w:rPr>
        <w:t xml:space="preserve"> A person licensed and registered to practice the profession of landscape architecture under the education law of the state of New York.</w:t>
      </w:r>
    </w:p>
    <w:p w14:paraId="772F4E56" w14:textId="77777777" w:rsidR="0001508F" w:rsidRPr="0001508F" w:rsidRDefault="0001508F" w:rsidP="0001508F">
      <w:pPr>
        <w:spacing w:before="100" w:beforeAutospacing="1" w:after="100" w:afterAutospacing="1"/>
        <w:jc w:val="left"/>
        <w:rPr>
          <w:rFonts w:ascii="Times" w:hAnsi="Times"/>
          <w:color w:val="000000"/>
          <w:szCs w:val="24"/>
        </w:rPr>
      </w:pPr>
      <w:r w:rsidRPr="0001508F">
        <w:rPr>
          <w:rFonts w:ascii="Times" w:hAnsi="Times"/>
          <w:b/>
          <w:bCs/>
          <w:color w:val="000000"/>
          <w:szCs w:val="24"/>
        </w:rPr>
        <w:t>LETTER OF COMPLETION.</w:t>
      </w:r>
      <w:r w:rsidRPr="0001508F">
        <w:rPr>
          <w:rFonts w:ascii="Times" w:hAnsi="Times"/>
          <w:color w:val="000000"/>
          <w:szCs w:val="24"/>
        </w:rPr>
        <w:t xml:space="preserve"> A document issued by the department indicating that permitted work has been completed, including satisfactory final inspection in accordance with this code. A letter of completion is issued only in circumstances where a certificate of occupancy is not required upon completion of the permitted work.</w:t>
      </w:r>
    </w:p>
    <w:p w14:paraId="6CDD2044" w14:textId="77777777" w:rsidR="0001508F" w:rsidRPr="0001508F" w:rsidRDefault="0001508F" w:rsidP="0001508F">
      <w:pPr>
        <w:spacing w:before="100" w:beforeAutospacing="1" w:after="100" w:afterAutospacing="1"/>
        <w:jc w:val="left"/>
        <w:rPr>
          <w:rFonts w:ascii="Times" w:hAnsi="Times"/>
          <w:color w:val="000000"/>
          <w:szCs w:val="24"/>
        </w:rPr>
      </w:pPr>
      <w:r w:rsidRPr="0001508F">
        <w:rPr>
          <w:rFonts w:ascii="Times" w:hAnsi="Times"/>
          <w:b/>
          <w:bCs/>
          <w:color w:val="000000"/>
          <w:szCs w:val="24"/>
        </w:rPr>
        <w:t>LIMITED ALTERATION APPLICATION.</w:t>
      </w:r>
      <w:r w:rsidRPr="0001508F">
        <w:rPr>
          <w:rFonts w:ascii="Times" w:hAnsi="Times"/>
          <w:color w:val="000000"/>
          <w:szCs w:val="24"/>
        </w:rPr>
        <w:t xml:space="preserve"> Application for </w:t>
      </w:r>
      <w:r w:rsidRPr="0001508F">
        <w:rPr>
          <w:rFonts w:ascii="Times" w:hAnsi="Times"/>
          <w:color w:val="000000"/>
          <w:szCs w:val="24"/>
          <w:u w:val="single"/>
        </w:rPr>
        <w:t>limited elevator alterations, limited home improvement alterations,</w:t>
      </w:r>
      <w:r w:rsidRPr="0001508F">
        <w:rPr>
          <w:rFonts w:ascii="Times" w:hAnsi="Times"/>
          <w:color w:val="000000"/>
          <w:szCs w:val="24"/>
        </w:rPr>
        <w:t xml:space="preserve"> limited oil-burning appliance alterations, limited plumbing alterations, </w:t>
      </w:r>
      <w:r w:rsidRPr="0001508F">
        <w:rPr>
          <w:rFonts w:ascii="Times" w:hAnsi="Times"/>
          <w:color w:val="000000"/>
          <w:szCs w:val="24"/>
          <w:u w:val="single"/>
        </w:rPr>
        <w:t>limited reroofing alterations,</w:t>
      </w:r>
      <w:r w:rsidRPr="0001508F">
        <w:rPr>
          <w:rFonts w:ascii="Times" w:hAnsi="Times"/>
          <w:color w:val="000000"/>
          <w:szCs w:val="24"/>
        </w:rPr>
        <w:t xml:space="preserve"> limited sprinkler alterations, limited standpipe alterations </w:t>
      </w:r>
      <w:r w:rsidRPr="0001508F">
        <w:rPr>
          <w:rFonts w:ascii="Times" w:hAnsi="Times"/>
          <w:color w:val="000000"/>
          <w:szCs w:val="24"/>
          <w:u w:val="single"/>
        </w:rPr>
        <w:t>and limited window replacement alterations</w:t>
      </w:r>
      <w:r w:rsidRPr="0001508F">
        <w:rPr>
          <w:rFonts w:ascii="Times" w:hAnsi="Times"/>
          <w:color w:val="000000"/>
          <w:szCs w:val="24"/>
        </w:rPr>
        <w:t xml:space="preserve"> submitted pursuant to exception 1 of section 28-104.6. Such work shall not include any associated work that would otherwise require an alteration permit including, but not limited to, any construction of fire-rated partitions and enclosures.</w:t>
      </w:r>
    </w:p>
    <w:p w14:paraId="7A2BC79C" w14:textId="77777777" w:rsidR="0001508F" w:rsidRPr="0001508F" w:rsidRDefault="0001508F" w:rsidP="0001508F">
      <w:pPr>
        <w:spacing w:before="100" w:beforeAutospacing="1" w:after="100" w:afterAutospacing="1"/>
        <w:ind w:left="360"/>
        <w:jc w:val="left"/>
        <w:rPr>
          <w:rFonts w:ascii="Times" w:hAnsi="Times"/>
          <w:color w:val="000000"/>
          <w:szCs w:val="24"/>
        </w:rPr>
      </w:pPr>
      <w:r w:rsidRPr="0001508F">
        <w:rPr>
          <w:rFonts w:ascii="Times" w:hAnsi="Times"/>
          <w:color w:val="000000"/>
          <w:szCs w:val="24"/>
        </w:rPr>
        <w:t>Category 1 work shall be limited to a new installation into an existing building or system. The utilization of this category shall be limited by an annual monetary cap.</w:t>
      </w:r>
    </w:p>
    <w:p w14:paraId="7C95B610" w14:textId="77777777" w:rsidR="0001508F" w:rsidRPr="0001508F" w:rsidRDefault="0001508F" w:rsidP="0001508F">
      <w:pPr>
        <w:spacing w:before="100" w:beforeAutospacing="1" w:after="100" w:afterAutospacing="1"/>
        <w:ind w:left="360"/>
        <w:jc w:val="left"/>
        <w:rPr>
          <w:rFonts w:ascii="Times" w:hAnsi="Times"/>
          <w:color w:val="000000"/>
          <w:szCs w:val="24"/>
        </w:rPr>
      </w:pPr>
      <w:r w:rsidRPr="0001508F">
        <w:rPr>
          <w:rFonts w:ascii="Times" w:hAnsi="Times"/>
          <w:color w:val="000000"/>
          <w:szCs w:val="24"/>
        </w:rPr>
        <w:t>Category 2 work shall include any existing system or component that is replaced, repaired or altered. This category shall not be limited by a monetary cap.</w:t>
      </w:r>
    </w:p>
    <w:p w14:paraId="16767089" w14:textId="77777777" w:rsidR="0001508F" w:rsidRPr="0001508F" w:rsidRDefault="0001508F" w:rsidP="0001508F">
      <w:pPr>
        <w:spacing w:line="256" w:lineRule="auto"/>
        <w:ind w:left="360"/>
        <w:rPr>
          <w:rFonts w:eastAsia="Calibri"/>
          <w:bCs/>
          <w:szCs w:val="24"/>
        </w:rPr>
      </w:pPr>
      <w:r w:rsidRPr="0001508F">
        <w:rPr>
          <w:b/>
          <w:szCs w:val="24"/>
          <w:u w:val="single"/>
        </w:rPr>
        <w:t xml:space="preserve">Category 3 </w:t>
      </w:r>
      <w:r w:rsidRPr="0001508F">
        <w:rPr>
          <w:bCs/>
          <w:szCs w:val="24"/>
          <w:u w:val="single"/>
        </w:rPr>
        <w:t xml:space="preserve">work shall include any </w:t>
      </w:r>
      <w:r w:rsidRPr="0001508F">
        <w:rPr>
          <w:rFonts w:eastAsia="Calibri"/>
          <w:bCs/>
          <w:szCs w:val="24"/>
          <w:u w:val="single"/>
        </w:rPr>
        <w:t>existing system(s) or components that are altered, repaired, or replaced and do not require a department inspection. This category shall not be subject to an annual monetary cap.</w:t>
      </w:r>
    </w:p>
    <w:p w14:paraId="58C800D3" w14:textId="77777777" w:rsidR="0001508F" w:rsidRPr="0001508F" w:rsidRDefault="0001508F" w:rsidP="0001508F">
      <w:pPr>
        <w:widowControl w:val="0"/>
        <w:spacing w:before="120"/>
        <w:rPr>
          <w:b/>
          <w:bCs/>
          <w:szCs w:val="24"/>
          <w:u w:val="single"/>
        </w:rPr>
      </w:pPr>
      <w:r w:rsidRPr="0001508F">
        <w:rPr>
          <w:b/>
          <w:bCs/>
          <w:szCs w:val="24"/>
          <w:u w:val="single"/>
        </w:rPr>
        <w:t>LIMITED ELEVATOR ALTERATIONS.</w:t>
      </w:r>
      <w:r w:rsidRPr="0001508F">
        <w:rPr>
          <w:szCs w:val="24"/>
          <w:u w:val="single"/>
        </w:rPr>
        <w:t xml:space="preserve"> An alteration to an existing elevator that is limited in scope, subject to Chapter 5 of the existing building code.</w:t>
      </w:r>
    </w:p>
    <w:p w14:paraId="0BD47C51" w14:textId="77777777" w:rsidR="0001508F" w:rsidRPr="0001508F" w:rsidRDefault="0001508F" w:rsidP="0001508F">
      <w:pPr>
        <w:widowControl w:val="0"/>
        <w:spacing w:before="120"/>
        <w:rPr>
          <w:b/>
          <w:bCs/>
          <w:szCs w:val="24"/>
          <w:u w:val="single"/>
        </w:rPr>
      </w:pPr>
      <w:r w:rsidRPr="0001508F">
        <w:rPr>
          <w:b/>
          <w:bCs/>
          <w:szCs w:val="24"/>
          <w:u w:val="single"/>
        </w:rPr>
        <w:t>LIMITED HOME IMPROVEMENT ALTERATIONS.</w:t>
      </w:r>
      <w:r w:rsidRPr="0001508F">
        <w:rPr>
          <w:szCs w:val="24"/>
          <w:u w:val="single"/>
        </w:rPr>
        <w:t xml:space="preserve"> An alteration to an existing one- or two-family dwelling that is limited in scope, subject to Chapter 5 of the existing building code.</w:t>
      </w:r>
    </w:p>
    <w:p w14:paraId="71B1E4D9" w14:textId="77777777" w:rsidR="0001508F" w:rsidRPr="0001508F" w:rsidRDefault="0001508F" w:rsidP="0001508F">
      <w:pPr>
        <w:widowControl w:val="0"/>
        <w:spacing w:before="120"/>
        <w:rPr>
          <w:szCs w:val="24"/>
          <w:u w:val="single"/>
        </w:rPr>
      </w:pPr>
      <w:r w:rsidRPr="0001508F">
        <w:rPr>
          <w:b/>
          <w:bCs/>
          <w:szCs w:val="24"/>
          <w:u w:val="single"/>
        </w:rPr>
        <w:t>LIMITED OIL-BURNING APPLIANCE ALTERATIONS.</w:t>
      </w:r>
      <w:r w:rsidRPr="0001508F">
        <w:rPr>
          <w:w w:val="115"/>
          <w:szCs w:val="24"/>
          <w:u w:val="single"/>
        </w:rPr>
        <w:t xml:space="preserve"> </w:t>
      </w:r>
      <w:r w:rsidRPr="0001508F">
        <w:rPr>
          <w:szCs w:val="24"/>
          <w:u w:val="single"/>
        </w:rPr>
        <w:t>An alteration to an oil burner/boiler system that is limited in scope and/or value, subject to Chapter 5 of the existing building code.</w:t>
      </w:r>
    </w:p>
    <w:p w14:paraId="50A5463A" w14:textId="77777777" w:rsidR="0001508F" w:rsidRPr="0001508F" w:rsidRDefault="0001508F" w:rsidP="0001508F">
      <w:pPr>
        <w:widowControl w:val="0"/>
        <w:spacing w:before="120"/>
        <w:rPr>
          <w:szCs w:val="24"/>
          <w:u w:val="single"/>
        </w:rPr>
      </w:pPr>
      <w:r w:rsidRPr="0001508F">
        <w:rPr>
          <w:b/>
          <w:bCs/>
          <w:szCs w:val="24"/>
          <w:u w:val="single"/>
        </w:rPr>
        <w:t>LIMITED PLUMBING ALTERATIONS.</w:t>
      </w:r>
      <w:r w:rsidRPr="0001508F">
        <w:rPr>
          <w:szCs w:val="24"/>
          <w:u w:val="single"/>
        </w:rPr>
        <w:t xml:space="preserve"> An alteration to a plumbing or fuel gas piping system that is limited in scope and/or value, subject to Chapter 5 of the existing building code.</w:t>
      </w:r>
    </w:p>
    <w:p w14:paraId="6F840066" w14:textId="77777777" w:rsidR="0001508F" w:rsidRPr="0001508F" w:rsidRDefault="0001508F" w:rsidP="0001508F">
      <w:pPr>
        <w:widowControl w:val="0"/>
        <w:spacing w:before="120"/>
        <w:rPr>
          <w:b/>
          <w:bCs/>
          <w:szCs w:val="24"/>
          <w:u w:val="single"/>
        </w:rPr>
      </w:pPr>
      <w:r w:rsidRPr="0001508F">
        <w:rPr>
          <w:b/>
          <w:bCs/>
          <w:szCs w:val="24"/>
          <w:u w:val="single"/>
        </w:rPr>
        <w:t>LIMITED REROOFING ALTERATIONS.</w:t>
      </w:r>
      <w:r w:rsidRPr="0001508F">
        <w:rPr>
          <w:szCs w:val="24"/>
          <w:u w:val="single"/>
        </w:rPr>
        <w:t xml:space="preserve"> A reroofing alteration that is limited in scope, subject to Chapter 5 of the existing building code.</w:t>
      </w:r>
    </w:p>
    <w:p w14:paraId="36104762" w14:textId="77777777" w:rsidR="0001508F" w:rsidRPr="0001508F" w:rsidRDefault="0001508F" w:rsidP="0001508F">
      <w:pPr>
        <w:widowControl w:val="0"/>
        <w:spacing w:before="120"/>
        <w:rPr>
          <w:b/>
          <w:bCs/>
          <w:szCs w:val="24"/>
          <w:u w:val="single"/>
        </w:rPr>
      </w:pPr>
      <w:r w:rsidRPr="0001508F">
        <w:rPr>
          <w:b/>
          <w:bCs/>
          <w:szCs w:val="24"/>
          <w:u w:val="single"/>
        </w:rPr>
        <w:t>LIMITED SPRINKLER ALTERATIONS.</w:t>
      </w:r>
      <w:r w:rsidRPr="0001508F">
        <w:rPr>
          <w:szCs w:val="24"/>
          <w:u w:val="single"/>
        </w:rPr>
        <w:t xml:space="preserve"> An alteration to a sprinkler system that is limited in scope and/or value, subject to Chapter 5 of the existing building code.</w:t>
      </w:r>
    </w:p>
    <w:p w14:paraId="298F5E08" w14:textId="77777777" w:rsidR="0001508F" w:rsidRPr="0001508F" w:rsidRDefault="0001508F" w:rsidP="0001508F">
      <w:pPr>
        <w:widowControl w:val="0"/>
        <w:spacing w:before="120"/>
        <w:rPr>
          <w:szCs w:val="24"/>
          <w:u w:val="single"/>
        </w:rPr>
      </w:pPr>
      <w:r w:rsidRPr="0001508F">
        <w:rPr>
          <w:b/>
          <w:bCs/>
          <w:szCs w:val="24"/>
          <w:u w:val="single"/>
        </w:rPr>
        <w:t>LIMITED STANDPIPE ALTERATIONS.</w:t>
      </w:r>
      <w:r w:rsidRPr="0001508F">
        <w:rPr>
          <w:szCs w:val="24"/>
          <w:u w:val="single"/>
        </w:rPr>
        <w:t xml:space="preserve"> An alteration to an existing combined standpipe system that is limited in scope and/or value, subject to Chapter 5 of the existing building code.</w:t>
      </w:r>
    </w:p>
    <w:p w14:paraId="7C17342A" w14:textId="77777777" w:rsidR="0001508F" w:rsidRPr="0001508F" w:rsidRDefault="0001508F" w:rsidP="0001508F">
      <w:pPr>
        <w:widowControl w:val="0"/>
        <w:spacing w:before="120"/>
        <w:rPr>
          <w:szCs w:val="24"/>
          <w:u w:val="single"/>
        </w:rPr>
      </w:pPr>
      <w:r w:rsidRPr="0001508F">
        <w:rPr>
          <w:b/>
          <w:bCs/>
          <w:szCs w:val="24"/>
          <w:u w:val="single"/>
        </w:rPr>
        <w:t xml:space="preserve">LIMITED WINDOW REPLACEMENT ALTERATIONS. </w:t>
      </w:r>
      <w:r w:rsidRPr="0001508F">
        <w:rPr>
          <w:szCs w:val="24"/>
          <w:u w:val="single"/>
        </w:rPr>
        <w:t>A window replacement alteration that is limited in scope, subject to Chapter 5 of the existing building code.</w:t>
      </w:r>
    </w:p>
    <w:p w14:paraId="2139389B" w14:textId="77777777" w:rsidR="0001508F" w:rsidRPr="0001508F" w:rsidRDefault="0001508F" w:rsidP="0001508F">
      <w:pPr>
        <w:suppressAutoHyphens/>
        <w:spacing w:after="240"/>
        <w:rPr>
          <w:b/>
          <w:szCs w:val="24"/>
          <w:u w:val="single"/>
        </w:rPr>
      </w:pPr>
    </w:p>
    <w:p w14:paraId="2B3D43D6" w14:textId="77777777" w:rsidR="0001508F" w:rsidRPr="0001508F" w:rsidRDefault="0001508F" w:rsidP="0001508F">
      <w:pPr>
        <w:suppressAutoHyphens/>
        <w:spacing w:after="240"/>
        <w:rPr>
          <w:rFonts w:ascii="Times" w:hAnsi="Times"/>
          <w:color w:val="000000"/>
          <w:szCs w:val="24"/>
          <w:shd w:val="clear" w:color="auto" w:fill="FFFFFF"/>
        </w:rPr>
      </w:pPr>
      <w:r w:rsidRPr="0001508F">
        <w:rPr>
          <w:b/>
          <w:szCs w:val="24"/>
        </w:rPr>
        <w:t>LIMITED OIL-BURNING APPLIANCE ALTERATIONS.</w:t>
      </w:r>
      <w:r w:rsidRPr="0001508F">
        <w:rPr>
          <w:spacing w:val="-6"/>
          <w:w w:val="115"/>
          <w:szCs w:val="24"/>
        </w:rPr>
        <w:t xml:space="preserve">  </w:t>
      </w:r>
      <w:r w:rsidRPr="0001508F">
        <w:rPr>
          <w:rFonts w:ascii="Times" w:hAnsi="Times"/>
          <w:color w:val="000000"/>
          <w:szCs w:val="24"/>
          <w:shd w:val="clear" w:color="auto" w:fill="FFFFFF"/>
        </w:rPr>
        <w:t>  [</w:t>
      </w:r>
      <w:r w:rsidRPr="0001508F">
        <w:rPr>
          <w:rFonts w:ascii="Times" w:hAnsi="Times"/>
          <w:strike/>
          <w:color w:val="000000"/>
          <w:szCs w:val="24"/>
          <w:shd w:val="clear" w:color="auto" w:fill="FFFFFF"/>
        </w:rPr>
        <w:t>An alteration, installation, replacement or repair to an oil-burning appliance that is limited in scope, falling into one of the following categories. Any construction or alteration to fire-rated partitions or enclosures, with the exception of through-penetrations that are firestopped, shall require a separate application filed with the department.</w:t>
      </w:r>
    </w:p>
    <w:p w14:paraId="6860450D" w14:textId="77777777" w:rsidR="0001508F" w:rsidRPr="0001508F" w:rsidRDefault="0001508F" w:rsidP="0001508F">
      <w:pPr>
        <w:spacing w:before="100" w:beforeAutospacing="1" w:after="100" w:afterAutospacing="1"/>
        <w:jc w:val="left"/>
        <w:rPr>
          <w:rFonts w:ascii="Times" w:hAnsi="Times"/>
          <w:strike/>
          <w:color w:val="000000"/>
          <w:szCs w:val="24"/>
        </w:rPr>
      </w:pPr>
      <w:r w:rsidRPr="0001508F">
        <w:rPr>
          <w:rFonts w:ascii="Times" w:hAnsi="Times"/>
          <w:strike/>
          <w:color w:val="000000"/>
          <w:szCs w:val="24"/>
        </w:rPr>
        <w:t>Category 1. An addition to an existing oil-burning appliance where the total cost of the proposed Category 1 work in the building does not exceed $50,000 in any 12-month period and where the proposed work is limited to the installation of:</w:t>
      </w:r>
    </w:p>
    <w:p w14:paraId="5045FB88" w14:textId="77777777" w:rsidR="0001508F" w:rsidRPr="0001508F" w:rsidRDefault="0001508F" w:rsidP="0001508F">
      <w:pPr>
        <w:spacing w:before="100" w:beforeAutospacing="1" w:after="100" w:afterAutospacing="1"/>
        <w:jc w:val="left"/>
        <w:rPr>
          <w:rFonts w:ascii="Times" w:hAnsi="Times"/>
          <w:strike/>
          <w:color w:val="000000"/>
          <w:szCs w:val="24"/>
        </w:rPr>
      </w:pPr>
      <w:r w:rsidRPr="0001508F">
        <w:rPr>
          <w:rFonts w:ascii="Times" w:hAnsi="Times"/>
          <w:strike/>
          <w:color w:val="000000"/>
          <w:szCs w:val="24"/>
        </w:rPr>
        <w:t>    1. oil equipment,</w:t>
      </w:r>
    </w:p>
    <w:p w14:paraId="27CF7B41" w14:textId="77777777" w:rsidR="0001508F" w:rsidRPr="0001508F" w:rsidRDefault="0001508F" w:rsidP="0001508F">
      <w:pPr>
        <w:spacing w:before="100" w:beforeAutospacing="1" w:after="100" w:afterAutospacing="1"/>
        <w:jc w:val="left"/>
        <w:rPr>
          <w:rFonts w:ascii="Times" w:hAnsi="Times"/>
          <w:strike/>
          <w:color w:val="000000"/>
          <w:szCs w:val="24"/>
        </w:rPr>
      </w:pPr>
      <w:r w:rsidRPr="0001508F">
        <w:rPr>
          <w:rFonts w:ascii="Times" w:hAnsi="Times"/>
          <w:strike/>
          <w:color w:val="000000"/>
          <w:szCs w:val="24"/>
        </w:rPr>
        <w:t>    2. oil-fired appliances, located within the same enclosure or room as the existing oil-burning appliance,</w:t>
      </w:r>
    </w:p>
    <w:p w14:paraId="5DB84733" w14:textId="77777777" w:rsidR="0001508F" w:rsidRPr="0001508F" w:rsidRDefault="0001508F" w:rsidP="0001508F">
      <w:pPr>
        <w:spacing w:before="100" w:beforeAutospacing="1" w:after="100" w:afterAutospacing="1"/>
        <w:jc w:val="left"/>
        <w:rPr>
          <w:rFonts w:ascii="Times" w:hAnsi="Times"/>
          <w:strike/>
          <w:color w:val="000000"/>
          <w:szCs w:val="24"/>
        </w:rPr>
      </w:pPr>
      <w:r w:rsidRPr="0001508F">
        <w:rPr>
          <w:rFonts w:ascii="Times" w:hAnsi="Times"/>
          <w:strike/>
          <w:color w:val="000000"/>
          <w:szCs w:val="24"/>
        </w:rPr>
        <w:t>    3. unit heaters, or</w:t>
      </w:r>
    </w:p>
    <w:p w14:paraId="01906086" w14:textId="77777777" w:rsidR="0001508F" w:rsidRPr="0001508F" w:rsidRDefault="0001508F" w:rsidP="0001508F">
      <w:pPr>
        <w:spacing w:before="100" w:beforeAutospacing="1" w:after="100" w:afterAutospacing="1"/>
        <w:jc w:val="left"/>
        <w:rPr>
          <w:rFonts w:ascii="Times" w:hAnsi="Times"/>
          <w:strike/>
          <w:color w:val="000000"/>
          <w:szCs w:val="24"/>
        </w:rPr>
      </w:pPr>
      <w:r w:rsidRPr="0001508F">
        <w:rPr>
          <w:rFonts w:ascii="Times" w:hAnsi="Times"/>
          <w:strike/>
          <w:color w:val="000000"/>
          <w:szCs w:val="24"/>
        </w:rPr>
        <w:t>    4. oil piping including no more than two above-ground oil tanks each with a capacity of no more than 330 gallons (1250 L) provided such oil tanks also comply with the capacity limits established in section 1305.11 of the New York city mechanical code. The newly installed tanks shall have a UL listing, be labeled or meet the alternative tank design and construction standards contained in section 1305.14 of the New York city mechanical code.</w:t>
      </w:r>
    </w:p>
    <w:p w14:paraId="1AD3A4DC" w14:textId="77777777" w:rsidR="0001508F" w:rsidRPr="0001508F" w:rsidRDefault="0001508F" w:rsidP="0001508F">
      <w:pPr>
        <w:spacing w:before="100" w:beforeAutospacing="1" w:after="100" w:afterAutospacing="1"/>
        <w:jc w:val="left"/>
        <w:rPr>
          <w:rFonts w:ascii="Times" w:hAnsi="Times"/>
          <w:strike/>
          <w:color w:val="000000"/>
          <w:szCs w:val="24"/>
        </w:rPr>
      </w:pPr>
      <w:r w:rsidRPr="0001508F">
        <w:rPr>
          <w:rFonts w:ascii="Times" w:hAnsi="Times"/>
          <w:strike/>
          <w:color w:val="000000"/>
          <w:szCs w:val="24"/>
        </w:rPr>
        <w:t>    Category 2. An alteration, repair or replacement of an existing oil-burning appliance that is not subject to cost or duration limitations and that is limited to the following:</w:t>
      </w:r>
    </w:p>
    <w:p w14:paraId="44685DE5" w14:textId="77777777" w:rsidR="0001508F" w:rsidRPr="0001508F" w:rsidRDefault="0001508F" w:rsidP="0001508F">
      <w:pPr>
        <w:spacing w:before="100" w:beforeAutospacing="1" w:after="100" w:afterAutospacing="1"/>
        <w:jc w:val="left"/>
        <w:rPr>
          <w:rFonts w:ascii="Times" w:hAnsi="Times"/>
          <w:strike/>
          <w:color w:val="000000"/>
          <w:szCs w:val="24"/>
        </w:rPr>
      </w:pPr>
      <w:r w:rsidRPr="0001508F">
        <w:rPr>
          <w:rFonts w:ascii="Times" w:hAnsi="Times"/>
          <w:strike/>
          <w:color w:val="000000"/>
          <w:szCs w:val="24"/>
        </w:rPr>
        <w:t>    1. Replacement of oil burners, oil-burning appliances or water heaters in which the heat input per appliance does not exceed 3 million Btu/h (879 kW).</w:t>
      </w:r>
    </w:p>
    <w:p w14:paraId="72E6F497" w14:textId="77777777" w:rsidR="0001508F" w:rsidRPr="0001508F" w:rsidRDefault="0001508F" w:rsidP="0001508F">
      <w:pPr>
        <w:spacing w:before="100" w:beforeAutospacing="1" w:after="100" w:afterAutospacing="1"/>
        <w:jc w:val="left"/>
        <w:rPr>
          <w:rFonts w:ascii="Times" w:hAnsi="Times"/>
          <w:strike/>
          <w:color w:val="000000"/>
          <w:szCs w:val="24"/>
        </w:rPr>
      </w:pPr>
      <w:r w:rsidRPr="0001508F">
        <w:rPr>
          <w:rFonts w:ascii="Times" w:hAnsi="Times"/>
          <w:strike/>
          <w:color w:val="000000"/>
          <w:szCs w:val="24"/>
        </w:rPr>
        <w:t>    2. Relocation of an oil burner or oil-burning appliance or water heater within the same enclosure or room.</w:t>
      </w:r>
    </w:p>
    <w:p w14:paraId="214237A6" w14:textId="77777777" w:rsidR="0001508F" w:rsidRPr="0001508F" w:rsidRDefault="0001508F" w:rsidP="0001508F">
      <w:pPr>
        <w:spacing w:before="100" w:beforeAutospacing="1" w:after="100" w:afterAutospacing="1"/>
        <w:jc w:val="left"/>
        <w:rPr>
          <w:rFonts w:ascii="Times" w:hAnsi="Times"/>
          <w:strike/>
          <w:color w:val="000000"/>
          <w:szCs w:val="24"/>
        </w:rPr>
      </w:pPr>
      <w:r w:rsidRPr="0001508F">
        <w:rPr>
          <w:rFonts w:ascii="Times" w:hAnsi="Times"/>
          <w:strike/>
          <w:color w:val="000000"/>
          <w:szCs w:val="24"/>
        </w:rPr>
        <w:t>    3. Placement of a temporary department of buildings registered oil-fired mobile boiler and corresponding fuel oil storage tank with associated piping at a site for emergency heating.</w:t>
      </w:r>
    </w:p>
    <w:p w14:paraId="045D9946" w14:textId="77777777" w:rsidR="0001508F" w:rsidRPr="0001508F" w:rsidRDefault="0001508F" w:rsidP="0001508F">
      <w:pPr>
        <w:spacing w:before="100" w:beforeAutospacing="1" w:after="100" w:afterAutospacing="1"/>
        <w:jc w:val="left"/>
        <w:rPr>
          <w:rFonts w:ascii="Times" w:hAnsi="Times"/>
          <w:strike/>
          <w:color w:val="000000"/>
          <w:szCs w:val="24"/>
        </w:rPr>
      </w:pPr>
      <w:r w:rsidRPr="0001508F">
        <w:rPr>
          <w:rFonts w:ascii="Times" w:hAnsi="Times"/>
          <w:strike/>
          <w:color w:val="000000"/>
          <w:szCs w:val="24"/>
        </w:rPr>
        <w:t>    4. Placement of a temporary fuel oil storage tank with a capacity of 5,000 gallons (18 927 L) or less at a site for emergency use and connected to an existing oil-burning appliance.</w:t>
      </w:r>
    </w:p>
    <w:p w14:paraId="15CDCE3A" w14:textId="77777777" w:rsidR="0001508F" w:rsidRPr="0001508F" w:rsidRDefault="0001508F" w:rsidP="0001508F">
      <w:pPr>
        <w:spacing w:before="100" w:beforeAutospacing="1" w:after="100" w:afterAutospacing="1"/>
        <w:jc w:val="left"/>
        <w:rPr>
          <w:rFonts w:ascii="Times" w:hAnsi="Times"/>
          <w:color w:val="000000"/>
          <w:szCs w:val="24"/>
        </w:rPr>
      </w:pPr>
      <w:r w:rsidRPr="0001508F">
        <w:rPr>
          <w:rFonts w:ascii="Times" w:hAnsi="Times"/>
          <w:strike/>
          <w:color w:val="000000"/>
          <w:szCs w:val="24"/>
        </w:rPr>
        <w:t>    5. Repair, replacement or relocation of oil equipment, appliances or oil piping including two above- ground oil tanks with 330 gallons (1250 L) provided such oil tanks also comply with the capacity limitations of section 1305.11 of the New York city mechanical code. The replacement tanks shall have a UL listing or labeling or meet the alternative tank design and construction standards contained in section 1305.14 of the New York city mechanical code. Any such relocation shall be only within the same enclosure or room.</w:t>
      </w:r>
      <w:r w:rsidRPr="0001508F">
        <w:rPr>
          <w:rFonts w:ascii="Times" w:hAnsi="Times"/>
          <w:color w:val="000000"/>
          <w:szCs w:val="24"/>
        </w:rPr>
        <w:t>]</w:t>
      </w:r>
    </w:p>
    <w:p w14:paraId="136D389A" w14:textId="77777777" w:rsidR="0001508F" w:rsidRPr="0001508F" w:rsidRDefault="0001508F" w:rsidP="0001508F">
      <w:pPr>
        <w:jc w:val="left"/>
        <w:rPr>
          <w:szCs w:val="24"/>
        </w:rPr>
      </w:pPr>
    </w:p>
    <w:p w14:paraId="602121E4" w14:textId="77777777" w:rsidR="0001508F" w:rsidRPr="0001508F" w:rsidRDefault="0001508F" w:rsidP="0001508F">
      <w:pPr>
        <w:suppressAutoHyphens/>
        <w:spacing w:after="240"/>
        <w:rPr>
          <w:rFonts w:eastAsia="Calibri"/>
          <w:szCs w:val="24"/>
        </w:rPr>
      </w:pPr>
      <w:r w:rsidRPr="0001508F">
        <w:rPr>
          <w:spacing w:val="1"/>
          <w:szCs w:val="24"/>
          <w:u w:val="single"/>
        </w:rPr>
        <w:t>An alteration to an oil burner/boiler system that is limited in scope and/or value, subject to chapter 5 of the New York city existing building code.</w:t>
      </w:r>
    </w:p>
    <w:p w14:paraId="721E1FA3" w14:textId="77777777" w:rsidR="0001508F" w:rsidRPr="0001508F" w:rsidRDefault="0001508F" w:rsidP="0001508F">
      <w:pPr>
        <w:suppressAutoHyphens/>
        <w:spacing w:after="240"/>
        <w:rPr>
          <w:spacing w:val="1"/>
          <w:szCs w:val="24"/>
        </w:rPr>
      </w:pPr>
      <w:r w:rsidRPr="0001508F">
        <w:rPr>
          <w:b/>
          <w:szCs w:val="24"/>
        </w:rPr>
        <w:t>LIMITED PLUMBING ALTERATIONS.</w:t>
      </w:r>
      <w:r w:rsidRPr="0001508F">
        <w:rPr>
          <w:szCs w:val="24"/>
        </w:rPr>
        <w:t xml:space="preserve"> </w:t>
      </w:r>
      <w:r w:rsidRPr="0001508F">
        <w:rPr>
          <w:rFonts w:ascii="Times" w:hAnsi="Times"/>
          <w:color w:val="000000"/>
          <w:szCs w:val="24"/>
        </w:rPr>
        <w:t>[</w:t>
      </w:r>
      <w:r w:rsidRPr="0001508F">
        <w:rPr>
          <w:rFonts w:ascii="Times" w:hAnsi="Times"/>
          <w:strike/>
          <w:color w:val="000000"/>
          <w:szCs w:val="24"/>
        </w:rPr>
        <w:t>An installation, replacement, repair or alteration to a plumbing or fuel gas piping system, including fixtures and appliances, that is limited in scope, falling into one of the following categories:</w:t>
      </w:r>
    </w:p>
    <w:p w14:paraId="08B09B11" w14:textId="77777777" w:rsidR="0001508F" w:rsidRPr="0001508F" w:rsidRDefault="0001508F" w:rsidP="0001508F">
      <w:pPr>
        <w:spacing w:before="100" w:beforeAutospacing="1" w:after="100" w:afterAutospacing="1"/>
        <w:jc w:val="left"/>
        <w:rPr>
          <w:rFonts w:ascii="Times" w:hAnsi="Times"/>
          <w:strike/>
          <w:color w:val="000000"/>
          <w:szCs w:val="24"/>
        </w:rPr>
      </w:pPr>
      <w:r w:rsidRPr="0001508F">
        <w:rPr>
          <w:rFonts w:ascii="Times" w:hAnsi="Times"/>
          <w:strike/>
          <w:color w:val="000000"/>
          <w:szCs w:val="24"/>
        </w:rPr>
        <w:t>    Category 1. An addition to an existing plumbing or fuel gas piping system or service where the total cost of the proposed Category 1 work in the building does not exceed $50,000 in any 12-month period and where the proposed work is limited to the following:</w:t>
      </w:r>
    </w:p>
    <w:p w14:paraId="7A398F8C" w14:textId="77777777" w:rsidR="0001508F" w:rsidRPr="0001508F" w:rsidRDefault="0001508F" w:rsidP="0001508F">
      <w:pPr>
        <w:spacing w:before="100" w:beforeAutospacing="1" w:after="100" w:afterAutospacing="1"/>
        <w:jc w:val="left"/>
        <w:rPr>
          <w:rFonts w:ascii="Times" w:hAnsi="Times"/>
          <w:strike/>
          <w:color w:val="000000"/>
          <w:szCs w:val="24"/>
        </w:rPr>
      </w:pPr>
      <w:r w:rsidRPr="0001508F">
        <w:rPr>
          <w:rFonts w:ascii="Times" w:hAnsi="Times"/>
          <w:strike/>
          <w:color w:val="000000"/>
          <w:szCs w:val="24"/>
        </w:rPr>
        <w:t>    1. The addition of not more than five plumbing fixtures or fixture connections in a building within any 12-month period, including any associated plumbing necessary to serve such additional fixtures or fixture connections;</w:t>
      </w:r>
    </w:p>
    <w:p w14:paraId="0D44ECCB" w14:textId="77777777" w:rsidR="0001508F" w:rsidRPr="0001508F" w:rsidRDefault="0001508F" w:rsidP="0001508F">
      <w:pPr>
        <w:spacing w:before="100" w:beforeAutospacing="1" w:after="100" w:afterAutospacing="1"/>
        <w:jc w:val="left"/>
        <w:rPr>
          <w:rFonts w:ascii="Times" w:hAnsi="Times"/>
          <w:strike/>
          <w:color w:val="000000"/>
          <w:szCs w:val="24"/>
        </w:rPr>
      </w:pPr>
      <w:r w:rsidRPr="0001508F">
        <w:rPr>
          <w:rFonts w:ascii="Times" w:hAnsi="Times"/>
          <w:strike/>
          <w:color w:val="000000"/>
          <w:szCs w:val="24"/>
        </w:rPr>
        <w:t>    2. The installation of new fuel gas piping in conjunction with the addition of not more than five gas appliances or six unit heaters, limited to residential gas barbecue, Category 1 vented hot water heater, gas infrared heater, gas light, gas oil burner pilot, gas pool heater in conjunction with an R-3 occupancy group, one commercial gas appliance and gas unit heater, including any associated fuel gas piping necessary to serve such additional appliances;</w:t>
      </w:r>
    </w:p>
    <w:p w14:paraId="283CCFD6" w14:textId="77777777" w:rsidR="0001508F" w:rsidRPr="0001508F" w:rsidRDefault="0001508F" w:rsidP="0001508F">
      <w:pPr>
        <w:spacing w:before="100" w:beforeAutospacing="1" w:after="100" w:afterAutospacing="1"/>
        <w:jc w:val="left"/>
        <w:rPr>
          <w:rFonts w:ascii="Times" w:hAnsi="Times"/>
          <w:strike/>
          <w:color w:val="000000"/>
          <w:szCs w:val="24"/>
        </w:rPr>
      </w:pPr>
      <w:r w:rsidRPr="0001508F">
        <w:rPr>
          <w:rFonts w:ascii="Times" w:hAnsi="Times"/>
          <w:strike/>
          <w:color w:val="000000"/>
          <w:szCs w:val="24"/>
        </w:rPr>
        <w:t>    3. The installation of up to five new sprinkler heads off of an existing domestic water system within any 12-month period;</w:t>
      </w:r>
    </w:p>
    <w:p w14:paraId="3FFDFF09" w14:textId="77777777" w:rsidR="0001508F" w:rsidRPr="0001508F" w:rsidRDefault="0001508F" w:rsidP="0001508F">
      <w:pPr>
        <w:spacing w:before="100" w:beforeAutospacing="1" w:after="100" w:afterAutospacing="1"/>
        <w:jc w:val="left"/>
        <w:rPr>
          <w:rFonts w:ascii="Times" w:hAnsi="Times"/>
          <w:strike/>
          <w:color w:val="000000"/>
          <w:szCs w:val="24"/>
        </w:rPr>
      </w:pPr>
      <w:r w:rsidRPr="0001508F">
        <w:rPr>
          <w:rFonts w:ascii="Times" w:hAnsi="Times"/>
          <w:strike/>
          <w:color w:val="000000"/>
          <w:szCs w:val="24"/>
        </w:rPr>
        <w:t>    4. Installation of a new single domestic gas dryer that is vented directly through an exterior wall in buildings occupied exclusively as one- or two-family dwellings not more than three stories in height, as provided for in the rules of the department.</w:t>
      </w:r>
    </w:p>
    <w:p w14:paraId="0E2DE240" w14:textId="77777777" w:rsidR="0001508F" w:rsidRPr="0001508F" w:rsidRDefault="0001508F" w:rsidP="0001508F">
      <w:pPr>
        <w:spacing w:before="100" w:beforeAutospacing="1" w:after="100" w:afterAutospacing="1"/>
        <w:jc w:val="left"/>
        <w:rPr>
          <w:rFonts w:ascii="Times" w:hAnsi="Times"/>
          <w:strike/>
          <w:color w:val="000000"/>
          <w:szCs w:val="24"/>
        </w:rPr>
      </w:pPr>
      <w:r w:rsidRPr="0001508F">
        <w:rPr>
          <w:rFonts w:ascii="Times" w:hAnsi="Times"/>
          <w:strike/>
          <w:color w:val="000000"/>
          <w:szCs w:val="24"/>
        </w:rPr>
        <w:t>    Category 2. The repair, replacement of or alteration to an existing plumbing or fuel gas piping system that is not subject to cost or duration limitations and that is limited to the following:</w:t>
      </w:r>
    </w:p>
    <w:p w14:paraId="114D6CE5" w14:textId="77777777" w:rsidR="0001508F" w:rsidRPr="0001508F" w:rsidRDefault="0001508F" w:rsidP="0001508F">
      <w:pPr>
        <w:spacing w:before="100" w:beforeAutospacing="1" w:after="100" w:afterAutospacing="1"/>
        <w:jc w:val="left"/>
        <w:rPr>
          <w:rFonts w:ascii="Times" w:hAnsi="Times"/>
          <w:strike/>
          <w:color w:val="000000"/>
          <w:szCs w:val="24"/>
        </w:rPr>
      </w:pPr>
      <w:r w:rsidRPr="0001508F">
        <w:rPr>
          <w:rFonts w:ascii="Times" w:hAnsi="Times"/>
          <w:strike/>
          <w:color w:val="000000"/>
          <w:szCs w:val="24"/>
        </w:rPr>
        <w:t>    1. The repair, replacement of or alteration of existing plumbing or fuel gas piping to serve the same number of fixtures and appliances;</w:t>
      </w:r>
    </w:p>
    <w:p w14:paraId="62575725" w14:textId="77777777" w:rsidR="0001508F" w:rsidRPr="0001508F" w:rsidRDefault="0001508F" w:rsidP="0001508F">
      <w:pPr>
        <w:spacing w:before="100" w:beforeAutospacing="1" w:after="100" w:afterAutospacing="1"/>
        <w:jc w:val="left"/>
        <w:rPr>
          <w:rFonts w:ascii="Times" w:hAnsi="Times"/>
          <w:strike/>
          <w:color w:val="000000"/>
          <w:szCs w:val="24"/>
        </w:rPr>
      </w:pPr>
      <w:r w:rsidRPr="0001508F">
        <w:rPr>
          <w:rFonts w:ascii="Times" w:hAnsi="Times"/>
          <w:strike/>
          <w:color w:val="000000"/>
          <w:szCs w:val="24"/>
        </w:rPr>
        <w:t>    2. The in-kind replacement of plumbing fixtures and gas appliances that do not provide heat or hot water when not constituting a minor alteration or ordinary repair under this code. This shall not preclude plumbing work that is a minor alteration or ordinary repair from being filed as a limited alteration application;</w:t>
      </w:r>
    </w:p>
    <w:p w14:paraId="4BB70AFF" w14:textId="77777777" w:rsidR="0001508F" w:rsidRPr="0001508F" w:rsidRDefault="0001508F" w:rsidP="0001508F">
      <w:pPr>
        <w:spacing w:before="100" w:beforeAutospacing="1" w:after="100" w:afterAutospacing="1"/>
        <w:jc w:val="left"/>
        <w:rPr>
          <w:rFonts w:ascii="Times" w:hAnsi="Times"/>
          <w:strike/>
          <w:color w:val="000000"/>
          <w:szCs w:val="24"/>
        </w:rPr>
      </w:pPr>
      <w:r w:rsidRPr="0001508F">
        <w:rPr>
          <w:rFonts w:ascii="Times" w:hAnsi="Times"/>
          <w:strike/>
          <w:color w:val="000000"/>
          <w:szCs w:val="24"/>
        </w:rPr>
        <w:t>    3. The relocation and replacement of plumbing fixtures, other than the mere replacement of existing fixtures constituting a minor alteration or ordinary repair under this code. This shall not preclude the relocation and replacement of plumbing fixtures that is a minor alteration or ordinary repair from being filed as a limited alteration application;</w:t>
      </w:r>
    </w:p>
    <w:p w14:paraId="482DA956" w14:textId="77777777" w:rsidR="0001508F" w:rsidRPr="0001508F" w:rsidRDefault="0001508F" w:rsidP="0001508F">
      <w:pPr>
        <w:spacing w:before="100" w:beforeAutospacing="1" w:after="100" w:afterAutospacing="1"/>
        <w:jc w:val="left"/>
        <w:rPr>
          <w:rFonts w:ascii="Times" w:hAnsi="Times"/>
          <w:strike/>
          <w:color w:val="000000"/>
          <w:szCs w:val="24"/>
        </w:rPr>
      </w:pPr>
      <w:r w:rsidRPr="0001508F">
        <w:rPr>
          <w:rFonts w:ascii="Times" w:hAnsi="Times"/>
          <w:strike/>
          <w:color w:val="000000"/>
          <w:szCs w:val="24"/>
        </w:rPr>
        <w:t>    4. The installation or replacement of primary backflow preventers;</w:t>
      </w:r>
    </w:p>
    <w:p w14:paraId="1AC613C6" w14:textId="77777777" w:rsidR="0001508F" w:rsidRPr="0001508F" w:rsidRDefault="0001508F" w:rsidP="0001508F">
      <w:pPr>
        <w:spacing w:before="100" w:beforeAutospacing="1" w:after="100" w:afterAutospacing="1"/>
        <w:jc w:val="left"/>
        <w:rPr>
          <w:rFonts w:ascii="Times" w:hAnsi="Times"/>
          <w:strike/>
          <w:color w:val="000000"/>
          <w:szCs w:val="24"/>
        </w:rPr>
      </w:pPr>
      <w:r w:rsidRPr="0001508F">
        <w:rPr>
          <w:rFonts w:ascii="Times" w:hAnsi="Times"/>
          <w:strike/>
          <w:color w:val="000000"/>
          <w:szCs w:val="24"/>
        </w:rPr>
        <w:t>    5. In-kind replacement of gas-fired appliances with a combined heat input of 3 million Btu/h (879kW) or less;</w:t>
      </w:r>
    </w:p>
    <w:p w14:paraId="3BF14A01" w14:textId="77777777" w:rsidR="0001508F" w:rsidRPr="0001508F" w:rsidRDefault="0001508F" w:rsidP="0001508F">
      <w:pPr>
        <w:spacing w:before="100" w:beforeAutospacing="1" w:after="100" w:afterAutospacing="1"/>
        <w:jc w:val="left"/>
        <w:rPr>
          <w:rFonts w:ascii="Times" w:hAnsi="Times"/>
          <w:strike/>
          <w:color w:val="000000"/>
          <w:szCs w:val="24"/>
        </w:rPr>
      </w:pPr>
      <w:r w:rsidRPr="0001508F">
        <w:rPr>
          <w:rFonts w:ascii="Times" w:hAnsi="Times"/>
          <w:strike/>
          <w:color w:val="000000"/>
          <w:szCs w:val="24"/>
        </w:rPr>
        <w:t>    6. Replacement of gas burners with heat input of 3 million Btu/h (879 kW) or less;</w:t>
      </w:r>
    </w:p>
    <w:p w14:paraId="32B0CF3F" w14:textId="77777777" w:rsidR="0001508F" w:rsidRPr="0001508F" w:rsidRDefault="0001508F" w:rsidP="0001508F">
      <w:pPr>
        <w:spacing w:before="100" w:beforeAutospacing="1" w:after="100" w:afterAutospacing="1"/>
        <w:jc w:val="left"/>
        <w:rPr>
          <w:rFonts w:ascii="Times" w:hAnsi="Times"/>
          <w:strike/>
          <w:color w:val="000000"/>
          <w:szCs w:val="24"/>
        </w:rPr>
      </w:pPr>
      <w:r w:rsidRPr="0001508F">
        <w:rPr>
          <w:rFonts w:ascii="Times" w:hAnsi="Times"/>
          <w:strike/>
          <w:color w:val="000000"/>
          <w:szCs w:val="24"/>
        </w:rPr>
        <w:t>    7. Relocation of a gas burner/boiler within the same, unaltered fire-rated enclosure or room, with the exception of through-penetrations that are firestopped;</w:t>
      </w:r>
    </w:p>
    <w:p w14:paraId="440B7748" w14:textId="77777777" w:rsidR="0001508F" w:rsidRPr="0001508F" w:rsidRDefault="0001508F" w:rsidP="0001508F">
      <w:pPr>
        <w:spacing w:before="100" w:beforeAutospacing="1" w:after="100" w:afterAutospacing="1"/>
        <w:jc w:val="left"/>
        <w:rPr>
          <w:rFonts w:ascii="Times" w:hAnsi="Times"/>
          <w:strike/>
          <w:color w:val="000000"/>
          <w:szCs w:val="24"/>
        </w:rPr>
      </w:pPr>
      <w:r w:rsidRPr="0001508F">
        <w:rPr>
          <w:rFonts w:ascii="Times" w:hAnsi="Times"/>
          <w:strike/>
          <w:color w:val="000000"/>
          <w:szCs w:val="24"/>
        </w:rPr>
        <w:t>    8. In-kind replacement with the following direct-vent appliances with heat input of 350,000 Btu/h (103 kW) or less that are vented directly through exterior walls serving buildings occupied exclusively as one- or two-family dwellings not more than four stories in height:</w:t>
      </w:r>
    </w:p>
    <w:p w14:paraId="06EBE55E" w14:textId="77777777" w:rsidR="0001508F" w:rsidRPr="0001508F" w:rsidRDefault="0001508F" w:rsidP="0001508F">
      <w:pPr>
        <w:spacing w:before="100" w:beforeAutospacing="1" w:after="100" w:afterAutospacing="1"/>
        <w:jc w:val="left"/>
        <w:rPr>
          <w:rFonts w:ascii="Times" w:hAnsi="Times"/>
          <w:strike/>
          <w:color w:val="000000"/>
          <w:szCs w:val="24"/>
        </w:rPr>
      </w:pPr>
      <w:r w:rsidRPr="0001508F">
        <w:rPr>
          <w:rFonts w:ascii="Times" w:hAnsi="Times"/>
          <w:strike/>
          <w:color w:val="000000"/>
          <w:szCs w:val="24"/>
        </w:rPr>
        <w:t>    8.1. gas-fired boilers,</w:t>
      </w:r>
    </w:p>
    <w:p w14:paraId="22CB0351" w14:textId="77777777" w:rsidR="0001508F" w:rsidRPr="0001508F" w:rsidRDefault="0001508F" w:rsidP="0001508F">
      <w:pPr>
        <w:spacing w:before="100" w:beforeAutospacing="1" w:after="100" w:afterAutospacing="1"/>
        <w:jc w:val="left"/>
        <w:rPr>
          <w:rFonts w:ascii="Times" w:hAnsi="Times"/>
          <w:strike/>
          <w:color w:val="000000"/>
          <w:szCs w:val="24"/>
        </w:rPr>
      </w:pPr>
      <w:r w:rsidRPr="0001508F">
        <w:rPr>
          <w:rFonts w:ascii="Times" w:hAnsi="Times"/>
          <w:strike/>
          <w:color w:val="000000"/>
          <w:szCs w:val="24"/>
        </w:rPr>
        <w:t>    8.2. hot water heaters and</w:t>
      </w:r>
    </w:p>
    <w:p w14:paraId="614B0ECB" w14:textId="77777777" w:rsidR="0001508F" w:rsidRPr="0001508F" w:rsidRDefault="0001508F" w:rsidP="0001508F">
      <w:pPr>
        <w:spacing w:before="100" w:beforeAutospacing="1" w:after="100" w:afterAutospacing="1"/>
        <w:jc w:val="left"/>
        <w:rPr>
          <w:rFonts w:ascii="Times" w:hAnsi="Times"/>
          <w:strike/>
          <w:color w:val="000000"/>
          <w:szCs w:val="24"/>
        </w:rPr>
      </w:pPr>
      <w:r w:rsidRPr="0001508F">
        <w:rPr>
          <w:rFonts w:ascii="Times" w:hAnsi="Times"/>
          <w:strike/>
          <w:color w:val="000000"/>
          <w:szCs w:val="24"/>
        </w:rPr>
        <w:t>    8.3. furnaces;</w:t>
      </w:r>
    </w:p>
    <w:p w14:paraId="17836FD2" w14:textId="77777777" w:rsidR="0001508F" w:rsidRPr="0001508F" w:rsidRDefault="0001508F" w:rsidP="0001508F">
      <w:pPr>
        <w:spacing w:before="100" w:beforeAutospacing="1" w:after="100" w:afterAutospacing="1"/>
        <w:jc w:val="left"/>
        <w:rPr>
          <w:rFonts w:ascii="Times" w:hAnsi="Times"/>
          <w:strike/>
          <w:color w:val="000000"/>
          <w:szCs w:val="24"/>
        </w:rPr>
      </w:pPr>
      <w:r w:rsidRPr="0001508F">
        <w:rPr>
          <w:rFonts w:ascii="Times" w:hAnsi="Times"/>
          <w:strike/>
          <w:color w:val="000000"/>
          <w:szCs w:val="24"/>
        </w:rPr>
        <w:t>    9. In-kind direct replacement of gas-fired boilers, hot water heaters and furnaces with heat input of 350,000 Btu/h (103 kW) or less; that are vented directly through exterior walls;</w:t>
      </w:r>
    </w:p>
    <w:p w14:paraId="2865783F" w14:textId="77777777" w:rsidR="0001508F" w:rsidRPr="0001508F" w:rsidRDefault="0001508F" w:rsidP="0001508F">
      <w:pPr>
        <w:spacing w:before="100" w:beforeAutospacing="1" w:after="100" w:afterAutospacing="1"/>
        <w:jc w:val="left"/>
        <w:rPr>
          <w:rFonts w:ascii="Times" w:hAnsi="Times"/>
          <w:strike/>
          <w:color w:val="000000"/>
          <w:szCs w:val="24"/>
        </w:rPr>
      </w:pPr>
      <w:r w:rsidRPr="0001508F">
        <w:rPr>
          <w:rFonts w:ascii="Times" w:hAnsi="Times"/>
          <w:strike/>
          <w:color w:val="000000"/>
          <w:szCs w:val="24"/>
        </w:rPr>
        <w:t>    10. Placement of a registered gas-fired temporary boiler with associated gas piping at a site for emergency heating and/or hot water;</w:t>
      </w:r>
    </w:p>
    <w:p w14:paraId="57C2E220" w14:textId="77777777" w:rsidR="0001508F" w:rsidRPr="0001508F" w:rsidRDefault="0001508F" w:rsidP="0001508F">
      <w:pPr>
        <w:spacing w:before="100" w:beforeAutospacing="1" w:after="100" w:afterAutospacing="1"/>
        <w:jc w:val="left"/>
        <w:rPr>
          <w:rFonts w:ascii="Times" w:hAnsi="Times"/>
          <w:strike/>
          <w:color w:val="000000"/>
          <w:szCs w:val="24"/>
        </w:rPr>
      </w:pPr>
      <w:r w:rsidRPr="0001508F">
        <w:rPr>
          <w:rFonts w:ascii="Times" w:hAnsi="Times"/>
          <w:strike/>
          <w:color w:val="000000"/>
          <w:szCs w:val="24"/>
        </w:rPr>
        <w:t>    11. Replacement of up to thirty existing sprinkler heads providing that orifice sizes, type and deflector positions remain the same, and all such sprinkler heads are off of a domestic water system;</w:t>
      </w:r>
    </w:p>
    <w:p w14:paraId="6A69CC46" w14:textId="77777777" w:rsidR="0001508F" w:rsidRPr="0001508F" w:rsidRDefault="0001508F" w:rsidP="0001508F">
      <w:pPr>
        <w:spacing w:before="100" w:beforeAutospacing="1" w:after="100" w:afterAutospacing="1"/>
        <w:jc w:val="left"/>
        <w:rPr>
          <w:rFonts w:ascii="Times" w:hAnsi="Times"/>
          <w:strike/>
          <w:color w:val="000000"/>
          <w:szCs w:val="24"/>
        </w:rPr>
      </w:pPr>
      <w:r w:rsidRPr="0001508F">
        <w:rPr>
          <w:rFonts w:ascii="Times" w:hAnsi="Times"/>
          <w:strike/>
          <w:color w:val="000000"/>
          <w:szCs w:val="24"/>
        </w:rPr>
        <w:t>    12. Rearrangement of not more than 20 sprinkler heads in areas classified in light hazard occupancy, as such term is defined in NFPA 13 as amended by appendix Q of the New York city building code, provided such areas are already sprinklered and such areas will remain in such occupancy, and provided further that all such sprinkler heads were legally installed off of a domestic water system;</w:t>
      </w:r>
    </w:p>
    <w:p w14:paraId="77CE93C9" w14:textId="77777777" w:rsidR="0001508F" w:rsidRPr="0001508F" w:rsidRDefault="0001508F" w:rsidP="0001508F">
      <w:pPr>
        <w:spacing w:before="100" w:beforeAutospacing="1" w:after="100" w:afterAutospacing="1"/>
        <w:jc w:val="left"/>
        <w:rPr>
          <w:rFonts w:ascii="Times" w:hAnsi="Times"/>
          <w:strike/>
          <w:color w:val="000000"/>
          <w:szCs w:val="24"/>
        </w:rPr>
      </w:pPr>
      <w:r w:rsidRPr="0001508F">
        <w:rPr>
          <w:rFonts w:ascii="Times" w:hAnsi="Times"/>
          <w:strike/>
          <w:color w:val="000000"/>
          <w:szCs w:val="24"/>
        </w:rPr>
        <w:t>    13. Rearrangement of not more than 20 sprinkler heads in restaurant service areas classified in Group 1 ordinary hazard occupancy, as such term is defined by NFPA 13 as amended by appendix Q of the New York city building code, provided such areas are already sprinklered and such areas will remain in such occupancy, and provided further that all such sprinkler heads were legally installed off of a domestic water system; and</w:t>
      </w:r>
    </w:p>
    <w:p w14:paraId="4B08779C" w14:textId="77777777" w:rsidR="0001508F" w:rsidRPr="0001508F" w:rsidRDefault="0001508F" w:rsidP="0001508F">
      <w:pPr>
        <w:spacing w:before="100" w:beforeAutospacing="1" w:after="100" w:afterAutospacing="1"/>
        <w:jc w:val="left"/>
        <w:rPr>
          <w:rFonts w:ascii="Times" w:hAnsi="Times"/>
          <w:color w:val="000000"/>
          <w:szCs w:val="24"/>
        </w:rPr>
      </w:pPr>
      <w:r w:rsidRPr="0001508F">
        <w:rPr>
          <w:rFonts w:ascii="Times" w:hAnsi="Times"/>
          <w:strike/>
          <w:color w:val="000000"/>
          <w:szCs w:val="24"/>
        </w:rPr>
        <w:t>    14. Rearrangement of not more than 20 sprinkler heads in mercantile areas classified in Group 2 ordinary hazard occupancy, as such term is defined by NFPA 13 as amended by appendix Q of the New York city building code, provided such areas are already sprinklered and such areas will remain in such occupancy, and provided further that all such sprinkler heads were legally installed off of a domestic water system.</w:t>
      </w:r>
      <w:r w:rsidRPr="0001508F">
        <w:rPr>
          <w:rFonts w:ascii="Times" w:hAnsi="Times"/>
          <w:color w:val="000000"/>
          <w:szCs w:val="24"/>
        </w:rPr>
        <w:t>]</w:t>
      </w:r>
    </w:p>
    <w:p w14:paraId="1EE1839A" w14:textId="77777777" w:rsidR="0001508F" w:rsidRPr="0001508F" w:rsidRDefault="0001508F" w:rsidP="0001508F">
      <w:pPr>
        <w:kinsoku w:val="0"/>
        <w:spacing w:before="120" w:after="120"/>
        <w:rPr>
          <w:szCs w:val="24"/>
          <w:u w:val="single"/>
        </w:rPr>
      </w:pPr>
      <w:r w:rsidRPr="0001508F">
        <w:rPr>
          <w:szCs w:val="24"/>
          <w:u w:val="single"/>
        </w:rPr>
        <w:t>An alteration to a plumbing or fuel gas piping system that is limited in scope and/or value, subject to chapter 5 of the New York city existing building code.</w:t>
      </w:r>
    </w:p>
    <w:p w14:paraId="4C825BF3" w14:textId="77777777" w:rsidR="0001508F" w:rsidRPr="0001508F" w:rsidRDefault="0001508F" w:rsidP="0001508F">
      <w:pPr>
        <w:suppressAutoHyphens/>
        <w:spacing w:after="240"/>
        <w:rPr>
          <w:szCs w:val="24"/>
        </w:rPr>
      </w:pPr>
      <w:r w:rsidRPr="0001508F">
        <w:rPr>
          <w:b/>
          <w:szCs w:val="24"/>
        </w:rPr>
        <w:t>LIMITED SPRINKLER ALTERATIONS.</w:t>
      </w:r>
      <w:r w:rsidRPr="0001508F">
        <w:rPr>
          <w:szCs w:val="24"/>
        </w:rPr>
        <w:t xml:space="preserve"> </w:t>
      </w:r>
      <w:r w:rsidRPr="0001508F">
        <w:rPr>
          <w:spacing w:val="1"/>
          <w:szCs w:val="24"/>
        </w:rPr>
        <w:t>[</w:t>
      </w:r>
      <w:r w:rsidRPr="0001508F">
        <w:rPr>
          <w:strike/>
          <w:szCs w:val="24"/>
        </w:rPr>
        <w:t>An alteration, installation, replacement or repair to a sprinkler system that is limited in scope, falling into one of the following categories:</w:t>
      </w:r>
      <w:r w:rsidRPr="0001508F">
        <w:rPr>
          <w:szCs w:val="24"/>
        </w:rPr>
        <w:t>]</w:t>
      </w:r>
    </w:p>
    <w:p w14:paraId="400E4B2D" w14:textId="77777777" w:rsidR="0001508F" w:rsidRPr="0001508F" w:rsidRDefault="0001508F" w:rsidP="0001508F">
      <w:pPr>
        <w:suppressAutoHyphens/>
        <w:spacing w:after="240"/>
        <w:ind w:left="360"/>
        <w:rPr>
          <w:szCs w:val="24"/>
        </w:rPr>
      </w:pPr>
      <w:r w:rsidRPr="0001508F">
        <w:rPr>
          <w:b/>
          <w:szCs w:val="24"/>
        </w:rPr>
        <w:t>[</w:t>
      </w:r>
      <w:r w:rsidRPr="0001508F">
        <w:rPr>
          <w:b/>
          <w:strike/>
          <w:szCs w:val="24"/>
        </w:rPr>
        <w:t>Category 1.</w:t>
      </w:r>
      <w:r w:rsidRPr="0001508F">
        <w:rPr>
          <w:strike/>
          <w:szCs w:val="24"/>
        </w:rPr>
        <w:t xml:space="preserve"> An alteration to an existing sprinkler system where the total cost of the proposed Category 1 work in the building does not exceed fifty thousand dollars in any 12-month period, the fire rating of the area where the new sprinkler heads are being installed is not being altered and the proposed work is limited to the installation of up to five new sprinkler heads off of an existing sprinkler system.</w:t>
      </w:r>
      <w:r w:rsidRPr="0001508F">
        <w:rPr>
          <w:szCs w:val="24"/>
        </w:rPr>
        <w:t>]</w:t>
      </w:r>
    </w:p>
    <w:p w14:paraId="7F66C546" w14:textId="77777777" w:rsidR="0001508F" w:rsidRPr="0001508F" w:rsidRDefault="0001508F" w:rsidP="0001508F">
      <w:pPr>
        <w:suppressAutoHyphens/>
        <w:spacing w:after="240"/>
        <w:ind w:left="360"/>
        <w:rPr>
          <w:szCs w:val="24"/>
        </w:rPr>
      </w:pPr>
      <w:r w:rsidRPr="0001508F">
        <w:rPr>
          <w:b/>
          <w:szCs w:val="24"/>
        </w:rPr>
        <w:t>[</w:t>
      </w:r>
      <w:r w:rsidRPr="0001508F">
        <w:rPr>
          <w:b/>
          <w:strike/>
          <w:szCs w:val="24"/>
        </w:rPr>
        <w:t>Category 2.</w:t>
      </w:r>
      <w:r w:rsidRPr="0001508F">
        <w:rPr>
          <w:strike/>
          <w:szCs w:val="24"/>
        </w:rPr>
        <w:t xml:space="preserve"> An alteration, repair or replacement of an existing sprinkler system or combined sprinkler standpipe system that is not subject to cost or duration limitations and that is limited to:</w:t>
      </w:r>
      <w:r w:rsidRPr="0001508F">
        <w:rPr>
          <w:szCs w:val="24"/>
        </w:rPr>
        <w:t>]</w:t>
      </w:r>
    </w:p>
    <w:p w14:paraId="24AB1D05" w14:textId="77777777" w:rsidR="0001508F" w:rsidRPr="0001508F" w:rsidRDefault="0001508F" w:rsidP="0001508F">
      <w:pPr>
        <w:kinsoku w:val="0"/>
        <w:spacing w:before="120" w:after="120"/>
        <w:ind w:left="1080" w:hanging="360"/>
        <w:rPr>
          <w:strike/>
          <w:szCs w:val="24"/>
        </w:rPr>
      </w:pPr>
      <w:r w:rsidRPr="0001508F">
        <w:rPr>
          <w:szCs w:val="24"/>
        </w:rPr>
        <w:t>[</w:t>
      </w:r>
      <w:r w:rsidRPr="0001508F">
        <w:rPr>
          <w:strike/>
          <w:szCs w:val="24"/>
        </w:rPr>
        <w:t>1.</w:t>
      </w:r>
      <w:r w:rsidRPr="0001508F">
        <w:rPr>
          <w:strike/>
          <w:szCs w:val="24"/>
        </w:rPr>
        <w:tab/>
        <w:t>The replacement of sprinkler heads, provided that orifice sizes, type and deflector positions remain the same;</w:t>
      </w:r>
    </w:p>
    <w:p w14:paraId="538515C4" w14:textId="77777777" w:rsidR="0001508F" w:rsidRPr="0001508F" w:rsidRDefault="0001508F" w:rsidP="0001508F">
      <w:pPr>
        <w:autoSpaceDE w:val="0"/>
        <w:autoSpaceDN w:val="0"/>
        <w:adjustRightInd w:val="0"/>
        <w:spacing w:before="120" w:after="120"/>
        <w:ind w:left="1080" w:hanging="360"/>
        <w:rPr>
          <w:rFonts w:eastAsia="Calibri"/>
          <w:strike/>
          <w:szCs w:val="24"/>
        </w:rPr>
      </w:pPr>
      <w:r w:rsidRPr="0001508F">
        <w:rPr>
          <w:rFonts w:eastAsia="Calibri"/>
          <w:strike/>
          <w:szCs w:val="24"/>
        </w:rPr>
        <w:t>2.</w:t>
      </w:r>
      <w:r w:rsidRPr="0001508F">
        <w:rPr>
          <w:rFonts w:eastAsia="Calibri"/>
          <w:strike/>
          <w:szCs w:val="24"/>
        </w:rPr>
        <w:tab/>
        <w:t xml:space="preserve">Replacement of parts required for the operation of a sprinkler system or combined sprinkler standpipe system, </w:t>
      </w:r>
      <w:r w:rsidRPr="0001508F">
        <w:rPr>
          <w:strike/>
          <w:szCs w:val="24"/>
        </w:rPr>
        <w:t>provided that orifice sizes, type and deflector positions remain the same</w:t>
      </w:r>
      <w:r w:rsidRPr="0001508F">
        <w:rPr>
          <w:rFonts w:eastAsia="Calibri"/>
          <w:strike/>
          <w:szCs w:val="24"/>
        </w:rPr>
        <w:t xml:space="preserve">; </w:t>
      </w:r>
    </w:p>
    <w:p w14:paraId="33A0EEF3" w14:textId="77777777" w:rsidR="0001508F" w:rsidRPr="0001508F" w:rsidRDefault="0001508F" w:rsidP="0001508F">
      <w:pPr>
        <w:autoSpaceDE w:val="0"/>
        <w:autoSpaceDN w:val="0"/>
        <w:adjustRightInd w:val="0"/>
        <w:spacing w:before="120" w:after="120"/>
        <w:ind w:left="1080" w:hanging="360"/>
        <w:rPr>
          <w:rFonts w:eastAsia="Calibri"/>
          <w:strike/>
          <w:szCs w:val="24"/>
        </w:rPr>
      </w:pPr>
      <w:r w:rsidRPr="0001508F">
        <w:rPr>
          <w:rFonts w:eastAsia="Calibri"/>
          <w:strike/>
          <w:szCs w:val="24"/>
        </w:rPr>
        <w:t>3.</w:t>
      </w:r>
      <w:r w:rsidRPr="0001508F">
        <w:rPr>
          <w:rFonts w:eastAsia="Calibri"/>
          <w:strike/>
          <w:szCs w:val="24"/>
        </w:rPr>
        <w:tab/>
        <w:t xml:space="preserve">Changes that do not alter the type of sprinkler system; </w:t>
      </w:r>
    </w:p>
    <w:p w14:paraId="3FFBA596" w14:textId="77777777" w:rsidR="0001508F" w:rsidRPr="0001508F" w:rsidRDefault="0001508F" w:rsidP="0001508F">
      <w:pPr>
        <w:autoSpaceDE w:val="0"/>
        <w:autoSpaceDN w:val="0"/>
        <w:adjustRightInd w:val="0"/>
        <w:spacing w:before="120" w:after="120"/>
        <w:ind w:left="1080" w:hanging="360"/>
        <w:rPr>
          <w:rFonts w:eastAsia="Calibri"/>
          <w:strike/>
          <w:szCs w:val="24"/>
        </w:rPr>
      </w:pPr>
      <w:r w:rsidRPr="0001508F">
        <w:rPr>
          <w:rFonts w:eastAsia="Calibri"/>
          <w:strike/>
          <w:szCs w:val="24"/>
        </w:rPr>
        <w:t>4.</w:t>
      </w:r>
      <w:r w:rsidRPr="0001508F">
        <w:rPr>
          <w:rFonts w:eastAsia="Calibri"/>
          <w:strike/>
          <w:szCs w:val="24"/>
        </w:rPr>
        <w:tab/>
        <w:t xml:space="preserve">Relocation of piping that does not affect the operation of the sprinkler system, </w:t>
      </w:r>
      <w:r w:rsidRPr="0001508F">
        <w:rPr>
          <w:strike/>
          <w:szCs w:val="24"/>
        </w:rPr>
        <w:t>provided that orifice sizes, type and deflector positions remain the same</w:t>
      </w:r>
      <w:r w:rsidRPr="0001508F">
        <w:rPr>
          <w:rFonts w:eastAsia="Calibri"/>
          <w:strike/>
          <w:szCs w:val="24"/>
        </w:rPr>
        <w:t xml:space="preserve">; </w:t>
      </w:r>
    </w:p>
    <w:p w14:paraId="340C4602" w14:textId="77777777" w:rsidR="0001508F" w:rsidRPr="0001508F" w:rsidRDefault="0001508F" w:rsidP="0001508F">
      <w:pPr>
        <w:autoSpaceDE w:val="0"/>
        <w:autoSpaceDN w:val="0"/>
        <w:adjustRightInd w:val="0"/>
        <w:spacing w:before="120" w:after="120"/>
        <w:ind w:left="1080" w:hanging="360"/>
        <w:rPr>
          <w:rFonts w:eastAsia="Calibri"/>
          <w:strike/>
          <w:szCs w:val="24"/>
        </w:rPr>
      </w:pPr>
      <w:r w:rsidRPr="0001508F">
        <w:rPr>
          <w:rFonts w:eastAsia="Calibri"/>
          <w:strike/>
          <w:szCs w:val="24"/>
        </w:rPr>
        <w:t>5.</w:t>
      </w:r>
      <w:r w:rsidRPr="0001508F">
        <w:rPr>
          <w:rFonts w:eastAsia="Calibri"/>
          <w:strike/>
          <w:szCs w:val="24"/>
        </w:rPr>
        <w:tab/>
        <w:t xml:space="preserve">Rearrangement of not more than 30 sprinkler heads in areas classified in light hazard occupancy, as such term is defined in NFPA 13 as amended by appendix Q of the New York city building code, provided such areas are already sprinklered and such areas will remain in such occupancy; </w:t>
      </w:r>
    </w:p>
    <w:p w14:paraId="55E67E63" w14:textId="77777777" w:rsidR="0001508F" w:rsidRPr="0001508F" w:rsidRDefault="0001508F" w:rsidP="0001508F">
      <w:pPr>
        <w:autoSpaceDE w:val="0"/>
        <w:autoSpaceDN w:val="0"/>
        <w:adjustRightInd w:val="0"/>
        <w:spacing w:before="120" w:after="120"/>
        <w:ind w:left="1080" w:hanging="360"/>
        <w:rPr>
          <w:rFonts w:eastAsia="Calibri"/>
          <w:strike/>
          <w:szCs w:val="24"/>
        </w:rPr>
      </w:pPr>
      <w:r w:rsidRPr="0001508F">
        <w:rPr>
          <w:rFonts w:eastAsia="Calibri"/>
          <w:strike/>
          <w:szCs w:val="24"/>
        </w:rPr>
        <w:t>6.</w:t>
      </w:r>
      <w:r w:rsidRPr="0001508F">
        <w:rPr>
          <w:rFonts w:eastAsia="Calibri"/>
          <w:strike/>
          <w:szCs w:val="24"/>
        </w:rPr>
        <w:tab/>
        <w:t xml:space="preserve">Rearrangement of not more than 30 sprinkler heads in restaurant service areas classified in Group 1 ordinary hazard occupancy, as such term is defined in NFPA 13 as amended by appendix Q of the New York city building code, provided such areas are already sprinklered and such areas will remain in such occupancy; </w:t>
      </w:r>
    </w:p>
    <w:p w14:paraId="068B76A2" w14:textId="77777777" w:rsidR="0001508F" w:rsidRPr="0001508F" w:rsidRDefault="0001508F" w:rsidP="0001508F">
      <w:pPr>
        <w:autoSpaceDE w:val="0"/>
        <w:autoSpaceDN w:val="0"/>
        <w:adjustRightInd w:val="0"/>
        <w:spacing w:before="120" w:after="120"/>
        <w:ind w:left="1080" w:hanging="360"/>
        <w:rPr>
          <w:rFonts w:eastAsia="Calibri"/>
          <w:strike/>
          <w:szCs w:val="24"/>
        </w:rPr>
      </w:pPr>
      <w:r w:rsidRPr="0001508F">
        <w:rPr>
          <w:rFonts w:eastAsia="Calibri"/>
          <w:strike/>
          <w:szCs w:val="24"/>
        </w:rPr>
        <w:t>7.</w:t>
      </w:r>
      <w:r w:rsidRPr="0001508F">
        <w:rPr>
          <w:rFonts w:eastAsia="Calibri"/>
          <w:strike/>
          <w:szCs w:val="24"/>
        </w:rPr>
        <w:tab/>
        <w:t xml:space="preserve">Rearrangement of not more than 30 sprinkler heads in mercantile areas classified in Group 2 ordinary hazard occupancy, as such term is defined by NFPA 13 as amended by appendix Q of the New York city building code, provided such areas are already sprinklered and such areas will remain in such occupancy; </w:t>
      </w:r>
    </w:p>
    <w:p w14:paraId="2F52D016" w14:textId="77777777" w:rsidR="0001508F" w:rsidRPr="0001508F" w:rsidRDefault="0001508F" w:rsidP="0001508F">
      <w:pPr>
        <w:kinsoku w:val="0"/>
        <w:spacing w:before="120" w:after="120"/>
        <w:ind w:left="1080" w:hanging="360"/>
        <w:rPr>
          <w:strike/>
          <w:szCs w:val="24"/>
        </w:rPr>
      </w:pPr>
      <w:r w:rsidRPr="0001508F">
        <w:rPr>
          <w:rFonts w:eastAsia="Calibri"/>
          <w:strike/>
          <w:szCs w:val="24"/>
        </w:rPr>
        <w:t>8.</w:t>
      </w:r>
      <w:r w:rsidRPr="0001508F">
        <w:rPr>
          <w:rFonts w:eastAsia="Calibri"/>
          <w:strike/>
          <w:szCs w:val="24"/>
        </w:rPr>
        <w:tab/>
      </w:r>
      <w:r w:rsidRPr="0001508F">
        <w:rPr>
          <w:strike/>
          <w:szCs w:val="24"/>
        </w:rPr>
        <w:t>Rearrangement of sprinkler heads in a storage area under 200 square feet classified Group 1 ordinary hazard, as such term is defined by NFPA 13 as amended by appendix Q of the New York city building code, provided such areas are already sprinklered and such areas will remain in such occupancy;</w:t>
      </w:r>
    </w:p>
    <w:p w14:paraId="1705AE6B" w14:textId="77777777" w:rsidR="0001508F" w:rsidRPr="0001508F" w:rsidRDefault="0001508F" w:rsidP="0001508F">
      <w:pPr>
        <w:autoSpaceDE w:val="0"/>
        <w:autoSpaceDN w:val="0"/>
        <w:adjustRightInd w:val="0"/>
        <w:spacing w:before="120" w:after="120"/>
        <w:ind w:left="1080" w:hanging="360"/>
        <w:rPr>
          <w:rFonts w:eastAsia="Calibri"/>
          <w:strike/>
          <w:szCs w:val="24"/>
        </w:rPr>
      </w:pPr>
      <w:r w:rsidRPr="0001508F">
        <w:rPr>
          <w:rFonts w:eastAsia="Calibri"/>
          <w:strike/>
          <w:szCs w:val="24"/>
        </w:rPr>
        <w:t>9.</w:t>
      </w:r>
      <w:r w:rsidRPr="0001508F">
        <w:rPr>
          <w:rFonts w:eastAsia="Calibri"/>
          <w:strike/>
          <w:szCs w:val="24"/>
        </w:rPr>
        <w:tab/>
        <w:t>Unlimited cut and cap of an existing sprinkler system associated with a permitted demolition or gut renovation; and</w:t>
      </w:r>
    </w:p>
    <w:p w14:paraId="5000EADA" w14:textId="77777777" w:rsidR="0001508F" w:rsidRPr="0001508F" w:rsidRDefault="0001508F" w:rsidP="0001508F">
      <w:pPr>
        <w:autoSpaceDE w:val="0"/>
        <w:autoSpaceDN w:val="0"/>
        <w:adjustRightInd w:val="0"/>
        <w:spacing w:before="120" w:after="120"/>
        <w:ind w:firstLine="720"/>
        <w:rPr>
          <w:rFonts w:eastAsia="Calibri"/>
          <w:szCs w:val="24"/>
          <w:u w:val="single"/>
        </w:rPr>
      </w:pPr>
      <w:r w:rsidRPr="0001508F">
        <w:rPr>
          <w:rFonts w:eastAsia="Calibri"/>
          <w:strike/>
          <w:szCs w:val="24"/>
        </w:rPr>
        <w:t>10.</w:t>
      </w:r>
      <w:r w:rsidRPr="0001508F">
        <w:rPr>
          <w:rFonts w:eastAsia="Calibri"/>
          <w:strike/>
          <w:szCs w:val="24"/>
        </w:rPr>
        <w:tab/>
      </w:r>
      <w:r w:rsidRPr="0001508F">
        <w:rPr>
          <w:strike/>
          <w:szCs w:val="24"/>
        </w:rPr>
        <w:t>Relocation of a fire department connection as part of a combined system</w:t>
      </w:r>
      <w:r w:rsidRPr="0001508F">
        <w:rPr>
          <w:rFonts w:eastAsia="Calibri"/>
          <w:strike/>
          <w:szCs w:val="24"/>
        </w:rPr>
        <w:t>.</w:t>
      </w:r>
      <w:r w:rsidRPr="0001508F">
        <w:rPr>
          <w:rFonts w:eastAsia="Calibri"/>
          <w:szCs w:val="24"/>
        </w:rPr>
        <w:t xml:space="preserve">] </w:t>
      </w:r>
      <w:r w:rsidRPr="0001508F">
        <w:rPr>
          <w:rFonts w:eastAsia="Calibri"/>
          <w:szCs w:val="24"/>
          <w:u w:val="single"/>
        </w:rPr>
        <w:t>An alteration to a sprinkler system that is limited in scope and/or value, subject to chapter 5 of the New York city existing building code.</w:t>
      </w:r>
    </w:p>
    <w:p w14:paraId="4E3E9EF0" w14:textId="77777777" w:rsidR="0001508F" w:rsidRPr="0001508F" w:rsidRDefault="0001508F" w:rsidP="0001508F">
      <w:pPr>
        <w:suppressAutoHyphens/>
        <w:spacing w:after="240"/>
        <w:rPr>
          <w:szCs w:val="24"/>
        </w:rPr>
      </w:pPr>
      <w:r w:rsidRPr="0001508F">
        <w:rPr>
          <w:b/>
          <w:szCs w:val="24"/>
        </w:rPr>
        <w:t>LIMITED STANDPIPE ALTERATIONS.</w:t>
      </w:r>
      <w:r w:rsidRPr="0001508F">
        <w:rPr>
          <w:szCs w:val="24"/>
        </w:rPr>
        <w:t xml:space="preserve"> [</w:t>
      </w:r>
      <w:r w:rsidRPr="0001508F">
        <w:rPr>
          <w:b/>
          <w:strike/>
          <w:szCs w:val="24"/>
        </w:rPr>
        <w:t>Category 2.</w:t>
      </w:r>
      <w:r w:rsidRPr="0001508F">
        <w:rPr>
          <w:strike/>
          <w:szCs w:val="24"/>
        </w:rPr>
        <w:t xml:space="preserve"> An alteration, replacement or repair to an existing combined standpipe system that is limited to the following:</w:t>
      </w:r>
      <w:r w:rsidRPr="0001508F">
        <w:rPr>
          <w:szCs w:val="24"/>
        </w:rPr>
        <w:t>]</w:t>
      </w:r>
    </w:p>
    <w:p w14:paraId="53642CB0" w14:textId="77777777" w:rsidR="0001508F" w:rsidRPr="0001508F" w:rsidRDefault="0001508F" w:rsidP="0001508F">
      <w:pPr>
        <w:suppressAutoHyphens/>
        <w:spacing w:after="240"/>
        <w:ind w:left="720" w:hanging="360"/>
        <w:rPr>
          <w:szCs w:val="24"/>
        </w:rPr>
      </w:pPr>
      <w:r w:rsidRPr="0001508F">
        <w:rPr>
          <w:szCs w:val="24"/>
        </w:rPr>
        <w:t>[</w:t>
      </w:r>
      <w:r w:rsidRPr="0001508F">
        <w:rPr>
          <w:strike/>
          <w:szCs w:val="24"/>
        </w:rPr>
        <w:t>1.</w:t>
      </w:r>
      <w:r w:rsidRPr="0001508F">
        <w:rPr>
          <w:strike/>
          <w:szCs w:val="24"/>
        </w:rPr>
        <w:tab/>
        <w:t xml:space="preserve">Replacement or relocation of parts required for the operation of a standalone or combined standpipe system; </w:t>
      </w:r>
      <w:r w:rsidRPr="0001508F">
        <w:rPr>
          <w:szCs w:val="24"/>
        </w:rPr>
        <w:t>]</w:t>
      </w:r>
    </w:p>
    <w:p w14:paraId="45132B10" w14:textId="77777777" w:rsidR="0001508F" w:rsidRPr="0001508F" w:rsidRDefault="0001508F" w:rsidP="0001508F">
      <w:pPr>
        <w:suppressAutoHyphens/>
        <w:spacing w:after="240"/>
        <w:ind w:left="720" w:hanging="360"/>
        <w:rPr>
          <w:szCs w:val="24"/>
        </w:rPr>
      </w:pPr>
      <w:r w:rsidRPr="0001508F">
        <w:rPr>
          <w:szCs w:val="24"/>
        </w:rPr>
        <w:t>[</w:t>
      </w:r>
      <w:r w:rsidRPr="0001508F">
        <w:rPr>
          <w:strike/>
          <w:szCs w:val="24"/>
        </w:rPr>
        <w:t>2.</w:t>
      </w:r>
      <w:r w:rsidRPr="0001508F">
        <w:rPr>
          <w:strike/>
          <w:szCs w:val="24"/>
        </w:rPr>
        <w:tab/>
        <w:t>Relocation of standalone or combined standpipe auxiliary hose sources and cabinets within 10 feet (3048 mm) of their original location, provided that the existing covered area is not affected and provided that such relocation complies with this code for a new installation; and</w:t>
      </w:r>
      <w:r w:rsidRPr="0001508F">
        <w:rPr>
          <w:szCs w:val="24"/>
        </w:rPr>
        <w:t>]</w:t>
      </w:r>
    </w:p>
    <w:p w14:paraId="0B67D776" w14:textId="77777777" w:rsidR="0001508F" w:rsidRPr="0001508F" w:rsidRDefault="0001508F" w:rsidP="0001508F">
      <w:pPr>
        <w:suppressAutoHyphens/>
        <w:spacing w:after="240"/>
        <w:ind w:firstLine="360"/>
        <w:rPr>
          <w:rFonts w:eastAsia="Calibri"/>
          <w:szCs w:val="24"/>
          <w:u w:val="single"/>
        </w:rPr>
      </w:pPr>
      <w:r w:rsidRPr="0001508F">
        <w:rPr>
          <w:rFonts w:eastAsia="Calibri"/>
          <w:bCs/>
          <w:szCs w:val="24"/>
        </w:rPr>
        <w:t>[</w:t>
      </w:r>
      <w:r w:rsidRPr="0001508F">
        <w:rPr>
          <w:rFonts w:eastAsia="Calibri"/>
          <w:bCs/>
          <w:strike/>
          <w:szCs w:val="24"/>
        </w:rPr>
        <w:t>3.</w:t>
      </w:r>
      <w:r w:rsidRPr="0001508F">
        <w:rPr>
          <w:rFonts w:eastAsia="Calibri"/>
          <w:bCs/>
          <w:strike/>
          <w:szCs w:val="24"/>
        </w:rPr>
        <w:tab/>
      </w:r>
      <w:r w:rsidRPr="0001508F">
        <w:rPr>
          <w:rFonts w:eastAsia="Calibri"/>
          <w:strike/>
          <w:szCs w:val="24"/>
        </w:rPr>
        <w:t>Unlimited cut and cap of an existing standalone or combined standpipe system for a demolition or gut renovation.</w:t>
      </w:r>
      <w:r w:rsidRPr="0001508F">
        <w:rPr>
          <w:rFonts w:eastAsia="Calibri"/>
          <w:szCs w:val="24"/>
        </w:rPr>
        <w:t xml:space="preserve">] </w:t>
      </w:r>
      <w:r w:rsidRPr="0001508F">
        <w:rPr>
          <w:rFonts w:eastAsia="Calibri"/>
          <w:szCs w:val="24"/>
          <w:u w:val="single"/>
        </w:rPr>
        <w:t>An alteration to an existing combined standpipe system that is limited in scope and/or value, subject to chapter 5 of the New York city existing building code.</w:t>
      </w:r>
    </w:p>
    <w:p w14:paraId="29C18AC2" w14:textId="77777777" w:rsidR="0001508F" w:rsidRPr="0001508F" w:rsidRDefault="0001508F" w:rsidP="0001508F">
      <w:pPr>
        <w:spacing w:before="100" w:beforeAutospacing="1" w:after="100" w:afterAutospacing="1"/>
        <w:jc w:val="left"/>
        <w:rPr>
          <w:rFonts w:ascii="Times" w:hAnsi="Times"/>
          <w:color w:val="000000"/>
          <w:szCs w:val="24"/>
        </w:rPr>
      </w:pPr>
      <w:r w:rsidRPr="0001508F">
        <w:rPr>
          <w:rFonts w:ascii="Times" w:hAnsi="Times"/>
          <w:b/>
          <w:bCs/>
          <w:color w:val="000000"/>
          <w:szCs w:val="24"/>
        </w:rPr>
        <w:t>LISTED</w:t>
      </w:r>
      <w:r w:rsidRPr="0001508F">
        <w:rPr>
          <w:rFonts w:ascii="Times" w:hAnsi="Times"/>
          <w:color w:val="000000"/>
          <w:szCs w:val="24"/>
        </w:rPr>
        <w:t>. Material identified in a list published by an approved agency that maintains periodic inspection of production of listed material or periodic evaluation services whose listing states either that the material meets identified nationally recognized standards or has been tested and found suitable for a specified purpose when installed in accordance with the manufacturer's installation instructions.</w:t>
      </w:r>
    </w:p>
    <w:p w14:paraId="00F4F37F" w14:textId="77777777" w:rsidR="0001508F" w:rsidRPr="0001508F" w:rsidRDefault="0001508F" w:rsidP="0001508F">
      <w:pPr>
        <w:spacing w:before="100" w:beforeAutospacing="1" w:after="100" w:afterAutospacing="1"/>
        <w:jc w:val="left"/>
        <w:rPr>
          <w:rFonts w:ascii="Times" w:hAnsi="Times"/>
          <w:b/>
          <w:bCs/>
          <w:color w:val="000000"/>
          <w:szCs w:val="24"/>
        </w:rPr>
      </w:pPr>
      <w:r w:rsidRPr="0001508F">
        <w:rPr>
          <w:rFonts w:ascii="Times" w:hAnsi="Times"/>
          <w:b/>
          <w:bCs/>
          <w:color w:val="000000"/>
          <w:szCs w:val="24"/>
        </w:rPr>
        <w:t xml:space="preserve">LOW VOLTAGE ELECTRICAL WORK. </w:t>
      </w:r>
      <w:r w:rsidRPr="0001508F">
        <w:rPr>
          <w:rFonts w:ascii="Times" w:hAnsi="Times"/>
          <w:color w:val="000000"/>
          <w:szCs w:val="24"/>
        </w:rPr>
        <w:t>The installation, alteration, maintenance, or repair of electrical wiring that is designed to operate at less than 50 volts for signaling, communication, alarm, and data transmission circuits.</w:t>
      </w:r>
    </w:p>
    <w:p w14:paraId="502DF965" w14:textId="77777777" w:rsidR="0001508F" w:rsidRPr="0001508F" w:rsidRDefault="0001508F" w:rsidP="0001508F">
      <w:pPr>
        <w:spacing w:before="100" w:beforeAutospacing="1" w:after="100" w:afterAutospacing="1"/>
        <w:jc w:val="left"/>
        <w:rPr>
          <w:rFonts w:ascii="Times" w:hAnsi="Times"/>
          <w:color w:val="000000"/>
          <w:szCs w:val="24"/>
        </w:rPr>
      </w:pPr>
      <w:r w:rsidRPr="0001508F">
        <w:rPr>
          <w:rFonts w:ascii="Times" w:hAnsi="Times"/>
          <w:b/>
          <w:bCs/>
          <w:color w:val="000000"/>
          <w:szCs w:val="24"/>
        </w:rPr>
        <w:t>MAIN USE OR DOMINANT OCCUPANCY (OF A BUILDING)</w:t>
      </w:r>
      <w:r w:rsidRPr="0001508F">
        <w:rPr>
          <w:rFonts w:ascii="Times" w:hAnsi="Times"/>
          <w:color w:val="000000"/>
          <w:szCs w:val="24"/>
        </w:rPr>
        <w:t>. Refers to a single occupancy classification assigned to a structure by the department according to such structure's main use or dominant occupancy.</w:t>
      </w:r>
    </w:p>
    <w:p w14:paraId="0EC5829E" w14:textId="77777777" w:rsidR="0001508F" w:rsidRPr="0001508F" w:rsidRDefault="0001508F" w:rsidP="0001508F">
      <w:pPr>
        <w:spacing w:before="100" w:beforeAutospacing="1" w:after="100" w:afterAutospacing="1"/>
        <w:jc w:val="left"/>
        <w:rPr>
          <w:rFonts w:ascii="Times" w:hAnsi="Times"/>
          <w:color w:val="000000"/>
          <w:szCs w:val="24"/>
        </w:rPr>
      </w:pPr>
      <w:r w:rsidRPr="0001508F">
        <w:rPr>
          <w:rFonts w:ascii="Times" w:hAnsi="Times"/>
          <w:b/>
          <w:bCs/>
          <w:color w:val="000000"/>
          <w:szCs w:val="24"/>
        </w:rPr>
        <w:t>MANUFACTURER'S DESIGNATION</w:t>
      </w:r>
      <w:r w:rsidRPr="0001508F">
        <w:rPr>
          <w:rFonts w:ascii="Times" w:hAnsi="Times"/>
          <w:color w:val="000000"/>
          <w:szCs w:val="24"/>
        </w:rPr>
        <w:t>. Identification applied to material by the manufacturer indicating that the material complies with a specified standard or set of rules (see "Label" and "Mark").</w:t>
      </w:r>
    </w:p>
    <w:p w14:paraId="4A30AE0E" w14:textId="77777777" w:rsidR="0001508F" w:rsidRPr="0001508F" w:rsidRDefault="0001508F" w:rsidP="0001508F">
      <w:pPr>
        <w:spacing w:before="100" w:beforeAutospacing="1" w:after="100" w:afterAutospacing="1"/>
        <w:jc w:val="left"/>
        <w:rPr>
          <w:rFonts w:ascii="Times" w:hAnsi="Times"/>
          <w:color w:val="000000"/>
          <w:szCs w:val="24"/>
        </w:rPr>
      </w:pPr>
      <w:r w:rsidRPr="0001508F">
        <w:rPr>
          <w:rFonts w:ascii="Times" w:hAnsi="Times"/>
          <w:b/>
          <w:bCs/>
          <w:color w:val="000000"/>
          <w:szCs w:val="24"/>
        </w:rPr>
        <w:t>MARK.</w:t>
      </w:r>
      <w:r w:rsidRPr="0001508F">
        <w:rPr>
          <w:rFonts w:ascii="Times" w:hAnsi="Times"/>
          <w:color w:val="000000"/>
          <w:szCs w:val="24"/>
        </w:rPr>
        <w:t xml:space="preserve"> Identification applied to a product by the manufacturer indicating the name of the manufacturer and the function of a product or material (see "Label" and "Manufacturer's Label and designation").</w:t>
      </w:r>
    </w:p>
    <w:p w14:paraId="489233F0" w14:textId="77777777" w:rsidR="0001508F" w:rsidRPr="0001508F" w:rsidRDefault="0001508F" w:rsidP="0001508F">
      <w:pPr>
        <w:spacing w:before="100" w:beforeAutospacing="1" w:after="100" w:afterAutospacing="1"/>
        <w:jc w:val="left"/>
        <w:rPr>
          <w:rFonts w:ascii="Times" w:hAnsi="Times"/>
          <w:color w:val="000000"/>
          <w:szCs w:val="24"/>
        </w:rPr>
      </w:pPr>
      <w:r w:rsidRPr="0001508F">
        <w:rPr>
          <w:rFonts w:ascii="Times" w:hAnsi="Times"/>
          <w:b/>
          <w:bCs/>
          <w:color w:val="000000"/>
          <w:szCs w:val="24"/>
        </w:rPr>
        <w:t>MATERIALS</w:t>
      </w:r>
      <w:r w:rsidRPr="0001508F">
        <w:rPr>
          <w:rFonts w:ascii="Times" w:hAnsi="Times"/>
          <w:color w:val="000000"/>
          <w:szCs w:val="24"/>
        </w:rPr>
        <w:t>. Materials, assemblies, appliances, equipment, devices, systems, products and methods of construction regulated in their use by this code.</w:t>
      </w:r>
    </w:p>
    <w:p w14:paraId="2BDF6AC3" w14:textId="77777777" w:rsidR="0001508F" w:rsidRPr="0001508F" w:rsidRDefault="0001508F" w:rsidP="0001508F">
      <w:pPr>
        <w:spacing w:before="100" w:beforeAutospacing="1" w:after="100" w:afterAutospacing="1"/>
        <w:jc w:val="left"/>
        <w:rPr>
          <w:rFonts w:ascii="Times" w:hAnsi="Times"/>
          <w:color w:val="000000"/>
          <w:szCs w:val="24"/>
        </w:rPr>
      </w:pPr>
      <w:r w:rsidRPr="0001508F">
        <w:rPr>
          <w:rFonts w:ascii="Times" w:hAnsi="Times"/>
          <w:b/>
          <w:bCs/>
          <w:color w:val="000000"/>
          <w:szCs w:val="24"/>
        </w:rPr>
        <w:t>MINOR ALTERATIONS.</w:t>
      </w:r>
      <w:r w:rsidRPr="0001508F">
        <w:rPr>
          <w:rFonts w:ascii="Times" w:hAnsi="Times"/>
          <w:color w:val="000000"/>
          <w:szCs w:val="24"/>
        </w:rPr>
        <w:t xml:space="preserve"> See Chapter 2 of the New York city existing building code.</w:t>
      </w:r>
    </w:p>
    <w:p w14:paraId="350F75E2" w14:textId="77777777" w:rsidR="0001508F" w:rsidRPr="0001508F" w:rsidRDefault="0001508F" w:rsidP="0001508F">
      <w:pPr>
        <w:spacing w:before="100" w:beforeAutospacing="1" w:after="100" w:afterAutospacing="1"/>
        <w:jc w:val="left"/>
        <w:rPr>
          <w:rFonts w:ascii="Times" w:hAnsi="Times"/>
          <w:color w:val="000000"/>
          <w:szCs w:val="24"/>
        </w:rPr>
      </w:pPr>
      <w:r w:rsidRPr="0001508F">
        <w:rPr>
          <w:rFonts w:ascii="Times" w:hAnsi="Times"/>
          <w:b/>
          <w:bCs/>
          <w:color w:val="000000"/>
          <w:szCs w:val="24"/>
        </w:rPr>
        <w:t xml:space="preserve">MINOR ELECTRICAL WORK. </w:t>
      </w:r>
      <w:r w:rsidRPr="0001508F">
        <w:rPr>
          <w:rFonts w:ascii="Times" w:hAnsi="Times"/>
          <w:color w:val="000000"/>
          <w:szCs w:val="24"/>
        </w:rPr>
        <w:t xml:space="preserve">Electrical work that is limited in scope, falling into 1 of the following categories: </w:t>
      </w:r>
    </w:p>
    <w:p w14:paraId="2D2A3E0A" w14:textId="77777777" w:rsidR="0001508F" w:rsidRPr="0001508F" w:rsidRDefault="0001508F" w:rsidP="0001508F">
      <w:pPr>
        <w:spacing w:before="100" w:beforeAutospacing="1" w:after="100" w:afterAutospacing="1"/>
        <w:jc w:val="left"/>
        <w:rPr>
          <w:rFonts w:ascii="Times" w:hAnsi="Times"/>
          <w:color w:val="000000"/>
          <w:szCs w:val="24"/>
        </w:rPr>
      </w:pPr>
      <w:r w:rsidRPr="0001508F">
        <w:rPr>
          <w:rFonts w:ascii="Times" w:hAnsi="Times"/>
          <w:color w:val="000000"/>
          <w:szCs w:val="24"/>
        </w:rPr>
        <w:t xml:space="preserve">1. Replacement of defective circuit breakers or switches rated 30 amperes or less, excluding main service disconnects; </w:t>
      </w:r>
    </w:p>
    <w:p w14:paraId="489ABE6E" w14:textId="77777777" w:rsidR="0001508F" w:rsidRPr="0001508F" w:rsidRDefault="0001508F" w:rsidP="0001508F">
      <w:pPr>
        <w:spacing w:before="100" w:beforeAutospacing="1" w:after="100" w:afterAutospacing="1"/>
        <w:jc w:val="left"/>
        <w:rPr>
          <w:rFonts w:ascii="Times" w:hAnsi="Times"/>
          <w:color w:val="000000"/>
          <w:szCs w:val="24"/>
        </w:rPr>
      </w:pPr>
      <w:r w:rsidRPr="0001508F">
        <w:rPr>
          <w:rFonts w:ascii="Times" w:hAnsi="Times"/>
          <w:color w:val="000000"/>
          <w:szCs w:val="24"/>
        </w:rPr>
        <w:t xml:space="preserve">2. Replacement of parts in electrical panels where voltage does not exceed 150 volts to ground; </w:t>
      </w:r>
    </w:p>
    <w:p w14:paraId="73884FA9" w14:textId="77777777" w:rsidR="0001508F" w:rsidRPr="0001508F" w:rsidRDefault="0001508F" w:rsidP="0001508F">
      <w:pPr>
        <w:spacing w:before="100" w:beforeAutospacing="1" w:after="100" w:afterAutospacing="1"/>
        <w:jc w:val="left"/>
        <w:rPr>
          <w:rFonts w:ascii="Times" w:hAnsi="Times"/>
          <w:color w:val="000000"/>
          <w:szCs w:val="24"/>
        </w:rPr>
      </w:pPr>
      <w:r w:rsidRPr="0001508F">
        <w:rPr>
          <w:rFonts w:ascii="Times" w:hAnsi="Times"/>
          <w:color w:val="000000"/>
          <w:szCs w:val="24"/>
        </w:rPr>
        <w:t xml:space="preserve">3. Replacement of minor elevator parts as defined by rule; </w:t>
      </w:r>
    </w:p>
    <w:p w14:paraId="4F64EE18" w14:textId="77777777" w:rsidR="0001508F" w:rsidRPr="0001508F" w:rsidRDefault="0001508F" w:rsidP="0001508F">
      <w:pPr>
        <w:spacing w:before="100" w:beforeAutospacing="1" w:after="100" w:afterAutospacing="1"/>
        <w:jc w:val="left"/>
        <w:rPr>
          <w:rFonts w:ascii="Times" w:hAnsi="Times"/>
          <w:color w:val="000000"/>
          <w:szCs w:val="24"/>
        </w:rPr>
      </w:pPr>
      <w:r w:rsidRPr="0001508F">
        <w:rPr>
          <w:rFonts w:ascii="Times" w:hAnsi="Times"/>
          <w:color w:val="000000"/>
          <w:szCs w:val="24"/>
        </w:rPr>
        <w:t xml:space="preserve">4. Replacement of defective controls rated at 30 amperes or less; </w:t>
      </w:r>
    </w:p>
    <w:p w14:paraId="6E0EF78A" w14:textId="77777777" w:rsidR="0001508F" w:rsidRPr="0001508F" w:rsidRDefault="0001508F" w:rsidP="0001508F">
      <w:pPr>
        <w:spacing w:before="100" w:beforeAutospacing="1" w:after="100" w:afterAutospacing="1"/>
        <w:jc w:val="left"/>
        <w:rPr>
          <w:rFonts w:ascii="Times" w:hAnsi="Times"/>
          <w:color w:val="000000"/>
          <w:szCs w:val="24"/>
        </w:rPr>
      </w:pPr>
      <w:r w:rsidRPr="0001508F">
        <w:rPr>
          <w:rFonts w:ascii="Times" w:hAnsi="Times"/>
          <w:color w:val="000000"/>
          <w:szCs w:val="24"/>
        </w:rPr>
        <w:t xml:space="preserve">5. Repair of defective fixtures; </w:t>
      </w:r>
    </w:p>
    <w:p w14:paraId="4F3B6DC1" w14:textId="77777777" w:rsidR="0001508F" w:rsidRPr="0001508F" w:rsidRDefault="0001508F" w:rsidP="0001508F">
      <w:pPr>
        <w:spacing w:before="100" w:beforeAutospacing="1" w:after="100" w:afterAutospacing="1"/>
        <w:jc w:val="left"/>
        <w:rPr>
          <w:rFonts w:ascii="Times" w:hAnsi="Times"/>
          <w:color w:val="000000"/>
          <w:szCs w:val="24"/>
        </w:rPr>
      </w:pPr>
      <w:r w:rsidRPr="0001508F">
        <w:rPr>
          <w:rFonts w:ascii="Times" w:hAnsi="Times"/>
          <w:color w:val="000000"/>
          <w:szCs w:val="24"/>
        </w:rPr>
        <w:t xml:space="preserve">6. Replacement of fixtures in existing outlets, provided the number of such fixtures does not exceed 5 and does not increase existing wattage; </w:t>
      </w:r>
    </w:p>
    <w:p w14:paraId="35EE726F" w14:textId="77777777" w:rsidR="0001508F" w:rsidRPr="0001508F" w:rsidRDefault="0001508F" w:rsidP="0001508F">
      <w:pPr>
        <w:spacing w:before="100" w:beforeAutospacing="1" w:after="100" w:afterAutospacing="1"/>
        <w:jc w:val="left"/>
        <w:rPr>
          <w:rFonts w:ascii="Times" w:hAnsi="Times"/>
          <w:color w:val="000000"/>
          <w:szCs w:val="24"/>
        </w:rPr>
      </w:pPr>
      <w:r w:rsidRPr="0001508F">
        <w:rPr>
          <w:rFonts w:ascii="Times" w:hAnsi="Times"/>
          <w:color w:val="000000"/>
          <w:szCs w:val="24"/>
        </w:rPr>
        <w:t xml:space="preserve">7. Replacement, repair, disconnection, or reconnection of motors not to exceed 1 horsepower, and associated devices; </w:t>
      </w:r>
    </w:p>
    <w:p w14:paraId="17A8E6B1" w14:textId="77777777" w:rsidR="0001508F" w:rsidRPr="0001508F" w:rsidRDefault="0001508F" w:rsidP="0001508F">
      <w:pPr>
        <w:spacing w:before="100" w:beforeAutospacing="1" w:after="100" w:afterAutospacing="1"/>
        <w:jc w:val="left"/>
        <w:rPr>
          <w:rFonts w:ascii="Times" w:hAnsi="Times"/>
          <w:color w:val="000000"/>
          <w:szCs w:val="24"/>
        </w:rPr>
      </w:pPr>
      <w:r w:rsidRPr="0001508F">
        <w:rPr>
          <w:rFonts w:ascii="Times" w:hAnsi="Times"/>
          <w:color w:val="000000"/>
          <w:szCs w:val="24"/>
        </w:rPr>
        <w:t xml:space="preserve">8. Repairs to low pressure heating plants with a capacity of less than 15 pounds per square inch, except as may otherwise be required by rule of the commissioner; </w:t>
      </w:r>
    </w:p>
    <w:p w14:paraId="45A6CA06" w14:textId="77777777" w:rsidR="0001508F" w:rsidRPr="0001508F" w:rsidRDefault="0001508F" w:rsidP="0001508F">
      <w:pPr>
        <w:spacing w:before="100" w:beforeAutospacing="1" w:after="100" w:afterAutospacing="1"/>
        <w:jc w:val="left"/>
        <w:rPr>
          <w:rFonts w:ascii="Times" w:hAnsi="Times"/>
          <w:color w:val="000000"/>
          <w:szCs w:val="24"/>
        </w:rPr>
      </w:pPr>
      <w:r w:rsidRPr="0001508F">
        <w:rPr>
          <w:rFonts w:ascii="Times" w:hAnsi="Times"/>
          <w:color w:val="000000"/>
          <w:szCs w:val="24"/>
        </w:rPr>
        <w:t xml:space="preserve">9. Installation of any 10 or fewer units not requiring the installation of an additional branch circuit; </w:t>
      </w:r>
    </w:p>
    <w:p w14:paraId="2AA12B16" w14:textId="77777777" w:rsidR="0001508F" w:rsidRPr="0001508F" w:rsidRDefault="0001508F" w:rsidP="0001508F">
      <w:pPr>
        <w:spacing w:before="100" w:beforeAutospacing="1" w:after="100" w:afterAutospacing="1"/>
        <w:jc w:val="left"/>
        <w:rPr>
          <w:rFonts w:ascii="Times" w:hAnsi="Times"/>
          <w:color w:val="000000"/>
          <w:szCs w:val="24"/>
        </w:rPr>
      </w:pPr>
      <w:r w:rsidRPr="0001508F">
        <w:rPr>
          <w:rFonts w:ascii="Times" w:hAnsi="Times"/>
          <w:color w:val="000000"/>
          <w:szCs w:val="24"/>
        </w:rPr>
        <w:t xml:space="preserve">10. Installation of motors of fractional horsepower; [and] </w:t>
      </w:r>
    </w:p>
    <w:p w14:paraId="03FEBBD8" w14:textId="77777777" w:rsidR="0001508F" w:rsidRPr="0001508F" w:rsidRDefault="0001508F" w:rsidP="0001508F">
      <w:pPr>
        <w:spacing w:before="100" w:beforeAutospacing="1" w:after="100" w:afterAutospacing="1"/>
        <w:jc w:val="left"/>
        <w:rPr>
          <w:rFonts w:ascii="Times" w:hAnsi="Times"/>
          <w:color w:val="000000"/>
          <w:szCs w:val="24"/>
          <w:u w:val="single"/>
        </w:rPr>
      </w:pPr>
      <w:r w:rsidRPr="0001508F">
        <w:rPr>
          <w:rFonts w:ascii="Times" w:hAnsi="Times"/>
          <w:color w:val="000000"/>
          <w:szCs w:val="24"/>
        </w:rPr>
        <w:t>11. Installation of transformers rated at 1000 volt amperes or less</w:t>
      </w:r>
      <w:r w:rsidRPr="0001508F">
        <w:rPr>
          <w:rFonts w:ascii="Times" w:hAnsi="Times"/>
          <w:color w:val="000000"/>
          <w:szCs w:val="24"/>
          <w:u w:val="single"/>
        </w:rPr>
        <w:t>; and</w:t>
      </w:r>
    </w:p>
    <w:p w14:paraId="5E790091" w14:textId="77777777" w:rsidR="0001508F" w:rsidRPr="0001508F" w:rsidRDefault="0001508F" w:rsidP="0001508F">
      <w:pPr>
        <w:spacing w:before="100" w:beforeAutospacing="1" w:after="100" w:afterAutospacing="1"/>
        <w:jc w:val="left"/>
        <w:rPr>
          <w:rFonts w:ascii="Times" w:hAnsi="Times"/>
          <w:color w:val="000000"/>
          <w:szCs w:val="24"/>
        </w:rPr>
      </w:pPr>
      <w:r w:rsidRPr="0001508F">
        <w:rPr>
          <w:rFonts w:ascii="Times" w:hAnsi="Times"/>
          <w:color w:val="000000"/>
          <w:szCs w:val="24"/>
          <w:u w:val="single"/>
        </w:rPr>
        <w:t>12. Other categories of work as described in department rules, consistent with public safety</w:t>
      </w:r>
      <w:r w:rsidRPr="0001508F">
        <w:rPr>
          <w:rFonts w:ascii="Times" w:hAnsi="Times"/>
          <w:color w:val="000000"/>
          <w:szCs w:val="24"/>
        </w:rPr>
        <w:t>.</w:t>
      </w:r>
    </w:p>
    <w:p w14:paraId="6317B63B" w14:textId="77777777" w:rsidR="0001508F" w:rsidRPr="0001508F" w:rsidRDefault="0001508F" w:rsidP="0001508F">
      <w:pPr>
        <w:spacing w:before="100" w:beforeAutospacing="1" w:after="100" w:afterAutospacing="1"/>
        <w:jc w:val="left"/>
        <w:rPr>
          <w:rFonts w:ascii="Times" w:hAnsi="Times"/>
          <w:color w:val="000000"/>
          <w:szCs w:val="24"/>
        </w:rPr>
      </w:pPr>
      <w:r w:rsidRPr="0001508F">
        <w:rPr>
          <w:rFonts w:ascii="Times" w:hAnsi="Times"/>
          <w:b/>
          <w:bCs/>
          <w:color w:val="000000"/>
          <w:szCs w:val="24"/>
        </w:rPr>
        <w:t>OCCUPANCY</w:t>
      </w:r>
      <w:r w:rsidRPr="0001508F">
        <w:rPr>
          <w:rFonts w:ascii="Times" w:hAnsi="Times"/>
          <w:color w:val="000000"/>
          <w:szCs w:val="24"/>
        </w:rPr>
        <w:t>. The purpose or activity for which a building or space is used or is designed, arranged or intended to be used.</w:t>
      </w:r>
    </w:p>
    <w:p w14:paraId="1FB6E36E" w14:textId="77777777" w:rsidR="0001508F" w:rsidRPr="0001508F" w:rsidRDefault="0001508F" w:rsidP="0001508F">
      <w:pPr>
        <w:spacing w:before="100" w:beforeAutospacing="1" w:after="100" w:afterAutospacing="1"/>
        <w:jc w:val="left"/>
        <w:rPr>
          <w:rFonts w:ascii="Times" w:hAnsi="Times"/>
          <w:color w:val="000000"/>
          <w:szCs w:val="24"/>
        </w:rPr>
      </w:pPr>
      <w:r w:rsidRPr="0001508F">
        <w:rPr>
          <w:rFonts w:ascii="Times" w:hAnsi="Times"/>
          <w:b/>
          <w:bCs/>
          <w:color w:val="000000"/>
          <w:szCs w:val="24"/>
        </w:rPr>
        <w:t>OWNER</w:t>
      </w:r>
      <w:r w:rsidRPr="0001508F">
        <w:rPr>
          <w:rFonts w:ascii="Times" w:hAnsi="Times"/>
          <w:color w:val="000000"/>
          <w:szCs w:val="24"/>
        </w:rPr>
        <w:t>. Any person, agent, firm, partnership, corporation or other legal entity having a legal or equitable interest in, or control of the premises.</w:t>
      </w:r>
    </w:p>
    <w:p w14:paraId="463FBF50" w14:textId="77777777" w:rsidR="0001508F" w:rsidRPr="0001508F" w:rsidRDefault="0001508F" w:rsidP="0001508F">
      <w:pPr>
        <w:spacing w:before="100" w:beforeAutospacing="1" w:after="100" w:afterAutospacing="1"/>
        <w:jc w:val="left"/>
        <w:rPr>
          <w:color w:val="000000"/>
          <w:szCs w:val="24"/>
        </w:rPr>
      </w:pPr>
      <w:r w:rsidRPr="0001508F">
        <w:rPr>
          <w:b/>
          <w:bCs/>
          <w:color w:val="000000"/>
          <w:szCs w:val="24"/>
        </w:rPr>
        <w:t>PARTY WALL</w:t>
      </w:r>
      <w:r w:rsidRPr="0001508F">
        <w:rPr>
          <w:color w:val="000000"/>
          <w:szCs w:val="24"/>
        </w:rPr>
        <w:t>. A fire division on an interior lot line common to two adjoining buildings.</w:t>
      </w:r>
    </w:p>
    <w:p w14:paraId="169B3D6D" w14:textId="77777777" w:rsidR="0001508F" w:rsidRPr="0001508F" w:rsidRDefault="0001508F" w:rsidP="0001508F">
      <w:pPr>
        <w:spacing w:before="100" w:beforeAutospacing="1" w:after="100" w:afterAutospacing="1"/>
        <w:jc w:val="left"/>
        <w:rPr>
          <w:color w:val="000000"/>
          <w:szCs w:val="24"/>
        </w:rPr>
      </w:pPr>
      <w:r w:rsidRPr="0001508F">
        <w:rPr>
          <w:b/>
          <w:bCs/>
          <w:color w:val="000000"/>
          <w:szCs w:val="24"/>
        </w:rPr>
        <w:t>PERMIT</w:t>
      </w:r>
      <w:r w:rsidRPr="0001508F">
        <w:rPr>
          <w:color w:val="000000"/>
          <w:szCs w:val="24"/>
        </w:rPr>
        <w:t>. An official document or certificate issued by the commissioner that authorizes performance of specified work or activity.</w:t>
      </w:r>
    </w:p>
    <w:p w14:paraId="5C903E83" w14:textId="77777777" w:rsidR="0001508F" w:rsidRPr="0001508F" w:rsidRDefault="0001508F" w:rsidP="0001508F">
      <w:pPr>
        <w:spacing w:before="100" w:beforeAutospacing="1" w:after="100" w:afterAutospacing="1"/>
        <w:jc w:val="left"/>
        <w:rPr>
          <w:color w:val="000000"/>
          <w:szCs w:val="24"/>
        </w:rPr>
      </w:pPr>
      <w:r w:rsidRPr="0001508F">
        <w:rPr>
          <w:b/>
          <w:bCs/>
          <w:color w:val="000000"/>
          <w:szCs w:val="24"/>
        </w:rPr>
        <w:t>PERSON.</w:t>
      </w:r>
      <w:r w:rsidRPr="0001508F">
        <w:rPr>
          <w:color w:val="000000"/>
          <w:szCs w:val="24"/>
        </w:rPr>
        <w:t xml:space="preserve"> An individual, partnership, corporation, or other legal entity.</w:t>
      </w:r>
    </w:p>
    <w:p w14:paraId="24BAFF1C" w14:textId="77777777" w:rsidR="0001508F" w:rsidRPr="0001508F" w:rsidRDefault="0001508F" w:rsidP="0001508F">
      <w:pPr>
        <w:spacing w:before="100" w:beforeAutospacing="1" w:after="100" w:afterAutospacing="1"/>
        <w:jc w:val="left"/>
        <w:rPr>
          <w:color w:val="000000"/>
          <w:szCs w:val="24"/>
        </w:rPr>
      </w:pPr>
      <w:r w:rsidRPr="0001508F">
        <w:rPr>
          <w:b/>
          <w:bCs/>
          <w:color w:val="000000"/>
          <w:szCs w:val="24"/>
        </w:rPr>
        <w:t>PREMISES</w:t>
      </w:r>
      <w:r w:rsidRPr="0001508F">
        <w:rPr>
          <w:color w:val="000000"/>
          <w:szCs w:val="24"/>
        </w:rPr>
        <w:t>. Land, improvements thereon, or any part thereof.</w:t>
      </w:r>
    </w:p>
    <w:p w14:paraId="34D98EA5" w14:textId="77777777" w:rsidR="0001508F" w:rsidRPr="0001508F" w:rsidRDefault="0001508F" w:rsidP="0001508F">
      <w:pPr>
        <w:suppressAutoHyphens/>
        <w:spacing w:after="240"/>
        <w:rPr>
          <w:szCs w:val="24"/>
          <w:u w:val="single"/>
        </w:rPr>
      </w:pPr>
      <w:r w:rsidRPr="0001508F">
        <w:rPr>
          <w:b/>
          <w:szCs w:val="24"/>
        </w:rPr>
        <w:t>PRIOR CODE BUILDING</w:t>
      </w:r>
      <w:r w:rsidRPr="0001508F">
        <w:rPr>
          <w:b/>
          <w:szCs w:val="24"/>
          <w:u w:val="single"/>
        </w:rPr>
        <w:t xml:space="preserve"> OR STRUCTURE</w:t>
      </w:r>
      <w:r w:rsidRPr="0001508F">
        <w:rPr>
          <w:b/>
          <w:szCs w:val="24"/>
        </w:rPr>
        <w:t>. [</w:t>
      </w:r>
      <w:r w:rsidRPr="0001508F">
        <w:rPr>
          <w:strike/>
          <w:szCs w:val="24"/>
        </w:rPr>
        <w:t>See 1968 OR PRIOR CODE BUILDING OR STRUCTURE (PRIOR CODE BUILDING)</w:t>
      </w:r>
      <w:r w:rsidRPr="0001508F">
        <w:rPr>
          <w:szCs w:val="24"/>
        </w:rPr>
        <w:t>]</w:t>
      </w:r>
      <w:r w:rsidRPr="0001508F">
        <w:rPr>
          <w:szCs w:val="24"/>
          <w:u w:val="single"/>
        </w:rPr>
        <w:t xml:space="preserve"> A building or structure erected in accordance with the building laws in effect prior to July 1, 2008.</w:t>
      </w:r>
    </w:p>
    <w:p w14:paraId="19420FA2" w14:textId="77777777" w:rsidR="0001508F" w:rsidRPr="0001508F" w:rsidRDefault="0001508F" w:rsidP="0001508F">
      <w:pPr>
        <w:spacing w:before="100" w:beforeAutospacing="1" w:after="100" w:afterAutospacing="1"/>
        <w:jc w:val="left"/>
        <w:rPr>
          <w:color w:val="000000"/>
          <w:szCs w:val="24"/>
        </w:rPr>
      </w:pPr>
      <w:r w:rsidRPr="0001508F">
        <w:rPr>
          <w:b/>
          <w:bCs/>
          <w:color w:val="000000"/>
          <w:szCs w:val="24"/>
        </w:rPr>
        <w:t>PROFESSIONAL CERTIFICATION</w:t>
      </w:r>
      <w:r w:rsidRPr="0001508F">
        <w:rPr>
          <w:color w:val="000000"/>
          <w:szCs w:val="24"/>
        </w:rPr>
        <w:t>. A personal verification of a registered design professional made under such professional's signature and seal that accompanies construction documents and other related documents filed with the department and that attests that such documents do not contain false information and are in compliance with all applicable provisions of law.</w:t>
      </w:r>
    </w:p>
    <w:p w14:paraId="165E7C77" w14:textId="77777777" w:rsidR="0001508F" w:rsidRPr="0001508F" w:rsidRDefault="0001508F" w:rsidP="0001508F">
      <w:pPr>
        <w:spacing w:before="100" w:beforeAutospacing="1" w:after="100" w:afterAutospacing="1"/>
        <w:jc w:val="left"/>
        <w:rPr>
          <w:color w:val="000000"/>
          <w:szCs w:val="24"/>
        </w:rPr>
      </w:pPr>
      <w:r w:rsidRPr="0001508F">
        <w:rPr>
          <w:b/>
          <w:bCs/>
          <w:color w:val="000000"/>
          <w:szCs w:val="24"/>
        </w:rPr>
        <w:t>PROGRESS INSPECTION</w:t>
      </w:r>
      <w:r w:rsidRPr="0001508F">
        <w:rPr>
          <w:color w:val="000000"/>
          <w:szCs w:val="24"/>
        </w:rPr>
        <w:t>. Inspection of permitted construction work in progress to verify compliance with the code and with approved construction documents.</w:t>
      </w:r>
    </w:p>
    <w:p w14:paraId="41D9A710" w14:textId="77777777" w:rsidR="0001508F" w:rsidRPr="0001508F" w:rsidRDefault="0001508F" w:rsidP="0001508F">
      <w:pPr>
        <w:spacing w:before="100" w:beforeAutospacing="1" w:after="100" w:afterAutospacing="1"/>
        <w:jc w:val="left"/>
        <w:rPr>
          <w:color w:val="000000"/>
          <w:szCs w:val="24"/>
        </w:rPr>
      </w:pPr>
      <w:r w:rsidRPr="0001508F">
        <w:rPr>
          <w:b/>
          <w:bCs/>
          <w:color w:val="000000"/>
          <w:szCs w:val="24"/>
        </w:rPr>
        <w:t xml:space="preserve">PROJECT. </w:t>
      </w:r>
      <w:r w:rsidRPr="0001508F">
        <w:rPr>
          <w:color w:val="000000"/>
          <w:szCs w:val="24"/>
        </w:rPr>
        <w:t>A design and construction undertaking comprised of work related to one or more buildings or structures and the site improvements. A project is represented by one or more plan/work applications, including construction documents compiled in accordance with article 104 of this chapter, that relate either to the construction of new buildings or structures or to the demolition or alteration of existing buildings or structures. Applications for a project may have different registered design professionals and different application numbers, and may result in the issuance of one or more permits.</w:t>
      </w:r>
    </w:p>
    <w:p w14:paraId="55EAF5BD" w14:textId="77777777" w:rsidR="0001508F" w:rsidRPr="0001508F" w:rsidRDefault="0001508F" w:rsidP="0001508F">
      <w:pPr>
        <w:spacing w:before="100" w:beforeAutospacing="1" w:after="100" w:afterAutospacing="1"/>
        <w:jc w:val="left"/>
        <w:rPr>
          <w:color w:val="000000"/>
          <w:szCs w:val="24"/>
        </w:rPr>
      </w:pPr>
      <w:r w:rsidRPr="0001508F">
        <w:rPr>
          <w:b/>
          <w:bCs/>
          <w:color w:val="000000"/>
          <w:szCs w:val="24"/>
        </w:rPr>
        <w:t>REGISTERED DESIGN PROFESSIONAL</w:t>
      </w:r>
      <w:r w:rsidRPr="0001508F">
        <w:rPr>
          <w:color w:val="000000"/>
          <w:szCs w:val="24"/>
        </w:rPr>
        <w:t>. An architect or engineer.</w:t>
      </w:r>
    </w:p>
    <w:p w14:paraId="31E24733" w14:textId="77777777" w:rsidR="0001508F" w:rsidRPr="0001508F" w:rsidRDefault="0001508F" w:rsidP="0001508F">
      <w:pPr>
        <w:spacing w:before="100" w:beforeAutospacing="1" w:after="100" w:afterAutospacing="1"/>
        <w:jc w:val="left"/>
        <w:rPr>
          <w:color w:val="000000"/>
          <w:szCs w:val="24"/>
        </w:rPr>
      </w:pPr>
      <w:r w:rsidRPr="0001508F">
        <w:rPr>
          <w:b/>
          <w:bCs/>
          <w:color w:val="000000"/>
          <w:szCs w:val="24"/>
        </w:rPr>
        <w:t>REGISTERED DESIGN PROFESSIONAL OF RECORD</w:t>
      </w:r>
      <w:r w:rsidRPr="0001508F">
        <w:rPr>
          <w:color w:val="000000"/>
          <w:szCs w:val="24"/>
        </w:rPr>
        <w:t>. The registered design professional who prepared or supervised the preparation of applicable construction documents filed with the department.</w:t>
      </w:r>
    </w:p>
    <w:p w14:paraId="50D24CD0" w14:textId="77777777" w:rsidR="0001508F" w:rsidRPr="0001508F" w:rsidRDefault="0001508F" w:rsidP="0001508F">
      <w:pPr>
        <w:spacing w:before="100" w:beforeAutospacing="1" w:after="100" w:afterAutospacing="1"/>
        <w:jc w:val="left"/>
        <w:rPr>
          <w:color w:val="000000"/>
          <w:szCs w:val="24"/>
        </w:rPr>
      </w:pPr>
      <w:r w:rsidRPr="0001508F">
        <w:rPr>
          <w:b/>
          <w:bCs/>
          <w:color w:val="000000"/>
          <w:szCs w:val="24"/>
        </w:rPr>
        <w:t>REQUIRED</w:t>
      </w:r>
      <w:r w:rsidRPr="0001508F">
        <w:rPr>
          <w:color w:val="000000"/>
          <w:szCs w:val="24"/>
        </w:rPr>
        <w:t>. Shall mean required by the provisions of this code.</w:t>
      </w:r>
    </w:p>
    <w:p w14:paraId="2ED9A6DF" w14:textId="77777777" w:rsidR="0001508F" w:rsidRPr="0001508F" w:rsidRDefault="0001508F" w:rsidP="0001508F">
      <w:pPr>
        <w:spacing w:before="100" w:beforeAutospacing="1" w:after="100" w:afterAutospacing="1"/>
        <w:jc w:val="left"/>
        <w:rPr>
          <w:color w:val="000000"/>
          <w:szCs w:val="24"/>
        </w:rPr>
      </w:pPr>
      <w:r w:rsidRPr="0001508F">
        <w:rPr>
          <w:b/>
          <w:bCs/>
          <w:color w:val="000000"/>
          <w:szCs w:val="24"/>
        </w:rPr>
        <w:t>RETAINING WALL</w:t>
      </w:r>
      <w:r w:rsidRPr="0001508F">
        <w:rPr>
          <w:color w:val="000000"/>
          <w:szCs w:val="24"/>
        </w:rPr>
        <w:t>. A wall designed to prevent the lateral displacement of soil or other materials.</w:t>
      </w:r>
    </w:p>
    <w:p w14:paraId="6EE394A5" w14:textId="77777777" w:rsidR="0001508F" w:rsidRPr="0001508F" w:rsidRDefault="0001508F" w:rsidP="0001508F">
      <w:pPr>
        <w:spacing w:before="100" w:beforeAutospacing="1" w:after="100" w:afterAutospacing="1"/>
        <w:jc w:val="left"/>
        <w:rPr>
          <w:color w:val="000000"/>
          <w:szCs w:val="24"/>
        </w:rPr>
      </w:pPr>
      <w:r w:rsidRPr="0001508F">
        <w:rPr>
          <w:b/>
          <w:bCs/>
          <w:color w:val="000000"/>
          <w:szCs w:val="24"/>
        </w:rPr>
        <w:t>SERVICE EQUIPMENT</w:t>
      </w:r>
      <w:r w:rsidRPr="0001508F">
        <w:rPr>
          <w:color w:val="000000"/>
          <w:szCs w:val="24"/>
        </w:rPr>
        <w:t>. Equipment or systems, and all components thereof, that provide sanitation, power, light, heat, ventilation, air conditioning, refuse disposal, fire-fighting, transportation or other facilities for buildings.</w:t>
      </w:r>
    </w:p>
    <w:p w14:paraId="2BCA83C4" w14:textId="77777777" w:rsidR="0001508F" w:rsidRPr="0001508F" w:rsidRDefault="0001508F" w:rsidP="0001508F">
      <w:pPr>
        <w:spacing w:before="100" w:beforeAutospacing="1" w:after="100" w:afterAutospacing="1"/>
        <w:jc w:val="left"/>
        <w:rPr>
          <w:color w:val="000000"/>
          <w:szCs w:val="24"/>
        </w:rPr>
      </w:pPr>
      <w:r w:rsidRPr="0001508F">
        <w:rPr>
          <w:b/>
          <w:bCs/>
          <w:color w:val="000000"/>
          <w:szCs w:val="24"/>
        </w:rPr>
        <w:t>SIGN-OFF</w:t>
      </w:r>
      <w:r w:rsidRPr="0001508F">
        <w:rPr>
          <w:color w:val="000000"/>
          <w:szCs w:val="24"/>
        </w:rPr>
        <w:t>. The issuance by the department of a letter of completion or certificate of occupancy for permitted work indicating the satisfactory completion of all required inspections and receipt by the department of all required submittal documents.</w:t>
      </w:r>
    </w:p>
    <w:p w14:paraId="132DB991" w14:textId="77777777" w:rsidR="0001508F" w:rsidRPr="0001508F" w:rsidRDefault="0001508F" w:rsidP="0001508F">
      <w:pPr>
        <w:spacing w:before="100" w:beforeAutospacing="1" w:after="100" w:afterAutospacing="1"/>
        <w:jc w:val="left"/>
        <w:rPr>
          <w:color w:val="000000"/>
          <w:szCs w:val="24"/>
        </w:rPr>
      </w:pPr>
      <w:r w:rsidRPr="0001508F">
        <w:rPr>
          <w:b/>
          <w:bCs/>
          <w:color w:val="000000"/>
          <w:szCs w:val="24"/>
        </w:rPr>
        <w:t>SINGLE ROOM OCCUPANCY MULTIPLE DWELLING</w:t>
      </w:r>
      <w:r w:rsidRPr="0001508F">
        <w:rPr>
          <w:color w:val="000000"/>
          <w:szCs w:val="24"/>
        </w:rPr>
        <w:t>. See section 28-107.2.</w:t>
      </w:r>
    </w:p>
    <w:p w14:paraId="5C34AE77" w14:textId="77777777" w:rsidR="0001508F" w:rsidRPr="0001508F" w:rsidRDefault="0001508F" w:rsidP="0001508F">
      <w:pPr>
        <w:spacing w:before="100" w:beforeAutospacing="1" w:after="100" w:afterAutospacing="1"/>
        <w:jc w:val="left"/>
        <w:rPr>
          <w:color w:val="000000"/>
          <w:szCs w:val="24"/>
        </w:rPr>
      </w:pPr>
      <w:r w:rsidRPr="0001508F">
        <w:rPr>
          <w:b/>
          <w:bCs/>
          <w:color w:val="000000"/>
          <w:szCs w:val="24"/>
        </w:rPr>
        <w:t>SPECIAL INSPECTION</w:t>
      </w:r>
      <w:r w:rsidRPr="0001508F">
        <w:rPr>
          <w:color w:val="000000"/>
          <w:szCs w:val="24"/>
        </w:rPr>
        <w:t>. Inspection and testing of selected materials, equipment, installation, fabrication, erection or placement of components and connections, to ensure compliance with approved construction documents and referenced standards as required by chapter 17 of the New York city building code or elsewhere in this code or its referenced standards.</w:t>
      </w:r>
    </w:p>
    <w:p w14:paraId="6C15ED4F" w14:textId="77777777" w:rsidR="0001508F" w:rsidRPr="0001508F" w:rsidRDefault="0001508F" w:rsidP="0001508F">
      <w:pPr>
        <w:spacing w:before="100" w:beforeAutospacing="1" w:after="100" w:afterAutospacing="1"/>
        <w:jc w:val="left"/>
        <w:rPr>
          <w:color w:val="000000"/>
          <w:szCs w:val="24"/>
        </w:rPr>
      </w:pPr>
      <w:r w:rsidRPr="0001508F">
        <w:rPr>
          <w:b/>
          <w:bCs/>
          <w:color w:val="000000"/>
          <w:szCs w:val="24"/>
        </w:rPr>
        <w:t>SPECIAL INSPECTION AGENCY</w:t>
      </w:r>
      <w:r w:rsidRPr="0001508F">
        <w:rPr>
          <w:color w:val="000000"/>
          <w:szCs w:val="24"/>
        </w:rPr>
        <w:t>. An agency employing one or more persons who are special inspectors and that meets the requirements of department rules.</w:t>
      </w:r>
    </w:p>
    <w:p w14:paraId="203DE6FD" w14:textId="77777777" w:rsidR="0001508F" w:rsidRPr="0001508F" w:rsidRDefault="0001508F" w:rsidP="0001508F">
      <w:pPr>
        <w:spacing w:before="100" w:beforeAutospacing="1" w:after="100" w:afterAutospacing="1"/>
        <w:jc w:val="left"/>
        <w:rPr>
          <w:color w:val="000000"/>
          <w:szCs w:val="24"/>
        </w:rPr>
      </w:pPr>
      <w:r w:rsidRPr="0001508F">
        <w:rPr>
          <w:b/>
          <w:bCs/>
          <w:color w:val="000000"/>
          <w:szCs w:val="24"/>
        </w:rPr>
        <w:t>SPECIAL INSPECTOR</w:t>
      </w:r>
      <w:r w:rsidRPr="0001508F">
        <w:rPr>
          <w:color w:val="000000"/>
          <w:szCs w:val="24"/>
        </w:rPr>
        <w:t>. An individual employed by a special inspection agency having required qualifications and authorized by department rules to perform or witness particular special inspections required by this code or by the rules of the department, including but not limited to a qualified registered design professional so authorized.</w:t>
      </w:r>
    </w:p>
    <w:p w14:paraId="01D331FC" w14:textId="77777777" w:rsidR="0001508F" w:rsidRPr="0001508F" w:rsidRDefault="0001508F" w:rsidP="0001508F">
      <w:pPr>
        <w:spacing w:before="100" w:beforeAutospacing="1" w:after="100" w:afterAutospacing="1"/>
        <w:jc w:val="left"/>
        <w:rPr>
          <w:color w:val="000000"/>
          <w:szCs w:val="24"/>
        </w:rPr>
      </w:pPr>
      <w:r w:rsidRPr="0001508F">
        <w:rPr>
          <w:b/>
          <w:bCs/>
          <w:color w:val="000000"/>
          <w:szCs w:val="24"/>
        </w:rPr>
        <w:t>STRUCTURE</w:t>
      </w:r>
      <w:r w:rsidRPr="0001508F">
        <w:rPr>
          <w:color w:val="000000"/>
          <w:szCs w:val="24"/>
        </w:rPr>
        <w:t>. That which is built or constructed, including among others: buildings, stadia, tents, reviewing stands, platforms, stagings, observation towers, radio towers, tanks, trestles, open sheds, shelters, fences, and display signs.</w:t>
      </w:r>
    </w:p>
    <w:p w14:paraId="1E313B42" w14:textId="77777777" w:rsidR="0001508F" w:rsidRPr="0001508F" w:rsidRDefault="0001508F" w:rsidP="0001508F">
      <w:pPr>
        <w:spacing w:before="100" w:beforeAutospacing="1" w:after="100" w:afterAutospacing="1"/>
        <w:jc w:val="left"/>
        <w:rPr>
          <w:color w:val="000000"/>
          <w:szCs w:val="24"/>
        </w:rPr>
      </w:pPr>
      <w:r w:rsidRPr="0001508F">
        <w:rPr>
          <w:b/>
          <w:bCs/>
          <w:color w:val="000000"/>
          <w:szCs w:val="24"/>
        </w:rPr>
        <w:t>SUBMITTAL DOCUMENTS</w:t>
      </w:r>
      <w:r w:rsidRPr="0001508F">
        <w:rPr>
          <w:color w:val="000000"/>
          <w:szCs w:val="24"/>
        </w:rPr>
        <w:t>. Completed application forms, construction documents, reports and any other documents submitted in compliance with this code or other applicable laws and rules including but not limited to special inspection reports, certifications or approvals from other governmental agencies and other data required by this code or by the department.</w:t>
      </w:r>
    </w:p>
    <w:p w14:paraId="61BB1AFC" w14:textId="77777777" w:rsidR="0001508F" w:rsidRPr="0001508F" w:rsidRDefault="0001508F" w:rsidP="0001508F">
      <w:pPr>
        <w:spacing w:before="100" w:beforeAutospacing="1" w:after="100" w:afterAutospacing="1"/>
        <w:jc w:val="left"/>
        <w:rPr>
          <w:color w:val="000000"/>
          <w:szCs w:val="24"/>
        </w:rPr>
      </w:pPr>
      <w:r w:rsidRPr="0001508F">
        <w:rPr>
          <w:b/>
          <w:bCs/>
          <w:color w:val="000000"/>
          <w:szCs w:val="24"/>
        </w:rPr>
        <w:t>SUPERINTENDENT OF CONSTRUCTION (CONSTRUCTION SUPERINTENDENT).</w:t>
      </w:r>
      <w:r w:rsidRPr="0001508F">
        <w:rPr>
          <w:color w:val="000000"/>
          <w:szCs w:val="24"/>
        </w:rPr>
        <w:t xml:space="preserve"> An individual, when authorized pursuant to department rules as qualified to superintend permitted construction work on behalf of the owner.</w:t>
      </w:r>
    </w:p>
    <w:p w14:paraId="62071561" w14:textId="77777777" w:rsidR="0001508F" w:rsidRPr="0001508F" w:rsidRDefault="0001508F" w:rsidP="0001508F">
      <w:pPr>
        <w:spacing w:before="100" w:beforeAutospacing="1" w:after="100" w:afterAutospacing="1"/>
        <w:jc w:val="left"/>
        <w:rPr>
          <w:color w:val="000000"/>
          <w:szCs w:val="24"/>
        </w:rPr>
      </w:pPr>
      <w:r w:rsidRPr="0001508F">
        <w:rPr>
          <w:b/>
          <w:bCs/>
          <w:color w:val="000000"/>
          <w:szCs w:val="24"/>
        </w:rPr>
        <w:t>USE (USED)</w:t>
      </w:r>
      <w:r w:rsidRPr="0001508F">
        <w:rPr>
          <w:color w:val="000000"/>
          <w:szCs w:val="24"/>
        </w:rPr>
        <w:t>. The purpose for which a building, structure, or space is occupied or utilized, unless otherwise indicated by the text. Use (used) shall be construed as if followed by the words "or is intended, arranged, or designed to be used."</w:t>
      </w:r>
    </w:p>
    <w:p w14:paraId="44CC104A" w14:textId="77777777" w:rsidR="0001508F" w:rsidRPr="0001508F" w:rsidRDefault="0001508F" w:rsidP="0001508F">
      <w:pPr>
        <w:spacing w:before="100" w:beforeAutospacing="1" w:after="100" w:afterAutospacing="1"/>
        <w:jc w:val="left"/>
        <w:rPr>
          <w:color w:val="000000"/>
          <w:szCs w:val="24"/>
        </w:rPr>
      </w:pPr>
      <w:r w:rsidRPr="0001508F">
        <w:rPr>
          <w:b/>
          <w:bCs/>
          <w:color w:val="000000"/>
          <w:szCs w:val="24"/>
        </w:rPr>
        <w:t>UTILITY COMPANY OR PUBLIC UTILITY COMPANY</w:t>
      </w:r>
      <w:r w:rsidRPr="0001508F">
        <w:rPr>
          <w:color w:val="000000"/>
          <w:szCs w:val="24"/>
        </w:rPr>
        <w:t>. The term shall be construed to have the same meaning as that contained in section two of the New York state public service law.</w:t>
      </w:r>
    </w:p>
    <w:p w14:paraId="6399CFDB" w14:textId="77777777" w:rsidR="0001508F" w:rsidRPr="0001508F" w:rsidRDefault="0001508F" w:rsidP="0001508F">
      <w:pPr>
        <w:spacing w:before="100" w:beforeAutospacing="1" w:after="100" w:afterAutospacing="1"/>
        <w:jc w:val="left"/>
        <w:rPr>
          <w:color w:val="000000"/>
          <w:szCs w:val="24"/>
        </w:rPr>
      </w:pPr>
      <w:r w:rsidRPr="0001508F">
        <w:rPr>
          <w:b/>
          <w:bCs/>
          <w:color w:val="000000"/>
          <w:szCs w:val="24"/>
        </w:rPr>
        <w:t>UTILITY CORPORATION OR PUBLIC UTILITY CORPORATION</w:t>
      </w:r>
      <w:r w:rsidRPr="0001508F">
        <w:rPr>
          <w:color w:val="000000"/>
          <w:szCs w:val="24"/>
        </w:rPr>
        <w:t>. The term shall be construed to have the same meaning as that contained in section two of the New York state public service law.</w:t>
      </w:r>
    </w:p>
    <w:p w14:paraId="1EC7F0C2" w14:textId="77777777" w:rsidR="0001508F" w:rsidRPr="0001508F" w:rsidRDefault="0001508F" w:rsidP="0001508F">
      <w:pPr>
        <w:suppressAutoHyphens/>
        <w:spacing w:after="240"/>
        <w:rPr>
          <w:spacing w:val="1"/>
          <w:szCs w:val="24"/>
        </w:rPr>
      </w:pPr>
      <w:r w:rsidRPr="0001508F">
        <w:rPr>
          <w:b/>
          <w:szCs w:val="24"/>
        </w:rPr>
        <w:t>[W</w:t>
      </w:r>
      <w:r w:rsidRPr="0001508F">
        <w:rPr>
          <w:b/>
          <w:strike/>
          <w:szCs w:val="24"/>
        </w:rPr>
        <w:t>ORK NOT CONSTITUTING MINOR ALTERATIONS OR ORDINARY REPAIRS.</w:t>
      </w:r>
      <w:r w:rsidRPr="0001508F">
        <w:rPr>
          <w:b/>
          <w:bCs/>
          <w:strike/>
          <w:spacing w:val="-1"/>
          <w:w w:val="105"/>
          <w:szCs w:val="24"/>
        </w:rPr>
        <w:t xml:space="preserve"> </w:t>
      </w:r>
      <w:r w:rsidRPr="0001508F">
        <w:rPr>
          <w:strike/>
          <w:spacing w:val="1"/>
          <w:szCs w:val="24"/>
        </w:rPr>
        <w:t>See section 28-105.4.2.1</w:t>
      </w:r>
      <w:r w:rsidRPr="0001508F">
        <w:rPr>
          <w:spacing w:val="1"/>
          <w:szCs w:val="24"/>
        </w:rPr>
        <w:t>]</w:t>
      </w:r>
    </w:p>
    <w:p w14:paraId="776C010A" w14:textId="77777777" w:rsidR="0001508F" w:rsidRPr="0001508F" w:rsidRDefault="0001508F" w:rsidP="0001508F">
      <w:pPr>
        <w:spacing w:before="100" w:beforeAutospacing="1" w:after="100" w:afterAutospacing="1"/>
        <w:jc w:val="left"/>
        <w:rPr>
          <w:color w:val="000000"/>
          <w:szCs w:val="24"/>
        </w:rPr>
      </w:pPr>
      <w:r w:rsidRPr="0001508F">
        <w:rPr>
          <w:b/>
          <w:bCs/>
          <w:color w:val="000000"/>
          <w:szCs w:val="24"/>
        </w:rPr>
        <w:t>WRITING (WRITTEN)</w:t>
      </w:r>
      <w:r w:rsidRPr="0001508F">
        <w:rPr>
          <w:color w:val="000000"/>
          <w:szCs w:val="24"/>
        </w:rPr>
        <w:t>. The term shall be construed to include handwriting, typewriting, printing, photo- offset, or any other form of reproduction in legible symbols or characters, including, in the discretion of the commissioner, electronic media.</w:t>
      </w:r>
    </w:p>
    <w:p w14:paraId="0570D02D" w14:textId="77777777" w:rsidR="0001508F" w:rsidRPr="0001508F" w:rsidRDefault="0001508F" w:rsidP="0001508F">
      <w:pPr>
        <w:spacing w:before="100" w:beforeAutospacing="1" w:after="100" w:afterAutospacing="1"/>
        <w:jc w:val="left"/>
        <w:rPr>
          <w:color w:val="000000"/>
          <w:szCs w:val="24"/>
        </w:rPr>
      </w:pPr>
      <w:r w:rsidRPr="0001508F">
        <w:rPr>
          <w:b/>
          <w:bCs/>
          <w:color w:val="000000"/>
          <w:szCs w:val="24"/>
        </w:rPr>
        <w:t>WRITTEN NOTICE</w:t>
      </w:r>
      <w:r w:rsidRPr="0001508F">
        <w:rPr>
          <w:color w:val="000000"/>
          <w:szCs w:val="24"/>
        </w:rPr>
        <w:t>. A notification in writing delivered by hand to the person or parties intended, or delivered at or sent by mail or in the discretion of the commissioner by electronic media to the last address known to the party giving such notice.</w:t>
      </w:r>
    </w:p>
    <w:p w14:paraId="53EF056B" w14:textId="77777777" w:rsidR="0001508F" w:rsidRPr="0001508F" w:rsidRDefault="0001508F" w:rsidP="0001508F">
      <w:pPr>
        <w:tabs>
          <w:tab w:val="left" w:pos="1440"/>
        </w:tabs>
        <w:spacing w:before="100" w:beforeAutospacing="1" w:after="100" w:afterAutospacing="1" w:line="480" w:lineRule="auto"/>
        <w:ind w:firstLine="720"/>
        <w:jc w:val="left"/>
        <w:rPr>
          <w:rFonts w:eastAsia="Calibri"/>
          <w:szCs w:val="24"/>
        </w:rPr>
      </w:pPr>
      <w:r w:rsidRPr="0001508F">
        <w:rPr>
          <w:b/>
          <w:bCs/>
          <w:color w:val="000000"/>
          <w:szCs w:val="24"/>
        </w:rPr>
        <w:t>ZONING RESOLUTION</w:t>
      </w:r>
      <w:r w:rsidRPr="0001508F">
        <w:rPr>
          <w:color w:val="000000"/>
          <w:szCs w:val="24"/>
        </w:rPr>
        <w:t>. The zoning resolution of the city of New York, adopted December fifteenth, nineteen hundred sixty-one, including all amendments thereto.</w:t>
      </w:r>
      <w:r w:rsidRPr="0001508F">
        <w:rPr>
          <w:rFonts w:eastAsia="Calibri"/>
          <w:szCs w:val="24"/>
        </w:rPr>
        <w:t>§ 5. Section 28-102.4.1 of the administrative code of the city of New York, as amended by local law number 126 for the year 2021, is amended to read as follows:</w:t>
      </w:r>
    </w:p>
    <w:p w14:paraId="13AFC71F" w14:textId="77777777" w:rsidR="0001508F" w:rsidRPr="0001508F" w:rsidRDefault="0001508F" w:rsidP="0001508F">
      <w:pPr>
        <w:widowControl w:val="0"/>
        <w:kinsoku w:val="0"/>
        <w:spacing w:before="120" w:after="120"/>
        <w:rPr>
          <w:b/>
          <w:szCs w:val="24"/>
        </w:rPr>
      </w:pPr>
      <w:r w:rsidRPr="0001508F">
        <w:rPr>
          <w:b/>
          <w:szCs w:val="24"/>
        </w:rPr>
        <w:t>§28-102.4.1 [</w:t>
      </w:r>
      <w:r w:rsidRPr="0001508F">
        <w:rPr>
          <w:b/>
          <w:strike/>
          <w:szCs w:val="24"/>
        </w:rPr>
        <w:t>Prior</w:t>
      </w:r>
      <w:r w:rsidRPr="0001508F">
        <w:rPr>
          <w:b/>
          <w:szCs w:val="24"/>
        </w:rPr>
        <w:t xml:space="preserve">] </w:t>
      </w:r>
      <w:r w:rsidRPr="0001508F">
        <w:rPr>
          <w:b/>
          <w:szCs w:val="24"/>
          <w:u w:val="single"/>
        </w:rPr>
        <w:t>Compliance of prior</w:t>
      </w:r>
      <w:r w:rsidRPr="0001508F">
        <w:rPr>
          <w:b/>
          <w:szCs w:val="24"/>
        </w:rPr>
        <w:t xml:space="preserve"> code buildings [</w:t>
      </w:r>
      <w:r w:rsidRPr="0001508F">
        <w:rPr>
          <w:b/>
          <w:strike/>
          <w:szCs w:val="24"/>
        </w:rPr>
        <w:t>must comply</w:t>
      </w:r>
      <w:r w:rsidRPr="0001508F">
        <w:rPr>
          <w:b/>
          <w:szCs w:val="24"/>
        </w:rPr>
        <w:t>] with the applicable retroactive requirements of the 1968 building code and prior codes.</w:t>
      </w:r>
      <w:r w:rsidRPr="0001508F">
        <w:rPr>
          <w:b/>
          <w:bCs/>
          <w:szCs w:val="24"/>
        </w:rPr>
        <w:t xml:space="preserve"> </w:t>
      </w:r>
      <w:r w:rsidRPr="0001508F">
        <w:rPr>
          <w:bCs/>
          <w:szCs w:val="24"/>
        </w:rPr>
        <w:t xml:space="preserve">Prior code buildings must comply with the applicable retroactive requirements of the 1968 building code </w:t>
      </w:r>
      <w:r w:rsidRPr="0001508F">
        <w:rPr>
          <w:bCs/>
          <w:szCs w:val="24"/>
          <w:u w:val="single"/>
        </w:rPr>
        <w:t>and prior codes,</w:t>
      </w:r>
      <w:r w:rsidRPr="0001508F">
        <w:rPr>
          <w:bCs/>
          <w:szCs w:val="24"/>
        </w:rPr>
        <w:t xml:space="preserve"> including those requiring the installation of fire safety and building safety systems and the filing of verifying reports [</w:t>
      </w:r>
      <w:r w:rsidRPr="0001508F">
        <w:rPr>
          <w:bCs/>
          <w:strike/>
          <w:szCs w:val="24"/>
        </w:rPr>
        <w:t>with the department of such installations by the dates</w:t>
      </w:r>
      <w:r w:rsidRPr="0001508F">
        <w:rPr>
          <w:bCs/>
          <w:szCs w:val="24"/>
        </w:rPr>
        <w:t xml:space="preserve"> </w:t>
      </w:r>
      <w:r w:rsidRPr="0001508F">
        <w:rPr>
          <w:bCs/>
          <w:strike/>
          <w:szCs w:val="24"/>
        </w:rPr>
        <w:t xml:space="preserve">specified in section 27-228.5 of the </w:t>
      </w:r>
      <w:r w:rsidRPr="0001508F">
        <w:rPr>
          <w:bCs/>
          <w:i/>
          <w:iCs/>
          <w:strike/>
          <w:szCs w:val="24"/>
        </w:rPr>
        <w:t>administrative code</w:t>
      </w:r>
      <w:r w:rsidRPr="0001508F">
        <w:rPr>
          <w:bCs/>
          <w:strike/>
          <w:szCs w:val="24"/>
        </w:rPr>
        <w:t xml:space="preserve"> or in other applicable provisions of such 1968 building code</w:t>
      </w:r>
      <w:r w:rsidRPr="0001508F">
        <w:rPr>
          <w:bCs/>
          <w:szCs w:val="24"/>
        </w:rPr>
        <w:t>]</w:t>
      </w:r>
      <w:r w:rsidRPr="0001508F">
        <w:rPr>
          <w:iCs/>
          <w:spacing w:val="1"/>
          <w:szCs w:val="24"/>
          <w:u w:val="single"/>
        </w:rPr>
        <w:t>verifying compliance of such installations</w:t>
      </w:r>
      <w:r w:rsidRPr="0001508F">
        <w:rPr>
          <w:iCs/>
          <w:spacing w:val="1"/>
          <w:szCs w:val="24"/>
        </w:rPr>
        <w:t>.</w:t>
      </w:r>
      <w:r w:rsidRPr="0001508F">
        <w:rPr>
          <w:bCs/>
          <w:szCs w:val="24"/>
        </w:rPr>
        <w:t xml:space="preserve"> A violation of such provisions shall be a violation of this code.</w:t>
      </w:r>
    </w:p>
    <w:p w14:paraId="59769D4B" w14:textId="77777777" w:rsidR="0001508F" w:rsidRPr="0001508F" w:rsidRDefault="0001508F" w:rsidP="0001508F">
      <w:pPr>
        <w:spacing w:line="256" w:lineRule="auto"/>
        <w:rPr>
          <w:rFonts w:eastAsia="Calibri"/>
          <w:szCs w:val="24"/>
        </w:rPr>
      </w:pPr>
    </w:p>
    <w:p w14:paraId="367D2674" w14:textId="77777777" w:rsidR="0001508F" w:rsidRPr="0001508F" w:rsidRDefault="0001508F" w:rsidP="0001508F">
      <w:pPr>
        <w:spacing w:line="480" w:lineRule="auto"/>
        <w:ind w:firstLine="720"/>
        <w:rPr>
          <w:rFonts w:eastAsia="Calibri"/>
          <w:szCs w:val="24"/>
        </w:rPr>
      </w:pPr>
      <w:r w:rsidRPr="0001508F">
        <w:rPr>
          <w:rFonts w:eastAsia="Calibri"/>
          <w:szCs w:val="24"/>
        </w:rPr>
        <w:t>§ 6. Section 28-102.4.2 of the administrative code of the city of New York, as amended by local law number 126 for the year 2021, is amended to read as follows:</w:t>
      </w:r>
    </w:p>
    <w:p w14:paraId="7A3912AB" w14:textId="77777777" w:rsidR="0001508F" w:rsidRPr="0001508F" w:rsidRDefault="0001508F" w:rsidP="0001508F">
      <w:pPr>
        <w:widowControl w:val="0"/>
        <w:spacing w:before="120" w:after="120"/>
        <w:rPr>
          <w:spacing w:val="1"/>
          <w:szCs w:val="24"/>
          <w:u w:val="single"/>
        </w:rPr>
      </w:pPr>
      <w:r w:rsidRPr="0001508F">
        <w:rPr>
          <w:rFonts w:eastAsia="Calibri"/>
          <w:b/>
          <w:szCs w:val="24"/>
        </w:rPr>
        <w:t xml:space="preserve">§28-102.4.2 Change in use or occupancy. </w:t>
      </w:r>
      <w:r w:rsidRPr="0001508F">
        <w:rPr>
          <w:rFonts w:eastAsia="Calibri"/>
          <w:spacing w:val="1"/>
          <w:szCs w:val="24"/>
        </w:rPr>
        <w:t>[</w:t>
      </w:r>
      <w:r w:rsidRPr="0001508F">
        <w:rPr>
          <w:rFonts w:eastAsia="Calibri"/>
          <w:strike/>
          <w:spacing w:val="1"/>
          <w:szCs w:val="24"/>
        </w:rPr>
        <w:t>Except as otherwise provided in sections 28-101.4.1, 28-101.4.2, 28-101.4.3 or 28-101.4.4 changes]</w:t>
      </w:r>
      <w:r w:rsidRPr="0001508F">
        <w:rPr>
          <w:rFonts w:eastAsia="Calibri"/>
          <w:spacing w:val="1"/>
          <w:szCs w:val="24"/>
        </w:rPr>
        <w:t xml:space="preserve"> </w:t>
      </w:r>
      <w:r w:rsidRPr="0001508F">
        <w:rPr>
          <w:rFonts w:eastAsia="Calibri"/>
          <w:spacing w:val="1"/>
          <w:szCs w:val="24"/>
          <w:u w:val="single"/>
        </w:rPr>
        <w:t xml:space="preserve">Changes </w:t>
      </w:r>
      <w:r w:rsidRPr="0001508F">
        <w:rPr>
          <w:rFonts w:eastAsia="Calibri"/>
          <w:spacing w:val="1"/>
          <w:szCs w:val="24"/>
        </w:rPr>
        <w:t xml:space="preserve">in the use or occupancy of any </w:t>
      </w:r>
      <w:r w:rsidRPr="0001508F">
        <w:rPr>
          <w:rFonts w:eastAsia="Calibri"/>
          <w:spacing w:val="1"/>
          <w:szCs w:val="24"/>
          <w:u w:val="single"/>
        </w:rPr>
        <w:t>existing</w:t>
      </w:r>
      <w:r w:rsidRPr="0001508F">
        <w:rPr>
          <w:rFonts w:eastAsia="Calibri"/>
          <w:spacing w:val="1"/>
          <w:szCs w:val="24"/>
        </w:rPr>
        <w:t xml:space="preserve"> building or structure [</w:t>
      </w:r>
      <w:r w:rsidRPr="0001508F">
        <w:rPr>
          <w:rFonts w:eastAsia="Calibri"/>
          <w:strike/>
          <w:spacing w:val="1"/>
          <w:szCs w:val="24"/>
        </w:rPr>
        <w:t xml:space="preserve"> made after July 1, 2008 shall comply with the provisions of this code. Any changes made in the use or occupancy of a building or structure not in compliance with this code shall be prohibited and shall be a violation of this code. After a change in use or occupancy has been made in a building, the re-establishment of a prior use or occupancy that would not be lawful in a new building of the same construction class shall be prohibited unless and until all the applicable provisions of this code and other applicable laws and rules for such reestablished use or occupancy shall have been complied with. A change from a use prohibited by the provisions of this code, but which was permitted prior to July 1, 2008, to another use prohibited by the provisions of this code shall be deemed a violation of this code</w:t>
      </w:r>
      <w:r w:rsidRPr="0001508F">
        <w:rPr>
          <w:rFonts w:eastAsia="Calibri"/>
          <w:spacing w:val="1"/>
          <w:szCs w:val="24"/>
          <w:u w:val="single"/>
        </w:rPr>
        <w:t xml:space="preserve"> shall comply with the provisions of this code. </w:t>
      </w:r>
      <w:r w:rsidRPr="0001508F">
        <w:rPr>
          <w:spacing w:val="1"/>
          <w:szCs w:val="24"/>
          <w:u w:val="single"/>
        </w:rPr>
        <w:t>A violation of such provisions shall be a violation of this code</w:t>
      </w:r>
      <w:r w:rsidRPr="0001508F">
        <w:rPr>
          <w:spacing w:val="1"/>
          <w:szCs w:val="24"/>
        </w:rPr>
        <w:t>.</w:t>
      </w:r>
    </w:p>
    <w:p w14:paraId="7A8E24DA" w14:textId="77777777" w:rsidR="0001508F" w:rsidRPr="0001508F" w:rsidRDefault="0001508F" w:rsidP="0001508F">
      <w:pPr>
        <w:spacing w:line="256" w:lineRule="auto"/>
        <w:rPr>
          <w:rFonts w:eastAsia="Calibri"/>
          <w:szCs w:val="24"/>
        </w:rPr>
      </w:pPr>
    </w:p>
    <w:p w14:paraId="3A28AD6A" w14:textId="77777777" w:rsidR="0001508F" w:rsidRPr="0001508F" w:rsidRDefault="0001508F" w:rsidP="0001508F">
      <w:pPr>
        <w:spacing w:line="480" w:lineRule="auto"/>
        <w:ind w:firstLine="720"/>
        <w:rPr>
          <w:rFonts w:eastAsia="Calibri"/>
          <w:szCs w:val="24"/>
        </w:rPr>
      </w:pPr>
      <w:r w:rsidRPr="0001508F">
        <w:rPr>
          <w:rFonts w:eastAsia="Calibri"/>
          <w:szCs w:val="24"/>
        </w:rPr>
        <w:t>§ 7. Section 28-102.4.3 of the administrative code of the city of New York, as amended by local law number 126 for the year 2021, is amended to read as follows:</w:t>
      </w:r>
    </w:p>
    <w:p w14:paraId="45919CD7" w14:textId="77777777" w:rsidR="0001508F" w:rsidRPr="0001508F" w:rsidRDefault="0001508F" w:rsidP="0001508F">
      <w:pPr>
        <w:spacing w:line="256" w:lineRule="auto"/>
        <w:rPr>
          <w:rFonts w:eastAsia="Calibri"/>
          <w:szCs w:val="24"/>
        </w:rPr>
      </w:pPr>
    </w:p>
    <w:p w14:paraId="7E3ABC11" w14:textId="77777777" w:rsidR="0001508F" w:rsidRPr="0001508F" w:rsidRDefault="0001508F" w:rsidP="0001508F">
      <w:pPr>
        <w:widowControl w:val="0"/>
        <w:kinsoku w:val="0"/>
        <w:spacing w:before="120" w:after="120"/>
        <w:ind w:left="360"/>
        <w:rPr>
          <w:spacing w:val="1"/>
          <w:szCs w:val="24"/>
          <w:u w:val="single"/>
        </w:rPr>
      </w:pPr>
      <w:r w:rsidRPr="0001508F">
        <w:rPr>
          <w:b/>
          <w:szCs w:val="24"/>
        </w:rPr>
        <w:t>§28-102.4.3 Alteration of [</w:t>
      </w:r>
      <w:r w:rsidRPr="0001508F">
        <w:rPr>
          <w:b/>
          <w:strike/>
          <w:szCs w:val="24"/>
        </w:rPr>
        <w:t>prior code</w:t>
      </w:r>
      <w:r w:rsidRPr="0001508F">
        <w:rPr>
          <w:b/>
          <w:szCs w:val="24"/>
        </w:rPr>
        <w:t xml:space="preserve">] </w:t>
      </w:r>
      <w:r w:rsidRPr="0001508F">
        <w:rPr>
          <w:b/>
          <w:szCs w:val="24"/>
          <w:u w:val="single"/>
        </w:rPr>
        <w:t>existing</w:t>
      </w:r>
      <w:r w:rsidRPr="0001508F">
        <w:rPr>
          <w:b/>
          <w:szCs w:val="24"/>
        </w:rPr>
        <w:t xml:space="preserve"> buildings.</w:t>
      </w:r>
      <w:r w:rsidRPr="0001508F">
        <w:rPr>
          <w:b/>
          <w:bCs/>
          <w:szCs w:val="24"/>
        </w:rPr>
        <w:t xml:space="preserve"> [</w:t>
      </w:r>
      <w:r w:rsidRPr="0001508F">
        <w:rPr>
          <w:bCs/>
          <w:strike/>
          <w:szCs w:val="24"/>
        </w:rPr>
        <w:t xml:space="preserve">Except as otherwise provided in sections 28-101.4.1, 28-101.4.2, 28-101.4.3 and 28-101.4.4, prior code buildings altered after July 1, 2008] </w:t>
      </w:r>
      <w:r w:rsidRPr="0001508F">
        <w:rPr>
          <w:bCs/>
          <w:szCs w:val="24"/>
          <w:u w:val="single"/>
        </w:rPr>
        <w:t>Alteration of existing buildings, including prior code buildings,</w:t>
      </w:r>
      <w:r w:rsidRPr="0001508F">
        <w:rPr>
          <w:bCs/>
          <w:szCs w:val="24"/>
        </w:rPr>
        <w:t xml:space="preserve"> shall comply with the provisions of this code. [</w:t>
      </w:r>
      <w:r w:rsidRPr="0001508F">
        <w:rPr>
          <w:bCs/>
          <w:strike/>
          <w:szCs w:val="24"/>
        </w:rPr>
        <w:t xml:space="preserve"> In accordance with subdivision eleven of section three of the New York state multiple dwelling law and article 4 of subchapter 1 of the 1968 building code, at the option of the owner, multiple dwellings erected prior to December 6, 1969 may be altered and buildings erected prior to December 6, 1969 may be converted to multiple dwellings in accordance with applicable provisions of the New York state multiple dwelling law and the building laws and regulations in effect prior to December 6, 1968, provided the general safety and public welfare are not thereby endangered. At a minimum, the application of sections 28-101.4.3, 28-101.4.4 and 28-101.4.5 to any such alteration shall be deemed necessary to protect the general safety and public welfare.</w:t>
      </w:r>
      <w:r w:rsidRPr="0001508F">
        <w:rPr>
          <w:bCs/>
          <w:szCs w:val="24"/>
        </w:rPr>
        <w:t>]</w:t>
      </w:r>
      <w:r w:rsidRPr="0001508F">
        <w:rPr>
          <w:b/>
          <w:szCs w:val="24"/>
        </w:rPr>
        <w:t xml:space="preserve"> </w:t>
      </w:r>
    </w:p>
    <w:p w14:paraId="2E4DE1D2" w14:textId="77777777" w:rsidR="0001508F" w:rsidRPr="0001508F" w:rsidRDefault="0001508F" w:rsidP="0001508F">
      <w:pPr>
        <w:widowControl w:val="0"/>
        <w:kinsoku w:val="0"/>
        <w:spacing w:before="120" w:after="120"/>
        <w:ind w:left="360"/>
        <w:rPr>
          <w:bCs/>
          <w:szCs w:val="24"/>
          <w:u w:val="single"/>
        </w:rPr>
      </w:pPr>
    </w:p>
    <w:p w14:paraId="7CDD02B0" w14:textId="77777777" w:rsidR="0001508F" w:rsidRPr="0001508F" w:rsidRDefault="0001508F" w:rsidP="0001508F">
      <w:pPr>
        <w:spacing w:line="480" w:lineRule="auto"/>
        <w:ind w:firstLine="720"/>
        <w:rPr>
          <w:rFonts w:eastAsia="Calibri"/>
          <w:szCs w:val="24"/>
        </w:rPr>
      </w:pPr>
      <w:r w:rsidRPr="0001508F">
        <w:rPr>
          <w:rFonts w:eastAsia="Calibri"/>
          <w:szCs w:val="24"/>
        </w:rPr>
        <w:t>§ 8. Section 28-102.4.4 of the administrative code of the city of New York, as amended by local law number 126 for the year 2021, is amended to read as follows:</w:t>
      </w:r>
    </w:p>
    <w:p w14:paraId="45BD0C21" w14:textId="77777777" w:rsidR="0001508F" w:rsidRPr="0001508F" w:rsidRDefault="0001508F" w:rsidP="0001508F">
      <w:pPr>
        <w:widowControl w:val="0"/>
        <w:spacing w:before="120" w:after="120"/>
        <w:rPr>
          <w:iCs/>
          <w:spacing w:val="1"/>
          <w:szCs w:val="24"/>
        </w:rPr>
      </w:pPr>
      <w:r w:rsidRPr="0001508F">
        <w:rPr>
          <w:b/>
          <w:szCs w:val="24"/>
        </w:rPr>
        <w:t xml:space="preserve">§28-102.4.4 </w:t>
      </w:r>
      <w:r w:rsidRPr="0001508F">
        <w:rPr>
          <w:b/>
          <w:spacing w:val="1"/>
          <w:szCs w:val="24"/>
        </w:rPr>
        <w:t>Continuation of unlawful use or occupancy.</w:t>
      </w:r>
      <w:r w:rsidRPr="0001508F">
        <w:rPr>
          <w:spacing w:val="1"/>
          <w:szCs w:val="24"/>
        </w:rPr>
        <w:t xml:space="preserve"> The continuation of the unlawful use or occupancy of a building or structure contrary to the provisions of this code, [</w:t>
      </w:r>
      <w:r w:rsidRPr="0001508F">
        <w:rPr>
          <w:strike/>
          <w:spacing w:val="1"/>
          <w:szCs w:val="24"/>
        </w:rPr>
        <w:t>or contrary to</w:t>
      </w:r>
      <w:r w:rsidRPr="0001508F">
        <w:rPr>
          <w:spacing w:val="1"/>
          <w:szCs w:val="24"/>
        </w:rPr>
        <w:t>]</w:t>
      </w:r>
      <w:r w:rsidRPr="0001508F">
        <w:rPr>
          <w:spacing w:val="1"/>
          <w:szCs w:val="24"/>
          <w:u w:val="single"/>
        </w:rPr>
        <w:t xml:space="preserve"> </w:t>
      </w:r>
      <w:r w:rsidRPr="0001508F">
        <w:rPr>
          <w:iCs/>
          <w:spacing w:val="1"/>
          <w:szCs w:val="24"/>
        </w:rPr>
        <w:t>the provisions of prior codes or other applicable law or rule, shall be a violation of this code.</w:t>
      </w:r>
    </w:p>
    <w:p w14:paraId="008720F0" w14:textId="77777777" w:rsidR="0001508F" w:rsidRPr="0001508F" w:rsidRDefault="0001508F" w:rsidP="0001508F">
      <w:pPr>
        <w:spacing w:line="480" w:lineRule="auto"/>
        <w:ind w:firstLine="720"/>
        <w:rPr>
          <w:rFonts w:eastAsia="Calibri"/>
          <w:szCs w:val="24"/>
        </w:rPr>
      </w:pPr>
      <w:r w:rsidRPr="0001508F">
        <w:rPr>
          <w:rFonts w:eastAsia="Calibri"/>
          <w:szCs w:val="24"/>
        </w:rPr>
        <w:t>§ 9. Section 28-103.16 of the administrative code of the city of New York, as amended by local law number 126 for the year 2021, is amended to read as follows:</w:t>
      </w:r>
    </w:p>
    <w:p w14:paraId="5B074D96" w14:textId="77777777" w:rsidR="0001508F" w:rsidRPr="0001508F" w:rsidRDefault="0001508F" w:rsidP="0001508F">
      <w:pPr>
        <w:widowControl w:val="0"/>
        <w:spacing w:before="120" w:after="120"/>
        <w:rPr>
          <w:spacing w:val="1"/>
          <w:szCs w:val="24"/>
        </w:rPr>
      </w:pPr>
      <w:r w:rsidRPr="0001508F">
        <w:rPr>
          <w:b/>
          <w:iCs/>
          <w:szCs w:val="24"/>
        </w:rPr>
        <w:t>§28-103.16 Inspections of existing buildings, structures, signs, service equipment and construction machinery and equipment.</w:t>
      </w:r>
      <w:r w:rsidRPr="0001508F">
        <w:rPr>
          <w:b/>
          <w:bCs/>
          <w:iCs/>
          <w:w w:val="110"/>
          <w:szCs w:val="24"/>
        </w:rPr>
        <w:t xml:space="preserve"> </w:t>
      </w:r>
      <w:r w:rsidRPr="0001508F">
        <w:rPr>
          <w:iCs/>
          <w:spacing w:val="1"/>
          <w:szCs w:val="24"/>
        </w:rPr>
        <w:t>In addition to other required inspections, the commissioner may make or require inspections of existing buildings, structures, signs, service equipment installations and con</w:t>
      </w:r>
      <w:r w:rsidRPr="0001508F">
        <w:rPr>
          <w:iCs/>
          <w:spacing w:val="1"/>
          <w:szCs w:val="24"/>
        </w:rPr>
        <w:softHyphen/>
        <w:t>struction machinery and equipment to ascertain compliance with the provisions of this code and</w:t>
      </w:r>
      <w:r w:rsidRPr="0001508F">
        <w:rPr>
          <w:spacing w:val="1"/>
          <w:szCs w:val="24"/>
        </w:rPr>
        <w:t xml:space="preserve"> other laws that are enforced by the department. Such inspections may be made on behalf of the department by officers and employees of the department and other city departments and governmental agencies; and by approved agencies, special inspectors or other persons when the commissioner is satisfied as to their qualifications and reliability. The commissioner may accept inspection and test reports from persons authorized by this code or by the commissioner to perform such inspections. Such reports shall be filed with the department.</w:t>
      </w:r>
    </w:p>
    <w:p w14:paraId="42384863" w14:textId="77777777" w:rsidR="0001508F" w:rsidRPr="0001508F" w:rsidRDefault="0001508F" w:rsidP="0001508F">
      <w:pPr>
        <w:spacing w:line="480" w:lineRule="auto"/>
        <w:ind w:firstLine="720"/>
        <w:rPr>
          <w:rFonts w:eastAsia="Calibri"/>
          <w:szCs w:val="24"/>
        </w:rPr>
      </w:pPr>
      <w:r w:rsidRPr="0001508F">
        <w:rPr>
          <w:rFonts w:eastAsia="Calibri"/>
          <w:szCs w:val="24"/>
        </w:rPr>
        <w:t>§ 10. Section 28-104.6 of the administrative code of the city of New York, as amended by local law number 128 for the year 2024, is amended to read as follows:</w:t>
      </w:r>
    </w:p>
    <w:p w14:paraId="043DDB8E" w14:textId="77777777" w:rsidR="0001508F" w:rsidRPr="0001508F" w:rsidRDefault="0001508F" w:rsidP="0001508F">
      <w:pPr>
        <w:spacing w:before="100" w:beforeAutospacing="1" w:after="100" w:afterAutospacing="1"/>
        <w:jc w:val="left"/>
        <w:rPr>
          <w:rFonts w:ascii="Times" w:hAnsi="Times"/>
          <w:color w:val="000000"/>
          <w:szCs w:val="24"/>
        </w:rPr>
      </w:pPr>
      <w:r w:rsidRPr="0001508F">
        <w:rPr>
          <w:rFonts w:ascii="Times" w:hAnsi="Times"/>
          <w:b/>
          <w:bCs/>
          <w:color w:val="000000"/>
          <w:szCs w:val="24"/>
        </w:rPr>
        <w:t>§ 28-104.6 Applicant.</w:t>
      </w:r>
      <w:r w:rsidRPr="0001508F">
        <w:rPr>
          <w:rFonts w:ascii="Times" w:hAnsi="Times"/>
          <w:color w:val="000000"/>
          <w:szCs w:val="24"/>
        </w:rPr>
        <w:t xml:space="preserve"> The applicant for approval of construction documents shall be the registered design professional who prepared or supervised the preparation of the construction documents on behalf of the owner.</w:t>
      </w:r>
    </w:p>
    <w:p w14:paraId="541C850A" w14:textId="77777777" w:rsidR="0001508F" w:rsidRPr="0001508F" w:rsidRDefault="0001508F" w:rsidP="0001508F">
      <w:pPr>
        <w:spacing w:before="100" w:beforeAutospacing="1" w:after="100" w:afterAutospacing="1"/>
        <w:jc w:val="left"/>
        <w:rPr>
          <w:rFonts w:ascii="Times" w:hAnsi="Times"/>
          <w:color w:val="000000"/>
          <w:szCs w:val="24"/>
        </w:rPr>
      </w:pPr>
      <w:r w:rsidRPr="0001508F">
        <w:rPr>
          <w:rFonts w:ascii="Times" w:hAnsi="Times"/>
          <w:color w:val="000000"/>
          <w:szCs w:val="24"/>
        </w:rPr>
        <w:t>    Exception: The applicant may be other than a registered design professional for:</w:t>
      </w:r>
    </w:p>
    <w:p w14:paraId="6528C226" w14:textId="77777777" w:rsidR="0001508F" w:rsidRPr="0001508F" w:rsidRDefault="0001508F" w:rsidP="0001508F">
      <w:pPr>
        <w:spacing w:before="100" w:beforeAutospacing="1" w:after="100" w:afterAutospacing="1"/>
        <w:jc w:val="left"/>
        <w:rPr>
          <w:rFonts w:ascii="Times" w:hAnsi="Times"/>
          <w:color w:val="000000"/>
          <w:szCs w:val="24"/>
        </w:rPr>
      </w:pPr>
      <w:r w:rsidRPr="0001508F">
        <w:rPr>
          <w:rFonts w:ascii="Times" w:hAnsi="Times"/>
          <w:color w:val="000000"/>
          <w:szCs w:val="24"/>
        </w:rPr>
        <w:t xml:space="preserve">    1. Limited </w:t>
      </w:r>
      <w:r w:rsidRPr="0001508F">
        <w:rPr>
          <w:szCs w:val="24"/>
          <w:u w:val="single"/>
        </w:rPr>
        <w:t xml:space="preserve">elevator alterations, limited home improvement alterations, limited </w:t>
      </w:r>
      <w:r w:rsidRPr="0001508F">
        <w:rPr>
          <w:rFonts w:ascii="Times" w:hAnsi="Times"/>
          <w:color w:val="000000"/>
          <w:szCs w:val="24"/>
        </w:rPr>
        <w:t xml:space="preserve">oil-burning appliance alterations, limited plumbing alterations, </w:t>
      </w:r>
      <w:r w:rsidRPr="0001508F">
        <w:rPr>
          <w:szCs w:val="24"/>
          <w:u w:val="single"/>
        </w:rPr>
        <w:t xml:space="preserve">limited reroofing alterations, </w:t>
      </w:r>
      <w:r w:rsidRPr="0001508F">
        <w:rPr>
          <w:rFonts w:ascii="Times" w:hAnsi="Times"/>
          <w:color w:val="000000"/>
          <w:szCs w:val="24"/>
        </w:rPr>
        <w:t>limited sprinkler alterations, [</w:t>
      </w:r>
      <w:r w:rsidRPr="0001508F">
        <w:rPr>
          <w:rFonts w:ascii="Times" w:hAnsi="Times"/>
          <w:strike/>
          <w:color w:val="000000"/>
          <w:szCs w:val="24"/>
        </w:rPr>
        <w:t>and</w:t>
      </w:r>
      <w:r w:rsidRPr="0001508F">
        <w:rPr>
          <w:rFonts w:ascii="Times" w:hAnsi="Times"/>
          <w:color w:val="000000"/>
          <w:szCs w:val="24"/>
        </w:rPr>
        <w:t>] limited standpipe alterations</w:t>
      </w:r>
      <w:r w:rsidRPr="0001508F">
        <w:rPr>
          <w:szCs w:val="24"/>
          <w:u w:val="single"/>
        </w:rPr>
        <w:t xml:space="preserve"> and limited window replacement alterations</w:t>
      </w:r>
      <w:r w:rsidRPr="0001508F">
        <w:rPr>
          <w:rFonts w:ascii="Times" w:hAnsi="Times"/>
          <w:color w:val="000000"/>
          <w:szCs w:val="24"/>
        </w:rPr>
        <w:t xml:space="preserve"> (limited alteration applications)[, where the applicant is licensed to perform such work pursuant to this code];</w:t>
      </w:r>
    </w:p>
    <w:p w14:paraId="67AD0CC3" w14:textId="77777777" w:rsidR="0001508F" w:rsidRPr="0001508F" w:rsidRDefault="0001508F" w:rsidP="0001508F">
      <w:pPr>
        <w:spacing w:before="100" w:beforeAutospacing="1" w:after="100" w:afterAutospacing="1"/>
        <w:jc w:val="left"/>
        <w:rPr>
          <w:rFonts w:ascii="Times" w:hAnsi="Times"/>
          <w:color w:val="000000"/>
          <w:szCs w:val="24"/>
        </w:rPr>
      </w:pPr>
      <w:r w:rsidRPr="0001508F">
        <w:rPr>
          <w:rFonts w:ascii="Times" w:hAnsi="Times"/>
          <w:color w:val="000000"/>
          <w:szCs w:val="24"/>
        </w:rPr>
        <w:t>    2. Demolition applications other than those specified in section 3306.5 of the New York city building code, where the applicant is the demolition contractor performing such demolition. In such cases, the commissioner may require structural plans designed by a registered design professional to address any critical structural, sequencing or site safety items;</w:t>
      </w:r>
    </w:p>
    <w:p w14:paraId="74CF7053" w14:textId="77777777" w:rsidR="0001508F" w:rsidRPr="0001508F" w:rsidRDefault="0001508F" w:rsidP="0001508F">
      <w:pPr>
        <w:spacing w:before="100" w:beforeAutospacing="1" w:after="100" w:afterAutospacing="1"/>
        <w:jc w:val="left"/>
        <w:rPr>
          <w:rFonts w:ascii="Times" w:hAnsi="Times"/>
          <w:color w:val="000000"/>
          <w:szCs w:val="24"/>
        </w:rPr>
      </w:pPr>
      <w:r w:rsidRPr="0001508F">
        <w:rPr>
          <w:rFonts w:ascii="Times" w:hAnsi="Times"/>
          <w:color w:val="000000"/>
          <w:szCs w:val="24"/>
        </w:rPr>
        <w:t>    3. Elevator applications;</w:t>
      </w:r>
    </w:p>
    <w:p w14:paraId="55151809" w14:textId="77777777" w:rsidR="0001508F" w:rsidRPr="0001508F" w:rsidRDefault="0001508F" w:rsidP="0001508F">
      <w:pPr>
        <w:spacing w:before="100" w:beforeAutospacing="1" w:after="100" w:afterAutospacing="1"/>
        <w:jc w:val="left"/>
        <w:rPr>
          <w:rFonts w:ascii="Times" w:hAnsi="Times"/>
          <w:color w:val="000000"/>
          <w:szCs w:val="24"/>
        </w:rPr>
      </w:pPr>
      <w:r w:rsidRPr="0001508F">
        <w:rPr>
          <w:rFonts w:ascii="Times" w:hAnsi="Times"/>
          <w:color w:val="000000"/>
          <w:szCs w:val="24"/>
        </w:rPr>
        <w:t>    4. Applications for work falling within the practice of landscape architecture as defined by the New York state education law, including but not limited to landscaping and vegetation plans, tree protection plans, erosion and sedimentation plans, grading and drainage plans, curb cuts, pavement plans, and site plans for urban plazas and parking lots, where the applicant is a landscape architect. Landscape architects shall not file plans for stormwater management and plumbing systems;</w:t>
      </w:r>
    </w:p>
    <w:p w14:paraId="25480316" w14:textId="77777777" w:rsidR="0001508F" w:rsidRPr="0001508F" w:rsidRDefault="0001508F" w:rsidP="0001508F">
      <w:pPr>
        <w:spacing w:before="100" w:beforeAutospacing="1" w:after="100" w:afterAutospacing="1"/>
        <w:jc w:val="left"/>
        <w:rPr>
          <w:rFonts w:ascii="Times" w:hAnsi="Times"/>
          <w:color w:val="000000"/>
          <w:szCs w:val="24"/>
        </w:rPr>
      </w:pPr>
      <w:r w:rsidRPr="0001508F">
        <w:rPr>
          <w:rFonts w:ascii="Times" w:hAnsi="Times"/>
          <w:color w:val="000000"/>
          <w:szCs w:val="24"/>
        </w:rPr>
        <w:t>    5. Other categories of work consistent with rules promulgated by the commissioner.</w:t>
      </w:r>
    </w:p>
    <w:p w14:paraId="56AB3975" w14:textId="77777777" w:rsidR="0001508F" w:rsidRPr="0001508F" w:rsidRDefault="0001508F" w:rsidP="0001508F">
      <w:pPr>
        <w:widowControl w:val="0"/>
        <w:spacing w:before="120" w:after="120"/>
        <w:rPr>
          <w:rFonts w:eastAsia="Calibri"/>
          <w:szCs w:val="24"/>
          <w:u w:val="single"/>
        </w:rPr>
      </w:pPr>
    </w:p>
    <w:p w14:paraId="01C82EE0" w14:textId="77777777" w:rsidR="0001508F" w:rsidRPr="0001508F" w:rsidRDefault="0001508F" w:rsidP="0001508F">
      <w:pPr>
        <w:spacing w:after="160" w:line="480" w:lineRule="auto"/>
        <w:ind w:firstLine="720"/>
        <w:rPr>
          <w:rFonts w:eastAsia="Calibri"/>
          <w:szCs w:val="24"/>
        </w:rPr>
      </w:pPr>
      <w:r w:rsidRPr="0001508F">
        <w:rPr>
          <w:rFonts w:eastAsia="Calibri"/>
          <w:szCs w:val="24"/>
        </w:rPr>
        <w:t>§ 11. Section 28-104.7.13 of the administrative code of the city of New York, as amended by local law number 126 for the year 2021, is amended to read as follows:</w:t>
      </w:r>
    </w:p>
    <w:p w14:paraId="77BAF407" w14:textId="77777777" w:rsidR="0001508F" w:rsidRPr="0001508F" w:rsidRDefault="0001508F" w:rsidP="0001508F">
      <w:pPr>
        <w:widowControl w:val="0"/>
        <w:kinsoku w:val="0"/>
        <w:spacing w:before="120" w:after="120"/>
        <w:rPr>
          <w:spacing w:val="1"/>
          <w:szCs w:val="24"/>
          <w:u w:val="single"/>
        </w:rPr>
      </w:pPr>
      <w:r w:rsidRPr="0001508F">
        <w:rPr>
          <w:b/>
          <w:szCs w:val="24"/>
        </w:rPr>
        <w:t xml:space="preserve">§ 28-104.7.13 Identification of work involving </w:t>
      </w:r>
      <w:r w:rsidRPr="0001508F">
        <w:rPr>
          <w:b/>
          <w:szCs w:val="24"/>
          <w:u w:val="single"/>
        </w:rPr>
        <w:t>relocation, moving or</w:t>
      </w:r>
      <w:r w:rsidRPr="0001508F">
        <w:rPr>
          <w:b/>
          <w:szCs w:val="24"/>
        </w:rPr>
        <w:t xml:space="preserve"> raising [</w:t>
      </w:r>
      <w:r w:rsidRPr="0001508F">
        <w:rPr>
          <w:b/>
          <w:strike/>
          <w:szCs w:val="24"/>
        </w:rPr>
        <w:t>or moving</w:t>
      </w:r>
      <w:r w:rsidRPr="0001508F">
        <w:rPr>
          <w:b/>
          <w:szCs w:val="24"/>
        </w:rPr>
        <w:t xml:space="preserve">] </w:t>
      </w:r>
      <w:r w:rsidRPr="0001508F">
        <w:rPr>
          <w:b/>
          <w:szCs w:val="24"/>
          <w:u w:val="single"/>
        </w:rPr>
        <w:t xml:space="preserve">of </w:t>
      </w:r>
      <w:r w:rsidRPr="0001508F">
        <w:rPr>
          <w:b/>
          <w:szCs w:val="24"/>
        </w:rPr>
        <w:t>a building.</w:t>
      </w:r>
      <w:r w:rsidRPr="0001508F">
        <w:rPr>
          <w:szCs w:val="24"/>
        </w:rPr>
        <w:t xml:space="preserve"> </w:t>
      </w:r>
      <w:r w:rsidRPr="0001508F">
        <w:rPr>
          <w:spacing w:val="1"/>
          <w:szCs w:val="24"/>
        </w:rPr>
        <w:t xml:space="preserve">Where </w:t>
      </w:r>
      <w:r w:rsidRPr="0001508F">
        <w:rPr>
          <w:spacing w:val="1"/>
          <w:szCs w:val="24"/>
          <w:u w:val="single"/>
        </w:rPr>
        <w:t xml:space="preserve">an existing building is being relocated, moved or </w:t>
      </w:r>
      <w:r w:rsidRPr="0001508F">
        <w:rPr>
          <w:spacing w:val="1"/>
          <w:szCs w:val="24"/>
        </w:rPr>
        <w:t>the lowest above-grade floor or the lowest subgrade floor of a building is to be raised, lifted or elevated[</w:t>
      </w:r>
      <w:r w:rsidRPr="0001508F">
        <w:rPr>
          <w:strike/>
          <w:spacing w:val="1"/>
          <w:szCs w:val="24"/>
        </w:rPr>
        <w:t xml:space="preserve"> or moved</w:t>
      </w:r>
      <w:r w:rsidRPr="0001508F">
        <w:rPr>
          <w:spacing w:val="1"/>
          <w:szCs w:val="24"/>
        </w:rPr>
        <w:t xml:space="preserve">], such work shall be listed on the title sheet of the construction documents as subject to special inspection. </w:t>
      </w:r>
    </w:p>
    <w:p w14:paraId="5A30BAA3" w14:textId="77777777" w:rsidR="0001508F" w:rsidRPr="0001508F" w:rsidRDefault="0001508F" w:rsidP="0001508F">
      <w:pPr>
        <w:widowControl w:val="0"/>
        <w:spacing w:before="120" w:after="120"/>
        <w:rPr>
          <w:rFonts w:eastAsia="Calibri"/>
          <w:szCs w:val="24"/>
          <w:u w:val="single"/>
        </w:rPr>
      </w:pPr>
    </w:p>
    <w:p w14:paraId="1A74E6FE" w14:textId="77777777" w:rsidR="0001508F" w:rsidRPr="0001508F" w:rsidRDefault="0001508F" w:rsidP="0001508F">
      <w:pPr>
        <w:spacing w:after="160" w:line="480" w:lineRule="auto"/>
        <w:ind w:firstLine="720"/>
        <w:rPr>
          <w:rFonts w:eastAsia="Calibri"/>
          <w:szCs w:val="24"/>
        </w:rPr>
      </w:pPr>
      <w:r w:rsidRPr="0001508F">
        <w:rPr>
          <w:rFonts w:eastAsia="Calibri"/>
          <w:szCs w:val="24"/>
        </w:rPr>
        <w:t>§ 12. Section 28-104.7.16 of the administrative code of the city of New York, as amended by local law number 126 for the year 2021, is amended to read as follows:</w:t>
      </w:r>
    </w:p>
    <w:p w14:paraId="11CE67B5" w14:textId="77777777" w:rsidR="0001508F" w:rsidRPr="0001508F" w:rsidRDefault="0001508F" w:rsidP="0001508F">
      <w:pPr>
        <w:widowControl w:val="0"/>
        <w:kinsoku w:val="0"/>
        <w:spacing w:before="120" w:after="120"/>
        <w:rPr>
          <w:szCs w:val="24"/>
        </w:rPr>
      </w:pPr>
      <w:r w:rsidRPr="0001508F">
        <w:rPr>
          <w:b/>
          <w:szCs w:val="24"/>
        </w:rPr>
        <w:t>§ 28-104.7.16 Tenant protection plan.</w:t>
      </w:r>
      <w:r w:rsidRPr="0001508F">
        <w:rPr>
          <w:szCs w:val="24"/>
        </w:rPr>
        <w:t xml:space="preserve"> The title sheet of construction documents shall contain a statement requiring a tenant protection plan be submitted in accordance with the requirements of [</w:t>
      </w:r>
      <w:r w:rsidRPr="0001508F">
        <w:rPr>
          <w:strike/>
          <w:szCs w:val="24"/>
        </w:rPr>
        <w:t>article 120</w:t>
      </w:r>
      <w:r w:rsidRPr="0001508F">
        <w:rPr>
          <w:szCs w:val="24"/>
        </w:rPr>
        <w:t xml:space="preserve">] </w:t>
      </w:r>
      <w:r w:rsidRPr="0001508F">
        <w:rPr>
          <w:szCs w:val="24"/>
          <w:u w:val="single"/>
        </w:rPr>
        <w:t>chapter 15 of the New York city existing building code</w:t>
      </w:r>
      <w:r w:rsidRPr="0001508F">
        <w:rPr>
          <w:szCs w:val="24"/>
        </w:rPr>
        <w:t xml:space="preserve"> prior to the issuance of a permit for alteration, construction or partial demolition work in a building containing one or more occupied dwelling units.</w:t>
      </w:r>
    </w:p>
    <w:p w14:paraId="366D3E88" w14:textId="77777777" w:rsidR="0001508F" w:rsidRPr="0001508F" w:rsidRDefault="0001508F" w:rsidP="0001508F">
      <w:pPr>
        <w:spacing w:after="160" w:line="480" w:lineRule="auto"/>
        <w:ind w:firstLine="720"/>
        <w:rPr>
          <w:rFonts w:eastAsia="Calibri"/>
          <w:szCs w:val="24"/>
        </w:rPr>
      </w:pPr>
      <w:r w:rsidRPr="0001508F">
        <w:rPr>
          <w:rFonts w:eastAsia="Calibri"/>
          <w:szCs w:val="24"/>
        </w:rPr>
        <w:t>§ 13. Section 28-105.2 of the administrative code of the city of New York, as amended by local law number 77 for the year 2023, is amended to read as follows:</w:t>
      </w:r>
    </w:p>
    <w:p w14:paraId="1804AE97" w14:textId="77777777" w:rsidR="0001508F" w:rsidRPr="0001508F" w:rsidRDefault="0001508F" w:rsidP="0001508F">
      <w:pPr>
        <w:spacing w:before="100" w:beforeAutospacing="1" w:after="100" w:afterAutospacing="1"/>
        <w:jc w:val="left"/>
        <w:rPr>
          <w:rFonts w:ascii="Times" w:hAnsi="Times"/>
          <w:color w:val="000000"/>
          <w:szCs w:val="24"/>
        </w:rPr>
      </w:pPr>
      <w:r w:rsidRPr="0001508F">
        <w:rPr>
          <w:rFonts w:ascii="Times" w:hAnsi="Times"/>
          <w:b/>
          <w:bCs/>
          <w:color w:val="000000"/>
          <w:szCs w:val="24"/>
        </w:rPr>
        <w:t xml:space="preserve">§ 28-105.2 Classification of work permits. </w:t>
      </w:r>
      <w:r w:rsidRPr="0001508F">
        <w:rPr>
          <w:rFonts w:ascii="Times" w:hAnsi="Times"/>
          <w:color w:val="000000"/>
          <w:szCs w:val="24"/>
        </w:rPr>
        <w:t>For the purposes of this code, work permits shall be classified as follows:</w:t>
      </w:r>
    </w:p>
    <w:p w14:paraId="06AA9FC4" w14:textId="77777777" w:rsidR="0001508F" w:rsidRPr="0001508F" w:rsidRDefault="0001508F" w:rsidP="0001508F">
      <w:pPr>
        <w:spacing w:before="100" w:beforeAutospacing="1" w:after="100" w:afterAutospacing="1"/>
        <w:jc w:val="left"/>
        <w:rPr>
          <w:rFonts w:ascii="Times" w:hAnsi="Times"/>
          <w:color w:val="000000"/>
          <w:szCs w:val="24"/>
        </w:rPr>
      </w:pPr>
      <w:r w:rsidRPr="0001508F">
        <w:rPr>
          <w:rFonts w:ascii="Times" w:hAnsi="Times"/>
          <w:color w:val="000000"/>
          <w:szCs w:val="24"/>
        </w:rPr>
        <w:t>    1. New building permits: for the construction of new buildings, including as provided for in section 28- 101.4.5.</w:t>
      </w:r>
    </w:p>
    <w:p w14:paraId="5ABFCB90" w14:textId="77777777" w:rsidR="0001508F" w:rsidRPr="0001508F" w:rsidRDefault="0001508F" w:rsidP="0001508F">
      <w:pPr>
        <w:spacing w:before="100" w:beforeAutospacing="1" w:after="100" w:afterAutospacing="1"/>
        <w:jc w:val="left"/>
        <w:rPr>
          <w:rFonts w:ascii="Times" w:hAnsi="Times"/>
          <w:color w:val="000000"/>
          <w:szCs w:val="24"/>
        </w:rPr>
      </w:pPr>
      <w:r w:rsidRPr="0001508F">
        <w:rPr>
          <w:rFonts w:ascii="Times" w:hAnsi="Times"/>
          <w:color w:val="000000"/>
          <w:szCs w:val="24"/>
        </w:rPr>
        <w:t>    2. Alteration permits: for the alteration of buildings or structures, including new and existing sign structures and partial demolition in conjunction with such [</w:t>
      </w:r>
      <w:r w:rsidRPr="0001508F">
        <w:rPr>
          <w:rFonts w:ascii="Times" w:hAnsi="Times"/>
          <w:strike/>
          <w:color w:val="000000"/>
          <w:szCs w:val="24"/>
        </w:rPr>
        <w:t>buildings</w:t>
      </w:r>
      <w:r w:rsidRPr="0001508F">
        <w:rPr>
          <w:rFonts w:ascii="Times" w:hAnsi="Times"/>
          <w:color w:val="000000"/>
          <w:szCs w:val="24"/>
        </w:rPr>
        <w:t xml:space="preserve">] </w:t>
      </w:r>
      <w:r w:rsidRPr="0001508F">
        <w:rPr>
          <w:rFonts w:ascii="Times" w:hAnsi="Times"/>
          <w:color w:val="000000"/>
          <w:szCs w:val="24"/>
          <w:u w:val="single"/>
        </w:rPr>
        <w:t>building</w:t>
      </w:r>
      <w:r w:rsidRPr="0001508F">
        <w:rPr>
          <w:rFonts w:ascii="Times" w:hAnsi="Times"/>
          <w:color w:val="000000"/>
          <w:szCs w:val="24"/>
        </w:rPr>
        <w:t xml:space="preserve"> or [</w:t>
      </w:r>
      <w:r w:rsidRPr="0001508F">
        <w:rPr>
          <w:rFonts w:ascii="Times" w:hAnsi="Times"/>
          <w:strike/>
          <w:color w:val="000000"/>
          <w:szCs w:val="24"/>
        </w:rPr>
        <w:t>structures</w:t>
      </w:r>
      <w:r w:rsidRPr="0001508F">
        <w:rPr>
          <w:rFonts w:ascii="Times" w:hAnsi="Times"/>
          <w:color w:val="000000"/>
          <w:szCs w:val="24"/>
        </w:rPr>
        <w:t xml:space="preserve">] </w:t>
      </w:r>
      <w:r w:rsidRPr="0001508F">
        <w:rPr>
          <w:rFonts w:ascii="Times" w:hAnsi="Times"/>
          <w:color w:val="000000"/>
          <w:szCs w:val="24"/>
          <w:u w:val="single"/>
        </w:rPr>
        <w:t>structure</w:t>
      </w:r>
      <w:r w:rsidRPr="0001508F">
        <w:rPr>
          <w:bCs/>
          <w:szCs w:val="24"/>
          <w:u w:val="single"/>
        </w:rPr>
        <w:t>, and permits for limited home improvement alterations, limited reroofing alterations and limited window replacement alterations</w:t>
      </w:r>
      <w:r w:rsidRPr="0001508F">
        <w:rPr>
          <w:rFonts w:ascii="Times" w:hAnsi="Times"/>
          <w:color w:val="000000"/>
          <w:szCs w:val="24"/>
        </w:rPr>
        <w:t>.</w:t>
      </w:r>
    </w:p>
    <w:p w14:paraId="0AF13758" w14:textId="77777777" w:rsidR="0001508F" w:rsidRPr="0001508F" w:rsidRDefault="0001508F" w:rsidP="0001508F">
      <w:pPr>
        <w:spacing w:before="100" w:beforeAutospacing="1" w:after="100" w:afterAutospacing="1"/>
        <w:jc w:val="left"/>
        <w:rPr>
          <w:rFonts w:ascii="Times" w:hAnsi="Times"/>
          <w:color w:val="000000"/>
          <w:szCs w:val="24"/>
        </w:rPr>
      </w:pPr>
      <w:r w:rsidRPr="0001508F">
        <w:rPr>
          <w:rFonts w:ascii="Times" w:hAnsi="Times"/>
          <w:color w:val="000000"/>
          <w:szCs w:val="24"/>
        </w:rPr>
        <w:t>    3. Foundation and earthwork permits: for the construction or alteration of foundations, including earthwork, excavation, fill, and foundation insulation.</w:t>
      </w:r>
    </w:p>
    <w:p w14:paraId="62E4F140" w14:textId="77777777" w:rsidR="0001508F" w:rsidRPr="0001508F" w:rsidRDefault="0001508F" w:rsidP="0001508F">
      <w:pPr>
        <w:spacing w:before="100" w:beforeAutospacing="1" w:after="100" w:afterAutospacing="1"/>
        <w:jc w:val="left"/>
        <w:rPr>
          <w:rFonts w:ascii="Times" w:hAnsi="Times"/>
          <w:color w:val="000000"/>
          <w:szCs w:val="24"/>
        </w:rPr>
      </w:pPr>
      <w:r w:rsidRPr="0001508F">
        <w:rPr>
          <w:rFonts w:ascii="Times" w:hAnsi="Times"/>
          <w:color w:val="000000"/>
          <w:szCs w:val="24"/>
        </w:rPr>
        <w:t>    4. Earthwork permits: for work solely involving earthwork, excavation, or fill operations.</w:t>
      </w:r>
    </w:p>
    <w:p w14:paraId="04080CA1" w14:textId="77777777" w:rsidR="0001508F" w:rsidRPr="0001508F" w:rsidRDefault="0001508F" w:rsidP="0001508F">
      <w:pPr>
        <w:spacing w:before="100" w:beforeAutospacing="1" w:after="100" w:afterAutospacing="1"/>
        <w:jc w:val="left"/>
        <w:rPr>
          <w:rFonts w:ascii="Times" w:hAnsi="Times"/>
          <w:color w:val="000000"/>
          <w:szCs w:val="24"/>
        </w:rPr>
      </w:pPr>
      <w:r w:rsidRPr="0001508F">
        <w:rPr>
          <w:rFonts w:ascii="Times" w:hAnsi="Times"/>
          <w:color w:val="000000"/>
          <w:szCs w:val="24"/>
        </w:rPr>
        <w:t>    5. Full demolition permits: for the full demolition and removal of buildings or structures.</w:t>
      </w:r>
    </w:p>
    <w:p w14:paraId="43D930F0" w14:textId="77777777" w:rsidR="0001508F" w:rsidRPr="0001508F" w:rsidRDefault="0001508F" w:rsidP="0001508F">
      <w:pPr>
        <w:spacing w:before="100" w:beforeAutospacing="1" w:after="100" w:afterAutospacing="1"/>
        <w:jc w:val="left"/>
        <w:rPr>
          <w:rFonts w:ascii="Times" w:hAnsi="Times"/>
          <w:color w:val="000000"/>
          <w:szCs w:val="24"/>
        </w:rPr>
      </w:pPr>
      <w:r w:rsidRPr="0001508F">
        <w:rPr>
          <w:rFonts w:ascii="Times" w:hAnsi="Times"/>
          <w:color w:val="000000"/>
          <w:szCs w:val="24"/>
        </w:rPr>
        <w:t>    6. Plumbing permits: for the installation or alteration of plumbing and plumbing systems, including gas piping. Such permits shall include permits for limited plumbing alterations.</w:t>
      </w:r>
    </w:p>
    <w:p w14:paraId="7E3746B8" w14:textId="77777777" w:rsidR="0001508F" w:rsidRPr="0001508F" w:rsidRDefault="0001508F" w:rsidP="0001508F">
      <w:pPr>
        <w:spacing w:before="100" w:beforeAutospacing="1" w:after="100" w:afterAutospacing="1"/>
        <w:jc w:val="left"/>
        <w:rPr>
          <w:rFonts w:ascii="Times" w:hAnsi="Times"/>
          <w:color w:val="000000"/>
          <w:szCs w:val="24"/>
        </w:rPr>
      </w:pPr>
      <w:r w:rsidRPr="0001508F">
        <w:rPr>
          <w:rFonts w:ascii="Times" w:hAnsi="Times"/>
          <w:color w:val="000000"/>
          <w:szCs w:val="24"/>
        </w:rPr>
        <w:t>    7. Sign permits: for the erection, installation, display or alteration of signs.</w:t>
      </w:r>
    </w:p>
    <w:p w14:paraId="29A0F163" w14:textId="77777777" w:rsidR="0001508F" w:rsidRPr="0001508F" w:rsidRDefault="0001508F" w:rsidP="0001508F">
      <w:pPr>
        <w:spacing w:before="100" w:beforeAutospacing="1" w:after="100" w:afterAutospacing="1"/>
        <w:jc w:val="left"/>
        <w:rPr>
          <w:rFonts w:ascii="Times" w:hAnsi="Times"/>
          <w:color w:val="000000"/>
          <w:szCs w:val="24"/>
        </w:rPr>
      </w:pPr>
      <w:r w:rsidRPr="0001508F">
        <w:rPr>
          <w:rFonts w:ascii="Times" w:hAnsi="Times"/>
          <w:color w:val="000000"/>
          <w:szCs w:val="24"/>
        </w:rPr>
        <w:t xml:space="preserve">    8. Service equipment permits: for the installation or alteration of service equipment, including but not limited to air conditioning and ventilating systems, boilers, elevators, escalators, moving walkways, dumbwaiters, mobile boilers and mobile oil tanks. Such permits shall include permits for limited oil-burning appliance alterations </w:t>
      </w:r>
      <w:r w:rsidRPr="0001508F">
        <w:rPr>
          <w:rFonts w:ascii="Times" w:hAnsi="Times"/>
          <w:color w:val="000000"/>
          <w:szCs w:val="24"/>
          <w:u w:val="single"/>
        </w:rPr>
        <w:t>and limited elevator alterations</w:t>
      </w:r>
      <w:r w:rsidRPr="0001508F">
        <w:rPr>
          <w:rFonts w:ascii="Times" w:hAnsi="Times"/>
          <w:color w:val="000000"/>
          <w:szCs w:val="24"/>
        </w:rPr>
        <w:t>.</w:t>
      </w:r>
    </w:p>
    <w:p w14:paraId="1E593636" w14:textId="77777777" w:rsidR="0001508F" w:rsidRPr="0001508F" w:rsidRDefault="0001508F" w:rsidP="0001508F">
      <w:pPr>
        <w:spacing w:before="100" w:beforeAutospacing="1" w:after="100" w:afterAutospacing="1"/>
        <w:jc w:val="left"/>
        <w:rPr>
          <w:rFonts w:ascii="Times" w:hAnsi="Times"/>
          <w:color w:val="000000"/>
          <w:szCs w:val="24"/>
        </w:rPr>
      </w:pPr>
      <w:r w:rsidRPr="0001508F">
        <w:rPr>
          <w:rFonts w:ascii="Times" w:hAnsi="Times"/>
          <w:color w:val="000000"/>
          <w:szCs w:val="24"/>
        </w:rPr>
        <w:t>    9. Temporary construction installation permits: for the erection, installation and use of temporary construction installations to facilitate construction and/or safety during construction, including but not limited to temporary fences, railings, catch platforms, over-the-sidewalk chutes, footbridges, sidewalk sheds, and scaffolds.</w:t>
      </w:r>
    </w:p>
    <w:p w14:paraId="5F8187E3" w14:textId="77777777" w:rsidR="0001508F" w:rsidRPr="0001508F" w:rsidRDefault="0001508F" w:rsidP="0001508F">
      <w:pPr>
        <w:spacing w:before="100" w:beforeAutospacing="1" w:after="100" w:afterAutospacing="1"/>
        <w:jc w:val="left"/>
        <w:rPr>
          <w:rFonts w:ascii="Times" w:hAnsi="Times"/>
          <w:color w:val="000000"/>
          <w:szCs w:val="24"/>
        </w:rPr>
      </w:pPr>
      <w:r w:rsidRPr="0001508F">
        <w:rPr>
          <w:rFonts w:ascii="Times" w:hAnsi="Times"/>
          <w:color w:val="000000"/>
          <w:szCs w:val="24"/>
        </w:rPr>
        <w:t>    10. Fire protection and suppression system permits: for the installation and alteration of fire protection and suppression systems, including sprinkler systems and standpipe systems. Such permits shall include permits for limited sprinkler alterations and limited standpipe alterations.</w:t>
      </w:r>
    </w:p>
    <w:p w14:paraId="0746FA3E" w14:textId="77777777" w:rsidR="0001508F" w:rsidRPr="0001508F" w:rsidRDefault="0001508F" w:rsidP="0001508F">
      <w:pPr>
        <w:spacing w:before="100" w:beforeAutospacing="1" w:after="100" w:afterAutospacing="1"/>
        <w:jc w:val="left"/>
        <w:rPr>
          <w:rFonts w:ascii="Times" w:hAnsi="Times"/>
          <w:color w:val="000000"/>
          <w:szCs w:val="24"/>
        </w:rPr>
      </w:pPr>
      <w:r w:rsidRPr="0001508F">
        <w:rPr>
          <w:rFonts w:ascii="Times" w:hAnsi="Times"/>
          <w:color w:val="000000"/>
          <w:szCs w:val="24"/>
        </w:rPr>
        <w:t>    11. Crane and derrick permits: for the use of power-operated cranes and derricks during construction.</w:t>
      </w:r>
    </w:p>
    <w:p w14:paraId="48FAC9C8" w14:textId="77777777" w:rsidR="0001508F" w:rsidRPr="0001508F" w:rsidRDefault="0001508F" w:rsidP="0001508F">
      <w:pPr>
        <w:spacing w:before="100" w:beforeAutospacing="1" w:after="100" w:afterAutospacing="1"/>
        <w:jc w:val="left"/>
        <w:rPr>
          <w:rFonts w:ascii="Times" w:hAnsi="Times"/>
          <w:color w:val="000000"/>
          <w:szCs w:val="24"/>
        </w:rPr>
      </w:pPr>
      <w:r w:rsidRPr="0001508F">
        <w:rPr>
          <w:rFonts w:ascii="Times" w:hAnsi="Times"/>
          <w:color w:val="000000"/>
          <w:szCs w:val="24"/>
        </w:rPr>
        <w:t>    12. Temporary structure permits and temporary use authorizations: for temporary structures and uses, see article 111.</w:t>
      </w:r>
    </w:p>
    <w:p w14:paraId="581BCC68" w14:textId="77777777" w:rsidR="0001508F" w:rsidRPr="0001508F" w:rsidRDefault="0001508F" w:rsidP="0001508F">
      <w:pPr>
        <w:widowControl w:val="0"/>
        <w:spacing w:before="120" w:after="120"/>
        <w:rPr>
          <w:rFonts w:eastAsia="Calibri"/>
          <w:b/>
          <w:bCs/>
          <w:szCs w:val="24"/>
          <w:u w:val="single"/>
        </w:rPr>
      </w:pPr>
    </w:p>
    <w:p w14:paraId="3D7D87F3" w14:textId="77777777" w:rsidR="0001508F" w:rsidRPr="0001508F" w:rsidRDefault="0001508F" w:rsidP="0001508F">
      <w:pPr>
        <w:widowControl w:val="0"/>
        <w:spacing w:before="120" w:after="120"/>
        <w:rPr>
          <w:rFonts w:eastAsia="Calibri"/>
          <w:szCs w:val="24"/>
          <w:u w:val="single"/>
        </w:rPr>
      </w:pPr>
    </w:p>
    <w:p w14:paraId="13D54AC6" w14:textId="77777777" w:rsidR="0001508F" w:rsidRPr="0001508F" w:rsidRDefault="0001508F" w:rsidP="0001508F">
      <w:pPr>
        <w:spacing w:line="480" w:lineRule="auto"/>
        <w:ind w:firstLine="720"/>
        <w:rPr>
          <w:rFonts w:eastAsia="Calibri"/>
          <w:szCs w:val="24"/>
        </w:rPr>
      </w:pPr>
      <w:r w:rsidRPr="0001508F">
        <w:rPr>
          <w:rFonts w:eastAsia="Calibri"/>
          <w:szCs w:val="24"/>
        </w:rPr>
        <w:t>§ 14. Section 28-105.4 of the administrative code of the city of New York, as amended by local law number 128 for the year 2024, subdivision 10 as added by local law number 128 for the year 2024, is amended to read as follows:</w:t>
      </w:r>
    </w:p>
    <w:p w14:paraId="78A24B11" w14:textId="77777777" w:rsidR="0001508F" w:rsidRPr="0001508F" w:rsidRDefault="0001508F" w:rsidP="0001508F">
      <w:pPr>
        <w:spacing w:before="100" w:beforeAutospacing="1" w:after="100" w:afterAutospacing="1"/>
        <w:jc w:val="left"/>
        <w:rPr>
          <w:color w:val="000000"/>
          <w:szCs w:val="24"/>
        </w:rPr>
      </w:pPr>
      <w:r w:rsidRPr="0001508F">
        <w:rPr>
          <w:b/>
          <w:bCs/>
          <w:color w:val="000000"/>
          <w:szCs w:val="24"/>
        </w:rPr>
        <w:t xml:space="preserve">§ 28-105.4 Work exempt from permit. </w:t>
      </w:r>
      <w:r w:rsidRPr="0001508F">
        <w:rPr>
          <w:color w:val="000000"/>
          <w:szCs w:val="24"/>
        </w:rPr>
        <w:t>Exemptions from permit requirements of this code shall not be deemed to grant authorization for any work to be done in any manner in violation of the provisions of this code, the zoning resolution or any other law or rules enforced by the department. Such exemptions shall not relieve any owner of the obligation to comply with the requirements of or file with other city agencies. Unless otherwise indicated, permits shall not be required for the following:</w:t>
      </w:r>
    </w:p>
    <w:p w14:paraId="0526D3C6" w14:textId="77777777" w:rsidR="0001508F" w:rsidRPr="0001508F" w:rsidRDefault="0001508F" w:rsidP="0001508F">
      <w:pPr>
        <w:spacing w:before="100" w:beforeAutospacing="1" w:after="100" w:afterAutospacing="1"/>
        <w:jc w:val="left"/>
        <w:rPr>
          <w:color w:val="000000"/>
          <w:szCs w:val="24"/>
        </w:rPr>
      </w:pPr>
      <w:r w:rsidRPr="0001508F">
        <w:rPr>
          <w:color w:val="000000"/>
          <w:szCs w:val="24"/>
        </w:rPr>
        <w:t>    1. Emergency work, as set forth in section 28-105.4.1.</w:t>
      </w:r>
    </w:p>
    <w:p w14:paraId="3D970B80" w14:textId="77777777" w:rsidR="0001508F" w:rsidRPr="0001508F" w:rsidRDefault="0001508F" w:rsidP="0001508F">
      <w:pPr>
        <w:spacing w:before="100" w:beforeAutospacing="1" w:after="100" w:afterAutospacing="1"/>
        <w:jc w:val="left"/>
        <w:rPr>
          <w:color w:val="000000"/>
          <w:szCs w:val="24"/>
        </w:rPr>
      </w:pPr>
      <w:r w:rsidRPr="0001508F">
        <w:rPr>
          <w:color w:val="000000"/>
          <w:szCs w:val="24"/>
        </w:rPr>
        <w:t>    2. Minor alterations and ordinary repairs, as [</w:t>
      </w:r>
      <w:r w:rsidRPr="0001508F">
        <w:rPr>
          <w:strike/>
          <w:color w:val="000000"/>
          <w:szCs w:val="24"/>
        </w:rPr>
        <w:t>described</w:t>
      </w:r>
      <w:r w:rsidRPr="0001508F">
        <w:rPr>
          <w:color w:val="000000"/>
          <w:szCs w:val="24"/>
        </w:rPr>
        <w:t xml:space="preserve">] defined in chapter 2 </w:t>
      </w:r>
      <w:r w:rsidRPr="0001508F">
        <w:rPr>
          <w:color w:val="000000"/>
          <w:szCs w:val="24"/>
          <w:u w:val="single"/>
        </w:rPr>
        <w:t>of the New York city existing building code</w:t>
      </w:r>
      <w:r w:rsidRPr="0001508F">
        <w:rPr>
          <w:color w:val="000000"/>
          <w:szCs w:val="24"/>
        </w:rPr>
        <w:t>.</w:t>
      </w:r>
    </w:p>
    <w:p w14:paraId="66A10CA8" w14:textId="77777777" w:rsidR="0001508F" w:rsidRPr="0001508F" w:rsidRDefault="0001508F" w:rsidP="0001508F">
      <w:pPr>
        <w:spacing w:before="100" w:beforeAutospacing="1" w:after="100" w:afterAutospacing="1"/>
        <w:jc w:val="left"/>
        <w:rPr>
          <w:color w:val="000000"/>
          <w:szCs w:val="24"/>
        </w:rPr>
      </w:pPr>
      <w:r w:rsidRPr="0001508F">
        <w:rPr>
          <w:color w:val="000000"/>
          <w:szCs w:val="24"/>
        </w:rPr>
        <w:t>    3. Certain work performed by a public utility company or public utility corporation, as set forth in section 28-105.4.3.</w:t>
      </w:r>
    </w:p>
    <w:p w14:paraId="4B6F7D18" w14:textId="77777777" w:rsidR="0001508F" w:rsidRPr="0001508F" w:rsidRDefault="0001508F" w:rsidP="0001508F">
      <w:pPr>
        <w:spacing w:before="100" w:beforeAutospacing="1" w:after="100" w:afterAutospacing="1"/>
        <w:jc w:val="left"/>
        <w:rPr>
          <w:color w:val="000000"/>
          <w:szCs w:val="24"/>
        </w:rPr>
      </w:pPr>
      <w:r w:rsidRPr="0001508F">
        <w:rPr>
          <w:color w:val="000000"/>
          <w:szCs w:val="24"/>
        </w:rPr>
        <w:t xml:space="preserve">    4. Ordinary plumbing work, as [set forth] </w:t>
      </w:r>
      <w:r w:rsidRPr="0001508F">
        <w:rPr>
          <w:color w:val="000000"/>
          <w:szCs w:val="24"/>
          <w:u w:val="single"/>
        </w:rPr>
        <w:t xml:space="preserve"> defined in chapter 2 of the New York city existing building code</w:t>
      </w:r>
      <w:r w:rsidRPr="0001508F">
        <w:rPr>
          <w:color w:val="000000"/>
          <w:szCs w:val="24"/>
        </w:rPr>
        <w:t>.</w:t>
      </w:r>
    </w:p>
    <w:p w14:paraId="0F1EE96C" w14:textId="77777777" w:rsidR="0001508F" w:rsidRPr="0001508F" w:rsidRDefault="0001508F" w:rsidP="0001508F">
      <w:pPr>
        <w:spacing w:before="100" w:beforeAutospacing="1" w:after="100" w:afterAutospacing="1"/>
        <w:jc w:val="left"/>
        <w:rPr>
          <w:color w:val="000000"/>
          <w:szCs w:val="24"/>
        </w:rPr>
      </w:pPr>
      <w:r w:rsidRPr="0001508F">
        <w:rPr>
          <w:color w:val="000000"/>
          <w:szCs w:val="24"/>
        </w:rPr>
        <w:t>    5. Permits for the installation of certain signs, as set forth in section 28-105.4.5.</w:t>
      </w:r>
    </w:p>
    <w:p w14:paraId="2FED96B2" w14:textId="77777777" w:rsidR="0001508F" w:rsidRPr="0001508F" w:rsidRDefault="0001508F" w:rsidP="0001508F">
      <w:pPr>
        <w:spacing w:before="100" w:beforeAutospacing="1" w:after="100" w:afterAutospacing="1"/>
        <w:jc w:val="left"/>
        <w:rPr>
          <w:color w:val="000000"/>
          <w:szCs w:val="24"/>
        </w:rPr>
      </w:pPr>
      <w:r w:rsidRPr="0001508F">
        <w:rPr>
          <w:color w:val="000000"/>
          <w:szCs w:val="24"/>
        </w:rPr>
        <w:t>    6. Geotechnical investigations, as set forth in section 28-105.4.6.</w:t>
      </w:r>
    </w:p>
    <w:p w14:paraId="48BB08EC" w14:textId="77777777" w:rsidR="0001508F" w:rsidRPr="0001508F" w:rsidRDefault="0001508F" w:rsidP="0001508F">
      <w:pPr>
        <w:spacing w:before="100" w:beforeAutospacing="1" w:after="100" w:afterAutospacing="1"/>
        <w:jc w:val="left"/>
        <w:rPr>
          <w:color w:val="000000"/>
          <w:szCs w:val="24"/>
        </w:rPr>
      </w:pPr>
      <w:r w:rsidRPr="0001508F">
        <w:rPr>
          <w:color w:val="000000"/>
          <w:szCs w:val="24"/>
        </w:rPr>
        <w:t>    7. The installation, alteration or removal of alternative automatic fire extinguishing systems, including but not limited to fire extinguishing systems for commercial cooking equipment, subject to the approval of the fire department in accordance with section 105 of the New York city fire code.</w:t>
      </w:r>
    </w:p>
    <w:p w14:paraId="4A5232E8" w14:textId="77777777" w:rsidR="0001508F" w:rsidRPr="0001508F" w:rsidRDefault="0001508F" w:rsidP="0001508F">
      <w:pPr>
        <w:spacing w:before="100" w:beforeAutospacing="1" w:after="100" w:afterAutospacing="1"/>
        <w:jc w:val="left"/>
        <w:rPr>
          <w:color w:val="000000"/>
          <w:szCs w:val="24"/>
        </w:rPr>
      </w:pPr>
      <w:r w:rsidRPr="0001508F">
        <w:rPr>
          <w:color w:val="000000"/>
          <w:szCs w:val="24"/>
        </w:rPr>
        <w:t>    8. The installation, alteration or removal of fire alarm systems, emergency alarm systems and fire department in-building auxiliary radio communication systems, subject to the approval of the fire department in accordance with the requirements of this code. Such work shall be submitted in accordance with the rules and regulations of the fire department.</w:t>
      </w:r>
    </w:p>
    <w:p w14:paraId="4E77BAB5" w14:textId="77777777" w:rsidR="0001508F" w:rsidRPr="0001508F" w:rsidRDefault="0001508F" w:rsidP="0001508F">
      <w:pPr>
        <w:spacing w:before="100" w:beforeAutospacing="1" w:after="100" w:afterAutospacing="1"/>
        <w:ind w:firstLine="270"/>
        <w:jc w:val="left"/>
        <w:rPr>
          <w:szCs w:val="24"/>
        </w:rPr>
      </w:pPr>
      <w:r w:rsidRPr="0001508F">
        <w:rPr>
          <w:szCs w:val="24"/>
        </w:rPr>
        <w:t xml:space="preserve">9. Low voltage electrical work. </w:t>
      </w:r>
    </w:p>
    <w:p w14:paraId="62429615" w14:textId="77777777" w:rsidR="0001508F" w:rsidRPr="0001508F" w:rsidRDefault="0001508F" w:rsidP="0001508F">
      <w:pPr>
        <w:spacing w:before="100" w:beforeAutospacing="1" w:after="100" w:afterAutospacing="1"/>
        <w:ind w:firstLine="270"/>
        <w:jc w:val="left"/>
        <w:rPr>
          <w:color w:val="000000"/>
          <w:szCs w:val="24"/>
        </w:rPr>
      </w:pPr>
      <w:r w:rsidRPr="0001508F">
        <w:rPr>
          <w:szCs w:val="24"/>
        </w:rPr>
        <w:t>10. Electrical work relating to the construction and maintenance of city streetlights and city traffic lights owned, operated, or controlled by the city or any agency thereof.</w:t>
      </w:r>
      <w:r w:rsidRPr="0001508F">
        <w:rPr>
          <w:color w:val="000000"/>
          <w:szCs w:val="24"/>
        </w:rPr>
        <w:t xml:space="preserve">    </w:t>
      </w:r>
    </w:p>
    <w:p w14:paraId="2F8485C9" w14:textId="77777777" w:rsidR="0001508F" w:rsidRPr="0001508F" w:rsidRDefault="0001508F" w:rsidP="0001508F">
      <w:pPr>
        <w:spacing w:before="100" w:beforeAutospacing="1" w:after="100" w:afterAutospacing="1"/>
        <w:ind w:firstLine="270"/>
        <w:jc w:val="left"/>
        <w:rPr>
          <w:color w:val="000000"/>
          <w:szCs w:val="24"/>
        </w:rPr>
      </w:pPr>
      <w:r w:rsidRPr="0001508F">
        <w:rPr>
          <w:color w:val="000000"/>
          <w:szCs w:val="24"/>
        </w:rPr>
        <w:t>11. Other categories of work as described in department rules, consistent with public safety.</w:t>
      </w:r>
    </w:p>
    <w:p w14:paraId="0A0D47EA" w14:textId="77777777" w:rsidR="0001508F" w:rsidRPr="0001508F" w:rsidRDefault="0001508F" w:rsidP="0001508F">
      <w:pPr>
        <w:widowControl w:val="0"/>
        <w:spacing w:before="120" w:after="120"/>
        <w:rPr>
          <w:rFonts w:eastAsia="Calibri"/>
          <w:szCs w:val="24"/>
        </w:rPr>
      </w:pPr>
    </w:p>
    <w:p w14:paraId="3A8C91F5" w14:textId="77777777" w:rsidR="0001508F" w:rsidRPr="0001508F" w:rsidRDefault="0001508F" w:rsidP="0001508F">
      <w:pPr>
        <w:spacing w:after="160" w:line="480" w:lineRule="auto"/>
        <w:ind w:firstLine="720"/>
        <w:rPr>
          <w:rFonts w:eastAsia="Calibri"/>
          <w:szCs w:val="24"/>
        </w:rPr>
      </w:pPr>
      <w:r w:rsidRPr="0001508F">
        <w:rPr>
          <w:rFonts w:eastAsia="Calibri"/>
          <w:szCs w:val="24"/>
        </w:rPr>
        <w:t>§ 15. Section 28-105.4.2 of the administrative code of the city of New York, as amended by local law number 126 for the year 2021, is amended to read as follows:</w:t>
      </w:r>
    </w:p>
    <w:p w14:paraId="3DC83574" w14:textId="77777777" w:rsidR="0001508F" w:rsidRPr="0001508F" w:rsidRDefault="0001508F" w:rsidP="0001508F">
      <w:pPr>
        <w:widowControl w:val="0"/>
        <w:spacing w:before="120" w:after="120"/>
        <w:rPr>
          <w:rFonts w:eastAsia="Calibri"/>
          <w:szCs w:val="24"/>
        </w:rPr>
      </w:pPr>
      <w:r w:rsidRPr="0001508F">
        <w:rPr>
          <w:rFonts w:eastAsia="Calibri"/>
          <w:b/>
          <w:bCs/>
          <w:szCs w:val="24"/>
        </w:rPr>
        <w:t xml:space="preserve">§ 28-105.4.2 Minor alterations and ordinary repairs. </w:t>
      </w:r>
      <w:r w:rsidRPr="0001508F">
        <w:rPr>
          <w:rFonts w:eastAsia="Calibri"/>
          <w:szCs w:val="24"/>
        </w:rPr>
        <w:t xml:space="preserve">A permit shall not be required for minor alterations and ordinary repairs </w:t>
      </w:r>
      <w:r w:rsidRPr="0001508F">
        <w:rPr>
          <w:rFonts w:eastAsia="Calibri"/>
          <w:szCs w:val="24"/>
          <w:u w:val="single"/>
        </w:rPr>
        <w:t xml:space="preserve">as set forth in section 105.3 of the </w:t>
      </w:r>
      <w:r w:rsidRPr="0001508F">
        <w:rPr>
          <w:spacing w:val="1"/>
          <w:szCs w:val="24"/>
          <w:u w:val="single"/>
        </w:rPr>
        <w:t>New York city existing building code</w:t>
      </w:r>
      <w:r w:rsidRPr="0001508F">
        <w:rPr>
          <w:rFonts w:eastAsia="Calibri"/>
          <w:szCs w:val="24"/>
        </w:rPr>
        <w:t>.</w:t>
      </w:r>
    </w:p>
    <w:p w14:paraId="44B767A0" w14:textId="77777777" w:rsidR="0001508F" w:rsidRPr="0001508F" w:rsidRDefault="0001508F" w:rsidP="0001508F">
      <w:pPr>
        <w:widowControl w:val="0"/>
        <w:spacing w:before="120" w:after="120"/>
        <w:rPr>
          <w:rFonts w:eastAsia="Calibri"/>
          <w:szCs w:val="24"/>
        </w:rPr>
      </w:pPr>
    </w:p>
    <w:p w14:paraId="4B0F3FB7" w14:textId="77777777" w:rsidR="0001508F" w:rsidRPr="0001508F" w:rsidRDefault="0001508F" w:rsidP="0001508F">
      <w:pPr>
        <w:spacing w:after="160" w:line="480" w:lineRule="auto"/>
        <w:ind w:firstLine="720"/>
        <w:rPr>
          <w:rFonts w:eastAsia="Calibri"/>
          <w:szCs w:val="24"/>
        </w:rPr>
      </w:pPr>
      <w:r w:rsidRPr="0001508F">
        <w:rPr>
          <w:rFonts w:eastAsia="Calibri"/>
          <w:szCs w:val="24"/>
        </w:rPr>
        <w:t>§ 16. Section 28-105.4.2.1 of the administrative code of the city of New York, as amended by local law number 126 for the year 2021, is amended to read as follows:</w:t>
      </w:r>
    </w:p>
    <w:p w14:paraId="230C1A1C" w14:textId="77777777" w:rsidR="0001508F" w:rsidRPr="0001508F" w:rsidRDefault="0001508F" w:rsidP="0001508F">
      <w:pPr>
        <w:widowControl w:val="0"/>
        <w:spacing w:before="120" w:after="120"/>
        <w:rPr>
          <w:rFonts w:eastAsia="Calibri"/>
          <w:spacing w:val="1"/>
          <w:szCs w:val="24"/>
        </w:rPr>
      </w:pPr>
      <w:r w:rsidRPr="0001508F">
        <w:rPr>
          <w:rFonts w:eastAsia="Calibri"/>
          <w:b/>
          <w:bCs/>
          <w:szCs w:val="24"/>
        </w:rPr>
        <w:t>§28-105.4.2.1 [</w:t>
      </w:r>
      <w:r w:rsidRPr="0001508F">
        <w:rPr>
          <w:rFonts w:eastAsia="Calibri"/>
          <w:b/>
          <w:bCs/>
          <w:strike/>
          <w:szCs w:val="24"/>
        </w:rPr>
        <w:t>Definitions.</w:t>
      </w:r>
      <w:r w:rsidRPr="0001508F">
        <w:rPr>
          <w:rFonts w:eastAsia="Calibri"/>
          <w:b/>
          <w:bCs/>
          <w:strike/>
          <w:w w:val="110"/>
          <w:szCs w:val="24"/>
        </w:rPr>
        <w:t xml:space="preserve"> </w:t>
      </w:r>
      <w:r w:rsidRPr="0001508F">
        <w:rPr>
          <w:rFonts w:eastAsia="Calibri"/>
          <w:strike/>
          <w:spacing w:val="1"/>
          <w:szCs w:val="24"/>
        </w:rPr>
        <w:t>The following words and terms shall, for the purposes of this section 28-105.4.2 and as used elsewhere in this code, have the meanings shown herein.</w:t>
      </w:r>
    </w:p>
    <w:p w14:paraId="22527AB7" w14:textId="77777777" w:rsidR="0001508F" w:rsidRPr="0001508F" w:rsidRDefault="0001508F" w:rsidP="0001508F">
      <w:pPr>
        <w:widowControl w:val="0"/>
        <w:spacing w:before="120" w:after="120"/>
        <w:rPr>
          <w:rFonts w:ascii="Times" w:hAnsi="Times"/>
          <w:strike/>
          <w:color w:val="000000"/>
          <w:szCs w:val="24"/>
        </w:rPr>
      </w:pPr>
      <w:r w:rsidRPr="0001508F">
        <w:rPr>
          <w:rFonts w:ascii="Times" w:hAnsi="Times"/>
          <w:b/>
          <w:bCs/>
          <w:strike/>
          <w:color w:val="000000"/>
          <w:szCs w:val="24"/>
        </w:rPr>
        <w:t>MINOR ALTERATIONS. </w:t>
      </w:r>
      <w:r w:rsidRPr="0001508F">
        <w:rPr>
          <w:rFonts w:ascii="Times" w:hAnsi="Times"/>
          <w:strike/>
          <w:color w:val="000000"/>
          <w:szCs w:val="24"/>
        </w:rPr>
        <w:t>Minor changes or modifications in a building or any part thereof, excluding additions thereto, that do not in any way affect health or the fire or structural safety of the building or the safe use and operation of the service equipment therein. Minor alterations shall not include any of the work described as "work not constituting minor alterations or ordinary repairs."</w:t>
      </w:r>
    </w:p>
    <w:p w14:paraId="513A9074" w14:textId="77777777" w:rsidR="0001508F" w:rsidRPr="0001508F" w:rsidRDefault="0001508F" w:rsidP="0001508F">
      <w:pPr>
        <w:widowControl w:val="0"/>
        <w:spacing w:before="120" w:after="120"/>
        <w:rPr>
          <w:rFonts w:ascii="Times" w:hAnsi="Times"/>
          <w:strike/>
          <w:color w:val="000000"/>
          <w:szCs w:val="24"/>
        </w:rPr>
      </w:pPr>
      <w:r w:rsidRPr="0001508F">
        <w:rPr>
          <w:rFonts w:ascii="Times" w:hAnsi="Times"/>
          <w:strike/>
          <w:color w:val="000000"/>
          <w:szCs w:val="24"/>
        </w:rPr>
        <w:t>   </w:t>
      </w:r>
      <w:r w:rsidRPr="0001508F">
        <w:rPr>
          <w:rFonts w:ascii="Times" w:hAnsi="Times"/>
          <w:b/>
          <w:bCs/>
          <w:strike/>
          <w:color w:val="000000"/>
          <w:szCs w:val="24"/>
        </w:rPr>
        <w:t>ORDINARY REPAIRS.</w:t>
      </w:r>
      <w:r w:rsidRPr="0001508F">
        <w:rPr>
          <w:rFonts w:ascii="Times" w:hAnsi="Times"/>
          <w:strike/>
          <w:color w:val="000000"/>
          <w:szCs w:val="24"/>
        </w:rPr>
        <w:t> Replacements or renewals of existing work in a building, or of parts of the service equipment therein, with the same or equivalent materials or equipment parts, that are made in the ordinary course of maintenance and that do not in any way affect health or the fire or structural safety of the building or the safe use and operation of the service equipment therein. Ordinary repairs shall include the repair or replacement of any plumbing fixture, piping or faucets from any exposed stop valve to the inlet side of a trap. Ordinary repairs shall not include any of the work described as "work not constituting minor alterations or ordinary repairs."</w:t>
      </w:r>
    </w:p>
    <w:p w14:paraId="4EC4810A" w14:textId="77777777" w:rsidR="0001508F" w:rsidRPr="0001508F" w:rsidRDefault="0001508F" w:rsidP="0001508F">
      <w:pPr>
        <w:widowControl w:val="0"/>
        <w:spacing w:before="120" w:after="120"/>
        <w:rPr>
          <w:rFonts w:ascii="Times" w:hAnsi="Times"/>
          <w:strike/>
          <w:color w:val="000000"/>
          <w:szCs w:val="24"/>
        </w:rPr>
      </w:pPr>
      <w:r w:rsidRPr="0001508F">
        <w:rPr>
          <w:rFonts w:ascii="Times" w:hAnsi="Times"/>
          <w:strike/>
          <w:color w:val="000000"/>
          <w:szCs w:val="24"/>
        </w:rPr>
        <w:t>   </w:t>
      </w:r>
      <w:r w:rsidRPr="0001508F">
        <w:rPr>
          <w:rFonts w:ascii="Times" w:hAnsi="Times"/>
          <w:b/>
          <w:bCs/>
          <w:strike/>
          <w:color w:val="000000"/>
          <w:szCs w:val="24"/>
        </w:rPr>
        <w:t>WORK NOT CONSTITUTING MINOR ALTERATIONS OR ORDINARY REPAIRS.</w:t>
      </w:r>
      <w:r w:rsidRPr="0001508F">
        <w:rPr>
          <w:rFonts w:ascii="Times" w:hAnsi="Times"/>
          <w:strike/>
          <w:color w:val="000000"/>
          <w:szCs w:val="24"/>
        </w:rPr>
        <w:t> Minor alterations or ordinary repairs shall not include:</w:t>
      </w:r>
    </w:p>
    <w:p w14:paraId="639740BC" w14:textId="77777777" w:rsidR="0001508F" w:rsidRPr="0001508F" w:rsidRDefault="0001508F" w:rsidP="0001508F">
      <w:pPr>
        <w:widowControl w:val="0"/>
        <w:spacing w:before="120" w:after="120"/>
        <w:rPr>
          <w:rFonts w:ascii="Times" w:hAnsi="Times"/>
          <w:strike/>
          <w:color w:val="000000"/>
          <w:szCs w:val="24"/>
        </w:rPr>
      </w:pPr>
      <w:r w:rsidRPr="0001508F">
        <w:rPr>
          <w:rFonts w:ascii="Times" w:hAnsi="Times"/>
          <w:strike/>
          <w:color w:val="000000"/>
          <w:szCs w:val="24"/>
        </w:rPr>
        <w:t>      1.   The removal or cutting away of any load bearing or required fire rated wall, fire door, floor, or roof construction, or any portion thereof;</w:t>
      </w:r>
    </w:p>
    <w:p w14:paraId="3C9B5FE9" w14:textId="77777777" w:rsidR="0001508F" w:rsidRPr="0001508F" w:rsidRDefault="0001508F" w:rsidP="0001508F">
      <w:pPr>
        <w:widowControl w:val="0"/>
        <w:spacing w:before="120" w:after="120"/>
        <w:rPr>
          <w:rFonts w:ascii="Times" w:hAnsi="Times"/>
          <w:strike/>
          <w:color w:val="000000"/>
          <w:szCs w:val="24"/>
        </w:rPr>
      </w:pPr>
      <w:r w:rsidRPr="0001508F">
        <w:rPr>
          <w:rFonts w:ascii="Times" w:hAnsi="Times"/>
          <w:strike/>
          <w:color w:val="000000"/>
          <w:szCs w:val="24"/>
        </w:rPr>
        <w:t>      2.   The removal, cutting, or modification of any beams or structural supports; 3. The removal, change, or closing of any required exit;</w:t>
      </w:r>
    </w:p>
    <w:p w14:paraId="2FBB51E6" w14:textId="77777777" w:rsidR="0001508F" w:rsidRPr="0001508F" w:rsidRDefault="0001508F" w:rsidP="0001508F">
      <w:pPr>
        <w:widowControl w:val="0"/>
        <w:spacing w:before="120" w:after="120"/>
        <w:rPr>
          <w:rFonts w:ascii="Times" w:hAnsi="Times"/>
          <w:strike/>
          <w:color w:val="000000"/>
          <w:szCs w:val="24"/>
        </w:rPr>
      </w:pPr>
      <w:r w:rsidRPr="0001508F">
        <w:rPr>
          <w:rFonts w:ascii="Times" w:hAnsi="Times"/>
          <w:strike/>
          <w:color w:val="000000"/>
          <w:szCs w:val="24"/>
        </w:rPr>
        <w:t>      4.   The addition, rearrangement, relocation, removal or replacement of any parts of the building affecting loading or exit requirements, or light, heat, ventilation, or elevator requirements or accessibility requirements, or any fire suppression or fire protection system;</w:t>
      </w:r>
    </w:p>
    <w:p w14:paraId="4041BFBE" w14:textId="77777777" w:rsidR="0001508F" w:rsidRPr="0001508F" w:rsidRDefault="0001508F" w:rsidP="0001508F">
      <w:pPr>
        <w:widowControl w:val="0"/>
        <w:spacing w:before="120" w:after="120"/>
        <w:rPr>
          <w:rFonts w:ascii="Times" w:hAnsi="Times"/>
          <w:strike/>
          <w:color w:val="000000"/>
          <w:szCs w:val="24"/>
        </w:rPr>
      </w:pPr>
      <w:r w:rsidRPr="0001508F">
        <w:rPr>
          <w:rFonts w:ascii="Times" w:hAnsi="Times"/>
          <w:strike/>
          <w:color w:val="000000"/>
          <w:szCs w:val="24"/>
        </w:rPr>
        <w:t>      5.   Additions to, alterations of, or rearrangement, relocation, replacement, repair or removal of any portion of a standpipe or sprinkler system, water distribution system, house sewer, private sewer, or drainage system, including leaders, or any soil, waste or vent pipe, or any gas distribution system;</w:t>
      </w:r>
    </w:p>
    <w:p w14:paraId="3565B809" w14:textId="77777777" w:rsidR="0001508F" w:rsidRPr="0001508F" w:rsidRDefault="0001508F" w:rsidP="0001508F">
      <w:pPr>
        <w:widowControl w:val="0"/>
        <w:spacing w:before="120" w:after="120"/>
        <w:rPr>
          <w:rFonts w:ascii="Times" w:hAnsi="Times"/>
          <w:strike/>
          <w:color w:val="000000"/>
          <w:szCs w:val="24"/>
        </w:rPr>
      </w:pPr>
      <w:r w:rsidRPr="0001508F">
        <w:rPr>
          <w:rFonts w:ascii="Times" w:hAnsi="Times"/>
          <w:strike/>
          <w:color w:val="000000"/>
          <w:szCs w:val="24"/>
        </w:rPr>
        <w:t>      6.   Any plumbing work other than the repair or replacement of plumbing fixtures, piping or faucets from the exposed stop valve to the inlet side of a trap;</w:t>
      </w:r>
    </w:p>
    <w:p w14:paraId="1A520D36" w14:textId="77777777" w:rsidR="0001508F" w:rsidRPr="0001508F" w:rsidRDefault="0001508F" w:rsidP="0001508F">
      <w:pPr>
        <w:widowControl w:val="0"/>
        <w:spacing w:before="120" w:after="120"/>
        <w:rPr>
          <w:rFonts w:ascii="Times" w:hAnsi="Times"/>
          <w:strike/>
          <w:color w:val="000000"/>
          <w:szCs w:val="24"/>
        </w:rPr>
      </w:pPr>
      <w:r w:rsidRPr="0001508F">
        <w:rPr>
          <w:rFonts w:ascii="Times" w:hAnsi="Times"/>
          <w:strike/>
          <w:color w:val="000000"/>
          <w:szCs w:val="24"/>
        </w:rPr>
        <w:t>      7.   The alteration or repair of a sign for which a permit is required; or</w:t>
      </w:r>
    </w:p>
    <w:p w14:paraId="58D17F39" w14:textId="77777777" w:rsidR="0001508F" w:rsidRPr="0001508F" w:rsidRDefault="0001508F" w:rsidP="0001508F">
      <w:pPr>
        <w:widowControl w:val="0"/>
        <w:spacing w:before="120" w:after="120"/>
        <w:rPr>
          <w:rFonts w:ascii="Times" w:hAnsi="Times"/>
          <w:color w:val="000000"/>
          <w:szCs w:val="24"/>
          <w:u w:val="single"/>
        </w:rPr>
      </w:pPr>
      <w:r w:rsidRPr="0001508F">
        <w:rPr>
          <w:rFonts w:ascii="Times" w:hAnsi="Times"/>
          <w:strike/>
          <w:color w:val="000000"/>
          <w:szCs w:val="24"/>
        </w:rPr>
        <w:t>      8.   Any other work affecting health or the fire or structural safety of the building or the safe use and operation of the service equipment therein.</w:t>
      </w:r>
      <w:r w:rsidRPr="0001508F">
        <w:rPr>
          <w:rFonts w:ascii="Times" w:hAnsi="Times"/>
          <w:color w:val="000000"/>
          <w:szCs w:val="24"/>
        </w:rPr>
        <w:t xml:space="preserve">] </w:t>
      </w:r>
      <w:r w:rsidRPr="0001508F">
        <w:rPr>
          <w:rFonts w:ascii="Times" w:hAnsi="Times"/>
          <w:color w:val="000000"/>
          <w:szCs w:val="24"/>
          <w:u w:val="single"/>
        </w:rPr>
        <w:t>Reserved.</w:t>
      </w:r>
    </w:p>
    <w:p w14:paraId="780A86CB" w14:textId="77777777" w:rsidR="0001508F" w:rsidRPr="0001508F" w:rsidRDefault="0001508F" w:rsidP="0001508F">
      <w:pPr>
        <w:tabs>
          <w:tab w:val="left" w:pos="1245"/>
        </w:tabs>
        <w:spacing w:before="100" w:beforeAutospacing="1" w:after="100" w:afterAutospacing="1"/>
        <w:jc w:val="left"/>
        <w:rPr>
          <w:rFonts w:ascii="Times" w:hAnsi="Times"/>
          <w:color w:val="000000"/>
          <w:szCs w:val="24"/>
        </w:rPr>
      </w:pPr>
      <w:r w:rsidRPr="0001508F">
        <w:rPr>
          <w:rFonts w:ascii="Times" w:hAnsi="Times"/>
          <w:color w:val="000000"/>
          <w:szCs w:val="24"/>
        </w:rPr>
        <w:tab/>
      </w:r>
    </w:p>
    <w:p w14:paraId="46E218D3" w14:textId="77777777" w:rsidR="0001508F" w:rsidRPr="0001508F" w:rsidRDefault="0001508F" w:rsidP="0001508F">
      <w:pPr>
        <w:spacing w:before="100" w:beforeAutospacing="1" w:after="100" w:afterAutospacing="1" w:line="480" w:lineRule="auto"/>
        <w:ind w:firstLine="720"/>
        <w:jc w:val="left"/>
        <w:rPr>
          <w:rFonts w:ascii="Times" w:hAnsi="Times"/>
          <w:b/>
          <w:bCs/>
          <w:color w:val="000000"/>
          <w:szCs w:val="24"/>
        </w:rPr>
      </w:pPr>
      <w:r w:rsidRPr="0001508F">
        <w:rPr>
          <w:rFonts w:eastAsia="Calibri"/>
          <w:szCs w:val="24"/>
        </w:rPr>
        <w:t>§ 17. Section 28-105.4.4 of the administrative code of the city of New York, as amended by local law number 77 for the year 2023, is amended to read as follows:</w:t>
      </w:r>
      <w:r w:rsidRPr="0001508F">
        <w:rPr>
          <w:rFonts w:ascii="Times" w:hAnsi="Times"/>
          <w:b/>
          <w:bCs/>
          <w:color w:val="000000"/>
          <w:szCs w:val="24"/>
        </w:rPr>
        <w:t> </w:t>
      </w:r>
    </w:p>
    <w:p w14:paraId="6ADF32E3" w14:textId="77777777" w:rsidR="0001508F" w:rsidRPr="0001508F" w:rsidRDefault="0001508F" w:rsidP="0001508F">
      <w:pPr>
        <w:spacing w:before="100" w:beforeAutospacing="1" w:after="100" w:afterAutospacing="1"/>
        <w:jc w:val="left"/>
        <w:rPr>
          <w:rFonts w:ascii="Times" w:hAnsi="Times"/>
          <w:strike/>
          <w:color w:val="000000"/>
          <w:szCs w:val="24"/>
        </w:rPr>
      </w:pPr>
      <w:r w:rsidRPr="0001508F">
        <w:rPr>
          <w:rFonts w:ascii="Times" w:hAnsi="Times"/>
          <w:b/>
          <w:bCs/>
          <w:color w:val="000000"/>
          <w:szCs w:val="24"/>
        </w:rPr>
        <w:t>§ 28-105.4.4 Ordinary plumbing work.</w:t>
      </w:r>
      <w:r w:rsidRPr="0001508F">
        <w:rPr>
          <w:rFonts w:ascii="Times" w:hAnsi="Times"/>
          <w:color w:val="000000"/>
          <w:szCs w:val="24"/>
        </w:rPr>
        <w:t xml:space="preserve"> [</w:t>
      </w:r>
      <w:r w:rsidRPr="0001508F">
        <w:rPr>
          <w:rFonts w:ascii="Times" w:hAnsi="Times"/>
          <w:strike/>
          <w:color w:val="000000"/>
          <w:szCs w:val="24"/>
        </w:rPr>
        <w:t>The following ordinary plumbing work may be performed without a permit, provided that the licensed plumber performing such work: (i) provides a monthly report listing completed work and work in progress during the preceding month, including the block, lot and address of each job, a description of the work performed or in progress at each address, and the location in each building where the work was performed or is in progress; (ii) pays the fees for such work in accordance with this code; and (iii) submits to the department a certification that the work was performed in accordance with this code and all applicable laws and rules. Ordinary plumbing work shall include:</w:t>
      </w:r>
    </w:p>
    <w:p w14:paraId="0FB01F4F" w14:textId="77777777" w:rsidR="0001508F" w:rsidRPr="0001508F" w:rsidRDefault="0001508F" w:rsidP="0001508F">
      <w:pPr>
        <w:spacing w:before="100" w:beforeAutospacing="1" w:after="100" w:afterAutospacing="1"/>
        <w:jc w:val="left"/>
        <w:rPr>
          <w:rFonts w:ascii="Times" w:hAnsi="Times"/>
          <w:strike/>
          <w:color w:val="000000"/>
          <w:szCs w:val="24"/>
        </w:rPr>
      </w:pPr>
      <w:r w:rsidRPr="0001508F">
        <w:rPr>
          <w:rFonts w:ascii="Times" w:hAnsi="Times"/>
          <w:strike/>
          <w:color w:val="000000"/>
          <w:szCs w:val="24"/>
        </w:rPr>
        <w:t>    1. The removal of a domestic plumbing system not connected to a fire suppression or fire protection system, or the removal of a portion of such system.</w:t>
      </w:r>
    </w:p>
    <w:p w14:paraId="72ADE274" w14:textId="77777777" w:rsidR="0001508F" w:rsidRPr="0001508F" w:rsidRDefault="0001508F" w:rsidP="0001508F">
      <w:pPr>
        <w:spacing w:before="100" w:beforeAutospacing="1" w:after="100" w:afterAutospacing="1"/>
        <w:jc w:val="left"/>
        <w:rPr>
          <w:rFonts w:ascii="Times" w:hAnsi="Times"/>
          <w:strike/>
          <w:color w:val="000000"/>
          <w:szCs w:val="24"/>
        </w:rPr>
      </w:pPr>
      <w:r w:rsidRPr="0001508F">
        <w:rPr>
          <w:rFonts w:ascii="Times" w:hAnsi="Times"/>
          <w:strike/>
          <w:color w:val="000000"/>
          <w:szCs w:val="24"/>
        </w:rPr>
        <w:t>    2. The relocation of up to two plumbing fixtures within the same room to a maximum of 10 feet (3048 mm) distant from the original location, except in health care facilities.</w:t>
      </w:r>
    </w:p>
    <w:p w14:paraId="13D5644B" w14:textId="77777777" w:rsidR="0001508F" w:rsidRPr="0001508F" w:rsidRDefault="0001508F" w:rsidP="0001508F">
      <w:pPr>
        <w:spacing w:before="100" w:beforeAutospacing="1" w:after="100" w:afterAutospacing="1"/>
        <w:jc w:val="left"/>
        <w:rPr>
          <w:rFonts w:ascii="Times" w:hAnsi="Times"/>
          <w:strike/>
          <w:color w:val="000000"/>
          <w:szCs w:val="24"/>
        </w:rPr>
      </w:pPr>
      <w:r w:rsidRPr="0001508F">
        <w:rPr>
          <w:rFonts w:ascii="Times" w:hAnsi="Times"/>
          <w:strike/>
          <w:color w:val="000000"/>
          <w:szCs w:val="24"/>
        </w:rPr>
        <w:t>    3. The installation, replacement or repair of a food waste grinder (food waste disposal) or secondary back flow preventer and the replacement or repair of a sump pump.</w:t>
      </w:r>
    </w:p>
    <w:p w14:paraId="7C75574D" w14:textId="77777777" w:rsidR="0001508F" w:rsidRPr="0001508F" w:rsidRDefault="0001508F" w:rsidP="0001508F">
      <w:pPr>
        <w:spacing w:before="100" w:beforeAutospacing="1" w:after="100" w:afterAutospacing="1"/>
        <w:jc w:val="left"/>
        <w:rPr>
          <w:rFonts w:ascii="Times" w:hAnsi="Times"/>
          <w:strike/>
          <w:color w:val="000000"/>
          <w:szCs w:val="24"/>
        </w:rPr>
      </w:pPr>
      <w:r w:rsidRPr="0001508F">
        <w:rPr>
          <w:rFonts w:ascii="Times" w:hAnsi="Times"/>
          <w:strike/>
          <w:color w:val="000000"/>
          <w:szCs w:val="24"/>
        </w:rPr>
        <w:t>    4. The replacement of closet bends.</w:t>
      </w:r>
    </w:p>
    <w:p w14:paraId="3CA31ECE" w14:textId="77777777" w:rsidR="0001508F" w:rsidRPr="0001508F" w:rsidRDefault="0001508F" w:rsidP="0001508F">
      <w:pPr>
        <w:spacing w:before="100" w:beforeAutospacing="1" w:after="100" w:afterAutospacing="1"/>
        <w:jc w:val="left"/>
        <w:rPr>
          <w:rFonts w:ascii="Times" w:hAnsi="Times"/>
          <w:strike/>
          <w:color w:val="000000"/>
          <w:szCs w:val="24"/>
        </w:rPr>
      </w:pPr>
      <w:r w:rsidRPr="0001508F">
        <w:rPr>
          <w:rFonts w:ascii="Times" w:hAnsi="Times"/>
          <w:strike/>
          <w:color w:val="000000"/>
          <w:szCs w:val="24"/>
        </w:rPr>
        <w:t>    5. In buildings in occupancy group R-2 occupied by fewer than six families or in buildings in occupancy group R-3, the replacement of a gas water heater or a gas-fired boiler with a capacity of 350,000 BTU (103 kW) or less where the existing appliance gas cock is not moved, provided that the plumber has inspected the chimney and found it to be in good operational condition.</w:t>
      </w:r>
    </w:p>
    <w:p w14:paraId="58E1AC29" w14:textId="77777777" w:rsidR="0001508F" w:rsidRPr="0001508F" w:rsidRDefault="0001508F" w:rsidP="0001508F">
      <w:pPr>
        <w:spacing w:before="100" w:beforeAutospacing="1" w:after="100" w:afterAutospacing="1"/>
        <w:jc w:val="left"/>
        <w:rPr>
          <w:rFonts w:ascii="Times" w:hAnsi="Times"/>
          <w:strike/>
          <w:color w:val="000000"/>
          <w:szCs w:val="24"/>
        </w:rPr>
      </w:pPr>
      <w:r w:rsidRPr="0001508F">
        <w:rPr>
          <w:rFonts w:ascii="Times" w:hAnsi="Times"/>
          <w:strike/>
          <w:color w:val="000000"/>
          <w:szCs w:val="24"/>
        </w:rPr>
        <w:t>    6. The repair or replacement of any non-gas, non-fire suppression piping not longer than 10 feet (3048 mm) inside a building, or connected piping previously repaired or replaced under this provision.</w:t>
      </w:r>
    </w:p>
    <w:p w14:paraId="64968D3D" w14:textId="77777777" w:rsidR="0001508F" w:rsidRPr="0001508F" w:rsidRDefault="0001508F" w:rsidP="0001508F">
      <w:pPr>
        <w:spacing w:before="100" w:beforeAutospacing="1" w:after="100" w:afterAutospacing="1"/>
        <w:jc w:val="left"/>
        <w:rPr>
          <w:rFonts w:ascii="Times" w:hAnsi="Times"/>
          <w:strike/>
          <w:color w:val="000000"/>
          <w:szCs w:val="24"/>
        </w:rPr>
      </w:pPr>
      <w:r w:rsidRPr="0001508F">
        <w:rPr>
          <w:rFonts w:ascii="Times" w:hAnsi="Times"/>
          <w:strike/>
          <w:color w:val="000000"/>
          <w:szCs w:val="24"/>
        </w:rPr>
        <w:t>    7. The repair or replacement of non-fire suppression branch piping after the riser shutoff valve, including the replacement of fixtures, limited to two bathrooms and one kitchen per building per monthly reporting period.</w:t>
      </w:r>
    </w:p>
    <w:p w14:paraId="7EB55006" w14:textId="77777777" w:rsidR="0001508F" w:rsidRPr="0001508F" w:rsidRDefault="0001508F" w:rsidP="0001508F">
      <w:pPr>
        <w:spacing w:before="100" w:beforeAutospacing="1" w:after="100" w:afterAutospacing="1"/>
        <w:jc w:val="left"/>
        <w:rPr>
          <w:rFonts w:ascii="Times" w:hAnsi="Times"/>
          <w:color w:val="000000"/>
          <w:szCs w:val="24"/>
        </w:rPr>
      </w:pPr>
      <w:r w:rsidRPr="0001508F">
        <w:rPr>
          <w:rFonts w:ascii="Times" w:hAnsi="Times"/>
          <w:strike/>
          <w:color w:val="000000"/>
          <w:szCs w:val="24"/>
        </w:rPr>
        <w:t>    8. The replacement of flexible gas tubing no greater than 4 feet (1219 mm) in length located downstream of the existing gas cock to an appliance, provided such gas tubing does not penetrate a wall.]</w:t>
      </w:r>
      <w:r w:rsidRPr="0001508F">
        <w:rPr>
          <w:rFonts w:ascii="Times" w:hAnsi="Times"/>
          <w:color w:val="000000"/>
          <w:szCs w:val="24"/>
        </w:rPr>
        <w:t xml:space="preserve"> </w:t>
      </w:r>
      <w:r w:rsidRPr="0001508F">
        <w:rPr>
          <w:spacing w:val="2"/>
          <w:w w:val="105"/>
          <w:szCs w:val="24"/>
          <w:u w:val="single"/>
        </w:rPr>
        <w:t>As</w:t>
      </w:r>
      <w:r w:rsidRPr="0001508F">
        <w:rPr>
          <w:b/>
          <w:bCs/>
          <w:spacing w:val="2"/>
          <w:w w:val="105"/>
          <w:szCs w:val="24"/>
          <w:u w:val="single"/>
        </w:rPr>
        <w:t xml:space="preserve"> </w:t>
      </w:r>
      <w:r w:rsidRPr="0001508F">
        <w:rPr>
          <w:spacing w:val="1"/>
          <w:szCs w:val="24"/>
          <w:u w:val="single"/>
        </w:rPr>
        <w:t xml:space="preserve">defined in Chapter 2 of the New York city existing building code, </w:t>
      </w:r>
      <w:r w:rsidRPr="0001508F">
        <w:rPr>
          <w:bCs/>
          <w:szCs w:val="24"/>
          <w:u w:val="single"/>
        </w:rPr>
        <w:t xml:space="preserve">the installation, relocation, repair and removal of certain plumbing work that may be performed without a permit provided the licensed plumber provides the department with monthly reports of work performed in accordance with section 105.3.1.2 </w:t>
      </w:r>
      <w:r w:rsidRPr="0001508F">
        <w:rPr>
          <w:spacing w:val="1"/>
          <w:szCs w:val="24"/>
          <w:u w:val="single"/>
        </w:rPr>
        <w:t xml:space="preserve"> of the New York city existing building code.</w:t>
      </w:r>
    </w:p>
    <w:p w14:paraId="0CCBE17B" w14:textId="77777777" w:rsidR="0001508F" w:rsidRPr="0001508F" w:rsidRDefault="0001508F" w:rsidP="0001508F">
      <w:pPr>
        <w:spacing w:before="120" w:after="120"/>
        <w:rPr>
          <w:b/>
          <w:szCs w:val="24"/>
        </w:rPr>
      </w:pPr>
    </w:p>
    <w:p w14:paraId="0495E35C" w14:textId="77777777" w:rsidR="0001508F" w:rsidRPr="0001508F" w:rsidRDefault="0001508F" w:rsidP="0001508F">
      <w:pPr>
        <w:widowControl w:val="0"/>
        <w:spacing w:before="120" w:after="120" w:line="480" w:lineRule="auto"/>
        <w:ind w:firstLine="720"/>
        <w:rPr>
          <w:rFonts w:eastAsia="Calibri"/>
          <w:b/>
          <w:szCs w:val="24"/>
        </w:rPr>
      </w:pPr>
      <w:r w:rsidRPr="0001508F">
        <w:rPr>
          <w:rFonts w:eastAsia="Calibri"/>
          <w:szCs w:val="24"/>
        </w:rPr>
        <w:t>§ 18. Section 28-116.2 of the administrative code of the city of New York, as amended by local law number 126 for the year 2021, is amended to read as follows:</w:t>
      </w:r>
    </w:p>
    <w:p w14:paraId="053FF254" w14:textId="77777777" w:rsidR="0001508F" w:rsidRPr="0001508F" w:rsidRDefault="0001508F" w:rsidP="0001508F">
      <w:pPr>
        <w:widowControl w:val="0"/>
        <w:spacing w:before="120" w:after="120"/>
        <w:rPr>
          <w:rFonts w:eastAsia="Calibri"/>
          <w:bCs/>
          <w:szCs w:val="24"/>
          <w:u w:val="single"/>
        </w:rPr>
      </w:pPr>
      <w:r w:rsidRPr="0001508F">
        <w:rPr>
          <w:rFonts w:eastAsia="Calibri"/>
          <w:b/>
          <w:szCs w:val="24"/>
        </w:rPr>
        <w:t xml:space="preserve">§28-116.2 Types of inspections </w:t>
      </w:r>
      <w:r w:rsidRPr="0001508F">
        <w:rPr>
          <w:rFonts w:eastAsia="Calibri"/>
          <w:b/>
          <w:szCs w:val="24"/>
          <w:u w:val="single"/>
        </w:rPr>
        <w:t>and assessments</w:t>
      </w:r>
      <w:r w:rsidRPr="0001508F">
        <w:rPr>
          <w:rFonts w:eastAsia="Calibri"/>
          <w:b/>
          <w:szCs w:val="24"/>
        </w:rPr>
        <w:t xml:space="preserve">. </w:t>
      </w:r>
      <w:r w:rsidRPr="0001508F">
        <w:rPr>
          <w:rFonts w:eastAsia="Calibri"/>
          <w:bCs/>
          <w:szCs w:val="24"/>
        </w:rPr>
        <w:t>The inspections and assessments set forth in sections 28-116.2.1 through [</w:t>
      </w:r>
      <w:r w:rsidRPr="0001508F">
        <w:rPr>
          <w:rFonts w:eastAsia="Calibri"/>
          <w:bCs/>
          <w:strike/>
          <w:szCs w:val="24"/>
        </w:rPr>
        <w:t>28-116.2.4</w:t>
      </w:r>
      <w:r w:rsidRPr="0001508F">
        <w:rPr>
          <w:rFonts w:eastAsia="Calibri"/>
          <w:bCs/>
          <w:szCs w:val="24"/>
        </w:rPr>
        <w:t>]</w:t>
      </w:r>
      <w:r w:rsidRPr="0001508F">
        <w:rPr>
          <w:rFonts w:eastAsia="Calibri"/>
          <w:bCs/>
          <w:szCs w:val="24"/>
          <w:u w:val="single"/>
        </w:rPr>
        <w:t>28-116.2.6</w:t>
      </w:r>
      <w:r w:rsidRPr="0001508F">
        <w:rPr>
          <w:rFonts w:eastAsia="Calibri"/>
          <w:bCs/>
          <w:szCs w:val="24"/>
        </w:rPr>
        <w:t xml:space="preserve"> are required or authorized by this code. </w:t>
      </w:r>
    </w:p>
    <w:p w14:paraId="014032F2" w14:textId="77777777" w:rsidR="0001508F" w:rsidRPr="0001508F" w:rsidRDefault="0001508F" w:rsidP="0001508F">
      <w:pPr>
        <w:widowControl w:val="0"/>
        <w:spacing w:before="120" w:after="120"/>
        <w:rPr>
          <w:rFonts w:eastAsia="Calibri"/>
          <w:b/>
          <w:szCs w:val="24"/>
          <w:u w:val="single"/>
        </w:rPr>
      </w:pPr>
    </w:p>
    <w:p w14:paraId="16EF2AC2" w14:textId="77777777" w:rsidR="0001508F" w:rsidRPr="0001508F" w:rsidRDefault="0001508F" w:rsidP="0001508F">
      <w:pPr>
        <w:widowControl w:val="0"/>
        <w:spacing w:before="120" w:after="120" w:line="480" w:lineRule="auto"/>
        <w:ind w:firstLine="720"/>
        <w:rPr>
          <w:rFonts w:eastAsia="Calibri"/>
          <w:b/>
          <w:szCs w:val="24"/>
        </w:rPr>
      </w:pPr>
      <w:r w:rsidRPr="0001508F">
        <w:rPr>
          <w:rFonts w:eastAsia="Calibri"/>
          <w:szCs w:val="24"/>
        </w:rPr>
        <w:t>§ 19. Section 28-116.2.3.2 of the administrative code of the city of New York, as amended by local law number 126 for the year 2021, is amended to read as follows:</w:t>
      </w:r>
    </w:p>
    <w:p w14:paraId="70481AD5" w14:textId="77777777" w:rsidR="0001508F" w:rsidRPr="0001508F" w:rsidRDefault="0001508F" w:rsidP="0001508F">
      <w:pPr>
        <w:widowControl w:val="0"/>
        <w:spacing w:before="120" w:after="120"/>
        <w:rPr>
          <w:rFonts w:eastAsia="Calibri"/>
          <w:szCs w:val="24"/>
        </w:rPr>
      </w:pPr>
      <w:r w:rsidRPr="0001508F">
        <w:rPr>
          <w:rFonts w:eastAsia="Calibri"/>
          <w:b/>
          <w:szCs w:val="24"/>
        </w:rPr>
        <w:t xml:space="preserve">§28-116.2.3.2 Special inspection of </w:t>
      </w:r>
      <w:r w:rsidRPr="0001508F">
        <w:rPr>
          <w:rFonts w:eastAsia="Calibri"/>
          <w:b/>
          <w:szCs w:val="24"/>
          <w:u w:val="single"/>
        </w:rPr>
        <w:t>relocating, moving or</w:t>
      </w:r>
      <w:r w:rsidRPr="0001508F">
        <w:rPr>
          <w:rFonts w:eastAsia="Calibri"/>
          <w:b/>
          <w:szCs w:val="24"/>
        </w:rPr>
        <w:t xml:space="preserve"> raising [</w:t>
      </w:r>
      <w:r w:rsidRPr="0001508F">
        <w:rPr>
          <w:rFonts w:eastAsia="Calibri"/>
          <w:b/>
          <w:strike/>
          <w:szCs w:val="24"/>
        </w:rPr>
        <w:t>and moving</w:t>
      </w:r>
      <w:r w:rsidRPr="0001508F">
        <w:rPr>
          <w:rFonts w:eastAsia="Calibri"/>
          <w:b/>
          <w:szCs w:val="24"/>
        </w:rPr>
        <w:t>] of a building.</w:t>
      </w:r>
      <w:r w:rsidRPr="0001508F">
        <w:rPr>
          <w:rFonts w:eastAsia="Calibri"/>
          <w:szCs w:val="24"/>
        </w:rPr>
        <w:t xml:space="preserve"> </w:t>
      </w:r>
      <w:r w:rsidRPr="0001508F">
        <w:rPr>
          <w:rFonts w:eastAsia="Calibri"/>
          <w:spacing w:val="1"/>
          <w:szCs w:val="24"/>
        </w:rPr>
        <w:t xml:space="preserve">Where </w:t>
      </w:r>
      <w:r w:rsidRPr="0001508F">
        <w:rPr>
          <w:rFonts w:eastAsia="Calibri"/>
          <w:spacing w:val="1"/>
          <w:szCs w:val="24"/>
          <w:u w:val="single"/>
        </w:rPr>
        <w:t>an existing building is being relocated or moved or</w:t>
      </w:r>
      <w:r w:rsidRPr="0001508F">
        <w:rPr>
          <w:rFonts w:eastAsia="Calibri"/>
          <w:spacing w:val="1"/>
          <w:szCs w:val="24"/>
        </w:rPr>
        <w:t xml:space="preserve"> the lowest above-grade floor or the lowest subgrade floor of a building is to be raised, lifted[</w:t>
      </w:r>
      <w:r w:rsidRPr="0001508F">
        <w:rPr>
          <w:rFonts w:eastAsia="Calibri"/>
          <w:strike/>
          <w:spacing w:val="1"/>
          <w:szCs w:val="24"/>
        </w:rPr>
        <w:t>,</w:t>
      </w:r>
      <w:r w:rsidRPr="0001508F">
        <w:rPr>
          <w:rFonts w:eastAsia="Calibri"/>
          <w:spacing w:val="1"/>
          <w:szCs w:val="24"/>
        </w:rPr>
        <w:t xml:space="preserve">] </w:t>
      </w:r>
      <w:r w:rsidRPr="0001508F">
        <w:rPr>
          <w:rFonts w:eastAsia="Calibri"/>
          <w:spacing w:val="1"/>
          <w:szCs w:val="24"/>
          <w:u w:val="single"/>
        </w:rPr>
        <w:t>or</w:t>
      </w:r>
      <w:r w:rsidRPr="0001508F">
        <w:rPr>
          <w:rFonts w:eastAsia="Calibri"/>
          <w:spacing w:val="1"/>
          <w:szCs w:val="24"/>
        </w:rPr>
        <w:t xml:space="preserve"> elevated[</w:t>
      </w:r>
      <w:r w:rsidRPr="0001508F">
        <w:rPr>
          <w:rFonts w:eastAsia="Calibri"/>
          <w:strike/>
          <w:spacing w:val="1"/>
          <w:szCs w:val="24"/>
        </w:rPr>
        <w:t>or moved</w:t>
      </w:r>
      <w:r w:rsidRPr="0001508F">
        <w:rPr>
          <w:rFonts w:eastAsia="Calibri"/>
          <w:spacing w:val="1"/>
          <w:szCs w:val="24"/>
        </w:rPr>
        <w:t xml:space="preserve">], </w:t>
      </w:r>
      <w:r w:rsidRPr="0001508F">
        <w:rPr>
          <w:rFonts w:eastAsia="Calibri"/>
          <w:spacing w:val="1"/>
          <w:szCs w:val="24"/>
          <w:u w:val="single"/>
        </w:rPr>
        <w:t xml:space="preserve">periodic </w:t>
      </w:r>
      <w:r w:rsidRPr="0001508F">
        <w:rPr>
          <w:rFonts w:eastAsia="Calibri"/>
          <w:spacing w:val="1"/>
          <w:szCs w:val="24"/>
        </w:rPr>
        <w:t>special inspection of such work is required. The permit holder shall notify the department in writing at least 48 hours before the commencement of such work.</w:t>
      </w:r>
    </w:p>
    <w:p w14:paraId="193A583A" w14:textId="77777777" w:rsidR="0001508F" w:rsidRPr="0001508F" w:rsidRDefault="0001508F" w:rsidP="0001508F">
      <w:pPr>
        <w:shd w:val="clear" w:color="auto" w:fill="FFFFFF"/>
        <w:spacing w:line="480" w:lineRule="auto"/>
        <w:ind w:firstLine="360"/>
        <w:rPr>
          <w:rFonts w:eastAsia="Calibri"/>
          <w:szCs w:val="24"/>
        </w:rPr>
      </w:pPr>
      <w:r w:rsidRPr="0001508F">
        <w:rPr>
          <w:rFonts w:eastAsia="Calibri"/>
          <w:szCs w:val="24"/>
        </w:rPr>
        <w:t>§ 20. Section 28-116.2.4 of the administrative code of the city of New York, as amended by local law number 128 for the year 2024, is amended to read as follows:</w:t>
      </w:r>
    </w:p>
    <w:p w14:paraId="6E576815" w14:textId="77777777" w:rsidR="0001508F" w:rsidRPr="0001508F" w:rsidRDefault="0001508F" w:rsidP="0001508F">
      <w:pPr>
        <w:shd w:val="clear" w:color="auto" w:fill="FFFFFF"/>
        <w:spacing w:line="256" w:lineRule="auto"/>
        <w:rPr>
          <w:szCs w:val="24"/>
        </w:rPr>
      </w:pPr>
      <w:r w:rsidRPr="0001508F">
        <w:rPr>
          <w:b/>
          <w:bCs/>
          <w:szCs w:val="24"/>
        </w:rPr>
        <w:t>[</w:t>
      </w:r>
      <w:r w:rsidRPr="0001508F">
        <w:rPr>
          <w:b/>
          <w:bCs/>
          <w:strike/>
          <w:szCs w:val="24"/>
        </w:rPr>
        <w:t>§28-116.2.4</w:t>
      </w:r>
      <w:r w:rsidRPr="0001508F">
        <w:rPr>
          <w:b/>
          <w:bCs/>
          <w:szCs w:val="24"/>
        </w:rPr>
        <w:t xml:space="preserve">] </w:t>
      </w:r>
      <w:r w:rsidRPr="0001508F">
        <w:rPr>
          <w:b/>
          <w:bCs/>
          <w:szCs w:val="24"/>
          <w:u w:val="single"/>
        </w:rPr>
        <w:t>§28-116.2.6</w:t>
      </w:r>
      <w:r w:rsidRPr="0001508F">
        <w:rPr>
          <w:b/>
          <w:bCs/>
          <w:szCs w:val="24"/>
        </w:rPr>
        <w:t xml:space="preserve"> Final inspection. </w:t>
      </w:r>
      <w:r w:rsidRPr="0001508F">
        <w:rPr>
          <w:szCs w:val="24"/>
        </w:rPr>
        <w:t>There shall be a final inspection of all permitted work. Final inspections shall comply with sections [</w:t>
      </w:r>
      <w:r w:rsidRPr="0001508F">
        <w:rPr>
          <w:strike/>
          <w:szCs w:val="24"/>
        </w:rPr>
        <w:t>28-116.2.4.1</w:t>
      </w:r>
      <w:r w:rsidRPr="0001508F">
        <w:rPr>
          <w:szCs w:val="24"/>
        </w:rPr>
        <w:t>]</w:t>
      </w:r>
      <w:r w:rsidRPr="0001508F">
        <w:rPr>
          <w:szCs w:val="24"/>
          <w:u w:val="single"/>
        </w:rPr>
        <w:t>28-116.2.6.1</w:t>
      </w:r>
      <w:r w:rsidRPr="0001508F">
        <w:rPr>
          <w:szCs w:val="24"/>
        </w:rPr>
        <w:t xml:space="preserve"> through [</w:t>
      </w:r>
      <w:r w:rsidRPr="0001508F">
        <w:rPr>
          <w:strike/>
          <w:szCs w:val="24"/>
        </w:rPr>
        <w:t>28-116.2.4.3</w:t>
      </w:r>
      <w:r w:rsidRPr="0001508F">
        <w:rPr>
          <w:szCs w:val="24"/>
        </w:rPr>
        <w:t>]</w:t>
      </w:r>
      <w:r w:rsidRPr="0001508F">
        <w:rPr>
          <w:szCs w:val="24"/>
          <w:u w:val="single"/>
        </w:rPr>
        <w:t>28-116.2.6.4</w:t>
      </w:r>
      <w:r w:rsidRPr="0001508F">
        <w:rPr>
          <w:szCs w:val="24"/>
        </w:rPr>
        <w:t>.</w:t>
      </w:r>
    </w:p>
    <w:p w14:paraId="2A40E49E" w14:textId="77777777" w:rsidR="0001508F" w:rsidRPr="0001508F" w:rsidRDefault="0001508F" w:rsidP="0001508F">
      <w:pPr>
        <w:widowControl w:val="0"/>
        <w:spacing w:after="240"/>
        <w:ind w:left="720"/>
        <w:rPr>
          <w:spacing w:val="1"/>
          <w:szCs w:val="24"/>
        </w:rPr>
      </w:pPr>
      <w:r w:rsidRPr="0001508F">
        <w:rPr>
          <w:b/>
          <w:spacing w:val="1"/>
          <w:szCs w:val="24"/>
        </w:rPr>
        <w:t>Exception.</w:t>
      </w:r>
      <w:r w:rsidRPr="0001508F">
        <w:rPr>
          <w:spacing w:val="1"/>
          <w:szCs w:val="24"/>
        </w:rPr>
        <w:t xml:space="preserve"> A final inspection shall not be required for minor electrical work as defined in section 28</w:t>
      </w:r>
      <w:r w:rsidRPr="0001508F">
        <w:rPr>
          <w:spacing w:val="1"/>
          <w:szCs w:val="24"/>
        </w:rPr>
        <w:noBreakHyphen/>
        <w:t>101.5.</w:t>
      </w:r>
    </w:p>
    <w:p w14:paraId="168F45F6" w14:textId="77777777" w:rsidR="0001508F" w:rsidRPr="0001508F" w:rsidRDefault="0001508F" w:rsidP="0001508F">
      <w:pPr>
        <w:widowControl w:val="0"/>
        <w:spacing w:before="120" w:after="120" w:line="480" w:lineRule="auto"/>
        <w:ind w:firstLine="720"/>
        <w:rPr>
          <w:rFonts w:eastAsia="Calibri"/>
          <w:b/>
          <w:szCs w:val="24"/>
        </w:rPr>
      </w:pPr>
      <w:r w:rsidRPr="0001508F">
        <w:rPr>
          <w:rFonts w:eastAsia="Calibri"/>
          <w:szCs w:val="24"/>
        </w:rPr>
        <w:t>§ 21. Article 116 of chapter 1 of title 28 of the administrative code of the city of New York, is amended by adding new sections 28-116.2.4 and 28-116.2.5 to read as follows:</w:t>
      </w:r>
    </w:p>
    <w:p w14:paraId="117BA990" w14:textId="77777777" w:rsidR="0001508F" w:rsidRPr="0001508F" w:rsidRDefault="0001508F" w:rsidP="0001508F">
      <w:pPr>
        <w:widowControl w:val="0"/>
        <w:spacing w:before="120" w:after="120"/>
        <w:rPr>
          <w:rFonts w:eastAsia="Arial"/>
          <w:szCs w:val="24"/>
          <w:u w:val="single"/>
        </w:rPr>
      </w:pPr>
      <w:r w:rsidRPr="0001508F">
        <w:rPr>
          <w:rFonts w:eastAsia="Calibri"/>
          <w:b/>
          <w:szCs w:val="24"/>
          <w:u w:val="single"/>
        </w:rPr>
        <w:t xml:space="preserve">§ 28-116.2.4 Structural condition assessments. </w:t>
      </w:r>
      <w:r w:rsidRPr="0001508F">
        <w:rPr>
          <w:rFonts w:eastAsia="Arial"/>
          <w:szCs w:val="24"/>
          <w:u w:val="single"/>
        </w:rPr>
        <w:t>Initial and detailed condition assessments shall be performed before and during the construction phase of the project as provided for in section 704 of the New York city existing building code.</w:t>
      </w:r>
    </w:p>
    <w:p w14:paraId="5024BFD2" w14:textId="77777777" w:rsidR="0001508F" w:rsidRPr="0001508F" w:rsidRDefault="0001508F" w:rsidP="0001508F">
      <w:pPr>
        <w:widowControl w:val="0"/>
        <w:spacing w:before="120" w:after="120"/>
        <w:ind w:left="360"/>
        <w:rPr>
          <w:rFonts w:eastAsia="MS Gothic"/>
          <w:b/>
          <w:szCs w:val="24"/>
          <w:u w:val="single"/>
        </w:rPr>
      </w:pPr>
    </w:p>
    <w:p w14:paraId="2CDFB235" w14:textId="77777777" w:rsidR="0001508F" w:rsidRPr="0001508F" w:rsidRDefault="0001508F" w:rsidP="0001508F">
      <w:pPr>
        <w:widowControl w:val="0"/>
        <w:spacing w:before="120" w:after="120"/>
        <w:ind w:left="360"/>
        <w:rPr>
          <w:rFonts w:eastAsia="MS Gothic"/>
          <w:bCs/>
          <w:szCs w:val="24"/>
          <w:u w:val="single"/>
        </w:rPr>
      </w:pPr>
      <w:r w:rsidRPr="0001508F">
        <w:rPr>
          <w:rFonts w:eastAsia="MS Gothic"/>
          <w:b/>
          <w:szCs w:val="24"/>
          <w:u w:val="single"/>
        </w:rPr>
        <w:t xml:space="preserve">§ 28-116.2.5 Architectural conditions assessment. </w:t>
      </w:r>
      <w:r w:rsidRPr="0001508F">
        <w:rPr>
          <w:rFonts w:eastAsia="MS Gothic"/>
          <w:bCs/>
          <w:szCs w:val="24"/>
          <w:u w:val="single"/>
        </w:rPr>
        <w:t>Where an existing building is being altered and the work area exceeds 50 percent of the floor area, the design professional of record shall perform an assessment of certain building elements within the work area to evaluate their condition. Such assessment shall be performed in accordance with section 803.10 of the New York city existing building code.</w:t>
      </w:r>
    </w:p>
    <w:p w14:paraId="1CC469B5" w14:textId="77777777" w:rsidR="0001508F" w:rsidRPr="0001508F" w:rsidRDefault="0001508F" w:rsidP="0001508F">
      <w:pPr>
        <w:widowControl w:val="0"/>
        <w:spacing w:before="120" w:after="120" w:line="480" w:lineRule="auto"/>
        <w:ind w:firstLine="720"/>
        <w:rPr>
          <w:rFonts w:eastAsia="Calibri"/>
          <w:szCs w:val="24"/>
        </w:rPr>
      </w:pPr>
    </w:p>
    <w:p w14:paraId="3617FF0D" w14:textId="77777777" w:rsidR="0001508F" w:rsidRPr="0001508F" w:rsidRDefault="0001508F" w:rsidP="0001508F">
      <w:pPr>
        <w:widowControl w:val="0"/>
        <w:spacing w:before="120" w:after="120" w:line="480" w:lineRule="auto"/>
        <w:ind w:firstLine="720"/>
        <w:rPr>
          <w:rFonts w:eastAsia="Calibri"/>
          <w:szCs w:val="24"/>
        </w:rPr>
      </w:pPr>
      <w:r w:rsidRPr="0001508F">
        <w:rPr>
          <w:rFonts w:eastAsia="Calibri"/>
          <w:szCs w:val="24"/>
        </w:rPr>
        <w:t>§ 22. Sections 28-116.2.4.1, 28-116.2.4.2 and 28-116.2.4.3 of the administrative code of the city of New York are redesignated as sections 28-116.2.6.1, 28-116.2.6.2 and 28-116.2.6.3, respectively and a new section 28-116.2.6.4 is added to read as follows:</w:t>
      </w:r>
    </w:p>
    <w:p w14:paraId="51A05556" w14:textId="77777777" w:rsidR="0001508F" w:rsidRPr="0001508F" w:rsidRDefault="0001508F" w:rsidP="0001508F">
      <w:pPr>
        <w:rPr>
          <w:color w:val="000000"/>
          <w:szCs w:val="24"/>
          <w:u w:val="single"/>
        </w:rPr>
      </w:pPr>
      <w:r w:rsidRPr="0001508F">
        <w:rPr>
          <w:b/>
          <w:bCs/>
          <w:color w:val="000000"/>
          <w:szCs w:val="24"/>
          <w:u w:val="single"/>
        </w:rPr>
        <w:t>28-116.2.6.4 Electrical final inspection.</w:t>
      </w:r>
      <w:r w:rsidRPr="0001508F">
        <w:rPr>
          <w:color w:val="000000"/>
          <w:szCs w:val="24"/>
          <w:u w:val="single"/>
        </w:rPr>
        <w:t xml:space="preserve"> Final inspections for electrical work for which a permit is required shall be performed in accordance with the New York city electrical code and applicable department rules.</w:t>
      </w:r>
    </w:p>
    <w:p w14:paraId="0EF6A640" w14:textId="77777777" w:rsidR="0001508F" w:rsidRPr="0001508F" w:rsidRDefault="0001508F" w:rsidP="0001508F">
      <w:pPr>
        <w:rPr>
          <w:color w:val="000000"/>
          <w:szCs w:val="24"/>
          <w:u w:val="single"/>
        </w:rPr>
      </w:pPr>
    </w:p>
    <w:p w14:paraId="2754AF35" w14:textId="77777777" w:rsidR="0001508F" w:rsidRPr="0001508F" w:rsidRDefault="0001508F" w:rsidP="0001508F">
      <w:pPr>
        <w:widowControl w:val="0"/>
        <w:spacing w:before="120" w:after="120" w:line="480" w:lineRule="auto"/>
        <w:ind w:firstLine="720"/>
        <w:rPr>
          <w:rFonts w:eastAsia="Calibri"/>
          <w:b/>
          <w:szCs w:val="24"/>
        </w:rPr>
      </w:pPr>
      <w:r w:rsidRPr="0001508F">
        <w:rPr>
          <w:rFonts w:eastAsia="Calibri"/>
          <w:szCs w:val="24"/>
        </w:rPr>
        <w:t>§ 23. Section 28-117.1 of the administrative code of the city of New York, as amended by local law number 126 for the year 2021, is amended to read as follows:</w:t>
      </w:r>
    </w:p>
    <w:p w14:paraId="76D24271" w14:textId="77777777" w:rsidR="0001508F" w:rsidRPr="0001508F" w:rsidRDefault="0001508F" w:rsidP="0001508F">
      <w:pPr>
        <w:suppressAutoHyphens/>
        <w:spacing w:after="240"/>
        <w:rPr>
          <w:bCs/>
          <w:szCs w:val="24"/>
        </w:rPr>
      </w:pPr>
      <w:r w:rsidRPr="0001508F">
        <w:rPr>
          <w:b/>
          <w:szCs w:val="24"/>
        </w:rPr>
        <w:t>§ 28-117.1 Place of assembly certificate of operation.</w:t>
      </w:r>
      <w:r w:rsidRPr="0001508F">
        <w:rPr>
          <w:bCs/>
          <w:szCs w:val="24"/>
        </w:rPr>
        <w:t xml:space="preserve"> It shall be unlawful to use or occupy any building or space, including an outdoor space, as a place of assembly without a certificate of operation issued by the commissioner. An application for a certificate of operation shall be made to the department in such form and containing such information as the commissioner shall provide. The department shall inspect every place of assembly space prior to the issuance of a certificate of operation. The commissioner shall not issue a certificate of operation unless the department determines that the space conforms substantially to the approved construction documents and to this code or the 1968 building code as applicable and that the certificate of occupancy authorizes such use. A certificate of operation shall not be issued to a place of assembly providing seating or other moveable furnishings unless the commissioner approves a plan conforming to this code or the 1968 building code as applicable and the rules of the department. Seating and other moveable furnishings shall be maintained at all times during occupancy in accordance with the approved plan. Any amendment of such plan shall be subject to the prior approval of the commissioner.</w:t>
      </w:r>
    </w:p>
    <w:p w14:paraId="7B4BE01C" w14:textId="77777777" w:rsidR="0001508F" w:rsidRPr="0001508F" w:rsidRDefault="0001508F" w:rsidP="0001508F">
      <w:pPr>
        <w:suppressAutoHyphens/>
        <w:spacing w:after="240"/>
        <w:ind w:left="360"/>
        <w:rPr>
          <w:bCs/>
          <w:szCs w:val="24"/>
          <w:u w:val="single"/>
        </w:rPr>
      </w:pPr>
      <w:r w:rsidRPr="0001508F">
        <w:rPr>
          <w:b/>
          <w:szCs w:val="24"/>
          <w:u w:val="single"/>
        </w:rPr>
        <w:t>Exception:</w:t>
      </w:r>
      <w:r w:rsidRPr="0001508F">
        <w:rPr>
          <w:bCs/>
          <w:szCs w:val="24"/>
          <w:u w:val="single"/>
        </w:rPr>
        <w:t xml:space="preserve"> A place of assembly certificate of operation shall not be required in certain existing special occupancy structures in accordance with section 305.5.18 of the New York city existing building code.</w:t>
      </w:r>
    </w:p>
    <w:p w14:paraId="28E18424" w14:textId="77777777" w:rsidR="0001508F" w:rsidRPr="0001508F" w:rsidRDefault="0001508F" w:rsidP="0001508F">
      <w:pPr>
        <w:widowControl w:val="0"/>
        <w:spacing w:before="120" w:after="120"/>
        <w:ind w:left="540"/>
        <w:rPr>
          <w:rFonts w:eastAsia="Calibri"/>
          <w:b/>
          <w:bCs/>
          <w:spacing w:val="-10"/>
          <w:w w:val="110"/>
          <w:szCs w:val="24"/>
        </w:rPr>
      </w:pPr>
    </w:p>
    <w:p w14:paraId="6E971731" w14:textId="77777777" w:rsidR="0001508F" w:rsidRPr="0001508F" w:rsidRDefault="0001508F" w:rsidP="0001508F">
      <w:pPr>
        <w:widowControl w:val="0"/>
        <w:spacing w:before="120" w:after="120" w:line="480" w:lineRule="auto"/>
        <w:ind w:firstLine="720"/>
        <w:rPr>
          <w:rFonts w:eastAsia="Calibri"/>
          <w:b/>
          <w:bCs/>
          <w:spacing w:val="-10"/>
          <w:w w:val="110"/>
          <w:szCs w:val="24"/>
        </w:rPr>
      </w:pPr>
      <w:r w:rsidRPr="0001508F">
        <w:rPr>
          <w:rFonts w:eastAsia="Calibri"/>
          <w:szCs w:val="24"/>
        </w:rPr>
        <w:t>§ 23. Section 28-117.1.2 of the administrative code of the city of New York, as amended by local law number 126 for the year 2021, is amended to read as follows:</w:t>
      </w:r>
    </w:p>
    <w:p w14:paraId="3561A2E5" w14:textId="77777777" w:rsidR="0001508F" w:rsidRPr="0001508F" w:rsidRDefault="0001508F" w:rsidP="0001508F">
      <w:pPr>
        <w:widowControl w:val="0"/>
        <w:spacing w:before="120" w:after="120"/>
        <w:rPr>
          <w:rFonts w:eastAsia="Calibri"/>
          <w:spacing w:val="1"/>
          <w:szCs w:val="24"/>
        </w:rPr>
      </w:pPr>
      <w:r w:rsidRPr="0001508F">
        <w:rPr>
          <w:rFonts w:eastAsia="Calibri"/>
          <w:b/>
          <w:bCs/>
          <w:spacing w:val="-10"/>
          <w:w w:val="110"/>
          <w:szCs w:val="24"/>
        </w:rPr>
        <w:t xml:space="preserve">§ </w:t>
      </w:r>
      <w:r w:rsidRPr="0001508F">
        <w:rPr>
          <w:rFonts w:eastAsia="Calibri"/>
          <w:b/>
          <w:szCs w:val="24"/>
        </w:rPr>
        <w:t xml:space="preserve">28-117.1.2 New certificate required. </w:t>
      </w:r>
      <w:r w:rsidRPr="0001508F">
        <w:rPr>
          <w:rFonts w:eastAsia="Calibri"/>
          <w:spacing w:val="1"/>
          <w:szCs w:val="24"/>
        </w:rPr>
        <w:t>The following changes to a place of assembly shall require a new place of assembly certificate of operation instead of an amendment filed in accordance with section 28-117.1.3:</w:t>
      </w:r>
    </w:p>
    <w:p w14:paraId="7DB2FAD6" w14:textId="77777777" w:rsidR="0001508F" w:rsidRPr="0001508F" w:rsidRDefault="0001508F" w:rsidP="0001508F">
      <w:pPr>
        <w:widowControl w:val="0"/>
        <w:spacing w:before="120" w:after="120"/>
        <w:ind w:left="1080" w:hanging="360"/>
        <w:contextualSpacing/>
        <w:rPr>
          <w:rFonts w:eastAsia="Calibri"/>
          <w:spacing w:val="1"/>
          <w:szCs w:val="24"/>
        </w:rPr>
      </w:pPr>
      <w:r w:rsidRPr="0001508F">
        <w:rPr>
          <w:rFonts w:eastAsia="Calibri"/>
          <w:spacing w:val="1"/>
          <w:szCs w:val="24"/>
        </w:rPr>
        <w:t>1.</w:t>
      </w:r>
      <w:r w:rsidRPr="0001508F">
        <w:rPr>
          <w:rFonts w:eastAsia="Calibri"/>
          <w:spacing w:val="1"/>
          <w:szCs w:val="24"/>
        </w:rPr>
        <w:tab/>
        <w:t>For a department issued place of assembly permit or place of assembly certificate of operation that does not have a nine-digit job number, any change of zoning use group, assembly occupancy group A-1 through A-5, or any of the changes set forth in section 28-117.1.3.</w:t>
      </w:r>
    </w:p>
    <w:p w14:paraId="564DE72A" w14:textId="77777777" w:rsidR="0001508F" w:rsidRPr="0001508F" w:rsidRDefault="0001508F" w:rsidP="0001508F">
      <w:pPr>
        <w:widowControl w:val="0"/>
        <w:spacing w:before="120" w:after="120"/>
        <w:ind w:left="1080" w:hanging="360"/>
        <w:contextualSpacing/>
        <w:rPr>
          <w:rFonts w:eastAsia="Calibri"/>
          <w:spacing w:val="1"/>
          <w:szCs w:val="24"/>
        </w:rPr>
      </w:pPr>
      <w:r w:rsidRPr="0001508F">
        <w:rPr>
          <w:rFonts w:eastAsia="Calibri"/>
          <w:spacing w:val="1"/>
          <w:szCs w:val="24"/>
        </w:rPr>
        <w:t>2.</w:t>
      </w:r>
      <w:r w:rsidRPr="0001508F">
        <w:rPr>
          <w:rFonts w:eastAsia="Calibri"/>
          <w:spacing w:val="1"/>
          <w:szCs w:val="24"/>
        </w:rPr>
        <w:tab/>
        <w:t>For all other department issued place of assembly permits or place of assembly certificates of operation, any change of zoning use group or assembly occupancy group A-1 through A-5.</w:t>
      </w:r>
    </w:p>
    <w:p w14:paraId="05AA272E" w14:textId="77777777" w:rsidR="0001508F" w:rsidRPr="0001508F" w:rsidRDefault="0001508F" w:rsidP="0001508F">
      <w:pPr>
        <w:widowControl w:val="0"/>
        <w:spacing w:before="120" w:after="120"/>
        <w:ind w:left="1080" w:hanging="360"/>
        <w:contextualSpacing/>
        <w:rPr>
          <w:rFonts w:eastAsia="Calibri"/>
          <w:spacing w:val="1"/>
          <w:szCs w:val="24"/>
          <w:u w:val="single"/>
        </w:rPr>
      </w:pPr>
      <w:r w:rsidRPr="0001508F">
        <w:rPr>
          <w:rFonts w:eastAsia="Calibri"/>
          <w:spacing w:val="1"/>
          <w:szCs w:val="24"/>
          <w:u w:val="single"/>
        </w:rPr>
        <w:t>3.</w:t>
      </w:r>
      <w:r w:rsidRPr="0001508F">
        <w:rPr>
          <w:rFonts w:eastAsia="Calibri"/>
          <w:spacing w:val="1"/>
          <w:szCs w:val="24"/>
          <w:u w:val="single"/>
        </w:rPr>
        <w:tab/>
        <w:t>Where required by section 305.5.18.3 of the New York city existing building code.</w:t>
      </w:r>
    </w:p>
    <w:p w14:paraId="6BADB8EB" w14:textId="77777777" w:rsidR="0001508F" w:rsidRPr="0001508F" w:rsidRDefault="0001508F" w:rsidP="0001508F">
      <w:pPr>
        <w:widowControl w:val="0"/>
        <w:spacing w:before="120" w:after="120"/>
        <w:ind w:left="360"/>
        <w:rPr>
          <w:rFonts w:eastAsia="Calibri"/>
          <w:b/>
          <w:szCs w:val="24"/>
        </w:rPr>
      </w:pPr>
    </w:p>
    <w:p w14:paraId="029C0BD5" w14:textId="77777777" w:rsidR="0001508F" w:rsidRPr="0001508F" w:rsidRDefault="0001508F" w:rsidP="0001508F">
      <w:pPr>
        <w:widowControl w:val="0"/>
        <w:spacing w:before="120" w:after="120" w:line="480" w:lineRule="auto"/>
        <w:ind w:firstLine="720"/>
        <w:rPr>
          <w:rFonts w:eastAsia="Calibri"/>
          <w:b/>
          <w:bCs/>
          <w:spacing w:val="-10"/>
          <w:w w:val="110"/>
          <w:szCs w:val="24"/>
        </w:rPr>
      </w:pPr>
      <w:r w:rsidRPr="0001508F">
        <w:rPr>
          <w:rFonts w:eastAsia="Calibri"/>
          <w:szCs w:val="24"/>
        </w:rPr>
        <w:t>§ 24. Section 28-117.1.3 of the administrative code of the city of New York, as amended by local law number 126 for the year 2021, is amended to read as follows:</w:t>
      </w:r>
    </w:p>
    <w:p w14:paraId="377E929E" w14:textId="77777777" w:rsidR="0001508F" w:rsidRPr="0001508F" w:rsidRDefault="0001508F" w:rsidP="0001508F">
      <w:pPr>
        <w:widowControl w:val="0"/>
        <w:spacing w:before="120" w:after="120"/>
        <w:ind w:left="360"/>
        <w:rPr>
          <w:rFonts w:eastAsia="Calibri"/>
          <w:b/>
          <w:szCs w:val="24"/>
        </w:rPr>
      </w:pPr>
    </w:p>
    <w:p w14:paraId="0DCB7FA3" w14:textId="77777777" w:rsidR="0001508F" w:rsidRPr="0001508F" w:rsidRDefault="0001508F" w:rsidP="0001508F">
      <w:pPr>
        <w:widowControl w:val="0"/>
        <w:spacing w:before="120" w:after="120"/>
        <w:rPr>
          <w:rFonts w:eastAsia="Calibri"/>
          <w:bCs/>
          <w:szCs w:val="24"/>
        </w:rPr>
      </w:pPr>
      <w:r w:rsidRPr="0001508F">
        <w:rPr>
          <w:rFonts w:eastAsia="Calibri"/>
          <w:b/>
          <w:szCs w:val="24"/>
        </w:rPr>
        <w:t>§ 28-117.1.3 Amendments.</w:t>
      </w:r>
      <w:r w:rsidRPr="0001508F">
        <w:rPr>
          <w:rFonts w:eastAsia="Calibri"/>
          <w:bCs/>
          <w:szCs w:val="24"/>
        </w:rPr>
        <w:t xml:space="preserve"> No change shall be made to a place of assembly that is inconsistent with the most recently issued place of assembly certificate of operation or renewal unless an amendment to such certificate is filed with and approved or accepted by the department. Changes that require an amendment include any of the following:</w:t>
      </w:r>
    </w:p>
    <w:p w14:paraId="52EC383A" w14:textId="77777777" w:rsidR="0001508F" w:rsidRPr="0001508F" w:rsidRDefault="0001508F" w:rsidP="0001508F">
      <w:pPr>
        <w:widowControl w:val="0"/>
        <w:spacing w:before="120" w:after="120"/>
        <w:ind w:left="1080" w:hanging="360"/>
        <w:rPr>
          <w:rFonts w:eastAsia="Calibri"/>
          <w:bCs/>
          <w:szCs w:val="24"/>
        </w:rPr>
      </w:pPr>
      <w:r w:rsidRPr="0001508F">
        <w:rPr>
          <w:rFonts w:eastAsia="Calibri"/>
          <w:bCs/>
          <w:szCs w:val="24"/>
        </w:rPr>
        <w:t>1.</w:t>
      </w:r>
      <w:r w:rsidRPr="0001508F">
        <w:rPr>
          <w:rFonts w:eastAsia="Calibri"/>
          <w:bCs/>
          <w:szCs w:val="24"/>
        </w:rPr>
        <w:tab/>
        <w:t>Any physical change requiring an alteration permit to be issued by the department.</w:t>
      </w:r>
    </w:p>
    <w:p w14:paraId="4B35E2C2" w14:textId="77777777" w:rsidR="0001508F" w:rsidRPr="0001508F" w:rsidRDefault="0001508F" w:rsidP="0001508F">
      <w:pPr>
        <w:widowControl w:val="0"/>
        <w:spacing w:before="120" w:after="120"/>
        <w:ind w:left="1080" w:hanging="360"/>
        <w:rPr>
          <w:rFonts w:eastAsia="Calibri"/>
          <w:bCs/>
          <w:szCs w:val="24"/>
        </w:rPr>
      </w:pPr>
      <w:r w:rsidRPr="0001508F">
        <w:rPr>
          <w:rFonts w:eastAsia="Calibri"/>
          <w:bCs/>
          <w:szCs w:val="24"/>
        </w:rPr>
        <w:t>2.</w:t>
      </w:r>
      <w:r w:rsidRPr="0001508F">
        <w:rPr>
          <w:rFonts w:eastAsia="Calibri"/>
          <w:bCs/>
          <w:szCs w:val="24"/>
        </w:rPr>
        <w:tab/>
        <w:t>Any amendment to the plan for seating and other moveable furnishing, in accordance with section 28-117.1.</w:t>
      </w:r>
    </w:p>
    <w:p w14:paraId="6D491693" w14:textId="77777777" w:rsidR="0001508F" w:rsidRPr="0001508F" w:rsidRDefault="0001508F" w:rsidP="0001508F">
      <w:pPr>
        <w:widowControl w:val="0"/>
        <w:spacing w:before="120" w:after="120"/>
        <w:ind w:left="1080" w:hanging="360"/>
        <w:rPr>
          <w:rFonts w:eastAsia="Calibri"/>
          <w:bCs/>
          <w:szCs w:val="24"/>
        </w:rPr>
      </w:pPr>
      <w:r w:rsidRPr="0001508F">
        <w:rPr>
          <w:rFonts w:eastAsia="Calibri"/>
          <w:bCs/>
          <w:szCs w:val="24"/>
        </w:rPr>
        <w:t>3.</w:t>
      </w:r>
      <w:r w:rsidRPr="0001508F">
        <w:rPr>
          <w:rFonts w:eastAsia="Calibri"/>
          <w:bCs/>
          <w:szCs w:val="24"/>
        </w:rPr>
        <w:tab/>
        <w:t>Any change to the name of the establishment.</w:t>
      </w:r>
    </w:p>
    <w:p w14:paraId="27F3E709" w14:textId="77777777" w:rsidR="0001508F" w:rsidRPr="0001508F" w:rsidRDefault="0001508F" w:rsidP="0001508F">
      <w:pPr>
        <w:widowControl w:val="0"/>
        <w:spacing w:before="120" w:after="120"/>
        <w:ind w:left="1080" w:hanging="360"/>
        <w:rPr>
          <w:rFonts w:eastAsia="Calibri"/>
          <w:bCs/>
          <w:szCs w:val="24"/>
          <w:u w:val="single"/>
        </w:rPr>
      </w:pPr>
      <w:r w:rsidRPr="0001508F">
        <w:rPr>
          <w:rFonts w:eastAsia="Calibri"/>
          <w:bCs/>
          <w:szCs w:val="24"/>
          <w:u w:val="single"/>
        </w:rPr>
        <w:t>4.</w:t>
      </w:r>
      <w:r w:rsidRPr="0001508F">
        <w:rPr>
          <w:rFonts w:eastAsia="Calibri"/>
          <w:bCs/>
          <w:szCs w:val="24"/>
          <w:u w:val="single"/>
        </w:rPr>
        <w:tab/>
        <w:t>Where required by section 305.5.18 of the New York city existing building code unless limited work is permitted within an assembly space in accordance with such section.</w:t>
      </w:r>
    </w:p>
    <w:p w14:paraId="52F311D2" w14:textId="77777777" w:rsidR="0001508F" w:rsidRPr="0001508F" w:rsidRDefault="0001508F" w:rsidP="0001508F">
      <w:pPr>
        <w:widowControl w:val="0"/>
        <w:spacing w:before="120" w:after="120" w:line="480" w:lineRule="auto"/>
        <w:ind w:firstLine="720"/>
        <w:rPr>
          <w:rFonts w:eastAsia="Calibri"/>
          <w:szCs w:val="24"/>
        </w:rPr>
      </w:pPr>
    </w:p>
    <w:p w14:paraId="51FF7F0D" w14:textId="77777777" w:rsidR="0001508F" w:rsidRPr="0001508F" w:rsidRDefault="0001508F" w:rsidP="0001508F">
      <w:pPr>
        <w:widowControl w:val="0"/>
        <w:spacing w:before="120" w:after="120" w:line="480" w:lineRule="auto"/>
        <w:ind w:firstLine="720"/>
        <w:rPr>
          <w:rFonts w:eastAsia="Calibri"/>
          <w:b/>
          <w:bCs/>
          <w:spacing w:val="-10"/>
          <w:w w:val="110"/>
          <w:szCs w:val="24"/>
        </w:rPr>
      </w:pPr>
      <w:r w:rsidRPr="0001508F">
        <w:rPr>
          <w:rFonts w:eastAsia="Calibri"/>
          <w:szCs w:val="24"/>
        </w:rPr>
        <w:t>§ 25. Section 28-118.3.1 of the administrative code of the city of New York, as amended by local law number 126 for the year 2021, is amended to read as follows:</w:t>
      </w:r>
    </w:p>
    <w:p w14:paraId="51BA06CA" w14:textId="77777777" w:rsidR="0001508F" w:rsidRPr="0001508F" w:rsidRDefault="0001508F" w:rsidP="0001508F">
      <w:pPr>
        <w:widowControl w:val="0"/>
        <w:spacing w:before="120" w:after="120"/>
        <w:rPr>
          <w:spacing w:val="1"/>
          <w:szCs w:val="24"/>
        </w:rPr>
      </w:pPr>
      <w:r w:rsidRPr="0001508F">
        <w:rPr>
          <w:b/>
          <w:bCs/>
          <w:szCs w:val="24"/>
        </w:rPr>
        <w:t>§ 28-118.3.1 Change of occupancy or use</w:t>
      </w:r>
      <w:r w:rsidRPr="0001508F">
        <w:rPr>
          <w:b/>
          <w:bCs/>
          <w:spacing w:val="-4"/>
          <w:w w:val="110"/>
          <w:szCs w:val="24"/>
        </w:rPr>
        <w:t xml:space="preserve">. </w:t>
      </w:r>
      <w:r w:rsidRPr="0001508F">
        <w:rPr>
          <w:spacing w:val="1"/>
          <w:szCs w:val="24"/>
        </w:rPr>
        <w:t>No building, open lot or portion thereof hereafter altered so as to change from one occupancy group to another, or from one zoning use group to another, either in whole or in part, shall be occupied or used unless and until the commissioner has issued a certificate of occupancy certifying that the alteration work for which the permit was issued has been completed substantially in accordance with the approved construction documents and the provisions of [</w:t>
      </w:r>
      <w:r w:rsidRPr="0001508F">
        <w:rPr>
          <w:strike/>
          <w:spacing w:val="1"/>
          <w:szCs w:val="24"/>
        </w:rPr>
        <w:t>this code</w:t>
      </w:r>
      <w:r w:rsidRPr="0001508F">
        <w:rPr>
          <w:spacing w:val="1"/>
          <w:szCs w:val="24"/>
        </w:rPr>
        <w:t xml:space="preserve">] </w:t>
      </w:r>
      <w:r w:rsidRPr="0001508F">
        <w:rPr>
          <w:spacing w:val="1"/>
          <w:szCs w:val="24"/>
          <w:u w:val="single"/>
        </w:rPr>
        <w:t>chapter 10 of the New York city existing building code</w:t>
      </w:r>
      <w:r w:rsidRPr="0001508F">
        <w:rPr>
          <w:spacing w:val="1"/>
          <w:szCs w:val="24"/>
        </w:rPr>
        <w:t xml:space="preserve"> and other applicable laws and rules for the new occupancy or use.</w:t>
      </w:r>
    </w:p>
    <w:p w14:paraId="68A350E4" w14:textId="77777777" w:rsidR="0001508F" w:rsidRPr="0001508F" w:rsidRDefault="0001508F" w:rsidP="0001508F">
      <w:pPr>
        <w:widowControl w:val="0"/>
        <w:spacing w:before="120" w:after="120"/>
        <w:rPr>
          <w:rFonts w:eastAsia="Calibri"/>
          <w:b/>
          <w:szCs w:val="24"/>
        </w:rPr>
      </w:pPr>
    </w:p>
    <w:p w14:paraId="5C632F0A" w14:textId="77777777" w:rsidR="0001508F" w:rsidRPr="0001508F" w:rsidRDefault="0001508F" w:rsidP="0001508F">
      <w:pPr>
        <w:widowControl w:val="0"/>
        <w:spacing w:before="120" w:after="120" w:line="480" w:lineRule="auto"/>
        <w:ind w:firstLine="720"/>
        <w:rPr>
          <w:rFonts w:eastAsia="Calibri"/>
          <w:b/>
          <w:bCs/>
          <w:spacing w:val="-10"/>
          <w:w w:val="110"/>
          <w:szCs w:val="24"/>
        </w:rPr>
      </w:pPr>
      <w:r w:rsidRPr="0001508F">
        <w:rPr>
          <w:rFonts w:eastAsia="Calibri"/>
          <w:szCs w:val="24"/>
        </w:rPr>
        <w:t>§ 26. The title of Article 120 of chapter 1 of title 28 of the administrative code of the city of New York, as amended by local law number 126 for the year 2021, is amended to read as follows:</w:t>
      </w:r>
    </w:p>
    <w:p w14:paraId="64108845" w14:textId="77777777" w:rsidR="0001508F" w:rsidRPr="0001508F" w:rsidRDefault="0001508F" w:rsidP="0001508F">
      <w:pPr>
        <w:widowControl w:val="0"/>
        <w:spacing w:before="120" w:after="120"/>
        <w:jc w:val="center"/>
        <w:rPr>
          <w:b/>
          <w:caps/>
          <w:spacing w:val="-8"/>
          <w:w w:val="105"/>
          <w:szCs w:val="24"/>
        </w:rPr>
      </w:pPr>
      <w:r w:rsidRPr="0001508F">
        <w:rPr>
          <w:b/>
          <w:caps/>
          <w:spacing w:val="-8"/>
          <w:w w:val="105"/>
          <w:szCs w:val="24"/>
        </w:rPr>
        <w:t>ARTICLE 120</w:t>
      </w:r>
      <w:r w:rsidRPr="0001508F">
        <w:rPr>
          <w:b/>
          <w:caps/>
          <w:spacing w:val="-8"/>
          <w:w w:val="105"/>
          <w:szCs w:val="24"/>
        </w:rPr>
        <w:br/>
        <w:t xml:space="preserve">TENANT </w:t>
      </w:r>
      <w:r w:rsidRPr="0001508F">
        <w:rPr>
          <w:b/>
          <w:caps/>
          <w:spacing w:val="-8"/>
          <w:w w:val="105"/>
          <w:szCs w:val="24"/>
          <w:u w:val="single"/>
        </w:rPr>
        <w:t>OR OCCUPANT</w:t>
      </w:r>
      <w:r w:rsidRPr="0001508F">
        <w:rPr>
          <w:b/>
          <w:caps/>
          <w:spacing w:val="-8"/>
          <w:w w:val="105"/>
          <w:szCs w:val="24"/>
        </w:rPr>
        <w:t xml:space="preserve"> PROTECTION PLAN</w:t>
      </w:r>
    </w:p>
    <w:p w14:paraId="69489FA6" w14:textId="77777777" w:rsidR="0001508F" w:rsidRPr="0001508F" w:rsidRDefault="0001508F" w:rsidP="0001508F">
      <w:pPr>
        <w:widowControl w:val="0"/>
        <w:spacing w:before="120" w:after="120" w:line="480" w:lineRule="auto"/>
        <w:ind w:firstLine="720"/>
        <w:rPr>
          <w:rFonts w:eastAsia="Calibri"/>
          <w:szCs w:val="24"/>
        </w:rPr>
      </w:pPr>
    </w:p>
    <w:p w14:paraId="22218251" w14:textId="77777777" w:rsidR="0001508F" w:rsidRPr="0001508F" w:rsidRDefault="0001508F" w:rsidP="0001508F">
      <w:pPr>
        <w:widowControl w:val="0"/>
        <w:spacing w:before="120" w:after="120" w:line="480" w:lineRule="auto"/>
        <w:ind w:firstLine="720"/>
        <w:rPr>
          <w:rFonts w:eastAsia="Calibri"/>
          <w:b/>
          <w:bCs/>
          <w:spacing w:val="-10"/>
          <w:w w:val="110"/>
          <w:szCs w:val="24"/>
        </w:rPr>
      </w:pPr>
      <w:r w:rsidRPr="0001508F">
        <w:rPr>
          <w:rFonts w:eastAsia="Calibri"/>
          <w:szCs w:val="24"/>
        </w:rPr>
        <w:t>§ 27. Section 28-120.1 of the administrative code of the city of New York, as amended by local law number 119 for the year 2019, subdivision 3.1 as amended by local law number 40 for the year 2021 and local law number 126 for the year 2021, is amended to read as follows:</w:t>
      </w:r>
    </w:p>
    <w:p w14:paraId="7A911D30" w14:textId="77777777" w:rsidR="0001508F" w:rsidRPr="0001508F" w:rsidRDefault="0001508F" w:rsidP="0001508F">
      <w:pPr>
        <w:spacing w:line="256" w:lineRule="auto"/>
        <w:rPr>
          <w:rFonts w:eastAsia="Calibri"/>
          <w:szCs w:val="24"/>
        </w:rPr>
      </w:pPr>
      <w:r w:rsidRPr="0001508F">
        <w:rPr>
          <w:rFonts w:eastAsia="Calibri"/>
          <w:b/>
          <w:bCs/>
          <w:szCs w:val="24"/>
        </w:rPr>
        <w:t>§ 28-120.1</w:t>
      </w:r>
      <w:r w:rsidRPr="0001508F">
        <w:rPr>
          <w:rFonts w:eastAsia="Calibri"/>
          <w:szCs w:val="24"/>
        </w:rPr>
        <w:t xml:space="preserve"> </w:t>
      </w:r>
      <w:r w:rsidRPr="0001508F">
        <w:rPr>
          <w:rFonts w:eastAsia="Calibri"/>
          <w:b/>
          <w:bCs/>
          <w:szCs w:val="24"/>
        </w:rPr>
        <w:t xml:space="preserve">Tenant </w:t>
      </w:r>
      <w:r w:rsidRPr="0001508F">
        <w:rPr>
          <w:rFonts w:eastAsia="Calibri"/>
          <w:b/>
          <w:bCs/>
          <w:szCs w:val="24"/>
          <w:u w:val="single"/>
        </w:rPr>
        <w:t xml:space="preserve">or occupant </w:t>
      </w:r>
      <w:r w:rsidRPr="0001508F">
        <w:rPr>
          <w:rFonts w:eastAsia="Calibri"/>
          <w:b/>
          <w:bCs/>
          <w:szCs w:val="24"/>
        </w:rPr>
        <w:t>protection plan.</w:t>
      </w:r>
      <w:r w:rsidRPr="0001508F">
        <w:rPr>
          <w:rFonts w:eastAsia="Calibri"/>
          <w:szCs w:val="24"/>
        </w:rPr>
        <w:t xml:space="preserve"> A tenant </w:t>
      </w:r>
      <w:r w:rsidRPr="0001508F">
        <w:rPr>
          <w:rFonts w:eastAsia="Calibri"/>
          <w:szCs w:val="24"/>
          <w:u w:val="single"/>
        </w:rPr>
        <w:t xml:space="preserve">or occupant </w:t>
      </w:r>
      <w:r w:rsidRPr="0001508F">
        <w:rPr>
          <w:rFonts w:eastAsia="Calibri"/>
          <w:szCs w:val="24"/>
        </w:rPr>
        <w:t>protection plan shall be prepared [</w:t>
      </w:r>
      <w:r w:rsidRPr="0001508F">
        <w:rPr>
          <w:rFonts w:eastAsia="Calibri"/>
          <w:strike/>
          <w:szCs w:val="24"/>
        </w:rPr>
        <w:t xml:space="preserve">and submitted </w:t>
      </w:r>
      <w:r w:rsidRPr="0001508F">
        <w:rPr>
          <w:rFonts w:eastAsia="Calibri"/>
          <w:szCs w:val="24"/>
        </w:rPr>
        <w:t>]for the alteration, construction, or partial demolition [</w:t>
      </w:r>
      <w:r w:rsidRPr="0001508F">
        <w:rPr>
          <w:rFonts w:eastAsia="Calibri"/>
          <w:strike/>
          <w:szCs w:val="24"/>
        </w:rPr>
        <w:t xml:space="preserve">of </w:t>
      </w:r>
      <w:r w:rsidRPr="0001508F">
        <w:rPr>
          <w:rFonts w:eastAsia="Calibri"/>
          <w:szCs w:val="24"/>
        </w:rPr>
        <w:t>]</w:t>
      </w:r>
      <w:r w:rsidRPr="0001508F">
        <w:rPr>
          <w:rFonts w:eastAsia="Calibri"/>
          <w:szCs w:val="24"/>
          <w:u w:val="single"/>
        </w:rPr>
        <w:t xml:space="preserve">work performed in </w:t>
      </w:r>
      <w:r w:rsidRPr="0001508F">
        <w:rPr>
          <w:rFonts w:eastAsia="Calibri"/>
          <w:szCs w:val="24"/>
        </w:rPr>
        <w:t>buildings [</w:t>
      </w:r>
      <w:r w:rsidRPr="0001508F">
        <w:rPr>
          <w:rFonts w:eastAsia="Calibri"/>
          <w:strike/>
          <w:szCs w:val="24"/>
        </w:rPr>
        <w:t xml:space="preserve">in which any dwelling unit </w:t>
      </w:r>
      <w:r w:rsidRPr="0001508F">
        <w:rPr>
          <w:rFonts w:eastAsia="Calibri"/>
          <w:szCs w:val="24"/>
        </w:rPr>
        <w:t>]</w:t>
      </w:r>
      <w:r w:rsidRPr="0001508F">
        <w:rPr>
          <w:rFonts w:eastAsia="Calibri"/>
          <w:szCs w:val="24"/>
          <w:u w:val="single"/>
        </w:rPr>
        <w:t xml:space="preserve">that </w:t>
      </w:r>
      <w:r w:rsidRPr="0001508F">
        <w:rPr>
          <w:rFonts w:eastAsia="Calibri"/>
          <w:szCs w:val="24"/>
        </w:rPr>
        <w:t>will be occupied during [</w:t>
      </w:r>
      <w:r w:rsidRPr="0001508F">
        <w:rPr>
          <w:rFonts w:eastAsia="Calibri"/>
          <w:strike/>
          <w:szCs w:val="24"/>
        </w:rPr>
        <w:t>construction</w:t>
      </w:r>
      <w:r w:rsidRPr="0001508F">
        <w:rPr>
          <w:rFonts w:eastAsia="Calibri"/>
          <w:szCs w:val="24"/>
        </w:rPr>
        <w:t>]</w:t>
      </w:r>
      <w:r w:rsidRPr="0001508F">
        <w:rPr>
          <w:rFonts w:eastAsia="Calibri"/>
          <w:szCs w:val="24"/>
          <w:u w:val="single"/>
        </w:rPr>
        <w:t>such work</w:t>
      </w:r>
      <w:r w:rsidRPr="0001508F">
        <w:rPr>
          <w:rFonts w:eastAsia="Calibri"/>
          <w:szCs w:val="24"/>
        </w:rPr>
        <w:t xml:space="preserve">, including newly constructed buildings that are partially occupied where work is ongoing, </w:t>
      </w:r>
      <w:r w:rsidRPr="0001508F">
        <w:rPr>
          <w:rFonts w:eastAsia="Calibri"/>
          <w:szCs w:val="24"/>
          <w:u w:val="single"/>
        </w:rPr>
        <w:t>where required by and in accordance with chapter 15 of the New York city existing building code</w:t>
      </w:r>
      <w:r w:rsidRPr="0001508F">
        <w:rPr>
          <w:rFonts w:eastAsia="Calibri"/>
          <w:szCs w:val="24"/>
        </w:rPr>
        <w:t xml:space="preserve">. </w:t>
      </w:r>
      <w:r w:rsidRPr="0001508F">
        <w:rPr>
          <w:rFonts w:eastAsia="Calibri"/>
          <w:spacing w:val="1"/>
          <w:szCs w:val="24"/>
        </w:rPr>
        <w:t>[</w:t>
      </w:r>
      <w:r w:rsidRPr="0001508F">
        <w:rPr>
          <w:rFonts w:eastAsia="Calibri"/>
          <w:strike/>
          <w:spacing w:val="1"/>
          <w:szCs w:val="24"/>
        </w:rPr>
        <w:t>The tenant protection plan shall be prepared by a registered design professional and filed with the department. The registered design professional preparing the tenant protection plan shall be retained by the general contractor performing the alteration, construction, or partial demolition work. No permit shall be issued for work that requires a tenant protection plan unless such plan is approved by the department. Such plan shall contain a statement signed by the owner and signed by the applicant affirming that the building contains dwelling units that will be occupied during construction and shall identify in sufficient detail the specific units that are or may be occupied during construction, the means and methods to be employed to safeguard the safety and health of the occupants throughout the construction, including, where applicable, details such as temporary fire-rated assemblies, opening protectives, or dust containment procedures. Such means and methods shall be described with particularity and in no case shall terms such as “code compliant,” “approved,” “legal,” “protected in accordance with law” or similar terms be used as a substitute for such description. The tenant protection plan must be site specific. The elements of the tenant protection plan may vary depending on the nature and scope of the work but at a minimum,</w:t>
      </w:r>
      <w:r w:rsidRPr="0001508F">
        <w:rPr>
          <w:rFonts w:eastAsia="Calibri"/>
          <w:strike/>
          <w:szCs w:val="24"/>
        </w:rPr>
        <w:t xml:space="preserve"> </w:t>
      </w:r>
      <w:r w:rsidRPr="0001508F">
        <w:rPr>
          <w:rFonts w:eastAsia="Calibri"/>
          <w:strike/>
          <w:spacing w:val="1"/>
          <w:szCs w:val="24"/>
        </w:rPr>
        <w:t>must comply with all applicable laws and regulations, including the New York city construction codes, the New York city housing maintenance code, the New York city noise control code and the New York city health code, and shall make detailed and specific provisions for:</w:t>
      </w:r>
      <w:r w:rsidRPr="0001508F">
        <w:rPr>
          <w:rFonts w:eastAsia="Calibri"/>
          <w:spacing w:val="1"/>
          <w:szCs w:val="24"/>
        </w:rPr>
        <w:t>]</w:t>
      </w:r>
    </w:p>
    <w:p w14:paraId="2C19AA62" w14:textId="77777777" w:rsidR="0001508F" w:rsidRPr="0001508F" w:rsidRDefault="0001508F" w:rsidP="0001508F">
      <w:pPr>
        <w:widowControl w:val="0"/>
        <w:kinsoku w:val="0"/>
        <w:spacing w:before="120" w:after="120"/>
        <w:ind w:left="720" w:hanging="360"/>
        <w:rPr>
          <w:spacing w:val="1"/>
          <w:szCs w:val="24"/>
        </w:rPr>
      </w:pPr>
      <w:r w:rsidRPr="0001508F">
        <w:rPr>
          <w:szCs w:val="24"/>
        </w:rPr>
        <w:t>[</w:t>
      </w:r>
      <w:r w:rsidRPr="0001508F">
        <w:rPr>
          <w:strike/>
          <w:szCs w:val="24"/>
        </w:rPr>
        <w:t>1.</w:t>
      </w:r>
      <w:r w:rsidRPr="0001508F">
        <w:rPr>
          <w:b/>
          <w:strike/>
          <w:szCs w:val="24"/>
        </w:rPr>
        <w:tab/>
        <w:t>Egress.</w:t>
      </w:r>
      <w:r w:rsidRPr="0001508F">
        <w:rPr>
          <w:b/>
          <w:bCs/>
          <w:strike/>
          <w:spacing w:val="-4"/>
          <w:w w:val="110"/>
          <w:szCs w:val="24"/>
        </w:rPr>
        <w:t xml:space="preserve"> </w:t>
      </w:r>
      <w:r w:rsidRPr="0001508F">
        <w:rPr>
          <w:strike/>
          <w:spacing w:val="1"/>
          <w:szCs w:val="24"/>
        </w:rPr>
        <w:t>At all times in the course of construction</w:t>
      </w:r>
      <w:r w:rsidRPr="0001508F">
        <w:rPr>
          <w:strike/>
          <w:spacing w:val="1"/>
          <w:szCs w:val="24"/>
          <w:u w:val="single"/>
        </w:rPr>
        <w:t>,</w:t>
      </w:r>
      <w:r w:rsidRPr="0001508F">
        <w:rPr>
          <w:strike/>
          <w:spacing w:val="1"/>
          <w:szCs w:val="24"/>
        </w:rPr>
        <w:t xml:space="preserve"> provision shall be made for adequate egress as required by this code and the tenant protection plan shall identify the egress that will be provided. Required egress shall not be obstructed at any time except where approved by the commissioner.</w:t>
      </w:r>
      <w:r w:rsidRPr="0001508F">
        <w:rPr>
          <w:spacing w:val="1"/>
          <w:szCs w:val="24"/>
        </w:rPr>
        <w:t>]</w:t>
      </w:r>
    </w:p>
    <w:p w14:paraId="6FAA3376" w14:textId="77777777" w:rsidR="0001508F" w:rsidRPr="0001508F" w:rsidRDefault="0001508F" w:rsidP="0001508F">
      <w:pPr>
        <w:widowControl w:val="0"/>
        <w:kinsoku w:val="0"/>
        <w:spacing w:before="120" w:after="120"/>
        <w:ind w:left="720" w:hanging="360"/>
        <w:rPr>
          <w:spacing w:val="3"/>
          <w:szCs w:val="24"/>
        </w:rPr>
      </w:pPr>
      <w:r w:rsidRPr="0001508F">
        <w:rPr>
          <w:szCs w:val="24"/>
        </w:rPr>
        <w:t>[</w:t>
      </w:r>
      <w:r w:rsidRPr="0001508F">
        <w:rPr>
          <w:strike/>
          <w:szCs w:val="24"/>
        </w:rPr>
        <w:t>2.</w:t>
      </w:r>
      <w:r w:rsidRPr="0001508F">
        <w:rPr>
          <w:b/>
          <w:strike/>
          <w:szCs w:val="24"/>
        </w:rPr>
        <w:tab/>
        <w:t>Fire safety.</w:t>
      </w:r>
      <w:r w:rsidRPr="0001508F">
        <w:rPr>
          <w:b/>
          <w:bCs/>
          <w:strike/>
          <w:spacing w:val="-2"/>
          <w:w w:val="110"/>
          <w:szCs w:val="24"/>
        </w:rPr>
        <w:t xml:space="preserve"> </w:t>
      </w:r>
      <w:r w:rsidRPr="0001508F">
        <w:rPr>
          <w:strike/>
          <w:spacing w:val="1"/>
          <w:szCs w:val="24"/>
        </w:rPr>
        <w:t>All necessary laws and controls, including those with respect to occupied dwellings, as well as additional safety measures necessitated by the construction shall be strictly observed.</w:t>
      </w:r>
      <w:r w:rsidRPr="0001508F">
        <w:rPr>
          <w:spacing w:val="1"/>
          <w:szCs w:val="24"/>
        </w:rPr>
        <w:t>]</w:t>
      </w:r>
    </w:p>
    <w:p w14:paraId="6F85291B" w14:textId="77777777" w:rsidR="0001508F" w:rsidRPr="0001508F" w:rsidRDefault="0001508F" w:rsidP="0001508F">
      <w:pPr>
        <w:widowControl w:val="0"/>
        <w:kinsoku w:val="0"/>
        <w:spacing w:before="120" w:after="120"/>
        <w:ind w:left="720" w:hanging="360"/>
        <w:rPr>
          <w:spacing w:val="1"/>
          <w:szCs w:val="24"/>
        </w:rPr>
      </w:pPr>
      <w:r w:rsidRPr="0001508F">
        <w:rPr>
          <w:szCs w:val="24"/>
        </w:rPr>
        <w:t>[</w:t>
      </w:r>
      <w:r w:rsidRPr="0001508F">
        <w:rPr>
          <w:strike/>
          <w:szCs w:val="24"/>
        </w:rPr>
        <w:t>3.</w:t>
      </w:r>
      <w:r w:rsidRPr="0001508F">
        <w:rPr>
          <w:b/>
          <w:strike/>
          <w:szCs w:val="24"/>
        </w:rPr>
        <w:tab/>
        <w:t>Health requirements.</w:t>
      </w:r>
      <w:r w:rsidRPr="0001508F">
        <w:rPr>
          <w:b/>
          <w:bCs/>
          <w:strike/>
          <w:spacing w:val="-1"/>
          <w:w w:val="110"/>
          <w:szCs w:val="24"/>
        </w:rPr>
        <w:t xml:space="preserve"> </w:t>
      </w:r>
      <w:r w:rsidRPr="0001508F">
        <w:rPr>
          <w:strike/>
          <w:spacing w:val="1"/>
          <w:szCs w:val="24"/>
        </w:rPr>
        <w:t>Specification of means and methods to be used for control of dust, disposal of construction debris, pest control and maintenance of sanitary facilities shall be included.</w:t>
      </w:r>
      <w:r w:rsidRPr="0001508F">
        <w:rPr>
          <w:spacing w:val="1"/>
          <w:szCs w:val="24"/>
        </w:rPr>
        <w:t>]</w:t>
      </w:r>
    </w:p>
    <w:p w14:paraId="6286D8BB" w14:textId="77777777" w:rsidR="0001508F" w:rsidRPr="0001508F" w:rsidRDefault="0001508F" w:rsidP="0001508F">
      <w:pPr>
        <w:widowControl w:val="0"/>
        <w:kinsoku w:val="0"/>
        <w:spacing w:before="120" w:after="120"/>
        <w:ind w:left="1260" w:hanging="540"/>
        <w:rPr>
          <w:spacing w:val="1"/>
          <w:szCs w:val="24"/>
        </w:rPr>
      </w:pPr>
      <w:r w:rsidRPr="0001508F">
        <w:rPr>
          <w:spacing w:val="1"/>
          <w:szCs w:val="24"/>
        </w:rPr>
        <w:t>[</w:t>
      </w:r>
      <w:r w:rsidRPr="0001508F">
        <w:rPr>
          <w:strike/>
          <w:spacing w:val="1"/>
          <w:szCs w:val="24"/>
        </w:rPr>
        <w:t>3.1.</w:t>
      </w:r>
      <w:r w:rsidRPr="0001508F">
        <w:rPr>
          <w:strike/>
          <w:spacing w:val="1"/>
          <w:szCs w:val="24"/>
        </w:rPr>
        <w:tab/>
        <w:t>There shall be included a statement of compliance with applicable provisions of law relating to lead and asbestos, and such statement shall describe with particularity what means and methods are being undertaken to meet such compliance.</w:t>
      </w:r>
      <w:r w:rsidRPr="0001508F">
        <w:rPr>
          <w:spacing w:val="1"/>
          <w:szCs w:val="24"/>
        </w:rPr>
        <w:t>]</w:t>
      </w:r>
    </w:p>
    <w:p w14:paraId="6A357BBC" w14:textId="77777777" w:rsidR="0001508F" w:rsidRPr="0001508F" w:rsidRDefault="0001508F" w:rsidP="0001508F">
      <w:pPr>
        <w:widowControl w:val="0"/>
        <w:kinsoku w:val="0"/>
        <w:spacing w:before="120" w:after="120"/>
        <w:ind w:left="720" w:hanging="360"/>
        <w:rPr>
          <w:spacing w:val="3"/>
          <w:szCs w:val="24"/>
        </w:rPr>
      </w:pPr>
      <w:r w:rsidRPr="0001508F">
        <w:rPr>
          <w:szCs w:val="24"/>
        </w:rPr>
        <w:t>[</w:t>
      </w:r>
      <w:r w:rsidRPr="0001508F">
        <w:rPr>
          <w:strike/>
          <w:szCs w:val="24"/>
        </w:rPr>
        <w:t>4.</w:t>
      </w:r>
      <w:r w:rsidRPr="0001508F">
        <w:rPr>
          <w:b/>
          <w:strike/>
          <w:szCs w:val="24"/>
        </w:rPr>
        <w:tab/>
        <w:t xml:space="preserve">Compliance with housing standards. </w:t>
      </w:r>
      <w:r w:rsidRPr="0001508F">
        <w:rPr>
          <w:strike/>
          <w:spacing w:val="1"/>
          <w:szCs w:val="24"/>
        </w:rPr>
        <w:t>The requirements of the New York city housing maintenance code, and, where applicable, the New York state multiple dwelling law shall be strictly observed.</w:t>
      </w:r>
      <w:r w:rsidRPr="0001508F">
        <w:rPr>
          <w:spacing w:val="1"/>
          <w:szCs w:val="24"/>
        </w:rPr>
        <w:t>]</w:t>
      </w:r>
    </w:p>
    <w:p w14:paraId="20D8DA87" w14:textId="77777777" w:rsidR="0001508F" w:rsidRPr="0001508F" w:rsidRDefault="0001508F" w:rsidP="0001508F">
      <w:pPr>
        <w:widowControl w:val="0"/>
        <w:kinsoku w:val="0"/>
        <w:spacing w:before="120" w:after="120"/>
        <w:ind w:left="720" w:hanging="360"/>
        <w:rPr>
          <w:spacing w:val="3"/>
          <w:szCs w:val="24"/>
        </w:rPr>
      </w:pPr>
      <w:r w:rsidRPr="0001508F">
        <w:rPr>
          <w:szCs w:val="24"/>
        </w:rPr>
        <w:t>[</w:t>
      </w:r>
      <w:r w:rsidRPr="0001508F">
        <w:rPr>
          <w:strike/>
          <w:szCs w:val="24"/>
        </w:rPr>
        <w:t>5.</w:t>
      </w:r>
      <w:r w:rsidRPr="0001508F">
        <w:rPr>
          <w:b/>
          <w:strike/>
          <w:szCs w:val="24"/>
        </w:rPr>
        <w:tab/>
        <w:t>Structural safety</w:t>
      </w:r>
      <w:r w:rsidRPr="0001508F">
        <w:rPr>
          <w:b/>
          <w:bCs/>
          <w:strike/>
          <w:spacing w:val="-3"/>
          <w:w w:val="110"/>
          <w:szCs w:val="24"/>
        </w:rPr>
        <w:t xml:space="preserve">. </w:t>
      </w:r>
      <w:r w:rsidRPr="0001508F">
        <w:rPr>
          <w:strike/>
          <w:spacing w:val="1"/>
          <w:szCs w:val="24"/>
        </w:rPr>
        <w:t>No structural work shall be done that may endanger the occupants.</w:t>
      </w:r>
      <w:r w:rsidRPr="0001508F">
        <w:rPr>
          <w:spacing w:val="1"/>
          <w:szCs w:val="24"/>
        </w:rPr>
        <w:t>]</w:t>
      </w:r>
    </w:p>
    <w:p w14:paraId="3A4430DB" w14:textId="77777777" w:rsidR="0001508F" w:rsidRPr="0001508F" w:rsidRDefault="0001508F" w:rsidP="0001508F">
      <w:pPr>
        <w:widowControl w:val="0"/>
        <w:kinsoku w:val="0"/>
        <w:spacing w:before="120" w:after="120"/>
        <w:ind w:left="720" w:hanging="360"/>
        <w:rPr>
          <w:spacing w:val="1"/>
          <w:szCs w:val="24"/>
        </w:rPr>
      </w:pPr>
      <w:r w:rsidRPr="0001508F">
        <w:rPr>
          <w:szCs w:val="24"/>
        </w:rPr>
        <w:t>[</w:t>
      </w:r>
      <w:r w:rsidRPr="0001508F">
        <w:rPr>
          <w:strike/>
          <w:szCs w:val="24"/>
        </w:rPr>
        <w:t>6.</w:t>
      </w:r>
      <w:r w:rsidRPr="0001508F">
        <w:rPr>
          <w:b/>
          <w:strike/>
          <w:szCs w:val="24"/>
        </w:rPr>
        <w:tab/>
        <w:t>Noise restrictions.</w:t>
      </w:r>
      <w:r w:rsidRPr="0001508F">
        <w:rPr>
          <w:b/>
          <w:bCs/>
          <w:strike/>
          <w:spacing w:val="-1"/>
          <w:w w:val="110"/>
          <w:szCs w:val="24"/>
        </w:rPr>
        <w:t xml:space="preserve"> </w:t>
      </w:r>
      <w:r w:rsidRPr="0001508F">
        <w:rPr>
          <w:strike/>
          <w:spacing w:val="1"/>
          <w:szCs w:val="24"/>
        </w:rPr>
        <w:t>Specification of means and methods to be used for the limitation of noise to acceptable levels in accordance with the New York city noise control code shall be included. Where hours of the day or the days of the week in which construction work may be undertaken are limited pursuant to the New York city noise control code, such limitations shall be stated.</w:t>
      </w:r>
      <w:r w:rsidRPr="0001508F">
        <w:rPr>
          <w:spacing w:val="1"/>
          <w:szCs w:val="24"/>
        </w:rPr>
        <w:t>]</w:t>
      </w:r>
    </w:p>
    <w:p w14:paraId="651303CB" w14:textId="77777777" w:rsidR="0001508F" w:rsidRPr="0001508F" w:rsidRDefault="0001508F" w:rsidP="0001508F">
      <w:pPr>
        <w:widowControl w:val="0"/>
        <w:kinsoku w:val="0"/>
        <w:spacing w:before="120" w:after="120"/>
        <w:ind w:left="720" w:hanging="360"/>
        <w:rPr>
          <w:spacing w:val="3"/>
          <w:szCs w:val="24"/>
        </w:rPr>
      </w:pPr>
      <w:r w:rsidRPr="0001508F">
        <w:rPr>
          <w:spacing w:val="3"/>
          <w:szCs w:val="24"/>
        </w:rPr>
        <w:t>[</w:t>
      </w:r>
      <w:r w:rsidRPr="0001508F">
        <w:rPr>
          <w:strike/>
          <w:spacing w:val="3"/>
          <w:szCs w:val="24"/>
        </w:rPr>
        <w:t>7.</w:t>
      </w:r>
      <w:r w:rsidRPr="0001508F">
        <w:rPr>
          <w:b/>
          <w:strike/>
          <w:spacing w:val="3"/>
          <w:szCs w:val="24"/>
        </w:rPr>
        <w:tab/>
        <w:t>Maintaining essential services.</w:t>
      </w:r>
      <w:r w:rsidRPr="0001508F">
        <w:rPr>
          <w:strike/>
          <w:spacing w:val="3"/>
          <w:szCs w:val="24"/>
        </w:rPr>
        <w:t xml:space="preserve"> Where heat, hot water, cold water, gas, electricity, or other utility services are provided in such building or in any dwelling unit located therein, the tenant protection plan shall specify the means and methods to be used for maintaining such services during such work in accordance with the requirements of the New York city housing maintenance code. If a disruption of any such service is anticipated during the work, then such plan shall specify the anticipated duration of such disruption and the means and methods to be employed to minimize such disruption, including the provision of sufficient alternatives for such service during such disruption. Notification of the disruption must be given to all affected occupants of occupied dwelling units.</w:t>
      </w:r>
      <w:r w:rsidRPr="0001508F">
        <w:rPr>
          <w:spacing w:val="3"/>
          <w:szCs w:val="24"/>
        </w:rPr>
        <w:t>]</w:t>
      </w:r>
    </w:p>
    <w:p w14:paraId="25857277" w14:textId="77777777" w:rsidR="0001508F" w:rsidRPr="0001508F" w:rsidRDefault="0001508F" w:rsidP="0001508F">
      <w:pPr>
        <w:widowControl w:val="0"/>
        <w:spacing w:before="120" w:after="120"/>
        <w:ind w:left="360"/>
        <w:rPr>
          <w:strike/>
          <w:spacing w:val="3"/>
          <w:szCs w:val="24"/>
        </w:rPr>
      </w:pPr>
      <w:r w:rsidRPr="0001508F">
        <w:rPr>
          <w:b/>
          <w:spacing w:val="3"/>
          <w:szCs w:val="24"/>
        </w:rPr>
        <w:t>[</w:t>
      </w:r>
      <w:r w:rsidRPr="0001508F">
        <w:rPr>
          <w:b/>
          <w:strike/>
          <w:spacing w:val="3"/>
          <w:szCs w:val="24"/>
        </w:rPr>
        <w:t>Exception:</w:t>
      </w:r>
      <w:r w:rsidRPr="0001508F">
        <w:rPr>
          <w:strike/>
          <w:spacing w:val="3"/>
          <w:szCs w:val="24"/>
        </w:rPr>
        <w:t xml:space="preserve"> In the following instances, the tenant protection plan may be prepared and filed by the registered design professional of record for the alteration, construction, or partial demolition work as part of the underlying application:</w:t>
      </w:r>
    </w:p>
    <w:p w14:paraId="0B851268" w14:textId="77777777" w:rsidR="0001508F" w:rsidRPr="0001508F" w:rsidRDefault="0001508F" w:rsidP="0001508F">
      <w:pPr>
        <w:widowControl w:val="0"/>
        <w:tabs>
          <w:tab w:val="num" w:pos="504"/>
        </w:tabs>
        <w:kinsoku w:val="0"/>
        <w:spacing w:before="120" w:after="120"/>
        <w:ind w:left="1080" w:hanging="360"/>
        <w:rPr>
          <w:strike/>
          <w:spacing w:val="3"/>
          <w:szCs w:val="24"/>
        </w:rPr>
      </w:pPr>
      <w:r w:rsidRPr="0001508F">
        <w:rPr>
          <w:strike/>
          <w:spacing w:val="3"/>
          <w:szCs w:val="24"/>
        </w:rPr>
        <w:t>1.</w:t>
      </w:r>
      <w:r w:rsidRPr="0001508F">
        <w:rPr>
          <w:strike/>
          <w:spacing w:val="3"/>
          <w:szCs w:val="24"/>
        </w:rPr>
        <w:tab/>
        <w:t>Work in occupied one- and two-family homes.</w:t>
      </w:r>
    </w:p>
    <w:p w14:paraId="0B1FC4B9" w14:textId="77777777" w:rsidR="0001508F" w:rsidRPr="0001508F" w:rsidRDefault="0001508F" w:rsidP="0001508F">
      <w:pPr>
        <w:widowControl w:val="0"/>
        <w:tabs>
          <w:tab w:val="num" w:pos="504"/>
        </w:tabs>
        <w:kinsoku w:val="0"/>
        <w:spacing w:before="120" w:after="120"/>
        <w:ind w:left="1080" w:hanging="360"/>
        <w:rPr>
          <w:spacing w:val="3"/>
          <w:szCs w:val="24"/>
        </w:rPr>
      </w:pPr>
      <w:r w:rsidRPr="0001508F">
        <w:rPr>
          <w:strike/>
          <w:spacing w:val="3"/>
          <w:szCs w:val="24"/>
        </w:rPr>
        <w:t>2.</w:t>
      </w:r>
      <w:r w:rsidRPr="0001508F">
        <w:rPr>
          <w:strike/>
          <w:spacing w:val="3"/>
          <w:szCs w:val="24"/>
        </w:rPr>
        <w:tab/>
        <w:t>Work limited to the interior of a single dwelling unit of an occupied multiple dwelling with no disruption to the essential services of other units, where such dwelling is owner-occupied. For a dwelling unit within a property that is owned by a condominium or held by a shareholder of a cooperative corporation under a proprietary lease, the unit must be occupied by the owners of record for such unit.</w:t>
      </w:r>
      <w:r w:rsidRPr="0001508F">
        <w:rPr>
          <w:spacing w:val="3"/>
          <w:szCs w:val="24"/>
        </w:rPr>
        <w:t>]</w:t>
      </w:r>
    </w:p>
    <w:p w14:paraId="5CCAB5BC" w14:textId="77777777" w:rsidR="0001508F" w:rsidRPr="0001508F" w:rsidRDefault="0001508F" w:rsidP="0001508F">
      <w:pPr>
        <w:widowControl w:val="0"/>
        <w:tabs>
          <w:tab w:val="num" w:pos="504"/>
        </w:tabs>
        <w:kinsoku w:val="0"/>
        <w:spacing w:before="120" w:after="120"/>
        <w:ind w:left="1080" w:hanging="360"/>
        <w:rPr>
          <w:spacing w:val="3"/>
          <w:szCs w:val="24"/>
        </w:rPr>
      </w:pPr>
    </w:p>
    <w:p w14:paraId="67AAE6E7" w14:textId="77777777" w:rsidR="0001508F" w:rsidRPr="0001508F" w:rsidRDefault="0001508F" w:rsidP="0001508F">
      <w:pPr>
        <w:widowControl w:val="0"/>
        <w:spacing w:before="120" w:after="120" w:line="480" w:lineRule="auto"/>
        <w:ind w:firstLine="720"/>
        <w:rPr>
          <w:rFonts w:eastAsia="Calibri"/>
          <w:b/>
          <w:szCs w:val="24"/>
        </w:rPr>
      </w:pPr>
      <w:r w:rsidRPr="0001508F">
        <w:rPr>
          <w:rFonts w:eastAsia="Calibri"/>
          <w:szCs w:val="24"/>
        </w:rPr>
        <w:t>§ 28. Sections 28-120.1.1, 28-120.1.2, 28-120.1.3, 28-120.2, and 28-120.3 of the administrative code of the city of New York are REPEALED.</w:t>
      </w:r>
    </w:p>
    <w:p w14:paraId="2269248E" w14:textId="77777777" w:rsidR="0001508F" w:rsidRPr="0001508F" w:rsidRDefault="0001508F" w:rsidP="0001508F">
      <w:pPr>
        <w:widowControl w:val="0"/>
        <w:spacing w:before="120" w:after="120" w:line="480" w:lineRule="auto"/>
        <w:ind w:firstLine="720"/>
        <w:rPr>
          <w:rFonts w:eastAsia="Calibri"/>
          <w:b/>
          <w:bCs/>
          <w:spacing w:val="-10"/>
          <w:w w:val="110"/>
          <w:szCs w:val="24"/>
        </w:rPr>
      </w:pPr>
      <w:r w:rsidRPr="0001508F">
        <w:rPr>
          <w:rFonts w:eastAsia="Calibri"/>
          <w:szCs w:val="24"/>
        </w:rPr>
        <w:t>§ 29. Section 28-301.1 of the administrative code of the city of New York, as amended by local law number 126 for the year 2021, is amended to read as follows:</w:t>
      </w:r>
    </w:p>
    <w:p w14:paraId="36AC1FFF" w14:textId="77777777" w:rsidR="0001508F" w:rsidRPr="0001508F" w:rsidRDefault="0001508F" w:rsidP="0001508F">
      <w:pPr>
        <w:widowControl w:val="0"/>
        <w:spacing w:before="120" w:after="120"/>
        <w:rPr>
          <w:rFonts w:eastAsia="Calibri"/>
          <w:szCs w:val="24"/>
        </w:rPr>
      </w:pPr>
      <w:r w:rsidRPr="0001508F">
        <w:rPr>
          <w:rFonts w:eastAsia="Calibri"/>
          <w:b/>
          <w:szCs w:val="24"/>
        </w:rPr>
        <w:t xml:space="preserve">§ 28-301.1 Owner’s responsibilities. </w:t>
      </w:r>
      <w:r w:rsidRPr="0001508F">
        <w:rPr>
          <w:rFonts w:eastAsia="Calibri"/>
          <w:spacing w:val="1"/>
          <w:szCs w:val="24"/>
        </w:rPr>
        <w:t>All buildings and all parts thereof and all other structures shall be maintained in a safe condition. All service equipment means of egress, materials, devices, and safeguards that are required in a building by the provisions of this code[</w:t>
      </w:r>
      <w:r w:rsidRPr="0001508F">
        <w:rPr>
          <w:rFonts w:eastAsia="Calibri"/>
          <w:strike/>
          <w:spacing w:val="1"/>
          <w:szCs w:val="24"/>
        </w:rPr>
        <w:t>, the 1968 building code</w:t>
      </w:r>
      <w:r w:rsidRPr="0001508F">
        <w:rPr>
          <w:rFonts w:eastAsia="Calibri"/>
          <w:spacing w:val="1"/>
          <w:szCs w:val="24"/>
        </w:rPr>
        <w:t>] or other applicable laws or rules, or that were required by law when the building was erected, altered, or repaired, shall be maintained in good working condition. Whenever persons engaged in building operations have reason to believe in the course of such operations that any building or other structure is dangerous or unsafe, such person shall forthwith report such belief in writing to the department. The owner shall be responsible at all times to maintain the building and its facilities and all other structures regulated by this code in a safe and code-compliant manner and shall comply with the inspection and maintenance requirements of this chapter.</w:t>
      </w:r>
    </w:p>
    <w:p w14:paraId="04544D43" w14:textId="77777777" w:rsidR="0001508F" w:rsidRPr="0001508F" w:rsidRDefault="0001508F" w:rsidP="0001508F">
      <w:pPr>
        <w:widowControl w:val="0"/>
        <w:spacing w:before="120" w:after="120" w:line="480" w:lineRule="auto"/>
        <w:ind w:firstLine="720"/>
        <w:rPr>
          <w:rFonts w:eastAsia="Calibri"/>
          <w:szCs w:val="24"/>
        </w:rPr>
      </w:pPr>
      <w:r w:rsidRPr="0001508F">
        <w:rPr>
          <w:rFonts w:eastAsia="Calibri"/>
          <w:szCs w:val="24"/>
        </w:rPr>
        <w:t>§ 30. The title of Article 307 of chapter 3 of title 28 of the administrative code of the city of New York, as amended by local law number 126 for the year 2021, is amended to read as follows:</w:t>
      </w:r>
      <w:bookmarkStart w:id="281" w:name="_Hlk80357512"/>
    </w:p>
    <w:bookmarkEnd w:id="281"/>
    <w:p w14:paraId="3124ABBA" w14:textId="77777777" w:rsidR="0001508F" w:rsidRPr="0001508F" w:rsidRDefault="0001508F" w:rsidP="0001508F">
      <w:pPr>
        <w:widowControl w:val="0"/>
        <w:spacing w:before="120" w:after="120"/>
        <w:jc w:val="center"/>
        <w:rPr>
          <w:b/>
          <w:bCs/>
          <w:caps/>
          <w:w w:val="105"/>
          <w:szCs w:val="24"/>
        </w:rPr>
      </w:pPr>
      <w:r w:rsidRPr="0001508F">
        <w:rPr>
          <w:b/>
          <w:bCs/>
          <w:caps/>
          <w:w w:val="105"/>
          <w:szCs w:val="24"/>
        </w:rPr>
        <w:t>ARTICLE 307</w:t>
      </w:r>
      <w:r w:rsidRPr="0001508F">
        <w:rPr>
          <w:b/>
          <w:bCs/>
          <w:caps/>
          <w:w w:val="105"/>
          <w:szCs w:val="24"/>
        </w:rPr>
        <w:br/>
        <w:t>[</w:t>
      </w:r>
      <w:r w:rsidRPr="0001508F">
        <w:rPr>
          <w:b/>
          <w:bCs/>
          <w:caps/>
          <w:strike/>
          <w:w w:val="105"/>
          <w:szCs w:val="24"/>
        </w:rPr>
        <w:t>WORKPLACE</w:t>
      </w:r>
      <w:r w:rsidRPr="0001508F">
        <w:rPr>
          <w:b/>
          <w:bCs/>
          <w:caps/>
          <w:w w:val="105"/>
          <w:szCs w:val="24"/>
        </w:rPr>
        <w:t xml:space="preserve">] </w:t>
      </w:r>
      <w:r w:rsidRPr="0001508F">
        <w:rPr>
          <w:b/>
          <w:bCs/>
          <w:caps/>
          <w:w w:val="105"/>
          <w:szCs w:val="24"/>
          <w:u w:val="single"/>
        </w:rPr>
        <w:t>OBSTRUCTION OF</w:t>
      </w:r>
      <w:r w:rsidRPr="0001508F">
        <w:rPr>
          <w:b/>
          <w:bCs/>
          <w:caps/>
          <w:w w:val="105"/>
          <w:szCs w:val="24"/>
        </w:rPr>
        <w:t xml:space="preserve"> EXITS</w:t>
      </w:r>
    </w:p>
    <w:p w14:paraId="66DCD4BC" w14:textId="77777777" w:rsidR="0001508F" w:rsidRPr="0001508F" w:rsidRDefault="0001508F" w:rsidP="0001508F">
      <w:pPr>
        <w:widowControl w:val="0"/>
        <w:spacing w:before="120" w:after="120"/>
        <w:rPr>
          <w:b/>
          <w:szCs w:val="24"/>
        </w:rPr>
      </w:pPr>
    </w:p>
    <w:p w14:paraId="40DA2C27" w14:textId="77777777" w:rsidR="0001508F" w:rsidRPr="0001508F" w:rsidRDefault="0001508F" w:rsidP="0001508F">
      <w:pPr>
        <w:widowControl w:val="0"/>
        <w:spacing w:before="120" w:after="120" w:line="480" w:lineRule="auto"/>
        <w:ind w:firstLine="720"/>
        <w:rPr>
          <w:rFonts w:eastAsia="Calibri"/>
          <w:b/>
          <w:bCs/>
          <w:spacing w:val="-10"/>
          <w:w w:val="110"/>
          <w:szCs w:val="24"/>
        </w:rPr>
      </w:pPr>
      <w:r w:rsidRPr="0001508F">
        <w:rPr>
          <w:rFonts w:eastAsia="Calibri"/>
          <w:szCs w:val="24"/>
        </w:rPr>
        <w:t>§ 31. Section 28-307.1 of the administrative code of the city of New York, as amended by local law number 126 for the year 2021, is amended to read as follows:</w:t>
      </w:r>
    </w:p>
    <w:p w14:paraId="0CDCB7AD" w14:textId="77777777" w:rsidR="0001508F" w:rsidRPr="0001508F" w:rsidRDefault="0001508F" w:rsidP="0001508F">
      <w:pPr>
        <w:widowControl w:val="0"/>
        <w:spacing w:before="120" w:after="120"/>
        <w:rPr>
          <w:b/>
          <w:szCs w:val="24"/>
        </w:rPr>
      </w:pPr>
    </w:p>
    <w:p w14:paraId="0A7F23B8" w14:textId="77777777" w:rsidR="0001508F" w:rsidRPr="0001508F" w:rsidRDefault="0001508F" w:rsidP="0001508F">
      <w:pPr>
        <w:widowControl w:val="0"/>
        <w:spacing w:before="120" w:after="120"/>
        <w:rPr>
          <w:bCs/>
          <w:szCs w:val="24"/>
        </w:rPr>
      </w:pPr>
      <w:r w:rsidRPr="0001508F">
        <w:rPr>
          <w:b/>
          <w:szCs w:val="24"/>
        </w:rPr>
        <w:t xml:space="preserve">§28-307.1 </w:t>
      </w:r>
      <w:r w:rsidRPr="0001508F">
        <w:rPr>
          <w:b/>
          <w:szCs w:val="24"/>
          <w:u w:val="single"/>
        </w:rPr>
        <w:t xml:space="preserve">Workplace exists. </w:t>
      </w:r>
      <w:r w:rsidRPr="0001508F">
        <w:rPr>
          <w:bCs/>
          <w:szCs w:val="24"/>
          <w:u w:val="single"/>
        </w:rPr>
        <w:t>Workplace exists shall comply with the requirements of sections 28-307.1.1 through 28-307.1.3.</w:t>
      </w:r>
      <w:r w:rsidRPr="0001508F">
        <w:rPr>
          <w:bCs/>
          <w:szCs w:val="24"/>
        </w:rPr>
        <w:t xml:space="preserve"> </w:t>
      </w:r>
    </w:p>
    <w:p w14:paraId="4A8A0257" w14:textId="77777777" w:rsidR="0001508F" w:rsidRPr="0001508F" w:rsidRDefault="0001508F" w:rsidP="0001508F">
      <w:pPr>
        <w:widowControl w:val="0"/>
        <w:kinsoku w:val="0"/>
        <w:spacing w:before="120" w:after="240"/>
        <w:ind w:left="360"/>
        <w:rPr>
          <w:spacing w:val="1"/>
          <w:szCs w:val="24"/>
        </w:rPr>
      </w:pPr>
      <w:r w:rsidRPr="0001508F">
        <w:rPr>
          <w:rFonts w:eastAsia="Calibri"/>
          <w:b/>
          <w:szCs w:val="24"/>
          <w:u w:val="single"/>
        </w:rPr>
        <w:t>§28-307.1.1</w:t>
      </w:r>
      <w:r w:rsidRPr="0001508F">
        <w:rPr>
          <w:rFonts w:ascii="Calibri" w:eastAsia="Calibri" w:hAnsi="Calibri"/>
          <w:b/>
          <w:szCs w:val="24"/>
        </w:rPr>
        <w:t xml:space="preserve"> </w:t>
      </w:r>
      <w:r w:rsidRPr="0001508F">
        <w:rPr>
          <w:b/>
          <w:szCs w:val="24"/>
        </w:rPr>
        <w:t xml:space="preserve">Obstruction of workplace exits prohibited. </w:t>
      </w:r>
      <w:r w:rsidRPr="0001508F">
        <w:rPr>
          <w:spacing w:val="1"/>
          <w:szCs w:val="24"/>
        </w:rPr>
        <w:t>Except for the exemptions specified in subdivision j of section 27-371 of the administrative code or chapter 10 of the New York city building code, as applicable, it shall be unlawful for an employer or the agent of an employer to lock the doors of a workplace or otherwise obstruct or prohibit exit from a workplace when such act may endanger the health or safety of any employee, independent contractor or other individual in such workplace in the event of a fire or other hazardous condition or event. The commissioner shall classify a violation of this section as an immediately hazardous violation. Notwithstanding any other provision of this code, upon criminal conviction or civil adjudication of liability for a violation of this section an additional fine or civil penalty of not less than five thousand dollars nor more than twenty thousand dollars shall be imposed for each employee, independent contractor or other individual endangered by a violation of this section.</w:t>
      </w:r>
    </w:p>
    <w:p w14:paraId="2B889BCC" w14:textId="77777777" w:rsidR="0001508F" w:rsidRPr="0001508F" w:rsidRDefault="0001508F" w:rsidP="0001508F">
      <w:pPr>
        <w:widowControl w:val="0"/>
        <w:spacing w:before="120" w:after="120" w:line="480" w:lineRule="auto"/>
        <w:ind w:firstLine="720"/>
        <w:rPr>
          <w:rFonts w:eastAsia="Calibri"/>
          <w:szCs w:val="24"/>
        </w:rPr>
      </w:pPr>
      <w:r w:rsidRPr="0001508F">
        <w:rPr>
          <w:rFonts w:eastAsia="Calibri"/>
          <w:szCs w:val="24"/>
        </w:rPr>
        <w:t>§ 32. Sections 28-307.1.1, 28-307.2, and 28-307.3 of the administrative code of the city of New York are redesignated as sections 28-307.1.1.1, 28-307.1.2, and 28-307.1.3, respectively.</w:t>
      </w:r>
    </w:p>
    <w:p w14:paraId="32CDB2EF" w14:textId="77777777" w:rsidR="0001508F" w:rsidRPr="0001508F" w:rsidRDefault="0001508F" w:rsidP="0001508F">
      <w:pPr>
        <w:shd w:val="clear" w:color="auto" w:fill="FFFFFF"/>
        <w:jc w:val="left"/>
        <w:rPr>
          <w:rFonts w:eastAsia="Calibri"/>
          <w:b/>
          <w:szCs w:val="24"/>
          <w:u w:val="single"/>
        </w:rPr>
      </w:pPr>
    </w:p>
    <w:p w14:paraId="18563BCA" w14:textId="77777777" w:rsidR="0001508F" w:rsidRPr="0001508F" w:rsidRDefault="0001508F" w:rsidP="0001508F">
      <w:pPr>
        <w:shd w:val="clear" w:color="auto" w:fill="FFFFFF"/>
        <w:spacing w:line="480" w:lineRule="auto"/>
        <w:ind w:firstLine="720"/>
        <w:jc w:val="left"/>
        <w:rPr>
          <w:rFonts w:eastAsia="Calibri"/>
          <w:b/>
          <w:szCs w:val="24"/>
          <w:u w:val="single"/>
        </w:rPr>
      </w:pPr>
      <w:r w:rsidRPr="0001508F">
        <w:rPr>
          <w:rFonts w:eastAsia="Calibri"/>
          <w:szCs w:val="24"/>
        </w:rPr>
        <w:t>§ 33. Title 28 of the administrative code of the city of New York is amended by adding new sections 28-307.2 and 28-307.3 to read as follows:</w:t>
      </w:r>
    </w:p>
    <w:p w14:paraId="3F407A5E" w14:textId="77777777" w:rsidR="0001508F" w:rsidRPr="0001508F" w:rsidRDefault="0001508F" w:rsidP="0001508F">
      <w:pPr>
        <w:shd w:val="clear" w:color="auto" w:fill="FFFFFF"/>
        <w:jc w:val="left"/>
        <w:rPr>
          <w:rFonts w:eastAsia="Calibri"/>
          <w:b/>
          <w:szCs w:val="24"/>
          <w:u w:val="single"/>
        </w:rPr>
      </w:pPr>
    </w:p>
    <w:p w14:paraId="27A334A7" w14:textId="77777777" w:rsidR="0001508F" w:rsidRPr="0001508F" w:rsidRDefault="0001508F" w:rsidP="0001508F">
      <w:pPr>
        <w:shd w:val="clear" w:color="auto" w:fill="FFFFFF"/>
        <w:jc w:val="left"/>
        <w:rPr>
          <w:rFonts w:eastAsia="Calibri"/>
          <w:szCs w:val="24"/>
          <w:u w:val="single"/>
        </w:rPr>
      </w:pPr>
      <w:r w:rsidRPr="0001508F">
        <w:rPr>
          <w:rFonts w:eastAsia="Calibri"/>
          <w:b/>
          <w:szCs w:val="24"/>
          <w:u w:val="single"/>
        </w:rPr>
        <w:t xml:space="preserve">§ 28-307.2 </w:t>
      </w:r>
      <w:r w:rsidRPr="0001508F">
        <w:rPr>
          <w:rFonts w:eastAsia="Calibri"/>
          <w:b/>
          <w:bCs/>
          <w:szCs w:val="24"/>
          <w:u w:val="single"/>
        </w:rPr>
        <w:t>Obstruction of corridors.</w:t>
      </w:r>
      <w:r w:rsidRPr="0001508F">
        <w:rPr>
          <w:rFonts w:eastAsia="Calibri"/>
          <w:szCs w:val="24"/>
          <w:u w:val="single"/>
        </w:rPr>
        <w:t xml:space="preserve"> Corridors shall be kept readily accessible and unobstructed at all times. Corridors shall be kept free of combustible contents, except that in buildings classified in Occupancy Groups E and I, combustible contents may be stored in noncombustible lockers, and combustible bulletin boards meeting the requirements of chapter 8 of the New York city building code shall be permitted.</w:t>
      </w:r>
    </w:p>
    <w:p w14:paraId="3B27AF9A" w14:textId="77777777" w:rsidR="0001508F" w:rsidRPr="0001508F" w:rsidRDefault="0001508F" w:rsidP="0001508F">
      <w:pPr>
        <w:shd w:val="clear" w:color="auto" w:fill="FFFFFF"/>
        <w:jc w:val="left"/>
        <w:rPr>
          <w:rFonts w:eastAsia="Calibri"/>
          <w:szCs w:val="24"/>
          <w:u w:val="single"/>
        </w:rPr>
      </w:pPr>
    </w:p>
    <w:p w14:paraId="7C8884FA" w14:textId="77777777" w:rsidR="0001508F" w:rsidRPr="0001508F" w:rsidRDefault="0001508F" w:rsidP="0001508F">
      <w:pPr>
        <w:widowControl w:val="0"/>
        <w:tabs>
          <w:tab w:val="left" w:pos="720"/>
        </w:tabs>
        <w:rPr>
          <w:szCs w:val="24"/>
          <w:u w:val="single"/>
        </w:rPr>
      </w:pPr>
      <w:r w:rsidRPr="0001508F">
        <w:rPr>
          <w:b/>
          <w:szCs w:val="24"/>
          <w:u w:val="single"/>
        </w:rPr>
        <w:t>§ 28-307.3 Obstructions to fire tower balconies and vestibules.</w:t>
      </w:r>
      <w:r w:rsidRPr="0001508F">
        <w:rPr>
          <w:bCs/>
          <w:szCs w:val="24"/>
          <w:u w:val="single"/>
        </w:rPr>
        <w:t xml:space="preserve"> Fire tower balconies and</w:t>
      </w:r>
      <w:r w:rsidRPr="0001508F">
        <w:rPr>
          <w:szCs w:val="24"/>
          <w:u w:val="single"/>
        </w:rPr>
        <w:t xml:space="preserve"> vestibules shall be kept clear of obstructions that may reduce required width or headroom for egress. </w:t>
      </w:r>
    </w:p>
    <w:p w14:paraId="1C626974" w14:textId="77777777" w:rsidR="0001508F" w:rsidRPr="0001508F" w:rsidRDefault="0001508F" w:rsidP="0001508F">
      <w:pPr>
        <w:widowControl w:val="0"/>
        <w:autoSpaceDE w:val="0"/>
        <w:autoSpaceDN w:val="0"/>
        <w:adjustRightInd w:val="0"/>
        <w:spacing w:before="120" w:after="120"/>
        <w:rPr>
          <w:bCs/>
          <w:szCs w:val="24"/>
        </w:rPr>
      </w:pPr>
    </w:p>
    <w:p w14:paraId="067439B9" w14:textId="77777777" w:rsidR="0001508F" w:rsidRPr="0001508F" w:rsidRDefault="0001508F" w:rsidP="0001508F">
      <w:pPr>
        <w:widowControl w:val="0"/>
        <w:autoSpaceDE w:val="0"/>
        <w:autoSpaceDN w:val="0"/>
        <w:adjustRightInd w:val="0"/>
        <w:spacing w:before="120" w:after="120"/>
        <w:ind w:left="360"/>
        <w:rPr>
          <w:spacing w:val="1"/>
          <w:szCs w:val="24"/>
        </w:rPr>
      </w:pPr>
      <w:bookmarkStart w:id="282" w:name="_Hlk80355449"/>
    </w:p>
    <w:bookmarkEnd w:id="282"/>
    <w:p w14:paraId="33D712A0" w14:textId="77777777" w:rsidR="0001508F" w:rsidRPr="0001508F" w:rsidRDefault="0001508F" w:rsidP="0001508F">
      <w:pPr>
        <w:widowControl w:val="0"/>
        <w:spacing w:before="120" w:after="120"/>
        <w:rPr>
          <w:rFonts w:eastAsia="Calibri"/>
          <w:szCs w:val="24"/>
          <w:u w:val="single"/>
        </w:rPr>
      </w:pPr>
    </w:p>
    <w:p w14:paraId="5CF2423D" w14:textId="77777777" w:rsidR="0001508F" w:rsidRPr="0001508F" w:rsidRDefault="0001508F" w:rsidP="0001508F">
      <w:pPr>
        <w:widowControl w:val="0"/>
        <w:spacing w:before="120" w:after="120" w:line="480" w:lineRule="auto"/>
        <w:ind w:firstLine="720"/>
        <w:rPr>
          <w:rFonts w:eastAsia="Calibri"/>
          <w:szCs w:val="24"/>
        </w:rPr>
      </w:pPr>
      <w:r w:rsidRPr="0001508F">
        <w:rPr>
          <w:rFonts w:eastAsia="Calibri"/>
          <w:szCs w:val="24"/>
        </w:rPr>
        <w:t>§ 36. The title of Article 316 of chapter 3 of title 28 of the administrative code of the city of New York, as amended by local law number 126 for the year 2021, is amended to read as follows:</w:t>
      </w:r>
    </w:p>
    <w:p w14:paraId="54E40E40" w14:textId="77777777" w:rsidR="0001508F" w:rsidRPr="0001508F" w:rsidRDefault="0001508F" w:rsidP="0001508F">
      <w:pPr>
        <w:widowControl w:val="0"/>
        <w:spacing w:before="120" w:after="120"/>
        <w:jc w:val="center"/>
        <w:rPr>
          <w:rFonts w:eastAsia="Calibri"/>
          <w:b/>
          <w:bCs/>
          <w:szCs w:val="24"/>
        </w:rPr>
      </w:pPr>
      <w:r w:rsidRPr="0001508F">
        <w:rPr>
          <w:rFonts w:eastAsia="Calibri"/>
          <w:b/>
          <w:bCs/>
          <w:szCs w:val="24"/>
        </w:rPr>
        <w:t>ARTICLE 316</w:t>
      </w:r>
    </w:p>
    <w:p w14:paraId="4C03A343" w14:textId="77777777" w:rsidR="0001508F" w:rsidRPr="0001508F" w:rsidRDefault="0001508F" w:rsidP="0001508F">
      <w:pPr>
        <w:widowControl w:val="0"/>
        <w:spacing w:before="120" w:after="120"/>
        <w:jc w:val="center"/>
        <w:rPr>
          <w:rFonts w:eastAsia="Calibri"/>
          <w:b/>
          <w:bCs/>
          <w:szCs w:val="24"/>
        </w:rPr>
      </w:pPr>
      <w:r w:rsidRPr="0001508F">
        <w:rPr>
          <w:rFonts w:eastAsia="Calibri"/>
          <w:b/>
          <w:bCs/>
          <w:szCs w:val="24"/>
        </w:rPr>
        <w:t>[</w:t>
      </w:r>
      <w:r w:rsidRPr="0001508F">
        <w:rPr>
          <w:rFonts w:eastAsia="Calibri"/>
          <w:b/>
          <w:bCs/>
          <w:strike/>
          <w:szCs w:val="24"/>
        </w:rPr>
        <w:t>INSULATION OF CONCEALED PIPES EXPOSED DURING ALTERATION OR REPAIR</w:t>
      </w:r>
      <w:r w:rsidRPr="0001508F">
        <w:rPr>
          <w:rFonts w:eastAsia="Calibri"/>
          <w:b/>
          <w:bCs/>
          <w:szCs w:val="24"/>
        </w:rPr>
        <w:t>]</w:t>
      </w:r>
    </w:p>
    <w:p w14:paraId="429B1E67" w14:textId="77777777" w:rsidR="0001508F" w:rsidRPr="0001508F" w:rsidRDefault="0001508F" w:rsidP="0001508F">
      <w:pPr>
        <w:widowControl w:val="0"/>
        <w:spacing w:before="120" w:after="120"/>
        <w:jc w:val="center"/>
        <w:rPr>
          <w:rFonts w:eastAsia="Calibri"/>
          <w:b/>
          <w:bCs/>
          <w:szCs w:val="24"/>
          <w:u w:val="single"/>
        </w:rPr>
      </w:pPr>
      <w:r w:rsidRPr="0001508F">
        <w:rPr>
          <w:rFonts w:eastAsia="Calibri"/>
          <w:b/>
          <w:bCs/>
          <w:szCs w:val="24"/>
          <w:u w:val="single"/>
        </w:rPr>
        <w:t>RESERVED</w:t>
      </w:r>
    </w:p>
    <w:p w14:paraId="53EA1FD2" w14:textId="77777777" w:rsidR="0001508F" w:rsidRPr="0001508F" w:rsidRDefault="0001508F" w:rsidP="0001508F">
      <w:pPr>
        <w:widowControl w:val="0"/>
        <w:spacing w:before="120" w:after="120" w:line="480" w:lineRule="auto"/>
        <w:ind w:firstLine="720"/>
        <w:rPr>
          <w:rFonts w:eastAsia="Calibri"/>
          <w:b/>
          <w:bCs/>
          <w:spacing w:val="-10"/>
          <w:w w:val="110"/>
          <w:szCs w:val="24"/>
        </w:rPr>
      </w:pPr>
      <w:r w:rsidRPr="0001508F">
        <w:rPr>
          <w:rFonts w:eastAsia="Calibri"/>
          <w:szCs w:val="24"/>
        </w:rPr>
        <w:t>§ 37. Section 28-316.1 of the administrative code of the city of New York is REPEALED.</w:t>
      </w:r>
    </w:p>
    <w:p w14:paraId="57D3A34A" w14:textId="77777777" w:rsidR="0001508F" w:rsidRPr="0001508F" w:rsidRDefault="0001508F" w:rsidP="0001508F">
      <w:pPr>
        <w:widowControl w:val="0"/>
        <w:spacing w:before="120" w:after="120"/>
        <w:rPr>
          <w:rFonts w:eastAsia="Calibri"/>
          <w:szCs w:val="24"/>
        </w:rPr>
      </w:pPr>
    </w:p>
    <w:p w14:paraId="6D2C2C37" w14:textId="77777777" w:rsidR="0001508F" w:rsidRPr="0001508F" w:rsidRDefault="0001508F" w:rsidP="0001508F">
      <w:pPr>
        <w:widowControl w:val="0"/>
        <w:spacing w:before="120" w:after="120" w:line="480" w:lineRule="auto"/>
        <w:ind w:firstLine="720"/>
        <w:rPr>
          <w:rFonts w:eastAsia="Calibri"/>
          <w:b/>
          <w:bCs/>
          <w:spacing w:val="-10"/>
          <w:w w:val="110"/>
          <w:szCs w:val="24"/>
        </w:rPr>
      </w:pPr>
      <w:r w:rsidRPr="0001508F">
        <w:rPr>
          <w:rFonts w:eastAsia="Calibri"/>
          <w:szCs w:val="24"/>
        </w:rPr>
        <w:t>§ 38. Section 28-422.1 of the administrative code of the city of New York, as amended by local law number 126 for the year 2021, is amended to read as follows:</w:t>
      </w:r>
    </w:p>
    <w:p w14:paraId="52A92E1E" w14:textId="77777777" w:rsidR="0001508F" w:rsidRPr="0001508F" w:rsidRDefault="0001508F" w:rsidP="0001508F">
      <w:pPr>
        <w:spacing w:line="256" w:lineRule="auto"/>
        <w:rPr>
          <w:rFonts w:eastAsia="Calibri"/>
          <w:szCs w:val="24"/>
        </w:rPr>
      </w:pPr>
      <w:r w:rsidRPr="0001508F">
        <w:rPr>
          <w:rFonts w:eastAsia="Calibri"/>
          <w:b/>
          <w:bCs/>
          <w:szCs w:val="24"/>
        </w:rPr>
        <w:t xml:space="preserve">§28-422.1 </w:t>
      </w:r>
      <w:bookmarkStart w:id="283" w:name="_Hlk52177283"/>
      <w:r w:rsidRPr="0001508F">
        <w:rPr>
          <w:rFonts w:eastAsia="Calibri"/>
          <w:b/>
          <w:bCs/>
          <w:szCs w:val="24"/>
        </w:rPr>
        <w:t>Elevator agency inspector license required</w:t>
      </w:r>
      <w:r w:rsidRPr="0001508F">
        <w:rPr>
          <w:rFonts w:eastAsia="Calibri"/>
          <w:szCs w:val="24"/>
        </w:rPr>
        <w:t xml:space="preserve">. It shall be unlawful to witness and/or perform inspections and tests on behalf of an elevator agency pursuant to article 304 of chapter 3 of this code unless licensed pursuant to this article. Licensed </w:t>
      </w:r>
      <w:r w:rsidRPr="0001508F">
        <w:rPr>
          <w:rFonts w:eastAsia="Calibri"/>
          <w:szCs w:val="24"/>
          <w:u w:val="single"/>
        </w:rPr>
        <w:t>elevator</w:t>
      </w:r>
      <w:r w:rsidRPr="0001508F">
        <w:rPr>
          <w:rFonts w:eastAsia="Calibri"/>
          <w:szCs w:val="24"/>
        </w:rPr>
        <w:t xml:space="preserve"> inspectors shall perform such work under the direct and continuing supervision of a designated </w:t>
      </w:r>
      <w:r w:rsidRPr="0001508F">
        <w:rPr>
          <w:rFonts w:eastAsia="Calibri"/>
          <w:szCs w:val="24"/>
          <w:u w:val="single"/>
        </w:rPr>
        <w:t>elevator agency</w:t>
      </w:r>
      <w:r w:rsidRPr="0001508F">
        <w:rPr>
          <w:rFonts w:eastAsia="Calibri"/>
          <w:szCs w:val="24"/>
        </w:rPr>
        <w:t xml:space="preserve"> director in responsible charge licensed pursuant to article 421 of this chapter.</w:t>
      </w:r>
      <w:bookmarkStart w:id="284" w:name="_Hlk74822147"/>
      <w:bookmarkEnd w:id="283"/>
    </w:p>
    <w:bookmarkEnd w:id="284"/>
    <w:p w14:paraId="3F5B23B8" w14:textId="77777777" w:rsidR="0001508F" w:rsidRPr="0001508F" w:rsidRDefault="0001508F" w:rsidP="0001508F">
      <w:pPr>
        <w:widowControl w:val="0"/>
        <w:spacing w:before="120" w:after="120" w:line="480" w:lineRule="auto"/>
        <w:ind w:firstLine="720"/>
        <w:rPr>
          <w:rFonts w:eastAsia="Calibri"/>
          <w:b/>
          <w:bCs/>
          <w:spacing w:val="-10"/>
          <w:w w:val="110"/>
          <w:szCs w:val="24"/>
        </w:rPr>
      </w:pPr>
      <w:r w:rsidRPr="0001508F">
        <w:rPr>
          <w:rFonts w:eastAsia="Calibri"/>
          <w:szCs w:val="24"/>
        </w:rPr>
        <w:t>§ 39. Section 28-425.1 of the administrative code of the city of New York, as amended by local law number 126 for the year 2021, is amended to read as follows:</w:t>
      </w:r>
    </w:p>
    <w:p w14:paraId="2676161F" w14:textId="77777777" w:rsidR="0001508F" w:rsidRPr="0001508F" w:rsidRDefault="0001508F" w:rsidP="0001508F">
      <w:pPr>
        <w:spacing w:line="256" w:lineRule="auto"/>
        <w:rPr>
          <w:rFonts w:eastAsia="Calibri"/>
          <w:szCs w:val="24"/>
          <w:u w:val="single"/>
        </w:rPr>
      </w:pPr>
      <w:r w:rsidRPr="0001508F">
        <w:rPr>
          <w:rFonts w:eastAsia="Calibri"/>
          <w:b/>
          <w:bCs/>
          <w:szCs w:val="24"/>
        </w:rPr>
        <w:t>§ 28-425.1</w:t>
      </w:r>
      <w:r w:rsidRPr="0001508F">
        <w:rPr>
          <w:rFonts w:eastAsia="Calibri"/>
          <w:szCs w:val="24"/>
        </w:rPr>
        <w:t xml:space="preserve"> </w:t>
      </w:r>
      <w:r w:rsidRPr="0001508F">
        <w:rPr>
          <w:rFonts w:eastAsia="Calibri"/>
          <w:b/>
          <w:bCs/>
          <w:szCs w:val="24"/>
        </w:rPr>
        <w:t>Elevator agency technician license required</w:t>
      </w:r>
      <w:r w:rsidRPr="0001508F">
        <w:rPr>
          <w:rFonts w:eastAsia="Calibri"/>
          <w:szCs w:val="24"/>
        </w:rPr>
        <w:t xml:space="preserve">. It shall be unlawful to perform elevator work as defined in this chapter, unless that work is performed by or under the direction of an elevator agency technician and under the </w:t>
      </w:r>
      <w:r w:rsidRPr="0001508F">
        <w:rPr>
          <w:rFonts w:eastAsia="Calibri"/>
          <w:szCs w:val="24"/>
          <w:u w:val="single"/>
        </w:rPr>
        <w:t>direct</w:t>
      </w:r>
      <w:r w:rsidRPr="0001508F">
        <w:rPr>
          <w:rFonts w:eastAsia="Calibri"/>
          <w:szCs w:val="24"/>
        </w:rPr>
        <w:t xml:space="preserve"> supervision of a designated director of an elevator agency licensed pursuant to article 421 of this chapter.</w:t>
      </w:r>
    </w:p>
    <w:p w14:paraId="1B3B79A8" w14:textId="77777777" w:rsidR="0001508F" w:rsidRPr="0001508F" w:rsidRDefault="0001508F" w:rsidP="0001508F">
      <w:pPr>
        <w:widowControl w:val="0"/>
        <w:spacing w:before="120" w:after="120" w:line="480" w:lineRule="auto"/>
        <w:ind w:firstLine="720"/>
        <w:rPr>
          <w:rFonts w:eastAsia="Calibri"/>
          <w:b/>
          <w:bCs/>
          <w:spacing w:val="-10"/>
          <w:w w:val="110"/>
          <w:szCs w:val="24"/>
        </w:rPr>
      </w:pPr>
      <w:r w:rsidRPr="0001508F">
        <w:rPr>
          <w:rFonts w:eastAsia="Calibri"/>
          <w:szCs w:val="24"/>
        </w:rPr>
        <w:t>§ 40. Section 28-425.3 of the administrative code of the city of New York, as amended by local law number 126 for the year 2021, is amended to read as follows:</w:t>
      </w:r>
    </w:p>
    <w:p w14:paraId="53B6E611" w14:textId="77777777" w:rsidR="0001508F" w:rsidRPr="0001508F" w:rsidRDefault="0001508F" w:rsidP="0001508F">
      <w:pPr>
        <w:spacing w:line="256" w:lineRule="auto"/>
        <w:rPr>
          <w:rFonts w:eastAsia="Calibri"/>
          <w:szCs w:val="24"/>
        </w:rPr>
      </w:pPr>
    </w:p>
    <w:p w14:paraId="2AA4F152" w14:textId="77777777" w:rsidR="0001508F" w:rsidRPr="0001508F" w:rsidRDefault="0001508F" w:rsidP="0001508F">
      <w:pPr>
        <w:spacing w:line="256" w:lineRule="auto"/>
        <w:rPr>
          <w:rFonts w:eastAsia="Calibri"/>
          <w:szCs w:val="24"/>
        </w:rPr>
        <w:sectPr w:rsidR="0001508F" w:rsidRPr="0001508F" w:rsidSect="0001508F">
          <w:type w:val="continuous"/>
          <w:pgSz w:w="12240" w:h="15840"/>
          <w:pgMar w:top="1440" w:right="1440" w:bottom="1440" w:left="1440" w:header="720" w:footer="720" w:gutter="0"/>
          <w:lnNumType w:countBy="1"/>
          <w:cols w:space="720"/>
          <w:docGrid w:linePitch="360"/>
        </w:sectPr>
      </w:pPr>
      <w:r w:rsidRPr="0001508F">
        <w:rPr>
          <w:rFonts w:eastAsia="Calibri"/>
          <w:b/>
          <w:bCs/>
          <w:szCs w:val="24"/>
        </w:rPr>
        <w:t>§ 28-425.3</w:t>
      </w:r>
      <w:r w:rsidRPr="0001508F">
        <w:rPr>
          <w:rFonts w:eastAsia="Calibri"/>
          <w:szCs w:val="24"/>
        </w:rPr>
        <w:t xml:space="preserve"> </w:t>
      </w:r>
      <w:r w:rsidRPr="0001508F">
        <w:rPr>
          <w:rFonts w:eastAsia="Calibri"/>
          <w:b/>
          <w:bCs/>
          <w:szCs w:val="24"/>
        </w:rPr>
        <w:t>Qualifications.</w:t>
      </w:r>
      <w:r w:rsidRPr="0001508F">
        <w:rPr>
          <w:rFonts w:eastAsia="Calibri"/>
          <w:szCs w:val="24"/>
        </w:rPr>
        <w:t xml:space="preserve"> </w:t>
      </w:r>
      <w:r w:rsidRPr="0001508F">
        <w:rPr>
          <w:rFonts w:eastAsia="Calibri"/>
          <w:bCs/>
          <w:szCs w:val="24"/>
        </w:rPr>
        <w:t xml:space="preserve">An applicant for an elevator agency technician license or a restricted elevator agency technician license must possess a valid elevator mechanic’s license issued by the New York state department of labor in accordance with the provisions of article thirty-three of the New York state labor law. Such state license must remain valid during the term of the city license. </w:t>
      </w:r>
      <w:r w:rsidRPr="0001508F">
        <w:rPr>
          <w:rFonts w:eastAsia="Calibri"/>
          <w:szCs w:val="24"/>
        </w:rPr>
        <w:t>The agency may, by rule, establish qualifications for elevator agency technicians, including, but not limited to, acceptable proof that an applicant has worked on elevator construction, maintenance or repair with direct and continuing supervision [</w:t>
      </w:r>
      <w:r w:rsidRPr="0001508F">
        <w:rPr>
          <w:rFonts w:eastAsia="Calibri"/>
          <w:strike/>
          <w:szCs w:val="24"/>
        </w:rPr>
        <w:t>in this state</w:t>
      </w:r>
      <w:r w:rsidRPr="0001508F">
        <w:rPr>
          <w:rFonts w:eastAsia="Calibri"/>
          <w:szCs w:val="24"/>
        </w:rPr>
        <w:t>] for a specified period of time prior to the effective date of this article; provided, however, that the provisions of this section and any rules adopted pursuant thereto shall not be inconsistent with the requirements for elevator mechanics contained in article thirty-three of the New York state labor law and nothing herein shall prevent the enactment by local law, ordinance, or rule of additional requirements.</w:t>
      </w:r>
    </w:p>
    <w:p w14:paraId="14CA93C9" w14:textId="77777777" w:rsidR="0001508F" w:rsidRPr="0001508F" w:rsidRDefault="0001508F" w:rsidP="0001508F">
      <w:pPr>
        <w:widowControl w:val="0"/>
        <w:kinsoku w:val="0"/>
        <w:spacing w:before="120" w:after="120"/>
        <w:rPr>
          <w:rFonts w:eastAsia="Calibri"/>
          <w:szCs w:val="24"/>
        </w:rPr>
      </w:pPr>
    </w:p>
    <w:p w14:paraId="3A9433F4" w14:textId="77777777" w:rsidR="0001508F" w:rsidRPr="0001508F" w:rsidRDefault="0001508F" w:rsidP="0001508F">
      <w:pPr>
        <w:spacing w:line="480" w:lineRule="auto"/>
        <w:ind w:firstLine="720"/>
        <w:rPr>
          <w:szCs w:val="24"/>
        </w:rPr>
      </w:pPr>
      <w:r w:rsidRPr="0001508F">
        <w:rPr>
          <w:szCs w:val="24"/>
        </w:rPr>
        <w:t>§ 41. Chapter 1 of the New York city building code is amended by adding a new section 101.4.7 to read as follows:</w:t>
      </w:r>
    </w:p>
    <w:p w14:paraId="6299D860" w14:textId="77777777" w:rsidR="0001508F" w:rsidRPr="0001508F" w:rsidRDefault="0001508F" w:rsidP="0001508F">
      <w:pPr>
        <w:widowControl w:val="0"/>
        <w:kinsoku w:val="0"/>
        <w:spacing w:before="120" w:after="120"/>
        <w:rPr>
          <w:b/>
          <w:spacing w:val="1"/>
          <w:szCs w:val="24"/>
          <w:u w:val="single"/>
        </w:rPr>
      </w:pPr>
    </w:p>
    <w:p w14:paraId="430ED8AE" w14:textId="77777777" w:rsidR="0001508F" w:rsidRPr="0001508F" w:rsidRDefault="0001508F" w:rsidP="0001508F">
      <w:pPr>
        <w:widowControl w:val="0"/>
        <w:kinsoku w:val="0"/>
        <w:spacing w:before="120" w:after="120"/>
        <w:ind w:left="360"/>
        <w:rPr>
          <w:i/>
          <w:iCs/>
          <w:spacing w:val="1"/>
          <w:szCs w:val="24"/>
          <w:u w:val="single"/>
        </w:rPr>
      </w:pPr>
      <w:r w:rsidRPr="0001508F">
        <w:rPr>
          <w:b/>
          <w:spacing w:val="1"/>
          <w:szCs w:val="24"/>
          <w:u w:val="single"/>
        </w:rPr>
        <w:t>101.4.7 Existing buildings.</w:t>
      </w:r>
      <w:r w:rsidRPr="0001508F">
        <w:rPr>
          <w:bCs/>
          <w:spacing w:val="1"/>
          <w:szCs w:val="24"/>
          <w:u w:val="single"/>
        </w:rPr>
        <w:t xml:space="preserve"> </w:t>
      </w:r>
      <w:r w:rsidRPr="0001508F">
        <w:rPr>
          <w:spacing w:val="1"/>
          <w:szCs w:val="24"/>
          <w:u w:val="single"/>
        </w:rPr>
        <w:t xml:space="preserve">The provisions of the </w:t>
      </w:r>
      <w:r w:rsidRPr="0001508F">
        <w:rPr>
          <w:i/>
          <w:iCs/>
          <w:spacing w:val="1"/>
          <w:szCs w:val="24"/>
          <w:u w:val="single"/>
        </w:rPr>
        <w:t>New York City Existing Building Code</w:t>
      </w:r>
      <w:r w:rsidRPr="0001508F">
        <w:rPr>
          <w:spacing w:val="1"/>
          <w:szCs w:val="24"/>
          <w:u w:val="single"/>
        </w:rPr>
        <w:t xml:space="preserve"> shall apply to matters governing the repair, alteration, change of occupancy, addition to, moving, raising, and relocation of existing buildings.</w:t>
      </w:r>
    </w:p>
    <w:p w14:paraId="2B9B6414" w14:textId="77777777" w:rsidR="0001508F" w:rsidRPr="0001508F" w:rsidRDefault="0001508F" w:rsidP="0001508F">
      <w:pPr>
        <w:rPr>
          <w:szCs w:val="24"/>
        </w:rPr>
      </w:pPr>
    </w:p>
    <w:p w14:paraId="035B1714" w14:textId="77777777" w:rsidR="0001508F" w:rsidRPr="0001508F" w:rsidRDefault="0001508F" w:rsidP="0001508F">
      <w:pPr>
        <w:ind w:firstLine="720"/>
        <w:rPr>
          <w:szCs w:val="24"/>
        </w:rPr>
      </w:pPr>
      <w:r w:rsidRPr="0001508F">
        <w:rPr>
          <w:szCs w:val="24"/>
        </w:rPr>
        <w:t>§ 42. Section 102.6 of the New York city building code is REPEALED.</w:t>
      </w:r>
    </w:p>
    <w:p w14:paraId="58911C80" w14:textId="77777777" w:rsidR="0001508F" w:rsidRPr="0001508F" w:rsidRDefault="0001508F" w:rsidP="0001508F">
      <w:pPr>
        <w:spacing w:line="480" w:lineRule="auto"/>
        <w:ind w:firstLine="720"/>
        <w:rPr>
          <w:szCs w:val="24"/>
        </w:rPr>
      </w:pPr>
      <w:r w:rsidRPr="0001508F">
        <w:rPr>
          <w:szCs w:val="24"/>
        </w:rPr>
        <w:t>§ 43. Section 106.3 of the New York city building code, as amended by local law number 126 for the year 2021, is amended to read as follows:</w:t>
      </w:r>
    </w:p>
    <w:p w14:paraId="51FF4A38" w14:textId="77777777" w:rsidR="0001508F" w:rsidRPr="0001508F" w:rsidRDefault="0001508F" w:rsidP="0001508F">
      <w:pPr>
        <w:widowControl w:val="0"/>
        <w:spacing w:before="120" w:after="120"/>
        <w:rPr>
          <w:spacing w:val="2"/>
          <w:szCs w:val="24"/>
        </w:rPr>
      </w:pPr>
      <w:bookmarkStart w:id="285" w:name="_Hlk129250918"/>
      <w:r w:rsidRPr="0001508F">
        <w:rPr>
          <w:b/>
          <w:szCs w:val="24"/>
        </w:rPr>
        <w:t>106.3 Work exempt from permit.</w:t>
      </w:r>
      <w:r w:rsidRPr="0001508F">
        <w:rPr>
          <w:b/>
          <w:bCs/>
          <w:spacing w:val="-6"/>
          <w:w w:val="110"/>
          <w:szCs w:val="24"/>
        </w:rPr>
        <w:t xml:space="preserve"> </w:t>
      </w:r>
      <w:r w:rsidRPr="0001508F">
        <w:rPr>
          <w:spacing w:val="1"/>
          <w:szCs w:val="24"/>
        </w:rPr>
        <w:t xml:space="preserve">Exemptions from permit requirements of this code as authorized in Chapter 1 of Title 28 of the </w:t>
      </w:r>
      <w:r w:rsidRPr="0001508F">
        <w:rPr>
          <w:i/>
          <w:spacing w:val="1"/>
          <w:szCs w:val="24"/>
        </w:rPr>
        <w:t>Administrative Code</w:t>
      </w:r>
      <w:r w:rsidRPr="0001508F">
        <w:rPr>
          <w:iCs/>
          <w:spacing w:val="1"/>
          <w:szCs w:val="24"/>
          <w:u w:val="single"/>
        </w:rPr>
        <w:t>, the</w:t>
      </w:r>
      <w:r w:rsidRPr="0001508F">
        <w:rPr>
          <w:i/>
          <w:spacing w:val="1"/>
          <w:szCs w:val="24"/>
          <w:u w:val="single"/>
        </w:rPr>
        <w:t xml:space="preserve"> New York City Existing Building Code</w:t>
      </w:r>
      <w:r w:rsidRPr="0001508F">
        <w:rPr>
          <w:spacing w:val="1"/>
          <w:szCs w:val="24"/>
        </w:rPr>
        <w:t xml:space="preserve"> and the rules of the department shall not be deemed to grant authorization for any work to be done in any manner in violation of the provisions of this code or any other laws or rules.</w:t>
      </w:r>
    </w:p>
    <w:bookmarkEnd w:id="285"/>
    <w:p w14:paraId="49CF1984" w14:textId="77777777" w:rsidR="0001508F" w:rsidRPr="0001508F" w:rsidRDefault="0001508F" w:rsidP="00C3044C">
      <w:pPr>
        <w:widowControl w:val="0"/>
        <w:spacing w:before="120" w:after="120"/>
        <w:ind w:firstLine="720"/>
        <w:rPr>
          <w:szCs w:val="24"/>
        </w:rPr>
      </w:pPr>
      <w:r w:rsidRPr="0001508F">
        <w:rPr>
          <w:szCs w:val="24"/>
        </w:rPr>
        <w:t>§ 44. Section 106.10 of the New York city building code is REPEALED.</w:t>
      </w:r>
    </w:p>
    <w:p w14:paraId="2912A842" w14:textId="77777777" w:rsidR="0001508F" w:rsidRPr="0001508F" w:rsidRDefault="0001508F" w:rsidP="0001508F">
      <w:pPr>
        <w:spacing w:line="480" w:lineRule="auto"/>
        <w:ind w:firstLine="720"/>
        <w:rPr>
          <w:szCs w:val="24"/>
        </w:rPr>
      </w:pPr>
      <w:r w:rsidRPr="0001508F">
        <w:rPr>
          <w:szCs w:val="24"/>
        </w:rPr>
        <w:t xml:space="preserve">§ 45. Section 107.11.2 of the New York city building code, </w:t>
      </w:r>
      <w:r w:rsidRPr="00C3044C">
        <w:rPr>
          <w:szCs w:val="24"/>
        </w:rPr>
        <w:t>as amended by local law number 126 for the year 2021,</w:t>
      </w:r>
      <w:r w:rsidRPr="0001508F">
        <w:rPr>
          <w:szCs w:val="24"/>
        </w:rPr>
        <w:t xml:space="preserve"> is amended to read as follows:</w:t>
      </w:r>
    </w:p>
    <w:p w14:paraId="4BCDB482" w14:textId="77777777" w:rsidR="0001508F" w:rsidRPr="0001508F" w:rsidRDefault="0001508F" w:rsidP="0001508F">
      <w:pPr>
        <w:widowControl w:val="0"/>
        <w:spacing w:before="120" w:after="120"/>
        <w:rPr>
          <w:szCs w:val="24"/>
        </w:rPr>
      </w:pPr>
    </w:p>
    <w:p w14:paraId="2D92B279" w14:textId="77777777" w:rsidR="0001508F" w:rsidRPr="0001508F" w:rsidRDefault="0001508F" w:rsidP="0001508F">
      <w:pPr>
        <w:widowControl w:val="0"/>
        <w:spacing w:before="120" w:after="120"/>
        <w:ind w:left="360"/>
        <w:rPr>
          <w:spacing w:val="3"/>
          <w:szCs w:val="24"/>
        </w:rPr>
      </w:pPr>
      <w:r w:rsidRPr="0001508F">
        <w:rPr>
          <w:b/>
          <w:spacing w:val="3"/>
          <w:szCs w:val="24"/>
        </w:rPr>
        <w:t>107.11.2 Stormwater.</w:t>
      </w:r>
      <w:r w:rsidRPr="0001508F">
        <w:rPr>
          <w:spacing w:val="3"/>
          <w:szCs w:val="24"/>
        </w:rPr>
        <w:t xml:space="preserve"> Applications for construction document approval shall include submittal documents relating to the availability and feasibility of a public combined or storm sewer or other approved method for stormwater discharge in accordance with Sections 107.11.2.1 and 107.11.2.2 for the following types of applications:</w:t>
      </w:r>
    </w:p>
    <w:p w14:paraId="6FD59E3A" w14:textId="77777777" w:rsidR="0001508F" w:rsidRPr="0001508F" w:rsidRDefault="0001508F" w:rsidP="0001508F">
      <w:pPr>
        <w:widowControl w:val="0"/>
        <w:kinsoku w:val="0"/>
        <w:spacing w:before="120" w:after="120"/>
        <w:ind w:left="1080" w:hanging="360"/>
        <w:rPr>
          <w:spacing w:val="3"/>
          <w:szCs w:val="24"/>
        </w:rPr>
      </w:pPr>
      <w:r w:rsidRPr="0001508F">
        <w:rPr>
          <w:spacing w:val="3"/>
          <w:szCs w:val="24"/>
        </w:rPr>
        <w:t>1.</w:t>
      </w:r>
      <w:r w:rsidRPr="0001508F">
        <w:rPr>
          <w:spacing w:val="3"/>
          <w:szCs w:val="24"/>
        </w:rPr>
        <w:tab/>
        <w:t>New buildings;</w:t>
      </w:r>
    </w:p>
    <w:p w14:paraId="712401D7" w14:textId="77777777" w:rsidR="0001508F" w:rsidRPr="0001508F" w:rsidRDefault="0001508F" w:rsidP="0001508F">
      <w:pPr>
        <w:widowControl w:val="0"/>
        <w:kinsoku w:val="0"/>
        <w:spacing w:before="120" w:after="120"/>
        <w:ind w:left="1080" w:hanging="360"/>
        <w:rPr>
          <w:spacing w:val="3"/>
          <w:szCs w:val="24"/>
        </w:rPr>
      </w:pPr>
      <w:r w:rsidRPr="0001508F">
        <w:rPr>
          <w:spacing w:val="3"/>
          <w:szCs w:val="24"/>
        </w:rPr>
        <w:t>2.</w:t>
      </w:r>
      <w:r w:rsidRPr="0001508F">
        <w:rPr>
          <w:spacing w:val="3"/>
          <w:szCs w:val="24"/>
        </w:rPr>
        <w:tab/>
        <w:t xml:space="preserve">Alterations of buildings proposing horizontal building enlargement </w:t>
      </w:r>
      <w:r w:rsidRPr="0001508F">
        <w:rPr>
          <w:spacing w:val="3"/>
          <w:szCs w:val="24"/>
          <w:u w:val="single"/>
        </w:rPr>
        <w:t xml:space="preserve">pursuant to Section 106 of the </w:t>
      </w:r>
      <w:r w:rsidRPr="0001508F">
        <w:rPr>
          <w:i/>
          <w:iCs/>
          <w:spacing w:val="3"/>
          <w:szCs w:val="24"/>
          <w:u w:val="single"/>
        </w:rPr>
        <w:t>New York City Existing Building Code</w:t>
      </w:r>
      <w:r w:rsidRPr="0001508F">
        <w:rPr>
          <w:spacing w:val="3"/>
          <w:szCs w:val="24"/>
        </w:rPr>
        <w:t>; and/or</w:t>
      </w:r>
    </w:p>
    <w:p w14:paraId="0D678F2B" w14:textId="77777777" w:rsidR="0001508F" w:rsidRPr="0001508F" w:rsidRDefault="0001508F" w:rsidP="0001508F">
      <w:pPr>
        <w:widowControl w:val="0"/>
        <w:kinsoku w:val="0"/>
        <w:spacing w:before="120" w:after="120"/>
        <w:ind w:left="1080" w:hanging="360"/>
        <w:rPr>
          <w:spacing w:val="3"/>
          <w:szCs w:val="24"/>
        </w:rPr>
      </w:pPr>
      <w:r w:rsidRPr="0001508F">
        <w:rPr>
          <w:spacing w:val="3"/>
          <w:szCs w:val="24"/>
        </w:rPr>
        <w:t>3.</w:t>
      </w:r>
      <w:r w:rsidRPr="0001508F">
        <w:rPr>
          <w:spacing w:val="3"/>
          <w:szCs w:val="24"/>
        </w:rPr>
        <w:tab/>
        <w:t>Alterations that increase impervious surfaces on the tax lot</w:t>
      </w:r>
      <w:r w:rsidRPr="0001508F">
        <w:rPr>
          <w:spacing w:val="3"/>
          <w:szCs w:val="24"/>
          <w:u w:val="single"/>
        </w:rPr>
        <w:t xml:space="preserve"> pursuant to Section 106 of the </w:t>
      </w:r>
      <w:r w:rsidRPr="0001508F">
        <w:rPr>
          <w:i/>
          <w:iCs/>
          <w:spacing w:val="3"/>
          <w:szCs w:val="24"/>
          <w:u w:val="single"/>
        </w:rPr>
        <w:t>New York City Existing Building Code</w:t>
      </w:r>
      <w:r w:rsidRPr="0001508F">
        <w:rPr>
          <w:spacing w:val="3"/>
          <w:szCs w:val="24"/>
        </w:rPr>
        <w:t>.</w:t>
      </w:r>
    </w:p>
    <w:p w14:paraId="58EC140D" w14:textId="77777777" w:rsidR="0001508F" w:rsidRPr="0001508F" w:rsidRDefault="0001508F" w:rsidP="0001508F">
      <w:pPr>
        <w:widowControl w:val="0"/>
        <w:kinsoku w:val="0"/>
        <w:spacing w:before="120" w:after="120"/>
        <w:ind w:left="720"/>
        <w:rPr>
          <w:b/>
          <w:spacing w:val="3"/>
          <w:szCs w:val="24"/>
        </w:rPr>
      </w:pPr>
      <w:r w:rsidRPr="0001508F">
        <w:rPr>
          <w:b/>
          <w:spacing w:val="3"/>
          <w:szCs w:val="24"/>
        </w:rPr>
        <w:t>[</w:t>
      </w:r>
      <w:r w:rsidRPr="0001508F">
        <w:rPr>
          <w:b/>
          <w:strike/>
          <w:spacing w:val="3"/>
          <w:szCs w:val="24"/>
        </w:rPr>
        <w:t>Exceptions:</w:t>
      </w:r>
      <w:r w:rsidRPr="0001508F">
        <w:rPr>
          <w:b/>
          <w:spacing w:val="3"/>
          <w:szCs w:val="24"/>
        </w:rPr>
        <w:t>]</w:t>
      </w:r>
    </w:p>
    <w:p w14:paraId="73CA0FBC" w14:textId="77777777" w:rsidR="0001508F" w:rsidRPr="0001508F" w:rsidRDefault="0001508F" w:rsidP="0001508F">
      <w:pPr>
        <w:widowControl w:val="0"/>
        <w:kinsoku w:val="0"/>
        <w:spacing w:before="120" w:after="120"/>
        <w:ind w:left="1440" w:hanging="360"/>
        <w:rPr>
          <w:spacing w:val="3"/>
          <w:szCs w:val="24"/>
        </w:rPr>
      </w:pPr>
      <w:r w:rsidRPr="0001508F">
        <w:rPr>
          <w:spacing w:val="3"/>
          <w:szCs w:val="24"/>
        </w:rPr>
        <w:t>[</w:t>
      </w:r>
      <w:r w:rsidRPr="0001508F">
        <w:rPr>
          <w:strike/>
          <w:spacing w:val="3"/>
          <w:szCs w:val="24"/>
        </w:rPr>
        <w:t>1.</w:t>
      </w:r>
      <w:r w:rsidRPr="0001508F">
        <w:rPr>
          <w:strike/>
          <w:spacing w:val="3"/>
          <w:szCs w:val="24"/>
        </w:rPr>
        <w:tab/>
        <w:t>Applications for construction document approval for the alteration of an existing one- or two-family dwelling need not include such submittal documents, where the footprint of a proposed horizontal building enlargement and any proposed increase in impervious surfaces combined is less than or equal to 200 square feet (19 m</w:t>
      </w:r>
      <w:r w:rsidRPr="0001508F">
        <w:rPr>
          <w:strike/>
          <w:spacing w:val="3"/>
          <w:szCs w:val="24"/>
          <w:vertAlign w:val="superscript"/>
        </w:rPr>
        <w:t>2</w:t>
      </w:r>
      <w:r w:rsidRPr="0001508F">
        <w:rPr>
          <w:strike/>
          <w:spacing w:val="3"/>
          <w:szCs w:val="24"/>
        </w:rPr>
        <w:t>). Construction documents shall include the amount of proposed increase in impervious area.</w:t>
      </w:r>
      <w:r w:rsidRPr="0001508F">
        <w:rPr>
          <w:spacing w:val="3"/>
          <w:szCs w:val="24"/>
        </w:rPr>
        <w:t>]</w:t>
      </w:r>
    </w:p>
    <w:p w14:paraId="29CA9769" w14:textId="77777777" w:rsidR="0001508F" w:rsidRPr="0001508F" w:rsidRDefault="0001508F" w:rsidP="0001508F">
      <w:pPr>
        <w:widowControl w:val="0"/>
        <w:kinsoku w:val="0"/>
        <w:spacing w:before="120" w:after="120"/>
        <w:ind w:left="2160" w:hanging="720"/>
        <w:rPr>
          <w:spacing w:val="3"/>
          <w:szCs w:val="24"/>
        </w:rPr>
      </w:pPr>
      <w:r w:rsidRPr="0001508F">
        <w:rPr>
          <w:spacing w:val="3"/>
          <w:szCs w:val="24"/>
        </w:rPr>
        <w:t>[</w:t>
      </w:r>
      <w:r w:rsidRPr="0001508F">
        <w:rPr>
          <w:strike/>
          <w:spacing w:val="3"/>
          <w:szCs w:val="24"/>
        </w:rPr>
        <w:t>1.1.</w:t>
      </w:r>
      <w:r w:rsidRPr="0001508F">
        <w:rPr>
          <w:strike/>
          <w:spacing w:val="3"/>
          <w:szCs w:val="24"/>
        </w:rPr>
        <w:tab/>
        <w:t>This exception shall not apply if the horizontal building enlargement and increase in impervious surface related to the current application for construction document approval and any other enlargement or increase in impervious surface made on the same tax lot after July 1, 2008 together exceed 200 square feet (19 m</w:t>
      </w:r>
      <w:r w:rsidRPr="0001508F">
        <w:rPr>
          <w:strike/>
          <w:spacing w:val="3"/>
          <w:szCs w:val="24"/>
          <w:vertAlign w:val="superscript"/>
        </w:rPr>
        <w:t>2</w:t>
      </w:r>
      <w:r w:rsidRPr="0001508F">
        <w:rPr>
          <w:strike/>
          <w:spacing w:val="3"/>
          <w:szCs w:val="24"/>
        </w:rPr>
        <w:t>).</w:t>
      </w:r>
      <w:r w:rsidRPr="0001508F">
        <w:rPr>
          <w:spacing w:val="3"/>
          <w:szCs w:val="24"/>
        </w:rPr>
        <w:t>]</w:t>
      </w:r>
    </w:p>
    <w:p w14:paraId="5C1F5136" w14:textId="77777777" w:rsidR="0001508F" w:rsidRPr="0001508F" w:rsidRDefault="0001508F" w:rsidP="0001508F">
      <w:pPr>
        <w:widowControl w:val="0"/>
        <w:kinsoku w:val="0"/>
        <w:spacing w:before="120" w:after="120"/>
        <w:ind w:left="1440" w:hanging="360"/>
        <w:rPr>
          <w:spacing w:val="3"/>
          <w:szCs w:val="24"/>
        </w:rPr>
      </w:pPr>
      <w:r w:rsidRPr="0001508F">
        <w:rPr>
          <w:spacing w:val="3"/>
          <w:szCs w:val="24"/>
        </w:rPr>
        <w:t>[</w:t>
      </w:r>
      <w:r w:rsidRPr="0001508F">
        <w:rPr>
          <w:strike/>
          <w:spacing w:val="3"/>
          <w:szCs w:val="24"/>
        </w:rPr>
        <w:t>2.</w:t>
      </w:r>
      <w:r w:rsidRPr="0001508F">
        <w:rPr>
          <w:strike/>
          <w:spacing w:val="3"/>
          <w:szCs w:val="24"/>
        </w:rPr>
        <w:tab/>
        <w:t>Applications for construction document approval for the alteration of a building need not include such submittal documents, where the increase in area of the footprint resulting from a proposed horizontal building enlargement and any proposed increase in impervious surfaces on a lot combined is less than or equal to 1,000 square feet (93 m</w:t>
      </w:r>
      <w:r w:rsidRPr="0001508F">
        <w:rPr>
          <w:strike/>
          <w:spacing w:val="3"/>
          <w:szCs w:val="24"/>
          <w:vertAlign w:val="superscript"/>
        </w:rPr>
        <w:t>2</w:t>
      </w:r>
      <w:r w:rsidRPr="0001508F">
        <w:rPr>
          <w:strike/>
          <w:spacing w:val="3"/>
          <w:szCs w:val="24"/>
        </w:rPr>
        <w:t>), and on-site disposal of stormwater conforming to the provisions of the applicable laws and rules as determined by the department is proposed for such enlargement and/or increase in impervious surface. Construction documents shall include the amount of proposed increase in impervious area.</w:t>
      </w:r>
      <w:r w:rsidRPr="0001508F">
        <w:rPr>
          <w:spacing w:val="3"/>
          <w:szCs w:val="24"/>
        </w:rPr>
        <w:t>]</w:t>
      </w:r>
    </w:p>
    <w:p w14:paraId="387B7C0E" w14:textId="77777777" w:rsidR="0001508F" w:rsidRPr="0001508F" w:rsidRDefault="0001508F" w:rsidP="0001508F">
      <w:pPr>
        <w:widowControl w:val="0"/>
        <w:kinsoku w:val="0"/>
        <w:spacing w:before="120" w:after="120"/>
        <w:ind w:left="2160" w:hanging="720"/>
        <w:rPr>
          <w:spacing w:val="3"/>
          <w:szCs w:val="24"/>
        </w:rPr>
      </w:pPr>
      <w:r w:rsidRPr="0001508F">
        <w:rPr>
          <w:spacing w:val="3"/>
          <w:szCs w:val="24"/>
        </w:rPr>
        <w:t>[</w:t>
      </w:r>
      <w:r w:rsidRPr="0001508F">
        <w:rPr>
          <w:strike/>
          <w:spacing w:val="3"/>
          <w:szCs w:val="24"/>
        </w:rPr>
        <w:t>2.1.</w:t>
      </w:r>
      <w:r w:rsidRPr="0001508F">
        <w:rPr>
          <w:strike/>
          <w:spacing w:val="3"/>
          <w:szCs w:val="24"/>
        </w:rPr>
        <w:tab/>
        <w:t>This exception shall not apply where on-site disposal cannot be designed to conform to the provisions of the applicable laws and rules including but not limited to minimum required distances from lot lines or structures or subsoil conditions as determined by the department.</w:t>
      </w:r>
      <w:r w:rsidRPr="0001508F">
        <w:rPr>
          <w:spacing w:val="3"/>
          <w:szCs w:val="24"/>
        </w:rPr>
        <w:t>]</w:t>
      </w:r>
    </w:p>
    <w:p w14:paraId="7452ED17" w14:textId="77777777" w:rsidR="0001508F" w:rsidRPr="0001508F" w:rsidRDefault="0001508F" w:rsidP="0001508F">
      <w:pPr>
        <w:widowControl w:val="0"/>
        <w:kinsoku w:val="0"/>
        <w:spacing w:before="120" w:after="120"/>
        <w:ind w:left="2160" w:hanging="720"/>
        <w:rPr>
          <w:spacing w:val="3"/>
          <w:szCs w:val="24"/>
        </w:rPr>
      </w:pPr>
      <w:r w:rsidRPr="0001508F">
        <w:rPr>
          <w:spacing w:val="3"/>
          <w:szCs w:val="24"/>
        </w:rPr>
        <w:t>[</w:t>
      </w:r>
      <w:r w:rsidRPr="0001508F">
        <w:rPr>
          <w:strike/>
          <w:spacing w:val="3"/>
          <w:szCs w:val="24"/>
        </w:rPr>
        <w:t>2.2.</w:t>
      </w:r>
      <w:r w:rsidRPr="0001508F">
        <w:rPr>
          <w:strike/>
          <w:spacing w:val="3"/>
          <w:szCs w:val="24"/>
        </w:rPr>
        <w:tab/>
        <w:t>This exception shall not apply if the horizontal building enlargement and increase in impervious surface related to the current application for construction document approval and all other enlargements or increases in impervious surface made on the same tax lot after July 1, 2008 together exceed 1000 square feet (93 m</w:t>
      </w:r>
      <w:r w:rsidRPr="0001508F">
        <w:rPr>
          <w:strike/>
          <w:spacing w:val="3"/>
          <w:szCs w:val="24"/>
          <w:vertAlign w:val="superscript"/>
        </w:rPr>
        <w:t>2</w:t>
      </w:r>
      <w:r w:rsidRPr="0001508F">
        <w:rPr>
          <w:strike/>
          <w:spacing w:val="3"/>
          <w:szCs w:val="24"/>
        </w:rPr>
        <w:t>).</w:t>
      </w:r>
      <w:r w:rsidRPr="0001508F">
        <w:rPr>
          <w:spacing w:val="3"/>
          <w:szCs w:val="24"/>
        </w:rPr>
        <w:t>]</w:t>
      </w:r>
    </w:p>
    <w:p w14:paraId="2C5E7A8D" w14:textId="77777777" w:rsidR="0001508F" w:rsidRPr="0001508F" w:rsidRDefault="0001508F" w:rsidP="0001508F">
      <w:pPr>
        <w:spacing w:line="480" w:lineRule="auto"/>
        <w:ind w:firstLine="720"/>
        <w:rPr>
          <w:szCs w:val="24"/>
        </w:rPr>
      </w:pPr>
      <w:r w:rsidRPr="0001508F">
        <w:rPr>
          <w:szCs w:val="24"/>
        </w:rPr>
        <w:t>§ 46. Section 201.3 of the New York city building code, as amended by local law number 126 for the year 2021, and section 201.3.1 of such code, as added by local law number 126 for the year 2021, are amended to read as follows:</w:t>
      </w:r>
    </w:p>
    <w:p w14:paraId="3F903BFA" w14:textId="77777777" w:rsidR="0001508F" w:rsidRPr="0001508F" w:rsidRDefault="0001508F" w:rsidP="0001508F">
      <w:pPr>
        <w:widowControl w:val="0"/>
        <w:spacing w:before="120" w:after="120"/>
        <w:rPr>
          <w:szCs w:val="24"/>
        </w:rPr>
      </w:pPr>
    </w:p>
    <w:p w14:paraId="1B59CDF9" w14:textId="77777777" w:rsidR="0001508F" w:rsidRPr="0001508F" w:rsidRDefault="0001508F" w:rsidP="0001508F">
      <w:pPr>
        <w:suppressAutoHyphens/>
        <w:spacing w:after="240"/>
        <w:rPr>
          <w:spacing w:val="1"/>
          <w:szCs w:val="24"/>
        </w:rPr>
      </w:pPr>
      <w:r w:rsidRPr="0001508F">
        <w:rPr>
          <w:b/>
          <w:szCs w:val="24"/>
        </w:rPr>
        <w:t>201.3 Terms defined in other codes.</w:t>
      </w:r>
      <w:r w:rsidRPr="0001508F">
        <w:rPr>
          <w:b/>
          <w:bCs/>
          <w:spacing w:val="1"/>
          <w:w w:val="105"/>
          <w:szCs w:val="24"/>
        </w:rPr>
        <w:t xml:space="preserve"> </w:t>
      </w:r>
      <w:r w:rsidRPr="0001508F">
        <w:rPr>
          <w:spacing w:val="1"/>
          <w:szCs w:val="24"/>
        </w:rPr>
        <w:t xml:space="preserve">Where terms are not defined in this code and are defined in the </w:t>
      </w:r>
      <w:r w:rsidRPr="0001508F">
        <w:rPr>
          <w:i/>
          <w:iCs/>
          <w:spacing w:val="1"/>
          <w:szCs w:val="24"/>
        </w:rPr>
        <w:t>New York City Fuel Gas Code, New York City Fire Code, New York City Mechanical Code, New York City Electrical Code, New York City Plumbing Code</w:t>
      </w:r>
      <w:r w:rsidRPr="0001508F">
        <w:rPr>
          <w:szCs w:val="24"/>
        </w:rPr>
        <w:t>, [</w:t>
      </w:r>
      <w:r w:rsidRPr="0001508F">
        <w:rPr>
          <w:strike/>
          <w:szCs w:val="24"/>
        </w:rPr>
        <w:t xml:space="preserve">or the </w:t>
      </w:r>
      <w:r w:rsidRPr="0001508F">
        <w:rPr>
          <w:szCs w:val="24"/>
        </w:rPr>
        <w:t>]</w:t>
      </w:r>
      <w:r w:rsidRPr="0001508F">
        <w:rPr>
          <w:i/>
          <w:iCs/>
          <w:spacing w:val="1"/>
          <w:szCs w:val="24"/>
        </w:rPr>
        <w:t>New York City Energy Conservation Code,</w:t>
      </w:r>
      <w:r w:rsidRPr="0001508F">
        <w:rPr>
          <w:i/>
          <w:iCs/>
          <w:szCs w:val="24"/>
        </w:rPr>
        <w:t xml:space="preserve"> </w:t>
      </w:r>
      <w:r w:rsidRPr="0001508F">
        <w:rPr>
          <w:i/>
          <w:iCs/>
          <w:szCs w:val="24"/>
          <w:u w:val="single"/>
        </w:rPr>
        <w:t>or the New York City Existing Building Code</w:t>
      </w:r>
      <w:r w:rsidRPr="0001508F">
        <w:rPr>
          <w:szCs w:val="24"/>
          <w:u w:val="single"/>
        </w:rPr>
        <w:t>,</w:t>
      </w:r>
      <w:r w:rsidRPr="0001508F">
        <w:rPr>
          <w:spacing w:val="1"/>
          <w:szCs w:val="24"/>
        </w:rPr>
        <w:t xml:space="preserve"> such terms shall have the meanings ascribed to them as in those codes.</w:t>
      </w:r>
    </w:p>
    <w:p w14:paraId="5F3F8F5D" w14:textId="77777777" w:rsidR="0001508F" w:rsidRPr="0001508F" w:rsidRDefault="0001508F" w:rsidP="0001508F">
      <w:pPr>
        <w:widowControl w:val="0"/>
        <w:spacing w:before="120" w:after="120"/>
        <w:ind w:left="360"/>
        <w:rPr>
          <w:szCs w:val="24"/>
        </w:rPr>
      </w:pPr>
      <w:r w:rsidRPr="0001508F">
        <w:rPr>
          <w:b/>
          <w:bCs/>
          <w:szCs w:val="24"/>
        </w:rPr>
        <w:t>201.3.1 Terms defined in the general administrative provisions.</w:t>
      </w:r>
      <w:r w:rsidRPr="0001508F">
        <w:rPr>
          <w:szCs w:val="24"/>
        </w:rPr>
        <w:t xml:space="preserve"> The following terms are defined in Section 28-101.5 of the </w:t>
      </w:r>
      <w:r w:rsidRPr="0001508F">
        <w:rPr>
          <w:i/>
          <w:szCs w:val="24"/>
        </w:rPr>
        <w:t>Administrative Code</w:t>
      </w:r>
      <w:r w:rsidRPr="0001508F">
        <w:rPr>
          <w:szCs w:val="24"/>
        </w:rPr>
        <w:t>:</w:t>
      </w:r>
    </w:p>
    <w:p w14:paraId="246BCEAF" w14:textId="77777777" w:rsidR="0001508F" w:rsidRPr="0001508F" w:rsidRDefault="0001508F" w:rsidP="0001508F">
      <w:pPr>
        <w:suppressAutoHyphens/>
        <w:spacing w:after="240"/>
        <w:ind w:left="360"/>
        <w:rPr>
          <w:szCs w:val="24"/>
        </w:rPr>
      </w:pPr>
      <w:r w:rsidRPr="0001508F">
        <w:rPr>
          <w:b/>
          <w:szCs w:val="24"/>
        </w:rPr>
        <w:t>1968 BUILDING CODE.</w:t>
      </w:r>
      <w:r w:rsidRPr="0001508F">
        <w:rPr>
          <w:b/>
          <w:bCs/>
          <w:spacing w:val="-9"/>
          <w:w w:val="105"/>
          <w:szCs w:val="24"/>
        </w:rPr>
        <w:t xml:space="preserve"> </w:t>
      </w:r>
    </w:p>
    <w:p w14:paraId="56E4D8A1" w14:textId="77777777" w:rsidR="0001508F" w:rsidRPr="0001508F" w:rsidRDefault="0001508F" w:rsidP="0001508F">
      <w:pPr>
        <w:suppressAutoHyphens/>
        <w:spacing w:after="240"/>
        <w:ind w:left="360"/>
        <w:rPr>
          <w:b/>
          <w:szCs w:val="24"/>
        </w:rPr>
      </w:pPr>
      <w:r w:rsidRPr="0001508F">
        <w:rPr>
          <w:b/>
          <w:szCs w:val="24"/>
        </w:rPr>
        <w:t>[</w:t>
      </w:r>
      <w:r w:rsidRPr="0001508F">
        <w:rPr>
          <w:b/>
          <w:strike/>
          <w:szCs w:val="24"/>
        </w:rPr>
        <w:t>1968 OR PRIOR CODE BUILDINGS OR STRUCTURES (PRIOR CODE BUILDINGS).</w:t>
      </w:r>
      <w:r w:rsidRPr="0001508F">
        <w:rPr>
          <w:b/>
          <w:szCs w:val="24"/>
        </w:rPr>
        <w:t>]</w:t>
      </w:r>
    </w:p>
    <w:p w14:paraId="24577627" w14:textId="77777777" w:rsidR="0001508F" w:rsidRPr="0001508F" w:rsidRDefault="0001508F" w:rsidP="0001508F">
      <w:pPr>
        <w:suppressAutoHyphens/>
        <w:spacing w:after="240"/>
        <w:ind w:left="360"/>
        <w:rPr>
          <w:spacing w:val="-8"/>
          <w:w w:val="115"/>
          <w:szCs w:val="24"/>
        </w:rPr>
      </w:pPr>
      <w:r w:rsidRPr="0001508F">
        <w:rPr>
          <w:b/>
          <w:szCs w:val="24"/>
        </w:rPr>
        <w:t>ACCEPTANCE OR ACCEPTED</w:t>
      </w:r>
      <w:r w:rsidRPr="0001508F">
        <w:rPr>
          <w:b/>
          <w:bCs/>
          <w:spacing w:val="-9"/>
          <w:w w:val="105"/>
          <w:szCs w:val="24"/>
        </w:rPr>
        <w:t xml:space="preserve">. </w:t>
      </w:r>
    </w:p>
    <w:p w14:paraId="4A5C6B97" w14:textId="77777777" w:rsidR="0001508F" w:rsidRPr="0001508F" w:rsidRDefault="0001508F" w:rsidP="0001508F">
      <w:pPr>
        <w:suppressAutoHyphens/>
        <w:spacing w:after="240"/>
        <w:ind w:left="360"/>
        <w:rPr>
          <w:spacing w:val="1"/>
          <w:szCs w:val="24"/>
        </w:rPr>
      </w:pPr>
      <w:r w:rsidRPr="0001508F">
        <w:rPr>
          <w:b/>
          <w:szCs w:val="24"/>
        </w:rPr>
        <w:t>ADDITION.</w:t>
      </w:r>
      <w:r w:rsidRPr="0001508F">
        <w:rPr>
          <w:b/>
          <w:bCs/>
          <w:spacing w:val="-5"/>
          <w:w w:val="105"/>
          <w:szCs w:val="24"/>
        </w:rPr>
        <w:t xml:space="preserve"> </w:t>
      </w:r>
    </w:p>
    <w:p w14:paraId="56986D40" w14:textId="77777777" w:rsidR="0001508F" w:rsidRPr="0001508F" w:rsidRDefault="0001508F" w:rsidP="0001508F">
      <w:pPr>
        <w:suppressAutoHyphens/>
        <w:spacing w:after="240"/>
        <w:ind w:left="360"/>
        <w:rPr>
          <w:spacing w:val="-9"/>
          <w:w w:val="115"/>
          <w:szCs w:val="24"/>
        </w:rPr>
      </w:pPr>
      <w:r w:rsidRPr="0001508F">
        <w:rPr>
          <w:b/>
          <w:szCs w:val="24"/>
        </w:rPr>
        <w:t>ADMINISTRATIVE CODE.</w:t>
      </w:r>
      <w:r w:rsidRPr="0001508F">
        <w:rPr>
          <w:b/>
          <w:bCs/>
          <w:spacing w:val="-9"/>
          <w:w w:val="105"/>
          <w:szCs w:val="24"/>
        </w:rPr>
        <w:t xml:space="preserve"> </w:t>
      </w:r>
    </w:p>
    <w:p w14:paraId="30A41195" w14:textId="77777777" w:rsidR="0001508F" w:rsidRPr="0001508F" w:rsidRDefault="0001508F" w:rsidP="0001508F">
      <w:pPr>
        <w:suppressAutoHyphens/>
        <w:spacing w:after="240"/>
        <w:ind w:left="360"/>
        <w:rPr>
          <w:spacing w:val="-10"/>
          <w:w w:val="115"/>
          <w:szCs w:val="24"/>
        </w:rPr>
      </w:pPr>
      <w:r w:rsidRPr="0001508F">
        <w:rPr>
          <w:b/>
          <w:szCs w:val="24"/>
        </w:rPr>
        <w:t>ALTERATION</w:t>
      </w:r>
      <w:r w:rsidRPr="0001508F">
        <w:rPr>
          <w:b/>
          <w:bCs/>
          <w:spacing w:val="-9"/>
          <w:w w:val="105"/>
          <w:szCs w:val="24"/>
        </w:rPr>
        <w:t xml:space="preserve">. </w:t>
      </w:r>
    </w:p>
    <w:p w14:paraId="21435919" w14:textId="77777777" w:rsidR="0001508F" w:rsidRPr="0001508F" w:rsidRDefault="0001508F" w:rsidP="0001508F">
      <w:pPr>
        <w:suppressAutoHyphens/>
        <w:spacing w:after="240"/>
        <w:ind w:left="360"/>
        <w:rPr>
          <w:spacing w:val="-2"/>
          <w:w w:val="115"/>
          <w:szCs w:val="24"/>
        </w:rPr>
      </w:pPr>
      <w:r w:rsidRPr="0001508F">
        <w:rPr>
          <w:b/>
          <w:szCs w:val="24"/>
        </w:rPr>
        <w:t>APPROVAL OR APPROVED.</w:t>
      </w:r>
      <w:r w:rsidRPr="0001508F">
        <w:rPr>
          <w:b/>
          <w:bCs/>
          <w:spacing w:val="-8"/>
          <w:w w:val="105"/>
          <w:szCs w:val="24"/>
        </w:rPr>
        <w:t xml:space="preserve"> </w:t>
      </w:r>
    </w:p>
    <w:p w14:paraId="2FBDD100" w14:textId="77777777" w:rsidR="0001508F" w:rsidRPr="0001508F" w:rsidRDefault="0001508F" w:rsidP="0001508F">
      <w:pPr>
        <w:suppressAutoHyphens/>
        <w:spacing w:after="240"/>
        <w:ind w:left="360"/>
        <w:rPr>
          <w:spacing w:val="1"/>
          <w:szCs w:val="24"/>
        </w:rPr>
      </w:pPr>
      <w:r w:rsidRPr="0001508F">
        <w:rPr>
          <w:b/>
          <w:szCs w:val="24"/>
        </w:rPr>
        <w:t>APPROVED AGENCY.</w:t>
      </w:r>
      <w:r w:rsidRPr="0001508F">
        <w:rPr>
          <w:b/>
          <w:bCs/>
          <w:spacing w:val="-5"/>
          <w:w w:val="105"/>
          <w:szCs w:val="24"/>
        </w:rPr>
        <w:t xml:space="preserve"> </w:t>
      </w:r>
    </w:p>
    <w:p w14:paraId="2007BA54" w14:textId="77777777" w:rsidR="0001508F" w:rsidRPr="0001508F" w:rsidRDefault="0001508F" w:rsidP="0001508F">
      <w:pPr>
        <w:suppressAutoHyphens/>
        <w:spacing w:after="240"/>
        <w:ind w:left="360"/>
        <w:rPr>
          <w:spacing w:val="-6"/>
          <w:w w:val="115"/>
          <w:szCs w:val="24"/>
        </w:rPr>
      </w:pPr>
      <w:r w:rsidRPr="0001508F">
        <w:rPr>
          <w:b/>
          <w:szCs w:val="24"/>
        </w:rPr>
        <w:t>APPROVED FABRICATOR.</w:t>
      </w:r>
      <w:r w:rsidRPr="0001508F">
        <w:rPr>
          <w:b/>
          <w:bCs/>
          <w:spacing w:val="-10"/>
          <w:w w:val="105"/>
          <w:szCs w:val="24"/>
        </w:rPr>
        <w:t xml:space="preserve"> </w:t>
      </w:r>
    </w:p>
    <w:p w14:paraId="6383ED5F" w14:textId="77777777" w:rsidR="0001508F" w:rsidRPr="0001508F" w:rsidRDefault="0001508F" w:rsidP="0001508F">
      <w:pPr>
        <w:suppressAutoHyphens/>
        <w:spacing w:after="240"/>
        <w:ind w:left="360"/>
        <w:rPr>
          <w:spacing w:val="-7"/>
          <w:w w:val="115"/>
          <w:szCs w:val="24"/>
        </w:rPr>
      </w:pPr>
      <w:r w:rsidRPr="0001508F">
        <w:rPr>
          <w:b/>
          <w:szCs w:val="24"/>
        </w:rPr>
        <w:t>APPROVED INSPECTION AGENCY.</w:t>
      </w:r>
      <w:r w:rsidRPr="0001508F">
        <w:rPr>
          <w:b/>
          <w:bCs/>
          <w:w w:val="105"/>
          <w:szCs w:val="24"/>
        </w:rPr>
        <w:t xml:space="preserve"> </w:t>
      </w:r>
    </w:p>
    <w:p w14:paraId="573652F1" w14:textId="77777777" w:rsidR="0001508F" w:rsidRPr="0001508F" w:rsidRDefault="0001508F" w:rsidP="0001508F">
      <w:pPr>
        <w:suppressAutoHyphens/>
        <w:spacing w:after="240"/>
        <w:ind w:left="360"/>
        <w:rPr>
          <w:spacing w:val="-7"/>
          <w:w w:val="115"/>
          <w:szCs w:val="24"/>
        </w:rPr>
      </w:pPr>
      <w:r w:rsidRPr="0001508F">
        <w:rPr>
          <w:b/>
          <w:szCs w:val="24"/>
        </w:rPr>
        <w:t>APPROVED TESTING AGENCY.</w:t>
      </w:r>
      <w:r w:rsidRPr="0001508F">
        <w:rPr>
          <w:b/>
          <w:bCs/>
          <w:spacing w:val="-10"/>
          <w:w w:val="105"/>
          <w:szCs w:val="24"/>
        </w:rPr>
        <w:t xml:space="preserve"> </w:t>
      </w:r>
    </w:p>
    <w:p w14:paraId="5A18C3F0" w14:textId="77777777" w:rsidR="0001508F" w:rsidRPr="0001508F" w:rsidRDefault="0001508F" w:rsidP="0001508F">
      <w:pPr>
        <w:suppressAutoHyphens/>
        <w:spacing w:after="240"/>
        <w:ind w:left="360"/>
        <w:rPr>
          <w:spacing w:val="-10"/>
          <w:w w:val="115"/>
          <w:szCs w:val="24"/>
        </w:rPr>
      </w:pPr>
      <w:r w:rsidRPr="0001508F">
        <w:rPr>
          <w:b/>
          <w:szCs w:val="24"/>
        </w:rPr>
        <w:t>ARCHITECT.</w:t>
      </w:r>
      <w:r w:rsidRPr="0001508F">
        <w:rPr>
          <w:b/>
          <w:bCs/>
          <w:spacing w:val="-6"/>
          <w:w w:val="105"/>
          <w:szCs w:val="24"/>
        </w:rPr>
        <w:t xml:space="preserve"> </w:t>
      </w:r>
    </w:p>
    <w:p w14:paraId="0321A69B" w14:textId="77777777" w:rsidR="0001508F" w:rsidRPr="0001508F" w:rsidRDefault="0001508F" w:rsidP="0001508F">
      <w:pPr>
        <w:suppressAutoHyphens/>
        <w:spacing w:after="240"/>
        <w:ind w:left="360"/>
        <w:rPr>
          <w:spacing w:val="-7"/>
          <w:w w:val="115"/>
          <w:szCs w:val="24"/>
        </w:rPr>
      </w:pPr>
      <w:r w:rsidRPr="0001508F">
        <w:rPr>
          <w:b/>
          <w:szCs w:val="24"/>
        </w:rPr>
        <w:t>BUILDING.</w:t>
      </w:r>
      <w:r w:rsidRPr="0001508F">
        <w:rPr>
          <w:b/>
          <w:bCs/>
          <w:spacing w:val="-12"/>
          <w:w w:val="105"/>
          <w:szCs w:val="24"/>
        </w:rPr>
        <w:t xml:space="preserve"> </w:t>
      </w:r>
    </w:p>
    <w:p w14:paraId="3D0148AC" w14:textId="77777777" w:rsidR="0001508F" w:rsidRPr="0001508F" w:rsidRDefault="0001508F" w:rsidP="0001508F">
      <w:pPr>
        <w:suppressAutoHyphens/>
        <w:spacing w:after="240"/>
        <w:ind w:left="360"/>
        <w:rPr>
          <w:spacing w:val="-8"/>
          <w:w w:val="115"/>
          <w:szCs w:val="24"/>
        </w:rPr>
      </w:pPr>
      <w:r w:rsidRPr="0001508F">
        <w:rPr>
          <w:b/>
          <w:szCs w:val="24"/>
        </w:rPr>
        <w:t xml:space="preserve">CHARTER. </w:t>
      </w:r>
    </w:p>
    <w:p w14:paraId="754DC972" w14:textId="77777777" w:rsidR="0001508F" w:rsidRPr="0001508F" w:rsidRDefault="0001508F" w:rsidP="0001508F">
      <w:pPr>
        <w:suppressAutoHyphens/>
        <w:spacing w:after="240"/>
        <w:ind w:left="360"/>
        <w:rPr>
          <w:spacing w:val="-7"/>
          <w:w w:val="115"/>
          <w:szCs w:val="24"/>
        </w:rPr>
      </w:pPr>
      <w:r w:rsidRPr="0001508F">
        <w:rPr>
          <w:b/>
          <w:szCs w:val="24"/>
        </w:rPr>
        <w:t xml:space="preserve">CERTIFICATE OF COMPLIANCE. </w:t>
      </w:r>
    </w:p>
    <w:p w14:paraId="44361EE3" w14:textId="77777777" w:rsidR="0001508F" w:rsidRPr="0001508F" w:rsidRDefault="0001508F" w:rsidP="0001508F">
      <w:pPr>
        <w:suppressAutoHyphens/>
        <w:spacing w:after="240"/>
        <w:ind w:left="360"/>
        <w:rPr>
          <w:spacing w:val="-8"/>
          <w:w w:val="115"/>
          <w:szCs w:val="24"/>
        </w:rPr>
      </w:pPr>
      <w:r w:rsidRPr="0001508F">
        <w:rPr>
          <w:b/>
          <w:szCs w:val="24"/>
        </w:rPr>
        <w:t>CITY.</w:t>
      </w:r>
      <w:r w:rsidRPr="0001508F">
        <w:rPr>
          <w:b/>
          <w:bCs/>
          <w:spacing w:val="-8"/>
          <w:w w:val="105"/>
          <w:szCs w:val="24"/>
        </w:rPr>
        <w:t xml:space="preserve"> </w:t>
      </w:r>
    </w:p>
    <w:p w14:paraId="6B4BC9B2" w14:textId="77777777" w:rsidR="0001508F" w:rsidRPr="0001508F" w:rsidRDefault="0001508F" w:rsidP="0001508F">
      <w:pPr>
        <w:suppressAutoHyphens/>
        <w:spacing w:after="240"/>
        <w:ind w:left="360"/>
        <w:rPr>
          <w:spacing w:val="-4"/>
          <w:w w:val="115"/>
          <w:szCs w:val="24"/>
        </w:rPr>
      </w:pPr>
      <w:r w:rsidRPr="0001508F">
        <w:rPr>
          <w:b/>
          <w:szCs w:val="24"/>
        </w:rPr>
        <w:t>COMMISSIONER.</w:t>
      </w:r>
      <w:r w:rsidRPr="0001508F">
        <w:rPr>
          <w:b/>
          <w:bCs/>
          <w:spacing w:val="-4"/>
          <w:w w:val="105"/>
          <w:szCs w:val="24"/>
        </w:rPr>
        <w:t xml:space="preserve"> </w:t>
      </w:r>
    </w:p>
    <w:p w14:paraId="5585ACB2" w14:textId="77777777" w:rsidR="0001508F" w:rsidRPr="0001508F" w:rsidRDefault="0001508F" w:rsidP="0001508F">
      <w:pPr>
        <w:suppressAutoHyphens/>
        <w:spacing w:after="240"/>
        <w:ind w:left="360"/>
        <w:rPr>
          <w:spacing w:val="1"/>
          <w:szCs w:val="24"/>
        </w:rPr>
      </w:pPr>
      <w:r w:rsidRPr="0001508F">
        <w:rPr>
          <w:b/>
          <w:szCs w:val="24"/>
        </w:rPr>
        <w:t xml:space="preserve">CONSTRUCTION DOCUMENTS. </w:t>
      </w:r>
    </w:p>
    <w:p w14:paraId="043F0C66" w14:textId="77777777" w:rsidR="0001508F" w:rsidRPr="0001508F" w:rsidRDefault="0001508F" w:rsidP="0001508F">
      <w:pPr>
        <w:suppressAutoHyphens/>
        <w:spacing w:after="240"/>
        <w:ind w:left="360"/>
        <w:rPr>
          <w:spacing w:val="-7"/>
          <w:w w:val="115"/>
          <w:szCs w:val="24"/>
        </w:rPr>
      </w:pPr>
      <w:r w:rsidRPr="0001508F">
        <w:rPr>
          <w:b/>
          <w:spacing w:val="-7"/>
          <w:w w:val="115"/>
          <w:szCs w:val="24"/>
        </w:rPr>
        <w:t>DAY.</w:t>
      </w:r>
      <w:r w:rsidRPr="0001508F">
        <w:rPr>
          <w:spacing w:val="-7"/>
          <w:w w:val="115"/>
          <w:szCs w:val="24"/>
        </w:rPr>
        <w:t xml:space="preserve"> </w:t>
      </w:r>
    </w:p>
    <w:p w14:paraId="01CB4F78" w14:textId="77777777" w:rsidR="0001508F" w:rsidRPr="0001508F" w:rsidRDefault="0001508F" w:rsidP="0001508F">
      <w:pPr>
        <w:suppressAutoHyphens/>
        <w:spacing w:after="240"/>
        <w:ind w:left="360"/>
        <w:rPr>
          <w:spacing w:val="-8"/>
          <w:w w:val="115"/>
          <w:szCs w:val="24"/>
        </w:rPr>
      </w:pPr>
      <w:r w:rsidRPr="0001508F">
        <w:rPr>
          <w:b/>
          <w:szCs w:val="24"/>
        </w:rPr>
        <w:t xml:space="preserve">DEFERRED SUBMITTAL. </w:t>
      </w:r>
    </w:p>
    <w:p w14:paraId="6FB45AB9" w14:textId="77777777" w:rsidR="0001508F" w:rsidRPr="0001508F" w:rsidRDefault="0001508F" w:rsidP="0001508F">
      <w:pPr>
        <w:suppressAutoHyphens/>
        <w:spacing w:after="240"/>
        <w:ind w:left="360"/>
        <w:rPr>
          <w:spacing w:val="-6"/>
          <w:w w:val="115"/>
          <w:szCs w:val="24"/>
        </w:rPr>
      </w:pPr>
      <w:r w:rsidRPr="0001508F">
        <w:rPr>
          <w:b/>
          <w:szCs w:val="24"/>
        </w:rPr>
        <w:t>DEMOLITION.</w:t>
      </w:r>
      <w:r w:rsidRPr="0001508F">
        <w:rPr>
          <w:b/>
          <w:bCs/>
          <w:spacing w:val="-6"/>
          <w:w w:val="105"/>
          <w:szCs w:val="24"/>
        </w:rPr>
        <w:t xml:space="preserve"> </w:t>
      </w:r>
    </w:p>
    <w:p w14:paraId="75096AE2" w14:textId="77777777" w:rsidR="0001508F" w:rsidRPr="0001508F" w:rsidRDefault="0001508F" w:rsidP="0001508F">
      <w:pPr>
        <w:suppressAutoHyphens/>
        <w:spacing w:after="240"/>
        <w:ind w:left="360"/>
        <w:rPr>
          <w:spacing w:val="-6"/>
          <w:w w:val="115"/>
          <w:szCs w:val="24"/>
        </w:rPr>
      </w:pPr>
      <w:r w:rsidRPr="0001508F">
        <w:rPr>
          <w:b/>
          <w:szCs w:val="24"/>
        </w:rPr>
        <w:t xml:space="preserve">DEMOLITION, FULL. </w:t>
      </w:r>
    </w:p>
    <w:p w14:paraId="055664CE" w14:textId="77777777" w:rsidR="0001508F" w:rsidRPr="0001508F" w:rsidRDefault="0001508F" w:rsidP="0001508F">
      <w:pPr>
        <w:suppressAutoHyphens/>
        <w:spacing w:after="240"/>
        <w:ind w:left="360"/>
        <w:rPr>
          <w:spacing w:val="-6"/>
          <w:w w:val="115"/>
          <w:szCs w:val="24"/>
        </w:rPr>
      </w:pPr>
      <w:r w:rsidRPr="0001508F">
        <w:rPr>
          <w:b/>
          <w:szCs w:val="24"/>
        </w:rPr>
        <w:t>DEMOLITION, PARTIAL.</w:t>
      </w:r>
      <w:r w:rsidRPr="0001508F">
        <w:rPr>
          <w:b/>
          <w:bCs/>
          <w:spacing w:val="-5"/>
          <w:w w:val="105"/>
          <w:szCs w:val="24"/>
        </w:rPr>
        <w:t xml:space="preserve"> </w:t>
      </w:r>
    </w:p>
    <w:p w14:paraId="5E65DA52" w14:textId="77777777" w:rsidR="0001508F" w:rsidRPr="0001508F" w:rsidRDefault="0001508F" w:rsidP="0001508F">
      <w:pPr>
        <w:suppressAutoHyphens/>
        <w:spacing w:after="240"/>
        <w:ind w:left="360"/>
        <w:rPr>
          <w:spacing w:val="-7"/>
          <w:w w:val="115"/>
          <w:szCs w:val="24"/>
        </w:rPr>
      </w:pPr>
      <w:r w:rsidRPr="0001508F">
        <w:rPr>
          <w:b/>
          <w:szCs w:val="24"/>
        </w:rPr>
        <w:t xml:space="preserve">DEPARTMENT. </w:t>
      </w:r>
    </w:p>
    <w:p w14:paraId="0475716E" w14:textId="77777777" w:rsidR="0001508F" w:rsidRPr="0001508F" w:rsidRDefault="0001508F" w:rsidP="0001508F">
      <w:pPr>
        <w:suppressAutoHyphens/>
        <w:spacing w:after="240"/>
        <w:ind w:left="360"/>
        <w:rPr>
          <w:spacing w:val="-10"/>
          <w:w w:val="115"/>
          <w:szCs w:val="24"/>
        </w:rPr>
      </w:pPr>
      <w:r w:rsidRPr="0001508F">
        <w:rPr>
          <w:b/>
          <w:szCs w:val="24"/>
        </w:rPr>
        <w:t xml:space="preserve">ENGINEER. </w:t>
      </w:r>
    </w:p>
    <w:p w14:paraId="288D432F" w14:textId="77777777" w:rsidR="0001508F" w:rsidRPr="0001508F" w:rsidRDefault="0001508F" w:rsidP="0001508F">
      <w:pPr>
        <w:suppressAutoHyphens/>
        <w:spacing w:after="240"/>
        <w:ind w:left="360"/>
        <w:rPr>
          <w:spacing w:val="-8"/>
          <w:w w:val="115"/>
          <w:szCs w:val="24"/>
        </w:rPr>
      </w:pPr>
      <w:r w:rsidRPr="0001508F">
        <w:rPr>
          <w:b/>
          <w:szCs w:val="24"/>
        </w:rPr>
        <w:t xml:space="preserve">ENLARGEMENT. </w:t>
      </w:r>
    </w:p>
    <w:p w14:paraId="4E571AB8" w14:textId="77777777" w:rsidR="0001508F" w:rsidRPr="0001508F" w:rsidRDefault="0001508F" w:rsidP="0001508F">
      <w:pPr>
        <w:suppressAutoHyphens/>
        <w:spacing w:after="240"/>
        <w:ind w:left="360"/>
        <w:rPr>
          <w:szCs w:val="24"/>
        </w:rPr>
      </w:pPr>
      <w:r w:rsidRPr="0001508F">
        <w:rPr>
          <w:b/>
          <w:szCs w:val="24"/>
        </w:rPr>
        <w:t xml:space="preserve">ENVIRONMENTAL CONTROL BOARD or ECB. </w:t>
      </w:r>
    </w:p>
    <w:p w14:paraId="7EA8EAF8" w14:textId="77777777" w:rsidR="0001508F" w:rsidRPr="0001508F" w:rsidRDefault="0001508F" w:rsidP="0001508F">
      <w:pPr>
        <w:suppressAutoHyphens/>
        <w:spacing w:after="240"/>
        <w:ind w:left="360"/>
        <w:rPr>
          <w:spacing w:val="-6"/>
          <w:w w:val="115"/>
          <w:szCs w:val="24"/>
        </w:rPr>
      </w:pPr>
      <w:r w:rsidRPr="0001508F">
        <w:rPr>
          <w:b/>
          <w:szCs w:val="24"/>
        </w:rPr>
        <w:t>EXISTING BUILDING OR STRUCTURE.</w:t>
      </w:r>
      <w:r w:rsidRPr="0001508F">
        <w:rPr>
          <w:spacing w:val="1"/>
          <w:szCs w:val="24"/>
        </w:rPr>
        <w:t xml:space="preserve"> </w:t>
      </w:r>
    </w:p>
    <w:p w14:paraId="314B1C0A" w14:textId="77777777" w:rsidR="0001508F" w:rsidRPr="0001508F" w:rsidRDefault="0001508F" w:rsidP="0001508F">
      <w:pPr>
        <w:suppressAutoHyphens/>
        <w:spacing w:after="240"/>
        <w:ind w:left="360"/>
        <w:rPr>
          <w:spacing w:val="1"/>
          <w:szCs w:val="24"/>
        </w:rPr>
      </w:pPr>
      <w:r w:rsidRPr="0001508F">
        <w:rPr>
          <w:b/>
          <w:szCs w:val="24"/>
        </w:rPr>
        <w:t xml:space="preserve">FABRICATED ITEM. </w:t>
      </w:r>
    </w:p>
    <w:p w14:paraId="297F6D7F" w14:textId="77777777" w:rsidR="0001508F" w:rsidRPr="0001508F" w:rsidRDefault="0001508F" w:rsidP="0001508F">
      <w:pPr>
        <w:suppressAutoHyphens/>
        <w:spacing w:after="240"/>
        <w:ind w:left="360"/>
        <w:rPr>
          <w:spacing w:val="-6"/>
          <w:w w:val="115"/>
          <w:szCs w:val="24"/>
        </w:rPr>
      </w:pPr>
      <w:r w:rsidRPr="0001508F">
        <w:rPr>
          <w:b/>
          <w:szCs w:val="24"/>
        </w:rPr>
        <w:t>FIRE PROTECTION PLAN.</w:t>
      </w:r>
      <w:r w:rsidRPr="0001508F">
        <w:rPr>
          <w:b/>
          <w:bCs/>
          <w:spacing w:val="-13"/>
          <w:w w:val="105"/>
          <w:szCs w:val="24"/>
        </w:rPr>
        <w:t xml:space="preserve"> </w:t>
      </w:r>
    </w:p>
    <w:p w14:paraId="18986E04" w14:textId="77777777" w:rsidR="0001508F" w:rsidRPr="0001508F" w:rsidRDefault="0001508F" w:rsidP="0001508F">
      <w:pPr>
        <w:suppressAutoHyphens/>
        <w:spacing w:after="240"/>
        <w:ind w:left="360"/>
        <w:rPr>
          <w:spacing w:val="-7"/>
          <w:w w:val="115"/>
          <w:szCs w:val="24"/>
        </w:rPr>
      </w:pPr>
      <w:r w:rsidRPr="0001508F">
        <w:rPr>
          <w:b/>
          <w:szCs w:val="24"/>
        </w:rPr>
        <w:t>HEREAFTER.</w:t>
      </w:r>
      <w:r w:rsidRPr="0001508F">
        <w:rPr>
          <w:b/>
          <w:bCs/>
          <w:spacing w:val="-7"/>
          <w:w w:val="105"/>
          <w:szCs w:val="24"/>
        </w:rPr>
        <w:t xml:space="preserve"> </w:t>
      </w:r>
    </w:p>
    <w:p w14:paraId="2AC150DE" w14:textId="77777777" w:rsidR="0001508F" w:rsidRPr="0001508F" w:rsidRDefault="0001508F" w:rsidP="0001508F">
      <w:pPr>
        <w:suppressAutoHyphens/>
        <w:spacing w:after="240"/>
        <w:ind w:left="360"/>
        <w:rPr>
          <w:spacing w:val="-6"/>
          <w:w w:val="115"/>
          <w:szCs w:val="24"/>
        </w:rPr>
      </w:pPr>
      <w:r w:rsidRPr="0001508F">
        <w:rPr>
          <w:b/>
          <w:szCs w:val="24"/>
        </w:rPr>
        <w:t xml:space="preserve">HERETOFORE. </w:t>
      </w:r>
    </w:p>
    <w:p w14:paraId="55481E14" w14:textId="77777777" w:rsidR="0001508F" w:rsidRPr="0001508F" w:rsidRDefault="0001508F" w:rsidP="0001508F">
      <w:pPr>
        <w:suppressAutoHyphens/>
        <w:spacing w:after="240"/>
        <w:ind w:left="360"/>
        <w:rPr>
          <w:spacing w:val="1"/>
          <w:szCs w:val="24"/>
        </w:rPr>
      </w:pPr>
      <w:r w:rsidRPr="0001508F">
        <w:rPr>
          <w:b/>
          <w:bCs/>
          <w:spacing w:val="-9"/>
          <w:w w:val="105"/>
          <w:szCs w:val="24"/>
        </w:rPr>
        <w:t>I</w:t>
      </w:r>
      <w:r w:rsidRPr="0001508F">
        <w:rPr>
          <w:b/>
          <w:szCs w:val="24"/>
        </w:rPr>
        <w:t>NSPECTION CERTIFICATE.</w:t>
      </w:r>
      <w:r w:rsidRPr="0001508F">
        <w:rPr>
          <w:b/>
          <w:bCs/>
          <w:spacing w:val="-9"/>
          <w:w w:val="105"/>
          <w:szCs w:val="24"/>
        </w:rPr>
        <w:t xml:space="preserve"> </w:t>
      </w:r>
    </w:p>
    <w:p w14:paraId="4AB6BF67" w14:textId="77777777" w:rsidR="0001508F" w:rsidRPr="0001508F" w:rsidRDefault="0001508F" w:rsidP="0001508F">
      <w:pPr>
        <w:suppressAutoHyphens/>
        <w:spacing w:after="240"/>
        <w:ind w:left="360"/>
        <w:rPr>
          <w:spacing w:val="-6"/>
          <w:w w:val="115"/>
          <w:szCs w:val="24"/>
        </w:rPr>
      </w:pPr>
      <w:r w:rsidRPr="0001508F">
        <w:rPr>
          <w:b/>
          <w:szCs w:val="24"/>
        </w:rPr>
        <w:t>INTERIM CERTIFICATE OF OCCUPANCY.</w:t>
      </w:r>
      <w:r w:rsidRPr="0001508F">
        <w:rPr>
          <w:b/>
          <w:spacing w:val="-6"/>
          <w:w w:val="115"/>
          <w:szCs w:val="24"/>
        </w:rPr>
        <w:t xml:space="preserve"> </w:t>
      </w:r>
    </w:p>
    <w:p w14:paraId="5FD9BFF6" w14:textId="77777777" w:rsidR="0001508F" w:rsidRPr="0001508F" w:rsidRDefault="0001508F" w:rsidP="0001508F">
      <w:pPr>
        <w:suppressAutoHyphens/>
        <w:spacing w:after="240"/>
        <w:ind w:left="360"/>
        <w:rPr>
          <w:spacing w:val="1"/>
          <w:szCs w:val="24"/>
        </w:rPr>
      </w:pPr>
      <w:r w:rsidRPr="0001508F">
        <w:rPr>
          <w:b/>
          <w:szCs w:val="24"/>
        </w:rPr>
        <w:t>LABEL.</w:t>
      </w:r>
      <w:r w:rsidRPr="0001508F">
        <w:rPr>
          <w:b/>
          <w:bCs/>
          <w:spacing w:val="-6"/>
          <w:w w:val="105"/>
          <w:szCs w:val="24"/>
        </w:rPr>
        <w:t xml:space="preserve"> </w:t>
      </w:r>
    </w:p>
    <w:p w14:paraId="3FA62FA3" w14:textId="77777777" w:rsidR="0001508F" w:rsidRPr="0001508F" w:rsidRDefault="0001508F" w:rsidP="0001508F">
      <w:pPr>
        <w:suppressAutoHyphens/>
        <w:spacing w:after="240"/>
        <w:ind w:left="360"/>
        <w:rPr>
          <w:spacing w:val="-8"/>
          <w:w w:val="115"/>
          <w:szCs w:val="24"/>
        </w:rPr>
      </w:pPr>
      <w:r w:rsidRPr="0001508F">
        <w:rPr>
          <w:b/>
          <w:szCs w:val="24"/>
        </w:rPr>
        <w:t xml:space="preserve">LABELED. </w:t>
      </w:r>
    </w:p>
    <w:p w14:paraId="657E4FF0" w14:textId="77777777" w:rsidR="0001508F" w:rsidRPr="0001508F" w:rsidRDefault="0001508F" w:rsidP="0001508F">
      <w:pPr>
        <w:suppressAutoHyphens/>
        <w:spacing w:after="240"/>
        <w:ind w:left="360"/>
        <w:rPr>
          <w:spacing w:val="-8"/>
          <w:w w:val="115"/>
          <w:szCs w:val="24"/>
        </w:rPr>
      </w:pPr>
      <w:r w:rsidRPr="0001508F">
        <w:rPr>
          <w:b/>
          <w:szCs w:val="24"/>
        </w:rPr>
        <w:t>LAND SURVEYOR.</w:t>
      </w:r>
      <w:r w:rsidRPr="0001508F">
        <w:rPr>
          <w:b/>
          <w:bCs/>
          <w:spacing w:val="-6"/>
          <w:w w:val="105"/>
          <w:szCs w:val="24"/>
        </w:rPr>
        <w:t xml:space="preserve"> </w:t>
      </w:r>
    </w:p>
    <w:p w14:paraId="39CD8E38" w14:textId="77777777" w:rsidR="0001508F" w:rsidRPr="0001508F" w:rsidRDefault="0001508F" w:rsidP="0001508F">
      <w:pPr>
        <w:suppressAutoHyphens/>
        <w:spacing w:after="240"/>
        <w:ind w:left="360"/>
        <w:rPr>
          <w:spacing w:val="1"/>
          <w:szCs w:val="24"/>
        </w:rPr>
      </w:pPr>
      <w:r w:rsidRPr="0001508F">
        <w:rPr>
          <w:b/>
          <w:szCs w:val="24"/>
        </w:rPr>
        <w:t>LANDSCAPE ARCHITECT</w:t>
      </w:r>
      <w:r w:rsidRPr="0001508F">
        <w:rPr>
          <w:b/>
          <w:spacing w:val="-7"/>
          <w:w w:val="115"/>
          <w:szCs w:val="24"/>
        </w:rPr>
        <w:t>.</w:t>
      </w:r>
      <w:r w:rsidRPr="0001508F">
        <w:rPr>
          <w:spacing w:val="-7"/>
          <w:w w:val="115"/>
          <w:szCs w:val="24"/>
        </w:rPr>
        <w:t xml:space="preserve"> </w:t>
      </w:r>
    </w:p>
    <w:p w14:paraId="1DD5C0A1" w14:textId="77777777" w:rsidR="0001508F" w:rsidRPr="0001508F" w:rsidRDefault="0001508F" w:rsidP="0001508F">
      <w:pPr>
        <w:suppressAutoHyphens/>
        <w:spacing w:after="240"/>
        <w:ind w:left="360"/>
        <w:rPr>
          <w:spacing w:val="1"/>
          <w:szCs w:val="24"/>
        </w:rPr>
      </w:pPr>
      <w:r w:rsidRPr="0001508F">
        <w:rPr>
          <w:b/>
          <w:szCs w:val="24"/>
        </w:rPr>
        <w:t>LETTER OF COMPLETION.</w:t>
      </w:r>
      <w:r w:rsidRPr="0001508F">
        <w:rPr>
          <w:b/>
          <w:bCs/>
          <w:spacing w:val="-7"/>
          <w:w w:val="105"/>
          <w:szCs w:val="24"/>
        </w:rPr>
        <w:t xml:space="preserve"> </w:t>
      </w:r>
    </w:p>
    <w:p w14:paraId="2C4BA280" w14:textId="77777777" w:rsidR="0001508F" w:rsidRPr="0001508F" w:rsidRDefault="0001508F" w:rsidP="0001508F">
      <w:pPr>
        <w:suppressAutoHyphens/>
        <w:spacing w:after="240"/>
        <w:ind w:left="360"/>
        <w:rPr>
          <w:szCs w:val="24"/>
        </w:rPr>
      </w:pPr>
      <w:r w:rsidRPr="0001508F">
        <w:rPr>
          <w:b/>
          <w:szCs w:val="24"/>
        </w:rPr>
        <w:t xml:space="preserve">LIMITED ALTERATION APPLICATION. </w:t>
      </w:r>
    </w:p>
    <w:p w14:paraId="6CA5E350" w14:textId="77777777" w:rsidR="0001508F" w:rsidRPr="0001508F" w:rsidRDefault="0001508F" w:rsidP="0001508F">
      <w:pPr>
        <w:suppressAutoHyphens/>
        <w:spacing w:after="240"/>
        <w:ind w:left="360"/>
        <w:rPr>
          <w:b/>
          <w:szCs w:val="24"/>
          <w:u w:val="single"/>
        </w:rPr>
      </w:pPr>
      <w:r w:rsidRPr="0001508F">
        <w:rPr>
          <w:b/>
          <w:szCs w:val="24"/>
          <w:u w:val="single"/>
        </w:rPr>
        <w:t>LIMITED ELEVATOR ALTERATIONS.</w:t>
      </w:r>
      <w:r w:rsidRPr="0001508F">
        <w:rPr>
          <w:spacing w:val="1"/>
          <w:szCs w:val="24"/>
          <w:u w:val="single"/>
        </w:rPr>
        <w:t xml:space="preserve"> </w:t>
      </w:r>
    </w:p>
    <w:p w14:paraId="330E5399" w14:textId="77777777" w:rsidR="0001508F" w:rsidRPr="0001508F" w:rsidRDefault="0001508F" w:rsidP="0001508F">
      <w:pPr>
        <w:suppressAutoHyphens/>
        <w:spacing w:after="240"/>
        <w:rPr>
          <w:b/>
          <w:szCs w:val="24"/>
          <w:u w:val="single"/>
        </w:rPr>
      </w:pPr>
      <w:r w:rsidRPr="0001508F">
        <w:rPr>
          <w:b/>
          <w:szCs w:val="24"/>
          <w:u w:val="single"/>
        </w:rPr>
        <w:t>LIMITED HOME IMPROVEMENT ALTERATIONS</w:t>
      </w:r>
    </w:p>
    <w:p w14:paraId="47A9DED6" w14:textId="77777777" w:rsidR="0001508F" w:rsidRPr="0001508F" w:rsidRDefault="0001508F" w:rsidP="0001508F">
      <w:pPr>
        <w:suppressAutoHyphens/>
        <w:spacing w:after="240"/>
        <w:ind w:left="360"/>
        <w:rPr>
          <w:spacing w:val="1"/>
          <w:szCs w:val="24"/>
        </w:rPr>
      </w:pPr>
      <w:r w:rsidRPr="0001508F">
        <w:rPr>
          <w:b/>
          <w:szCs w:val="24"/>
        </w:rPr>
        <w:t>LIMITED OIL-BURNING APPLIANCE ALTERATIONS.</w:t>
      </w:r>
      <w:r w:rsidRPr="0001508F">
        <w:rPr>
          <w:spacing w:val="-6"/>
          <w:w w:val="115"/>
          <w:szCs w:val="24"/>
        </w:rPr>
        <w:t xml:space="preserve"> </w:t>
      </w:r>
    </w:p>
    <w:p w14:paraId="5AD691CE" w14:textId="77777777" w:rsidR="0001508F" w:rsidRPr="0001508F" w:rsidRDefault="0001508F" w:rsidP="0001508F">
      <w:pPr>
        <w:suppressAutoHyphens/>
        <w:spacing w:after="240"/>
        <w:ind w:left="360"/>
        <w:rPr>
          <w:szCs w:val="24"/>
        </w:rPr>
      </w:pPr>
      <w:r w:rsidRPr="0001508F">
        <w:rPr>
          <w:b/>
          <w:szCs w:val="24"/>
        </w:rPr>
        <w:t>LIMITED PLUMBING ALTERATIONS.</w:t>
      </w:r>
      <w:r w:rsidRPr="0001508F">
        <w:rPr>
          <w:szCs w:val="24"/>
        </w:rPr>
        <w:t xml:space="preserve"> </w:t>
      </w:r>
    </w:p>
    <w:p w14:paraId="74A47269" w14:textId="77777777" w:rsidR="0001508F" w:rsidRPr="0001508F" w:rsidRDefault="0001508F" w:rsidP="0001508F">
      <w:pPr>
        <w:suppressAutoHyphens/>
        <w:spacing w:after="240"/>
        <w:ind w:left="360"/>
        <w:rPr>
          <w:b/>
          <w:szCs w:val="24"/>
          <w:u w:val="single"/>
        </w:rPr>
      </w:pPr>
      <w:r w:rsidRPr="0001508F">
        <w:rPr>
          <w:b/>
          <w:szCs w:val="24"/>
          <w:u w:val="single"/>
        </w:rPr>
        <w:t>LIMITED REROOFING ALTERATIONS.</w:t>
      </w:r>
      <w:r w:rsidRPr="0001508F">
        <w:rPr>
          <w:spacing w:val="1"/>
          <w:szCs w:val="24"/>
          <w:u w:val="single"/>
        </w:rPr>
        <w:t xml:space="preserve"> </w:t>
      </w:r>
    </w:p>
    <w:p w14:paraId="63C61988" w14:textId="77777777" w:rsidR="0001508F" w:rsidRPr="0001508F" w:rsidRDefault="0001508F" w:rsidP="0001508F">
      <w:pPr>
        <w:suppressAutoHyphens/>
        <w:spacing w:after="240"/>
        <w:ind w:left="360"/>
        <w:rPr>
          <w:b/>
          <w:szCs w:val="24"/>
        </w:rPr>
      </w:pPr>
      <w:r w:rsidRPr="0001508F">
        <w:rPr>
          <w:b/>
          <w:szCs w:val="24"/>
        </w:rPr>
        <w:t>LIMITED SPRINKLER ALTERATIONS.</w:t>
      </w:r>
      <w:r w:rsidRPr="0001508F">
        <w:rPr>
          <w:szCs w:val="24"/>
        </w:rPr>
        <w:t xml:space="preserve"> </w:t>
      </w:r>
    </w:p>
    <w:p w14:paraId="41CE6C1E" w14:textId="77777777" w:rsidR="0001508F" w:rsidRPr="0001508F" w:rsidRDefault="0001508F" w:rsidP="0001508F">
      <w:pPr>
        <w:suppressAutoHyphens/>
        <w:spacing w:after="240"/>
        <w:ind w:left="360"/>
        <w:rPr>
          <w:szCs w:val="24"/>
        </w:rPr>
      </w:pPr>
      <w:r w:rsidRPr="0001508F">
        <w:rPr>
          <w:b/>
          <w:szCs w:val="24"/>
        </w:rPr>
        <w:t>LIMITED STANDPIPE ALTERATIONS.</w:t>
      </w:r>
      <w:r w:rsidRPr="0001508F">
        <w:rPr>
          <w:szCs w:val="24"/>
        </w:rPr>
        <w:t xml:space="preserve"> </w:t>
      </w:r>
    </w:p>
    <w:p w14:paraId="2716A274" w14:textId="77777777" w:rsidR="0001508F" w:rsidRPr="0001508F" w:rsidRDefault="0001508F" w:rsidP="0001508F">
      <w:pPr>
        <w:suppressAutoHyphens/>
        <w:spacing w:after="240"/>
        <w:ind w:left="360"/>
        <w:rPr>
          <w:b/>
          <w:szCs w:val="24"/>
          <w:u w:val="single"/>
        </w:rPr>
      </w:pPr>
      <w:r w:rsidRPr="0001508F">
        <w:rPr>
          <w:b/>
          <w:szCs w:val="24"/>
          <w:u w:val="single"/>
        </w:rPr>
        <w:t>LIMITED WINDOW REPLACEMENT ALTERATIONS.</w:t>
      </w:r>
      <w:r w:rsidRPr="0001508F">
        <w:rPr>
          <w:spacing w:val="1"/>
          <w:szCs w:val="24"/>
          <w:u w:val="single"/>
        </w:rPr>
        <w:t xml:space="preserve"> </w:t>
      </w:r>
    </w:p>
    <w:p w14:paraId="2A62F0AB" w14:textId="77777777" w:rsidR="0001508F" w:rsidRPr="0001508F" w:rsidRDefault="0001508F" w:rsidP="0001508F">
      <w:pPr>
        <w:suppressAutoHyphens/>
        <w:spacing w:after="240"/>
        <w:ind w:left="360"/>
        <w:rPr>
          <w:szCs w:val="24"/>
        </w:rPr>
      </w:pPr>
      <w:r w:rsidRPr="0001508F">
        <w:rPr>
          <w:b/>
          <w:szCs w:val="24"/>
        </w:rPr>
        <w:t>LISTED.</w:t>
      </w:r>
      <w:r w:rsidRPr="0001508F">
        <w:rPr>
          <w:szCs w:val="24"/>
        </w:rPr>
        <w:t xml:space="preserve"> </w:t>
      </w:r>
    </w:p>
    <w:p w14:paraId="30B79043" w14:textId="77777777" w:rsidR="0001508F" w:rsidRPr="0001508F" w:rsidRDefault="0001508F" w:rsidP="0001508F">
      <w:pPr>
        <w:suppressAutoHyphens/>
        <w:spacing w:after="240"/>
        <w:ind w:left="360"/>
        <w:rPr>
          <w:b/>
          <w:bCs/>
          <w:spacing w:val="3"/>
          <w:w w:val="105"/>
          <w:szCs w:val="24"/>
        </w:rPr>
      </w:pPr>
      <w:r w:rsidRPr="0001508F">
        <w:rPr>
          <w:b/>
          <w:szCs w:val="24"/>
        </w:rPr>
        <w:t xml:space="preserve">MAIN USE OR DOMINANT OCCUPANCY (OF A BUILDING). </w:t>
      </w:r>
    </w:p>
    <w:p w14:paraId="0D262067" w14:textId="77777777" w:rsidR="0001508F" w:rsidRPr="0001508F" w:rsidRDefault="0001508F" w:rsidP="0001508F">
      <w:pPr>
        <w:suppressAutoHyphens/>
        <w:spacing w:after="240"/>
        <w:ind w:left="360"/>
        <w:rPr>
          <w:spacing w:val="3"/>
          <w:szCs w:val="24"/>
        </w:rPr>
      </w:pPr>
      <w:r w:rsidRPr="0001508F">
        <w:rPr>
          <w:b/>
          <w:szCs w:val="24"/>
        </w:rPr>
        <w:t>MANUFACTURER’S DESIGNATION.</w:t>
      </w:r>
      <w:r w:rsidRPr="0001508F">
        <w:rPr>
          <w:b/>
          <w:bCs/>
          <w:spacing w:val="1"/>
          <w:w w:val="105"/>
          <w:szCs w:val="24"/>
        </w:rPr>
        <w:t xml:space="preserve"> </w:t>
      </w:r>
    </w:p>
    <w:p w14:paraId="0AB5BC87" w14:textId="77777777" w:rsidR="0001508F" w:rsidRPr="0001508F" w:rsidRDefault="0001508F" w:rsidP="0001508F">
      <w:pPr>
        <w:suppressAutoHyphens/>
        <w:spacing w:after="240"/>
        <w:ind w:left="360"/>
        <w:rPr>
          <w:spacing w:val="2"/>
          <w:szCs w:val="24"/>
        </w:rPr>
      </w:pPr>
      <w:r w:rsidRPr="0001508F">
        <w:rPr>
          <w:b/>
          <w:szCs w:val="24"/>
        </w:rPr>
        <w:t xml:space="preserve">MARK. </w:t>
      </w:r>
    </w:p>
    <w:p w14:paraId="790E47DA" w14:textId="77777777" w:rsidR="0001508F" w:rsidRPr="0001508F" w:rsidRDefault="0001508F" w:rsidP="0001508F">
      <w:pPr>
        <w:suppressAutoHyphens/>
        <w:spacing w:after="240"/>
        <w:ind w:left="360"/>
        <w:rPr>
          <w:spacing w:val="2"/>
          <w:szCs w:val="24"/>
        </w:rPr>
      </w:pPr>
      <w:r w:rsidRPr="0001508F">
        <w:rPr>
          <w:b/>
          <w:szCs w:val="24"/>
        </w:rPr>
        <w:t>MATERIALS.</w:t>
      </w:r>
      <w:r w:rsidRPr="0001508F">
        <w:rPr>
          <w:b/>
          <w:bCs/>
          <w:spacing w:val="-3"/>
          <w:w w:val="105"/>
          <w:szCs w:val="24"/>
        </w:rPr>
        <w:t xml:space="preserve"> </w:t>
      </w:r>
    </w:p>
    <w:p w14:paraId="33E77AF8" w14:textId="77777777" w:rsidR="0001508F" w:rsidRPr="0001508F" w:rsidRDefault="0001508F" w:rsidP="0001508F">
      <w:pPr>
        <w:suppressAutoHyphens/>
        <w:spacing w:after="240"/>
        <w:ind w:left="360"/>
        <w:rPr>
          <w:szCs w:val="24"/>
        </w:rPr>
      </w:pPr>
      <w:r w:rsidRPr="0001508F">
        <w:rPr>
          <w:b/>
          <w:szCs w:val="24"/>
        </w:rPr>
        <w:t>OCCUPANCY.</w:t>
      </w:r>
      <w:r w:rsidRPr="0001508F">
        <w:rPr>
          <w:b/>
          <w:bCs/>
          <w:w w:val="105"/>
          <w:szCs w:val="24"/>
        </w:rPr>
        <w:t xml:space="preserve"> </w:t>
      </w:r>
    </w:p>
    <w:p w14:paraId="526550D6" w14:textId="77777777" w:rsidR="0001508F" w:rsidRPr="0001508F" w:rsidRDefault="0001508F" w:rsidP="0001508F">
      <w:pPr>
        <w:suppressAutoHyphens/>
        <w:spacing w:after="240"/>
        <w:ind w:left="360"/>
        <w:rPr>
          <w:spacing w:val="2"/>
          <w:szCs w:val="24"/>
        </w:rPr>
      </w:pPr>
      <w:r w:rsidRPr="0001508F">
        <w:rPr>
          <w:b/>
          <w:szCs w:val="24"/>
        </w:rPr>
        <w:t xml:space="preserve">OWNER. </w:t>
      </w:r>
    </w:p>
    <w:p w14:paraId="13DB0C4B" w14:textId="77777777" w:rsidR="0001508F" w:rsidRPr="0001508F" w:rsidRDefault="0001508F" w:rsidP="0001508F">
      <w:pPr>
        <w:suppressAutoHyphens/>
        <w:spacing w:after="240"/>
        <w:ind w:left="360"/>
        <w:rPr>
          <w:spacing w:val="-2"/>
          <w:szCs w:val="24"/>
        </w:rPr>
      </w:pPr>
      <w:r w:rsidRPr="0001508F">
        <w:rPr>
          <w:b/>
          <w:szCs w:val="24"/>
        </w:rPr>
        <w:t>PARTY WALL.</w:t>
      </w:r>
      <w:r w:rsidRPr="0001508F">
        <w:rPr>
          <w:b/>
          <w:bCs/>
          <w:spacing w:val="-2"/>
          <w:w w:val="105"/>
          <w:szCs w:val="24"/>
        </w:rPr>
        <w:t xml:space="preserve"> </w:t>
      </w:r>
    </w:p>
    <w:p w14:paraId="557357F6" w14:textId="77777777" w:rsidR="0001508F" w:rsidRPr="0001508F" w:rsidRDefault="0001508F" w:rsidP="0001508F">
      <w:pPr>
        <w:suppressAutoHyphens/>
        <w:spacing w:after="240"/>
        <w:ind w:left="360"/>
        <w:rPr>
          <w:szCs w:val="24"/>
        </w:rPr>
      </w:pPr>
      <w:r w:rsidRPr="0001508F">
        <w:rPr>
          <w:b/>
          <w:szCs w:val="24"/>
        </w:rPr>
        <w:t>PERMIT.</w:t>
      </w:r>
      <w:r w:rsidRPr="0001508F">
        <w:rPr>
          <w:b/>
          <w:bCs/>
          <w:w w:val="105"/>
          <w:szCs w:val="24"/>
        </w:rPr>
        <w:t xml:space="preserve"> </w:t>
      </w:r>
    </w:p>
    <w:p w14:paraId="4502537B" w14:textId="77777777" w:rsidR="0001508F" w:rsidRPr="0001508F" w:rsidRDefault="0001508F" w:rsidP="0001508F">
      <w:pPr>
        <w:suppressAutoHyphens/>
        <w:spacing w:after="240"/>
        <w:ind w:left="360"/>
        <w:rPr>
          <w:spacing w:val="3"/>
          <w:szCs w:val="24"/>
        </w:rPr>
      </w:pPr>
      <w:r w:rsidRPr="0001508F">
        <w:rPr>
          <w:b/>
          <w:szCs w:val="24"/>
        </w:rPr>
        <w:t xml:space="preserve">PERSON. </w:t>
      </w:r>
    </w:p>
    <w:p w14:paraId="05496ABB" w14:textId="77777777" w:rsidR="0001508F" w:rsidRPr="0001508F" w:rsidRDefault="0001508F" w:rsidP="0001508F">
      <w:pPr>
        <w:suppressAutoHyphens/>
        <w:spacing w:after="240"/>
        <w:ind w:left="360"/>
        <w:rPr>
          <w:spacing w:val="11"/>
          <w:szCs w:val="24"/>
        </w:rPr>
      </w:pPr>
      <w:r w:rsidRPr="0001508F">
        <w:rPr>
          <w:b/>
          <w:szCs w:val="24"/>
        </w:rPr>
        <w:t>PREMISES</w:t>
      </w:r>
      <w:r w:rsidRPr="0001508F">
        <w:rPr>
          <w:b/>
          <w:bCs/>
          <w:spacing w:val="11"/>
          <w:w w:val="105"/>
          <w:szCs w:val="24"/>
        </w:rPr>
        <w:t xml:space="preserve">. </w:t>
      </w:r>
    </w:p>
    <w:p w14:paraId="6C9041A0" w14:textId="77777777" w:rsidR="0001508F" w:rsidRPr="0001508F" w:rsidRDefault="0001508F" w:rsidP="0001508F">
      <w:pPr>
        <w:suppressAutoHyphens/>
        <w:spacing w:after="240"/>
        <w:ind w:left="360"/>
        <w:rPr>
          <w:szCs w:val="24"/>
        </w:rPr>
      </w:pPr>
      <w:r w:rsidRPr="0001508F">
        <w:rPr>
          <w:b/>
          <w:szCs w:val="24"/>
        </w:rPr>
        <w:t xml:space="preserve">PRIOR CODE BUILDING </w:t>
      </w:r>
      <w:r w:rsidRPr="0001508F">
        <w:rPr>
          <w:b/>
          <w:szCs w:val="24"/>
          <w:u w:val="single"/>
        </w:rPr>
        <w:t>OR STRUCTURE</w:t>
      </w:r>
      <w:r w:rsidRPr="0001508F">
        <w:rPr>
          <w:b/>
          <w:szCs w:val="24"/>
        </w:rPr>
        <w:t xml:space="preserve">. </w:t>
      </w:r>
    </w:p>
    <w:p w14:paraId="75329214" w14:textId="77777777" w:rsidR="0001508F" w:rsidRPr="0001508F" w:rsidRDefault="0001508F" w:rsidP="0001508F">
      <w:pPr>
        <w:suppressAutoHyphens/>
        <w:spacing w:after="240"/>
        <w:ind w:left="360"/>
        <w:rPr>
          <w:spacing w:val="2"/>
          <w:szCs w:val="24"/>
        </w:rPr>
      </w:pPr>
      <w:r w:rsidRPr="0001508F">
        <w:rPr>
          <w:b/>
          <w:szCs w:val="24"/>
        </w:rPr>
        <w:t>PROFESSIONAL CERTIFICATION.</w:t>
      </w:r>
      <w:r w:rsidRPr="0001508F">
        <w:rPr>
          <w:b/>
          <w:bCs/>
          <w:spacing w:val="-4"/>
          <w:w w:val="105"/>
          <w:szCs w:val="24"/>
        </w:rPr>
        <w:t xml:space="preserve"> </w:t>
      </w:r>
    </w:p>
    <w:p w14:paraId="301B0C51" w14:textId="77777777" w:rsidR="0001508F" w:rsidRPr="0001508F" w:rsidRDefault="0001508F" w:rsidP="0001508F">
      <w:pPr>
        <w:suppressAutoHyphens/>
        <w:spacing w:after="240"/>
        <w:ind w:left="360"/>
        <w:rPr>
          <w:szCs w:val="24"/>
        </w:rPr>
      </w:pPr>
      <w:r w:rsidRPr="0001508F">
        <w:rPr>
          <w:b/>
          <w:szCs w:val="24"/>
        </w:rPr>
        <w:t>PROGRESS INSPECTION.</w:t>
      </w:r>
      <w:r w:rsidRPr="0001508F">
        <w:rPr>
          <w:szCs w:val="24"/>
        </w:rPr>
        <w:t xml:space="preserve"> </w:t>
      </w:r>
    </w:p>
    <w:p w14:paraId="18B44D6E" w14:textId="77777777" w:rsidR="0001508F" w:rsidRPr="0001508F" w:rsidRDefault="0001508F" w:rsidP="0001508F">
      <w:pPr>
        <w:suppressAutoHyphens/>
        <w:spacing w:after="240"/>
        <w:ind w:left="360"/>
        <w:rPr>
          <w:szCs w:val="24"/>
        </w:rPr>
      </w:pPr>
      <w:r w:rsidRPr="0001508F">
        <w:rPr>
          <w:b/>
          <w:szCs w:val="24"/>
        </w:rPr>
        <w:t>PROJECT.</w:t>
      </w:r>
      <w:r w:rsidRPr="0001508F">
        <w:rPr>
          <w:szCs w:val="24"/>
        </w:rPr>
        <w:t xml:space="preserve"> </w:t>
      </w:r>
    </w:p>
    <w:p w14:paraId="580B2BCF" w14:textId="77777777" w:rsidR="0001508F" w:rsidRPr="0001508F" w:rsidRDefault="0001508F" w:rsidP="0001508F">
      <w:pPr>
        <w:suppressAutoHyphens/>
        <w:spacing w:after="240"/>
        <w:ind w:left="360"/>
        <w:rPr>
          <w:spacing w:val="-2"/>
          <w:szCs w:val="24"/>
        </w:rPr>
      </w:pPr>
      <w:r w:rsidRPr="0001508F">
        <w:rPr>
          <w:b/>
          <w:szCs w:val="24"/>
        </w:rPr>
        <w:t>REGISTERED DESIGN PROFESSIONAL.</w:t>
      </w:r>
      <w:r w:rsidRPr="0001508F">
        <w:rPr>
          <w:b/>
          <w:bCs/>
          <w:spacing w:val="-2"/>
          <w:w w:val="105"/>
          <w:szCs w:val="24"/>
        </w:rPr>
        <w:t xml:space="preserve"> </w:t>
      </w:r>
    </w:p>
    <w:p w14:paraId="3F9C7C8A" w14:textId="77777777" w:rsidR="0001508F" w:rsidRPr="0001508F" w:rsidRDefault="0001508F" w:rsidP="0001508F">
      <w:pPr>
        <w:suppressAutoHyphens/>
        <w:spacing w:after="240"/>
        <w:ind w:left="360"/>
        <w:rPr>
          <w:spacing w:val="3"/>
          <w:szCs w:val="24"/>
        </w:rPr>
      </w:pPr>
      <w:r w:rsidRPr="0001508F">
        <w:rPr>
          <w:b/>
          <w:szCs w:val="24"/>
        </w:rPr>
        <w:t xml:space="preserve">REGISTERED DESIGN PROFESSIONAL OF RECORD. </w:t>
      </w:r>
    </w:p>
    <w:p w14:paraId="716299E3" w14:textId="77777777" w:rsidR="0001508F" w:rsidRPr="0001508F" w:rsidRDefault="0001508F" w:rsidP="0001508F">
      <w:pPr>
        <w:suppressAutoHyphens/>
        <w:spacing w:after="240"/>
        <w:ind w:left="360"/>
        <w:rPr>
          <w:spacing w:val="3"/>
          <w:szCs w:val="24"/>
        </w:rPr>
      </w:pPr>
      <w:r w:rsidRPr="0001508F">
        <w:rPr>
          <w:b/>
          <w:szCs w:val="24"/>
        </w:rPr>
        <w:t>REQUIRED.</w:t>
      </w:r>
      <w:r w:rsidRPr="0001508F">
        <w:rPr>
          <w:b/>
          <w:bCs/>
          <w:spacing w:val="3"/>
          <w:w w:val="105"/>
          <w:szCs w:val="24"/>
        </w:rPr>
        <w:t xml:space="preserve"> </w:t>
      </w:r>
    </w:p>
    <w:p w14:paraId="6EB69EE9" w14:textId="77777777" w:rsidR="0001508F" w:rsidRPr="0001508F" w:rsidRDefault="0001508F" w:rsidP="0001508F">
      <w:pPr>
        <w:suppressAutoHyphens/>
        <w:spacing w:after="240"/>
        <w:ind w:left="360"/>
        <w:rPr>
          <w:szCs w:val="24"/>
        </w:rPr>
      </w:pPr>
      <w:r w:rsidRPr="0001508F">
        <w:rPr>
          <w:b/>
          <w:szCs w:val="24"/>
        </w:rPr>
        <w:t>RETAINING WALL.</w:t>
      </w:r>
      <w:r w:rsidRPr="0001508F">
        <w:rPr>
          <w:b/>
          <w:bCs/>
          <w:w w:val="105"/>
          <w:szCs w:val="24"/>
        </w:rPr>
        <w:t xml:space="preserve"> </w:t>
      </w:r>
    </w:p>
    <w:p w14:paraId="6EFB3DD0" w14:textId="77777777" w:rsidR="0001508F" w:rsidRPr="0001508F" w:rsidRDefault="0001508F" w:rsidP="0001508F">
      <w:pPr>
        <w:suppressAutoHyphens/>
        <w:spacing w:after="240"/>
        <w:ind w:left="360"/>
        <w:rPr>
          <w:spacing w:val="3"/>
          <w:szCs w:val="24"/>
        </w:rPr>
      </w:pPr>
      <w:r w:rsidRPr="0001508F">
        <w:rPr>
          <w:b/>
          <w:szCs w:val="24"/>
        </w:rPr>
        <w:t>SERVICE EQUIPMENT.</w:t>
      </w:r>
      <w:r w:rsidRPr="0001508F">
        <w:rPr>
          <w:b/>
          <w:bCs/>
          <w:w w:val="105"/>
          <w:szCs w:val="24"/>
        </w:rPr>
        <w:t xml:space="preserve"> </w:t>
      </w:r>
    </w:p>
    <w:p w14:paraId="377F476E" w14:textId="77777777" w:rsidR="0001508F" w:rsidRPr="0001508F" w:rsidRDefault="0001508F" w:rsidP="0001508F">
      <w:pPr>
        <w:suppressAutoHyphens/>
        <w:spacing w:after="240"/>
        <w:ind w:left="360"/>
        <w:rPr>
          <w:spacing w:val="1"/>
          <w:szCs w:val="24"/>
        </w:rPr>
      </w:pPr>
      <w:r w:rsidRPr="0001508F">
        <w:rPr>
          <w:b/>
          <w:szCs w:val="24"/>
        </w:rPr>
        <w:t xml:space="preserve">SIGN-OFF. </w:t>
      </w:r>
    </w:p>
    <w:p w14:paraId="28E40BF9" w14:textId="77777777" w:rsidR="0001508F" w:rsidRPr="0001508F" w:rsidRDefault="0001508F" w:rsidP="0001508F">
      <w:pPr>
        <w:suppressAutoHyphens/>
        <w:spacing w:after="240"/>
        <w:ind w:left="360"/>
        <w:rPr>
          <w:b/>
          <w:szCs w:val="24"/>
        </w:rPr>
      </w:pPr>
      <w:r w:rsidRPr="0001508F">
        <w:rPr>
          <w:b/>
          <w:szCs w:val="24"/>
        </w:rPr>
        <w:t>SINGLE ROOM OCCUPANCY MULTIPLE DWELLING</w:t>
      </w:r>
      <w:r w:rsidRPr="0001508F">
        <w:rPr>
          <w:b/>
          <w:bCs/>
          <w:spacing w:val="2"/>
          <w:w w:val="105"/>
          <w:szCs w:val="24"/>
        </w:rPr>
        <w:t xml:space="preserve">. </w:t>
      </w:r>
    </w:p>
    <w:p w14:paraId="4FAC0E19" w14:textId="77777777" w:rsidR="0001508F" w:rsidRPr="0001508F" w:rsidRDefault="0001508F" w:rsidP="0001508F">
      <w:pPr>
        <w:suppressAutoHyphens/>
        <w:spacing w:after="240"/>
        <w:ind w:left="360"/>
        <w:rPr>
          <w:spacing w:val="1"/>
          <w:szCs w:val="24"/>
        </w:rPr>
      </w:pPr>
      <w:r w:rsidRPr="0001508F">
        <w:rPr>
          <w:b/>
          <w:szCs w:val="24"/>
        </w:rPr>
        <w:t xml:space="preserve">SPECIAL INSPECTION. </w:t>
      </w:r>
    </w:p>
    <w:p w14:paraId="16A5A93B" w14:textId="77777777" w:rsidR="0001508F" w:rsidRPr="0001508F" w:rsidRDefault="0001508F" w:rsidP="0001508F">
      <w:pPr>
        <w:suppressAutoHyphens/>
        <w:spacing w:after="240"/>
        <w:ind w:left="360"/>
        <w:rPr>
          <w:szCs w:val="24"/>
        </w:rPr>
      </w:pPr>
      <w:r w:rsidRPr="0001508F">
        <w:rPr>
          <w:b/>
          <w:szCs w:val="24"/>
        </w:rPr>
        <w:t>SPECIAL INSPECTION AGENCY.</w:t>
      </w:r>
      <w:r w:rsidRPr="0001508F">
        <w:rPr>
          <w:szCs w:val="24"/>
        </w:rPr>
        <w:t xml:space="preserve"> </w:t>
      </w:r>
    </w:p>
    <w:p w14:paraId="6C59EF3C" w14:textId="77777777" w:rsidR="0001508F" w:rsidRPr="0001508F" w:rsidRDefault="0001508F" w:rsidP="0001508F">
      <w:pPr>
        <w:suppressAutoHyphens/>
        <w:spacing w:after="240"/>
        <w:ind w:left="360"/>
        <w:rPr>
          <w:spacing w:val="3"/>
          <w:szCs w:val="24"/>
        </w:rPr>
      </w:pPr>
      <w:r w:rsidRPr="0001508F">
        <w:rPr>
          <w:b/>
          <w:szCs w:val="24"/>
        </w:rPr>
        <w:t>SPECIAL INSPECTOR.</w:t>
      </w:r>
      <w:r w:rsidRPr="0001508F">
        <w:rPr>
          <w:b/>
          <w:bCs/>
          <w:spacing w:val="2"/>
          <w:w w:val="105"/>
          <w:szCs w:val="24"/>
        </w:rPr>
        <w:t xml:space="preserve"> </w:t>
      </w:r>
    </w:p>
    <w:p w14:paraId="513BB07B" w14:textId="77777777" w:rsidR="0001508F" w:rsidRPr="0001508F" w:rsidRDefault="0001508F" w:rsidP="0001508F">
      <w:pPr>
        <w:suppressAutoHyphens/>
        <w:spacing w:after="240"/>
        <w:ind w:left="360"/>
        <w:rPr>
          <w:spacing w:val="3"/>
          <w:szCs w:val="24"/>
        </w:rPr>
      </w:pPr>
      <w:r w:rsidRPr="0001508F">
        <w:rPr>
          <w:b/>
          <w:szCs w:val="24"/>
        </w:rPr>
        <w:t>STRUCTURE.</w:t>
      </w:r>
      <w:r w:rsidRPr="0001508F">
        <w:rPr>
          <w:b/>
          <w:bCs/>
          <w:spacing w:val="-1"/>
          <w:w w:val="105"/>
          <w:szCs w:val="24"/>
        </w:rPr>
        <w:t xml:space="preserve"> </w:t>
      </w:r>
    </w:p>
    <w:p w14:paraId="79EE36DF" w14:textId="77777777" w:rsidR="0001508F" w:rsidRPr="0001508F" w:rsidRDefault="0001508F" w:rsidP="0001508F">
      <w:pPr>
        <w:suppressAutoHyphens/>
        <w:spacing w:after="240"/>
        <w:ind w:left="360"/>
        <w:rPr>
          <w:spacing w:val="2"/>
          <w:szCs w:val="24"/>
        </w:rPr>
      </w:pPr>
      <w:r w:rsidRPr="0001508F">
        <w:rPr>
          <w:b/>
          <w:szCs w:val="24"/>
        </w:rPr>
        <w:t xml:space="preserve">SUBMITTAL DOCUMENTS. </w:t>
      </w:r>
    </w:p>
    <w:p w14:paraId="42BC0132" w14:textId="77777777" w:rsidR="0001508F" w:rsidRPr="0001508F" w:rsidRDefault="0001508F" w:rsidP="0001508F">
      <w:pPr>
        <w:suppressAutoHyphens/>
        <w:spacing w:after="240"/>
        <w:ind w:left="360"/>
        <w:rPr>
          <w:szCs w:val="24"/>
        </w:rPr>
      </w:pPr>
      <w:r w:rsidRPr="0001508F">
        <w:rPr>
          <w:b/>
          <w:szCs w:val="24"/>
        </w:rPr>
        <w:t>SUPERINTENDENT OF CONSTRUCTION (CONSTRUCTION SUPERINTENDENT).</w:t>
      </w:r>
      <w:r w:rsidRPr="0001508F">
        <w:rPr>
          <w:szCs w:val="24"/>
        </w:rPr>
        <w:t xml:space="preserve"> </w:t>
      </w:r>
    </w:p>
    <w:p w14:paraId="4186C27E" w14:textId="77777777" w:rsidR="0001508F" w:rsidRPr="0001508F" w:rsidRDefault="0001508F" w:rsidP="0001508F">
      <w:pPr>
        <w:suppressAutoHyphens/>
        <w:spacing w:after="240"/>
        <w:ind w:left="360"/>
        <w:rPr>
          <w:spacing w:val="3"/>
          <w:szCs w:val="24"/>
        </w:rPr>
      </w:pPr>
      <w:r w:rsidRPr="0001508F">
        <w:rPr>
          <w:b/>
          <w:szCs w:val="24"/>
        </w:rPr>
        <w:t>USE (USED).</w:t>
      </w:r>
      <w:r w:rsidRPr="0001508F">
        <w:rPr>
          <w:b/>
          <w:bCs/>
          <w:spacing w:val="-1"/>
          <w:w w:val="105"/>
          <w:szCs w:val="24"/>
        </w:rPr>
        <w:t xml:space="preserve"> </w:t>
      </w:r>
    </w:p>
    <w:p w14:paraId="69E021C1" w14:textId="77777777" w:rsidR="0001508F" w:rsidRPr="0001508F" w:rsidRDefault="0001508F" w:rsidP="0001508F">
      <w:pPr>
        <w:suppressAutoHyphens/>
        <w:spacing w:after="240"/>
        <w:ind w:left="360"/>
        <w:rPr>
          <w:szCs w:val="24"/>
        </w:rPr>
      </w:pPr>
      <w:r w:rsidRPr="0001508F">
        <w:rPr>
          <w:b/>
          <w:szCs w:val="24"/>
        </w:rPr>
        <w:t xml:space="preserve">UTILITY COMPANY OR PUBLIC UTILITY COMPANY. </w:t>
      </w:r>
    </w:p>
    <w:p w14:paraId="567BDBFA" w14:textId="77777777" w:rsidR="0001508F" w:rsidRPr="0001508F" w:rsidRDefault="0001508F" w:rsidP="0001508F">
      <w:pPr>
        <w:suppressAutoHyphens/>
        <w:spacing w:after="240"/>
        <w:ind w:left="360"/>
        <w:rPr>
          <w:szCs w:val="24"/>
        </w:rPr>
      </w:pPr>
      <w:r w:rsidRPr="0001508F">
        <w:rPr>
          <w:b/>
          <w:szCs w:val="24"/>
        </w:rPr>
        <w:t xml:space="preserve">UTILITY CORPORATION OR PUBLIC UTILITY CORPORATION. </w:t>
      </w:r>
    </w:p>
    <w:p w14:paraId="68B2F11E" w14:textId="77777777" w:rsidR="0001508F" w:rsidRPr="0001508F" w:rsidRDefault="0001508F" w:rsidP="0001508F">
      <w:pPr>
        <w:suppressAutoHyphens/>
        <w:spacing w:after="240"/>
        <w:ind w:left="360"/>
        <w:rPr>
          <w:b/>
          <w:bCs/>
          <w:spacing w:val="-11"/>
          <w:w w:val="105"/>
          <w:szCs w:val="24"/>
        </w:rPr>
      </w:pPr>
      <w:r w:rsidRPr="0001508F">
        <w:rPr>
          <w:b/>
          <w:szCs w:val="24"/>
        </w:rPr>
        <w:t>[WORK NOT CONSTITUTING MINOR ALTERATIONS OR ORDINARY REPAIRS.]</w:t>
      </w:r>
      <w:r w:rsidRPr="0001508F">
        <w:rPr>
          <w:b/>
          <w:bCs/>
          <w:spacing w:val="-1"/>
          <w:w w:val="105"/>
          <w:szCs w:val="24"/>
        </w:rPr>
        <w:t xml:space="preserve"> </w:t>
      </w:r>
    </w:p>
    <w:p w14:paraId="33D8E9EF" w14:textId="77777777" w:rsidR="0001508F" w:rsidRPr="0001508F" w:rsidRDefault="0001508F" w:rsidP="0001508F">
      <w:pPr>
        <w:suppressAutoHyphens/>
        <w:spacing w:after="240"/>
        <w:ind w:left="360"/>
        <w:rPr>
          <w:spacing w:val="2"/>
          <w:szCs w:val="24"/>
        </w:rPr>
      </w:pPr>
      <w:r w:rsidRPr="0001508F">
        <w:rPr>
          <w:b/>
          <w:szCs w:val="24"/>
        </w:rPr>
        <w:t>WRITING (WRITTEN).</w:t>
      </w:r>
      <w:r w:rsidRPr="0001508F">
        <w:rPr>
          <w:b/>
          <w:bCs/>
          <w:w w:val="110"/>
          <w:szCs w:val="24"/>
        </w:rPr>
        <w:t xml:space="preserve"> </w:t>
      </w:r>
    </w:p>
    <w:p w14:paraId="23934E18" w14:textId="77777777" w:rsidR="0001508F" w:rsidRPr="0001508F" w:rsidRDefault="0001508F" w:rsidP="0001508F">
      <w:pPr>
        <w:suppressAutoHyphens/>
        <w:spacing w:after="240"/>
        <w:ind w:left="360"/>
        <w:rPr>
          <w:szCs w:val="24"/>
        </w:rPr>
      </w:pPr>
      <w:r w:rsidRPr="0001508F">
        <w:rPr>
          <w:b/>
          <w:szCs w:val="24"/>
        </w:rPr>
        <w:t>WRITTEN NOTICE.</w:t>
      </w:r>
      <w:r w:rsidRPr="0001508F">
        <w:rPr>
          <w:b/>
          <w:bCs/>
          <w:spacing w:val="-3"/>
          <w:w w:val="110"/>
          <w:szCs w:val="24"/>
        </w:rPr>
        <w:t xml:space="preserve"> </w:t>
      </w:r>
    </w:p>
    <w:p w14:paraId="6527A125" w14:textId="77777777" w:rsidR="0001508F" w:rsidRPr="0001508F" w:rsidRDefault="0001508F" w:rsidP="0001508F">
      <w:pPr>
        <w:suppressAutoHyphens/>
        <w:spacing w:after="240"/>
        <w:ind w:left="360"/>
        <w:rPr>
          <w:spacing w:val="3"/>
          <w:szCs w:val="24"/>
        </w:rPr>
      </w:pPr>
      <w:r w:rsidRPr="0001508F">
        <w:rPr>
          <w:b/>
          <w:szCs w:val="24"/>
        </w:rPr>
        <w:t xml:space="preserve">ZONING RESOLUTION. </w:t>
      </w:r>
    </w:p>
    <w:p w14:paraId="3C5DEBA6" w14:textId="77777777" w:rsidR="0001508F" w:rsidRPr="0001508F" w:rsidRDefault="0001508F" w:rsidP="0001508F">
      <w:pPr>
        <w:spacing w:line="480" w:lineRule="auto"/>
        <w:ind w:firstLine="720"/>
        <w:rPr>
          <w:szCs w:val="24"/>
        </w:rPr>
      </w:pPr>
      <w:r w:rsidRPr="0001508F">
        <w:rPr>
          <w:szCs w:val="24"/>
        </w:rPr>
        <w:t>§ 47. Chapter 3 of the New York city building code is amended by adding a new section 307.3.2 to read as follows:</w:t>
      </w:r>
    </w:p>
    <w:p w14:paraId="7A2605A9" w14:textId="77777777" w:rsidR="0001508F" w:rsidRPr="0001508F" w:rsidRDefault="0001508F" w:rsidP="0001508F">
      <w:pPr>
        <w:suppressAutoHyphens/>
        <w:spacing w:after="240"/>
        <w:rPr>
          <w:spacing w:val="3"/>
          <w:szCs w:val="24"/>
          <w:u w:val="single"/>
        </w:rPr>
      </w:pPr>
      <w:r w:rsidRPr="0001508F">
        <w:rPr>
          <w:rFonts w:eastAsia="Calibri"/>
          <w:b/>
          <w:bCs/>
          <w:szCs w:val="24"/>
          <w:u w:val="single"/>
        </w:rPr>
        <w:t>307.3.2</w:t>
      </w:r>
      <w:r w:rsidRPr="0001508F">
        <w:rPr>
          <w:b/>
          <w:bCs/>
          <w:szCs w:val="24"/>
          <w:u w:val="single"/>
        </w:rPr>
        <w:t xml:space="preserve"> Group H-1 prohibited.</w:t>
      </w:r>
      <w:r w:rsidRPr="0001508F">
        <w:rPr>
          <w:szCs w:val="24"/>
          <w:u w:val="single"/>
        </w:rPr>
        <w:t xml:space="preserve"> </w:t>
      </w:r>
      <w:r w:rsidRPr="0001508F">
        <w:rPr>
          <w:spacing w:val="1"/>
          <w:szCs w:val="24"/>
          <w:u w:val="single"/>
        </w:rPr>
        <w:t>Group H-1 occupancies shall be prohibited from being located within the fire district as indicated in Appendix D.</w:t>
      </w:r>
    </w:p>
    <w:p w14:paraId="1FB413BE" w14:textId="77777777" w:rsidR="0001508F" w:rsidRPr="0001508F" w:rsidRDefault="0001508F" w:rsidP="0001508F">
      <w:pPr>
        <w:spacing w:line="480" w:lineRule="auto"/>
        <w:ind w:firstLine="720"/>
        <w:rPr>
          <w:szCs w:val="24"/>
        </w:rPr>
      </w:pPr>
      <w:r w:rsidRPr="0001508F">
        <w:rPr>
          <w:szCs w:val="24"/>
        </w:rPr>
        <w:t>§ 48. Chapter 4 of the New York city building code is amended by adding a new section 401.1.1 to read as follows:</w:t>
      </w:r>
    </w:p>
    <w:p w14:paraId="5A661080" w14:textId="77777777" w:rsidR="0001508F" w:rsidRPr="0001508F" w:rsidRDefault="0001508F" w:rsidP="0001508F">
      <w:pPr>
        <w:widowControl w:val="0"/>
        <w:spacing w:before="120" w:after="120"/>
        <w:rPr>
          <w:bCs/>
          <w:szCs w:val="24"/>
          <w:u w:val="single"/>
        </w:rPr>
      </w:pPr>
      <w:r w:rsidRPr="0001508F">
        <w:rPr>
          <w:b/>
          <w:szCs w:val="24"/>
          <w:u w:val="single"/>
        </w:rPr>
        <w:t>401.1.1 Existing buildings.</w:t>
      </w:r>
      <w:r w:rsidRPr="0001508F">
        <w:rPr>
          <w:bCs/>
          <w:szCs w:val="24"/>
          <w:u w:val="single"/>
        </w:rPr>
        <w:t xml:space="preserve"> Alterations, additions and changes of occupancy made to existing buildings subject to this chapter shall comply with additional requirements of the </w:t>
      </w:r>
      <w:r w:rsidRPr="0001508F">
        <w:rPr>
          <w:bCs/>
          <w:i/>
          <w:iCs/>
          <w:szCs w:val="24"/>
          <w:u w:val="single"/>
        </w:rPr>
        <w:t>New York City Existing Building Code</w:t>
      </w:r>
      <w:r w:rsidRPr="0001508F">
        <w:rPr>
          <w:bCs/>
          <w:szCs w:val="24"/>
          <w:u w:val="single"/>
        </w:rPr>
        <w:t>.</w:t>
      </w:r>
    </w:p>
    <w:p w14:paraId="1893EC59" w14:textId="77777777" w:rsidR="0001508F" w:rsidRPr="0001508F" w:rsidRDefault="0001508F" w:rsidP="0001508F">
      <w:pPr>
        <w:spacing w:line="480" w:lineRule="auto"/>
        <w:ind w:firstLine="720"/>
        <w:rPr>
          <w:szCs w:val="24"/>
        </w:rPr>
      </w:pPr>
      <w:r w:rsidRPr="0001508F">
        <w:rPr>
          <w:szCs w:val="24"/>
        </w:rPr>
        <w:t>§ 49. Chapter 4 of the New York city building code is amended by adding a new section 403.1.1 to read as follows:</w:t>
      </w:r>
    </w:p>
    <w:p w14:paraId="7DDED0BE" w14:textId="77777777" w:rsidR="0001508F" w:rsidRPr="0001508F" w:rsidRDefault="0001508F" w:rsidP="0001508F">
      <w:pPr>
        <w:widowControl w:val="0"/>
        <w:spacing w:before="120" w:after="120"/>
        <w:ind w:left="360"/>
        <w:rPr>
          <w:szCs w:val="24"/>
        </w:rPr>
      </w:pPr>
      <w:r w:rsidRPr="0001508F">
        <w:rPr>
          <w:b/>
          <w:bCs/>
          <w:szCs w:val="24"/>
          <w:u w:val="single"/>
        </w:rPr>
        <w:t xml:space="preserve">403.1.1 Existing high-rise buildings. </w:t>
      </w:r>
      <w:r w:rsidRPr="0001508F">
        <w:rPr>
          <w:szCs w:val="24"/>
          <w:u w:val="single"/>
        </w:rPr>
        <w:t xml:space="preserve">Alterations and additions made to existing high-rise buildings shall also comply with the requirements of Chapters 8, 9 and 11 of the </w:t>
      </w:r>
      <w:r w:rsidRPr="0001508F">
        <w:rPr>
          <w:i/>
          <w:iCs/>
          <w:szCs w:val="24"/>
          <w:u w:val="single"/>
        </w:rPr>
        <w:t>New York City Existing Building Code</w:t>
      </w:r>
      <w:r w:rsidRPr="0001508F">
        <w:rPr>
          <w:szCs w:val="24"/>
          <w:u w:val="single"/>
        </w:rPr>
        <w:t>.</w:t>
      </w:r>
    </w:p>
    <w:p w14:paraId="67FB14FD" w14:textId="77777777" w:rsidR="0001508F" w:rsidRPr="0001508F" w:rsidRDefault="0001508F" w:rsidP="0001508F">
      <w:pPr>
        <w:spacing w:line="480" w:lineRule="auto"/>
        <w:ind w:firstLine="720"/>
        <w:rPr>
          <w:szCs w:val="24"/>
        </w:rPr>
      </w:pPr>
      <w:r w:rsidRPr="0001508F">
        <w:rPr>
          <w:szCs w:val="24"/>
        </w:rPr>
        <w:t>§ 50. Section 406.9.6 of the New York city building code, as amended by local law number 126 for the year 2021, is amended to read as follows:</w:t>
      </w:r>
    </w:p>
    <w:p w14:paraId="26611371" w14:textId="77777777" w:rsidR="0001508F" w:rsidRPr="0001508F" w:rsidRDefault="0001508F" w:rsidP="0001508F">
      <w:pPr>
        <w:widowControl w:val="0"/>
        <w:spacing w:before="120" w:after="120"/>
        <w:rPr>
          <w:bCs/>
          <w:szCs w:val="24"/>
        </w:rPr>
      </w:pPr>
    </w:p>
    <w:p w14:paraId="75338E3E" w14:textId="77777777" w:rsidR="0001508F" w:rsidRPr="0001508F" w:rsidRDefault="0001508F" w:rsidP="0001508F">
      <w:pPr>
        <w:widowControl w:val="0"/>
        <w:spacing w:before="120" w:after="120"/>
        <w:ind w:left="360"/>
        <w:rPr>
          <w:i/>
          <w:iCs/>
          <w:szCs w:val="24"/>
        </w:rPr>
      </w:pPr>
      <w:bookmarkStart w:id="286" w:name="_Hlk135644422"/>
      <w:r w:rsidRPr="0001508F">
        <w:rPr>
          <w:b/>
          <w:bCs/>
          <w:szCs w:val="24"/>
        </w:rPr>
        <w:t>406.9.6 Accessory uses and occupancies.</w:t>
      </w:r>
      <w:r w:rsidRPr="0001508F">
        <w:rPr>
          <w:szCs w:val="24"/>
        </w:rPr>
        <w:t xml:space="preserve"> Parking lot offices, attendant shelters, storage facilities, and similar structures used in conjunction with open parking lots may be provided as an accessory use and shall comply with the applicable code provisions. Such accessory structures may be constructed of combustible materials subject to the limitations of Section [</w:t>
      </w:r>
      <w:r w:rsidRPr="0001508F">
        <w:rPr>
          <w:strike/>
          <w:szCs w:val="24"/>
        </w:rPr>
        <w:t>D105.1 of Appendix D</w:t>
      </w:r>
      <w:r w:rsidRPr="0001508F">
        <w:rPr>
          <w:szCs w:val="24"/>
        </w:rPr>
        <w:t>]</w:t>
      </w:r>
      <w:r w:rsidRPr="0001508F">
        <w:rPr>
          <w:szCs w:val="24"/>
          <w:u w:val="single"/>
        </w:rPr>
        <w:t>601.1.1.5</w:t>
      </w:r>
      <w:r w:rsidRPr="0001508F">
        <w:rPr>
          <w:szCs w:val="24"/>
        </w:rPr>
        <w:t>.</w:t>
      </w:r>
    </w:p>
    <w:bookmarkEnd w:id="286"/>
    <w:p w14:paraId="55E4E991" w14:textId="77777777" w:rsidR="0001508F" w:rsidRPr="0001508F" w:rsidRDefault="0001508F" w:rsidP="0001508F">
      <w:pPr>
        <w:widowControl w:val="0"/>
        <w:spacing w:before="120" w:after="120"/>
        <w:rPr>
          <w:bCs/>
          <w:szCs w:val="24"/>
        </w:rPr>
      </w:pPr>
    </w:p>
    <w:p w14:paraId="49E1420E" w14:textId="77777777" w:rsidR="0001508F" w:rsidRPr="0001508F" w:rsidRDefault="0001508F" w:rsidP="0001508F">
      <w:pPr>
        <w:widowControl w:val="0"/>
        <w:spacing w:before="120" w:after="120" w:line="480" w:lineRule="auto"/>
        <w:ind w:firstLine="720"/>
        <w:rPr>
          <w:bCs/>
          <w:szCs w:val="24"/>
        </w:rPr>
      </w:pPr>
      <w:r w:rsidRPr="0001508F">
        <w:rPr>
          <w:bCs/>
          <w:szCs w:val="24"/>
        </w:rPr>
        <w:t>§ 51. Table 504.3 of the New York city building code, as amended by local law number 126 for the year 2021, and tables 504.4 and 506.2, as added by local law number 126 for the year 2021, are amended to read as follows:</w:t>
      </w:r>
    </w:p>
    <w:tbl>
      <w:tblPr>
        <w:tblStyle w:val="TableGrid14"/>
        <w:tblW w:w="5000" w:type="pct"/>
        <w:jc w:val="center"/>
        <w:tblInd w:w="0" w:type="dxa"/>
        <w:tblLook w:val="04A0" w:firstRow="1" w:lastRow="0" w:firstColumn="1" w:lastColumn="0" w:noHBand="0" w:noVBand="1"/>
      </w:tblPr>
      <w:tblGrid>
        <w:gridCol w:w="2284"/>
        <w:gridCol w:w="1710"/>
        <w:gridCol w:w="630"/>
        <w:gridCol w:w="633"/>
        <w:gridCol w:w="710"/>
        <w:gridCol w:w="712"/>
        <w:gridCol w:w="456"/>
        <w:gridCol w:w="456"/>
        <w:gridCol w:w="857"/>
        <w:gridCol w:w="456"/>
        <w:gridCol w:w="456"/>
      </w:tblGrid>
      <w:tr w:rsidR="0001508F" w:rsidRPr="0001508F" w14:paraId="37F8510D" w14:textId="77777777" w:rsidTr="00732DDC">
        <w:trPr>
          <w:tblHeader/>
          <w:jc w:val="center"/>
        </w:trPr>
        <w:tc>
          <w:tcPr>
            <w:tcW w:w="5000" w:type="pct"/>
            <w:gridSpan w:val="11"/>
            <w:tcBorders>
              <w:top w:val="nil"/>
              <w:left w:val="nil"/>
              <w:bottom w:val="single" w:sz="4" w:space="0" w:color="auto"/>
              <w:right w:val="nil"/>
            </w:tcBorders>
            <w:vAlign w:val="center"/>
            <w:hideMark/>
          </w:tcPr>
          <w:p w14:paraId="61AFFFE1" w14:textId="77777777" w:rsidR="0001508F" w:rsidRPr="0001508F" w:rsidRDefault="0001508F" w:rsidP="0001508F">
            <w:pPr>
              <w:widowControl w:val="0"/>
              <w:spacing w:before="120" w:after="120"/>
              <w:jc w:val="center"/>
              <w:outlineLvl w:val="0"/>
              <w:rPr>
                <w:b/>
                <w:caps/>
                <w:szCs w:val="24"/>
              </w:rPr>
            </w:pPr>
            <w:bookmarkStart w:id="287" w:name="_Toc389742663"/>
            <w:bookmarkStart w:id="288" w:name="_Toc389734101"/>
            <w:r w:rsidRPr="0001508F">
              <w:rPr>
                <w:b/>
                <w:caps/>
                <w:szCs w:val="24"/>
              </w:rPr>
              <w:t>TABLE 504.3</w:t>
            </w:r>
            <w:r w:rsidRPr="0001508F">
              <w:rPr>
                <w:b/>
                <w:szCs w:val="24"/>
                <w:vertAlign w:val="superscript"/>
              </w:rPr>
              <w:t>a</w:t>
            </w:r>
            <w:r w:rsidRPr="0001508F">
              <w:rPr>
                <w:b/>
                <w:szCs w:val="24"/>
                <w:u w:val="single"/>
                <w:vertAlign w:val="superscript"/>
              </w:rPr>
              <w:t>, k</w:t>
            </w:r>
            <w:r w:rsidRPr="0001508F">
              <w:rPr>
                <w:b/>
                <w:caps/>
                <w:szCs w:val="24"/>
              </w:rPr>
              <w:br/>
              <w:t>ALLOWABLE BUILDING HEIGHT IN FEET ABOVE GRADE PLANE</w:t>
            </w:r>
            <w:bookmarkEnd w:id="287"/>
            <w:bookmarkEnd w:id="288"/>
          </w:p>
        </w:tc>
      </w:tr>
      <w:tr w:rsidR="0001508F" w:rsidRPr="0001508F" w14:paraId="025CEF8C" w14:textId="77777777" w:rsidTr="00732DDC">
        <w:trPr>
          <w:tblHeader/>
          <w:jc w:val="center"/>
        </w:trPr>
        <w:tc>
          <w:tcPr>
            <w:tcW w:w="1128" w:type="pct"/>
            <w:vMerge w:val="restart"/>
            <w:tcBorders>
              <w:top w:val="single" w:sz="4" w:space="0" w:color="auto"/>
              <w:left w:val="single" w:sz="4" w:space="0" w:color="auto"/>
              <w:bottom w:val="single" w:sz="4" w:space="0" w:color="auto"/>
              <w:right w:val="single" w:sz="4" w:space="0" w:color="auto"/>
            </w:tcBorders>
            <w:vAlign w:val="center"/>
            <w:hideMark/>
          </w:tcPr>
          <w:p w14:paraId="4C4A324B" w14:textId="77777777" w:rsidR="0001508F" w:rsidRPr="0001508F" w:rsidRDefault="0001508F" w:rsidP="0001508F">
            <w:pPr>
              <w:widowControl w:val="0"/>
              <w:spacing w:before="50" w:after="50"/>
              <w:jc w:val="center"/>
              <w:rPr>
                <w:b/>
                <w:szCs w:val="24"/>
              </w:rPr>
            </w:pPr>
            <w:r w:rsidRPr="0001508F">
              <w:rPr>
                <w:b/>
                <w:szCs w:val="24"/>
              </w:rPr>
              <w:t>OCCUPANCY CLASSIFICATION</w:t>
            </w:r>
          </w:p>
        </w:tc>
        <w:tc>
          <w:tcPr>
            <w:tcW w:w="3872" w:type="pct"/>
            <w:gridSpan w:val="10"/>
            <w:tcBorders>
              <w:top w:val="single" w:sz="4" w:space="0" w:color="auto"/>
              <w:left w:val="single" w:sz="4" w:space="0" w:color="auto"/>
              <w:bottom w:val="single" w:sz="4" w:space="0" w:color="auto"/>
              <w:right w:val="single" w:sz="4" w:space="0" w:color="auto"/>
            </w:tcBorders>
            <w:vAlign w:val="center"/>
            <w:hideMark/>
          </w:tcPr>
          <w:p w14:paraId="55784787" w14:textId="77777777" w:rsidR="0001508F" w:rsidRPr="0001508F" w:rsidRDefault="0001508F" w:rsidP="0001508F">
            <w:pPr>
              <w:widowControl w:val="0"/>
              <w:spacing w:before="50" w:after="50"/>
              <w:jc w:val="center"/>
              <w:rPr>
                <w:b/>
                <w:szCs w:val="24"/>
              </w:rPr>
            </w:pPr>
            <w:r w:rsidRPr="0001508F">
              <w:rPr>
                <w:b/>
                <w:szCs w:val="24"/>
              </w:rPr>
              <w:t>TYPE OF CONSTRUCTION</w:t>
            </w:r>
          </w:p>
        </w:tc>
      </w:tr>
      <w:tr w:rsidR="0001508F" w:rsidRPr="0001508F" w14:paraId="0DF2ED5E" w14:textId="77777777" w:rsidTr="00732DDC">
        <w:trPr>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5E77BF" w14:textId="77777777" w:rsidR="0001508F" w:rsidRPr="0001508F" w:rsidRDefault="0001508F" w:rsidP="0001508F">
            <w:pPr>
              <w:jc w:val="left"/>
              <w:rPr>
                <w:b/>
                <w:szCs w:val="24"/>
              </w:rPr>
            </w:pPr>
          </w:p>
        </w:tc>
        <w:tc>
          <w:tcPr>
            <w:tcW w:w="847" w:type="pct"/>
            <w:vMerge w:val="restart"/>
            <w:tcBorders>
              <w:top w:val="single" w:sz="4" w:space="0" w:color="auto"/>
              <w:left w:val="single" w:sz="4" w:space="0" w:color="auto"/>
              <w:bottom w:val="single" w:sz="4" w:space="0" w:color="auto"/>
              <w:right w:val="single" w:sz="4" w:space="0" w:color="auto"/>
            </w:tcBorders>
            <w:vAlign w:val="center"/>
            <w:hideMark/>
          </w:tcPr>
          <w:p w14:paraId="3D24A278" w14:textId="77777777" w:rsidR="0001508F" w:rsidRPr="0001508F" w:rsidRDefault="0001508F" w:rsidP="0001508F">
            <w:pPr>
              <w:widowControl w:val="0"/>
              <w:spacing w:before="50" w:after="50"/>
              <w:jc w:val="center"/>
              <w:rPr>
                <w:b/>
                <w:szCs w:val="24"/>
              </w:rPr>
            </w:pPr>
            <w:r w:rsidRPr="0001508F">
              <w:rPr>
                <w:b/>
                <w:szCs w:val="24"/>
              </w:rPr>
              <w:t>SEE FOOTNOTES</w:t>
            </w:r>
          </w:p>
        </w:tc>
        <w:tc>
          <w:tcPr>
            <w:tcW w:w="747" w:type="pct"/>
            <w:gridSpan w:val="2"/>
            <w:tcBorders>
              <w:top w:val="single" w:sz="4" w:space="0" w:color="auto"/>
              <w:left w:val="single" w:sz="4" w:space="0" w:color="auto"/>
              <w:bottom w:val="single" w:sz="4" w:space="0" w:color="auto"/>
              <w:right w:val="single" w:sz="4" w:space="0" w:color="auto"/>
            </w:tcBorders>
            <w:vAlign w:val="center"/>
            <w:hideMark/>
          </w:tcPr>
          <w:p w14:paraId="4179BC65" w14:textId="77777777" w:rsidR="0001508F" w:rsidRPr="0001508F" w:rsidRDefault="0001508F" w:rsidP="0001508F">
            <w:pPr>
              <w:widowControl w:val="0"/>
              <w:spacing w:before="50" w:after="50"/>
              <w:jc w:val="center"/>
              <w:rPr>
                <w:b/>
                <w:szCs w:val="24"/>
              </w:rPr>
            </w:pPr>
            <w:r w:rsidRPr="0001508F">
              <w:rPr>
                <w:b/>
                <w:szCs w:val="24"/>
              </w:rPr>
              <w:t>TYPE I</w:t>
            </w:r>
          </w:p>
        </w:tc>
        <w:tc>
          <w:tcPr>
            <w:tcW w:w="831" w:type="pct"/>
            <w:gridSpan w:val="2"/>
            <w:tcBorders>
              <w:top w:val="single" w:sz="4" w:space="0" w:color="auto"/>
              <w:left w:val="single" w:sz="4" w:space="0" w:color="auto"/>
              <w:bottom w:val="single" w:sz="4" w:space="0" w:color="auto"/>
              <w:right w:val="single" w:sz="4" w:space="0" w:color="auto"/>
            </w:tcBorders>
            <w:vAlign w:val="center"/>
            <w:hideMark/>
          </w:tcPr>
          <w:p w14:paraId="763D509F" w14:textId="77777777" w:rsidR="0001508F" w:rsidRPr="0001508F" w:rsidRDefault="0001508F" w:rsidP="0001508F">
            <w:pPr>
              <w:widowControl w:val="0"/>
              <w:spacing w:before="50" w:after="50"/>
              <w:jc w:val="center"/>
              <w:rPr>
                <w:b/>
                <w:szCs w:val="24"/>
              </w:rPr>
            </w:pPr>
            <w:r w:rsidRPr="0001508F">
              <w:rPr>
                <w:b/>
                <w:szCs w:val="24"/>
              </w:rPr>
              <w:t>TYPE II</w:t>
            </w:r>
          </w:p>
        </w:tc>
        <w:tc>
          <w:tcPr>
            <w:tcW w:w="481" w:type="pct"/>
            <w:gridSpan w:val="2"/>
            <w:tcBorders>
              <w:top w:val="single" w:sz="4" w:space="0" w:color="auto"/>
              <w:left w:val="single" w:sz="4" w:space="0" w:color="auto"/>
              <w:bottom w:val="single" w:sz="4" w:space="0" w:color="auto"/>
              <w:right w:val="single" w:sz="4" w:space="0" w:color="auto"/>
            </w:tcBorders>
            <w:vAlign w:val="center"/>
            <w:hideMark/>
          </w:tcPr>
          <w:p w14:paraId="294ACD1D" w14:textId="77777777" w:rsidR="0001508F" w:rsidRPr="0001508F" w:rsidRDefault="0001508F" w:rsidP="0001508F">
            <w:pPr>
              <w:widowControl w:val="0"/>
              <w:spacing w:before="50" w:after="50"/>
              <w:jc w:val="center"/>
              <w:rPr>
                <w:b/>
                <w:szCs w:val="24"/>
              </w:rPr>
            </w:pPr>
            <w:r w:rsidRPr="0001508F">
              <w:rPr>
                <w:b/>
                <w:szCs w:val="24"/>
              </w:rPr>
              <w:t>TYPE III</w:t>
            </w:r>
          </w:p>
        </w:tc>
        <w:tc>
          <w:tcPr>
            <w:tcW w:w="429" w:type="pct"/>
            <w:tcBorders>
              <w:top w:val="single" w:sz="4" w:space="0" w:color="auto"/>
              <w:left w:val="single" w:sz="4" w:space="0" w:color="auto"/>
              <w:bottom w:val="single" w:sz="4" w:space="0" w:color="auto"/>
              <w:right w:val="single" w:sz="4" w:space="0" w:color="auto"/>
            </w:tcBorders>
            <w:vAlign w:val="center"/>
            <w:hideMark/>
          </w:tcPr>
          <w:p w14:paraId="35AB93FF" w14:textId="77777777" w:rsidR="0001508F" w:rsidRPr="0001508F" w:rsidRDefault="0001508F" w:rsidP="0001508F">
            <w:pPr>
              <w:widowControl w:val="0"/>
              <w:spacing w:before="50" w:after="50"/>
              <w:jc w:val="center"/>
              <w:rPr>
                <w:b/>
                <w:szCs w:val="24"/>
              </w:rPr>
            </w:pPr>
            <w:r w:rsidRPr="0001508F">
              <w:rPr>
                <w:b/>
                <w:szCs w:val="24"/>
              </w:rPr>
              <w:t>TYPE IV</w:t>
            </w:r>
            <w:r w:rsidRPr="0001508F">
              <w:rPr>
                <w:b/>
                <w:szCs w:val="24"/>
                <w:vertAlign w:val="superscript"/>
              </w:rPr>
              <w:t>j</w:t>
            </w:r>
          </w:p>
        </w:tc>
        <w:tc>
          <w:tcPr>
            <w:tcW w:w="538" w:type="pct"/>
            <w:gridSpan w:val="2"/>
            <w:tcBorders>
              <w:top w:val="single" w:sz="4" w:space="0" w:color="auto"/>
              <w:left w:val="single" w:sz="4" w:space="0" w:color="auto"/>
              <w:bottom w:val="single" w:sz="4" w:space="0" w:color="auto"/>
              <w:right w:val="single" w:sz="4" w:space="0" w:color="auto"/>
            </w:tcBorders>
            <w:vAlign w:val="center"/>
            <w:hideMark/>
          </w:tcPr>
          <w:p w14:paraId="12597BE6" w14:textId="77777777" w:rsidR="0001508F" w:rsidRPr="0001508F" w:rsidRDefault="0001508F" w:rsidP="0001508F">
            <w:pPr>
              <w:widowControl w:val="0"/>
              <w:spacing w:before="50" w:after="50"/>
              <w:jc w:val="center"/>
              <w:rPr>
                <w:b/>
                <w:szCs w:val="24"/>
              </w:rPr>
            </w:pPr>
            <w:r w:rsidRPr="0001508F">
              <w:rPr>
                <w:b/>
                <w:szCs w:val="24"/>
              </w:rPr>
              <w:t>TYPE V</w:t>
            </w:r>
          </w:p>
        </w:tc>
      </w:tr>
      <w:tr w:rsidR="0001508F" w:rsidRPr="0001508F" w14:paraId="1941B88F" w14:textId="77777777" w:rsidTr="00732DDC">
        <w:trPr>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88D536" w14:textId="77777777" w:rsidR="0001508F" w:rsidRPr="0001508F" w:rsidRDefault="0001508F" w:rsidP="0001508F">
            <w:pPr>
              <w:jc w:val="left"/>
              <w:rPr>
                <w:b/>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685CF3" w14:textId="77777777" w:rsidR="0001508F" w:rsidRPr="0001508F" w:rsidRDefault="0001508F" w:rsidP="0001508F">
            <w:pPr>
              <w:jc w:val="left"/>
              <w:rPr>
                <w:b/>
                <w:szCs w:val="24"/>
              </w:rPr>
            </w:pPr>
          </w:p>
        </w:tc>
        <w:tc>
          <w:tcPr>
            <w:tcW w:w="373" w:type="pct"/>
            <w:tcBorders>
              <w:top w:val="single" w:sz="4" w:space="0" w:color="auto"/>
              <w:left w:val="single" w:sz="4" w:space="0" w:color="auto"/>
              <w:bottom w:val="single" w:sz="4" w:space="0" w:color="auto"/>
              <w:right w:val="single" w:sz="4" w:space="0" w:color="auto"/>
            </w:tcBorders>
            <w:vAlign w:val="center"/>
            <w:hideMark/>
          </w:tcPr>
          <w:p w14:paraId="3DC29212" w14:textId="77777777" w:rsidR="0001508F" w:rsidRPr="0001508F" w:rsidRDefault="0001508F" w:rsidP="0001508F">
            <w:pPr>
              <w:widowControl w:val="0"/>
              <w:spacing w:before="50" w:after="50"/>
              <w:jc w:val="center"/>
              <w:rPr>
                <w:b/>
                <w:szCs w:val="24"/>
              </w:rPr>
            </w:pPr>
            <w:r w:rsidRPr="0001508F">
              <w:rPr>
                <w:b/>
                <w:szCs w:val="24"/>
              </w:rPr>
              <w:t>A</w:t>
            </w:r>
          </w:p>
        </w:tc>
        <w:tc>
          <w:tcPr>
            <w:tcW w:w="373" w:type="pct"/>
            <w:tcBorders>
              <w:top w:val="single" w:sz="4" w:space="0" w:color="auto"/>
              <w:left w:val="single" w:sz="4" w:space="0" w:color="auto"/>
              <w:bottom w:val="single" w:sz="4" w:space="0" w:color="auto"/>
              <w:right w:val="single" w:sz="4" w:space="0" w:color="auto"/>
            </w:tcBorders>
            <w:vAlign w:val="center"/>
            <w:hideMark/>
          </w:tcPr>
          <w:p w14:paraId="6C6A946D" w14:textId="77777777" w:rsidR="0001508F" w:rsidRPr="0001508F" w:rsidRDefault="0001508F" w:rsidP="0001508F">
            <w:pPr>
              <w:widowControl w:val="0"/>
              <w:spacing w:before="50" w:after="50"/>
              <w:jc w:val="center"/>
              <w:rPr>
                <w:b/>
                <w:szCs w:val="24"/>
              </w:rPr>
            </w:pPr>
            <w:r w:rsidRPr="0001508F">
              <w:rPr>
                <w:b/>
                <w:szCs w:val="24"/>
              </w:rPr>
              <w:t>B</w:t>
            </w:r>
            <w:r w:rsidRPr="0001508F">
              <w:rPr>
                <w:b/>
                <w:szCs w:val="24"/>
                <w:vertAlign w:val="superscript"/>
              </w:rPr>
              <w:t>i</w:t>
            </w:r>
          </w:p>
        </w:tc>
        <w:tc>
          <w:tcPr>
            <w:tcW w:w="415" w:type="pct"/>
            <w:tcBorders>
              <w:top w:val="single" w:sz="4" w:space="0" w:color="auto"/>
              <w:left w:val="single" w:sz="4" w:space="0" w:color="auto"/>
              <w:bottom w:val="single" w:sz="4" w:space="0" w:color="auto"/>
              <w:right w:val="single" w:sz="4" w:space="0" w:color="auto"/>
            </w:tcBorders>
            <w:vAlign w:val="center"/>
            <w:hideMark/>
          </w:tcPr>
          <w:p w14:paraId="4FCD1C46" w14:textId="77777777" w:rsidR="0001508F" w:rsidRPr="0001508F" w:rsidRDefault="0001508F" w:rsidP="0001508F">
            <w:pPr>
              <w:widowControl w:val="0"/>
              <w:spacing w:before="50" w:after="50"/>
              <w:jc w:val="center"/>
              <w:rPr>
                <w:b/>
                <w:szCs w:val="24"/>
              </w:rPr>
            </w:pPr>
            <w:r w:rsidRPr="0001508F">
              <w:rPr>
                <w:b/>
                <w:szCs w:val="24"/>
              </w:rPr>
              <w:t>A</w:t>
            </w:r>
          </w:p>
        </w:tc>
        <w:tc>
          <w:tcPr>
            <w:tcW w:w="416" w:type="pct"/>
            <w:tcBorders>
              <w:top w:val="single" w:sz="4" w:space="0" w:color="auto"/>
              <w:left w:val="single" w:sz="4" w:space="0" w:color="auto"/>
              <w:bottom w:val="single" w:sz="4" w:space="0" w:color="auto"/>
              <w:right w:val="single" w:sz="4" w:space="0" w:color="auto"/>
            </w:tcBorders>
            <w:vAlign w:val="center"/>
            <w:hideMark/>
          </w:tcPr>
          <w:p w14:paraId="0AC27AE1" w14:textId="77777777" w:rsidR="0001508F" w:rsidRPr="0001508F" w:rsidRDefault="0001508F" w:rsidP="0001508F">
            <w:pPr>
              <w:widowControl w:val="0"/>
              <w:spacing w:before="50" w:after="50"/>
              <w:jc w:val="center"/>
              <w:rPr>
                <w:b/>
                <w:szCs w:val="24"/>
              </w:rPr>
            </w:pPr>
            <w:r w:rsidRPr="0001508F">
              <w:rPr>
                <w:b/>
                <w:szCs w:val="24"/>
              </w:rPr>
              <w:t>B</w:t>
            </w:r>
          </w:p>
        </w:tc>
        <w:tc>
          <w:tcPr>
            <w:tcW w:w="248" w:type="pct"/>
            <w:tcBorders>
              <w:top w:val="single" w:sz="4" w:space="0" w:color="auto"/>
              <w:left w:val="single" w:sz="4" w:space="0" w:color="auto"/>
              <w:bottom w:val="single" w:sz="4" w:space="0" w:color="auto"/>
              <w:right w:val="single" w:sz="4" w:space="0" w:color="auto"/>
            </w:tcBorders>
            <w:vAlign w:val="center"/>
            <w:hideMark/>
          </w:tcPr>
          <w:p w14:paraId="61F0CE39" w14:textId="77777777" w:rsidR="0001508F" w:rsidRPr="0001508F" w:rsidRDefault="0001508F" w:rsidP="0001508F">
            <w:pPr>
              <w:widowControl w:val="0"/>
              <w:spacing w:before="50" w:after="50"/>
              <w:jc w:val="center"/>
              <w:rPr>
                <w:b/>
                <w:szCs w:val="24"/>
              </w:rPr>
            </w:pPr>
            <w:r w:rsidRPr="0001508F">
              <w:rPr>
                <w:b/>
                <w:szCs w:val="24"/>
              </w:rPr>
              <w:t>A</w:t>
            </w:r>
          </w:p>
        </w:tc>
        <w:tc>
          <w:tcPr>
            <w:tcW w:w="233" w:type="pct"/>
            <w:tcBorders>
              <w:top w:val="single" w:sz="4" w:space="0" w:color="auto"/>
              <w:left w:val="single" w:sz="4" w:space="0" w:color="auto"/>
              <w:bottom w:val="single" w:sz="4" w:space="0" w:color="auto"/>
              <w:right w:val="single" w:sz="4" w:space="0" w:color="auto"/>
            </w:tcBorders>
            <w:vAlign w:val="center"/>
            <w:hideMark/>
          </w:tcPr>
          <w:p w14:paraId="6E243B4B" w14:textId="77777777" w:rsidR="0001508F" w:rsidRPr="0001508F" w:rsidRDefault="0001508F" w:rsidP="0001508F">
            <w:pPr>
              <w:widowControl w:val="0"/>
              <w:spacing w:before="50" w:after="50"/>
              <w:jc w:val="center"/>
              <w:rPr>
                <w:b/>
                <w:szCs w:val="24"/>
              </w:rPr>
            </w:pPr>
            <w:r w:rsidRPr="0001508F">
              <w:rPr>
                <w:b/>
                <w:szCs w:val="24"/>
              </w:rPr>
              <w:t>B</w:t>
            </w:r>
          </w:p>
        </w:tc>
        <w:tc>
          <w:tcPr>
            <w:tcW w:w="429" w:type="pct"/>
            <w:tcBorders>
              <w:top w:val="single" w:sz="4" w:space="0" w:color="auto"/>
              <w:left w:val="single" w:sz="4" w:space="0" w:color="auto"/>
              <w:bottom w:val="single" w:sz="4" w:space="0" w:color="auto"/>
              <w:right w:val="single" w:sz="4" w:space="0" w:color="auto"/>
            </w:tcBorders>
            <w:vAlign w:val="center"/>
            <w:hideMark/>
          </w:tcPr>
          <w:p w14:paraId="7F039D3C" w14:textId="77777777" w:rsidR="0001508F" w:rsidRPr="0001508F" w:rsidRDefault="0001508F" w:rsidP="0001508F">
            <w:pPr>
              <w:widowControl w:val="0"/>
              <w:spacing w:before="50" w:after="50"/>
              <w:jc w:val="center"/>
              <w:rPr>
                <w:b/>
                <w:szCs w:val="24"/>
              </w:rPr>
            </w:pPr>
            <w:r w:rsidRPr="0001508F">
              <w:rPr>
                <w:b/>
                <w:szCs w:val="24"/>
              </w:rPr>
              <w:t>HT</w:t>
            </w:r>
          </w:p>
        </w:tc>
        <w:tc>
          <w:tcPr>
            <w:tcW w:w="298" w:type="pct"/>
            <w:tcBorders>
              <w:top w:val="single" w:sz="4" w:space="0" w:color="auto"/>
              <w:left w:val="single" w:sz="4" w:space="0" w:color="auto"/>
              <w:bottom w:val="single" w:sz="4" w:space="0" w:color="auto"/>
              <w:right w:val="single" w:sz="4" w:space="0" w:color="auto"/>
            </w:tcBorders>
            <w:vAlign w:val="center"/>
            <w:hideMark/>
          </w:tcPr>
          <w:p w14:paraId="48B403B4" w14:textId="77777777" w:rsidR="0001508F" w:rsidRPr="0001508F" w:rsidRDefault="0001508F" w:rsidP="0001508F">
            <w:pPr>
              <w:widowControl w:val="0"/>
              <w:spacing w:before="50" w:after="50"/>
              <w:jc w:val="center"/>
              <w:rPr>
                <w:b/>
                <w:szCs w:val="24"/>
              </w:rPr>
            </w:pPr>
            <w:r w:rsidRPr="0001508F">
              <w:rPr>
                <w:b/>
                <w:szCs w:val="24"/>
              </w:rPr>
              <w:t>A</w:t>
            </w:r>
          </w:p>
        </w:tc>
        <w:tc>
          <w:tcPr>
            <w:tcW w:w="240" w:type="pct"/>
            <w:tcBorders>
              <w:top w:val="single" w:sz="4" w:space="0" w:color="auto"/>
              <w:left w:val="single" w:sz="4" w:space="0" w:color="auto"/>
              <w:bottom w:val="single" w:sz="4" w:space="0" w:color="auto"/>
              <w:right w:val="single" w:sz="4" w:space="0" w:color="auto"/>
            </w:tcBorders>
            <w:vAlign w:val="center"/>
            <w:hideMark/>
          </w:tcPr>
          <w:p w14:paraId="3CFEE270" w14:textId="77777777" w:rsidR="0001508F" w:rsidRPr="0001508F" w:rsidRDefault="0001508F" w:rsidP="0001508F">
            <w:pPr>
              <w:widowControl w:val="0"/>
              <w:spacing w:before="50" w:after="50"/>
              <w:jc w:val="center"/>
              <w:rPr>
                <w:b/>
                <w:szCs w:val="24"/>
              </w:rPr>
            </w:pPr>
            <w:r w:rsidRPr="0001508F">
              <w:rPr>
                <w:b/>
                <w:szCs w:val="24"/>
              </w:rPr>
              <w:t>B</w:t>
            </w:r>
          </w:p>
        </w:tc>
      </w:tr>
      <w:tr w:rsidR="0001508F" w:rsidRPr="0001508F" w14:paraId="6902B331" w14:textId="77777777" w:rsidTr="0001508F">
        <w:trPr>
          <w:jc w:val="center"/>
        </w:trPr>
        <w:tc>
          <w:tcPr>
            <w:tcW w:w="1128" w:type="pct"/>
            <w:vMerge w:val="restart"/>
            <w:tcBorders>
              <w:top w:val="single" w:sz="4" w:space="0" w:color="auto"/>
              <w:left w:val="single" w:sz="4" w:space="0" w:color="auto"/>
              <w:bottom w:val="single" w:sz="4" w:space="0" w:color="auto"/>
              <w:right w:val="single" w:sz="4" w:space="0" w:color="auto"/>
            </w:tcBorders>
            <w:vAlign w:val="center"/>
            <w:hideMark/>
          </w:tcPr>
          <w:p w14:paraId="0951FF93" w14:textId="77777777" w:rsidR="0001508F" w:rsidRPr="0001508F" w:rsidRDefault="0001508F" w:rsidP="0001508F">
            <w:pPr>
              <w:widowControl w:val="0"/>
              <w:spacing w:before="50" w:after="50"/>
              <w:jc w:val="center"/>
              <w:rPr>
                <w:szCs w:val="24"/>
              </w:rPr>
            </w:pPr>
            <w:r w:rsidRPr="0001508F">
              <w:rPr>
                <w:szCs w:val="24"/>
              </w:rPr>
              <w:t>A-1</w:t>
            </w:r>
          </w:p>
        </w:tc>
        <w:tc>
          <w:tcPr>
            <w:tcW w:w="847" w:type="pct"/>
            <w:tcBorders>
              <w:top w:val="single" w:sz="4" w:space="0" w:color="auto"/>
              <w:left w:val="single" w:sz="4" w:space="0" w:color="auto"/>
              <w:bottom w:val="single" w:sz="4" w:space="0" w:color="auto"/>
              <w:right w:val="single" w:sz="4" w:space="0" w:color="auto"/>
            </w:tcBorders>
            <w:vAlign w:val="center"/>
            <w:hideMark/>
          </w:tcPr>
          <w:p w14:paraId="29C651AB" w14:textId="77777777" w:rsidR="0001508F" w:rsidRPr="0001508F" w:rsidRDefault="0001508F" w:rsidP="0001508F">
            <w:pPr>
              <w:widowControl w:val="0"/>
              <w:spacing w:before="50" w:after="50"/>
              <w:jc w:val="center"/>
              <w:rPr>
                <w:szCs w:val="24"/>
              </w:rPr>
            </w:pPr>
            <w:r w:rsidRPr="0001508F">
              <w:rPr>
                <w:szCs w:val="24"/>
              </w:rPr>
              <w:t>NS</w:t>
            </w:r>
            <w:r w:rsidRPr="0001508F">
              <w:rPr>
                <w:szCs w:val="24"/>
                <w:vertAlign w:val="superscript"/>
              </w:rPr>
              <w:t>b,c</w:t>
            </w:r>
          </w:p>
        </w:tc>
        <w:tc>
          <w:tcPr>
            <w:tcW w:w="373" w:type="pct"/>
            <w:tcBorders>
              <w:top w:val="single" w:sz="4" w:space="0" w:color="auto"/>
              <w:left w:val="single" w:sz="4" w:space="0" w:color="auto"/>
              <w:bottom w:val="single" w:sz="4" w:space="0" w:color="auto"/>
              <w:right w:val="single" w:sz="4" w:space="0" w:color="auto"/>
            </w:tcBorders>
            <w:vAlign w:val="center"/>
            <w:hideMark/>
          </w:tcPr>
          <w:p w14:paraId="3837C77E" w14:textId="77777777" w:rsidR="0001508F" w:rsidRPr="0001508F" w:rsidRDefault="0001508F" w:rsidP="0001508F">
            <w:pPr>
              <w:widowControl w:val="0"/>
              <w:spacing w:before="50" w:after="50"/>
              <w:jc w:val="center"/>
              <w:rPr>
                <w:szCs w:val="24"/>
              </w:rPr>
            </w:pPr>
            <w:r w:rsidRPr="0001508F">
              <w:rPr>
                <w:szCs w:val="24"/>
              </w:rPr>
              <w:t>UL</w:t>
            </w:r>
          </w:p>
        </w:tc>
        <w:tc>
          <w:tcPr>
            <w:tcW w:w="373" w:type="pct"/>
            <w:tcBorders>
              <w:top w:val="single" w:sz="4" w:space="0" w:color="auto"/>
              <w:left w:val="single" w:sz="4" w:space="0" w:color="auto"/>
              <w:bottom w:val="single" w:sz="4" w:space="0" w:color="auto"/>
              <w:right w:val="single" w:sz="4" w:space="0" w:color="auto"/>
            </w:tcBorders>
            <w:vAlign w:val="center"/>
            <w:hideMark/>
          </w:tcPr>
          <w:p w14:paraId="4EECF35B" w14:textId="77777777" w:rsidR="0001508F" w:rsidRPr="0001508F" w:rsidRDefault="0001508F" w:rsidP="0001508F">
            <w:pPr>
              <w:widowControl w:val="0"/>
              <w:spacing w:before="50" w:after="50"/>
              <w:jc w:val="center"/>
              <w:rPr>
                <w:szCs w:val="24"/>
              </w:rPr>
            </w:pPr>
            <w:r w:rsidRPr="0001508F">
              <w:rPr>
                <w:szCs w:val="24"/>
              </w:rPr>
              <w:t>160</w:t>
            </w:r>
          </w:p>
        </w:tc>
        <w:tc>
          <w:tcPr>
            <w:tcW w:w="415" w:type="pct"/>
            <w:tcBorders>
              <w:top w:val="single" w:sz="4" w:space="0" w:color="auto"/>
              <w:left w:val="single" w:sz="4" w:space="0" w:color="auto"/>
              <w:bottom w:val="single" w:sz="4" w:space="0" w:color="auto"/>
              <w:right w:val="single" w:sz="4" w:space="0" w:color="auto"/>
            </w:tcBorders>
            <w:vAlign w:val="center"/>
            <w:hideMark/>
          </w:tcPr>
          <w:p w14:paraId="7340C7F1" w14:textId="77777777" w:rsidR="0001508F" w:rsidRPr="0001508F" w:rsidRDefault="0001508F" w:rsidP="0001508F">
            <w:pPr>
              <w:widowControl w:val="0"/>
              <w:spacing w:before="50" w:after="50"/>
              <w:jc w:val="center"/>
              <w:rPr>
                <w:szCs w:val="24"/>
              </w:rPr>
            </w:pPr>
            <w:r w:rsidRPr="0001508F">
              <w:rPr>
                <w:szCs w:val="24"/>
              </w:rPr>
              <w:t>65</w:t>
            </w:r>
          </w:p>
        </w:tc>
        <w:tc>
          <w:tcPr>
            <w:tcW w:w="416" w:type="pct"/>
            <w:tcBorders>
              <w:top w:val="single" w:sz="4" w:space="0" w:color="auto"/>
              <w:left w:val="single" w:sz="4" w:space="0" w:color="auto"/>
              <w:bottom w:val="single" w:sz="4" w:space="0" w:color="auto"/>
              <w:right w:val="single" w:sz="4" w:space="0" w:color="auto"/>
            </w:tcBorders>
            <w:vAlign w:val="center"/>
            <w:hideMark/>
          </w:tcPr>
          <w:p w14:paraId="1743593F" w14:textId="77777777" w:rsidR="0001508F" w:rsidRPr="0001508F" w:rsidRDefault="0001508F" w:rsidP="0001508F">
            <w:pPr>
              <w:widowControl w:val="0"/>
              <w:spacing w:before="50" w:after="50"/>
              <w:jc w:val="center"/>
              <w:rPr>
                <w:szCs w:val="24"/>
              </w:rPr>
            </w:pPr>
            <w:r w:rsidRPr="0001508F">
              <w:rPr>
                <w:szCs w:val="24"/>
              </w:rPr>
              <w:t>55</w:t>
            </w:r>
          </w:p>
        </w:tc>
        <w:tc>
          <w:tcPr>
            <w:tcW w:w="248" w:type="pct"/>
            <w:tcBorders>
              <w:top w:val="single" w:sz="4" w:space="0" w:color="auto"/>
              <w:left w:val="single" w:sz="4" w:space="0" w:color="auto"/>
              <w:bottom w:val="single" w:sz="4" w:space="0" w:color="auto"/>
              <w:right w:val="single" w:sz="4" w:space="0" w:color="auto"/>
            </w:tcBorders>
            <w:vAlign w:val="center"/>
            <w:hideMark/>
          </w:tcPr>
          <w:p w14:paraId="0DC3808F" w14:textId="77777777" w:rsidR="0001508F" w:rsidRPr="0001508F" w:rsidRDefault="0001508F" w:rsidP="0001508F">
            <w:pPr>
              <w:widowControl w:val="0"/>
              <w:spacing w:before="50" w:after="50"/>
              <w:jc w:val="center"/>
              <w:rPr>
                <w:szCs w:val="24"/>
              </w:rPr>
            </w:pPr>
            <w:r w:rsidRPr="0001508F">
              <w:rPr>
                <w:szCs w:val="24"/>
              </w:rPr>
              <w:t>65</w:t>
            </w:r>
          </w:p>
        </w:tc>
        <w:tc>
          <w:tcPr>
            <w:tcW w:w="233" w:type="pct"/>
            <w:tcBorders>
              <w:top w:val="single" w:sz="4" w:space="0" w:color="auto"/>
              <w:left w:val="single" w:sz="4" w:space="0" w:color="auto"/>
              <w:bottom w:val="single" w:sz="4" w:space="0" w:color="auto"/>
              <w:right w:val="single" w:sz="4" w:space="0" w:color="auto"/>
            </w:tcBorders>
            <w:shd w:val="clear" w:color="auto" w:fill="7F7F7F"/>
            <w:vAlign w:val="center"/>
            <w:hideMark/>
          </w:tcPr>
          <w:p w14:paraId="2027AA0B" w14:textId="77777777" w:rsidR="0001508F" w:rsidRPr="0001508F" w:rsidRDefault="0001508F" w:rsidP="0001508F">
            <w:pPr>
              <w:widowControl w:val="0"/>
              <w:spacing w:before="50" w:after="50"/>
              <w:jc w:val="center"/>
              <w:rPr>
                <w:szCs w:val="24"/>
              </w:rPr>
            </w:pPr>
            <w:r w:rsidRPr="0001508F">
              <w:rPr>
                <w:szCs w:val="24"/>
              </w:rPr>
              <w:t>55</w:t>
            </w:r>
          </w:p>
        </w:tc>
        <w:tc>
          <w:tcPr>
            <w:tcW w:w="429" w:type="pct"/>
            <w:tcBorders>
              <w:top w:val="single" w:sz="4" w:space="0" w:color="auto"/>
              <w:left w:val="single" w:sz="4" w:space="0" w:color="auto"/>
              <w:bottom w:val="single" w:sz="4" w:space="0" w:color="auto"/>
              <w:right w:val="single" w:sz="4" w:space="0" w:color="auto"/>
            </w:tcBorders>
            <w:vAlign w:val="center"/>
            <w:hideMark/>
          </w:tcPr>
          <w:p w14:paraId="2CB33566" w14:textId="77777777" w:rsidR="0001508F" w:rsidRPr="0001508F" w:rsidRDefault="0001508F" w:rsidP="0001508F">
            <w:pPr>
              <w:widowControl w:val="0"/>
              <w:spacing w:before="50" w:after="50"/>
              <w:jc w:val="center"/>
              <w:rPr>
                <w:szCs w:val="24"/>
              </w:rPr>
            </w:pPr>
            <w:r w:rsidRPr="0001508F">
              <w:rPr>
                <w:szCs w:val="24"/>
              </w:rPr>
              <w:t>65</w:t>
            </w:r>
          </w:p>
        </w:tc>
        <w:tc>
          <w:tcPr>
            <w:tcW w:w="298"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21455E1" w14:textId="77777777" w:rsidR="0001508F" w:rsidRPr="0001508F" w:rsidRDefault="0001508F" w:rsidP="0001508F">
            <w:pPr>
              <w:widowControl w:val="0"/>
              <w:spacing w:before="50" w:after="50"/>
              <w:jc w:val="center"/>
              <w:rPr>
                <w:szCs w:val="24"/>
              </w:rPr>
            </w:pPr>
            <w:r w:rsidRPr="0001508F">
              <w:rPr>
                <w:szCs w:val="24"/>
              </w:rPr>
              <w:t>50</w:t>
            </w:r>
          </w:p>
        </w:tc>
        <w:tc>
          <w:tcPr>
            <w:tcW w:w="24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12F920D" w14:textId="77777777" w:rsidR="0001508F" w:rsidRPr="0001508F" w:rsidRDefault="0001508F" w:rsidP="0001508F">
            <w:pPr>
              <w:widowControl w:val="0"/>
              <w:spacing w:before="50" w:after="50"/>
              <w:jc w:val="center"/>
              <w:rPr>
                <w:szCs w:val="24"/>
              </w:rPr>
            </w:pPr>
            <w:r w:rsidRPr="0001508F">
              <w:rPr>
                <w:szCs w:val="24"/>
              </w:rPr>
              <w:t>40</w:t>
            </w:r>
          </w:p>
        </w:tc>
      </w:tr>
      <w:tr w:rsidR="0001508F" w:rsidRPr="0001508F" w14:paraId="3A87B8D8" w14:textId="77777777" w:rsidTr="0001508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A16107" w14:textId="77777777" w:rsidR="0001508F" w:rsidRPr="0001508F" w:rsidRDefault="0001508F" w:rsidP="0001508F">
            <w:pPr>
              <w:jc w:val="left"/>
              <w:rPr>
                <w:szCs w:val="24"/>
              </w:rPr>
            </w:pPr>
          </w:p>
        </w:tc>
        <w:tc>
          <w:tcPr>
            <w:tcW w:w="847" w:type="pct"/>
            <w:tcBorders>
              <w:top w:val="single" w:sz="4" w:space="0" w:color="auto"/>
              <w:left w:val="single" w:sz="4" w:space="0" w:color="auto"/>
              <w:bottom w:val="single" w:sz="4" w:space="0" w:color="auto"/>
              <w:right w:val="single" w:sz="4" w:space="0" w:color="auto"/>
            </w:tcBorders>
            <w:vAlign w:val="center"/>
            <w:hideMark/>
          </w:tcPr>
          <w:p w14:paraId="7514178A" w14:textId="77777777" w:rsidR="0001508F" w:rsidRPr="0001508F" w:rsidRDefault="0001508F" w:rsidP="0001508F">
            <w:pPr>
              <w:widowControl w:val="0"/>
              <w:spacing w:before="50" w:after="50"/>
              <w:jc w:val="center"/>
              <w:rPr>
                <w:szCs w:val="24"/>
              </w:rPr>
            </w:pPr>
            <w:r w:rsidRPr="0001508F">
              <w:rPr>
                <w:szCs w:val="24"/>
              </w:rPr>
              <w:t>S</w:t>
            </w:r>
          </w:p>
        </w:tc>
        <w:tc>
          <w:tcPr>
            <w:tcW w:w="373" w:type="pct"/>
            <w:tcBorders>
              <w:top w:val="single" w:sz="4" w:space="0" w:color="auto"/>
              <w:left w:val="single" w:sz="4" w:space="0" w:color="auto"/>
              <w:bottom w:val="single" w:sz="4" w:space="0" w:color="auto"/>
              <w:right w:val="single" w:sz="4" w:space="0" w:color="auto"/>
            </w:tcBorders>
            <w:vAlign w:val="center"/>
            <w:hideMark/>
          </w:tcPr>
          <w:p w14:paraId="1ED80CB6" w14:textId="77777777" w:rsidR="0001508F" w:rsidRPr="0001508F" w:rsidRDefault="0001508F" w:rsidP="0001508F">
            <w:pPr>
              <w:widowControl w:val="0"/>
              <w:spacing w:before="50" w:after="50"/>
              <w:jc w:val="center"/>
              <w:rPr>
                <w:szCs w:val="24"/>
              </w:rPr>
            </w:pPr>
            <w:r w:rsidRPr="0001508F">
              <w:rPr>
                <w:szCs w:val="24"/>
              </w:rPr>
              <w:t>UL</w:t>
            </w:r>
          </w:p>
        </w:tc>
        <w:tc>
          <w:tcPr>
            <w:tcW w:w="373" w:type="pct"/>
            <w:tcBorders>
              <w:top w:val="single" w:sz="4" w:space="0" w:color="auto"/>
              <w:left w:val="single" w:sz="4" w:space="0" w:color="auto"/>
              <w:bottom w:val="single" w:sz="4" w:space="0" w:color="auto"/>
              <w:right w:val="single" w:sz="4" w:space="0" w:color="auto"/>
            </w:tcBorders>
            <w:vAlign w:val="center"/>
            <w:hideMark/>
          </w:tcPr>
          <w:p w14:paraId="616C5418" w14:textId="77777777" w:rsidR="0001508F" w:rsidRPr="0001508F" w:rsidRDefault="0001508F" w:rsidP="0001508F">
            <w:pPr>
              <w:widowControl w:val="0"/>
              <w:spacing w:before="50" w:after="50"/>
              <w:jc w:val="center"/>
              <w:rPr>
                <w:szCs w:val="24"/>
              </w:rPr>
            </w:pPr>
            <w:r w:rsidRPr="0001508F">
              <w:rPr>
                <w:szCs w:val="24"/>
              </w:rPr>
              <w:t>420</w:t>
            </w:r>
          </w:p>
        </w:tc>
        <w:tc>
          <w:tcPr>
            <w:tcW w:w="415" w:type="pct"/>
            <w:tcBorders>
              <w:top w:val="single" w:sz="4" w:space="0" w:color="auto"/>
              <w:left w:val="single" w:sz="4" w:space="0" w:color="auto"/>
              <w:bottom w:val="single" w:sz="4" w:space="0" w:color="auto"/>
              <w:right w:val="single" w:sz="4" w:space="0" w:color="auto"/>
            </w:tcBorders>
            <w:vAlign w:val="center"/>
            <w:hideMark/>
          </w:tcPr>
          <w:p w14:paraId="13E2FC7B" w14:textId="77777777" w:rsidR="0001508F" w:rsidRPr="0001508F" w:rsidRDefault="0001508F" w:rsidP="0001508F">
            <w:pPr>
              <w:widowControl w:val="0"/>
              <w:spacing w:before="50" w:after="50"/>
              <w:jc w:val="center"/>
              <w:rPr>
                <w:szCs w:val="24"/>
              </w:rPr>
            </w:pPr>
            <w:r w:rsidRPr="0001508F">
              <w:rPr>
                <w:szCs w:val="24"/>
              </w:rPr>
              <w:t>85</w:t>
            </w:r>
          </w:p>
        </w:tc>
        <w:tc>
          <w:tcPr>
            <w:tcW w:w="416" w:type="pct"/>
            <w:tcBorders>
              <w:top w:val="single" w:sz="4" w:space="0" w:color="auto"/>
              <w:left w:val="single" w:sz="4" w:space="0" w:color="auto"/>
              <w:bottom w:val="single" w:sz="4" w:space="0" w:color="auto"/>
              <w:right w:val="single" w:sz="4" w:space="0" w:color="auto"/>
            </w:tcBorders>
            <w:vAlign w:val="center"/>
            <w:hideMark/>
          </w:tcPr>
          <w:p w14:paraId="05FCB368" w14:textId="77777777" w:rsidR="0001508F" w:rsidRPr="0001508F" w:rsidRDefault="0001508F" w:rsidP="0001508F">
            <w:pPr>
              <w:widowControl w:val="0"/>
              <w:spacing w:before="50" w:after="50"/>
              <w:jc w:val="center"/>
              <w:rPr>
                <w:szCs w:val="24"/>
              </w:rPr>
            </w:pPr>
            <w:r w:rsidRPr="0001508F">
              <w:rPr>
                <w:szCs w:val="24"/>
              </w:rPr>
              <w:t>75</w:t>
            </w:r>
          </w:p>
        </w:tc>
        <w:tc>
          <w:tcPr>
            <w:tcW w:w="248" w:type="pct"/>
            <w:tcBorders>
              <w:top w:val="single" w:sz="4" w:space="0" w:color="auto"/>
              <w:left w:val="single" w:sz="4" w:space="0" w:color="auto"/>
              <w:bottom w:val="single" w:sz="4" w:space="0" w:color="auto"/>
              <w:right w:val="single" w:sz="4" w:space="0" w:color="auto"/>
            </w:tcBorders>
            <w:vAlign w:val="center"/>
            <w:hideMark/>
          </w:tcPr>
          <w:p w14:paraId="4A7B6383" w14:textId="77777777" w:rsidR="0001508F" w:rsidRPr="0001508F" w:rsidRDefault="0001508F" w:rsidP="0001508F">
            <w:pPr>
              <w:widowControl w:val="0"/>
              <w:spacing w:before="50" w:after="50"/>
              <w:jc w:val="center"/>
              <w:rPr>
                <w:szCs w:val="24"/>
              </w:rPr>
            </w:pPr>
            <w:r w:rsidRPr="0001508F">
              <w:rPr>
                <w:szCs w:val="24"/>
              </w:rPr>
              <w:t>85</w:t>
            </w:r>
          </w:p>
        </w:tc>
        <w:tc>
          <w:tcPr>
            <w:tcW w:w="233" w:type="pct"/>
            <w:tcBorders>
              <w:top w:val="single" w:sz="4" w:space="0" w:color="auto"/>
              <w:left w:val="single" w:sz="4" w:space="0" w:color="auto"/>
              <w:bottom w:val="single" w:sz="4" w:space="0" w:color="auto"/>
              <w:right w:val="single" w:sz="4" w:space="0" w:color="auto"/>
            </w:tcBorders>
            <w:vAlign w:val="center"/>
            <w:hideMark/>
          </w:tcPr>
          <w:p w14:paraId="7AA58469" w14:textId="77777777" w:rsidR="0001508F" w:rsidRPr="0001508F" w:rsidRDefault="0001508F" w:rsidP="0001508F">
            <w:pPr>
              <w:widowControl w:val="0"/>
              <w:spacing w:before="50" w:after="50"/>
              <w:jc w:val="center"/>
              <w:rPr>
                <w:szCs w:val="24"/>
              </w:rPr>
            </w:pPr>
            <w:r w:rsidRPr="0001508F">
              <w:rPr>
                <w:szCs w:val="24"/>
              </w:rPr>
              <w:t>75</w:t>
            </w:r>
          </w:p>
        </w:tc>
        <w:tc>
          <w:tcPr>
            <w:tcW w:w="429" w:type="pct"/>
            <w:tcBorders>
              <w:top w:val="single" w:sz="4" w:space="0" w:color="auto"/>
              <w:left w:val="single" w:sz="4" w:space="0" w:color="auto"/>
              <w:bottom w:val="single" w:sz="4" w:space="0" w:color="auto"/>
              <w:right w:val="single" w:sz="4" w:space="0" w:color="auto"/>
            </w:tcBorders>
            <w:vAlign w:val="center"/>
            <w:hideMark/>
          </w:tcPr>
          <w:p w14:paraId="3AD59898" w14:textId="77777777" w:rsidR="0001508F" w:rsidRPr="0001508F" w:rsidRDefault="0001508F" w:rsidP="0001508F">
            <w:pPr>
              <w:widowControl w:val="0"/>
              <w:spacing w:before="50" w:after="50"/>
              <w:jc w:val="center"/>
              <w:rPr>
                <w:szCs w:val="24"/>
              </w:rPr>
            </w:pPr>
            <w:r w:rsidRPr="0001508F">
              <w:rPr>
                <w:szCs w:val="24"/>
              </w:rPr>
              <w:t>85</w:t>
            </w:r>
          </w:p>
        </w:tc>
        <w:tc>
          <w:tcPr>
            <w:tcW w:w="298"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F4BE127" w14:textId="77777777" w:rsidR="0001508F" w:rsidRPr="0001508F" w:rsidRDefault="0001508F" w:rsidP="0001508F">
            <w:pPr>
              <w:widowControl w:val="0"/>
              <w:spacing w:before="50" w:after="50"/>
              <w:jc w:val="center"/>
              <w:rPr>
                <w:szCs w:val="24"/>
              </w:rPr>
            </w:pPr>
            <w:r w:rsidRPr="0001508F">
              <w:rPr>
                <w:szCs w:val="24"/>
              </w:rPr>
              <w:t>70</w:t>
            </w:r>
          </w:p>
        </w:tc>
        <w:tc>
          <w:tcPr>
            <w:tcW w:w="24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D095828" w14:textId="77777777" w:rsidR="0001508F" w:rsidRPr="0001508F" w:rsidRDefault="0001508F" w:rsidP="0001508F">
            <w:pPr>
              <w:widowControl w:val="0"/>
              <w:spacing w:before="50" w:after="50"/>
              <w:jc w:val="center"/>
              <w:rPr>
                <w:szCs w:val="24"/>
              </w:rPr>
            </w:pPr>
            <w:r w:rsidRPr="0001508F">
              <w:rPr>
                <w:szCs w:val="24"/>
              </w:rPr>
              <w:t>60</w:t>
            </w:r>
          </w:p>
        </w:tc>
      </w:tr>
      <w:tr w:rsidR="0001508F" w:rsidRPr="0001508F" w14:paraId="2C08047A" w14:textId="77777777" w:rsidTr="0001508F">
        <w:trPr>
          <w:jc w:val="center"/>
        </w:trPr>
        <w:tc>
          <w:tcPr>
            <w:tcW w:w="1128" w:type="pct"/>
            <w:vMerge w:val="restart"/>
            <w:tcBorders>
              <w:top w:val="single" w:sz="4" w:space="0" w:color="auto"/>
              <w:left w:val="single" w:sz="4" w:space="0" w:color="auto"/>
              <w:bottom w:val="single" w:sz="4" w:space="0" w:color="auto"/>
              <w:right w:val="single" w:sz="4" w:space="0" w:color="auto"/>
            </w:tcBorders>
            <w:vAlign w:val="center"/>
            <w:hideMark/>
          </w:tcPr>
          <w:p w14:paraId="03CB06CC" w14:textId="77777777" w:rsidR="0001508F" w:rsidRPr="0001508F" w:rsidRDefault="0001508F" w:rsidP="0001508F">
            <w:pPr>
              <w:widowControl w:val="0"/>
              <w:spacing w:before="50" w:after="50"/>
              <w:jc w:val="center"/>
              <w:rPr>
                <w:szCs w:val="24"/>
              </w:rPr>
            </w:pPr>
            <w:r w:rsidRPr="0001508F">
              <w:rPr>
                <w:szCs w:val="24"/>
              </w:rPr>
              <w:t>U</w:t>
            </w:r>
            <w:r w:rsidRPr="0001508F">
              <w:rPr>
                <w:szCs w:val="24"/>
                <w:vertAlign w:val="superscript"/>
              </w:rPr>
              <w:t>e</w:t>
            </w:r>
          </w:p>
        </w:tc>
        <w:tc>
          <w:tcPr>
            <w:tcW w:w="847" w:type="pct"/>
            <w:tcBorders>
              <w:top w:val="single" w:sz="4" w:space="0" w:color="auto"/>
              <w:left w:val="single" w:sz="4" w:space="0" w:color="auto"/>
              <w:bottom w:val="single" w:sz="4" w:space="0" w:color="auto"/>
              <w:right w:val="single" w:sz="4" w:space="0" w:color="auto"/>
            </w:tcBorders>
            <w:vAlign w:val="center"/>
            <w:hideMark/>
          </w:tcPr>
          <w:p w14:paraId="1ED068CC" w14:textId="77777777" w:rsidR="0001508F" w:rsidRPr="0001508F" w:rsidRDefault="0001508F" w:rsidP="0001508F">
            <w:pPr>
              <w:widowControl w:val="0"/>
              <w:spacing w:before="50" w:after="50"/>
              <w:jc w:val="center"/>
              <w:rPr>
                <w:szCs w:val="24"/>
              </w:rPr>
            </w:pPr>
            <w:r w:rsidRPr="0001508F">
              <w:rPr>
                <w:szCs w:val="24"/>
              </w:rPr>
              <w:t>NS</w:t>
            </w:r>
            <w:r w:rsidRPr="0001508F">
              <w:rPr>
                <w:szCs w:val="24"/>
                <w:vertAlign w:val="superscript"/>
              </w:rPr>
              <w:t>b,c</w:t>
            </w:r>
          </w:p>
        </w:tc>
        <w:tc>
          <w:tcPr>
            <w:tcW w:w="373" w:type="pct"/>
            <w:tcBorders>
              <w:top w:val="single" w:sz="4" w:space="0" w:color="auto"/>
              <w:left w:val="single" w:sz="4" w:space="0" w:color="auto"/>
              <w:bottom w:val="single" w:sz="4" w:space="0" w:color="auto"/>
              <w:right w:val="single" w:sz="4" w:space="0" w:color="auto"/>
            </w:tcBorders>
            <w:vAlign w:val="center"/>
            <w:hideMark/>
          </w:tcPr>
          <w:p w14:paraId="3C5125CA" w14:textId="77777777" w:rsidR="0001508F" w:rsidRPr="0001508F" w:rsidRDefault="0001508F" w:rsidP="0001508F">
            <w:pPr>
              <w:widowControl w:val="0"/>
              <w:spacing w:before="50" w:after="50"/>
              <w:jc w:val="center"/>
              <w:rPr>
                <w:szCs w:val="24"/>
              </w:rPr>
            </w:pPr>
            <w:r w:rsidRPr="0001508F">
              <w:rPr>
                <w:szCs w:val="24"/>
              </w:rPr>
              <w:t>UL</w:t>
            </w:r>
          </w:p>
        </w:tc>
        <w:tc>
          <w:tcPr>
            <w:tcW w:w="373" w:type="pct"/>
            <w:tcBorders>
              <w:top w:val="single" w:sz="4" w:space="0" w:color="auto"/>
              <w:left w:val="single" w:sz="4" w:space="0" w:color="auto"/>
              <w:bottom w:val="single" w:sz="4" w:space="0" w:color="auto"/>
              <w:right w:val="single" w:sz="4" w:space="0" w:color="auto"/>
            </w:tcBorders>
            <w:vAlign w:val="center"/>
            <w:hideMark/>
          </w:tcPr>
          <w:p w14:paraId="10237B65" w14:textId="77777777" w:rsidR="0001508F" w:rsidRPr="0001508F" w:rsidRDefault="0001508F" w:rsidP="0001508F">
            <w:pPr>
              <w:widowControl w:val="0"/>
              <w:spacing w:before="50" w:after="50"/>
              <w:jc w:val="center"/>
              <w:rPr>
                <w:szCs w:val="24"/>
              </w:rPr>
            </w:pPr>
            <w:r w:rsidRPr="0001508F">
              <w:rPr>
                <w:szCs w:val="24"/>
              </w:rPr>
              <w:t>160</w:t>
            </w:r>
          </w:p>
        </w:tc>
        <w:tc>
          <w:tcPr>
            <w:tcW w:w="415" w:type="pct"/>
            <w:tcBorders>
              <w:top w:val="single" w:sz="4" w:space="0" w:color="auto"/>
              <w:left w:val="single" w:sz="4" w:space="0" w:color="auto"/>
              <w:bottom w:val="single" w:sz="4" w:space="0" w:color="auto"/>
              <w:right w:val="single" w:sz="4" w:space="0" w:color="auto"/>
            </w:tcBorders>
            <w:vAlign w:val="center"/>
            <w:hideMark/>
          </w:tcPr>
          <w:p w14:paraId="3C419055" w14:textId="77777777" w:rsidR="0001508F" w:rsidRPr="0001508F" w:rsidRDefault="0001508F" w:rsidP="0001508F">
            <w:pPr>
              <w:widowControl w:val="0"/>
              <w:spacing w:before="50" w:after="50"/>
              <w:jc w:val="center"/>
              <w:rPr>
                <w:szCs w:val="24"/>
              </w:rPr>
            </w:pPr>
            <w:r w:rsidRPr="0001508F">
              <w:rPr>
                <w:szCs w:val="24"/>
              </w:rPr>
              <w:t>65</w:t>
            </w:r>
          </w:p>
        </w:tc>
        <w:tc>
          <w:tcPr>
            <w:tcW w:w="416" w:type="pct"/>
            <w:tcBorders>
              <w:top w:val="single" w:sz="4" w:space="0" w:color="auto"/>
              <w:left w:val="single" w:sz="4" w:space="0" w:color="auto"/>
              <w:bottom w:val="single" w:sz="4" w:space="0" w:color="auto"/>
              <w:right w:val="single" w:sz="4" w:space="0" w:color="auto"/>
            </w:tcBorders>
            <w:vAlign w:val="center"/>
            <w:hideMark/>
          </w:tcPr>
          <w:p w14:paraId="3A4AE106" w14:textId="77777777" w:rsidR="0001508F" w:rsidRPr="0001508F" w:rsidRDefault="0001508F" w:rsidP="0001508F">
            <w:pPr>
              <w:widowControl w:val="0"/>
              <w:spacing w:before="50" w:after="50"/>
              <w:jc w:val="center"/>
              <w:rPr>
                <w:szCs w:val="24"/>
              </w:rPr>
            </w:pPr>
            <w:r w:rsidRPr="0001508F">
              <w:rPr>
                <w:szCs w:val="24"/>
              </w:rPr>
              <w:t>55</w:t>
            </w:r>
          </w:p>
        </w:tc>
        <w:tc>
          <w:tcPr>
            <w:tcW w:w="248" w:type="pct"/>
            <w:tcBorders>
              <w:top w:val="single" w:sz="4" w:space="0" w:color="auto"/>
              <w:left w:val="single" w:sz="4" w:space="0" w:color="auto"/>
              <w:bottom w:val="single" w:sz="4" w:space="0" w:color="auto"/>
              <w:right w:val="single" w:sz="4" w:space="0" w:color="auto"/>
            </w:tcBorders>
            <w:vAlign w:val="center"/>
            <w:hideMark/>
          </w:tcPr>
          <w:p w14:paraId="65A77C58" w14:textId="77777777" w:rsidR="0001508F" w:rsidRPr="0001508F" w:rsidRDefault="0001508F" w:rsidP="0001508F">
            <w:pPr>
              <w:widowControl w:val="0"/>
              <w:spacing w:before="50" w:after="50"/>
              <w:jc w:val="center"/>
              <w:rPr>
                <w:szCs w:val="24"/>
              </w:rPr>
            </w:pPr>
            <w:r w:rsidRPr="0001508F">
              <w:rPr>
                <w:szCs w:val="24"/>
              </w:rPr>
              <w:t>65</w:t>
            </w:r>
          </w:p>
        </w:tc>
        <w:tc>
          <w:tcPr>
            <w:tcW w:w="233" w:type="pct"/>
            <w:tcBorders>
              <w:top w:val="single" w:sz="4" w:space="0" w:color="auto"/>
              <w:left w:val="single" w:sz="4" w:space="0" w:color="auto"/>
              <w:bottom w:val="single" w:sz="4" w:space="0" w:color="auto"/>
              <w:right w:val="single" w:sz="4" w:space="0" w:color="auto"/>
            </w:tcBorders>
            <w:vAlign w:val="center"/>
            <w:hideMark/>
          </w:tcPr>
          <w:p w14:paraId="655A1BA6" w14:textId="77777777" w:rsidR="0001508F" w:rsidRPr="0001508F" w:rsidRDefault="0001508F" w:rsidP="0001508F">
            <w:pPr>
              <w:widowControl w:val="0"/>
              <w:spacing w:before="50" w:after="50"/>
              <w:jc w:val="center"/>
              <w:rPr>
                <w:szCs w:val="24"/>
              </w:rPr>
            </w:pPr>
            <w:r w:rsidRPr="0001508F">
              <w:rPr>
                <w:szCs w:val="24"/>
              </w:rPr>
              <w:t>55</w:t>
            </w:r>
          </w:p>
        </w:tc>
        <w:tc>
          <w:tcPr>
            <w:tcW w:w="429" w:type="pct"/>
            <w:tcBorders>
              <w:top w:val="single" w:sz="4" w:space="0" w:color="auto"/>
              <w:left w:val="single" w:sz="4" w:space="0" w:color="auto"/>
              <w:bottom w:val="single" w:sz="4" w:space="0" w:color="auto"/>
              <w:right w:val="single" w:sz="4" w:space="0" w:color="auto"/>
            </w:tcBorders>
            <w:vAlign w:val="center"/>
            <w:hideMark/>
          </w:tcPr>
          <w:p w14:paraId="4CE3ADC8" w14:textId="77777777" w:rsidR="0001508F" w:rsidRPr="0001508F" w:rsidRDefault="0001508F" w:rsidP="0001508F">
            <w:pPr>
              <w:widowControl w:val="0"/>
              <w:spacing w:before="50" w:after="50"/>
              <w:jc w:val="center"/>
              <w:rPr>
                <w:szCs w:val="24"/>
              </w:rPr>
            </w:pPr>
            <w:r w:rsidRPr="0001508F">
              <w:rPr>
                <w:szCs w:val="24"/>
              </w:rPr>
              <w:t>65</w:t>
            </w:r>
          </w:p>
        </w:tc>
        <w:tc>
          <w:tcPr>
            <w:tcW w:w="298"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58EC2DF" w14:textId="77777777" w:rsidR="0001508F" w:rsidRPr="0001508F" w:rsidRDefault="0001508F" w:rsidP="0001508F">
            <w:pPr>
              <w:widowControl w:val="0"/>
              <w:spacing w:before="50" w:after="50"/>
              <w:jc w:val="center"/>
              <w:rPr>
                <w:szCs w:val="24"/>
              </w:rPr>
            </w:pPr>
            <w:r w:rsidRPr="0001508F">
              <w:rPr>
                <w:szCs w:val="24"/>
              </w:rPr>
              <w:t>50</w:t>
            </w:r>
          </w:p>
        </w:tc>
        <w:tc>
          <w:tcPr>
            <w:tcW w:w="24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0D6D075" w14:textId="77777777" w:rsidR="0001508F" w:rsidRPr="0001508F" w:rsidRDefault="0001508F" w:rsidP="0001508F">
            <w:pPr>
              <w:widowControl w:val="0"/>
              <w:spacing w:before="50" w:after="50"/>
              <w:jc w:val="center"/>
              <w:rPr>
                <w:szCs w:val="24"/>
              </w:rPr>
            </w:pPr>
            <w:r w:rsidRPr="0001508F">
              <w:rPr>
                <w:szCs w:val="24"/>
              </w:rPr>
              <w:t>40</w:t>
            </w:r>
          </w:p>
        </w:tc>
      </w:tr>
      <w:tr w:rsidR="0001508F" w:rsidRPr="0001508F" w14:paraId="2BF9E89F" w14:textId="77777777" w:rsidTr="0001508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A08C58" w14:textId="77777777" w:rsidR="0001508F" w:rsidRPr="0001508F" w:rsidRDefault="0001508F" w:rsidP="0001508F">
            <w:pPr>
              <w:jc w:val="left"/>
              <w:rPr>
                <w:szCs w:val="24"/>
              </w:rPr>
            </w:pPr>
          </w:p>
        </w:tc>
        <w:tc>
          <w:tcPr>
            <w:tcW w:w="847" w:type="pct"/>
            <w:tcBorders>
              <w:top w:val="single" w:sz="4" w:space="0" w:color="auto"/>
              <w:left w:val="single" w:sz="4" w:space="0" w:color="auto"/>
              <w:bottom w:val="single" w:sz="4" w:space="0" w:color="auto"/>
              <w:right w:val="single" w:sz="4" w:space="0" w:color="auto"/>
            </w:tcBorders>
            <w:vAlign w:val="center"/>
            <w:hideMark/>
          </w:tcPr>
          <w:p w14:paraId="0C34E583" w14:textId="77777777" w:rsidR="0001508F" w:rsidRPr="0001508F" w:rsidRDefault="0001508F" w:rsidP="0001508F">
            <w:pPr>
              <w:widowControl w:val="0"/>
              <w:spacing w:before="50" w:after="50"/>
              <w:jc w:val="center"/>
              <w:rPr>
                <w:szCs w:val="24"/>
              </w:rPr>
            </w:pPr>
            <w:r w:rsidRPr="0001508F">
              <w:rPr>
                <w:szCs w:val="24"/>
              </w:rPr>
              <w:t>S</w:t>
            </w:r>
          </w:p>
        </w:tc>
        <w:tc>
          <w:tcPr>
            <w:tcW w:w="373" w:type="pct"/>
            <w:tcBorders>
              <w:top w:val="single" w:sz="4" w:space="0" w:color="auto"/>
              <w:left w:val="single" w:sz="4" w:space="0" w:color="auto"/>
              <w:bottom w:val="single" w:sz="4" w:space="0" w:color="auto"/>
              <w:right w:val="single" w:sz="4" w:space="0" w:color="auto"/>
            </w:tcBorders>
            <w:vAlign w:val="center"/>
            <w:hideMark/>
          </w:tcPr>
          <w:p w14:paraId="64558863" w14:textId="77777777" w:rsidR="0001508F" w:rsidRPr="0001508F" w:rsidRDefault="0001508F" w:rsidP="0001508F">
            <w:pPr>
              <w:widowControl w:val="0"/>
              <w:spacing w:before="50" w:after="50"/>
              <w:jc w:val="center"/>
              <w:rPr>
                <w:szCs w:val="24"/>
              </w:rPr>
            </w:pPr>
            <w:r w:rsidRPr="0001508F">
              <w:rPr>
                <w:szCs w:val="24"/>
              </w:rPr>
              <w:t>UL</w:t>
            </w:r>
          </w:p>
        </w:tc>
        <w:tc>
          <w:tcPr>
            <w:tcW w:w="373" w:type="pct"/>
            <w:tcBorders>
              <w:top w:val="single" w:sz="4" w:space="0" w:color="auto"/>
              <w:left w:val="single" w:sz="4" w:space="0" w:color="auto"/>
              <w:bottom w:val="single" w:sz="4" w:space="0" w:color="auto"/>
              <w:right w:val="single" w:sz="4" w:space="0" w:color="auto"/>
            </w:tcBorders>
            <w:vAlign w:val="center"/>
            <w:hideMark/>
          </w:tcPr>
          <w:p w14:paraId="405E27D7" w14:textId="77777777" w:rsidR="0001508F" w:rsidRPr="0001508F" w:rsidRDefault="0001508F" w:rsidP="0001508F">
            <w:pPr>
              <w:widowControl w:val="0"/>
              <w:spacing w:before="50" w:after="50"/>
              <w:jc w:val="center"/>
              <w:rPr>
                <w:szCs w:val="24"/>
              </w:rPr>
            </w:pPr>
            <w:r w:rsidRPr="0001508F">
              <w:rPr>
                <w:szCs w:val="24"/>
              </w:rPr>
              <w:t>180</w:t>
            </w:r>
          </w:p>
        </w:tc>
        <w:tc>
          <w:tcPr>
            <w:tcW w:w="415" w:type="pct"/>
            <w:tcBorders>
              <w:top w:val="single" w:sz="4" w:space="0" w:color="auto"/>
              <w:left w:val="single" w:sz="4" w:space="0" w:color="auto"/>
              <w:bottom w:val="single" w:sz="4" w:space="0" w:color="auto"/>
              <w:right w:val="single" w:sz="4" w:space="0" w:color="auto"/>
            </w:tcBorders>
            <w:vAlign w:val="center"/>
            <w:hideMark/>
          </w:tcPr>
          <w:p w14:paraId="772B2FD4" w14:textId="77777777" w:rsidR="0001508F" w:rsidRPr="0001508F" w:rsidRDefault="0001508F" w:rsidP="0001508F">
            <w:pPr>
              <w:widowControl w:val="0"/>
              <w:spacing w:before="50" w:after="50"/>
              <w:jc w:val="center"/>
              <w:rPr>
                <w:szCs w:val="24"/>
              </w:rPr>
            </w:pPr>
            <w:r w:rsidRPr="0001508F">
              <w:rPr>
                <w:szCs w:val="24"/>
              </w:rPr>
              <w:t>85</w:t>
            </w:r>
          </w:p>
        </w:tc>
        <w:tc>
          <w:tcPr>
            <w:tcW w:w="416" w:type="pct"/>
            <w:tcBorders>
              <w:top w:val="single" w:sz="4" w:space="0" w:color="auto"/>
              <w:left w:val="single" w:sz="4" w:space="0" w:color="auto"/>
              <w:bottom w:val="single" w:sz="4" w:space="0" w:color="auto"/>
              <w:right w:val="single" w:sz="4" w:space="0" w:color="auto"/>
            </w:tcBorders>
            <w:vAlign w:val="center"/>
            <w:hideMark/>
          </w:tcPr>
          <w:p w14:paraId="4ED6D838" w14:textId="77777777" w:rsidR="0001508F" w:rsidRPr="0001508F" w:rsidRDefault="0001508F" w:rsidP="0001508F">
            <w:pPr>
              <w:widowControl w:val="0"/>
              <w:spacing w:before="50" w:after="50"/>
              <w:jc w:val="center"/>
              <w:rPr>
                <w:szCs w:val="24"/>
              </w:rPr>
            </w:pPr>
            <w:r w:rsidRPr="0001508F">
              <w:rPr>
                <w:szCs w:val="24"/>
              </w:rPr>
              <w:t>75</w:t>
            </w:r>
          </w:p>
        </w:tc>
        <w:tc>
          <w:tcPr>
            <w:tcW w:w="248" w:type="pct"/>
            <w:tcBorders>
              <w:top w:val="single" w:sz="4" w:space="0" w:color="auto"/>
              <w:left w:val="single" w:sz="4" w:space="0" w:color="auto"/>
              <w:bottom w:val="single" w:sz="4" w:space="0" w:color="auto"/>
              <w:right w:val="single" w:sz="4" w:space="0" w:color="auto"/>
            </w:tcBorders>
            <w:vAlign w:val="center"/>
            <w:hideMark/>
          </w:tcPr>
          <w:p w14:paraId="2331AE18" w14:textId="77777777" w:rsidR="0001508F" w:rsidRPr="0001508F" w:rsidRDefault="0001508F" w:rsidP="0001508F">
            <w:pPr>
              <w:widowControl w:val="0"/>
              <w:spacing w:before="50" w:after="50"/>
              <w:jc w:val="center"/>
              <w:rPr>
                <w:szCs w:val="24"/>
              </w:rPr>
            </w:pPr>
            <w:r w:rsidRPr="0001508F">
              <w:rPr>
                <w:szCs w:val="24"/>
              </w:rPr>
              <w:t>85</w:t>
            </w:r>
          </w:p>
        </w:tc>
        <w:tc>
          <w:tcPr>
            <w:tcW w:w="233" w:type="pct"/>
            <w:tcBorders>
              <w:top w:val="single" w:sz="4" w:space="0" w:color="auto"/>
              <w:left w:val="single" w:sz="4" w:space="0" w:color="auto"/>
              <w:bottom w:val="single" w:sz="4" w:space="0" w:color="auto"/>
              <w:right w:val="single" w:sz="4" w:space="0" w:color="auto"/>
            </w:tcBorders>
            <w:vAlign w:val="center"/>
            <w:hideMark/>
          </w:tcPr>
          <w:p w14:paraId="43F088B7" w14:textId="77777777" w:rsidR="0001508F" w:rsidRPr="0001508F" w:rsidRDefault="0001508F" w:rsidP="0001508F">
            <w:pPr>
              <w:widowControl w:val="0"/>
              <w:spacing w:before="50" w:after="50"/>
              <w:jc w:val="center"/>
              <w:rPr>
                <w:szCs w:val="24"/>
              </w:rPr>
            </w:pPr>
            <w:r w:rsidRPr="0001508F">
              <w:rPr>
                <w:szCs w:val="24"/>
              </w:rPr>
              <w:t>75</w:t>
            </w:r>
          </w:p>
        </w:tc>
        <w:tc>
          <w:tcPr>
            <w:tcW w:w="429" w:type="pct"/>
            <w:tcBorders>
              <w:top w:val="single" w:sz="4" w:space="0" w:color="auto"/>
              <w:left w:val="single" w:sz="4" w:space="0" w:color="auto"/>
              <w:bottom w:val="single" w:sz="4" w:space="0" w:color="auto"/>
              <w:right w:val="single" w:sz="4" w:space="0" w:color="auto"/>
            </w:tcBorders>
            <w:vAlign w:val="center"/>
            <w:hideMark/>
          </w:tcPr>
          <w:p w14:paraId="7DB99E95" w14:textId="77777777" w:rsidR="0001508F" w:rsidRPr="0001508F" w:rsidRDefault="0001508F" w:rsidP="0001508F">
            <w:pPr>
              <w:widowControl w:val="0"/>
              <w:spacing w:before="50" w:after="50"/>
              <w:jc w:val="center"/>
              <w:rPr>
                <w:szCs w:val="24"/>
              </w:rPr>
            </w:pPr>
            <w:r w:rsidRPr="0001508F">
              <w:rPr>
                <w:szCs w:val="24"/>
              </w:rPr>
              <w:t>85</w:t>
            </w:r>
          </w:p>
        </w:tc>
        <w:tc>
          <w:tcPr>
            <w:tcW w:w="298"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505AC9E" w14:textId="77777777" w:rsidR="0001508F" w:rsidRPr="0001508F" w:rsidRDefault="0001508F" w:rsidP="0001508F">
            <w:pPr>
              <w:widowControl w:val="0"/>
              <w:spacing w:before="50" w:after="50"/>
              <w:jc w:val="center"/>
              <w:rPr>
                <w:szCs w:val="24"/>
              </w:rPr>
            </w:pPr>
            <w:r w:rsidRPr="0001508F">
              <w:rPr>
                <w:szCs w:val="24"/>
              </w:rPr>
              <w:t>70</w:t>
            </w:r>
          </w:p>
        </w:tc>
        <w:tc>
          <w:tcPr>
            <w:tcW w:w="24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5BC1837" w14:textId="77777777" w:rsidR="0001508F" w:rsidRPr="0001508F" w:rsidRDefault="0001508F" w:rsidP="0001508F">
            <w:pPr>
              <w:widowControl w:val="0"/>
              <w:spacing w:before="50" w:after="50"/>
              <w:jc w:val="center"/>
              <w:rPr>
                <w:szCs w:val="24"/>
              </w:rPr>
            </w:pPr>
            <w:r w:rsidRPr="0001508F">
              <w:rPr>
                <w:szCs w:val="24"/>
              </w:rPr>
              <w:t>60</w:t>
            </w:r>
          </w:p>
        </w:tc>
      </w:tr>
    </w:tbl>
    <w:tbl>
      <w:tblPr>
        <w:tblStyle w:val="TableGrid14"/>
        <w:tblpPr w:leftFromText="180" w:rightFromText="180" w:vertAnchor="text" w:horzAnchor="page" w:tblpX="1790" w:tblpY="106"/>
        <w:tblW w:w="0" w:type="auto"/>
        <w:tblInd w:w="0" w:type="dxa"/>
        <w:tblLook w:val="04A0" w:firstRow="1" w:lastRow="0" w:firstColumn="1" w:lastColumn="0" w:noHBand="0" w:noVBand="1"/>
      </w:tblPr>
      <w:tblGrid>
        <w:gridCol w:w="468"/>
        <w:gridCol w:w="2790"/>
        <w:gridCol w:w="540"/>
        <w:gridCol w:w="3330"/>
      </w:tblGrid>
      <w:tr w:rsidR="0001508F" w:rsidRPr="0001508F" w14:paraId="37341474" w14:textId="77777777" w:rsidTr="0001508F">
        <w:tc>
          <w:tcPr>
            <w:tcW w:w="468" w:type="dxa"/>
            <w:tcBorders>
              <w:top w:val="single" w:sz="4" w:space="0" w:color="auto"/>
              <w:left w:val="single" w:sz="4" w:space="0" w:color="auto"/>
              <w:bottom w:val="single" w:sz="4" w:space="0" w:color="auto"/>
              <w:right w:val="single" w:sz="4" w:space="0" w:color="auto"/>
            </w:tcBorders>
            <w:shd w:val="clear" w:color="auto" w:fill="D9D9D9"/>
          </w:tcPr>
          <w:p w14:paraId="2D5DF228" w14:textId="77777777" w:rsidR="0001508F" w:rsidRPr="0001508F" w:rsidRDefault="0001508F" w:rsidP="0001508F">
            <w:pPr>
              <w:widowControl w:val="0"/>
              <w:spacing w:before="50" w:after="50"/>
              <w:jc w:val="left"/>
              <w:rPr>
                <w:szCs w:val="24"/>
              </w:rPr>
            </w:pPr>
          </w:p>
        </w:tc>
        <w:tc>
          <w:tcPr>
            <w:tcW w:w="2790" w:type="dxa"/>
            <w:tcBorders>
              <w:top w:val="nil"/>
              <w:left w:val="single" w:sz="4" w:space="0" w:color="auto"/>
              <w:bottom w:val="nil"/>
              <w:right w:val="nil"/>
            </w:tcBorders>
            <w:hideMark/>
          </w:tcPr>
          <w:p w14:paraId="081FAC92" w14:textId="77777777" w:rsidR="0001508F" w:rsidRPr="0001508F" w:rsidRDefault="0001508F" w:rsidP="0001508F">
            <w:pPr>
              <w:widowControl w:val="0"/>
              <w:spacing w:before="50" w:after="50"/>
              <w:jc w:val="left"/>
              <w:rPr>
                <w:szCs w:val="24"/>
              </w:rPr>
            </w:pPr>
            <w:r w:rsidRPr="0001508F">
              <w:rPr>
                <w:szCs w:val="24"/>
              </w:rPr>
              <w:t>= Not permitted in Fire District</w:t>
            </w:r>
          </w:p>
        </w:tc>
        <w:tc>
          <w:tcPr>
            <w:tcW w:w="540" w:type="dxa"/>
            <w:tcBorders>
              <w:top w:val="single" w:sz="4" w:space="0" w:color="auto"/>
              <w:left w:val="single" w:sz="4" w:space="0" w:color="auto"/>
              <w:bottom w:val="single" w:sz="4" w:space="0" w:color="auto"/>
              <w:right w:val="single" w:sz="4" w:space="0" w:color="auto"/>
            </w:tcBorders>
            <w:shd w:val="clear" w:color="auto" w:fill="7F7F7F"/>
          </w:tcPr>
          <w:p w14:paraId="422C0DD1" w14:textId="77777777" w:rsidR="0001508F" w:rsidRPr="0001508F" w:rsidRDefault="0001508F" w:rsidP="0001508F">
            <w:pPr>
              <w:widowControl w:val="0"/>
              <w:spacing w:before="50" w:after="50"/>
              <w:jc w:val="left"/>
              <w:rPr>
                <w:szCs w:val="24"/>
              </w:rPr>
            </w:pPr>
          </w:p>
        </w:tc>
        <w:tc>
          <w:tcPr>
            <w:tcW w:w="3330" w:type="dxa"/>
            <w:tcBorders>
              <w:top w:val="nil"/>
              <w:left w:val="single" w:sz="4" w:space="0" w:color="auto"/>
              <w:bottom w:val="nil"/>
              <w:right w:val="nil"/>
            </w:tcBorders>
            <w:hideMark/>
          </w:tcPr>
          <w:p w14:paraId="2F1AEE48" w14:textId="77777777" w:rsidR="0001508F" w:rsidRPr="0001508F" w:rsidRDefault="0001508F" w:rsidP="0001508F">
            <w:pPr>
              <w:widowControl w:val="0"/>
              <w:spacing w:before="50" w:after="50"/>
              <w:jc w:val="left"/>
              <w:rPr>
                <w:szCs w:val="24"/>
              </w:rPr>
            </w:pPr>
            <w:r w:rsidRPr="0001508F">
              <w:rPr>
                <w:szCs w:val="24"/>
              </w:rPr>
              <w:t>= Not permitted in Fire District without sprinklers</w:t>
            </w:r>
          </w:p>
        </w:tc>
      </w:tr>
    </w:tbl>
    <w:p w14:paraId="640166E0" w14:textId="77777777" w:rsidR="0001508F" w:rsidRPr="0001508F" w:rsidRDefault="0001508F" w:rsidP="0001508F">
      <w:pPr>
        <w:widowControl w:val="0"/>
        <w:autoSpaceDE w:val="0"/>
        <w:autoSpaceDN w:val="0"/>
        <w:adjustRightInd w:val="0"/>
        <w:spacing w:before="50" w:after="50"/>
        <w:ind w:left="720" w:hanging="360"/>
        <w:jc w:val="left"/>
        <w:rPr>
          <w:szCs w:val="24"/>
        </w:rPr>
      </w:pPr>
      <w:bookmarkStart w:id="289" w:name="_Hlk78791339"/>
    </w:p>
    <w:p w14:paraId="24D49D2E" w14:textId="77777777" w:rsidR="0001508F" w:rsidRPr="0001508F" w:rsidRDefault="0001508F" w:rsidP="0001508F">
      <w:pPr>
        <w:widowControl w:val="0"/>
        <w:autoSpaceDE w:val="0"/>
        <w:autoSpaceDN w:val="0"/>
        <w:adjustRightInd w:val="0"/>
        <w:spacing w:before="50" w:after="50"/>
        <w:ind w:left="720" w:hanging="360"/>
        <w:jc w:val="left"/>
        <w:rPr>
          <w:szCs w:val="24"/>
        </w:rPr>
      </w:pPr>
      <w:r w:rsidRPr="0001508F">
        <w:rPr>
          <w:szCs w:val="24"/>
        </w:rPr>
        <w:t>For SI: 1 foot = 304.8 mm.</w:t>
      </w:r>
    </w:p>
    <w:p w14:paraId="0B9EC694" w14:textId="77777777" w:rsidR="0001508F" w:rsidRPr="0001508F" w:rsidRDefault="0001508F" w:rsidP="0001508F">
      <w:pPr>
        <w:widowControl w:val="0"/>
        <w:autoSpaceDE w:val="0"/>
        <w:autoSpaceDN w:val="0"/>
        <w:adjustRightInd w:val="0"/>
        <w:spacing w:before="50" w:after="50"/>
        <w:ind w:left="720" w:hanging="360"/>
        <w:rPr>
          <w:szCs w:val="24"/>
        </w:rPr>
      </w:pPr>
      <w:r w:rsidRPr="0001508F">
        <w:rPr>
          <w:b/>
          <w:bCs/>
          <w:szCs w:val="24"/>
        </w:rPr>
        <w:t>Note:</w:t>
      </w:r>
      <w:r w:rsidRPr="0001508F">
        <w:rPr>
          <w:szCs w:val="24"/>
        </w:rPr>
        <w:t xml:space="preserve"> UL = Unlimited; NP = Not permitted; NS = Buildings not equipped throughout with an automatic sprinkler system; S = Buildings equipped throughout with an automatic sprinkler system installed in accordance with Section 903.3.1.1; S13R = Buildings equipped throughout with an automatic sprinkler system installed in accordance with Section 903.3.1.2; S13D = Buildings equipped throughout with an automatic sprinkler system installed in accordance with Section 903.3.1.3.</w:t>
      </w:r>
    </w:p>
    <w:p w14:paraId="6534DF93" w14:textId="77777777" w:rsidR="0001508F" w:rsidRPr="0001508F" w:rsidRDefault="0001508F" w:rsidP="0001508F">
      <w:pPr>
        <w:widowControl w:val="0"/>
        <w:autoSpaceDE w:val="0"/>
        <w:autoSpaceDN w:val="0"/>
        <w:adjustRightInd w:val="0"/>
        <w:spacing w:before="50" w:after="50"/>
        <w:ind w:left="720" w:hanging="360"/>
        <w:rPr>
          <w:szCs w:val="24"/>
        </w:rPr>
      </w:pPr>
      <w:r w:rsidRPr="0001508F">
        <w:rPr>
          <w:szCs w:val="24"/>
        </w:rPr>
        <w:t>a.</w:t>
      </w:r>
      <w:r w:rsidRPr="0001508F">
        <w:rPr>
          <w:szCs w:val="24"/>
        </w:rPr>
        <w:tab/>
        <w:t>See the following sections for general exceptions to Table 504.3:</w:t>
      </w:r>
    </w:p>
    <w:p w14:paraId="3871F301" w14:textId="77777777" w:rsidR="0001508F" w:rsidRPr="0001508F" w:rsidRDefault="0001508F" w:rsidP="0001508F">
      <w:pPr>
        <w:widowControl w:val="0"/>
        <w:kinsoku w:val="0"/>
        <w:spacing w:before="50" w:after="50"/>
        <w:ind w:left="1080" w:hanging="360"/>
        <w:rPr>
          <w:szCs w:val="24"/>
        </w:rPr>
      </w:pPr>
      <w:r w:rsidRPr="0001508F">
        <w:rPr>
          <w:szCs w:val="24"/>
        </w:rPr>
        <w:t>1.</w:t>
      </w:r>
      <w:r w:rsidRPr="0001508F">
        <w:rPr>
          <w:szCs w:val="24"/>
        </w:rPr>
        <w:tab/>
        <w:t>See Chapters 4 and 5 for specific exceptions to the allowable height in this chapter.</w:t>
      </w:r>
    </w:p>
    <w:p w14:paraId="068436B9" w14:textId="77777777" w:rsidR="0001508F" w:rsidRPr="0001508F" w:rsidRDefault="0001508F" w:rsidP="0001508F">
      <w:pPr>
        <w:widowControl w:val="0"/>
        <w:autoSpaceDE w:val="0"/>
        <w:autoSpaceDN w:val="0"/>
        <w:adjustRightInd w:val="0"/>
        <w:ind w:left="1080" w:hanging="360"/>
        <w:rPr>
          <w:szCs w:val="24"/>
        </w:rPr>
      </w:pPr>
      <w:r w:rsidRPr="0001508F">
        <w:rPr>
          <w:szCs w:val="24"/>
        </w:rPr>
        <w:t>2.</w:t>
      </w:r>
      <w:r w:rsidRPr="0001508F">
        <w:rPr>
          <w:szCs w:val="24"/>
        </w:rPr>
        <w:tab/>
        <w:t>Section 506.3, Allowable area increase due to frontage.</w:t>
      </w:r>
    </w:p>
    <w:p w14:paraId="19340404" w14:textId="77777777" w:rsidR="0001508F" w:rsidRPr="0001508F" w:rsidRDefault="0001508F" w:rsidP="0001508F">
      <w:pPr>
        <w:widowControl w:val="0"/>
        <w:autoSpaceDE w:val="0"/>
        <w:autoSpaceDN w:val="0"/>
        <w:adjustRightInd w:val="0"/>
        <w:ind w:left="1080" w:hanging="360"/>
        <w:rPr>
          <w:szCs w:val="24"/>
        </w:rPr>
      </w:pPr>
      <w:r w:rsidRPr="0001508F">
        <w:rPr>
          <w:szCs w:val="24"/>
        </w:rPr>
        <w:t>3.</w:t>
      </w:r>
      <w:r w:rsidRPr="0001508F">
        <w:rPr>
          <w:szCs w:val="24"/>
        </w:rPr>
        <w:tab/>
        <w:t>Section 507, Unlimited area building.</w:t>
      </w:r>
    </w:p>
    <w:p w14:paraId="7B8AD8C1" w14:textId="77777777" w:rsidR="0001508F" w:rsidRPr="0001508F" w:rsidRDefault="0001508F" w:rsidP="0001508F">
      <w:pPr>
        <w:widowControl w:val="0"/>
        <w:autoSpaceDE w:val="0"/>
        <w:autoSpaceDN w:val="0"/>
        <w:adjustRightInd w:val="0"/>
        <w:spacing w:before="50" w:after="50"/>
        <w:ind w:left="720" w:hanging="360"/>
        <w:rPr>
          <w:szCs w:val="24"/>
        </w:rPr>
      </w:pPr>
      <w:r w:rsidRPr="0001508F">
        <w:rPr>
          <w:szCs w:val="24"/>
        </w:rPr>
        <w:t>b.</w:t>
      </w:r>
      <w:r w:rsidRPr="0001508F">
        <w:rPr>
          <w:szCs w:val="24"/>
        </w:rPr>
        <w:tab/>
        <w:t>See Section 903.2 for the minimum thresholds for protection by an automatic sprinkler system for specific occupancies.</w:t>
      </w:r>
    </w:p>
    <w:p w14:paraId="18AA5303" w14:textId="77777777" w:rsidR="0001508F" w:rsidRPr="0001508F" w:rsidRDefault="0001508F" w:rsidP="0001508F">
      <w:pPr>
        <w:widowControl w:val="0"/>
        <w:autoSpaceDE w:val="0"/>
        <w:autoSpaceDN w:val="0"/>
        <w:adjustRightInd w:val="0"/>
        <w:spacing w:before="50" w:after="50"/>
        <w:ind w:left="720" w:hanging="360"/>
        <w:rPr>
          <w:szCs w:val="24"/>
        </w:rPr>
      </w:pPr>
      <w:r w:rsidRPr="0001508F">
        <w:rPr>
          <w:szCs w:val="24"/>
        </w:rPr>
        <w:t>c.</w:t>
      </w:r>
      <w:r w:rsidRPr="0001508F">
        <w:rPr>
          <w:szCs w:val="24"/>
        </w:rPr>
        <w:tab/>
        <w:t>The NS value is only for use in buildings not required by this code to be equipped throughout with an automatic sprinkler system.</w:t>
      </w:r>
    </w:p>
    <w:bookmarkEnd w:id="289"/>
    <w:p w14:paraId="593F46F8" w14:textId="77777777" w:rsidR="0001508F" w:rsidRPr="0001508F" w:rsidRDefault="0001508F" w:rsidP="0001508F">
      <w:pPr>
        <w:widowControl w:val="0"/>
        <w:autoSpaceDE w:val="0"/>
        <w:autoSpaceDN w:val="0"/>
        <w:adjustRightInd w:val="0"/>
        <w:spacing w:before="50" w:after="50"/>
        <w:ind w:left="720" w:hanging="360"/>
        <w:rPr>
          <w:szCs w:val="24"/>
        </w:rPr>
      </w:pPr>
      <w:r w:rsidRPr="0001508F">
        <w:rPr>
          <w:szCs w:val="24"/>
        </w:rPr>
        <w:t>d.</w:t>
      </w:r>
      <w:r w:rsidRPr="0001508F">
        <w:rPr>
          <w:szCs w:val="24"/>
        </w:rPr>
        <w:tab/>
        <w:t>For open parking structures, see Section 406.5.</w:t>
      </w:r>
    </w:p>
    <w:p w14:paraId="6B9290BA" w14:textId="77777777" w:rsidR="0001508F" w:rsidRPr="0001508F" w:rsidRDefault="0001508F" w:rsidP="0001508F">
      <w:pPr>
        <w:widowControl w:val="0"/>
        <w:autoSpaceDE w:val="0"/>
        <w:autoSpaceDN w:val="0"/>
        <w:adjustRightInd w:val="0"/>
        <w:spacing w:before="50" w:after="50"/>
        <w:ind w:left="720" w:hanging="360"/>
        <w:rPr>
          <w:szCs w:val="24"/>
        </w:rPr>
      </w:pPr>
      <w:r w:rsidRPr="0001508F">
        <w:rPr>
          <w:szCs w:val="24"/>
        </w:rPr>
        <w:t>e.</w:t>
      </w:r>
      <w:r w:rsidRPr="0001508F">
        <w:rPr>
          <w:szCs w:val="24"/>
        </w:rPr>
        <w:tab/>
        <w:t>For private garages, see Section 406.3.</w:t>
      </w:r>
    </w:p>
    <w:p w14:paraId="70C71A57" w14:textId="77777777" w:rsidR="0001508F" w:rsidRPr="0001508F" w:rsidRDefault="0001508F" w:rsidP="0001508F">
      <w:pPr>
        <w:widowControl w:val="0"/>
        <w:autoSpaceDE w:val="0"/>
        <w:autoSpaceDN w:val="0"/>
        <w:adjustRightInd w:val="0"/>
        <w:spacing w:before="50" w:after="50"/>
        <w:ind w:left="720" w:hanging="360"/>
        <w:rPr>
          <w:szCs w:val="24"/>
        </w:rPr>
      </w:pPr>
      <w:r w:rsidRPr="0001508F">
        <w:rPr>
          <w:szCs w:val="24"/>
        </w:rPr>
        <w:t>f.</w:t>
      </w:r>
      <w:r w:rsidRPr="0001508F">
        <w:rPr>
          <w:szCs w:val="24"/>
        </w:rPr>
        <w:tab/>
        <w:t>See Section 415.8 for limitations.</w:t>
      </w:r>
    </w:p>
    <w:p w14:paraId="214A75AA" w14:textId="77777777" w:rsidR="0001508F" w:rsidRPr="0001508F" w:rsidRDefault="0001508F" w:rsidP="0001508F">
      <w:pPr>
        <w:widowControl w:val="0"/>
        <w:autoSpaceDE w:val="0"/>
        <w:autoSpaceDN w:val="0"/>
        <w:adjustRightInd w:val="0"/>
        <w:spacing w:before="50" w:after="50"/>
        <w:ind w:left="720" w:hanging="360"/>
        <w:rPr>
          <w:szCs w:val="24"/>
        </w:rPr>
      </w:pPr>
      <w:r w:rsidRPr="0001508F">
        <w:rPr>
          <w:szCs w:val="24"/>
        </w:rPr>
        <w:t>g.</w:t>
      </w:r>
      <w:r w:rsidRPr="0001508F">
        <w:rPr>
          <w:szCs w:val="24"/>
        </w:rPr>
        <w:tab/>
        <w:t>See Exception 9 of Section D105.1 for allowances of Type VA and VB construction for R-3 occupancies.</w:t>
      </w:r>
    </w:p>
    <w:p w14:paraId="4090D08D" w14:textId="77777777" w:rsidR="0001508F" w:rsidRPr="0001508F" w:rsidRDefault="0001508F" w:rsidP="0001508F">
      <w:pPr>
        <w:widowControl w:val="0"/>
        <w:autoSpaceDE w:val="0"/>
        <w:autoSpaceDN w:val="0"/>
        <w:adjustRightInd w:val="0"/>
        <w:spacing w:before="50" w:after="50"/>
        <w:ind w:left="720" w:hanging="360"/>
        <w:rPr>
          <w:szCs w:val="24"/>
        </w:rPr>
      </w:pPr>
      <w:r w:rsidRPr="0001508F">
        <w:rPr>
          <w:szCs w:val="24"/>
        </w:rPr>
        <w:t>h.</w:t>
      </w:r>
      <w:r w:rsidRPr="0001508F">
        <w:rPr>
          <w:szCs w:val="24"/>
        </w:rPr>
        <w:tab/>
        <w:t>See Exception 12 of Section D105.1 for allowances of Type VA construction and height limitations for R-3 occupancies in Lower Density Growth Management Areas.</w:t>
      </w:r>
    </w:p>
    <w:p w14:paraId="0E9D8A3E" w14:textId="77777777" w:rsidR="0001508F" w:rsidRPr="0001508F" w:rsidRDefault="0001508F" w:rsidP="0001508F">
      <w:pPr>
        <w:widowControl w:val="0"/>
        <w:autoSpaceDE w:val="0"/>
        <w:autoSpaceDN w:val="0"/>
        <w:adjustRightInd w:val="0"/>
        <w:spacing w:before="50" w:after="50"/>
        <w:ind w:left="720" w:hanging="360"/>
        <w:rPr>
          <w:spacing w:val="4"/>
          <w:szCs w:val="24"/>
        </w:rPr>
      </w:pPr>
      <w:r w:rsidRPr="0001508F">
        <w:rPr>
          <w:spacing w:val="4"/>
          <w:szCs w:val="24"/>
        </w:rPr>
        <w:t>i.</w:t>
      </w:r>
      <w:r w:rsidRPr="0001508F">
        <w:rPr>
          <w:spacing w:val="4"/>
          <w:szCs w:val="24"/>
        </w:rPr>
        <w:tab/>
      </w:r>
      <w:r w:rsidRPr="0001508F">
        <w:rPr>
          <w:szCs w:val="24"/>
        </w:rPr>
        <w:t>See Section 403.2.1 for additional requirements for high-rise buildings</w:t>
      </w:r>
      <w:r w:rsidRPr="0001508F">
        <w:rPr>
          <w:spacing w:val="4"/>
          <w:szCs w:val="24"/>
        </w:rPr>
        <w:t>.</w:t>
      </w:r>
    </w:p>
    <w:p w14:paraId="4CCD17E8" w14:textId="77777777" w:rsidR="0001508F" w:rsidRPr="0001508F" w:rsidRDefault="0001508F" w:rsidP="0001508F">
      <w:pPr>
        <w:widowControl w:val="0"/>
        <w:autoSpaceDE w:val="0"/>
        <w:autoSpaceDN w:val="0"/>
        <w:adjustRightInd w:val="0"/>
        <w:spacing w:before="50" w:after="50"/>
        <w:ind w:left="720" w:hanging="360"/>
        <w:rPr>
          <w:spacing w:val="4"/>
          <w:szCs w:val="24"/>
        </w:rPr>
      </w:pPr>
      <w:r w:rsidRPr="0001508F">
        <w:rPr>
          <w:szCs w:val="24"/>
        </w:rPr>
        <w:t>j.</w:t>
      </w:r>
      <w:r w:rsidRPr="0001508F">
        <w:rPr>
          <w:szCs w:val="24"/>
        </w:rPr>
        <w:tab/>
        <w:t>Type IV construction utilizing cross-laminated timber or structural composite lumber shall be sprinklered where required by Section 903.2.13</w:t>
      </w:r>
      <w:r w:rsidRPr="0001508F">
        <w:rPr>
          <w:spacing w:val="4"/>
          <w:szCs w:val="24"/>
        </w:rPr>
        <w:t>.</w:t>
      </w:r>
    </w:p>
    <w:p w14:paraId="731AFFA3" w14:textId="77777777" w:rsidR="0001508F" w:rsidRPr="0001508F" w:rsidRDefault="0001508F" w:rsidP="0001508F">
      <w:pPr>
        <w:autoSpaceDE w:val="0"/>
        <w:autoSpaceDN w:val="0"/>
        <w:adjustRightInd w:val="0"/>
        <w:spacing w:before="50" w:after="120"/>
        <w:ind w:left="720" w:hanging="360"/>
        <w:rPr>
          <w:szCs w:val="24"/>
          <w:u w:val="single"/>
        </w:rPr>
      </w:pPr>
      <w:r w:rsidRPr="0001508F">
        <w:rPr>
          <w:szCs w:val="24"/>
          <w:u w:val="single"/>
        </w:rPr>
        <w:t>k.</w:t>
      </w:r>
      <w:r w:rsidRPr="0001508F">
        <w:rPr>
          <w:szCs w:val="24"/>
          <w:u w:val="single"/>
        </w:rPr>
        <w:tab/>
        <w:t xml:space="preserve">For existing high-rise buildings, refer to the </w:t>
      </w:r>
      <w:r w:rsidRPr="0001508F">
        <w:rPr>
          <w:i/>
          <w:iCs/>
          <w:szCs w:val="24"/>
          <w:u w:val="single"/>
        </w:rPr>
        <w:t>New York City Existing Building Code</w:t>
      </w:r>
      <w:r w:rsidRPr="0001508F">
        <w:rPr>
          <w:szCs w:val="24"/>
          <w:u w:val="single"/>
        </w:rPr>
        <w:t>.</w:t>
      </w:r>
    </w:p>
    <w:p w14:paraId="6DCE00AE" w14:textId="77777777" w:rsidR="0001508F" w:rsidRPr="0001508F" w:rsidRDefault="0001508F" w:rsidP="0001508F">
      <w:pPr>
        <w:widowControl w:val="0"/>
        <w:spacing w:before="120" w:after="120"/>
        <w:rPr>
          <w:b/>
          <w:szCs w:val="24"/>
        </w:rPr>
      </w:pPr>
    </w:p>
    <w:tbl>
      <w:tblPr>
        <w:tblStyle w:val="TableGrid112"/>
        <w:tblW w:w="0" w:type="auto"/>
        <w:jc w:val="center"/>
        <w:tblInd w:w="0" w:type="dxa"/>
        <w:tblLook w:val="04A0" w:firstRow="1" w:lastRow="0" w:firstColumn="1" w:lastColumn="0" w:noHBand="0" w:noVBand="1"/>
      </w:tblPr>
      <w:tblGrid>
        <w:gridCol w:w="2284"/>
        <w:gridCol w:w="1710"/>
        <w:gridCol w:w="642"/>
        <w:gridCol w:w="643"/>
        <w:gridCol w:w="574"/>
        <w:gridCol w:w="521"/>
        <w:gridCol w:w="573"/>
        <w:gridCol w:w="620"/>
        <w:gridCol w:w="857"/>
        <w:gridCol w:w="477"/>
        <w:gridCol w:w="459"/>
      </w:tblGrid>
      <w:tr w:rsidR="0001508F" w:rsidRPr="0001508F" w14:paraId="0FD372CC" w14:textId="77777777" w:rsidTr="00732DDC">
        <w:trPr>
          <w:tblHeader/>
          <w:jc w:val="center"/>
        </w:trPr>
        <w:tc>
          <w:tcPr>
            <w:tcW w:w="9360" w:type="dxa"/>
            <w:gridSpan w:val="11"/>
            <w:tcBorders>
              <w:top w:val="nil"/>
              <w:left w:val="nil"/>
              <w:bottom w:val="single" w:sz="4" w:space="0" w:color="auto"/>
              <w:right w:val="nil"/>
            </w:tcBorders>
            <w:vAlign w:val="bottom"/>
            <w:hideMark/>
          </w:tcPr>
          <w:p w14:paraId="12FD05C8" w14:textId="77777777" w:rsidR="0001508F" w:rsidRPr="0001508F" w:rsidRDefault="0001508F" w:rsidP="0001508F">
            <w:pPr>
              <w:widowControl w:val="0"/>
              <w:spacing w:before="120" w:after="120"/>
              <w:jc w:val="center"/>
              <w:outlineLvl w:val="0"/>
              <w:rPr>
                <w:b/>
                <w:caps/>
                <w:szCs w:val="24"/>
              </w:rPr>
            </w:pPr>
            <w:r w:rsidRPr="0001508F">
              <w:rPr>
                <w:b/>
                <w:caps/>
                <w:szCs w:val="24"/>
              </w:rPr>
              <w:t>TABLE 504.4</w:t>
            </w:r>
            <w:r w:rsidRPr="0001508F">
              <w:rPr>
                <w:b/>
                <w:szCs w:val="24"/>
                <w:vertAlign w:val="superscript"/>
              </w:rPr>
              <w:t>a,b</w:t>
            </w:r>
            <w:r w:rsidRPr="0001508F">
              <w:rPr>
                <w:b/>
                <w:szCs w:val="24"/>
                <w:u w:val="single"/>
                <w:vertAlign w:val="superscript"/>
              </w:rPr>
              <w:t>, j</w:t>
            </w:r>
            <w:r w:rsidRPr="0001508F">
              <w:rPr>
                <w:b/>
                <w:caps/>
                <w:szCs w:val="24"/>
              </w:rPr>
              <w:br/>
              <w:t>ALLOWABLE NUMBER OF STORIES ABOVE GRADE PLANE</w:t>
            </w:r>
          </w:p>
        </w:tc>
      </w:tr>
      <w:tr w:rsidR="0001508F" w:rsidRPr="0001508F" w14:paraId="52F40148" w14:textId="77777777" w:rsidTr="00732DDC">
        <w:trPr>
          <w:tblHeader/>
          <w:jc w:val="center"/>
        </w:trPr>
        <w:tc>
          <w:tcPr>
            <w:tcW w:w="2111" w:type="dxa"/>
            <w:vMerge w:val="restart"/>
            <w:tcBorders>
              <w:top w:val="single" w:sz="4" w:space="0" w:color="auto"/>
              <w:left w:val="single" w:sz="4" w:space="0" w:color="auto"/>
              <w:bottom w:val="single" w:sz="4" w:space="0" w:color="auto"/>
              <w:right w:val="single" w:sz="4" w:space="0" w:color="auto"/>
            </w:tcBorders>
            <w:vAlign w:val="bottom"/>
            <w:hideMark/>
          </w:tcPr>
          <w:p w14:paraId="3DE7A4DF" w14:textId="77777777" w:rsidR="0001508F" w:rsidRPr="0001508F" w:rsidRDefault="0001508F" w:rsidP="0001508F">
            <w:pPr>
              <w:widowControl w:val="0"/>
              <w:kinsoku w:val="0"/>
              <w:spacing w:before="50" w:after="50"/>
              <w:jc w:val="center"/>
              <w:rPr>
                <w:b/>
                <w:szCs w:val="24"/>
              </w:rPr>
            </w:pPr>
            <w:r w:rsidRPr="0001508F">
              <w:rPr>
                <w:b/>
                <w:szCs w:val="24"/>
              </w:rPr>
              <w:t>OCCUPANCY CLASSIFICATION</w:t>
            </w:r>
          </w:p>
        </w:tc>
        <w:tc>
          <w:tcPr>
            <w:tcW w:w="7249" w:type="dxa"/>
            <w:gridSpan w:val="10"/>
            <w:tcBorders>
              <w:top w:val="single" w:sz="4" w:space="0" w:color="auto"/>
              <w:left w:val="single" w:sz="4" w:space="0" w:color="auto"/>
              <w:bottom w:val="single" w:sz="4" w:space="0" w:color="auto"/>
              <w:right w:val="single" w:sz="4" w:space="0" w:color="auto"/>
            </w:tcBorders>
            <w:hideMark/>
          </w:tcPr>
          <w:p w14:paraId="7AACD1A8" w14:textId="77777777" w:rsidR="0001508F" w:rsidRPr="0001508F" w:rsidRDefault="0001508F" w:rsidP="0001508F">
            <w:pPr>
              <w:widowControl w:val="0"/>
              <w:kinsoku w:val="0"/>
              <w:spacing w:before="50" w:after="50"/>
              <w:jc w:val="center"/>
              <w:rPr>
                <w:b/>
                <w:szCs w:val="24"/>
              </w:rPr>
            </w:pPr>
            <w:r w:rsidRPr="0001508F">
              <w:rPr>
                <w:b/>
                <w:szCs w:val="24"/>
              </w:rPr>
              <w:t>TYPE OF CONSTRUCTION</w:t>
            </w:r>
          </w:p>
        </w:tc>
      </w:tr>
      <w:tr w:rsidR="0001508F" w:rsidRPr="0001508F" w14:paraId="4BD08471" w14:textId="77777777" w:rsidTr="00732DDC">
        <w:trPr>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5E20CAE" w14:textId="77777777" w:rsidR="0001508F" w:rsidRPr="0001508F" w:rsidRDefault="0001508F" w:rsidP="0001508F">
            <w:pPr>
              <w:jc w:val="left"/>
              <w:rPr>
                <w:b/>
                <w:szCs w:val="24"/>
              </w:rPr>
            </w:pPr>
          </w:p>
        </w:tc>
        <w:tc>
          <w:tcPr>
            <w:tcW w:w="1586" w:type="dxa"/>
            <w:vMerge w:val="restart"/>
            <w:tcBorders>
              <w:top w:val="single" w:sz="4" w:space="0" w:color="auto"/>
              <w:left w:val="single" w:sz="4" w:space="0" w:color="auto"/>
              <w:bottom w:val="single" w:sz="4" w:space="0" w:color="auto"/>
              <w:right w:val="single" w:sz="4" w:space="0" w:color="auto"/>
            </w:tcBorders>
            <w:vAlign w:val="bottom"/>
            <w:hideMark/>
          </w:tcPr>
          <w:p w14:paraId="7C0D7421" w14:textId="77777777" w:rsidR="0001508F" w:rsidRPr="0001508F" w:rsidRDefault="0001508F" w:rsidP="0001508F">
            <w:pPr>
              <w:widowControl w:val="0"/>
              <w:kinsoku w:val="0"/>
              <w:spacing w:before="50" w:after="50"/>
              <w:jc w:val="center"/>
              <w:rPr>
                <w:b/>
                <w:szCs w:val="24"/>
              </w:rPr>
            </w:pPr>
            <w:r w:rsidRPr="0001508F">
              <w:rPr>
                <w:b/>
                <w:szCs w:val="24"/>
              </w:rPr>
              <w:t>SEE FOOTNOTES</w:t>
            </w:r>
          </w:p>
        </w:tc>
        <w:tc>
          <w:tcPr>
            <w:tcW w:w="1369" w:type="dxa"/>
            <w:gridSpan w:val="2"/>
            <w:tcBorders>
              <w:top w:val="single" w:sz="4" w:space="0" w:color="auto"/>
              <w:left w:val="single" w:sz="4" w:space="0" w:color="auto"/>
              <w:bottom w:val="single" w:sz="4" w:space="0" w:color="auto"/>
              <w:right w:val="single" w:sz="4" w:space="0" w:color="auto"/>
            </w:tcBorders>
            <w:vAlign w:val="center"/>
            <w:hideMark/>
          </w:tcPr>
          <w:p w14:paraId="2B2D1F2F" w14:textId="77777777" w:rsidR="0001508F" w:rsidRPr="0001508F" w:rsidRDefault="0001508F" w:rsidP="0001508F">
            <w:pPr>
              <w:widowControl w:val="0"/>
              <w:kinsoku w:val="0"/>
              <w:spacing w:before="50" w:after="50"/>
              <w:jc w:val="center"/>
              <w:rPr>
                <w:b/>
                <w:szCs w:val="24"/>
              </w:rPr>
            </w:pPr>
            <w:r w:rsidRPr="0001508F">
              <w:rPr>
                <w:b/>
                <w:szCs w:val="24"/>
              </w:rPr>
              <w:t>TYPE I</w:t>
            </w:r>
          </w:p>
        </w:tc>
        <w:tc>
          <w:tcPr>
            <w:tcW w:w="1187" w:type="dxa"/>
            <w:gridSpan w:val="2"/>
            <w:tcBorders>
              <w:top w:val="single" w:sz="4" w:space="0" w:color="auto"/>
              <w:left w:val="single" w:sz="4" w:space="0" w:color="auto"/>
              <w:bottom w:val="single" w:sz="4" w:space="0" w:color="auto"/>
              <w:right w:val="single" w:sz="4" w:space="0" w:color="auto"/>
            </w:tcBorders>
            <w:vAlign w:val="center"/>
            <w:hideMark/>
          </w:tcPr>
          <w:p w14:paraId="7D121806" w14:textId="77777777" w:rsidR="0001508F" w:rsidRPr="0001508F" w:rsidRDefault="0001508F" w:rsidP="0001508F">
            <w:pPr>
              <w:widowControl w:val="0"/>
              <w:kinsoku w:val="0"/>
              <w:spacing w:before="50" w:after="50"/>
              <w:jc w:val="center"/>
              <w:rPr>
                <w:b/>
                <w:szCs w:val="24"/>
              </w:rPr>
            </w:pPr>
            <w:r w:rsidRPr="0001508F">
              <w:rPr>
                <w:b/>
                <w:szCs w:val="24"/>
              </w:rPr>
              <w:t>TYPE II</w:t>
            </w:r>
          </w:p>
        </w:tc>
        <w:tc>
          <w:tcPr>
            <w:tcW w:w="1325" w:type="dxa"/>
            <w:gridSpan w:val="2"/>
            <w:tcBorders>
              <w:top w:val="single" w:sz="4" w:space="0" w:color="auto"/>
              <w:left w:val="single" w:sz="4" w:space="0" w:color="auto"/>
              <w:bottom w:val="single" w:sz="4" w:space="0" w:color="auto"/>
              <w:right w:val="single" w:sz="4" w:space="0" w:color="auto"/>
            </w:tcBorders>
            <w:vAlign w:val="center"/>
            <w:hideMark/>
          </w:tcPr>
          <w:p w14:paraId="3A30A919" w14:textId="77777777" w:rsidR="0001508F" w:rsidRPr="0001508F" w:rsidRDefault="0001508F" w:rsidP="0001508F">
            <w:pPr>
              <w:widowControl w:val="0"/>
              <w:kinsoku w:val="0"/>
              <w:spacing w:before="50" w:after="50"/>
              <w:jc w:val="center"/>
              <w:rPr>
                <w:b/>
                <w:szCs w:val="24"/>
              </w:rPr>
            </w:pPr>
            <w:r w:rsidRPr="0001508F">
              <w:rPr>
                <w:b/>
                <w:szCs w:val="24"/>
              </w:rPr>
              <w:t>TYPE III</w:t>
            </w:r>
          </w:p>
        </w:tc>
        <w:tc>
          <w:tcPr>
            <w:tcW w:w="815" w:type="dxa"/>
            <w:tcBorders>
              <w:top w:val="single" w:sz="4" w:space="0" w:color="auto"/>
              <w:left w:val="single" w:sz="4" w:space="0" w:color="auto"/>
              <w:bottom w:val="single" w:sz="4" w:space="0" w:color="auto"/>
              <w:right w:val="single" w:sz="4" w:space="0" w:color="auto"/>
            </w:tcBorders>
            <w:vAlign w:val="center"/>
            <w:hideMark/>
          </w:tcPr>
          <w:p w14:paraId="77D3F4ED" w14:textId="77777777" w:rsidR="0001508F" w:rsidRPr="0001508F" w:rsidRDefault="0001508F" w:rsidP="0001508F">
            <w:pPr>
              <w:widowControl w:val="0"/>
              <w:kinsoku w:val="0"/>
              <w:spacing w:before="50" w:after="50"/>
              <w:jc w:val="center"/>
              <w:rPr>
                <w:b/>
                <w:szCs w:val="24"/>
              </w:rPr>
            </w:pPr>
            <w:r w:rsidRPr="0001508F">
              <w:rPr>
                <w:b/>
                <w:szCs w:val="24"/>
              </w:rPr>
              <w:t>TYPE IV</w:t>
            </w:r>
            <w:r w:rsidRPr="0001508F">
              <w:rPr>
                <w:b/>
                <w:szCs w:val="24"/>
                <w:vertAlign w:val="superscript"/>
              </w:rPr>
              <w:t>i</w:t>
            </w:r>
          </w:p>
        </w:tc>
        <w:tc>
          <w:tcPr>
            <w:tcW w:w="967" w:type="dxa"/>
            <w:gridSpan w:val="2"/>
            <w:tcBorders>
              <w:top w:val="single" w:sz="4" w:space="0" w:color="auto"/>
              <w:left w:val="single" w:sz="4" w:space="0" w:color="auto"/>
              <w:bottom w:val="single" w:sz="4" w:space="0" w:color="auto"/>
              <w:right w:val="single" w:sz="4" w:space="0" w:color="auto"/>
            </w:tcBorders>
            <w:vAlign w:val="center"/>
            <w:hideMark/>
          </w:tcPr>
          <w:p w14:paraId="196827EE" w14:textId="77777777" w:rsidR="0001508F" w:rsidRPr="0001508F" w:rsidRDefault="0001508F" w:rsidP="0001508F">
            <w:pPr>
              <w:widowControl w:val="0"/>
              <w:kinsoku w:val="0"/>
              <w:spacing w:before="50" w:after="50"/>
              <w:jc w:val="center"/>
              <w:rPr>
                <w:b/>
                <w:szCs w:val="24"/>
              </w:rPr>
            </w:pPr>
            <w:r w:rsidRPr="0001508F">
              <w:rPr>
                <w:b/>
                <w:szCs w:val="24"/>
              </w:rPr>
              <w:t>TYPE V</w:t>
            </w:r>
          </w:p>
        </w:tc>
      </w:tr>
      <w:tr w:rsidR="0001508F" w:rsidRPr="0001508F" w14:paraId="0611F188" w14:textId="77777777" w:rsidTr="00732DDC">
        <w:trPr>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75B89F" w14:textId="77777777" w:rsidR="0001508F" w:rsidRPr="0001508F" w:rsidRDefault="0001508F" w:rsidP="0001508F">
            <w:pPr>
              <w:jc w:val="left"/>
              <w:rPr>
                <w:b/>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386FDF" w14:textId="77777777" w:rsidR="0001508F" w:rsidRPr="0001508F" w:rsidRDefault="0001508F" w:rsidP="0001508F">
            <w:pPr>
              <w:jc w:val="left"/>
              <w:rPr>
                <w:b/>
                <w:szCs w:val="24"/>
              </w:rPr>
            </w:pPr>
          </w:p>
        </w:tc>
        <w:tc>
          <w:tcPr>
            <w:tcW w:w="684" w:type="dxa"/>
            <w:tcBorders>
              <w:top w:val="single" w:sz="4" w:space="0" w:color="auto"/>
              <w:left w:val="single" w:sz="4" w:space="0" w:color="auto"/>
              <w:bottom w:val="single" w:sz="4" w:space="0" w:color="auto"/>
              <w:right w:val="single" w:sz="4" w:space="0" w:color="auto"/>
            </w:tcBorders>
            <w:vAlign w:val="center"/>
            <w:hideMark/>
          </w:tcPr>
          <w:p w14:paraId="14289C20" w14:textId="77777777" w:rsidR="0001508F" w:rsidRPr="0001508F" w:rsidRDefault="0001508F" w:rsidP="0001508F">
            <w:pPr>
              <w:widowControl w:val="0"/>
              <w:kinsoku w:val="0"/>
              <w:spacing w:before="50" w:after="50"/>
              <w:jc w:val="center"/>
              <w:rPr>
                <w:b/>
                <w:szCs w:val="24"/>
              </w:rPr>
            </w:pPr>
            <w:r w:rsidRPr="0001508F">
              <w:rPr>
                <w:b/>
                <w:szCs w:val="24"/>
              </w:rPr>
              <w:t>A</w:t>
            </w:r>
          </w:p>
        </w:tc>
        <w:tc>
          <w:tcPr>
            <w:tcW w:w="685" w:type="dxa"/>
            <w:tcBorders>
              <w:top w:val="single" w:sz="4" w:space="0" w:color="auto"/>
              <w:left w:val="single" w:sz="4" w:space="0" w:color="auto"/>
              <w:bottom w:val="single" w:sz="4" w:space="0" w:color="auto"/>
              <w:right w:val="single" w:sz="4" w:space="0" w:color="auto"/>
            </w:tcBorders>
            <w:vAlign w:val="center"/>
            <w:hideMark/>
          </w:tcPr>
          <w:p w14:paraId="74FA307E" w14:textId="77777777" w:rsidR="0001508F" w:rsidRPr="0001508F" w:rsidRDefault="0001508F" w:rsidP="0001508F">
            <w:pPr>
              <w:widowControl w:val="0"/>
              <w:kinsoku w:val="0"/>
              <w:spacing w:before="50" w:after="50"/>
              <w:jc w:val="center"/>
              <w:rPr>
                <w:b/>
                <w:szCs w:val="24"/>
              </w:rPr>
            </w:pPr>
            <w:r w:rsidRPr="0001508F">
              <w:rPr>
                <w:b/>
                <w:szCs w:val="24"/>
              </w:rPr>
              <w:t>B</w:t>
            </w:r>
          </w:p>
        </w:tc>
        <w:tc>
          <w:tcPr>
            <w:tcW w:w="623" w:type="dxa"/>
            <w:tcBorders>
              <w:top w:val="single" w:sz="4" w:space="0" w:color="auto"/>
              <w:left w:val="single" w:sz="4" w:space="0" w:color="auto"/>
              <w:bottom w:val="single" w:sz="4" w:space="0" w:color="auto"/>
              <w:right w:val="single" w:sz="4" w:space="0" w:color="auto"/>
            </w:tcBorders>
            <w:vAlign w:val="center"/>
            <w:hideMark/>
          </w:tcPr>
          <w:p w14:paraId="3D234CCE" w14:textId="77777777" w:rsidR="0001508F" w:rsidRPr="0001508F" w:rsidRDefault="0001508F" w:rsidP="0001508F">
            <w:pPr>
              <w:widowControl w:val="0"/>
              <w:kinsoku w:val="0"/>
              <w:spacing w:before="50" w:after="50"/>
              <w:jc w:val="center"/>
              <w:rPr>
                <w:b/>
                <w:szCs w:val="24"/>
              </w:rPr>
            </w:pPr>
            <w:r w:rsidRPr="0001508F">
              <w:rPr>
                <w:b/>
                <w:szCs w:val="24"/>
              </w:rPr>
              <w:t>A</w:t>
            </w:r>
          </w:p>
        </w:tc>
        <w:tc>
          <w:tcPr>
            <w:tcW w:w="564" w:type="dxa"/>
            <w:tcBorders>
              <w:top w:val="single" w:sz="4" w:space="0" w:color="auto"/>
              <w:left w:val="single" w:sz="4" w:space="0" w:color="auto"/>
              <w:bottom w:val="single" w:sz="4" w:space="0" w:color="auto"/>
              <w:right w:val="single" w:sz="4" w:space="0" w:color="auto"/>
            </w:tcBorders>
            <w:vAlign w:val="center"/>
            <w:hideMark/>
          </w:tcPr>
          <w:p w14:paraId="0E465E92" w14:textId="77777777" w:rsidR="0001508F" w:rsidRPr="0001508F" w:rsidRDefault="0001508F" w:rsidP="0001508F">
            <w:pPr>
              <w:widowControl w:val="0"/>
              <w:kinsoku w:val="0"/>
              <w:spacing w:before="50" w:after="50"/>
              <w:jc w:val="center"/>
              <w:rPr>
                <w:b/>
                <w:szCs w:val="24"/>
              </w:rPr>
            </w:pPr>
            <w:r w:rsidRPr="0001508F">
              <w:rPr>
                <w:b/>
                <w:szCs w:val="24"/>
              </w:rPr>
              <w:t>B</w:t>
            </w:r>
          </w:p>
        </w:tc>
        <w:tc>
          <w:tcPr>
            <w:tcW w:w="623" w:type="dxa"/>
            <w:tcBorders>
              <w:top w:val="single" w:sz="4" w:space="0" w:color="auto"/>
              <w:left w:val="single" w:sz="4" w:space="0" w:color="auto"/>
              <w:bottom w:val="single" w:sz="4" w:space="0" w:color="auto"/>
              <w:right w:val="single" w:sz="4" w:space="0" w:color="auto"/>
            </w:tcBorders>
            <w:vAlign w:val="center"/>
            <w:hideMark/>
          </w:tcPr>
          <w:p w14:paraId="3CA6B173" w14:textId="77777777" w:rsidR="0001508F" w:rsidRPr="0001508F" w:rsidRDefault="0001508F" w:rsidP="0001508F">
            <w:pPr>
              <w:widowControl w:val="0"/>
              <w:kinsoku w:val="0"/>
              <w:spacing w:before="50" w:after="50"/>
              <w:jc w:val="center"/>
              <w:rPr>
                <w:b/>
                <w:szCs w:val="24"/>
              </w:rPr>
            </w:pPr>
            <w:r w:rsidRPr="0001508F">
              <w:rPr>
                <w:b/>
                <w:szCs w:val="24"/>
              </w:rPr>
              <w:t>A</w:t>
            </w:r>
          </w:p>
        </w:tc>
        <w:tc>
          <w:tcPr>
            <w:tcW w:w="702" w:type="dxa"/>
            <w:tcBorders>
              <w:top w:val="single" w:sz="4" w:space="0" w:color="auto"/>
              <w:left w:val="single" w:sz="4" w:space="0" w:color="auto"/>
              <w:bottom w:val="single" w:sz="4" w:space="0" w:color="auto"/>
              <w:right w:val="single" w:sz="4" w:space="0" w:color="auto"/>
            </w:tcBorders>
            <w:vAlign w:val="center"/>
            <w:hideMark/>
          </w:tcPr>
          <w:p w14:paraId="61F25B46" w14:textId="77777777" w:rsidR="0001508F" w:rsidRPr="0001508F" w:rsidRDefault="0001508F" w:rsidP="0001508F">
            <w:pPr>
              <w:widowControl w:val="0"/>
              <w:kinsoku w:val="0"/>
              <w:spacing w:before="50" w:after="50"/>
              <w:jc w:val="center"/>
              <w:rPr>
                <w:b/>
                <w:szCs w:val="24"/>
              </w:rPr>
            </w:pPr>
            <w:r w:rsidRPr="0001508F">
              <w:rPr>
                <w:b/>
                <w:szCs w:val="24"/>
              </w:rPr>
              <w:t>B</w:t>
            </w:r>
          </w:p>
        </w:tc>
        <w:tc>
          <w:tcPr>
            <w:tcW w:w="815" w:type="dxa"/>
            <w:tcBorders>
              <w:top w:val="single" w:sz="4" w:space="0" w:color="auto"/>
              <w:left w:val="single" w:sz="4" w:space="0" w:color="auto"/>
              <w:bottom w:val="single" w:sz="4" w:space="0" w:color="auto"/>
              <w:right w:val="single" w:sz="4" w:space="0" w:color="auto"/>
            </w:tcBorders>
            <w:vAlign w:val="center"/>
            <w:hideMark/>
          </w:tcPr>
          <w:p w14:paraId="29A465BF" w14:textId="77777777" w:rsidR="0001508F" w:rsidRPr="0001508F" w:rsidRDefault="0001508F" w:rsidP="0001508F">
            <w:pPr>
              <w:widowControl w:val="0"/>
              <w:kinsoku w:val="0"/>
              <w:spacing w:before="50" w:after="50"/>
              <w:jc w:val="center"/>
              <w:rPr>
                <w:b/>
                <w:szCs w:val="24"/>
              </w:rPr>
            </w:pPr>
            <w:r w:rsidRPr="0001508F">
              <w:rPr>
                <w:b/>
                <w:szCs w:val="24"/>
              </w:rPr>
              <w:t>HT</w:t>
            </w:r>
          </w:p>
        </w:tc>
        <w:tc>
          <w:tcPr>
            <w:tcW w:w="489" w:type="dxa"/>
            <w:tcBorders>
              <w:top w:val="single" w:sz="4" w:space="0" w:color="auto"/>
              <w:left w:val="single" w:sz="4" w:space="0" w:color="auto"/>
              <w:bottom w:val="single" w:sz="4" w:space="0" w:color="auto"/>
              <w:right w:val="single" w:sz="4" w:space="0" w:color="auto"/>
            </w:tcBorders>
            <w:vAlign w:val="center"/>
            <w:hideMark/>
          </w:tcPr>
          <w:p w14:paraId="22E017A5" w14:textId="77777777" w:rsidR="0001508F" w:rsidRPr="0001508F" w:rsidRDefault="0001508F" w:rsidP="0001508F">
            <w:pPr>
              <w:widowControl w:val="0"/>
              <w:kinsoku w:val="0"/>
              <w:spacing w:before="50" w:after="50"/>
              <w:jc w:val="center"/>
              <w:rPr>
                <w:b/>
                <w:szCs w:val="24"/>
              </w:rPr>
            </w:pPr>
            <w:r w:rsidRPr="0001508F">
              <w:rPr>
                <w:b/>
                <w:szCs w:val="24"/>
              </w:rPr>
              <w:t>A</w:t>
            </w:r>
          </w:p>
        </w:tc>
        <w:tc>
          <w:tcPr>
            <w:tcW w:w="478" w:type="dxa"/>
            <w:tcBorders>
              <w:top w:val="single" w:sz="4" w:space="0" w:color="auto"/>
              <w:left w:val="single" w:sz="4" w:space="0" w:color="auto"/>
              <w:bottom w:val="single" w:sz="4" w:space="0" w:color="auto"/>
              <w:right w:val="single" w:sz="4" w:space="0" w:color="auto"/>
            </w:tcBorders>
            <w:vAlign w:val="center"/>
            <w:hideMark/>
          </w:tcPr>
          <w:p w14:paraId="09F7E4D2" w14:textId="77777777" w:rsidR="0001508F" w:rsidRPr="0001508F" w:rsidRDefault="0001508F" w:rsidP="0001508F">
            <w:pPr>
              <w:widowControl w:val="0"/>
              <w:kinsoku w:val="0"/>
              <w:spacing w:before="50" w:after="50"/>
              <w:jc w:val="center"/>
              <w:rPr>
                <w:b/>
                <w:szCs w:val="24"/>
              </w:rPr>
            </w:pPr>
            <w:r w:rsidRPr="0001508F">
              <w:rPr>
                <w:b/>
                <w:szCs w:val="24"/>
              </w:rPr>
              <w:t>B</w:t>
            </w:r>
          </w:p>
        </w:tc>
      </w:tr>
      <w:tr w:rsidR="0001508F" w:rsidRPr="0001508F" w14:paraId="6F0F0077" w14:textId="77777777" w:rsidTr="0001508F">
        <w:trPr>
          <w:jc w:val="center"/>
        </w:trPr>
        <w:tc>
          <w:tcPr>
            <w:tcW w:w="2111" w:type="dxa"/>
            <w:vMerge w:val="restart"/>
            <w:tcBorders>
              <w:top w:val="single" w:sz="4" w:space="0" w:color="auto"/>
              <w:left w:val="single" w:sz="4" w:space="0" w:color="auto"/>
              <w:bottom w:val="single" w:sz="4" w:space="0" w:color="auto"/>
              <w:right w:val="single" w:sz="4" w:space="0" w:color="auto"/>
            </w:tcBorders>
            <w:vAlign w:val="center"/>
            <w:hideMark/>
          </w:tcPr>
          <w:p w14:paraId="796BAC72" w14:textId="77777777" w:rsidR="0001508F" w:rsidRPr="0001508F" w:rsidRDefault="0001508F" w:rsidP="0001508F">
            <w:pPr>
              <w:widowControl w:val="0"/>
              <w:kinsoku w:val="0"/>
              <w:spacing w:before="50" w:after="50"/>
              <w:jc w:val="center"/>
              <w:rPr>
                <w:szCs w:val="24"/>
              </w:rPr>
            </w:pPr>
            <w:r w:rsidRPr="0001508F">
              <w:rPr>
                <w:szCs w:val="24"/>
              </w:rPr>
              <w:t>A-1</w:t>
            </w:r>
          </w:p>
        </w:tc>
        <w:tc>
          <w:tcPr>
            <w:tcW w:w="1586" w:type="dxa"/>
            <w:tcBorders>
              <w:top w:val="single" w:sz="4" w:space="0" w:color="auto"/>
              <w:left w:val="single" w:sz="4" w:space="0" w:color="auto"/>
              <w:bottom w:val="single" w:sz="4" w:space="0" w:color="auto"/>
              <w:right w:val="single" w:sz="4" w:space="0" w:color="auto"/>
            </w:tcBorders>
            <w:hideMark/>
          </w:tcPr>
          <w:p w14:paraId="32C37A8A" w14:textId="77777777" w:rsidR="0001508F" w:rsidRPr="0001508F" w:rsidRDefault="0001508F" w:rsidP="0001508F">
            <w:pPr>
              <w:widowControl w:val="0"/>
              <w:kinsoku w:val="0"/>
              <w:spacing w:before="50" w:after="50"/>
              <w:jc w:val="center"/>
              <w:rPr>
                <w:szCs w:val="24"/>
              </w:rPr>
            </w:pPr>
            <w:r w:rsidRPr="0001508F">
              <w:rPr>
                <w:szCs w:val="24"/>
              </w:rPr>
              <w:t>NS</w:t>
            </w:r>
            <w:r w:rsidRPr="0001508F">
              <w:rPr>
                <w:szCs w:val="24"/>
                <w:vertAlign w:val="superscript"/>
              </w:rPr>
              <w:t>b,c</w:t>
            </w:r>
          </w:p>
        </w:tc>
        <w:tc>
          <w:tcPr>
            <w:tcW w:w="684" w:type="dxa"/>
            <w:tcBorders>
              <w:top w:val="single" w:sz="4" w:space="0" w:color="auto"/>
              <w:left w:val="single" w:sz="4" w:space="0" w:color="auto"/>
              <w:bottom w:val="single" w:sz="4" w:space="0" w:color="auto"/>
              <w:right w:val="single" w:sz="4" w:space="0" w:color="auto"/>
            </w:tcBorders>
            <w:vAlign w:val="center"/>
            <w:hideMark/>
          </w:tcPr>
          <w:p w14:paraId="1040D3FB" w14:textId="77777777" w:rsidR="0001508F" w:rsidRPr="0001508F" w:rsidRDefault="0001508F" w:rsidP="0001508F">
            <w:pPr>
              <w:widowControl w:val="0"/>
              <w:kinsoku w:val="0"/>
              <w:spacing w:before="50" w:after="50"/>
              <w:jc w:val="center"/>
              <w:rPr>
                <w:szCs w:val="24"/>
              </w:rPr>
            </w:pPr>
            <w:r w:rsidRPr="0001508F">
              <w:rPr>
                <w:szCs w:val="24"/>
              </w:rPr>
              <w:t>UL</w:t>
            </w:r>
          </w:p>
        </w:tc>
        <w:tc>
          <w:tcPr>
            <w:tcW w:w="685" w:type="dxa"/>
            <w:tcBorders>
              <w:top w:val="single" w:sz="4" w:space="0" w:color="auto"/>
              <w:left w:val="single" w:sz="4" w:space="0" w:color="auto"/>
              <w:bottom w:val="single" w:sz="4" w:space="0" w:color="auto"/>
              <w:right w:val="single" w:sz="4" w:space="0" w:color="auto"/>
            </w:tcBorders>
            <w:vAlign w:val="center"/>
            <w:hideMark/>
          </w:tcPr>
          <w:p w14:paraId="2211017A" w14:textId="77777777" w:rsidR="0001508F" w:rsidRPr="0001508F" w:rsidRDefault="0001508F" w:rsidP="0001508F">
            <w:pPr>
              <w:widowControl w:val="0"/>
              <w:kinsoku w:val="0"/>
              <w:spacing w:before="50" w:after="50"/>
              <w:jc w:val="center"/>
              <w:rPr>
                <w:szCs w:val="24"/>
              </w:rPr>
            </w:pPr>
            <w:r w:rsidRPr="0001508F">
              <w:rPr>
                <w:szCs w:val="24"/>
              </w:rPr>
              <w:t>UL</w:t>
            </w:r>
          </w:p>
        </w:tc>
        <w:tc>
          <w:tcPr>
            <w:tcW w:w="623" w:type="dxa"/>
            <w:tcBorders>
              <w:top w:val="single" w:sz="4" w:space="0" w:color="auto"/>
              <w:left w:val="single" w:sz="4" w:space="0" w:color="auto"/>
              <w:bottom w:val="single" w:sz="4" w:space="0" w:color="auto"/>
              <w:right w:val="single" w:sz="4" w:space="0" w:color="auto"/>
            </w:tcBorders>
            <w:vAlign w:val="center"/>
            <w:hideMark/>
          </w:tcPr>
          <w:p w14:paraId="01726F21" w14:textId="77777777" w:rsidR="0001508F" w:rsidRPr="0001508F" w:rsidRDefault="0001508F" w:rsidP="0001508F">
            <w:pPr>
              <w:widowControl w:val="0"/>
              <w:kinsoku w:val="0"/>
              <w:spacing w:before="50" w:after="50"/>
              <w:jc w:val="center"/>
              <w:rPr>
                <w:szCs w:val="24"/>
              </w:rPr>
            </w:pPr>
            <w:r w:rsidRPr="0001508F">
              <w:rPr>
                <w:szCs w:val="24"/>
              </w:rPr>
              <w:t>6</w:t>
            </w:r>
          </w:p>
        </w:tc>
        <w:tc>
          <w:tcPr>
            <w:tcW w:w="564" w:type="dxa"/>
            <w:tcBorders>
              <w:top w:val="single" w:sz="4" w:space="0" w:color="auto"/>
              <w:left w:val="single" w:sz="4" w:space="0" w:color="auto"/>
              <w:bottom w:val="single" w:sz="4" w:space="0" w:color="auto"/>
              <w:right w:val="single" w:sz="4" w:space="0" w:color="auto"/>
            </w:tcBorders>
            <w:vAlign w:val="center"/>
            <w:hideMark/>
          </w:tcPr>
          <w:p w14:paraId="1E1DF53F" w14:textId="77777777" w:rsidR="0001508F" w:rsidRPr="0001508F" w:rsidRDefault="0001508F" w:rsidP="0001508F">
            <w:pPr>
              <w:widowControl w:val="0"/>
              <w:kinsoku w:val="0"/>
              <w:spacing w:before="50" w:after="50"/>
              <w:jc w:val="center"/>
              <w:rPr>
                <w:szCs w:val="24"/>
              </w:rPr>
            </w:pPr>
            <w:r w:rsidRPr="0001508F">
              <w:rPr>
                <w:szCs w:val="24"/>
              </w:rPr>
              <w:t>3</w:t>
            </w:r>
          </w:p>
        </w:tc>
        <w:tc>
          <w:tcPr>
            <w:tcW w:w="623" w:type="dxa"/>
            <w:tcBorders>
              <w:top w:val="single" w:sz="4" w:space="0" w:color="auto"/>
              <w:left w:val="single" w:sz="4" w:space="0" w:color="auto"/>
              <w:bottom w:val="single" w:sz="4" w:space="0" w:color="auto"/>
              <w:right w:val="single" w:sz="4" w:space="0" w:color="auto"/>
            </w:tcBorders>
            <w:vAlign w:val="center"/>
            <w:hideMark/>
          </w:tcPr>
          <w:p w14:paraId="7E562476" w14:textId="77777777" w:rsidR="0001508F" w:rsidRPr="0001508F" w:rsidRDefault="0001508F" w:rsidP="0001508F">
            <w:pPr>
              <w:widowControl w:val="0"/>
              <w:kinsoku w:val="0"/>
              <w:spacing w:before="50" w:after="50"/>
              <w:jc w:val="center"/>
              <w:rPr>
                <w:szCs w:val="24"/>
              </w:rPr>
            </w:pPr>
            <w:r w:rsidRPr="0001508F">
              <w:rPr>
                <w:szCs w:val="24"/>
              </w:rPr>
              <w:t>6</w:t>
            </w:r>
          </w:p>
        </w:tc>
        <w:tc>
          <w:tcPr>
            <w:tcW w:w="702" w:type="dxa"/>
            <w:tcBorders>
              <w:top w:val="single" w:sz="4" w:space="0" w:color="auto"/>
              <w:left w:val="single" w:sz="4" w:space="0" w:color="auto"/>
              <w:bottom w:val="single" w:sz="4" w:space="0" w:color="auto"/>
              <w:right w:val="single" w:sz="4" w:space="0" w:color="auto"/>
            </w:tcBorders>
            <w:shd w:val="clear" w:color="auto" w:fill="7F7F7F"/>
            <w:vAlign w:val="center"/>
            <w:hideMark/>
          </w:tcPr>
          <w:p w14:paraId="49C1BF83" w14:textId="77777777" w:rsidR="0001508F" w:rsidRPr="0001508F" w:rsidRDefault="0001508F" w:rsidP="0001508F">
            <w:pPr>
              <w:widowControl w:val="0"/>
              <w:kinsoku w:val="0"/>
              <w:spacing w:before="50" w:after="50"/>
              <w:jc w:val="center"/>
              <w:rPr>
                <w:szCs w:val="24"/>
              </w:rPr>
            </w:pPr>
            <w:r w:rsidRPr="0001508F">
              <w:rPr>
                <w:szCs w:val="24"/>
              </w:rPr>
              <w:t>3</w:t>
            </w:r>
          </w:p>
        </w:tc>
        <w:tc>
          <w:tcPr>
            <w:tcW w:w="815" w:type="dxa"/>
            <w:tcBorders>
              <w:top w:val="single" w:sz="4" w:space="0" w:color="auto"/>
              <w:left w:val="single" w:sz="4" w:space="0" w:color="auto"/>
              <w:bottom w:val="single" w:sz="4" w:space="0" w:color="auto"/>
              <w:right w:val="single" w:sz="4" w:space="0" w:color="auto"/>
            </w:tcBorders>
            <w:vAlign w:val="center"/>
            <w:hideMark/>
          </w:tcPr>
          <w:p w14:paraId="28DCD165" w14:textId="77777777" w:rsidR="0001508F" w:rsidRPr="0001508F" w:rsidRDefault="0001508F" w:rsidP="0001508F">
            <w:pPr>
              <w:widowControl w:val="0"/>
              <w:kinsoku w:val="0"/>
              <w:spacing w:before="50" w:after="50"/>
              <w:jc w:val="center"/>
              <w:rPr>
                <w:szCs w:val="24"/>
              </w:rPr>
            </w:pPr>
            <w:r w:rsidRPr="0001508F">
              <w:rPr>
                <w:szCs w:val="24"/>
              </w:rPr>
              <w:t>6</w:t>
            </w:r>
          </w:p>
        </w:tc>
        <w:tc>
          <w:tcPr>
            <w:tcW w:w="48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A59CA23" w14:textId="77777777" w:rsidR="0001508F" w:rsidRPr="0001508F" w:rsidRDefault="0001508F" w:rsidP="0001508F">
            <w:pPr>
              <w:widowControl w:val="0"/>
              <w:kinsoku w:val="0"/>
              <w:spacing w:before="50" w:after="50"/>
              <w:jc w:val="center"/>
              <w:rPr>
                <w:szCs w:val="24"/>
              </w:rPr>
            </w:pPr>
            <w:r w:rsidRPr="0001508F">
              <w:rPr>
                <w:szCs w:val="24"/>
              </w:rPr>
              <w:t>3</w:t>
            </w:r>
          </w:p>
        </w:tc>
        <w:tc>
          <w:tcPr>
            <w:tcW w:w="47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1AC6E45" w14:textId="77777777" w:rsidR="0001508F" w:rsidRPr="0001508F" w:rsidRDefault="0001508F" w:rsidP="0001508F">
            <w:pPr>
              <w:widowControl w:val="0"/>
              <w:kinsoku w:val="0"/>
              <w:spacing w:before="50" w:after="50"/>
              <w:jc w:val="center"/>
              <w:rPr>
                <w:szCs w:val="24"/>
              </w:rPr>
            </w:pPr>
            <w:r w:rsidRPr="0001508F">
              <w:rPr>
                <w:szCs w:val="24"/>
              </w:rPr>
              <w:t>2</w:t>
            </w:r>
          </w:p>
        </w:tc>
      </w:tr>
      <w:tr w:rsidR="0001508F" w:rsidRPr="0001508F" w14:paraId="4C9BA850" w14:textId="77777777" w:rsidTr="0001508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91C64C" w14:textId="77777777" w:rsidR="0001508F" w:rsidRPr="0001508F" w:rsidRDefault="0001508F" w:rsidP="0001508F">
            <w:pPr>
              <w:jc w:val="left"/>
              <w:rPr>
                <w:szCs w:val="24"/>
              </w:rPr>
            </w:pPr>
          </w:p>
        </w:tc>
        <w:tc>
          <w:tcPr>
            <w:tcW w:w="1586" w:type="dxa"/>
            <w:tcBorders>
              <w:top w:val="single" w:sz="4" w:space="0" w:color="auto"/>
              <w:left w:val="single" w:sz="4" w:space="0" w:color="auto"/>
              <w:bottom w:val="single" w:sz="4" w:space="0" w:color="auto"/>
              <w:right w:val="single" w:sz="4" w:space="0" w:color="auto"/>
            </w:tcBorders>
            <w:hideMark/>
          </w:tcPr>
          <w:p w14:paraId="4C712F32" w14:textId="77777777" w:rsidR="0001508F" w:rsidRPr="0001508F" w:rsidRDefault="0001508F" w:rsidP="0001508F">
            <w:pPr>
              <w:widowControl w:val="0"/>
              <w:kinsoku w:val="0"/>
              <w:spacing w:before="50" w:after="50"/>
              <w:jc w:val="center"/>
              <w:rPr>
                <w:szCs w:val="24"/>
              </w:rPr>
            </w:pPr>
            <w:r w:rsidRPr="0001508F">
              <w:rPr>
                <w:szCs w:val="24"/>
              </w:rPr>
              <w:t>S</w:t>
            </w:r>
          </w:p>
        </w:tc>
        <w:tc>
          <w:tcPr>
            <w:tcW w:w="684" w:type="dxa"/>
            <w:tcBorders>
              <w:top w:val="single" w:sz="4" w:space="0" w:color="auto"/>
              <w:left w:val="single" w:sz="4" w:space="0" w:color="auto"/>
              <w:bottom w:val="single" w:sz="4" w:space="0" w:color="auto"/>
              <w:right w:val="single" w:sz="4" w:space="0" w:color="auto"/>
            </w:tcBorders>
            <w:vAlign w:val="center"/>
            <w:hideMark/>
          </w:tcPr>
          <w:p w14:paraId="2D2C65FC" w14:textId="77777777" w:rsidR="0001508F" w:rsidRPr="0001508F" w:rsidRDefault="0001508F" w:rsidP="0001508F">
            <w:pPr>
              <w:widowControl w:val="0"/>
              <w:kinsoku w:val="0"/>
              <w:spacing w:before="50" w:after="50"/>
              <w:jc w:val="center"/>
              <w:rPr>
                <w:szCs w:val="24"/>
              </w:rPr>
            </w:pPr>
            <w:r w:rsidRPr="0001508F">
              <w:rPr>
                <w:szCs w:val="24"/>
              </w:rPr>
              <w:t>UL</w:t>
            </w:r>
          </w:p>
        </w:tc>
        <w:tc>
          <w:tcPr>
            <w:tcW w:w="685" w:type="dxa"/>
            <w:tcBorders>
              <w:top w:val="single" w:sz="4" w:space="0" w:color="auto"/>
              <w:left w:val="single" w:sz="4" w:space="0" w:color="auto"/>
              <w:bottom w:val="single" w:sz="4" w:space="0" w:color="auto"/>
              <w:right w:val="single" w:sz="4" w:space="0" w:color="auto"/>
            </w:tcBorders>
            <w:vAlign w:val="center"/>
            <w:hideMark/>
          </w:tcPr>
          <w:p w14:paraId="1B513FB4" w14:textId="77777777" w:rsidR="0001508F" w:rsidRPr="0001508F" w:rsidRDefault="0001508F" w:rsidP="0001508F">
            <w:pPr>
              <w:widowControl w:val="0"/>
              <w:kinsoku w:val="0"/>
              <w:spacing w:before="50" w:after="50"/>
              <w:jc w:val="center"/>
              <w:rPr>
                <w:szCs w:val="24"/>
              </w:rPr>
            </w:pPr>
            <w:r w:rsidRPr="0001508F">
              <w:rPr>
                <w:szCs w:val="24"/>
              </w:rPr>
              <w:t>UL</w:t>
            </w:r>
          </w:p>
        </w:tc>
        <w:tc>
          <w:tcPr>
            <w:tcW w:w="623" w:type="dxa"/>
            <w:tcBorders>
              <w:top w:val="single" w:sz="4" w:space="0" w:color="auto"/>
              <w:left w:val="single" w:sz="4" w:space="0" w:color="auto"/>
              <w:bottom w:val="single" w:sz="4" w:space="0" w:color="auto"/>
              <w:right w:val="single" w:sz="4" w:space="0" w:color="auto"/>
            </w:tcBorders>
            <w:vAlign w:val="center"/>
            <w:hideMark/>
          </w:tcPr>
          <w:p w14:paraId="170596FD" w14:textId="77777777" w:rsidR="0001508F" w:rsidRPr="0001508F" w:rsidRDefault="0001508F" w:rsidP="0001508F">
            <w:pPr>
              <w:widowControl w:val="0"/>
              <w:kinsoku w:val="0"/>
              <w:spacing w:before="50" w:after="50"/>
              <w:jc w:val="center"/>
              <w:rPr>
                <w:szCs w:val="24"/>
              </w:rPr>
            </w:pPr>
            <w:r w:rsidRPr="0001508F">
              <w:rPr>
                <w:szCs w:val="24"/>
              </w:rPr>
              <w:t>7</w:t>
            </w:r>
          </w:p>
        </w:tc>
        <w:tc>
          <w:tcPr>
            <w:tcW w:w="564" w:type="dxa"/>
            <w:tcBorders>
              <w:top w:val="single" w:sz="4" w:space="0" w:color="auto"/>
              <w:left w:val="single" w:sz="4" w:space="0" w:color="auto"/>
              <w:bottom w:val="single" w:sz="4" w:space="0" w:color="auto"/>
              <w:right w:val="single" w:sz="4" w:space="0" w:color="auto"/>
            </w:tcBorders>
            <w:vAlign w:val="center"/>
            <w:hideMark/>
          </w:tcPr>
          <w:p w14:paraId="4C7E1D09" w14:textId="77777777" w:rsidR="0001508F" w:rsidRPr="0001508F" w:rsidRDefault="0001508F" w:rsidP="0001508F">
            <w:pPr>
              <w:widowControl w:val="0"/>
              <w:kinsoku w:val="0"/>
              <w:spacing w:before="50" w:after="50"/>
              <w:jc w:val="center"/>
              <w:rPr>
                <w:szCs w:val="24"/>
              </w:rPr>
            </w:pPr>
            <w:r w:rsidRPr="0001508F">
              <w:rPr>
                <w:szCs w:val="24"/>
              </w:rPr>
              <w:t>4</w:t>
            </w:r>
          </w:p>
        </w:tc>
        <w:tc>
          <w:tcPr>
            <w:tcW w:w="623" w:type="dxa"/>
            <w:tcBorders>
              <w:top w:val="single" w:sz="4" w:space="0" w:color="auto"/>
              <w:left w:val="single" w:sz="4" w:space="0" w:color="auto"/>
              <w:bottom w:val="single" w:sz="4" w:space="0" w:color="auto"/>
              <w:right w:val="single" w:sz="4" w:space="0" w:color="auto"/>
            </w:tcBorders>
            <w:vAlign w:val="center"/>
            <w:hideMark/>
          </w:tcPr>
          <w:p w14:paraId="1D2CB3CB" w14:textId="77777777" w:rsidR="0001508F" w:rsidRPr="0001508F" w:rsidRDefault="0001508F" w:rsidP="0001508F">
            <w:pPr>
              <w:widowControl w:val="0"/>
              <w:kinsoku w:val="0"/>
              <w:spacing w:before="50" w:after="50"/>
              <w:jc w:val="center"/>
              <w:rPr>
                <w:szCs w:val="24"/>
              </w:rPr>
            </w:pPr>
            <w:r w:rsidRPr="0001508F">
              <w:rPr>
                <w:szCs w:val="24"/>
              </w:rPr>
              <w:t>7</w:t>
            </w: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6FA3E33" w14:textId="77777777" w:rsidR="0001508F" w:rsidRPr="0001508F" w:rsidRDefault="0001508F" w:rsidP="0001508F">
            <w:pPr>
              <w:widowControl w:val="0"/>
              <w:kinsoku w:val="0"/>
              <w:spacing w:before="50" w:after="50"/>
              <w:jc w:val="center"/>
              <w:rPr>
                <w:szCs w:val="24"/>
              </w:rPr>
            </w:pPr>
            <w:r w:rsidRPr="0001508F">
              <w:rPr>
                <w:szCs w:val="24"/>
              </w:rPr>
              <w:t>4</w:t>
            </w:r>
          </w:p>
        </w:tc>
        <w:tc>
          <w:tcPr>
            <w:tcW w:w="815" w:type="dxa"/>
            <w:tcBorders>
              <w:top w:val="single" w:sz="4" w:space="0" w:color="auto"/>
              <w:left w:val="single" w:sz="4" w:space="0" w:color="auto"/>
              <w:bottom w:val="single" w:sz="4" w:space="0" w:color="auto"/>
              <w:right w:val="single" w:sz="4" w:space="0" w:color="auto"/>
            </w:tcBorders>
            <w:vAlign w:val="center"/>
            <w:hideMark/>
          </w:tcPr>
          <w:p w14:paraId="593100FE" w14:textId="77777777" w:rsidR="0001508F" w:rsidRPr="0001508F" w:rsidRDefault="0001508F" w:rsidP="0001508F">
            <w:pPr>
              <w:widowControl w:val="0"/>
              <w:kinsoku w:val="0"/>
              <w:spacing w:before="50" w:after="50"/>
              <w:jc w:val="center"/>
              <w:rPr>
                <w:szCs w:val="24"/>
              </w:rPr>
            </w:pPr>
            <w:r w:rsidRPr="0001508F">
              <w:rPr>
                <w:szCs w:val="24"/>
              </w:rPr>
              <w:t>7</w:t>
            </w:r>
          </w:p>
        </w:tc>
        <w:tc>
          <w:tcPr>
            <w:tcW w:w="48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80001A4" w14:textId="77777777" w:rsidR="0001508F" w:rsidRPr="0001508F" w:rsidRDefault="0001508F" w:rsidP="0001508F">
            <w:pPr>
              <w:widowControl w:val="0"/>
              <w:kinsoku w:val="0"/>
              <w:spacing w:before="50" w:after="50"/>
              <w:jc w:val="center"/>
              <w:rPr>
                <w:szCs w:val="24"/>
              </w:rPr>
            </w:pPr>
            <w:r w:rsidRPr="0001508F">
              <w:rPr>
                <w:szCs w:val="24"/>
              </w:rPr>
              <w:t>4</w:t>
            </w:r>
          </w:p>
        </w:tc>
        <w:tc>
          <w:tcPr>
            <w:tcW w:w="47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34BC399" w14:textId="77777777" w:rsidR="0001508F" w:rsidRPr="0001508F" w:rsidRDefault="0001508F" w:rsidP="0001508F">
            <w:pPr>
              <w:widowControl w:val="0"/>
              <w:kinsoku w:val="0"/>
              <w:spacing w:before="50" w:after="50"/>
              <w:jc w:val="center"/>
              <w:rPr>
                <w:szCs w:val="24"/>
              </w:rPr>
            </w:pPr>
            <w:r w:rsidRPr="0001508F">
              <w:rPr>
                <w:szCs w:val="24"/>
              </w:rPr>
              <w:t>3</w:t>
            </w:r>
          </w:p>
        </w:tc>
      </w:tr>
      <w:tr w:rsidR="0001508F" w:rsidRPr="0001508F" w14:paraId="36872AC6" w14:textId="77777777" w:rsidTr="0001508F">
        <w:trPr>
          <w:trHeight w:val="91"/>
          <w:jc w:val="center"/>
        </w:trPr>
        <w:tc>
          <w:tcPr>
            <w:tcW w:w="2111" w:type="dxa"/>
            <w:vMerge w:val="restart"/>
            <w:tcBorders>
              <w:top w:val="single" w:sz="4" w:space="0" w:color="auto"/>
              <w:left w:val="single" w:sz="4" w:space="0" w:color="auto"/>
              <w:bottom w:val="single" w:sz="4" w:space="0" w:color="auto"/>
              <w:right w:val="single" w:sz="4" w:space="0" w:color="auto"/>
            </w:tcBorders>
            <w:vAlign w:val="center"/>
            <w:hideMark/>
          </w:tcPr>
          <w:p w14:paraId="0A94D5D7" w14:textId="77777777" w:rsidR="0001508F" w:rsidRPr="0001508F" w:rsidRDefault="0001508F" w:rsidP="0001508F">
            <w:pPr>
              <w:widowControl w:val="0"/>
              <w:kinsoku w:val="0"/>
              <w:spacing w:before="50" w:after="50"/>
              <w:jc w:val="center"/>
              <w:rPr>
                <w:szCs w:val="24"/>
              </w:rPr>
            </w:pPr>
            <w:r w:rsidRPr="0001508F">
              <w:rPr>
                <w:szCs w:val="24"/>
              </w:rPr>
              <w:t>U</w:t>
            </w:r>
            <w:r w:rsidRPr="0001508F">
              <w:rPr>
                <w:szCs w:val="24"/>
                <w:vertAlign w:val="superscript"/>
              </w:rPr>
              <w:t>e</w:t>
            </w:r>
          </w:p>
        </w:tc>
        <w:tc>
          <w:tcPr>
            <w:tcW w:w="1586" w:type="dxa"/>
            <w:tcBorders>
              <w:top w:val="single" w:sz="4" w:space="0" w:color="auto"/>
              <w:left w:val="single" w:sz="4" w:space="0" w:color="auto"/>
              <w:bottom w:val="single" w:sz="4" w:space="0" w:color="auto"/>
              <w:right w:val="single" w:sz="4" w:space="0" w:color="auto"/>
            </w:tcBorders>
            <w:hideMark/>
          </w:tcPr>
          <w:p w14:paraId="0ADC453E" w14:textId="77777777" w:rsidR="0001508F" w:rsidRPr="0001508F" w:rsidRDefault="0001508F" w:rsidP="0001508F">
            <w:pPr>
              <w:widowControl w:val="0"/>
              <w:kinsoku w:val="0"/>
              <w:spacing w:before="50" w:after="50"/>
              <w:jc w:val="center"/>
              <w:rPr>
                <w:szCs w:val="24"/>
              </w:rPr>
            </w:pPr>
            <w:r w:rsidRPr="0001508F">
              <w:rPr>
                <w:szCs w:val="24"/>
              </w:rPr>
              <w:t>NS</w:t>
            </w:r>
            <w:r w:rsidRPr="0001508F">
              <w:rPr>
                <w:szCs w:val="24"/>
                <w:vertAlign w:val="superscript"/>
              </w:rPr>
              <w:t>b,c</w:t>
            </w:r>
          </w:p>
        </w:tc>
        <w:tc>
          <w:tcPr>
            <w:tcW w:w="684" w:type="dxa"/>
            <w:tcBorders>
              <w:top w:val="single" w:sz="4" w:space="0" w:color="auto"/>
              <w:left w:val="single" w:sz="4" w:space="0" w:color="auto"/>
              <w:bottom w:val="single" w:sz="4" w:space="0" w:color="auto"/>
              <w:right w:val="single" w:sz="4" w:space="0" w:color="auto"/>
            </w:tcBorders>
            <w:vAlign w:val="center"/>
            <w:hideMark/>
          </w:tcPr>
          <w:p w14:paraId="3F590E7A" w14:textId="77777777" w:rsidR="0001508F" w:rsidRPr="0001508F" w:rsidRDefault="0001508F" w:rsidP="0001508F">
            <w:pPr>
              <w:widowControl w:val="0"/>
              <w:kinsoku w:val="0"/>
              <w:jc w:val="center"/>
              <w:rPr>
                <w:szCs w:val="24"/>
              </w:rPr>
            </w:pPr>
            <w:r w:rsidRPr="0001508F">
              <w:rPr>
                <w:szCs w:val="24"/>
              </w:rPr>
              <w:t>UL</w:t>
            </w:r>
          </w:p>
        </w:tc>
        <w:tc>
          <w:tcPr>
            <w:tcW w:w="685" w:type="dxa"/>
            <w:tcBorders>
              <w:top w:val="single" w:sz="4" w:space="0" w:color="auto"/>
              <w:left w:val="single" w:sz="4" w:space="0" w:color="auto"/>
              <w:bottom w:val="single" w:sz="4" w:space="0" w:color="auto"/>
              <w:right w:val="single" w:sz="4" w:space="0" w:color="auto"/>
            </w:tcBorders>
            <w:vAlign w:val="center"/>
            <w:hideMark/>
          </w:tcPr>
          <w:p w14:paraId="568D2593" w14:textId="77777777" w:rsidR="0001508F" w:rsidRPr="0001508F" w:rsidRDefault="0001508F" w:rsidP="0001508F">
            <w:pPr>
              <w:widowControl w:val="0"/>
              <w:kinsoku w:val="0"/>
              <w:spacing w:before="50" w:after="50"/>
              <w:jc w:val="center"/>
              <w:rPr>
                <w:szCs w:val="24"/>
              </w:rPr>
            </w:pPr>
            <w:r w:rsidRPr="0001508F">
              <w:rPr>
                <w:szCs w:val="24"/>
              </w:rPr>
              <w:t>5</w:t>
            </w:r>
          </w:p>
        </w:tc>
        <w:tc>
          <w:tcPr>
            <w:tcW w:w="623" w:type="dxa"/>
            <w:tcBorders>
              <w:top w:val="single" w:sz="4" w:space="0" w:color="auto"/>
              <w:left w:val="single" w:sz="4" w:space="0" w:color="auto"/>
              <w:bottom w:val="single" w:sz="4" w:space="0" w:color="auto"/>
              <w:right w:val="single" w:sz="4" w:space="0" w:color="auto"/>
            </w:tcBorders>
            <w:vAlign w:val="center"/>
            <w:hideMark/>
          </w:tcPr>
          <w:p w14:paraId="7FE76EA3" w14:textId="77777777" w:rsidR="0001508F" w:rsidRPr="0001508F" w:rsidRDefault="0001508F" w:rsidP="0001508F">
            <w:pPr>
              <w:widowControl w:val="0"/>
              <w:kinsoku w:val="0"/>
              <w:spacing w:before="50" w:after="50"/>
              <w:jc w:val="center"/>
              <w:rPr>
                <w:szCs w:val="24"/>
              </w:rPr>
            </w:pPr>
            <w:r w:rsidRPr="0001508F">
              <w:rPr>
                <w:szCs w:val="24"/>
              </w:rPr>
              <w:t>4</w:t>
            </w:r>
          </w:p>
        </w:tc>
        <w:tc>
          <w:tcPr>
            <w:tcW w:w="564" w:type="dxa"/>
            <w:tcBorders>
              <w:top w:val="single" w:sz="4" w:space="0" w:color="auto"/>
              <w:left w:val="single" w:sz="4" w:space="0" w:color="auto"/>
              <w:bottom w:val="single" w:sz="4" w:space="0" w:color="auto"/>
              <w:right w:val="single" w:sz="4" w:space="0" w:color="auto"/>
            </w:tcBorders>
            <w:vAlign w:val="center"/>
            <w:hideMark/>
          </w:tcPr>
          <w:p w14:paraId="6C8C552E" w14:textId="77777777" w:rsidR="0001508F" w:rsidRPr="0001508F" w:rsidRDefault="0001508F" w:rsidP="0001508F">
            <w:pPr>
              <w:widowControl w:val="0"/>
              <w:kinsoku w:val="0"/>
              <w:spacing w:before="50" w:after="50"/>
              <w:jc w:val="center"/>
              <w:rPr>
                <w:szCs w:val="24"/>
              </w:rPr>
            </w:pPr>
            <w:r w:rsidRPr="0001508F">
              <w:rPr>
                <w:szCs w:val="24"/>
              </w:rPr>
              <w:t>2</w:t>
            </w:r>
          </w:p>
        </w:tc>
        <w:tc>
          <w:tcPr>
            <w:tcW w:w="623" w:type="dxa"/>
            <w:tcBorders>
              <w:top w:val="single" w:sz="4" w:space="0" w:color="auto"/>
              <w:left w:val="single" w:sz="4" w:space="0" w:color="auto"/>
              <w:bottom w:val="single" w:sz="4" w:space="0" w:color="auto"/>
              <w:right w:val="single" w:sz="4" w:space="0" w:color="auto"/>
            </w:tcBorders>
            <w:vAlign w:val="center"/>
            <w:hideMark/>
          </w:tcPr>
          <w:p w14:paraId="5EACAA30" w14:textId="77777777" w:rsidR="0001508F" w:rsidRPr="0001508F" w:rsidRDefault="0001508F" w:rsidP="0001508F">
            <w:pPr>
              <w:widowControl w:val="0"/>
              <w:kinsoku w:val="0"/>
              <w:spacing w:before="50" w:after="50"/>
              <w:jc w:val="center"/>
              <w:rPr>
                <w:szCs w:val="24"/>
              </w:rPr>
            </w:pPr>
            <w:r w:rsidRPr="0001508F">
              <w:rPr>
                <w:szCs w:val="24"/>
              </w:rPr>
              <w:t>3</w:t>
            </w:r>
          </w:p>
        </w:tc>
        <w:tc>
          <w:tcPr>
            <w:tcW w:w="702" w:type="dxa"/>
            <w:tcBorders>
              <w:top w:val="single" w:sz="4" w:space="0" w:color="auto"/>
              <w:left w:val="single" w:sz="4" w:space="0" w:color="auto"/>
              <w:bottom w:val="single" w:sz="4" w:space="0" w:color="auto"/>
              <w:right w:val="single" w:sz="4" w:space="0" w:color="auto"/>
            </w:tcBorders>
            <w:vAlign w:val="center"/>
            <w:hideMark/>
          </w:tcPr>
          <w:p w14:paraId="2109E39B" w14:textId="77777777" w:rsidR="0001508F" w:rsidRPr="0001508F" w:rsidRDefault="0001508F" w:rsidP="0001508F">
            <w:pPr>
              <w:widowControl w:val="0"/>
              <w:kinsoku w:val="0"/>
              <w:spacing w:before="50" w:after="50"/>
              <w:jc w:val="center"/>
              <w:rPr>
                <w:szCs w:val="24"/>
              </w:rPr>
            </w:pPr>
            <w:r w:rsidRPr="0001508F">
              <w:rPr>
                <w:szCs w:val="24"/>
              </w:rPr>
              <w:t>2</w:t>
            </w:r>
          </w:p>
        </w:tc>
        <w:tc>
          <w:tcPr>
            <w:tcW w:w="815" w:type="dxa"/>
            <w:tcBorders>
              <w:top w:val="single" w:sz="4" w:space="0" w:color="auto"/>
              <w:left w:val="single" w:sz="4" w:space="0" w:color="auto"/>
              <w:bottom w:val="single" w:sz="4" w:space="0" w:color="auto"/>
              <w:right w:val="single" w:sz="4" w:space="0" w:color="auto"/>
            </w:tcBorders>
            <w:vAlign w:val="center"/>
            <w:hideMark/>
          </w:tcPr>
          <w:p w14:paraId="136D87EE" w14:textId="77777777" w:rsidR="0001508F" w:rsidRPr="0001508F" w:rsidRDefault="0001508F" w:rsidP="0001508F">
            <w:pPr>
              <w:widowControl w:val="0"/>
              <w:kinsoku w:val="0"/>
              <w:spacing w:before="50" w:after="50"/>
              <w:jc w:val="center"/>
              <w:rPr>
                <w:szCs w:val="24"/>
              </w:rPr>
            </w:pPr>
            <w:r w:rsidRPr="0001508F">
              <w:rPr>
                <w:szCs w:val="24"/>
              </w:rPr>
              <w:t>4</w:t>
            </w:r>
          </w:p>
        </w:tc>
        <w:tc>
          <w:tcPr>
            <w:tcW w:w="48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C046809" w14:textId="77777777" w:rsidR="0001508F" w:rsidRPr="0001508F" w:rsidRDefault="0001508F" w:rsidP="0001508F">
            <w:pPr>
              <w:widowControl w:val="0"/>
              <w:kinsoku w:val="0"/>
              <w:spacing w:before="50" w:after="50"/>
              <w:jc w:val="center"/>
              <w:rPr>
                <w:szCs w:val="24"/>
              </w:rPr>
            </w:pPr>
            <w:r w:rsidRPr="0001508F">
              <w:rPr>
                <w:szCs w:val="24"/>
              </w:rPr>
              <w:t>2</w:t>
            </w:r>
          </w:p>
        </w:tc>
        <w:tc>
          <w:tcPr>
            <w:tcW w:w="47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018126A" w14:textId="77777777" w:rsidR="0001508F" w:rsidRPr="0001508F" w:rsidRDefault="0001508F" w:rsidP="0001508F">
            <w:pPr>
              <w:widowControl w:val="0"/>
              <w:kinsoku w:val="0"/>
              <w:spacing w:before="50" w:after="50"/>
              <w:jc w:val="center"/>
              <w:rPr>
                <w:szCs w:val="24"/>
              </w:rPr>
            </w:pPr>
            <w:r w:rsidRPr="0001508F">
              <w:rPr>
                <w:szCs w:val="24"/>
              </w:rPr>
              <w:t>1</w:t>
            </w:r>
          </w:p>
        </w:tc>
      </w:tr>
      <w:tr w:rsidR="0001508F" w:rsidRPr="0001508F" w14:paraId="281656B8" w14:textId="77777777" w:rsidTr="0001508F">
        <w:trPr>
          <w:trHeight w:val="9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80C598" w14:textId="77777777" w:rsidR="0001508F" w:rsidRPr="0001508F" w:rsidRDefault="0001508F" w:rsidP="0001508F">
            <w:pPr>
              <w:jc w:val="left"/>
              <w:rPr>
                <w:szCs w:val="24"/>
              </w:rPr>
            </w:pPr>
          </w:p>
        </w:tc>
        <w:tc>
          <w:tcPr>
            <w:tcW w:w="1586" w:type="dxa"/>
            <w:tcBorders>
              <w:top w:val="single" w:sz="4" w:space="0" w:color="auto"/>
              <w:left w:val="single" w:sz="4" w:space="0" w:color="auto"/>
              <w:bottom w:val="single" w:sz="4" w:space="0" w:color="auto"/>
              <w:right w:val="single" w:sz="4" w:space="0" w:color="auto"/>
            </w:tcBorders>
            <w:hideMark/>
          </w:tcPr>
          <w:p w14:paraId="392953A0" w14:textId="77777777" w:rsidR="0001508F" w:rsidRPr="0001508F" w:rsidRDefault="0001508F" w:rsidP="0001508F">
            <w:pPr>
              <w:widowControl w:val="0"/>
              <w:kinsoku w:val="0"/>
              <w:spacing w:before="50" w:after="50"/>
              <w:jc w:val="center"/>
              <w:rPr>
                <w:szCs w:val="24"/>
              </w:rPr>
            </w:pPr>
            <w:r w:rsidRPr="0001508F">
              <w:rPr>
                <w:szCs w:val="24"/>
              </w:rPr>
              <w:t>S</w:t>
            </w:r>
          </w:p>
        </w:tc>
        <w:tc>
          <w:tcPr>
            <w:tcW w:w="684" w:type="dxa"/>
            <w:tcBorders>
              <w:top w:val="single" w:sz="4" w:space="0" w:color="auto"/>
              <w:left w:val="single" w:sz="4" w:space="0" w:color="auto"/>
              <w:bottom w:val="single" w:sz="4" w:space="0" w:color="auto"/>
              <w:right w:val="single" w:sz="4" w:space="0" w:color="auto"/>
            </w:tcBorders>
            <w:vAlign w:val="center"/>
            <w:hideMark/>
          </w:tcPr>
          <w:p w14:paraId="017A0143" w14:textId="77777777" w:rsidR="0001508F" w:rsidRPr="0001508F" w:rsidRDefault="0001508F" w:rsidP="0001508F">
            <w:pPr>
              <w:widowControl w:val="0"/>
              <w:kinsoku w:val="0"/>
              <w:jc w:val="center"/>
              <w:rPr>
                <w:szCs w:val="24"/>
              </w:rPr>
            </w:pPr>
            <w:r w:rsidRPr="0001508F">
              <w:rPr>
                <w:szCs w:val="24"/>
              </w:rPr>
              <w:t>UL</w:t>
            </w:r>
          </w:p>
        </w:tc>
        <w:tc>
          <w:tcPr>
            <w:tcW w:w="685" w:type="dxa"/>
            <w:tcBorders>
              <w:top w:val="single" w:sz="4" w:space="0" w:color="auto"/>
              <w:left w:val="single" w:sz="4" w:space="0" w:color="auto"/>
              <w:bottom w:val="single" w:sz="4" w:space="0" w:color="auto"/>
              <w:right w:val="single" w:sz="4" w:space="0" w:color="auto"/>
            </w:tcBorders>
            <w:vAlign w:val="center"/>
            <w:hideMark/>
          </w:tcPr>
          <w:p w14:paraId="408F1C8A" w14:textId="77777777" w:rsidR="0001508F" w:rsidRPr="0001508F" w:rsidRDefault="0001508F" w:rsidP="0001508F">
            <w:pPr>
              <w:widowControl w:val="0"/>
              <w:kinsoku w:val="0"/>
              <w:spacing w:before="50" w:after="50"/>
              <w:jc w:val="center"/>
              <w:rPr>
                <w:szCs w:val="24"/>
              </w:rPr>
            </w:pPr>
            <w:r w:rsidRPr="0001508F">
              <w:rPr>
                <w:szCs w:val="24"/>
              </w:rPr>
              <w:t>6</w:t>
            </w:r>
          </w:p>
        </w:tc>
        <w:tc>
          <w:tcPr>
            <w:tcW w:w="623" w:type="dxa"/>
            <w:tcBorders>
              <w:top w:val="single" w:sz="4" w:space="0" w:color="auto"/>
              <w:left w:val="single" w:sz="4" w:space="0" w:color="auto"/>
              <w:bottom w:val="single" w:sz="4" w:space="0" w:color="auto"/>
              <w:right w:val="single" w:sz="4" w:space="0" w:color="auto"/>
            </w:tcBorders>
            <w:vAlign w:val="center"/>
            <w:hideMark/>
          </w:tcPr>
          <w:p w14:paraId="4D46B2A0" w14:textId="77777777" w:rsidR="0001508F" w:rsidRPr="0001508F" w:rsidRDefault="0001508F" w:rsidP="0001508F">
            <w:pPr>
              <w:widowControl w:val="0"/>
              <w:kinsoku w:val="0"/>
              <w:spacing w:before="50" w:after="50"/>
              <w:jc w:val="center"/>
              <w:rPr>
                <w:szCs w:val="24"/>
              </w:rPr>
            </w:pPr>
            <w:r w:rsidRPr="0001508F">
              <w:rPr>
                <w:szCs w:val="24"/>
              </w:rPr>
              <w:t>5</w:t>
            </w:r>
          </w:p>
        </w:tc>
        <w:tc>
          <w:tcPr>
            <w:tcW w:w="564" w:type="dxa"/>
            <w:tcBorders>
              <w:top w:val="single" w:sz="4" w:space="0" w:color="auto"/>
              <w:left w:val="single" w:sz="4" w:space="0" w:color="auto"/>
              <w:bottom w:val="single" w:sz="4" w:space="0" w:color="auto"/>
              <w:right w:val="single" w:sz="4" w:space="0" w:color="auto"/>
            </w:tcBorders>
            <w:vAlign w:val="center"/>
            <w:hideMark/>
          </w:tcPr>
          <w:p w14:paraId="2C3F76EC" w14:textId="77777777" w:rsidR="0001508F" w:rsidRPr="0001508F" w:rsidRDefault="0001508F" w:rsidP="0001508F">
            <w:pPr>
              <w:widowControl w:val="0"/>
              <w:kinsoku w:val="0"/>
              <w:spacing w:before="50" w:after="50"/>
              <w:jc w:val="center"/>
              <w:rPr>
                <w:szCs w:val="24"/>
              </w:rPr>
            </w:pPr>
            <w:r w:rsidRPr="0001508F">
              <w:rPr>
                <w:szCs w:val="24"/>
              </w:rPr>
              <w:t>3</w:t>
            </w:r>
          </w:p>
        </w:tc>
        <w:tc>
          <w:tcPr>
            <w:tcW w:w="623" w:type="dxa"/>
            <w:tcBorders>
              <w:top w:val="single" w:sz="4" w:space="0" w:color="auto"/>
              <w:left w:val="single" w:sz="4" w:space="0" w:color="auto"/>
              <w:bottom w:val="single" w:sz="4" w:space="0" w:color="auto"/>
              <w:right w:val="single" w:sz="4" w:space="0" w:color="auto"/>
            </w:tcBorders>
            <w:vAlign w:val="center"/>
            <w:hideMark/>
          </w:tcPr>
          <w:p w14:paraId="19C20A90" w14:textId="77777777" w:rsidR="0001508F" w:rsidRPr="0001508F" w:rsidRDefault="0001508F" w:rsidP="0001508F">
            <w:pPr>
              <w:widowControl w:val="0"/>
              <w:kinsoku w:val="0"/>
              <w:spacing w:before="50" w:after="50"/>
              <w:jc w:val="center"/>
              <w:rPr>
                <w:szCs w:val="24"/>
              </w:rPr>
            </w:pPr>
            <w:r w:rsidRPr="0001508F">
              <w:rPr>
                <w:szCs w:val="24"/>
              </w:rPr>
              <w:t>4</w:t>
            </w:r>
          </w:p>
        </w:tc>
        <w:tc>
          <w:tcPr>
            <w:tcW w:w="702" w:type="dxa"/>
            <w:tcBorders>
              <w:top w:val="single" w:sz="4" w:space="0" w:color="auto"/>
              <w:left w:val="single" w:sz="4" w:space="0" w:color="auto"/>
              <w:bottom w:val="single" w:sz="4" w:space="0" w:color="auto"/>
              <w:right w:val="single" w:sz="4" w:space="0" w:color="auto"/>
            </w:tcBorders>
            <w:vAlign w:val="center"/>
            <w:hideMark/>
          </w:tcPr>
          <w:p w14:paraId="441BED16" w14:textId="77777777" w:rsidR="0001508F" w:rsidRPr="0001508F" w:rsidRDefault="0001508F" w:rsidP="0001508F">
            <w:pPr>
              <w:widowControl w:val="0"/>
              <w:kinsoku w:val="0"/>
              <w:spacing w:before="50" w:after="50"/>
              <w:jc w:val="center"/>
              <w:rPr>
                <w:szCs w:val="24"/>
              </w:rPr>
            </w:pPr>
            <w:r w:rsidRPr="0001508F">
              <w:rPr>
                <w:szCs w:val="24"/>
              </w:rPr>
              <w:t>3</w:t>
            </w:r>
          </w:p>
        </w:tc>
        <w:tc>
          <w:tcPr>
            <w:tcW w:w="815" w:type="dxa"/>
            <w:tcBorders>
              <w:top w:val="single" w:sz="4" w:space="0" w:color="auto"/>
              <w:left w:val="single" w:sz="4" w:space="0" w:color="auto"/>
              <w:bottom w:val="single" w:sz="4" w:space="0" w:color="auto"/>
              <w:right w:val="single" w:sz="4" w:space="0" w:color="auto"/>
            </w:tcBorders>
            <w:vAlign w:val="center"/>
            <w:hideMark/>
          </w:tcPr>
          <w:p w14:paraId="7E63365C" w14:textId="77777777" w:rsidR="0001508F" w:rsidRPr="0001508F" w:rsidRDefault="0001508F" w:rsidP="0001508F">
            <w:pPr>
              <w:widowControl w:val="0"/>
              <w:kinsoku w:val="0"/>
              <w:spacing w:before="50" w:after="50"/>
              <w:jc w:val="center"/>
              <w:rPr>
                <w:szCs w:val="24"/>
              </w:rPr>
            </w:pPr>
            <w:r w:rsidRPr="0001508F">
              <w:rPr>
                <w:szCs w:val="24"/>
              </w:rPr>
              <w:t>5</w:t>
            </w:r>
          </w:p>
        </w:tc>
        <w:tc>
          <w:tcPr>
            <w:tcW w:w="48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F2971AA" w14:textId="77777777" w:rsidR="0001508F" w:rsidRPr="0001508F" w:rsidRDefault="0001508F" w:rsidP="0001508F">
            <w:pPr>
              <w:widowControl w:val="0"/>
              <w:kinsoku w:val="0"/>
              <w:spacing w:before="50" w:after="50"/>
              <w:jc w:val="center"/>
              <w:rPr>
                <w:szCs w:val="24"/>
              </w:rPr>
            </w:pPr>
            <w:r w:rsidRPr="0001508F">
              <w:rPr>
                <w:szCs w:val="24"/>
              </w:rPr>
              <w:t>3</w:t>
            </w:r>
          </w:p>
        </w:tc>
        <w:tc>
          <w:tcPr>
            <w:tcW w:w="47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3FA658B" w14:textId="77777777" w:rsidR="0001508F" w:rsidRPr="0001508F" w:rsidRDefault="0001508F" w:rsidP="0001508F">
            <w:pPr>
              <w:widowControl w:val="0"/>
              <w:kinsoku w:val="0"/>
              <w:spacing w:before="50" w:after="50"/>
              <w:jc w:val="center"/>
              <w:rPr>
                <w:szCs w:val="24"/>
              </w:rPr>
            </w:pPr>
            <w:r w:rsidRPr="0001508F">
              <w:rPr>
                <w:szCs w:val="24"/>
              </w:rPr>
              <w:t>2</w:t>
            </w:r>
          </w:p>
        </w:tc>
      </w:tr>
    </w:tbl>
    <w:p w14:paraId="7C09A6C8" w14:textId="77777777" w:rsidR="0001508F" w:rsidRPr="0001508F" w:rsidRDefault="0001508F" w:rsidP="0001508F">
      <w:pPr>
        <w:tabs>
          <w:tab w:val="left" w:pos="360"/>
        </w:tabs>
        <w:autoSpaceDE w:val="0"/>
        <w:autoSpaceDN w:val="0"/>
        <w:adjustRightInd w:val="0"/>
        <w:ind w:left="360" w:right="360"/>
        <w:jc w:val="left"/>
        <w:rPr>
          <w:b/>
          <w:bCs/>
          <w:szCs w:val="24"/>
        </w:rPr>
      </w:pPr>
    </w:p>
    <w:tbl>
      <w:tblPr>
        <w:tblStyle w:val="TableGrid112"/>
        <w:tblW w:w="0" w:type="auto"/>
        <w:tblInd w:w="720" w:type="dxa"/>
        <w:tblLook w:val="04A0" w:firstRow="1" w:lastRow="0" w:firstColumn="1" w:lastColumn="0" w:noHBand="0" w:noVBand="1"/>
      </w:tblPr>
      <w:tblGrid>
        <w:gridCol w:w="468"/>
        <w:gridCol w:w="2790"/>
        <w:gridCol w:w="540"/>
        <w:gridCol w:w="4410"/>
      </w:tblGrid>
      <w:tr w:rsidR="0001508F" w:rsidRPr="0001508F" w14:paraId="0F6C864A" w14:textId="77777777" w:rsidTr="0001508F">
        <w:tc>
          <w:tcPr>
            <w:tcW w:w="468" w:type="dxa"/>
            <w:tcBorders>
              <w:top w:val="single" w:sz="4" w:space="0" w:color="auto"/>
              <w:left w:val="single" w:sz="4" w:space="0" w:color="auto"/>
              <w:bottom w:val="single" w:sz="4" w:space="0" w:color="auto"/>
              <w:right w:val="single" w:sz="4" w:space="0" w:color="auto"/>
            </w:tcBorders>
            <w:shd w:val="clear" w:color="auto" w:fill="D9D9D9"/>
          </w:tcPr>
          <w:p w14:paraId="195053F9" w14:textId="77777777" w:rsidR="0001508F" w:rsidRPr="0001508F" w:rsidRDefault="0001508F" w:rsidP="0001508F">
            <w:pPr>
              <w:widowControl w:val="0"/>
              <w:kinsoku w:val="0"/>
              <w:spacing w:before="50" w:after="50"/>
              <w:jc w:val="left"/>
              <w:rPr>
                <w:szCs w:val="24"/>
              </w:rPr>
            </w:pPr>
          </w:p>
        </w:tc>
        <w:tc>
          <w:tcPr>
            <w:tcW w:w="2790" w:type="dxa"/>
            <w:tcBorders>
              <w:top w:val="nil"/>
              <w:left w:val="single" w:sz="4" w:space="0" w:color="auto"/>
              <w:bottom w:val="nil"/>
              <w:right w:val="single" w:sz="4" w:space="0" w:color="auto"/>
            </w:tcBorders>
            <w:hideMark/>
          </w:tcPr>
          <w:p w14:paraId="39B2411D" w14:textId="77777777" w:rsidR="0001508F" w:rsidRPr="0001508F" w:rsidRDefault="0001508F" w:rsidP="0001508F">
            <w:pPr>
              <w:widowControl w:val="0"/>
              <w:kinsoku w:val="0"/>
              <w:spacing w:before="50" w:after="50"/>
              <w:jc w:val="left"/>
              <w:rPr>
                <w:szCs w:val="24"/>
              </w:rPr>
            </w:pPr>
            <w:r w:rsidRPr="0001508F">
              <w:rPr>
                <w:szCs w:val="24"/>
              </w:rPr>
              <w:t>= Not permitted in Fire District</w:t>
            </w:r>
          </w:p>
        </w:tc>
        <w:tc>
          <w:tcPr>
            <w:tcW w:w="540" w:type="dxa"/>
            <w:tcBorders>
              <w:top w:val="single" w:sz="4" w:space="0" w:color="auto"/>
              <w:left w:val="single" w:sz="4" w:space="0" w:color="auto"/>
              <w:bottom w:val="single" w:sz="4" w:space="0" w:color="auto"/>
              <w:right w:val="single" w:sz="4" w:space="0" w:color="auto"/>
            </w:tcBorders>
            <w:shd w:val="clear" w:color="auto" w:fill="7F7F7F"/>
          </w:tcPr>
          <w:p w14:paraId="0678BE38" w14:textId="77777777" w:rsidR="0001508F" w:rsidRPr="0001508F" w:rsidRDefault="0001508F" w:rsidP="0001508F">
            <w:pPr>
              <w:widowControl w:val="0"/>
              <w:kinsoku w:val="0"/>
              <w:spacing w:before="50" w:after="50"/>
              <w:jc w:val="left"/>
              <w:rPr>
                <w:szCs w:val="24"/>
              </w:rPr>
            </w:pPr>
          </w:p>
        </w:tc>
        <w:tc>
          <w:tcPr>
            <w:tcW w:w="4410" w:type="dxa"/>
            <w:tcBorders>
              <w:top w:val="nil"/>
              <w:left w:val="single" w:sz="4" w:space="0" w:color="auto"/>
              <w:bottom w:val="nil"/>
              <w:right w:val="nil"/>
            </w:tcBorders>
            <w:hideMark/>
          </w:tcPr>
          <w:p w14:paraId="61262529" w14:textId="77777777" w:rsidR="0001508F" w:rsidRPr="0001508F" w:rsidRDefault="0001508F" w:rsidP="0001508F">
            <w:pPr>
              <w:widowControl w:val="0"/>
              <w:kinsoku w:val="0"/>
              <w:spacing w:before="50" w:after="50"/>
              <w:jc w:val="left"/>
              <w:rPr>
                <w:szCs w:val="24"/>
              </w:rPr>
            </w:pPr>
            <w:r w:rsidRPr="0001508F">
              <w:rPr>
                <w:szCs w:val="24"/>
              </w:rPr>
              <w:t>= Not permitted in Fire District without sprinklers</w:t>
            </w:r>
          </w:p>
        </w:tc>
      </w:tr>
      <w:tr w:rsidR="0001508F" w:rsidRPr="0001508F" w14:paraId="14D220E5" w14:textId="77777777" w:rsidTr="00732DDC">
        <w:tc>
          <w:tcPr>
            <w:tcW w:w="468" w:type="dxa"/>
            <w:tcBorders>
              <w:top w:val="single" w:sz="4" w:space="0" w:color="auto"/>
              <w:left w:val="nil"/>
              <w:bottom w:val="single" w:sz="4" w:space="0" w:color="auto"/>
              <w:right w:val="nil"/>
            </w:tcBorders>
          </w:tcPr>
          <w:p w14:paraId="51688A0A" w14:textId="77777777" w:rsidR="0001508F" w:rsidRPr="0001508F" w:rsidRDefault="0001508F" w:rsidP="0001508F">
            <w:pPr>
              <w:widowControl w:val="0"/>
              <w:kinsoku w:val="0"/>
              <w:spacing w:before="50" w:after="50"/>
              <w:jc w:val="left"/>
              <w:rPr>
                <w:szCs w:val="24"/>
              </w:rPr>
            </w:pPr>
          </w:p>
        </w:tc>
        <w:tc>
          <w:tcPr>
            <w:tcW w:w="2790" w:type="dxa"/>
            <w:tcBorders>
              <w:top w:val="nil"/>
              <w:left w:val="nil"/>
              <w:bottom w:val="nil"/>
              <w:right w:val="nil"/>
            </w:tcBorders>
          </w:tcPr>
          <w:p w14:paraId="32849493" w14:textId="77777777" w:rsidR="0001508F" w:rsidRPr="0001508F" w:rsidRDefault="0001508F" w:rsidP="0001508F">
            <w:pPr>
              <w:widowControl w:val="0"/>
              <w:kinsoku w:val="0"/>
              <w:spacing w:before="50" w:after="50"/>
              <w:jc w:val="left"/>
              <w:rPr>
                <w:szCs w:val="24"/>
              </w:rPr>
            </w:pPr>
          </w:p>
        </w:tc>
        <w:tc>
          <w:tcPr>
            <w:tcW w:w="540" w:type="dxa"/>
            <w:tcBorders>
              <w:top w:val="single" w:sz="4" w:space="0" w:color="auto"/>
              <w:left w:val="nil"/>
              <w:bottom w:val="nil"/>
              <w:right w:val="nil"/>
            </w:tcBorders>
          </w:tcPr>
          <w:p w14:paraId="2344974F" w14:textId="77777777" w:rsidR="0001508F" w:rsidRPr="0001508F" w:rsidRDefault="0001508F" w:rsidP="0001508F">
            <w:pPr>
              <w:widowControl w:val="0"/>
              <w:kinsoku w:val="0"/>
              <w:spacing w:before="50" w:after="50"/>
              <w:jc w:val="left"/>
              <w:rPr>
                <w:szCs w:val="24"/>
              </w:rPr>
            </w:pPr>
          </w:p>
        </w:tc>
        <w:tc>
          <w:tcPr>
            <w:tcW w:w="4410" w:type="dxa"/>
            <w:tcBorders>
              <w:top w:val="nil"/>
              <w:left w:val="nil"/>
              <w:bottom w:val="nil"/>
              <w:right w:val="nil"/>
            </w:tcBorders>
          </w:tcPr>
          <w:p w14:paraId="196D6541" w14:textId="77777777" w:rsidR="0001508F" w:rsidRPr="0001508F" w:rsidRDefault="0001508F" w:rsidP="0001508F">
            <w:pPr>
              <w:widowControl w:val="0"/>
              <w:kinsoku w:val="0"/>
              <w:spacing w:before="50" w:after="50"/>
              <w:jc w:val="left"/>
              <w:rPr>
                <w:szCs w:val="24"/>
              </w:rPr>
            </w:pPr>
          </w:p>
        </w:tc>
      </w:tr>
      <w:tr w:rsidR="0001508F" w:rsidRPr="0001508F" w14:paraId="6119DACE" w14:textId="77777777" w:rsidTr="00732DDC">
        <w:tc>
          <w:tcPr>
            <w:tcW w:w="46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Pr>
          <w:p w14:paraId="5C44A018" w14:textId="77777777" w:rsidR="0001508F" w:rsidRPr="0001508F" w:rsidRDefault="0001508F" w:rsidP="0001508F">
            <w:pPr>
              <w:widowControl w:val="0"/>
              <w:kinsoku w:val="0"/>
              <w:spacing w:before="50" w:after="50"/>
              <w:jc w:val="left"/>
              <w:rPr>
                <w:szCs w:val="24"/>
              </w:rPr>
            </w:pPr>
          </w:p>
        </w:tc>
        <w:tc>
          <w:tcPr>
            <w:tcW w:w="7740" w:type="dxa"/>
            <w:gridSpan w:val="3"/>
            <w:tcBorders>
              <w:top w:val="nil"/>
              <w:left w:val="single" w:sz="4" w:space="0" w:color="auto"/>
              <w:bottom w:val="nil"/>
              <w:right w:val="nil"/>
            </w:tcBorders>
            <w:hideMark/>
          </w:tcPr>
          <w:p w14:paraId="4FBEADAE" w14:textId="77777777" w:rsidR="0001508F" w:rsidRPr="0001508F" w:rsidRDefault="0001508F" w:rsidP="0001508F">
            <w:pPr>
              <w:widowControl w:val="0"/>
              <w:kinsoku w:val="0"/>
              <w:spacing w:before="50" w:after="50"/>
              <w:jc w:val="left"/>
              <w:rPr>
                <w:szCs w:val="24"/>
              </w:rPr>
            </w:pPr>
            <w:r w:rsidRPr="0001508F">
              <w:rPr>
                <w:szCs w:val="24"/>
              </w:rPr>
              <w:t>= Number of stories in nonsprinklered 1- &amp; 2-family buildings shall be limited by Section 903.2.8.</w:t>
            </w:r>
          </w:p>
        </w:tc>
      </w:tr>
    </w:tbl>
    <w:p w14:paraId="37EBEE92" w14:textId="77777777" w:rsidR="0001508F" w:rsidRPr="0001508F" w:rsidRDefault="0001508F" w:rsidP="0001508F">
      <w:pPr>
        <w:tabs>
          <w:tab w:val="left" w:pos="360"/>
        </w:tabs>
        <w:autoSpaceDE w:val="0"/>
        <w:autoSpaceDN w:val="0"/>
        <w:adjustRightInd w:val="0"/>
        <w:spacing w:before="50" w:after="50"/>
        <w:ind w:left="360"/>
        <w:rPr>
          <w:szCs w:val="24"/>
        </w:rPr>
      </w:pPr>
      <w:r w:rsidRPr="0001508F">
        <w:rPr>
          <w:b/>
          <w:bCs/>
          <w:szCs w:val="24"/>
        </w:rPr>
        <w:t>Note:</w:t>
      </w:r>
      <w:r w:rsidRPr="0001508F">
        <w:rPr>
          <w:szCs w:val="24"/>
        </w:rPr>
        <w:t xml:space="preserve"> UL = Unlimited; NP = Not Permitted; NS = Buildings not equipped throughout with an automatic sprinkler system; S = Buildings equipped throughout with an automatic sprinkler system installed in accordance with Section 903.3.1.1; S13R = Buildings equipped throughout with an automatic sprinkler system installed in accordance with Section 903.3.1.2; S13D = Buildings equipped throughout with an automatic sprinkler system installed in accordance with Section 903.3.1.3.</w:t>
      </w:r>
    </w:p>
    <w:p w14:paraId="712C39CB" w14:textId="77777777" w:rsidR="0001508F" w:rsidRPr="0001508F" w:rsidRDefault="0001508F" w:rsidP="0001508F">
      <w:pPr>
        <w:tabs>
          <w:tab w:val="left" w:pos="-4860"/>
        </w:tabs>
        <w:autoSpaceDE w:val="0"/>
        <w:autoSpaceDN w:val="0"/>
        <w:adjustRightInd w:val="0"/>
        <w:spacing w:before="50" w:after="50"/>
        <w:ind w:left="720" w:hanging="360"/>
        <w:rPr>
          <w:szCs w:val="24"/>
        </w:rPr>
      </w:pPr>
      <w:r w:rsidRPr="0001508F">
        <w:rPr>
          <w:szCs w:val="24"/>
        </w:rPr>
        <w:t>a.</w:t>
      </w:r>
      <w:r w:rsidRPr="0001508F">
        <w:rPr>
          <w:szCs w:val="24"/>
        </w:rPr>
        <w:tab/>
        <w:t>See the following sections for general exceptions to Table 504.4.</w:t>
      </w:r>
    </w:p>
    <w:p w14:paraId="48B20A05" w14:textId="77777777" w:rsidR="0001508F" w:rsidRPr="0001508F" w:rsidRDefault="0001508F" w:rsidP="0001508F">
      <w:pPr>
        <w:tabs>
          <w:tab w:val="left" w:pos="-4860"/>
        </w:tabs>
        <w:kinsoku w:val="0"/>
        <w:ind w:left="1080" w:hanging="360"/>
        <w:contextualSpacing/>
        <w:rPr>
          <w:szCs w:val="24"/>
        </w:rPr>
      </w:pPr>
      <w:r w:rsidRPr="0001508F">
        <w:rPr>
          <w:szCs w:val="24"/>
        </w:rPr>
        <w:t>1.</w:t>
      </w:r>
      <w:r w:rsidRPr="0001508F">
        <w:rPr>
          <w:szCs w:val="24"/>
        </w:rPr>
        <w:tab/>
        <w:t>See Chapters 4 and 5 for specific exceptions to the allowable height in this chapter.</w:t>
      </w:r>
    </w:p>
    <w:p w14:paraId="71374398" w14:textId="77777777" w:rsidR="0001508F" w:rsidRPr="0001508F" w:rsidRDefault="0001508F" w:rsidP="0001508F">
      <w:pPr>
        <w:widowControl w:val="0"/>
        <w:kinsoku w:val="0"/>
        <w:ind w:left="1080" w:hanging="360"/>
        <w:contextualSpacing/>
        <w:rPr>
          <w:szCs w:val="24"/>
        </w:rPr>
      </w:pPr>
      <w:r w:rsidRPr="0001508F">
        <w:rPr>
          <w:szCs w:val="24"/>
        </w:rPr>
        <w:t>2.</w:t>
      </w:r>
      <w:r w:rsidRPr="0001508F">
        <w:rPr>
          <w:szCs w:val="24"/>
        </w:rPr>
        <w:tab/>
        <w:t>Section 506.3, Allowable area increase due to frontage.</w:t>
      </w:r>
    </w:p>
    <w:p w14:paraId="70291FFE" w14:textId="77777777" w:rsidR="0001508F" w:rsidRPr="0001508F" w:rsidRDefault="0001508F" w:rsidP="0001508F">
      <w:pPr>
        <w:widowControl w:val="0"/>
        <w:kinsoku w:val="0"/>
        <w:ind w:left="1080" w:hanging="360"/>
        <w:contextualSpacing/>
        <w:rPr>
          <w:szCs w:val="24"/>
        </w:rPr>
      </w:pPr>
      <w:r w:rsidRPr="0001508F">
        <w:rPr>
          <w:szCs w:val="24"/>
        </w:rPr>
        <w:t>3.</w:t>
      </w:r>
      <w:r w:rsidRPr="0001508F">
        <w:rPr>
          <w:szCs w:val="24"/>
        </w:rPr>
        <w:tab/>
        <w:t>Section 507, Unlimited area building.</w:t>
      </w:r>
    </w:p>
    <w:p w14:paraId="74BD4430" w14:textId="77777777" w:rsidR="0001508F" w:rsidRPr="0001508F" w:rsidRDefault="0001508F" w:rsidP="0001508F">
      <w:pPr>
        <w:tabs>
          <w:tab w:val="left" w:pos="-4860"/>
        </w:tabs>
        <w:autoSpaceDE w:val="0"/>
        <w:autoSpaceDN w:val="0"/>
        <w:adjustRightInd w:val="0"/>
        <w:spacing w:before="50" w:after="50"/>
        <w:ind w:left="720" w:hanging="360"/>
        <w:rPr>
          <w:szCs w:val="24"/>
        </w:rPr>
      </w:pPr>
      <w:r w:rsidRPr="0001508F">
        <w:rPr>
          <w:szCs w:val="24"/>
        </w:rPr>
        <w:t>b.</w:t>
      </w:r>
      <w:r w:rsidRPr="0001508F">
        <w:rPr>
          <w:szCs w:val="24"/>
        </w:rPr>
        <w:tab/>
        <w:t>See Section 903.2 for the minimum thresholds for protection by an automatic sprinkler system for specific occupancies.</w:t>
      </w:r>
    </w:p>
    <w:p w14:paraId="1BEDDB74" w14:textId="77777777" w:rsidR="0001508F" w:rsidRPr="0001508F" w:rsidRDefault="0001508F" w:rsidP="0001508F">
      <w:pPr>
        <w:widowControl w:val="0"/>
        <w:kinsoku w:val="0"/>
        <w:spacing w:before="50" w:after="50"/>
        <w:ind w:left="720" w:hanging="360"/>
        <w:rPr>
          <w:szCs w:val="24"/>
        </w:rPr>
      </w:pPr>
      <w:r w:rsidRPr="0001508F">
        <w:rPr>
          <w:szCs w:val="24"/>
        </w:rPr>
        <w:t>c.</w:t>
      </w:r>
      <w:r w:rsidRPr="0001508F">
        <w:rPr>
          <w:szCs w:val="24"/>
        </w:rPr>
        <w:tab/>
        <w:t>The NS value is only for use in buildings not required by this code to be equipped throughout with an automatic sprinkler system.</w:t>
      </w:r>
    </w:p>
    <w:p w14:paraId="0F08A7EB" w14:textId="77777777" w:rsidR="0001508F" w:rsidRPr="0001508F" w:rsidRDefault="0001508F" w:rsidP="0001508F">
      <w:pPr>
        <w:widowControl w:val="0"/>
        <w:kinsoku w:val="0"/>
        <w:spacing w:before="50" w:after="50"/>
        <w:ind w:left="720" w:hanging="360"/>
        <w:rPr>
          <w:szCs w:val="24"/>
        </w:rPr>
      </w:pPr>
      <w:r w:rsidRPr="0001508F">
        <w:rPr>
          <w:szCs w:val="24"/>
        </w:rPr>
        <w:t>d.</w:t>
      </w:r>
      <w:r w:rsidRPr="0001508F">
        <w:rPr>
          <w:szCs w:val="24"/>
        </w:rPr>
        <w:tab/>
        <w:t>For open parking structures, see Section 406.5.</w:t>
      </w:r>
    </w:p>
    <w:p w14:paraId="5A1E8D61" w14:textId="77777777" w:rsidR="0001508F" w:rsidRPr="0001508F" w:rsidRDefault="0001508F" w:rsidP="0001508F">
      <w:pPr>
        <w:widowControl w:val="0"/>
        <w:kinsoku w:val="0"/>
        <w:spacing w:before="50" w:after="50"/>
        <w:ind w:left="720" w:hanging="360"/>
        <w:rPr>
          <w:szCs w:val="24"/>
        </w:rPr>
      </w:pPr>
      <w:r w:rsidRPr="0001508F">
        <w:rPr>
          <w:szCs w:val="24"/>
        </w:rPr>
        <w:t>e.</w:t>
      </w:r>
      <w:r w:rsidRPr="0001508F">
        <w:rPr>
          <w:szCs w:val="24"/>
        </w:rPr>
        <w:tab/>
        <w:t>For private garages, see Section 406.3.</w:t>
      </w:r>
    </w:p>
    <w:p w14:paraId="6122A61E" w14:textId="77777777" w:rsidR="0001508F" w:rsidRPr="0001508F" w:rsidRDefault="0001508F" w:rsidP="0001508F">
      <w:pPr>
        <w:widowControl w:val="0"/>
        <w:kinsoku w:val="0"/>
        <w:spacing w:before="50" w:after="50"/>
        <w:ind w:left="720" w:hanging="360"/>
        <w:rPr>
          <w:szCs w:val="24"/>
        </w:rPr>
      </w:pPr>
      <w:r w:rsidRPr="0001508F">
        <w:rPr>
          <w:szCs w:val="24"/>
        </w:rPr>
        <w:t>f.</w:t>
      </w:r>
      <w:r w:rsidRPr="0001508F">
        <w:rPr>
          <w:szCs w:val="24"/>
        </w:rPr>
        <w:tab/>
        <w:t>See Section 415.8 for limitations.</w:t>
      </w:r>
    </w:p>
    <w:p w14:paraId="094BAB9D" w14:textId="77777777" w:rsidR="0001508F" w:rsidRPr="0001508F" w:rsidRDefault="0001508F" w:rsidP="0001508F">
      <w:pPr>
        <w:widowControl w:val="0"/>
        <w:kinsoku w:val="0"/>
        <w:spacing w:before="50" w:after="50"/>
        <w:ind w:left="720" w:hanging="360"/>
        <w:rPr>
          <w:szCs w:val="24"/>
        </w:rPr>
      </w:pPr>
      <w:r w:rsidRPr="0001508F">
        <w:rPr>
          <w:szCs w:val="24"/>
        </w:rPr>
        <w:t>g.</w:t>
      </w:r>
      <w:r w:rsidRPr="0001508F">
        <w:rPr>
          <w:szCs w:val="24"/>
        </w:rPr>
        <w:tab/>
        <w:t>See Exception 9 of Section D105.1 for allowances of Type VA and VB construction for R-3 occupancies.</w:t>
      </w:r>
    </w:p>
    <w:p w14:paraId="370349ED" w14:textId="77777777" w:rsidR="0001508F" w:rsidRPr="0001508F" w:rsidRDefault="0001508F" w:rsidP="0001508F">
      <w:pPr>
        <w:widowControl w:val="0"/>
        <w:kinsoku w:val="0"/>
        <w:spacing w:before="50" w:after="50"/>
        <w:ind w:left="720" w:hanging="360"/>
        <w:rPr>
          <w:szCs w:val="24"/>
        </w:rPr>
      </w:pPr>
      <w:r w:rsidRPr="0001508F">
        <w:rPr>
          <w:szCs w:val="24"/>
        </w:rPr>
        <w:t>h.</w:t>
      </w:r>
      <w:r w:rsidRPr="0001508F">
        <w:rPr>
          <w:szCs w:val="24"/>
        </w:rPr>
        <w:tab/>
        <w:t>See Exception 12 of Section D105.1 for allowances of Type VA construction and height limitations for R-3 occupancies in Lower Density Growth Management Areas.</w:t>
      </w:r>
    </w:p>
    <w:p w14:paraId="1437E32A" w14:textId="77777777" w:rsidR="0001508F" w:rsidRPr="0001508F" w:rsidRDefault="0001508F" w:rsidP="0001508F">
      <w:pPr>
        <w:widowControl w:val="0"/>
        <w:autoSpaceDE w:val="0"/>
        <w:autoSpaceDN w:val="0"/>
        <w:adjustRightInd w:val="0"/>
        <w:spacing w:before="50" w:after="50"/>
        <w:ind w:left="720" w:hanging="360"/>
        <w:rPr>
          <w:spacing w:val="4"/>
          <w:szCs w:val="24"/>
        </w:rPr>
      </w:pPr>
      <w:r w:rsidRPr="0001508F">
        <w:rPr>
          <w:szCs w:val="24"/>
        </w:rPr>
        <w:t>i.</w:t>
      </w:r>
      <w:r w:rsidRPr="0001508F">
        <w:rPr>
          <w:szCs w:val="24"/>
        </w:rPr>
        <w:tab/>
        <w:t>Type IV construction utilizing cross-laminated timber or structural composite lumber shall be sprinklered where required by Section 903.2.13</w:t>
      </w:r>
      <w:r w:rsidRPr="0001508F">
        <w:rPr>
          <w:spacing w:val="4"/>
          <w:szCs w:val="24"/>
        </w:rPr>
        <w:t>.</w:t>
      </w:r>
    </w:p>
    <w:p w14:paraId="3F128279" w14:textId="77777777" w:rsidR="0001508F" w:rsidRPr="0001508F" w:rsidRDefault="0001508F" w:rsidP="0001508F">
      <w:pPr>
        <w:autoSpaceDE w:val="0"/>
        <w:autoSpaceDN w:val="0"/>
        <w:adjustRightInd w:val="0"/>
        <w:spacing w:before="50" w:after="120"/>
        <w:ind w:left="720" w:hanging="360"/>
        <w:rPr>
          <w:szCs w:val="24"/>
          <w:u w:val="single"/>
        </w:rPr>
      </w:pPr>
      <w:r w:rsidRPr="0001508F">
        <w:rPr>
          <w:szCs w:val="24"/>
          <w:u w:val="single"/>
        </w:rPr>
        <w:t>j.</w:t>
      </w:r>
      <w:r w:rsidRPr="0001508F">
        <w:rPr>
          <w:szCs w:val="24"/>
          <w:u w:val="single"/>
        </w:rPr>
        <w:tab/>
        <w:t xml:space="preserve">For existing high-rise buildings, refer to the </w:t>
      </w:r>
      <w:r w:rsidRPr="0001508F">
        <w:rPr>
          <w:i/>
          <w:iCs/>
          <w:szCs w:val="24"/>
          <w:u w:val="single"/>
        </w:rPr>
        <w:t>New York City Existing Building Code</w:t>
      </w:r>
      <w:r w:rsidRPr="0001508F">
        <w:rPr>
          <w:szCs w:val="24"/>
          <w:u w:val="single"/>
        </w:rPr>
        <w:t>.</w:t>
      </w:r>
    </w:p>
    <w:p w14:paraId="442428FC" w14:textId="77777777" w:rsidR="0001508F" w:rsidRPr="0001508F" w:rsidRDefault="0001508F" w:rsidP="0001508F">
      <w:pPr>
        <w:widowControl w:val="0"/>
        <w:spacing w:before="120" w:after="120"/>
        <w:rPr>
          <w:b/>
          <w:szCs w:val="24"/>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2070"/>
        <w:gridCol w:w="1498"/>
        <w:gridCol w:w="329"/>
        <w:gridCol w:w="787"/>
        <w:gridCol w:w="668"/>
        <w:gridCol w:w="668"/>
        <w:gridCol w:w="668"/>
        <w:gridCol w:w="668"/>
        <w:gridCol w:w="668"/>
        <w:gridCol w:w="668"/>
        <w:gridCol w:w="668"/>
      </w:tblGrid>
      <w:tr w:rsidR="0001508F" w:rsidRPr="0001508F" w14:paraId="0825AABF" w14:textId="77777777" w:rsidTr="00732DDC">
        <w:trPr>
          <w:cantSplit/>
          <w:tblHeader/>
          <w:jc w:val="center"/>
        </w:trPr>
        <w:tc>
          <w:tcPr>
            <w:tcW w:w="5000" w:type="pct"/>
            <w:gridSpan w:val="11"/>
            <w:tcBorders>
              <w:top w:val="nil"/>
              <w:left w:val="nil"/>
              <w:bottom w:val="single" w:sz="4" w:space="0" w:color="000000"/>
              <w:right w:val="nil"/>
            </w:tcBorders>
            <w:vAlign w:val="center"/>
            <w:hideMark/>
          </w:tcPr>
          <w:p w14:paraId="3A451AE6" w14:textId="77777777" w:rsidR="0001508F" w:rsidRPr="0001508F" w:rsidRDefault="0001508F" w:rsidP="0001508F">
            <w:pPr>
              <w:tabs>
                <w:tab w:val="left" w:pos="1440"/>
              </w:tabs>
              <w:autoSpaceDE w:val="0"/>
              <w:autoSpaceDN w:val="0"/>
              <w:adjustRightInd w:val="0"/>
              <w:ind w:hanging="360"/>
              <w:jc w:val="center"/>
              <w:rPr>
                <w:b/>
                <w:bCs/>
                <w:szCs w:val="24"/>
              </w:rPr>
            </w:pPr>
            <w:bookmarkStart w:id="290" w:name="_Toc389742685"/>
            <w:bookmarkStart w:id="291" w:name="_Toc389734123"/>
            <w:r w:rsidRPr="0001508F">
              <w:rPr>
                <w:b/>
                <w:bCs/>
                <w:szCs w:val="24"/>
              </w:rPr>
              <w:t>TABLE 506.2</w:t>
            </w:r>
            <w:r w:rsidRPr="0001508F">
              <w:rPr>
                <w:b/>
                <w:bCs/>
                <w:szCs w:val="24"/>
                <w:vertAlign w:val="superscript"/>
              </w:rPr>
              <w:t>a</w:t>
            </w:r>
            <w:r w:rsidRPr="0001508F">
              <w:rPr>
                <w:b/>
                <w:bCs/>
                <w:szCs w:val="24"/>
                <w:u w:val="single"/>
                <w:vertAlign w:val="superscript"/>
              </w:rPr>
              <w:t>, j</w:t>
            </w:r>
            <w:r w:rsidRPr="0001508F">
              <w:rPr>
                <w:b/>
                <w:bCs/>
                <w:szCs w:val="24"/>
              </w:rPr>
              <w:br/>
              <w:t>ALLOWABLE AREA FACTOR (</w:t>
            </w:r>
            <w:r w:rsidRPr="0001508F">
              <w:rPr>
                <w:b/>
                <w:bCs/>
                <w:i/>
                <w:iCs/>
                <w:szCs w:val="24"/>
              </w:rPr>
              <w:t>A</w:t>
            </w:r>
            <w:r w:rsidRPr="0001508F">
              <w:rPr>
                <w:b/>
                <w:bCs/>
                <w:i/>
                <w:iCs/>
                <w:szCs w:val="24"/>
                <w:vertAlign w:val="subscript"/>
              </w:rPr>
              <w:t>t</w:t>
            </w:r>
            <w:r w:rsidRPr="0001508F">
              <w:rPr>
                <w:b/>
                <w:bCs/>
                <w:szCs w:val="24"/>
              </w:rPr>
              <w:t xml:space="preserve"> = NS, S1, S13D, S13R, or SM, as applicable) IN SQUARE FEET</w:t>
            </w:r>
          </w:p>
        </w:tc>
      </w:tr>
      <w:tr w:rsidR="0001508F" w:rsidRPr="0001508F" w14:paraId="0C0A094B" w14:textId="77777777" w:rsidTr="00732DDC">
        <w:trPr>
          <w:cantSplit/>
          <w:tblHeader/>
          <w:jc w:val="center"/>
        </w:trPr>
        <w:tc>
          <w:tcPr>
            <w:tcW w:w="1073" w:type="pct"/>
            <w:vMerge w:val="restart"/>
            <w:tcBorders>
              <w:top w:val="single" w:sz="4" w:space="0" w:color="000000"/>
              <w:left w:val="single" w:sz="4" w:space="0" w:color="000000"/>
              <w:bottom w:val="single" w:sz="4" w:space="0" w:color="000000"/>
              <w:right w:val="single" w:sz="4" w:space="0" w:color="000000"/>
            </w:tcBorders>
            <w:vAlign w:val="center"/>
            <w:hideMark/>
          </w:tcPr>
          <w:p w14:paraId="281415EA" w14:textId="77777777" w:rsidR="0001508F" w:rsidRPr="0001508F" w:rsidRDefault="0001508F" w:rsidP="0001508F">
            <w:pPr>
              <w:tabs>
                <w:tab w:val="left" w:pos="-4413"/>
              </w:tabs>
              <w:autoSpaceDE w:val="0"/>
              <w:autoSpaceDN w:val="0"/>
              <w:adjustRightInd w:val="0"/>
              <w:ind w:hanging="3"/>
              <w:jc w:val="center"/>
              <w:rPr>
                <w:b/>
                <w:bCs/>
                <w:szCs w:val="24"/>
              </w:rPr>
            </w:pPr>
            <w:r w:rsidRPr="0001508F">
              <w:rPr>
                <w:b/>
                <w:bCs/>
                <w:szCs w:val="24"/>
              </w:rPr>
              <w:t>OCCUPANCY CLASSIFICATION</w:t>
            </w:r>
          </w:p>
        </w:tc>
        <w:tc>
          <w:tcPr>
            <w:tcW w:w="777" w:type="pct"/>
            <w:vMerge w:val="restart"/>
            <w:tcBorders>
              <w:top w:val="single" w:sz="4" w:space="0" w:color="000000"/>
              <w:left w:val="single" w:sz="4" w:space="0" w:color="000000"/>
              <w:bottom w:val="single" w:sz="4" w:space="0" w:color="000000"/>
              <w:right w:val="single" w:sz="4" w:space="0" w:color="000000"/>
            </w:tcBorders>
            <w:vAlign w:val="center"/>
            <w:hideMark/>
          </w:tcPr>
          <w:p w14:paraId="25997226" w14:textId="77777777" w:rsidR="0001508F" w:rsidRPr="0001508F" w:rsidRDefault="0001508F" w:rsidP="0001508F">
            <w:pPr>
              <w:tabs>
                <w:tab w:val="left" w:pos="1440"/>
              </w:tabs>
              <w:autoSpaceDE w:val="0"/>
              <w:autoSpaceDN w:val="0"/>
              <w:adjustRightInd w:val="0"/>
              <w:jc w:val="center"/>
              <w:rPr>
                <w:b/>
                <w:bCs/>
                <w:szCs w:val="24"/>
              </w:rPr>
            </w:pPr>
            <w:r w:rsidRPr="0001508F">
              <w:rPr>
                <w:b/>
                <w:bCs/>
                <w:szCs w:val="24"/>
              </w:rPr>
              <w:t>SEE</w:t>
            </w:r>
          </w:p>
          <w:p w14:paraId="0ABCE1DE" w14:textId="77777777" w:rsidR="0001508F" w:rsidRPr="0001508F" w:rsidRDefault="0001508F" w:rsidP="0001508F">
            <w:pPr>
              <w:tabs>
                <w:tab w:val="left" w:pos="1440"/>
              </w:tabs>
              <w:autoSpaceDE w:val="0"/>
              <w:autoSpaceDN w:val="0"/>
              <w:adjustRightInd w:val="0"/>
              <w:jc w:val="center"/>
              <w:rPr>
                <w:b/>
                <w:bCs/>
                <w:szCs w:val="24"/>
              </w:rPr>
            </w:pPr>
            <w:r w:rsidRPr="0001508F">
              <w:rPr>
                <w:b/>
                <w:bCs/>
                <w:szCs w:val="24"/>
              </w:rPr>
              <w:t>FOOTNOTES</w:t>
            </w:r>
          </w:p>
        </w:tc>
        <w:tc>
          <w:tcPr>
            <w:tcW w:w="3150" w:type="pct"/>
            <w:gridSpan w:val="9"/>
            <w:tcBorders>
              <w:top w:val="single" w:sz="4" w:space="0" w:color="000000"/>
              <w:left w:val="single" w:sz="4" w:space="0" w:color="000000"/>
              <w:bottom w:val="single" w:sz="4" w:space="0" w:color="000000"/>
              <w:right w:val="single" w:sz="4" w:space="0" w:color="000000"/>
            </w:tcBorders>
            <w:vAlign w:val="center"/>
            <w:hideMark/>
          </w:tcPr>
          <w:p w14:paraId="0B31AEC2" w14:textId="77777777" w:rsidR="0001508F" w:rsidRPr="0001508F" w:rsidRDefault="0001508F" w:rsidP="0001508F">
            <w:pPr>
              <w:tabs>
                <w:tab w:val="left" w:pos="1440"/>
              </w:tabs>
              <w:autoSpaceDE w:val="0"/>
              <w:autoSpaceDN w:val="0"/>
              <w:adjustRightInd w:val="0"/>
              <w:ind w:hanging="360"/>
              <w:jc w:val="center"/>
              <w:rPr>
                <w:b/>
                <w:bCs/>
                <w:szCs w:val="24"/>
              </w:rPr>
            </w:pPr>
            <w:r w:rsidRPr="0001508F">
              <w:rPr>
                <w:b/>
                <w:bCs/>
                <w:szCs w:val="24"/>
              </w:rPr>
              <w:t>TYPE OF CONSTRUCTION</w:t>
            </w:r>
          </w:p>
        </w:tc>
      </w:tr>
      <w:tr w:rsidR="0001508F" w:rsidRPr="0001508F" w14:paraId="38008DB0" w14:textId="77777777" w:rsidTr="00732DDC">
        <w:trPr>
          <w:cantSplit/>
          <w:tblHeade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8133A4A" w14:textId="77777777" w:rsidR="0001508F" w:rsidRPr="0001508F" w:rsidRDefault="0001508F" w:rsidP="0001508F">
            <w:pPr>
              <w:jc w:val="left"/>
              <w:rPr>
                <w:b/>
                <w:bCs/>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4B023FE" w14:textId="77777777" w:rsidR="0001508F" w:rsidRPr="0001508F" w:rsidRDefault="0001508F" w:rsidP="0001508F">
            <w:pPr>
              <w:jc w:val="left"/>
              <w:rPr>
                <w:b/>
                <w:bCs/>
                <w:szCs w:val="24"/>
              </w:rPr>
            </w:pPr>
          </w:p>
        </w:tc>
        <w:tc>
          <w:tcPr>
            <w:tcW w:w="704" w:type="pct"/>
            <w:gridSpan w:val="2"/>
            <w:tcBorders>
              <w:top w:val="single" w:sz="4" w:space="0" w:color="000000"/>
              <w:left w:val="single" w:sz="4" w:space="0" w:color="000000"/>
              <w:bottom w:val="single" w:sz="4" w:space="0" w:color="000000"/>
              <w:right w:val="single" w:sz="4" w:space="0" w:color="000000"/>
            </w:tcBorders>
            <w:vAlign w:val="center"/>
            <w:hideMark/>
          </w:tcPr>
          <w:p w14:paraId="44618B88" w14:textId="77777777" w:rsidR="0001508F" w:rsidRPr="0001508F" w:rsidRDefault="0001508F" w:rsidP="0001508F">
            <w:pPr>
              <w:tabs>
                <w:tab w:val="left" w:pos="1440"/>
              </w:tabs>
              <w:autoSpaceDE w:val="0"/>
              <w:autoSpaceDN w:val="0"/>
              <w:adjustRightInd w:val="0"/>
              <w:jc w:val="center"/>
              <w:rPr>
                <w:b/>
                <w:bCs/>
                <w:szCs w:val="24"/>
              </w:rPr>
            </w:pPr>
            <w:r w:rsidRPr="0001508F">
              <w:rPr>
                <w:b/>
                <w:bCs/>
                <w:szCs w:val="24"/>
              </w:rPr>
              <w:t>TYPE I</w:t>
            </w:r>
          </w:p>
        </w:tc>
        <w:tc>
          <w:tcPr>
            <w:tcW w:w="703" w:type="pct"/>
            <w:gridSpan w:val="2"/>
            <w:tcBorders>
              <w:top w:val="single" w:sz="4" w:space="0" w:color="000000"/>
              <w:left w:val="single" w:sz="4" w:space="0" w:color="000000"/>
              <w:bottom w:val="single" w:sz="4" w:space="0" w:color="000000"/>
              <w:right w:val="single" w:sz="4" w:space="0" w:color="000000"/>
            </w:tcBorders>
            <w:vAlign w:val="center"/>
            <w:hideMark/>
          </w:tcPr>
          <w:p w14:paraId="6D32CC73" w14:textId="77777777" w:rsidR="0001508F" w:rsidRPr="0001508F" w:rsidRDefault="0001508F" w:rsidP="0001508F">
            <w:pPr>
              <w:tabs>
                <w:tab w:val="left" w:pos="1440"/>
              </w:tabs>
              <w:autoSpaceDE w:val="0"/>
              <w:autoSpaceDN w:val="0"/>
              <w:adjustRightInd w:val="0"/>
              <w:jc w:val="center"/>
              <w:rPr>
                <w:b/>
                <w:bCs/>
                <w:szCs w:val="24"/>
              </w:rPr>
            </w:pPr>
            <w:r w:rsidRPr="0001508F">
              <w:rPr>
                <w:b/>
                <w:bCs/>
                <w:szCs w:val="24"/>
              </w:rPr>
              <w:t>TYPE II</w:t>
            </w:r>
          </w:p>
        </w:tc>
        <w:tc>
          <w:tcPr>
            <w:tcW w:w="693" w:type="pct"/>
            <w:gridSpan w:val="2"/>
            <w:tcBorders>
              <w:top w:val="single" w:sz="4" w:space="0" w:color="000000"/>
              <w:left w:val="single" w:sz="4" w:space="0" w:color="000000"/>
              <w:bottom w:val="single" w:sz="4" w:space="0" w:color="000000"/>
              <w:right w:val="single" w:sz="4" w:space="0" w:color="000000"/>
            </w:tcBorders>
            <w:vAlign w:val="center"/>
            <w:hideMark/>
          </w:tcPr>
          <w:p w14:paraId="50DA5522" w14:textId="77777777" w:rsidR="0001508F" w:rsidRPr="0001508F" w:rsidRDefault="0001508F" w:rsidP="0001508F">
            <w:pPr>
              <w:tabs>
                <w:tab w:val="left" w:pos="-10618"/>
              </w:tabs>
              <w:autoSpaceDE w:val="0"/>
              <w:autoSpaceDN w:val="0"/>
              <w:adjustRightInd w:val="0"/>
              <w:jc w:val="center"/>
              <w:rPr>
                <w:b/>
                <w:bCs/>
                <w:szCs w:val="24"/>
              </w:rPr>
            </w:pPr>
            <w:r w:rsidRPr="0001508F">
              <w:rPr>
                <w:b/>
                <w:bCs/>
                <w:szCs w:val="24"/>
              </w:rPr>
              <w:t>TYPE III</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6300CED8" w14:textId="77777777" w:rsidR="0001508F" w:rsidRPr="0001508F" w:rsidRDefault="0001508F" w:rsidP="0001508F">
            <w:pPr>
              <w:tabs>
                <w:tab w:val="left" w:pos="1440"/>
              </w:tabs>
              <w:autoSpaceDE w:val="0"/>
              <w:autoSpaceDN w:val="0"/>
              <w:adjustRightInd w:val="0"/>
              <w:jc w:val="center"/>
              <w:rPr>
                <w:b/>
                <w:bCs/>
                <w:szCs w:val="24"/>
              </w:rPr>
            </w:pPr>
            <w:r w:rsidRPr="0001508F">
              <w:rPr>
                <w:b/>
                <w:bCs/>
                <w:szCs w:val="24"/>
              </w:rPr>
              <w:t>TYPE IV</w:t>
            </w:r>
            <w:r w:rsidRPr="0001508F">
              <w:rPr>
                <w:b/>
                <w:bCs/>
                <w:szCs w:val="24"/>
                <w:vertAlign w:val="superscript"/>
              </w:rPr>
              <w:t>i</w:t>
            </w:r>
          </w:p>
        </w:tc>
        <w:tc>
          <w:tcPr>
            <w:tcW w:w="693" w:type="pct"/>
            <w:gridSpan w:val="2"/>
            <w:tcBorders>
              <w:top w:val="single" w:sz="4" w:space="0" w:color="000000"/>
              <w:left w:val="single" w:sz="4" w:space="0" w:color="000000"/>
              <w:bottom w:val="single" w:sz="4" w:space="0" w:color="000000"/>
              <w:right w:val="single" w:sz="4" w:space="0" w:color="000000"/>
            </w:tcBorders>
            <w:vAlign w:val="center"/>
            <w:hideMark/>
          </w:tcPr>
          <w:p w14:paraId="310C17FA" w14:textId="77777777" w:rsidR="0001508F" w:rsidRPr="0001508F" w:rsidRDefault="0001508F" w:rsidP="0001508F">
            <w:pPr>
              <w:tabs>
                <w:tab w:val="left" w:pos="1440"/>
              </w:tabs>
              <w:autoSpaceDE w:val="0"/>
              <w:autoSpaceDN w:val="0"/>
              <w:adjustRightInd w:val="0"/>
              <w:jc w:val="center"/>
              <w:rPr>
                <w:b/>
                <w:bCs/>
                <w:szCs w:val="24"/>
              </w:rPr>
            </w:pPr>
            <w:r w:rsidRPr="0001508F">
              <w:rPr>
                <w:b/>
                <w:bCs/>
                <w:szCs w:val="24"/>
              </w:rPr>
              <w:t>TYPE V</w:t>
            </w:r>
          </w:p>
        </w:tc>
      </w:tr>
      <w:tr w:rsidR="0001508F" w:rsidRPr="0001508F" w14:paraId="71A6C75E" w14:textId="77777777" w:rsidTr="00732DDC">
        <w:trPr>
          <w:cantSplit/>
          <w:trHeight w:val="143"/>
          <w:tblHeade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84877CD" w14:textId="77777777" w:rsidR="0001508F" w:rsidRPr="0001508F" w:rsidRDefault="0001508F" w:rsidP="0001508F">
            <w:pPr>
              <w:jc w:val="left"/>
              <w:rPr>
                <w:b/>
                <w:bCs/>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F28A54C" w14:textId="77777777" w:rsidR="0001508F" w:rsidRPr="0001508F" w:rsidRDefault="0001508F" w:rsidP="0001508F">
            <w:pPr>
              <w:jc w:val="left"/>
              <w:rPr>
                <w:b/>
                <w:bCs/>
                <w:szCs w:val="24"/>
              </w:rPr>
            </w:pPr>
          </w:p>
        </w:tc>
        <w:tc>
          <w:tcPr>
            <w:tcW w:w="296" w:type="pct"/>
            <w:tcBorders>
              <w:top w:val="single" w:sz="4" w:space="0" w:color="000000"/>
              <w:left w:val="single" w:sz="4" w:space="0" w:color="000000"/>
              <w:bottom w:val="single" w:sz="4" w:space="0" w:color="000000"/>
              <w:right w:val="single" w:sz="4" w:space="0" w:color="000000"/>
            </w:tcBorders>
            <w:vAlign w:val="center"/>
            <w:hideMark/>
          </w:tcPr>
          <w:p w14:paraId="355A4CCC" w14:textId="77777777" w:rsidR="0001508F" w:rsidRPr="0001508F" w:rsidRDefault="0001508F" w:rsidP="0001508F">
            <w:pPr>
              <w:tabs>
                <w:tab w:val="left" w:pos="1440"/>
              </w:tabs>
              <w:autoSpaceDE w:val="0"/>
              <w:autoSpaceDN w:val="0"/>
              <w:adjustRightInd w:val="0"/>
              <w:jc w:val="center"/>
              <w:rPr>
                <w:b/>
                <w:bCs/>
                <w:szCs w:val="24"/>
              </w:rPr>
            </w:pPr>
            <w:r w:rsidRPr="0001508F">
              <w:rPr>
                <w:b/>
                <w:bCs/>
                <w:szCs w:val="24"/>
              </w:rPr>
              <w:t>A</w:t>
            </w:r>
          </w:p>
        </w:tc>
        <w:tc>
          <w:tcPr>
            <w:tcW w:w="408" w:type="pct"/>
            <w:tcBorders>
              <w:top w:val="single" w:sz="4" w:space="0" w:color="000000"/>
              <w:left w:val="single" w:sz="4" w:space="0" w:color="000000"/>
              <w:bottom w:val="single" w:sz="4" w:space="0" w:color="000000"/>
              <w:right w:val="single" w:sz="4" w:space="0" w:color="000000"/>
            </w:tcBorders>
            <w:vAlign w:val="center"/>
            <w:hideMark/>
          </w:tcPr>
          <w:p w14:paraId="6440EF12" w14:textId="77777777" w:rsidR="0001508F" w:rsidRPr="0001508F" w:rsidRDefault="0001508F" w:rsidP="0001508F">
            <w:pPr>
              <w:tabs>
                <w:tab w:val="left" w:pos="1440"/>
              </w:tabs>
              <w:autoSpaceDE w:val="0"/>
              <w:autoSpaceDN w:val="0"/>
              <w:adjustRightInd w:val="0"/>
              <w:jc w:val="center"/>
              <w:rPr>
                <w:b/>
                <w:bCs/>
                <w:szCs w:val="24"/>
              </w:rPr>
            </w:pPr>
            <w:r w:rsidRPr="0001508F">
              <w:rPr>
                <w:b/>
                <w:bCs/>
                <w:szCs w:val="24"/>
              </w:rPr>
              <w:t>B</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2A2071E3" w14:textId="77777777" w:rsidR="0001508F" w:rsidRPr="0001508F" w:rsidRDefault="0001508F" w:rsidP="0001508F">
            <w:pPr>
              <w:tabs>
                <w:tab w:val="left" w:pos="1440"/>
              </w:tabs>
              <w:autoSpaceDE w:val="0"/>
              <w:autoSpaceDN w:val="0"/>
              <w:adjustRightInd w:val="0"/>
              <w:jc w:val="center"/>
              <w:rPr>
                <w:b/>
                <w:bCs/>
                <w:szCs w:val="24"/>
              </w:rPr>
            </w:pPr>
            <w:r w:rsidRPr="0001508F">
              <w:rPr>
                <w:b/>
                <w:bCs/>
                <w:szCs w:val="24"/>
              </w:rPr>
              <w:t>A</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39BDDDF8" w14:textId="77777777" w:rsidR="0001508F" w:rsidRPr="0001508F" w:rsidRDefault="0001508F" w:rsidP="0001508F">
            <w:pPr>
              <w:tabs>
                <w:tab w:val="left" w:pos="1440"/>
              </w:tabs>
              <w:autoSpaceDE w:val="0"/>
              <w:autoSpaceDN w:val="0"/>
              <w:adjustRightInd w:val="0"/>
              <w:jc w:val="center"/>
              <w:rPr>
                <w:b/>
                <w:bCs/>
                <w:szCs w:val="24"/>
              </w:rPr>
            </w:pPr>
            <w:r w:rsidRPr="0001508F">
              <w:rPr>
                <w:b/>
                <w:bCs/>
                <w:szCs w:val="24"/>
              </w:rPr>
              <w:t>B</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43F93807" w14:textId="77777777" w:rsidR="0001508F" w:rsidRPr="0001508F" w:rsidRDefault="0001508F" w:rsidP="0001508F">
            <w:pPr>
              <w:tabs>
                <w:tab w:val="left" w:pos="1440"/>
              </w:tabs>
              <w:autoSpaceDE w:val="0"/>
              <w:autoSpaceDN w:val="0"/>
              <w:adjustRightInd w:val="0"/>
              <w:jc w:val="center"/>
              <w:rPr>
                <w:b/>
                <w:bCs/>
                <w:szCs w:val="24"/>
              </w:rPr>
            </w:pPr>
            <w:r w:rsidRPr="0001508F">
              <w:rPr>
                <w:b/>
                <w:bCs/>
                <w:szCs w:val="24"/>
              </w:rPr>
              <w:t>A</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4AE74294" w14:textId="77777777" w:rsidR="0001508F" w:rsidRPr="0001508F" w:rsidRDefault="0001508F" w:rsidP="0001508F">
            <w:pPr>
              <w:tabs>
                <w:tab w:val="left" w:pos="1440"/>
              </w:tabs>
              <w:autoSpaceDE w:val="0"/>
              <w:autoSpaceDN w:val="0"/>
              <w:adjustRightInd w:val="0"/>
              <w:jc w:val="center"/>
              <w:rPr>
                <w:b/>
                <w:bCs/>
                <w:szCs w:val="24"/>
              </w:rPr>
            </w:pPr>
            <w:r w:rsidRPr="0001508F">
              <w:rPr>
                <w:b/>
                <w:bCs/>
                <w:szCs w:val="24"/>
              </w:rPr>
              <w:t>B</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24F20008" w14:textId="77777777" w:rsidR="0001508F" w:rsidRPr="0001508F" w:rsidRDefault="0001508F" w:rsidP="0001508F">
            <w:pPr>
              <w:tabs>
                <w:tab w:val="left" w:pos="1440"/>
              </w:tabs>
              <w:autoSpaceDE w:val="0"/>
              <w:autoSpaceDN w:val="0"/>
              <w:adjustRightInd w:val="0"/>
              <w:jc w:val="center"/>
              <w:rPr>
                <w:b/>
                <w:bCs/>
                <w:szCs w:val="24"/>
              </w:rPr>
            </w:pPr>
            <w:r w:rsidRPr="0001508F">
              <w:rPr>
                <w:b/>
                <w:bCs/>
                <w:szCs w:val="24"/>
              </w:rPr>
              <w:t>HT</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72F80BB2" w14:textId="77777777" w:rsidR="0001508F" w:rsidRPr="0001508F" w:rsidRDefault="0001508F" w:rsidP="0001508F">
            <w:pPr>
              <w:tabs>
                <w:tab w:val="left" w:pos="1440"/>
              </w:tabs>
              <w:autoSpaceDE w:val="0"/>
              <w:autoSpaceDN w:val="0"/>
              <w:adjustRightInd w:val="0"/>
              <w:jc w:val="center"/>
              <w:rPr>
                <w:b/>
                <w:bCs/>
                <w:szCs w:val="24"/>
              </w:rPr>
            </w:pPr>
            <w:r w:rsidRPr="0001508F">
              <w:rPr>
                <w:b/>
                <w:bCs/>
                <w:szCs w:val="24"/>
              </w:rPr>
              <w:t>A</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30E58EDF" w14:textId="77777777" w:rsidR="0001508F" w:rsidRPr="0001508F" w:rsidRDefault="0001508F" w:rsidP="0001508F">
            <w:pPr>
              <w:tabs>
                <w:tab w:val="left" w:pos="1440"/>
              </w:tabs>
              <w:autoSpaceDE w:val="0"/>
              <w:autoSpaceDN w:val="0"/>
              <w:adjustRightInd w:val="0"/>
              <w:jc w:val="center"/>
              <w:rPr>
                <w:szCs w:val="24"/>
              </w:rPr>
            </w:pPr>
            <w:r w:rsidRPr="0001508F">
              <w:rPr>
                <w:b/>
                <w:bCs/>
                <w:szCs w:val="24"/>
              </w:rPr>
              <w:t>B</w:t>
            </w:r>
          </w:p>
        </w:tc>
      </w:tr>
      <w:tr w:rsidR="0001508F" w:rsidRPr="0001508F" w14:paraId="7474CCDA" w14:textId="77777777" w:rsidTr="0001508F">
        <w:trPr>
          <w:cantSplit/>
          <w:jc w:val="center"/>
        </w:trPr>
        <w:tc>
          <w:tcPr>
            <w:tcW w:w="1073" w:type="pct"/>
            <w:vMerge w:val="restart"/>
            <w:tcBorders>
              <w:top w:val="single" w:sz="4" w:space="0" w:color="000000"/>
              <w:left w:val="single" w:sz="4" w:space="0" w:color="000000"/>
              <w:bottom w:val="single" w:sz="4" w:space="0" w:color="000000"/>
              <w:right w:val="single" w:sz="4" w:space="0" w:color="000000"/>
            </w:tcBorders>
            <w:vAlign w:val="center"/>
            <w:hideMark/>
          </w:tcPr>
          <w:p w14:paraId="263B507E" w14:textId="77777777" w:rsidR="0001508F" w:rsidRPr="0001508F" w:rsidRDefault="0001508F" w:rsidP="0001508F">
            <w:pPr>
              <w:tabs>
                <w:tab w:val="left" w:pos="-4413"/>
              </w:tabs>
              <w:autoSpaceDE w:val="0"/>
              <w:autoSpaceDN w:val="0"/>
              <w:adjustRightInd w:val="0"/>
              <w:ind w:hanging="3"/>
              <w:jc w:val="center"/>
              <w:rPr>
                <w:szCs w:val="24"/>
              </w:rPr>
            </w:pPr>
            <w:r w:rsidRPr="0001508F">
              <w:rPr>
                <w:szCs w:val="24"/>
              </w:rPr>
              <w:t>A-1</w:t>
            </w:r>
          </w:p>
        </w:tc>
        <w:tc>
          <w:tcPr>
            <w:tcW w:w="777" w:type="pct"/>
            <w:tcBorders>
              <w:top w:val="single" w:sz="4" w:space="0" w:color="000000"/>
              <w:left w:val="single" w:sz="4" w:space="0" w:color="000000"/>
              <w:bottom w:val="single" w:sz="4" w:space="0" w:color="000000"/>
              <w:right w:val="single" w:sz="4" w:space="0" w:color="000000"/>
            </w:tcBorders>
            <w:vAlign w:val="center"/>
            <w:hideMark/>
          </w:tcPr>
          <w:p w14:paraId="4C8BC89D" w14:textId="77777777" w:rsidR="0001508F" w:rsidRPr="0001508F" w:rsidRDefault="0001508F" w:rsidP="0001508F">
            <w:pPr>
              <w:tabs>
                <w:tab w:val="left" w:pos="1440"/>
              </w:tabs>
              <w:autoSpaceDE w:val="0"/>
              <w:autoSpaceDN w:val="0"/>
              <w:adjustRightInd w:val="0"/>
              <w:jc w:val="center"/>
              <w:rPr>
                <w:szCs w:val="24"/>
              </w:rPr>
            </w:pPr>
            <w:r w:rsidRPr="0001508F">
              <w:rPr>
                <w:szCs w:val="24"/>
              </w:rPr>
              <w:t>NS</w:t>
            </w:r>
            <w:r w:rsidRPr="0001508F">
              <w:rPr>
                <w:szCs w:val="24"/>
                <w:vertAlign w:val="superscript"/>
              </w:rPr>
              <w:t>b,c</w:t>
            </w:r>
          </w:p>
        </w:tc>
        <w:tc>
          <w:tcPr>
            <w:tcW w:w="296" w:type="pct"/>
            <w:tcBorders>
              <w:top w:val="single" w:sz="4" w:space="0" w:color="000000"/>
              <w:left w:val="single" w:sz="4" w:space="0" w:color="000000"/>
              <w:bottom w:val="single" w:sz="4" w:space="0" w:color="000000"/>
              <w:right w:val="single" w:sz="4" w:space="0" w:color="000000"/>
            </w:tcBorders>
            <w:vAlign w:val="center"/>
            <w:hideMark/>
          </w:tcPr>
          <w:p w14:paraId="299C1CE2" w14:textId="77777777" w:rsidR="0001508F" w:rsidRPr="0001508F" w:rsidRDefault="0001508F" w:rsidP="0001508F">
            <w:pPr>
              <w:tabs>
                <w:tab w:val="left" w:pos="1440"/>
              </w:tabs>
              <w:autoSpaceDE w:val="0"/>
              <w:autoSpaceDN w:val="0"/>
              <w:adjustRightInd w:val="0"/>
              <w:jc w:val="center"/>
              <w:rPr>
                <w:szCs w:val="24"/>
              </w:rPr>
            </w:pPr>
            <w:r w:rsidRPr="0001508F">
              <w:rPr>
                <w:szCs w:val="24"/>
              </w:rPr>
              <w:t>UL</w:t>
            </w:r>
          </w:p>
        </w:tc>
        <w:tc>
          <w:tcPr>
            <w:tcW w:w="408" w:type="pct"/>
            <w:tcBorders>
              <w:top w:val="single" w:sz="4" w:space="0" w:color="000000"/>
              <w:left w:val="single" w:sz="4" w:space="0" w:color="000000"/>
              <w:bottom w:val="single" w:sz="4" w:space="0" w:color="000000"/>
              <w:right w:val="single" w:sz="4" w:space="0" w:color="000000"/>
            </w:tcBorders>
            <w:vAlign w:val="center"/>
            <w:hideMark/>
          </w:tcPr>
          <w:p w14:paraId="650CC884" w14:textId="77777777" w:rsidR="0001508F" w:rsidRPr="0001508F" w:rsidRDefault="0001508F" w:rsidP="0001508F">
            <w:pPr>
              <w:tabs>
                <w:tab w:val="left" w:pos="1440"/>
              </w:tabs>
              <w:autoSpaceDE w:val="0"/>
              <w:autoSpaceDN w:val="0"/>
              <w:adjustRightInd w:val="0"/>
              <w:jc w:val="center"/>
              <w:rPr>
                <w:szCs w:val="24"/>
              </w:rPr>
            </w:pPr>
            <w:r w:rsidRPr="0001508F">
              <w:rPr>
                <w:szCs w:val="24"/>
              </w:rPr>
              <w:t>UL</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3675558F" w14:textId="77777777" w:rsidR="0001508F" w:rsidRPr="0001508F" w:rsidRDefault="0001508F" w:rsidP="0001508F">
            <w:pPr>
              <w:tabs>
                <w:tab w:val="left" w:pos="-9074"/>
              </w:tabs>
              <w:autoSpaceDE w:val="0"/>
              <w:autoSpaceDN w:val="0"/>
              <w:adjustRightInd w:val="0"/>
              <w:jc w:val="center"/>
              <w:rPr>
                <w:szCs w:val="24"/>
              </w:rPr>
            </w:pPr>
            <w:r w:rsidRPr="0001508F">
              <w:rPr>
                <w:szCs w:val="24"/>
              </w:rPr>
              <w:t>17,500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4E600E1D" w14:textId="77777777" w:rsidR="0001508F" w:rsidRPr="0001508F" w:rsidRDefault="0001508F" w:rsidP="0001508F">
            <w:pPr>
              <w:tabs>
                <w:tab w:val="left" w:pos="1440"/>
              </w:tabs>
              <w:autoSpaceDE w:val="0"/>
              <w:autoSpaceDN w:val="0"/>
              <w:adjustRightInd w:val="0"/>
              <w:jc w:val="center"/>
              <w:rPr>
                <w:szCs w:val="24"/>
              </w:rPr>
            </w:pPr>
            <w:r w:rsidRPr="0001508F">
              <w:rPr>
                <w:szCs w:val="24"/>
              </w:rPr>
              <w:t>10,500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560A4D18" w14:textId="77777777" w:rsidR="0001508F" w:rsidRPr="0001508F" w:rsidRDefault="0001508F" w:rsidP="0001508F">
            <w:pPr>
              <w:tabs>
                <w:tab w:val="left" w:pos="1440"/>
              </w:tabs>
              <w:autoSpaceDE w:val="0"/>
              <w:autoSpaceDN w:val="0"/>
              <w:adjustRightInd w:val="0"/>
              <w:jc w:val="center"/>
              <w:rPr>
                <w:szCs w:val="24"/>
              </w:rPr>
            </w:pPr>
            <w:r w:rsidRPr="0001508F">
              <w:rPr>
                <w:szCs w:val="24"/>
              </w:rPr>
              <w:t>14,700</w:t>
            </w:r>
          </w:p>
        </w:tc>
        <w:tc>
          <w:tcPr>
            <w:tcW w:w="346" w:type="pct"/>
            <w:tcBorders>
              <w:top w:val="single" w:sz="4" w:space="0" w:color="000000"/>
              <w:left w:val="single" w:sz="4" w:space="0" w:color="000000"/>
              <w:bottom w:val="single" w:sz="4" w:space="0" w:color="000000"/>
              <w:right w:val="single" w:sz="4" w:space="0" w:color="000000"/>
            </w:tcBorders>
            <w:shd w:val="clear" w:color="auto" w:fill="7F7F7F"/>
            <w:vAlign w:val="center"/>
            <w:hideMark/>
          </w:tcPr>
          <w:p w14:paraId="643C7466" w14:textId="77777777" w:rsidR="0001508F" w:rsidRPr="0001508F" w:rsidRDefault="0001508F" w:rsidP="0001508F">
            <w:pPr>
              <w:tabs>
                <w:tab w:val="left" w:pos="1440"/>
              </w:tabs>
              <w:autoSpaceDE w:val="0"/>
              <w:autoSpaceDN w:val="0"/>
              <w:adjustRightInd w:val="0"/>
              <w:jc w:val="center"/>
              <w:rPr>
                <w:szCs w:val="24"/>
              </w:rPr>
            </w:pPr>
            <w:r w:rsidRPr="0001508F">
              <w:rPr>
                <w:szCs w:val="24"/>
              </w:rPr>
              <w:t>5,600</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7E4A4F5B" w14:textId="77777777" w:rsidR="0001508F" w:rsidRPr="0001508F" w:rsidRDefault="0001508F" w:rsidP="0001508F">
            <w:pPr>
              <w:tabs>
                <w:tab w:val="left" w:pos="1440"/>
              </w:tabs>
              <w:autoSpaceDE w:val="0"/>
              <w:autoSpaceDN w:val="0"/>
              <w:adjustRightInd w:val="0"/>
              <w:jc w:val="center"/>
              <w:rPr>
                <w:szCs w:val="24"/>
              </w:rPr>
            </w:pPr>
            <w:r w:rsidRPr="0001508F">
              <w:rPr>
                <w:szCs w:val="24"/>
              </w:rPr>
              <w:t>15,000</w:t>
            </w:r>
          </w:p>
        </w:tc>
        <w:tc>
          <w:tcPr>
            <w:tcW w:w="346"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3D36241" w14:textId="77777777" w:rsidR="0001508F" w:rsidRPr="0001508F" w:rsidRDefault="0001508F" w:rsidP="0001508F">
            <w:pPr>
              <w:tabs>
                <w:tab w:val="left" w:pos="1440"/>
              </w:tabs>
              <w:autoSpaceDE w:val="0"/>
              <w:autoSpaceDN w:val="0"/>
              <w:adjustRightInd w:val="0"/>
              <w:jc w:val="center"/>
              <w:rPr>
                <w:szCs w:val="24"/>
              </w:rPr>
            </w:pPr>
            <w:r w:rsidRPr="0001508F">
              <w:rPr>
                <w:szCs w:val="24"/>
              </w:rPr>
              <w:t>8,400</w:t>
            </w:r>
          </w:p>
        </w:tc>
        <w:tc>
          <w:tcPr>
            <w:tcW w:w="346"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F6D0565" w14:textId="77777777" w:rsidR="0001508F" w:rsidRPr="0001508F" w:rsidRDefault="0001508F" w:rsidP="0001508F">
            <w:pPr>
              <w:tabs>
                <w:tab w:val="left" w:pos="1440"/>
              </w:tabs>
              <w:autoSpaceDE w:val="0"/>
              <w:autoSpaceDN w:val="0"/>
              <w:adjustRightInd w:val="0"/>
              <w:jc w:val="center"/>
              <w:rPr>
                <w:szCs w:val="24"/>
              </w:rPr>
            </w:pPr>
            <w:r w:rsidRPr="0001508F">
              <w:rPr>
                <w:szCs w:val="24"/>
              </w:rPr>
              <w:t>5,500</w:t>
            </w:r>
          </w:p>
        </w:tc>
      </w:tr>
      <w:tr w:rsidR="0001508F" w:rsidRPr="0001508F" w14:paraId="225E76D9" w14:textId="77777777" w:rsidTr="0001508F">
        <w:trPr>
          <w:cantSplit/>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FE3CD3E" w14:textId="77777777" w:rsidR="0001508F" w:rsidRPr="0001508F" w:rsidRDefault="0001508F" w:rsidP="0001508F">
            <w:pPr>
              <w:jc w:val="left"/>
              <w:rPr>
                <w:szCs w:val="24"/>
              </w:rPr>
            </w:pPr>
          </w:p>
        </w:tc>
        <w:tc>
          <w:tcPr>
            <w:tcW w:w="777" w:type="pct"/>
            <w:tcBorders>
              <w:top w:val="single" w:sz="4" w:space="0" w:color="000000"/>
              <w:left w:val="single" w:sz="4" w:space="0" w:color="000000"/>
              <w:bottom w:val="single" w:sz="4" w:space="0" w:color="000000"/>
              <w:right w:val="single" w:sz="4" w:space="0" w:color="000000"/>
            </w:tcBorders>
            <w:vAlign w:val="center"/>
            <w:hideMark/>
          </w:tcPr>
          <w:p w14:paraId="21459BB7" w14:textId="77777777" w:rsidR="0001508F" w:rsidRPr="0001508F" w:rsidRDefault="0001508F" w:rsidP="0001508F">
            <w:pPr>
              <w:tabs>
                <w:tab w:val="left" w:pos="1440"/>
              </w:tabs>
              <w:autoSpaceDE w:val="0"/>
              <w:autoSpaceDN w:val="0"/>
              <w:adjustRightInd w:val="0"/>
              <w:jc w:val="center"/>
              <w:rPr>
                <w:szCs w:val="24"/>
              </w:rPr>
            </w:pPr>
            <w:r w:rsidRPr="0001508F">
              <w:rPr>
                <w:szCs w:val="24"/>
              </w:rPr>
              <w:t>S1</w:t>
            </w:r>
          </w:p>
        </w:tc>
        <w:tc>
          <w:tcPr>
            <w:tcW w:w="296" w:type="pct"/>
            <w:tcBorders>
              <w:top w:val="single" w:sz="4" w:space="0" w:color="000000"/>
              <w:left w:val="single" w:sz="4" w:space="0" w:color="000000"/>
              <w:bottom w:val="single" w:sz="4" w:space="0" w:color="000000"/>
              <w:right w:val="single" w:sz="4" w:space="0" w:color="000000"/>
            </w:tcBorders>
            <w:vAlign w:val="center"/>
            <w:hideMark/>
          </w:tcPr>
          <w:p w14:paraId="06738D4E" w14:textId="77777777" w:rsidR="0001508F" w:rsidRPr="0001508F" w:rsidRDefault="0001508F" w:rsidP="0001508F">
            <w:pPr>
              <w:tabs>
                <w:tab w:val="left" w:pos="1440"/>
              </w:tabs>
              <w:autoSpaceDE w:val="0"/>
              <w:autoSpaceDN w:val="0"/>
              <w:adjustRightInd w:val="0"/>
              <w:jc w:val="center"/>
              <w:rPr>
                <w:szCs w:val="24"/>
              </w:rPr>
            </w:pPr>
            <w:r w:rsidRPr="0001508F">
              <w:rPr>
                <w:szCs w:val="24"/>
              </w:rPr>
              <w:t>UL</w:t>
            </w:r>
          </w:p>
        </w:tc>
        <w:tc>
          <w:tcPr>
            <w:tcW w:w="408" w:type="pct"/>
            <w:tcBorders>
              <w:top w:val="single" w:sz="4" w:space="0" w:color="000000"/>
              <w:left w:val="single" w:sz="4" w:space="0" w:color="000000"/>
              <w:bottom w:val="single" w:sz="4" w:space="0" w:color="000000"/>
              <w:right w:val="single" w:sz="4" w:space="0" w:color="000000"/>
            </w:tcBorders>
            <w:vAlign w:val="center"/>
            <w:hideMark/>
          </w:tcPr>
          <w:p w14:paraId="1A00AA4D" w14:textId="77777777" w:rsidR="0001508F" w:rsidRPr="0001508F" w:rsidRDefault="0001508F" w:rsidP="0001508F">
            <w:pPr>
              <w:tabs>
                <w:tab w:val="left" w:pos="1440"/>
              </w:tabs>
              <w:autoSpaceDE w:val="0"/>
              <w:autoSpaceDN w:val="0"/>
              <w:adjustRightInd w:val="0"/>
              <w:jc w:val="center"/>
              <w:rPr>
                <w:szCs w:val="24"/>
              </w:rPr>
            </w:pPr>
            <w:r w:rsidRPr="0001508F">
              <w:rPr>
                <w:szCs w:val="24"/>
              </w:rPr>
              <w:t>UL</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269211F5" w14:textId="77777777" w:rsidR="0001508F" w:rsidRPr="0001508F" w:rsidRDefault="0001508F" w:rsidP="0001508F">
            <w:pPr>
              <w:tabs>
                <w:tab w:val="left" w:pos="-9074"/>
              </w:tabs>
              <w:autoSpaceDE w:val="0"/>
              <w:autoSpaceDN w:val="0"/>
              <w:adjustRightInd w:val="0"/>
              <w:jc w:val="center"/>
              <w:rPr>
                <w:szCs w:val="24"/>
              </w:rPr>
            </w:pPr>
            <w:r w:rsidRPr="0001508F">
              <w:rPr>
                <w:szCs w:val="24"/>
              </w:rPr>
              <w:t>52,500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4CC7B081" w14:textId="77777777" w:rsidR="0001508F" w:rsidRPr="0001508F" w:rsidRDefault="0001508F" w:rsidP="0001508F">
            <w:pPr>
              <w:tabs>
                <w:tab w:val="left" w:pos="1440"/>
              </w:tabs>
              <w:autoSpaceDE w:val="0"/>
              <w:autoSpaceDN w:val="0"/>
              <w:adjustRightInd w:val="0"/>
              <w:jc w:val="center"/>
              <w:rPr>
                <w:szCs w:val="24"/>
              </w:rPr>
            </w:pPr>
            <w:r w:rsidRPr="0001508F">
              <w:rPr>
                <w:szCs w:val="24"/>
              </w:rPr>
              <w:t>31,500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23CB302A" w14:textId="77777777" w:rsidR="0001508F" w:rsidRPr="0001508F" w:rsidRDefault="0001508F" w:rsidP="0001508F">
            <w:pPr>
              <w:tabs>
                <w:tab w:val="left" w:pos="1440"/>
              </w:tabs>
              <w:autoSpaceDE w:val="0"/>
              <w:autoSpaceDN w:val="0"/>
              <w:adjustRightInd w:val="0"/>
              <w:jc w:val="center"/>
              <w:rPr>
                <w:szCs w:val="24"/>
              </w:rPr>
            </w:pPr>
            <w:r w:rsidRPr="0001508F">
              <w:rPr>
                <w:szCs w:val="24"/>
              </w:rPr>
              <w:t>44,100</w:t>
            </w:r>
          </w:p>
        </w:tc>
        <w:tc>
          <w:tcPr>
            <w:tcW w:w="346"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50372EE" w14:textId="77777777" w:rsidR="0001508F" w:rsidRPr="0001508F" w:rsidRDefault="0001508F" w:rsidP="0001508F">
            <w:pPr>
              <w:tabs>
                <w:tab w:val="left" w:pos="1440"/>
              </w:tabs>
              <w:autoSpaceDE w:val="0"/>
              <w:autoSpaceDN w:val="0"/>
              <w:adjustRightInd w:val="0"/>
              <w:jc w:val="center"/>
              <w:rPr>
                <w:szCs w:val="24"/>
              </w:rPr>
            </w:pPr>
            <w:r w:rsidRPr="0001508F">
              <w:rPr>
                <w:szCs w:val="24"/>
              </w:rPr>
              <w:t>16,800</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305CECBA" w14:textId="77777777" w:rsidR="0001508F" w:rsidRPr="0001508F" w:rsidRDefault="0001508F" w:rsidP="0001508F">
            <w:pPr>
              <w:tabs>
                <w:tab w:val="left" w:pos="1440"/>
              </w:tabs>
              <w:autoSpaceDE w:val="0"/>
              <w:autoSpaceDN w:val="0"/>
              <w:adjustRightInd w:val="0"/>
              <w:jc w:val="center"/>
              <w:rPr>
                <w:szCs w:val="24"/>
              </w:rPr>
            </w:pPr>
            <w:r w:rsidRPr="0001508F">
              <w:rPr>
                <w:szCs w:val="24"/>
              </w:rPr>
              <w:t>45,000</w:t>
            </w:r>
          </w:p>
        </w:tc>
        <w:tc>
          <w:tcPr>
            <w:tcW w:w="346"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7F2745B" w14:textId="77777777" w:rsidR="0001508F" w:rsidRPr="0001508F" w:rsidRDefault="0001508F" w:rsidP="0001508F">
            <w:pPr>
              <w:tabs>
                <w:tab w:val="left" w:pos="1440"/>
              </w:tabs>
              <w:autoSpaceDE w:val="0"/>
              <w:autoSpaceDN w:val="0"/>
              <w:adjustRightInd w:val="0"/>
              <w:jc w:val="center"/>
              <w:rPr>
                <w:szCs w:val="24"/>
              </w:rPr>
            </w:pPr>
            <w:r w:rsidRPr="0001508F">
              <w:rPr>
                <w:szCs w:val="24"/>
              </w:rPr>
              <w:t>25,200</w:t>
            </w:r>
          </w:p>
        </w:tc>
        <w:tc>
          <w:tcPr>
            <w:tcW w:w="346"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B66D0A1" w14:textId="77777777" w:rsidR="0001508F" w:rsidRPr="0001508F" w:rsidRDefault="0001508F" w:rsidP="0001508F">
            <w:pPr>
              <w:tabs>
                <w:tab w:val="left" w:pos="1440"/>
              </w:tabs>
              <w:autoSpaceDE w:val="0"/>
              <w:autoSpaceDN w:val="0"/>
              <w:adjustRightInd w:val="0"/>
              <w:jc w:val="center"/>
              <w:rPr>
                <w:szCs w:val="24"/>
              </w:rPr>
            </w:pPr>
            <w:r w:rsidRPr="0001508F">
              <w:rPr>
                <w:szCs w:val="24"/>
              </w:rPr>
              <w:t>16,500</w:t>
            </w:r>
          </w:p>
        </w:tc>
      </w:tr>
      <w:tr w:rsidR="0001508F" w:rsidRPr="0001508F" w14:paraId="2C3B1690" w14:textId="77777777" w:rsidTr="0001508F">
        <w:trPr>
          <w:cantSplit/>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D022BD1" w14:textId="77777777" w:rsidR="0001508F" w:rsidRPr="0001508F" w:rsidRDefault="0001508F" w:rsidP="0001508F">
            <w:pPr>
              <w:jc w:val="left"/>
              <w:rPr>
                <w:szCs w:val="24"/>
              </w:rPr>
            </w:pPr>
          </w:p>
        </w:tc>
        <w:tc>
          <w:tcPr>
            <w:tcW w:w="777" w:type="pct"/>
            <w:tcBorders>
              <w:top w:val="single" w:sz="4" w:space="0" w:color="000000"/>
              <w:left w:val="single" w:sz="4" w:space="0" w:color="000000"/>
              <w:bottom w:val="single" w:sz="4" w:space="0" w:color="000000"/>
              <w:right w:val="single" w:sz="4" w:space="0" w:color="000000"/>
            </w:tcBorders>
            <w:vAlign w:val="center"/>
            <w:hideMark/>
          </w:tcPr>
          <w:p w14:paraId="7757A140" w14:textId="77777777" w:rsidR="0001508F" w:rsidRPr="0001508F" w:rsidRDefault="0001508F" w:rsidP="0001508F">
            <w:pPr>
              <w:tabs>
                <w:tab w:val="left" w:pos="1440"/>
              </w:tabs>
              <w:autoSpaceDE w:val="0"/>
              <w:autoSpaceDN w:val="0"/>
              <w:adjustRightInd w:val="0"/>
              <w:jc w:val="center"/>
              <w:rPr>
                <w:szCs w:val="24"/>
              </w:rPr>
            </w:pPr>
            <w:r w:rsidRPr="0001508F">
              <w:rPr>
                <w:szCs w:val="24"/>
              </w:rPr>
              <w:t>SM</w:t>
            </w:r>
          </w:p>
        </w:tc>
        <w:tc>
          <w:tcPr>
            <w:tcW w:w="296" w:type="pct"/>
            <w:tcBorders>
              <w:top w:val="single" w:sz="4" w:space="0" w:color="000000"/>
              <w:left w:val="single" w:sz="4" w:space="0" w:color="000000"/>
              <w:bottom w:val="single" w:sz="4" w:space="0" w:color="000000"/>
              <w:right w:val="single" w:sz="4" w:space="0" w:color="000000"/>
            </w:tcBorders>
            <w:vAlign w:val="center"/>
            <w:hideMark/>
          </w:tcPr>
          <w:p w14:paraId="77D21A85" w14:textId="77777777" w:rsidR="0001508F" w:rsidRPr="0001508F" w:rsidRDefault="0001508F" w:rsidP="0001508F">
            <w:pPr>
              <w:tabs>
                <w:tab w:val="left" w:pos="1440"/>
              </w:tabs>
              <w:autoSpaceDE w:val="0"/>
              <w:autoSpaceDN w:val="0"/>
              <w:adjustRightInd w:val="0"/>
              <w:jc w:val="center"/>
              <w:rPr>
                <w:szCs w:val="24"/>
              </w:rPr>
            </w:pPr>
            <w:r w:rsidRPr="0001508F">
              <w:rPr>
                <w:szCs w:val="24"/>
              </w:rPr>
              <w:t>UL</w:t>
            </w:r>
          </w:p>
        </w:tc>
        <w:tc>
          <w:tcPr>
            <w:tcW w:w="408" w:type="pct"/>
            <w:tcBorders>
              <w:top w:val="single" w:sz="4" w:space="0" w:color="000000"/>
              <w:left w:val="single" w:sz="4" w:space="0" w:color="000000"/>
              <w:bottom w:val="single" w:sz="4" w:space="0" w:color="000000"/>
              <w:right w:val="single" w:sz="4" w:space="0" w:color="000000"/>
            </w:tcBorders>
            <w:vAlign w:val="center"/>
            <w:hideMark/>
          </w:tcPr>
          <w:p w14:paraId="52504D56" w14:textId="77777777" w:rsidR="0001508F" w:rsidRPr="0001508F" w:rsidRDefault="0001508F" w:rsidP="0001508F">
            <w:pPr>
              <w:tabs>
                <w:tab w:val="left" w:pos="1440"/>
              </w:tabs>
              <w:autoSpaceDE w:val="0"/>
              <w:autoSpaceDN w:val="0"/>
              <w:adjustRightInd w:val="0"/>
              <w:jc w:val="center"/>
              <w:rPr>
                <w:szCs w:val="24"/>
              </w:rPr>
            </w:pPr>
            <w:r w:rsidRPr="0001508F">
              <w:rPr>
                <w:szCs w:val="24"/>
              </w:rPr>
              <w:t>UL</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6DB3C12B" w14:textId="77777777" w:rsidR="0001508F" w:rsidRPr="0001508F" w:rsidRDefault="0001508F" w:rsidP="0001508F">
            <w:pPr>
              <w:tabs>
                <w:tab w:val="left" w:pos="-9074"/>
              </w:tabs>
              <w:autoSpaceDE w:val="0"/>
              <w:autoSpaceDN w:val="0"/>
              <w:adjustRightInd w:val="0"/>
              <w:jc w:val="center"/>
              <w:rPr>
                <w:szCs w:val="24"/>
              </w:rPr>
            </w:pPr>
            <w:r w:rsidRPr="0001508F">
              <w:rPr>
                <w:szCs w:val="24"/>
              </w:rPr>
              <w:t>35,000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2406822A" w14:textId="77777777" w:rsidR="0001508F" w:rsidRPr="0001508F" w:rsidRDefault="0001508F" w:rsidP="0001508F">
            <w:pPr>
              <w:tabs>
                <w:tab w:val="left" w:pos="1440"/>
              </w:tabs>
              <w:autoSpaceDE w:val="0"/>
              <w:autoSpaceDN w:val="0"/>
              <w:adjustRightInd w:val="0"/>
              <w:jc w:val="center"/>
              <w:rPr>
                <w:szCs w:val="24"/>
              </w:rPr>
            </w:pPr>
            <w:r w:rsidRPr="0001508F">
              <w:rPr>
                <w:szCs w:val="24"/>
              </w:rPr>
              <w:t>21,000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28BC3C55" w14:textId="77777777" w:rsidR="0001508F" w:rsidRPr="0001508F" w:rsidRDefault="0001508F" w:rsidP="0001508F">
            <w:pPr>
              <w:tabs>
                <w:tab w:val="left" w:pos="1440"/>
              </w:tabs>
              <w:autoSpaceDE w:val="0"/>
              <w:autoSpaceDN w:val="0"/>
              <w:adjustRightInd w:val="0"/>
              <w:jc w:val="center"/>
              <w:rPr>
                <w:szCs w:val="24"/>
              </w:rPr>
            </w:pPr>
            <w:r w:rsidRPr="0001508F">
              <w:rPr>
                <w:szCs w:val="24"/>
              </w:rPr>
              <w:t>29,400</w:t>
            </w:r>
          </w:p>
        </w:tc>
        <w:tc>
          <w:tcPr>
            <w:tcW w:w="346"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8634FC3" w14:textId="77777777" w:rsidR="0001508F" w:rsidRPr="0001508F" w:rsidRDefault="0001508F" w:rsidP="0001508F">
            <w:pPr>
              <w:tabs>
                <w:tab w:val="left" w:pos="1440"/>
              </w:tabs>
              <w:autoSpaceDE w:val="0"/>
              <w:autoSpaceDN w:val="0"/>
              <w:adjustRightInd w:val="0"/>
              <w:jc w:val="center"/>
              <w:rPr>
                <w:szCs w:val="24"/>
              </w:rPr>
            </w:pPr>
            <w:r w:rsidRPr="0001508F">
              <w:rPr>
                <w:szCs w:val="24"/>
              </w:rPr>
              <w:t>11,200</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74F7BF3B" w14:textId="77777777" w:rsidR="0001508F" w:rsidRPr="0001508F" w:rsidRDefault="0001508F" w:rsidP="0001508F">
            <w:pPr>
              <w:tabs>
                <w:tab w:val="left" w:pos="1440"/>
              </w:tabs>
              <w:autoSpaceDE w:val="0"/>
              <w:autoSpaceDN w:val="0"/>
              <w:adjustRightInd w:val="0"/>
              <w:jc w:val="center"/>
              <w:rPr>
                <w:szCs w:val="24"/>
              </w:rPr>
            </w:pPr>
            <w:r w:rsidRPr="0001508F">
              <w:rPr>
                <w:szCs w:val="24"/>
              </w:rPr>
              <w:t>30,000</w:t>
            </w:r>
          </w:p>
        </w:tc>
        <w:tc>
          <w:tcPr>
            <w:tcW w:w="346"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F704101" w14:textId="77777777" w:rsidR="0001508F" w:rsidRPr="0001508F" w:rsidRDefault="0001508F" w:rsidP="0001508F">
            <w:pPr>
              <w:tabs>
                <w:tab w:val="left" w:pos="1440"/>
              </w:tabs>
              <w:autoSpaceDE w:val="0"/>
              <w:autoSpaceDN w:val="0"/>
              <w:adjustRightInd w:val="0"/>
              <w:jc w:val="center"/>
              <w:rPr>
                <w:szCs w:val="24"/>
              </w:rPr>
            </w:pPr>
            <w:r w:rsidRPr="0001508F">
              <w:rPr>
                <w:szCs w:val="24"/>
              </w:rPr>
              <w:t>16,800</w:t>
            </w:r>
          </w:p>
        </w:tc>
        <w:tc>
          <w:tcPr>
            <w:tcW w:w="346"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07AA5E4" w14:textId="77777777" w:rsidR="0001508F" w:rsidRPr="0001508F" w:rsidRDefault="0001508F" w:rsidP="0001508F">
            <w:pPr>
              <w:tabs>
                <w:tab w:val="left" w:pos="1440"/>
              </w:tabs>
              <w:autoSpaceDE w:val="0"/>
              <w:autoSpaceDN w:val="0"/>
              <w:adjustRightInd w:val="0"/>
              <w:jc w:val="center"/>
              <w:rPr>
                <w:szCs w:val="24"/>
              </w:rPr>
            </w:pPr>
            <w:r w:rsidRPr="0001508F">
              <w:rPr>
                <w:szCs w:val="24"/>
              </w:rPr>
              <w:t>11,000</w:t>
            </w:r>
          </w:p>
        </w:tc>
      </w:tr>
      <w:tr w:rsidR="0001508F" w:rsidRPr="0001508F" w14:paraId="597EDABA" w14:textId="77777777" w:rsidTr="0001508F">
        <w:trPr>
          <w:cantSplit/>
          <w:jc w:val="center"/>
        </w:trPr>
        <w:tc>
          <w:tcPr>
            <w:tcW w:w="1073" w:type="pct"/>
            <w:vMerge w:val="restart"/>
            <w:tcBorders>
              <w:top w:val="single" w:sz="4" w:space="0" w:color="000000"/>
              <w:left w:val="single" w:sz="4" w:space="0" w:color="000000"/>
              <w:bottom w:val="single" w:sz="4" w:space="0" w:color="000000"/>
              <w:right w:val="single" w:sz="4" w:space="0" w:color="000000"/>
            </w:tcBorders>
            <w:vAlign w:val="center"/>
            <w:hideMark/>
          </w:tcPr>
          <w:p w14:paraId="71DD5A2B" w14:textId="77777777" w:rsidR="0001508F" w:rsidRPr="0001508F" w:rsidRDefault="0001508F" w:rsidP="0001508F">
            <w:pPr>
              <w:tabs>
                <w:tab w:val="left" w:pos="-4413"/>
              </w:tabs>
              <w:autoSpaceDE w:val="0"/>
              <w:autoSpaceDN w:val="0"/>
              <w:adjustRightInd w:val="0"/>
              <w:ind w:hanging="3"/>
              <w:jc w:val="center"/>
              <w:rPr>
                <w:szCs w:val="24"/>
              </w:rPr>
            </w:pPr>
            <w:r w:rsidRPr="0001508F">
              <w:rPr>
                <w:szCs w:val="24"/>
              </w:rPr>
              <w:t>U</w:t>
            </w:r>
            <w:r w:rsidRPr="0001508F">
              <w:rPr>
                <w:szCs w:val="24"/>
                <w:vertAlign w:val="superscript"/>
              </w:rPr>
              <w:t>e</w:t>
            </w:r>
          </w:p>
        </w:tc>
        <w:tc>
          <w:tcPr>
            <w:tcW w:w="777" w:type="pct"/>
            <w:tcBorders>
              <w:top w:val="single" w:sz="4" w:space="0" w:color="000000"/>
              <w:left w:val="single" w:sz="4" w:space="0" w:color="000000"/>
              <w:bottom w:val="single" w:sz="4" w:space="0" w:color="000000"/>
              <w:right w:val="single" w:sz="4" w:space="0" w:color="000000"/>
            </w:tcBorders>
            <w:vAlign w:val="center"/>
            <w:hideMark/>
          </w:tcPr>
          <w:p w14:paraId="53D904E1" w14:textId="77777777" w:rsidR="0001508F" w:rsidRPr="0001508F" w:rsidRDefault="0001508F" w:rsidP="0001508F">
            <w:pPr>
              <w:tabs>
                <w:tab w:val="left" w:pos="1440"/>
              </w:tabs>
              <w:autoSpaceDE w:val="0"/>
              <w:autoSpaceDN w:val="0"/>
              <w:adjustRightInd w:val="0"/>
              <w:jc w:val="center"/>
              <w:rPr>
                <w:szCs w:val="24"/>
              </w:rPr>
            </w:pPr>
            <w:r w:rsidRPr="0001508F">
              <w:rPr>
                <w:szCs w:val="24"/>
              </w:rPr>
              <w:t>NS</w:t>
            </w:r>
            <w:r w:rsidRPr="0001508F">
              <w:rPr>
                <w:szCs w:val="24"/>
                <w:vertAlign w:val="superscript"/>
              </w:rPr>
              <w:t>b,c</w:t>
            </w:r>
          </w:p>
        </w:tc>
        <w:tc>
          <w:tcPr>
            <w:tcW w:w="296" w:type="pct"/>
            <w:tcBorders>
              <w:top w:val="single" w:sz="4" w:space="0" w:color="000000"/>
              <w:left w:val="single" w:sz="4" w:space="0" w:color="000000"/>
              <w:bottom w:val="single" w:sz="4" w:space="0" w:color="000000"/>
              <w:right w:val="single" w:sz="4" w:space="0" w:color="000000"/>
            </w:tcBorders>
            <w:vAlign w:val="center"/>
            <w:hideMark/>
          </w:tcPr>
          <w:p w14:paraId="479CFCE3" w14:textId="77777777" w:rsidR="0001508F" w:rsidRPr="0001508F" w:rsidRDefault="0001508F" w:rsidP="0001508F">
            <w:pPr>
              <w:tabs>
                <w:tab w:val="left" w:pos="1440"/>
              </w:tabs>
              <w:autoSpaceDE w:val="0"/>
              <w:autoSpaceDN w:val="0"/>
              <w:adjustRightInd w:val="0"/>
              <w:jc w:val="center"/>
              <w:rPr>
                <w:szCs w:val="24"/>
              </w:rPr>
            </w:pPr>
            <w:r w:rsidRPr="0001508F">
              <w:rPr>
                <w:szCs w:val="24"/>
              </w:rPr>
              <w:t>UL</w:t>
            </w:r>
          </w:p>
        </w:tc>
        <w:tc>
          <w:tcPr>
            <w:tcW w:w="408" w:type="pct"/>
            <w:tcBorders>
              <w:top w:val="single" w:sz="4" w:space="0" w:color="000000"/>
              <w:left w:val="single" w:sz="4" w:space="0" w:color="000000"/>
              <w:bottom w:val="single" w:sz="4" w:space="0" w:color="000000"/>
              <w:right w:val="single" w:sz="4" w:space="0" w:color="000000"/>
            </w:tcBorders>
            <w:vAlign w:val="center"/>
            <w:hideMark/>
          </w:tcPr>
          <w:p w14:paraId="6C9E5F70" w14:textId="77777777" w:rsidR="0001508F" w:rsidRPr="0001508F" w:rsidRDefault="0001508F" w:rsidP="0001508F">
            <w:pPr>
              <w:tabs>
                <w:tab w:val="left" w:pos="1440"/>
              </w:tabs>
              <w:autoSpaceDE w:val="0"/>
              <w:autoSpaceDN w:val="0"/>
              <w:adjustRightInd w:val="0"/>
              <w:jc w:val="center"/>
              <w:rPr>
                <w:szCs w:val="24"/>
              </w:rPr>
            </w:pPr>
            <w:r w:rsidRPr="0001508F">
              <w:rPr>
                <w:szCs w:val="24"/>
              </w:rPr>
              <w:t>35,000</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12C036C3" w14:textId="77777777" w:rsidR="0001508F" w:rsidRPr="0001508F" w:rsidRDefault="0001508F" w:rsidP="0001508F">
            <w:pPr>
              <w:tabs>
                <w:tab w:val="left" w:pos="1440"/>
              </w:tabs>
              <w:autoSpaceDE w:val="0"/>
              <w:autoSpaceDN w:val="0"/>
              <w:adjustRightInd w:val="0"/>
              <w:jc w:val="center"/>
              <w:rPr>
                <w:szCs w:val="24"/>
              </w:rPr>
            </w:pPr>
            <w:r w:rsidRPr="0001508F">
              <w:rPr>
                <w:szCs w:val="24"/>
              </w:rPr>
              <w:t>19,000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7301A00B" w14:textId="77777777" w:rsidR="0001508F" w:rsidRPr="0001508F" w:rsidRDefault="0001508F" w:rsidP="0001508F">
            <w:pPr>
              <w:tabs>
                <w:tab w:val="left" w:pos="1440"/>
              </w:tabs>
              <w:autoSpaceDE w:val="0"/>
              <w:autoSpaceDN w:val="0"/>
              <w:adjustRightInd w:val="0"/>
              <w:jc w:val="center"/>
              <w:rPr>
                <w:szCs w:val="24"/>
              </w:rPr>
            </w:pPr>
            <w:r w:rsidRPr="0001508F">
              <w:rPr>
                <w:szCs w:val="24"/>
              </w:rPr>
              <w:t>8,500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2065B198" w14:textId="77777777" w:rsidR="0001508F" w:rsidRPr="0001508F" w:rsidRDefault="0001508F" w:rsidP="0001508F">
            <w:pPr>
              <w:tabs>
                <w:tab w:val="left" w:pos="1440"/>
              </w:tabs>
              <w:autoSpaceDE w:val="0"/>
              <w:autoSpaceDN w:val="0"/>
              <w:adjustRightInd w:val="0"/>
              <w:jc w:val="center"/>
              <w:rPr>
                <w:szCs w:val="24"/>
              </w:rPr>
            </w:pPr>
            <w:r w:rsidRPr="0001508F">
              <w:rPr>
                <w:szCs w:val="24"/>
              </w:rPr>
              <w:t>14,000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785AE7C3" w14:textId="77777777" w:rsidR="0001508F" w:rsidRPr="0001508F" w:rsidRDefault="0001508F" w:rsidP="0001508F">
            <w:pPr>
              <w:tabs>
                <w:tab w:val="left" w:pos="1440"/>
              </w:tabs>
              <w:autoSpaceDE w:val="0"/>
              <w:autoSpaceDN w:val="0"/>
              <w:adjustRightInd w:val="0"/>
              <w:jc w:val="center"/>
              <w:rPr>
                <w:szCs w:val="24"/>
              </w:rPr>
            </w:pPr>
            <w:r w:rsidRPr="0001508F">
              <w:rPr>
                <w:szCs w:val="24"/>
              </w:rPr>
              <w:t>8,500</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527A11FC" w14:textId="77777777" w:rsidR="0001508F" w:rsidRPr="0001508F" w:rsidRDefault="0001508F" w:rsidP="0001508F">
            <w:pPr>
              <w:tabs>
                <w:tab w:val="left" w:pos="1440"/>
              </w:tabs>
              <w:autoSpaceDE w:val="0"/>
              <w:autoSpaceDN w:val="0"/>
              <w:adjustRightInd w:val="0"/>
              <w:jc w:val="center"/>
              <w:rPr>
                <w:szCs w:val="24"/>
              </w:rPr>
            </w:pPr>
            <w:r w:rsidRPr="0001508F">
              <w:rPr>
                <w:szCs w:val="24"/>
              </w:rPr>
              <w:t>18,000</w:t>
            </w:r>
          </w:p>
        </w:tc>
        <w:tc>
          <w:tcPr>
            <w:tcW w:w="346"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010CAFD" w14:textId="77777777" w:rsidR="0001508F" w:rsidRPr="0001508F" w:rsidRDefault="0001508F" w:rsidP="0001508F">
            <w:pPr>
              <w:tabs>
                <w:tab w:val="left" w:pos="1440"/>
              </w:tabs>
              <w:autoSpaceDE w:val="0"/>
              <w:autoSpaceDN w:val="0"/>
              <w:adjustRightInd w:val="0"/>
              <w:jc w:val="center"/>
              <w:rPr>
                <w:szCs w:val="24"/>
              </w:rPr>
            </w:pPr>
            <w:r w:rsidRPr="0001508F">
              <w:rPr>
                <w:szCs w:val="24"/>
              </w:rPr>
              <w:t>9,000</w:t>
            </w:r>
          </w:p>
        </w:tc>
        <w:tc>
          <w:tcPr>
            <w:tcW w:w="346"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F48089B" w14:textId="77777777" w:rsidR="0001508F" w:rsidRPr="0001508F" w:rsidRDefault="0001508F" w:rsidP="0001508F">
            <w:pPr>
              <w:tabs>
                <w:tab w:val="left" w:pos="1440"/>
              </w:tabs>
              <w:autoSpaceDE w:val="0"/>
              <w:autoSpaceDN w:val="0"/>
              <w:adjustRightInd w:val="0"/>
              <w:jc w:val="center"/>
              <w:rPr>
                <w:szCs w:val="24"/>
              </w:rPr>
            </w:pPr>
            <w:r w:rsidRPr="0001508F">
              <w:rPr>
                <w:szCs w:val="24"/>
              </w:rPr>
              <w:t>5,500</w:t>
            </w:r>
          </w:p>
        </w:tc>
      </w:tr>
      <w:tr w:rsidR="0001508F" w:rsidRPr="0001508F" w14:paraId="6D21E71B" w14:textId="77777777" w:rsidTr="0001508F">
        <w:trPr>
          <w:cantSplit/>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29A0927" w14:textId="77777777" w:rsidR="0001508F" w:rsidRPr="0001508F" w:rsidRDefault="0001508F" w:rsidP="0001508F">
            <w:pPr>
              <w:jc w:val="left"/>
              <w:rPr>
                <w:szCs w:val="24"/>
              </w:rPr>
            </w:pPr>
          </w:p>
        </w:tc>
        <w:tc>
          <w:tcPr>
            <w:tcW w:w="777" w:type="pct"/>
            <w:tcBorders>
              <w:top w:val="single" w:sz="4" w:space="0" w:color="000000"/>
              <w:left w:val="single" w:sz="4" w:space="0" w:color="000000"/>
              <w:bottom w:val="single" w:sz="4" w:space="0" w:color="000000"/>
              <w:right w:val="single" w:sz="4" w:space="0" w:color="000000"/>
            </w:tcBorders>
            <w:vAlign w:val="center"/>
            <w:hideMark/>
          </w:tcPr>
          <w:p w14:paraId="1A5E197A" w14:textId="77777777" w:rsidR="0001508F" w:rsidRPr="0001508F" w:rsidRDefault="0001508F" w:rsidP="0001508F">
            <w:pPr>
              <w:tabs>
                <w:tab w:val="left" w:pos="1440"/>
              </w:tabs>
              <w:autoSpaceDE w:val="0"/>
              <w:autoSpaceDN w:val="0"/>
              <w:adjustRightInd w:val="0"/>
              <w:jc w:val="center"/>
              <w:rPr>
                <w:szCs w:val="24"/>
              </w:rPr>
            </w:pPr>
            <w:r w:rsidRPr="0001508F">
              <w:rPr>
                <w:szCs w:val="24"/>
              </w:rPr>
              <w:t>S1</w:t>
            </w:r>
          </w:p>
        </w:tc>
        <w:tc>
          <w:tcPr>
            <w:tcW w:w="296" w:type="pct"/>
            <w:tcBorders>
              <w:top w:val="single" w:sz="4" w:space="0" w:color="000000"/>
              <w:left w:val="single" w:sz="4" w:space="0" w:color="000000"/>
              <w:bottom w:val="single" w:sz="4" w:space="0" w:color="000000"/>
              <w:right w:val="single" w:sz="4" w:space="0" w:color="000000"/>
            </w:tcBorders>
            <w:vAlign w:val="center"/>
            <w:hideMark/>
          </w:tcPr>
          <w:p w14:paraId="27041DFC" w14:textId="77777777" w:rsidR="0001508F" w:rsidRPr="0001508F" w:rsidRDefault="0001508F" w:rsidP="0001508F">
            <w:pPr>
              <w:tabs>
                <w:tab w:val="left" w:pos="1440"/>
              </w:tabs>
              <w:autoSpaceDE w:val="0"/>
              <w:autoSpaceDN w:val="0"/>
              <w:adjustRightInd w:val="0"/>
              <w:jc w:val="center"/>
              <w:rPr>
                <w:szCs w:val="24"/>
              </w:rPr>
            </w:pPr>
            <w:r w:rsidRPr="0001508F">
              <w:rPr>
                <w:szCs w:val="24"/>
              </w:rPr>
              <w:t>UL</w:t>
            </w:r>
          </w:p>
        </w:tc>
        <w:tc>
          <w:tcPr>
            <w:tcW w:w="408" w:type="pct"/>
            <w:tcBorders>
              <w:top w:val="single" w:sz="4" w:space="0" w:color="000000"/>
              <w:left w:val="single" w:sz="4" w:space="0" w:color="000000"/>
              <w:bottom w:val="single" w:sz="4" w:space="0" w:color="000000"/>
              <w:right w:val="single" w:sz="4" w:space="0" w:color="000000"/>
            </w:tcBorders>
            <w:vAlign w:val="center"/>
            <w:hideMark/>
          </w:tcPr>
          <w:p w14:paraId="63FF1D05" w14:textId="77777777" w:rsidR="0001508F" w:rsidRPr="0001508F" w:rsidRDefault="0001508F" w:rsidP="0001508F">
            <w:pPr>
              <w:tabs>
                <w:tab w:val="left" w:pos="1440"/>
              </w:tabs>
              <w:autoSpaceDE w:val="0"/>
              <w:autoSpaceDN w:val="0"/>
              <w:adjustRightInd w:val="0"/>
              <w:jc w:val="center"/>
              <w:rPr>
                <w:szCs w:val="24"/>
              </w:rPr>
            </w:pPr>
            <w:r w:rsidRPr="0001508F">
              <w:rPr>
                <w:szCs w:val="24"/>
              </w:rPr>
              <w:t>105,000</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4D0925CD" w14:textId="77777777" w:rsidR="0001508F" w:rsidRPr="0001508F" w:rsidRDefault="0001508F" w:rsidP="0001508F">
            <w:pPr>
              <w:tabs>
                <w:tab w:val="left" w:pos="1440"/>
              </w:tabs>
              <w:autoSpaceDE w:val="0"/>
              <w:autoSpaceDN w:val="0"/>
              <w:adjustRightInd w:val="0"/>
              <w:jc w:val="center"/>
              <w:rPr>
                <w:szCs w:val="24"/>
              </w:rPr>
            </w:pPr>
            <w:r w:rsidRPr="0001508F">
              <w:rPr>
                <w:szCs w:val="24"/>
              </w:rPr>
              <w:t>57,000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72FC1345" w14:textId="77777777" w:rsidR="0001508F" w:rsidRPr="0001508F" w:rsidRDefault="0001508F" w:rsidP="0001508F">
            <w:pPr>
              <w:tabs>
                <w:tab w:val="left" w:pos="1440"/>
              </w:tabs>
              <w:autoSpaceDE w:val="0"/>
              <w:autoSpaceDN w:val="0"/>
              <w:adjustRightInd w:val="0"/>
              <w:jc w:val="center"/>
              <w:rPr>
                <w:szCs w:val="24"/>
              </w:rPr>
            </w:pPr>
            <w:r w:rsidRPr="0001508F">
              <w:rPr>
                <w:szCs w:val="24"/>
              </w:rPr>
              <w:t>25,500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4B7C2A30" w14:textId="77777777" w:rsidR="0001508F" w:rsidRPr="0001508F" w:rsidRDefault="0001508F" w:rsidP="0001508F">
            <w:pPr>
              <w:tabs>
                <w:tab w:val="left" w:pos="1440"/>
              </w:tabs>
              <w:autoSpaceDE w:val="0"/>
              <w:autoSpaceDN w:val="0"/>
              <w:adjustRightInd w:val="0"/>
              <w:jc w:val="center"/>
              <w:rPr>
                <w:szCs w:val="24"/>
              </w:rPr>
            </w:pPr>
            <w:r w:rsidRPr="0001508F">
              <w:rPr>
                <w:szCs w:val="24"/>
              </w:rPr>
              <w:t>42,000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756B5178" w14:textId="77777777" w:rsidR="0001508F" w:rsidRPr="0001508F" w:rsidRDefault="0001508F" w:rsidP="0001508F">
            <w:pPr>
              <w:tabs>
                <w:tab w:val="left" w:pos="1440"/>
              </w:tabs>
              <w:autoSpaceDE w:val="0"/>
              <w:autoSpaceDN w:val="0"/>
              <w:adjustRightInd w:val="0"/>
              <w:jc w:val="center"/>
              <w:rPr>
                <w:szCs w:val="24"/>
              </w:rPr>
            </w:pPr>
            <w:r w:rsidRPr="0001508F">
              <w:rPr>
                <w:szCs w:val="24"/>
              </w:rPr>
              <w:t>25,500</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31216739" w14:textId="77777777" w:rsidR="0001508F" w:rsidRPr="0001508F" w:rsidRDefault="0001508F" w:rsidP="0001508F">
            <w:pPr>
              <w:tabs>
                <w:tab w:val="left" w:pos="1440"/>
              </w:tabs>
              <w:autoSpaceDE w:val="0"/>
              <w:autoSpaceDN w:val="0"/>
              <w:adjustRightInd w:val="0"/>
              <w:jc w:val="center"/>
              <w:rPr>
                <w:szCs w:val="24"/>
              </w:rPr>
            </w:pPr>
            <w:r w:rsidRPr="0001508F">
              <w:rPr>
                <w:szCs w:val="24"/>
              </w:rPr>
              <w:t>54,000</w:t>
            </w:r>
          </w:p>
        </w:tc>
        <w:tc>
          <w:tcPr>
            <w:tcW w:w="346"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981CEA5" w14:textId="77777777" w:rsidR="0001508F" w:rsidRPr="0001508F" w:rsidRDefault="0001508F" w:rsidP="0001508F">
            <w:pPr>
              <w:tabs>
                <w:tab w:val="left" w:pos="1440"/>
              </w:tabs>
              <w:autoSpaceDE w:val="0"/>
              <w:autoSpaceDN w:val="0"/>
              <w:adjustRightInd w:val="0"/>
              <w:jc w:val="center"/>
              <w:rPr>
                <w:szCs w:val="24"/>
              </w:rPr>
            </w:pPr>
            <w:r w:rsidRPr="0001508F">
              <w:rPr>
                <w:szCs w:val="24"/>
              </w:rPr>
              <w:t>27,000</w:t>
            </w:r>
          </w:p>
        </w:tc>
        <w:tc>
          <w:tcPr>
            <w:tcW w:w="346"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3E18116" w14:textId="77777777" w:rsidR="0001508F" w:rsidRPr="0001508F" w:rsidRDefault="0001508F" w:rsidP="0001508F">
            <w:pPr>
              <w:tabs>
                <w:tab w:val="left" w:pos="1440"/>
              </w:tabs>
              <w:autoSpaceDE w:val="0"/>
              <w:autoSpaceDN w:val="0"/>
              <w:adjustRightInd w:val="0"/>
              <w:jc w:val="center"/>
              <w:rPr>
                <w:szCs w:val="24"/>
              </w:rPr>
            </w:pPr>
            <w:r w:rsidRPr="0001508F">
              <w:rPr>
                <w:szCs w:val="24"/>
              </w:rPr>
              <w:t>16,500</w:t>
            </w:r>
          </w:p>
        </w:tc>
      </w:tr>
      <w:tr w:rsidR="0001508F" w:rsidRPr="0001508F" w14:paraId="783B9012" w14:textId="77777777" w:rsidTr="0001508F">
        <w:trPr>
          <w:cantSplit/>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8ABE6E7" w14:textId="77777777" w:rsidR="0001508F" w:rsidRPr="0001508F" w:rsidRDefault="0001508F" w:rsidP="0001508F">
            <w:pPr>
              <w:jc w:val="left"/>
              <w:rPr>
                <w:szCs w:val="24"/>
              </w:rPr>
            </w:pPr>
          </w:p>
        </w:tc>
        <w:tc>
          <w:tcPr>
            <w:tcW w:w="777" w:type="pct"/>
            <w:tcBorders>
              <w:top w:val="single" w:sz="4" w:space="0" w:color="000000"/>
              <w:left w:val="single" w:sz="4" w:space="0" w:color="000000"/>
              <w:bottom w:val="single" w:sz="4" w:space="0" w:color="000000"/>
              <w:right w:val="single" w:sz="4" w:space="0" w:color="000000"/>
            </w:tcBorders>
            <w:vAlign w:val="center"/>
            <w:hideMark/>
          </w:tcPr>
          <w:p w14:paraId="05C5FB92" w14:textId="77777777" w:rsidR="0001508F" w:rsidRPr="0001508F" w:rsidRDefault="0001508F" w:rsidP="0001508F">
            <w:pPr>
              <w:tabs>
                <w:tab w:val="left" w:pos="1440"/>
              </w:tabs>
              <w:autoSpaceDE w:val="0"/>
              <w:autoSpaceDN w:val="0"/>
              <w:adjustRightInd w:val="0"/>
              <w:jc w:val="center"/>
              <w:rPr>
                <w:szCs w:val="24"/>
              </w:rPr>
            </w:pPr>
            <w:r w:rsidRPr="0001508F">
              <w:rPr>
                <w:szCs w:val="24"/>
              </w:rPr>
              <w:t>SM</w:t>
            </w:r>
          </w:p>
        </w:tc>
        <w:tc>
          <w:tcPr>
            <w:tcW w:w="296" w:type="pct"/>
            <w:tcBorders>
              <w:top w:val="single" w:sz="4" w:space="0" w:color="000000"/>
              <w:left w:val="single" w:sz="4" w:space="0" w:color="000000"/>
              <w:bottom w:val="single" w:sz="4" w:space="0" w:color="000000"/>
              <w:right w:val="single" w:sz="4" w:space="0" w:color="000000"/>
            </w:tcBorders>
            <w:vAlign w:val="center"/>
            <w:hideMark/>
          </w:tcPr>
          <w:p w14:paraId="1750C6BD" w14:textId="77777777" w:rsidR="0001508F" w:rsidRPr="0001508F" w:rsidRDefault="0001508F" w:rsidP="0001508F">
            <w:pPr>
              <w:tabs>
                <w:tab w:val="left" w:pos="1440"/>
              </w:tabs>
              <w:autoSpaceDE w:val="0"/>
              <w:autoSpaceDN w:val="0"/>
              <w:adjustRightInd w:val="0"/>
              <w:jc w:val="center"/>
              <w:rPr>
                <w:szCs w:val="24"/>
              </w:rPr>
            </w:pPr>
            <w:r w:rsidRPr="0001508F">
              <w:rPr>
                <w:szCs w:val="24"/>
              </w:rPr>
              <w:t>UL</w:t>
            </w:r>
          </w:p>
        </w:tc>
        <w:tc>
          <w:tcPr>
            <w:tcW w:w="408" w:type="pct"/>
            <w:tcBorders>
              <w:top w:val="single" w:sz="4" w:space="0" w:color="000000"/>
              <w:left w:val="single" w:sz="4" w:space="0" w:color="000000"/>
              <w:bottom w:val="single" w:sz="4" w:space="0" w:color="000000"/>
              <w:right w:val="single" w:sz="4" w:space="0" w:color="000000"/>
            </w:tcBorders>
            <w:vAlign w:val="center"/>
            <w:hideMark/>
          </w:tcPr>
          <w:p w14:paraId="10E50B11" w14:textId="77777777" w:rsidR="0001508F" w:rsidRPr="0001508F" w:rsidRDefault="0001508F" w:rsidP="0001508F">
            <w:pPr>
              <w:tabs>
                <w:tab w:val="left" w:pos="1440"/>
              </w:tabs>
              <w:autoSpaceDE w:val="0"/>
              <w:autoSpaceDN w:val="0"/>
              <w:adjustRightInd w:val="0"/>
              <w:jc w:val="center"/>
              <w:rPr>
                <w:szCs w:val="24"/>
              </w:rPr>
            </w:pPr>
            <w:r w:rsidRPr="0001508F">
              <w:rPr>
                <w:szCs w:val="24"/>
              </w:rPr>
              <w:t>70,000</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3DE64CD0" w14:textId="77777777" w:rsidR="0001508F" w:rsidRPr="0001508F" w:rsidRDefault="0001508F" w:rsidP="0001508F">
            <w:pPr>
              <w:tabs>
                <w:tab w:val="left" w:pos="1440"/>
              </w:tabs>
              <w:autoSpaceDE w:val="0"/>
              <w:autoSpaceDN w:val="0"/>
              <w:adjustRightInd w:val="0"/>
              <w:jc w:val="center"/>
              <w:rPr>
                <w:szCs w:val="24"/>
              </w:rPr>
            </w:pPr>
            <w:r w:rsidRPr="0001508F">
              <w:rPr>
                <w:szCs w:val="24"/>
              </w:rPr>
              <w:t>38,000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471DA5E6" w14:textId="77777777" w:rsidR="0001508F" w:rsidRPr="0001508F" w:rsidRDefault="0001508F" w:rsidP="0001508F">
            <w:pPr>
              <w:tabs>
                <w:tab w:val="left" w:pos="1440"/>
              </w:tabs>
              <w:autoSpaceDE w:val="0"/>
              <w:autoSpaceDN w:val="0"/>
              <w:adjustRightInd w:val="0"/>
              <w:jc w:val="center"/>
              <w:rPr>
                <w:szCs w:val="24"/>
              </w:rPr>
            </w:pPr>
            <w:r w:rsidRPr="0001508F">
              <w:rPr>
                <w:szCs w:val="24"/>
              </w:rPr>
              <w:t>17,000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57723654" w14:textId="77777777" w:rsidR="0001508F" w:rsidRPr="0001508F" w:rsidRDefault="0001508F" w:rsidP="0001508F">
            <w:pPr>
              <w:tabs>
                <w:tab w:val="left" w:pos="1440"/>
              </w:tabs>
              <w:autoSpaceDE w:val="0"/>
              <w:autoSpaceDN w:val="0"/>
              <w:adjustRightInd w:val="0"/>
              <w:jc w:val="center"/>
              <w:rPr>
                <w:szCs w:val="24"/>
              </w:rPr>
            </w:pPr>
            <w:r w:rsidRPr="0001508F">
              <w:rPr>
                <w:szCs w:val="24"/>
              </w:rPr>
              <w:t>28,000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539B232F" w14:textId="77777777" w:rsidR="0001508F" w:rsidRPr="0001508F" w:rsidRDefault="0001508F" w:rsidP="0001508F">
            <w:pPr>
              <w:tabs>
                <w:tab w:val="left" w:pos="1440"/>
              </w:tabs>
              <w:autoSpaceDE w:val="0"/>
              <w:autoSpaceDN w:val="0"/>
              <w:adjustRightInd w:val="0"/>
              <w:jc w:val="center"/>
              <w:rPr>
                <w:szCs w:val="24"/>
              </w:rPr>
            </w:pPr>
            <w:r w:rsidRPr="0001508F">
              <w:rPr>
                <w:szCs w:val="24"/>
              </w:rPr>
              <w:t>17,000</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01A1A6C8" w14:textId="77777777" w:rsidR="0001508F" w:rsidRPr="0001508F" w:rsidRDefault="0001508F" w:rsidP="0001508F">
            <w:pPr>
              <w:tabs>
                <w:tab w:val="left" w:pos="1440"/>
              </w:tabs>
              <w:autoSpaceDE w:val="0"/>
              <w:autoSpaceDN w:val="0"/>
              <w:adjustRightInd w:val="0"/>
              <w:jc w:val="center"/>
              <w:rPr>
                <w:szCs w:val="24"/>
              </w:rPr>
            </w:pPr>
            <w:r w:rsidRPr="0001508F">
              <w:rPr>
                <w:szCs w:val="24"/>
              </w:rPr>
              <w:t>36,000</w:t>
            </w:r>
          </w:p>
        </w:tc>
        <w:tc>
          <w:tcPr>
            <w:tcW w:w="346"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187FEEE" w14:textId="77777777" w:rsidR="0001508F" w:rsidRPr="0001508F" w:rsidRDefault="0001508F" w:rsidP="0001508F">
            <w:pPr>
              <w:tabs>
                <w:tab w:val="left" w:pos="1440"/>
              </w:tabs>
              <w:autoSpaceDE w:val="0"/>
              <w:autoSpaceDN w:val="0"/>
              <w:adjustRightInd w:val="0"/>
              <w:jc w:val="center"/>
              <w:rPr>
                <w:szCs w:val="24"/>
              </w:rPr>
            </w:pPr>
            <w:r w:rsidRPr="0001508F">
              <w:rPr>
                <w:szCs w:val="24"/>
              </w:rPr>
              <w:t>18,000</w:t>
            </w:r>
          </w:p>
        </w:tc>
        <w:tc>
          <w:tcPr>
            <w:tcW w:w="346"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94BB3BF" w14:textId="77777777" w:rsidR="0001508F" w:rsidRPr="0001508F" w:rsidRDefault="0001508F" w:rsidP="0001508F">
            <w:pPr>
              <w:tabs>
                <w:tab w:val="left" w:pos="1440"/>
              </w:tabs>
              <w:autoSpaceDE w:val="0"/>
              <w:autoSpaceDN w:val="0"/>
              <w:adjustRightInd w:val="0"/>
              <w:jc w:val="center"/>
              <w:rPr>
                <w:szCs w:val="24"/>
              </w:rPr>
            </w:pPr>
            <w:r w:rsidRPr="0001508F">
              <w:rPr>
                <w:szCs w:val="24"/>
              </w:rPr>
              <w:t>11,000</w:t>
            </w:r>
          </w:p>
        </w:tc>
      </w:tr>
    </w:tbl>
    <w:tbl>
      <w:tblPr>
        <w:tblStyle w:val="TableGrid14"/>
        <w:tblW w:w="0" w:type="auto"/>
        <w:tblInd w:w="720" w:type="dxa"/>
        <w:tblLook w:val="04A0" w:firstRow="1" w:lastRow="0" w:firstColumn="1" w:lastColumn="0" w:noHBand="0" w:noVBand="1"/>
      </w:tblPr>
      <w:tblGrid>
        <w:gridCol w:w="468"/>
        <w:gridCol w:w="2790"/>
        <w:gridCol w:w="540"/>
        <w:gridCol w:w="3330"/>
      </w:tblGrid>
      <w:tr w:rsidR="0001508F" w:rsidRPr="0001508F" w14:paraId="13D4F51A" w14:textId="77777777" w:rsidTr="0001508F">
        <w:tc>
          <w:tcPr>
            <w:tcW w:w="468" w:type="dxa"/>
            <w:tcBorders>
              <w:top w:val="single" w:sz="4" w:space="0" w:color="auto"/>
              <w:left w:val="single" w:sz="4" w:space="0" w:color="auto"/>
              <w:bottom w:val="single" w:sz="4" w:space="0" w:color="auto"/>
              <w:right w:val="single" w:sz="4" w:space="0" w:color="auto"/>
            </w:tcBorders>
            <w:shd w:val="clear" w:color="auto" w:fill="D9D9D9"/>
          </w:tcPr>
          <w:p w14:paraId="2012F76E" w14:textId="77777777" w:rsidR="0001508F" w:rsidRPr="0001508F" w:rsidRDefault="0001508F" w:rsidP="0001508F">
            <w:pPr>
              <w:widowControl w:val="0"/>
              <w:spacing w:before="50" w:after="50"/>
              <w:jc w:val="left"/>
              <w:rPr>
                <w:szCs w:val="24"/>
              </w:rPr>
            </w:pPr>
          </w:p>
        </w:tc>
        <w:tc>
          <w:tcPr>
            <w:tcW w:w="2790" w:type="dxa"/>
            <w:tcBorders>
              <w:top w:val="nil"/>
              <w:left w:val="single" w:sz="4" w:space="0" w:color="auto"/>
              <w:bottom w:val="nil"/>
              <w:right w:val="nil"/>
            </w:tcBorders>
            <w:hideMark/>
          </w:tcPr>
          <w:p w14:paraId="12AAF83A" w14:textId="77777777" w:rsidR="0001508F" w:rsidRPr="0001508F" w:rsidRDefault="0001508F" w:rsidP="0001508F">
            <w:pPr>
              <w:widowControl w:val="0"/>
              <w:spacing w:before="50" w:after="50"/>
              <w:jc w:val="left"/>
              <w:rPr>
                <w:szCs w:val="24"/>
              </w:rPr>
            </w:pPr>
            <w:r w:rsidRPr="0001508F">
              <w:rPr>
                <w:szCs w:val="24"/>
              </w:rPr>
              <w:t>= Not permitted in Fire District</w:t>
            </w:r>
          </w:p>
        </w:tc>
        <w:tc>
          <w:tcPr>
            <w:tcW w:w="540" w:type="dxa"/>
            <w:tcBorders>
              <w:top w:val="single" w:sz="4" w:space="0" w:color="auto"/>
              <w:left w:val="single" w:sz="4" w:space="0" w:color="auto"/>
              <w:bottom w:val="single" w:sz="4" w:space="0" w:color="auto"/>
              <w:right w:val="single" w:sz="4" w:space="0" w:color="auto"/>
            </w:tcBorders>
            <w:shd w:val="clear" w:color="auto" w:fill="7F7F7F"/>
          </w:tcPr>
          <w:p w14:paraId="44018490" w14:textId="77777777" w:rsidR="0001508F" w:rsidRPr="0001508F" w:rsidRDefault="0001508F" w:rsidP="0001508F">
            <w:pPr>
              <w:widowControl w:val="0"/>
              <w:spacing w:before="50" w:after="50"/>
              <w:jc w:val="left"/>
              <w:rPr>
                <w:szCs w:val="24"/>
              </w:rPr>
            </w:pPr>
          </w:p>
        </w:tc>
        <w:tc>
          <w:tcPr>
            <w:tcW w:w="3330" w:type="dxa"/>
            <w:tcBorders>
              <w:top w:val="nil"/>
              <w:left w:val="single" w:sz="4" w:space="0" w:color="auto"/>
              <w:bottom w:val="nil"/>
              <w:right w:val="nil"/>
            </w:tcBorders>
            <w:hideMark/>
          </w:tcPr>
          <w:p w14:paraId="09476AB2" w14:textId="77777777" w:rsidR="0001508F" w:rsidRPr="0001508F" w:rsidRDefault="0001508F" w:rsidP="0001508F">
            <w:pPr>
              <w:widowControl w:val="0"/>
              <w:spacing w:before="50" w:after="50"/>
              <w:jc w:val="left"/>
              <w:rPr>
                <w:szCs w:val="24"/>
              </w:rPr>
            </w:pPr>
            <w:r w:rsidRPr="0001508F">
              <w:rPr>
                <w:szCs w:val="24"/>
              </w:rPr>
              <w:t xml:space="preserve">= Not permitted in Fire District without sprinklers </w:t>
            </w:r>
          </w:p>
        </w:tc>
      </w:tr>
    </w:tbl>
    <w:p w14:paraId="6BCB9007" w14:textId="77777777" w:rsidR="0001508F" w:rsidRPr="0001508F" w:rsidRDefault="0001508F" w:rsidP="0001508F">
      <w:pPr>
        <w:tabs>
          <w:tab w:val="left" w:pos="360"/>
        </w:tabs>
        <w:autoSpaceDE w:val="0"/>
        <w:autoSpaceDN w:val="0"/>
        <w:adjustRightInd w:val="0"/>
        <w:spacing w:before="50" w:after="50"/>
        <w:ind w:left="360" w:hanging="360"/>
        <w:jc w:val="left"/>
        <w:rPr>
          <w:szCs w:val="24"/>
        </w:rPr>
      </w:pPr>
      <w:r w:rsidRPr="0001508F">
        <w:rPr>
          <w:b/>
          <w:bCs/>
          <w:szCs w:val="24"/>
        </w:rPr>
        <w:t>Note:</w:t>
      </w:r>
      <w:r w:rsidRPr="0001508F">
        <w:rPr>
          <w:szCs w:val="24"/>
        </w:rPr>
        <w:t xml:space="preserve"> UL = Unlimited; NP = Not permitted;</w:t>
      </w:r>
    </w:p>
    <w:p w14:paraId="7B615579" w14:textId="77777777" w:rsidR="0001508F" w:rsidRPr="0001508F" w:rsidRDefault="0001508F" w:rsidP="0001508F">
      <w:pPr>
        <w:tabs>
          <w:tab w:val="left" w:pos="360"/>
        </w:tabs>
        <w:autoSpaceDE w:val="0"/>
        <w:autoSpaceDN w:val="0"/>
        <w:adjustRightInd w:val="0"/>
        <w:spacing w:before="50" w:after="50"/>
        <w:ind w:left="360" w:hanging="360"/>
        <w:rPr>
          <w:szCs w:val="24"/>
        </w:rPr>
      </w:pPr>
      <w:r w:rsidRPr="0001508F">
        <w:rPr>
          <w:szCs w:val="24"/>
        </w:rPr>
        <w:t>For SI: 1 square foot = 0.0929 m</w:t>
      </w:r>
      <w:r w:rsidRPr="0001508F">
        <w:rPr>
          <w:szCs w:val="24"/>
          <w:vertAlign w:val="superscript"/>
        </w:rPr>
        <w:t>2</w:t>
      </w:r>
      <w:r w:rsidRPr="0001508F">
        <w:rPr>
          <w:szCs w:val="24"/>
        </w:rPr>
        <w:t>.</w:t>
      </w:r>
    </w:p>
    <w:p w14:paraId="601909C0" w14:textId="77777777" w:rsidR="0001508F" w:rsidRPr="0001508F" w:rsidRDefault="0001508F" w:rsidP="0001508F">
      <w:pPr>
        <w:tabs>
          <w:tab w:val="left" w:pos="360"/>
        </w:tabs>
        <w:autoSpaceDE w:val="0"/>
        <w:autoSpaceDN w:val="0"/>
        <w:adjustRightInd w:val="0"/>
        <w:spacing w:before="50" w:after="50"/>
        <w:rPr>
          <w:szCs w:val="24"/>
        </w:rPr>
      </w:pPr>
      <w:r w:rsidRPr="0001508F">
        <w:rPr>
          <w:szCs w:val="24"/>
        </w:rPr>
        <w:t>NS = Buildings not equipped throughout with an automatic sprinkler system; S1 = Buildings a maximum of one story above grade plane equipped throughout with an automatic sprinkler system installed in accordance with Section 903.3.1.1; SM = Buildings two or more stories above grade plane equipped throughout with an automatic sprinkler system installed in accordance with Section 903.3.1.1; S13R = Buildings equipped throughout with an automatic sprinkler system installed in accordance with Section 903.3.1.2; S13D = Buildings equipped throughout with an automatic sprinkler system installed in accordance with Section 903.3.1.3.</w:t>
      </w:r>
    </w:p>
    <w:p w14:paraId="3B980243" w14:textId="77777777" w:rsidR="0001508F" w:rsidRPr="0001508F" w:rsidRDefault="0001508F" w:rsidP="0001508F">
      <w:pPr>
        <w:tabs>
          <w:tab w:val="left" w:pos="-4860"/>
        </w:tabs>
        <w:autoSpaceDE w:val="0"/>
        <w:autoSpaceDN w:val="0"/>
        <w:adjustRightInd w:val="0"/>
        <w:spacing w:before="50" w:after="50"/>
        <w:ind w:left="720" w:right="360" w:hanging="360"/>
        <w:rPr>
          <w:szCs w:val="24"/>
        </w:rPr>
      </w:pPr>
      <w:r w:rsidRPr="0001508F">
        <w:rPr>
          <w:szCs w:val="24"/>
        </w:rPr>
        <w:t>a.</w:t>
      </w:r>
      <w:r w:rsidRPr="0001508F">
        <w:rPr>
          <w:szCs w:val="24"/>
        </w:rPr>
        <w:tab/>
        <w:t>See the following sections for general exceptions to Table 506.2.</w:t>
      </w:r>
    </w:p>
    <w:p w14:paraId="519B9350" w14:textId="77777777" w:rsidR="0001508F" w:rsidRPr="0001508F" w:rsidRDefault="0001508F" w:rsidP="0001508F">
      <w:pPr>
        <w:tabs>
          <w:tab w:val="left" w:pos="-4860"/>
        </w:tabs>
        <w:autoSpaceDE w:val="0"/>
        <w:autoSpaceDN w:val="0"/>
        <w:adjustRightInd w:val="0"/>
        <w:ind w:left="1080" w:right="360" w:hanging="360"/>
        <w:contextualSpacing/>
        <w:rPr>
          <w:szCs w:val="24"/>
        </w:rPr>
      </w:pPr>
      <w:r w:rsidRPr="0001508F">
        <w:rPr>
          <w:szCs w:val="24"/>
        </w:rPr>
        <w:t>1.</w:t>
      </w:r>
      <w:r w:rsidRPr="0001508F">
        <w:rPr>
          <w:szCs w:val="24"/>
        </w:rPr>
        <w:tab/>
        <w:t>See Chapters 4 and 5 for specific exceptions to the allowable height in this chapter.</w:t>
      </w:r>
    </w:p>
    <w:p w14:paraId="586F4F22" w14:textId="77777777" w:rsidR="0001508F" w:rsidRPr="0001508F" w:rsidRDefault="0001508F" w:rsidP="0001508F">
      <w:pPr>
        <w:widowControl w:val="0"/>
        <w:autoSpaceDE w:val="0"/>
        <w:autoSpaceDN w:val="0"/>
        <w:adjustRightInd w:val="0"/>
        <w:ind w:left="1080" w:hanging="360"/>
        <w:contextualSpacing/>
        <w:rPr>
          <w:szCs w:val="24"/>
        </w:rPr>
      </w:pPr>
      <w:r w:rsidRPr="0001508F">
        <w:rPr>
          <w:szCs w:val="24"/>
        </w:rPr>
        <w:t>2.</w:t>
      </w:r>
      <w:r w:rsidRPr="0001508F">
        <w:rPr>
          <w:szCs w:val="24"/>
        </w:rPr>
        <w:tab/>
        <w:t>Section 506.3, Allowable area increase due to frontage.</w:t>
      </w:r>
    </w:p>
    <w:p w14:paraId="413BBAD8" w14:textId="77777777" w:rsidR="0001508F" w:rsidRPr="0001508F" w:rsidRDefault="0001508F" w:rsidP="0001508F">
      <w:pPr>
        <w:widowControl w:val="0"/>
        <w:autoSpaceDE w:val="0"/>
        <w:autoSpaceDN w:val="0"/>
        <w:adjustRightInd w:val="0"/>
        <w:ind w:left="1080" w:hanging="360"/>
        <w:contextualSpacing/>
        <w:rPr>
          <w:szCs w:val="24"/>
        </w:rPr>
      </w:pPr>
      <w:r w:rsidRPr="0001508F">
        <w:rPr>
          <w:szCs w:val="24"/>
        </w:rPr>
        <w:t>3.</w:t>
      </w:r>
      <w:r w:rsidRPr="0001508F">
        <w:rPr>
          <w:szCs w:val="24"/>
        </w:rPr>
        <w:tab/>
        <w:t>Section 507, Unlimited area building.</w:t>
      </w:r>
    </w:p>
    <w:p w14:paraId="2B7BD519" w14:textId="77777777" w:rsidR="0001508F" w:rsidRPr="0001508F" w:rsidRDefault="0001508F" w:rsidP="0001508F">
      <w:pPr>
        <w:tabs>
          <w:tab w:val="left" w:pos="-4860"/>
        </w:tabs>
        <w:autoSpaceDE w:val="0"/>
        <w:autoSpaceDN w:val="0"/>
        <w:adjustRightInd w:val="0"/>
        <w:spacing w:before="50" w:after="50"/>
        <w:ind w:left="720" w:right="360" w:hanging="360"/>
        <w:rPr>
          <w:szCs w:val="24"/>
        </w:rPr>
      </w:pPr>
      <w:r w:rsidRPr="0001508F">
        <w:rPr>
          <w:szCs w:val="24"/>
        </w:rPr>
        <w:t>b.</w:t>
      </w:r>
      <w:r w:rsidRPr="0001508F">
        <w:rPr>
          <w:szCs w:val="24"/>
        </w:rPr>
        <w:tab/>
        <w:t>See Section 903.2 for the minimum thresholds for protection by an automatic sprinkler system for specific occupancies.</w:t>
      </w:r>
    </w:p>
    <w:p w14:paraId="48AAF7BF" w14:textId="77777777" w:rsidR="0001508F" w:rsidRPr="0001508F" w:rsidRDefault="0001508F" w:rsidP="0001508F">
      <w:pPr>
        <w:widowControl w:val="0"/>
        <w:autoSpaceDE w:val="0"/>
        <w:autoSpaceDN w:val="0"/>
        <w:adjustRightInd w:val="0"/>
        <w:spacing w:before="50" w:after="50"/>
        <w:ind w:left="720" w:hanging="360"/>
        <w:rPr>
          <w:szCs w:val="24"/>
        </w:rPr>
      </w:pPr>
      <w:r w:rsidRPr="0001508F">
        <w:rPr>
          <w:szCs w:val="24"/>
        </w:rPr>
        <w:t>c.</w:t>
      </w:r>
      <w:r w:rsidRPr="0001508F">
        <w:rPr>
          <w:szCs w:val="24"/>
        </w:rPr>
        <w:tab/>
        <w:t>The NS value is only for use in buildings not required by this code to be equipped throughout with an automatic sprinkler system.</w:t>
      </w:r>
    </w:p>
    <w:p w14:paraId="61EF4828" w14:textId="77777777" w:rsidR="0001508F" w:rsidRPr="0001508F" w:rsidRDefault="0001508F" w:rsidP="0001508F">
      <w:pPr>
        <w:widowControl w:val="0"/>
        <w:autoSpaceDE w:val="0"/>
        <w:autoSpaceDN w:val="0"/>
        <w:adjustRightInd w:val="0"/>
        <w:spacing w:before="50" w:after="50"/>
        <w:ind w:left="720" w:hanging="360"/>
        <w:rPr>
          <w:szCs w:val="24"/>
        </w:rPr>
      </w:pPr>
      <w:r w:rsidRPr="0001508F">
        <w:rPr>
          <w:szCs w:val="24"/>
        </w:rPr>
        <w:t xml:space="preserve">d. </w:t>
      </w:r>
      <w:r w:rsidRPr="0001508F">
        <w:rPr>
          <w:szCs w:val="24"/>
        </w:rPr>
        <w:tab/>
        <w:t>For open parking structures, see Section 406.5.</w:t>
      </w:r>
    </w:p>
    <w:p w14:paraId="33B00458" w14:textId="77777777" w:rsidR="0001508F" w:rsidRPr="0001508F" w:rsidRDefault="0001508F" w:rsidP="0001508F">
      <w:pPr>
        <w:widowControl w:val="0"/>
        <w:autoSpaceDE w:val="0"/>
        <w:autoSpaceDN w:val="0"/>
        <w:adjustRightInd w:val="0"/>
        <w:spacing w:before="50" w:after="50"/>
        <w:ind w:left="720" w:hanging="360"/>
        <w:rPr>
          <w:szCs w:val="24"/>
        </w:rPr>
      </w:pPr>
      <w:r w:rsidRPr="0001508F">
        <w:rPr>
          <w:szCs w:val="24"/>
        </w:rPr>
        <w:t xml:space="preserve">e. </w:t>
      </w:r>
      <w:r w:rsidRPr="0001508F">
        <w:rPr>
          <w:szCs w:val="24"/>
        </w:rPr>
        <w:tab/>
        <w:t>For private garages, see Section 406.3.</w:t>
      </w:r>
    </w:p>
    <w:p w14:paraId="02A36755" w14:textId="77777777" w:rsidR="0001508F" w:rsidRPr="0001508F" w:rsidRDefault="0001508F" w:rsidP="0001508F">
      <w:pPr>
        <w:widowControl w:val="0"/>
        <w:autoSpaceDE w:val="0"/>
        <w:autoSpaceDN w:val="0"/>
        <w:adjustRightInd w:val="0"/>
        <w:spacing w:before="50" w:after="50"/>
        <w:ind w:left="720" w:hanging="360"/>
        <w:rPr>
          <w:szCs w:val="24"/>
        </w:rPr>
      </w:pPr>
      <w:r w:rsidRPr="0001508F">
        <w:rPr>
          <w:szCs w:val="24"/>
        </w:rPr>
        <w:t xml:space="preserve">f. </w:t>
      </w:r>
      <w:r w:rsidRPr="0001508F">
        <w:rPr>
          <w:szCs w:val="24"/>
        </w:rPr>
        <w:tab/>
        <w:t>See Section 415.8 for limitations.</w:t>
      </w:r>
    </w:p>
    <w:p w14:paraId="51BFE6AB" w14:textId="77777777" w:rsidR="0001508F" w:rsidRPr="0001508F" w:rsidRDefault="0001508F" w:rsidP="0001508F">
      <w:pPr>
        <w:widowControl w:val="0"/>
        <w:autoSpaceDE w:val="0"/>
        <w:autoSpaceDN w:val="0"/>
        <w:adjustRightInd w:val="0"/>
        <w:spacing w:before="50" w:after="50"/>
        <w:ind w:left="720" w:hanging="360"/>
        <w:rPr>
          <w:szCs w:val="24"/>
        </w:rPr>
      </w:pPr>
      <w:r w:rsidRPr="0001508F">
        <w:rPr>
          <w:szCs w:val="24"/>
        </w:rPr>
        <w:t>g.</w:t>
      </w:r>
      <w:r w:rsidRPr="0001508F">
        <w:rPr>
          <w:szCs w:val="24"/>
        </w:rPr>
        <w:tab/>
        <w:t>See Exception 9 of Section D105.1 for allowances of Type VA and VB construction for R-3 occupancies.</w:t>
      </w:r>
    </w:p>
    <w:p w14:paraId="4A011034" w14:textId="77777777" w:rsidR="0001508F" w:rsidRPr="0001508F" w:rsidRDefault="0001508F" w:rsidP="0001508F">
      <w:pPr>
        <w:widowControl w:val="0"/>
        <w:tabs>
          <w:tab w:val="left" w:pos="-4860"/>
        </w:tabs>
        <w:autoSpaceDE w:val="0"/>
        <w:autoSpaceDN w:val="0"/>
        <w:adjustRightInd w:val="0"/>
        <w:spacing w:before="50" w:after="50"/>
        <w:ind w:left="720" w:right="360" w:hanging="360"/>
        <w:rPr>
          <w:szCs w:val="24"/>
        </w:rPr>
      </w:pPr>
      <w:r w:rsidRPr="0001508F">
        <w:rPr>
          <w:szCs w:val="24"/>
        </w:rPr>
        <w:t>h.</w:t>
      </w:r>
      <w:r w:rsidRPr="0001508F">
        <w:rPr>
          <w:szCs w:val="24"/>
        </w:rPr>
        <w:tab/>
        <w:t>See Exception 12 of Section D105.1 for allowances of Type VA construction for R-3 occupancies in Lower Density Growth Management Areas.</w:t>
      </w:r>
    </w:p>
    <w:p w14:paraId="25D782D1" w14:textId="77777777" w:rsidR="0001508F" w:rsidRPr="0001508F" w:rsidRDefault="0001508F" w:rsidP="0001508F">
      <w:pPr>
        <w:autoSpaceDE w:val="0"/>
        <w:autoSpaceDN w:val="0"/>
        <w:adjustRightInd w:val="0"/>
        <w:spacing w:before="50" w:after="120"/>
        <w:ind w:left="720" w:hanging="360"/>
        <w:rPr>
          <w:szCs w:val="24"/>
        </w:rPr>
      </w:pPr>
      <w:r w:rsidRPr="0001508F">
        <w:rPr>
          <w:szCs w:val="24"/>
        </w:rPr>
        <w:t>i.</w:t>
      </w:r>
      <w:r w:rsidRPr="0001508F">
        <w:rPr>
          <w:szCs w:val="24"/>
        </w:rPr>
        <w:tab/>
        <w:t>Type IV construction utilizing cross-laminated timber or structural composite lumber shall be sprinklered where required by Section 903.2.13</w:t>
      </w:r>
      <w:r w:rsidRPr="0001508F">
        <w:rPr>
          <w:spacing w:val="4"/>
          <w:szCs w:val="24"/>
        </w:rPr>
        <w:t>.</w:t>
      </w:r>
      <w:r w:rsidRPr="0001508F">
        <w:rPr>
          <w:szCs w:val="24"/>
        </w:rPr>
        <w:t xml:space="preserve"> </w:t>
      </w:r>
    </w:p>
    <w:p w14:paraId="57C2634B" w14:textId="77777777" w:rsidR="0001508F" w:rsidRPr="0001508F" w:rsidRDefault="0001508F" w:rsidP="0001508F">
      <w:pPr>
        <w:autoSpaceDE w:val="0"/>
        <w:autoSpaceDN w:val="0"/>
        <w:adjustRightInd w:val="0"/>
        <w:spacing w:before="50" w:after="120"/>
        <w:ind w:left="720" w:hanging="360"/>
        <w:rPr>
          <w:szCs w:val="24"/>
          <w:u w:val="single"/>
        </w:rPr>
      </w:pPr>
      <w:r w:rsidRPr="0001508F">
        <w:rPr>
          <w:szCs w:val="24"/>
          <w:u w:val="single"/>
        </w:rPr>
        <w:t>j.</w:t>
      </w:r>
      <w:r w:rsidRPr="0001508F">
        <w:rPr>
          <w:szCs w:val="24"/>
          <w:u w:val="single"/>
        </w:rPr>
        <w:tab/>
        <w:t xml:space="preserve">For existing high-rise buildings, refer to the </w:t>
      </w:r>
      <w:r w:rsidRPr="0001508F">
        <w:rPr>
          <w:i/>
          <w:iCs/>
          <w:szCs w:val="24"/>
          <w:u w:val="single"/>
        </w:rPr>
        <w:t>New York City Existing Building Code</w:t>
      </w:r>
      <w:r w:rsidRPr="0001508F">
        <w:rPr>
          <w:szCs w:val="24"/>
          <w:u w:val="single"/>
        </w:rPr>
        <w:t>.</w:t>
      </w:r>
    </w:p>
    <w:bookmarkEnd w:id="290"/>
    <w:bookmarkEnd w:id="291"/>
    <w:p w14:paraId="57680624" w14:textId="77777777" w:rsidR="0001508F" w:rsidRPr="0001508F" w:rsidRDefault="0001508F" w:rsidP="0001508F">
      <w:pPr>
        <w:widowControl w:val="0"/>
        <w:spacing w:before="120" w:after="120"/>
        <w:ind w:left="360"/>
        <w:rPr>
          <w:rFonts w:eastAsia="Calibri"/>
          <w:szCs w:val="24"/>
          <w:u w:val="single"/>
        </w:rPr>
      </w:pPr>
      <w:r w:rsidRPr="0001508F">
        <w:rPr>
          <w:bCs/>
          <w:szCs w:val="24"/>
        </w:rPr>
        <w:t xml:space="preserve">§ 52. Chapter 6 of the New York city building code is amended by adding sections 601.1.1, 601.1.1.1, 601.1.1.2, 601.1.1.3, </w:t>
      </w:r>
      <w:r w:rsidRPr="0001508F">
        <w:rPr>
          <w:szCs w:val="24"/>
        </w:rPr>
        <w:t>601.1.1.4,</w:t>
      </w:r>
      <w:r w:rsidRPr="0001508F">
        <w:rPr>
          <w:bCs/>
          <w:szCs w:val="24"/>
        </w:rPr>
        <w:t xml:space="preserve"> and </w:t>
      </w:r>
      <w:r w:rsidRPr="0001508F">
        <w:rPr>
          <w:szCs w:val="24"/>
        </w:rPr>
        <w:t xml:space="preserve">601.1.1.5 </w:t>
      </w:r>
      <w:r w:rsidRPr="0001508F">
        <w:rPr>
          <w:bCs/>
          <w:szCs w:val="24"/>
        </w:rPr>
        <w:t>to read as follows:</w:t>
      </w:r>
      <w:r w:rsidRPr="0001508F">
        <w:rPr>
          <w:rFonts w:eastAsia="Calibri"/>
          <w:b/>
          <w:bCs/>
          <w:szCs w:val="24"/>
          <w:u w:val="single"/>
        </w:rPr>
        <w:t xml:space="preserve">601.1.1 Buildings in fire districts. </w:t>
      </w:r>
      <w:r w:rsidRPr="0001508F">
        <w:rPr>
          <w:rFonts w:eastAsia="Calibri"/>
          <w:szCs w:val="24"/>
          <w:u w:val="single"/>
        </w:rPr>
        <w:t xml:space="preserve">The construction of buildings in fire districts as indicated in Appendix D shall be subject to Sections 601.1.1.1 through 601.1.1.5. Existing buildings located in fire districts shall comply with the </w:t>
      </w:r>
      <w:r w:rsidRPr="0001508F">
        <w:rPr>
          <w:rFonts w:eastAsia="Calibri"/>
          <w:i/>
          <w:iCs/>
          <w:szCs w:val="24"/>
          <w:u w:val="single"/>
        </w:rPr>
        <w:t>New York City Existing Building Code</w:t>
      </w:r>
      <w:r w:rsidRPr="0001508F">
        <w:rPr>
          <w:rFonts w:eastAsia="Calibri"/>
          <w:szCs w:val="24"/>
          <w:u w:val="single"/>
        </w:rPr>
        <w:t>.</w:t>
      </w:r>
    </w:p>
    <w:p w14:paraId="4CC0815F" w14:textId="77777777" w:rsidR="0001508F" w:rsidRPr="0001508F" w:rsidRDefault="0001508F" w:rsidP="0001508F">
      <w:pPr>
        <w:widowControl w:val="0"/>
        <w:spacing w:before="120" w:after="120"/>
        <w:ind w:left="720"/>
        <w:rPr>
          <w:rFonts w:eastAsia="Calibri"/>
          <w:b/>
          <w:bCs/>
          <w:szCs w:val="24"/>
          <w:u w:val="single"/>
        </w:rPr>
      </w:pPr>
      <w:r w:rsidRPr="0001508F">
        <w:rPr>
          <w:rFonts w:eastAsia="Calibri"/>
          <w:b/>
          <w:bCs/>
          <w:szCs w:val="24"/>
          <w:u w:val="single"/>
        </w:rPr>
        <w:t xml:space="preserve">601.1.1.1 Type of construction permitted. </w:t>
      </w:r>
      <w:r w:rsidRPr="0001508F">
        <w:rPr>
          <w:rFonts w:eastAsia="Calibri"/>
          <w:szCs w:val="24"/>
          <w:u w:val="single"/>
        </w:rPr>
        <w:t xml:space="preserve">Every building hereafter erected within the fire district or located partially in the fire district pursuant to Section 601.1.1.4, shall be either Type I, II, III or IV. Every </w:t>
      </w:r>
      <w:r w:rsidRPr="0001508F">
        <w:rPr>
          <w:rFonts w:eastAsia="Calibri"/>
          <w:spacing w:val="1"/>
          <w:szCs w:val="24"/>
          <w:u w:val="single"/>
        </w:rPr>
        <w:t>building, room, or space hereafter altered or erected shall be constructed as required based on the type of construction indicated in Chapter 6, except as provided in Section 601.1.1.2</w:t>
      </w:r>
      <w:r w:rsidRPr="0001508F">
        <w:rPr>
          <w:rFonts w:eastAsia="Calibri"/>
          <w:spacing w:val="3"/>
          <w:szCs w:val="24"/>
          <w:u w:val="single"/>
        </w:rPr>
        <w:t>.</w:t>
      </w:r>
    </w:p>
    <w:p w14:paraId="103001BD" w14:textId="77777777" w:rsidR="0001508F" w:rsidRPr="0001508F" w:rsidRDefault="0001508F" w:rsidP="0001508F">
      <w:pPr>
        <w:ind w:left="720"/>
        <w:jc w:val="left"/>
        <w:rPr>
          <w:rFonts w:eastAsia="Calibri"/>
          <w:spacing w:val="1"/>
          <w:szCs w:val="24"/>
          <w:u w:val="single"/>
        </w:rPr>
      </w:pPr>
      <w:r w:rsidRPr="0001508F">
        <w:rPr>
          <w:rFonts w:eastAsia="Calibri"/>
          <w:b/>
          <w:bCs/>
          <w:szCs w:val="24"/>
          <w:u w:val="single"/>
        </w:rPr>
        <w:t xml:space="preserve">601.1.1.2 Fire resistance rating. </w:t>
      </w:r>
      <w:r w:rsidRPr="0001508F">
        <w:rPr>
          <w:rFonts w:eastAsia="Calibri"/>
          <w:spacing w:val="1"/>
          <w:szCs w:val="24"/>
          <w:u w:val="single"/>
        </w:rPr>
        <w:t>The fire-resistance rating of bearing walls, floors, roofs, and their supporting structural members shall comply with Table 601, but in no event shall such rating be less than 1 hour.</w:t>
      </w:r>
    </w:p>
    <w:p w14:paraId="1CBF7C8A" w14:textId="77777777" w:rsidR="0001508F" w:rsidRPr="0001508F" w:rsidRDefault="0001508F" w:rsidP="0001508F">
      <w:pPr>
        <w:widowControl w:val="0"/>
        <w:spacing w:before="120" w:after="120"/>
        <w:ind w:left="1080"/>
        <w:rPr>
          <w:rFonts w:eastAsia="Calibri"/>
          <w:spacing w:val="1"/>
          <w:szCs w:val="24"/>
          <w:u w:val="single"/>
        </w:rPr>
      </w:pPr>
      <w:r w:rsidRPr="0001508F">
        <w:rPr>
          <w:rFonts w:eastAsia="Calibri"/>
          <w:b/>
          <w:bCs/>
          <w:szCs w:val="24"/>
          <w:u w:val="single"/>
        </w:rPr>
        <w:t>Exceptions.</w:t>
      </w:r>
      <w:r w:rsidRPr="0001508F">
        <w:rPr>
          <w:rFonts w:eastAsia="Calibri"/>
          <w:szCs w:val="24"/>
          <w:u w:val="single"/>
        </w:rPr>
        <w:t xml:space="preserve"> </w:t>
      </w:r>
      <w:r w:rsidRPr="0001508F">
        <w:rPr>
          <w:rFonts w:eastAsia="Calibri"/>
          <w:spacing w:val="1"/>
          <w:szCs w:val="24"/>
          <w:u w:val="single"/>
        </w:rPr>
        <w:t>The following buildings or building elements may be constructed with fire-resistance rating in accordance with Table 601:</w:t>
      </w:r>
    </w:p>
    <w:p w14:paraId="79197B8B" w14:textId="77777777" w:rsidR="0001508F" w:rsidRPr="0001508F" w:rsidRDefault="0001508F" w:rsidP="0001508F">
      <w:pPr>
        <w:widowControl w:val="0"/>
        <w:numPr>
          <w:ilvl w:val="0"/>
          <w:numId w:val="55"/>
        </w:numPr>
        <w:tabs>
          <w:tab w:val="num" w:pos="-1530"/>
          <w:tab w:val="num" w:pos="504"/>
        </w:tabs>
        <w:kinsoku w:val="0"/>
        <w:spacing w:before="120" w:after="120"/>
        <w:ind w:left="1800"/>
        <w:jc w:val="left"/>
        <w:rPr>
          <w:rFonts w:eastAsia="Calibri"/>
          <w:spacing w:val="1"/>
          <w:szCs w:val="24"/>
          <w:u w:val="single"/>
        </w:rPr>
      </w:pPr>
      <w:r w:rsidRPr="0001508F">
        <w:rPr>
          <w:rFonts w:eastAsia="Calibri"/>
          <w:spacing w:val="1"/>
          <w:szCs w:val="24"/>
          <w:u w:val="single"/>
        </w:rPr>
        <w:t>Buildings of Type IV construction.</w:t>
      </w:r>
    </w:p>
    <w:p w14:paraId="61A5734A" w14:textId="77777777" w:rsidR="0001508F" w:rsidRPr="0001508F" w:rsidRDefault="0001508F" w:rsidP="0001508F">
      <w:pPr>
        <w:widowControl w:val="0"/>
        <w:numPr>
          <w:ilvl w:val="0"/>
          <w:numId w:val="55"/>
        </w:numPr>
        <w:tabs>
          <w:tab w:val="num" w:pos="-1530"/>
          <w:tab w:val="num" w:pos="504"/>
        </w:tabs>
        <w:kinsoku w:val="0"/>
        <w:spacing w:before="120" w:after="120"/>
        <w:ind w:left="1800"/>
        <w:jc w:val="left"/>
        <w:rPr>
          <w:rFonts w:eastAsia="Calibri"/>
          <w:spacing w:val="1"/>
          <w:szCs w:val="24"/>
          <w:u w:val="single"/>
        </w:rPr>
      </w:pPr>
      <w:r w:rsidRPr="0001508F">
        <w:rPr>
          <w:rFonts w:eastAsia="Calibri"/>
          <w:spacing w:val="1"/>
          <w:szCs w:val="24"/>
          <w:u w:val="single"/>
        </w:rPr>
        <w:t>Buildings equipped throughout with an automatic sprinkler system in accordance with Section 903.3.1.1.</w:t>
      </w:r>
    </w:p>
    <w:p w14:paraId="2344B806" w14:textId="77777777" w:rsidR="0001508F" w:rsidRPr="0001508F" w:rsidRDefault="0001508F" w:rsidP="0001508F">
      <w:pPr>
        <w:widowControl w:val="0"/>
        <w:numPr>
          <w:ilvl w:val="0"/>
          <w:numId w:val="55"/>
        </w:numPr>
        <w:tabs>
          <w:tab w:val="num" w:pos="-1530"/>
          <w:tab w:val="num" w:pos="504"/>
        </w:tabs>
        <w:kinsoku w:val="0"/>
        <w:spacing w:before="120" w:after="120"/>
        <w:ind w:left="1800"/>
        <w:jc w:val="left"/>
        <w:rPr>
          <w:rFonts w:eastAsia="Calibri"/>
          <w:spacing w:val="1"/>
          <w:szCs w:val="24"/>
          <w:u w:val="single"/>
        </w:rPr>
      </w:pPr>
      <w:r w:rsidRPr="0001508F">
        <w:rPr>
          <w:rFonts w:eastAsia="Calibri"/>
          <w:spacing w:val="1"/>
          <w:szCs w:val="24"/>
          <w:u w:val="single"/>
        </w:rPr>
        <w:t>Automobile parking structures. Buildings surrounded on all sides by a permanently open space of not less than 30 feet (9144 mm).</w:t>
      </w:r>
    </w:p>
    <w:p w14:paraId="1E54855D" w14:textId="77777777" w:rsidR="0001508F" w:rsidRPr="0001508F" w:rsidRDefault="0001508F" w:rsidP="0001508F">
      <w:pPr>
        <w:widowControl w:val="0"/>
        <w:numPr>
          <w:ilvl w:val="0"/>
          <w:numId w:val="55"/>
        </w:numPr>
        <w:tabs>
          <w:tab w:val="num" w:pos="-1530"/>
          <w:tab w:val="num" w:pos="504"/>
        </w:tabs>
        <w:kinsoku w:val="0"/>
        <w:spacing w:before="120" w:after="120"/>
        <w:ind w:left="1800"/>
        <w:jc w:val="left"/>
        <w:rPr>
          <w:rFonts w:eastAsia="Calibri"/>
          <w:spacing w:val="1"/>
          <w:szCs w:val="24"/>
          <w:u w:val="single"/>
        </w:rPr>
      </w:pPr>
      <w:r w:rsidRPr="0001508F">
        <w:rPr>
          <w:rFonts w:eastAsia="Calibri"/>
          <w:spacing w:val="1"/>
          <w:szCs w:val="24"/>
          <w:u w:val="single"/>
        </w:rPr>
        <w:t>Partitions complying with Section 603.1, Item 11.</w:t>
      </w:r>
    </w:p>
    <w:p w14:paraId="2B8D09B1" w14:textId="77777777" w:rsidR="0001508F" w:rsidRPr="0001508F" w:rsidRDefault="0001508F" w:rsidP="0001508F">
      <w:pPr>
        <w:widowControl w:val="0"/>
        <w:spacing w:before="120" w:after="120"/>
        <w:ind w:left="720"/>
        <w:rPr>
          <w:spacing w:val="1"/>
          <w:szCs w:val="24"/>
          <w:u w:val="single"/>
        </w:rPr>
      </w:pPr>
      <w:r w:rsidRPr="0001508F">
        <w:rPr>
          <w:b/>
          <w:bCs/>
          <w:szCs w:val="24"/>
          <w:u w:val="single"/>
        </w:rPr>
        <w:t>601.1.1.3 R-1 and R-2 occupancies.</w:t>
      </w:r>
      <w:r w:rsidRPr="0001508F">
        <w:rPr>
          <w:szCs w:val="24"/>
          <w:u w:val="single"/>
        </w:rPr>
        <w:t xml:space="preserve"> </w:t>
      </w:r>
      <w:r w:rsidRPr="0001508F">
        <w:rPr>
          <w:spacing w:val="1"/>
          <w:szCs w:val="24"/>
          <w:u w:val="single"/>
        </w:rPr>
        <w:t>No building or space classified in Occupancy Group R-1 or R-2 may be located on a lot containing a building classified in construction Type IIB, VA or VB.</w:t>
      </w:r>
    </w:p>
    <w:p w14:paraId="5CB99B06" w14:textId="77777777" w:rsidR="0001508F" w:rsidRPr="0001508F" w:rsidRDefault="0001508F" w:rsidP="0001508F">
      <w:pPr>
        <w:widowControl w:val="0"/>
        <w:spacing w:before="120" w:after="120"/>
        <w:ind w:left="720"/>
        <w:rPr>
          <w:spacing w:val="1"/>
          <w:szCs w:val="24"/>
          <w:u w:val="single"/>
        </w:rPr>
      </w:pPr>
      <w:r w:rsidRPr="0001508F">
        <w:rPr>
          <w:b/>
          <w:bCs/>
          <w:szCs w:val="24"/>
          <w:u w:val="single"/>
        </w:rPr>
        <w:t>601.1.1.4 Buildings located partially in the fire district.</w:t>
      </w:r>
      <w:r w:rsidRPr="0001508F">
        <w:rPr>
          <w:szCs w:val="24"/>
          <w:u w:val="single"/>
        </w:rPr>
        <w:t xml:space="preserve"> </w:t>
      </w:r>
      <w:r w:rsidRPr="0001508F">
        <w:rPr>
          <w:spacing w:val="1"/>
          <w:szCs w:val="24"/>
          <w:u w:val="single"/>
        </w:rPr>
        <w:t>Any building located partially in the fire district, so that it is both inside and outside the district, shall be of a type of construction required for the fire district if more than 25 percent of the total floor area of the building is located inside the fire district.</w:t>
      </w:r>
    </w:p>
    <w:p w14:paraId="577D1935" w14:textId="77777777" w:rsidR="0001508F" w:rsidRPr="0001508F" w:rsidRDefault="0001508F" w:rsidP="0001508F">
      <w:pPr>
        <w:widowControl w:val="0"/>
        <w:spacing w:before="120" w:after="120"/>
        <w:ind w:left="720"/>
        <w:rPr>
          <w:spacing w:val="1"/>
          <w:szCs w:val="24"/>
          <w:u w:val="single"/>
        </w:rPr>
      </w:pPr>
      <w:r w:rsidRPr="0001508F">
        <w:rPr>
          <w:b/>
          <w:bCs/>
          <w:szCs w:val="24"/>
          <w:u w:val="single"/>
        </w:rPr>
        <w:t xml:space="preserve">601.1.1.5 Exceptions to restrictions in fire district. </w:t>
      </w:r>
      <w:r w:rsidRPr="0001508F">
        <w:rPr>
          <w:spacing w:val="1"/>
          <w:szCs w:val="24"/>
          <w:u w:val="single"/>
        </w:rPr>
        <w:t>Sections 601.1.1.1 through 601.1.1.4 shall not apply in the following instances or to the following structures:</w:t>
      </w:r>
    </w:p>
    <w:p w14:paraId="753CF2E6" w14:textId="77777777" w:rsidR="0001508F" w:rsidRPr="0001508F" w:rsidRDefault="0001508F" w:rsidP="0001508F">
      <w:pPr>
        <w:widowControl w:val="0"/>
        <w:numPr>
          <w:ilvl w:val="0"/>
          <w:numId w:val="56"/>
        </w:numPr>
        <w:tabs>
          <w:tab w:val="num" w:pos="-13680"/>
        </w:tabs>
        <w:kinsoku w:val="0"/>
        <w:spacing w:before="120" w:after="120"/>
        <w:ind w:left="1440"/>
        <w:jc w:val="left"/>
        <w:rPr>
          <w:spacing w:val="1"/>
          <w:szCs w:val="24"/>
          <w:u w:val="single"/>
        </w:rPr>
      </w:pPr>
      <w:r w:rsidRPr="0001508F">
        <w:rPr>
          <w:spacing w:val="1"/>
          <w:szCs w:val="24"/>
          <w:u w:val="single"/>
        </w:rPr>
        <w:t>Temporary platforms, reviewing stands, and similar miscellaneous structures used for a limited period of time, subject to the approval of the commissioner.</w:t>
      </w:r>
    </w:p>
    <w:p w14:paraId="3E3F49EE" w14:textId="77777777" w:rsidR="0001508F" w:rsidRPr="0001508F" w:rsidRDefault="0001508F" w:rsidP="0001508F">
      <w:pPr>
        <w:widowControl w:val="0"/>
        <w:numPr>
          <w:ilvl w:val="0"/>
          <w:numId w:val="56"/>
        </w:numPr>
        <w:tabs>
          <w:tab w:val="num" w:pos="-13680"/>
        </w:tabs>
        <w:kinsoku w:val="0"/>
        <w:spacing w:before="120" w:after="120"/>
        <w:ind w:left="1440"/>
        <w:jc w:val="left"/>
        <w:rPr>
          <w:spacing w:val="1"/>
          <w:szCs w:val="24"/>
          <w:u w:val="single"/>
        </w:rPr>
      </w:pPr>
      <w:r w:rsidRPr="0001508F">
        <w:rPr>
          <w:spacing w:val="1"/>
          <w:szCs w:val="24"/>
          <w:u w:val="single"/>
        </w:rPr>
        <w:t>Fences not over 6 feet (1829 mm) high.</w:t>
      </w:r>
    </w:p>
    <w:p w14:paraId="1D040A5A" w14:textId="77777777" w:rsidR="0001508F" w:rsidRPr="0001508F" w:rsidRDefault="0001508F" w:rsidP="0001508F">
      <w:pPr>
        <w:widowControl w:val="0"/>
        <w:numPr>
          <w:ilvl w:val="0"/>
          <w:numId w:val="56"/>
        </w:numPr>
        <w:tabs>
          <w:tab w:val="num" w:pos="-13680"/>
        </w:tabs>
        <w:kinsoku w:val="0"/>
        <w:spacing w:before="120" w:after="120"/>
        <w:ind w:left="1440"/>
        <w:jc w:val="left"/>
        <w:rPr>
          <w:spacing w:val="1"/>
          <w:szCs w:val="24"/>
          <w:u w:val="single"/>
        </w:rPr>
      </w:pPr>
      <w:r w:rsidRPr="0001508F">
        <w:rPr>
          <w:spacing w:val="1"/>
          <w:szCs w:val="24"/>
          <w:u w:val="single"/>
        </w:rPr>
        <w:t>Water towers, tank structures, and trestles not over 35 feet (10 668 mm) high and having an exterior separation of at least 30 feet (9144 mm) may be constructed of wood planking and timbers of dimensions not less than as required for Type IV construction.</w:t>
      </w:r>
    </w:p>
    <w:p w14:paraId="3F0DDED6" w14:textId="77777777" w:rsidR="0001508F" w:rsidRPr="0001508F" w:rsidRDefault="0001508F" w:rsidP="0001508F">
      <w:pPr>
        <w:widowControl w:val="0"/>
        <w:numPr>
          <w:ilvl w:val="0"/>
          <w:numId w:val="57"/>
        </w:numPr>
        <w:tabs>
          <w:tab w:val="num" w:pos="-13680"/>
        </w:tabs>
        <w:kinsoku w:val="0"/>
        <w:spacing w:before="120" w:after="120"/>
        <w:ind w:left="1440"/>
        <w:jc w:val="left"/>
        <w:rPr>
          <w:spacing w:val="1"/>
          <w:szCs w:val="24"/>
          <w:u w:val="single"/>
        </w:rPr>
      </w:pPr>
      <w:r w:rsidRPr="0001508F">
        <w:rPr>
          <w:spacing w:val="1"/>
          <w:szCs w:val="24"/>
          <w:u w:val="single"/>
        </w:rPr>
        <w:t>Detached greenhouses accessory to a one- or two-family dwelling located on the same lot at least 6 feet (1829 mm) from any lot line or building walls and not exceeding 14 feet (4267 mm) in height.</w:t>
      </w:r>
    </w:p>
    <w:p w14:paraId="122A7DCE" w14:textId="77777777" w:rsidR="0001508F" w:rsidRPr="0001508F" w:rsidRDefault="0001508F" w:rsidP="0001508F">
      <w:pPr>
        <w:widowControl w:val="0"/>
        <w:numPr>
          <w:ilvl w:val="0"/>
          <w:numId w:val="57"/>
        </w:numPr>
        <w:tabs>
          <w:tab w:val="num" w:pos="-13680"/>
        </w:tabs>
        <w:kinsoku w:val="0"/>
        <w:spacing w:before="120" w:after="120"/>
        <w:ind w:left="1440"/>
        <w:jc w:val="left"/>
        <w:rPr>
          <w:spacing w:val="1"/>
          <w:szCs w:val="24"/>
          <w:u w:val="single"/>
        </w:rPr>
      </w:pPr>
      <w:r w:rsidRPr="0001508F">
        <w:rPr>
          <w:spacing w:val="1"/>
          <w:szCs w:val="24"/>
          <w:u w:val="single"/>
        </w:rPr>
        <w:t>Porches on dwellings not over one story in height, and not over 10 feet (3048 mm) wide from the face of the building, provided such porch does not come within 5 feet (1524 mm) of any property line.</w:t>
      </w:r>
    </w:p>
    <w:p w14:paraId="0328F4F2" w14:textId="77777777" w:rsidR="0001508F" w:rsidRPr="0001508F" w:rsidRDefault="0001508F" w:rsidP="0001508F">
      <w:pPr>
        <w:widowControl w:val="0"/>
        <w:numPr>
          <w:ilvl w:val="0"/>
          <w:numId w:val="57"/>
        </w:numPr>
        <w:tabs>
          <w:tab w:val="num" w:pos="-13680"/>
        </w:tabs>
        <w:kinsoku w:val="0"/>
        <w:spacing w:before="120" w:after="120"/>
        <w:ind w:left="1440"/>
        <w:jc w:val="left"/>
        <w:rPr>
          <w:spacing w:val="1"/>
          <w:szCs w:val="24"/>
          <w:u w:val="single"/>
        </w:rPr>
      </w:pPr>
      <w:r w:rsidRPr="0001508F">
        <w:rPr>
          <w:spacing w:val="1"/>
          <w:szCs w:val="24"/>
          <w:u w:val="single"/>
        </w:rPr>
        <w:t>Sheds open on a long side not over 15 feet (4572 mm) high and 500 square feet (46 m</w:t>
      </w:r>
      <w:r w:rsidRPr="0001508F">
        <w:rPr>
          <w:spacing w:val="1"/>
          <w:szCs w:val="24"/>
          <w:u w:val="single"/>
          <w:vertAlign w:val="superscript"/>
        </w:rPr>
        <w:t>2</w:t>
      </w:r>
      <w:r w:rsidRPr="0001508F">
        <w:rPr>
          <w:spacing w:val="1"/>
          <w:szCs w:val="24"/>
          <w:u w:val="single"/>
        </w:rPr>
        <w:t>) in area.</w:t>
      </w:r>
    </w:p>
    <w:p w14:paraId="5549A8BA" w14:textId="77777777" w:rsidR="0001508F" w:rsidRPr="0001508F" w:rsidRDefault="0001508F" w:rsidP="0001508F">
      <w:pPr>
        <w:widowControl w:val="0"/>
        <w:numPr>
          <w:ilvl w:val="0"/>
          <w:numId w:val="57"/>
        </w:numPr>
        <w:tabs>
          <w:tab w:val="num" w:pos="-13680"/>
        </w:tabs>
        <w:kinsoku w:val="0"/>
        <w:spacing w:before="120" w:after="120"/>
        <w:ind w:left="1440"/>
        <w:jc w:val="left"/>
        <w:rPr>
          <w:spacing w:val="1"/>
          <w:szCs w:val="24"/>
          <w:u w:val="single"/>
        </w:rPr>
      </w:pPr>
      <w:r w:rsidRPr="0001508F">
        <w:rPr>
          <w:spacing w:val="1"/>
          <w:szCs w:val="24"/>
          <w:u w:val="single"/>
        </w:rPr>
        <w:t>Existing one- and two-family dwellings of a type of construction not permitted in the fire district may be extended by up to 25 percent of the floor area existing at the time of inclusion in the fire district using any type of con</w:t>
      </w:r>
      <w:r w:rsidRPr="0001508F">
        <w:rPr>
          <w:spacing w:val="1"/>
          <w:szCs w:val="24"/>
          <w:u w:val="single"/>
        </w:rPr>
        <w:softHyphen/>
        <w:t>struction permitted by this code.</w:t>
      </w:r>
    </w:p>
    <w:p w14:paraId="05DAC5FC" w14:textId="77777777" w:rsidR="0001508F" w:rsidRPr="0001508F" w:rsidRDefault="0001508F" w:rsidP="0001508F">
      <w:pPr>
        <w:widowControl w:val="0"/>
        <w:numPr>
          <w:ilvl w:val="0"/>
          <w:numId w:val="57"/>
        </w:numPr>
        <w:tabs>
          <w:tab w:val="num" w:pos="-14400"/>
        </w:tabs>
        <w:kinsoku w:val="0"/>
        <w:spacing w:before="120" w:after="120"/>
        <w:ind w:left="1440"/>
        <w:jc w:val="left"/>
        <w:rPr>
          <w:spacing w:val="1"/>
          <w:szCs w:val="24"/>
          <w:u w:val="single"/>
        </w:rPr>
      </w:pPr>
      <w:r w:rsidRPr="0001508F">
        <w:rPr>
          <w:spacing w:val="1"/>
          <w:szCs w:val="24"/>
          <w:u w:val="single"/>
        </w:rPr>
        <w:t>Wood decks less than 600 square feet (56 m</w:t>
      </w:r>
      <w:r w:rsidRPr="0001508F">
        <w:rPr>
          <w:spacing w:val="1"/>
          <w:szCs w:val="24"/>
          <w:u w:val="single"/>
          <w:vertAlign w:val="superscript"/>
        </w:rPr>
        <w:t>2</w:t>
      </w:r>
      <w:r w:rsidRPr="0001508F">
        <w:rPr>
          <w:spacing w:val="1"/>
          <w:szCs w:val="24"/>
          <w:u w:val="single"/>
        </w:rPr>
        <w:t>) where constructed of 2-inch (51 mm) nominal wood that is pressure treated for exterior use.</w:t>
      </w:r>
    </w:p>
    <w:p w14:paraId="34EA19EE" w14:textId="77777777" w:rsidR="0001508F" w:rsidRPr="0001508F" w:rsidRDefault="0001508F" w:rsidP="0001508F">
      <w:pPr>
        <w:widowControl w:val="0"/>
        <w:numPr>
          <w:ilvl w:val="0"/>
          <w:numId w:val="57"/>
        </w:numPr>
        <w:tabs>
          <w:tab w:val="num" w:pos="-14400"/>
        </w:tabs>
        <w:kinsoku w:val="0"/>
        <w:spacing w:before="120" w:after="120"/>
        <w:ind w:left="1440"/>
        <w:jc w:val="left"/>
        <w:rPr>
          <w:spacing w:val="1"/>
          <w:szCs w:val="24"/>
          <w:u w:val="single"/>
        </w:rPr>
      </w:pPr>
      <w:r w:rsidRPr="0001508F">
        <w:rPr>
          <w:spacing w:val="1"/>
          <w:szCs w:val="24"/>
          <w:u w:val="single"/>
        </w:rPr>
        <w:t>One- or two-family detached or semidetached dwellings of two stories or less in height and 2,500 square feet (232 m</w:t>
      </w:r>
      <w:r w:rsidRPr="0001508F">
        <w:rPr>
          <w:spacing w:val="1"/>
          <w:szCs w:val="24"/>
          <w:u w:val="single"/>
          <w:vertAlign w:val="superscript"/>
        </w:rPr>
        <w:t>2</w:t>
      </w:r>
      <w:r w:rsidRPr="0001508F">
        <w:rPr>
          <w:spacing w:val="1"/>
          <w:szCs w:val="24"/>
          <w:u w:val="single"/>
        </w:rPr>
        <w:t>) or less in area per story located within Zoning Districts R-2 through R-5 may be constructed or reconstructed of construction Type VA, or if damaged for any cause only the damaged portions shall be required to be reconstructed to conform to Type VA construction. In addition, a one-family dwelling located within Zoning District R-1 regardless of whether such dwelling is located within the fire district, may be constructed of Type VB construction in conformance with the area and height limits established by Tables 504.3, 504.4 and 506.2.</w:t>
      </w:r>
    </w:p>
    <w:p w14:paraId="13F1A0F2" w14:textId="77777777" w:rsidR="0001508F" w:rsidRPr="0001508F" w:rsidRDefault="0001508F" w:rsidP="0001508F">
      <w:pPr>
        <w:widowControl w:val="0"/>
        <w:numPr>
          <w:ilvl w:val="0"/>
          <w:numId w:val="57"/>
        </w:numPr>
        <w:tabs>
          <w:tab w:val="num" w:pos="-14400"/>
        </w:tabs>
        <w:kinsoku w:val="0"/>
        <w:spacing w:before="120" w:after="120"/>
        <w:ind w:left="1440"/>
        <w:jc w:val="left"/>
        <w:rPr>
          <w:spacing w:val="1"/>
          <w:szCs w:val="24"/>
          <w:u w:val="single"/>
        </w:rPr>
      </w:pPr>
      <w:r w:rsidRPr="0001508F">
        <w:rPr>
          <w:spacing w:val="1"/>
          <w:szCs w:val="24"/>
          <w:u w:val="single"/>
        </w:rPr>
        <w:t>An accessory building or structure used as an office or similar use for an open parking lot located on the same lot, may be constructed of Type VA or VB construction provided its area shall be limited to 150 square feet (14 m</w:t>
      </w:r>
      <w:r w:rsidRPr="0001508F">
        <w:rPr>
          <w:spacing w:val="1"/>
          <w:szCs w:val="24"/>
          <w:u w:val="single"/>
          <w:vertAlign w:val="superscript"/>
        </w:rPr>
        <w:t>2</w:t>
      </w:r>
      <w:r w:rsidRPr="0001508F">
        <w:rPr>
          <w:spacing w:val="1"/>
          <w:szCs w:val="24"/>
          <w:u w:val="single"/>
        </w:rPr>
        <w:t>) and height of 10 feet (3048 mm) maximum. Such structure shall be located not less than 6 feet (1829 mm) from any lot line or buildings on the same lot.</w:t>
      </w:r>
    </w:p>
    <w:p w14:paraId="37B82374" w14:textId="77777777" w:rsidR="0001508F" w:rsidRPr="0001508F" w:rsidRDefault="0001508F" w:rsidP="0001508F">
      <w:pPr>
        <w:widowControl w:val="0"/>
        <w:tabs>
          <w:tab w:val="num" w:pos="-15120"/>
        </w:tabs>
        <w:kinsoku w:val="0"/>
        <w:spacing w:before="120" w:after="120"/>
        <w:ind w:left="1440" w:hanging="360"/>
        <w:rPr>
          <w:szCs w:val="24"/>
          <w:u w:val="single"/>
        </w:rPr>
      </w:pPr>
      <w:r w:rsidRPr="0001508F">
        <w:rPr>
          <w:szCs w:val="24"/>
          <w:u w:val="single"/>
        </w:rPr>
        <w:t>11.</w:t>
      </w:r>
      <w:r w:rsidRPr="0001508F">
        <w:rPr>
          <w:szCs w:val="24"/>
          <w:u w:val="single"/>
        </w:rPr>
        <w:tab/>
        <w:t>Temporary fences, sidewalk sheds, signs, and other safeguards installed in accordance with Chapter 33.</w:t>
      </w:r>
    </w:p>
    <w:p w14:paraId="2E34F42E" w14:textId="77777777" w:rsidR="0001508F" w:rsidRPr="0001508F" w:rsidRDefault="0001508F" w:rsidP="0001508F">
      <w:pPr>
        <w:widowControl w:val="0"/>
        <w:kinsoku w:val="0"/>
        <w:spacing w:before="120" w:after="120"/>
        <w:ind w:left="1440" w:hanging="360"/>
        <w:rPr>
          <w:szCs w:val="24"/>
          <w:u w:val="single"/>
        </w:rPr>
      </w:pPr>
      <w:r w:rsidRPr="0001508F">
        <w:rPr>
          <w:szCs w:val="24"/>
          <w:u w:val="single"/>
        </w:rPr>
        <w:t>12.</w:t>
      </w:r>
      <w:r w:rsidRPr="0001508F">
        <w:rPr>
          <w:szCs w:val="24"/>
          <w:u w:val="single"/>
        </w:rPr>
        <w:tab/>
        <w:t>One- or two-family detached, zero lot line or semi-detached dwellings of three stories in height and 2,500 square feet (232 m</w:t>
      </w:r>
      <w:r w:rsidRPr="0001508F">
        <w:rPr>
          <w:spacing w:val="1"/>
          <w:szCs w:val="24"/>
          <w:u w:val="single"/>
          <w:vertAlign w:val="superscript"/>
        </w:rPr>
        <w:t>2</w:t>
      </w:r>
      <w:r w:rsidRPr="0001508F">
        <w:rPr>
          <w:szCs w:val="24"/>
          <w:u w:val="single"/>
        </w:rPr>
        <w:t>) or less in area per story located within Zoning Districts R-1 through R-5 within Lower Density Growth Management Areas as defined by the New York City Zoning Resolution may be constructed or reconstructed of construction Type VA where such buildings are equipped throughout with an automatic sprinkler system in accordance with Section 903.3.1.1. If such dwellings are damaged, only the damaged portions shall be required to be reconstructed to conform to Type VA construction where such buildings are equipped throughout with an automatic sprinkler system in accordance with Section 903.3.1.1. In addition, no portion of a one- or two-family detached, zero lot line or semi-detached dwellings located within Zoning Districts R-1, R-2 or R-5 within Lower Density Growth Management Areas shall exceed a maximum building height of 35 feet (10 688 mm) above the grade plane.</w:t>
      </w:r>
    </w:p>
    <w:p w14:paraId="408856C9" w14:textId="77777777" w:rsidR="0001508F" w:rsidRPr="0001508F" w:rsidRDefault="0001508F" w:rsidP="0001508F">
      <w:pPr>
        <w:widowControl w:val="0"/>
        <w:spacing w:before="120" w:after="120" w:line="480" w:lineRule="auto"/>
        <w:ind w:firstLine="720"/>
        <w:rPr>
          <w:bCs/>
          <w:szCs w:val="24"/>
        </w:rPr>
      </w:pPr>
      <w:r w:rsidRPr="0001508F">
        <w:rPr>
          <w:bCs/>
          <w:szCs w:val="24"/>
        </w:rPr>
        <w:t>§ 52. Section 901.1 the New York city building code, as amended by local law number 126 for the year 2021, is amended to read as follows:</w:t>
      </w:r>
    </w:p>
    <w:p w14:paraId="49764133" w14:textId="77777777" w:rsidR="0001508F" w:rsidRPr="0001508F" w:rsidRDefault="0001508F" w:rsidP="0001508F">
      <w:pPr>
        <w:widowControl w:val="0"/>
        <w:spacing w:before="120" w:after="120"/>
        <w:rPr>
          <w:bCs/>
          <w:szCs w:val="24"/>
        </w:rPr>
      </w:pPr>
      <w:r w:rsidRPr="0001508F">
        <w:rPr>
          <w:b/>
          <w:szCs w:val="24"/>
        </w:rPr>
        <w:t>901.9 [</w:t>
      </w:r>
      <w:r w:rsidRPr="0001508F">
        <w:rPr>
          <w:b/>
          <w:strike/>
          <w:szCs w:val="24"/>
        </w:rPr>
        <w:t>Special provisions for prior code buildings</w:t>
      </w:r>
      <w:r w:rsidRPr="0001508F">
        <w:rPr>
          <w:b/>
          <w:szCs w:val="24"/>
        </w:rPr>
        <w:t>]</w:t>
      </w:r>
      <w:r w:rsidRPr="0001508F">
        <w:rPr>
          <w:b/>
          <w:szCs w:val="24"/>
          <w:u w:val="single"/>
        </w:rPr>
        <w:t>Existing buildings and systems.</w:t>
      </w:r>
      <w:r w:rsidRPr="0001508F">
        <w:rPr>
          <w:b/>
          <w:szCs w:val="24"/>
        </w:rPr>
        <w:t xml:space="preserve"> </w:t>
      </w:r>
      <w:r w:rsidRPr="0001508F">
        <w:rPr>
          <w:bCs/>
          <w:szCs w:val="24"/>
        </w:rPr>
        <w:t>The provisions of this chapter shall apply to alterations[</w:t>
      </w:r>
      <w:r w:rsidRPr="0001508F">
        <w:rPr>
          <w:bCs/>
          <w:strike/>
          <w:szCs w:val="24"/>
        </w:rPr>
        <w:t xml:space="preserve"> and</w:t>
      </w:r>
      <w:r w:rsidRPr="0001508F">
        <w:rPr>
          <w:bCs/>
          <w:szCs w:val="24"/>
        </w:rPr>
        <w:t>]</w:t>
      </w:r>
      <w:r w:rsidRPr="0001508F">
        <w:rPr>
          <w:bCs/>
          <w:szCs w:val="24"/>
          <w:u w:val="single"/>
        </w:rPr>
        <w:t>, repairs, changes of use or occupancy, and</w:t>
      </w:r>
      <w:r w:rsidRPr="0001508F">
        <w:rPr>
          <w:bCs/>
          <w:szCs w:val="24"/>
        </w:rPr>
        <w:t xml:space="preserve"> additions [</w:t>
      </w:r>
      <w:r w:rsidRPr="0001508F">
        <w:rPr>
          <w:bCs/>
          <w:strike/>
          <w:szCs w:val="24"/>
        </w:rPr>
        <w:t>and changes of use or occupancy to prior code</w:t>
      </w:r>
      <w:r w:rsidRPr="0001508F">
        <w:rPr>
          <w:bCs/>
          <w:szCs w:val="24"/>
        </w:rPr>
        <w:t>]</w:t>
      </w:r>
      <w:r w:rsidRPr="0001508F">
        <w:rPr>
          <w:bCs/>
          <w:szCs w:val="24"/>
          <w:u w:val="single"/>
        </w:rPr>
        <w:t>to existing</w:t>
      </w:r>
      <w:r w:rsidRPr="0001508F">
        <w:rPr>
          <w:bCs/>
          <w:szCs w:val="24"/>
        </w:rPr>
        <w:t xml:space="preserve"> buildings </w:t>
      </w:r>
      <w:r w:rsidRPr="0001508F">
        <w:rPr>
          <w:bCs/>
          <w:szCs w:val="24"/>
          <w:u w:val="single"/>
        </w:rPr>
        <w:t>and systems</w:t>
      </w:r>
      <w:r w:rsidRPr="0001508F">
        <w:rPr>
          <w:bCs/>
          <w:szCs w:val="24"/>
        </w:rPr>
        <w:t xml:space="preserve"> in accordance with [</w:t>
      </w:r>
      <w:r w:rsidRPr="0001508F">
        <w:rPr>
          <w:bCs/>
          <w:strike/>
          <w:szCs w:val="24"/>
        </w:rPr>
        <w:t>Sections 901.9.1 through 901.9.6</w:t>
      </w:r>
      <w:r w:rsidRPr="0001508F">
        <w:rPr>
          <w:bCs/>
          <w:szCs w:val="24"/>
        </w:rPr>
        <w:t xml:space="preserve">] </w:t>
      </w:r>
      <w:r w:rsidRPr="0001508F">
        <w:rPr>
          <w:bCs/>
          <w:szCs w:val="24"/>
          <w:u w:val="single"/>
        </w:rPr>
        <w:t xml:space="preserve">the </w:t>
      </w:r>
      <w:r w:rsidRPr="0001508F">
        <w:rPr>
          <w:bCs/>
          <w:i/>
          <w:iCs/>
          <w:szCs w:val="24"/>
          <w:u w:val="single"/>
        </w:rPr>
        <w:t>New York City Existing Building Code</w:t>
      </w:r>
      <w:r w:rsidRPr="0001508F">
        <w:rPr>
          <w:bCs/>
          <w:szCs w:val="24"/>
        </w:rPr>
        <w:t>.</w:t>
      </w:r>
    </w:p>
    <w:p w14:paraId="58B015BF" w14:textId="77777777" w:rsidR="0001508F" w:rsidRPr="0001508F" w:rsidRDefault="0001508F" w:rsidP="0001508F">
      <w:pPr>
        <w:widowControl w:val="0"/>
        <w:spacing w:before="120" w:after="120" w:line="480" w:lineRule="auto"/>
        <w:ind w:firstLine="720"/>
        <w:rPr>
          <w:bCs/>
          <w:szCs w:val="24"/>
        </w:rPr>
      </w:pPr>
      <w:bookmarkStart w:id="292" w:name="_Hlk207014153"/>
      <w:r w:rsidRPr="0001508F">
        <w:rPr>
          <w:bCs/>
          <w:szCs w:val="24"/>
        </w:rPr>
        <w:t>§ 53. Sections 901.9.1, 901.9.1.1, 901.9.2, 901.9.3, 901.9.4, 901.9.4.1, 901.9.4.2, 901.9.4.3, 901.9.5, 901.9.5.1, 901.9.5.3, 901.9.5.4, 901.9.6 the New York city building code are REPEALED:</w:t>
      </w:r>
    </w:p>
    <w:p w14:paraId="763F2084" w14:textId="77777777" w:rsidR="0001508F" w:rsidRPr="0001508F" w:rsidRDefault="0001508F" w:rsidP="0001508F">
      <w:pPr>
        <w:widowControl w:val="0"/>
        <w:spacing w:before="120" w:after="120" w:line="480" w:lineRule="auto"/>
        <w:ind w:firstLine="720"/>
        <w:rPr>
          <w:bCs/>
          <w:szCs w:val="24"/>
        </w:rPr>
      </w:pPr>
    </w:p>
    <w:bookmarkEnd w:id="292"/>
    <w:p w14:paraId="6ECF69E0" w14:textId="77777777" w:rsidR="0001508F" w:rsidRPr="0001508F" w:rsidRDefault="0001508F" w:rsidP="0001508F">
      <w:pPr>
        <w:widowControl w:val="0"/>
        <w:spacing w:before="120" w:after="120"/>
        <w:rPr>
          <w:bCs/>
          <w:szCs w:val="24"/>
        </w:rPr>
      </w:pPr>
      <w:r w:rsidRPr="0001508F">
        <w:rPr>
          <w:bCs/>
          <w:szCs w:val="24"/>
        </w:rPr>
        <w:t>§ 54. Sections 903.6.2, 903.6.5, 905.11.2, 905.11.5, 905.11.6, and 912.2.2 of the New York city building code, as amended by local law number 126 for the year 2021, are amended to read as follows:</w:t>
      </w:r>
    </w:p>
    <w:p w14:paraId="261DB561" w14:textId="77777777" w:rsidR="0001508F" w:rsidRPr="0001508F" w:rsidRDefault="0001508F" w:rsidP="0001508F">
      <w:pPr>
        <w:widowControl w:val="0"/>
        <w:spacing w:before="120" w:after="120"/>
        <w:ind w:left="360"/>
        <w:rPr>
          <w:strike/>
          <w:spacing w:val="1"/>
          <w:szCs w:val="24"/>
        </w:rPr>
      </w:pPr>
      <w:r w:rsidRPr="0001508F">
        <w:rPr>
          <w:b/>
          <w:szCs w:val="24"/>
        </w:rPr>
        <w:t>903.6.2 Alterations. [</w:t>
      </w:r>
      <w:r w:rsidRPr="0001508F">
        <w:rPr>
          <w:strike/>
          <w:spacing w:val="1"/>
          <w:szCs w:val="24"/>
        </w:rPr>
        <w:t xml:space="preserve">Cross connections and risers for independent (stand-alone) existing sprinkler systems that are exposed during alterations, including alterations pursuant to Section 28-101.4.2 of the </w:t>
      </w:r>
      <w:r w:rsidRPr="0001508F">
        <w:rPr>
          <w:i/>
          <w:strike/>
          <w:spacing w:val="1"/>
          <w:szCs w:val="24"/>
        </w:rPr>
        <w:t>Administrative Code</w:t>
      </w:r>
      <w:r w:rsidRPr="0001508F">
        <w:rPr>
          <w:strike/>
          <w:spacing w:val="1"/>
          <w:szCs w:val="24"/>
        </w:rPr>
        <w:t>, shall be painted red and the handles of valves serving such existing sprinkler systems shall be painted green. Where the alteration requires a hydrostatic pressure test such painting shall be completed prior to such test.</w:t>
      </w:r>
    </w:p>
    <w:p w14:paraId="5CC41F95" w14:textId="77777777" w:rsidR="0001508F" w:rsidRPr="0001508F" w:rsidRDefault="0001508F" w:rsidP="0001508F">
      <w:pPr>
        <w:widowControl w:val="0"/>
        <w:spacing w:before="120" w:after="120"/>
        <w:ind w:left="720"/>
        <w:rPr>
          <w:spacing w:val="1"/>
          <w:szCs w:val="24"/>
          <w:u w:val="single"/>
        </w:rPr>
      </w:pPr>
      <w:r w:rsidRPr="0001508F">
        <w:rPr>
          <w:b/>
          <w:strike/>
          <w:szCs w:val="24"/>
        </w:rPr>
        <w:t xml:space="preserve">Exception: </w:t>
      </w:r>
      <w:r w:rsidRPr="0001508F">
        <w:rPr>
          <w:strike/>
          <w:spacing w:val="1"/>
          <w:szCs w:val="24"/>
        </w:rPr>
        <w:t>Where a standpipe system is used as a combination standpipe and sprinkler system, the sprinkler risers and cross connections that are also used for the standpipe system shall be painted red and the handles of valves serving such combination system shall be painted yellow.</w:t>
      </w:r>
      <w:r w:rsidRPr="0001508F">
        <w:rPr>
          <w:spacing w:val="1"/>
          <w:szCs w:val="24"/>
        </w:rPr>
        <w:t xml:space="preserve">] </w:t>
      </w:r>
      <w:r w:rsidRPr="0001508F">
        <w:rPr>
          <w:spacing w:val="1"/>
          <w:szCs w:val="24"/>
          <w:u w:val="single"/>
        </w:rPr>
        <w:t xml:space="preserve">Refer to Section 304.2 of the </w:t>
      </w:r>
      <w:r w:rsidRPr="0001508F">
        <w:rPr>
          <w:i/>
          <w:iCs/>
          <w:spacing w:val="1"/>
          <w:szCs w:val="24"/>
          <w:u w:val="single"/>
        </w:rPr>
        <w:t>New York City Existing Building Code</w:t>
      </w:r>
      <w:r w:rsidRPr="0001508F">
        <w:rPr>
          <w:spacing w:val="1"/>
          <w:szCs w:val="24"/>
          <w:u w:val="single"/>
        </w:rPr>
        <w:t>.</w:t>
      </w:r>
    </w:p>
    <w:p w14:paraId="6AFC6CB2" w14:textId="77777777" w:rsidR="0001508F" w:rsidRPr="0001508F" w:rsidRDefault="0001508F" w:rsidP="0001508F">
      <w:pPr>
        <w:widowControl w:val="0"/>
        <w:spacing w:before="120" w:after="120"/>
        <w:rPr>
          <w:b/>
          <w:bCs/>
          <w:szCs w:val="24"/>
          <w:highlight w:val="cyan"/>
        </w:rPr>
      </w:pPr>
    </w:p>
    <w:p w14:paraId="70E2D322" w14:textId="77777777" w:rsidR="0001508F" w:rsidRPr="0001508F" w:rsidRDefault="0001508F" w:rsidP="0001508F">
      <w:pPr>
        <w:widowControl w:val="0"/>
        <w:spacing w:before="120" w:after="120"/>
        <w:ind w:left="360"/>
        <w:rPr>
          <w:szCs w:val="24"/>
          <w:u w:val="single"/>
        </w:rPr>
      </w:pPr>
      <w:r w:rsidRPr="0001508F">
        <w:rPr>
          <w:b/>
          <w:bCs/>
          <w:szCs w:val="24"/>
        </w:rPr>
        <w:t xml:space="preserve">903.6.5 Certification of completion of system painting. </w:t>
      </w:r>
      <w:r w:rsidRPr="0001508F">
        <w:rPr>
          <w:szCs w:val="24"/>
        </w:rPr>
        <w:t>[</w:t>
      </w:r>
      <w:r w:rsidRPr="0001508F">
        <w:rPr>
          <w:strike/>
          <w:szCs w:val="24"/>
        </w:rPr>
        <w:t xml:space="preserve">For all buildings where sprinkler and combination sprinkler and standpipe systems are not subject to a special inspection pursuant to Section 1705.2.9 of this code, a licensed master plumber, licensed master fire suppression piping contractor, registered design professional or an individual holding an appropriate certificate of fitness from the Fire Department for the operation and/or maintenance of such system shall certify on forms provided by the department that all required painting has been completed in accordance with Section 903.6. Such certification shall be maintained on the premises and made available for inspection by the department and the Fire Department. </w:t>
      </w:r>
      <w:r w:rsidRPr="0001508F">
        <w:rPr>
          <w:szCs w:val="24"/>
        </w:rPr>
        <w:t>]</w:t>
      </w:r>
      <w:r w:rsidRPr="0001508F">
        <w:rPr>
          <w:szCs w:val="24"/>
          <w:u w:val="single"/>
        </w:rPr>
        <w:t xml:space="preserve">Refer to Section 304.2.3 of the </w:t>
      </w:r>
      <w:r w:rsidRPr="0001508F">
        <w:rPr>
          <w:i/>
          <w:iCs/>
          <w:szCs w:val="24"/>
          <w:u w:val="single"/>
        </w:rPr>
        <w:t>New York City Existing Building Code</w:t>
      </w:r>
      <w:r w:rsidRPr="0001508F">
        <w:rPr>
          <w:szCs w:val="24"/>
          <w:u w:val="single"/>
        </w:rPr>
        <w:t>.</w:t>
      </w:r>
    </w:p>
    <w:p w14:paraId="48CAC3E6" w14:textId="77777777" w:rsidR="0001508F" w:rsidRPr="0001508F" w:rsidRDefault="0001508F" w:rsidP="0001508F">
      <w:pPr>
        <w:widowControl w:val="0"/>
        <w:spacing w:before="120" w:after="120"/>
        <w:rPr>
          <w:b/>
          <w:bCs/>
          <w:szCs w:val="24"/>
        </w:rPr>
      </w:pPr>
    </w:p>
    <w:p w14:paraId="25CA34D5" w14:textId="77777777" w:rsidR="0001508F" w:rsidRPr="0001508F" w:rsidRDefault="0001508F" w:rsidP="0001508F">
      <w:pPr>
        <w:widowControl w:val="0"/>
        <w:spacing w:before="120" w:after="120"/>
        <w:ind w:left="360"/>
        <w:rPr>
          <w:szCs w:val="24"/>
          <w:u w:val="single"/>
        </w:rPr>
      </w:pPr>
      <w:r w:rsidRPr="0001508F">
        <w:rPr>
          <w:b/>
          <w:bCs/>
          <w:szCs w:val="24"/>
        </w:rPr>
        <w:t>905.11.2 Alterations.</w:t>
      </w:r>
      <w:r w:rsidRPr="0001508F">
        <w:rPr>
          <w:szCs w:val="24"/>
        </w:rPr>
        <w:t xml:space="preserve"> [</w:t>
      </w:r>
      <w:r w:rsidRPr="0001508F">
        <w:rPr>
          <w:strike/>
          <w:szCs w:val="24"/>
        </w:rPr>
        <w:t xml:space="preserve">Existing handles of valves serving existing standpipe systems and existing unpainted standpipe risers that are exposed during alterations, including alterations pursuant to Section 28-101.4.2 of the Administrative Code shall be painted red. Where the alteration requires a hydrostatic pressure test such painting shall be completed prior to such test. </w:t>
      </w:r>
      <w:r w:rsidRPr="0001508F">
        <w:rPr>
          <w:szCs w:val="24"/>
        </w:rPr>
        <w:t>]</w:t>
      </w:r>
      <w:r w:rsidRPr="0001508F">
        <w:rPr>
          <w:szCs w:val="24"/>
          <w:u w:val="single"/>
        </w:rPr>
        <w:t xml:space="preserve">Refer to Section 304.3.1 of the </w:t>
      </w:r>
      <w:r w:rsidRPr="0001508F">
        <w:rPr>
          <w:i/>
          <w:iCs/>
          <w:szCs w:val="24"/>
          <w:u w:val="single"/>
        </w:rPr>
        <w:t>New York City Existing Building Code</w:t>
      </w:r>
      <w:r w:rsidRPr="0001508F">
        <w:rPr>
          <w:szCs w:val="24"/>
          <w:u w:val="single"/>
        </w:rPr>
        <w:t>.</w:t>
      </w:r>
    </w:p>
    <w:p w14:paraId="5959A6E5" w14:textId="77777777" w:rsidR="0001508F" w:rsidRPr="0001508F" w:rsidRDefault="0001508F" w:rsidP="0001508F">
      <w:pPr>
        <w:widowControl w:val="0"/>
        <w:spacing w:before="120" w:after="120"/>
        <w:rPr>
          <w:b/>
          <w:bCs/>
          <w:szCs w:val="24"/>
          <w:highlight w:val="cyan"/>
        </w:rPr>
      </w:pPr>
    </w:p>
    <w:p w14:paraId="5F647F06" w14:textId="77777777" w:rsidR="0001508F" w:rsidRPr="0001508F" w:rsidRDefault="0001508F" w:rsidP="0001508F">
      <w:pPr>
        <w:widowControl w:val="0"/>
        <w:spacing w:before="120" w:after="120"/>
        <w:ind w:left="360"/>
        <w:rPr>
          <w:szCs w:val="24"/>
          <w:u w:val="single"/>
        </w:rPr>
      </w:pPr>
      <w:r w:rsidRPr="0001508F">
        <w:rPr>
          <w:b/>
          <w:bCs/>
          <w:szCs w:val="24"/>
        </w:rPr>
        <w:t xml:space="preserve">905.11.5 Combination standpipe and sprinkler systems. </w:t>
      </w:r>
      <w:r w:rsidRPr="0001508F">
        <w:rPr>
          <w:szCs w:val="24"/>
        </w:rPr>
        <w:t>[</w:t>
      </w:r>
      <w:r w:rsidRPr="0001508F">
        <w:rPr>
          <w:strike/>
          <w:szCs w:val="24"/>
        </w:rPr>
        <w:t xml:space="preserve">Where a standpipe system that is used as a combination standpipe and sprinkler system is required to be painted pursuant to Section 905.11.1, 905.11.2, 905.11.3 or 905.11.4, the sprinkler risers and cross connections that are also used for the standpipe system shall be painted red, and the handles of valves serving such combination standpipe and sprinkler system shall be painted yellow. </w:t>
      </w:r>
      <w:r w:rsidRPr="0001508F">
        <w:rPr>
          <w:szCs w:val="24"/>
        </w:rPr>
        <w:t>]</w:t>
      </w:r>
      <w:r w:rsidRPr="0001508F">
        <w:rPr>
          <w:szCs w:val="24"/>
          <w:u w:val="single"/>
        </w:rPr>
        <w:t xml:space="preserve">Refer to Section 304.3.2 of the </w:t>
      </w:r>
      <w:r w:rsidRPr="0001508F">
        <w:rPr>
          <w:i/>
          <w:iCs/>
          <w:szCs w:val="24"/>
          <w:u w:val="single"/>
        </w:rPr>
        <w:t>New York City Existing Building Code</w:t>
      </w:r>
      <w:r w:rsidRPr="0001508F">
        <w:rPr>
          <w:szCs w:val="24"/>
          <w:u w:val="single"/>
        </w:rPr>
        <w:t>.</w:t>
      </w:r>
    </w:p>
    <w:p w14:paraId="2D69EF3C" w14:textId="77777777" w:rsidR="0001508F" w:rsidRPr="0001508F" w:rsidRDefault="0001508F" w:rsidP="0001508F">
      <w:pPr>
        <w:widowControl w:val="0"/>
        <w:spacing w:before="120" w:after="120"/>
        <w:ind w:left="360"/>
        <w:rPr>
          <w:b/>
          <w:szCs w:val="24"/>
        </w:rPr>
      </w:pPr>
    </w:p>
    <w:p w14:paraId="540B9368" w14:textId="77777777" w:rsidR="0001508F" w:rsidRPr="0001508F" w:rsidRDefault="0001508F" w:rsidP="0001508F">
      <w:pPr>
        <w:widowControl w:val="0"/>
        <w:spacing w:before="120" w:after="120"/>
        <w:ind w:left="360"/>
        <w:rPr>
          <w:spacing w:val="1"/>
          <w:szCs w:val="24"/>
        </w:rPr>
      </w:pPr>
      <w:r w:rsidRPr="0001508F">
        <w:rPr>
          <w:b/>
          <w:szCs w:val="24"/>
        </w:rPr>
        <w:t>905.11.6 Certification of completion of system painting.</w:t>
      </w:r>
      <w:r w:rsidRPr="0001508F">
        <w:rPr>
          <w:b/>
          <w:bCs/>
          <w:szCs w:val="24"/>
        </w:rPr>
        <w:t xml:space="preserve"> </w:t>
      </w:r>
      <w:r w:rsidRPr="0001508F">
        <w:rPr>
          <w:szCs w:val="24"/>
        </w:rPr>
        <w:t>[</w:t>
      </w:r>
      <w:r w:rsidRPr="0001508F">
        <w:rPr>
          <w:strike/>
          <w:spacing w:val="1"/>
          <w:szCs w:val="24"/>
        </w:rPr>
        <w:t>For all buildings where standpipe and combination sprinkler and standpipe systems are not subject to a special inspection pursuant to Section 1704.24 of this code, a licensed master plumber, licensed master fire suppression piping contractor, registered design professional or an individual holding an appropriate certificate of fitness from the Fire Department for the operation and/or maintenance of such system shall certify on forms provided by the department that all required painting has been completed in accordance with Section 905.11. Such certification shall be maintained on the premises and made available for inspection by the department and the Fire Department.</w:t>
      </w:r>
      <w:r w:rsidRPr="0001508F">
        <w:rPr>
          <w:spacing w:val="1"/>
          <w:szCs w:val="24"/>
        </w:rPr>
        <w:t xml:space="preserve">] </w:t>
      </w:r>
      <w:r w:rsidRPr="0001508F">
        <w:rPr>
          <w:spacing w:val="1"/>
          <w:szCs w:val="24"/>
          <w:u w:val="single"/>
        </w:rPr>
        <w:t xml:space="preserve">Refer to Section 304.3.3 of the </w:t>
      </w:r>
      <w:r w:rsidRPr="0001508F">
        <w:rPr>
          <w:i/>
          <w:iCs/>
          <w:spacing w:val="1"/>
          <w:szCs w:val="24"/>
          <w:u w:val="single"/>
        </w:rPr>
        <w:t>New York City Existing Building Code</w:t>
      </w:r>
      <w:r w:rsidRPr="0001508F">
        <w:rPr>
          <w:spacing w:val="1"/>
          <w:szCs w:val="24"/>
          <w:u w:val="single"/>
        </w:rPr>
        <w:t>.</w:t>
      </w:r>
    </w:p>
    <w:p w14:paraId="5B22E8FA" w14:textId="77777777" w:rsidR="0001508F" w:rsidRPr="0001508F" w:rsidRDefault="0001508F" w:rsidP="0001508F">
      <w:pPr>
        <w:widowControl w:val="0"/>
        <w:spacing w:before="120" w:after="120"/>
        <w:rPr>
          <w:b/>
          <w:bCs/>
          <w:szCs w:val="24"/>
          <w:highlight w:val="cyan"/>
        </w:rPr>
      </w:pPr>
    </w:p>
    <w:p w14:paraId="6550A3BF" w14:textId="77777777" w:rsidR="0001508F" w:rsidRPr="0001508F" w:rsidRDefault="0001508F" w:rsidP="0001508F">
      <w:pPr>
        <w:widowControl w:val="0"/>
        <w:spacing w:before="120" w:after="120"/>
        <w:ind w:left="360"/>
        <w:rPr>
          <w:szCs w:val="24"/>
          <w:u w:val="single"/>
        </w:rPr>
      </w:pPr>
      <w:r w:rsidRPr="0001508F">
        <w:rPr>
          <w:b/>
          <w:bCs/>
          <w:szCs w:val="24"/>
        </w:rPr>
        <w:t xml:space="preserve">912.2.2 Existing buildings. </w:t>
      </w:r>
      <w:r w:rsidRPr="0001508F">
        <w:rPr>
          <w:szCs w:val="24"/>
        </w:rPr>
        <w:t>[</w:t>
      </w:r>
      <w:r w:rsidRPr="0001508F">
        <w:rPr>
          <w:strike/>
          <w:szCs w:val="24"/>
        </w:rPr>
        <w:t xml:space="preserve">On existing buildings, wherever the Fire Department connection is not visible to approaching fire apparatus, the Fire Department connection shall be indicated by an approved sign mounted on the street front or on the side of the building. Such sign shall have the letters “FDC” not less than 6 inches (152 mm) high and words in letters not less than 2 inches (51 mm) high or an arrow to indicate the location. Such signs shall be subject to the approval of the Fire Department. </w:t>
      </w:r>
      <w:r w:rsidRPr="0001508F">
        <w:rPr>
          <w:szCs w:val="24"/>
        </w:rPr>
        <w:t>]</w:t>
      </w:r>
      <w:r w:rsidRPr="0001508F">
        <w:rPr>
          <w:szCs w:val="24"/>
          <w:u w:val="single"/>
        </w:rPr>
        <w:t xml:space="preserve">Refer to Section 304.4 of the </w:t>
      </w:r>
      <w:r w:rsidRPr="0001508F">
        <w:rPr>
          <w:i/>
          <w:iCs/>
          <w:szCs w:val="24"/>
          <w:u w:val="single"/>
        </w:rPr>
        <w:t>New York City Existing Building Code</w:t>
      </w:r>
      <w:r w:rsidRPr="0001508F">
        <w:rPr>
          <w:szCs w:val="24"/>
          <w:u w:val="single"/>
        </w:rPr>
        <w:t>.</w:t>
      </w:r>
    </w:p>
    <w:p w14:paraId="61A6C9ED" w14:textId="77777777" w:rsidR="0001508F" w:rsidRPr="0001508F" w:rsidRDefault="0001508F" w:rsidP="0001508F">
      <w:pPr>
        <w:widowControl w:val="0"/>
        <w:spacing w:before="120" w:after="120" w:line="480" w:lineRule="auto"/>
        <w:ind w:firstLine="720"/>
        <w:rPr>
          <w:b/>
          <w:bCs/>
          <w:szCs w:val="24"/>
        </w:rPr>
      </w:pPr>
      <w:r w:rsidRPr="0001508F">
        <w:rPr>
          <w:bCs/>
          <w:szCs w:val="24"/>
        </w:rPr>
        <w:t>§ 55. Chapter 10 of the New York city building code is amended by adding a new section 1001.1.1 to read as follows:</w:t>
      </w:r>
    </w:p>
    <w:p w14:paraId="569D6662" w14:textId="77777777" w:rsidR="0001508F" w:rsidRPr="0001508F" w:rsidRDefault="0001508F" w:rsidP="0001508F">
      <w:pPr>
        <w:widowControl w:val="0"/>
        <w:spacing w:before="120" w:after="120"/>
        <w:ind w:left="360"/>
        <w:rPr>
          <w:szCs w:val="24"/>
          <w:u w:val="single"/>
        </w:rPr>
      </w:pPr>
      <w:r w:rsidRPr="0001508F">
        <w:rPr>
          <w:b/>
          <w:bCs/>
          <w:szCs w:val="24"/>
          <w:u w:val="single"/>
        </w:rPr>
        <w:t>1001.1.1 Existing buildings.</w:t>
      </w:r>
      <w:r w:rsidRPr="0001508F">
        <w:rPr>
          <w:szCs w:val="24"/>
          <w:u w:val="single"/>
        </w:rPr>
        <w:t xml:space="preserve"> Means of egress of existing buildings, including prior code buildings that are undergoing alterations, additions or changes of occupancy shall be subject to the </w:t>
      </w:r>
      <w:r w:rsidRPr="0001508F">
        <w:rPr>
          <w:i/>
          <w:iCs/>
          <w:szCs w:val="24"/>
          <w:u w:val="single"/>
        </w:rPr>
        <w:t>New York City Existing Building Code</w:t>
      </w:r>
      <w:r w:rsidRPr="0001508F">
        <w:rPr>
          <w:szCs w:val="24"/>
          <w:u w:val="single"/>
        </w:rPr>
        <w:t>.</w:t>
      </w:r>
    </w:p>
    <w:p w14:paraId="6F6D9CE8" w14:textId="77777777" w:rsidR="0001508F" w:rsidRPr="0001508F" w:rsidRDefault="0001508F" w:rsidP="0001508F">
      <w:pPr>
        <w:widowControl w:val="0"/>
        <w:spacing w:before="120" w:after="120"/>
        <w:ind w:left="360"/>
        <w:rPr>
          <w:szCs w:val="24"/>
        </w:rPr>
      </w:pPr>
      <w:r w:rsidRPr="0001508F">
        <w:rPr>
          <w:bCs/>
          <w:szCs w:val="24"/>
        </w:rPr>
        <w:t>§ 56. Sections 1001.3.1 and 1001.3.2 of the New York city building code, as amended by local law number 126 for the year 2021, are amended to read as follows:</w:t>
      </w:r>
      <w:r w:rsidRPr="0001508F">
        <w:rPr>
          <w:b/>
          <w:bCs/>
          <w:szCs w:val="24"/>
        </w:rPr>
        <w:t>1001.3.1 Workplace exits.</w:t>
      </w:r>
      <w:r w:rsidRPr="0001508F">
        <w:rPr>
          <w:szCs w:val="24"/>
        </w:rPr>
        <w:t xml:space="preserve"> Except as specifically provided for in this chapter, no employer or agent of such employer shall lock the doors of or otherwise prohibit exit from any workplace, when by so doing the health or safety of any employee, independent contractor or other individual working in such workplace may become endangered by fire or other hazardous condition. Refer to </w:t>
      </w:r>
      <w:r w:rsidRPr="0001508F">
        <w:rPr>
          <w:szCs w:val="24"/>
          <w:u w:val="single"/>
        </w:rPr>
        <w:t xml:space="preserve">Section 305.3.1 of the </w:t>
      </w:r>
      <w:r w:rsidRPr="0001508F">
        <w:rPr>
          <w:i/>
          <w:iCs/>
          <w:szCs w:val="24"/>
          <w:u w:val="single"/>
        </w:rPr>
        <w:t>New York City Existing Building Code</w:t>
      </w:r>
      <w:r w:rsidRPr="0001508F">
        <w:rPr>
          <w:szCs w:val="24"/>
          <w:u w:val="single"/>
        </w:rPr>
        <w:t xml:space="preserve"> and </w:t>
      </w:r>
      <w:r w:rsidRPr="0001508F">
        <w:rPr>
          <w:szCs w:val="24"/>
        </w:rPr>
        <w:t xml:space="preserve">Article 307 of Title 28 of the </w:t>
      </w:r>
      <w:r w:rsidRPr="0001508F">
        <w:rPr>
          <w:i/>
          <w:iCs/>
          <w:szCs w:val="24"/>
        </w:rPr>
        <w:t>Administrative Code</w:t>
      </w:r>
      <w:r w:rsidRPr="0001508F">
        <w:rPr>
          <w:szCs w:val="24"/>
        </w:rPr>
        <w:t>.</w:t>
      </w:r>
    </w:p>
    <w:p w14:paraId="5B297248" w14:textId="77777777" w:rsidR="0001508F" w:rsidRPr="0001508F" w:rsidRDefault="0001508F" w:rsidP="0001508F">
      <w:pPr>
        <w:widowControl w:val="0"/>
        <w:spacing w:before="120" w:after="120"/>
        <w:ind w:left="360"/>
        <w:rPr>
          <w:bCs/>
          <w:spacing w:val="1"/>
          <w:szCs w:val="24"/>
          <w:u w:val="single"/>
        </w:rPr>
      </w:pPr>
      <w:r w:rsidRPr="0001508F">
        <w:rPr>
          <w:b/>
          <w:szCs w:val="24"/>
        </w:rPr>
        <w:t>1001.3.2 Inadequate exits for existing structures.</w:t>
      </w:r>
      <w:r w:rsidRPr="0001508F">
        <w:rPr>
          <w:b/>
          <w:bCs/>
          <w:spacing w:val="-5"/>
          <w:w w:val="105"/>
          <w:szCs w:val="24"/>
        </w:rPr>
        <w:t xml:space="preserve"> </w:t>
      </w:r>
      <w:r w:rsidRPr="0001508F">
        <w:rPr>
          <w:bCs/>
          <w:spacing w:val="1"/>
          <w:szCs w:val="24"/>
        </w:rPr>
        <w:t xml:space="preserve">Every existing structure which is not provided with means of egress as required by this chapter and, in which the means of egress are, in the opinion of the commissioner, inadequate for the safety of the occupants, shall be provided with means of egress or fire protection as directed by the commissioner. </w:t>
      </w:r>
      <w:r w:rsidRPr="0001508F">
        <w:rPr>
          <w:bCs/>
          <w:spacing w:val="1"/>
          <w:szCs w:val="24"/>
          <w:u w:val="single"/>
        </w:rPr>
        <w:t xml:space="preserve">Refer to Section 305.4 of the </w:t>
      </w:r>
      <w:r w:rsidRPr="0001508F">
        <w:rPr>
          <w:bCs/>
          <w:i/>
          <w:iCs/>
          <w:spacing w:val="1"/>
          <w:szCs w:val="24"/>
          <w:u w:val="single"/>
        </w:rPr>
        <w:t>New York City Existing Building Code</w:t>
      </w:r>
      <w:r w:rsidRPr="0001508F">
        <w:rPr>
          <w:bCs/>
          <w:spacing w:val="1"/>
          <w:szCs w:val="24"/>
          <w:u w:val="single"/>
        </w:rPr>
        <w:t>.</w:t>
      </w:r>
    </w:p>
    <w:p w14:paraId="601213B0" w14:textId="77777777" w:rsidR="0001508F" w:rsidRPr="0001508F" w:rsidRDefault="0001508F" w:rsidP="0001508F">
      <w:pPr>
        <w:widowControl w:val="0"/>
        <w:spacing w:before="120" w:after="120" w:line="480" w:lineRule="auto"/>
        <w:ind w:firstLine="720"/>
        <w:rPr>
          <w:b/>
          <w:bCs/>
          <w:szCs w:val="24"/>
        </w:rPr>
      </w:pPr>
      <w:r w:rsidRPr="0001508F">
        <w:rPr>
          <w:bCs/>
          <w:szCs w:val="24"/>
        </w:rPr>
        <w:t>§ 57. Section 1003.7 of the New York city building code, as amended by local law number 126 for the year 2021, is amended to read as follows:</w:t>
      </w:r>
    </w:p>
    <w:p w14:paraId="308A377B" w14:textId="77777777" w:rsidR="0001508F" w:rsidRPr="0001508F" w:rsidRDefault="0001508F" w:rsidP="0001508F">
      <w:pPr>
        <w:widowControl w:val="0"/>
        <w:spacing w:before="120" w:after="120"/>
        <w:rPr>
          <w:szCs w:val="24"/>
        </w:rPr>
      </w:pPr>
      <w:r w:rsidRPr="0001508F">
        <w:rPr>
          <w:b/>
          <w:bCs/>
          <w:szCs w:val="24"/>
        </w:rPr>
        <w:t>1003.7 Elevators, escalators and moving walks.</w:t>
      </w:r>
      <w:r w:rsidRPr="0001508F">
        <w:rPr>
          <w:szCs w:val="24"/>
        </w:rPr>
        <w:t xml:space="preserve"> Elevators, escalators and moving walks shall not be used as a component of a required means of egress from any other part of the building.</w:t>
      </w:r>
    </w:p>
    <w:p w14:paraId="417F3CC8" w14:textId="77777777" w:rsidR="0001508F" w:rsidRPr="0001508F" w:rsidRDefault="0001508F" w:rsidP="0001508F">
      <w:pPr>
        <w:widowControl w:val="0"/>
        <w:spacing w:before="120" w:after="120"/>
        <w:ind w:left="360"/>
        <w:rPr>
          <w:b/>
          <w:bCs/>
          <w:szCs w:val="24"/>
        </w:rPr>
      </w:pPr>
      <w:r w:rsidRPr="0001508F">
        <w:rPr>
          <w:b/>
          <w:bCs/>
          <w:szCs w:val="24"/>
        </w:rPr>
        <w:t>Exceptions:</w:t>
      </w:r>
    </w:p>
    <w:p w14:paraId="494B88FE" w14:textId="77777777" w:rsidR="0001508F" w:rsidRPr="0001508F" w:rsidRDefault="0001508F" w:rsidP="0001508F">
      <w:pPr>
        <w:widowControl w:val="0"/>
        <w:spacing w:before="120" w:after="120"/>
        <w:ind w:left="1080" w:hanging="360"/>
        <w:rPr>
          <w:szCs w:val="24"/>
        </w:rPr>
      </w:pPr>
      <w:r w:rsidRPr="0001508F">
        <w:rPr>
          <w:szCs w:val="24"/>
        </w:rPr>
        <w:t>1.</w:t>
      </w:r>
      <w:r w:rsidRPr="0001508F">
        <w:rPr>
          <w:szCs w:val="24"/>
        </w:rPr>
        <w:tab/>
        <w:t>Elevators used as a component of an accessible means of egress in accordance with Section 1009.4.</w:t>
      </w:r>
    </w:p>
    <w:p w14:paraId="71D344EC" w14:textId="77777777" w:rsidR="0001508F" w:rsidRPr="0001508F" w:rsidRDefault="0001508F" w:rsidP="0001508F">
      <w:pPr>
        <w:widowControl w:val="0"/>
        <w:spacing w:before="120" w:after="120"/>
        <w:ind w:left="1080" w:hanging="360"/>
        <w:rPr>
          <w:szCs w:val="24"/>
        </w:rPr>
      </w:pPr>
      <w:r w:rsidRPr="0001508F">
        <w:rPr>
          <w:szCs w:val="24"/>
        </w:rPr>
        <w:t>2.</w:t>
      </w:r>
      <w:r w:rsidRPr="0001508F">
        <w:rPr>
          <w:szCs w:val="24"/>
        </w:rPr>
        <w:tab/>
        <w:t>Elevators permitted to be used for occupant self-evacuation pursuant to Sections 403.5.2 and 403.6.2.</w:t>
      </w:r>
    </w:p>
    <w:p w14:paraId="51080AF8" w14:textId="77777777" w:rsidR="0001508F" w:rsidRPr="0001508F" w:rsidRDefault="0001508F" w:rsidP="0001508F">
      <w:pPr>
        <w:widowControl w:val="0"/>
        <w:spacing w:before="120" w:after="120"/>
        <w:ind w:left="1080" w:hanging="360"/>
        <w:rPr>
          <w:szCs w:val="24"/>
        </w:rPr>
      </w:pPr>
      <w:r w:rsidRPr="0001508F">
        <w:rPr>
          <w:szCs w:val="24"/>
          <w:u w:val="single"/>
        </w:rPr>
        <w:t>3.</w:t>
      </w:r>
      <w:r w:rsidRPr="0001508F">
        <w:rPr>
          <w:szCs w:val="24"/>
          <w:u w:val="single"/>
        </w:rPr>
        <w:tab/>
        <w:t xml:space="preserve">Existing escalators used as a previously approved component of a means of egress where allowed by Section 305.5.17 of the </w:t>
      </w:r>
      <w:r w:rsidRPr="0001508F">
        <w:rPr>
          <w:i/>
          <w:iCs/>
          <w:szCs w:val="24"/>
          <w:u w:val="single"/>
        </w:rPr>
        <w:t>New York City Existing Building Code</w:t>
      </w:r>
      <w:r w:rsidRPr="0001508F">
        <w:rPr>
          <w:szCs w:val="24"/>
          <w:u w:val="single"/>
        </w:rPr>
        <w:t>.</w:t>
      </w:r>
    </w:p>
    <w:p w14:paraId="3C99A209" w14:textId="77777777" w:rsidR="0001508F" w:rsidRPr="0001508F" w:rsidRDefault="0001508F" w:rsidP="0001508F">
      <w:pPr>
        <w:widowControl w:val="0"/>
        <w:spacing w:before="120" w:after="120"/>
        <w:rPr>
          <w:b/>
          <w:szCs w:val="24"/>
        </w:rPr>
      </w:pPr>
    </w:p>
    <w:p w14:paraId="6CEA1A38" w14:textId="77777777" w:rsidR="0001508F" w:rsidRPr="0001508F" w:rsidRDefault="0001508F" w:rsidP="0001508F">
      <w:pPr>
        <w:widowControl w:val="0"/>
        <w:spacing w:before="120" w:after="120" w:line="480" w:lineRule="auto"/>
        <w:ind w:firstLine="720"/>
        <w:rPr>
          <w:b/>
          <w:bCs/>
          <w:szCs w:val="24"/>
        </w:rPr>
      </w:pPr>
      <w:bookmarkStart w:id="293" w:name="_Hlk207015449"/>
      <w:r w:rsidRPr="0001508F">
        <w:rPr>
          <w:bCs/>
          <w:szCs w:val="24"/>
        </w:rPr>
        <w:t>§ 58. Section 1008.2.1 of the New York city building code, as amended by local law number 126 for the year 2021, is amended to read as follows</w:t>
      </w:r>
      <w:bookmarkEnd w:id="293"/>
      <w:r w:rsidRPr="0001508F">
        <w:rPr>
          <w:bCs/>
          <w:szCs w:val="24"/>
        </w:rPr>
        <w:t>:</w:t>
      </w:r>
    </w:p>
    <w:p w14:paraId="6BFCC636" w14:textId="77777777" w:rsidR="0001508F" w:rsidRPr="0001508F" w:rsidRDefault="0001508F" w:rsidP="0001508F">
      <w:pPr>
        <w:widowControl w:val="0"/>
        <w:spacing w:before="120" w:after="120"/>
        <w:ind w:left="360"/>
        <w:rPr>
          <w:bCs/>
          <w:szCs w:val="24"/>
        </w:rPr>
      </w:pPr>
      <w:r w:rsidRPr="0001508F">
        <w:rPr>
          <w:b/>
          <w:szCs w:val="24"/>
        </w:rPr>
        <w:t xml:space="preserve">1008.2.1 Illumination level under normal power. </w:t>
      </w:r>
      <w:r w:rsidRPr="0001508F">
        <w:rPr>
          <w:bCs/>
          <w:szCs w:val="24"/>
        </w:rPr>
        <w:t>The means of egress illumination level shall be not less than 1 footcandle (11 lux) at the walking surface.</w:t>
      </w:r>
    </w:p>
    <w:p w14:paraId="5B4CE6CC" w14:textId="77777777" w:rsidR="0001508F" w:rsidRPr="0001508F" w:rsidRDefault="0001508F" w:rsidP="0001508F">
      <w:pPr>
        <w:widowControl w:val="0"/>
        <w:spacing w:before="120" w:after="120"/>
        <w:ind w:left="720"/>
        <w:rPr>
          <w:rFonts w:eastAsia="Calibri"/>
          <w:b/>
          <w:bCs/>
          <w:szCs w:val="24"/>
        </w:rPr>
      </w:pPr>
      <w:r w:rsidRPr="0001508F">
        <w:rPr>
          <w:rFonts w:eastAsia="Calibri"/>
          <w:b/>
          <w:bCs/>
          <w:szCs w:val="24"/>
        </w:rPr>
        <w:t>Exceptions:</w:t>
      </w:r>
    </w:p>
    <w:p w14:paraId="303F1094" w14:textId="77777777" w:rsidR="0001508F" w:rsidRPr="0001508F" w:rsidRDefault="0001508F" w:rsidP="0001508F">
      <w:pPr>
        <w:widowControl w:val="0"/>
        <w:spacing w:before="120" w:after="120"/>
        <w:ind w:left="1440" w:hanging="360"/>
        <w:rPr>
          <w:rFonts w:eastAsia="Calibri"/>
          <w:szCs w:val="24"/>
        </w:rPr>
      </w:pPr>
      <w:r w:rsidRPr="0001508F">
        <w:rPr>
          <w:rFonts w:eastAsia="Calibri"/>
          <w:szCs w:val="24"/>
        </w:rPr>
        <w:t>1.</w:t>
      </w:r>
      <w:r w:rsidRPr="0001508F">
        <w:rPr>
          <w:rFonts w:eastAsia="Calibri"/>
          <w:szCs w:val="24"/>
        </w:rPr>
        <w:tab/>
        <w:t xml:space="preserve">For auditoriums, theaters, concert or opera halls and similar assembly occupancies, the externally illuminated walking surface is permitted to be reduced during performances to not less than 0.5 footcandle (5.38 lux) for aisles and cross aisles, and 0.2 footcandle (2.15 lux) for other portions of the space, provided that the required illumination is automatically restored upon activation of a premise's fire alarm system where such system is provided. </w:t>
      </w:r>
    </w:p>
    <w:p w14:paraId="7E6BC9E4" w14:textId="77777777" w:rsidR="0001508F" w:rsidRPr="0001508F" w:rsidRDefault="0001508F" w:rsidP="0001508F">
      <w:pPr>
        <w:widowControl w:val="0"/>
        <w:spacing w:before="120" w:after="120"/>
        <w:ind w:left="1440" w:hanging="360"/>
        <w:rPr>
          <w:rFonts w:eastAsia="Calibri"/>
          <w:spacing w:val="1"/>
          <w:szCs w:val="24"/>
        </w:rPr>
      </w:pPr>
      <w:r w:rsidRPr="0001508F">
        <w:rPr>
          <w:rFonts w:eastAsia="Calibri"/>
          <w:bCs/>
          <w:szCs w:val="24"/>
        </w:rPr>
        <w:t>2.</w:t>
      </w:r>
      <w:r w:rsidRPr="0001508F">
        <w:rPr>
          <w:rFonts w:eastAsia="Calibri"/>
          <w:b/>
          <w:bCs/>
          <w:szCs w:val="24"/>
        </w:rPr>
        <w:tab/>
      </w:r>
      <w:r w:rsidRPr="0001508F">
        <w:rPr>
          <w:rFonts w:eastAsia="Calibri"/>
          <w:spacing w:val="1"/>
          <w:szCs w:val="24"/>
        </w:rPr>
        <w:t>Safe areas in assembly occupancies shall be illuminated in accordance with Section 1029.19.3.2.</w:t>
      </w:r>
    </w:p>
    <w:p w14:paraId="082D1EA7" w14:textId="77777777" w:rsidR="0001508F" w:rsidRPr="0001508F" w:rsidRDefault="0001508F" w:rsidP="0001508F">
      <w:pPr>
        <w:widowControl w:val="0"/>
        <w:spacing w:before="120" w:after="120"/>
        <w:ind w:left="1440" w:hanging="360"/>
        <w:rPr>
          <w:rFonts w:eastAsia="Calibri"/>
          <w:spacing w:val="1"/>
          <w:szCs w:val="24"/>
        </w:rPr>
      </w:pPr>
      <w:r w:rsidRPr="0001508F">
        <w:rPr>
          <w:rFonts w:eastAsia="Calibri"/>
          <w:spacing w:val="1"/>
          <w:szCs w:val="24"/>
        </w:rPr>
        <w:t>3.</w:t>
      </w:r>
      <w:r w:rsidRPr="0001508F">
        <w:rPr>
          <w:rFonts w:eastAsia="Calibri"/>
          <w:spacing w:val="1"/>
          <w:szCs w:val="24"/>
        </w:rPr>
        <w:tab/>
        <w:t>Open exterior spaces used to receive occupants as Class 1 or 2 exits in assembly occupancies shall be illuminated in accordance with Section 1029.19.4.</w:t>
      </w:r>
    </w:p>
    <w:p w14:paraId="45FD92A8" w14:textId="77777777" w:rsidR="0001508F" w:rsidRPr="0001508F" w:rsidRDefault="0001508F" w:rsidP="0001508F">
      <w:pPr>
        <w:widowControl w:val="0"/>
        <w:tabs>
          <w:tab w:val="left" w:pos="1440"/>
        </w:tabs>
        <w:autoSpaceDE w:val="0"/>
        <w:autoSpaceDN w:val="0"/>
        <w:adjustRightInd w:val="0"/>
        <w:spacing w:before="120" w:after="120"/>
        <w:ind w:left="1440" w:hanging="360"/>
        <w:rPr>
          <w:spacing w:val="1"/>
          <w:szCs w:val="24"/>
        </w:rPr>
      </w:pPr>
      <w:r w:rsidRPr="0001508F">
        <w:rPr>
          <w:spacing w:val="1"/>
          <w:szCs w:val="24"/>
        </w:rPr>
        <w:t>4.</w:t>
      </w:r>
      <w:r w:rsidRPr="0001508F">
        <w:rPr>
          <w:spacing w:val="1"/>
          <w:szCs w:val="24"/>
        </w:rPr>
        <w:tab/>
        <w:t>[</w:t>
      </w:r>
      <w:r w:rsidRPr="0001508F">
        <w:rPr>
          <w:strike/>
          <w:spacing w:val="1"/>
          <w:szCs w:val="24"/>
        </w:rPr>
        <w:t>In exits in buildings that contain existing photoluminescent exit path markings tested in laboratory conditions with 2 footcandles (22 lux) of activating illumination, the illumination level shall not be less than 2 footcandles (22 lux).</w:t>
      </w:r>
      <w:r w:rsidRPr="0001508F">
        <w:rPr>
          <w:spacing w:val="1"/>
          <w:szCs w:val="24"/>
        </w:rPr>
        <w:t>]</w:t>
      </w:r>
      <w:r w:rsidRPr="0001508F">
        <w:rPr>
          <w:spacing w:val="1"/>
          <w:szCs w:val="24"/>
          <w:u w:val="single"/>
        </w:rPr>
        <w:t>Spaces subject to the exceptions in section 305.7 of the Existing Building Code.</w:t>
      </w:r>
    </w:p>
    <w:p w14:paraId="2BF01465" w14:textId="77777777" w:rsidR="0001508F" w:rsidRPr="0001508F" w:rsidRDefault="0001508F" w:rsidP="0001508F">
      <w:pPr>
        <w:widowControl w:val="0"/>
        <w:tabs>
          <w:tab w:val="left" w:pos="-2790"/>
        </w:tabs>
        <w:autoSpaceDE w:val="0"/>
        <w:autoSpaceDN w:val="0"/>
        <w:adjustRightInd w:val="0"/>
        <w:spacing w:before="120" w:after="120" w:line="480" w:lineRule="auto"/>
        <w:ind w:firstLine="720"/>
        <w:rPr>
          <w:spacing w:val="1"/>
          <w:szCs w:val="24"/>
        </w:rPr>
      </w:pPr>
      <w:bookmarkStart w:id="294" w:name="_Hlk72925437"/>
      <w:r w:rsidRPr="0001508F">
        <w:rPr>
          <w:bCs/>
          <w:szCs w:val="24"/>
        </w:rPr>
        <w:t>§ 59. Section 1015.1 of the New York city building code, as added by local law number 126 for the year 2021, is amended to read as follows</w:t>
      </w:r>
      <w:r w:rsidRPr="0001508F">
        <w:rPr>
          <w:spacing w:val="1"/>
          <w:szCs w:val="24"/>
        </w:rPr>
        <w:t>:</w:t>
      </w:r>
    </w:p>
    <w:bookmarkEnd w:id="294"/>
    <w:p w14:paraId="344B269B" w14:textId="77777777" w:rsidR="0001508F" w:rsidRPr="0001508F" w:rsidRDefault="0001508F" w:rsidP="0001508F">
      <w:pPr>
        <w:widowControl w:val="0"/>
        <w:spacing w:before="120" w:after="120"/>
        <w:rPr>
          <w:rFonts w:eastAsia="Calibri"/>
          <w:bCs/>
          <w:szCs w:val="24"/>
          <w:u w:val="single"/>
        </w:rPr>
      </w:pPr>
      <w:r w:rsidRPr="0001508F">
        <w:rPr>
          <w:rFonts w:eastAsia="Calibri"/>
          <w:b/>
          <w:bCs/>
          <w:szCs w:val="24"/>
        </w:rPr>
        <w:t>1015.1 General.</w:t>
      </w:r>
      <w:r w:rsidRPr="0001508F">
        <w:rPr>
          <w:rFonts w:eastAsia="Calibri"/>
          <w:szCs w:val="24"/>
        </w:rPr>
        <w:t xml:space="preserve"> </w:t>
      </w:r>
      <w:r w:rsidRPr="0001508F">
        <w:rPr>
          <w:rFonts w:eastAsia="Calibri"/>
          <w:bCs/>
          <w:szCs w:val="24"/>
        </w:rPr>
        <w:t xml:space="preserve">Guards shall comply with the provisions of Sections 1015.2 through 1015.7. Operable windows with sills located more than 72 inches (1829 mm) above finished grade or other surface below shall comply with Section 1015.8. </w:t>
      </w:r>
      <w:r w:rsidRPr="0001508F">
        <w:rPr>
          <w:rFonts w:eastAsia="Calibri"/>
          <w:bCs/>
          <w:szCs w:val="24"/>
          <w:u w:val="single"/>
        </w:rPr>
        <w:t xml:space="preserve">In accordance with </w:t>
      </w:r>
      <w:r w:rsidRPr="0001508F">
        <w:rPr>
          <w:rFonts w:eastAsia="Calibri"/>
          <w:bCs/>
          <w:i/>
          <w:iCs/>
          <w:szCs w:val="24"/>
          <w:u w:val="single"/>
        </w:rPr>
        <w:t>New York City Existing Building Code</w:t>
      </w:r>
      <w:r w:rsidRPr="0001508F">
        <w:rPr>
          <w:rFonts w:eastAsia="Calibri"/>
          <w:bCs/>
          <w:szCs w:val="24"/>
          <w:u w:val="single"/>
        </w:rPr>
        <w:t>, guards in existing buildings shall comply with Sections 1015.2 through 1015.7 of this section.</w:t>
      </w:r>
    </w:p>
    <w:p w14:paraId="4214DFD3" w14:textId="77777777" w:rsidR="0001508F" w:rsidRPr="0001508F" w:rsidRDefault="0001508F" w:rsidP="0001508F">
      <w:pPr>
        <w:widowControl w:val="0"/>
        <w:tabs>
          <w:tab w:val="left" w:pos="-2790"/>
        </w:tabs>
        <w:autoSpaceDE w:val="0"/>
        <w:autoSpaceDN w:val="0"/>
        <w:adjustRightInd w:val="0"/>
        <w:spacing w:before="120" w:after="120" w:line="480" w:lineRule="auto"/>
        <w:ind w:firstLine="720"/>
        <w:rPr>
          <w:spacing w:val="1"/>
          <w:szCs w:val="24"/>
        </w:rPr>
      </w:pPr>
      <w:r w:rsidRPr="0001508F">
        <w:rPr>
          <w:bCs/>
          <w:szCs w:val="24"/>
        </w:rPr>
        <w:t>§ 60. Section 1023.11 of the New York city building code, as amended by local law number 126 for the year 2021, is amended to read as follows</w:t>
      </w:r>
      <w:r w:rsidRPr="0001508F">
        <w:rPr>
          <w:spacing w:val="1"/>
          <w:szCs w:val="24"/>
        </w:rPr>
        <w:t>:</w:t>
      </w:r>
    </w:p>
    <w:p w14:paraId="35DB817D" w14:textId="77777777" w:rsidR="0001508F" w:rsidRPr="0001508F" w:rsidRDefault="0001508F" w:rsidP="0001508F">
      <w:pPr>
        <w:widowControl w:val="0"/>
        <w:spacing w:before="120" w:after="120"/>
        <w:rPr>
          <w:bCs/>
          <w:szCs w:val="24"/>
        </w:rPr>
      </w:pPr>
      <w:r w:rsidRPr="0001508F">
        <w:rPr>
          <w:b/>
          <w:bCs/>
          <w:szCs w:val="24"/>
        </w:rPr>
        <w:t>1023.11 Smokeproof enclosures</w:t>
      </w:r>
      <w:r w:rsidRPr="0001508F">
        <w:rPr>
          <w:b/>
          <w:szCs w:val="24"/>
        </w:rPr>
        <w:t xml:space="preserve"> and pressurization alternative.</w:t>
      </w:r>
      <w:r w:rsidRPr="0001508F">
        <w:rPr>
          <w:b/>
          <w:bCs/>
          <w:spacing w:val="-8"/>
          <w:w w:val="110"/>
          <w:szCs w:val="24"/>
        </w:rPr>
        <w:t xml:space="preserve"> </w:t>
      </w:r>
      <w:r w:rsidRPr="0001508F">
        <w:rPr>
          <w:bCs/>
          <w:spacing w:val="1"/>
          <w:szCs w:val="24"/>
        </w:rPr>
        <w:t>In buildings</w:t>
      </w:r>
      <w:r w:rsidRPr="0001508F">
        <w:rPr>
          <w:bCs/>
          <w:szCs w:val="24"/>
        </w:rPr>
        <w:t xml:space="preserve"> required </w:t>
      </w:r>
      <w:r w:rsidRPr="0001508F">
        <w:rPr>
          <w:bCs/>
          <w:spacing w:val="1"/>
          <w:szCs w:val="24"/>
        </w:rPr>
        <w:t>to comply with</w:t>
      </w:r>
      <w:r w:rsidRPr="0001508F">
        <w:rPr>
          <w:bCs/>
          <w:szCs w:val="24"/>
        </w:rPr>
        <w:t xml:space="preserve"> Section 403 or 405</w:t>
      </w:r>
      <w:r w:rsidRPr="0001508F">
        <w:rPr>
          <w:bCs/>
          <w:spacing w:val="1"/>
          <w:szCs w:val="24"/>
        </w:rPr>
        <w:t xml:space="preserve">, each of the </w:t>
      </w:r>
      <w:r w:rsidRPr="0001508F">
        <w:rPr>
          <w:bCs/>
          <w:szCs w:val="24"/>
        </w:rPr>
        <w:t xml:space="preserve">interior exit stairways and ramps </w:t>
      </w:r>
      <w:r w:rsidRPr="0001508F">
        <w:rPr>
          <w:bCs/>
          <w:spacing w:val="1"/>
          <w:szCs w:val="24"/>
        </w:rPr>
        <w:t xml:space="preserve">serving a story with a floor surface located more than 75 feet (22 860 mm) above the lowest level of Fire Department vehicle access or more than 30 feet (9144 mm) below the finished floor of a level of exit discharge serving such stories shall be protected by a </w:t>
      </w:r>
      <w:r w:rsidRPr="0001508F">
        <w:rPr>
          <w:bCs/>
          <w:szCs w:val="24"/>
        </w:rPr>
        <w:t xml:space="preserve">smokeproof </w:t>
      </w:r>
      <w:r w:rsidRPr="0001508F">
        <w:rPr>
          <w:bCs/>
          <w:spacing w:val="1"/>
          <w:szCs w:val="24"/>
        </w:rPr>
        <w:t xml:space="preserve">enclosure or pressurization alternative </w:t>
      </w:r>
      <w:r w:rsidRPr="0001508F">
        <w:rPr>
          <w:bCs/>
          <w:szCs w:val="24"/>
        </w:rPr>
        <w:t>in accordance with Section 909.20.</w:t>
      </w:r>
    </w:p>
    <w:p w14:paraId="41035819" w14:textId="77777777" w:rsidR="0001508F" w:rsidRPr="0001508F" w:rsidRDefault="0001508F" w:rsidP="0001508F">
      <w:pPr>
        <w:widowControl w:val="0"/>
        <w:tabs>
          <w:tab w:val="left" w:pos="-2790"/>
          <w:tab w:val="left" w:pos="1440"/>
        </w:tabs>
        <w:autoSpaceDE w:val="0"/>
        <w:autoSpaceDN w:val="0"/>
        <w:adjustRightInd w:val="0"/>
        <w:spacing w:before="120" w:after="120"/>
        <w:ind w:left="360"/>
        <w:rPr>
          <w:bCs/>
          <w:spacing w:val="1"/>
          <w:szCs w:val="24"/>
          <w:u w:val="single"/>
        </w:rPr>
      </w:pPr>
      <w:r w:rsidRPr="0001508F">
        <w:rPr>
          <w:b/>
          <w:spacing w:val="1"/>
          <w:szCs w:val="24"/>
          <w:u w:val="single"/>
        </w:rPr>
        <w:t>Exception:</w:t>
      </w:r>
      <w:r w:rsidRPr="0001508F">
        <w:rPr>
          <w:bCs/>
          <w:spacing w:val="1"/>
          <w:szCs w:val="24"/>
          <w:u w:val="single"/>
        </w:rPr>
        <w:t xml:space="preserve"> Where an existing building is not subject to this requirement as set forth in Section 305.5.11 of the </w:t>
      </w:r>
      <w:r w:rsidRPr="0001508F">
        <w:rPr>
          <w:bCs/>
          <w:i/>
          <w:iCs/>
          <w:spacing w:val="1"/>
          <w:szCs w:val="24"/>
          <w:u w:val="single"/>
        </w:rPr>
        <w:t>New York City Existing Building Code</w:t>
      </w:r>
      <w:r w:rsidRPr="0001508F">
        <w:rPr>
          <w:bCs/>
          <w:spacing w:val="1"/>
          <w:szCs w:val="24"/>
          <w:u w:val="single"/>
        </w:rPr>
        <w:t>.</w:t>
      </w:r>
    </w:p>
    <w:p w14:paraId="3857A00F" w14:textId="77777777" w:rsidR="0001508F" w:rsidRPr="0001508F" w:rsidRDefault="0001508F" w:rsidP="0001508F">
      <w:pPr>
        <w:widowControl w:val="0"/>
        <w:tabs>
          <w:tab w:val="left" w:pos="-2790"/>
        </w:tabs>
        <w:autoSpaceDE w:val="0"/>
        <w:autoSpaceDN w:val="0"/>
        <w:adjustRightInd w:val="0"/>
        <w:spacing w:before="120" w:after="120" w:line="480" w:lineRule="auto"/>
        <w:ind w:firstLine="720"/>
        <w:rPr>
          <w:spacing w:val="1"/>
          <w:szCs w:val="24"/>
        </w:rPr>
      </w:pPr>
      <w:r w:rsidRPr="0001508F">
        <w:rPr>
          <w:bCs/>
          <w:szCs w:val="24"/>
        </w:rPr>
        <w:t>§ 61. Section 1029.1.2 of the New York city building code, as amended by local law number 126 for the year 2021, is amended to read as follows</w:t>
      </w:r>
      <w:r w:rsidRPr="0001508F">
        <w:rPr>
          <w:spacing w:val="1"/>
          <w:szCs w:val="24"/>
        </w:rPr>
        <w:t>:</w:t>
      </w:r>
    </w:p>
    <w:p w14:paraId="14A42549" w14:textId="77777777" w:rsidR="0001508F" w:rsidRPr="0001508F" w:rsidRDefault="0001508F" w:rsidP="0001508F">
      <w:pPr>
        <w:widowControl w:val="0"/>
        <w:tabs>
          <w:tab w:val="left" w:pos="-2790"/>
        </w:tabs>
        <w:autoSpaceDE w:val="0"/>
        <w:autoSpaceDN w:val="0"/>
        <w:adjustRightInd w:val="0"/>
        <w:spacing w:before="120" w:after="120"/>
        <w:rPr>
          <w:spacing w:val="1"/>
          <w:szCs w:val="24"/>
          <w:u w:val="single"/>
        </w:rPr>
      </w:pPr>
      <w:r w:rsidRPr="0001508F">
        <w:rPr>
          <w:b/>
          <w:bCs/>
          <w:szCs w:val="24"/>
        </w:rPr>
        <w:t>1029.1.2 Place of assembly Certificate of Operation.</w:t>
      </w:r>
      <w:r w:rsidRPr="0001508F">
        <w:rPr>
          <w:spacing w:val="-8"/>
          <w:w w:val="110"/>
          <w:szCs w:val="24"/>
        </w:rPr>
        <w:t xml:space="preserve"> </w:t>
      </w:r>
      <w:r w:rsidRPr="0001508F">
        <w:rPr>
          <w:szCs w:val="24"/>
        </w:rPr>
        <w:t xml:space="preserve">A Certificate of Operation shall be required for a place of assembly in accordance with Section 303.7. </w:t>
      </w:r>
      <w:r w:rsidRPr="0001508F">
        <w:rPr>
          <w:spacing w:val="1"/>
          <w:szCs w:val="24"/>
        </w:rPr>
        <w:t xml:space="preserve">It shall be unlawful to occupy any building or space as a place of assembly unless and until a Certificate of Operation therefore has been issued by the department pursuant to the provisions of Chapter 1 of Title 28 of the </w:t>
      </w:r>
      <w:r w:rsidRPr="0001508F">
        <w:rPr>
          <w:i/>
          <w:iCs/>
          <w:spacing w:val="1"/>
          <w:szCs w:val="24"/>
        </w:rPr>
        <w:t>Administrative Code</w:t>
      </w:r>
      <w:r w:rsidRPr="0001508F">
        <w:rPr>
          <w:spacing w:val="1"/>
          <w:szCs w:val="24"/>
        </w:rPr>
        <w:t xml:space="preserve">. </w:t>
      </w:r>
      <w:r w:rsidRPr="0001508F">
        <w:rPr>
          <w:spacing w:val="1"/>
          <w:szCs w:val="24"/>
          <w:u w:val="single"/>
        </w:rPr>
        <w:t xml:space="preserve">A Certificate of Operation shall be required for new assembly spaces in existing buildings in accordance with Section 305.5.18.3 of the </w:t>
      </w:r>
      <w:r w:rsidRPr="0001508F">
        <w:rPr>
          <w:i/>
          <w:iCs/>
          <w:spacing w:val="1"/>
          <w:szCs w:val="24"/>
          <w:u w:val="single"/>
        </w:rPr>
        <w:t>New York City Existing Building Code</w:t>
      </w:r>
      <w:r w:rsidRPr="0001508F">
        <w:rPr>
          <w:spacing w:val="1"/>
          <w:szCs w:val="24"/>
          <w:u w:val="single"/>
        </w:rPr>
        <w:t>.</w:t>
      </w:r>
    </w:p>
    <w:p w14:paraId="78372015" w14:textId="77777777" w:rsidR="0001508F" w:rsidRPr="0001508F" w:rsidRDefault="0001508F" w:rsidP="0001508F">
      <w:pPr>
        <w:widowControl w:val="0"/>
        <w:kinsoku w:val="0"/>
        <w:spacing w:before="120" w:after="120"/>
        <w:ind w:left="720"/>
        <w:rPr>
          <w:bCs/>
          <w:spacing w:val="1"/>
          <w:szCs w:val="24"/>
          <w:u w:val="single"/>
        </w:rPr>
      </w:pPr>
      <w:r w:rsidRPr="0001508F">
        <w:rPr>
          <w:b/>
          <w:bCs/>
          <w:spacing w:val="1"/>
          <w:szCs w:val="24"/>
          <w:u w:val="single"/>
        </w:rPr>
        <w:t xml:space="preserve">Exception: </w:t>
      </w:r>
      <w:bookmarkStart w:id="295" w:name="_Hlk72763717"/>
      <w:r w:rsidRPr="0001508F">
        <w:rPr>
          <w:bCs/>
          <w:spacing w:val="1"/>
          <w:szCs w:val="24"/>
          <w:u w:val="single"/>
        </w:rPr>
        <w:t xml:space="preserve">A Place of Assembly Certificate of Operation shall not be required for certain existing special occupancy structures in accordance with Section 305.5.18.2 of the </w:t>
      </w:r>
      <w:r w:rsidRPr="0001508F">
        <w:rPr>
          <w:bCs/>
          <w:i/>
          <w:iCs/>
          <w:spacing w:val="1"/>
          <w:szCs w:val="24"/>
          <w:u w:val="single"/>
        </w:rPr>
        <w:t>New York City Existing Building Code</w:t>
      </w:r>
      <w:r w:rsidRPr="0001508F">
        <w:rPr>
          <w:bCs/>
          <w:spacing w:val="1"/>
          <w:szCs w:val="24"/>
          <w:u w:val="single"/>
        </w:rPr>
        <w:t>.</w:t>
      </w:r>
      <w:bookmarkEnd w:id="295"/>
      <w:r w:rsidRPr="0001508F">
        <w:rPr>
          <w:bCs/>
          <w:spacing w:val="1"/>
          <w:szCs w:val="24"/>
          <w:u w:val="single"/>
        </w:rPr>
        <w:t xml:space="preserve"> </w:t>
      </w:r>
    </w:p>
    <w:p w14:paraId="75D6B92A" w14:textId="77777777" w:rsidR="0001508F" w:rsidRPr="0001508F" w:rsidRDefault="0001508F" w:rsidP="0001508F">
      <w:pPr>
        <w:widowControl w:val="0"/>
        <w:tabs>
          <w:tab w:val="left" w:pos="-2790"/>
        </w:tabs>
        <w:autoSpaceDE w:val="0"/>
        <w:autoSpaceDN w:val="0"/>
        <w:adjustRightInd w:val="0"/>
        <w:spacing w:before="120" w:after="120" w:line="480" w:lineRule="auto"/>
        <w:ind w:firstLine="720"/>
        <w:rPr>
          <w:spacing w:val="1"/>
          <w:szCs w:val="24"/>
        </w:rPr>
      </w:pPr>
      <w:r w:rsidRPr="0001508F">
        <w:rPr>
          <w:bCs/>
          <w:szCs w:val="24"/>
        </w:rPr>
        <w:t>§ 62. Section 1031.11 of the New York city building code, as amended by local law number 126 for the year 2021, is amended to read as follows</w:t>
      </w:r>
      <w:r w:rsidRPr="0001508F">
        <w:rPr>
          <w:spacing w:val="1"/>
          <w:szCs w:val="24"/>
        </w:rPr>
        <w:t>:</w:t>
      </w:r>
    </w:p>
    <w:p w14:paraId="498A840E" w14:textId="77777777" w:rsidR="0001508F" w:rsidRPr="0001508F" w:rsidRDefault="0001508F" w:rsidP="0001508F">
      <w:pPr>
        <w:rPr>
          <w:rFonts w:eastAsia="Calibri"/>
          <w:szCs w:val="24"/>
        </w:rPr>
      </w:pPr>
    </w:p>
    <w:p w14:paraId="61F8FA68" w14:textId="77777777" w:rsidR="0001508F" w:rsidRPr="0001508F" w:rsidRDefault="0001508F" w:rsidP="0001508F">
      <w:pPr>
        <w:rPr>
          <w:rFonts w:eastAsia="Calibri"/>
          <w:szCs w:val="24"/>
        </w:rPr>
      </w:pPr>
      <w:r w:rsidRPr="0001508F">
        <w:rPr>
          <w:b/>
          <w:szCs w:val="24"/>
        </w:rPr>
        <w:t>1031.11 Luminous egress path markings.</w:t>
      </w:r>
      <w:r w:rsidRPr="0001508F">
        <w:rPr>
          <w:b/>
          <w:bCs/>
          <w:spacing w:val="13"/>
          <w:w w:val="110"/>
          <w:szCs w:val="24"/>
        </w:rPr>
        <w:t xml:space="preserve"> </w:t>
      </w:r>
      <w:r w:rsidRPr="0001508F">
        <w:rPr>
          <w:bCs/>
          <w:spacing w:val="1"/>
          <w:szCs w:val="24"/>
        </w:rPr>
        <w:t xml:space="preserve">Luminous egress path markings in high-rise buildings subject to Section 403.5.5 shall be provided in accordance with Section 1025 and Appendix S. </w:t>
      </w:r>
      <w:r w:rsidRPr="0001508F">
        <w:rPr>
          <w:bCs/>
          <w:spacing w:val="1"/>
          <w:szCs w:val="24"/>
          <w:u w:val="single"/>
        </w:rPr>
        <w:t xml:space="preserve">Luminous egress path markings in high-rise existing buildings shall also comply with the </w:t>
      </w:r>
      <w:r w:rsidRPr="0001508F">
        <w:rPr>
          <w:bCs/>
          <w:i/>
          <w:iCs/>
          <w:spacing w:val="1"/>
          <w:szCs w:val="24"/>
          <w:u w:val="single"/>
        </w:rPr>
        <w:t>New York City Existing Building Code</w:t>
      </w:r>
      <w:r w:rsidRPr="0001508F">
        <w:rPr>
          <w:bCs/>
          <w:spacing w:val="1"/>
          <w:szCs w:val="24"/>
          <w:u w:val="single"/>
        </w:rPr>
        <w:t xml:space="preserve"> as applicable.</w:t>
      </w:r>
    </w:p>
    <w:p w14:paraId="27AB4226" w14:textId="77777777" w:rsidR="0001508F" w:rsidRPr="0001508F" w:rsidRDefault="0001508F" w:rsidP="0001508F">
      <w:pPr>
        <w:rPr>
          <w:b/>
          <w:szCs w:val="24"/>
        </w:rPr>
      </w:pPr>
    </w:p>
    <w:p w14:paraId="70156187" w14:textId="77777777" w:rsidR="0001508F" w:rsidRPr="0001508F" w:rsidRDefault="0001508F" w:rsidP="0001508F">
      <w:pPr>
        <w:widowControl w:val="0"/>
        <w:tabs>
          <w:tab w:val="left" w:pos="-2790"/>
        </w:tabs>
        <w:autoSpaceDE w:val="0"/>
        <w:autoSpaceDN w:val="0"/>
        <w:adjustRightInd w:val="0"/>
        <w:spacing w:before="120" w:after="120" w:line="480" w:lineRule="auto"/>
        <w:ind w:firstLine="720"/>
        <w:rPr>
          <w:spacing w:val="1"/>
          <w:szCs w:val="24"/>
        </w:rPr>
      </w:pPr>
      <w:r w:rsidRPr="0001508F">
        <w:rPr>
          <w:bCs/>
          <w:szCs w:val="24"/>
        </w:rPr>
        <w:t>§ 63. Section 1101.3 of the New York city building code, as amended by local law number 126 for the year 2021, is amended to read as follows</w:t>
      </w:r>
      <w:r w:rsidRPr="0001508F">
        <w:rPr>
          <w:spacing w:val="1"/>
          <w:szCs w:val="24"/>
        </w:rPr>
        <w:t>:</w:t>
      </w:r>
    </w:p>
    <w:p w14:paraId="7F4B5AF2" w14:textId="77777777" w:rsidR="0001508F" w:rsidRPr="0001508F" w:rsidRDefault="0001508F" w:rsidP="0001508F">
      <w:pPr>
        <w:rPr>
          <w:b/>
          <w:szCs w:val="24"/>
        </w:rPr>
      </w:pPr>
    </w:p>
    <w:p w14:paraId="08ECED21" w14:textId="77777777" w:rsidR="0001508F" w:rsidRPr="0001508F" w:rsidRDefault="0001508F" w:rsidP="0001508F">
      <w:pPr>
        <w:rPr>
          <w:bCs/>
          <w:szCs w:val="24"/>
          <w:u w:val="single"/>
        </w:rPr>
      </w:pPr>
      <w:r w:rsidRPr="0001508F">
        <w:rPr>
          <w:b/>
          <w:szCs w:val="24"/>
        </w:rPr>
        <w:t xml:space="preserve">1101.3 </w:t>
      </w:r>
      <w:r w:rsidRPr="0001508F">
        <w:rPr>
          <w:szCs w:val="24"/>
        </w:rPr>
        <w:t>[</w:t>
      </w:r>
      <w:r w:rsidRPr="0001508F">
        <w:rPr>
          <w:b/>
          <w:strike/>
          <w:szCs w:val="24"/>
        </w:rPr>
        <w:t>Special provisions for prior code</w:t>
      </w:r>
      <w:r w:rsidRPr="0001508F">
        <w:rPr>
          <w:szCs w:val="24"/>
        </w:rPr>
        <w:t>]</w:t>
      </w:r>
      <w:r w:rsidRPr="0001508F">
        <w:rPr>
          <w:b/>
          <w:szCs w:val="24"/>
          <w:u w:val="single"/>
        </w:rPr>
        <w:t>Existing</w:t>
      </w:r>
      <w:r w:rsidRPr="0001508F">
        <w:rPr>
          <w:b/>
          <w:szCs w:val="24"/>
        </w:rPr>
        <w:t xml:space="preserve"> buildings.</w:t>
      </w:r>
      <w:r w:rsidRPr="0001508F">
        <w:rPr>
          <w:rFonts w:eastAsia="Calibri"/>
          <w:szCs w:val="24"/>
        </w:rPr>
        <w:t xml:space="preserve"> </w:t>
      </w:r>
      <w:r w:rsidRPr="0001508F">
        <w:rPr>
          <w:bCs/>
          <w:szCs w:val="24"/>
        </w:rPr>
        <w:t xml:space="preserve">The provisions of this chapter shall apply to alterations, including minor alterations but excluding ordinary repairs, </w:t>
      </w:r>
      <w:r w:rsidRPr="0001508F">
        <w:rPr>
          <w:bCs/>
          <w:szCs w:val="24"/>
          <w:u w:val="single"/>
        </w:rPr>
        <w:t>alterations affecting an area containing a primary function,</w:t>
      </w:r>
      <w:r w:rsidRPr="0001508F">
        <w:rPr>
          <w:bCs/>
          <w:szCs w:val="24"/>
        </w:rPr>
        <w:t xml:space="preserve"> and changes of use or occupancy to </w:t>
      </w:r>
      <w:r w:rsidRPr="0001508F">
        <w:rPr>
          <w:b/>
          <w:bCs/>
          <w:szCs w:val="24"/>
        </w:rPr>
        <w:t>[</w:t>
      </w:r>
      <w:r w:rsidRPr="0001508F">
        <w:rPr>
          <w:bCs/>
          <w:strike/>
          <w:szCs w:val="24"/>
        </w:rPr>
        <w:t>prior code</w:t>
      </w:r>
      <w:r w:rsidRPr="0001508F">
        <w:rPr>
          <w:b/>
          <w:bCs/>
          <w:szCs w:val="24"/>
        </w:rPr>
        <w:t>]</w:t>
      </w:r>
      <w:r w:rsidRPr="0001508F">
        <w:rPr>
          <w:bCs/>
          <w:szCs w:val="24"/>
          <w:u w:val="single"/>
        </w:rPr>
        <w:t>existing</w:t>
      </w:r>
      <w:r w:rsidRPr="0001508F">
        <w:rPr>
          <w:bCs/>
          <w:szCs w:val="24"/>
        </w:rPr>
        <w:t xml:space="preserve"> buildings, portions of such buildings, and spaces within such buildings in accordance with [</w:t>
      </w:r>
      <w:r w:rsidRPr="0001508F">
        <w:rPr>
          <w:bCs/>
          <w:strike/>
          <w:szCs w:val="24"/>
        </w:rPr>
        <w:t>Sections 1101.3.1 through 1101.3.5. Alterations within prior code buildings affecting an area containing a primary function shall comply with the requirements of Section 1101.4.</w:t>
      </w:r>
      <w:r w:rsidRPr="0001508F">
        <w:rPr>
          <w:b/>
          <w:bCs/>
          <w:szCs w:val="24"/>
          <w:u w:val="single"/>
        </w:rPr>
        <w:t xml:space="preserve">] </w:t>
      </w:r>
      <w:r w:rsidRPr="0001508F">
        <w:rPr>
          <w:bCs/>
          <w:szCs w:val="24"/>
          <w:u w:val="single"/>
        </w:rPr>
        <w:t>the New York City Existing Building Code.</w:t>
      </w:r>
      <w:r w:rsidRPr="0001508F">
        <w:rPr>
          <w:bCs/>
          <w:szCs w:val="24"/>
        </w:rPr>
        <w:t xml:space="preserve"> This section shall not impose a requirement for greater accessibility than that which would be required for new construction, nor shall it reduce or have the effect of reducing accessibility.</w:t>
      </w:r>
    </w:p>
    <w:p w14:paraId="0451BE2B" w14:textId="77777777" w:rsidR="0001508F" w:rsidRPr="0001508F" w:rsidRDefault="0001508F" w:rsidP="0001508F">
      <w:pPr>
        <w:widowControl w:val="0"/>
        <w:autoSpaceDE w:val="0"/>
        <w:autoSpaceDN w:val="0"/>
        <w:adjustRightInd w:val="0"/>
        <w:spacing w:before="120" w:after="120"/>
        <w:ind w:left="360"/>
        <w:rPr>
          <w:spacing w:val="1"/>
          <w:szCs w:val="24"/>
        </w:rPr>
      </w:pPr>
      <w:r w:rsidRPr="0001508F">
        <w:rPr>
          <w:b/>
          <w:spacing w:val="1"/>
          <w:szCs w:val="24"/>
        </w:rPr>
        <w:t>[</w:t>
      </w:r>
      <w:r w:rsidRPr="0001508F">
        <w:rPr>
          <w:b/>
          <w:strike/>
          <w:spacing w:val="1"/>
          <w:szCs w:val="24"/>
        </w:rPr>
        <w:t>Exception:</w:t>
      </w:r>
      <w:r w:rsidRPr="0001508F">
        <w:rPr>
          <w:strike/>
          <w:spacing w:val="1"/>
          <w:szCs w:val="24"/>
        </w:rPr>
        <w:t xml:space="preserve"> The provisions of this chapter are not applicable to:</w:t>
      </w:r>
      <w:r w:rsidRPr="0001508F">
        <w:rPr>
          <w:spacing w:val="1"/>
          <w:szCs w:val="24"/>
        </w:rPr>
        <w:t>]</w:t>
      </w:r>
    </w:p>
    <w:p w14:paraId="4EF92D6B" w14:textId="77777777" w:rsidR="0001508F" w:rsidRPr="0001508F" w:rsidRDefault="0001508F" w:rsidP="0001508F">
      <w:pPr>
        <w:widowControl w:val="0"/>
        <w:autoSpaceDE w:val="0"/>
        <w:autoSpaceDN w:val="0"/>
        <w:adjustRightInd w:val="0"/>
        <w:spacing w:before="120" w:after="120"/>
        <w:ind w:left="1080" w:hanging="360"/>
        <w:rPr>
          <w:bCs/>
          <w:strike/>
          <w:spacing w:val="-8"/>
          <w:w w:val="105"/>
          <w:szCs w:val="24"/>
        </w:rPr>
      </w:pPr>
      <w:r w:rsidRPr="0001508F">
        <w:rPr>
          <w:spacing w:val="1"/>
          <w:szCs w:val="24"/>
        </w:rPr>
        <w:t>[</w:t>
      </w:r>
      <w:r w:rsidRPr="0001508F">
        <w:rPr>
          <w:strike/>
          <w:spacing w:val="1"/>
          <w:szCs w:val="24"/>
        </w:rPr>
        <w:t>1.</w:t>
      </w:r>
      <w:r w:rsidRPr="0001508F">
        <w:rPr>
          <w:strike/>
          <w:spacing w:val="1"/>
          <w:szCs w:val="24"/>
        </w:rPr>
        <w:tab/>
        <w:t>Group R-3 occupancies in buildings with first occupancy on or before March 13, 1991.</w:t>
      </w:r>
    </w:p>
    <w:p w14:paraId="48504BBF" w14:textId="77777777" w:rsidR="0001508F" w:rsidRPr="0001508F" w:rsidRDefault="0001508F" w:rsidP="0001508F">
      <w:pPr>
        <w:widowControl w:val="0"/>
        <w:spacing w:before="120" w:after="120"/>
        <w:ind w:left="1080" w:hanging="360"/>
        <w:rPr>
          <w:spacing w:val="1"/>
          <w:szCs w:val="24"/>
        </w:rPr>
      </w:pPr>
      <w:r w:rsidRPr="0001508F">
        <w:rPr>
          <w:strike/>
          <w:spacing w:val="1"/>
          <w:szCs w:val="24"/>
        </w:rPr>
        <w:t>2.</w:t>
      </w:r>
      <w:r w:rsidRPr="0001508F">
        <w:rPr>
          <w:strike/>
          <w:spacing w:val="1"/>
          <w:szCs w:val="24"/>
        </w:rPr>
        <w:tab/>
        <w:t>Group R-3 occupancies in buildings with first occupancy after March 13, 1991, and originally constructed in a single structure with fewer than four dwelling or sleeping units.</w:t>
      </w:r>
      <w:r w:rsidRPr="0001508F">
        <w:rPr>
          <w:spacing w:val="1"/>
          <w:szCs w:val="24"/>
        </w:rPr>
        <w:t>]</w:t>
      </w:r>
    </w:p>
    <w:p w14:paraId="4B76AB1D" w14:textId="77777777" w:rsidR="0001508F" w:rsidRPr="0001508F" w:rsidRDefault="0001508F" w:rsidP="0001508F">
      <w:pPr>
        <w:widowControl w:val="0"/>
        <w:spacing w:before="120" w:after="120"/>
        <w:rPr>
          <w:spacing w:val="1"/>
          <w:szCs w:val="24"/>
        </w:rPr>
      </w:pPr>
    </w:p>
    <w:p w14:paraId="228F5160" w14:textId="77777777" w:rsidR="0001508F" w:rsidRPr="0001508F" w:rsidRDefault="0001508F" w:rsidP="0001508F">
      <w:pPr>
        <w:widowControl w:val="0"/>
        <w:tabs>
          <w:tab w:val="left" w:pos="-2790"/>
        </w:tabs>
        <w:autoSpaceDE w:val="0"/>
        <w:autoSpaceDN w:val="0"/>
        <w:adjustRightInd w:val="0"/>
        <w:spacing w:before="120" w:after="120" w:line="480" w:lineRule="auto"/>
        <w:ind w:firstLine="720"/>
        <w:rPr>
          <w:spacing w:val="1"/>
          <w:szCs w:val="24"/>
        </w:rPr>
      </w:pPr>
      <w:r w:rsidRPr="0001508F">
        <w:rPr>
          <w:bCs/>
          <w:szCs w:val="24"/>
        </w:rPr>
        <w:t>§ 64. Sections 1101.3.1, 1101.3.2, 1101.3.3, 1101.3.4, 1101.3.5, 1101.3.5.1, 1101.3.5.2, and 1101.4 of the New York city building code are REPEALED.</w:t>
      </w:r>
    </w:p>
    <w:p w14:paraId="6F31A18B" w14:textId="77777777" w:rsidR="0001508F" w:rsidRPr="0001508F" w:rsidRDefault="0001508F" w:rsidP="0001508F">
      <w:pPr>
        <w:widowControl w:val="0"/>
        <w:spacing w:before="120" w:after="120"/>
        <w:rPr>
          <w:szCs w:val="24"/>
        </w:rPr>
      </w:pPr>
    </w:p>
    <w:p w14:paraId="5E0F513F" w14:textId="77777777" w:rsidR="0001508F" w:rsidRPr="0001508F" w:rsidRDefault="0001508F" w:rsidP="0001508F">
      <w:pPr>
        <w:widowControl w:val="0"/>
        <w:tabs>
          <w:tab w:val="left" w:pos="-2790"/>
        </w:tabs>
        <w:autoSpaceDE w:val="0"/>
        <w:autoSpaceDN w:val="0"/>
        <w:adjustRightInd w:val="0"/>
        <w:spacing w:before="120" w:after="120" w:line="480" w:lineRule="auto"/>
        <w:ind w:firstLine="720"/>
        <w:rPr>
          <w:spacing w:val="1"/>
          <w:szCs w:val="24"/>
        </w:rPr>
      </w:pPr>
      <w:r w:rsidRPr="0001508F">
        <w:rPr>
          <w:bCs/>
          <w:szCs w:val="24"/>
        </w:rPr>
        <w:t>§ 65. Section 1106.8.3 of the New York city building code, as added by local law number 126 for the year 2021, is amended to read as follows:</w:t>
      </w:r>
    </w:p>
    <w:p w14:paraId="0CACD28E" w14:textId="77777777" w:rsidR="0001508F" w:rsidRPr="0001508F" w:rsidRDefault="0001508F" w:rsidP="0001508F">
      <w:pPr>
        <w:ind w:left="360"/>
        <w:rPr>
          <w:szCs w:val="24"/>
          <w:u w:val="single"/>
        </w:rPr>
      </w:pPr>
      <w:r w:rsidRPr="0001508F">
        <w:rPr>
          <w:b/>
          <w:bCs/>
          <w:szCs w:val="24"/>
        </w:rPr>
        <w:t xml:space="preserve">1106.8.3 Accessible route. </w:t>
      </w:r>
      <w:r w:rsidRPr="0001508F">
        <w:rPr>
          <w:szCs w:val="24"/>
        </w:rPr>
        <w:t>At each electric vehicle charging station required to be accessible, the charging station shall be located along an accessible route. An accessible route shall be provided between the charging station and the charging space.</w:t>
      </w:r>
      <w:r w:rsidRPr="0001508F">
        <w:rPr>
          <w:szCs w:val="24"/>
          <w:u w:val="single"/>
        </w:rPr>
        <w:t xml:space="preserve"> </w:t>
      </w:r>
    </w:p>
    <w:p w14:paraId="5D163DF1" w14:textId="77777777" w:rsidR="0001508F" w:rsidRPr="0001508F" w:rsidRDefault="0001508F" w:rsidP="0001508F">
      <w:pPr>
        <w:widowControl w:val="0"/>
        <w:spacing w:before="120" w:after="120"/>
        <w:ind w:left="720"/>
        <w:rPr>
          <w:szCs w:val="24"/>
        </w:rPr>
      </w:pPr>
      <w:r w:rsidRPr="0001508F">
        <w:rPr>
          <w:b/>
          <w:bCs/>
          <w:szCs w:val="24"/>
        </w:rPr>
        <w:t>[</w:t>
      </w:r>
      <w:r w:rsidRPr="0001508F">
        <w:rPr>
          <w:b/>
          <w:bCs/>
          <w:strike/>
          <w:szCs w:val="24"/>
        </w:rPr>
        <w:t>Exception:</w:t>
      </w:r>
      <w:r w:rsidRPr="0001508F">
        <w:rPr>
          <w:strike/>
          <w:szCs w:val="24"/>
        </w:rPr>
        <w:t xml:space="preserve"> In existing facilities with no accessible route, electrical vehicle charging stations are not required to be located along an accessible route.</w:t>
      </w:r>
      <w:r w:rsidRPr="0001508F">
        <w:rPr>
          <w:szCs w:val="24"/>
        </w:rPr>
        <w:t>]</w:t>
      </w:r>
    </w:p>
    <w:p w14:paraId="395334C5" w14:textId="77777777" w:rsidR="0001508F" w:rsidRPr="0001508F" w:rsidRDefault="0001508F" w:rsidP="0001508F">
      <w:pPr>
        <w:widowControl w:val="0"/>
        <w:tabs>
          <w:tab w:val="left" w:pos="-2790"/>
        </w:tabs>
        <w:autoSpaceDE w:val="0"/>
        <w:autoSpaceDN w:val="0"/>
        <w:adjustRightInd w:val="0"/>
        <w:spacing w:before="120" w:after="120" w:line="480" w:lineRule="auto"/>
        <w:ind w:firstLine="720"/>
        <w:rPr>
          <w:spacing w:val="1"/>
          <w:szCs w:val="24"/>
        </w:rPr>
      </w:pPr>
      <w:r w:rsidRPr="0001508F">
        <w:rPr>
          <w:bCs/>
          <w:szCs w:val="24"/>
        </w:rPr>
        <w:t>§ 66. Sections 1109.2.1.4, 1109.2.1.5, 1109.2.1.6, and 1109.2.1.7 of the New York city building code, as amended by local law number 126 for the year 2021, is amended to read as follows:</w:t>
      </w:r>
    </w:p>
    <w:p w14:paraId="481C4AD3" w14:textId="77777777" w:rsidR="0001508F" w:rsidRPr="0001508F" w:rsidRDefault="0001508F" w:rsidP="0001508F">
      <w:pPr>
        <w:widowControl w:val="0"/>
        <w:spacing w:before="120" w:after="120"/>
        <w:ind w:left="720"/>
        <w:rPr>
          <w:rFonts w:eastAsia="MS Gothic"/>
          <w:bCs/>
          <w:szCs w:val="24"/>
        </w:rPr>
      </w:pPr>
    </w:p>
    <w:p w14:paraId="006F51A7" w14:textId="77777777" w:rsidR="0001508F" w:rsidRPr="0001508F" w:rsidRDefault="0001508F" w:rsidP="0001508F">
      <w:pPr>
        <w:widowControl w:val="0"/>
        <w:spacing w:before="120" w:after="120"/>
        <w:ind w:left="720"/>
        <w:rPr>
          <w:bCs/>
          <w:szCs w:val="24"/>
          <w:u w:val="single"/>
        </w:rPr>
      </w:pPr>
      <w:r w:rsidRPr="0001508F">
        <w:rPr>
          <w:rFonts w:eastAsia="MS Gothic"/>
          <w:b/>
          <w:szCs w:val="24"/>
        </w:rPr>
        <w:t>1109.2.1.4 [</w:t>
      </w:r>
      <w:r w:rsidRPr="0001508F">
        <w:rPr>
          <w:rFonts w:eastAsia="MS Gothic"/>
          <w:b/>
          <w:bCs/>
          <w:strike/>
          <w:szCs w:val="24"/>
        </w:rPr>
        <w:t>Location.</w:t>
      </w:r>
      <w:r w:rsidRPr="0001508F">
        <w:rPr>
          <w:rFonts w:eastAsia="MS Gothic"/>
          <w:b/>
          <w:strike/>
          <w:szCs w:val="24"/>
        </w:rPr>
        <w:t xml:space="preserve"> </w:t>
      </w:r>
      <w:r w:rsidRPr="0001508F">
        <w:rPr>
          <w:rFonts w:eastAsia="MS Gothic"/>
          <w:bCs/>
          <w:strike/>
          <w:szCs w:val="24"/>
        </w:rPr>
        <w:t>Family or assisted-use toilet and bathing rooms shall be located on an accessible route. Family or assisted-use toilet rooms shall be located not more than one story above or below separate-sex toilet rooms. The accessible route from any separate-sex toilet room to a family or assisted-use toilet room shall not exceed 500 feet (152 m).</w:t>
      </w:r>
      <w:r w:rsidRPr="0001508F">
        <w:rPr>
          <w:rFonts w:eastAsia="MS Gothic"/>
          <w:bCs/>
          <w:szCs w:val="24"/>
        </w:rPr>
        <w:t xml:space="preserve">] </w:t>
      </w:r>
      <w:r w:rsidRPr="0001508F">
        <w:rPr>
          <w:b/>
          <w:bCs/>
          <w:szCs w:val="24"/>
          <w:u w:val="single"/>
        </w:rPr>
        <w:t>Clear floor space.</w:t>
      </w:r>
      <w:r w:rsidRPr="0001508F">
        <w:rPr>
          <w:b/>
          <w:bCs/>
          <w:spacing w:val="-8"/>
          <w:w w:val="110"/>
          <w:szCs w:val="24"/>
          <w:u w:val="single"/>
        </w:rPr>
        <w:t xml:space="preserve"> </w:t>
      </w:r>
      <w:r w:rsidRPr="0001508F">
        <w:rPr>
          <w:bCs/>
          <w:szCs w:val="24"/>
          <w:u w:val="single"/>
        </w:rPr>
        <w:t>Where doors swing into a family or assisted-use toilet or bathing room, a clear floor space not less than 30 inches by 48 inches (762 mm by 1220 mm) shall be provided, within the room, beyond the area of the door swing.</w:t>
      </w:r>
    </w:p>
    <w:p w14:paraId="499C34B5" w14:textId="77777777" w:rsidR="0001508F" w:rsidRPr="0001508F" w:rsidRDefault="0001508F" w:rsidP="0001508F">
      <w:pPr>
        <w:widowControl w:val="0"/>
        <w:autoSpaceDE w:val="0"/>
        <w:autoSpaceDN w:val="0"/>
        <w:adjustRightInd w:val="0"/>
        <w:spacing w:before="120" w:after="120"/>
        <w:ind w:left="720"/>
        <w:rPr>
          <w:szCs w:val="24"/>
        </w:rPr>
      </w:pPr>
      <w:r w:rsidRPr="0001508F">
        <w:rPr>
          <w:b/>
          <w:bCs/>
          <w:szCs w:val="24"/>
        </w:rPr>
        <w:t xml:space="preserve">1109.2.1.5 </w:t>
      </w:r>
      <w:r w:rsidRPr="0001508F">
        <w:rPr>
          <w:b/>
          <w:bCs/>
          <w:szCs w:val="24"/>
          <w:u w:val="single"/>
        </w:rPr>
        <w:t>Privacy.</w:t>
      </w:r>
      <w:r w:rsidRPr="0001508F">
        <w:rPr>
          <w:b/>
          <w:bCs/>
          <w:spacing w:val="-1"/>
          <w:w w:val="110"/>
          <w:szCs w:val="24"/>
          <w:u w:val="single"/>
        </w:rPr>
        <w:t xml:space="preserve"> </w:t>
      </w:r>
      <w:r w:rsidRPr="0001508F">
        <w:rPr>
          <w:szCs w:val="24"/>
          <w:u w:val="single"/>
        </w:rPr>
        <w:t>Doors to family or assisted-use toilet and bathing rooms shall be securable from within the room.</w:t>
      </w:r>
      <w:bookmarkStart w:id="296" w:name="_Toc389736143"/>
      <w:bookmarkStart w:id="297" w:name="_Toc389744705"/>
    </w:p>
    <w:p w14:paraId="089ED0B6" w14:textId="77777777" w:rsidR="0001508F" w:rsidRPr="0001508F" w:rsidRDefault="0001508F" w:rsidP="0001508F">
      <w:pPr>
        <w:widowControl w:val="0"/>
        <w:autoSpaceDE w:val="0"/>
        <w:autoSpaceDN w:val="0"/>
        <w:adjustRightInd w:val="0"/>
        <w:spacing w:before="120" w:after="120"/>
        <w:ind w:left="720"/>
        <w:rPr>
          <w:szCs w:val="24"/>
        </w:rPr>
      </w:pPr>
      <w:r w:rsidRPr="0001508F">
        <w:rPr>
          <w:b/>
          <w:bCs/>
          <w:szCs w:val="24"/>
        </w:rPr>
        <w:t>1109.2.1.6 [</w:t>
      </w:r>
      <w:r w:rsidRPr="0001508F">
        <w:rPr>
          <w:b/>
          <w:bCs/>
          <w:strike/>
          <w:szCs w:val="24"/>
        </w:rPr>
        <w:t>Clear floor space.</w:t>
      </w:r>
      <w:bookmarkEnd w:id="296"/>
      <w:bookmarkEnd w:id="297"/>
      <w:r w:rsidRPr="0001508F">
        <w:rPr>
          <w:b/>
          <w:bCs/>
          <w:strike/>
          <w:spacing w:val="-8"/>
          <w:w w:val="110"/>
          <w:szCs w:val="24"/>
        </w:rPr>
        <w:t xml:space="preserve"> </w:t>
      </w:r>
      <w:r w:rsidRPr="0001508F">
        <w:rPr>
          <w:strike/>
          <w:szCs w:val="24"/>
        </w:rPr>
        <w:t>Where doors swing into a family or assisted-use toilet or bathing room, a clear floor space not less than 30 inches by 48 inches (762 mm by 1219 mm) shall be provided, within the room, beyond the area of the door swing.</w:t>
      </w:r>
      <w:r w:rsidRPr="0001508F">
        <w:rPr>
          <w:szCs w:val="24"/>
        </w:rPr>
        <w:t>]</w:t>
      </w:r>
      <w:r w:rsidRPr="0001508F">
        <w:rPr>
          <w:b/>
          <w:bCs/>
          <w:szCs w:val="24"/>
        </w:rPr>
        <w:t xml:space="preserve"> </w:t>
      </w:r>
      <w:r w:rsidRPr="0001508F">
        <w:rPr>
          <w:b/>
          <w:bCs/>
          <w:szCs w:val="24"/>
          <w:u w:val="single"/>
        </w:rPr>
        <w:t>Prohibited location.</w:t>
      </w:r>
      <w:r w:rsidRPr="0001508F">
        <w:rPr>
          <w:b/>
          <w:bCs/>
          <w:spacing w:val="-6"/>
          <w:w w:val="110"/>
          <w:szCs w:val="24"/>
          <w:u w:val="single"/>
        </w:rPr>
        <w:t xml:space="preserve"> </w:t>
      </w:r>
      <w:r w:rsidRPr="0001508F">
        <w:rPr>
          <w:szCs w:val="24"/>
          <w:u w:val="single"/>
        </w:rPr>
        <w:t>In passenger transportation facilities and airports, the accessible route from separate-sex toilet rooms to a family or assisted-use toilet room shall not pass through security checkpoints.</w:t>
      </w:r>
    </w:p>
    <w:p w14:paraId="4FB98399" w14:textId="77777777" w:rsidR="0001508F" w:rsidRPr="0001508F" w:rsidRDefault="0001508F" w:rsidP="0001508F">
      <w:pPr>
        <w:widowControl w:val="0"/>
        <w:autoSpaceDE w:val="0"/>
        <w:autoSpaceDN w:val="0"/>
        <w:adjustRightInd w:val="0"/>
        <w:spacing w:before="120" w:after="120"/>
        <w:ind w:left="720"/>
        <w:rPr>
          <w:szCs w:val="24"/>
        </w:rPr>
      </w:pPr>
      <w:r w:rsidRPr="0001508F">
        <w:rPr>
          <w:b/>
          <w:bCs/>
          <w:szCs w:val="24"/>
        </w:rPr>
        <w:t>1109.2.1.7 [</w:t>
      </w:r>
      <w:r w:rsidRPr="0001508F">
        <w:rPr>
          <w:b/>
          <w:bCs/>
          <w:strike/>
          <w:szCs w:val="24"/>
        </w:rPr>
        <w:t>Privacy.</w:t>
      </w:r>
      <w:r w:rsidRPr="0001508F">
        <w:rPr>
          <w:b/>
          <w:bCs/>
          <w:strike/>
          <w:spacing w:val="-1"/>
          <w:w w:val="110"/>
          <w:szCs w:val="24"/>
        </w:rPr>
        <w:t xml:space="preserve"> </w:t>
      </w:r>
      <w:r w:rsidRPr="0001508F">
        <w:rPr>
          <w:strike/>
          <w:szCs w:val="24"/>
        </w:rPr>
        <w:t>Doors to family or assisted-use toilet and bathing rooms shall be securable from within the room.</w:t>
      </w:r>
      <w:r w:rsidRPr="0001508F">
        <w:rPr>
          <w:szCs w:val="24"/>
        </w:rPr>
        <w:t xml:space="preserve">] </w:t>
      </w:r>
      <w:r w:rsidRPr="0001508F">
        <w:rPr>
          <w:b/>
          <w:bCs/>
          <w:szCs w:val="24"/>
          <w:u w:val="single"/>
        </w:rPr>
        <w:t>Location.</w:t>
      </w:r>
      <w:r w:rsidRPr="0001508F">
        <w:rPr>
          <w:szCs w:val="24"/>
          <w:u w:val="single"/>
        </w:rPr>
        <w:t xml:space="preserve"> Family or assisted-use toilet and bathing rooms shall be located on an accessible route. Family or assisted-use toilet rooms shall be located not more than one story above or below separate-sex toilet rooms. The accessible route from any separate-sex toilet room to a family or assisted-use toilet room shall not exceed 500 feet (152 m).</w:t>
      </w:r>
    </w:p>
    <w:p w14:paraId="1AFA683D" w14:textId="77777777" w:rsidR="0001508F" w:rsidRPr="0001508F" w:rsidRDefault="0001508F" w:rsidP="0001508F">
      <w:pPr>
        <w:widowControl w:val="0"/>
        <w:tabs>
          <w:tab w:val="left" w:pos="-2790"/>
        </w:tabs>
        <w:autoSpaceDE w:val="0"/>
        <w:autoSpaceDN w:val="0"/>
        <w:adjustRightInd w:val="0"/>
        <w:spacing w:before="120" w:after="120" w:line="480" w:lineRule="auto"/>
        <w:ind w:firstLine="720"/>
        <w:rPr>
          <w:spacing w:val="1"/>
          <w:szCs w:val="24"/>
        </w:rPr>
      </w:pPr>
      <w:r w:rsidRPr="0001508F">
        <w:rPr>
          <w:bCs/>
          <w:szCs w:val="24"/>
        </w:rPr>
        <w:t>§ 67. Section 1109.7.1.1 of the New York city building code, as amended by local law number 126 for the year 2021, is amended to read as follows:</w:t>
      </w:r>
    </w:p>
    <w:p w14:paraId="137DB5F8" w14:textId="77777777" w:rsidR="0001508F" w:rsidRPr="0001508F" w:rsidRDefault="0001508F" w:rsidP="0001508F">
      <w:pPr>
        <w:widowControl w:val="0"/>
        <w:spacing w:before="120" w:after="120"/>
        <w:ind w:left="720"/>
        <w:rPr>
          <w:bCs/>
          <w:szCs w:val="24"/>
        </w:rPr>
      </w:pPr>
      <w:r w:rsidRPr="0001508F">
        <w:rPr>
          <w:b/>
          <w:bCs/>
          <w:szCs w:val="24"/>
        </w:rPr>
        <w:t>1109.7.1.1  [</w:t>
      </w:r>
      <w:r w:rsidRPr="0001508F">
        <w:rPr>
          <w:b/>
          <w:bCs/>
          <w:strike/>
          <w:szCs w:val="24"/>
        </w:rPr>
        <w:t>Prior code</w:t>
      </w:r>
      <w:r w:rsidRPr="0001508F">
        <w:rPr>
          <w:b/>
          <w:bCs/>
          <w:szCs w:val="24"/>
        </w:rPr>
        <w:t>]</w:t>
      </w:r>
      <w:r w:rsidRPr="0001508F">
        <w:rPr>
          <w:b/>
          <w:bCs/>
          <w:szCs w:val="24"/>
          <w:u w:val="single"/>
        </w:rPr>
        <w:t xml:space="preserve">Existing </w:t>
      </w:r>
      <w:r w:rsidRPr="0001508F">
        <w:rPr>
          <w:b/>
          <w:bCs/>
          <w:szCs w:val="24"/>
        </w:rPr>
        <w:t xml:space="preserve">buildings. </w:t>
      </w:r>
      <w:r w:rsidRPr="0001508F">
        <w:rPr>
          <w:bCs/>
          <w:szCs w:val="24"/>
        </w:rPr>
        <w:t xml:space="preserve">In </w:t>
      </w:r>
      <w:r w:rsidRPr="0001508F">
        <w:rPr>
          <w:b/>
          <w:bCs/>
          <w:szCs w:val="24"/>
        </w:rPr>
        <w:t>[</w:t>
      </w:r>
      <w:r w:rsidRPr="0001508F">
        <w:rPr>
          <w:bCs/>
          <w:strike/>
          <w:szCs w:val="24"/>
        </w:rPr>
        <w:t>prior code</w:t>
      </w:r>
      <w:r w:rsidRPr="0001508F">
        <w:rPr>
          <w:b/>
          <w:bCs/>
          <w:szCs w:val="24"/>
        </w:rPr>
        <w:t>]</w:t>
      </w:r>
      <w:r w:rsidRPr="0001508F">
        <w:rPr>
          <w:bCs/>
          <w:szCs w:val="24"/>
          <w:u w:val="single"/>
        </w:rPr>
        <w:t xml:space="preserve">accordance with Section 306 of the </w:t>
      </w:r>
      <w:r w:rsidRPr="0001508F">
        <w:rPr>
          <w:bCs/>
          <w:i/>
          <w:iCs/>
          <w:szCs w:val="24"/>
          <w:u w:val="single"/>
        </w:rPr>
        <w:t>New York City Existing Building Code</w:t>
      </w:r>
      <w:r w:rsidRPr="0001508F">
        <w:rPr>
          <w:bCs/>
          <w:szCs w:val="24"/>
          <w:u w:val="single"/>
        </w:rPr>
        <w:t>, LULA elevators in existing</w:t>
      </w:r>
      <w:r w:rsidRPr="0001508F">
        <w:rPr>
          <w:bCs/>
          <w:szCs w:val="24"/>
        </w:rPr>
        <w:t xml:space="preserve"> buildings, </w:t>
      </w:r>
      <w:r w:rsidRPr="0001508F">
        <w:rPr>
          <w:b/>
          <w:bCs/>
          <w:szCs w:val="24"/>
        </w:rPr>
        <w:t>[</w:t>
      </w:r>
      <w:r w:rsidRPr="0001508F">
        <w:rPr>
          <w:bCs/>
          <w:strike/>
          <w:szCs w:val="24"/>
        </w:rPr>
        <w:t>LULA elevators</w:t>
      </w:r>
      <w:r w:rsidRPr="0001508F">
        <w:rPr>
          <w:b/>
          <w:bCs/>
          <w:szCs w:val="24"/>
        </w:rPr>
        <w:t>]</w:t>
      </w:r>
      <w:r w:rsidRPr="0001508F">
        <w:rPr>
          <w:bCs/>
          <w:szCs w:val="24"/>
        </w:rPr>
        <w:t>shall comply with Section 408 (Limited-use/Limited-Application Elevators) of ICC A117.1 and with Part 5.2 of ASME A17.1 as modified by Appendix K of this code.</w:t>
      </w:r>
      <w:r w:rsidRPr="0001508F">
        <w:rPr>
          <w:bCs/>
          <w:szCs w:val="24"/>
          <w:u w:val="single"/>
        </w:rPr>
        <w:t xml:space="preserve"> </w:t>
      </w:r>
      <w:r w:rsidRPr="0001508F">
        <w:rPr>
          <w:bCs/>
          <w:szCs w:val="24"/>
        </w:rPr>
        <w:t>LULA elevators shall be limited to a maximum rise of not more than 25 feet (7620 mm) and shall be permitted to be a part of the required accessible route as follows:</w:t>
      </w:r>
    </w:p>
    <w:p w14:paraId="58BA9B59" w14:textId="77777777" w:rsidR="0001508F" w:rsidRPr="0001508F" w:rsidRDefault="0001508F" w:rsidP="0001508F">
      <w:pPr>
        <w:widowControl w:val="0"/>
        <w:autoSpaceDE w:val="0"/>
        <w:autoSpaceDN w:val="0"/>
        <w:adjustRightInd w:val="0"/>
        <w:spacing w:before="120" w:after="120"/>
        <w:ind w:left="1440" w:hanging="360"/>
        <w:rPr>
          <w:szCs w:val="24"/>
        </w:rPr>
      </w:pPr>
      <w:r w:rsidRPr="0001508F">
        <w:rPr>
          <w:szCs w:val="24"/>
        </w:rPr>
        <w:t>1.</w:t>
      </w:r>
      <w:r w:rsidRPr="0001508F">
        <w:rPr>
          <w:szCs w:val="24"/>
        </w:rPr>
        <w:tab/>
        <w:t>In spaces complying with Section 1109.7.1 where a LULA is permitted in new construction;</w:t>
      </w:r>
    </w:p>
    <w:p w14:paraId="09E67E47" w14:textId="77777777" w:rsidR="0001508F" w:rsidRPr="0001508F" w:rsidRDefault="0001508F" w:rsidP="0001508F">
      <w:pPr>
        <w:widowControl w:val="0"/>
        <w:autoSpaceDE w:val="0"/>
        <w:autoSpaceDN w:val="0"/>
        <w:adjustRightInd w:val="0"/>
        <w:spacing w:before="120" w:after="120"/>
        <w:ind w:left="1440" w:hanging="360"/>
        <w:rPr>
          <w:szCs w:val="24"/>
        </w:rPr>
      </w:pPr>
      <w:r w:rsidRPr="0001508F">
        <w:rPr>
          <w:szCs w:val="24"/>
        </w:rPr>
        <w:t>2.</w:t>
      </w:r>
      <w:r w:rsidRPr="0001508F">
        <w:rPr>
          <w:szCs w:val="24"/>
        </w:rPr>
        <w:tab/>
        <w:t>Where the total floor area of the entire building is less than 10,000 square feet (929 m²); or</w:t>
      </w:r>
    </w:p>
    <w:p w14:paraId="6A870E35" w14:textId="77777777" w:rsidR="0001508F" w:rsidRPr="0001508F" w:rsidRDefault="0001508F" w:rsidP="0001508F">
      <w:pPr>
        <w:widowControl w:val="0"/>
        <w:autoSpaceDE w:val="0"/>
        <w:autoSpaceDN w:val="0"/>
        <w:adjustRightInd w:val="0"/>
        <w:spacing w:before="120" w:after="120"/>
        <w:ind w:left="1440" w:hanging="360"/>
        <w:rPr>
          <w:szCs w:val="24"/>
        </w:rPr>
      </w:pPr>
      <w:r w:rsidRPr="0001508F">
        <w:rPr>
          <w:szCs w:val="24"/>
        </w:rPr>
        <w:t>3.</w:t>
      </w:r>
      <w:r w:rsidRPr="0001508F">
        <w:rPr>
          <w:szCs w:val="24"/>
        </w:rPr>
        <w:tab/>
        <w:t>Where it serves an individual occupancy of less than 10,000 square feet (929 m²) in buildings of 10,000 square feet (929 m²) or more.</w:t>
      </w:r>
    </w:p>
    <w:p w14:paraId="5A38EBBB" w14:textId="77777777" w:rsidR="0001508F" w:rsidRPr="0001508F" w:rsidRDefault="0001508F" w:rsidP="0001508F">
      <w:pPr>
        <w:widowControl w:val="0"/>
        <w:tabs>
          <w:tab w:val="left" w:pos="-2790"/>
        </w:tabs>
        <w:autoSpaceDE w:val="0"/>
        <w:autoSpaceDN w:val="0"/>
        <w:adjustRightInd w:val="0"/>
        <w:spacing w:before="120" w:after="120" w:line="480" w:lineRule="auto"/>
        <w:ind w:firstLine="720"/>
        <w:rPr>
          <w:spacing w:val="1"/>
          <w:szCs w:val="24"/>
        </w:rPr>
      </w:pPr>
      <w:r w:rsidRPr="0001508F">
        <w:rPr>
          <w:bCs/>
          <w:szCs w:val="24"/>
        </w:rPr>
        <w:t>§ 68. Section 1109.8.1 of the New York city building code, as amended by local law number 126 for the year 2021, is amended to read as follows:</w:t>
      </w:r>
    </w:p>
    <w:p w14:paraId="54B85506" w14:textId="77777777" w:rsidR="0001508F" w:rsidRPr="0001508F" w:rsidRDefault="0001508F" w:rsidP="0001508F">
      <w:pPr>
        <w:rPr>
          <w:szCs w:val="24"/>
        </w:rPr>
      </w:pPr>
    </w:p>
    <w:p w14:paraId="3EA2BD31" w14:textId="77777777" w:rsidR="0001508F" w:rsidRPr="0001508F" w:rsidRDefault="0001508F" w:rsidP="0001508F">
      <w:pPr>
        <w:widowControl w:val="0"/>
        <w:tabs>
          <w:tab w:val="left" w:pos="-2790"/>
        </w:tabs>
        <w:autoSpaceDE w:val="0"/>
        <w:autoSpaceDN w:val="0"/>
        <w:adjustRightInd w:val="0"/>
        <w:spacing w:before="120" w:after="120" w:line="480" w:lineRule="auto"/>
        <w:ind w:firstLine="720"/>
        <w:rPr>
          <w:spacing w:val="1"/>
          <w:szCs w:val="24"/>
        </w:rPr>
      </w:pPr>
      <w:r w:rsidRPr="0001508F">
        <w:rPr>
          <w:b/>
          <w:bCs/>
          <w:szCs w:val="24"/>
        </w:rPr>
        <w:t>1109.8.1 [</w:t>
      </w:r>
      <w:r w:rsidRPr="0001508F">
        <w:rPr>
          <w:b/>
          <w:bCs/>
          <w:strike/>
          <w:szCs w:val="24"/>
        </w:rPr>
        <w:t>Prior code</w:t>
      </w:r>
      <w:r w:rsidRPr="0001508F">
        <w:rPr>
          <w:b/>
          <w:bCs/>
          <w:szCs w:val="24"/>
        </w:rPr>
        <w:t>]</w:t>
      </w:r>
      <w:r w:rsidRPr="0001508F">
        <w:rPr>
          <w:b/>
          <w:bCs/>
          <w:szCs w:val="24"/>
          <w:u w:val="single"/>
        </w:rPr>
        <w:t>Existing</w:t>
      </w:r>
      <w:r w:rsidRPr="0001508F">
        <w:rPr>
          <w:b/>
          <w:bCs/>
          <w:szCs w:val="24"/>
        </w:rPr>
        <w:t xml:space="preserve"> buildings.</w:t>
      </w:r>
      <w:r w:rsidRPr="0001508F">
        <w:rPr>
          <w:szCs w:val="24"/>
        </w:rPr>
        <w:t xml:space="preserve"> [</w:t>
      </w:r>
      <w:r w:rsidRPr="0001508F">
        <w:rPr>
          <w:bCs/>
          <w:strike/>
          <w:szCs w:val="24"/>
        </w:rPr>
        <w:t>In prior code buildings</w:t>
      </w:r>
      <w:r w:rsidRPr="0001508F">
        <w:rPr>
          <w:bCs/>
          <w:szCs w:val="24"/>
          <w:u w:val="single"/>
        </w:rPr>
        <w:t xml:space="preserve">]In accordance with Section 306 of the </w:t>
      </w:r>
      <w:r w:rsidRPr="0001508F">
        <w:rPr>
          <w:bCs/>
          <w:i/>
          <w:iCs/>
          <w:szCs w:val="24"/>
          <w:u w:val="single"/>
        </w:rPr>
        <w:t>New York City Existing Building Code</w:t>
      </w:r>
      <w:r w:rsidRPr="0001508F">
        <w:rPr>
          <w:bCs/>
          <w:szCs w:val="24"/>
          <w:u w:val="single"/>
        </w:rPr>
        <w:t>,</w:t>
      </w:r>
      <w:r w:rsidRPr="0001508F">
        <w:rPr>
          <w:bCs/>
          <w:szCs w:val="24"/>
        </w:rPr>
        <w:t xml:space="preserve"> platform (wheelchair) lifts installed in accordance with Section 410 (Platform Lifts) of ICC A117.1, ASME A18.1, and Chapter 30 of this code, </w:t>
      </w:r>
      <w:r w:rsidRPr="0001508F">
        <w:rPr>
          <w:bCs/>
          <w:szCs w:val="24"/>
          <w:u w:val="single"/>
        </w:rPr>
        <w:t xml:space="preserve">in existing buildings, </w:t>
      </w:r>
      <w:r w:rsidRPr="0001508F">
        <w:rPr>
          <w:bCs/>
          <w:szCs w:val="24"/>
        </w:rPr>
        <w:t>shall be permitted to be a part of the required accessible route. § 69. Section 1111.3 of the New York city building code, as amended by local law number 126 for the year 2021, is amended to read as follows:</w:t>
      </w:r>
    </w:p>
    <w:p w14:paraId="0440DDDE" w14:textId="77777777" w:rsidR="0001508F" w:rsidRPr="0001508F" w:rsidRDefault="0001508F" w:rsidP="0001508F">
      <w:pPr>
        <w:widowControl w:val="0"/>
        <w:spacing w:before="120" w:after="120"/>
        <w:rPr>
          <w:rFonts w:eastAsia="Calibri"/>
          <w:b/>
          <w:bCs/>
          <w:szCs w:val="24"/>
        </w:rPr>
      </w:pPr>
      <w:r w:rsidRPr="0001508F">
        <w:rPr>
          <w:b/>
          <w:bCs/>
          <w:szCs w:val="24"/>
        </w:rPr>
        <w:t>1111.3 Other signs.</w:t>
      </w:r>
      <w:r w:rsidRPr="0001508F">
        <w:rPr>
          <w:w w:val="110"/>
          <w:szCs w:val="24"/>
        </w:rPr>
        <w:t xml:space="preserve"> </w:t>
      </w:r>
      <w:r w:rsidRPr="0001508F">
        <w:rPr>
          <w:bCs/>
          <w:szCs w:val="24"/>
        </w:rPr>
        <w:t xml:space="preserve">Signage indicating special accessibility provisions shall be provided as </w:t>
      </w:r>
      <w:r w:rsidRPr="0001508F">
        <w:rPr>
          <w:bCs/>
          <w:spacing w:val="1"/>
          <w:szCs w:val="24"/>
        </w:rPr>
        <w:t>follows:</w:t>
      </w:r>
    </w:p>
    <w:p w14:paraId="478C31B0" w14:textId="77777777" w:rsidR="0001508F" w:rsidRPr="0001508F" w:rsidRDefault="0001508F" w:rsidP="0001508F">
      <w:pPr>
        <w:widowControl w:val="0"/>
        <w:tabs>
          <w:tab w:val="left" w:pos="720"/>
        </w:tabs>
        <w:autoSpaceDE w:val="0"/>
        <w:autoSpaceDN w:val="0"/>
        <w:adjustRightInd w:val="0"/>
        <w:spacing w:before="120" w:after="120"/>
        <w:ind w:left="720" w:hanging="360"/>
        <w:rPr>
          <w:szCs w:val="24"/>
        </w:rPr>
      </w:pPr>
      <w:r w:rsidRPr="0001508F">
        <w:rPr>
          <w:szCs w:val="24"/>
        </w:rPr>
        <w:t>1.</w:t>
      </w:r>
      <w:r w:rsidRPr="0001508F">
        <w:rPr>
          <w:szCs w:val="24"/>
        </w:rPr>
        <w:tab/>
        <w:t>Each assembly area required to comply with Section 1108.2.7 shall provide a sign notifying patrons of the availability of assistive listening systems. The sign shall comply with ICC A117.1 requirements for visual characters and shall include the International Symbol of Access for Hearing Loss.</w:t>
      </w:r>
    </w:p>
    <w:p w14:paraId="685B14F0" w14:textId="77777777" w:rsidR="0001508F" w:rsidRPr="0001508F" w:rsidRDefault="0001508F" w:rsidP="0001508F">
      <w:pPr>
        <w:widowControl w:val="0"/>
        <w:autoSpaceDE w:val="0"/>
        <w:autoSpaceDN w:val="0"/>
        <w:adjustRightInd w:val="0"/>
        <w:spacing w:before="120" w:after="120"/>
        <w:ind w:left="720"/>
        <w:rPr>
          <w:szCs w:val="24"/>
        </w:rPr>
      </w:pPr>
      <w:r w:rsidRPr="0001508F">
        <w:rPr>
          <w:b/>
          <w:szCs w:val="24"/>
        </w:rPr>
        <w:t>Exception:</w:t>
      </w:r>
      <w:r w:rsidRPr="0001508F">
        <w:rPr>
          <w:szCs w:val="24"/>
        </w:rPr>
        <w:t xml:space="preserve"> Where ticket offices or windows are provided, signs are not required at each assembly area provided that signs are displayed at each ticket office or window informing patrons of the availability of assistive listening systems.</w:t>
      </w:r>
    </w:p>
    <w:p w14:paraId="093F1987" w14:textId="77777777" w:rsidR="0001508F" w:rsidRPr="0001508F" w:rsidRDefault="0001508F" w:rsidP="0001508F">
      <w:pPr>
        <w:widowControl w:val="0"/>
        <w:tabs>
          <w:tab w:val="left" w:pos="720"/>
        </w:tabs>
        <w:autoSpaceDE w:val="0"/>
        <w:autoSpaceDN w:val="0"/>
        <w:adjustRightInd w:val="0"/>
        <w:spacing w:before="120" w:after="120"/>
        <w:ind w:left="720" w:hanging="360"/>
        <w:rPr>
          <w:szCs w:val="24"/>
        </w:rPr>
      </w:pPr>
      <w:r w:rsidRPr="0001508F">
        <w:rPr>
          <w:szCs w:val="24"/>
        </w:rPr>
        <w:t>2.</w:t>
      </w:r>
      <w:r w:rsidRPr="0001508F">
        <w:rPr>
          <w:szCs w:val="24"/>
        </w:rPr>
        <w:tab/>
        <w:t xml:space="preserve">At each door to an area of </w:t>
      </w:r>
      <w:r w:rsidRPr="0001508F">
        <w:rPr>
          <w:spacing w:val="1"/>
          <w:szCs w:val="24"/>
        </w:rPr>
        <w:t>rescue assistance</w:t>
      </w:r>
      <w:r w:rsidRPr="0001508F">
        <w:rPr>
          <w:szCs w:val="24"/>
        </w:rPr>
        <w:t>, an exterior area for assisted rescue, an egress stairway, exit passageway and exit discharge, signage shall be provided in accordance with Section 1013.4.</w:t>
      </w:r>
    </w:p>
    <w:p w14:paraId="54C2F774" w14:textId="77777777" w:rsidR="0001508F" w:rsidRPr="0001508F" w:rsidRDefault="0001508F" w:rsidP="0001508F">
      <w:pPr>
        <w:widowControl w:val="0"/>
        <w:tabs>
          <w:tab w:val="left" w:pos="720"/>
        </w:tabs>
        <w:autoSpaceDE w:val="0"/>
        <w:autoSpaceDN w:val="0"/>
        <w:adjustRightInd w:val="0"/>
        <w:spacing w:before="120" w:after="120"/>
        <w:ind w:left="720" w:hanging="360"/>
        <w:rPr>
          <w:szCs w:val="24"/>
        </w:rPr>
      </w:pPr>
      <w:r w:rsidRPr="0001508F">
        <w:rPr>
          <w:szCs w:val="24"/>
        </w:rPr>
        <w:t>3.</w:t>
      </w:r>
      <w:r w:rsidRPr="0001508F">
        <w:rPr>
          <w:szCs w:val="24"/>
        </w:rPr>
        <w:tab/>
        <w:t xml:space="preserve">At areas of </w:t>
      </w:r>
      <w:r w:rsidRPr="0001508F">
        <w:rPr>
          <w:spacing w:val="1"/>
          <w:szCs w:val="24"/>
        </w:rPr>
        <w:t>rescue assistance</w:t>
      </w:r>
      <w:r w:rsidRPr="0001508F">
        <w:rPr>
          <w:szCs w:val="24"/>
        </w:rPr>
        <w:t>, signage shall be provided in accordance with Section 1009.11.</w:t>
      </w:r>
    </w:p>
    <w:p w14:paraId="569C0BCF" w14:textId="77777777" w:rsidR="0001508F" w:rsidRPr="0001508F" w:rsidRDefault="0001508F" w:rsidP="0001508F">
      <w:pPr>
        <w:widowControl w:val="0"/>
        <w:tabs>
          <w:tab w:val="left" w:pos="720"/>
        </w:tabs>
        <w:autoSpaceDE w:val="0"/>
        <w:autoSpaceDN w:val="0"/>
        <w:adjustRightInd w:val="0"/>
        <w:spacing w:before="120" w:after="120"/>
        <w:ind w:left="720" w:hanging="360"/>
        <w:rPr>
          <w:szCs w:val="24"/>
        </w:rPr>
      </w:pPr>
      <w:r w:rsidRPr="0001508F">
        <w:rPr>
          <w:szCs w:val="24"/>
        </w:rPr>
        <w:t>4.</w:t>
      </w:r>
      <w:r w:rsidRPr="0001508F">
        <w:rPr>
          <w:szCs w:val="24"/>
        </w:rPr>
        <w:tab/>
        <w:t>At exterior areas for assisted rescue, signage shall be provided in accordance with Section 1009.11.</w:t>
      </w:r>
    </w:p>
    <w:p w14:paraId="3B7DE8E7" w14:textId="77777777" w:rsidR="0001508F" w:rsidRPr="0001508F" w:rsidRDefault="0001508F" w:rsidP="0001508F">
      <w:pPr>
        <w:widowControl w:val="0"/>
        <w:tabs>
          <w:tab w:val="left" w:pos="720"/>
        </w:tabs>
        <w:autoSpaceDE w:val="0"/>
        <w:autoSpaceDN w:val="0"/>
        <w:adjustRightInd w:val="0"/>
        <w:spacing w:before="120" w:after="120"/>
        <w:ind w:left="720" w:hanging="360"/>
        <w:rPr>
          <w:szCs w:val="24"/>
        </w:rPr>
      </w:pPr>
      <w:r w:rsidRPr="0001508F">
        <w:rPr>
          <w:szCs w:val="24"/>
        </w:rPr>
        <w:t>5.</w:t>
      </w:r>
      <w:r w:rsidRPr="0001508F">
        <w:rPr>
          <w:szCs w:val="24"/>
        </w:rPr>
        <w:tab/>
        <w:t>At two-way communication systems, signage shall be provided in accordance with Section 1009.8.2.</w:t>
      </w:r>
    </w:p>
    <w:p w14:paraId="685CC48D" w14:textId="77777777" w:rsidR="0001508F" w:rsidRPr="0001508F" w:rsidRDefault="0001508F" w:rsidP="0001508F">
      <w:pPr>
        <w:widowControl w:val="0"/>
        <w:tabs>
          <w:tab w:val="left" w:pos="720"/>
        </w:tabs>
        <w:autoSpaceDE w:val="0"/>
        <w:autoSpaceDN w:val="0"/>
        <w:adjustRightInd w:val="0"/>
        <w:spacing w:before="120" w:after="120"/>
        <w:ind w:left="720" w:hanging="360"/>
        <w:rPr>
          <w:szCs w:val="24"/>
        </w:rPr>
      </w:pPr>
      <w:r w:rsidRPr="0001508F">
        <w:rPr>
          <w:szCs w:val="24"/>
        </w:rPr>
        <w:t>6.</w:t>
      </w:r>
      <w:r w:rsidRPr="0001508F">
        <w:rPr>
          <w:szCs w:val="24"/>
        </w:rPr>
        <w:tab/>
        <w:t>In interior exit stairways and ramps, floor level signage shall be provided in accordance with Section 1023.9.</w:t>
      </w:r>
    </w:p>
    <w:p w14:paraId="49ED3EDF" w14:textId="77777777" w:rsidR="0001508F" w:rsidRPr="0001508F" w:rsidRDefault="0001508F" w:rsidP="0001508F">
      <w:pPr>
        <w:widowControl w:val="0"/>
        <w:tabs>
          <w:tab w:val="left" w:pos="720"/>
        </w:tabs>
        <w:autoSpaceDE w:val="0"/>
        <w:autoSpaceDN w:val="0"/>
        <w:adjustRightInd w:val="0"/>
        <w:spacing w:before="120" w:after="120"/>
        <w:ind w:left="720" w:hanging="360"/>
        <w:rPr>
          <w:szCs w:val="24"/>
        </w:rPr>
      </w:pPr>
      <w:r w:rsidRPr="0001508F">
        <w:rPr>
          <w:szCs w:val="24"/>
        </w:rPr>
        <w:t>7.</w:t>
      </w:r>
      <w:r w:rsidRPr="0001508F">
        <w:rPr>
          <w:szCs w:val="24"/>
        </w:rPr>
        <w:tab/>
        <w:t>[</w:t>
      </w:r>
      <w:r w:rsidRPr="0001508F">
        <w:rPr>
          <w:strike/>
          <w:szCs w:val="24"/>
        </w:rPr>
        <w:t xml:space="preserve">At </w:t>
      </w:r>
      <w:r w:rsidRPr="0001508F">
        <w:rPr>
          <w:szCs w:val="24"/>
        </w:rPr>
        <w:t>]</w:t>
      </w:r>
      <w:r w:rsidRPr="0001508F">
        <w:rPr>
          <w:szCs w:val="24"/>
          <w:u w:val="single"/>
        </w:rPr>
        <w:t xml:space="preserve">In accordance with Section 306.2.3 of the </w:t>
      </w:r>
      <w:r w:rsidRPr="0001508F">
        <w:rPr>
          <w:i/>
          <w:iCs/>
          <w:szCs w:val="24"/>
          <w:u w:val="single"/>
        </w:rPr>
        <w:t>New York City Existing Building Code</w:t>
      </w:r>
      <w:r w:rsidRPr="0001508F">
        <w:rPr>
          <w:szCs w:val="24"/>
          <w:u w:val="single"/>
        </w:rPr>
        <w:t>,</w:t>
      </w:r>
      <w:r w:rsidRPr="0001508F">
        <w:rPr>
          <w:szCs w:val="24"/>
        </w:rPr>
        <w:t xml:space="preserve"> prior code buildings with one or more inaccessible entrances, signage stating that a portable ramp is available, if provided by the building, shall be provided at each inaccessible building entrance and shall contain the phone number to request such ramp. The use of a portable ramp by any building must comply with all applicable laws and any such ramp shall comply with Section 405 (Ramps) of ICC A117.1, except to the extent the commissioner has waived a requirement pursuant to section 28-313.3.1 of the</w:t>
      </w:r>
      <w:r w:rsidRPr="0001508F">
        <w:rPr>
          <w:szCs w:val="24"/>
          <w:u w:val="single"/>
        </w:rPr>
        <w:t xml:space="preserve"> </w:t>
      </w:r>
      <w:r w:rsidRPr="0001508F">
        <w:rPr>
          <w:i/>
          <w:iCs/>
          <w:szCs w:val="24"/>
        </w:rPr>
        <w:t>Administrative Code</w:t>
      </w:r>
      <w:r w:rsidRPr="0001508F">
        <w:rPr>
          <w:szCs w:val="24"/>
        </w:rPr>
        <w:t>. All signage posted pursuant to this section shall comply with Section [</w:t>
      </w:r>
      <w:r w:rsidRPr="0001508F">
        <w:rPr>
          <w:strike/>
          <w:szCs w:val="24"/>
        </w:rPr>
        <w:t>1110</w:t>
      </w:r>
      <w:r w:rsidRPr="0001508F">
        <w:rPr>
          <w:szCs w:val="24"/>
        </w:rPr>
        <w:t xml:space="preserve">] </w:t>
      </w:r>
      <w:r w:rsidRPr="0001508F">
        <w:rPr>
          <w:szCs w:val="24"/>
          <w:u w:val="single"/>
        </w:rPr>
        <w:t>1111</w:t>
      </w:r>
      <w:r w:rsidRPr="0001508F">
        <w:rPr>
          <w:szCs w:val="24"/>
        </w:rPr>
        <w:t xml:space="preserve"> and be maintained in good condition. Nothing in this section shall be construed to authorize the provision of a portable ramp where such provision would not otherwise be lawful.</w:t>
      </w:r>
    </w:p>
    <w:p w14:paraId="2D91CF33" w14:textId="77777777" w:rsidR="0001508F" w:rsidRPr="0001508F" w:rsidRDefault="0001508F" w:rsidP="0001508F">
      <w:pPr>
        <w:widowControl w:val="0"/>
        <w:tabs>
          <w:tab w:val="left" w:pos="720"/>
        </w:tabs>
        <w:autoSpaceDE w:val="0"/>
        <w:autoSpaceDN w:val="0"/>
        <w:adjustRightInd w:val="0"/>
        <w:spacing w:before="120" w:after="120"/>
        <w:ind w:left="720" w:hanging="360"/>
        <w:rPr>
          <w:szCs w:val="24"/>
        </w:rPr>
      </w:pPr>
      <w:r w:rsidRPr="0001508F">
        <w:rPr>
          <w:szCs w:val="24"/>
        </w:rPr>
        <w:t>8.</w:t>
      </w:r>
      <w:r w:rsidRPr="0001508F">
        <w:rPr>
          <w:szCs w:val="24"/>
        </w:rPr>
        <w:tab/>
        <w:t>Signs identifying the type of access provided on amusement rides required to be accessible by Section 1110.4.8 shall be provided at entries to queues and waiting lines. In addition, where accessible unload areas also serve as accessible load areas, signs indicating the location of the accessible load and unload areas shall be provided at entries to queues and waiting lines. These directional sign characters shall meet the visual character requirements in accordance with Section 703.2 (Visual Characters) of ICC A117.1.</w:t>
      </w:r>
    </w:p>
    <w:p w14:paraId="4DC6975E" w14:textId="77777777" w:rsidR="0001508F" w:rsidRPr="0001508F" w:rsidRDefault="0001508F" w:rsidP="0001508F">
      <w:pPr>
        <w:widowControl w:val="0"/>
        <w:tabs>
          <w:tab w:val="left" w:pos="-2790"/>
        </w:tabs>
        <w:autoSpaceDE w:val="0"/>
        <w:autoSpaceDN w:val="0"/>
        <w:adjustRightInd w:val="0"/>
        <w:spacing w:before="120" w:after="120" w:line="480" w:lineRule="auto"/>
        <w:ind w:firstLine="720"/>
        <w:rPr>
          <w:spacing w:val="1"/>
          <w:szCs w:val="24"/>
        </w:rPr>
      </w:pPr>
      <w:r w:rsidRPr="0001508F">
        <w:rPr>
          <w:bCs/>
          <w:szCs w:val="24"/>
        </w:rPr>
        <w:t>§ 70. Chapter 15 of the New York city building code is amended by adding a new section 1505.1.1 to read as follows:</w:t>
      </w:r>
    </w:p>
    <w:p w14:paraId="56A9C1B2" w14:textId="77777777" w:rsidR="0001508F" w:rsidRPr="0001508F" w:rsidRDefault="0001508F" w:rsidP="0001508F">
      <w:pPr>
        <w:widowControl w:val="0"/>
        <w:spacing w:before="120" w:after="120"/>
        <w:rPr>
          <w:rFonts w:eastAsia="SimSun"/>
          <w:b/>
          <w:bCs/>
          <w:szCs w:val="24"/>
        </w:rPr>
      </w:pPr>
      <w:r w:rsidRPr="0001508F">
        <w:rPr>
          <w:b/>
          <w:bCs/>
          <w:szCs w:val="24"/>
          <w:u w:val="single"/>
        </w:rPr>
        <w:t xml:space="preserve">1505.1.1 Roof covering in fire district. </w:t>
      </w:r>
      <w:r w:rsidRPr="0001508F">
        <w:rPr>
          <w:spacing w:val="1"/>
          <w:szCs w:val="24"/>
          <w:u w:val="single"/>
        </w:rPr>
        <w:t>Roof coverings in the fire district shall conform to the requirements of Class A or B roof cov</w:t>
      </w:r>
      <w:r w:rsidRPr="0001508F">
        <w:rPr>
          <w:spacing w:val="1"/>
          <w:szCs w:val="24"/>
          <w:u w:val="single"/>
        </w:rPr>
        <w:softHyphen/>
        <w:t>erings of Table 1505.1.</w:t>
      </w:r>
    </w:p>
    <w:p w14:paraId="4978AD9E" w14:textId="77777777" w:rsidR="0001508F" w:rsidRPr="0001508F" w:rsidRDefault="0001508F" w:rsidP="0001508F">
      <w:pPr>
        <w:widowControl w:val="0"/>
        <w:tabs>
          <w:tab w:val="left" w:pos="-2790"/>
        </w:tabs>
        <w:autoSpaceDE w:val="0"/>
        <w:autoSpaceDN w:val="0"/>
        <w:adjustRightInd w:val="0"/>
        <w:spacing w:before="120" w:after="120" w:line="480" w:lineRule="auto"/>
        <w:ind w:firstLine="720"/>
        <w:rPr>
          <w:spacing w:val="1"/>
          <w:szCs w:val="24"/>
        </w:rPr>
      </w:pPr>
      <w:r w:rsidRPr="0001508F">
        <w:rPr>
          <w:bCs/>
          <w:szCs w:val="24"/>
        </w:rPr>
        <w:t>§ 69. Section 1601.2 of the New York city building code, as added by local law number 126 for the year 2021, is amended to read as follows:</w:t>
      </w:r>
    </w:p>
    <w:p w14:paraId="35A96C14" w14:textId="77777777" w:rsidR="0001508F" w:rsidRPr="0001508F" w:rsidRDefault="0001508F" w:rsidP="0001508F">
      <w:pPr>
        <w:spacing w:before="120" w:after="120"/>
        <w:rPr>
          <w:spacing w:val="2"/>
          <w:szCs w:val="24"/>
          <w:u w:val="single"/>
        </w:rPr>
      </w:pPr>
      <w:r w:rsidRPr="0001508F">
        <w:rPr>
          <w:b/>
          <w:spacing w:val="2"/>
          <w:szCs w:val="24"/>
        </w:rPr>
        <w:t>1601.2 [</w:t>
      </w:r>
      <w:r w:rsidRPr="0001508F">
        <w:rPr>
          <w:b/>
          <w:strike/>
          <w:spacing w:val="2"/>
          <w:szCs w:val="24"/>
        </w:rPr>
        <w:t>Special provisions for prior code</w:t>
      </w:r>
      <w:r w:rsidRPr="0001508F">
        <w:rPr>
          <w:b/>
          <w:spacing w:val="2"/>
          <w:szCs w:val="24"/>
        </w:rPr>
        <w:t>]</w:t>
      </w:r>
      <w:r w:rsidRPr="0001508F">
        <w:rPr>
          <w:b/>
          <w:spacing w:val="2"/>
          <w:szCs w:val="24"/>
          <w:u w:val="single"/>
        </w:rPr>
        <w:t>Existing</w:t>
      </w:r>
      <w:r w:rsidRPr="0001508F">
        <w:rPr>
          <w:b/>
          <w:spacing w:val="2"/>
          <w:szCs w:val="24"/>
        </w:rPr>
        <w:t xml:space="preserve"> buildings.</w:t>
      </w:r>
      <w:r w:rsidRPr="0001508F">
        <w:rPr>
          <w:spacing w:val="2"/>
          <w:szCs w:val="24"/>
        </w:rPr>
        <w:t xml:space="preserve"> [</w:t>
      </w:r>
      <w:r w:rsidRPr="0001508F">
        <w:rPr>
          <w:strike/>
          <w:spacing w:val="2"/>
          <w:szCs w:val="24"/>
        </w:rPr>
        <w:t>The provisions of Sections 1601.2.1 through 1601.2.4 shall apply to structural work on prior code buildings.</w:t>
      </w:r>
      <w:r w:rsidRPr="0001508F">
        <w:rPr>
          <w:spacing w:val="2"/>
          <w:szCs w:val="24"/>
        </w:rPr>
        <w:t>]</w:t>
      </w:r>
      <w:r w:rsidRPr="0001508F">
        <w:rPr>
          <w:spacing w:val="2"/>
          <w:szCs w:val="24"/>
          <w:u w:val="single"/>
        </w:rPr>
        <w:t xml:space="preserve">Alterations, additions, changes of use or occupancy and relocation, moving or raising of existing buildings shall comply with Chapter 7 of the </w:t>
      </w:r>
      <w:r w:rsidRPr="0001508F">
        <w:rPr>
          <w:i/>
          <w:iCs/>
          <w:spacing w:val="2"/>
          <w:szCs w:val="24"/>
          <w:u w:val="single"/>
        </w:rPr>
        <w:t>New York Existing Building Code</w:t>
      </w:r>
      <w:r w:rsidRPr="0001508F">
        <w:rPr>
          <w:spacing w:val="2"/>
          <w:szCs w:val="24"/>
          <w:u w:val="single"/>
        </w:rPr>
        <w:t xml:space="preserve">. This chapter shall apply to structural alterations made to existing buildings as described by Section 701.1 of the </w:t>
      </w:r>
      <w:r w:rsidRPr="0001508F">
        <w:rPr>
          <w:i/>
          <w:iCs/>
          <w:spacing w:val="2"/>
          <w:szCs w:val="24"/>
          <w:u w:val="single"/>
        </w:rPr>
        <w:t>New York Existing Building Code</w:t>
      </w:r>
      <w:r w:rsidRPr="0001508F">
        <w:rPr>
          <w:spacing w:val="2"/>
          <w:szCs w:val="24"/>
          <w:u w:val="single"/>
        </w:rPr>
        <w:t>.</w:t>
      </w:r>
    </w:p>
    <w:p w14:paraId="3FA40166" w14:textId="77777777" w:rsidR="0001508F" w:rsidRPr="0001508F" w:rsidRDefault="0001508F" w:rsidP="0001508F">
      <w:pPr>
        <w:spacing w:before="120" w:after="120"/>
        <w:rPr>
          <w:spacing w:val="2"/>
          <w:szCs w:val="24"/>
          <w:u w:val="single"/>
        </w:rPr>
      </w:pPr>
    </w:p>
    <w:p w14:paraId="11D6807F" w14:textId="77777777" w:rsidR="0001508F" w:rsidRPr="0001508F" w:rsidRDefault="0001508F" w:rsidP="0001508F">
      <w:pPr>
        <w:widowControl w:val="0"/>
        <w:tabs>
          <w:tab w:val="left" w:pos="-2790"/>
        </w:tabs>
        <w:autoSpaceDE w:val="0"/>
        <w:autoSpaceDN w:val="0"/>
        <w:adjustRightInd w:val="0"/>
        <w:spacing w:before="120" w:after="120" w:line="480" w:lineRule="auto"/>
        <w:ind w:firstLine="720"/>
        <w:rPr>
          <w:spacing w:val="1"/>
          <w:szCs w:val="24"/>
        </w:rPr>
      </w:pPr>
      <w:r w:rsidRPr="0001508F">
        <w:rPr>
          <w:bCs/>
          <w:szCs w:val="24"/>
        </w:rPr>
        <w:t>§ 69. Sections 1601.2.1, 1601.2.2, 1601.2.3, and 1601.2.4 of the New York city building code are REPEALED.</w:t>
      </w:r>
    </w:p>
    <w:p w14:paraId="6D0C44D4" w14:textId="77777777" w:rsidR="0001508F" w:rsidRPr="0001508F" w:rsidRDefault="0001508F" w:rsidP="0001508F">
      <w:pPr>
        <w:spacing w:before="120" w:after="120"/>
        <w:rPr>
          <w:spacing w:val="2"/>
          <w:szCs w:val="24"/>
          <w:u w:val="single"/>
        </w:rPr>
      </w:pPr>
    </w:p>
    <w:p w14:paraId="0AB957CE" w14:textId="77777777" w:rsidR="0001508F" w:rsidRPr="0001508F" w:rsidRDefault="0001508F" w:rsidP="0001508F">
      <w:pPr>
        <w:spacing w:before="120" w:after="120"/>
        <w:ind w:left="360"/>
        <w:rPr>
          <w:spacing w:val="2"/>
          <w:szCs w:val="24"/>
        </w:rPr>
      </w:pPr>
    </w:p>
    <w:p w14:paraId="036A24C6" w14:textId="77777777" w:rsidR="0001508F" w:rsidRPr="0001508F" w:rsidRDefault="0001508F" w:rsidP="0001508F">
      <w:pPr>
        <w:widowControl w:val="0"/>
        <w:tabs>
          <w:tab w:val="left" w:pos="-2790"/>
        </w:tabs>
        <w:autoSpaceDE w:val="0"/>
        <w:autoSpaceDN w:val="0"/>
        <w:adjustRightInd w:val="0"/>
        <w:spacing w:before="120" w:after="120" w:line="480" w:lineRule="auto"/>
        <w:ind w:firstLine="720"/>
        <w:rPr>
          <w:spacing w:val="1"/>
          <w:szCs w:val="24"/>
        </w:rPr>
      </w:pPr>
      <w:r w:rsidRPr="0001508F">
        <w:rPr>
          <w:bCs/>
          <w:szCs w:val="24"/>
        </w:rPr>
        <w:t>§ 70. Sections 1705.25.6 of the New York city building code, as amended by local law number 126 for the year 2021, is amended to read as follows:</w:t>
      </w:r>
    </w:p>
    <w:p w14:paraId="1A11767B" w14:textId="77777777" w:rsidR="0001508F" w:rsidRPr="0001508F" w:rsidRDefault="0001508F" w:rsidP="0001508F">
      <w:pPr>
        <w:widowControl w:val="0"/>
        <w:spacing w:before="120" w:after="120"/>
        <w:ind w:left="360"/>
        <w:rPr>
          <w:rFonts w:eastAsia="Calibri"/>
          <w:szCs w:val="24"/>
        </w:rPr>
      </w:pPr>
      <w:r w:rsidRPr="0001508F">
        <w:rPr>
          <w:rFonts w:eastAsia="Calibri"/>
          <w:b/>
          <w:szCs w:val="24"/>
        </w:rPr>
        <w:t>1</w:t>
      </w:r>
      <w:r w:rsidRPr="0001508F">
        <w:rPr>
          <w:rFonts w:eastAsia="Calibri"/>
          <w:b/>
          <w:bCs/>
          <w:szCs w:val="24"/>
        </w:rPr>
        <w:t>705.25.6 [</w:t>
      </w:r>
      <w:r w:rsidRPr="0001508F">
        <w:rPr>
          <w:rFonts w:eastAsia="Calibri"/>
          <w:b/>
          <w:strike/>
          <w:szCs w:val="24"/>
        </w:rPr>
        <w:t>Raising and</w:t>
      </w:r>
      <w:r w:rsidRPr="0001508F">
        <w:rPr>
          <w:rFonts w:eastAsia="Calibri"/>
          <w:b/>
          <w:szCs w:val="24"/>
        </w:rPr>
        <w:t xml:space="preserve">] </w:t>
      </w:r>
      <w:r w:rsidRPr="0001508F">
        <w:rPr>
          <w:rFonts w:eastAsia="Calibri"/>
          <w:b/>
          <w:bCs/>
          <w:szCs w:val="24"/>
          <w:u w:val="single"/>
        </w:rPr>
        <w:t xml:space="preserve">Relocating, </w:t>
      </w:r>
      <w:r w:rsidRPr="0001508F">
        <w:rPr>
          <w:rFonts w:eastAsia="Calibri"/>
          <w:b/>
          <w:szCs w:val="24"/>
        </w:rPr>
        <w:t xml:space="preserve">moving </w:t>
      </w:r>
      <w:r w:rsidRPr="0001508F">
        <w:rPr>
          <w:rFonts w:eastAsia="Calibri"/>
          <w:b/>
          <w:szCs w:val="24"/>
          <w:u w:val="single"/>
        </w:rPr>
        <w:t xml:space="preserve">and raising </w:t>
      </w:r>
      <w:r w:rsidRPr="0001508F">
        <w:rPr>
          <w:rFonts w:eastAsia="Calibri"/>
          <w:b/>
          <w:szCs w:val="24"/>
        </w:rPr>
        <w:t xml:space="preserve">of a building. </w:t>
      </w:r>
      <w:r w:rsidRPr="0001508F">
        <w:rPr>
          <w:rFonts w:eastAsia="Calibri"/>
          <w:szCs w:val="24"/>
        </w:rPr>
        <w:t xml:space="preserve">A periodic special inspection shall be required in accordance with Sections 1705.25.7 through 1705.25.10 where </w:t>
      </w:r>
      <w:r w:rsidRPr="0001508F">
        <w:rPr>
          <w:rFonts w:eastAsia="Calibri"/>
          <w:szCs w:val="24"/>
          <w:u w:val="single"/>
        </w:rPr>
        <w:t>an existing building is being relocated, moved or</w:t>
      </w:r>
      <w:r w:rsidRPr="0001508F">
        <w:rPr>
          <w:rFonts w:eastAsia="Calibri"/>
          <w:szCs w:val="24"/>
        </w:rPr>
        <w:t xml:space="preserve"> the lowest above-grade floor or the lowest subgrade floor of a building is to be raised, lifted[</w:t>
      </w:r>
      <w:r w:rsidRPr="0001508F">
        <w:rPr>
          <w:rFonts w:eastAsia="Calibri"/>
          <w:strike/>
          <w:szCs w:val="24"/>
        </w:rPr>
        <w:t>,</w:t>
      </w:r>
      <w:r w:rsidRPr="0001508F">
        <w:rPr>
          <w:rFonts w:eastAsia="Calibri"/>
          <w:szCs w:val="24"/>
        </w:rPr>
        <w:t xml:space="preserve">] </w:t>
      </w:r>
      <w:r w:rsidRPr="0001508F">
        <w:rPr>
          <w:rFonts w:eastAsia="Calibri"/>
          <w:szCs w:val="24"/>
          <w:u w:val="single"/>
        </w:rPr>
        <w:t xml:space="preserve">or </w:t>
      </w:r>
      <w:r w:rsidRPr="0001508F">
        <w:rPr>
          <w:rFonts w:eastAsia="Calibri"/>
          <w:szCs w:val="24"/>
        </w:rPr>
        <w:t>elevated[</w:t>
      </w:r>
      <w:r w:rsidRPr="0001508F">
        <w:rPr>
          <w:rFonts w:eastAsia="Calibri"/>
          <w:strike/>
          <w:szCs w:val="24"/>
        </w:rPr>
        <w:t xml:space="preserve"> or moved</w:t>
      </w:r>
      <w:r w:rsidRPr="0001508F">
        <w:rPr>
          <w:rFonts w:eastAsia="Calibri"/>
          <w:szCs w:val="24"/>
        </w:rPr>
        <w:t>].</w:t>
      </w:r>
    </w:p>
    <w:p w14:paraId="2AFB0927" w14:textId="77777777" w:rsidR="0001508F" w:rsidRPr="0001508F" w:rsidRDefault="0001508F" w:rsidP="0001508F">
      <w:pPr>
        <w:widowControl w:val="0"/>
        <w:tabs>
          <w:tab w:val="left" w:pos="-2790"/>
        </w:tabs>
        <w:autoSpaceDE w:val="0"/>
        <w:autoSpaceDN w:val="0"/>
        <w:adjustRightInd w:val="0"/>
        <w:spacing w:before="120" w:after="120" w:line="480" w:lineRule="auto"/>
        <w:ind w:firstLine="720"/>
        <w:rPr>
          <w:spacing w:val="1"/>
          <w:szCs w:val="24"/>
        </w:rPr>
      </w:pPr>
      <w:r w:rsidRPr="0001508F">
        <w:rPr>
          <w:bCs/>
          <w:szCs w:val="24"/>
        </w:rPr>
        <w:t>§ 70. Sections 2401.2 of the New York city building code, as amended by local law number 126 for the year 2021, is amended to read as follows:</w:t>
      </w:r>
    </w:p>
    <w:p w14:paraId="7B9AE70B" w14:textId="77777777" w:rsidR="0001508F" w:rsidRPr="0001508F" w:rsidRDefault="0001508F" w:rsidP="0001508F">
      <w:pPr>
        <w:widowControl w:val="0"/>
        <w:spacing w:before="120" w:after="120"/>
        <w:rPr>
          <w:spacing w:val="1"/>
          <w:szCs w:val="24"/>
        </w:rPr>
      </w:pPr>
      <w:r w:rsidRPr="0001508F">
        <w:rPr>
          <w:b/>
          <w:bCs/>
          <w:szCs w:val="24"/>
        </w:rPr>
        <w:t xml:space="preserve">2401.2 Glazing replacement. </w:t>
      </w:r>
      <w:r w:rsidRPr="0001508F">
        <w:rPr>
          <w:szCs w:val="24"/>
        </w:rPr>
        <w:t>The installation of replacement glass shall be as required for new installations.</w:t>
      </w:r>
      <w:r w:rsidRPr="0001508F">
        <w:rPr>
          <w:spacing w:val="1"/>
          <w:szCs w:val="24"/>
        </w:rPr>
        <w:t xml:space="preserve"> See [</w:t>
      </w:r>
      <w:r w:rsidRPr="0001508F">
        <w:rPr>
          <w:strike/>
          <w:spacing w:val="1"/>
          <w:szCs w:val="24"/>
        </w:rPr>
        <w:t>Sections 28-101.4.1, 28-101.4.2, 28-101.4.3 and 28-101.4.4</w:t>
      </w:r>
      <w:r w:rsidRPr="0001508F">
        <w:rPr>
          <w:spacing w:val="1"/>
          <w:szCs w:val="24"/>
        </w:rPr>
        <w:t xml:space="preserve">] </w:t>
      </w:r>
      <w:r w:rsidRPr="0001508F">
        <w:rPr>
          <w:spacing w:val="1"/>
          <w:szCs w:val="24"/>
          <w:u w:val="single"/>
        </w:rPr>
        <w:t xml:space="preserve">the </w:t>
      </w:r>
      <w:r w:rsidRPr="0001508F">
        <w:rPr>
          <w:i/>
          <w:iCs/>
          <w:spacing w:val="1"/>
          <w:szCs w:val="24"/>
          <w:u w:val="single"/>
        </w:rPr>
        <w:t>New York City Existing Building Code</w:t>
      </w:r>
      <w:r w:rsidRPr="0001508F">
        <w:rPr>
          <w:spacing w:val="1"/>
          <w:szCs w:val="24"/>
          <w:u w:val="single"/>
        </w:rPr>
        <w:t xml:space="preserve"> for </w:t>
      </w:r>
      <w:r w:rsidRPr="0001508F">
        <w:rPr>
          <w:spacing w:val="1"/>
          <w:szCs w:val="24"/>
        </w:rPr>
        <w:t>requirements relating to existing buildings.</w:t>
      </w:r>
    </w:p>
    <w:p w14:paraId="009E94F3" w14:textId="77777777" w:rsidR="0001508F" w:rsidRPr="0001508F" w:rsidRDefault="0001508F" w:rsidP="0001508F">
      <w:pPr>
        <w:spacing w:before="120" w:after="120"/>
        <w:ind w:left="360"/>
        <w:rPr>
          <w:spacing w:val="1"/>
          <w:szCs w:val="24"/>
          <w:u w:val="single"/>
        </w:rPr>
      </w:pPr>
      <w:r w:rsidRPr="0001508F">
        <w:rPr>
          <w:b/>
          <w:spacing w:val="1"/>
          <w:szCs w:val="24"/>
        </w:rPr>
        <w:t>Exception:</w:t>
      </w:r>
      <w:r w:rsidRPr="0001508F">
        <w:rPr>
          <w:spacing w:val="1"/>
          <w:szCs w:val="24"/>
        </w:rPr>
        <w:t xml:space="preserve"> Permit or inspection is not required for certain glazing repair or replacement work as [</w:t>
      </w:r>
      <w:r w:rsidRPr="0001508F">
        <w:rPr>
          <w:strike/>
          <w:spacing w:val="1"/>
          <w:szCs w:val="24"/>
        </w:rPr>
        <w:t>described in Title 1 of the Rules</w:t>
      </w:r>
      <w:r w:rsidRPr="0001508F">
        <w:rPr>
          <w:spacing w:val="1"/>
          <w:szCs w:val="24"/>
          <w:u w:val="single"/>
        </w:rPr>
        <w:t xml:space="preserve">]described in Chapter 4 </w:t>
      </w:r>
      <w:r w:rsidRPr="0001508F">
        <w:rPr>
          <w:spacing w:val="1"/>
          <w:szCs w:val="24"/>
        </w:rPr>
        <w:t>of the [</w:t>
      </w:r>
      <w:r w:rsidRPr="0001508F">
        <w:rPr>
          <w:strike/>
          <w:spacing w:val="1"/>
          <w:szCs w:val="24"/>
        </w:rPr>
        <w:t xml:space="preserve">City of </w:t>
      </w:r>
      <w:r w:rsidRPr="0001508F">
        <w:rPr>
          <w:spacing w:val="1"/>
          <w:szCs w:val="24"/>
        </w:rPr>
        <w:t>]</w:t>
      </w:r>
      <w:r w:rsidRPr="0001508F">
        <w:rPr>
          <w:i/>
          <w:iCs/>
          <w:spacing w:val="1"/>
          <w:szCs w:val="24"/>
        </w:rPr>
        <w:t xml:space="preserve">New York </w:t>
      </w:r>
      <w:r w:rsidRPr="0001508F">
        <w:rPr>
          <w:i/>
          <w:iCs/>
          <w:spacing w:val="1"/>
          <w:szCs w:val="24"/>
          <w:u w:val="single"/>
        </w:rPr>
        <w:t>City Existing Building Code</w:t>
      </w:r>
      <w:r w:rsidRPr="0001508F">
        <w:rPr>
          <w:spacing w:val="1"/>
          <w:szCs w:val="24"/>
          <w:u w:val="single"/>
        </w:rPr>
        <w:t>.</w:t>
      </w:r>
    </w:p>
    <w:p w14:paraId="5EC4DCCE" w14:textId="77777777" w:rsidR="0001508F" w:rsidRPr="0001508F" w:rsidRDefault="0001508F" w:rsidP="0001508F">
      <w:pPr>
        <w:widowControl w:val="0"/>
        <w:tabs>
          <w:tab w:val="left" w:pos="-2790"/>
        </w:tabs>
        <w:autoSpaceDE w:val="0"/>
        <w:autoSpaceDN w:val="0"/>
        <w:adjustRightInd w:val="0"/>
        <w:spacing w:before="120" w:after="120" w:line="480" w:lineRule="auto"/>
        <w:ind w:firstLine="720"/>
        <w:rPr>
          <w:spacing w:val="1"/>
          <w:szCs w:val="24"/>
        </w:rPr>
      </w:pPr>
      <w:r w:rsidRPr="0001508F">
        <w:rPr>
          <w:bCs/>
          <w:szCs w:val="24"/>
        </w:rPr>
        <w:t>§ 71. Chapter 27 of the New York city building code is amended by adding a new section 2701.1.1 to read as follows:</w:t>
      </w:r>
    </w:p>
    <w:p w14:paraId="4157C352" w14:textId="77777777" w:rsidR="0001508F" w:rsidRPr="0001508F" w:rsidRDefault="0001508F" w:rsidP="0001508F">
      <w:pPr>
        <w:widowControl w:val="0"/>
        <w:spacing w:before="120" w:after="120"/>
        <w:ind w:left="360"/>
        <w:rPr>
          <w:b/>
          <w:bCs/>
          <w:szCs w:val="24"/>
        </w:rPr>
      </w:pPr>
      <w:r w:rsidRPr="0001508F">
        <w:rPr>
          <w:b/>
          <w:bCs/>
          <w:szCs w:val="24"/>
          <w:u w:val="single"/>
        </w:rPr>
        <w:t xml:space="preserve">2701.1.1 Existing buildings. </w:t>
      </w:r>
      <w:r w:rsidRPr="0001508F">
        <w:rPr>
          <w:szCs w:val="24"/>
          <w:u w:val="single"/>
        </w:rPr>
        <w:t xml:space="preserve">Existing buildings and additions to existing buildings shall be subject to the </w:t>
      </w:r>
      <w:r w:rsidRPr="0001508F">
        <w:rPr>
          <w:i/>
          <w:iCs/>
          <w:szCs w:val="24"/>
          <w:u w:val="single"/>
        </w:rPr>
        <w:t>New York City Existing Building Code</w:t>
      </w:r>
      <w:r w:rsidRPr="0001508F">
        <w:rPr>
          <w:szCs w:val="24"/>
          <w:u w:val="single"/>
        </w:rPr>
        <w:t xml:space="preserve"> and this chapter, as referenced by such code.</w:t>
      </w:r>
    </w:p>
    <w:p w14:paraId="5EED0916" w14:textId="77777777" w:rsidR="0001508F" w:rsidRPr="0001508F" w:rsidRDefault="0001508F" w:rsidP="0001508F">
      <w:pPr>
        <w:widowControl w:val="0"/>
        <w:tabs>
          <w:tab w:val="left" w:pos="-2790"/>
        </w:tabs>
        <w:autoSpaceDE w:val="0"/>
        <w:autoSpaceDN w:val="0"/>
        <w:adjustRightInd w:val="0"/>
        <w:spacing w:before="120" w:after="120" w:line="480" w:lineRule="auto"/>
        <w:ind w:firstLine="720"/>
        <w:rPr>
          <w:spacing w:val="1"/>
          <w:szCs w:val="24"/>
        </w:rPr>
      </w:pPr>
      <w:r w:rsidRPr="0001508F">
        <w:rPr>
          <w:bCs/>
          <w:szCs w:val="24"/>
        </w:rPr>
        <w:t>§ 72. The title of section 2702 of the New York city building code, as amended by local law number 126 for the year 2021, is amended to read as follows:</w:t>
      </w:r>
    </w:p>
    <w:p w14:paraId="46828B33" w14:textId="77777777" w:rsidR="0001508F" w:rsidRPr="0001508F" w:rsidRDefault="0001508F" w:rsidP="0001508F">
      <w:pPr>
        <w:rPr>
          <w:szCs w:val="24"/>
        </w:rPr>
      </w:pPr>
    </w:p>
    <w:p w14:paraId="1923072F" w14:textId="77777777" w:rsidR="0001508F" w:rsidRPr="0001508F" w:rsidRDefault="0001508F" w:rsidP="0001508F">
      <w:pPr>
        <w:jc w:val="center"/>
        <w:rPr>
          <w:b/>
          <w:bCs/>
          <w:szCs w:val="24"/>
        </w:rPr>
      </w:pPr>
      <w:r w:rsidRPr="0001508F">
        <w:rPr>
          <w:b/>
          <w:bCs/>
          <w:szCs w:val="24"/>
        </w:rPr>
        <w:t>SECTION BC 2702</w:t>
      </w:r>
    </w:p>
    <w:p w14:paraId="6FD75FE0" w14:textId="77777777" w:rsidR="0001508F" w:rsidRPr="0001508F" w:rsidRDefault="0001508F" w:rsidP="0001508F">
      <w:pPr>
        <w:jc w:val="center"/>
        <w:rPr>
          <w:b/>
          <w:bCs/>
          <w:szCs w:val="24"/>
        </w:rPr>
      </w:pPr>
      <w:r w:rsidRPr="0001508F">
        <w:rPr>
          <w:b/>
          <w:bCs/>
          <w:szCs w:val="24"/>
        </w:rPr>
        <w:t>EMERGENCY [</w:t>
      </w:r>
      <w:r w:rsidRPr="0001508F">
        <w:rPr>
          <w:b/>
          <w:bCs/>
          <w:strike/>
          <w:szCs w:val="24"/>
        </w:rPr>
        <w:t xml:space="preserve"> AND</w:t>
      </w:r>
      <w:r w:rsidRPr="0001508F">
        <w:rPr>
          <w:b/>
          <w:bCs/>
          <w:szCs w:val="24"/>
        </w:rPr>
        <w:t>]</w:t>
      </w:r>
      <w:r w:rsidRPr="0001508F">
        <w:rPr>
          <w:b/>
          <w:bCs/>
          <w:szCs w:val="24"/>
          <w:u w:val="single"/>
        </w:rPr>
        <w:t>,</w:t>
      </w:r>
      <w:r w:rsidRPr="0001508F">
        <w:rPr>
          <w:b/>
          <w:bCs/>
          <w:szCs w:val="24"/>
        </w:rPr>
        <w:t xml:space="preserve"> STANDBY </w:t>
      </w:r>
      <w:r w:rsidRPr="0001508F">
        <w:rPr>
          <w:b/>
          <w:bCs/>
          <w:szCs w:val="24"/>
          <w:u w:val="single"/>
        </w:rPr>
        <w:t>AND OPTIONAL STANDBY</w:t>
      </w:r>
      <w:r w:rsidRPr="0001508F">
        <w:rPr>
          <w:b/>
          <w:bCs/>
          <w:szCs w:val="24"/>
        </w:rPr>
        <w:t xml:space="preserve"> POWER SYSTEMS</w:t>
      </w:r>
    </w:p>
    <w:p w14:paraId="3486115B" w14:textId="77777777" w:rsidR="0001508F" w:rsidRPr="0001508F" w:rsidRDefault="0001508F" w:rsidP="0001508F">
      <w:pPr>
        <w:rPr>
          <w:szCs w:val="24"/>
        </w:rPr>
      </w:pPr>
    </w:p>
    <w:p w14:paraId="1654A900" w14:textId="77777777" w:rsidR="0001508F" w:rsidRPr="0001508F" w:rsidRDefault="0001508F" w:rsidP="0001508F">
      <w:pPr>
        <w:widowControl w:val="0"/>
        <w:tabs>
          <w:tab w:val="left" w:pos="-2790"/>
        </w:tabs>
        <w:autoSpaceDE w:val="0"/>
        <w:autoSpaceDN w:val="0"/>
        <w:adjustRightInd w:val="0"/>
        <w:spacing w:before="120" w:after="120" w:line="480" w:lineRule="auto"/>
        <w:ind w:firstLine="720"/>
        <w:rPr>
          <w:spacing w:val="1"/>
          <w:szCs w:val="24"/>
        </w:rPr>
      </w:pPr>
      <w:r w:rsidRPr="0001508F">
        <w:rPr>
          <w:bCs/>
          <w:szCs w:val="24"/>
        </w:rPr>
        <w:t>§ 73. Sections 2702.1 and 2702.1.1 of the New York city building code, as amended by local law number 126 for the year 2021, is amended to read as follows:</w:t>
      </w:r>
    </w:p>
    <w:p w14:paraId="48E42FC7" w14:textId="77777777" w:rsidR="0001508F" w:rsidRPr="0001508F" w:rsidRDefault="0001508F" w:rsidP="0001508F">
      <w:pPr>
        <w:rPr>
          <w:bCs/>
          <w:spacing w:val="1"/>
          <w:szCs w:val="24"/>
        </w:rPr>
      </w:pPr>
      <w:r w:rsidRPr="0001508F">
        <w:rPr>
          <w:b/>
          <w:bCs/>
          <w:szCs w:val="24"/>
        </w:rPr>
        <w:t>2702.1 Installation.</w:t>
      </w:r>
      <w:r w:rsidRPr="0001508F">
        <w:rPr>
          <w:szCs w:val="24"/>
        </w:rPr>
        <w:t xml:space="preserve"> </w:t>
      </w:r>
      <w:r w:rsidRPr="0001508F">
        <w:rPr>
          <w:bCs/>
          <w:szCs w:val="24"/>
        </w:rPr>
        <w:t>Emergency power systems</w:t>
      </w:r>
      <w:r w:rsidRPr="0001508F">
        <w:rPr>
          <w:bCs/>
          <w:szCs w:val="24"/>
          <w:u w:val="single"/>
        </w:rPr>
        <w:t xml:space="preserve">, </w:t>
      </w:r>
      <w:r w:rsidRPr="0001508F">
        <w:rPr>
          <w:bCs/>
          <w:szCs w:val="24"/>
        </w:rPr>
        <w:t>[</w:t>
      </w:r>
      <w:r w:rsidRPr="0001508F">
        <w:rPr>
          <w:bCs/>
          <w:strike/>
          <w:szCs w:val="24"/>
        </w:rPr>
        <w:t xml:space="preserve">and </w:t>
      </w:r>
      <w:r w:rsidRPr="0001508F">
        <w:rPr>
          <w:bCs/>
          <w:szCs w:val="24"/>
        </w:rPr>
        <w:t>]</w:t>
      </w:r>
      <w:r w:rsidRPr="0001508F">
        <w:rPr>
          <w:bCs/>
          <w:szCs w:val="24"/>
          <w:u w:val="single"/>
        </w:rPr>
        <w:t xml:space="preserve">standby and optional </w:t>
      </w:r>
      <w:r w:rsidRPr="0001508F">
        <w:rPr>
          <w:bCs/>
          <w:szCs w:val="24"/>
        </w:rPr>
        <w:t xml:space="preserve">standby power systems shall </w:t>
      </w:r>
      <w:r w:rsidRPr="0001508F">
        <w:rPr>
          <w:bCs/>
          <w:spacing w:val="1"/>
          <w:szCs w:val="24"/>
        </w:rPr>
        <w:t xml:space="preserve">be installed in accordance with the </w:t>
      </w:r>
      <w:r w:rsidRPr="0001508F">
        <w:rPr>
          <w:bCs/>
          <w:i/>
          <w:iCs/>
          <w:spacing w:val="1"/>
          <w:szCs w:val="24"/>
        </w:rPr>
        <w:t>New York City Electrical Code</w:t>
      </w:r>
      <w:r w:rsidRPr="0001508F">
        <w:rPr>
          <w:bCs/>
          <w:spacing w:val="1"/>
          <w:szCs w:val="24"/>
        </w:rPr>
        <w:t>, NFPA 110 and NFPA 111.</w:t>
      </w:r>
    </w:p>
    <w:p w14:paraId="7509C9C5" w14:textId="77777777" w:rsidR="0001508F" w:rsidRPr="0001508F" w:rsidRDefault="0001508F" w:rsidP="0001508F">
      <w:pPr>
        <w:widowControl w:val="0"/>
        <w:autoSpaceDE w:val="0"/>
        <w:autoSpaceDN w:val="0"/>
        <w:adjustRightInd w:val="0"/>
        <w:spacing w:before="120" w:after="120"/>
        <w:ind w:left="360"/>
        <w:rPr>
          <w:spacing w:val="1"/>
          <w:szCs w:val="24"/>
        </w:rPr>
      </w:pPr>
      <w:r w:rsidRPr="0001508F">
        <w:rPr>
          <w:b/>
          <w:bCs/>
          <w:szCs w:val="24"/>
        </w:rPr>
        <w:t>2702.1.1 Fuel supply.</w:t>
      </w:r>
      <w:r w:rsidRPr="0001508F">
        <w:rPr>
          <w:bCs/>
          <w:szCs w:val="24"/>
        </w:rPr>
        <w:t xml:space="preserve"> Systems relying on fuel supplies shall have an on-premises fuel supply sufficient for not less than 6-hour full-demand operation of the system. However, natural gas from the public utility street main shall be permitted as the sole fuel supply for (i) emergency power systems serving Group R-2 occupancies, (ii) emergency power systems where permitted by Appendix G of this code, </w:t>
      </w:r>
      <w:r w:rsidRPr="0001508F">
        <w:rPr>
          <w:szCs w:val="24"/>
        </w:rPr>
        <w:t>[</w:t>
      </w:r>
      <w:r w:rsidRPr="0001508F">
        <w:rPr>
          <w:strike/>
          <w:szCs w:val="24"/>
        </w:rPr>
        <w:t>and</w:t>
      </w:r>
      <w:r w:rsidRPr="0001508F">
        <w:rPr>
          <w:szCs w:val="24"/>
        </w:rPr>
        <w:t>]</w:t>
      </w:r>
      <w:r w:rsidRPr="0001508F">
        <w:rPr>
          <w:bCs/>
          <w:szCs w:val="24"/>
        </w:rPr>
        <w:t xml:space="preserve"> (iii) standby power systems</w:t>
      </w:r>
      <w:r w:rsidRPr="0001508F">
        <w:rPr>
          <w:bCs/>
          <w:szCs w:val="24"/>
          <w:u w:val="single"/>
        </w:rPr>
        <w:t xml:space="preserve"> and optional standby power systems supplying emergency or standby loads</w:t>
      </w:r>
      <w:r w:rsidRPr="0001508F">
        <w:rPr>
          <w:bCs/>
          <w:szCs w:val="24"/>
        </w:rPr>
        <w:t xml:space="preserve">, provided that an outside gas cut-off valve separate from other gas services is installed in accordance with Section E.6 of Appendix E of the </w:t>
      </w:r>
      <w:r w:rsidRPr="0001508F">
        <w:rPr>
          <w:bCs/>
          <w:i/>
          <w:iCs/>
          <w:szCs w:val="24"/>
        </w:rPr>
        <w:t>New York City Fuel Gas Code</w:t>
      </w:r>
      <w:r w:rsidRPr="0001508F">
        <w:rPr>
          <w:bCs/>
          <w:szCs w:val="24"/>
          <w:u w:val="single"/>
        </w:rPr>
        <w:t xml:space="preserve">, and (iv) optional standby power systems if such optional </w:t>
      </w:r>
      <w:r w:rsidRPr="0001508F">
        <w:rPr>
          <w:szCs w:val="24"/>
          <w:u w:val="single"/>
        </w:rPr>
        <w:t>standby power system is supplying only optional standby loads</w:t>
      </w:r>
      <w:r w:rsidRPr="0001508F">
        <w:rPr>
          <w:szCs w:val="24"/>
        </w:rPr>
        <w:t>.</w:t>
      </w:r>
    </w:p>
    <w:p w14:paraId="138E7AAA" w14:textId="77777777" w:rsidR="0001508F" w:rsidRPr="0001508F" w:rsidRDefault="0001508F" w:rsidP="0001508F">
      <w:pPr>
        <w:widowControl w:val="0"/>
        <w:spacing w:before="120" w:after="120"/>
        <w:ind w:left="720"/>
        <w:rPr>
          <w:b/>
          <w:bCs/>
          <w:szCs w:val="24"/>
        </w:rPr>
      </w:pPr>
    </w:p>
    <w:p w14:paraId="5C04750B" w14:textId="77777777" w:rsidR="0001508F" w:rsidRPr="0001508F" w:rsidRDefault="0001508F" w:rsidP="0001508F">
      <w:pPr>
        <w:widowControl w:val="0"/>
        <w:tabs>
          <w:tab w:val="left" w:pos="-2790"/>
        </w:tabs>
        <w:autoSpaceDE w:val="0"/>
        <w:autoSpaceDN w:val="0"/>
        <w:adjustRightInd w:val="0"/>
        <w:spacing w:before="120" w:after="120" w:line="480" w:lineRule="auto"/>
        <w:ind w:firstLine="720"/>
        <w:rPr>
          <w:spacing w:val="1"/>
          <w:szCs w:val="24"/>
        </w:rPr>
      </w:pPr>
      <w:r w:rsidRPr="0001508F">
        <w:rPr>
          <w:bCs/>
          <w:szCs w:val="24"/>
        </w:rPr>
        <w:t>§ 74. Section 2702.2.1.1 of the New York city building code, as added by local law number 126 for the year 2021, is amended to read as follows:</w:t>
      </w:r>
    </w:p>
    <w:p w14:paraId="320B040F" w14:textId="77777777" w:rsidR="0001508F" w:rsidRPr="0001508F" w:rsidRDefault="0001508F" w:rsidP="0001508F">
      <w:pPr>
        <w:widowControl w:val="0"/>
        <w:spacing w:before="120" w:after="120"/>
        <w:ind w:left="720"/>
        <w:rPr>
          <w:b/>
          <w:bCs/>
          <w:szCs w:val="24"/>
        </w:rPr>
      </w:pPr>
      <w:r w:rsidRPr="0001508F">
        <w:rPr>
          <w:b/>
          <w:bCs/>
          <w:szCs w:val="24"/>
        </w:rPr>
        <w:t>2702.2.1.1 Prior code buildings.</w:t>
      </w:r>
      <w:r w:rsidRPr="0001508F">
        <w:rPr>
          <w:szCs w:val="24"/>
        </w:rPr>
        <w:t xml:space="preserve"> </w:t>
      </w:r>
      <w:r w:rsidRPr="0001508F">
        <w:rPr>
          <w:bCs/>
          <w:szCs w:val="24"/>
        </w:rPr>
        <w:t xml:space="preserve">In prior code buildings, where a stationary generator is not otherwise required, the power source for emergency power to the voice/alarm communication system may be served by a gas generator or an uninterruptable power source (UPS) in accordance with the </w:t>
      </w:r>
      <w:r w:rsidRPr="0001508F">
        <w:rPr>
          <w:bCs/>
          <w:i/>
          <w:iCs/>
          <w:szCs w:val="24"/>
        </w:rPr>
        <w:t>New York City Electrical Code</w:t>
      </w:r>
      <w:r w:rsidRPr="0001508F">
        <w:rPr>
          <w:bCs/>
          <w:szCs w:val="24"/>
        </w:rPr>
        <w:t>.</w:t>
      </w:r>
      <w:r w:rsidRPr="0001508F">
        <w:rPr>
          <w:bCs/>
          <w:szCs w:val="24"/>
          <w:u w:val="single"/>
        </w:rPr>
        <w:t xml:space="preserve"> See Section 308.2 of the </w:t>
      </w:r>
      <w:r w:rsidRPr="0001508F">
        <w:rPr>
          <w:bCs/>
          <w:i/>
          <w:iCs/>
          <w:szCs w:val="24"/>
          <w:u w:val="single"/>
        </w:rPr>
        <w:t>New York City Existing Building Code</w:t>
      </w:r>
      <w:r w:rsidRPr="0001508F">
        <w:rPr>
          <w:bCs/>
          <w:szCs w:val="24"/>
          <w:u w:val="single"/>
        </w:rPr>
        <w:t>.</w:t>
      </w:r>
    </w:p>
    <w:p w14:paraId="6BA77DDA" w14:textId="77777777" w:rsidR="0001508F" w:rsidRPr="0001508F" w:rsidRDefault="0001508F" w:rsidP="0001508F">
      <w:pPr>
        <w:widowControl w:val="0"/>
        <w:tabs>
          <w:tab w:val="left" w:pos="-2790"/>
        </w:tabs>
        <w:autoSpaceDE w:val="0"/>
        <w:autoSpaceDN w:val="0"/>
        <w:adjustRightInd w:val="0"/>
        <w:spacing w:before="120" w:after="120" w:line="480" w:lineRule="auto"/>
        <w:ind w:firstLine="720"/>
        <w:rPr>
          <w:bCs/>
          <w:szCs w:val="24"/>
        </w:rPr>
      </w:pPr>
    </w:p>
    <w:p w14:paraId="1393FC33" w14:textId="77777777" w:rsidR="0001508F" w:rsidRPr="0001508F" w:rsidRDefault="0001508F" w:rsidP="0001508F">
      <w:pPr>
        <w:widowControl w:val="0"/>
        <w:tabs>
          <w:tab w:val="left" w:pos="-2790"/>
        </w:tabs>
        <w:autoSpaceDE w:val="0"/>
        <w:autoSpaceDN w:val="0"/>
        <w:adjustRightInd w:val="0"/>
        <w:spacing w:before="120" w:after="120" w:line="480" w:lineRule="auto"/>
        <w:ind w:firstLine="720"/>
        <w:rPr>
          <w:spacing w:val="1"/>
          <w:szCs w:val="24"/>
        </w:rPr>
      </w:pPr>
      <w:r w:rsidRPr="0001508F">
        <w:rPr>
          <w:bCs/>
          <w:szCs w:val="24"/>
        </w:rPr>
        <w:t>§ 75. Section 2702.2.20.1 of the New York city building code, as amended by local law number 126 for the year 2021, is amended to read as follows:</w:t>
      </w:r>
    </w:p>
    <w:p w14:paraId="2F3EE880" w14:textId="77777777" w:rsidR="0001508F" w:rsidRPr="0001508F" w:rsidRDefault="0001508F" w:rsidP="0001508F">
      <w:pPr>
        <w:widowControl w:val="0"/>
        <w:spacing w:before="120" w:after="120"/>
        <w:ind w:left="720"/>
        <w:rPr>
          <w:bCs/>
          <w:szCs w:val="24"/>
        </w:rPr>
      </w:pPr>
      <w:r w:rsidRPr="0001508F">
        <w:rPr>
          <w:b/>
          <w:bCs/>
          <w:szCs w:val="24"/>
        </w:rPr>
        <w:t>2702.2.20.1 Equipment requiring emergency power system.</w:t>
      </w:r>
      <w:r w:rsidRPr="0001508F">
        <w:rPr>
          <w:bCs/>
          <w:szCs w:val="24"/>
        </w:rPr>
        <w:t xml:space="preserve"> [</w:t>
      </w:r>
      <w:r w:rsidRPr="0001508F">
        <w:rPr>
          <w:bCs/>
          <w:strike/>
          <w:szCs w:val="24"/>
        </w:rPr>
        <w:t xml:space="preserve">With respect to such </w:t>
      </w:r>
      <w:r w:rsidRPr="0001508F">
        <w:rPr>
          <w:szCs w:val="24"/>
        </w:rPr>
        <w:t>]</w:t>
      </w:r>
      <w:r w:rsidRPr="0001508F">
        <w:rPr>
          <w:bCs/>
          <w:szCs w:val="24"/>
          <w:u w:val="single"/>
        </w:rPr>
        <w:t>Where an emergency and standby power is required for</w:t>
      </w:r>
      <w:r w:rsidRPr="0001508F">
        <w:rPr>
          <w:bCs/>
          <w:szCs w:val="24"/>
        </w:rPr>
        <w:t xml:space="preserve"> Occupancy Groups B, E and R- 1</w:t>
      </w:r>
      <w:r w:rsidRPr="0001508F">
        <w:rPr>
          <w:bCs/>
          <w:szCs w:val="24"/>
          <w:u w:val="single"/>
        </w:rPr>
        <w:t xml:space="preserve"> as specified in section 2702.2.20</w:t>
      </w:r>
      <w:r w:rsidRPr="0001508F">
        <w:rPr>
          <w:bCs/>
          <w:szCs w:val="24"/>
        </w:rPr>
        <w:t xml:space="preserve">, the following equipment, where such equipment is required by this code, shall be </w:t>
      </w:r>
      <w:r w:rsidRPr="0001508F">
        <w:rPr>
          <w:b/>
          <w:bCs/>
          <w:szCs w:val="24"/>
        </w:rPr>
        <w:t>[</w:t>
      </w:r>
      <w:r w:rsidRPr="0001508F">
        <w:rPr>
          <w:bCs/>
          <w:strike/>
          <w:szCs w:val="24"/>
        </w:rPr>
        <w:t xml:space="preserve">provided with </w:t>
      </w:r>
      <w:r w:rsidRPr="0001508F">
        <w:rPr>
          <w:b/>
          <w:bCs/>
          <w:szCs w:val="24"/>
        </w:rPr>
        <w:t>]</w:t>
      </w:r>
      <w:r w:rsidRPr="0001508F">
        <w:rPr>
          <w:bCs/>
          <w:szCs w:val="24"/>
          <w:u w:val="single"/>
        </w:rPr>
        <w:t xml:space="preserve">connected to </w:t>
      </w:r>
      <w:r w:rsidRPr="0001508F">
        <w:rPr>
          <w:bCs/>
          <w:szCs w:val="24"/>
        </w:rPr>
        <w:t>an emergency power system:</w:t>
      </w:r>
    </w:p>
    <w:p w14:paraId="1B6A4447" w14:textId="77777777" w:rsidR="0001508F" w:rsidRPr="0001508F" w:rsidRDefault="0001508F" w:rsidP="0001508F">
      <w:pPr>
        <w:widowControl w:val="0"/>
        <w:numPr>
          <w:ilvl w:val="0"/>
          <w:numId w:val="52"/>
        </w:numPr>
        <w:tabs>
          <w:tab w:val="num" w:pos="-3240"/>
        </w:tabs>
        <w:autoSpaceDE w:val="0"/>
        <w:autoSpaceDN w:val="0"/>
        <w:adjustRightInd w:val="0"/>
        <w:spacing w:before="120" w:after="120"/>
        <w:ind w:left="1440"/>
        <w:jc w:val="left"/>
        <w:rPr>
          <w:szCs w:val="24"/>
        </w:rPr>
      </w:pPr>
      <w:r w:rsidRPr="0001508F">
        <w:rPr>
          <w:szCs w:val="24"/>
        </w:rPr>
        <w:t>Exit signs and means of egress illumination required by Chapter 10;</w:t>
      </w:r>
    </w:p>
    <w:p w14:paraId="56CA2019" w14:textId="77777777" w:rsidR="0001508F" w:rsidRPr="0001508F" w:rsidRDefault="0001508F" w:rsidP="0001508F">
      <w:pPr>
        <w:widowControl w:val="0"/>
        <w:numPr>
          <w:ilvl w:val="0"/>
          <w:numId w:val="52"/>
        </w:numPr>
        <w:tabs>
          <w:tab w:val="num" w:pos="-3240"/>
        </w:tabs>
        <w:autoSpaceDE w:val="0"/>
        <w:autoSpaceDN w:val="0"/>
        <w:adjustRightInd w:val="0"/>
        <w:spacing w:before="120" w:after="120"/>
        <w:ind w:left="1440"/>
        <w:jc w:val="left"/>
        <w:rPr>
          <w:szCs w:val="24"/>
        </w:rPr>
      </w:pPr>
      <w:r w:rsidRPr="0001508F">
        <w:rPr>
          <w:szCs w:val="24"/>
        </w:rPr>
        <w:t>Elevator car lighting;</w:t>
      </w:r>
    </w:p>
    <w:p w14:paraId="233E43CA" w14:textId="77777777" w:rsidR="0001508F" w:rsidRPr="0001508F" w:rsidRDefault="0001508F" w:rsidP="0001508F">
      <w:pPr>
        <w:widowControl w:val="0"/>
        <w:numPr>
          <w:ilvl w:val="0"/>
          <w:numId w:val="52"/>
        </w:numPr>
        <w:tabs>
          <w:tab w:val="num" w:pos="-3240"/>
        </w:tabs>
        <w:autoSpaceDE w:val="0"/>
        <w:autoSpaceDN w:val="0"/>
        <w:adjustRightInd w:val="0"/>
        <w:spacing w:before="120" w:after="120"/>
        <w:ind w:left="1440"/>
        <w:jc w:val="left"/>
        <w:rPr>
          <w:szCs w:val="24"/>
        </w:rPr>
      </w:pPr>
      <w:r w:rsidRPr="0001508F">
        <w:rPr>
          <w:szCs w:val="24"/>
        </w:rPr>
        <w:t>Emergency voice/alarm communications systems, including Fire Department in-building Auxiliary Radio Communication systems (ARCs) provided where required or installed voluntarily in accordance with Section 916;</w:t>
      </w:r>
    </w:p>
    <w:p w14:paraId="26BB54A8" w14:textId="77777777" w:rsidR="0001508F" w:rsidRPr="0001508F" w:rsidRDefault="0001508F" w:rsidP="0001508F">
      <w:pPr>
        <w:widowControl w:val="0"/>
        <w:numPr>
          <w:ilvl w:val="0"/>
          <w:numId w:val="52"/>
        </w:numPr>
        <w:tabs>
          <w:tab w:val="num" w:pos="-3240"/>
        </w:tabs>
        <w:autoSpaceDE w:val="0"/>
        <w:autoSpaceDN w:val="0"/>
        <w:adjustRightInd w:val="0"/>
        <w:spacing w:before="120" w:after="120"/>
        <w:ind w:left="1440"/>
        <w:jc w:val="left"/>
        <w:rPr>
          <w:szCs w:val="24"/>
        </w:rPr>
      </w:pPr>
      <w:r w:rsidRPr="0001508F">
        <w:rPr>
          <w:szCs w:val="24"/>
        </w:rPr>
        <w:t>Automatic fire detection systems;</w:t>
      </w:r>
    </w:p>
    <w:p w14:paraId="7BAB7450" w14:textId="77777777" w:rsidR="0001508F" w:rsidRPr="0001508F" w:rsidRDefault="0001508F" w:rsidP="0001508F">
      <w:pPr>
        <w:widowControl w:val="0"/>
        <w:numPr>
          <w:ilvl w:val="0"/>
          <w:numId w:val="52"/>
        </w:numPr>
        <w:tabs>
          <w:tab w:val="num" w:pos="-3240"/>
        </w:tabs>
        <w:autoSpaceDE w:val="0"/>
        <w:autoSpaceDN w:val="0"/>
        <w:adjustRightInd w:val="0"/>
        <w:spacing w:before="120" w:after="120"/>
        <w:ind w:left="1440"/>
        <w:jc w:val="left"/>
        <w:rPr>
          <w:szCs w:val="24"/>
        </w:rPr>
      </w:pPr>
      <w:r w:rsidRPr="0001508F">
        <w:rPr>
          <w:szCs w:val="24"/>
        </w:rPr>
        <w:t>Fire alarm systems; and</w:t>
      </w:r>
    </w:p>
    <w:p w14:paraId="7B9A259B" w14:textId="77777777" w:rsidR="0001508F" w:rsidRPr="0001508F" w:rsidRDefault="0001508F" w:rsidP="0001508F">
      <w:pPr>
        <w:widowControl w:val="0"/>
        <w:spacing w:before="120" w:after="120"/>
        <w:ind w:left="1440" w:hanging="360"/>
        <w:rPr>
          <w:szCs w:val="24"/>
        </w:rPr>
      </w:pPr>
      <w:r w:rsidRPr="0001508F">
        <w:rPr>
          <w:szCs w:val="24"/>
        </w:rPr>
        <w:t>6.</w:t>
      </w:r>
      <w:r w:rsidRPr="0001508F">
        <w:rPr>
          <w:szCs w:val="24"/>
        </w:rPr>
        <w:tab/>
        <w:t>Electrically powered fire pumps, including manual fire pumps, automatic fire pumps and sprinkler booster pumps.</w:t>
      </w:r>
    </w:p>
    <w:p w14:paraId="63A1B7F2" w14:textId="77777777" w:rsidR="0001508F" w:rsidRPr="0001508F" w:rsidRDefault="0001508F" w:rsidP="0001508F">
      <w:pPr>
        <w:widowControl w:val="0"/>
        <w:tabs>
          <w:tab w:val="left" w:pos="-2790"/>
        </w:tabs>
        <w:autoSpaceDE w:val="0"/>
        <w:autoSpaceDN w:val="0"/>
        <w:adjustRightInd w:val="0"/>
        <w:spacing w:before="120" w:after="120" w:line="480" w:lineRule="auto"/>
        <w:ind w:firstLine="720"/>
        <w:rPr>
          <w:spacing w:val="1"/>
          <w:szCs w:val="24"/>
        </w:rPr>
      </w:pPr>
      <w:r w:rsidRPr="0001508F">
        <w:rPr>
          <w:bCs/>
          <w:szCs w:val="24"/>
        </w:rPr>
        <w:t>§ 76. Section 2702.4.1 of the New York city building code, as added by local law number 126 for the year 2021, is amended to read as follows:</w:t>
      </w:r>
    </w:p>
    <w:p w14:paraId="4E1ABCDE" w14:textId="77777777" w:rsidR="0001508F" w:rsidRPr="0001508F" w:rsidRDefault="0001508F" w:rsidP="0001508F">
      <w:pPr>
        <w:widowControl w:val="0"/>
        <w:spacing w:before="120" w:after="120"/>
        <w:rPr>
          <w:szCs w:val="24"/>
          <w:highlight w:val="cyan"/>
        </w:rPr>
      </w:pPr>
    </w:p>
    <w:p w14:paraId="72CC7773" w14:textId="77777777" w:rsidR="0001508F" w:rsidRPr="0001508F" w:rsidRDefault="0001508F" w:rsidP="0001508F">
      <w:pPr>
        <w:widowControl w:val="0"/>
        <w:spacing w:before="120" w:after="120"/>
        <w:ind w:left="360"/>
        <w:rPr>
          <w:bCs/>
          <w:spacing w:val="-1"/>
          <w:szCs w:val="24"/>
          <w:u w:val="single"/>
        </w:rPr>
      </w:pPr>
      <w:r w:rsidRPr="0001508F">
        <w:rPr>
          <w:b/>
          <w:bCs/>
          <w:szCs w:val="24"/>
        </w:rPr>
        <w:t xml:space="preserve">2702.4.1 Additional optional standby power systems. </w:t>
      </w:r>
      <w:r w:rsidRPr="0001508F">
        <w:rPr>
          <w:spacing w:val="-1"/>
          <w:szCs w:val="24"/>
        </w:rPr>
        <w:t>Where</w:t>
      </w:r>
      <w:r w:rsidRPr="0001508F">
        <w:rPr>
          <w:bCs/>
          <w:spacing w:val="-1"/>
          <w:szCs w:val="24"/>
        </w:rPr>
        <w:t xml:space="preserve"> a functioning emergency power system or required standby power system is in place and provides power to all required emergency or required standby power loads, any additional optional standby power system need not supply power to such emergency or required standby power loads.</w:t>
      </w:r>
      <w:r w:rsidRPr="0001508F">
        <w:rPr>
          <w:bCs/>
          <w:spacing w:val="-1"/>
          <w:szCs w:val="24"/>
          <w:u w:val="single"/>
        </w:rPr>
        <w:t xml:space="preserve"> See Section 308.3.2 of the </w:t>
      </w:r>
      <w:r w:rsidRPr="0001508F">
        <w:rPr>
          <w:bCs/>
          <w:i/>
          <w:iCs/>
          <w:spacing w:val="-1"/>
          <w:szCs w:val="24"/>
          <w:u w:val="single"/>
        </w:rPr>
        <w:t>New York City Existing Building Code</w:t>
      </w:r>
      <w:r w:rsidRPr="0001508F">
        <w:rPr>
          <w:bCs/>
          <w:spacing w:val="-1"/>
          <w:szCs w:val="24"/>
          <w:u w:val="single"/>
        </w:rPr>
        <w:t>.</w:t>
      </w:r>
    </w:p>
    <w:p w14:paraId="290F58B6" w14:textId="77777777" w:rsidR="0001508F" w:rsidRPr="0001508F" w:rsidRDefault="0001508F" w:rsidP="0001508F">
      <w:pPr>
        <w:widowControl w:val="0"/>
        <w:tabs>
          <w:tab w:val="left" w:pos="-2790"/>
        </w:tabs>
        <w:autoSpaceDE w:val="0"/>
        <w:autoSpaceDN w:val="0"/>
        <w:adjustRightInd w:val="0"/>
        <w:spacing w:before="120" w:after="120" w:line="480" w:lineRule="auto"/>
        <w:ind w:firstLine="720"/>
        <w:rPr>
          <w:spacing w:val="1"/>
          <w:szCs w:val="24"/>
        </w:rPr>
      </w:pPr>
      <w:bookmarkStart w:id="298" w:name="_Hlk70062557"/>
      <w:r w:rsidRPr="0001508F">
        <w:rPr>
          <w:bCs/>
          <w:szCs w:val="24"/>
        </w:rPr>
        <w:t>§ 77. Section 3001.11 of the New York city building code, as amended by local law number 126 for the year 2021, is amended to read as follows:</w:t>
      </w:r>
    </w:p>
    <w:p w14:paraId="4CCB012D" w14:textId="77777777" w:rsidR="0001508F" w:rsidRPr="0001508F" w:rsidRDefault="0001508F" w:rsidP="0001508F">
      <w:pPr>
        <w:widowControl w:val="0"/>
        <w:spacing w:before="120" w:after="120"/>
        <w:rPr>
          <w:bCs/>
          <w:szCs w:val="24"/>
        </w:rPr>
      </w:pPr>
      <w:r w:rsidRPr="0001508F">
        <w:rPr>
          <w:b/>
          <w:bCs/>
          <w:szCs w:val="24"/>
        </w:rPr>
        <w:t>3001.11 Special provisions for prior code buildings</w:t>
      </w:r>
      <w:r w:rsidRPr="0001508F">
        <w:rPr>
          <w:szCs w:val="24"/>
        </w:rPr>
        <w:t xml:space="preserve">. </w:t>
      </w:r>
      <w:r w:rsidRPr="0001508F">
        <w:rPr>
          <w:bCs/>
          <w:szCs w:val="24"/>
        </w:rPr>
        <w:t>Prior code buildings shall be permitted to comply with Section [</w:t>
      </w:r>
      <w:r w:rsidRPr="0001508F">
        <w:rPr>
          <w:bCs/>
          <w:strike/>
          <w:szCs w:val="24"/>
        </w:rPr>
        <w:t>3001.11.1</w:t>
      </w:r>
      <w:r w:rsidRPr="0001508F">
        <w:rPr>
          <w:b/>
          <w:bCs/>
          <w:szCs w:val="24"/>
        </w:rPr>
        <w:t>]</w:t>
      </w:r>
      <w:r w:rsidRPr="0001508F">
        <w:rPr>
          <w:bCs/>
          <w:szCs w:val="24"/>
          <w:u w:val="single"/>
        </w:rPr>
        <w:t xml:space="preserve"> 312.4 of the </w:t>
      </w:r>
      <w:r w:rsidRPr="0001508F">
        <w:rPr>
          <w:bCs/>
          <w:i/>
          <w:iCs/>
          <w:szCs w:val="24"/>
          <w:u w:val="single"/>
        </w:rPr>
        <w:t>New York City Existing Building Code</w:t>
      </w:r>
      <w:r w:rsidRPr="0001508F">
        <w:rPr>
          <w:bCs/>
          <w:szCs w:val="24"/>
        </w:rPr>
        <w:t>.</w:t>
      </w:r>
    </w:p>
    <w:p w14:paraId="22F90AFE" w14:textId="77777777" w:rsidR="0001508F" w:rsidRPr="0001508F" w:rsidRDefault="0001508F" w:rsidP="0001508F">
      <w:pPr>
        <w:widowControl w:val="0"/>
        <w:spacing w:before="120" w:after="120" w:line="480" w:lineRule="auto"/>
        <w:ind w:firstLine="720"/>
        <w:rPr>
          <w:b/>
          <w:bCs/>
          <w:szCs w:val="24"/>
        </w:rPr>
      </w:pPr>
      <w:r w:rsidRPr="0001508F">
        <w:rPr>
          <w:bCs/>
          <w:szCs w:val="24"/>
        </w:rPr>
        <w:t>§ 78. Section 3001.11.1 of the New York city building code is REPEALED.</w:t>
      </w:r>
    </w:p>
    <w:bookmarkEnd w:id="298"/>
    <w:p w14:paraId="47277E7A" w14:textId="77777777" w:rsidR="0001508F" w:rsidRPr="0001508F" w:rsidRDefault="0001508F" w:rsidP="0001508F">
      <w:pPr>
        <w:widowControl w:val="0"/>
        <w:spacing w:before="120" w:after="120"/>
        <w:ind w:left="360"/>
        <w:rPr>
          <w:b/>
          <w:bCs/>
          <w:szCs w:val="24"/>
        </w:rPr>
      </w:pPr>
    </w:p>
    <w:p w14:paraId="512BDDBE" w14:textId="77777777" w:rsidR="0001508F" w:rsidRPr="0001508F" w:rsidRDefault="0001508F" w:rsidP="0001508F">
      <w:pPr>
        <w:widowControl w:val="0"/>
        <w:tabs>
          <w:tab w:val="left" w:pos="-2790"/>
        </w:tabs>
        <w:autoSpaceDE w:val="0"/>
        <w:autoSpaceDN w:val="0"/>
        <w:adjustRightInd w:val="0"/>
        <w:spacing w:before="120" w:after="120" w:line="480" w:lineRule="auto"/>
        <w:ind w:firstLine="720"/>
        <w:rPr>
          <w:spacing w:val="1"/>
          <w:szCs w:val="24"/>
        </w:rPr>
      </w:pPr>
      <w:r w:rsidRPr="0001508F">
        <w:rPr>
          <w:bCs/>
          <w:szCs w:val="24"/>
        </w:rPr>
        <w:t>§ 79. Section 3002.4.2 of the New York city building code, as amended by local law number 126 for the year 2021, is amended to read as follows:</w:t>
      </w:r>
    </w:p>
    <w:p w14:paraId="1AE6B08C" w14:textId="77777777" w:rsidR="0001508F" w:rsidRPr="0001508F" w:rsidRDefault="0001508F" w:rsidP="0001508F">
      <w:pPr>
        <w:widowControl w:val="0"/>
        <w:spacing w:before="120" w:after="120"/>
        <w:ind w:left="360"/>
        <w:rPr>
          <w:bCs/>
          <w:szCs w:val="24"/>
          <w:u w:val="single"/>
        </w:rPr>
      </w:pPr>
      <w:r w:rsidRPr="0001508F">
        <w:rPr>
          <w:b/>
          <w:bCs/>
          <w:szCs w:val="24"/>
        </w:rPr>
        <w:t>3002.4.2 Elevator car to accommodate ambulance stretcher.</w:t>
      </w:r>
      <w:r w:rsidRPr="0001508F">
        <w:rPr>
          <w:bCs/>
          <w:szCs w:val="24"/>
        </w:rPr>
        <w:t xml:space="preserve"> Where elevators are provided in buildings </w:t>
      </w:r>
      <w:r w:rsidRPr="0001508F">
        <w:rPr>
          <w:bCs/>
          <w:spacing w:val="1"/>
          <w:szCs w:val="24"/>
        </w:rPr>
        <w:t xml:space="preserve">five </w:t>
      </w:r>
      <w:r w:rsidRPr="0001508F">
        <w:rPr>
          <w:bCs/>
          <w:szCs w:val="24"/>
        </w:rPr>
        <w:t xml:space="preserve">or more stories above, or four or more stories below grade plane, </w:t>
      </w:r>
      <w:r w:rsidRPr="0001508F">
        <w:rPr>
          <w:bCs/>
          <w:spacing w:val="1"/>
          <w:szCs w:val="24"/>
        </w:rPr>
        <w:t>or underground buildings as described in Section 405.1, not fewer than</w:t>
      </w:r>
      <w:r w:rsidRPr="0001508F">
        <w:rPr>
          <w:bCs/>
          <w:szCs w:val="24"/>
        </w:rPr>
        <w:t xml:space="preserve"> one elevator </w:t>
      </w:r>
      <w:r w:rsidRPr="0001508F">
        <w:rPr>
          <w:bCs/>
          <w:spacing w:val="1"/>
          <w:szCs w:val="24"/>
        </w:rPr>
        <w:t xml:space="preserve">subject to Section 3003.3 </w:t>
      </w:r>
      <w:r w:rsidRPr="0001508F">
        <w:rPr>
          <w:bCs/>
          <w:szCs w:val="24"/>
        </w:rPr>
        <w:t xml:space="preserve">shall be provided </w:t>
      </w:r>
      <w:r w:rsidRPr="0001508F">
        <w:rPr>
          <w:bCs/>
          <w:spacing w:val="1"/>
          <w:szCs w:val="24"/>
        </w:rPr>
        <w:t>with an</w:t>
      </w:r>
      <w:r w:rsidRPr="0001508F">
        <w:rPr>
          <w:bCs/>
          <w:szCs w:val="24"/>
        </w:rPr>
        <w:t xml:space="preserve"> elevator car of such a size and arrangement to accommodate an ambulance stretcher 24 inches by 84 inches (610 mm by 2134 mm</w:t>
      </w:r>
      <w:r w:rsidRPr="0001508F">
        <w:rPr>
          <w:bCs/>
          <w:spacing w:val="1"/>
          <w:szCs w:val="24"/>
        </w:rPr>
        <w:t>),</w:t>
      </w:r>
      <w:r w:rsidRPr="0001508F">
        <w:rPr>
          <w:bCs/>
          <w:szCs w:val="24"/>
        </w:rPr>
        <w:t xml:space="preserve"> with not less than 5 inch (127 mm) radius corners, in the horizontal, open position and shall be identified by the international </w:t>
      </w:r>
      <w:r w:rsidRPr="0001508F">
        <w:rPr>
          <w:bCs/>
          <w:spacing w:val="1"/>
          <w:szCs w:val="24"/>
        </w:rPr>
        <w:t>symbol</w:t>
      </w:r>
      <w:r w:rsidRPr="0001508F">
        <w:rPr>
          <w:bCs/>
          <w:szCs w:val="24"/>
        </w:rPr>
        <w:t xml:space="preserve"> for emergency medical services (star of life). The symbol shall </w:t>
      </w:r>
      <w:r w:rsidRPr="0001508F">
        <w:rPr>
          <w:bCs/>
          <w:spacing w:val="1"/>
          <w:szCs w:val="24"/>
        </w:rPr>
        <w:t xml:space="preserve">be not </w:t>
      </w:r>
      <w:r w:rsidRPr="0001508F">
        <w:rPr>
          <w:bCs/>
          <w:szCs w:val="24"/>
        </w:rPr>
        <w:t xml:space="preserve">less than 3 inches (76 mm) in height and shall be placed on both </w:t>
      </w:r>
      <w:r w:rsidRPr="0001508F">
        <w:rPr>
          <w:bCs/>
          <w:spacing w:val="1"/>
          <w:szCs w:val="24"/>
        </w:rPr>
        <w:t>jambs</w:t>
      </w:r>
      <w:r w:rsidRPr="0001508F">
        <w:rPr>
          <w:bCs/>
          <w:szCs w:val="24"/>
        </w:rPr>
        <w:t xml:space="preserve"> of the hoistway </w:t>
      </w:r>
      <w:r w:rsidRPr="0001508F">
        <w:rPr>
          <w:bCs/>
          <w:spacing w:val="1"/>
          <w:szCs w:val="24"/>
        </w:rPr>
        <w:t xml:space="preserve">entrances on each floor. </w:t>
      </w:r>
      <w:r w:rsidRPr="0001508F">
        <w:rPr>
          <w:bCs/>
          <w:szCs w:val="24"/>
        </w:rPr>
        <w:t>Standby power shall be required for such an elevator if it serves a building subject to Section 3002.4.1.</w:t>
      </w:r>
      <w:r w:rsidRPr="0001508F">
        <w:rPr>
          <w:bCs/>
          <w:szCs w:val="24"/>
          <w:u w:val="single"/>
        </w:rPr>
        <w:t xml:space="preserve"> Prior code buildings shall comply with Section 312.6.3 of the </w:t>
      </w:r>
      <w:r w:rsidRPr="0001508F">
        <w:rPr>
          <w:bCs/>
          <w:i/>
          <w:iCs/>
          <w:szCs w:val="24"/>
          <w:u w:val="single"/>
        </w:rPr>
        <w:t>New York City Existing Building Code</w:t>
      </w:r>
      <w:r w:rsidRPr="0001508F">
        <w:rPr>
          <w:bCs/>
          <w:szCs w:val="24"/>
          <w:u w:val="single"/>
        </w:rPr>
        <w:t>.</w:t>
      </w:r>
    </w:p>
    <w:p w14:paraId="1F0F9B44" w14:textId="77777777" w:rsidR="0001508F" w:rsidRPr="0001508F" w:rsidRDefault="0001508F" w:rsidP="0001508F">
      <w:pPr>
        <w:widowControl w:val="0"/>
        <w:autoSpaceDE w:val="0"/>
        <w:autoSpaceDN w:val="0"/>
        <w:adjustRightInd w:val="0"/>
        <w:spacing w:before="120" w:after="120"/>
        <w:ind w:left="720"/>
        <w:rPr>
          <w:b/>
          <w:bCs/>
          <w:szCs w:val="24"/>
        </w:rPr>
      </w:pPr>
      <w:r w:rsidRPr="0001508F">
        <w:rPr>
          <w:b/>
          <w:szCs w:val="24"/>
        </w:rPr>
        <w:t>Exceptions:</w:t>
      </w:r>
    </w:p>
    <w:p w14:paraId="34C44038" w14:textId="77777777" w:rsidR="0001508F" w:rsidRPr="0001508F" w:rsidRDefault="0001508F" w:rsidP="0001508F">
      <w:pPr>
        <w:widowControl w:val="0"/>
        <w:autoSpaceDE w:val="0"/>
        <w:autoSpaceDN w:val="0"/>
        <w:adjustRightInd w:val="0"/>
        <w:spacing w:before="120" w:after="120"/>
        <w:ind w:left="1440" w:hanging="360"/>
        <w:rPr>
          <w:szCs w:val="24"/>
        </w:rPr>
      </w:pPr>
      <w:r w:rsidRPr="0001508F">
        <w:rPr>
          <w:szCs w:val="24"/>
        </w:rPr>
        <w:t>1.</w:t>
      </w:r>
      <w:r w:rsidRPr="0001508F">
        <w:rPr>
          <w:szCs w:val="24"/>
        </w:rPr>
        <w:tab/>
        <w:t>An elevator serving not more than one individual dwelling unit in a building pursuant to Section 3002.4.3.1 or 3002.4.3.2.</w:t>
      </w:r>
    </w:p>
    <w:p w14:paraId="67E066E1" w14:textId="77777777" w:rsidR="0001508F" w:rsidRPr="0001508F" w:rsidRDefault="0001508F" w:rsidP="0001508F">
      <w:pPr>
        <w:widowControl w:val="0"/>
        <w:autoSpaceDE w:val="0"/>
        <w:autoSpaceDN w:val="0"/>
        <w:adjustRightInd w:val="0"/>
        <w:spacing w:before="120" w:after="120"/>
        <w:ind w:left="1440" w:hanging="360"/>
        <w:rPr>
          <w:spacing w:val="3"/>
          <w:szCs w:val="24"/>
        </w:rPr>
      </w:pPr>
      <w:r w:rsidRPr="0001508F">
        <w:rPr>
          <w:szCs w:val="24"/>
        </w:rPr>
        <w:t>2.</w:t>
      </w:r>
      <w:r w:rsidRPr="0001508F">
        <w:rPr>
          <w:szCs w:val="24"/>
        </w:rPr>
        <w:tab/>
        <w:t>Limited-Use/Limited-Application (LULA) elevators (25 feet maximum rise).</w:t>
      </w:r>
    </w:p>
    <w:p w14:paraId="26D7AAF8" w14:textId="77777777" w:rsidR="0001508F" w:rsidRPr="0001508F" w:rsidRDefault="0001508F" w:rsidP="0001508F">
      <w:pPr>
        <w:widowControl w:val="0"/>
        <w:tabs>
          <w:tab w:val="left" w:pos="-2790"/>
        </w:tabs>
        <w:autoSpaceDE w:val="0"/>
        <w:autoSpaceDN w:val="0"/>
        <w:adjustRightInd w:val="0"/>
        <w:spacing w:before="120" w:after="120" w:line="480" w:lineRule="auto"/>
        <w:ind w:firstLine="720"/>
        <w:rPr>
          <w:spacing w:val="1"/>
          <w:szCs w:val="24"/>
        </w:rPr>
      </w:pPr>
      <w:r w:rsidRPr="0001508F">
        <w:rPr>
          <w:bCs/>
          <w:szCs w:val="24"/>
        </w:rPr>
        <w:t>§ 80. Section 3003.1 of the New York city building code, as amended by local law number 126 for the year 2021, is amended to read as follows:</w:t>
      </w:r>
    </w:p>
    <w:p w14:paraId="3AC6AEC8" w14:textId="77777777" w:rsidR="0001508F" w:rsidRPr="0001508F" w:rsidRDefault="0001508F" w:rsidP="0001508F">
      <w:pPr>
        <w:widowControl w:val="0"/>
        <w:spacing w:before="120" w:after="120"/>
        <w:rPr>
          <w:bCs/>
          <w:szCs w:val="24"/>
          <w:u w:val="single"/>
        </w:rPr>
      </w:pPr>
      <w:r w:rsidRPr="0001508F">
        <w:rPr>
          <w:b/>
          <w:bCs/>
          <w:szCs w:val="24"/>
        </w:rPr>
        <w:t>3003.1 Standby power.</w:t>
      </w:r>
      <w:r w:rsidRPr="0001508F">
        <w:rPr>
          <w:bCs/>
          <w:szCs w:val="24"/>
        </w:rPr>
        <w:t xml:space="preserve"> In buildings and structures where standby power is required or furnished to operate an elevator, the operation shall be in accordance with Sections </w:t>
      </w:r>
      <w:r w:rsidRPr="0001508F">
        <w:rPr>
          <w:bCs/>
          <w:spacing w:val="1"/>
          <w:szCs w:val="24"/>
        </w:rPr>
        <w:t xml:space="preserve">3002.4.1 and </w:t>
      </w:r>
      <w:r w:rsidRPr="0001508F">
        <w:rPr>
          <w:bCs/>
          <w:szCs w:val="24"/>
        </w:rPr>
        <w:t>3003.1.1 through 3003.1.4.</w:t>
      </w:r>
      <w:r w:rsidRPr="0001508F">
        <w:rPr>
          <w:bCs/>
          <w:szCs w:val="24"/>
          <w:u w:val="single"/>
        </w:rPr>
        <w:t xml:space="preserve"> Prior code buildings shall comply with Section 312.6.5 of the </w:t>
      </w:r>
      <w:r w:rsidRPr="0001508F">
        <w:rPr>
          <w:bCs/>
          <w:i/>
          <w:iCs/>
          <w:szCs w:val="24"/>
          <w:u w:val="single"/>
        </w:rPr>
        <w:t>New York City Existing Building Code</w:t>
      </w:r>
      <w:r w:rsidRPr="0001508F">
        <w:rPr>
          <w:bCs/>
          <w:szCs w:val="24"/>
          <w:u w:val="single"/>
        </w:rPr>
        <w:t>.</w:t>
      </w:r>
    </w:p>
    <w:p w14:paraId="732BFB74" w14:textId="77777777" w:rsidR="0001508F" w:rsidRPr="0001508F" w:rsidRDefault="0001508F" w:rsidP="0001508F">
      <w:pPr>
        <w:widowControl w:val="0"/>
        <w:tabs>
          <w:tab w:val="left" w:pos="-2790"/>
        </w:tabs>
        <w:autoSpaceDE w:val="0"/>
        <w:autoSpaceDN w:val="0"/>
        <w:adjustRightInd w:val="0"/>
        <w:spacing w:before="120" w:after="120" w:line="480" w:lineRule="auto"/>
        <w:ind w:firstLine="720"/>
        <w:rPr>
          <w:spacing w:val="1"/>
          <w:szCs w:val="24"/>
        </w:rPr>
      </w:pPr>
      <w:r w:rsidRPr="0001508F">
        <w:rPr>
          <w:bCs/>
          <w:szCs w:val="24"/>
        </w:rPr>
        <w:t>§ 81. Section 3007.1 of the New York city building code, as amended by local law number 126 for the year 2021, is amended to read as follows:</w:t>
      </w:r>
    </w:p>
    <w:p w14:paraId="795A984F" w14:textId="77777777" w:rsidR="0001508F" w:rsidRPr="0001508F" w:rsidRDefault="0001508F" w:rsidP="0001508F">
      <w:pPr>
        <w:widowControl w:val="0"/>
        <w:spacing w:before="120" w:after="120"/>
        <w:rPr>
          <w:bCs/>
          <w:szCs w:val="24"/>
          <w:u w:val="single"/>
        </w:rPr>
      </w:pPr>
      <w:r w:rsidRPr="0001508F">
        <w:rPr>
          <w:b/>
          <w:bCs/>
          <w:szCs w:val="24"/>
        </w:rPr>
        <w:t xml:space="preserve">3007.1 General. </w:t>
      </w:r>
      <w:r w:rsidRPr="0001508F">
        <w:rPr>
          <w:bCs/>
          <w:szCs w:val="24"/>
        </w:rPr>
        <w:t xml:space="preserve">Where required by Section 403.6.1, every floor of the building shall be served by a fire service access elevator complying with Sections 3007.1 through 3007.8. Except as modified in this section, the fire service access elevator shall be installed in accordance with this chapter and ASME A17.1/CSA B44 as modified by Appendix K, Chapter K1. </w:t>
      </w:r>
      <w:r w:rsidRPr="0001508F">
        <w:rPr>
          <w:bCs/>
          <w:szCs w:val="24"/>
          <w:u w:val="single"/>
        </w:rPr>
        <w:t xml:space="preserve">For existing buildings, refer to Section 312.6.2 of the </w:t>
      </w:r>
      <w:r w:rsidRPr="0001508F">
        <w:rPr>
          <w:bCs/>
          <w:i/>
          <w:iCs/>
          <w:szCs w:val="24"/>
          <w:u w:val="single"/>
        </w:rPr>
        <w:t>New York City Existing Building Code</w:t>
      </w:r>
      <w:r w:rsidRPr="0001508F">
        <w:rPr>
          <w:bCs/>
          <w:szCs w:val="24"/>
          <w:u w:val="single"/>
        </w:rPr>
        <w:t>.</w:t>
      </w:r>
    </w:p>
    <w:p w14:paraId="2392029E" w14:textId="77777777" w:rsidR="0001508F" w:rsidRPr="0001508F" w:rsidRDefault="0001508F" w:rsidP="0001508F">
      <w:pPr>
        <w:widowControl w:val="0"/>
        <w:tabs>
          <w:tab w:val="left" w:pos="-2790"/>
        </w:tabs>
        <w:autoSpaceDE w:val="0"/>
        <w:autoSpaceDN w:val="0"/>
        <w:adjustRightInd w:val="0"/>
        <w:spacing w:before="120" w:after="120" w:line="480" w:lineRule="auto"/>
        <w:ind w:firstLine="720"/>
        <w:rPr>
          <w:spacing w:val="1"/>
          <w:szCs w:val="24"/>
        </w:rPr>
      </w:pPr>
      <w:r w:rsidRPr="0001508F">
        <w:rPr>
          <w:bCs/>
          <w:szCs w:val="24"/>
        </w:rPr>
        <w:t>§ 82. Chapter 33 of the New York city building code is amended by adding a new section 3303.7.4.4 to read as follows:</w:t>
      </w:r>
    </w:p>
    <w:p w14:paraId="337B1AE0" w14:textId="77777777" w:rsidR="0001508F" w:rsidRPr="0001508F" w:rsidRDefault="0001508F" w:rsidP="0001508F">
      <w:pPr>
        <w:widowControl w:val="0"/>
        <w:spacing w:before="120" w:after="120"/>
        <w:ind w:left="720"/>
        <w:rPr>
          <w:rFonts w:eastAsia="Times"/>
          <w:bCs/>
          <w:szCs w:val="24"/>
          <w:u w:val="single"/>
        </w:rPr>
      </w:pPr>
      <w:bookmarkStart w:id="299" w:name="_Hlk67955504"/>
      <w:r w:rsidRPr="0001508F">
        <w:rPr>
          <w:b/>
          <w:bCs/>
          <w:szCs w:val="24"/>
          <w:u w:val="single"/>
        </w:rPr>
        <w:t xml:space="preserve">3303.7.4.4 </w:t>
      </w:r>
      <w:r w:rsidRPr="0001508F">
        <w:rPr>
          <w:rFonts w:eastAsia="Times"/>
          <w:b/>
          <w:szCs w:val="24"/>
          <w:u w:val="single"/>
        </w:rPr>
        <w:t xml:space="preserve">Temporary core sprinkler protection. </w:t>
      </w:r>
      <w:r w:rsidRPr="0001508F">
        <w:rPr>
          <w:rFonts w:eastAsia="Times"/>
          <w:bCs/>
          <w:szCs w:val="24"/>
          <w:u w:val="single"/>
        </w:rPr>
        <w:t xml:space="preserve">Temporary core sprinkler protection </w:t>
      </w:r>
      <w:r w:rsidRPr="0001508F">
        <w:rPr>
          <w:rFonts w:eastAsia="Times"/>
          <w:szCs w:val="24"/>
          <w:u w:val="single"/>
        </w:rPr>
        <w:t xml:space="preserve">shall be provided on occupied floors on which an existing sprinkler system is to be temporarily disconnected during alterations in accordance with Section 1506 of the </w:t>
      </w:r>
      <w:r w:rsidRPr="0001508F">
        <w:rPr>
          <w:rFonts w:eastAsia="Times"/>
          <w:i/>
          <w:iCs/>
          <w:szCs w:val="24"/>
          <w:u w:val="single"/>
        </w:rPr>
        <w:t>New York City Existing Building Code</w:t>
      </w:r>
      <w:r w:rsidRPr="0001508F">
        <w:rPr>
          <w:rFonts w:eastAsia="Times"/>
          <w:bCs/>
          <w:szCs w:val="24"/>
          <w:u w:val="single"/>
        </w:rPr>
        <w:t>.</w:t>
      </w:r>
    </w:p>
    <w:p w14:paraId="14C2D50D" w14:textId="77777777" w:rsidR="0001508F" w:rsidRPr="0001508F" w:rsidRDefault="0001508F" w:rsidP="0001508F">
      <w:pPr>
        <w:widowControl w:val="0"/>
        <w:spacing w:before="120" w:after="120"/>
        <w:ind w:left="720"/>
        <w:rPr>
          <w:bCs/>
          <w:szCs w:val="24"/>
          <w:u w:val="single"/>
        </w:rPr>
      </w:pPr>
    </w:p>
    <w:p w14:paraId="117406C1" w14:textId="77777777" w:rsidR="0001508F" w:rsidRPr="0001508F" w:rsidRDefault="0001508F" w:rsidP="0001508F">
      <w:pPr>
        <w:widowControl w:val="0"/>
        <w:tabs>
          <w:tab w:val="left" w:pos="-2790"/>
        </w:tabs>
        <w:autoSpaceDE w:val="0"/>
        <w:autoSpaceDN w:val="0"/>
        <w:adjustRightInd w:val="0"/>
        <w:spacing w:before="120" w:after="120" w:line="480" w:lineRule="auto"/>
        <w:ind w:firstLine="720"/>
        <w:rPr>
          <w:spacing w:val="1"/>
          <w:szCs w:val="24"/>
        </w:rPr>
      </w:pPr>
      <w:r w:rsidRPr="0001508F">
        <w:rPr>
          <w:bCs/>
          <w:szCs w:val="24"/>
        </w:rPr>
        <w:t>§ 83. Section 3303.9 of the New York city building code, as amended by local law number 126 for the year 2021, is amended to read as follows:</w:t>
      </w:r>
    </w:p>
    <w:p w14:paraId="2B33C1FA" w14:textId="77777777" w:rsidR="0001508F" w:rsidRPr="0001508F" w:rsidRDefault="0001508F" w:rsidP="0001508F">
      <w:pPr>
        <w:widowControl w:val="0"/>
        <w:kinsoku w:val="0"/>
        <w:spacing w:before="120" w:after="120"/>
        <w:rPr>
          <w:b/>
          <w:bCs/>
          <w:spacing w:val="-9"/>
          <w:w w:val="110"/>
          <w:szCs w:val="24"/>
        </w:rPr>
      </w:pPr>
      <w:r w:rsidRPr="0001508F">
        <w:rPr>
          <w:b/>
          <w:szCs w:val="24"/>
        </w:rPr>
        <w:t>3303.9 [</w:t>
      </w:r>
      <w:r w:rsidRPr="0001508F">
        <w:rPr>
          <w:b/>
          <w:strike/>
          <w:szCs w:val="24"/>
        </w:rPr>
        <w:t>Elements to be maintained in existing buildings</w:t>
      </w:r>
      <w:r w:rsidRPr="0001508F">
        <w:rPr>
          <w:b/>
          <w:szCs w:val="24"/>
        </w:rPr>
        <w:t>]</w:t>
      </w:r>
      <w:r w:rsidRPr="0001508F">
        <w:rPr>
          <w:b/>
          <w:szCs w:val="24"/>
          <w:u w:val="single"/>
        </w:rPr>
        <w:t>Existing elements and egress to be maintained</w:t>
      </w:r>
      <w:r w:rsidRPr="0001508F">
        <w:rPr>
          <w:b/>
          <w:szCs w:val="24"/>
        </w:rPr>
        <w:t>.</w:t>
      </w:r>
      <w:r w:rsidRPr="0001508F">
        <w:rPr>
          <w:b/>
          <w:bCs/>
          <w:w w:val="110"/>
          <w:szCs w:val="24"/>
        </w:rPr>
        <w:t xml:space="preserve"> [</w:t>
      </w:r>
      <w:r w:rsidRPr="0001508F">
        <w:rPr>
          <w:strike/>
          <w:spacing w:val="1"/>
          <w:szCs w:val="24"/>
        </w:rPr>
        <w:t>Required means of egress, existing</w:t>
      </w:r>
      <w:r w:rsidRPr="0001508F">
        <w:rPr>
          <w:spacing w:val="1"/>
          <w:szCs w:val="24"/>
        </w:rPr>
        <w:t>]</w:t>
      </w:r>
      <w:r w:rsidRPr="0001508F">
        <w:rPr>
          <w:spacing w:val="1"/>
          <w:szCs w:val="24"/>
          <w:u w:val="single"/>
        </w:rPr>
        <w:t>Existing</w:t>
      </w:r>
      <w:r w:rsidRPr="0001508F">
        <w:rPr>
          <w:spacing w:val="1"/>
          <w:szCs w:val="24"/>
        </w:rPr>
        <w:t xml:space="preserve"> structural elements, fire protection [</w:t>
      </w:r>
      <w:r w:rsidRPr="0001508F">
        <w:rPr>
          <w:strike/>
          <w:spacing w:val="1"/>
          <w:szCs w:val="24"/>
        </w:rPr>
        <w:t>devices</w:t>
      </w:r>
      <w:r w:rsidRPr="0001508F">
        <w:rPr>
          <w:spacing w:val="1"/>
          <w:szCs w:val="24"/>
        </w:rPr>
        <w:t>]</w:t>
      </w:r>
      <w:r w:rsidRPr="0001508F">
        <w:rPr>
          <w:spacing w:val="1"/>
          <w:szCs w:val="24"/>
          <w:u w:val="single"/>
        </w:rPr>
        <w:t>systems</w:t>
      </w:r>
      <w:r w:rsidRPr="0001508F">
        <w:rPr>
          <w:spacing w:val="1"/>
          <w:szCs w:val="24"/>
        </w:rPr>
        <w:t>, and sanitary safeguards shall be maintained at all times during construction or demolition operations[</w:t>
      </w:r>
      <w:r w:rsidRPr="0001508F">
        <w:rPr>
          <w:strike/>
          <w:spacing w:val="1"/>
          <w:szCs w:val="24"/>
        </w:rPr>
        <w:t xml:space="preserve"> in existing buildings</w:t>
      </w:r>
      <w:r w:rsidRPr="0001508F">
        <w:rPr>
          <w:spacing w:val="1"/>
          <w:szCs w:val="24"/>
        </w:rPr>
        <w:t>]. [</w:t>
      </w:r>
      <w:r w:rsidRPr="0001508F">
        <w:rPr>
          <w:strike/>
          <w:spacing w:val="1"/>
          <w:szCs w:val="24"/>
        </w:rPr>
        <w:t xml:space="preserve">Required </w:t>
      </w:r>
      <w:r w:rsidRPr="0001508F">
        <w:rPr>
          <w:spacing w:val="1"/>
          <w:szCs w:val="24"/>
        </w:rPr>
        <w:t>]</w:t>
      </w:r>
      <w:r w:rsidRPr="0001508F">
        <w:rPr>
          <w:spacing w:val="1"/>
          <w:szCs w:val="24"/>
          <w:u w:val="single"/>
        </w:rPr>
        <w:t>Existing required</w:t>
      </w:r>
      <w:r w:rsidRPr="0001508F">
        <w:rPr>
          <w:spacing w:val="1"/>
          <w:szCs w:val="24"/>
        </w:rPr>
        <w:t xml:space="preserve"> means of egress shall not be </w:t>
      </w:r>
      <w:r w:rsidRPr="0001508F">
        <w:rPr>
          <w:spacing w:val="1"/>
          <w:szCs w:val="24"/>
          <w:u w:val="single"/>
        </w:rPr>
        <w:t xml:space="preserve">removed, </w:t>
      </w:r>
      <w:r w:rsidRPr="0001508F">
        <w:rPr>
          <w:spacing w:val="1"/>
          <w:szCs w:val="24"/>
        </w:rPr>
        <w:t>obstructed</w:t>
      </w:r>
      <w:r w:rsidRPr="0001508F">
        <w:rPr>
          <w:spacing w:val="1"/>
          <w:szCs w:val="24"/>
          <w:u w:val="single"/>
        </w:rPr>
        <w:t>, or diminished</w:t>
      </w:r>
      <w:r w:rsidRPr="0001508F">
        <w:rPr>
          <w:spacing w:val="1"/>
          <w:szCs w:val="24"/>
        </w:rPr>
        <w:t xml:space="preserve"> in any manner that would destroy the full effectiveness of such means of egress.</w:t>
      </w:r>
    </w:p>
    <w:p w14:paraId="7BA55F92" w14:textId="77777777" w:rsidR="0001508F" w:rsidRPr="0001508F" w:rsidRDefault="0001508F" w:rsidP="0001508F">
      <w:pPr>
        <w:widowControl w:val="0"/>
        <w:kinsoku w:val="0"/>
        <w:spacing w:before="120" w:after="120"/>
        <w:ind w:left="360"/>
        <w:rPr>
          <w:spacing w:val="2"/>
          <w:szCs w:val="24"/>
        </w:rPr>
      </w:pPr>
      <w:r w:rsidRPr="0001508F">
        <w:rPr>
          <w:b/>
          <w:szCs w:val="24"/>
        </w:rPr>
        <w:t>Exception:</w:t>
      </w:r>
      <w:r w:rsidRPr="0001508F">
        <w:rPr>
          <w:b/>
          <w:bCs/>
          <w:spacing w:val="2"/>
          <w:w w:val="110"/>
          <w:szCs w:val="24"/>
        </w:rPr>
        <w:t xml:space="preserve"> </w:t>
      </w:r>
      <w:r w:rsidRPr="0001508F">
        <w:rPr>
          <w:spacing w:val="1"/>
          <w:szCs w:val="24"/>
        </w:rPr>
        <w:t>Where adequate alternate provisions are provided in accordance with the requirements of this code, or where the element is temporarily or permanently disconnected, removed, or demolished in accordance with the requirements of this code and of the agency or authority having jurisdiction to temporarily or permanently disconnect, remove, or demolish such element. Such alternative means, disconnection, removal, or demolition shall be shown on the approved plans</w:t>
      </w:r>
      <w:r w:rsidRPr="0001508F">
        <w:rPr>
          <w:szCs w:val="24"/>
          <w:u w:val="single"/>
        </w:rPr>
        <w:t xml:space="preserve"> and shall comply with the applicable provisions of the </w:t>
      </w:r>
      <w:r w:rsidRPr="0001508F">
        <w:rPr>
          <w:i/>
          <w:iCs/>
          <w:szCs w:val="24"/>
          <w:u w:val="single"/>
        </w:rPr>
        <w:t>New York City Existing Building Code</w:t>
      </w:r>
      <w:r w:rsidRPr="0001508F">
        <w:rPr>
          <w:spacing w:val="1"/>
          <w:szCs w:val="24"/>
        </w:rPr>
        <w:t xml:space="preserve">. Fire protection systems, including but not limited to sprinklers, standpipes, and fire alarms, shall only be taken out of service in accordance with the requirements of the </w:t>
      </w:r>
      <w:r w:rsidRPr="0001508F">
        <w:rPr>
          <w:i/>
          <w:spacing w:val="1"/>
          <w:szCs w:val="24"/>
        </w:rPr>
        <w:t>New York City Fire Code</w:t>
      </w:r>
      <w:r w:rsidRPr="0001508F">
        <w:rPr>
          <w:spacing w:val="1"/>
          <w:szCs w:val="24"/>
        </w:rPr>
        <w:t>.</w:t>
      </w:r>
    </w:p>
    <w:bookmarkEnd w:id="299"/>
    <w:p w14:paraId="12505662" w14:textId="77777777" w:rsidR="0001508F" w:rsidRPr="0001508F" w:rsidRDefault="0001508F" w:rsidP="0001508F">
      <w:pPr>
        <w:widowControl w:val="0"/>
        <w:tabs>
          <w:tab w:val="left" w:pos="-2790"/>
        </w:tabs>
        <w:autoSpaceDE w:val="0"/>
        <w:autoSpaceDN w:val="0"/>
        <w:adjustRightInd w:val="0"/>
        <w:spacing w:before="120" w:after="120" w:line="480" w:lineRule="auto"/>
        <w:ind w:firstLine="720"/>
        <w:rPr>
          <w:spacing w:val="1"/>
          <w:szCs w:val="24"/>
        </w:rPr>
      </w:pPr>
      <w:r w:rsidRPr="0001508F">
        <w:rPr>
          <w:bCs/>
          <w:szCs w:val="24"/>
        </w:rPr>
        <w:t>§ 84. Section 3303.10 of the New York city building code, as amended by local law number 126 for the year 2021, is amended to read as follows:</w:t>
      </w:r>
    </w:p>
    <w:p w14:paraId="2F0EA846" w14:textId="77777777" w:rsidR="0001508F" w:rsidRPr="0001508F" w:rsidRDefault="0001508F" w:rsidP="0001508F">
      <w:pPr>
        <w:widowControl w:val="0"/>
        <w:kinsoku w:val="0"/>
        <w:spacing w:before="120" w:after="120"/>
        <w:rPr>
          <w:rFonts w:eastAsia="Times"/>
          <w:szCs w:val="24"/>
          <w:u w:val="single"/>
        </w:rPr>
      </w:pPr>
      <w:r w:rsidRPr="0001508F">
        <w:rPr>
          <w:b/>
          <w:szCs w:val="24"/>
        </w:rPr>
        <w:t>3303.10 Operations in occupied buildings.</w:t>
      </w:r>
      <w:r w:rsidRPr="0001508F">
        <w:rPr>
          <w:b/>
          <w:bCs/>
          <w:spacing w:val="-1"/>
          <w:w w:val="110"/>
          <w:szCs w:val="24"/>
        </w:rPr>
        <w:t xml:space="preserve"> [</w:t>
      </w:r>
      <w:r w:rsidRPr="0001508F">
        <w:rPr>
          <w:strike/>
          <w:spacing w:val="1"/>
          <w:szCs w:val="24"/>
        </w:rPr>
        <w:t>When construction or demolition activity occurs in an occupied building, barricades, signs, drop cloths, and other protective means shall be installed and maintained as necessary to provide reasonable protection for the occupants against hazard and nuisance. Such protective means shall be indicated on an occupant protection plan, or where a tenant protection plan is required by Section 3303.10.1, on a tenant protection plan</w:t>
      </w:r>
      <w:r w:rsidRPr="0001508F">
        <w:rPr>
          <w:spacing w:val="1"/>
          <w:szCs w:val="24"/>
          <w:u w:val="single"/>
        </w:rPr>
        <w:t>]</w:t>
      </w:r>
      <w:r w:rsidRPr="0001508F">
        <w:rPr>
          <w:szCs w:val="24"/>
          <w:u w:val="single"/>
        </w:rPr>
        <w:t xml:space="preserve">In addition to the requirements of this chapter, the requirements of Chapter 15 of the </w:t>
      </w:r>
      <w:r w:rsidRPr="0001508F">
        <w:rPr>
          <w:i/>
          <w:iCs/>
          <w:szCs w:val="24"/>
          <w:u w:val="single"/>
        </w:rPr>
        <w:t>New York City Existing Building Code</w:t>
      </w:r>
      <w:r w:rsidRPr="0001508F">
        <w:rPr>
          <w:szCs w:val="24"/>
          <w:u w:val="single"/>
        </w:rPr>
        <w:t xml:space="preserve"> shall apply to construction or demolition operations performed in an existing building and a building that will be occupied during work</w:t>
      </w:r>
      <w:r w:rsidRPr="0001508F">
        <w:rPr>
          <w:rFonts w:eastAsia="Times"/>
          <w:szCs w:val="24"/>
        </w:rPr>
        <w:t>.</w:t>
      </w:r>
    </w:p>
    <w:p w14:paraId="605A4185" w14:textId="77777777" w:rsidR="0001508F" w:rsidRPr="0001508F" w:rsidRDefault="0001508F" w:rsidP="0001508F">
      <w:pPr>
        <w:widowControl w:val="0"/>
        <w:kinsoku w:val="0"/>
        <w:spacing w:before="120" w:after="120"/>
        <w:rPr>
          <w:rFonts w:eastAsia="Times"/>
          <w:szCs w:val="24"/>
        </w:rPr>
      </w:pPr>
    </w:p>
    <w:p w14:paraId="01907F16" w14:textId="77777777" w:rsidR="0001508F" w:rsidRPr="0001508F" w:rsidRDefault="0001508F" w:rsidP="0001508F">
      <w:pPr>
        <w:widowControl w:val="0"/>
        <w:kinsoku w:val="0"/>
        <w:spacing w:before="120" w:after="120"/>
        <w:ind w:left="360"/>
        <w:rPr>
          <w:szCs w:val="24"/>
          <w:u w:val="single"/>
        </w:rPr>
      </w:pPr>
      <w:r w:rsidRPr="0001508F">
        <w:rPr>
          <w:b/>
          <w:spacing w:val="1"/>
          <w:szCs w:val="24"/>
        </w:rPr>
        <w:t>3303.10.1 Tenant protection plan. [</w:t>
      </w:r>
      <w:r w:rsidRPr="0001508F">
        <w:rPr>
          <w:strike/>
          <w:spacing w:val="1"/>
          <w:szCs w:val="24"/>
        </w:rPr>
        <w:t xml:space="preserve">In buildings containing any occupied dwelling units, including newly constructed buildings that are partially occupied where work is still ongoing within the building, all alteration, construction or partial demolition work shall be performed in accordance with a tenant protection plan as required by Article 120 of Title 28 of the </w:t>
      </w:r>
      <w:r w:rsidRPr="0001508F">
        <w:rPr>
          <w:i/>
          <w:strike/>
          <w:spacing w:val="1"/>
          <w:szCs w:val="24"/>
        </w:rPr>
        <w:t>Administrative Code</w:t>
      </w:r>
      <w:r w:rsidRPr="0001508F">
        <w:rPr>
          <w:strike/>
          <w:spacing w:val="1"/>
          <w:szCs w:val="24"/>
        </w:rPr>
        <w:t>.</w:t>
      </w:r>
      <w:r w:rsidRPr="0001508F">
        <w:rPr>
          <w:spacing w:val="1"/>
          <w:szCs w:val="24"/>
        </w:rPr>
        <w:t xml:space="preserve">] </w:t>
      </w:r>
      <w:r w:rsidRPr="0001508F">
        <w:rPr>
          <w:szCs w:val="24"/>
          <w:u w:val="single"/>
        </w:rPr>
        <w:t xml:space="preserve">Tenant protection plans shall be provided </w:t>
      </w:r>
      <w:r w:rsidRPr="0001508F">
        <w:rPr>
          <w:spacing w:val="1"/>
          <w:szCs w:val="24"/>
          <w:u w:val="single"/>
        </w:rPr>
        <w:t xml:space="preserve">where required by and in accordance </w:t>
      </w:r>
      <w:r w:rsidRPr="0001508F">
        <w:rPr>
          <w:szCs w:val="24"/>
          <w:u w:val="single"/>
        </w:rPr>
        <w:t xml:space="preserve">with Section 1503 of the </w:t>
      </w:r>
      <w:r w:rsidRPr="0001508F">
        <w:rPr>
          <w:i/>
          <w:iCs/>
          <w:szCs w:val="24"/>
          <w:u w:val="single"/>
        </w:rPr>
        <w:t>New York City Existing Building Code</w:t>
      </w:r>
      <w:r w:rsidRPr="0001508F">
        <w:rPr>
          <w:szCs w:val="24"/>
          <w:u w:val="single"/>
        </w:rPr>
        <w:t>.</w:t>
      </w:r>
    </w:p>
    <w:p w14:paraId="1F681475" w14:textId="77777777" w:rsidR="0001508F" w:rsidRPr="0001508F" w:rsidRDefault="0001508F" w:rsidP="0001508F">
      <w:pPr>
        <w:widowControl w:val="0"/>
        <w:tabs>
          <w:tab w:val="left" w:pos="-2790"/>
        </w:tabs>
        <w:autoSpaceDE w:val="0"/>
        <w:autoSpaceDN w:val="0"/>
        <w:adjustRightInd w:val="0"/>
        <w:spacing w:before="120" w:after="120" w:line="480" w:lineRule="auto"/>
        <w:ind w:firstLine="720"/>
        <w:rPr>
          <w:spacing w:val="1"/>
          <w:szCs w:val="24"/>
        </w:rPr>
      </w:pPr>
      <w:r w:rsidRPr="0001508F">
        <w:rPr>
          <w:bCs/>
          <w:szCs w:val="24"/>
        </w:rPr>
        <w:t>§ 85. Section 3303.10.2 of the New York city building code, as amended by local law number 77 for the year 2023, is amended to read as follows:</w:t>
      </w:r>
    </w:p>
    <w:p w14:paraId="76E59F73" w14:textId="77777777" w:rsidR="0001508F" w:rsidRPr="0001508F" w:rsidRDefault="0001508F" w:rsidP="0001508F">
      <w:pPr>
        <w:widowControl w:val="0"/>
        <w:kinsoku w:val="0"/>
        <w:spacing w:before="120" w:after="120"/>
        <w:ind w:left="360"/>
        <w:rPr>
          <w:spacing w:val="1"/>
          <w:szCs w:val="24"/>
        </w:rPr>
      </w:pPr>
    </w:p>
    <w:p w14:paraId="6222E70A" w14:textId="77777777" w:rsidR="0001508F" w:rsidRPr="0001508F" w:rsidRDefault="0001508F" w:rsidP="0001508F">
      <w:pPr>
        <w:widowControl w:val="0"/>
        <w:kinsoku w:val="0"/>
        <w:spacing w:before="120" w:after="120"/>
        <w:ind w:left="360"/>
        <w:rPr>
          <w:szCs w:val="24"/>
          <w:u w:val="single"/>
        </w:rPr>
      </w:pPr>
      <w:r w:rsidRPr="0001508F">
        <w:rPr>
          <w:b/>
          <w:bCs/>
          <w:iCs/>
          <w:spacing w:val="-2"/>
          <w:w w:val="110"/>
          <w:szCs w:val="24"/>
        </w:rPr>
        <w:t>3303.10.2 [</w:t>
      </w:r>
      <w:r w:rsidRPr="0001508F">
        <w:rPr>
          <w:b/>
          <w:bCs/>
          <w:iCs/>
          <w:strike/>
          <w:spacing w:val="-2"/>
          <w:w w:val="110"/>
          <w:szCs w:val="24"/>
        </w:rPr>
        <w:t>Inspections of tenant</w:t>
      </w:r>
      <w:r w:rsidRPr="0001508F">
        <w:rPr>
          <w:b/>
          <w:bCs/>
          <w:iCs/>
          <w:spacing w:val="-2"/>
          <w:w w:val="110"/>
          <w:szCs w:val="24"/>
        </w:rPr>
        <w:t>]</w:t>
      </w:r>
      <w:r w:rsidRPr="0001508F">
        <w:rPr>
          <w:b/>
          <w:bCs/>
          <w:iCs/>
          <w:spacing w:val="-2"/>
          <w:w w:val="110"/>
          <w:szCs w:val="24"/>
          <w:u w:val="single"/>
        </w:rPr>
        <w:t>Occupant</w:t>
      </w:r>
      <w:r w:rsidRPr="0001508F">
        <w:rPr>
          <w:b/>
          <w:bCs/>
          <w:iCs/>
          <w:spacing w:val="-2"/>
          <w:w w:val="110"/>
          <w:szCs w:val="24"/>
        </w:rPr>
        <w:t xml:space="preserve"> protection plan.</w:t>
      </w:r>
      <w:r w:rsidRPr="0001508F">
        <w:rPr>
          <w:bCs/>
          <w:iCs/>
          <w:spacing w:val="-2"/>
          <w:w w:val="110"/>
          <w:szCs w:val="24"/>
        </w:rPr>
        <w:t xml:space="preserve"> [</w:t>
      </w:r>
      <w:r w:rsidRPr="0001508F">
        <w:rPr>
          <w:bCs/>
          <w:iCs/>
          <w:strike/>
          <w:spacing w:val="-2"/>
          <w:w w:val="110"/>
          <w:szCs w:val="24"/>
        </w:rPr>
        <w:t>The owner shall notify the department in writing at least 72 hours prior to the commencement of any work requiring a tenant protection plan. The department shall conduct an inspection of 10 percent of such sites within seven days after the commencement of such work to verify compliance with the tenant protection plan. The department shall conduct follow up inspections of such sites every 180 days until such construction is completed to verify compliance with the building code and tenant protection plan. Thereafter, the department shall conduct an inspection within 10 days of receipt of a complaint concerning such work</w:t>
      </w:r>
      <w:r w:rsidRPr="0001508F">
        <w:rPr>
          <w:bCs/>
          <w:iCs/>
          <w:spacing w:val="-2"/>
          <w:w w:val="110"/>
          <w:szCs w:val="24"/>
        </w:rPr>
        <w:t xml:space="preserve">] </w:t>
      </w:r>
      <w:r w:rsidRPr="0001508F">
        <w:rPr>
          <w:szCs w:val="24"/>
          <w:u w:val="single"/>
        </w:rPr>
        <w:t xml:space="preserve">Occupant protection plans shall be provided </w:t>
      </w:r>
      <w:r w:rsidRPr="0001508F">
        <w:rPr>
          <w:spacing w:val="1"/>
          <w:szCs w:val="24"/>
          <w:u w:val="single"/>
        </w:rPr>
        <w:t xml:space="preserve">in accordance </w:t>
      </w:r>
      <w:r w:rsidRPr="0001508F">
        <w:rPr>
          <w:szCs w:val="24"/>
          <w:u w:val="single"/>
        </w:rPr>
        <w:t xml:space="preserve">with Section 1504 of the </w:t>
      </w:r>
      <w:r w:rsidRPr="0001508F">
        <w:rPr>
          <w:i/>
          <w:iCs/>
          <w:szCs w:val="24"/>
          <w:u w:val="single"/>
        </w:rPr>
        <w:t>New York City Existing Building Code</w:t>
      </w:r>
      <w:r w:rsidRPr="0001508F">
        <w:rPr>
          <w:szCs w:val="24"/>
        </w:rPr>
        <w:t>.</w:t>
      </w:r>
    </w:p>
    <w:p w14:paraId="70064E36" w14:textId="77777777" w:rsidR="0001508F" w:rsidRPr="0001508F" w:rsidRDefault="0001508F" w:rsidP="0001508F">
      <w:pPr>
        <w:widowControl w:val="0"/>
        <w:tabs>
          <w:tab w:val="left" w:pos="-2790"/>
        </w:tabs>
        <w:autoSpaceDE w:val="0"/>
        <w:autoSpaceDN w:val="0"/>
        <w:adjustRightInd w:val="0"/>
        <w:spacing w:before="120" w:after="120" w:line="480" w:lineRule="auto"/>
        <w:ind w:firstLine="720"/>
        <w:rPr>
          <w:spacing w:val="1"/>
          <w:szCs w:val="24"/>
        </w:rPr>
      </w:pPr>
      <w:r w:rsidRPr="0001508F">
        <w:rPr>
          <w:bCs/>
          <w:szCs w:val="24"/>
        </w:rPr>
        <w:t>§ 86. Section 3303.10.3 of the New York city building code is REPEALED.</w:t>
      </w:r>
    </w:p>
    <w:p w14:paraId="3CF356D1" w14:textId="77777777" w:rsidR="0001508F" w:rsidRPr="0001508F" w:rsidRDefault="0001508F" w:rsidP="0001508F">
      <w:pPr>
        <w:widowControl w:val="0"/>
        <w:tabs>
          <w:tab w:val="left" w:pos="-2790"/>
        </w:tabs>
        <w:autoSpaceDE w:val="0"/>
        <w:autoSpaceDN w:val="0"/>
        <w:adjustRightInd w:val="0"/>
        <w:spacing w:before="120" w:after="120" w:line="480" w:lineRule="auto"/>
        <w:ind w:firstLine="720"/>
        <w:rPr>
          <w:spacing w:val="1"/>
          <w:szCs w:val="24"/>
        </w:rPr>
      </w:pPr>
      <w:r w:rsidRPr="0001508F">
        <w:rPr>
          <w:bCs/>
          <w:szCs w:val="24"/>
        </w:rPr>
        <w:t>§ 87. Section 3310.1 of the New York city building code, as amended by local law number 126 for the year 2021, is amended to read as follows:</w:t>
      </w:r>
    </w:p>
    <w:p w14:paraId="5E566AAA" w14:textId="77777777" w:rsidR="0001508F" w:rsidRPr="0001508F" w:rsidRDefault="0001508F" w:rsidP="0001508F">
      <w:pPr>
        <w:spacing w:before="120" w:after="120"/>
        <w:rPr>
          <w:szCs w:val="24"/>
        </w:rPr>
      </w:pPr>
      <w:r w:rsidRPr="0001508F">
        <w:rPr>
          <w:b/>
          <w:szCs w:val="24"/>
        </w:rPr>
        <w:t>3310.1 Scope.</w:t>
      </w:r>
      <w:r w:rsidRPr="0001508F">
        <w:rPr>
          <w:b/>
          <w:bCs/>
          <w:szCs w:val="24"/>
        </w:rPr>
        <w:t xml:space="preserve"> </w:t>
      </w:r>
      <w:r w:rsidRPr="0001508F">
        <w:rPr>
          <w:szCs w:val="24"/>
        </w:rPr>
        <w:t>This section shall apply to:</w:t>
      </w:r>
    </w:p>
    <w:p w14:paraId="3446D453" w14:textId="77777777" w:rsidR="0001508F" w:rsidRPr="0001508F" w:rsidRDefault="0001508F" w:rsidP="0001508F">
      <w:pPr>
        <w:numPr>
          <w:ilvl w:val="0"/>
          <w:numId w:val="53"/>
        </w:numPr>
        <w:spacing w:before="120" w:after="120"/>
        <w:ind w:left="720"/>
        <w:jc w:val="left"/>
        <w:rPr>
          <w:szCs w:val="24"/>
        </w:rPr>
      </w:pPr>
      <w:r w:rsidRPr="0001508F">
        <w:rPr>
          <w:szCs w:val="24"/>
        </w:rPr>
        <w:t>The construction of a new major building;</w:t>
      </w:r>
    </w:p>
    <w:p w14:paraId="1C4C4274" w14:textId="77777777" w:rsidR="0001508F" w:rsidRPr="0001508F" w:rsidRDefault="0001508F" w:rsidP="0001508F">
      <w:pPr>
        <w:numPr>
          <w:ilvl w:val="0"/>
          <w:numId w:val="53"/>
        </w:numPr>
        <w:spacing w:before="120" w:after="120"/>
        <w:ind w:left="720"/>
        <w:jc w:val="left"/>
        <w:rPr>
          <w:szCs w:val="24"/>
        </w:rPr>
      </w:pPr>
      <w:r w:rsidRPr="0001508F">
        <w:rPr>
          <w:szCs w:val="24"/>
        </w:rPr>
        <w:t>The vertical or horizontal enlargement of a major building;</w:t>
      </w:r>
    </w:p>
    <w:p w14:paraId="349E2EDD" w14:textId="77777777" w:rsidR="0001508F" w:rsidRPr="0001508F" w:rsidRDefault="0001508F" w:rsidP="0001508F">
      <w:pPr>
        <w:numPr>
          <w:ilvl w:val="0"/>
          <w:numId w:val="53"/>
        </w:numPr>
        <w:spacing w:before="120" w:after="120"/>
        <w:ind w:left="720"/>
        <w:jc w:val="left"/>
        <w:rPr>
          <w:szCs w:val="24"/>
        </w:rPr>
      </w:pPr>
      <w:r w:rsidRPr="0001508F">
        <w:rPr>
          <w:szCs w:val="24"/>
        </w:rPr>
        <w:t>The full or partial demolition of a major building;</w:t>
      </w:r>
    </w:p>
    <w:p w14:paraId="33789C24" w14:textId="77777777" w:rsidR="0001508F" w:rsidRPr="0001508F" w:rsidRDefault="0001508F" w:rsidP="0001508F">
      <w:pPr>
        <w:numPr>
          <w:ilvl w:val="0"/>
          <w:numId w:val="53"/>
        </w:numPr>
        <w:spacing w:before="120" w:after="120"/>
        <w:ind w:left="720"/>
        <w:jc w:val="left"/>
        <w:rPr>
          <w:szCs w:val="24"/>
        </w:rPr>
      </w:pPr>
      <w:r w:rsidRPr="0001508F">
        <w:rPr>
          <w:szCs w:val="24"/>
        </w:rPr>
        <w:t>The alteration, maintenance, or repair of a façade of a major building[</w:t>
      </w:r>
      <w:r w:rsidRPr="0001508F">
        <w:rPr>
          <w:strike/>
          <w:szCs w:val="24"/>
        </w:rPr>
        <w:t>, provided the building is more than 14 stories or 200 feet (60 960 mm) in height, whichever is less, and also provided the façade work requires a sidewalk shed to be installed</w:t>
      </w:r>
      <w:r w:rsidRPr="0001508F">
        <w:rPr>
          <w:szCs w:val="24"/>
        </w:rPr>
        <w:t>]; and</w:t>
      </w:r>
    </w:p>
    <w:p w14:paraId="350AF256" w14:textId="77777777" w:rsidR="0001508F" w:rsidRPr="0001508F" w:rsidRDefault="0001508F" w:rsidP="0001508F">
      <w:pPr>
        <w:numPr>
          <w:ilvl w:val="0"/>
          <w:numId w:val="53"/>
        </w:numPr>
        <w:spacing w:before="120" w:after="120"/>
        <w:ind w:left="720"/>
        <w:jc w:val="left"/>
        <w:rPr>
          <w:szCs w:val="24"/>
        </w:rPr>
      </w:pPr>
      <w:r w:rsidRPr="0001508F">
        <w:rPr>
          <w:szCs w:val="24"/>
        </w:rPr>
        <w:t>Any construction or demolition work, including the alteration, maintenance, or repair of a façade, in a building so designated by the commissioner.</w:t>
      </w:r>
    </w:p>
    <w:p w14:paraId="7FFF9E3C" w14:textId="77777777" w:rsidR="0001508F" w:rsidRPr="0001508F" w:rsidRDefault="0001508F" w:rsidP="0001508F">
      <w:pPr>
        <w:spacing w:before="120" w:after="120"/>
        <w:ind w:left="360"/>
        <w:rPr>
          <w:szCs w:val="24"/>
        </w:rPr>
      </w:pPr>
      <w:r w:rsidRPr="0001508F">
        <w:rPr>
          <w:b/>
          <w:szCs w:val="24"/>
        </w:rPr>
        <w:t>[</w:t>
      </w:r>
      <w:r w:rsidRPr="0001508F">
        <w:rPr>
          <w:b/>
          <w:strike/>
          <w:szCs w:val="24"/>
        </w:rPr>
        <w:t>Exception</w:t>
      </w:r>
      <w:r w:rsidRPr="0001508F">
        <w:rPr>
          <w:b/>
          <w:szCs w:val="24"/>
        </w:rPr>
        <w:t xml:space="preserve">] </w:t>
      </w:r>
      <w:r w:rsidRPr="0001508F">
        <w:rPr>
          <w:b/>
          <w:szCs w:val="24"/>
          <w:u w:val="single"/>
        </w:rPr>
        <w:t>Exceptions</w:t>
      </w:r>
      <w:r w:rsidRPr="0001508F">
        <w:rPr>
          <w:b/>
          <w:szCs w:val="24"/>
        </w:rPr>
        <w:t>:</w:t>
      </w:r>
      <w:r w:rsidRPr="0001508F">
        <w:rPr>
          <w:szCs w:val="24"/>
        </w:rPr>
        <w:t xml:space="preserve"> The requirements of this section shall not apply to[</w:t>
      </w:r>
      <w:r w:rsidRPr="0001508F">
        <w:rPr>
          <w:strike/>
          <w:szCs w:val="24"/>
        </w:rPr>
        <w:t>partial</w:t>
      </w:r>
      <w:r w:rsidRPr="0001508F">
        <w:rPr>
          <w:szCs w:val="24"/>
        </w:rPr>
        <w:t>]</w:t>
      </w:r>
      <w:r w:rsidRPr="0001508F">
        <w:rPr>
          <w:szCs w:val="24"/>
          <w:u w:val="single"/>
        </w:rPr>
        <w:t>:</w:t>
      </w:r>
    </w:p>
    <w:p w14:paraId="0C667191" w14:textId="77777777" w:rsidR="0001508F" w:rsidRPr="0001508F" w:rsidRDefault="0001508F" w:rsidP="0001508F">
      <w:pPr>
        <w:widowControl w:val="0"/>
        <w:numPr>
          <w:ilvl w:val="0"/>
          <w:numId w:val="54"/>
        </w:numPr>
        <w:kinsoku w:val="0"/>
        <w:spacing w:before="120" w:after="120"/>
        <w:jc w:val="left"/>
        <w:rPr>
          <w:spacing w:val="1"/>
          <w:szCs w:val="24"/>
          <w:u w:val="single"/>
        </w:rPr>
      </w:pPr>
      <w:r w:rsidRPr="0001508F">
        <w:rPr>
          <w:spacing w:val="1"/>
          <w:szCs w:val="24"/>
          <w:u w:val="single"/>
        </w:rPr>
        <w:t>Work that does not require a permit.</w:t>
      </w:r>
    </w:p>
    <w:p w14:paraId="511F6E43" w14:textId="77777777" w:rsidR="0001508F" w:rsidRPr="0001508F" w:rsidRDefault="0001508F" w:rsidP="0001508F">
      <w:pPr>
        <w:widowControl w:val="0"/>
        <w:numPr>
          <w:ilvl w:val="0"/>
          <w:numId w:val="54"/>
        </w:numPr>
        <w:kinsoku w:val="0"/>
        <w:spacing w:before="120" w:after="120"/>
        <w:jc w:val="left"/>
        <w:rPr>
          <w:spacing w:val="1"/>
          <w:szCs w:val="24"/>
          <w:u w:val="single"/>
        </w:rPr>
      </w:pPr>
      <w:r w:rsidRPr="0001508F">
        <w:rPr>
          <w:rFonts w:eastAsia="Times"/>
          <w:szCs w:val="24"/>
          <w:u w:val="single"/>
        </w:rPr>
        <w:t>Work whose scope is limited to that authorized by a Limited Alteration Application.</w:t>
      </w:r>
    </w:p>
    <w:p w14:paraId="3DD5EF16" w14:textId="77777777" w:rsidR="0001508F" w:rsidRPr="0001508F" w:rsidRDefault="0001508F" w:rsidP="0001508F">
      <w:pPr>
        <w:spacing w:before="120" w:after="120"/>
        <w:ind w:left="1080" w:hanging="360"/>
        <w:rPr>
          <w:szCs w:val="24"/>
        </w:rPr>
      </w:pPr>
      <w:r w:rsidRPr="0001508F">
        <w:rPr>
          <w:szCs w:val="24"/>
          <w:u w:val="single"/>
        </w:rPr>
        <w:t>3.</w:t>
      </w:r>
      <w:r w:rsidRPr="0001508F">
        <w:rPr>
          <w:szCs w:val="24"/>
          <w:u w:val="single"/>
        </w:rPr>
        <w:tab/>
        <w:t>Partial</w:t>
      </w:r>
      <w:r w:rsidRPr="0001508F">
        <w:rPr>
          <w:szCs w:val="24"/>
        </w:rPr>
        <w:t xml:space="preserve"> demolition operations limited to the interior components of a major building</w:t>
      </w:r>
      <w:r w:rsidRPr="0001508F">
        <w:rPr>
          <w:szCs w:val="24"/>
          <w:u w:val="single"/>
        </w:rPr>
        <w:t>,</w:t>
      </w:r>
      <w:r w:rsidRPr="0001508F">
        <w:rPr>
          <w:szCs w:val="24"/>
        </w:rPr>
        <w:t xml:space="preserve"> provided no mechanical demolition equipment, other than handheld devices, are used.</w:t>
      </w:r>
    </w:p>
    <w:p w14:paraId="5341E44D" w14:textId="77777777" w:rsidR="0001508F" w:rsidRPr="0001508F" w:rsidRDefault="0001508F" w:rsidP="0001508F">
      <w:pPr>
        <w:spacing w:before="120" w:after="120"/>
        <w:ind w:left="1080" w:hanging="360"/>
        <w:rPr>
          <w:szCs w:val="24"/>
          <w:u w:val="single"/>
        </w:rPr>
      </w:pPr>
      <w:r w:rsidRPr="0001508F">
        <w:rPr>
          <w:szCs w:val="24"/>
          <w:u w:val="single"/>
        </w:rPr>
        <w:t>4.</w:t>
      </w:r>
      <w:r w:rsidRPr="0001508F">
        <w:rPr>
          <w:szCs w:val="24"/>
          <w:u w:val="single"/>
        </w:rPr>
        <w:tab/>
        <w:t>The alteration, maintenance, or repair of a façade, including partial demolition operations incidental there to, that does not require a sidewalk shed or equivalent overhead protection to be installed.</w:t>
      </w:r>
    </w:p>
    <w:p w14:paraId="21E0387D" w14:textId="77777777" w:rsidR="0001508F" w:rsidRPr="0001508F" w:rsidRDefault="0001508F" w:rsidP="0001508F">
      <w:pPr>
        <w:spacing w:before="120" w:after="120"/>
        <w:ind w:left="1080" w:hanging="360"/>
        <w:rPr>
          <w:szCs w:val="24"/>
          <w:u w:val="single"/>
        </w:rPr>
      </w:pPr>
      <w:r w:rsidRPr="0001508F">
        <w:rPr>
          <w:szCs w:val="24"/>
          <w:u w:val="single"/>
        </w:rPr>
        <w:t>5.</w:t>
      </w:r>
      <w:r w:rsidRPr="0001508F">
        <w:rPr>
          <w:szCs w:val="24"/>
          <w:u w:val="single"/>
        </w:rPr>
        <w:tab/>
        <w:t>The alteration, maintenance, or repair of a façade, including partial demolition operations incidental there to, on a building that does not exceed either 14 stories or 200 feet (60 960 mm) in height.</w:t>
      </w:r>
    </w:p>
    <w:p w14:paraId="31E3D712" w14:textId="77777777" w:rsidR="0001508F" w:rsidRPr="0001508F" w:rsidRDefault="0001508F" w:rsidP="0001508F">
      <w:pPr>
        <w:widowControl w:val="0"/>
        <w:tabs>
          <w:tab w:val="left" w:pos="-2790"/>
        </w:tabs>
        <w:autoSpaceDE w:val="0"/>
        <w:autoSpaceDN w:val="0"/>
        <w:adjustRightInd w:val="0"/>
        <w:spacing w:before="120" w:after="120" w:line="480" w:lineRule="auto"/>
        <w:ind w:firstLine="720"/>
        <w:rPr>
          <w:bCs/>
          <w:szCs w:val="24"/>
        </w:rPr>
      </w:pPr>
    </w:p>
    <w:p w14:paraId="0CBEA835" w14:textId="77777777" w:rsidR="0001508F" w:rsidRPr="0001508F" w:rsidRDefault="0001508F" w:rsidP="0001508F">
      <w:pPr>
        <w:widowControl w:val="0"/>
        <w:tabs>
          <w:tab w:val="left" w:pos="-2790"/>
        </w:tabs>
        <w:autoSpaceDE w:val="0"/>
        <w:autoSpaceDN w:val="0"/>
        <w:adjustRightInd w:val="0"/>
        <w:spacing w:before="120" w:after="120" w:line="480" w:lineRule="auto"/>
        <w:ind w:firstLine="720"/>
        <w:rPr>
          <w:spacing w:val="1"/>
          <w:szCs w:val="24"/>
        </w:rPr>
      </w:pPr>
      <w:r w:rsidRPr="0001508F">
        <w:rPr>
          <w:bCs/>
          <w:szCs w:val="24"/>
        </w:rPr>
        <w:t>§ 88. Section D101.1 of the New York city building code, as amended by local law number 33 for the year 2007, is amended to read as follows:</w:t>
      </w:r>
    </w:p>
    <w:p w14:paraId="0947A47E" w14:textId="77777777" w:rsidR="0001508F" w:rsidRPr="0001508F" w:rsidRDefault="0001508F" w:rsidP="0001508F">
      <w:pPr>
        <w:widowControl w:val="0"/>
        <w:spacing w:before="120" w:after="120"/>
        <w:rPr>
          <w:szCs w:val="24"/>
        </w:rPr>
      </w:pPr>
      <w:r w:rsidRPr="0001508F">
        <w:rPr>
          <w:b/>
          <w:szCs w:val="24"/>
        </w:rPr>
        <w:t>D101.1 Scope.</w:t>
      </w:r>
      <w:r w:rsidRPr="0001508F">
        <w:rPr>
          <w:b/>
          <w:bCs/>
          <w:w w:val="110"/>
          <w:szCs w:val="24"/>
        </w:rPr>
        <w:t xml:space="preserve"> </w:t>
      </w:r>
      <w:r w:rsidRPr="0001508F">
        <w:rPr>
          <w:spacing w:val="1"/>
          <w:szCs w:val="24"/>
        </w:rPr>
        <w:t>The provisions of this appendix shall regulate the division of the city of New York into geographical territories known as fire districts[</w:t>
      </w:r>
      <w:r w:rsidRPr="0001508F">
        <w:rPr>
          <w:strike/>
          <w:spacing w:val="1"/>
          <w:szCs w:val="24"/>
        </w:rPr>
        <w:t xml:space="preserve"> and control the occupancy groups and construction classes permitted in the fire districts</w:t>
      </w:r>
      <w:r w:rsidRPr="0001508F">
        <w:rPr>
          <w:spacing w:val="1"/>
          <w:szCs w:val="24"/>
        </w:rPr>
        <w:t>]. Wherever reference is made to the fire district, it shall be construed to mean the fire districts designated and referred to in this appendix.</w:t>
      </w:r>
    </w:p>
    <w:p w14:paraId="1C7E21D5" w14:textId="77777777" w:rsidR="0001508F" w:rsidRPr="0001508F" w:rsidRDefault="0001508F" w:rsidP="0001508F">
      <w:pPr>
        <w:widowControl w:val="0"/>
        <w:spacing w:before="120" w:after="120" w:line="480" w:lineRule="auto"/>
        <w:ind w:firstLine="720"/>
        <w:jc w:val="left"/>
        <w:rPr>
          <w:b/>
          <w:bCs/>
          <w:spacing w:val="-8"/>
          <w:w w:val="105"/>
          <w:szCs w:val="24"/>
        </w:rPr>
      </w:pPr>
      <w:r w:rsidRPr="0001508F">
        <w:rPr>
          <w:bCs/>
          <w:szCs w:val="24"/>
        </w:rPr>
        <w:t>§ 89. Section D102 of the New York city building code is REPEALED, except that the title of such section is amended to read as follows:</w:t>
      </w:r>
    </w:p>
    <w:p w14:paraId="2DE4BABA" w14:textId="77777777" w:rsidR="0001508F" w:rsidRPr="0001508F" w:rsidRDefault="0001508F" w:rsidP="0001508F">
      <w:pPr>
        <w:widowControl w:val="0"/>
        <w:spacing w:before="120" w:after="120"/>
        <w:jc w:val="center"/>
        <w:rPr>
          <w:b/>
          <w:bCs/>
          <w:spacing w:val="-8"/>
          <w:w w:val="105"/>
          <w:szCs w:val="24"/>
        </w:rPr>
      </w:pPr>
      <w:r w:rsidRPr="0001508F">
        <w:rPr>
          <w:b/>
          <w:bCs/>
          <w:spacing w:val="-8"/>
          <w:w w:val="105"/>
          <w:szCs w:val="24"/>
        </w:rPr>
        <w:t>SECTION BC D102</w:t>
      </w:r>
      <w:r w:rsidRPr="0001508F">
        <w:rPr>
          <w:b/>
          <w:bCs/>
          <w:spacing w:val="-8"/>
          <w:w w:val="105"/>
          <w:szCs w:val="24"/>
        </w:rPr>
        <w:br/>
        <w:t>[</w:t>
      </w:r>
      <w:r w:rsidRPr="0001508F">
        <w:rPr>
          <w:b/>
          <w:bCs/>
          <w:strike/>
          <w:spacing w:val="-8"/>
          <w:w w:val="105"/>
          <w:szCs w:val="24"/>
        </w:rPr>
        <w:t>BUILDING RESTRICTIONS</w:t>
      </w:r>
      <w:r w:rsidRPr="0001508F">
        <w:rPr>
          <w:b/>
          <w:bCs/>
          <w:spacing w:val="-8"/>
          <w:w w:val="105"/>
          <w:szCs w:val="24"/>
        </w:rPr>
        <w:t xml:space="preserve">] </w:t>
      </w:r>
      <w:r w:rsidRPr="0001508F">
        <w:rPr>
          <w:b/>
          <w:bCs/>
          <w:spacing w:val="-8"/>
          <w:w w:val="105"/>
          <w:szCs w:val="24"/>
          <w:u w:val="single"/>
        </w:rPr>
        <w:t>RESERVED</w:t>
      </w:r>
    </w:p>
    <w:p w14:paraId="3ADC3CF3" w14:textId="77777777" w:rsidR="0001508F" w:rsidRPr="0001508F" w:rsidRDefault="0001508F" w:rsidP="0001508F">
      <w:pPr>
        <w:widowControl w:val="0"/>
        <w:spacing w:before="120" w:after="120" w:line="480" w:lineRule="auto"/>
        <w:ind w:firstLine="720"/>
        <w:jc w:val="left"/>
        <w:rPr>
          <w:b/>
          <w:bCs/>
          <w:spacing w:val="-8"/>
          <w:w w:val="105"/>
          <w:szCs w:val="24"/>
        </w:rPr>
      </w:pPr>
      <w:r w:rsidRPr="0001508F">
        <w:rPr>
          <w:bCs/>
          <w:szCs w:val="24"/>
        </w:rPr>
        <w:t>§ 90. Section D103 of the New York city building code is REPEALED, except that the title of such section is amended to read as follows:</w:t>
      </w:r>
    </w:p>
    <w:p w14:paraId="2E1B05C7" w14:textId="77777777" w:rsidR="0001508F" w:rsidRPr="0001508F" w:rsidRDefault="0001508F" w:rsidP="0001508F">
      <w:pPr>
        <w:jc w:val="center"/>
        <w:rPr>
          <w:b/>
          <w:bCs/>
          <w:szCs w:val="24"/>
        </w:rPr>
      </w:pPr>
    </w:p>
    <w:p w14:paraId="5DB9726A" w14:textId="77777777" w:rsidR="0001508F" w:rsidRPr="0001508F" w:rsidRDefault="0001508F" w:rsidP="0001508F">
      <w:pPr>
        <w:jc w:val="center"/>
        <w:rPr>
          <w:b/>
          <w:bCs/>
          <w:szCs w:val="24"/>
        </w:rPr>
      </w:pPr>
      <w:r w:rsidRPr="0001508F">
        <w:rPr>
          <w:b/>
          <w:bCs/>
          <w:szCs w:val="24"/>
        </w:rPr>
        <w:t>SECTION BC D103</w:t>
      </w:r>
      <w:r w:rsidRPr="0001508F">
        <w:rPr>
          <w:b/>
          <w:bCs/>
          <w:szCs w:val="24"/>
        </w:rPr>
        <w:br/>
        <w:t>[</w:t>
      </w:r>
      <w:r w:rsidRPr="0001508F">
        <w:rPr>
          <w:b/>
          <w:bCs/>
          <w:strike/>
          <w:szCs w:val="24"/>
        </w:rPr>
        <w:t>CHANGES TO BUILDINGS</w:t>
      </w:r>
      <w:r w:rsidRPr="0001508F">
        <w:rPr>
          <w:b/>
          <w:bCs/>
          <w:szCs w:val="24"/>
        </w:rPr>
        <w:t>]</w:t>
      </w:r>
      <w:r w:rsidRPr="0001508F">
        <w:rPr>
          <w:b/>
          <w:bCs/>
          <w:szCs w:val="24"/>
          <w:u w:val="single"/>
        </w:rPr>
        <w:t>RESERVED</w:t>
      </w:r>
    </w:p>
    <w:p w14:paraId="2E674585" w14:textId="77777777" w:rsidR="0001508F" w:rsidRPr="0001508F" w:rsidRDefault="0001508F" w:rsidP="0001508F">
      <w:pPr>
        <w:widowControl w:val="0"/>
        <w:spacing w:before="120" w:after="120" w:line="480" w:lineRule="auto"/>
        <w:ind w:firstLine="720"/>
        <w:jc w:val="left"/>
        <w:rPr>
          <w:b/>
          <w:bCs/>
          <w:spacing w:val="-8"/>
          <w:w w:val="105"/>
          <w:szCs w:val="24"/>
        </w:rPr>
      </w:pPr>
      <w:r w:rsidRPr="0001508F">
        <w:rPr>
          <w:bCs/>
          <w:szCs w:val="24"/>
        </w:rPr>
        <w:t>§ 91. Section D104 of the New York city building code is REPEALED, except that the title of such section is amended to read as follows:</w:t>
      </w:r>
    </w:p>
    <w:p w14:paraId="4AE2C034" w14:textId="77777777" w:rsidR="0001508F" w:rsidRPr="0001508F" w:rsidRDefault="0001508F" w:rsidP="0001508F">
      <w:pPr>
        <w:rPr>
          <w:szCs w:val="24"/>
        </w:rPr>
      </w:pPr>
    </w:p>
    <w:p w14:paraId="77F47044" w14:textId="77777777" w:rsidR="0001508F" w:rsidRPr="0001508F" w:rsidRDefault="0001508F" w:rsidP="0001508F">
      <w:pPr>
        <w:widowControl w:val="0"/>
        <w:spacing w:before="120" w:after="120"/>
        <w:jc w:val="center"/>
        <w:rPr>
          <w:b/>
          <w:bCs/>
          <w:spacing w:val="-8"/>
          <w:w w:val="105"/>
          <w:szCs w:val="24"/>
        </w:rPr>
      </w:pPr>
      <w:r w:rsidRPr="0001508F">
        <w:rPr>
          <w:b/>
          <w:bCs/>
          <w:spacing w:val="-8"/>
          <w:w w:val="105"/>
          <w:szCs w:val="24"/>
        </w:rPr>
        <w:t>SECTION BC D104</w:t>
      </w:r>
      <w:r w:rsidRPr="0001508F">
        <w:rPr>
          <w:b/>
          <w:bCs/>
          <w:spacing w:val="-8"/>
          <w:w w:val="105"/>
          <w:szCs w:val="24"/>
        </w:rPr>
        <w:br/>
        <w:t>[</w:t>
      </w:r>
      <w:r w:rsidRPr="0001508F">
        <w:rPr>
          <w:b/>
          <w:bCs/>
          <w:strike/>
          <w:spacing w:val="-8"/>
          <w:w w:val="105"/>
          <w:szCs w:val="24"/>
        </w:rPr>
        <w:t>BUILDINGS LOCATED PARTIALLY IN THE FIRE DISTRICT</w:t>
      </w:r>
      <w:r w:rsidRPr="0001508F">
        <w:rPr>
          <w:b/>
          <w:bCs/>
          <w:spacing w:val="-8"/>
          <w:w w:val="105"/>
          <w:szCs w:val="24"/>
        </w:rPr>
        <w:t>]</w:t>
      </w:r>
      <w:r w:rsidRPr="0001508F">
        <w:rPr>
          <w:b/>
          <w:bCs/>
          <w:spacing w:val="-8"/>
          <w:w w:val="105"/>
          <w:szCs w:val="24"/>
          <w:u w:val="single"/>
        </w:rPr>
        <w:t>RESERVED</w:t>
      </w:r>
    </w:p>
    <w:p w14:paraId="7783D7B0" w14:textId="77777777" w:rsidR="0001508F" w:rsidRPr="0001508F" w:rsidRDefault="0001508F" w:rsidP="0001508F">
      <w:pPr>
        <w:widowControl w:val="0"/>
        <w:spacing w:before="120" w:after="120" w:line="480" w:lineRule="auto"/>
        <w:ind w:firstLine="720"/>
        <w:jc w:val="left"/>
        <w:rPr>
          <w:bCs/>
          <w:szCs w:val="24"/>
        </w:rPr>
      </w:pPr>
    </w:p>
    <w:p w14:paraId="17F665DD" w14:textId="77777777" w:rsidR="0001508F" w:rsidRPr="0001508F" w:rsidRDefault="0001508F" w:rsidP="0001508F">
      <w:pPr>
        <w:widowControl w:val="0"/>
        <w:spacing w:before="120" w:after="120" w:line="480" w:lineRule="auto"/>
        <w:ind w:firstLine="720"/>
        <w:jc w:val="left"/>
        <w:rPr>
          <w:b/>
          <w:bCs/>
          <w:spacing w:val="-8"/>
          <w:w w:val="105"/>
          <w:szCs w:val="24"/>
        </w:rPr>
      </w:pPr>
      <w:r w:rsidRPr="0001508F">
        <w:rPr>
          <w:bCs/>
          <w:szCs w:val="24"/>
        </w:rPr>
        <w:t>§ 92. Section D105 of the New York city building code is REPEALED, except that the title of such section is amended to read as follows:</w:t>
      </w:r>
    </w:p>
    <w:p w14:paraId="62AE8A8D" w14:textId="77777777" w:rsidR="0001508F" w:rsidRPr="0001508F" w:rsidRDefault="0001508F" w:rsidP="0001508F">
      <w:pPr>
        <w:widowControl w:val="0"/>
        <w:spacing w:before="120" w:after="120"/>
        <w:rPr>
          <w:spacing w:val="1"/>
          <w:szCs w:val="24"/>
        </w:rPr>
      </w:pPr>
    </w:p>
    <w:p w14:paraId="5D06370F" w14:textId="77777777" w:rsidR="0001508F" w:rsidRPr="0001508F" w:rsidRDefault="0001508F" w:rsidP="0001508F">
      <w:pPr>
        <w:widowControl w:val="0"/>
        <w:spacing w:before="120" w:after="120"/>
        <w:jc w:val="center"/>
        <w:rPr>
          <w:b/>
          <w:bCs/>
          <w:spacing w:val="-8"/>
          <w:w w:val="105"/>
          <w:szCs w:val="24"/>
        </w:rPr>
      </w:pPr>
      <w:r w:rsidRPr="0001508F">
        <w:rPr>
          <w:b/>
          <w:bCs/>
          <w:spacing w:val="-8"/>
          <w:w w:val="105"/>
          <w:szCs w:val="24"/>
        </w:rPr>
        <w:t>SECTION BC D105</w:t>
      </w:r>
      <w:r w:rsidRPr="0001508F">
        <w:rPr>
          <w:b/>
          <w:bCs/>
          <w:spacing w:val="-8"/>
          <w:w w:val="105"/>
          <w:szCs w:val="24"/>
        </w:rPr>
        <w:br/>
        <w:t>[</w:t>
      </w:r>
      <w:r w:rsidRPr="0001508F">
        <w:rPr>
          <w:b/>
          <w:bCs/>
          <w:strike/>
          <w:spacing w:val="-8"/>
          <w:w w:val="105"/>
          <w:szCs w:val="24"/>
        </w:rPr>
        <w:t>EXCEPTIONS TO RESTRICTIONS IN FIRE DISTRICT</w:t>
      </w:r>
      <w:r w:rsidRPr="0001508F">
        <w:rPr>
          <w:b/>
          <w:bCs/>
          <w:spacing w:val="-8"/>
          <w:w w:val="105"/>
          <w:szCs w:val="24"/>
        </w:rPr>
        <w:t>]</w:t>
      </w:r>
      <w:r w:rsidRPr="0001508F">
        <w:rPr>
          <w:b/>
          <w:bCs/>
          <w:spacing w:val="-8"/>
          <w:w w:val="105"/>
          <w:szCs w:val="24"/>
          <w:u w:val="single"/>
        </w:rPr>
        <w:t>RESERVED</w:t>
      </w:r>
    </w:p>
    <w:p w14:paraId="527B339C" w14:textId="77777777" w:rsidR="0001508F" w:rsidRPr="0001508F" w:rsidRDefault="0001508F" w:rsidP="0001508F">
      <w:pPr>
        <w:widowControl w:val="0"/>
        <w:kinsoku w:val="0"/>
        <w:spacing w:before="120" w:after="120"/>
        <w:rPr>
          <w:rFonts w:eastAsia="SimSun"/>
          <w:szCs w:val="24"/>
        </w:rPr>
      </w:pPr>
    </w:p>
    <w:p w14:paraId="5B77B67F" w14:textId="77777777" w:rsidR="0001508F" w:rsidRPr="0001508F" w:rsidRDefault="0001508F" w:rsidP="0001508F">
      <w:pPr>
        <w:widowControl w:val="0"/>
        <w:spacing w:before="120" w:after="120" w:line="480" w:lineRule="auto"/>
        <w:ind w:firstLine="720"/>
        <w:jc w:val="left"/>
        <w:rPr>
          <w:b/>
          <w:bCs/>
          <w:spacing w:val="-8"/>
          <w:w w:val="105"/>
          <w:szCs w:val="24"/>
        </w:rPr>
      </w:pPr>
      <w:r w:rsidRPr="0001508F">
        <w:rPr>
          <w:bCs/>
          <w:szCs w:val="24"/>
        </w:rPr>
        <w:t>§ 93. Section 102.2.1 of the New York city fuel gas code is REPEALED.</w:t>
      </w:r>
    </w:p>
    <w:p w14:paraId="1AA10346" w14:textId="77777777" w:rsidR="0001508F" w:rsidRPr="0001508F" w:rsidRDefault="0001508F" w:rsidP="0001508F">
      <w:pPr>
        <w:widowControl w:val="0"/>
        <w:spacing w:before="120" w:after="120" w:line="480" w:lineRule="auto"/>
        <w:ind w:firstLine="720"/>
        <w:jc w:val="left"/>
        <w:rPr>
          <w:b/>
          <w:bCs/>
          <w:spacing w:val="-8"/>
          <w:w w:val="105"/>
          <w:szCs w:val="24"/>
        </w:rPr>
      </w:pPr>
      <w:r w:rsidRPr="0001508F">
        <w:rPr>
          <w:bCs/>
          <w:szCs w:val="24"/>
        </w:rPr>
        <w:t>§ 94. Chapter 1 of the New York city fuel gas code is amended by adding a new section 102.3.2 to read as follows:</w:t>
      </w:r>
    </w:p>
    <w:p w14:paraId="2E0765CE" w14:textId="77777777" w:rsidR="0001508F" w:rsidRPr="0001508F" w:rsidRDefault="0001508F" w:rsidP="0001508F">
      <w:pPr>
        <w:widowControl w:val="0"/>
        <w:kinsoku w:val="0"/>
        <w:spacing w:before="120" w:after="120"/>
        <w:ind w:left="360"/>
        <w:rPr>
          <w:szCs w:val="24"/>
          <w:u w:val="single"/>
        </w:rPr>
      </w:pPr>
      <w:r w:rsidRPr="0001508F">
        <w:rPr>
          <w:b/>
          <w:szCs w:val="24"/>
          <w:u w:val="single"/>
        </w:rPr>
        <w:t xml:space="preserve">102.3.2 Periodic inspection of gas piping systems. </w:t>
      </w:r>
      <w:r w:rsidRPr="0001508F">
        <w:rPr>
          <w:szCs w:val="24"/>
          <w:u w:val="single"/>
        </w:rPr>
        <w:t xml:space="preserve">Building gas piping systems, other than gas piping systems of buildings classified in Occupancy Group R-3, shall be periodically inspected in accordance with Article 318 of Chapter 3 of Title 28 of the </w:t>
      </w:r>
      <w:r w:rsidRPr="0001508F">
        <w:rPr>
          <w:i/>
          <w:szCs w:val="24"/>
          <w:u w:val="single"/>
        </w:rPr>
        <w:t>Administrative Code</w:t>
      </w:r>
      <w:sdt>
        <w:sdtPr>
          <w:rPr>
            <w:szCs w:val="24"/>
            <w:u w:val="single"/>
          </w:rPr>
          <w:tag w:val="goog_rdk_6"/>
          <w:id w:val="-269545295"/>
        </w:sdtPr>
        <w:sdtEndPr/>
        <w:sdtContent/>
      </w:sdt>
      <w:r w:rsidRPr="0001508F">
        <w:rPr>
          <w:szCs w:val="24"/>
          <w:u w:val="single"/>
        </w:rPr>
        <w:t>.</w:t>
      </w:r>
    </w:p>
    <w:p w14:paraId="6CD94D5A" w14:textId="77777777" w:rsidR="0001508F" w:rsidRPr="0001508F" w:rsidRDefault="0001508F" w:rsidP="0001508F">
      <w:pPr>
        <w:widowControl w:val="0"/>
        <w:spacing w:before="120" w:after="120" w:line="480" w:lineRule="auto"/>
        <w:ind w:firstLine="720"/>
        <w:jc w:val="left"/>
        <w:rPr>
          <w:b/>
          <w:bCs/>
          <w:spacing w:val="-8"/>
          <w:w w:val="105"/>
          <w:szCs w:val="24"/>
        </w:rPr>
      </w:pPr>
      <w:r w:rsidRPr="0001508F">
        <w:rPr>
          <w:bCs/>
          <w:szCs w:val="24"/>
        </w:rPr>
        <w:t>§ 95. Section 102.4.2 of the New York city fuel gas code, as amended by local law number 126 for the year 2021, is amended to read as follows:</w:t>
      </w:r>
    </w:p>
    <w:p w14:paraId="67795467" w14:textId="77777777" w:rsidR="0001508F" w:rsidRPr="0001508F" w:rsidRDefault="0001508F" w:rsidP="0001508F">
      <w:pPr>
        <w:widowControl w:val="0"/>
        <w:spacing w:before="120" w:after="120"/>
        <w:ind w:left="360"/>
        <w:rPr>
          <w:bCs/>
          <w:szCs w:val="24"/>
          <w:u w:val="single"/>
        </w:rPr>
      </w:pPr>
      <w:r w:rsidRPr="0001508F">
        <w:rPr>
          <w:b/>
          <w:szCs w:val="24"/>
        </w:rPr>
        <w:t>102.4.2</w:t>
      </w:r>
      <w:r w:rsidRPr="0001508F">
        <w:rPr>
          <w:bCs/>
          <w:szCs w:val="24"/>
        </w:rPr>
        <w:t xml:space="preserve"> [</w:t>
      </w:r>
      <w:r w:rsidRPr="0001508F">
        <w:rPr>
          <w:bCs/>
          <w:strike/>
          <w:szCs w:val="24"/>
        </w:rPr>
        <w:t>Special provisions for prior code buildings. In addition to the requirements of Sections 102.4 and 102.4.1, the provisions of Sections 102.4.2.1 through 102.4.2.4 shall apply to prior code buildings.</w:t>
      </w:r>
      <w:r w:rsidRPr="0001508F">
        <w:rPr>
          <w:bCs/>
          <w:szCs w:val="24"/>
        </w:rPr>
        <w:t>]</w:t>
      </w:r>
      <w:r w:rsidRPr="0001508F">
        <w:rPr>
          <w:b/>
          <w:szCs w:val="24"/>
        </w:rPr>
        <w:t xml:space="preserve"> </w:t>
      </w:r>
      <w:r w:rsidRPr="0001508F">
        <w:rPr>
          <w:b/>
          <w:szCs w:val="24"/>
          <w:u w:val="single"/>
        </w:rPr>
        <w:t>Existing buildings.</w:t>
      </w:r>
      <w:r w:rsidRPr="0001508F">
        <w:rPr>
          <w:szCs w:val="24"/>
          <w:u w:val="single"/>
        </w:rPr>
        <w:t xml:space="preserve"> </w:t>
      </w:r>
      <w:r w:rsidRPr="0001508F">
        <w:rPr>
          <w:bCs/>
          <w:szCs w:val="24"/>
          <w:u w:val="single"/>
        </w:rPr>
        <w:t xml:space="preserve">Additions, alterations, renovations or repairs in existing buildings and structures shall also comply with the provisions of the </w:t>
      </w:r>
      <w:r w:rsidRPr="0001508F">
        <w:rPr>
          <w:bCs/>
          <w:i/>
          <w:iCs/>
          <w:szCs w:val="24"/>
          <w:u w:val="single"/>
        </w:rPr>
        <w:t>New York City Existing Building Code</w:t>
      </w:r>
      <w:r w:rsidRPr="0001508F">
        <w:rPr>
          <w:bCs/>
          <w:szCs w:val="24"/>
          <w:u w:val="single"/>
        </w:rPr>
        <w:t>, including Sections</w:t>
      </w:r>
      <w:sdt>
        <w:sdtPr>
          <w:rPr>
            <w:bCs/>
            <w:szCs w:val="24"/>
            <w:u w:val="single"/>
          </w:rPr>
          <w:tag w:val="goog_rdk_14"/>
          <w:id w:val="-750126003"/>
        </w:sdtPr>
        <w:sdtEndPr/>
        <w:sdtContent>
          <w:r w:rsidRPr="0001508F">
            <w:rPr>
              <w:bCs/>
              <w:szCs w:val="24"/>
              <w:u w:val="single"/>
            </w:rPr>
            <w:t xml:space="preserve"> </w:t>
          </w:r>
        </w:sdtContent>
      </w:sdt>
      <w:r w:rsidRPr="0001508F">
        <w:rPr>
          <w:bCs/>
          <w:szCs w:val="24"/>
          <w:u w:val="single"/>
        </w:rPr>
        <w:t xml:space="preserve">302.9 and 311 of the </w:t>
      </w:r>
      <w:r w:rsidRPr="0001508F">
        <w:rPr>
          <w:bCs/>
          <w:i/>
          <w:iCs/>
          <w:szCs w:val="24"/>
          <w:u w:val="single"/>
        </w:rPr>
        <w:t>New York City Existing Building Code</w:t>
      </w:r>
      <w:r w:rsidRPr="0001508F">
        <w:rPr>
          <w:bCs/>
          <w:szCs w:val="24"/>
          <w:u w:val="single"/>
        </w:rPr>
        <w:t>.</w:t>
      </w:r>
    </w:p>
    <w:p w14:paraId="34A7E409" w14:textId="77777777" w:rsidR="0001508F" w:rsidRPr="0001508F" w:rsidRDefault="0001508F" w:rsidP="0001508F">
      <w:pPr>
        <w:widowControl w:val="0"/>
        <w:spacing w:before="120" w:after="120" w:line="480" w:lineRule="auto"/>
        <w:ind w:firstLine="720"/>
        <w:rPr>
          <w:rFonts w:eastAsia="SimSun"/>
          <w:szCs w:val="24"/>
        </w:rPr>
      </w:pPr>
      <w:r w:rsidRPr="0001508F">
        <w:rPr>
          <w:bCs/>
          <w:szCs w:val="24"/>
        </w:rPr>
        <w:t>§ 96. Sections 102.4.2.1, 102.4.2.2, 102.4.2.3, and 102.4.2.4 of the New York city fuel gas code are REPEALED.</w:t>
      </w:r>
    </w:p>
    <w:p w14:paraId="27E40756" w14:textId="77777777" w:rsidR="0001508F" w:rsidRPr="0001508F" w:rsidRDefault="0001508F" w:rsidP="0001508F">
      <w:pPr>
        <w:widowControl w:val="0"/>
        <w:spacing w:before="120" w:after="120" w:line="480" w:lineRule="auto"/>
        <w:ind w:firstLine="720"/>
        <w:rPr>
          <w:rFonts w:eastAsia="SimSun"/>
          <w:szCs w:val="24"/>
        </w:rPr>
      </w:pPr>
      <w:r w:rsidRPr="0001508F">
        <w:rPr>
          <w:bCs/>
          <w:szCs w:val="24"/>
        </w:rPr>
        <w:t>§ 97. Section 102.5 of the New York city fuel gas code, as amended by local law number 126 for the year 2021, is amended to read as follows:</w:t>
      </w:r>
    </w:p>
    <w:p w14:paraId="71FA2E74" w14:textId="77777777" w:rsidR="0001508F" w:rsidRPr="0001508F" w:rsidRDefault="0001508F" w:rsidP="0001508F">
      <w:pPr>
        <w:widowControl w:val="0"/>
        <w:spacing w:before="120" w:after="120"/>
        <w:rPr>
          <w:rFonts w:eastAsia="SimSun"/>
          <w:szCs w:val="24"/>
        </w:rPr>
      </w:pPr>
      <w:r w:rsidRPr="0001508F">
        <w:rPr>
          <w:b/>
          <w:bCs/>
          <w:szCs w:val="24"/>
        </w:rPr>
        <w:t>102.5 Change in occupancy.</w:t>
      </w:r>
      <w:r w:rsidRPr="0001508F">
        <w:rPr>
          <w:b/>
          <w:bCs/>
          <w:spacing w:val="-4"/>
          <w:w w:val="110"/>
          <w:szCs w:val="24"/>
        </w:rPr>
        <w:t xml:space="preserve"> </w:t>
      </w:r>
      <w:r w:rsidRPr="0001508F">
        <w:rPr>
          <w:spacing w:val="2"/>
          <w:szCs w:val="24"/>
        </w:rPr>
        <w:t>Refer to Chapter 1 of [</w:t>
      </w:r>
      <w:r w:rsidRPr="0001508F">
        <w:rPr>
          <w:strike/>
          <w:spacing w:val="2"/>
          <w:szCs w:val="24"/>
        </w:rPr>
        <w:t>Title 28 of the Administrative Code</w:t>
      </w:r>
      <w:r w:rsidRPr="0001508F">
        <w:rPr>
          <w:spacing w:val="2"/>
          <w:szCs w:val="24"/>
        </w:rPr>
        <w:t xml:space="preserve">] </w:t>
      </w:r>
      <w:r w:rsidRPr="0001508F">
        <w:rPr>
          <w:spacing w:val="2"/>
          <w:szCs w:val="24"/>
          <w:u w:val="single"/>
        </w:rPr>
        <w:t xml:space="preserve">the </w:t>
      </w:r>
      <w:r w:rsidRPr="0001508F">
        <w:rPr>
          <w:i/>
          <w:iCs/>
          <w:spacing w:val="2"/>
          <w:szCs w:val="24"/>
          <w:u w:val="single"/>
        </w:rPr>
        <w:t>New York City Existing Building Code</w:t>
      </w:r>
      <w:r w:rsidRPr="0001508F">
        <w:rPr>
          <w:spacing w:val="2"/>
          <w:szCs w:val="24"/>
          <w:u w:val="single"/>
        </w:rPr>
        <w:t xml:space="preserve"> for changes of occupancy</w:t>
      </w:r>
      <w:r w:rsidRPr="0001508F">
        <w:rPr>
          <w:spacing w:val="2"/>
          <w:szCs w:val="24"/>
        </w:rPr>
        <w:t>.</w:t>
      </w:r>
    </w:p>
    <w:p w14:paraId="25D50B88" w14:textId="77777777" w:rsidR="0001508F" w:rsidRPr="0001508F" w:rsidRDefault="0001508F" w:rsidP="0001508F">
      <w:pPr>
        <w:widowControl w:val="0"/>
        <w:spacing w:before="120" w:after="120" w:line="480" w:lineRule="auto"/>
        <w:ind w:firstLine="720"/>
        <w:rPr>
          <w:rFonts w:eastAsia="SimSun"/>
          <w:szCs w:val="24"/>
        </w:rPr>
      </w:pPr>
      <w:r w:rsidRPr="0001508F">
        <w:rPr>
          <w:bCs/>
          <w:szCs w:val="24"/>
        </w:rPr>
        <w:t>§ 98. Section 102.7 of the New York city fuel gas code, as amended by local law number 126 for the year 2021, is amended to read as follows:</w:t>
      </w:r>
    </w:p>
    <w:p w14:paraId="79282FC1" w14:textId="77777777" w:rsidR="0001508F" w:rsidRPr="0001508F" w:rsidRDefault="0001508F" w:rsidP="0001508F">
      <w:pPr>
        <w:widowControl w:val="0"/>
        <w:spacing w:before="120" w:after="120"/>
        <w:rPr>
          <w:rFonts w:eastAsia="Calibri"/>
          <w:szCs w:val="24"/>
          <w:u w:val="single"/>
        </w:rPr>
      </w:pPr>
      <w:r w:rsidRPr="0001508F">
        <w:rPr>
          <w:rFonts w:eastAsia="Calibri"/>
          <w:b/>
          <w:szCs w:val="24"/>
        </w:rPr>
        <w:t>102.7 [</w:t>
      </w:r>
      <w:r w:rsidRPr="0001508F">
        <w:rPr>
          <w:rFonts w:eastAsia="Calibri"/>
          <w:b/>
          <w:strike/>
          <w:szCs w:val="24"/>
        </w:rPr>
        <w:t>Reserved.</w:t>
      </w:r>
      <w:r w:rsidRPr="0001508F">
        <w:rPr>
          <w:rFonts w:eastAsia="Calibri"/>
          <w:b/>
          <w:szCs w:val="24"/>
        </w:rPr>
        <w:t xml:space="preserve">] </w:t>
      </w:r>
      <w:r w:rsidRPr="0001508F">
        <w:rPr>
          <w:rFonts w:eastAsia="Calibri"/>
          <w:b/>
          <w:szCs w:val="24"/>
          <w:u w:val="single"/>
        </w:rPr>
        <w:t xml:space="preserve">Relocated, moved or raised buildings. </w:t>
      </w:r>
      <w:r w:rsidRPr="0001508F">
        <w:rPr>
          <w:rFonts w:eastAsia="Calibri"/>
          <w:szCs w:val="24"/>
          <w:u w:val="single"/>
        </w:rPr>
        <w:t xml:space="preserve">Refer to Chapters 3 and 14 of the </w:t>
      </w:r>
      <w:r w:rsidRPr="0001508F">
        <w:rPr>
          <w:rFonts w:eastAsia="Calibri"/>
          <w:i/>
          <w:iCs/>
          <w:szCs w:val="24"/>
          <w:u w:val="single"/>
        </w:rPr>
        <w:t>New York City Existing Building Code</w:t>
      </w:r>
      <w:r w:rsidRPr="0001508F">
        <w:rPr>
          <w:rFonts w:eastAsia="Calibri"/>
          <w:szCs w:val="24"/>
          <w:u w:val="single"/>
        </w:rPr>
        <w:t xml:space="preserve"> for fuel gas systems serving relocated, moved or raised buildings.</w:t>
      </w:r>
    </w:p>
    <w:p w14:paraId="15BCE6AB" w14:textId="77777777" w:rsidR="0001508F" w:rsidRPr="0001508F" w:rsidRDefault="0001508F" w:rsidP="0001508F">
      <w:pPr>
        <w:widowControl w:val="0"/>
        <w:spacing w:before="120" w:after="120" w:line="480" w:lineRule="auto"/>
        <w:ind w:firstLine="720"/>
        <w:rPr>
          <w:rFonts w:eastAsia="SimSun"/>
          <w:szCs w:val="24"/>
        </w:rPr>
      </w:pPr>
      <w:r w:rsidRPr="0001508F">
        <w:rPr>
          <w:bCs/>
          <w:szCs w:val="24"/>
        </w:rPr>
        <w:t>§ 99. Section 106.3 of the New York city fuel gas code, as amended by local law number 126 for the year 2021, is amended to read as follows:</w:t>
      </w:r>
    </w:p>
    <w:p w14:paraId="0AE9E2CD" w14:textId="77777777" w:rsidR="0001508F" w:rsidRPr="0001508F" w:rsidRDefault="0001508F" w:rsidP="0001508F">
      <w:pPr>
        <w:widowControl w:val="0"/>
        <w:spacing w:before="120" w:after="120"/>
        <w:rPr>
          <w:rFonts w:eastAsia="SimSun"/>
          <w:szCs w:val="24"/>
        </w:rPr>
      </w:pPr>
      <w:r w:rsidRPr="0001508F">
        <w:rPr>
          <w:rFonts w:eastAsia="Calibri"/>
          <w:b/>
          <w:bCs/>
          <w:szCs w:val="24"/>
        </w:rPr>
        <w:t xml:space="preserve">106.3 Work exempt from permit. </w:t>
      </w:r>
      <w:r w:rsidRPr="0001508F">
        <w:rPr>
          <w:rFonts w:eastAsia="Calibri"/>
          <w:szCs w:val="24"/>
        </w:rPr>
        <w:t>Exemptions from permit requirements of this code as authorized in [</w:t>
      </w:r>
      <w:r w:rsidRPr="0001508F">
        <w:rPr>
          <w:rFonts w:eastAsia="Calibri"/>
          <w:strike/>
          <w:szCs w:val="24"/>
        </w:rPr>
        <w:t xml:space="preserve">Chapter 1 of Title 28 of the </w:t>
      </w:r>
      <w:r w:rsidRPr="0001508F">
        <w:rPr>
          <w:rFonts w:eastAsia="Calibri"/>
          <w:i/>
          <w:iCs/>
          <w:strike/>
          <w:szCs w:val="24"/>
        </w:rPr>
        <w:t>Administrative Code</w:t>
      </w:r>
      <w:r w:rsidRPr="0001508F">
        <w:rPr>
          <w:rFonts w:eastAsia="Calibri"/>
          <w:szCs w:val="24"/>
        </w:rPr>
        <w:t xml:space="preserve">] </w:t>
      </w:r>
      <w:r w:rsidRPr="0001508F">
        <w:rPr>
          <w:rFonts w:eastAsia="Calibri"/>
          <w:szCs w:val="24"/>
          <w:u w:val="single"/>
        </w:rPr>
        <w:t xml:space="preserve">section 105.3 of the </w:t>
      </w:r>
      <w:r w:rsidRPr="0001508F">
        <w:rPr>
          <w:rFonts w:eastAsia="Calibri"/>
          <w:i/>
          <w:iCs/>
          <w:szCs w:val="24"/>
          <w:u w:val="single"/>
        </w:rPr>
        <w:t>New York City Existing Building Code</w:t>
      </w:r>
      <w:r w:rsidRPr="0001508F">
        <w:rPr>
          <w:rFonts w:eastAsia="Calibri"/>
          <w:szCs w:val="24"/>
        </w:rPr>
        <w:t xml:space="preserve"> and the rules of the department shall not be deemed to grant authorization for any work to be done in any manner in violation of the provisions of this code or any other laws or rules.</w:t>
      </w:r>
    </w:p>
    <w:p w14:paraId="49AE7A2F" w14:textId="77777777" w:rsidR="0001508F" w:rsidRPr="0001508F" w:rsidRDefault="0001508F" w:rsidP="0001508F">
      <w:pPr>
        <w:widowControl w:val="0"/>
        <w:spacing w:before="120" w:after="120" w:line="480" w:lineRule="auto"/>
        <w:ind w:firstLine="720"/>
        <w:rPr>
          <w:rFonts w:eastAsia="SimSun"/>
          <w:szCs w:val="24"/>
        </w:rPr>
      </w:pPr>
      <w:r w:rsidRPr="0001508F">
        <w:rPr>
          <w:bCs/>
          <w:szCs w:val="24"/>
        </w:rPr>
        <w:t>§ 100. Section 106.6 of the New York city fuel gas code, as amended by local law number 126 for the year 2021, is amended to read as follows:</w:t>
      </w:r>
    </w:p>
    <w:p w14:paraId="45924141" w14:textId="77777777" w:rsidR="0001508F" w:rsidRPr="0001508F" w:rsidRDefault="0001508F" w:rsidP="0001508F">
      <w:pPr>
        <w:widowControl w:val="0"/>
        <w:spacing w:before="120" w:after="120"/>
        <w:rPr>
          <w:rFonts w:eastAsia="SimSun"/>
          <w:i/>
          <w:szCs w:val="24"/>
        </w:rPr>
      </w:pPr>
      <w:r w:rsidRPr="0001508F">
        <w:rPr>
          <w:rFonts w:eastAsia="SimSun"/>
          <w:b/>
          <w:szCs w:val="24"/>
        </w:rPr>
        <w:t>106.6 Permits with respect to limited alteration applications.</w:t>
      </w:r>
      <w:r w:rsidRPr="0001508F">
        <w:rPr>
          <w:rFonts w:eastAsia="SimSun"/>
          <w:szCs w:val="24"/>
        </w:rPr>
        <w:t xml:space="preserve"> For permits with respect to limited alteration applications, refer to [</w:t>
      </w:r>
      <w:r w:rsidRPr="0001508F">
        <w:rPr>
          <w:bCs/>
          <w:strike/>
          <w:szCs w:val="24"/>
        </w:rPr>
        <w:t>Sections 28-101.5 and</w:t>
      </w:r>
      <w:r w:rsidRPr="0001508F">
        <w:rPr>
          <w:bCs/>
          <w:szCs w:val="24"/>
        </w:rPr>
        <w:t xml:space="preserve">] </w:t>
      </w:r>
      <w:r w:rsidRPr="0001508F">
        <w:rPr>
          <w:bCs/>
          <w:szCs w:val="24"/>
          <w:u w:val="single"/>
        </w:rPr>
        <w:t>Section</w:t>
      </w:r>
      <w:r w:rsidRPr="0001508F">
        <w:rPr>
          <w:bCs/>
          <w:szCs w:val="24"/>
        </w:rPr>
        <w:t xml:space="preserve"> </w:t>
      </w:r>
      <w:r w:rsidRPr="0001508F">
        <w:rPr>
          <w:rFonts w:eastAsia="SimSun"/>
          <w:szCs w:val="24"/>
        </w:rPr>
        <w:t xml:space="preserve">28-104.6, Exception 1, of the </w:t>
      </w:r>
      <w:r w:rsidRPr="0001508F">
        <w:rPr>
          <w:rFonts w:eastAsia="SimSun"/>
          <w:i/>
          <w:szCs w:val="24"/>
        </w:rPr>
        <w:t>Administrative Code</w:t>
      </w:r>
      <w:r w:rsidRPr="0001508F">
        <w:rPr>
          <w:szCs w:val="24"/>
          <w:u w:val="single"/>
        </w:rPr>
        <w:t xml:space="preserve"> and Chapter 5 of the </w:t>
      </w:r>
      <w:r w:rsidRPr="0001508F">
        <w:rPr>
          <w:i/>
          <w:szCs w:val="24"/>
          <w:u w:val="single"/>
        </w:rPr>
        <w:t>New York City Existing Building Code</w:t>
      </w:r>
      <w:r w:rsidRPr="0001508F">
        <w:rPr>
          <w:rFonts w:eastAsia="SimSun"/>
          <w:i/>
          <w:szCs w:val="24"/>
        </w:rPr>
        <w:t>.</w:t>
      </w:r>
    </w:p>
    <w:p w14:paraId="16DE2ED6" w14:textId="77777777" w:rsidR="0001508F" w:rsidRPr="0001508F" w:rsidRDefault="0001508F" w:rsidP="0001508F">
      <w:pPr>
        <w:widowControl w:val="0"/>
        <w:spacing w:before="120" w:after="120" w:line="480" w:lineRule="auto"/>
        <w:ind w:firstLine="720"/>
        <w:rPr>
          <w:rFonts w:eastAsia="SimSun"/>
          <w:szCs w:val="24"/>
        </w:rPr>
      </w:pPr>
      <w:r w:rsidRPr="0001508F">
        <w:rPr>
          <w:bCs/>
          <w:szCs w:val="24"/>
        </w:rPr>
        <w:t>§ 101. Sections 201.3 and 201.3.1 of the New York city fuel gas code, as amended by local law number 126 for the year 2021, is amended to read as follows:</w:t>
      </w:r>
    </w:p>
    <w:p w14:paraId="64B78183" w14:textId="77777777" w:rsidR="0001508F" w:rsidRPr="0001508F" w:rsidRDefault="0001508F" w:rsidP="0001508F">
      <w:pPr>
        <w:widowControl w:val="0"/>
        <w:autoSpaceDE w:val="0"/>
        <w:autoSpaceDN w:val="0"/>
        <w:adjustRightInd w:val="0"/>
        <w:spacing w:before="120" w:after="120"/>
        <w:rPr>
          <w:szCs w:val="24"/>
        </w:rPr>
      </w:pPr>
      <w:r w:rsidRPr="0001508F">
        <w:rPr>
          <w:b/>
          <w:bCs/>
          <w:szCs w:val="24"/>
        </w:rPr>
        <w:t>201.3 Terms defined in other codes.</w:t>
      </w:r>
      <w:r w:rsidRPr="0001508F">
        <w:rPr>
          <w:szCs w:val="24"/>
        </w:rPr>
        <w:t xml:space="preserve"> Where terms are not defined in this code and are defined in the </w:t>
      </w:r>
      <w:r w:rsidRPr="0001508F">
        <w:rPr>
          <w:i/>
          <w:iCs/>
          <w:szCs w:val="24"/>
        </w:rPr>
        <w:t>New York City Electrical Code, New York City Building Code, New York City Fire Code, New York City Mechanical Code, New York City Plumbing Code,</w:t>
      </w:r>
      <w:r w:rsidRPr="0001508F">
        <w:rPr>
          <w:szCs w:val="24"/>
        </w:rPr>
        <w:t xml:space="preserve"> [</w:t>
      </w:r>
      <w:r w:rsidRPr="0001508F">
        <w:rPr>
          <w:strike/>
          <w:szCs w:val="24"/>
        </w:rPr>
        <w:t>or the</w:t>
      </w:r>
      <w:r w:rsidRPr="0001508F">
        <w:rPr>
          <w:szCs w:val="24"/>
        </w:rPr>
        <w:t xml:space="preserve">] </w:t>
      </w:r>
      <w:r w:rsidRPr="0001508F">
        <w:rPr>
          <w:i/>
          <w:iCs/>
          <w:szCs w:val="24"/>
        </w:rPr>
        <w:t>New York City Energy Conservation Code</w:t>
      </w:r>
      <w:r w:rsidRPr="0001508F">
        <w:rPr>
          <w:szCs w:val="24"/>
        </w:rPr>
        <w:t xml:space="preserve">, </w:t>
      </w:r>
      <w:r w:rsidRPr="0001508F">
        <w:rPr>
          <w:szCs w:val="24"/>
          <w:u w:val="single"/>
        </w:rPr>
        <w:t xml:space="preserve">or the </w:t>
      </w:r>
      <w:r w:rsidRPr="0001508F">
        <w:rPr>
          <w:i/>
          <w:iCs/>
          <w:szCs w:val="24"/>
          <w:u w:val="single"/>
        </w:rPr>
        <w:t>New York City Existing Building Code</w:t>
      </w:r>
      <w:r w:rsidRPr="0001508F">
        <w:rPr>
          <w:szCs w:val="24"/>
          <w:u w:val="single"/>
        </w:rPr>
        <w:t>,</w:t>
      </w:r>
      <w:r w:rsidRPr="0001508F">
        <w:rPr>
          <w:szCs w:val="24"/>
        </w:rPr>
        <w:t xml:space="preserve"> such terms shall have meanings ascribed to them as in those codes.</w:t>
      </w:r>
    </w:p>
    <w:p w14:paraId="6EF05A26" w14:textId="77777777" w:rsidR="0001508F" w:rsidRPr="0001508F" w:rsidRDefault="0001508F" w:rsidP="0001508F">
      <w:pPr>
        <w:widowControl w:val="0"/>
        <w:spacing w:before="120" w:after="120"/>
        <w:ind w:left="360"/>
        <w:rPr>
          <w:rFonts w:eastAsia="SimSun"/>
          <w:szCs w:val="24"/>
        </w:rPr>
      </w:pPr>
      <w:r w:rsidRPr="0001508F">
        <w:rPr>
          <w:rFonts w:eastAsia="SimSun"/>
          <w:b/>
          <w:bCs/>
          <w:szCs w:val="24"/>
        </w:rPr>
        <w:t>201.3.1 Terms defined in the general administrative provisions.</w:t>
      </w:r>
      <w:r w:rsidRPr="0001508F">
        <w:rPr>
          <w:rFonts w:eastAsia="SimSun"/>
          <w:szCs w:val="24"/>
        </w:rPr>
        <w:t xml:space="preserve"> The following terms are defined in Section 28-101.5 of the </w:t>
      </w:r>
      <w:r w:rsidRPr="0001508F">
        <w:rPr>
          <w:rFonts w:eastAsia="SimSun"/>
          <w:i/>
          <w:szCs w:val="24"/>
        </w:rPr>
        <w:t>Administrative Code</w:t>
      </w:r>
      <w:r w:rsidRPr="0001508F">
        <w:rPr>
          <w:rFonts w:eastAsia="SimSun"/>
          <w:szCs w:val="24"/>
        </w:rPr>
        <w:t>:</w:t>
      </w:r>
    </w:p>
    <w:p w14:paraId="15BF62A9" w14:textId="77777777" w:rsidR="0001508F" w:rsidRPr="0001508F" w:rsidRDefault="0001508F" w:rsidP="0001508F">
      <w:pPr>
        <w:suppressAutoHyphens/>
        <w:spacing w:after="240"/>
        <w:ind w:left="360"/>
        <w:rPr>
          <w:szCs w:val="24"/>
        </w:rPr>
      </w:pPr>
      <w:r w:rsidRPr="0001508F">
        <w:rPr>
          <w:b/>
          <w:szCs w:val="24"/>
        </w:rPr>
        <w:t>1968 BUILDING CODE.</w:t>
      </w:r>
      <w:r w:rsidRPr="0001508F">
        <w:rPr>
          <w:b/>
          <w:bCs/>
          <w:spacing w:val="-9"/>
          <w:w w:val="105"/>
          <w:szCs w:val="24"/>
        </w:rPr>
        <w:t xml:space="preserve"> </w:t>
      </w:r>
    </w:p>
    <w:p w14:paraId="6A38B4CD" w14:textId="77777777" w:rsidR="0001508F" w:rsidRPr="0001508F" w:rsidRDefault="0001508F" w:rsidP="0001508F">
      <w:pPr>
        <w:suppressAutoHyphens/>
        <w:spacing w:after="240"/>
        <w:ind w:left="360"/>
        <w:rPr>
          <w:b/>
          <w:szCs w:val="24"/>
        </w:rPr>
      </w:pPr>
      <w:r w:rsidRPr="0001508F">
        <w:rPr>
          <w:b/>
          <w:szCs w:val="24"/>
        </w:rPr>
        <w:t>[</w:t>
      </w:r>
      <w:r w:rsidRPr="0001508F">
        <w:rPr>
          <w:b/>
          <w:strike/>
          <w:szCs w:val="24"/>
        </w:rPr>
        <w:t>1968 OR PRIOR CODE BUILDINGS OR STRUCTURES (PRIOR CODE BUILDINGS).</w:t>
      </w:r>
      <w:r w:rsidRPr="0001508F">
        <w:rPr>
          <w:b/>
          <w:szCs w:val="24"/>
        </w:rPr>
        <w:t>]</w:t>
      </w:r>
    </w:p>
    <w:p w14:paraId="1C7CFA49" w14:textId="77777777" w:rsidR="0001508F" w:rsidRPr="0001508F" w:rsidRDefault="0001508F" w:rsidP="0001508F">
      <w:pPr>
        <w:suppressAutoHyphens/>
        <w:spacing w:after="240"/>
        <w:ind w:left="360"/>
        <w:rPr>
          <w:spacing w:val="-8"/>
          <w:w w:val="115"/>
          <w:szCs w:val="24"/>
        </w:rPr>
      </w:pPr>
      <w:r w:rsidRPr="0001508F">
        <w:rPr>
          <w:b/>
          <w:szCs w:val="24"/>
        </w:rPr>
        <w:t>ACCEPTANCE OR ACCEPTED</w:t>
      </w:r>
      <w:r w:rsidRPr="0001508F">
        <w:rPr>
          <w:b/>
          <w:bCs/>
          <w:spacing w:val="-9"/>
          <w:w w:val="105"/>
          <w:szCs w:val="24"/>
        </w:rPr>
        <w:t xml:space="preserve">. </w:t>
      </w:r>
    </w:p>
    <w:p w14:paraId="019A85E2" w14:textId="77777777" w:rsidR="0001508F" w:rsidRPr="0001508F" w:rsidRDefault="0001508F" w:rsidP="0001508F">
      <w:pPr>
        <w:suppressAutoHyphens/>
        <w:spacing w:after="240"/>
        <w:ind w:left="360"/>
        <w:rPr>
          <w:spacing w:val="1"/>
          <w:szCs w:val="24"/>
        </w:rPr>
      </w:pPr>
      <w:r w:rsidRPr="0001508F">
        <w:rPr>
          <w:b/>
          <w:szCs w:val="24"/>
        </w:rPr>
        <w:t>ADDITION.</w:t>
      </w:r>
      <w:r w:rsidRPr="0001508F">
        <w:rPr>
          <w:b/>
          <w:bCs/>
          <w:spacing w:val="-5"/>
          <w:w w:val="105"/>
          <w:szCs w:val="24"/>
        </w:rPr>
        <w:t xml:space="preserve"> </w:t>
      </w:r>
    </w:p>
    <w:p w14:paraId="200EEDE5" w14:textId="77777777" w:rsidR="0001508F" w:rsidRPr="0001508F" w:rsidRDefault="0001508F" w:rsidP="0001508F">
      <w:pPr>
        <w:suppressAutoHyphens/>
        <w:spacing w:after="240"/>
        <w:ind w:left="360"/>
        <w:rPr>
          <w:spacing w:val="-9"/>
          <w:w w:val="115"/>
          <w:szCs w:val="24"/>
        </w:rPr>
      </w:pPr>
      <w:r w:rsidRPr="0001508F">
        <w:rPr>
          <w:b/>
          <w:szCs w:val="24"/>
        </w:rPr>
        <w:t>ADMINISTRATIVE CODE.</w:t>
      </w:r>
      <w:r w:rsidRPr="0001508F">
        <w:rPr>
          <w:b/>
          <w:bCs/>
          <w:spacing w:val="-9"/>
          <w:w w:val="105"/>
          <w:szCs w:val="24"/>
        </w:rPr>
        <w:t xml:space="preserve"> </w:t>
      </w:r>
    </w:p>
    <w:p w14:paraId="77C925E8" w14:textId="77777777" w:rsidR="0001508F" w:rsidRPr="0001508F" w:rsidRDefault="0001508F" w:rsidP="0001508F">
      <w:pPr>
        <w:suppressAutoHyphens/>
        <w:spacing w:after="240"/>
        <w:ind w:left="360"/>
        <w:rPr>
          <w:spacing w:val="-10"/>
          <w:w w:val="115"/>
          <w:szCs w:val="24"/>
        </w:rPr>
      </w:pPr>
      <w:r w:rsidRPr="0001508F">
        <w:rPr>
          <w:b/>
          <w:szCs w:val="24"/>
        </w:rPr>
        <w:t>ALTERATION</w:t>
      </w:r>
      <w:r w:rsidRPr="0001508F">
        <w:rPr>
          <w:b/>
          <w:bCs/>
          <w:spacing w:val="-9"/>
          <w:w w:val="105"/>
          <w:szCs w:val="24"/>
        </w:rPr>
        <w:t xml:space="preserve">. </w:t>
      </w:r>
    </w:p>
    <w:p w14:paraId="7AC03811" w14:textId="77777777" w:rsidR="0001508F" w:rsidRPr="0001508F" w:rsidRDefault="0001508F" w:rsidP="0001508F">
      <w:pPr>
        <w:suppressAutoHyphens/>
        <w:spacing w:after="240"/>
        <w:ind w:left="360"/>
        <w:rPr>
          <w:spacing w:val="-2"/>
          <w:w w:val="115"/>
          <w:szCs w:val="24"/>
        </w:rPr>
      </w:pPr>
      <w:r w:rsidRPr="0001508F">
        <w:rPr>
          <w:b/>
          <w:szCs w:val="24"/>
        </w:rPr>
        <w:t>APPROVAL OR APPROVED.</w:t>
      </w:r>
      <w:r w:rsidRPr="0001508F">
        <w:rPr>
          <w:b/>
          <w:bCs/>
          <w:spacing w:val="-8"/>
          <w:w w:val="105"/>
          <w:szCs w:val="24"/>
        </w:rPr>
        <w:t xml:space="preserve"> </w:t>
      </w:r>
    </w:p>
    <w:p w14:paraId="3B33D34C" w14:textId="77777777" w:rsidR="0001508F" w:rsidRPr="0001508F" w:rsidRDefault="0001508F" w:rsidP="0001508F">
      <w:pPr>
        <w:suppressAutoHyphens/>
        <w:spacing w:after="240"/>
        <w:ind w:left="360"/>
        <w:rPr>
          <w:spacing w:val="1"/>
          <w:szCs w:val="24"/>
        </w:rPr>
      </w:pPr>
      <w:r w:rsidRPr="0001508F">
        <w:rPr>
          <w:b/>
          <w:szCs w:val="24"/>
        </w:rPr>
        <w:t>APPROVED AGENCY.</w:t>
      </w:r>
      <w:r w:rsidRPr="0001508F">
        <w:rPr>
          <w:b/>
          <w:bCs/>
          <w:spacing w:val="-5"/>
          <w:w w:val="105"/>
          <w:szCs w:val="24"/>
        </w:rPr>
        <w:t xml:space="preserve"> </w:t>
      </w:r>
    </w:p>
    <w:p w14:paraId="4E3DCC79" w14:textId="77777777" w:rsidR="0001508F" w:rsidRPr="0001508F" w:rsidRDefault="0001508F" w:rsidP="0001508F">
      <w:pPr>
        <w:suppressAutoHyphens/>
        <w:spacing w:after="240"/>
        <w:ind w:left="360"/>
        <w:rPr>
          <w:spacing w:val="-6"/>
          <w:w w:val="115"/>
          <w:szCs w:val="24"/>
        </w:rPr>
      </w:pPr>
      <w:r w:rsidRPr="0001508F">
        <w:rPr>
          <w:b/>
          <w:szCs w:val="24"/>
        </w:rPr>
        <w:t>APPROVED FABRICATOR.</w:t>
      </w:r>
      <w:r w:rsidRPr="0001508F">
        <w:rPr>
          <w:b/>
          <w:bCs/>
          <w:spacing w:val="-10"/>
          <w:w w:val="105"/>
          <w:szCs w:val="24"/>
        </w:rPr>
        <w:t xml:space="preserve"> </w:t>
      </w:r>
    </w:p>
    <w:p w14:paraId="33DA0AD6" w14:textId="77777777" w:rsidR="0001508F" w:rsidRPr="0001508F" w:rsidRDefault="0001508F" w:rsidP="0001508F">
      <w:pPr>
        <w:suppressAutoHyphens/>
        <w:spacing w:after="240"/>
        <w:ind w:left="360"/>
        <w:rPr>
          <w:spacing w:val="-7"/>
          <w:w w:val="115"/>
          <w:szCs w:val="24"/>
        </w:rPr>
      </w:pPr>
      <w:r w:rsidRPr="0001508F">
        <w:rPr>
          <w:b/>
          <w:szCs w:val="24"/>
        </w:rPr>
        <w:t>APPROVED INSPECTION AGENCY.</w:t>
      </w:r>
      <w:r w:rsidRPr="0001508F">
        <w:rPr>
          <w:b/>
          <w:bCs/>
          <w:w w:val="105"/>
          <w:szCs w:val="24"/>
        </w:rPr>
        <w:t xml:space="preserve"> </w:t>
      </w:r>
    </w:p>
    <w:p w14:paraId="4EDE7527" w14:textId="77777777" w:rsidR="0001508F" w:rsidRPr="0001508F" w:rsidRDefault="0001508F" w:rsidP="0001508F">
      <w:pPr>
        <w:suppressAutoHyphens/>
        <w:spacing w:after="240"/>
        <w:ind w:left="360"/>
        <w:rPr>
          <w:spacing w:val="-7"/>
          <w:w w:val="115"/>
          <w:szCs w:val="24"/>
        </w:rPr>
      </w:pPr>
      <w:r w:rsidRPr="0001508F">
        <w:rPr>
          <w:b/>
          <w:szCs w:val="24"/>
        </w:rPr>
        <w:t>APPROVED TESTING AGENCY.</w:t>
      </w:r>
      <w:r w:rsidRPr="0001508F">
        <w:rPr>
          <w:b/>
          <w:bCs/>
          <w:spacing w:val="-10"/>
          <w:w w:val="105"/>
          <w:szCs w:val="24"/>
        </w:rPr>
        <w:t xml:space="preserve"> </w:t>
      </w:r>
    </w:p>
    <w:p w14:paraId="474148F6" w14:textId="77777777" w:rsidR="0001508F" w:rsidRPr="0001508F" w:rsidRDefault="0001508F" w:rsidP="0001508F">
      <w:pPr>
        <w:suppressAutoHyphens/>
        <w:spacing w:after="240"/>
        <w:ind w:left="360"/>
        <w:rPr>
          <w:spacing w:val="-10"/>
          <w:w w:val="115"/>
          <w:szCs w:val="24"/>
        </w:rPr>
      </w:pPr>
      <w:r w:rsidRPr="0001508F">
        <w:rPr>
          <w:b/>
          <w:szCs w:val="24"/>
        </w:rPr>
        <w:t>ARCHITECT.</w:t>
      </w:r>
      <w:r w:rsidRPr="0001508F">
        <w:rPr>
          <w:b/>
          <w:bCs/>
          <w:spacing w:val="-6"/>
          <w:w w:val="105"/>
          <w:szCs w:val="24"/>
        </w:rPr>
        <w:t xml:space="preserve"> </w:t>
      </w:r>
    </w:p>
    <w:p w14:paraId="2E98DF82" w14:textId="77777777" w:rsidR="0001508F" w:rsidRPr="0001508F" w:rsidRDefault="0001508F" w:rsidP="0001508F">
      <w:pPr>
        <w:suppressAutoHyphens/>
        <w:spacing w:after="240"/>
        <w:ind w:left="360"/>
        <w:rPr>
          <w:spacing w:val="-7"/>
          <w:w w:val="115"/>
          <w:szCs w:val="24"/>
        </w:rPr>
      </w:pPr>
      <w:r w:rsidRPr="0001508F">
        <w:rPr>
          <w:b/>
          <w:szCs w:val="24"/>
        </w:rPr>
        <w:t>BUILDING.</w:t>
      </w:r>
      <w:r w:rsidRPr="0001508F">
        <w:rPr>
          <w:b/>
          <w:bCs/>
          <w:spacing w:val="-12"/>
          <w:w w:val="105"/>
          <w:szCs w:val="24"/>
        </w:rPr>
        <w:t xml:space="preserve"> </w:t>
      </w:r>
    </w:p>
    <w:p w14:paraId="39C34569" w14:textId="77777777" w:rsidR="0001508F" w:rsidRPr="0001508F" w:rsidRDefault="0001508F" w:rsidP="0001508F">
      <w:pPr>
        <w:suppressAutoHyphens/>
        <w:spacing w:after="240"/>
        <w:ind w:left="360"/>
        <w:rPr>
          <w:spacing w:val="-7"/>
          <w:w w:val="115"/>
          <w:szCs w:val="24"/>
        </w:rPr>
      </w:pPr>
      <w:r w:rsidRPr="0001508F">
        <w:rPr>
          <w:b/>
          <w:szCs w:val="24"/>
        </w:rPr>
        <w:t xml:space="preserve">CERTIFICATE OF COMPLIANCE. </w:t>
      </w:r>
    </w:p>
    <w:p w14:paraId="134A960E" w14:textId="77777777" w:rsidR="0001508F" w:rsidRPr="0001508F" w:rsidRDefault="0001508F" w:rsidP="0001508F">
      <w:pPr>
        <w:suppressAutoHyphens/>
        <w:spacing w:after="240"/>
        <w:ind w:left="360"/>
        <w:rPr>
          <w:b/>
          <w:szCs w:val="24"/>
        </w:rPr>
      </w:pPr>
    </w:p>
    <w:p w14:paraId="2F6B4073" w14:textId="77777777" w:rsidR="0001508F" w:rsidRPr="0001508F" w:rsidRDefault="0001508F" w:rsidP="0001508F">
      <w:pPr>
        <w:suppressAutoHyphens/>
        <w:spacing w:after="240"/>
        <w:ind w:left="360"/>
        <w:rPr>
          <w:spacing w:val="-8"/>
          <w:w w:val="115"/>
          <w:szCs w:val="24"/>
        </w:rPr>
      </w:pPr>
      <w:r w:rsidRPr="0001508F">
        <w:rPr>
          <w:b/>
          <w:szCs w:val="24"/>
        </w:rPr>
        <w:t xml:space="preserve">CHARTER. </w:t>
      </w:r>
    </w:p>
    <w:p w14:paraId="40943972" w14:textId="77777777" w:rsidR="0001508F" w:rsidRPr="0001508F" w:rsidRDefault="0001508F" w:rsidP="0001508F">
      <w:pPr>
        <w:suppressAutoHyphens/>
        <w:spacing w:after="240"/>
        <w:ind w:left="360"/>
        <w:rPr>
          <w:spacing w:val="-8"/>
          <w:w w:val="115"/>
          <w:szCs w:val="24"/>
        </w:rPr>
      </w:pPr>
      <w:r w:rsidRPr="0001508F">
        <w:rPr>
          <w:b/>
          <w:szCs w:val="24"/>
        </w:rPr>
        <w:t>CITY.</w:t>
      </w:r>
      <w:r w:rsidRPr="0001508F">
        <w:rPr>
          <w:b/>
          <w:bCs/>
          <w:spacing w:val="-8"/>
          <w:w w:val="105"/>
          <w:szCs w:val="24"/>
        </w:rPr>
        <w:t xml:space="preserve"> </w:t>
      </w:r>
    </w:p>
    <w:p w14:paraId="116C90B3" w14:textId="77777777" w:rsidR="0001508F" w:rsidRPr="0001508F" w:rsidRDefault="0001508F" w:rsidP="0001508F">
      <w:pPr>
        <w:suppressAutoHyphens/>
        <w:spacing w:after="240"/>
        <w:ind w:left="360"/>
        <w:rPr>
          <w:spacing w:val="-4"/>
          <w:w w:val="115"/>
          <w:szCs w:val="24"/>
        </w:rPr>
      </w:pPr>
      <w:r w:rsidRPr="0001508F">
        <w:rPr>
          <w:b/>
          <w:szCs w:val="24"/>
        </w:rPr>
        <w:t>COMMISSIONER.</w:t>
      </w:r>
      <w:r w:rsidRPr="0001508F">
        <w:rPr>
          <w:b/>
          <w:bCs/>
          <w:spacing w:val="-4"/>
          <w:w w:val="105"/>
          <w:szCs w:val="24"/>
        </w:rPr>
        <w:t xml:space="preserve"> </w:t>
      </w:r>
    </w:p>
    <w:p w14:paraId="0CF7E50B" w14:textId="77777777" w:rsidR="0001508F" w:rsidRPr="0001508F" w:rsidRDefault="0001508F" w:rsidP="0001508F">
      <w:pPr>
        <w:suppressAutoHyphens/>
        <w:spacing w:after="240"/>
        <w:ind w:left="360"/>
        <w:rPr>
          <w:spacing w:val="1"/>
          <w:szCs w:val="24"/>
        </w:rPr>
      </w:pPr>
      <w:r w:rsidRPr="0001508F">
        <w:rPr>
          <w:b/>
          <w:szCs w:val="24"/>
        </w:rPr>
        <w:t xml:space="preserve">CONSTRUCTION DOCUMENTS. </w:t>
      </w:r>
    </w:p>
    <w:p w14:paraId="1D1A8B73" w14:textId="77777777" w:rsidR="0001508F" w:rsidRPr="0001508F" w:rsidRDefault="0001508F" w:rsidP="0001508F">
      <w:pPr>
        <w:suppressAutoHyphens/>
        <w:spacing w:after="240"/>
        <w:ind w:left="360"/>
        <w:rPr>
          <w:spacing w:val="-7"/>
          <w:w w:val="115"/>
          <w:szCs w:val="24"/>
        </w:rPr>
      </w:pPr>
      <w:r w:rsidRPr="0001508F">
        <w:rPr>
          <w:b/>
          <w:spacing w:val="-7"/>
          <w:w w:val="115"/>
          <w:szCs w:val="24"/>
        </w:rPr>
        <w:t>DAY.</w:t>
      </w:r>
      <w:r w:rsidRPr="0001508F">
        <w:rPr>
          <w:spacing w:val="-7"/>
          <w:w w:val="115"/>
          <w:szCs w:val="24"/>
        </w:rPr>
        <w:t xml:space="preserve"> </w:t>
      </w:r>
    </w:p>
    <w:p w14:paraId="1E6473F3" w14:textId="77777777" w:rsidR="0001508F" w:rsidRPr="0001508F" w:rsidRDefault="0001508F" w:rsidP="0001508F">
      <w:pPr>
        <w:suppressAutoHyphens/>
        <w:spacing w:after="240"/>
        <w:ind w:left="360"/>
        <w:rPr>
          <w:spacing w:val="-8"/>
          <w:w w:val="115"/>
          <w:szCs w:val="24"/>
        </w:rPr>
      </w:pPr>
      <w:r w:rsidRPr="0001508F">
        <w:rPr>
          <w:b/>
          <w:szCs w:val="24"/>
        </w:rPr>
        <w:t xml:space="preserve">DEFERRED SUBMITTAL. </w:t>
      </w:r>
    </w:p>
    <w:p w14:paraId="0EC0FB76" w14:textId="77777777" w:rsidR="0001508F" w:rsidRPr="0001508F" w:rsidRDefault="0001508F" w:rsidP="0001508F">
      <w:pPr>
        <w:suppressAutoHyphens/>
        <w:spacing w:after="240"/>
        <w:ind w:left="360"/>
        <w:rPr>
          <w:spacing w:val="-6"/>
          <w:w w:val="115"/>
          <w:szCs w:val="24"/>
        </w:rPr>
      </w:pPr>
      <w:r w:rsidRPr="0001508F">
        <w:rPr>
          <w:b/>
          <w:szCs w:val="24"/>
        </w:rPr>
        <w:t>DEMOLITION.</w:t>
      </w:r>
      <w:r w:rsidRPr="0001508F">
        <w:rPr>
          <w:b/>
          <w:bCs/>
          <w:spacing w:val="-6"/>
          <w:w w:val="105"/>
          <w:szCs w:val="24"/>
        </w:rPr>
        <w:t xml:space="preserve"> </w:t>
      </w:r>
    </w:p>
    <w:p w14:paraId="1C7B8A9A" w14:textId="77777777" w:rsidR="0001508F" w:rsidRPr="0001508F" w:rsidRDefault="0001508F" w:rsidP="0001508F">
      <w:pPr>
        <w:suppressAutoHyphens/>
        <w:spacing w:after="240"/>
        <w:ind w:left="360"/>
        <w:rPr>
          <w:spacing w:val="-6"/>
          <w:w w:val="115"/>
          <w:szCs w:val="24"/>
        </w:rPr>
      </w:pPr>
      <w:r w:rsidRPr="0001508F">
        <w:rPr>
          <w:b/>
          <w:szCs w:val="24"/>
        </w:rPr>
        <w:t xml:space="preserve">DEMOLITION, FULL. </w:t>
      </w:r>
    </w:p>
    <w:p w14:paraId="4A80FA48" w14:textId="77777777" w:rsidR="0001508F" w:rsidRPr="0001508F" w:rsidRDefault="0001508F" w:rsidP="0001508F">
      <w:pPr>
        <w:suppressAutoHyphens/>
        <w:spacing w:after="240"/>
        <w:ind w:left="360"/>
        <w:rPr>
          <w:spacing w:val="-6"/>
          <w:w w:val="115"/>
          <w:szCs w:val="24"/>
        </w:rPr>
      </w:pPr>
      <w:r w:rsidRPr="0001508F">
        <w:rPr>
          <w:b/>
          <w:szCs w:val="24"/>
        </w:rPr>
        <w:t>DEMOLITION, PARTIAL.</w:t>
      </w:r>
      <w:r w:rsidRPr="0001508F">
        <w:rPr>
          <w:b/>
          <w:bCs/>
          <w:spacing w:val="-5"/>
          <w:w w:val="105"/>
          <w:szCs w:val="24"/>
        </w:rPr>
        <w:t xml:space="preserve"> </w:t>
      </w:r>
    </w:p>
    <w:p w14:paraId="510E68CF" w14:textId="77777777" w:rsidR="0001508F" w:rsidRPr="0001508F" w:rsidRDefault="0001508F" w:rsidP="0001508F">
      <w:pPr>
        <w:suppressAutoHyphens/>
        <w:spacing w:after="240"/>
        <w:ind w:left="360"/>
        <w:rPr>
          <w:spacing w:val="-7"/>
          <w:w w:val="115"/>
          <w:szCs w:val="24"/>
        </w:rPr>
      </w:pPr>
      <w:r w:rsidRPr="0001508F">
        <w:rPr>
          <w:b/>
          <w:szCs w:val="24"/>
        </w:rPr>
        <w:t xml:space="preserve">DEPARTMENT. </w:t>
      </w:r>
    </w:p>
    <w:p w14:paraId="30D7A012" w14:textId="77777777" w:rsidR="0001508F" w:rsidRPr="0001508F" w:rsidRDefault="0001508F" w:rsidP="0001508F">
      <w:pPr>
        <w:suppressAutoHyphens/>
        <w:spacing w:after="240"/>
        <w:ind w:left="360"/>
        <w:rPr>
          <w:spacing w:val="-10"/>
          <w:w w:val="115"/>
          <w:szCs w:val="24"/>
        </w:rPr>
      </w:pPr>
      <w:r w:rsidRPr="0001508F">
        <w:rPr>
          <w:b/>
          <w:szCs w:val="24"/>
        </w:rPr>
        <w:t xml:space="preserve">ENGINEER. </w:t>
      </w:r>
    </w:p>
    <w:p w14:paraId="5B24A855" w14:textId="77777777" w:rsidR="0001508F" w:rsidRPr="0001508F" w:rsidRDefault="0001508F" w:rsidP="0001508F">
      <w:pPr>
        <w:suppressAutoHyphens/>
        <w:spacing w:after="240"/>
        <w:ind w:left="360"/>
        <w:rPr>
          <w:spacing w:val="-8"/>
          <w:w w:val="115"/>
          <w:szCs w:val="24"/>
        </w:rPr>
      </w:pPr>
      <w:r w:rsidRPr="0001508F">
        <w:rPr>
          <w:b/>
          <w:szCs w:val="24"/>
        </w:rPr>
        <w:t xml:space="preserve">ENLARGEMENT. </w:t>
      </w:r>
    </w:p>
    <w:p w14:paraId="285A9DE5" w14:textId="77777777" w:rsidR="0001508F" w:rsidRPr="0001508F" w:rsidRDefault="0001508F" w:rsidP="0001508F">
      <w:pPr>
        <w:suppressAutoHyphens/>
        <w:spacing w:after="240"/>
        <w:ind w:left="360"/>
        <w:rPr>
          <w:szCs w:val="24"/>
        </w:rPr>
      </w:pPr>
      <w:r w:rsidRPr="0001508F">
        <w:rPr>
          <w:b/>
          <w:szCs w:val="24"/>
        </w:rPr>
        <w:t xml:space="preserve">ENVIRONMENTAL CONTROL BOARD or ECB. </w:t>
      </w:r>
    </w:p>
    <w:p w14:paraId="37682BF0" w14:textId="77777777" w:rsidR="0001508F" w:rsidRPr="0001508F" w:rsidRDefault="0001508F" w:rsidP="0001508F">
      <w:pPr>
        <w:suppressAutoHyphens/>
        <w:spacing w:after="240"/>
        <w:ind w:left="360"/>
        <w:rPr>
          <w:spacing w:val="-6"/>
          <w:w w:val="115"/>
          <w:szCs w:val="24"/>
        </w:rPr>
      </w:pPr>
      <w:r w:rsidRPr="0001508F">
        <w:rPr>
          <w:b/>
          <w:szCs w:val="24"/>
        </w:rPr>
        <w:t>EXISTING BUILDING OR STRUCTURE.</w:t>
      </w:r>
      <w:r w:rsidRPr="0001508F">
        <w:rPr>
          <w:spacing w:val="1"/>
          <w:szCs w:val="24"/>
        </w:rPr>
        <w:t xml:space="preserve"> </w:t>
      </w:r>
    </w:p>
    <w:p w14:paraId="326A768C" w14:textId="77777777" w:rsidR="0001508F" w:rsidRPr="0001508F" w:rsidRDefault="0001508F" w:rsidP="0001508F">
      <w:pPr>
        <w:suppressAutoHyphens/>
        <w:spacing w:after="240"/>
        <w:ind w:left="360"/>
        <w:rPr>
          <w:spacing w:val="1"/>
          <w:szCs w:val="24"/>
        </w:rPr>
      </w:pPr>
      <w:r w:rsidRPr="0001508F">
        <w:rPr>
          <w:b/>
          <w:szCs w:val="24"/>
        </w:rPr>
        <w:t xml:space="preserve">FABRICATED ITEM. </w:t>
      </w:r>
    </w:p>
    <w:p w14:paraId="3952A2F7" w14:textId="77777777" w:rsidR="0001508F" w:rsidRPr="0001508F" w:rsidRDefault="0001508F" w:rsidP="0001508F">
      <w:pPr>
        <w:suppressAutoHyphens/>
        <w:spacing w:after="240"/>
        <w:ind w:left="360"/>
        <w:rPr>
          <w:spacing w:val="-6"/>
          <w:w w:val="115"/>
          <w:szCs w:val="24"/>
        </w:rPr>
      </w:pPr>
      <w:r w:rsidRPr="0001508F">
        <w:rPr>
          <w:b/>
          <w:szCs w:val="24"/>
        </w:rPr>
        <w:t>FIRE PROTECTION PLAN.</w:t>
      </w:r>
      <w:r w:rsidRPr="0001508F">
        <w:rPr>
          <w:b/>
          <w:bCs/>
          <w:spacing w:val="-13"/>
          <w:w w:val="105"/>
          <w:szCs w:val="24"/>
        </w:rPr>
        <w:t xml:space="preserve"> </w:t>
      </w:r>
    </w:p>
    <w:p w14:paraId="3242A9DC" w14:textId="77777777" w:rsidR="0001508F" w:rsidRPr="0001508F" w:rsidRDefault="0001508F" w:rsidP="0001508F">
      <w:pPr>
        <w:suppressAutoHyphens/>
        <w:spacing w:after="240"/>
        <w:ind w:left="360"/>
        <w:rPr>
          <w:spacing w:val="-7"/>
          <w:w w:val="115"/>
          <w:szCs w:val="24"/>
        </w:rPr>
      </w:pPr>
      <w:r w:rsidRPr="0001508F">
        <w:rPr>
          <w:b/>
          <w:szCs w:val="24"/>
        </w:rPr>
        <w:t>HEREAFTER.</w:t>
      </w:r>
      <w:r w:rsidRPr="0001508F">
        <w:rPr>
          <w:b/>
          <w:bCs/>
          <w:spacing w:val="-7"/>
          <w:w w:val="105"/>
          <w:szCs w:val="24"/>
        </w:rPr>
        <w:t xml:space="preserve"> </w:t>
      </w:r>
    </w:p>
    <w:p w14:paraId="427B2561" w14:textId="77777777" w:rsidR="0001508F" w:rsidRPr="0001508F" w:rsidRDefault="0001508F" w:rsidP="0001508F">
      <w:pPr>
        <w:suppressAutoHyphens/>
        <w:spacing w:after="240"/>
        <w:ind w:left="360"/>
        <w:rPr>
          <w:spacing w:val="-6"/>
          <w:w w:val="115"/>
          <w:szCs w:val="24"/>
        </w:rPr>
      </w:pPr>
      <w:r w:rsidRPr="0001508F">
        <w:rPr>
          <w:b/>
          <w:szCs w:val="24"/>
        </w:rPr>
        <w:t xml:space="preserve">HERETOFORE. </w:t>
      </w:r>
    </w:p>
    <w:p w14:paraId="0955C685" w14:textId="77777777" w:rsidR="0001508F" w:rsidRPr="0001508F" w:rsidRDefault="0001508F" w:rsidP="0001508F">
      <w:pPr>
        <w:suppressAutoHyphens/>
        <w:spacing w:after="240"/>
        <w:ind w:left="360"/>
        <w:rPr>
          <w:spacing w:val="1"/>
          <w:szCs w:val="24"/>
        </w:rPr>
      </w:pPr>
      <w:r w:rsidRPr="0001508F">
        <w:rPr>
          <w:b/>
          <w:bCs/>
          <w:spacing w:val="-9"/>
          <w:w w:val="105"/>
          <w:szCs w:val="24"/>
        </w:rPr>
        <w:t>I</w:t>
      </w:r>
      <w:r w:rsidRPr="0001508F">
        <w:rPr>
          <w:b/>
          <w:szCs w:val="24"/>
        </w:rPr>
        <w:t>NSPECTION CERTIFICATE.</w:t>
      </w:r>
      <w:r w:rsidRPr="0001508F">
        <w:rPr>
          <w:b/>
          <w:bCs/>
          <w:spacing w:val="-9"/>
          <w:w w:val="105"/>
          <w:szCs w:val="24"/>
        </w:rPr>
        <w:t xml:space="preserve"> </w:t>
      </w:r>
    </w:p>
    <w:p w14:paraId="3AAD8C59" w14:textId="77777777" w:rsidR="0001508F" w:rsidRPr="0001508F" w:rsidRDefault="0001508F" w:rsidP="0001508F">
      <w:pPr>
        <w:suppressAutoHyphens/>
        <w:spacing w:after="240"/>
        <w:ind w:left="360"/>
        <w:rPr>
          <w:spacing w:val="-6"/>
          <w:w w:val="115"/>
          <w:szCs w:val="24"/>
        </w:rPr>
      </w:pPr>
      <w:r w:rsidRPr="0001508F">
        <w:rPr>
          <w:b/>
          <w:szCs w:val="24"/>
        </w:rPr>
        <w:t>INTERIM CERTIFICATE OF OCCUPANCY.</w:t>
      </w:r>
      <w:r w:rsidRPr="0001508F">
        <w:rPr>
          <w:b/>
          <w:spacing w:val="-6"/>
          <w:w w:val="115"/>
          <w:szCs w:val="24"/>
        </w:rPr>
        <w:t xml:space="preserve"> </w:t>
      </w:r>
    </w:p>
    <w:p w14:paraId="2EEDF65E" w14:textId="77777777" w:rsidR="0001508F" w:rsidRPr="0001508F" w:rsidRDefault="0001508F" w:rsidP="0001508F">
      <w:pPr>
        <w:suppressAutoHyphens/>
        <w:spacing w:after="240"/>
        <w:ind w:left="360"/>
        <w:rPr>
          <w:spacing w:val="1"/>
          <w:szCs w:val="24"/>
        </w:rPr>
      </w:pPr>
      <w:r w:rsidRPr="0001508F">
        <w:rPr>
          <w:b/>
          <w:szCs w:val="24"/>
        </w:rPr>
        <w:t>LABEL.</w:t>
      </w:r>
      <w:r w:rsidRPr="0001508F">
        <w:rPr>
          <w:b/>
          <w:bCs/>
          <w:spacing w:val="-6"/>
          <w:w w:val="105"/>
          <w:szCs w:val="24"/>
        </w:rPr>
        <w:t xml:space="preserve"> </w:t>
      </w:r>
    </w:p>
    <w:p w14:paraId="7A114B49" w14:textId="77777777" w:rsidR="0001508F" w:rsidRPr="0001508F" w:rsidRDefault="0001508F" w:rsidP="0001508F">
      <w:pPr>
        <w:suppressAutoHyphens/>
        <w:spacing w:after="240"/>
        <w:ind w:left="360"/>
        <w:rPr>
          <w:spacing w:val="-8"/>
          <w:w w:val="115"/>
          <w:szCs w:val="24"/>
        </w:rPr>
      </w:pPr>
      <w:r w:rsidRPr="0001508F">
        <w:rPr>
          <w:b/>
          <w:szCs w:val="24"/>
        </w:rPr>
        <w:t xml:space="preserve">LABELED. </w:t>
      </w:r>
    </w:p>
    <w:p w14:paraId="0482393E" w14:textId="77777777" w:rsidR="0001508F" w:rsidRPr="0001508F" w:rsidRDefault="0001508F" w:rsidP="0001508F">
      <w:pPr>
        <w:suppressAutoHyphens/>
        <w:spacing w:after="240"/>
        <w:ind w:left="360"/>
        <w:rPr>
          <w:spacing w:val="-8"/>
          <w:w w:val="115"/>
          <w:szCs w:val="24"/>
        </w:rPr>
      </w:pPr>
      <w:r w:rsidRPr="0001508F">
        <w:rPr>
          <w:b/>
          <w:szCs w:val="24"/>
        </w:rPr>
        <w:t>LAND SURVEYOR.</w:t>
      </w:r>
      <w:r w:rsidRPr="0001508F">
        <w:rPr>
          <w:b/>
          <w:bCs/>
          <w:spacing w:val="-6"/>
          <w:w w:val="105"/>
          <w:szCs w:val="24"/>
        </w:rPr>
        <w:t xml:space="preserve"> </w:t>
      </w:r>
    </w:p>
    <w:p w14:paraId="12DAAD9C" w14:textId="77777777" w:rsidR="0001508F" w:rsidRPr="0001508F" w:rsidRDefault="0001508F" w:rsidP="0001508F">
      <w:pPr>
        <w:suppressAutoHyphens/>
        <w:spacing w:after="240"/>
        <w:ind w:left="360"/>
        <w:rPr>
          <w:spacing w:val="1"/>
          <w:szCs w:val="24"/>
        </w:rPr>
      </w:pPr>
      <w:r w:rsidRPr="0001508F">
        <w:rPr>
          <w:b/>
          <w:szCs w:val="24"/>
        </w:rPr>
        <w:t>LANDSCAPE ARCHITECT</w:t>
      </w:r>
      <w:r w:rsidRPr="0001508F">
        <w:rPr>
          <w:b/>
          <w:spacing w:val="-7"/>
          <w:w w:val="115"/>
          <w:szCs w:val="24"/>
        </w:rPr>
        <w:t>.</w:t>
      </w:r>
      <w:r w:rsidRPr="0001508F">
        <w:rPr>
          <w:spacing w:val="-7"/>
          <w:w w:val="115"/>
          <w:szCs w:val="24"/>
        </w:rPr>
        <w:t xml:space="preserve"> </w:t>
      </w:r>
    </w:p>
    <w:p w14:paraId="6A42E1FB" w14:textId="77777777" w:rsidR="0001508F" w:rsidRPr="0001508F" w:rsidRDefault="0001508F" w:rsidP="0001508F">
      <w:pPr>
        <w:suppressAutoHyphens/>
        <w:spacing w:after="240"/>
        <w:ind w:left="360"/>
        <w:rPr>
          <w:spacing w:val="1"/>
          <w:szCs w:val="24"/>
        </w:rPr>
      </w:pPr>
      <w:r w:rsidRPr="0001508F">
        <w:rPr>
          <w:b/>
          <w:szCs w:val="24"/>
        </w:rPr>
        <w:t>LETTER OF COMPLETION.</w:t>
      </w:r>
      <w:r w:rsidRPr="0001508F">
        <w:rPr>
          <w:b/>
          <w:bCs/>
          <w:spacing w:val="-7"/>
          <w:w w:val="105"/>
          <w:szCs w:val="24"/>
        </w:rPr>
        <w:t xml:space="preserve"> </w:t>
      </w:r>
    </w:p>
    <w:p w14:paraId="22E44FC0" w14:textId="77777777" w:rsidR="0001508F" w:rsidRPr="0001508F" w:rsidRDefault="0001508F" w:rsidP="0001508F">
      <w:pPr>
        <w:suppressAutoHyphens/>
        <w:spacing w:after="240"/>
        <w:ind w:left="360"/>
        <w:rPr>
          <w:szCs w:val="24"/>
        </w:rPr>
      </w:pPr>
      <w:r w:rsidRPr="0001508F">
        <w:rPr>
          <w:b/>
          <w:szCs w:val="24"/>
        </w:rPr>
        <w:t xml:space="preserve">LIMITED ALTERATION APPLICATION. </w:t>
      </w:r>
    </w:p>
    <w:p w14:paraId="2BD42C01" w14:textId="77777777" w:rsidR="0001508F" w:rsidRPr="0001508F" w:rsidRDefault="0001508F" w:rsidP="0001508F">
      <w:pPr>
        <w:suppressAutoHyphens/>
        <w:spacing w:after="240"/>
        <w:ind w:left="360"/>
        <w:rPr>
          <w:b/>
          <w:szCs w:val="24"/>
          <w:u w:val="single"/>
        </w:rPr>
      </w:pPr>
      <w:r w:rsidRPr="0001508F">
        <w:rPr>
          <w:b/>
          <w:szCs w:val="24"/>
          <w:u w:val="single"/>
        </w:rPr>
        <w:t>LIMITED ELEVATOR ALTERATIONS.</w:t>
      </w:r>
      <w:r w:rsidRPr="0001508F">
        <w:rPr>
          <w:spacing w:val="1"/>
          <w:szCs w:val="24"/>
          <w:u w:val="single"/>
        </w:rPr>
        <w:t xml:space="preserve"> </w:t>
      </w:r>
    </w:p>
    <w:p w14:paraId="05A8DF22" w14:textId="77777777" w:rsidR="0001508F" w:rsidRPr="0001508F" w:rsidRDefault="0001508F" w:rsidP="0001508F">
      <w:pPr>
        <w:suppressAutoHyphens/>
        <w:spacing w:after="240"/>
        <w:ind w:left="360"/>
        <w:rPr>
          <w:b/>
          <w:szCs w:val="24"/>
          <w:u w:val="single"/>
        </w:rPr>
      </w:pPr>
      <w:r w:rsidRPr="0001508F">
        <w:rPr>
          <w:b/>
          <w:szCs w:val="24"/>
          <w:u w:val="single"/>
        </w:rPr>
        <w:t>LIMITED HOME IMPROVEMENT ALTERATIONS.</w:t>
      </w:r>
      <w:r w:rsidRPr="0001508F">
        <w:rPr>
          <w:spacing w:val="1"/>
          <w:szCs w:val="24"/>
          <w:u w:val="single"/>
        </w:rPr>
        <w:t xml:space="preserve"> </w:t>
      </w:r>
    </w:p>
    <w:p w14:paraId="3A84DABE" w14:textId="77777777" w:rsidR="0001508F" w:rsidRPr="0001508F" w:rsidRDefault="0001508F" w:rsidP="0001508F">
      <w:pPr>
        <w:suppressAutoHyphens/>
        <w:spacing w:after="240"/>
        <w:ind w:left="360"/>
        <w:rPr>
          <w:spacing w:val="1"/>
          <w:szCs w:val="24"/>
          <w:u w:val="single"/>
        </w:rPr>
      </w:pPr>
      <w:r w:rsidRPr="0001508F">
        <w:rPr>
          <w:b/>
          <w:szCs w:val="24"/>
          <w:u w:val="single"/>
        </w:rPr>
        <w:t>LIMITED OIL-BURNING APPLIANCE ALTERATIONS.</w:t>
      </w:r>
      <w:r w:rsidRPr="0001508F">
        <w:rPr>
          <w:spacing w:val="-6"/>
          <w:w w:val="115"/>
          <w:szCs w:val="24"/>
          <w:u w:val="single"/>
        </w:rPr>
        <w:t xml:space="preserve"> </w:t>
      </w:r>
    </w:p>
    <w:p w14:paraId="15C87821" w14:textId="77777777" w:rsidR="0001508F" w:rsidRPr="0001508F" w:rsidRDefault="0001508F" w:rsidP="0001508F">
      <w:pPr>
        <w:suppressAutoHyphens/>
        <w:spacing w:after="240"/>
        <w:ind w:left="360"/>
        <w:rPr>
          <w:szCs w:val="24"/>
        </w:rPr>
      </w:pPr>
      <w:r w:rsidRPr="0001508F">
        <w:rPr>
          <w:b/>
          <w:szCs w:val="24"/>
        </w:rPr>
        <w:t>LIMITED PLUMBING ALTERATIONS.</w:t>
      </w:r>
      <w:r w:rsidRPr="0001508F">
        <w:rPr>
          <w:szCs w:val="24"/>
        </w:rPr>
        <w:t xml:space="preserve"> </w:t>
      </w:r>
    </w:p>
    <w:p w14:paraId="46B539F1" w14:textId="77777777" w:rsidR="0001508F" w:rsidRPr="0001508F" w:rsidRDefault="0001508F" w:rsidP="0001508F">
      <w:pPr>
        <w:suppressAutoHyphens/>
        <w:spacing w:after="240"/>
        <w:ind w:left="360"/>
        <w:rPr>
          <w:b/>
          <w:szCs w:val="24"/>
          <w:u w:val="single"/>
        </w:rPr>
      </w:pPr>
      <w:r w:rsidRPr="0001508F">
        <w:rPr>
          <w:b/>
          <w:szCs w:val="24"/>
          <w:u w:val="single"/>
        </w:rPr>
        <w:t>LIMITED REROOFING ALTERATIONS.</w:t>
      </w:r>
      <w:r w:rsidRPr="0001508F">
        <w:rPr>
          <w:spacing w:val="1"/>
          <w:szCs w:val="24"/>
          <w:u w:val="single"/>
        </w:rPr>
        <w:t xml:space="preserve"> </w:t>
      </w:r>
    </w:p>
    <w:p w14:paraId="317CB5FB" w14:textId="77777777" w:rsidR="0001508F" w:rsidRPr="0001508F" w:rsidRDefault="0001508F" w:rsidP="0001508F">
      <w:pPr>
        <w:suppressAutoHyphens/>
        <w:spacing w:after="240"/>
        <w:ind w:left="360"/>
        <w:rPr>
          <w:b/>
          <w:szCs w:val="24"/>
        </w:rPr>
      </w:pPr>
      <w:r w:rsidRPr="0001508F">
        <w:rPr>
          <w:b/>
          <w:szCs w:val="24"/>
        </w:rPr>
        <w:t>LIMITED SPRINKLER ALTERATIONS.</w:t>
      </w:r>
      <w:r w:rsidRPr="0001508F">
        <w:rPr>
          <w:szCs w:val="24"/>
        </w:rPr>
        <w:t xml:space="preserve"> </w:t>
      </w:r>
    </w:p>
    <w:p w14:paraId="185E3973" w14:textId="77777777" w:rsidR="0001508F" w:rsidRPr="0001508F" w:rsidRDefault="0001508F" w:rsidP="0001508F">
      <w:pPr>
        <w:suppressAutoHyphens/>
        <w:spacing w:after="240"/>
        <w:ind w:left="360"/>
        <w:rPr>
          <w:szCs w:val="24"/>
        </w:rPr>
      </w:pPr>
      <w:r w:rsidRPr="0001508F">
        <w:rPr>
          <w:b/>
          <w:szCs w:val="24"/>
        </w:rPr>
        <w:t>LIMITED STANDPIPE ALTERATIONS.</w:t>
      </w:r>
      <w:r w:rsidRPr="0001508F">
        <w:rPr>
          <w:szCs w:val="24"/>
        </w:rPr>
        <w:t xml:space="preserve"> </w:t>
      </w:r>
    </w:p>
    <w:p w14:paraId="71CEAD64" w14:textId="77777777" w:rsidR="0001508F" w:rsidRPr="0001508F" w:rsidRDefault="0001508F" w:rsidP="0001508F">
      <w:pPr>
        <w:suppressAutoHyphens/>
        <w:spacing w:after="240"/>
        <w:ind w:left="360"/>
        <w:rPr>
          <w:b/>
          <w:szCs w:val="24"/>
          <w:u w:val="single"/>
        </w:rPr>
      </w:pPr>
      <w:r w:rsidRPr="0001508F">
        <w:rPr>
          <w:b/>
          <w:szCs w:val="24"/>
          <w:u w:val="single"/>
        </w:rPr>
        <w:t>LIMITED WINDOW REPLACEMENT ALTERATIONS.</w:t>
      </w:r>
      <w:r w:rsidRPr="0001508F">
        <w:rPr>
          <w:spacing w:val="1"/>
          <w:szCs w:val="24"/>
          <w:u w:val="single"/>
        </w:rPr>
        <w:t xml:space="preserve"> </w:t>
      </w:r>
    </w:p>
    <w:p w14:paraId="20DED382" w14:textId="77777777" w:rsidR="0001508F" w:rsidRPr="0001508F" w:rsidRDefault="0001508F" w:rsidP="0001508F">
      <w:pPr>
        <w:suppressAutoHyphens/>
        <w:spacing w:after="240"/>
        <w:ind w:left="360"/>
        <w:rPr>
          <w:szCs w:val="24"/>
        </w:rPr>
      </w:pPr>
      <w:r w:rsidRPr="0001508F">
        <w:rPr>
          <w:b/>
          <w:szCs w:val="24"/>
        </w:rPr>
        <w:t>LISTED.</w:t>
      </w:r>
      <w:r w:rsidRPr="0001508F">
        <w:rPr>
          <w:szCs w:val="24"/>
        </w:rPr>
        <w:t xml:space="preserve"> </w:t>
      </w:r>
    </w:p>
    <w:p w14:paraId="1F64F792" w14:textId="77777777" w:rsidR="0001508F" w:rsidRPr="0001508F" w:rsidRDefault="0001508F" w:rsidP="0001508F">
      <w:pPr>
        <w:suppressAutoHyphens/>
        <w:spacing w:after="240"/>
        <w:ind w:left="360"/>
        <w:rPr>
          <w:b/>
          <w:bCs/>
          <w:spacing w:val="3"/>
          <w:w w:val="105"/>
          <w:szCs w:val="24"/>
        </w:rPr>
      </w:pPr>
      <w:r w:rsidRPr="0001508F">
        <w:rPr>
          <w:b/>
          <w:szCs w:val="24"/>
        </w:rPr>
        <w:t xml:space="preserve">MAIN USE OR DOMINANT OCCUPANCY (OF A BUILDING). </w:t>
      </w:r>
    </w:p>
    <w:p w14:paraId="7F7A719B" w14:textId="77777777" w:rsidR="0001508F" w:rsidRPr="0001508F" w:rsidRDefault="0001508F" w:rsidP="0001508F">
      <w:pPr>
        <w:suppressAutoHyphens/>
        <w:spacing w:after="240"/>
        <w:ind w:left="360"/>
        <w:rPr>
          <w:spacing w:val="3"/>
          <w:szCs w:val="24"/>
        </w:rPr>
      </w:pPr>
      <w:r w:rsidRPr="0001508F">
        <w:rPr>
          <w:b/>
          <w:szCs w:val="24"/>
        </w:rPr>
        <w:t>MANUFACTURER’S DESIGNATION.</w:t>
      </w:r>
      <w:r w:rsidRPr="0001508F">
        <w:rPr>
          <w:b/>
          <w:bCs/>
          <w:spacing w:val="1"/>
          <w:w w:val="105"/>
          <w:szCs w:val="24"/>
        </w:rPr>
        <w:t xml:space="preserve"> </w:t>
      </w:r>
    </w:p>
    <w:p w14:paraId="176531C9" w14:textId="77777777" w:rsidR="0001508F" w:rsidRPr="0001508F" w:rsidRDefault="0001508F" w:rsidP="0001508F">
      <w:pPr>
        <w:suppressAutoHyphens/>
        <w:spacing w:after="240"/>
        <w:ind w:left="360"/>
        <w:rPr>
          <w:spacing w:val="2"/>
          <w:szCs w:val="24"/>
        </w:rPr>
      </w:pPr>
      <w:r w:rsidRPr="0001508F">
        <w:rPr>
          <w:b/>
          <w:szCs w:val="24"/>
        </w:rPr>
        <w:t xml:space="preserve">MARK. </w:t>
      </w:r>
    </w:p>
    <w:p w14:paraId="2033A3D8" w14:textId="77777777" w:rsidR="0001508F" w:rsidRPr="0001508F" w:rsidRDefault="0001508F" w:rsidP="0001508F">
      <w:pPr>
        <w:suppressAutoHyphens/>
        <w:spacing w:after="240"/>
        <w:ind w:left="360"/>
        <w:rPr>
          <w:spacing w:val="2"/>
          <w:szCs w:val="24"/>
        </w:rPr>
      </w:pPr>
      <w:r w:rsidRPr="0001508F">
        <w:rPr>
          <w:b/>
          <w:szCs w:val="24"/>
        </w:rPr>
        <w:t>MATERIALS.</w:t>
      </w:r>
      <w:r w:rsidRPr="0001508F">
        <w:rPr>
          <w:b/>
          <w:bCs/>
          <w:spacing w:val="-3"/>
          <w:w w:val="105"/>
          <w:szCs w:val="24"/>
        </w:rPr>
        <w:t xml:space="preserve"> </w:t>
      </w:r>
    </w:p>
    <w:p w14:paraId="7821554E" w14:textId="77777777" w:rsidR="0001508F" w:rsidRPr="0001508F" w:rsidRDefault="0001508F" w:rsidP="0001508F">
      <w:pPr>
        <w:suppressAutoHyphens/>
        <w:spacing w:after="240"/>
        <w:ind w:left="360"/>
        <w:rPr>
          <w:szCs w:val="24"/>
        </w:rPr>
      </w:pPr>
      <w:r w:rsidRPr="0001508F">
        <w:rPr>
          <w:b/>
          <w:szCs w:val="24"/>
        </w:rPr>
        <w:t>OCCUPANCY.</w:t>
      </w:r>
      <w:r w:rsidRPr="0001508F">
        <w:rPr>
          <w:b/>
          <w:bCs/>
          <w:w w:val="105"/>
          <w:szCs w:val="24"/>
        </w:rPr>
        <w:t xml:space="preserve"> </w:t>
      </w:r>
    </w:p>
    <w:p w14:paraId="31D28840" w14:textId="77777777" w:rsidR="0001508F" w:rsidRPr="0001508F" w:rsidRDefault="0001508F" w:rsidP="0001508F">
      <w:pPr>
        <w:suppressAutoHyphens/>
        <w:spacing w:after="240"/>
        <w:ind w:left="360"/>
        <w:rPr>
          <w:spacing w:val="2"/>
          <w:szCs w:val="24"/>
        </w:rPr>
      </w:pPr>
      <w:r w:rsidRPr="0001508F">
        <w:rPr>
          <w:b/>
          <w:szCs w:val="24"/>
        </w:rPr>
        <w:t xml:space="preserve">OWNER. </w:t>
      </w:r>
    </w:p>
    <w:p w14:paraId="74C1BCEA" w14:textId="77777777" w:rsidR="0001508F" w:rsidRPr="0001508F" w:rsidRDefault="0001508F" w:rsidP="0001508F">
      <w:pPr>
        <w:suppressAutoHyphens/>
        <w:spacing w:after="240"/>
        <w:ind w:left="360"/>
        <w:rPr>
          <w:spacing w:val="-2"/>
          <w:szCs w:val="24"/>
        </w:rPr>
      </w:pPr>
      <w:r w:rsidRPr="0001508F">
        <w:rPr>
          <w:b/>
          <w:szCs w:val="24"/>
        </w:rPr>
        <w:t>PARTY WALL.</w:t>
      </w:r>
      <w:r w:rsidRPr="0001508F">
        <w:rPr>
          <w:b/>
          <w:bCs/>
          <w:spacing w:val="-2"/>
          <w:w w:val="105"/>
          <w:szCs w:val="24"/>
        </w:rPr>
        <w:t xml:space="preserve"> </w:t>
      </w:r>
    </w:p>
    <w:p w14:paraId="477949A7" w14:textId="77777777" w:rsidR="0001508F" w:rsidRPr="0001508F" w:rsidRDefault="0001508F" w:rsidP="0001508F">
      <w:pPr>
        <w:suppressAutoHyphens/>
        <w:spacing w:after="240"/>
        <w:ind w:left="360"/>
        <w:rPr>
          <w:szCs w:val="24"/>
        </w:rPr>
      </w:pPr>
      <w:r w:rsidRPr="0001508F">
        <w:rPr>
          <w:b/>
          <w:szCs w:val="24"/>
        </w:rPr>
        <w:t>PERMIT.</w:t>
      </w:r>
      <w:r w:rsidRPr="0001508F">
        <w:rPr>
          <w:b/>
          <w:bCs/>
          <w:w w:val="105"/>
          <w:szCs w:val="24"/>
        </w:rPr>
        <w:t xml:space="preserve"> </w:t>
      </w:r>
    </w:p>
    <w:p w14:paraId="130B7432" w14:textId="77777777" w:rsidR="0001508F" w:rsidRPr="0001508F" w:rsidRDefault="0001508F" w:rsidP="0001508F">
      <w:pPr>
        <w:suppressAutoHyphens/>
        <w:spacing w:after="240"/>
        <w:ind w:left="360"/>
        <w:rPr>
          <w:spacing w:val="3"/>
          <w:szCs w:val="24"/>
        </w:rPr>
      </w:pPr>
      <w:r w:rsidRPr="0001508F">
        <w:rPr>
          <w:b/>
          <w:szCs w:val="24"/>
        </w:rPr>
        <w:t xml:space="preserve">PERSON. </w:t>
      </w:r>
    </w:p>
    <w:p w14:paraId="3975648D" w14:textId="77777777" w:rsidR="0001508F" w:rsidRPr="0001508F" w:rsidRDefault="0001508F" w:rsidP="0001508F">
      <w:pPr>
        <w:suppressAutoHyphens/>
        <w:spacing w:after="240"/>
        <w:ind w:left="360"/>
        <w:rPr>
          <w:spacing w:val="11"/>
          <w:szCs w:val="24"/>
        </w:rPr>
      </w:pPr>
      <w:r w:rsidRPr="0001508F">
        <w:rPr>
          <w:b/>
          <w:szCs w:val="24"/>
        </w:rPr>
        <w:t>PREMISES</w:t>
      </w:r>
      <w:r w:rsidRPr="0001508F">
        <w:rPr>
          <w:b/>
          <w:bCs/>
          <w:spacing w:val="11"/>
          <w:w w:val="105"/>
          <w:szCs w:val="24"/>
        </w:rPr>
        <w:t xml:space="preserve">. </w:t>
      </w:r>
    </w:p>
    <w:p w14:paraId="679F4C83" w14:textId="77777777" w:rsidR="0001508F" w:rsidRPr="0001508F" w:rsidRDefault="0001508F" w:rsidP="0001508F">
      <w:pPr>
        <w:suppressAutoHyphens/>
        <w:spacing w:after="240"/>
        <w:ind w:left="360"/>
        <w:rPr>
          <w:szCs w:val="24"/>
        </w:rPr>
      </w:pPr>
      <w:r w:rsidRPr="0001508F">
        <w:rPr>
          <w:b/>
          <w:szCs w:val="24"/>
        </w:rPr>
        <w:t xml:space="preserve">PRIOR CODE BUILDING </w:t>
      </w:r>
      <w:r w:rsidRPr="0001508F">
        <w:rPr>
          <w:b/>
          <w:szCs w:val="24"/>
          <w:u w:val="single"/>
        </w:rPr>
        <w:t>OR STRUCTURE</w:t>
      </w:r>
      <w:r w:rsidRPr="0001508F">
        <w:rPr>
          <w:b/>
          <w:szCs w:val="24"/>
        </w:rPr>
        <w:t xml:space="preserve">. </w:t>
      </w:r>
    </w:p>
    <w:p w14:paraId="65472EE1" w14:textId="77777777" w:rsidR="0001508F" w:rsidRPr="0001508F" w:rsidRDefault="0001508F" w:rsidP="0001508F">
      <w:pPr>
        <w:suppressAutoHyphens/>
        <w:spacing w:after="240"/>
        <w:ind w:left="360"/>
        <w:jc w:val="left"/>
        <w:rPr>
          <w:spacing w:val="2"/>
          <w:szCs w:val="24"/>
        </w:rPr>
      </w:pPr>
      <w:r w:rsidRPr="0001508F">
        <w:rPr>
          <w:b/>
          <w:szCs w:val="24"/>
        </w:rPr>
        <w:t>PROFESSIONAL CERTIFICATION.</w:t>
      </w:r>
      <w:r w:rsidRPr="0001508F">
        <w:rPr>
          <w:b/>
          <w:bCs/>
          <w:spacing w:val="-4"/>
          <w:w w:val="105"/>
          <w:szCs w:val="24"/>
        </w:rPr>
        <w:t xml:space="preserve"> </w:t>
      </w:r>
    </w:p>
    <w:p w14:paraId="76DE6027" w14:textId="77777777" w:rsidR="0001508F" w:rsidRPr="0001508F" w:rsidRDefault="0001508F" w:rsidP="0001508F">
      <w:pPr>
        <w:suppressAutoHyphens/>
        <w:spacing w:after="240"/>
        <w:ind w:left="360"/>
        <w:jc w:val="left"/>
        <w:rPr>
          <w:szCs w:val="24"/>
        </w:rPr>
      </w:pPr>
      <w:r w:rsidRPr="0001508F">
        <w:rPr>
          <w:b/>
          <w:szCs w:val="24"/>
        </w:rPr>
        <w:t>PROGRESS INSPECTION.</w:t>
      </w:r>
      <w:r w:rsidRPr="0001508F">
        <w:rPr>
          <w:szCs w:val="24"/>
        </w:rPr>
        <w:t xml:space="preserve"> </w:t>
      </w:r>
    </w:p>
    <w:p w14:paraId="4C1BA005" w14:textId="77777777" w:rsidR="0001508F" w:rsidRPr="0001508F" w:rsidRDefault="0001508F" w:rsidP="0001508F">
      <w:pPr>
        <w:suppressAutoHyphens/>
        <w:spacing w:after="240"/>
        <w:ind w:left="360"/>
        <w:jc w:val="left"/>
        <w:rPr>
          <w:szCs w:val="24"/>
        </w:rPr>
      </w:pPr>
      <w:r w:rsidRPr="0001508F">
        <w:rPr>
          <w:b/>
          <w:szCs w:val="24"/>
        </w:rPr>
        <w:t>PROJECT.</w:t>
      </w:r>
      <w:r w:rsidRPr="0001508F">
        <w:rPr>
          <w:szCs w:val="24"/>
        </w:rPr>
        <w:t xml:space="preserve"> </w:t>
      </w:r>
    </w:p>
    <w:p w14:paraId="5AD6B05D" w14:textId="77777777" w:rsidR="0001508F" w:rsidRPr="0001508F" w:rsidRDefault="0001508F" w:rsidP="0001508F">
      <w:pPr>
        <w:suppressAutoHyphens/>
        <w:spacing w:after="240"/>
        <w:ind w:left="360"/>
        <w:jc w:val="left"/>
        <w:rPr>
          <w:spacing w:val="-2"/>
          <w:szCs w:val="24"/>
        </w:rPr>
      </w:pPr>
      <w:r w:rsidRPr="0001508F">
        <w:rPr>
          <w:b/>
          <w:szCs w:val="24"/>
        </w:rPr>
        <w:t>REGISTERED DESIGN PROFESSIONAL.</w:t>
      </w:r>
      <w:r w:rsidRPr="0001508F">
        <w:rPr>
          <w:b/>
          <w:bCs/>
          <w:spacing w:val="-2"/>
          <w:w w:val="105"/>
          <w:szCs w:val="24"/>
        </w:rPr>
        <w:t xml:space="preserve"> </w:t>
      </w:r>
    </w:p>
    <w:p w14:paraId="7938C3BD" w14:textId="77777777" w:rsidR="0001508F" w:rsidRPr="0001508F" w:rsidRDefault="0001508F" w:rsidP="0001508F">
      <w:pPr>
        <w:suppressAutoHyphens/>
        <w:spacing w:after="240"/>
        <w:ind w:left="360"/>
        <w:jc w:val="left"/>
        <w:rPr>
          <w:spacing w:val="3"/>
          <w:szCs w:val="24"/>
        </w:rPr>
      </w:pPr>
      <w:r w:rsidRPr="0001508F">
        <w:rPr>
          <w:b/>
          <w:szCs w:val="24"/>
        </w:rPr>
        <w:t xml:space="preserve">REGISTERED DESIGN PROFESSIONAL OF RECORD. </w:t>
      </w:r>
    </w:p>
    <w:p w14:paraId="11BA0F57" w14:textId="77777777" w:rsidR="0001508F" w:rsidRPr="0001508F" w:rsidRDefault="0001508F" w:rsidP="0001508F">
      <w:pPr>
        <w:suppressAutoHyphens/>
        <w:spacing w:after="240"/>
        <w:ind w:left="360"/>
        <w:jc w:val="left"/>
        <w:rPr>
          <w:spacing w:val="3"/>
          <w:szCs w:val="24"/>
        </w:rPr>
      </w:pPr>
      <w:r w:rsidRPr="0001508F">
        <w:rPr>
          <w:b/>
          <w:szCs w:val="24"/>
        </w:rPr>
        <w:t>REQUIRED.</w:t>
      </w:r>
      <w:r w:rsidRPr="0001508F">
        <w:rPr>
          <w:b/>
          <w:bCs/>
          <w:spacing w:val="3"/>
          <w:w w:val="105"/>
          <w:szCs w:val="24"/>
        </w:rPr>
        <w:t xml:space="preserve"> </w:t>
      </w:r>
    </w:p>
    <w:p w14:paraId="29EB42D1" w14:textId="77777777" w:rsidR="0001508F" w:rsidRPr="0001508F" w:rsidRDefault="0001508F" w:rsidP="0001508F">
      <w:pPr>
        <w:suppressAutoHyphens/>
        <w:spacing w:after="240"/>
        <w:ind w:left="360"/>
        <w:jc w:val="left"/>
        <w:rPr>
          <w:szCs w:val="24"/>
        </w:rPr>
      </w:pPr>
      <w:r w:rsidRPr="0001508F">
        <w:rPr>
          <w:b/>
          <w:szCs w:val="24"/>
        </w:rPr>
        <w:t>RETAINING WALL.</w:t>
      </w:r>
      <w:r w:rsidRPr="0001508F">
        <w:rPr>
          <w:b/>
          <w:bCs/>
          <w:w w:val="105"/>
          <w:szCs w:val="24"/>
        </w:rPr>
        <w:t xml:space="preserve"> </w:t>
      </w:r>
    </w:p>
    <w:p w14:paraId="416F06F8" w14:textId="77777777" w:rsidR="0001508F" w:rsidRPr="0001508F" w:rsidRDefault="0001508F" w:rsidP="0001508F">
      <w:pPr>
        <w:suppressAutoHyphens/>
        <w:spacing w:after="240"/>
        <w:ind w:left="360"/>
        <w:jc w:val="left"/>
        <w:rPr>
          <w:spacing w:val="3"/>
          <w:szCs w:val="24"/>
        </w:rPr>
      </w:pPr>
      <w:r w:rsidRPr="0001508F">
        <w:rPr>
          <w:b/>
          <w:szCs w:val="24"/>
        </w:rPr>
        <w:t>SERVICE EQUIPMENT.</w:t>
      </w:r>
      <w:r w:rsidRPr="0001508F">
        <w:rPr>
          <w:b/>
          <w:bCs/>
          <w:w w:val="105"/>
          <w:szCs w:val="24"/>
        </w:rPr>
        <w:t xml:space="preserve"> </w:t>
      </w:r>
    </w:p>
    <w:p w14:paraId="5B6B3707" w14:textId="77777777" w:rsidR="0001508F" w:rsidRPr="0001508F" w:rsidRDefault="0001508F" w:rsidP="0001508F">
      <w:pPr>
        <w:suppressAutoHyphens/>
        <w:spacing w:after="240"/>
        <w:ind w:left="360"/>
        <w:jc w:val="left"/>
        <w:rPr>
          <w:spacing w:val="1"/>
          <w:szCs w:val="24"/>
        </w:rPr>
      </w:pPr>
      <w:r w:rsidRPr="0001508F">
        <w:rPr>
          <w:b/>
          <w:szCs w:val="24"/>
        </w:rPr>
        <w:t xml:space="preserve">SIGN-OFF. </w:t>
      </w:r>
    </w:p>
    <w:p w14:paraId="3B2AE6B4" w14:textId="77777777" w:rsidR="0001508F" w:rsidRPr="0001508F" w:rsidRDefault="0001508F" w:rsidP="0001508F">
      <w:pPr>
        <w:suppressAutoHyphens/>
        <w:spacing w:after="240"/>
        <w:ind w:left="360"/>
        <w:jc w:val="left"/>
        <w:rPr>
          <w:b/>
          <w:szCs w:val="24"/>
        </w:rPr>
      </w:pPr>
      <w:r w:rsidRPr="0001508F">
        <w:rPr>
          <w:b/>
          <w:szCs w:val="24"/>
        </w:rPr>
        <w:t>SINGLE ROOM OCCUPANCY MULTIPLE DWELLING</w:t>
      </w:r>
      <w:r w:rsidRPr="0001508F">
        <w:rPr>
          <w:b/>
          <w:bCs/>
          <w:spacing w:val="2"/>
          <w:w w:val="105"/>
          <w:szCs w:val="24"/>
        </w:rPr>
        <w:t xml:space="preserve">. </w:t>
      </w:r>
    </w:p>
    <w:p w14:paraId="77E15517" w14:textId="77777777" w:rsidR="0001508F" w:rsidRPr="0001508F" w:rsidRDefault="0001508F" w:rsidP="0001508F">
      <w:pPr>
        <w:suppressAutoHyphens/>
        <w:spacing w:after="240"/>
        <w:ind w:left="360"/>
        <w:jc w:val="left"/>
        <w:rPr>
          <w:spacing w:val="1"/>
          <w:szCs w:val="24"/>
        </w:rPr>
      </w:pPr>
      <w:r w:rsidRPr="0001508F">
        <w:rPr>
          <w:b/>
          <w:szCs w:val="24"/>
        </w:rPr>
        <w:t xml:space="preserve">SPECIAL INSPECTION. </w:t>
      </w:r>
    </w:p>
    <w:p w14:paraId="1A8A3B0F" w14:textId="77777777" w:rsidR="0001508F" w:rsidRPr="0001508F" w:rsidRDefault="0001508F" w:rsidP="0001508F">
      <w:pPr>
        <w:suppressAutoHyphens/>
        <w:spacing w:after="240"/>
        <w:ind w:left="360"/>
        <w:jc w:val="left"/>
        <w:rPr>
          <w:szCs w:val="24"/>
        </w:rPr>
      </w:pPr>
      <w:r w:rsidRPr="0001508F">
        <w:rPr>
          <w:b/>
          <w:szCs w:val="24"/>
        </w:rPr>
        <w:t>SPECIAL INSPECTION AGENCY.</w:t>
      </w:r>
      <w:r w:rsidRPr="0001508F">
        <w:rPr>
          <w:szCs w:val="24"/>
        </w:rPr>
        <w:t xml:space="preserve"> </w:t>
      </w:r>
    </w:p>
    <w:p w14:paraId="440870E9" w14:textId="77777777" w:rsidR="0001508F" w:rsidRPr="0001508F" w:rsidRDefault="0001508F" w:rsidP="0001508F">
      <w:pPr>
        <w:suppressAutoHyphens/>
        <w:spacing w:after="240"/>
        <w:ind w:left="360"/>
        <w:jc w:val="left"/>
        <w:rPr>
          <w:spacing w:val="3"/>
          <w:szCs w:val="24"/>
        </w:rPr>
      </w:pPr>
      <w:r w:rsidRPr="0001508F">
        <w:rPr>
          <w:b/>
          <w:szCs w:val="24"/>
        </w:rPr>
        <w:t>SPECIAL INSPECTOR.</w:t>
      </w:r>
      <w:r w:rsidRPr="0001508F">
        <w:rPr>
          <w:b/>
          <w:bCs/>
          <w:spacing w:val="2"/>
          <w:w w:val="105"/>
          <w:szCs w:val="24"/>
        </w:rPr>
        <w:t xml:space="preserve"> </w:t>
      </w:r>
    </w:p>
    <w:p w14:paraId="12E078E8" w14:textId="77777777" w:rsidR="0001508F" w:rsidRPr="0001508F" w:rsidRDefault="0001508F" w:rsidP="0001508F">
      <w:pPr>
        <w:suppressAutoHyphens/>
        <w:spacing w:after="240"/>
        <w:ind w:left="360"/>
        <w:jc w:val="left"/>
        <w:rPr>
          <w:spacing w:val="3"/>
          <w:szCs w:val="24"/>
        </w:rPr>
      </w:pPr>
      <w:r w:rsidRPr="0001508F">
        <w:rPr>
          <w:b/>
          <w:szCs w:val="24"/>
        </w:rPr>
        <w:t>STRUCTURE.</w:t>
      </w:r>
      <w:r w:rsidRPr="0001508F">
        <w:rPr>
          <w:b/>
          <w:bCs/>
          <w:spacing w:val="-1"/>
          <w:w w:val="105"/>
          <w:szCs w:val="24"/>
        </w:rPr>
        <w:t xml:space="preserve"> </w:t>
      </w:r>
    </w:p>
    <w:p w14:paraId="488B2317" w14:textId="77777777" w:rsidR="0001508F" w:rsidRPr="0001508F" w:rsidRDefault="0001508F" w:rsidP="0001508F">
      <w:pPr>
        <w:suppressAutoHyphens/>
        <w:spacing w:after="240"/>
        <w:ind w:left="360"/>
        <w:jc w:val="left"/>
        <w:rPr>
          <w:spacing w:val="2"/>
          <w:szCs w:val="24"/>
        </w:rPr>
      </w:pPr>
      <w:r w:rsidRPr="0001508F">
        <w:rPr>
          <w:b/>
          <w:szCs w:val="24"/>
        </w:rPr>
        <w:t xml:space="preserve">SUBMITTAL DOCUMENTS. </w:t>
      </w:r>
    </w:p>
    <w:p w14:paraId="1CCDF5C9" w14:textId="77777777" w:rsidR="0001508F" w:rsidRPr="0001508F" w:rsidRDefault="0001508F" w:rsidP="0001508F">
      <w:pPr>
        <w:suppressAutoHyphens/>
        <w:spacing w:after="240"/>
        <w:ind w:left="360"/>
        <w:jc w:val="left"/>
        <w:rPr>
          <w:szCs w:val="24"/>
        </w:rPr>
      </w:pPr>
      <w:r w:rsidRPr="0001508F">
        <w:rPr>
          <w:b/>
          <w:szCs w:val="24"/>
        </w:rPr>
        <w:t>SUPERINTENDENT OF CONSTRUCTION (CONSTRUCTION SUPERINTENDENT).</w:t>
      </w:r>
      <w:r w:rsidRPr="0001508F">
        <w:rPr>
          <w:szCs w:val="24"/>
        </w:rPr>
        <w:t xml:space="preserve"> </w:t>
      </w:r>
    </w:p>
    <w:p w14:paraId="245ADDFD" w14:textId="77777777" w:rsidR="0001508F" w:rsidRPr="0001508F" w:rsidRDefault="0001508F" w:rsidP="0001508F">
      <w:pPr>
        <w:suppressAutoHyphens/>
        <w:spacing w:after="240"/>
        <w:ind w:left="360"/>
        <w:jc w:val="left"/>
        <w:rPr>
          <w:spacing w:val="3"/>
          <w:szCs w:val="24"/>
        </w:rPr>
      </w:pPr>
      <w:r w:rsidRPr="0001508F">
        <w:rPr>
          <w:b/>
          <w:szCs w:val="24"/>
        </w:rPr>
        <w:t>USE (USED).</w:t>
      </w:r>
      <w:r w:rsidRPr="0001508F">
        <w:rPr>
          <w:b/>
          <w:bCs/>
          <w:spacing w:val="-1"/>
          <w:w w:val="105"/>
          <w:szCs w:val="24"/>
        </w:rPr>
        <w:t xml:space="preserve"> </w:t>
      </w:r>
    </w:p>
    <w:p w14:paraId="4D02EEB4" w14:textId="77777777" w:rsidR="0001508F" w:rsidRPr="0001508F" w:rsidRDefault="0001508F" w:rsidP="0001508F">
      <w:pPr>
        <w:suppressAutoHyphens/>
        <w:spacing w:after="240"/>
        <w:ind w:left="360"/>
        <w:jc w:val="left"/>
        <w:rPr>
          <w:szCs w:val="24"/>
        </w:rPr>
      </w:pPr>
      <w:r w:rsidRPr="0001508F">
        <w:rPr>
          <w:b/>
          <w:szCs w:val="24"/>
        </w:rPr>
        <w:t xml:space="preserve">UTILITY COMPANY OR PUBLIC UTILITY COMPANY. </w:t>
      </w:r>
    </w:p>
    <w:p w14:paraId="048C4749" w14:textId="77777777" w:rsidR="0001508F" w:rsidRPr="0001508F" w:rsidRDefault="0001508F" w:rsidP="0001508F">
      <w:pPr>
        <w:suppressAutoHyphens/>
        <w:spacing w:after="240"/>
        <w:ind w:left="360"/>
        <w:jc w:val="left"/>
        <w:rPr>
          <w:szCs w:val="24"/>
        </w:rPr>
      </w:pPr>
      <w:r w:rsidRPr="0001508F">
        <w:rPr>
          <w:b/>
          <w:szCs w:val="24"/>
        </w:rPr>
        <w:t xml:space="preserve">UTILITY CORPORATION OR PUBLIC UTILITY CORPORATION. </w:t>
      </w:r>
    </w:p>
    <w:p w14:paraId="14977179" w14:textId="77777777" w:rsidR="0001508F" w:rsidRPr="0001508F" w:rsidRDefault="0001508F" w:rsidP="0001508F">
      <w:pPr>
        <w:suppressAutoHyphens/>
        <w:spacing w:after="240"/>
        <w:ind w:left="360"/>
        <w:jc w:val="left"/>
        <w:rPr>
          <w:b/>
          <w:bCs/>
          <w:spacing w:val="-11"/>
          <w:w w:val="105"/>
          <w:szCs w:val="24"/>
        </w:rPr>
      </w:pPr>
      <w:r w:rsidRPr="0001508F">
        <w:rPr>
          <w:b/>
          <w:szCs w:val="24"/>
        </w:rPr>
        <w:t>[WORK NOT CONSTITUTING MINOR ALTERATIONS OR ORDINARY REPAIRS.]</w:t>
      </w:r>
      <w:r w:rsidRPr="0001508F">
        <w:rPr>
          <w:b/>
          <w:bCs/>
          <w:spacing w:val="-1"/>
          <w:w w:val="105"/>
          <w:szCs w:val="24"/>
        </w:rPr>
        <w:t xml:space="preserve"> </w:t>
      </w:r>
    </w:p>
    <w:p w14:paraId="10E8DA0B" w14:textId="77777777" w:rsidR="0001508F" w:rsidRPr="0001508F" w:rsidRDefault="0001508F" w:rsidP="0001508F">
      <w:pPr>
        <w:suppressAutoHyphens/>
        <w:spacing w:after="240"/>
        <w:ind w:left="360"/>
        <w:jc w:val="left"/>
        <w:rPr>
          <w:spacing w:val="2"/>
          <w:szCs w:val="24"/>
        </w:rPr>
      </w:pPr>
      <w:r w:rsidRPr="0001508F">
        <w:rPr>
          <w:b/>
          <w:szCs w:val="24"/>
        </w:rPr>
        <w:t>WRITING (WRITTEN).</w:t>
      </w:r>
      <w:r w:rsidRPr="0001508F">
        <w:rPr>
          <w:b/>
          <w:bCs/>
          <w:w w:val="110"/>
          <w:szCs w:val="24"/>
        </w:rPr>
        <w:t xml:space="preserve"> </w:t>
      </w:r>
    </w:p>
    <w:p w14:paraId="50019C7B" w14:textId="77777777" w:rsidR="0001508F" w:rsidRPr="0001508F" w:rsidRDefault="0001508F" w:rsidP="0001508F">
      <w:pPr>
        <w:suppressAutoHyphens/>
        <w:spacing w:after="240"/>
        <w:ind w:left="360"/>
        <w:jc w:val="left"/>
        <w:rPr>
          <w:szCs w:val="24"/>
        </w:rPr>
      </w:pPr>
      <w:r w:rsidRPr="0001508F">
        <w:rPr>
          <w:b/>
          <w:szCs w:val="24"/>
        </w:rPr>
        <w:t>WRITTEN NOTICE.</w:t>
      </w:r>
      <w:r w:rsidRPr="0001508F">
        <w:rPr>
          <w:b/>
          <w:bCs/>
          <w:spacing w:val="-3"/>
          <w:w w:val="110"/>
          <w:szCs w:val="24"/>
        </w:rPr>
        <w:t xml:space="preserve"> </w:t>
      </w:r>
    </w:p>
    <w:p w14:paraId="68DCF545" w14:textId="77777777" w:rsidR="0001508F" w:rsidRPr="0001508F" w:rsidRDefault="0001508F" w:rsidP="0001508F">
      <w:pPr>
        <w:suppressAutoHyphens/>
        <w:spacing w:after="240"/>
        <w:ind w:left="360"/>
        <w:rPr>
          <w:b/>
          <w:szCs w:val="24"/>
        </w:rPr>
      </w:pPr>
      <w:r w:rsidRPr="0001508F">
        <w:rPr>
          <w:b/>
          <w:szCs w:val="24"/>
        </w:rPr>
        <w:t xml:space="preserve">ZONING RESOLUTION. </w:t>
      </w:r>
    </w:p>
    <w:p w14:paraId="7FBA490E" w14:textId="77777777" w:rsidR="0001508F" w:rsidRPr="0001508F" w:rsidRDefault="0001508F" w:rsidP="0001508F">
      <w:pPr>
        <w:widowControl w:val="0"/>
        <w:spacing w:before="120" w:after="120" w:line="480" w:lineRule="auto"/>
        <w:ind w:firstLine="720"/>
        <w:rPr>
          <w:rFonts w:eastAsia="SimSun"/>
          <w:szCs w:val="24"/>
        </w:rPr>
      </w:pPr>
      <w:r w:rsidRPr="0001508F">
        <w:rPr>
          <w:bCs/>
          <w:szCs w:val="24"/>
        </w:rPr>
        <w:t>§ 102. Sections 301.9 of the New York city fuel gas code, as amended by local law number 126 for the year 2021, is amended to read as follows:</w:t>
      </w:r>
    </w:p>
    <w:p w14:paraId="28919AFE" w14:textId="77777777" w:rsidR="0001508F" w:rsidRPr="0001508F" w:rsidRDefault="0001508F" w:rsidP="0001508F">
      <w:pPr>
        <w:widowControl w:val="0"/>
        <w:autoSpaceDE w:val="0"/>
        <w:autoSpaceDN w:val="0"/>
        <w:adjustRightInd w:val="0"/>
        <w:spacing w:before="120" w:after="120"/>
        <w:rPr>
          <w:szCs w:val="24"/>
        </w:rPr>
      </w:pPr>
      <w:r w:rsidRPr="0001508F">
        <w:rPr>
          <w:b/>
          <w:bCs/>
          <w:szCs w:val="24"/>
        </w:rPr>
        <w:t xml:space="preserve">301.9 Repair. </w:t>
      </w:r>
      <w:r w:rsidRPr="0001508F">
        <w:rPr>
          <w:szCs w:val="24"/>
        </w:rPr>
        <w:t>Defective material or parts shall be replaced or repaired in such a manner so as to preserve the original approval or listing</w:t>
      </w:r>
      <w:r w:rsidRPr="0001508F">
        <w:rPr>
          <w:rFonts w:ascii="Segoe UI" w:hAnsi="Segoe UI" w:cs="Segoe UI"/>
          <w:sz w:val="18"/>
          <w:szCs w:val="18"/>
          <w:u w:val="single"/>
        </w:rPr>
        <w:t xml:space="preserve"> </w:t>
      </w:r>
      <w:r w:rsidRPr="0001508F">
        <w:rPr>
          <w:szCs w:val="24"/>
          <w:u w:val="single"/>
        </w:rPr>
        <w:t xml:space="preserve">and to be in compliance with the </w:t>
      </w:r>
      <w:r w:rsidRPr="0001508F">
        <w:rPr>
          <w:i/>
          <w:iCs/>
          <w:szCs w:val="24"/>
          <w:u w:val="single"/>
        </w:rPr>
        <w:t>New York City Existing Building Code</w:t>
      </w:r>
      <w:r w:rsidRPr="0001508F">
        <w:rPr>
          <w:szCs w:val="24"/>
          <w:u w:val="single"/>
        </w:rPr>
        <w:t>.</w:t>
      </w:r>
    </w:p>
    <w:p w14:paraId="74F3D451" w14:textId="77777777" w:rsidR="0001508F" w:rsidRPr="0001508F" w:rsidRDefault="0001508F" w:rsidP="0001508F">
      <w:pPr>
        <w:widowControl w:val="0"/>
        <w:spacing w:before="120" w:after="120" w:line="480" w:lineRule="auto"/>
        <w:ind w:firstLine="720"/>
        <w:rPr>
          <w:rFonts w:eastAsia="SimSun"/>
          <w:szCs w:val="24"/>
        </w:rPr>
      </w:pPr>
      <w:r w:rsidRPr="0001508F">
        <w:rPr>
          <w:bCs/>
          <w:szCs w:val="24"/>
        </w:rPr>
        <w:t>§ 103. Section 301.12 of the New York city fuel gas code, as amended by local law number 126 for the year 2021, is amended to read as follows:</w:t>
      </w:r>
    </w:p>
    <w:p w14:paraId="492523A8" w14:textId="77777777" w:rsidR="0001508F" w:rsidRPr="0001508F" w:rsidRDefault="0001508F" w:rsidP="0001508F">
      <w:pPr>
        <w:widowControl w:val="0"/>
        <w:autoSpaceDE w:val="0"/>
        <w:autoSpaceDN w:val="0"/>
        <w:adjustRightInd w:val="0"/>
        <w:spacing w:before="120" w:after="120"/>
        <w:rPr>
          <w:szCs w:val="24"/>
        </w:rPr>
      </w:pPr>
      <w:r w:rsidRPr="0001508F">
        <w:rPr>
          <w:b/>
          <w:bCs/>
          <w:szCs w:val="24"/>
        </w:rPr>
        <w:t>301.12 Seismic resistance.</w:t>
      </w:r>
      <w:r w:rsidRPr="0001508F">
        <w:rPr>
          <w:szCs w:val="24"/>
        </w:rPr>
        <w:t xml:space="preserve"> When earthquake loads are applicable in accordance with the </w:t>
      </w:r>
      <w:r w:rsidRPr="0001508F">
        <w:rPr>
          <w:i/>
          <w:iCs/>
          <w:szCs w:val="24"/>
        </w:rPr>
        <w:t>New York City Building Code</w:t>
      </w:r>
      <w:r w:rsidRPr="0001508F">
        <w:rPr>
          <w:szCs w:val="24"/>
        </w:rPr>
        <w:t>, the supports shall be designed and installed for the seismic forces in accordance with that code.</w:t>
      </w:r>
    </w:p>
    <w:p w14:paraId="30D5C42A" w14:textId="77777777" w:rsidR="0001508F" w:rsidRPr="0001508F" w:rsidRDefault="0001508F" w:rsidP="0001508F">
      <w:pPr>
        <w:widowControl w:val="0"/>
        <w:autoSpaceDE w:val="0"/>
        <w:autoSpaceDN w:val="0"/>
        <w:adjustRightInd w:val="0"/>
        <w:spacing w:before="120" w:after="120"/>
        <w:ind w:left="360"/>
        <w:rPr>
          <w:szCs w:val="24"/>
          <w:u w:val="single"/>
        </w:rPr>
      </w:pPr>
      <w:r w:rsidRPr="0001508F">
        <w:rPr>
          <w:b/>
          <w:bCs/>
          <w:szCs w:val="24"/>
          <w:u w:val="single"/>
        </w:rPr>
        <w:t>Exception:</w:t>
      </w:r>
      <w:r w:rsidRPr="0001508F">
        <w:rPr>
          <w:szCs w:val="24"/>
          <w:u w:val="single"/>
        </w:rPr>
        <w:t xml:space="preserve"> For existing buildings, refer to Section 307.2.1 of the </w:t>
      </w:r>
      <w:r w:rsidRPr="0001508F">
        <w:rPr>
          <w:i/>
          <w:iCs/>
          <w:szCs w:val="24"/>
          <w:u w:val="single"/>
        </w:rPr>
        <w:t>New York City Existing Building Code</w:t>
      </w:r>
      <w:r w:rsidRPr="0001508F">
        <w:rPr>
          <w:szCs w:val="24"/>
          <w:u w:val="single"/>
        </w:rPr>
        <w:t>.</w:t>
      </w:r>
    </w:p>
    <w:p w14:paraId="13D35AD3" w14:textId="77777777" w:rsidR="0001508F" w:rsidRPr="0001508F" w:rsidRDefault="0001508F" w:rsidP="0001508F">
      <w:pPr>
        <w:widowControl w:val="0"/>
        <w:autoSpaceDE w:val="0"/>
        <w:autoSpaceDN w:val="0"/>
        <w:adjustRightInd w:val="0"/>
        <w:spacing w:before="120" w:after="120"/>
        <w:ind w:left="360"/>
        <w:rPr>
          <w:szCs w:val="24"/>
          <w:u w:val="single"/>
        </w:rPr>
      </w:pPr>
    </w:p>
    <w:p w14:paraId="2E5002C8" w14:textId="77777777" w:rsidR="0001508F" w:rsidRPr="0001508F" w:rsidRDefault="0001508F" w:rsidP="0001508F">
      <w:pPr>
        <w:widowControl w:val="0"/>
        <w:spacing w:before="120" w:after="120" w:line="480" w:lineRule="auto"/>
        <w:ind w:firstLine="720"/>
        <w:rPr>
          <w:rFonts w:eastAsia="SimSun"/>
          <w:szCs w:val="24"/>
        </w:rPr>
      </w:pPr>
      <w:r w:rsidRPr="0001508F">
        <w:rPr>
          <w:bCs/>
          <w:szCs w:val="24"/>
        </w:rPr>
        <w:t>§ 104. Section 302.1.1 of the New York city fuel gas code, as amended by local law number 126 for the year 2021, is amended to read as follows:</w:t>
      </w:r>
    </w:p>
    <w:p w14:paraId="4E8779FD" w14:textId="77777777" w:rsidR="0001508F" w:rsidRPr="0001508F" w:rsidRDefault="0001508F" w:rsidP="0001508F">
      <w:pPr>
        <w:suppressAutoHyphens/>
        <w:spacing w:after="240"/>
        <w:ind w:left="360"/>
        <w:rPr>
          <w:spacing w:val="3"/>
          <w:szCs w:val="24"/>
          <w:u w:val="single"/>
        </w:rPr>
      </w:pPr>
      <w:r w:rsidRPr="0001508F">
        <w:rPr>
          <w:b/>
          <w:bCs/>
          <w:spacing w:val="3"/>
          <w:szCs w:val="24"/>
        </w:rPr>
        <w:t xml:space="preserve">302.1.1 Loading. </w:t>
      </w:r>
      <w:r w:rsidRPr="0001508F">
        <w:rPr>
          <w:spacing w:val="3"/>
          <w:szCs w:val="24"/>
        </w:rPr>
        <w:t>[</w:t>
      </w:r>
      <w:r w:rsidRPr="0001508F">
        <w:rPr>
          <w:strike/>
          <w:spacing w:val="3"/>
          <w:szCs w:val="24"/>
        </w:rPr>
        <w:t>Alterations resulting in the addition of loads to any member, such as HVAC equipment and water heaters, shall not be permitted without verification that the members are capable of supporting such additional loading.</w:t>
      </w:r>
      <w:r w:rsidRPr="0001508F">
        <w:rPr>
          <w:spacing w:val="3"/>
          <w:szCs w:val="24"/>
        </w:rPr>
        <w:t xml:space="preserve">] </w:t>
      </w:r>
      <w:r w:rsidRPr="0001508F">
        <w:rPr>
          <w:spacing w:val="3"/>
          <w:szCs w:val="24"/>
          <w:u w:val="single"/>
        </w:rPr>
        <w:t xml:space="preserve">Refer to Section 307.2.3 of the </w:t>
      </w:r>
      <w:r w:rsidRPr="0001508F">
        <w:rPr>
          <w:i/>
          <w:iCs/>
          <w:spacing w:val="3"/>
          <w:szCs w:val="24"/>
          <w:u w:val="single"/>
        </w:rPr>
        <w:t>New York City Existing Building Code</w:t>
      </w:r>
      <w:r w:rsidRPr="0001508F">
        <w:rPr>
          <w:spacing w:val="3"/>
          <w:szCs w:val="24"/>
          <w:u w:val="single"/>
        </w:rPr>
        <w:t xml:space="preserve"> for alterations resulting in the addition of loads to any member in existing buildings or structures.</w:t>
      </w:r>
    </w:p>
    <w:p w14:paraId="3E5FB5C1" w14:textId="77777777" w:rsidR="0001508F" w:rsidRPr="0001508F" w:rsidRDefault="0001508F" w:rsidP="0001508F">
      <w:pPr>
        <w:widowControl w:val="0"/>
        <w:spacing w:before="120" w:after="120" w:line="480" w:lineRule="auto"/>
        <w:ind w:firstLine="720"/>
        <w:rPr>
          <w:rFonts w:eastAsia="SimSun"/>
          <w:szCs w:val="24"/>
        </w:rPr>
      </w:pPr>
      <w:r w:rsidRPr="0001508F">
        <w:rPr>
          <w:bCs/>
          <w:szCs w:val="24"/>
        </w:rPr>
        <w:t>§ 105. Section 306.5 of the New York city fuel gas code, as amended by local law number 126 for the year 2021, is amended to read as follows:</w:t>
      </w:r>
    </w:p>
    <w:p w14:paraId="78CC7497" w14:textId="77777777" w:rsidR="0001508F" w:rsidRPr="0001508F" w:rsidRDefault="0001508F" w:rsidP="0001508F">
      <w:pPr>
        <w:suppressAutoHyphens/>
        <w:spacing w:after="240"/>
        <w:rPr>
          <w:spacing w:val="3"/>
          <w:szCs w:val="24"/>
        </w:rPr>
      </w:pPr>
      <w:r w:rsidRPr="0001508F">
        <w:rPr>
          <w:b/>
          <w:szCs w:val="24"/>
        </w:rPr>
        <w:t xml:space="preserve">306.5 Equipment and appliances on roofs or elevated structures. </w:t>
      </w:r>
      <w:r w:rsidRPr="0001508F">
        <w:rPr>
          <w:bCs/>
          <w:szCs w:val="24"/>
        </w:rPr>
        <w:t xml:space="preserve">Where equipment </w:t>
      </w:r>
      <w:r w:rsidRPr="0001508F">
        <w:rPr>
          <w:bCs/>
          <w:spacing w:val="1"/>
          <w:szCs w:val="24"/>
        </w:rPr>
        <w:t xml:space="preserve">or appliances </w:t>
      </w:r>
      <w:r w:rsidRPr="0001508F">
        <w:rPr>
          <w:bCs/>
          <w:szCs w:val="24"/>
        </w:rPr>
        <w:t>requiring access are located on an elevated structure or the roof of a building such that personnel will have to climb higher than 16 feet (4877 mm</w:t>
      </w:r>
      <w:r w:rsidRPr="0001508F">
        <w:rPr>
          <w:bCs/>
          <w:spacing w:val="1"/>
          <w:szCs w:val="24"/>
        </w:rPr>
        <w:t xml:space="preserve">) </w:t>
      </w:r>
      <w:r w:rsidRPr="0001508F">
        <w:rPr>
          <w:bCs/>
          <w:szCs w:val="24"/>
        </w:rPr>
        <w:t>above grade, roof, or floor level to access such equipment or appliances, an interior or exterior means of access shall be provided</w:t>
      </w:r>
      <w:r w:rsidRPr="0001508F">
        <w:rPr>
          <w:bCs/>
          <w:spacing w:val="1"/>
          <w:szCs w:val="24"/>
        </w:rPr>
        <w:t>.</w:t>
      </w:r>
      <w:r w:rsidRPr="0001508F">
        <w:rPr>
          <w:bCs/>
          <w:szCs w:val="24"/>
        </w:rPr>
        <w:t xml:space="preserve"> Such access shall not require climbing over obstructions greater than 30 inches (762 mm) in height or walking on roofs having a slope greater than 4 units vertical in 12 units horizontal (33-percent slope). Such access to the roof or elevated structure and access from the roof or elevated structure to equipment requiring maintenance shall not require the use of portable ladders.</w:t>
      </w:r>
      <w:r w:rsidRPr="0001508F">
        <w:rPr>
          <w:bCs/>
          <w:szCs w:val="24"/>
          <w:u w:val="single"/>
        </w:rPr>
        <w:t xml:space="preserve"> </w:t>
      </w:r>
      <w:r w:rsidRPr="0001508F">
        <w:rPr>
          <w:bCs/>
          <w:spacing w:val="1"/>
          <w:szCs w:val="24"/>
        </w:rPr>
        <w:t>Where</w:t>
      </w:r>
      <w:r w:rsidRPr="0001508F">
        <w:rPr>
          <w:bCs/>
          <w:szCs w:val="24"/>
        </w:rPr>
        <w:t xml:space="preserve"> access </w:t>
      </w:r>
      <w:r w:rsidRPr="0001508F">
        <w:rPr>
          <w:bCs/>
          <w:spacing w:val="1"/>
          <w:szCs w:val="24"/>
        </w:rPr>
        <w:t xml:space="preserve">involves climbing over parapet walls, the height </w:t>
      </w:r>
      <w:r w:rsidRPr="0001508F">
        <w:rPr>
          <w:bCs/>
          <w:szCs w:val="24"/>
        </w:rPr>
        <w:t xml:space="preserve">shall </w:t>
      </w:r>
      <w:r w:rsidRPr="0001508F">
        <w:rPr>
          <w:bCs/>
          <w:spacing w:val="1"/>
          <w:szCs w:val="24"/>
        </w:rPr>
        <w:t>be measured to</w:t>
      </w:r>
      <w:r w:rsidRPr="0001508F">
        <w:rPr>
          <w:bCs/>
          <w:szCs w:val="24"/>
        </w:rPr>
        <w:t xml:space="preserve"> the </w:t>
      </w:r>
      <w:r w:rsidRPr="0001508F">
        <w:rPr>
          <w:bCs/>
          <w:spacing w:val="1"/>
          <w:szCs w:val="24"/>
        </w:rPr>
        <w:t>top</w:t>
      </w:r>
      <w:r w:rsidRPr="0001508F">
        <w:rPr>
          <w:bCs/>
          <w:szCs w:val="24"/>
        </w:rPr>
        <w:t xml:space="preserve"> of </w:t>
      </w:r>
      <w:r w:rsidRPr="0001508F">
        <w:rPr>
          <w:bCs/>
          <w:spacing w:val="1"/>
          <w:szCs w:val="24"/>
        </w:rPr>
        <w:t>the parapet wall</w:t>
      </w:r>
      <w:r w:rsidRPr="0001508F">
        <w:rPr>
          <w:bCs/>
          <w:szCs w:val="24"/>
        </w:rPr>
        <w:t>.</w:t>
      </w:r>
    </w:p>
    <w:p w14:paraId="56A1CFFF" w14:textId="77777777" w:rsidR="0001508F" w:rsidRPr="0001508F" w:rsidRDefault="0001508F" w:rsidP="0001508F">
      <w:pPr>
        <w:widowControl w:val="0"/>
        <w:spacing w:before="120" w:after="120"/>
        <w:ind w:firstLine="360"/>
        <w:rPr>
          <w:szCs w:val="24"/>
        </w:rPr>
      </w:pPr>
      <w:r w:rsidRPr="0001508F">
        <w:rPr>
          <w:szCs w:val="24"/>
        </w:rPr>
        <w:t>Permanent ladders installed to provide the required access shall comply with the following minimum design criteria:</w:t>
      </w:r>
    </w:p>
    <w:p w14:paraId="18B54F51" w14:textId="77777777" w:rsidR="0001508F" w:rsidRPr="0001508F" w:rsidRDefault="0001508F" w:rsidP="0001508F">
      <w:pPr>
        <w:widowControl w:val="0"/>
        <w:tabs>
          <w:tab w:val="left" w:pos="720"/>
        </w:tabs>
        <w:autoSpaceDE w:val="0"/>
        <w:autoSpaceDN w:val="0"/>
        <w:adjustRightInd w:val="0"/>
        <w:spacing w:before="120" w:after="120"/>
        <w:ind w:left="720" w:hanging="360"/>
        <w:rPr>
          <w:szCs w:val="24"/>
        </w:rPr>
      </w:pPr>
      <w:r w:rsidRPr="0001508F">
        <w:rPr>
          <w:szCs w:val="24"/>
        </w:rPr>
        <w:t>1.</w:t>
      </w:r>
      <w:r w:rsidRPr="0001508F">
        <w:rPr>
          <w:szCs w:val="24"/>
        </w:rPr>
        <w:tab/>
        <w:t>The side railing shall extend above the parapet or roof edge not less than 30 inches (762 mm).</w:t>
      </w:r>
    </w:p>
    <w:p w14:paraId="7EB09C8E" w14:textId="77777777" w:rsidR="0001508F" w:rsidRPr="0001508F" w:rsidRDefault="0001508F" w:rsidP="0001508F">
      <w:pPr>
        <w:widowControl w:val="0"/>
        <w:tabs>
          <w:tab w:val="left" w:pos="720"/>
        </w:tabs>
        <w:autoSpaceDE w:val="0"/>
        <w:autoSpaceDN w:val="0"/>
        <w:adjustRightInd w:val="0"/>
        <w:spacing w:before="120" w:after="120"/>
        <w:ind w:left="720" w:hanging="360"/>
        <w:rPr>
          <w:szCs w:val="24"/>
        </w:rPr>
      </w:pPr>
      <w:r w:rsidRPr="0001508F">
        <w:rPr>
          <w:szCs w:val="24"/>
        </w:rPr>
        <w:t>2.</w:t>
      </w:r>
      <w:r w:rsidRPr="0001508F">
        <w:rPr>
          <w:szCs w:val="24"/>
        </w:rPr>
        <w:tab/>
        <w:t>Ladders shall have rung spacing not to exceed 12 inches (305 mm) on center. The uppermost rung shall be not more than 24 inches (610 mm) below the upper edge of the roof hatch, roof or parapet, as applicable.</w:t>
      </w:r>
    </w:p>
    <w:p w14:paraId="5872F463" w14:textId="77777777" w:rsidR="0001508F" w:rsidRPr="0001508F" w:rsidRDefault="0001508F" w:rsidP="0001508F">
      <w:pPr>
        <w:widowControl w:val="0"/>
        <w:tabs>
          <w:tab w:val="left" w:pos="720"/>
        </w:tabs>
        <w:autoSpaceDE w:val="0"/>
        <w:autoSpaceDN w:val="0"/>
        <w:adjustRightInd w:val="0"/>
        <w:spacing w:before="120" w:after="120"/>
        <w:ind w:left="720" w:hanging="360"/>
        <w:rPr>
          <w:szCs w:val="24"/>
        </w:rPr>
      </w:pPr>
      <w:r w:rsidRPr="0001508F">
        <w:rPr>
          <w:szCs w:val="24"/>
        </w:rPr>
        <w:t>3.</w:t>
      </w:r>
      <w:r w:rsidRPr="0001508F">
        <w:rPr>
          <w:szCs w:val="24"/>
        </w:rPr>
        <w:tab/>
        <w:t>Ladders shall have a toe spacing not less than 7 inches (178 mm) deep.</w:t>
      </w:r>
    </w:p>
    <w:p w14:paraId="4D165D18" w14:textId="77777777" w:rsidR="0001508F" w:rsidRPr="0001508F" w:rsidRDefault="0001508F" w:rsidP="0001508F">
      <w:pPr>
        <w:widowControl w:val="0"/>
        <w:tabs>
          <w:tab w:val="left" w:pos="720"/>
        </w:tabs>
        <w:autoSpaceDE w:val="0"/>
        <w:autoSpaceDN w:val="0"/>
        <w:adjustRightInd w:val="0"/>
        <w:spacing w:before="120" w:after="120"/>
        <w:ind w:left="720" w:hanging="360"/>
        <w:rPr>
          <w:szCs w:val="24"/>
        </w:rPr>
      </w:pPr>
      <w:r w:rsidRPr="0001508F">
        <w:rPr>
          <w:szCs w:val="24"/>
        </w:rPr>
        <w:t>4.</w:t>
      </w:r>
      <w:r w:rsidRPr="0001508F">
        <w:rPr>
          <w:szCs w:val="24"/>
        </w:rPr>
        <w:tab/>
        <w:t>There shall be not less than 18 inches (457 mm) between rails.</w:t>
      </w:r>
    </w:p>
    <w:p w14:paraId="6DFE4778" w14:textId="77777777" w:rsidR="0001508F" w:rsidRPr="0001508F" w:rsidRDefault="0001508F" w:rsidP="0001508F">
      <w:pPr>
        <w:widowControl w:val="0"/>
        <w:tabs>
          <w:tab w:val="left" w:pos="720"/>
        </w:tabs>
        <w:autoSpaceDE w:val="0"/>
        <w:autoSpaceDN w:val="0"/>
        <w:adjustRightInd w:val="0"/>
        <w:spacing w:before="120" w:after="120"/>
        <w:ind w:left="720" w:hanging="360"/>
        <w:rPr>
          <w:szCs w:val="24"/>
        </w:rPr>
      </w:pPr>
      <w:r w:rsidRPr="0001508F">
        <w:rPr>
          <w:szCs w:val="24"/>
        </w:rPr>
        <w:t>5.</w:t>
      </w:r>
      <w:r w:rsidRPr="0001508F">
        <w:rPr>
          <w:szCs w:val="24"/>
        </w:rPr>
        <w:tab/>
        <w:t>Rungs shall have a diameter not less than 0.75-inch (19 mm) and be capable of withstanding a 300-pound (136.1 kg) load.</w:t>
      </w:r>
    </w:p>
    <w:p w14:paraId="4F08BA0F" w14:textId="77777777" w:rsidR="0001508F" w:rsidRPr="0001508F" w:rsidRDefault="0001508F" w:rsidP="0001508F">
      <w:pPr>
        <w:widowControl w:val="0"/>
        <w:tabs>
          <w:tab w:val="num" w:pos="360"/>
        </w:tabs>
        <w:spacing w:before="120" w:after="120"/>
        <w:ind w:left="720" w:hanging="360"/>
        <w:rPr>
          <w:spacing w:val="1"/>
          <w:szCs w:val="24"/>
        </w:rPr>
      </w:pPr>
      <w:r w:rsidRPr="0001508F">
        <w:rPr>
          <w:spacing w:val="1"/>
          <w:szCs w:val="24"/>
        </w:rPr>
        <w:t>6.</w:t>
      </w:r>
      <w:r w:rsidRPr="0001508F">
        <w:rPr>
          <w:spacing w:val="1"/>
          <w:szCs w:val="24"/>
        </w:rPr>
        <w:tab/>
        <w:t>Where a cage, well or ladder safety device is provided, ladders</w:t>
      </w:r>
      <w:r w:rsidRPr="0001508F">
        <w:rPr>
          <w:szCs w:val="24"/>
        </w:rPr>
        <w:t xml:space="preserve"> </w:t>
      </w:r>
      <w:r w:rsidRPr="0001508F">
        <w:rPr>
          <w:spacing w:val="1"/>
          <w:szCs w:val="24"/>
        </w:rPr>
        <w:t>over 20 feet (6096 mm) in height shall be provided with landing platforms for each 30 feet (9144 mm) of height. Where a cage, well or ladder safety device is not provided, ladders over 20 feet (6096 mm) in height shall be provided with landing platforms for each 20 feet (6096 mm) in height. Landings shall be capable of with</w:t>
      </w:r>
      <w:r w:rsidRPr="0001508F">
        <w:rPr>
          <w:spacing w:val="1"/>
          <w:szCs w:val="24"/>
        </w:rPr>
        <w:softHyphen/>
        <w:t>standing a load of 100 pounds per square foot (488.2 kg/m</w:t>
      </w:r>
      <w:r w:rsidRPr="0001508F">
        <w:rPr>
          <w:spacing w:val="1"/>
          <w:szCs w:val="24"/>
          <w:vertAlign w:val="superscript"/>
        </w:rPr>
        <w:t>2</w:t>
      </w:r>
      <w:r w:rsidRPr="0001508F">
        <w:rPr>
          <w:spacing w:val="1"/>
          <w:szCs w:val="24"/>
        </w:rPr>
        <w:t>). A guardrail and toeboard shall be provided on all open sides of the landing.</w:t>
      </w:r>
    </w:p>
    <w:p w14:paraId="1CD6A7D8" w14:textId="77777777" w:rsidR="0001508F" w:rsidRPr="0001508F" w:rsidRDefault="0001508F" w:rsidP="0001508F">
      <w:pPr>
        <w:widowControl w:val="0"/>
        <w:tabs>
          <w:tab w:val="num" w:pos="360"/>
        </w:tabs>
        <w:spacing w:before="120" w:after="120"/>
        <w:ind w:left="720" w:hanging="360"/>
        <w:rPr>
          <w:szCs w:val="24"/>
          <w:u w:val="single"/>
        </w:rPr>
      </w:pPr>
      <w:r w:rsidRPr="0001508F">
        <w:rPr>
          <w:spacing w:val="1"/>
          <w:szCs w:val="24"/>
        </w:rPr>
        <w:t>7.</w:t>
      </w:r>
      <w:r w:rsidRPr="0001508F">
        <w:rPr>
          <w:spacing w:val="1"/>
          <w:szCs w:val="24"/>
        </w:rPr>
        <w:tab/>
      </w:r>
      <w:r w:rsidRPr="0001508F">
        <w:rPr>
          <w:szCs w:val="24"/>
        </w:rPr>
        <w:t>Climbing clearance. The distance from the centerline of the rungs to the nearest permanent object on the climbing side of the ladder shall be not less than 30 inches (762 mm) measured perpendicular to the rungs. This distance shall be maintained from the point of ladder access to the bottom of the roof hatch. A minimum clear width of 15 inches (381 mm) shall be provided on both sides of the ladder measured from the midpoint of and parallel with the rungs, except where cages or wells are installed.</w:t>
      </w:r>
    </w:p>
    <w:p w14:paraId="71F1CD80" w14:textId="77777777" w:rsidR="0001508F" w:rsidRPr="0001508F" w:rsidRDefault="0001508F" w:rsidP="0001508F">
      <w:pPr>
        <w:widowControl w:val="0"/>
        <w:tabs>
          <w:tab w:val="left" w:pos="720"/>
        </w:tabs>
        <w:autoSpaceDE w:val="0"/>
        <w:autoSpaceDN w:val="0"/>
        <w:adjustRightInd w:val="0"/>
        <w:spacing w:before="120" w:after="120"/>
        <w:ind w:left="720" w:hanging="360"/>
        <w:rPr>
          <w:szCs w:val="24"/>
        </w:rPr>
      </w:pPr>
      <w:r w:rsidRPr="0001508F">
        <w:rPr>
          <w:szCs w:val="24"/>
        </w:rPr>
        <w:t>8.</w:t>
      </w:r>
      <w:r w:rsidRPr="0001508F">
        <w:rPr>
          <w:szCs w:val="24"/>
        </w:rPr>
        <w:tab/>
        <w:t>Landing required. The ladder shall be provided with a clear and unobstructed bottom landing area having a minimum dimension of 30 inches by 30 inches (762 mm by 762 mm) centered in front of the ladder.</w:t>
      </w:r>
    </w:p>
    <w:p w14:paraId="6465A501" w14:textId="77777777" w:rsidR="0001508F" w:rsidRPr="0001508F" w:rsidRDefault="0001508F" w:rsidP="0001508F">
      <w:pPr>
        <w:widowControl w:val="0"/>
        <w:autoSpaceDE w:val="0"/>
        <w:autoSpaceDN w:val="0"/>
        <w:adjustRightInd w:val="0"/>
        <w:spacing w:before="120" w:after="120"/>
        <w:ind w:left="720" w:hanging="360"/>
        <w:rPr>
          <w:szCs w:val="24"/>
        </w:rPr>
      </w:pPr>
      <w:r w:rsidRPr="0001508F">
        <w:rPr>
          <w:szCs w:val="24"/>
        </w:rPr>
        <w:t>9.</w:t>
      </w:r>
      <w:r w:rsidRPr="0001508F">
        <w:rPr>
          <w:szCs w:val="24"/>
        </w:rPr>
        <w:tab/>
        <w:t>Ladders shall be protected against corrosion by approved means.</w:t>
      </w:r>
    </w:p>
    <w:p w14:paraId="2A77FACB" w14:textId="77777777" w:rsidR="0001508F" w:rsidRPr="0001508F" w:rsidRDefault="0001508F" w:rsidP="0001508F">
      <w:pPr>
        <w:widowControl w:val="0"/>
        <w:tabs>
          <w:tab w:val="left" w:pos="720"/>
        </w:tabs>
        <w:autoSpaceDE w:val="0"/>
        <w:autoSpaceDN w:val="0"/>
        <w:adjustRightInd w:val="0"/>
        <w:spacing w:before="120" w:after="120"/>
        <w:ind w:left="720" w:hanging="360"/>
        <w:rPr>
          <w:szCs w:val="24"/>
        </w:rPr>
      </w:pPr>
      <w:r w:rsidRPr="0001508F">
        <w:rPr>
          <w:szCs w:val="24"/>
        </w:rPr>
        <w:t>10.</w:t>
      </w:r>
      <w:r w:rsidRPr="0001508F">
        <w:rPr>
          <w:szCs w:val="24"/>
        </w:rPr>
        <w:tab/>
        <w:t>Service personnel shall have access to ladders at all times.</w:t>
      </w:r>
    </w:p>
    <w:p w14:paraId="57DD1902" w14:textId="77777777" w:rsidR="0001508F" w:rsidRPr="0001508F" w:rsidRDefault="0001508F" w:rsidP="0001508F">
      <w:pPr>
        <w:widowControl w:val="0"/>
        <w:spacing w:before="120" w:after="120"/>
        <w:ind w:left="720" w:hanging="360"/>
        <w:rPr>
          <w:szCs w:val="24"/>
        </w:rPr>
      </w:pPr>
      <w:r w:rsidRPr="0001508F">
        <w:rPr>
          <w:spacing w:val="1"/>
          <w:szCs w:val="24"/>
        </w:rPr>
        <w:t>11.</w:t>
      </w:r>
      <w:r w:rsidRPr="0001508F">
        <w:rPr>
          <w:spacing w:val="1"/>
          <w:szCs w:val="24"/>
        </w:rPr>
        <w:tab/>
        <w:t>Where ladder extensions are installed, the side rails of through or side-step ladder extensions shall extend 3½ feet (1067 mm) above the parapets and landings. For through ladder extensions, the rungs shall be omitted from the extensions and shall have not less than 18 inches (457 mm) nor more than 24 inches (610 mm) of clearance between rails. For side-step or offset fixed ladder sections, at landings, the side rails and rungs shall be carried to the next regular rung beyond or above the 3½ feet (1067 mm) minimum.</w:t>
      </w:r>
    </w:p>
    <w:p w14:paraId="581544B5" w14:textId="77777777" w:rsidR="0001508F" w:rsidRPr="0001508F" w:rsidRDefault="0001508F" w:rsidP="0001508F">
      <w:pPr>
        <w:widowControl w:val="0"/>
        <w:autoSpaceDE w:val="0"/>
        <w:autoSpaceDN w:val="0"/>
        <w:adjustRightInd w:val="0"/>
        <w:spacing w:before="120" w:after="120"/>
        <w:ind w:left="720"/>
        <w:rPr>
          <w:szCs w:val="24"/>
        </w:rPr>
      </w:pPr>
      <w:r w:rsidRPr="0001508F">
        <w:rPr>
          <w:szCs w:val="24"/>
        </w:rPr>
        <w:t>Catwalks installed to provide the required access shall be not less than 24 inches (610 mm) wide and shall have railings as required for service platforms.</w:t>
      </w:r>
    </w:p>
    <w:p w14:paraId="42F9AB92" w14:textId="77777777" w:rsidR="0001508F" w:rsidRPr="0001508F" w:rsidRDefault="0001508F" w:rsidP="0001508F">
      <w:pPr>
        <w:widowControl w:val="0"/>
        <w:spacing w:before="120" w:after="120"/>
        <w:ind w:left="360"/>
        <w:rPr>
          <w:rFonts w:eastAsia="SimSun"/>
          <w:b/>
          <w:bCs/>
          <w:szCs w:val="24"/>
        </w:rPr>
      </w:pPr>
      <w:r w:rsidRPr="0001508F">
        <w:rPr>
          <w:rFonts w:eastAsia="SimSun"/>
          <w:b/>
          <w:szCs w:val="24"/>
        </w:rPr>
        <w:t>[</w:t>
      </w:r>
      <w:r w:rsidRPr="0001508F">
        <w:rPr>
          <w:rFonts w:eastAsia="SimSun"/>
          <w:b/>
          <w:strike/>
          <w:szCs w:val="24"/>
        </w:rPr>
        <w:t>Exception:</w:t>
      </w:r>
      <w:r w:rsidRPr="0001508F">
        <w:rPr>
          <w:rFonts w:eastAsia="SimSun"/>
          <w:szCs w:val="24"/>
        </w:rPr>
        <w:t xml:space="preserve">] </w:t>
      </w:r>
      <w:r w:rsidRPr="0001508F">
        <w:rPr>
          <w:rFonts w:eastAsia="SimSun"/>
          <w:b/>
          <w:bCs/>
          <w:szCs w:val="24"/>
          <w:u w:val="single"/>
        </w:rPr>
        <w:t>Exceptions:</w:t>
      </w:r>
    </w:p>
    <w:p w14:paraId="7F37D561" w14:textId="77777777" w:rsidR="0001508F" w:rsidRPr="0001508F" w:rsidRDefault="0001508F" w:rsidP="0001508F">
      <w:pPr>
        <w:widowControl w:val="0"/>
        <w:spacing w:before="120" w:after="120"/>
        <w:ind w:left="1080" w:hanging="360"/>
        <w:rPr>
          <w:rFonts w:eastAsia="SimSun"/>
          <w:szCs w:val="24"/>
        </w:rPr>
      </w:pPr>
      <w:r w:rsidRPr="0001508F">
        <w:rPr>
          <w:rFonts w:eastAsia="SimSun"/>
          <w:szCs w:val="24"/>
          <w:u w:val="single"/>
        </w:rPr>
        <w:t>1.</w:t>
      </w:r>
      <w:r w:rsidRPr="0001508F">
        <w:rPr>
          <w:rFonts w:eastAsia="SimSun"/>
          <w:szCs w:val="24"/>
        </w:rPr>
        <w:tab/>
        <w:t>This section shall not apply to Group R-3 occupancies.</w:t>
      </w:r>
    </w:p>
    <w:p w14:paraId="1C01E62C" w14:textId="77777777" w:rsidR="0001508F" w:rsidRPr="0001508F" w:rsidRDefault="0001508F" w:rsidP="0001508F">
      <w:pPr>
        <w:widowControl w:val="0"/>
        <w:spacing w:before="120" w:after="120"/>
        <w:ind w:left="1080" w:hanging="360"/>
        <w:rPr>
          <w:rFonts w:eastAsia="SimSun"/>
          <w:szCs w:val="24"/>
          <w:u w:val="single"/>
        </w:rPr>
      </w:pPr>
      <w:r w:rsidRPr="0001508F">
        <w:rPr>
          <w:rFonts w:eastAsia="SimSun"/>
          <w:szCs w:val="24"/>
          <w:u w:val="single"/>
        </w:rPr>
        <w:t xml:space="preserve">2. </w:t>
      </w:r>
      <w:r w:rsidRPr="0001508F">
        <w:rPr>
          <w:rFonts w:eastAsia="SimSun"/>
          <w:szCs w:val="24"/>
          <w:u w:val="single"/>
        </w:rPr>
        <w:tab/>
        <w:t xml:space="preserve">Access for the replacement of existing appliances and equipment on roofs and elevated structures shall comply with the requirements of section 311.2.3 of the </w:t>
      </w:r>
      <w:r w:rsidRPr="0001508F">
        <w:rPr>
          <w:rFonts w:eastAsia="SimSun"/>
          <w:i/>
          <w:iCs/>
          <w:szCs w:val="24"/>
          <w:u w:val="single"/>
        </w:rPr>
        <w:t>New York City Existing Building Code</w:t>
      </w:r>
      <w:r w:rsidRPr="0001508F">
        <w:rPr>
          <w:rFonts w:eastAsia="SimSun"/>
          <w:szCs w:val="24"/>
          <w:u w:val="single"/>
        </w:rPr>
        <w:t>.</w:t>
      </w:r>
    </w:p>
    <w:p w14:paraId="0FE7EA3F" w14:textId="77777777" w:rsidR="0001508F" w:rsidRPr="0001508F" w:rsidRDefault="0001508F" w:rsidP="0001508F">
      <w:pPr>
        <w:widowControl w:val="0"/>
        <w:spacing w:before="120" w:after="120" w:line="480" w:lineRule="auto"/>
        <w:ind w:firstLine="720"/>
        <w:rPr>
          <w:rFonts w:eastAsia="SimSun"/>
          <w:szCs w:val="24"/>
        </w:rPr>
      </w:pPr>
      <w:r w:rsidRPr="0001508F">
        <w:rPr>
          <w:bCs/>
          <w:szCs w:val="24"/>
        </w:rPr>
        <w:t>§ 106. Section 306.6 of the New York city fuel gas code, as amended by local law number 126 for the year 2021, is amended to read as follows:</w:t>
      </w:r>
    </w:p>
    <w:p w14:paraId="4F123892" w14:textId="77777777" w:rsidR="0001508F" w:rsidRPr="0001508F" w:rsidRDefault="0001508F" w:rsidP="0001508F">
      <w:pPr>
        <w:widowControl w:val="0"/>
        <w:spacing w:before="120" w:after="120"/>
        <w:rPr>
          <w:b/>
          <w:bCs/>
          <w:szCs w:val="24"/>
        </w:rPr>
      </w:pPr>
      <w:r w:rsidRPr="0001508F">
        <w:rPr>
          <w:rFonts w:eastAsia="SimSun"/>
          <w:b/>
          <w:bCs/>
          <w:szCs w:val="24"/>
        </w:rPr>
        <w:t>306.6 Guards.</w:t>
      </w:r>
      <w:r w:rsidRPr="0001508F">
        <w:rPr>
          <w:rFonts w:eastAsia="SimSun"/>
          <w:szCs w:val="24"/>
        </w:rPr>
        <w:t xml:space="preserve"> </w:t>
      </w:r>
      <w:r w:rsidRPr="0001508F">
        <w:rPr>
          <w:rFonts w:eastAsia="SimSun"/>
          <w:bCs/>
          <w:szCs w:val="24"/>
        </w:rPr>
        <w:t>Guards shall be provided where various components that require service and roof hatch openings are located within 10 feet (3048 mm) of a roof edge or open side of a walking surface and such edge or open side is located more than 30 inches (762 mm) above the floor, roof</w:t>
      </w:r>
      <w:r w:rsidRPr="0001508F">
        <w:rPr>
          <w:rFonts w:eastAsia="SimSun"/>
          <w:bCs/>
          <w:szCs w:val="24"/>
          <w:u w:val="single"/>
        </w:rPr>
        <w:t>,</w:t>
      </w:r>
      <w:r w:rsidRPr="0001508F">
        <w:rPr>
          <w:rFonts w:eastAsia="SimSun"/>
          <w:bCs/>
          <w:szCs w:val="24"/>
        </w:rPr>
        <w:t xml:space="preserve"> or grade below. The guard shall extend not less than 30 inches (762 mm) beyond each end of components that require service. The top of the guard shall be located not less than 42 inches (1067 mm) above the elevated surface adjacent to the guard. The guard shall be constructed so as to prevent the passage of a 21-inch-diameter (533 mm) sphere and shall comply with the loading requirements for guards specified in the </w:t>
      </w:r>
      <w:r w:rsidRPr="0001508F">
        <w:rPr>
          <w:rFonts w:eastAsia="SimSun"/>
          <w:bCs/>
          <w:i/>
          <w:iCs/>
          <w:spacing w:val="1"/>
          <w:szCs w:val="24"/>
        </w:rPr>
        <w:t xml:space="preserve">New York City </w:t>
      </w:r>
      <w:r w:rsidRPr="0001508F">
        <w:rPr>
          <w:rFonts w:eastAsia="SimSun"/>
          <w:bCs/>
          <w:i/>
          <w:iCs/>
          <w:szCs w:val="24"/>
        </w:rPr>
        <w:t>Building Code</w:t>
      </w:r>
      <w:r w:rsidRPr="0001508F">
        <w:rPr>
          <w:rFonts w:eastAsia="SimSun"/>
          <w:bCs/>
          <w:szCs w:val="24"/>
        </w:rPr>
        <w:t>.</w:t>
      </w:r>
    </w:p>
    <w:p w14:paraId="09111009" w14:textId="77777777" w:rsidR="0001508F" w:rsidRPr="0001508F" w:rsidRDefault="0001508F" w:rsidP="0001508F">
      <w:pPr>
        <w:widowControl w:val="0"/>
        <w:spacing w:before="120" w:after="120"/>
        <w:ind w:left="360"/>
        <w:rPr>
          <w:rFonts w:eastAsia="SimSun"/>
          <w:szCs w:val="24"/>
          <w:u w:val="single"/>
        </w:rPr>
      </w:pPr>
      <w:bookmarkStart w:id="300" w:name="_Toc388002883"/>
      <w:r w:rsidRPr="0001508F">
        <w:rPr>
          <w:rFonts w:eastAsia="SimSun"/>
          <w:b/>
          <w:bCs/>
          <w:szCs w:val="24"/>
          <w:u w:val="single"/>
        </w:rPr>
        <w:t>Exception:</w:t>
      </w:r>
      <w:r w:rsidRPr="0001508F">
        <w:rPr>
          <w:rFonts w:eastAsia="SimSun"/>
          <w:szCs w:val="24"/>
          <w:u w:val="single"/>
        </w:rPr>
        <w:t xml:space="preserve"> The requirements of this section shall not apply to alterations or repairs to existing buildings in accordance with Section 311.2.3 of the </w:t>
      </w:r>
      <w:r w:rsidRPr="0001508F">
        <w:rPr>
          <w:rFonts w:eastAsia="SimSun"/>
          <w:i/>
          <w:iCs/>
          <w:szCs w:val="24"/>
          <w:u w:val="single"/>
        </w:rPr>
        <w:t>New York City Existing Building Code</w:t>
      </w:r>
      <w:r w:rsidRPr="0001508F">
        <w:rPr>
          <w:rFonts w:eastAsia="SimSun"/>
          <w:szCs w:val="24"/>
          <w:u w:val="single"/>
        </w:rPr>
        <w:t>.</w:t>
      </w:r>
    </w:p>
    <w:p w14:paraId="6EA0D852" w14:textId="77777777" w:rsidR="0001508F" w:rsidRPr="0001508F" w:rsidRDefault="0001508F" w:rsidP="0001508F">
      <w:pPr>
        <w:widowControl w:val="0"/>
        <w:spacing w:before="120" w:after="120" w:line="480" w:lineRule="auto"/>
        <w:ind w:firstLine="720"/>
        <w:rPr>
          <w:rFonts w:eastAsia="SimSun"/>
          <w:szCs w:val="24"/>
        </w:rPr>
      </w:pPr>
      <w:r w:rsidRPr="0001508F">
        <w:rPr>
          <w:bCs/>
          <w:szCs w:val="24"/>
        </w:rPr>
        <w:t>§ 107. Section 401.3 of the New York city fuel gas code, as amended by local law number 126 for the year 2021, is amended to read as follows:</w:t>
      </w:r>
    </w:p>
    <w:p w14:paraId="2B97C4B1" w14:textId="77777777" w:rsidR="0001508F" w:rsidRPr="0001508F" w:rsidRDefault="0001508F" w:rsidP="0001508F">
      <w:pPr>
        <w:widowControl w:val="0"/>
        <w:spacing w:before="120" w:after="120"/>
        <w:rPr>
          <w:szCs w:val="24"/>
        </w:rPr>
      </w:pPr>
      <w:r w:rsidRPr="0001508F">
        <w:rPr>
          <w:rFonts w:eastAsia="SimSun"/>
          <w:b/>
          <w:bCs/>
          <w:szCs w:val="24"/>
        </w:rPr>
        <w:t>401.3 Modifications to existing systems.</w:t>
      </w:r>
      <w:r w:rsidRPr="0001508F">
        <w:rPr>
          <w:rFonts w:eastAsia="SimSun"/>
          <w:bCs/>
          <w:w w:val="110"/>
          <w:szCs w:val="24"/>
        </w:rPr>
        <w:t xml:space="preserve"> </w:t>
      </w:r>
      <w:r w:rsidRPr="0001508F">
        <w:rPr>
          <w:rFonts w:eastAsia="SimSun"/>
          <w:b/>
          <w:bCs/>
          <w:w w:val="110"/>
          <w:szCs w:val="24"/>
        </w:rPr>
        <w:t>[</w:t>
      </w:r>
      <w:r w:rsidRPr="0001508F">
        <w:rPr>
          <w:rFonts w:eastAsia="SimSun"/>
          <w:bCs/>
          <w:strike/>
          <w:szCs w:val="24"/>
        </w:rPr>
        <w:t>In modifying or adding to existing piping systems, sizes shall be maintained in accordance with this chapter.</w:t>
      </w:r>
      <w:r w:rsidRPr="0001508F">
        <w:rPr>
          <w:rFonts w:eastAsia="SimSun"/>
          <w:b/>
          <w:bCs/>
          <w:szCs w:val="24"/>
        </w:rPr>
        <w:t xml:space="preserve">] </w:t>
      </w:r>
      <w:r w:rsidRPr="0001508F">
        <w:rPr>
          <w:rFonts w:eastAsia="SimSun"/>
          <w:bCs/>
          <w:szCs w:val="24"/>
          <w:u w:val="single"/>
        </w:rPr>
        <w:t xml:space="preserve">Alterations and additions to existing piping systems shall comply with Section 311 of the </w:t>
      </w:r>
      <w:r w:rsidRPr="0001508F">
        <w:rPr>
          <w:rFonts w:eastAsia="SimSun"/>
          <w:bCs/>
          <w:i/>
          <w:iCs/>
          <w:szCs w:val="24"/>
          <w:u w:val="single"/>
        </w:rPr>
        <w:t>New York City Existing Building Code</w:t>
      </w:r>
      <w:r w:rsidRPr="0001508F">
        <w:rPr>
          <w:rFonts w:eastAsia="SimSun"/>
          <w:bCs/>
          <w:szCs w:val="24"/>
          <w:u w:val="single"/>
        </w:rPr>
        <w:t>. Existing piping sizes shall be maintained in accordance with this chapter.</w:t>
      </w:r>
    </w:p>
    <w:p w14:paraId="78617A5D" w14:textId="77777777" w:rsidR="0001508F" w:rsidRPr="0001508F" w:rsidRDefault="0001508F" w:rsidP="0001508F">
      <w:pPr>
        <w:widowControl w:val="0"/>
        <w:spacing w:before="120" w:after="120" w:line="480" w:lineRule="auto"/>
        <w:ind w:firstLine="720"/>
        <w:rPr>
          <w:rFonts w:eastAsia="SimSun"/>
          <w:szCs w:val="24"/>
        </w:rPr>
      </w:pPr>
      <w:bookmarkStart w:id="301" w:name="_Toc388002884"/>
      <w:bookmarkEnd w:id="300"/>
      <w:r w:rsidRPr="0001508F">
        <w:rPr>
          <w:bCs/>
          <w:szCs w:val="24"/>
        </w:rPr>
        <w:t>§ 108. Section 401.5 of the New York city fuel gas code, as amended by local law number 126 for the year 2021, is amended to read as follows:</w:t>
      </w:r>
    </w:p>
    <w:p w14:paraId="4EA0273D" w14:textId="77777777" w:rsidR="0001508F" w:rsidRPr="0001508F" w:rsidRDefault="0001508F" w:rsidP="0001508F">
      <w:pPr>
        <w:widowControl w:val="0"/>
        <w:spacing w:before="120" w:after="120"/>
        <w:rPr>
          <w:rFonts w:eastAsia="SimSun"/>
          <w:szCs w:val="24"/>
        </w:rPr>
      </w:pPr>
      <w:r w:rsidRPr="0001508F">
        <w:rPr>
          <w:rFonts w:eastAsia="SimSun"/>
          <w:b/>
          <w:bCs/>
          <w:szCs w:val="24"/>
        </w:rPr>
        <w:t>401.5 Identification.</w:t>
      </w:r>
      <w:bookmarkEnd w:id="301"/>
      <w:r w:rsidRPr="0001508F">
        <w:rPr>
          <w:rFonts w:eastAsia="SimSun"/>
          <w:szCs w:val="24"/>
        </w:rPr>
        <w:t xml:space="preserve"> All</w:t>
      </w:r>
      <w:r w:rsidRPr="0001508F">
        <w:rPr>
          <w:b/>
          <w:szCs w:val="24"/>
        </w:rPr>
        <w:t xml:space="preserve"> </w:t>
      </w:r>
      <w:r w:rsidRPr="0001508F">
        <w:rPr>
          <w:rFonts w:eastAsia="SimSun"/>
          <w:szCs w:val="24"/>
        </w:rPr>
        <w:t xml:space="preserve">piping installed in new construction </w:t>
      </w:r>
      <w:r w:rsidRPr="0001508F">
        <w:rPr>
          <w:rFonts w:eastAsia="SimSun"/>
          <w:b/>
          <w:szCs w:val="24"/>
        </w:rPr>
        <w:t>[</w:t>
      </w:r>
      <w:r w:rsidRPr="0001508F">
        <w:rPr>
          <w:rFonts w:eastAsia="SimSun"/>
          <w:strike/>
          <w:szCs w:val="24"/>
        </w:rPr>
        <w:t>and all new piping installed in existing buildings</w:t>
      </w:r>
      <w:r w:rsidRPr="0001508F">
        <w:rPr>
          <w:rFonts w:eastAsia="SimSun"/>
          <w:b/>
          <w:szCs w:val="24"/>
        </w:rPr>
        <w:t>]</w:t>
      </w:r>
      <w:r w:rsidRPr="0001508F">
        <w:rPr>
          <w:rFonts w:eastAsia="SimSun"/>
          <w:szCs w:val="24"/>
        </w:rPr>
        <w:t>, whether or not the piping is intended to be enclosed when construction is completed, shall be identified by a yellow label marked “Gas” in black letters. Where the installation requires a gas test</w:t>
      </w:r>
      <w:r w:rsidRPr="0001508F">
        <w:rPr>
          <w:rFonts w:eastAsia="SimSun"/>
          <w:szCs w:val="24"/>
          <w:u w:val="single"/>
        </w:rPr>
        <w:t>,</w:t>
      </w:r>
      <w:r w:rsidRPr="0001508F">
        <w:rPr>
          <w:rFonts w:eastAsia="SimSun"/>
          <w:szCs w:val="24"/>
        </w:rPr>
        <w:t xml:space="preserve"> such labeling shall be completed prior to such test. Labels shall be provided in accordance with ASME A13.1 and the marking shall be spaced at intervals not exceeding 5 feet (1524 mm). The marking shall not be required on pipe located in the same room as the appliance served.</w:t>
      </w:r>
    </w:p>
    <w:p w14:paraId="710E26E6" w14:textId="77777777" w:rsidR="0001508F" w:rsidRPr="0001508F" w:rsidRDefault="0001508F" w:rsidP="0001508F">
      <w:pPr>
        <w:widowControl w:val="0"/>
        <w:spacing w:before="120" w:after="120" w:line="480" w:lineRule="auto"/>
        <w:ind w:firstLine="720"/>
        <w:rPr>
          <w:rFonts w:eastAsia="SimSun"/>
          <w:szCs w:val="24"/>
        </w:rPr>
      </w:pPr>
      <w:r w:rsidRPr="0001508F">
        <w:rPr>
          <w:bCs/>
          <w:szCs w:val="24"/>
        </w:rPr>
        <w:t>§ 109. Section 404.3 of the New York city fuel gas code, as amended by local law number 126 for the year 2021, is amended to read as follows:</w:t>
      </w:r>
    </w:p>
    <w:p w14:paraId="46F73A4B" w14:textId="77777777" w:rsidR="0001508F" w:rsidRPr="0001508F" w:rsidRDefault="0001508F" w:rsidP="0001508F">
      <w:pPr>
        <w:widowControl w:val="0"/>
        <w:spacing w:before="120" w:after="120"/>
        <w:rPr>
          <w:rFonts w:eastAsia="SimSun"/>
          <w:bCs/>
          <w:szCs w:val="24"/>
        </w:rPr>
      </w:pPr>
      <w:r w:rsidRPr="0001508F">
        <w:rPr>
          <w:rFonts w:eastAsia="SimSun"/>
          <w:b/>
          <w:bCs/>
          <w:szCs w:val="24"/>
        </w:rPr>
        <w:t>404.3 Prohibited locations.</w:t>
      </w:r>
      <w:r w:rsidRPr="0001508F">
        <w:rPr>
          <w:rFonts w:eastAsia="SimSun"/>
          <w:szCs w:val="24"/>
        </w:rPr>
        <w:t xml:space="preserve"> Piping shall not be installed in or through a ducted supply, return or exhaust duct, or a trash or clothes chute, chimney or gas vent, ventilating duct, dumbwaiter or elevator shaft. Piping installed downstream of the point of delivery shall not extend through any townhouse unit other than the unit served by such piping. Piping, fixtures, or equipment shall be located so as not to interfere with the normal operation of windows or doors and other exit openings. The following installation limitations shall apply:</w:t>
      </w:r>
    </w:p>
    <w:p w14:paraId="15842917" w14:textId="77777777" w:rsidR="0001508F" w:rsidRPr="0001508F" w:rsidRDefault="0001508F" w:rsidP="0001508F">
      <w:pPr>
        <w:widowControl w:val="0"/>
        <w:autoSpaceDE w:val="0"/>
        <w:autoSpaceDN w:val="0"/>
        <w:adjustRightInd w:val="0"/>
        <w:spacing w:before="120" w:after="120"/>
        <w:ind w:left="720" w:hanging="360"/>
        <w:rPr>
          <w:bCs/>
          <w:szCs w:val="24"/>
        </w:rPr>
      </w:pPr>
      <w:r w:rsidRPr="0001508F">
        <w:rPr>
          <w:bCs/>
          <w:szCs w:val="24"/>
        </w:rPr>
        <w:t>1.</w:t>
      </w:r>
      <w:r w:rsidRPr="0001508F">
        <w:rPr>
          <w:b/>
          <w:bCs/>
          <w:szCs w:val="24"/>
        </w:rPr>
        <w:tab/>
        <w:t xml:space="preserve">Stair enclosures. </w:t>
      </w:r>
      <w:r w:rsidRPr="0001508F">
        <w:rPr>
          <w:bCs/>
          <w:szCs w:val="24"/>
        </w:rPr>
        <w:t>Gas piping shall not be installed within a stair enclosure or required exit or exit way.</w:t>
      </w:r>
    </w:p>
    <w:p w14:paraId="0A2902AB" w14:textId="77777777" w:rsidR="0001508F" w:rsidRPr="0001508F" w:rsidRDefault="0001508F" w:rsidP="0001508F">
      <w:pPr>
        <w:widowControl w:val="0"/>
        <w:autoSpaceDE w:val="0"/>
        <w:autoSpaceDN w:val="0"/>
        <w:adjustRightInd w:val="0"/>
        <w:spacing w:before="120" w:after="120"/>
        <w:ind w:left="720" w:hanging="360"/>
        <w:rPr>
          <w:bCs/>
          <w:szCs w:val="24"/>
        </w:rPr>
      </w:pPr>
      <w:r w:rsidRPr="0001508F">
        <w:rPr>
          <w:bCs/>
          <w:szCs w:val="24"/>
        </w:rPr>
        <w:t>2.</w:t>
      </w:r>
      <w:r w:rsidRPr="0001508F">
        <w:rPr>
          <w:bCs/>
          <w:szCs w:val="24"/>
        </w:rPr>
        <w:tab/>
      </w:r>
      <w:r w:rsidRPr="0001508F">
        <w:rPr>
          <w:b/>
          <w:bCs/>
          <w:szCs w:val="24"/>
        </w:rPr>
        <w:t xml:space="preserve">Fire standpipe riser. </w:t>
      </w:r>
      <w:r w:rsidRPr="0001508F">
        <w:rPr>
          <w:bCs/>
          <w:szCs w:val="24"/>
        </w:rPr>
        <w:t>Gas piping shall not be installed in any shaft containing standpipe risers.</w:t>
      </w:r>
    </w:p>
    <w:p w14:paraId="62580D25" w14:textId="77777777" w:rsidR="0001508F" w:rsidRPr="0001508F" w:rsidRDefault="0001508F" w:rsidP="0001508F">
      <w:pPr>
        <w:widowControl w:val="0"/>
        <w:autoSpaceDE w:val="0"/>
        <w:autoSpaceDN w:val="0"/>
        <w:adjustRightInd w:val="0"/>
        <w:spacing w:before="120" w:after="120"/>
        <w:ind w:left="720" w:hanging="360"/>
        <w:rPr>
          <w:bCs/>
          <w:szCs w:val="24"/>
        </w:rPr>
      </w:pPr>
      <w:r w:rsidRPr="0001508F">
        <w:rPr>
          <w:bCs/>
          <w:szCs w:val="24"/>
        </w:rPr>
        <w:t>3.</w:t>
      </w:r>
      <w:r w:rsidRPr="0001508F">
        <w:rPr>
          <w:b/>
          <w:bCs/>
          <w:szCs w:val="24"/>
        </w:rPr>
        <w:tab/>
        <w:t xml:space="preserve">Fire pump and fire pump rooms. </w:t>
      </w:r>
      <w:r w:rsidRPr="0001508F">
        <w:rPr>
          <w:bCs/>
          <w:szCs w:val="24"/>
        </w:rPr>
        <w:t>Gas piping, gas consumption devices, appliances or any other gas equipment shall not be installed within any space housing a fire pump. Access to gas meter rooms shall not be permitted through rooms housing a fire pump.</w:t>
      </w:r>
    </w:p>
    <w:p w14:paraId="66FD3907" w14:textId="77777777" w:rsidR="0001508F" w:rsidRPr="0001508F" w:rsidRDefault="0001508F" w:rsidP="0001508F">
      <w:pPr>
        <w:widowControl w:val="0"/>
        <w:autoSpaceDE w:val="0"/>
        <w:autoSpaceDN w:val="0"/>
        <w:adjustRightInd w:val="0"/>
        <w:spacing w:before="120" w:after="120"/>
        <w:ind w:left="720" w:hanging="360"/>
        <w:rPr>
          <w:bCs/>
          <w:szCs w:val="24"/>
        </w:rPr>
      </w:pPr>
      <w:r w:rsidRPr="0001508F">
        <w:rPr>
          <w:bCs/>
          <w:szCs w:val="24"/>
        </w:rPr>
        <w:t>4.</w:t>
      </w:r>
      <w:r w:rsidRPr="0001508F">
        <w:rPr>
          <w:b/>
          <w:bCs/>
          <w:szCs w:val="24"/>
        </w:rPr>
        <w:tab/>
        <w:t xml:space="preserve">Fire-rated construction. </w:t>
      </w:r>
      <w:r w:rsidRPr="0001508F">
        <w:rPr>
          <w:bCs/>
          <w:szCs w:val="24"/>
        </w:rPr>
        <w:t xml:space="preserve">Gas piping shall not be installed within a wall or assembly required to have a fire-resistance rating. Through penetrations of fire-resistance-rated assemblies shall be in accordance with Chapter 7 of the </w:t>
      </w:r>
      <w:r w:rsidRPr="0001508F">
        <w:rPr>
          <w:bCs/>
          <w:i/>
          <w:iCs/>
          <w:szCs w:val="24"/>
        </w:rPr>
        <w:t>New York City Building Code</w:t>
      </w:r>
      <w:r w:rsidRPr="0001508F">
        <w:rPr>
          <w:bCs/>
          <w:szCs w:val="24"/>
        </w:rPr>
        <w:t>.</w:t>
      </w:r>
    </w:p>
    <w:p w14:paraId="1B81B3A9" w14:textId="77777777" w:rsidR="0001508F" w:rsidRPr="0001508F" w:rsidRDefault="0001508F" w:rsidP="0001508F">
      <w:pPr>
        <w:widowControl w:val="0"/>
        <w:autoSpaceDE w:val="0"/>
        <w:autoSpaceDN w:val="0"/>
        <w:adjustRightInd w:val="0"/>
        <w:spacing w:before="120" w:after="120"/>
        <w:ind w:left="720" w:hanging="360"/>
        <w:rPr>
          <w:b/>
          <w:bCs/>
          <w:szCs w:val="24"/>
          <w:highlight w:val="magenta"/>
        </w:rPr>
      </w:pPr>
      <w:r w:rsidRPr="0001508F">
        <w:rPr>
          <w:bCs/>
          <w:szCs w:val="24"/>
        </w:rPr>
        <w:t>5.</w:t>
      </w:r>
      <w:r w:rsidRPr="0001508F">
        <w:rPr>
          <w:bCs/>
          <w:szCs w:val="24"/>
        </w:rPr>
        <w:tab/>
      </w:r>
      <w:r w:rsidRPr="0001508F">
        <w:rPr>
          <w:b/>
          <w:bCs/>
          <w:szCs w:val="24"/>
        </w:rPr>
        <w:t xml:space="preserve">Public corridor. </w:t>
      </w:r>
      <w:r w:rsidRPr="0001508F">
        <w:rPr>
          <w:bCs/>
          <w:szCs w:val="24"/>
        </w:rPr>
        <w:t>Gas piping shall not be installed in public corridors and exit enclosures.</w:t>
      </w:r>
    </w:p>
    <w:p w14:paraId="59D6265F" w14:textId="77777777" w:rsidR="0001508F" w:rsidRPr="0001508F" w:rsidRDefault="0001508F" w:rsidP="0001508F">
      <w:pPr>
        <w:widowControl w:val="0"/>
        <w:autoSpaceDE w:val="0"/>
        <w:autoSpaceDN w:val="0"/>
        <w:adjustRightInd w:val="0"/>
        <w:spacing w:before="120" w:after="120"/>
        <w:ind w:left="720"/>
        <w:rPr>
          <w:b/>
          <w:bCs/>
          <w:szCs w:val="24"/>
        </w:rPr>
      </w:pPr>
      <w:r w:rsidRPr="0001508F">
        <w:rPr>
          <w:b/>
          <w:bCs/>
          <w:szCs w:val="24"/>
        </w:rPr>
        <w:t xml:space="preserve">Exceptions: </w:t>
      </w:r>
    </w:p>
    <w:p w14:paraId="078AEB66" w14:textId="77777777" w:rsidR="0001508F" w:rsidRPr="0001508F" w:rsidRDefault="0001508F" w:rsidP="0001508F">
      <w:pPr>
        <w:widowControl w:val="0"/>
        <w:autoSpaceDE w:val="0"/>
        <w:autoSpaceDN w:val="0"/>
        <w:adjustRightInd w:val="0"/>
        <w:spacing w:before="120" w:after="120"/>
        <w:ind w:left="1440" w:hanging="360"/>
        <w:rPr>
          <w:bCs/>
          <w:szCs w:val="24"/>
        </w:rPr>
      </w:pPr>
      <w:r w:rsidRPr="0001508F">
        <w:rPr>
          <w:bCs/>
          <w:szCs w:val="24"/>
        </w:rPr>
        <w:t>1.</w:t>
      </w:r>
      <w:r w:rsidRPr="0001508F">
        <w:rPr>
          <w:bCs/>
          <w:szCs w:val="24"/>
        </w:rPr>
        <w:tab/>
        <w:t>Gas piping may be installed in public corridors or exit enclosures where separated by a fire-resistance-rated assembly meeting the hour rating and, if applicable, the impact-resistance rating required for the corridor or exit enclosure. Such assembly shall be rated for exposure to fire from both sides.</w:t>
      </w:r>
    </w:p>
    <w:p w14:paraId="77755635" w14:textId="77777777" w:rsidR="0001508F" w:rsidRPr="0001508F" w:rsidRDefault="0001508F" w:rsidP="0001508F">
      <w:pPr>
        <w:widowControl w:val="0"/>
        <w:autoSpaceDE w:val="0"/>
        <w:autoSpaceDN w:val="0"/>
        <w:adjustRightInd w:val="0"/>
        <w:spacing w:before="120" w:after="120"/>
        <w:ind w:left="1440" w:hanging="360"/>
        <w:rPr>
          <w:bCs/>
          <w:szCs w:val="24"/>
        </w:rPr>
      </w:pPr>
      <w:r w:rsidRPr="0001508F">
        <w:rPr>
          <w:bCs/>
          <w:szCs w:val="24"/>
        </w:rPr>
        <w:t>2.</w:t>
      </w:r>
      <w:r w:rsidRPr="0001508F">
        <w:rPr>
          <w:bCs/>
          <w:szCs w:val="24"/>
        </w:rPr>
        <w:tab/>
        <w:t>In residential buildings that do not have floors below grade, or in multi-use buildings that have a residential occupancy, gas piping may be installed in public corridors in accordance with the following:</w:t>
      </w:r>
    </w:p>
    <w:p w14:paraId="6B792B42" w14:textId="77777777" w:rsidR="0001508F" w:rsidRPr="0001508F" w:rsidRDefault="0001508F" w:rsidP="0001508F">
      <w:pPr>
        <w:widowControl w:val="0"/>
        <w:autoSpaceDE w:val="0"/>
        <w:autoSpaceDN w:val="0"/>
        <w:adjustRightInd w:val="0"/>
        <w:spacing w:before="120" w:after="120"/>
        <w:ind w:left="2160" w:hanging="720"/>
        <w:rPr>
          <w:bCs/>
          <w:szCs w:val="24"/>
        </w:rPr>
      </w:pPr>
      <w:r w:rsidRPr="0001508F">
        <w:rPr>
          <w:bCs/>
          <w:szCs w:val="24"/>
        </w:rPr>
        <w:t>2.1.</w:t>
      </w:r>
      <w:r w:rsidRPr="0001508F">
        <w:rPr>
          <w:bCs/>
          <w:szCs w:val="24"/>
        </w:rPr>
        <w:tab/>
        <w:t>Gas piping shall be permitted to be installed within a public corridor at the lowest level of the building or the lowest residential level of the building.</w:t>
      </w:r>
    </w:p>
    <w:p w14:paraId="227D747F" w14:textId="77777777" w:rsidR="0001508F" w:rsidRPr="0001508F" w:rsidRDefault="0001508F" w:rsidP="0001508F">
      <w:pPr>
        <w:widowControl w:val="0"/>
        <w:autoSpaceDE w:val="0"/>
        <w:autoSpaceDN w:val="0"/>
        <w:adjustRightInd w:val="0"/>
        <w:spacing w:before="120" w:after="120"/>
        <w:ind w:left="2160" w:hanging="720"/>
        <w:rPr>
          <w:bCs/>
          <w:szCs w:val="24"/>
        </w:rPr>
      </w:pPr>
      <w:r w:rsidRPr="0001508F">
        <w:rPr>
          <w:bCs/>
          <w:szCs w:val="24"/>
        </w:rPr>
        <w:t>2.2.</w:t>
      </w:r>
      <w:r w:rsidRPr="0001508F">
        <w:rPr>
          <w:bCs/>
          <w:szCs w:val="24"/>
        </w:rPr>
        <w:tab/>
        <w:t>All gas valves located within the public corridor shall be accessible for maintenance and inspection.</w:t>
      </w:r>
    </w:p>
    <w:p w14:paraId="41EAE6CE" w14:textId="77777777" w:rsidR="0001508F" w:rsidRPr="0001508F" w:rsidRDefault="0001508F" w:rsidP="0001508F">
      <w:pPr>
        <w:widowControl w:val="0"/>
        <w:autoSpaceDE w:val="0"/>
        <w:autoSpaceDN w:val="0"/>
        <w:adjustRightInd w:val="0"/>
        <w:spacing w:before="120" w:after="120"/>
        <w:ind w:left="2160" w:hanging="720"/>
        <w:rPr>
          <w:bCs/>
          <w:szCs w:val="24"/>
        </w:rPr>
      </w:pPr>
      <w:r w:rsidRPr="0001508F">
        <w:rPr>
          <w:bCs/>
          <w:szCs w:val="24"/>
        </w:rPr>
        <w:t>2.3.</w:t>
      </w:r>
      <w:r w:rsidRPr="0001508F">
        <w:rPr>
          <w:bCs/>
          <w:szCs w:val="24"/>
        </w:rPr>
        <w:tab/>
        <w:t xml:space="preserve">Gas pressure within the public corridor piping shall not exceed ½ psi (14 inch w.c.). </w:t>
      </w:r>
    </w:p>
    <w:p w14:paraId="6BA54F4A" w14:textId="77777777" w:rsidR="0001508F" w:rsidRPr="0001508F" w:rsidRDefault="0001508F" w:rsidP="0001508F">
      <w:pPr>
        <w:widowControl w:val="0"/>
        <w:autoSpaceDE w:val="0"/>
        <w:autoSpaceDN w:val="0"/>
        <w:adjustRightInd w:val="0"/>
        <w:spacing w:before="120" w:after="120"/>
        <w:ind w:left="2160" w:hanging="720"/>
        <w:rPr>
          <w:bCs/>
          <w:szCs w:val="24"/>
        </w:rPr>
      </w:pPr>
      <w:r w:rsidRPr="0001508F">
        <w:rPr>
          <w:bCs/>
          <w:szCs w:val="24"/>
        </w:rPr>
        <w:t>2.4.</w:t>
      </w:r>
      <w:r w:rsidRPr="0001508F">
        <w:rPr>
          <w:bCs/>
          <w:szCs w:val="24"/>
        </w:rPr>
        <w:tab/>
        <w:t xml:space="preserve">The public corridor shall be ventilated in accordance with the </w:t>
      </w:r>
      <w:r w:rsidRPr="0001508F">
        <w:rPr>
          <w:bCs/>
          <w:i/>
          <w:iCs/>
          <w:szCs w:val="24"/>
        </w:rPr>
        <w:t>New York City Mechanical Code</w:t>
      </w:r>
      <w:r w:rsidRPr="0001508F">
        <w:rPr>
          <w:bCs/>
          <w:szCs w:val="24"/>
        </w:rPr>
        <w:t>. The pipe shall not be installed in a return air plenum.</w:t>
      </w:r>
    </w:p>
    <w:p w14:paraId="3FDFBDA6" w14:textId="77777777" w:rsidR="0001508F" w:rsidRPr="0001508F" w:rsidRDefault="0001508F" w:rsidP="0001508F">
      <w:pPr>
        <w:widowControl w:val="0"/>
        <w:autoSpaceDE w:val="0"/>
        <w:autoSpaceDN w:val="0"/>
        <w:adjustRightInd w:val="0"/>
        <w:spacing w:before="120" w:after="120"/>
        <w:ind w:left="2160" w:hanging="720"/>
        <w:rPr>
          <w:bCs/>
          <w:szCs w:val="24"/>
        </w:rPr>
      </w:pPr>
      <w:r w:rsidRPr="0001508F">
        <w:rPr>
          <w:bCs/>
          <w:szCs w:val="24"/>
        </w:rPr>
        <w:t>2.5.</w:t>
      </w:r>
      <w:r w:rsidRPr="0001508F">
        <w:rPr>
          <w:bCs/>
          <w:szCs w:val="24"/>
        </w:rPr>
        <w:tab/>
        <w:t>Pipes must be welded.</w:t>
      </w:r>
    </w:p>
    <w:p w14:paraId="057B5536" w14:textId="77777777" w:rsidR="0001508F" w:rsidRPr="0001508F" w:rsidRDefault="0001508F" w:rsidP="0001508F">
      <w:pPr>
        <w:widowControl w:val="0"/>
        <w:autoSpaceDE w:val="0"/>
        <w:autoSpaceDN w:val="0"/>
        <w:adjustRightInd w:val="0"/>
        <w:spacing w:before="120" w:after="120"/>
        <w:ind w:left="1440" w:hanging="360"/>
        <w:rPr>
          <w:bCs/>
          <w:szCs w:val="24"/>
          <w:u w:val="single"/>
        </w:rPr>
      </w:pPr>
      <w:bookmarkStart w:id="302" w:name="_Toc388003025"/>
      <w:r w:rsidRPr="0001508F">
        <w:rPr>
          <w:bCs/>
          <w:szCs w:val="24"/>
          <w:u w:val="single"/>
        </w:rPr>
        <w:t>3.</w:t>
      </w:r>
      <w:r w:rsidRPr="0001508F">
        <w:rPr>
          <w:bCs/>
          <w:szCs w:val="24"/>
          <w:u w:val="single"/>
        </w:rPr>
        <w:tab/>
        <w:t xml:space="preserve">Existing gas piping and meters in prior code buildings as provided for in Section 311.2 of the </w:t>
      </w:r>
      <w:r w:rsidRPr="0001508F">
        <w:rPr>
          <w:bCs/>
          <w:i/>
          <w:iCs/>
          <w:szCs w:val="24"/>
          <w:u w:val="single"/>
        </w:rPr>
        <w:t>New York City Existing Building Code</w:t>
      </w:r>
      <w:r w:rsidRPr="0001508F">
        <w:rPr>
          <w:bCs/>
          <w:szCs w:val="24"/>
          <w:u w:val="single"/>
        </w:rPr>
        <w:t>.</w:t>
      </w:r>
    </w:p>
    <w:p w14:paraId="6780AC2A" w14:textId="77777777" w:rsidR="0001508F" w:rsidRPr="0001508F" w:rsidRDefault="0001508F" w:rsidP="0001508F">
      <w:pPr>
        <w:widowControl w:val="0"/>
        <w:spacing w:before="120" w:after="120" w:line="480" w:lineRule="auto"/>
        <w:ind w:firstLine="720"/>
        <w:rPr>
          <w:rFonts w:eastAsia="SimSun"/>
          <w:szCs w:val="24"/>
        </w:rPr>
      </w:pPr>
      <w:r w:rsidRPr="0001508F">
        <w:rPr>
          <w:bCs/>
          <w:szCs w:val="24"/>
        </w:rPr>
        <w:t>§ 110. Section 406.1 of the New York city fuel gas code, as amended by local law number 126 for the year 2021, is amended to read as follows:</w:t>
      </w:r>
    </w:p>
    <w:p w14:paraId="4E59C643" w14:textId="77777777" w:rsidR="0001508F" w:rsidRPr="0001508F" w:rsidRDefault="0001508F" w:rsidP="0001508F">
      <w:pPr>
        <w:widowControl w:val="0"/>
        <w:spacing w:before="120" w:after="120"/>
        <w:rPr>
          <w:rFonts w:eastAsia="Yu Gothic"/>
          <w:szCs w:val="24"/>
        </w:rPr>
      </w:pPr>
      <w:r w:rsidRPr="0001508F">
        <w:rPr>
          <w:rFonts w:eastAsia="SimSun"/>
          <w:b/>
          <w:bCs/>
          <w:szCs w:val="24"/>
        </w:rPr>
        <w:t xml:space="preserve">406.1 General. </w:t>
      </w:r>
      <w:r w:rsidRPr="0001508F">
        <w:rPr>
          <w:szCs w:val="24"/>
        </w:rPr>
        <w:t xml:space="preserve">Prior to acceptance and initial operation, all piping installations shall be inspected and pressure tested to determine that the materials, design, fabrication and installation practices comply with the requirements of this code. </w:t>
      </w:r>
      <w:r w:rsidRPr="0001508F">
        <w:rPr>
          <w:rFonts w:eastAsia="Yu Gothic"/>
          <w:szCs w:val="24"/>
          <w:u w:val="single"/>
        </w:rPr>
        <w:t xml:space="preserve">Inspections and tests shall be conducted by the licensed master plumber or a person in their direct employ meeting the qualifications set forth in section 28-423 of the </w:t>
      </w:r>
      <w:r w:rsidRPr="0001508F">
        <w:rPr>
          <w:rFonts w:eastAsia="Yu Gothic"/>
          <w:i/>
          <w:iCs/>
          <w:szCs w:val="24"/>
          <w:u w:val="single"/>
        </w:rPr>
        <w:t>Administrative Code</w:t>
      </w:r>
      <w:r w:rsidRPr="0001508F">
        <w:rPr>
          <w:rFonts w:eastAsia="Yu Gothic"/>
          <w:szCs w:val="24"/>
          <w:u w:val="single"/>
        </w:rPr>
        <w:t xml:space="preserve">. </w:t>
      </w:r>
    </w:p>
    <w:p w14:paraId="6517CD9B" w14:textId="77777777" w:rsidR="0001508F" w:rsidRPr="0001508F" w:rsidRDefault="0001508F" w:rsidP="0001508F">
      <w:pPr>
        <w:widowControl w:val="0"/>
        <w:spacing w:before="120" w:after="120" w:line="480" w:lineRule="auto"/>
        <w:ind w:firstLine="720"/>
        <w:rPr>
          <w:rFonts w:eastAsia="SimSun"/>
          <w:szCs w:val="24"/>
        </w:rPr>
      </w:pPr>
      <w:r w:rsidRPr="0001508F">
        <w:rPr>
          <w:bCs/>
          <w:szCs w:val="24"/>
        </w:rPr>
        <w:t>§ 111. Section 406.1.3 of the New York city fuel gas code, as amended by local law number 126 for the year 2021, is amended to read as follows:</w:t>
      </w:r>
    </w:p>
    <w:p w14:paraId="5D37A845" w14:textId="77777777" w:rsidR="0001508F" w:rsidRPr="0001508F" w:rsidRDefault="0001508F" w:rsidP="0001508F">
      <w:pPr>
        <w:widowControl w:val="0"/>
        <w:autoSpaceDE w:val="0"/>
        <w:autoSpaceDN w:val="0"/>
        <w:adjustRightInd w:val="0"/>
        <w:spacing w:before="120" w:after="120"/>
        <w:rPr>
          <w:szCs w:val="24"/>
        </w:rPr>
      </w:pPr>
      <w:r w:rsidRPr="0001508F">
        <w:rPr>
          <w:b/>
          <w:bCs/>
          <w:szCs w:val="24"/>
        </w:rPr>
        <w:t xml:space="preserve">406.1.3 New branches. </w:t>
      </w:r>
      <w:r w:rsidRPr="0001508F">
        <w:rPr>
          <w:szCs w:val="24"/>
        </w:rPr>
        <w:t>Where new branches are installed, the new branches shall be pressure tested. Connections between the new piping and the existing piping shall be pressure tested.</w:t>
      </w:r>
    </w:p>
    <w:p w14:paraId="3B3F4DA9" w14:textId="77777777" w:rsidR="0001508F" w:rsidRPr="0001508F" w:rsidRDefault="0001508F" w:rsidP="0001508F">
      <w:pPr>
        <w:widowControl w:val="0"/>
        <w:spacing w:before="120" w:after="120"/>
        <w:ind w:left="720"/>
        <w:rPr>
          <w:rFonts w:eastAsia="SimSun"/>
          <w:szCs w:val="24"/>
          <w:u w:val="single"/>
        </w:rPr>
      </w:pPr>
      <w:r w:rsidRPr="0001508F">
        <w:rPr>
          <w:rFonts w:eastAsia="SimSun"/>
          <w:b/>
          <w:bCs/>
          <w:szCs w:val="24"/>
          <w:u w:val="single"/>
        </w:rPr>
        <w:t>Exception:</w:t>
      </w:r>
      <w:r w:rsidRPr="0001508F">
        <w:rPr>
          <w:rFonts w:eastAsia="SimSun"/>
          <w:szCs w:val="24"/>
          <w:u w:val="single"/>
        </w:rPr>
        <w:t xml:space="preserve"> For new branches, the point of connection not subjected to the pressure test shall be checked with a noncorrosive leak-detecting fluid or other approved leak detecting methods.</w:t>
      </w:r>
    </w:p>
    <w:bookmarkEnd w:id="302"/>
    <w:p w14:paraId="06932A22" w14:textId="77777777" w:rsidR="0001508F" w:rsidRPr="0001508F" w:rsidRDefault="0001508F" w:rsidP="0001508F">
      <w:pPr>
        <w:widowControl w:val="0"/>
        <w:spacing w:before="120" w:after="120" w:line="480" w:lineRule="auto"/>
        <w:ind w:firstLine="720"/>
        <w:rPr>
          <w:rFonts w:eastAsia="SimSun"/>
          <w:szCs w:val="24"/>
        </w:rPr>
      </w:pPr>
      <w:r w:rsidRPr="0001508F">
        <w:rPr>
          <w:bCs/>
          <w:szCs w:val="24"/>
        </w:rPr>
        <w:t>§ 111. Sections 406.6.2.1.2 of the New York city fuel gas code, as amended by local law number 126 for the year 2021, is amended to read as follows:</w:t>
      </w:r>
    </w:p>
    <w:p w14:paraId="56C416BE" w14:textId="77777777" w:rsidR="0001508F" w:rsidRPr="0001508F" w:rsidRDefault="0001508F" w:rsidP="0001508F">
      <w:pPr>
        <w:widowControl w:val="0"/>
        <w:spacing w:before="120" w:after="120"/>
        <w:ind w:left="-90"/>
        <w:rPr>
          <w:rFonts w:eastAsia="SimSun"/>
          <w:szCs w:val="24"/>
          <w:u w:val="single"/>
        </w:rPr>
      </w:pPr>
      <w:r w:rsidRPr="0001508F">
        <w:rPr>
          <w:rFonts w:eastAsia="SimSun"/>
          <w:b/>
          <w:bCs/>
          <w:szCs w:val="24"/>
        </w:rPr>
        <w:t>406.6.2.1.2 Partial gas authorization.</w:t>
      </w:r>
      <w:r w:rsidRPr="0001508F">
        <w:rPr>
          <w:rFonts w:eastAsia="SimSun"/>
          <w:szCs w:val="24"/>
        </w:rPr>
        <w:t xml:space="preserve"> A certificate of approval of gas installation may be issued for a portion of a gas piping system provided the remainder of the system is locked-off by the gas service provider</w:t>
      </w:r>
      <w:r w:rsidRPr="0001508F">
        <w:rPr>
          <w:rFonts w:eastAsia="SimSun"/>
          <w:szCs w:val="24"/>
          <w:u w:val="single"/>
        </w:rPr>
        <w:t xml:space="preserve"> or the licensed master plumber.</w:t>
      </w:r>
    </w:p>
    <w:p w14:paraId="3BA9604C" w14:textId="77777777" w:rsidR="0001508F" w:rsidRPr="0001508F" w:rsidRDefault="0001508F" w:rsidP="0001508F">
      <w:pPr>
        <w:widowControl w:val="0"/>
        <w:spacing w:before="120" w:after="120" w:line="480" w:lineRule="auto"/>
        <w:ind w:firstLine="720"/>
        <w:rPr>
          <w:rFonts w:eastAsia="SimSun"/>
          <w:szCs w:val="24"/>
        </w:rPr>
      </w:pPr>
      <w:r w:rsidRPr="0001508F">
        <w:rPr>
          <w:bCs/>
          <w:szCs w:val="24"/>
        </w:rPr>
        <w:t>§ 112. Sections 406.6.2.3 of the New York city fuel gas code, as amended by local law number 126 for the year 2021, is amended to read as follows:</w:t>
      </w:r>
    </w:p>
    <w:p w14:paraId="6BE02550" w14:textId="77777777" w:rsidR="0001508F" w:rsidRPr="0001508F" w:rsidRDefault="0001508F" w:rsidP="0001508F">
      <w:pPr>
        <w:widowControl w:val="0"/>
        <w:spacing w:before="120" w:after="120"/>
        <w:rPr>
          <w:rFonts w:eastAsia="SimSun"/>
          <w:bCs/>
          <w:szCs w:val="24"/>
        </w:rPr>
      </w:pPr>
      <w:r w:rsidRPr="0001508F">
        <w:rPr>
          <w:rFonts w:eastAsia="SimSun"/>
          <w:b/>
          <w:bCs/>
          <w:szCs w:val="24"/>
        </w:rPr>
        <w:t>406.6.2.3 Alterations to gas piping systems</w:t>
      </w:r>
      <w:r w:rsidRPr="0001508F">
        <w:rPr>
          <w:rFonts w:eastAsia="SimSun"/>
          <w:szCs w:val="24"/>
        </w:rPr>
        <w:t>.</w:t>
      </w:r>
      <w:r w:rsidRPr="0001508F">
        <w:rPr>
          <w:rFonts w:eastAsia="SimSun"/>
          <w:spacing w:val="-5"/>
          <w:szCs w:val="24"/>
        </w:rPr>
        <w:t xml:space="preserve"> </w:t>
      </w:r>
      <w:r w:rsidRPr="0001508F">
        <w:rPr>
          <w:rFonts w:eastAsia="SimSun"/>
          <w:bCs/>
          <w:spacing w:val="1"/>
          <w:szCs w:val="24"/>
        </w:rPr>
        <w:t xml:space="preserve">When alterations, extensions or repairs to existing gas meter piping or gas distribution piping requires the operation of a service head valve, regulator valve or meter valve that would interrupt the flow of gas to a building, the utility shall be notified by the owner or his or her authorized representative. </w:t>
      </w:r>
      <w:r w:rsidRPr="0001508F">
        <w:rPr>
          <w:rFonts w:eastAsia="SimSun"/>
          <w:bCs/>
          <w:szCs w:val="24"/>
          <w:u w:val="single"/>
        </w:rPr>
        <w:t>Notification shall not be required for the operation of valves downstream of the point of delivery.</w:t>
      </w:r>
    </w:p>
    <w:p w14:paraId="110468E0" w14:textId="77777777" w:rsidR="0001508F" w:rsidRPr="0001508F" w:rsidRDefault="0001508F" w:rsidP="0001508F">
      <w:pPr>
        <w:widowControl w:val="0"/>
        <w:spacing w:before="120" w:after="120" w:line="480" w:lineRule="auto"/>
        <w:ind w:firstLine="720"/>
        <w:rPr>
          <w:rFonts w:eastAsia="SimSun"/>
          <w:szCs w:val="24"/>
        </w:rPr>
      </w:pPr>
      <w:r w:rsidRPr="0001508F">
        <w:rPr>
          <w:bCs/>
          <w:szCs w:val="24"/>
        </w:rPr>
        <w:t>§ 113. Chapter 4 of the New York city fuel gas code is amended by adding a new section 409.10 to read as follows:</w:t>
      </w:r>
    </w:p>
    <w:p w14:paraId="713801C2" w14:textId="77777777" w:rsidR="0001508F" w:rsidRPr="0001508F" w:rsidRDefault="0001508F" w:rsidP="0001508F">
      <w:pPr>
        <w:widowControl w:val="0"/>
        <w:spacing w:before="120" w:after="120"/>
        <w:rPr>
          <w:rFonts w:eastAsia="SimSun"/>
          <w:bCs/>
          <w:szCs w:val="24"/>
          <w:u w:val="single"/>
        </w:rPr>
        <w:sectPr w:rsidR="0001508F" w:rsidRPr="0001508F" w:rsidSect="0001508F">
          <w:pgSz w:w="12240" w:h="15840"/>
          <w:pgMar w:top="1440" w:right="1440" w:bottom="1440" w:left="1440" w:header="720" w:footer="720" w:gutter="0"/>
          <w:lnNumType w:countBy="1"/>
          <w:cols w:space="720"/>
          <w:docGrid w:linePitch="360"/>
        </w:sectPr>
      </w:pPr>
      <w:r w:rsidRPr="0001508F">
        <w:rPr>
          <w:rFonts w:eastAsia="SimSun"/>
          <w:b/>
          <w:bCs/>
          <w:szCs w:val="24"/>
          <w:u w:val="single"/>
        </w:rPr>
        <w:t>409.10 Section valves.</w:t>
      </w:r>
      <w:r w:rsidRPr="0001508F">
        <w:rPr>
          <w:rFonts w:eastAsia="SimSun"/>
          <w:szCs w:val="24"/>
          <w:u w:val="single"/>
        </w:rPr>
        <w:t xml:space="preserve"> </w:t>
      </w:r>
      <w:r w:rsidRPr="0001508F">
        <w:rPr>
          <w:rFonts w:eastAsia="SimSun"/>
          <w:bCs/>
          <w:szCs w:val="24"/>
          <w:u w:val="single"/>
        </w:rPr>
        <w:t>Section valves may be installed and shall be permitted to isolate sections of the gas piping system.</w:t>
      </w:r>
    </w:p>
    <w:p w14:paraId="0CA86C03" w14:textId="77777777" w:rsidR="0001508F" w:rsidRPr="0001508F" w:rsidRDefault="0001508F" w:rsidP="0001508F">
      <w:pPr>
        <w:widowControl w:val="0"/>
        <w:spacing w:before="120" w:after="120" w:line="480" w:lineRule="auto"/>
        <w:ind w:firstLine="720"/>
        <w:rPr>
          <w:rFonts w:eastAsia="SimSun"/>
          <w:szCs w:val="24"/>
        </w:rPr>
      </w:pPr>
      <w:r w:rsidRPr="0001508F">
        <w:rPr>
          <w:bCs/>
          <w:szCs w:val="24"/>
        </w:rPr>
        <w:t>§ 114. Section 102.4.2 of the New York city mechanical code, as amended by local law number 126 for the year 2021, is amended to read as follows:</w:t>
      </w:r>
    </w:p>
    <w:p w14:paraId="34445E5F" w14:textId="77777777" w:rsidR="0001508F" w:rsidRPr="0001508F" w:rsidRDefault="0001508F" w:rsidP="0001508F">
      <w:pPr>
        <w:widowControl w:val="0"/>
        <w:autoSpaceDE w:val="0"/>
        <w:autoSpaceDN w:val="0"/>
        <w:adjustRightInd w:val="0"/>
        <w:spacing w:before="120" w:after="120"/>
        <w:rPr>
          <w:bCs/>
          <w:szCs w:val="24"/>
        </w:rPr>
      </w:pPr>
      <w:r w:rsidRPr="0001508F">
        <w:rPr>
          <w:b/>
          <w:bCs/>
          <w:szCs w:val="24"/>
        </w:rPr>
        <w:t>102.4.2</w:t>
      </w:r>
      <w:r w:rsidRPr="0001508F">
        <w:rPr>
          <w:bCs/>
          <w:szCs w:val="24"/>
        </w:rPr>
        <w:t xml:space="preserve"> [</w:t>
      </w:r>
      <w:r w:rsidRPr="0001508F">
        <w:rPr>
          <w:bCs/>
          <w:strike/>
          <w:szCs w:val="24"/>
        </w:rPr>
        <w:t>Special provisions for prior code buildings. In addition to the requirements of Sections 102.4 and 102.4.1, the provisions of Sections 102.4.2.1 through 102.4.2.6 shall apply to prior code buildings</w:t>
      </w:r>
      <w:r w:rsidRPr="0001508F">
        <w:rPr>
          <w:szCs w:val="24"/>
        </w:rPr>
        <w:t xml:space="preserve">] </w:t>
      </w:r>
      <w:r w:rsidRPr="0001508F">
        <w:rPr>
          <w:b/>
          <w:bCs/>
          <w:szCs w:val="24"/>
          <w:u w:val="single"/>
        </w:rPr>
        <w:t>Existing buildings.</w:t>
      </w:r>
      <w:r w:rsidRPr="0001508F">
        <w:rPr>
          <w:bCs/>
          <w:szCs w:val="24"/>
          <w:u w:val="single"/>
        </w:rPr>
        <w:t xml:space="preserve"> Additions, alterations, renovations or repairs in existing buildings and structures shall also comply with the provisions of the </w:t>
      </w:r>
      <w:r w:rsidRPr="0001508F">
        <w:rPr>
          <w:bCs/>
          <w:i/>
          <w:iCs/>
          <w:szCs w:val="24"/>
          <w:u w:val="single"/>
        </w:rPr>
        <w:t>New York City Existing Building Code</w:t>
      </w:r>
      <w:r w:rsidRPr="0001508F">
        <w:rPr>
          <w:bCs/>
          <w:szCs w:val="24"/>
          <w:u w:val="single"/>
        </w:rPr>
        <w:t xml:space="preserve">, including Sections 302.9 and 309 of the </w:t>
      </w:r>
      <w:r w:rsidRPr="0001508F">
        <w:rPr>
          <w:bCs/>
          <w:i/>
          <w:iCs/>
          <w:szCs w:val="24"/>
          <w:u w:val="single"/>
        </w:rPr>
        <w:t>New York City Existing Building Code</w:t>
      </w:r>
      <w:r w:rsidRPr="0001508F">
        <w:rPr>
          <w:bCs/>
          <w:szCs w:val="24"/>
        </w:rPr>
        <w:t>.</w:t>
      </w:r>
    </w:p>
    <w:p w14:paraId="3DE52D97" w14:textId="77777777" w:rsidR="0001508F" w:rsidRPr="0001508F" w:rsidRDefault="0001508F" w:rsidP="0001508F">
      <w:pPr>
        <w:widowControl w:val="0"/>
        <w:spacing w:before="120" w:after="120" w:line="480" w:lineRule="auto"/>
        <w:ind w:firstLine="720"/>
        <w:rPr>
          <w:bCs/>
          <w:szCs w:val="24"/>
        </w:rPr>
      </w:pPr>
      <w:r w:rsidRPr="0001508F">
        <w:rPr>
          <w:bCs/>
          <w:szCs w:val="24"/>
        </w:rPr>
        <w:t>§ 115. Sections 102.4.2.1, 102.4.2.2, 102.4.2.3, 102.4.2.4, 102.4.2.5, and 102.4.2.6 of the New York city mechanical code are REPEALED.</w:t>
      </w:r>
    </w:p>
    <w:p w14:paraId="1C12D3D9" w14:textId="77777777" w:rsidR="0001508F" w:rsidRPr="0001508F" w:rsidRDefault="0001508F" w:rsidP="0001508F">
      <w:pPr>
        <w:widowControl w:val="0"/>
        <w:spacing w:before="120" w:after="120" w:line="480" w:lineRule="auto"/>
        <w:ind w:firstLine="720"/>
        <w:rPr>
          <w:rFonts w:eastAsia="SimSun"/>
          <w:szCs w:val="24"/>
        </w:rPr>
      </w:pPr>
      <w:r w:rsidRPr="0001508F">
        <w:rPr>
          <w:bCs/>
          <w:szCs w:val="24"/>
        </w:rPr>
        <w:t>§ 116. Section 102.5 of the New York city mechanical code, as amended by local law number 126 for the year 2021, is amended to read as follows:</w:t>
      </w:r>
    </w:p>
    <w:p w14:paraId="1955E514" w14:textId="77777777" w:rsidR="0001508F" w:rsidRPr="0001508F" w:rsidRDefault="0001508F" w:rsidP="0001508F">
      <w:pPr>
        <w:widowControl w:val="0"/>
        <w:spacing w:before="120" w:after="120"/>
        <w:rPr>
          <w:bCs/>
          <w:szCs w:val="24"/>
        </w:rPr>
      </w:pPr>
      <w:r w:rsidRPr="0001508F">
        <w:rPr>
          <w:b/>
          <w:bCs/>
          <w:szCs w:val="24"/>
        </w:rPr>
        <w:t>102.5 Change in occupancy.</w:t>
      </w:r>
      <w:r w:rsidRPr="0001508F">
        <w:rPr>
          <w:b/>
          <w:bCs/>
          <w:spacing w:val="-4"/>
          <w:w w:val="110"/>
          <w:szCs w:val="24"/>
        </w:rPr>
        <w:t xml:space="preserve"> </w:t>
      </w:r>
      <w:r w:rsidRPr="0001508F">
        <w:rPr>
          <w:spacing w:val="2"/>
          <w:szCs w:val="24"/>
        </w:rPr>
        <w:t>Refer to Chapter 1 of [</w:t>
      </w:r>
      <w:r w:rsidRPr="0001508F">
        <w:rPr>
          <w:strike/>
          <w:spacing w:val="2"/>
          <w:szCs w:val="24"/>
        </w:rPr>
        <w:t>Title 28 of the Administrative Code</w:t>
      </w:r>
      <w:r w:rsidRPr="0001508F">
        <w:rPr>
          <w:spacing w:val="2"/>
          <w:szCs w:val="24"/>
        </w:rPr>
        <w:t xml:space="preserve">] </w:t>
      </w:r>
      <w:r w:rsidRPr="0001508F">
        <w:rPr>
          <w:spacing w:val="2"/>
          <w:szCs w:val="24"/>
          <w:u w:val="single"/>
        </w:rPr>
        <w:t xml:space="preserve">the </w:t>
      </w:r>
      <w:r w:rsidRPr="0001508F">
        <w:rPr>
          <w:i/>
          <w:iCs/>
          <w:spacing w:val="2"/>
          <w:szCs w:val="24"/>
          <w:u w:val="single"/>
        </w:rPr>
        <w:t>New York City Existing Building Code</w:t>
      </w:r>
      <w:r w:rsidRPr="0001508F">
        <w:rPr>
          <w:spacing w:val="2"/>
          <w:szCs w:val="24"/>
          <w:u w:val="single"/>
        </w:rPr>
        <w:t xml:space="preserve"> for changes of occupancy</w:t>
      </w:r>
      <w:r w:rsidRPr="0001508F">
        <w:rPr>
          <w:spacing w:val="2"/>
          <w:szCs w:val="24"/>
        </w:rPr>
        <w:t>.</w:t>
      </w:r>
    </w:p>
    <w:p w14:paraId="0F42016B" w14:textId="77777777" w:rsidR="0001508F" w:rsidRPr="0001508F" w:rsidRDefault="0001508F" w:rsidP="0001508F">
      <w:pPr>
        <w:widowControl w:val="0"/>
        <w:spacing w:before="120" w:after="120" w:line="480" w:lineRule="auto"/>
        <w:ind w:firstLine="720"/>
        <w:rPr>
          <w:rFonts w:eastAsia="SimSun"/>
          <w:szCs w:val="24"/>
        </w:rPr>
      </w:pPr>
      <w:r w:rsidRPr="0001508F">
        <w:rPr>
          <w:bCs/>
          <w:szCs w:val="24"/>
        </w:rPr>
        <w:t>§ 117. Section 102.7 of the New York city mechanical code, as amended by local law number 126 for the year 2021, is amended to read as follows:</w:t>
      </w:r>
    </w:p>
    <w:p w14:paraId="723D0E7B" w14:textId="77777777" w:rsidR="0001508F" w:rsidRPr="0001508F" w:rsidRDefault="0001508F" w:rsidP="0001508F">
      <w:pPr>
        <w:widowControl w:val="0"/>
        <w:spacing w:before="120" w:after="120"/>
        <w:rPr>
          <w:bCs/>
          <w:szCs w:val="24"/>
        </w:rPr>
      </w:pPr>
      <w:r w:rsidRPr="0001508F">
        <w:rPr>
          <w:rFonts w:eastAsia="Calibri"/>
          <w:b/>
          <w:szCs w:val="24"/>
        </w:rPr>
        <w:t>102.7 [</w:t>
      </w:r>
      <w:r w:rsidRPr="0001508F">
        <w:rPr>
          <w:rFonts w:eastAsia="Calibri"/>
          <w:b/>
          <w:strike/>
          <w:szCs w:val="24"/>
        </w:rPr>
        <w:t>Reserved.</w:t>
      </w:r>
      <w:r w:rsidRPr="0001508F">
        <w:rPr>
          <w:rFonts w:eastAsia="Calibri"/>
          <w:b/>
          <w:szCs w:val="24"/>
        </w:rPr>
        <w:t xml:space="preserve">] </w:t>
      </w:r>
      <w:r w:rsidRPr="0001508F">
        <w:rPr>
          <w:rFonts w:eastAsia="Calibri"/>
          <w:b/>
          <w:szCs w:val="24"/>
          <w:u w:val="single"/>
        </w:rPr>
        <w:t xml:space="preserve">Relocated, moved or raised buildings. </w:t>
      </w:r>
      <w:r w:rsidRPr="0001508F">
        <w:rPr>
          <w:rFonts w:eastAsia="Calibri"/>
          <w:szCs w:val="24"/>
          <w:u w:val="single"/>
        </w:rPr>
        <w:t xml:space="preserve">Refer to Chapters 3 and 14 of the </w:t>
      </w:r>
      <w:r w:rsidRPr="0001508F">
        <w:rPr>
          <w:rFonts w:eastAsia="Calibri"/>
          <w:i/>
          <w:iCs/>
          <w:szCs w:val="24"/>
          <w:u w:val="single"/>
        </w:rPr>
        <w:t>New York City Existing Building Code</w:t>
      </w:r>
      <w:r w:rsidRPr="0001508F">
        <w:rPr>
          <w:rFonts w:eastAsia="Calibri"/>
          <w:szCs w:val="24"/>
          <w:u w:val="single"/>
        </w:rPr>
        <w:t xml:space="preserve"> for mechanical systems serving relocated, moved or raised buildings</w:t>
      </w:r>
      <w:r w:rsidRPr="0001508F">
        <w:rPr>
          <w:rFonts w:eastAsia="Calibri"/>
          <w:bCs/>
          <w:szCs w:val="24"/>
          <w:u w:val="single"/>
        </w:rPr>
        <w:t>.</w:t>
      </w:r>
    </w:p>
    <w:p w14:paraId="2B616FC2" w14:textId="77777777" w:rsidR="0001508F" w:rsidRPr="0001508F" w:rsidRDefault="0001508F" w:rsidP="0001508F">
      <w:pPr>
        <w:widowControl w:val="0"/>
        <w:spacing w:before="120" w:after="120" w:line="480" w:lineRule="auto"/>
        <w:ind w:firstLine="720"/>
        <w:rPr>
          <w:rFonts w:eastAsia="SimSun"/>
          <w:szCs w:val="24"/>
        </w:rPr>
      </w:pPr>
      <w:r w:rsidRPr="0001508F">
        <w:rPr>
          <w:bCs/>
          <w:szCs w:val="24"/>
        </w:rPr>
        <w:t>§ 118. Section 106.3 of the New York city mechanical code, as amended by local law number 126 for the year 2021, is amended to read as follows:</w:t>
      </w:r>
    </w:p>
    <w:p w14:paraId="54092EAE" w14:textId="77777777" w:rsidR="0001508F" w:rsidRPr="0001508F" w:rsidRDefault="0001508F" w:rsidP="0001508F">
      <w:pPr>
        <w:widowControl w:val="0"/>
        <w:spacing w:before="120" w:after="120"/>
        <w:rPr>
          <w:b/>
          <w:bCs/>
          <w:szCs w:val="24"/>
        </w:rPr>
      </w:pPr>
      <w:r w:rsidRPr="0001508F">
        <w:rPr>
          <w:rFonts w:eastAsia="Calibri"/>
          <w:bCs/>
          <w:szCs w:val="24"/>
        </w:rPr>
        <w:t>1</w:t>
      </w:r>
      <w:r w:rsidRPr="0001508F">
        <w:rPr>
          <w:b/>
          <w:bCs/>
          <w:szCs w:val="24"/>
        </w:rPr>
        <w:t xml:space="preserve">06.3 Work exempt from permit. </w:t>
      </w:r>
      <w:r w:rsidRPr="0001508F">
        <w:rPr>
          <w:szCs w:val="24"/>
        </w:rPr>
        <w:t>Exemptions from permit requirements of this code as authorized in [</w:t>
      </w:r>
      <w:r w:rsidRPr="0001508F">
        <w:rPr>
          <w:strike/>
          <w:szCs w:val="24"/>
        </w:rPr>
        <w:t xml:space="preserve">Chapter 1 of Title 28 of the </w:t>
      </w:r>
      <w:r w:rsidRPr="0001508F">
        <w:rPr>
          <w:i/>
          <w:iCs/>
          <w:strike/>
          <w:szCs w:val="24"/>
        </w:rPr>
        <w:t>Administrative Code</w:t>
      </w:r>
      <w:r w:rsidRPr="0001508F">
        <w:rPr>
          <w:szCs w:val="24"/>
        </w:rPr>
        <w:t>]</w:t>
      </w:r>
      <w:r w:rsidRPr="0001508F">
        <w:rPr>
          <w:i/>
          <w:iCs/>
          <w:szCs w:val="24"/>
        </w:rPr>
        <w:t xml:space="preserve"> </w:t>
      </w:r>
      <w:r w:rsidRPr="0001508F">
        <w:rPr>
          <w:szCs w:val="24"/>
          <w:u w:val="single"/>
        </w:rPr>
        <w:t xml:space="preserve">section 105.3 of the </w:t>
      </w:r>
      <w:r w:rsidRPr="0001508F">
        <w:rPr>
          <w:i/>
          <w:iCs/>
          <w:szCs w:val="24"/>
          <w:u w:val="single"/>
        </w:rPr>
        <w:t>New York City Existing Building Code</w:t>
      </w:r>
      <w:r w:rsidRPr="0001508F">
        <w:rPr>
          <w:szCs w:val="24"/>
        </w:rPr>
        <w:t xml:space="preserve"> and the rules of the department shall not be deemed to grant authorization for any work to be done in any manner in violation of the provisions of this code or any other laws or rules.</w:t>
      </w:r>
    </w:p>
    <w:p w14:paraId="7F50B4CE" w14:textId="77777777" w:rsidR="0001508F" w:rsidRPr="0001508F" w:rsidRDefault="0001508F" w:rsidP="0001508F">
      <w:pPr>
        <w:widowControl w:val="0"/>
        <w:spacing w:before="120" w:after="120" w:line="480" w:lineRule="auto"/>
        <w:ind w:firstLine="720"/>
        <w:rPr>
          <w:rFonts w:eastAsia="SimSun"/>
          <w:szCs w:val="24"/>
        </w:rPr>
      </w:pPr>
      <w:r w:rsidRPr="0001508F">
        <w:rPr>
          <w:bCs/>
          <w:szCs w:val="24"/>
        </w:rPr>
        <w:t>§ 119. Section 106.5 of the New York city mechanical code, as added by local law number 126 for the year 2021, is amended to read as follows:</w:t>
      </w:r>
    </w:p>
    <w:p w14:paraId="56353CBE" w14:textId="77777777" w:rsidR="0001508F" w:rsidRPr="0001508F" w:rsidRDefault="0001508F" w:rsidP="0001508F">
      <w:pPr>
        <w:widowControl w:val="0"/>
        <w:kinsoku w:val="0"/>
        <w:spacing w:before="120" w:after="120"/>
        <w:rPr>
          <w:b/>
          <w:i/>
          <w:szCs w:val="24"/>
        </w:rPr>
      </w:pPr>
      <w:r w:rsidRPr="0001508F">
        <w:rPr>
          <w:b/>
          <w:szCs w:val="24"/>
        </w:rPr>
        <w:t xml:space="preserve">106.5 Permits with respect to limited alteration applications. </w:t>
      </w:r>
      <w:r w:rsidRPr="0001508F">
        <w:rPr>
          <w:bCs/>
          <w:szCs w:val="24"/>
        </w:rPr>
        <w:t>For permits with respect to limited alteration applications refer to [</w:t>
      </w:r>
      <w:r w:rsidRPr="0001508F">
        <w:rPr>
          <w:bCs/>
          <w:strike/>
          <w:szCs w:val="24"/>
        </w:rPr>
        <w:t>Sections 28-101.5 and</w:t>
      </w:r>
      <w:r w:rsidRPr="0001508F">
        <w:rPr>
          <w:bCs/>
          <w:szCs w:val="24"/>
        </w:rPr>
        <w:t xml:space="preserve">] </w:t>
      </w:r>
      <w:r w:rsidRPr="0001508F">
        <w:rPr>
          <w:bCs/>
          <w:szCs w:val="24"/>
          <w:u w:val="single"/>
        </w:rPr>
        <w:t>Section</w:t>
      </w:r>
      <w:r w:rsidRPr="0001508F">
        <w:rPr>
          <w:bCs/>
          <w:szCs w:val="24"/>
        </w:rPr>
        <w:t xml:space="preserve"> 28-104.6, Exception 1 of the </w:t>
      </w:r>
      <w:r w:rsidRPr="0001508F">
        <w:rPr>
          <w:bCs/>
          <w:i/>
          <w:szCs w:val="24"/>
        </w:rPr>
        <w:t>Administrative Code</w:t>
      </w:r>
      <w:r w:rsidRPr="0001508F">
        <w:rPr>
          <w:szCs w:val="24"/>
        </w:rPr>
        <w:t xml:space="preserve"> </w:t>
      </w:r>
      <w:r w:rsidRPr="0001508F">
        <w:rPr>
          <w:szCs w:val="24"/>
          <w:u w:val="single"/>
        </w:rPr>
        <w:t xml:space="preserve">and Chapter 5 of the </w:t>
      </w:r>
      <w:r w:rsidRPr="0001508F">
        <w:rPr>
          <w:i/>
          <w:szCs w:val="24"/>
          <w:u w:val="single"/>
        </w:rPr>
        <w:t>New York City Existing Building Code</w:t>
      </w:r>
      <w:r w:rsidRPr="0001508F">
        <w:rPr>
          <w:bCs/>
          <w:i/>
          <w:szCs w:val="24"/>
        </w:rPr>
        <w:t>.</w:t>
      </w:r>
    </w:p>
    <w:p w14:paraId="5368333E" w14:textId="77777777" w:rsidR="0001508F" w:rsidRPr="0001508F" w:rsidRDefault="0001508F" w:rsidP="0001508F">
      <w:pPr>
        <w:widowControl w:val="0"/>
        <w:spacing w:before="120" w:after="120" w:line="480" w:lineRule="auto"/>
        <w:ind w:firstLine="720"/>
        <w:rPr>
          <w:rFonts w:eastAsia="SimSun"/>
          <w:szCs w:val="24"/>
        </w:rPr>
      </w:pPr>
      <w:r w:rsidRPr="0001508F">
        <w:rPr>
          <w:bCs/>
          <w:szCs w:val="24"/>
        </w:rPr>
        <w:t>§ 120. Section 201.3 of the New York city mechanical code, as amended by local law number 126 for the year 2021, is amended to read as follows:</w:t>
      </w:r>
    </w:p>
    <w:p w14:paraId="5F82B2C7" w14:textId="77777777" w:rsidR="0001508F" w:rsidRPr="0001508F" w:rsidRDefault="0001508F" w:rsidP="0001508F">
      <w:pPr>
        <w:widowControl w:val="0"/>
        <w:autoSpaceDE w:val="0"/>
        <w:autoSpaceDN w:val="0"/>
        <w:adjustRightInd w:val="0"/>
        <w:spacing w:before="120" w:after="120"/>
        <w:rPr>
          <w:szCs w:val="24"/>
        </w:rPr>
      </w:pPr>
      <w:r w:rsidRPr="0001508F">
        <w:rPr>
          <w:b/>
          <w:bCs/>
          <w:szCs w:val="24"/>
        </w:rPr>
        <w:t xml:space="preserve">201.3 Terms defined in other codes. </w:t>
      </w:r>
      <w:r w:rsidRPr="0001508F">
        <w:rPr>
          <w:szCs w:val="24"/>
        </w:rPr>
        <w:t xml:space="preserve">Where terms are not defined in this code and are defined in the </w:t>
      </w:r>
      <w:r w:rsidRPr="0001508F">
        <w:rPr>
          <w:i/>
          <w:iCs/>
          <w:szCs w:val="24"/>
        </w:rPr>
        <w:t>New York City Building Code</w:t>
      </w:r>
      <w:r w:rsidRPr="0001508F">
        <w:rPr>
          <w:szCs w:val="24"/>
        </w:rPr>
        <w:t xml:space="preserve">, </w:t>
      </w:r>
      <w:r w:rsidRPr="0001508F">
        <w:rPr>
          <w:i/>
          <w:iCs/>
          <w:szCs w:val="24"/>
        </w:rPr>
        <w:t>the New York City Electrical Code</w:t>
      </w:r>
      <w:r w:rsidRPr="0001508F">
        <w:rPr>
          <w:szCs w:val="24"/>
        </w:rPr>
        <w:t xml:space="preserve">, the </w:t>
      </w:r>
      <w:r w:rsidRPr="0001508F">
        <w:rPr>
          <w:i/>
          <w:iCs/>
          <w:szCs w:val="24"/>
        </w:rPr>
        <w:t>New York City Fire Code</w:t>
      </w:r>
      <w:r w:rsidRPr="0001508F">
        <w:rPr>
          <w:szCs w:val="24"/>
        </w:rPr>
        <w:t xml:space="preserve">, the </w:t>
      </w:r>
      <w:r w:rsidRPr="0001508F">
        <w:rPr>
          <w:i/>
          <w:iCs/>
          <w:szCs w:val="24"/>
        </w:rPr>
        <w:t>New York City Fuel Gas Code</w:t>
      </w:r>
      <w:r w:rsidRPr="0001508F">
        <w:rPr>
          <w:szCs w:val="24"/>
        </w:rPr>
        <w:t xml:space="preserve">, the </w:t>
      </w:r>
      <w:r w:rsidRPr="0001508F">
        <w:rPr>
          <w:i/>
          <w:iCs/>
          <w:szCs w:val="24"/>
        </w:rPr>
        <w:t>New York City Plumbing Code</w:t>
      </w:r>
      <w:bookmarkStart w:id="303" w:name="_Hlk129161222"/>
      <w:r w:rsidRPr="0001508F">
        <w:rPr>
          <w:szCs w:val="24"/>
        </w:rPr>
        <w:t>, [</w:t>
      </w:r>
      <w:r w:rsidRPr="0001508F">
        <w:rPr>
          <w:strike/>
          <w:szCs w:val="24"/>
        </w:rPr>
        <w:t xml:space="preserve">or] </w:t>
      </w:r>
      <w:r w:rsidRPr="0001508F">
        <w:rPr>
          <w:szCs w:val="24"/>
        </w:rPr>
        <w:t>the</w:t>
      </w:r>
      <w:bookmarkEnd w:id="303"/>
      <w:r w:rsidRPr="0001508F">
        <w:rPr>
          <w:szCs w:val="24"/>
        </w:rPr>
        <w:t xml:space="preserve"> </w:t>
      </w:r>
      <w:r w:rsidRPr="0001508F">
        <w:rPr>
          <w:i/>
          <w:iCs/>
          <w:szCs w:val="24"/>
        </w:rPr>
        <w:t>New York City Energy Conservation Code</w:t>
      </w:r>
      <w:r w:rsidRPr="0001508F">
        <w:rPr>
          <w:szCs w:val="24"/>
        </w:rPr>
        <w:t xml:space="preserve">, </w:t>
      </w:r>
      <w:r w:rsidRPr="0001508F">
        <w:rPr>
          <w:szCs w:val="24"/>
          <w:u w:val="single"/>
        </w:rPr>
        <w:t xml:space="preserve">or the </w:t>
      </w:r>
      <w:r w:rsidRPr="0001508F">
        <w:rPr>
          <w:i/>
          <w:iCs/>
          <w:szCs w:val="24"/>
          <w:u w:val="single"/>
        </w:rPr>
        <w:t>New York City Existing Building Code</w:t>
      </w:r>
      <w:r w:rsidRPr="0001508F">
        <w:rPr>
          <w:szCs w:val="24"/>
          <w:u w:val="single"/>
        </w:rPr>
        <w:t>,</w:t>
      </w:r>
      <w:r w:rsidRPr="0001508F">
        <w:rPr>
          <w:szCs w:val="24"/>
        </w:rPr>
        <w:t xml:space="preserve"> such terms shall have meanings ascribed to them as in those codes.</w:t>
      </w:r>
    </w:p>
    <w:p w14:paraId="341173A8" w14:textId="77777777" w:rsidR="0001508F" w:rsidRPr="0001508F" w:rsidRDefault="0001508F" w:rsidP="0001508F">
      <w:pPr>
        <w:widowControl w:val="0"/>
        <w:spacing w:before="120" w:after="120" w:line="480" w:lineRule="auto"/>
        <w:ind w:firstLine="720"/>
        <w:rPr>
          <w:rFonts w:eastAsia="SimSun"/>
          <w:szCs w:val="24"/>
        </w:rPr>
      </w:pPr>
      <w:r w:rsidRPr="0001508F">
        <w:rPr>
          <w:bCs/>
          <w:szCs w:val="24"/>
        </w:rPr>
        <w:t>§ 121. Section 201.3.1 of the New York city mechanical code, as added by local law number 126 for the year 2021, the definition of registered design professional of record and required, as amended by local law number 77 for the year 2023, is amended to read as follows:</w:t>
      </w:r>
    </w:p>
    <w:p w14:paraId="1C8EB512" w14:textId="77777777" w:rsidR="0001508F" w:rsidRPr="0001508F" w:rsidRDefault="0001508F" w:rsidP="0001508F">
      <w:pPr>
        <w:widowControl w:val="0"/>
        <w:spacing w:before="120" w:after="120"/>
        <w:ind w:left="360"/>
        <w:rPr>
          <w:szCs w:val="24"/>
        </w:rPr>
      </w:pPr>
      <w:r w:rsidRPr="0001508F">
        <w:rPr>
          <w:b/>
          <w:bCs/>
          <w:szCs w:val="24"/>
        </w:rPr>
        <w:t>201.3.1 Terms defined in the general administrative provisions.</w:t>
      </w:r>
      <w:r w:rsidRPr="0001508F">
        <w:rPr>
          <w:szCs w:val="24"/>
        </w:rPr>
        <w:t xml:space="preserve"> The following terms are defined in Section 28-101.5 of the </w:t>
      </w:r>
      <w:r w:rsidRPr="0001508F">
        <w:rPr>
          <w:i/>
          <w:szCs w:val="24"/>
        </w:rPr>
        <w:t>Administrative Code</w:t>
      </w:r>
      <w:r w:rsidRPr="0001508F">
        <w:rPr>
          <w:szCs w:val="24"/>
        </w:rPr>
        <w:t>:</w:t>
      </w:r>
    </w:p>
    <w:p w14:paraId="29C5407E" w14:textId="77777777" w:rsidR="0001508F" w:rsidRPr="0001508F" w:rsidRDefault="0001508F" w:rsidP="0001508F">
      <w:pPr>
        <w:suppressAutoHyphens/>
        <w:spacing w:after="240"/>
        <w:ind w:left="360"/>
        <w:rPr>
          <w:szCs w:val="24"/>
        </w:rPr>
      </w:pPr>
      <w:r w:rsidRPr="0001508F">
        <w:rPr>
          <w:b/>
          <w:szCs w:val="24"/>
        </w:rPr>
        <w:t>1968 BUILDING CODE.</w:t>
      </w:r>
      <w:r w:rsidRPr="0001508F">
        <w:rPr>
          <w:b/>
          <w:bCs/>
          <w:spacing w:val="-9"/>
          <w:w w:val="105"/>
          <w:szCs w:val="24"/>
        </w:rPr>
        <w:t xml:space="preserve"> </w:t>
      </w:r>
    </w:p>
    <w:p w14:paraId="0F47EA28" w14:textId="77777777" w:rsidR="0001508F" w:rsidRPr="0001508F" w:rsidRDefault="0001508F" w:rsidP="0001508F">
      <w:pPr>
        <w:suppressAutoHyphens/>
        <w:spacing w:after="240"/>
        <w:ind w:left="360"/>
        <w:rPr>
          <w:b/>
          <w:szCs w:val="24"/>
        </w:rPr>
      </w:pPr>
      <w:bookmarkStart w:id="304" w:name="_Hlk129161234"/>
      <w:r w:rsidRPr="0001508F">
        <w:rPr>
          <w:b/>
          <w:szCs w:val="24"/>
        </w:rPr>
        <w:t>[</w:t>
      </w:r>
      <w:r w:rsidRPr="0001508F">
        <w:rPr>
          <w:b/>
          <w:strike/>
          <w:szCs w:val="24"/>
        </w:rPr>
        <w:t>1968 OR PRIOR CODE BUILDINGS OR STRUCTURES (PRIOR CODE BUILDINGS).</w:t>
      </w:r>
      <w:r w:rsidRPr="0001508F">
        <w:rPr>
          <w:b/>
          <w:szCs w:val="24"/>
        </w:rPr>
        <w:t>]</w:t>
      </w:r>
    </w:p>
    <w:bookmarkEnd w:id="304"/>
    <w:p w14:paraId="54EEC5D7" w14:textId="77777777" w:rsidR="0001508F" w:rsidRPr="0001508F" w:rsidRDefault="0001508F" w:rsidP="0001508F">
      <w:pPr>
        <w:suppressAutoHyphens/>
        <w:spacing w:after="240"/>
        <w:ind w:left="360"/>
        <w:rPr>
          <w:spacing w:val="-8"/>
          <w:w w:val="115"/>
          <w:szCs w:val="24"/>
        </w:rPr>
      </w:pPr>
      <w:r w:rsidRPr="0001508F">
        <w:rPr>
          <w:b/>
          <w:szCs w:val="24"/>
        </w:rPr>
        <w:t>ACCEPTANCE OR ACCEPTED</w:t>
      </w:r>
      <w:r w:rsidRPr="0001508F">
        <w:rPr>
          <w:b/>
          <w:bCs/>
          <w:spacing w:val="-9"/>
          <w:w w:val="105"/>
          <w:szCs w:val="24"/>
        </w:rPr>
        <w:t xml:space="preserve">. </w:t>
      </w:r>
    </w:p>
    <w:p w14:paraId="6728A39E" w14:textId="77777777" w:rsidR="0001508F" w:rsidRPr="0001508F" w:rsidRDefault="0001508F" w:rsidP="0001508F">
      <w:pPr>
        <w:suppressAutoHyphens/>
        <w:spacing w:after="240"/>
        <w:ind w:left="360"/>
        <w:rPr>
          <w:spacing w:val="1"/>
          <w:szCs w:val="24"/>
        </w:rPr>
      </w:pPr>
      <w:r w:rsidRPr="0001508F">
        <w:rPr>
          <w:b/>
          <w:szCs w:val="24"/>
        </w:rPr>
        <w:t>ADDITION.</w:t>
      </w:r>
      <w:r w:rsidRPr="0001508F">
        <w:rPr>
          <w:b/>
          <w:bCs/>
          <w:spacing w:val="-5"/>
          <w:w w:val="105"/>
          <w:szCs w:val="24"/>
        </w:rPr>
        <w:t xml:space="preserve"> </w:t>
      </w:r>
    </w:p>
    <w:p w14:paraId="1D19CE6D" w14:textId="77777777" w:rsidR="0001508F" w:rsidRPr="0001508F" w:rsidRDefault="0001508F" w:rsidP="0001508F">
      <w:pPr>
        <w:suppressAutoHyphens/>
        <w:spacing w:after="240"/>
        <w:ind w:left="360"/>
        <w:rPr>
          <w:spacing w:val="-9"/>
          <w:w w:val="115"/>
          <w:szCs w:val="24"/>
        </w:rPr>
      </w:pPr>
      <w:r w:rsidRPr="0001508F">
        <w:rPr>
          <w:b/>
          <w:szCs w:val="24"/>
        </w:rPr>
        <w:t>ADMINISTRATIVE CODE.</w:t>
      </w:r>
      <w:r w:rsidRPr="0001508F">
        <w:rPr>
          <w:b/>
          <w:bCs/>
          <w:spacing w:val="-9"/>
          <w:w w:val="105"/>
          <w:szCs w:val="24"/>
        </w:rPr>
        <w:t xml:space="preserve"> </w:t>
      </w:r>
    </w:p>
    <w:p w14:paraId="0210DFE7" w14:textId="77777777" w:rsidR="0001508F" w:rsidRPr="0001508F" w:rsidRDefault="0001508F" w:rsidP="0001508F">
      <w:pPr>
        <w:suppressAutoHyphens/>
        <w:spacing w:after="240"/>
        <w:ind w:left="360"/>
        <w:rPr>
          <w:spacing w:val="-10"/>
          <w:w w:val="115"/>
          <w:szCs w:val="24"/>
        </w:rPr>
      </w:pPr>
      <w:r w:rsidRPr="0001508F">
        <w:rPr>
          <w:b/>
          <w:szCs w:val="24"/>
        </w:rPr>
        <w:t>ALTERATION</w:t>
      </w:r>
      <w:r w:rsidRPr="0001508F">
        <w:rPr>
          <w:b/>
          <w:bCs/>
          <w:spacing w:val="-9"/>
          <w:w w:val="105"/>
          <w:szCs w:val="24"/>
        </w:rPr>
        <w:t xml:space="preserve">. </w:t>
      </w:r>
    </w:p>
    <w:p w14:paraId="5C6A4C26" w14:textId="77777777" w:rsidR="0001508F" w:rsidRPr="0001508F" w:rsidRDefault="0001508F" w:rsidP="0001508F">
      <w:pPr>
        <w:suppressAutoHyphens/>
        <w:spacing w:after="240"/>
        <w:ind w:left="360"/>
        <w:rPr>
          <w:spacing w:val="-2"/>
          <w:w w:val="115"/>
          <w:szCs w:val="24"/>
        </w:rPr>
      </w:pPr>
      <w:r w:rsidRPr="0001508F">
        <w:rPr>
          <w:b/>
          <w:szCs w:val="24"/>
        </w:rPr>
        <w:t>APPROVAL OR APPROVED.</w:t>
      </w:r>
      <w:r w:rsidRPr="0001508F">
        <w:rPr>
          <w:b/>
          <w:bCs/>
          <w:spacing w:val="-8"/>
          <w:w w:val="105"/>
          <w:szCs w:val="24"/>
        </w:rPr>
        <w:t xml:space="preserve"> </w:t>
      </w:r>
    </w:p>
    <w:p w14:paraId="74F84697" w14:textId="77777777" w:rsidR="0001508F" w:rsidRPr="0001508F" w:rsidRDefault="0001508F" w:rsidP="0001508F">
      <w:pPr>
        <w:suppressAutoHyphens/>
        <w:spacing w:after="240"/>
        <w:ind w:left="360"/>
        <w:rPr>
          <w:spacing w:val="1"/>
          <w:szCs w:val="24"/>
        </w:rPr>
      </w:pPr>
      <w:r w:rsidRPr="0001508F">
        <w:rPr>
          <w:b/>
          <w:szCs w:val="24"/>
        </w:rPr>
        <w:t>APPROVED AGENCY.</w:t>
      </w:r>
      <w:r w:rsidRPr="0001508F">
        <w:rPr>
          <w:b/>
          <w:bCs/>
          <w:spacing w:val="-5"/>
          <w:w w:val="105"/>
          <w:szCs w:val="24"/>
        </w:rPr>
        <w:t xml:space="preserve"> </w:t>
      </w:r>
    </w:p>
    <w:p w14:paraId="73B8F834" w14:textId="77777777" w:rsidR="0001508F" w:rsidRPr="0001508F" w:rsidRDefault="0001508F" w:rsidP="0001508F">
      <w:pPr>
        <w:suppressAutoHyphens/>
        <w:spacing w:after="240"/>
        <w:ind w:left="360"/>
        <w:rPr>
          <w:spacing w:val="-6"/>
          <w:w w:val="115"/>
          <w:szCs w:val="24"/>
        </w:rPr>
      </w:pPr>
      <w:r w:rsidRPr="0001508F">
        <w:rPr>
          <w:b/>
          <w:szCs w:val="24"/>
        </w:rPr>
        <w:t>APPROVED FABRICATOR.</w:t>
      </w:r>
      <w:r w:rsidRPr="0001508F">
        <w:rPr>
          <w:b/>
          <w:bCs/>
          <w:spacing w:val="-10"/>
          <w:w w:val="105"/>
          <w:szCs w:val="24"/>
        </w:rPr>
        <w:t xml:space="preserve"> </w:t>
      </w:r>
    </w:p>
    <w:p w14:paraId="1A16CBB8" w14:textId="77777777" w:rsidR="0001508F" w:rsidRPr="0001508F" w:rsidRDefault="0001508F" w:rsidP="0001508F">
      <w:pPr>
        <w:suppressAutoHyphens/>
        <w:spacing w:after="240"/>
        <w:ind w:left="360"/>
        <w:rPr>
          <w:spacing w:val="-7"/>
          <w:w w:val="115"/>
          <w:szCs w:val="24"/>
        </w:rPr>
      </w:pPr>
      <w:r w:rsidRPr="0001508F">
        <w:rPr>
          <w:b/>
          <w:szCs w:val="24"/>
        </w:rPr>
        <w:t>APPROVED INSPECTION AGENCY.</w:t>
      </w:r>
      <w:r w:rsidRPr="0001508F">
        <w:rPr>
          <w:b/>
          <w:bCs/>
          <w:w w:val="105"/>
          <w:szCs w:val="24"/>
        </w:rPr>
        <w:t xml:space="preserve"> </w:t>
      </w:r>
    </w:p>
    <w:p w14:paraId="779209D0" w14:textId="77777777" w:rsidR="0001508F" w:rsidRPr="0001508F" w:rsidRDefault="0001508F" w:rsidP="0001508F">
      <w:pPr>
        <w:suppressAutoHyphens/>
        <w:spacing w:after="240"/>
        <w:ind w:left="360"/>
        <w:rPr>
          <w:spacing w:val="-7"/>
          <w:w w:val="115"/>
          <w:szCs w:val="24"/>
        </w:rPr>
      </w:pPr>
      <w:r w:rsidRPr="0001508F">
        <w:rPr>
          <w:b/>
          <w:szCs w:val="24"/>
        </w:rPr>
        <w:t>APPROVED TESTING AGENCY.</w:t>
      </w:r>
      <w:r w:rsidRPr="0001508F">
        <w:rPr>
          <w:b/>
          <w:bCs/>
          <w:spacing w:val="-10"/>
          <w:w w:val="105"/>
          <w:szCs w:val="24"/>
        </w:rPr>
        <w:t xml:space="preserve"> </w:t>
      </w:r>
    </w:p>
    <w:p w14:paraId="388F64B4" w14:textId="77777777" w:rsidR="0001508F" w:rsidRPr="0001508F" w:rsidRDefault="0001508F" w:rsidP="0001508F">
      <w:pPr>
        <w:suppressAutoHyphens/>
        <w:spacing w:after="240"/>
        <w:ind w:left="360"/>
        <w:rPr>
          <w:spacing w:val="-10"/>
          <w:w w:val="115"/>
          <w:szCs w:val="24"/>
        </w:rPr>
      </w:pPr>
      <w:r w:rsidRPr="0001508F">
        <w:rPr>
          <w:b/>
          <w:szCs w:val="24"/>
        </w:rPr>
        <w:t>ARCHITECT.</w:t>
      </w:r>
      <w:r w:rsidRPr="0001508F">
        <w:rPr>
          <w:b/>
          <w:bCs/>
          <w:spacing w:val="-6"/>
          <w:w w:val="105"/>
          <w:szCs w:val="24"/>
        </w:rPr>
        <w:t xml:space="preserve"> </w:t>
      </w:r>
    </w:p>
    <w:p w14:paraId="701715D8" w14:textId="77777777" w:rsidR="0001508F" w:rsidRPr="0001508F" w:rsidRDefault="0001508F" w:rsidP="0001508F">
      <w:pPr>
        <w:suppressAutoHyphens/>
        <w:spacing w:after="240"/>
        <w:ind w:left="360"/>
        <w:rPr>
          <w:spacing w:val="-7"/>
          <w:w w:val="115"/>
          <w:szCs w:val="24"/>
        </w:rPr>
      </w:pPr>
      <w:r w:rsidRPr="0001508F">
        <w:rPr>
          <w:b/>
          <w:szCs w:val="24"/>
        </w:rPr>
        <w:t>BUILDING.</w:t>
      </w:r>
      <w:r w:rsidRPr="0001508F">
        <w:rPr>
          <w:b/>
          <w:bCs/>
          <w:spacing w:val="-12"/>
          <w:w w:val="105"/>
          <w:szCs w:val="24"/>
        </w:rPr>
        <w:t xml:space="preserve"> </w:t>
      </w:r>
    </w:p>
    <w:p w14:paraId="40ADF21C" w14:textId="77777777" w:rsidR="0001508F" w:rsidRPr="0001508F" w:rsidRDefault="0001508F" w:rsidP="0001508F">
      <w:pPr>
        <w:suppressAutoHyphens/>
        <w:spacing w:after="240"/>
        <w:ind w:left="360"/>
        <w:rPr>
          <w:spacing w:val="-8"/>
          <w:w w:val="115"/>
          <w:szCs w:val="24"/>
        </w:rPr>
      </w:pPr>
      <w:r w:rsidRPr="0001508F">
        <w:rPr>
          <w:b/>
          <w:szCs w:val="24"/>
        </w:rPr>
        <w:t xml:space="preserve">CHARTER. </w:t>
      </w:r>
    </w:p>
    <w:p w14:paraId="6C2DF2B6" w14:textId="77777777" w:rsidR="0001508F" w:rsidRPr="0001508F" w:rsidRDefault="0001508F" w:rsidP="0001508F">
      <w:pPr>
        <w:suppressAutoHyphens/>
        <w:spacing w:after="240"/>
        <w:ind w:left="360"/>
        <w:rPr>
          <w:spacing w:val="-7"/>
          <w:w w:val="115"/>
          <w:szCs w:val="24"/>
        </w:rPr>
      </w:pPr>
      <w:r w:rsidRPr="0001508F">
        <w:rPr>
          <w:b/>
          <w:szCs w:val="24"/>
        </w:rPr>
        <w:t xml:space="preserve">CERTIFICATE OF COMPLIANCE. </w:t>
      </w:r>
    </w:p>
    <w:p w14:paraId="39C52874" w14:textId="77777777" w:rsidR="0001508F" w:rsidRPr="0001508F" w:rsidRDefault="0001508F" w:rsidP="0001508F">
      <w:pPr>
        <w:suppressAutoHyphens/>
        <w:spacing w:after="240"/>
        <w:ind w:left="360"/>
        <w:rPr>
          <w:spacing w:val="-8"/>
          <w:w w:val="115"/>
          <w:szCs w:val="24"/>
        </w:rPr>
      </w:pPr>
      <w:r w:rsidRPr="0001508F">
        <w:rPr>
          <w:b/>
          <w:szCs w:val="24"/>
        </w:rPr>
        <w:t>CITY.</w:t>
      </w:r>
      <w:r w:rsidRPr="0001508F">
        <w:rPr>
          <w:b/>
          <w:bCs/>
          <w:spacing w:val="-8"/>
          <w:w w:val="105"/>
          <w:szCs w:val="24"/>
        </w:rPr>
        <w:t xml:space="preserve"> </w:t>
      </w:r>
    </w:p>
    <w:p w14:paraId="5BADB930" w14:textId="77777777" w:rsidR="0001508F" w:rsidRPr="0001508F" w:rsidRDefault="0001508F" w:rsidP="0001508F">
      <w:pPr>
        <w:suppressAutoHyphens/>
        <w:spacing w:after="240"/>
        <w:ind w:left="360"/>
        <w:rPr>
          <w:spacing w:val="-4"/>
          <w:w w:val="115"/>
          <w:szCs w:val="24"/>
        </w:rPr>
      </w:pPr>
      <w:r w:rsidRPr="0001508F">
        <w:rPr>
          <w:b/>
          <w:szCs w:val="24"/>
        </w:rPr>
        <w:t>COMMISSIONER.</w:t>
      </w:r>
      <w:r w:rsidRPr="0001508F">
        <w:rPr>
          <w:b/>
          <w:bCs/>
          <w:spacing w:val="-4"/>
          <w:w w:val="105"/>
          <w:szCs w:val="24"/>
        </w:rPr>
        <w:t xml:space="preserve"> </w:t>
      </w:r>
    </w:p>
    <w:p w14:paraId="32A6587B" w14:textId="77777777" w:rsidR="0001508F" w:rsidRPr="0001508F" w:rsidRDefault="0001508F" w:rsidP="0001508F">
      <w:pPr>
        <w:suppressAutoHyphens/>
        <w:spacing w:after="240"/>
        <w:ind w:left="360"/>
        <w:rPr>
          <w:spacing w:val="1"/>
          <w:szCs w:val="24"/>
        </w:rPr>
      </w:pPr>
      <w:r w:rsidRPr="0001508F">
        <w:rPr>
          <w:b/>
          <w:szCs w:val="24"/>
        </w:rPr>
        <w:t xml:space="preserve">CONSTRUCTION DOCUMENTS. </w:t>
      </w:r>
    </w:p>
    <w:p w14:paraId="329D2BB2" w14:textId="77777777" w:rsidR="0001508F" w:rsidRPr="0001508F" w:rsidRDefault="0001508F" w:rsidP="0001508F">
      <w:pPr>
        <w:suppressAutoHyphens/>
        <w:spacing w:after="240"/>
        <w:ind w:left="360"/>
        <w:rPr>
          <w:spacing w:val="-7"/>
          <w:w w:val="115"/>
          <w:szCs w:val="24"/>
        </w:rPr>
      </w:pPr>
      <w:r w:rsidRPr="0001508F">
        <w:rPr>
          <w:b/>
          <w:spacing w:val="-7"/>
          <w:w w:val="115"/>
          <w:szCs w:val="24"/>
        </w:rPr>
        <w:t>DAY.</w:t>
      </w:r>
      <w:r w:rsidRPr="0001508F">
        <w:rPr>
          <w:spacing w:val="-7"/>
          <w:w w:val="115"/>
          <w:szCs w:val="24"/>
        </w:rPr>
        <w:t xml:space="preserve"> </w:t>
      </w:r>
    </w:p>
    <w:p w14:paraId="52A20A4E" w14:textId="77777777" w:rsidR="0001508F" w:rsidRPr="0001508F" w:rsidRDefault="0001508F" w:rsidP="0001508F">
      <w:pPr>
        <w:suppressAutoHyphens/>
        <w:spacing w:after="240"/>
        <w:ind w:left="360"/>
        <w:rPr>
          <w:spacing w:val="-8"/>
          <w:w w:val="115"/>
          <w:szCs w:val="24"/>
        </w:rPr>
      </w:pPr>
      <w:r w:rsidRPr="0001508F">
        <w:rPr>
          <w:b/>
          <w:szCs w:val="24"/>
        </w:rPr>
        <w:t xml:space="preserve">DEFERRED SUBMITTAL. </w:t>
      </w:r>
    </w:p>
    <w:p w14:paraId="2D72267B" w14:textId="77777777" w:rsidR="0001508F" w:rsidRPr="0001508F" w:rsidRDefault="0001508F" w:rsidP="0001508F">
      <w:pPr>
        <w:suppressAutoHyphens/>
        <w:spacing w:after="240"/>
        <w:ind w:left="360"/>
        <w:rPr>
          <w:spacing w:val="-6"/>
          <w:w w:val="115"/>
          <w:szCs w:val="24"/>
        </w:rPr>
      </w:pPr>
      <w:r w:rsidRPr="0001508F">
        <w:rPr>
          <w:b/>
          <w:szCs w:val="24"/>
        </w:rPr>
        <w:t>DEMOLITION.</w:t>
      </w:r>
      <w:r w:rsidRPr="0001508F">
        <w:rPr>
          <w:b/>
          <w:bCs/>
          <w:spacing w:val="-6"/>
          <w:w w:val="105"/>
          <w:szCs w:val="24"/>
        </w:rPr>
        <w:t xml:space="preserve"> </w:t>
      </w:r>
    </w:p>
    <w:p w14:paraId="0F3B15DA" w14:textId="77777777" w:rsidR="0001508F" w:rsidRPr="0001508F" w:rsidRDefault="0001508F" w:rsidP="0001508F">
      <w:pPr>
        <w:suppressAutoHyphens/>
        <w:spacing w:after="240"/>
        <w:ind w:left="360"/>
        <w:rPr>
          <w:spacing w:val="-6"/>
          <w:w w:val="115"/>
          <w:szCs w:val="24"/>
        </w:rPr>
      </w:pPr>
      <w:r w:rsidRPr="0001508F">
        <w:rPr>
          <w:b/>
          <w:szCs w:val="24"/>
        </w:rPr>
        <w:t xml:space="preserve">DEMOLITION, FULL. </w:t>
      </w:r>
    </w:p>
    <w:p w14:paraId="68C20583" w14:textId="77777777" w:rsidR="0001508F" w:rsidRPr="0001508F" w:rsidRDefault="0001508F" w:rsidP="0001508F">
      <w:pPr>
        <w:suppressAutoHyphens/>
        <w:spacing w:after="240"/>
        <w:ind w:left="360"/>
        <w:rPr>
          <w:spacing w:val="-6"/>
          <w:w w:val="115"/>
          <w:szCs w:val="24"/>
        </w:rPr>
      </w:pPr>
      <w:r w:rsidRPr="0001508F">
        <w:rPr>
          <w:b/>
          <w:szCs w:val="24"/>
        </w:rPr>
        <w:t>DEMOLITION, PARTIAL.</w:t>
      </w:r>
      <w:r w:rsidRPr="0001508F">
        <w:rPr>
          <w:b/>
          <w:bCs/>
          <w:spacing w:val="-5"/>
          <w:w w:val="105"/>
          <w:szCs w:val="24"/>
        </w:rPr>
        <w:t xml:space="preserve"> </w:t>
      </w:r>
    </w:p>
    <w:p w14:paraId="765A7111" w14:textId="77777777" w:rsidR="0001508F" w:rsidRPr="0001508F" w:rsidRDefault="0001508F" w:rsidP="0001508F">
      <w:pPr>
        <w:suppressAutoHyphens/>
        <w:spacing w:after="240"/>
        <w:ind w:left="360"/>
        <w:rPr>
          <w:spacing w:val="-7"/>
          <w:w w:val="115"/>
          <w:szCs w:val="24"/>
        </w:rPr>
      </w:pPr>
      <w:r w:rsidRPr="0001508F">
        <w:rPr>
          <w:b/>
          <w:szCs w:val="24"/>
        </w:rPr>
        <w:t xml:space="preserve">DEPARTMENT. </w:t>
      </w:r>
    </w:p>
    <w:p w14:paraId="06B08A65" w14:textId="77777777" w:rsidR="0001508F" w:rsidRPr="0001508F" w:rsidRDefault="0001508F" w:rsidP="0001508F">
      <w:pPr>
        <w:suppressAutoHyphens/>
        <w:spacing w:after="240"/>
        <w:ind w:left="360"/>
        <w:rPr>
          <w:spacing w:val="-10"/>
          <w:w w:val="115"/>
          <w:szCs w:val="24"/>
        </w:rPr>
      </w:pPr>
      <w:r w:rsidRPr="0001508F">
        <w:rPr>
          <w:b/>
          <w:szCs w:val="24"/>
        </w:rPr>
        <w:t xml:space="preserve">ENGINEER. </w:t>
      </w:r>
    </w:p>
    <w:p w14:paraId="3DBA09DA" w14:textId="77777777" w:rsidR="0001508F" w:rsidRPr="0001508F" w:rsidRDefault="0001508F" w:rsidP="0001508F">
      <w:pPr>
        <w:suppressAutoHyphens/>
        <w:spacing w:after="240"/>
        <w:ind w:left="360"/>
        <w:rPr>
          <w:spacing w:val="-8"/>
          <w:w w:val="115"/>
          <w:szCs w:val="24"/>
        </w:rPr>
      </w:pPr>
      <w:r w:rsidRPr="0001508F">
        <w:rPr>
          <w:b/>
          <w:szCs w:val="24"/>
        </w:rPr>
        <w:t xml:space="preserve">ENLARGEMENT. </w:t>
      </w:r>
    </w:p>
    <w:p w14:paraId="2518BCC6" w14:textId="77777777" w:rsidR="0001508F" w:rsidRPr="0001508F" w:rsidRDefault="0001508F" w:rsidP="0001508F">
      <w:pPr>
        <w:suppressAutoHyphens/>
        <w:spacing w:after="240"/>
        <w:ind w:left="360"/>
        <w:rPr>
          <w:szCs w:val="24"/>
        </w:rPr>
      </w:pPr>
      <w:r w:rsidRPr="0001508F">
        <w:rPr>
          <w:b/>
          <w:szCs w:val="24"/>
        </w:rPr>
        <w:t xml:space="preserve">ENVIRONMENTAL CONTROL BOARD or ECB. </w:t>
      </w:r>
    </w:p>
    <w:p w14:paraId="410EC3D5" w14:textId="77777777" w:rsidR="0001508F" w:rsidRPr="0001508F" w:rsidRDefault="0001508F" w:rsidP="0001508F">
      <w:pPr>
        <w:suppressAutoHyphens/>
        <w:spacing w:after="240"/>
        <w:ind w:left="360"/>
        <w:rPr>
          <w:spacing w:val="-6"/>
          <w:w w:val="115"/>
          <w:szCs w:val="24"/>
        </w:rPr>
      </w:pPr>
      <w:r w:rsidRPr="0001508F">
        <w:rPr>
          <w:b/>
          <w:szCs w:val="24"/>
        </w:rPr>
        <w:t>EXISTING BUILDING OR STRUCTURE.</w:t>
      </w:r>
      <w:r w:rsidRPr="0001508F">
        <w:rPr>
          <w:spacing w:val="1"/>
          <w:szCs w:val="24"/>
        </w:rPr>
        <w:t xml:space="preserve"> </w:t>
      </w:r>
    </w:p>
    <w:p w14:paraId="6E7B9C4A" w14:textId="77777777" w:rsidR="0001508F" w:rsidRPr="0001508F" w:rsidRDefault="0001508F" w:rsidP="0001508F">
      <w:pPr>
        <w:suppressAutoHyphens/>
        <w:spacing w:after="240"/>
        <w:ind w:left="360"/>
        <w:rPr>
          <w:spacing w:val="1"/>
          <w:szCs w:val="24"/>
        </w:rPr>
      </w:pPr>
      <w:r w:rsidRPr="0001508F">
        <w:rPr>
          <w:b/>
          <w:szCs w:val="24"/>
        </w:rPr>
        <w:t xml:space="preserve">FABRICATED ITEM. </w:t>
      </w:r>
    </w:p>
    <w:p w14:paraId="1727C1E4" w14:textId="77777777" w:rsidR="0001508F" w:rsidRPr="0001508F" w:rsidRDefault="0001508F" w:rsidP="0001508F">
      <w:pPr>
        <w:suppressAutoHyphens/>
        <w:spacing w:after="240"/>
        <w:ind w:left="360"/>
        <w:rPr>
          <w:spacing w:val="-6"/>
          <w:w w:val="115"/>
          <w:szCs w:val="24"/>
        </w:rPr>
      </w:pPr>
      <w:r w:rsidRPr="0001508F">
        <w:rPr>
          <w:b/>
          <w:szCs w:val="24"/>
        </w:rPr>
        <w:t>FIRE PROTECTION PLAN.</w:t>
      </w:r>
      <w:r w:rsidRPr="0001508F">
        <w:rPr>
          <w:b/>
          <w:bCs/>
          <w:spacing w:val="-13"/>
          <w:w w:val="105"/>
          <w:szCs w:val="24"/>
        </w:rPr>
        <w:t xml:space="preserve"> </w:t>
      </w:r>
    </w:p>
    <w:p w14:paraId="6B45F6CE" w14:textId="77777777" w:rsidR="0001508F" w:rsidRPr="0001508F" w:rsidRDefault="0001508F" w:rsidP="0001508F">
      <w:pPr>
        <w:suppressAutoHyphens/>
        <w:spacing w:after="240"/>
        <w:ind w:left="360"/>
        <w:rPr>
          <w:spacing w:val="-7"/>
          <w:w w:val="115"/>
          <w:szCs w:val="24"/>
        </w:rPr>
      </w:pPr>
      <w:r w:rsidRPr="0001508F">
        <w:rPr>
          <w:b/>
          <w:szCs w:val="24"/>
        </w:rPr>
        <w:t>HEREAFTER.</w:t>
      </w:r>
      <w:r w:rsidRPr="0001508F">
        <w:rPr>
          <w:b/>
          <w:bCs/>
          <w:spacing w:val="-7"/>
          <w:w w:val="105"/>
          <w:szCs w:val="24"/>
        </w:rPr>
        <w:t xml:space="preserve"> </w:t>
      </w:r>
    </w:p>
    <w:p w14:paraId="761A38C4" w14:textId="77777777" w:rsidR="0001508F" w:rsidRPr="0001508F" w:rsidRDefault="0001508F" w:rsidP="0001508F">
      <w:pPr>
        <w:suppressAutoHyphens/>
        <w:spacing w:after="240"/>
        <w:ind w:left="360"/>
        <w:rPr>
          <w:spacing w:val="-6"/>
          <w:w w:val="115"/>
          <w:szCs w:val="24"/>
        </w:rPr>
      </w:pPr>
      <w:r w:rsidRPr="0001508F">
        <w:rPr>
          <w:b/>
          <w:szCs w:val="24"/>
        </w:rPr>
        <w:t xml:space="preserve">HERETOFORE. </w:t>
      </w:r>
    </w:p>
    <w:p w14:paraId="6700A1D3" w14:textId="77777777" w:rsidR="0001508F" w:rsidRPr="0001508F" w:rsidRDefault="0001508F" w:rsidP="0001508F">
      <w:pPr>
        <w:suppressAutoHyphens/>
        <w:spacing w:after="240"/>
        <w:ind w:left="360"/>
        <w:rPr>
          <w:spacing w:val="1"/>
          <w:szCs w:val="24"/>
        </w:rPr>
      </w:pPr>
      <w:r w:rsidRPr="0001508F">
        <w:rPr>
          <w:b/>
          <w:bCs/>
          <w:spacing w:val="-9"/>
          <w:w w:val="105"/>
          <w:szCs w:val="24"/>
        </w:rPr>
        <w:t>I</w:t>
      </w:r>
      <w:r w:rsidRPr="0001508F">
        <w:rPr>
          <w:b/>
          <w:szCs w:val="24"/>
        </w:rPr>
        <w:t>NSPECTION CERTIFICATE.</w:t>
      </w:r>
      <w:r w:rsidRPr="0001508F">
        <w:rPr>
          <w:b/>
          <w:bCs/>
          <w:spacing w:val="-9"/>
          <w:w w:val="105"/>
          <w:szCs w:val="24"/>
        </w:rPr>
        <w:t xml:space="preserve"> </w:t>
      </w:r>
    </w:p>
    <w:p w14:paraId="1E4D07C7" w14:textId="77777777" w:rsidR="0001508F" w:rsidRPr="0001508F" w:rsidRDefault="0001508F" w:rsidP="0001508F">
      <w:pPr>
        <w:suppressAutoHyphens/>
        <w:spacing w:after="240"/>
        <w:ind w:left="360"/>
        <w:rPr>
          <w:spacing w:val="-6"/>
          <w:w w:val="115"/>
          <w:szCs w:val="24"/>
        </w:rPr>
      </w:pPr>
      <w:r w:rsidRPr="0001508F">
        <w:rPr>
          <w:b/>
          <w:szCs w:val="24"/>
        </w:rPr>
        <w:t>INTERIM CERTIFICATE OF OCCUPANCY.</w:t>
      </w:r>
      <w:r w:rsidRPr="0001508F">
        <w:rPr>
          <w:b/>
          <w:spacing w:val="-6"/>
          <w:w w:val="115"/>
          <w:szCs w:val="24"/>
        </w:rPr>
        <w:t xml:space="preserve"> </w:t>
      </w:r>
    </w:p>
    <w:p w14:paraId="0C3014E5" w14:textId="77777777" w:rsidR="0001508F" w:rsidRPr="0001508F" w:rsidRDefault="0001508F" w:rsidP="0001508F">
      <w:pPr>
        <w:suppressAutoHyphens/>
        <w:spacing w:after="240"/>
        <w:ind w:left="360"/>
        <w:rPr>
          <w:spacing w:val="1"/>
          <w:szCs w:val="24"/>
        </w:rPr>
      </w:pPr>
      <w:r w:rsidRPr="0001508F">
        <w:rPr>
          <w:b/>
          <w:szCs w:val="24"/>
        </w:rPr>
        <w:t>LABEL.</w:t>
      </w:r>
      <w:r w:rsidRPr="0001508F">
        <w:rPr>
          <w:b/>
          <w:bCs/>
          <w:spacing w:val="-6"/>
          <w:w w:val="105"/>
          <w:szCs w:val="24"/>
        </w:rPr>
        <w:t xml:space="preserve"> </w:t>
      </w:r>
    </w:p>
    <w:p w14:paraId="2B9E4020" w14:textId="77777777" w:rsidR="0001508F" w:rsidRPr="0001508F" w:rsidRDefault="0001508F" w:rsidP="0001508F">
      <w:pPr>
        <w:suppressAutoHyphens/>
        <w:spacing w:after="240"/>
        <w:ind w:left="360"/>
        <w:rPr>
          <w:spacing w:val="-8"/>
          <w:w w:val="115"/>
          <w:szCs w:val="24"/>
        </w:rPr>
      </w:pPr>
      <w:r w:rsidRPr="0001508F">
        <w:rPr>
          <w:b/>
          <w:szCs w:val="24"/>
        </w:rPr>
        <w:t xml:space="preserve">LABELED. </w:t>
      </w:r>
    </w:p>
    <w:p w14:paraId="710EE889" w14:textId="77777777" w:rsidR="0001508F" w:rsidRPr="0001508F" w:rsidRDefault="0001508F" w:rsidP="0001508F">
      <w:pPr>
        <w:suppressAutoHyphens/>
        <w:spacing w:after="240"/>
        <w:ind w:left="360"/>
        <w:rPr>
          <w:spacing w:val="-8"/>
          <w:w w:val="115"/>
          <w:szCs w:val="24"/>
        </w:rPr>
      </w:pPr>
      <w:r w:rsidRPr="0001508F">
        <w:rPr>
          <w:b/>
          <w:szCs w:val="24"/>
        </w:rPr>
        <w:t>LAND SURVEYOR.</w:t>
      </w:r>
      <w:r w:rsidRPr="0001508F">
        <w:rPr>
          <w:b/>
          <w:bCs/>
          <w:spacing w:val="-6"/>
          <w:w w:val="105"/>
          <w:szCs w:val="24"/>
        </w:rPr>
        <w:t xml:space="preserve"> </w:t>
      </w:r>
    </w:p>
    <w:p w14:paraId="63FBB299" w14:textId="77777777" w:rsidR="0001508F" w:rsidRPr="0001508F" w:rsidRDefault="0001508F" w:rsidP="0001508F">
      <w:pPr>
        <w:suppressAutoHyphens/>
        <w:spacing w:after="240"/>
        <w:ind w:left="360"/>
        <w:rPr>
          <w:spacing w:val="1"/>
          <w:szCs w:val="24"/>
        </w:rPr>
      </w:pPr>
      <w:r w:rsidRPr="0001508F">
        <w:rPr>
          <w:b/>
          <w:szCs w:val="24"/>
        </w:rPr>
        <w:t>LANDSCAPE ARCHITECT</w:t>
      </w:r>
      <w:r w:rsidRPr="0001508F">
        <w:rPr>
          <w:b/>
          <w:spacing w:val="-7"/>
          <w:w w:val="115"/>
          <w:szCs w:val="24"/>
        </w:rPr>
        <w:t>.</w:t>
      </w:r>
      <w:r w:rsidRPr="0001508F">
        <w:rPr>
          <w:spacing w:val="-7"/>
          <w:w w:val="115"/>
          <w:szCs w:val="24"/>
        </w:rPr>
        <w:t xml:space="preserve"> </w:t>
      </w:r>
    </w:p>
    <w:p w14:paraId="49FF87E6" w14:textId="77777777" w:rsidR="0001508F" w:rsidRPr="0001508F" w:rsidRDefault="0001508F" w:rsidP="0001508F">
      <w:pPr>
        <w:suppressAutoHyphens/>
        <w:spacing w:after="240"/>
        <w:ind w:left="360"/>
        <w:rPr>
          <w:spacing w:val="1"/>
          <w:szCs w:val="24"/>
        </w:rPr>
      </w:pPr>
      <w:r w:rsidRPr="0001508F">
        <w:rPr>
          <w:b/>
          <w:szCs w:val="24"/>
        </w:rPr>
        <w:t>LETTER OF COMPLETION.</w:t>
      </w:r>
      <w:r w:rsidRPr="0001508F">
        <w:rPr>
          <w:b/>
          <w:bCs/>
          <w:spacing w:val="-7"/>
          <w:w w:val="105"/>
          <w:szCs w:val="24"/>
        </w:rPr>
        <w:t xml:space="preserve"> </w:t>
      </w:r>
    </w:p>
    <w:p w14:paraId="6B0D671B" w14:textId="77777777" w:rsidR="0001508F" w:rsidRPr="0001508F" w:rsidRDefault="0001508F" w:rsidP="0001508F">
      <w:pPr>
        <w:suppressAutoHyphens/>
        <w:spacing w:after="240"/>
        <w:ind w:left="360"/>
        <w:rPr>
          <w:szCs w:val="24"/>
        </w:rPr>
      </w:pPr>
      <w:r w:rsidRPr="0001508F">
        <w:rPr>
          <w:b/>
          <w:szCs w:val="24"/>
        </w:rPr>
        <w:t xml:space="preserve">LIMITED ALTERATION APPLICATION. </w:t>
      </w:r>
    </w:p>
    <w:p w14:paraId="7C396DDE" w14:textId="77777777" w:rsidR="0001508F" w:rsidRPr="0001508F" w:rsidRDefault="0001508F" w:rsidP="0001508F">
      <w:pPr>
        <w:suppressAutoHyphens/>
        <w:spacing w:after="240"/>
        <w:ind w:left="360"/>
        <w:rPr>
          <w:b/>
          <w:szCs w:val="24"/>
          <w:u w:val="single"/>
        </w:rPr>
      </w:pPr>
      <w:r w:rsidRPr="0001508F">
        <w:rPr>
          <w:b/>
          <w:szCs w:val="24"/>
          <w:u w:val="single"/>
        </w:rPr>
        <w:t>LIMITED ELEVATOR ALTERATIONS.</w:t>
      </w:r>
      <w:r w:rsidRPr="0001508F">
        <w:rPr>
          <w:spacing w:val="1"/>
          <w:szCs w:val="24"/>
          <w:u w:val="single"/>
        </w:rPr>
        <w:t xml:space="preserve"> </w:t>
      </w:r>
    </w:p>
    <w:p w14:paraId="4238CF9D" w14:textId="77777777" w:rsidR="0001508F" w:rsidRPr="0001508F" w:rsidRDefault="0001508F" w:rsidP="0001508F">
      <w:pPr>
        <w:suppressAutoHyphens/>
        <w:spacing w:after="240"/>
        <w:ind w:left="360"/>
        <w:rPr>
          <w:b/>
          <w:szCs w:val="24"/>
          <w:u w:val="single"/>
        </w:rPr>
      </w:pPr>
      <w:r w:rsidRPr="0001508F">
        <w:rPr>
          <w:b/>
          <w:szCs w:val="24"/>
          <w:u w:val="single"/>
        </w:rPr>
        <w:t>LIMITED HOME IMPROVEMENT ALTERATIONS.</w:t>
      </w:r>
      <w:r w:rsidRPr="0001508F">
        <w:rPr>
          <w:spacing w:val="1"/>
          <w:szCs w:val="24"/>
          <w:u w:val="single"/>
        </w:rPr>
        <w:t xml:space="preserve"> </w:t>
      </w:r>
    </w:p>
    <w:p w14:paraId="18819E84" w14:textId="77777777" w:rsidR="0001508F" w:rsidRPr="0001508F" w:rsidRDefault="0001508F" w:rsidP="0001508F">
      <w:pPr>
        <w:suppressAutoHyphens/>
        <w:spacing w:after="240"/>
        <w:ind w:left="360"/>
        <w:rPr>
          <w:spacing w:val="1"/>
          <w:szCs w:val="24"/>
          <w:u w:val="single"/>
        </w:rPr>
      </w:pPr>
      <w:r w:rsidRPr="0001508F">
        <w:rPr>
          <w:b/>
          <w:szCs w:val="24"/>
          <w:u w:val="single"/>
        </w:rPr>
        <w:t>LIMITED OIL-BURNING APPLIANCE ALTERATIONS.</w:t>
      </w:r>
      <w:r w:rsidRPr="0001508F">
        <w:rPr>
          <w:spacing w:val="-6"/>
          <w:w w:val="115"/>
          <w:szCs w:val="24"/>
          <w:u w:val="single"/>
        </w:rPr>
        <w:t xml:space="preserve"> </w:t>
      </w:r>
    </w:p>
    <w:p w14:paraId="3FAAF7AF" w14:textId="77777777" w:rsidR="0001508F" w:rsidRPr="0001508F" w:rsidRDefault="0001508F" w:rsidP="0001508F">
      <w:pPr>
        <w:suppressAutoHyphens/>
        <w:spacing w:after="240"/>
        <w:ind w:left="360"/>
        <w:rPr>
          <w:szCs w:val="24"/>
        </w:rPr>
      </w:pPr>
      <w:r w:rsidRPr="0001508F">
        <w:rPr>
          <w:b/>
          <w:szCs w:val="24"/>
        </w:rPr>
        <w:t>LIMITED PLUMBING ALTERATIONS.</w:t>
      </w:r>
      <w:r w:rsidRPr="0001508F">
        <w:rPr>
          <w:szCs w:val="24"/>
        </w:rPr>
        <w:t xml:space="preserve"> </w:t>
      </w:r>
    </w:p>
    <w:p w14:paraId="1CECC43A" w14:textId="77777777" w:rsidR="0001508F" w:rsidRPr="0001508F" w:rsidRDefault="0001508F" w:rsidP="0001508F">
      <w:pPr>
        <w:suppressAutoHyphens/>
        <w:spacing w:after="240"/>
        <w:ind w:left="360"/>
        <w:rPr>
          <w:b/>
          <w:szCs w:val="24"/>
          <w:u w:val="single"/>
        </w:rPr>
      </w:pPr>
      <w:r w:rsidRPr="0001508F">
        <w:rPr>
          <w:b/>
          <w:szCs w:val="24"/>
          <w:u w:val="single"/>
        </w:rPr>
        <w:t>LIMITED REROOFING ALTERATIONS.</w:t>
      </w:r>
      <w:r w:rsidRPr="0001508F">
        <w:rPr>
          <w:spacing w:val="1"/>
          <w:szCs w:val="24"/>
          <w:u w:val="single"/>
        </w:rPr>
        <w:t xml:space="preserve"> </w:t>
      </w:r>
    </w:p>
    <w:p w14:paraId="42309BC5" w14:textId="77777777" w:rsidR="0001508F" w:rsidRPr="0001508F" w:rsidRDefault="0001508F" w:rsidP="0001508F">
      <w:pPr>
        <w:suppressAutoHyphens/>
        <w:spacing w:after="240"/>
        <w:ind w:left="360"/>
        <w:rPr>
          <w:b/>
          <w:szCs w:val="24"/>
        </w:rPr>
      </w:pPr>
      <w:r w:rsidRPr="0001508F">
        <w:rPr>
          <w:b/>
          <w:szCs w:val="24"/>
        </w:rPr>
        <w:t>LIMITED SPRINKLER ALTERATIONS.</w:t>
      </w:r>
      <w:r w:rsidRPr="0001508F">
        <w:rPr>
          <w:szCs w:val="24"/>
        </w:rPr>
        <w:t xml:space="preserve"> </w:t>
      </w:r>
    </w:p>
    <w:p w14:paraId="5DD49EF8" w14:textId="77777777" w:rsidR="0001508F" w:rsidRPr="0001508F" w:rsidRDefault="0001508F" w:rsidP="0001508F">
      <w:pPr>
        <w:suppressAutoHyphens/>
        <w:spacing w:after="240"/>
        <w:ind w:left="360"/>
        <w:rPr>
          <w:szCs w:val="24"/>
        </w:rPr>
      </w:pPr>
      <w:r w:rsidRPr="0001508F">
        <w:rPr>
          <w:b/>
          <w:szCs w:val="24"/>
        </w:rPr>
        <w:t>LIMITED STANDPIPE ALTERATIONS.</w:t>
      </w:r>
      <w:r w:rsidRPr="0001508F">
        <w:rPr>
          <w:szCs w:val="24"/>
        </w:rPr>
        <w:t xml:space="preserve"> </w:t>
      </w:r>
    </w:p>
    <w:p w14:paraId="40E37818" w14:textId="77777777" w:rsidR="0001508F" w:rsidRPr="0001508F" w:rsidRDefault="0001508F" w:rsidP="0001508F">
      <w:pPr>
        <w:suppressAutoHyphens/>
        <w:spacing w:after="240"/>
        <w:ind w:left="360"/>
        <w:rPr>
          <w:b/>
          <w:szCs w:val="24"/>
          <w:u w:val="single"/>
        </w:rPr>
      </w:pPr>
      <w:r w:rsidRPr="0001508F">
        <w:rPr>
          <w:b/>
          <w:szCs w:val="24"/>
          <w:u w:val="single"/>
        </w:rPr>
        <w:t>LIMITED WINDOW REPLACEMENT ALTERATIONS.</w:t>
      </w:r>
      <w:r w:rsidRPr="0001508F">
        <w:rPr>
          <w:spacing w:val="1"/>
          <w:szCs w:val="24"/>
          <w:u w:val="single"/>
        </w:rPr>
        <w:t xml:space="preserve"> </w:t>
      </w:r>
    </w:p>
    <w:p w14:paraId="71830F0D" w14:textId="77777777" w:rsidR="0001508F" w:rsidRPr="0001508F" w:rsidRDefault="0001508F" w:rsidP="0001508F">
      <w:pPr>
        <w:suppressAutoHyphens/>
        <w:spacing w:after="240"/>
        <w:ind w:left="360"/>
        <w:rPr>
          <w:szCs w:val="24"/>
        </w:rPr>
      </w:pPr>
      <w:r w:rsidRPr="0001508F">
        <w:rPr>
          <w:b/>
          <w:szCs w:val="24"/>
        </w:rPr>
        <w:t>LISTED.</w:t>
      </w:r>
      <w:r w:rsidRPr="0001508F">
        <w:rPr>
          <w:szCs w:val="24"/>
        </w:rPr>
        <w:t xml:space="preserve"> </w:t>
      </w:r>
    </w:p>
    <w:p w14:paraId="4BE559DC" w14:textId="77777777" w:rsidR="0001508F" w:rsidRPr="0001508F" w:rsidRDefault="0001508F" w:rsidP="0001508F">
      <w:pPr>
        <w:suppressAutoHyphens/>
        <w:spacing w:after="240"/>
        <w:ind w:left="360"/>
        <w:rPr>
          <w:b/>
          <w:bCs/>
          <w:spacing w:val="3"/>
          <w:w w:val="105"/>
          <w:szCs w:val="24"/>
        </w:rPr>
      </w:pPr>
      <w:r w:rsidRPr="0001508F">
        <w:rPr>
          <w:b/>
          <w:szCs w:val="24"/>
        </w:rPr>
        <w:t xml:space="preserve">MAIN USE OR DOMINANT OCCUPANCY (OF A BUILDING). </w:t>
      </w:r>
    </w:p>
    <w:p w14:paraId="38B53BBE" w14:textId="77777777" w:rsidR="0001508F" w:rsidRPr="0001508F" w:rsidRDefault="0001508F" w:rsidP="0001508F">
      <w:pPr>
        <w:suppressAutoHyphens/>
        <w:spacing w:after="240"/>
        <w:ind w:left="360"/>
        <w:rPr>
          <w:spacing w:val="3"/>
          <w:szCs w:val="24"/>
        </w:rPr>
      </w:pPr>
      <w:r w:rsidRPr="0001508F">
        <w:rPr>
          <w:b/>
          <w:szCs w:val="24"/>
        </w:rPr>
        <w:t>MANUFACTURER’S DESIGNATION.</w:t>
      </w:r>
      <w:r w:rsidRPr="0001508F">
        <w:rPr>
          <w:b/>
          <w:bCs/>
          <w:spacing w:val="1"/>
          <w:w w:val="105"/>
          <w:szCs w:val="24"/>
        </w:rPr>
        <w:t xml:space="preserve"> </w:t>
      </w:r>
    </w:p>
    <w:p w14:paraId="1BC1B44E" w14:textId="77777777" w:rsidR="0001508F" w:rsidRPr="0001508F" w:rsidRDefault="0001508F" w:rsidP="0001508F">
      <w:pPr>
        <w:suppressAutoHyphens/>
        <w:spacing w:after="240"/>
        <w:ind w:left="360"/>
        <w:rPr>
          <w:spacing w:val="2"/>
          <w:szCs w:val="24"/>
        </w:rPr>
      </w:pPr>
      <w:r w:rsidRPr="0001508F">
        <w:rPr>
          <w:b/>
          <w:szCs w:val="24"/>
        </w:rPr>
        <w:t xml:space="preserve">MARK. </w:t>
      </w:r>
    </w:p>
    <w:p w14:paraId="712EC45D" w14:textId="77777777" w:rsidR="0001508F" w:rsidRPr="0001508F" w:rsidRDefault="0001508F" w:rsidP="0001508F">
      <w:pPr>
        <w:suppressAutoHyphens/>
        <w:spacing w:after="240"/>
        <w:ind w:left="360"/>
        <w:rPr>
          <w:spacing w:val="2"/>
          <w:szCs w:val="24"/>
        </w:rPr>
      </w:pPr>
      <w:r w:rsidRPr="0001508F">
        <w:rPr>
          <w:b/>
          <w:szCs w:val="24"/>
        </w:rPr>
        <w:t>MATERIALS.</w:t>
      </w:r>
      <w:r w:rsidRPr="0001508F">
        <w:rPr>
          <w:b/>
          <w:bCs/>
          <w:spacing w:val="-3"/>
          <w:w w:val="105"/>
          <w:szCs w:val="24"/>
        </w:rPr>
        <w:t xml:space="preserve"> </w:t>
      </w:r>
    </w:p>
    <w:p w14:paraId="2A300E2F" w14:textId="77777777" w:rsidR="0001508F" w:rsidRPr="0001508F" w:rsidRDefault="0001508F" w:rsidP="0001508F">
      <w:pPr>
        <w:suppressAutoHyphens/>
        <w:spacing w:after="240"/>
        <w:ind w:left="360"/>
        <w:rPr>
          <w:szCs w:val="24"/>
        </w:rPr>
      </w:pPr>
      <w:r w:rsidRPr="0001508F">
        <w:rPr>
          <w:b/>
          <w:szCs w:val="24"/>
        </w:rPr>
        <w:t>OCCUPANCY.</w:t>
      </w:r>
      <w:r w:rsidRPr="0001508F">
        <w:rPr>
          <w:b/>
          <w:bCs/>
          <w:w w:val="105"/>
          <w:szCs w:val="24"/>
        </w:rPr>
        <w:t xml:space="preserve"> </w:t>
      </w:r>
    </w:p>
    <w:p w14:paraId="109CF838" w14:textId="77777777" w:rsidR="0001508F" w:rsidRPr="0001508F" w:rsidRDefault="0001508F" w:rsidP="0001508F">
      <w:pPr>
        <w:suppressAutoHyphens/>
        <w:spacing w:after="240"/>
        <w:ind w:left="360"/>
        <w:rPr>
          <w:spacing w:val="2"/>
          <w:szCs w:val="24"/>
        </w:rPr>
      </w:pPr>
      <w:r w:rsidRPr="0001508F">
        <w:rPr>
          <w:b/>
          <w:szCs w:val="24"/>
        </w:rPr>
        <w:t xml:space="preserve">OWNER. </w:t>
      </w:r>
    </w:p>
    <w:p w14:paraId="70EB3955" w14:textId="77777777" w:rsidR="0001508F" w:rsidRPr="0001508F" w:rsidRDefault="0001508F" w:rsidP="0001508F">
      <w:pPr>
        <w:suppressAutoHyphens/>
        <w:spacing w:after="240"/>
        <w:ind w:left="360"/>
        <w:rPr>
          <w:spacing w:val="-2"/>
          <w:szCs w:val="24"/>
        </w:rPr>
      </w:pPr>
      <w:r w:rsidRPr="0001508F">
        <w:rPr>
          <w:b/>
          <w:szCs w:val="24"/>
        </w:rPr>
        <w:t>PARTY WALL.</w:t>
      </w:r>
      <w:r w:rsidRPr="0001508F">
        <w:rPr>
          <w:b/>
          <w:bCs/>
          <w:spacing w:val="-2"/>
          <w:w w:val="105"/>
          <w:szCs w:val="24"/>
        </w:rPr>
        <w:t xml:space="preserve"> </w:t>
      </w:r>
    </w:p>
    <w:p w14:paraId="0B036C8A" w14:textId="77777777" w:rsidR="0001508F" w:rsidRPr="0001508F" w:rsidRDefault="0001508F" w:rsidP="0001508F">
      <w:pPr>
        <w:suppressAutoHyphens/>
        <w:spacing w:after="240"/>
        <w:ind w:left="360"/>
        <w:rPr>
          <w:szCs w:val="24"/>
        </w:rPr>
      </w:pPr>
      <w:r w:rsidRPr="0001508F">
        <w:rPr>
          <w:b/>
          <w:szCs w:val="24"/>
        </w:rPr>
        <w:t>PERMIT.</w:t>
      </w:r>
      <w:r w:rsidRPr="0001508F">
        <w:rPr>
          <w:b/>
          <w:bCs/>
          <w:w w:val="105"/>
          <w:szCs w:val="24"/>
        </w:rPr>
        <w:t xml:space="preserve"> </w:t>
      </w:r>
    </w:p>
    <w:p w14:paraId="1D67AAF3" w14:textId="77777777" w:rsidR="0001508F" w:rsidRPr="0001508F" w:rsidRDefault="0001508F" w:rsidP="0001508F">
      <w:pPr>
        <w:suppressAutoHyphens/>
        <w:spacing w:after="240"/>
        <w:ind w:left="360"/>
        <w:rPr>
          <w:spacing w:val="3"/>
          <w:szCs w:val="24"/>
        </w:rPr>
      </w:pPr>
      <w:r w:rsidRPr="0001508F">
        <w:rPr>
          <w:b/>
          <w:szCs w:val="24"/>
        </w:rPr>
        <w:t xml:space="preserve">PERSON. </w:t>
      </w:r>
    </w:p>
    <w:p w14:paraId="2D15E453" w14:textId="77777777" w:rsidR="0001508F" w:rsidRPr="0001508F" w:rsidRDefault="0001508F" w:rsidP="0001508F">
      <w:pPr>
        <w:suppressAutoHyphens/>
        <w:spacing w:after="240"/>
        <w:ind w:left="360"/>
        <w:rPr>
          <w:spacing w:val="11"/>
          <w:szCs w:val="24"/>
        </w:rPr>
      </w:pPr>
      <w:r w:rsidRPr="0001508F">
        <w:rPr>
          <w:b/>
          <w:szCs w:val="24"/>
        </w:rPr>
        <w:t>PREMISES</w:t>
      </w:r>
      <w:r w:rsidRPr="0001508F">
        <w:rPr>
          <w:b/>
          <w:bCs/>
          <w:spacing w:val="11"/>
          <w:w w:val="105"/>
          <w:szCs w:val="24"/>
        </w:rPr>
        <w:t xml:space="preserve">. </w:t>
      </w:r>
    </w:p>
    <w:p w14:paraId="3BE518E6" w14:textId="77777777" w:rsidR="0001508F" w:rsidRPr="0001508F" w:rsidRDefault="0001508F" w:rsidP="0001508F">
      <w:pPr>
        <w:suppressAutoHyphens/>
        <w:spacing w:after="240"/>
        <w:ind w:left="360"/>
        <w:rPr>
          <w:szCs w:val="24"/>
        </w:rPr>
      </w:pPr>
      <w:r w:rsidRPr="0001508F">
        <w:rPr>
          <w:b/>
          <w:szCs w:val="24"/>
        </w:rPr>
        <w:t xml:space="preserve">PRIOR CODE BUILDING </w:t>
      </w:r>
      <w:r w:rsidRPr="0001508F">
        <w:rPr>
          <w:b/>
          <w:szCs w:val="24"/>
          <w:u w:val="single"/>
        </w:rPr>
        <w:t>OR STRUCTURE</w:t>
      </w:r>
      <w:r w:rsidRPr="0001508F">
        <w:rPr>
          <w:b/>
          <w:szCs w:val="24"/>
        </w:rPr>
        <w:t xml:space="preserve">. </w:t>
      </w:r>
    </w:p>
    <w:p w14:paraId="5EF8F3BD" w14:textId="77777777" w:rsidR="0001508F" w:rsidRPr="0001508F" w:rsidRDefault="0001508F" w:rsidP="0001508F">
      <w:pPr>
        <w:suppressAutoHyphens/>
        <w:spacing w:after="240"/>
        <w:ind w:left="360"/>
        <w:jc w:val="left"/>
        <w:rPr>
          <w:spacing w:val="2"/>
          <w:szCs w:val="24"/>
        </w:rPr>
      </w:pPr>
      <w:r w:rsidRPr="0001508F">
        <w:rPr>
          <w:b/>
          <w:szCs w:val="24"/>
        </w:rPr>
        <w:t>PROFESSIONAL CERTIFICATION.</w:t>
      </w:r>
      <w:r w:rsidRPr="0001508F">
        <w:rPr>
          <w:b/>
          <w:bCs/>
          <w:spacing w:val="-4"/>
          <w:w w:val="105"/>
          <w:szCs w:val="24"/>
        </w:rPr>
        <w:t xml:space="preserve"> </w:t>
      </w:r>
    </w:p>
    <w:p w14:paraId="0FAB7EBE" w14:textId="77777777" w:rsidR="0001508F" w:rsidRPr="0001508F" w:rsidRDefault="0001508F" w:rsidP="0001508F">
      <w:pPr>
        <w:suppressAutoHyphens/>
        <w:spacing w:after="240"/>
        <w:ind w:left="360"/>
        <w:jc w:val="left"/>
        <w:rPr>
          <w:szCs w:val="24"/>
        </w:rPr>
      </w:pPr>
      <w:r w:rsidRPr="0001508F">
        <w:rPr>
          <w:b/>
          <w:szCs w:val="24"/>
        </w:rPr>
        <w:t>PROGRESS INSPECTION.</w:t>
      </w:r>
      <w:r w:rsidRPr="0001508F">
        <w:rPr>
          <w:szCs w:val="24"/>
        </w:rPr>
        <w:t xml:space="preserve"> </w:t>
      </w:r>
    </w:p>
    <w:p w14:paraId="4129F3C6" w14:textId="77777777" w:rsidR="0001508F" w:rsidRPr="0001508F" w:rsidRDefault="0001508F" w:rsidP="0001508F">
      <w:pPr>
        <w:suppressAutoHyphens/>
        <w:spacing w:after="240"/>
        <w:ind w:left="360"/>
        <w:jc w:val="left"/>
        <w:rPr>
          <w:szCs w:val="24"/>
        </w:rPr>
      </w:pPr>
      <w:r w:rsidRPr="0001508F">
        <w:rPr>
          <w:b/>
          <w:szCs w:val="24"/>
        </w:rPr>
        <w:t>PROJECT.</w:t>
      </w:r>
      <w:r w:rsidRPr="0001508F">
        <w:rPr>
          <w:szCs w:val="24"/>
        </w:rPr>
        <w:t xml:space="preserve"> </w:t>
      </w:r>
    </w:p>
    <w:p w14:paraId="0179C7FA" w14:textId="77777777" w:rsidR="0001508F" w:rsidRPr="0001508F" w:rsidRDefault="0001508F" w:rsidP="0001508F">
      <w:pPr>
        <w:suppressAutoHyphens/>
        <w:spacing w:after="240"/>
        <w:ind w:left="360"/>
        <w:jc w:val="left"/>
        <w:rPr>
          <w:spacing w:val="-2"/>
          <w:szCs w:val="24"/>
        </w:rPr>
      </w:pPr>
      <w:r w:rsidRPr="0001508F">
        <w:rPr>
          <w:b/>
          <w:szCs w:val="24"/>
        </w:rPr>
        <w:t>REGISTERED DESIGN PROFESSIONAL.</w:t>
      </w:r>
      <w:r w:rsidRPr="0001508F">
        <w:rPr>
          <w:b/>
          <w:bCs/>
          <w:spacing w:val="-2"/>
          <w:w w:val="105"/>
          <w:szCs w:val="24"/>
        </w:rPr>
        <w:t xml:space="preserve"> </w:t>
      </w:r>
    </w:p>
    <w:p w14:paraId="37F97B84" w14:textId="77777777" w:rsidR="0001508F" w:rsidRPr="0001508F" w:rsidRDefault="0001508F" w:rsidP="0001508F">
      <w:pPr>
        <w:suppressAutoHyphens/>
        <w:spacing w:after="240"/>
        <w:ind w:left="360"/>
        <w:jc w:val="left"/>
        <w:rPr>
          <w:spacing w:val="3"/>
          <w:szCs w:val="24"/>
        </w:rPr>
      </w:pPr>
      <w:r w:rsidRPr="0001508F">
        <w:rPr>
          <w:b/>
          <w:szCs w:val="24"/>
        </w:rPr>
        <w:t xml:space="preserve">REGISTERED DESIGN PROFESSIONAL OF RECORD. </w:t>
      </w:r>
    </w:p>
    <w:p w14:paraId="79044B8C" w14:textId="77777777" w:rsidR="0001508F" w:rsidRPr="0001508F" w:rsidRDefault="0001508F" w:rsidP="0001508F">
      <w:pPr>
        <w:suppressAutoHyphens/>
        <w:spacing w:after="240"/>
        <w:ind w:left="360"/>
        <w:jc w:val="left"/>
        <w:rPr>
          <w:spacing w:val="3"/>
          <w:szCs w:val="24"/>
        </w:rPr>
      </w:pPr>
      <w:r w:rsidRPr="0001508F">
        <w:rPr>
          <w:b/>
          <w:szCs w:val="24"/>
        </w:rPr>
        <w:t>REQUIRED.</w:t>
      </w:r>
      <w:r w:rsidRPr="0001508F">
        <w:rPr>
          <w:b/>
          <w:bCs/>
          <w:spacing w:val="3"/>
          <w:w w:val="105"/>
          <w:szCs w:val="24"/>
        </w:rPr>
        <w:t xml:space="preserve"> </w:t>
      </w:r>
    </w:p>
    <w:p w14:paraId="34D321F0" w14:textId="77777777" w:rsidR="0001508F" w:rsidRPr="0001508F" w:rsidRDefault="0001508F" w:rsidP="0001508F">
      <w:pPr>
        <w:suppressAutoHyphens/>
        <w:spacing w:after="240"/>
        <w:ind w:left="360"/>
        <w:jc w:val="left"/>
        <w:rPr>
          <w:szCs w:val="24"/>
        </w:rPr>
      </w:pPr>
      <w:r w:rsidRPr="0001508F">
        <w:rPr>
          <w:b/>
          <w:szCs w:val="24"/>
        </w:rPr>
        <w:t>RETAINING WALL.</w:t>
      </w:r>
      <w:r w:rsidRPr="0001508F">
        <w:rPr>
          <w:b/>
          <w:bCs/>
          <w:w w:val="105"/>
          <w:szCs w:val="24"/>
        </w:rPr>
        <w:t xml:space="preserve"> </w:t>
      </w:r>
    </w:p>
    <w:p w14:paraId="22C9B334" w14:textId="77777777" w:rsidR="0001508F" w:rsidRPr="0001508F" w:rsidRDefault="0001508F" w:rsidP="0001508F">
      <w:pPr>
        <w:suppressAutoHyphens/>
        <w:spacing w:after="240"/>
        <w:ind w:left="360"/>
        <w:jc w:val="left"/>
        <w:rPr>
          <w:spacing w:val="3"/>
          <w:szCs w:val="24"/>
        </w:rPr>
      </w:pPr>
      <w:r w:rsidRPr="0001508F">
        <w:rPr>
          <w:b/>
          <w:szCs w:val="24"/>
        </w:rPr>
        <w:t>SERVICE EQUIPMENT.</w:t>
      </w:r>
      <w:r w:rsidRPr="0001508F">
        <w:rPr>
          <w:b/>
          <w:bCs/>
          <w:w w:val="105"/>
          <w:szCs w:val="24"/>
        </w:rPr>
        <w:t xml:space="preserve"> </w:t>
      </w:r>
    </w:p>
    <w:p w14:paraId="2EECA284" w14:textId="77777777" w:rsidR="0001508F" w:rsidRPr="0001508F" w:rsidRDefault="0001508F" w:rsidP="0001508F">
      <w:pPr>
        <w:suppressAutoHyphens/>
        <w:spacing w:after="240"/>
        <w:ind w:left="360"/>
        <w:jc w:val="left"/>
        <w:rPr>
          <w:spacing w:val="1"/>
          <w:szCs w:val="24"/>
        </w:rPr>
      </w:pPr>
      <w:r w:rsidRPr="0001508F">
        <w:rPr>
          <w:b/>
          <w:szCs w:val="24"/>
        </w:rPr>
        <w:t xml:space="preserve">SIGN-OFF. </w:t>
      </w:r>
    </w:p>
    <w:p w14:paraId="47236683" w14:textId="77777777" w:rsidR="0001508F" w:rsidRPr="0001508F" w:rsidRDefault="0001508F" w:rsidP="0001508F">
      <w:pPr>
        <w:suppressAutoHyphens/>
        <w:spacing w:after="240"/>
        <w:ind w:left="360"/>
        <w:jc w:val="left"/>
        <w:rPr>
          <w:b/>
          <w:szCs w:val="24"/>
        </w:rPr>
      </w:pPr>
      <w:r w:rsidRPr="0001508F">
        <w:rPr>
          <w:b/>
          <w:szCs w:val="24"/>
        </w:rPr>
        <w:t>SINGLE ROOM OCCUPANCY MULTIPLE DWELLING</w:t>
      </w:r>
      <w:r w:rsidRPr="0001508F">
        <w:rPr>
          <w:b/>
          <w:bCs/>
          <w:spacing w:val="2"/>
          <w:w w:val="105"/>
          <w:szCs w:val="24"/>
        </w:rPr>
        <w:t xml:space="preserve">. </w:t>
      </w:r>
    </w:p>
    <w:p w14:paraId="34209126" w14:textId="77777777" w:rsidR="0001508F" w:rsidRPr="0001508F" w:rsidRDefault="0001508F" w:rsidP="0001508F">
      <w:pPr>
        <w:suppressAutoHyphens/>
        <w:spacing w:after="240"/>
        <w:ind w:left="360"/>
        <w:jc w:val="left"/>
        <w:rPr>
          <w:spacing w:val="1"/>
          <w:szCs w:val="24"/>
        </w:rPr>
      </w:pPr>
      <w:r w:rsidRPr="0001508F">
        <w:rPr>
          <w:b/>
          <w:szCs w:val="24"/>
        </w:rPr>
        <w:t xml:space="preserve">SPECIAL INSPECTION. </w:t>
      </w:r>
    </w:p>
    <w:p w14:paraId="606D2550" w14:textId="77777777" w:rsidR="0001508F" w:rsidRPr="0001508F" w:rsidRDefault="0001508F" w:rsidP="0001508F">
      <w:pPr>
        <w:suppressAutoHyphens/>
        <w:spacing w:after="240"/>
        <w:ind w:left="360"/>
        <w:jc w:val="left"/>
        <w:rPr>
          <w:szCs w:val="24"/>
        </w:rPr>
      </w:pPr>
      <w:r w:rsidRPr="0001508F">
        <w:rPr>
          <w:b/>
          <w:szCs w:val="24"/>
        </w:rPr>
        <w:t>SPECIAL INSPECTION AGENCY.</w:t>
      </w:r>
      <w:r w:rsidRPr="0001508F">
        <w:rPr>
          <w:szCs w:val="24"/>
        </w:rPr>
        <w:t xml:space="preserve"> </w:t>
      </w:r>
    </w:p>
    <w:p w14:paraId="563D44FA" w14:textId="77777777" w:rsidR="0001508F" w:rsidRPr="0001508F" w:rsidRDefault="0001508F" w:rsidP="0001508F">
      <w:pPr>
        <w:suppressAutoHyphens/>
        <w:spacing w:after="240"/>
        <w:ind w:left="360"/>
        <w:jc w:val="left"/>
        <w:rPr>
          <w:spacing w:val="3"/>
          <w:szCs w:val="24"/>
        </w:rPr>
      </w:pPr>
      <w:r w:rsidRPr="0001508F">
        <w:rPr>
          <w:b/>
          <w:szCs w:val="24"/>
        </w:rPr>
        <w:t>SPECIAL INSPECTOR.</w:t>
      </w:r>
      <w:r w:rsidRPr="0001508F">
        <w:rPr>
          <w:b/>
          <w:bCs/>
          <w:spacing w:val="2"/>
          <w:w w:val="105"/>
          <w:szCs w:val="24"/>
        </w:rPr>
        <w:t xml:space="preserve"> </w:t>
      </w:r>
    </w:p>
    <w:p w14:paraId="078C1FA3" w14:textId="77777777" w:rsidR="0001508F" w:rsidRPr="0001508F" w:rsidRDefault="0001508F" w:rsidP="0001508F">
      <w:pPr>
        <w:suppressAutoHyphens/>
        <w:spacing w:after="240"/>
        <w:ind w:left="360"/>
        <w:jc w:val="left"/>
        <w:rPr>
          <w:spacing w:val="3"/>
          <w:szCs w:val="24"/>
        </w:rPr>
      </w:pPr>
      <w:r w:rsidRPr="0001508F">
        <w:rPr>
          <w:b/>
          <w:szCs w:val="24"/>
        </w:rPr>
        <w:t>STRUCTURE.</w:t>
      </w:r>
      <w:r w:rsidRPr="0001508F">
        <w:rPr>
          <w:b/>
          <w:bCs/>
          <w:spacing w:val="-1"/>
          <w:w w:val="105"/>
          <w:szCs w:val="24"/>
        </w:rPr>
        <w:t xml:space="preserve"> </w:t>
      </w:r>
    </w:p>
    <w:p w14:paraId="25A66A83" w14:textId="77777777" w:rsidR="0001508F" w:rsidRPr="0001508F" w:rsidRDefault="0001508F" w:rsidP="0001508F">
      <w:pPr>
        <w:suppressAutoHyphens/>
        <w:spacing w:after="240"/>
        <w:ind w:left="360"/>
        <w:jc w:val="left"/>
        <w:rPr>
          <w:spacing w:val="2"/>
          <w:szCs w:val="24"/>
        </w:rPr>
      </w:pPr>
      <w:r w:rsidRPr="0001508F">
        <w:rPr>
          <w:b/>
          <w:szCs w:val="24"/>
        </w:rPr>
        <w:t xml:space="preserve">SUBMITTAL DOCUMENTS. </w:t>
      </w:r>
    </w:p>
    <w:p w14:paraId="7C50E333" w14:textId="77777777" w:rsidR="0001508F" w:rsidRPr="0001508F" w:rsidRDefault="0001508F" w:rsidP="0001508F">
      <w:pPr>
        <w:suppressAutoHyphens/>
        <w:spacing w:after="240"/>
        <w:ind w:left="360"/>
        <w:jc w:val="left"/>
        <w:rPr>
          <w:szCs w:val="24"/>
        </w:rPr>
      </w:pPr>
      <w:r w:rsidRPr="0001508F">
        <w:rPr>
          <w:b/>
          <w:szCs w:val="24"/>
        </w:rPr>
        <w:t>SUPERINTENDENT OF CONSTRUCTION (CONSTRUCTION SUPERINTENDENT).</w:t>
      </w:r>
      <w:r w:rsidRPr="0001508F">
        <w:rPr>
          <w:szCs w:val="24"/>
        </w:rPr>
        <w:t xml:space="preserve"> </w:t>
      </w:r>
    </w:p>
    <w:p w14:paraId="462923E6" w14:textId="77777777" w:rsidR="0001508F" w:rsidRPr="0001508F" w:rsidRDefault="0001508F" w:rsidP="0001508F">
      <w:pPr>
        <w:suppressAutoHyphens/>
        <w:spacing w:after="240"/>
        <w:ind w:left="360"/>
        <w:jc w:val="left"/>
        <w:rPr>
          <w:spacing w:val="3"/>
          <w:szCs w:val="24"/>
        </w:rPr>
      </w:pPr>
      <w:r w:rsidRPr="0001508F">
        <w:rPr>
          <w:b/>
          <w:szCs w:val="24"/>
        </w:rPr>
        <w:t>USE (USED).</w:t>
      </w:r>
      <w:r w:rsidRPr="0001508F">
        <w:rPr>
          <w:b/>
          <w:bCs/>
          <w:spacing w:val="-1"/>
          <w:w w:val="105"/>
          <w:szCs w:val="24"/>
        </w:rPr>
        <w:t xml:space="preserve"> </w:t>
      </w:r>
    </w:p>
    <w:p w14:paraId="3352F883" w14:textId="77777777" w:rsidR="0001508F" w:rsidRPr="0001508F" w:rsidRDefault="0001508F" w:rsidP="0001508F">
      <w:pPr>
        <w:suppressAutoHyphens/>
        <w:spacing w:after="240"/>
        <w:ind w:left="360"/>
        <w:jc w:val="left"/>
        <w:rPr>
          <w:szCs w:val="24"/>
        </w:rPr>
      </w:pPr>
      <w:r w:rsidRPr="0001508F">
        <w:rPr>
          <w:b/>
          <w:szCs w:val="24"/>
        </w:rPr>
        <w:t xml:space="preserve">UTILITY COMPANY OR PUBLIC UTILITY COMPANY. </w:t>
      </w:r>
    </w:p>
    <w:p w14:paraId="111477C9" w14:textId="77777777" w:rsidR="0001508F" w:rsidRPr="0001508F" w:rsidRDefault="0001508F" w:rsidP="0001508F">
      <w:pPr>
        <w:suppressAutoHyphens/>
        <w:spacing w:after="240"/>
        <w:ind w:left="360"/>
        <w:jc w:val="left"/>
        <w:rPr>
          <w:szCs w:val="24"/>
        </w:rPr>
      </w:pPr>
      <w:r w:rsidRPr="0001508F">
        <w:rPr>
          <w:b/>
          <w:szCs w:val="24"/>
        </w:rPr>
        <w:t xml:space="preserve">UTILITY CORPORATION OR PUBLIC UTILITY CORPORATION. </w:t>
      </w:r>
    </w:p>
    <w:p w14:paraId="5944045A" w14:textId="77777777" w:rsidR="0001508F" w:rsidRPr="0001508F" w:rsidRDefault="0001508F" w:rsidP="0001508F">
      <w:pPr>
        <w:suppressAutoHyphens/>
        <w:spacing w:after="240"/>
        <w:ind w:left="360"/>
        <w:jc w:val="left"/>
        <w:rPr>
          <w:b/>
          <w:bCs/>
          <w:spacing w:val="-11"/>
          <w:w w:val="105"/>
          <w:szCs w:val="24"/>
        </w:rPr>
      </w:pPr>
      <w:r w:rsidRPr="0001508F">
        <w:rPr>
          <w:b/>
          <w:szCs w:val="24"/>
        </w:rPr>
        <w:t>[WORK NOT CONSTITUTING MINOR ALTERATIONS OR ORDINARY REPAIRS.]</w:t>
      </w:r>
      <w:r w:rsidRPr="0001508F">
        <w:rPr>
          <w:b/>
          <w:bCs/>
          <w:spacing w:val="-1"/>
          <w:w w:val="105"/>
          <w:szCs w:val="24"/>
        </w:rPr>
        <w:t xml:space="preserve"> </w:t>
      </w:r>
    </w:p>
    <w:p w14:paraId="2167E297" w14:textId="77777777" w:rsidR="0001508F" w:rsidRPr="0001508F" w:rsidRDefault="0001508F" w:rsidP="0001508F">
      <w:pPr>
        <w:suppressAutoHyphens/>
        <w:spacing w:after="240"/>
        <w:ind w:left="360"/>
        <w:jc w:val="left"/>
        <w:rPr>
          <w:spacing w:val="2"/>
          <w:szCs w:val="24"/>
        </w:rPr>
      </w:pPr>
      <w:r w:rsidRPr="0001508F">
        <w:rPr>
          <w:b/>
          <w:szCs w:val="24"/>
        </w:rPr>
        <w:t>WRITING (WRITTEN).</w:t>
      </w:r>
      <w:r w:rsidRPr="0001508F">
        <w:rPr>
          <w:b/>
          <w:bCs/>
          <w:w w:val="110"/>
          <w:szCs w:val="24"/>
        </w:rPr>
        <w:t xml:space="preserve"> </w:t>
      </w:r>
    </w:p>
    <w:p w14:paraId="296C71EE" w14:textId="77777777" w:rsidR="0001508F" w:rsidRPr="0001508F" w:rsidRDefault="0001508F" w:rsidP="0001508F">
      <w:pPr>
        <w:suppressAutoHyphens/>
        <w:spacing w:after="240"/>
        <w:ind w:left="360"/>
        <w:jc w:val="left"/>
        <w:rPr>
          <w:szCs w:val="24"/>
        </w:rPr>
      </w:pPr>
      <w:r w:rsidRPr="0001508F">
        <w:rPr>
          <w:b/>
          <w:szCs w:val="24"/>
        </w:rPr>
        <w:t>WRITTEN NOTICE.</w:t>
      </w:r>
      <w:r w:rsidRPr="0001508F">
        <w:rPr>
          <w:b/>
          <w:bCs/>
          <w:spacing w:val="-3"/>
          <w:w w:val="110"/>
          <w:szCs w:val="24"/>
        </w:rPr>
        <w:t xml:space="preserve"> </w:t>
      </w:r>
    </w:p>
    <w:p w14:paraId="405B7E58" w14:textId="77777777" w:rsidR="0001508F" w:rsidRPr="0001508F" w:rsidRDefault="0001508F" w:rsidP="0001508F">
      <w:pPr>
        <w:suppressAutoHyphens/>
        <w:spacing w:after="240"/>
        <w:ind w:left="360"/>
        <w:rPr>
          <w:spacing w:val="3"/>
          <w:szCs w:val="24"/>
        </w:rPr>
      </w:pPr>
      <w:r w:rsidRPr="0001508F">
        <w:rPr>
          <w:b/>
          <w:szCs w:val="24"/>
        </w:rPr>
        <w:t xml:space="preserve">ZONING RESOLUTION. </w:t>
      </w:r>
    </w:p>
    <w:p w14:paraId="110AC95E" w14:textId="77777777" w:rsidR="0001508F" w:rsidRPr="0001508F" w:rsidRDefault="0001508F" w:rsidP="0001508F">
      <w:pPr>
        <w:widowControl w:val="0"/>
        <w:spacing w:before="120" w:after="120" w:line="480" w:lineRule="auto"/>
        <w:ind w:firstLine="720"/>
        <w:rPr>
          <w:rFonts w:eastAsia="SimSun"/>
          <w:szCs w:val="24"/>
        </w:rPr>
      </w:pPr>
      <w:r w:rsidRPr="0001508F">
        <w:rPr>
          <w:bCs/>
          <w:szCs w:val="24"/>
        </w:rPr>
        <w:t>§ 122. Section 301.14 of the New York city mechanical code, as amended by local law number 126 for the year 2021, is amended to read as follows:</w:t>
      </w:r>
    </w:p>
    <w:p w14:paraId="65DBD4FE" w14:textId="77777777" w:rsidR="0001508F" w:rsidRPr="0001508F" w:rsidRDefault="0001508F" w:rsidP="0001508F">
      <w:pPr>
        <w:widowControl w:val="0"/>
        <w:spacing w:before="120" w:after="120"/>
        <w:rPr>
          <w:b/>
          <w:bCs/>
          <w:szCs w:val="24"/>
        </w:rPr>
      </w:pPr>
      <w:r w:rsidRPr="0001508F">
        <w:rPr>
          <w:b/>
          <w:bCs/>
          <w:szCs w:val="24"/>
        </w:rPr>
        <w:t>301.14 Repair.</w:t>
      </w:r>
      <w:r w:rsidRPr="0001508F">
        <w:rPr>
          <w:bCs/>
          <w:spacing w:val="-5"/>
          <w:w w:val="110"/>
          <w:szCs w:val="24"/>
        </w:rPr>
        <w:t xml:space="preserve"> </w:t>
      </w:r>
      <w:r w:rsidRPr="0001508F">
        <w:rPr>
          <w:bCs/>
          <w:szCs w:val="24"/>
        </w:rPr>
        <w:t xml:space="preserve">Defective material or parts shall be replaced or repaired in such a manner so as to preserve the original approval or listing </w:t>
      </w:r>
      <w:r w:rsidRPr="0001508F">
        <w:rPr>
          <w:bCs/>
          <w:szCs w:val="24"/>
          <w:u w:val="single"/>
        </w:rPr>
        <w:t xml:space="preserve">and to be in compliance with the </w:t>
      </w:r>
      <w:r w:rsidRPr="0001508F">
        <w:rPr>
          <w:bCs/>
          <w:i/>
          <w:iCs/>
          <w:szCs w:val="24"/>
          <w:u w:val="single"/>
        </w:rPr>
        <w:t>New York City Existing Building Code</w:t>
      </w:r>
      <w:r w:rsidRPr="0001508F">
        <w:rPr>
          <w:bCs/>
          <w:szCs w:val="24"/>
        </w:rPr>
        <w:t>.</w:t>
      </w:r>
    </w:p>
    <w:p w14:paraId="3D86F6CE" w14:textId="77777777" w:rsidR="0001508F" w:rsidRPr="0001508F" w:rsidRDefault="0001508F" w:rsidP="0001508F">
      <w:pPr>
        <w:widowControl w:val="0"/>
        <w:spacing w:before="120" w:after="120" w:line="480" w:lineRule="auto"/>
        <w:ind w:firstLine="720"/>
        <w:rPr>
          <w:rFonts w:eastAsia="SimSun"/>
          <w:szCs w:val="24"/>
        </w:rPr>
      </w:pPr>
      <w:r w:rsidRPr="0001508F">
        <w:rPr>
          <w:bCs/>
          <w:szCs w:val="24"/>
        </w:rPr>
        <w:t>§ 123. Section 301.18 of the New York city mechanical code, as amended by local law number 126 for the year 2021, is amended to read as follows:</w:t>
      </w:r>
    </w:p>
    <w:p w14:paraId="7DB71134" w14:textId="77777777" w:rsidR="0001508F" w:rsidRPr="0001508F" w:rsidRDefault="0001508F" w:rsidP="0001508F">
      <w:pPr>
        <w:widowControl w:val="0"/>
        <w:spacing w:before="120" w:after="120"/>
        <w:rPr>
          <w:szCs w:val="24"/>
        </w:rPr>
      </w:pPr>
    </w:p>
    <w:p w14:paraId="731BE5F5" w14:textId="77777777" w:rsidR="0001508F" w:rsidRPr="0001508F" w:rsidRDefault="0001508F" w:rsidP="0001508F">
      <w:pPr>
        <w:widowControl w:val="0"/>
        <w:spacing w:before="120" w:after="120"/>
        <w:rPr>
          <w:b/>
          <w:bCs/>
          <w:szCs w:val="24"/>
        </w:rPr>
      </w:pPr>
      <w:r w:rsidRPr="0001508F">
        <w:rPr>
          <w:b/>
          <w:bCs/>
          <w:szCs w:val="24"/>
        </w:rPr>
        <w:t>301.18 Seismic resistance.</w:t>
      </w:r>
      <w:r w:rsidRPr="0001508F">
        <w:rPr>
          <w:spacing w:val="-3"/>
          <w:w w:val="110"/>
          <w:szCs w:val="24"/>
        </w:rPr>
        <w:t xml:space="preserve"> </w:t>
      </w:r>
      <w:r w:rsidRPr="0001508F">
        <w:rPr>
          <w:szCs w:val="24"/>
        </w:rPr>
        <w:t xml:space="preserve">Where earthquake loads are </w:t>
      </w:r>
      <w:r w:rsidRPr="0001508F">
        <w:rPr>
          <w:spacing w:val="1"/>
          <w:szCs w:val="24"/>
        </w:rPr>
        <w:t>applicable</w:t>
      </w:r>
      <w:r w:rsidRPr="0001508F">
        <w:rPr>
          <w:szCs w:val="24"/>
        </w:rPr>
        <w:t xml:space="preserve"> in accordance with the </w:t>
      </w:r>
      <w:r w:rsidRPr="0001508F">
        <w:rPr>
          <w:i/>
          <w:iCs/>
          <w:spacing w:val="1"/>
          <w:szCs w:val="24"/>
        </w:rPr>
        <w:t xml:space="preserve">New York City </w:t>
      </w:r>
      <w:r w:rsidRPr="0001508F">
        <w:rPr>
          <w:i/>
          <w:iCs/>
          <w:szCs w:val="24"/>
        </w:rPr>
        <w:t>Building Code</w:t>
      </w:r>
      <w:r w:rsidRPr="0001508F">
        <w:rPr>
          <w:szCs w:val="24"/>
        </w:rPr>
        <w:t xml:space="preserve">, mechanical system supports shall be designed and installed for the seismic forces in accordance with the </w:t>
      </w:r>
      <w:r w:rsidRPr="0001508F">
        <w:rPr>
          <w:i/>
          <w:iCs/>
          <w:spacing w:val="1"/>
          <w:szCs w:val="24"/>
        </w:rPr>
        <w:t xml:space="preserve">New York City </w:t>
      </w:r>
      <w:r w:rsidRPr="0001508F">
        <w:rPr>
          <w:i/>
          <w:iCs/>
          <w:szCs w:val="24"/>
        </w:rPr>
        <w:t>Building Code</w:t>
      </w:r>
      <w:r w:rsidRPr="0001508F">
        <w:rPr>
          <w:szCs w:val="24"/>
        </w:rPr>
        <w:t>.</w:t>
      </w:r>
    </w:p>
    <w:p w14:paraId="1051E1C4" w14:textId="77777777" w:rsidR="0001508F" w:rsidRPr="0001508F" w:rsidRDefault="0001508F" w:rsidP="0001508F">
      <w:pPr>
        <w:widowControl w:val="0"/>
        <w:autoSpaceDE w:val="0"/>
        <w:autoSpaceDN w:val="0"/>
        <w:adjustRightInd w:val="0"/>
        <w:spacing w:before="120" w:after="120"/>
        <w:ind w:left="360"/>
        <w:rPr>
          <w:szCs w:val="24"/>
          <w:u w:val="single"/>
        </w:rPr>
      </w:pPr>
      <w:r w:rsidRPr="0001508F">
        <w:rPr>
          <w:b/>
          <w:szCs w:val="24"/>
          <w:u w:val="single"/>
        </w:rPr>
        <w:t xml:space="preserve">Exception. </w:t>
      </w:r>
      <w:r w:rsidRPr="0001508F">
        <w:rPr>
          <w:szCs w:val="24"/>
          <w:u w:val="single"/>
        </w:rPr>
        <w:t xml:space="preserve">For existing buildings, refer to Section 307.2.1 of the </w:t>
      </w:r>
      <w:r w:rsidRPr="0001508F">
        <w:rPr>
          <w:i/>
          <w:iCs/>
          <w:szCs w:val="24"/>
          <w:u w:val="single"/>
        </w:rPr>
        <w:t>New York City Existing Building Code</w:t>
      </w:r>
      <w:r w:rsidRPr="0001508F">
        <w:rPr>
          <w:szCs w:val="24"/>
          <w:u w:val="single"/>
        </w:rPr>
        <w:t>.</w:t>
      </w:r>
    </w:p>
    <w:p w14:paraId="304ED620" w14:textId="77777777" w:rsidR="0001508F" w:rsidRPr="0001508F" w:rsidRDefault="0001508F" w:rsidP="0001508F">
      <w:pPr>
        <w:widowControl w:val="0"/>
        <w:spacing w:before="120" w:after="120" w:line="480" w:lineRule="auto"/>
        <w:ind w:firstLine="720"/>
        <w:rPr>
          <w:rFonts w:eastAsia="SimSun"/>
          <w:szCs w:val="24"/>
        </w:rPr>
      </w:pPr>
      <w:bookmarkStart w:id="305" w:name="_Toc388541310"/>
      <w:r w:rsidRPr="0001508F">
        <w:rPr>
          <w:bCs/>
          <w:szCs w:val="24"/>
        </w:rPr>
        <w:t>§ 124. Section 302.1.1 of the New York city mechanical code, as added by local law number 126 for the year 2021, is amended to read as follows:</w:t>
      </w:r>
    </w:p>
    <w:bookmarkEnd w:id="305"/>
    <w:p w14:paraId="5B794CC2" w14:textId="77777777" w:rsidR="0001508F" w:rsidRPr="0001508F" w:rsidRDefault="0001508F" w:rsidP="0001508F">
      <w:pPr>
        <w:widowControl w:val="0"/>
        <w:spacing w:before="120" w:after="120"/>
        <w:ind w:left="360"/>
        <w:rPr>
          <w:b/>
          <w:bCs/>
          <w:szCs w:val="24"/>
        </w:rPr>
      </w:pPr>
      <w:r w:rsidRPr="0001508F">
        <w:rPr>
          <w:b/>
          <w:bCs/>
          <w:szCs w:val="24"/>
        </w:rPr>
        <w:t xml:space="preserve">302.1.1 Loading. </w:t>
      </w:r>
      <w:r w:rsidRPr="0001508F">
        <w:rPr>
          <w:bCs/>
          <w:szCs w:val="24"/>
        </w:rPr>
        <w:t>[</w:t>
      </w:r>
      <w:r w:rsidRPr="0001508F">
        <w:rPr>
          <w:bCs/>
          <w:strike/>
          <w:szCs w:val="24"/>
        </w:rPr>
        <w:t>Alterations resulting in the addition of loads to any member</w:t>
      </w:r>
      <w:r w:rsidRPr="0001508F">
        <w:rPr>
          <w:bCs/>
          <w:strike/>
          <w:spacing w:val="1"/>
          <w:szCs w:val="24"/>
        </w:rPr>
        <w:t>,</w:t>
      </w:r>
      <w:r w:rsidRPr="0001508F">
        <w:rPr>
          <w:bCs/>
          <w:strike/>
          <w:szCs w:val="24"/>
        </w:rPr>
        <w:t xml:space="preserve"> such as HVAC equipment and water heaters, shall not be permitted without verification that the members are capable of supporting such additional loading.</w:t>
      </w:r>
      <w:r w:rsidRPr="0001508F">
        <w:rPr>
          <w:bCs/>
          <w:szCs w:val="24"/>
        </w:rPr>
        <w:t xml:space="preserve">] </w:t>
      </w:r>
      <w:r w:rsidRPr="0001508F">
        <w:rPr>
          <w:bCs/>
          <w:szCs w:val="24"/>
          <w:u w:val="single"/>
        </w:rPr>
        <w:t xml:space="preserve">Refer to Section 307.2.3 of the </w:t>
      </w:r>
      <w:r w:rsidRPr="0001508F">
        <w:rPr>
          <w:bCs/>
          <w:i/>
          <w:iCs/>
          <w:szCs w:val="24"/>
          <w:u w:val="single"/>
        </w:rPr>
        <w:t>New York City Existing Building Code</w:t>
      </w:r>
      <w:r w:rsidRPr="0001508F">
        <w:rPr>
          <w:bCs/>
          <w:szCs w:val="24"/>
          <w:u w:val="single"/>
        </w:rPr>
        <w:t xml:space="preserve"> for modifications resulting in the addition of loads to any structural member in existing buildings or structures.</w:t>
      </w:r>
    </w:p>
    <w:p w14:paraId="5782A516" w14:textId="77777777" w:rsidR="0001508F" w:rsidRPr="0001508F" w:rsidRDefault="0001508F" w:rsidP="0001508F">
      <w:pPr>
        <w:widowControl w:val="0"/>
        <w:spacing w:before="120" w:after="120" w:line="480" w:lineRule="auto"/>
        <w:ind w:firstLine="720"/>
        <w:rPr>
          <w:rFonts w:eastAsia="SimSun"/>
          <w:szCs w:val="24"/>
        </w:rPr>
      </w:pPr>
      <w:r w:rsidRPr="0001508F">
        <w:rPr>
          <w:bCs/>
          <w:szCs w:val="24"/>
        </w:rPr>
        <w:t>§ 124. Section 304.11 of the New York city mechanical code, as amended by local law number 126 for the year 2021, is amended to read as follows:</w:t>
      </w:r>
    </w:p>
    <w:p w14:paraId="4A042B70" w14:textId="77777777" w:rsidR="0001508F" w:rsidRPr="0001508F" w:rsidRDefault="0001508F" w:rsidP="0001508F">
      <w:pPr>
        <w:rPr>
          <w:b/>
          <w:bCs/>
          <w:szCs w:val="24"/>
        </w:rPr>
      </w:pPr>
      <w:r w:rsidRPr="0001508F">
        <w:rPr>
          <w:rFonts w:ascii="Times" w:hAnsi="Times"/>
          <w:color w:val="000000"/>
          <w:sz w:val="27"/>
          <w:szCs w:val="27"/>
          <w:shd w:val="clear" w:color="auto" w:fill="FFFFFF"/>
        </w:rPr>
        <w:t xml:space="preserve">    </w:t>
      </w:r>
      <w:r w:rsidRPr="0001508F">
        <w:rPr>
          <w:b/>
          <w:bCs/>
          <w:color w:val="000000"/>
          <w:szCs w:val="24"/>
          <w:shd w:val="clear" w:color="auto" w:fill="FFFFFF"/>
        </w:rPr>
        <w:t>304.11 Guards.</w:t>
      </w:r>
      <w:r w:rsidRPr="0001508F">
        <w:rPr>
          <w:color w:val="000000"/>
          <w:szCs w:val="24"/>
          <w:shd w:val="clear" w:color="auto" w:fill="FFFFFF"/>
        </w:rPr>
        <w:t xml:space="preserve"> Guards shall be provided where appliances, equipment, fans or other components that require service and roof hatch openings are located within 10 feet (3048 mm) of a roof edge or open side of a walking surface and such edge or open side is located more than 30 inches (762 mm) above the floor, roof, or grade below. The guard shall extend not less than 30 inches (762 mm) beyond each end of such appliances, equipment fans, components and roof hatch openings and the top of the guard shall be located not less than 42 inches (1066.8 mm) above the elevated surface adjacent to the guard. The guard shall be constructed so as to prevent the passage of a 21-inch-diameter (533.4 mm) sphere and shall comply with the loading requirements for guards specified in the </w:t>
      </w:r>
      <w:r w:rsidRPr="0001508F">
        <w:rPr>
          <w:i/>
          <w:iCs/>
          <w:color w:val="000000"/>
          <w:szCs w:val="24"/>
          <w:shd w:val="clear" w:color="auto" w:fill="FFFFFF"/>
        </w:rPr>
        <w:t>New York City Building Code</w:t>
      </w:r>
      <w:r w:rsidRPr="0001508F">
        <w:rPr>
          <w:color w:val="000000"/>
          <w:szCs w:val="24"/>
          <w:shd w:val="clear" w:color="auto" w:fill="FFFFFF"/>
        </w:rPr>
        <w:t>.</w:t>
      </w:r>
    </w:p>
    <w:p w14:paraId="1D03377D" w14:textId="77777777" w:rsidR="0001508F" w:rsidRPr="0001508F" w:rsidRDefault="0001508F" w:rsidP="0001508F">
      <w:pPr>
        <w:widowControl w:val="0"/>
        <w:spacing w:before="120" w:after="120"/>
        <w:ind w:left="360"/>
        <w:rPr>
          <w:b/>
          <w:bCs/>
          <w:szCs w:val="24"/>
          <w:u w:val="single"/>
        </w:rPr>
      </w:pPr>
      <w:r w:rsidRPr="0001508F">
        <w:rPr>
          <w:b/>
          <w:bCs/>
          <w:szCs w:val="24"/>
          <w:u w:val="single"/>
        </w:rPr>
        <w:t xml:space="preserve">Exception: </w:t>
      </w:r>
      <w:r w:rsidRPr="0001508F">
        <w:rPr>
          <w:szCs w:val="24"/>
          <w:u w:val="single"/>
        </w:rPr>
        <w:t xml:space="preserve">The requirements of this section shall not apply to alterations or repairs to existing buildings in accordance with Section 309.2.2 of the </w:t>
      </w:r>
      <w:r w:rsidRPr="0001508F">
        <w:rPr>
          <w:i/>
          <w:iCs/>
          <w:szCs w:val="24"/>
          <w:u w:val="single"/>
        </w:rPr>
        <w:t>New York City Existing Building Code</w:t>
      </w:r>
      <w:r w:rsidRPr="0001508F">
        <w:rPr>
          <w:szCs w:val="24"/>
          <w:u w:val="single"/>
        </w:rPr>
        <w:t>.</w:t>
      </w:r>
    </w:p>
    <w:p w14:paraId="1F747B0C" w14:textId="77777777" w:rsidR="0001508F" w:rsidRPr="0001508F" w:rsidRDefault="0001508F" w:rsidP="0001508F">
      <w:pPr>
        <w:widowControl w:val="0"/>
        <w:spacing w:before="120" w:after="120" w:line="480" w:lineRule="auto"/>
        <w:ind w:firstLine="720"/>
        <w:rPr>
          <w:rFonts w:eastAsia="SimSun"/>
          <w:szCs w:val="24"/>
        </w:rPr>
      </w:pPr>
      <w:r w:rsidRPr="0001508F">
        <w:rPr>
          <w:bCs/>
          <w:szCs w:val="24"/>
        </w:rPr>
        <w:t>§ 125. Section 306.5 of the New York city mechanical code, as amended by local law number 126 for the year 2021, is amended to read as follows:</w:t>
      </w:r>
    </w:p>
    <w:p w14:paraId="52A13D85" w14:textId="77777777" w:rsidR="0001508F" w:rsidRPr="0001508F" w:rsidRDefault="0001508F" w:rsidP="0001508F">
      <w:pPr>
        <w:spacing w:before="100" w:beforeAutospacing="1" w:after="100" w:afterAutospacing="1"/>
        <w:jc w:val="left"/>
        <w:rPr>
          <w:color w:val="000000"/>
          <w:szCs w:val="24"/>
        </w:rPr>
      </w:pPr>
      <w:r w:rsidRPr="0001508F">
        <w:rPr>
          <w:b/>
          <w:bCs/>
          <w:color w:val="000000"/>
          <w:szCs w:val="24"/>
        </w:rPr>
        <w:t>306.5 Equipment and appliances on roofs or elevated structures.</w:t>
      </w:r>
      <w:r w:rsidRPr="0001508F">
        <w:rPr>
          <w:color w:val="000000"/>
          <w:szCs w:val="24"/>
        </w:rPr>
        <w:t xml:space="preserve"> Where equipment or appliances requiring access are located on an elevated structure or the roof of a building such that personnel will have to climb higher than 16 feet (4876.8 mm) above grade, roof or floor level to access such equipment or appliances, an interior or exterior means of access shall be provided. Such access shall not require climbing over obstructions greater than 30 inches (762 mm) in height or walking on roofs having a slope greater than 4 units vertical in 12 units horizontal (33-percent slope). Such access to the roof or elevated structure to and access from the roof or elevated structure to equipment requiring maintenance shall not require the use of portable ladders. Where access involves climbing over parapet walls, the height shall be measured to the top of the parapet wall.</w:t>
      </w:r>
    </w:p>
    <w:p w14:paraId="0EC20012" w14:textId="77777777" w:rsidR="0001508F" w:rsidRPr="0001508F" w:rsidRDefault="0001508F" w:rsidP="0001508F">
      <w:pPr>
        <w:spacing w:before="100" w:beforeAutospacing="1" w:after="100" w:afterAutospacing="1"/>
        <w:jc w:val="left"/>
        <w:rPr>
          <w:color w:val="000000"/>
          <w:szCs w:val="24"/>
        </w:rPr>
      </w:pPr>
      <w:r w:rsidRPr="0001508F">
        <w:rPr>
          <w:color w:val="000000"/>
          <w:szCs w:val="24"/>
        </w:rPr>
        <w:t>    Permanent ladders installed to provide the required access shall comply with the following minimum design criteria:</w:t>
      </w:r>
    </w:p>
    <w:p w14:paraId="43896378" w14:textId="77777777" w:rsidR="0001508F" w:rsidRPr="0001508F" w:rsidRDefault="0001508F" w:rsidP="0001508F">
      <w:pPr>
        <w:spacing w:before="100" w:beforeAutospacing="1" w:after="100" w:afterAutospacing="1"/>
        <w:jc w:val="left"/>
        <w:rPr>
          <w:color w:val="000000"/>
          <w:szCs w:val="24"/>
        </w:rPr>
      </w:pPr>
      <w:r w:rsidRPr="0001508F">
        <w:rPr>
          <w:color w:val="000000"/>
          <w:szCs w:val="24"/>
        </w:rPr>
        <w:t>    1. The side railing shall extend above the parapet or roof edge not less than 30 inches (762 mm).</w:t>
      </w:r>
    </w:p>
    <w:p w14:paraId="08B9BD87" w14:textId="77777777" w:rsidR="0001508F" w:rsidRPr="0001508F" w:rsidRDefault="0001508F" w:rsidP="0001508F">
      <w:pPr>
        <w:spacing w:before="100" w:beforeAutospacing="1" w:after="100" w:afterAutospacing="1"/>
        <w:jc w:val="left"/>
        <w:rPr>
          <w:color w:val="000000"/>
          <w:szCs w:val="24"/>
        </w:rPr>
      </w:pPr>
      <w:r w:rsidRPr="0001508F">
        <w:rPr>
          <w:color w:val="000000"/>
          <w:szCs w:val="24"/>
        </w:rPr>
        <w:t>    2. Ladders shall have rung spacing not to exceed 12 inches (304.8 mm) on center. The uppermost rung shall be not more than 24 inches (609.6 mm) below the upper edge of the roof hatch, roof or parapet, or equipment access platform, as applicable.</w:t>
      </w:r>
    </w:p>
    <w:p w14:paraId="58A889BB" w14:textId="77777777" w:rsidR="0001508F" w:rsidRPr="0001508F" w:rsidRDefault="0001508F" w:rsidP="0001508F">
      <w:pPr>
        <w:spacing w:before="100" w:beforeAutospacing="1" w:after="100" w:afterAutospacing="1"/>
        <w:jc w:val="left"/>
        <w:rPr>
          <w:color w:val="000000"/>
          <w:szCs w:val="24"/>
        </w:rPr>
      </w:pPr>
      <w:r w:rsidRPr="0001508F">
        <w:rPr>
          <w:color w:val="000000"/>
          <w:szCs w:val="24"/>
        </w:rPr>
        <w:t>    3. Ladders shall have a toe spacing not less than 7 inches (177.8 mm) deep.</w:t>
      </w:r>
    </w:p>
    <w:p w14:paraId="54B8B2C9" w14:textId="77777777" w:rsidR="0001508F" w:rsidRPr="0001508F" w:rsidRDefault="0001508F" w:rsidP="0001508F">
      <w:pPr>
        <w:spacing w:before="100" w:beforeAutospacing="1" w:after="100" w:afterAutospacing="1"/>
        <w:jc w:val="left"/>
        <w:rPr>
          <w:color w:val="000000"/>
          <w:szCs w:val="24"/>
        </w:rPr>
      </w:pPr>
      <w:r w:rsidRPr="0001508F">
        <w:rPr>
          <w:color w:val="000000"/>
          <w:szCs w:val="24"/>
        </w:rPr>
        <w:t>    4. There shall be not less than 18 inches (457.2 mm) between rails.</w:t>
      </w:r>
    </w:p>
    <w:p w14:paraId="4CAF996B" w14:textId="77777777" w:rsidR="0001508F" w:rsidRPr="0001508F" w:rsidRDefault="0001508F" w:rsidP="0001508F">
      <w:pPr>
        <w:spacing w:before="100" w:beforeAutospacing="1" w:after="100" w:afterAutospacing="1"/>
        <w:jc w:val="left"/>
        <w:rPr>
          <w:color w:val="000000"/>
          <w:szCs w:val="24"/>
        </w:rPr>
      </w:pPr>
      <w:r w:rsidRPr="0001508F">
        <w:rPr>
          <w:color w:val="000000"/>
          <w:szCs w:val="24"/>
        </w:rPr>
        <w:t>    5. Rungs shall have a diameter not less than 0.75-inch (19 mm) and be capable of withstanding a 300-pound (136.1 kg) load.</w:t>
      </w:r>
    </w:p>
    <w:p w14:paraId="079D73E4" w14:textId="77777777" w:rsidR="0001508F" w:rsidRPr="0001508F" w:rsidRDefault="0001508F" w:rsidP="0001508F">
      <w:pPr>
        <w:spacing w:before="100" w:beforeAutospacing="1" w:after="100" w:afterAutospacing="1"/>
        <w:jc w:val="left"/>
        <w:rPr>
          <w:color w:val="000000"/>
          <w:szCs w:val="24"/>
        </w:rPr>
      </w:pPr>
      <w:r w:rsidRPr="0001508F">
        <w:rPr>
          <w:color w:val="000000"/>
          <w:szCs w:val="24"/>
        </w:rPr>
        <w:t>    6. Where a cage, well or ladder safety device is prohibited, ladders over 20 feet (6096 mm) in height shall be provided with landing platforms for each 30 feet (9144 mm) of height. Where a cage, well or ladder safety device is not provided, ladders over 20 feet (6096 mm) in height shall be provided with landing platforms for each 20 feet (6096 mm) of height. Landings shall be capable of withstanding 100 pounds (488.2 kg/m{2}) per square foot. A guard rail and toeboard shall be provided on all open sides of the landing.</w:t>
      </w:r>
    </w:p>
    <w:p w14:paraId="3E73B963" w14:textId="77777777" w:rsidR="0001508F" w:rsidRPr="0001508F" w:rsidRDefault="0001508F" w:rsidP="0001508F">
      <w:pPr>
        <w:spacing w:before="100" w:beforeAutospacing="1" w:after="100" w:afterAutospacing="1"/>
        <w:jc w:val="left"/>
        <w:rPr>
          <w:color w:val="000000"/>
          <w:szCs w:val="24"/>
        </w:rPr>
      </w:pPr>
      <w:r w:rsidRPr="0001508F">
        <w:rPr>
          <w:color w:val="000000"/>
          <w:szCs w:val="24"/>
        </w:rPr>
        <w:t>    7. Climbing clearance. The distance from the centerline of the rungs to the nearest permanent object on the climbing side of the ladder shall be not less than 30 inches (762 mm) measured perpendicular to the rungs. This distance shall be maintained from the point of ladder access to the bottom of the roof hatch. A minimum clear width of 15 inches (381 mm) shall be provided on both sides of the ladder measured from the midpoint of and parallel with the rungs except where cages or wells are installed.</w:t>
      </w:r>
    </w:p>
    <w:p w14:paraId="789BD058" w14:textId="77777777" w:rsidR="0001508F" w:rsidRPr="0001508F" w:rsidRDefault="0001508F" w:rsidP="0001508F">
      <w:pPr>
        <w:spacing w:before="100" w:beforeAutospacing="1" w:after="100" w:afterAutospacing="1"/>
        <w:jc w:val="left"/>
        <w:rPr>
          <w:color w:val="000000"/>
          <w:szCs w:val="24"/>
        </w:rPr>
      </w:pPr>
      <w:r w:rsidRPr="0001508F">
        <w:rPr>
          <w:color w:val="000000"/>
          <w:szCs w:val="24"/>
        </w:rPr>
        <w:t>    8. Landing required. The ladder shall be provided with a clear and unobstructed bottom landing area having a minimum dimension of 30 inches by 30 inches (762 mm by 762 mm) centered in front of the ladder.</w:t>
      </w:r>
    </w:p>
    <w:p w14:paraId="0C94C7D1" w14:textId="77777777" w:rsidR="0001508F" w:rsidRPr="0001508F" w:rsidRDefault="0001508F" w:rsidP="0001508F">
      <w:pPr>
        <w:spacing w:before="100" w:beforeAutospacing="1" w:after="100" w:afterAutospacing="1"/>
        <w:jc w:val="left"/>
        <w:rPr>
          <w:color w:val="000000"/>
          <w:szCs w:val="24"/>
        </w:rPr>
      </w:pPr>
      <w:r w:rsidRPr="0001508F">
        <w:rPr>
          <w:color w:val="000000"/>
          <w:szCs w:val="24"/>
        </w:rPr>
        <w:t>    9. Ladders shall be protected against corrosion by approved means.</w:t>
      </w:r>
    </w:p>
    <w:p w14:paraId="42C25C8A" w14:textId="77777777" w:rsidR="0001508F" w:rsidRPr="0001508F" w:rsidRDefault="0001508F" w:rsidP="0001508F">
      <w:pPr>
        <w:spacing w:before="100" w:beforeAutospacing="1" w:after="100" w:afterAutospacing="1"/>
        <w:jc w:val="left"/>
        <w:rPr>
          <w:color w:val="000000"/>
          <w:szCs w:val="24"/>
        </w:rPr>
      </w:pPr>
      <w:r w:rsidRPr="0001508F">
        <w:rPr>
          <w:color w:val="000000"/>
          <w:szCs w:val="24"/>
        </w:rPr>
        <w:t>    10. Service personnel shall have access to ladders at all times.</w:t>
      </w:r>
    </w:p>
    <w:p w14:paraId="3564FC24" w14:textId="77777777" w:rsidR="0001508F" w:rsidRPr="0001508F" w:rsidRDefault="0001508F" w:rsidP="0001508F">
      <w:pPr>
        <w:spacing w:before="100" w:beforeAutospacing="1" w:after="100" w:afterAutospacing="1"/>
        <w:jc w:val="left"/>
        <w:rPr>
          <w:color w:val="000000"/>
          <w:szCs w:val="24"/>
        </w:rPr>
      </w:pPr>
      <w:r w:rsidRPr="0001508F">
        <w:rPr>
          <w:color w:val="000000"/>
          <w:szCs w:val="24"/>
        </w:rPr>
        <w:t>    11. Where ladder extensions are installed, the side rails of through or side-step ladder extensions shall extend 3 1/2 feet (1066.8 mm) above the parapets and landings. For through ladder extensions, the rungs shall be omitted from the extensions and shall have not less than 18 inches (457.2 mm) nor more than 24 inches (609.6 mm) of clearance between rails. For side-step or offset fixed ladder sections, at landings, the side rails and rungs shall be carried to the next regular rung beyond or above the 3 1/2 feet (1066.8 mm) minimum.</w:t>
      </w:r>
    </w:p>
    <w:p w14:paraId="7E29BB07" w14:textId="77777777" w:rsidR="0001508F" w:rsidRPr="0001508F" w:rsidRDefault="0001508F" w:rsidP="0001508F">
      <w:pPr>
        <w:spacing w:before="100" w:beforeAutospacing="1" w:after="100" w:afterAutospacing="1"/>
        <w:jc w:val="left"/>
        <w:rPr>
          <w:color w:val="000000"/>
          <w:szCs w:val="24"/>
        </w:rPr>
      </w:pPr>
      <w:r w:rsidRPr="0001508F">
        <w:rPr>
          <w:color w:val="000000"/>
          <w:szCs w:val="24"/>
        </w:rPr>
        <w:t>    Catwalks installed to provide the required access shall be not less than 24 inches (609.6 mm) wide and shall have railings as required for service platforms.</w:t>
      </w:r>
    </w:p>
    <w:p w14:paraId="21F90676" w14:textId="77777777" w:rsidR="0001508F" w:rsidRPr="0001508F" w:rsidRDefault="0001508F" w:rsidP="0001508F">
      <w:pPr>
        <w:jc w:val="left"/>
        <w:rPr>
          <w:szCs w:val="24"/>
        </w:rPr>
      </w:pPr>
    </w:p>
    <w:p w14:paraId="6979ADB6" w14:textId="77777777" w:rsidR="0001508F" w:rsidRPr="0001508F" w:rsidRDefault="0001508F" w:rsidP="0001508F">
      <w:pPr>
        <w:widowControl w:val="0"/>
        <w:spacing w:before="120" w:after="120"/>
        <w:ind w:left="360"/>
        <w:rPr>
          <w:b/>
          <w:bCs/>
          <w:szCs w:val="24"/>
        </w:rPr>
      </w:pPr>
      <w:r w:rsidRPr="0001508F">
        <w:rPr>
          <w:b/>
          <w:bCs/>
          <w:szCs w:val="24"/>
        </w:rPr>
        <w:t>[</w:t>
      </w:r>
      <w:r w:rsidRPr="0001508F">
        <w:rPr>
          <w:b/>
          <w:bCs/>
          <w:strike/>
          <w:szCs w:val="24"/>
        </w:rPr>
        <w:t>Exception:</w:t>
      </w:r>
      <w:r w:rsidRPr="0001508F">
        <w:rPr>
          <w:b/>
          <w:bCs/>
          <w:szCs w:val="24"/>
        </w:rPr>
        <w:t>]</w:t>
      </w:r>
      <w:r w:rsidRPr="0001508F">
        <w:rPr>
          <w:b/>
          <w:bCs/>
          <w:szCs w:val="24"/>
          <w:u w:val="single"/>
        </w:rPr>
        <w:t>Exceptions:</w:t>
      </w:r>
    </w:p>
    <w:p w14:paraId="7C0A1EF1" w14:textId="77777777" w:rsidR="0001508F" w:rsidRPr="0001508F" w:rsidRDefault="0001508F" w:rsidP="0001508F">
      <w:pPr>
        <w:widowControl w:val="0"/>
        <w:spacing w:before="120" w:after="120"/>
        <w:ind w:left="1080" w:hanging="360"/>
        <w:rPr>
          <w:szCs w:val="24"/>
        </w:rPr>
      </w:pPr>
      <w:r w:rsidRPr="0001508F">
        <w:rPr>
          <w:szCs w:val="24"/>
          <w:u w:val="single"/>
        </w:rPr>
        <w:t>1.</w:t>
      </w:r>
      <w:r w:rsidRPr="0001508F">
        <w:rPr>
          <w:szCs w:val="24"/>
          <w:u w:val="single"/>
        </w:rPr>
        <w:tab/>
      </w:r>
      <w:r w:rsidRPr="0001508F">
        <w:rPr>
          <w:szCs w:val="24"/>
        </w:rPr>
        <w:t>This section shall not apply to Group R-3 occupancies.</w:t>
      </w:r>
    </w:p>
    <w:p w14:paraId="2B51FF1C" w14:textId="77777777" w:rsidR="0001508F" w:rsidRPr="0001508F" w:rsidRDefault="0001508F" w:rsidP="0001508F">
      <w:pPr>
        <w:widowControl w:val="0"/>
        <w:spacing w:before="120" w:after="120"/>
        <w:ind w:left="1080" w:hanging="360"/>
        <w:rPr>
          <w:szCs w:val="24"/>
          <w:u w:val="single"/>
        </w:rPr>
      </w:pPr>
      <w:r w:rsidRPr="0001508F">
        <w:rPr>
          <w:szCs w:val="24"/>
          <w:u w:val="single"/>
        </w:rPr>
        <w:t>2.</w:t>
      </w:r>
      <w:r w:rsidRPr="0001508F">
        <w:rPr>
          <w:szCs w:val="24"/>
          <w:u w:val="single"/>
        </w:rPr>
        <w:tab/>
        <w:t xml:space="preserve">The requirements of this section shall not apply to alterations or repairs to existing buildings in accordance with Section 309.2.2 of the </w:t>
      </w:r>
      <w:r w:rsidRPr="0001508F">
        <w:rPr>
          <w:i/>
          <w:iCs/>
          <w:szCs w:val="24"/>
          <w:u w:val="single"/>
        </w:rPr>
        <w:t>New York City Existing Building Code</w:t>
      </w:r>
      <w:r w:rsidRPr="0001508F">
        <w:rPr>
          <w:szCs w:val="24"/>
          <w:u w:val="single"/>
        </w:rPr>
        <w:t>.</w:t>
      </w:r>
    </w:p>
    <w:p w14:paraId="03B49CE2" w14:textId="77777777" w:rsidR="0001508F" w:rsidRPr="0001508F" w:rsidRDefault="0001508F" w:rsidP="0001508F">
      <w:pPr>
        <w:widowControl w:val="0"/>
        <w:spacing w:before="120" w:after="120" w:line="480" w:lineRule="auto"/>
        <w:ind w:firstLine="720"/>
        <w:rPr>
          <w:rFonts w:eastAsia="SimSun"/>
          <w:szCs w:val="24"/>
        </w:rPr>
      </w:pPr>
      <w:r w:rsidRPr="0001508F">
        <w:rPr>
          <w:bCs/>
          <w:szCs w:val="24"/>
        </w:rPr>
        <w:t>§ 126. Section 313.3.7 of the New York city mechanical code, as added by local law number 126 for the year 2021, is amended to read as follows:</w:t>
      </w:r>
    </w:p>
    <w:p w14:paraId="42F3370F" w14:textId="77777777" w:rsidR="0001508F" w:rsidRPr="0001508F" w:rsidRDefault="0001508F" w:rsidP="0001508F">
      <w:pPr>
        <w:spacing w:before="100" w:beforeAutospacing="1" w:after="100" w:afterAutospacing="1"/>
        <w:jc w:val="left"/>
        <w:rPr>
          <w:color w:val="000000"/>
          <w:szCs w:val="24"/>
        </w:rPr>
      </w:pPr>
      <w:r w:rsidRPr="0001508F">
        <w:rPr>
          <w:b/>
          <w:bCs/>
          <w:color w:val="000000"/>
          <w:szCs w:val="24"/>
        </w:rPr>
        <w:t>313.3.7 Cooling towers and fluid coolers.</w:t>
      </w:r>
      <w:r w:rsidRPr="0001508F">
        <w:rPr>
          <w:color w:val="000000"/>
          <w:szCs w:val="24"/>
        </w:rPr>
        <w:t xml:space="preserve"> All moving parts of cooling towers located on a roof or floor other than a floor on grade shall be installed on vibration isolators providing a minimum isolation efficiency of 90 percent at fan rotor rpm with a maximum static deflection of 4 inches (101.6 mm). Each isolator shall incorporate a leveling device and a resilient pad having a minimum thickness of 1/4 inch (6.4 mm). Vibration cutoff switches shall be provided.</w:t>
      </w:r>
    </w:p>
    <w:p w14:paraId="079413B1" w14:textId="77777777" w:rsidR="0001508F" w:rsidRPr="0001508F" w:rsidRDefault="0001508F" w:rsidP="0001508F">
      <w:pPr>
        <w:jc w:val="left"/>
        <w:rPr>
          <w:szCs w:val="24"/>
        </w:rPr>
      </w:pPr>
    </w:p>
    <w:p w14:paraId="56C42D97" w14:textId="77777777" w:rsidR="0001508F" w:rsidRPr="0001508F" w:rsidRDefault="0001508F" w:rsidP="0001508F">
      <w:pPr>
        <w:widowControl w:val="0"/>
        <w:kinsoku w:val="0"/>
        <w:spacing w:before="120" w:after="120"/>
        <w:ind w:left="720"/>
        <w:rPr>
          <w:spacing w:val="1"/>
          <w:szCs w:val="24"/>
          <w:u w:val="single"/>
        </w:rPr>
      </w:pPr>
      <w:bookmarkStart w:id="306" w:name="_Hlk73954184"/>
      <w:r w:rsidRPr="0001508F">
        <w:rPr>
          <w:b/>
          <w:bCs/>
          <w:szCs w:val="24"/>
          <w:u w:val="single"/>
        </w:rPr>
        <w:t>Exception:</w:t>
      </w:r>
      <w:r w:rsidRPr="0001508F">
        <w:rPr>
          <w:szCs w:val="24"/>
          <w:u w:val="single"/>
        </w:rPr>
        <w:t xml:space="preserve"> The requirements of this section shall not apply to replacements of cooling towers and fluid coolers on existing buildings in accordance with Section 309.2.3 of the </w:t>
      </w:r>
      <w:r w:rsidRPr="0001508F">
        <w:rPr>
          <w:i/>
          <w:iCs/>
          <w:szCs w:val="24"/>
          <w:u w:val="single"/>
        </w:rPr>
        <w:t>New York City Existing Building Code</w:t>
      </w:r>
      <w:r w:rsidRPr="0001508F">
        <w:rPr>
          <w:szCs w:val="24"/>
          <w:u w:val="single"/>
        </w:rPr>
        <w:t>.</w:t>
      </w:r>
    </w:p>
    <w:bookmarkEnd w:id="306"/>
    <w:p w14:paraId="3F15CDDA" w14:textId="77777777" w:rsidR="0001508F" w:rsidRPr="0001508F" w:rsidRDefault="0001508F" w:rsidP="0001508F">
      <w:pPr>
        <w:widowControl w:val="0"/>
        <w:spacing w:before="120" w:after="120"/>
        <w:rPr>
          <w:b/>
          <w:bCs/>
          <w:szCs w:val="24"/>
        </w:rPr>
      </w:pPr>
    </w:p>
    <w:p w14:paraId="4286EF6C" w14:textId="77777777" w:rsidR="0001508F" w:rsidRPr="0001508F" w:rsidRDefault="0001508F" w:rsidP="0001508F">
      <w:pPr>
        <w:widowControl w:val="0"/>
        <w:spacing w:before="120" w:after="120" w:line="480" w:lineRule="auto"/>
        <w:ind w:firstLine="720"/>
        <w:rPr>
          <w:rFonts w:eastAsia="SimSun"/>
          <w:szCs w:val="24"/>
        </w:rPr>
      </w:pPr>
      <w:r w:rsidRPr="0001508F">
        <w:rPr>
          <w:bCs/>
          <w:szCs w:val="24"/>
        </w:rPr>
        <w:t>§ 127. Section 401.4 of the New York city mechanical code, as amended by local law number 77 for the year 2023, is amended to read as follows:</w:t>
      </w:r>
    </w:p>
    <w:p w14:paraId="4D9BEA29" w14:textId="77777777" w:rsidR="0001508F" w:rsidRPr="0001508F" w:rsidRDefault="0001508F" w:rsidP="0001508F">
      <w:pPr>
        <w:spacing w:before="100" w:beforeAutospacing="1" w:after="100" w:afterAutospacing="1"/>
        <w:jc w:val="left"/>
        <w:rPr>
          <w:color w:val="000000"/>
          <w:szCs w:val="24"/>
        </w:rPr>
      </w:pPr>
      <w:r w:rsidRPr="0001508F">
        <w:rPr>
          <w:b/>
          <w:bCs/>
          <w:color w:val="000000"/>
          <w:szCs w:val="24"/>
        </w:rPr>
        <w:t xml:space="preserve">401.4 Intake opening location. </w:t>
      </w:r>
      <w:r w:rsidRPr="0001508F">
        <w:rPr>
          <w:color w:val="000000"/>
          <w:szCs w:val="24"/>
        </w:rPr>
        <w:t>Ventilation air intake openings shall comply with all of the following:</w:t>
      </w:r>
    </w:p>
    <w:p w14:paraId="7172FE42" w14:textId="77777777" w:rsidR="0001508F" w:rsidRPr="0001508F" w:rsidRDefault="0001508F" w:rsidP="0001508F">
      <w:pPr>
        <w:spacing w:before="100" w:beforeAutospacing="1" w:after="100" w:afterAutospacing="1"/>
        <w:jc w:val="left"/>
        <w:rPr>
          <w:color w:val="000000"/>
          <w:szCs w:val="24"/>
        </w:rPr>
      </w:pPr>
      <w:r w:rsidRPr="0001508F">
        <w:rPr>
          <w:color w:val="000000"/>
          <w:szCs w:val="24"/>
        </w:rPr>
        <w:t>    1. Intake openings shall be located not less than 10 feet (3048 mm) from lot lines or buildings on the same lot. For buildings on lots measuring less than 20 feet (6096 mm) in width, intake openings shall be located at the centerline between lot lines. Where openings front on a street or public way, the distance shall be measured to the centerline of the street or public way.</w:t>
      </w:r>
    </w:p>
    <w:p w14:paraId="6391223C" w14:textId="77777777" w:rsidR="0001508F" w:rsidRPr="0001508F" w:rsidRDefault="0001508F" w:rsidP="0001508F">
      <w:pPr>
        <w:spacing w:before="100" w:beforeAutospacing="1" w:after="100" w:afterAutospacing="1"/>
        <w:jc w:val="left"/>
        <w:rPr>
          <w:color w:val="000000"/>
          <w:szCs w:val="24"/>
        </w:rPr>
      </w:pPr>
      <w:r w:rsidRPr="0001508F">
        <w:rPr>
          <w:color w:val="000000"/>
          <w:szCs w:val="24"/>
        </w:rPr>
        <w:t>    2. Outdoor air intakes for office occupancies having occupied floors located more than 75 feet (22 860 mm) above the lowest level of fire department vehicle access serving spaces above the second story and serving spaces greater than 10,000 square feet (929 m{2}) of floor area shall be located at least 20 feet (6096 mm) above ground level, at least 30 feet (9144 mm) from exhaust outlets and other exhaust discharges, and at least 20 feet (6096 mm) from areas that may collect vehicular exhaust, such as off street loading bays.</w:t>
      </w:r>
    </w:p>
    <w:p w14:paraId="51DB462A" w14:textId="77777777" w:rsidR="0001508F" w:rsidRPr="0001508F" w:rsidRDefault="0001508F" w:rsidP="0001508F">
      <w:pPr>
        <w:spacing w:before="100" w:beforeAutospacing="1" w:after="100" w:afterAutospacing="1"/>
        <w:jc w:val="left"/>
        <w:rPr>
          <w:color w:val="000000"/>
          <w:szCs w:val="24"/>
        </w:rPr>
      </w:pPr>
      <w:r w:rsidRPr="0001508F">
        <w:rPr>
          <w:color w:val="000000"/>
          <w:szCs w:val="24"/>
        </w:rPr>
        <w:t>    3. Mechanical and gravity outdoor air intake openings shall be located not less than 10 feet (3048 mm) horizontally from any hazardous or noxious contaminant source, such as vents, exhausts (including but not limited to exhaust from dry cleaning establishments, spray booths, and cooling towers), streets, alleys, parking lots and loading docks, except as specified in Item 3 of Section 501.3.1. Outdoor air intake openings shall be permitted to be located less than 10 feet (3048 mm) horizontally from streets, alleys, parking lots and loading docks provided that the openings are located not less than 25 feet (7620 mm) vertically above such locations. Where openings front on a street or public way, the distance shall be measured to the centerline of the street or public way.</w:t>
      </w:r>
    </w:p>
    <w:p w14:paraId="641FA873" w14:textId="77777777" w:rsidR="0001508F" w:rsidRPr="0001508F" w:rsidRDefault="0001508F" w:rsidP="0001508F">
      <w:pPr>
        <w:spacing w:before="100" w:beforeAutospacing="1" w:after="100" w:afterAutospacing="1"/>
        <w:jc w:val="left"/>
        <w:rPr>
          <w:color w:val="000000"/>
          <w:szCs w:val="24"/>
        </w:rPr>
      </w:pPr>
      <w:r w:rsidRPr="0001508F">
        <w:rPr>
          <w:color w:val="000000"/>
          <w:szCs w:val="24"/>
        </w:rPr>
        <w:t>    4. Where the requirements of Item 3 above cannot be achieved, intake openings shall be located not less than 3 feet (914.4 mm) below contaminant sources where such sources are located within 10 feet (3048 mm) of the opening.</w:t>
      </w:r>
    </w:p>
    <w:p w14:paraId="2D8E32E6" w14:textId="77777777" w:rsidR="0001508F" w:rsidRPr="0001508F" w:rsidRDefault="0001508F" w:rsidP="0001508F">
      <w:pPr>
        <w:spacing w:before="100" w:beforeAutospacing="1" w:after="100" w:afterAutospacing="1"/>
        <w:jc w:val="left"/>
        <w:rPr>
          <w:color w:val="000000"/>
          <w:szCs w:val="24"/>
        </w:rPr>
      </w:pPr>
      <w:r w:rsidRPr="0001508F">
        <w:rPr>
          <w:color w:val="000000"/>
          <w:szCs w:val="24"/>
        </w:rPr>
        <w:t>    5. Intake openings in Group I occupancies shall comply with ANSI/ASHRAE/ASHE 170, as required.</w:t>
      </w:r>
    </w:p>
    <w:p w14:paraId="43436358" w14:textId="77777777" w:rsidR="0001508F" w:rsidRPr="0001508F" w:rsidRDefault="0001508F" w:rsidP="0001508F">
      <w:pPr>
        <w:spacing w:before="100" w:beforeAutospacing="1" w:after="100" w:afterAutospacing="1"/>
        <w:jc w:val="left"/>
        <w:rPr>
          <w:color w:val="000000"/>
          <w:szCs w:val="24"/>
        </w:rPr>
      </w:pPr>
      <w:r w:rsidRPr="0001508F">
        <w:rPr>
          <w:color w:val="000000"/>
          <w:szCs w:val="24"/>
        </w:rPr>
        <w:t>    6. Intake openings on structures in flood hazard areas shall comply with the additional requirements of Appendix G of the New York City Building Code.</w:t>
      </w:r>
    </w:p>
    <w:p w14:paraId="0B46ECE1" w14:textId="77777777" w:rsidR="0001508F" w:rsidRPr="0001508F" w:rsidRDefault="0001508F" w:rsidP="0001508F">
      <w:pPr>
        <w:widowControl w:val="0"/>
        <w:spacing w:before="120" w:after="120"/>
        <w:rPr>
          <w:b/>
          <w:bCs/>
          <w:szCs w:val="24"/>
        </w:rPr>
      </w:pPr>
    </w:p>
    <w:p w14:paraId="3AFA3946" w14:textId="77777777" w:rsidR="0001508F" w:rsidRPr="0001508F" w:rsidRDefault="0001508F" w:rsidP="0001508F">
      <w:pPr>
        <w:widowControl w:val="0"/>
        <w:tabs>
          <w:tab w:val="left" w:pos="-2610"/>
        </w:tabs>
        <w:autoSpaceDE w:val="0"/>
        <w:autoSpaceDN w:val="0"/>
        <w:adjustRightInd w:val="0"/>
        <w:spacing w:before="120" w:after="120"/>
        <w:ind w:left="360"/>
        <w:rPr>
          <w:b/>
          <w:szCs w:val="24"/>
          <w:u w:val="single"/>
        </w:rPr>
      </w:pPr>
      <w:r w:rsidRPr="0001508F">
        <w:rPr>
          <w:b/>
          <w:szCs w:val="24"/>
        </w:rPr>
        <w:t>[</w:t>
      </w:r>
      <w:r w:rsidRPr="0001508F">
        <w:rPr>
          <w:b/>
          <w:strike/>
          <w:szCs w:val="24"/>
        </w:rPr>
        <w:t>Exception:</w:t>
      </w:r>
      <w:r w:rsidRPr="0001508F">
        <w:rPr>
          <w:b/>
          <w:szCs w:val="24"/>
        </w:rPr>
        <w:t xml:space="preserve">] </w:t>
      </w:r>
      <w:r w:rsidRPr="0001508F">
        <w:rPr>
          <w:b/>
          <w:szCs w:val="24"/>
          <w:u w:val="single"/>
        </w:rPr>
        <w:t>Exceptions:</w:t>
      </w:r>
    </w:p>
    <w:p w14:paraId="2C73FB7C" w14:textId="77777777" w:rsidR="0001508F" w:rsidRPr="0001508F" w:rsidRDefault="0001508F" w:rsidP="0001508F">
      <w:pPr>
        <w:widowControl w:val="0"/>
        <w:tabs>
          <w:tab w:val="left" w:pos="-2610"/>
        </w:tabs>
        <w:autoSpaceDE w:val="0"/>
        <w:autoSpaceDN w:val="0"/>
        <w:adjustRightInd w:val="0"/>
        <w:spacing w:before="120" w:after="120"/>
        <w:ind w:left="1080" w:hanging="360"/>
        <w:rPr>
          <w:spacing w:val="1"/>
          <w:szCs w:val="24"/>
        </w:rPr>
      </w:pPr>
      <w:r w:rsidRPr="0001508F">
        <w:rPr>
          <w:spacing w:val="1"/>
          <w:szCs w:val="24"/>
          <w:u w:val="single"/>
        </w:rPr>
        <w:t>1.</w:t>
      </w:r>
      <w:r w:rsidRPr="0001508F">
        <w:rPr>
          <w:spacing w:val="1"/>
          <w:szCs w:val="24"/>
          <w:u w:val="single"/>
        </w:rPr>
        <w:tab/>
      </w:r>
      <w:r w:rsidRPr="0001508F">
        <w:rPr>
          <w:spacing w:val="1"/>
          <w:szCs w:val="24"/>
        </w:rPr>
        <w:t>Group R-3 occupancies are not required to comply with Section 401.4.</w:t>
      </w:r>
    </w:p>
    <w:p w14:paraId="7883A1B4" w14:textId="77777777" w:rsidR="0001508F" w:rsidRPr="0001508F" w:rsidRDefault="0001508F" w:rsidP="0001508F">
      <w:pPr>
        <w:widowControl w:val="0"/>
        <w:autoSpaceDE w:val="0"/>
        <w:autoSpaceDN w:val="0"/>
        <w:adjustRightInd w:val="0"/>
        <w:spacing w:before="120" w:after="120"/>
        <w:ind w:left="1080" w:hanging="360"/>
        <w:rPr>
          <w:spacing w:val="1"/>
          <w:szCs w:val="24"/>
          <w:u w:val="single"/>
        </w:rPr>
      </w:pPr>
      <w:r w:rsidRPr="0001508F">
        <w:rPr>
          <w:spacing w:val="1"/>
          <w:szCs w:val="24"/>
          <w:u w:val="single"/>
        </w:rPr>
        <w:t>2.</w:t>
      </w:r>
      <w:r w:rsidRPr="0001508F">
        <w:rPr>
          <w:spacing w:val="1"/>
          <w:szCs w:val="24"/>
          <w:u w:val="single"/>
        </w:rPr>
        <w:tab/>
        <w:t>Ventilation air intake openings in prior code buildings shall comply with the requirements of Section 809</w:t>
      </w:r>
      <w:r w:rsidRPr="0001508F">
        <w:rPr>
          <w:szCs w:val="24"/>
          <w:u w:val="single"/>
        </w:rPr>
        <w:t xml:space="preserve">.3 </w:t>
      </w:r>
      <w:r w:rsidRPr="0001508F">
        <w:rPr>
          <w:spacing w:val="1"/>
          <w:szCs w:val="24"/>
          <w:u w:val="single"/>
        </w:rPr>
        <w:t xml:space="preserve">of the </w:t>
      </w:r>
      <w:r w:rsidRPr="0001508F">
        <w:rPr>
          <w:i/>
          <w:iCs/>
          <w:spacing w:val="1"/>
          <w:szCs w:val="24"/>
          <w:u w:val="single"/>
        </w:rPr>
        <w:t>New York City Existing Building Code</w:t>
      </w:r>
      <w:r w:rsidRPr="0001508F">
        <w:rPr>
          <w:spacing w:val="1"/>
          <w:szCs w:val="24"/>
          <w:u w:val="single"/>
        </w:rPr>
        <w:t>.</w:t>
      </w:r>
    </w:p>
    <w:p w14:paraId="6CDF788A" w14:textId="77777777" w:rsidR="0001508F" w:rsidRPr="0001508F" w:rsidRDefault="0001508F" w:rsidP="0001508F">
      <w:pPr>
        <w:widowControl w:val="0"/>
        <w:autoSpaceDE w:val="0"/>
        <w:autoSpaceDN w:val="0"/>
        <w:adjustRightInd w:val="0"/>
        <w:spacing w:before="120" w:after="120"/>
        <w:ind w:left="1080" w:hanging="360"/>
        <w:rPr>
          <w:spacing w:val="1"/>
          <w:szCs w:val="24"/>
          <w:u w:val="single"/>
        </w:rPr>
      </w:pPr>
    </w:p>
    <w:p w14:paraId="5420339A" w14:textId="77777777" w:rsidR="0001508F" w:rsidRPr="0001508F" w:rsidRDefault="0001508F" w:rsidP="0001508F">
      <w:pPr>
        <w:widowControl w:val="0"/>
        <w:spacing w:before="120" w:after="120" w:line="480" w:lineRule="auto"/>
        <w:ind w:firstLine="720"/>
        <w:rPr>
          <w:rFonts w:eastAsia="SimSun"/>
          <w:szCs w:val="24"/>
        </w:rPr>
      </w:pPr>
      <w:r w:rsidRPr="0001508F">
        <w:rPr>
          <w:bCs/>
          <w:szCs w:val="24"/>
        </w:rPr>
        <w:t>§ 128. Section 701.5 of the New York city mechanical code, as amended by local law number 126 for the year 2021, is amended to read as follows:</w:t>
      </w:r>
    </w:p>
    <w:p w14:paraId="72688351" w14:textId="77777777" w:rsidR="0001508F" w:rsidRPr="0001508F" w:rsidRDefault="0001508F" w:rsidP="0001508F">
      <w:pPr>
        <w:widowControl w:val="0"/>
        <w:tabs>
          <w:tab w:val="left" w:pos="-2610"/>
        </w:tabs>
        <w:autoSpaceDE w:val="0"/>
        <w:autoSpaceDN w:val="0"/>
        <w:adjustRightInd w:val="0"/>
        <w:spacing w:before="120" w:after="120"/>
        <w:rPr>
          <w:bCs/>
          <w:spacing w:val="1"/>
          <w:szCs w:val="24"/>
        </w:rPr>
      </w:pPr>
      <w:r w:rsidRPr="0001508F">
        <w:rPr>
          <w:b/>
          <w:szCs w:val="24"/>
        </w:rPr>
        <w:t>701.5 Prohibited sources.</w:t>
      </w:r>
      <w:r w:rsidRPr="0001508F">
        <w:rPr>
          <w:b/>
          <w:bCs/>
          <w:spacing w:val="-2"/>
          <w:w w:val="110"/>
          <w:szCs w:val="24"/>
        </w:rPr>
        <w:t xml:space="preserve"> </w:t>
      </w:r>
      <w:r w:rsidRPr="0001508F">
        <w:rPr>
          <w:bCs/>
          <w:spacing w:val="1"/>
          <w:szCs w:val="24"/>
        </w:rPr>
        <w:t xml:space="preserve">Openings and ducts shall not connect appliance enclosures with a space in which the operation of a fan will adversely affect the flow of the combustion, ventilation, and dilution air. Combustion, ventilation, and dilution air shall not be subject to ice or snow blockage. No combustion, ventilation, and dilution air inlet shall be less than 30 inches (762 mm) above grade. Combustion, ventilation, and dilution air shall not be obtained from a hazardous location, except where the fuel-fired appliances are located within the hazardous location and are installed in accordance with this code. Combustion, ventilation, and dilution air shall not be taken from a refrigeration machinery room, except where a refrigerant vapor detector system is installed to automatically shut off the combustion process in the event of refrigerant leakage. For structures in flood hazard areas, air shall be obtained from a location complying with the additional requirements of Appendix G of the </w:t>
      </w:r>
      <w:r w:rsidRPr="0001508F">
        <w:rPr>
          <w:bCs/>
          <w:i/>
          <w:iCs/>
          <w:spacing w:val="1"/>
          <w:szCs w:val="24"/>
        </w:rPr>
        <w:t>New York City Building Code</w:t>
      </w:r>
      <w:r w:rsidRPr="0001508F">
        <w:rPr>
          <w:bCs/>
          <w:spacing w:val="1"/>
          <w:szCs w:val="24"/>
        </w:rPr>
        <w:t>.</w:t>
      </w:r>
    </w:p>
    <w:p w14:paraId="2E82BB9B" w14:textId="77777777" w:rsidR="0001508F" w:rsidRPr="0001508F" w:rsidRDefault="0001508F" w:rsidP="0001508F">
      <w:pPr>
        <w:widowControl w:val="0"/>
        <w:autoSpaceDE w:val="0"/>
        <w:autoSpaceDN w:val="0"/>
        <w:adjustRightInd w:val="0"/>
        <w:spacing w:before="120" w:after="120"/>
        <w:ind w:left="360"/>
        <w:rPr>
          <w:bCs/>
          <w:spacing w:val="1"/>
          <w:szCs w:val="24"/>
          <w:u w:val="single"/>
        </w:rPr>
      </w:pPr>
      <w:r w:rsidRPr="0001508F">
        <w:rPr>
          <w:b/>
          <w:spacing w:val="1"/>
          <w:szCs w:val="24"/>
          <w:u w:val="single"/>
        </w:rPr>
        <w:t>Exception:</w:t>
      </w:r>
      <w:r w:rsidRPr="0001508F">
        <w:rPr>
          <w:bCs/>
          <w:spacing w:val="1"/>
          <w:szCs w:val="24"/>
          <w:u w:val="single"/>
        </w:rPr>
        <w:t xml:space="preserve"> Existing combustion, ventilation, and dilution air intakes in prior code buildings shall comply with the requirements of Section 809.8 of the </w:t>
      </w:r>
      <w:r w:rsidRPr="0001508F">
        <w:rPr>
          <w:bCs/>
          <w:i/>
          <w:iCs/>
          <w:spacing w:val="1"/>
          <w:szCs w:val="24"/>
          <w:u w:val="single"/>
        </w:rPr>
        <w:t>New York City Existing Building Code</w:t>
      </w:r>
      <w:r w:rsidRPr="0001508F">
        <w:rPr>
          <w:bCs/>
          <w:spacing w:val="1"/>
          <w:szCs w:val="24"/>
          <w:u w:val="single"/>
        </w:rPr>
        <w:t>.</w:t>
      </w:r>
    </w:p>
    <w:p w14:paraId="6863E27A" w14:textId="77777777" w:rsidR="0001508F" w:rsidRPr="0001508F" w:rsidRDefault="0001508F" w:rsidP="0001508F">
      <w:pPr>
        <w:widowControl w:val="0"/>
        <w:autoSpaceDE w:val="0"/>
        <w:autoSpaceDN w:val="0"/>
        <w:adjustRightInd w:val="0"/>
        <w:spacing w:before="120" w:after="120"/>
        <w:ind w:left="360"/>
        <w:rPr>
          <w:bCs/>
          <w:spacing w:val="1"/>
          <w:szCs w:val="24"/>
          <w:u w:val="single"/>
        </w:rPr>
      </w:pPr>
    </w:p>
    <w:p w14:paraId="5AF452DC" w14:textId="77777777" w:rsidR="0001508F" w:rsidRPr="0001508F" w:rsidRDefault="0001508F" w:rsidP="0001508F">
      <w:pPr>
        <w:widowControl w:val="0"/>
        <w:spacing w:before="120" w:after="120" w:line="480" w:lineRule="auto"/>
        <w:ind w:firstLine="720"/>
        <w:rPr>
          <w:rFonts w:eastAsia="SimSun"/>
          <w:szCs w:val="24"/>
        </w:rPr>
      </w:pPr>
      <w:r w:rsidRPr="0001508F">
        <w:rPr>
          <w:bCs/>
          <w:szCs w:val="24"/>
        </w:rPr>
        <w:t>§ 129. Section 803.10.5 of the New York city mechanical code, as amended by local law number 126 for the year 2021, is amended to read as follows:</w:t>
      </w:r>
    </w:p>
    <w:p w14:paraId="6A1BBB61" w14:textId="77777777" w:rsidR="0001508F" w:rsidRPr="0001508F" w:rsidRDefault="0001508F" w:rsidP="0001508F">
      <w:pPr>
        <w:jc w:val="left"/>
        <w:rPr>
          <w:bCs/>
          <w:szCs w:val="24"/>
        </w:rPr>
      </w:pPr>
      <w:r w:rsidRPr="0001508F">
        <w:rPr>
          <w:b/>
          <w:bCs/>
          <w:szCs w:val="24"/>
        </w:rPr>
        <w:t>803.10.5 Pitch.</w:t>
      </w:r>
      <w:r w:rsidRPr="0001508F">
        <w:rPr>
          <w:szCs w:val="24"/>
        </w:rPr>
        <w:t xml:space="preserve"> </w:t>
      </w:r>
      <w:r w:rsidRPr="0001508F">
        <w:rPr>
          <w:bCs/>
          <w:szCs w:val="24"/>
        </w:rPr>
        <w:t>Connectors shall rise vertically to the chimney or vent with a minimum pitch equal to one-fourth unit vertical in 12 units horizontal (2-percent slope).</w:t>
      </w:r>
    </w:p>
    <w:p w14:paraId="44F062F0" w14:textId="77777777" w:rsidR="0001508F" w:rsidRPr="0001508F" w:rsidRDefault="0001508F" w:rsidP="0001508F">
      <w:pPr>
        <w:widowControl w:val="0"/>
        <w:tabs>
          <w:tab w:val="left" w:pos="-2610"/>
        </w:tabs>
        <w:autoSpaceDE w:val="0"/>
        <w:autoSpaceDN w:val="0"/>
        <w:adjustRightInd w:val="0"/>
        <w:spacing w:before="120" w:after="120"/>
        <w:ind w:left="720"/>
        <w:rPr>
          <w:spacing w:val="1"/>
          <w:szCs w:val="24"/>
          <w:u w:val="single"/>
        </w:rPr>
      </w:pPr>
      <w:r w:rsidRPr="0001508F">
        <w:rPr>
          <w:b/>
          <w:szCs w:val="24"/>
          <w:u w:val="single"/>
        </w:rPr>
        <w:t xml:space="preserve">Exception: </w:t>
      </w:r>
      <w:r w:rsidRPr="0001508F">
        <w:rPr>
          <w:spacing w:val="1"/>
          <w:szCs w:val="24"/>
          <w:u w:val="single"/>
        </w:rPr>
        <w:t xml:space="preserve">Replacement of existing connectors shall comply with the requirements of Section 809.9 of the </w:t>
      </w:r>
      <w:r w:rsidRPr="0001508F">
        <w:rPr>
          <w:i/>
          <w:iCs/>
          <w:spacing w:val="1"/>
          <w:szCs w:val="24"/>
          <w:u w:val="single"/>
        </w:rPr>
        <w:t>New York City Existing Building Code</w:t>
      </w:r>
      <w:r w:rsidRPr="0001508F">
        <w:rPr>
          <w:spacing w:val="1"/>
          <w:szCs w:val="24"/>
          <w:u w:val="single"/>
        </w:rPr>
        <w:t>.</w:t>
      </w:r>
    </w:p>
    <w:p w14:paraId="55105DD7" w14:textId="77777777" w:rsidR="0001508F" w:rsidRPr="0001508F" w:rsidRDefault="0001508F" w:rsidP="0001508F">
      <w:pPr>
        <w:widowControl w:val="0"/>
        <w:spacing w:before="120" w:after="120" w:line="480" w:lineRule="auto"/>
        <w:ind w:firstLine="720"/>
        <w:rPr>
          <w:bCs/>
          <w:szCs w:val="24"/>
        </w:rPr>
      </w:pPr>
    </w:p>
    <w:p w14:paraId="6FECD3F9" w14:textId="77777777" w:rsidR="0001508F" w:rsidRPr="0001508F" w:rsidRDefault="0001508F" w:rsidP="0001508F">
      <w:pPr>
        <w:widowControl w:val="0"/>
        <w:spacing w:before="120" w:after="120" w:line="480" w:lineRule="auto"/>
        <w:ind w:firstLine="720"/>
        <w:rPr>
          <w:rFonts w:eastAsia="SimSun"/>
          <w:szCs w:val="24"/>
        </w:rPr>
      </w:pPr>
      <w:r w:rsidRPr="0001508F">
        <w:rPr>
          <w:bCs/>
          <w:szCs w:val="24"/>
        </w:rPr>
        <w:t>§ 130. Section 908.3.2 of the New York city mechanical code, as amended by local law number 126 for the year 2021, is amended to read as follows:</w:t>
      </w:r>
    </w:p>
    <w:p w14:paraId="6B8CF39C" w14:textId="77777777" w:rsidR="0001508F" w:rsidRPr="0001508F" w:rsidRDefault="0001508F" w:rsidP="0001508F">
      <w:pPr>
        <w:jc w:val="left"/>
        <w:rPr>
          <w:szCs w:val="24"/>
        </w:rPr>
      </w:pPr>
    </w:p>
    <w:p w14:paraId="196AA721" w14:textId="77777777" w:rsidR="0001508F" w:rsidRPr="0001508F" w:rsidRDefault="0001508F" w:rsidP="0001508F">
      <w:pPr>
        <w:jc w:val="left"/>
        <w:rPr>
          <w:szCs w:val="24"/>
        </w:rPr>
      </w:pPr>
      <w:r w:rsidRPr="0001508F">
        <w:rPr>
          <w:b/>
          <w:bCs/>
          <w:szCs w:val="24"/>
        </w:rPr>
        <w:t>908.3.2 Outside.</w:t>
      </w:r>
      <w:r w:rsidRPr="0001508F">
        <w:rPr>
          <w:bCs/>
          <w:spacing w:val="3"/>
          <w:w w:val="110"/>
          <w:szCs w:val="24"/>
        </w:rPr>
        <w:t xml:space="preserve"> </w:t>
      </w:r>
      <w:r w:rsidRPr="0001508F">
        <w:rPr>
          <w:spacing w:val="1"/>
          <w:szCs w:val="24"/>
        </w:rPr>
        <w:t>Cooling towers shall be constructed of noncombustible materials.</w:t>
      </w:r>
    </w:p>
    <w:p w14:paraId="2B9A4F6B" w14:textId="77777777" w:rsidR="0001508F" w:rsidRPr="0001508F" w:rsidRDefault="0001508F" w:rsidP="0001508F">
      <w:pPr>
        <w:widowControl w:val="0"/>
        <w:autoSpaceDE w:val="0"/>
        <w:autoSpaceDN w:val="0"/>
        <w:adjustRightInd w:val="0"/>
        <w:spacing w:before="120" w:after="120"/>
        <w:ind w:left="720"/>
        <w:rPr>
          <w:b/>
          <w:bCs/>
          <w:spacing w:val="1"/>
          <w:w w:val="110"/>
          <w:szCs w:val="24"/>
        </w:rPr>
      </w:pPr>
      <w:r w:rsidRPr="0001508F">
        <w:rPr>
          <w:b/>
          <w:szCs w:val="24"/>
        </w:rPr>
        <w:t>Exceptions:</w:t>
      </w:r>
      <w:r w:rsidRPr="0001508F">
        <w:rPr>
          <w:b/>
          <w:bCs/>
          <w:spacing w:val="1"/>
          <w:w w:val="110"/>
          <w:szCs w:val="24"/>
        </w:rPr>
        <w:t xml:space="preserve"> </w:t>
      </w:r>
    </w:p>
    <w:p w14:paraId="59E578B6" w14:textId="77777777" w:rsidR="0001508F" w:rsidRPr="0001508F" w:rsidRDefault="0001508F" w:rsidP="0001508F">
      <w:pPr>
        <w:widowControl w:val="0"/>
        <w:numPr>
          <w:ilvl w:val="0"/>
          <w:numId w:val="51"/>
        </w:numPr>
        <w:kinsoku w:val="0"/>
        <w:autoSpaceDE w:val="0"/>
        <w:autoSpaceDN w:val="0"/>
        <w:adjustRightInd w:val="0"/>
        <w:spacing w:before="120" w:after="120"/>
        <w:ind w:left="1440"/>
        <w:jc w:val="left"/>
        <w:rPr>
          <w:spacing w:val="1"/>
          <w:szCs w:val="24"/>
        </w:rPr>
      </w:pPr>
      <w:r w:rsidRPr="0001508F">
        <w:rPr>
          <w:spacing w:val="1"/>
          <w:szCs w:val="24"/>
        </w:rPr>
        <w:t xml:space="preserve">Fill and drift eliminators of limited combustible materials may be considered noncombustible if the cooling towers are provided with automatic sprinkler protection in compliance with Chapter 9 of the </w:t>
      </w:r>
      <w:r w:rsidRPr="0001508F">
        <w:rPr>
          <w:i/>
          <w:iCs/>
          <w:spacing w:val="1"/>
          <w:szCs w:val="24"/>
        </w:rPr>
        <w:t>New York City Building Code</w:t>
      </w:r>
      <w:r w:rsidRPr="0001508F">
        <w:rPr>
          <w:spacing w:val="1"/>
          <w:szCs w:val="24"/>
        </w:rPr>
        <w:t>.</w:t>
      </w:r>
    </w:p>
    <w:p w14:paraId="5354CAD6" w14:textId="77777777" w:rsidR="0001508F" w:rsidRPr="0001508F" w:rsidRDefault="0001508F" w:rsidP="0001508F">
      <w:pPr>
        <w:widowControl w:val="0"/>
        <w:numPr>
          <w:ilvl w:val="0"/>
          <w:numId w:val="51"/>
        </w:numPr>
        <w:kinsoku w:val="0"/>
        <w:autoSpaceDE w:val="0"/>
        <w:autoSpaceDN w:val="0"/>
        <w:adjustRightInd w:val="0"/>
        <w:spacing w:before="120" w:after="120"/>
        <w:ind w:left="1440"/>
        <w:jc w:val="left"/>
        <w:rPr>
          <w:spacing w:val="1"/>
          <w:szCs w:val="24"/>
        </w:rPr>
      </w:pPr>
      <w:r w:rsidRPr="0001508F">
        <w:rPr>
          <w:spacing w:val="1"/>
          <w:szCs w:val="24"/>
        </w:rPr>
        <w:t>Fill and drift eliminators for any individual cooling tower cell may be made of limited combustible materials provided all the following conditions are met:</w:t>
      </w:r>
    </w:p>
    <w:p w14:paraId="76F66315" w14:textId="77777777" w:rsidR="0001508F" w:rsidRPr="0001508F" w:rsidRDefault="0001508F" w:rsidP="0001508F">
      <w:pPr>
        <w:widowControl w:val="0"/>
        <w:numPr>
          <w:ilvl w:val="1"/>
          <w:numId w:val="51"/>
        </w:numPr>
        <w:autoSpaceDE w:val="0"/>
        <w:autoSpaceDN w:val="0"/>
        <w:adjustRightInd w:val="0"/>
        <w:spacing w:before="120" w:after="120"/>
        <w:ind w:left="1980" w:hanging="540"/>
        <w:jc w:val="left"/>
        <w:rPr>
          <w:spacing w:val="1"/>
          <w:szCs w:val="24"/>
        </w:rPr>
      </w:pPr>
      <w:r w:rsidRPr="0001508F">
        <w:rPr>
          <w:spacing w:val="1"/>
          <w:szCs w:val="24"/>
        </w:rPr>
        <w:t xml:space="preserve">The cooling tower is located on a building of construction Types IA or IB of the </w:t>
      </w:r>
      <w:r w:rsidRPr="0001508F">
        <w:rPr>
          <w:i/>
          <w:iCs/>
          <w:spacing w:val="1"/>
          <w:szCs w:val="24"/>
        </w:rPr>
        <w:t>New York City Building Code</w:t>
      </w:r>
      <w:r w:rsidRPr="0001508F">
        <w:rPr>
          <w:spacing w:val="1"/>
          <w:szCs w:val="24"/>
        </w:rPr>
        <w:t>.</w:t>
      </w:r>
    </w:p>
    <w:p w14:paraId="654419AF" w14:textId="77777777" w:rsidR="0001508F" w:rsidRPr="0001508F" w:rsidRDefault="0001508F" w:rsidP="0001508F">
      <w:pPr>
        <w:widowControl w:val="0"/>
        <w:numPr>
          <w:ilvl w:val="1"/>
          <w:numId w:val="51"/>
        </w:numPr>
        <w:autoSpaceDE w:val="0"/>
        <w:autoSpaceDN w:val="0"/>
        <w:adjustRightInd w:val="0"/>
        <w:spacing w:before="120" w:after="120"/>
        <w:ind w:left="1980" w:hanging="540"/>
        <w:jc w:val="left"/>
        <w:rPr>
          <w:spacing w:val="1"/>
          <w:szCs w:val="24"/>
        </w:rPr>
      </w:pPr>
      <w:r w:rsidRPr="0001508F">
        <w:rPr>
          <w:spacing w:val="1"/>
          <w:szCs w:val="24"/>
        </w:rPr>
        <w:t>The cooling tower cell is located at least 30 feet (9144 mm) away from windows or fresh air intakes which are at an elevation above the roof on which the cooling tower is located, whether in the same building or in an adjoining building.</w:t>
      </w:r>
    </w:p>
    <w:p w14:paraId="009A2E90" w14:textId="77777777" w:rsidR="0001508F" w:rsidRPr="0001508F" w:rsidRDefault="0001508F" w:rsidP="0001508F">
      <w:pPr>
        <w:widowControl w:val="0"/>
        <w:numPr>
          <w:ilvl w:val="1"/>
          <w:numId w:val="51"/>
        </w:numPr>
        <w:autoSpaceDE w:val="0"/>
        <w:autoSpaceDN w:val="0"/>
        <w:adjustRightInd w:val="0"/>
        <w:spacing w:before="120" w:after="120"/>
        <w:ind w:left="1980" w:hanging="540"/>
        <w:jc w:val="left"/>
        <w:rPr>
          <w:spacing w:val="1"/>
          <w:szCs w:val="24"/>
        </w:rPr>
      </w:pPr>
      <w:r w:rsidRPr="0001508F">
        <w:rPr>
          <w:spacing w:val="1"/>
          <w:szCs w:val="24"/>
        </w:rPr>
        <w:t>The cooling tower cell is located not less than 15 feet (4572 mm) from the lot line.</w:t>
      </w:r>
    </w:p>
    <w:p w14:paraId="35F8F193" w14:textId="77777777" w:rsidR="0001508F" w:rsidRPr="0001508F" w:rsidRDefault="0001508F" w:rsidP="0001508F">
      <w:pPr>
        <w:widowControl w:val="0"/>
        <w:autoSpaceDE w:val="0"/>
        <w:autoSpaceDN w:val="0"/>
        <w:adjustRightInd w:val="0"/>
        <w:spacing w:before="120" w:after="120"/>
        <w:ind w:left="1980" w:hanging="540"/>
        <w:rPr>
          <w:spacing w:val="1"/>
          <w:szCs w:val="24"/>
        </w:rPr>
      </w:pPr>
      <w:r w:rsidRPr="0001508F">
        <w:rPr>
          <w:spacing w:val="1"/>
          <w:szCs w:val="24"/>
        </w:rPr>
        <w:t>2.4.</w:t>
      </w:r>
      <w:r w:rsidRPr="0001508F">
        <w:rPr>
          <w:spacing w:val="1"/>
          <w:szCs w:val="24"/>
        </w:rPr>
        <w:tab/>
        <w:t>The cooling tower cell is located not less than 10 feet (3048 mm) from any chimney, except that the distance shall not be less than 20 feet (6096 mm) from a chimney venting products of combustion other than from gas- or oil-fired appliances, whether on the same or an adjoining building.</w:t>
      </w:r>
    </w:p>
    <w:p w14:paraId="2A587523" w14:textId="77777777" w:rsidR="0001508F" w:rsidRPr="0001508F" w:rsidRDefault="0001508F" w:rsidP="0001508F">
      <w:pPr>
        <w:widowControl w:val="0"/>
        <w:kinsoku w:val="0"/>
        <w:autoSpaceDE w:val="0"/>
        <w:autoSpaceDN w:val="0"/>
        <w:adjustRightInd w:val="0"/>
        <w:spacing w:before="120" w:after="120"/>
        <w:ind w:left="1440" w:hanging="360"/>
        <w:rPr>
          <w:spacing w:val="1"/>
          <w:szCs w:val="24"/>
          <w:u w:val="single"/>
        </w:rPr>
      </w:pPr>
      <w:r w:rsidRPr="0001508F">
        <w:rPr>
          <w:spacing w:val="1"/>
          <w:szCs w:val="24"/>
          <w:u w:val="single"/>
        </w:rPr>
        <w:t>3.</w:t>
      </w:r>
      <w:r w:rsidRPr="0001508F">
        <w:rPr>
          <w:spacing w:val="1"/>
          <w:szCs w:val="24"/>
          <w:u w:val="single"/>
        </w:rPr>
        <w:tab/>
        <w:t xml:space="preserve">Replacement cooling towers in prior code buildings shall comply with the requirements of Section 809.10 of the </w:t>
      </w:r>
      <w:r w:rsidRPr="0001508F">
        <w:rPr>
          <w:i/>
          <w:iCs/>
          <w:spacing w:val="1"/>
          <w:szCs w:val="24"/>
          <w:u w:val="single"/>
        </w:rPr>
        <w:t>New York City Existing Building Code</w:t>
      </w:r>
      <w:r w:rsidRPr="0001508F">
        <w:rPr>
          <w:spacing w:val="1"/>
          <w:szCs w:val="24"/>
          <w:u w:val="single"/>
        </w:rPr>
        <w:t>.</w:t>
      </w:r>
    </w:p>
    <w:p w14:paraId="1E9291C4" w14:textId="77777777" w:rsidR="0001508F" w:rsidRPr="0001508F" w:rsidRDefault="0001508F" w:rsidP="0001508F">
      <w:pPr>
        <w:widowControl w:val="0"/>
        <w:spacing w:before="120" w:after="120" w:line="480" w:lineRule="auto"/>
        <w:ind w:firstLine="720"/>
        <w:rPr>
          <w:bCs/>
          <w:szCs w:val="24"/>
        </w:rPr>
      </w:pPr>
    </w:p>
    <w:p w14:paraId="77EEBBB4" w14:textId="77777777" w:rsidR="0001508F" w:rsidRPr="0001508F" w:rsidRDefault="0001508F" w:rsidP="0001508F">
      <w:pPr>
        <w:widowControl w:val="0"/>
        <w:spacing w:before="120" w:after="120" w:line="480" w:lineRule="auto"/>
        <w:ind w:firstLine="720"/>
        <w:rPr>
          <w:rFonts w:eastAsia="SimSun"/>
          <w:szCs w:val="24"/>
        </w:rPr>
      </w:pPr>
      <w:r w:rsidRPr="0001508F">
        <w:rPr>
          <w:bCs/>
          <w:szCs w:val="24"/>
        </w:rPr>
        <w:t>§ 131. Section 1004.3 of the New York city mechanical code, as amended by local law number 126 for the year 2021, is amended to read as follows:</w:t>
      </w:r>
    </w:p>
    <w:p w14:paraId="1CA3EEBD" w14:textId="77777777" w:rsidR="0001508F" w:rsidRPr="0001508F" w:rsidRDefault="0001508F" w:rsidP="0001508F">
      <w:pPr>
        <w:widowControl w:val="0"/>
        <w:tabs>
          <w:tab w:val="left" w:pos="-2610"/>
        </w:tabs>
        <w:autoSpaceDE w:val="0"/>
        <w:autoSpaceDN w:val="0"/>
        <w:adjustRightInd w:val="0"/>
        <w:spacing w:before="120" w:after="120"/>
        <w:rPr>
          <w:bCs/>
          <w:szCs w:val="24"/>
        </w:rPr>
      </w:pPr>
      <w:r w:rsidRPr="0001508F">
        <w:rPr>
          <w:b/>
          <w:szCs w:val="24"/>
        </w:rPr>
        <w:t>1004.3 Working clearance.</w:t>
      </w:r>
      <w:r w:rsidRPr="0001508F">
        <w:rPr>
          <w:b/>
          <w:spacing w:val="-4"/>
          <w:w w:val="110"/>
          <w:szCs w:val="24"/>
        </w:rPr>
        <w:t xml:space="preserve"> </w:t>
      </w:r>
      <w:r w:rsidRPr="0001508F">
        <w:rPr>
          <w:bCs/>
          <w:szCs w:val="24"/>
        </w:rPr>
        <w:t>Clearances shall be maintained around boilers, generators, heaters, tanks and related equipment and appliances so as to permit inspection, servicing, repair, replacement and visibility of all gauges. When boilers are installed or replaced, clearance shall be provided to allow access for maintenance and repair</w:t>
      </w:r>
      <w:r w:rsidRPr="0001508F">
        <w:rPr>
          <w:bCs/>
          <w:spacing w:val="1"/>
          <w:szCs w:val="24"/>
        </w:rPr>
        <w:t xml:space="preserve"> per the boiler’s listing and manufacturer’s instructions.</w:t>
      </w:r>
      <w:r w:rsidRPr="0001508F">
        <w:rPr>
          <w:bCs/>
          <w:szCs w:val="24"/>
        </w:rPr>
        <w:t xml:space="preserve"> Passageways </w:t>
      </w:r>
      <w:r w:rsidRPr="0001508F">
        <w:rPr>
          <w:bCs/>
          <w:spacing w:val="1"/>
          <w:szCs w:val="24"/>
        </w:rPr>
        <w:t xml:space="preserve">for inspection </w:t>
      </w:r>
      <w:r w:rsidRPr="0001508F">
        <w:rPr>
          <w:bCs/>
          <w:szCs w:val="24"/>
        </w:rPr>
        <w:t xml:space="preserve">around all sides of boilers shall have an unobstructed width of not less than 18 inches </w:t>
      </w:r>
      <w:r w:rsidRPr="0001508F">
        <w:rPr>
          <w:bCs/>
          <w:spacing w:val="1"/>
          <w:szCs w:val="24"/>
        </w:rPr>
        <w:t xml:space="preserve">(457.2 mm) </w:t>
      </w:r>
      <w:r w:rsidRPr="0001508F">
        <w:rPr>
          <w:bCs/>
          <w:szCs w:val="24"/>
        </w:rPr>
        <w:t xml:space="preserve">unless </w:t>
      </w:r>
      <w:r w:rsidRPr="0001508F">
        <w:rPr>
          <w:bCs/>
          <w:spacing w:val="1"/>
          <w:szCs w:val="24"/>
        </w:rPr>
        <w:t xml:space="preserve">the boiler’s listing or department approval or manufacturer’s instructions state </w:t>
      </w:r>
      <w:r w:rsidRPr="0001508F">
        <w:rPr>
          <w:bCs/>
          <w:szCs w:val="24"/>
        </w:rPr>
        <w:t>otherwise.</w:t>
      </w:r>
    </w:p>
    <w:p w14:paraId="580A965C" w14:textId="77777777" w:rsidR="0001508F" w:rsidRPr="0001508F" w:rsidRDefault="0001508F" w:rsidP="0001508F">
      <w:pPr>
        <w:widowControl w:val="0"/>
        <w:autoSpaceDE w:val="0"/>
        <w:autoSpaceDN w:val="0"/>
        <w:adjustRightInd w:val="0"/>
        <w:spacing w:before="120" w:after="120"/>
        <w:ind w:left="360"/>
        <w:rPr>
          <w:spacing w:val="1"/>
          <w:szCs w:val="24"/>
          <w:u w:val="single"/>
        </w:rPr>
      </w:pPr>
      <w:r w:rsidRPr="0001508F">
        <w:rPr>
          <w:b/>
          <w:bCs/>
          <w:spacing w:val="1"/>
          <w:szCs w:val="24"/>
          <w:u w:val="single"/>
        </w:rPr>
        <w:t>Exception:</w:t>
      </w:r>
      <w:r w:rsidRPr="0001508F">
        <w:rPr>
          <w:spacing w:val="1"/>
          <w:szCs w:val="24"/>
          <w:u w:val="single"/>
        </w:rPr>
        <w:t xml:space="preserve"> Where a boiler or appliance in an existing building is being replaced in-kind, the clearances at such boiler or appliance shall comply with the requirements of Section 809.11 of the </w:t>
      </w:r>
      <w:r w:rsidRPr="0001508F">
        <w:rPr>
          <w:i/>
          <w:iCs/>
          <w:spacing w:val="1"/>
          <w:szCs w:val="24"/>
          <w:u w:val="single"/>
        </w:rPr>
        <w:t>New York City Existing Building Code</w:t>
      </w:r>
      <w:r w:rsidRPr="0001508F">
        <w:rPr>
          <w:spacing w:val="1"/>
          <w:szCs w:val="24"/>
          <w:u w:val="single"/>
        </w:rPr>
        <w:t>.</w:t>
      </w:r>
    </w:p>
    <w:p w14:paraId="29372F20" w14:textId="77777777" w:rsidR="0001508F" w:rsidRPr="0001508F" w:rsidRDefault="0001508F" w:rsidP="0001508F">
      <w:pPr>
        <w:widowControl w:val="0"/>
        <w:spacing w:before="120" w:after="120" w:line="480" w:lineRule="auto"/>
        <w:ind w:firstLine="720"/>
        <w:rPr>
          <w:rFonts w:eastAsia="SimSun"/>
          <w:szCs w:val="24"/>
        </w:rPr>
      </w:pPr>
      <w:r w:rsidRPr="0001508F">
        <w:rPr>
          <w:bCs/>
          <w:szCs w:val="24"/>
        </w:rPr>
        <w:t>§ 132. Section 1004.3.1 of the New York city mechanical code, as amended by local law number 126 for the year 2021, is amended to read as follows:</w:t>
      </w:r>
    </w:p>
    <w:p w14:paraId="4517A116" w14:textId="77777777" w:rsidR="0001508F" w:rsidRPr="0001508F" w:rsidRDefault="0001508F" w:rsidP="0001508F">
      <w:pPr>
        <w:widowControl w:val="0"/>
        <w:autoSpaceDE w:val="0"/>
        <w:autoSpaceDN w:val="0"/>
        <w:adjustRightInd w:val="0"/>
        <w:spacing w:before="120" w:after="120"/>
        <w:rPr>
          <w:spacing w:val="1"/>
          <w:szCs w:val="24"/>
        </w:rPr>
      </w:pPr>
      <w:r w:rsidRPr="0001508F">
        <w:rPr>
          <w:b/>
          <w:szCs w:val="24"/>
        </w:rPr>
        <w:t>1004.3.1 Top clearance.</w:t>
      </w:r>
      <w:r w:rsidRPr="0001508F">
        <w:rPr>
          <w:b/>
          <w:bCs/>
          <w:spacing w:val="-2"/>
          <w:w w:val="110"/>
          <w:szCs w:val="24"/>
        </w:rPr>
        <w:t xml:space="preserve"> </w:t>
      </w:r>
      <w:r w:rsidRPr="0001508F">
        <w:rPr>
          <w:bCs/>
          <w:szCs w:val="24"/>
        </w:rPr>
        <w:t>Clearances from the tops of boilers to the ceiling or other overhead obstruction shall be in accordance with Table 1004.3.1.</w:t>
      </w:r>
    </w:p>
    <w:p w14:paraId="368BA741" w14:textId="77777777" w:rsidR="0001508F" w:rsidRPr="0001508F" w:rsidRDefault="0001508F" w:rsidP="0001508F">
      <w:pPr>
        <w:widowControl w:val="0"/>
        <w:autoSpaceDE w:val="0"/>
        <w:autoSpaceDN w:val="0"/>
        <w:adjustRightInd w:val="0"/>
        <w:spacing w:before="120" w:after="120"/>
        <w:ind w:left="360"/>
        <w:rPr>
          <w:spacing w:val="1"/>
          <w:szCs w:val="24"/>
        </w:rPr>
      </w:pPr>
      <w:r w:rsidRPr="0001508F">
        <w:rPr>
          <w:b/>
          <w:szCs w:val="24"/>
          <w:u w:val="single"/>
        </w:rPr>
        <w:t>Exception.</w:t>
      </w:r>
      <w:r w:rsidRPr="0001508F">
        <w:rPr>
          <w:szCs w:val="24"/>
          <w:u w:val="single"/>
        </w:rPr>
        <w:t xml:space="preserve"> </w:t>
      </w:r>
      <w:r w:rsidRPr="0001508F">
        <w:rPr>
          <w:spacing w:val="1"/>
          <w:szCs w:val="24"/>
          <w:u w:val="single"/>
        </w:rPr>
        <w:t xml:space="preserve">Where an appliance in an existing building is being replaced in-kind, the clearance at such appliance shall comply with the requirements of Section 809.11 of the </w:t>
      </w:r>
      <w:r w:rsidRPr="0001508F">
        <w:rPr>
          <w:i/>
          <w:iCs/>
          <w:spacing w:val="1"/>
          <w:szCs w:val="24"/>
          <w:u w:val="single"/>
        </w:rPr>
        <w:t>New York City Existing Building Code</w:t>
      </w:r>
      <w:r w:rsidRPr="0001508F">
        <w:rPr>
          <w:spacing w:val="1"/>
          <w:szCs w:val="24"/>
          <w:u w:val="single"/>
        </w:rPr>
        <w:t xml:space="preserve">. </w:t>
      </w:r>
    </w:p>
    <w:p w14:paraId="269C2F6C" w14:textId="77777777" w:rsidR="0001508F" w:rsidRPr="0001508F" w:rsidRDefault="0001508F" w:rsidP="0001508F">
      <w:pPr>
        <w:widowControl w:val="0"/>
        <w:spacing w:before="120" w:after="120" w:line="480" w:lineRule="auto"/>
        <w:ind w:firstLine="720"/>
        <w:rPr>
          <w:rFonts w:eastAsia="SimSun"/>
          <w:szCs w:val="24"/>
        </w:rPr>
      </w:pPr>
      <w:r w:rsidRPr="0001508F">
        <w:rPr>
          <w:bCs/>
          <w:szCs w:val="24"/>
        </w:rPr>
        <w:t>§ 133. Section 1301.1 of the New York city mechanical code, as amended by local law number 126 for the year 2021, is amended to read as follows:</w:t>
      </w:r>
    </w:p>
    <w:p w14:paraId="50D40EA9" w14:textId="77777777" w:rsidR="0001508F" w:rsidRPr="0001508F" w:rsidRDefault="0001508F" w:rsidP="0001508F">
      <w:pPr>
        <w:jc w:val="left"/>
        <w:rPr>
          <w:szCs w:val="24"/>
        </w:rPr>
      </w:pPr>
      <w:bookmarkStart w:id="307" w:name="_Hlk117169140"/>
      <w:r w:rsidRPr="0001508F">
        <w:rPr>
          <w:b/>
          <w:szCs w:val="24"/>
        </w:rPr>
        <w:t xml:space="preserve">1301.1 Scope. </w:t>
      </w:r>
      <w:r w:rsidRPr="0001508F">
        <w:rPr>
          <w:szCs w:val="24"/>
        </w:rPr>
        <w:t>This chapter shall govern the design, installation,</w:t>
      </w:r>
      <w:r w:rsidRPr="0001508F">
        <w:rPr>
          <w:szCs w:val="24"/>
          <w:u w:val="single"/>
        </w:rPr>
        <w:t xml:space="preserve"> and</w:t>
      </w:r>
      <w:r w:rsidRPr="0001508F">
        <w:rPr>
          <w:szCs w:val="24"/>
        </w:rPr>
        <w:t xml:space="preserve"> construction [</w:t>
      </w:r>
      <w:r w:rsidRPr="0001508F">
        <w:rPr>
          <w:strike/>
          <w:szCs w:val="24"/>
        </w:rPr>
        <w:t>and repair</w:t>
      </w:r>
      <w:r w:rsidRPr="0001508F">
        <w:rPr>
          <w:szCs w:val="24"/>
        </w:rPr>
        <w:t xml:space="preserve">] of fuel-oil storage and piping systems. </w:t>
      </w:r>
      <w:r w:rsidRPr="0001508F">
        <w:rPr>
          <w:spacing w:val="1"/>
          <w:szCs w:val="24"/>
          <w:u w:val="single"/>
        </w:rPr>
        <w:t xml:space="preserve">Alterations, additions, and repairs to existing fuel-oil storage and piping systems shall comply with the requirements of the </w:t>
      </w:r>
      <w:r w:rsidRPr="0001508F">
        <w:rPr>
          <w:i/>
          <w:iCs/>
          <w:spacing w:val="1"/>
          <w:szCs w:val="24"/>
          <w:u w:val="single"/>
        </w:rPr>
        <w:t>New York City Existing Building Code</w:t>
      </w:r>
      <w:r w:rsidRPr="0001508F">
        <w:rPr>
          <w:spacing w:val="1"/>
          <w:szCs w:val="24"/>
          <w:u w:val="single"/>
        </w:rPr>
        <w:t>.</w:t>
      </w:r>
      <w:r w:rsidRPr="0001508F">
        <w:rPr>
          <w:spacing w:val="1"/>
          <w:szCs w:val="24"/>
        </w:rPr>
        <w:t xml:space="preserve"> </w:t>
      </w:r>
      <w:r w:rsidRPr="0001508F">
        <w:rPr>
          <w:szCs w:val="24"/>
        </w:rPr>
        <w:t xml:space="preserve">The storage of flammable and combustible liquids </w:t>
      </w:r>
      <w:r w:rsidRPr="0001508F">
        <w:rPr>
          <w:spacing w:val="1"/>
          <w:szCs w:val="24"/>
        </w:rPr>
        <w:t xml:space="preserve">not addressed in this chapter </w:t>
      </w:r>
      <w:r w:rsidRPr="0001508F">
        <w:rPr>
          <w:szCs w:val="24"/>
        </w:rPr>
        <w:t xml:space="preserve">shall be in accordance with the </w:t>
      </w:r>
      <w:r w:rsidRPr="0001508F">
        <w:rPr>
          <w:i/>
          <w:iCs/>
          <w:spacing w:val="1"/>
          <w:szCs w:val="24"/>
        </w:rPr>
        <w:t>New York City</w:t>
      </w:r>
      <w:r w:rsidRPr="0001508F">
        <w:rPr>
          <w:i/>
          <w:iCs/>
          <w:szCs w:val="24"/>
        </w:rPr>
        <w:t xml:space="preserve"> Fire Code</w:t>
      </w:r>
      <w:r w:rsidRPr="0001508F">
        <w:rPr>
          <w:szCs w:val="24"/>
        </w:rPr>
        <w:t>.</w:t>
      </w:r>
    </w:p>
    <w:bookmarkEnd w:id="307"/>
    <w:p w14:paraId="72434DB9" w14:textId="77777777" w:rsidR="0001508F" w:rsidRPr="0001508F" w:rsidRDefault="0001508F" w:rsidP="0001508F">
      <w:pPr>
        <w:widowControl w:val="0"/>
        <w:spacing w:before="120" w:after="120" w:line="480" w:lineRule="auto"/>
        <w:ind w:firstLine="720"/>
        <w:rPr>
          <w:rFonts w:eastAsia="SimSun"/>
          <w:szCs w:val="24"/>
        </w:rPr>
      </w:pPr>
      <w:r w:rsidRPr="0001508F">
        <w:rPr>
          <w:bCs/>
          <w:szCs w:val="24"/>
        </w:rPr>
        <w:t>§ 134. Section 1305.9.1 of the New York city mechanical code, as amended by local law number 126 for the year 2021, is amended to read as follows:</w:t>
      </w:r>
    </w:p>
    <w:p w14:paraId="1B09945E" w14:textId="77777777" w:rsidR="0001508F" w:rsidRPr="0001508F" w:rsidRDefault="0001508F" w:rsidP="0001508F">
      <w:pPr>
        <w:widowControl w:val="0"/>
        <w:autoSpaceDE w:val="0"/>
        <w:autoSpaceDN w:val="0"/>
        <w:adjustRightInd w:val="0"/>
        <w:spacing w:before="120" w:after="120"/>
        <w:rPr>
          <w:spacing w:val="1"/>
          <w:szCs w:val="24"/>
        </w:rPr>
      </w:pPr>
    </w:p>
    <w:p w14:paraId="598D8BD3" w14:textId="77777777" w:rsidR="0001508F" w:rsidRPr="0001508F" w:rsidRDefault="0001508F" w:rsidP="0001508F">
      <w:pPr>
        <w:widowControl w:val="0"/>
        <w:autoSpaceDE w:val="0"/>
        <w:autoSpaceDN w:val="0"/>
        <w:adjustRightInd w:val="0"/>
        <w:spacing w:before="120" w:after="120"/>
        <w:rPr>
          <w:spacing w:val="1"/>
          <w:szCs w:val="24"/>
        </w:rPr>
      </w:pPr>
      <w:r w:rsidRPr="0001508F">
        <w:rPr>
          <w:b/>
          <w:bCs/>
          <w:szCs w:val="24"/>
        </w:rPr>
        <w:t>1305.9.1</w:t>
      </w:r>
      <w:r w:rsidRPr="0001508F">
        <w:rPr>
          <w:szCs w:val="24"/>
        </w:rPr>
        <w:t xml:space="preserve"> </w:t>
      </w:r>
      <w:r w:rsidRPr="0001508F">
        <w:rPr>
          <w:b/>
          <w:szCs w:val="24"/>
        </w:rPr>
        <w:t>Shaft enclosure.</w:t>
      </w:r>
      <w:r w:rsidRPr="0001508F">
        <w:rPr>
          <w:b/>
          <w:bCs/>
          <w:spacing w:val="-3"/>
          <w:w w:val="110"/>
          <w:szCs w:val="24"/>
        </w:rPr>
        <w:t xml:space="preserve"> </w:t>
      </w:r>
      <w:r w:rsidRPr="0001508F">
        <w:rPr>
          <w:bCs/>
          <w:spacing w:val="1"/>
          <w:szCs w:val="24"/>
        </w:rPr>
        <w:t xml:space="preserve">The piping from a transfer pump to equipment at levels above the lowest floor or storage tanks at levels above the lowest floor in buildings, the return or overflow piping, and vent piping where required to be connected to the main storage tank shall be enclosed in a shaft constructed of 4-inch (101.6 mm) concrete or masonry having a 4-inch (101.6 mm) clearance from all pipe or pipe covering in accordance with the </w:t>
      </w:r>
      <w:r w:rsidRPr="0001508F">
        <w:rPr>
          <w:bCs/>
          <w:i/>
          <w:iCs/>
          <w:spacing w:val="1"/>
          <w:szCs w:val="24"/>
        </w:rPr>
        <w:t>New York City Building Code</w:t>
      </w:r>
      <w:r w:rsidRPr="0001508F">
        <w:rPr>
          <w:bCs/>
          <w:spacing w:val="1"/>
          <w:szCs w:val="24"/>
        </w:rPr>
        <w:t>. Multiple fuel oil risers serving multiple systems are permitted within a common shaft enclosure. All shaft penetrations shall be fire stopped.</w:t>
      </w:r>
    </w:p>
    <w:p w14:paraId="263A07E7" w14:textId="77777777" w:rsidR="0001508F" w:rsidRPr="0001508F" w:rsidRDefault="0001508F" w:rsidP="0001508F">
      <w:pPr>
        <w:widowControl w:val="0"/>
        <w:autoSpaceDE w:val="0"/>
        <w:autoSpaceDN w:val="0"/>
        <w:adjustRightInd w:val="0"/>
        <w:spacing w:before="120" w:after="120"/>
        <w:ind w:left="720"/>
        <w:rPr>
          <w:b/>
          <w:bCs/>
          <w:spacing w:val="1"/>
          <w:szCs w:val="24"/>
        </w:rPr>
      </w:pPr>
      <w:r w:rsidRPr="0001508F">
        <w:rPr>
          <w:b/>
          <w:bCs/>
          <w:spacing w:val="1"/>
          <w:szCs w:val="24"/>
        </w:rPr>
        <w:t>Exceptions:</w:t>
      </w:r>
    </w:p>
    <w:p w14:paraId="1B4DF220" w14:textId="77777777" w:rsidR="0001508F" w:rsidRPr="0001508F" w:rsidRDefault="0001508F" w:rsidP="0001508F">
      <w:pPr>
        <w:widowControl w:val="0"/>
        <w:autoSpaceDE w:val="0"/>
        <w:autoSpaceDN w:val="0"/>
        <w:adjustRightInd w:val="0"/>
        <w:spacing w:before="120" w:after="120"/>
        <w:ind w:left="1440" w:hanging="360"/>
        <w:rPr>
          <w:spacing w:val="1"/>
          <w:szCs w:val="24"/>
        </w:rPr>
      </w:pPr>
      <w:r w:rsidRPr="0001508F">
        <w:rPr>
          <w:spacing w:val="1"/>
          <w:szCs w:val="24"/>
        </w:rPr>
        <w:t>1.</w:t>
      </w:r>
      <w:r w:rsidRPr="0001508F">
        <w:rPr>
          <w:spacing w:val="1"/>
          <w:szCs w:val="24"/>
        </w:rPr>
        <w:tab/>
        <w:t>An enclosure shall not be required for piping located within the same room as the pump, tank, or equipment where such room is itself enclosed with construction and materials having at least a 2-hour fire-resistance rating.</w:t>
      </w:r>
    </w:p>
    <w:p w14:paraId="184E7ADD" w14:textId="77777777" w:rsidR="0001508F" w:rsidRPr="0001508F" w:rsidRDefault="0001508F" w:rsidP="0001508F">
      <w:pPr>
        <w:widowControl w:val="0"/>
        <w:autoSpaceDE w:val="0"/>
        <w:autoSpaceDN w:val="0"/>
        <w:adjustRightInd w:val="0"/>
        <w:spacing w:before="120" w:after="120"/>
        <w:ind w:left="1440" w:hanging="360"/>
        <w:rPr>
          <w:spacing w:val="1"/>
          <w:szCs w:val="24"/>
        </w:rPr>
      </w:pPr>
      <w:r w:rsidRPr="0001508F">
        <w:rPr>
          <w:spacing w:val="1"/>
          <w:szCs w:val="24"/>
        </w:rPr>
        <w:t>2.</w:t>
      </w:r>
      <w:r w:rsidRPr="0001508F">
        <w:rPr>
          <w:spacing w:val="1"/>
          <w:szCs w:val="24"/>
        </w:rPr>
        <w:tab/>
      </w:r>
      <w:bookmarkStart w:id="308" w:name="_Hlk122426916"/>
      <w:r w:rsidRPr="0001508F">
        <w:rPr>
          <w:spacing w:val="1"/>
          <w:szCs w:val="24"/>
        </w:rPr>
        <w:t xml:space="preserve">An enclosure shall not be required for outdoor piping in existing buildings </w:t>
      </w:r>
      <w:r w:rsidRPr="0001508F">
        <w:rPr>
          <w:spacing w:val="1"/>
          <w:szCs w:val="24"/>
          <w:u w:val="single"/>
        </w:rPr>
        <w:t>that are</w:t>
      </w:r>
      <w:r w:rsidRPr="0001508F">
        <w:rPr>
          <w:spacing w:val="1"/>
          <w:szCs w:val="24"/>
        </w:rPr>
        <w:t xml:space="preserve"> in compliance with Section [</w:t>
      </w:r>
      <w:r w:rsidRPr="0001508F">
        <w:rPr>
          <w:strike/>
          <w:spacing w:val="1"/>
          <w:szCs w:val="24"/>
        </w:rPr>
        <w:t>1305.9.13</w:t>
      </w:r>
      <w:r w:rsidRPr="0001508F">
        <w:rPr>
          <w:spacing w:val="1"/>
          <w:szCs w:val="24"/>
        </w:rPr>
        <w:t xml:space="preserve">] </w:t>
      </w:r>
      <w:r w:rsidRPr="0001508F">
        <w:rPr>
          <w:spacing w:val="1"/>
          <w:szCs w:val="24"/>
          <w:u w:val="single"/>
        </w:rPr>
        <w:t xml:space="preserve">809.14.2 of the </w:t>
      </w:r>
      <w:r w:rsidRPr="0001508F">
        <w:rPr>
          <w:i/>
          <w:iCs/>
          <w:spacing w:val="1"/>
          <w:szCs w:val="24"/>
          <w:u w:val="single"/>
        </w:rPr>
        <w:t>New York City Existing Building Code</w:t>
      </w:r>
      <w:r w:rsidRPr="0001508F">
        <w:rPr>
          <w:spacing w:val="1"/>
          <w:szCs w:val="24"/>
        </w:rPr>
        <w:t>.</w:t>
      </w:r>
    </w:p>
    <w:bookmarkEnd w:id="308"/>
    <w:p w14:paraId="15CC1D78" w14:textId="77777777" w:rsidR="0001508F" w:rsidRPr="0001508F" w:rsidRDefault="0001508F" w:rsidP="0001508F">
      <w:pPr>
        <w:widowControl w:val="0"/>
        <w:autoSpaceDE w:val="0"/>
        <w:autoSpaceDN w:val="0"/>
        <w:adjustRightInd w:val="0"/>
        <w:spacing w:before="120" w:after="120"/>
        <w:ind w:left="1440" w:hanging="360"/>
        <w:rPr>
          <w:spacing w:val="1"/>
          <w:szCs w:val="24"/>
        </w:rPr>
      </w:pPr>
      <w:r w:rsidRPr="0001508F">
        <w:rPr>
          <w:spacing w:val="1"/>
          <w:szCs w:val="24"/>
        </w:rPr>
        <w:t>3.</w:t>
      </w:r>
      <w:r w:rsidRPr="0001508F">
        <w:rPr>
          <w:spacing w:val="1"/>
          <w:szCs w:val="24"/>
        </w:rPr>
        <w:tab/>
        <w:t xml:space="preserve">A concrete or masonry shaft enclosure shall not be required for metallic double wall flexible fuel oil piping installed in a shaft enclosure having a fire-resistance rating of at least 2-hours and that complies with Sections 703.2 and 708 of the </w:t>
      </w:r>
      <w:r w:rsidRPr="0001508F">
        <w:rPr>
          <w:i/>
          <w:iCs/>
          <w:spacing w:val="1"/>
          <w:szCs w:val="24"/>
        </w:rPr>
        <w:t>New York City Building Code</w:t>
      </w:r>
      <w:r w:rsidRPr="0001508F">
        <w:rPr>
          <w:spacing w:val="1"/>
          <w:szCs w:val="24"/>
        </w:rPr>
        <w:t>.</w:t>
      </w:r>
    </w:p>
    <w:p w14:paraId="52934C60" w14:textId="77777777" w:rsidR="0001508F" w:rsidRPr="0001508F" w:rsidRDefault="0001508F" w:rsidP="0001508F">
      <w:pPr>
        <w:widowControl w:val="0"/>
        <w:spacing w:before="120" w:after="120" w:line="480" w:lineRule="auto"/>
        <w:ind w:firstLine="720"/>
        <w:rPr>
          <w:bCs/>
          <w:szCs w:val="24"/>
        </w:rPr>
      </w:pPr>
      <w:r w:rsidRPr="0001508F">
        <w:rPr>
          <w:bCs/>
          <w:szCs w:val="24"/>
        </w:rPr>
        <w:t>§ 135. Sections 1305.9.13 and 1305.16.1 of the New York city mechanical code are REPEALED.</w:t>
      </w:r>
    </w:p>
    <w:p w14:paraId="77E5D929" w14:textId="77777777" w:rsidR="0001508F" w:rsidRPr="0001508F" w:rsidRDefault="0001508F" w:rsidP="0001508F">
      <w:pPr>
        <w:widowControl w:val="0"/>
        <w:spacing w:before="120" w:after="120" w:line="480" w:lineRule="auto"/>
        <w:ind w:firstLine="720"/>
        <w:rPr>
          <w:rFonts w:eastAsia="SimSun"/>
          <w:szCs w:val="24"/>
        </w:rPr>
      </w:pPr>
      <w:r w:rsidRPr="0001508F">
        <w:rPr>
          <w:bCs/>
          <w:szCs w:val="24"/>
        </w:rPr>
        <w:t>§ 136. Sections 102.2.1 and 102.2.2 of the New York city plumbing code are REPEALED.</w:t>
      </w:r>
    </w:p>
    <w:p w14:paraId="47C8F560" w14:textId="77777777" w:rsidR="0001508F" w:rsidRPr="0001508F" w:rsidRDefault="0001508F" w:rsidP="0001508F">
      <w:pPr>
        <w:widowControl w:val="0"/>
        <w:tabs>
          <w:tab w:val="left" w:pos="-2610"/>
        </w:tabs>
        <w:autoSpaceDE w:val="0"/>
        <w:autoSpaceDN w:val="0"/>
        <w:adjustRightInd w:val="0"/>
        <w:spacing w:before="120" w:after="120"/>
        <w:rPr>
          <w:szCs w:val="24"/>
        </w:rPr>
      </w:pPr>
    </w:p>
    <w:p w14:paraId="037A4AE8" w14:textId="77777777" w:rsidR="0001508F" w:rsidRPr="0001508F" w:rsidRDefault="0001508F" w:rsidP="0001508F">
      <w:pPr>
        <w:widowControl w:val="0"/>
        <w:autoSpaceDE w:val="0"/>
        <w:autoSpaceDN w:val="0"/>
        <w:adjustRightInd w:val="0"/>
        <w:spacing w:before="120" w:after="120"/>
        <w:ind w:left="720"/>
        <w:rPr>
          <w:bCs/>
          <w:szCs w:val="24"/>
        </w:rPr>
        <w:sectPr w:rsidR="0001508F" w:rsidRPr="0001508F" w:rsidSect="0001508F">
          <w:pgSz w:w="12240" w:h="15840"/>
          <w:pgMar w:top="1440" w:right="1440" w:bottom="1440" w:left="1440" w:header="720" w:footer="720" w:gutter="0"/>
          <w:lnNumType w:countBy="1"/>
          <w:cols w:space="720"/>
          <w:docGrid w:linePitch="360"/>
        </w:sectPr>
      </w:pPr>
    </w:p>
    <w:p w14:paraId="05985065" w14:textId="77777777" w:rsidR="0001508F" w:rsidRPr="0001508F" w:rsidRDefault="0001508F" w:rsidP="0001508F">
      <w:pPr>
        <w:widowControl w:val="0"/>
        <w:spacing w:before="120" w:after="120" w:line="480" w:lineRule="auto"/>
        <w:ind w:firstLine="720"/>
        <w:rPr>
          <w:b/>
          <w:szCs w:val="24"/>
        </w:rPr>
      </w:pPr>
      <w:r w:rsidRPr="0001508F">
        <w:rPr>
          <w:bCs/>
          <w:szCs w:val="24"/>
        </w:rPr>
        <w:t>§ 137. Section 102.4.2 of the New York city plumbing code, as amended by local law number 14 of 2020, is amended to read as follows:</w:t>
      </w:r>
    </w:p>
    <w:p w14:paraId="3F50E951" w14:textId="77777777" w:rsidR="0001508F" w:rsidRPr="0001508F" w:rsidRDefault="0001508F" w:rsidP="0001508F">
      <w:pPr>
        <w:widowControl w:val="0"/>
        <w:spacing w:before="120" w:after="120"/>
        <w:rPr>
          <w:b/>
          <w:szCs w:val="24"/>
        </w:rPr>
      </w:pPr>
    </w:p>
    <w:p w14:paraId="1E138BDD" w14:textId="77777777" w:rsidR="0001508F" w:rsidRPr="0001508F" w:rsidRDefault="0001508F" w:rsidP="0001508F">
      <w:pPr>
        <w:widowControl w:val="0"/>
        <w:spacing w:before="120" w:after="120"/>
        <w:rPr>
          <w:bCs/>
          <w:szCs w:val="24"/>
          <w:u w:val="single"/>
        </w:rPr>
      </w:pPr>
      <w:r w:rsidRPr="0001508F">
        <w:rPr>
          <w:b/>
          <w:szCs w:val="24"/>
        </w:rPr>
        <w:t>102.4.2 [</w:t>
      </w:r>
      <w:r w:rsidRPr="0001508F">
        <w:rPr>
          <w:b/>
          <w:strike/>
          <w:szCs w:val="24"/>
        </w:rPr>
        <w:t>Special provisions for prior code buildings.</w:t>
      </w:r>
      <w:r w:rsidRPr="0001508F">
        <w:rPr>
          <w:bCs/>
          <w:strike/>
          <w:szCs w:val="24"/>
        </w:rPr>
        <w:t xml:space="preserve"> In addition to the requirements of Sections 102.4 and 102.4.1, the provisions of Sections 102.4.2.1 through 102.4.2.3 shall apply to prior code buildings.</w:t>
      </w:r>
      <w:r w:rsidRPr="0001508F">
        <w:rPr>
          <w:bCs/>
          <w:szCs w:val="24"/>
        </w:rPr>
        <w:t xml:space="preserve">] </w:t>
      </w:r>
      <w:r w:rsidRPr="0001508F">
        <w:rPr>
          <w:b/>
          <w:szCs w:val="24"/>
          <w:u w:val="single"/>
        </w:rPr>
        <w:t>Existing buildings.</w:t>
      </w:r>
      <w:r w:rsidRPr="0001508F">
        <w:rPr>
          <w:bCs/>
          <w:szCs w:val="24"/>
        </w:rPr>
        <w:t xml:space="preserve"> </w:t>
      </w:r>
      <w:r w:rsidRPr="0001508F">
        <w:rPr>
          <w:bCs/>
          <w:szCs w:val="24"/>
          <w:u w:val="single"/>
        </w:rPr>
        <w:t xml:space="preserve">Additions, alterations, renovations or repairs in existing buildings and structures shall also comply with Sections 302.9 and 310 of the </w:t>
      </w:r>
      <w:r w:rsidRPr="0001508F">
        <w:rPr>
          <w:bCs/>
          <w:i/>
          <w:iCs/>
          <w:szCs w:val="24"/>
          <w:u w:val="single"/>
        </w:rPr>
        <w:t xml:space="preserve">New York City Existing Building Code </w:t>
      </w:r>
      <w:r w:rsidRPr="0001508F">
        <w:rPr>
          <w:bCs/>
          <w:szCs w:val="24"/>
          <w:u w:val="single"/>
        </w:rPr>
        <w:t>and all other applicable provisions of th</w:t>
      </w:r>
      <w:r w:rsidRPr="0001508F">
        <w:rPr>
          <w:bCs/>
          <w:i/>
          <w:iCs/>
          <w:szCs w:val="24"/>
          <w:u w:val="single"/>
        </w:rPr>
        <w:t>e New York City Existing Building Code</w:t>
      </w:r>
      <w:r w:rsidRPr="0001508F">
        <w:rPr>
          <w:bCs/>
          <w:szCs w:val="24"/>
          <w:u w:val="single"/>
        </w:rPr>
        <w:t>.</w:t>
      </w:r>
    </w:p>
    <w:p w14:paraId="6EE9630A" w14:textId="77777777" w:rsidR="0001508F" w:rsidRPr="0001508F" w:rsidRDefault="0001508F" w:rsidP="0001508F">
      <w:pPr>
        <w:widowControl w:val="0"/>
        <w:spacing w:before="120" w:after="120"/>
        <w:rPr>
          <w:bCs/>
          <w:szCs w:val="24"/>
          <w:u w:val="single"/>
        </w:rPr>
      </w:pPr>
    </w:p>
    <w:p w14:paraId="0A897AF6" w14:textId="77777777" w:rsidR="0001508F" w:rsidRPr="0001508F" w:rsidRDefault="0001508F" w:rsidP="0001508F">
      <w:pPr>
        <w:widowControl w:val="0"/>
        <w:spacing w:before="120" w:after="120" w:line="480" w:lineRule="auto"/>
        <w:ind w:firstLine="720"/>
        <w:rPr>
          <w:rFonts w:eastAsia="SimSun"/>
          <w:szCs w:val="24"/>
        </w:rPr>
      </w:pPr>
      <w:r w:rsidRPr="0001508F">
        <w:rPr>
          <w:bCs/>
          <w:szCs w:val="24"/>
        </w:rPr>
        <w:t>§ 138. Sections 102.4.2.1, 102.4.2.2 and 102.4.2.3 of the New York city plumbing code are REPEALED.</w:t>
      </w:r>
    </w:p>
    <w:p w14:paraId="573EDA73" w14:textId="77777777" w:rsidR="0001508F" w:rsidRPr="0001508F" w:rsidRDefault="0001508F" w:rsidP="0001508F">
      <w:pPr>
        <w:widowControl w:val="0"/>
        <w:spacing w:before="120" w:after="120" w:line="480" w:lineRule="auto"/>
        <w:ind w:firstLine="720"/>
        <w:rPr>
          <w:rFonts w:eastAsia="SimSun"/>
          <w:szCs w:val="24"/>
        </w:rPr>
      </w:pPr>
      <w:r w:rsidRPr="0001508F">
        <w:rPr>
          <w:bCs/>
          <w:szCs w:val="24"/>
        </w:rPr>
        <w:t>§ 139. Section 102.5 of the New York city plumbing code, as amended by local law number 14 for the year 2020, is amended to read as follows:</w:t>
      </w:r>
    </w:p>
    <w:p w14:paraId="214F58A1" w14:textId="77777777" w:rsidR="0001508F" w:rsidRPr="0001508F" w:rsidRDefault="0001508F" w:rsidP="0001508F">
      <w:pPr>
        <w:widowControl w:val="0"/>
        <w:spacing w:before="120" w:after="120"/>
        <w:rPr>
          <w:rFonts w:eastAsia="Calibri"/>
          <w:szCs w:val="24"/>
        </w:rPr>
      </w:pPr>
      <w:bookmarkStart w:id="309" w:name="_Hlk130972600"/>
      <w:r w:rsidRPr="0001508F">
        <w:rPr>
          <w:b/>
          <w:bCs/>
          <w:szCs w:val="24"/>
        </w:rPr>
        <w:t>102.5 Change in occupancy.</w:t>
      </w:r>
      <w:r w:rsidRPr="0001508F">
        <w:rPr>
          <w:b/>
          <w:bCs/>
          <w:spacing w:val="-4"/>
          <w:w w:val="110"/>
          <w:szCs w:val="24"/>
        </w:rPr>
        <w:t xml:space="preserve"> </w:t>
      </w:r>
      <w:r w:rsidRPr="0001508F">
        <w:rPr>
          <w:spacing w:val="2"/>
          <w:szCs w:val="24"/>
        </w:rPr>
        <w:t>Refer to Chapter 1 of [</w:t>
      </w:r>
      <w:r w:rsidRPr="0001508F">
        <w:rPr>
          <w:strike/>
          <w:spacing w:val="2"/>
          <w:szCs w:val="24"/>
        </w:rPr>
        <w:t>Title 28 of the Administrative Code</w:t>
      </w:r>
      <w:r w:rsidRPr="0001508F">
        <w:rPr>
          <w:spacing w:val="2"/>
          <w:szCs w:val="24"/>
        </w:rPr>
        <w:t xml:space="preserve">] </w:t>
      </w:r>
      <w:r w:rsidRPr="0001508F">
        <w:rPr>
          <w:spacing w:val="2"/>
          <w:szCs w:val="24"/>
          <w:u w:val="single"/>
        </w:rPr>
        <w:t xml:space="preserve">the </w:t>
      </w:r>
      <w:r w:rsidRPr="0001508F">
        <w:rPr>
          <w:i/>
          <w:iCs/>
          <w:spacing w:val="2"/>
          <w:szCs w:val="24"/>
          <w:u w:val="single"/>
        </w:rPr>
        <w:t>New York City Existing Building Code</w:t>
      </w:r>
      <w:r w:rsidRPr="0001508F">
        <w:rPr>
          <w:spacing w:val="2"/>
          <w:szCs w:val="24"/>
          <w:u w:val="single"/>
        </w:rPr>
        <w:t xml:space="preserve"> for changes of occupancy</w:t>
      </w:r>
      <w:r w:rsidRPr="0001508F">
        <w:rPr>
          <w:spacing w:val="2"/>
          <w:szCs w:val="24"/>
        </w:rPr>
        <w:t>.</w:t>
      </w:r>
    </w:p>
    <w:bookmarkEnd w:id="309"/>
    <w:p w14:paraId="7C07CCB6" w14:textId="77777777" w:rsidR="0001508F" w:rsidRPr="0001508F" w:rsidRDefault="0001508F" w:rsidP="0001508F">
      <w:pPr>
        <w:widowControl w:val="0"/>
        <w:spacing w:before="120" w:after="120" w:line="480" w:lineRule="auto"/>
        <w:ind w:firstLine="720"/>
        <w:rPr>
          <w:rFonts w:eastAsia="SimSun"/>
          <w:szCs w:val="24"/>
        </w:rPr>
      </w:pPr>
      <w:r w:rsidRPr="0001508F">
        <w:rPr>
          <w:bCs/>
          <w:szCs w:val="24"/>
        </w:rPr>
        <w:t>§ 140. Section 106.7 of the New York city plumbing code, as added by local law number 14 for the year 2020, is amended to read as follows:</w:t>
      </w:r>
    </w:p>
    <w:p w14:paraId="5245531C" w14:textId="77777777" w:rsidR="0001508F" w:rsidRPr="0001508F" w:rsidRDefault="0001508F" w:rsidP="0001508F">
      <w:pPr>
        <w:widowControl w:val="0"/>
        <w:spacing w:before="120" w:after="120"/>
        <w:rPr>
          <w:rFonts w:eastAsia="SimSun"/>
          <w:iCs/>
          <w:szCs w:val="24"/>
        </w:rPr>
      </w:pPr>
      <w:r w:rsidRPr="0001508F">
        <w:rPr>
          <w:rFonts w:eastAsia="SimSun"/>
          <w:b/>
          <w:bCs/>
          <w:iCs/>
          <w:szCs w:val="24"/>
        </w:rPr>
        <w:t xml:space="preserve">106.7 Permits with respect to limited alteration applications. </w:t>
      </w:r>
      <w:r w:rsidRPr="0001508F">
        <w:rPr>
          <w:rFonts w:eastAsia="SimSun"/>
          <w:iCs/>
          <w:szCs w:val="24"/>
        </w:rPr>
        <w:t xml:space="preserve">For permits with respect to limited alteration applications refer to Sections 28-101.5 and Section 28-104.6, Exception 1 of the </w:t>
      </w:r>
      <w:r w:rsidRPr="0001508F">
        <w:rPr>
          <w:rFonts w:eastAsia="SimSun"/>
          <w:i/>
          <w:szCs w:val="24"/>
        </w:rPr>
        <w:t>Administrative Code</w:t>
      </w:r>
      <w:r w:rsidRPr="0001508F">
        <w:rPr>
          <w:rFonts w:eastAsia="SimSun"/>
          <w:iCs/>
          <w:szCs w:val="24"/>
          <w:u w:val="single"/>
        </w:rPr>
        <w:t xml:space="preserve"> and Chapter 5 of the </w:t>
      </w:r>
      <w:r w:rsidRPr="0001508F">
        <w:rPr>
          <w:rFonts w:eastAsia="SimSun"/>
          <w:i/>
          <w:szCs w:val="24"/>
          <w:u w:val="single"/>
        </w:rPr>
        <w:t>New York City Existing Building Code</w:t>
      </w:r>
      <w:r w:rsidRPr="0001508F">
        <w:rPr>
          <w:rFonts w:eastAsia="SimSun"/>
          <w:iCs/>
          <w:szCs w:val="24"/>
        </w:rPr>
        <w:t>.</w:t>
      </w:r>
    </w:p>
    <w:p w14:paraId="48922FB7" w14:textId="77777777" w:rsidR="0001508F" w:rsidRPr="0001508F" w:rsidRDefault="0001508F" w:rsidP="0001508F">
      <w:pPr>
        <w:widowControl w:val="0"/>
        <w:spacing w:before="120" w:after="120" w:line="480" w:lineRule="auto"/>
        <w:ind w:firstLine="720"/>
        <w:rPr>
          <w:rFonts w:eastAsia="SimSun"/>
          <w:szCs w:val="24"/>
        </w:rPr>
      </w:pPr>
      <w:r w:rsidRPr="0001508F">
        <w:rPr>
          <w:bCs/>
          <w:szCs w:val="24"/>
        </w:rPr>
        <w:t>§ 141. Section 107.6.2 of the New York city plumbing code, as amended by local law number 14 for the year 2020, is amended to read as follows:</w:t>
      </w:r>
    </w:p>
    <w:p w14:paraId="2B3D5174" w14:textId="77777777" w:rsidR="0001508F" w:rsidRPr="0001508F" w:rsidRDefault="0001508F" w:rsidP="0001508F">
      <w:pPr>
        <w:widowControl w:val="0"/>
        <w:spacing w:before="120" w:after="120"/>
        <w:ind w:left="360"/>
        <w:rPr>
          <w:szCs w:val="24"/>
        </w:rPr>
      </w:pPr>
      <w:r w:rsidRPr="0001508F">
        <w:rPr>
          <w:b/>
          <w:szCs w:val="24"/>
        </w:rPr>
        <w:t>107.6.2 Stormwater.</w:t>
      </w:r>
      <w:r w:rsidRPr="0001508F">
        <w:rPr>
          <w:szCs w:val="24"/>
        </w:rPr>
        <w:t xml:space="preserve"> Applications for construction document approval shall include submittal documents relating to the availability and feasibility of a public combined or storm sewer or other approved method for stormwater discharge in accordance with [</w:t>
      </w:r>
      <w:r w:rsidRPr="0001508F">
        <w:rPr>
          <w:strike/>
          <w:szCs w:val="24"/>
        </w:rPr>
        <w:t>Sections 107.6.2.1 and 107.6.2.2</w:t>
      </w:r>
      <w:r w:rsidRPr="0001508F">
        <w:rPr>
          <w:szCs w:val="24"/>
        </w:rPr>
        <w:t xml:space="preserve">] </w:t>
      </w:r>
      <w:r w:rsidRPr="0001508F">
        <w:rPr>
          <w:szCs w:val="24"/>
          <w:u w:val="single"/>
        </w:rPr>
        <w:t>the following provisions</w:t>
      </w:r>
      <w:r w:rsidRPr="0001508F">
        <w:rPr>
          <w:szCs w:val="24"/>
        </w:rPr>
        <w:t xml:space="preserve"> for the following types of applications:</w:t>
      </w:r>
    </w:p>
    <w:p w14:paraId="6A6A9E0A" w14:textId="77777777" w:rsidR="0001508F" w:rsidRPr="0001508F" w:rsidRDefault="0001508F" w:rsidP="0001508F">
      <w:pPr>
        <w:widowControl w:val="0"/>
        <w:kinsoku w:val="0"/>
        <w:spacing w:before="120" w:after="120"/>
        <w:ind w:left="1080" w:hanging="360"/>
        <w:rPr>
          <w:szCs w:val="24"/>
        </w:rPr>
      </w:pPr>
      <w:r w:rsidRPr="0001508F">
        <w:rPr>
          <w:szCs w:val="24"/>
        </w:rPr>
        <w:t>1.</w:t>
      </w:r>
      <w:r w:rsidRPr="0001508F">
        <w:rPr>
          <w:szCs w:val="24"/>
        </w:rPr>
        <w:tab/>
        <w:t xml:space="preserve">New buildings </w:t>
      </w:r>
      <w:r w:rsidRPr="0001508F">
        <w:rPr>
          <w:szCs w:val="24"/>
          <w:u w:val="single"/>
        </w:rPr>
        <w:t>pursuant to Sections 107.6.2.1 and 107.6.2.2</w:t>
      </w:r>
      <w:r w:rsidRPr="0001508F">
        <w:rPr>
          <w:szCs w:val="24"/>
        </w:rPr>
        <w:t>;</w:t>
      </w:r>
    </w:p>
    <w:p w14:paraId="173DC9BD" w14:textId="77777777" w:rsidR="0001508F" w:rsidRPr="0001508F" w:rsidRDefault="0001508F" w:rsidP="0001508F">
      <w:pPr>
        <w:widowControl w:val="0"/>
        <w:tabs>
          <w:tab w:val="left" w:pos="1080"/>
        </w:tabs>
        <w:kinsoku w:val="0"/>
        <w:spacing w:before="120" w:after="120"/>
        <w:ind w:left="1080" w:hanging="360"/>
        <w:rPr>
          <w:szCs w:val="24"/>
        </w:rPr>
      </w:pPr>
      <w:r w:rsidRPr="0001508F">
        <w:rPr>
          <w:szCs w:val="24"/>
        </w:rPr>
        <w:t>2.</w:t>
      </w:r>
      <w:r w:rsidRPr="0001508F">
        <w:rPr>
          <w:szCs w:val="24"/>
        </w:rPr>
        <w:tab/>
        <w:t xml:space="preserve">Alterations of buildings proposing horizontal building enlargement </w:t>
      </w:r>
      <w:r w:rsidRPr="0001508F">
        <w:rPr>
          <w:rFonts w:eastAsia="SimSun"/>
          <w:spacing w:val="3"/>
          <w:szCs w:val="24"/>
          <w:u w:val="single"/>
        </w:rPr>
        <w:t xml:space="preserve">pursuant to Section 106.2.9.6.2 of the </w:t>
      </w:r>
      <w:r w:rsidRPr="0001508F">
        <w:rPr>
          <w:rFonts w:eastAsia="SimSun"/>
          <w:i/>
          <w:iCs/>
          <w:spacing w:val="3"/>
          <w:szCs w:val="24"/>
          <w:u w:val="single"/>
        </w:rPr>
        <w:t>New York City Existing Building Code</w:t>
      </w:r>
      <w:r w:rsidRPr="0001508F">
        <w:rPr>
          <w:rFonts w:eastAsia="SimSun"/>
          <w:spacing w:val="3"/>
          <w:szCs w:val="24"/>
          <w:u w:val="single"/>
        </w:rPr>
        <w:t xml:space="preserve"> and Sections 107.6.2.1 and 107.6.2.2 of this code as applicable</w:t>
      </w:r>
      <w:r w:rsidRPr="0001508F">
        <w:rPr>
          <w:szCs w:val="24"/>
        </w:rPr>
        <w:t>; and/or</w:t>
      </w:r>
    </w:p>
    <w:p w14:paraId="387124E9" w14:textId="77777777" w:rsidR="0001508F" w:rsidRPr="0001508F" w:rsidRDefault="0001508F" w:rsidP="0001508F">
      <w:pPr>
        <w:widowControl w:val="0"/>
        <w:tabs>
          <w:tab w:val="left" w:pos="1080"/>
        </w:tabs>
        <w:kinsoku w:val="0"/>
        <w:spacing w:before="120" w:after="120"/>
        <w:ind w:left="1080" w:hanging="360"/>
        <w:rPr>
          <w:rFonts w:eastAsia="SimSun"/>
          <w:spacing w:val="3"/>
          <w:szCs w:val="24"/>
        </w:rPr>
      </w:pPr>
      <w:r w:rsidRPr="0001508F">
        <w:rPr>
          <w:szCs w:val="24"/>
        </w:rPr>
        <w:t>3.</w:t>
      </w:r>
      <w:r w:rsidRPr="0001508F">
        <w:rPr>
          <w:szCs w:val="24"/>
        </w:rPr>
        <w:tab/>
        <w:t>Alterations that increase impervious surfaces on the tax lot</w:t>
      </w:r>
      <w:r w:rsidRPr="0001508F">
        <w:rPr>
          <w:rFonts w:eastAsia="SimSun"/>
          <w:spacing w:val="3"/>
          <w:szCs w:val="24"/>
        </w:rPr>
        <w:t xml:space="preserve"> </w:t>
      </w:r>
      <w:r w:rsidRPr="0001508F">
        <w:rPr>
          <w:rFonts w:eastAsia="SimSun"/>
          <w:spacing w:val="3"/>
          <w:szCs w:val="24"/>
          <w:u w:val="single"/>
        </w:rPr>
        <w:t xml:space="preserve">pursuant to Section 106.2.9.6.2 of the </w:t>
      </w:r>
      <w:r w:rsidRPr="0001508F">
        <w:rPr>
          <w:rFonts w:eastAsia="SimSun"/>
          <w:i/>
          <w:iCs/>
          <w:spacing w:val="3"/>
          <w:szCs w:val="24"/>
          <w:u w:val="single"/>
        </w:rPr>
        <w:t>New York City Existing Building Code</w:t>
      </w:r>
      <w:r w:rsidRPr="0001508F">
        <w:rPr>
          <w:rFonts w:eastAsia="SimSun"/>
          <w:spacing w:val="3"/>
          <w:szCs w:val="24"/>
          <w:u w:val="single"/>
        </w:rPr>
        <w:t xml:space="preserve"> and Sections 107.6.2.1 and 107.6.2.2 of this code as applicable</w:t>
      </w:r>
      <w:r w:rsidRPr="0001508F">
        <w:rPr>
          <w:rFonts w:eastAsia="SimSun"/>
          <w:spacing w:val="3"/>
          <w:szCs w:val="24"/>
        </w:rPr>
        <w:t>.</w:t>
      </w:r>
    </w:p>
    <w:p w14:paraId="67A1E2E6" w14:textId="77777777" w:rsidR="0001508F" w:rsidRPr="0001508F" w:rsidRDefault="0001508F" w:rsidP="0001508F">
      <w:pPr>
        <w:widowControl w:val="0"/>
        <w:tabs>
          <w:tab w:val="left" w:pos="1080"/>
        </w:tabs>
        <w:kinsoku w:val="0"/>
        <w:spacing w:before="120" w:after="120"/>
        <w:ind w:left="1080"/>
        <w:rPr>
          <w:b/>
          <w:szCs w:val="24"/>
        </w:rPr>
      </w:pPr>
      <w:r w:rsidRPr="0001508F">
        <w:rPr>
          <w:b/>
          <w:szCs w:val="24"/>
        </w:rPr>
        <w:t>[</w:t>
      </w:r>
      <w:r w:rsidRPr="0001508F">
        <w:rPr>
          <w:b/>
          <w:strike/>
          <w:szCs w:val="24"/>
        </w:rPr>
        <w:t>Exceptions:</w:t>
      </w:r>
      <w:r w:rsidRPr="0001508F">
        <w:rPr>
          <w:b/>
          <w:szCs w:val="24"/>
        </w:rPr>
        <w:t>]</w:t>
      </w:r>
    </w:p>
    <w:p w14:paraId="488A6CBE" w14:textId="77777777" w:rsidR="0001508F" w:rsidRPr="0001508F" w:rsidRDefault="0001508F" w:rsidP="0001508F">
      <w:pPr>
        <w:widowControl w:val="0"/>
        <w:kinsoku w:val="0"/>
        <w:spacing w:before="120" w:after="120"/>
        <w:ind w:left="1800" w:hanging="360"/>
        <w:rPr>
          <w:szCs w:val="24"/>
        </w:rPr>
      </w:pPr>
      <w:r w:rsidRPr="0001508F">
        <w:rPr>
          <w:szCs w:val="24"/>
        </w:rPr>
        <w:t>[</w:t>
      </w:r>
      <w:r w:rsidRPr="0001508F">
        <w:rPr>
          <w:strike/>
          <w:szCs w:val="24"/>
        </w:rPr>
        <w:t>1.</w:t>
      </w:r>
      <w:r w:rsidRPr="0001508F">
        <w:rPr>
          <w:strike/>
          <w:szCs w:val="24"/>
        </w:rPr>
        <w:tab/>
        <w:t>Applications for construction document approval for the alteration of an existing one- or two-family dwelling need not include such submittal documents, where the footprint of a proposed horizontal building enlargement and any proposed increase in impervious surfaces combined is less than or equal to 200 square feet (19 m</w:t>
      </w:r>
      <w:r w:rsidRPr="0001508F">
        <w:rPr>
          <w:strike/>
          <w:szCs w:val="24"/>
          <w:vertAlign w:val="superscript"/>
        </w:rPr>
        <w:t>2</w:t>
      </w:r>
      <w:r w:rsidRPr="0001508F">
        <w:rPr>
          <w:strike/>
          <w:szCs w:val="24"/>
        </w:rPr>
        <w:t>).</w:t>
      </w:r>
      <w:r w:rsidRPr="0001508F">
        <w:rPr>
          <w:bCs/>
          <w:strike/>
          <w:szCs w:val="24"/>
        </w:rPr>
        <w:t xml:space="preserve"> Construction documents shall include the amount of proposed increase in impervious area.</w:t>
      </w:r>
      <w:r w:rsidRPr="0001508F">
        <w:rPr>
          <w:bCs/>
          <w:szCs w:val="24"/>
        </w:rPr>
        <w:t>]</w:t>
      </w:r>
    </w:p>
    <w:p w14:paraId="017A910A" w14:textId="77777777" w:rsidR="0001508F" w:rsidRPr="0001508F" w:rsidRDefault="0001508F" w:rsidP="0001508F">
      <w:pPr>
        <w:widowControl w:val="0"/>
        <w:kinsoku w:val="0"/>
        <w:spacing w:before="120" w:after="120"/>
        <w:ind w:left="2250" w:hanging="450"/>
        <w:rPr>
          <w:szCs w:val="24"/>
        </w:rPr>
      </w:pPr>
      <w:r w:rsidRPr="0001508F">
        <w:rPr>
          <w:szCs w:val="24"/>
        </w:rPr>
        <w:t>[</w:t>
      </w:r>
      <w:r w:rsidRPr="0001508F">
        <w:rPr>
          <w:strike/>
          <w:szCs w:val="24"/>
        </w:rPr>
        <w:t>1.1.</w:t>
      </w:r>
      <w:r w:rsidRPr="0001508F">
        <w:rPr>
          <w:strike/>
          <w:szCs w:val="24"/>
        </w:rPr>
        <w:tab/>
        <w:t>This exception shall not apply if the horizontal building enlargement and increase in impervious surface related to the current application for construction document approval and any other enlargement or increase in impervious surface made on the same tax lot after July 1, 2008 together exceed 200 square feet (19 m</w:t>
      </w:r>
      <w:r w:rsidRPr="0001508F">
        <w:rPr>
          <w:strike/>
          <w:szCs w:val="24"/>
          <w:vertAlign w:val="superscript"/>
        </w:rPr>
        <w:t>2</w:t>
      </w:r>
      <w:r w:rsidRPr="0001508F">
        <w:rPr>
          <w:strike/>
          <w:szCs w:val="24"/>
        </w:rPr>
        <w:t>).</w:t>
      </w:r>
      <w:r w:rsidRPr="0001508F">
        <w:rPr>
          <w:szCs w:val="24"/>
        </w:rPr>
        <w:t>]</w:t>
      </w:r>
    </w:p>
    <w:p w14:paraId="561AE235" w14:textId="77777777" w:rsidR="0001508F" w:rsidRPr="0001508F" w:rsidRDefault="0001508F" w:rsidP="0001508F">
      <w:pPr>
        <w:widowControl w:val="0"/>
        <w:kinsoku w:val="0"/>
        <w:spacing w:before="120" w:after="120"/>
        <w:ind w:left="1800" w:hanging="360"/>
        <w:rPr>
          <w:szCs w:val="24"/>
        </w:rPr>
      </w:pPr>
      <w:r w:rsidRPr="0001508F">
        <w:rPr>
          <w:szCs w:val="24"/>
        </w:rPr>
        <w:t>[</w:t>
      </w:r>
      <w:r w:rsidRPr="0001508F">
        <w:rPr>
          <w:strike/>
          <w:szCs w:val="24"/>
        </w:rPr>
        <w:t>2.</w:t>
      </w:r>
      <w:r w:rsidRPr="0001508F">
        <w:rPr>
          <w:strike/>
          <w:szCs w:val="24"/>
        </w:rPr>
        <w:tab/>
        <w:t>Applications for construction document approval for the alteration of a building need not include such submittal documents, where the increase in area of the footprint resulting from a proposed horizontal building enlargement and any proposed increase in impervious surfaces on a lot combined is less than or equal to 1,000 square feet (93 m</w:t>
      </w:r>
      <w:r w:rsidRPr="0001508F">
        <w:rPr>
          <w:strike/>
          <w:szCs w:val="24"/>
          <w:vertAlign w:val="superscript"/>
        </w:rPr>
        <w:t>2</w:t>
      </w:r>
      <w:r w:rsidRPr="0001508F">
        <w:rPr>
          <w:strike/>
          <w:szCs w:val="24"/>
        </w:rPr>
        <w:t>), and on-site disposal of stormwater conforming to the provisions of the applicable laws and rules as determined by the department is proposed for such enlargement and/or increase in impervious surface.</w:t>
      </w:r>
      <w:r w:rsidRPr="0001508F">
        <w:rPr>
          <w:bCs/>
          <w:strike/>
          <w:szCs w:val="24"/>
        </w:rPr>
        <w:t xml:space="preserve"> Construction documents shall include the amount of proposed increase in impervious area.</w:t>
      </w:r>
      <w:r w:rsidRPr="0001508F">
        <w:rPr>
          <w:bCs/>
          <w:szCs w:val="24"/>
        </w:rPr>
        <w:t>]</w:t>
      </w:r>
    </w:p>
    <w:p w14:paraId="6064E039" w14:textId="77777777" w:rsidR="0001508F" w:rsidRPr="0001508F" w:rsidRDefault="0001508F" w:rsidP="0001508F">
      <w:pPr>
        <w:widowControl w:val="0"/>
        <w:kinsoku w:val="0"/>
        <w:spacing w:before="120" w:after="120"/>
        <w:ind w:left="2250" w:hanging="450"/>
        <w:rPr>
          <w:szCs w:val="24"/>
        </w:rPr>
      </w:pPr>
      <w:r w:rsidRPr="0001508F">
        <w:rPr>
          <w:szCs w:val="24"/>
        </w:rPr>
        <w:t>[</w:t>
      </w:r>
      <w:r w:rsidRPr="0001508F">
        <w:rPr>
          <w:strike/>
          <w:szCs w:val="24"/>
        </w:rPr>
        <w:t>2.1.</w:t>
      </w:r>
      <w:r w:rsidRPr="0001508F">
        <w:rPr>
          <w:strike/>
          <w:szCs w:val="24"/>
        </w:rPr>
        <w:tab/>
        <w:t>This exception shall not apply where on-site disposal cannot be designed to conform to the provisions of the applicable laws and rules including but not limited to minimum required distances from lot lines or structures or subsoil conditions as determined by the department.</w:t>
      </w:r>
      <w:r w:rsidRPr="0001508F">
        <w:rPr>
          <w:szCs w:val="24"/>
        </w:rPr>
        <w:t>]</w:t>
      </w:r>
    </w:p>
    <w:p w14:paraId="18FACF43" w14:textId="77777777" w:rsidR="0001508F" w:rsidRPr="0001508F" w:rsidRDefault="0001508F" w:rsidP="0001508F">
      <w:pPr>
        <w:widowControl w:val="0"/>
        <w:kinsoku w:val="0"/>
        <w:spacing w:before="120" w:after="120"/>
        <w:ind w:left="2250" w:hanging="450"/>
        <w:rPr>
          <w:szCs w:val="24"/>
        </w:rPr>
      </w:pPr>
      <w:r w:rsidRPr="0001508F">
        <w:rPr>
          <w:szCs w:val="24"/>
        </w:rPr>
        <w:t>[</w:t>
      </w:r>
      <w:r w:rsidRPr="0001508F">
        <w:rPr>
          <w:strike/>
          <w:szCs w:val="24"/>
        </w:rPr>
        <w:t>2.2.</w:t>
      </w:r>
      <w:r w:rsidRPr="0001508F">
        <w:rPr>
          <w:strike/>
          <w:szCs w:val="24"/>
        </w:rPr>
        <w:tab/>
        <w:t>This exception shall not apply if the horizontal building enlargement and increase in impervious surface related to the current application for construction document approval and all other enlargements or increases in impervious surface made on the same tax lot after July 1, 2008 together exceed 1,000 square feet (93 m</w:t>
      </w:r>
      <w:r w:rsidRPr="0001508F">
        <w:rPr>
          <w:strike/>
          <w:szCs w:val="24"/>
          <w:vertAlign w:val="superscript"/>
        </w:rPr>
        <w:t>2</w:t>
      </w:r>
      <w:r w:rsidRPr="0001508F">
        <w:rPr>
          <w:strike/>
          <w:szCs w:val="24"/>
        </w:rPr>
        <w:t>).</w:t>
      </w:r>
      <w:r w:rsidRPr="0001508F">
        <w:rPr>
          <w:szCs w:val="24"/>
        </w:rPr>
        <w:t>]</w:t>
      </w:r>
    </w:p>
    <w:p w14:paraId="68EE0E09" w14:textId="77777777" w:rsidR="0001508F" w:rsidRPr="0001508F" w:rsidRDefault="0001508F" w:rsidP="0001508F">
      <w:pPr>
        <w:widowControl w:val="0"/>
        <w:spacing w:before="120" w:after="120" w:line="480" w:lineRule="auto"/>
        <w:ind w:firstLine="720"/>
        <w:rPr>
          <w:rFonts w:eastAsia="SimSun"/>
          <w:szCs w:val="24"/>
        </w:rPr>
      </w:pPr>
      <w:r w:rsidRPr="0001508F">
        <w:rPr>
          <w:bCs/>
          <w:szCs w:val="24"/>
        </w:rPr>
        <w:t>§ 142. Sections 201.3 and 201.3.1  of the New York city plumbing code, as amended by local law number 14 for the year 2020, are amended to read as follows:</w:t>
      </w:r>
    </w:p>
    <w:p w14:paraId="0F9D612A" w14:textId="77777777" w:rsidR="0001508F" w:rsidRPr="0001508F" w:rsidRDefault="0001508F" w:rsidP="0001508F">
      <w:pPr>
        <w:widowControl w:val="0"/>
        <w:autoSpaceDE w:val="0"/>
        <w:autoSpaceDN w:val="0"/>
        <w:adjustRightInd w:val="0"/>
        <w:spacing w:before="120" w:after="120"/>
        <w:rPr>
          <w:szCs w:val="24"/>
        </w:rPr>
      </w:pPr>
      <w:r w:rsidRPr="0001508F">
        <w:rPr>
          <w:b/>
          <w:bCs/>
          <w:szCs w:val="24"/>
        </w:rPr>
        <w:t>201.3 Terms defined in other codes.</w:t>
      </w:r>
      <w:r w:rsidRPr="0001508F">
        <w:rPr>
          <w:b/>
          <w:bCs/>
          <w:spacing w:val="1"/>
          <w:w w:val="105"/>
          <w:szCs w:val="24"/>
        </w:rPr>
        <w:t xml:space="preserve"> </w:t>
      </w:r>
      <w:r w:rsidRPr="0001508F">
        <w:rPr>
          <w:szCs w:val="24"/>
        </w:rPr>
        <w:t xml:space="preserve">Where terms are not defined in this code and are defined in the </w:t>
      </w:r>
      <w:r w:rsidRPr="0001508F">
        <w:rPr>
          <w:i/>
          <w:iCs/>
          <w:szCs w:val="24"/>
        </w:rPr>
        <w:t>New York City Building Code</w:t>
      </w:r>
      <w:r w:rsidRPr="0001508F">
        <w:rPr>
          <w:szCs w:val="24"/>
        </w:rPr>
        <w:t xml:space="preserve">, </w:t>
      </w:r>
      <w:r w:rsidRPr="0001508F">
        <w:rPr>
          <w:i/>
          <w:iCs/>
          <w:szCs w:val="24"/>
        </w:rPr>
        <w:t>New York City Fire Code</w:t>
      </w:r>
      <w:r w:rsidRPr="0001508F">
        <w:rPr>
          <w:szCs w:val="24"/>
        </w:rPr>
        <w:t xml:space="preserve">, </w:t>
      </w:r>
      <w:r w:rsidRPr="0001508F">
        <w:rPr>
          <w:i/>
          <w:iCs/>
          <w:szCs w:val="24"/>
        </w:rPr>
        <w:t>New York City Electrical Code</w:t>
      </w:r>
      <w:r w:rsidRPr="0001508F">
        <w:rPr>
          <w:szCs w:val="24"/>
        </w:rPr>
        <w:t xml:space="preserve">, </w:t>
      </w:r>
      <w:r w:rsidRPr="0001508F">
        <w:rPr>
          <w:i/>
          <w:iCs/>
          <w:szCs w:val="24"/>
        </w:rPr>
        <w:t>New York City Fuel Gas Code</w:t>
      </w:r>
      <w:r w:rsidRPr="0001508F">
        <w:rPr>
          <w:szCs w:val="24"/>
        </w:rPr>
        <w:t xml:space="preserve">, </w:t>
      </w:r>
      <w:r w:rsidRPr="0001508F">
        <w:rPr>
          <w:i/>
          <w:iCs/>
          <w:szCs w:val="24"/>
        </w:rPr>
        <w:t>New York City Mechanical Code</w:t>
      </w:r>
      <w:r w:rsidRPr="0001508F">
        <w:rPr>
          <w:szCs w:val="24"/>
        </w:rPr>
        <w:t>, [</w:t>
      </w:r>
      <w:r w:rsidRPr="0001508F">
        <w:rPr>
          <w:strike/>
          <w:szCs w:val="24"/>
        </w:rPr>
        <w:t>or the</w:t>
      </w:r>
      <w:r w:rsidRPr="0001508F">
        <w:rPr>
          <w:szCs w:val="24"/>
        </w:rPr>
        <w:t xml:space="preserve">] </w:t>
      </w:r>
      <w:r w:rsidRPr="0001508F">
        <w:rPr>
          <w:i/>
          <w:iCs/>
          <w:szCs w:val="24"/>
        </w:rPr>
        <w:t>New York City Energy Conservation Code</w:t>
      </w:r>
      <w:r w:rsidRPr="0001508F">
        <w:rPr>
          <w:szCs w:val="24"/>
        </w:rPr>
        <w:t xml:space="preserve">, </w:t>
      </w:r>
      <w:r w:rsidRPr="0001508F">
        <w:rPr>
          <w:szCs w:val="24"/>
          <w:u w:val="single"/>
        </w:rPr>
        <w:t xml:space="preserve">or the </w:t>
      </w:r>
      <w:r w:rsidRPr="0001508F">
        <w:rPr>
          <w:i/>
          <w:iCs/>
          <w:szCs w:val="24"/>
          <w:u w:val="single"/>
        </w:rPr>
        <w:t>New York City Existing Building Code</w:t>
      </w:r>
      <w:r w:rsidRPr="0001508F">
        <w:rPr>
          <w:szCs w:val="24"/>
          <w:u w:val="single"/>
        </w:rPr>
        <w:t>,</w:t>
      </w:r>
      <w:r w:rsidRPr="0001508F">
        <w:rPr>
          <w:szCs w:val="24"/>
        </w:rPr>
        <w:t xml:space="preserve"> such terms shall have the meanings ascribed to them as in those codes.</w:t>
      </w:r>
    </w:p>
    <w:p w14:paraId="23A53F55" w14:textId="77777777" w:rsidR="0001508F" w:rsidRPr="0001508F" w:rsidRDefault="0001508F" w:rsidP="0001508F">
      <w:pPr>
        <w:widowControl w:val="0"/>
        <w:spacing w:before="120" w:after="120"/>
        <w:ind w:left="360"/>
        <w:rPr>
          <w:rFonts w:eastAsia="SimSun"/>
          <w:szCs w:val="24"/>
        </w:rPr>
      </w:pPr>
      <w:r w:rsidRPr="0001508F">
        <w:rPr>
          <w:rFonts w:eastAsia="SimSun"/>
          <w:b/>
          <w:bCs/>
          <w:szCs w:val="24"/>
        </w:rPr>
        <w:t>201.3.1 Terms defined in the general administrative provisions.</w:t>
      </w:r>
      <w:r w:rsidRPr="0001508F">
        <w:rPr>
          <w:rFonts w:eastAsia="SimSun"/>
          <w:szCs w:val="24"/>
        </w:rPr>
        <w:t xml:space="preserve"> The following terms are defined in Section 28-101.5 of the </w:t>
      </w:r>
      <w:r w:rsidRPr="0001508F">
        <w:rPr>
          <w:rFonts w:eastAsia="SimSun"/>
          <w:i/>
          <w:szCs w:val="24"/>
        </w:rPr>
        <w:t>Administrative Code</w:t>
      </w:r>
      <w:r w:rsidRPr="0001508F">
        <w:rPr>
          <w:rFonts w:eastAsia="SimSun"/>
          <w:szCs w:val="24"/>
        </w:rPr>
        <w:t>:</w:t>
      </w:r>
    </w:p>
    <w:p w14:paraId="157B66C4" w14:textId="77777777" w:rsidR="0001508F" w:rsidRPr="0001508F" w:rsidRDefault="0001508F" w:rsidP="0001508F">
      <w:pPr>
        <w:suppressAutoHyphens/>
        <w:spacing w:after="240"/>
        <w:ind w:left="360"/>
        <w:rPr>
          <w:szCs w:val="24"/>
        </w:rPr>
      </w:pPr>
      <w:r w:rsidRPr="0001508F">
        <w:rPr>
          <w:b/>
          <w:szCs w:val="24"/>
        </w:rPr>
        <w:t>1968 BUILDING CODE.</w:t>
      </w:r>
      <w:r w:rsidRPr="0001508F">
        <w:rPr>
          <w:b/>
          <w:bCs/>
          <w:spacing w:val="-9"/>
          <w:w w:val="105"/>
          <w:szCs w:val="24"/>
        </w:rPr>
        <w:t xml:space="preserve"> </w:t>
      </w:r>
    </w:p>
    <w:p w14:paraId="3A221A3C" w14:textId="77777777" w:rsidR="0001508F" w:rsidRPr="0001508F" w:rsidRDefault="0001508F" w:rsidP="0001508F">
      <w:pPr>
        <w:suppressAutoHyphens/>
        <w:spacing w:after="240"/>
        <w:ind w:left="360"/>
        <w:rPr>
          <w:b/>
          <w:szCs w:val="24"/>
        </w:rPr>
      </w:pPr>
      <w:r w:rsidRPr="0001508F">
        <w:rPr>
          <w:b/>
          <w:szCs w:val="24"/>
        </w:rPr>
        <w:t>[</w:t>
      </w:r>
      <w:r w:rsidRPr="0001508F">
        <w:rPr>
          <w:b/>
          <w:strike/>
          <w:szCs w:val="24"/>
        </w:rPr>
        <w:t>1968 OR PRIOR CODE BUILDINGS OR STRUCTURES (PRIOR CODE BUILDINGS).</w:t>
      </w:r>
      <w:r w:rsidRPr="0001508F">
        <w:rPr>
          <w:b/>
          <w:szCs w:val="24"/>
        </w:rPr>
        <w:t>]</w:t>
      </w:r>
    </w:p>
    <w:p w14:paraId="49555001" w14:textId="77777777" w:rsidR="0001508F" w:rsidRPr="0001508F" w:rsidRDefault="0001508F" w:rsidP="0001508F">
      <w:pPr>
        <w:suppressAutoHyphens/>
        <w:spacing w:after="240"/>
        <w:ind w:left="360"/>
        <w:rPr>
          <w:spacing w:val="-8"/>
          <w:w w:val="115"/>
          <w:szCs w:val="24"/>
        </w:rPr>
      </w:pPr>
      <w:r w:rsidRPr="0001508F">
        <w:rPr>
          <w:b/>
          <w:szCs w:val="24"/>
        </w:rPr>
        <w:t>ACCEPTANCE OR ACCEPTED</w:t>
      </w:r>
      <w:r w:rsidRPr="0001508F">
        <w:rPr>
          <w:b/>
          <w:bCs/>
          <w:spacing w:val="-9"/>
          <w:w w:val="105"/>
          <w:szCs w:val="24"/>
        </w:rPr>
        <w:t xml:space="preserve">. </w:t>
      </w:r>
    </w:p>
    <w:p w14:paraId="68EB18E4" w14:textId="77777777" w:rsidR="0001508F" w:rsidRPr="0001508F" w:rsidRDefault="0001508F" w:rsidP="0001508F">
      <w:pPr>
        <w:suppressAutoHyphens/>
        <w:spacing w:after="240"/>
        <w:ind w:left="360"/>
        <w:rPr>
          <w:spacing w:val="1"/>
          <w:szCs w:val="24"/>
        </w:rPr>
      </w:pPr>
      <w:r w:rsidRPr="0001508F">
        <w:rPr>
          <w:b/>
          <w:szCs w:val="24"/>
        </w:rPr>
        <w:t>ADDITION.</w:t>
      </w:r>
      <w:r w:rsidRPr="0001508F">
        <w:rPr>
          <w:b/>
          <w:bCs/>
          <w:spacing w:val="-5"/>
          <w:w w:val="105"/>
          <w:szCs w:val="24"/>
        </w:rPr>
        <w:t xml:space="preserve"> </w:t>
      </w:r>
    </w:p>
    <w:p w14:paraId="1E26DD90" w14:textId="77777777" w:rsidR="0001508F" w:rsidRPr="0001508F" w:rsidRDefault="0001508F" w:rsidP="0001508F">
      <w:pPr>
        <w:suppressAutoHyphens/>
        <w:spacing w:after="240"/>
        <w:ind w:left="360"/>
        <w:rPr>
          <w:spacing w:val="-9"/>
          <w:w w:val="115"/>
          <w:szCs w:val="24"/>
        </w:rPr>
      </w:pPr>
      <w:r w:rsidRPr="0001508F">
        <w:rPr>
          <w:b/>
          <w:szCs w:val="24"/>
        </w:rPr>
        <w:t>ADMINISTRATIVE CODE.</w:t>
      </w:r>
      <w:r w:rsidRPr="0001508F">
        <w:rPr>
          <w:b/>
          <w:bCs/>
          <w:spacing w:val="-9"/>
          <w:w w:val="105"/>
          <w:szCs w:val="24"/>
        </w:rPr>
        <w:t xml:space="preserve"> </w:t>
      </w:r>
    </w:p>
    <w:p w14:paraId="540EA505" w14:textId="77777777" w:rsidR="0001508F" w:rsidRPr="0001508F" w:rsidRDefault="0001508F" w:rsidP="0001508F">
      <w:pPr>
        <w:suppressAutoHyphens/>
        <w:spacing w:after="240"/>
        <w:ind w:left="360"/>
        <w:rPr>
          <w:spacing w:val="-10"/>
          <w:w w:val="115"/>
          <w:szCs w:val="24"/>
        </w:rPr>
      </w:pPr>
      <w:r w:rsidRPr="0001508F">
        <w:rPr>
          <w:b/>
          <w:szCs w:val="24"/>
        </w:rPr>
        <w:t>ALTERATION</w:t>
      </w:r>
      <w:r w:rsidRPr="0001508F">
        <w:rPr>
          <w:b/>
          <w:bCs/>
          <w:spacing w:val="-9"/>
          <w:w w:val="105"/>
          <w:szCs w:val="24"/>
        </w:rPr>
        <w:t xml:space="preserve">. </w:t>
      </w:r>
    </w:p>
    <w:p w14:paraId="50DD8423" w14:textId="77777777" w:rsidR="0001508F" w:rsidRPr="0001508F" w:rsidRDefault="0001508F" w:rsidP="0001508F">
      <w:pPr>
        <w:suppressAutoHyphens/>
        <w:spacing w:after="240"/>
        <w:ind w:left="360"/>
        <w:rPr>
          <w:spacing w:val="-2"/>
          <w:w w:val="115"/>
          <w:szCs w:val="24"/>
        </w:rPr>
      </w:pPr>
      <w:r w:rsidRPr="0001508F">
        <w:rPr>
          <w:b/>
          <w:szCs w:val="24"/>
        </w:rPr>
        <w:t>APPROVAL OR APPROVED.</w:t>
      </w:r>
      <w:r w:rsidRPr="0001508F">
        <w:rPr>
          <w:b/>
          <w:bCs/>
          <w:spacing w:val="-8"/>
          <w:w w:val="105"/>
          <w:szCs w:val="24"/>
        </w:rPr>
        <w:t xml:space="preserve"> </w:t>
      </w:r>
    </w:p>
    <w:p w14:paraId="5D230BF4" w14:textId="77777777" w:rsidR="0001508F" w:rsidRPr="0001508F" w:rsidRDefault="0001508F" w:rsidP="0001508F">
      <w:pPr>
        <w:suppressAutoHyphens/>
        <w:spacing w:after="240"/>
        <w:ind w:left="360"/>
        <w:rPr>
          <w:spacing w:val="1"/>
          <w:szCs w:val="24"/>
        </w:rPr>
      </w:pPr>
      <w:r w:rsidRPr="0001508F">
        <w:rPr>
          <w:b/>
          <w:szCs w:val="24"/>
        </w:rPr>
        <w:t>APPROVED AGENCY.</w:t>
      </w:r>
      <w:r w:rsidRPr="0001508F">
        <w:rPr>
          <w:b/>
          <w:bCs/>
          <w:spacing w:val="-5"/>
          <w:w w:val="105"/>
          <w:szCs w:val="24"/>
        </w:rPr>
        <w:t xml:space="preserve"> </w:t>
      </w:r>
    </w:p>
    <w:p w14:paraId="248E764B" w14:textId="77777777" w:rsidR="0001508F" w:rsidRPr="0001508F" w:rsidRDefault="0001508F" w:rsidP="0001508F">
      <w:pPr>
        <w:suppressAutoHyphens/>
        <w:spacing w:after="240"/>
        <w:ind w:left="360"/>
        <w:rPr>
          <w:spacing w:val="-6"/>
          <w:w w:val="115"/>
          <w:szCs w:val="24"/>
        </w:rPr>
      </w:pPr>
      <w:r w:rsidRPr="0001508F">
        <w:rPr>
          <w:b/>
          <w:szCs w:val="24"/>
        </w:rPr>
        <w:t>APPROVED FABRICATOR.</w:t>
      </w:r>
      <w:r w:rsidRPr="0001508F">
        <w:rPr>
          <w:b/>
          <w:bCs/>
          <w:spacing w:val="-10"/>
          <w:w w:val="105"/>
          <w:szCs w:val="24"/>
        </w:rPr>
        <w:t xml:space="preserve"> </w:t>
      </w:r>
    </w:p>
    <w:p w14:paraId="085CEF3F" w14:textId="77777777" w:rsidR="0001508F" w:rsidRPr="0001508F" w:rsidRDefault="0001508F" w:rsidP="0001508F">
      <w:pPr>
        <w:suppressAutoHyphens/>
        <w:spacing w:after="240"/>
        <w:ind w:left="360"/>
        <w:rPr>
          <w:spacing w:val="-7"/>
          <w:w w:val="115"/>
          <w:szCs w:val="24"/>
        </w:rPr>
      </w:pPr>
      <w:r w:rsidRPr="0001508F">
        <w:rPr>
          <w:b/>
          <w:szCs w:val="24"/>
        </w:rPr>
        <w:t>APPROVED INSPECTION AGENCY.</w:t>
      </w:r>
      <w:r w:rsidRPr="0001508F">
        <w:rPr>
          <w:b/>
          <w:bCs/>
          <w:w w:val="105"/>
          <w:szCs w:val="24"/>
        </w:rPr>
        <w:t xml:space="preserve"> </w:t>
      </w:r>
    </w:p>
    <w:p w14:paraId="7052E8C0" w14:textId="77777777" w:rsidR="0001508F" w:rsidRPr="0001508F" w:rsidRDefault="0001508F" w:rsidP="0001508F">
      <w:pPr>
        <w:suppressAutoHyphens/>
        <w:spacing w:after="240"/>
        <w:ind w:left="360"/>
        <w:rPr>
          <w:spacing w:val="-7"/>
          <w:w w:val="115"/>
          <w:szCs w:val="24"/>
        </w:rPr>
      </w:pPr>
      <w:r w:rsidRPr="0001508F">
        <w:rPr>
          <w:b/>
          <w:szCs w:val="24"/>
        </w:rPr>
        <w:t>APPROVED TESTING AGENCY.</w:t>
      </w:r>
      <w:r w:rsidRPr="0001508F">
        <w:rPr>
          <w:b/>
          <w:bCs/>
          <w:spacing w:val="-10"/>
          <w:w w:val="105"/>
          <w:szCs w:val="24"/>
        </w:rPr>
        <w:t xml:space="preserve"> </w:t>
      </w:r>
    </w:p>
    <w:p w14:paraId="37B7F5AD" w14:textId="77777777" w:rsidR="0001508F" w:rsidRPr="0001508F" w:rsidRDefault="0001508F" w:rsidP="0001508F">
      <w:pPr>
        <w:suppressAutoHyphens/>
        <w:spacing w:after="240"/>
        <w:ind w:left="360"/>
        <w:rPr>
          <w:spacing w:val="-10"/>
          <w:w w:val="115"/>
          <w:szCs w:val="24"/>
        </w:rPr>
      </w:pPr>
      <w:r w:rsidRPr="0001508F">
        <w:rPr>
          <w:b/>
          <w:szCs w:val="24"/>
        </w:rPr>
        <w:t>ARCHITECT.</w:t>
      </w:r>
      <w:r w:rsidRPr="0001508F">
        <w:rPr>
          <w:b/>
          <w:bCs/>
          <w:spacing w:val="-6"/>
          <w:w w:val="105"/>
          <w:szCs w:val="24"/>
        </w:rPr>
        <w:t xml:space="preserve"> </w:t>
      </w:r>
    </w:p>
    <w:p w14:paraId="2758C54A" w14:textId="77777777" w:rsidR="0001508F" w:rsidRPr="0001508F" w:rsidRDefault="0001508F" w:rsidP="0001508F">
      <w:pPr>
        <w:suppressAutoHyphens/>
        <w:spacing w:after="240"/>
        <w:ind w:left="360"/>
        <w:rPr>
          <w:spacing w:val="-7"/>
          <w:w w:val="115"/>
          <w:szCs w:val="24"/>
        </w:rPr>
      </w:pPr>
      <w:r w:rsidRPr="0001508F">
        <w:rPr>
          <w:b/>
          <w:szCs w:val="24"/>
        </w:rPr>
        <w:t>BUILDING.</w:t>
      </w:r>
      <w:r w:rsidRPr="0001508F">
        <w:rPr>
          <w:b/>
          <w:bCs/>
          <w:spacing w:val="-12"/>
          <w:w w:val="105"/>
          <w:szCs w:val="24"/>
        </w:rPr>
        <w:t xml:space="preserve"> </w:t>
      </w:r>
    </w:p>
    <w:p w14:paraId="139580C0" w14:textId="77777777" w:rsidR="0001508F" w:rsidRPr="0001508F" w:rsidRDefault="0001508F" w:rsidP="0001508F">
      <w:pPr>
        <w:suppressAutoHyphens/>
        <w:spacing w:after="240"/>
        <w:ind w:left="360"/>
        <w:rPr>
          <w:spacing w:val="-8"/>
          <w:w w:val="115"/>
          <w:szCs w:val="24"/>
        </w:rPr>
      </w:pPr>
      <w:r w:rsidRPr="0001508F">
        <w:rPr>
          <w:b/>
          <w:szCs w:val="24"/>
        </w:rPr>
        <w:t xml:space="preserve">CHARTER. </w:t>
      </w:r>
    </w:p>
    <w:p w14:paraId="6979098F" w14:textId="77777777" w:rsidR="0001508F" w:rsidRPr="0001508F" w:rsidRDefault="0001508F" w:rsidP="0001508F">
      <w:pPr>
        <w:suppressAutoHyphens/>
        <w:spacing w:after="240"/>
        <w:ind w:left="360"/>
        <w:rPr>
          <w:spacing w:val="-7"/>
          <w:w w:val="115"/>
          <w:szCs w:val="24"/>
        </w:rPr>
      </w:pPr>
      <w:r w:rsidRPr="0001508F">
        <w:rPr>
          <w:b/>
          <w:szCs w:val="24"/>
        </w:rPr>
        <w:t xml:space="preserve">CERTIFICATE OF COMPLIANCE. </w:t>
      </w:r>
    </w:p>
    <w:p w14:paraId="63709B8C" w14:textId="77777777" w:rsidR="0001508F" w:rsidRPr="0001508F" w:rsidRDefault="0001508F" w:rsidP="0001508F">
      <w:pPr>
        <w:suppressAutoHyphens/>
        <w:spacing w:after="240"/>
        <w:ind w:left="360"/>
        <w:rPr>
          <w:spacing w:val="-8"/>
          <w:w w:val="115"/>
          <w:szCs w:val="24"/>
        </w:rPr>
      </w:pPr>
      <w:r w:rsidRPr="0001508F">
        <w:rPr>
          <w:b/>
          <w:szCs w:val="24"/>
        </w:rPr>
        <w:t>CITY.</w:t>
      </w:r>
      <w:r w:rsidRPr="0001508F">
        <w:rPr>
          <w:b/>
          <w:bCs/>
          <w:spacing w:val="-8"/>
          <w:w w:val="105"/>
          <w:szCs w:val="24"/>
        </w:rPr>
        <w:t xml:space="preserve"> </w:t>
      </w:r>
    </w:p>
    <w:p w14:paraId="720C3993" w14:textId="77777777" w:rsidR="0001508F" w:rsidRPr="0001508F" w:rsidRDefault="0001508F" w:rsidP="0001508F">
      <w:pPr>
        <w:suppressAutoHyphens/>
        <w:spacing w:after="240"/>
        <w:ind w:left="360"/>
        <w:rPr>
          <w:spacing w:val="-4"/>
          <w:w w:val="115"/>
          <w:szCs w:val="24"/>
        </w:rPr>
      </w:pPr>
      <w:r w:rsidRPr="0001508F">
        <w:rPr>
          <w:b/>
          <w:szCs w:val="24"/>
        </w:rPr>
        <w:t>COMMISSIONER.</w:t>
      </w:r>
      <w:r w:rsidRPr="0001508F">
        <w:rPr>
          <w:b/>
          <w:bCs/>
          <w:spacing w:val="-4"/>
          <w:w w:val="105"/>
          <w:szCs w:val="24"/>
        </w:rPr>
        <w:t xml:space="preserve"> </w:t>
      </w:r>
    </w:p>
    <w:p w14:paraId="5A09B5EF" w14:textId="77777777" w:rsidR="0001508F" w:rsidRPr="0001508F" w:rsidRDefault="0001508F" w:rsidP="0001508F">
      <w:pPr>
        <w:suppressAutoHyphens/>
        <w:spacing w:after="240"/>
        <w:ind w:left="360"/>
        <w:rPr>
          <w:spacing w:val="1"/>
          <w:szCs w:val="24"/>
        </w:rPr>
      </w:pPr>
      <w:r w:rsidRPr="0001508F">
        <w:rPr>
          <w:b/>
          <w:szCs w:val="24"/>
        </w:rPr>
        <w:t xml:space="preserve">CONSTRUCTION DOCUMENTS. </w:t>
      </w:r>
    </w:p>
    <w:p w14:paraId="419583A4" w14:textId="77777777" w:rsidR="0001508F" w:rsidRPr="0001508F" w:rsidRDefault="0001508F" w:rsidP="0001508F">
      <w:pPr>
        <w:suppressAutoHyphens/>
        <w:spacing w:after="240"/>
        <w:ind w:left="360"/>
        <w:rPr>
          <w:spacing w:val="-7"/>
          <w:w w:val="115"/>
          <w:szCs w:val="24"/>
        </w:rPr>
      </w:pPr>
      <w:r w:rsidRPr="0001508F">
        <w:rPr>
          <w:b/>
          <w:spacing w:val="-7"/>
          <w:w w:val="115"/>
          <w:szCs w:val="24"/>
        </w:rPr>
        <w:t>DAY.</w:t>
      </w:r>
      <w:r w:rsidRPr="0001508F">
        <w:rPr>
          <w:spacing w:val="-7"/>
          <w:w w:val="115"/>
          <w:szCs w:val="24"/>
        </w:rPr>
        <w:t xml:space="preserve"> </w:t>
      </w:r>
    </w:p>
    <w:p w14:paraId="1FE8010C" w14:textId="77777777" w:rsidR="0001508F" w:rsidRPr="0001508F" w:rsidRDefault="0001508F" w:rsidP="0001508F">
      <w:pPr>
        <w:suppressAutoHyphens/>
        <w:spacing w:after="240"/>
        <w:ind w:left="360"/>
        <w:rPr>
          <w:spacing w:val="-8"/>
          <w:w w:val="115"/>
          <w:szCs w:val="24"/>
        </w:rPr>
      </w:pPr>
      <w:r w:rsidRPr="0001508F">
        <w:rPr>
          <w:b/>
          <w:szCs w:val="24"/>
        </w:rPr>
        <w:t xml:space="preserve">DEFERRED SUBMITTAL. </w:t>
      </w:r>
    </w:p>
    <w:p w14:paraId="227CF45D" w14:textId="77777777" w:rsidR="0001508F" w:rsidRPr="0001508F" w:rsidRDefault="0001508F" w:rsidP="0001508F">
      <w:pPr>
        <w:suppressAutoHyphens/>
        <w:spacing w:after="240"/>
        <w:ind w:left="360"/>
        <w:rPr>
          <w:spacing w:val="-6"/>
          <w:w w:val="115"/>
          <w:szCs w:val="24"/>
        </w:rPr>
      </w:pPr>
      <w:r w:rsidRPr="0001508F">
        <w:rPr>
          <w:b/>
          <w:szCs w:val="24"/>
        </w:rPr>
        <w:t>DEMOLITION.</w:t>
      </w:r>
      <w:r w:rsidRPr="0001508F">
        <w:rPr>
          <w:b/>
          <w:bCs/>
          <w:spacing w:val="-6"/>
          <w:w w:val="105"/>
          <w:szCs w:val="24"/>
        </w:rPr>
        <w:t xml:space="preserve"> </w:t>
      </w:r>
    </w:p>
    <w:p w14:paraId="2EB766CF" w14:textId="77777777" w:rsidR="0001508F" w:rsidRPr="0001508F" w:rsidRDefault="0001508F" w:rsidP="0001508F">
      <w:pPr>
        <w:suppressAutoHyphens/>
        <w:spacing w:after="240"/>
        <w:ind w:left="360"/>
        <w:rPr>
          <w:spacing w:val="-6"/>
          <w:w w:val="115"/>
          <w:szCs w:val="24"/>
        </w:rPr>
      </w:pPr>
      <w:r w:rsidRPr="0001508F">
        <w:rPr>
          <w:b/>
          <w:szCs w:val="24"/>
        </w:rPr>
        <w:t xml:space="preserve">DEMOLITION, FULL. </w:t>
      </w:r>
    </w:p>
    <w:p w14:paraId="4CEFD091" w14:textId="77777777" w:rsidR="0001508F" w:rsidRPr="0001508F" w:rsidRDefault="0001508F" w:rsidP="0001508F">
      <w:pPr>
        <w:suppressAutoHyphens/>
        <w:spacing w:after="240"/>
        <w:ind w:left="360"/>
        <w:rPr>
          <w:spacing w:val="-6"/>
          <w:w w:val="115"/>
          <w:szCs w:val="24"/>
        </w:rPr>
      </w:pPr>
      <w:r w:rsidRPr="0001508F">
        <w:rPr>
          <w:b/>
          <w:szCs w:val="24"/>
        </w:rPr>
        <w:t>DEMOLITION, PARTIAL.</w:t>
      </w:r>
      <w:r w:rsidRPr="0001508F">
        <w:rPr>
          <w:b/>
          <w:bCs/>
          <w:spacing w:val="-5"/>
          <w:w w:val="105"/>
          <w:szCs w:val="24"/>
        </w:rPr>
        <w:t xml:space="preserve"> </w:t>
      </w:r>
    </w:p>
    <w:p w14:paraId="27211B73" w14:textId="77777777" w:rsidR="0001508F" w:rsidRPr="0001508F" w:rsidRDefault="0001508F" w:rsidP="0001508F">
      <w:pPr>
        <w:suppressAutoHyphens/>
        <w:spacing w:after="240"/>
        <w:ind w:left="360"/>
        <w:rPr>
          <w:spacing w:val="-7"/>
          <w:w w:val="115"/>
          <w:szCs w:val="24"/>
        </w:rPr>
      </w:pPr>
      <w:r w:rsidRPr="0001508F">
        <w:rPr>
          <w:b/>
          <w:szCs w:val="24"/>
        </w:rPr>
        <w:t xml:space="preserve">DEPARTMENT. </w:t>
      </w:r>
    </w:p>
    <w:p w14:paraId="3C26DD46" w14:textId="77777777" w:rsidR="0001508F" w:rsidRPr="0001508F" w:rsidRDefault="0001508F" w:rsidP="0001508F">
      <w:pPr>
        <w:suppressAutoHyphens/>
        <w:spacing w:after="240"/>
        <w:ind w:left="360"/>
        <w:rPr>
          <w:spacing w:val="-10"/>
          <w:w w:val="115"/>
          <w:szCs w:val="24"/>
        </w:rPr>
      </w:pPr>
      <w:r w:rsidRPr="0001508F">
        <w:rPr>
          <w:b/>
          <w:szCs w:val="24"/>
        </w:rPr>
        <w:t xml:space="preserve">ENGINEER. </w:t>
      </w:r>
    </w:p>
    <w:p w14:paraId="3A039FBF" w14:textId="77777777" w:rsidR="0001508F" w:rsidRPr="0001508F" w:rsidRDefault="0001508F" w:rsidP="0001508F">
      <w:pPr>
        <w:suppressAutoHyphens/>
        <w:spacing w:after="240"/>
        <w:ind w:left="360"/>
        <w:rPr>
          <w:spacing w:val="-8"/>
          <w:w w:val="115"/>
          <w:szCs w:val="24"/>
        </w:rPr>
      </w:pPr>
      <w:r w:rsidRPr="0001508F">
        <w:rPr>
          <w:b/>
          <w:szCs w:val="24"/>
        </w:rPr>
        <w:t xml:space="preserve">ENLARGEMENT. </w:t>
      </w:r>
    </w:p>
    <w:p w14:paraId="381429A5" w14:textId="77777777" w:rsidR="0001508F" w:rsidRPr="0001508F" w:rsidRDefault="0001508F" w:rsidP="0001508F">
      <w:pPr>
        <w:suppressAutoHyphens/>
        <w:spacing w:after="240"/>
        <w:ind w:left="360"/>
        <w:rPr>
          <w:szCs w:val="24"/>
        </w:rPr>
      </w:pPr>
      <w:r w:rsidRPr="0001508F">
        <w:rPr>
          <w:b/>
          <w:szCs w:val="24"/>
        </w:rPr>
        <w:t xml:space="preserve">ENVIRONMENTAL CONTROL BOARD or ECB. </w:t>
      </w:r>
    </w:p>
    <w:p w14:paraId="788E6ED0" w14:textId="77777777" w:rsidR="0001508F" w:rsidRPr="0001508F" w:rsidRDefault="0001508F" w:rsidP="0001508F">
      <w:pPr>
        <w:suppressAutoHyphens/>
        <w:spacing w:after="240"/>
        <w:ind w:left="360"/>
        <w:rPr>
          <w:spacing w:val="-6"/>
          <w:w w:val="115"/>
          <w:szCs w:val="24"/>
        </w:rPr>
      </w:pPr>
      <w:r w:rsidRPr="0001508F">
        <w:rPr>
          <w:b/>
          <w:szCs w:val="24"/>
        </w:rPr>
        <w:t>EXISTING BUILDING OR STRUCTURE.</w:t>
      </w:r>
      <w:r w:rsidRPr="0001508F">
        <w:rPr>
          <w:spacing w:val="1"/>
          <w:szCs w:val="24"/>
        </w:rPr>
        <w:t xml:space="preserve"> </w:t>
      </w:r>
    </w:p>
    <w:p w14:paraId="0B3E1388" w14:textId="77777777" w:rsidR="0001508F" w:rsidRPr="0001508F" w:rsidRDefault="0001508F" w:rsidP="0001508F">
      <w:pPr>
        <w:suppressAutoHyphens/>
        <w:spacing w:after="240"/>
        <w:ind w:left="360"/>
        <w:rPr>
          <w:spacing w:val="1"/>
          <w:szCs w:val="24"/>
        </w:rPr>
      </w:pPr>
      <w:r w:rsidRPr="0001508F">
        <w:rPr>
          <w:b/>
          <w:szCs w:val="24"/>
        </w:rPr>
        <w:t xml:space="preserve">FABRICATED ITEM. </w:t>
      </w:r>
    </w:p>
    <w:p w14:paraId="67800685" w14:textId="77777777" w:rsidR="0001508F" w:rsidRPr="0001508F" w:rsidRDefault="0001508F" w:rsidP="0001508F">
      <w:pPr>
        <w:suppressAutoHyphens/>
        <w:spacing w:after="240"/>
        <w:ind w:left="360"/>
        <w:rPr>
          <w:spacing w:val="-6"/>
          <w:w w:val="115"/>
          <w:szCs w:val="24"/>
        </w:rPr>
      </w:pPr>
      <w:r w:rsidRPr="0001508F">
        <w:rPr>
          <w:b/>
          <w:szCs w:val="24"/>
        </w:rPr>
        <w:t>FIRE PROTECTION PLAN.</w:t>
      </w:r>
      <w:r w:rsidRPr="0001508F">
        <w:rPr>
          <w:b/>
          <w:bCs/>
          <w:spacing w:val="-13"/>
          <w:w w:val="105"/>
          <w:szCs w:val="24"/>
        </w:rPr>
        <w:t xml:space="preserve"> </w:t>
      </w:r>
    </w:p>
    <w:p w14:paraId="35870C69" w14:textId="77777777" w:rsidR="0001508F" w:rsidRPr="0001508F" w:rsidRDefault="0001508F" w:rsidP="0001508F">
      <w:pPr>
        <w:suppressAutoHyphens/>
        <w:spacing w:after="240"/>
        <w:ind w:left="360"/>
        <w:rPr>
          <w:spacing w:val="-7"/>
          <w:w w:val="115"/>
          <w:szCs w:val="24"/>
        </w:rPr>
      </w:pPr>
      <w:r w:rsidRPr="0001508F">
        <w:rPr>
          <w:b/>
          <w:szCs w:val="24"/>
        </w:rPr>
        <w:t>HEREAFTER.</w:t>
      </w:r>
      <w:r w:rsidRPr="0001508F">
        <w:rPr>
          <w:b/>
          <w:bCs/>
          <w:spacing w:val="-7"/>
          <w:w w:val="105"/>
          <w:szCs w:val="24"/>
        </w:rPr>
        <w:t xml:space="preserve"> </w:t>
      </w:r>
    </w:p>
    <w:p w14:paraId="18F3E7CC" w14:textId="77777777" w:rsidR="0001508F" w:rsidRPr="0001508F" w:rsidRDefault="0001508F" w:rsidP="0001508F">
      <w:pPr>
        <w:suppressAutoHyphens/>
        <w:spacing w:after="240"/>
        <w:ind w:left="360"/>
        <w:rPr>
          <w:spacing w:val="-6"/>
          <w:w w:val="115"/>
          <w:szCs w:val="24"/>
        </w:rPr>
      </w:pPr>
      <w:r w:rsidRPr="0001508F">
        <w:rPr>
          <w:b/>
          <w:szCs w:val="24"/>
        </w:rPr>
        <w:t xml:space="preserve">HERETOFORE. </w:t>
      </w:r>
    </w:p>
    <w:p w14:paraId="601033CE" w14:textId="77777777" w:rsidR="0001508F" w:rsidRPr="0001508F" w:rsidRDefault="0001508F" w:rsidP="0001508F">
      <w:pPr>
        <w:suppressAutoHyphens/>
        <w:spacing w:after="240"/>
        <w:ind w:left="360"/>
        <w:rPr>
          <w:spacing w:val="1"/>
          <w:szCs w:val="24"/>
        </w:rPr>
      </w:pPr>
      <w:r w:rsidRPr="0001508F">
        <w:rPr>
          <w:b/>
          <w:bCs/>
          <w:spacing w:val="-9"/>
          <w:w w:val="105"/>
          <w:szCs w:val="24"/>
        </w:rPr>
        <w:t>I</w:t>
      </w:r>
      <w:r w:rsidRPr="0001508F">
        <w:rPr>
          <w:b/>
          <w:szCs w:val="24"/>
        </w:rPr>
        <w:t>NSPECTION CERTIFICATE.</w:t>
      </w:r>
      <w:r w:rsidRPr="0001508F">
        <w:rPr>
          <w:b/>
          <w:bCs/>
          <w:spacing w:val="-9"/>
          <w:w w:val="105"/>
          <w:szCs w:val="24"/>
        </w:rPr>
        <w:t xml:space="preserve"> </w:t>
      </w:r>
    </w:p>
    <w:p w14:paraId="68A0569A" w14:textId="77777777" w:rsidR="0001508F" w:rsidRPr="0001508F" w:rsidRDefault="0001508F" w:rsidP="0001508F">
      <w:pPr>
        <w:suppressAutoHyphens/>
        <w:spacing w:after="240"/>
        <w:ind w:left="360"/>
        <w:rPr>
          <w:spacing w:val="-6"/>
          <w:w w:val="115"/>
          <w:szCs w:val="24"/>
        </w:rPr>
      </w:pPr>
      <w:r w:rsidRPr="0001508F">
        <w:rPr>
          <w:b/>
          <w:szCs w:val="24"/>
        </w:rPr>
        <w:t>INTERIM CERTIFICATE OF OCCUPANCY.</w:t>
      </w:r>
      <w:r w:rsidRPr="0001508F">
        <w:rPr>
          <w:b/>
          <w:spacing w:val="-6"/>
          <w:w w:val="115"/>
          <w:szCs w:val="24"/>
        </w:rPr>
        <w:t xml:space="preserve"> </w:t>
      </w:r>
    </w:p>
    <w:p w14:paraId="6A2739F2" w14:textId="77777777" w:rsidR="0001508F" w:rsidRPr="0001508F" w:rsidRDefault="0001508F" w:rsidP="0001508F">
      <w:pPr>
        <w:suppressAutoHyphens/>
        <w:spacing w:after="240"/>
        <w:ind w:left="360"/>
        <w:rPr>
          <w:spacing w:val="1"/>
          <w:szCs w:val="24"/>
        </w:rPr>
      </w:pPr>
      <w:r w:rsidRPr="0001508F">
        <w:rPr>
          <w:b/>
          <w:szCs w:val="24"/>
        </w:rPr>
        <w:t>LABEL.</w:t>
      </w:r>
      <w:r w:rsidRPr="0001508F">
        <w:rPr>
          <w:b/>
          <w:bCs/>
          <w:spacing w:val="-6"/>
          <w:w w:val="105"/>
          <w:szCs w:val="24"/>
        </w:rPr>
        <w:t xml:space="preserve"> </w:t>
      </w:r>
    </w:p>
    <w:p w14:paraId="7DE6D73F" w14:textId="77777777" w:rsidR="0001508F" w:rsidRPr="0001508F" w:rsidRDefault="0001508F" w:rsidP="0001508F">
      <w:pPr>
        <w:suppressAutoHyphens/>
        <w:spacing w:after="240"/>
        <w:ind w:left="360"/>
        <w:rPr>
          <w:spacing w:val="-8"/>
          <w:w w:val="115"/>
          <w:szCs w:val="24"/>
        </w:rPr>
      </w:pPr>
      <w:r w:rsidRPr="0001508F">
        <w:rPr>
          <w:b/>
          <w:szCs w:val="24"/>
        </w:rPr>
        <w:t xml:space="preserve">LABELED. </w:t>
      </w:r>
    </w:p>
    <w:p w14:paraId="1BDC8007" w14:textId="77777777" w:rsidR="0001508F" w:rsidRPr="0001508F" w:rsidRDefault="0001508F" w:rsidP="0001508F">
      <w:pPr>
        <w:suppressAutoHyphens/>
        <w:spacing w:after="240"/>
        <w:ind w:left="360"/>
        <w:rPr>
          <w:spacing w:val="-8"/>
          <w:w w:val="115"/>
          <w:szCs w:val="24"/>
        </w:rPr>
      </w:pPr>
      <w:r w:rsidRPr="0001508F">
        <w:rPr>
          <w:b/>
          <w:szCs w:val="24"/>
        </w:rPr>
        <w:t>LAND SURVEYOR.</w:t>
      </w:r>
      <w:r w:rsidRPr="0001508F">
        <w:rPr>
          <w:b/>
          <w:bCs/>
          <w:spacing w:val="-6"/>
          <w:w w:val="105"/>
          <w:szCs w:val="24"/>
        </w:rPr>
        <w:t xml:space="preserve"> </w:t>
      </w:r>
    </w:p>
    <w:p w14:paraId="752854FF" w14:textId="77777777" w:rsidR="0001508F" w:rsidRPr="0001508F" w:rsidRDefault="0001508F" w:rsidP="0001508F">
      <w:pPr>
        <w:suppressAutoHyphens/>
        <w:spacing w:after="240"/>
        <w:ind w:left="360"/>
        <w:rPr>
          <w:spacing w:val="1"/>
          <w:szCs w:val="24"/>
        </w:rPr>
      </w:pPr>
      <w:r w:rsidRPr="0001508F">
        <w:rPr>
          <w:b/>
          <w:szCs w:val="24"/>
        </w:rPr>
        <w:t>LANDSCAPE ARCHITECT</w:t>
      </w:r>
      <w:r w:rsidRPr="0001508F">
        <w:rPr>
          <w:b/>
          <w:spacing w:val="-7"/>
          <w:w w:val="115"/>
          <w:szCs w:val="24"/>
        </w:rPr>
        <w:t>.</w:t>
      </w:r>
      <w:r w:rsidRPr="0001508F">
        <w:rPr>
          <w:spacing w:val="-7"/>
          <w:w w:val="115"/>
          <w:szCs w:val="24"/>
        </w:rPr>
        <w:t xml:space="preserve"> </w:t>
      </w:r>
    </w:p>
    <w:p w14:paraId="2751AD47" w14:textId="77777777" w:rsidR="0001508F" w:rsidRPr="0001508F" w:rsidRDefault="0001508F" w:rsidP="0001508F">
      <w:pPr>
        <w:suppressAutoHyphens/>
        <w:spacing w:after="240"/>
        <w:ind w:left="360"/>
        <w:rPr>
          <w:spacing w:val="1"/>
          <w:szCs w:val="24"/>
        </w:rPr>
      </w:pPr>
      <w:r w:rsidRPr="0001508F">
        <w:rPr>
          <w:b/>
          <w:szCs w:val="24"/>
        </w:rPr>
        <w:t>LETTER OF COMPLETION.</w:t>
      </w:r>
      <w:r w:rsidRPr="0001508F">
        <w:rPr>
          <w:b/>
          <w:bCs/>
          <w:spacing w:val="-7"/>
          <w:w w:val="105"/>
          <w:szCs w:val="24"/>
        </w:rPr>
        <w:t xml:space="preserve"> </w:t>
      </w:r>
    </w:p>
    <w:p w14:paraId="03715357" w14:textId="77777777" w:rsidR="0001508F" w:rsidRPr="0001508F" w:rsidRDefault="0001508F" w:rsidP="0001508F">
      <w:pPr>
        <w:suppressAutoHyphens/>
        <w:spacing w:after="240"/>
        <w:ind w:left="360"/>
        <w:rPr>
          <w:szCs w:val="24"/>
        </w:rPr>
      </w:pPr>
      <w:r w:rsidRPr="0001508F">
        <w:rPr>
          <w:b/>
          <w:szCs w:val="24"/>
        </w:rPr>
        <w:t xml:space="preserve">LIMITED ALTERATION APPLICATION. </w:t>
      </w:r>
    </w:p>
    <w:p w14:paraId="2D96DC37" w14:textId="77777777" w:rsidR="0001508F" w:rsidRPr="0001508F" w:rsidRDefault="0001508F" w:rsidP="0001508F">
      <w:pPr>
        <w:suppressAutoHyphens/>
        <w:spacing w:after="240"/>
        <w:ind w:left="360"/>
        <w:rPr>
          <w:b/>
          <w:szCs w:val="24"/>
          <w:u w:val="single"/>
        </w:rPr>
      </w:pPr>
      <w:r w:rsidRPr="0001508F">
        <w:rPr>
          <w:b/>
          <w:szCs w:val="24"/>
          <w:u w:val="single"/>
        </w:rPr>
        <w:t>LIMITED ELEVATOR ALTERATIONS.</w:t>
      </w:r>
      <w:r w:rsidRPr="0001508F">
        <w:rPr>
          <w:spacing w:val="1"/>
          <w:szCs w:val="24"/>
          <w:u w:val="single"/>
        </w:rPr>
        <w:t xml:space="preserve"> </w:t>
      </w:r>
    </w:p>
    <w:p w14:paraId="0F8AF8E2" w14:textId="77777777" w:rsidR="0001508F" w:rsidRPr="0001508F" w:rsidRDefault="0001508F" w:rsidP="0001508F">
      <w:pPr>
        <w:suppressAutoHyphens/>
        <w:spacing w:after="240"/>
        <w:ind w:left="360"/>
        <w:rPr>
          <w:b/>
          <w:szCs w:val="24"/>
          <w:u w:val="single"/>
        </w:rPr>
      </w:pPr>
      <w:r w:rsidRPr="0001508F">
        <w:rPr>
          <w:b/>
          <w:szCs w:val="24"/>
          <w:u w:val="single"/>
        </w:rPr>
        <w:t>LIMITED HOME IMPROVEMENT ALTERATIONS.</w:t>
      </w:r>
      <w:r w:rsidRPr="0001508F">
        <w:rPr>
          <w:spacing w:val="1"/>
          <w:szCs w:val="24"/>
          <w:u w:val="single"/>
        </w:rPr>
        <w:t xml:space="preserve"> </w:t>
      </w:r>
    </w:p>
    <w:p w14:paraId="617AB3D7" w14:textId="77777777" w:rsidR="0001508F" w:rsidRPr="0001508F" w:rsidRDefault="0001508F" w:rsidP="0001508F">
      <w:pPr>
        <w:suppressAutoHyphens/>
        <w:spacing w:after="240"/>
        <w:ind w:left="360"/>
        <w:rPr>
          <w:spacing w:val="1"/>
          <w:szCs w:val="24"/>
        </w:rPr>
      </w:pPr>
      <w:r w:rsidRPr="0001508F">
        <w:rPr>
          <w:b/>
          <w:szCs w:val="24"/>
        </w:rPr>
        <w:t>LIMITED OIL-BURNING APPLIANCE ALTERATIONS.</w:t>
      </w:r>
      <w:r w:rsidRPr="0001508F">
        <w:rPr>
          <w:spacing w:val="-6"/>
          <w:w w:val="115"/>
          <w:szCs w:val="24"/>
        </w:rPr>
        <w:t xml:space="preserve"> </w:t>
      </w:r>
    </w:p>
    <w:p w14:paraId="3B5232B8" w14:textId="77777777" w:rsidR="0001508F" w:rsidRPr="0001508F" w:rsidRDefault="0001508F" w:rsidP="0001508F">
      <w:pPr>
        <w:suppressAutoHyphens/>
        <w:spacing w:after="240"/>
        <w:ind w:left="360"/>
        <w:rPr>
          <w:szCs w:val="24"/>
        </w:rPr>
      </w:pPr>
      <w:r w:rsidRPr="0001508F">
        <w:rPr>
          <w:b/>
          <w:szCs w:val="24"/>
        </w:rPr>
        <w:t>LIMITED PLUMBING ALTERATIONS.</w:t>
      </w:r>
      <w:r w:rsidRPr="0001508F">
        <w:rPr>
          <w:szCs w:val="24"/>
        </w:rPr>
        <w:t xml:space="preserve"> </w:t>
      </w:r>
    </w:p>
    <w:p w14:paraId="5B70A119" w14:textId="77777777" w:rsidR="0001508F" w:rsidRPr="0001508F" w:rsidRDefault="0001508F" w:rsidP="0001508F">
      <w:pPr>
        <w:suppressAutoHyphens/>
        <w:spacing w:after="240"/>
        <w:ind w:left="360"/>
        <w:rPr>
          <w:b/>
          <w:szCs w:val="24"/>
          <w:u w:val="single"/>
        </w:rPr>
      </w:pPr>
      <w:r w:rsidRPr="0001508F">
        <w:rPr>
          <w:b/>
          <w:szCs w:val="24"/>
          <w:u w:val="single"/>
        </w:rPr>
        <w:t>LIMITED REROOFING ALTERATIONS.</w:t>
      </w:r>
      <w:r w:rsidRPr="0001508F">
        <w:rPr>
          <w:spacing w:val="1"/>
          <w:szCs w:val="24"/>
          <w:u w:val="single"/>
        </w:rPr>
        <w:t xml:space="preserve"> </w:t>
      </w:r>
    </w:p>
    <w:p w14:paraId="0AE11746" w14:textId="77777777" w:rsidR="0001508F" w:rsidRPr="0001508F" w:rsidRDefault="0001508F" w:rsidP="0001508F">
      <w:pPr>
        <w:suppressAutoHyphens/>
        <w:spacing w:after="240"/>
        <w:ind w:left="360"/>
        <w:rPr>
          <w:b/>
          <w:szCs w:val="24"/>
        </w:rPr>
      </w:pPr>
      <w:r w:rsidRPr="0001508F">
        <w:rPr>
          <w:b/>
          <w:szCs w:val="24"/>
        </w:rPr>
        <w:t>LIMITED SPRINKLER ALTERATIONS.</w:t>
      </w:r>
      <w:r w:rsidRPr="0001508F">
        <w:rPr>
          <w:szCs w:val="24"/>
        </w:rPr>
        <w:t xml:space="preserve"> </w:t>
      </w:r>
    </w:p>
    <w:p w14:paraId="78468E13" w14:textId="77777777" w:rsidR="0001508F" w:rsidRPr="0001508F" w:rsidRDefault="0001508F" w:rsidP="0001508F">
      <w:pPr>
        <w:suppressAutoHyphens/>
        <w:spacing w:after="240"/>
        <w:ind w:left="360"/>
        <w:rPr>
          <w:szCs w:val="24"/>
        </w:rPr>
      </w:pPr>
      <w:r w:rsidRPr="0001508F">
        <w:rPr>
          <w:b/>
          <w:szCs w:val="24"/>
        </w:rPr>
        <w:t>LIMITED STANDPIPE ALTERATIONS.</w:t>
      </w:r>
      <w:r w:rsidRPr="0001508F">
        <w:rPr>
          <w:szCs w:val="24"/>
        </w:rPr>
        <w:t xml:space="preserve"> </w:t>
      </w:r>
    </w:p>
    <w:p w14:paraId="45C57134" w14:textId="77777777" w:rsidR="0001508F" w:rsidRPr="0001508F" w:rsidRDefault="0001508F" w:rsidP="0001508F">
      <w:pPr>
        <w:suppressAutoHyphens/>
        <w:spacing w:after="240"/>
        <w:ind w:left="360"/>
        <w:rPr>
          <w:b/>
          <w:szCs w:val="24"/>
          <w:u w:val="single"/>
        </w:rPr>
      </w:pPr>
      <w:r w:rsidRPr="0001508F">
        <w:rPr>
          <w:b/>
          <w:szCs w:val="24"/>
          <w:u w:val="single"/>
        </w:rPr>
        <w:t>LIMITED WINDOW REPLACEMENT ALTERATIONS.</w:t>
      </w:r>
      <w:r w:rsidRPr="0001508F">
        <w:rPr>
          <w:spacing w:val="1"/>
          <w:szCs w:val="24"/>
          <w:u w:val="single"/>
        </w:rPr>
        <w:t xml:space="preserve"> </w:t>
      </w:r>
    </w:p>
    <w:p w14:paraId="4294ACEF" w14:textId="77777777" w:rsidR="0001508F" w:rsidRPr="0001508F" w:rsidRDefault="0001508F" w:rsidP="0001508F">
      <w:pPr>
        <w:suppressAutoHyphens/>
        <w:spacing w:after="240"/>
        <w:ind w:left="360"/>
        <w:rPr>
          <w:szCs w:val="24"/>
        </w:rPr>
      </w:pPr>
      <w:r w:rsidRPr="0001508F">
        <w:rPr>
          <w:b/>
          <w:szCs w:val="24"/>
        </w:rPr>
        <w:t>LISTED.</w:t>
      </w:r>
      <w:r w:rsidRPr="0001508F">
        <w:rPr>
          <w:szCs w:val="24"/>
        </w:rPr>
        <w:t xml:space="preserve"> </w:t>
      </w:r>
    </w:p>
    <w:p w14:paraId="5CBB2CE2" w14:textId="77777777" w:rsidR="0001508F" w:rsidRPr="0001508F" w:rsidRDefault="0001508F" w:rsidP="0001508F">
      <w:pPr>
        <w:suppressAutoHyphens/>
        <w:spacing w:after="240"/>
        <w:ind w:left="360"/>
        <w:rPr>
          <w:b/>
          <w:bCs/>
          <w:spacing w:val="3"/>
          <w:w w:val="105"/>
          <w:szCs w:val="24"/>
        </w:rPr>
      </w:pPr>
      <w:r w:rsidRPr="0001508F">
        <w:rPr>
          <w:b/>
          <w:szCs w:val="24"/>
        </w:rPr>
        <w:t xml:space="preserve">MAIN USE OR DOMINANT OCCUPANCY (OF A BUILDING). </w:t>
      </w:r>
    </w:p>
    <w:p w14:paraId="13B5AEB3" w14:textId="77777777" w:rsidR="0001508F" w:rsidRPr="0001508F" w:rsidRDefault="0001508F" w:rsidP="0001508F">
      <w:pPr>
        <w:suppressAutoHyphens/>
        <w:spacing w:after="240"/>
        <w:ind w:left="360"/>
        <w:rPr>
          <w:spacing w:val="3"/>
          <w:szCs w:val="24"/>
        </w:rPr>
      </w:pPr>
      <w:r w:rsidRPr="0001508F">
        <w:rPr>
          <w:b/>
          <w:szCs w:val="24"/>
        </w:rPr>
        <w:t>MANUFACTURER’S DESIGNATION.</w:t>
      </w:r>
      <w:r w:rsidRPr="0001508F">
        <w:rPr>
          <w:b/>
          <w:bCs/>
          <w:spacing w:val="1"/>
          <w:w w:val="105"/>
          <w:szCs w:val="24"/>
        </w:rPr>
        <w:t xml:space="preserve"> </w:t>
      </w:r>
    </w:p>
    <w:p w14:paraId="3BFBBF47" w14:textId="77777777" w:rsidR="0001508F" w:rsidRPr="0001508F" w:rsidRDefault="0001508F" w:rsidP="0001508F">
      <w:pPr>
        <w:suppressAutoHyphens/>
        <w:spacing w:after="240"/>
        <w:ind w:left="360"/>
        <w:rPr>
          <w:spacing w:val="2"/>
          <w:szCs w:val="24"/>
        </w:rPr>
      </w:pPr>
      <w:r w:rsidRPr="0001508F">
        <w:rPr>
          <w:b/>
          <w:szCs w:val="24"/>
        </w:rPr>
        <w:t xml:space="preserve">MARK. </w:t>
      </w:r>
    </w:p>
    <w:p w14:paraId="43E5CDC0" w14:textId="77777777" w:rsidR="0001508F" w:rsidRPr="0001508F" w:rsidRDefault="0001508F" w:rsidP="0001508F">
      <w:pPr>
        <w:suppressAutoHyphens/>
        <w:spacing w:after="240"/>
        <w:ind w:left="360"/>
        <w:rPr>
          <w:spacing w:val="2"/>
          <w:szCs w:val="24"/>
        </w:rPr>
      </w:pPr>
      <w:r w:rsidRPr="0001508F">
        <w:rPr>
          <w:b/>
          <w:szCs w:val="24"/>
        </w:rPr>
        <w:t>MATERIALS.</w:t>
      </w:r>
      <w:r w:rsidRPr="0001508F">
        <w:rPr>
          <w:b/>
          <w:bCs/>
          <w:spacing w:val="-3"/>
          <w:w w:val="105"/>
          <w:szCs w:val="24"/>
        </w:rPr>
        <w:t xml:space="preserve"> </w:t>
      </w:r>
    </w:p>
    <w:p w14:paraId="6213191D" w14:textId="77777777" w:rsidR="0001508F" w:rsidRPr="0001508F" w:rsidRDefault="0001508F" w:rsidP="0001508F">
      <w:pPr>
        <w:suppressAutoHyphens/>
        <w:spacing w:after="240"/>
        <w:ind w:left="360"/>
        <w:rPr>
          <w:szCs w:val="24"/>
        </w:rPr>
      </w:pPr>
      <w:r w:rsidRPr="0001508F">
        <w:rPr>
          <w:b/>
          <w:szCs w:val="24"/>
        </w:rPr>
        <w:t>OCCUPANCY.</w:t>
      </w:r>
      <w:r w:rsidRPr="0001508F">
        <w:rPr>
          <w:b/>
          <w:bCs/>
          <w:w w:val="105"/>
          <w:szCs w:val="24"/>
        </w:rPr>
        <w:t xml:space="preserve"> </w:t>
      </w:r>
    </w:p>
    <w:p w14:paraId="11B749A0" w14:textId="77777777" w:rsidR="0001508F" w:rsidRPr="0001508F" w:rsidRDefault="0001508F" w:rsidP="0001508F">
      <w:pPr>
        <w:suppressAutoHyphens/>
        <w:spacing w:after="240"/>
        <w:ind w:left="360"/>
        <w:rPr>
          <w:spacing w:val="2"/>
          <w:szCs w:val="24"/>
        </w:rPr>
      </w:pPr>
      <w:r w:rsidRPr="0001508F">
        <w:rPr>
          <w:b/>
          <w:szCs w:val="24"/>
        </w:rPr>
        <w:t xml:space="preserve">OWNER. </w:t>
      </w:r>
    </w:p>
    <w:p w14:paraId="3F903BAB" w14:textId="77777777" w:rsidR="0001508F" w:rsidRPr="0001508F" w:rsidRDefault="0001508F" w:rsidP="0001508F">
      <w:pPr>
        <w:suppressAutoHyphens/>
        <w:spacing w:after="240"/>
        <w:ind w:left="360"/>
        <w:rPr>
          <w:spacing w:val="-2"/>
          <w:szCs w:val="24"/>
        </w:rPr>
      </w:pPr>
      <w:r w:rsidRPr="0001508F">
        <w:rPr>
          <w:b/>
          <w:szCs w:val="24"/>
        </w:rPr>
        <w:t>PARTY WALL.</w:t>
      </w:r>
      <w:r w:rsidRPr="0001508F">
        <w:rPr>
          <w:b/>
          <w:bCs/>
          <w:spacing w:val="-2"/>
          <w:w w:val="105"/>
          <w:szCs w:val="24"/>
        </w:rPr>
        <w:t xml:space="preserve"> </w:t>
      </w:r>
    </w:p>
    <w:p w14:paraId="1B4DDFF9" w14:textId="77777777" w:rsidR="0001508F" w:rsidRPr="0001508F" w:rsidRDefault="0001508F" w:rsidP="0001508F">
      <w:pPr>
        <w:suppressAutoHyphens/>
        <w:spacing w:after="240"/>
        <w:ind w:left="360"/>
        <w:rPr>
          <w:szCs w:val="24"/>
        </w:rPr>
      </w:pPr>
      <w:r w:rsidRPr="0001508F">
        <w:rPr>
          <w:b/>
          <w:szCs w:val="24"/>
        </w:rPr>
        <w:t>PERMIT.</w:t>
      </w:r>
      <w:r w:rsidRPr="0001508F">
        <w:rPr>
          <w:b/>
          <w:bCs/>
          <w:w w:val="105"/>
          <w:szCs w:val="24"/>
        </w:rPr>
        <w:t xml:space="preserve"> </w:t>
      </w:r>
    </w:p>
    <w:p w14:paraId="15960690" w14:textId="77777777" w:rsidR="0001508F" w:rsidRPr="0001508F" w:rsidRDefault="0001508F" w:rsidP="0001508F">
      <w:pPr>
        <w:suppressAutoHyphens/>
        <w:spacing w:after="240"/>
        <w:ind w:left="360"/>
        <w:rPr>
          <w:spacing w:val="3"/>
          <w:szCs w:val="24"/>
        </w:rPr>
      </w:pPr>
      <w:r w:rsidRPr="0001508F">
        <w:rPr>
          <w:b/>
          <w:szCs w:val="24"/>
        </w:rPr>
        <w:t xml:space="preserve">PERSON. </w:t>
      </w:r>
    </w:p>
    <w:p w14:paraId="37867125" w14:textId="77777777" w:rsidR="0001508F" w:rsidRPr="0001508F" w:rsidRDefault="0001508F" w:rsidP="0001508F">
      <w:pPr>
        <w:suppressAutoHyphens/>
        <w:spacing w:after="240"/>
        <w:ind w:left="360"/>
        <w:rPr>
          <w:spacing w:val="11"/>
          <w:szCs w:val="24"/>
        </w:rPr>
      </w:pPr>
      <w:r w:rsidRPr="0001508F">
        <w:rPr>
          <w:b/>
          <w:szCs w:val="24"/>
        </w:rPr>
        <w:t>PREMISES</w:t>
      </w:r>
      <w:r w:rsidRPr="0001508F">
        <w:rPr>
          <w:b/>
          <w:bCs/>
          <w:spacing w:val="11"/>
          <w:w w:val="105"/>
          <w:szCs w:val="24"/>
        </w:rPr>
        <w:t xml:space="preserve">. </w:t>
      </w:r>
    </w:p>
    <w:p w14:paraId="3BAF6013" w14:textId="77777777" w:rsidR="0001508F" w:rsidRPr="0001508F" w:rsidRDefault="0001508F" w:rsidP="0001508F">
      <w:pPr>
        <w:suppressAutoHyphens/>
        <w:spacing w:after="240"/>
        <w:ind w:left="360"/>
        <w:rPr>
          <w:szCs w:val="24"/>
        </w:rPr>
      </w:pPr>
      <w:r w:rsidRPr="0001508F">
        <w:rPr>
          <w:b/>
          <w:szCs w:val="24"/>
        </w:rPr>
        <w:t xml:space="preserve">PRIOR CODE BUILDING </w:t>
      </w:r>
      <w:r w:rsidRPr="0001508F">
        <w:rPr>
          <w:b/>
          <w:szCs w:val="24"/>
          <w:u w:val="single"/>
        </w:rPr>
        <w:t>OR STRUCTURE</w:t>
      </w:r>
      <w:r w:rsidRPr="0001508F">
        <w:rPr>
          <w:b/>
          <w:szCs w:val="24"/>
        </w:rPr>
        <w:t xml:space="preserve">. </w:t>
      </w:r>
    </w:p>
    <w:p w14:paraId="52058541" w14:textId="77777777" w:rsidR="0001508F" w:rsidRPr="0001508F" w:rsidRDefault="0001508F" w:rsidP="0001508F">
      <w:pPr>
        <w:suppressAutoHyphens/>
        <w:spacing w:after="240"/>
        <w:ind w:left="360"/>
        <w:rPr>
          <w:spacing w:val="2"/>
          <w:szCs w:val="24"/>
        </w:rPr>
      </w:pPr>
      <w:r w:rsidRPr="0001508F">
        <w:rPr>
          <w:b/>
          <w:szCs w:val="24"/>
        </w:rPr>
        <w:t>PROFESSIONAL CERTIFICATION.</w:t>
      </w:r>
      <w:r w:rsidRPr="0001508F">
        <w:rPr>
          <w:b/>
          <w:bCs/>
          <w:spacing w:val="-4"/>
          <w:w w:val="105"/>
          <w:szCs w:val="24"/>
        </w:rPr>
        <w:t xml:space="preserve"> </w:t>
      </w:r>
    </w:p>
    <w:p w14:paraId="38D5EBFA" w14:textId="77777777" w:rsidR="0001508F" w:rsidRPr="0001508F" w:rsidRDefault="0001508F" w:rsidP="0001508F">
      <w:pPr>
        <w:suppressAutoHyphens/>
        <w:spacing w:after="240"/>
        <w:ind w:left="360"/>
        <w:rPr>
          <w:szCs w:val="24"/>
        </w:rPr>
      </w:pPr>
      <w:r w:rsidRPr="0001508F">
        <w:rPr>
          <w:b/>
          <w:szCs w:val="24"/>
        </w:rPr>
        <w:t>PROGRESS INSPECTION.</w:t>
      </w:r>
      <w:r w:rsidRPr="0001508F">
        <w:rPr>
          <w:szCs w:val="24"/>
        </w:rPr>
        <w:t xml:space="preserve"> </w:t>
      </w:r>
    </w:p>
    <w:p w14:paraId="01CA95BD" w14:textId="77777777" w:rsidR="0001508F" w:rsidRPr="0001508F" w:rsidRDefault="0001508F" w:rsidP="0001508F">
      <w:pPr>
        <w:suppressAutoHyphens/>
        <w:spacing w:after="240"/>
        <w:ind w:left="360"/>
        <w:rPr>
          <w:szCs w:val="24"/>
        </w:rPr>
      </w:pPr>
      <w:r w:rsidRPr="0001508F">
        <w:rPr>
          <w:b/>
          <w:szCs w:val="24"/>
        </w:rPr>
        <w:t>PROJECT.</w:t>
      </w:r>
      <w:r w:rsidRPr="0001508F">
        <w:rPr>
          <w:szCs w:val="24"/>
        </w:rPr>
        <w:t xml:space="preserve"> </w:t>
      </w:r>
    </w:p>
    <w:p w14:paraId="53DF24D0" w14:textId="77777777" w:rsidR="0001508F" w:rsidRPr="0001508F" w:rsidRDefault="0001508F" w:rsidP="0001508F">
      <w:pPr>
        <w:suppressAutoHyphens/>
        <w:spacing w:after="240"/>
        <w:ind w:left="360"/>
        <w:rPr>
          <w:spacing w:val="-2"/>
          <w:szCs w:val="24"/>
        </w:rPr>
      </w:pPr>
      <w:r w:rsidRPr="0001508F">
        <w:rPr>
          <w:b/>
          <w:szCs w:val="24"/>
        </w:rPr>
        <w:t>REGISTERED DESIGN PROFESSIONAL.</w:t>
      </w:r>
      <w:r w:rsidRPr="0001508F">
        <w:rPr>
          <w:b/>
          <w:bCs/>
          <w:spacing w:val="-2"/>
          <w:w w:val="105"/>
          <w:szCs w:val="24"/>
        </w:rPr>
        <w:t xml:space="preserve"> </w:t>
      </w:r>
    </w:p>
    <w:p w14:paraId="32941F66" w14:textId="77777777" w:rsidR="0001508F" w:rsidRPr="0001508F" w:rsidRDefault="0001508F" w:rsidP="0001508F">
      <w:pPr>
        <w:suppressAutoHyphens/>
        <w:spacing w:after="240"/>
        <w:ind w:left="360"/>
        <w:rPr>
          <w:spacing w:val="3"/>
          <w:szCs w:val="24"/>
        </w:rPr>
      </w:pPr>
      <w:r w:rsidRPr="0001508F">
        <w:rPr>
          <w:b/>
          <w:szCs w:val="24"/>
        </w:rPr>
        <w:t xml:space="preserve">REGISTERED DESIGN PROFESSIONAL OF RECORD. </w:t>
      </w:r>
    </w:p>
    <w:p w14:paraId="778562BE" w14:textId="77777777" w:rsidR="0001508F" w:rsidRPr="0001508F" w:rsidRDefault="0001508F" w:rsidP="0001508F">
      <w:pPr>
        <w:suppressAutoHyphens/>
        <w:spacing w:after="240"/>
        <w:ind w:left="360"/>
        <w:rPr>
          <w:spacing w:val="3"/>
          <w:szCs w:val="24"/>
        </w:rPr>
      </w:pPr>
      <w:r w:rsidRPr="0001508F">
        <w:rPr>
          <w:b/>
          <w:szCs w:val="24"/>
        </w:rPr>
        <w:t>REQUIRED.</w:t>
      </w:r>
      <w:r w:rsidRPr="0001508F">
        <w:rPr>
          <w:b/>
          <w:bCs/>
          <w:spacing w:val="3"/>
          <w:w w:val="105"/>
          <w:szCs w:val="24"/>
        </w:rPr>
        <w:t xml:space="preserve"> </w:t>
      </w:r>
    </w:p>
    <w:p w14:paraId="532A194B" w14:textId="77777777" w:rsidR="0001508F" w:rsidRPr="0001508F" w:rsidRDefault="0001508F" w:rsidP="0001508F">
      <w:pPr>
        <w:suppressAutoHyphens/>
        <w:spacing w:after="240"/>
        <w:ind w:left="360"/>
        <w:rPr>
          <w:szCs w:val="24"/>
        </w:rPr>
      </w:pPr>
      <w:r w:rsidRPr="0001508F">
        <w:rPr>
          <w:b/>
          <w:szCs w:val="24"/>
        </w:rPr>
        <w:t>RETAINING WALL.</w:t>
      </w:r>
      <w:r w:rsidRPr="0001508F">
        <w:rPr>
          <w:b/>
          <w:bCs/>
          <w:w w:val="105"/>
          <w:szCs w:val="24"/>
        </w:rPr>
        <w:t xml:space="preserve"> </w:t>
      </w:r>
    </w:p>
    <w:p w14:paraId="11193F45" w14:textId="77777777" w:rsidR="0001508F" w:rsidRPr="0001508F" w:rsidRDefault="0001508F" w:rsidP="0001508F">
      <w:pPr>
        <w:suppressAutoHyphens/>
        <w:spacing w:after="240"/>
        <w:ind w:left="360"/>
        <w:rPr>
          <w:spacing w:val="3"/>
          <w:szCs w:val="24"/>
        </w:rPr>
      </w:pPr>
      <w:r w:rsidRPr="0001508F">
        <w:rPr>
          <w:b/>
          <w:szCs w:val="24"/>
        </w:rPr>
        <w:t>SERVICE EQUIPMENT.</w:t>
      </w:r>
      <w:r w:rsidRPr="0001508F">
        <w:rPr>
          <w:b/>
          <w:bCs/>
          <w:w w:val="105"/>
          <w:szCs w:val="24"/>
        </w:rPr>
        <w:t xml:space="preserve"> </w:t>
      </w:r>
    </w:p>
    <w:p w14:paraId="109CF88F" w14:textId="77777777" w:rsidR="0001508F" w:rsidRPr="0001508F" w:rsidRDefault="0001508F" w:rsidP="0001508F">
      <w:pPr>
        <w:suppressAutoHyphens/>
        <w:spacing w:after="240"/>
        <w:ind w:left="360"/>
        <w:rPr>
          <w:spacing w:val="1"/>
          <w:szCs w:val="24"/>
        </w:rPr>
      </w:pPr>
      <w:r w:rsidRPr="0001508F">
        <w:rPr>
          <w:b/>
          <w:szCs w:val="24"/>
        </w:rPr>
        <w:t xml:space="preserve">SIGN-OFF. </w:t>
      </w:r>
    </w:p>
    <w:p w14:paraId="70F84C28" w14:textId="77777777" w:rsidR="0001508F" w:rsidRPr="0001508F" w:rsidRDefault="0001508F" w:rsidP="0001508F">
      <w:pPr>
        <w:suppressAutoHyphens/>
        <w:spacing w:after="240"/>
        <w:ind w:left="360"/>
        <w:rPr>
          <w:b/>
          <w:szCs w:val="24"/>
        </w:rPr>
      </w:pPr>
      <w:r w:rsidRPr="0001508F">
        <w:rPr>
          <w:b/>
          <w:szCs w:val="24"/>
        </w:rPr>
        <w:t>SINGLE ROOM OCCUPANCY MULTIPLE DWELLING</w:t>
      </w:r>
      <w:r w:rsidRPr="0001508F">
        <w:rPr>
          <w:b/>
          <w:bCs/>
          <w:spacing w:val="2"/>
          <w:w w:val="105"/>
          <w:szCs w:val="24"/>
        </w:rPr>
        <w:t xml:space="preserve">. </w:t>
      </w:r>
    </w:p>
    <w:p w14:paraId="008E7BF1" w14:textId="77777777" w:rsidR="0001508F" w:rsidRPr="0001508F" w:rsidRDefault="0001508F" w:rsidP="0001508F">
      <w:pPr>
        <w:suppressAutoHyphens/>
        <w:spacing w:after="240"/>
        <w:ind w:left="360"/>
        <w:rPr>
          <w:spacing w:val="1"/>
          <w:szCs w:val="24"/>
        </w:rPr>
      </w:pPr>
      <w:r w:rsidRPr="0001508F">
        <w:rPr>
          <w:b/>
          <w:szCs w:val="24"/>
        </w:rPr>
        <w:t xml:space="preserve">SPECIAL INSPECTION. </w:t>
      </w:r>
    </w:p>
    <w:p w14:paraId="7535851E" w14:textId="77777777" w:rsidR="0001508F" w:rsidRPr="0001508F" w:rsidRDefault="0001508F" w:rsidP="0001508F">
      <w:pPr>
        <w:suppressAutoHyphens/>
        <w:spacing w:after="240"/>
        <w:ind w:left="360"/>
        <w:rPr>
          <w:szCs w:val="24"/>
        </w:rPr>
      </w:pPr>
      <w:r w:rsidRPr="0001508F">
        <w:rPr>
          <w:b/>
          <w:szCs w:val="24"/>
        </w:rPr>
        <w:t>SPECIAL INSPECTION AGENCY.</w:t>
      </w:r>
      <w:r w:rsidRPr="0001508F">
        <w:rPr>
          <w:szCs w:val="24"/>
        </w:rPr>
        <w:t xml:space="preserve"> </w:t>
      </w:r>
    </w:p>
    <w:p w14:paraId="2140D56D" w14:textId="77777777" w:rsidR="0001508F" w:rsidRPr="0001508F" w:rsidRDefault="0001508F" w:rsidP="0001508F">
      <w:pPr>
        <w:suppressAutoHyphens/>
        <w:spacing w:after="240"/>
        <w:ind w:left="360"/>
        <w:rPr>
          <w:spacing w:val="3"/>
          <w:szCs w:val="24"/>
        </w:rPr>
      </w:pPr>
      <w:r w:rsidRPr="0001508F">
        <w:rPr>
          <w:b/>
          <w:szCs w:val="24"/>
        </w:rPr>
        <w:t>SPECIAL INSPECTOR.</w:t>
      </w:r>
      <w:r w:rsidRPr="0001508F">
        <w:rPr>
          <w:b/>
          <w:bCs/>
          <w:spacing w:val="2"/>
          <w:w w:val="105"/>
          <w:szCs w:val="24"/>
        </w:rPr>
        <w:t xml:space="preserve"> </w:t>
      </w:r>
    </w:p>
    <w:p w14:paraId="4F486979" w14:textId="77777777" w:rsidR="0001508F" w:rsidRPr="0001508F" w:rsidRDefault="0001508F" w:rsidP="0001508F">
      <w:pPr>
        <w:suppressAutoHyphens/>
        <w:spacing w:after="240"/>
        <w:ind w:left="360"/>
        <w:rPr>
          <w:spacing w:val="3"/>
          <w:szCs w:val="24"/>
        </w:rPr>
      </w:pPr>
      <w:r w:rsidRPr="0001508F">
        <w:rPr>
          <w:b/>
          <w:szCs w:val="24"/>
        </w:rPr>
        <w:t>STRUCTURE.</w:t>
      </w:r>
      <w:r w:rsidRPr="0001508F">
        <w:rPr>
          <w:b/>
          <w:bCs/>
          <w:spacing w:val="-1"/>
          <w:w w:val="105"/>
          <w:szCs w:val="24"/>
        </w:rPr>
        <w:t xml:space="preserve"> </w:t>
      </w:r>
    </w:p>
    <w:p w14:paraId="28032D9C" w14:textId="77777777" w:rsidR="0001508F" w:rsidRPr="0001508F" w:rsidRDefault="0001508F" w:rsidP="0001508F">
      <w:pPr>
        <w:suppressAutoHyphens/>
        <w:spacing w:after="240"/>
        <w:ind w:left="360"/>
        <w:rPr>
          <w:spacing w:val="2"/>
          <w:szCs w:val="24"/>
        </w:rPr>
      </w:pPr>
      <w:r w:rsidRPr="0001508F">
        <w:rPr>
          <w:b/>
          <w:szCs w:val="24"/>
        </w:rPr>
        <w:t xml:space="preserve">SUBMITTAL DOCUMENTS. </w:t>
      </w:r>
    </w:p>
    <w:p w14:paraId="1CF98DAB" w14:textId="77777777" w:rsidR="0001508F" w:rsidRPr="0001508F" w:rsidRDefault="0001508F" w:rsidP="0001508F">
      <w:pPr>
        <w:suppressAutoHyphens/>
        <w:spacing w:after="240"/>
        <w:ind w:left="360"/>
        <w:rPr>
          <w:b/>
          <w:szCs w:val="24"/>
        </w:rPr>
      </w:pPr>
      <w:r w:rsidRPr="0001508F">
        <w:rPr>
          <w:b/>
          <w:szCs w:val="24"/>
        </w:rPr>
        <w:t>SUPERINTENDENT OF CONSTRUCTION (CONSTRUCTION SUPERINTENDENT).</w:t>
      </w:r>
    </w:p>
    <w:p w14:paraId="2CBCA45A" w14:textId="77777777" w:rsidR="0001508F" w:rsidRPr="0001508F" w:rsidRDefault="0001508F" w:rsidP="0001508F">
      <w:pPr>
        <w:suppressAutoHyphens/>
        <w:spacing w:after="240"/>
        <w:ind w:left="360"/>
        <w:rPr>
          <w:spacing w:val="3"/>
          <w:szCs w:val="24"/>
        </w:rPr>
      </w:pPr>
      <w:r w:rsidRPr="0001508F">
        <w:rPr>
          <w:b/>
          <w:szCs w:val="24"/>
        </w:rPr>
        <w:t>USE (USED).</w:t>
      </w:r>
      <w:r w:rsidRPr="0001508F">
        <w:rPr>
          <w:b/>
          <w:bCs/>
          <w:spacing w:val="-1"/>
          <w:w w:val="105"/>
          <w:szCs w:val="24"/>
        </w:rPr>
        <w:t xml:space="preserve"> </w:t>
      </w:r>
    </w:p>
    <w:p w14:paraId="5BF9D242" w14:textId="77777777" w:rsidR="0001508F" w:rsidRPr="0001508F" w:rsidRDefault="0001508F" w:rsidP="0001508F">
      <w:pPr>
        <w:suppressAutoHyphens/>
        <w:spacing w:after="240"/>
        <w:ind w:left="360"/>
        <w:rPr>
          <w:szCs w:val="24"/>
        </w:rPr>
      </w:pPr>
      <w:r w:rsidRPr="0001508F">
        <w:rPr>
          <w:b/>
          <w:szCs w:val="24"/>
        </w:rPr>
        <w:t xml:space="preserve">UTILITY COMPANY OR PUBLIC UTILITY COMPANY. </w:t>
      </w:r>
    </w:p>
    <w:p w14:paraId="1A040558" w14:textId="77777777" w:rsidR="0001508F" w:rsidRPr="0001508F" w:rsidRDefault="0001508F" w:rsidP="0001508F">
      <w:pPr>
        <w:suppressAutoHyphens/>
        <w:spacing w:after="240"/>
        <w:ind w:left="360"/>
        <w:rPr>
          <w:szCs w:val="24"/>
        </w:rPr>
      </w:pPr>
      <w:r w:rsidRPr="0001508F">
        <w:rPr>
          <w:b/>
          <w:szCs w:val="24"/>
        </w:rPr>
        <w:t xml:space="preserve">UTILITY CORPORATION OR PUBLIC UTILITY CORPORATION. </w:t>
      </w:r>
    </w:p>
    <w:p w14:paraId="274DD2DE" w14:textId="77777777" w:rsidR="0001508F" w:rsidRPr="0001508F" w:rsidRDefault="0001508F" w:rsidP="0001508F">
      <w:pPr>
        <w:suppressAutoHyphens/>
        <w:spacing w:after="240"/>
        <w:ind w:left="360"/>
        <w:rPr>
          <w:b/>
          <w:bCs/>
          <w:spacing w:val="-11"/>
          <w:w w:val="105"/>
          <w:szCs w:val="24"/>
        </w:rPr>
      </w:pPr>
      <w:r w:rsidRPr="0001508F">
        <w:rPr>
          <w:b/>
          <w:szCs w:val="24"/>
        </w:rPr>
        <w:t>[WORK NOT CONSTITUTING MINOR ALTERATIONS OR ORDINARY REPAIRS.]</w:t>
      </w:r>
      <w:r w:rsidRPr="0001508F">
        <w:rPr>
          <w:b/>
          <w:bCs/>
          <w:spacing w:val="-1"/>
          <w:w w:val="105"/>
          <w:szCs w:val="24"/>
        </w:rPr>
        <w:t xml:space="preserve"> </w:t>
      </w:r>
    </w:p>
    <w:p w14:paraId="6F9F5694" w14:textId="77777777" w:rsidR="0001508F" w:rsidRPr="0001508F" w:rsidRDefault="0001508F" w:rsidP="0001508F">
      <w:pPr>
        <w:suppressAutoHyphens/>
        <w:spacing w:after="240"/>
        <w:ind w:left="360"/>
        <w:rPr>
          <w:spacing w:val="2"/>
          <w:szCs w:val="24"/>
        </w:rPr>
      </w:pPr>
      <w:r w:rsidRPr="0001508F">
        <w:rPr>
          <w:b/>
          <w:szCs w:val="24"/>
        </w:rPr>
        <w:t>WRITING (WRITTEN).</w:t>
      </w:r>
      <w:r w:rsidRPr="0001508F">
        <w:rPr>
          <w:b/>
          <w:bCs/>
          <w:w w:val="110"/>
          <w:szCs w:val="24"/>
        </w:rPr>
        <w:t xml:space="preserve"> </w:t>
      </w:r>
    </w:p>
    <w:p w14:paraId="4EC953FE" w14:textId="77777777" w:rsidR="0001508F" w:rsidRPr="0001508F" w:rsidRDefault="0001508F" w:rsidP="0001508F">
      <w:pPr>
        <w:suppressAutoHyphens/>
        <w:spacing w:after="240"/>
        <w:ind w:left="360"/>
        <w:rPr>
          <w:szCs w:val="24"/>
        </w:rPr>
      </w:pPr>
      <w:r w:rsidRPr="0001508F">
        <w:rPr>
          <w:b/>
          <w:szCs w:val="24"/>
        </w:rPr>
        <w:t>WRITTEN NOTICE.</w:t>
      </w:r>
      <w:r w:rsidRPr="0001508F">
        <w:rPr>
          <w:b/>
          <w:bCs/>
          <w:spacing w:val="-3"/>
          <w:w w:val="110"/>
          <w:szCs w:val="24"/>
        </w:rPr>
        <w:t xml:space="preserve"> </w:t>
      </w:r>
    </w:p>
    <w:p w14:paraId="1CA8043A" w14:textId="77777777" w:rsidR="0001508F" w:rsidRPr="0001508F" w:rsidRDefault="0001508F" w:rsidP="0001508F">
      <w:pPr>
        <w:suppressAutoHyphens/>
        <w:spacing w:after="240"/>
        <w:ind w:left="360"/>
        <w:rPr>
          <w:spacing w:val="3"/>
          <w:szCs w:val="24"/>
        </w:rPr>
      </w:pPr>
      <w:r w:rsidRPr="0001508F">
        <w:rPr>
          <w:b/>
          <w:szCs w:val="24"/>
        </w:rPr>
        <w:t xml:space="preserve">ZONING RESOLUTION. </w:t>
      </w:r>
    </w:p>
    <w:p w14:paraId="74B6ED73" w14:textId="77777777" w:rsidR="0001508F" w:rsidRPr="0001508F" w:rsidRDefault="0001508F" w:rsidP="0001508F">
      <w:pPr>
        <w:widowControl w:val="0"/>
        <w:spacing w:before="120" w:after="120" w:line="480" w:lineRule="auto"/>
        <w:ind w:firstLine="720"/>
        <w:rPr>
          <w:rFonts w:eastAsia="SimSun"/>
          <w:szCs w:val="24"/>
        </w:rPr>
      </w:pPr>
      <w:r w:rsidRPr="0001508F">
        <w:rPr>
          <w:bCs/>
          <w:szCs w:val="24"/>
        </w:rPr>
        <w:t>§ 143. Section 403.1  of the New York city plumbing code, as amended by local law number 14 for the year 2020, is amended to read as follows:</w:t>
      </w:r>
    </w:p>
    <w:p w14:paraId="28C04073" w14:textId="77777777" w:rsidR="0001508F" w:rsidRPr="0001508F" w:rsidRDefault="0001508F" w:rsidP="0001508F">
      <w:pPr>
        <w:widowControl w:val="0"/>
        <w:spacing w:before="120" w:after="120"/>
        <w:rPr>
          <w:bCs/>
          <w:szCs w:val="24"/>
        </w:rPr>
      </w:pPr>
      <w:r w:rsidRPr="0001508F">
        <w:rPr>
          <w:b/>
          <w:szCs w:val="24"/>
        </w:rPr>
        <w:t>403.1 Minimum number of fixtures.</w:t>
      </w:r>
      <w:r w:rsidRPr="0001508F">
        <w:rPr>
          <w:bCs/>
          <w:szCs w:val="24"/>
        </w:rPr>
        <w:t xml:space="preserve"> Plumbing fixtures shall be provided for the type of occupancy and in the minimum number shown in Table 403.1. Types of occupancies not shown in Table 403.1 shall be considered individually by the commissioner. The number of occupants shall be determined by the </w:t>
      </w:r>
      <w:r w:rsidRPr="0001508F">
        <w:rPr>
          <w:bCs/>
          <w:i/>
          <w:iCs/>
          <w:szCs w:val="24"/>
        </w:rPr>
        <w:t>New York City Building Code</w:t>
      </w:r>
      <w:r w:rsidRPr="0001508F">
        <w:rPr>
          <w:bCs/>
          <w:szCs w:val="24"/>
        </w:rPr>
        <w:t xml:space="preserve">. Occupancy classification shall be determined in accordance with the </w:t>
      </w:r>
      <w:r w:rsidRPr="0001508F">
        <w:rPr>
          <w:bCs/>
          <w:i/>
          <w:iCs/>
          <w:szCs w:val="24"/>
        </w:rPr>
        <w:t>New York City Building Code</w:t>
      </w:r>
      <w:r w:rsidRPr="0001508F">
        <w:rPr>
          <w:bCs/>
          <w:szCs w:val="24"/>
        </w:rPr>
        <w:t>.</w:t>
      </w:r>
    </w:p>
    <w:p w14:paraId="7275565D" w14:textId="77777777" w:rsidR="0001508F" w:rsidRPr="0001508F" w:rsidRDefault="0001508F" w:rsidP="0001508F">
      <w:pPr>
        <w:widowControl w:val="0"/>
        <w:spacing w:before="120" w:after="120"/>
        <w:ind w:left="360"/>
        <w:rPr>
          <w:rFonts w:eastAsia="SimSun"/>
          <w:szCs w:val="24"/>
          <w:u w:val="single"/>
        </w:rPr>
      </w:pPr>
      <w:r w:rsidRPr="0001508F">
        <w:rPr>
          <w:b/>
          <w:szCs w:val="24"/>
          <w:u w:val="single"/>
        </w:rPr>
        <w:t>Exception:</w:t>
      </w:r>
      <w:r w:rsidRPr="0001508F">
        <w:rPr>
          <w:bCs/>
          <w:szCs w:val="24"/>
          <w:u w:val="single"/>
        </w:rPr>
        <w:t xml:space="preserve"> The requirements of this section shall not apply to alterations or repairs to existing buildings which comply with Section</w:t>
      </w:r>
      <w:bookmarkStart w:id="310" w:name="_Hlk129165748"/>
      <w:r w:rsidRPr="0001508F">
        <w:rPr>
          <w:bCs/>
          <w:szCs w:val="24"/>
          <w:u w:val="single"/>
        </w:rPr>
        <w:t xml:space="preserve"> </w:t>
      </w:r>
      <w:bookmarkEnd w:id="310"/>
      <w:r w:rsidRPr="0001508F">
        <w:rPr>
          <w:bCs/>
          <w:szCs w:val="24"/>
          <w:u w:val="single"/>
        </w:rPr>
        <w:t>310.2</w:t>
      </w:r>
      <w:r w:rsidRPr="0001508F">
        <w:rPr>
          <w:rFonts w:eastAsia="SimSun"/>
          <w:szCs w:val="24"/>
          <w:u w:val="single"/>
        </w:rPr>
        <w:t xml:space="preserve"> of the </w:t>
      </w:r>
      <w:r w:rsidRPr="0001508F">
        <w:rPr>
          <w:rFonts w:eastAsia="SimSun"/>
          <w:i/>
          <w:iCs/>
          <w:szCs w:val="24"/>
          <w:u w:val="single"/>
        </w:rPr>
        <w:t>New York City Existing Building Code</w:t>
      </w:r>
      <w:r w:rsidRPr="0001508F">
        <w:rPr>
          <w:rFonts w:eastAsia="SimSun"/>
          <w:szCs w:val="24"/>
          <w:u w:val="single"/>
        </w:rPr>
        <w:t>.</w:t>
      </w:r>
    </w:p>
    <w:p w14:paraId="1A7F1EC8" w14:textId="77777777" w:rsidR="0001508F" w:rsidRPr="0001508F" w:rsidRDefault="0001508F" w:rsidP="0001508F">
      <w:pPr>
        <w:widowControl w:val="0"/>
        <w:spacing w:before="120" w:after="120" w:line="480" w:lineRule="auto"/>
        <w:ind w:firstLine="720"/>
        <w:rPr>
          <w:rFonts w:eastAsia="SimSun"/>
          <w:szCs w:val="24"/>
        </w:rPr>
      </w:pPr>
      <w:r w:rsidRPr="0001508F">
        <w:rPr>
          <w:bCs/>
          <w:szCs w:val="24"/>
        </w:rPr>
        <w:t>§ 144. Sections 601.3 and 601.5  of the New York city plumbing code are REPEALED.</w:t>
      </w:r>
    </w:p>
    <w:p w14:paraId="19CC8ED6" w14:textId="77777777" w:rsidR="0001508F" w:rsidRPr="0001508F" w:rsidRDefault="0001508F" w:rsidP="0001508F">
      <w:pPr>
        <w:widowControl w:val="0"/>
        <w:spacing w:before="120" w:after="120" w:line="480" w:lineRule="auto"/>
        <w:ind w:firstLine="720"/>
        <w:rPr>
          <w:rFonts w:eastAsia="SimSun"/>
          <w:szCs w:val="24"/>
        </w:rPr>
      </w:pPr>
      <w:r w:rsidRPr="0001508F">
        <w:rPr>
          <w:bCs/>
          <w:szCs w:val="24"/>
        </w:rPr>
        <w:t>§ 145. Sections 614.1.5  of the New York city plumbing code, as amended by local law number 14 for the year 2020, is amended to read as follows:</w:t>
      </w:r>
    </w:p>
    <w:p w14:paraId="579079B6" w14:textId="77777777" w:rsidR="0001508F" w:rsidRPr="0001508F" w:rsidRDefault="0001508F" w:rsidP="0001508F">
      <w:pPr>
        <w:spacing w:after="200" w:line="276" w:lineRule="auto"/>
        <w:rPr>
          <w:rFonts w:eastAsia="SimSun"/>
          <w:szCs w:val="24"/>
          <w:u w:val="single"/>
        </w:rPr>
      </w:pPr>
      <w:r w:rsidRPr="0001508F">
        <w:rPr>
          <w:rFonts w:eastAsia="SimSun"/>
          <w:b/>
          <w:bCs/>
          <w:szCs w:val="24"/>
        </w:rPr>
        <w:t xml:space="preserve">614.1.5 Retroactive requirement for existing buildings. </w:t>
      </w:r>
      <w:r w:rsidRPr="0001508F">
        <w:rPr>
          <w:rFonts w:eastAsia="SimSun"/>
          <w:szCs w:val="24"/>
        </w:rPr>
        <w:t>Existing buildings greater than five stories that supply potable water from the public water main for dwelling units and sleeping units in Occupancy Groups I-1, R-1, R-2, and R-3 with the assistance of pumps shall be provided with fixtures capable of supplying an emergency source of potable water in accordance with this section [</w:t>
      </w:r>
      <w:r w:rsidRPr="0001508F">
        <w:rPr>
          <w:rFonts w:eastAsia="SimSun"/>
          <w:strike/>
          <w:szCs w:val="24"/>
        </w:rPr>
        <w:t>within 8 years after the effective date of this section</w:t>
      </w:r>
      <w:r w:rsidRPr="0001508F">
        <w:rPr>
          <w:rFonts w:eastAsia="SimSun"/>
          <w:szCs w:val="24"/>
        </w:rPr>
        <w:t xml:space="preserve">] </w:t>
      </w:r>
      <w:r w:rsidRPr="0001508F">
        <w:rPr>
          <w:rFonts w:eastAsia="SimSun"/>
          <w:szCs w:val="24"/>
          <w:u w:val="single"/>
        </w:rPr>
        <w:t xml:space="preserve">by December 31, 2020 in accordance with Section  28-315.8.1 of the </w:t>
      </w:r>
      <w:r w:rsidRPr="0001508F">
        <w:rPr>
          <w:rFonts w:eastAsia="SimSun"/>
          <w:i/>
          <w:iCs/>
          <w:szCs w:val="24"/>
          <w:u w:val="single"/>
        </w:rPr>
        <w:t>Administrative Code</w:t>
      </w:r>
      <w:r w:rsidRPr="0001508F">
        <w:rPr>
          <w:rFonts w:eastAsia="SimSun"/>
          <w:szCs w:val="24"/>
          <w:u w:val="single"/>
        </w:rPr>
        <w:t>.</w:t>
      </w:r>
    </w:p>
    <w:p w14:paraId="5C9A3061" w14:textId="77777777" w:rsidR="0001508F" w:rsidRPr="0001508F" w:rsidRDefault="0001508F" w:rsidP="0001508F">
      <w:pPr>
        <w:spacing w:after="200" w:line="276" w:lineRule="auto"/>
        <w:ind w:left="360"/>
        <w:rPr>
          <w:rFonts w:eastAsia="SimSun"/>
          <w:szCs w:val="24"/>
        </w:rPr>
      </w:pPr>
      <w:r w:rsidRPr="0001508F">
        <w:rPr>
          <w:rFonts w:eastAsia="SimSun"/>
          <w:b/>
          <w:bCs/>
          <w:szCs w:val="24"/>
        </w:rPr>
        <w:t>Exception:</w:t>
      </w:r>
      <w:r w:rsidRPr="0001508F">
        <w:rPr>
          <w:rFonts w:eastAsia="SimSun"/>
          <w:szCs w:val="24"/>
        </w:rPr>
        <w:t xml:space="preserve"> Areas in such existing buildings greater than five stories where emergency fixtures are installed are not required to comply with Section 1104.3 or 1107.3 of the </w:t>
      </w:r>
      <w:r w:rsidRPr="0001508F">
        <w:rPr>
          <w:rFonts w:eastAsia="SimSun"/>
          <w:i/>
          <w:iCs/>
          <w:szCs w:val="24"/>
        </w:rPr>
        <w:t xml:space="preserve">New York City Building Code </w:t>
      </w:r>
      <w:r w:rsidRPr="0001508F">
        <w:rPr>
          <w:rFonts w:eastAsia="SimSun"/>
          <w:szCs w:val="24"/>
        </w:rPr>
        <w:t>unless where required pursuant to Section 1101.3.</w:t>
      </w:r>
    </w:p>
    <w:p w14:paraId="223EDD58" w14:textId="77777777" w:rsidR="0001508F" w:rsidRPr="0001508F" w:rsidRDefault="0001508F" w:rsidP="0001508F">
      <w:pPr>
        <w:widowControl w:val="0"/>
        <w:spacing w:before="120" w:after="120"/>
        <w:rPr>
          <w:rFonts w:eastAsia="Calibri"/>
          <w:b/>
          <w:bCs/>
          <w:szCs w:val="24"/>
        </w:rPr>
      </w:pPr>
    </w:p>
    <w:p w14:paraId="60BE4638" w14:textId="77777777" w:rsidR="0001508F" w:rsidRPr="0001508F" w:rsidRDefault="0001508F" w:rsidP="0001508F">
      <w:pPr>
        <w:widowControl w:val="0"/>
        <w:spacing w:before="120" w:after="120" w:line="480" w:lineRule="auto"/>
        <w:ind w:firstLine="720"/>
        <w:rPr>
          <w:rFonts w:eastAsia="SimSun"/>
          <w:szCs w:val="24"/>
        </w:rPr>
      </w:pPr>
      <w:r w:rsidRPr="0001508F">
        <w:rPr>
          <w:bCs/>
          <w:szCs w:val="24"/>
        </w:rPr>
        <w:t>§ 146. Section 701.2.5 of the New York city plumbing code is REPEALED.</w:t>
      </w:r>
    </w:p>
    <w:p w14:paraId="7E98B698" w14:textId="77777777" w:rsidR="0001508F" w:rsidRPr="0001508F" w:rsidRDefault="0001508F" w:rsidP="0001508F">
      <w:pPr>
        <w:widowControl w:val="0"/>
        <w:spacing w:before="120" w:after="120" w:line="480" w:lineRule="auto"/>
        <w:ind w:firstLine="720"/>
        <w:rPr>
          <w:rFonts w:eastAsia="SimSun"/>
          <w:szCs w:val="24"/>
        </w:rPr>
      </w:pPr>
      <w:r w:rsidRPr="0001508F">
        <w:rPr>
          <w:bCs/>
          <w:szCs w:val="24"/>
        </w:rPr>
        <w:t>§ 147. Sections 1101.2.1 of the New York city plumbing code, as amended by local law number 14 for the year 2020, is amended to read as follows:</w:t>
      </w:r>
    </w:p>
    <w:p w14:paraId="43A1E6C5" w14:textId="77777777" w:rsidR="0001508F" w:rsidRPr="0001508F" w:rsidRDefault="0001508F" w:rsidP="0001508F">
      <w:pPr>
        <w:widowControl w:val="0"/>
        <w:spacing w:before="120" w:after="120"/>
        <w:rPr>
          <w:rFonts w:eastAsia="Calibri"/>
          <w:b/>
          <w:bCs/>
          <w:szCs w:val="24"/>
        </w:rPr>
      </w:pPr>
      <w:r w:rsidRPr="0001508F">
        <w:rPr>
          <w:rFonts w:eastAsia="Calibri"/>
          <w:b/>
          <w:bCs/>
          <w:szCs w:val="24"/>
        </w:rPr>
        <w:t>1101.2.1 Increases in existing impervious surfaces.</w:t>
      </w:r>
      <w:r w:rsidRPr="0001508F">
        <w:rPr>
          <w:rFonts w:eastAsia="Calibri"/>
          <w:bCs/>
          <w:spacing w:val="-5"/>
          <w:w w:val="110"/>
          <w:szCs w:val="24"/>
        </w:rPr>
        <w:t xml:space="preserve"> </w:t>
      </w:r>
      <w:r w:rsidRPr="0001508F">
        <w:rPr>
          <w:rFonts w:eastAsia="Calibri"/>
          <w:bCs/>
          <w:spacing w:val="1"/>
          <w:szCs w:val="24"/>
        </w:rPr>
        <w:t xml:space="preserve">Whenever impervious surfaces on the lot are increased, such impervious surfaces shall drain into a storm sewer system, or a combined sewer system, or </w:t>
      </w:r>
      <w:r w:rsidRPr="0001508F">
        <w:rPr>
          <w:rFonts w:eastAsia="Calibri"/>
          <w:bCs/>
          <w:szCs w:val="24"/>
        </w:rPr>
        <w:t>to an approved place of disposal.</w:t>
      </w:r>
    </w:p>
    <w:p w14:paraId="351EEFA7" w14:textId="77777777" w:rsidR="0001508F" w:rsidRPr="0001508F" w:rsidRDefault="0001508F" w:rsidP="0001508F">
      <w:pPr>
        <w:widowControl w:val="0"/>
        <w:spacing w:before="120" w:after="120"/>
        <w:ind w:left="720"/>
        <w:rPr>
          <w:rFonts w:eastAsia="Calibri"/>
          <w:szCs w:val="24"/>
        </w:rPr>
      </w:pPr>
      <w:r w:rsidRPr="0001508F">
        <w:rPr>
          <w:rFonts w:eastAsia="Calibri"/>
          <w:b/>
          <w:szCs w:val="24"/>
        </w:rPr>
        <w:t>Exception: [</w:t>
      </w:r>
      <w:r w:rsidRPr="0001508F">
        <w:rPr>
          <w:rFonts w:eastAsia="Calibri"/>
          <w:strike/>
          <w:spacing w:val="1"/>
          <w:szCs w:val="24"/>
        </w:rPr>
        <w:t>An</w:t>
      </w:r>
      <w:r w:rsidRPr="0001508F">
        <w:rPr>
          <w:rFonts w:eastAsia="Calibri"/>
          <w:strike/>
          <w:szCs w:val="24"/>
        </w:rPr>
        <w:t xml:space="preserve"> </w:t>
      </w:r>
      <w:r w:rsidRPr="0001508F">
        <w:rPr>
          <w:rFonts w:eastAsia="Calibri"/>
          <w:strike/>
          <w:spacing w:val="1"/>
          <w:szCs w:val="24"/>
        </w:rPr>
        <w:t>existing one- or two-family dwelling where the area of a proposed horizontal building enlargement plus any proposed increase in impervious surfaces in total is less than or equal to 200 square feet (19 m</w:t>
      </w:r>
      <w:r w:rsidRPr="0001508F">
        <w:rPr>
          <w:rFonts w:eastAsia="Calibri"/>
          <w:strike/>
          <w:spacing w:val="1"/>
          <w:szCs w:val="24"/>
          <w:vertAlign w:val="superscript"/>
        </w:rPr>
        <w:t>2</w:t>
      </w:r>
      <w:r w:rsidRPr="0001508F">
        <w:rPr>
          <w:rFonts w:eastAsia="Calibri"/>
          <w:strike/>
          <w:spacing w:val="1"/>
          <w:szCs w:val="24"/>
        </w:rPr>
        <w:t>). In such cases, the storm water discharge may be accommodated by existing facilities. For the purposes of this exception, the 200 square feet (19 m</w:t>
      </w:r>
      <w:r w:rsidRPr="0001508F">
        <w:rPr>
          <w:rFonts w:eastAsia="Calibri"/>
          <w:strike/>
          <w:spacing w:val="1"/>
          <w:szCs w:val="24"/>
          <w:vertAlign w:val="superscript"/>
        </w:rPr>
        <w:t>2</w:t>
      </w:r>
      <w:r w:rsidRPr="0001508F">
        <w:rPr>
          <w:rFonts w:eastAsia="Calibri"/>
          <w:strike/>
          <w:spacing w:val="1"/>
          <w:szCs w:val="24"/>
        </w:rPr>
        <w:t>) shall include all enlargements and increases cumulatively after July 1, 2008.</w:t>
      </w:r>
      <w:r w:rsidRPr="0001508F">
        <w:rPr>
          <w:rFonts w:eastAsia="Calibri"/>
          <w:spacing w:val="1"/>
          <w:szCs w:val="24"/>
        </w:rPr>
        <w:t xml:space="preserve">] </w:t>
      </w:r>
      <w:r w:rsidRPr="0001508F">
        <w:rPr>
          <w:rFonts w:eastAsia="Calibri"/>
          <w:szCs w:val="24"/>
          <w:u w:val="single"/>
        </w:rPr>
        <w:t>The requirements of this section shall not apply to</w:t>
      </w:r>
      <w:r w:rsidRPr="0001508F">
        <w:rPr>
          <w:rFonts w:eastAsia="Calibri"/>
          <w:spacing w:val="1"/>
          <w:szCs w:val="24"/>
          <w:u w:val="single"/>
        </w:rPr>
        <w:t xml:space="preserve"> existing one- or two-family </w:t>
      </w:r>
      <w:r w:rsidRPr="0001508F">
        <w:rPr>
          <w:rFonts w:eastAsia="Calibri"/>
          <w:szCs w:val="24"/>
          <w:u w:val="single"/>
        </w:rPr>
        <w:t xml:space="preserve">dwellings subject to section 310.8 of the </w:t>
      </w:r>
      <w:r w:rsidRPr="0001508F">
        <w:rPr>
          <w:rFonts w:eastAsia="Calibri"/>
          <w:i/>
          <w:iCs/>
          <w:szCs w:val="24"/>
          <w:u w:val="single"/>
        </w:rPr>
        <w:t>New York City</w:t>
      </w:r>
      <w:r w:rsidRPr="0001508F">
        <w:rPr>
          <w:rFonts w:eastAsia="Calibri"/>
          <w:szCs w:val="24"/>
          <w:u w:val="single"/>
        </w:rPr>
        <w:t xml:space="preserve"> </w:t>
      </w:r>
      <w:r w:rsidRPr="0001508F">
        <w:rPr>
          <w:rFonts w:eastAsia="Calibri"/>
          <w:i/>
          <w:iCs/>
          <w:szCs w:val="24"/>
          <w:u w:val="single"/>
        </w:rPr>
        <w:t>Existing Building Code</w:t>
      </w:r>
      <w:r w:rsidRPr="0001508F">
        <w:rPr>
          <w:rFonts w:eastAsia="Calibri"/>
          <w:szCs w:val="24"/>
          <w:u w:val="single"/>
        </w:rPr>
        <w:t>.</w:t>
      </w:r>
    </w:p>
    <w:p w14:paraId="7EDCBC92" w14:textId="77777777" w:rsidR="0001508F" w:rsidRPr="0001508F" w:rsidRDefault="0001508F" w:rsidP="0001508F">
      <w:pPr>
        <w:widowControl w:val="0"/>
        <w:spacing w:before="120" w:after="120" w:line="480" w:lineRule="auto"/>
        <w:ind w:firstLine="720"/>
        <w:rPr>
          <w:rFonts w:eastAsia="SimSun"/>
          <w:szCs w:val="24"/>
        </w:rPr>
      </w:pPr>
      <w:r w:rsidRPr="0001508F">
        <w:rPr>
          <w:bCs/>
          <w:szCs w:val="24"/>
        </w:rPr>
        <w:t>§ 148. Sections 1101.12  of the New York city plumbing code, as added by local law number 14 for the year 2020, is amended to read as follows:</w:t>
      </w:r>
    </w:p>
    <w:p w14:paraId="753B243F" w14:textId="77777777" w:rsidR="0001508F" w:rsidRPr="0001508F" w:rsidRDefault="0001508F" w:rsidP="0001508F">
      <w:pPr>
        <w:widowControl w:val="0"/>
        <w:spacing w:before="120" w:after="120"/>
        <w:rPr>
          <w:rFonts w:eastAsia="Calibri"/>
          <w:bCs/>
          <w:szCs w:val="24"/>
        </w:rPr>
      </w:pPr>
      <w:r w:rsidRPr="0001508F">
        <w:rPr>
          <w:rFonts w:eastAsia="Calibri"/>
          <w:b/>
          <w:bCs/>
          <w:szCs w:val="24"/>
        </w:rPr>
        <w:t>1101.12 Site grading.</w:t>
      </w:r>
      <w:r w:rsidRPr="0001508F">
        <w:rPr>
          <w:rFonts w:eastAsia="Calibri"/>
          <w:szCs w:val="24"/>
        </w:rPr>
        <w:t xml:space="preserve"> </w:t>
      </w:r>
      <w:r w:rsidRPr="0001508F">
        <w:rPr>
          <w:rFonts w:eastAsia="Calibri"/>
          <w:bCs/>
          <w:szCs w:val="24"/>
        </w:rPr>
        <w:t xml:space="preserve">Except as otherwise permitted by this code, no person shall perform site grading or land contour work, as defined in Section 19-146 of the </w:t>
      </w:r>
      <w:r w:rsidRPr="0001508F">
        <w:rPr>
          <w:rFonts w:eastAsia="Calibri"/>
          <w:bCs/>
          <w:i/>
          <w:iCs/>
          <w:szCs w:val="24"/>
        </w:rPr>
        <w:t>Administrative Code</w:t>
      </w:r>
      <w:r w:rsidRPr="0001508F">
        <w:rPr>
          <w:rFonts w:eastAsia="Calibri"/>
          <w:bCs/>
          <w:szCs w:val="24"/>
        </w:rPr>
        <w:t>, [</w:t>
      </w:r>
      <w:r w:rsidRPr="0001508F">
        <w:rPr>
          <w:rFonts w:eastAsia="Calibri"/>
          <w:bCs/>
          <w:strike/>
          <w:szCs w:val="24"/>
        </w:rPr>
        <w:t>that</w:t>
      </w:r>
      <w:r w:rsidRPr="0001508F">
        <w:rPr>
          <w:rFonts w:eastAsia="Calibri"/>
          <w:bCs/>
          <w:szCs w:val="24"/>
        </w:rPr>
        <w:t xml:space="preserve">] </w:t>
      </w:r>
      <w:r w:rsidRPr="0001508F">
        <w:rPr>
          <w:rFonts w:eastAsia="Calibri"/>
          <w:bCs/>
          <w:szCs w:val="24"/>
          <w:u w:val="single"/>
        </w:rPr>
        <w:t>either of which</w:t>
      </w:r>
      <w:r w:rsidRPr="0001508F">
        <w:rPr>
          <w:rFonts w:eastAsia="Calibri"/>
          <w:bCs/>
          <w:szCs w:val="24"/>
        </w:rPr>
        <w:t xml:space="preserve"> would cause storm water to flow across sidewalks or onto an adjacent property. Site grading or land contour work performed on the site of a covered development project shall comply with the rules of the Department of Environmental Protection and this code.</w:t>
      </w:r>
    </w:p>
    <w:p w14:paraId="78EA84C9" w14:textId="77777777" w:rsidR="0001508F" w:rsidRPr="0001508F" w:rsidRDefault="0001508F" w:rsidP="0001508F">
      <w:pPr>
        <w:widowControl w:val="0"/>
        <w:spacing w:before="120" w:after="120" w:line="480" w:lineRule="auto"/>
        <w:ind w:firstLine="720"/>
        <w:rPr>
          <w:rFonts w:eastAsia="SimSun"/>
          <w:szCs w:val="24"/>
        </w:rPr>
      </w:pPr>
      <w:r w:rsidRPr="0001508F">
        <w:rPr>
          <w:bCs/>
          <w:szCs w:val="24"/>
        </w:rPr>
        <w:t>§ 150. Section 86.1 of the New York city electrical code, as added by local law number 128 for the year 2024, is amended to read as follows:</w:t>
      </w:r>
    </w:p>
    <w:p w14:paraId="57F5159E" w14:textId="77777777" w:rsidR="0001508F" w:rsidRPr="0001508F" w:rsidRDefault="0001508F" w:rsidP="0001508F">
      <w:pPr>
        <w:rPr>
          <w:szCs w:val="24"/>
        </w:rPr>
      </w:pPr>
      <w:r w:rsidRPr="0001508F">
        <w:rPr>
          <w:b/>
          <w:bCs/>
          <w:szCs w:val="24"/>
        </w:rPr>
        <w:t>86.1 General.</w:t>
      </w:r>
      <w:r w:rsidRPr="0001508F">
        <w:rPr>
          <w:szCs w:val="24"/>
        </w:rPr>
        <w:t xml:space="preserve"> Electrical work for which a permit is required, </w:t>
      </w:r>
      <w:r w:rsidRPr="0001508F">
        <w:rPr>
          <w:szCs w:val="24"/>
          <w:u w:val="single"/>
        </w:rPr>
        <w:t>except for minor electrical work as defined in section 28-101.5</w:t>
      </w:r>
      <w:r w:rsidRPr="0001508F">
        <w:rPr>
          <w:szCs w:val="24"/>
        </w:rPr>
        <w:t>, shall be subject to inspection by the department [</w:t>
      </w:r>
      <w:r w:rsidRPr="0001508F">
        <w:rPr>
          <w:strike/>
          <w:szCs w:val="24"/>
        </w:rPr>
        <w:t>, except for minor electrical work as defined in section 28-101.5</w:t>
      </w:r>
      <w:r w:rsidRPr="0001508F">
        <w:rPr>
          <w:szCs w:val="24"/>
        </w:rPr>
        <w:t xml:space="preserve">] </w:t>
      </w:r>
      <w:r w:rsidRPr="0001508F">
        <w:rPr>
          <w:szCs w:val="24"/>
          <w:u w:val="single"/>
        </w:rPr>
        <w:t>as directed by the commissioner</w:t>
      </w:r>
      <w:r w:rsidRPr="0001508F">
        <w:rPr>
          <w:szCs w:val="24"/>
        </w:rPr>
        <w:t>. It shall be the duty of the permit holder to schedule such inspection and ensure that all applicable laws and rules are followed. A satisfactory inspection by the department shall not be construed to be an approval by the department of a violation of the provisions of this code or any other provision of law. Refer to Article 116 of Chapter 1 of Title 28 of the Administrative Code and applicable rules of the department relating to inspections.</w:t>
      </w:r>
    </w:p>
    <w:p w14:paraId="704B3F50" w14:textId="77777777" w:rsidR="0001508F" w:rsidRPr="0001508F" w:rsidRDefault="0001508F" w:rsidP="0001508F">
      <w:pPr>
        <w:widowControl w:val="0"/>
        <w:spacing w:before="120" w:after="120"/>
        <w:rPr>
          <w:rFonts w:eastAsia="Calibri"/>
          <w:bCs/>
          <w:szCs w:val="24"/>
        </w:rPr>
      </w:pPr>
    </w:p>
    <w:p w14:paraId="11C8D601" w14:textId="77777777" w:rsidR="0001508F" w:rsidRPr="0001508F" w:rsidRDefault="0001508F" w:rsidP="0001508F">
      <w:pPr>
        <w:suppressLineNumbers/>
        <w:spacing w:line="480" w:lineRule="auto"/>
        <w:ind w:firstLine="720"/>
        <w:rPr>
          <w:color w:val="000000"/>
          <w:szCs w:val="24"/>
        </w:rPr>
      </w:pPr>
      <w:r w:rsidRPr="0001508F">
        <w:rPr>
          <w:bCs/>
          <w:szCs w:val="24"/>
        </w:rPr>
        <w:t xml:space="preserve">§ 151. </w:t>
      </w:r>
      <w:r w:rsidRPr="0001508F">
        <w:rPr>
          <w:color w:val="000000"/>
          <w:szCs w:val="24"/>
        </w:rPr>
        <w:t>Section 86.2 of the electrical code of the city of New York, as added by local law number 128 of 2024 is amended to read as follows:</w:t>
      </w:r>
    </w:p>
    <w:p w14:paraId="60C6943E" w14:textId="77777777" w:rsidR="0001508F" w:rsidRPr="0001508F" w:rsidRDefault="0001508F" w:rsidP="0001508F">
      <w:pPr>
        <w:rPr>
          <w:szCs w:val="24"/>
        </w:rPr>
      </w:pPr>
      <w:r w:rsidRPr="0001508F">
        <w:rPr>
          <w:b/>
          <w:bCs/>
          <w:szCs w:val="24"/>
        </w:rPr>
        <w:t>86.2</w:t>
      </w:r>
      <w:r w:rsidRPr="0001508F">
        <w:rPr>
          <w:szCs w:val="24"/>
        </w:rPr>
        <w:t xml:space="preserve"> </w:t>
      </w:r>
      <w:r w:rsidRPr="0001508F">
        <w:rPr>
          <w:b/>
          <w:bCs/>
          <w:szCs w:val="24"/>
        </w:rPr>
        <w:t>Required inspections and testing.</w:t>
      </w:r>
      <w:r w:rsidRPr="0001508F">
        <w:rPr>
          <w:szCs w:val="24"/>
        </w:rPr>
        <w:t xml:space="preserve"> In addition to any inspections otherwise required by this code or applicable rules, the following inspections shall be required:</w:t>
      </w:r>
    </w:p>
    <w:p w14:paraId="3D31EAFC" w14:textId="77777777" w:rsidR="0001508F" w:rsidRPr="0001508F" w:rsidRDefault="0001508F" w:rsidP="0001508F">
      <w:pPr>
        <w:ind w:left="360"/>
        <w:rPr>
          <w:b/>
          <w:bCs/>
          <w:szCs w:val="24"/>
        </w:rPr>
      </w:pPr>
      <w:r w:rsidRPr="0001508F">
        <w:rPr>
          <w:szCs w:val="24"/>
        </w:rPr>
        <w:t xml:space="preserve">1. </w:t>
      </w:r>
      <w:r w:rsidRPr="0001508F">
        <w:rPr>
          <w:b/>
          <w:bCs/>
          <w:szCs w:val="24"/>
        </w:rPr>
        <w:t>Energy [</w:t>
      </w:r>
      <w:r w:rsidRPr="0001508F">
        <w:rPr>
          <w:b/>
          <w:bCs/>
          <w:strike/>
          <w:szCs w:val="24"/>
        </w:rPr>
        <w:t>Code</w:t>
      </w:r>
      <w:r w:rsidRPr="0001508F">
        <w:rPr>
          <w:b/>
          <w:bCs/>
          <w:szCs w:val="24"/>
        </w:rPr>
        <w:t xml:space="preserve">] </w:t>
      </w:r>
      <w:r w:rsidRPr="0001508F">
        <w:rPr>
          <w:b/>
          <w:bCs/>
          <w:szCs w:val="24"/>
          <w:u w:val="single"/>
        </w:rPr>
        <w:t>code</w:t>
      </w:r>
      <w:r w:rsidRPr="0001508F">
        <w:rPr>
          <w:b/>
          <w:bCs/>
          <w:szCs w:val="24"/>
        </w:rPr>
        <w:t xml:space="preserve"> [</w:t>
      </w:r>
      <w:r w:rsidRPr="0001508F">
        <w:rPr>
          <w:b/>
          <w:bCs/>
          <w:strike/>
          <w:szCs w:val="24"/>
        </w:rPr>
        <w:t>Compliance</w:t>
      </w:r>
      <w:r w:rsidRPr="0001508F">
        <w:rPr>
          <w:b/>
          <w:bCs/>
          <w:szCs w:val="24"/>
        </w:rPr>
        <w:t xml:space="preserve">] </w:t>
      </w:r>
      <w:r w:rsidRPr="0001508F">
        <w:rPr>
          <w:b/>
          <w:bCs/>
          <w:szCs w:val="24"/>
          <w:u w:val="single"/>
        </w:rPr>
        <w:t>compliance</w:t>
      </w:r>
      <w:r w:rsidRPr="0001508F">
        <w:rPr>
          <w:b/>
          <w:bCs/>
          <w:szCs w:val="24"/>
        </w:rPr>
        <w:t xml:space="preserve"> [</w:t>
      </w:r>
      <w:r w:rsidRPr="0001508F">
        <w:rPr>
          <w:b/>
          <w:bCs/>
          <w:strike/>
          <w:szCs w:val="24"/>
        </w:rPr>
        <w:t>Inspections</w:t>
      </w:r>
      <w:r w:rsidRPr="0001508F">
        <w:rPr>
          <w:b/>
          <w:bCs/>
          <w:szCs w:val="24"/>
        </w:rPr>
        <w:t xml:space="preserve">] </w:t>
      </w:r>
      <w:r w:rsidRPr="0001508F">
        <w:rPr>
          <w:b/>
          <w:bCs/>
          <w:szCs w:val="24"/>
          <w:u w:val="single"/>
        </w:rPr>
        <w:t>inspections</w:t>
      </w:r>
      <w:r w:rsidRPr="0001508F">
        <w:rPr>
          <w:b/>
          <w:bCs/>
          <w:szCs w:val="24"/>
        </w:rPr>
        <w:t>.</w:t>
      </w:r>
      <w:r w:rsidRPr="0001508F">
        <w:rPr>
          <w:szCs w:val="24"/>
        </w:rPr>
        <w:t xml:space="preserve"> Inspections required by the New York City Energy Conservation Code shall be made in accordance with the rules of the department, as applicable.</w:t>
      </w:r>
    </w:p>
    <w:p w14:paraId="3F10A4EE" w14:textId="77777777" w:rsidR="0001508F" w:rsidRPr="0001508F" w:rsidRDefault="0001508F" w:rsidP="0001508F">
      <w:pPr>
        <w:ind w:left="360"/>
        <w:rPr>
          <w:szCs w:val="24"/>
        </w:rPr>
      </w:pPr>
      <w:r w:rsidRPr="0001508F">
        <w:rPr>
          <w:szCs w:val="24"/>
        </w:rPr>
        <w:t xml:space="preserve">2. </w:t>
      </w:r>
      <w:r w:rsidRPr="0001508F">
        <w:rPr>
          <w:b/>
          <w:bCs/>
          <w:szCs w:val="24"/>
        </w:rPr>
        <w:t>Final [</w:t>
      </w:r>
      <w:r w:rsidRPr="0001508F">
        <w:rPr>
          <w:b/>
          <w:bCs/>
          <w:strike/>
          <w:szCs w:val="24"/>
        </w:rPr>
        <w:t>Inspection</w:t>
      </w:r>
      <w:r w:rsidRPr="0001508F">
        <w:rPr>
          <w:b/>
          <w:bCs/>
          <w:szCs w:val="24"/>
        </w:rPr>
        <w:t xml:space="preserve">] </w:t>
      </w:r>
      <w:r w:rsidRPr="0001508F">
        <w:rPr>
          <w:b/>
          <w:bCs/>
          <w:szCs w:val="24"/>
          <w:u w:val="single"/>
        </w:rPr>
        <w:t>Inspection</w:t>
      </w:r>
      <w:r w:rsidRPr="0001508F">
        <w:rPr>
          <w:b/>
          <w:bCs/>
          <w:szCs w:val="24"/>
        </w:rPr>
        <w:t>.</w:t>
      </w:r>
      <w:r w:rsidRPr="0001508F">
        <w:rPr>
          <w:szCs w:val="24"/>
        </w:rPr>
        <w:t xml:space="preserve"> It shall be the duty of the permit holder to notify the department when work requiring </w:t>
      </w:r>
      <w:r w:rsidRPr="0001508F">
        <w:rPr>
          <w:szCs w:val="24"/>
          <w:u w:val="single"/>
        </w:rPr>
        <w:t>final</w:t>
      </w:r>
      <w:r w:rsidRPr="0001508F">
        <w:rPr>
          <w:szCs w:val="24"/>
        </w:rPr>
        <w:t xml:space="preserve"> inspection, </w:t>
      </w:r>
      <w:r w:rsidRPr="0001508F">
        <w:rPr>
          <w:szCs w:val="24"/>
          <w:u w:val="single"/>
        </w:rPr>
        <w:t>pursuant to this code or rules of the department</w:t>
      </w:r>
      <w:r w:rsidRPr="0001508F">
        <w:rPr>
          <w:szCs w:val="24"/>
        </w:rPr>
        <w:t>, is ready to be inspected and to schedule [</w:t>
      </w:r>
      <w:r w:rsidRPr="0001508F">
        <w:rPr>
          <w:strike/>
          <w:szCs w:val="24"/>
        </w:rPr>
        <w:t>a final</w:t>
      </w:r>
      <w:r w:rsidRPr="0001508F">
        <w:rPr>
          <w:szCs w:val="24"/>
        </w:rPr>
        <w:t xml:space="preserve">] </w:t>
      </w:r>
      <w:r w:rsidRPr="0001508F">
        <w:rPr>
          <w:szCs w:val="24"/>
          <w:u w:val="single"/>
        </w:rPr>
        <w:t>such</w:t>
      </w:r>
      <w:r w:rsidRPr="0001508F">
        <w:rPr>
          <w:szCs w:val="24"/>
        </w:rPr>
        <w:t xml:space="preserve"> inspection.</w:t>
      </w:r>
    </w:p>
    <w:p w14:paraId="7C942110" w14:textId="77777777" w:rsidR="0001508F" w:rsidRPr="0001508F" w:rsidRDefault="0001508F" w:rsidP="0001508F">
      <w:pPr>
        <w:widowControl w:val="0"/>
        <w:spacing w:before="120" w:after="120"/>
        <w:rPr>
          <w:rFonts w:eastAsia="Calibri"/>
          <w:bCs/>
          <w:szCs w:val="24"/>
        </w:rPr>
      </w:pPr>
    </w:p>
    <w:p w14:paraId="59C56483" w14:textId="77777777" w:rsidR="0001508F" w:rsidRPr="0001508F" w:rsidRDefault="0001508F" w:rsidP="0001508F">
      <w:pPr>
        <w:widowControl w:val="0"/>
        <w:spacing w:before="120" w:after="120" w:line="480" w:lineRule="auto"/>
        <w:ind w:firstLine="720"/>
        <w:rPr>
          <w:rFonts w:eastAsia="Calibri"/>
          <w:szCs w:val="24"/>
        </w:rPr>
      </w:pPr>
      <w:r w:rsidRPr="0001508F">
        <w:rPr>
          <w:rFonts w:eastAsia="Calibri"/>
          <w:szCs w:val="24"/>
        </w:rPr>
        <w:t xml:space="preserve">§ 152. Sections 28-304.6.6.2 and 28-304.8 of the </w:t>
      </w:r>
      <w:r w:rsidRPr="0001508F">
        <w:rPr>
          <w:color w:val="000000"/>
          <w:szCs w:val="24"/>
        </w:rPr>
        <w:t>administrative code of the city of New York, as amended by local law number 126 for the year 2021, is amended to read as follows:</w:t>
      </w:r>
    </w:p>
    <w:p w14:paraId="04ADDF9E" w14:textId="77777777" w:rsidR="0001508F" w:rsidRPr="0001508F" w:rsidRDefault="0001508F" w:rsidP="0001508F">
      <w:pPr>
        <w:rPr>
          <w:szCs w:val="24"/>
        </w:rPr>
      </w:pPr>
      <w:r w:rsidRPr="0001508F">
        <w:rPr>
          <w:b/>
          <w:bCs/>
          <w:szCs w:val="24"/>
        </w:rPr>
        <w:t>§28-304.6.6.2 Periodic inspection repair.</w:t>
      </w:r>
      <w:r w:rsidRPr="0001508F">
        <w:rPr>
          <w:szCs w:val="24"/>
        </w:rPr>
        <w:t xml:space="preserve"> All defects as found in such periodic inspection report shall be corrected within 90 days after the date of test. </w:t>
      </w:r>
      <w:r w:rsidRPr="0001508F">
        <w:rPr>
          <w:szCs w:val="24"/>
          <w:u w:val="single"/>
        </w:rPr>
        <w:t>The department may grant one extension of 45 days upon submission of an application by the owner demonstrating a practical difficulty in complying within the 90-day timeframe.</w:t>
      </w:r>
      <w:r w:rsidRPr="0001508F">
        <w:rPr>
          <w:szCs w:val="24"/>
        </w:rPr>
        <w:t xml:space="preserve"> An affirmation of correction shall be filed within 14 days of the date of correction.</w:t>
      </w:r>
    </w:p>
    <w:p w14:paraId="1D6864B3" w14:textId="77777777" w:rsidR="0001508F" w:rsidRPr="0001508F" w:rsidRDefault="0001508F" w:rsidP="0001508F">
      <w:pPr>
        <w:widowControl w:val="0"/>
        <w:spacing w:before="120" w:after="120" w:line="480" w:lineRule="auto"/>
        <w:ind w:firstLine="720"/>
        <w:rPr>
          <w:rFonts w:eastAsia="Calibri"/>
          <w:szCs w:val="24"/>
        </w:rPr>
      </w:pPr>
      <w:r w:rsidRPr="0001508F">
        <w:rPr>
          <w:rFonts w:eastAsia="Calibri"/>
          <w:szCs w:val="24"/>
        </w:rPr>
        <w:t>***</w:t>
      </w:r>
    </w:p>
    <w:p w14:paraId="48EBF8A0" w14:textId="77777777" w:rsidR="0001508F" w:rsidRPr="0001508F" w:rsidRDefault="0001508F" w:rsidP="0001508F">
      <w:pPr>
        <w:rPr>
          <w:szCs w:val="24"/>
        </w:rPr>
      </w:pPr>
      <w:r w:rsidRPr="0001508F">
        <w:rPr>
          <w:b/>
          <w:bCs/>
          <w:szCs w:val="24"/>
        </w:rPr>
        <w:t>§28-304.8 Fees.</w:t>
      </w:r>
      <w:r w:rsidRPr="0001508F">
        <w:rPr>
          <w:szCs w:val="24"/>
        </w:rPr>
        <w:t xml:space="preserve"> Every owner of elevators and other devices shall pay to the department a report filing fee for each elevator or device</w:t>
      </w:r>
      <w:r w:rsidRPr="0001508F">
        <w:rPr>
          <w:szCs w:val="24"/>
          <w:u w:val="single"/>
        </w:rPr>
        <w:t>, and a fee for each extension request pursuant to sections 28-304.6.6.1 and 28-304.6.6.2</w:t>
      </w:r>
      <w:r w:rsidRPr="0001508F">
        <w:rPr>
          <w:szCs w:val="24"/>
        </w:rPr>
        <w:t xml:space="preserve"> in the amount prescribed by the department’s rules.</w:t>
      </w:r>
    </w:p>
    <w:p w14:paraId="1FADE48C" w14:textId="77777777" w:rsidR="0001508F" w:rsidRPr="0001508F" w:rsidRDefault="0001508F" w:rsidP="0001508F">
      <w:pPr>
        <w:widowControl w:val="0"/>
        <w:tabs>
          <w:tab w:val="left" w:pos="720"/>
        </w:tabs>
        <w:spacing w:before="120" w:after="120" w:line="480" w:lineRule="auto"/>
        <w:ind w:firstLine="720"/>
        <w:rPr>
          <w:rFonts w:eastAsia="Calibri"/>
          <w:bCs/>
          <w:szCs w:val="24"/>
        </w:rPr>
      </w:pPr>
    </w:p>
    <w:p w14:paraId="6D25A134" w14:textId="77777777" w:rsidR="0001508F" w:rsidRPr="0001508F" w:rsidRDefault="0001508F" w:rsidP="0001508F">
      <w:pPr>
        <w:widowControl w:val="0"/>
        <w:tabs>
          <w:tab w:val="left" w:pos="720"/>
        </w:tabs>
        <w:spacing w:before="120" w:after="120" w:line="480" w:lineRule="auto"/>
        <w:ind w:firstLine="720"/>
        <w:rPr>
          <w:rFonts w:eastAsia="Calibri"/>
          <w:bCs/>
          <w:szCs w:val="24"/>
        </w:rPr>
      </w:pPr>
      <w:r w:rsidRPr="0001508F">
        <w:rPr>
          <w:rFonts w:eastAsia="Calibri"/>
          <w:bCs/>
          <w:szCs w:val="24"/>
        </w:rPr>
        <w:t xml:space="preserve">§ 153. 1. Except as provided in subdivision two or subdivision three of this section, this local law takes effect two years after it becomes law and shall apply to work relating to construction documents filed on and after such date. </w:t>
      </w:r>
    </w:p>
    <w:p w14:paraId="57A639A1" w14:textId="77777777" w:rsidR="0001508F" w:rsidRPr="0001508F" w:rsidRDefault="0001508F" w:rsidP="0001508F">
      <w:pPr>
        <w:widowControl w:val="0"/>
        <w:tabs>
          <w:tab w:val="left" w:pos="720"/>
        </w:tabs>
        <w:spacing w:before="120" w:after="120" w:line="480" w:lineRule="auto"/>
        <w:ind w:firstLine="720"/>
        <w:rPr>
          <w:rFonts w:eastAsia="Calibri"/>
          <w:bCs/>
          <w:szCs w:val="24"/>
        </w:rPr>
      </w:pPr>
      <w:r w:rsidRPr="0001508F">
        <w:rPr>
          <w:rFonts w:eastAsia="Calibri"/>
          <w:bCs/>
          <w:szCs w:val="24"/>
        </w:rPr>
        <w:t>2. Section 152 of this local law takes effect six months after it becomes law.</w:t>
      </w:r>
    </w:p>
    <w:p w14:paraId="1EFDCB81" w14:textId="77777777" w:rsidR="0001508F" w:rsidRPr="0001508F" w:rsidRDefault="0001508F" w:rsidP="0001508F">
      <w:pPr>
        <w:widowControl w:val="0"/>
        <w:tabs>
          <w:tab w:val="left" w:pos="720"/>
        </w:tabs>
        <w:spacing w:before="120" w:after="120" w:line="480" w:lineRule="auto"/>
        <w:ind w:firstLine="720"/>
        <w:rPr>
          <w:rFonts w:eastAsia="Calibri"/>
          <w:bCs/>
          <w:szCs w:val="24"/>
        </w:rPr>
      </w:pPr>
      <w:r w:rsidRPr="0001508F">
        <w:rPr>
          <w:rFonts w:eastAsia="Calibri"/>
          <w:bCs/>
          <w:szCs w:val="24"/>
        </w:rPr>
        <w:t xml:space="preserve">3. Section 28-116.2.6.4, as added by section 22 of this local law, and sections 150 and 151 of this local law take effect immediately. </w:t>
      </w:r>
    </w:p>
    <w:p w14:paraId="52FC1737" w14:textId="77777777" w:rsidR="0001508F" w:rsidRDefault="0001508F" w:rsidP="001F2043">
      <w:pPr>
        <w:suppressLineNumbers/>
        <w:jc w:val="center"/>
        <w:rPr>
          <w:szCs w:val="24"/>
        </w:rPr>
      </w:pPr>
    </w:p>
    <w:p w14:paraId="423FE75B" w14:textId="77777777" w:rsidR="0001508F" w:rsidRDefault="0001508F" w:rsidP="001F2043">
      <w:pPr>
        <w:suppressLineNumbers/>
        <w:jc w:val="center"/>
        <w:rPr>
          <w:szCs w:val="24"/>
        </w:rPr>
      </w:pPr>
    </w:p>
    <w:p w14:paraId="1C5C4EEB" w14:textId="77777777" w:rsidR="0001508F" w:rsidRDefault="0001508F" w:rsidP="001F2043">
      <w:pPr>
        <w:suppressLineNumbers/>
        <w:jc w:val="center"/>
        <w:rPr>
          <w:szCs w:val="24"/>
        </w:rPr>
      </w:pPr>
    </w:p>
    <w:p w14:paraId="24DAE39F" w14:textId="77777777" w:rsidR="0001508F" w:rsidRDefault="0001508F" w:rsidP="001F2043">
      <w:pPr>
        <w:suppressLineNumbers/>
        <w:jc w:val="center"/>
        <w:rPr>
          <w:szCs w:val="24"/>
        </w:rPr>
      </w:pPr>
    </w:p>
    <w:p w14:paraId="22E06937" w14:textId="77777777" w:rsidR="0001508F" w:rsidRDefault="0001508F" w:rsidP="001F2043">
      <w:pPr>
        <w:suppressLineNumbers/>
        <w:jc w:val="center"/>
        <w:rPr>
          <w:szCs w:val="24"/>
        </w:rPr>
      </w:pPr>
    </w:p>
    <w:p w14:paraId="2401C101" w14:textId="77777777" w:rsidR="0001508F" w:rsidRDefault="0001508F" w:rsidP="001F2043">
      <w:pPr>
        <w:suppressLineNumbers/>
        <w:jc w:val="center"/>
        <w:rPr>
          <w:szCs w:val="24"/>
        </w:rPr>
      </w:pPr>
    </w:p>
    <w:p w14:paraId="2E95C699" w14:textId="77777777" w:rsidR="0001508F" w:rsidRDefault="0001508F" w:rsidP="001F2043">
      <w:pPr>
        <w:suppressLineNumbers/>
        <w:jc w:val="center"/>
        <w:rPr>
          <w:szCs w:val="24"/>
        </w:rPr>
      </w:pPr>
    </w:p>
    <w:p w14:paraId="33A572F1" w14:textId="77777777" w:rsidR="0001508F" w:rsidRDefault="0001508F" w:rsidP="001F2043">
      <w:pPr>
        <w:suppressLineNumbers/>
        <w:jc w:val="center"/>
        <w:rPr>
          <w:szCs w:val="24"/>
        </w:rPr>
      </w:pPr>
    </w:p>
    <w:p w14:paraId="78D4F299" w14:textId="77777777" w:rsidR="0001508F" w:rsidRDefault="0001508F" w:rsidP="001F2043">
      <w:pPr>
        <w:suppressLineNumbers/>
        <w:jc w:val="center"/>
        <w:rPr>
          <w:szCs w:val="24"/>
        </w:rPr>
      </w:pPr>
    </w:p>
    <w:p w14:paraId="7246E1A6" w14:textId="77777777" w:rsidR="0001508F" w:rsidRDefault="0001508F" w:rsidP="001F2043">
      <w:pPr>
        <w:suppressLineNumbers/>
        <w:jc w:val="center"/>
        <w:rPr>
          <w:szCs w:val="24"/>
        </w:rPr>
      </w:pPr>
    </w:p>
    <w:p w14:paraId="1BF7A31A" w14:textId="77777777" w:rsidR="0001508F" w:rsidRDefault="0001508F" w:rsidP="001F2043">
      <w:pPr>
        <w:suppressLineNumbers/>
        <w:jc w:val="center"/>
        <w:rPr>
          <w:szCs w:val="24"/>
        </w:rPr>
      </w:pPr>
    </w:p>
    <w:p w14:paraId="4CCCD8E6" w14:textId="77777777" w:rsidR="0001508F" w:rsidRDefault="0001508F" w:rsidP="001F2043">
      <w:pPr>
        <w:suppressLineNumbers/>
        <w:jc w:val="center"/>
        <w:rPr>
          <w:szCs w:val="24"/>
        </w:rPr>
      </w:pPr>
    </w:p>
    <w:p w14:paraId="4CEB3F92" w14:textId="77777777" w:rsidR="0001508F" w:rsidRDefault="0001508F" w:rsidP="001F2043">
      <w:pPr>
        <w:suppressLineNumbers/>
        <w:jc w:val="center"/>
        <w:rPr>
          <w:szCs w:val="24"/>
        </w:rPr>
      </w:pPr>
    </w:p>
    <w:p w14:paraId="4AE36205" w14:textId="77777777" w:rsidR="0001508F" w:rsidRDefault="0001508F" w:rsidP="001F2043">
      <w:pPr>
        <w:suppressLineNumbers/>
        <w:jc w:val="center"/>
        <w:rPr>
          <w:szCs w:val="24"/>
        </w:rPr>
      </w:pPr>
    </w:p>
    <w:p w14:paraId="7525D6C0" w14:textId="77777777" w:rsidR="0001508F" w:rsidRDefault="0001508F" w:rsidP="001F2043">
      <w:pPr>
        <w:suppressLineNumbers/>
        <w:jc w:val="center"/>
        <w:rPr>
          <w:szCs w:val="24"/>
        </w:rPr>
      </w:pPr>
    </w:p>
    <w:p w14:paraId="4D624956" w14:textId="77777777" w:rsidR="0001508F" w:rsidRDefault="0001508F" w:rsidP="001F2043">
      <w:pPr>
        <w:suppressLineNumbers/>
        <w:jc w:val="center"/>
        <w:rPr>
          <w:szCs w:val="24"/>
        </w:rPr>
      </w:pPr>
    </w:p>
    <w:p w14:paraId="05A33582" w14:textId="77777777" w:rsidR="0001508F" w:rsidRDefault="0001508F" w:rsidP="001F2043">
      <w:pPr>
        <w:suppressLineNumbers/>
        <w:jc w:val="center"/>
        <w:rPr>
          <w:szCs w:val="24"/>
        </w:rPr>
      </w:pPr>
    </w:p>
    <w:p w14:paraId="76AD098F" w14:textId="77777777" w:rsidR="0001508F" w:rsidRDefault="0001508F" w:rsidP="001F2043">
      <w:pPr>
        <w:suppressLineNumbers/>
        <w:jc w:val="center"/>
        <w:rPr>
          <w:szCs w:val="24"/>
        </w:rPr>
      </w:pPr>
    </w:p>
    <w:p w14:paraId="22464EB3" w14:textId="77777777" w:rsidR="0001508F" w:rsidRDefault="0001508F" w:rsidP="001F2043">
      <w:pPr>
        <w:suppressLineNumbers/>
        <w:rPr>
          <w:szCs w:val="24"/>
        </w:rPr>
      </w:pPr>
    </w:p>
    <w:p w14:paraId="2585835D" w14:textId="77777777" w:rsidR="00FD2721" w:rsidRDefault="00FD2721" w:rsidP="001F2043">
      <w:pPr>
        <w:suppressLineNumbers/>
        <w:jc w:val="center"/>
        <w:rPr>
          <w:szCs w:val="24"/>
        </w:rPr>
      </w:pPr>
    </w:p>
    <w:p w14:paraId="77A6B9EC" w14:textId="77777777" w:rsidR="00FD2721" w:rsidRDefault="00FD2721" w:rsidP="001F2043">
      <w:pPr>
        <w:suppressLineNumbers/>
        <w:jc w:val="center"/>
        <w:rPr>
          <w:szCs w:val="24"/>
        </w:rPr>
      </w:pPr>
    </w:p>
    <w:p w14:paraId="28492A1B" w14:textId="77777777" w:rsidR="00FD2721" w:rsidRDefault="00FD2721" w:rsidP="001F2043">
      <w:pPr>
        <w:suppressLineNumbers/>
        <w:jc w:val="center"/>
        <w:rPr>
          <w:szCs w:val="24"/>
        </w:rPr>
      </w:pPr>
    </w:p>
    <w:p w14:paraId="5CD7B344" w14:textId="77777777" w:rsidR="00FD2721" w:rsidRDefault="00FD2721" w:rsidP="001F2043">
      <w:pPr>
        <w:suppressLineNumbers/>
        <w:jc w:val="center"/>
        <w:rPr>
          <w:szCs w:val="24"/>
        </w:rPr>
      </w:pPr>
    </w:p>
    <w:p w14:paraId="7BB44E20" w14:textId="77777777" w:rsidR="00FD2721" w:rsidRDefault="00FD2721" w:rsidP="001F2043">
      <w:pPr>
        <w:suppressLineNumbers/>
        <w:jc w:val="center"/>
        <w:rPr>
          <w:szCs w:val="24"/>
        </w:rPr>
      </w:pPr>
    </w:p>
    <w:p w14:paraId="4F0C1A92" w14:textId="77777777" w:rsidR="00FD2721" w:rsidRDefault="00FD2721" w:rsidP="001F2043">
      <w:pPr>
        <w:suppressLineNumbers/>
        <w:jc w:val="center"/>
        <w:rPr>
          <w:szCs w:val="24"/>
        </w:rPr>
      </w:pPr>
    </w:p>
    <w:p w14:paraId="58276FDB" w14:textId="77777777" w:rsidR="00FD2721" w:rsidRDefault="00FD2721" w:rsidP="001F2043">
      <w:pPr>
        <w:suppressLineNumbers/>
        <w:jc w:val="center"/>
        <w:rPr>
          <w:szCs w:val="24"/>
        </w:rPr>
      </w:pPr>
    </w:p>
    <w:p w14:paraId="271CA563" w14:textId="77777777" w:rsidR="00FD2721" w:rsidRDefault="00FD2721" w:rsidP="001F2043">
      <w:pPr>
        <w:suppressLineNumbers/>
        <w:jc w:val="center"/>
        <w:rPr>
          <w:szCs w:val="24"/>
        </w:rPr>
      </w:pPr>
    </w:p>
    <w:p w14:paraId="7AA16694" w14:textId="77777777" w:rsidR="00FD2721" w:rsidRDefault="00FD2721" w:rsidP="001F2043">
      <w:pPr>
        <w:suppressLineNumbers/>
        <w:jc w:val="center"/>
        <w:rPr>
          <w:szCs w:val="24"/>
        </w:rPr>
      </w:pPr>
    </w:p>
    <w:p w14:paraId="4D0736C9" w14:textId="77777777" w:rsidR="00FD2721" w:rsidRDefault="00FD2721" w:rsidP="001F2043">
      <w:pPr>
        <w:suppressLineNumbers/>
        <w:jc w:val="center"/>
        <w:rPr>
          <w:szCs w:val="24"/>
        </w:rPr>
      </w:pPr>
    </w:p>
    <w:p w14:paraId="2D661305" w14:textId="77777777" w:rsidR="00FD2721" w:rsidRDefault="00FD2721" w:rsidP="001F2043">
      <w:pPr>
        <w:suppressLineNumbers/>
        <w:jc w:val="center"/>
        <w:rPr>
          <w:szCs w:val="24"/>
        </w:rPr>
      </w:pPr>
    </w:p>
    <w:p w14:paraId="52368D0C" w14:textId="77777777" w:rsidR="00FD2721" w:rsidRDefault="00FD2721" w:rsidP="001F2043">
      <w:pPr>
        <w:suppressLineNumbers/>
        <w:jc w:val="center"/>
        <w:rPr>
          <w:szCs w:val="24"/>
        </w:rPr>
      </w:pPr>
    </w:p>
    <w:p w14:paraId="19896032" w14:textId="77777777" w:rsidR="00FD2721" w:rsidRDefault="00FD2721" w:rsidP="001F2043">
      <w:pPr>
        <w:suppressLineNumbers/>
        <w:jc w:val="center"/>
        <w:rPr>
          <w:szCs w:val="24"/>
        </w:rPr>
      </w:pPr>
    </w:p>
    <w:p w14:paraId="64E3D43E" w14:textId="7094D891" w:rsidR="00FD2721" w:rsidRDefault="00FD2721" w:rsidP="001F2043">
      <w:pPr>
        <w:suppressLineNumbers/>
        <w:jc w:val="center"/>
        <w:rPr>
          <w:szCs w:val="24"/>
        </w:rPr>
      </w:pPr>
      <w:r>
        <w:rPr>
          <w:szCs w:val="24"/>
        </w:rPr>
        <w:t>[THIS PAGE INTENTIONALLY BLANK]</w:t>
      </w:r>
    </w:p>
    <w:p w14:paraId="5B4EAE48" w14:textId="77777777" w:rsidR="00FD2721" w:rsidRDefault="00FD2721" w:rsidP="001F2043">
      <w:pPr>
        <w:suppressLineNumbers/>
        <w:jc w:val="center"/>
        <w:rPr>
          <w:szCs w:val="24"/>
        </w:rPr>
      </w:pPr>
    </w:p>
    <w:p w14:paraId="55D9BDF3" w14:textId="77777777" w:rsidR="00FD2721" w:rsidRDefault="00FD2721" w:rsidP="001F2043">
      <w:pPr>
        <w:suppressLineNumbers/>
        <w:jc w:val="center"/>
        <w:rPr>
          <w:szCs w:val="24"/>
        </w:rPr>
      </w:pPr>
    </w:p>
    <w:p w14:paraId="1B5DBA1B" w14:textId="77777777" w:rsidR="00FD2721" w:rsidRDefault="00FD2721" w:rsidP="001F2043">
      <w:pPr>
        <w:suppressLineNumbers/>
        <w:jc w:val="center"/>
        <w:rPr>
          <w:szCs w:val="24"/>
        </w:rPr>
      </w:pPr>
    </w:p>
    <w:p w14:paraId="089440D3" w14:textId="77777777" w:rsidR="00FD2721" w:rsidRDefault="00FD2721" w:rsidP="001F2043">
      <w:pPr>
        <w:suppressLineNumbers/>
        <w:jc w:val="center"/>
        <w:rPr>
          <w:szCs w:val="24"/>
        </w:rPr>
      </w:pPr>
    </w:p>
    <w:p w14:paraId="43429633" w14:textId="77777777" w:rsidR="00FD2721" w:rsidRDefault="00FD2721" w:rsidP="001F2043">
      <w:pPr>
        <w:suppressLineNumbers/>
        <w:jc w:val="center"/>
        <w:rPr>
          <w:szCs w:val="24"/>
        </w:rPr>
      </w:pPr>
    </w:p>
    <w:p w14:paraId="5D50CEB1" w14:textId="77777777" w:rsidR="00FD2721" w:rsidRDefault="00FD2721" w:rsidP="001F2043">
      <w:pPr>
        <w:suppressLineNumbers/>
        <w:jc w:val="center"/>
        <w:rPr>
          <w:szCs w:val="24"/>
        </w:rPr>
      </w:pPr>
    </w:p>
    <w:p w14:paraId="2023093E" w14:textId="77777777" w:rsidR="00FD2721" w:rsidRDefault="00FD2721" w:rsidP="001F2043">
      <w:pPr>
        <w:suppressLineNumbers/>
        <w:jc w:val="center"/>
        <w:rPr>
          <w:szCs w:val="24"/>
        </w:rPr>
      </w:pPr>
    </w:p>
    <w:p w14:paraId="0907E900" w14:textId="77777777" w:rsidR="00FD2721" w:rsidRDefault="00FD2721" w:rsidP="001F2043">
      <w:pPr>
        <w:suppressLineNumbers/>
        <w:jc w:val="center"/>
        <w:rPr>
          <w:szCs w:val="24"/>
        </w:rPr>
      </w:pPr>
    </w:p>
    <w:p w14:paraId="1585368A" w14:textId="77777777" w:rsidR="00FD2721" w:rsidRDefault="00FD2721" w:rsidP="001F2043">
      <w:pPr>
        <w:suppressLineNumbers/>
        <w:jc w:val="center"/>
        <w:rPr>
          <w:szCs w:val="24"/>
        </w:rPr>
      </w:pPr>
    </w:p>
    <w:p w14:paraId="0CD6B08E" w14:textId="77777777" w:rsidR="00FD2721" w:rsidRDefault="00FD2721" w:rsidP="001F2043">
      <w:pPr>
        <w:suppressLineNumbers/>
        <w:jc w:val="center"/>
        <w:rPr>
          <w:szCs w:val="24"/>
        </w:rPr>
      </w:pPr>
    </w:p>
    <w:p w14:paraId="436BD6E0" w14:textId="77777777" w:rsidR="00FD2721" w:rsidRDefault="00FD2721" w:rsidP="001F2043">
      <w:pPr>
        <w:suppressLineNumbers/>
        <w:jc w:val="center"/>
        <w:rPr>
          <w:szCs w:val="24"/>
        </w:rPr>
      </w:pPr>
    </w:p>
    <w:p w14:paraId="71C43DF7" w14:textId="77777777" w:rsidR="00FD2721" w:rsidRDefault="00FD2721" w:rsidP="001F2043">
      <w:pPr>
        <w:suppressLineNumbers/>
        <w:jc w:val="center"/>
        <w:rPr>
          <w:szCs w:val="24"/>
        </w:rPr>
      </w:pPr>
    </w:p>
    <w:p w14:paraId="2E4F05C0" w14:textId="77777777" w:rsidR="00FD2721" w:rsidRDefault="00FD2721" w:rsidP="001F2043">
      <w:pPr>
        <w:suppressLineNumbers/>
        <w:jc w:val="center"/>
        <w:rPr>
          <w:szCs w:val="24"/>
        </w:rPr>
      </w:pPr>
    </w:p>
    <w:p w14:paraId="2A86BFED" w14:textId="77777777" w:rsidR="00FD2721" w:rsidRDefault="00FD2721" w:rsidP="001F2043">
      <w:pPr>
        <w:suppressLineNumbers/>
        <w:jc w:val="center"/>
        <w:rPr>
          <w:szCs w:val="24"/>
        </w:rPr>
      </w:pPr>
    </w:p>
    <w:p w14:paraId="29E520A1" w14:textId="77777777" w:rsidR="00FD2721" w:rsidRDefault="00FD2721" w:rsidP="001F2043">
      <w:pPr>
        <w:suppressLineNumbers/>
        <w:jc w:val="center"/>
        <w:rPr>
          <w:szCs w:val="24"/>
        </w:rPr>
      </w:pPr>
    </w:p>
    <w:p w14:paraId="26379BF1" w14:textId="77777777" w:rsidR="00FD2721" w:rsidRDefault="00FD2721" w:rsidP="001F2043">
      <w:pPr>
        <w:suppressLineNumbers/>
        <w:jc w:val="center"/>
        <w:rPr>
          <w:szCs w:val="24"/>
        </w:rPr>
      </w:pPr>
    </w:p>
    <w:p w14:paraId="73D56570" w14:textId="77777777" w:rsidR="00FD2721" w:rsidRDefault="00FD2721" w:rsidP="001F2043">
      <w:pPr>
        <w:suppressLineNumbers/>
        <w:jc w:val="center"/>
        <w:rPr>
          <w:szCs w:val="24"/>
        </w:rPr>
      </w:pPr>
    </w:p>
    <w:p w14:paraId="56948039" w14:textId="77777777" w:rsidR="00FD2721" w:rsidRDefault="00FD2721" w:rsidP="001F2043">
      <w:pPr>
        <w:suppressLineNumbers/>
        <w:jc w:val="center"/>
        <w:rPr>
          <w:szCs w:val="24"/>
        </w:rPr>
      </w:pPr>
    </w:p>
    <w:p w14:paraId="056FBBA6" w14:textId="77777777" w:rsidR="00FD2721" w:rsidRDefault="00FD2721" w:rsidP="001F2043">
      <w:pPr>
        <w:suppressLineNumbers/>
        <w:jc w:val="center"/>
        <w:rPr>
          <w:szCs w:val="24"/>
        </w:rPr>
      </w:pPr>
    </w:p>
    <w:p w14:paraId="2B7DFF2C" w14:textId="77777777" w:rsidR="00FD2721" w:rsidRDefault="00FD2721" w:rsidP="001F2043">
      <w:pPr>
        <w:suppressLineNumbers/>
        <w:jc w:val="center"/>
        <w:rPr>
          <w:szCs w:val="24"/>
        </w:rPr>
      </w:pPr>
    </w:p>
    <w:p w14:paraId="3B5EABEF" w14:textId="77777777" w:rsidR="00FD2721" w:rsidRDefault="00FD2721" w:rsidP="001F2043">
      <w:pPr>
        <w:suppressLineNumbers/>
        <w:jc w:val="center"/>
        <w:rPr>
          <w:szCs w:val="24"/>
        </w:rPr>
      </w:pPr>
    </w:p>
    <w:p w14:paraId="4CABC488" w14:textId="77777777" w:rsidR="00FD2721" w:rsidRDefault="00FD2721" w:rsidP="001F2043">
      <w:pPr>
        <w:suppressLineNumbers/>
        <w:jc w:val="center"/>
        <w:rPr>
          <w:szCs w:val="24"/>
        </w:rPr>
      </w:pPr>
    </w:p>
    <w:p w14:paraId="03398AC9" w14:textId="77777777" w:rsidR="00FD2721" w:rsidRDefault="00FD2721" w:rsidP="001F2043">
      <w:pPr>
        <w:suppressLineNumbers/>
        <w:jc w:val="center"/>
        <w:rPr>
          <w:szCs w:val="24"/>
        </w:rPr>
      </w:pPr>
    </w:p>
    <w:p w14:paraId="6BAC17C1" w14:textId="77777777" w:rsidR="00FD2721" w:rsidRDefault="00FD2721" w:rsidP="001F2043">
      <w:pPr>
        <w:suppressLineNumbers/>
        <w:jc w:val="center"/>
        <w:rPr>
          <w:szCs w:val="24"/>
        </w:rPr>
      </w:pPr>
    </w:p>
    <w:p w14:paraId="6BB15C25" w14:textId="77777777" w:rsidR="00FD2721" w:rsidRDefault="00FD2721" w:rsidP="001F2043">
      <w:pPr>
        <w:suppressLineNumbers/>
        <w:jc w:val="center"/>
        <w:rPr>
          <w:szCs w:val="24"/>
        </w:rPr>
      </w:pPr>
    </w:p>
    <w:p w14:paraId="5349F6EE" w14:textId="77777777" w:rsidR="00FD2721" w:rsidRDefault="00FD2721" w:rsidP="001F2043">
      <w:pPr>
        <w:suppressLineNumbers/>
        <w:jc w:val="center"/>
        <w:rPr>
          <w:szCs w:val="24"/>
        </w:rPr>
      </w:pPr>
    </w:p>
    <w:p w14:paraId="37BBA442" w14:textId="77777777" w:rsidR="00FD2721" w:rsidRDefault="00FD2721" w:rsidP="001F2043">
      <w:pPr>
        <w:suppressLineNumbers/>
        <w:jc w:val="center"/>
        <w:rPr>
          <w:szCs w:val="24"/>
        </w:rPr>
      </w:pPr>
    </w:p>
    <w:p w14:paraId="12F6E011" w14:textId="77777777" w:rsidR="00FD2721" w:rsidRDefault="00FD2721" w:rsidP="001F2043">
      <w:pPr>
        <w:suppressLineNumbers/>
        <w:jc w:val="center"/>
        <w:rPr>
          <w:szCs w:val="24"/>
        </w:rPr>
      </w:pPr>
    </w:p>
    <w:p w14:paraId="7BCC497D" w14:textId="77777777" w:rsidR="00FD2721" w:rsidRDefault="00FD2721" w:rsidP="001F2043">
      <w:pPr>
        <w:suppressLineNumbers/>
        <w:jc w:val="center"/>
        <w:rPr>
          <w:szCs w:val="24"/>
        </w:rPr>
      </w:pPr>
    </w:p>
    <w:p w14:paraId="70AEBDBB" w14:textId="77777777" w:rsidR="00FD2721" w:rsidRDefault="00FD2721" w:rsidP="001F2043">
      <w:pPr>
        <w:suppressLineNumbers/>
        <w:jc w:val="center"/>
        <w:rPr>
          <w:szCs w:val="24"/>
        </w:rPr>
      </w:pPr>
    </w:p>
    <w:p w14:paraId="0B87BB43" w14:textId="77777777" w:rsidR="00FD2721" w:rsidRDefault="00FD2721" w:rsidP="001F2043">
      <w:pPr>
        <w:suppressLineNumbers/>
        <w:jc w:val="center"/>
        <w:rPr>
          <w:szCs w:val="24"/>
        </w:rPr>
      </w:pPr>
    </w:p>
    <w:p w14:paraId="19C1A3BD" w14:textId="77777777" w:rsidR="00FD2721" w:rsidRDefault="00FD2721" w:rsidP="00FC6475">
      <w:pPr>
        <w:jc w:val="center"/>
        <w:rPr>
          <w:szCs w:val="24"/>
        </w:rPr>
      </w:pPr>
    </w:p>
    <w:p w14:paraId="55E8A56A" w14:textId="57540314" w:rsidR="00FC6475" w:rsidRPr="00FC6475" w:rsidRDefault="00FC6475" w:rsidP="001F2043">
      <w:pPr>
        <w:suppressLineNumbers/>
        <w:jc w:val="center"/>
        <w:rPr>
          <w:szCs w:val="24"/>
        </w:rPr>
      </w:pPr>
      <w:r w:rsidRPr="00FC6475">
        <w:rPr>
          <w:szCs w:val="24"/>
        </w:rPr>
        <w:t xml:space="preserve">Int. No. </w:t>
      </w:r>
      <w:r w:rsidR="00F7536D">
        <w:rPr>
          <w:szCs w:val="24"/>
        </w:rPr>
        <w:t>1456</w:t>
      </w:r>
    </w:p>
    <w:p w14:paraId="591EB13E" w14:textId="77777777" w:rsidR="00FC6475" w:rsidRPr="00FC6475" w:rsidRDefault="00FC6475" w:rsidP="001F2043">
      <w:pPr>
        <w:suppressLineNumbers/>
        <w:jc w:val="center"/>
        <w:rPr>
          <w:szCs w:val="24"/>
        </w:rPr>
      </w:pPr>
    </w:p>
    <w:p w14:paraId="09827A48" w14:textId="77777777" w:rsidR="00FC6475" w:rsidRPr="00FC6475" w:rsidRDefault="00FC6475" w:rsidP="001F2043">
      <w:pPr>
        <w:suppressLineNumbers/>
        <w:rPr>
          <w:szCs w:val="24"/>
        </w:rPr>
      </w:pPr>
      <w:r w:rsidRPr="00FC6475">
        <w:rPr>
          <w:szCs w:val="24"/>
        </w:rPr>
        <w:t>By Council Member Brannan</w:t>
      </w:r>
    </w:p>
    <w:p w14:paraId="6D99DF11" w14:textId="77777777" w:rsidR="00FC6475" w:rsidRPr="00FC6475" w:rsidRDefault="00FC6475" w:rsidP="001F2043">
      <w:pPr>
        <w:suppressLineNumbers/>
        <w:rPr>
          <w:szCs w:val="24"/>
        </w:rPr>
      </w:pPr>
    </w:p>
    <w:p w14:paraId="430F70E2" w14:textId="77777777" w:rsidR="00FC6475" w:rsidRPr="00FC6475" w:rsidRDefault="00FC6475" w:rsidP="001F2043">
      <w:pPr>
        <w:suppressLineNumbers/>
        <w:rPr>
          <w:vanish/>
          <w:szCs w:val="24"/>
        </w:rPr>
      </w:pPr>
      <w:r w:rsidRPr="00FC6475">
        <w:rPr>
          <w:vanish/>
          <w:szCs w:val="24"/>
        </w:rPr>
        <w:t>..Title</w:t>
      </w:r>
    </w:p>
    <w:p w14:paraId="426A628C" w14:textId="77777777" w:rsidR="00FC6475" w:rsidRPr="00FC6475" w:rsidRDefault="00FC6475" w:rsidP="001F2043">
      <w:pPr>
        <w:suppressLineNumbers/>
        <w:rPr>
          <w:szCs w:val="24"/>
        </w:rPr>
      </w:pPr>
      <w:r w:rsidRPr="00FC6475">
        <w:rPr>
          <w:szCs w:val="24"/>
        </w:rPr>
        <w:t>A Local Law to amend the administrative code of the City of New York, in relation to requiring the department of buildings and the department of small business services to provide education concerning the proper installation of awnings and accessory signs, and in relation to waiving penalties and fees related to such signs</w:t>
      </w:r>
    </w:p>
    <w:p w14:paraId="0653638A" w14:textId="77777777" w:rsidR="00FC6475" w:rsidRPr="00FC6475" w:rsidRDefault="00FC6475" w:rsidP="001F2043">
      <w:pPr>
        <w:suppressLineNumbers/>
        <w:rPr>
          <w:vanish/>
          <w:szCs w:val="24"/>
        </w:rPr>
      </w:pPr>
      <w:r w:rsidRPr="00FC6475">
        <w:rPr>
          <w:vanish/>
          <w:szCs w:val="24"/>
        </w:rPr>
        <w:t>..Body</w:t>
      </w:r>
    </w:p>
    <w:p w14:paraId="481E4DF8" w14:textId="77777777" w:rsidR="00FC6475" w:rsidRPr="00FC6475" w:rsidRDefault="00FC6475" w:rsidP="001F2043">
      <w:pPr>
        <w:suppressLineNumbers/>
        <w:rPr>
          <w:szCs w:val="24"/>
          <w:u w:val="single"/>
        </w:rPr>
      </w:pPr>
    </w:p>
    <w:p w14:paraId="4DA1FCB5" w14:textId="77777777" w:rsidR="00FC6475" w:rsidRPr="00FC6475" w:rsidRDefault="00FC6475" w:rsidP="001F2043">
      <w:pPr>
        <w:suppressLineNumbers/>
        <w:rPr>
          <w:szCs w:val="24"/>
        </w:rPr>
      </w:pPr>
      <w:r w:rsidRPr="00FC6475">
        <w:rPr>
          <w:szCs w:val="24"/>
          <w:u w:val="single"/>
        </w:rPr>
        <w:t>Be it enacted by the Council as follows:</w:t>
      </w:r>
    </w:p>
    <w:p w14:paraId="5A688EE2" w14:textId="77777777" w:rsidR="00FC6475" w:rsidRPr="00FC6475" w:rsidRDefault="00FC6475" w:rsidP="001F2043">
      <w:pPr>
        <w:suppressLineNumbers/>
        <w:ind w:firstLine="720"/>
        <w:rPr>
          <w:szCs w:val="24"/>
        </w:rPr>
      </w:pPr>
    </w:p>
    <w:p w14:paraId="783E59DA" w14:textId="77777777" w:rsidR="00FC6475" w:rsidRPr="00FC6475" w:rsidRDefault="00FC6475" w:rsidP="00FC6475">
      <w:pPr>
        <w:spacing w:line="480" w:lineRule="auto"/>
        <w:ind w:firstLine="720"/>
        <w:rPr>
          <w:szCs w:val="24"/>
        </w:rPr>
        <w:sectPr w:rsidR="00FC6475" w:rsidRPr="00FC6475" w:rsidSect="001F2043">
          <w:footerReference w:type="default" r:id="rId95"/>
          <w:footerReference w:type="first" r:id="rId96"/>
          <w:type w:val="continuous"/>
          <w:pgSz w:w="12240" w:h="15840"/>
          <w:pgMar w:top="1440" w:right="1440" w:bottom="1440" w:left="1440" w:header="720" w:footer="720" w:gutter="0"/>
          <w:lnNumType w:countBy="1"/>
          <w:cols w:space="720"/>
          <w:docGrid w:linePitch="360"/>
        </w:sectPr>
      </w:pPr>
    </w:p>
    <w:p w14:paraId="0B09F3AA" w14:textId="77777777" w:rsidR="00FC6475" w:rsidRPr="00FC6475" w:rsidRDefault="00FC6475" w:rsidP="00FC6475">
      <w:pPr>
        <w:spacing w:line="480" w:lineRule="auto"/>
        <w:ind w:firstLine="720"/>
        <w:rPr>
          <w:szCs w:val="24"/>
        </w:rPr>
      </w:pPr>
      <w:r w:rsidRPr="00FC6475">
        <w:rPr>
          <w:szCs w:val="24"/>
        </w:rPr>
        <w:t>Section 1. Section 3 of local law number 28 for the year 2019, as amended by local law number 43 for the year 2023, is amended to read as follows:</w:t>
      </w:r>
    </w:p>
    <w:p w14:paraId="17D570CA" w14:textId="77777777" w:rsidR="00FC6475" w:rsidRPr="00FC6475" w:rsidRDefault="00FC6475" w:rsidP="00FC6475">
      <w:pPr>
        <w:spacing w:line="480" w:lineRule="auto"/>
        <w:ind w:firstLine="720"/>
        <w:rPr>
          <w:szCs w:val="24"/>
          <w:u w:val="single"/>
        </w:rPr>
      </w:pPr>
      <w:r w:rsidRPr="00FC6475">
        <w:rPr>
          <w:szCs w:val="24"/>
        </w:rPr>
        <w:t xml:space="preserve">§ 3. Violations for existing accessory signs. Notwithstanding any other provision of law, no applicable violations shall be issued on or after the effective date of the local law that established this section for an accessory sign in existence on or before such date for a period of [six years] </w:t>
      </w:r>
      <w:r w:rsidRPr="00FC6475">
        <w:rPr>
          <w:szCs w:val="24"/>
          <w:u w:val="single"/>
        </w:rPr>
        <w:t>nine years, ending on February 9, 2028</w:t>
      </w:r>
      <w:r w:rsidRPr="00FC6475">
        <w:rPr>
          <w:szCs w:val="24"/>
        </w:rPr>
        <w:t>, unless such accessory sign creates an imminent threat to public health or safety or the commissioner of buildings determines that such sign is otherwise not eligible for the temporary waiver created under this section.</w:t>
      </w:r>
    </w:p>
    <w:p w14:paraId="7254B96A" w14:textId="77777777" w:rsidR="00FC6475" w:rsidRPr="00FC6475" w:rsidRDefault="00FC6475" w:rsidP="00FC6475">
      <w:pPr>
        <w:spacing w:line="480" w:lineRule="auto"/>
        <w:ind w:firstLine="720"/>
        <w:rPr>
          <w:szCs w:val="24"/>
        </w:rPr>
      </w:pPr>
      <w:r w:rsidRPr="00FC6475">
        <w:rPr>
          <w:szCs w:val="24"/>
        </w:rPr>
        <w:t>§ 2. Section 4 of local law number 28 for the year 2019, as amended by local law number 43 for the year 2023, is amended to read as follows:</w:t>
      </w:r>
    </w:p>
    <w:p w14:paraId="375A1503" w14:textId="77777777" w:rsidR="00FC6475" w:rsidRPr="00FC6475" w:rsidRDefault="00FC6475" w:rsidP="00FC6475">
      <w:pPr>
        <w:spacing w:line="480" w:lineRule="auto"/>
        <w:ind w:firstLine="720"/>
        <w:rPr>
          <w:szCs w:val="24"/>
        </w:rPr>
      </w:pPr>
      <w:r w:rsidRPr="00FC6475">
        <w:rPr>
          <w:szCs w:val="24"/>
        </w:rPr>
        <w:t xml:space="preserve">§ 4. Temporary assistance for respondents. a. Notwithstanding any other provision of law to the contrary, the commissioner of buildings shall establish a temporary program to provide assistance to respondents of judgments resulting from applicable violations resolved by payment by the respondent or other payor between June 1, 2006 and the effective date of the local law that established this section for a [six-year period] </w:t>
      </w:r>
      <w:r w:rsidRPr="00FC6475">
        <w:rPr>
          <w:szCs w:val="24"/>
          <w:u w:val="single"/>
        </w:rPr>
        <w:t>nine-year period ending on February 9, 2028</w:t>
      </w:r>
      <w:r w:rsidRPr="00FC6475">
        <w:rPr>
          <w:szCs w:val="24"/>
        </w:rPr>
        <w:t>. The assistance provided by such program shall include, but not be limited to:</w:t>
      </w:r>
    </w:p>
    <w:p w14:paraId="15E4F786" w14:textId="77777777" w:rsidR="00FC6475" w:rsidRPr="00FC6475" w:rsidRDefault="00FC6475" w:rsidP="00FC6475">
      <w:pPr>
        <w:spacing w:line="480" w:lineRule="auto"/>
        <w:ind w:firstLine="720"/>
        <w:rPr>
          <w:szCs w:val="24"/>
        </w:rPr>
      </w:pPr>
      <w:r w:rsidRPr="00FC6475">
        <w:rPr>
          <w:szCs w:val="24"/>
        </w:rPr>
        <w:t>1. Technical assistance in acquiring the permit or permits required to install an accessory sign;</w:t>
      </w:r>
    </w:p>
    <w:p w14:paraId="0BF88495" w14:textId="77777777" w:rsidR="00FC6475" w:rsidRPr="00FC6475" w:rsidRDefault="00FC6475" w:rsidP="00FC6475">
      <w:pPr>
        <w:spacing w:line="480" w:lineRule="auto"/>
        <w:ind w:firstLine="720"/>
        <w:rPr>
          <w:szCs w:val="24"/>
        </w:rPr>
      </w:pPr>
      <w:r w:rsidRPr="00FC6475">
        <w:rPr>
          <w:szCs w:val="24"/>
        </w:rPr>
        <w:t xml:space="preserve">2. Review of all permit applications relevant to the installation of an accessory sign including a preliminary review of compliance with paragraph (a) of section 32-653 or paragraph (a) of section 42-542 of the zoning resolution, or any provision amending, replacing or supplementing such sections of the zoning resolution within seven days of receiving such application; and </w:t>
      </w:r>
    </w:p>
    <w:p w14:paraId="580304BF" w14:textId="77777777" w:rsidR="00FC6475" w:rsidRPr="00FC6475" w:rsidRDefault="00FC6475" w:rsidP="00FC6475">
      <w:pPr>
        <w:spacing w:line="480" w:lineRule="auto"/>
        <w:ind w:firstLine="720"/>
        <w:rPr>
          <w:szCs w:val="24"/>
        </w:rPr>
      </w:pPr>
      <w:r w:rsidRPr="00FC6475">
        <w:rPr>
          <w:szCs w:val="24"/>
        </w:rPr>
        <w:t>3. A waiver of all fees in connection with permits relevant to the installation of an accessory sign incurred on or after the effective date of the local law that established this section.</w:t>
      </w:r>
    </w:p>
    <w:p w14:paraId="06D9EB35" w14:textId="77777777" w:rsidR="00FC6475" w:rsidRPr="00FC6475" w:rsidRDefault="00FC6475" w:rsidP="00FC6475">
      <w:pPr>
        <w:spacing w:line="480" w:lineRule="auto"/>
        <w:ind w:firstLine="720"/>
        <w:rPr>
          <w:szCs w:val="24"/>
        </w:rPr>
      </w:pPr>
      <w:r w:rsidRPr="00FC6475">
        <w:rPr>
          <w:szCs w:val="24"/>
        </w:rPr>
        <w:t>§ 3. Article 103 of chapter 1 of title 28 of the administrative code of the city of New York is amended by adding a new section 28-103.39 to read as follows:</w:t>
      </w:r>
    </w:p>
    <w:p w14:paraId="7120FF3B" w14:textId="77777777" w:rsidR="00FC6475" w:rsidRPr="00FC6475" w:rsidRDefault="00FC6475" w:rsidP="00FC6475">
      <w:pPr>
        <w:rPr>
          <w:szCs w:val="24"/>
          <w:u w:val="single"/>
        </w:rPr>
      </w:pPr>
      <w:r w:rsidRPr="00FC6475">
        <w:rPr>
          <w:b/>
          <w:bCs/>
          <w:szCs w:val="24"/>
          <w:u w:val="single"/>
        </w:rPr>
        <w:t>§ 28-103.39 Education and outreach regarding awnings and accessory signs.</w:t>
      </w:r>
      <w:r w:rsidRPr="00FC6475">
        <w:rPr>
          <w:szCs w:val="24"/>
          <w:u w:val="single"/>
        </w:rPr>
        <w:t xml:space="preserve"> No later than June 30, 2026, and annually thereafter, the department, in coordination with the department of small business services, shall conduct targeted outreach to educate small business owners and sign makers about local laws and regulations applicable to awnings and accessory signs and their installation, including the provisions of articles 105 and 415 of this title, the relevant provisions of the building code, and the provisions of the zoning resolution related to awnings and accessory signs. Such outreach shall include the distribution of written materials in the designated citywide languages, as defined in section 23-1101, copies of which shall also be available on the department’s website. Such written materials shall be updated whenever the relevant laws or regulations change. Such written materials and outreach shall be developed to guide business owners and sign makers in the compliant design, structure, and hanging of awnings and accessory signs and shall, at a minimum, include educational materials concerning:</w:t>
      </w:r>
    </w:p>
    <w:p w14:paraId="19EC765E" w14:textId="77777777" w:rsidR="00FC6475" w:rsidRPr="00FC6475" w:rsidRDefault="00FC6475" w:rsidP="00FC6475">
      <w:pPr>
        <w:ind w:left="360"/>
        <w:rPr>
          <w:szCs w:val="24"/>
          <w:u w:val="single"/>
        </w:rPr>
      </w:pPr>
      <w:r w:rsidRPr="00FC6475">
        <w:rPr>
          <w:szCs w:val="24"/>
          <w:u w:val="single"/>
        </w:rPr>
        <w:t>1. The requirements of the zoning resolution and the building code related to the surface area, projection, and text on signs and awnings, including examples of compliant signs and awnings;</w:t>
      </w:r>
    </w:p>
    <w:p w14:paraId="1F85B869" w14:textId="77777777" w:rsidR="00FC6475" w:rsidRPr="00FC6475" w:rsidRDefault="00FC6475" w:rsidP="00FC6475">
      <w:pPr>
        <w:ind w:left="360"/>
        <w:rPr>
          <w:szCs w:val="24"/>
          <w:u w:val="single"/>
        </w:rPr>
      </w:pPr>
    </w:p>
    <w:p w14:paraId="680059D3" w14:textId="77777777" w:rsidR="00FC6475" w:rsidRPr="00FC6475" w:rsidRDefault="00FC6475" w:rsidP="00FC6475">
      <w:pPr>
        <w:ind w:firstLine="360"/>
        <w:rPr>
          <w:szCs w:val="24"/>
          <w:u w:val="single"/>
        </w:rPr>
      </w:pPr>
      <w:r w:rsidRPr="00FC6475">
        <w:rPr>
          <w:szCs w:val="24"/>
          <w:u w:val="single"/>
        </w:rPr>
        <w:t xml:space="preserve">2. The circumstances in which a permit is required for the installation of an accessory sign; </w:t>
      </w:r>
    </w:p>
    <w:p w14:paraId="7082F101" w14:textId="77777777" w:rsidR="00FC6475" w:rsidRPr="00FC6475" w:rsidRDefault="00FC6475" w:rsidP="00FC6475">
      <w:pPr>
        <w:ind w:firstLine="360"/>
        <w:rPr>
          <w:szCs w:val="24"/>
          <w:u w:val="single"/>
        </w:rPr>
      </w:pPr>
    </w:p>
    <w:p w14:paraId="6A64AF24" w14:textId="77777777" w:rsidR="00FC6475" w:rsidRPr="00FC6475" w:rsidRDefault="00FC6475" w:rsidP="00FC6475">
      <w:pPr>
        <w:ind w:left="360"/>
        <w:rPr>
          <w:szCs w:val="24"/>
          <w:u w:val="single"/>
        </w:rPr>
      </w:pPr>
      <w:r w:rsidRPr="00FC6475">
        <w:rPr>
          <w:szCs w:val="24"/>
          <w:u w:val="single"/>
        </w:rPr>
        <w:t>3. The circumstances in which a special licensed sign hanger, or master licensed sign hanger is required to install a sign; and</w:t>
      </w:r>
    </w:p>
    <w:p w14:paraId="339FFAFB" w14:textId="77777777" w:rsidR="00FC6475" w:rsidRPr="00FC6475" w:rsidRDefault="00FC6475" w:rsidP="00FC6475">
      <w:pPr>
        <w:ind w:left="360"/>
        <w:rPr>
          <w:szCs w:val="24"/>
          <w:u w:val="single"/>
        </w:rPr>
      </w:pPr>
    </w:p>
    <w:p w14:paraId="1B6C2F2D" w14:textId="77777777" w:rsidR="00FC6475" w:rsidRPr="00FC6475" w:rsidRDefault="00FC6475" w:rsidP="00FC6475">
      <w:pPr>
        <w:ind w:firstLine="360"/>
        <w:rPr>
          <w:szCs w:val="24"/>
          <w:u w:val="single"/>
        </w:rPr>
      </w:pPr>
      <w:r w:rsidRPr="00FC6475">
        <w:rPr>
          <w:szCs w:val="24"/>
          <w:u w:val="single"/>
        </w:rPr>
        <w:t>4. The penalties for failing to comply with the above requirements.</w:t>
      </w:r>
    </w:p>
    <w:p w14:paraId="205A8979" w14:textId="77777777" w:rsidR="00FC6475" w:rsidRPr="00FC6475" w:rsidRDefault="00FC6475" w:rsidP="00FC6475">
      <w:pPr>
        <w:tabs>
          <w:tab w:val="left" w:pos="360"/>
        </w:tabs>
        <w:ind w:firstLine="720"/>
        <w:rPr>
          <w:szCs w:val="24"/>
        </w:rPr>
      </w:pPr>
    </w:p>
    <w:bookmarkEnd w:id="280"/>
    <w:p w14:paraId="4C589C4E" w14:textId="77777777" w:rsidR="00FC6475" w:rsidRPr="00FC6475" w:rsidRDefault="00FC6475" w:rsidP="00FC6475">
      <w:pPr>
        <w:spacing w:line="480" w:lineRule="auto"/>
        <w:ind w:firstLine="720"/>
        <w:rPr>
          <w:szCs w:val="24"/>
        </w:rPr>
      </w:pPr>
      <w:r w:rsidRPr="00FC6475">
        <w:rPr>
          <w:szCs w:val="24"/>
        </w:rPr>
        <w:t>§ 4. This local law takes effect immediately and is retroactive to and deemed to have been in effect as of January 1, 2025.</w:t>
      </w:r>
    </w:p>
    <w:p w14:paraId="7E7142C2" w14:textId="77777777" w:rsidR="00FC6475" w:rsidRPr="00FC6475" w:rsidRDefault="00FC6475" w:rsidP="00FC6475">
      <w:pPr>
        <w:spacing w:line="480" w:lineRule="auto"/>
        <w:rPr>
          <w:szCs w:val="24"/>
        </w:rPr>
        <w:sectPr w:rsidR="00FC6475" w:rsidRPr="00FC6475" w:rsidSect="00FC6475">
          <w:type w:val="continuous"/>
          <w:pgSz w:w="12240" w:h="15840"/>
          <w:pgMar w:top="1440" w:right="1440" w:bottom="1440" w:left="1440" w:header="720" w:footer="720" w:gutter="0"/>
          <w:lnNumType w:countBy="1"/>
          <w:cols w:space="720"/>
          <w:titlePg/>
          <w:docGrid w:linePitch="360"/>
        </w:sectPr>
      </w:pPr>
    </w:p>
    <w:p w14:paraId="5A1B184B" w14:textId="77777777" w:rsidR="00FC6475" w:rsidRPr="00FC6475" w:rsidRDefault="00FC6475" w:rsidP="00DB1AEE">
      <w:pPr>
        <w:suppressLineNumbers/>
        <w:rPr>
          <w:sz w:val="18"/>
          <w:szCs w:val="18"/>
        </w:rPr>
      </w:pPr>
    </w:p>
    <w:p w14:paraId="5C7FCCFC" w14:textId="77777777" w:rsidR="00FC6475" w:rsidRPr="00FC6475" w:rsidRDefault="00FC6475" w:rsidP="00DB1AEE">
      <w:pPr>
        <w:suppressLineNumbers/>
        <w:rPr>
          <w:sz w:val="18"/>
          <w:szCs w:val="18"/>
        </w:rPr>
      </w:pPr>
      <w:r w:rsidRPr="00FC6475">
        <w:rPr>
          <w:sz w:val="18"/>
          <w:szCs w:val="18"/>
        </w:rPr>
        <w:t>WAE</w:t>
      </w:r>
    </w:p>
    <w:p w14:paraId="2DE7D449" w14:textId="77777777" w:rsidR="00FC6475" w:rsidRPr="00FC6475" w:rsidRDefault="00FC6475" w:rsidP="00DB1AEE">
      <w:pPr>
        <w:suppressLineNumbers/>
        <w:rPr>
          <w:sz w:val="18"/>
          <w:szCs w:val="18"/>
        </w:rPr>
      </w:pPr>
      <w:r w:rsidRPr="00FC6475">
        <w:rPr>
          <w:sz w:val="18"/>
          <w:szCs w:val="18"/>
        </w:rPr>
        <w:t>LS #18882</w:t>
      </w:r>
    </w:p>
    <w:p w14:paraId="31C7CE36" w14:textId="77777777" w:rsidR="00FC6475" w:rsidRPr="00FC6475" w:rsidRDefault="00FC6475" w:rsidP="00DB1AEE">
      <w:pPr>
        <w:suppressLineNumbers/>
        <w:rPr>
          <w:sz w:val="18"/>
          <w:szCs w:val="18"/>
        </w:rPr>
      </w:pPr>
      <w:r w:rsidRPr="00FC6475">
        <w:rPr>
          <w:sz w:val="18"/>
          <w:szCs w:val="18"/>
        </w:rPr>
        <w:t>10/24/25 11:37 AM</w:t>
      </w:r>
    </w:p>
    <w:p w14:paraId="593EB15A" w14:textId="77777777" w:rsidR="00FC6475" w:rsidRPr="00FC6475" w:rsidRDefault="00FC6475" w:rsidP="00DB1AEE">
      <w:pPr>
        <w:suppressLineNumbers/>
        <w:rPr>
          <w:sz w:val="18"/>
          <w:szCs w:val="18"/>
        </w:rPr>
      </w:pPr>
    </w:p>
    <w:p w14:paraId="5526AB53" w14:textId="77777777" w:rsidR="00FC6475" w:rsidRPr="00FC6475" w:rsidRDefault="00FC6475" w:rsidP="00DB1AEE">
      <w:pPr>
        <w:suppressLineNumbers/>
        <w:rPr>
          <w:sz w:val="18"/>
          <w:szCs w:val="18"/>
        </w:rPr>
      </w:pPr>
    </w:p>
    <w:p w14:paraId="56A9DC48" w14:textId="77777777" w:rsidR="00333249" w:rsidRDefault="00333249" w:rsidP="008B1A57">
      <w:pPr>
        <w:suppressLineNumbers/>
        <w:shd w:val="clear" w:color="auto" w:fill="FFFFFF"/>
        <w:ind w:left="180" w:hanging="180"/>
        <w:jc w:val="center"/>
        <w:textAlignment w:val="baseline"/>
        <w:rPr>
          <w:color w:val="000000"/>
          <w:szCs w:val="24"/>
          <w:shd w:val="clear" w:color="auto" w:fill="FFFFFF"/>
        </w:rPr>
      </w:pPr>
    </w:p>
    <w:p w14:paraId="13B33CD2" w14:textId="77777777" w:rsidR="00E40817" w:rsidRDefault="00E40817" w:rsidP="008B1A57">
      <w:pPr>
        <w:suppressLineNumbers/>
        <w:shd w:val="clear" w:color="auto" w:fill="FFFFFF"/>
        <w:ind w:left="180" w:hanging="180"/>
        <w:jc w:val="center"/>
        <w:textAlignment w:val="baseline"/>
        <w:rPr>
          <w:color w:val="000000"/>
          <w:szCs w:val="24"/>
          <w:shd w:val="clear" w:color="auto" w:fill="FFFFFF"/>
        </w:rPr>
      </w:pPr>
    </w:p>
    <w:p w14:paraId="40EF9628" w14:textId="77777777" w:rsidR="00E40817" w:rsidRDefault="00E40817" w:rsidP="008B1A57">
      <w:pPr>
        <w:suppressLineNumbers/>
        <w:shd w:val="clear" w:color="auto" w:fill="FFFFFF"/>
        <w:ind w:left="180" w:hanging="180"/>
        <w:jc w:val="center"/>
        <w:textAlignment w:val="baseline"/>
        <w:rPr>
          <w:color w:val="000000"/>
          <w:szCs w:val="24"/>
          <w:shd w:val="clear" w:color="auto" w:fill="FFFFFF"/>
        </w:rPr>
      </w:pPr>
    </w:p>
    <w:p w14:paraId="33DF89F1" w14:textId="77777777" w:rsidR="00E40817" w:rsidRDefault="00E40817" w:rsidP="008B1A57">
      <w:pPr>
        <w:suppressLineNumbers/>
        <w:shd w:val="clear" w:color="auto" w:fill="FFFFFF"/>
        <w:ind w:left="180" w:hanging="180"/>
        <w:jc w:val="center"/>
        <w:textAlignment w:val="baseline"/>
        <w:rPr>
          <w:color w:val="000000"/>
          <w:szCs w:val="24"/>
          <w:shd w:val="clear" w:color="auto" w:fill="FFFFFF"/>
        </w:rPr>
      </w:pPr>
    </w:p>
    <w:p w14:paraId="58041AD1" w14:textId="77777777" w:rsidR="00E40817" w:rsidRDefault="00E40817" w:rsidP="008B1A57">
      <w:pPr>
        <w:suppressLineNumbers/>
        <w:shd w:val="clear" w:color="auto" w:fill="FFFFFF"/>
        <w:ind w:left="180" w:hanging="180"/>
        <w:jc w:val="center"/>
        <w:textAlignment w:val="baseline"/>
        <w:rPr>
          <w:color w:val="000000"/>
          <w:szCs w:val="24"/>
          <w:shd w:val="clear" w:color="auto" w:fill="FFFFFF"/>
        </w:rPr>
      </w:pPr>
    </w:p>
    <w:p w14:paraId="39A0ACFC" w14:textId="77777777" w:rsidR="00E40817" w:rsidRDefault="00E40817" w:rsidP="008B1A57">
      <w:pPr>
        <w:suppressLineNumbers/>
        <w:shd w:val="clear" w:color="auto" w:fill="FFFFFF"/>
        <w:ind w:left="180" w:hanging="180"/>
        <w:jc w:val="center"/>
        <w:textAlignment w:val="baseline"/>
        <w:rPr>
          <w:color w:val="000000"/>
          <w:szCs w:val="24"/>
          <w:shd w:val="clear" w:color="auto" w:fill="FFFFFF"/>
        </w:rPr>
      </w:pPr>
    </w:p>
    <w:p w14:paraId="43A4F78B" w14:textId="77777777" w:rsidR="00E40817" w:rsidRDefault="00E40817" w:rsidP="008B1A57">
      <w:pPr>
        <w:suppressLineNumbers/>
        <w:shd w:val="clear" w:color="auto" w:fill="FFFFFF"/>
        <w:ind w:left="180" w:hanging="180"/>
        <w:jc w:val="center"/>
        <w:textAlignment w:val="baseline"/>
        <w:rPr>
          <w:color w:val="000000"/>
          <w:szCs w:val="24"/>
          <w:shd w:val="clear" w:color="auto" w:fill="FFFFFF"/>
        </w:rPr>
      </w:pPr>
    </w:p>
    <w:p w14:paraId="02EBA07D" w14:textId="77777777" w:rsidR="00E40817" w:rsidRDefault="00E40817" w:rsidP="008B1A57">
      <w:pPr>
        <w:suppressLineNumbers/>
        <w:shd w:val="clear" w:color="auto" w:fill="FFFFFF"/>
        <w:ind w:left="180" w:hanging="180"/>
        <w:jc w:val="center"/>
        <w:textAlignment w:val="baseline"/>
        <w:rPr>
          <w:color w:val="000000"/>
          <w:szCs w:val="24"/>
          <w:shd w:val="clear" w:color="auto" w:fill="FFFFFF"/>
        </w:rPr>
      </w:pPr>
    </w:p>
    <w:p w14:paraId="5E93D036" w14:textId="77777777" w:rsidR="00E40817" w:rsidRDefault="00E40817" w:rsidP="008B1A57">
      <w:pPr>
        <w:suppressLineNumbers/>
        <w:shd w:val="clear" w:color="auto" w:fill="FFFFFF"/>
        <w:ind w:left="180" w:hanging="180"/>
        <w:jc w:val="center"/>
        <w:textAlignment w:val="baseline"/>
        <w:rPr>
          <w:color w:val="000000"/>
          <w:szCs w:val="24"/>
          <w:shd w:val="clear" w:color="auto" w:fill="FFFFFF"/>
        </w:rPr>
      </w:pPr>
    </w:p>
    <w:p w14:paraId="6B580621" w14:textId="77777777" w:rsidR="00E40817" w:rsidRDefault="00E40817" w:rsidP="008B1A57">
      <w:pPr>
        <w:suppressLineNumbers/>
        <w:shd w:val="clear" w:color="auto" w:fill="FFFFFF"/>
        <w:ind w:left="180" w:hanging="180"/>
        <w:jc w:val="center"/>
        <w:textAlignment w:val="baseline"/>
        <w:rPr>
          <w:color w:val="000000"/>
          <w:szCs w:val="24"/>
          <w:shd w:val="clear" w:color="auto" w:fill="FFFFFF"/>
        </w:rPr>
      </w:pPr>
    </w:p>
    <w:p w14:paraId="6E6A47F4" w14:textId="77777777" w:rsidR="00E40817" w:rsidRDefault="00E40817" w:rsidP="008B1A57">
      <w:pPr>
        <w:suppressLineNumbers/>
        <w:shd w:val="clear" w:color="auto" w:fill="FFFFFF"/>
        <w:ind w:left="180" w:hanging="180"/>
        <w:jc w:val="center"/>
        <w:textAlignment w:val="baseline"/>
        <w:rPr>
          <w:color w:val="000000"/>
          <w:szCs w:val="24"/>
          <w:shd w:val="clear" w:color="auto" w:fill="FFFFFF"/>
        </w:rPr>
      </w:pPr>
    </w:p>
    <w:p w14:paraId="5A4E0155" w14:textId="77777777" w:rsidR="00E40817" w:rsidRDefault="00E40817" w:rsidP="008B1A57">
      <w:pPr>
        <w:suppressLineNumbers/>
        <w:shd w:val="clear" w:color="auto" w:fill="FFFFFF"/>
        <w:ind w:left="180" w:hanging="180"/>
        <w:jc w:val="center"/>
        <w:textAlignment w:val="baseline"/>
        <w:rPr>
          <w:color w:val="000000"/>
          <w:szCs w:val="24"/>
          <w:shd w:val="clear" w:color="auto" w:fill="FFFFFF"/>
        </w:rPr>
      </w:pPr>
    </w:p>
    <w:p w14:paraId="4F75FD4D" w14:textId="77777777" w:rsidR="00E40817" w:rsidRDefault="00E40817" w:rsidP="008B1A57">
      <w:pPr>
        <w:suppressLineNumbers/>
        <w:shd w:val="clear" w:color="auto" w:fill="FFFFFF"/>
        <w:ind w:left="180" w:hanging="180"/>
        <w:jc w:val="center"/>
        <w:textAlignment w:val="baseline"/>
        <w:rPr>
          <w:color w:val="000000"/>
          <w:szCs w:val="24"/>
          <w:shd w:val="clear" w:color="auto" w:fill="FFFFFF"/>
        </w:rPr>
      </w:pPr>
    </w:p>
    <w:p w14:paraId="1D84A45D" w14:textId="77777777" w:rsidR="00E40817" w:rsidRDefault="00E40817" w:rsidP="008B1A57">
      <w:pPr>
        <w:suppressLineNumbers/>
        <w:shd w:val="clear" w:color="auto" w:fill="FFFFFF"/>
        <w:ind w:left="180" w:hanging="180"/>
        <w:jc w:val="center"/>
        <w:textAlignment w:val="baseline"/>
        <w:rPr>
          <w:color w:val="000000"/>
          <w:szCs w:val="24"/>
          <w:shd w:val="clear" w:color="auto" w:fill="FFFFFF"/>
        </w:rPr>
      </w:pPr>
    </w:p>
    <w:p w14:paraId="3D28671A" w14:textId="77777777" w:rsidR="00E40817" w:rsidRDefault="00E40817" w:rsidP="008B1A57">
      <w:pPr>
        <w:suppressLineNumbers/>
        <w:shd w:val="clear" w:color="auto" w:fill="FFFFFF"/>
        <w:ind w:left="180" w:hanging="180"/>
        <w:jc w:val="center"/>
        <w:textAlignment w:val="baseline"/>
        <w:rPr>
          <w:color w:val="000000"/>
          <w:szCs w:val="24"/>
          <w:shd w:val="clear" w:color="auto" w:fill="FFFFFF"/>
        </w:rPr>
      </w:pPr>
    </w:p>
    <w:p w14:paraId="73B74565" w14:textId="77777777" w:rsidR="00E40817" w:rsidRDefault="00E40817" w:rsidP="008B1A57">
      <w:pPr>
        <w:suppressLineNumbers/>
        <w:shd w:val="clear" w:color="auto" w:fill="FFFFFF"/>
        <w:ind w:left="180" w:hanging="180"/>
        <w:jc w:val="center"/>
        <w:textAlignment w:val="baseline"/>
        <w:rPr>
          <w:color w:val="000000"/>
          <w:szCs w:val="24"/>
          <w:shd w:val="clear" w:color="auto" w:fill="FFFFFF"/>
        </w:rPr>
      </w:pPr>
    </w:p>
    <w:p w14:paraId="16381277" w14:textId="77777777" w:rsidR="00E40817" w:rsidRDefault="00E40817" w:rsidP="008B1A57">
      <w:pPr>
        <w:suppressLineNumbers/>
        <w:shd w:val="clear" w:color="auto" w:fill="FFFFFF"/>
        <w:ind w:left="180" w:hanging="180"/>
        <w:jc w:val="center"/>
        <w:textAlignment w:val="baseline"/>
        <w:rPr>
          <w:color w:val="000000"/>
          <w:szCs w:val="24"/>
          <w:shd w:val="clear" w:color="auto" w:fill="FFFFFF"/>
        </w:rPr>
      </w:pPr>
    </w:p>
    <w:p w14:paraId="521CB2A5" w14:textId="77777777" w:rsidR="00E40817" w:rsidRDefault="00E40817" w:rsidP="008B1A57">
      <w:pPr>
        <w:suppressLineNumbers/>
        <w:shd w:val="clear" w:color="auto" w:fill="FFFFFF"/>
        <w:ind w:left="180" w:hanging="180"/>
        <w:jc w:val="center"/>
        <w:textAlignment w:val="baseline"/>
        <w:rPr>
          <w:color w:val="000000"/>
          <w:szCs w:val="24"/>
          <w:shd w:val="clear" w:color="auto" w:fill="FFFFFF"/>
        </w:rPr>
      </w:pPr>
    </w:p>
    <w:p w14:paraId="08BE4104" w14:textId="77777777" w:rsidR="00E40817" w:rsidRDefault="00E40817" w:rsidP="008B1A57">
      <w:pPr>
        <w:suppressLineNumbers/>
        <w:shd w:val="clear" w:color="auto" w:fill="FFFFFF"/>
        <w:ind w:left="180" w:hanging="180"/>
        <w:jc w:val="center"/>
        <w:textAlignment w:val="baseline"/>
        <w:rPr>
          <w:color w:val="000000"/>
          <w:szCs w:val="24"/>
          <w:shd w:val="clear" w:color="auto" w:fill="FFFFFF"/>
        </w:rPr>
      </w:pPr>
    </w:p>
    <w:p w14:paraId="5A9677C6" w14:textId="77777777" w:rsidR="00E40817" w:rsidRDefault="00E40817" w:rsidP="008B1A57">
      <w:pPr>
        <w:suppressLineNumbers/>
        <w:shd w:val="clear" w:color="auto" w:fill="FFFFFF"/>
        <w:ind w:left="180" w:hanging="180"/>
        <w:jc w:val="center"/>
        <w:textAlignment w:val="baseline"/>
        <w:rPr>
          <w:color w:val="000000"/>
          <w:szCs w:val="24"/>
          <w:shd w:val="clear" w:color="auto" w:fill="FFFFFF"/>
        </w:rPr>
      </w:pPr>
    </w:p>
    <w:p w14:paraId="5047387E" w14:textId="77777777" w:rsidR="00E40817" w:rsidRDefault="00E40817" w:rsidP="008B1A57">
      <w:pPr>
        <w:suppressLineNumbers/>
        <w:shd w:val="clear" w:color="auto" w:fill="FFFFFF"/>
        <w:ind w:left="180" w:hanging="180"/>
        <w:jc w:val="center"/>
        <w:textAlignment w:val="baseline"/>
        <w:rPr>
          <w:color w:val="000000"/>
          <w:szCs w:val="24"/>
          <w:shd w:val="clear" w:color="auto" w:fill="FFFFFF"/>
        </w:rPr>
      </w:pPr>
    </w:p>
    <w:p w14:paraId="68612A7B" w14:textId="77777777" w:rsidR="00E40817" w:rsidRDefault="00E40817" w:rsidP="008B1A57">
      <w:pPr>
        <w:suppressLineNumbers/>
        <w:shd w:val="clear" w:color="auto" w:fill="FFFFFF"/>
        <w:ind w:left="180" w:hanging="180"/>
        <w:jc w:val="center"/>
        <w:textAlignment w:val="baseline"/>
        <w:rPr>
          <w:color w:val="000000"/>
          <w:szCs w:val="24"/>
          <w:shd w:val="clear" w:color="auto" w:fill="FFFFFF"/>
        </w:rPr>
      </w:pPr>
    </w:p>
    <w:p w14:paraId="39C458DF" w14:textId="77777777" w:rsidR="00E40817" w:rsidRDefault="00E40817" w:rsidP="008B1A57">
      <w:pPr>
        <w:suppressLineNumbers/>
        <w:shd w:val="clear" w:color="auto" w:fill="FFFFFF"/>
        <w:ind w:left="180" w:hanging="180"/>
        <w:jc w:val="center"/>
        <w:textAlignment w:val="baseline"/>
        <w:rPr>
          <w:color w:val="000000"/>
          <w:szCs w:val="24"/>
          <w:shd w:val="clear" w:color="auto" w:fill="FFFFFF"/>
        </w:rPr>
      </w:pPr>
    </w:p>
    <w:p w14:paraId="729AB9B3" w14:textId="77777777" w:rsidR="00E40817" w:rsidRDefault="00E40817" w:rsidP="008B1A57">
      <w:pPr>
        <w:suppressLineNumbers/>
        <w:shd w:val="clear" w:color="auto" w:fill="FFFFFF"/>
        <w:ind w:left="180" w:hanging="180"/>
        <w:jc w:val="center"/>
        <w:textAlignment w:val="baseline"/>
        <w:rPr>
          <w:color w:val="000000"/>
          <w:szCs w:val="24"/>
          <w:shd w:val="clear" w:color="auto" w:fill="FFFFFF"/>
        </w:rPr>
      </w:pPr>
    </w:p>
    <w:p w14:paraId="7FC127DC" w14:textId="77777777" w:rsidR="00E40817" w:rsidRDefault="00E40817" w:rsidP="008B1A57">
      <w:pPr>
        <w:suppressLineNumbers/>
        <w:shd w:val="clear" w:color="auto" w:fill="FFFFFF"/>
        <w:ind w:left="180" w:hanging="180"/>
        <w:jc w:val="center"/>
        <w:textAlignment w:val="baseline"/>
        <w:rPr>
          <w:color w:val="000000"/>
          <w:szCs w:val="24"/>
          <w:shd w:val="clear" w:color="auto" w:fill="FFFFFF"/>
        </w:rPr>
      </w:pPr>
    </w:p>
    <w:p w14:paraId="3C454185" w14:textId="77777777" w:rsidR="00E40817" w:rsidRDefault="00E40817" w:rsidP="008B1A57">
      <w:pPr>
        <w:suppressLineNumbers/>
        <w:shd w:val="clear" w:color="auto" w:fill="FFFFFF"/>
        <w:ind w:left="180" w:hanging="180"/>
        <w:jc w:val="center"/>
        <w:textAlignment w:val="baseline"/>
        <w:rPr>
          <w:color w:val="000000"/>
          <w:szCs w:val="24"/>
          <w:shd w:val="clear" w:color="auto" w:fill="FFFFFF"/>
        </w:rPr>
      </w:pPr>
    </w:p>
    <w:p w14:paraId="719D612F" w14:textId="77777777" w:rsidR="00E40817" w:rsidRDefault="00E40817" w:rsidP="008B1A57">
      <w:pPr>
        <w:suppressLineNumbers/>
        <w:shd w:val="clear" w:color="auto" w:fill="FFFFFF"/>
        <w:ind w:left="180" w:hanging="180"/>
        <w:jc w:val="center"/>
        <w:textAlignment w:val="baseline"/>
        <w:rPr>
          <w:color w:val="000000"/>
          <w:szCs w:val="24"/>
          <w:shd w:val="clear" w:color="auto" w:fill="FFFFFF"/>
        </w:rPr>
      </w:pPr>
    </w:p>
    <w:p w14:paraId="7987FDA9" w14:textId="77777777" w:rsidR="00E40817" w:rsidRDefault="00E40817" w:rsidP="008B1A57">
      <w:pPr>
        <w:suppressLineNumbers/>
        <w:shd w:val="clear" w:color="auto" w:fill="FFFFFF"/>
        <w:ind w:left="180" w:hanging="180"/>
        <w:jc w:val="center"/>
        <w:textAlignment w:val="baseline"/>
        <w:rPr>
          <w:color w:val="000000"/>
          <w:szCs w:val="24"/>
          <w:shd w:val="clear" w:color="auto" w:fill="FFFFFF"/>
        </w:rPr>
      </w:pPr>
    </w:p>
    <w:p w14:paraId="19B563C6" w14:textId="77777777" w:rsidR="00E40817" w:rsidRDefault="00E40817" w:rsidP="008B1A57">
      <w:pPr>
        <w:suppressLineNumbers/>
        <w:shd w:val="clear" w:color="auto" w:fill="FFFFFF"/>
        <w:ind w:left="180" w:hanging="180"/>
        <w:jc w:val="center"/>
        <w:textAlignment w:val="baseline"/>
        <w:rPr>
          <w:color w:val="000000"/>
          <w:szCs w:val="24"/>
          <w:shd w:val="clear" w:color="auto" w:fill="FFFFFF"/>
        </w:rPr>
      </w:pPr>
    </w:p>
    <w:p w14:paraId="59CE75E5" w14:textId="77777777" w:rsidR="00E40817" w:rsidRDefault="00E40817" w:rsidP="008B1A57">
      <w:pPr>
        <w:suppressLineNumbers/>
        <w:shd w:val="clear" w:color="auto" w:fill="FFFFFF"/>
        <w:ind w:left="180" w:hanging="180"/>
        <w:jc w:val="center"/>
        <w:textAlignment w:val="baseline"/>
        <w:rPr>
          <w:color w:val="000000"/>
          <w:szCs w:val="24"/>
          <w:shd w:val="clear" w:color="auto" w:fill="FFFFFF"/>
        </w:rPr>
      </w:pPr>
    </w:p>
    <w:p w14:paraId="3EA6CDDB" w14:textId="77777777" w:rsidR="00E40817" w:rsidRDefault="00E40817" w:rsidP="008B1A57">
      <w:pPr>
        <w:suppressLineNumbers/>
        <w:shd w:val="clear" w:color="auto" w:fill="FFFFFF"/>
        <w:ind w:left="180" w:hanging="180"/>
        <w:jc w:val="center"/>
        <w:textAlignment w:val="baseline"/>
        <w:rPr>
          <w:color w:val="000000"/>
          <w:szCs w:val="24"/>
          <w:shd w:val="clear" w:color="auto" w:fill="FFFFFF"/>
        </w:rPr>
      </w:pPr>
    </w:p>
    <w:p w14:paraId="0D5781AA" w14:textId="77777777" w:rsidR="00E40817" w:rsidRDefault="00E40817" w:rsidP="008B1A57">
      <w:pPr>
        <w:suppressLineNumbers/>
        <w:shd w:val="clear" w:color="auto" w:fill="FFFFFF"/>
        <w:ind w:left="180" w:hanging="180"/>
        <w:jc w:val="center"/>
        <w:textAlignment w:val="baseline"/>
        <w:rPr>
          <w:color w:val="000000"/>
          <w:szCs w:val="24"/>
          <w:shd w:val="clear" w:color="auto" w:fill="FFFFFF"/>
        </w:rPr>
      </w:pPr>
    </w:p>
    <w:p w14:paraId="73ED1CAD" w14:textId="77777777" w:rsidR="00E40817" w:rsidRDefault="00E40817" w:rsidP="008B1A57">
      <w:pPr>
        <w:suppressLineNumbers/>
        <w:shd w:val="clear" w:color="auto" w:fill="FFFFFF"/>
        <w:ind w:left="180" w:hanging="180"/>
        <w:jc w:val="center"/>
        <w:textAlignment w:val="baseline"/>
        <w:rPr>
          <w:color w:val="000000"/>
          <w:szCs w:val="24"/>
          <w:shd w:val="clear" w:color="auto" w:fill="FFFFFF"/>
        </w:rPr>
      </w:pPr>
    </w:p>
    <w:p w14:paraId="246A17FD" w14:textId="77777777" w:rsidR="00E40817" w:rsidRDefault="00E40817" w:rsidP="008B1A57">
      <w:pPr>
        <w:suppressLineNumbers/>
        <w:shd w:val="clear" w:color="auto" w:fill="FFFFFF"/>
        <w:ind w:left="180" w:hanging="180"/>
        <w:jc w:val="center"/>
        <w:textAlignment w:val="baseline"/>
        <w:rPr>
          <w:color w:val="000000"/>
          <w:szCs w:val="24"/>
          <w:shd w:val="clear" w:color="auto" w:fill="FFFFFF"/>
        </w:rPr>
      </w:pPr>
    </w:p>
    <w:p w14:paraId="0C0DC7FC" w14:textId="77777777" w:rsidR="00E40817" w:rsidRDefault="00E40817" w:rsidP="008B1A57">
      <w:pPr>
        <w:suppressLineNumbers/>
        <w:shd w:val="clear" w:color="auto" w:fill="FFFFFF"/>
        <w:ind w:left="180" w:hanging="180"/>
        <w:jc w:val="center"/>
        <w:textAlignment w:val="baseline"/>
        <w:rPr>
          <w:color w:val="000000"/>
          <w:szCs w:val="24"/>
          <w:shd w:val="clear" w:color="auto" w:fill="FFFFFF"/>
        </w:rPr>
      </w:pPr>
    </w:p>
    <w:p w14:paraId="389A9464" w14:textId="77777777" w:rsidR="00E40817" w:rsidRDefault="00E40817" w:rsidP="008B1A57">
      <w:pPr>
        <w:suppressLineNumbers/>
        <w:shd w:val="clear" w:color="auto" w:fill="FFFFFF"/>
        <w:ind w:left="180" w:hanging="180"/>
        <w:jc w:val="center"/>
        <w:textAlignment w:val="baseline"/>
        <w:rPr>
          <w:color w:val="000000"/>
          <w:szCs w:val="24"/>
          <w:shd w:val="clear" w:color="auto" w:fill="FFFFFF"/>
        </w:rPr>
      </w:pPr>
    </w:p>
    <w:p w14:paraId="020EC487" w14:textId="77777777" w:rsidR="00E40817" w:rsidRDefault="00E40817" w:rsidP="008B1A57">
      <w:pPr>
        <w:suppressLineNumbers/>
        <w:shd w:val="clear" w:color="auto" w:fill="FFFFFF"/>
        <w:ind w:left="180" w:hanging="180"/>
        <w:jc w:val="center"/>
        <w:textAlignment w:val="baseline"/>
        <w:rPr>
          <w:color w:val="000000"/>
          <w:szCs w:val="24"/>
          <w:shd w:val="clear" w:color="auto" w:fill="FFFFFF"/>
        </w:rPr>
      </w:pPr>
    </w:p>
    <w:p w14:paraId="69EC7F3D" w14:textId="77777777" w:rsidR="00E40817" w:rsidRDefault="00E40817" w:rsidP="008B1A57">
      <w:pPr>
        <w:suppressLineNumbers/>
        <w:shd w:val="clear" w:color="auto" w:fill="FFFFFF"/>
        <w:ind w:left="180" w:hanging="180"/>
        <w:jc w:val="center"/>
        <w:textAlignment w:val="baseline"/>
        <w:rPr>
          <w:color w:val="000000"/>
          <w:szCs w:val="24"/>
          <w:shd w:val="clear" w:color="auto" w:fill="FFFFFF"/>
        </w:rPr>
      </w:pPr>
    </w:p>
    <w:p w14:paraId="3BF314FF" w14:textId="77777777" w:rsidR="00E40817" w:rsidRDefault="00E40817" w:rsidP="008B1A57">
      <w:pPr>
        <w:suppressLineNumbers/>
        <w:shd w:val="clear" w:color="auto" w:fill="FFFFFF"/>
        <w:ind w:left="180" w:hanging="180"/>
        <w:jc w:val="center"/>
        <w:textAlignment w:val="baseline"/>
        <w:rPr>
          <w:color w:val="000000"/>
          <w:szCs w:val="24"/>
          <w:shd w:val="clear" w:color="auto" w:fill="FFFFFF"/>
        </w:rPr>
      </w:pPr>
    </w:p>
    <w:p w14:paraId="713F9DD0" w14:textId="77777777" w:rsidR="00E40817" w:rsidRDefault="00E40817" w:rsidP="008B1A57">
      <w:pPr>
        <w:suppressLineNumbers/>
        <w:shd w:val="clear" w:color="auto" w:fill="FFFFFF"/>
        <w:ind w:left="180" w:hanging="180"/>
        <w:jc w:val="center"/>
        <w:textAlignment w:val="baseline"/>
        <w:rPr>
          <w:color w:val="000000"/>
          <w:szCs w:val="24"/>
          <w:shd w:val="clear" w:color="auto" w:fill="FFFFFF"/>
        </w:rPr>
      </w:pPr>
    </w:p>
    <w:p w14:paraId="6A99DA9F" w14:textId="77777777" w:rsidR="00E40817" w:rsidRDefault="00E40817" w:rsidP="008B1A57">
      <w:pPr>
        <w:suppressLineNumbers/>
        <w:shd w:val="clear" w:color="auto" w:fill="FFFFFF"/>
        <w:ind w:left="180" w:hanging="180"/>
        <w:jc w:val="center"/>
        <w:textAlignment w:val="baseline"/>
        <w:rPr>
          <w:color w:val="000000"/>
          <w:szCs w:val="24"/>
          <w:shd w:val="clear" w:color="auto" w:fill="FFFFFF"/>
        </w:rPr>
      </w:pPr>
    </w:p>
    <w:p w14:paraId="0FDB22C2" w14:textId="77777777" w:rsidR="00E40817" w:rsidRDefault="00E40817" w:rsidP="008B1A57">
      <w:pPr>
        <w:suppressLineNumbers/>
        <w:shd w:val="clear" w:color="auto" w:fill="FFFFFF"/>
        <w:ind w:left="180" w:hanging="180"/>
        <w:jc w:val="center"/>
        <w:textAlignment w:val="baseline"/>
        <w:rPr>
          <w:color w:val="000000"/>
          <w:szCs w:val="24"/>
          <w:shd w:val="clear" w:color="auto" w:fill="FFFFFF"/>
        </w:rPr>
      </w:pPr>
    </w:p>
    <w:p w14:paraId="5E4AE2A3" w14:textId="77777777" w:rsidR="00E40817" w:rsidRDefault="00E40817" w:rsidP="008B1A57">
      <w:pPr>
        <w:suppressLineNumbers/>
        <w:shd w:val="clear" w:color="auto" w:fill="FFFFFF"/>
        <w:ind w:left="180" w:hanging="180"/>
        <w:jc w:val="center"/>
        <w:textAlignment w:val="baseline"/>
        <w:rPr>
          <w:color w:val="000000"/>
          <w:szCs w:val="24"/>
          <w:shd w:val="clear" w:color="auto" w:fill="FFFFFF"/>
        </w:rPr>
      </w:pPr>
    </w:p>
    <w:p w14:paraId="111B6649" w14:textId="77777777" w:rsidR="00E40817" w:rsidRDefault="00E40817" w:rsidP="008B1A57">
      <w:pPr>
        <w:suppressLineNumbers/>
        <w:shd w:val="clear" w:color="auto" w:fill="FFFFFF"/>
        <w:ind w:left="180" w:hanging="180"/>
        <w:jc w:val="center"/>
        <w:textAlignment w:val="baseline"/>
        <w:rPr>
          <w:color w:val="000000"/>
          <w:szCs w:val="24"/>
          <w:shd w:val="clear" w:color="auto" w:fill="FFFFFF"/>
        </w:rPr>
      </w:pPr>
    </w:p>
    <w:p w14:paraId="1C62CC99" w14:textId="77777777" w:rsidR="00FC6D06" w:rsidRDefault="00FC6D06" w:rsidP="00DB1AEE">
      <w:pPr>
        <w:suppressLineNumbers/>
        <w:suppressAutoHyphens/>
        <w:jc w:val="center"/>
        <w:outlineLvl w:val="2"/>
      </w:pPr>
    </w:p>
    <w:p w14:paraId="258023FC" w14:textId="77777777" w:rsidR="00FC6D06" w:rsidRDefault="00FC6D06" w:rsidP="00DB1AEE">
      <w:pPr>
        <w:suppressLineNumbers/>
        <w:suppressAutoHyphens/>
        <w:jc w:val="center"/>
        <w:outlineLvl w:val="2"/>
      </w:pPr>
    </w:p>
    <w:p w14:paraId="23908191" w14:textId="77777777" w:rsidR="00FC6D06" w:rsidRDefault="00FC6D06" w:rsidP="00DB1AEE">
      <w:pPr>
        <w:suppressLineNumbers/>
        <w:suppressAutoHyphens/>
        <w:jc w:val="center"/>
        <w:outlineLvl w:val="2"/>
      </w:pPr>
    </w:p>
    <w:p w14:paraId="721B94FA" w14:textId="77777777" w:rsidR="00FC6D06" w:rsidRDefault="00FC6D06" w:rsidP="00DB1AEE">
      <w:pPr>
        <w:suppressLineNumbers/>
        <w:suppressAutoHyphens/>
        <w:jc w:val="center"/>
        <w:outlineLvl w:val="2"/>
      </w:pPr>
    </w:p>
    <w:p w14:paraId="5979AC9E" w14:textId="77777777" w:rsidR="00FC6D06" w:rsidRDefault="00FC6D06" w:rsidP="00DB1AEE">
      <w:pPr>
        <w:suppressLineNumbers/>
        <w:suppressAutoHyphens/>
        <w:jc w:val="center"/>
        <w:outlineLvl w:val="2"/>
      </w:pPr>
    </w:p>
    <w:p w14:paraId="722112CE" w14:textId="77777777" w:rsidR="00FC6D06" w:rsidRDefault="00FC6D06" w:rsidP="00DB1AEE">
      <w:pPr>
        <w:suppressLineNumbers/>
        <w:suppressAutoHyphens/>
        <w:jc w:val="center"/>
        <w:outlineLvl w:val="2"/>
      </w:pPr>
    </w:p>
    <w:p w14:paraId="7B52B06B" w14:textId="77777777" w:rsidR="00FC6D06" w:rsidRDefault="00FC6D06" w:rsidP="00DB1AEE">
      <w:pPr>
        <w:suppressLineNumbers/>
        <w:suppressAutoHyphens/>
        <w:jc w:val="center"/>
        <w:outlineLvl w:val="2"/>
      </w:pPr>
    </w:p>
    <w:p w14:paraId="70C8E283" w14:textId="77777777" w:rsidR="00FC6D06" w:rsidRDefault="00FC6D06" w:rsidP="00DB1AEE">
      <w:pPr>
        <w:suppressLineNumbers/>
        <w:suppressAutoHyphens/>
        <w:jc w:val="center"/>
        <w:outlineLvl w:val="2"/>
      </w:pPr>
    </w:p>
    <w:p w14:paraId="2AD75D23" w14:textId="77777777" w:rsidR="00FC6D06" w:rsidRDefault="00FC6D06" w:rsidP="00DB1AEE">
      <w:pPr>
        <w:suppressLineNumbers/>
        <w:suppressAutoHyphens/>
        <w:jc w:val="center"/>
        <w:outlineLvl w:val="2"/>
      </w:pPr>
    </w:p>
    <w:p w14:paraId="3B4E535B" w14:textId="77777777" w:rsidR="00FC6D06" w:rsidRDefault="00FC6D06" w:rsidP="00DB1AEE">
      <w:pPr>
        <w:suppressLineNumbers/>
        <w:suppressAutoHyphens/>
        <w:jc w:val="center"/>
        <w:outlineLvl w:val="2"/>
      </w:pPr>
    </w:p>
    <w:p w14:paraId="2F9E2707" w14:textId="77777777" w:rsidR="00FC6D06" w:rsidRDefault="00FC6D06" w:rsidP="00DB1AEE">
      <w:pPr>
        <w:suppressLineNumbers/>
        <w:suppressAutoHyphens/>
        <w:jc w:val="center"/>
        <w:outlineLvl w:val="2"/>
      </w:pPr>
    </w:p>
    <w:p w14:paraId="39C02243" w14:textId="77777777" w:rsidR="00FC6D06" w:rsidRDefault="00FC6D06" w:rsidP="00DB1AEE">
      <w:pPr>
        <w:suppressLineNumbers/>
        <w:suppressAutoHyphens/>
        <w:jc w:val="center"/>
        <w:outlineLvl w:val="2"/>
      </w:pPr>
    </w:p>
    <w:p w14:paraId="712BF6B8" w14:textId="77777777" w:rsidR="00FC6D06" w:rsidRDefault="00FC6D06" w:rsidP="00DB1AEE">
      <w:pPr>
        <w:suppressLineNumbers/>
        <w:suppressAutoHyphens/>
        <w:jc w:val="center"/>
        <w:outlineLvl w:val="2"/>
      </w:pPr>
    </w:p>
    <w:p w14:paraId="2D1F0992" w14:textId="77777777" w:rsidR="00FC6D06" w:rsidRDefault="00FC6D06" w:rsidP="00DB1AEE">
      <w:pPr>
        <w:suppressLineNumbers/>
        <w:suppressAutoHyphens/>
        <w:jc w:val="center"/>
        <w:outlineLvl w:val="2"/>
      </w:pPr>
    </w:p>
    <w:p w14:paraId="44B58748" w14:textId="77777777" w:rsidR="00FC6D06" w:rsidRDefault="00FC6D06" w:rsidP="00DB1AEE">
      <w:pPr>
        <w:suppressLineNumbers/>
        <w:suppressAutoHyphens/>
        <w:jc w:val="center"/>
        <w:outlineLvl w:val="2"/>
      </w:pPr>
    </w:p>
    <w:p w14:paraId="256F5B56" w14:textId="77777777" w:rsidR="00FC6D06" w:rsidRDefault="00FC6D06" w:rsidP="00DB1AEE">
      <w:pPr>
        <w:suppressLineNumbers/>
        <w:suppressAutoHyphens/>
        <w:jc w:val="center"/>
        <w:outlineLvl w:val="2"/>
      </w:pPr>
    </w:p>
    <w:p w14:paraId="687D39D6" w14:textId="0FA16EF7" w:rsidR="00FC6D06" w:rsidRDefault="00FC6D06" w:rsidP="00DB1AEE">
      <w:pPr>
        <w:suppressLineNumbers/>
        <w:suppressAutoHyphens/>
        <w:jc w:val="center"/>
        <w:outlineLvl w:val="2"/>
      </w:pPr>
      <w:r>
        <w:t>[THIS PAGE INTENTIONALLY BLANK]</w:t>
      </w:r>
    </w:p>
    <w:p w14:paraId="673E1934" w14:textId="77777777" w:rsidR="00FC6D06" w:rsidRDefault="00FC6D06" w:rsidP="00DB1AEE">
      <w:pPr>
        <w:suppressLineNumbers/>
        <w:suppressAutoHyphens/>
        <w:jc w:val="center"/>
        <w:outlineLvl w:val="2"/>
      </w:pPr>
    </w:p>
    <w:p w14:paraId="78F73707" w14:textId="77777777" w:rsidR="00FC6D06" w:rsidRDefault="00FC6D06" w:rsidP="00DB1AEE">
      <w:pPr>
        <w:suppressLineNumbers/>
        <w:suppressAutoHyphens/>
        <w:jc w:val="center"/>
        <w:outlineLvl w:val="2"/>
      </w:pPr>
    </w:p>
    <w:p w14:paraId="2C12324D" w14:textId="77777777" w:rsidR="00FC6D06" w:rsidRDefault="00FC6D06" w:rsidP="00DB1AEE">
      <w:pPr>
        <w:suppressLineNumbers/>
        <w:suppressAutoHyphens/>
        <w:jc w:val="center"/>
        <w:outlineLvl w:val="2"/>
      </w:pPr>
    </w:p>
    <w:p w14:paraId="6C673933" w14:textId="77777777" w:rsidR="00FC6D06" w:rsidRDefault="00FC6D06" w:rsidP="00DB1AEE">
      <w:pPr>
        <w:suppressLineNumbers/>
        <w:suppressAutoHyphens/>
        <w:jc w:val="center"/>
        <w:outlineLvl w:val="2"/>
      </w:pPr>
    </w:p>
    <w:p w14:paraId="5AED6F02" w14:textId="77777777" w:rsidR="00FC6D06" w:rsidRDefault="00FC6D06" w:rsidP="00DB1AEE">
      <w:pPr>
        <w:suppressLineNumbers/>
        <w:suppressAutoHyphens/>
        <w:jc w:val="center"/>
        <w:outlineLvl w:val="2"/>
      </w:pPr>
    </w:p>
    <w:p w14:paraId="6E18A15E" w14:textId="77777777" w:rsidR="00FC6D06" w:rsidRDefault="00FC6D06" w:rsidP="00DB1AEE">
      <w:pPr>
        <w:suppressLineNumbers/>
        <w:suppressAutoHyphens/>
        <w:jc w:val="center"/>
        <w:outlineLvl w:val="2"/>
      </w:pPr>
    </w:p>
    <w:p w14:paraId="0D3CC165" w14:textId="77777777" w:rsidR="00FC6D06" w:rsidRDefault="00FC6D06" w:rsidP="00DB1AEE">
      <w:pPr>
        <w:suppressLineNumbers/>
        <w:suppressAutoHyphens/>
        <w:jc w:val="center"/>
        <w:outlineLvl w:val="2"/>
      </w:pPr>
    </w:p>
    <w:p w14:paraId="089658CF" w14:textId="77777777" w:rsidR="00FC6D06" w:rsidRDefault="00FC6D06" w:rsidP="00DB1AEE">
      <w:pPr>
        <w:suppressLineNumbers/>
        <w:suppressAutoHyphens/>
        <w:jc w:val="center"/>
        <w:outlineLvl w:val="2"/>
      </w:pPr>
    </w:p>
    <w:p w14:paraId="5D4D23A8" w14:textId="77777777" w:rsidR="00FC6D06" w:rsidRDefault="00FC6D06" w:rsidP="00DB1AEE">
      <w:pPr>
        <w:suppressLineNumbers/>
        <w:suppressAutoHyphens/>
        <w:jc w:val="center"/>
        <w:outlineLvl w:val="2"/>
      </w:pPr>
    </w:p>
    <w:p w14:paraId="776F9CCF" w14:textId="77777777" w:rsidR="00FC6D06" w:rsidRDefault="00FC6D06" w:rsidP="00DB1AEE">
      <w:pPr>
        <w:suppressLineNumbers/>
        <w:suppressAutoHyphens/>
        <w:jc w:val="center"/>
        <w:outlineLvl w:val="2"/>
      </w:pPr>
    </w:p>
    <w:p w14:paraId="1A685B63" w14:textId="77777777" w:rsidR="00FC6D06" w:rsidRDefault="00FC6D06" w:rsidP="00DB1AEE">
      <w:pPr>
        <w:suppressLineNumbers/>
        <w:suppressAutoHyphens/>
        <w:jc w:val="center"/>
        <w:outlineLvl w:val="2"/>
      </w:pPr>
    </w:p>
    <w:p w14:paraId="55735290" w14:textId="77777777" w:rsidR="00FC6D06" w:rsidRDefault="00FC6D06" w:rsidP="00DB1AEE">
      <w:pPr>
        <w:suppressLineNumbers/>
        <w:suppressAutoHyphens/>
        <w:jc w:val="center"/>
        <w:outlineLvl w:val="2"/>
      </w:pPr>
    </w:p>
    <w:p w14:paraId="7B8DE6E1" w14:textId="77777777" w:rsidR="00FC6D06" w:rsidRDefault="00FC6D06" w:rsidP="00DB1AEE">
      <w:pPr>
        <w:suppressLineNumbers/>
        <w:suppressAutoHyphens/>
        <w:jc w:val="center"/>
        <w:outlineLvl w:val="2"/>
      </w:pPr>
    </w:p>
    <w:p w14:paraId="4A90949A" w14:textId="77777777" w:rsidR="00FC6D06" w:rsidRDefault="00FC6D06" w:rsidP="00DB1AEE">
      <w:pPr>
        <w:suppressLineNumbers/>
        <w:suppressAutoHyphens/>
        <w:jc w:val="center"/>
        <w:outlineLvl w:val="2"/>
      </w:pPr>
    </w:p>
    <w:p w14:paraId="047E378B" w14:textId="77777777" w:rsidR="00FC6D06" w:rsidRDefault="00FC6D06" w:rsidP="00DB1AEE">
      <w:pPr>
        <w:suppressLineNumbers/>
        <w:suppressAutoHyphens/>
        <w:jc w:val="center"/>
        <w:outlineLvl w:val="2"/>
      </w:pPr>
    </w:p>
    <w:p w14:paraId="01DA022F" w14:textId="77777777" w:rsidR="00FC6D06" w:rsidRDefault="00FC6D06" w:rsidP="00DB1AEE">
      <w:pPr>
        <w:suppressLineNumbers/>
        <w:suppressAutoHyphens/>
        <w:jc w:val="center"/>
        <w:outlineLvl w:val="2"/>
      </w:pPr>
    </w:p>
    <w:p w14:paraId="428CA8E7" w14:textId="77777777" w:rsidR="00FC6D06" w:rsidRDefault="00FC6D06" w:rsidP="00DB1AEE">
      <w:pPr>
        <w:suppressLineNumbers/>
        <w:suppressAutoHyphens/>
        <w:jc w:val="center"/>
        <w:outlineLvl w:val="2"/>
      </w:pPr>
    </w:p>
    <w:p w14:paraId="74B8879B" w14:textId="77777777" w:rsidR="00FC6D06" w:rsidRDefault="00FC6D06" w:rsidP="00DB1AEE">
      <w:pPr>
        <w:suppressLineNumbers/>
        <w:suppressAutoHyphens/>
        <w:jc w:val="center"/>
        <w:outlineLvl w:val="2"/>
      </w:pPr>
    </w:p>
    <w:p w14:paraId="20117B46" w14:textId="77777777" w:rsidR="00FC6D06" w:rsidRDefault="00FC6D06" w:rsidP="00DB1AEE">
      <w:pPr>
        <w:suppressLineNumbers/>
        <w:suppressAutoHyphens/>
        <w:jc w:val="center"/>
        <w:outlineLvl w:val="2"/>
      </w:pPr>
    </w:p>
    <w:p w14:paraId="5EBE0868" w14:textId="77777777" w:rsidR="00FC6D06" w:rsidRDefault="00FC6D06" w:rsidP="00DB1AEE">
      <w:pPr>
        <w:suppressLineNumbers/>
        <w:suppressAutoHyphens/>
        <w:jc w:val="center"/>
        <w:outlineLvl w:val="2"/>
      </w:pPr>
    </w:p>
    <w:p w14:paraId="6AB81CF2" w14:textId="77777777" w:rsidR="00FC6D06" w:rsidRDefault="00FC6D06" w:rsidP="00DB1AEE">
      <w:pPr>
        <w:suppressLineNumbers/>
        <w:suppressAutoHyphens/>
        <w:jc w:val="center"/>
        <w:outlineLvl w:val="2"/>
      </w:pPr>
    </w:p>
    <w:p w14:paraId="5F633BAA" w14:textId="77777777" w:rsidR="00FC6D06" w:rsidRDefault="00FC6D06" w:rsidP="00DB1AEE">
      <w:pPr>
        <w:suppressLineNumbers/>
        <w:suppressAutoHyphens/>
        <w:jc w:val="center"/>
        <w:outlineLvl w:val="2"/>
      </w:pPr>
    </w:p>
    <w:p w14:paraId="2546B0D3" w14:textId="77777777" w:rsidR="00FC6D06" w:rsidRDefault="00FC6D06" w:rsidP="00DB1AEE">
      <w:pPr>
        <w:suppressLineNumbers/>
        <w:suppressAutoHyphens/>
        <w:jc w:val="center"/>
        <w:outlineLvl w:val="2"/>
      </w:pPr>
    </w:p>
    <w:p w14:paraId="3D101641" w14:textId="77777777" w:rsidR="00FC6D06" w:rsidRDefault="00FC6D06" w:rsidP="00DB1AEE">
      <w:pPr>
        <w:suppressLineNumbers/>
        <w:suppressAutoHyphens/>
        <w:jc w:val="center"/>
        <w:outlineLvl w:val="2"/>
      </w:pPr>
    </w:p>
    <w:p w14:paraId="48EB9C87" w14:textId="77777777" w:rsidR="00FC6D06" w:rsidRDefault="00FC6D06" w:rsidP="00DB1AEE">
      <w:pPr>
        <w:suppressLineNumbers/>
        <w:suppressAutoHyphens/>
        <w:jc w:val="center"/>
        <w:outlineLvl w:val="2"/>
      </w:pPr>
    </w:p>
    <w:p w14:paraId="6575A473" w14:textId="77777777" w:rsidR="00FC6D06" w:rsidRDefault="00FC6D06" w:rsidP="00DB1AEE">
      <w:pPr>
        <w:suppressLineNumbers/>
        <w:suppressAutoHyphens/>
        <w:jc w:val="center"/>
        <w:outlineLvl w:val="2"/>
      </w:pPr>
    </w:p>
    <w:p w14:paraId="52FD6816" w14:textId="77777777" w:rsidR="00FC6D06" w:rsidRDefault="00FC6D06" w:rsidP="001F2043">
      <w:pPr>
        <w:suppressLineNumbers/>
        <w:suppressAutoHyphens/>
        <w:jc w:val="center"/>
        <w:outlineLvl w:val="2"/>
      </w:pPr>
    </w:p>
    <w:p w14:paraId="7FB465AC" w14:textId="77777777" w:rsidR="00DB1AEE" w:rsidRDefault="00DB1AEE" w:rsidP="00DB1AEE">
      <w:pPr>
        <w:suppressLineNumbers/>
        <w:suppressAutoHyphens/>
        <w:jc w:val="center"/>
        <w:outlineLvl w:val="2"/>
      </w:pPr>
    </w:p>
    <w:p w14:paraId="57F40CA3" w14:textId="77777777" w:rsidR="00DB1AEE" w:rsidRPr="00DB1AEE" w:rsidRDefault="00DB1AEE" w:rsidP="00DB1AEE">
      <w:pPr>
        <w:suppressLineNumbers/>
        <w:suppressAutoHyphens/>
        <w:spacing w:line="480" w:lineRule="auto"/>
        <w:ind w:left="1440" w:firstLine="1440"/>
      </w:pPr>
      <w:r w:rsidRPr="00DB1AEE">
        <w:t>Preconsidered Proposed Int. No. __-A</w:t>
      </w:r>
    </w:p>
    <w:p w14:paraId="4895AB39" w14:textId="77777777" w:rsidR="00DB1AEE" w:rsidRPr="00DB1AEE" w:rsidRDefault="00DB1AEE" w:rsidP="00DB1AEE">
      <w:pPr>
        <w:suppressLineNumbers/>
        <w:suppressAutoHyphens/>
        <w:spacing w:line="480" w:lineRule="auto"/>
      </w:pPr>
      <w:r w:rsidRPr="00DB1AEE">
        <w:t>By Council Member Sanchez (by request of the Mayor)</w:t>
      </w:r>
    </w:p>
    <w:p w14:paraId="30D673AA" w14:textId="77777777" w:rsidR="00DB1AEE" w:rsidRPr="00DB1AEE" w:rsidRDefault="00DB1AEE" w:rsidP="00DB1AEE">
      <w:pPr>
        <w:suppressLineNumbers/>
        <w:suppressAutoHyphens/>
      </w:pPr>
      <w:r w:rsidRPr="00DB1AEE">
        <w:t>A Local Law to amend the administrative code of the city of New York, in relation to conforming the New York city energy conservation code to the New York state energy code with amendments unique to construction in the city, and to repeal section 28-1001.2 of such administrative code relating to such conforming amendments</w:t>
      </w:r>
    </w:p>
    <w:p w14:paraId="2E1FFEF3" w14:textId="77777777" w:rsidR="00DB1AEE" w:rsidRPr="00DB1AEE" w:rsidRDefault="00DB1AEE" w:rsidP="00DB1AEE">
      <w:pPr>
        <w:suppressLineNumbers/>
        <w:suppressAutoHyphens/>
      </w:pPr>
    </w:p>
    <w:p w14:paraId="1C8480FA" w14:textId="77777777" w:rsidR="00DB1AEE" w:rsidRPr="00DB1AEE" w:rsidRDefault="00DB1AEE" w:rsidP="00DB1AEE">
      <w:pPr>
        <w:suppressLineNumbers/>
        <w:suppressAutoHyphens/>
        <w:rPr>
          <w:u w:val="single"/>
        </w:rPr>
      </w:pPr>
      <w:r w:rsidRPr="00DB1AEE">
        <w:rPr>
          <w:u w:val="single"/>
        </w:rPr>
        <w:t>Be it enacted by the Council as follows:</w:t>
      </w:r>
    </w:p>
    <w:p w14:paraId="2254C25A" w14:textId="77777777" w:rsidR="00DB1AEE" w:rsidRPr="00DB1AEE" w:rsidRDefault="00DB1AEE" w:rsidP="00DB1AEE">
      <w:pPr>
        <w:suppressLineNumbers/>
        <w:suppressAutoHyphens/>
      </w:pPr>
    </w:p>
    <w:p w14:paraId="28B0ADC5" w14:textId="77777777" w:rsidR="00DB1AEE" w:rsidRPr="00DB1AEE" w:rsidRDefault="00DB1AEE" w:rsidP="00DB1AEE">
      <w:pPr>
        <w:suppressAutoHyphens/>
        <w:spacing w:line="480" w:lineRule="auto"/>
        <w:ind w:firstLine="720"/>
      </w:pPr>
      <w:r w:rsidRPr="00DB1AEE">
        <w:t xml:space="preserve">Section 1.  Statement of findings and purpose. The New York State Energy Conservation Construction Code (the “New York State Energy Code”) is promulgated by the State Fire Prevention and Building Code Council pursuant to Article 11 of the New York State Energy Law. In accordance with Article 11, the New York City Energy Conservation Code is stricter than the New York State Energy Code. The purpose of this local law is to conform the New York City Energy Conservation Code to recent changes in the New York State Energy Code with local law amendments unique to construction in the city.  </w:t>
      </w:r>
    </w:p>
    <w:p w14:paraId="1D072573" w14:textId="77777777" w:rsidR="00DB1AEE" w:rsidRPr="00DB1AEE" w:rsidRDefault="00DB1AEE" w:rsidP="00DB1AEE">
      <w:pPr>
        <w:suppressAutoHyphens/>
        <w:spacing w:before="130" w:after="130" w:line="480" w:lineRule="auto"/>
        <w:ind w:firstLine="720"/>
        <w:rPr>
          <w:bCs/>
          <w:szCs w:val="24"/>
        </w:rPr>
      </w:pPr>
      <w:r w:rsidRPr="00DB1AEE">
        <w:t xml:space="preserve">§ 2. The definition of “New York state energy code” in </w:t>
      </w:r>
      <w:r w:rsidRPr="00DB1AEE">
        <w:rPr>
          <w:bCs/>
          <w:szCs w:val="24"/>
        </w:rPr>
        <w:t>section 28-1001.1.1 of the administrative code of the city of New York, as amended by local law number 48 for the year 2020,</w:t>
      </w:r>
      <w:r w:rsidRPr="00DB1AEE">
        <w:t xml:space="preserve"> </w:t>
      </w:r>
      <w:r w:rsidRPr="00DB1AEE">
        <w:rPr>
          <w:bCs/>
          <w:szCs w:val="24"/>
        </w:rPr>
        <w:t>is amended to read as follows:</w:t>
      </w:r>
    </w:p>
    <w:p w14:paraId="3634802C" w14:textId="77777777" w:rsidR="00DB1AEE" w:rsidRPr="00DB1AEE" w:rsidRDefault="00DB1AEE" w:rsidP="00DB1AEE">
      <w:pPr>
        <w:suppressAutoHyphens/>
        <w:spacing w:before="130" w:after="130"/>
      </w:pPr>
      <w:r w:rsidRPr="00DB1AEE">
        <w:rPr>
          <w:b/>
        </w:rPr>
        <w:t>NEW YORK STATE ENERGY CODE.</w:t>
      </w:r>
      <w:r w:rsidRPr="00DB1AEE">
        <w:t> The term “New York State Energy Code” means the  New York State Energy Conservation Construction Code, constituting part 1240 of title 19 of the New York codes, rules and regulations (19 NYCRR Part 1240), and the publications incorporated by reference in such part, promulgated on [</w:t>
      </w:r>
      <w:r w:rsidRPr="00DB1AEE">
        <w:rPr>
          <w:strike/>
        </w:rPr>
        <w:t>February 12, 2020</w:t>
      </w:r>
      <w:r w:rsidRPr="00DB1AEE">
        <w:t xml:space="preserve">] </w:t>
      </w:r>
      <w:r w:rsidRPr="00DB1AEE">
        <w:rPr>
          <w:u w:val="single"/>
        </w:rPr>
        <w:t>October 1, 2025</w:t>
      </w:r>
      <w:r w:rsidRPr="00DB1AEE">
        <w:t>, by the State Fire Prevention and Building Code Council pursuant to Article 11 of the New York State Energy Law.</w:t>
      </w:r>
    </w:p>
    <w:p w14:paraId="1725F832" w14:textId="77777777" w:rsidR="00DB1AEE" w:rsidRPr="00DB1AEE" w:rsidRDefault="00DB1AEE" w:rsidP="00DB1AEE">
      <w:pPr>
        <w:suppressAutoHyphens/>
        <w:spacing w:before="130" w:after="130"/>
        <w:ind w:left="360"/>
        <w:rPr>
          <w:bCs/>
          <w:szCs w:val="24"/>
        </w:rPr>
      </w:pPr>
    </w:p>
    <w:p w14:paraId="26AF5255" w14:textId="77777777" w:rsidR="00DB1AEE" w:rsidRPr="00DB1AEE" w:rsidRDefault="00DB1AEE" w:rsidP="00DB1AEE">
      <w:pPr>
        <w:suppressAutoHyphens/>
        <w:spacing w:line="480" w:lineRule="auto"/>
        <w:ind w:firstLine="720"/>
        <w:rPr>
          <w:bCs/>
          <w:szCs w:val="24"/>
        </w:rPr>
      </w:pPr>
      <w:r w:rsidRPr="00DB1AEE">
        <w:rPr>
          <w:bCs/>
          <w:szCs w:val="24"/>
        </w:rPr>
        <w:t>§ 3. Section 28-1001.2 of the administrative code of the city of New York is REPEALED and a new Section 28-1001.2 is added to read as follows:</w:t>
      </w:r>
    </w:p>
    <w:p w14:paraId="2EF65B40" w14:textId="77777777" w:rsidR="00DB1AEE" w:rsidRPr="00DB1AEE" w:rsidRDefault="00DB1AEE" w:rsidP="00DB1AEE">
      <w:pPr>
        <w:suppressAutoHyphens/>
        <w:spacing w:before="130" w:after="130"/>
        <w:rPr>
          <w:szCs w:val="24"/>
          <w:u w:val="single"/>
        </w:rPr>
      </w:pPr>
      <w:r w:rsidRPr="00DB1AEE">
        <w:rPr>
          <w:b/>
          <w:bCs/>
          <w:szCs w:val="24"/>
          <w:u w:val="single"/>
        </w:rPr>
        <w:t>§ 28-1001.2 New York city amendments to the New York state energy code.</w:t>
      </w:r>
      <w:r w:rsidRPr="00DB1AEE">
        <w:rPr>
          <w:szCs w:val="24"/>
          <w:u w:val="single"/>
        </w:rPr>
        <w:t xml:space="preserve"> The following New York city amendments to the New York state energy code are hereby adopted as set forth in Sections 28-1001.2.1 and 28-1001.2.2.</w:t>
      </w:r>
    </w:p>
    <w:p w14:paraId="3C176DF5" w14:textId="77777777" w:rsidR="00DB1AEE" w:rsidRPr="00DB1AEE" w:rsidRDefault="00DB1AEE" w:rsidP="00DB1AEE">
      <w:pPr>
        <w:suppressAutoHyphens/>
        <w:spacing w:before="130" w:after="130"/>
        <w:ind w:left="360"/>
        <w:rPr>
          <w:b/>
          <w:szCs w:val="24"/>
          <w:u w:val="single"/>
        </w:rPr>
      </w:pPr>
      <w:r w:rsidRPr="00DB1AEE">
        <w:rPr>
          <w:b/>
          <w:szCs w:val="24"/>
          <w:u w:val="single"/>
        </w:rPr>
        <w:t xml:space="preserve">§ 28-1001.2.1  New York city amendments to </w:t>
      </w:r>
      <w:r w:rsidRPr="00DB1AEE">
        <w:rPr>
          <w:b/>
          <w:bCs/>
          <w:szCs w:val="24"/>
          <w:u w:val="single"/>
        </w:rPr>
        <w:t>commercial and residential chapters of the New York state energy code.</w:t>
      </w:r>
    </w:p>
    <w:p w14:paraId="69E22352" w14:textId="77777777" w:rsidR="00DB1AEE" w:rsidRPr="00DB1AEE" w:rsidRDefault="00DB1AEE" w:rsidP="00DB1AEE">
      <w:pPr>
        <w:suppressAutoHyphens/>
        <w:spacing w:before="130" w:after="130"/>
        <w:ind w:left="720"/>
        <w:rPr>
          <w:b/>
          <w:szCs w:val="24"/>
          <w:u w:val="single"/>
        </w:rPr>
      </w:pPr>
      <w:r w:rsidRPr="00DB1AEE">
        <w:rPr>
          <w:b/>
          <w:szCs w:val="24"/>
          <w:u w:val="single"/>
        </w:rPr>
        <w:t>Chapter 1 [CE] and Chapter 1 [RE]</w:t>
      </w:r>
    </w:p>
    <w:p w14:paraId="23720065" w14:textId="77777777" w:rsidR="00DB1AEE" w:rsidRPr="00DB1AEE" w:rsidRDefault="00DB1AEE" w:rsidP="00DB1AEE">
      <w:pPr>
        <w:widowControl w:val="0"/>
        <w:suppressAutoHyphens/>
        <w:autoSpaceDE w:val="0"/>
        <w:autoSpaceDN w:val="0"/>
        <w:adjustRightInd w:val="0"/>
        <w:spacing w:before="130" w:after="130"/>
        <w:ind w:left="720"/>
        <w:rPr>
          <w:szCs w:val="24"/>
          <w:u w:val="single"/>
        </w:rPr>
      </w:pPr>
      <w:r w:rsidRPr="00DB1AEE">
        <w:rPr>
          <w:szCs w:val="24"/>
          <w:u w:val="single"/>
        </w:rPr>
        <w:t>Delete Chapter C1 and Chapter R1 in their entirety and replace with a new Chapter 1 to read as follows:</w:t>
      </w:r>
    </w:p>
    <w:p w14:paraId="6785E2FA" w14:textId="77777777" w:rsidR="00DB1AEE" w:rsidRPr="00DB1AEE" w:rsidRDefault="00DB1AEE" w:rsidP="00DB1AEE">
      <w:pPr>
        <w:widowControl w:val="0"/>
        <w:suppressAutoHyphens/>
        <w:autoSpaceDE w:val="0"/>
        <w:autoSpaceDN w:val="0"/>
        <w:adjustRightInd w:val="0"/>
        <w:spacing w:before="120" w:after="120"/>
        <w:jc w:val="center"/>
        <w:rPr>
          <w:b/>
          <w:bCs/>
          <w:szCs w:val="24"/>
          <w:u w:val="single"/>
        </w:rPr>
      </w:pPr>
      <w:r w:rsidRPr="00DB1AEE">
        <w:rPr>
          <w:b/>
          <w:bCs/>
          <w:szCs w:val="24"/>
          <w:u w:val="single"/>
        </w:rPr>
        <w:t>CHAPTER 1</w:t>
      </w:r>
    </w:p>
    <w:p w14:paraId="16618B2E" w14:textId="77777777" w:rsidR="00DB1AEE" w:rsidRPr="00DB1AEE" w:rsidRDefault="00DB1AEE" w:rsidP="00DB1AEE">
      <w:pPr>
        <w:widowControl w:val="0"/>
        <w:suppressAutoHyphens/>
        <w:autoSpaceDE w:val="0"/>
        <w:autoSpaceDN w:val="0"/>
        <w:adjustRightInd w:val="0"/>
        <w:spacing w:before="120" w:after="120"/>
        <w:jc w:val="center"/>
        <w:rPr>
          <w:b/>
          <w:bCs/>
          <w:szCs w:val="24"/>
          <w:u w:val="single"/>
        </w:rPr>
      </w:pPr>
      <w:r w:rsidRPr="00DB1AEE">
        <w:rPr>
          <w:b/>
          <w:bCs/>
          <w:szCs w:val="24"/>
          <w:u w:val="single"/>
        </w:rPr>
        <w:t>ADMINISTRATION</w:t>
      </w:r>
    </w:p>
    <w:p w14:paraId="37252EF1" w14:textId="77777777" w:rsidR="00DB1AEE" w:rsidRPr="00DB1AEE" w:rsidRDefault="00DB1AEE" w:rsidP="00DB1AEE">
      <w:pPr>
        <w:widowControl w:val="0"/>
        <w:suppressAutoHyphens/>
        <w:autoSpaceDE w:val="0"/>
        <w:autoSpaceDN w:val="0"/>
        <w:adjustRightInd w:val="0"/>
        <w:spacing w:before="120" w:after="120"/>
        <w:jc w:val="center"/>
        <w:rPr>
          <w:b/>
          <w:bCs/>
          <w:szCs w:val="24"/>
          <w:u w:val="single"/>
        </w:rPr>
      </w:pPr>
      <w:r w:rsidRPr="00DB1AEE">
        <w:rPr>
          <w:b/>
          <w:bCs/>
          <w:szCs w:val="24"/>
          <w:u w:val="single"/>
        </w:rPr>
        <w:t>INTRODUCTORY STATEMENT</w:t>
      </w:r>
    </w:p>
    <w:p w14:paraId="2886951D" w14:textId="77777777" w:rsidR="00DB1AEE" w:rsidRPr="00DB1AEE" w:rsidRDefault="00DB1AEE" w:rsidP="00DB1AEE">
      <w:pPr>
        <w:autoSpaceDE w:val="0"/>
        <w:autoSpaceDN w:val="0"/>
        <w:adjustRightInd w:val="0"/>
        <w:spacing w:before="130" w:after="130"/>
        <w:ind w:left="360"/>
        <w:rPr>
          <w:szCs w:val="24"/>
          <w:u w:val="single"/>
        </w:rPr>
      </w:pPr>
      <w:r w:rsidRPr="00DB1AEE">
        <w:rPr>
          <w:szCs w:val="24"/>
          <w:u w:val="single"/>
        </w:rPr>
        <w:t>The New York City Energy Conservation Code (“NYCECC”) is comprised of the publication entitled the 2025 Energy Conservation Construction Code of New York State (“ECCCNYS”) with amendments as enacted into law by the city. Reflecting these amendments to the ECCCNYS, the NYCECC is divided into provisions relevant to commercial buildings and provisions relevant to residential buildings as follows:</w:t>
      </w:r>
    </w:p>
    <w:p w14:paraId="4E1350E7" w14:textId="77777777" w:rsidR="00DB1AEE" w:rsidRPr="00DB1AEE" w:rsidRDefault="00DB1AEE" w:rsidP="00DB1AEE">
      <w:pPr>
        <w:autoSpaceDE w:val="0"/>
        <w:autoSpaceDN w:val="0"/>
        <w:adjustRightInd w:val="0"/>
        <w:spacing w:before="130" w:after="130"/>
        <w:ind w:left="1080" w:hanging="360"/>
        <w:rPr>
          <w:szCs w:val="24"/>
          <w:u w:val="single"/>
        </w:rPr>
      </w:pPr>
      <w:r w:rsidRPr="00DB1AEE">
        <w:rPr>
          <w:szCs w:val="24"/>
          <w:u w:val="single"/>
        </w:rPr>
        <w:t>1.</w:t>
      </w:r>
      <w:r w:rsidRPr="00DB1AEE">
        <w:rPr>
          <w:szCs w:val="24"/>
          <w:u w:val="single"/>
        </w:rPr>
        <w:tab/>
        <w:t>The provisions of the NYCECC for commercial buildings are reflected in the state publications incorporated by reference in 19 NYCRR Sections 1240.3 and 1240.5, as amended by Sections 28-1001.2.1 and 28-1001.2.2 of the Administrative Code. Such state publications include (i) Chapters 1 [CE], 2 [CE], 3 [CE], 4 [CE], 5 [CE] and 6 [CE] of ECCCNYS; (ii) the</w:t>
      </w:r>
      <w:r w:rsidRPr="00DB1AEE">
        <w:rPr>
          <w:rFonts w:ascii="SourceSansPro-It" w:hAnsi="SourceSansPro-It" w:cs="SourceSansPro-It"/>
          <w:i/>
          <w:iCs/>
          <w:sz w:val="19"/>
          <w:szCs w:val="19"/>
        </w:rPr>
        <w:t xml:space="preserve"> </w:t>
      </w:r>
      <w:r w:rsidRPr="00DB1AEE">
        <w:rPr>
          <w:szCs w:val="24"/>
          <w:u w:val="single"/>
        </w:rPr>
        <w:t>New York State-specific version of the publication entitled “Standard 90.1, Energy Standard for Buildings Except Low-Rise Residential Buildings,” published by the International Code Council,  as incorporated in the ECCCNYS (“2025 NYS ASHRAE 90.1</w:t>
      </w:r>
      <w:r w:rsidRPr="00DB1AEE">
        <w:rPr>
          <w:i/>
          <w:iCs/>
          <w:szCs w:val="24"/>
          <w:u w:val="single"/>
        </w:rPr>
        <w:t>”)</w:t>
      </w:r>
      <w:r w:rsidRPr="00DB1AEE">
        <w:rPr>
          <w:szCs w:val="24"/>
          <w:u w:val="single"/>
        </w:rPr>
        <w:t>; and (iii) reference standards incorporated by reference in subdivision (c) of 19 NYCRR Section 1240.3.</w:t>
      </w:r>
    </w:p>
    <w:p w14:paraId="56137FD0" w14:textId="77777777" w:rsidR="00DB1AEE" w:rsidRPr="00DB1AEE" w:rsidRDefault="00DB1AEE" w:rsidP="00DB1AEE">
      <w:pPr>
        <w:autoSpaceDE w:val="0"/>
        <w:autoSpaceDN w:val="0"/>
        <w:adjustRightInd w:val="0"/>
        <w:spacing w:before="130" w:after="130"/>
        <w:ind w:left="1080" w:hanging="360"/>
        <w:rPr>
          <w:bCs/>
          <w:iCs/>
          <w:szCs w:val="24"/>
          <w:u w:val="single"/>
        </w:rPr>
      </w:pPr>
      <w:r w:rsidRPr="00DB1AEE">
        <w:rPr>
          <w:bCs/>
          <w:iCs/>
          <w:szCs w:val="24"/>
          <w:u w:val="single"/>
          <w:lang w:val="x-none"/>
        </w:rPr>
        <w:t>2.</w:t>
      </w:r>
      <w:r w:rsidRPr="00DB1AEE">
        <w:rPr>
          <w:bCs/>
          <w:iCs/>
          <w:szCs w:val="24"/>
          <w:u w:val="single"/>
        </w:rPr>
        <w:tab/>
      </w:r>
      <w:r w:rsidRPr="00DB1AEE">
        <w:rPr>
          <w:bCs/>
          <w:iCs/>
          <w:szCs w:val="24"/>
          <w:u w:val="single"/>
          <w:lang w:val="x-none"/>
        </w:rPr>
        <w:t xml:space="preserve">The provisions of the NYCECC for residential buildings are reflected in the state publications incorporated by reference in 19 NYCRR </w:t>
      </w:r>
      <w:r w:rsidRPr="00DB1AEE">
        <w:rPr>
          <w:bCs/>
          <w:iCs/>
          <w:szCs w:val="24"/>
          <w:u w:val="single"/>
        </w:rPr>
        <w:t>Section</w:t>
      </w:r>
      <w:r w:rsidRPr="00DB1AEE">
        <w:rPr>
          <w:bCs/>
          <w:iCs/>
          <w:szCs w:val="24"/>
          <w:u w:val="single"/>
          <w:lang w:val="x-none"/>
        </w:rPr>
        <w:t xml:space="preserve"> 1240</w:t>
      </w:r>
      <w:r w:rsidRPr="00DB1AEE">
        <w:rPr>
          <w:bCs/>
          <w:iCs/>
          <w:szCs w:val="24"/>
          <w:u w:val="single"/>
        </w:rPr>
        <w:t>.4</w:t>
      </w:r>
      <w:r w:rsidRPr="00DB1AEE">
        <w:rPr>
          <w:bCs/>
          <w:iCs/>
          <w:szCs w:val="24"/>
          <w:u w:val="single"/>
          <w:lang w:val="x-none"/>
        </w:rPr>
        <w:t xml:space="preserve">, as amended by </w:t>
      </w:r>
      <w:r w:rsidRPr="00DB1AEE">
        <w:rPr>
          <w:bCs/>
          <w:iCs/>
          <w:szCs w:val="24"/>
          <w:u w:val="single"/>
        </w:rPr>
        <w:t>Sections</w:t>
      </w:r>
      <w:r w:rsidRPr="00DB1AEE">
        <w:rPr>
          <w:bCs/>
          <w:iCs/>
          <w:szCs w:val="24"/>
          <w:u w:val="single"/>
          <w:lang w:val="x-none"/>
        </w:rPr>
        <w:t xml:space="preserve"> 28-1001.2.1 of the </w:t>
      </w:r>
      <w:r w:rsidRPr="00DB1AEE">
        <w:rPr>
          <w:bCs/>
          <w:iCs/>
          <w:szCs w:val="24"/>
          <w:u w:val="single"/>
        </w:rPr>
        <w:t>Administrative</w:t>
      </w:r>
      <w:r w:rsidRPr="00DB1AEE">
        <w:rPr>
          <w:bCs/>
          <w:iCs/>
          <w:szCs w:val="24"/>
          <w:u w:val="single"/>
          <w:lang w:val="x-none"/>
        </w:rPr>
        <w:t xml:space="preserve"> </w:t>
      </w:r>
      <w:r w:rsidRPr="00DB1AEE">
        <w:rPr>
          <w:bCs/>
          <w:iCs/>
          <w:szCs w:val="24"/>
          <w:u w:val="single"/>
        </w:rPr>
        <w:t>C</w:t>
      </w:r>
      <w:r w:rsidRPr="00DB1AEE">
        <w:rPr>
          <w:bCs/>
          <w:iCs/>
          <w:szCs w:val="24"/>
          <w:u w:val="single"/>
          <w:lang w:val="x-none"/>
        </w:rPr>
        <w:t>ode.  Such state publications include (i) Chapters 1 [RE], 2 [RE], 3 [RE], 4 [RE], 5 [RE] 6 [RE] and Appendix RF of the</w:t>
      </w:r>
      <w:r w:rsidRPr="00DB1AEE">
        <w:rPr>
          <w:bCs/>
          <w:iCs/>
          <w:szCs w:val="24"/>
          <w:u w:val="single"/>
        </w:rPr>
        <w:t xml:space="preserve"> </w:t>
      </w:r>
      <w:r w:rsidRPr="00DB1AEE">
        <w:rPr>
          <w:szCs w:val="24"/>
          <w:u w:val="single"/>
        </w:rPr>
        <w:t>ECCCNYS</w:t>
      </w:r>
      <w:r w:rsidRPr="00DB1AEE">
        <w:rPr>
          <w:bCs/>
          <w:iCs/>
          <w:szCs w:val="24"/>
          <w:u w:val="single"/>
          <w:lang w:val="x-none"/>
        </w:rPr>
        <w:t xml:space="preserve">; and (ii) the referenced standards incorporated by reference in </w:t>
      </w:r>
      <w:r w:rsidRPr="00DB1AEE">
        <w:rPr>
          <w:bCs/>
          <w:iCs/>
          <w:szCs w:val="24"/>
          <w:u w:val="single"/>
        </w:rPr>
        <w:t xml:space="preserve">subdivision (b) of </w:t>
      </w:r>
      <w:r w:rsidRPr="00DB1AEE">
        <w:rPr>
          <w:bCs/>
          <w:iCs/>
          <w:szCs w:val="24"/>
          <w:u w:val="single"/>
          <w:lang w:val="x-none"/>
        </w:rPr>
        <w:t xml:space="preserve">19 NYCRR </w:t>
      </w:r>
      <w:r w:rsidRPr="00DB1AEE">
        <w:rPr>
          <w:bCs/>
          <w:iCs/>
          <w:szCs w:val="24"/>
          <w:u w:val="single"/>
        </w:rPr>
        <w:t>Section</w:t>
      </w:r>
      <w:r w:rsidRPr="00DB1AEE">
        <w:rPr>
          <w:bCs/>
          <w:iCs/>
          <w:szCs w:val="24"/>
          <w:u w:val="single"/>
          <w:lang w:val="x-none"/>
        </w:rPr>
        <w:t xml:space="preserve"> 1240.4.</w:t>
      </w:r>
    </w:p>
    <w:p w14:paraId="451B3CDB" w14:textId="77777777" w:rsidR="00DB1AEE" w:rsidRPr="00DB1AEE" w:rsidRDefault="00DB1AEE" w:rsidP="00DB1AEE">
      <w:pPr>
        <w:widowControl w:val="0"/>
        <w:suppressAutoHyphens/>
        <w:autoSpaceDE w:val="0"/>
        <w:autoSpaceDN w:val="0"/>
        <w:adjustRightInd w:val="0"/>
        <w:spacing w:before="130" w:after="130"/>
        <w:jc w:val="center"/>
        <w:rPr>
          <w:b/>
          <w:bCs/>
          <w:szCs w:val="24"/>
          <w:u w:val="single"/>
        </w:rPr>
      </w:pPr>
      <w:r w:rsidRPr="00DB1AEE">
        <w:rPr>
          <w:b/>
          <w:bCs/>
          <w:szCs w:val="24"/>
          <w:u w:val="single"/>
        </w:rPr>
        <w:t>SECTION ECC 101</w:t>
      </w:r>
    </w:p>
    <w:p w14:paraId="40FA85C9" w14:textId="77777777" w:rsidR="00DB1AEE" w:rsidRPr="00DB1AEE" w:rsidRDefault="00DB1AEE" w:rsidP="00DB1AEE">
      <w:pPr>
        <w:widowControl w:val="0"/>
        <w:suppressAutoHyphens/>
        <w:autoSpaceDE w:val="0"/>
        <w:autoSpaceDN w:val="0"/>
        <w:adjustRightInd w:val="0"/>
        <w:spacing w:before="130" w:after="130"/>
        <w:jc w:val="center"/>
        <w:rPr>
          <w:b/>
          <w:bCs/>
          <w:szCs w:val="24"/>
          <w:u w:val="single"/>
        </w:rPr>
      </w:pPr>
      <w:r w:rsidRPr="00DB1AEE">
        <w:rPr>
          <w:b/>
          <w:bCs/>
          <w:szCs w:val="24"/>
          <w:u w:val="single"/>
        </w:rPr>
        <w:t>SCOPE AND GENERAL REQUIREMENTS</w:t>
      </w:r>
    </w:p>
    <w:p w14:paraId="65EB3CE5" w14:textId="77777777" w:rsidR="00DB1AEE" w:rsidRPr="00DB1AEE" w:rsidRDefault="00DB1AEE" w:rsidP="00DB1AEE">
      <w:pPr>
        <w:widowControl w:val="0"/>
        <w:suppressAutoHyphens/>
        <w:autoSpaceDE w:val="0"/>
        <w:autoSpaceDN w:val="0"/>
        <w:adjustRightInd w:val="0"/>
        <w:spacing w:before="130" w:after="130"/>
        <w:ind w:left="360"/>
        <w:rPr>
          <w:szCs w:val="24"/>
          <w:u w:val="single"/>
        </w:rPr>
      </w:pPr>
      <w:r w:rsidRPr="00DB1AEE">
        <w:rPr>
          <w:b/>
          <w:bCs/>
          <w:szCs w:val="24"/>
          <w:u w:val="single"/>
        </w:rPr>
        <w:t>101.1 General</w:t>
      </w:r>
      <w:r w:rsidRPr="00DB1AEE">
        <w:rPr>
          <w:szCs w:val="24"/>
          <w:u w:val="single"/>
        </w:rPr>
        <w:t>. These provisions shall be known and cited as the “</w:t>
      </w:r>
      <w:r w:rsidRPr="00DB1AEE">
        <w:rPr>
          <w:iCs/>
          <w:szCs w:val="24"/>
          <w:u w:val="single"/>
        </w:rPr>
        <w:t>New York City Energy Conservation Code</w:t>
      </w:r>
      <w:r w:rsidRPr="00DB1AEE">
        <w:rPr>
          <w:szCs w:val="24"/>
          <w:u w:val="single"/>
        </w:rPr>
        <w:t>,”</w:t>
      </w:r>
      <w:r w:rsidRPr="00DB1AEE">
        <w:rPr>
          <w:iCs/>
          <w:szCs w:val="24"/>
          <w:u w:val="single"/>
        </w:rPr>
        <w:t xml:space="preserve"> </w:t>
      </w:r>
      <w:r w:rsidRPr="00DB1AEE">
        <w:rPr>
          <w:szCs w:val="24"/>
          <w:u w:val="single"/>
        </w:rPr>
        <w:t xml:space="preserve">“NYCECC” or “ECC,” and are referred to herein as “this code.” All section numbers in this code shall be deemed to be preceded by the designation “ECC.” Administration and enforcement of this code shall be in accordance with Title 28 of the </w:t>
      </w:r>
      <w:r w:rsidRPr="00DB1AEE">
        <w:rPr>
          <w:iCs/>
          <w:szCs w:val="24"/>
          <w:u w:val="single"/>
        </w:rPr>
        <w:t>Administrative Code</w:t>
      </w:r>
      <w:r w:rsidRPr="00DB1AEE">
        <w:rPr>
          <w:szCs w:val="24"/>
          <w:u w:val="single"/>
        </w:rPr>
        <w:t>.</w:t>
      </w:r>
    </w:p>
    <w:p w14:paraId="0C8C04F8" w14:textId="77777777" w:rsidR="00DB1AEE" w:rsidRPr="00DB1AEE" w:rsidRDefault="00DB1AEE" w:rsidP="00DB1AEE">
      <w:pPr>
        <w:widowControl w:val="0"/>
        <w:suppressAutoHyphens/>
        <w:autoSpaceDE w:val="0"/>
        <w:autoSpaceDN w:val="0"/>
        <w:adjustRightInd w:val="0"/>
        <w:spacing w:before="130" w:after="130"/>
        <w:ind w:left="720"/>
        <w:rPr>
          <w:b/>
          <w:bCs/>
          <w:szCs w:val="24"/>
          <w:u w:val="single"/>
        </w:rPr>
      </w:pPr>
      <w:r w:rsidRPr="00DB1AEE">
        <w:rPr>
          <w:b/>
          <w:bCs/>
          <w:szCs w:val="24"/>
          <w:u w:val="single"/>
        </w:rPr>
        <w:t xml:space="preserve">101.1.1 Titles. </w:t>
      </w:r>
    </w:p>
    <w:p w14:paraId="72A76785" w14:textId="77777777" w:rsidR="00DB1AEE" w:rsidRPr="00DB1AEE" w:rsidRDefault="00DB1AEE" w:rsidP="00DB1AEE">
      <w:pPr>
        <w:widowControl w:val="0"/>
        <w:suppressAutoHyphens/>
        <w:autoSpaceDE w:val="0"/>
        <w:autoSpaceDN w:val="0"/>
        <w:adjustRightInd w:val="0"/>
        <w:spacing w:before="130" w:after="130"/>
        <w:ind w:left="720"/>
        <w:rPr>
          <w:bCs/>
          <w:szCs w:val="24"/>
          <w:u w:val="single"/>
        </w:rPr>
      </w:pPr>
      <w:r w:rsidRPr="00DB1AEE">
        <w:rPr>
          <w:bCs/>
          <w:iCs/>
          <w:u w:val="single"/>
          <w:lang w:val="x-none"/>
        </w:rPr>
        <w:t xml:space="preserve">The </w:t>
      </w:r>
      <w:r w:rsidRPr="00DB1AEE">
        <w:rPr>
          <w:bCs/>
          <w:iCs/>
          <w:u w:val="single"/>
        </w:rPr>
        <w:t xml:space="preserve">publication entitled </w:t>
      </w:r>
      <w:r w:rsidRPr="00DB1AEE">
        <w:rPr>
          <w:bCs/>
          <w:iCs/>
          <w:u w:val="single"/>
          <w:lang w:val="x-none"/>
        </w:rPr>
        <w:t xml:space="preserve"> 2025 Energy Conservation Construction Code of New York State shall be known as the “ECCCNYS.”</w:t>
      </w:r>
    </w:p>
    <w:p w14:paraId="1B3B59D2" w14:textId="77777777" w:rsidR="00DB1AEE" w:rsidRPr="00DB1AEE" w:rsidRDefault="00DB1AEE" w:rsidP="00DB1AEE">
      <w:pPr>
        <w:autoSpaceDE w:val="0"/>
        <w:autoSpaceDN w:val="0"/>
        <w:adjustRightInd w:val="0"/>
        <w:spacing w:before="130" w:after="130"/>
        <w:ind w:left="720"/>
        <w:rPr>
          <w:szCs w:val="24"/>
          <w:u w:val="single"/>
        </w:rPr>
      </w:pPr>
      <w:r w:rsidRPr="00DB1AEE">
        <w:rPr>
          <w:szCs w:val="24"/>
          <w:u w:val="single"/>
        </w:rPr>
        <w:t>The New York State-specific version of the publication entitled “Standard 90.1, Energy Standard for Buildings Except Low-Rise Residential Buildings,” published by the International Code Council, as incorporated in the ECCCNYS shall be known as “2025 NYS ASHRAE 90.1.” All references in this code to “2025 NYC ASHRAE 90.1”</w:t>
      </w:r>
      <w:r w:rsidRPr="00DB1AEE" w:rsidDel="00B425D8">
        <w:rPr>
          <w:szCs w:val="24"/>
          <w:u w:val="single"/>
        </w:rPr>
        <w:t xml:space="preserve"> </w:t>
      </w:r>
      <w:r w:rsidRPr="00DB1AEE">
        <w:rPr>
          <w:szCs w:val="24"/>
          <w:u w:val="single"/>
        </w:rPr>
        <w:t xml:space="preserve">reflect New York City amendments to 2025 NYS ASHRAE 90.1 as amended by Section 28-1001.2.2 of the Administrative Code.. </w:t>
      </w:r>
    </w:p>
    <w:p w14:paraId="4EF1948C" w14:textId="77777777" w:rsidR="00DB1AEE" w:rsidRPr="00DB1AEE" w:rsidRDefault="00DB1AEE" w:rsidP="00DB1AEE">
      <w:pPr>
        <w:widowControl w:val="0"/>
        <w:suppressAutoHyphens/>
        <w:autoSpaceDE w:val="0"/>
        <w:autoSpaceDN w:val="0"/>
        <w:adjustRightInd w:val="0"/>
        <w:spacing w:before="130" w:after="130"/>
        <w:ind w:left="720"/>
        <w:rPr>
          <w:szCs w:val="24"/>
          <w:u w:val="single"/>
        </w:rPr>
      </w:pPr>
      <w:r w:rsidRPr="00DB1AEE">
        <w:rPr>
          <w:szCs w:val="24"/>
          <w:u w:val="single"/>
        </w:rPr>
        <w:t>The ECCCNYS, as contained in Part 1240 of Title 19 of the New York Codes, Rules and Regulations, along with the New York City amendments to such ECCCNYS shall be known collectively as the “New York City Energy Conservation Code” or “NYCECC.”</w:t>
      </w:r>
    </w:p>
    <w:p w14:paraId="24DC8EBC" w14:textId="77777777" w:rsidR="00DB1AEE" w:rsidRPr="00DB1AEE" w:rsidRDefault="00DB1AEE" w:rsidP="00DB1AEE">
      <w:pPr>
        <w:widowControl w:val="0"/>
        <w:suppressAutoHyphens/>
        <w:autoSpaceDE w:val="0"/>
        <w:autoSpaceDN w:val="0"/>
        <w:adjustRightInd w:val="0"/>
        <w:spacing w:before="130" w:after="130"/>
        <w:ind w:left="720"/>
        <w:rPr>
          <w:szCs w:val="24"/>
          <w:u w:val="single"/>
        </w:rPr>
      </w:pPr>
      <w:r w:rsidRPr="00DB1AEE">
        <w:rPr>
          <w:b/>
          <w:bCs/>
          <w:iCs/>
          <w:szCs w:val="24"/>
          <w:u w:val="single"/>
          <w:lang w:val="x-none"/>
        </w:rPr>
        <w:t>101.1.2 References.</w:t>
      </w:r>
      <w:r w:rsidRPr="00DB1AEE">
        <w:rPr>
          <w:bCs/>
          <w:iCs/>
          <w:szCs w:val="24"/>
          <w:u w:val="single"/>
          <w:lang w:val="x-none"/>
        </w:rPr>
        <w:t xml:space="preserve"> Where reference is made within this code to the Building Code of New York State, Existing Building Code of New York State, Fire Code of New York State, Fuel Gas Code of New York State, Mechanical Code of New York State, Plumbing Code of New York State, Property Maintenance Code of New York State or Residential Code of New York State, the reference shall be deemed to be to the analogous provision</w:t>
      </w:r>
      <w:r w:rsidRPr="00DB1AEE">
        <w:rPr>
          <w:bCs/>
          <w:iCs/>
          <w:szCs w:val="24"/>
          <w:u w:val="single"/>
        </w:rPr>
        <w:t xml:space="preserve"> </w:t>
      </w:r>
      <w:r w:rsidRPr="00DB1AEE">
        <w:rPr>
          <w:bCs/>
          <w:iCs/>
          <w:szCs w:val="24"/>
          <w:u w:val="single"/>
          <w:lang w:val="x-none"/>
        </w:rPr>
        <w:t>of the New York City Construction Codes</w:t>
      </w:r>
      <w:r w:rsidRPr="00DB1AEE">
        <w:rPr>
          <w:bCs/>
          <w:iCs/>
          <w:szCs w:val="24"/>
          <w:u w:val="single"/>
        </w:rPr>
        <w:t xml:space="preserve"> (Title 28 of the Administrative Code</w:t>
      </w:r>
      <w:r w:rsidRPr="00DB1AEE">
        <w:rPr>
          <w:bCs/>
          <w:iCs/>
          <w:szCs w:val="24"/>
          <w:u w:val="single"/>
          <w:lang w:val="x-none"/>
        </w:rPr>
        <w:t>), the 1968 Building Code</w:t>
      </w:r>
      <w:r w:rsidRPr="00DB1AEE">
        <w:rPr>
          <w:bCs/>
          <w:iCs/>
          <w:szCs w:val="24"/>
          <w:u w:val="single"/>
        </w:rPr>
        <w:t xml:space="preserve"> (Chapter 1 of Title 27 of the Administrative Code)</w:t>
      </w:r>
      <w:r w:rsidRPr="00DB1AEE">
        <w:rPr>
          <w:bCs/>
          <w:iCs/>
          <w:szCs w:val="24"/>
          <w:u w:val="single"/>
          <w:lang w:val="x-none"/>
        </w:rPr>
        <w:t>, the New York City Fire Code</w:t>
      </w:r>
      <w:r w:rsidRPr="00DB1AEE">
        <w:rPr>
          <w:bCs/>
          <w:iCs/>
          <w:szCs w:val="24"/>
          <w:u w:val="single"/>
        </w:rPr>
        <w:t xml:space="preserve"> (Title 29 of the Administrative Code)</w:t>
      </w:r>
      <w:r w:rsidRPr="00DB1AEE">
        <w:rPr>
          <w:bCs/>
          <w:iCs/>
          <w:szCs w:val="24"/>
          <w:u w:val="single"/>
          <w:lang w:val="x-none"/>
        </w:rPr>
        <w:t xml:space="preserve"> or the New York City Electrical Code</w:t>
      </w:r>
      <w:r w:rsidRPr="00DB1AEE">
        <w:rPr>
          <w:bCs/>
          <w:iCs/>
          <w:szCs w:val="24"/>
          <w:u w:val="single"/>
        </w:rPr>
        <w:t xml:space="preserve"> (Chapter 11 of Title 28 of the Administrative Code)</w:t>
      </w:r>
      <w:r w:rsidRPr="00DB1AEE">
        <w:rPr>
          <w:bCs/>
          <w:iCs/>
          <w:szCs w:val="24"/>
          <w:u w:val="single"/>
          <w:lang w:val="x-none"/>
        </w:rPr>
        <w:t>.</w:t>
      </w:r>
      <w:r w:rsidRPr="00DB1AEE">
        <w:rPr>
          <w:rFonts w:ascii="SourceSansPro-Regular" w:eastAsia="SourceSansPro-Regular" w:cs="SourceSansPro-Regular"/>
          <w:sz w:val="19"/>
          <w:szCs w:val="19"/>
        </w:rPr>
        <w:t xml:space="preserve"> </w:t>
      </w:r>
    </w:p>
    <w:p w14:paraId="3C5C8DE6" w14:textId="77777777" w:rsidR="00DB1AEE" w:rsidRPr="00DB1AEE" w:rsidRDefault="00DB1AEE" w:rsidP="00DB1AEE">
      <w:pPr>
        <w:widowControl w:val="0"/>
        <w:suppressAutoHyphens/>
        <w:autoSpaceDE w:val="0"/>
        <w:autoSpaceDN w:val="0"/>
        <w:adjustRightInd w:val="0"/>
        <w:spacing w:before="130" w:after="130"/>
        <w:ind w:left="720"/>
        <w:rPr>
          <w:szCs w:val="24"/>
          <w:u w:val="single"/>
        </w:rPr>
      </w:pPr>
    </w:p>
    <w:p w14:paraId="45BC94F5" w14:textId="77777777" w:rsidR="00DB1AEE" w:rsidRPr="00DB1AEE" w:rsidRDefault="00DB1AEE" w:rsidP="00DB1AEE">
      <w:pPr>
        <w:widowControl w:val="0"/>
        <w:suppressAutoHyphens/>
        <w:autoSpaceDE w:val="0"/>
        <w:autoSpaceDN w:val="0"/>
        <w:adjustRightInd w:val="0"/>
        <w:spacing w:before="130" w:after="130"/>
        <w:ind w:left="360"/>
        <w:rPr>
          <w:szCs w:val="24"/>
          <w:u w:val="single"/>
        </w:rPr>
      </w:pPr>
      <w:r w:rsidRPr="00DB1AEE">
        <w:rPr>
          <w:b/>
          <w:bCs/>
          <w:szCs w:val="24"/>
          <w:u w:val="single"/>
        </w:rPr>
        <w:t>101.2 Scope</w:t>
      </w:r>
      <w:r w:rsidRPr="00DB1AEE">
        <w:rPr>
          <w:szCs w:val="24"/>
          <w:u w:val="single"/>
        </w:rPr>
        <w:t xml:space="preserve">. This code regulates the design and construction of </w:t>
      </w:r>
      <w:r w:rsidRPr="00DB1AEE">
        <w:rPr>
          <w:iCs/>
          <w:szCs w:val="24"/>
          <w:u w:val="single"/>
        </w:rPr>
        <w:t>commercial</w:t>
      </w:r>
      <w:r w:rsidRPr="00DB1AEE">
        <w:rPr>
          <w:szCs w:val="24"/>
          <w:u w:val="single"/>
        </w:rPr>
        <w:t xml:space="preserve"> </w:t>
      </w:r>
      <w:r w:rsidRPr="00DB1AEE">
        <w:rPr>
          <w:iCs/>
          <w:szCs w:val="24"/>
          <w:u w:val="single"/>
        </w:rPr>
        <w:t>buildings</w:t>
      </w:r>
      <w:r w:rsidRPr="00DB1AEE">
        <w:rPr>
          <w:szCs w:val="24"/>
          <w:u w:val="single"/>
        </w:rPr>
        <w:t xml:space="preserve"> and </w:t>
      </w:r>
      <w:r w:rsidRPr="00DB1AEE">
        <w:rPr>
          <w:iCs/>
          <w:szCs w:val="24"/>
          <w:u w:val="single"/>
        </w:rPr>
        <w:t xml:space="preserve">residential buildings, </w:t>
      </w:r>
      <w:r w:rsidRPr="00DB1AEE">
        <w:rPr>
          <w:szCs w:val="24"/>
          <w:u w:val="single"/>
        </w:rPr>
        <w:t>as defined in Chapter C2 and Chapter R2 of this code, accessory structures, building sites, and associated systems and equipment, as well as the repair, addition, alteration, or change of occupancy thereto for the use and conservation of energy and clean energy features, including the reduction in greenhouse gas emissions, over the life of each such commercial and residential building.</w:t>
      </w:r>
    </w:p>
    <w:p w14:paraId="6EAB6420" w14:textId="77777777" w:rsidR="00DB1AEE" w:rsidRPr="00DB1AEE" w:rsidRDefault="00DB1AEE" w:rsidP="00DB1AEE">
      <w:pPr>
        <w:widowControl w:val="0"/>
        <w:suppressAutoHyphens/>
        <w:autoSpaceDE w:val="0"/>
        <w:autoSpaceDN w:val="0"/>
        <w:adjustRightInd w:val="0"/>
        <w:spacing w:before="130" w:after="130"/>
        <w:ind w:left="720"/>
        <w:rPr>
          <w:szCs w:val="24"/>
          <w:u w:val="single"/>
        </w:rPr>
      </w:pPr>
      <w:r w:rsidRPr="00DB1AEE">
        <w:rPr>
          <w:b/>
          <w:bCs/>
          <w:szCs w:val="24"/>
          <w:u w:val="single"/>
        </w:rPr>
        <w:t xml:space="preserve">101.2.1 Statutory limitations. </w:t>
      </w:r>
      <w:r w:rsidRPr="00DB1AEE">
        <w:rPr>
          <w:szCs w:val="24"/>
          <w:u w:val="single"/>
        </w:rPr>
        <w:t>In the event of an addition to, or alteration of, an existing building or building system in an existing building that does not include a change of occupancy, nothing in the this code shall be interpreted to require any unaltered portion of such existing building or building system</w:t>
      </w:r>
      <w:r w:rsidRPr="00DB1AEE">
        <w:rPr>
          <w:i/>
          <w:iCs/>
          <w:szCs w:val="24"/>
          <w:u w:val="single"/>
        </w:rPr>
        <w:t xml:space="preserve"> </w:t>
      </w:r>
      <w:r w:rsidRPr="00DB1AEE">
        <w:rPr>
          <w:szCs w:val="24"/>
          <w:u w:val="single"/>
        </w:rPr>
        <w:t>to comply with this code.</w:t>
      </w:r>
    </w:p>
    <w:p w14:paraId="402D19C2" w14:textId="77777777" w:rsidR="00DB1AEE" w:rsidRPr="00DB1AEE" w:rsidRDefault="00DB1AEE" w:rsidP="00DB1AEE">
      <w:pPr>
        <w:widowControl w:val="0"/>
        <w:suppressAutoHyphens/>
        <w:autoSpaceDE w:val="0"/>
        <w:autoSpaceDN w:val="0"/>
        <w:adjustRightInd w:val="0"/>
        <w:spacing w:before="130" w:after="130"/>
        <w:ind w:left="720"/>
        <w:rPr>
          <w:szCs w:val="24"/>
          <w:u w:val="single"/>
        </w:rPr>
      </w:pPr>
      <w:r w:rsidRPr="00DB1AEE">
        <w:rPr>
          <w:b/>
          <w:bCs/>
          <w:szCs w:val="24"/>
          <w:u w:val="single"/>
        </w:rPr>
        <w:t>101.2.2 Occupancy classifications.</w:t>
      </w:r>
      <w:r w:rsidRPr="00DB1AEE">
        <w:rPr>
          <w:szCs w:val="24"/>
          <w:u w:val="single"/>
        </w:rPr>
        <w:t xml:space="preserve">  For determination of occupancy classification and use within this code, a comparable occupancy classification shall be made to the </w:t>
      </w:r>
      <w:r w:rsidRPr="00DB1AEE">
        <w:rPr>
          <w:iCs/>
          <w:szCs w:val="24"/>
          <w:u w:val="single"/>
        </w:rPr>
        <w:t>New York City Building Code</w:t>
      </w:r>
      <w:r w:rsidRPr="00DB1AEE">
        <w:rPr>
          <w:szCs w:val="24"/>
          <w:u w:val="single"/>
        </w:rPr>
        <w:t>.</w:t>
      </w:r>
    </w:p>
    <w:p w14:paraId="1D420451" w14:textId="77777777" w:rsidR="00DB1AEE" w:rsidRPr="00DB1AEE" w:rsidRDefault="00DB1AEE" w:rsidP="00DB1AEE">
      <w:pPr>
        <w:widowControl w:val="0"/>
        <w:suppressAutoHyphens/>
        <w:autoSpaceDE w:val="0"/>
        <w:autoSpaceDN w:val="0"/>
        <w:adjustRightInd w:val="0"/>
        <w:spacing w:before="130" w:after="130"/>
        <w:ind w:left="720"/>
        <w:rPr>
          <w:b/>
          <w:bCs/>
          <w:szCs w:val="24"/>
          <w:u w:val="single"/>
        </w:rPr>
      </w:pPr>
      <w:r w:rsidRPr="00DB1AEE">
        <w:rPr>
          <w:b/>
          <w:bCs/>
          <w:szCs w:val="24"/>
          <w:u w:val="single"/>
        </w:rPr>
        <w:t xml:space="preserve">101.2.3 </w:t>
      </w:r>
      <w:r w:rsidRPr="00DB1AEE">
        <w:rPr>
          <w:b/>
          <w:bCs/>
          <w:color w:val="212529"/>
          <w:szCs w:val="24"/>
          <w:u w:val="single"/>
          <w:shd w:val="clear" w:color="auto" w:fill="FFFFFF"/>
        </w:rPr>
        <w:t>Reconciliation with New York State Energy Conservation Construction Code.</w:t>
      </w:r>
      <w:r w:rsidRPr="00DB1AEE">
        <w:rPr>
          <w:color w:val="212529"/>
          <w:szCs w:val="24"/>
          <w:u w:val="single"/>
          <w:shd w:val="clear" w:color="auto" w:fill="FFFFFF"/>
        </w:rPr>
        <w:t> Whenever any provision of the New York State Energy Conservation Construction Code provides for a more stringent requirement than imposed by this code, the more stringent requirement shall govern.</w:t>
      </w:r>
    </w:p>
    <w:p w14:paraId="08AC4CEE" w14:textId="77777777" w:rsidR="00DB1AEE" w:rsidRPr="00DB1AEE" w:rsidRDefault="00DB1AEE" w:rsidP="00DB1AEE">
      <w:pPr>
        <w:widowControl w:val="0"/>
        <w:suppressAutoHyphens/>
        <w:autoSpaceDE w:val="0"/>
        <w:autoSpaceDN w:val="0"/>
        <w:adjustRightInd w:val="0"/>
        <w:spacing w:before="130" w:after="130"/>
        <w:ind w:left="720"/>
        <w:rPr>
          <w:szCs w:val="24"/>
          <w:u w:val="single"/>
        </w:rPr>
      </w:pPr>
      <w:r w:rsidRPr="00DB1AEE">
        <w:rPr>
          <w:b/>
          <w:bCs/>
          <w:szCs w:val="24"/>
          <w:u w:val="single"/>
        </w:rPr>
        <w:t xml:space="preserve">101.2.4 Other laws. </w:t>
      </w:r>
      <w:r w:rsidRPr="00DB1AEE">
        <w:rPr>
          <w:szCs w:val="24"/>
          <w:u w:val="single"/>
        </w:rPr>
        <w:t>The provisions of this code shall not be deemed to nullify any federal, state or local law, rule or regulation relating to any matter as to which this code does not provide, including but not limited to Articles 320 and 321 of Chapter 3 of Title 28 of the Administrative Code.</w:t>
      </w:r>
    </w:p>
    <w:p w14:paraId="550FEE19" w14:textId="77777777" w:rsidR="00DB1AEE" w:rsidRPr="00DB1AEE" w:rsidRDefault="00DB1AEE" w:rsidP="00DB1AEE">
      <w:pPr>
        <w:widowControl w:val="0"/>
        <w:suppressAutoHyphens/>
        <w:autoSpaceDE w:val="0"/>
        <w:autoSpaceDN w:val="0"/>
        <w:adjustRightInd w:val="0"/>
        <w:spacing w:before="130" w:after="130"/>
        <w:ind w:left="720"/>
        <w:rPr>
          <w:szCs w:val="24"/>
          <w:u w:val="single"/>
        </w:rPr>
      </w:pPr>
      <w:r w:rsidRPr="00DB1AEE">
        <w:rPr>
          <w:b/>
          <w:szCs w:val="24"/>
          <w:u w:val="single"/>
        </w:rPr>
        <w:t>101.2.5  Exceptions</w:t>
      </w:r>
      <w:r w:rsidRPr="00DB1AEE">
        <w:rPr>
          <w:szCs w:val="24"/>
          <w:u w:val="single"/>
        </w:rPr>
        <w:t>. This code shall not apply to the alterations of existing buildings set forth in items 1 through 7, provided that the alteration will not increase the energy usage of the building:</w:t>
      </w:r>
    </w:p>
    <w:p w14:paraId="5F2E124B" w14:textId="77777777" w:rsidR="00DB1AEE" w:rsidRPr="00DB1AEE" w:rsidRDefault="00DB1AEE" w:rsidP="00DB1AEE">
      <w:pPr>
        <w:widowControl w:val="0"/>
        <w:suppressAutoHyphens/>
        <w:autoSpaceDE w:val="0"/>
        <w:autoSpaceDN w:val="0"/>
        <w:adjustRightInd w:val="0"/>
        <w:spacing w:before="130" w:after="130"/>
        <w:ind w:left="1080"/>
        <w:rPr>
          <w:szCs w:val="24"/>
          <w:u w:val="single"/>
        </w:rPr>
      </w:pPr>
      <w:r w:rsidRPr="00DB1AEE">
        <w:rPr>
          <w:szCs w:val="24"/>
          <w:u w:val="single"/>
        </w:rPr>
        <w:t>1. Storm windows installed over existing fenestration.</w:t>
      </w:r>
    </w:p>
    <w:p w14:paraId="05809F97" w14:textId="77777777" w:rsidR="00DB1AEE" w:rsidRPr="00DB1AEE" w:rsidRDefault="00DB1AEE" w:rsidP="00DB1AEE">
      <w:pPr>
        <w:widowControl w:val="0"/>
        <w:suppressAutoHyphens/>
        <w:autoSpaceDE w:val="0"/>
        <w:autoSpaceDN w:val="0"/>
        <w:adjustRightInd w:val="0"/>
        <w:spacing w:before="130" w:after="130"/>
        <w:ind w:left="1440" w:hanging="360"/>
        <w:rPr>
          <w:szCs w:val="24"/>
          <w:u w:val="single"/>
        </w:rPr>
      </w:pPr>
      <w:r w:rsidRPr="00DB1AEE">
        <w:rPr>
          <w:szCs w:val="24"/>
          <w:u w:val="single"/>
        </w:rPr>
        <w:t>2. Glass-only replacements in an existing sash and frame, provided that the U-factor and the solar heat gain coefficient (SHGC) shall be equal to or lower than before the glass replacement.</w:t>
      </w:r>
    </w:p>
    <w:p w14:paraId="32771D40" w14:textId="77777777" w:rsidR="00DB1AEE" w:rsidRPr="00DB1AEE" w:rsidRDefault="00DB1AEE" w:rsidP="00DB1AEE">
      <w:pPr>
        <w:widowControl w:val="0"/>
        <w:suppressAutoHyphens/>
        <w:autoSpaceDE w:val="0"/>
        <w:autoSpaceDN w:val="0"/>
        <w:adjustRightInd w:val="0"/>
        <w:spacing w:before="130" w:after="130"/>
        <w:ind w:left="1440" w:hanging="360"/>
        <w:rPr>
          <w:szCs w:val="24"/>
          <w:u w:val="single"/>
        </w:rPr>
      </w:pPr>
      <w:r w:rsidRPr="00DB1AEE">
        <w:rPr>
          <w:szCs w:val="24"/>
          <w:u w:val="single"/>
        </w:rPr>
        <w:t>3.</w:t>
      </w:r>
      <w:r w:rsidRPr="00DB1AEE">
        <w:rPr>
          <w:szCs w:val="24"/>
          <w:u w:val="single"/>
        </w:rPr>
        <w:tab/>
        <w:t>Surface-applied window film installed on existing single-pane fenestration assemblies reducing solar heat gain, provided that the code does not require the glazing or fenestration to be replaced.</w:t>
      </w:r>
    </w:p>
    <w:p w14:paraId="1EA9FF56" w14:textId="77777777" w:rsidR="00DB1AEE" w:rsidRPr="00DB1AEE" w:rsidRDefault="00DB1AEE" w:rsidP="00DB1AEE">
      <w:pPr>
        <w:widowControl w:val="0"/>
        <w:suppressAutoHyphens/>
        <w:autoSpaceDE w:val="0"/>
        <w:autoSpaceDN w:val="0"/>
        <w:adjustRightInd w:val="0"/>
        <w:spacing w:before="130" w:after="130"/>
        <w:ind w:left="1354" w:hanging="274"/>
        <w:rPr>
          <w:szCs w:val="24"/>
          <w:u w:val="single"/>
        </w:rPr>
      </w:pPr>
      <w:r w:rsidRPr="00DB1AEE">
        <w:rPr>
          <w:szCs w:val="24"/>
          <w:u w:val="single"/>
        </w:rPr>
        <w:t>4. Reroofing where neither the sheathing nor the insulation is exposed. Roofs without insulation in the cavity and where the sheathing or insulation is exposed during reroofing shall be insulated either above or below the sheathing.</w:t>
      </w:r>
    </w:p>
    <w:p w14:paraId="7AB54CF9" w14:textId="77777777" w:rsidR="00DB1AEE" w:rsidRPr="00DB1AEE" w:rsidRDefault="00DB1AEE" w:rsidP="00DB1AEE">
      <w:pPr>
        <w:widowControl w:val="0"/>
        <w:suppressAutoHyphens/>
        <w:autoSpaceDE w:val="0"/>
        <w:autoSpaceDN w:val="0"/>
        <w:adjustRightInd w:val="0"/>
        <w:spacing w:before="130" w:after="130"/>
        <w:ind w:left="1354" w:hanging="274"/>
        <w:rPr>
          <w:szCs w:val="24"/>
          <w:u w:val="single"/>
        </w:rPr>
      </w:pPr>
      <w:r w:rsidRPr="00DB1AEE">
        <w:rPr>
          <w:szCs w:val="24"/>
          <w:u w:val="single"/>
        </w:rPr>
        <w:t>5. Replacement of existing doors that separate conditioned space from the exterior shall not require the installation of a vestibule or revolving door, provided, however, that an existing vestibule that separates a conditioned space from the exterior shall not be removed.</w:t>
      </w:r>
    </w:p>
    <w:p w14:paraId="1856D848" w14:textId="77777777" w:rsidR="00DB1AEE" w:rsidRPr="00DB1AEE" w:rsidRDefault="00DB1AEE" w:rsidP="00DB1AEE">
      <w:pPr>
        <w:widowControl w:val="0"/>
        <w:suppressAutoHyphens/>
        <w:autoSpaceDE w:val="0"/>
        <w:autoSpaceDN w:val="0"/>
        <w:adjustRightInd w:val="0"/>
        <w:spacing w:before="130" w:after="130"/>
        <w:ind w:left="1354" w:hanging="274"/>
        <w:rPr>
          <w:szCs w:val="24"/>
          <w:u w:val="single"/>
        </w:rPr>
      </w:pPr>
      <w:r w:rsidRPr="00DB1AEE">
        <w:rPr>
          <w:szCs w:val="24"/>
          <w:u w:val="single"/>
        </w:rPr>
        <w:t>6. An alteration that replaces less than 10 percent of the luminaires in a space, provided that such alteration does not increase the installed interior lighting power.</w:t>
      </w:r>
    </w:p>
    <w:p w14:paraId="56B40451" w14:textId="77777777" w:rsidR="00DB1AEE" w:rsidRPr="00DB1AEE" w:rsidRDefault="00DB1AEE" w:rsidP="00DB1AEE">
      <w:pPr>
        <w:widowControl w:val="0"/>
        <w:suppressAutoHyphens/>
        <w:autoSpaceDE w:val="0"/>
        <w:autoSpaceDN w:val="0"/>
        <w:adjustRightInd w:val="0"/>
        <w:spacing w:before="130" w:after="130"/>
        <w:ind w:left="1354" w:hanging="274"/>
        <w:rPr>
          <w:szCs w:val="24"/>
          <w:u w:val="single"/>
        </w:rPr>
      </w:pPr>
      <w:r w:rsidRPr="00DB1AEE">
        <w:rPr>
          <w:szCs w:val="24"/>
          <w:u w:val="single"/>
        </w:rPr>
        <w:t>7. An alteration that replaces only the bulb and ballast within the existing luminaires in a space, provided that such alteration does not increase the installed interior lighting power.</w:t>
      </w:r>
    </w:p>
    <w:p w14:paraId="5316802D" w14:textId="77777777" w:rsidR="00DB1AEE" w:rsidRPr="00DB1AEE" w:rsidRDefault="00DB1AEE" w:rsidP="00DB1AEE">
      <w:pPr>
        <w:widowControl w:val="0"/>
        <w:suppressAutoHyphens/>
        <w:autoSpaceDE w:val="0"/>
        <w:autoSpaceDN w:val="0"/>
        <w:adjustRightInd w:val="0"/>
        <w:spacing w:before="130" w:after="130"/>
        <w:ind w:left="360"/>
        <w:rPr>
          <w:szCs w:val="24"/>
          <w:u w:val="single"/>
        </w:rPr>
      </w:pPr>
      <w:r w:rsidRPr="00DB1AEE">
        <w:rPr>
          <w:b/>
          <w:bCs/>
          <w:szCs w:val="24"/>
          <w:u w:val="single"/>
        </w:rPr>
        <w:t>101.3 Intent.</w:t>
      </w:r>
      <w:r w:rsidRPr="00DB1AEE">
        <w:rPr>
          <w:szCs w:val="24"/>
          <w:u w:val="single"/>
        </w:rPr>
        <w:t xml:space="preserve">  This code shall regulate the design and construction of </w:t>
      </w:r>
      <w:r w:rsidRPr="00DB1AEE">
        <w:rPr>
          <w:iCs/>
          <w:szCs w:val="24"/>
          <w:u w:val="single"/>
        </w:rPr>
        <w:t xml:space="preserve">buildings </w:t>
      </w:r>
      <w:r w:rsidRPr="00DB1AEE">
        <w:rPr>
          <w:szCs w:val="24"/>
          <w:u w:val="single"/>
        </w:rPr>
        <w:t xml:space="preserve">for the use and conservation of energy over the life of each building. This code is intended to provide flexibility to permit the use of innovative approaches and techniques to achieve this objective. This code is not intended to abridge safety, health or environmental requirements contained in other applicable codes or ordinances. To the fullest extent feasible, use of modern technical methods, devices and improvements that tend to minimize consumption of energy without abridging reasonable requirements for the safety, health and security of the occupants or users of </w:t>
      </w:r>
      <w:r w:rsidRPr="00DB1AEE">
        <w:rPr>
          <w:iCs/>
          <w:szCs w:val="24"/>
          <w:u w:val="single"/>
        </w:rPr>
        <w:t>buildings</w:t>
      </w:r>
      <w:r w:rsidRPr="00DB1AEE">
        <w:rPr>
          <w:szCs w:val="24"/>
          <w:u w:val="single"/>
        </w:rPr>
        <w:t xml:space="preserve"> shall be permitted. As far as may be practicable, the improvement of energy conservation construction practices, methods, equipment, materials and techniques shall be encouraged.</w:t>
      </w:r>
    </w:p>
    <w:p w14:paraId="214015A4" w14:textId="77777777" w:rsidR="00DB1AEE" w:rsidRPr="00DB1AEE" w:rsidRDefault="00DB1AEE" w:rsidP="00DB1AEE">
      <w:pPr>
        <w:widowControl w:val="0"/>
        <w:suppressAutoHyphens/>
        <w:autoSpaceDE w:val="0"/>
        <w:autoSpaceDN w:val="0"/>
        <w:adjustRightInd w:val="0"/>
        <w:spacing w:before="130" w:after="130"/>
        <w:ind w:left="360"/>
        <w:rPr>
          <w:szCs w:val="24"/>
          <w:u w:val="single"/>
        </w:rPr>
      </w:pPr>
      <w:r w:rsidRPr="00DB1AEE">
        <w:rPr>
          <w:bCs/>
          <w:iCs/>
          <w:szCs w:val="24"/>
          <w:u w:val="single"/>
          <w:lang w:val="x-none"/>
        </w:rPr>
        <w:t xml:space="preserve">Nothing in this section or in any other provision </w:t>
      </w:r>
      <w:r w:rsidRPr="00DB1AEE">
        <w:rPr>
          <w:bCs/>
          <w:iCs/>
          <w:szCs w:val="24"/>
          <w:u w:val="single"/>
        </w:rPr>
        <w:t>of</w:t>
      </w:r>
      <w:r w:rsidRPr="00DB1AEE">
        <w:rPr>
          <w:bCs/>
          <w:iCs/>
          <w:szCs w:val="24"/>
          <w:u w:val="single"/>
          <w:lang w:val="x-none"/>
        </w:rPr>
        <w:t xml:space="preserve"> this code shall be construed </w:t>
      </w:r>
      <w:r w:rsidRPr="00DB1AEE">
        <w:rPr>
          <w:bCs/>
          <w:iCs/>
          <w:szCs w:val="24"/>
          <w:u w:val="single"/>
        </w:rPr>
        <w:t>to permit</w:t>
      </w:r>
      <w:r w:rsidRPr="00DB1AEE">
        <w:rPr>
          <w:bCs/>
          <w:iCs/>
          <w:szCs w:val="24"/>
          <w:u w:val="single"/>
          <w:lang w:val="x-none"/>
        </w:rPr>
        <w:t xml:space="preserve"> </w:t>
      </w:r>
      <w:r w:rsidRPr="00DB1AEE">
        <w:rPr>
          <w:bCs/>
          <w:iCs/>
          <w:szCs w:val="24"/>
          <w:u w:val="single"/>
        </w:rPr>
        <w:t>the commissioner</w:t>
      </w:r>
      <w:r w:rsidRPr="00DB1AEE">
        <w:rPr>
          <w:bCs/>
          <w:iCs/>
          <w:szCs w:val="24"/>
          <w:u w:val="single"/>
          <w:lang w:val="x-none"/>
        </w:rPr>
        <w:t xml:space="preserve"> to </w:t>
      </w:r>
      <w:r w:rsidRPr="00DB1AEE">
        <w:rPr>
          <w:bCs/>
          <w:iCs/>
          <w:szCs w:val="24"/>
          <w:u w:val="single"/>
        </w:rPr>
        <w:t xml:space="preserve">approve an application to </w:t>
      </w:r>
      <w:r w:rsidRPr="00DB1AEE">
        <w:rPr>
          <w:bCs/>
          <w:iCs/>
          <w:szCs w:val="24"/>
          <w:u w:val="single"/>
          <w:lang w:val="x-none"/>
        </w:rPr>
        <w:t>waive, vary, modify or otherwise alter any</w:t>
      </w:r>
      <w:r w:rsidRPr="00DB1AEE">
        <w:rPr>
          <w:bCs/>
          <w:iCs/>
          <w:szCs w:val="24"/>
          <w:u w:val="single"/>
        </w:rPr>
        <w:t xml:space="preserve"> provision of this code if such alteration would make such provision less restrictive than a </w:t>
      </w:r>
      <w:r w:rsidRPr="00DB1AEE">
        <w:rPr>
          <w:bCs/>
          <w:iCs/>
          <w:szCs w:val="24"/>
          <w:u w:val="single"/>
          <w:lang w:val="x-none"/>
        </w:rPr>
        <w:t xml:space="preserve">standard or requirement of the </w:t>
      </w:r>
      <w:r w:rsidRPr="00DB1AEE">
        <w:rPr>
          <w:bCs/>
          <w:iCs/>
          <w:szCs w:val="24"/>
          <w:u w:val="single"/>
        </w:rPr>
        <w:t xml:space="preserve">ECCCNYS, unless the applicant has obtained approval for such alteration </w:t>
      </w:r>
      <w:r w:rsidRPr="00DB1AEE">
        <w:rPr>
          <w:bCs/>
          <w:iCs/>
          <w:szCs w:val="24"/>
          <w:u w:val="single"/>
          <w:lang w:val="x-none"/>
        </w:rPr>
        <w:t>pursuant to Section 11-106 of the New York State Energy Law.</w:t>
      </w:r>
    </w:p>
    <w:p w14:paraId="328AFF82" w14:textId="77777777" w:rsidR="00DB1AEE" w:rsidRPr="00DB1AEE" w:rsidRDefault="00DB1AEE" w:rsidP="00DB1AEE">
      <w:pPr>
        <w:widowControl w:val="0"/>
        <w:suppressAutoHyphens/>
        <w:autoSpaceDE w:val="0"/>
        <w:autoSpaceDN w:val="0"/>
        <w:adjustRightInd w:val="0"/>
        <w:spacing w:before="130" w:after="130"/>
        <w:ind w:left="360"/>
        <w:rPr>
          <w:szCs w:val="24"/>
          <w:u w:val="single"/>
        </w:rPr>
      </w:pPr>
      <w:r w:rsidRPr="00DB1AEE">
        <w:rPr>
          <w:b/>
          <w:bCs/>
          <w:szCs w:val="24"/>
          <w:u w:val="single"/>
        </w:rPr>
        <w:t>101.4 Applicability.</w:t>
      </w:r>
      <w:r w:rsidRPr="00DB1AEE">
        <w:rPr>
          <w:szCs w:val="24"/>
          <w:u w:val="single"/>
        </w:rPr>
        <w:t xml:space="preserve">  The provisions of this code shall apply to the construction of </w:t>
      </w:r>
      <w:r w:rsidRPr="00DB1AEE">
        <w:rPr>
          <w:iCs/>
          <w:szCs w:val="24"/>
          <w:u w:val="single"/>
        </w:rPr>
        <w:t>buildings</w:t>
      </w:r>
      <w:r w:rsidRPr="00DB1AEE">
        <w:rPr>
          <w:szCs w:val="24"/>
          <w:u w:val="single"/>
        </w:rPr>
        <w:t>. Where, in any specific case, different sections of this code specify different materials, methods of construction or other requirements, the most restrictive shall govern. Where there is a conflict between a general requirement and a specific requirement, the specific requirement shall govern.</w:t>
      </w:r>
    </w:p>
    <w:p w14:paraId="1978EA48" w14:textId="77777777" w:rsidR="00DB1AEE" w:rsidRPr="00DB1AEE" w:rsidRDefault="00DB1AEE" w:rsidP="00DB1AEE">
      <w:pPr>
        <w:widowControl w:val="0"/>
        <w:suppressAutoHyphens/>
        <w:autoSpaceDE w:val="0"/>
        <w:autoSpaceDN w:val="0"/>
        <w:adjustRightInd w:val="0"/>
        <w:spacing w:before="130" w:after="130"/>
        <w:ind w:left="720"/>
        <w:rPr>
          <w:spacing w:val="-3"/>
          <w:szCs w:val="24"/>
          <w:u w:val="single"/>
        </w:rPr>
      </w:pPr>
      <w:r w:rsidRPr="00DB1AEE">
        <w:rPr>
          <w:b/>
          <w:bCs/>
          <w:spacing w:val="-3"/>
          <w:szCs w:val="24"/>
          <w:u w:val="single"/>
        </w:rPr>
        <w:t>101.4.1 Mixed occupancy.</w:t>
      </w:r>
      <w:r w:rsidRPr="00DB1AEE">
        <w:rPr>
          <w:spacing w:val="-3"/>
          <w:szCs w:val="24"/>
          <w:u w:val="single"/>
        </w:rPr>
        <w:t xml:space="preserve"> Where a </w:t>
      </w:r>
      <w:r w:rsidRPr="00DB1AEE">
        <w:rPr>
          <w:iCs/>
          <w:spacing w:val="-3"/>
          <w:szCs w:val="24"/>
          <w:u w:val="single"/>
        </w:rPr>
        <w:t>building, having not more than three stories above grade plane,</w:t>
      </w:r>
      <w:r w:rsidRPr="00DB1AEE">
        <w:rPr>
          <w:spacing w:val="-3"/>
          <w:szCs w:val="24"/>
          <w:u w:val="single"/>
        </w:rPr>
        <w:t xml:space="preserve"> includes both commercial and residential occupancies, each occupancy shall be separately considered</w:t>
      </w:r>
      <w:r w:rsidRPr="00DB1AEE">
        <w:rPr>
          <w:szCs w:val="24"/>
          <w:u w:val="single"/>
        </w:rPr>
        <w:t xml:space="preserve"> and shall meet the applicable provisions of Chapters C2, C3, C4 and C5 for commercial or the applicable provisions of the 2025 NYC ASHRAE 90.1, and Chapters R2, R3, R4, and R5 for residential</w:t>
      </w:r>
      <w:r w:rsidRPr="00DB1AEE">
        <w:rPr>
          <w:spacing w:val="-3"/>
          <w:szCs w:val="24"/>
          <w:u w:val="single"/>
        </w:rPr>
        <w:t>.</w:t>
      </w:r>
      <w:r w:rsidRPr="00DB1AEE">
        <w:rPr>
          <w:szCs w:val="24"/>
          <w:u w:val="single"/>
        </w:rPr>
        <w:t xml:space="preserve"> </w:t>
      </w:r>
    </w:p>
    <w:p w14:paraId="4EC08DA5" w14:textId="77777777" w:rsidR="00DB1AEE" w:rsidRPr="00DB1AEE" w:rsidRDefault="00DB1AEE" w:rsidP="00DB1AEE">
      <w:pPr>
        <w:widowControl w:val="0"/>
        <w:suppressAutoHyphens/>
        <w:autoSpaceDE w:val="0"/>
        <w:autoSpaceDN w:val="0"/>
        <w:adjustRightInd w:val="0"/>
        <w:spacing w:before="130" w:after="130"/>
        <w:ind w:left="360"/>
        <w:rPr>
          <w:b/>
          <w:bCs/>
          <w:iCs/>
          <w:spacing w:val="-3"/>
          <w:szCs w:val="24"/>
          <w:u w:val="single"/>
          <w:lang w:val="x-none"/>
        </w:rPr>
      </w:pPr>
      <w:r w:rsidRPr="00DB1AEE">
        <w:rPr>
          <w:b/>
          <w:bCs/>
          <w:iCs/>
          <w:spacing w:val="-3"/>
          <w:szCs w:val="24"/>
          <w:u w:val="single"/>
          <w:lang w:val="x-none"/>
        </w:rPr>
        <w:t xml:space="preserve">101.5 Compliance. </w:t>
      </w:r>
      <w:r w:rsidRPr="00DB1AEE">
        <w:rPr>
          <w:bCs/>
          <w:iCs/>
          <w:spacing w:val="-3"/>
          <w:szCs w:val="24"/>
          <w:u w:val="single"/>
          <w:lang w:val="x-none"/>
        </w:rPr>
        <w:t xml:space="preserve">Commercial buildings shall comply with the provisions of </w:t>
      </w:r>
      <w:r w:rsidRPr="00DB1AEE">
        <w:rPr>
          <w:bCs/>
          <w:iCs/>
          <w:spacing w:val="-3"/>
          <w:szCs w:val="24"/>
          <w:u w:val="single"/>
        </w:rPr>
        <w:t>this code</w:t>
      </w:r>
      <w:r w:rsidRPr="00DB1AEE">
        <w:rPr>
          <w:bCs/>
          <w:iCs/>
          <w:spacing w:val="-3"/>
          <w:szCs w:val="24"/>
          <w:u w:val="single"/>
          <w:lang w:val="x-none"/>
        </w:rPr>
        <w:t xml:space="preserve"> applicable to commercial buildings. Residential buildings shall comply with the provisions of </w:t>
      </w:r>
      <w:r w:rsidRPr="00DB1AEE">
        <w:rPr>
          <w:bCs/>
          <w:iCs/>
          <w:spacing w:val="-3"/>
          <w:szCs w:val="24"/>
          <w:u w:val="single"/>
        </w:rPr>
        <w:t>this code</w:t>
      </w:r>
      <w:r w:rsidRPr="00DB1AEE">
        <w:rPr>
          <w:bCs/>
          <w:iCs/>
          <w:spacing w:val="-3"/>
          <w:szCs w:val="24"/>
          <w:u w:val="single"/>
          <w:lang w:val="x-none"/>
        </w:rPr>
        <w:t xml:space="preserve"> applicable to residential buildings.</w:t>
      </w:r>
    </w:p>
    <w:p w14:paraId="4C06C357" w14:textId="77777777" w:rsidR="00DB1AEE" w:rsidRPr="00DB1AEE" w:rsidRDefault="00DB1AEE" w:rsidP="00DB1AEE">
      <w:pPr>
        <w:widowControl w:val="0"/>
        <w:suppressAutoHyphens/>
        <w:autoSpaceDE w:val="0"/>
        <w:autoSpaceDN w:val="0"/>
        <w:adjustRightInd w:val="0"/>
        <w:spacing w:before="130" w:after="130"/>
        <w:ind w:left="720"/>
        <w:rPr>
          <w:szCs w:val="24"/>
          <w:u w:val="single"/>
        </w:rPr>
      </w:pPr>
      <w:r w:rsidRPr="00DB1AEE">
        <w:rPr>
          <w:b/>
          <w:szCs w:val="24"/>
          <w:u w:val="single"/>
        </w:rPr>
        <w:t>101.5.1</w:t>
      </w:r>
      <w:r w:rsidRPr="00DB1AEE">
        <w:rPr>
          <w:szCs w:val="24"/>
          <w:u w:val="single"/>
        </w:rPr>
        <w:t xml:space="preserve"> </w:t>
      </w:r>
      <w:r w:rsidRPr="00DB1AEE">
        <w:rPr>
          <w:b/>
          <w:szCs w:val="24"/>
          <w:u w:val="single"/>
        </w:rPr>
        <w:t>Compliance software</w:t>
      </w:r>
      <w:r w:rsidRPr="00DB1AEE">
        <w:rPr>
          <w:szCs w:val="24"/>
          <w:u w:val="single"/>
        </w:rPr>
        <w:t>.</w:t>
      </w:r>
      <w:r w:rsidRPr="00DB1AEE">
        <w:rPr>
          <w:sz w:val="23"/>
          <w:szCs w:val="23"/>
          <w:u w:val="single"/>
        </w:rPr>
        <w:t xml:space="preserve"> </w:t>
      </w:r>
      <w:r w:rsidRPr="00DB1AEE">
        <w:rPr>
          <w:szCs w:val="24"/>
          <w:u w:val="single"/>
        </w:rPr>
        <w:t>Where chosen by the applicant, compliance with the NYCECC—Commercial Provisions or Residential Provisions, or portion thereof, or, if applicable, with the 2025 NYC ASHRAE 90.1 - can be demonstrated using; either of the following:</w:t>
      </w:r>
    </w:p>
    <w:p w14:paraId="3A80B6A0" w14:textId="77777777" w:rsidR="00DB1AEE" w:rsidRPr="00DB1AEE" w:rsidRDefault="00DB1AEE" w:rsidP="00DB1AEE">
      <w:pPr>
        <w:widowControl w:val="0"/>
        <w:suppressAutoHyphens/>
        <w:autoSpaceDE w:val="0"/>
        <w:autoSpaceDN w:val="0"/>
        <w:adjustRightInd w:val="0"/>
        <w:spacing w:before="130" w:after="130"/>
        <w:ind w:left="720"/>
        <w:rPr>
          <w:szCs w:val="24"/>
          <w:u w:val="single"/>
        </w:rPr>
      </w:pPr>
      <w:r w:rsidRPr="00DB1AEE">
        <w:rPr>
          <w:szCs w:val="24"/>
          <w:u w:val="single"/>
        </w:rPr>
        <w:t>1. Computer software that is developed by the United States Department of Energy (such as COMcheck©), specifically for the NYCECC or, if applicable, specifically for the 2025 NYC ASHRAE 90.1, or</w:t>
      </w:r>
    </w:p>
    <w:p w14:paraId="76EADFAE" w14:textId="77777777" w:rsidR="00DB1AEE" w:rsidRPr="00DB1AEE" w:rsidRDefault="00DB1AEE" w:rsidP="00DB1AEE">
      <w:pPr>
        <w:widowControl w:val="0"/>
        <w:suppressAutoHyphens/>
        <w:autoSpaceDE w:val="0"/>
        <w:autoSpaceDN w:val="0"/>
        <w:adjustRightInd w:val="0"/>
        <w:spacing w:before="130" w:after="130"/>
        <w:ind w:left="720"/>
        <w:rPr>
          <w:szCs w:val="24"/>
          <w:u w:val="single"/>
        </w:rPr>
      </w:pPr>
      <w:r w:rsidRPr="00DB1AEE">
        <w:rPr>
          <w:szCs w:val="24"/>
          <w:u w:val="single"/>
        </w:rPr>
        <w:t>2. Other software expressly approved in writing by the New York Secretary of State as acceptable for demonstrating compliance with the NYCECC or, if applicable, for demonstrating compliance with the 2025 NYC ASHRAE 90.1.</w:t>
      </w:r>
    </w:p>
    <w:p w14:paraId="2B9401F6" w14:textId="77777777" w:rsidR="00DB1AEE" w:rsidRPr="00DB1AEE" w:rsidRDefault="00DB1AEE" w:rsidP="00DB1AEE">
      <w:pPr>
        <w:widowControl w:val="0"/>
        <w:suppressAutoHyphens/>
        <w:autoSpaceDE w:val="0"/>
        <w:autoSpaceDN w:val="0"/>
        <w:adjustRightInd w:val="0"/>
        <w:spacing w:before="130" w:after="130"/>
        <w:ind w:left="1080"/>
        <w:rPr>
          <w:szCs w:val="24"/>
          <w:u w:val="single"/>
        </w:rPr>
      </w:pPr>
      <w:r w:rsidRPr="00DB1AEE">
        <w:rPr>
          <w:b/>
          <w:szCs w:val="24"/>
          <w:u w:val="single"/>
        </w:rPr>
        <w:t>101.5.1.1</w:t>
      </w:r>
      <w:r w:rsidRPr="00DB1AEE">
        <w:rPr>
          <w:szCs w:val="24"/>
          <w:u w:val="single"/>
        </w:rPr>
        <w:t xml:space="preserve"> Other analysis tools. Other performance analysis tools used to document simulated building performance for a specified application or limited scope in accordance with Section C407, are subject to the approval of the building official.</w:t>
      </w:r>
    </w:p>
    <w:p w14:paraId="681BF5A2" w14:textId="77777777" w:rsidR="00DB1AEE" w:rsidRPr="00DB1AEE" w:rsidRDefault="00DB1AEE" w:rsidP="00DB1AEE">
      <w:pPr>
        <w:widowControl w:val="0"/>
        <w:suppressAutoHyphens/>
        <w:autoSpaceDE w:val="0"/>
        <w:autoSpaceDN w:val="0"/>
        <w:adjustRightInd w:val="0"/>
        <w:spacing w:before="130" w:after="130"/>
        <w:ind w:left="1080"/>
        <w:rPr>
          <w:szCs w:val="24"/>
          <w:u w:val="single"/>
        </w:rPr>
      </w:pPr>
      <w:r w:rsidRPr="00DB1AEE">
        <w:rPr>
          <w:b/>
          <w:szCs w:val="24"/>
          <w:u w:val="single"/>
        </w:rPr>
        <w:t>101.5.1.2</w:t>
      </w:r>
      <w:r w:rsidRPr="00DB1AEE">
        <w:rPr>
          <w:szCs w:val="24"/>
          <w:u w:val="single"/>
        </w:rPr>
        <w:t xml:space="preserve"> </w:t>
      </w:r>
      <w:r w:rsidRPr="00DB1AEE">
        <w:rPr>
          <w:b/>
          <w:szCs w:val="24"/>
          <w:u w:val="single"/>
        </w:rPr>
        <w:t>Mandatory provisions</w:t>
      </w:r>
      <w:r w:rsidRPr="00DB1AEE">
        <w:rPr>
          <w:szCs w:val="24"/>
          <w:u w:val="single"/>
        </w:rPr>
        <w:t>. The use of the software approach to demonstrate compliance with the commercial provisions, residential provisions, or 2025 NYC ASHRAE 90.1 as established by this code is not a defense for the failure to comply with any mandatory provision of this code. When using the software approach to demonstrate compliance with the provisions of  this code, compliance with all applicable mandatory provisions of this code is required.</w:t>
      </w:r>
    </w:p>
    <w:p w14:paraId="13AB3BB2" w14:textId="77777777" w:rsidR="00DB1AEE" w:rsidRPr="00DB1AEE" w:rsidRDefault="00DB1AEE" w:rsidP="00DB1AEE">
      <w:pPr>
        <w:widowControl w:val="0"/>
        <w:suppressAutoHyphens/>
        <w:autoSpaceDE w:val="0"/>
        <w:autoSpaceDN w:val="0"/>
        <w:adjustRightInd w:val="0"/>
        <w:spacing w:before="130" w:after="130"/>
        <w:ind w:left="720"/>
        <w:rPr>
          <w:szCs w:val="24"/>
          <w:u w:val="single"/>
        </w:rPr>
      </w:pPr>
      <w:r w:rsidRPr="00DB1AEE">
        <w:rPr>
          <w:b/>
          <w:bCs/>
          <w:szCs w:val="24"/>
          <w:u w:val="single"/>
        </w:rPr>
        <w:t>101.5.2 Demonstration of compliance.</w:t>
      </w:r>
      <w:r w:rsidRPr="00DB1AEE">
        <w:rPr>
          <w:szCs w:val="24"/>
          <w:u w:val="single"/>
        </w:rPr>
        <w:t xml:space="preserve"> For a </w:t>
      </w:r>
      <w:r w:rsidRPr="00DB1AEE">
        <w:rPr>
          <w:iCs/>
          <w:szCs w:val="24"/>
          <w:u w:val="single"/>
        </w:rPr>
        <w:t>building</w:t>
      </w:r>
      <w:r w:rsidRPr="00DB1AEE">
        <w:rPr>
          <w:szCs w:val="24"/>
          <w:u w:val="single"/>
        </w:rPr>
        <w:t xml:space="preserve"> </w:t>
      </w:r>
      <w:r w:rsidRPr="00DB1AEE">
        <w:rPr>
          <w:iCs/>
          <w:szCs w:val="24"/>
          <w:u w:val="single"/>
        </w:rPr>
        <w:t>project</w:t>
      </w:r>
      <w:r w:rsidRPr="00DB1AEE">
        <w:rPr>
          <w:szCs w:val="24"/>
          <w:u w:val="single"/>
        </w:rPr>
        <w:t xml:space="preserve"> application or applications required to be submitted to the department, the following documentation, as further described in the rules of the department, shall be required in order to demonstrate compliance with this code:</w:t>
      </w:r>
    </w:p>
    <w:p w14:paraId="2B1DC819" w14:textId="77777777" w:rsidR="00DB1AEE" w:rsidRPr="00DB1AEE" w:rsidRDefault="00DB1AEE" w:rsidP="00DB1AEE">
      <w:pPr>
        <w:widowControl w:val="0"/>
        <w:suppressAutoHyphens/>
        <w:autoSpaceDE w:val="0"/>
        <w:autoSpaceDN w:val="0"/>
        <w:adjustRightInd w:val="0"/>
        <w:spacing w:before="130" w:after="130"/>
        <w:ind w:left="1080"/>
        <w:rPr>
          <w:szCs w:val="24"/>
          <w:u w:val="single"/>
        </w:rPr>
      </w:pPr>
      <w:r w:rsidRPr="00DB1AEE">
        <w:rPr>
          <w:b/>
          <w:bCs/>
          <w:szCs w:val="24"/>
          <w:u w:val="single"/>
        </w:rPr>
        <w:t>101.5.2.1 Professional</w:t>
      </w:r>
      <w:r w:rsidRPr="00DB1AEE">
        <w:rPr>
          <w:szCs w:val="24"/>
          <w:u w:val="single"/>
        </w:rPr>
        <w:t xml:space="preserve"> </w:t>
      </w:r>
      <w:r w:rsidRPr="00DB1AEE">
        <w:rPr>
          <w:b/>
          <w:bCs/>
          <w:szCs w:val="24"/>
          <w:u w:val="single"/>
        </w:rPr>
        <w:t>statement.</w:t>
      </w:r>
      <w:r w:rsidRPr="00DB1AEE">
        <w:rPr>
          <w:szCs w:val="24"/>
          <w:u w:val="single"/>
        </w:rPr>
        <w:t xml:space="preserve"> Any </w:t>
      </w:r>
      <w:r w:rsidRPr="00DB1AEE">
        <w:rPr>
          <w:iCs/>
          <w:szCs w:val="24"/>
          <w:u w:val="single"/>
        </w:rPr>
        <w:t>registered</w:t>
      </w:r>
      <w:r w:rsidRPr="00DB1AEE">
        <w:rPr>
          <w:szCs w:val="24"/>
          <w:u w:val="single"/>
        </w:rPr>
        <w:t xml:space="preserve"> </w:t>
      </w:r>
      <w:r w:rsidRPr="00DB1AEE">
        <w:rPr>
          <w:iCs/>
          <w:szCs w:val="24"/>
          <w:u w:val="single"/>
        </w:rPr>
        <w:t>design professional</w:t>
      </w:r>
      <w:r w:rsidRPr="00DB1AEE">
        <w:rPr>
          <w:szCs w:val="24"/>
          <w:u w:val="single"/>
        </w:rPr>
        <w:t xml:space="preserve"> or </w:t>
      </w:r>
      <w:r w:rsidRPr="00DB1AEE">
        <w:rPr>
          <w:iCs/>
          <w:szCs w:val="24"/>
          <w:u w:val="single"/>
        </w:rPr>
        <w:t>lead energy professional</w:t>
      </w:r>
      <w:r w:rsidRPr="00DB1AEE">
        <w:rPr>
          <w:szCs w:val="24"/>
          <w:u w:val="single"/>
        </w:rPr>
        <w:t xml:space="preserve"> filing an application or applications for a new </w:t>
      </w:r>
      <w:r w:rsidRPr="00DB1AEE">
        <w:rPr>
          <w:iCs/>
          <w:szCs w:val="24"/>
          <w:u w:val="single"/>
        </w:rPr>
        <w:t>building</w:t>
      </w:r>
      <w:r w:rsidRPr="00DB1AEE">
        <w:rPr>
          <w:szCs w:val="24"/>
          <w:u w:val="single"/>
        </w:rPr>
        <w:t xml:space="preserve"> or </w:t>
      </w:r>
      <w:r w:rsidRPr="00DB1AEE">
        <w:rPr>
          <w:iCs/>
          <w:szCs w:val="24"/>
          <w:u w:val="single"/>
        </w:rPr>
        <w:t>alteration</w:t>
      </w:r>
      <w:r w:rsidRPr="00DB1AEE">
        <w:rPr>
          <w:szCs w:val="24"/>
          <w:u w:val="single"/>
        </w:rPr>
        <w:t xml:space="preserve"> </w:t>
      </w:r>
      <w:r w:rsidRPr="00DB1AEE">
        <w:rPr>
          <w:iCs/>
          <w:szCs w:val="24"/>
          <w:u w:val="single"/>
        </w:rPr>
        <w:t>project</w:t>
      </w:r>
      <w:r w:rsidRPr="00DB1AEE">
        <w:rPr>
          <w:szCs w:val="24"/>
          <w:u w:val="single"/>
        </w:rPr>
        <w:t xml:space="preserve"> shall provide on a signed and sealed drawing a statement of compliance or exemption in accordance with the rules of the department.</w:t>
      </w:r>
    </w:p>
    <w:p w14:paraId="309235E8" w14:textId="77777777" w:rsidR="00DB1AEE" w:rsidRPr="00DB1AEE" w:rsidRDefault="00DB1AEE" w:rsidP="00DB1AEE">
      <w:pPr>
        <w:widowControl w:val="0"/>
        <w:suppressAutoHyphens/>
        <w:autoSpaceDE w:val="0"/>
        <w:autoSpaceDN w:val="0"/>
        <w:adjustRightInd w:val="0"/>
        <w:spacing w:before="130" w:after="130"/>
        <w:ind w:left="1080"/>
        <w:rPr>
          <w:szCs w:val="24"/>
          <w:u w:val="single"/>
        </w:rPr>
      </w:pPr>
      <w:r w:rsidRPr="00DB1AEE">
        <w:rPr>
          <w:b/>
          <w:bCs/>
          <w:szCs w:val="24"/>
          <w:u w:val="single"/>
        </w:rPr>
        <w:t>101.5.2.2 Energy analysis.</w:t>
      </w:r>
      <w:r w:rsidRPr="00DB1AEE">
        <w:rPr>
          <w:szCs w:val="24"/>
          <w:u w:val="single"/>
        </w:rPr>
        <w:t xml:space="preserve"> For any application that is not exempt from this code and for which a work permit is required in accordance with Section 28-105 of the </w:t>
      </w:r>
      <w:r w:rsidRPr="00DB1AEE">
        <w:rPr>
          <w:iCs/>
          <w:szCs w:val="24"/>
          <w:u w:val="single"/>
        </w:rPr>
        <w:t>Administrative Code</w:t>
      </w:r>
      <w:r w:rsidRPr="00DB1AEE">
        <w:rPr>
          <w:szCs w:val="24"/>
          <w:u w:val="single"/>
        </w:rPr>
        <w:t xml:space="preserve">, an </w:t>
      </w:r>
      <w:r w:rsidRPr="00DB1AEE">
        <w:rPr>
          <w:iCs/>
          <w:szCs w:val="24"/>
          <w:u w:val="single"/>
        </w:rPr>
        <w:t>energy analysis</w:t>
      </w:r>
      <w:r w:rsidRPr="00DB1AEE">
        <w:rPr>
          <w:szCs w:val="24"/>
          <w:u w:val="single"/>
        </w:rPr>
        <w:t xml:space="preserve"> shall be provided on a sheet or sheets within the construction drawing set. The </w:t>
      </w:r>
      <w:r w:rsidRPr="00DB1AEE">
        <w:rPr>
          <w:iCs/>
          <w:szCs w:val="24"/>
          <w:u w:val="single"/>
        </w:rPr>
        <w:t xml:space="preserve">energy analysis </w:t>
      </w:r>
      <w:r w:rsidRPr="00DB1AEE">
        <w:rPr>
          <w:szCs w:val="24"/>
          <w:u w:val="single"/>
        </w:rPr>
        <w:t xml:space="preserve">shall identify the compliance path followed, demonstrate how the design complies with this code and be in a format as prescribed in the rules of the department. The </w:t>
      </w:r>
      <w:r w:rsidRPr="00DB1AEE">
        <w:rPr>
          <w:iCs/>
          <w:szCs w:val="24"/>
          <w:u w:val="single"/>
        </w:rPr>
        <w:t>energy analysis</w:t>
      </w:r>
      <w:r w:rsidRPr="00DB1AEE">
        <w:rPr>
          <w:szCs w:val="24"/>
          <w:u w:val="single"/>
        </w:rPr>
        <w:t xml:space="preserve"> shall meet the requirements of this code for the entire </w:t>
      </w:r>
      <w:r w:rsidRPr="00DB1AEE">
        <w:rPr>
          <w:iCs/>
          <w:szCs w:val="24"/>
          <w:u w:val="single"/>
        </w:rPr>
        <w:t>project</w:t>
      </w:r>
      <w:r w:rsidRPr="00DB1AEE">
        <w:rPr>
          <w:szCs w:val="24"/>
          <w:u w:val="single"/>
        </w:rPr>
        <w:t xml:space="preserve">. </w:t>
      </w:r>
      <w:r w:rsidRPr="00DB1AEE">
        <w:rPr>
          <w:iCs/>
          <w:szCs w:val="24"/>
          <w:u w:val="single"/>
        </w:rPr>
        <w:t>Projects</w:t>
      </w:r>
      <w:r w:rsidRPr="00DB1AEE">
        <w:rPr>
          <w:szCs w:val="24"/>
          <w:u w:val="single"/>
        </w:rPr>
        <w:t xml:space="preserve"> that utilize trade-offs among disciplines shall use DOE2-based energy modeling programs or other energy-modeling programs as prescribed in the rules of the department and shall be signed and sealed by a </w:t>
      </w:r>
      <w:r w:rsidRPr="00DB1AEE">
        <w:rPr>
          <w:iCs/>
          <w:szCs w:val="24"/>
          <w:u w:val="single"/>
        </w:rPr>
        <w:t>lead energy professional</w:t>
      </w:r>
      <w:r w:rsidRPr="00DB1AEE">
        <w:rPr>
          <w:szCs w:val="24"/>
          <w:u w:val="single"/>
        </w:rPr>
        <w:t xml:space="preserve">. </w:t>
      </w:r>
    </w:p>
    <w:p w14:paraId="742AE26A" w14:textId="77777777" w:rsidR="00DB1AEE" w:rsidRPr="00DB1AEE" w:rsidRDefault="00DB1AEE" w:rsidP="00DB1AEE">
      <w:pPr>
        <w:widowControl w:val="0"/>
        <w:suppressAutoHyphens/>
        <w:autoSpaceDE w:val="0"/>
        <w:autoSpaceDN w:val="0"/>
        <w:adjustRightInd w:val="0"/>
        <w:spacing w:before="130" w:after="130"/>
        <w:ind w:left="1080"/>
        <w:rPr>
          <w:szCs w:val="24"/>
          <w:u w:val="single"/>
        </w:rPr>
      </w:pPr>
      <w:r w:rsidRPr="00DB1AEE">
        <w:rPr>
          <w:b/>
          <w:bCs/>
          <w:szCs w:val="24"/>
          <w:u w:val="single"/>
        </w:rPr>
        <w:t>101.5.2.3 Supporting documentation.</w:t>
      </w:r>
      <w:r w:rsidRPr="00DB1AEE">
        <w:rPr>
          <w:szCs w:val="24"/>
          <w:u w:val="single"/>
        </w:rPr>
        <w:t xml:space="preserve"> For any application that is not exempt from this code and for which a work permit is required in accordance with Section 28-105 of the </w:t>
      </w:r>
      <w:r w:rsidRPr="00DB1AEE">
        <w:rPr>
          <w:iCs/>
          <w:szCs w:val="24"/>
          <w:u w:val="single"/>
        </w:rPr>
        <w:t>Administrative Code</w:t>
      </w:r>
      <w:r w:rsidRPr="00DB1AEE">
        <w:rPr>
          <w:szCs w:val="24"/>
          <w:u w:val="single"/>
        </w:rPr>
        <w:t xml:space="preserve">, supporting documentation shall be required in the </w:t>
      </w:r>
      <w:r w:rsidRPr="00DB1AEE">
        <w:rPr>
          <w:iCs/>
          <w:szCs w:val="24"/>
          <w:u w:val="single"/>
        </w:rPr>
        <w:t>approved</w:t>
      </w:r>
      <w:r w:rsidRPr="00DB1AEE">
        <w:rPr>
          <w:szCs w:val="24"/>
          <w:u w:val="single"/>
        </w:rPr>
        <w:t xml:space="preserve"> construction drawings.  See Section ECC 103 for further requirements.</w:t>
      </w:r>
    </w:p>
    <w:p w14:paraId="2C3CF43F" w14:textId="77777777" w:rsidR="00DB1AEE" w:rsidRPr="00DB1AEE" w:rsidRDefault="00DB1AEE" w:rsidP="00DB1AEE">
      <w:pPr>
        <w:widowControl w:val="0"/>
        <w:suppressAutoHyphens/>
        <w:autoSpaceDE w:val="0"/>
        <w:autoSpaceDN w:val="0"/>
        <w:adjustRightInd w:val="0"/>
        <w:spacing w:before="130" w:after="130"/>
        <w:jc w:val="center"/>
        <w:rPr>
          <w:b/>
          <w:bCs/>
          <w:szCs w:val="24"/>
          <w:u w:val="single"/>
        </w:rPr>
      </w:pPr>
    </w:p>
    <w:p w14:paraId="3972D28E" w14:textId="77777777" w:rsidR="00DB1AEE" w:rsidRPr="00DB1AEE" w:rsidRDefault="00DB1AEE" w:rsidP="00DB1AEE">
      <w:pPr>
        <w:widowControl w:val="0"/>
        <w:suppressAutoHyphens/>
        <w:autoSpaceDE w:val="0"/>
        <w:autoSpaceDN w:val="0"/>
        <w:adjustRightInd w:val="0"/>
        <w:spacing w:before="130" w:after="130"/>
        <w:jc w:val="center"/>
        <w:rPr>
          <w:b/>
          <w:bCs/>
          <w:szCs w:val="24"/>
          <w:u w:val="single"/>
        </w:rPr>
      </w:pPr>
      <w:r w:rsidRPr="00DB1AEE">
        <w:rPr>
          <w:b/>
          <w:bCs/>
          <w:szCs w:val="24"/>
          <w:u w:val="single"/>
        </w:rPr>
        <w:t>SECTION ECC 102</w:t>
      </w:r>
    </w:p>
    <w:p w14:paraId="050457DF" w14:textId="77777777" w:rsidR="00DB1AEE" w:rsidRPr="00DB1AEE" w:rsidRDefault="00DB1AEE" w:rsidP="00DB1AEE">
      <w:pPr>
        <w:widowControl w:val="0"/>
        <w:suppressAutoHyphens/>
        <w:autoSpaceDE w:val="0"/>
        <w:autoSpaceDN w:val="0"/>
        <w:adjustRightInd w:val="0"/>
        <w:spacing w:before="130" w:after="130"/>
        <w:jc w:val="center"/>
        <w:rPr>
          <w:b/>
          <w:bCs/>
          <w:szCs w:val="24"/>
          <w:u w:val="single"/>
        </w:rPr>
      </w:pPr>
      <w:r w:rsidRPr="00DB1AEE">
        <w:rPr>
          <w:b/>
          <w:bCs/>
          <w:szCs w:val="24"/>
          <w:u w:val="single"/>
        </w:rPr>
        <w:t>ALTERNATE MATERIALS, METHOD OF CONSTRUCTION, DESIGN OR INSULATING SYSTEMS</w:t>
      </w:r>
    </w:p>
    <w:p w14:paraId="12ABC807" w14:textId="77777777" w:rsidR="00DB1AEE" w:rsidRPr="00DB1AEE" w:rsidRDefault="00DB1AEE" w:rsidP="00DB1AEE">
      <w:pPr>
        <w:widowControl w:val="0"/>
        <w:suppressAutoHyphens/>
        <w:autoSpaceDE w:val="0"/>
        <w:autoSpaceDN w:val="0"/>
        <w:adjustRightInd w:val="0"/>
        <w:spacing w:before="130" w:after="130"/>
        <w:ind w:left="360"/>
        <w:rPr>
          <w:iCs/>
          <w:szCs w:val="24"/>
          <w:u w:val="single"/>
        </w:rPr>
      </w:pPr>
      <w:r w:rsidRPr="00DB1AEE">
        <w:rPr>
          <w:b/>
          <w:bCs/>
          <w:szCs w:val="24"/>
          <w:u w:val="single"/>
        </w:rPr>
        <w:t xml:space="preserve">102.1 General. </w:t>
      </w:r>
      <w:r w:rsidRPr="00DB1AEE">
        <w:rPr>
          <w:szCs w:val="24"/>
          <w:u w:val="single"/>
        </w:rPr>
        <w:t xml:space="preserve">This code is not intended to prevent the use of any material, method of construction, design or insulating system not specifically prescribed herein, provided that such material, method of construction, design or insulating system has been </w:t>
      </w:r>
      <w:r w:rsidRPr="00DB1AEE">
        <w:rPr>
          <w:iCs/>
          <w:szCs w:val="24"/>
          <w:u w:val="single"/>
        </w:rPr>
        <w:t>approved</w:t>
      </w:r>
      <w:r w:rsidRPr="00DB1AEE">
        <w:rPr>
          <w:szCs w:val="24"/>
          <w:u w:val="single"/>
        </w:rPr>
        <w:t xml:space="preserve"> by the commissioner as (1) meeting the intent of this code, (2) achieving energy savings that are equivalent to or greater than would be achieved using prescribed materials, methods of construction, designs or insulating systems, and (3) meeting the requirements of Article 113 of Chapter 1 of Title 28 of the </w:t>
      </w:r>
      <w:r w:rsidRPr="00DB1AEE">
        <w:rPr>
          <w:iCs/>
          <w:szCs w:val="24"/>
          <w:u w:val="single"/>
        </w:rPr>
        <w:t xml:space="preserve">Administrative Code </w:t>
      </w:r>
      <w:r w:rsidRPr="00DB1AEE">
        <w:rPr>
          <w:szCs w:val="24"/>
          <w:u w:val="single"/>
        </w:rPr>
        <w:t xml:space="preserve">and the remaining </w:t>
      </w:r>
      <w:r w:rsidRPr="00DB1AEE">
        <w:rPr>
          <w:iCs/>
          <w:szCs w:val="24"/>
          <w:u w:val="single"/>
        </w:rPr>
        <w:t>New York City Construction Codes.</w:t>
      </w:r>
    </w:p>
    <w:p w14:paraId="632568FE" w14:textId="77777777" w:rsidR="00DB1AEE" w:rsidRPr="00DB1AEE" w:rsidRDefault="00DB1AEE" w:rsidP="00DB1AEE">
      <w:pPr>
        <w:widowControl w:val="0"/>
        <w:suppressAutoHyphens/>
        <w:autoSpaceDE w:val="0"/>
        <w:autoSpaceDN w:val="0"/>
        <w:adjustRightInd w:val="0"/>
        <w:spacing w:before="130" w:after="130"/>
        <w:ind w:left="360"/>
        <w:rPr>
          <w:szCs w:val="24"/>
          <w:u w:val="single"/>
        </w:rPr>
      </w:pPr>
      <w:r w:rsidRPr="00DB1AEE">
        <w:rPr>
          <w:iCs/>
          <w:szCs w:val="24"/>
          <w:u w:val="single"/>
        </w:rPr>
        <w:t>Nothing in this section shall be construed to permit the commissioner to approve an application that would waive, vary, modify, or otherwise alter any provision, standard, or requirement of this code if such alteration would make such provision less restrictive than a standard or requirement of the ECCCNYS unless the applicant has obtained approval for such alteration pursuant to Section 11-106 of the New York State Energy Law.</w:t>
      </w:r>
    </w:p>
    <w:p w14:paraId="2D39B7CF" w14:textId="77777777" w:rsidR="00DB1AEE" w:rsidRPr="00DB1AEE" w:rsidRDefault="00DB1AEE" w:rsidP="00DB1AEE">
      <w:pPr>
        <w:widowControl w:val="0"/>
        <w:suppressAutoHyphens/>
        <w:autoSpaceDE w:val="0"/>
        <w:autoSpaceDN w:val="0"/>
        <w:adjustRightInd w:val="0"/>
        <w:spacing w:before="130" w:after="130"/>
        <w:rPr>
          <w:b/>
          <w:bCs/>
          <w:szCs w:val="24"/>
          <w:highlight w:val="green"/>
          <w:u w:val="single"/>
        </w:rPr>
      </w:pPr>
    </w:p>
    <w:p w14:paraId="1A4D4A61" w14:textId="77777777" w:rsidR="00DB1AEE" w:rsidRPr="00DB1AEE" w:rsidRDefault="00DB1AEE" w:rsidP="00DB1AEE">
      <w:pPr>
        <w:widowControl w:val="0"/>
        <w:suppressAutoHyphens/>
        <w:autoSpaceDE w:val="0"/>
        <w:autoSpaceDN w:val="0"/>
        <w:adjustRightInd w:val="0"/>
        <w:spacing w:before="130" w:after="130"/>
        <w:jc w:val="center"/>
        <w:rPr>
          <w:b/>
          <w:bCs/>
          <w:szCs w:val="24"/>
          <w:u w:val="single"/>
        </w:rPr>
      </w:pPr>
      <w:r w:rsidRPr="00DB1AEE">
        <w:rPr>
          <w:b/>
          <w:bCs/>
          <w:szCs w:val="24"/>
          <w:u w:val="single"/>
        </w:rPr>
        <w:t>SECTION ECC 103</w:t>
      </w:r>
    </w:p>
    <w:p w14:paraId="222B3E56" w14:textId="77777777" w:rsidR="00DB1AEE" w:rsidRPr="00DB1AEE" w:rsidRDefault="00DB1AEE" w:rsidP="00DB1AEE">
      <w:pPr>
        <w:widowControl w:val="0"/>
        <w:suppressAutoHyphens/>
        <w:autoSpaceDE w:val="0"/>
        <w:autoSpaceDN w:val="0"/>
        <w:adjustRightInd w:val="0"/>
        <w:spacing w:before="130" w:after="130"/>
        <w:jc w:val="center"/>
        <w:rPr>
          <w:b/>
          <w:bCs/>
          <w:szCs w:val="24"/>
          <w:u w:val="single"/>
        </w:rPr>
      </w:pPr>
      <w:r w:rsidRPr="00DB1AEE">
        <w:rPr>
          <w:b/>
          <w:bCs/>
          <w:szCs w:val="24"/>
          <w:u w:val="single"/>
        </w:rPr>
        <w:t>CONSTRUCTION DOCUMENTS</w:t>
      </w:r>
    </w:p>
    <w:p w14:paraId="70032D93" w14:textId="77777777" w:rsidR="00DB1AEE" w:rsidRPr="00DB1AEE" w:rsidRDefault="00DB1AEE" w:rsidP="00DB1AEE">
      <w:pPr>
        <w:widowControl w:val="0"/>
        <w:suppressAutoHyphens/>
        <w:autoSpaceDE w:val="0"/>
        <w:autoSpaceDN w:val="0"/>
        <w:adjustRightInd w:val="0"/>
        <w:spacing w:before="130" w:after="130"/>
        <w:ind w:left="360"/>
        <w:rPr>
          <w:szCs w:val="24"/>
          <w:u w:val="single"/>
        </w:rPr>
      </w:pPr>
      <w:r w:rsidRPr="00DB1AEE">
        <w:rPr>
          <w:b/>
          <w:bCs/>
          <w:szCs w:val="24"/>
          <w:u w:val="single"/>
        </w:rPr>
        <w:t xml:space="preserve">103.1 General. </w:t>
      </w:r>
      <w:r w:rsidRPr="00DB1AEE">
        <w:rPr>
          <w:szCs w:val="24"/>
          <w:u w:val="single"/>
        </w:rPr>
        <w:t xml:space="preserve">Construction documents shall be prepared in accordance with the provisions of Chapter 1 of Title 28 of the </w:t>
      </w:r>
      <w:r w:rsidRPr="00DB1AEE">
        <w:rPr>
          <w:iCs/>
          <w:szCs w:val="24"/>
          <w:u w:val="single"/>
        </w:rPr>
        <w:t>Administrative Code</w:t>
      </w:r>
      <w:r w:rsidRPr="00DB1AEE">
        <w:rPr>
          <w:szCs w:val="24"/>
          <w:u w:val="single"/>
        </w:rPr>
        <w:t xml:space="preserve">, the </w:t>
      </w:r>
      <w:r w:rsidRPr="00DB1AEE">
        <w:rPr>
          <w:iCs/>
          <w:szCs w:val="24"/>
          <w:u w:val="single"/>
        </w:rPr>
        <w:t>New York City Construction Codes,</w:t>
      </w:r>
      <w:r w:rsidRPr="00DB1AEE">
        <w:rPr>
          <w:szCs w:val="24"/>
          <w:u w:val="single"/>
        </w:rPr>
        <w:t xml:space="preserve"> including this code, and the rules of the department.</w:t>
      </w:r>
    </w:p>
    <w:p w14:paraId="44F8536B" w14:textId="77777777" w:rsidR="00DB1AEE" w:rsidRPr="00DB1AEE" w:rsidRDefault="00DB1AEE" w:rsidP="00DB1AEE">
      <w:pPr>
        <w:widowControl w:val="0"/>
        <w:suppressAutoHyphens/>
        <w:autoSpaceDE w:val="0"/>
        <w:autoSpaceDN w:val="0"/>
        <w:adjustRightInd w:val="0"/>
        <w:spacing w:before="130" w:after="130"/>
        <w:ind w:left="360"/>
        <w:rPr>
          <w:szCs w:val="24"/>
          <w:u w:val="single"/>
        </w:rPr>
      </w:pPr>
      <w:r w:rsidRPr="00DB1AEE">
        <w:rPr>
          <w:b/>
          <w:bCs/>
          <w:szCs w:val="24"/>
          <w:u w:val="single"/>
        </w:rPr>
        <w:t xml:space="preserve">103.2 Supporting documentation on construction documents. </w:t>
      </w:r>
      <w:r w:rsidRPr="00DB1AEE">
        <w:rPr>
          <w:szCs w:val="24"/>
          <w:u w:val="single"/>
        </w:rPr>
        <w:t xml:space="preserve">Supporting documentation shall include those construction documents that demonstrate compliance with this code. </w:t>
      </w:r>
    </w:p>
    <w:p w14:paraId="05A502D2" w14:textId="77777777" w:rsidR="00DB1AEE" w:rsidRPr="00DB1AEE" w:rsidRDefault="00DB1AEE" w:rsidP="00DB1AEE">
      <w:pPr>
        <w:widowControl w:val="0"/>
        <w:suppressAutoHyphens/>
        <w:autoSpaceDE w:val="0"/>
        <w:autoSpaceDN w:val="0"/>
        <w:adjustRightInd w:val="0"/>
        <w:spacing w:before="130" w:after="130"/>
        <w:ind w:left="720"/>
        <w:rPr>
          <w:szCs w:val="24"/>
          <w:u w:val="single"/>
        </w:rPr>
      </w:pPr>
      <w:r w:rsidRPr="00DB1AEE">
        <w:rPr>
          <w:b/>
          <w:bCs/>
          <w:szCs w:val="24"/>
          <w:u w:val="single"/>
        </w:rPr>
        <w:t xml:space="preserve">103.2.1  Intent. </w:t>
      </w:r>
      <w:r w:rsidRPr="00DB1AEE">
        <w:rPr>
          <w:szCs w:val="24"/>
          <w:u w:val="single"/>
        </w:rPr>
        <w:t>Supporting documentation shall accomplish the following:</w:t>
      </w:r>
    </w:p>
    <w:p w14:paraId="2669E8B0" w14:textId="77777777" w:rsidR="00DB1AEE" w:rsidRPr="00DB1AEE" w:rsidRDefault="00DB1AEE" w:rsidP="00DB1AEE">
      <w:pPr>
        <w:widowControl w:val="0"/>
        <w:suppressAutoHyphens/>
        <w:autoSpaceDE w:val="0"/>
        <w:autoSpaceDN w:val="0"/>
        <w:adjustRightInd w:val="0"/>
        <w:spacing w:before="130" w:after="130"/>
        <w:ind w:left="1440" w:hanging="360"/>
        <w:rPr>
          <w:szCs w:val="24"/>
          <w:u w:val="single"/>
        </w:rPr>
      </w:pPr>
      <w:r w:rsidRPr="00DB1AEE">
        <w:rPr>
          <w:szCs w:val="24"/>
          <w:u w:val="single"/>
        </w:rPr>
        <w:t xml:space="preserve">1.  Demonstrate conformance of </w:t>
      </w:r>
      <w:r w:rsidRPr="00DB1AEE">
        <w:rPr>
          <w:iCs/>
          <w:szCs w:val="24"/>
          <w:u w:val="single"/>
        </w:rPr>
        <w:t>approved</w:t>
      </w:r>
      <w:r w:rsidRPr="00DB1AEE">
        <w:rPr>
          <w:szCs w:val="24"/>
          <w:u w:val="single"/>
        </w:rPr>
        <w:t xml:space="preserve"> drawings to the </w:t>
      </w:r>
      <w:r w:rsidRPr="00DB1AEE">
        <w:rPr>
          <w:iCs/>
          <w:szCs w:val="24"/>
          <w:u w:val="single"/>
        </w:rPr>
        <w:t>energy analysis</w:t>
      </w:r>
      <w:r w:rsidRPr="00DB1AEE">
        <w:rPr>
          <w:szCs w:val="24"/>
          <w:u w:val="single"/>
        </w:rPr>
        <w:t xml:space="preserve"> for every element and value of the </w:t>
      </w:r>
      <w:r w:rsidRPr="00DB1AEE">
        <w:rPr>
          <w:iCs/>
          <w:szCs w:val="24"/>
          <w:u w:val="single"/>
        </w:rPr>
        <w:t>energy analysis</w:t>
      </w:r>
      <w:r w:rsidRPr="00DB1AEE">
        <w:rPr>
          <w:szCs w:val="24"/>
          <w:u w:val="single"/>
        </w:rPr>
        <w:t>;</w:t>
      </w:r>
    </w:p>
    <w:p w14:paraId="48107CD5" w14:textId="77777777" w:rsidR="00DB1AEE" w:rsidRPr="00DB1AEE" w:rsidRDefault="00DB1AEE" w:rsidP="00DB1AEE">
      <w:pPr>
        <w:widowControl w:val="0"/>
        <w:suppressAutoHyphens/>
        <w:autoSpaceDE w:val="0"/>
        <w:autoSpaceDN w:val="0"/>
        <w:adjustRightInd w:val="0"/>
        <w:spacing w:before="130" w:after="130"/>
        <w:ind w:left="1440" w:hanging="360"/>
        <w:rPr>
          <w:szCs w:val="24"/>
          <w:u w:val="single"/>
        </w:rPr>
      </w:pPr>
      <w:r w:rsidRPr="00DB1AEE">
        <w:rPr>
          <w:szCs w:val="24"/>
          <w:u w:val="single"/>
        </w:rPr>
        <w:t xml:space="preserve">2. Demonstrate conformance of </w:t>
      </w:r>
      <w:r w:rsidRPr="00DB1AEE">
        <w:rPr>
          <w:iCs/>
          <w:szCs w:val="24"/>
          <w:u w:val="single"/>
        </w:rPr>
        <w:t>approved</w:t>
      </w:r>
      <w:r w:rsidRPr="00DB1AEE">
        <w:rPr>
          <w:szCs w:val="24"/>
          <w:u w:val="single"/>
        </w:rPr>
        <w:t xml:space="preserve"> drawings to other mandatory requirements of this code, including, but not limited to, sealing against air leakage from the </w:t>
      </w:r>
      <w:r w:rsidRPr="00DB1AEE">
        <w:rPr>
          <w:iCs/>
          <w:szCs w:val="24"/>
          <w:u w:val="single"/>
        </w:rPr>
        <w:t>building</w:t>
      </w:r>
      <w:r w:rsidRPr="00DB1AEE">
        <w:rPr>
          <w:szCs w:val="24"/>
          <w:u w:val="single"/>
        </w:rPr>
        <w:t xml:space="preserve"> envelope and from ductwork as applicable, insulation of </w:t>
      </w:r>
      <w:r w:rsidRPr="00DB1AEE">
        <w:rPr>
          <w:iCs/>
          <w:szCs w:val="24"/>
          <w:u w:val="single"/>
        </w:rPr>
        <w:t>ducts</w:t>
      </w:r>
      <w:r w:rsidRPr="00DB1AEE">
        <w:rPr>
          <w:szCs w:val="24"/>
          <w:u w:val="single"/>
        </w:rPr>
        <w:t xml:space="preserve"> and piping as applicable, mechanical and lighting controls with devices shown and operational narratives for each, and additional requirements as set forth in this section;</w:t>
      </w:r>
    </w:p>
    <w:p w14:paraId="3B91C980" w14:textId="77777777" w:rsidR="00DB1AEE" w:rsidRPr="00DB1AEE" w:rsidRDefault="00DB1AEE" w:rsidP="00DB1AEE">
      <w:pPr>
        <w:widowControl w:val="0"/>
        <w:suppressAutoHyphens/>
        <w:autoSpaceDE w:val="0"/>
        <w:autoSpaceDN w:val="0"/>
        <w:adjustRightInd w:val="0"/>
        <w:spacing w:before="130" w:after="130"/>
        <w:ind w:left="1440" w:hanging="360"/>
        <w:rPr>
          <w:szCs w:val="24"/>
          <w:u w:val="single"/>
        </w:rPr>
      </w:pPr>
      <w:r w:rsidRPr="00DB1AEE">
        <w:rPr>
          <w:szCs w:val="24"/>
          <w:u w:val="single"/>
        </w:rPr>
        <w:t xml:space="preserve">3. Identify required progress inspections in accordance with the scope of work, this code, the </w:t>
      </w:r>
      <w:r w:rsidRPr="00DB1AEE">
        <w:rPr>
          <w:iCs/>
          <w:szCs w:val="24"/>
          <w:u w:val="single"/>
        </w:rPr>
        <w:t>Administrative Code</w:t>
      </w:r>
      <w:r w:rsidRPr="00DB1AEE">
        <w:rPr>
          <w:szCs w:val="24"/>
          <w:u w:val="single"/>
        </w:rPr>
        <w:t xml:space="preserve">, the </w:t>
      </w:r>
      <w:r w:rsidRPr="00DB1AEE">
        <w:rPr>
          <w:iCs/>
          <w:szCs w:val="24"/>
          <w:u w:val="single"/>
        </w:rPr>
        <w:t>New York City Building Code</w:t>
      </w:r>
      <w:r w:rsidRPr="00DB1AEE">
        <w:rPr>
          <w:szCs w:val="24"/>
          <w:u w:val="single"/>
        </w:rPr>
        <w:t xml:space="preserve"> and the rules of the department; and</w:t>
      </w:r>
    </w:p>
    <w:p w14:paraId="62EC1056" w14:textId="77777777" w:rsidR="00DB1AEE" w:rsidRPr="00DB1AEE" w:rsidRDefault="00DB1AEE" w:rsidP="00DB1AEE">
      <w:pPr>
        <w:autoSpaceDE w:val="0"/>
        <w:autoSpaceDN w:val="0"/>
        <w:adjustRightInd w:val="0"/>
        <w:ind w:left="720" w:firstLine="360"/>
        <w:contextualSpacing/>
        <w:jc w:val="left"/>
        <w:rPr>
          <w:szCs w:val="24"/>
          <w:u w:val="single"/>
        </w:rPr>
      </w:pPr>
      <w:r w:rsidRPr="00DB1AEE">
        <w:rPr>
          <w:szCs w:val="24"/>
          <w:u w:val="single"/>
        </w:rPr>
        <w:t>4. Comply with other requirements as may be set forth in the rules of the department.</w:t>
      </w:r>
    </w:p>
    <w:p w14:paraId="153B8F1B" w14:textId="77777777" w:rsidR="00DB1AEE" w:rsidRPr="00DB1AEE" w:rsidRDefault="00DB1AEE" w:rsidP="00DB1AEE">
      <w:pPr>
        <w:autoSpaceDE w:val="0"/>
        <w:autoSpaceDN w:val="0"/>
        <w:adjustRightInd w:val="0"/>
        <w:ind w:left="720"/>
        <w:contextualSpacing/>
        <w:jc w:val="left"/>
        <w:rPr>
          <w:b/>
          <w:u w:val="single"/>
        </w:rPr>
      </w:pPr>
    </w:p>
    <w:p w14:paraId="28EDCCD0" w14:textId="77777777" w:rsidR="00DB1AEE" w:rsidRPr="00DB1AEE" w:rsidRDefault="00DB1AEE" w:rsidP="00DB1AEE">
      <w:pPr>
        <w:autoSpaceDE w:val="0"/>
        <w:autoSpaceDN w:val="0"/>
        <w:adjustRightInd w:val="0"/>
        <w:ind w:left="720"/>
        <w:contextualSpacing/>
        <w:jc w:val="left"/>
        <w:rPr>
          <w:u w:val="single"/>
        </w:rPr>
      </w:pPr>
      <w:r w:rsidRPr="00DB1AEE">
        <w:rPr>
          <w:b/>
          <w:u w:val="single"/>
        </w:rPr>
        <w:t>103.2.2 Detailed requirements.</w:t>
      </w:r>
      <w:r w:rsidRPr="00DB1AEE">
        <w:rPr>
          <w:u w:val="single"/>
        </w:rPr>
        <w:t xml:space="preserve"> Construction documents shall be drawn to scale upon suitable material. Electronic media documents are permitted to be submitted in accordance with department procedures. Construction documents for a project shall be fully coordinated and of sufficient clarity to indicate the location, nature and extent of the work proposed, and show in sufficient detail pertinent data and features of the building, building systems and equipment as herein governed. Details shall include, but are not limited to, as applicable, the following: </w:t>
      </w:r>
    </w:p>
    <w:p w14:paraId="45D6FE69" w14:textId="77777777" w:rsidR="00DB1AEE" w:rsidRPr="00DB1AEE" w:rsidRDefault="00DB1AEE" w:rsidP="00DB1AEE">
      <w:pPr>
        <w:autoSpaceDE w:val="0"/>
        <w:autoSpaceDN w:val="0"/>
        <w:adjustRightInd w:val="0"/>
        <w:ind w:left="720" w:firstLine="720"/>
        <w:contextualSpacing/>
        <w:jc w:val="left"/>
        <w:rPr>
          <w:szCs w:val="24"/>
          <w:u w:val="single"/>
        </w:rPr>
      </w:pPr>
      <w:r w:rsidRPr="00DB1AEE">
        <w:rPr>
          <w:szCs w:val="24"/>
          <w:u w:val="single"/>
        </w:rPr>
        <w:t>1. Energy Code compliance path.</w:t>
      </w:r>
    </w:p>
    <w:p w14:paraId="63EADA7C" w14:textId="77777777" w:rsidR="00DB1AEE" w:rsidRPr="00DB1AEE" w:rsidRDefault="00DB1AEE" w:rsidP="00DB1AEE">
      <w:pPr>
        <w:autoSpaceDE w:val="0"/>
        <w:autoSpaceDN w:val="0"/>
        <w:adjustRightInd w:val="0"/>
        <w:ind w:left="720" w:firstLine="720"/>
        <w:contextualSpacing/>
        <w:jc w:val="left"/>
        <w:rPr>
          <w:szCs w:val="24"/>
          <w:u w:val="single"/>
        </w:rPr>
      </w:pPr>
      <w:r w:rsidRPr="00DB1AEE">
        <w:rPr>
          <w:szCs w:val="24"/>
          <w:u w:val="single"/>
        </w:rPr>
        <w:t>2. Insulation materials and their R-values.</w:t>
      </w:r>
    </w:p>
    <w:p w14:paraId="43CCA6CE" w14:textId="77777777" w:rsidR="00DB1AEE" w:rsidRPr="00DB1AEE" w:rsidRDefault="00DB1AEE" w:rsidP="00DB1AEE">
      <w:pPr>
        <w:autoSpaceDE w:val="0"/>
        <w:autoSpaceDN w:val="0"/>
        <w:adjustRightInd w:val="0"/>
        <w:ind w:left="720" w:firstLine="720"/>
        <w:contextualSpacing/>
        <w:jc w:val="left"/>
        <w:rPr>
          <w:szCs w:val="24"/>
          <w:u w:val="single"/>
        </w:rPr>
      </w:pPr>
      <w:r w:rsidRPr="00DB1AEE">
        <w:rPr>
          <w:szCs w:val="24"/>
          <w:u w:val="single"/>
        </w:rPr>
        <w:t>3. Fenestration U-factors and solar heat gain coefficients (SHGCs).</w:t>
      </w:r>
    </w:p>
    <w:p w14:paraId="1D280BEC" w14:textId="77777777" w:rsidR="00DB1AEE" w:rsidRPr="00DB1AEE" w:rsidRDefault="00DB1AEE" w:rsidP="00DB1AEE">
      <w:pPr>
        <w:autoSpaceDE w:val="0"/>
        <w:autoSpaceDN w:val="0"/>
        <w:adjustRightInd w:val="0"/>
        <w:ind w:left="1440"/>
        <w:contextualSpacing/>
        <w:jc w:val="left"/>
        <w:rPr>
          <w:szCs w:val="24"/>
          <w:u w:val="single"/>
        </w:rPr>
      </w:pPr>
      <w:r w:rsidRPr="00DB1AEE">
        <w:rPr>
          <w:szCs w:val="24"/>
          <w:u w:val="single"/>
        </w:rPr>
        <w:t>4. Area-weighted average U-factor and solar heat gain coefficient (SHGC) calculations.</w:t>
      </w:r>
    </w:p>
    <w:p w14:paraId="245E2378" w14:textId="77777777" w:rsidR="00DB1AEE" w:rsidRPr="00DB1AEE" w:rsidRDefault="00DB1AEE" w:rsidP="00DB1AEE">
      <w:pPr>
        <w:autoSpaceDE w:val="0"/>
        <w:autoSpaceDN w:val="0"/>
        <w:adjustRightInd w:val="0"/>
        <w:ind w:left="720" w:firstLine="720"/>
        <w:contextualSpacing/>
        <w:jc w:val="left"/>
        <w:rPr>
          <w:szCs w:val="24"/>
          <w:u w:val="single"/>
        </w:rPr>
      </w:pPr>
      <w:r w:rsidRPr="00DB1AEE">
        <w:rPr>
          <w:szCs w:val="24"/>
          <w:u w:val="single"/>
        </w:rPr>
        <w:t>5. Air barrier and air sealing details, including the location of the air barrier.</w:t>
      </w:r>
    </w:p>
    <w:p w14:paraId="4A83780D" w14:textId="77777777" w:rsidR="00DB1AEE" w:rsidRPr="00DB1AEE" w:rsidRDefault="00DB1AEE" w:rsidP="00DB1AEE">
      <w:pPr>
        <w:autoSpaceDE w:val="0"/>
        <w:autoSpaceDN w:val="0"/>
        <w:adjustRightInd w:val="0"/>
        <w:ind w:left="720" w:firstLine="720"/>
        <w:contextualSpacing/>
        <w:jc w:val="left"/>
        <w:rPr>
          <w:szCs w:val="24"/>
          <w:u w:val="single"/>
        </w:rPr>
      </w:pPr>
      <w:r w:rsidRPr="00DB1AEE">
        <w:rPr>
          <w:szCs w:val="24"/>
          <w:u w:val="single"/>
        </w:rPr>
        <w:t>6. Thermal bridges as identified in Section C402.7.</w:t>
      </w:r>
    </w:p>
    <w:p w14:paraId="30A1732D" w14:textId="77777777" w:rsidR="00DB1AEE" w:rsidRPr="00DB1AEE" w:rsidRDefault="00DB1AEE" w:rsidP="00DB1AEE">
      <w:pPr>
        <w:autoSpaceDE w:val="0"/>
        <w:autoSpaceDN w:val="0"/>
        <w:adjustRightInd w:val="0"/>
        <w:ind w:left="720" w:firstLine="720"/>
        <w:contextualSpacing/>
        <w:jc w:val="left"/>
        <w:rPr>
          <w:szCs w:val="24"/>
          <w:u w:val="single"/>
        </w:rPr>
      </w:pPr>
      <w:r w:rsidRPr="00DB1AEE">
        <w:rPr>
          <w:szCs w:val="24"/>
          <w:u w:val="single"/>
        </w:rPr>
        <w:t>7. Mechanical system design criteria.</w:t>
      </w:r>
    </w:p>
    <w:p w14:paraId="3CCC40C4" w14:textId="77777777" w:rsidR="00DB1AEE" w:rsidRPr="00DB1AEE" w:rsidRDefault="00DB1AEE" w:rsidP="00DB1AEE">
      <w:pPr>
        <w:autoSpaceDE w:val="0"/>
        <w:autoSpaceDN w:val="0"/>
        <w:adjustRightInd w:val="0"/>
        <w:ind w:left="1440"/>
        <w:contextualSpacing/>
        <w:jc w:val="left"/>
        <w:rPr>
          <w:szCs w:val="24"/>
          <w:u w:val="single"/>
        </w:rPr>
      </w:pPr>
      <w:r w:rsidRPr="00DB1AEE">
        <w:rPr>
          <w:szCs w:val="24"/>
          <w:u w:val="single"/>
        </w:rPr>
        <w:t>8. Mechanical and service water heating systems and equipment types, sizes and efficiencies.</w:t>
      </w:r>
    </w:p>
    <w:p w14:paraId="02DD7A9F" w14:textId="77777777" w:rsidR="00DB1AEE" w:rsidRPr="00DB1AEE" w:rsidRDefault="00DB1AEE" w:rsidP="00DB1AEE">
      <w:pPr>
        <w:autoSpaceDE w:val="0"/>
        <w:autoSpaceDN w:val="0"/>
        <w:adjustRightInd w:val="0"/>
        <w:ind w:left="720" w:firstLine="720"/>
        <w:contextualSpacing/>
        <w:jc w:val="left"/>
        <w:rPr>
          <w:szCs w:val="24"/>
          <w:u w:val="single"/>
        </w:rPr>
      </w:pPr>
      <w:r w:rsidRPr="00DB1AEE">
        <w:rPr>
          <w:szCs w:val="24"/>
          <w:u w:val="single"/>
        </w:rPr>
        <w:t>9. Economizer description.</w:t>
      </w:r>
    </w:p>
    <w:p w14:paraId="05B5C9F5" w14:textId="77777777" w:rsidR="00DB1AEE" w:rsidRPr="00DB1AEE" w:rsidRDefault="00DB1AEE" w:rsidP="00DB1AEE">
      <w:pPr>
        <w:autoSpaceDE w:val="0"/>
        <w:autoSpaceDN w:val="0"/>
        <w:adjustRightInd w:val="0"/>
        <w:ind w:left="720" w:firstLine="720"/>
        <w:contextualSpacing/>
        <w:jc w:val="left"/>
        <w:rPr>
          <w:szCs w:val="24"/>
          <w:u w:val="single"/>
        </w:rPr>
      </w:pPr>
      <w:r w:rsidRPr="00DB1AEE">
        <w:rPr>
          <w:szCs w:val="24"/>
          <w:u w:val="single"/>
        </w:rPr>
        <w:t>10. Equipment and system controls.</w:t>
      </w:r>
    </w:p>
    <w:p w14:paraId="2A116538" w14:textId="77777777" w:rsidR="00DB1AEE" w:rsidRPr="00DB1AEE" w:rsidRDefault="00DB1AEE" w:rsidP="00DB1AEE">
      <w:pPr>
        <w:autoSpaceDE w:val="0"/>
        <w:autoSpaceDN w:val="0"/>
        <w:adjustRightInd w:val="0"/>
        <w:ind w:left="720" w:firstLine="720"/>
        <w:contextualSpacing/>
        <w:jc w:val="left"/>
        <w:rPr>
          <w:szCs w:val="24"/>
          <w:u w:val="single"/>
        </w:rPr>
      </w:pPr>
      <w:r w:rsidRPr="00DB1AEE">
        <w:rPr>
          <w:szCs w:val="24"/>
          <w:u w:val="single"/>
        </w:rPr>
        <w:t>11. Fan motor horsepower (hp) and controls.</w:t>
      </w:r>
    </w:p>
    <w:p w14:paraId="7864DC10" w14:textId="77777777" w:rsidR="00DB1AEE" w:rsidRPr="00DB1AEE" w:rsidRDefault="00DB1AEE" w:rsidP="00DB1AEE">
      <w:pPr>
        <w:autoSpaceDE w:val="0"/>
        <w:autoSpaceDN w:val="0"/>
        <w:adjustRightInd w:val="0"/>
        <w:ind w:left="720" w:firstLine="720"/>
        <w:contextualSpacing/>
        <w:jc w:val="left"/>
        <w:rPr>
          <w:szCs w:val="24"/>
          <w:u w:val="single"/>
        </w:rPr>
      </w:pPr>
      <w:r w:rsidRPr="00DB1AEE">
        <w:rPr>
          <w:szCs w:val="24"/>
          <w:u w:val="single"/>
        </w:rPr>
        <w:t>12. Duct sealing, duct and pipe insulation and location.</w:t>
      </w:r>
    </w:p>
    <w:p w14:paraId="505B54C0" w14:textId="77777777" w:rsidR="00DB1AEE" w:rsidRPr="00DB1AEE" w:rsidRDefault="00DB1AEE" w:rsidP="00DB1AEE">
      <w:pPr>
        <w:autoSpaceDE w:val="0"/>
        <w:autoSpaceDN w:val="0"/>
        <w:adjustRightInd w:val="0"/>
        <w:ind w:left="720" w:firstLine="720"/>
        <w:contextualSpacing/>
        <w:jc w:val="left"/>
        <w:rPr>
          <w:szCs w:val="24"/>
          <w:u w:val="single"/>
        </w:rPr>
      </w:pPr>
      <w:r w:rsidRPr="00DB1AEE">
        <w:rPr>
          <w:szCs w:val="24"/>
          <w:u w:val="single"/>
        </w:rPr>
        <w:t>13. Lighting fixture schedule with wattage and control narrative.</w:t>
      </w:r>
    </w:p>
    <w:p w14:paraId="5ACF2071" w14:textId="77777777" w:rsidR="00DB1AEE" w:rsidRPr="00DB1AEE" w:rsidRDefault="00DB1AEE" w:rsidP="00DB1AEE">
      <w:pPr>
        <w:autoSpaceDE w:val="0"/>
        <w:autoSpaceDN w:val="0"/>
        <w:adjustRightInd w:val="0"/>
        <w:ind w:left="720" w:firstLine="720"/>
        <w:contextualSpacing/>
        <w:jc w:val="left"/>
        <w:rPr>
          <w:szCs w:val="24"/>
          <w:u w:val="single"/>
        </w:rPr>
      </w:pPr>
      <w:r w:rsidRPr="00DB1AEE">
        <w:rPr>
          <w:szCs w:val="24"/>
          <w:u w:val="single"/>
        </w:rPr>
        <w:t>14. Location of daylight zones on floor plans.</w:t>
      </w:r>
    </w:p>
    <w:p w14:paraId="571C6EF5" w14:textId="77777777" w:rsidR="00DB1AEE" w:rsidRPr="00DB1AEE" w:rsidRDefault="00DB1AEE" w:rsidP="00DB1AEE">
      <w:pPr>
        <w:autoSpaceDE w:val="0"/>
        <w:autoSpaceDN w:val="0"/>
        <w:adjustRightInd w:val="0"/>
        <w:ind w:left="1440"/>
        <w:contextualSpacing/>
        <w:jc w:val="left"/>
        <w:rPr>
          <w:szCs w:val="24"/>
          <w:u w:val="single"/>
        </w:rPr>
      </w:pPr>
      <w:r w:rsidRPr="00DB1AEE">
        <w:rPr>
          <w:szCs w:val="24"/>
          <w:u w:val="single"/>
        </w:rPr>
        <w:t>15. Location of pathways for routing of raceways or cable from the on-site renewable energy system to the electrical distribution equipment, where provided.</w:t>
      </w:r>
    </w:p>
    <w:p w14:paraId="78D99A05" w14:textId="77777777" w:rsidR="00DB1AEE" w:rsidRPr="00DB1AEE" w:rsidRDefault="00DB1AEE" w:rsidP="00DB1AEE">
      <w:pPr>
        <w:autoSpaceDE w:val="0"/>
        <w:autoSpaceDN w:val="0"/>
        <w:adjustRightInd w:val="0"/>
        <w:ind w:left="1440"/>
        <w:contextualSpacing/>
        <w:jc w:val="left"/>
        <w:rPr>
          <w:szCs w:val="24"/>
          <w:u w:val="single"/>
        </w:rPr>
      </w:pPr>
      <w:r w:rsidRPr="00DB1AEE">
        <w:rPr>
          <w:szCs w:val="24"/>
          <w:u w:val="single"/>
        </w:rPr>
        <w:t>16. Location reserved for inverters, metering equipment and energy storage system (ESS), and a pathway reserved for routing of raceways or conduit from the on-site renewable energy system to the point of interconnection with the electrical service and the ESS, where provided.</w:t>
      </w:r>
    </w:p>
    <w:p w14:paraId="4EF6BD08" w14:textId="77777777" w:rsidR="00DB1AEE" w:rsidRPr="00DB1AEE" w:rsidRDefault="00DB1AEE" w:rsidP="00DB1AEE">
      <w:pPr>
        <w:autoSpaceDE w:val="0"/>
        <w:autoSpaceDN w:val="0"/>
        <w:adjustRightInd w:val="0"/>
        <w:ind w:left="720" w:firstLine="720"/>
        <w:contextualSpacing/>
        <w:jc w:val="left"/>
        <w:rPr>
          <w:szCs w:val="24"/>
          <w:u w:val="single"/>
        </w:rPr>
      </w:pPr>
      <w:r w:rsidRPr="00DB1AEE">
        <w:rPr>
          <w:szCs w:val="24"/>
          <w:u w:val="single"/>
        </w:rPr>
        <w:t>17. Location and layout of a designated area for ESS, where provided.</w:t>
      </w:r>
    </w:p>
    <w:p w14:paraId="6ABEC8A0" w14:textId="77777777" w:rsidR="00DB1AEE" w:rsidRPr="00DB1AEE" w:rsidRDefault="00DB1AEE" w:rsidP="00DB1AEE">
      <w:pPr>
        <w:autoSpaceDE w:val="0"/>
        <w:autoSpaceDN w:val="0"/>
        <w:adjustRightInd w:val="0"/>
        <w:ind w:left="1440"/>
        <w:contextualSpacing/>
        <w:jc w:val="left"/>
        <w:rPr>
          <w:szCs w:val="24"/>
          <w:u w:val="single"/>
        </w:rPr>
      </w:pPr>
      <w:r w:rsidRPr="00DB1AEE">
        <w:rPr>
          <w:szCs w:val="24"/>
          <w:u w:val="single"/>
        </w:rPr>
        <w:t>18. Rated energy capacity and rated power capacity of the installed or planned ESS.</w:t>
      </w:r>
    </w:p>
    <w:p w14:paraId="34239178" w14:textId="77777777" w:rsidR="00DB1AEE" w:rsidRPr="00DB1AEE" w:rsidRDefault="00DB1AEE" w:rsidP="00DB1AEE">
      <w:pPr>
        <w:autoSpaceDE w:val="0"/>
        <w:autoSpaceDN w:val="0"/>
        <w:adjustRightInd w:val="0"/>
        <w:ind w:left="1440"/>
        <w:contextualSpacing/>
        <w:jc w:val="left"/>
        <w:rPr>
          <w:szCs w:val="24"/>
          <w:u w:val="single"/>
        </w:rPr>
      </w:pPr>
      <w:r w:rsidRPr="00DB1AEE">
        <w:rPr>
          <w:szCs w:val="24"/>
          <w:u w:val="single"/>
        </w:rPr>
        <w:t>19. Location of designated EVSE spaces, EV ready spaces, and EV capable spaces in parking facilities and location of planned off-street loading spaces for future medium or heavy-duty EVSE.</w:t>
      </w:r>
    </w:p>
    <w:p w14:paraId="53907F49" w14:textId="77777777" w:rsidR="00DB1AEE" w:rsidRPr="00DB1AEE" w:rsidRDefault="00DB1AEE" w:rsidP="00DB1AEE">
      <w:pPr>
        <w:autoSpaceDE w:val="0"/>
        <w:autoSpaceDN w:val="0"/>
        <w:adjustRightInd w:val="0"/>
        <w:ind w:left="1440"/>
        <w:contextualSpacing/>
        <w:jc w:val="left"/>
        <w:rPr>
          <w:szCs w:val="24"/>
          <w:u w:val="single"/>
        </w:rPr>
      </w:pPr>
      <w:r w:rsidRPr="00DB1AEE">
        <w:rPr>
          <w:szCs w:val="24"/>
          <w:u w:val="single"/>
        </w:rPr>
        <w:t>20. Location of pathways for routing of raceways or cable from the enclosure or outlet of EV capable spaces to the electrical distribution equipment.</w:t>
      </w:r>
    </w:p>
    <w:p w14:paraId="696FF36D" w14:textId="77777777" w:rsidR="00DB1AEE" w:rsidRPr="00DB1AEE" w:rsidRDefault="00DB1AEE" w:rsidP="00DB1AEE">
      <w:pPr>
        <w:widowControl w:val="0"/>
        <w:suppressAutoHyphens/>
        <w:autoSpaceDE w:val="0"/>
        <w:autoSpaceDN w:val="0"/>
        <w:adjustRightInd w:val="0"/>
        <w:spacing w:before="130" w:after="130"/>
        <w:rPr>
          <w:szCs w:val="24"/>
          <w:u w:val="single"/>
        </w:rPr>
      </w:pPr>
    </w:p>
    <w:p w14:paraId="06DA899F" w14:textId="77777777" w:rsidR="00DB1AEE" w:rsidRPr="00DB1AEE" w:rsidRDefault="00DB1AEE" w:rsidP="00DB1AEE">
      <w:pPr>
        <w:widowControl w:val="0"/>
        <w:suppressAutoHyphens/>
        <w:autoSpaceDE w:val="0"/>
        <w:autoSpaceDN w:val="0"/>
        <w:adjustRightInd w:val="0"/>
        <w:spacing w:before="130" w:after="130"/>
        <w:ind w:left="360"/>
        <w:contextualSpacing/>
        <w:rPr>
          <w:szCs w:val="24"/>
          <w:u w:val="single"/>
        </w:rPr>
      </w:pPr>
      <w:r w:rsidRPr="00DB1AEE">
        <w:rPr>
          <w:b/>
          <w:bCs/>
          <w:szCs w:val="24"/>
          <w:u w:val="single"/>
        </w:rPr>
        <w:t>103.3 Examination of documents.</w:t>
      </w:r>
      <w:r w:rsidRPr="00DB1AEE">
        <w:rPr>
          <w:szCs w:val="24"/>
          <w:u w:val="single"/>
        </w:rPr>
        <w:t xml:space="preserve"> In accordance with Article 104 of Chapter 1 of Title 28 of the </w:t>
      </w:r>
      <w:r w:rsidRPr="00DB1AEE">
        <w:rPr>
          <w:iCs/>
          <w:szCs w:val="24"/>
          <w:u w:val="single"/>
        </w:rPr>
        <w:t>Administrative Code</w:t>
      </w:r>
      <w:r w:rsidRPr="00DB1AEE">
        <w:rPr>
          <w:szCs w:val="24"/>
          <w:u w:val="single"/>
        </w:rPr>
        <w:t>, the department shall examine or cause to be examined the accompanying construction documents and shall ascertain by such examinations whether the construction indicated and described is in accordance with the requirements of this code and other pertinent laws, rules and regulations.</w:t>
      </w:r>
    </w:p>
    <w:p w14:paraId="08DE5741" w14:textId="77777777" w:rsidR="00DB1AEE" w:rsidRPr="00DB1AEE" w:rsidRDefault="00DB1AEE" w:rsidP="00DB1AEE">
      <w:pPr>
        <w:widowControl w:val="0"/>
        <w:suppressAutoHyphens/>
        <w:autoSpaceDE w:val="0"/>
        <w:autoSpaceDN w:val="0"/>
        <w:adjustRightInd w:val="0"/>
        <w:spacing w:before="130" w:after="130"/>
        <w:ind w:left="360"/>
        <w:rPr>
          <w:b/>
          <w:bCs/>
          <w:szCs w:val="24"/>
          <w:u w:val="single"/>
        </w:rPr>
      </w:pPr>
      <w:r w:rsidRPr="00DB1AEE">
        <w:rPr>
          <w:b/>
          <w:bCs/>
          <w:szCs w:val="24"/>
          <w:u w:val="single"/>
        </w:rPr>
        <w:t>103.4 Changes during construction.</w:t>
      </w:r>
      <w:r w:rsidRPr="00DB1AEE">
        <w:rPr>
          <w:szCs w:val="24"/>
          <w:u w:val="single"/>
        </w:rPr>
        <w:t xml:space="preserve"> For changes during construction refer to Section 28-104.3 of the Administrative Code.</w:t>
      </w:r>
    </w:p>
    <w:p w14:paraId="54C61ED2" w14:textId="77777777" w:rsidR="00DB1AEE" w:rsidRPr="00DB1AEE" w:rsidRDefault="00DB1AEE" w:rsidP="00DB1AEE">
      <w:pPr>
        <w:widowControl w:val="0"/>
        <w:suppressAutoHyphens/>
        <w:autoSpaceDE w:val="0"/>
        <w:autoSpaceDN w:val="0"/>
        <w:adjustRightInd w:val="0"/>
        <w:spacing w:before="130" w:after="130"/>
        <w:rPr>
          <w:b/>
          <w:bCs/>
          <w:szCs w:val="24"/>
          <w:u w:val="single"/>
        </w:rPr>
      </w:pPr>
    </w:p>
    <w:p w14:paraId="4F993FB2" w14:textId="77777777" w:rsidR="00DB1AEE" w:rsidRPr="00DB1AEE" w:rsidRDefault="00DB1AEE" w:rsidP="00DB1AEE">
      <w:pPr>
        <w:widowControl w:val="0"/>
        <w:suppressAutoHyphens/>
        <w:autoSpaceDE w:val="0"/>
        <w:autoSpaceDN w:val="0"/>
        <w:adjustRightInd w:val="0"/>
        <w:spacing w:before="130" w:after="130"/>
        <w:jc w:val="center"/>
        <w:rPr>
          <w:b/>
          <w:bCs/>
          <w:szCs w:val="24"/>
          <w:u w:val="single"/>
        </w:rPr>
      </w:pPr>
      <w:r w:rsidRPr="00DB1AEE">
        <w:rPr>
          <w:b/>
          <w:bCs/>
          <w:szCs w:val="24"/>
          <w:u w:val="single"/>
        </w:rPr>
        <w:t>SECTION ECC 104</w:t>
      </w:r>
    </w:p>
    <w:p w14:paraId="452D6E99" w14:textId="77777777" w:rsidR="00DB1AEE" w:rsidRPr="00DB1AEE" w:rsidRDefault="00DB1AEE" w:rsidP="00DB1AEE">
      <w:pPr>
        <w:widowControl w:val="0"/>
        <w:suppressAutoHyphens/>
        <w:autoSpaceDE w:val="0"/>
        <w:autoSpaceDN w:val="0"/>
        <w:adjustRightInd w:val="0"/>
        <w:spacing w:before="130" w:after="130"/>
        <w:jc w:val="center"/>
        <w:rPr>
          <w:b/>
          <w:bCs/>
          <w:szCs w:val="24"/>
          <w:u w:val="single"/>
        </w:rPr>
      </w:pPr>
      <w:r w:rsidRPr="00DB1AEE">
        <w:rPr>
          <w:b/>
          <w:bCs/>
          <w:szCs w:val="24"/>
          <w:u w:val="single"/>
        </w:rPr>
        <w:t>INSPECTIONS</w:t>
      </w:r>
    </w:p>
    <w:p w14:paraId="7AF8C2BD" w14:textId="77777777" w:rsidR="00DB1AEE" w:rsidRPr="00DB1AEE" w:rsidRDefault="00DB1AEE" w:rsidP="00DB1AEE">
      <w:pPr>
        <w:widowControl w:val="0"/>
        <w:suppressAutoHyphens/>
        <w:autoSpaceDE w:val="0"/>
        <w:autoSpaceDN w:val="0"/>
        <w:adjustRightInd w:val="0"/>
        <w:spacing w:before="130" w:after="130"/>
        <w:ind w:left="360"/>
        <w:rPr>
          <w:b/>
          <w:bCs/>
          <w:szCs w:val="24"/>
          <w:u w:val="single"/>
        </w:rPr>
      </w:pPr>
      <w:r w:rsidRPr="00DB1AEE">
        <w:rPr>
          <w:b/>
          <w:bCs/>
          <w:szCs w:val="24"/>
          <w:u w:val="single"/>
        </w:rPr>
        <w:t xml:space="preserve">104.1 General. </w:t>
      </w:r>
      <w:r w:rsidRPr="00DB1AEE">
        <w:rPr>
          <w:szCs w:val="24"/>
          <w:u w:val="single"/>
        </w:rPr>
        <w:t xml:space="preserve">Except as otherwise specifically provided, inspections required by this code or by the department during the progress of work may be performed on behalf of the owner by an </w:t>
      </w:r>
      <w:r w:rsidRPr="00DB1AEE">
        <w:rPr>
          <w:iCs/>
          <w:szCs w:val="24"/>
          <w:u w:val="single"/>
        </w:rPr>
        <w:t>approved agency</w:t>
      </w:r>
      <w:r w:rsidRPr="00DB1AEE">
        <w:rPr>
          <w:szCs w:val="24"/>
          <w:u w:val="single"/>
        </w:rPr>
        <w:t xml:space="preserve">.  All inspections shall be performed at the sole cost and expense of the owner. Refer to Article 116 of Chapter 1 of Title 28 of the </w:t>
      </w:r>
      <w:r w:rsidRPr="00DB1AEE">
        <w:rPr>
          <w:iCs/>
          <w:szCs w:val="24"/>
          <w:u w:val="single"/>
        </w:rPr>
        <w:t>Administrative Code</w:t>
      </w:r>
      <w:r w:rsidRPr="00DB1AEE">
        <w:rPr>
          <w:szCs w:val="24"/>
          <w:u w:val="single"/>
        </w:rPr>
        <w:t xml:space="preserve"> for additional provisions relating to inspections. In addition to any inspections otherwise required by this code or the rules of the department, the following inspections shall be required:</w:t>
      </w:r>
      <w:r w:rsidRPr="00DB1AEE">
        <w:rPr>
          <w:b/>
          <w:bCs/>
          <w:szCs w:val="24"/>
          <w:u w:val="single"/>
        </w:rPr>
        <w:t xml:space="preserve">  </w:t>
      </w:r>
    </w:p>
    <w:p w14:paraId="3453C0BA" w14:textId="77777777" w:rsidR="00DB1AEE" w:rsidRPr="00DB1AEE" w:rsidRDefault="00DB1AEE" w:rsidP="00DB1AEE">
      <w:pPr>
        <w:widowControl w:val="0"/>
        <w:suppressAutoHyphens/>
        <w:autoSpaceDE w:val="0"/>
        <w:autoSpaceDN w:val="0"/>
        <w:adjustRightInd w:val="0"/>
        <w:spacing w:before="130" w:after="130"/>
        <w:ind w:left="1440" w:hanging="360"/>
        <w:rPr>
          <w:b/>
          <w:bCs/>
          <w:szCs w:val="24"/>
          <w:u w:val="single"/>
        </w:rPr>
      </w:pPr>
      <w:r w:rsidRPr="00DB1AEE">
        <w:rPr>
          <w:szCs w:val="24"/>
          <w:u w:val="single"/>
        </w:rPr>
        <w:t>1.  Progress inspections. Progress inspections shall be performed in accordance with the rules of the department.</w:t>
      </w:r>
    </w:p>
    <w:p w14:paraId="0C1560FC" w14:textId="77777777" w:rsidR="00DB1AEE" w:rsidRPr="00DB1AEE" w:rsidRDefault="00DB1AEE" w:rsidP="00DB1AEE">
      <w:pPr>
        <w:widowControl w:val="0"/>
        <w:suppressAutoHyphens/>
        <w:autoSpaceDE w:val="0"/>
        <w:autoSpaceDN w:val="0"/>
        <w:adjustRightInd w:val="0"/>
        <w:spacing w:before="130" w:after="130"/>
        <w:ind w:left="1440" w:hanging="360"/>
        <w:rPr>
          <w:szCs w:val="24"/>
          <w:u w:val="single"/>
        </w:rPr>
      </w:pPr>
      <w:r w:rsidRPr="00DB1AEE">
        <w:rPr>
          <w:szCs w:val="24"/>
          <w:u w:val="single"/>
        </w:rPr>
        <w:t xml:space="preserve">2. </w:t>
      </w:r>
      <w:r w:rsidRPr="00DB1AEE">
        <w:rPr>
          <w:szCs w:val="24"/>
          <w:u w:val="single"/>
        </w:rPr>
        <w:tab/>
        <w:t xml:space="preserve">Final inspection. Refer to Article 116 of Chapter 1 of Title 28 of the </w:t>
      </w:r>
      <w:r w:rsidRPr="00DB1AEE">
        <w:rPr>
          <w:iCs/>
          <w:szCs w:val="24"/>
          <w:u w:val="single"/>
        </w:rPr>
        <w:t xml:space="preserve">Administrative Code </w:t>
      </w:r>
      <w:r w:rsidRPr="00DB1AEE">
        <w:rPr>
          <w:szCs w:val="24"/>
          <w:u w:val="single"/>
        </w:rPr>
        <w:t>and the rules of the department.</w:t>
      </w:r>
    </w:p>
    <w:p w14:paraId="2B366CFA" w14:textId="77777777" w:rsidR="00DB1AEE" w:rsidRPr="00DB1AEE" w:rsidRDefault="00DB1AEE" w:rsidP="00DB1AEE">
      <w:pPr>
        <w:widowControl w:val="0"/>
        <w:suppressAutoHyphens/>
        <w:autoSpaceDE w:val="0"/>
        <w:autoSpaceDN w:val="0"/>
        <w:adjustRightInd w:val="0"/>
        <w:spacing w:before="130" w:after="130"/>
        <w:ind w:left="1440" w:hanging="360"/>
        <w:rPr>
          <w:szCs w:val="24"/>
          <w:u w:val="single"/>
        </w:rPr>
      </w:pPr>
      <w:r w:rsidRPr="00DB1AEE">
        <w:rPr>
          <w:szCs w:val="24"/>
          <w:u w:val="single"/>
        </w:rPr>
        <w:t xml:space="preserve">3. </w:t>
      </w:r>
      <w:r w:rsidRPr="00DB1AEE">
        <w:rPr>
          <w:szCs w:val="24"/>
          <w:u w:val="single"/>
        </w:rPr>
        <w:tab/>
        <w:t xml:space="preserve">Issuance of Certificate of Compliance. Refer to Section 28-116.4.1 of the </w:t>
      </w:r>
      <w:r w:rsidRPr="00DB1AEE">
        <w:rPr>
          <w:iCs/>
          <w:szCs w:val="24"/>
          <w:u w:val="single"/>
        </w:rPr>
        <w:t>Administrative Code</w:t>
      </w:r>
      <w:r w:rsidRPr="00DB1AEE">
        <w:rPr>
          <w:szCs w:val="24"/>
          <w:u w:val="single"/>
        </w:rPr>
        <w:t xml:space="preserve">.  </w:t>
      </w:r>
    </w:p>
    <w:p w14:paraId="61FF8CF5" w14:textId="77777777" w:rsidR="00DB1AEE" w:rsidRPr="00DB1AEE" w:rsidRDefault="00DB1AEE" w:rsidP="00DB1AEE">
      <w:pPr>
        <w:widowControl w:val="0"/>
        <w:suppressAutoHyphens/>
        <w:autoSpaceDE w:val="0"/>
        <w:autoSpaceDN w:val="0"/>
        <w:adjustRightInd w:val="0"/>
        <w:spacing w:before="130" w:after="130"/>
        <w:ind w:left="360"/>
        <w:rPr>
          <w:szCs w:val="24"/>
          <w:u w:val="single"/>
        </w:rPr>
      </w:pPr>
      <w:r w:rsidRPr="00DB1AEE">
        <w:rPr>
          <w:szCs w:val="24"/>
          <w:u w:val="single"/>
        </w:rPr>
        <w:t xml:space="preserve">The requirements of this section shall not prohibit the operation of any heating equipment or appliances installed to replace existing heating equipment or appliances serving an occupied portion of a structure provided that a request for inspection of such heating equipment or appliances has been filed with the department not more than 48 hours after such replacement work is completed, and before any portion of such equipment or appliances is concealed by any permanent portion of the structure.  </w:t>
      </w:r>
    </w:p>
    <w:p w14:paraId="23CF808D" w14:textId="77777777" w:rsidR="00DB1AEE" w:rsidRPr="00DB1AEE" w:rsidRDefault="00DB1AEE" w:rsidP="00DB1AEE">
      <w:pPr>
        <w:widowControl w:val="0"/>
        <w:tabs>
          <w:tab w:val="left" w:pos="1440"/>
        </w:tabs>
        <w:suppressAutoHyphens/>
        <w:autoSpaceDE w:val="0"/>
        <w:autoSpaceDN w:val="0"/>
        <w:adjustRightInd w:val="0"/>
        <w:spacing w:before="130" w:after="130"/>
        <w:ind w:left="720"/>
        <w:rPr>
          <w:szCs w:val="24"/>
          <w:u w:val="single"/>
        </w:rPr>
      </w:pPr>
      <w:r w:rsidRPr="00DB1AEE">
        <w:rPr>
          <w:b/>
          <w:bCs/>
          <w:szCs w:val="24"/>
          <w:u w:val="single"/>
        </w:rPr>
        <w:t>104.1.1 Approved agencies.</w:t>
      </w:r>
      <w:r w:rsidRPr="00DB1AEE">
        <w:rPr>
          <w:szCs w:val="24"/>
          <w:u w:val="single"/>
        </w:rPr>
        <w:t xml:space="preserve"> Refer to Article 114 of Chapter 1 of Title 28 of the </w:t>
      </w:r>
      <w:r w:rsidRPr="00DB1AEE">
        <w:rPr>
          <w:iCs/>
          <w:szCs w:val="24"/>
          <w:u w:val="single"/>
        </w:rPr>
        <w:t>Administrative Code</w:t>
      </w:r>
      <w:r w:rsidRPr="00DB1AEE">
        <w:rPr>
          <w:szCs w:val="24"/>
          <w:u w:val="single"/>
        </w:rPr>
        <w:t xml:space="preserve"> and the rules of the department.</w:t>
      </w:r>
    </w:p>
    <w:p w14:paraId="6A836A20" w14:textId="77777777" w:rsidR="00DB1AEE" w:rsidRPr="00DB1AEE" w:rsidRDefault="00DB1AEE" w:rsidP="00DB1AEE">
      <w:pPr>
        <w:widowControl w:val="0"/>
        <w:suppressAutoHyphens/>
        <w:autoSpaceDE w:val="0"/>
        <w:autoSpaceDN w:val="0"/>
        <w:adjustRightInd w:val="0"/>
        <w:spacing w:before="130" w:after="130"/>
        <w:ind w:left="720"/>
        <w:rPr>
          <w:szCs w:val="24"/>
          <w:u w:val="single"/>
        </w:rPr>
      </w:pPr>
      <w:r w:rsidRPr="00DB1AEE">
        <w:rPr>
          <w:b/>
          <w:bCs/>
          <w:szCs w:val="24"/>
          <w:u w:val="single"/>
        </w:rPr>
        <w:t>104.1.2 Inspection of prefabricated construction assemblies.</w:t>
      </w:r>
      <w:r w:rsidRPr="00DB1AEE">
        <w:rPr>
          <w:szCs w:val="24"/>
          <w:u w:val="single"/>
        </w:rPr>
        <w:t xml:space="preserve"> Prior to the issuance of a work permit for a prefabricated construction assembly having concealed mechanical work, the department shall require the submittal of an evaluation report by the manufacturer or </w:t>
      </w:r>
      <w:r w:rsidRPr="00DB1AEE">
        <w:rPr>
          <w:iCs/>
          <w:szCs w:val="24"/>
          <w:u w:val="single"/>
        </w:rPr>
        <w:t>approved agency</w:t>
      </w:r>
      <w:r w:rsidRPr="00DB1AEE">
        <w:rPr>
          <w:szCs w:val="24"/>
          <w:u w:val="single"/>
        </w:rPr>
        <w:t xml:space="preserve"> on each prefabricated construction assembly, indicating the complete details of the mechanical system, including a description of the system and its components, the basis upon which the system is being evaluated for energy use, test results and similar information, and other data as necessary for the commissioner to determine conformance to this code.</w:t>
      </w:r>
    </w:p>
    <w:p w14:paraId="4E8B43B6" w14:textId="77777777" w:rsidR="00DB1AEE" w:rsidRPr="00DB1AEE" w:rsidRDefault="00DB1AEE" w:rsidP="00DB1AEE">
      <w:pPr>
        <w:widowControl w:val="0"/>
        <w:tabs>
          <w:tab w:val="left" w:pos="1800"/>
        </w:tabs>
        <w:suppressAutoHyphens/>
        <w:autoSpaceDE w:val="0"/>
        <w:autoSpaceDN w:val="0"/>
        <w:adjustRightInd w:val="0"/>
        <w:spacing w:before="130" w:after="130"/>
        <w:ind w:left="1080"/>
        <w:rPr>
          <w:szCs w:val="24"/>
          <w:u w:val="single"/>
        </w:rPr>
      </w:pPr>
      <w:r w:rsidRPr="00DB1AEE">
        <w:rPr>
          <w:b/>
          <w:bCs/>
          <w:szCs w:val="24"/>
          <w:u w:val="single"/>
        </w:rPr>
        <w:t>104.1.2.1</w:t>
      </w:r>
      <w:r w:rsidRPr="00DB1AEE">
        <w:rPr>
          <w:b/>
          <w:bCs/>
          <w:szCs w:val="24"/>
          <w:u w:val="single"/>
        </w:rPr>
        <w:tab/>
        <w:t>Test and inspection records.</w:t>
      </w:r>
      <w:r w:rsidRPr="00DB1AEE">
        <w:rPr>
          <w:szCs w:val="24"/>
          <w:u w:val="single"/>
        </w:rPr>
        <w:t xml:space="preserve"> Required test and inspection records shall be made available to the commissioner at all times during the fabrication of the mechanical system and the erection of the </w:t>
      </w:r>
      <w:r w:rsidRPr="00DB1AEE">
        <w:rPr>
          <w:iCs/>
          <w:szCs w:val="24"/>
          <w:u w:val="single"/>
        </w:rPr>
        <w:t>building</w:t>
      </w:r>
      <w:r w:rsidRPr="00DB1AEE">
        <w:rPr>
          <w:szCs w:val="24"/>
          <w:u w:val="single"/>
        </w:rPr>
        <w:t>; or such records as the commissioner designates shall be filed.</w:t>
      </w:r>
    </w:p>
    <w:p w14:paraId="4FB18125" w14:textId="77777777" w:rsidR="00DB1AEE" w:rsidRPr="00DB1AEE" w:rsidRDefault="00DB1AEE" w:rsidP="00DB1AEE">
      <w:pPr>
        <w:widowControl w:val="0"/>
        <w:tabs>
          <w:tab w:val="left" w:pos="1080"/>
        </w:tabs>
        <w:suppressAutoHyphens/>
        <w:autoSpaceDE w:val="0"/>
        <w:autoSpaceDN w:val="0"/>
        <w:adjustRightInd w:val="0"/>
        <w:spacing w:before="130" w:after="130"/>
        <w:ind w:left="360"/>
        <w:rPr>
          <w:szCs w:val="24"/>
          <w:u w:val="single"/>
        </w:rPr>
      </w:pPr>
      <w:r w:rsidRPr="00DB1AEE">
        <w:rPr>
          <w:b/>
          <w:bCs/>
          <w:szCs w:val="24"/>
          <w:u w:val="single"/>
        </w:rPr>
        <w:t>104.2 Testing.</w:t>
      </w:r>
      <w:r w:rsidRPr="00DB1AEE">
        <w:rPr>
          <w:szCs w:val="24"/>
          <w:u w:val="single"/>
        </w:rPr>
        <w:t xml:space="preserve"> Envelope, heating, ventilating, air conditioning, </w:t>
      </w:r>
      <w:r w:rsidRPr="00DB1AEE">
        <w:rPr>
          <w:iCs/>
          <w:szCs w:val="24"/>
          <w:u w:val="single"/>
        </w:rPr>
        <w:t>service water heating</w:t>
      </w:r>
      <w:r w:rsidRPr="00DB1AEE">
        <w:rPr>
          <w:szCs w:val="24"/>
          <w:u w:val="single"/>
        </w:rPr>
        <w:t xml:space="preserve">, lighting and electrical systems shall be tested as required in this code and in accordance with Sections 104.2.1 through 104.2.3.  Except as otherwise required in this code or in the rules of the department, tests shall be made by the permit holder and witnessed by an </w:t>
      </w:r>
      <w:r w:rsidRPr="00DB1AEE">
        <w:rPr>
          <w:iCs/>
          <w:szCs w:val="24"/>
          <w:u w:val="single"/>
        </w:rPr>
        <w:t>approved agency</w:t>
      </w:r>
      <w:r w:rsidRPr="00DB1AEE">
        <w:rPr>
          <w:szCs w:val="24"/>
          <w:u w:val="single"/>
        </w:rPr>
        <w:t>.</w:t>
      </w:r>
    </w:p>
    <w:p w14:paraId="67B45516" w14:textId="77777777" w:rsidR="00DB1AEE" w:rsidRPr="00DB1AEE" w:rsidRDefault="00DB1AEE" w:rsidP="00DB1AEE">
      <w:pPr>
        <w:widowControl w:val="0"/>
        <w:tabs>
          <w:tab w:val="left" w:pos="1440"/>
        </w:tabs>
        <w:suppressAutoHyphens/>
        <w:autoSpaceDE w:val="0"/>
        <w:autoSpaceDN w:val="0"/>
        <w:adjustRightInd w:val="0"/>
        <w:spacing w:before="130" w:after="130"/>
        <w:ind w:left="720"/>
        <w:rPr>
          <w:szCs w:val="24"/>
          <w:u w:val="single"/>
        </w:rPr>
      </w:pPr>
      <w:r w:rsidRPr="00DB1AEE">
        <w:rPr>
          <w:b/>
          <w:bCs/>
          <w:szCs w:val="24"/>
          <w:u w:val="single"/>
        </w:rPr>
        <w:t>104.2.1 New, altered, extended, renovated or repaired systems.</w:t>
      </w:r>
      <w:r w:rsidRPr="00DB1AEE">
        <w:rPr>
          <w:szCs w:val="24"/>
          <w:u w:val="single"/>
        </w:rPr>
        <w:t xml:space="preserve"> New envelope, heating, ventilating, air conditioning, </w:t>
      </w:r>
      <w:r w:rsidRPr="00DB1AEE">
        <w:rPr>
          <w:iCs/>
          <w:szCs w:val="24"/>
          <w:u w:val="single"/>
        </w:rPr>
        <w:t>service water heating</w:t>
      </w:r>
      <w:r w:rsidRPr="00DB1AEE">
        <w:rPr>
          <w:szCs w:val="24"/>
          <w:u w:val="single"/>
        </w:rPr>
        <w:t xml:space="preserve">, lighting and electrical installations or systems, and parts of existing systems that have been altered, extended, renovated or </w:t>
      </w:r>
      <w:r w:rsidRPr="00DB1AEE">
        <w:rPr>
          <w:iCs/>
          <w:szCs w:val="24"/>
          <w:u w:val="single"/>
        </w:rPr>
        <w:t>repaired</w:t>
      </w:r>
      <w:r w:rsidRPr="00DB1AEE">
        <w:rPr>
          <w:szCs w:val="24"/>
          <w:u w:val="single"/>
        </w:rPr>
        <w:t>, shall be tested as prescribed herein or in the rules of the department to disclose leaks and defects.</w:t>
      </w:r>
    </w:p>
    <w:p w14:paraId="0C31155F" w14:textId="77777777" w:rsidR="00DB1AEE" w:rsidRPr="00DB1AEE" w:rsidRDefault="00DB1AEE" w:rsidP="00DB1AEE">
      <w:pPr>
        <w:widowControl w:val="0"/>
        <w:suppressAutoHyphens/>
        <w:autoSpaceDE w:val="0"/>
        <w:autoSpaceDN w:val="0"/>
        <w:adjustRightInd w:val="0"/>
        <w:spacing w:before="130" w:after="130"/>
        <w:ind w:left="720"/>
        <w:rPr>
          <w:szCs w:val="24"/>
          <w:u w:val="single"/>
        </w:rPr>
      </w:pPr>
      <w:r w:rsidRPr="00DB1AEE">
        <w:rPr>
          <w:b/>
          <w:bCs/>
          <w:szCs w:val="24"/>
          <w:u w:val="single"/>
        </w:rPr>
        <w:t>104.2.2 Apparatus, instruments, material and labor for tests.</w:t>
      </w:r>
      <w:r w:rsidRPr="00DB1AEE">
        <w:rPr>
          <w:szCs w:val="24"/>
          <w:u w:val="single"/>
        </w:rPr>
        <w:t xml:space="preserve"> Apparatus, instruments, material and labor required for testing an envelope, heating, ventilating, air conditioning, </w:t>
      </w:r>
      <w:r w:rsidRPr="00DB1AEE">
        <w:rPr>
          <w:iCs/>
          <w:szCs w:val="24"/>
          <w:u w:val="single"/>
        </w:rPr>
        <w:t>service water heating</w:t>
      </w:r>
      <w:r w:rsidRPr="00DB1AEE">
        <w:rPr>
          <w:szCs w:val="24"/>
          <w:u w:val="single"/>
        </w:rPr>
        <w:t xml:space="preserve">, lighting or electrical installation or system, or part thereof, shall be furnished by the permit holder. </w:t>
      </w:r>
    </w:p>
    <w:p w14:paraId="520D91F6" w14:textId="77777777" w:rsidR="00DB1AEE" w:rsidRPr="00DB1AEE" w:rsidRDefault="00DB1AEE" w:rsidP="00DB1AEE">
      <w:pPr>
        <w:widowControl w:val="0"/>
        <w:tabs>
          <w:tab w:val="left" w:pos="1440"/>
        </w:tabs>
        <w:suppressAutoHyphens/>
        <w:autoSpaceDE w:val="0"/>
        <w:autoSpaceDN w:val="0"/>
        <w:adjustRightInd w:val="0"/>
        <w:spacing w:before="130" w:after="130"/>
        <w:ind w:left="720"/>
        <w:rPr>
          <w:szCs w:val="24"/>
          <w:u w:val="single"/>
        </w:rPr>
      </w:pPr>
      <w:r w:rsidRPr="00DB1AEE">
        <w:rPr>
          <w:b/>
          <w:bCs/>
          <w:szCs w:val="24"/>
          <w:u w:val="single"/>
        </w:rPr>
        <w:t>104.2.3 Reinspection and testing.</w:t>
      </w:r>
      <w:r w:rsidRPr="00DB1AEE">
        <w:rPr>
          <w:szCs w:val="24"/>
          <w:u w:val="single"/>
        </w:rPr>
        <w:t xml:space="preserve"> Where any work or installation does not pass an initial test or inspection, the necessary corrections shall be made so as to achieve compliance with the </w:t>
      </w:r>
      <w:r w:rsidRPr="00DB1AEE">
        <w:rPr>
          <w:iCs/>
          <w:szCs w:val="24"/>
          <w:u w:val="single"/>
        </w:rPr>
        <w:t>New York City Construction Codes</w:t>
      </w:r>
      <w:r w:rsidRPr="00DB1AEE">
        <w:rPr>
          <w:szCs w:val="24"/>
          <w:u w:val="single"/>
        </w:rPr>
        <w:t xml:space="preserve">, including this code. The work or installation shall then be reinspected or retested by the </w:t>
      </w:r>
      <w:r w:rsidRPr="00DB1AEE">
        <w:rPr>
          <w:iCs/>
          <w:szCs w:val="24"/>
          <w:u w:val="single"/>
        </w:rPr>
        <w:t>approved agency</w:t>
      </w:r>
      <w:r w:rsidRPr="00DB1AEE">
        <w:rPr>
          <w:szCs w:val="24"/>
          <w:u w:val="single"/>
        </w:rPr>
        <w:t>.</w:t>
      </w:r>
    </w:p>
    <w:p w14:paraId="6DA569E6" w14:textId="77777777" w:rsidR="00DB1AEE" w:rsidRPr="00DB1AEE" w:rsidRDefault="00DB1AEE" w:rsidP="00DB1AEE">
      <w:pPr>
        <w:widowControl w:val="0"/>
        <w:suppressAutoHyphens/>
        <w:autoSpaceDE w:val="0"/>
        <w:autoSpaceDN w:val="0"/>
        <w:adjustRightInd w:val="0"/>
        <w:spacing w:before="130" w:after="130"/>
        <w:ind w:left="360"/>
        <w:rPr>
          <w:szCs w:val="24"/>
          <w:u w:val="single"/>
        </w:rPr>
      </w:pPr>
      <w:r w:rsidRPr="00DB1AEE">
        <w:rPr>
          <w:b/>
          <w:bCs/>
          <w:szCs w:val="24"/>
          <w:u w:val="single"/>
        </w:rPr>
        <w:t>104.3 Sign-off of completed work.</w:t>
      </w:r>
      <w:r w:rsidRPr="00DB1AEE">
        <w:rPr>
          <w:szCs w:val="24"/>
          <w:u w:val="single"/>
        </w:rPr>
        <w:t xml:space="preserve"> In addition to the requirements of Article 116 of Chapter 1 of Title 28 of the </w:t>
      </w:r>
      <w:r w:rsidRPr="00DB1AEE">
        <w:rPr>
          <w:iCs/>
          <w:szCs w:val="24"/>
          <w:u w:val="single"/>
        </w:rPr>
        <w:t>Administrative Code</w:t>
      </w:r>
      <w:r w:rsidRPr="00DB1AEE">
        <w:rPr>
          <w:szCs w:val="24"/>
          <w:u w:val="single"/>
        </w:rPr>
        <w:t xml:space="preserve">, Section 103.4 of this code and other requirements for sign-off, the </w:t>
      </w:r>
      <w:r w:rsidRPr="00DB1AEE">
        <w:rPr>
          <w:iCs/>
          <w:szCs w:val="24"/>
          <w:u w:val="single"/>
        </w:rPr>
        <w:t>project</w:t>
      </w:r>
      <w:r w:rsidRPr="00DB1AEE">
        <w:rPr>
          <w:szCs w:val="24"/>
          <w:u w:val="single"/>
        </w:rPr>
        <w:t xml:space="preserve"> team shall either certify that construction does not differ from the last approved </w:t>
      </w:r>
      <w:r w:rsidRPr="00DB1AEE">
        <w:rPr>
          <w:iCs/>
          <w:szCs w:val="24"/>
          <w:u w:val="single"/>
        </w:rPr>
        <w:t>energy analysis</w:t>
      </w:r>
      <w:r w:rsidRPr="00DB1AEE">
        <w:rPr>
          <w:szCs w:val="24"/>
          <w:u w:val="single"/>
        </w:rPr>
        <w:t xml:space="preserve"> or provide a whole-</w:t>
      </w:r>
      <w:r w:rsidRPr="00DB1AEE">
        <w:rPr>
          <w:iCs/>
          <w:szCs w:val="24"/>
          <w:u w:val="single"/>
        </w:rPr>
        <w:t>project</w:t>
      </w:r>
      <w:r w:rsidRPr="00DB1AEE">
        <w:rPr>
          <w:szCs w:val="24"/>
          <w:u w:val="single"/>
        </w:rPr>
        <w:t xml:space="preserve"> as-built </w:t>
      </w:r>
      <w:r w:rsidRPr="00DB1AEE">
        <w:rPr>
          <w:iCs/>
          <w:szCs w:val="24"/>
          <w:u w:val="single"/>
        </w:rPr>
        <w:t>energy analysis</w:t>
      </w:r>
      <w:r w:rsidRPr="00DB1AEE">
        <w:rPr>
          <w:szCs w:val="24"/>
          <w:u w:val="single"/>
        </w:rPr>
        <w:t xml:space="preserve"> and supporting documents, signed and sealed, for approval prior to sign-off. The as-built </w:t>
      </w:r>
      <w:r w:rsidRPr="00DB1AEE">
        <w:rPr>
          <w:iCs/>
          <w:szCs w:val="24"/>
          <w:u w:val="single"/>
        </w:rPr>
        <w:t>energy analysis</w:t>
      </w:r>
      <w:r w:rsidRPr="00DB1AEE">
        <w:rPr>
          <w:szCs w:val="24"/>
          <w:u w:val="single"/>
        </w:rPr>
        <w:t xml:space="preserve"> and supporting documents shall reflect the materials, equipment and values actually used in the construction of the </w:t>
      </w:r>
      <w:r w:rsidRPr="00DB1AEE">
        <w:rPr>
          <w:iCs/>
          <w:szCs w:val="24"/>
          <w:u w:val="single"/>
        </w:rPr>
        <w:t>project</w:t>
      </w:r>
      <w:r w:rsidRPr="00DB1AEE">
        <w:rPr>
          <w:szCs w:val="24"/>
          <w:u w:val="single"/>
        </w:rPr>
        <w:t xml:space="preserve">, and shall demonstrate compliance of the constructed </w:t>
      </w:r>
      <w:r w:rsidRPr="00DB1AEE">
        <w:rPr>
          <w:iCs/>
          <w:szCs w:val="24"/>
          <w:u w:val="single"/>
        </w:rPr>
        <w:t>project</w:t>
      </w:r>
      <w:r w:rsidRPr="00DB1AEE">
        <w:rPr>
          <w:szCs w:val="24"/>
          <w:u w:val="single"/>
        </w:rPr>
        <w:t xml:space="preserve"> with this code. Such signed and sealed documents may be accepted with less than full examination by the department based on the professional certification of the </w:t>
      </w:r>
      <w:r w:rsidRPr="00DB1AEE">
        <w:rPr>
          <w:iCs/>
          <w:szCs w:val="24"/>
          <w:u w:val="single"/>
        </w:rPr>
        <w:t>registered design professional</w:t>
      </w:r>
      <w:r w:rsidRPr="00DB1AEE">
        <w:rPr>
          <w:szCs w:val="24"/>
          <w:u w:val="single"/>
        </w:rPr>
        <w:t>.</w:t>
      </w:r>
    </w:p>
    <w:p w14:paraId="7DDC8D18" w14:textId="77777777" w:rsidR="00DB1AEE" w:rsidRPr="00DB1AEE" w:rsidRDefault="00DB1AEE" w:rsidP="00DB1AEE">
      <w:pPr>
        <w:widowControl w:val="0"/>
        <w:suppressAutoHyphens/>
        <w:autoSpaceDE w:val="0"/>
        <w:autoSpaceDN w:val="0"/>
        <w:adjustRightInd w:val="0"/>
        <w:spacing w:before="130" w:after="130"/>
        <w:ind w:left="360"/>
        <w:rPr>
          <w:szCs w:val="24"/>
          <w:u w:val="single"/>
        </w:rPr>
      </w:pPr>
      <w:r w:rsidRPr="00DB1AEE">
        <w:rPr>
          <w:b/>
          <w:bCs/>
          <w:szCs w:val="24"/>
          <w:u w:val="single"/>
        </w:rPr>
        <w:t>104.4 Temporary connection.</w:t>
      </w:r>
      <w:r w:rsidRPr="00DB1AEE">
        <w:rPr>
          <w:szCs w:val="24"/>
          <w:u w:val="single"/>
        </w:rPr>
        <w:t xml:space="preserve"> The commissioner shall have the authority to allow the temporary connection of an installation to the sources of energy for the purpose of testing the installation or for use under a temporary certificate of occupancy. </w:t>
      </w:r>
    </w:p>
    <w:p w14:paraId="111DCB55" w14:textId="77777777" w:rsidR="00DB1AEE" w:rsidRPr="00DB1AEE" w:rsidRDefault="00DB1AEE" w:rsidP="00DB1AEE">
      <w:pPr>
        <w:widowControl w:val="0"/>
        <w:suppressAutoHyphens/>
        <w:autoSpaceDE w:val="0"/>
        <w:autoSpaceDN w:val="0"/>
        <w:adjustRightInd w:val="0"/>
        <w:spacing w:before="130" w:after="130"/>
        <w:rPr>
          <w:b/>
          <w:bCs/>
          <w:szCs w:val="24"/>
          <w:u w:val="single"/>
        </w:rPr>
      </w:pPr>
    </w:p>
    <w:p w14:paraId="3F0E27DD" w14:textId="77777777" w:rsidR="00DB1AEE" w:rsidRPr="00DB1AEE" w:rsidRDefault="00DB1AEE" w:rsidP="00DB1AEE">
      <w:pPr>
        <w:widowControl w:val="0"/>
        <w:suppressAutoHyphens/>
        <w:autoSpaceDE w:val="0"/>
        <w:autoSpaceDN w:val="0"/>
        <w:adjustRightInd w:val="0"/>
        <w:spacing w:before="130" w:after="130"/>
        <w:jc w:val="center"/>
        <w:rPr>
          <w:b/>
          <w:bCs/>
          <w:szCs w:val="24"/>
          <w:u w:val="single"/>
        </w:rPr>
      </w:pPr>
      <w:r w:rsidRPr="00DB1AEE">
        <w:rPr>
          <w:b/>
          <w:bCs/>
          <w:szCs w:val="24"/>
          <w:u w:val="single"/>
        </w:rPr>
        <w:t>SECTION ECC 105</w:t>
      </w:r>
    </w:p>
    <w:p w14:paraId="1D1C14AA" w14:textId="77777777" w:rsidR="00DB1AEE" w:rsidRPr="00DB1AEE" w:rsidRDefault="00DB1AEE" w:rsidP="00DB1AEE">
      <w:pPr>
        <w:widowControl w:val="0"/>
        <w:suppressAutoHyphens/>
        <w:autoSpaceDE w:val="0"/>
        <w:autoSpaceDN w:val="0"/>
        <w:adjustRightInd w:val="0"/>
        <w:spacing w:before="130" w:after="130"/>
        <w:jc w:val="center"/>
        <w:rPr>
          <w:b/>
          <w:bCs/>
          <w:szCs w:val="24"/>
          <w:u w:val="single"/>
        </w:rPr>
      </w:pPr>
      <w:r w:rsidRPr="00DB1AEE">
        <w:rPr>
          <w:b/>
          <w:bCs/>
          <w:szCs w:val="24"/>
          <w:u w:val="single"/>
        </w:rPr>
        <w:t>REFERENCED STANDARDS</w:t>
      </w:r>
    </w:p>
    <w:p w14:paraId="59518D41" w14:textId="77777777" w:rsidR="00DB1AEE" w:rsidRPr="00DB1AEE" w:rsidRDefault="00DB1AEE" w:rsidP="00DB1AEE">
      <w:pPr>
        <w:widowControl w:val="0"/>
        <w:suppressAutoHyphens/>
        <w:autoSpaceDE w:val="0"/>
        <w:autoSpaceDN w:val="0"/>
        <w:adjustRightInd w:val="0"/>
        <w:spacing w:before="130" w:after="130"/>
        <w:ind w:left="360"/>
        <w:rPr>
          <w:szCs w:val="24"/>
          <w:u w:val="single"/>
        </w:rPr>
      </w:pPr>
      <w:r w:rsidRPr="00DB1AEE">
        <w:rPr>
          <w:b/>
          <w:bCs/>
          <w:szCs w:val="24"/>
          <w:u w:val="single"/>
        </w:rPr>
        <w:t xml:space="preserve">105.1 Referenced standards. </w:t>
      </w:r>
      <w:r w:rsidRPr="00DB1AEE">
        <w:rPr>
          <w:szCs w:val="24"/>
          <w:u w:val="single"/>
        </w:rPr>
        <w:t xml:space="preserve">The standards referenced in Chapters C2, C3, C4, and C5 of this code shall be those that are listed in Chapter C6 of this code, and in the rules of the department and such standards shall be considered part of the requirements of the commercial provisions of this code to the prescribed extent of each such reference. The standards referenced in Chapters R2, R3, R4, and R5, of this code shall be those that are listed in Chapter R6 of this code, and in the rules of the department and such standards shall be considered part of the requirements of the residential provisions of this code to the prescribed extent of each such reference. The standards referenced in Appendix CA of this code shall be those that are listed in Section 12 of Appendix CA of this code, and in the rules of the department and such standards shall be considered part of the requirements of the commercial provisions of this code to the prescribed extent of each such reference. Where differences occur between provisions of this code and the referenced standards, the provisions of this code shall apply. Refer to Article 103 of Chapter 1 of Title 28 of the </w:t>
      </w:r>
      <w:r w:rsidRPr="00DB1AEE">
        <w:rPr>
          <w:iCs/>
          <w:szCs w:val="24"/>
          <w:u w:val="single"/>
        </w:rPr>
        <w:t xml:space="preserve">Administrative Code </w:t>
      </w:r>
      <w:r w:rsidRPr="00DB1AEE">
        <w:rPr>
          <w:szCs w:val="24"/>
          <w:u w:val="single"/>
        </w:rPr>
        <w:t xml:space="preserve">for additional provisions relating to referenced standards. </w:t>
      </w:r>
    </w:p>
    <w:p w14:paraId="28A4EC1A" w14:textId="77777777" w:rsidR="00DB1AEE" w:rsidRPr="00DB1AEE" w:rsidRDefault="00DB1AEE" w:rsidP="00DB1AEE">
      <w:pPr>
        <w:widowControl w:val="0"/>
        <w:suppressAutoHyphens/>
        <w:autoSpaceDE w:val="0"/>
        <w:autoSpaceDN w:val="0"/>
        <w:adjustRightInd w:val="0"/>
        <w:spacing w:before="130" w:after="130"/>
        <w:jc w:val="center"/>
        <w:rPr>
          <w:b/>
          <w:szCs w:val="24"/>
          <w:u w:val="single"/>
        </w:rPr>
      </w:pPr>
      <w:r w:rsidRPr="00DB1AEE">
        <w:rPr>
          <w:b/>
          <w:szCs w:val="24"/>
          <w:u w:val="single"/>
        </w:rPr>
        <w:t>CHAPTER C2</w:t>
      </w:r>
    </w:p>
    <w:p w14:paraId="5A027417" w14:textId="77777777" w:rsidR="00DB1AEE" w:rsidRPr="00DB1AEE" w:rsidRDefault="00DB1AEE" w:rsidP="00DB1AEE">
      <w:pPr>
        <w:widowControl w:val="0"/>
        <w:suppressAutoHyphens/>
        <w:autoSpaceDE w:val="0"/>
        <w:autoSpaceDN w:val="0"/>
        <w:adjustRightInd w:val="0"/>
        <w:spacing w:before="130" w:after="130"/>
        <w:jc w:val="center"/>
        <w:rPr>
          <w:b/>
          <w:bCs/>
          <w:szCs w:val="24"/>
          <w:u w:val="single"/>
        </w:rPr>
      </w:pPr>
      <w:r w:rsidRPr="00DB1AEE">
        <w:rPr>
          <w:b/>
          <w:szCs w:val="24"/>
          <w:u w:val="single"/>
        </w:rPr>
        <w:t>DEFINITIONS</w:t>
      </w:r>
    </w:p>
    <w:p w14:paraId="2B2C7D9C" w14:textId="77777777" w:rsidR="00DB1AEE" w:rsidRPr="00DB1AEE" w:rsidRDefault="00DB1AEE" w:rsidP="00DB1AEE">
      <w:pPr>
        <w:widowControl w:val="0"/>
        <w:suppressAutoHyphens/>
        <w:autoSpaceDE w:val="0"/>
        <w:autoSpaceDN w:val="0"/>
        <w:adjustRightInd w:val="0"/>
        <w:spacing w:before="130" w:after="130"/>
        <w:jc w:val="center"/>
        <w:rPr>
          <w:b/>
          <w:bCs/>
          <w:szCs w:val="24"/>
          <w:u w:val="single"/>
        </w:rPr>
      </w:pPr>
      <w:r w:rsidRPr="00DB1AEE">
        <w:rPr>
          <w:b/>
          <w:bCs/>
          <w:szCs w:val="24"/>
          <w:u w:val="single"/>
        </w:rPr>
        <w:t xml:space="preserve">SECTION C201 </w:t>
      </w:r>
    </w:p>
    <w:p w14:paraId="64DB88AF" w14:textId="77777777" w:rsidR="00DB1AEE" w:rsidRPr="00DB1AEE" w:rsidRDefault="00DB1AEE" w:rsidP="00DB1AEE">
      <w:pPr>
        <w:widowControl w:val="0"/>
        <w:suppressAutoHyphens/>
        <w:autoSpaceDE w:val="0"/>
        <w:autoSpaceDN w:val="0"/>
        <w:adjustRightInd w:val="0"/>
        <w:spacing w:before="130" w:after="130"/>
        <w:jc w:val="center"/>
        <w:rPr>
          <w:b/>
          <w:bCs/>
          <w:szCs w:val="24"/>
          <w:u w:val="single"/>
        </w:rPr>
      </w:pPr>
      <w:r w:rsidRPr="00DB1AEE">
        <w:rPr>
          <w:b/>
          <w:bCs/>
          <w:szCs w:val="24"/>
          <w:u w:val="single"/>
        </w:rPr>
        <w:t>GENERAL</w:t>
      </w:r>
    </w:p>
    <w:p w14:paraId="5517988F"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Section C201.3 Words and terms defined in other codes.</w:t>
      </w:r>
    </w:p>
    <w:p w14:paraId="054490E0" w14:textId="77777777" w:rsidR="00DB1AEE" w:rsidRPr="00DB1AEE" w:rsidRDefault="00DB1AEE" w:rsidP="00DB1AEE">
      <w:pPr>
        <w:widowControl w:val="0"/>
        <w:suppressAutoHyphens/>
        <w:autoSpaceDE w:val="0"/>
        <w:autoSpaceDN w:val="0"/>
        <w:adjustRightInd w:val="0"/>
        <w:spacing w:before="130" w:after="130"/>
        <w:rPr>
          <w:u w:val="single"/>
        </w:rPr>
      </w:pPr>
      <w:r w:rsidRPr="00DB1AEE">
        <w:rPr>
          <w:u w:val="single"/>
        </w:rPr>
        <w:t>Section C201.3 - Revise Section C201.3 to read as follows:</w:t>
      </w:r>
    </w:p>
    <w:p w14:paraId="32769C92" w14:textId="77777777" w:rsidR="00DB1AEE" w:rsidRPr="00DB1AEE" w:rsidRDefault="00DB1AEE" w:rsidP="00DB1AEE">
      <w:pPr>
        <w:widowControl w:val="0"/>
        <w:suppressAutoHyphens/>
        <w:autoSpaceDE w:val="0"/>
        <w:autoSpaceDN w:val="0"/>
        <w:adjustRightInd w:val="0"/>
        <w:spacing w:before="130" w:after="130"/>
        <w:ind w:left="360"/>
        <w:rPr>
          <w:b/>
          <w:u w:val="single"/>
        </w:rPr>
      </w:pPr>
      <w:r w:rsidRPr="00DB1AEE">
        <w:rPr>
          <w:b/>
          <w:u w:val="single"/>
        </w:rPr>
        <w:t xml:space="preserve">C201.3 Words and terms defined in other codes.  </w:t>
      </w:r>
      <w:r w:rsidRPr="00DB1AEE">
        <w:rPr>
          <w:u w:val="single"/>
        </w:rPr>
        <w:t>Where italicized words and terms are not defined in this code but are defined in the  New York City Building Code New York City Fire Code, New York City Fuel Gas Code, New York City Mechanical Code, New York City Plumbing Code,  such terms shall have the meanings ascribed to them in those codes</w:t>
      </w:r>
      <w:r w:rsidRPr="00DB1AEE">
        <w:rPr>
          <w:b/>
          <w:u w:val="single"/>
        </w:rPr>
        <w:t>.</w:t>
      </w:r>
    </w:p>
    <w:p w14:paraId="0B61538D"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Section C201.4 Words and terms not defined.</w:t>
      </w:r>
    </w:p>
    <w:p w14:paraId="2FCEF8C7" w14:textId="77777777" w:rsidR="00DB1AEE" w:rsidRPr="00DB1AEE" w:rsidRDefault="00DB1AEE" w:rsidP="00DB1AEE">
      <w:pPr>
        <w:widowControl w:val="0"/>
        <w:suppressAutoHyphens/>
        <w:autoSpaceDE w:val="0"/>
        <w:autoSpaceDN w:val="0"/>
        <w:adjustRightInd w:val="0"/>
        <w:spacing w:before="130" w:after="130"/>
        <w:rPr>
          <w:u w:val="single"/>
        </w:rPr>
      </w:pPr>
      <w:r w:rsidRPr="00DB1AEE">
        <w:rPr>
          <w:u w:val="single"/>
        </w:rPr>
        <w:t>Section C201.4 - Revise Section C201.4 to read as follows:</w:t>
      </w:r>
    </w:p>
    <w:p w14:paraId="322AB8BE" w14:textId="77777777" w:rsidR="00DB1AEE" w:rsidRPr="00DB1AEE" w:rsidRDefault="00DB1AEE" w:rsidP="00DB1AEE">
      <w:pPr>
        <w:widowControl w:val="0"/>
        <w:suppressAutoHyphens/>
        <w:autoSpaceDE w:val="0"/>
        <w:autoSpaceDN w:val="0"/>
        <w:adjustRightInd w:val="0"/>
        <w:spacing w:before="130" w:after="130"/>
        <w:ind w:left="360"/>
        <w:rPr>
          <w:b/>
          <w:u w:val="single"/>
        </w:rPr>
      </w:pPr>
      <w:r w:rsidRPr="00DB1AEE">
        <w:rPr>
          <w:b/>
          <w:u w:val="single"/>
        </w:rPr>
        <w:t xml:space="preserve">C201.4 Words and terms not defined.  </w:t>
      </w:r>
      <w:r w:rsidRPr="00DB1AEE">
        <w:rPr>
          <w:u w:val="single"/>
        </w:rPr>
        <w:t>Where words and terms are not italicized or are italicized but not defined  in this publication or in the publications listed in Section C201.3, such words and terms shall have the meanings defined in applicable referenced standards, statutes, or regulations or shall have the ordinarily accepted meanings such as the context implies</w:t>
      </w:r>
      <w:r w:rsidRPr="00DB1AEE">
        <w:rPr>
          <w:b/>
          <w:u w:val="single"/>
        </w:rPr>
        <w:t>.</w:t>
      </w:r>
    </w:p>
    <w:p w14:paraId="2BFE31AF" w14:textId="77777777" w:rsidR="00DB1AEE" w:rsidRPr="00DB1AEE" w:rsidRDefault="00DB1AEE" w:rsidP="00DB1AEE">
      <w:pPr>
        <w:widowControl w:val="0"/>
        <w:suppressAutoHyphens/>
        <w:autoSpaceDE w:val="0"/>
        <w:autoSpaceDN w:val="0"/>
        <w:adjustRightInd w:val="0"/>
        <w:spacing w:before="130" w:after="130"/>
        <w:jc w:val="center"/>
        <w:rPr>
          <w:b/>
          <w:bCs/>
          <w:caps/>
          <w:szCs w:val="24"/>
          <w:u w:val="single"/>
        </w:rPr>
      </w:pPr>
      <w:r w:rsidRPr="00DB1AEE">
        <w:rPr>
          <w:b/>
          <w:bCs/>
          <w:caps/>
          <w:szCs w:val="24"/>
          <w:u w:val="single"/>
        </w:rPr>
        <w:t>Section C202</w:t>
      </w:r>
    </w:p>
    <w:p w14:paraId="51C4C630" w14:textId="77777777" w:rsidR="00DB1AEE" w:rsidRPr="00DB1AEE" w:rsidRDefault="00DB1AEE" w:rsidP="00DB1AEE">
      <w:pPr>
        <w:widowControl w:val="0"/>
        <w:suppressAutoHyphens/>
        <w:autoSpaceDE w:val="0"/>
        <w:autoSpaceDN w:val="0"/>
        <w:adjustRightInd w:val="0"/>
        <w:spacing w:before="130" w:after="130"/>
        <w:jc w:val="center"/>
        <w:rPr>
          <w:b/>
          <w:bCs/>
          <w:caps/>
          <w:szCs w:val="24"/>
          <w:u w:val="single"/>
        </w:rPr>
      </w:pPr>
      <w:r w:rsidRPr="00DB1AEE">
        <w:rPr>
          <w:b/>
          <w:bCs/>
          <w:caps/>
          <w:szCs w:val="24"/>
          <w:u w:val="single"/>
        </w:rPr>
        <w:t>GENERAL DEFINITIONS</w:t>
      </w:r>
    </w:p>
    <w:p w14:paraId="04F40173" w14:textId="77777777" w:rsidR="00DB1AEE" w:rsidRPr="00DB1AEE" w:rsidRDefault="00DB1AEE" w:rsidP="00DB1AEE">
      <w:pPr>
        <w:widowControl w:val="0"/>
        <w:suppressAutoHyphens/>
        <w:autoSpaceDE w:val="0"/>
        <w:autoSpaceDN w:val="0"/>
        <w:adjustRightInd w:val="0"/>
        <w:spacing w:before="130" w:after="130"/>
        <w:rPr>
          <w:szCs w:val="24"/>
          <w:u w:val="single"/>
        </w:rPr>
      </w:pPr>
      <w:r w:rsidRPr="00DB1AEE">
        <w:rPr>
          <w:szCs w:val="24"/>
          <w:u w:val="single"/>
        </w:rPr>
        <w:t xml:space="preserve">Section C202 - Delete the definitions of “Building Code of New York State,” “Existing Building Code of New York State,” “Fire Code of New York State,” “Fuel Gas Code of New York State,” “Mechanical Code of New York State,” “Plumbing Code of New York State,” ”Property Maintenance Code of New York State,” “Residential Code of New York State,” and “Uniform Code.” </w:t>
      </w:r>
    </w:p>
    <w:p w14:paraId="1FE83C5F" w14:textId="77777777" w:rsidR="00DB1AEE" w:rsidRPr="00DB1AEE" w:rsidRDefault="00DB1AEE" w:rsidP="00DB1AEE">
      <w:pPr>
        <w:widowControl w:val="0"/>
        <w:suppressAutoHyphens/>
        <w:autoSpaceDE w:val="0"/>
        <w:autoSpaceDN w:val="0"/>
        <w:adjustRightInd w:val="0"/>
        <w:spacing w:before="130" w:after="130"/>
        <w:rPr>
          <w:u w:val="single"/>
        </w:rPr>
      </w:pPr>
      <w:r w:rsidRPr="00DB1AEE">
        <w:rPr>
          <w:u w:val="single"/>
        </w:rPr>
        <w:t>Section C202 – Add the definition of  “2025 NYC ASHRAE 90.1” after the definition of “2025 NYS ASHRAE 90.1.” to read as follows:</w:t>
      </w:r>
    </w:p>
    <w:p w14:paraId="2B60C6B4" w14:textId="77777777" w:rsidR="00DB1AEE" w:rsidRPr="00DB1AEE" w:rsidRDefault="00DB1AEE" w:rsidP="00DB1AEE">
      <w:pPr>
        <w:widowControl w:val="0"/>
        <w:suppressAutoHyphens/>
        <w:spacing w:before="130" w:after="130"/>
        <w:ind w:left="360"/>
        <w:rPr>
          <w:u w:val="single"/>
        </w:rPr>
      </w:pPr>
      <w:r w:rsidRPr="00DB1AEE">
        <w:rPr>
          <w:b/>
          <w:bCs/>
          <w:u w:val="single"/>
        </w:rPr>
        <w:t>2025 NYC ASHRAE 90.1.</w:t>
      </w:r>
      <w:r w:rsidRPr="00DB1AEE">
        <w:rPr>
          <w:u w:val="single"/>
        </w:rPr>
        <w:t xml:space="preserve"> New York City amendments to 2025 NYS ASHRAE 90.1  </w:t>
      </w:r>
    </w:p>
    <w:p w14:paraId="3AB3B817" w14:textId="77777777" w:rsidR="00DB1AEE" w:rsidRPr="00DB1AEE" w:rsidRDefault="00DB1AEE" w:rsidP="00DB1AEE">
      <w:pPr>
        <w:widowControl w:val="0"/>
        <w:suppressAutoHyphens/>
        <w:autoSpaceDE w:val="0"/>
        <w:autoSpaceDN w:val="0"/>
        <w:adjustRightInd w:val="0"/>
        <w:spacing w:before="130" w:after="130"/>
        <w:rPr>
          <w:u w:val="single"/>
        </w:rPr>
      </w:pPr>
      <w:r w:rsidRPr="00DB1AEE">
        <w:rPr>
          <w:u w:val="single"/>
        </w:rPr>
        <w:t xml:space="preserve">Section C202 – Delete the definition of  “Approval Or Approved,” “Approved Agency,”   after the definition of “Alteration.” </w:t>
      </w:r>
    </w:p>
    <w:p w14:paraId="1BAA15E3" w14:textId="77777777" w:rsidR="00DB1AEE" w:rsidRPr="00DB1AEE" w:rsidRDefault="00DB1AEE" w:rsidP="00DB1AEE">
      <w:pPr>
        <w:widowControl w:val="0"/>
        <w:suppressAutoHyphens/>
        <w:autoSpaceDE w:val="0"/>
        <w:autoSpaceDN w:val="0"/>
        <w:adjustRightInd w:val="0"/>
        <w:spacing w:before="130" w:after="130"/>
        <w:rPr>
          <w:u w:val="single"/>
        </w:rPr>
      </w:pPr>
      <w:r w:rsidRPr="00DB1AEE">
        <w:rPr>
          <w:u w:val="single"/>
        </w:rPr>
        <w:t>Section C202 – Add the definition of  “Approval Or Approved,” “Approved Agency,” after the definition of “Alteration.” to read as follows:</w:t>
      </w:r>
    </w:p>
    <w:p w14:paraId="67165C89" w14:textId="77777777" w:rsidR="00DB1AEE" w:rsidRPr="00DB1AEE" w:rsidRDefault="00DB1AEE" w:rsidP="00DB1AEE">
      <w:pPr>
        <w:widowControl w:val="0"/>
        <w:suppressAutoHyphens/>
        <w:spacing w:before="130" w:after="130"/>
        <w:ind w:left="360"/>
        <w:rPr>
          <w:b/>
          <w:bCs/>
          <w:u w:val="single"/>
        </w:rPr>
      </w:pPr>
      <w:r w:rsidRPr="00DB1AEE">
        <w:rPr>
          <w:b/>
          <w:bCs/>
          <w:u w:val="single"/>
        </w:rPr>
        <w:t xml:space="preserve">APPROVAL OR APPROVED. </w:t>
      </w:r>
      <w:r w:rsidRPr="00DB1AEE">
        <w:rPr>
          <w:u w:val="single"/>
        </w:rPr>
        <w:t>See Section 28-101.5 of the Administrative Code</w:t>
      </w:r>
    </w:p>
    <w:p w14:paraId="5FE8E103" w14:textId="77777777" w:rsidR="00DB1AEE" w:rsidRPr="00DB1AEE" w:rsidRDefault="00DB1AEE" w:rsidP="00DB1AEE">
      <w:pPr>
        <w:widowControl w:val="0"/>
        <w:suppressAutoHyphens/>
        <w:spacing w:before="130" w:after="130"/>
        <w:ind w:left="360"/>
        <w:rPr>
          <w:b/>
          <w:bCs/>
          <w:u w:val="single"/>
        </w:rPr>
      </w:pPr>
      <w:r w:rsidRPr="00DB1AEE">
        <w:rPr>
          <w:b/>
          <w:bCs/>
          <w:u w:val="single"/>
        </w:rPr>
        <w:t xml:space="preserve">APPROVED AGENCY. </w:t>
      </w:r>
      <w:r w:rsidRPr="00DB1AEE">
        <w:rPr>
          <w:u w:val="single"/>
        </w:rPr>
        <w:t>See Section 28-101.5 of the Administrative Code.</w:t>
      </w:r>
    </w:p>
    <w:p w14:paraId="040D29DA" w14:textId="77777777" w:rsidR="00DB1AEE" w:rsidRPr="00DB1AEE" w:rsidRDefault="00DB1AEE" w:rsidP="00DB1AEE">
      <w:pPr>
        <w:widowControl w:val="0"/>
        <w:suppressAutoHyphens/>
        <w:autoSpaceDE w:val="0"/>
        <w:autoSpaceDN w:val="0"/>
        <w:adjustRightInd w:val="0"/>
        <w:spacing w:before="130" w:after="130"/>
        <w:rPr>
          <w:u w:val="single"/>
        </w:rPr>
      </w:pPr>
      <w:r w:rsidRPr="00DB1AEE">
        <w:rPr>
          <w:u w:val="single"/>
        </w:rPr>
        <w:t>Section C202 – Delete the definition of  “Authority Having Jurisdiction,” after the definition of “Area-Weighted Average.”</w:t>
      </w:r>
    </w:p>
    <w:p w14:paraId="080B4A0B" w14:textId="77777777" w:rsidR="00DB1AEE" w:rsidRPr="00DB1AEE" w:rsidRDefault="00DB1AEE" w:rsidP="00DB1AEE">
      <w:pPr>
        <w:widowControl w:val="0"/>
        <w:suppressAutoHyphens/>
        <w:autoSpaceDE w:val="0"/>
        <w:autoSpaceDN w:val="0"/>
        <w:adjustRightInd w:val="0"/>
        <w:spacing w:before="130" w:after="130"/>
        <w:rPr>
          <w:u w:val="single"/>
        </w:rPr>
      </w:pPr>
      <w:r w:rsidRPr="00DB1AEE">
        <w:rPr>
          <w:u w:val="single"/>
        </w:rPr>
        <w:t>Section C202 – Add the definition of  “Authority Having Jurisdiction,” after the definition of “Area-Weighted Average.” to read as follows:</w:t>
      </w:r>
    </w:p>
    <w:p w14:paraId="3424442A" w14:textId="77777777" w:rsidR="00DB1AEE" w:rsidRPr="00DB1AEE" w:rsidRDefault="00DB1AEE" w:rsidP="00DB1AEE">
      <w:pPr>
        <w:widowControl w:val="0"/>
        <w:suppressAutoHyphens/>
        <w:spacing w:before="130" w:after="130"/>
        <w:ind w:left="360"/>
        <w:rPr>
          <w:b/>
          <w:bCs/>
          <w:u w:val="single"/>
        </w:rPr>
      </w:pPr>
      <w:r w:rsidRPr="00DB1AEE">
        <w:rPr>
          <w:b/>
          <w:bCs/>
          <w:u w:val="single"/>
        </w:rPr>
        <w:t xml:space="preserve">AUTHORITY HAVING JURISDICTION. </w:t>
      </w:r>
      <w:r w:rsidRPr="00DB1AEE">
        <w:rPr>
          <w:u w:val="single"/>
        </w:rPr>
        <w:t>The governmental unit or agency responsible for administration and enforcement of the New York City Building Codes and NYCECC.</w:t>
      </w:r>
    </w:p>
    <w:p w14:paraId="6E57D3A0" w14:textId="77777777" w:rsidR="00DB1AEE" w:rsidRPr="00DB1AEE" w:rsidRDefault="00DB1AEE" w:rsidP="00DB1AEE">
      <w:pPr>
        <w:widowControl w:val="0"/>
        <w:suppressAutoHyphens/>
        <w:autoSpaceDE w:val="0"/>
        <w:autoSpaceDN w:val="0"/>
        <w:adjustRightInd w:val="0"/>
        <w:spacing w:before="130" w:after="130"/>
        <w:rPr>
          <w:u w:val="single"/>
        </w:rPr>
      </w:pPr>
      <w:r w:rsidRPr="00DB1AEE">
        <w:rPr>
          <w:u w:val="single"/>
        </w:rPr>
        <w:t>Section C202 – Delete the definition of  “Basement,”   after the definition of “Automobile Parking Space.”.</w:t>
      </w:r>
    </w:p>
    <w:p w14:paraId="3A5E8F32" w14:textId="77777777" w:rsidR="00DB1AEE" w:rsidRPr="00DB1AEE" w:rsidRDefault="00DB1AEE" w:rsidP="00DB1AEE">
      <w:pPr>
        <w:widowControl w:val="0"/>
        <w:suppressAutoHyphens/>
        <w:autoSpaceDE w:val="0"/>
        <w:autoSpaceDN w:val="0"/>
        <w:adjustRightInd w:val="0"/>
        <w:spacing w:before="130" w:after="130"/>
        <w:rPr>
          <w:u w:val="single"/>
        </w:rPr>
      </w:pPr>
      <w:r w:rsidRPr="00DB1AEE">
        <w:rPr>
          <w:u w:val="single"/>
        </w:rPr>
        <w:t>Section C202 – Add the definition of  “Basement Or Cellar, Energy Code,” after the definition of “Automobile Parking Space.” to read as follows:</w:t>
      </w:r>
    </w:p>
    <w:p w14:paraId="58A8448F" w14:textId="77777777" w:rsidR="00DB1AEE" w:rsidRPr="00DB1AEE" w:rsidRDefault="00DB1AEE" w:rsidP="00DB1AEE">
      <w:pPr>
        <w:widowControl w:val="0"/>
        <w:suppressAutoHyphens/>
        <w:spacing w:before="130" w:after="130"/>
        <w:ind w:left="360"/>
        <w:rPr>
          <w:b/>
          <w:bCs/>
          <w:u w:val="single"/>
        </w:rPr>
      </w:pPr>
      <w:r w:rsidRPr="00DB1AEE">
        <w:rPr>
          <w:b/>
          <w:bCs/>
          <w:u w:val="single"/>
        </w:rPr>
        <w:t xml:space="preserve">BASEMENT OR CELLAR, ENERGY CODE. </w:t>
      </w:r>
      <w:r w:rsidRPr="00DB1AEE">
        <w:rPr>
          <w:u w:val="single"/>
        </w:rPr>
        <w:t>A story that is not a story above grade plane. See the definition of “Story above grade plane.”</w:t>
      </w:r>
    </w:p>
    <w:p w14:paraId="4A5B0228" w14:textId="77777777" w:rsidR="00DB1AEE" w:rsidRPr="00DB1AEE" w:rsidRDefault="00DB1AEE" w:rsidP="00DB1AEE">
      <w:pPr>
        <w:widowControl w:val="0"/>
        <w:suppressAutoHyphens/>
        <w:autoSpaceDE w:val="0"/>
        <w:autoSpaceDN w:val="0"/>
        <w:adjustRightInd w:val="0"/>
        <w:spacing w:before="130" w:after="130"/>
        <w:rPr>
          <w:u w:val="single"/>
        </w:rPr>
      </w:pPr>
      <w:r w:rsidRPr="00DB1AEE">
        <w:rPr>
          <w:u w:val="single"/>
        </w:rPr>
        <w:t>Section C202 – Delete the definition of  “Building Entrance,” “Building Official,” after the definition of “Building Commissioning.”</w:t>
      </w:r>
    </w:p>
    <w:p w14:paraId="206E9B10" w14:textId="77777777" w:rsidR="00DB1AEE" w:rsidRPr="00DB1AEE" w:rsidRDefault="00DB1AEE" w:rsidP="00DB1AEE">
      <w:pPr>
        <w:widowControl w:val="0"/>
        <w:suppressAutoHyphens/>
        <w:autoSpaceDE w:val="0"/>
        <w:autoSpaceDN w:val="0"/>
        <w:adjustRightInd w:val="0"/>
        <w:spacing w:before="130" w:after="130"/>
        <w:rPr>
          <w:u w:val="single"/>
        </w:rPr>
      </w:pPr>
      <w:r w:rsidRPr="00DB1AEE">
        <w:rPr>
          <w:u w:val="single"/>
        </w:rPr>
        <w:t>Section C202 – Add the definition of  “Building Entrance,” “Building Official”     after the definition of “Building Commissioning.” to read as follows:</w:t>
      </w:r>
    </w:p>
    <w:p w14:paraId="4E3F892E" w14:textId="77777777" w:rsidR="00DB1AEE" w:rsidRPr="00DB1AEE" w:rsidRDefault="00DB1AEE" w:rsidP="00DB1AEE">
      <w:pPr>
        <w:widowControl w:val="0"/>
        <w:suppressAutoHyphens/>
        <w:spacing w:before="130" w:after="130"/>
        <w:ind w:left="360"/>
        <w:rPr>
          <w:b/>
          <w:bCs/>
          <w:u w:val="single"/>
        </w:rPr>
      </w:pPr>
      <w:r w:rsidRPr="00DB1AEE">
        <w:rPr>
          <w:b/>
          <w:bCs/>
          <w:u w:val="single"/>
        </w:rPr>
        <w:t xml:space="preserve">BUILDING ENTRANCE. </w:t>
      </w:r>
      <w:r w:rsidRPr="00DB1AEE">
        <w:rPr>
          <w:u w:val="single"/>
        </w:rPr>
        <w:t>Any doorway, set of doors, revolving door, vestibule, or other form of portal that is ordinarily used to gain access to the building or to exit from the building by its users and occupants. This does not include doors solely used to directly enter mechanical, electrical, and other building utility service equipment rooms.</w:t>
      </w:r>
    </w:p>
    <w:p w14:paraId="767E97C7" w14:textId="77777777" w:rsidR="00DB1AEE" w:rsidRPr="00DB1AEE" w:rsidRDefault="00DB1AEE" w:rsidP="00DB1AEE">
      <w:pPr>
        <w:widowControl w:val="0"/>
        <w:suppressAutoHyphens/>
        <w:spacing w:before="130" w:after="130"/>
        <w:ind w:left="360"/>
        <w:rPr>
          <w:u w:val="single"/>
        </w:rPr>
      </w:pPr>
      <w:r w:rsidRPr="00DB1AEE">
        <w:rPr>
          <w:b/>
          <w:bCs/>
          <w:u w:val="single"/>
        </w:rPr>
        <w:t xml:space="preserve">BUILDING OFFICIAL. </w:t>
      </w:r>
      <w:r w:rsidRPr="00DB1AEE">
        <w:rPr>
          <w:u w:val="single"/>
        </w:rPr>
        <w:t>The Commissioner of Buildings of the City of New York or his or her duly authorized representative. See Section 28-101.5 of the Administrative Code.</w:t>
      </w:r>
    </w:p>
    <w:p w14:paraId="7191A6F9" w14:textId="77777777" w:rsidR="00DB1AEE" w:rsidRPr="00DB1AEE" w:rsidRDefault="00DB1AEE" w:rsidP="00DB1AEE">
      <w:pPr>
        <w:widowControl w:val="0"/>
        <w:suppressAutoHyphens/>
        <w:autoSpaceDE w:val="0"/>
        <w:autoSpaceDN w:val="0"/>
        <w:adjustRightInd w:val="0"/>
        <w:spacing w:before="130" w:after="130"/>
        <w:rPr>
          <w:u w:val="single"/>
        </w:rPr>
      </w:pPr>
      <w:r w:rsidRPr="00DB1AEE">
        <w:rPr>
          <w:u w:val="single"/>
        </w:rPr>
        <w:t>Section C202 – Delete the definition of  “Building Thermal Envelope,”    after the definition of “Building System.”.</w:t>
      </w:r>
    </w:p>
    <w:p w14:paraId="7BBF9E0E" w14:textId="77777777" w:rsidR="00DB1AEE" w:rsidRPr="00DB1AEE" w:rsidRDefault="00DB1AEE" w:rsidP="00DB1AEE">
      <w:pPr>
        <w:widowControl w:val="0"/>
        <w:suppressAutoHyphens/>
        <w:autoSpaceDE w:val="0"/>
        <w:autoSpaceDN w:val="0"/>
        <w:adjustRightInd w:val="0"/>
        <w:spacing w:before="130" w:after="130"/>
        <w:rPr>
          <w:u w:val="single"/>
        </w:rPr>
      </w:pPr>
      <w:r w:rsidRPr="00DB1AEE">
        <w:rPr>
          <w:u w:val="single"/>
        </w:rPr>
        <w:t>Section C202 – Add the definition of  “Building Thermal Envelope,”    after the definition of “Building System.” to read as follows:</w:t>
      </w:r>
    </w:p>
    <w:p w14:paraId="011F8C2E" w14:textId="77777777" w:rsidR="00DB1AEE" w:rsidRPr="00DB1AEE" w:rsidRDefault="00DB1AEE" w:rsidP="00DB1AEE">
      <w:pPr>
        <w:widowControl w:val="0"/>
        <w:suppressAutoHyphens/>
        <w:spacing w:before="130" w:after="130"/>
        <w:ind w:left="360"/>
        <w:rPr>
          <w:b/>
          <w:bCs/>
          <w:u w:val="single"/>
        </w:rPr>
      </w:pPr>
      <w:r w:rsidRPr="00DB1AEE">
        <w:rPr>
          <w:b/>
          <w:bCs/>
          <w:u w:val="single"/>
        </w:rPr>
        <w:t xml:space="preserve">BUILDING THERMAL ENVELOPE. </w:t>
      </w:r>
      <w:r w:rsidRPr="00DB1AEE">
        <w:rPr>
          <w:u w:val="single"/>
        </w:rPr>
        <w:t>The exterior walls, floors, slabs, ceilings, roofs, fenestration and any other building element assemblies (above and below grade) that enclose conditioned space or provide a boundary between conditioned space and unconditioned space.</w:t>
      </w:r>
    </w:p>
    <w:p w14:paraId="32517563" w14:textId="77777777" w:rsidR="00DB1AEE" w:rsidRPr="00DB1AEE" w:rsidRDefault="00DB1AEE" w:rsidP="00DB1AEE">
      <w:pPr>
        <w:widowControl w:val="0"/>
        <w:suppressAutoHyphens/>
        <w:autoSpaceDE w:val="0"/>
        <w:autoSpaceDN w:val="0"/>
        <w:adjustRightInd w:val="0"/>
        <w:spacing w:before="130" w:after="130"/>
        <w:rPr>
          <w:u w:val="single"/>
        </w:rPr>
      </w:pPr>
      <w:r w:rsidRPr="00DB1AEE">
        <w:rPr>
          <w:u w:val="single"/>
        </w:rPr>
        <w:t>Section C202 – Delete the definition of  “Chi-Factor (Χ-Factor),”    after the definition of “Character-Defining Features.”.</w:t>
      </w:r>
    </w:p>
    <w:p w14:paraId="7A11250A" w14:textId="77777777" w:rsidR="00DB1AEE" w:rsidRPr="00DB1AEE" w:rsidRDefault="00DB1AEE" w:rsidP="00DB1AEE">
      <w:pPr>
        <w:widowControl w:val="0"/>
        <w:suppressAutoHyphens/>
        <w:autoSpaceDE w:val="0"/>
        <w:autoSpaceDN w:val="0"/>
        <w:adjustRightInd w:val="0"/>
        <w:spacing w:before="130" w:after="130"/>
        <w:rPr>
          <w:u w:val="single"/>
        </w:rPr>
      </w:pPr>
      <w:r w:rsidRPr="00DB1AEE">
        <w:rPr>
          <w:u w:val="single"/>
        </w:rPr>
        <w:t>Section C202 – Add the definition of  “Chi-Factor (Χ-Factor),”    after the definition of “Character-Defining Features.” to read as follows:</w:t>
      </w:r>
    </w:p>
    <w:p w14:paraId="7EC6E04F" w14:textId="77777777" w:rsidR="00DB1AEE" w:rsidRPr="00DB1AEE" w:rsidRDefault="00DB1AEE" w:rsidP="00DB1AEE">
      <w:pPr>
        <w:widowControl w:val="0"/>
        <w:suppressAutoHyphens/>
        <w:spacing w:before="130" w:after="130"/>
        <w:ind w:left="360"/>
        <w:rPr>
          <w:b/>
          <w:bCs/>
          <w:u w:val="single"/>
        </w:rPr>
      </w:pPr>
      <w:r w:rsidRPr="00DB1AEE">
        <w:rPr>
          <w:b/>
          <w:bCs/>
          <w:u w:val="single"/>
        </w:rPr>
        <w:t xml:space="preserve">CHI-FACTOR (χ-FACTOR). </w:t>
      </w:r>
      <w:r w:rsidRPr="00DB1AEE">
        <w:rPr>
          <w:u w:val="single"/>
        </w:rPr>
        <w:t>See “Thermal Bridge”.</w:t>
      </w:r>
    </w:p>
    <w:p w14:paraId="2E98400B" w14:textId="77777777" w:rsidR="00DB1AEE" w:rsidRPr="00DB1AEE" w:rsidRDefault="00DB1AEE" w:rsidP="00DB1AEE">
      <w:pPr>
        <w:widowControl w:val="0"/>
        <w:suppressAutoHyphens/>
        <w:autoSpaceDE w:val="0"/>
        <w:autoSpaceDN w:val="0"/>
        <w:adjustRightInd w:val="0"/>
        <w:spacing w:before="130" w:after="130"/>
        <w:rPr>
          <w:u w:val="single"/>
        </w:rPr>
      </w:pPr>
      <w:r w:rsidRPr="00DB1AEE">
        <w:rPr>
          <w:u w:val="single"/>
        </w:rPr>
        <w:t>Section C202 – Add the definition of  “Clear Field Thermal Bridge,” “Clear Field U-Factor,”       after the definition of “Clean Water Pump.” to read as follows:</w:t>
      </w:r>
    </w:p>
    <w:p w14:paraId="21DDBDE4" w14:textId="77777777" w:rsidR="00DB1AEE" w:rsidRPr="00DB1AEE" w:rsidRDefault="00DB1AEE" w:rsidP="00DB1AEE">
      <w:pPr>
        <w:widowControl w:val="0"/>
        <w:suppressAutoHyphens/>
        <w:spacing w:before="130" w:after="130"/>
        <w:ind w:left="360"/>
        <w:rPr>
          <w:b/>
          <w:bCs/>
          <w:u w:val="single"/>
        </w:rPr>
      </w:pPr>
      <w:r w:rsidRPr="00DB1AEE">
        <w:rPr>
          <w:b/>
          <w:bCs/>
          <w:u w:val="single"/>
        </w:rPr>
        <w:t xml:space="preserve">CLEAR FIELD THERMAL BRIDGE. </w:t>
      </w:r>
      <w:r w:rsidRPr="00DB1AEE">
        <w:rPr>
          <w:u w:val="single"/>
        </w:rPr>
        <w:t>See “Thermal Bridge”</w:t>
      </w:r>
      <w:r w:rsidRPr="00DB1AEE">
        <w:rPr>
          <w:b/>
          <w:bCs/>
          <w:u w:val="single"/>
        </w:rPr>
        <w:t>.</w:t>
      </w:r>
    </w:p>
    <w:p w14:paraId="52CA89C7" w14:textId="77777777" w:rsidR="00DB1AEE" w:rsidRPr="00DB1AEE" w:rsidRDefault="00DB1AEE" w:rsidP="00DB1AEE">
      <w:pPr>
        <w:widowControl w:val="0"/>
        <w:suppressAutoHyphens/>
        <w:spacing w:before="130" w:after="130"/>
        <w:ind w:left="360"/>
        <w:rPr>
          <w:b/>
          <w:bCs/>
          <w:u w:val="single"/>
        </w:rPr>
      </w:pPr>
      <w:r w:rsidRPr="00DB1AEE">
        <w:rPr>
          <w:b/>
          <w:bCs/>
          <w:u w:val="single"/>
        </w:rPr>
        <w:t xml:space="preserve">CLEAR FIELD U-FACTOR. </w:t>
      </w:r>
      <w:r w:rsidRPr="00DB1AEE">
        <w:rPr>
          <w:u w:val="single"/>
        </w:rPr>
        <w:t>See “Thermal Bridge”</w:t>
      </w:r>
      <w:r w:rsidRPr="00DB1AEE">
        <w:rPr>
          <w:b/>
          <w:bCs/>
          <w:u w:val="single"/>
        </w:rPr>
        <w:t>.</w:t>
      </w:r>
    </w:p>
    <w:p w14:paraId="3F1468BE" w14:textId="77777777" w:rsidR="00DB1AEE" w:rsidRPr="00DB1AEE" w:rsidRDefault="00DB1AEE" w:rsidP="00DB1AEE">
      <w:pPr>
        <w:widowControl w:val="0"/>
        <w:suppressAutoHyphens/>
        <w:autoSpaceDE w:val="0"/>
        <w:autoSpaceDN w:val="0"/>
        <w:adjustRightInd w:val="0"/>
        <w:spacing w:before="130" w:after="130"/>
        <w:rPr>
          <w:u w:val="single"/>
        </w:rPr>
      </w:pPr>
      <w:r w:rsidRPr="00DB1AEE">
        <w:rPr>
          <w:u w:val="single"/>
        </w:rPr>
        <w:t>Section C202 – Add the definition of  “Commissioner,” “Commissioning Plan,”       after the definition of “Commercial Building.” to read as follows:</w:t>
      </w:r>
    </w:p>
    <w:p w14:paraId="0D030583" w14:textId="77777777" w:rsidR="00DB1AEE" w:rsidRPr="00DB1AEE" w:rsidRDefault="00DB1AEE" w:rsidP="00DB1AEE">
      <w:pPr>
        <w:widowControl w:val="0"/>
        <w:suppressAutoHyphens/>
        <w:spacing w:before="130" w:after="130"/>
        <w:ind w:left="360"/>
        <w:rPr>
          <w:b/>
          <w:bCs/>
          <w:u w:val="single"/>
        </w:rPr>
      </w:pPr>
      <w:r w:rsidRPr="00DB1AEE">
        <w:rPr>
          <w:b/>
          <w:bCs/>
          <w:u w:val="single"/>
        </w:rPr>
        <w:t xml:space="preserve">COMMISSIONER. </w:t>
      </w:r>
      <w:r w:rsidRPr="00DB1AEE">
        <w:rPr>
          <w:u w:val="single"/>
        </w:rPr>
        <w:t>The commissioner of buildings of the city of New York, or his or her duly authorized representative.(See “Authority Having Jurisdiction” and “Building official”).</w:t>
      </w:r>
    </w:p>
    <w:p w14:paraId="47F726D1" w14:textId="77777777" w:rsidR="00DB1AEE" w:rsidRPr="00DB1AEE" w:rsidRDefault="00DB1AEE" w:rsidP="00DB1AEE">
      <w:pPr>
        <w:widowControl w:val="0"/>
        <w:suppressAutoHyphens/>
        <w:spacing w:before="130" w:after="130"/>
        <w:ind w:left="360"/>
        <w:rPr>
          <w:b/>
          <w:bCs/>
          <w:u w:val="single"/>
        </w:rPr>
      </w:pPr>
      <w:r w:rsidRPr="00DB1AEE">
        <w:rPr>
          <w:b/>
          <w:bCs/>
          <w:u w:val="single"/>
        </w:rPr>
        <w:t xml:space="preserve">COMMISSIONING PLAN. </w:t>
      </w:r>
      <w:r w:rsidRPr="00DB1AEE">
        <w:rPr>
          <w:u w:val="single"/>
        </w:rPr>
        <w:t>See Section C408.2.1, Commissioning plan</w:t>
      </w:r>
      <w:r w:rsidRPr="00DB1AEE">
        <w:rPr>
          <w:b/>
          <w:bCs/>
          <w:u w:val="single"/>
        </w:rPr>
        <w:t>.</w:t>
      </w:r>
    </w:p>
    <w:p w14:paraId="6F98EA8D" w14:textId="77777777" w:rsidR="00DB1AEE" w:rsidRPr="00DB1AEE" w:rsidRDefault="00DB1AEE" w:rsidP="00DB1AEE">
      <w:pPr>
        <w:widowControl w:val="0"/>
        <w:suppressAutoHyphens/>
        <w:autoSpaceDE w:val="0"/>
        <w:autoSpaceDN w:val="0"/>
        <w:adjustRightInd w:val="0"/>
        <w:spacing w:before="130" w:after="130"/>
        <w:rPr>
          <w:u w:val="single"/>
        </w:rPr>
      </w:pPr>
      <w:r w:rsidRPr="00DB1AEE">
        <w:rPr>
          <w:u w:val="single"/>
        </w:rPr>
        <w:t>Section C202 – Delete the definition of  “Energy Code,”    after the definition of “Energy Analysis.”.</w:t>
      </w:r>
    </w:p>
    <w:p w14:paraId="586B2021" w14:textId="77777777" w:rsidR="00DB1AEE" w:rsidRPr="00DB1AEE" w:rsidRDefault="00DB1AEE" w:rsidP="00DB1AEE">
      <w:pPr>
        <w:widowControl w:val="0"/>
        <w:suppressAutoHyphens/>
        <w:autoSpaceDE w:val="0"/>
        <w:autoSpaceDN w:val="0"/>
        <w:adjustRightInd w:val="0"/>
        <w:spacing w:before="130" w:after="130"/>
        <w:rPr>
          <w:u w:val="single"/>
        </w:rPr>
      </w:pPr>
      <w:r w:rsidRPr="00DB1AEE">
        <w:rPr>
          <w:u w:val="single"/>
        </w:rPr>
        <w:t>Section C202 – Add the definition of  “Energy Code,”    after the definition of “Energy Analysis.” to read as follows:</w:t>
      </w:r>
    </w:p>
    <w:p w14:paraId="20BC6409" w14:textId="77777777" w:rsidR="00DB1AEE" w:rsidRPr="00DB1AEE" w:rsidRDefault="00DB1AEE" w:rsidP="00DB1AEE">
      <w:pPr>
        <w:widowControl w:val="0"/>
        <w:suppressAutoHyphens/>
        <w:spacing w:before="130" w:after="130"/>
        <w:ind w:left="360"/>
        <w:rPr>
          <w:b/>
          <w:bCs/>
          <w:u w:val="single"/>
        </w:rPr>
      </w:pPr>
      <w:r w:rsidRPr="00DB1AEE">
        <w:rPr>
          <w:b/>
          <w:bCs/>
          <w:u w:val="single"/>
        </w:rPr>
        <w:t xml:space="preserve">ENERGY CODE. </w:t>
      </w:r>
      <w:r w:rsidRPr="00DB1AEE">
        <w:rPr>
          <w:u w:val="single"/>
        </w:rPr>
        <w:t>The New York City Energy Conservation Code</w:t>
      </w:r>
    </w:p>
    <w:p w14:paraId="76568322" w14:textId="77777777" w:rsidR="00DB1AEE" w:rsidRPr="00DB1AEE" w:rsidRDefault="00DB1AEE" w:rsidP="00DB1AEE">
      <w:pPr>
        <w:widowControl w:val="0"/>
        <w:suppressAutoHyphens/>
        <w:autoSpaceDE w:val="0"/>
        <w:autoSpaceDN w:val="0"/>
        <w:adjustRightInd w:val="0"/>
        <w:spacing w:before="130" w:after="130"/>
        <w:rPr>
          <w:u w:val="single"/>
        </w:rPr>
      </w:pPr>
      <w:r w:rsidRPr="00DB1AEE">
        <w:rPr>
          <w:u w:val="single"/>
        </w:rPr>
        <w:t>Section C202 – Delete the definition of  “Fenestration,”    after the definition of “Fault Detection and Diagnostics (FDD) System.”</w:t>
      </w:r>
    </w:p>
    <w:p w14:paraId="6FF1B5B2" w14:textId="77777777" w:rsidR="00DB1AEE" w:rsidRPr="00DB1AEE" w:rsidRDefault="00DB1AEE" w:rsidP="00DB1AEE">
      <w:pPr>
        <w:widowControl w:val="0"/>
        <w:suppressAutoHyphens/>
        <w:autoSpaceDE w:val="0"/>
        <w:autoSpaceDN w:val="0"/>
        <w:adjustRightInd w:val="0"/>
        <w:spacing w:before="130" w:after="130"/>
        <w:rPr>
          <w:u w:val="single"/>
        </w:rPr>
      </w:pPr>
      <w:r w:rsidRPr="00DB1AEE">
        <w:rPr>
          <w:u w:val="single"/>
        </w:rPr>
        <w:t>Section C202 – Add the definition of  “Fenestration,”    after the definition of “Fault Detection and Diagnostics (FDD) System.” to read as follows:</w:t>
      </w:r>
    </w:p>
    <w:p w14:paraId="26D461BB" w14:textId="77777777" w:rsidR="00DB1AEE" w:rsidRPr="00DB1AEE" w:rsidRDefault="00DB1AEE" w:rsidP="00DB1AEE">
      <w:pPr>
        <w:widowControl w:val="0"/>
        <w:suppressAutoHyphens/>
        <w:spacing w:before="130" w:after="130"/>
        <w:ind w:left="360"/>
        <w:rPr>
          <w:b/>
          <w:bCs/>
          <w:u w:val="single"/>
        </w:rPr>
      </w:pPr>
      <w:r w:rsidRPr="00DB1AEE">
        <w:rPr>
          <w:b/>
          <w:bCs/>
          <w:u w:val="single"/>
        </w:rPr>
        <w:t>FENESTRATION. Products classified as either skylights or vertical fenestration.</w:t>
      </w:r>
    </w:p>
    <w:p w14:paraId="3CB60459" w14:textId="77777777" w:rsidR="00DB1AEE" w:rsidRPr="00DB1AEE" w:rsidRDefault="00DB1AEE" w:rsidP="00DB1AEE">
      <w:pPr>
        <w:widowControl w:val="0"/>
        <w:suppressAutoHyphens/>
        <w:spacing w:before="130" w:after="130"/>
        <w:ind w:left="720"/>
        <w:rPr>
          <w:b/>
          <w:bCs/>
          <w:u w:val="single"/>
        </w:rPr>
      </w:pPr>
      <w:r w:rsidRPr="00DB1AEE">
        <w:rPr>
          <w:b/>
          <w:bCs/>
          <w:u w:val="single"/>
        </w:rPr>
        <w:t xml:space="preserve">Skylights. </w:t>
      </w:r>
      <w:r w:rsidRPr="00DB1AEE">
        <w:rPr>
          <w:u w:val="single"/>
        </w:rPr>
        <w:t>Glass units or other transparent or translucent glazing material installed at a slope of less than 60 degrees (1.05 rad) from horizontal, including unit skylights, tubular daylighting devices and glazing materials in solariums, sunrooms, roofs, greenhouses and sloped walls. A skylight includes the glazing assembly plus perimeter framing components</w:t>
      </w:r>
      <w:r w:rsidRPr="00DB1AEE">
        <w:rPr>
          <w:b/>
          <w:bCs/>
          <w:u w:val="single"/>
        </w:rPr>
        <w:t>.</w:t>
      </w:r>
    </w:p>
    <w:p w14:paraId="2DD193C3" w14:textId="77777777" w:rsidR="00DB1AEE" w:rsidRPr="00DB1AEE" w:rsidRDefault="00DB1AEE" w:rsidP="00DB1AEE">
      <w:pPr>
        <w:widowControl w:val="0"/>
        <w:suppressAutoHyphens/>
        <w:spacing w:before="130" w:after="130"/>
        <w:ind w:left="720"/>
        <w:rPr>
          <w:b/>
          <w:bCs/>
          <w:u w:val="single"/>
        </w:rPr>
      </w:pPr>
      <w:r w:rsidRPr="00DB1AEE">
        <w:rPr>
          <w:b/>
          <w:bCs/>
          <w:u w:val="single"/>
        </w:rPr>
        <w:t xml:space="preserve">Vertical fenestration. </w:t>
      </w:r>
      <w:r w:rsidRPr="00DB1AEE">
        <w:rPr>
          <w:u w:val="single"/>
        </w:rPr>
        <w:t>Windows units that are fixed or operable, doors that are more than half glazed, glazed block and combination opaque and glazed doors composed of glass or other transparent or translucent glazing materials and installed at a slope of not less than 60 degrees (1.05 rad) from horizontal</w:t>
      </w:r>
      <w:r w:rsidRPr="00DB1AEE">
        <w:rPr>
          <w:b/>
          <w:bCs/>
          <w:u w:val="single"/>
        </w:rPr>
        <w:t>.</w:t>
      </w:r>
    </w:p>
    <w:p w14:paraId="5C1E79FA" w14:textId="77777777" w:rsidR="00DB1AEE" w:rsidRPr="00DB1AEE" w:rsidRDefault="00DB1AEE" w:rsidP="00DB1AEE">
      <w:pPr>
        <w:widowControl w:val="0"/>
        <w:suppressAutoHyphens/>
        <w:autoSpaceDE w:val="0"/>
        <w:autoSpaceDN w:val="0"/>
        <w:adjustRightInd w:val="0"/>
        <w:spacing w:before="130" w:after="130"/>
        <w:rPr>
          <w:u w:val="single"/>
        </w:rPr>
      </w:pPr>
      <w:r w:rsidRPr="00DB1AEE">
        <w:rPr>
          <w:u w:val="single"/>
        </w:rPr>
        <w:t>Section C202 – Add the definition of  “Grade, Energy Finished,” “Grade Plane, Energy,”        after the definition of “General Lighting.” to read as follows:</w:t>
      </w:r>
    </w:p>
    <w:p w14:paraId="183A595E" w14:textId="77777777" w:rsidR="00DB1AEE" w:rsidRPr="00DB1AEE" w:rsidRDefault="00DB1AEE" w:rsidP="00DB1AEE">
      <w:pPr>
        <w:widowControl w:val="0"/>
        <w:suppressAutoHyphens/>
        <w:spacing w:before="130" w:after="130"/>
        <w:ind w:left="360"/>
        <w:rPr>
          <w:b/>
          <w:bCs/>
          <w:u w:val="single"/>
        </w:rPr>
      </w:pPr>
      <w:r w:rsidRPr="00DB1AEE">
        <w:rPr>
          <w:b/>
          <w:bCs/>
          <w:u w:val="single"/>
        </w:rPr>
        <w:t xml:space="preserve">GRADE, ENERGY FINISHED. </w:t>
      </w:r>
      <w:r w:rsidRPr="00DB1AEE">
        <w:rPr>
          <w:u w:val="single"/>
        </w:rPr>
        <w:t>The final top surface of lawns, walks, driveways, areaways or other non-vertical surfaces where the surface meets the foundation, slab edge or exterior wall of a building.</w:t>
      </w:r>
    </w:p>
    <w:p w14:paraId="1183340F" w14:textId="77777777" w:rsidR="00DB1AEE" w:rsidRPr="00DB1AEE" w:rsidRDefault="00DB1AEE" w:rsidP="00DB1AEE">
      <w:pPr>
        <w:widowControl w:val="0"/>
        <w:suppressAutoHyphens/>
        <w:spacing w:before="130" w:after="130"/>
        <w:ind w:left="360"/>
        <w:rPr>
          <w:b/>
          <w:bCs/>
          <w:u w:val="single"/>
        </w:rPr>
      </w:pPr>
      <w:r w:rsidRPr="00DB1AEE">
        <w:rPr>
          <w:b/>
          <w:bCs/>
          <w:u w:val="single"/>
        </w:rPr>
        <w:t xml:space="preserve">GRADE PLANE, ENERGY. </w:t>
      </w:r>
      <w:r w:rsidRPr="00DB1AEE">
        <w:rPr>
          <w:u w:val="single"/>
        </w:rPr>
        <w:t>A reference plane representing the average of finished ground level adjoining the building at exterior walls. Where the finished ground level slopes away from the exterior walls, the reference plane shall be established by the lowest points within the area between the building and the lot line or, where the lot line is more than 6 feet (1829 mm) from the building, between the building and a point 6 feet (1829 mm) from the building</w:t>
      </w:r>
    </w:p>
    <w:p w14:paraId="7170CCCF" w14:textId="77777777" w:rsidR="00DB1AEE" w:rsidRPr="00DB1AEE" w:rsidRDefault="00DB1AEE" w:rsidP="00DB1AEE">
      <w:pPr>
        <w:widowControl w:val="0"/>
        <w:suppressAutoHyphens/>
        <w:autoSpaceDE w:val="0"/>
        <w:autoSpaceDN w:val="0"/>
        <w:adjustRightInd w:val="0"/>
        <w:spacing w:before="130" w:after="130"/>
        <w:rPr>
          <w:u w:val="single"/>
        </w:rPr>
      </w:pPr>
      <w:r w:rsidRPr="00DB1AEE">
        <w:rPr>
          <w:u w:val="single"/>
        </w:rPr>
        <w:t>Section C202 – Delete the definition of  “HVAC Total System Performance Ratio (HVAC TSPR),”    after the definition of “Humidistatic Controls.”</w:t>
      </w:r>
    </w:p>
    <w:p w14:paraId="0F6E053B" w14:textId="77777777" w:rsidR="00DB1AEE" w:rsidRPr="00DB1AEE" w:rsidRDefault="00DB1AEE" w:rsidP="00DB1AEE">
      <w:pPr>
        <w:widowControl w:val="0"/>
        <w:suppressAutoHyphens/>
        <w:autoSpaceDE w:val="0"/>
        <w:autoSpaceDN w:val="0"/>
        <w:adjustRightInd w:val="0"/>
        <w:spacing w:before="130" w:after="130"/>
        <w:rPr>
          <w:u w:val="single"/>
        </w:rPr>
      </w:pPr>
      <w:r w:rsidRPr="00DB1AEE">
        <w:rPr>
          <w:u w:val="single"/>
        </w:rPr>
        <w:t>Section C202 – Add the definition of  “HVAC Total System Performance Ratio (HVAC TSPR),”    after the definition of “Humidistatic Controls.” to read as follows:</w:t>
      </w:r>
    </w:p>
    <w:p w14:paraId="0ACB6ECB" w14:textId="77777777" w:rsidR="00DB1AEE" w:rsidRPr="00DB1AEE" w:rsidRDefault="00DB1AEE" w:rsidP="00DB1AEE">
      <w:pPr>
        <w:widowControl w:val="0"/>
        <w:suppressAutoHyphens/>
        <w:spacing w:before="130" w:after="130"/>
        <w:ind w:left="360"/>
        <w:rPr>
          <w:b/>
          <w:bCs/>
          <w:u w:val="single"/>
        </w:rPr>
      </w:pPr>
      <w:r w:rsidRPr="00DB1AEE">
        <w:rPr>
          <w:b/>
          <w:bCs/>
          <w:u w:val="single"/>
        </w:rPr>
        <w:t xml:space="preserve">HVAC TOTAL SYSTEM PERFORMANCE RATIO (HVAC TSPR). </w:t>
      </w:r>
      <w:r w:rsidRPr="00DB1AEE">
        <w:rPr>
          <w:u w:val="single"/>
        </w:rPr>
        <w:t>The ratio of the sum of a building’s annual heating and cooling load in thousands of Btus to the sum of annual site energy consumption of the building HVAC systems in thousands of BTU.</w:t>
      </w:r>
    </w:p>
    <w:p w14:paraId="39662ABA" w14:textId="77777777" w:rsidR="00DB1AEE" w:rsidRPr="00DB1AEE" w:rsidRDefault="00DB1AEE" w:rsidP="00DB1AEE">
      <w:pPr>
        <w:widowControl w:val="0"/>
        <w:suppressAutoHyphens/>
        <w:autoSpaceDE w:val="0"/>
        <w:autoSpaceDN w:val="0"/>
        <w:adjustRightInd w:val="0"/>
        <w:spacing w:before="130" w:after="130"/>
        <w:rPr>
          <w:u w:val="single"/>
        </w:rPr>
      </w:pPr>
      <w:r w:rsidRPr="00DB1AEE">
        <w:rPr>
          <w:u w:val="single"/>
        </w:rPr>
        <w:t>Section C202 – Add the definition of  “Integrated Seasonal Coefficient Of Performance(ISCOP),” “INTEGRATED SEASONAL MOISTURE REMOVAL EFFICIENCY (ISMRE),”   after the definition of “Integrated Part Load Value (IPLV)” to read as follows:</w:t>
      </w:r>
    </w:p>
    <w:p w14:paraId="1F81F844" w14:textId="77777777" w:rsidR="00DB1AEE" w:rsidRPr="00DB1AEE" w:rsidRDefault="00DB1AEE" w:rsidP="00DB1AEE">
      <w:pPr>
        <w:widowControl w:val="0"/>
        <w:suppressAutoHyphens/>
        <w:spacing w:before="130" w:after="130"/>
        <w:ind w:left="360"/>
        <w:rPr>
          <w:u w:val="single"/>
        </w:rPr>
      </w:pPr>
      <w:r w:rsidRPr="00DB1AEE">
        <w:rPr>
          <w:b/>
          <w:bCs/>
          <w:u w:val="single"/>
        </w:rPr>
        <w:t xml:space="preserve">INTEGRATED SEASONAL COEFFICIENT OF PERFORMANCE (ISCOP). </w:t>
      </w:r>
      <w:r w:rsidRPr="00DB1AEE">
        <w:rPr>
          <w:u w:val="single"/>
        </w:rPr>
        <w:t xml:space="preserve">A seasonal efficiency number that is a combined value based on the formula listed in AHRI Standard 920 of the two COP values for the heating season of a DX-DOAS unit water or air source heat pump, expressed in W/W. </w:t>
      </w:r>
    </w:p>
    <w:p w14:paraId="581E023F" w14:textId="77777777" w:rsidR="00DB1AEE" w:rsidRPr="00DB1AEE" w:rsidRDefault="00DB1AEE" w:rsidP="00DB1AEE">
      <w:pPr>
        <w:widowControl w:val="0"/>
        <w:suppressAutoHyphens/>
        <w:spacing w:before="130" w:after="130"/>
        <w:ind w:left="360"/>
        <w:rPr>
          <w:u w:val="single"/>
        </w:rPr>
      </w:pPr>
      <w:r w:rsidRPr="00DB1AEE">
        <w:rPr>
          <w:b/>
          <w:bCs/>
          <w:u w:val="single"/>
        </w:rPr>
        <w:t xml:space="preserve">INTEGRATED SEASONAL MOISTURE REMOVAL EFFICIENCY (ISMRE). </w:t>
      </w:r>
      <w:r w:rsidRPr="00DB1AEE">
        <w:rPr>
          <w:u w:val="single"/>
        </w:rPr>
        <w:t>A seasonal efficiency number that is a combined value based on the formula listed in AHRI Standard 920 of the four dehumidification moisture removal efficiency (MRE) ratings required for DX-DOAS units, expressed in lb of moisture/kWh.</w:t>
      </w:r>
    </w:p>
    <w:p w14:paraId="124917E9" w14:textId="77777777" w:rsidR="00DB1AEE" w:rsidRPr="00DB1AEE" w:rsidRDefault="00DB1AEE" w:rsidP="00DB1AEE">
      <w:pPr>
        <w:widowControl w:val="0"/>
        <w:suppressAutoHyphens/>
        <w:autoSpaceDE w:val="0"/>
        <w:autoSpaceDN w:val="0"/>
        <w:adjustRightInd w:val="0"/>
        <w:spacing w:before="130" w:after="130"/>
        <w:rPr>
          <w:u w:val="single"/>
        </w:rPr>
      </w:pPr>
      <w:r w:rsidRPr="00DB1AEE">
        <w:rPr>
          <w:u w:val="single"/>
        </w:rPr>
        <w:t>Section C202 – Delete the definition of  “Labeled,”    after the definition of “Isolation Devices.”.</w:t>
      </w:r>
    </w:p>
    <w:p w14:paraId="19270423" w14:textId="77777777" w:rsidR="00DB1AEE" w:rsidRPr="00DB1AEE" w:rsidRDefault="00DB1AEE" w:rsidP="00DB1AEE">
      <w:pPr>
        <w:widowControl w:val="0"/>
        <w:suppressAutoHyphens/>
        <w:autoSpaceDE w:val="0"/>
        <w:autoSpaceDN w:val="0"/>
        <w:adjustRightInd w:val="0"/>
        <w:spacing w:before="130" w:after="130"/>
        <w:rPr>
          <w:u w:val="single"/>
        </w:rPr>
      </w:pPr>
      <w:r w:rsidRPr="00DB1AEE">
        <w:rPr>
          <w:u w:val="single"/>
        </w:rPr>
        <w:t>Section C202 – Add the definition of  “Labeled,”    after the definition of “Isolation Devices.” to read as follows:</w:t>
      </w:r>
    </w:p>
    <w:p w14:paraId="08D678ED" w14:textId="77777777" w:rsidR="00DB1AEE" w:rsidRPr="00DB1AEE" w:rsidRDefault="00DB1AEE" w:rsidP="00DB1AEE">
      <w:pPr>
        <w:widowControl w:val="0"/>
        <w:suppressAutoHyphens/>
        <w:spacing w:before="130" w:after="130"/>
        <w:ind w:left="360"/>
        <w:rPr>
          <w:b/>
          <w:bCs/>
          <w:u w:val="single"/>
        </w:rPr>
      </w:pPr>
      <w:r w:rsidRPr="00DB1AEE">
        <w:rPr>
          <w:b/>
          <w:bCs/>
          <w:u w:val="single"/>
        </w:rPr>
        <w:t xml:space="preserve">LABELED. </w:t>
      </w:r>
      <w:r w:rsidRPr="00DB1AEE">
        <w:rPr>
          <w:u w:val="single"/>
        </w:rPr>
        <w:t>See Section 28-101.5 of the Administrative Code.</w:t>
      </w:r>
    </w:p>
    <w:p w14:paraId="26E9D725" w14:textId="77777777" w:rsidR="00DB1AEE" w:rsidRPr="00DB1AEE" w:rsidRDefault="00DB1AEE" w:rsidP="00DB1AEE">
      <w:pPr>
        <w:widowControl w:val="0"/>
        <w:suppressAutoHyphens/>
        <w:autoSpaceDE w:val="0"/>
        <w:autoSpaceDN w:val="0"/>
        <w:adjustRightInd w:val="0"/>
        <w:spacing w:before="130" w:after="130"/>
        <w:rPr>
          <w:u w:val="single"/>
        </w:rPr>
      </w:pPr>
      <w:r w:rsidRPr="00DB1AEE">
        <w:rPr>
          <w:u w:val="single"/>
        </w:rPr>
        <w:t>Section C202 – Add the definition of  “Lead Energy Professional,”    after the definition of “Large-Diameter Ceiling Fan.” to read as follows:</w:t>
      </w:r>
    </w:p>
    <w:p w14:paraId="73EF5F02" w14:textId="77777777" w:rsidR="00DB1AEE" w:rsidRPr="00DB1AEE" w:rsidRDefault="00DB1AEE" w:rsidP="00DB1AEE">
      <w:pPr>
        <w:widowControl w:val="0"/>
        <w:suppressAutoHyphens/>
        <w:spacing w:before="130" w:after="130"/>
        <w:ind w:left="360"/>
        <w:rPr>
          <w:u w:val="single"/>
        </w:rPr>
      </w:pPr>
      <w:r w:rsidRPr="00DB1AEE">
        <w:rPr>
          <w:b/>
          <w:bCs/>
          <w:u w:val="single"/>
        </w:rPr>
        <w:t xml:space="preserve">LEAD ENERGY PROFESSIONAL. </w:t>
      </w:r>
      <w:r w:rsidRPr="00DB1AEE">
        <w:rPr>
          <w:u w:val="single"/>
        </w:rPr>
        <w:t>The registered design professional who signs and seals the energy analysis for an entire project. Such individual may be the same registered design professional who signs and seals the design drawings for the same project.</w:t>
      </w:r>
    </w:p>
    <w:p w14:paraId="411CD540" w14:textId="77777777" w:rsidR="00DB1AEE" w:rsidRPr="00DB1AEE" w:rsidRDefault="00DB1AEE" w:rsidP="00DB1AEE">
      <w:pPr>
        <w:widowControl w:val="0"/>
        <w:suppressAutoHyphens/>
        <w:autoSpaceDE w:val="0"/>
        <w:autoSpaceDN w:val="0"/>
        <w:adjustRightInd w:val="0"/>
        <w:spacing w:before="130" w:after="130"/>
        <w:rPr>
          <w:u w:val="single"/>
        </w:rPr>
      </w:pPr>
      <w:r w:rsidRPr="00DB1AEE">
        <w:rPr>
          <w:u w:val="single"/>
        </w:rPr>
        <w:t>Section C202 – Add the definition of  “Linear Thermal Bridge,”    after the definition of “Liquid Fuel.” to read as follows:</w:t>
      </w:r>
    </w:p>
    <w:p w14:paraId="0A2DC61B" w14:textId="77777777" w:rsidR="00DB1AEE" w:rsidRPr="00DB1AEE" w:rsidRDefault="00DB1AEE" w:rsidP="00DB1AEE">
      <w:pPr>
        <w:widowControl w:val="0"/>
        <w:suppressAutoHyphens/>
        <w:spacing w:before="130" w:after="130"/>
        <w:ind w:left="360"/>
        <w:rPr>
          <w:b/>
          <w:bCs/>
          <w:u w:val="single"/>
        </w:rPr>
      </w:pPr>
      <w:r w:rsidRPr="00DB1AEE">
        <w:rPr>
          <w:b/>
          <w:bCs/>
          <w:u w:val="single"/>
        </w:rPr>
        <w:t xml:space="preserve">LINEAR THERMAL BRIDGE. </w:t>
      </w:r>
      <w:r w:rsidRPr="00DB1AEE">
        <w:rPr>
          <w:u w:val="single"/>
        </w:rPr>
        <w:t>See “Thermal Bridge”.</w:t>
      </w:r>
    </w:p>
    <w:p w14:paraId="1915A2B9" w14:textId="77777777" w:rsidR="00DB1AEE" w:rsidRPr="00DB1AEE" w:rsidRDefault="00DB1AEE" w:rsidP="00DB1AEE">
      <w:pPr>
        <w:widowControl w:val="0"/>
        <w:suppressAutoHyphens/>
        <w:autoSpaceDE w:val="0"/>
        <w:autoSpaceDN w:val="0"/>
        <w:adjustRightInd w:val="0"/>
        <w:spacing w:before="130" w:after="130"/>
        <w:rPr>
          <w:u w:val="single"/>
        </w:rPr>
      </w:pPr>
      <w:r w:rsidRPr="00DB1AEE">
        <w:rPr>
          <w:u w:val="single"/>
        </w:rPr>
        <w:t>Section C202 – Delete the definition of  “Listed,”    after the definition of “Liner System (Ls).”.</w:t>
      </w:r>
    </w:p>
    <w:p w14:paraId="6E104D6D" w14:textId="77777777" w:rsidR="00DB1AEE" w:rsidRPr="00DB1AEE" w:rsidRDefault="00DB1AEE" w:rsidP="00DB1AEE">
      <w:pPr>
        <w:widowControl w:val="0"/>
        <w:suppressAutoHyphens/>
        <w:autoSpaceDE w:val="0"/>
        <w:autoSpaceDN w:val="0"/>
        <w:adjustRightInd w:val="0"/>
        <w:spacing w:before="130" w:after="130"/>
        <w:rPr>
          <w:u w:val="single"/>
        </w:rPr>
      </w:pPr>
      <w:r w:rsidRPr="00DB1AEE">
        <w:rPr>
          <w:u w:val="single"/>
        </w:rPr>
        <w:t>Section C202 – Add the definition of  “Listed,”    after the definition of “Liner System (Ls).” to read as follows:</w:t>
      </w:r>
    </w:p>
    <w:p w14:paraId="02772D9C" w14:textId="77777777" w:rsidR="00DB1AEE" w:rsidRPr="00DB1AEE" w:rsidRDefault="00DB1AEE" w:rsidP="00DB1AEE">
      <w:pPr>
        <w:widowControl w:val="0"/>
        <w:suppressAutoHyphens/>
        <w:spacing w:before="130" w:after="130"/>
        <w:ind w:left="360"/>
        <w:rPr>
          <w:b/>
          <w:bCs/>
          <w:u w:val="single"/>
        </w:rPr>
      </w:pPr>
      <w:r w:rsidRPr="00DB1AEE">
        <w:rPr>
          <w:b/>
          <w:bCs/>
          <w:u w:val="single"/>
        </w:rPr>
        <w:t xml:space="preserve">LISTED. </w:t>
      </w:r>
      <w:r w:rsidRPr="00DB1AEE">
        <w:rPr>
          <w:u w:val="single"/>
        </w:rPr>
        <w:t xml:space="preserve">See Section 28-101.5 of the Administrative Code.  </w:t>
      </w:r>
    </w:p>
    <w:p w14:paraId="311D7970" w14:textId="77777777" w:rsidR="00DB1AEE" w:rsidRPr="00DB1AEE" w:rsidRDefault="00DB1AEE" w:rsidP="00DB1AEE">
      <w:pPr>
        <w:widowControl w:val="0"/>
        <w:suppressAutoHyphens/>
        <w:autoSpaceDE w:val="0"/>
        <w:autoSpaceDN w:val="0"/>
        <w:adjustRightInd w:val="0"/>
        <w:spacing w:before="130" w:after="130"/>
        <w:rPr>
          <w:u w:val="single"/>
        </w:rPr>
      </w:pPr>
      <w:r w:rsidRPr="00DB1AEE">
        <w:rPr>
          <w:u w:val="single"/>
        </w:rPr>
        <w:t>Section C202 – Delete the definition of  “Market Value,”    after the definition of “Manual.”.</w:t>
      </w:r>
    </w:p>
    <w:p w14:paraId="52C88745" w14:textId="77777777" w:rsidR="00DB1AEE" w:rsidRPr="00DB1AEE" w:rsidRDefault="00DB1AEE" w:rsidP="00DB1AEE">
      <w:pPr>
        <w:widowControl w:val="0"/>
        <w:suppressAutoHyphens/>
        <w:autoSpaceDE w:val="0"/>
        <w:autoSpaceDN w:val="0"/>
        <w:adjustRightInd w:val="0"/>
        <w:spacing w:before="130" w:after="130"/>
        <w:rPr>
          <w:u w:val="single"/>
        </w:rPr>
      </w:pPr>
      <w:r w:rsidRPr="00DB1AEE">
        <w:rPr>
          <w:u w:val="single"/>
        </w:rPr>
        <w:t>Section C202 – Add the definition of  “Moisture Removal Efficiency (MRE),”    after the definition of “Manual.” to read as follows:</w:t>
      </w:r>
    </w:p>
    <w:p w14:paraId="71FA3AC7" w14:textId="77777777" w:rsidR="00DB1AEE" w:rsidRPr="00DB1AEE" w:rsidRDefault="00DB1AEE" w:rsidP="00DB1AEE">
      <w:pPr>
        <w:widowControl w:val="0"/>
        <w:suppressAutoHyphens/>
        <w:spacing w:before="130" w:after="130"/>
        <w:ind w:left="360"/>
        <w:rPr>
          <w:u w:val="single"/>
        </w:rPr>
      </w:pPr>
      <w:r w:rsidRPr="00DB1AEE">
        <w:rPr>
          <w:b/>
          <w:bCs/>
          <w:u w:val="single"/>
        </w:rPr>
        <w:t xml:space="preserve">MOISTURE REMOVAL EFFICIENCY (MRE). </w:t>
      </w:r>
      <w:r w:rsidRPr="00DB1AEE">
        <w:rPr>
          <w:u w:val="single"/>
        </w:rPr>
        <w:t>A ratio of the moisture removal capacity in pounds of moisture per hour to the power input values in kilowatts at any given set of standard rating conditions expressed in lb of moisture/kWh.</w:t>
      </w:r>
    </w:p>
    <w:p w14:paraId="27ADE6E5" w14:textId="77777777" w:rsidR="00DB1AEE" w:rsidRPr="00DB1AEE" w:rsidRDefault="00DB1AEE" w:rsidP="00DB1AEE">
      <w:pPr>
        <w:widowControl w:val="0"/>
        <w:suppressAutoHyphens/>
        <w:autoSpaceDE w:val="0"/>
        <w:autoSpaceDN w:val="0"/>
        <w:adjustRightInd w:val="0"/>
        <w:spacing w:before="130" w:after="130"/>
        <w:rPr>
          <w:u w:val="single"/>
        </w:rPr>
      </w:pPr>
      <w:r w:rsidRPr="00DB1AEE">
        <w:rPr>
          <w:u w:val="single"/>
        </w:rPr>
        <w:t>Section C202 – Add the definitions of  “Point Thermal Bridge,”   after the definition of “Physical Renewable Energy Power Purchase Agreement.” to read as follows:</w:t>
      </w:r>
    </w:p>
    <w:p w14:paraId="557FA9BE" w14:textId="77777777" w:rsidR="00DB1AEE" w:rsidRPr="00DB1AEE" w:rsidRDefault="00DB1AEE" w:rsidP="00DB1AEE">
      <w:pPr>
        <w:widowControl w:val="0"/>
        <w:suppressAutoHyphens/>
        <w:spacing w:before="130" w:after="130"/>
        <w:ind w:left="360"/>
        <w:rPr>
          <w:b/>
          <w:bCs/>
          <w:u w:val="single"/>
        </w:rPr>
      </w:pPr>
      <w:r w:rsidRPr="00DB1AEE">
        <w:rPr>
          <w:b/>
          <w:bCs/>
          <w:u w:val="single"/>
        </w:rPr>
        <w:t xml:space="preserve">POINT THERMAL BRIDGE. </w:t>
      </w:r>
      <w:r w:rsidRPr="00DB1AEE">
        <w:rPr>
          <w:u w:val="single"/>
        </w:rPr>
        <w:t>See “Thermal Bridge”.</w:t>
      </w:r>
    </w:p>
    <w:p w14:paraId="1D9FD3F7" w14:textId="77777777" w:rsidR="00DB1AEE" w:rsidRPr="00DB1AEE" w:rsidRDefault="00DB1AEE" w:rsidP="00DB1AEE">
      <w:pPr>
        <w:widowControl w:val="0"/>
        <w:suppressAutoHyphens/>
        <w:autoSpaceDE w:val="0"/>
        <w:autoSpaceDN w:val="0"/>
        <w:adjustRightInd w:val="0"/>
        <w:spacing w:before="130" w:after="130"/>
        <w:rPr>
          <w:u w:val="single"/>
        </w:rPr>
      </w:pPr>
      <w:r w:rsidRPr="00DB1AEE">
        <w:rPr>
          <w:u w:val="single"/>
        </w:rPr>
        <w:t>Section C202 – Add the definitions of “Pre-Engineered Metal Building,”    “Professional Certification,”  “Project,”      after the definition of “Process Application.” to read as follows:</w:t>
      </w:r>
    </w:p>
    <w:p w14:paraId="17935A76" w14:textId="77777777" w:rsidR="00DB1AEE" w:rsidRPr="00DB1AEE" w:rsidRDefault="00DB1AEE" w:rsidP="00DB1AEE">
      <w:pPr>
        <w:widowControl w:val="0"/>
        <w:suppressAutoHyphens/>
        <w:spacing w:before="130" w:after="130"/>
        <w:ind w:left="360"/>
        <w:rPr>
          <w:b/>
          <w:bCs/>
          <w:u w:val="single"/>
        </w:rPr>
      </w:pPr>
      <w:r w:rsidRPr="00DB1AEE">
        <w:rPr>
          <w:b/>
          <w:bCs/>
          <w:u w:val="single"/>
        </w:rPr>
        <w:t>PRE-ENGINEERED METAL BUILDING.</w:t>
      </w:r>
      <w:r w:rsidRPr="00DB1AEE">
        <w:t xml:space="preserve"> </w:t>
      </w:r>
      <w:r w:rsidRPr="00DB1AEE">
        <w:rPr>
          <w:u w:val="single"/>
        </w:rPr>
        <w:t>A pre-engineered metal building (PEMB) is a structure where the steel components—primary framing, secondary framing, and cladding—are designed and manufactured in a factory according to specific project requirements and then shipped to the construction site for assembly.</w:t>
      </w:r>
    </w:p>
    <w:p w14:paraId="0B022F65" w14:textId="77777777" w:rsidR="00DB1AEE" w:rsidRPr="00DB1AEE" w:rsidRDefault="00DB1AEE" w:rsidP="00DB1AEE">
      <w:pPr>
        <w:widowControl w:val="0"/>
        <w:suppressAutoHyphens/>
        <w:spacing w:before="130" w:after="130"/>
        <w:ind w:left="360"/>
        <w:rPr>
          <w:b/>
          <w:bCs/>
          <w:u w:val="single"/>
        </w:rPr>
      </w:pPr>
      <w:r w:rsidRPr="00DB1AEE">
        <w:rPr>
          <w:b/>
          <w:bCs/>
          <w:u w:val="single"/>
        </w:rPr>
        <w:t xml:space="preserve">PROFESSIONAL CERTIFICATION. </w:t>
      </w:r>
      <w:r w:rsidRPr="00DB1AEE">
        <w:rPr>
          <w:u w:val="single"/>
        </w:rPr>
        <w:t>See Section 28-101.5 of the Administrative Code</w:t>
      </w:r>
      <w:r w:rsidRPr="00DB1AEE">
        <w:rPr>
          <w:b/>
          <w:bCs/>
          <w:u w:val="single"/>
        </w:rPr>
        <w:t xml:space="preserve">. </w:t>
      </w:r>
    </w:p>
    <w:p w14:paraId="6DE0F6F4" w14:textId="77777777" w:rsidR="00DB1AEE" w:rsidRPr="00DB1AEE" w:rsidRDefault="00DB1AEE" w:rsidP="00DB1AEE">
      <w:pPr>
        <w:widowControl w:val="0"/>
        <w:suppressAutoHyphens/>
        <w:spacing w:before="130" w:after="130"/>
        <w:ind w:left="360"/>
        <w:rPr>
          <w:b/>
          <w:bCs/>
          <w:u w:val="single"/>
        </w:rPr>
      </w:pPr>
      <w:r w:rsidRPr="00DB1AEE">
        <w:rPr>
          <w:b/>
          <w:bCs/>
          <w:u w:val="single"/>
        </w:rPr>
        <w:t xml:space="preserve">PROJECT. </w:t>
      </w:r>
      <w:r w:rsidRPr="00DB1AEE">
        <w:rPr>
          <w:u w:val="single"/>
        </w:rPr>
        <w:t>A design and construction undertaking comprised of work related to one or more buildings and the site improvements. A project is represented by one or more plan/work applications, including construction documents compiled in accordance with Section 107 of the New York City Building Code, that relate either to the construction of a new building or buildings or to the demolition or alteration of an existing building or buildings. Applications for a project may have different registered design professionals and different job numbers, and may result in the issuance of one or more permits.</w:t>
      </w:r>
    </w:p>
    <w:p w14:paraId="6A6ED07F" w14:textId="77777777" w:rsidR="00DB1AEE" w:rsidRPr="00DB1AEE" w:rsidRDefault="00DB1AEE" w:rsidP="00DB1AEE">
      <w:pPr>
        <w:widowControl w:val="0"/>
        <w:suppressAutoHyphens/>
        <w:autoSpaceDE w:val="0"/>
        <w:autoSpaceDN w:val="0"/>
        <w:adjustRightInd w:val="0"/>
        <w:spacing w:before="130" w:after="130"/>
        <w:rPr>
          <w:u w:val="single"/>
        </w:rPr>
      </w:pPr>
      <w:r w:rsidRPr="00DB1AEE">
        <w:rPr>
          <w:u w:val="single"/>
        </w:rPr>
        <w:t>Section C202 – Delete the definition of  “PSI-FACTOR (ψ-FACTOR),”    after the definition of “Proposed Design.”.</w:t>
      </w:r>
    </w:p>
    <w:p w14:paraId="38417AAB" w14:textId="77777777" w:rsidR="00DB1AEE" w:rsidRPr="00DB1AEE" w:rsidRDefault="00DB1AEE" w:rsidP="00DB1AEE">
      <w:pPr>
        <w:widowControl w:val="0"/>
        <w:suppressAutoHyphens/>
        <w:autoSpaceDE w:val="0"/>
        <w:autoSpaceDN w:val="0"/>
        <w:adjustRightInd w:val="0"/>
        <w:spacing w:before="130" w:after="130"/>
        <w:rPr>
          <w:u w:val="single"/>
        </w:rPr>
      </w:pPr>
      <w:r w:rsidRPr="00DB1AEE">
        <w:rPr>
          <w:u w:val="single"/>
        </w:rPr>
        <w:t>Section C202 – Add the definition of  “PSI-FACTOR (ψ-FACTOR),”    after the definition of “Proposed Design.” to read as follows:</w:t>
      </w:r>
    </w:p>
    <w:p w14:paraId="430BC67E" w14:textId="77777777" w:rsidR="00DB1AEE" w:rsidRPr="00DB1AEE" w:rsidRDefault="00DB1AEE" w:rsidP="00DB1AEE">
      <w:pPr>
        <w:widowControl w:val="0"/>
        <w:suppressAutoHyphens/>
        <w:spacing w:before="130" w:after="130"/>
        <w:ind w:left="360"/>
        <w:rPr>
          <w:b/>
          <w:bCs/>
          <w:u w:val="single"/>
        </w:rPr>
      </w:pPr>
      <w:r w:rsidRPr="00DB1AEE">
        <w:rPr>
          <w:b/>
          <w:bCs/>
          <w:u w:val="single"/>
        </w:rPr>
        <w:t xml:space="preserve">PSI-FACTOR (ψ-FACTOR). </w:t>
      </w:r>
      <w:r w:rsidRPr="00DB1AEE">
        <w:rPr>
          <w:u w:val="single"/>
        </w:rPr>
        <w:t>See “Thermal Bridge”.</w:t>
      </w:r>
    </w:p>
    <w:p w14:paraId="35CA977B" w14:textId="77777777" w:rsidR="00DB1AEE" w:rsidRPr="00DB1AEE" w:rsidRDefault="00DB1AEE" w:rsidP="00DB1AEE">
      <w:pPr>
        <w:widowControl w:val="0"/>
        <w:suppressAutoHyphens/>
        <w:autoSpaceDE w:val="0"/>
        <w:autoSpaceDN w:val="0"/>
        <w:adjustRightInd w:val="0"/>
        <w:spacing w:before="130" w:after="130"/>
        <w:rPr>
          <w:u w:val="single"/>
        </w:rPr>
      </w:pPr>
      <w:r w:rsidRPr="00DB1AEE">
        <w:rPr>
          <w:u w:val="single"/>
        </w:rPr>
        <w:t>Section C202 – Delete the definitions of  “Standard Reference Design,”    after the definition of “Solar Heat Gain Coefficient (SHGC).”.</w:t>
      </w:r>
    </w:p>
    <w:p w14:paraId="38221D01" w14:textId="77777777" w:rsidR="00DB1AEE" w:rsidRPr="00DB1AEE" w:rsidRDefault="00DB1AEE" w:rsidP="00DB1AEE">
      <w:pPr>
        <w:widowControl w:val="0"/>
        <w:suppressAutoHyphens/>
        <w:autoSpaceDE w:val="0"/>
        <w:autoSpaceDN w:val="0"/>
        <w:adjustRightInd w:val="0"/>
        <w:spacing w:before="130" w:after="130"/>
        <w:rPr>
          <w:u w:val="single"/>
        </w:rPr>
      </w:pPr>
      <w:r w:rsidRPr="00DB1AEE">
        <w:rPr>
          <w:u w:val="single"/>
        </w:rPr>
        <w:t>Section C202 – Add the definition of  “Spandrel Panel,”    after the definition of “Solar Heat Gain Coefficient (SHGC).” to read as follows:</w:t>
      </w:r>
    </w:p>
    <w:p w14:paraId="0FBF889B" w14:textId="77777777" w:rsidR="00DB1AEE" w:rsidRPr="00DB1AEE" w:rsidRDefault="00DB1AEE" w:rsidP="00DB1AEE">
      <w:pPr>
        <w:widowControl w:val="0"/>
        <w:suppressAutoHyphens/>
        <w:spacing w:before="130" w:after="130"/>
        <w:ind w:left="360"/>
        <w:rPr>
          <w:b/>
          <w:bCs/>
          <w:u w:val="single"/>
        </w:rPr>
      </w:pPr>
      <w:r w:rsidRPr="00DB1AEE">
        <w:rPr>
          <w:b/>
          <w:bCs/>
          <w:u w:val="single"/>
        </w:rPr>
        <w:t xml:space="preserve">SPANDREL PANEL. </w:t>
      </w:r>
      <w:r w:rsidRPr="00DB1AEE">
        <w:rPr>
          <w:u w:val="single"/>
        </w:rPr>
        <w:t>An opaque assembly within a fenestration framing system in a wall that is part of the building thermal envelope. Such panels are considered to be a portion of the opaque thermal envelope assembly.</w:t>
      </w:r>
    </w:p>
    <w:p w14:paraId="41E86299" w14:textId="77777777" w:rsidR="00DB1AEE" w:rsidRPr="00DB1AEE" w:rsidRDefault="00DB1AEE" w:rsidP="00DB1AEE">
      <w:pPr>
        <w:widowControl w:val="0"/>
        <w:suppressAutoHyphens/>
        <w:autoSpaceDE w:val="0"/>
        <w:autoSpaceDN w:val="0"/>
        <w:adjustRightInd w:val="0"/>
        <w:spacing w:before="130" w:after="130"/>
        <w:rPr>
          <w:u w:val="single"/>
        </w:rPr>
      </w:pPr>
      <w:r w:rsidRPr="00DB1AEE">
        <w:rPr>
          <w:u w:val="single"/>
        </w:rPr>
        <w:t>Section C202 – Add the definitions of  “Story,” “Story Above Grade Plane,”    after the definition of “Storefront.” to read as follows:</w:t>
      </w:r>
    </w:p>
    <w:p w14:paraId="0B1B5B95" w14:textId="77777777" w:rsidR="00DB1AEE" w:rsidRPr="00DB1AEE" w:rsidRDefault="00DB1AEE" w:rsidP="00DB1AEE">
      <w:pPr>
        <w:widowControl w:val="0"/>
        <w:suppressAutoHyphens/>
        <w:spacing w:before="130" w:after="130"/>
        <w:ind w:left="360"/>
        <w:rPr>
          <w:b/>
          <w:bCs/>
          <w:u w:val="single"/>
        </w:rPr>
      </w:pPr>
      <w:r w:rsidRPr="00DB1AEE">
        <w:rPr>
          <w:b/>
          <w:bCs/>
          <w:u w:val="single"/>
        </w:rPr>
        <w:t xml:space="preserve">STORY. </w:t>
      </w:r>
      <w:r w:rsidRPr="00DB1AEE">
        <w:rPr>
          <w:u w:val="single"/>
        </w:rPr>
        <w:t>The portion of a building included between the upper surface of a floor and the upper surface of the floor or roof next above. See the definitions of “Basement or Cellar, Energy Code and “Grade plane, Energy Code.” A story is measured as the vertical distance from top to top of two successive tiers of beams or finished floor surfaces and, for the topmost story, from the top of the floor finish to the top of the ceiling joists or, where there is not a ceiling, to the top of the roof rafters.</w:t>
      </w:r>
      <w:r w:rsidRPr="00DB1AEE">
        <w:rPr>
          <w:b/>
          <w:bCs/>
          <w:u w:val="single"/>
        </w:rPr>
        <w:t xml:space="preserve">  </w:t>
      </w:r>
    </w:p>
    <w:p w14:paraId="339507FF" w14:textId="77777777" w:rsidR="00DB1AEE" w:rsidRPr="00DB1AEE" w:rsidRDefault="00DB1AEE" w:rsidP="00DB1AEE">
      <w:pPr>
        <w:widowControl w:val="0"/>
        <w:suppressAutoHyphens/>
        <w:spacing w:before="130" w:after="130"/>
        <w:ind w:left="360"/>
        <w:rPr>
          <w:u w:val="single"/>
        </w:rPr>
      </w:pPr>
      <w:r w:rsidRPr="00DB1AEE">
        <w:rPr>
          <w:b/>
          <w:bCs/>
          <w:u w:val="single"/>
        </w:rPr>
        <w:t xml:space="preserve">STORY ABOVE GRADE PLANE. </w:t>
      </w:r>
      <w:r w:rsidRPr="00DB1AEE">
        <w:rPr>
          <w:u w:val="single"/>
        </w:rPr>
        <w:t xml:space="preserve">Any story having its finished floor surface entirely above grade plane, or in which the finished surface of the floor next above is: </w:t>
      </w:r>
    </w:p>
    <w:p w14:paraId="77608332" w14:textId="77777777" w:rsidR="00DB1AEE" w:rsidRPr="00DB1AEE" w:rsidRDefault="00DB1AEE" w:rsidP="00DB1AEE">
      <w:pPr>
        <w:widowControl w:val="0"/>
        <w:suppressAutoHyphens/>
        <w:spacing w:before="130" w:after="130"/>
        <w:ind w:left="720"/>
        <w:rPr>
          <w:u w:val="single"/>
        </w:rPr>
      </w:pPr>
      <w:r w:rsidRPr="00DB1AEE">
        <w:rPr>
          <w:u w:val="single"/>
        </w:rPr>
        <w:t xml:space="preserve">1. More than 6 feet (1829 mm) above average grade plane; or </w:t>
      </w:r>
    </w:p>
    <w:p w14:paraId="4C9612E5" w14:textId="77777777" w:rsidR="00DB1AEE" w:rsidRPr="00DB1AEE" w:rsidRDefault="00DB1AEE" w:rsidP="00DB1AEE">
      <w:pPr>
        <w:widowControl w:val="0"/>
        <w:suppressAutoHyphens/>
        <w:spacing w:before="130" w:after="130"/>
        <w:ind w:left="720"/>
        <w:rPr>
          <w:u w:val="single"/>
        </w:rPr>
      </w:pPr>
      <w:r w:rsidRPr="00DB1AEE">
        <w:rPr>
          <w:u w:val="single"/>
        </w:rPr>
        <w:t>2. More than 12 feet (3658 mm) above the finished ground level at any point.</w:t>
      </w:r>
    </w:p>
    <w:p w14:paraId="345FAD3D" w14:textId="77777777" w:rsidR="00DB1AEE" w:rsidRPr="00DB1AEE" w:rsidRDefault="00DB1AEE" w:rsidP="00DB1AEE">
      <w:pPr>
        <w:widowControl w:val="0"/>
        <w:suppressAutoHyphens/>
        <w:autoSpaceDE w:val="0"/>
        <w:autoSpaceDN w:val="0"/>
        <w:adjustRightInd w:val="0"/>
        <w:spacing w:before="130" w:after="130"/>
        <w:rPr>
          <w:u w:val="single"/>
        </w:rPr>
      </w:pPr>
      <w:r w:rsidRPr="00DB1AEE">
        <w:rPr>
          <w:u w:val="single"/>
        </w:rPr>
        <w:t>Section C202 – Delete the definition of  “</w:t>
      </w:r>
      <w:bookmarkStart w:id="311" w:name="_Hlk210476217"/>
      <w:r w:rsidRPr="00DB1AEE">
        <w:rPr>
          <w:u w:val="single"/>
        </w:rPr>
        <w:t>Thermal Bridge</w:t>
      </w:r>
      <w:bookmarkEnd w:id="311"/>
      <w:r w:rsidRPr="00DB1AEE">
        <w:rPr>
          <w:u w:val="single"/>
        </w:rPr>
        <w:t>,”    after the definition of “Thermal Block”.</w:t>
      </w:r>
    </w:p>
    <w:p w14:paraId="5585D307" w14:textId="77777777" w:rsidR="00DB1AEE" w:rsidRPr="00DB1AEE" w:rsidRDefault="00DB1AEE" w:rsidP="00DB1AEE">
      <w:pPr>
        <w:widowControl w:val="0"/>
        <w:suppressAutoHyphens/>
        <w:autoSpaceDE w:val="0"/>
        <w:autoSpaceDN w:val="0"/>
        <w:adjustRightInd w:val="0"/>
        <w:spacing w:before="130" w:after="130"/>
        <w:rPr>
          <w:u w:val="single"/>
        </w:rPr>
      </w:pPr>
      <w:r w:rsidRPr="00DB1AEE">
        <w:rPr>
          <w:u w:val="single"/>
        </w:rPr>
        <w:t>Section C202 – Add the definitions of  “Thermal Break Device,” “Thermal Bridge,” “    after the definition of “Thermal Block.” to read as follows:</w:t>
      </w:r>
    </w:p>
    <w:p w14:paraId="09FD9388" w14:textId="77777777" w:rsidR="00DB1AEE" w:rsidRPr="00DB1AEE" w:rsidRDefault="00DB1AEE" w:rsidP="00DB1AEE">
      <w:pPr>
        <w:widowControl w:val="0"/>
        <w:suppressAutoHyphens/>
        <w:spacing w:before="130" w:after="130"/>
        <w:ind w:left="360"/>
        <w:rPr>
          <w:u w:val="single"/>
        </w:rPr>
      </w:pPr>
      <w:r w:rsidRPr="00DB1AEE">
        <w:rPr>
          <w:b/>
          <w:bCs/>
          <w:u w:val="single"/>
        </w:rPr>
        <w:t>THERMAL BREAK DEVICE</w:t>
      </w:r>
      <w:r w:rsidRPr="00DB1AEE">
        <w:rPr>
          <w:u w:val="single"/>
        </w:rPr>
        <w:t>. A pre-manufactured, load-bearing building component composed of multiple materials of differing thermal conductivities (e.g., steel, insulation, fiber-reinforced polymers) designed to structurally connect building elements while reducing thermal bridging. The thermal transmittance (U-value) or equivalent thermal conductivity (λeq) of such elements shall be determined using physical testing in accordance with ASTM C1363 or an approved equivalent calculation method. The calculated performance (U-value or equivalent thermal conductivity) shall include the effects of all embedded components through psi- or chi-value calculation methods.</w:t>
      </w:r>
    </w:p>
    <w:p w14:paraId="60116FAB" w14:textId="77777777" w:rsidR="00DB1AEE" w:rsidRPr="00DB1AEE" w:rsidRDefault="00DB1AEE" w:rsidP="00DB1AEE">
      <w:pPr>
        <w:widowControl w:val="0"/>
        <w:suppressAutoHyphens/>
        <w:spacing w:before="130" w:after="130"/>
        <w:ind w:left="360"/>
        <w:rPr>
          <w:u w:val="single"/>
        </w:rPr>
      </w:pPr>
      <w:r w:rsidRPr="00DB1AEE">
        <w:rPr>
          <w:b/>
          <w:bCs/>
          <w:u w:val="single"/>
        </w:rPr>
        <w:t>THERMAL BRIDGE.</w:t>
      </w:r>
      <w:r w:rsidRPr="00DB1AEE">
        <w:rPr>
          <w:u w:val="single"/>
        </w:rPr>
        <w:t xml:space="preserve"> An element or interface of elements that has higher thermal conductivity than the surrounding building thermal envelope, which creates a path of least resistance for heat transfer.</w:t>
      </w:r>
    </w:p>
    <w:p w14:paraId="17F5D3DB" w14:textId="77777777" w:rsidR="00DB1AEE" w:rsidRPr="00DB1AEE" w:rsidRDefault="00DB1AEE" w:rsidP="00DB1AEE">
      <w:pPr>
        <w:widowControl w:val="0"/>
        <w:suppressAutoHyphens/>
        <w:spacing w:before="130" w:after="130"/>
        <w:ind w:left="720"/>
        <w:rPr>
          <w:u w:val="single"/>
        </w:rPr>
      </w:pPr>
      <w:r w:rsidRPr="00DB1AEE">
        <w:rPr>
          <w:b/>
          <w:bCs/>
          <w:u w:val="single"/>
        </w:rPr>
        <w:t>CHI-FACTOR (χ-FACTOR).</w:t>
      </w:r>
      <w:r w:rsidRPr="00DB1AEE">
        <w:rPr>
          <w:u w:val="single"/>
        </w:rPr>
        <w:t xml:space="preserve"> The heat loss factor for a single thermal bridge characterized as a point element of a building thermal envelope (Btu/h x °F) [W/K]. </w:t>
      </w:r>
    </w:p>
    <w:p w14:paraId="4CCD3F24" w14:textId="77777777" w:rsidR="00DB1AEE" w:rsidRPr="00DB1AEE" w:rsidRDefault="00DB1AEE" w:rsidP="00DB1AEE">
      <w:pPr>
        <w:widowControl w:val="0"/>
        <w:suppressAutoHyphens/>
        <w:spacing w:before="130" w:after="130"/>
        <w:ind w:left="720"/>
        <w:rPr>
          <w:u w:val="single"/>
        </w:rPr>
      </w:pPr>
      <w:r w:rsidRPr="00DB1AEE">
        <w:rPr>
          <w:b/>
          <w:bCs/>
          <w:u w:val="single"/>
        </w:rPr>
        <w:t>CLEAR FIELD THERMAL BRIDGE.</w:t>
      </w:r>
      <w:r w:rsidRPr="00DB1AEE">
        <w:rPr>
          <w:u w:val="single"/>
        </w:rPr>
        <w:t xml:space="preserve"> Elements of a building envelope assembly creating paths of decreased resistance for heat transfer which repeat at regular intervals, such as metal or wood studs, girts, and purlins. </w:t>
      </w:r>
    </w:p>
    <w:p w14:paraId="78FC25F6" w14:textId="77777777" w:rsidR="00DB1AEE" w:rsidRPr="00DB1AEE" w:rsidRDefault="00DB1AEE" w:rsidP="00DB1AEE">
      <w:pPr>
        <w:widowControl w:val="0"/>
        <w:suppressAutoHyphens/>
        <w:spacing w:before="130" w:after="130"/>
        <w:ind w:left="720"/>
        <w:rPr>
          <w:u w:val="single"/>
        </w:rPr>
      </w:pPr>
      <w:r w:rsidRPr="00DB1AEE">
        <w:rPr>
          <w:b/>
          <w:bCs/>
          <w:u w:val="single"/>
        </w:rPr>
        <w:t>CLEAR FIELD U-FACTOR</w:t>
      </w:r>
      <w:r w:rsidRPr="00DB1AEE">
        <w:rPr>
          <w:u w:val="single"/>
        </w:rPr>
        <w:t xml:space="preserve">. Thermal performance factor that accounts for clear field thermal bridge. </w:t>
      </w:r>
    </w:p>
    <w:p w14:paraId="7C493F0E" w14:textId="77777777" w:rsidR="00DB1AEE" w:rsidRPr="00DB1AEE" w:rsidRDefault="00DB1AEE" w:rsidP="00DB1AEE">
      <w:pPr>
        <w:widowControl w:val="0"/>
        <w:suppressAutoHyphens/>
        <w:spacing w:before="130" w:after="130"/>
        <w:ind w:left="720"/>
        <w:rPr>
          <w:u w:val="single"/>
        </w:rPr>
      </w:pPr>
      <w:r w:rsidRPr="00DB1AEE">
        <w:rPr>
          <w:b/>
          <w:bCs/>
          <w:u w:val="single"/>
        </w:rPr>
        <w:t>LINEAR THERMAL BRIDGE</w:t>
      </w:r>
      <w:r w:rsidRPr="00DB1AEE">
        <w:rPr>
          <w:u w:val="single"/>
        </w:rPr>
        <w:t>. a length-based element associated with horizontal, vertical, or diagonal elements that penetrates the insulation in the building thermal envelope and with a length measured along an exterior surface of the building thermal envelope, such as balconies, parapet-, roof-, floor-, or fenestration intersections, and shelf angles.</w:t>
      </w:r>
    </w:p>
    <w:p w14:paraId="2105037C" w14:textId="77777777" w:rsidR="00DB1AEE" w:rsidRPr="00DB1AEE" w:rsidRDefault="00DB1AEE" w:rsidP="00DB1AEE">
      <w:pPr>
        <w:widowControl w:val="0"/>
        <w:suppressAutoHyphens/>
        <w:spacing w:before="130" w:after="130"/>
        <w:ind w:left="720"/>
        <w:rPr>
          <w:u w:val="single"/>
        </w:rPr>
      </w:pPr>
      <w:r w:rsidRPr="00DB1AEE">
        <w:rPr>
          <w:b/>
          <w:bCs/>
          <w:u w:val="single"/>
        </w:rPr>
        <w:t>POINT THERMAL BRIDGE.</w:t>
      </w:r>
      <w:r w:rsidRPr="00DB1AEE">
        <w:rPr>
          <w:u w:val="single"/>
        </w:rPr>
        <w:t xml:space="preserve"> An element that penetrates the insulation in the building thermal envelope, such as columns or beams passing through envelope assemblies, attachments, anchors, and connections not defined as clear field- or linear thermal bridges. The cross-sectional area is measured at the external surface of the outermost penetrated insulation layer.</w:t>
      </w:r>
    </w:p>
    <w:p w14:paraId="58636837" w14:textId="77777777" w:rsidR="00DB1AEE" w:rsidRPr="00DB1AEE" w:rsidRDefault="00DB1AEE" w:rsidP="00DB1AEE">
      <w:pPr>
        <w:widowControl w:val="0"/>
        <w:suppressAutoHyphens/>
        <w:spacing w:before="130" w:after="130"/>
        <w:ind w:left="720"/>
        <w:rPr>
          <w:u w:val="single"/>
        </w:rPr>
      </w:pPr>
      <w:r w:rsidRPr="00DB1AEE">
        <w:rPr>
          <w:b/>
          <w:bCs/>
          <w:u w:val="single"/>
        </w:rPr>
        <w:t>PSI-FACTOR (ψ-FACTOR).</w:t>
      </w:r>
      <w:r w:rsidRPr="00DB1AEE">
        <w:rPr>
          <w:u w:val="single"/>
        </w:rPr>
        <w:t xml:space="preserve"> The heat loss factor per unit length of a thermal bridge characterized as a linear element of a building thermal envelope (Btu/h x ft x °F) [W/(m x K)].</w:t>
      </w:r>
    </w:p>
    <w:p w14:paraId="78A1DA59" w14:textId="77777777" w:rsidR="00DB1AEE" w:rsidRPr="00DB1AEE" w:rsidRDefault="00DB1AEE" w:rsidP="00DB1AEE">
      <w:pPr>
        <w:widowControl w:val="0"/>
        <w:suppressAutoHyphens/>
        <w:autoSpaceDE w:val="0"/>
        <w:autoSpaceDN w:val="0"/>
        <w:adjustRightInd w:val="0"/>
        <w:spacing w:before="130" w:after="130"/>
        <w:rPr>
          <w:u w:val="single"/>
        </w:rPr>
      </w:pPr>
      <w:r w:rsidRPr="00DB1AEE">
        <w:rPr>
          <w:u w:val="single"/>
        </w:rPr>
        <w:t>Section C202 – Delete the definitions of  “Wall, Above-Grade,”   “Wall, Below-Grade,”     after the definition of “Walk-In Freezer”.</w:t>
      </w:r>
    </w:p>
    <w:p w14:paraId="74427666" w14:textId="77777777" w:rsidR="00DB1AEE" w:rsidRPr="00DB1AEE" w:rsidRDefault="00DB1AEE" w:rsidP="00DB1AEE">
      <w:pPr>
        <w:widowControl w:val="0"/>
        <w:suppressAutoHyphens/>
        <w:autoSpaceDE w:val="0"/>
        <w:autoSpaceDN w:val="0"/>
        <w:adjustRightInd w:val="0"/>
        <w:spacing w:before="130" w:after="130"/>
        <w:rPr>
          <w:u w:val="single"/>
        </w:rPr>
      </w:pPr>
      <w:r w:rsidRPr="00DB1AEE">
        <w:rPr>
          <w:u w:val="single"/>
        </w:rPr>
        <w:t>Section C202 – Add the definitions of  “Wall, Above-Grade,”   “Wall, Below-Grade,”     after the definition of “Walk-In Freezer” to read as follows:</w:t>
      </w:r>
    </w:p>
    <w:p w14:paraId="34C520D0" w14:textId="77777777" w:rsidR="00DB1AEE" w:rsidRPr="00DB1AEE" w:rsidRDefault="00DB1AEE" w:rsidP="00DB1AEE">
      <w:pPr>
        <w:widowControl w:val="0"/>
        <w:suppressAutoHyphens/>
        <w:spacing w:before="130" w:after="130"/>
        <w:ind w:left="360"/>
        <w:rPr>
          <w:u w:val="single"/>
        </w:rPr>
      </w:pPr>
      <w:r w:rsidRPr="00DB1AEE">
        <w:rPr>
          <w:b/>
          <w:bCs/>
          <w:u w:val="single"/>
        </w:rPr>
        <w:t>WALL, ABOVE-GRADE</w:t>
      </w:r>
      <w:r w:rsidRPr="00DB1AEE">
        <w:rPr>
          <w:u w:val="single"/>
        </w:rPr>
        <w:t>. A wall associated with the building thermal envelope that is more than 15 percent of the total surface area  above adjoining grade plane and is on the exterior of the building or any wall that is associated with the building thermal envelope that is not on the exterior of the building. This includes, but is not limited to, areaways below grade, between-floor spandrels, peripheral edges of floors, roof knee walls, dormer walls, gable end walls, walls enclosing a mansard roof, mechanical equipment penetrations and skylight shafts.</w:t>
      </w:r>
    </w:p>
    <w:p w14:paraId="0988ABD9" w14:textId="77777777" w:rsidR="00DB1AEE" w:rsidRPr="00DB1AEE" w:rsidRDefault="00DB1AEE" w:rsidP="00DB1AEE">
      <w:pPr>
        <w:widowControl w:val="0"/>
        <w:suppressAutoHyphens/>
        <w:spacing w:before="130" w:after="130"/>
        <w:ind w:left="360"/>
        <w:rPr>
          <w:u w:val="single"/>
        </w:rPr>
      </w:pPr>
      <w:r w:rsidRPr="00DB1AEE">
        <w:rPr>
          <w:b/>
          <w:bCs/>
          <w:u w:val="single"/>
        </w:rPr>
        <w:t>WALL, BELOW-GRADE</w:t>
      </w:r>
      <w:r w:rsidRPr="00DB1AEE">
        <w:rPr>
          <w:u w:val="single"/>
        </w:rPr>
        <w:t>. A wall associated with the basement or first story of the building that is part of the building thermal envelope, has not less than 85 percent of the total surface area below adjoining grade and is on the exterior of the building.</w:t>
      </w:r>
    </w:p>
    <w:p w14:paraId="5B3566F7" w14:textId="77777777" w:rsidR="00DB1AEE" w:rsidRPr="00DB1AEE" w:rsidRDefault="00DB1AEE" w:rsidP="00DB1AEE">
      <w:pPr>
        <w:widowControl w:val="0"/>
        <w:suppressAutoHyphens/>
        <w:autoSpaceDE w:val="0"/>
        <w:autoSpaceDN w:val="0"/>
        <w:adjustRightInd w:val="0"/>
        <w:spacing w:before="130" w:after="130"/>
        <w:jc w:val="center"/>
        <w:rPr>
          <w:b/>
          <w:szCs w:val="24"/>
          <w:u w:val="single"/>
        </w:rPr>
      </w:pPr>
      <w:r w:rsidRPr="00DB1AEE">
        <w:rPr>
          <w:b/>
          <w:szCs w:val="24"/>
          <w:u w:val="single"/>
        </w:rPr>
        <w:t>CHAPTER C3</w:t>
      </w:r>
    </w:p>
    <w:p w14:paraId="2ABC0858" w14:textId="77777777" w:rsidR="00DB1AEE" w:rsidRPr="00DB1AEE" w:rsidRDefault="00DB1AEE" w:rsidP="00DB1AEE">
      <w:pPr>
        <w:widowControl w:val="0"/>
        <w:suppressAutoHyphens/>
        <w:autoSpaceDE w:val="0"/>
        <w:autoSpaceDN w:val="0"/>
        <w:adjustRightInd w:val="0"/>
        <w:spacing w:before="130" w:after="130"/>
        <w:jc w:val="center"/>
        <w:rPr>
          <w:b/>
          <w:szCs w:val="24"/>
          <w:u w:val="single"/>
        </w:rPr>
      </w:pPr>
      <w:r w:rsidRPr="00DB1AEE">
        <w:rPr>
          <w:b/>
          <w:szCs w:val="24"/>
          <w:u w:val="single"/>
        </w:rPr>
        <w:t>GENERAL REQUIREMENTS</w:t>
      </w:r>
    </w:p>
    <w:p w14:paraId="0A98E00E" w14:textId="77777777" w:rsidR="00DB1AEE" w:rsidRPr="00DB1AEE" w:rsidRDefault="00DB1AEE" w:rsidP="00DB1AEE">
      <w:pPr>
        <w:widowControl w:val="0"/>
        <w:suppressAutoHyphens/>
        <w:autoSpaceDE w:val="0"/>
        <w:autoSpaceDN w:val="0"/>
        <w:adjustRightInd w:val="0"/>
        <w:spacing w:before="130" w:after="130"/>
        <w:jc w:val="center"/>
        <w:rPr>
          <w:b/>
          <w:bCs/>
          <w:szCs w:val="24"/>
          <w:u w:val="single"/>
        </w:rPr>
      </w:pPr>
      <w:r w:rsidRPr="00DB1AEE">
        <w:rPr>
          <w:b/>
          <w:bCs/>
          <w:szCs w:val="24"/>
          <w:u w:val="single"/>
        </w:rPr>
        <w:t>SECTION ECC C301</w:t>
      </w:r>
    </w:p>
    <w:p w14:paraId="25D82286" w14:textId="77777777" w:rsidR="00DB1AEE" w:rsidRPr="00DB1AEE" w:rsidRDefault="00DB1AEE" w:rsidP="00DB1AEE">
      <w:pPr>
        <w:autoSpaceDE w:val="0"/>
        <w:autoSpaceDN w:val="0"/>
        <w:adjustRightInd w:val="0"/>
        <w:spacing w:before="130" w:after="130"/>
        <w:jc w:val="center"/>
        <w:rPr>
          <w:bCs/>
          <w:szCs w:val="24"/>
          <w:u w:val="single"/>
        </w:rPr>
      </w:pPr>
      <w:r w:rsidRPr="00DB1AEE">
        <w:rPr>
          <w:b/>
          <w:bCs/>
          <w:szCs w:val="24"/>
          <w:u w:val="single"/>
        </w:rPr>
        <w:t>CLIMATE ZONES</w:t>
      </w:r>
    </w:p>
    <w:p w14:paraId="6FB13350"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Section C301.1 General.</w:t>
      </w:r>
    </w:p>
    <w:p w14:paraId="7C0A6C96" w14:textId="77777777" w:rsidR="00DB1AEE" w:rsidRPr="00DB1AEE" w:rsidRDefault="00DB1AEE" w:rsidP="00DB1AEE">
      <w:pPr>
        <w:widowControl w:val="0"/>
        <w:suppressAutoHyphens/>
        <w:autoSpaceDE w:val="0"/>
        <w:autoSpaceDN w:val="0"/>
        <w:adjustRightInd w:val="0"/>
        <w:spacing w:before="130" w:after="130"/>
        <w:rPr>
          <w:bCs/>
          <w:szCs w:val="24"/>
          <w:u w:val="single"/>
        </w:rPr>
      </w:pPr>
      <w:r w:rsidRPr="00DB1AEE">
        <w:rPr>
          <w:bCs/>
          <w:szCs w:val="24"/>
          <w:u w:val="single"/>
        </w:rPr>
        <w:t>Section C301.1 - Revise Section C301.1 to read as follows:</w:t>
      </w:r>
    </w:p>
    <w:p w14:paraId="36F49F51" w14:textId="77777777" w:rsidR="00DB1AEE" w:rsidRPr="00DB1AEE" w:rsidRDefault="00DB1AEE" w:rsidP="00DB1AEE">
      <w:pPr>
        <w:widowControl w:val="0"/>
        <w:suppressAutoHyphens/>
        <w:autoSpaceDE w:val="0"/>
        <w:autoSpaceDN w:val="0"/>
        <w:adjustRightInd w:val="0"/>
        <w:spacing w:before="130" w:after="130"/>
        <w:ind w:left="360"/>
        <w:rPr>
          <w:bCs/>
          <w:szCs w:val="24"/>
          <w:u w:val="single"/>
        </w:rPr>
      </w:pPr>
      <w:r w:rsidRPr="00DB1AEE">
        <w:rPr>
          <w:b/>
          <w:bCs/>
          <w:szCs w:val="24"/>
          <w:u w:val="single"/>
          <w:lang w:val="x-none"/>
        </w:rPr>
        <w:t>C301.1 General.</w:t>
      </w:r>
      <w:r w:rsidRPr="00DB1AEE">
        <w:rPr>
          <w:b/>
          <w:bCs/>
          <w:szCs w:val="24"/>
          <w:u w:val="single"/>
        </w:rPr>
        <w:t xml:space="preserve"> </w:t>
      </w:r>
      <w:r w:rsidRPr="00DB1AEE">
        <w:rPr>
          <w:bCs/>
          <w:szCs w:val="24"/>
          <w:u w:val="single"/>
        </w:rPr>
        <w:t>For projects in the City of New York, Climate Zone 4A shall be used in determining the applicable requirements from Chapter C4.</w:t>
      </w:r>
    </w:p>
    <w:p w14:paraId="6190C4C2" w14:textId="77777777" w:rsidR="00DB1AEE" w:rsidRPr="00DB1AEE" w:rsidRDefault="00DB1AEE" w:rsidP="00DB1AEE">
      <w:pPr>
        <w:suppressAutoHyphens/>
        <w:spacing w:before="130" w:after="130"/>
        <w:jc w:val="center"/>
        <w:rPr>
          <w:b/>
          <w:szCs w:val="24"/>
          <w:u w:val="single"/>
        </w:rPr>
      </w:pPr>
      <w:r w:rsidRPr="00DB1AEE">
        <w:rPr>
          <w:b/>
          <w:szCs w:val="24"/>
          <w:u w:val="single"/>
        </w:rPr>
        <w:t>SECTION C303</w:t>
      </w:r>
    </w:p>
    <w:p w14:paraId="09D93A9E" w14:textId="77777777" w:rsidR="00DB1AEE" w:rsidRPr="00DB1AEE" w:rsidRDefault="00DB1AEE" w:rsidP="00DB1AEE">
      <w:pPr>
        <w:suppressAutoHyphens/>
        <w:spacing w:before="130" w:after="130"/>
        <w:jc w:val="center"/>
        <w:rPr>
          <w:b/>
          <w:szCs w:val="24"/>
          <w:u w:val="single"/>
        </w:rPr>
      </w:pPr>
      <w:r w:rsidRPr="00DB1AEE">
        <w:rPr>
          <w:b/>
          <w:szCs w:val="24"/>
          <w:u w:val="single"/>
        </w:rPr>
        <w:t>MATERIALS, SYSTEMS AND EQUIPMENT</w:t>
      </w:r>
    </w:p>
    <w:p w14:paraId="6DAA87B4" w14:textId="77777777" w:rsidR="00DB1AEE" w:rsidRPr="00DB1AEE" w:rsidRDefault="00DB1AEE" w:rsidP="00DB1AEE">
      <w:pPr>
        <w:suppressAutoHyphens/>
        <w:spacing w:before="130" w:after="130"/>
        <w:jc w:val="left"/>
        <w:rPr>
          <w:b/>
          <w:szCs w:val="24"/>
          <w:u w:val="single"/>
        </w:rPr>
      </w:pPr>
      <w:r w:rsidRPr="00DB1AEE">
        <w:rPr>
          <w:b/>
          <w:szCs w:val="24"/>
          <w:u w:val="single"/>
        </w:rPr>
        <w:t>Section C303.1.1 Building thermal envelope insulation.</w:t>
      </w:r>
    </w:p>
    <w:p w14:paraId="4224E918" w14:textId="77777777" w:rsidR="00DB1AEE" w:rsidRPr="00DB1AEE" w:rsidRDefault="00DB1AEE" w:rsidP="00DB1AEE">
      <w:pPr>
        <w:suppressAutoHyphens/>
        <w:spacing w:before="130" w:after="130"/>
        <w:jc w:val="left"/>
        <w:rPr>
          <w:szCs w:val="24"/>
          <w:u w:val="single"/>
        </w:rPr>
      </w:pPr>
      <w:r w:rsidRPr="00DB1AEE">
        <w:rPr>
          <w:szCs w:val="24"/>
          <w:u w:val="single"/>
        </w:rPr>
        <w:t>Section C303.1.1 – Revise the Exception to Section C303.1.1 to read as follows:</w:t>
      </w:r>
    </w:p>
    <w:p w14:paraId="1D0F1C5B" w14:textId="77777777" w:rsidR="00DB1AEE" w:rsidRPr="00DB1AEE" w:rsidRDefault="00DB1AEE" w:rsidP="00DB1AEE">
      <w:pPr>
        <w:widowControl w:val="0"/>
        <w:suppressAutoHyphens/>
        <w:autoSpaceDE w:val="0"/>
        <w:autoSpaceDN w:val="0"/>
        <w:adjustRightInd w:val="0"/>
        <w:spacing w:before="130" w:after="130"/>
        <w:ind w:left="360"/>
        <w:rPr>
          <w:szCs w:val="24"/>
          <w:u w:val="single"/>
          <w:lang w:val="x-none"/>
        </w:rPr>
      </w:pPr>
      <w:r w:rsidRPr="00DB1AEE">
        <w:rPr>
          <w:b/>
          <w:bCs/>
          <w:szCs w:val="24"/>
          <w:u w:val="single"/>
          <w:lang w:val="x-none"/>
        </w:rPr>
        <w:t>Exception:</w:t>
      </w:r>
      <w:r w:rsidRPr="00DB1AEE">
        <w:rPr>
          <w:szCs w:val="24"/>
          <w:u w:val="single"/>
          <w:lang w:val="x-none"/>
        </w:rPr>
        <w:t xml:space="preserve"> For roof insulation installed above the deck, the R-value shall be labeled as required by the material standards specified in New York City Building Code.</w:t>
      </w:r>
    </w:p>
    <w:p w14:paraId="67BF9258" w14:textId="77777777" w:rsidR="00DB1AEE" w:rsidRPr="00DB1AEE" w:rsidRDefault="00DB1AEE" w:rsidP="00DB1AEE">
      <w:pPr>
        <w:suppressAutoHyphens/>
        <w:spacing w:before="130" w:after="130"/>
        <w:jc w:val="left"/>
        <w:rPr>
          <w:b/>
          <w:szCs w:val="24"/>
          <w:u w:val="single"/>
        </w:rPr>
      </w:pPr>
      <w:r w:rsidRPr="00DB1AEE">
        <w:rPr>
          <w:b/>
          <w:szCs w:val="24"/>
          <w:u w:val="single"/>
        </w:rPr>
        <w:t>Section C303.1.2 Insulation mark installation.</w:t>
      </w:r>
    </w:p>
    <w:p w14:paraId="3B5E1827" w14:textId="77777777" w:rsidR="00DB1AEE" w:rsidRPr="00DB1AEE" w:rsidRDefault="00DB1AEE" w:rsidP="00DB1AEE">
      <w:pPr>
        <w:suppressAutoHyphens/>
        <w:spacing w:before="130" w:after="130"/>
        <w:jc w:val="left"/>
        <w:rPr>
          <w:szCs w:val="24"/>
          <w:u w:val="single"/>
        </w:rPr>
      </w:pPr>
      <w:r w:rsidRPr="00DB1AEE">
        <w:rPr>
          <w:szCs w:val="24"/>
          <w:u w:val="single"/>
        </w:rPr>
        <w:t>Section C303.1.2 – Revise the Exception to Section C303.12 to read as follows:</w:t>
      </w:r>
    </w:p>
    <w:p w14:paraId="23D1765F" w14:textId="77777777" w:rsidR="00DB1AEE" w:rsidRPr="00DB1AEE" w:rsidRDefault="00DB1AEE" w:rsidP="00DB1AEE">
      <w:pPr>
        <w:widowControl w:val="0"/>
        <w:suppressAutoHyphens/>
        <w:autoSpaceDE w:val="0"/>
        <w:autoSpaceDN w:val="0"/>
        <w:adjustRightInd w:val="0"/>
        <w:spacing w:before="130" w:after="130"/>
        <w:ind w:left="360"/>
        <w:rPr>
          <w:szCs w:val="24"/>
          <w:u w:val="single"/>
          <w:lang w:val="x-none"/>
        </w:rPr>
      </w:pPr>
      <w:r w:rsidRPr="00DB1AEE">
        <w:rPr>
          <w:b/>
          <w:bCs/>
          <w:szCs w:val="24"/>
          <w:u w:val="single"/>
          <w:lang w:val="x-none"/>
        </w:rPr>
        <w:t xml:space="preserve">Exception: </w:t>
      </w:r>
      <w:r w:rsidRPr="00DB1AEE">
        <w:rPr>
          <w:szCs w:val="24"/>
          <w:u w:val="single"/>
          <w:lang w:val="x-none"/>
        </w:rPr>
        <w:t>For roof insulation installed above the deck, the R-value shall be labeled as specified by the material standards in New York City Building Code.</w:t>
      </w:r>
    </w:p>
    <w:p w14:paraId="35B6EB10"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Section C303.1.3 Fenestration product rating.</w:t>
      </w:r>
    </w:p>
    <w:p w14:paraId="45648267" w14:textId="77777777" w:rsidR="00DB1AEE" w:rsidRPr="00DB1AEE" w:rsidRDefault="00DB1AEE" w:rsidP="00DB1AEE">
      <w:pPr>
        <w:widowControl w:val="0"/>
        <w:suppressAutoHyphens/>
        <w:autoSpaceDE w:val="0"/>
        <w:autoSpaceDN w:val="0"/>
        <w:adjustRightInd w:val="0"/>
        <w:spacing w:before="130" w:after="130"/>
        <w:rPr>
          <w:bCs/>
          <w:szCs w:val="24"/>
          <w:u w:val="single"/>
        </w:rPr>
      </w:pPr>
      <w:r w:rsidRPr="00DB1AEE">
        <w:rPr>
          <w:bCs/>
          <w:szCs w:val="24"/>
          <w:u w:val="single"/>
        </w:rPr>
        <w:t>Section C303.1.3 - Revise Section C303.1.3 to read as follows:</w:t>
      </w:r>
    </w:p>
    <w:p w14:paraId="3BEB8F19" w14:textId="77777777" w:rsidR="00DB1AEE" w:rsidRPr="00DB1AEE" w:rsidRDefault="00DB1AEE" w:rsidP="00DB1AEE">
      <w:pPr>
        <w:widowControl w:val="0"/>
        <w:suppressAutoHyphens/>
        <w:autoSpaceDE w:val="0"/>
        <w:autoSpaceDN w:val="0"/>
        <w:adjustRightInd w:val="0"/>
        <w:spacing w:before="130" w:after="130"/>
        <w:ind w:left="360"/>
        <w:rPr>
          <w:u w:val="single"/>
        </w:rPr>
      </w:pPr>
      <w:r w:rsidRPr="00DB1AEE">
        <w:rPr>
          <w:b/>
          <w:bCs/>
          <w:u w:val="single"/>
        </w:rPr>
        <w:t xml:space="preserve">C303.1.3 Fenestration product rating.  </w:t>
      </w:r>
      <w:r w:rsidRPr="00DB1AEE">
        <w:rPr>
          <w:u w:val="single"/>
        </w:rPr>
        <w:t xml:space="preserve">Fenestration product rating. U-factors, solar heat gain coefficient (SHGC), and visible transmittance (VT) of fenestration products shall be determined as follows: </w:t>
      </w:r>
    </w:p>
    <w:p w14:paraId="56DD7837" w14:textId="77777777" w:rsidR="00DB1AEE" w:rsidRPr="00DB1AEE" w:rsidRDefault="00DB1AEE" w:rsidP="00DB1AEE">
      <w:pPr>
        <w:widowControl w:val="0"/>
        <w:suppressAutoHyphens/>
        <w:autoSpaceDE w:val="0"/>
        <w:autoSpaceDN w:val="0"/>
        <w:adjustRightInd w:val="0"/>
        <w:spacing w:before="130" w:after="130"/>
        <w:ind w:left="1008" w:hanging="288"/>
        <w:rPr>
          <w:szCs w:val="24"/>
          <w:u w:val="single"/>
        </w:rPr>
      </w:pPr>
      <w:r w:rsidRPr="00DB1AEE">
        <w:rPr>
          <w:szCs w:val="24"/>
          <w:u w:val="single"/>
        </w:rPr>
        <w:t>1. For windows, doors and skylights, U-factor, SHGC and VT ratings shall be determined by a third party recognized by ANSI, ILAC or MiRa in accordance with NFRC 100 and NFRC 200.</w:t>
      </w:r>
    </w:p>
    <w:p w14:paraId="0959B06C" w14:textId="77777777" w:rsidR="00DB1AEE" w:rsidRPr="00DB1AEE" w:rsidRDefault="00DB1AEE" w:rsidP="00DB1AEE">
      <w:pPr>
        <w:widowControl w:val="0"/>
        <w:suppressAutoHyphens/>
        <w:autoSpaceDE w:val="0"/>
        <w:autoSpaceDN w:val="0"/>
        <w:adjustRightInd w:val="0"/>
        <w:spacing w:before="130" w:after="130"/>
        <w:ind w:left="1008" w:hanging="288"/>
        <w:rPr>
          <w:szCs w:val="24"/>
          <w:u w:val="single"/>
        </w:rPr>
      </w:pPr>
      <w:r w:rsidRPr="00DB1AEE">
        <w:rPr>
          <w:szCs w:val="24"/>
          <w:u w:val="single"/>
        </w:rPr>
        <w:t xml:space="preserve">2. Where required for garage doors and rolling doors, U-factor ratings shall be determined in accordance with either NFRC 100 or ANSI/DASMA 105. </w:t>
      </w:r>
    </w:p>
    <w:p w14:paraId="50D1DBED" w14:textId="77777777" w:rsidR="00DB1AEE" w:rsidRPr="00DB1AEE" w:rsidRDefault="00DB1AEE" w:rsidP="00DB1AEE">
      <w:pPr>
        <w:widowControl w:val="0"/>
        <w:suppressAutoHyphens/>
        <w:autoSpaceDE w:val="0"/>
        <w:autoSpaceDN w:val="0"/>
        <w:adjustRightInd w:val="0"/>
        <w:spacing w:before="130" w:after="130"/>
        <w:ind w:left="360"/>
        <w:rPr>
          <w:szCs w:val="24"/>
          <w:u w:val="single"/>
        </w:rPr>
      </w:pPr>
      <w:r w:rsidRPr="00DB1AEE">
        <w:rPr>
          <w:szCs w:val="24"/>
          <w:u w:val="single"/>
        </w:rPr>
        <w:t>U-factors, SHGC and VT shall be determined by accredited, independent laboratory, and certified by the manufacturer by a label affixed to the product or a label certificate specific to the products in the project.</w:t>
      </w:r>
    </w:p>
    <w:p w14:paraId="1DEEF1E2" w14:textId="77777777" w:rsidR="00DB1AEE" w:rsidRPr="00DB1AEE" w:rsidRDefault="00DB1AEE" w:rsidP="00DB1AEE">
      <w:pPr>
        <w:widowControl w:val="0"/>
        <w:suppressAutoHyphens/>
        <w:autoSpaceDE w:val="0"/>
        <w:autoSpaceDN w:val="0"/>
        <w:adjustRightInd w:val="0"/>
        <w:spacing w:before="130" w:after="130"/>
        <w:ind w:left="360"/>
        <w:rPr>
          <w:szCs w:val="24"/>
          <w:u w:val="single"/>
        </w:rPr>
      </w:pPr>
      <w:r w:rsidRPr="00DB1AEE">
        <w:rPr>
          <w:szCs w:val="24"/>
          <w:u w:val="single"/>
        </w:rPr>
        <w:t>Manufactured products or shop fabricated units lacking an affixed label shall be assigned a default U-factor from Table C303.1.3(1) or C303.1.3(2).. Products lacking  a label indicating SHGC or VT shall be assigned a default SHGC or VT from Table C303.1.3(3).</w:t>
      </w:r>
    </w:p>
    <w:p w14:paraId="72C23C52" w14:textId="77777777" w:rsidR="00DB1AEE" w:rsidRPr="00DB1AEE" w:rsidRDefault="00DB1AEE" w:rsidP="00DB1AEE">
      <w:pPr>
        <w:widowControl w:val="0"/>
        <w:suppressAutoHyphens/>
        <w:autoSpaceDE w:val="0"/>
        <w:autoSpaceDN w:val="0"/>
        <w:adjustRightInd w:val="0"/>
        <w:spacing w:before="130" w:after="130"/>
        <w:ind w:left="360"/>
        <w:rPr>
          <w:szCs w:val="24"/>
          <w:u w:val="single"/>
        </w:rPr>
      </w:pPr>
      <w:r w:rsidRPr="00DB1AEE">
        <w:rPr>
          <w:szCs w:val="24"/>
          <w:u w:val="single"/>
        </w:rPr>
        <w:t>Where labeled or default values are not indicated, a signed and dated certificate showing compliance through modeling performed using Lawrence Berkley National Labs WINDOW/THERM software at the sizes and Boundary conditions prescribed in NFRC -100/200 shall be provided. The simulation shall be performed by a third-party recognized by ANSI, ILAC, MiRa. For Tubular Daylighting Devices, VTannual shall be measured and rated in accordance with NFRC 203.</w:t>
      </w:r>
    </w:p>
    <w:p w14:paraId="20911219" w14:textId="77777777" w:rsidR="00DB1AEE" w:rsidRPr="00DB1AEE" w:rsidRDefault="00DB1AEE" w:rsidP="00DB1AEE">
      <w:pPr>
        <w:widowControl w:val="0"/>
        <w:suppressAutoHyphens/>
        <w:autoSpaceDE w:val="0"/>
        <w:autoSpaceDN w:val="0"/>
        <w:adjustRightInd w:val="0"/>
        <w:spacing w:before="130" w:after="130"/>
        <w:ind w:left="360"/>
        <w:rPr>
          <w:u w:val="single"/>
        </w:rPr>
      </w:pPr>
      <w:r w:rsidRPr="00DB1AEE">
        <w:rPr>
          <w:u w:val="single"/>
        </w:rPr>
        <w:t xml:space="preserve">Air infiltration rate shall be demonstrated by testing to ASTM E283, the test shall be conducted at an independent third-party laboratory recognized by ANSI, ILAC or MiRa, and shall be less than 5 years old     </w:t>
      </w:r>
    </w:p>
    <w:p w14:paraId="787009BE"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Section C303.1.5 Spandrel Panels.</w:t>
      </w:r>
    </w:p>
    <w:p w14:paraId="7D32B4DB" w14:textId="77777777" w:rsidR="00DB1AEE" w:rsidRPr="00DB1AEE" w:rsidRDefault="00DB1AEE" w:rsidP="00DB1AEE">
      <w:pPr>
        <w:widowControl w:val="0"/>
        <w:suppressAutoHyphens/>
        <w:autoSpaceDE w:val="0"/>
        <w:autoSpaceDN w:val="0"/>
        <w:adjustRightInd w:val="0"/>
        <w:spacing w:before="130" w:after="130"/>
        <w:rPr>
          <w:u w:val="single"/>
        </w:rPr>
      </w:pPr>
      <w:r w:rsidRPr="00DB1AEE">
        <w:rPr>
          <w:u w:val="single"/>
        </w:rPr>
        <w:t>Section C303.1.5 – Add new  Section C303.1.5 and Table C303.1.5 to read as follows:</w:t>
      </w:r>
    </w:p>
    <w:p w14:paraId="1D51390F" w14:textId="77777777" w:rsidR="00DB1AEE" w:rsidRPr="00DB1AEE" w:rsidRDefault="00DB1AEE" w:rsidP="00DB1AEE">
      <w:pPr>
        <w:widowControl w:val="0"/>
        <w:suppressAutoHyphens/>
        <w:autoSpaceDE w:val="0"/>
        <w:autoSpaceDN w:val="0"/>
        <w:adjustRightInd w:val="0"/>
        <w:spacing w:before="130" w:after="130"/>
        <w:ind w:left="360"/>
        <w:rPr>
          <w:b/>
          <w:bCs/>
          <w:szCs w:val="24"/>
          <w:u w:val="single"/>
        </w:rPr>
      </w:pPr>
      <w:r w:rsidRPr="00DB1AEE">
        <w:rPr>
          <w:b/>
          <w:bCs/>
          <w:szCs w:val="24"/>
          <w:u w:val="single"/>
        </w:rPr>
        <w:t xml:space="preserve">C303.1.5 Spandrel Panels. </w:t>
      </w:r>
      <w:r w:rsidRPr="00DB1AEE">
        <w:rPr>
          <w:szCs w:val="24"/>
          <w:u w:val="single"/>
        </w:rPr>
        <w:t>U-factors of opaque assemblies within fenestration framing systems shall be determined in accordance with NFRC 100. U-factors shall be determined by an accredited, independent laboratory. Spandrel panels lacking a calculation shall be assigned a default U-factor from Table C303.1.5.</w:t>
      </w:r>
    </w:p>
    <w:p w14:paraId="5006C5E5" w14:textId="77777777" w:rsidR="00DB1AEE" w:rsidRPr="00DB1AEE" w:rsidRDefault="00DB1AEE" w:rsidP="00DB1AEE">
      <w:pPr>
        <w:widowControl w:val="0"/>
        <w:suppressAutoHyphens/>
        <w:autoSpaceDE w:val="0"/>
        <w:autoSpaceDN w:val="0"/>
        <w:adjustRightInd w:val="0"/>
        <w:spacing w:before="130" w:after="130"/>
        <w:ind w:left="360"/>
        <w:jc w:val="center"/>
        <w:rPr>
          <w:b/>
          <w:bCs/>
          <w:szCs w:val="24"/>
          <w:u w:val="single"/>
        </w:rPr>
      </w:pPr>
      <w:r w:rsidRPr="00DB1AEE">
        <w:rPr>
          <w:b/>
          <w:bCs/>
          <w:szCs w:val="24"/>
          <w:u w:val="single"/>
        </w:rPr>
        <w:t>TABLE C303.1.5</w:t>
      </w:r>
    </w:p>
    <w:p w14:paraId="2EE2CD0A" w14:textId="77777777" w:rsidR="00DB1AEE" w:rsidRPr="00DB1AEE" w:rsidRDefault="00DB1AEE" w:rsidP="00DB1AEE">
      <w:pPr>
        <w:widowControl w:val="0"/>
        <w:suppressAutoHyphens/>
        <w:autoSpaceDE w:val="0"/>
        <w:autoSpaceDN w:val="0"/>
        <w:adjustRightInd w:val="0"/>
        <w:spacing w:before="130" w:after="130"/>
        <w:ind w:left="360"/>
        <w:jc w:val="center"/>
        <w:rPr>
          <w:b/>
          <w:bCs/>
          <w:szCs w:val="24"/>
          <w:u w:val="single"/>
        </w:rPr>
      </w:pPr>
      <w:r w:rsidRPr="00DB1AEE">
        <w:rPr>
          <w:b/>
          <w:bCs/>
          <w:szCs w:val="24"/>
          <w:u w:val="single"/>
        </w:rPr>
        <w:t>DEFAULT EFFECTIVE U-FACTORS FOR SPANDREL PANELS</w:t>
      </w:r>
      <w:r w:rsidRPr="00DB1AEE">
        <w:rPr>
          <w:b/>
          <w:bCs/>
          <w:szCs w:val="24"/>
          <w:u w:val="single"/>
          <w:vertAlign w:val="superscript"/>
        </w:rPr>
        <w:t>a</w:t>
      </w:r>
    </w:p>
    <w:tbl>
      <w:tblPr>
        <w:tblW w:w="106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345"/>
        <w:gridCol w:w="2070"/>
        <w:gridCol w:w="900"/>
        <w:gridCol w:w="900"/>
        <w:gridCol w:w="900"/>
        <w:gridCol w:w="900"/>
        <w:gridCol w:w="900"/>
        <w:gridCol w:w="900"/>
        <w:gridCol w:w="900"/>
        <w:gridCol w:w="900"/>
      </w:tblGrid>
      <w:tr w:rsidR="00DB1AEE" w:rsidRPr="00DB1AEE" w14:paraId="6F65EE82" w14:textId="77777777" w:rsidTr="00FC1832">
        <w:trPr>
          <w:trHeight w:val="449"/>
          <w:jc w:val="center"/>
        </w:trPr>
        <w:tc>
          <w:tcPr>
            <w:tcW w:w="3415" w:type="dxa"/>
            <w:gridSpan w:val="2"/>
            <w:vAlign w:val="center"/>
          </w:tcPr>
          <w:p w14:paraId="4DE0D338" w14:textId="77777777" w:rsidR="00DB1AEE" w:rsidRPr="00DB1AEE" w:rsidRDefault="00DB1AEE" w:rsidP="00DB1AEE">
            <w:pPr>
              <w:suppressAutoHyphens/>
              <w:jc w:val="left"/>
              <w:rPr>
                <w:b/>
                <w:sz w:val="18"/>
                <w:szCs w:val="18"/>
                <w:u w:val="single"/>
              </w:rPr>
            </w:pPr>
            <w:r w:rsidRPr="00DB1AEE">
              <w:rPr>
                <w:b/>
                <w:sz w:val="18"/>
                <w:szCs w:val="18"/>
                <w:u w:val="single"/>
              </w:rPr>
              <w:t xml:space="preserve">RATED </w:t>
            </w:r>
            <w:r w:rsidRPr="00DB1AEE">
              <w:rPr>
                <w:b/>
                <w:i/>
                <w:sz w:val="18"/>
                <w:szCs w:val="18"/>
                <w:u w:val="single"/>
              </w:rPr>
              <w:t>R</w:t>
            </w:r>
            <w:r w:rsidRPr="00DB1AEE">
              <w:rPr>
                <w:b/>
                <w:sz w:val="18"/>
                <w:szCs w:val="18"/>
                <w:u w:val="single"/>
              </w:rPr>
              <w:t>-VALUE OF INSULATION BETWEEN FRAMING MEMBERS</w:t>
            </w:r>
          </w:p>
        </w:tc>
        <w:tc>
          <w:tcPr>
            <w:tcW w:w="900" w:type="dxa"/>
          </w:tcPr>
          <w:p w14:paraId="4513FC56" w14:textId="77777777" w:rsidR="00DB1AEE" w:rsidRPr="00DB1AEE" w:rsidRDefault="00DB1AEE" w:rsidP="00DB1AEE">
            <w:pPr>
              <w:suppressAutoHyphens/>
              <w:jc w:val="left"/>
              <w:rPr>
                <w:b/>
                <w:sz w:val="18"/>
                <w:szCs w:val="18"/>
                <w:u w:val="single"/>
              </w:rPr>
            </w:pPr>
            <w:r w:rsidRPr="00DB1AEE">
              <w:rPr>
                <w:b/>
                <w:sz w:val="18"/>
                <w:szCs w:val="18"/>
                <w:u w:val="single"/>
              </w:rPr>
              <w:t>None</w:t>
            </w:r>
          </w:p>
        </w:tc>
        <w:tc>
          <w:tcPr>
            <w:tcW w:w="900" w:type="dxa"/>
            <w:vAlign w:val="center"/>
          </w:tcPr>
          <w:p w14:paraId="2AC445C9" w14:textId="77777777" w:rsidR="00DB1AEE" w:rsidRPr="00DB1AEE" w:rsidRDefault="00DB1AEE" w:rsidP="00DB1AEE">
            <w:pPr>
              <w:suppressAutoHyphens/>
              <w:jc w:val="left"/>
              <w:rPr>
                <w:b/>
                <w:sz w:val="18"/>
                <w:szCs w:val="18"/>
                <w:u w:val="single"/>
              </w:rPr>
            </w:pPr>
            <w:r w:rsidRPr="00DB1AEE">
              <w:rPr>
                <w:b/>
                <w:sz w:val="18"/>
                <w:szCs w:val="18"/>
                <w:u w:val="single"/>
              </w:rPr>
              <w:t>R-4</w:t>
            </w:r>
          </w:p>
        </w:tc>
        <w:tc>
          <w:tcPr>
            <w:tcW w:w="900" w:type="dxa"/>
            <w:vAlign w:val="center"/>
          </w:tcPr>
          <w:p w14:paraId="46B601FE" w14:textId="77777777" w:rsidR="00DB1AEE" w:rsidRPr="00DB1AEE" w:rsidRDefault="00DB1AEE" w:rsidP="00DB1AEE">
            <w:pPr>
              <w:suppressAutoHyphens/>
              <w:jc w:val="left"/>
              <w:rPr>
                <w:b/>
                <w:sz w:val="18"/>
                <w:szCs w:val="18"/>
                <w:u w:val="single"/>
              </w:rPr>
            </w:pPr>
            <w:r w:rsidRPr="00DB1AEE">
              <w:rPr>
                <w:b/>
                <w:sz w:val="18"/>
                <w:szCs w:val="18"/>
                <w:u w:val="single"/>
              </w:rPr>
              <w:t>R-7</w:t>
            </w:r>
          </w:p>
        </w:tc>
        <w:tc>
          <w:tcPr>
            <w:tcW w:w="900" w:type="dxa"/>
            <w:vAlign w:val="center"/>
          </w:tcPr>
          <w:p w14:paraId="4F773C2C" w14:textId="77777777" w:rsidR="00DB1AEE" w:rsidRPr="00DB1AEE" w:rsidRDefault="00DB1AEE" w:rsidP="00DB1AEE">
            <w:pPr>
              <w:suppressAutoHyphens/>
              <w:jc w:val="left"/>
              <w:rPr>
                <w:b/>
                <w:sz w:val="18"/>
                <w:szCs w:val="18"/>
                <w:u w:val="single"/>
              </w:rPr>
            </w:pPr>
            <w:r w:rsidRPr="00DB1AEE">
              <w:rPr>
                <w:b/>
                <w:sz w:val="18"/>
                <w:szCs w:val="18"/>
                <w:u w:val="single"/>
              </w:rPr>
              <w:t>R-10</w:t>
            </w:r>
          </w:p>
        </w:tc>
        <w:tc>
          <w:tcPr>
            <w:tcW w:w="900" w:type="dxa"/>
            <w:vAlign w:val="center"/>
          </w:tcPr>
          <w:p w14:paraId="2C4C4817" w14:textId="77777777" w:rsidR="00DB1AEE" w:rsidRPr="00DB1AEE" w:rsidRDefault="00DB1AEE" w:rsidP="00DB1AEE">
            <w:pPr>
              <w:suppressAutoHyphens/>
              <w:jc w:val="left"/>
              <w:rPr>
                <w:b/>
                <w:sz w:val="18"/>
                <w:szCs w:val="18"/>
                <w:u w:val="single"/>
              </w:rPr>
            </w:pPr>
            <w:r w:rsidRPr="00DB1AEE">
              <w:rPr>
                <w:b/>
                <w:sz w:val="18"/>
                <w:szCs w:val="18"/>
                <w:u w:val="single"/>
              </w:rPr>
              <w:t>R-15</w:t>
            </w:r>
          </w:p>
        </w:tc>
        <w:tc>
          <w:tcPr>
            <w:tcW w:w="900" w:type="dxa"/>
            <w:vAlign w:val="center"/>
          </w:tcPr>
          <w:p w14:paraId="0576679C" w14:textId="77777777" w:rsidR="00DB1AEE" w:rsidRPr="00DB1AEE" w:rsidRDefault="00DB1AEE" w:rsidP="00DB1AEE">
            <w:pPr>
              <w:suppressAutoHyphens/>
              <w:jc w:val="left"/>
              <w:rPr>
                <w:b/>
                <w:sz w:val="18"/>
                <w:szCs w:val="18"/>
                <w:u w:val="single"/>
              </w:rPr>
            </w:pPr>
            <w:r w:rsidRPr="00DB1AEE">
              <w:rPr>
                <w:b/>
                <w:sz w:val="18"/>
                <w:szCs w:val="18"/>
                <w:u w:val="single"/>
              </w:rPr>
              <w:t>R-20</w:t>
            </w:r>
          </w:p>
        </w:tc>
        <w:tc>
          <w:tcPr>
            <w:tcW w:w="900" w:type="dxa"/>
            <w:vAlign w:val="center"/>
          </w:tcPr>
          <w:p w14:paraId="2A718990" w14:textId="77777777" w:rsidR="00DB1AEE" w:rsidRPr="00DB1AEE" w:rsidRDefault="00DB1AEE" w:rsidP="00DB1AEE">
            <w:pPr>
              <w:suppressAutoHyphens/>
              <w:jc w:val="left"/>
              <w:rPr>
                <w:b/>
                <w:sz w:val="18"/>
                <w:szCs w:val="18"/>
                <w:u w:val="single"/>
              </w:rPr>
            </w:pPr>
            <w:r w:rsidRPr="00DB1AEE">
              <w:rPr>
                <w:b/>
                <w:sz w:val="18"/>
                <w:szCs w:val="18"/>
                <w:u w:val="single"/>
              </w:rPr>
              <w:t>R-25</w:t>
            </w:r>
          </w:p>
        </w:tc>
        <w:tc>
          <w:tcPr>
            <w:tcW w:w="900" w:type="dxa"/>
            <w:vAlign w:val="center"/>
          </w:tcPr>
          <w:p w14:paraId="60B73480" w14:textId="77777777" w:rsidR="00DB1AEE" w:rsidRPr="00DB1AEE" w:rsidRDefault="00DB1AEE" w:rsidP="00DB1AEE">
            <w:pPr>
              <w:suppressAutoHyphens/>
              <w:jc w:val="left"/>
              <w:rPr>
                <w:b/>
                <w:sz w:val="18"/>
                <w:szCs w:val="18"/>
                <w:u w:val="single"/>
              </w:rPr>
            </w:pPr>
            <w:r w:rsidRPr="00DB1AEE">
              <w:rPr>
                <w:b/>
                <w:sz w:val="18"/>
                <w:szCs w:val="18"/>
                <w:u w:val="single"/>
              </w:rPr>
              <w:t>R-30</w:t>
            </w:r>
          </w:p>
        </w:tc>
      </w:tr>
      <w:tr w:rsidR="00DB1AEE" w:rsidRPr="00DB1AEE" w14:paraId="21801252" w14:textId="77777777" w:rsidTr="00FC1832">
        <w:trPr>
          <w:jc w:val="center"/>
        </w:trPr>
        <w:tc>
          <w:tcPr>
            <w:tcW w:w="1345" w:type="dxa"/>
            <w:vAlign w:val="center"/>
          </w:tcPr>
          <w:p w14:paraId="347BF387" w14:textId="77777777" w:rsidR="00DB1AEE" w:rsidRPr="00DB1AEE" w:rsidRDefault="00DB1AEE" w:rsidP="00DB1AEE">
            <w:pPr>
              <w:keepNext/>
              <w:suppressAutoHyphens/>
              <w:jc w:val="center"/>
              <w:outlineLvl w:val="0"/>
              <w:rPr>
                <w:sz w:val="18"/>
                <w:szCs w:val="18"/>
                <w:u w:val="single"/>
              </w:rPr>
            </w:pPr>
            <w:r w:rsidRPr="00DB1AEE">
              <w:rPr>
                <w:sz w:val="18"/>
                <w:szCs w:val="18"/>
                <w:u w:val="single"/>
              </w:rPr>
              <w:t>Frame Type</w:t>
            </w:r>
          </w:p>
        </w:tc>
        <w:tc>
          <w:tcPr>
            <w:tcW w:w="2070" w:type="dxa"/>
            <w:vAlign w:val="center"/>
          </w:tcPr>
          <w:p w14:paraId="123A5717" w14:textId="77777777" w:rsidR="00DB1AEE" w:rsidRPr="00DB1AEE" w:rsidRDefault="00DB1AEE" w:rsidP="00DB1AEE">
            <w:pPr>
              <w:suppressAutoHyphens/>
              <w:jc w:val="center"/>
              <w:rPr>
                <w:b/>
                <w:sz w:val="18"/>
                <w:szCs w:val="18"/>
                <w:u w:val="single"/>
              </w:rPr>
            </w:pPr>
            <w:r w:rsidRPr="00DB1AEE">
              <w:rPr>
                <w:b/>
                <w:sz w:val="18"/>
                <w:szCs w:val="18"/>
                <w:u w:val="single"/>
              </w:rPr>
              <w:t>Spandrel Panel</w:t>
            </w:r>
          </w:p>
        </w:tc>
        <w:tc>
          <w:tcPr>
            <w:tcW w:w="7200" w:type="dxa"/>
            <w:gridSpan w:val="8"/>
          </w:tcPr>
          <w:p w14:paraId="632BC70C" w14:textId="77777777" w:rsidR="00DB1AEE" w:rsidRPr="00DB1AEE" w:rsidRDefault="00DB1AEE" w:rsidP="00DB1AEE">
            <w:pPr>
              <w:suppressAutoHyphens/>
              <w:jc w:val="center"/>
              <w:rPr>
                <w:b/>
                <w:bCs/>
                <w:sz w:val="18"/>
                <w:szCs w:val="18"/>
                <w:u w:val="single"/>
              </w:rPr>
            </w:pPr>
            <w:r w:rsidRPr="00DB1AEE">
              <w:rPr>
                <w:b/>
                <w:bCs/>
                <w:sz w:val="18"/>
                <w:szCs w:val="18"/>
                <w:u w:val="single"/>
              </w:rPr>
              <w:t xml:space="preserve">Default </w:t>
            </w:r>
            <w:r w:rsidRPr="00DB1AEE">
              <w:rPr>
                <w:b/>
                <w:bCs/>
                <w:i/>
                <w:iCs/>
                <w:sz w:val="18"/>
                <w:szCs w:val="18"/>
                <w:u w:val="single"/>
              </w:rPr>
              <w:t>U</w:t>
            </w:r>
            <w:r w:rsidRPr="00DB1AEE">
              <w:rPr>
                <w:b/>
                <w:bCs/>
                <w:sz w:val="18"/>
                <w:szCs w:val="18"/>
                <w:u w:val="single"/>
              </w:rPr>
              <w:t>-factor</w:t>
            </w:r>
          </w:p>
        </w:tc>
      </w:tr>
      <w:tr w:rsidR="00DB1AEE" w:rsidRPr="00DB1AEE" w14:paraId="4A045860" w14:textId="77777777" w:rsidTr="00FC1832">
        <w:trPr>
          <w:jc w:val="center"/>
        </w:trPr>
        <w:tc>
          <w:tcPr>
            <w:tcW w:w="1345" w:type="dxa"/>
            <w:vMerge w:val="restart"/>
            <w:vAlign w:val="center"/>
          </w:tcPr>
          <w:p w14:paraId="494B8A09" w14:textId="77777777" w:rsidR="00DB1AEE" w:rsidRPr="00DB1AEE" w:rsidRDefault="00DB1AEE" w:rsidP="00DB1AEE">
            <w:pPr>
              <w:suppressAutoHyphens/>
              <w:jc w:val="left"/>
              <w:rPr>
                <w:sz w:val="18"/>
                <w:szCs w:val="18"/>
                <w:u w:val="single"/>
              </w:rPr>
            </w:pPr>
            <w:r w:rsidRPr="00DB1AEE">
              <w:rPr>
                <w:sz w:val="18"/>
                <w:szCs w:val="18"/>
                <w:u w:val="single"/>
              </w:rPr>
              <w:t>Aluminum without thermal break</w:t>
            </w:r>
            <w:r w:rsidRPr="00DB1AEE">
              <w:rPr>
                <w:sz w:val="18"/>
                <w:szCs w:val="18"/>
                <w:u w:val="single"/>
                <w:vertAlign w:val="superscript"/>
              </w:rPr>
              <w:t>b</w:t>
            </w:r>
          </w:p>
        </w:tc>
        <w:tc>
          <w:tcPr>
            <w:tcW w:w="2070" w:type="dxa"/>
            <w:vAlign w:val="center"/>
          </w:tcPr>
          <w:p w14:paraId="71FB6896" w14:textId="77777777" w:rsidR="00DB1AEE" w:rsidRPr="00DB1AEE" w:rsidRDefault="00DB1AEE" w:rsidP="00DB1AEE">
            <w:pPr>
              <w:suppressAutoHyphens/>
              <w:jc w:val="left"/>
              <w:rPr>
                <w:sz w:val="18"/>
                <w:szCs w:val="18"/>
                <w:u w:val="single"/>
              </w:rPr>
            </w:pPr>
            <w:r w:rsidRPr="00DB1AEE">
              <w:rPr>
                <w:sz w:val="18"/>
                <w:szCs w:val="18"/>
                <w:u w:val="single"/>
              </w:rPr>
              <w:t>Single glass pane, stone, or metal panel</w:t>
            </w:r>
          </w:p>
        </w:tc>
        <w:tc>
          <w:tcPr>
            <w:tcW w:w="900" w:type="dxa"/>
            <w:vAlign w:val="center"/>
          </w:tcPr>
          <w:p w14:paraId="54E84338" w14:textId="77777777" w:rsidR="00DB1AEE" w:rsidRPr="00DB1AEE" w:rsidRDefault="00DB1AEE" w:rsidP="00DB1AEE">
            <w:pPr>
              <w:suppressAutoHyphens/>
              <w:jc w:val="center"/>
              <w:rPr>
                <w:sz w:val="18"/>
                <w:szCs w:val="18"/>
                <w:u w:val="single"/>
              </w:rPr>
            </w:pPr>
            <w:r w:rsidRPr="00DB1AEE">
              <w:rPr>
                <w:sz w:val="18"/>
                <w:szCs w:val="18"/>
                <w:u w:val="single"/>
              </w:rPr>
              <w:t>U-0.445</w:t>
            </w:r>
          </w:p>
        </w:tc>
        <w:tc>
          <w:tcPr>
            <w:tcW w:w="900" w:type="dxa"/>
            <w:vAlign w:val="center"/>
          </w:tcPr>
          <w:p w14:paraId="6D679794" w14:textId="77777777" w:rsidR="00DB1AEE" w:rsidRPr="00DB1AEE" w:rsidRDefault="00DB1AEE" w:rsidP="00DB1AEE">
            <w:pPr>
              <w:keepNext/>
              <w:tabs>
                <w:tab w:val="num" w:pos="720"/>
              </w:tabs>
              <w:suppressAutoHyphens/>
              <w:ind w:left="720" w:hanging="720"/>
              <w:jc w:val="center"/>
              <w:outlineLvl w:val="4"/>
              <w:rPr>
                <w:b/>
                <w:caps/>
                <w:sz w:val="18"/>
                <w:szCs w:val="18"/>
                <w:u w:val="single"/>
              </w:rPr>
            </w:pPr>
            <w:r w:rsidRPr="00DB1AEE">
              <w:rPr>
                <w:b/>
                <w:caps/>
                <w:sz w:val="18"/>
                <w:szCs w:val="18"/>
                <w:u w:val="single"/>
              </w:rPr>
              <w:t>U-0.285</w:t>
            </w:r>
          </w:p>
        </w:tc>
        <w:tc>
          <w:tcPr>
            <w:tcW w:w="900" w:type="dxa"/>
            <w:vAlign w:val="center"/>
          </w:tcPr>
          <w:p w14:paraId="3A2EF99C" w14:textId="77777777" w:rsidR="00DB1AEE" w:rsidRPr="00DB1AEE" w:rsidRDefault="00DB1AEE" w:rsidP="00DB1AEE">
            <w:pPr>
              <w:suppressAutoHyphens/>
              <w:jc w:val="center"/>
              <w:rPr>
                <w:sz w:val="18"/>
                <w:szCs w:val="18"/>
                <w:u w:val="single"/>
              </w:rPr>
            </w:pPr>
            <w:r w:rsidRPr="00DB1AEE">
              <w:rPr>
                <w:sz w:val="18"/>
                <w:szCs w:val="18"/>
                <w:u w:val="single"/>
              </w:rPr>
              <w:t>U-0.259</w:t>
            </w:r>
          </w:p>
        </w:tc>
        <w:tc>
          <w:tcPr>
            <w:tcW w:w="900" w:type="dxa"/>
            <w:vAlign w:val="center"/>
          </w:tcPr>
          <w:p w14:paraId="372A9E6E" w14:textId="77777777" w:rsidR="00DB1AEE" w:rsidRPr="00DB1AEE" w:rsidRDefault="00DB1AEE" w:rsidP="00DB1AEE">
            <w:pPr>
              <w:suppressAutoHyphens/>
              <w:jc w:val="center"/>
              <w:rPr>
                <w:sz w:val="18"/>
                <w:szCs w:val="18"/>
                <w:u w:val="single"/>
              </w:rPr>
            </w:pPr>
            <w:r w:rsidRPr="00DB1AEE">
              <w:rPr>
                <w:sz w:val="18"/>
                <w:szCs w:val="18"/>
                <w:u w:val="single"/>
              </w:rPr>
              <w:t>U-0.247</w:t>
            </w:r>
          </w:p>
        </w:tc>
        <w:tc>
          <w:tcPr>
            <w:tcW w:w="900" w:type="dxa"/>
            <w:vAlign w:val="center"/>
          </w:tcPr>
          <w:p w14:paraId="790CA3BF" w14:textId="77777777" w:rsidR="00DB1AEE" w:rsidRPr="00DB1AEE" w:rsidRDefault="00DB1AEE" w:rsidP="00DB1AEE">
            <w:pPr>
              <w:keepNext/>
              <w:tabs>
                <w:tab w:val="num" w:pos="720"/>
              </w:tabs>
              <w:suppressAutoHyphens/>
              <w:ind w:left="720" w:hanging="720"/>
              <w:jc w:val="center"/>
              <w:outlineLvl w:val="4"/>
              <w:rPr>
                <w:b/>
                <w:caps/>
                <w:sz w:val="18"/>
                <w:szCs w:val="18"/>
                <w:u w:val="single"/>
              </w:rPr>
            </w:pPr>
            <w:r w:rsidRPr="00DB1AEE">
              <w:rPr>
                <w:b/>
                <w:caps/>
                <w:sz w:val="18"/>
                <w:szCs w:val="18"/>
                <w:u w:val="single"/>
              </w:rPr>
              <w:t>U-0.236</w:t>
            </w:r>
          </w:p>
        </w:tc>
        <w:tc>
          <w:tcPr>
            <w:tcW w:w="900" w:type="dxa"/>
            <w:vAlign w:val="center"/>
          </w:tcPr>
          <w:p w14:paraId="74F2C2A8" w14:textId="77777777" w:rsidR="00DB1AEE" w:rsidRPr="00DB1AEE" w:rsidRDefault="00DB1AEE" w:rsidP="00DB1AEE">
            <w:pPr>
              <w:suppressAutoHyphens/>
              <w:jc w:val="center"/>
              <w:rPr>
                <w:sz w:val="18"/>
                <w:szCs w:val="18"/>
                <w:u w:val="single"/>
              </w:rPr>
            </w:pPr>
            <w:r w:rsidRPr="00DB1AEE">
              <w:rPr>
                <w:sz w:val="18"/>
                <w:szCs w:val="18"/>
                <w:u w:val="single"/>
              </w:rPr>
              <w:t>U-0.230</w:t>
            </w:r>
          </w:p>
        </w:tc>
        <w:tc>
          <w:tcPr>
            <w:tcW w:w="900" w:type="dxa"/>
            <w:vAlign w:val="center"/>
          </w:tcPr>
          <w:p w14:paraId="20229301" w14:textId="77777777" w:rsidR="00DB1AEE" w:rsidRPr="00DB1AEE" w:rsidRDefault="00DB1AEE" w:rsidP="00DB1AEE">
            <w:pPr>
              <w:suppressAutoHyphens/>
              <w:jc w:val="center"/>
              <w:rPr>
                <w:sz w:val="18"/>
                <w:szCs w:val="18"/>
                <w:u w:val="single"/>
              </w:rPr>
            </w:pPr>
            <w:r w:rsidRPr="00DB1AEE">
              <w:rPr>
                <w:sz w:val="18"/>
                <w:szCs w:val="18"/>
                <w:u w:val="single"/>
              </w:rPr>
              <w:t>U-0.226</w:t>
            </w:r>
          </w:p>
        </w:tc>
        <w:tc>
          <w:tcPr>
            <w:tcW w:w="900" w:type="dxa"/>
            <w:vAlign w:val="center"/>
          </w:tcPr>
          <w:p w14:paraId="696E5D76" w14:textId="77777777" w:rsidR="00DB1AEE" w:rsidRPr="00DB1AEE" w:rsidRDefault="00DB1AEE" w:rsidP="00DB1AEE">
            <w:pPr>
              <w:suppressAutoHyphens/>
              <w:jc w:val="center"/>
              <w:rPr>
                <w:sz w:val="18"/>
                <w:szCs w:val="18"/>
                <w:u w:val="single"/>
              </w:rPr>
            </w:pPr>
            <w:r w:rsidRPr="00DB1AEE">
              <w:rPr>
                <w:sz w:val="18"/>
                <w:szCs w:val="18"/>
                <w:u w:val="single"/>
              </w:rPr>
              <w:t>U-0.224</w:t>
            </w:r>
          </w:p>
        </w:tc>
      </w:tr>
      <w:tr w:rsidR="00DB1AEE" w:rsidRPr="00DB1AEE" w14:paraId="5C90DCFB" w14:textId="77777777" w:rsidTr="00FC1832">
        <w:trPr>
          <w:jc w:val="center"/>
        </w:trPr>
        <w:tc>
          <w:tcPr>
            <w:tcW w:w="1345" w:type="dxa"/>
            <w:vMerge/>
            <w:vAlign w:val="center"/>
          </w:tcPr>
          <w:p w14:paraId="23BF32EB" w14:textId="77777777" w:rsidR="00DB1AEE" w:rsidRPr="00DB1AEE" w:rsidRDefault="00DB1AEE" w:rsidP="00DB1AEE">
            <w:pPr>
              <w:pBdr>
                <w:top w:val="nil"/>
                <w:left w:val="nil"/>
                <w:bottom w:val="nil"/>
                <w:right w:val="nil"/>
                <w:between w:val="nil"/>
              </w:pBdr>
              <w:suppressAutoHyphens/>
              <w:jc w:val="left"/>
              <w:rPr>
                <w:sz w:val="18"/>
                <w:szCs w:val="18"/>
                <w:u w:val="single"/>
              </w:rPr>
            </w:pPr>
          </w:p>
        </w:tc>
        <w:tc>
          <w:tcPr>
            <w:tcW w:w="2070" w:type="dxa"/>
            <w:vAlign w:val="center"/>
          </w:tcPr>
          <w:p w14:paraId="79112541" w14:textId="77777777" w:rsidR="00DB1AEE" w:rsidRPr="00DB1AEE" w:rsidRDefault="00DB1AEE" w:rsidP="00DB1AEE">
            <w:pPr>
              <w:suppressAutoHyphens/>
              <w:jc w:val="left"/>
              <w:rPr>
                <w:sz w:val="18"/>
                <w:szCs w:val="18"/>
                <w:u w:val="single"/>
              </w:rPr>
            </w:pPr>
            <w:r w:rsidRPr="00DB1AEE">
              <w:rPr>
                <w:sz w:val="18"/>
                <w:szCs w:val="18"/>
                <w:u w:val="single"/>
              </w:rPr>
              <w:t>Double glazing with no low-e coatings</w:t>
            </w:r>
          </w:p>
        </w:tc>
        <w:tc>
          <w:tcPr>
            <w:tcW w:w="900" w:type="dxa"/>
            <w:vAlign w:val="center"/>
          </w:tcPr>
          <w:p w14:paraId="21CF1E2F" w14:textId="77777777" w:rsidR="00DB1AEE" w:rsidRPr="00DB1AEE" w:rsidRDefault="00DB1AEE" w:rsidP="00DB1AEE">
            <w:pPr>
              <w:tabs>
                <w:tab w:val="num" w:pos="720"/>
              </w:tabs>
              <w:suppressAutoHyphens/>
              <w:ind w:left="720" w:hanging="720"/>
              <w:jc w:val="center"/>
              <w:outlineLvl w:val="5"/>
              <w:rPr>
                <w:b/>
                <w:caps/>
                <w:sz w:val="18"/>
                <w:szCs w:val="18"/>
                <w:u w:val="single"/>
              </w:rPr>
            </w:pPr>
            <w:r w:rsidRPr="00DB1AEE">
              <w:rPr>
                <w:b/>
                <w:caps/>
                <w:sz w:val="18"/>
                <w:szCs w:val="18"/>
                <w:u w:val="single"/>
              </w:rPr>
              <w:t>U-0.356</w:t>
            </w:r>
          </w:p>
        </w:tc>
        <w:tc>
          <w:tcPr>
            <w:tcW w:w="900" w:type="dxa"/>
            <w:vAlign w:val="center"/>
          </w:tcPr>
          <w:p w14:paraId="21C5B663" w14:textId="77777777" w:rsidR="00DB1AEE" w:rsidRPr="00DB1AEE" w:rsidRDefault="00DB1AEE" w:rsidP="00DB1AEE">
            <w:pPr>
              <w:suppressAutoHyphens/>
              <w:jc w:val="center"/>
              <w:rPr>
                <w:sz w:val="18"/>
                <w:szCs w:val="18"/>
                <w:u w:val="single"/>
              </w:rPr>
            </w:pPr>
            <w:r w:rsidRPr="00DB1AEE">
              <w:rPr>
                <w:sz w:val="18"/>
                <w:szCs w:val="18"/>
                <w:u w:val="single"/>
              </w:rPr>
              <w:t>U-0.273</w:t>
            </w:r>
          </w:p>
          <w:p w14:paraId="38F2A81E" w14:textId="77777777" w:rsidR="00DB1AEE" w:rsidRPr="00DB1AEE" w:rsidRDefault="00DB1AEE" w:rsidP="00DB1AEE">
            <w:pPr>
              <w:suppressAutoHyphens/>
              <w:jc w:val="center"/>
              <w:rPr>
                <w:sz w:val="18"/>
                <w:szCs w:val="18"/>
                <w:u w:val="single"/>
              </w:rPr>
            </w:pPr>
          </w:p>
        </w:tc>
        <w:tc>
          <w:tcPr>
            <w:tcW w:w="900" w:type="dxa"/>
            <w:vAlign w:val="center"/>
          </w:tcPr>
          <w:p w14:paraId="50284A8F" w14:textId="77777777" w:rsidR="00DB1AEE" w:rsidRPr="00DB1AEE" w:rsidRDefault="00DB1AEE" w:rsidP="00DB1AEE">
            <w:pPr>
              <w:suppressAutoHyphens/>
              <w:jc w:val="center"/>
              <w:rPr>
                <w:sz w:val="18"/>
                <w:szCs w:val="18"/>
                <w:u w:val="single"/>
              </w:rPr>
            </w:pPr>
            <w:r w:rsidRPr="00DB1AEE">
              <w:rPr>
                <w:sz w:val="18"/>
                <w:szCs w:val="18"/>
                <w:u w:val="single"/>
              </w:rPr>
              <w:t>U-0.254</w:t>
            </w:r>
          </w:p>
        </w:tc>
        <w:tc>
          <w:tcPr>
            <w:tcW w:w="900" w:type="dxa"/>
            <w:vAlign w:val="center"/>
          </w:tcPr>
          <w:p w14:paraId="34C12A9D" w14:textId="77777777" w:rsidR="00DB1AEE" w:rsidRPr="00DB1AEE" w:rsidRDefault="00DB1AEE" w:rsidP="00DB1AEE">
            <w:pPr>
              <w:suppressAutoHyphens/>
              <w:jc w:val="center"/>
              <w:rPr>
                <w:sz w:val="18"/>
                <w:szCs w:val="18"/>
                <w:u w:val="single"/>
              </w:rPr>
            </w:pPr>
            <w:r w:rsidRPr="00DB1AEE">
              <w:rPr>
                <w:sz w:val="18"/>
                <w:szCs w:val="18"/>
                <w:u w:val="single"/>
              </w:rPr>
              <w:t>U-0.244</w:t>
            </w:r>
          </w:p>
        </w:tc>
        <w:tc>
          <w:tcPr>
            <w:tcW w:w="900" w:type="dxa"/>
            <w:vAlign w:val="center"/>
          </w:tcPr>
          <w:p w14:paraId="718C9AA1" w14:textId="77777777" w:rsidR="00DB1AEE" w:rsidRPr="00DB1AEE" w:rsidRDefault="00DB1AEE" w:rsidP="00DB1AEE">
            <w:pPr>
              <w:suppressAutoHyphens/>
              <w:jc w:val="center"/>
              <w:rPr>
                <w:sz w:val="18"/>
                <w:szCs w:val="18"/>
                <w:u w:val="single"/>
              </w:rPr>
            </w:pPr>
            <w:r w:rsidRPr="00DB1AEE">
              <w:rPr>
                <w:sz w:val="18"/>
                <w:szCs w:val="18"/>
                <w:u w:val="single"/>
              </w:rPr>
              <w:t>U-0.234</w:t>
            </w:r>
          </w:p>
        </w:tc>
        <w:tc>
          <w:tcPr>
            <w:tcW w:w="900" w:type="dxa"/>
            <w:vAlign w:val="center"/>
          </w:tcPr>
          <w:p w14:paraId="3A150B46" w14:textId="77777777" w:rsidR="00DB1AEE" w:rsidRPr="00DB1AEE" w:rsidRDefault="00DB1AEE" w:rsidP="00DB1AEE">
            <w:pPr>
              <w:suppressAutoHyphens/>
              <w:jc w:val="center"/>
              <w:rPr>
                <w:sz w:val="18"/>
                <w:szCs w:val="18"/>
                <w:u w:val="single"/>
              </w:rPr>
            </w:pPr>
            <w:r w:rsidRPr="00DB1AEE">
              <w:rPr>
                <w:sz w:val="18"/>
                <w:szCs w:val="18"/>
                <w:u w:val="single"/>
              </w:rPr>
              <w:t>U-0.229</w:t>
            </w:r>
          </w:p>
        </w:tc>
        <w:tc>
          <w:tcPr>
            <w:tcW w:w="900" w:type="dxa"/>
            <w:vAlign w:val="center"/>
          </w:tcPr>
          <w:p w14:paraId="545E4EC6" w14:textId="77777777" w:rsidR="00DB1AEE" w:rsidRPr="00DB1AEE" w:rsidRDefault="00DB1AEE" w:rsidP="00DB1AEE">
            <w:pPr>
              <w:suppressAutoHyphens/>
              <w:jc w:val="center"/>
              <w:rPr>
                <w:sz w:val="18"/>
                <w:szCs w:val="18"/>
                <w:u w:val="single"/>
              </w:rPr>
            </w:pPr>
            <w:r w:rsidRPr="00DB1AEE">
              <w:rPr>
                <w:sz w:val="18"/>
                <w:szCs w:val="18"/>
                <w:u w:val="single"/>
              </w:rPr>
              <w:t>U-0.226</w:t>
            </w:r>
          </w:p>
        </w:tc>
        <w:tc>
          <w:tcPr>
            <w:tcW w:w="900" w:type="dxa"/>
            <w:vAlign w:val="center"/>
          </w:tcPr>
          <w:p w14:paraId="4100F3AC" w14:textId="77777777" w:rsidR="00DB1AEE" w:rsidRPr="00DB1AEE" w:rsidRDefault="00DB1AEE" w:rsidP="00DB1AEE">
            <w:pPr>
              <w:suppressAutoHyphens/>
              <w:jc w:val="center"/>
              <w:rPr>
                <w:sz w:val="18"/>
                <w:szCs w:val="18"/>
                <w:u w:val="single"/>
              </w:rPr>
            </w:pPr>
            <w:r w:rsidRPr="00DB1AEE">
              <w:rPr>
                <w:sz w:val="18"/>
                <w:szCs w:val="18"/>
                <w:u w:val="single"/>
              </w:rPr>
              <w:t>U-0.223</w:t>
            </w:r>
          </w:p>
        </w:tc>
      </w:tr>
      <w:tr w:rsidR="00DB1AEE" w:rsidRPr="00DB1AEE" w14:paraId="532339E6" w14:textId="77777777" w:rsidTr="00FC1832">
        <w:trPr>
          <w:jc w:val="center"/>
        </w:trPr>
        <w:tc>
          <w:tcPr>
            <w:tcW w:w="1345" w:type="dxa"/>
            <w:vMerge/>
            <w:vAlign w:val="center"/>
          </w:tcPr>
          <w:p w14:paraId="3C7A7EAC" w14:textId="77777777" w:rsidR="00DB1AEE" w:rsidRPr="00DB1AEE" w:rsidRDefault="00DB1AEE" w:rsidP="00DB1AEE">
            <w:pPr>
              <w:pBdr>
                <w:top w:val="nil"/>
                <w:left w:val="nil"/>
                <w:bottom w:val="nil"/>
                <w:right w:val="nil"/>
                <w:between w:val="nil"/>
              </w:pBdr>
              <w:suppressAutoHyphens/>
              <w:jc w:val="left"/>
              <w:rPr>
                <w:sz w:val="18"/>
                <w:szCs w:val="18"/>
                <w:u w:val="single"/>
              </w:rPr>
            </w:pPr>
          </w:p>
        </w:tc>
        <w:tc>
          <w:tcPr>
            <w:tcW w:w="2070" w:type="dxa"/>
            <w:vAlign w:val="center"/>
          </w:tcPr>
          <w:p w14:paraId="425A5F21" w14:textId="77777777" w:rsidR="00DB1AEE" w:rsidRPr="00DB1AEE" w:rsidRDefault="00DB1AEE" w:rsidP="00DB1AEE">
            <w:pPr>
              <w:suppressAutoHyphens/>
              <w:jc w:val="left"/>
              <w:rPr>
                <w:sz w:val="18"/>
                <w:szCs w:val="18"/>
                <w:u w:val="single"/>
              </w:rPr>
            </w:pPr>
            <w:r w:rsidRPr="00DB1AEE">
              <w:rPr>
                <w:sz w:val="18"/>
                <w:szCs w:val="18"/>
                <w:u w:val="single"/>
              </w:rPr>
              <w:t>Triple glazing or double glazing with low-e glass</w:t>
            </w:r>
          </w:p>
        </w:tc>
        <w:tc>
          <w:tcPr>
            <w:tcW w:w="900" w:type="dxa"/>
            <w:vAlign w:val="center"/>
          </w:tcPr>
          <w:p w14:paraId="20005C3E" w14:textId="77777777" w:rsidR="00DB1AEE" w:rsidRPr="00DB1AEE" w:rsidRDefault="00DB1AEE" w:rsidP="00DB1AEE">
            <w:pPr>
              <w:suppressAutoHyphens/>
              <w:jc w:val="center"/>
              <w:rPr>
                <w:sz w:val="18"/>
                <w:szCs w:val="18"/>
                <w:u w:val="single"/>
              </w:rPr>
            </w:pPr>
            <w:r w:rsidRPr="00DB1AEE">
              <w:rPr>
                <w:sz w:val="18"/>
                <w:szCs w:val="18"/>
                <w:u w:val="single"/>
              </w:rPr>
              <w:t>U-0.313</w:t>
            </w:r>
          </w:p>
        </w:tc>
        <w:tc>
          <w:tcPr>
            <w:tcW w:w="900" w:type="dxa"/>
            <w:vAlign w:val="center"/>
          </w:tcPr>
          <w:p w14:paraId="48DF758A" w14:textId="77777777" w:rsidR="00DB1AEE" w:rsidRPr="00DB1AEE" w:rsidRDefault="00DB1AEE" w:rsidP="00DB1AEE">
            <w:pPr>
              <w:suppressAutoHyphens/>
              <w:jc w:val="center"/>
              <w:rPr>
                <w:sz w:val="18"/>
                <w:szCs w:val="18"/>
                <w:u w:val="single"/>
              </w:rPr>
            </w:pPr>
            <w:r w:rsidRPr="00DB1AEE">
              <w:rPr>
                <w:sz w:val="18"/>
                <w:szCs w:val="18"/>
                <w:u w:val="single"/>
              </w:rPr>
              <w:t>U-0.263</w:t>
            </w:r>
          </w:p>
          <w:p w14:paraId="3FACFFC2" w14:textId="77777777" w:rsidR="00DB1AEE" w:rsidRPr="00DB1AEE" w:rsidRDefault="00DB1AEE" w:rsidP="00DB1AEE">
            <w:pPr>
              <w:suppressAutoHyphens/>
              <w:jc w:val="center"/>
              <w:rPr>
                <w:sz w:val="18"/>
                <w:szCs w:val="18"/>
                <w:u w:val="single"/>
              </w:rPr>
            </w:pPr>
          </w:p>
        </w:tc>
        <w:tc>
          <w:tcPr>
            <w:tcW w:w="900" w:type="dxa"/>
            <w:vAlign w:val="center"/>
          </w:tcPr>
          <w:p w14:paraId="6ADC7A09" w14:textId="77777777" w:rsidR="00DB1AEE" w:rsidRPr="00DB1AEE" w:rsidRDefault="00DB1AEE" w:rsidP="00DB1AEE">
            <w:pPr>
              <w:suppressAutoHyphens/>
              <w:jc w:val="center"/>
              <w:rPr>
                <w:sz w:val="18"/>
                <w:szCs w:val="18"/>
                <w:u w:val="single"/>
              </w:rPr>
            </w:pPr>
            <w:r w:rsidRPr="00DB1AEE">
              <w:rPr>
                <w:sz w:val="18"/>
                <w:szCs w:val="18"/>
                <w:u w:val="single"/>
              </w:rPr>
              <w:t>U-0.249</w:t>
            </w:r>
          </w:p>
        </w:tc>
        <w:tc>
          <w:tcPr>
            <w:tcW w:w="900" w:type="dxa"/>
            <w:vAlign w:val="center"/>
          </w:tcPr>
          <w:p w14:paraId="27428CD4" w14:textId="77777777" w:rsidR="00DB1AEE" w:rsidRPr="00DB1AEE" w:rsidRDefault="00DB1AEE" w:rsidP="00DB1AEE">
            <w:pPr>
              <w:suppressAutoHyphens/>
              <w:jc w:val="center"/>
              <w:rPr>
                <w:sz w:val="18"/>
                <w:szCs w:val="18"/>
                <w:u w:val="single"/>
              </w:rPr>
            </w:pPr>
            <w:r w:rsidRPr="00DB1AEE">
              <w:rPr>
                <w:sz w:val="18"/>
                <w:szCs w:val="18"/>
                <w:u w:val="single"/>
              </w:rPr>
              <w:t>U-0.241</w:t>
            </w:r>
          </w:p>
        </w:tc>
        <w:tc>
          <w:tcPr>
            <w:tcW w:w="900" w:type="dxa"/>
            <w:vAlign w:val="center"/>
          </w:tcPr>
          <w:p w14:paraId="3F2167AC" w14:textId="77777777" w:rsidR="00DB1AEE" w:rsidRPr="00DB1AEE" w:rsidRDefault="00DB1AEE" w:rsidP="00DB1AEE">
            <w:pPr>
              <w:suppressAutoHyphens/>
              <w:jc w:val="center"/>
              <w:rPr>
                <w:sz w:val="18"/>
                <w:szCs w:val="18"/>
                <w:u w:val="single"/>
              </w:rPr>
            </w:pPr>
            <w:r w:rsidRPr="00DB1AEE">
              <w:rPr>
                <w:sz w:val="18"/>
                <w:szCs w:val="18"/>
                <w:u w:val="single"/>
              </w:rPr>
              <w:t>U-0.233</w:t>
            </w:r>
          </w:p>
        </w:tc>
        <w:tc>
          <w:tcPr>
            <w:tcW w:w="900" w:type="dxa"/>
            <w:vAlign w:val="center"/>
          </w:tcPr>
          <w:p w14:paraId="7F931656" w14:textId="77777777" w:rsidR="00DB1AEE" w:rsidRPr="00DB1AEE" w:rsidRDefault="00DB1AEE" w:rsidP="00DB1AEE">
            <w:pPr>
              <w:suppressAutoHyphens/>
              <w:jc w:val="center"/>
              <w:rPr>
                <w:sz w:val="18"/>
                <w:szCs w:val="18"/>
                <w:u w:val="single"/>
              </w:rPr>
            </w:pPr>
            <w:r w:rsidRPr="00DB1AEE">
              <w:rPr>
                <w:sz w:val="18"/>
                <w:szCs w:val="18"/>
                <w:u w:val="single"/>
              </w:rPr>
              <w:t>U-0.228</w:t>
            </w:r>
          </w:p>
        </w:tc>
        <w:tc>
          <w:tcPr>
            <w:tcW w:w="900" w:type="dxa"/>
            <w:vAlign w:val="center"/>
          </w:tcPr>
          <w:p w14:paraId="48CCCDD0" w14:textId="77777777" w:rsidR="00DB1AEE" w:rsidRPr="00DB1AEE" w:rsidRDefault="00DB1AEE" w:rsidP="00DB1AEE">
            <w:pPr>
              <w:suppressAutoHyphens/>
              <w:jc w:val="center"/>
              <w:rPr>
                <w:sz w:val="18"/>
                <w:szCs w:val="18"/>
                <w:u w:val="single"/>
              </w:rPr>
            </w:pPr>
            <w:r w:rsidRPr="00DB1AEE">
              <w:rPr>
                <w:sz w:val="18"/>
                <w:szCs w:val="18"/>
                <w:u w:val="single"/>
              </w:rPr>
              <w:t>U-0.225</w:t>
            </w:r>
          </w:p>
        </w:tc>
        <w:tc>
          <w:tcPr>
            <w:tcW w:w="900" w:type="dxa"/>
            <w:vAlign w:val="center"/>
          </w:tcPr>
          <w:p w14:paraId="7400860B" w14:textId="77777777" w:rsidR="00DB1AEE" w:rsidRPr="00DB1AEE" w:rsidRDefault="00DB1AEE" w:rsidP="00DB1AEE">
            <w:pPr>
              <w:suppressAutoHyphens/>
              <w:jc w:val="center"/>
              <w:rPr>
                <w:sz w:val="18"/>
                <w:szCs w:val="18"/>
                <w:u w:val="single"/>
              </w:rPr>
            </w:pPr>
            <w:r w:rsidRPr="00DB1AEE">
              <w:rPr>
                <w:sz w:val="18"/>
                <w:szCs w:val="18"/>
                <w:u w:val="single"/>
              </w:rPr>
              <w:t>U-0.223</w:t>
            </w:r>
          </w:p>
        </w:tc>
      </w:tr>
      <w:tr w:rsidR="00DB1AEE" w:rsidRPr="00DB1AEE" w14:paraId="2DF70407" w14:textId="77777777" w:rsidTr="00FC1832">
        <w:trPr>
          <w:jc w:val="center"/>
        </w:trPr>
        <w:tc>
          <w:tcPr>
            <w:tcW w:w="1345" w:type="dxa"/>
            <w:vMerge w:val="restart"/>
            <w:vAlign w:val="center"/>
          </w:tcPr>
          <w:p w14:paraId="09710799" w14:textId="77777777" w:rsidR="00DB1AEE" w:rsidRPr="00DB1AEE" w:rsidRDefault="00DB1AEE" w:rsidP="00DB1AEE">
            <w:pPr>
              <w:suppressAutoHyphens/>
              <w:jc w:val="left"/>
              <w:rPr>
                <w:sz w:val="18"/>
                <w:szCs w:val="18"/>
                <w:u w:val="single"/>
              </w:rPr>
            </w:pPr>
            <w:r w:rsidRPr="00DB1AEE">
              <w:rPr>
                <w:sz w:val="18"/>
                <w:szCs w:val="18"/>
                <w:u w:val="single"/>
              </w:rPr>
              <w:t>Aluminum with thermal break</w:t>
            </w:r>
            <w:r w:rsidRPr="00DB1AEE">
              <w:rPr>
                <w:sz w:val="18"/>
                <w:szCs w:val="18"/>
                <w:u w:val="single"/>
                <w:vertAlign w:val="superscript"/>
              </w:rPr>
              <w:t>c</w:t>
            </w:r>
          </w:p>
        </w:tc>
        <w:tc>
          <w:tcPr>
            <w:tcW w:w="2070" w:type="dxa"/>
            <w:vAlign w:val="center"/>
          </w:tcPr>
          <w:p w14:paraId="503D204B" w14:textId="77777777" w:rsidR="00DB1AEE" w:rsidRPr="00DB1AEE" w:rsidRDefault="00DB1AEE" w:rsidP="00DB1AEE">
            <w:pPr>
              <w:suppressAutoHyphens/>
              <w:jc w:val="left"/>
              <w:rPr>
                <w:sz w:val="18"/>
                <w:szCs w:val="18"/>
                <w:u w:val="single"/>
              </w:rPr>
            </w:pPr>
            <w:r w:rsidRPr="00DB1AEE">
              <w:rPr>
                <w:sz w:val="18"/>
                <w:szCs w:val="18"/>
                <w:u w:val="single"/>
              </w:rPr>
              <w:t>Single glass pane, stone, or metal panel</w:t>
            </w:r>
          </w:p>
        </w:tc>
        <w:tc>
          <w:tcPr>
            <w:tcW w:w="900" w:type="dxa"/>
            <w:vAlign w:val="center"/>
          </w:tcPr>
          <w:p w14:paraId="540CC16D" w14:textId="77777777" w:rsidR="00DB1AEE" w:rsidRPr="00DB1AEE" w:rsidRDefault="00DB1AEE" w:rsidP="00DB1AEE">
            <w:pPr>
              <w:suppressAutoHyphens/>
              <w:jc w:val="center"/>
              <w:rPr>
                <w:sz w:val="18"/>
                <w:szCs w:val="18"/>
                <w:u w:val="single"/>
              </w:rPr>
            </w:pPr>
            <w:r w:rsidRPr="00DB1AEE">
              <w:rPr>
                <w:sz w:val="18"/>
                <w:szCs w:val="18"/>
                <w:u w:val="single"/>
              </w:rPr>
              <w:t>U-0.429</w:t>
            </w:r>
          </w:p>
        </w:tc>
        <w:tc>
          <w:tcPr>
            <w:tcW w:w="900" w:type="dxa"/>
            <w:vAlign w:val="center"/>
          </w:tcPr>
          <w:p w14:paraId="086546D2" w14:textId="77777777" w:rsidR="00DB1AEE" w:rsidRPr="00DB1AEE" w:rsidRDefault="00DB1AEE" w:rsidP="00DB1AEE">
            <w:pPr>
              <w:suppressAutoHyphens/>
              <w:jc w:val="center"/>
              <w:rPr>
                <w:sz w:val="18"/>
                <w:szCs w:val="18"/>
                <w:u w:val="single"/>
              </w:rPr>
            </w:pPr>
            <w:r w:rsidRPr="00DB1AEE">
              <w:rPr>
                <w:sz w:val="18"/>
                <w:szCs w:val="18"/>
                <w:u w:val="single"/>
              </w:rPr>
              <w:t>U-0.243</w:t>
            </w:r>
          </w:p>
          <w:p w14:paraId="305AA00F" w14:textId="77777777" w:rsidR="00DB1AEE" w:rsidRPr="00DB1AEE" w:rsidRDefault="00DB1AEE" w:rsidP="00DB1AEE">
            <w:pPr>
              <w:suppressAutoHyphens/>
              <w:jc w:val="center"/>
              <w:rPr>
                <w:sz w:val="18"/>
                <w:szCs w:val="18"/>
                <w:u w:val="single"/>
              </w:rPr>
            </w:pPr>
          </w:p>
        </w:tc>
        <w:tc>
          <w:tcPr>
            <w:tcW w:w="900" w:type="dxa"/>
            <w:vAlign w:val="center"/>
          </w:tcPr>
          <w:p w14:paraId="1FBB3B04" w14:textId="77777777" w:rsidR="00DB1AEE" w:rsidRPr="00DB1AEE" w:rsidRDefault="00DB1AEE" w:rsidP="00DB1AEE">
            <w:pPr>
              <w:suppressAutoHyphens/>
              <w:jc w:val="center"/>
              <w:rPr>
                <w:sz w:val="18"/>
                <w:szCs w:val="18"/>
                <w:u w:val="single"/>
              </w:rPr>
            </w:pPr>
            <w:r w:rsidRPr="00DB1AEE">
              <w:rPr>
                <w:sz w:val="18"/>
                <w:szCs w:val="18"/>
                <w:u w:val="single"/>
              </w:rPr>
              <w:t>U-0.212</w:t>
            </w:r>
          </w:p>
        </w:tc>
        <w:tc>
          <w:tcPr>
            <w:tcW w:w="900" w:type="dxa"/>
            <w:vAlign w:val="center"/>
          </w:tcPr>
          <w:p w14:paraId="6CD3BA94" w14:textId="77777777" w:rsidR="00DB1AEE" w:rsidRPr="00DB1AEE" w:rsidRDefault="00DB1AEE" w:rsidP="00DB1AEE">
            <w:pPr>
              <w:suppressAutoHyphens/>
              <w:jc w:val="center"/>
              <w:rPr>
                <w:sz w:val="18"/>
                <w:szCs w:val="18"/>
                <w:u w:val="single"/>
              </w:rPr>
            </w:pPr>
            <w:r w:rsidRPr="00DB1AEE">
              <w:rPr>
                <w:sz w:val="18"/>
                <w:szCs w:val="18"/>
                <w:u w:val="single"/>
              </w:rPr>
              <w:t>U-0.197</w:t>
            </w:r>
          </w:p>
        </w:tc>
        <w:tc>
          <w:tcPr>
            <w:tcW w:w="900" w:type="dxa"/>
            <w:vAlign w:val="center"/>
          </w:tcPr>
          <w:p w14:paraId="11A9AD77" w14:textId="77777777" w:rsidR="00DB1AEE" w:rsidRPr="00DB1AEE" w:rsidRDefault="00DB1AEE" w:rsidP="00DB1AEE">
            <w:pPr>
              <w:suppressAutoHyphens/>
              <w:jc w:val="center"/>
              <w:rPr>
                <w:sz w:val="18"/>
                <w:szCs w:val="18"/>
                <w:u w:val="single"/>
              </w:rPr>
            </w:pPr>
            <w:r w:rsidRPr="00DB1AEE">
              <w:rPr>
                <w:sz w:val="18"/>
                <w:szCs w:val="18"/>
                <w:u w:val="single"/>
              </w:rPr>
              <w:t>U-0.184</w:t>
            </w:r>
          </w:p>
        </w:tc>
        <w:tc>
          <w:tcPr>
            <w:tcW w:w="900" w:type="dxa"/>
            <w:vAlign w:val="center"/>
          </w:tcPr>
          <w:p w14:paraId="35705EB6" w14:textId="77777777" w:rsidR="00DB1AEE" w:rsidRPr="00DB1AEE" w:rsidRDefault="00DB1AEE" w:rsidP="00DB1AEE">
            <w:pPr>
              <w:suppressAutoHyphens/>
              <w:jc w:val="center"/>
              <w:rPr>
                <w:sz w:val="18"/>
                <w:szCs w:val="18"/>
                <w:u w:val="single"/>
              </w:rPr>
            </w:pPr>
            <w:r w:rsidRPr="00DB1AEE">
              <w:rPr>
                <w:sz w:val="18"/>
                <w:szCs w:val="18"/>
                <w:u w:val="single"/>
              </w:rPr>
              <w:t>U-0.176</w:t>
            </w:r>
          </w:p>
        </w:tc>
        <w:tc>
          <w:tcPr>
            <w:tcW w:w="900" w:type="dxa"/>
            <w:vAlign w:val="center"/>
          </w:tcPr>
          <w:p w14:paraId="32EE339A" w14:textId="77777777" w:rsidR="00DB1AEE" w:rsidRPr="00DB1AEE" w:rsidRDefault="00DB1AEE" w:rsidP="00DB1AEE">
            <w:pPr>
              <w:suppressAutoHyphens/>
              <w:jc w:val="center"/>
              <w:rPr>
                <w:sz w:val="18"/>
                <w:szCs w:val="18"/>
                <w:u w:val="single"/>
              </w:rPr>
            </w:pPr>
            <w:r w:rsidRPr="00DB1AEE">
              <w:rPr>
                <w:sz w:val="18"/>
                <w:szCs w:val="18"/>
                <w:u w:val="single"/>
              </w:rPr>
              <w:t>U-0.172</w:t>
            </w:r>
          </w:p>
        </w:tc>
        <w:tc>
          <w:tcPr>
            <w:tcW w:w="900" w:type="dxa"/>
            <w:vAlign w:val="center"/>
          </w:tcPr>
          <w:p w14:paraId="773E595C" w14:textId="77777777" w:rsidR="00DB1AEE" w:rsidRPr="00DB1AEE" w:rsidRDefault="00DB1AEE" w:rsidP="00DB1AEE">
            <w:pPr>
              <w:suppressAutoHyphens/>
              <w:jc w:val="center"/>
              <w:rPr>
                <w:sz w:val="18"/>
                <w:szCs w:val="18"/>
                <w:u w:val="single"/>
              </w:rPr>
            </w:pPr>
            <w:r w:rsidRPr="00DB1AEE">
              <w:rPr>
                <w:sz w:val="18"/>
                <w:szCs w:val="18"/>
                <w:u w:val="single"/>
              </w:rPr>
              <w:t>U-0.169</w:t>
            </w:r>
          </w:p>
        </w:tc>
      </w:tr>
      <w:tr w:rsidR="00DB1AEE" w:rsidRPr="00DB1AEE" w14:paraId="1240A499" w14:textId="77777777" w:rsidTr="00FC1832">
        <w:trPr>
          <w:jc w:val="center"/>
        </w:trPr>
        <w:tc>
          <w:tcPr>
            <w:tcW w:w="1345" w:type="dxa"/>
            <w:vMerge/>
            <w:vAlign w:val="center"/>
          </w:tcPr>
          <w:p w14:paraId="78623FB4" w14:textId="77777777" w:rsidR="00DB1AEE" w:rsidRPr="00DB1AEE" w:rsidRDefault="00DB1AEE" w:rsidP="00DB1AEE">
            <w:pPr>
              <w:pBdr>
                <w:top w:val="nil"/>
                <w:left w:val="nil"/>
                <w:bottom w:val="nil"/>
                <w:right w:val="nil"/>
                <w:between w:val="nil"/>
              </w:pBdr>
              <w:suppressAutoHyphens/>
              <w:jc w:val="left"/>
              <w:rPr>
                <w:sz w:val="18"/>
                <w:szCs w:val="18"/>
                <w:u w:val="single"/>
              </w:rPr>
            </w:pPr>
          </w:p>
        </w:tc>
        <w:tc>
          <w:tcPr>
            <w:tcW w:w="2070" w:type="dxa"/>
            <w:vAlign w:val="center"/>
          </w:tcPr>
          <w:p w14:paraId="6C32E150" w14:textId="77777777" w:rsidR="00DB1AEE" w:rsidRPr="00DB1AEE" w:rsidRDefault="00DB1AEE" w:rsidP="00DB1AEE">
            <w:pPr>
              <w:pBdr>
                <w:top w:val="nil"/>
                <w:left w:val="nil"/>
                <w:bottom w:val="nil"/>
                <w:right w:val="nil"/>
                <w:between w:val="nil"/>
              </w:pBdr>
              <w:suppressAutoHyphens/>
              <w:jc w:val="left"/>
              <w:rPr>
                <w:rFonts w:eastAsia="Arial"/>
                <w:sz w:val="18"/>
                <w:szCs w:val="18"/>
                <w:u w:val="single"/>
              </w:rPr>
            </w:pPr>
            <w:r w:rsidRPr="00DB1AEE">
              <w:rPr>
                <w:rFonts w:eastAsia="Arial"/>
                <w:sz w:val="18"/>
                <w:szCs w:val="18"/>
                <w:u w:val="single"/>
              </w:rPr>
              <w:t>Double glazing with no low-e coatings</w:t>
            </w:r>
          </w:p>
        </w:tc>
        <w:tc>
          <w:tcPr>
            <w:tcW w:w="900" w:type="dxa"/>
            <w:vAlign w:val="center"/>
          </w:tcPr>
          <w:p w14:paraId="76FA9CE4" w14:textId="77777777" w:rsidR="00DB1AEE" w:rsidRPr="00DB1AEE" w:rsidRDefault="00DB1AEE" w:rsidP="00DB1AEE">
            <w:pPr>
              <w:suppressAutoHyphens/>
              <w:jc w:val="center"/>
              <w:rPr>
                <w:sz w:val="18"/>
                <w:szCs w:val="18"/>
                <w:u w:val="single"/>
              </w:rPr>
            </w:pPr>
            <w:r w:rsidRPr="00DB1AEE">
              <w:rPr>
                <w:sz w:val="18"/>
                <w:szCs w:val="18"/>
                <w:u w:val="single"/>
              </w:rPr>
              <w:t>U-0.328</w:t>
            </w:r>
          </w:p>
        </w:tc>
        <w:tc>
          <w:tcPr>
            <w:tcW w:w="900" w:type="dxa"/>
            <w:vAlign w:val="center"/>
          </w:tcPr>
          <w:p w14:paraId="0761C726" w14:textId="77777777" w:rsidR="00DB1AEE" w:rsidRPr="00DB1AEE" w:rsidRDefault="00DB1AEE" w:rsidP="00DB1AEE">
            <w:pPr>
              <w:suppressAutoHyphens/>
              <w:jc w:val="center"/>
              <w:rPr>
                <w:strike/>
                <w:sz w:val="18"/>
                <w:szCs w:val="18"/>
                <w:u w:val="single"/>
              </w:rPr>
            </w:pPr>
          </w:p>
          <w:p w14:paraId="4D21BB12" w14:textId="77777777" w:rsidR="00DB1AEE" w:rsidRPr="00DB1AEE" w:rsidRDefault="00DB1AEE" w:rsidP="00DB1AEE">
            <w:pPr>
              <w:suppressAutoHyphens/>
              <w:jc w:val="center"/>
              <w:rPr>
                <w:sz w:val="18"/>
                <w:szCs w:val="18"/>
                <w:u w:val="single"/>
              </w:rPr>
            </w:pPr>
            <w:r w:rsidRPr="00DB1AEE">
              <w:rPr>
                <w:sz w:val="18"/>
                <w:szCs w:val="18"/>
                <w:u w:val="single"/>
              </w:rPr>
              <w:t>U-0.228</w:t>
            </w:r>
          </w:p>
          <w:p w14:paraId="22127935" w14:textId="77777777" w:rsidR="00DB1AEE" w:rsidRPr="00DB1AEE" w:rsidRDefault="00DB1AEE" w:rsidP="00DB1AEE">
            <w:pPr>
              <w:suppressAutoHyphens/>
              <w:jc w:val="center"/>
              <w:rPr>
                <w:sz w:val="18"/>
                <w:szCs w:val="18"/>
                <w:u w:val="single"/>
              </w:rPr>
            </w:pPr>
          </w:p>
        </w:tc>
        <w:tc>
          <w:tcPr>
            <w:tcW w:w="900" w:type="dxa"/>
            <w:vAlign w:val="center"/>
          </w:tcPr>
          <w:p w14:paraId="39C0ADA9" w14:textId="77777777" w:rsidR="00DB1AEE" w:rsidRPr="00DB1AEE" w:rsidRDefault="00DB1AEE" w:rsidP="00DB1AEE">
            <w:pPr>
              <w:suppressAutoHyphens/>
              <w:jc w:val="center"/>
              <w:rPr>
                <w:sz w:val="18"/>
                <w:szCs w:val="18"/>
                <w:u w:val="single"/>
              </w:rPr>
            </w:pPr>
            <w:r w:rsidRPr="00DB1AEE">
              <w:rPr>
                <w:sz w:val="18"/>
                <w:szCs w:val="18"/>
                <w:u w:val="single"/>
              </w:rPr>
              <w:t>U-0.205</w:t>
            </w:r>
          </w:p>
        </w:tc>
        <w:tc>
          <w:tcPr>
            <w:tcW w:w="900" w:type="dxa"/>
            <w:vAlign w:val="center"/>
          </w:tcPr>
          <w:p w14:paraId="2FD30A35" w14:textId="77777777" w:rsidR="00DB1AEE" w:rsidRPr="00DB1AEE" w:rsidRDefault="00DB1AEE" w:rsidP="00DB1AEE">
            <w:pPr>
              <w:suppressAutoHyphens/>
              <w:jc w:val="center"/>
              <w:rPr>
                <w:sz w:val="18"/>
                <w:szCs w:val="18"/>
                <w:u w:val="single"/>
              </w:rPr>
            </w:pPr>
            <w:r w:rsidRPr="00DB1AEE">
              <w:rPr>
                <w:sz w:val="18"/>
                <w:szCs w:val="18"/>
                <w:u w:val="single"/>
              </w:rPr>
              <w:t>U-0.193</w:t>
            </w:r>
          </w:p>
        </w:tc>
        <w:tc>
          <w:tcPr>
            <w:tcW w:w="900" w:type="dxa"/>
            <w:vAlign w:val="center"/>
          </w:tcPr>
          <w:p w14:paraId="4E3B569D" w14:textId="77777777" w:rsidR="00DB1AEE" w:rsidRPr="00DB1AEE" w:rsidRDefault="00DB1AEE" w:rsidP="00DB1AEE">
            <w:pPr>
              <w:suppressAutoHyphens/>
              <w:jc w:val="center"/>
              <w:rPr>
                <w:sz w:val="18"/>
                <w:szCs w:val="18"/>
                <w:u w:val="single"/>
              </w:rPr>
            </w:pPr>
            <w:r w:rsidRPr="00DB1AEE">
              <w:rPr>
                <w:sz w:val="18"/>
                <w:szCs w:val="18"/>
                <w:u w:val="single"/>
              </w:rPr>
              <w:t>U-0.182</w:t>
            </w:r>
          </w:p>
        </w:tc>
        <w:tc>
          <w:tcPr>
            <w:tcW w:w="900" w:type="dxa"/>
            <w:vAlign w:val="center"/>
          </w:tcPr>
          <w:p w14:paraId="5576AA30" w14:textId="77777777" w:rsidR="00DB1AEE" w:rsidRPr="00DB1AEE" w:rsidRDefault="00DB1AEE" w:rsidP="00DB1AEE">
            <w:pPr>
              <w:suppressAutoHyphens/>
              <w:jc w:val="center"/>
              <w:rPr>
                <w:sz w:val="18"/>
                <w:szCs w:val="18"/>
                <w:u w:val="single"/>
              </w:rPr>
            </w:pPr>
            <w:r w:rsidRPr="00DB1AEE">
              <w:rPr>
                <w:sz w:val="18"/>
                <w:szCs w:val="18"/>
                <w:u w:val="single"/>
              </w:rPr>
              <w:t>U-0.175</w:t>
            </w:r>
          </w:p>
        </w:tc>
        <w:tc>
          <w:tcPr>
            <w:tcW w:w="900" w:type="dxa"/>
            <w:vAlign w:val="center"/>
          </w:tcPr>
          <w:p w14:paraId="446BD585" w14:textId="77777777" w:rsidR="00DB1AEE" w:rsidRPr="00DB1AEE" w:rsidRDefault="00DB1AEE" w:rsidP="00DB1AEE">
            <w:pPr>
              <w:suppressAutoHyphens/>
              <w:jc w:val="center"/>
              <w:rPr>
                <w:sz w:val="18"/>
                <w:szCs w:val="18"/>
                <w:u w:val="single"/>
              </w:rPr>
            </w:pPr>
            <w:r w:rsidRPr="00DB1AEE">
              <w:rPr>
                <w:sz w:val="18"/>
                <w:szCs w:val="18"/>
                <w:u w:val="single"/>
              </w:rPr>
              <w:t>U-0.171</w:t>
            </w:r>
          </w:p>
        </w:tc>
        <w:tc>
          <w:tcPr>
            <w:tcW w:w="900" w:type="dxa"/>
            <w:vAlign w:val="center"/>
          </w:tcPr>
          <w:p w14:paraId="77EB203C" w14:textId="77777777" w:rsidR="00DB1AEE" w:rsidRPr="00DB1AEE" w:rsidRDefault="00DB1AEE" w:rsidP="00DB1AEE">
            <w:pPr>
              <w:suppressAutoHyphens/>
              <w:jc w:val="center"/>
              <w:rPr>
                <w:sz w:val="18"/>
                <w:szCs w:val="18"/>
                <w:u w:val="single"/>
              </w:rPr>
            </w:pPr>
            <w:r w:rsidRPr="00DB1AEE">
              <w:rPr>
                <w:sz w:val="18"/>
                <w:szCs w:val="18"/>
                <w:u w:val="single"/>
              </w:rPr>
              <w:t>U-0.168</w:t>
            </w:r>
          </w:p>
        </w:tc>
      </w:tr>
      <w:tr w:rsidR="00DB1AEE" w:rsidRPr="00DB1AEE" w14:paraId="108C96EB" w14:textId="77777777" w:rsidTr="00FC1832">
        <w:trPr>
          <w:jc w:val="center"/>
        </w:trPr>
        <w:tc>
          <w:tcPr>
            <w:tcW w:w="1345" w:type="dxa"/>
            <w:vMerge/>
            <w:vAlign w:val="center"/>
          </w:tcPr>
          <w:p w14:paraId="54F72C5D" w14:textId="77777777" w:rsidR="00DB1AEE" w:rsidRPr="00DB1AEE" w:rsidRDefault="00DB1AEE" w:rsidP="00DB1AEE">
            <w:pPr>
              <w:pBdr>
                <w:top w:val="nil"/>
                <w:left w:val="nil"/>
                <w:bottom w:val="nil"/>
                <w:right w:val="nil"/>
                <w:between w:val="nil"/>
              </w:pBdr>
              <w:suppressAutoHyphens/>
              <w:jc w:val="left"/>
              <w:rPr>
                <w:sz w:val="18"/>
                <w:szCs w:val="18"/>
                <w:u w:val="single"/>
              </w:rPr>
            </w:pPr>
          </w:p>
        </w:tc>
        <w:tc>
          <w:tcPr>
            <w:tcW w:w="2070" w:type="dxa"/>
            <w:vAlign w:val="center"/>
          </w:tcPr>
          <w:p w14:paraId="296DE120" w14:textId="77777777" w:rsidR="00DB1AEE" w:rsidRPr="00DB1AEE" w:rsidRDefault="00DB1AEE" w:rsidP="00DB1AEE">
            <w:pPr>
              <w:suppressAutoHyphens/>
              <w:jc w:val="left"/>
              <w:rPr>
                <w:sz w:val="18"/>
                <w:szCs w:val="18"/>
                <w:u w:val="single"/>
              </w:rPr>
            </w:pPr>
            <w:r w:rsidRPr="00DB1AEE">
              <w:rPr>
                <w:sz w:val="18"/>
                <w:szCs w:val="18"/>
                <w:u w:val="single"/>
              </w:rPr>
              <w:t>Triple glazing or double glazing with low-e glass</w:t>
            </w:r>
          </w:p>
        </w:tc>
        <w:tc>
          <w:tcPr>
            <w:tcW w:w="900" w:type="dxa"/>
            <w:vAlign w:val="center"/>
          </w:tcPr>
          <w:p w14:paraId="77624D55" w14:textId="77777777" w:rsidR="00DB1AEE" w:rsidRPr="00DB1AEE" w:rsidRDefault="00DB1AEE" w:rsidP="00DB1AEE">
            <w:pPr>
              <w:suppressAutoHyphens/>
              <w:jc w:val="center"/>
              <w:rPr>
                <w:sz w:val="18"/>
                <w:szCs w:val="18"/>
                <w:u w:val="single"/>
              </w:rPr>
            </w:pPr>
            <w:r w:rsidRPr="00DB1AEE">
              <w:rPr>
                <w:sz w:val="18"/>
                <w:szCs w:val="18"/>
                <w:u w:val="single"/>
              </w:rPr>
              <w:t>U-0.277</w:t>
            </w:r>
          </w:p>
        </w:tc>
        <w:tc>
          <w:tcPr>
            <w:tcW w:w="900" w:type="dxa"/>
            <w:vAlign w:val="center"/>
          </w:tcPr>
          <w:p w14:paraId="113DA560" w14:textId="77777777" w:rsidR="00DB1AEE" w:rsidRPr="00DB1AEE" w:rsidRDefault="00DB1AEE" w:rsidP="00DB1AEE">
            <w:pPr>
              <w:suppressAutoHyphens/>
              <w:jc w:val="center"/>
              <w:rPr>
                <w:strike/>
                <w:sz w:val="18"/>
                <w:szCs w:val="18"/>
                <w:u w:val="single"/>
              </w:rPr>
            </w:pPr>
          </w:p>
          <w:p w14:paraId="04FE1225" w14:textId="77777777" w:rsidR="00DB1AEE" w:rsidRPr="00DB1AEE" w:rsidRDefault="00DB1AEE" w:rsidP="00DB1AEE">
            <w:pPr>
              <w:suppressAutoHyphens/>
              <w:jc w:val="center"/>
              <w:rPr>
                <w:sz w:val="18"/>
                <w:szCs w:val="18"/>
                <w:u w:val="single"/>
              </w:rPr>
            </w:pPr>
            <w:r w:rsidRPr="00DB1AEE">
              <w:rPr>
                <w:sz w:val="18"/>
                <w:szCs w:val="18"/>
                <w:u w:val="single"/>
              </w:rPr>
              <w:t>U-0.217</w:t>
            </w:r>
          </w:p>
          <w:p w14:paraId="220AC6BF" w14:textId="77777777" w:rsidR="00DB1AEE" w:rsidRPr="00DB1AEE" w:rsidRDefault="00DB1AEE" w:rsidP="00DB1AEE">
            <w:pPr>
              <w:suppressAutoHyphens/>
              <w:jc w:val="center"/>
              <w:rPr>
                <w:sz w:val="18"/>
                <w:szCs w:val="18"/>
                <w:u w:val="single"/>
              </w:rPr>
            </w:pPr>
          </w:p>
        </w:tc>
        <w:tc>
          <w:tcPr>
            <w:tcW w:w="900" w:type="dxa"/>
            <w:vAlign w:val="center"/>
          </w:tcPr>
          <w:p w14:paraId="127754CC" w14:textId="77777777" w:rsidR="00DB1AEE" w:rsidRPr="00DB1AEE" w:rsidRDefault="00DB1AEE" w:rsidP="00DB1AEE">
            <w:pPr>
              <w:suppressAutoHyphens/>
              <w:jc w:val="center"/>
              <w:rPr>
                <w:sz w:val="18"/>
                <w:szCs w:val="18"/>
                <w:u w:val="single"/>
              </w:rPr>
            </w:pPr>
            <w:r w:rsidRPr="00DB1AEE">
              <w:rPr>
                <w:sz w:val="18"/>
                <w:szCs w:val="18"/>
                <w:u w:val="single"/>
              </w:rPr>
              <w:t>U-0.199</w:t>
            </w:r>
          </w:p>
        </w:tc>
        <w:tc>
          <w:tcPr>
            <w:tcW w:w="900" w:type="dxa"/>
            <w:vAlign w:val="center"/>
          </w:tcPr>
          <w:p w14:paraId="06FCCD8F" w14:textId="77777777" w:rsidR="00DB1AEE" w:rsidRPr="00DB1AEE" w:rsidRDefault="00DB1AEE" w:rsidP="00DB1AEE">
            <w:pPr>
              <w:suppressAutoHyphens/>
              <w:jc w:val="center"/>
              <w:rPr>
                <w:sz w:val="18"/>
                <w:szCs w:val="18"/>
                <w:u w:val="single"/>
              </w:rPr>
            </w:pPr>
            <w:r w:rsidRPr="00DB1AEE">
              <w:rPr>
                <w:sz w:val="18"/>
                <w:szCs w:val="18"/>
                <w:u w:val="single"/>
              </w:rPr>
              <w:t>U-0.189</w:t>
            </w:r>
          </w:p>
        </w:tc>
        <w:tc>
          <w:tcPr>
            <w:tcW w:w="900" w:type="dxa"/>
            <w:vAlign w:val="center"/>
          </w:tcPr>
          <w:p w14:paraId="2B66AA50" w14:textId="77777777" w:rsidR="00DB1AEE" w:rsidRPr="00DB1AEE" w:rsidRDefault="00DB1AEE" w:rsidP="00DB1AEE">
            <w:pPr>
              <w:suppressAutoHyphens/>
              <w:jc w:val="center"/>
              <w:rPr>
                <w:sz w:val="18"/>
                <w:szCs w:val="18"/>
                <w:u w:val="single"/>
              </w:rPr>
            </w:pPr>
            <w:r w:rsidRPr="00DB1AEE">
              <w:rPr>
                <w:sz w:val="18"/>
                <w:szCs w:val="18"/>
                <w:u w:val="single"/>
              </w:rPr>
              <w:t>U-0.180</w:t>
            </w:r>
          </w:p>
        </w:tc>
        <w:tc>
          <w:tcPr>
            <w:tcW w:w="900" w:type="dxa"/>
            <w:vAlign w:val="center"/>
          </w:tcPr>
          <w:p w14:paraId="1CA07DDB" w14:textId="77777777" w:rsidR="00DB1AEE" w:rsidRPr="00DB1AEE" w:rsidRDefault="00DB1AEE" w:rsidP="00DB1AEE">
            <w:pPr>
              <w:suppressAutoHyphens/>
              <w:jc w:val="center"/>
              <w:rPr>
                <w:sz w:val="18"/>
                <w:szCs w:val="18"/>
                <w:u w:val="single"/>
              </w:rPr>
            </w:pPr>
            <w:r w:rsidRPr="00DB1AEE">
              <w:rPr>
                <w:sz w:val="18"/>
                <w:szCs w:val="18"/>
                <w:u w:val="single"/>
              </w:rPr>
              <w:t>U-0.174</w:t>
            </w:r>
          </w:p>
        </w:tc>
        <w:tc>
          <w:tcPr>
            <w:tcW w:w="900" w:type="dxa"/>
            <w:vAlign w:val="center"/>
          </w:tcPr>
          <w:p w14:paraId="5408F647" w14:textId="77777777" w:rsidR="00DB1AEE" w:rsidRPr="00DB1AEE" w:rsidRDefault="00DB1AEE" w:rsidP="00DB1AEE">
            <w:pPr>
              <w:suppressAutoHyphens/>
              <w:jc w:val="center"/>
              <w:rPr>
                <w:sz w:val="18"/>
                <w:szCs w:val="18"/>
                <w:u w:val="single"/>
              </w:rPr>
            </w:pPr>
            <w:r w:rsidRPr="00DB1AEE">
              <w:rPr>
                <w:sz w:val="18"/>
                <w:szCs w:val="18"/>
                <w:u w:val="single"/>
              </w:rPr>
              <w:t>U-0.170</w:t>
            </w:r>
          </w:p>
        </w:tc>
        <w:tc>
          <w:tcPr>
            <w:tcW w:w="900" w:type="dxa"/>
            <w:vAlign w:val="center"/>
          </w:tcPr>
          <w:p w14:paraId="76DCD2B6" w14:textId="77777777" w:rsidR="00DB1AEE" w:rsidRPr="00DB1AEE" w:rsidRDefault="00DB1AEE" w:rsidP="00DB1AEE">
            <w:pPr>
              <w:suppressAutoHyphens/>
              <w:jc w:val="center"/>
              <w:rPr>
                <w:sz w:val="18"/>
                <w:szCs w:val="18"/>
                <w:u w:val="single"/>
              </w:rPr>
            </w:pPr>
            <w:r w:rsidRPr="00DB1AEE">
              <w:rPr>
                <w:sz w:val="18"/>
                <w:szCs w:val="18"/>
                <w:u w:val="single"/>
              </w:rPr>
              <w:t>U-0.167</w:t>
            </w:r>
          </w:p>
        </w:tc>
      </w:tr>
      <w:tr w:rsidR="00DB1AEE" w:rsidRPr="00DB1AEE" w14:paraId="2B293BFF" w14:textId="77777777" w:rsidTr="00FC1832">
        <w:trPr>
          <w:jc w:val="center"/>
        </w:trPr>
        <w:tc>
          <w:tcPr>
            <w:tcW w:w="1345" w:type="dxa"/>
            <w:vMerge w:val="restart"/>
            <w:vAlign w:val="center"/>
          </w:tcPr>
          <w:p w14:paraId="7C866027" w14:textId="77777777" w:rsidR="00DB1AEE" w:rsidRPr="00DB1AEE" w:rsidRDefault="00DB1AEE" w:rsidP="00DB1AEE">
            <w:pPr>
              <w:suppressAutoHyphens/>
              <w:jc w:val="left"/>
              <w:rPr>
                <w:sz w:val="18"/>
                <w:szCs w:val="18"/>
                <w:u w:val="single"/>
              </w:rPr>
            </w:pPr>
            <w:r w:rsidRPr="00DB1AEE">
              <w:rPr>
                <w:sz w:val="18"/>
                <w:szCs w:val="18"/>
                <w:u w:val="single"/>
              </w:rPr>
              <w:t>Structural glazing</w:t>
            </w:r>
            <w:r w:rsidRPr="00DB1AEE">
              <w:rPr>
                <w:sz w:val="18"/>
                <w:szCs w:val="18"/>
                <w:u w:val="single"/>
                <w:vertAlign w:val="superscript"/>
              </w:rPr>
              <w:t>d</w:t>
            </w:r>
          </w:p>
        </w:tc>
        <w:tc>
          <w:tcPr>
            <w:tcW w:w="2070" w:type="dxa"/>
            <w:vAlign w:val="center"/>
          </w:tcPr>
          <w:p w14:paraId="4A23AD81" w14:textId="77777777" w:rsidR="00DB1AEE" w:rsidRPr="00DB1AEE" w:rsidRDefault="00DB1AEE" w:rsidP="00DB1AEE">
            <w:pPr>
              <w:suppressAutoHyphens/>
              <w:jc w:val="left"/>
              <w:rPr>
                <w:sz w:val="18"/>
                <w:szCs w:val="18"/>
                <w:u w:val="single"/>
              </w:rPr>
            </w:pPr>
            <w:r w:rsidRPr="00DB1AEE">
              <w:rPr>
                <w:sz w:val="18"/>
                <w:szCs w:val="18"/>
                <w:u w:val="single"/>
              </w:rPr>
              <w:t>Single glass pane, stone, or metal panel</w:t>
            </w:r>
          </w:p>
        </w:tc>
        <w:tc>
          <w:tcPr>
            <w:tcW w:w="900" w:type="dxa"/>
            <w:vAlign w:val="center"/>
          </w:tcPr>
          <w:p w14:paraId="55C41916" w14:textId="77777777" w:rsidR="00DB1AEE" w:rsidRPr="00DB1AEE" w:rsidRDefault="00DB1AEE" w:rsidP="00DB1AEE">
            <w:pPr>
              <w:suppressAutoHyphens/>
              <w:jc w:val="center"/>
              <w:rPr>
                <w:sz w:val="18"/>
                <w:szCs w:val="18"/>
                <w:u w:val="single"/>
              </w:rPr>
            </w:pPr>
            <w:r w:rsidRPr="00DB1AEE">
              <w:rPr>
                <w:sz w:val="18"/>
                <w:szCs w:val="18"/>
                <w:u w:val="single"/>
              </w:rPr>
              <w:t>U-0.428</w:t>
            </w:r>
          </w:p>
          <w:p w14:paraId="5F03380F" w14:textId="77777777" w:rsidR="00DB1AEE" w:rsidRPr="00DB1AEE" w:rsidRDefault="00DB1AEE" w:rsidP="00DB1AEE">
            <w:pPr>
              <w:suppressAutoHyphens/>
              <w:jc w:val="center"/>
              <w:rPr>
                <w:sz w:val="18"/>
                <w:szCs w:val="18"/>
                <w:u w:val="single"/>
              </w:rPr>
            </w:pPr>
          </w:p>
        </w:tc>
        <w:tc>
          <w:tcPr>
            <w:tcW w:w="900" w:type="dxa"/>
            <w:vAlign w:val="center"/>
          </w:tcPr>
          <w:p w14:paraId="198A73D7" w14:textId="77777777" w:rsidR="00DB1AEE" w:rsidRPr="00DB1AEE" w:rsidRDefault="00DB1AEE" w:rsidP="00DB1AEE">
            <w:pPr>
              <w:suppressAutoHyphens/>
              <w:jc w:val="center"/>
              <w:rPr>
                <w:sz w:val="18"/>
                <w:szCs w:val="18"/>
                <w:u w:val="single"/>
              </w:rPr>
            </w:pPr>
            <w:r w:rsidRPr="00DB1AEE">
              <w:rPr>
                <w:sz w:val="18"/>
                <w:szCs w:val="18"/>
                <w:u w:val="single"/>
              </w:rPr>
              <w:t>U-0.217</w:t>
            </w:r>
          </w:p>
          <w:p w14:paraId="6F8AB128" w14:textId="77777777" w:rsidR="00DB1AEE" w:rsidRPr="00DB1AEE" w:rsidRDefault="00DB1AEE" w:rsidP="00DB1AEE">
            <w:pPr>
              <w:suppressAutoHyphens/>
              <w:jc w:val="center"/>
              <w:rPr>
                <w:sz w:val="18"/>
                <w:szCs w:val="18"/>
                <w:u w:val="single"/>
              </w:rPr>
            </w:pPr>
          </w:p>
        </w:tc>
        <w:tc>
          <w:tcPr>
            <w:tcW w:w="900" w:type="dxa"/>
            <w:vAlign w:val="center"/>
          </w:tcPr>
          <w:p w14:paraId="36BB3242" w14:textId="77777777" w:rsidR="00DB1AEE" w:rsidRPr="00DB1AEE" w:rsidRDefault="00DB1AEE" w:rsidP="00DB1AEE">
            <w:pPr>
              <w:suppressAutoHyphens/>
              <w:jc w:val="center"/>
              <w:rPr>
                <w:sz w:val="18"/>
                <w:szCs w:val="18"/>
                <w:u w:val="single"/>
              </w:rPr>
            </w:pPr>
            <w:r w:rsidRPr="00DB1AEE">
              <w:rPr>
                <w:sz w:val="18"/>
                <w:szCs w:val="18"/>
                <w:u w:val="single"/>
              </w:rPr>
              <w:t>U-0.180</w:t>
            </w:r>
          </w:p>
        </w:tc>
        <w:tc>
          <w:tcPr>
            <w:tcW w:w="900" w:type="dxa"/>
            <w:vAlign w:val="center"/>
          </w:tcPr>
          <w:p w14:paraId="4683E904" w14:textId="77777777" w:rsidR="00DB1AEE" w:rsidRPr="00DB1AEE" w:rsidRDefault="00DB1AEE" w:rsidP="00DB1AEE">
            <w:pPr>
              <w:suppressAutoHyphens/>
              <w:jc w:val="center"/>
              <w:rPr>
                <w:sz w:val="18"/>
                <w:szCs w:val="18"/>
                <w:u w:val="single"/>
              </w:rPr>
            </w:pPr>
            <w:r w:rsidRPr="00DB1AEE">
              <w:rPr>
                <w:sz w:val="18"/>
                <w:szCs w:val="18"/>
                <w:u w:val="single"/>
              </w:rPr>
              <w:t>U-0.161</w:t>
            </w:r>
          </w:p>
        </w:tc>
        <w:tc>
          <w:tcPr>
            <w:tcW w:w="900" w:type="dxa"/>
            <w:vAlign w:val="center"/>
          </w:tcPr>
          <w:p w14:paraId="4D8F0C87" w14:textId="77777777" w:rsidR="00DB1AEE" w:rsidRPr="00DB1AEE" w:rsidRDefault="00DB1AEE" w:rsidP="00DB1AEE">
            <w:pPr>
              <w:suppressAutoHyphens/>
              <w:jc w:val="center"/>
              <w:rPr>
                <w:sz w:val="18"/>
                <w:szCs w:val="18"/>
                <w:u w:val="single"/>
              </w:rPr>
            </w:pPr>
            <w:r w:rsidRPr="00DB1AEE">
              <w:rPr>
                <w:sz w:val="18"/>
                <w:szCs w:val="18"/>
                <w:u w:val="single"/>
              </w:rPr>
              <w:t>U-0.145</w:t>
            </w:r>
          </w:p>
        </w:tc>
        <w:tc>
          <w:tcPr>
            <w:tcW w:w="900" w:type="dxa"/>
            <w:vAlign w:val="center"/>
          </w:tcPr>
          <w:p w14:paraId="03E07B3A" w14:textId="77777777" w:rsidR="00DB1AEE" w:rsidRPr="00DB1AEE" w:rsidRDefault="00DB1AEE" w:rsidP="00DB1AEE">
            <w:pPr>
              <w:suppressAutoHyphens/>
              <w:jc w:val="center"/>
              <w:rPr>
                <w:sz w:val="18"/>
                <w:szCs w:val="18"/>
                <w:u w:val="single"/>
              </w:rPr>
            </w:pPr>
            <w:r w:rsidRPr="00DB1AEE">
              <w:rPr>
                <w:sz w:val="18"/>
                <w:szCs w:val="18"/>
                <w:u w:val="single"/>
              </w:rPr>
              <w:t>U-0.136</w:t>
            </w:r>
          </w:p>
        </w:tc>
        <w:tc>
          <w:tcPr>
            <w:tcW w:w="900" w:type="dxa"/>
            <w:vAlign w:val="center"/>
          </w:tcPr>
          <w:p w14:paraId="55E40DED" w14:textId="77777777" w:rsidR="00DB1AEE" w:rsidRPr="00DB1AEE" w:rsidRDefault="00DB1AEE" w:rsidP="00DB1AEE">
            <w:pPr>
              <w:suppressAutoHyphens/>
              <w:jc w:val="center"/>
              <w:rPr>
                <w:sz w:val="18"/>
                <w:szCs w:val="18"/>
                <w:u w:val="single"/>
              </w:rPr>
            </w:pPr>
            <w:r w:rsidRPr="00DB1AEE">
              <w:rPr>
                <w:sz w:val="18"/>
                <w:szCs w:val="18"/>
                <w:u w:val="single"/>
              </w:rPr>
              <w:t>U-0.130</w:t>
            </w:r>
          </w:p>
        </w:tc>
        <w:tc>
          <w:tcPr>
            <w:tcW w:w="900" w:type="dxa"/>
            <w:vAlign w:val="center"/>
          </w:tcPr>
          <w:p w14:paraId="28F71D3B" w14:textId="77777777" w:rsidR="00DB1AEE" w:rsidRPr="00DB1AEE" w:rsidRDefault="00DB1AEE" w:rsidP="00DB1AEE">
            <w:pPr>
              <w:suppressAutoHyphens/>
              <w:jc w:val="center"/>
              <w:rPr>
                <w:sz w:val="18"/>
                <w:szCs w:val="18"/>
                <w:u w:val="single"/>
              </w:rPr>
            </w:pPr>
            <w:r w:rsidRPr="00DB1AEE">
              <w:rPr>
                <w:sz w:val="18"/>
                <w:szCs w:val="18"/>
                <w:u w:val="single"/>
              </w:rPr>
              <w:t>U-0.126</w:t>
            </w:r>
          </w:p>
        </w:tc>
      </w:tr>
      <w:tr w:rsidR="00DB1AEE" w:rsidRPr="00DB1AEE" w14:paraId="38632D4D" w14:textId="77777777" w:rsidTr="00FC1832">
        <w:trPr>
          <w:jc w:val="center"/>
        </w:trPr>
        <w:tc>
          <w:tcPr>
            <w:tcW w:w="1345" w:type="dxa"/>
            <w:vMerge/>
            <w:vAlign w:val="center"/>
          </w:tcPr>
          <w:p w14:paraId="67EF7E20" w14:textId="77777777" w:rsidR="00DB1AEE" w:rsidRPr="00DB1AEE" w:rsidRDefault="00DB1AEE" w:rsidP="00DB1AEE">
            <w:pPr>
              <w:pBdr>
                <w:top w:val="nil"/>
                <w:left w:val="nil"/>
                <w:bottom w:val="nil"/>
                <w:right w:val="nil"/>
                <w:between w:val="nil"/>
              </w:pBdr>
              <w:suppressAutoHyphens/>
              <w:jc w:val="left"/>
              <w:rPr>
                <w:sz w:val="18"/>
                <w:szCs w:val="18"/>
                <w:u w:val="single"/>
              </w:rPr>
            </w:pPr>
          </w:p>
        </w:tc>
        <w:tc>
          <w:tcPr>
            <w:tcW w:w="2070" w:type="dxa"/>
            <w:vAlign w:val="center"/>
          </w:tcPr>
          <w:p w14:paraId="69C67F51" w14:textId="77777777" w:rsidR="00DB1AEE" w:rsidRPr="00DB1AEE" w:rsidRDefault="00DB1AEE" w:rsidP="00DB1AEE">
            <w:pPr>
              <w:suppressAutoHyphens/>
              <w:jc w:val="left"/>
              <w:rPr>
                <w:sz w:val="18"/>
                <w:szCs w:val="18"/>
                <w:u w:val="single"/>
              </w:rPr>
            </w:pPr>
            <w:r w:rsidRPr="00DB1AEE">
              <w:rPr>
                <w:sz w:val="18"/>
                <w:szCs w:val="18"/>
                <w:u w:val="single"/>
              </w:rPr>
              <w:t>Double glazing with no low-e coatings</w:t>
            </w:r>
          </w:p>
        </w:tc>
        <w:tc>
          <w:tcPr>
            <w:tcW w:w="900" w:type="dxa"/>
            <w:vAlign w:val="center"/>
          </w:tcPr>
          <w:p w14:paraId="7F0F43A1" w14:textId="77777777" w:rsidR="00DB1AEE" w:rsidRPr="00DB1AEE" w:rsidRDefault="00DB1AEE" w:rsidP="00DB1AEE">
            <w:pPr>
              <w:suppressAutoHyphens/>
              <w:jc w:val="center"/>
              <w:rPr>
                <w:sz w:val="18"/>
                <w:szCs w:val="18"/>
                <w:u w:val="single"/>
              </w:rPr>
            </w:pPr>
            <w:r w:rsidRPr="00DB1AEE">
              <w:rPr>
                <w:sz w:val="18"/>
                <w:szCs w:val="18"/>
                <w:u w:val="single"/>
              </w:rPr>
              <w:t>U-0.316</w:t>
            </w:r>
          </w:p>
        </w:tc>
        <w:tc>
          <w:tcPr>
            <w:tcW w:w="900" w:type="dxa"/>
            <w:vAlign w:val="center"/>
          </w:tcPr>
          <w:p w14:paraId="07A26556" w14:textId="77777777" w:rsidR="00DB1AEE" w:rsidRPr="00DB1AEE" w:rsidRDefault="00DB1AEE" w:rsidP="00DB1AEE">
            <w:pPr>
              <w:suppressAutoHyphens/>
              <w:jc w:val="center"/>
              <w:rPr>
                <w:sz w:val="18"/>
                <w:szCs w:val="18"/>
                <w:u w:val="single"/>
              </w:rPr>
            </w:pPr>
            <w:r w:rsidRPr="00DB1AEE">
              <w:rPr>
                <w:sz w:val="18"/>
                <w:szCs w:val="18"/>
                <w:u w:val="single"/>
              </w:rPr>
              <w:t>U-0.199</w:t>
            </w:r>
          </w:p>
          <w:p w14:paraId="7C1652CE" w14:textId="77777777" w:rsidR="00DB1AEE" w:rsidRPr="00DB1AEE" w:rsidRDefault="00DB1AEE" w:rsidP="00DB1AEE">
            <w:pPr>
              <w:suppressAutoHyphens/>
              <w:jc w:val="center"/>
              <w:rPr>
                <w:sz w:val="18"/>
                <w:szCs w:val="18"/>
                <w:u w:val="single"/>
              </w:rPr>
            </w:pPr>
          </w:p>
        </w:tc>
        <w:tc>
          <w:tcPr>
            <w:tcW w:w="900" w:type="dxa"/>
            <w:vAlign w:val="center"/>
          </w:tcPr>
          <w:p w14:paraId="7F739C5F" w14:textId="77777777" w:rsidR="00DB1AEE" w:rsidRPr="00DB1AEE" w:rsidRDefault="00DB1AEE" w:rsidP="00DB1AEE">
            <w:pPr>
              <w:suppressAutoHyphens/>
              <w:jc w:val="center"/>
              <w:rPr>
                <w:sz w:val="18"/>
                <w:szCs w:val="18"/>
                <w:u w:val="single"/>
              </w:rPr>
            </w:pPr>
            <w:r w:rsidRPr="00DB1AEE">
              <w:rPr>
                <w:sz w:val="18"/>
                <w:szCs w:val="18"/>
                <w:u w:val="single"/>
              </w:rPr>
              <w:t>U-0.172</w:t>
            </w:r>
          </w:p>
        </w:tc>
        <w:tc>
          <w:tcPr>
            <w:tcW w:w="900" w:type="dxa"/>
            <w:vAlign w:val="center"/>
          </w:tcPr>
          <w:p w14:paraId="1142EC50" w14:textId="77777777" w:rsidR="00DB1AEE" w:rsidRPr="00DB1AEE" w:rsidRDefault="00DB1AEE" w:rsidP="00DB1AEE">
            <w:pPr>
              <w:suppressAutoHyphens/>
              <w:jc w:val="center"/>
              <w:rPr>
                <w:sz w:val="18"/>
                <w:szCs w:val="18"/>
                <w:u w:val="single"/>
              </w:rPr>
            </w:pPr>
            <w:r w:rsidRPr="00DB1AEE">
              <w:rPr>
                <w:sz w:val="18"/>
                <w:szCs w:val="18"/>
                <w:u w:val="single"/>
              </w:rPr>
              <w:t>U-0.157</w:t>
            </w:r>
          </w:p>
        </w:tc>
        <w:tc>
          <w:tcPr>
            <w:tcW w:w="900" w:type="dxa"/>
            <w:vAlign w:val="center"/>
          </w:tcPr>
          <w:p w14:paraId="4F708005" w14:textId="77777777" w:rsidR="00DB1AEE" w:rsidRPr="00DB1AEE" w:rsidRDefault="00DB1AEE" w:rsidP="00DB1AEE">
            <w:pPr>
              <w:suppressAutoHyphens/>
              <w:jc w:val="center"/>
              <w:rPr>
                <w:sz w:val="18"/>
                <w:szCs w:val="18"/>
                <w:u w:val="single"/>
              </w:rPr>
            </w:pPr>
            <w:r w:rsidRPr="00DB1AEE">
              <w:rPr>
                <w:sz w:val="18"/>
                <w:szCs w:val="18"/>
                <w:u w:val="single"/>
              </w:rPr>
              <w:t>U-0.143</w:t>
            </w:r>
          </w:p>
        </w:tc>
        <w:tc>
          <w:tcPr>
            <w:tcW w:w="900" w:type="dxa"/>
            <w:vAlign w:val="center"/>
          </w:tcPr>
          <w:p w14:paraId="29EC1A2E" w14:textId="77777777" w:rsidR="00DB1AEE" w:rsidRPr="00DB1AEE" w:rsidRDefault="00DB1AEE" w:rsidP="00DB1AEE">
            <w:pPr>
              <w:suppressAutoHyphens/>
              <w:jc w:val="center"/>
              <w:rPr>
                <w:sz w:val="18"/>
                <w:szCs w:val="18"/>
                <w:u w:val="single"/>
              </w:rPr>
            </w:pPr>
            <w:r w:rsidRPr="00DB1AEE">
              <w:rPr>
                <w:sz w:val="18"/>
                <w:szCs w:val="18"/>
                <w:u w:val="single"/>
              </w:rPr>
              <w:t>U-0.135</w:t>
            </w:r>
          </w:p>
        </w:tc>
        <w:tc>
          <w:tcPr>
            <w:tcW w:w="900" w:type="dxa"/>
            <w:vAlign w:val="center"/>
          </w:tcPr>
          <w:p w14:paraId="61B532CC" w14:textId="77777777" w:rsidR="00DB1AEE" w:rsidRPr="00DB1AEE" w:rsidRDefault="00DB1AEE" w:rsidP="00DB1AEE">
            <w:pPr>
              <w:suppressAutoHyphens/>
              <w:jc w:val="center"/>
              <w:rPr>
                <w:sz w:val="18"/>
                <w:szCs w:val="18"/>
                <w:u w:val="single"/>
              </w:rPr>
            </w:pPr>
            <w:r w:rsidRPr="00DB1AEE">
              <w:rPr>
                <w:sz w:val="18"/>
                <w:szCs w:val="18"/>
                <w:u w:val="single"/>
              </w:rPr>
              <w:t>U-0.129</w:t>
            </w:r>
          </w:p>
        </w:tc>
        <w:tc>
          <w:tcPr>
            <w:tcW w:w="900" w:type="dxa"/>
            <w:vAlign w:val="center"/>
          </w:tcPr>
          <w:p w14:paraId="7F6A9F03" w14:textId="77777777" w:rsidR="00DB1AEE" w:rsidRPr="00DB1AEE" w:rsidRDefault="00DB1AEE" w:rsidP="00DB1AEE">
            <w:pPr>
              <w:suppressAutoHyphens/>
              <w:jc w:val="center"/>
              <w:rPr>
                <w:sz w:val="18"/>
                <w:szCs w:val="18"/>
                <w:u w:val="single"/>
              </w:rPr>
            </w:pPr>
            <w:r w:rsidRPr="00DB1AEE">
              <w:rPr>
                <w:sz w:val="18"/>
                <w:szCs w:val="18"/>
                <w:u w:val="single"/>
              </w:rPr>
              <w:t>U-0.126</w:t>
            </w:r>
          </w:p>
        </w:tc>
      </w:tr>
      <w:tr w:rsidR="00DB1AEE" w:rsidRPr="00DB1AEE" w14:paraId="6A124B34" w14:textId="77777777" w:rsidTr="00FC1832">
        <w:trPr>
          <w:jc w:val="center"/>
        </w:trPr>
        <w:tc>
          <w:tcPr>
            <w:tcW w:w="1345" w:type="dxa"/>
            <w:vMerge/>
            <w:vAlign w:val="center"/>
          </w:tcPr>
          <w:p w14:paraId="4FCDBC83" w14:textId="77777777" w:rsidR="00DB1AEE" w:rsidRPr="00DB1AEE" w:rsidRDefault="00DB1AEE" w:rsidP="00DB1AEE">
            <w:pPr>
              <w:pBdr>
                <w:top w:val="nil"/>
                <w:left w:val="nil"/>
                <w:bottom w:val="nil"/>
                <w:right w:val="nil"/>
                <w:between w:val="nil"/>
              </w:pBdr>
              <w:suppressAutoHyphens/>
              <w:jc w:val="left"/>
              <w:rPr>
                <w:sz w:val="18"/>
                <w:szCs w:val="18"/>
                <w:u w:val="single"/>
              </w:rPr>
            </w:pPr>
          </w:p>
        </w:tc>
        <w:tc>
          <w:tcPr>
            <w:tcW w:w="2070" w:type="dxa"/>
            <w:vAlign w:val="center"/>
          </w:tcPr>
          <w:p w14:paraId="22C5C9C1" w14:textId="77777777" w:rsidR="00DB1AEE" w:rsidRPr="00DB1AEE" w:rsidRDefault="00DB1AEE" w:rsidP="00DB1AEE">
            <w:pPr>
              <w:suppressAutoHyphens/>
              <w:jc w:val="left"/>
              <w:rPr>
                <w:sz w:val="18"/>
                <w:szCs w:val="18"/>
                <w:u w:val="single"/>
              </w:rPr>
            </w:pPr>
            <w:r w:rsidRPr="00DB1AEE">
              <w:rPr>
                <w:sz w:val="18"/>
                <w:szCs w:val="18"/>
                <w:u w:val="single"/>
              </w:rPr>
              <w:t>Triple glazing or double glazing with low-e glass</w:t>
            </w:r>
          </w:p>
        </w:tc>
        <w:tc>
          <w:tcPr>
            <w:tcW w:w="900" w:type="dxa"/>
            <w:vAlign w:val="center"/>
          </w:tcPr>
          <w:p w14:paraId="18D9B4A0" w14:textId="77777777" w:rsidR="00DB1AEE" w:rsidRPr="00DB1AEE" w:rsidRDefault="00DB1AEE" w:rsidP="00DB1AEE">
            <w:pPr>
              <w:suppressAutoHyphens/>
              <w:jc w:val="center"/>
              <w:rPr>
                <w:sz w:val="18"/>
                <w:szCs w:val="18"/>
                <w:u w:val="single"/>
              </w:rPr>
            </w:pPr>
            <w:r w:rsidRPr="00DB1AEE">
              <w:rPr>
                <w:sz w:val="18"/>
                <w:szCs w:val="18"/>
                <w:u w:val="single"/>
              </w:rPr>
              <w:t>U-0.257</w:t>
            </w:r>
          </w:p>
        </w:tc>
        <w:tc>
          <w:tcPr>
            <w:tcW w:w="900" w:type="dxa"/>
            <w:vAlign w:val="center"/>
          </w:tcPr>
          <w:p w14:paraId="72F32AD9" w14:textId="77777777" w:rsidR="00DB1AEE" w:rsidRPr="00DB1AEE" w:rsidRDefault="00DB1AEE" w:rsidP="00DB1AEE">
            <w:pPr>
              <w:suppressAutoHyphens/>
              <w:jc w:val="center"/>
              <w:rPr>
                <w:sz w:val="18"/>
                <w:szCs w:val="18"/>
                <w:u w:val="single"/>
              </w:rPr>
            </w:pPr>
            <w:r w:rsidRPr="00DB1AEE">
              <w:rPr>
                <w:sz w:val="18"/>
                <w:szCs w:val="18"/>
                <w:u w:val="single"/>
              </w:rPr>
              <w:t>U-0.186</w:t>
            </w:r>
          </w:p>
          <w:p w14:paraId="75BFC708" w14:textId="77777777" w:rsidR="00DB1AEE" w:rsidRPr="00DB1AEE" w:rsidRDefault="00DB1AEE" w:rsidP="00DB1AEE">
            <w:pPr>
              <w:suppressAutoHyphens/>
              <w:jc w:val="center"/>
              <w:rPr>
                <w:sz w:val="18"/>
                <w:szCs w:val="18"/>
                <w:u w:val="single"/>
              </w:rPr>
            </w:pPr>
          </w:p>
        </w:tc>
        <w:tc>
          <w:tcPr>
            <w:tcW w:w="900" w:type="dxa"/>
            <w:vAlign w:val="center"/>
          </w:tcPr>
          <w:p w14:paraId="59437604" w14:textId="77777777" w:rsidR="00DB1AEE" w:rsidRPr="00DB1AEE" w:rsidRDefault="00DB1AEE" w:rsidP="00DB1AEE">
            <w:pPr>
              <w:suppressAutoHyphens/>
              <w:jc w:val="center"/>
              <w:rPr>
                <w:sz w:val="18"/>
                <w:szCs w:val="18"/>
                <w:u w:val="single"/>
              </w:rPr>
            </w:pPr>
            <w:r w:rsidRPr="00DB1AEE">
              <w:rPr>
                <w:sz w:val="18"/>
                <w:szCs w:val="18"/>
                <w:u w:val="single"/>
              </w:rPr>
              <w:t>U-0.165</w:t>
            </w:r>
          </w:p>
        </w:tc>
        <w:tc>
          <w:tcPr>
            <w:tcW w:w="900" w:type="dxa"/>
            <w:vAlign w:val="center"/>
          </w:tcPr>
          <w:p w14:paraId="0C1357E4" w14:textId="77777777" w:rsidR="00DB1AEE" w:rsidRPr="00DB1AEE" w:rsidRDefault="00DB1AEE" w:rsidP="00DB1AEE">
            <w:pPr>
              <w:suppressAutoHyphens/>
              <w:jc w:val="center"/>
              <w:rPr>
                <w:sz w:val="18"/>
                <w:szCs w:val="18"/>
                <w:u w:val="single"/>
              </w:rPr>
            </w:pPr>
            <w:r w:rsidRPr="00DB1AEE">
              <w:rPr>
                <w:sz w:val="18"/>
                <w:szCs w:val="18"/>
                <w:u w:val="single"/>
              </w:rPr>
              <w:t>U-0.152</w:t>
            </w:r>
          </w:p>
        </w:tc>
        <w:tc>
          <w:tcPr>
            <w:tcW w:w="900" w:type="dxa"/>
            <w:vAlign w:val="center"/>
          </w:tcPr>
          <w:p w14:paraId="5D1F7089" w14:textId="77777777" w:rsidR="00DB1AEE" w:rsidRPr="00DB1AEE" w:rsidRDefault="00DB1AEE" w:rsidP="00DB1AEE">
            <w:pPr>
              <w:suppressAutoHyphens/>
              <w:jc w:val="center"/>
              <w:rPr>
                <w:sz w:val="18"/>
                <w:szCs w:val="18"/>
                <w:u w:val="single"/>
              </w:rPr>
            </w:pPr>
            <w:r w:rsidRPr="00DB1AEE">
              <w:rPr>
                <w:sz w:val="18"/>
                <w:szCs w:val="18"/>
                <w:u w:val="single"/>
              </w:rPr>
              <w:t>U-0.140</w:t>
            </w:r>
          </w:p>
        </w:tc>
        <w:tc>
          <w:tcPr>
            <w:tcW w:w="900" w:type="dxa"/>
            <w:vAlign w:val="center"/>
          </w:tcPr>
          <w:p w14:paraId="1A2D2624" w14:textId="77777777" w:rsidR="00DB1AEE" w:rsidRPr="00DB1AEE" w:rsidRDefault="00DB1AEE" w:rsidP="00DB1AEE">
            <w:pPr>
              <w:suppressAutoHyphens/>
              <w:jc w:val="center"/>
              <w:rPr>
                <w:sz w:val="18"/>
                <w:szCs w:val="18"/>
                <w:u w:val="single"/>
              </w:rPr>
            </w:pPr>
            <w:r w:rsidRPr="00DB1AEE">
              <w:rPr>
                <w:sz w:val="18"/>
                <w:szCs w:val="18"/>
                <w:u w:val="single"/>
              </w:rPr>
              <w:t>U-0.133</w:t>
            </w:r>
          </w:p>
        </w:tc>
        <w:tc>
          <w:tcPr>
            <w:tcW w:w="900" w:type="dxa"/>
            <w:vAlign w:val="center"/>
          </w:tcPr>
          <w:p w14:paraId="511CFBE8" w14:textId="77777777" w:rsidR="00DB1AEE" w:rsidRPr="00DB1AEE" w:rsidRDefault="00DB1AEE" w:rsidP="00DB1AEE">
            <w:pPr>
              <w:suppressAutoHyphens/>
              <w:jc w:val="center"/>
              <w:rPr>
                <w:sz w:val="18"/>
                <w:szCs w:val="18"/>
                <w:u w:val="single"/>
              </w:rPr>
            </w:pPr>
            <w:r w:rsidRPr="00DB1AEE">
              <w:rPr>
                <w:sz w:val="18"/>
                <w:szCs w:val="18"/>
                <w:u w:val="single"/>
              </w:rPr>
              <w:t>U-0.128</w:t>
            </w:r>
          </w:p>
        </w:tc>
        <w:tc>
          <w:tcPr>
            <w:tcW w:w="900" w:type="dxa"/>
            <w:vAlign w:val="center"/>
          </w:tcPr>
          <w:p w14:paraId="5FF8E266" w14:textId="77777777" w:rsidR="00DB1AEE" w:rsidRPr="00DB1AEE" w:rsidRDefault="00DB1AEE" w:rsidP="00DB1AEE">
            <w:pPr>
              <w:suppressAutoHyphens/>
              <w:jc w:val="center"/>
              <w:rPr>
                <w:sz w:val="18"/>
                <w:szCs w:val="18"/>
                <w:u w:val="single"/>
              </w:rPr>
            </w:pPr>
            <w:r w:rsidRPr="00DB1AEE">
              <w:rPr>
                <w:sz w:val="18"/>
                <w:szCs w:val="18"/>
                <w:u w:val="single"/>
              </w:rPr>
              <w:t>U-0.125</w:t>
            </w:r>
          </w:p>
        </w:tc>
      </w:tr>
      <w:tr w:rsidR="00DB1AEE" w:rsidRPr="00DB1AEE" w14:paraId="3EBFD8B5" w14:textId="77777777" w:rsidTr="00FC1832">
        <w:trPr>
          <w:jc w:val="center"/>
        </w:trPr>
        <w:tc>
          <w:tcPr>
            <w:tcW w:w="1345" w:type="dxa"/>
            <w:vMerge w:val="restart"/>
            <w:vAlign w:val="center"/>
          </w:tcPr>
          <w:p w14:paraId="5ADBF629" w14:textId="77777777" w:rsidR="00DB1AEE" w:rsidRPr="00DB1AEE" w:rsidRDefault="00DB1AEE" w:rsidP="00DB1AEE">
            <w:pPr>
              <w:suppressAutoHyphens/>
              <w:jc w:val="left"/>
              <w:rPr>
                <w:sz w:val="18"/>
                <w:szCs w:val="18"/>
                <w:u w:val="single"/>
              </w:rPr>
            </w:pPr>
            <w:r w:rsidRPr="00DB1AEE">
              <w:rPr>
                <w:sz w:val="18"/>
                <w:szCs w:val="18"/>
                <w:u w:val="single"/>
              </w:rPr>
              <w:t>No framing or insulation is continuous</w:t>
            </w:r>
            <w:r w:rsidRPr="00DB1AEE">
              <w:rPr>
                <w:sz w:val="18"/>
                <w:szCs w:val="18"/>
                <w:u w:val="single"/>
                <w:vertAlign w:val="superscript"/>
              </w:rPr>
              <w:t>e</w:t>
            </w:r>
          </w:p>
        </w:tc>
        <w:tc>
          <w:tcPr>
            <w:tcW w:w="2070" w:type="dxa"/>
            <w:vAlign w:val="center"/>
          </w:tcPr>
          <w:p w14:paraId="437F6ECB" w14:textId="77777777" w:rsidR="00DB1AEE" w:rsidRPr="00DB1AEE" w:rsidRDefault="00DB1AEE" w:rsidP="00DB1AEE">
            <w:pPr>
              <w:suppressAutoHyphens/>
              <w:jc w:val="left"/>
              <w:rPr>
                <w:sz w:val="18"/>
                <w:szCs w:val="18"/>
                <w:u w:val="single"/>
              </w:rPr>
            </w:pPr>
            <w:r w:rsidRPr="00DB1AEE">
              <w:rPr>
                <w:sz w:val="18"/>
                <w:szCs w:val="18"/>
                <w:u w:val="single"/>
              </w:rPr>
              <w:t>Single glass pane, stone, or metal panel</w:t>
            </w:r>
          </w:p>
        </w:tc>
        <w:tc>
          <w:tcPr>
            <w:tcW w:w="900" w:type="dxa"/>
            <w:vAlign w:val="center"/>
          </w:tcPr>
          <w:p w14:paraId="0ACA2ACE" w14:textId="77777777" w:rsidR="00DB1AEE" w:rsidRPr="00DB1AEE" w:rsidRDefault="00DB1AEE" w:rsidP="00DB1AEE">
            <w:pPr>
              <w:tabs>
                <w:tab w:val="num" w:pos="720"/>
              </w:tabs>
              <w:suppressAutoHyphens/>
              <w:ind w:left="720" w:hanging="720"/>
              <w:jc w:val="center"/>
              <w:outlineLvl w:val="5"/>
              <w:rPr>
                <w:b/>
                <w:caps/>
                <w:sz w:val="18"/>
                <w:szCs w:val="18"/>
                <w:u w:val="single"/>
              </w:rPr>
            </w:pPr>
            <w:r w:rsidRPr="00DB1AEE">
              <w:rPr>
                <w:b/>
                <w:caps/>
                <w:sz w:val="18"/>
                <w:szCs w:val="18"/>
                <w:u w:val="single"/>
              </w:rPr>
              <w:t>U-0.445</w:t>
            </w:r>
          </w:p>
        </w:tc>
        <w:tc>
          <w:tcPr>
            <w:tcW w:w="900" w:type="dxa"/>
            <w:vAlign w:val="center"/>
          </w:tcPr>
          <w:p w14:paraId="08D8D823" w14:textId="77777777" w:rsidR="00DB1AEE" w:rsidRPr="00DB1AEE" w:rsidRDefault="00DB1AEE" w:rsidP="00DB1AEE">
            <w:pPr>
              <w:suppressAutoHyphens/>
              <w:jc w:val="center"/>
              <w:rPr>
                <w:sz w:val="18"/>
                <w:szCs w:val="18"/>
                <w:u w:val="single"/>
              </w:rPr>
            </w:pPr>
            <w:r w:rsidRPr="00DB1AEE">
              <w:rPr>
                <w:sz w:val="18"/>
                <w:szCs w:val="18"/>
                <w:u w:val="single"/>
              </w:rPr>
              <w:t>U-0.160</w:t>
            </w:r>
          </w:p>
          <w:p w14:paraId="01E86C25" w14:textId="77777777" w:rsidR="00DB1AEE" w:rsidRPr="00DB1AEE" w:rsidRDefault="00DB1AEE" w:rsidP="00DB1AEE">
            <w:pPr>
              <w:suppressAutoHyphens/>
              <w:jc w:val="center"/>
              <w:rPr>
                <w:sz w:val="18"/>
                <w:szCs w:val="18"/>
                <w:u w:val="single"/>
              </w:rPr>
            </w:pPr>
          </w:p>
        </w:tc>
        <w:tc>
          <w:tcPr>
            <w:tcW w:w="900" w:type="dxa"/>
            <w:vAlign w:val="center"/>
          </w:tcPr>
          <w:p w14:paraId="4C89681C" w14:textId="77777777" w:rsidR="00DB1AEE" w:rsidRPr="00DB1AEE" w:rsidRDefault="00DB1AEE" w:rsidP="00DB1AEE">
            <w:pPr>
              <w:suppressAutoHyphens/>
              <w:jc w:val="center"/>
              <w:rPr>
                <w:sz w:val="18"/>
                <w:szCs w:val="18"/>
                <w:u w:val="single"/>
              </w:rPr>
            </w:pPr>
            <w:r w:rsidRPr="00DB1AEE">
              <w:rPr>
                <w:sz w:val="18"/>
                <w:szCs w:val="18"/>
                <w:u w:val="single"/>
              </w:rPr>
              <w:t>U-0.108</w:t>
            </w:r>
          </w:p>
        </w:tc>
        <w:tc>
          <w:tcPr>
            <w:tcW w:w="900" w:type="dxa"/>
            <w:vAlign w:val="center"/>
          </w:tcPr>
          <w:p w14:paraId="4E6BDB81" w14:textId="77777777" w:rsidR="00DB1AEE" w:rsidRPr="00DB1AEE" w:rsidRDefault="00DB1AEE" w:rsidP="00DB1AEE">
            <w:pPr>
              <w:suppressAutoHyphens/>
              <w:jc w:val="center"/>
              <w:rPr>
                <w:sz w:val="18"/>
                <w:szCs w:val="18"/>
                <w:u w:val="single"/>
              </w:rPr>
            </w:pPr>
            <w:r w:rsidRPr="00DB1AEE">
              <w:rPr>
                <w:sz w:val="18"/>
                <w:szCs w:val="18"/>
                <w:u w:val="single"/>
              </w:rPr>
              <w:t>U-0.082</w:t>
            </w:r>
          </w:p>
        </w:tc>
        <w:tc>
          <w:tcPr>
            <w:tcW w:w="900" w:type="dxa"/>
            <w:vAlign w:val="center"/>
          </w:tcPr>
          <w:p w14:paraId="1AD0D2D6" w14:textId="77777777" w:rsidR="00DB1AEE" w:rsidRPr="00DB1AEE" w:rsidRDefault="00DB1AEE" w:rsidP="00DB1AEE">
            <w:pPr>
              <w:suppressAutoHyphens/>
              <w:jc w:val="center"/>
              <w:rPr>
                <w:sz w:val="18"/>
                <w:szCs w:val="18"/>
                <w:u w:val="single"/>
              </w:rPr>
            </w:pPr>
            <w:r w:rsidRPr="00DB1AEE">
              <w:rPr>
                <w:sz w:val="18"/>
                <w:szCs w:val="18"/>
                <w:u w:val="single"/>
              </w:rPr>
              <w:t>U-0.058</w:t>
            </w:r>
          </w:p>
        </w:tc>
        <w:tc>
          <w:tcPr>
            <w:tcW w:w="900" w:type="dxa"/>
            <w:vAlign w:val="center"/>
          </w:tcPr>
          <w:p w14:paraId="58350F97" w14:textId="77777777" w:rsidR="00DB1AEE" w:rsidRPr="00DB1AEE" w:rsidRDefault="00DB1AEE" w:rsidP="00DB1AEE">
            <w:pPr>
              <w:suppressAutoHyphens/>
              <w:jc w:val="center"/>
              <w:rPr>
                <w:sz w:val="18"/>
                <w:szCs w:val="18"/>
                <w:u w:val="single"/>
              </w:rPr>
            </w:pPr>
            <w:r w:rsidRPr="00DB1AEE">
              <w:rPr>
                <w:sz w:val="18"/>
                <w:szCs w:val="18"/>
                <w:u w:val="single"/>
              </w:rPr>
              <w:t>U-0.045</w:t>
            </w:r>
          </w:p>
        </w:tc>
        <w:tc>
          <w:tcPr>
            <w:tcW w:w="900" w:type="dxa"/>
            <w:vAlign w:val="center"/>
          </w:tcPr>
          <w:p w14:paraId="06A4085F" w14:textId="77777777" w:rsidR="00DB1AEE" w:rsidRPr="00DB1AEE" w:rsidRDefault="00DB1AEE" w:rsidP="00DB1AEE">
            <w:pPr>
              <w:suppressAutoHyphens/>
              <w:jc w:val="center"/>
              <w:rPr>
                <w:sz w:val="18"/>
                <w:szCs w:val="18"/>
                <w:u w:val="single"/>
              </w:rPr>
            </w:pPr>
            <w:r w:rsidRPr="00DB1AEE">
              <w:rPr>
                <w:sz w:val="18"/>
                <w:szCs w:val="18"/>
                <w:u w:val="single"/>
              </w:rPr>
              <w:t>U-0.037</w:t>
            </w:r>
          </w:p>
        </w:tc>
        <w:tc>
          <w:tcPr>
            <w:tcW w:w="900" w:type="dxa"/>
            <w:vAlign w:val="center"/>
          </w:tcPr>
          <w:p w14:paraId="5DE1E94B" w14:textId="77777777" w:rsidR="00DB1AEE" w:rsidRPr="00DB1AEE" w:rsidRDefault="00DB1AEE" w:rsidP="00DB1AEE">
            <w:pPr>
              <w:suppressAutoHyphens/>
              <w:jc w:val="center"/>
              <w:rPr>
                <w:sz w:val="18"/>
                <w:szCs w:val="18"/>
                <w:u w:val="single"/>
              </w:rPr>
            </w:pPr>
            <w:r w:rsidRPr="00DB1AEE">
              <w:rPr>
                <w:sz w:val="18"/>
                <w:szCs w:val="18"/>
                <w:u w:val="single"/>
              </w:rPr>
              <w:t>U-0.031</w:t>
            </w:r>
          </w:p>
        </w:tc>
      </w:tr>
      <w:tr w:rsidR="00DB1AEE" w:rsidRPr="00DB1AEE" w14:paraId="081C53EB" w14:textId="77777777" w:rsidTr="00FC1832">
        <w:trPr>
          <w:jc w:val="center"/>
        </w:trPr>
        <w:tc>
          <w:tcPr>
            <w:tcW w:w="1345" w:type="dxa"/>
            <w:vMerge/>
            <w:vAlign w:val="center"/>
          </w:tcPr>
          <w:p w14:paraId="60E97843" w14:textId="77777777" w:rsidR="00DB1AEE" w:rsidRPr="00DB1AEE" w:rsidRDefault="00DB1AEE" w:rsidP="00DB1AEE">
            <w:pPr>
              <w:pBdr>
                <w:top w:val="nil"/>
                <w:left w:val="nil"/>
                <w:bottom w:val="nil"/>
                <w:right w:val="nil"/>
                <w:between w:val="nil"/>
              </w:pBdr>
              <w:suppressAutoHyphens/>
              <w:jc w:val="left"/>
              <w:rPr>
                <w:sz w:val="18"/>
                <w:szCs w:val="18"/>
                <w:u w:val="single"/>
              </w:rPr>
            </w:pPr>
          </w:p>
        </w:tc>
        <w:tc>
          <w:tcPr>
            <w:tcW w:w="2070" w:type="dxa"/>
            <w:vAlign w:val="center"/>
          </w:tcPr>
          <w:p w14:paraId="77B77A61" w14:textId="77777777" w:rsidR="00DB1AEE" w:rsidRPr="00DB1AEE" w:rsidRDefault="00DB1AEE" w:rsidP="00DB1AEE">
            <w:pPr>
              <w:suppressAutoHyphens/>
              <w:jc w:val="left"/>
              <w:rPr>
                <w:sz w:val="18"/>
                <w:szCs w:val="18"/>
                <w:u w:val="single"/>
              </w:rPr>
            </w:pPr>
            <w:r w:rsidRPr="00DB1AEE">
              <w:rPr>
                <w:sz w:val="18"/>
                <w:szCs w:val="18"/>
                <w:u w:val="single"/>
              </w:rPr>
              <w:t>Double glazing with no low-e coatings</w:t>
            </w:r>
          </w:p>
        </w:tc>
        <w:tc>
          <w:tcPr>
            <w:tcW w:w="900" w:type="dxa"/>
            <w:vAlign w:val="center"/>
          </w:tcPr>
          <w:p w14:paraId="54DEC57C" w14:textId="77777777" w:rsidR="00DB1AEE" w:rsidRPr="00DB1AEE" w:rsidRDefault="00DB1AEE" w:rsidP="00DB1AEE">
            <w:pPr>
              <w:suppressAutoHyphens/>
              <w:jc w:val="center"/>
              <w:rPr>
                <w:sz w:val="18"/>
                <w:szCs w:val="18"/>
                <w:u w:val="single"/>
              </w:rPr>
            </w:pPr>
            <w:r w:rsidRPr="00DB1AEE">
              <w:rPr>
                <w:sz w:val="18"/>
                <w:szCs w:val="18"/>
                <w:u w:val="single"/>
              </w:rPr>
              <w:t>U-0.356</w:t>
            </w:r>
          </w:p>
        </w:tc>
        <w:tc>
          <w:tcPr>
            <w:tcW w:w="900" w:type="dxa"/>
            <w:vAlign w:val="center"/>
          </w:tcPr>
          <w:p w14:paraId="014B15C5" w14:textId="77777777" w:rsidR="00DB1AEE" w:rsidRPr="00DB1AEE" w:rsidRDefault="00DB1AEE" w:rsidP="00DB1AEE">
            <w:pPr>
              <w:suppressAutoHyphens/>
              <w:jc w:val="center"/>
              <w:rPr>
                <w:sz w:val="18"/>
                <w:szCs w:val="18"/>
                <w:u w:val="single"/>
              </w:rPr>
            </w:pPr>
            <w:r w:rsidRPr="00DB1AEE">
              <w:rPr>
                <w:sz w:val="18"/>
                <w:szCs w:val="18"/>
                <w:u w:val="single"/>
              </w:rPr>
              <w:t>U-0.147</w:t>
            </w:r>
          </w:p>
          <w:p w14:paraId="388ED360" w14:textId="77777777" w:rsidR="00DB1AEE" w:rsidRPr="00DB1AEE" w:rsidRDefault="00DB1AEE" w:rsidP="00DB1AEE">
            <w:pPr>
              <w:suppressAutoHyphens/>
              <w:jc w:val="center"/>
              <w:rPr>
                <w:sz w:val="18"/>
                <w:szCs w:val="18"/>
                <w:u w:val="single"/>
              </w:rPr>
            </w:pPr>
          </w:p>
        </w:tc>
        <w:tc>
          <w:tcPr>
            <w:tcW w:w="900" w:type="dxa"/>
            <w:vAlign w:val="center"/>
          </w:tcPr>
          <w:p w14:paraId="5A4FD52E" w14:textId="77777777" w:rsidR="00DB1AEE" w:rsidRPr="00DB1AEE" w:rsidRDefault="00DB1AEE" w:rsidP="00DB1AEE">
            <w:pPr>
              <w:suppressAutoHyphens/>
              <w:jc w:val="center"/>
              <w:rPr>
                <w:sz w:val="18"/>
                <w:szCs w:val="18"/>
                <w:u w:val="single"/>
              </w:rPr>
            </w:pPr>
            <w:r w:rsidRPr="00DB1AEE">
              <w:rPr>
                <w:sz w:val="18"/>
                <w:szCs w:val="18"/>
                <w:u w:val="single"/>
              </w:rPr>
              <w:t>U-0.102</w:t>
            </w:r>
          </w:p>
        </w:tc>
        <w:tc>
          <w:tcPr>
            <w:tcW w:w="900" w:type="dxa"/>
            <w:vAlign w:val="center"/>
          </w:tcPr>
          <w:p w14:paraId="43B219B5" w14:textId="77777777" w:rsidR="00DB1AEE" w:rsidRPr="00DB1AEE" w:rsidRDefault="00DB1AEE" w:rsidP="00DB1AEE">
            <w:pPr>
              <w:suppressAutoHyphens/>
              <w:jc w:val="center"/>
              <w:rPr>
                <w:sz w:val="18"/>
                <w:szCs w:val="18"/>
                <w:u w:val="single"/>
              </w:rPr>
            </w:pPr>
            <w:r w:rsidRPr="00DB1AEE">
              <w:rPr>
                <w:sz w:val="18"/>
                <w:szCs w:val="18"/>
                <w:u w:val="single"/>
              </w:rPr>
              <w:t>U-0.078</w:t>
            </w:r>
          </w:p>
        </w:tc>
        <w:tc>
          <w:tcPr>
            <w:tcW w:w="900" w:type="dxa"/>
            <w:vAlign w:val="center"/>
          </w:tcPr>
          <w:p w14:paraId="2290FFFC" w14:textId="77777777" w:rsidR="00DB1AEE" w:rsidRPr="00DB1AEE" w:rsidRDefault="00DB1AEE" w:rsidP="00DB1AEE">
            <w:pPr>
              <w:suppressAutoHyphens/>
              <w:jc w:val="center"/>
              <w:rPr>
                <w:sz w:val="18"/>
                <w:szCs w:val="18"/>
                <w:u w:val="single"/>
              </w:rPr>
            </w:pPr>
            <w:r w:rsidRPr="00DB1AEE">
              <w:rPr>
                <w:sz w:val="18"/>
                <w:szCs w:val="18"/>
                <w:u w:val="single"/>
              </w:rPr>
              <w:t>U-0.056</w:t>
            </w:r>
          </w:p>
        </w:tc>
        <w:tc>
          <w:tcPr>
            <w:tcW w:w="900" w:type="dxa"/>
            <w:vAlign w:val="center"/>
          </w:tcPr>
          <w:p w14:paraId="2FB9281C" w14:textId="77777777" w:rsidR="00DB1AEE" w:rsidRPr="00DB1AEE" w:rsidRDefault="00DB1AEE" w:rsidP="00DB1AEE">
            <w:pPr>
              <w:suppressAutoHyphens/>
              <w:jc w:val="center"/>
              <w:rPr>
                <w:sz w:val="18"/>
                <w:szCs w:val="18"/>
                <w:u w:val="single"/>
              </w:rPr>
            </w:pPr>
            <w:r w:rsidRPr="00DB1AEE">
              <w:rPr>
                <w:sz w:val="18"/>
                <w:szCs w:val="18"/>
                <w:u w:val="single"/>
              </w:rPr>
              <w:t>U-0.044</w:t>
            </w:r>
          </w:p>
        </w:tc>
        <w:tc>
          <w:tcPr>
            <w:tcW w:w="900" w:type="dxa"/>
            <w:vAlign w:val="center"/>
          </w:tcPr>
          <w:p w14:paraId="6D449189" w14:textId="77777777" w:rsidR="00DB1AEE" w:rsidRPr="00DB1AEE" w:rsidRDefault="00DB1AEE" w:rsidP="00DB1AEE">
            <w:pPr>
              <w:suppressAutoHyphens/>
              <w:jc w:val="center"/>
              <w:rPr>
                <w:sz w:val="18"/>
                <w:szCs w:val="18"/>
                <w:u w:val="single"/>
              </w:rPr>
            </w:pPr>
            <w:r w:rsidRPr="00DB1AEE">
              <w:rPr>
                <w:sz w:val="18"/>
                <w:szCs w:val="18"/>
                <w:u w:val="single"/>
              </w:rPr>
              <w:t>U-0.036</w:t>
            </w:r>
          </w:p>
        </w:tc>
        <w:tc>
          <w:tcPr>
            <w:tcW w:w="900" w:type="dxa"/>
            <w:vAlign w:val="center"/>
          </w:tcPr>
          <w:p w14:paraId="7A902D07" w14:textId="77777777" w:rsidR="00DB1AEE" w:rsidRPr="00DB1AEE" w:rsidRDefault="00DB1AEE" w:rsidP="00DB1AEE">
            <w:pPr>
              <w:suppressAutoHyphens/>
              <w:jc w:val="center"/>
              <w:rPr>
                <w:sz w:val="18"/>
                <w:szCs w:val="18"/>
                <w:u w:val="single"/>
              </w:rPr>
            </w:pPr>
            <w:r w:rsidRPr="00DB1AEE">
              <w:rPr>
                <w:sz w:val="18"/>
                <w:szCs w:val="18"/>
                <w:u w:val="single"/>
              </w:rPr>
              <w:t>U-0.030</w:t>
            </w:r>
          </w:p>
        </w:tc>
      </w:tr>
      <w:tr w:rsidR="00DB1AEE" w:rsidRPr="00DB1AEE" w14:paraId="53699053" w14:textId="77777777" w:rsidTr="00FC1832">
        <w:trPr>
          <w:jc w:val="center"/>
        </w:trPr>
        <w:tc>
          <w:tcPr>
            <w:tcW w:w="1345" w:type="dxa"/>
            <w:vMerge/>
            <w:vAlign w:val="center"/>
          </w:tcPr>
          <w:p w14:paraId="41CC00EA" w14:textId="77777777" w:rsidR="00DB1AEE" w:rsidRPr="00DB1AEE" w:rsidRDefault="00DB1AEE" w:rsidP="00DB1AEE">
            <w:pPr>
              <w:pBdr>
                <w:top w:val="nil"/>
                <w:left w:val="nil"/>
                <w:bottom w:val="nil"/>
                <w:right w:val="nil"/>
                <w:between w:val="nil"/>
              </w:pBdr>
              <w:suppressAutoHyphens/>
              <w:jc w:val="left"/>
              <w:rPr>
                <w:sz w:val="18"/>
                <w:szCs w:val="18"/>
                <w:u w:val="single"/>
              </w:rPr>
            </w:pPr>
          </w:p>
        </w:tc>
        <w:tc>
          <w:tcPr>
            <w:tcW w:w="2070" w:type="dxa"/>
            <w:vAlign w:val="center"/>
          </w:tcPr>
          <w:p w14:paraId="4A4BE0BB" w14:textId="77777777" w:rsidR="00DB1AEE" w:rsidRPr="00DB1AEE" w:rsidRDefault="00DB1AEE" w:rsidP="00DB1AEE">
            <w:pPr>
              <w:suppressAutoHyphens/>
              <w:jc w:val="left"/>
              <w:rPr>
                <w:sz w:val="18"/>
                <w:szCs w:val="18"/>
                <w:u w:val="single"/>
              </w:rPr>
            </w:pPr>
            <w:r w:rsidRPr="00DB1AEE">
              <w:rPr>
                <w:sz w:val="18"/>
                <w:szCs w:val="18"/>
                <w:u w:val="single"/>
              </w:rPr>
              <w:t>Triple glazing or double glazing with low-e glass</w:t>
            </w:r>
          </w:p>
        </w:tc>
        <w:tc>
          <w:tcPr>
            <w:tcW w:w="900" w:type="dxa"/>
            <w:vAlign w:val="center"/>
          </w:tcPr>
          <w:p w14:paraId="5BF949F6" w14:textId="77777777" w:rsidR="00DB1AEE" w:rsidRPr="00DB1AEE" w:rsidRDefault="00DB1AEE" w:rsidP="00DB1AEE">
            <w:pPr>
              <w:suppressAutoHyphens/>
              <w:jc w:val="center"/>
              <w:rPr>
                <w:sz w:val="18"/>
                <w:szCs w:val="18"/>
                <w:u w:val="single"/>
              </w:rPr>
            </w:pPr>
            <w:r w:rsidRPr="00DB1AEE">
              <w:rPr>
                <w:sz w:val="18"/>
                <w:szCs w:val="18"/>
                <w:u w:val="single"/>
              </w:rPr>
              <w:t>U-0.313</w:t>
            </w:r>
          </w:p>
        </w:tc>
        <w:tc>
          <w:tcPr>
            <w:tcW w:w="900" w:type="dxa"/>
            <w:vAlign w:val="center"/>
          </w:tcPr>
          <w:p w14:paraId="05974F04" w14:textId="77777777" w:rsidR="00DB1AEE" w:rsidRPr="00DB1AEE" w:rsidRDefault="00DB1AEE" w:rsidP="00DB1AEE">
            <w:pPr>
              <w:suppressAutoHyphens/>
              <w:jc w:val="center"/>
              <w:rPr>
                <w:sz w:val="18"/>
                <w:szCs w:val="18"/>
                <w:u w:val="single"/>
              </w:rPr>
            </w:pPr>
            <w:r w:rsidRPr="00DB1AEE">
              <w:rPr>
                <w:sz w:val="18"/>
                <w:szCs w:val="18"/>
                <w:u w:val="single"/>
              </w:rPr>
              <w:t>U-0.139</w:t>
            </w:r>
          </w:p>
          <w:p w14:paraId="18BF0E78" w14:textId="77777777" w:rsidR="00DB1AEE" w:rsidRPr="00DB1AEE" w:rsidRDefault="00DB1AEE" w:rsidP="00DB1AEE">
            <w:pPr>
              <w:suppressAutoHyphens/>
              <w:jc w:val="center"/>
              <w:rPr>
                <w:sz w:val="18"/>
                <w:szCs w:val="18"/>
                <w:u w:val="single"/>
              </w:rPr>
            </w:pPr>
          </w:p>
        </w:tc>
        <w:tc>
          <w:tcPr>
            <w:tcW w:w="900" w:type="dxa"/>
            <w:vAlign w:val="center"/>
          </w:tcPr>
          <w:p w14:paraId="749AC60A" w14:textId="77777777" w:rsidR="00DB1AEE" w:rsidRPr="00DB1AEE" w:rsidRDefault="00DB1AEE" w:rsidP="00DB1AEE">
            <w:pPr>
              <w:suppressAutoHyphens/>
              <w:jc w:val="center"/>
              <w:rPr>
                <w:sz w:val="18"/>
                <w:szCs w:val="18"/>
                <w:u w:val="single"/>
              </w:rPr>
            </w:pPr>
            <w:r w:rsidRPr="00DB1AEE">
              <w:rPr>
                <w:sz w:val="18"/>
                <w:szCs w:val="18"/>
                <w:u w:val="single"/>
              </w:rPr>
              <w:t>U-0.098</w:t>
            </w:r>
          </w:p>
        </w:tc>
        <w:tc>
          <w:tcPr>
            <w:tcW w:w="900" w:type="dxa"/>
            <w:vAlign w:val="center"/>
          </w:tcPr>
          <w:p w14:paraId="70AC7387" w14:textId="77777777" w:rsidR="00DB1AEE" w:rsidRPr="00DB1AEE" w:rsidRDefault="00DB1AEE" w:rsidP="00DB1AEE">
            <w:pPr>
              <w:suppressAutoHyphens/>
              <w:jc w:val="center"/>
              <w:rPr>
                <w:sz w:val="18"/>
                <w:szCs w:val="18"/>
                <w:u w:val="single"/>
              </w:rPr>
            </w:pPr>
            <w:r w:rsidRPr="00DB1AEE">
              <w:rPr>
                <w:sz w:val="18"/>
                <w:szCs w:val="18"/>
                <w:u w:val="single"/>
              </w:rPr>
              <w:t>U-0.076</w:t>
            </w:r>
          </w:p>
        </w:tc>
        <w:tc>
          <w:tcPr>
            <w:tcW w:w="900" w:type="dxa"/>
            <w:vAlign w:val="center"/>
          </w:tcPr>
          <w:p w14:paraId="22D8F2AA" w14:textId="77777777" w:rsidR="00DB1AEE" w:rsidRPr="00DB1AEE" w:rsidRDefault="00DB1AEE" w:rsidP="00DB1AEE">
            <w:pPr>
              <w:suppressAutoHyphens/>
              <w:jc w:val="center"/>
              <w:rPr>
                <w:sz w:val="18"/>
                <w:szCs w:val="18"/>
                <w:u w:val="single"/>
              </w:rPr>
            </w:pPr>
            <w:r w:rsidRPr="00DB1AEE">
              <w:rPr>
                <w:sz w:val="18"/>
                <w:szCs w:val="18"/>
                <w:u w:val="single"/>
              </w:rPr>
              <w:t>U-0.055</w:t>
            </w:r>
          </w:p>
        </w:tc>
        <w:tc>
          <w:tcPr>
            <w:tcW w:w="900" w:type="dxa"/>
            <w:vAlign w:val="center"/>
          </w:tcPr>
          <w:p w14:paraId="77E21788" w14:textId="77777777" w:rsidR="00DB1AEE" w:rsidRPr="00DB1AEE" w:rsidRDefault="00DB1AEE" w:rsidP="00DB1AEE">
            <w:pPr>
              <w:suppressAutoHyphens/>
              <w:jc w:val="center"/>
              <w:rPr>
                <w:sz w:val="18"/>
                <w:szCs w:val="18"/>
                <w:u w:val="single"/>
              </w:rPr>
            </w:pPr>
            <w:r w:rsidRPr="00DB1AEE">
              <w:rPr>
                <w:sz w:val="18"/>
                <w:szCs w:val="18"/>
                <w:u w:val="single"/>
              </w:rPr>
              <w:t>U-0.043</w:t>
            </w:r>
          </w:p>
        </w:tc>
        <w:tc>
          <w:tcPr>
            <w:tcW w:w="900" w:type="dxa"/>
            <w:vAlign w:val="center"/>
          </w:tcPr>
          <w:p w14:paraId="37ADA9F4" w14:textId="77777777" w:rsidR="00DB1AEE" w:rsidRPr="00DB1AEE" w:rsidRDefault="00DB1AEE" w:rsidP="00DB1AEE">
            <w:pPr>
              <w:suppressAutoHyphens/>
              <w:jc w:val="center"/>
              <w:rPr>
                <w:sz w:val="18"/>
                <w:szCs w:val="18"/>
                <w:u w:val="single"/>
              </w:rPr>
            </w:pPr>
            <w:r w:rsidRPr="00DB1AEE">
              <w:rPr>
                <w:sz w:val="18"/>
                <w:szCs w:val="18"/>
                <w:u w:val="single"/>
              </w:rPr>
              <w:t>U-0.035</w:t>
            </w:r>
          </w:p>
        </w:tc>
        <w:tc>
          <w:tcPr>
            <w:tcW w:w="900" w:type="dxa"/>
            <w:vAlign w:val="center"/>
          </w:tcPr>
          <w:p w14:paraId="1C5DBEB3" w14:textId="77777777" w:rsidR="00DB1AEE" w:rsidRPr="00DB1AEE" w:rsidRDefault="00DB1AEE" w:rsidP="00DB1AEE">
            <w:pPr>
              <w:suppressAutoHyphens/>
              <w:jc w:val="center"/>
              <w:rPr>
                <w:sz w:val="18"/>
                <w:szCs w:val="18"/>
                <w:u w:val="single"/>
              </w:rPr>
            </w:pPr>
            <w:r w:rsidRPr="00DB1AEE">
              <w:rPr>
                <w:sz w:val="18"/>
                <w:szCs w:val="18"/>
                <w:u w:val="single"/>
              </w:rPr>
              <w:t>U-0.030</w:t>
            </w:r>
          </w:p>
        </w:tc>
      </w:tr>
    </w:tbl>
    <w:p w14:paraId="13D29BF1" w14:textId="77777777" w:rsidR="00DB1AEE" w:rsidRPr="00DB1AEE" w:rsidRDefault="00DB1AEE" w:rsidP="00DB1AEE">
      <w:pPr>
        <w:widowControl w:val="0"/>
        <w:suppressAutoHyphens/>
        <w:spacing w:after="120" w:line="264" w:lineRule="auto"/>
        <w:ind w:left="864" w:hanging="144"/>
        <w:jc w:val="left"/>
        <w:rPr>
          <w:szCs w:val="24"/>
          <w:u w:val="single"/>
        </w:rPr>
      </w:pPr>
      <w:r w:rsidRPr="00DB1AEE">
        <w:rPr>
          <w:szCs w:val="24"/>
          <w:u w:val="single"/>
        </w:rPr>
        <w:t>a .Extrapolation outside of the table and interpolation between values in the table shall not be permitted. Assemblies with distance between framing less than 30 inches (762 mm), or not included in the default table, shall have a</w:t>
      </w:r>
      <w:r w:rsidRPr="00DB1AEE">
        <w:rPr>
          <w:i/>
          <w:szCs w:val="24"/>
          <w:u w:val="single"/>
        </w:rPr>
        <w:t xml:space="preserve"> U-</w:t>
      </w:r>
      <w:r w:rsidRPr="00DB1AEE">
        <w:rPr>
          <w:szCs w:val="24"/>
          <w:u w:val="single"/>
        </w:rPr>
        <w:t>factor</w:t>
      </w:r>
      <w:r w:rsidRPr="00DB1AEE">
        <w:rPr>
          <w:i/>
          <w:szCs w:val="24"/>
          <w:u w:val="single"/>
        </w:rPr>
        <w:t xml:space="preserve"> </w:t>
      </w:r>
      <w:r w:rsidRPr="00DB1AEE">
        <w:rPr>
          <w:szCs w:val="24"/>
          <w:u w:val="single"/>
        </w:rPr>
        <w:t xml:space="preserve">determined by testing in compliance with ASTM C1363 or modeling in compliance with ANSI/NFRC 100. Spandrel panel assemblies in the table do not include metal backpans. For designs with metal backpans, multiply the </w:t>
      </w:r>
      <w:r w:rsidRPr="00DB1AEE">
        <w:rPr>
          <w:i/>
          <w:szCs w:val="24"/>
          <w:u w:val="single"/>
        </w:rPr>
        <w:t>U</w:t>
      </w:r>
      <w:r w:rsidRPr="00DB1AEE">
        <w:rPr>
          <w:szCs w:val="24"/>
          <w:u w:val="single"/>
        </w:rPr>
        <w:t>-factor by 1.20. U-factors for spandrel panels include a 3/4 in. air gap and 5/8 in. gypsum board with R-value of 0.56 for the interior finish. The gypsum board is assumed to span between the window sill and a channel at the floor.</w:t>
      </w:r>
    </w:p>
    <w:p w14:paraId="11B53396" w14:textId="77777777" w:rsidR="00DB1AEE" w:rsidRPr="00DB1AEE" w:rsidRDefault="00DB1AEE" w:rsidP="00DB1AEE">
      <w:pPr>
        <w:widowControl w:val="0"/>
        <w:suppressAutoHyphens/>
        <w:spacing w:after="120" w:line="264" w:lineRule="auto"/>
        <w:ind w:left="864" w:hanging="144"/>
        <w:jc w:val="left"/>
        <w:rPr>
          <w:szCs w:val="24"/>
          <w:u w:val="single"/>
        </w:rPr>
      </w:pPr>
      <w:r w:rsidRPr="00DB1AEE">
        <w:rPr>
          <w:szCs w:val="24"/>
          <w:u w:val="single"/>
        </w:rPr>
        <w:t>b. This frame type shall be used for systems that do not contain a non-metallic element that separates the metal exposed to the exterior from the metal that is exposed to the interior condition.</w:t>
      </w:r>
    </w:p>
    <w:p w14:paraId="6F88BC75" w14:textId="77777777" w:rsidR="00DB1AEE" w:rsidRPr="00DB1AEE" w:rsidRDefault="00DB1AEE" w:rsidP="00DB1AEE">
      <w:pPr>
        <w:widowControl w:val="0"/>
        <w:suppressAutoHyphens/>
        <w:spacing w:after="120" w:line="264" w:lineRule="auto"/>
        <w:ind w:left="864" w:hanging="144"/>
        <w:jc w:val="left"/>
        <w:rPr>
          <w:szCs w:val="24"/>
          <w:u w:val="single"/>
        </w:rPr>
      </w:pPr>
      <w:r w:rsidRPr="00DB1AEE">
        <w:rPr>
          <w:szCs w:val="24"/>
          <w:u w:val="single"/>
        </w:rPr>
        <w:t>c. This frame type shall be used for systems where a urethane or other non-metallic element separates the metal exposed to the exterior from the metal that is exposed to the interior condition.</w:t>
      </w:r>
    </w:p>
    <w:p w14:paraId="6BB2D2D5" w14:textId="77777777" w:rsidR="00DB1AEE" w:rsidRPr="00DB1AEE" w:rsidRDefault="00DB1AEE" w:rsidP="00DB1AEE">
      <w:pPr>
        <w:widowControl w:val="0"/>
        <w:suppressAutoHyphens/>
        <w:spacing w:after="120" w:line="264" w:lineRule="auto"/>
        <w:ind w:left="720"/>
        <w:jc w:val="left"/>
        <w:rPr>
          <w:szCs w:val="24"/>
          <w:u w:val="single"/>
        </w:rPr>
      </w:pPr>
      <w:r w:rsidRPr="00DB1AEE">
        <w:rPr>
          <w:szCs w:val="24"/>
          <w:u w:val="single"/>
        </w:rPr>
        <w:t>d. This frame type shall be used for systems that have no exposed mullion on the exterior.</w:t>
      </w:r>
    </w:p>
    <w:p w14:paraId="464F18CF" w14:textId="77777777" w:rsidR="00DB1AEE" w:rsidRPr="00DB1AEE" w:rsidRDefault="00DB1AEE" w:rsidP="00DB1AEE">
      <w:pPr>
        <w:widowControl w:val="0"/>
        <w:suppressAutoHyphens/>
        <w:spacing w:after="120" w:line="264" w:lineRule="auto"/>
        <w:ind w:left="864" w:hanging="144"/>
        <w:jc w:val="left"/>
        <w:rPr>
          <w:szCs w:val="24"/>
          <w:u w:val="single"/>
        </w:rPr>
      </w:pPr>
      <w:r w:rsidRPr="00DB1AEE">
        <w:rPr>
          <w:szCs w:val="24"/>
          <w:u w:val="single"/>
        </w:rPr>
        <w:t>e. This frame type shall be used for systems where there is no framing, or the insulation is continuous across and uninterrupted by the framing (also known as mullion wrap).</w:t>
      </w:r>
    </w:p>
    <w:p w14:paraId="63779889"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Section C303.2 Installation.</w:t>
      </w:r>
    </w:p>
    <w:p w14:paraId="7E23A9B7" w14:textId="77777777" w:rsidR="00DB1AEE" w:rsidRPr="00DB1AEE" w:rsidRDefault="00DB1AEE" w:rsidP="00DB1AEE">
      <w:pPr>
        <w:widowControl w:val="0"/>
        <w:suppressAutoHyphens/>
        <w:autoSpaceDE w:val="0"/>
        <w:autoSpaceDN w:val="0"/>
        <w:adjustRightInd w:val="0"/>
        <w:spacing w:before="130" w:after="130"/>
        <w:rPr>
          <w:bCs/>
          <w:szCs w:val="24"/>
          <w:u w:val="single"/>
        </w:rPr>
      </w:pPr>
      <w:r w:rsidRPr="00DB1AEE">
        <w:rPr>
          <w:bCs/>
          <w:szCs w:val="24"/>
          <w:u w:val="single"/>
        </w:rPr>
        <w:t>Section C303.2- Revise Section C303.2 to read as follows:</w:t>
      </w:r>
    </w:p>
    <w:p w14:paraId="3932CB8A" w14:textId="77777777" w:rsidR="00DB1AEE" w:rsidRPr="00DB1AEE" w:rsidRDefault="00DB1AEE" w:rsidP="00DB1AEE">
      <w:pPr>
        <w:widowControl w:val="0"/>
        <w:suppressAutoHyphens/>
        <w:autoSpaceDE w:val="0"/>
        <w:autoSpaceDN w:val="0"/>
        <w:adjustRightInd w:val="0"/>
        <w:spacing w:before="130" w:after="130"/>
        <w:ind w:left="360"/>
        <w:rPr>
          <w:szCs w:val="24"/>
          <w:u w:val="single"/>
        </w:rPr>
      </w:pPr>
      <w:r w:rsidRPr="00DB1AEE">
        <w:rPr>
          <w:b/>
          <w:bCs/>
          <w:szCs w:val="24"/>
          <w:u w:val="single"/>
        </w:rPr>
        <w:t>C303.2 Installation.</w:t>
      </w:r>
      <w:r w:rsidRPr="00DB1AEE">
        <w:rPr>
          <w:szCs w:val="24"/>
          <w:u w:val="single"/>
        </w:rPr>
        <w:t xml:space="preserve">   Materials, systems and equipment shall be installed in accordance with (i) the manufacturer’s  instructions and (ii) the applicable provisions of the New York City Construction Codes.</w:t>
      </w:r>
    </w:p>
    <w:p w14:paraId="6CB742EC" w14:textId="77777777" w:rsidR="00DB1AEE" w:rsidRPr="00DB1AEE" w:rsidRDefault="00DB1AEE" w:rsidP="00DB1AEE">
      <w:pPr>
        <w:widowControl w:val="0"/>
        <w:suppressAutoHyphens/>
        <w:autoSpaceDE w:val="0"/>
        <w:autoSpaceDN w:val="0"/>
        <w:adjustRightInd w:val="0"/>
        <w:spacing w:before="130" w:after="130"/>
        <w:jc w:val="center"/>
        <w:rPr>
          <w:b/>
          <w:szCs w:val="24"/>
          <w:u w:val="single"/>
        </w:rPr>
      </w:pPr>
      <w:r w:rsidRPr="00DB1AEE">
        <w:rPr>
          <w:b/>
          <w:szCs w:val="24"/>
          <w:u w:val="single"/>
        </w:rPr>
        <w:t>CHAPTER C4</w:t>
      </w:r>
    </w:p>
    <w:p w14:paraId="4D8F571D" w14:textId="77777777" w:rsidR="00DB1AEE" w:rsidRPr="00DB1AEE" w:rsidRDefault="00DB1AEE" w:rsidP="00DB1AEE">
      <w:pPr>
        <w:suppressAutoHyphens/>
        <w:spacing w:before="130" w:after="130"/>
        <w:jc w:val="center"/>
        <w:rPr>
          <w:rFonts w:eastAsia="MS Mincho"/>
          <w:u w:val="single"/>
        </w:rPr>
      </w:pPr>
      <w:r w:rsidRPr="00DB1AEE">
        <w:rPr>
          <w:b/>
          <w:bCs/>
          <w:u w:val="single"/>
        </w:rPr>
        <w:t>COMMERCIAL ENERGY EFFICIENCY</w:t>
      </w:r>
    </w:p>
    <w:p w14:paraId="0F0DC549" w14:textId="77777777" w:rsidR="00DB1AEE" w:rsidRPr="00DB1AEE" w:rsidRDefault="00DB1AEE" w:rsidP="00DB1AEE">
      <w:pPr>
        <w:suppressAutoHyphens/>
        <w:spacing w:before="130" w:after="130"/>
        <w:jc w:val="center"/>
        <w:rPr>
          <w:rFonts w:eastAsia="MS Mincho"/>
          <w:b/>
          <w:bCs/>
          <w:szCs w:val="24"/>
          <w:u w:val="single"/>
        </w:rPr>
      </w:pPr>
      <w:r w:rsidRPr="00DB1AEE">
        <w:rPr>
          <w:rFonts w:eastAsia="MS Mincho"/>
          <w:b/>
          <w:bCs/>
          <w:szCs w:val="24"/>
          <w:u w:val="single"/>
        </w:rPr>
        <w:t>SECTION C401</w:t>
      </w:r>
    </w:p>
    <w:p w14:paraId="1E563B84" w14:textId="77777777" w:rsidR="00DB1AEE" w:rsidRPr="00DB1AEE" w:rsidRDefault="00DB1AEE" w:rsidP="00DB1AEE">
      <w:pPr>
        <w:suppressAutoHyphens/>
        <w:spacing w:before="130" w:after="130"/>
        <w:jc w:val="center"/>
        <w:rPr>
          <w:rFonts w:eastAsia="MS Mincho"/>
          <w:b/>
          <w:bCs/>
          <w:szCs w:val="24"/>
          <w:u w:val="single"/>
        </w:rPr>
      </w:pPr>
      <w:r w:rsidRPr="00DB1AEE">
        <w:rPr>
          <w:rFonts w:eastAsia="MS Mincho"/>
          <w:b/>
          <w:bCs/>
          <w:szCs w:val="24"/>
          <w:u w:val="single"/>
        </w:rPr>
        <w:t>GENERAL</w:t>
      </w:r>
    </w:p>
    <w:p w14:paraId="6D36010E"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Section C401.2.1 ECCCNYS - Commercial Provisions.</w:t>
      </w:r>
    </w:p>
    <w:p w14:paraId="4BD36893" w14:textId="77777777" w:rsidR="00DB1AEE" w:rsidRPr="00DB1AEE" w:rsidRDefault="00DB1AEE" w:rsidP="00DB1AEE">
      <w:pPr>
        <w:widowControl w:val="0"/>
        <w:suppressAutoHyphens/>
        <w:autoSpaceDE w:val="0"/>
        <w:autoSpaceDN w:val="0"/>
        <w:adjustRightInd w:val="0"/>
        <w:spacing w:before="130" w:after="130"/>
        <w:rPr>
          <w:bCs/>
          <w:szCs w:val="24"/>
          <w:u w:val="single"/>
        </w:rPr>
      </w:pPr>
      <w:r w:rsidRPr="00DB1AEE">
        <w:rPr>
          <w:bCs/>
          <w:szCs w:val="24"/>
          <w:u w:val="single"/>
        </w:rPr>
        <w:t>Section C401.2.1 - Delete Section C401.2.1 in its entirety and add a new Section C401.2.1  to read as follows:</w:t>
      </w:r>
    </w:p>
    <w:p w14:paraId="085FBE3A" w14:textId="77777777" w:rsidR="00DB1AEE" w:rsidRPr="00DB1AEE" w:rsidRDefault="00DB1AEE" w:rsidP="00DB1AEE">
      <w:pPr>
        <w:widowControl w:val="0"/>
        <w:suppressAutoHyphens/>
        <w:autoSpaceDE w:val="0"/>
        <w:autoSpaceDN w:val="0"/>
        <w:adjustRightInd w:val="0"/>
        <w:spacing w:before="130" w:after="130"/>
        <w:ind w:left="360"/>
        <w:rPr>
          <w:bCs/>
          <w:szCs w:val="24"/>
          <w:u w:val="single"/>
        </w:rPr>
      </w:pPr>
      <w:r w:rsidRPr="00DB1AEE">
        <w:rPr>
          <w:b/>
          <w:szCs w:val="24"/>
          <w:u w:val="single"/>
        </w:rPr>
        <w:t xml:space="preserve">C401.2.1 New York City Energy Conservation Code.  </w:t>
      </w:r>
      <w:r w:rsidRPr="00DB1AEE">
        <w:rPr>
          <w:bCs/>
          <w:szCs w:val="24"/>
          <w:u w:val="single"/>
        </w:rPr>
        <w:t>Commercial Provisions. Commercial buildings shall comply with Sections C402 through C406 and C408. Dwelling units and sleeping units in Group R-2 buildings without systems serving multiple units shall be deemed to be in compliance with this chapter, provided that they comply with Section R406 .</w:t>
      </w:r>
    </w:p>
    <w:p w14:paraId="5C115CFC" w14:textId="77777777" w:rsidR="00DB1AEE" w:rsidRPr="00DB1AEE" w:rsidRDefault="00DB1AEE" w:rsidP="00DB1AEE">
      <w:pPr>
        <w:widowControl w:val="0"/>
        <w:suppressAutoHyphens/>
        <w:autoSpaceDE w:val="0"/>
        <w:autoSpaceDN w:val="0"/>
        <w:adjustRightInd w:val="0"/>
        <w:spacing w:before="130" w:after="130"/>
        <w:ind w:left="360"/>
        <w:rPr>
          <w:b/>
          <w:szCs w:val="24"/>
          <w:u w:val="single"/>
        </w:rPr>
      </w:pPr>
      <w:r w:rsidRPr="00DB1AEE">
        <w:rPr>
          <w:b/>
          <w:szCs w:val="24"/>
          <w:u w:val="single"/>
        </w:rPr>
        <w:t xml:space="preserve">Exception: </w:t>
      </w:r>
      <w:r w:rsidRPr="00DB1AEE">
        <w:rPr>
          <w:bCs/>
          <w:szCs w:val="24"/>
          <w:u w:val="single"/>
        </w:rPr>
        <w:t>Additions, alterations, repairs and changes of occupancy to existing buildings complying with Chapter C5</w:t>
      </w:r>
      <w:r w:rsidRPr="00DB1AEE">
        <w:rPr>
          <w:b/>
          <w:szCs w:val="24"/>
          <w:u w:val="single"/>
        </w:rPr>
        <w:t>.</w:t>
      </w:r>
    </w:p>
    <w:p w14:paraId="212905F1"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Section C401.2.2 ASHRAE 90.1.</w:t>
      </w:r>
    </w:p>
    <w:p w14:paraId="3DD5B296" w14:textId="77777777" w:rsidR="00DB1AEE" w:rsidRPr="00DB1AEE" w:rsidRDefault="00DB1AEE" w:rsidP="00DB1AEE">
      <w:pPr>
        <w:widowControl w:val="0"/>
        <w:suppressAutoHyphens/>
        <w:autoSpaceDE w:val="0"/>
        <w:autoSpaceDN w:val="0"/>
        <w:adjustRightInd w:val="0"/>
        <w:spacing w:before="130" w:after="130"/>
        <w:rPr>
          <w:bCs/>
          <w:szCs w:val="24"/>
          <w:u w:val="single"/>
        </w:rPr>
      </w:pPr>
      <w:r w:rsidRPr="00DB1AEE">
        <w:rPr>
          <w:bCs/>
          <w:szCs w:val="24"/>
          <w:u w:val="single"/>
        </w:rPr>
        <w:t>Section C401.2.2 - Delete Section C401.2.2 in its entirety and add a new Section C401.2.2  to read as follows:</w:t>
      </w:r>
    </w:p>
    <w:p w14:paraId="4A30FBA2" w14:textId="77777777" w:rsidR="00DB1AEE" w:rsidRPr="00DB1AEE" w:rsidRDefault="00DB1AEE" w:rsidP="00DB1AEE">
      <w:pPr>
        <w:widowControl w:val="0"/>
        <w:suppressAutoHyphens/>
        <w:autoSpaceDE w:val="0"/>
        <w:autoSpaceDN w:val="0"/>
        <w:adjustRightInd w:val="0"/>
        <w:spacing w:before="130" w:after="130"/>
        <w:ind w:left="360"/>
        <w:rPr>
          <w:b/>
          <w:szCs w:val="24"/>
          <w:u w:val="single"/>
        </w:rPr>
      </w:pPr>
      <w:r w:rsidRPr="00DB1AEE">
        <w:rPr>
          <w:b/>
          <w:szCs w:val="24"/>
          <w:u w:val="single"/>
        </w:rPr>
        <w:t xml:space="preserve">C401.2.2 ASHRAE 90.1 Compliance Path.  </w:t>
      </w:r>
      <w:r w:rsidRPr="00DB1AEE">
        <w:rPr>
          <w:bCs/>
          <w:szCs w:val="24"/>
          <w:u w:val="single"/>
        </w:rPr>
        <w:t>Commercial buildings shall comply with the requirements of 2025 NYC ASHRAE 90.1 .</w:t>
      </w:r>
    </w:p>
    <w:p w14:paraId="54325935" w14:textId="77777777" w:rsidR="00DB1AEE" w:rsidRPr="00DB1AEE" w:rsidRDefault="00DB1AEE" w:rsidP="00DB1AEE">
      <w:pPr>
        <w:suppressAutoHyphens/>
        <w:spacing w:before="130" w:after="130"/>
        <w:jc w:val="center"/>
        <w:rPr>
          <w:rFonts w:eastAsia="MS Mincho"/>
          <w:b/>
          <w:bCs/>
          <w:szCs w:val="24"/>
          <w:u w:val="single"/>
        </w:rPr>
      </w:pPr>
    </w:p>
    <w:p w14:paraId="2A951A8D" w14:textId="77777777" w:rsidR="00DB1AEE" w:rsidRPr="00DB1AEE" w:rsidRDefault="00DB1AEE" w:rsidP="00DB1AEE">
      <w:pPr>
        <w:suppressAutoHyphens/>
        <w:spacing w:before="130" w:after="130"/>
        <w:jc w:val="center"/>
        <w:rPr>
          <w:rFonts w:eastAsia="MS Mincho"/>
          <w:b/>
          <w:bCs/>
          <w:szCs w:val="24"/>
          <w:u w:val="single"/>
        </w:rPr>
      </w:pPr>
      <w:r w:rsidRPr="00DB1AEE">
        <w:rPr>
          <w:rFonts w:eastAsia="MS Mincho"/>
          <w:b/>
          <w:bCs/>
          <w:szCs w:val="24"/>
          <w:u w:val="single"/>
        </w:rPr>
        <w:t>SECTION C402</w:t>
      </w:r>
    </w:p>
    <w:p w14:paraId="352853F6" w14:textId="77777777" w:rsidR="00DB1AEE" w:rsidRPr="00DB1AEE" w:rsidRDefault="00DB1AEE" w:rsidP="00DB1AEE">
      <w:pPr>
        <w:suppressAutoHyphens/>
        <w:spacing w:before="130" w:after="130"/>
        <w:jc w:val="center"/>
        <w:rPr>
          <w:rFonts w:eastAsia="MS Mincho"/>
          <w:b/>
          <w:bCs/>
          <w:szCs w:val="24"/>
          <w:u w:val="single"/>
        </w:rPr>
      </w:pPr>
      <w:r w:rsidRPr="00DB1AEE">
        <w:rPr>
          <w:rFonts w:eastAsia="MS Mincho"/>
          <w:b/>
          <w:bCs/>
          <w:szCs w:val="24"/>
          <w:u w:val="single"/>
        </w:rPr>
        <w:t>BUILDING THERMAL ENVELOPE REQUIREMENTS</w:t>
      </w:r>
    </w:p>
    <w:p w14:paraId="6729DBCE" w14:textId="77777777" w:rsidR="00DB1AEE" w:rsidRPr="00DB1AEE" w:rsidRDefault="00DB1AEE" w:rsidP="00DB1AEE">
      <w:pPr>
        <w:widowControl w:val="0"/>
        <w:autoSpaceDE w:val="0"/>
        <w:autoSpaceDN w:val="0"/>
        <w:adjustRightInd w:val="0"/>
        <w:spacing w:before="130" w:after="130"/>
        <w:rPr>
          <w:bCs/>
          <w:iCs/>
          <w:position w:val="16"/>
          <w:szCs w:val="24"/>
          <w:u w:val="single"/>
        </w:rPr>
      </w:pPr>
      <w:r w:rsidRPr="00DB1AEE">
        <w:rPr>
          <w:b/>
          <w:bCs/>
          <w:iCs/>
          <w:szCs w:val="24"/>
          <w:u w:val="single"/>
        </w:rPr>
        <w:t>Table C402.1.2 Opaque Building Thermal Envelope Assembly Maximum Requirements, U-Factor Method</w:t>
      </w:r>
      <w:r w:rsidRPr="00DB1AEE">
        <w:rPr>
          <w:b/>
          <w:bCs/>
          <w:iCs/>
          <w:szCs w:val="24"/>
          <w:u w:val="single"/>
          <w:vertAlign w:val="superscript"/>
        </w:rPr>
        <w:t>a, b</w:t>
      </w:r>
    </w:p>
    <w:p w14:paraId="4BE26D10" w14:textId="77777777" w:rsidR="00DB1AEE" w:rsidRPr="00DB1AEE" w:rsidRDefault="00DB1AEE" w:rsidP="00DB1AEE">
      <w:pPr>
        <w:suppressAutoHyphens/>
        <w:spacing w:before="130" w:after="130"/>
        <w:rPr>
          <w:rFonts w:eastAsia="MS Mincho"/>
          <w:bCs/>
          <w:szCs w:val="24"/>
          <w:u w:val="single"/>
        </w:rPr>
      </w:pPr>
      <w:r w:rsidRPr="00DB1AEE">
        <w:rPr>
          <w:rFonts w:eastAsia="MS Mincho"/>
          <w:bCs/>
          <w:szCs w:val="24"/>
          <w:u w:val="single"/>
        </w:rPr>
        <w:t>Revise Table C402.1.2 to read as follows:</w:t>
      </w:r>
    </w:p>
    <w:p w14:paraId="487EE8FC" w14:textId="77777777" w:rsidR="00DB1AEE" w:rsidRPr="00DB1AEE" w:rsidRDefault="00DB1AEE" w:rsidP="00DB1AEE">
      <w:pPr>
        <w:widowControl w:val="0"/>
        <w:suppressAutoHyphens/>
        <w:autoSpaceDE w:val="0"/>
        <w:autoSpaceDN w:val="0"/>
        <w:adjustRightInd w:val="0"/>
        <w:spacing w:before="130" w:after="130"/>
        <w:ind w:left="360"/>
        <w:jc w:val="center"/>
        <w:rPr>
          <w:b/>
          <w:bCs/>
          <w:u w:val="single"/>
        </w:rPr>
      </w:pPr>
      <w:r w:rsidRPr="00DB1AEE">
        <w:rPr>
          <w:b/>
          <w:bCs/>
          <w:u w:val="single"/>
        </w:rPr>
        <w:t>TABLE C402.1.2</w:t>
      </w:r>
    </w:p>
    <w:p w14:paraId="47BCF426" w14:textId="77777777" w:rsidR="00DB1AEE" w:rsidRPr="00DB1AEE" w:rsidRDefault="00DB1AEE" w:rsidP="00DB1AEE">
      <w:pPr>
        <w:widowControl w:val="0"/>
        <w:suppressAutoHyphens/>
        <w:autoSpaceDE w:val="0"/>
        <w:autoSpaceDN w:val="0"/>
        <w:adjustRightInd w:val="0"/>
        <w:spacing w:before="130" w:after="130"/>
        <w:ind w:left="360"/>
        <w:jc w:val="center"/>
        <w:rPr>
          <w:b/>
          <w:bCs/>
          <w:u w:val="single"/>
          <w:vertAlign w:val="superscript"/>
        </w:rPr>
      </w:pPr>
      <w:r w:rsidRPr="00DB1AEE">
        <w:rPr>
          <w:b/>
          <w:bCs/>
          <w:u w:val="single"/>
        </w:rPr>
        <w:t>OPAQUE BUILDING THERMAL ENVELOPE ASSEMBLY MAXIMUM REQUIREMENTS, U-FACTOR METHOD</w:t>
      </w:r>
      <w:r w:rsidRPr="00DB1AEE">
        <w:rPr>
          <w:b/>
          <w:bCs/>
          <w:u w:val="single"/>
          <w:vertAlign w:val="superscript"/>
        </w:rPr>
        <w:t>a, b</w:t>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440"/>
        <w:gridCol w:w="1440"/>
        <w:gridCol w:w="1440"/>
        <w:gridCol w:w="1440"/>
        <w:gridCol w:w="1440"/>
        <w:gridCol w:w="1440"/>
        <w:gridCol w:w="1440"/>
      </w:tblGrid>
      <w:tr w:rsidR="00DB1AEE" w:rsidRPr="00DB1AEE" w14:paraId="42AC823A" w14:textId="77777777" w:rsidTr="00FC1832">
        <w:trPr>
          <w:trHeight w:val="285"/>
          <w:jc w:val="center"/>
        </w:trPr>
        <w:tc>
          <w:tcPr>
            <w:tcW w:w="1440" w:type="dxa"/>
            <w:vMerge w:val="restart"/>
            <w:vAlign w:val="center"/>
          </w:tcPr>
          <w:p w14:paraId="36EF1F29" w14:textId="77777777" w:rsidR="00DB1AEE" w:rsidRPr="00DB1AEE" w:rsidRDefault="00DB1AEE" w:rsidP="00DB1AEE">
            <w:pPr>
              <w:widowControl w:val="0"/>
              <w:pBdr>
                <w:top w:val="nil"/>
                <w:left w:val="nil"/>
                <w:bottom w:val="nil"/>
                <w:right w:val="nil"/>
                <w:between w:val="nil"/>
              </w:pBdr>
              <w:suppressAutoHyphens/>
              <w:jc w:val="center"/>
              <w:rPr>
                <w:b/>
                <w:bCs/>
                <w:sz w:val="18"/>
                <w:szCs w:val="18"/>
                <w:u w:val="single"/>
              </w:rPr>
            </w:pPr>
            <w:r w:rsidRPr="00DB1AEE">
              <w:rPr>
                <w:b/>
                <w:bCs/>
                <w:sz w:val="18"/>
                <w:szCs w:val="18"/>
                <w:u w:val="single"/>
              </w:rPr>
              <w:t>CLIMATE ZONE</w:t>
            </w:r>
          </w:p>
        </w:tc>
        <w:tc>
          <w:tcPr>
            <w:tcW w:w="2880" w:type="dxa"/>
            <w:gridSpan w:val="2"/>
            <w:vAlign w:val="center"/>
          </w:tcPr>
          <w:p w14:paraId="0E8B3B11" w14:textId="77777777" w:rsidR="00DB1AEE" w:rsidRPr="00DB1AEE" w:rsidRDefault="00DB1AEE" w:rsidP="00DB1AEE">
            <w:pPr>
              <w:suppressAutoHyphens/>
              <w:jc w:val="center"/>
              <w:rPr>
                <w:b/>
                <w:sz w:val="18"/>
                <w:szCs w:val="18"/>
                <w:u w:val="single"/>
              </w:rPr>
            </w:pPr>
            <w:r w:rsidRPr="00DB1AEE">
              <w:rPr>
                <w:sz w:val="18"/>
                <w:szCs w:val="18"/>
                <w:u w:val="single"/>
              </w:rPr>
              <w:t>4</w:t>
            </w:r>
          </w:p>
        </w:tc>
        <w:tc>
          <w:tcPr>
            <w:tcW w:w="2880" w:type="dxa"/>
            <w:gridSpan w:val="2"/>
            <w:vAlign w:val="center"/>
          </w:tcPr>
          <w:p w14:paraId="0E65C67B" w14:textId="77777777" w:rsidR="00DB1AEE" w:rsidRPr="00DB1AEE" w:rsidRDefault="00DB1AEE" w:rsidP="00DB1AEE">
            <w:pPr>
              <w:suppressAutoHyphens/>
              <w:jc w:val="center"/>
              <w:rPr>
                <w:b/>
                <w:sz w:val="18"/>
                <w:szCs w:val="18"/>
                <w:u w:val="single"/>
              </w:rPr>
            </w:pPr>
            <w:r w:rsidRPr="00DB1AEE">
              <w:rPr>
                <w:b/>
                <w:sz w:val="18"/>
                <w:szCs w:val="18"/>
                <w:u w:val="single"/>
              </w:rPr>
              <w:t>5</w:t>
            </w:r>
          </w:p>
        </w:tc>
        <w:tc>
          <w:tcPr>
            <w:tcW w:w="2880" w:type="dxa"/>
            <w:gridSpan w:val="2"/>
            <w:vAlign w:val="center"/>
          </w:tcPr>
          <w:p w14:paraId="717C2536" w14:textId="77777777" w:rsidR="00DB1AEE" w:rsidRPr="00DB1AEE" w:rsidRDefault="00DB1AEE" w:rsidP="00DB1AEE">
            <w:pPr>
              <w:suppressAutoHyphens/>
              <w:jc w:val="center"/>
              <w:rPr>
                <w:b/>
                <w:sz w:val="18"/>
                <w:szCs w:val="18"/>
                <w:u w:val="single"/>
              </w:rPr>
            </w:pPr>
            <w:r w:rsidRPr="00DB1AEE">
              <w:rPr>
                <w:b/>
                <w:sz w:val="18"/>
                <w:szCs w:val="18"/>
                <w:u w:val="single"/>
              </w:rPr>
              <w:t>6</w:t>
            </w:r>
          </w:p>
        </w:tc>
      </w:tr>
      <w:tr w:rsidR="00DB1AEE" w:rsidRPr="00DB1AEE" w14:paraId="6AED3505" w14:textId="77777777" w:rsidTr="00FC1832">
        <w:trPr>
          <w:trHeight w:val="285"/>
          <w:jc w:val="center"/>
        </w:trPr>
        <w:tc>
          <w:tcPr>
            <w:tcW w:w="1440" w:type="dxa"/>
            <w:vMerge/>
            <w:vAlign w:val="center"/>
          </w:tcPr>
          <w:p w14:paraId="6F0CBD6A" w14:textId="77777777" w:rsidR="00DB1AEE" w:rsidRPr="00DB1AEE" w:rsidRDefault="00DB1AEE" w:rsidP="00DB1AEE">
            <w:pPr>
              <w:widowControl w:val="0"/>
              <w:pBdr>
                <w:top w:val="nil"/>
                <w:left w:val="nil"/>
                <w:bottom w:val="nil"/>
                <w:right w:val="nil"/>
                <w:between w:val="nil"/>
              </w:pBdr>
              <w:suppressAutoHyphens/>
              <w:jc w:val="left"/>
              <w:rPr>
                <w:sz w:val="18"/>
                <w:szCs w:val="18"/>
                <w:u w:val="single"/>
              </w:rPr>
            </w:pPr>
          </w:p>
        </w:tc>
        <w:tc>
          <w:tcPr>
            <w:tcW w:w="1440" w:type="dxa"/>
            <w:vAlign w:val="center"/>
          </w:tcPr>
          <w:p w14:paraId="56CB7D3F" w14:textId="77777777" w:rsidR="00DB1AEE" w:rsidRPr="00DB1AEE" w:rsidRDefault="00DB1AEE" w:rsidP="00DB1AEE">
            <w:pPr>
              <w:suppressAutoHyphens/>
              <w:jc w:val="center"/>
              <w:rPr>
                <w:b/>
                <w:sz w:val="18"/>
                <w:szCs w:val="18"/>
                <w:u w:val="single"/>
              </w:rPr>
            </w:pPr>
            <w:r w:rsidRPr="00DB1AEE">
              <w:rPr>
                <w:b/>
                <w:sz w:val="18"/>
                <w:szCs w:val="18"/>
                <w:u w:val="single"/>
              </w:rPr>
              <w:t>All other</w:t>
            </w:r>
          </w:p>
        </w:tc>
        <w:tc>
          <w:tcPr>
            <w:tcW w:w="1440" w:type="dxa"/>
            <w:vAlign w:val="center"/>
          </w:tcPr>
          <w:p w14:paraId="5790CFE6" w14:textId="77777777" w:rsidR="00DB1AEE" w:rsidRPr="00DB1AEE" w:rsidRDefault="00DB1AEE" w:rsidP="00DB1AEE">
            <w:pPr>
              <w:suppressAutoHyphens/>
              <w:jc w:val="center"/>
              <w:rPr>
                <w:b/>
                <w:sz w:val="18"/>
                <w:szCs w:val="18"/>
                <w:u w:val="single"/>
              </w:rPr>
            </w:pPr>
            <w:r w:rsidRPr="00DB1AEE">
              <w:rPr>
                <w:b/>
                <w:sz w:val="18"/>
                <w:szCs w:val="18"/>
                <w:u w:val="single"/>
              </w:rPr>
              <w:t>Group R</w:t>
            </w:r>
          </w:p>
        </w:tc>
        <w:tc>
          <w:tcPr>
            <w:tcW w:w="1440" w:type="dxa"/>
            <w:vAlign w:val="center"/>
          </w:tcPr>
          <w:p w14:paraId="6984879D" w14:textId="77777777" w:rsidR="00DB1AEE" w:rsidRPr="00DB1AEE" w:rsidRDefault="00DB1AEE" w:rsidP="00DB1AEE">
            <w:pPr>
              <w:suppressAutoHyphens/>
              <w:jc w:val="center"/>
              <w:rPr>
                <w:b/>
                <w:sz w:val="18"/>
                <w:szCs w:val="18"/>
                <w:u w:val="single"/>
              </w:rPr>
            </w:pPr>
            <w:r w:rsidRPr="00DB1AEE">
              <w:rPr>
                <w:b/>
                <w:sz w:val="18"/>
                <w:szCs w:val="18"/>
                <w:u w:val="single"/>
              </w:rPr>
              <w:t>All other</w:t>
            </w:r>
          </w:p>
        </w:tc>
        <w:tc>
          <w:tcPr>
            <w:tcW w:w="1440" w:type="dxa"/>
            <w:vAlign w:val="center"/>
          </w:tcPr>
          <w:p w14:paraId="1C5382CE" w14:textId="77777777" w:rsidR="00DB1AEE" w:rsidRPr="00DB1AEE" w:rsidRDefault="00DB1AEE" w:rsidP="00DB1AEE">
            <w:pPr>
              <w:suppressAutoHyphens/>
              <w:jc w:val="center"/>
              <w:rPr>
                <w:b/>
                <w:sz w:val="18"/>
                <w:szCs w:val="18"/>
                <w:u w:val="single"/>
              </w:rPr>
            </w:pPr>
            <w:r w:rsidRPr="00DB1AEE">
              <w:rPr>
                <w:b/>
                <w:sz w:val="18"/>
                <w:szCs w:val="18"/>
                <w:u w:val="single"/>
              </w:rPr>
              <w:t>Group R</w:t>
            </w:r>
          </w:p>
        </w:tc>
        <w:tc>
          <w:tcPr>
            <w:tcW w:w="1440" w:type="dxa"/>
            <w:vAlign w:val="center"/>
          </w:tcPr>
          <w:p w14:paraId="4ACDDA79" w14:textId="77777777" w:rsidR="00DB1AEE" w:rsidRPr="00DB1AEE" w:rsidRDefault="00DB1AEE" w:rsidP="00DB1AEE">
            <w:pPr>
              <w:suppressAutoHyphens/>
              <w:jc w:val="center"/>
              <w:rPr>
                <w:b/>
                <w:sz w:val="18"/>
                <w:szCs w:val="18"/>
                <w:u w:val="single"/>
              </w:rPr>
            </w:pPr>
            <w:r w:rsidRPr="00DB1AEE">
              <w:rPr>
                <w:b/>
                <w:sz w:val="18"/>
                <w:szCs w:val="18"/>
                <w:u w:val="single"/>
              </w:rPr>
              <w:t>All other</w:t>
            </w:r>
          </w:p>
        </w:tc>
        <w:tc>
          <w:tcPr>
            <w:tcW w:w="1440" w:type="dxa"/>
            <w:vAlign w:val="center"/>
          </w:tcPr>
          <w:p w14:paraId="5643324A" w14:textId="77777777" w:rsidR="00DB1AEE" w:rsidRPr="00DB1AEE" w:rsidRDefault="00DB1AEE" w:rsidP="00DB1AEE">
            <w:pPr>
              <w:suppressAutoHyphens/>
              <w:jc w:val="center"/>
              <w:rPr>
                <w:b/>
                <w:sz w:val="18"/>
                <w:szCs w:val="18"/>
                <w:u w:val="single"/>
              </w:rPr>
            </w:pPr>
            <w:r w:rsidRPr="00DB1AEE">
              <w:rPr>
                <w:b/>
                <w:sz w:val="18"/>
                <w:szCs w:val="18"/>
                <w:u w:val="single"/>
              </w:rPr>
              <w:t>Group R</w:t>
            </w:r>
          </w:p>
        </w:tc>
      </w:tr>
      <w:tr w:rsidR="00DB1AEE" w:rsidRPr="00DB1AEE" w14:paraId="164B4CD4" w14:textId="77777777" w:rsidTr="00FC1832">
        <w:trPr>
          <w:trHeight w:val="285"/>
          <w:jc w:val="center"/>
        </w:trPr>
        <w:tc>
          <w:tcPr>
            <w:tcW w:w="10080" w:type="dxa"/>
            <w:gridSpan w:val="7"/>
            <w:vAlign w:val="center"/>
          </w:tcPr>
          <w:p w14:paraId="2917EF7D" w14:textId="77777777" w:rsidR="00DB1AEE" w:rsidRPr="00DB1AEE" w:rsidRDefault="00DB1AEE" w:rsidP="00DB1AEE">
            <w:pPr>
              <w:suppressAutoHyphens/>
              <w:jc w:val="center"/>
              <w:rPr>
                <w:sz w:val="18"/>
                <w:szCs w:val="18"/>
                <w:u w:val="single"/>
              </w:rPr>
            </w:pPr>
            <w:r w:rsidRPr="00DB1AEE">
              <w:rPr>
                <w:b/>
                <w:sz w:val="18"/>
                <w:szCs w:val="18"/>
                <w:u w:val="single"/>
              </w:rPr>
              <w:t>Roofs</w:t>
            </w:r>
          </w:p>
        </w:tc>
      </w:tr>
      <w:tr w:rsidR="00DB1AEE" w:rsidRPr="00DB1AEE" w14:paraId="3CDFAA8A" w14:textId="77777777" w:rsidTr="00FC1832">
        <w:trPr>
          <w:trHeight w:val="285"/>
          <w:jc w:val="center"/>
        </w:trPr>
        <w:tc>
          <w:tcPr>
            <w:tcW w:w="1440" w:type="dxa"/>
            <w:vAlign w:val="center"/>
          </w:tcPr>
          <w:p w14:paraId="61CF2041" w14:textId="77777777" w:rsidR="00DB1AEE" w:rsidRPr="00DB1AEE" w:rsidRDefault="00DB1AEE" w:rsidP="00DB1AEE">
            <w:pPr>
              <w:suppressAutoHyphens/>
              <w:jc w:val="left"/>
              <w:rPr>
                <w:sz w:val="18"/>
                <w:szCs w:val="18"/>
                <w:u w:val="single"/>
              </w:rPr>
            </w:pPr>
            <w:r w:rsidRPr="00DB1AEE">
              <w:rPr>
                <w:sz w:val="18"/>
                <w:szCs w:val="18"/>
                <w:u w:val="single"/>
              </w:rPr>
              <w:t>Insulation entirely above roof deck</w:t>
            </w:r>
          </w:p>
        </w:tc>
        <w:tc>
          <w:tcPr>
            <w:tcW w:w="1440" w:type="dxa"/>
            <w:vAlign w:val="center"/>
          </w:tcPr>
          <w:p w14:paraId="62154324" w14:textId="77777777" w:rsidR="00DB1AEE" w:rsidRPr="00DB1AEE" w:rsidRDefault="00DB1AEE" w:rsidP="00DB1AEE">
            <w:pPr>
              <w:suppressAutoHyphens/>
              <w:jc w:val="center"/>
              <w:rPr>
                <w:sz w:val="18"/>
                <w:szCs w:val="18"/>
                <w:u w:val="single"/>
              </w:rPr>
            </w:pPr>
            <w:r w:rsidRPr="00DB1AEE">
              <w:rPr>
                <w:sz w:val="18"/>
                <w:szCs w:val="18"/>
                <w:u w:val="single"/>
              </w:rPr>
              <w:t>U-0.030</w:t>
            </w:r>
          </w:p>
        </w:tc>
        <w:tc>
          <w:tcPr>
            <w:tcW w:w="1440" w:type="dxa"/>
            <w:vAlign w:val="center"/>
          </w:tcPr>
          <w:p w14:paraId="64BD9AA3" w14:textId="77777777" w:rsidR="00DB1AEE" w:rsidRPr="00DB1AEE" w:rsidRDefault="00DB1AEE" w:rsidP="00DB1AEE">
            <w:pPr>
              <w:suppressAutoHyphens/>
              <w:jc w:val="center"/>
              <w:rPr>
                <w:sz w:val="18"/>
                <w:szCs w:val="18"/>
                <w:u w:val="single"/>
              </w:rPr>
            </w:pPr>
            <w:r w:rsidRPr="00DB1AEE">
              <w:rPr>
                <w:sz w:val="18"/>
                <w:szCs w:val="18"/>
                <w:u w:val="single"/>
              </w:rPr>
              <w:t>U-0.030</w:t>
            </w:r>
          </w:p>
        </w:tc>
        <w:tc>
          <w:tcPr>
            <w:tcW w:w="1440" w:type="dxa"/>
            <w:vAlign w:val="center"/>
          </w:tcPr>
          <w:p w14:paraId="58E241E5" w14:textId="77777777" w:rsidR="00DB1AEE" w:rsidRPr="00DB1AEE" w:rsidRDefault="00DB1AEE" w:rsidP="00DB1AEE">
            <w:pPr>
              <w:suppressAutoHyphens/>
              <w:jc w:val="center"/>
              <w:rPr>
                <w:sz w:val="18"/>
                <w:szCs w:val="18"/>
                <w:u w:val="single"/>
              </w:rPr>
            </w:pPr>
            <w:r w:rsidRPr="00DB1AEE">
              <w:rPr>
                <w:sz w:val="18"/>
                <w:szCs w:val="18"/>
                <w:u w:val="single"/>
              </w:rPr>
              <w:t>U-0.030</w:t>
            </w:r>
          </w:p>
        </w:tc>
        <w:tc>
          <w:tcPr>
            <w:tcW w:w="1440" w:type="dxa"/>
            <w:vAlign w:val="center"/>
          </w:tcPr>
          <w:p w14:paraId="7B06D07E" w14:textId="77777777" w:rsidR="00DB1AEE" w:rsidRPr="00DB1AEE" w:rsidRDefault="00DB1AEE" w:rsidP="00DB1AEE">
            <w:pPr>
              <w:suppressAutoHyphens/>
              <w:jc w:val="center"/>
              <w:rPr>
                <w:sz w:val="18"/>
                <w:szCs w:val="18"/>
                <w:u w:val="single"/>
              </w:rPr>
            </w:pPr>
            <w:r w:rsidRPr="00DB1AEE">
              <w:rPr>
                <w:sz w:val="18"/>
                <w:szCs w:val="18"/>
                <w:u w:val="single"/>
              </w:rPr>
              <w:t>U-0.030</w:t>
            </w:r>
          </w:p>
        </w:tc>
        <w:tc>
          <w:tcPr>
            <w:tcW w:w="1440" w:type="dxa"/>
            <w:vAlign w:val="center"/>
          </w:tcPr>
          <w:p w14:paraId="4F797DF7" w14:textId="77777777" w:rsidR="00DB1AEE" w:rsidRPr="00DB1AEE" w:rsidRDefault="00DB1AEE" w:rsidP="00DB1AEE">
            <w:pPr>
              <w:suppressAutoHyphens/>
              <w:jc w:val="center"/>
              <w:rPr>
                <w:sz w:val="18"/>
                <w:szCs w:val="18"/>
                <w:u w:val="single"/>
              </w:rPr>
            </w:pPr>
            <w:r w:rsidRPr="00DB1AEE">
              <w:rPr>
                <w:sz w:val="18"/>
                <w:szCs w:val="18"/>
                <w:u w:val="single"/>
              </w:rPr>
              <w:t>U-0.028</w:t>
            </w:r>
            <w:r w:rsidRPr="00DB1AEE">
              <w:rPr>
                <w:sz w:val="18"/>
                <w:szCs w:val="18"/>
                <w:u w:val="single"/>
              </w:rPr>
              <w:br/>
            </w:r>
          </w:p>
        </w:tc>
        <w:tc>
          <w:tcPr>
            <w:tcW w:w="1440" w:type="dxa"/>
            <w:vAlign w:val="center"/>
          </w:tcPr>
          <w:p w14:paraId="02E240E1" w14:textId="77777777" w:rsidR="00DB1AEE" w:rsidRPr="00DB1AEE" w:rsidRDefault="00DB1AEE" w:rsidP="00DB1AEE">
            <w:pPr>
              <w:suppressAutoHyphens/>
              <w:jc w:val="center"/>
              <w:rPr>
                <w:sz w:val="18"/>
                <w:szCs w:val="18"/>
                <w:u w:val="single"/>
              </w:rPr>
            </w:pPr>
            <w:r w:rsidRPr="00DB1AEE">
              <w:rPr>
                <w:sz w:val="18"/>
                <w:szCs w:val="18"/>
                <w:u w:val="single"/>
              </w:rPr>
              <w:t>U-0.028</w:t>
            </w:r>
            <w:r w:rsidRPr="00DB1AEE">
              <w:rPr>
                <w:sz w:val="18"/>
                <w:szCs w:val="18"/>
                <w:u w:val="single"/>
              </w:rPr>
              <w:br/>
            </w:r>
          </w:p>
        </w:tc>
      </w:tr>
      <w:tr w:rsidR="00DB1AEE" w:rsidRPr="00DB1AEE" w14:paraId="1395E20D" w14:textId="77777777" w:rsidTr="00FC1832">
        <w:trPr>
          <w:trHeight w:val="285"/>
          <w:jc w:val="center"/>
        </w:trPr>
        <w:tc>
          <w:tcPr>
            <w:tcW w:w="1440" w:type="dxa"/>
            <w:vAlign w:val="center"/>
          </w:tcPr>
          <w:p w14:paraId="6B9E4FD1" w14:textId="77777777" w:rsidR="00DB1AEE" w:rsidRPr="00DB1AEE" w:rsidRDefault="00DB1AEE" w:rsidP="00DB1AEE">
            <w:pPr>
              <w:suppressAutoHyphens/>
              <w:jc w:val="left"/>
              <w:rPr>
                <w:sz w:val="18"/>
                <w:szCs w:val="18"/>
                <w:u w:val="single"/>
              </w:rPr>
            </w:pPr>
            <w:r w:rsidRPr="00DB1AEE">
              <w:rPr>
                <w:sz w:val="18"/>
                <w:szCs w:val="18"/>
                <w:u w:val="single"/>
              </w:rPr>
              <w:t>Pre-engineered Metal buildings</w:t>
            </w:r>
          </w:p>
        </w:tc>
        <w:tc>
          <w:tcPr>
            <w:tcW w:w="1440" w:type="dxa"/>
            <w:vAlign w:val="center"/>
          </w:tcPr>
          <w:p w14:paraId="3368F40C" w14:textId="77777777" w:rsidR="00DB1AEE" w:rsidRPr="00DB1AEE" w:rsidRDefault="00DB1AEE" w:rsidP="00DB1AEE">
            <w:pPr>
              <w:suppressAutoHyphens/>
              <w:jc w:val="center"/>
              <w:rPr>
                <w:sz w:val="18"/>
                <w:szCs w:val="18"/>
                <w:u w:val="single"/>
              </w:rPr>
            </w:pPr>
            <w:r w:rsidRPr="00DB1AEE">
              <w:rPr>
                <w:sz w:val="18"/>
                <w:szCs w:val="18"/>
                <w:u w:val="single"/>
              </w:rPr>
              <w:t>U-0.035</w:t>
            </w:r>
          </w:p>
        </w:tc>
        <w:tc>
          <w:tcPr>
            <w:tcW w:w="1440" w:type="dxa"/>
            <w:vAlign w:val="center"/>
          </w:tcPr>
          <w:p w14:paraId="5C673238" w14:textId="77777777" w:rsidR="00DB1AEE" w:rsidRPr="00DB1AEE" w:rsidRDefault="00DB1AEE" w:rsidP="00DB1AEE">
            <w:pPr>
              <w:suppressAutoHyphens/>
              <w:jc w:val="center"/>
              <w:rPr>
                <w:sz w:val="18"/>
                <w:szCs w:val="18"/>
                <w:u w:val="single"/>
              </w:rPr>
            </w:pPr>
            <w:r w:rsidRPr="00DB1AEE">
              <w:rPr>
                <w:sz w:val="18"/>
                <w:szCs w:val="18"/>
                <w:u w:val="single"/>
              </w:rPr>
              <w:t>U-0.035</w:t>
            </w:r>
          </w:p>
        </w:tc>
        <w:tc>
          <w:tcPr>
            <w:tcW w:w="1440" w:type="dxa"/>
          </w:tcPr>
          <w:p w14:paraId="7DFE8194" w14:textId="77777777" w:rsidR="00DB1AEE" w:rsidRPr="00DB1AEE" w:rsidRDefault="00DB1AEE" w:rsidP="00DB1AEE">
            <w:pPr>
              <w:suppressAutoHyphens/>
              <w:jc w:val="center"/>
              <w:rPr>
                <w:sz w:val="18"/>
                <w:szCs w:val="18"/>
                <w:u w:val="single"/>
              </w:rPr>
            </w:pPr>
            <w:r w:rsidRPr="00DB1AEE">
              <w:rPr>
                <w:sz w:val="18"/>
                <w:szCs w:val="18"/>
                <w:u w:val="single"/>
              </w:rPr>
              <w:t>U-0.035</w:t>
            </w:r>
          </w:p>
        </w:tc>
        <w:tc>
          <w:tcPr>
            <w:tcW w:w="1440" w:type="dxa"/>
          </w:tcPr>
          <w:p w14:paraId="27BE18E8" w14:textId="77777777" w:rsidR="00DB1AEE" w:rsidRPr="00DB1AEE" w:rsidRDefault="00DB1AEE" w:rsidP="00DB1AEE">
            <w:pPr>
              <w:suppressAutoHyphens/>
              <w:jc w:val="center"/>
              <w:rPr>
                <w:sz w:val="18"/>
                <w:szCs w:val="18"/>
                <w:u w:val="single"/>
              </w:rPr>
            </w:pPr>
            <w:r w:rsidRPr="00DB1AEE">
              <w:rPr>
                <w:sz w:val="18"/>
                <w:szCs w:val="18"/>
                <w:u w:val="single"/>
              </w:rPr>
              <w:t>U-0.035</w:t>
            </w:r>
          </w:p>
        </w:tc>
        <w:tc>
          <w:tcPr>
            <w:tcW w:w="1440" w:type="dxa"/>
          </w:tcPr>
          <w:p w14:paraId="42CE45C9" w14:textId="77777777" w:rsidR="00DB1AEE" w:rsidRPr="00DB1AEE" w:rsidRDefault="00DB1AEE" w:rsidP="00DB1AEE">
            <w:pPr>
              <w:suppressAutoHyphens/>
              <w:jc w:val="center"/>
              <w:rPr>
                <w:sz w:val="18"/>
                <w:szCs w:val="18"/>
                <w:u w:val="single"/>
              </w:rPr>
            </w:pPr>
            <w:r w:rsidRPr="00DB1AEE">
              <w:rPr>
                <w:sz w:val="18"/>
                <w:szCs w:val="18"/>
                <w:u w:val="single"/>
              </w:rPr>
              <w:t>U-0.028</w:t>
            </w:r>
            <w:r w:rsidRPr="00DB1AEE">
              <w:rPr>
                <w:sz w:val="18"/>
                <w:szCs w:val="18"/>
                <w:u w:val="single"/>
              </w:rPr>
              <w:br/>
            </w:r>
          </w:p>
        </w:tc>
        <w:tc>
          <w:tcPr>
            <w:tcW w:w="1440" w:type="dxa"/>
          </w:tcPr>
          <w:p w14:paraId="7E581120" w14:textId="77777777" w:rsidR="00DB1AEE" w:rsidRPr="00DB1AEE" w:rsidRDefault="00DB1AEE" w:rsidP="00DB1AEE">
            <w:pPr>
              <w:suppressAutoHyphens/>
              <w:jc w:val="center"/>
              <w:rPr>
                <w:sz w:val="18"/>
                <w:szCs w:val="18"/>
                <w:u w:val="single"/>
              </w:rPr>
            </w:pPr>
            <w:r w:rsidRPr="00DB1AEE">
              <w:rPr>
                <w:sz w:val="18"/>
                <w:szCs w:val="18"/>
                <w:u w:val="single"/>
              </w:rPr>
              <w:t>U-0.028</w:t>
            </w:r>
            <w:r w:rsidRPr="00DB1AEE">
              <w:rPr>
                <w:sz w:val="18"/>
                <w:szCs w:val="18"/>
                <w:u w:val="single"/>
              </w:rPr>
              <w:br/>
            </w:r>
          </w:p>
        </w:tc>
      </w:tr>
      <w:tr w:rsidR="00DB1AEE" w:rsidRPr="00DB1AEE" w14:paraId="59705C1D" w14:textId="77777777" w:rsidTr="00FC1832">
        <w:trPr>
          <w:trHeight w:val="285"/>
          <w:jc w:val="center"/>
        </w:trPr>
        <w:tc>
          <w:tcPr>
            <w:tcW w:w="1440" w:type="dxa"/>
            <w:vAlign w:val="center"/>
          </w:tcPr>
          <w:p w14:paraId="780DD613" w14:textId="77777777" w:rsidR="00DB1AEE" w:rsidRPr="00DB1AEE" w:rsidRDefault="00DB1AEE" w:rsidP="00DB1AEE">
            <w:pPr>
              <w:suppressAutoHyphens/>
              <w:jc w:val="left"/>
              <w:rPr>
                <w:sz w:val="18"/>
                <w:szCs w:val="18"/>
                <w:u w:val="single"/>
              </w:rPr>
            </w:pPr>
            <w:r w:rsidRPr="00DB1AEE">
              <w:rPr>
                <w:sz w:val="18"/>
                <w:szCs w:val="18"/>
                <w:u w:val="single"/>
              </w:rPr>
              <w:t>Attic and other</w:t>
            </w:r>
          </w:p>
        </w:tc>
        <w:tc>
          <w:tcPr>
            <w:tcW w:w="1440" w:type="dxa"/>
            <w:vAlign w:val="center"/>
          </w:tcPr>
          <w:p w14:paraId="45DA9070" w14:textId="77777777" w:rsidR="00DB1AEE" w:rsidRPr="00DB1AEE" w:rsidRDefault="00DB1AEE" w:rsidP="00DB1AEE">
            <w:pPr>
              <w:suppressAutoHyphens/>
              <w:jc w:val="center"/>
              <w:rPr>
                <w:sz w:val="18"/>
                <w:szCs w:val="18"/>
                <w:u w:val="single"/>
              </w:rPr>
            </w:pPr>
            <w:r w:rsidRPr="00DB1AEE">
              <w:rPr>
                <w:sz w:val="18"/>
                <w:szCs w:val="18"/>
                <w:u w:val="single"/>
              </w:rPr>
              <w:t>U-0.020</w:t>
            </w:r>
          </w:p>
        </w:tc>
        <w:tc>
          <w:tcPr>
            <w:tcW w:w="1440" w:type="dxa"/>
            <w:vAlign w:val="center"/>
          </w:tcPr>
          <w:p w14:paraId="6CE3E423" w14:textId="77777777" w:rsidR="00DB1AEE" w:rsidRPr="00DB1AEE" w:rsidRDefault="00DB1AEE" w:rsidP="00DB1AEE">
            <w:pPr>
              <w:suppressAutoHyphens/>
              <w:jc w:val="center"/>
              <w:rPr>
                <w:sz w:val="18"/>
                <w:szCs w:val="18"/>
                <w:u w:val="single"/>
              </w:rPr>
            </w:pPr>
            <w:r w:rsidRPr="00DB1AEE">
              <w:rPr>
                <w:sz w:val="18"/>
                <w:szCs w:val="18"/>
                <w:u w:val="single"/>
              </w:rPr>
              <w:t>U-0.020</w:t>
            </w:r>
          </w:p>
        </w:tc>
        <w:tc>
          <w:tcPr>
            <w:tcW w:w="1440" w:type="dxa"/>
            <w:vAlign w:val="center"/>
          </w:tcPr>
          <w:p w14:paraId="7DB40F8B" w14:textId="77777777" w:rsidR="00DB1AEE" w:rsidRPr="00DB1AEE" w:rsidRDefault="00DB1AEE" w:rsidP="00DB1AEE">
            <w:pPr>
              <w:suppressAutoHyphens/>
              <w:jc w:val="center"/>
              <w:rPr>
                <w:sz w:val="18"/>
                <w:szCs w:val="18"/>
                <w:u w:val="single"/>
              </w:rPr>
            </w:pPr>
            <w:r w:rsidRPr="00DB1AEE">
              <w:rPr>
                <w:sz w:val="18"/>
                <w:szCs w:val="18"/>
                <w:u w:val="single"/>
              </w:rPr>
              <w:t>U-0.020</w:t>
            </w:r>
          </w:p>
        </w:tc>
        <w:tc>
          <w:tcPr>
            <w:tcW w:w="1440" w:type="dxa"/>
            <w:vAlign w:val="center"/>
          </w:tcPr>
          <w:p w14:paraId="7FC53902" w14:textId="77777777" w:rsidR="00DB1AEE" w:rsidRPr="00DB1AEE" w:rsidRDefault="00DB1AEE" w:rsidP="00DB1AEE">
            <w:pPr>
              <w:suppressAutoHyphens/>
              <w:jc w:val="center"/>
              <w:rPr>
                <w:sz w:val="18"/>
                <w:szCs w:val="18"/>
                <w:u w:val="single"/>
              </w:rPr>
            </w:pPr>
            <w:r w:rsidRPr="00DB1AEE">
              <w:rPr>
                <w:sz w:val="18"/>
                <w:szCs w:val="18"/>
                <w:u w:val="single"/>
              </w:rPr>
              <w:t>U-0.020</w:t>
            </w:r>
          </w:p>
        </w:tc>
        <w:tc>
          <w:tcPr>
            <w:tcW w:w="1440" w:type="dxa"/>
            <w:vAlign w:val="center"/>
          </w:tcPr>
          <w:p w14:paraId="4C29091F" w14:textId="77777777" w:rsidR="00DB1AEE" w:rsidRPr="00DB1AEE" w:rsidRDefault="00DB1AEE" w:rsidP="00DB1AEE">
            <w:pPr>
              <w:suppressAutoHyphens/>
              <w:jc w:val="center"/>
              <w:rPr>
                <w:sz w:val="18"/>
                <w:szCs w:val="18"/>
                <w:u w:val="single"/>
              </w:rPr>
            </w:pPr>
            <w:r w:rsidRPr="00DB1AEE">
              <w:rPr>
                <w:sz w:val="18"/>
                <w:szCs w:val="18"/>
                <w:u w:val="single"/>
              </w:rPr>
              <w:t>U-0.017</w:t>
            </w:r>
            <w:r w:rsidRPr="00DB1AEE">
              <w:rPr>
                <w:sz w:val="18"/>
                <w:szCs w:val="18"/>
                <w:u w:val="single"/>
              </w:rPr>
              <w:br/>
            </w:r>
          </w:p>
        </w:tc>
        <w:tc>
          <w:tcPr>
            <w:tcW w:w="1440" w:type="dxa"/>
            <w:vAlign w:val="center"/>
          </w:tcPr>
          <w:p w14:paraId="5D4FCCCA" w14:textId="77777777" w:rsidR="00DB1AEE" w:rsidRPr="00DB1AEE" w:rsidRDefault="00DB1AEE" w:rsidP="00DB1AEE">
            <w:pPr>
              <w:suppressAutoHyphens/>
              <w:jc w:val="center"/>
              <w:rPr>
                <w:sz w:val="18"/>
                <w:szCs w:val="18"/>
                <w:u w:val="single"/>
              </w:rPr>
            </w:pPr>
            <w:r w:rsidRPr="00DB1AEE">
              <w:rPr>
                <w:sz w:val="18"/>
                <w:szCs w:val="18"/>
                <w:u w:val="single"/>
              </w:rPr>
              <w:t>U-0.017</w:t>
            </w:r>
            <w:r w:rsidRPr="00DB1AEE">
              <w:rPr>
                <w:sz w:val="18"/>
                <w:szCs w:val="18"/>
                <w:u w:val="single"/>
              </w:rPr>
              <w:br/>
            </w:r>
          </w:p>
        </w:tc>
      </w:tr>
      <w:tr w:rsidR="00DB1AEE" w:rsidRPr="00DB1AEE" w14:paraId="51F2B7A1" w14:textId="77777777" w:rsidTr="00FC1832">
        <w:trPr>
          <w:trHeight w:val="285"/>
          <w:jc w:val="center"/>
        </w:trPr>
        <w:tc>
          <w:tcPr>
            <w:tcW w:w="10080" w:type="dxa"/>
            <w:gridSpan w:val="7"/>
            <w:vAlign w:val="center"/>
          </w:tcPr>
          <w:p w14:paraId="468AB29B" w14:textId="77777777" w:rsidR="00DB1AEE" w:rsidRPr="00DB1AEE" w:rsidRDefault="00DB1AEE" w:rsidP="00DB1AEE">
            <w:pPr>
              <w:suppressAutoHyphens/>
              <w:jc w:val="center"/>
              <w:rPr>
                <w:sz w:val="18"/>
                <w:szCs w:val="18"/>
                <w:u w:val="single"/>
              </w:rPr>
            </w:pPr>
            <w:r w:rsidRPr="00DB1AEE">
              <w:rPr>
                <w:b/>
                <w:sz w:val="18"/>
                <w:szCs w:val="18"/>
                <w:u w:val="single"/>
              </w:rPr>
              <w:t>Walls, above grade</w:t>
            </w:r>
            <w:r w:rsidRPr="00DB1AEE">
              <w:rPr>
                <w:b/>
                <w:sz w:val="18"/>
                <w:szCs w:val="18"/>
                <w:u w:val="single"/>
                <w:vertAlign w:val="superscript"/>
              </w:rPr>
              <w:t>e</w:t>
            </w:r>
          </w:p>
        </w:tc>
      </w:tr>
      <w:tr w:rsidR="00DB1AEE" w:rsidRPr="00DB1AEE" w14:paraId="35C851EA" w14:textId="77777777" w:rsidTr="00FC1832">
        <w:trPr>
          <w:trHeight w:val="285"/>
          <w:jc w:val="center"/>
        </w:trPr>
        <w:tc>
          <w:tcPr>
            <w:tcW w:w="1440" w:type="dxa"/>
            <w:vAlign w:val="center"/>
          </w:tcPr>
          <w:p w14:paraId="677B74BA" w14:textId="77777777" w:rsidR="00DB1AEE" w:rsidRPr="00DB1AEE" w:rsidRDefault="00DB1AEE" w:rsidP="00DB1AEE">
            <w:pPr>
              <w:suppressAutoHyphens/>
              <w:jc w:val="left"/>
              <w:rPr>
                <w:sz w:val="18"/>
                <w:szCs w:val="18"/>
                <w:u w:val="single"/>
              </w:rPr>
            </w:pPr>
            <w:r w:rsidRPr="00DB1AEE">
              <w:rPr>
                <w:sz w:val="18"/>
                <w:szCs w:val="18"/>
                <w:u w:val="single"/>
              </w:rPr>
              <w:t>Mass</w:t>
            </w:r>
            <w:r w:rsidRPr="00DB1AEE">
              <w:rPr>
                <w:b/>
                <w:sz w:val="18"/>
                <w:szCs w:val="18"/>
                <w:u w:val="single"/>
                <w:vertAlign w:val="superscript"/>
              </w:rPr>
              <w:t>f</w:t>
            </w:r>
          </w:p>
        </w:tc>
        <w:tc>
          <w:tcPr>
            <w:tcW w:w="1440" w:type="dxa"/>
            <w:vAlign w:val="center"/>
          </w:tcPr>
          <w:p w14:paraId="0639EA3A" w14:textId="77777777" w:rsidR="00DB1AEE" w:rsidRPr="00DB1AEE" w:rsidRDefault="00DB1AEE" w:rsidP="00DB1AEE">
            <w:pPr>
              <w:keepNext/>
              <w:suppressAutoHyphens/>
              <w:jc w:val="center"/>
              <w:outlineLvl w:val="1"/>
              <w:rPr>
                <w:b/>
                <w:sz w:val="18"/>
                <w:szCs w:val="18"/>
                <w:u w:val="single"/>
              </w:rPr>
            </w:pPr>
            <w:r w:rsidRPr="00DB1AEE">
              <w:rPr>
                <w:b/>
                <w:sz w:val="18"/>
                <w:szCs w:val="18"/>
                <w:u w:val="single"/>
              </w:rPr>
              <w:t>U-0.090</w:t>
            </w:r>
          </w:p>
        </w:tc>
        <w:tc>
          <w:tcPr>
            <w:tcW w:w="1440" w:type="dxa"/>
            <w:vAlign w:val="center"/>
          </w:tcPr>
          <w:p w14:paraId="76DB60B3" w14:textId="77777777" w:rsidR="00DB1AEE" w:rsidRPr="00DB1AEE" w:rsidRDefault="00DB1AEE" w:rsidP="00DB1AEE">
            <w:pPr>
              <w:keepNext/>
              <w:suppressAutoHyphens/>
              <w:jc w:val="center"/>
              <w:outlineLvl w:val="1"/>
              <w:rPr>
                <w:b/>
                <w:sz w:val="18"/>
                <w:szCs w:val="18"/>
                <w:u w:val="single"/>
              </w:rPr>
            </w:pPr>
            <w:r w:rsidRPr="00DB1AEE">
              <w:rPr>
                <w:b/>
                <w:sz w:val="18"/>
                <w:szCs w:val="18"/>
                <w:u w:val="single"/>
              </w:rPr>
              <w:t>U-0.080</w:t>
            </w:r>
          </w:p>
        </w:tc>
        <w:tc>
          <w:tcPr>
            <w:tcW w:w="1440" w:type="dxa"/>
            <w:vAlign w:val="center"/>
          </w:tcPr>
          <w:p w14:paraId="5919A49E" w14:textId="77777777" w:rsidR="00DB1AEE" w:rsidRPr="00DB1AEE" w:rsidRDefault="00DB1AEE" w:rsidP="00DB1AEE">
            <w:pPr>
              <w:keepNext/>
              <w:suppressAutoHyphens/>
              <w:jc w:val="center"/>
              <w:outlineLvl w:val="1"/>
              <w:rPr>
                <w:b/>
                <w:sz w:val="18"/>
                <w:szCs w:val="18"/>
                <w:u w:val="single"/>
              </w:rPr>
            </w:pPr>
            <w:r w:rsidRPr="00DB1AEE">
              <w:rPr>
                <w:b/>
                <w:sz w:val="18"/>
                <w:szCs w:val="18"/>
                <w:u w:val="single"/>
              </w:rPr>
              <w:t>U-0.080</w:t>
            </w:r>
            <w:r w:rsidRPr="00DB1AEE">
              <w:rPr>
                <w:b/>
                <w:sz w:val="18"/>
                <w:szCs w:val="18"/>
                <w:u w:val="single"/>
              </w:rPr>
              <w:br/>
            </w:r>
          </w:p>
        </w:tc>
        <w:tc>
          <w:tcPr>
            <w:tcW w:w="1440" w:type="dxa"/>
            <w:vAlign w:val="center"/>
          </w:tcPr>
          <w:p w14:paraId="47CD2953" w14:textId="77777777" w:rsidR="00DB1AEE" w:rsidRPr="00DB1AEE" w:rsidRDefault="00DB1AEE" w:rsidP="00DB1AEE">
            <w:pPr>
              <w:keepNext/>
              <w:suppressAutoHyphens/>
              <w:jc w:val="center"/>
              <w:outlineLvl w:val="1"/>
              <w:rPr>
                <w:b/>
                <w:sz w:val="18"/>
                <w:szCs w:val="18"/>
                <w:u w:val="single"/>
              </w:rPr>
            </w:pPr>
            <w:r w:rsidRPr="00DB1AEE">
              <w:rPr>
                <w:b/>
                <w:sz w:val="18"/>
                <w:szCs w:val="18"/>
                <w:u w:val="single"/>
              </w:rPr>
              <w:t>U-0.071</w:t>
            </w:r>
            <w:r w:rsidRPr="00DB1AEE">
              <w:rPr>
                <w:b/>
                <w:sz w:val="18"/>
                <w:szCs w:val="18"/>
                <w:u w:val="single"/>
              </w:rPr>
              <w:br/>
            </w:r>
          </w:p>
        </w:tc>
        <w:tc>
          <w:tcPr>
            <w:tcW w:w="1440" w:type="dxa"/>
            <w:vAlign w:val="center"/>
          </w:tcPr>
          <w:p w14:paraId="24B72C85" w14:textId="77777777" w:rsidR="00DB1AEE" w:rsidRPr="00DB1AEE" w:rsidRDefault="00DB1AEE" w:rsidP="00DB1AEE">
            <w:pPr>
              <w:keepNext/>
              <w:suppressAutoHyphens/>
              <w:jc w:val="center"/>
              <w:outlineLvl w:val="1"/>
              <w:rPr>
                <w:b/>
                <w:sz w:val="18"/>
                <w:szCs w:val="18"/>
                <w:u w:val="single"/>
              </w:rPr>
            </w:pPr>
            <w:r w:rsidRPr="00DB1AEE">
              <w:rPr>
                <w:b/>
                <w:sz w:val="18"/>
                <w:szCs w:val="18"/>
                <w:u w:val="single"/>
              </w:rPr>
              <w:t>U-0.071</w:t>
            </w:r>
            <w:r w:rsidRPr="00DB1AEE">
              <w:rPr>
                <w:b/>
                <w:sz w:val="18"/>
                <w:szCs w:val="18"/>
                <w:u w:val="single"/>
              </w:rPr>
              <w:br/>
            </w:r>
          </w:p>
        </w:tc>
        <w:tc>
          <w:tcPr>
            <w:tcW w:w="1440" w:type="dxa"/>
            <w:vAlign w:val="center"/>
          </w:tcPr>
          <w:p w14:paraId="2233BC37" w14:textId="77777777" w:rsidR="00DB1AEE" w:rsidRPr="00DB1AEE" w:rsidRDefault="00DB1AEE" w:rsidP="00DB1AEE">
            <w:pPr>
              <w:keepNext/>
              <w:suppressAutoHyphens/>
              <w:jc w:val="center"/>
              <w:outlineLvl w:val="1"/>
              <w:rPr>
                <w:b/>
                <w:sz w:val="18"/>
                <w:szCs w:val="18"/>
                <w:u w:val="single"/>
              </w:rPr>
            </w:pPr>
            <w:r w:rsidRPr="00DB1AEE">
              <w:rPr>
                <w:b/>
                <w:sz w:val="18"/>
                <w:szCs w:val="18"/>
                <w:u w:val="single"/>
              </w:rPr>
              <w:t>U-0.067</w:t>
            </w:r>
            <w:r w:rsidRPr="00DB1AEE">
              <w:rPr>
                <w:b/>
                <w:sz w:val="18"/>
                <w:szCs w:val="18"/>
                <w:u w:val="single"/>
              </w:rPr>
              <w:br/>
            </w:r>
          </w:p>
        </w:tc>
      </w:tr>
      <w:tr w:rsidR="00DB1AEE" w:rsidRPr="00DB1AEE" w14:paraId="389231D0" w14:textId="77777777" w:rsidTr="00FC1832">
        <w:trPr>
          <w:trHeight w:val="300"/>
          <w:jc w:val="center"/>
        </w:trPr>
        <w:tc>
          <w:tcPr>
            <w:tcW w:w="1440" w:type="dxa"/>
            <w:vAlign w:val="center"/>
          </w:tcPr>
          <w:p w14:paraId="60FB3FDE" w14:textId="77777777" w:rsidR="00DB1AEE" w:rsidRPr="00DB1AEE" w:rsidRDefault="00DB1AEE" w:rsidP="00DB1AEE">
            <w:pPr>
              <w:suppressAutoHyphens/>
              <w:jc w:val="left"/>
              <w:rPr>
                <w:sz w:val="18"/>
                <w:szCs w:val="18"/>
                <w:u w:val="single"/>
              </w:rPr>
            </w:pPr>
            <w:r w:rsidRPr="00DB1AEE">
              <w:rPr>
                <w:sz w:val="18"/>
                <w:szCs w:val="18"/>
                <w:u w:val="single"/>
              </w:rPr>
              <w:t>Pre-engineered Metal building</w:t>
            </w:r>
          </w:p>
        </w:tc>
        <w:tc>
          <w:tcPr>
            <w:tcW w:w="1440" w:type="dxa"/>
            <w:vAlign w:val="center"/>
          </w:tcPr>
          <w:p w14:paraId="21CE1AE4" w14:textId="77777777" w:rsidR="00DB1AEE" w:rsidRPr="00DB1AEE" w:rsidRDefault="00DB1AEE" w:rsidP="00DB1AEE">
            <w:pPr>
              <w:suppressAutoHyphens/>
              <w:jc w:val="center"/>
              <w:rPr>
                <w:sz w:val="18"/>
                <w:szCs w:val="18"/>
                <w:u w:val="single"/>
              </w:rPr>
            </w:pPr>
            <w:r w:rsidRPr="00DB1AEE">
              <w:rPr>
                <w:sz w:val="18"/>
                <w:szCs w:val="18"/>
                <w:u w:val="single"/>
              </w:rPr>
              <w:t>U-0.048</w:t>
            </w:r>
          </w:p>
        </w:tc>
        <w:tc>
          <w:tcPr>
            <w:tcW w:w="1440" w:type="dxa"/>
            <w:vAlign w:val="center"/>
          </w:tcPr>
          <w:p w14:paraId="7AEA5E3D" w14:textId="77777777" w:rsidR="00DB1AEE" w:rsidRPr="00DB1AEE" w:rsidRDefault="00DB1AEE" w:rsidP="00DB1AEE">
            <w:pPr>
              <w:suppressAutoHyphens/>
              <w:jc w:val="center"/>
              <w:rPr>
                <w:sz w:val="18"/>
                <w:szCs w:val="18"/>
                <w:u w:val="single"/>
              </w:rPr>
            </w:pPr>
            <w:r w:rsidRPr="00DB1AEE">
              <w:rPr>
                <w:sz w:val="18"/>
                <w:szCs w:val="18"/>
                <w:u w:val="single"/>
              </w:rPr>
              <w:t>U-0.048</w:t>
            </w:r>
          </w:p>
        </w:tc>
        <w:tc>
          <w:tcPr>
            <w:tcW w:w="1440" w:type="dxa"/>
            <w:vAlign w:val="center"/>
          </w:tcPr>
          <w:p w14:paraId="0C2E39F5" w14:textId="77777777" w:rsidR="00DB1AEE" w:rsidRPr="00DB1AEE" w:rsidRDefault="00DB1AEE" w:rsidP="00DB1AEE">
            <w:pPr>
              <w:suppressAutoHyphens/>
              <w:jc w:val="center"/>
              <w:rPr>
                <w:sz w:val="18"/>
                <w:szCs w:val="18"/>
                <w:u w:val="single"/>
              </w:rPr>
            </w:pPr>
            <w:r w:rsidRPr="00DB1AEE">
              <w:rPr>
                <w:sz w:val="18"/>
                <w:szCs w:val="18"/>
                <w:u w:val="single"/>
              </w:rPr>
              <w:t>U-0.048</w:t>
            </w:r>
          </w:p>
        </w:tc>
        <w:tc>
          <w:tcPr>
            <w:tcW w:w="1440" w:type="dxa"/>
            <w:vAlign w:val="center"/>
          </w:tcPr>
          <w:p w14:paraId="64721FC7" w14:textId="77777777" w:rsidR="00DB1AEE" w:rsidRPr="00DB1AEE" w:rsidRDefault="00DB1AEE" w:rsidP="00DB1AEE">
            <w:pPr>
              <w:suppressAutoHyphens/>
              <w:jc w:val="center"/>
              <w:rPr>
                <w:sz w:val="18"/>
                <w:szCs w:val="18"/>
                <w:u w:val="single"/>
              </w:rPr>
            </w:pPr>
            <w:r w:rsidRPr="00DB1AEE">
              <w:rPr>
                <w:sz w:val="18"/>
                <w:szCs w:val="18"/>
                <w:u w:val="single"/>
              </w:rPr>
              <w:t>U-0.048</w:t>
            </w:r>
          </w:p>
        </w:tc>
        <w:tc>
          <w:tcPr>
            <w:tcW w:w="1440" w:type="dxa"/>
            <w:vAlign w:val="center"/>
          </w:tcPr>
          <w:p w14:paraId="093A02D8" w14:textId="77777777" w:rsidR="00DB1AEE" w:rsidRPr="00DB1AEE" w:rsidRDefault="00DB1AEE" w:rsidP="00DB1AEE">
            <w:pPr>
              <w:suppressAutoHyphens/>
              <w:jc w:val="center"/>
              <w:rPr>
                <w:sz w:val="18"/>
                <w:szCs w:val="18"/>
                <w:u w:val="single"/>
              </w:rPr>
            </w:pPr>
            <w:r w:rsidRPr="00DB1AEE">
              <w:rPr>
                <w:sz w:val="18"/>
                <w:szCs w:val="18"/>
                <w:u w:val="single"/>
              </w:rPr>
              <w:t>U-0.048</w:t>
            </w:r>
          </w:p>
        </w:tc>
        <w:tc>
          <w:tcPr>
            <w:tcW w:w="1440" w:type="dxa"/>
            <w:vAlign w:val="center"/>
          </w:tcPr>
          <w:p w14:paraId="118BBB04" w14:textId="77777777" w:rsidR="00DB1AEE" w:rsidRPr="00DB1AEE" w:rsidRDefault="00DB1AEE" w:rsidP="00DB1AEE">
            <w:pPr>
              <w:suppressAutoHyphens/>
              <w:jc w:val="center"/>
              <w:rPr>
                <w:sz w:val="18"/>
                <w:szCs w:val="18"/>
                <w:u w:val="single"/>
              </w:rPr>
            </w:pPr>
            <w:r w:rsidRPr="00DB1AEE">
              <w:rPr>
                <w:sz w:val="18"/>
                <w:szCs w:val="18"/>
                <w:u w:val="single"/>
              </w:rPr>
              <w:t>U-0.046</w:t>
            </w:r>
            <w:r w:rsidRPr="00DB1AEE">
              <w:rPr>
                <w:sz w:val="18"/>
                <w:szCs w:val="18"/>
                <w:u w:val="single"/>
              </w:rPr>
              <w:br/>
            </w:r>
          </w:p>
        </w:tc>
      </w:tr>
      <w:tr w:rsidR="00DB1AEE" w:rsidRPr="00DB1AEE" w14:paraId="2B87A7DC" w14:textId="77777777" w:rsidTr="00FC1832">
        <w:trPr>
          <w:trHeight w:val="285"/>
          <w:jc w:val="center"/>
        </w:trPr>
        <w:tc>
          <w:tcPr>
            <w:tcW w:w="1440" w:type="dxa"/>
            <w:vAlign w:val="center"/>
          </w:tcPr>
          <w:p w14:paraId="5B8DDC97" w14:textId="77777777" w:rsidR="00DB1AEE" w:rsidRPr="00DB1AEE" w:rsidRDefault="00DB1AEE" w:rsidP="00DB1AEE">
            <w:pPr>
              <w:suppressAutoHyphens/>
              <w:jc w:val="left"/>
              <w:rPr>
                <w:sz w:val="18"/>
                <w:szCs w:val="18"/>
                <w:u w:val="single"/>
              </w:rPr>
            </w:pPr>
            <w:r w:rsidRPr="00DB1AEE">
              <w:rPr>
                <w:sz w:val="18"/>
                <w:szCs w:val="18"/>
                <w:u w:val="single"/>
              </w:rPr>
              <w:t>Metal framed</w:t>
            </w:r>
            <w:r w:rsidRPr="00DB1AEE">
              <w:rPr>
                <w:sz w:val="18"/>
                <w:szCs w:val="18"/>
                <w:u w:val="single"/>
                <w:vertAlign w:val="superscript"/>
              </w:rPr>
              <w:t>i</w:t>
            </w:r>
          </w:p>
        </w:tc>
        <w:tc>
          <w:tcPr>
            <w:tcW w:w="1440" w:type="dxa"/>
            <w:vAlign w:val="center"/>
          </w:tcPr>
          <w:p w14:paraId="6C547980" w14:textId="77777777" w:rsidR="00DB1AEE" w:rsidRPr="00DB1AEE" w:rsidRDefault="00DB1AEE" w:rsidP="00DB1AEE">
            <w:pPr>
              <w:keepNext/>
              <w:suppressAutoHyphens/>
              <w:jc w:val="center"/>
              <w:outlineLvl w:val="1"/>
              <w:rPr>
                <w:b/>
                <w:sz w:val="18"/>
                <w:szCs w:val="18"/>
                <w:u w:val="single"/>
              </w:rPr>
            </w:pPr>
            <w:r w:rsidRPr="00DB1AEE">
              <w:rPr>
                <w:b/>
                <w:sz w:val="18"/>
                <w:szCs w:val="18"/>
                <w:u w:val="single"/>
              </w:rPr>
              <w:t>U-0.061</w:t>
            </w:r>
          </w:p>
        </w:tc>
        <w:tc>
          <w:tcPr>
            <w:tcW w:w="1440" w:type="dxa"/>
            <w:vAlign w:val="center"/>
          </w:tcPr>
          <w:p w14:paraId="7FC60BDF" w14:textId="77777777" w:rsidR="00DB1AEE" w:rsidRPr="00DB1AEE" w:rsidRDefault="00DB1AEE" w:rsidP="00DB1AEE">
            <w:pPr>
              <w:keepNext/>
              <w:suppressAutoHyphens/>
              <w:jc w:val="center"/>
              <w:outlineLvl w:val="1"/>
              <w:rPr>
                <w:b/>
                <w:sz w:val="18"/>
                <w:szCs w:val="18"/>
                <w:u w:val="single"/>
              </w:rPr>
            </w:pPr>
            <w:r w:rsidRPr="00DB1AEE">
              <w:rPr>
                <w:b/>
                <w:sz w:val="18"/>
                <w:szCs w:val="18"/>
                <w:u w:val="single"/>
              </w:rPr>
              <w:t>U-0.061</w:t>
            </w:r>
          </w:p>
        </w:tc>
        <w:tc>
          <w:tcPr>
            <w:tcW w:w="1440" w:type="dxa"/>
            <w:vAlign w:val="center"/>
          </w:tcPr>
          <w:p w14:paraId="6BC26B43" w14:textId="77777777" w:rsidR="00DB1AEE" w:rsidRPr="00DB1AEE" w:rsidRDefault="00DB1AEE" w:rsidP="00DB1AEE">
            <w:pPr>
              <w:keepNext/>
              <w:suppressAutoHyphens/>
              <w:jc w:val="center"/>
              <w:outlineLvl w:val="1"/>
              <w:rPr>
                <w:b/>
                <w:sz w:val="18"/>
                <w:szCs w:val="18"/>
                <w:u w:val="single"/>
              </w:rPr>
            </w:pPr>
            <w:r w:rsidRPr="00DB1AEE">
              <w:rPr>
                <w:b/>
                <w:sz w:val="18"/>
                <w:szCs w:val="18"/>
                <w:u w:val="single"/>
              </w:rPr>
              <w:t>U-0.052</w:t>
            </w:r>
            <w:r w:rsidRPr="00DB1AEE">
              <w:rPr>
                <w:b/>
                <w:sz w:val="18"/>
                <w:szCs w:val="18"/>
                <w:u w:val="single"/>
              </w:rPr>
              <w:br/>
            </w:r>
          </w:p>
        </w:tc>
        <w:tc>
          <w:tcPr>
            <w:tcW w:w="1440" w:type="dxa"/>
            <w:vAlign w:val="center"/>
          </w:tcPr>
          <w:p w14:paraId="1C99CFEB" w14:textId="77777777" w:rsidR="00DB1AEE" w:rsidRPr="00DB1AEE" w:rsidRDefault="00DB1AEE" w:rsidP="00DB1AEE">
            <w:pPr>
              <w:keepNext/>
              <w:suppressAutoHyphens/>
              <w:jc w:val="center"/>
              <w:outlineLvl w:val="1"/>
              <w:rPr>
                <w:b/>
                <w:sz w:val="18"/>
                <w:szCs w:val="18"/>
                <w:u w:val="single"/>
              </w:rPr>
            </w:pPr>
            <w:r w:rsidRPr="00DB1AEE">
              <w:rPr>
                <w:b/>
                <w:sz w:val="18"/>
                <w:szCs w:val="18"/>
                <w:u w:val="single"/>
              </w:rPr>
              <w:t>U-0.052</w:t>
            </w:r>
            <w:r w:rsidRPr="00DB1AEE">
              <w:rPr>
                <w:b/>
                <w:sz w:val="18"/>
                <w:szCs w:val="18"/>
                <w:u w:val="single"/>
              </w:rPr>
              <w:br/>
            </w:r>
          </w:p>
        </w:tc>
        <w:tc>
          <w:tcPr>
            <w:tcW w:w="1440" w:type="dxa"/>
            <w:vAlign w:val="center"/>
          </w:tcPr>
          <w:p w14:paraId="53CA3779" w14:textId="77777777" w:rsidR="00DB1AEE" w:rsidRPr="00DB1AEE" w:rsidRDefault="00DB1AEE" w:rsidP="00DB1AEE">
            <w:pPr>
              <w:keepNext/>
              <w:suppressAutoHyphens/>
              <w:jc w:val="center"/>
              <w:outlineLvl w:val="1"/>
              <w:rPr>
                <w:b/>
                <w:sz w:val="18"/>
                <w:szCs w:val="18"/>
                <w:u w:val="single"/>
              </w:rPr>
            </w:pPr>
            <w:r w:rsidRPr="00DB1AEE">
              <w:rPr>
                <w:b/>
                <w:sz w:val="18"/>
                <w:szCs w:val="18"/>
                <w:u w:val="single"/>
              </w:rPr>
              <w:t>U-0.47</w:t>
            </w:r>
            <w:r w:rsidRPr="00DB1AEE">
              <w:rPr>
                <w:b/>
                <w:sz w:val="18"/>
                <w:szCs w:val="18"/>
                <w:u w:val="single"/>
              </w:rPr>
              <w:br/>
            </w:r>
          </w:p>
        </w:tc>
        <w:tc>
          <w:tcPr>
            <w:tcW w:w="1440" w:type="dxa"/>
            <w:vAlign w:val="center"/>
          </w:tcPr>
          <w:p w14:paraId="0FBEF347" w14:textId="77777777" w:rsidR="00DB1AEE" w:rsidRPr="00DB1AEE" w:rsidRDefault="00DB1AEE" w:rsidP="00DB1AEE">
            <w:pPr>
              <w:keepNext/>
              <w:suppressAutoHyphens/>
              <w:jc w:val="center"/>
              <w:outlineLvl w:val="1"/>
              <w:rPr>
                <w:b/>
                <w:sz w:val="18"/>
                <w:szCs w:val="18"/>
                <w:u w:val="single"/>
              </w:rPr>
            </w:pPr>
            <w:r w:rsidRPr="00DB1AEE">
              <w:rPr>
                <w:b/>
                <w:sz w:val="18"/>
                <w:szCs w:val="18"/>
                <w:u w:val="single"/>
              </w:rPr>
              <w:t>U-0.043</w:t>
            </w:r>
            <w:r w:rsidRPr="00DB1AEE">
              <w:rPr>
                <w:b/>
                <w:sz w:val="18"/>
                <w:szCs w:val="18"/>
                <w:u w:val="single"/>
              </w:rPr>
              <w:br/>
            </w:r>
          </w:p>
        </w:tc>
      </w:tr>
      <w:tr w:rsidR="00DB1AEE" w:rsidRPr="00DB1AEE" w14:paraId="3CE22609" w14:textId="77777777" w:rsidTr="00FC1832">
        <w:trPr>
          <w:trHeight w:val="285"/>
          <w:jc w:val="center"/>
        </w:trPr>
        <w:tc>
          <w:tcPr>
            <w:tcW w:w="1440" w:type="dxa"/>
            <w:vAlign w:val="center"/>
          </w:tcPr>
          <w:p w14:paraId="0E3F7E30" w14:textId="77777777" w:rsidR="00DB1AEE" w:rsidRPr="00DB1AEE" w:rsidRDefault="00DB1AEE" w:rsidP="00DB1AEE">
            <w:pPr>
              <w:suppressAutoHyphens/>
              <w:jc w:val="left"/>
              <w:rPr>
                <w:sz w:val="18"/>
                <w:szCs w:val="18"/>
                <w:u w:val="single"/>
              </w:rPr>
            </w:pPr>
            <w:r w:rsidRPr="00DB1AEE">
              <w:rPr>
                <w:sz w:val="18"/>
                <w:szCs w:val="18"/>
                <w:u w:val="single"/>
              </w:rPr>
              <w:t>Wood framed and other</w:t>
            </w:r>
          </w:p>
        </w:tc>
        <w:tc>
          <w:tcPr>
            <w:tcW w:w="1440" w:type="dxa"/>
            <w:vAlign w:val="center"/>
          </w:tcPr>
          <w:p w14:paraId="34D8B40E" w14:textId="77777777" w:rsidR="00DB1AEE" w:rsidRPr="00DB1AEE" w:rsidRDefault="00DB1AEE" w:rsidP="00DB1AEE">
            <w:pPr>
              <w:keepNext/>
              <w:suppressAutoHyphens/>
              <w:jc w:val="center"/>
              <w:outlineLvl w:val="1"/>
              <w:rPr>
                <w:b/>
                <w:sz w:val="18"/>
                <w:szCs w:val="18"/>
                <w:u w:val="single"/>
              </w:rPr>
            </w:pPr>
            <w:r w:rsidRPr="00DB1AEE">
              <w:rPr>
                <w:b/>
                <w:sz w:val="18"/>
                <w:szCs w:val="18"/>
                <w:u w:val="single"/>
              </w:rPr>
              <w:t>U-0.061</w:t>
            </w:r>
          </w:p>
        </w:tc>
        <w:tc>
          <w:tcPr>
            <w:tcW w:w="1440" w:type="dxa"/>
            <w:vAlign w:val="center"/>
          </w:tcPr>
          <w:p w14:paraId="788054E6" w14:textId="77777777" w:rsidR="00DB1AEE" w:rsidRPr="00DB1AEE" w:rsidRDefault="00DB1AEE" w:rsidP="00DB1AEE">
            <w:pPr>
              <w:keepNext/>
              <w:suppressAutoHyphens/>
              <w:jc w:val="center"/>
              <w:outlineLvl w:val="1"/>
              <w:rPr>
                <w:b/>
                <w:sz w:val="18"/>
                <w:szCs w:val="18"/>
                <w:u w:val="single"/>
              </w:rPr>
            </w:pPr>
            <w:r w:rsidRPr="00DB1AEE">
              <w:rPr>
                <w:b/>
                <w:sz w:val="18"/>
                <w:szCs w:val="18"/>
                <w:u w:val="single"/>
              </w:rPr>
              <w:t>U-0.061</w:t>
            </w:r>
          </w:p>
        </w:tc>
        <w:tc>
          <w:tcPr>
            <w:tcW w:w="1440" w:type="dxa"/>
            <w:vAlign w:val="center"/>
          </w:tcPr>
          <w:p w14:paraId="6E45F742" w14:textId="77777777" w:rsidR="00DB1AEE" w:rsidRPr="00DB1AEE" w:rsidRDefault="00DB1AEE" w:rsidP="00DB1AEE">
            <w:pPr>
              <w:keepNext/>
              <w:suppressAutoHyphens/>
              <w:jc w:val="center"/>
              <w:outlineLvl w:val="1"/>
              <w:rPr>
                <w:b/>
                <w:sz w:val="18"/>
                <w:szCs w:val="18"/>
                <w:u w:val="single"/>
              </w:rPr>
            </w:pPr>
            <w:r w:rsidRPr="00DB1AEE">
              <w:rPr>
                <w:b/>
                <w:sz w:val="18"/>
                <w:szCs w:val="18"/>
                <w:u w:val="single"/>
              </w:rPr>
              <w:t>U-0.048</w:t>
            </w:r>
            <w:r w:rsidRPr="00DB1AEE">
              <w:rPr>
                <w:b/>
                <w:sz w:val="18"/>
                <w:szCs w:val="18"/>
                <w:u w:val="single"/>
              </w:rPr>
              <w:br/>
            </w:r>
          </w:p>
        </w:tc>
        <w:tc>
          <w:tcPr>
            <w:tcW w:w="1440" w:type="dxa"/>
            <w:vAlign w:val="center"/>
          </w:tcPr>
          <w:p w14:paraId="0D2B9AFC" w14:textId="77777777" w:rsidR="00DB1AEE" w:rsidRPr="00DB1AEE" w:rsidRDefault="00DB1AEE" w:rsidP="00DB1AEE">
            <w:pPr>
              <w:keepNext/>
              <w:suppressAutoHyphens/>
              <w:jc w:val="center"/>
              <w:outlineLvl w:val="1"/>
              <w:rPr>
                <w:b/>
                <w:sz w:val="18"/>
                <w:szCs w:val="18"/>
                <w:u w:val="single"/>
              </w:rPr>
            </w:pPr>
            <w:r w:rsidRPr="00DB1AEE">
              <w:rPr>
                <w:b/>
                <w:sz w:val="18"/>
                <w:szCs w:val="18"/>
                <w:u w:val="single"/>
              </w:rPr>
              <w:t>U-0.048</w:t>
            </w:r>
            <w:r w:rsidRPr="00DB1AEE">
              <w:rPr>
                <w:b/>
                <w:sz w:val="18"/>
                <w:szCs w:val="18"/>
                <w:u w:val="single"/>
              </w:rPr>
              <w:br/>
            </w:r>
          </w:p>
        </w:tc>
        <w:tc>
          <w:tcPr>
            <w:tcW w:w="1440" w:type="dxa"/>
            <w:vAlign w:val="center"/>
          </w:tcPr>
          <w:p w14:paraId="5CE580B3" w14:textId="77777777" w:rsidR="00DB1AEE" w:rsidRPr="00DB1AEE" w:rsidRDefault="00DB1AEE" w:rsidP="00DB1AEE">
            <w:pPr>
              <w:keepNext/>
              <w:suppressAutoHyphens/>
              <w:jc w:val="center"/>
              <w:outlineLvl w:val="1"/>
              <w:rPr>
                <w:b/>
                <w:sz w:val="18"/>
                <w:szCs w:val="18"/>
                <w:u w:val="single"/>
              </w:rPr>
            </w:pPr>
            <w:r w:rsidRPr="00DB1AEE">
              <w:rPr>
                <w:b/>
                <w:sz w:val="18"/>
                <w:szCs w:val="18"/>
                <w:u w:val="single"/>
              </w:rPr>
              <w:t>U-0.048</w:t>
            </w:r>
            <w:r w:rsidRPr="00DB1AEE">
              <w:rPr>
                <w:b/>
                <w:sz w:val="18"/>
                <w:szCs w:val="18"/>
                <w:u w:val="single"/>
              </w:rPr>
              <w:br/>
            </w:r>
          </w:p>
        </w:tc>
        <w:tc>
          <w:tcPr>
            <w:tcW w:w="1440" w:type="dxa"/>
            <w:vAlign w:val="center"/>
          </w:tcPr>
          <w:p w14:paraId="6B8733FB" w14:textId="77777777" w:rsidR="00DB1AEE" w:rsidRPr="00DB1AEE" w:rsidRDefault="00DB1AEE" w:rsidP="00DB1AEE">
            <w:pPr>
              <w:keepNext/>
              <w:suppressAutoHyphens/>
              <w:jc w:val="center"/>
              <w:outlineLvl w:val="1"/>
              <w:rPr>
                <w:b/>
                <w:sz w:val="18"/>
                <w:szCs w:val="18"/>
                <w:u w:val="single"/>
              </w:rPr>
            </w:pPr>
            <w:r w:rsidRPr="00DB1AEE">
              <w:rPr>
                <w:b/>
                <w:sz w:val="18"/>
                <w:szCs w:val="18"/>
                <w:u w:val="single"/>
              </w:rPr>
              <w:t>U-0.048</w:t>
            </w:r>
            <w:r w:rsidRPr="00DB1AEE">
              <w:rPr>
                <w:b/>
                <w:sz w:val="18"/>
                <w:szCs w:val="18"/>
                <w:u w:val="single"/>
              </w:rPr>
              <w:br/>
            </w:r>
          </w:p>
        </w:tc>
      </w:tr>
      <w:tr w:rsidR="00DB1AEE" w:rsidRPr="00DB1AEE" w14:paraId="272D2F12" w14:textId="77777777" w:rsidTr="00FC1832">
        <w:trPr>
          <w:trHeight w:val="285"/>
          <w:jc w:val="center"/>
        </w:trPr>
        <w:tc>
          <w:tcPr>
            <w:tcW w:w="10080" w:type="dxa"/>
            <w:gridSpan w:val="7"/>
            <w:vAlign w:val="center"/>
          </w:tcPr>
          <w:p w14:paraId="4AD9F8DE" w14:textId="77777777" w:rsidR="00DB1AEE" w:rsidRPr="00DB1AEE" w:rsidRDefault="00DB1AEE" w:rsidP="00DB1AEE">
            <w:pPr>
              <w:keepNext/>
              <w:suppressAutoHyphens/>
              <w:jc w:val="center"/>
              <w:outlineLvl w:val="1"/>
              <w:rPr>
                <w:b/>
                <w:sz w:val="18"/>
                <w:szCs w:val="18"/>
                <w:u w:val="single"/>
              </w:rPr>
            </w:pPr>
            <w:r w:rsidRPr="00DB1AEE">
              <w:rPr>
                <w:b/>
                <w:sz w:val="18"/>
                <w:szCs w:val="18"/>
                <w:u w:val="single"/>
              </w:rPr>
              <w:t>Walls, below grade</w:t>
            </w:r>
          </w:p>
        </w:tc>
      </w:tr>
      <w:tr w:rsidR="00DB1AEE" w:rsidRPr="00DB1AEE" w14:paraId="6D5B4312" w14:textId="77777777" w:rsidTr="00FC1832">
        <w:trPr>
          <w:trHeight w:val="285"/>
          <w:jc w:val="center"/>
        </w:trPr>
        <w:tc>
          <w:tcPr>
            <w:tcW w:w="1440" w:type="dxa"/>
            <w:vAlign w:val="center"/>
          </w:tcPr>
          <w:p w14:paraId="0B7397E4" w14:textId="77777777" w:rsidR="00DB1AEE" w:rsidRPr="00DB1AEE" w:rsidRDefault="00DB1AEE" w:rsidP="00DB1AEE">
            <w:pPr>
              <w:suppressAutoHyphens/>
              <w:jc w:val="left"/>
              <w:rPr>
                <w:sz w:val="18"/>
                <w:szCs w:val="18"/>
                <w:u w:val="single"/>
              </w:rPr>
            </w:pPr>
            <w:r w:rsidRPr="00DB1AEE">
              <w:rPr>
                <w:sz w:val="18"/>
                <w:szCs w:val="18"/>
                <w:u w:val="single"/>
              </w:rPr>
              <w:t>Below-grade wall</w:t>
            </w:r>
            <w:r w:rsidRPr="00DB1AEE">
              <w:rPr>
                <w:b/>
                <w:sz w:val="18"/>
                <w:szCs w:val="18"/>
                <w:u w:val="single"/>
                <w:vertAlign w:val="superscript"/>
              </w:rPr>
              <w:t>c</w:t>
            </w:r>
          </w:p>
        </w:tc>
        <w:tc>
          <w:tcPr>
            <w:tcW w:w="1440" w:type="dxa"/>
            <w:vAlign w:val="center"/>
          </w:tcPr>
          <w:p w14:paraId="6C96AAD7" w14:textId="77777777" w:rsidR="00DB1AEE" w:rsidRPr="00DB1AEE" w:rsidRDefault="00DB1AEE" w:rsidP="00DB1AEE">
            <w:pPr>
              <w:keepNext/>
              <w:suppressAutoHyphens/>
              <w:jc w:val="center"/>
              <w:outlineLvl w:val="1"/>
              <w:rPr>
                <w:b/>
                <w:sz w:val="18"/>
                <w:szCs w:val="18"/>
                <w:u w:val="single"/>
              </w:rPr>
            </w:pPr>
            <w:r w:rsidRPr="00DB1AEE">
              <w:rPr>
                <w:b/>
                <w:sz w:val="18"/>
                <w:szCs w:val="18"/>
                <w:u w:val="single"/>
              </w:rPr>
              <w:t>C-0.119</w:t>
            </w:r>
          </w:p>
        </w:tc>
        <w:tc>
          <w:tcPr>
            <w:tcW w:w="1440" w:type="dxa"/>
            <w:vAlign w:val="center"/>
          </w:tcPr>
          <w:p w14:paraId="6B24EFF7" w14:textId="77777777" w:rsidR="00DB1AEE" w:rsidRPr="00DB1AEE" w:rsidRDefault="00DB1AEE" w:rsidP="00DB1AEE">
            <w:pPr>
              <w:suppressAutoHyphens/>
              <w:jc w:val="center"/>
              <w:rPr>
                <w:sz w:val="18"/>
                <w:szCs w:val="18"/>
                <w:u w:val="single"/>
              </w:rPr>
            </w:pPr>
            <w:r w:rsidRPr="00DB1AEE">
              <w:rPr>
                <w:sz w:val="18"/>
                <w:szCs w:val="18"/>
                <w:u w:val="single"/>
              </w:rPr>
              <w:t>C-0.092</w:t>
            </w:r>
          </w:p>
        </w:tc>
        <w:tc>
          <w:tcPr>
            <w:tcW w:w="1440" w:type="dxa"/>
          </w:tcPr>
          <w:p w14:paraId="0316CC4C" w14:textId="77777777" w:rsidR="00DB1AEE" w:rsidRPr="00DB1AEE" w:rsidRDefault="00DB1AEE" w:rsidP="00DB1AEE">
            <w:pPr>
              <w:suppressAutoHyphens/>
              <w:jc w:val="center"/>
              <w:rPr>
                <w:sz w:val="18"/>
                <w:szCs w:val="18"/>
                <w:u w:val="single"/>
              </w:rPr>
            </w:pPr>
            <w:r w:rsidRPr="00DB1AEE">
              <w:rPr>
                <w:sz w:val="18"/>
                <w:szCs w:val="18"/>
                <w:u w:val="single"/>
              </w:rPr>
              <w:t>C-0.119</w:t>
            </w:r>
            <w:r w:rsidRPr="00DB1AEE">
              <w:rPr>
                <w:sz w:val="18"/>
                <w:szCs w:val="18"/>
                <w:u w:val="single"/>
              </w:rPr>
              <w:br/>
            </w:r>
          </w:p>
        </w:tc>
        <w:tc>
          <w:tcPr>
            <w:tcW w:w="1440" w:type="dxa"/>
          </w:tcPr>
          <w:p w14:paraId="1CA832F0" w14:textId="77777777" w:rsidR="00DB1AEE" w:rsidRPr="00DB1AEE" w:rsidRDefault="00DB1AEE" w:rsidP="00DB1AEE">
            <w:pPr>
              <w:suppressAutoHyphens/>
              <w:jc w:val="center"/>
              <w:rPr>
                <w:sz w:val="18"/>
                <w:szCs w:val="18"/>
                <w:u w:val="single"/>
              </w:rPr>
            </w:pPr>
            <w:r w:rsidRPr="00DB1AEE">
              <w:rPr>
                <w:sz w:val="18"/>
                <w:szCs w:val="18"/>
                <w:u w:val="single"/>
              </w:rPr>
              <w:t>C-0.092</w:t>
            </w:r>
            <w:r w:rsidRPr="00DB1AEE">
              <w:rPr>
                <w:sz w:val="18"/>
                <w:szCs w:val="18"/>
                <w:u w:val="single"/>
              </w:rPr>
              <w:br/>
            </w:r>
          </w:p>
        </w:tc>
        <w:tc>
          <w:tcPr>
            <w:tcW w:w="1440" w:type="dxa"/>
          </w:tcPr>
          <w:p w14:paraId="7BB6E4EC" w14:textId="77777777" w:rsidR="00DB1AEE" w:rsidRPr="00DB1AEE" w:rsidRDefault="00DB1AEE" w:rsidP="00DB1AEE">
            <w:pPr>
              <w:suppressAutoHyphens/>
              <w:jc w:val="center"/>
              <w:rPr>
                <w:sz w:val="18"/>
                <w:szCs w:val="18"/>
                <w:u w:val="single"/>
              </w:rPr>
            </w:pPr>
            <w:r w:rsidRPr="00DB1AEE">
              <w:rPr>
                <w:sz w:val="18"/>
                <w:szCs w:val="18"/>
                <w:u w:val="single"/>
              </w:rPr>
              <w:t>C-0.092</w:t>
            </w:r>
            <w:r w:rsidRPr="00DB1AEE">
              <w:rPr>
                <w:sz w:val="18"/>
                <w:szCs w:val="18"/>
                <w:u w:val="single"/>
              </w:rPr>
              <w:br/>
            </w:r>
          </w:p>
        </w:tc>
        <w:tc>
          <w:tcPr>
            <w:tcW w:w="1440" w:type="dxa"/>
          </w:tcPr>
          <w:p w14:paraId="32792A5F" w14:textId="77777777" w:rsidR="00DB1AEE" w:rsidRPr="00DB1AEE" w:rsidRDefault="00DB1AEE" w:rsidP="00DB1AEE">
            <w:pPr>
              <w:suppressAutoHyphens/>
              <w:jc w:val="center"/>
              <w:rPr>
                <w:sz w:val="18"/>
                <w:szCs w:val="18"/>
                <w:u w:val="single"/>
              </w:rPr>
            </w:pPr>
            <w:r w:rsidRPr="00DB1AEE">
              <w:rPr>
                <w:sz w:val="18"/>
                <w:szCs w:val="18"/>
                <w:u w:val="single"/>
              </w:rPr>
              <w:t>C-0.063</w:t>
            </w:r>
          </w:p>
        </w:tc>
      </w:tr>
      <w:tr w:rsidR="00DB1AEE" w:rsidRPr="00DB1AEE" w14:paraId="79CFE4BC" w14:textId="77777777" w:rsidTr="00FC1832">
        <w:trPr>
          <w:trHeight w:val="285"/>
          <w:jc w:val="center"/>
        </w:trPr>
        <w:tc>
          <w:tcPr>
            <w:tcW w:w="10080" w:type="dxa"/>
            <w:gridSpan w:val="7"/>
            <w:vAlign w:val="center"/>
          </w:tcPr>
          <w:p w14:paraId="6128EB18" w14:textId="77777777" w:rsidR="00DB1AEE" w:rsidRPr="00DB1AEE" w:rsidRDefault="00DB1AEE" w:rsidP="00DB1AEE">
            <w:pPr>
              <w:suppressAutoHyphens/>
              <w:jc w:val="center"/>
              <w:rPr>
                <w:sz w:val="18"/>
                <w:szCs w:val="18"/>
                <w:u w:val="single"/>
              </w:rPr>
            </w:pPr>
            <w:r w:rsidRPr="00DB1AEE">
              <w:rPr>
                <w:b/>
                <w:sz w:val="18"/>
                <w:szCs w:val="18"/>
                <w:u w:val="single"/>
              </w:rPr>
              <w:t>Floors</w:t>
            </w:r>
          </w:p>
        </w:tc>
      </w:tr>
      <w:tr w:rsidR="00DB1AEE" w:rsidRPr="00DB1AEE" w14:paraId="615763C8" w14:textId="77777777" w:rsidTr="00FC1832">
        <w:trPr>
          <w:trHeight w:val="285"/>
          <w:jc w:val="center"/>
        </w:trPr>
        <w:tc>
          <w:tcPr>
            <w:tcW w:w="1440" w:type="dxa"/>
            <w:vAlign w:val="center"/>
          </w:tcPr>
          <w:p w14:paraId="37870B84" w14:textId="77777777" w:rsidR="00DB1AEE" w:rsidRPr="00DB1AEE" w:rsidRDefault="00DB1AEE" w:rsidP="00DB1AEE">
            <w:pPr>
              <w:suppressAutoHyphens/>
              <w:jc w:val="left"/>
              <w:rPr>
                <w:sz w:val="18"/>
                <w:szCs w:val="18"/>
                <w:u w:val="single"/>
              </w:rPr>
            </w:pPr>
            <w:r w:rsidRPr="00DB1AEE">
              <w:rPr>
                <w:sz w:val="18"/>
                <w:szCs w:val="18"/>
                <w:u w:val="single"/>
              </w:rPr>
              <w:t>Mass</w:t>
            </w:r>
            <w:r w:rsidRPr="00DB1AEE">
              <w:rPr>
                <w:b/>
                <w:sz w:val="18"/>
                <w:szCs w:val="18"/>
                <w:u w:val="single"/>
                <w:vertAlign w:val="superscript"/>
              </w:rPr>
              <w:t>d</w:t>
            </w:r>
          </w:p>
        </w:tc>
        <w:tc>
          <w:tcPr>
            <w:tcW w:w="1440" w:type="dxa"/>
            <w:vAlign w:val="center"/>
          </w:tcPr>
          <w:p w14:paraId="52D18D4F" w14:textId="77777777" w:rsidR="00DB1AEE" w:rsidRPr="00DB1AEE" w:rsidRDefault="00DB1AEE" w:rsidP="00DB1AEE">
            <w:pPr>
              <w:suppressAutoHyphens/>
              <w:jc w:val="center"/>
              <w:rPr>
                <w:sz w:val="18"/>
                <w:szCs w:val="18"/>
                <w:u w:val="single"/>
              </w:rPr>
            </w:pPr>
            <w:r w:rsidRPr="00DB1AEE">
              <w:rPr>
                <w:sz w:val="18"/>
                <w:szCs w:val="18"/>
                <w:u w:val="single"/>
              </w:rPr>
              <w:t>U-0.057</w:t>
            </w:r>
          </w:p>
        </w:tc>
        <w:tc>
          <w:tcPr>
            <w:tcW w:w="1440" w:type="dxa"/>
            <w:vAlign w:val="center"/>
          </w:tcPr>
          <w:p w14:paraId="4C26FF0B" w14:textId="77777777" w:rsidR="00DB1AEE" w:rsidRPr="00DB1AEE" w:rsidRDefault="00DB1AEE" w:rsidP="00DB1AEE">
            <w:pPr>
              <w:suppressAutoHyphens/>
              <w:jc w:val="center"/>
              <w:rPr>
                <w:sz w:val="18"/>
                <w:szCs w:val="18"/>
                <w:u w:val="single"/>
              </w:rPr>
            </w:pPr>
            <w:r w:rsidRPr="00DB1AEE">
              <w:rPr>
                <w:sz w:val="18"/>
                <w:szCs w:val="18"/>
                <w:u w:val="single"/>
              </w:rPr>
              <w:t>U-0.051</w:t>
            </w:r>
          </w:p>
        </w:tc>
        <w:tc>
          <w:tcPr>
            <w:tcW w:w="1440" w:type="dxa"/>
          </w:tcPr>
          <w:p w14:paraId="0F131FB1" w14:textId="77777777" w:rsidR="00DB1AEE" w:rsidRPr="00DB1AEE" w:rsidRDefault="00DB1AEE" w:rsidP="00DB1AEE">
            <w:pPr>
              <w:suppressAutoHyphens/>
              <w:jc w:val="center"/>
              <w:rPr>
                <w:sz w:val="18"/>
                <w:szCs w:val="18"/>
                <w:u w:val="single"/>
              </w:rPr>
            </w:pPr>
            <w:r w:rsidRPr="00DB1AEE">
              <w:rPr>
                <w:sz w:val="18"/>
                <w:szCs w:val="18"/>
                <w:u w:val="single"/>
              </w:rPr>
              <w:t>U-0.053</w:t>
            </w:r>
            <w:r w:rsidRPr="00DB1AEE">
              <w:rPr>
                <w:sz w:val="18"/>
                <w:szCs w:val="18"/>
                <w:u w:val="single"/>
              </w:rPr>
              <w:br/>
            </w:r>
          </w:p>
        </w:tc>
        <w:tc>
          <w:tcPr>
            <w:tcW w:w="1440" w:type="dxa"/>
          </w:tcPr>
          <w:p w14:paraId="6BB382D8" w14:textId="77777777" w:rsidR="00DB1AEE" w:rsidRPr="00DB1AEE" w:rsidRDefault="00DB1AEE" w:rsidP="00DB1AEE">
            <w:pPr>
              <w:suppressAutoHyphens/>
              <w:jc w:val="center"/>
              <w:rPr>
                <w:sz w:val="18"/>
                <w:szCs w:val="18"/>
                <w:u w:val="single"/>
              </w:rPr>
            </w:pPr>
            <w:r w:rsidRPr="00DB1AEE">
              <w:rPr>
                <w:sz w:val="18"/>
                <w:szCs w:val="18"/>
                <w:u w:val="single"/>
              </w:rPr>
              <w:t>U-0.051</w:t>
            </w:r>
          </w:p>
        </w:tc>
        <w:tc>
          <w:tcPr>
            <w:tcW w:w="1440" w:type="dxa"/>
          </w:tcPr>
          <w:p w14:paraId="60AF857D" w14:textId="77777777" w:rsidR="00DB1AEE" w:rsidRPr="00DB1AEE" w:rsidRDefault="00DB1AEE" w:rsidP="00DB1AEE">
            <w:pPr>
              <w:suppressAutoHyphens/>
              <w:jc w:val="center"/>
              <w:rPr>
                <w:sz w:val="18"/>
                <w:szCs w:val="18"/>
                <w:u w:val="single"/>
              </w:rPr>
            </w:pPr>
            <w:r w:rsidRPr="00DB1AEE">
              <w:rPr>
                <w:sz w:val="18"/>
                <w:szCs w:val="18"/>
                <w:u w:val="single"/>
              </w:rPr>
              <w:t>U-0.051</w:t>
            </w:r>
          </w:p>
        </w:tc>
        <w:tc>
          <w:tcPr>
            <w:tcW w:w="1440" w:type="dxa"/>
          </w:tcPr>
          <w:p w14:paraId="48A0F157" w14:textId="77777777" w:rsidR="00DB1AEE" w:rsidRPr="00DB1AEE" w:rsidRDefault="00DB1AEE" w:rsidP="00DB1AEE">
            <w:pPr>
              <w:suppressAutoHyphens/>
              <w:jc w:val="center"/>
              <w:rPr>
                <w:sz w:val="18"/>
                <w:szCs w:val="18"/>
                <w:u w:val="single"/>
              </w:rPr>
            </w:pPr>
            <w:r w:rsidRPr="00DB1AEE">
              <w:rPr>
                <w:sz w:val="18"/>
                <w:szCs w:val="18"/>
                <w:u w:val="single"/>
              </w:rPr>
              <w:t>U-0.051</w:t>
            </w:r>
          </w:p>
        </w:tc>
      </w:tr>
      <w:tr w:rsidR="00DB1AEE" w:rsidRPr="00DB1AEE" w14:paraId="3D36F849" w14:textId="77777777" w:rsidTr="00FC1832">
        <w:trPr>
          <w:trHeight w:val="285"/>
          <w:jc w:val="center"/>
        </w:trPr>
        <w:tc>
          <w:tcPr>
            <w:tcW w:w="1440" w:type="dxa"/>
            <w:vAlign w:val="center"/>
          </w:tcPr>
          <w:p w14:paraId="709BCCF0" w14:textId="77777777" w:rsidR="00DB1AEE" w:rsidRPr="00DB1AEE" w:rsidRDefault="00DB1AEE" w:rsidP="00DB1AEE">
            <w:pPr>
              <w:suppressAutoHyphens/>
              <w:jc w:val="left"/>
              <w:rPr>
                <w:sz w:val="18"/>
                <w:szCs w:val="18"/>
                <w:u w:val="single"/>
              </w:rPr>
            </w:pPr>
            <w:r w:rsidRPr="00DB1AEE">
              <w:rPr>
                <w:sz w:val="18"/>
                <w:szCs w:val="18"/>
                <w:u w:val="single"/>
              </w:rPr>
              <w:t>Joist/framing</w:t>
            </w:r>
          </w:p>
        </w:tc>
        <w:tc>
          <w:tcPr>
            <w:tcW w:w="1440" w:type="dxa"/>
            <w:vAlign w:val="center"/>
          </w:tcPr>
          <w:p w14:paraId="241218DD" w14:textId="77777777" w:rsidR="00DB1AEE" w:rsidRPr="00DB1AEE" w:rsidRDefault="00DB1AEE" w:rsidP="00DB1AEE">
            <w:pPr>
              <w:suppressAutoHyphens/>
              <w:jc w:val="center"/>
              <w:rPr>
                <w:sz w:val="18"/>
                <w:szCs w:val="18"/>
                <w:u w:val="single"/>
              </w:rPr>
            </w:pPr>
            <w:r w:rsidRPr="00DB1AEE">
              <w:rPr>
                <w:sz w:val="18"/>
                <w:szCs w:val="18"/>
                <w:u w:val="single"/>
              </w:rPr>
              <w:t>U-0.033</w:t>
            </w:r>
          </w:p>
        </w:tc>
        <w:tc>
          <w:tcPr>
            <w:tcW w:w="1440" w:type="dxa"/>
            <w:vAlign w:val="center"/>
          </w:tcPr>
          <w:p w14:paraId="65508B8F" w14:textId="77777777" w:rsidR="00DB1AEE" w:rsidRPr="00DB1AEE" w:rsidRDefault="00DB1AEE" w:rsidP="00DB1AEE">
            <w:pPr>
              <w:suppressAutoHyphens/>
              <w:jc w:val="center"/>
              <w:rPr>
                <w:sz w:val="18"/>
                <w:szCs w:val="18"/>
                <w:u w:val="single"/>
              </w:rPr>
            </w:pPr>
            <w:r w:rsidRPr="00DB1AEE">
              <w:rPr>
                <w:sz w:val="18"/>
                <w:szCs w:val="18"/>
                <w:u w:val="single"/>
              </w:rPr>
              <w:t>U-0.033</w:t>
            </w:r>
          </w:p>
        </w:tc>
        <w:tc>
          <w:tcPr>
            <w:tcW w:w="1440" w:type="dxa"/>
          </w:tcPr>
          <w:p w14:paraId="5E06CC68" w14:textId="77777777" w:rsidR="00DB1AEE" w:rsidRPr="00DB1AEE" w:rsidRDefault="00DB1AEE" w:rsidP="00DB1AEE">
            <w:pPr>
              <w:suppressAutoHyphens/>
              <w:jc w:val="center"/>
              <w:rPr>
                <w:sz w:val="18"/>
                <w:szCs w:val="18"/>
                <w:u w:val="single"/>
              </w:rPr>
            </w:pPr>
            <w:r w:rsidRPr="00DB1AEE">
              <w:rPr>
                <w:sz w:val="18"/>
                <w:szCs w:val="18"/>
                <w:u w:val="single"/>
              </w:rPr>
              <w:t>U-0.033</w:t>
            </w:r>
          </w:p>
        </w:tc>
        <w:tc>
          <w:tcPr>
            <w:tcW w:w="1440" w:type="dxa"/>
          </w:tcPr>
          <w:p w14:paraId="45DC9B5B" w14:textId="77777777" w:rsidR="00DB1AEE" w:rsidRPr="00DB1AEE" w:rsidRDefault="00DB1AEE" w:rsidP="00DB1AEE">
            <w:pPr>
              <w:suppressAutoHyphens/>
              <w:jc w:val="center"/>
              <w:rPr>
                <w:sz w:val="18"/>
                <w:szCs w:val="18"/>
                <w:u w:val="single"/>
              </w:rPr>
            </w:pPr>
            <w:r w:rsidRPr="00DB1AEE">
              <w:rPr>
                <w:sz w:val="18"/>
                <w:szCs w:val="18"/>
                <w:u w:val="single"/>
              </w:rPr>
              <w:t>U-0.033</w:t>
            </w:r>
          </w:p>
        </w:tc>
        <w:tc>
          <w:tcPr>
            <w:tcW w:w="1440" w:type="dxa"/>
          </w:tcPr>
          <w:p w14:paraId="3B40C947" w14:textId="77777777" w:rsidR="00DB1AEE" w:rsidRPr="00DB1AEE" w:rsidRDefault="00DB1AEE" w:rsidP="00DB1AEE">
            <w:pPr>
              <w:suppressAutoHyphens/>
              <w:jc w:val="center"/>
              <w:rPr>
                <w:sz w:val="18"/>
                <w:szCs w:val="18"/>
                <w:u w:val="single"/>
              </w:rPr>
            </w:pPr>
            <w:r w:rsidRPr="00DB1AEE">
              <w:rPr>
                <w:sz w:val="18"/>
                <w:szCs w:val="18"/>
                <w:u w:val="single"/>
              </w:rPr>
              <w:t>U-0.027</w:t>
            </w:r>
          </w:p>
        </w:tc>
        <w:tc>
          <w:tcPr>
            <w:tcW w:w="1440" w:type="dxa"/>
          </w:tcPr>
          <w:p w14:paraId="3F766CC1" w14:textId="77777777" w:rsidR="00DB1AEE" w:rsidRPr="00DB1AEE" w:rsidRDefault="00DB1AEE" w:rsidP="00DB1AEE">
            <w:pPr>
              <w:suppressAutoHyphens/>
              <w:jc w:val="center"/>
              <w:rPr>
                <w:sz w:val="18"/>
                <w:szCs w:val="18"/>
                <w:u w:val="single"/>
              </w:rPr>
            </w:pPr>
            <w:r w:rsidRPr="00DB1AEE">
              <w:rPr>
                <w:sz w:val="18"/>
                <w:szCs w:val="18"/>
                <w:u w:val="single"/>
              </w:rPr>
              <w:t>U-0.027</w:t>
            </w:r>
          </w:p>
        </w:tc>
      </w:tr>
      <w:tr w:rsidR="00DB1AEE" w:rsidRPr="00DB1AEE" w14:paraId="2A06DD8F" w14:textId="77777777" w:rsidTr="00FC1832">
        <w:trPr>
          <w:trHeight w:val="287"/>
          <w:jc w:val="center"/>
        </w:trPr>
        <w:tc>
          <w:tcPr>
            <w:tcW w:w="10080" w:type="dxa"/>
            <w:gridSpan w:val="7"/>
            <w:vAlign w:val="center"/>
          </w:tcPr>
          <w:p w14:paraId="00DFF000" w14:textId="77777777" w:rsidR="00DB1AEE" w:rsidRPr="00DB1AEE" w:rsidRDefault="00DB1AEE" w:rsidP="00DB1AEE">
            <w:pPr>
              <w:suppressAutoHyphens/>
              <w:jc w:val="center"/>
              <w:rPr>
                <w:sz w:val="18"/>
                <w:szCs w:val="18"/>
                <w:u w:val="single"/>
              </w:rPr>
            </w:pPr>
            <w:r w:rsidRPr="00DB1AEE">
              <w:rPr>
                <w:b/>
                <w:sz w:val="18"/>
                <w:szCs w:val="18"/>
                <w:u w:val="single"/>
              </w:rPr>
              <w:t>Slab-on-grade floors</w:t>
            </w:r>
          </w:p>
        </w:tc>
      </w:tr>
      <w:tr w:rsidR="00DB1AEE" w:rsidRPr="00DB1AEE" w14:paraId="2BCBF062" w14:textId="77777777" w:rsidTr="00FC1832">
        <w:trPr>
          <w:trHeight w:val="285"/>
          <w:jc w:val="center"/>
        </w:trPr>
        <w:tc>
          <w:tcPr>
            <w:tcW w:w="1440" w:type="dxa"/>
            <w:vAlign w:val="center"/>
          </w:tcPr>
          <w:p w14:paraId="646E7B35" w14:textId="77777777" w:rsidR="00DB1AEE" w:rsidRPr="00DB1AEE" w:rsidRDefault="00DB1AEE" w:rsidP="00DB1AEE">
            <w:pPr>
              <w:suppressAutoHyphens/>
              <w:jc w:val="left"/>
              <w:rPr>
                <w:sz w:val="18"/>
                <w:szCs w:val="18"/>
                <w:u w:val="single"/>
              </w:rPr>
            </w:pPr>
            <w:r w:rsidRPr="00DB1AEE">
              <w:rPr>
                <w:sz w:val="18"/>
                <w:szCs w:val="18"/>
                <w:u w:val="single"/>
              </w:rPr>
              <w:t>Unheated slabs</w:t>
            </w:r>
          </w:p>
        </w:tc>
        <w:tc>
          <w:tcPr>
            <w:tcW w:w="1440" w:type="dxa"/>
            <w:vAlign w:val="center"/>
          </w:tcPr>
          <w:p w14:paraId="7D7997CC" w14:textId="77777777" w:rsidR="00DB1AEE" w:rsidRPr="00DB1AEE" w:rsidRDefault="00DB1AEE" w:rsidP="00DB1AEE">
            <w:pPr>
              <w:suppressAutoHyphens/>
              <w:jc w:val="center"/>
              <w:rPr>
                <w:sz w:val="18"/>
                <w:szCs w:val="18"/>
                <w:u w:val="single"/>
              </w:rPr>
            </w:pPr>
            <w:r w:rsidRPr="00DB1AEE">
              <w:rPr>
                <w:sz w:val="18"/>
                <w:szCs w:val="18"/>
                <w:u w:val="single"/>
              </w:rPr>
              <w:t>F-0.52</w:t>
            </w:r>
          </w:p>
        </w:tc>
        <w:tc>
          <w:tcPr>
            <w:tcW w:w="1440" w:type="dxa"/>
            <w:vAlign w:val="center"/>
          </w:tcPr>
          <w:p w14:paraId="3CC17913" w14:textId="77777777" w:rsidR="00DB1AEE" w:rsidRPr="00DB1AEE" w:rsidRDefault="00DB1AEE" w:rsidP="00DB1AEE">
            <w:pPr>
              <w:suppressAutoHyphens/>
              <w:jc w:val="center"/>
              <w:rPr>
                <w:sz w:val="18"/>
                <w:szCs w:val="18"/>
                <w:u w:val="single"/>
              </w:rPr>
            </w:pPr>
            <w:r w:rsidRPr="00DB1AEE">
              <w:rPr>
                <w:sz w:val="18"/>
                <w:szCs w:val="18"/>
                <w:u w:val="single"/>
              </w:rPr>
              <w:t>F-0.52</w:t>
            </w:r>
          </w:p>
        </w:tc>
        <w:tc>
          <w:tcPr>
            <w:tcW w:w="1440" w:type="dxa"/>
          </w:tcPr>
          <w:p w14:paraId="654EB36E" w14:textId="77777777" w:rsidR="00DB1AEE" w:rsidRPr="00DB1AEE" w:rsidRDefault="00DB1AEE" w:rsidP="00DB1AEE">
            <w:pPr>
              <w:suppressAutoHyphens/>
              <w:jc w:val="center"/>
              <w:rPr>
                <w:sz w:val="18"/>
                <w:szCs w:val="18"/>
                <w:u w:val="single"/>
              </w:rPr>
            </w:pPr>
            <w:r w:rsidRPr="00DB1AEE">
              <w:rPr>
                <w:sz w:val="18"/>
                <w:szCs w:val="18"/>
                <w:u w:val="single"/>
              </w:rPr>
              <w:t>F-0.52</w:t>
            </w:r>
          </w:p>
        </w:tc>
        <w:tc>
          <w:tcPr>
            <w:tcW w:w="1440" w:type="dxa"/>
          </w:tcPr>
          <w:p w14:paraId="17466186" w14:textId="77777777" w:rsidR="00DB1AEE" w:rsidRPr="00DB1AEE" w:rsidRDefault="00DB1AEE" w:rsidP="00DB1AEE">
            <w:pPr>
              <w:suppressAutoHyphens/>
              <w:jc w:val="center"/>
              <w:rPr>
                <w:sz w:val="18"/>
                <w:szCs w:val="18"/>
                <w:u w:val="single"/>
              </w:rPr>
            </w:pPr>
            <w:r w:rsidRPr="00DB1AEE">
              <w:rPr>
                <w:sz w:val="18"/>
                <w:szCs w:val="18"/>
                <w:u w:val="single"/>
              </w:rPr>
              <w:t>F-0.51</w:t>
            </w:r>
          </w:p>
        </w:tc>
        <w:tc>
          <w:tcPr>
            <w:tcW w:w="1440" w:type="dxa"/>
          </w:tcPr>
          <w:p w14:paraId="02180E00" w14:textId="77777777" w:rsidR="00DB1AEE" w:rsidRPr="00DB1AEE" w:rsidRDefault="00DB1AEE" w:rsidP="00DB1AEE">
            <w:pPr>
              <w:suppressAutoHyphens/>
              <w:jc w:val="center"/>
              <w:rPr>
                <w:sz w:val="18"/>
                <w:szCs w:val="18"/>
                <w:u w:val="single"/>
              </w:rPr>
            </w:pPr>
            <w:r w:rsidRPr="00DB1AEE">
              <w:rPr>
                <w:sz w:val="18"/>
                <w:szCs w:val="18"/>
                <w:u w:val="single"/>
              </w:rPr>
              <w:t>F-0.51</w:t>
            </w:r>
          </w:p>
        </w:tc>
        <w:tc>
          <w:tcPr>
            <w:tcW w:w="1440" w:type="dxa"/>
          </w:tcPr>
          <w:p w14:paraId="6FDDD1F1" w14:textId="77777777" w:rsidR="00DB1AEE" w:rsidRPr="00DB1AEE" w:rsidRDefault="00DB1AEE" w:rsidP="00DB1AEE">
            <w:pPr>
              <w:suppressAutoHyphens/>
              <w:jc w:val="center"/>
              <w:rPr>
                <w:sz w:val="18"/>
                <w:szCs w:val="18"/>
                <w:u w:val="single"/>
              </w:rPr>
            </w:pPr>
            <w:r w:rsidRPr="00DB1AEE">
              <w:rPr>
                <w:sz w:val="18"/>
                <w:szCs w:val="18"/>
                <w:u w:val="single"/>
              </w:rPr>
              <w:t>F-0.434</w:t>
            </w:r>
          </w:p>
        </w:tc>
      </w:tr>
      <w:tr w:rsidR="00DB1AEE" w:rsidRPr="00DB1AEE" w14:paraId="4299C65C" w14:textId="77777777" w:rsidTr="00FC1832">
        <w:trPr>
          <w:trHeight w:val="285"/>
          <w:jc w:val="center"/>
        </w:trPr>
        <w:tc>
          <w:tcPr>
            <w:tcW w:w="1440" w:type="dxa"/>
            <w:vAlign w:val="center"/>
          </w:tcPr>
          <w:p w14:paraId="49D1A44F" w14:textId="77777777" w:rsidR="00DB1AEE" w:rsidRPr="00DB1AEE" w:rsidRDefault="00DB1AEE" w:rsidP="00DB1AEE">
            <w:pPr>
              <w:suppressAutoHyphens/>
              <w:jc w:val="left"/>
              <w:rPr>
                <w:sz w:val="18"/>
                <w:szCs w:val="18"/>
                <w:u w:val="single"/>
              </w:rPr>
            </w:pPr>
            <w:r w:rsidRPr="00DB1AEE">
              <w:rPr>
                <w:sz w:val="18"/>
                <w:szCs w:val="18"/>
                <w:u w:val="single"/>
              </w:rPr>
              <w:t>Heated slabs</w:t>
            </w:r>
          </w:p>
        </w:tc>
        <w:tc>
          <w:tcPr>
            <w:tcW w:w="1440" w:type="dxa"/>
            <w:vAlign w:val="center"/>
          </w:tcPr>
          <w:p w14:paraId="0A995A32" w14:textId="77777777" w:rsidR="00DB1AEE" w:rsidRPr="00DB1AEE" w:rsidRDefault="00DB1AEE" w:rsidP="00DB1AEE">
            <w:pPr>
              <w:keepNext/>
              <w:tabs>
                <w:tab w:val="num" w:pos="720"/>
              </w:tabs>
              <w:suppressAutoHyphens/>
              <w:ind w:left="720" w:hanging="720"/>
              <w:jc w:val="center"/>
              <w:outlineLvl w:val="2"/>
              <w:rPr>
                <w:b/>
                <w:caps/>
                <w:sz w:val="18"/>
                <w:szCs w:val="18"/>
                <w:u w:val="single"/>
              </w:rPr>
            </w:pPr>
            <w:r w:rsidRPr="00DB1AEE">
              <w:rPr>
                <w:b/>
                <w:caps/>
                <w:sz w:val="18"/>
                <w:szCs w:val="18"/>
                <w:u w:val="single"/>
              </w:rPr>
              <w:t>F-0.62</w:t>
            </w:r>
          </w:p>
        </w:tc>
        <w:tc>
          <w:tcPr>
            <w:tcW w:w="1440" w:type="dxa"/>
            <w:vAlign w:val="center"/>
          </w:tcPr>
          <w:p w14:paraId="3825EE6E" w14:textId="77777777" w:rsidR="00DB1AEE" w:rsidRPr="00DB1AEE" w:rsidRDefault="00DB1AEE" w:rsidP="00DB1AEE">
            <w:pPr>
              <w:keepNext/>
              <w:tabs>
                <w:tab w:val="num" w:pos="720"/>
              </w:tabs>
              <w:suppressAutoHyphens/>
              <w:ind w:left="720" w:hanging="720"/>
              <w:jc w:val="center"/>
              <w:outlineLvl w:val="2"/>
              <w:rPr>
                <w:b/>
                <w:caps/>
                <w:sz w:val="18"/>
                <w:szCs w:val="18"/>
                <w:u w:val="single"/>
              </w:rPr>
            </w:pPr>
            <w:r w:rsidRPr="00DB1AEE">
              <w:rPr>
                <w:b/>
                <w:caps/>
                <w:sz w:val="18"/>
                <w:szCs w:val="18"/>
                <w:u w:val="single"/>
              </w:rPr>
              <w:t>F-0.62</w:t>
            </w:r>
          </w:p>
        </w:tc>
        <w:tc>
          <w:tcPr>
            <w:tcW w:w="1440" w:type="dxa"/>
          </w:tcPr>
          <w:p w14:paraId="2238C9A1" w14:textId="77777777" w:rsidR="00DB1AEE" w:rsidRPr="00DB1AEE" w:rsidRDefault="00DB1AEE" w:rsidP="00DB1AEE">
            <w:pPr>
              <w:keepNext/>
              <w:tabs>
                <w:tab w:val="num" w:pos="720"/>
              </w:tabs>
              <w:suppressAutoHyphens/>
              <w:ind w:left="720" w:hanging="720"/>
              <w:jc w:val="center"/>
              <w:outlineLvl w:val="2"/>
              <w:rPr>
                <w:b/>
                <w:caps/>
                <w:sz w:val="18"/>
                <w:szCs w:val="18"/>
                <w:u w:val="single"/>
              </w:rPr>
            </w:pPr>
            <w:r w:rsidRPr="00DB1AEE">
              <w:rPr>
                <w:b/>
                <w:caps/>
                <w:sz w:val="18"/>
                <w:szCs w:val="18"/>
                <w:u w:val="single"/>
              </w:rPr>
              <w:t>F-0.62</w:t>
            </w:r>
          </w:p>
        </w:tc>
        <w:tc>
          <w:tcPr>
            <w:tcW w:w="1440" w:type="dxa"/>
          </w:tcPr>
          <w:p w14:paraId="779BECE4" w14:textId="77777777" w:rsidR="00DB1AEE" w:rsidRPr="00DB1AEE" w:rsidRDefault="00DB1AEE" w:rsidP="00DB1AEE">
            <w:pPr>
              <w:keepNext/>
              <w:tabs>
                <w:tab w:val="num" w:pos="720"/>
              </w:tabs>
              <w:suppressAutoHyphens/>
              <w:ind w:left="720" w:hanging="720"/>
              <w:jc w:val="center"/>
              <w:outlineLvl w:val="2"/>
              <w:rPr>
                <w:b/>
                <w:caps/>
                <w:sz w:val="18"/>
                <w:szCs w:val="18"/>
                <w:u w:val="single"/>
              </w:rPr>
            </w:pPr>
            <w:r w:rsidRPr="00DB1AEE">
              <w:rPr>
                <w:b/>
                <w:caps/>
                <w:sz w:val="18"/>
                <w:szCs w:val="18"/>
                <w:u w:val="single"/>
              </w:rPr>
              <w:t>F-0.62</w:t>
            </w:r>
          </w:p>
        </w:tc>
        <w:tc>
          <w:tcPr>
            <w:tcW w:w="1440" w:type="dxa"/>
          </w:tcPr>
          <w:p w14:paraId="33DBEB01" w14:textId="77777777" w:rsidR="00DB1AEE" w:rsidRPr="00DB1AEE" w:rsidRDefault="00DB1AEE" w:rsidP="00DB1AEE">
            <w:pPr>
              <w:keepNext/>
              <w:tabs>
                <w:tab w:val="num" w:pos="720"/>
              </w:tabs>
              <w:suppressAutoHyphens/>
              <w:ind w:left="720" w:hanging="720"/>
              <w:jc w:val="center"/>
              <w:outlineLvl w:val="2"/>
              <w:rPr>
                <w:b/>
                <w:caps/>
                <w:sz w:val="18"/>
                <w:szCs w:val="18"/>
                <w:u w:val="single"/>
              </w:rPr>
            </w:pPr>
            <w:r w:rsidRPr="00DB1AEE">
              <w:rPr>
                <w:b/>
                <w:caps/>
                <w:sz w:val="18"/>
                <w:szCs w:val="18"/>
                <w:u w:val="single"/>
              </w:rPr>
              <w:t>F-0.62</w:t>
            </w:r>
          </w:p>
        </w:tc>
        <w:tc>
          <w:tcPr>
            <w:tcW w:w="1440" w:type="dxa"/>
          </w:tcPr>
          <w:p w14:paraId="16D348BA" w14:textId="77777777" w:rsidR="00DB1AEE" w:rsidRPr="00DB1AEE" w:rsidRDefault="00DB1AEE" w:rsidP="00DB1AEE">
            <w:pPr>
              <w:keepNext/>
              <w:tabs>
                <w:tab w:val="num" w:pos="720"/>
              </w:tabs>
              <w:suppressAutoHyphens/>
              <w:ind w:left="720" w:hanging="720"/>
              <w:jc w:val="center"/>
              <w:outlineLvl w:val="2"/>
              <w:rPr>
                <w:b/>
                <w:caps/>
                <w:sz w:val="18"/>
                <w:szCs w:val="18"/>
                <w:u w:val="single"/>
              </w:rPr>
            </w:pPr>
            <w:r w:rsidRPr="00DB1AEE">
              <w:rPr>
                <w:b/>
                <w:caps/>
                <w:sz w:val="18"/>
                <w:szCs w:val="18"/>
                <w:u w:val="single"/>
              </w:rPr>
              <w:t>F-0.602</w:t>
            </w:r>
          </w:p>
        </w:tc>
      </w:tr>
      <w:tr w:rsidR="00DB1AEE" w:rsidRPr="00DB1AEE" w14:paraId="751CBAC8" w14:textId="77777777" w:rsidTr="00FC1832">
        <w:trPr>
          <w:trHeight w:val="285"/>
          <w:jc w:val="center"/>
        </w:trPr>
        <w:tc>
          <w:tcPr>
            <w:tcW w:w="10080" w:type="dxa"/>
            <w:gridSpan w:val="7"/>
            <w:vAlign w:val="center"/>
          </w:tcPr>
          <w:p w14:paraId="205B9981" w14:textId="77777777" w:rsidR="00DB1AEE" w:rsidRPr="00DB1AEE" w:rsidRDefault="00DB1AEE" w:rsidP="00DB1AEE">
            <w:pPr>
              <w:suppressAutoHyphens/>
              <w:jc w:val="center"/>
              <w:rPr>
                <w:sz w:val="18"/>
                <w:szCs w:val="18"/>
                <w:u w:val="single"/>
              </w:rPr>
            </w:pPr>
            <w:r w:rsidRPr="00DB1AEE">
              <w:rPr>
                <w:b/>
                <w:bCs/>
                <w:sz w:val="18"/>
                <w:szCs w:val="18"/>
                <w:u w:val="single"/>
              </w:rPr>
              <w:t>Opaque doors</w:t>
            </w:r>
          </w:p>
        </w:tc>
      </w:tr>
      <w:tr w:rsidR="00DB1AEE" w:rsidRPr="00DB1AEE" w14:paraId="57BE86B6" w14:textId="77777777" w:rsidTr="00FC1832">
        <w:trPr>
          <w:trHeight w:val="285"/>
          <w:jc w:val="center"/>
        </w:trPr>
        <w:tc>
          <w:tcPr>
            <w:tcW w:w="1440" w:type="dxa"/>
            <w:vAlign w:val="center"/>
          </w:tcPr>
          <w:p w14:paraId="6A369173" w14:textId="77777777" w:rsidR="00DB1AEE" w:rsidRPr="00DB1AEE" w:rsidRDefault="00DB1AEE" w:rsidP="00DB1AEE">
            <w:pPr>
              <w:suppressAutoHyphens/>
              <w:jc w:val="left"/>
              <w:rPr>
                <w:sz w:val="18"/>
                <w:szCs w:val="18"/>
                <w:u w:val="single"/>
              </w:rPr>
            </w:pPr>
            <w:r w:rsidRPr="00DB1AEE">
              <w:rPr>
                <w:sz w:val="18"/>
                <w:szCs w:val="18"/>
                <w:u w:val="single"/>
              </w:rPr>
              <w:t xml:space="preserve">Nonswinging door </w:t>
            </w:r>
          </w:p>
        </w:tc>
        <w:tc>
          <w:tcPr>
            <w:tcW w:w="1440" w:type="dxa"/>
            <w:vAlign w:val="center"/>
          </w:tcPr>
          <w:p w14:paraId="4A76E04A" w14:textId="77777777" w:rsidR="00DB1AEE" w:rsidRPr="00DB1AEE" w:rsidRDefault="00DB1AEE" w:rsidP="00DB1AEE">
            <w:pPr>
              <w:suppressAutoHyphens/>
              <w:jc w:val="center"/>
              <w:rPr>
                <w:sz w:val="18"/>
                <w:szCs w:val="18"/>
                <w:u w:val="single"/>
              </w:rPr>
            </w:pPr>
            <w:r w:rsidRPr="00DB1AEE">
              <w:rPr>
                <w:sz w:val="18"/>
                <w:szCs w:val="18"/>
                <w:u w:val="single"/>
              </w:rPr>
              <w:t>U-0.31</w:t>
            </w:r>
          </w:p>
        </w:tc>
        <w:tc>
          <w:tcPr>
            <w:tcW w:w="1440" w:type="dxa"/>
            <w:vAlign w:val="center"/>
          </w:tcPr>
          <w:p w14:paraId="4D8745DB" w14:textId="77777777" w:rsidR="00DB1AEE" w:rsidRPr="00DB1AEE" w:rsidRDefault="00DB1AEE" w:rsidP="00DB1AEE">
            <w:pPr>
              <w:suppressAutoHyphens/>
              <w:jc w:val="center"/>
              <w:rPr>
                <w:sz w:val="18"/>
                <w:szCs w:val="18"/>
                <w:u w:val="single"/>
              </w:rPr>
            </w:pPr>
            <w:r w:rsidRPr="00DB1AEE">
              <w:rPr>
                <w:sz w:val="18"/>
                <w:szCs w:val="18"/>
                <w:u w:val="single"/>
              </w:rPr>
              <w:t>U-0.31</w:t>
            </w:r>
          </w:p>
        </w:tc>
        <w:tc>
          <w:tcPr>
            <w:tcW w:w="1440" w:type="dxa"/>
            <w:vAlign w:val="center"/>
          </w:tcPr>
          <w:p w14:paraId="598FCDA1" w14:textId="77777777" w:rsidR="00DB1AEE" w:rsidRPr="00DB1AEE" w:rsidRDefault="00DB1AEE" w:rsidP="00DB1AEE">
            <w:pPr>
              <w:suppressAutoHyphens/>
              <w:jc w:val="center"/>
              <w:rPr>
                <w:sz w:val="18"/>
                <w:szCs w:val="18"/>
                <w:u w:val="single"/>
              </w:rPr>
            </w:pPr>
            <w:r w:rsidRPr="00DB1AEE">
              <w:rPr>
                <w:sz w:val="18"/>
                <w:szCs w:val="18"/>
                <w:u w:val="single"/>
              </w:rPr>
              <w:t>U-0.31</w:t>
            </w:r>
          </w:p>
        </w:tc>
        <w:tc>
          <w:tcPr>
            <w:tcW w:w="1440" w:type="dxa"/>
            <w:vAlign w:val="center"/>
          </w:tcPr>
          <w:p w14:paraId="7CD088FA" w14:textId="77777777" w:rsidR="00DB1AEE" w:rsidRPr="00DB1AEE" w:rsidRDefault="00DB1AEE" w:rsidP="00DB1AEE">
            <w:pPr>
              <w:suppressAutoHyphens/>
              <w:jc w:val="center"/>
              <w:rPr>
                <w:sz w:val="18"/>
                <w:szCs w:val="18"/>
                <w:u w:val="single"/>
              </w:rPr>
            </w:pPr>
            <w:r w:rsidRPr="00DB1AEE">
              <w:rPr>
                <w:sz w:val="18"/>
                <w:szCs w:val="18"/>
                <w:u w:val="single"/>
              </w:rPr>
              <w:t>U-0.31</w:t>
            </w:r>
          </w:p>
        </w:tc>
        <w:tc>
          <w:tcPr>
            <w:tcW w:w="1440" w:type="dxa"/>
            <w:vAlign w:val="center"/>
          </w:tcPr>
          <w:p w14:paraId="6723E9CF" w14:textId="77777777" w:rsidR="00DB1AEE" w:rsidRPr="00DB1AEE" w:rsidRDefault="00DB1AEE" w:rsidP="00DB1AEE">
            <w:pPr>
              <w:suppressAutoHyphens/>
              <w:jc w:val="center"/>
              <w:rPr>
                <w:sz w:val="18"/>
                <w:szCs w:val="18"/>
                <w:u w:val="single"/>
              </w:rPr>
            </w:pPr>
            <w:r w:rsidRPr="00DB1AEE">
              <w:rPr>
                <w:sz w:val="18"/>
                <w:szCs w:val="18"/>
                <w:u w:val="single"/>
              </w:rPr>
              <w:t>U-0.31</w:t>
            </w:r>
          </w:p>
        </w:tc>
        <w:tc>
          <w:tcPr>
            <w:tcW w:w="1440" w:type="dxa"/>
            <w:vAlign w:val="center"/>
          </w:tcPr>
          <w:p w14:paraId="67CDA84D" w14:textId="77777777" w:rsidR="00DB1AEE" w:rsidRPr="00DB1AEE" w:rsidRDefault="00DB1AEE" w:rsidP="00DB1AEE">
            <w:pPr>
              <w:suppressAutoHyphens/>
              <w:jc w:val="center"/>
              <w:rPr>
                <w:sz w:val="18"/>
                <w:szCs w:val="18"/>
                <w:u w:val="single"/>
              </w:rPr>
            </w:pPr>
            <w:r w:rsidRPr="00DB1AEE">
              <w:rPr>
                <w:sz w:val="18"/>
                <w:szCs w:val="18"/>
                <w:u w:val="single"/>
              </w:rPr>
              <w:t>U-0.31</w:t>
            </w:r>
          </w:p>
        </w:tc>
      </w:tr>
      <w:tr w:rsidR="00DB1AEE" w:rsidRPr="00DB1AEE" w14:paraId="23FB2B07" w14:textId="77777777" w:rsidTr="00FC1832">
        <w:trPr>
          <w:trHeight w:val="285"/>
          <w:jc w:val="center"/>
        </w:trPr>
        <w:tc>
          <w:tcPr>
            <w:tcW w:w="1440" w:type="dxa"/>
            <w:vAlign w:val="center"/>
          </w:tcPr>
          <w:p w14:paraId="4342CDCE" w14:textId="77777777" w:rsidR="00DB1AEE" w:rsidRPr="00DB1AEE" w:rsidRDefault="00DB1AEE" w:rsidP="00DB1AEE">
            <w:pPr>
              <w:suppressAutoHyphens/>
              <w:jc w:val="left"/>
              <w:rPr>
                <w:sz w:val="18"/>
                <w:szCs w:val="18"/>
                <w:u w:val="single"/>
              </w:rPr>
            </w:pPr>
            <w:r w:rsidRPr="00DB1AEE">
              <w:rPr>
                <w:sz w:val="18"/>
                <w:szCs w:val="18"/>
                <w:u w:val="single"/>
              </w:rPr>
              <w:t>Swinging door</w:t>
            </w:r>
            <w:r w:rsidRPr="00DB1AEE">
              <w:rPr>
                <w:b/>
                <w:sz w:val="18"/>
                <w:szCs w:val="18"/>
                <w:u w:val="single"/>
                <w:vertAlign w:val="superscript"/>
              </w:rPr>
              <w:t>g</w:t>
            </w:r>
          </w:p>
        </w:tc>
        <w:tc>
          <w:tcPr>
            <w:tcW w:w="1440" w:type="dxa"/>
            <w:vAlign w:val="center"/>
          </w:tcPr>
          <w:p w14:paraId="74DE41EE" w14:textId="77777777" w:rsidR="00DB1AEE" w:rsidRPr="00DB1AEE" w:rsidRDefault="00DB1AEE" w:rsidP="00DB1AEE">
            <w:pPr>
              <w:keepNext/>
              <w:tabs>
                <w:tab w:val="num" w:pos="720"/>
              </w:tabs>
              <w:suppressAutoHyphens/>
              <w:ind w:left="720" w:hanging="720"/>
              <w:jc w:val="center"/>
              <w:outlineLvl w:val="2"/>
              <w:rPr>
                <w:b/>
                <w:caps/>
                <w:sz w:val="18"/>
                <w:szCs w:val="18"/>
                <w:u w:val="single"/>
              </w:rPr>
            </w:pPr>
            <w:r w:rsidRPr="00DB1AEE">
              <w:rPr>
                <w:b/>
                <w:caps/>
                <w:sz w:val="18"/>
                <w:szCs w:val="18"/>
                <w:u w:val="single"/>
              </w:rPr>
              <w:t>U-0.37</w:t>
            </w:r>
          </w:p>
        </w:tc>
        <w:tc>
          <w:tcPr>
            <w:tcW w:w="1440" w:type="dxa"/>
            <w:vAlign w:val="center"/>
          </w:tcPr>
          <w:p w14:paraId="0D944F76" w14:textId="77777777" w:rsidR="00DB1AEE" w:rsidRPr="00DB1AEE" w:rsidRDefault="00DB1AEE" w:rsidP="00DB1AEE">
            <w:pPr>
              <w:keepNext/>
              <w:tabs>
                <w:tab w:val="num" w:pos="720"/>
              </w:tabs>
              <w:suppressAutoHyphens/>
              <w:ind w:left="720" w:hanging="720"/>
              <w:jc w:val="center"/>
              <w:outlineLvl w:val="2"/>
              <w:rPr>
                <w:b/>
                <w:caps/>
                <w:sz w:val="18"/>
                <w:szCs w:val="18"/>
                <w:u w:val="single"/>
              </w:rPr>
            </w:pPr>
            <w:r w:rsidRPr="00DB1AEE">
              <w:rPr>
                <w:b/>
                <w:caps/>
                <w:sz w:val="18"/>
                <w:szCs w:val="18"/>
                <w:u w:val="single"/>
              </w:rPr>
              <w:t>U-0.37</w:t>
            </w:r>
          </w:p>
        </w:tc>
        <w:tc>
          <w:tcPr>
            <w:tcW w:w="1440" w:type="dxa"/>
          </w:tcPr>
          <w:p w14:paraId="0DB9090F" w14:textId="77777777" w:rsidR="00DB1AEE" w:rsidRPr="00DB1AEE" w:rsidRDefault="00DB1AEE" w:rsidP="00DB1AEE">
            <w:pPr>
              <w:keepNext/>
              <w:tabs>
                <w:tab w:val="num" w:pos="720"/>
              </w:tabs>
              <w:suppressAutoHyphens/>
              <w:ind w:left="720" w:hanging="720"/>
              <w:jc w:val="center"/>
              <w:outlineLvl w:val="2"/>
              <w:rPr>
                <w:b/>
                <w:caps/>
                <w:sz w:val="18"/>
                <w:szCs w:val="18"/>
                <w:u w:val="single"/>
              </w:rPr>
            </w:pPr>
            <w:r w:rsidRPr="00DB1AEE">
              <w:rPr>
                <w:b/>
                <w:caps/>
                <w:sz w:val="18"/>
                <w:szCs w:val="18"/>
                <w:u w:val="single"/>
              </w:rPr>
              <w:t>U-0.37</w:t>
            </w:r>
          </w:p>
        </w:tc>
        <w:tc>
          <w:tcPr>
            <w:tcW w:w="1440" w:type="dxa"/>
          </w:tcPr>
          <w:p w14:paraId="0E9D37DA" w14:textId="77777777" w:rsidR="00DB1AEE" w:rsidRPr="00DB1AEE" w:rsidRDefault="00DB1AEE" w:rsidP="00DB1AEE">
            <w:pPr>
              <w:keepNext/>
              <w:tabs>
                <w:tab w:val="num" w:pos="720"/>
              </w:tabs>
              <w:suppressAutoHyphens/>
              <w:ind w:left="720" w:hanging="720"/>
              <w:jc w:val="center"/>
              <w:outlineLvl w:val="2"/>
              <w:rPr>
                <w:b/>
                <w:caps/>
                <w:sz w:val="18"/>
                <w:szCs w:val="18"/>
                <w:u w:val="single"/>
              </w:rPr>
            </w:pPr>
            <w:r w:rsidRPr="00DB1AEE">
              <w:rPr>
                <w:b/>
                <w:caps/>
                <w:sz w:val="18"/>
                <w:szCs w:val="18"/>
                <w:u w:val="single"/>
              </w:rPr>
              <w:t>U-0.37</w:t>
            </w:r>
          </w:p>
        </w:tc>
        <w:tc>
          <w:tcPr>
            <w:tcW w:w="1440" w:type="dxa"/>
          </w:tcPr>
          <w:p w14:paraId="407470E6" w14:textId="77777777" w:rsidR="00DB1AEE" w:rsidRPr="00DB1AEE" w:rsidRDefault="00DB1AEE" w:rsidP="00DB1AEE">
            <w:pPr>
              <w:keepNext/>
              <w:tabs>
                <w:tab w:val="num" w:pos="720"/>
              </w:tabs>
              <w:suppressAutoHyphens/>
              <w:ind w:left="720" w:hanging="720"/>
              <w:jc w:val="center"/>
              <w:outlineLvl w:val="2"/>
              <w:rPr>
                <w:b/>
                <w:caps/>
                <w:sz w:val="18"/>
                <w:szCs w:val="18"/>
                <w:u w:val="single"/>
              </w:rPr>
            </w:pPr>
            <w:r w:rsidRPr="00DB1AEE">
              <w:rPr>
                <w:b/>
                <w:caps/>
                <w:sz w:val="18"/>
                <w:szCs w:val="18"/>
                <w:u w:val="single"/>
              </w:rPr>
              <w:t>U-0.37</w:t>
            </w:r>
          </w:p>
        </w:tc>
        <w:tc>
          <w:tcPr>
            <w:tcW w:w="1440" w:type="dxa"/>
          </w:tcPr>
          <w:p w14:paraId="4E1C0511" w14:textId="77777777" w:rsidR="00DB1AEE" w:rsidRPr="00DB1AEE" w:rsidRDefault="00DB1AEE" w:rsidP="00DB1AEE">
            <w:pPr>
              <w:keepNext/>
              <w:tabs>
                <w:tab w:val="num" w:pos="720"/>
              </w:tabs>
              <w:suppressAutoHyphens/>
              <w:ind w:left="720" w:hanging="720"/>
              <w:jc w:val="center"/>
              <w:outlineLvl w:val="2"/>
              <w:rPr>
                <w:b/>
                <w:caps/>
                <w:sz w:val="18"/>
                <w:szCs w:val="18"/>
                <w:u w:val="single"/>
              </w:rPr>
            </w:pPr>
            <w:r w:rsidRPr="00DB1AEE">
              <w:rPr>
                <w:b/>
                <w:caps/>
                <w:sz w:val="18"/>
                <w:szCs w:val="18"/>
                <w:u w:val="single"/>
              </w:rPr>
              <w:t>U-0.37</w:t>
            </w:r>
          </w:p>
        </w:tc>
      </w:tr>
      <w:tr w:rsidR="00DB1AEE" w:rsidRPr="00DB1AEE" w14:paraId="302E6132" w14:textId="77777777" w:rsidTr="00FC1832">
        <w:trPr>
          <w:trHeight w:val="285"/>
          <w:jc w:val="center"/>
        </w:trPr>
        <w:tc>
          <w:tcPr>
            <w:tcW w:w="1440" w:type="dxa"/>
            <w:vAlign w:val="center"/>
          </w:tcPr>
          <w:p w14:paraId="75AE7AD0" w14:textId="77777777" w:rsidR="00DB1AEE" w:rsidRPr="00DB1AEE" w:rsidRDefault="00DB1AEE" w:rsidP="00DB1AEE">
            <w:pPr>
              <w:suppressAutoHyphens/>
              <w:jc w:val="left"/>
              <w:rPr>
                <w:sz w:val="18"/>
                <w:szCs w:val="18"/>
                <w:u w:val="single"/>
              </w:rPr>
            </w:pPr>
            <w:r w:rsidRPr="00DB1AEE">
              <w:rPr>
                <w:sz w:val="18"/>
                <w:szCs w:val="18"/>
                <w:u w:val="single"/>
              </w:rPr>
              <w:t>Garage door &lt;14% glazing</w:t>
            </w:r>
            <w:r w:rsidRPr="00DB1AEE">
              <w:rPr>
                <w:b/>
                <w:sz w:val="18"/>
                <w:szCs w:val="18"/>
                <w:u w:val="single"/>
                <w:vertAlign w:val="superscript"/>
              </w:rPr>
              <w:t>h</w:t>
            </w:r>
          </w:p>
        </w:tc>
        <w:tc>
          <w:tcPr>
            <w:tcW w:w="1440" w:type="dxa"/>
            <w:vAlign w:val="center"/>
          </w:tcPr>
          <w:p w14:paraId="41AA8482" w14:textId="77777777" w:rsidR="00DB1AEE" w:rsidRPr="00DB1AEE" w:rsidRDefault="00DB1AEE" w:rsidP="00DB1AEE">
            <w:pPr>
              <w:suppressAutoHyphens/>
              <w:jc w:val="center"/>
              <w:rPr>
                <w:sz w:val="18"/>
                <w:szCs w:val="18"/>
                <w:u w:val="single"/>
              </w:rPr>
            </w:pPr>
            <w:r w:rsidRPr="00DB1AEE">
              <w:rPr>
                <w:sz w:val="18"/>
                <w:szCs w:val="18"/>
                <w:u w:val="single"/>
              </w:rPr>
              <w:t>U-0.31</w:t>
            </w:r>
          </w:p>
        </w:tc>
        <w:tc>
          <w:tcPr>
            <w:tcW w:w="1440" w:type="dxa"/>
            <w:vAlign w:val="center"/>
          </w:tcPr>
          <w:p w14:paraId="45AA4E4F" w14:textId="77777777" w:rsidR="00DB1AEE" w:rsidRPr="00DB1AEE" w:rsidRDefault="00DB1AEE" w:rsidP="00DB1AEE">
            <w:pPr>
              <w:suppressAutoHyphens/>
              <w:jc w:val="center"/>
              <w:rPr>
                <w:sz w:val="18"/>
                <w:szCs w:val="18"/>
                <w:u w:val="single"/>
              </w:rPr>
            </w:pPr>
            <w:r w:rsidRPr="00DB1AEE">
              <w:rPr>
                <w:sz w:val="18"/>
                <w:szCs w:val="18"/>
                <w:u w:val="single"/>
              </w:rPr>
              <w:t>U-0.31</w:t>
            </w:r>
          </w:p>
        </w:tc>
        <w:tc>
          <w:tcPr>
            <w:tcW w:w="1440" w:type="dxa"/>
            <w:vAlign w:val="center"/>
          </w:tcPr>
          <w:p w14:paraId="318B19CC" w14:textId="77777777" w:rsidR="00DB1AEE" w:rsidRPr="00DB1AEE" w:rsidRDefault="00DB1AEE" w:rsidP="00DB1AEE">
            <w:pPr>
              <w:suppressAutoHyphens/>
              <w:jc w:val="center"/>
              <w:rPr>
                <w:sz w:val="18"/>
                <w:szCs w:val="18"/>
                <w:u w:val="single"/>
              </w:rPr>
            </w:pPr>
            <w:r w:rsidRPr="00DB1AEE">
              <w:rPr>
                <w:sz w:val="18"/>
                <w:szCs w:val="18"/>
                <w:u w:val="single"/>
              </w:rPr>
              <w:t>U-0.31</w:t>
            </w:r>
          </w:p>
        </w:tc>
        <w:tc>
          <w:tcPr>
            <w:tcW w:w="1440" w:type="dxa"/>
            <w:vAlign w:val="center"/>
          </w:tcPr>
          <w:p w14:paraId="40696C91" w14:textId="77777777" w:rsidR="00DB1AEE" w:rsidRPr="00DB1AEE" w:rsidRDefault="00DB1AEE" w:rsidP="00DB1AEE">
            <w:pPr>
              <w:suppressAutoHyphens/>
              <w:jc w:val="center"/>
              <w:rPr>
                <w:sz w:val="18"/>
                <w:szCs w:val="18"/>
                <w:u w:val="single"/>
              </w:rPr>
            </w:pPr>
            <w:r w:rsidRPr="00DB1AEE">
              <w:rPr>
                <w:sz w:val="18"/>
                <w:szCs w:val="18"/>
                <w:u w:val="single"/>
              </w:rPr>
              <w:t>U-0.31</w:t>
            </w:r>
          </w:p>
        </w:tc>
        <w:tc>
          <w:tcPr>
            <w:tcW w:w="1440" w:type="dxa"/>
            <w:vAlign w:val="center"/>
          </w:tcPr>
          <w:p w14:paraId="2776DF21" w14:textId="77777777" w:rsidR="00DB1AEE" w:rsidRPr="00DB1AEE" w:rsidRDefault="00DB1AEE" w:rsidP="00DB1AEE">
            <w:pPr>
              <w:suppressAutoHyphens/>
              <w:jc w:val="center"/>
              <w:rPr>
                <w:sz w:val="18"/>
                <w:szCs w:val="18"/>
                <w:u w:val="single"/>
              </w:rPr>
            </w:pPr>
            <w:r w:rsidRPr="00DB1AEE">
              <w:rPr>
                <w:sz w:val="18"/>
                <w:szCs w:val="18"/>
                <w:u w:val="single"/>
              </w:rPr>
              <w:t>U-0.31</w:t>
            </w:r>
          </w:p>
        </w:tc>
        <w:tc>
          <w:tcPr>
            <w:tcW w:w="1440" w:type="dxa"/>
            <w:vAlign w:val="center"/>
          </w:tcPr>
          <w:p w14:paraId="165AB069" w14:textId="77777777" w:rsidR="00DB1AEE" w:rsidRPr="00DB1AEE" w:rsidRDefault="00DB1AEE" w:rsidP="00DB1AEE">
            <w:pPr>
              <w:suppressAutoHyphens/>
              <w:jc w:val="center"/>
              <w:rPr>
                <w:sz w:val="18"/>
                <w:szCs w:val="18"/>
                <w:u w:val="single"/>
              </w:rPr>
            </w:pPr>
            <w:r w:rsidRPr="00DB1AEE">
              <w:rPr>
                <w:sz w:val="18"/>
                <w:szCs w:val="18"/>
                <w:u w:val="single"/>
              </w:rPr>
              <w:t>U-0.31</w:t>
            </w:r>
          </w:p>
        </w:tc>
      </w:tr>
    </w:tbl>
    <w:p w14:paraId="7E5385B7" w14:textId="77777777" w:rsidR="00DB1AEE" w:rsidRPr="00DB1AEE" w:rsidRDefault="00DB1AEE" w:rsidP="00DB1AEE">
      <w:pPr>
        <w:widowControl w:val="0"/>
        <w:autoSpaceDE w:val="0"/>
        <w:autoSpaceDN w:val="0"/>
        <w:adjustRightInd w:val="0"/>
        <w:rPr>
          <w:iCs/>
          <w:szCs w:val="24"/>
          <w:u w:val="single"/>
        </w:rPr>
      </w:pPr>
      <w:r w:rsidRPr="00DB1AEE">
        <w:rPr>
          <w:iCs/>
          <w:szCs w:val="24"/>
          <w:u w:val="single"/>
        </w:rPr>
        <w:t>For SI: 1 pound per square foot = 4.88 kg/m2, 1 pound per cubic foot = 16 kg/m3.</w:t>
      </w:r>
    </w:p>
    <w:p w14:paraId="653DB36A" w14:textId="77777777" w:rsidR="00DB1AEE" w:rsidRPr="00DB1AEE" w:rsidRDefault="00DB1AEE" w:rsidP="00DB1AEE">
      <w:pPr>
        <w:widowControl w:val="0"/>
        <w:autoSpaceDE w:val="0"/>
        <w:autoSpaceDN w:val="0"/>
        <w:adjustRightInd w:val="0"/>
        <w:ind w:left="288" w:hanging="288"/>
        <w:rPr>
          <w:iCs/>
          <w:szCs w:val="24"/>
          <w:u w:val="single"/>
        </w:rPr>
      </w:pPr>
      <w:r w:rsidRPr="00DB1AEE">
        <w:rPr>
          <w:iCs/>
          <w:szCs w:val="24"/>
          <w:u w:val="single"/>
        </w:rPr>
        <w:t>a.</w:t>
      </w:r>
      <w:r w:rsidRPr="00DB1AEE">
        <w:rPr>
          <w:iCs/>
          <w:szCs w:val="24"/>
          <w:u w:val="single"/>
        </w:rPr>
        <w:tab/>
        <w:t xml:space="preserve">Where assembly U-factors, C-factors and F-factors are established in 2025 NYC ASHRAE 90.1, such opaque assemblies shall be a compliance alternative where those values meet the criteria of this table, provided that the construction, excluding the cladding system on walls, complies with the appropriate construction details from 2025 NYC ASHRAE 90.1.  </w:t>
      </w:r>
    </w:p>
    <w:p w14:paraId="0B18E61E" w14:textId="77777777" w:rsidR="00DB1AEE" w:rsidRPr="00DB1AEE" w:rsidRDefault="00DB1AEE" w:rsidP="00DB1AEE">
      <w:pPr>
        <w:widowControl w:val="0"/>
        <w:autoSpaceDE w:val="0"/>
        <w:autoSpaceDN w:val="0"/>
        <w:adjustRightInd w:val="0"/>
        <w:ind w:left="288" w:hanging="288"/>
        <w:rPr>
          <w:iCs/>
          <w:szCs w:val="24"/>
          <w:u w:val="single"/>
        </w:rPr>
      </w:pPr>
      <w:r w:rsidRPr="00DB1AEE">
        <w:rPr>
          <w:iCs/>
          <w:szCs w:val="24"/>
          <w:u w:val="single"/>
        </w:rPr>
        <w:t>b.</w:t>
      </w:r>
      <w:r w:rsidRPr="00DB1AEE">
        <w:rPr>
          <w:iCs/>
          <w:szCs w:val="24"/>
          <w:u w:val="single"/>
        </w:rPr>
        <w:tab/>
        <w:t xml:space="preserve">Where U-factors have been established by testing in accordance with ASTM C1363, such opaque assemblies shall be a compliance alternative where those values meet the criteria of this table. The R-value of continuous insulation shall be permitted to be added to or subtracted from the original tested design.  </w:t>
      </w:r>
    </w:p>
    <w:p w14:paraId="5540C2FF" w14:textId="77777777" w:rsidR="00DB1AEE" w:rsidRPr="00DB1AEE" w:rsidRDefault="00DB1AEE" w:rsidP="00DB1AEE">
      <w:pPr>
        <w:widowControl w:val="0"/>
        <w:autoSpaceDE w:val="0"/>
        <w:autoSpaceDN w:val="0"/>
        <w:adjustRightInd w:val="0"/>
        <w:ind w:left="288" w:hanging="288"/>
        <w:rPr>
          <w:iCs/>
          <w:szCs w:val="24"/>
          <w:u w:val="single"/>
        </w:rPr>
      </w:pPr>
      <w:r w:rsidRPr="00DB1AEE">
        <w:rPr>
          <w:iCs/>
          <w:szCs w:val="24"/>
          <w:u w:val="single"/>
        </w:rPr>
        <w:t>c.</w:t>
      </w:r>
      <w:r w:rsidRPr="00DB1AEE">
        <w:rPr>
          <w:iCs/>
          <w:szCs w:val="24"/>
          <w:u w:val="single"/>
        </w:rPr>
        <w:tab/>
        <w:t xml:space="preserve">Where heated slabs are below grade, below-grade walls shall comply with the U-factor requirements for above-grade mass walls. </w:t>
      </w:r>
    </w:p>
    <w:p w14:paraId="30859006" w14:textId="77777777" w:rsidR="00DB1AEE" w:rsidRPr="00DB1AEE" w:rsidRDefault="00DB1AEE" w:rsidP="00DB1AEE">
      <w:pPr>
        <w:widowControl w:val="0"/>
        <w:autoSpaceDE w:val="0"/>
        <w:autoSpaceDN w:val="0"/>
        <w:adjustRightInd w:val="0"/>
        <w:ind w:left="288" w:hanging="288"/>
        <w:rPr>
          <w:iCs/>
          <w:szCs w:val="24"/>
          <w:u w:val="single"/>
        </w:rPr>
      </w:pPr>
      <w:r w:rsidRPr="00DB1AEE">
        <w:rPr>
          <w:iCs/>
          <w:szCs w:val="24"/>
          <w:u w:val="single"/>
        </w:rPr>
        <w:t>d.</w:t>
      </w:r>
      <w:r w:rsidRPr="00DB1AEE">
        <w:rPr>
          <w:iCs/>
          <w:szCs w:val="24"/>
          <w:u w:val="single"/>
        </w:rPr>
        <w:tab/>
        <w:t>“Mass floors” shall be in accordance with Section C402.1.3.4.</w:t>
      </w:r>
    </w:p>
    <w:p w14:paraId="0EF2F26D" w14:textId="77777777" w:rsidR="00DB1AEE" w:rsidRPr="00DB1AEE" w:rsidRDefault="00DB1AEE" w:rsidP="00DB1AEE">
      <w:pPr>
        <w:widowControl w:val="0"/>
        <w:autoSpaceDE w:val="0"/>
        <w:autoSpaceDN w:val="0"/>
        <w:adjustRightInd w:val="0"/>
        <w:ind w:left="288" w:hanging="288"/>
        <w:rPr>
          <w:iCs/>
          <w:szCs w:val="24"/>
          <w:u w:val="single"/>
        </w:rPr>
      </w:pPr>
      <w:r w:rsidRPr="00DB1AEE">
        <w:rPr>
          <w:iCs/>
          <w:szCs w:val="24"/>
          <w:u w:val="single"/>
        </w:rPr>
        <w:t>e.</w:t>
      </w:r>
      <w:r w:rsidRPr="00DB1AEE">
        <w:rPr>
          <w:iCs/>
          <w:szCs w:val="24"/>
          <w:u w:val="single"/>
        </w:rPr>
        <w:tab/>
        <w:t xml:space="preserve">Reserved.  </w:t>
      </w:r>
    </w:p>
    <w:p w14:paraId="194AF493" w14:textId="77777777" w:rsidR="00DB1AEE" w:rsidRPr="00DB1AEE" w:rsidRDefault="00DB1AEE" w:rsidP="00DB1AEE">
      <w:pPr>
        <w:widowControl w:val="0"/>
        <w:autoSpaceDE w:val="0"/>
        <w:autoSpaceDN w:val="0"/>
        <w:adjustRightInd w:val="0"/>
        <w:ind w:left="288" w:hanging="288"/>
        <w:rPr>
          <w:iCs/>
          <w:szCs w:val="24"/>
          <w:u w:val="single"/>
        </w:rPr>
      </w:pPr>
      <w:r w:rsidRPr="00DB1AEE">
        <w:rPr>
          <w:iCs/>
          <w:szCs w:val="24"/>
          <w:u w:val="single"/>
        </w:rPr>
        <w:t>f.</w:t>
      </w:r>
      <w:r w:rsidRPr="00DB1AEE">
        <w:rPr>
          <w:iCs/>
          <w:szCs w:val="24"/>
          <w:u w:val="single"/>
        </w:rPr>
        <w:tab/>
        <w:t xml:space="preserve"> Mass walls” shall be in accordance with Section C402.1.3.4.</w:t>
      </w:r>
    </w:p>
    <w:p w14:paraId="6B956EFC" w14:textId="77777777" w:rsidR="00DB1AEE" w:rsidRPr="00DB1AEE" w:rsidRDefault="00DB1AEE" w:rsidP="00DB1AEE">
      <w:pPr>
        <w:widowControl w:val="0"/>
        <w:autoSpaceDE w:val="0"/>
        <w:autoSpaceDN w:val="0"/>
        <w:adjustRightInd w:val="0"/>
        <w:ind w:left="288" w:hanging="288"/>
        <w:rPr>
          <w:iCs/>
          <w:szCs w:val="24"/>
          <w:u w:val="single"/>
        </w:rPr>
      </w:pPr>
      <w:r w:rsidRPr="00DB1AEE">
        <w:rPr>
          <w:iCs/>
          <w:szCs w:val="24"/>
          <w:u w:val="single"/>
        </w:rPr>
        <w:t>g.</w:t>
      </w:r>
      <w:r w:rsidRPr="00DB1AEE">
        <w:rPr>
          <w:iCs/>
          <w:szCs w:val="24"/>
          <w:u w:val="single"/>
        </w:rPr>
        <w:tab/>
        <w:t>Swinging door U-factors shall be determined in accordance with NFRC-100.</w:t>
      </w:r>
    </w:p>
    <w:p w14:paraId="5ECFB39A" w14:textId="77777777" w:rsidR="00DB1AEE" w:rsidRPr="00DB1AEE" w:rsidRDefault="00DB1AEE" w:rsidP="00DB1AEE">
      <w:pPr>
        <w:widowControl w:val="0"/>
        <w:autoSpaceDE w:val="0"/>
        <w:autoSpaceDN w:val="0"/>
        <w:adjustRightInd w:val="0"/>
        <w:ind w:left="288" w:hanging="288"/>
        <w:rPr>
          <w:iCs/>
          <w:szCs w:val="24"/>
          <w:u w:val="single"/>
        </w:rPr>
      </w:pPr>
      <w:r w:rsidRPr="00DB1AEE">
        <w:rPr>
          <w:iCs/>
          <w:szCs w:val="24"/>
          <w:u w:val="single"/>
        </w:rPr>
        <w:t>h.</w:t>
      </w:r>
      <w:r w:rsidRPr="00DB1AEE">
        <w:rPr>
          <w:iCs/>
          <w:szCs w:val="24"/>
          <w:u w:val="single"/>
        </w:rPr>
        <w:tab/>
        <w:t>Garage doors having a single row of fenestration shall have an assembly U-factor less than or equal to 0.44, provided that the fenestration area is not less than 14 percent and not more than 25 percent of the total door area.</w:t>
      </w:r>
    </w:p>
    <w:p w14:paraId="612A171A" w14:textId="77777777" w:rsidR="00DB1AEE" w:rsidRPr="00DB1AEE" w:rsidRDefault="00DB1AEE" w:rsidP="00DB1AEE">
      <w:pPr>
        <w:widowControl w:val="0"/>
        <w:autoSpaceDE w:val="0"/>
        <w:autoSpaceDN w:val="0"/>
        <w:adjustRightInd w:val="0"/>
        <w:ind w:left="288" w:hanging="288"/>
        <w:rPr>
          <w:iCs/>
          <w:szCs w:val="24"/>
          <w:u w:val="single"/>
        </w:rPr>
      </w:pPr>
      <w:r w:rsidRPr="00DB1AEE">
        <w:rPr>
          <w:iCs/>
          <w:szCs w:val="24"/>
          <w:u w:val="single"/>
        </w:rPr>
        <w:t>i.</w:t>
      </w:r>
      <w:r w:rsidRPr="00DB1AEE">
        <w:rPr>
          <w:iCs/>
          <w:szCs w:val="24"/>
          <w:u w:val="single"/>
        </w:rPr>
        <w:tab/>
        <w:t xml:space="preserve">This refers to cold-formed steel studs or joists at 16” or 24” on-center  </w:t>
      </w:r>
    </w:p>
    <w:p w14:paraId="26C51976" w14:textId="77777777" w:rsidR="00DB1AEE" w:rsidRPr="00DB1AEE" w:rsidRDefault="00DB1AEE" w:rsidP="00DB1AEE">
      <w:pPr>
        <w:suppressAutoHyphens/>
        <w:spacing w:before="130" w:after="130"/>
        <w:rPr>
          <w:rFonts w:eastAsia="MS Mincho"/>
          <w:b/>
          <w:bCs/>
          <w:szCs w:val="24"/>
          <w:u w:val="single"/>
        </w:rPr>
      </w:pPr>
      <w:r w:rsidRPr="00DB1AEE">
        <w:rPr>
          <w:rFonts w:eastAsia="MS Mincho"/>
          <w:b/>
          <w:bCs/>
          <w:szCs w:val="24"/>
          <w:u w:val="single"/>
        </w:rPr>
        <w:t>Section C402.1.2.1  Methods of determining U-, C- and F-factors.</w:t>
      </w:r>
    </w:p>
    <w:p w14:paraId="726E959C" w14:textId="77777777" w:rsidR="00DB1AEE" w:rsidRPr="00DB1AEE" w:rsidRDefault="00DB1AEE" w:rsidP="00DB1AEE">
      <w:pPr>
        <w:widowControl w:val="0"/>
        <w:suppressAutoHyphens/>
        <w:autoSpaceDE w:val="0"/>
        <w:autoSpaceDN w:val="0"/>
        <w:adjustRightInd w:val="0"/>
        <w:spacing w:before="130" w:after="130"/>
        <w:rPr>
          <w:bCs/>
          <w:szCs w:val="24"/>
          <w:u w:val="single"/>
        </w:rPr>
      </w:pPr>
      <w:r w:rsidRPr="00DB1AEE">
        <w:rPr>
          <w:bCs/>
          <w:szCs w:val="24"/>
          <w:u w:val="single"/>
        </w:rPr>
        <w:t>Section C402.1.2.1  - Revise Section C402.1.2.1  to read as follows:</w:t>
      </w:r>
    </w:p>
    <w:p w14:paraId="176E8865" w14:textId="77777777" w:rsidR="00DB1AEE" w:rsidRPr="00DB1AEE" w:rsidRDefault="00DB1AEE" w:rsidP="00DB1AEE">
      <w:pPr>
        <w:widowControl w:val="0"/>
        <w:autoSpaceDE w:val="0"/>
        <w:autoSpaceDN w:val="0"/>
        <w:adjustRightInd w:val="0"/>
        <w:spacing w:before="130" w:after="130"/>
        <w:ind w:left="360"/>
        <w:rPr>
          <w:b/>
          <w:bCs/>
          <w:iCs/>
          <w:szCs w:val="24"/>
          <w:u w:val="single"/>
        </w:rPr>
      </w:pPr>
      <w:r w:rsidRPr="00DB1AEE">
        <w:rPr>
          <w:b/>
          <w:bCs/>
          <w:u w:val="single"/>
        </w:rPr>
        <w:t xml:space="preserve">C402.1.2.1  Methods of determining U-, C- and F-factors.   </w:t>
      </w:r>
      <w:r w:rsidRPr="00DB1AEE">
        <w:rPr>
          <w:u w:val="single"/>
        </w:rPr>
        <w:t>Where assembly U-factors , C-factors and F-factors and calculation procedures are established in 2025 NYC ASHRAE 90.1 Appendix A for opaque assemblies, such opaque assemblies shall be a compliance alternative provided they meet the criteria of Table C402.1.2 and the construction, excluding cladding system on walls, complies with the applicable construction details from  2025 NYC ASHRAE 90.1 Appendix A.  Where U-factors have been established by testing in accordance with ASTM C1363, such opaque assemblies shall be a compliance alternative provided they meet the criteria of Table C402.1.4. The R-value of continuous insulation shall be permitted to be added to or subtracted from the original tested design  . Airspaces used for assembly evaluations shall comply with Section C402.2.7</w:t>
      </w:r>
      <w:r w:rsidRPr="00DB1AEE">
        <w:rPr>
          <w:b/>
          <w:bCs/>
          <w:u w:val="single"/>
        </w:rPr>
        <w:t>.</w:t>
      </w:r>
    </w:p>
    <w:p w14:paraId="067354F3" w14:textId="77777777" w:rsidR="00DB1AEE" w:rsidRPr="00DB1AEE" w:rsidRDefault="00DB1AEE" w:rsidP="00DB1AEE">
      <w:pPr>
        <w:suppressAutoHyphens/>
        <w:spacing w:before="130" w:after="130"/>
        <w:rPr>
          <w:rFonts w:eastAsia="MS Mincho"/>
          <w:b/>
          <w:bCs/>
          <w:szCs w:val="24"/>
          <w:u w:val="single"/>
        </w:rPr>
      </w:pPr>
      <w:r w:rsidRPr="00DB1AEE">
        <w:rPr>
          <w:rFonts w:eastAsia="MS Mincho"/>
          <w:b/>
          <w:bCs/>
          <w:szCs w:val="24"/>
          <w:u w:val="single"/>
        </w:rPr>
        <w:t>Section C402.1.2.1.6 Cold-formed steel assemblies.</w:t>
      </w:r>
    </w:p>
    <w:p w14:paraId="118EA1FB" w14:textId="77777777" w:rsidR="00DB1AEE" w:rsidRPr="00DB1AEE" w:rsidRDefault="00DB1AEE" w:rsidP="00DB1AEE">
      <w:pPr>
        <w:widowControl w:val="0"/>
        <w:suppressAutoHyphens/>
        <w:autoSpaceDE w:val="0"/>
        <w:autoSpaceDN w:val="0"/>
        <w:adjustRightInd w:val="0"/>
        <w:spacing w:before="130" w:after="130"/>
        <w:rPr>
          <w:bCs/>
          <w:szCs w:val="24"/>
          <w:u w:val="single"/>
        </w:rPr>
      </w:pPr>
      <w:r w:rsidRPr="00DB1AEE">
        <w:rPr>
          <w:bCs/>
          <w:szCs w:val="24"/>
          <w:u w:val="single"/>
        </w:rPr>
        <w:t>Section C402.1.2.1.6 - Revise Section C402.1.2.1.6 to read as follows:</w:t>
      </w:r>
    </w:p>
    <w:p w14:paraId="27E8DA66" w14:textId="77777777" w:rsidR="00DB1AEE" w:rsidRPr="00DB1AEE" w:rsidRDefault="00DB1AEE" w:rsidP="00DB1AEE">
      <w:pPr>
        <w:widowControl w:val="0"/>
        <w:autoSpaceDE w:val="0"/>
        <w:autoSpaceDN w:val="0"/>
        <w:adjustRightInd w:val="0"/>
        <w:spacing w:before="130" w:after="130"/>
        <w:ind w:left="360"/>
        <w:rPr>
          <w:b/>
          <w:bCs/>
          <w:iCs/>
          <w:szCs w:val="24"/>
          <w:u w:val="single"/>
        </w:rPr>
      </w:pPr>
      <w:r w:rsidRPr="00DB1AEE">
        <w:rPr>
          <w:b/>
          <w:bCs/>
          <w:iCs/>
          <w:szCs w:val="24"/>
          <w:u w:val="single"/>
        </w:rPr>
        <w:t xml:space="preserve">C402.1.2.1.6 Cold-formed steel assemblies. </w:t>
      </w:r>
      <w:r w:rsidRPr="00DB1AEE">
        <w:rPr>
          <w:iCs/>
          <w:szCs w:val="24"/>
          <w:u w:val="single"/>
        </w:rPr>
        <w:t>U-factors for building thermal envelopes containing cold-formed steel framed ceiling and walls shall be permitted to be determined in accordance with Table A3.3.3.1 in 2025 NYC ASHRAE 90.1. Where the steel-framed wall contains no cavity insulation and uses continuous insulation to satisfy the U-factor maximum, the steel-framed wall member spacing is permitted to be installed at any on-center spacing.</w:t>
      </w:r>
    </w:p>
    <w:p w14:paraId="2B0F4815" w14:textId="77777777" w:rsidR="00DB1AEE" w:rsidRPr="00DB1AEE" w:rsidRDefault="00DB1AEE" w:rsidP="00DB1AEE">
      <w:pPr>
        <w:suppressAutoHyphens/>
        <w:spacing w:before="130" w:after="130"/>
        <w:rPr>
          <w:rFonts w:eastAsia="MS Mincho"/>
          <w:b/>
          <w:bCs/>
          <w:u w:val="single"/>
        </w:rPr>
      </w:pPr>
      <w:r w:rsidRPr="00DB1AEE">
        <w:rPr>
          <w:rFonts w:eastAsia="MS Mincho"/>
          <w:b/>
          <w:bCs/>
          <w:u w:val="single"/>
        </w:rPr>
        <w:t>Section C402.1.2.1.7 Spandrel Panels.</w:t>
      </w:r>
    </w:p>
    <w:p w14:paraId="044D1CFB" w14:textId="77777777" w:rsidR="00DB1AEE" w:rsidRPr="00DB1AEE" w:rsidRDefault="00DB1AEE" w:rsidP="00DB1AEE">
      <w:pPr>
        <w:widowControl w:val="0"/>
        <w:suppressAutoHyphens/>
        <w:autoSpaceDE w:val="0"/>
        <w:autoSpaceDN w:val="0"/>
        <w:adjustRightInd w:val="0"/>
        <w:spacing w:before="130" w:after="130"/>
        <w:rPr>
          <w:bCs/>
          <w:szCs w:val="24"/>
          <w:u w:val="single"/>
        </w:rPr>
      </w:pPr>
      <w:r w:rsidRPr="00DB1AEE">
        <w:rPr>
          <w:bCs/>
          <w:szCs w:val="24"/>
          <w:u w:val="single"/>
        </w:rPr>
        <w:t>Section C402.1.2.1.7 - Revise Section C402.1.2.1.7 to read as follows:</w:t>
      </w:r>
    </w:p>
    <w:p w14:paraId="1D5D8A60" w14:textId="77777777" w:rsidR="00DB1AEE" w:rsidRPr="00DB1AEE" w:rsidRDefault="00DB1AEE" w:rsidP="00DB1AEE">
      <w:pPr>
        <w:widowControl w:val="0"/>
        <w:autoSpaceDE w:val="0"/>
        <w:autoSpaceDN w:val="0"/>
        <w:adjustRightInd w:val="0"/>
        <w:spacing w:before="130" w:after="130"/>
        <w:ind w:left="360"/>
        <w:rPr>
          <w:b/>
          <w:bCs/>
          <w:iCs/>
          <w:szCs w:val="24"/>
          <w:u w:val="single"/>
        </w:rPr>
      </w:pPr>
      <w:r w:rsidRPr="00DB1AEE">
        <w:rPr>
          <w:b/>
          <w:bCs/>
          <w:iCs/>
          <w:szCs w:val="24"/>
          <w:u w:val="single"/>
        </w:rPr>
        <w:t xml:space="preserve">C402.1.2.1.7 Spandrel Panels. </w:t>
      </w:r>
      <w:r w:rsidRPr="00DB1AEE">
        <w:rPr>
          <w:iCs/>
          <w:szCs w:val="24"/>
          <w:u w:val="single"/>
        </w:rPr>
        <w:t>U-factors of opaque assemblies within fenestration framing systems shall be determined in accordance with ASTM C1363, ANSI/NFRC 100, or the default values in Table C303.1.5.</w:t>
      </w:r>
      <w:r w:rsidRPr="00DB1AEE">
        <w:rPr>
          <w:b/>
          <w:bCs/>
          <w:iCs/>
          <w:szCs w:val="24"/>
          <w:u w:val="single"/>
        </w:rPr>
        <w:t xml:space="preserve">  </w:t>
      </w:r>
    </w:p>
    <w:p w14:paraId="28923967" w14:textId="77777777" w:rsidR="00DB1AEE" w:rsidRPr="00DB1AEE" w:rsidRDefault="00DB1AEE" w:rsidP="00DB1AEE">
      <w:pPr>
        <w:suppressAutoHyphens/>
        <w:spacing w:before="130" w:after="130"/>
        <w:rPr>
          <w:rFonts w:eastAsia="MS Mincho"/>
          <w:b/>
          <w:bCs/>
          <w:szCs w:val="24"/>
          <w:u w:val="single"/>
        </w:rPr>
      </w:pPr>
      <w:r w:rsidRPr="00DB1AEE">
        <w:rPr>
          <w:rFonts w:eastAsia="MS Mincho"/>
          <w:b/>
          <w:bCs/>
          <w:szCs w:val="24"/>
          <w:u w:val="single"/>
        </w:rPr>
        <w:t>Table C402.1.2.1.7 Effective U-Factors For Spandrel Panels</w:t>
      </w:r>
      <w:r w:rsidRPr="00DB1AEE">
        <w:rPr>
          <w:rFonts w:eastAsia="MS Mincho"/>
          <w:b/>
          <w:bCs/>
          <w:szCs w:val="24"/>
          <w:u w:val="single"/>
          <w:vertAlign w:val="superscript"/>
        </w:rPr>
        <w:t>a</w:t>
      </w:r>
      <w:r w:rsidRPr="00DB1AEE">
        <w:rPr>
          <w:rFonts w:eastAsia="MS Mincho"/>
          <w:b/>
          <w:bCs/>
          <w:szCs w:val="24"/>
          <w:u w:val="single"/>
        </w:rPr>
        <w:t>.</w:t>
      </w:r>
    </w:p>
    <w:p w14:paraId="0CB0E48F" w14:textId="77777777" w:rsidR="00DB1AEE" w:rsidRPr="00DB1AEE" w:rsidRDefault="00DB1AEE" w:rsidP="00DB1AEE">
      <w:pPr>
        <w:widowControl w:val="0"/>
        <w:suppressAutoHyphens/>
        <w:autoSpaceDE w:val="0"/>
        <w:autoSpaceDN w:val="0"/>
        <w:adjustRightInd w:val="0"/>
        <w:spacing w:before="130" w:after="130"/>
        <w:rPr>
          <w:u w:val="single"/>
        </w:rPr>
      </w:pPr>
      <w:r w:rsidRPr="00DB1AEE">
        <w:rPr>
          <w:u w:val="single"/>
        </w:rPr>
        <w:t>Table C402.1.2.1.7 - Delete Table C402.1.2.1.7 in its entirety.</w:t>
      </w:r>
    </w:p>
    <w:p w14:paraId="793D0801" w14:textId="77777777" w:rsidR="00DB1AEE" w:rsidRPr="00DB1AEE" w:rsidRDefault="00DB1AEE" w:rsidP="00DB1AEE">
      <w:pPr>
        <w:widowControl w:val="0"/>
        <w:autoSpaceDE w:val="0"/>
        <w:autoSpaceDN w:val="0"/>
        <w:adjustRightInd w:val="0"/>
        <w:spacing w:before="130" w:after="130"/>
        <w:rPr>
          <w:bCs/>
          <w:iCs/>
          <w:position w:val="16"/>
          <w:szCs w:val="24"/>
          <w:u w:val="single"/>
        </w:rPr>
      </w:pPr>
      <w:r w:rsidRPr="00DB1AEE">
        <w:rPr>
          <w:b/>
          <w:bCs/>
          <w:iCs/>
          <w:szCs w:val="24"/>
          <w:u w:val="single"/>
        </w:rPr>
        <w:t>Table C402.1.3 Opaque Building Thermal Envelope Insulation Component Minimum Requirements, R-Value Method</w:t>
      </w:r>
      <w:r w:rsidRPr="00DB1AEE">
        <w:rPr>
          <w:b/>
          <w:bCs/>
          <w:iCs/>
          <w:szCs w:val="24"/>
          <w:u w:val="single"/>
          <w:vertAlign w:val="superscript"/>
        </w:rPr>
        <w:t>a</w:t>
      </w:r>
    </w:p>
    <w:p w14:paraId="35690833" w14:textId="77777777" w:rsidR="00DB1AEE" w:rsidRPr="00DB1AEE" w:rsidRDefault="00DB1AEE" w:rsidP="00DB1AEE">
      <w:pPr>
        <w:suppressAutoHyphens/>
        <w:spacing w:before="130" w:after="130"/>
        <w:rPr>
          <w:rFonts w:eastAsia="MS Mincho"/>
          <w:bCs/>
          <w:szCs w:val="24"/>
          <w:u w:val="single"/>
        </w:rPr>
      </w:pPr>
      <w:r w:rsidRPr="00DB1AEE">
        <w:rPr>
          <w:rFonts w:eastAsia="MS Mincho"/>
          <w:bCs/>
          <w:szCs w:val="24"/>
          <w:u w:val="single"/>
        </w:rPr>
        <w:t>Revise Table C402.1.3 to read as follows:</w:t>
      </w:r>
    </w:p>
    <w:p w14:paraId="196C4D7E" w14:textId="77777777" w:rsidR="00DB1AEE" w:rsidRPr="00DB1AEE" w:rsidRDefault="00DB1AEE" w:rsidP="00DB1AEE">
      <w:pPr>
        <w:keepNext/>
        <w:pBdr>
          <w:top w:val="nil"/>
          <w:left w:val="nil"/>
          <w:bottom w:val="nil"/>
          <w:right w:val="nil"/>
          <w:between w:val="nil"/>
        </w:pBdr>
        <w:suppressAutoHyphens/>
        <w:jc w:val="center"/>
        <w:rPr>
          <w:b/>
          <w:szCs w:val="24"/>
          <w:u w:val="single"/>
        </w:rPr>
      </w:pPr>
      <w:r w:rsidRPr="00DB1AEE">
        <w:rPr>
          <w:b/>
          <w:szCs w:val="24"/>
          <w:u w:val="single"/>
        </w:rPr>
        <w:t>TABLE C402.1.3</w:t>
      </w:r>
    </w:p>
    <w:p w14:paraId="6AE5A0C1" w14:textId="77777777" w:rsidR="00DB1AEE" w:rsidRPr="00DB1AEE" w:rsidRDefault="00DB1AEE" w:rsidP="00DB1AEE">
      <w:pPr>
        <w:pBdr>
          <w:top w:val="nil"/>
          <w:left w:val="nil"/>
          <w:bottom w:val="nil"/>
          <w:right w:val="nil"/>
          <w:between w:val="nil"/>
        </w:pBdr>
        <w:suppressAutoHyphens/>
        <w:jc w:val="center"/>
        <w:rPr>
          <w:b/>
          <w:szCs w:val="24"/>
          <w:u w:val="single"/>
        </w:rPr>
      </w:pPr>
      <w:r w:rsidRPr="00DB1AEE">
        <w:rPr>
          <w:b/>
          <w:szCs w:val="24"/>
          <w:u w:val="single"/>
        </w:rPr>
        <w:t xml:space="preserve">OPAQUE BUILDING THERMAL ENVELOPE INSULATION COMPONENT MINIMUM REQUIREMENTS, </w:t>
      </w:r>
      <w:r w:rsidRPr="00DB1AEE">
        <w:rPr>
          <w:b/>
          <w:i/>
          <w:szCs w:val="24"/>
          <w:u w:val="single"/>
        </w:rPr>
        <w:t>R</w:t>
      </w:r>
      <w:r w:rsidRPr="00DB1AEE">
        <w:rPr>
          <w:b/>
          <w:szCs w:val="24"/>
          <w:u w:val="single"/>
        </w:rPr>
        <w:t>-VALUE METHOD</w:t>
      </w:r>
      <w:r w:rsidRPr="00DB1AEE">
        <w:rPr>
          <w:b/>
          <w:szCs w:val="24"/>
          <w:u w:val="single"/>
          <w:vertAlign w:val="superscript"/>
        </w:rPr>
        <w:t>a</w:t>
      </w:r>
    </w:p>
    <w:tbl>
      <w:tblPr>
        <w:tblW w:w="100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40"/>
        <w:gridCol w:w="1440"/>
        <w:gridCol w:w="1440"/>
        <w:gridCol w:w="1440"/>
        <w:gridCol w:w="1440"/>
        <w:gridCol w:w="1440"/>
        <w:gridCol w:w="1440"/>
      </w:tblGrid>
      <w:tr w:rsidR="00DB1AEE" w:rsidRPr="00DB1AEE" w14:paraId="35CE8459" w14:textId="77777777" w:rsidTr="00FC1832">
        <w:trPr>
          <w:trHeight w:val="287"/>
          <w:jc w:val="center"/>
        </w:trPr>
        <w:tc>
          <w:tcPr>
            <w:tcW w:w="1440" w:type="dxa"/>
            <w:vMerge w:val="restart"/>
            <w:vAlign w:val="center"/>
          </w:tcPr>
          <w:p w14:paraId="0654FEFB" w14:textId="77777777" w:rsidR="00DB1AEE" w:rsidRPr="00DB1AEE" w:rsidRDefault="00DB1AEE" w:rsidP="00DB1AEE">
            <w:pPr>
              <w:suppressAutoHyphens/>
              <w:jc w:val="center"/>
              <w:rPr>
                <w:sz w:val="18"/>
                <w:szCs w:val="18"/>
                <w:u w:val="single"/>
              </w:rPr>
            </w:pPr>
            <w:r w:rsidRPr="00DB1AEE">
              <w:rPr>
                <w:b/>
                <w:sz w:val="18"/>
                <w:szCs w:val="18"/>
                <w:u w:val="single"/>
              </w:rPr>
              <w:t>CLIMATE ZONE</w:t>
            </w:r>
          </w:p>
        </w:tc>
        <w:tc>
          <w:tcPr>
            <w:tcW w:w="2880" w:type="dxa"/>
            <w:gridSpan w:val="2"/>
            <w:vAlign w:val="center"/>
          </w:tcPr>
          <w:p w14:paraId="05C6A832" w14:textId="77777777" w:rsidR="00DB1AEE" w:rsidRPr="00DB1AEE" w:rsidRDefault="00DB1AEE" w:rsidP="00DB1AEE">
            <w:pPr>
              <w:widowControl w:val="0"/>
              <w:pBdr>
                <w:top w:val="nil"/>
                <w:left w:val="nil"/>
                <w:bottom w:val="nil"/>
                <w:right w:val="nil"/>
                <w:between w:val="nil"/>
              </w:pBdr>
              <w:suppressAutoHyphens/>
              <w:spacing w:before="17"/>
              <w:ind w:left="55" w:right="45"/>
              <w:jc w:val="center"/>
              <w:rPr>
                <w:b/>
                <w:sz w:val="18"/>
                <w:szCs w:val="18"/>
                <w:u w:val="single"/>
              </w:rPr>
            </w:pPr>
            <w:r w:rsidRPr="00DB1AEE">
              <w:rPr>
                <w:b/>
                <w:sz w:val="18"/>
                <w:szCs w:val="18"/>
                <w:u w:val="single"/>
              </w:rPr>
              <w:t>4</w:t>
            </w:r>
          </w:p>
        </w:tc>
        <w:tc>
          <w:tcPr>
            <w:tcW w:w="2880" w:type="dxa"/>
            <w:gridSpan w:val="2"/>
            <w:vAlign w:val="center"/>
          </w:tcPr>
          <w:p w14:paraId="312F44CE" w14:textId="77777777" w:rsidR="00DB1AEE" w:rsidRPr="00DB1AEE" w:rsidRDefault="00DB1AEE" w:rsidP="00DB1AEE">
            <w:pPr>
              <w:widowControl w:val="0"/>
              <w:pBdr>
                <w:top w:val="nil"/>
                <w:left w:val="nil"/>
                <w:bottom w:val="nil"/>
                <w:right w:val="nil"/>
                <w:between w:val="nil"/>
              </w:pBdr>
              <w:suppressAutoHyphens/>
              <w:spacing w:before="17"/>
              <w:ind w:left="55" w:right="45"/>
              <w:jc w:val="center"/>
              <w:rPr>
                <w:b/>
                <w:sz w:val="18"/>
                <w:szCs w:val="18"/>
                <w:u w:val="single"/>
              </w:rPr>
            </w:pPr>
            <w:r w:rsidRPr="00DB1AEE">
              <w:rPr>
                <w:b/>
                <w:sz w:val="18"/>
                <w:szCs w:val="18"/>
                <w:u w:val="single"/>
              </w:rPr>
              <w:t>5</w:t>
            </w:r>
          </w:p>
        </w:tc>
        <w:tc>
          <w:tcPr>
            <w:tcW w:w="2880" w:type="dxa"/>
            <w:gridSpan w:val="2"/>
            <w:vAlign w:val="center"/>
          </w:tcPr>
          <w:p w14:paraId="7D6F66FA" w14:textId="77777777" w:rsidR="00DB1AEE" w:rsidRPr="00DB1AEE" w:rsidRDefault="00DB1AEE" w:rsidP="00DB1AEE">
            <w:pPr>
              <w:widowControl w:val="0"/>
              <w:pBdr>
                <w:top w:val="nil"/>
                <w:left w:val="nil"/>
                <w:bottom w:val="nil"/>
                <w:right w:val="nil"/>
                <w:between w:val="nil"/>
              </w:pBdr>
              <w:suppressAutoHyphens/>
              <w:spacing w:before="17"/>
              <w:ind w:left="55" w:right="45"/>
              <w:jc w:val="center"/>
              <w:rPr>
                <w:b/>
                <w:sz w:val="18"/>
                <w:szCs w:val="18"/>
                <w:u w:val="single"/>
              </w:rPr>
            </w:pPr>
            <w:r w:rsidRPr="00DB1AEE">
              <w:rPr>
                <w:b/>
                <w:sz w:val="18"/>
                <w:szCs w:val="18"/>
                <w:u w:val="single"/>
              </w:rPr>
              <w:t>6</w:t>
            </w:r>
          </w:p>
        </w:tc>
      </w:tr>
      <w:tr w:rsidR="00DB1AEE" w:rsidRPr="00DB1AEE" w14:paraId="391AC2DD" w14:textId="77777777" w:rsidTr="00FC1832">
        <w:trPr>
          <w:trHeight w:val="287"/>
          <w:jc w:val="center"/>
        </w:trPr>
        <w:tc>
          <w:tcPr>
            <w:tcW w:w="1440" w:type="dxa"/>
            <w:vMerge/>
            <w:vAlign w:val="center"/>
          </w:tcPr>
          <w:p w14:paraId="4EB82A2A" w14:textId="77777777" w:rsidR="00DB1AEE" w:rsidRPr="00DB1AEE" w:rsidRDefault="00DB1AEE" w:rsidP="00DB1AEE">
            <w:pPr>
              <w:suppressAutoHyphens/>
              <w:jc w:val="center"/>
              <w:rPr>
                <w:sz w:val="18"/>
                <w:szCs w:val="18"/>
                <w:u w:val="single"/>
              </w:rPr>
            </w:pPr>
          </w:p>
        </w:tc>
        <w:tc>
          <w:tcPr>
            <w:tcW w:w="1440" w:type="dxa"/>
            <w:vAlign w:val="center"/>
          </w:tcPr>
          <w:p w14:paraId="0A367350" w14:textId="77777777" w:rsidR="00DB1AEE" w:rsidRPr="00DB1AEE" w:rsidRDefault="00DB1AEE" w:rsidP="00DB1AEE">
            <w:pPr>
              <w:widowControl w:val="0"/>
              <w:pBdr>
                <w:top w:val="nil"/>
                <w:left w:val="nil"/>
                <w:bottom w:val="nil"/>
                <w:right w:val="nil"/>
                <w:between w:val="nil"/>
              </w:pBdr>
              <w:suppressAutoHyphens/>
              <w:spacing w:before="17"/>
              <w:ind w:left="56" w:right="48"/>
              <w:jc w:val="center"/>
              <w:rPr>
                <w:b/>
                <w:sz w:val="18"/>
                <w:szCs w:val="18"/>
                <w:u w:val="single"/>
              </w:rPr>
            </w:pPr>
            <w:r w:rsidRPr="00DB1AEE">
              <w:rPr>
                <w:b/>
                <w:sz w:val="18"/>
                <w:szCs w:val="18"/>
                <w:u w:val="single"/>
              </w:rPr>
              <w:t>All other</w:t>
            </w:r>
          </w:p>
        </w:tc>
        <w:tc>
          <w:tcPr>
            <w:tcW w:w="1440" w:type="dxa"/>
            <w:vAlign w:val="center"/>
          </w:tcPr>
          <w:p w14:paraId="65F286AC" w14:textId="77777777" w:rsidR="00DB1AEE" w:rsidRPr="00DB1AEE" w:rsidRDefault="00DB1AEE" w:rsidP="00DB1AEE">
            <w:pPr>
              <w:widowControl w:val="0"/>
              <w:pBdr>
                <w:top w:val="nil"/>
                <w:left w:val="nil"/>
                <w:bottom w:val="nil"/>
                <w:right w:val="nil"/>
                <w:between w:val="nil"/>
              </w:pBdr>
              <w:suppressAutoHyphens/>
              <w:spacing w:before="17"/>
              <w:ind w:left="55" w:right="45"/>
              <w:jc w:val="center"/>
              <w:rPr>
                <w:b/>
                <w:sz w:val="18"/>
                <w:szCs w:val="18"/>
                <w:u w:val="single"/>
              </w:rPr>
            </w:pPr>
            <w:r w:rsidRPr="00DB1AEE">
              <w:rPr>
                <w:b/>
                <w:sz w:val="18"/>
                <w:szCs w:val="18"/>
                <w:u w:val="single"/>
              </w:rPr>
              <w:t>Group R</w:t>
            </w:r>
          </w:p>
        </w:tc>
        <w:tc>
          <w:tcPr>
            <w:tcW w:w="1440" w:type="dxa"/>
            <w:vAlign w:val="center"/>
          </w:tcPr>
          <w:p w14:paraId="242560AF" w14:textId="77777777" w:rsidR="00DB1AEE" w:rsidRPr="00DB1AEE" w:rsidRDefault="00DB1AEE" w:rsidP="00DB1AEE">
            <w:pPr>
              <w:widowControl w:val="0"/>
              <w:pBdr>
                <w:top w:val="nil"/>
                <w:left w:val="nil"/>
                <w:bottom w:val="nil"/>
                <w:right w:val="nil"/>
                <w:between w:val="nil"/>
              </w:pBdr>
              <w:suppressAutoHyphens/>
              <w:spacing w:before="17"/>
              <w:ind w:left="55" w:right="45"/>
              <w:jc w:val="center"/>
              <w:rPr>
                <w:b/>
                <w:sz w:val="18"/>
                <w:szCs w:val="18"/>
                <w:u w:val="single"/>
              </w:rPr>
            </w:pPr>
            <w:r w:rsidRPr="00DB1AEE">
              <w:rPr>
                <w:b/>
                <w:sz w:val="18"/>
                <w:szCs w:val="18"/>
                <w:u w:val="single"/>
              </w:rPr>
              <w:t>All other</w:t>
            </w:r>
          </w:p>
        </w:tc>
        <w:tc>
          <w:tcPr>
            <w:tcW w:w="1440" w:type="dxa"/>
            <w:vAlign w:val="center"/>
          </w:tcPr>
          <w:p w14:paraId="48FAD824" w14:textId="77777777" w:rsidR="00DB1AEE" w:rsidRPr="00DB1AEE" w:rsidRDefault="00DB1AEE" w:rsidP="00DB1AEE">
            <w:pPr>
              <w:widowControl w:val="0"/>
              <w:pBdr>
                <w:top w:val="nil"/>
                <w:left w:val="nil"/>
                <w:bottom w:val="nil"/>
                <w:right w:val="nil"/>
                <w:between w:val="nil"/>
              </w:pBdr>
              <w:suppressAutoHyphens/>
              <w:spacing w:before="17"/>
              <w:ind w:left="55" w:right="45"/>
              <w:jc w:val="center"/>
              <w:rPr>
                <w:b/>
                <w:sz w:val="18"/>
                <w:szCs w:val="18"/>
                <w:u w:val="single"/>
              </w:rPr>
            </w:pPr>
            <w:r w:rsidRPr="00DB1AEE">
              <w:rPr>
                <w:b/>
                <w:sz w:val="18"/>
                <w:szCs w:val="18"/>
                <w:u w:val="single"/>
              </w:rPr>
              <w:t>Group R</w:t>
            </w:r>
          </w:p>
        </w:tc>
        <w:tc>
          <w:tcPr>
            <w:tcW w:w="1440" w:type="dxa"/>
            <w:vAlign w:val="center"/>
          </w:tcPr>
          <w:p w14:paraId="5A42AA41" w14:textId="77777777" w:rsidR="00DB1AEE" w:rsidRPr="00DB1AEE" w:rsidRDefault="00DB1AEE" w:rsidP="00DB1AEE">
            <w:pPr>
              <w:widowControl w:val="0"/>
              <w:pBdr>
                <w:top w:val="nil"/>
                <w:left w:val="nil"/>
                <w:bottom w:val="nil"/>
                <w:right w:val="nil"/>
                <w:between w:val="nil"/>
              </w:pBdr>
              <w:suppressAutoHyphens/>
              <w:spacing w:before="17"/>
              <w:ind w:left="55" w:right="45"/>
              <w:jc w:val="center"/>
              <w:rPr>
                <w:b/>
                <w:sz w:val="18"/>
                <w:szCs w:val="18"/>
                <w:u w:val="single"/>
              </w:rPr>
            </w:pPr>
            <w:r w:rsidRPr="00DB1AEE">
              <w:rPr>
                <w:b/>
                <w:sz w:val="18"/>
                <w:szCs w:val="18"/>
                <w:u w:val="single"/>
              </w:rPr>
              <w:t>All other</w:t>
            </w:r>
          </w:p>
        </w:tc>
        <w:tc>
          <w:tcPr>
            <w:tcW w:w="1440" w:type="dxa"/>
            <w:vAlign w:val="center"/>
          </w:tcPr>
          <w:p w14:paraId="4A8A5CE6" w14:textId="77777777" w:rsidR="00DB1AEE" w:rsidRPr="00DB1AEE" w:rsidRDefault="00DB1AEE" w:rsidP="00DB1AEE">
            <w:pPr>
              <w:widowControl w:val="0"/>
              <w:pBdr>
                <w:top w:val="nil"/>
                <w:left w:val="nil"/>
                <w:bottom w:val="nil"/>
                <w:right w:val="nil"/>
                <w:between w:val="nil"/>
              </w:pBdr>
              <w:suppressAutoHyphens/>
              <w:spacing w:before="17"/>
              <w:ind w:left="55" w:right="45"/>
              <w:jc w:val="center"/>
              <w:rPr>
                <w:b/>
                <w:sz w:val="18"/>
                <w:szCs w:val="18"/>
                <w:u w:val="single"/>
              </w:rPr>
            </w:pPr>
            <w:r w:rsidRPr="00DB1AEE">
              <w:rPr>
                <w:b/>
                <w:sz w:val="18"/>
                <w:szCs w:val="18"/>
                <w:u w:val="single"/>
              </w:rPr>
              <w:t>Group R</w:t>
            </w:r>
          </w:p>
        </w:tc>
      </w:tr>
      <w:tr w:rsidR="00DB1AEE" w:rsidRPr="00DB1AEE" w14:paraId="23160432" w14:textId="77777777" w:rsidTr="00FC1832">
        <w:trPr>
          <w:trHeight w:val="161"/>
          <w:jc w:val="center"/>
        </w:trPr>
        <w:tc>
          <w:tcPr>
            <w:tcW w:w="10080" w:type="dxa"/>
            <w:gridSpan w:val="7"/>
            <w:tcBorders>
              <w:top w:val="single" w:sz="4" w:space="0" w:color="000000"/>
              <w:left w:val="single" w:sz="4" w:space="0" w:color="000000"/>
              <w:bottom w:val="single" w:sz="4" w:space="0" w:color="000000"/>
              <w:right w:val="single" w:sz="4" w:space="0" w:color="000000"/>
            </w:tcBorders>
            <w:vAlign w:val="center"/>
          </w:tcPr>
          <w:p w14:paraId="52B273EC" w14:textId="77777777" w:rsidR="00DB1AEE" w:rsidRPr="00DB1AEE" w:rsidRDefault="00DB1AEE" w:rsidP="00DB1AEE">
            <w:pPr>
              <w:widowControl w:val="0"/>
              <w:pBdr>
                <w:top w:val="nil"/>
                <w:left w:val="nil"/>
                <w:bottom w:val="nil"/>
                <w:right w:val="nil"/>
                <w:between w:val="nil"/>
              </w:pBdr>
              <w:suppressAutoHyphens/>
              <w:ind w:left="58" w:right="43"/>
              <w:jc w:val="center"/>
              <w:rPr>
                <w:strike/>
                <w:sz w:val="18"/>
                <w:szCs w:val="18"/>
                <w:u w:val="single"/>
              </w:rPr>
            </w:pPr>
            <w:r w:rsidRPr="00DB1AEE">
              <w:rPr>
                <w:b/>
                <w:sz w:val="18"/>
                <w:szCs w:val="18"/>
                <w:u w:val="single"/>
              </w:rPr>
              <w:t>Roofs</w:t>
            </w:r>
          </w:p>
        </w:tc>
      </w:tr>
      <w:tr w:rsidR="00DB1AEE" w:rsidRPr="00DB1AEE" w14:paraId="6042291B" w14:textId="77777777" w:rsidTr="00FC1832">
        <w:trPr>
          <w:trHeight w:val="472"/>
          <w:jc w:val="center"/>
        </w:trPr>
        <w:tc>
          <w:tcPr>
            <w:tcW w:w="1440" w:type="dxa"/>
            <w:tcBorders>
              <w:top w:val="single" w:sz="4" w:space="0" w:color="000000"/>
              <w:left w:val="single" w:sz="4" w:space="0" w:color="000000"/>
              <w:bottom w:val="single" w:sz="4" w:space="0" w:color="000000"/>
              <w:right w:val="single" w:sz="4" w:space="0" w:color="000000"/>
            </w:tcBorders>
            <w:vAlign w:val="center"/>
          </w:tcPr>
          <w:p w14:paraId="1EABB561" w14:textId="77777777" w:rsidR="00DB1AEE" w:rsidRPr="00DB1AEE" w:rsidRDefault="00DB1AEE" w:rsidP="00DB1AEE">
            <w:pPr>
              <w:widowControl w:val="0"/>
              <w:pBdr>
                <w:top w:val="nil"/>
                <w:left w:val="nil"/>
                <w:bottom w:val="nil"/>
                <w:right w:val="nil"/>
                <w:between w:val="nil"/>
              </w:pBdr>
              <w:suppressAutoHyphens/>
              <w:spacing w:before="12" w:line="232" w:lineRule="auto"/>
              <w:ind w:left="83" w:right="122"/>
              <w:jc w:val="center"/>
              <w:rPr>
                <w:sz w:val="18"/>
                <w:szCs w:val="18"/>
                <w:u w:val="single"/>
              </w:rPr>
            </w:pPr>
            <w:r w:rsidRPr="00DB1AEE">
              <w:rPr>
                <w:sz w:val="18"/>
                <w:szCs w:val="18"/>
                <w:u w:val="single"/>
              </w:rPr>
              <w:t>Insulation entirely above roof deck</w:t>
            </w:r>
          </w:p>
        </w:tc>
        <w:tc>
          <w:tcPr>
            <w:tcW w:w="1440" w:type="dxa"/>
            <w:tcBorders>
              <w:top w:val="single" w:sz="4" w:space="0" w:color="000000"/>
              <w:left w:val="single" w:sz="4" w:space="0" w:color="000000"/>
              <w:bottom w:val="single" w:sz="4" w:space="0" w:color="000000"/>
              <w:right w:val="single" w:sz="4" w:space="0" w:color="000000"/>
            </w:tcBorders>
            <w:vAlign w:val="center"/>
          </w:tcPr>
          <w:p w14:paraId="3C59FB18" w14:textId="77777777" w:rsidR="00DB1AEE" w:rsidRPr="00DB1AEE" w:rsidRDefault="00DB1AEE" w:rsidP="00DB1AEE">
            <w:pPr>
              <w:widowControl w:val="0"/>
              <w:pBdr>
                <w:top w:val="nil"/>
                <w:left w:val="nil"/>
                <w:bottom w:val="nil"/>
                <w:right w:val="nil"/>
                <w:between w:val="nil"/>
              </w:pBdr>
              <w:suppressAutoHyphens/>
              <w:spacing w:before="107"/>
              <w:ind w:left="58" w:right="46"/>
              <w:jc w:val="center"/>
              <w:rPr>
                <w:strike/>
                <w:sz w:val="18"/>
                <w:szCs w:val="18"/>
                <w:u w:val="single"/>
              </w:rPr>
            </w:pPr>
          </w:p>
          <w:p w14:paraId="63028BAD" w14:textId="77777777" w:rsidR="00DB1AEE" w:rsidRPr="00DB1AEE" w:rsidRDefault="00DB1AEE" w:rsidP="00DB1AEE">
            <w:pPr>
              <w:widowControl w:val="0"/>
              <w:pBdr>
                <w:top w:val="nil"/>
                <w:left w:val="nil"/>
                <w:bottom w:val="nil"/>
                <w:right w:val="nil"/>
                <w:between w:val="nil"/>
              </w:pBdr>
              <w:suppressAutoHyphens/>
              <w:spacing w:before="107"/>
              <w:ind w:left="58" w:right="46"/>
              <w:jc w:val="center"/>
              <w:rPr>
                <w:sz w:val="18"/>
                <w:szCs w:val="18"/>
                <w:u w:val="single"/>
              </w:rPr>
            </w:pPr>
            <w:r w:rsidRPr="00DB1AEE">
              <w:rPr>
                <w:sz w:val="18"/>
                <w:szCs w:val="18"/>
                <w:u w:val="single"/>
              </w:rPr>
              <w:t>R-33ci</w:t>
            </w:r>
          </w:p>
          <w:p w14:paraId="73B56262" w14:textId="77777777" w:rsidR="00DB1AEE" w:rsidRPr="00DB1AEE" w:rsidRDefault="00DB1AEE" w:rsidP="00DB1AEE">
            <w:pPr>
              <w:widowControl w:val="0"/>
              <w:pBdr>
                <w:top w:val="nil"/>
                <w:left w:val="nil"/>
                <w:bottom w:val="nil"/>
                <w:right w:val="nil"/>
                <w:between w:val="nil"/>
              </w:pBdr>
              <w:suppressAutoHyphens/>
              <w:spacing w:before="107"/>
              <w:ind w:left="58" w:right="46"/>
              <w:jc w:val="center"/>
              <w:rPr>
                <w:sz w:val="18"/>
                <w:szCs w:val="18"/>
                <w:u w:val="single"/>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108C3115" w14:textId="77777777" w:rsidR="00DB1AEE" w:rsidRPr="00DB1AEE" w:rsidRDefault="00DB1AEE" w:rsidP="00DB1AEE">
            <w:pPr>
              <w:widowControl w:val="0"/>
              <w:pBdr>
                <w:top w:val="nil"/>
                <w:left w:val="nil"/>
                <w:bottom w:val="nil"/>
                <w:right w:val="nil"/>
                <w:between w:val="nil"/>
              </w:pBdr>
              <w:suppressAutoHyphens/>
              <w:spacing w:before="107"/>
              <w:ind w:left="55" w:right="45"/>
              <w:jc w:val="center"/>
              <w:rPr>
                <w:sz w:val="18"/>
                <w:szCs w:val="18"/>
                <w:u w:val="single"/>
              </w:rPr>
            </w:pPr>
            <w:r w:rsidRPr="00DB1AEE">
              <w:rPr>
                <w:sz w:val="18"/>
                <w:szCs w:val="18"/>
                <w:u w:val="single"/>
              </w:rPr>
              <w:t>R-33ci</w:t>
            </w:r>
          </w:p>
        </w:tc>
        <w:tc>
          <w:tcPr>
            <w:tcW w:w="1440" w:type="dxa"/>
            <w:tcBorders>
              <w:top w:val="single" w:sz="4" w:space="0" w:color="000000"/>
              <w:left w:val="single" w:sz="4" w:space="0" w:color="000000"/>
              <w:bottom w:val="single" w:sz="4" w:space="0" w:color="000000"/>
              <w:right w:val="single" w:sz="4" w:space="0" w:color="000000"/>
            </w:tcBorders>
            <w:vAlign w:val="center"/>
          </w:tcPr>
          <w:p w14:paraId="6D43A042" w14:textId="77777777" w:rsidR="00DB1AEE" w:rsidRPr="00DB1AEE" w:rsidRDefault="00DB1AEE" w:rsidP="00DB1AEE">
            <w:pPr>
              <w:widowControl w:val="0"/>
              <w:pBdr>
                <w:top w:val="nil"/>
                <w:left w:val="nil"/>
                <w:bottom w:val="nil"/>
                <w:right w:val="nil"/>
                <w:between w:val="nil"/>
              </w:pBdr>
              <w:suppressAutoHyphens/>
              <w:spacing w:before="107"/>
              <w:ind w:left="55" w:right="45"/>
              <w:jc w:val="center"/>
              <w:rPr>
                <w:strike/>
                <w:sz w:val="18"/>
                <w:szCs w:val="18"/>
                <w:u w:val="single"/>
              </w:rPr>
            </w:pPr>
            <w:r w:rsidRPr="00DB1AEE">
              <w:rPr>
                <w:sz w:val="18"/>
                <w:szCs w:val="18"/>
                <w:u w:val="single"/>
              </w:rPr>
              <w:t>R-33ci</w:t>
            </w:r>
          </w:p>
        </w:tc>
        <w:tc>
          <w:tcPr>
            <w:tcW w:w="1440" w:type="dxa"/>
            <w:tcBorders>
              <w:top w:val="single" w:sz="4" w:space="0" w:color="000000"/>
              <w:left w:val="single" w:sz="4" w:space="0" w:color="000000"/>
              <w:bottom w:val="single" w:sz="4" w:space="0" w:color="000000"/>
              <w:right w:val="single" w:sz="4" w:space="0" w:color="000000"/>
            </w:tcBorders>
            <w:vAlign w:val="center"/>
          </w:tcPr>
          <w:p w14:paraId="5667F591" w14:textId="77777777" w:rsidR="00DB1AEE" w:rsidRPr="00DB1AEE" w:rsidRDefault="00DB1AEE" w:rsidP="00DB1AEE">
            <w:pPr>
              <w:widowControl w:val="0"/>
              <w:pBdr>
                <w:top w:val="nil"/>
                <w:left w:val="nil"/>
                <w:bottom w:val="nil"/>
                <w:right w:val="nil"/>
                <w:between w:val="nil"/>
              </w:pBdr>
              <w:suppressAutoHyphens/>
              <w:spacing w:before="107"/>
              <w:ind w:left="55" w:right="45"/>
              <w:jc w:val="center"/>
              <w:rPr>
                <w:strike/>
                <w:sz w:val="18"/>
                <w:szCs w:val="18"/>
                <w:u w:val="single"/>
              </w:rPr>
            </w:pPr>
            <w:r w:rsidRPr="00DB1AEE">
              <w:rPr>
                <w:sz w:val="18"/>
                <w:szCs w:val="18"/>
                <w:u w:val="single"/>
              </w:rPr>
              <w:t>R-33ci</w:t>
            </w:r>
          </w:p>
        </w:tc>
        <w:tc>
          <w:tcPr>
            <w:tcW w:w="1440" w:type="dxa"/>
            <w:tcBorders>
              <w:top w:val="single" w:sz="4" w:space="0" w:color="000000"/>
              <w:left w:val="single" w:sz="4" w:space="0" w:color="000000"/>
              <w:bottom w:val="single" w:sz="4" w:space="0" w:color="000000"/>
              <w:right w:val="single" w:sz="4" w:space="0" w:color="000000"/>
            </w:tcBorders>
            <w:vAlign w:val="center"/>
          </w:tcPr>
          <w:p w14:paraId="6D44A399" w14:textId="77777777" w:rsidR="00DB1AEE" w:rsidRPr="00DB1AEE" w:rsidRDefault="00DB1AEE" w:rsidP="00DB1AEE">
            <w:pPr>
              <w:widowControl w:val="0"/>
              <w:pBdr>
                <w:top w:val="nil"/>
                <w:left w:val="nil"/>
                <w:bottom w:val="nil"/>
                <w:right w:val="nil"/>
                <w:between w:val="nil"/>
              </w:pBdr>
              <w:suppressAutoHyphens/>
              <w:spacing w:before="107"/>
              <w:ind w:left="55" w:right="45"/>
              <w:jc w:val="center"/>
              <w:rPr>
                <w:strike/>
                <w:sz w:val="18"/>
                <w:szCs w:val="18"/>
                <w:u w:val="single"/>
              </w:rPr>
            </w:pPr>
            <w:r w:rsidRPr="00DB1AEE">
              <w:rPr>
                <w:sz w:val="18"/>
                <w:szCs w:val="18"/>
                <w:u w:val="single"/>
              </w:rPr>
              <w:t>R-35ci</w:t>
            </w:r>
          </w:p>
        </w:tc>
        <w:tc>
          <w:tcPr>
            <w:tcW w:w="1440" w:type="dxa"/>
            <w:tcBorders>
              <w:top w:val="single" w:sz="4" w:space="0" w:color="000000"/>
              <w:left w:val="single" w:sz="4" w:space="0" w:color="000000"/>
              <w:bottom w:val="single" w:sz="4" w:space="0" w:color="000000"/>
              <w:right w:val="single" w:sz="4" w:space="0" w:color="000000"/>
            </w:tcBorders>
            <w:vAlign w:val="center"/>
          </w:tcPr>
          <w:p w14:paraId="7D45224F" w14:textId="77777777" w:rsidR="00DB1AEE" w:rsidRPr="00DB1AEE" w:rsidRDefault="00DB1AEE" w:rsidP="00DB1AEE">
            <w:pPr>
              <w:widowControl w:val="0"/>
              <w:pBdr>
                <w:top w:val="nil"/>
                <w:left w:val="nil"/>
                <w:bottom w:val="nil"/>
                <w:right w:val="nil"/>
                <w:between w:val="nil"/>
              </w:pBdr>
              <w:suppressAutoHyphens/>
              <w:spacing w:before="107"/>
              <w:ind w:left="55" w:right="45"/>
              <w:jc w:val="center"/>
              <w:rPr>
                <w:strike/>
                <w:sz w:val="18"/>
                <w:szCs w:val="18"/>
                <w:u w:val="single"/>
              </w:rPr>
            </w:pPr>
            <w:r w:rsidRPr="00DB1AEE">
              <w:rPr>
                <w:sz w:val="18"/>
                <w:szCs w:val="18"/>
                <w:u w:val="single"/>
              </w:rPr>
              <w:t>R-35ci</w:t>
            </w:r>
          </w:p>
        </w:tc>
      </w:tr>
      <w:tr w:rsidR="00DB1AEE" w:rsidRPr="00DB1AEE" w14:paraId="36309705" w14:textId="77777777" w:rsidTr="00FC1832">
        <w:trPr>
          <w:trHeight w:val="675"/>
          <w:jc w:val="center"/>
        </w:trPr>
        <w:tc>
          <w:tcPr>
            <w:tcW w:w="1440" w:type="dxa"/>
            <w:tcBorders>
              <w:top w:val="single" w:sz="4" w:space="0" w:color="000000"/>
              <w:left w:val="single" w:sz="4" w:space="0" w:color="000000"/>
              <w:bottom w:val="single" w:sz="4" w:space="0" w:color="000000"/>
              <w:right w:val="single" w:sz="4" w:space="0" w:color="000000"/>
            </w:tcBorders>
            <w:vAlign w:val="center"/>
          </w:tcPr>
          <w:p w14:paraId="652FED1D" w14:textId="77777777" w:rsidR="00DB1AEE" w:rsidRPr="00DB1AEE" w:rsidRDefault="00DB1AEE" w:rsidP="00DB1AEE">
            <w:pPr>
              <w:widowControl w:val="0"/>
              <w:pBdr>
                <w:top w:val="nil"/>
                <w:left w:val="nil"/>
                <w:bottom w:val="nil"/>
                <w:right w:val="nil"/>
                <w:between w:val="nil"/>
              </w:pBdr>
              <w:suppressAutoHyphens/>
              <w:ind w:left="83"/>
              <w:jc w:val="center"/>
              <w:rPr>
                <w:sz w:val="18"/>
                <w:szCs w:val="18"/>
                <w:u w:val="single"/>
              </w:rPr>
            </w:pPr>
            <w:r w:rsidRPr="00DB1AEE">
              <w:rPr>
                <w:sz w:val="18"/>
                <w:szCs w:val="18"/>
                <w:u w:val="single"/>
              </w:rPr>
              <w:t>Pre-engineered Metal buildings</w:t>
            </w:r>
            <w:r w:rsidRPr="00DB1AEE">
              <w:rPr>
                <w:sz w:val="18"/>
                <w:szCs w:val="18"/>
                <w:u w:val="single"/>
                <w:vertAlign w:val="superscript"/>
              </w:rPr>
              <w:t>b</w:t>
            </w:r>
          </w:p>
        </w:tc>
        <w:tc>
          <w:tcPr>
            <w:tcW w:w="1440" w:type="dxa"/>
            <w:tcBorders>
              <w:top w:val="single" w:sz="4" w:space="0" w:color="000000"/>
              <w:left w:val="single" w:sz="4" w:space="0" w:color="000000"/>
              <w:bottom w:val="single" w:sz="4" w:space="0" w:color="000000"/>
              <w:right w:val="single" w:sz="4" w:space="0" w:color="000000"/>
            </w:tcBorders>
            <w:vAlign w:val="center"/>
          </w:tcPr>
          <w:p w14:paraId="7AA8587C" w14:textId="77777777" w:rsidR="00DB1AEE" w:rsidRPr="00DB1AEE" w:rsidRDefault="00DB1AEE" w:rsidP="00DB1AEE">
            <w:pPr>
              <w:widowControl w:val="0"/>
              <w:pBdr>
                <w:top w:val="nil"/>
                <w:left w:val="nil"/>
                <w:bottom w:val="nil"/>
                <w:right w:val="nil"/>
                <w:between w:val="nil"/>
              </w:pBdr>
              <w:suppressAutoHyphens/>
              <w:spacing w:before="114" w:line="230" w:lineRule="auto"/>
              <w:ind w:left="84" w:right="71" w:firstLine="55"/>
              <w:jc w:val="center"/>
              <w:rPr>
                <w:sz w:val="18"/>
                <w:szCs w:val="18"/>
                <w:u w:val="single"/>
              </w:rPr>
            </w:pPr>
            <w:r w:rsidRPr="00DB1AEE">
              <w:rPr>
                <w:sz w:val="18"/>
                <w:szCs w:val="18"/>
                <w:u w:val="single"/>
              </w:rPr>
              <w:t>R-19ca + R-11 LS</w:t>
            </w:r>
          </w:p>
        </w:tc>
        <w:tc>
          <w:tcPr>
            <w:tcW w:w="1440" w:type="dxa"/>
            <w:tcBorders>
              <w:top w:val="single" w:sz="4" w:space="0" w:color="000000"/>
              <w:left w:val="single" w:sz="4" w:space="0" w:color="000000"/>
              <w:bottom w:val="single" w:sz="4" w:space="0" w:color="000000"/>
              <w:right w:val="single" w:sz="4" w:space="0" w:color="000000"/>
            </w:tcBorders>
            <w:vAlign w:val="center"/>
          </w:tcPr>
          <w:p w14:paraId="27577CEB" w14:textId="77777777" w:rsidR="00DB1AEE" w:rsidRPr="00DB1AEE" w:rsidRDefault="00DB1AEE" w:rsidP="00DB1AEE">
            <w:pPr>
              <w:widowControl w:val="0"/>
              <w:pBdr>
                <w:top w:val="nil"/>
                <w:left w:val="nil"/>
                <w:bottom w:val="nil"/>
                <w:right w:val="nil"/>
                <w:between w:val="nil"/>
              </w:pBdr>
              <w:suppressAutoHyphens/>
              <w:spacing w:before="114" w:line="230" w:lineRule="auto"/>
              <w:ind w:left="82" w:right="68" w:firstLine="55"/>
              <w:jc w:val="center"/>
              <w:rPr>
                <w:sz w:val="18"/>
                <w:szCs w:val="18"/>
                <w:u w:val="single"/>
              </w:rPr>
            </w:pPr>
            <w:r w:rsidRPr="00DB1AEE">
              <w:rPr>
                <w:sz w:val="18"/>
                <w:szCs w:val="18"/>
                <w:u w:val="single"/>
              </w:rPr>
              <w:t>R-19ca + R-11 LS</w:t>
            </w:r>
          </w:p>
        </w:tc>
        <w:tc>
          <w:tcPr>
            <w:tcW w:w="1440" w:type="dxa"/>
            <w:tcBorders>
              <w:top w:val="single" w:sz="4" w:space="0" w:color="000000"/>
              <w:left w:val="single" w:sz="4" w:space="0" w:color="000000"/>
              <w:bottom w:val="single" w:sz="4" w:space="0" w:color="000000"/>
              <w:right w:val="single" w:sz="4" w:space="0" w:color="000000"/>
            </w:tcBorders>
            <w:vAlign w:val="center"/>
          </w:tcPr>
          <w:p w14:paraId="625FFE30" w14:textId="77777777" w:rsidR="00DB1AEE" w:rsidRPr="00DB1AEE" w:rsidRDefault="00DB1AEE" w:rsidP="00DB1AEE">
            <w:pPr>
              <w:widowControl w:val="0"/>
              <w:pBdr>
                <w:top w:val="nil"/>
                <w:left w:val="nil"/>
                <w:bottom w:val="nil"/>
                <w:right w:val="nil"/>
                <w:between w:val="nil"/>
              </w:pBdr>
              <w:suppressAutoHyphens/>
              <w:spacing w:before="114" w:line="230" w:lineRule="auto"/>
              <w:ind w:left="82" w:right="68" w:firstLine="55"/>
              <w:jc w:val="center"/>
              <w:rPr>
                <w:sz w:val="18"/>
                <w:szCs w:val="18"/>
                <w:u w:val="single"/>
              </w:rPr>
            </w:pPr>
            <w:r w:rsidRPr="00DB1AEE">
              <w:rPr>
                <w:sz w:val="18"/>
                <w:szCs w:val="18"/>
                <w:u w:val="single"/>
              </w:rPr>
              <w:t>R-19ca + R-11 LS</w:t>
            </w:r>
          </w:p>
        </w:tc>
        <w:tc>
          <w:tcPr>
            <w:tcW w:w="1440" w:type="dxa"/>
            <w:tcBorders>
              <w:top w:val="single" w:sz="4" w:space="0" w:color="000000"/>
              <w:left w:val="single" w:sz="4" w:space="0" w:color="000000"/>
              <w:bottom w:val="single" w:sz="4" w:space="0" w:color="000000"/>
              <w:right w:val="single" w:sz="4" w:space="0" w:color="000000"/>
            </w:tcBorders>
            <w:vAlign w:val="center"/>
          </w:tcPr>
          <w:p w14:paraId="17A767D5" w14:textId="77777777" w:rsidR="00DB1AEE" w:rsidRPr="00DB1AEE" w:rsidRDefault="00DB1AEE" w:rsidP="00DB1AEE">
            <w:pPr>
              <w:widowControl w:val="0"/>
              <w:pBdr>
                <w:top w:val="nil"/>
                <w:left w:val="nil"/>
                <w:bottom w:val="nil"/>
                <w:right w:val="nil"/>
                <w:between w:val="nil"/>
              </w:pBdr>
              <w:suppressAutoHyphens/>
              <w:spacing w:before="114" w:line="230" w:lineRule="auto"/>
              <w:ind w:left="82" w:right="68" w:firstLine="55"/>
              <w:jc w:val="center"/>
              <w:rPr>
                <w:sz w:val="18"/>
                <w:szCs w:val="18"/>
                <w:u w:val="single"/>
              </w:rPr>
            </w:pPr>
            <w:r w:rsidRPr="00DB1AEE">
              <w:rPr>
                <w:sz w:val="18"/>
                <w:szCs w:val="18"/>
                <w:u w:val="single"/>
              </w:rPr>
              <w:t>R-19ca + R-11 LS</w:t>
            </w:r>
          </w:p>
        </w:tc>
        <w:tc>
          <w:tcPr>
            <w:tcW w:w="1440" w:type="dxa"/>
            <w:tcBorders>
              <w:top w:val="single" w:sz="4" w:space="0" w:color="000000"/>
              <w:left w:val="single" w:sz="4" w:space="0" w:color="000000"/>
              <w:bottom w:val="single" w:sz="4" w:space="0" w:color="000000"/>
              <w:right w:val="single" w:sz="4" w:space="0" w:color="000000"/>
            </w:tcBorders>
            <w:vAlign w:val="center"/>
          </w:tcPr>
          <w:p w14:paraId="0C471B8B" w14:textId="77777777" w:rsidR="00DB1AEE" w:rsidRPr="00DB1AEE" w:rsidRDefault="00DB1AEE" w:rsidP="00DB1AEE">
            <w:pPr>
              <w:widowControl w:val="0"/>
              <w:pBdr>
                <w:top w:val="nil"/>
                <w:left w:val="nil"/>
                <w:bottom w:val="nil"/>
                <w:right w:val="nil"/>
                <w:between w:val="nil"/>
              </w:pBdr>
              <w:suppressAutoHyphens/>
              <w:spacing w:before="114" w:line="230" w:lineRule="auto"/>
              <w:ind w:left="82" w:right="68" w:firstLine="55"/>
              <w:jc w:val="center"/>
              <w:rPr>
                <w:sz w:val="18"/>
                <w:szCs w:val="18"/>
                <w:u w:val="single"/>
              </w:rPr>
            </w:pPr>
            <w:r w:rsidRPr="00DB1AEE">
              <w:rPr>
                <w:sz w:val="18"/>
                <w:szCs w:val="18"/>
                <w:u w:val="single"/>
              </w:rPr>
              <w:t>R-30ca + R-11 LS</w:t>
            </w:r>
          </w:p>
        </w:tc>
        <w:tc>
          <w:tcPr>
            <w:tcW w:w="1440" w:type="dxa"/>
            <w:tcBorders>
              <w:top w:val="single" w:sz="4" w:space="0" w:color="000000"/>
              <w:left w:val="single" w:sz="4" w:space="0" w:color="000000"/>
              <w:bottom w:val="single" w:sz="4" w:space="0" w:color="000000"/>
              <w:right w:val="single" w:sz="4" w:space="0" w:color="000000"/>
            </w:tcBorders>
            <w:vAlign w:val="center"/>
          </w:tcPr>
          <w:p w14:paraId="1EF849B6" w14:textId="77777777" w:rsidR="00DB1AEE" w:rsidRPr="00DB1AEE" w:rsidRDefault="00DB1AEE" w:rsidP="00DB1AEE">
            <w:pPr>
              <w:widowControl w:val="0"/>
              <w:pBdr>
                <w:top w:val="nil"/>
                <w:left w:val="nil"/>
                <w:bottom w:val="nil"/>
                <w:right w:val="nil"/>
                <w:between w:val="nil"/>
              </w:pBdr>
              <w:suppressAutoHyphens/>
              <w:spacing w:before="114" w:line="230" w:lineRule="auto"/>
              <w:ind w:left="82" w:right="68" w:firstLine="55"/>
              <w:jc w:val="center"/>
              <w:rPr>
                <w:sz w:val="18"/>
                <w:szCs w:val="18"/>
                <w:u w:val="single"/>
              </w:rPr>
            </w:pPr>
            <w:r w:rsidRPr="00DB1AEE">
              <w:rPr>
                <w:sz w:val="18"/>
                <w:szCs w:val="18"/>
                <w:u w:val="single"/>
              </w:rPr>
              <w:t>R-25ca + R-11 + R-11 LS</w:t>
            </w:r>
          </w:p>
        </w:tc>
      </w:tr>
      <w:tr w:rsidR="00DB1AEE" w:rsidRPr="00DB1AEE" w14:paraId="15DF7341" w14:textId="77777777" w:rsidTr="00FC1832">
        <w:trPr>
          <w:trHeight w:val="710"/>
          <w:jc w:val="center"/>
        </w:trPr>
        <w:tc>
          <w:tcPr>
            <w:tcW w:w="1440" w:type="dxa"/>
            <w:tcBorders>
              <w:top w:val="single" w:sz="4" w:space="0" w:color="000000"/>
              <w:left w:val="single" w:sz="4" w:space="0" w:color="000000"/>
              <w:bottom w:val="single" w:sz="4" w:space="0" w:color="000000"/>
              <w:right w:val="single" w:sz="4" w:space="0" w:color="000000"/>
            </w:tcBorders>
            <w:vAlign w:val="center"/>
          </w:tcPr>
          <w:p w14:paraId="011E74BC" w14:textId="77777777" w:rsidR="00DB1AEE" w:rsidRPr="00DB1AEE" w:rsidRDefault="00DB1AEE" w:rsidP="00DB1AEE">
            <w:pPr>
              <w:widowControl w:val="0"/>
              <w:pBdr>
                <w:top w:val="nil"/>
                <w:left w:val="nil"/>
                <w:bottom w:val="nil"/>
                <w:right w:val="nil"/>
                <w:between w:val="nil"/>
              </w:pBdr>
              <w:suppressAutoHyphens/>
              <w:spacing w:before="7"/>
              <w:ind w:left="84"/>
              <w:jc w:val="center"/>
              <w:rPr>
                <w:sz w:val="18"/>
                <w:szCs w:val="18"/>
                <w:u w:val="single"/>
              </w:rPr>
            </w:pPr>
            <w:r w:rsidRPr="00DB1AEE">
              <w:rPr>
                <w:sz w:val="18"/>
                <w:szCs w:val="18"/>
                <w:u w:val="single"/>
              </w:rPr>
              <w:t>Attic and other</w:t>
            </w:r>
          </w:p>
        </w:tc>
        <w:tc>
          <w:tcPr>
            <w:tcW w:w="1440" w:type="dxa"/>
            <w:tcBorders>
              <w:top w:val="single" w:sz="4" w:space="0" w:color="000000"/>
              <w:left w:val="single" w:sz="4" w:space="0" w:color="000000"/>
              <w:bottom w:val="single" w:sz="4" w:space="0" w:color="000000"/>
              <w:right w:val="single" w:sz="4" w:space="0" w:color="000000"/>
            </w:tcBorders>
            <w:vAlign w:val="center"/>
          </w:tcPr>
          <w:p w14:paraId="08710294" w14:textId="77777777" w:rsidR="00DB1AEE" w:rsidRPr="00DB1AEE" w:rsidRDefault="00DB1AEE" w:rsidP="00DB1AEE">
            <w:pPr>
              <w:widowControl w:val="0"/>
              <w:pBdr>
                <w:top w:val="nil"/>
                <w:left w:val="nil"/>
                <w:bottom w:val="nil"/>
                <w:right w:val="nil"/>
                <w:between w:val="nil"/>
              </w:pBdr>
              <w:suppressAutoHyphens/>
              <w:spacing w:before="7"/>
              <w:ind w:left="57" w:right="48"/>
              <w:jc w:val="center"/>
              <w:rPr>
                <w:strike/>
                <w:sz w:val="18"/>
                <w:szCs w:val="18"/>
                <w:u w:val="single"/>
              </w:rPr>
            </w:pPr>
          </w:p>
          <w:p w14:paraId="727C96AB" w14:textId="77777777" w:rsidR="00DB1AEE" w:rsidRPr="00DB1AEE" w:rsidRDefault="00DB1AEE" w:rsidP="00DB1AEE">
            <w:pPr>
              <w:widowControl w:val="0"/>
              <w:pBdr>
                <w:top w:val="nil"/>
                <w:left w:val="nil"/>
                <w:bottom w:val="nil"/>
                <w:right w:val="nil"/>
                <w:between w:val="nil"/>
              </w:pBdr>
              <w:suppressAutoHyphens/>
              <w:spacing w:before="7"/>
              <w:ind w:left="57" w:right="48"/>
              <w:jc w:val="center"/>
              <w:rPr>
                <w:sz w:val="18"/>
                <w:szCs w:val="18"/>
                <w:u w:val="single"/>
              </w:rPr>
            </w:pPr>
            <w:r w:rsidRPr="00DB1AEE">
              <w:rPr>
                <w:sz w:val="18"/>
                <w:szCs w:val="18"/>
                <w:u w:val="single"/>
              </w:rPr>
              <w:t>R-53ca</w:t>
            </w:r>
          </w:p>
          <w:p w14:paraId="30AD1E96" w14:textId="77777777" w:rsidR="00DB1AEE" w:rsidRPr="00DB1AEE" w:rsidRDefault="00DB1AEE" w:rsidP="00DB1AEE">
            <w:pPr>
              <w:widowControl w:val="0"/>
              <w:pBdr>
                <w:top w:val="nil"/>
                <w:left w:val="nil"/>
                <w:bottom w:val="nil"/>
                <w:right w:val="nil"/>
                <w:between w:val="nil"/>
              </w:pBdr>
              <w:suppressAutoHyphens/>
              <w:spacing w:before="7"/>
              <w:ind w:left="57" w:right="48"/>
              <w:jc w:val="center"/>
              <w:rPr>
                <w:sz w:val="18"/>
                <w:szCs w:val="18"/>
                <w:u w:val="single"/>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7C7B377B" w14:textId="77777777" w:rsidR="00DB1AEE" w:rsidRPr="00DB1AEE" w:rsidRDefault="00DB1AEE" w:rsidP="00DB1AEE">
            <w:pPr>
              <w:widowControl w:val="0"/>
              <w:pBdr>
                <w:top w:val="nil"/>
                <w:left w:val="nil"/>
                <w:bottom w:val="nil"/>
                <w:right w:val="nil"/>
                <w:between w:val="nil"/>
              </w:pBdr>
              <w:suppressAutoHyphens/>
              <w:spacing w:before="7"/>
              <w:ind w:left="55" w:right="45"/>
              <w:jc w:val="center"/>
              <w:rPr>
                <w:sz w:val="18"/>
                <w:szCs w:val="18"/>
                <w:u w:val="single"/>
              </w:rPr>
            </w:pPr>
            <w:r w:rsidRPr="00DB1AEE">
              <w:rPr>
                <w:sz w:val="18"/>
                <w:szCs w:val="18"/>
                <w:u w:val="single"/>
              </w:rPr>
              <w:t>R-53ca</w:t>
            </w:r>
          </w:p>
        </w:tc>
        <w:tc>
          <w:tcPr>
            <w:tcW w:w="1440" w:type="dxa"/>
            <w:tcBorders>
              <w:top w:val="single" w:sz="4" w:space="0" w:color="000000"/>
              <w:left w:val="single" w:sz="4" w:space="0" w:color="000000"/>
              <w:bottom w:val="single" w:sz="4" w:space="0" w:color="000000"/>
              <w:right w:val="single" w:sz="4" w:space="0" w:color="000000"/>
            </w:tcBorders>
            <w:vAlign w:val="center"/>
          </w:tcPr>
          <w:p w14:paraId="1E0C6578" w14:textId="77777777" w:rsidR="00DB1AEE" w:rsidRPr="00DB1AEE" w:rsidRDefault="00DB1AEE" w:rsidP="00DB1AEE">
            <w:pPr>
              <w:widowControl w:val="0"/>
              <w:pBdr>
                <w:top w:val="nil"/>
                <w:left w:val="nil"/>
                <w:bottom w:val="nil"/>
                <w:right w:val="nil"/>
                <w:between w:val="nil"/>
              </w:pBdr>
              <w:suppressAutoHyphens/>
              <w:spacing w:before="7"/>
              <w:ind w:left="55" w:right="45"/>
              <w:jc w:val="center"/>
              <w:rPr>
                <w:strike/>
                <w:sz w:val="18"/>
                <w:szCs w:val="18"/>
                <w:u w:val="single"/>
              </w:rPr>
            </w:pPr>
            <w:r w:rsidRPr="00DB1AEE">
              <w:rPr>
                <w:sz w:val="18"/>
                <w:szCs w:val="18"/>
                <w:u w:val="single"/>
              </w:rPr>
              <w:t>R-53ca</w:t>
            </w:r>
          </w:p>
        </w:tc>
        <w:tc>
          <w:tcPr>
            <w:tcW w:w="1440" w:type="dxa"/>
            <w:tcBorders>
              <w:top w:val="single" w:sz="4" w:space="0" w:color="000000"/>
              <w:left w:val="single" w:sz="4" w:space="0" w:color="000000"/>
              <w:bottom w:val="single" w:sz="4" w:space="0" w:color="000000"/>
              <w:right w:val="single" w:sz="4" w:space="0" w:color="000000"/>
            </w:tcBorders>
            <w:vAlign w:val="center"/>
          </w:tcPr>
          <w:p w14:paraId="5C9D62C4" w14:textId="77777777" w:rsidR="00DB1AEE" w:rsidRPr="00DB1AEE" w:rsidRDefault="00DB1AEE" w:rsidP="00DB1AEE">
            <w:pPr>
              <w:widowControl w:val="0"/>
              <w:pBdr>
                <w:top w:val="nil"/>
                <w:left w:val="nil"/>
                <w:bottom w:val="nil"/>
                <w:right w:val="nil"/>
                <w:between w:val="nil"/>
              </w:pBdr>
              <w:suppressAutoHyphens/>
              <w:spacing w:before="7"/>
              <w:ind w:left="55" w:right="45"/>
              <w:jc w:val="center"/>
              <w:rPr>
                <w:strike/>
                <w:sz w:val="18"/>
                <w:szCs w:val="18"/>
                <w:u w:val="single"/>
              </w:rPr>
            </w:pPr>
            <w:r w:rsidRPr="00DB1AEE">
              <w:rPr>
                <w:sz w:val="18"/>
                <w:szCs w:val="18"/>
                <w:u w:val="single"/>
              </w:rPr>
              <w:t>R-53ca</w:t>
            </w:r>
          </w:p>
        </w:tc>
        <w:tc>
          <w:tcPr>
            <w:tcW w:w="1440" w:type="dxa"/>
            <w:tcBorders>
              <w:top w:val="single" w:sz="4" w:space="0" w:color="000000"/>
              <w:left w:val="single" w:sz="4" w:space="0" w:color="000000"/>
              <w:bottom w:val="single" w:sz="4" w:space="0" w:color="000000"/>
              <w:right w:val="single" w:sz="4" w:space="0" w:color="000000"/>
            </w:tcBorders>
            <w:vAlign w:val="center"/>
          </w:tcPr>
          <w:p w14:paraId="1CE2DF8F" w14:textId="77777777" w:rsidR="00DB1AEE" w:rsidRPr="00DB1AEE" w:rsidRDefault="00DB1AEE" w:rsidP="00DB1AEE">
            <w:pPr>
              <w:widowControl w:val="0"/>
              <w:pBdr>
                <w:top w:val="nil"/>
                <w:left w:val="nil"/>
                <w:bottom w:val="nil"/>
                <w:right w:val="nil"/>
                <w:between w:val="nil"/>
              </w:pBdr>
              <w:suppressAutoHyphens/>
              <w:spacing w:before="7"/>
              <w:ind w:left="55" w:right="45"/>
              <w:jc w:val="center"/>
              <w:rPr>
                <w:strike/>
                <w:sz w:val="18"/>
                <w:szCs w:val="18"/>
                <w:u w:val="single"/>
              </w:rPr>
            </w:pPr>
            <w:r w:rsidRPr="00DB1AEE">
              <w:rPr>
                <w:sz w:val="18"/>
                <w:szCs w:val="18"/>
                <w:u w:val="single"/>
              </w:rPr>
              <w:t>R-60ca</w:t>
            </w:r>
          </w:p>
        </w:tc>
        <w:tc>
          <w:tcPr>
            <w:tcW w:w="1440" w:type="dxa"/>
            <w:tcBorders>
              <w:top w:val="single" w:sz="4" w:space="0" w:color="000000"/>
              <w:left w:val="single" w:sz="4" w:space="0" w:color="000000"/>
              <w:bottom w:val="single" w:sz="4" w:space="0" w:color="000000"/>
              <w:right w:val="single" w:sz="4" w:space="0" w:color="000000"/>
            </w:tcBorders>
            <w:vAlign w:val="center"/>
          </w:tcPr>
          <w:p w14:paraId="46A72912" w14:textId="77777777" w:rsidR="00DB1AEE" w:rsidRPr="00DB1AEE" w:rsidRDefault="00DB1AEE" w:rsidP="00DB1AEE">
            <w:pPr>
              <w:widowControl w:val="0"/>
              <w:pBdr>
                <w:top w:val="nil"/>
                <w:left w:val="nil"/>
                <w:bottom w:val="nil"/>
                <w:right w:val="nil"/>
                <w:between w:val="nil"/>
              </w:pBdr>
              <w:suppressAutoHyphens/>
              <w:spacing w:before="7"/>
              <w:ind w:left="55" w:right="45"/>
              <w:jc w:val="center"/>
              <w:rPr>
                <w:strike/>
                <w:sz w:val="18"/>
                <w:szCs w:val="18"/>
                <w:u w:val="single"/>
              </w:rPr>
            </w:pPr>
            <w:r w:rsidRPr="00DB1AEE">
              <w:rPr>
                <w:sz w:val="18"/>
                <w:szCs w:val="18"/>
                <w:u w:val="single"/>
              </w:rPr>
              <w:t>R-60ca</w:t>
            </w:r>
          </w:p>
        </w:tc>
      </w:tr>
      <w:tr w:rsidR="00DB1AEE" w:rsidRPr="00DB1AEE" w14:paraId="3A38864D" w14:textId="77777777" w:rsidTr="00FC1832">
        <w:trPr>
          <w:trHeight w:val="271"/>
          <w:jc w:val="center"/>
        </w:trPr>
        <w:tc>
          <w:tcPr>
            <w:tcW w:w="10080" w:type="dxa"/>
            <w:gridSpan w:val="7"/>
            <w:tcBorders>
              <w:top w:val="single" w:sz="4" w:space="0" w:color="000000"/>
              <w:left w:val="single" w:sz="4" w:space="0" w:color="000000"/>
              <w:bottom w:val="single" w:sz="4" w:space="0" w:color="000000"/>
              <w:right w:val="single" w:sz="4" w:space="0" w:color="000000"/>
            </w:tcBorders>
            <w:vAlign w:val="center"/>
          </w:tcPr>
          <w:p w14:paraId="385544AE" w14:textId="77777777" w:rsidR="00DB1AEE" w:rsidRPr="00DB1AEE" w:rsidRDefault="00DB1AEE" w:rsidP="00DB1AEE">
            <w:pPr>
              <w:widowControl w:val="0"/>
              <w:pBdr>
                <w:top w:val="nil"/>
                <w:left w:val="nil"/>
                <w:bottom w:val="nil"/>
                <w:right w:val="nil"/>
                <w:between w:val="nil"/>
              </w:pBdr>
              <w:suppressAutoHyphens/>
              <w:spacing w:before="7"/>
              <w:ind w:left="58" w:right="47"/>
              <w:jc w:val="center"/>
              <w:rPr>
                <w:strike/>
                <w:sz w:val="18"/>
                <w:szCs w:val="18"/>
                <w:u w:val="single"/>
              </w:rPr>
            </w:pPr>
            <w:r w:rsidRPr="00DB1AEE">
              <w:rPr>
                <w:b/>
                <w:sz w:val="18"/>
                <w:szCs w:val="18"/>
                <w:u w:val="single"/>
              </w:rPr>
              <w:t>Walls, above grade</w:t>
            </w:r>
          </w:p>
        </w:tc>
      </w:tr>
      <w:tr w:rsidR="00DB1AEE" w:rsidRPr="00DB1AEE" w14:paraId="0254941E" w14:textId="77777777" w:rsidTr="00FC1832">
        <w:trPr>
          <w:trHeight w:val="271"/>
          <w:jc w:val="center"/>
        </w:trPr>
        <w:tc>
          <w:tcPr>
            <w:tcW w:w="1440" w:type="dxa"/>
            <w:tcBorders>
              <w:top w:val="single" w:sz="4" w:space="0" w:color="000000"/>
              <w:left w:val="single" w:sz="4" w:space="0" w:color="000000"/>
              <w:bottom w:val="single" w:sz="4" w:space="0" w:color="000000"/>
              <w:right w:val="single" w:sz="4" w:space="0" w:color="000000"/>
            </w:tcBorders>
            <w:vAlign w:val="center"/>
          </w:tcPr>
          <w:p w14:paraId="25850F91" w14:textId="77777777" w:rsidR="00DB1AEE" w:rsidRPr="00DB1AEE" w:rsidRDefault="00DB1AEE" w:rsidP="00DB1AEE">
            <w:pPr>
              <w:widowControl w:val="0"/>
              <w:pBdr>
                <w:top w:val="nil"/>
                <w:left w:val="nil"/>
                <w:bottom w:val="nil"/>
                <w:right w:val="nil"/>
                <w:between w:val="nil"/>
              </w:pBdr>
              <w:suppressAutoHyphens/>
              <w:spacing w:before="7"/>
              <w:ind w:left="83"/>
              <w:jc w:val="center"/>
              <w:rPr>
                <w:sz w:val="18"/>
                <w:szCs w:val="18"/>
                <w:u w:val="single"/>
              </w:rPr>
            </w:pPr>
            <w:r w:rsidRPr="00DB1AEE">
              <w:rPr>
                <w:sz w:val="18"/>
                <w:szCs w:val="18"/>
                <w:u w:val="single"/>
              </w:rPr>
              <w:t>Mass</w:t>
            </w:r>
            <w:r w:rsidRPr="00DB1AEE">
              <w:rPr>
                <w:sz w:val="18"/>
                <w:szCs w:val="18"/>
                <w:u w:val="single"/>
                <w:vertAlign w:val="superscript"/>
              </w:rPr>
              <w:t>f</w:t>
            </w:r>
          </w:p>
        </w:tc>
        <w:tc>
          <w:tcPr>
            <w:tcW w:w="1440" w:type="dxa"/>
            <w:tcBorders>
              <w:top w:val="single" w:sz="4" w:space="0" w:color="000000"/>
              <w:left w:val="single" w:sz="4" w:space="0" w:color="000000"/>
              <w:bottom w:val="single" w:sz="4" w:space="0" w:color="000000"/>
              <w:right w:val="single" w:sz="4" w:space="0" w:color="000000"/>
            </w:tcBorders>
            <w:vAlign w:val="center"/>
          </w:tcPr>
          <w:p w14:paraId="7CB2EE1C" w14:textId="77777777" w:rsidR="00DB1AEE" w:rsidRPr="00DB1AEE" w:rsidRDefault="00DB1AEE" w:rsidP="00DB1AEE">
            <w:pPr>
              <w:widowControl w:val="0"/>
              <w:pBdr>
                <w:top w:val="nil"/>
                <w:left w:val="nil"/>
                <w:bottom w:val="nil"/>
                <w:right w:val="nil"/>
                <w:between w:val="nil"/>
              </w:pBdr>
              <w:suppressAutoHyphens/>
              <w:spacing w:before="7"/>
              <w:ind w:left="58" w:right="47"/>
              <w:jc w:val="center"/>
              <w:rPr>
                <w:strike/>
                <w:sz w:val="18"/>
                <w:szCs w:val="18"/>
                <w:u w:val="single"/>
              </w:rPr>
            </w:pPr>
          </w:p>
          <w:p w14:paraId="7765B077" w14:textId="77777777" w:rsidR="00DB1AEE" w:rsidRPr="00DB1AEE" w:rsidRDefault="00DB1AEE" w:rsidP="00DB1AEE">
            <w:pPr>
              <w:widowControl w:val="0"/>
              <w:pBdr>
                <w:top w:val="nil"/>
                <w:left w:val="nil"/>
                <w:bottom w:val="nil"/>
                <w:right w:val="nil"/>
                <w:between w:val="nil"/>
              </w:pBdr>
              <w:suppressAutoHyphens/>
              <w:spacing w:before="7"/>
              <w:ind w:left="58" w:right="47"/>
              <w:jc w:val="center"/>
              <w:rPr>
                <w:sz w:val="18"/>
                <w:szCs w:val="18"/>
                <w:u w:val="single"/>
              </w:rPr>
            </w:pPr>
            <w:r w:rsidRPr="00DB1AEE">
              <w:rPr>
                <w:sz w:val="18"/>
                <w:szCs w:val="18"/>
                <w:u w:val="single"/>
              </w:rPr>
              <w:t>R-13.3ci</w:t>
            </w:r>
          </w:p>
        </w:tc>
        <w:tc>
          <w:tcPr>
            <w:tcW w:w="1440" w:type="dxa"/>
            <w:tcBorders>
              <w:top w:val="single" w:sz="4" w:space="0" w:color="000000"/>
              <w:left w:val="single" w:sz="4" w:space="0" w:color="000000"/>
              <w:bottom w:val="single" w:sz="4" w:space="0" w:color="000000"/>
              <w:right w:val="single" w:sz="4" w:space="0" w:color="000000"/>
            </w:tcBorders>
            <w:vAlign w:val="center"/>
          </w:tcPr>
          <w:p w14:paraId="132FAEA8" w14:textId="77777777" w:rsidR="00DB1AEE" w:rsidRPr="00DB1AEE" w:rsidRDefault="00DB1AEE" w:rsidP="00DB1AEE">
            <w:pPr>
              <w:widowControl w:val="0"/>
              <w:pBdr>
                <w:top w:val="nil"/>
                <w:left w:val="nil"/>
                <w:bottom w:val="nil"/>
                <w:right w:val="nil"/>
                <w:between w:val="nil"/>
              </w:pBdr>
              <w:suppressAutoHyphens/>
              <w:spacing w:before="7"/>
              <w:ind w:left="58" w:right="47"/>
              <w:jc w:val="center"/>
              <w:rPr>
                <w:strike/>
                <w:sz w:val="18"/>
                <w:szCs w:val="18"/>
                <w:u w:val="single"/>
              </w:rPr>
            </w:pPr>
          </w:p>
          <w:p w14:paraId="274C2C63" w14:textId="77777777" w:rsidR="00DB1AEE" w:rsidRPr="00DB1AEE" w:rsidRDefault="00DB1AEE" w:rsidP="00DB1AEE">
            <w:pPr>
              <w:widowControl w:val="0"/>
              <w:pBdr>
                <w:top w:val="nil"/>
                <w:left w:val="nil"/>
                <w:bottom w:val="nil"/>
                <w:right w:val="nil"/>
                <w:between w:val="nil"/>
              </w:pBdr>
              <w:suppressAutoHyphens/>
              <w:spacing w:before="7"/>
              <w:ind w:left="58" w:right="47"/>
              <w:jc w:val="center"/>
              <w:rPr>
                <w:sz w:val="18"/>
                <w:szCs w:val="18"/>
                <w:u w:val="single"/>
              </w:rPr>
            </w:pPr>
            <w:r w:rsidRPr="00DB1AEE">
              <w:rPr>
                <w:sz w:val="18"/>
                <w:szCs w:val="18"/>
                <w:u w:val="single"/>
              </w:rPr>
              <w:t>R-13.3ci</w:t>
            </w:r>
          </w:p>
        </w:tc>
        <w:tc>
          <w:tcPr>
            <w:tcW w:w="1440" w:type="dxa"/>
            <w:tcBorders>
              <w:top w:val="single" w:sz="4" w:space="0" w:color="000000"/>
              <w:left w:val="single" w:sz="4" w:space="0" w:color="000000"/>
              <w:bottom w:val="single" w:sz="4" w:space="0" w:color="000000"/>
              <w:right w:val="single" w:sz="4" w:space="0" w:color="000000"/>
            </w:tcBorders>
            <w:vAlign w:val="center"/>
          </w:tcPr>
          <w:p w14:paraId="304FA523" w14:textId="77777777" w:rsidR="00DB1AEE" w:rsidRPr="00DB1AEE" w:rsidRDefault="00DB1AEE" w:rsidP="00DB1AEE">
            <w:pPr>
              <w:widowControl w:val="0"/>
              <w:pBdr>
                <w:top w:val="nil"/>
                <w:left w:val="nil"/>
                <w:bottom w:val="nil"/>
                <w:right w:val="nil"/>
                <w:between w:val="nil"/>
              </w:pBdr>
              <w:suppressAutoHyphens/>
              <w:spacing w:before="7"/>
              <w:ind w:left="58" w:right="47"/>
              <w:jc w:val="center"/>
              <w:rPr>
                <w:strike/>
                <w:sz w:val="18"/>
                <w:szCs w:val="18"/>
                <w:u w:val="single"/>
              </w:rPr>
            </w:pPr>
            <w:r w:rsidRPr="00DB1AEE">
              <w:rPr>
                <w:sz w:val="18"/>
                <w:szCs w:val="18"/>
                <w:u w:val="single"/>
              </w:rPr>
              <w:t>R-13.3ci</w:t>
            </w:r>
          </w:p>
        </w:tc>
        <w:tc>
          <w:tcPr>
            <w:tcW w:w="1440" w:type="dxa"/>
            <w:tcBorders>
              <w:top w:val="single" w:sz="4" w:space="0" w:color="000000"/>
              <w:left w:val="single" w:sz="4" w:space="0" w:color="000000"/>
              <w:bottom w:val="single" w:sz="4" w:space="0" w:color="000000"/>
              <w:right w:val="single" w:sz="4" w:space="0" w:color="000000"/>
            </w:tcBorders>
            <w:vAlign w:val="center"/>
          </w:tcPr>
          <w:p w14:paraId="7A7EFB04" w14:textId="77777777" w:rsidR="00DB1AEE" w:rsidRPr="00DB1AEE" w:rsidRDefault="00DB1AEE" w:rsidP="00DB1AEE">
            <w:pPr>
              <w:widowControl w:val="0"/>
              <w:pBdr>
                <w:top w:val="nil"/>
                <w:left w:val="nil"/>
                <w:bottom w:val="nil"/>
                <w:right w:val="nil"/>
                <w:between w:val="nil"/>
              </w:pBdr>
              <w:suppressAutoHyphens/>
              <w:spacing w:before="7"/>
              <w:ind w:left="58" w:right="47"/>
              <w:jc w:val="center"/>
              <w:rPr>
                <w:strike/>
                <w:sz w:val="18"/>
                <w:szCs w:val="18"/>
                <w:u w:val="single"/>
              </w:rPr>
            </w:pPr>
            <w:r w:rsidRPr="00DB1AEE">
              <w:rPr>
                <w:sz w:val="18"/>
                <w:szCs w:val="18"/>
                <w:u w:val="single"/>
              </w:rPr>
              <w:t>R-15.2ci</w:t>
            </w:r>
          </w:p>
        </w:tc>
        <w:tc>
          <w:tcPr>
            <w:tcW w:w="1440" w:type="dxa"/>
            <w:tcBorders>
              <w:top w:val="single" w:sz="4" w:space="0" w:color="000000"/>
              <w:left w:val="single" w:sz="4" w:space="0" w:color="000000"/>
              <w:bottom w:val="single" w:sz="4" w:space="0" w:color="000000"/>
              <w:right w:val="single" w:sz="4" w:space="0" w:color="000000"/>
            </w:tcBorders>
            <w:vAlign w:val="center"/>
          </w:tcPr>
          <w:p w14:paraId="7470B758" w14:textId="77777777" w:rsidR="00DB1AEE" w:rsidRPr="00DB1AEE" w:rsidRDefault="00DB1AEE" w:rsidP="00DB1AEE">
            <w:pPr>
              <w:widowControl w:val="0"/>
              <w:pBdr>
                <w:top w:val="nil"/>
                <w:left w:val="nil"/>
                <w:bottom w:val="nil"/>
                <w:right w:val="nil"/>
                <w:between w:val="nil"/>
              </w:pBdr>
              <w:suppressAutoHyphens/>
              <w:spacing w:before="7"/>
              <w:ind w:left="58" w:right="47"/>
              <w:jc w:val="center"/>
              <w:rPr>
                <w:strike/>
                <w:sz w:val="18"/>
                <w:szCs w:val="18"/>
                <w:u w:val="single"/>
              </w:rPr>
            </w:pPr>
            <w:r w:rsidRPr="00DB1AEE">
              <w:rPr>
                <w:sz w:val="18"/>
                <w:szCs w:val="18"/>
                <w:u w:val="single"/>
              </w:rPr>
              <w:t>R-15.2ci</w:t>
            </w:r>
          </w:p>
        </w:tc>
        <w:tc>
          <w:tcPr>
            <w:tcW w:w="1440" w:type="dxa"/>
            <w:tcBorders>
              <w:top w:val="single" w:sz="4" w:space="0" w:color="000000"/>
              <w:left w:val="single" w:sz="4" w:space="0" w:color="000000"/>
              <w:bottom w:val="single" w:sz="4" w:space="0" w:color="000000"/>
              <w:right w:val="single" w:sz="4" w:space="0" w:color="000000"/>
            </w:tcBorders>
            <w:vAlign w:val="center"/>
          </w:tcPr>
          <w:p w14:paraId="2336A494" w14:textId="77777777" w:rsidR="00DB1AEE" w:rsidRPr="00DB1AEE" w:rsidRDefault="00DB1AEE" w:rsidP="00DB1AEE">
            <w:pPr>
              <w:widowControl w:val="0"/>
              <w:pBdr>
                <w:top w:val="nil"/>
                <w:left w:val="nil"/>
                <w:bottom w:val="nil"/>
                <w:right w:val="nil"/>
                <w:between w:val="nil"/>
              </w:pBdr>
              <w:suppressAutoHyphens/>
              <w:spacing w:before="7"/>
              <w:ind w:left="58" w:right="47"/>
              <w:jc w:val="center"/>
              <w:rPr>
                <w:strike/>
                <w:sz w:val="18"/>
                <w:szCs w:val="18"/>
                <w:u w:val="single"/>
              </w:rPr>
            </w:pPr>
            <w:r w:rsidRPr="00DB1AEE">
              <w:rPr>
                <w:sz w:val="18"/>
                <w:szCs w:val="18"/>
                <w:u w:val="single"/>
              </w:rPr>
              <w:t>R-17.5ci</w:t>
            </w:r>
          </w:p>
        </w:tc>
      </w:tr>
      <w:tr w:rsidR="00DB1AEE" w:rsidRPr="00DB1AEE" w14:paraId="0F0254D7" w14:textId="77777777" w:rsidTr="00FC1832">
        <w:trPr>
          <w:trHeight w:val="473"/>
          <w:jc w:val="center"/>
        </w:trPr>
        <w:tc>
          <w:tcPr>
            <w:tcW w:w="1440" w:type="dxa"/>
            <w:tcBorders>
              <w:top w:val="single" w:sz="4" w:space="0" w:color="000000"/>
              <w:left w:val="single" w:sz="4" w:space="0" w:color="000000"/>
              <w:bottom w:val="single" w:sz="4" w:space="0" w:color="000000"/>
              <w:right w:val="single" w:sz="4" w:space="0" w:color="000000"/>
            </w:tcBorders>
            <w:vAlign w:val="center"/>
          </w:tcPr>
          <w:p w14:paraId="01C2E7EB" w14:textId="77777777" w:rsidR="00DB1AEE" w:rsidRPr="00DB1AEE" w:rsidRDefault="00DB1AEE" w:rsidP="00DB1AEE">
            <w:pPr>
              <w:widowControl w:val="0"/>
              <w:pBdr>
                <w:top w:val="nil"/>
                <w:left w:val="nil"/>
                <w:bottom w:val="nil"/>
                <w:right w:val="nil"/>
                <w:between w:val="nil"/>
              </w:pBdr>
              <w:suppressAutoHyphens/>
              <w:spacing w:before="107"/>
              <w:ind w:left="83"/>
              <w:jc w:val="center"/>
              <w:rPr>
                <w:sz w:val="18"/>
                <w:szCs w:val="18"/>
                <w:u w:val="single"/>
              </w:rPr>
            </w:pPr>
            <w:r w:rsidRPr="00DB1AEE">
              <w:rPr>
                <w:sz w:val="18"/>
                <w:szCs w:val="18"/>
                <w:u w:val="single"/>
              </w:rPr>
              <w:t>Pre-engineered Metal building</w:t>
            </w:r>
          </w:p>
        </w:tc>
        <w:tc>
          <w:tcPr>
            <w:tcW w:w="1440" w:type="dxa"/>
            <w:tcBorders>
              <w:top w:val="single" w:sz="4" w:space="0" w:color="000000"/>
              <w:left w:val="single" w:sz="4" w:space="0" w:color="000000"/>
              <w:bottom w:val="single" w:sz="4" w:space="0" w:color="000000"/>
              <w:right w:val="single" w:sz="4" w:space="0" w:color="000000"/>
            </w:tcBorders>
            <w:vAlign w:val="center"/>
          </w:tcPr>
          <w:p w14:paraId="2D47CB83" w14:textId="77777777" w:rsidR="00DB1AEE" w:rsidRPr="00DB1AEE" w:rsidRDefault="00DB1AEE" w:rsidP="00DB1AEE">
            <w:pPr>
              <w:widowControl w:val="0"/>
              <w:pBdr>
                <w:top w:val="nil"/>
                <w:left w:val="nil"/>
                <w:bottom w:val="nil"/>
                <w:right w:val="nil"/>
                <w:between w:val="nil"/>
              </w:pBdr>
              <w:suppressAutoHyphens/>
              <w:spacing w:before="7" w:line="203" w:lineRule="auto"/>
              <w:ind w:left="139"/>
              <w:jc w:val="center"/>
              <w:rPr>
                <w:sz w:val="18"/>
                <w:szCs w:val="18"/>
                <w:u w:val="single"/>
              </w:rPr>
            </w:pPr>
            <w:r w:rsidRPr="00DB1AEE">
              <w:rPr>
                <w:sz w:val="18"/>
                <w:szCs w:val="18"/>
                <w:u w:val="single"/>
              </w:rPr>
              <w:t>R-13ca+14.9ci</w:t>
            </w:r>
          </w:p>
        </w:tc>
        <w:tc>
          <w:tcPr>
            <w:tcW w:w="1440" w:type="dxa"/>
            <w:tcBorders>
              <w:top w:val="single" w:sz="4" w:space="0" w:color="000000"/>
              <w:left w:val="single" w:sz="4" w:space="0" w:color="000000"/>
              <w:bottom w:val="single" w:sz="4" w:space="0" w:color="000000"/>
              <w:right w:val="single" w:sz="4" w:space="0" w:color="000000"/>
            </w:tcBorders>
            <w:vAlign w:val="center"/>
          </w:tcPr>
          <w:p w14:paraId="3657205A" w14:textId="77777777" w:rsidR="00DB1AEE" w:rsidRPr="00DB1AEE" w:rsidRDefault="00DB1AEE" w:rsidP="00DB1AEE">
            <w:pPr>
              <w:widowControl w:val="0"/>
              <w:pBdr>
                <w:top w:val="nil"/>
                <w:left w:val="nil"/>
                <w:bottom w:val="nil"/>
                <w:right w:val="nil"/>
                <w:between w:val="nil"/>
              </w:pBdr>
              <w:suppressAutoHyphens/>
              <w:spacing w:line="203" w:lineRule="auto"/>
              <w:ind w:left="144"/>
              <w:jc w:val="center"/>
              <w:rPr>
                <w:sz w:val="18"/>
                <w:szCs w:val="18"/>
                <w:u w:val="single"/>
              </w:rPr>
            </w:pPr>
            <w:r w:rsidRPr="00DB1AEE">
              <w:rPr>
                <w:sz w:val="18"/>
                <w:szCs w:val="18"/>
                <w:u w:val="single"/>
              </w:rPr>
              <w:t>R-13ca+14.9ci</w:t>
            </w:r>
          </w:p>
        </w:tc>
        <w:tc>
          <w:tcPr>
            <w:tcW w:w="1440" w:type="dxa"/>
            <w:tcBorders>
              <w:top w:val="single" w:sz="4" w:space="0" w:color="000000"/>
              <w:left w:val="single" w:sz="4" w:space="0" w:color="000000"/>
              <w:bottom w:val="single" w:sz="4" w:space="0" w:color="000000"/>
              <w:right w:val="single" w:sz="4" w:space="0" w:color="000000"/>
            </w:tcBorders>
            <w:vAlign w:val="center"/>
          </w:tcPr>
          <w:p w14:paraId="4780DEA2" w14:textId="77777777" w:rsidR="00DB1AEE" w:rsidRPr="00DB1AEE" w:rsidRDefault="00DB1AEE" w:rsidP="00DB1AEE">
            <w:pPr>
              <w:widowControl w:val="0"/>
              <w:pBdr>
                <w:top w:val="nil"/>
                <w:left w:val="nil"/>
                <w:bottom w:val="nil"/>
                <w:right w:val="nil"/>
                <w:between w:val="nil"/>
              </w:pBdr>
              <w:suppressAutoHyphens/>
              <w:spacing w:line="203" w:lineRule="auto"/>
              <w:ind w:left="144"/>
              <w:jc w:val="center"/>
              <w:rPr>
                <w:sz w:val="18"/>
                <w:szCs w:val="18"/>
                <w:u w:val="single"/>
              </w:rPr>
            </w:pPr>
            <w:r w:rsidRPr="00DB1AEE">
              <w:rPr>
                <w:sz w:val="18"/>
                <w:szCs w:val="18"/>
                <w:u w:val="single"/>
              </w:rPr>
              <w:t>R-13ca + R-14.9ci</w:t>
            </w:r>
          </w:p>
        </w:tc>
        <w:tc>
          <w:tcPr>
            <w:tcW w:w="1440" w:type="dxa"/>
            <w:tcBorders>
              <w:top w:val="single" w:sz="4" w:space="0" w:color="000000"/>
              <w:left w:val="single" w:sz="4" w:space="0" w:color="000000"/>
              <w:bottom w:val="single" w:sz="4" w:space="0" w:color="000000"/>
              <w:right w:val="single" w:sz="4" w:space="0" w:color="000000"/>
            </w:tcBorders>
            <w:vAlign w:val="center"/>
          </w:tcPr>
          <w:p w14:paraId="35E9C0B2" w14:textId="77777777" w:rsidR="00DB1AEE" w:rsidRPr="00DB1AEE" w:rsidRDefault="00DB1AEE" w:rsidP="00DB1AEE">
            <w:pPr>
              <w:widowControl w:val="0"/>
              <w:pBdr>
                <w:top w:val="nil"/>
                <w:left w:val="nil"/>
                <w:bottom w:val="nil"/>
                <w:right w:val="nil"/>
                <w:between w:val="nil"/>
              </w:pBdr>
              <w:suppressAutoHyphens/>
              <w:spacing w:line="203" w:lineRule="auto"/>
              <w:ind w:left="144"/>
              <w:jc w:val="center"/>
              <w:rPr>
                <w:sz w:val="18"/>
                <w:szCs w:val="18"/>
                <w:u w:val="single"/>
              </w:rPr>
            </w:pPr>
            <w:r w:rsidRPr="00DB1AEE">
              <w:rPr>
                <w:sz w:val="18"/>
                <w:szCs w:val="18"/>
                <w:u w:val="single"/>
              </w:rPr>
              <w:t>R-13ca + R-14.9ci</w:t>
            </w:r>
          </w:p>
        </w:tc>
        <w:tc>
          <w:tcPr>
            <w:tcW w:w="1440" w:type="dxa"/>
            <w:tcBorders>
              <w:top w:val="single" w:sz="4" w:space="0" w:color="000000"/>
              <w:left w:val="single" w:sz="4" w:space="0" w:color="000000"/>
              <w:bottom w:val="single" w:sz="4" w:space="0" w:color="000000"/>
              <w:right w:val="single" w:sz="4" w:space="0" w:color="000000"/>
            </w:tcBorders>
            <w:vAlign w:val="center"/>
          </w:tcPr>
          <w:p w14:paraId="63925051" w14:textId="77777777" w:rsidR="00DB1AEE" w:rsidRPr="00DB1AEE" w:rsidRDefault="00DB1AEE" w:rsidP="00DB1AEE">
            <w:pPr>
              <w:widowControl w:val="0"/>
              <w:pBdr>
                <w:top w:val="nil"/>
                <w:left w:val="nil"/>
                <w:bottom w:val="nil"/>
                <w:right w:val="nil"/>
                <w:between w:val="nil"/>
              </w:pBdr>
              <w:suppressAutoHyphens/>
              <w:spacing w:line="203" w:lineRule="auto"/>
              <w:ind w:left="144"/>
              <w:jc w:val="center"/>
              <w:rPr>
                <w:sz w:val="18"/>
                <w:szCs w:val="18"/>
                <w:u w:val="single"/>
              </w:rPr>
            </w:pPr>
            <w:r w:rsidRPr="00DB1AEE">
              <w:rPr>
                <w:sz w:val="18"/>
                <w:szCs w:val="18"/>
                <w:u w:val="single"/>
              </w:rPr>
              <w:t>R-13ca + R-14.9ci</w:t>
            </w:r>
          </w:p>
        </w:tc>
        <w:tc>
          <w:tcPr>
            <w:tcW w:w="1440" w:type="dxa"/>
            <w:tcBorders>
              <w:top w:val="single" w:sz="4" w:space="0" w:color="000000"/>
              <w:left w:val="single" w:sz="4" w:space="0" w:color="000000"/>
              <w:bottom w:val="single" w:sz="4" w:space="0" w:color="000000"/>
              <w:right w:val="single" w:sz="4" w:space="0" w:color="000000"/>
            </w:tcBorders>
            <w:vAlign w:val="center"/>
          </w:tcPr>
          <w:p w14:paraId="7F202397" w14:textId="77777777" w:rsidR="00DB1AEE" w:rsidRPr="00DB1AEE" w:rsidRDefault="00DB1AEE" w:rsidP="00DB1AEE">
            <w:pPr>
              <w:widowControl w:val="0"/>
              <w:pBdr>
                <w:top w:val="nil"/>
                <w:left w:val="nil"/>
                <w:bottom w:val="nil"/>
                <w:right w:val="nil"/>
                <w:between w:val="nil"/>
              </w:pBdr>
              <w:suppressAutoHyphens/>
              <w:spacing w:line="203" w:lineRule="auto"/>
              <w:ind w:left="144"/>
              <w:jc w:val="center"/>
              <w:rPr>
                <w:sz w:val="18"/>
                <w:szCs w:val="18"/>
                <w:u w:val="single"/>
              </w:rPr>
            </w:pPr>
            <w:r w:rsidRPr="00DB1AEE">
              <w:rPr>
                <w:sz w:val="18"/>
                <w:szCs w:val="18"/>
                <w:u w:val="single"/>
              </w:rPr>
              <w:t>R-13ca + R-15.8ci</w:t>
            </w:r>
          </w:p>
        </w:tc>
      </w:tr>
      <w:tr w:rsidR="00DB1AEE" w:rsidRPr="00DB1AEE" w14:paraId="16EE68E5" w14:textId="77777777" w:rsidTr="00FC1832">
        <w:trPr>
          <w:trHeight w:val="473"/>
          <w:jc w:val="center"/>
        </w:trPr>
        <w:tc>
          <w:tcPr>
            <w:tcW w:w="1440" w:type="dxa"/>
            <w:tcBorders>
              <w:top w:val="single" w:sz="4" w:space="0" w:color="000000"/>
              <w:left w:val="single" w:sz="4" w:space="0" w:color="000000"/>
              <w:bottom w:val="single" w:sz="4" w:space="0" w:color="000000"/>
              <w:right w:val="single" w:sz="4" w:space="0" w:color="000000"/>
            </w:tcBorders>
            <w:vAlign w:val="center"/>
          </w:tcPr>
          <w:p w14:paraId="677D6EAE" w14:textId="77777777" w:rsidR="00DB1AEE" w:rsidRPr="00DB1AEE" w:rsidRDefault="00DB1AEE" w:rsidP="00DB1AEE">
            <w:pPr>
              <w:widowControl w:val="0"/>
              <w:pBdr>
                <w:top w:val="nil"/>
                <w:left w:val="nil"/>
                <w:bottom w:val="nil"/>
                <w:right w:val="nil"/>
                <w:between w:val="nil"/>
              </w:pBdr>
              <w:suppressAutoHyphens/>
              <w:spacing w:before="108"/>
              <w:ind w:left="83"/>
              <w:jc w:val="center"/>
              <w:rPr>
                <w:sz w:val="18"/>
                <w:szCs w:val="18"/>
                <w:u w:val="single"/>
                <w:vertAlign w:val="superscript"/>
              </w:rPr>
            </w:pPr>
            <w:r w:rsidRPr="00DB1AEE">
              <w:rPr>
                <w:sz w:val="18"/>
                <w:szCs w:val="18"/>
                <w:u w:val="single"/>
              </w:rPr>
              <w:t>Metal framed</w:t>
            </w:r>
            <w:r w:rsidRPr="00DB1AEE">
              <w:rPr>
                <w:sz w:val="18"/>
                <w:szCs w:val="18"/>
                <w:u w:val="single"/>
                <w:vertAlign w:val="superscript"/>
              </w:rPr>
              <w:t>j</w:t>
            </w:r>
          </w:p>
        </w:tc>
        <w:tc>
          <w:tcPr>
            <w:tcW w:w="1440" w:type="dxa"/>
            <w:tcBorders>
              <w:top w:val="single" w:sz="4" w:space="0" w:color="000000"/>
              <w:left w:val="single" w:sz="4" w:space="0" w:color="000000"/>
              <w:bottom w:val="single" w:sz="4" w:space="0" w:color="000000"/>
              <w:right w:val="single" w:sz="4" w:space="0" w:color="000000"/>
            </w:tcBorders>
            <w:vAlign w:val="center"/>
          </w:tcPr>
          <w:p w14:paraId="520BFA5A" w14:textId="77777777" w:rsidR="00DB1AEE" w:rsidRPr="00DB1AEE" w:rsidRDefault="00DB1AEE" w:rsidP="00DB1AEE">
            <w:pPr>
              <w:widowControl w:val="0"/>
              <w:pBdr>
                <w:top w:val="nil"/>
                <w:left w:val="nil"/>
                <w:bottom w:val="nil"/>
                <w:right w:val="nil"/>
                <w:between w:val="nil"/>
              </w:pBdr>
              <w:suppressAutoHyphens/>
              <w:spacing w:before="7" w:line="203" w:lineRule="auto"/>
              <w:ind w:left="139"/>
              <w:jc w:val="center"/>
              <w:rPr>
                <w:sz w:val="18"/>
                <w:szCs w:val="18"/>
                <w:u w:val="single"/>
              </w:rPr>
            </w:pPr>
          </w:p>
          <w:p w14:paraId="3090332D" w14:textId="77777777" w:rsidR="00DB1AEE" w:rsidRPr="00DB1AEE" w:rsidRDefault="00DB1AEE" w:rsidP="00DB1AEE">
            <w:pPr>
              <w:widowControl w:val="0"/>
              <w:pBdr>
                <w:top w:val="nil"/>
                <w:left w:val="nil"/>
                <w:bottom w:val="nil"/>
                <w:right w:val="nil"/>
                <w:between w:val="nil"/>
              </w:pBdr>
              <w:suppressAutoHyphens/>
              <w:spacing w:before="7" w:line="203" w:lineRule="auto"/>
              <w:ind w:left="139"/>
              <w:jc w:val="center"/>
              <w:rPr>
                <w:sz w:val="18"/>
                <w:szCs w:val="18"/>
                <w:u w:val="single"/>
              </w:rPr>
            </w:pPr>
            <w:r w:rsidRPr="00DB1AEE">
              <w:rPr>
                <w:sz w:val="18"/>
                <w:szCs w:val="18"/>
                <w:u w:val="single"/>
              </w:rPr>
              <w:t>R-13ca+8.5ci</w:t>
            </w:r>
          </w:p>
          <w:p w14:paraId="27080F14" w14:textId="77777777" w:rsidR="00DB1AEE" w:rsidRPr="00DB1AEE" w:rsidRDefault="00DB1AEE" w:rsidP="00DB1AEE">
            <w:pPr>
              <w:widowControl w:val="0"/>
              <w:pBdr>
                <w:top w:val="nil"/>
                <w:left w:val="nil"/>
                <w:bottom w:val="nil"/>
                <w:right w:val="nil"/>
                <w:between w:val="nil"/>
              </w:pBdr>
              <w:suppressAutoHyphens/>
              <w:spacing w:before="7" w:line="203" w:lineRule="auto"/>
              <w:ind w:left="139"/>
              <w:jc w:val="center"/>
              <w:rPr>
                <w:sz w:val="18"/>
                <w:szCs w:val="18"/>
                <w:u w:val="single"/>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7B3741E9" w14:textId="77777777" w:rsidR="00DB1AEE" w:rsidRPr="00DB1AEE" w:rsidRDefault="00DB1AEE" w:rsidP="00DB1AEE">
            <w:pPr>
              <w:widowControl w:val="0"/>
              <w:pBdr>
                <w:top w:val="nil"/>
                <w:left w:val="nil"/>
                <w:bottom w:val="nil"/>
                <w:right w:val="nil"/>
                <w:between w:val="nil"/>
              </w:pBdr>
              <w:suppressAutoHyphens/>
              <w:spacing w:before="13" w:line="203" w:lineRule="auto"/>
              <w:ind w:left="139"/>
              <w:jc w:val="center"/>
              <w:rPr>
                <w:sz w:val="18"/>
                <w:szCs w:val="18"/>
                <w:u w:val="single"/>
              </w:rPr>
            </w:pPr>
          </w:p>
          <w:p w14:paraId="11E88B12" w14:textId="77777777" w:rsidR="00DB1AEE" w:rsidRPr="00DB1AEE" w:rsidRDefault="00DB1AEE" w:rsidP="00DB1AEE">
            <w:pPr>
              <w:widowControl w:val="0"/>
              <w:pBdr>
                <w:top w:val="nil"/>
                <w:left w:val="nil"/>
                <w:bottom w:val="nil"/>
                <w:right w:val="nil"/>
                <w:between w:val="nil"/>
              </w:pBdr>
              <w:suppressAutoHyphens/>
              <w:spacing w:before="13" w:line="203" w:lineRule="auto"/>
              <w:ind w:left="139"/>
              <w:jc w:val="center"/>
              <w:rPr>
                <w:sz w:val="18"/>
                <w:szCs w:val="18"/>
                <w:u w:val="single"/>
              </w:rPr>
            </w:pPr>
            <w:r w:rsidRPr="00DB1AEE">
              <w:rPr>
                <w:sz w:val="18"/>
                <w:szCs w:val="18"/>
                <w:u w:val="single"/>
              </w:rPr>
              <w:t>R-13ca +8.5ci</w:t>
            </w:r>
          </w:p>
          <w:p w14:paraId="212BFC18" w14:textId="77777777" w:rsidR="00DB1AEE" w:rsidRPr="00DB1AEE" w:rsidRDefault="00DB1AEE" w:rsidP="00DB1AEE">
            <w:pPr>
              <w:widowControl w:val="0"/>
              <w:pBdr>
                <w:top w:val="nil"/>
                <w:left w:val="nil"/>
                <w:bottom w:val="nil"/>
                <w:right w:val="nil"/>
                <w:between w:val="nil"/>
              </w:pBdr>
              <w:suppressAutoHyphens/>
              <w:spacing w:before="13" w:line="203" w:lineRule="auto"/>
              <w:ind w:left="139"/>
              <w:jc w:val="center"/>
              <w:rPr>
                <w:sz w:val="18"/>
                <w:szCs w:val="18"/>
                <w:u w:val="single"/>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2F72F44B" w14:textId="77777777" w:rsidR="00DB1AEE" w:rsidRPr="00DB1AEE" w:rsidRDefault="00DB1AEE" w:rsidP="00DB1AEE">
            <w:pPr>
              <w:widowControl w:val="0"/>
              <w:pBdr>
                <w:top w:val="nil"/>
                <w:left w:val="nil"/>
                <w:bottom w:val="nil"/>
                <w:right w:val="nil"/>
                <w:between w:val="nil"/>
              </w:pBdr>
              <w:suppressAutoHyphens/>
              <w:spacing w:before="13" w:line="203" w:lineRule="auto"/>
              <w:ind w:left="139"/>
              <w:jc w:val="center"/>
              <w:rPr>
                <w:sz w:val="18"/>
                <w:szCs w:val="18"/>
                <w:u w:val="single"/>
              </w:rPr>
            </w:pPr>
            <w:r w:rsidRPr="00DB1AEE">
              <w:rPr>
                <w:sz w:val="18"/>
                <w:szCs w:val="18"/>
                <w:u w:val="single"/>
              </w:rPr>
              <w:t>R-13ca+7.5ci</w:t>
            </w:r>
          </w:p>
        </w:tc>
        <w:tc>
          <w:tcPr>
            <w:tcW w:w="1440" w:type="dxa"/>
            <w:tcBorders>
              <w:top w:val="single" w:sz="4" w:space="0" w:color="000000"/>
              <w:left w:val="single" w:sz="4" w:space="0" w:color="000000"/>
              <w:bottom w:val="single" w:sz="4" w:space="0" w:color="000000"/>
              <w:right w:val="single" w:sz="4" w:space="0" w:color="000000"/>
            </w:tcBorders>
            <w:vAlign w:val="center"/>
          </w:tcPr>
          <w:p w14:paraId="6812B756" w14:textId="77777777" w:rsidR="00DB1AEE" w:rsidRPr="00DB1AEE" w:rsidRDefault="00DB1AEE" w:rsidP="00DB1AEE">
            <w:pPr>
              <w:widowControl w:val="0"/>
              <w:pBdr>
                <w:top w:val="nil"/>
                <w:left w:val="nil"/>
                <w:bottom w:val="nil"/>
                <w:right w:val="nil"/>
                <w:between w:val="nil"/>
              </w:pBdr>
              <w:suppressAutoHyphens/>
              <w:spacing w:before="13" w:line="203" w:lineRule="auto"/>
              <w:ind w:left="139"/>
              <w:jc w:val="center"/>
              <w:rPr>
                <w:sz w:val="18"/>
                <w:szCs w:val="18"/>
                <w:u w:val="single"/>
              </w:rPr>
            </w:pPr>
            <w:r w:rsidRPr="00DB1AEE">
              <w:rPr>
                <w:sz w:val="18"/>
                <w:szCs w:val="18"/>
                <w:u w:val="single"/>
              </w:rPr>
              <w:t>R-13ca+7.5ci</w:t>
            </w:r>
          </w:p>
        </w:tc>
        <w:tc>
          <w:tcPr>
            <w:tcW w:w="1440" w:type="dxa"/>
            <w:tcBorders>
              <w:top w:val="single" w:sz="4" w:space="0" w:color="000000"/>
              <w:left w:val="single" w:sz="4" w:space="0" w:color="000000"/>
              <w:bottom w:val="single" w:sz="4" w:space="0" w:color="000000"/>
              <w:right w:val="single" w:sz="4" w:space="0" w:color="000000"/>
            </w:tcBorders>
            <w:vAlign w:val="center"/>
          </w:tcPr>
          <w:p w14:paraId="31105322" w14:textId="77777777" w:rsidR="00DB1AEE" w:rsidRPr="00DB1AEE" w:rsidRDefault="00DB1AEE" w:rsidP="00DB1AEE">
            <w:pPr>
              <w:widowControl w:val="0"/>
              <w:pBdr>
                <w:top w:val="nil"/>
                <w:left w:val="nil"/>
                <w:bottom w:val="nil"/>
                <w:right w:val="nil"/>
                <w:between w:val="nil"/>
              </w:pBdr>
              <w:suppressAutoHyphens/>
              <w:spacing w:before="13" w:line="203" w:lineRule="auto"/>
              <w:ind w:left="139"/>
              <w:jc w:val="center"/>
              <w:rPr>
                <w:sz w:val="18"/>
                <w:szCs w:val="18"/>
                <w:u w:val="single"/>
              </w:rPr>
            </w:pPr>
            <w:r w:rsidRPr="00DB1AEE">
              <w:rPr>
                <w:sz w:val="18"/>
                <w:szCs w:val="18"/>
                <w:u w:val="single"/>
              </w:rPr>
              <w:t>R-13ca+7.5ci</w:t>
            </w:r>
          </w:p>
        </w:tc>
        <w:tc>
          <w:tcPr>
            <w:tcW w:w="1440" w:type="dxa"/>
            <w:tcBorders>
              <w:top w:val="single" w:sz="4" w:space="0" w:color="000000"/>
              <w:left w:val="single" w:sz="4" w:space="0" w:color="000000"/>
              <w:bottom w:val="single" w:sz="4" w:space="0" w:color="000000"/>
              <w:right w:val="single" w:sz="4" w:space="0" w:color="000000"/>
            </w:tcBorders>
            <w:vAlign w:val="center"/>
          </w:tcPr>
          <w:p w14:paraId="5A52009D" w14:textId="77777777" w:rsidR="00DB1AEE" w:rsidRPr="00DB1AEE" w:rsidRDefault="00DB1AEE" w:rsidP="00DB1AEE">
            <w:pPr>
              <w:widowControl w:val="0"/>
              <w:pBdr>
                <w:top w:val="nil"/>
                <w:left w:val="nil"/>
                <w:bottom w:val="nil"/>
                <w:right w:val="nil"/>
                <w:between w:val="nil"/>
              </w:pBdr>
              <w:suppressAutoHyphens/>
              <w:spacing w:before="13" w:line="203" w:lineRule="auto"/>
              <w:ind w:left="139"/>
              <w:jc w:val="center"/>
              <w:rPr>
                <w:sz w:val="18"/>
                <w:szCs w:val="18"/>
                <w:u w:val="single"/>
              </w:rPr>
            </w:pPr>
            <w:r w:rsidRPr="00DB1AEE">
              <w:rPr>
                <w:sz w:val="18"/>
                <w:szCs w:val="18"/>
                <w:u w:val="single"/>
              </w:rPr>
              <w:t>R-13ca+7.5ci</w:t>
            </w:r>
          </w:p>
        </w:tc>
      </w:tr>
      <w:tr w:rsidR="00DB1AEE" w:rsidRPr="00DB1AEE" w14:paraId="1869162C" w14:textId="77777777" w:rsidTr="00FC1832">
        <w:trPr>
          <w:trHeight w:val="1142"/>
          <w:jc w:val="center"/>
        </w:trPr>
        <w:tc>
          <w:tcPr>
            <w:tcW w:w="1440" w:type="dxa"/>
            <w:tcBorders>
              <w:top w:val="single" w:sz="4" w:space="0" w:color="000000"/>
              <w:left w:val="single" w:sz="4" w:space="0" w:color="000000"/>
              <w:bottom w:val="single" w:sz="4" w:space="0" w:color="000000"/>
              <w:right w:val="single" w:sz="4" w:space="0" w:color="000000"/>
            </w:tcBorders>
            <w:vAlign w:val="center"/>
          </w:tcPr>
          <w:p w14:paraId="533AD535" w14:textId="77777777" w:rsidR="00DB1AEE" w:rsidRPr="00DB1AEE" w:rsidRDefault="00DB1AEE" w:rsidP="00DB1AEE">
            <w:pPr>
              <w:widowControl w:val="0"/>
              <w:pBdr>
                <w:top w:val="nil"/>
                <w:left w:val="nil"/>
                <w:bottom w:val="nil"/>
                <w:right w:val="nil"/>
                <w:between w:val="nil"/>
              </w:pBdr>
              <w:suppressAutoHyphens/>
              <w:spacing w:line="232" w:lineRule="auto"/>
              <w:ind w:left="83" w:right="153"/>
              <w:jc w:val="center"/>
              <w:rPr>
                <w:sz w:val="18"/>
                <w:szCs w:val="18"/>
                <w:u w:val="single"/>
              </w:rPr>
            </w:pPr>
            <w:r w:rsidRPr="00DB1AEE">
              <w:rPr>
                <w:sz w:val="18"/>
                <w:szCs w:val="18"/>
                <w:u w:val="single"/>
              </w:rPr>
              <w:t>Wood framed and other</w:t>
            </w:r>
          </w:p>
        </w:tc>
        <w:tc>
          <w:tcPr>
            <w:tcW w:w="1440" w:type="dxa"/>
            <w:tcBorders>
              <w:top w:val="single" w:sz="4" w:space="0" w:color="000000"/>
              <w:left w:val="single" w:sz="4" w:space="0" w:color="000000"/>
              <w:bottom w:val="single" w:sz="4" w:space="0" w:color="000000"/>
              <w:right w:val="single" w:sz="4" w:space="0" w:color="000000"/>
            </w:tcBorders>
            <w:vAlign w:val="center"/>
          </w:tcPr>
          <w:p w14:paraId="13123F0E" w14:textId="77777777" w:rsidR="00DB1AEE" w:rsidRPr="00DB1AEE" w:rsidRDefault="00DB1AEE" w:rsidP="00DB1AEE">
            <w:pPr>
              <w:widowControl w:val="0"/>
              <w:pBdr>
                <w:top w:val="nil"/>
                <w:left w:val="nil"/>
                <w:bottom w:val="nil"/>
                <w:right w:val="nil"/>
                <w:between w:val="nil"/>
              </w:pBdr>
              <w:suppressAutoHyphens/>
              <w:spacing w:before="115" w:line="230" w:lineRule="auto"/>
              <w:ind w:left="124" w:right="111" w:firstLine="14"/>
              <w:jc w:val="center"/>
              <w:rPr>
                <w:sz w:val="18"/>
                <w:szCs w:val="18"/>
                <w:u w:val="single"/>
              </w:rPr>
            </w:pPr>
            <w:r w:rsidRPr="00DB1AEE">
              <w:rPr>
                <w:sz w:val="18"/>
                <w:szCs w:val="18"/>
                <w:u w:val="single"/>
              </w:rPr>
              <w:t>R-13ca+4.5ci or R-19ca+1.5ci</w:t>
            </w:r>
          </w:p>
        </w:tc>
        <w:tc>
          <w:tcPr>
            <w:tcW w:w="1440" w:type="dxa"/>
            <w:tcBorders>
              <w:top w:val="single" w:sz="4" w:space="0" w:color="000000"/>
              <w:left w:val="single" w:sz="4" w:space="0" w:color="000000"/>
              <w:bottom w:val="single" w:sz="4" w:space="0" w:color="000000"/>
              <w:right w:val="single" w:sz="4" w:space="0" w:color="000000"/>
            </w:tcBorders>
            <w:vAlign w:val="center"/>
          </w:tcPr>
          <w:p w14:paraId="3E09A5AC" w14:textId="77777777" w:rsidR="00DB1AEE" w:rsidRPr="00DB1AEE" w:rsidRDefault="00DB1AEE" w:rsidP="00DB1AEE">
            <w:pPr>
              <w:widowControl w:val="0"/>
              <w:pBdr>
                <w:top w:val="nil"/>
                <w:left w:val="nil"/>
                <w:bottom w:val="nil"/>
                <w:right w:val="nil"/>
                <w:between w:val="nil"/>
              </w:pBdr>
              <w:suppressAutoHyphens/>
              <w:spacing w:before="116" w:line="230" w:lineRule="auto"/>
              <w:ind w:left="122" w:right="111" w:firstLine="14"/>
              <w:jc w:val="center"/>
              <w:rPr>
                <w:sz w:val="18"/>
                <w:szCs w:val="18"/>
                <w:u w:val="single"/>
              </w:rPr>
            </w:pPr>
            <w:r w:rsidRPr="00DB1AEE">
              <w:rPr>
                <w:sz w:val="18"/>
                <w:szCs w:val="18"/>
                <w:u w:val="single"/>
              </w:rPr>
              <w:t>R-13ca+4.5ci or R-19ca+1.5ci</w:t>
            </w:r>
          </w:p>
        </w:tc>
        <w:tc>
          <w:tcPr>
            <w:tcW w:w="1440" w:type="dxa"/>
            <w:tcBorders>
              <w:top w:val="single" w:sz="4" w:space="0" w:color="000000"/>
              <w:left w:val="single" w:sz="4" w:space="0" w:color="000000"/>
              <w:bottom w:val="single" w:sz="4" w:space="0" w:color="000000"/>
              <w:right w:val="single" w:sz="4" w:space="0" w:color="000000"/>
            </w:tcBorders>
            <w:vAlign w:val="center"/>
          </w:tcPr>
          <w:p w14:paraId="13258A0F" w14:textId="77777777" w:rsidR="00DB1AEE" w:rsidRPr="00DB1AEE" w:rsidRDefault="00DB1AEE" w:rsidP="00DB1AEE">
            <w:pPr>
              <w:widowControl w:val="0"/>
              <w:pBdr>
                <w:top w:val="nil"/>
                <w:left w:val="nil"/>
                <w:bottom w:val="nil"/>
                <w:right w:val="nil"/>
                <w:between w:val="nil"/>
              </w:pBdr>
              <w:suppressAutoHyphens/>
              <w:spacing w:before="116" w:line="230" w:lineRule="auto"/>
              <w:ind w:left="122" w:right="111" w:firstLine="14"/>
              <w:jc w:val="center"/>
              <w:rPr>
                <w:sz w:val="18"/>
                <w:szCs w:val="18"/>
                <w:u w:val="single"/>
              </w:rPr>
            </w:pPr>
            <w:r w:rsidRPr="00DB1AEE">
              <w:rPr>
                <w:sz w:val="18"/>
                <w:szCs w:val="18"/>
                <w:u w:val="single"/>
              </w:rPr>
              <w:t>R-11 + R-10ci</w:t>
            </w:r>
          </w:p>
          <w:p w14:paraId="222E1B5F" w14:textId="77777777" w:rsidR="00DB1AEE" w:rsidRPr="00DB1AEE" w:rsidRDefault="00DB1AEE" w:rsidP="00DB1AEE">
            <w:pPr>
              <w:widowControl w:val="0"/>
              <w:pBdr>
                <w:top w:val="nil"/>
                <w:left w:val="nil"/>
                <w:bottom w:val="nil"/>
                <w:right w:val="nil"/>
                <w:between w:val="nil"/>
              </w:pBdr>
              <w:suppressAutoHyphens/>
              <w:spacing w:before="116" w:line="230" w:lineRule="auto"/>
              <w:ind w:left="122" w:right="111" w:firstLine="14"/>
              <w:jc w:val="center"/>
              <w:rPr>
                <w:sz w:val="18"/>
                <w:szCs w:val="18"/>
                <w:u w:val="single"/>
              </w:rPr>
            </w:pPr>
            <w:r w:rsidRPr="00DB1AEE">
              <w:rPr>
                <w:sz w:val="18"/>
                <w:szCs w:val="18"/>
                <w:u w:val="single"/>
              </w:rPr>
              <w:t>or</w:t>
            </w:r>
          </w:p>
          <w:p w14:paraId="5DDCCEA5" w14:textId="77777777" w:rsidR="00DB1AEE" w:rsidRPr="00DB1AEE" w:rsidRDefault="00DB1AEE" w:rsidP="00DB1AEE">
            <w:pPr>
              <w:widowControl w:val="0"/>
              <w:pBdr>
                <w:top w:val="nil"/>
                <w:left w:val="nil"/>
                <w:bottom w:val="nil"/>
                <w:right w:val="nil"/>
                <w:between w:val="nil"/>
              </w:pBdr>
              <w:suppressAutoHyphens/>
              <w:spacing w:before="116" w:line="230" w:lineRule="auto"/>
              <w:ind w:left="122" w:right="111" w:firstLine="14"/>
              <w:jc w:val="center"/>
              <w:rPr>
                <w:sz w:val="18"/>
                <w:szCs w:val="18"/>
                <w:u w:val="single"/>
              </w:rPr>
            </w:pPr>
            <w:r w:rsidRPr="00DB1AEE">
              <w:rPr>
                <w:sz w:val="18"/>
                <w:szCs w:val="18"/>
                <w:u w:val="single"/>
              </w:rPr>
              <w:t>R-19 + R-5ci</w:t>
            </w:r>
          </w:p>
          <w:p w14:paraId="7AF0868D" w14:textId="77777777" w:rsidR="00DB1AEE" w:rsidRPr="00DB1AEE" w:rsidRDefault="00DB1AEE" w:rsidP="00DB1AEE">
            <w:pPr>
              <w:widowControl w:val="0"/>
              <w:pBdr>
                <w:top w:val="nil"/>
                <w:left w:val="nil"/>
                <w:bottom w:val="nil"/>
                <w:right w:val="nil"/>
                <w:between w:val="nil"/>
              </w:pBdr>
              <w:suppressAutoHyphens/>
              <w:spacing w:before="116" w:line="230" w:lineRule="auto"/>
              <w:ind w:left="122" w:right="111" w:firstLine="14"/>
              <w:jc w:val="center"/>
              <w:rPr>
                <w:sz w:val="18"/>
                <w:szCs w:val="18"/>
                <w:u w:val="single"/>
              </w:rPr>
            </w:pPr>
            <w:r w:rsidRPr="00DB1AEE">
              <w:rPr>
                <w:sz w:val="18"/>
                <w:szCs w:val="18"/>
                <w:u w:val="single"/>
              </w:rPr>
              <w:t>or</w:t>
            </w:r>
          </w:p>
          <w:p w14:paraId="7866BDAA" w14:textId="77777777" w:rsidR="00DB1AEE" w:rsidRPr="00DB1AEE" w:rsidRDefault="00DB1AEE" w:rsidP="00DB1AEE">
            <w:pPr>
              <w:widowControl w:val="0"/>
              <w:pBdr>
                <w:top w:val="nil"/>
                <w:left w:val="nil"/>
                <w:bottom w:val="nil"/>
                <w:right w:val="nil"/>
                <w:between w:val="nil"/>
              </w:pBdr>
              <w:suppressAutoHyphens/>
              <w:spacing w:before="116" w:line="230" w:lineRule="auto"/>
              <w:ind w:left="122" w:right="111" w:firstLine="14"/>
              <w:jc w:val="center"/>
              <w:rPr>
                <w:sz w:val="18"/>
                <w:szCs w:val="18"/>
                <w:u w:val="single"/>
              </w:rPr>
            </w:pPr>
            <w:r w:rsidRPr="00DB1AEE">
              <w:rPr>
                <w:sz w:val="18"/>
                <w:szCs w:val="18"/>
                <w:u w:val="single"/>
              </w:rPr>
              <w:t>R-21 + R-4ci</w:t>
            </w:r>
          </w:p>
        </w:tc>
        <w:tc>
          <w:tcPr>
            <w:tcW w:w="1440" w:type="dxa"/>
            <w:tcBorders>
              <w:top w:val="single" w:sz="4" w:space="0" w:color="000000"/>
              <w:left w:val="single" w:sz="4" w:space="0" w:color="000000"/>
              <w:bottom w:val="single" w:sz="4" w:space="0" w:color="000000"/>
              <w:right w:val="single" w:sz="4" w:space="0" w:color="000000"/>
            </w:tcBorders>
            <w:vAlign w:val="center"/>
          </w:tcPr>
          <w:p w14:paraId="18871913" w14:textId="77777777" w:rsidR="00DB1AEE" w:rsidRPr="00DB1AEE" w:rsidRDefault="00DB1AEE" w:rsidP="00DB1AEE">
            <w:pPr>
              <w:widowControl w:val="0"/>
              <w:pBdr>
                <w:top w:val="nil"/>
                <w:left w:val="nil"/>
                <w:bottom w:val="nil"/>
                <w:right w:val="nil"/>
                <w:between w:val="nil"/>
              </w:pBdr>
              <w:suppressAutoHyphens/>
              <w:spacing w:before="116" w:line="230" w:lineRule="auto"/>
              <w:ind w:left="122" w:right="111" w:firstLine="14"/>
              <w:jc w:val="center"/>
              <w:rPr>
                <w:sz w:val="18"/>
                <w:szCs w:val="18"/>
                <w:u w:val="single"/>
              </w:rPr>
            </w:pPr>
            <w:r w:rsidRPr="00DB1AEE">
              <w:rPr>
                <w:sz w:val="18"/>
                <w:szCs w:val="18"/>
                <w:u w:val="single"/>
              </w:rPr>
              <w:t>R-11 + R-10ci</w:t>
            </w:r>
          </w:p>
          <w:p w14:paraId="11D99A30" w14:textId="77777777" w:rsidR="00DB1AEE" w:rsidRPr="00DB1AEE" w:rsidRDefault="00DB1AEE" w:rsidP="00DB1AEE">
            <w:pPr>
              <w:widowControl w:val="0"/>
              <w:pBdr>
                <w:top w:val="nil"/>
                <w:left w:val="nil"/>
                <w:bottom w:val="nil"/>
                <w:right w:val="nil"/>
                <w:between w:val="nil"/>
              </w:pBdr>
              <w:suppressAutoHyphens/>
              <w:spacing w:before="116" w:line="230" w:lineRule="auto"/>
              <w:ind w:left="122" w:right="111" w:firstLine="14"/>
              <w:jc w:val="center"/>
              <w:rPr>
                <w:sz w:val="18"/>
                <w:szCs w:val="18"/>
                <w:u w:val="single"/>
              </w:rPr>
            </w:pPr>
            <w:r w:rsidRPr="00DB1AEE">
              <w:rPr>
                <w:sz w:val="18"/>
                <w:szCs w:val="18"/>
                <w:u w:val="single"/>
              </w:rPr>
              <w:t>or</w:t>
            </w:r>
          </w:p>
          <w:p w14:paraId="63FCE453" w14:textId="77777777" w:rsidR="00DB1AEE" w:rsidRPr="00DB1AEE" w:rsidRDefault="00DB1AEE" w:rsidP="00DB1AEE">
            <w:pPr>
              <w:widowControl w:val="0"/>
              <w:pBdr>
                <w:top w:val="nil"/>
                <w:left w:val="nil"/>
                <w:bottom w:val="nil"/>
                <w:right w:val="nil"/>
                <w:between w:val="nil"/>
              </w:pBdr>
              <w:suppressAutoHyphens/>
              <w:spacing w:before="116" w:line="230" w:lineRule="auto"/>
              <w:ind w:left="122" w:right="111" w:firstLine="14"/>
              <w:jc w:val="center"/>
              <w:rPr>
                <w:sz w:val="18"/>
                <w:szCs w:val="18"/>
                <w:u w:val="single"/>
              </w:rPr>
            </w:pPr>
            <w:r w:rsidRPr="00DB1AEE">
              <w:rPr>
                <w:sz w:val="18"/>
                <w:szCs w:val="18"/>
                <w:u w:val="single"/>
              </w:rPr>
              <w:t>R-19 + R-5ci</w:t>
            </w:r>
          </w:p>
          <w:p w14:paraId="77D02987" w14:textId="77777777" w:rsidR="00DB1AEE" w:rsidRPr="00DB1AEE" w:rsidRDefault="00DB1AEE" w:rsidP="00DB1AEE">
            <w:pPr>
              <w:widowControl w:val="0"/>
              <w:pBdr>
                <w:top w:val="nil"/>
                <w:left w:val="nil"/>
                <w:bottom w:val="nil"/>
                <w:right w:val="nil"/>
                <w:between w:val="nil"/>
              </w:pBdr>
              <w:suppressAutoHyphens/>
              <w:spacing w:before="116" w:line="230" w:lineRule="auto"/>
              <w:ind w:left="122" w:right="111" w:firstLine="14"/>
              <w:jc w:val="center"/>
              <w:rPr>
                <w:sz w:val="18"/>
                <w:szCs w:val="18"/>
                <w:u w:val="single"/>
              </w:rPr>
            </w:pPr>
            <w:r w:rsidRPr="00DB1AEE">
              <w:rPr>
                <w:sz w:val="18"/>
                <w:szCs w:val="18"/>
                <w:u w:val="single"/>
              </w:rPr>
              <w:t>or</w:t>
            </w:r>
          </w:p>
          <w:p w14:paraId="07D61708" w14:textId="77777777" w:rsidR="00DB1AEE" w:rsidRPr="00DB1AEE" w:rsidRDefault="00DB1AEE" w:rsidP="00DB1AEE">
            <w:pPr>
              <w:widowControl w:val="0"/>
              <w:pBdr>
                <w:top w:val="nil"/>
                <w:left w:val="nil"/>
                <w:bottom w:val="nil"/>
                <w:right w:val="nil"/>
                <w:between w:val="nil"/>
              </w:pBdr>
              <w:suppressAutoHyphens/>
              <w:spacing w:before="116" w:line="230" w:lineRule="auto"/>
              <w:ind w:left="122" w:right="111" w:firstLine="14"/>
              <w:jc w:val="center"/>
              <w:rPr>
                <w:sz w:val="18"/>
                <w:szCs w:val="18"/>
                <w:u w:val="single"/>
              </w:rPr>
            </w:pPr>
            <w:r w:rsidRPr="00DB1AEE">
              <w:rPr>
                <w:sz w:val="18"/>
                <w:szCs w:val="18"/>
                <w:u w:val="single"/>
              </w:rPr>
              <w:t>R-21 + R-4ci</w:t>
            </w:r>
          </w:p>
        </w:tc>
        <w:tc>
          <w:tcPr>
            <w:tcW w:w="1440" w:type="dxa"/>
            <w:tcBorders>
              <w:top w:val="single" w:sz="4" w:space="0" w:color="000000"/>
              <w:left w:val="single" w:sz="4" w:space="0" w:color="000000"/>
              <w:bottom w:val="single" w:sz="4" w:space="0" w:color="000000"/>
              <w:right w:val="single" w:sz="4" w:space="0" w:color="000000"/>
            </w:tcBorders>
            <w:vAlign w:val="center"/>
          </w:tcPr>
          <w:p w14:paraId="3B3E5277" w14:textId="77777777" w:rsidR="00DB1AEE" w:rsidRPr="00DB1AEE" w:rsidRDefault="00DB1AEE" w:rsidP="00DB1AEE">
            <w:pPr>
              <w:widowControl w:val="0"/>
              <w:pBdr>
                <w:top w:val="nil"/>
                <w:left w:val="nil"/>
                <w:bottom w:val="nil"/>
                <w:right w:val="nil"/>
                <w:between w:val="nil"/>
              </w:pBdr>
              <w:suppressAutoHyphens/>
              <w:spacing w:before="116" w:line="230" w:lineRule="auto"/>
              <w:ind w:left="122" w:right="111" w:firstLine="14"/>
              <w:jc w:val="center"/>
              <w:rPr>
                <w:sz w:val="18"/>
                <w:szCs w:val="18"/>
                <w:u w:val="single"/>
              </w:rPr>
            </w:pPr>
            <w:r w:rsidRPr="00DB1AEE">
              <w:rPr>
                <w:sz w:val="18"/>
                <w:szCs w:val="18"/>
                <w:u w:val="single"/>
              </w:rPr>
              <w:t>R-11 + R-10ci</w:t>
            </w:r>
          </w:p>
          <w:p w14:paraId="60EE80C9" w14:textId="77777777" w:rsidR="00DB1AEE" w:rsidRPr="00DB1AEE" w:rsidRDefault="00DB1AEE" w:rsidP="00DB1AEE">
            <w:pPr>
              <w:widowControl w:val="0"/>
              <w:pBdr>
                <w:top w:val="nil"/>
                <w:left w:val="nil"/>
                <w:bottom w:val="nil"/>
                <w:right w:val="nil"/>
                <w:between w:val="nil"/>
              </w:pBdr>
              <w:suppressAutoHyphens/>
              <w:spacing w:before="116" w:line="230" w:lineRule="auto"/>
              <w:ind w:left="122" w:right="111" w:firstLine="14"/>
              <w:jc w:val="center"/>
              <w:rPr>
                <w:sz w:val="18"/>
                <w:szCs w:val="18"/>
                <w:u w:val="single"/>
              </w:rPr>
            </w:pPr>
            <w:r w:rsidRPr="00DB1AEE">
              <w:rPr>
                <w:sz w:val="18"/>
                <w:szCs w:val="18"/>
                <w:u w:val="single"/>
              </w:rPr>
              <w:t>or</w:t>
            </w:r>
          </w:p>
          <w:p w14:paraId="38CF8BE4" w14:textId="77777777" w:rsidR="00DB1AEE" w:rsidRPr="00DB1AEE" w:rsidRDefault="00DB1AEE" w:rsidP="00DB1AEE">
            <w:pPr>
              <w:widowControl w:val="0"/>
              <w:pBdr>
                <w:top w:val="nil"/>
                <w:left w:val="nil"/>
                <w:bottom w:val="nil"/>
                <w:right w:val="nil"/>
                <w:between w:val="nil"/>
              </w:pBdr>
              <w:suppressAutoHyphens/>
              <w:spacing w:before="116" w:line="230" w:lineRule="auto"/>
              <w:ind w:left="122" w:right="111" w:firstLine="14"/>
              <w:jc w:val="center"/>
              <w:rPr>
                <w:sz w:val="18"/>
                <w:szCs w:val="18"/>
                <w:u w:val="single"/>
              </w:rPr>
            </w:pPr>
            <w:r w:rsidRPr="00DB1AEE">
              <w:rPr>
                <w:sz w:val="18"/>
                <w:szCs w:val="18"/>
                <w:u w:val="single"/>
              </w:rPr>
              <w:t>R-19 + R-5ci</w:t>
            </w:r>
          </w:p>
          <w:p w14:paraId="0D3680C0" w14:textId="77777777" w:rsidR="00DB1AEE" w:rsidRPr="00DB1AEE" w:rsidRDefault="00DB1AEE" w:rsidP="00DB1AEE">
            <w:pPr>
              <w:widowControl w:val="0"/>
              <w:pBdr>
                <w:top w:val="nil"/>
                <w:left w:val="nil"/>
                <w:bottom w:val="nil"/>
                <w:right w:val="nil"/>
                <w:between w:val="nil"/>
              </w:pBdr>
              <w:suppressAutoHyphens/>
              <w:spacing w:before="116" w:line="230" w:lineRule="auto"/>
              <w:ind w:left="122" w:right="111" w:firstLine="14"/>
              <w:jc w:val="center"/>
              <w:rPr>
                <w:sz w:val="18"/>
                <w:szCs w:val="18"/>
                <w:u w:val="single"/>
              </w:rPr>
            </w:pPr>
            <w:r w:rsidRPr="00DB1AEE">
              <w:rPr>
                <w:sz w:val="18"/>
                <w:szCs w:val="18"/>
                <w:u w:val="single"/>
              </w:rPr>
              <w:t>or</w:t>
            </w:r>
          </w:p>
          <w:p w14:paraId="7EF5EDD5" w14:textId="77777777" w:rsidR="00DB1AEE" w:rsidRPr="00DB1AEE" w:rsidRDefault="00DB1AEE" w:rsidP="00DB1AEE">
            <w:pPr>
              <w:widowControl w:val="0"/>
              <w:pBdr>
                <w:top w:val="nil"/>
                <w:left w:val="nil"/>
                <w:bottom w:val="nil"/>
                <w:right w:val="nil"/>
                <w:between w:val="nil"/>
              </w:pBdr>
              <w:suppressAutoHyphens/>
              <w:spacing w:before="116" w:line="230" w:lineRule="auto"/>
              <w:ind w:left="122" w:right="111" w:firstLine="14"/>
              <w:jc w:val="center"/>
              <w:rPr>
                <w:sz w:val="18"/>
                <w:szCs w:val="18"/>
                <w:u w:val="single"/>
              </w:rPr>
            </w:pPr>
            <w:r w:rsidRPr="00DB1AEE">
              <w:rPr>
                <w:sz w:val="18"/>
                <w:szCs w:val="18"/>
                <w:u w:val="single"/>
              </w:rPr>
              <w:t>R-21 + R-4ci</w:t>
            </w:r>
          </w:p>
        </w:tc>
        <w:tc>
          <w:tcPr>
            <w:tcW w:w="1440" w:type="dxa"/>
            <w:tcBorders>
              <w:top w:val="single" w:sz="4" w:space="0" w:color="000000"/>
              <w:left w:val="single" w:sz="4" w:space="0" w:color="000000"/>
              <w:bottom w:val="single" w:sz="4" w:space="0" w:color="000000"/>
              <w:right w:val="single" w:sz="4" w:space="0" w:color="000000"/>
            </w:tcBorders>
            <w:vAlign w:val="center"/>
          </w:tcPr>
          <w:p w14:paraId="3BB20B66" w14:textId="77777777" w:rsidR="00DB1AEE" w:rsidRPr="00DB1AEE" w:rsidRDefault="00DB1AEE" w:rsidP="00DB1AEE">
            <w:pPr>
              <w:widowControl w:val="0"/>
              <w:pBdr>
                <w:top w:val="nil"/>
                <w:left w:val="nil"/>
                <w:bottom w:val="nil"/>
                <w:right w:val="nil"/>
                <w:between w:val="nil"/>
              </w:pBdr>
              <w:suppressAutoHyphens/>
              <w:spacing w:before="116" w:line="230" w:lineRule="auto"/>
              <w:ind w:left="122" w:right="111" w:firstLine="14"/>
              <w:jc w:val="center"/>
              <w:rPr>
                <w:sz w:val="18"/>
                <w:szCs w:val="18"/>
                <w:u w:val="single"/>
              </w:rPr>
            </w:pPr>
            <w:r w:rsidRPr="00DB1AEE">
              <w:rPr>
                <w:sz w:val="18"/>
                <w:szCs w:val="18"/>
                <w:u w:val="single"/>
              </w:rPr>
              <w:t>R-11 + R-12ci</w:t>
            </w:r>
          </w:p>
          <w:p w14:paraId="386C2E2F" w14:textId="77777777" w:rsidR="00DB1AEE" w:rsidRPr="00DB1AEE" w:rsidRDefault="00DB1AEE" w:rsidP="00DB1AEE">
            <w:pPr>
              <w:widowControl w:val="0"/>
              <w:pBdr>
                <w:top w:val="nil"/>
                <w:left w:val="nil"/>
                <w:bottom w:val="nil"/>
                <w:right w:val="nil"/>
                <w:between w:val="nil"/>
              </w:pBdr>
              <w:suppressAutoHyphens/>
              <w:spacing w:before="116" w:line="230" w:lineRule="auto"/>
              <w:ind w:left="122" w:right="111" w:firstLine="14"/>
              <w:jc w:val="center"/>
              <w:rPr>
                <w:sz w:val="18"/>
                <w:szCs w:val="18"/>
                <w:u w:val="single"/>
              </w:rPr>
            </w:pPr>
            <w:r w:rsidRPr="00DB1AEE">
              <w:rPr>
                <w:sz w:val="18"/>
                <w:szCs w:val="18"/>
                <w:u w:val="single"/>
              </w:rPr>
              <w:t>or</w:t>
            </w:r>
          </w:p>
          <w:p w14:paraId="29348AA8" w14:textId="77777777" w:rsidR="00DB1AEE" w:rsidRPr="00DB1AEE" w:rsidRDefault="00DB1AEE" w:rsidP="00DB1AEE">
            <w:pPr>
              <w:widowControl w:val="0"/>
              <w:pBdr>
                <w:top w:val="nil"/>
                <w:left w:val="nil"/>
                <w:bottom w:val="nil"/>
                <w:right w:val="nil"/>
                <w:between w:val="nil"/>
              </w:pBdr>
              <w:suppressAutoHyphens/>
              <w:spacing w:before="116" w:line="230" w:lineRule="auto"/>
              <w:ind w:left="122" w:right="111" w:firstLine="14"/>
              <w:jc w:val="center"/>
              <w:rPr>
                <w:sz w:val="18"/>
                <w:szCs w:val="18"/>
                <w:u w:val="single"/>
              </w:rPr>
            </w:pPr>
            <w:r w:rsidRPr="00DB1AEE">
              <w:rPr>
                <w:sz w:val="18"/>
                <w:szCs w:val="18"/>
                <w:u w:val="single"/>
              </w:rPr>
              <w:t>R-19 + R-7ci</w:t>
            </w:r>
          </w:p>
          <w:p w14:paraId="5FB810BE" w14:textId="77777777" w:rsidR="00DB1AEE" w:rsidRPr="00DB1AEE" w:rsidRDefault="00DB1AEE" w:rsidP="00DB1AEE">
            <w:pPr>
              <w:widowControl w:val="0"/>
              <w:pBdr>
                <w:top w:val="nil"/>
                <w:left w:val="nil"/>
                <w:bottom w:val="nil"/>
                <w:right w:val="nil"/>
                <w:between w:val="nil"/>
              </w:pBdr>
              <w:suppressAutoHyphens/>
              <w:spacing w:before="116" w:line="230" w:lineRule="auto"/>
              <w:ind w:left="122" w:right="111" w:firstLine="14"/>
              <w:jc w:val="center"/>
              <w:rPr>
                <w:sz w:val="18"/>
                <w:szCs w:val="18"/>
                <w:u w:val="single"/>
              </w:rPr>
            </w:pPr>
            <w:r w:rsidRPr="00DB1AEE">
              <w:rPr>
                <w:sz w:val="18"/>
                <w:szCs w:val="18"/>
                <w:u w:val="single"/>
              </w:rPr>
              <w:t>or</w:t>
            </w:r>
          </w:p>
          <w:p w14:paraId="33672E54" w14:textId="77777777" w:rsidR="00DB1AEE" w:rsidRPr="00DB1AEE" w:rsidRDefault="00DB1AEE" w:rsidP="00DB1AEE">
            <w:pPr>
              <w:widowControl w:val="0"/>
              <w:pBdr>
                <w:top w:val="nil"/>
                <w:left w:val="nil"/>
                <w:bottom w:val="nil"/>
                <w:right w:val="nil"/>
                <w:between w:val="nil"/>
              </w:pBdr>
              <w:suppressAutoHyphens/>
              <w:spacing w:before="116" w:line="230" w:lineRule="auto"/>
              <w:ind w:left="122" w:right="111" w:firstLine="14"/>
              <w:jc w:val="center"/>
              <w:rPr>
                <w:sz w:val="18"/>
                <w:szCs w:val="18"/>
                <w:u w:val="single"/>
              </w:rPr>
            </w:pPr>
            <w:r w:rsidRPr="00DB1AEE">
              <w:rPr>
                <w:sz w:val="18"/>
                <w:szCs w:val="18"/>
                <w:u w:val="single"/>
              </w:rPr>
              <w:t>R-21 + R-5ci</w:t>
            </w:r>
          </w:p>
        </w:tc>
      </w:tr>
      <w:tr w:rsidR="00DB1AEE" w:rsidRPr="00DB1AEE" w14:paraId="7B3080F0" w14:textId="77777777" w:rsidTr="00FC1832">
        <w:trPr>
          <w:trHeight w:val="323"/>
          <w:jc w:val="center"/>
        </w:trPr>
        <w:tc>
          <w:tcPr>
            <w:tcW w:w="10080" w:type="dxa"/>
            <w:gridSpan w:val="7"/>
            <w:tcBorders>
              <w:top w:val="single" w:sz="4" w:space="0" w:color="000000"/>
              <w:left w:val="single" w:sz="4" w:space="0" w:color="000000"/>
              <w:bottom w:val="single" w:sz="4" w:space="0" w:color="000000"/>
              <w:right w:val="single" w:sz="4" w:space="0" w:color="000000"/>
            </w:tcBorders>
            <w:vAlign w:val="center"/>
          </w:tcPr>
          <w:p w14:paraId="12845EAB" w14:textId="77777777" w:rsidR="00DB1AEE" w:rsidRPr="00DB1AEE" w:rsidRDefault="00DB1AEE" w:rsidP="00DB1AEE">
            <w:pPr>
              <w:widowControl w:val="0"/>
              <w:pBdr>
                <w:top w:val="nil"/>
                <w:left w:val="nil"/>
                <w:bottom w:val="nil"/>
                <w:right w:val="nil"/>
                <w:between w:val="nil"/>
              </w:pBdr>
              <w:suppressAutoHyphens/>
              <w:ind w:left="58" w:right="43"/>
              <w:jc w:val="center"/>
              <w:rPr>
                <w:sz w:val="18"/>
                <w:szCs w:val="18"/>
                <w:u w:val="single"/>
              </w:rPr>
            </w:pPr>
            <w:r w:rsidRPr="00DB1AEE">
              <w:rPr>
                <w:b/>
                <w:sz w:val="18"/>
                <w:szCs w:val="18"/>
                <w:u w:val="single"/>
              </w:rPr>
              <w:t>Walls, below grade</w:t>
            </w:r>
          </w:p>
        </w:tc>
      </w:tr>
      <w:tr w:rsidR="00DB1AEE" w:rsidRPr="00DB1AEE" w14:paraId="6EE14DD5" w14:textId="77777777" w:rsidTr="00FC1832">
        <w:trPr>
          <w:trHeight w:val="755"/>
          <w:jc w:val="center"/>
        </w:trPr>
        <w:tc>
          <w:tcPr>
            <w:tcW w:w="1440" w:type="dxa"/>
            <w:tcBorders>
              <w:top w:val="single" w:sz="4" w:space="0" w:color="000000"/>
              <w:left w:val="single" w:sz="4" w:space="0" w:color="000000"/>
              <w:bottom w:val="single" w:sz="4" w:space="0" w:color="000000"/>
              <w:right w:val="single" w:sz="4" w:space="0" w:color="000000"/>
            </w:tcBorders>
            <w:vAlign w:val="center"/>
          </w:tcPr>
          <w:p w14:paraId="0ECF6795" w14:textId="77777777" w:rsidR="00DB1AEE" w:rsidRPr="00DB1AEE" w:rsidRDefault="00DB1AEE" w:rsidP="00DB1AEE">
            <w:pPr>
              <w:widowControl w:val="0"/>
              <w:pBdr>
                <w:top w:val="nil"/>
                <w:left w:val="nil"/>
                <w:bottom w:val="nil"/>
                <w:right w:val="nil"/>
                <w:between w:val="nil"/>
              </w:pBdr>
              <w:suppressAutoHyphens/>
              <w:spacing w:before="7"/>
              <w:ind w:left="83"/>
              <w:jc w:val="center"/>
              <w:rPr>
                <w:sz w:val="18"/>
                <w:szCs w:val="18"/>
                <w:u w:val="single"/>
              </w:rPr>
            </w:pPr>
            <w:r w:rsidRPr="00DB1AEE">
              <w:rPr>
                <w:sz w:val="18"/>
                <w:szCs w:val="18"/>
                <w:u w:val="single"/>
              </w:rPr>
              <w:t>Below-grade wall</w:t>
            </w:r>
            <w:r w:rsidRPr="00DB1AEE">
              <w:rPr>
                <w:sz w:val="18"/>
                <w:szCs w:val="18"/>
                <w:u w:val="single"/>
                <w:vertAlign w:val="superscript"/>
              </w:rPr>
              <w:t>d</w:t>
            </w:r>
          </w:p>
        </w:tc>
        <w:tc>
          <w:tcPr>
            <w:tcW w:w="1440" w:type="dxa"/>
            <w:tcBorders>
              <w:top w:val="single" w:sz="4" w:space="0" w:color="000000"/>
              <w:left w:val="single" w:sz="4" w:space="0" w:color="000000"/>
              <w:bottom w:val="single" w:sz="4" w:space="0" w:color="000000"/>
              <w:right w:val="single" w:sz="4" w:space="0" w:color="000000"/>
            </w:tcBorders>
            <w:vAlign w:val="center"/>
          </w:tcPr>
          <w:p w14:paraId="45C5844A" w14:textId="77777777" w:rsidR="00DB1AEE" w:rsidRPr="00DB1AEE" w:rsidRDefault="00DB1AEE" w:rsidP="00DB1AEE">
            <w:pPr>
              <w:widowControl w:val="0"/>
              <w:pBdr>
                <w:top w:val="nil"/>
                <w:left w:val="nil"/>
                <w:bottom w:val="nil"/>
                <w:right w:val="nil"/>
                <w:between w:val="nil"/>
              </w:pBdr>
              <w:suppressAutoHyphens/>
              <w:spacing w:before="7"/>
              <w:ind w:left="58" w:right="43"/>
              <w:jc w:val="center"/>
              <w:rPr>
                <w:sz w:val="18"/>
                <w:szCs w:val="18"/>
                <w:u w:val="single"/>
              </w:rPr>
            </w:pPr>
            <w:r w:rsidRPr="00DB1AEE">
              <w:rPr>
                <w:sz w:val="18"/>
                <w:szCs w:val="18"/>
                <w:u w:val="single"/>
              </w:rPr>
              <w:t>R-7.5ci</w:t>
            </w:r>
          </w:p>
        </w:tc>
        <w:tc>
          <w:tcPr>
            <w:tcW w:w="1440" w:type="dxa"/>
            <w:tcBorders>
              <w:top w:val="single" w:sz="4" w:space="0" w:color="000000"/>
              <w:left w:val="single" w:sz="4" w:space="0" w:color="000000"/>
              <w:bottom w:val="single" w:sz="4" w:space="0" w:color="000000"/>
              <w:right w:val="single" w:sz="4" w:space="0" w:color="000000"/>
            </w:tcBorders>
            <w:vAlign w:val="center"/>
          </w:tcPr>
          <w:p w14:paraId="4570D776" w14:textId="77777777" w:rsidR="00DB1AEE" w:rsidRPr="00DB1AEE" w:rsidRDefault="00DB1AEE" w:rsidP="00DB1AEE">
            <w:pPr>
              <w:widowControl w:val="0"/>
              <w:pBdr>
                <w:top w:val="nil"/>
                <w:left w:val="nil"/>
                <w:bottom w:val="nil"/>
                <w:right w:val="nil"/>
                <w:between w:val="nil"/>
              </w:pBdr>
              <w:suppressAutoHyphens/>
              <w:spacing w:before="7"/>
              <w:ind w:left="55" w:right="45"/>
              <w:jc w:val="center"/>
              <w:rPr>
                <w:sz w:val="18"/>
                <w:szCs w:val="18"/>
                <w:u w:val="single"/>
              </w:rPr>
            </w:pPr>
            <w:r w:rsidRPr="00DB1AEE">
              <w:rPr>
                <w:sz w:val="18"/>
                <w:szCs w:val="18"/>
                <w:u w:val="single"/>
              </w:rPr>
              <w:t>R-10ci</w:t>
            </w:r>
          </w:p>
        </w:tc>
        <w:tc>
          <w:tcPr>
            <w:tcW w:w="1440" w:type="dxa"/>
            <w:tcBorders>
              <w:top w:val="single" w:sz="4" w:space="0" w:color="000000"/>
              <w:left w:val="single" w:sz="4" w:space="0" w:color="000000"/>
              <w:bottom w:val="single" w:sz="4" w:space="0" w:color="000000"/>
              <w:right w:val="single" w:sz="4" w:space="0" w:color="000000"/>
            </w:tcBorders>
            <w:vAlign w:val="center"/>
          </w:tcPr>
          <w:p w14:paraId="150695C6" w14:textId="77777777" w:rsidR="00DB1AEE" w:rsidRPr="00DB1AEE" w:rsidRDefault="00DB1AEE" w:rsidP="00DB1AEE">
            <w:pPr>
              <w:widowControl w:val="0"/>
              <w:pBdr>
                <w:top w:val="nil"/>
                <w:left w:val="nil"/>
                <w:bottom w:val="nil"/>
                <w:right w:val="nil"/>
                <w:between w:val="nil"/>
              </w:pBdr>
              <w:suppressAutoHyphens/>
              <w:spacing w:before="7"/>
              <w:ind w:left="55" w:right="45"/>
              <w:jc w:val="center"/>
              <w:rPr>
                <w:sz w:val="18"/>
                <w:szCs w:val="18"/>
                <w:u w:val="single"/>
              </w:rPr>
            </w:pPr>
            <w:r w:rsidRPr="00DB1AEE">
              <w:rPr>
                <w:sz w:val="18"/>
                <w:szCs w:val="18"/>
                <w:u w:val="single"/>
              </w:rPr>
              <w:t>R-7.5ci</w:t>
            </w:r>
          </w:p>
        </w:tc>
        <w:tc>
          <w:tcPr>
            <w:tcW w:w="1440" w:type="dxa"/>
            <w:tcBorders>
              <w:top w:val="single" w:sz="4" w:space="0" w:color="000000"/>
              <w:left w:val="single" w:sz="4" w:space="0" w:color="000000"/>
              <w:bottom w:val="single" w:sz="4" w:space="0" w:color="000000"/>
              <w:right w:val="single" w:sz="4" w:space="0" w:color="000000"/>
            </w:tcBorders>
            <w:vAlign w:val="center"/>
          </w:tcPr>
          <w:p w14:paraId="38AC807B" w14:textId="77777777" w:rsidR="00DB1AEE" w:rsidRPr="00DB1AEE" w:rsidRDefault="00DB1AEE" w:rsidP="00DB1AEE">
            <w:pPr>
              <w:widowControl w:val="0"/>
              <w:pBdr>
                <w:top w:val="nil"/>
                <w:left w:val="nil"/>
                <w:bottom w:val="nil"/>
                <w:right w:val="nil"/>
                <w:between w:val="nil"/>
              </w:pBdr>
              <w:suppressAutoHyphens/>
              <w:spacing w:before="7"/>
              <w:ind w:left="55" w:right="45"/>
              <w:jc w:val="center"/>
              <w:rPr>
                <w:sz w:val="18"/>
                <w:szCs w:val="18"/>
                <w:u w:val="single"/>
              </w:rPr>
            </w:pPr>
            <w:r w:rsidRPr="00DB1AEE">
              <w:rPr>
                <w:sz w:val="18"/>
                <w:szCs w:val="18"/>
                <w:u w:val="single"/>
              </w:rPr>
              <w:t>R-10ci</w:t>
            </w:r>
          </w:p>
        </w:tc>
        <w:tc>
          <w:tcPr>
            <w:tcW w:w="1440" w:type="dxa"/>
            <w:tcBorders>
              <w:top w:val="single" w:sz="4" w:space="0" w:color="000000"/>
              <w:left w:val="single" w:sz="4" w:space="0" w:color="000000"/>
              <w:bottom w:val="single" w:sz="4" w:space="0" w:color="000000"/>
              <w:right w:val="single" w:sz="4" w:space="0" w:color="000000"/>
            </w:tcBorders>
            <w:vAlign w:val="center"/>
          </w:tcPr>
          <w:p w14:paraId="4CC9C753" w14:textId="77777777" w:rsidR="00DB1AEE" w:rsidRPr="00DB1AEE" w:rsidRDefault="00DB1AEE" w:rsidP="00DB1AEE">
            <w:pPr>
              <w:widowControl w:val="0"/>
              <w:pBdr>
                <w:top w:val="nil"/>
                <w:left w:val="nil"/>
                <w:bottom w:val="nil"/>
                <w:right w:val="nil"/>
                <w:between w:val="nil"/>
              </w:pBdr>
              <w:suppressAutoHyphens/>
              <w:spacing w:before="7"/>
              <w:ind w:left="55" w:right="45"/>
              <w:jc w:val="center"/>
              <w:rPr>
                <w:sz w:val="18"/>
                <w:szCs w:val="18"/>
                <w:u w:val="single"/>
              </w:rPr>
            </w:pPr>
            <w:r w:rsidRPr="00DB1AEE">
              <w:rPr>
                <w:sz w:val="18"/>
                <w:szCs w:val="18"/>
                <w:u w:val="single"/>
              </w:rPr>
              <w:t>R-10ci</w:t>
            </w:r>
          </w:p>
        </w:tc>
        <w:tc>
          <w:tcPr>
            <w:tcW w:w="1440" w:type="dxa"/>
            <w:tcBorders>
              <w:top w:val="single" w:sz="4" w:space="0" w:color="000000"/>
              <w:left w:val="single" w:sz="4" w:space="0" w:color="000000"/>
              <w:bottom w:val="single" w:sz="4" w:space="0" w:color="000000"/>
              <w:right w:val="single" w:sz="4" w:space="0" w:color="000000"/>
            </w:tcBorders>
            <w:vAlign w:val="center"/>
          </w:tcPr>
          <w:p w14:paraId="73F0906B" w14:textId="77777777" w:rsidR="00DB1AEE" w:rsidRPr="00DB1AEE" w:rsidRDefault="00DB1AEE" w:rsidP="00DB1AEE">
            <w:pPr>
              <w:widowControl w:val="0"/>
              <w:pBdr>
                <w:top w:val="nil"/>
                <w:left w:val="nil"/>
                <w:bottom w:val="nil"/>
                <w:right w:val="nil"/>
                <w:between w:val="nil"/>
              </w:pBdr>
              <w:suppressAutoHyphens/>
              <w:spacing w:before="7"/>
              <w:ind w:left="55" w:right="45"/>
              <w:jc w:val="center"/>
              <w:rPr>
                <w:sz w:val="18"/>
                <w:szCs w:val="18"/>
                <w:u w:val="single"/>
              </w:rPr>
            </w:pPr>
            <w:r w:rsidRPr="00DB1AEE">
              <w:rPr>
                <w:sz w:val="18"/>
                <w:szCs w:val="18"/>
                <w:u w:val="single"/>
              </w:rPr>
              <w:t>R-15ci</w:t>
            </w:r>
          </w:p>
        </w:tc>
      </w:tr>
      <w:tr w:rsidR="00DB1AEE" w:rsidRPr="00DB1AEE" w14:paraId="7A745822" w14:textId="77777777" w:rsidTr="00FC1832">
        <w:trPr>
          <w:trHeight w:val="271"/>
          <w:jc w:val="center"/>
        </w:trPr>
        <w:tc>
          <w:tcPr>
            <w:tcW w:w="10080" w:type="dxa"/>
            <w:gridSpan w:val="7"/>
            <w:tcBorders>
              <w:top w:val="single" w:sz="4" w:space="0" w:color="000000"/>
              <w:left w:val="single" w:sz="4" w:space="0" w:color="000000"/>
              <w:bottom w:val="single" w:sz="4" w:space="0" w:color="000000"/>
              <w:right w:val="single" w:sz="4" w:space="0" w:color="000000"/>
            </w:tcBorders>
            <w:vAlign w:val="center"/>
          </w:tcPr>
          <w:p w14:paraId="5473D30C" w14:textId="77777777" w:rsidR="00DB1AEE" w:rsidRPr="00DB1AEE" w:rsidRDefault="00DB1AEE" w:rsidP="00DB1AEE">
            <w:pPr>
              <w:widowControl w:val="0"/>
              <w:pBdr>
                <w:top w:val="nil"/>
                <w:left w:val="nil"/>
                <w:bottom w:val="nil"/>
                <w:right w:val="nil"/>
                <w:between w:val="nil"/>
              </w:pBdr>
              <w:suppressAutoHyphens/>
              <w:spacing w:before="7"/>
              <w:ind w:left="55" w:right="48"/>
              <w:jc w:val="center"/>
              <w:rPr>
                <w:sz w:val="18"/>
                <w:szCs w:val="18"/>
                <w:u w:val="single"/>
              </w:rPr>
            </w:pPr>
            <w:r w:rsidRPr="00DB1AEE">
              <w:rPr>
                <w:b/>
                <w:sz w:val="18"/>
                <w:szCs w:val="18"/>
                <w:u w:val="single"/>
              </w:rPr>
              <w:t>Floors</w:t>
            </w:r>
          </w:p>
        </w:tc>
      </w:tr>
      <w:tr w:rsidR="00DB1AEE" w:rsidRPr="00DB1AEE" w14:paraId="7E54B82E" w14:textId="77777777" w:rsidTr="00FC1832">
        <w:trPr>
          <w:trHeight w:val="271"/>
          <w:jc w:val="center"/>
        </w:trPr>
        <w:tc>
          <w:tcPr>
            <w:tcW w:w="1440" w:type="dxa"/>
            <w:tcBorders>
              <w:top w:val="single" w:sz="4" w:space="0" w:color="000000"/>
              <w:left w:val="single" w:sz="4" w:space="0" w:color="000000"/>
              <w:bottom w:val="single" w:sz="4" w:space="0" w:color="000000"/>
              <w:right w:val="single" w:sz="4" w:space="0" w:color="000000"/>
            </w:tcBorders>
            <w:vAlign w:val="center"/>
          </w:tcPr>
          <w:p w14:paraId="5C661C51" w14:textId="77777777" w:rsidR="00DB1AEE" w:rsidRPr="00DB1AEE" w:rsidRDefault="00DB1AEE" w:rsidP="00DB1AEE">
            <w:pPr>
              <w:widowControl w:val="0"/>
              <w:pBdr>
                <w:top w:val="nil"/>
                <w:left w:val="nil"/>
                <w:bottom w:val="nil"/>
                <w:right w:val="nil"/>
                <w:between w:val="nil"/>
              </w:pBdr>
              <w:suppressAutoHyphens/>
              <w:spacing w:before="7"/>
              <w:ind w:left="83"/>
              <w:jc w:val="center"/>
              <w:rPr>
                <w:sz w:val="18"/>
                <w:szCs w:val="18"/>
                <w:u w:val="single"/>
              </w:rPr>
            </w:pPr>
            <w:r w:rsidRPr="00DB1AEE">
              <w:rPr>
                <w:sz w:val="18"/>
                <w:szCs w:val="18"/>
                <w:u w:val="single"/>
              </w:rPr>
              <w:t>Mass</w:t>
            </w:r>
            <w:r w:rsidRPr="00DB1AEE">
              <w:rPr>
                <w:sz w:val="18"/>
                <w:szCs w:val="18"/>
                <w:u w:val="single"/>
                <w:vertAlign w:val="superscript"/>
              </w:rPr>
              <w:t>e</w:t>
            </w:r>
          </w:p>
        </w:tc>
        <w:tc>
          <w:tcPr>
            <w:tcW w:w="1440" w:type="dxa"/>
            <w:tcBorders>
              <w:top w:val="single" w:sz="4" w:space="0" w:color="000000"/>
              <w:left w:val="single" w:sz="4" w:space="0" w:color="000000"/>
              <w:bottom w:val="single" w:sz="4" w:space="0" w:color="000000"/>
              <w:right w:val="single" w:sz="4" w:space="0" w:color="000000"/>
            </w:tcBorders>
            <w:vAlign w:val="center"/>
          </w:tcPr>
          <w:p w14:paraId="545934F4" w14:textId="77777777" w:rsidR="00DB1AEE" w:rsidRPr="00DB1AEE" w:rsidRDefault="00DB1AEE" w:rsidP="00DB1AEE">
            <w:pPr>
              <w:widowControl w:val="0"/>
              <w:pBdr>
                <w:top w:val="nil"/>
                <w:left w:val="nil"/>
                <w:bottom w:val="nil"/>
                <w:right w:val="nil"/>
                <w:between w:val="nil"/>
              </w:pBdr>
              <w:suppressAutoHyphens/>
              <w:spacing w:before="7"/>
              <w:ind w:left="58" w:right="48"/>
              <w:jc w:val="center"/>
              <w:rPr>
                <w:sz w:val="18"/>
                <w:szCs w:val="18"/>
                <w:u w:val="single"/>
              </w:rPr>
            </w:pPr>
            <w:r w:rsidRPr="00DB1AEE">
              <w:rPr>
                <w:sz w:val="18"/>
                <w:szCs w:val="18"/>
                <w:u w:val="single"/>
              </w:rPr>
              <w:t>R-14.6ci</w:t>
            </w:r>
          </w:p>
        </w:tc>
        <w:tc>
          <w:tcPr>
            <w:tcW w:w="1440" w:type="dxa"/>
            <w:tcBorders>
              <w:top w:val="single" w:sz="4" w:space="0" w:color="000000"/>
              <w:left w:val="single" w:sz="4" w:space="0" w:color="000000"/>
              <w:bottom w:val="single" w:sz="4" w:space="0" w:color="000000"/>
              <w:right w:val="single" w:sz="4" w:space="0" w:color="000000"/>
            </w:tcBorders>
            <w:vAlign w:val="center"/>
          </w:tcPr>
          <w:p w14:paraId="7D515332" w14:textId="77777777" w:rsidR="00DB1AEE" w:rsidRPr="00DB1AEE" w:rsidRDefault="00DB1AEE" w:rsidP="00DB1AEE">
            <w:pPr>
              <w:widowControl w:val="0"/>
              <w:pBdr>
                <w:top w:val="nil"/>
                <w:left w:val="nil"/>
                <w:bottom w:val="nil"/>
                <w:right w:val="nil"/>
                <w:between w:val="nil"/>
              </w:pBdr>
              <w:suppressAutoHyphens/>
              <w:spacing w:before="7"/>
              <w:ind w:left="55" w:right="48"/>
              <w:jc w:val="center"/>
              <w:rPr>
                <w:sz w:val="18"/>
                <w:szCs w:val="18"/>
                <w:u w:val="single"/>
              </w:rPr>
            </w:pPr>
            <w:r w:rsidRPr="00DB1AEE">
              <w:rPr>
                <w:sz w:val="18"/>
                <w:szCs w:val="18"/>
                <w:u w:val="single"/>
              </w:rPr>
              <w:t>R-16.7ci</w:t>
            </w:r>
          </w:p>
        </w:tc>
        <w:tc>
          <w:tcPr>
            <w:tcW w:w="1440" w:type="dxa"/>
            <w:tcBorders>
              <w:top w:val="single" w:sz="4" w:space="0" w:color="000000"/>
              <w:left w:val="single" w:sz="4" w:space="0" w:color="000000"/>
              <w:bottom w:val="single" w:sz="4" w:space="0" w:color="000000"/>
              <w:right w:val="single" w:sz="4" w:space="0" w:color="000000"/>
            </w:tcBorders>
            <w:vAlign w:val="center"/>
          </w:tcPr>
          <w:p w14:paraId="33F1AE35" w14:textId="77777777" w:rsidR="00DB1AEE" w:rsidRPr="00DB1AEE" w:rsidRDefault="00DB1AEE" w:rsidP="00DB1AEE">
            <w:pPr>
              <w:widowControl w:val="0"/>
              <w:pBdr>
                <w:top w:val="nil"/>
                <w:left w:val="nil"/>
                <w:bottom w:val="nil"/>
                <w:right w:val="nil"/>
                <w:between w:val="nil"/>
              </w:pBdr>
              <w:suppressAutoHyphens/>
              <w:spacing w:before="7"/>
              <w:ind w:left="55" w:right="48"/>
              <w:jc w:val="center"/>
              <w:rPr>
                <w:sz w:val="18"/>
                <w:szCs w:val="18"/>
                <w:u w:val="single"/>
              </w:rPr>
            </w:pPr>
            <w:r w:rsidRPr="00DB1AEE">
              <w:rPr>
                <w:sz w:val="18"/>
                <w:szCs w:val="18"/>
                <w:u w:val="single"/>
              </w:rPr>
              <w:t>R-16.7ci</w:t>
            </w:r>
          </w:p>
        </w:tc>
        <w:tc>
          <w:tcPr>
            <w:tcW w:w="1440" w:type="dxa"/>
            <w:tcBorders>
              <w:top w:val="single" w:sz="4" w:space="0" w:color="000000"/>
              <w:left w:val="single" w:sz="4" w:space="0" w:color="000000"/>
              <w:bottom w:val="single" w:sz="4" w:space="0" w:color="000000"/>
              <w:right w:val="single" w:sz="4" w:space="0" w:color="000000"/>
            </w:tcBorders>
            <w:vAlign w:val="center"/>
          </w:tcPr>
          <w:p w14:paraId="59B509A2" w14:textId="77777777" w:rsidR="00DB1AEE" w:rsidRPr="00DB1AEE" w:rsidRDefault="00DB1AEE" w:rsidP="00DB1AEE">
            <w:pPr>
              <w:widowControl w:val="0"/>
              <w:pBdr>
                <w:top w:val="nil"/>
                <w:left w:val="nil"/>
                <w:bottom w:val="nil"/>
                <w:right w:val="nil"/>
                <w:between w:val="nil"/>
              </w:pBdr>
              <w:suppressAutoHyphens/>
              <w:spacing w:before="7"/>
              <w:ind w:left="55" w:right="48"/>
              <w:jc w:val="center"/>
              <w:rPr>
                <w:sz w:val="18"/>
                <w:szCs w:val="18"/>
                <w:u w:val="single"/>
              </w:rPr>
            </w:pPr>
            <w:r w:rsidRPr="00DB1AEE">
              <w:rPr>
                <w:sz w:val="18"/>
                <w:szCs w:val="18"/>
                <w:u w:val="single"/>
              </w:rPr>
              <w:t>R-16.7ci</w:t>
            </w:r>
          </w:p>
        </w:tc>
        <w:tc>
          <w:tcPr>
            <w:tcW w:w="1440" w:type="dxa"/>
            <w:tcBorders>
              <w:top w:val="single" w:sz="4" w:space="0" w:color="000000"/>
              <w:left w:val="single" w:sz="4" w:space="0" w:color="000000"/>
              <w:bottom w:val="single" w:sz="4" w:space="0" w:color="000000"/>
              <w:right w:val="single" w:sz="4" w:space="0" w:color="000000"/>
            </w:tcBorders>
            <w:vAlign w:val="center"/>
          </w:tcPr>
          <w:p w14:paraId="113F78A7" w14:textId="77777777" w:rsidR="00DB1AEE" w:rsidRPr="00DB1AEE" w:rsidRDefault="00DB1AEE" w:rsidP="00DB1AEE">
            <w:pPr>
              <w:widowControl w:val="0"/>
              <w:pBdr>
                <w:top w:val="nil"/>
                <w:left w:val="nil"/>
                <w:bottom w:val="nil"/>
                <w:right w:val="nil"/>
                <w:between w:val="nil"/>
              </w:pBdr>
              <w:suppressAutoHyphens/>
              <w:spacing w:before="7"/>
              <w:ind w:left="55" w:right="48"/>
              <w:jc w:val="center"/>
              <w:rPr>
                <w:sz w:val="18"/>
                <w:szCs w:val="18"/>
                <w:u w:val="single"/>
              </w:rPr>
            </w:pPr>
            <w:r w:rsidRPr="00DB1AEE">
              <w:rPr>
                <w:sz w:val="18"/>
                <w:szCs w:val="18"/>
                <w:u w:val="single"/>
              </w:rPr>
              <w:t>R-16.7ci</w:t>
            </w:r>
          </w:p>
        </w:tc>
        <w:tc>
          <w:tcPr>
            <w:tcW w:w="1440" w:type="dxa"/>
            <w:tcBorders>
              <w:top w:val="single" w:sz="4" w:space="0" w:color="000000"/>
              <w:left w:val="single" w:sz="4" w:space="0" w:color="000000"/>
              <w:bottom w:val="single" w:sz="4" w:space="0" w:color="000000"/>
              <w:right w:val="single" w:sz="4" w:space="0" w:color="000000"/>
            </w:tcBorders>
            <w:vAlign w:val="center"/>
          </w:tcPr>
          <w:p w14:paraId="4B044841" w14:textId="77777777" w:rsidR="00DB1AEE" w:rsidRPr="00DB1AEE" w:rsidRDefault="00DB1AEE" w:rsidP="00DB1AEE">
            <w:pPr>
              <w:widowControl w:val="0"/>
              <w:pBdr>
                <w:top w:val="nil"/>
                <w:left w:val="nil"/>
                <w:bottom w:val="nil"/>
                <w:right w:val="nil"/>
                <w:between w:val="nil"/>
              </w:pBdr>
              <w:suppressAutoHyphens/>
              <w:spacing w:before="7"/>
              <w:ind w:left="55" w:right="48"/>
              <w:jc w:val="center"/>
              <w:rPr>
                <w:sz w:val="18"/>
                <w:szCs w:val="18"/>
                <w:u w:val="single"/>
              </w:rPr>
            </w:pPr>
            <w:r w:rsidRPr="00DB1AEE">
              <w:rPr>
                <w:sz w:val="18"/>
                <w:szCs w:val="18"/>
                <w:u w:val="single"/>
              </w:rPr>
              <w:t>R-16.7ci</w:t>
            </w:r>
          </w:p>
        </w:tc>
      </w:tr>
      <w:tr w:rsidR="00DB1AEE" w:rsidRPr="00DB1AEE" w14:paraId="72E62526" w14:textId="77777777" w:rsidTr="00FC1832">
        <w:trPr>
          <w:trHeight w:val="271"/>
          <w:jc w:val="center"/>
        </w:trPr>
        <w:tc>
          <w:tcPr>
            <w:tcW w:w="1440" w:type="dxa"/>
            <w:tcBorders>
              <w:top w:val="single" w:sz="4" w:space="0" w:color="000000"/>
              <w:left w:val="single" w:sz="4" w:space="0" w:color="000000"/>
              <w:bottom w:val="single" w:sz="4" w:space="0" w:color="000000"/>
              <w:right w:val="single" w:sz="4" w:space="0" w:color="000000"/>
            </w:tcBorders>
            <w:vAlign w:val="center"/>
          </w:tcPr>
          <w:p w14:paraId="132AC35C" w14:textId="77777777" w:rsidR="00DB1AEE" w:rsidRPr="00DB1AEE" w:rsidRDefault="00DB1AEE" w:rsidP="00DB1AEE">
            <w:pPr>
              <w:widowControl w:val="0"/>
              <w:pBdr>
                <w:top w:val="nil"/>
                <w:left w:val="nil"/>
                <w:bottom w:val="nil"/>
                <w:right w:val="nil"/>
                <w:between w:val="nil"/>
              </w:pBdr>
              <w:suppressAutoHyphens/>
              <w:spacing w:before="7"/>
              <w:ind w:left="83"/>
              <w:jc w:val="center"/>
              <w:rPr>
                <w:sz w:val="18"/>
                <w:szCs w:val="18"/>
                <w:u w:val="single"/>
              </w:rPr>
            </w:pPr>
            <w:r w:rsidRPr="00DB1AEE">
              <w:rPr>
                <w:sz w:val="18"/>
                <w:szCs w:val="18"/>
                <w:u w:val="single"/>
              </w:rPr>
              <w:t>Joist/framing</w:t>
            </w:r>
          </w:p>
        </w:tc>
        <w:tc>
          <w:tcPr>
            <w:tcW w:w="1440" w:type="dxa"/>
            <w:tcBorders>
              <w:top w:val="single" w:sz="4" w:space="0" w:color="000000"/>
              <w:left w:val="single" w:sz="4" w:space="0" w:color="000000"/>
              <w:bottom w:val="single" w:sz="4" w:space="0" w:color="000000"/>
              <w:right w:val="single" w:sz="4" w:space="0" w:color="000000"/>
            </w:tcBorders>
            <w:vAlign w:val="center"/>
          </w:tcPr>
          <w:p w14:paraId="6A9563A1" w14:textId="77777777" w:rsidR="00DB1AEE" w:rsidRPr="00DB1AEE" w:rsidRDefault="00DB1AEE" w:rsidP="00DB1AEE">
            <w:pPr>
              <w:widowControl w:val="0"/>
              <w:pBdr>
                <w:top w:val="nil"/>
                <w:left w:val="nil"/>
                <w:bottom w:val="nil"/>
                <w:right w:val="nil"/>
                <w:between w:val="nil"/>
              </w:pBdr>
              <w:suppressAutoHyphens/>
              <w:spacing w:before="7"/>
              <w:ind w:left="58" w:right="48"/>
              <w:jc w:val="center"/>
              <w:rPr>
                <w:sz w:val="18"/>
                <w:szCs w:val="18"/>
                <w:u w:val="single"/>
              </w:rPr>
            </w:pPr>
            <w:r w:rsidRPr="00DB1AEE">
              <w:rPr>
                <w:sz w:val="18"/>
                <w:szCs w:val="18"/>
                <w:u w:val="single"/>
              </w:rPr>
              <w:t>R-30ca</w:t>
            </w:r>
          </w:p>
        </w:tc>
        <w:tc>
          <w:tcPr>
            <w:tcW w:w="1440" w:type="dxa"/>
            <w:tcBorders>
              <w:top w:val="single" w:sz="4" w:space="0" w:color="000000"/>
              <w:left w:val="single" w:sz="4" w:space="0" w:color="000000"/>
              <w:bottom w:val="single" w:sz="4" w:space="0" w:color="000000"/>
              <w:right w:val="single" w:sz="4" w:space="0" w:color="000000"/>
            </w:tcBorders>
            <w:vAlign w:val="center"/>
          </w:tcPr>
          <w:p w14:paraId="001C1513" w14:textId="77777777" w:rsidR="00DB1AEE" w:rsidRPr="00DB1AEE" w:rsidRDefault="00DB1AEE" w:rsidP="00DB1AEE">
            <w:pPr>
              <w:widowControl w:val="0"/>
              <w:pBdr>
                <w:top w:val="nil"/>
                <w:left w:val="nil"/>
                <w:bottom w:val="nil"/>
                <w:right w:val="nil"/>
                <w:between w:val="nil"/>
              </w:pBdr>
              <w:suppressAutoHyphens/>
              <w:spacing w:before="7"/>
              <w:ind w:left="55" w:right="45"/>
              <w:jc w:val="center"/>
              <w:rPr>
                <w:sz w:val="18"/>
                <w:szCs w:val="18"/>
                <w:u w:val="single"/>
              </w:rPr>
            </w:pPr>
            <w:r w:rsidRPr="00DB1AEE">
              <w:rPr>
                <w:sz w:val="18"/>
                <w:szCs w:val="18"/>
                <w:u w:val="single"/>
              </w:rPr>
              <w:t>R-30ca</w:t>
            </w:r>
          </w:p>
        </w:tc>
        <w:tc>
          <w:tcPr>
            <w:tcW w:w="1440" w:type="dxa"/>
            <w:tcBorders>
              <w:top w:val="single" w:sz="4" w:space="0" w:color="000000"/>
              <w:left w:val="single" w:sz="4" w:space="0" w:color="000000"/>
              <w:bottom w:val="single" w:sz="4" w:space="0" w:color="000000"/>
              <w:right w:val="single" w:sz="4" w:space="0" w:color="000000"/>
            </w:tcBorders>
            <w:vAlign w:val="center"/>
          </w:tcPr>
          <w:p w14:paraId="50611780" w14:textId="77777777" w:rsidR="00DB1AEE" w:rsidRPr="00DB1AEE" w:rsidRDefault="00DB1AEE" w:rsidP="00DB1AEE">
            <w:pPr>
              <w:widowControl w:val="0"/>
              <w:pBdr>
                <w:top w:val="nil"/>
                <w:left w:val="nil"/>
                <w:bottom w:val="nil"/>
                <w:right w:val="nil"/>
                <w:between w:val="nil"/>
              </w:pBdr>
              <w:suppressAutoHyphens/>
              <w:spacing w:before="7"/>
              <w:ind w:left="55" w:right="45"/>
              <w:jc w:val="center"/>
              <w:rPr>
                <w:sz w:val="18"/>
                <w:szCs w:val="18"/>
                <w:u w:val="single"/>
              </w:rPr>
            </w:pPr>
            <w:r w:rsidRPr="00DB1AEE">
              <w:rPr>
                <w:sz w:val="18"/>
                <w:szCs w:val="18"/>
                <w:u w:val="single"/>
              </w:rPr>
              <w:t>R-30ca</w:t>
            </w:r>
          </w:p>
        </w:tc>
        <w:tc>
          <w:tcPr>
            <w:tcW w:w="1440" w:type="dxa"/>
            <w:tcBorders>
              <w:top w:val="single" w:sz="4" w:space="0" w:color="000000"/>
              <w:left w:val="single" w:sz="4" w:space="0" w:color="000000"/>
              <w:bottom w:val="single" w:sz="4" w:space="0" w:color="000000"/>
              <w:right w:val="single" w:sz="4" w:space="0" w:color="000000"/>
            </w:tcBorders>
            <w:vAlign w:val="center"/>
          </w:tcPr>
          <w:p w14:paraId="37CF59AD" w14:textId="77777777" w:rsidR="00DB1AEE" w:rsidRPr="00DB1AEE" w:rsidRDefault="00DB1AEE" w:rsidP="00DB1AEE">
            <w:pPr>
              <w:widowControl w:val="0"/>
              <w:pBdr>
                <w:top w:val="nil"/>
                <w:left w:val="nil"/>
                <w:bottom w:val="nil"/>
                <w:right w:val="nil"/>
                <w:between w:val="nil"/>
              </w:pBdr>
              <w:suppressAutoHyphens/>
              <w:spacing w:before="7"/>
              <w:ind w:left="55" w:right="45"/>
              <w:jc w:val="center"/>
              <w:rPr>
                <w:sz w:val="18"/>
                <w:szCs w:val="18"/>
                <w:u w:val="single"/>
              </w:rPr>
            </w:pPr>
            <w:r w:rsidRPr="00DB1AEE">
              <w:rPr>
                <w:sz w:val="18"/>
                <w:szCs w:val="18"/>
                <w:u w:val="single"/>
              </w:rPr>
              <w:t>R-30ca</w:t>
            </w:r>
          </w:p>
        </w:tc>
        <w:tc>
          <w:tcPr>
            <w:tcW w:w="1440" w:type="dxa"/>
            <w:tcBorders>
              <w:top w:val="single" w:sz="4" w:space="0" w:color="000000"/>
              <w:left w:val="single" w:sz="4" w:space="0" w:color="000000"/>
              <w:bottom w:val="single" w:sz="4" w:space="0" w:color="000000"/>
              <w:right w:val="single" w:sz="4" w:space="0" w:color="000000"/>
            </w:tcBorders>
            <w:vAlign w:val="center"/>
          </w:tcPr>
          <w:p w14:paraId="28B01159" w14:textId="77777777" w:rsidR="00DB1AEE" w:rsidRPr="00DB1AEE" w:rsidRDefault="00DB1AEE" w:rsidP="00DB1AEE">
            <w:pPr>
              <w:widowControl w:val="0"/>
              <w:pBdr>
                <w:top w:val="nil"/>
                <w:left w:val="nil"/>
                <w:bottom w:val="nil"/>
                <w:right w:val="nil"/>
                <w:between w:val="nil"/>
              </w:pBdr>
              <w:suppressAutoHyphens/>
              <w:spacing w:before="7"/>
              <w:ind w:left="55" w:right="45"/>
              <w:jc w:val="center"/>
              <w:rPr>
                <w:sz w:val="18"/>
                <w:szCs w:val="18"/>
                <w:u w:val="single"/>
              </w:rPr>
            </w:pPr>
            <w:r w:rsidRPr="00DB1AEE">
              <w:rPr>
                <w:sz w:val="18"/>
                <w:szCs w:val="18"/>
                <w:u w:val="single"/>
              </w:rPr>
              <w:t>R-38ca</w:t>
            </w:r>
          </w:p>
        </w:tc>
        <w:tc>
          <w:tcPr>
            <w:tcW w:w="1440" w:type="dxa"/>
            <w:tcBorders>
              <w:top w:val="single" w:sz="4" w:space="0" w:color="000000"/>
              <w:left w:val="single" w:sz="4" w:space="0" w:color="000000"/>
              <w:bottom w:val="single" w:sz="4" w:space="0" w:color="000000"/>
              <w:right w:val="single" w:sz="4" w:space="0" w:color="000000"/>
            </w:tcBorders>
            <w:vAlign w:val="center"/>
          </w:tcPr>
          <w:p w14:paraId="05965276" w14:textId="77777777" w:rsidR="00DB1AEE" w:rsidRPr="00DB1AEE" w:rsidRDefault="00DB1AEE" w:rsidP="00DB1AEE">
            <w:pPr>
              <w:widowControl w:val="0"/>
              <w:pBdr>
                <w:top w:val="nil"/>
                <w:left w:val="nil"/>
                <w:bottom w:val="nil"/>
                <w:right w:val="nil"/>
                <w:between w:val="nil"/>
              </w:pBdr>
              <w:suppressAutoHyphens/>
              <w:spacing w:before="7"/>
              <w:ind w:left="55" w:right="45"/>
              <w:jc w:val="center"/>
              <w:rPr>
                <w:sz w:val="18"/>
                <w:szCs w:val="18"/>
                <w:u w:val="single"/>
              </w:rPr>
            </w:pPr>
            <w:r w:rsidRPr="00DB1AEE">
              <w:rPr>
                <w:sz w:val="18"/>
                <w:szCs w:val="18"/>
                <w:u w:val="single"/>
              </w:rPr>
              <w:t>R-38ca</w:t>
            </w:r>
          </w:p>
        </w:tc>
      </w:tr>
      <w:tr w:rsidR="00DB1AEE" w:rsidRPr="00DB1AEE" w14:paraId="6E8AA09C" w14:textId="77777777" w:rsidTr="00FC1832">
        <w:trPr>
          <w:trHeight w:val="296"/>
          <w:jc w:val="center"/>
        </w:trPr>
        <w:tc>
          <w:tcPr>
            <w:tcW w:w="10080" w:type="dxa"/>
            <w:gridSpan w:val="7"/>
            <w:tcBorders>
              <w:top w:val="single" w:sz="4" w:space="0" w:color="000000"/>
              <w:left w:val="single" w:sz="4" w:space="0" w:color="000000"/>
              <w:bottom w:val="single" w:sz="4" w:space="0" w:color="000000"/>
              <w:right w:val="single" w:sz="4" w:space="0" w:color="000000"/>
            </w:tcBorders>
            <w:vAlign w:val="center"/>
          </w:tcPr>
          <w:p w14:paraId="022C0A0F" w14:textId="77777777" w:rsidR="00DB1AEE" w:rsidRPr="00DB1AEE" w:rsidRDefault="00DB1AEE" w:rsidP="00DB1AEE">
            <w:pPr>
              <w:widowControl w:val="0"/>
              <w:pBdr>
                <w:top w:val="nil"/>
                <w:left w:val="nil"/>
                <w:bottom w:val="nil"/>
                <w:right w:val="nil"/>
                <w:between w:val="nil"/>
              </w:pBdr>
              <w:suppressAutoHyphens/>
              <w:spacing w:before="14" w:line="230" w:lineRule="auto"/>
              <w:ind w:left="70" w:right="59"/>
              <w:jc w:val="center"/>
              <w:rPr>
                <w:sz w:val="18"/>
                <w:szCs w:val="18"/>
                <w:u w:val="single"/>
              </w:rPr>
            </w:pPr>
            <w:r w:rsidRPr="00DB1AEE">
              <w:rPr>
                <w:b/>
                <w:sz w:val="18"/>
                <w:szCs w:val="18"/>
                <w:u w:val="single"/>
              </w:rPr>
              <w:t>Slab-on-grade floors</w:t>
            </w:r>
          </w:p>
        </w:tc>
      </w:tr>
      <w:tr w:rsidR="00DB1AEE" w:rsidRPr="00DB1AEE" w14:paraId="47D57D61" w14:textId="77777777" w:rsidTr="00FC1832">
        <w:trPr>
          <w:trHeight w:val="673"/>
          <w:jc w:val="center"/>
        </w:trPr>
        <w:tc>
          <w:tcPr>
            <w:tcW w:w="1440" w:type="dxa"/>
            <w:tcBorders>
              <w:top w:val="single" w:sz="4" w:space="0" w:color="000000"/>
              <w:left w:val="single" w:sz="4" w:space="0" w:color="000000"/>
              <w:bottom w:val="single" w:sz="4" w:space="0" w:color="000000"/>
              <w:right w:val="single" w:sz="4" w:space="0" w:color="000000"/>
            </w:tcBorders>
            <w:vAlign w:val="center"/>
          </w:tcPr>
          <w:p w14:paraId="57408599" w14:textId="77777777" w:rsidR="00DB1AEE" w:rsidRPr="00DB1AEE" w:rsidRDefault="00DB1AEE" w:rsidP="00DB1AEE">
            <w:pPr>
              <w:widowControl w:val="0"/>
              <w:pBdr>
                <w:top w:val="nil"/>
                <w:left w:val="nil"/>
                <w:bottom w:val="nil"/>
                <w:right w:val="nil"/>
                <w:between w:val="nil"/>
              </w:pBdr>
              <w:suppressAutoHyphens/>
              <w:ind w:left="83"/>
              <w:jc w:val="center"/>
              <w:rPr>
                <w:sz w:val="18"/>
                <w:szCs w:val="18"/>
                <w:u w:val="single"/>
              </w:rPr>
            </w:pPr>
            <w:r w:rsidRPr="00DB1AEE">
              <w:rPr>
                <w:sz w:val="18"/>
                <w:szCs w:val="18"/>
                <w:u w:val="single"/>
              </w:rPr>
              <w:t>Unheated slabs</w:t>
            </w:r>
          </w:p>
        </w:tc>
        <w:tc>
          <w:tcPr>
            <w:tcW w:w="1440" w:type="dxa"/>
            <w:tcBorders>
              <w:top w:val="single" w:sz="4" w:space="0" w:color="000000"/>
              <w:left w:val="single" w:sz="4" w:space="0" w:color="000000"/>
              <w:bottom w:val="single" w:sz="4" w:space="0" w:color="000000"/>
              <w:right w:val="single" w:sz="4" w:space="0" w:color="000000"/>
            </w:tcBorders>
            <w:vAlign w:val="center"/>
          </w:tcPr>
          <w:p w14:paraId="615211FA" w14:textId="77777777" w:rsidR="00DB1AEE" w:rsidRPr="00DB1AEE" w:rsidRDefault="00DB1AEE" w:rsidP="00DB1AEE">
            <w:pPr>
              <w:widowControl w:val="0"/>
              <w:pBdr>
                <w:top w:val="nil"/>
                <w:left w:val="nil"/>
                <w:bottom w:val="nil"/>
                <w:right w:val="nil"/>
                <w:between w:val="nil"/>
              </w:pBdr>
              <w:suppressAutoHyphens/>
              <w:spacing w:before="13" w:line="230" w:lineRule="auto"/>
              <w:ind w:left="83" w:right="70"/>
              <w:jc w:val="center"/>
              <w:rPr>
                <w:sz w:val="18"/>
                <w:szCs w:val="18"/>
                <w:u w:val="single"/>
              </w:rPr>
            </w:pPr>
            <w:r w:rsidRPr="00DB1AEE">
              <w:rPr>
                <w:sz w:val="18"/>
                <w:szCs w:val="18"/>
                <w:u w:val="single"/>
              </w:rPr>
              <w:t>R-15 for 24″ below</w:t>
            </w:r>
          </w:p>
        </w:tc>
        <w:tc>
          <w:tcPr>
            <w:tcW w:w="1440" w:type="dxa"/>
            <w:tcBorders>
              <w:top w:val="single" w:sz="4" w:space="0" w:color="000000"/>
              <w:left w:val="single" w:sz="4" w:space="0" w:color="000000"/>
              <w:bottom w:val="single" w:sz="4" w:space="0" w:color="000000"/>
              <w:right w:val="single" w:sz="4" w:space="0" w:color="000000"/>
            </w:tcBorders>
            <w:vAlign w:val="center"/>
          </w:tcPr>
          <w:p w14:paraId="24888408" w14:textId="77777777" w:rsidR="00DB1AEE" w:rsidRPr="00DB1AEE" w:rsidRDefault="00DB1AEE" w:rsidP="00DB1AEE">
            <w:pPr>
              <w:widowControl w:val="0"/>
              <w:pBdr>
                <w:top w:val="nil"/>
                <w:left w:val="nil"/>
                <w:bottom w:val="nil"/>
                <w:right w:val="nil"/>
                <w:between w:val="nil"/>
              </w:pBdr>
              <w:suppressAutoHyphens/>
              <w:spacing w:before="14" w:line="230" w:lineRule="auto"/>
              <w:ind w:left="70" w:right="59"/>
              <w:jc w:val="center"/>
              <w:rPr>
                <w:sz w:val="18"/>
                <w:szCs w:val="18"/>
                <w:u w:val="single"/>
              </w:rPr>
            </w:pPr>
            <w:r w:rsidRPr="00DB1AEE">
              <w:rPr>
                <w:sz w:val="18"/>
                <w:szCs w:val="18"/>
                <w:u w:val="single"/>
              </w:rPr>
              <w:t>R-15 for 24″ below</w:t>
            </w:r>
          </w:p>
        </w:tc>
        <w:tc>
          <w:tcPr>
            <w:tcW w:w="1440" w:type="dxa"/>
            <w:tcBorders>
              <w:top w:val="single" w:sz="4" w:space="0" w:color="000000"/>
              <w:left w:val="single" w:sz="4" w:space="0" w:color="000000"/>
              <w:bottom w:val="single" w:sz="4" w:space="0" w:color="000000"/>
              <w:right w:val="single" w:sz="4" w:space="0" w:color="000000"/>
            </w:tcBorders>
            <w:vAlign w:val="center"/>
          </w:tcPr>
          <w:p w14:paraId="243DE313" w14:textId="77777777" w:rsidR="00DB1AEE" w:rsidRPr="00DB1AEE" w:rsidRDefault="00DB1AEE" w:rsidP="00DB1AEE">
            <w:pPr>
              <w:widowControl w:val="0"/>
              <w:pBdr>
                <w:top w:val="nil"/>
                <w:left w:val="nil"/>
                <w:bottom w:val="nil"/>
                <w:right w:val="nil"/>
                <w:between w:val="nil"/>
              </w:pBdr>
              <w:suppressAutoHyphens/>
              <w:spacing w:before="14" w:line="230" w:lineRule="auto"/>
              <w:ind w:left="70" w:right="59"/>
              <w:jc w:val="center"/>
              <w:rPr>
                <w:sz w:val="18"/>
                <w:szCs w:val="18"/>
                <w:u w:val="single"/>
              </w:rPr>
            </w:pPr>
            <w:r w:rsidRPr="00DB1AEE">
              <w:rPr>
                <w:sz w:val="18"/>
                <w:szCs w:val="18"/>
                <w:u w:val="single"/>
              </w:rPr>
              <w:t>R-15 for 24″ below</w:t>
            </w:r>
          </w:p>
        </w:tc>
        <w:tc>
          <w:tcPr>
            <w:tcW w:w="1440" w:type="dxa"/>
            <w:tcBorders>
              <w:top w:val="single" w:sz="4" w:space="0" w:color="000000"/>
              <w:left w:val="single" w:sz="4" w:space="0" w:color="000000"/>
              <w:bottom w:val="single" w:sz="4" w:space="0" w:color="000000"/>
              <w:right w:val="single" w:sz="4" w:space="0" w:color="000000"/>
            </w:tcBorders>
            <w:vAlign w:val="center"/>
          </w:tcPr>
          <w:p w14:paraId="753D2445" w14:textId="77777777" w:rsidR="00DB1AEE" w:rsidRPr="00DB1AEE" w:rsidRDefault="00DB1AEE" w:rsidP="00DB1AEE">
            <w:pPr>
              <w:widowControl w:val="0"/>
              <w:pBdr>
                <w:top w:val="nil"/>
                <w:left w:val="nil"/>
                <w:bottom w:val="nil"/>
                <w:right w:val="nil"/>
                <w:between w:val="nil"/>
              </w:pBdr>
              <w:suppressAutoHyphens/>
              <w:spacing w:before="14" w:line="230" w:lineRule="auto"/>
              <w:ind w:left="70" w:right="59"/>
              <w:jc w:val="center"/>
              <w:rPr>
                <w:sz w:val="18"/>
                <w:szCs w:val="18"/>
                <w:u w:val="single"/>
              </w:rPr>
            </w:pPr>
            <w:r w:rsidRPr="00DB1AEE">
              <w:rPr>
                <w:sz w:val="18"/>
                <w:szCs w:val="18"/>
                <w:u w:val="single"/>
              </w:rPr>
              <w:t>R-20 for 24″ below</w:t>
            </w:r>
          </w:p>
        </w:tc>
        <w:tc>
          <w:tcPr>
            <w:tcW w:w="1440" w:type="dxa"/>
            <w:tcBorders>
              <w:top w:val="single" w:sz="4" w:space="0" w:color="000000"/>
              <w:left w:val="single" w:sz="4" w:space="0" w:color="000000"/>
              <w:bottom w:val="single" w:sz="4" w:space="0" w:color="000000"/>
              <w:right w:val="single" w:sz="4" w:space="0" w:color="000000"/>
            </w:tcBorders>
            <w:vAlign w:val="center"/>
          </w:tcPr>
          <w:p w14:paraId="45A55923" w14:textId="77777777" w:rsidR="00DB1AEE" w:rsidRPr="00DB1AEE" w:rsidRDefault="00DB1AEE" w:rsidP="00DB1AEE">
            <w:pPr>
              <w:widowControl w:val="0"/>
              <w:pBdr>
                <w:top w:val="nil"/>
                <w:left w:val="nil"/>
                <w:bottom w:val="nil"/>
                <w:right w:val="nil"/>
                <w:between w:val="nil"/>
              </w:pBdr>
              <w:suppressAutoHyphens/>
              <w:spacing w:before="14" w:line="230" w:lineRule="auto"/>
              <w:ind w:left="70" w:right="59"/>
              <w:jc w:val="center"/>
              <w:rPr>
                <w:sz w:val="18"/>
                <w:szCs w:val="18"/>
                <w:u w:val="single"/>
              </w:rPr>
            </w:pPr>
            <w:r w:rsidRPr="00DB1AEE">
              <w:rPr>
                <w:sz w:val="18"/>
                <w:szCs w:val="18"/>
                <w:u w:val="single"/>
              </w:rPr>
              <w:t>R-20 for 24″ below</w:t>
            </w:r>
          </w:p>
        </w:tc>
        <w:tc>
          <w:tcPr>
            <w:tcW w:w="1440" w:type="dxa"/>
            <w:tcBorders>
              <w:top w:val="single" w:sz="4" w:space="0" w:color="000000"/>
              <w:left w:val="single" w:sz="4" w:space="0" w:color="000000"/>
              <w:bottom w:val="single" w:sz="4" w:space="0" w:color="000000"/>
              <w:right w:val="single" w:sz="4" w:space="0" w:color="000000"/>
            </w:tcBorders>
            <w:vAlign w:val="center"/>
          </w:tcPr>
          <w:p w14:paraId="7359671B" w14:textId="77777777" w:rsidR="00DB1AEE" w:rsidRPr="00DB1AEE" w:rsidRDefault="00DB1AEE" w:rsidP="00DB1AEE">
            <w:pPr>
              <w:widowControl w:val="0"/>
              <w:pBdr>
                <w:top w:val="nil"/>
                <w:left w:val="nil"/>
                <w:bottom w:val="nil"/>
                <w:right w:val="nil"/>
                <w:between w:val="nil"/>
              </w:pBdr>
              <w:suppressAutoHyphens/>
              <w:spacing w:before="14" w:line="230" w:lineRule="auto"/>
              <w:ind w:left="70" w:right="59"/>
              <w:jc w:val="center"/>
              <w:rPr>
                <w:sz w:val="18"/>
                <w:szCs w:val="18"/>
                <w:u w:val="single"/>
              </w:rPr>
            </w:pPr>
            <w:r w:rsidRPr="00DB1AEE">
              <w:rPr>
                <w:sz w:val="18"/>
                <w:szCs w:val="18"/>
                <w:u w:val="single"/>
              </w:rPr>
              <w:t>R-20 for 48″ below</w:t>
            </w:r>
          </w:p>
        </w:tc>
      </w:tr>
      <w:tr w:rsidR="00DB1AEE" w:rsidRPr="00DB1AEE" w14:paraId="60FE06A4" w14:textId="77777777" w:rsidTr="00FC1832">
        <w:trPr>
          <w:trHeight w:val="775"/>
          <w:jc w:val="center"/>
        </w:trPr>
        <w:tc>
          <w:tcPr>
            <w:tcW w:w="1440" w:type="dxa"/>
            <w:tcBorders>
              <w:top w:val="single" w:sz="4" w:space="0" w:color="000000"/>
              <w:left w:val="single" w:sz="4" w:space="0" w:color="000000"/>
              <w:bottom w:val="single" w:sz="4" w:space="0" w:color="000000"/>
              <w:right w:val="single" w:sz="4" w:space="0" w:color="000000"/>
            </w:tcBorders>
            <w:vAlign w:val="center"/>
          </w:tcPr>
          <w:p w14:paraId="6437D4C4" w14:textId="77777777" w:rsidR="00DB1AEE" w:rsidRPr="00DB1AEE" w:rsidRDefault="00DB1AEE" w:rsidP="00DB1AEE">
            <w:pPr>
              <w:widowControl w:val="0"/>
              <w:pBdr>
                <w:top w:val="nil"/>
                <w:left w:val="nil"/>
                <w:bottom w:val="nil"/>
                <w:right w:val="nil"/>
                <w:between w:val="nil"/>
              </w:pBdr>
              <w:suppressAutoHyphens/>
              <w:ind w:left="83"/>
              <w:jc w:val="center"/>
              <w:rPr>
                <w:sz w:val="18"/>
                <w:szCs w:val="18"/>
                <w:u w:val="single"/>
              </w:rPr>
            </w:pPr>
            <w:r w:rsidRPr="00DB1AEE">
              <w:rPr>
                <w:sz w:val="18"/>
                <w:szCs w:val="18"/>
                <w:u w:val="single"/>
              </w:rPr>
              <w:t>Heated slabs</w:t>
            </w:r>
            <w:r w:rsidRPr="00DB1AEE">
              <w:rPr>
                <w:sz w:val="18"/>
                <w:szCs w:val="18"/>
                <w:u w:val="single"/>
                <w:vertAlign w:val="superscript"/>
              </w:rPr>
              <w:t>g</w:t>
            </w:r>
          </w:p>
        </w:tc>
        <w:tc>
          <w:tcPr>
            <w:tcW w:w="1440" w:type="dxa"/>
            <w:tcBorders>
              <w:top w:val="single" w:sz="4" w:space="0" w:color="000000"/>
              <w:left w:val="single" w:sz="4" w:space="0" w:color="000000"/>
              <w:bottom w:val="single" w:sz="4" w:space="0" w:color="000000"/>
              <w:right w:val="single" w:sz="4" w:space="0" w:color="000000"/>
            </w:tcBorders>
            <w:vAlign w:val="center"/>
          </w:tcPr>
          <w:p w14:paraId="4CEA5DEF" w14:textId="77777777" w:rsidR="00DB1AEE" w:rsidRPr="00DB1AEE" w:rsidRDefault="00DB1AEE" w:rsidP="00DB1AEE">
            <w:pPr>
              <w:widowControl w:val="0"/>
              <w:pBdr>
                <w:top w:val="nil"/>
                <w:left w:val="nil"/>
                <w:bottom w:val="nil"/>
                <w:right w:val="nil"/>
                <w:between w:val="nil"/>
              </w:pBdr>
              <w:suppressAutoHyphens/>
              <w:spacing w:before="9" w:line="237" w:lineRule="auto"/>
              <w:ind w:left="83" w:right="71"/>
              <w:jc w:val="center"/>
              <w:rPr>
                <w:sz w:val="18"/>
                <w:szCs w:val="18"/>
                <w:u w:val="single"/>
              </w:rPr>
            </w:pPr>
            <w:r w:rsidRPr="00DB1AEE">
              <w:rPr>
                <w:sz w:val="18"/>
                <w:szCs w:val="18"/>
                <w:u w:val="single"/>
              </w:rPr>
              <w:t>R-20 for 48" below</w:t>
            </w:r>
          </w:p>
          <w:p w14:paraId="562287E5" w14:textId="77777777" w:rsidR="00DB1AEE" w:rsidRPr="00DB1AEE" w:rsidRDefault="00DB1AEE" w:rsidP="00DB1AEE">
            <w:pPr>
              <w:widowControl w:val="0"/>
              <w:pBdr>
                <w:top w:val="nil"/>
                <w:left w:val="nil"/>
                <w:bottom w:val="nil"/>
                <w:right w:val="nil"/>
                <w:between w:val="nil"/>
              </w:pBdr>
              <w:suppressAutoHyphens/>
              <w:spacing w:before="9" w:line="237" w:lineRule="auto"/>
              <w:ind w:left="83" w:right="71"/>
              <w:jc w:val="center"/>
              <w:rPr>
                <w:sz w:val="18"/>
                <w:szCs w:val="18"/>
                <w:u w:val="single"/>
              </w:rPr>
            </w:pPr>
            <w:r w:rsidRPr="00DB1AEE">
              <w:rPr>
                <w:sz w:val="18"/>
                <w:szCs w:val="18"/>
                <w:u w:val="single"/>
              </w:rPr>
              <w:t>+ R-5</w:t>
            </w:r>
          </w:p>
          <w:p w14:paraId="05C42F84" w14:textId="77777777" w:rsidR="00DB1AEE" w:rsidRPr="00DB1AEE" w:rsidRDefault="00DB1AEE" w:rsidP="00DB1AEE">
            <w:pPr>
              <w:widowControl w:val="0"/>
              <w:pBdr>
                <w:top w:val="nil"/>
                <w:left w:val="nil"/>
                <w:bottom w:val="nil"/>
                <w:right w:val="nil"/>
                <w:between w:val="nil"/>
              </w:pBdr>
              <w:suppressAutoHyphens/>
              <w:spacing w:before="9" w:line="237" w:lineRule="auto"/>
              <w:ind w:left="83" w:right="71"/>
              <w:jc w:val="center"/>
              <w:rPr>
                <w:sz w:val="18"/>
                <w:szCs w:val="18"/>
                <w:u w:val="single"/>
              </w:rPr>
            </w:pPr>
            <w:r w:rsidRPr="00DB1AEE">
              <w:rPr>
                <w:sz w:val="18"/>
                <w:szCs w:val="18"/>
                <w:u w:val="single"/>
              </w:rPr>
              <w:t>full slab</w:t>
            </w:r>
          </w:p>
        </w:tc>
        <w:tc>
          <w:tcPr>
            <w:tcW w:w="1440" w:type="dxa"/>
            <w:tcBorders>
              <w:top w:val="single" w:sz="4" w:space="0" w:color="000000"/>
              <w:left w:val="single" w:sz="4" w:space="0" w:color="000000"/>
              <w:bottom w:val="single" w:sz="4" w:space="0" w:color="000000"/>
              <w:right w:val="single" w:sz="4" w:space="0" w:color="000000"/>
            </w:tcBorders>
            <w:vAlign w:val="center"/>
          </w:tcPr>
          <w:p w14:paraId="525F8DD4" w14:textId="77777777" w:rsidR="00DB1AEE" w:rsidRPr="00DB1AEE" w:rsidRDefault="00DB1AEE" w:rsidP="00DB1AEE">
            <w:pPr>
              <w:widowControl w:val="0"/>
              <w:pBdr>
                <w:top w:val="nil"/>
                <w:left w:val="nil"/>
                <w:bottom w:val="nil"/>
                <w:right w:val="nil"/>
                <w:between w:val="nil"/>
              </w:pBdr>
              <w:suppressAutoHyphens/>
              <w:spacing w:before="10" w:line="237" w:lineRule="auto"/>
              <w:ind w:left="81" w:right="71"/>
              <w:jc w:val="center"/>
              <w:rPr>
                <w:sz w:val="18"/>
                <w:szCs w:val="18"/>
                <w:u w:val="single"/>
              </w:rPr>
            </w:pPr>
            <w:r w:rsidRPr="00DB1AEE">
              <w:rPr>
                <w:sz w:val="18"/>
                <w:szCs w:val="18"/>
                <w:u w:val="single"/>
              </w:rPr>
              <w:t>R-20 for 48" below</w:t>
            </w:r>
          </w:p>
          <w:p w14:paraId="36D0E4AB" w14:textId="77777777" w:rsidR="00DB1AEE" w:rsidRPr="00DB1AEE" w:rsidRDefault="00DB1AEE" w:rsidP="00DB1AEE">
            <w:pPr>
              <w:widowControl w:val="0"/>
              <w:pBdr>
                <w:top w:val="nil"/>
                <w:left w:val="nil"/>
                <w:bottom w:val="nil"/>
                <w:right w:val="nil"/>
                <w:between w:val="nil"/>
              </w:pBdr>
              <w:suppressAutoHyphens/>
              <w:spacing w:before="10" w:line="237" w:lineRule="auto"/>
              <w:ind w:left="81" w:right="71"/>
              <w:jc w:val="center"/>
              <w:rPr>
                <w:sz w:val="18"/>
                <w:szCs w:val="18"/>
                <w:u w:val="single"/>
              </w:rPr>
            </w:pPr>
            <w:r w:rsidRPr="00DB1AEE">
              <w:rPr>
                <w:sz w:val="18"/>
                <w:szCs w:val="18"/>
                <w:u w:val="single"/>
              </w:rPr>
              <w:t>+ R-5</w:t>
            </w:r>
          </w:p>
          <w:p w14:paraId="06E1481F" w14:textId="77777777" w:rsidR="00DB1AEE" w:rsidRPr="00DB1AEE" w:rsidRDefault="00DB1AEE" w:rsidP="00DB1AEE">
            <w:pPr>
              <w:widowControl w:val="0"/>
              <w:pBdr>
                <w:top w:val="nil"/>
                <w:left w:val="nil"/>
                <w:bottom w:val="nil"/>
                <w:right w:val="nil"/>
                <w:between w:val="nil"/>
              </w:pBdr>
              <w:suppressAutoHyphens/>
              <w:spacing w:before="10" w:line="237" w:lineRule="auto"/>
              <w:ind w:left="81" w:right="71"/>
              <w:jc w:val="center"/>
              <w:rPr>
                <w:sz w:val="18"/>
                <w:szCs w:val="18"/>
                <w:u w:val="single"/>
              </w:rPr>
            </w:pPr>
            <w:r w:rsidRPr="00DB1AEE">
              <w:rPr>
                <w:sz w:val="18"/>
                <w:szCs w:val="18"/>
                <w:u w:val="single"/>
              </w:rPr>
              <w:t>full slab</w:t>
            </w:r>
          </w:p>
        </w:tc>
        <w:tc>
          <w:tcPr>
            <w:tcW w:w="1440" w:type="dxa"/>
            <w:tcBorders>
              <w:top w:val="single" w:sz="4" w:space="0" w:color="000000"/>
              <w:left w:val="single" w:sz="4" w:space="0" w:color="000000"/>
              <w:bottom w:val="single" w:sz="4" w:space="0" w:color="000000"/>
              <w:right w:val="single" w:sz="4" w:space="0" w:color="000000"/>
            </w:tcBorders>
            <w:vAlign w:val="center"/>
          </w:tcPr>
          <w:p w14:paraId="0B987221" w14:textId="77777777" w:rsidR="00DB1AEE" w:rsidRPr="00DB1AEE" w:rsidRDefault="00DB1AEE" w:rsidP="00DB1AEE">
            <w:pPr>
              <w:suppressAutoHyphens/>
              <w:jc w:val="center"/>
              <w:rPr>
                <w:sz w:val="18"/>
                <w:szCs w:val="18"/>
                <w:u w:val="single"/>
              </w:rPr>
            </w:pPr>
            <w:r w:rsidRPr="00DB1AEE">
              <w:rPr>
                <w:sz w:val="18"/>
                <w:szCs w:val="18"/>
                <w:u w:val="single"/>
              </w:rPr>
              <w:t>R-20 for 48″ below</w:t>
            </w:r>
          </w:p>
          <w:p w14:paraId="725F1D8C" w14:textId="77777777" w:rsidR="00DB1AEE" w:rsidRPr="00DB1AEE" w:rsidRDefault="00DB1AEE" w:rsidP="00DB1AEE">
            <w:pPr>
              <w:widowControl w:val="0"/>
              <w:pBdr>
                <w:top w:val="nil"/>
                <w:left w:val="nil"/>
                <w:bottom w:val="nil"/>
                <w:right w:val="nil"/>
                <w:between w:val="nil"/>
              </w:pBdr>
              <w:suppressAutoHyphens/>
              <w:spacing w:before="10" w:line="237" w:lineRule="auto"/>
              <w:ind w:left="81" w:right="71"/>
              <w:jc w:val="center"/>
              <w:rPr>
                <w:sz w:val="18"/>
                <w:szCs w:val="18"/>
                <w:u w:val="single"/>
              </w:rPr>
            </w:pPr>
            <w:r w:rsidRPr="00DB1AEE">
              <w:rPr>
                <w:sz w:val="18"/>
                <w:szCs w:val="18"/>
                <w:u w:val="single"/>
              </w:rPr>
              <w:t>+ R-5 full slab</w:t>
            </w:r>
          </w:p>
        </w:tc>
        <w:tc>
          <w:tcPr>
            <w:tcW w:w="1440" w:type="dxa"/>
            <w:tcBorders>
              <w:top w:val="single" w:sz="4" w:space="0" w:color="000000"/>
              <w:left w:val="single" w:sz="4" w:space="0" w:color="000000"/>
              <w:bottom w:val="single" w:sz="4" w:space="0" w:color="000000"/>
              <w:right w:val="single" w:sz="4" w:space="0" w:color="000000"/>
            </w:tcBorders>
            <w:vAlign w:val="center"/>
          </w:tcPr>
          <w:p w14:paraId="45FD8197" w14:textId="77777777" w:rsidR="00DB1AEE" w:rsidRPr="00DB1AEE" w:rsidRDefault="00DB1AEE" w:rsidP="00DB1AEE">
            <w:pPr>
              <w:suppressAutoHyphens/>
              <w:jc w:val="center"/>
              <w:rPr>
                <w:sz w:val="18"/>
                <w:szCs w:val="18"/>
                <w:u w:val="single"/>
              </w:rPr>
            </w:pPr>
            <w:r w:rsidRPr="00DB1AEE">
              <w:rPr>
                <w:sz w:val="18"/>
                <w:szCs w:val="18"/>
                <w:u w:val="single"/>
              </w:rPr>
              <w:t>R-20 for 48″ below</w:t>
            </w:r>
          </w:p>
          <w:p w14:paraId="29614FE7" w14:textId="77777777" w:rsidR="00DB1AEE" w:rsidRPr="00DB1AEE" w:rsidRDefault="00DB1AEE" w:rsidP="00DB1AEE">
            <w:pPr>
              <w:widowControl w:val="0"/>
              <w:pBdr>
                <w:top w:val="nil"/>
                <w:left w:val="nil"/>
                <w:bottom w:val="nil"/>
                <w:right w:val="nil"/>
                <w:between w:val="nil"/>
              </w:pBdr>
              <w:suppressAutoHyphens/>
              <w:spacing w:before="10" w:line="237" w:lineRule="auto"/>
              <w:ind w:left="81" w:right="71"/>
              <w:jc w:val="center"/>
              <w:rPr>
                <w:sz w:val="18"/>
                <w:szCs w:val="18"/>
                <w:u w:val="single"/>
              </w:rPr>
            </w:pPr>
            <w:r w:rsidRPr="00DB1AEE">
              <w:rPr>
                <w:sz w:val="18"/>
                <w:szCs w:val="18"/>
                <w:u w:val="single"/>
              </w:rPr>
              <w:t>+ R-5 full slab</w:t>
            </w:r>
          </w:p>
        </w:tc>
        <w:tc>
          <w:tcPr>
            <w:tcW w:w="1440" w:type="dxa"/>
            <w:tcBorders>
              <w:top w:val="single" w:sz="4" w:space="0" w:color="000000"/>
              <w:left w:val="single" w:sz="4" w:space="0" w:color="000000"/>
              <w:bottom w:val="single" w:sz="4" w:space="0" w:color="000000"/>
              <w:right w:val="single" w:sz="4" w:space="0" w:color="000000"/>
            </w:tcBorders>
            <w:vAlign w:val="center"/>
          </w:tcPr>
          <w:p w14:paraId="154326CA" w14:textId="77777777" w:rsidR="00DB1AEE" w:rsidRPr="00DB1AEE" w:rsidRDefault="00DB1AEE" w:rsidP="00DB1AEE">
            <w:pPr>
              <w:suppressAutoHyphens/>
              <w:jc w:val="center"/>
              <w:rPr>
                <w:sz w:val="18"/>
                <w:szCs w:val="18"/>
                <w:u w:val="single"/>
              </w:rPr>
            </w:pPr>
            <w:r w:rsidRPr="00DB1AEE">
              <w:rPr>
                <w:sz w:val="18"/>
                <w:szCs w:val="18"/>
                <w:u w:val="single"/>
              </w:rPr>
              <w:t>R-20 for 48″ below</w:t>
            </w:r>
          </w:p>
          <w:p w14:paraId="4C33CD01" w14:textId="77777777" w:rsidR="00DB1AEE" w:rsidRPr="00DB1AEE" w:rsidRDefault="00DB1AEE" w:rsidP="00DB1AEE">
            <w:pPr>
              <w:widowControl w:val="0"/>
              <w:pBdr>
                <w:top w:val="nil"/>
                <w:left w:val="nil"/>
                <w:bottom w:val="nil"/>
                <w:right w:val="nil"/>
                <w:between w:val="nil"/>
              </w:pBdr>
              <w:suppressAutoHyphens/>
              <w:spacing w:before="10" w:line="237" w:lineRule="auto"/>
              <w:ind w:left="81" w:right="71"/>
              <w:jc w:val="center"/>
              <w:rPr>
                <w:sz w:val="18"/>
                <w:szCs w:val="18"/>
                <w:u w:val="single"/>
              </w:rPr>
            </w:pPr>
            <w:r w:rsidRPr="00DB1AEE">
              <w:rPr>
                <w:sz w:val="18"/>
                <w:szCs w:val="18"/>
                <w:u w:val="single"/>
              </w:rPr>
              <w:t>+ R-5 full slab</w:t>
            </w:r>
          </w:p>
        </w:tc>
        <w:tc>
          <w:tcPr>
            <w:tcW w:w="1440" w:type="dxa"/>
            <w:tcBorders>
              <w:top w:val="single" w:sz="4" w:space="0" w:color="000000"/>
              <w:left w:val="single" w:sz="4" w:space="0" w:color="000000"/>
              <w:bottom w:val="single" w:sz="4" w:space="0" w:color="000000"/>
              <w:right w:val="single" w:sz="4" w:space="0" w:color="000000"/>
            </w:tcBorders>
            <w:vAlign w:val="center"/>
          </w:tcPr>
          <w:p w14:paraId="7A4C6CFC" w14:textId="77777777" w:rsidR="00DB1AEE" w:rsidRPr="00DB1AEE" w:rsidRDefault="00DB1AEE" w:rsidP="00DB1AEE">
            <w:pPr>
              <w:widowControl w:val="0"/>
              <w:pBdr>
                <w:top w:val="nil"/>
                <w:left w:val="nil"/>
                <w:bottom w:val="nil"/>
                <w:right w:val="nil"/>
                <w:between w:val="nil"/>
              </w:pBdr>
              <w:suppressAutoHyphens/>
              <w:spacing w:before="10" w:line="237" w:lineRule="auto"/>
              <w:ind w:left="81" w:right="71"/>
              <w:jc w:val="center"/>
              <w:rPr>
                <w:sz w:val="18"/>
                <w:szCs w:val="18"/>
                <w:u w:val="single"/>
              </w:rPr>
            </w:pPr>
            <w:r w:rsidRPr="00DB1AEE">
              <w:rPr>
                <w:sz w:val="18"/>
                <w:szCs w:val="18"/>
                <w:u w:val="single"/>
              </w:rPr>
              <w:t>R-15 full slab</w:t>
            </w:r>
          </w:p>
        </w:tc>
      </w:tr>
    </w:tbl>
    <w:p w14:paraId="0C51AE9A" w14:textId="77777777" w:rsidR="00DB1AEE" w:rsidRPr="00DB1AEE" w:rsidRDefault="00DB1AEE" w:rsidP="00DB1AEE">
      <w:pPr>
        <w:pBdr>
          <w:top w:val="nil"/>
          <w:left w:val="nil"/>
          <w:bottom w:val="nil"/>
          <w:right w:val="nil"/>
          <w:between w:val="nil"/>
        </w:pBdr>
        <w:tabs>
          <w:tab w:val="left" w:pos="180"/>
        </w:tabs>
        <w:suppressAutoHyphens/>
        <w:spacing w:before="20"/>
        <w:ind w:left="360" w:hanging="360"/>
        <w:rPr>
          <w:szCs w:val="24"/>
          <w:u w:val="single"/>
        </w:rPr>
      </w:pPr>
      <w:bookmarkStart w:id="312" w:name="_lnxbz9" w:colFirst="0" w:colLast="0"/>
      <w:bookmarkEnd w:id="312"/>
      <w:r w:rsidRPr="00DB1AEE">
        <w:rPr>
          <w:szCs w:val="24"/>
          <w:u w:val="single"/>
        </w:rPr>
        <w:t>For SI: 1 inch = 25.4 mm, 1 pound per square foot = 4.88 kg/m</w:t>
      </w:r>
      <w:r w:rsidRPr="00DB1AEE">
        <w:rPr>
          <w:szCs w:val="24"/>
          <w:u w:val="single"/>
          <w:vertAlign w:val="superscript"/>
        </w:rPr>
        <w:t>2</w:t>
      </w:r>
      <w:r w:rsidRPr="00DB1AEE">
        <w:rPr>
          <w:szCs w:val="24"/>
          <w:u w:val="single"/>
        </w:rPr>
        <w:t>, 1 pound per cubic foot = 16 kg/m</w:t>
      </w:r>
      <w:r w:rsidRPr="00DB1AEE">
        <w:rPr>
          <w:szCs w:val="24"/>
          <w:u w:val="single"/>
          <w:vertAlign w:val="superscript"/>
        </w:rPr>
        <w:t>3</w:t>
      </w:r>
      <w:r w:rsidRPr="00DB1AEE">
        <w:rPr>
          <w:szCs w:val="24"/>
          <w:u w:val="single"/>
        </w:rPr>
        <w:t>.</w:t>
      </w:r>
    </w:p>
    <w:p w14:paraId="34A40870" w14:textId="77777777" w:rsidR="00DB1AEE" w:rsidRPr="00DB1AEE" w:rsidRDefault="00DB1AEE" w:rsidP="00DB1AEE">
      <w:pPr>
        <w:pBdr>
          <w:top w:val="nil"/>
          <w:left w:val="nil"/>
          <w:bottom w:val="nil"/>
          <w:right w:val="nil"/>
          <w:between w:val="nil"/>
        </w:pBdr>
        <w:tabs>
          <w:tab w:val="left" w:pos="180"/>
        </w:tabs>
        <w:suppressAutoHyphens/>
        <w:spacing w:before="20"/>
        <w:ind w:left="360" w:hanging="360"/>
        <w:rPr>
          <w:szCs w:val="24"/>
          <w:u w:val="single"/>
        </w:rPr>
      </w:pPr>
      <w:r w:rsidRPr="00DB1AEE">
        <w:rPr>
          <w:szCs w:val="24"/>
          <w:u w:val="single"/>
        </w:rPr>
        <w:t>ci = Continuous Insulation, NR = No Requirement, LS = Liner System, ca = Cavity insulation.</w:t>
      </w:r>
    </w:p>
    <w:p w14:paraId="13E476E6" w14:textId="77777777" w:rsidR="00DB1AEE" w:rsidRPr="00DB1AEE" w:rsidRDefault="00DB1AEE" w:rsidP="00DB1AEE">
      <w:pPr>
        <w:pBdr>
          <w:top w:val="nil"/>
          <w:left w:val="nil"/>
          <w:bottom w:val="nil"/>
          <w:right w:val="nil"/>
          <w:between w:val="nil"/>
        </w:pBdr>
        <w:tabs>
          <w:tab w:val="left" w:pos="180"/>
        </w:tabs>
        <w:suppressAutoHyphens/>
        <w:ind w:left="360" w:hanging="288"/>
        <w:rPr>
          <w:szCs w:val="24"/>
          <w:u w:val="single"/>
        </w:rPr>
      </w:pPr>
      <w:r w:rsidRPr="00DB1AEE">
        <w:rPr>
          <w:szCs w:val="24"/>
          <w:u w:val="single"/>
        </w:rPr>
        <w:t>a.</w:t>
      </w:r>
      <w:r w:rsidRPr="00DB1AEE">
        <w:rPr>
          <w:szCs w:val="24"/>
          <w:u w:val="single"/>
        </w:rPr>
        <w:tab/>
        <w:t>Assembly descriptions can be found 2025 NYC ASHRAE 90.1 Appendix A.</w:t>
      </w:r>
    </w:p>
    <w:p w14:paraId="3EB21099" w14:textId="77777777" w:rsidR="00DB1AEE" w:rsidRPr="00DB1AEE" w:rsidRDefault="00DB1AEE" w:rsidP="00DB1AEE">
      <w:pPr>
        <w:pBdr>
          <w:top w:val="nil"/>
          <w:left w:val="nil"/>
          <w:bottom w:val="nil"/>
          <w:right w:val="nil"/>
          <w:between w:val="nil"/>
        </w:pBdr>
        <w:tabs>
          <w:tab w:val="left" w:pos="180"/>
        </w:tabs>
        <w:suppressAutoHyphens/>
        <w:ind w:left="360" w:hanging="288"/>
        <w:rPr>
          <w:szCs w:val="24"/>
          <w:u w:val="single"/>
        </w:rPr>
      </w:pPr>
      <w:r w:rsidRPr="00DB1AEE">
        <w:rPr>
          <w:szCs w:val="24"/>
          <w:u w:val="single"/>
        </w:rPr>
        <w:t>b.</w:t>
      </w:r>
      <w:r w:rsidRPr="00DB1AEE">
        <w:rPr>
          <w:szCs w:val="24"/>
          <w:u w:val="single"/>
        </w:rPr>
        <w:tab/>
        <w:t xml:space="preserve">Where using </w:t>
      </w:r>
      <w:r w:rsidRPr="00DB1AEE">
        <w:rPr>
          <w:i/>
          <w:szCs w:val="24"/>
          <w:u w:val="single"/>
        </w:rPr>
        <w:t>R</w:t>
      </w:r>
      <w:r w:rsidRPr="00DB1AEE">
        <w:rPr>
          <w:szCs w:val="24"/>
          <w:u w:val="single"/>
        </w:rPr>
        <w:t xml:space="preserve">-value compliance method, a thermal spacer block shall be provided, otherwise use the </w:t>
      </w:r>
      <w:r w:rsidRPr="00DB1AEE">
        <w:rPr>
          <w:i/>
          <w:szCs w:val="24"/>
          <w:u w:val="single"/>
        </w:rPr>
        <w:t>U</w:t>
      </w:r>
      <w:r w:rsidRPr="00DB1AEE">
        <w:rPr>
          <w:szCs w:val="24"/>
          <w:u w:val="single"/>
        </w:rPr>
        <w:t xml:space="preserve">-factor compliance method in Table </w:t>
      </w:r>
      <w:r w:rsidRPr="00DB1AEE">
        <w:rPr>
          <w:rFonts w:eastAsia="Times"/>
          <w:szCs w:val="24"/>
          <w:u w:val="single"/>
        </w:rPr>
        <w:t>C402.1.2.</w:t>
      </w:r>
    </w:p>
    <w:p w14:paraId="50339C84" w14:textId="77777777" w:rsidR="00DB1AEE" w:rsidRPr="00DB1AEE" w:rsidRDefault="00DB1AEE" w:rsidP="00DB1AEE">
      <w:pPr>
        <w:pBdr>
          <w:top w:val="nil"/>
          <w:left w:val="nil"/>
          <w:bottom w:val="nil"/>
          <w:right w:val="nil"/>
          <w:between w:val="nil"/>
        </w:pBdr>
        <w:tabs>
          <w:tab w:val="left" w:pos="180"/>
        </w:tabs>
        <w:suppressAutoHyphens/>
        <w:ind w:left="360" w:hanging="288"/>
        <w:rPr>
          <w:u w:val="single"/>
        </w:rPr>
      </w:pPr>
      <w:r w:rsidRPr="00DB1AEE">
        <w:rPr>
          <w:u w:val="single"/>
        </w:rPr>
        <w:t>c.</w:t>
      </w:r>
      <w:r w:rsidRPr="00DB1AEE">
        <w:tab/>
      </w:r>
      <w:r w:rsidRPr="00DB1AEE">
        <w:rPr>
          <w:rFonts w:eastAsia="Times"/>
          <w:u w:val="single"/>
        </w:rPr>
        <w:t xml:space="preserve"> </w:t>
      </w:r>
      <w:r w:rsidRPr="00DB1AEE">
        <w:rPr>
          <w:u w:val="single"/>
        </w:rPr>
        <w:t>Reserved.</w:t>
      </w:r>
    </w:p>
    <w:p w14:paraId="6708531C" w14:textId="77777777" w:rsidR="00DB1AEE" w:rsidRPr="00DB1AEE" w:rsidRDefault="00DB1AEE" w:rsidP="00DB1AEE">
      <w:pPr>
        <w:pBdr>
          <w:top w:val="nil"/>
          <w:left w:val="nil"/>
          <w:bottom w:val="nil"/>
          <w:right w:val="nil"/>
          <w:between w:val="nil"/>
        </w:pBdr>
        <w:tabs>
          <w:tab w:val="left" w:pos="180"/>
        </w:tabs>
        <w:suppressAutoHyphens/>
        <w:ind w:left="360" w:hanging="288"/>
        <w:rPr>
          <w:szCs w:val="24"/>
          <w:u w:val="single"/>
        </w:rPr>
      </w:pPr>
      <w:r w:rsidRPr="00DB1AEE">
        <w:rPr>
          <w:szCs w:val="24"/>
          <w:u w:val="single"/>
        </w:rPr>
        <w:t>d.</w:t>
      </w:r>
      <w:r w:rsidRPr="00DB1AEE">
        <w:rPr>
          <w:szCs w:val="24"/>
          <w:u w:val="single"/>
        </w:rPr>
        <w:tab/>
        <w:t>Where heated slabs are below grade, below-grade walls shall comply with the exterior insulation requirements for heated slabs.</w:t>
      </w:r>
    </w:p>
    <w:p w14:paraId="45694D3C" w14:textId="77777777" w:rsidR="00DB1AEE" w:rsidRPr="00DB1AEE" w:rsidRDefault="00DB1AEE" w:rsidP="00DB1AEE">
      <w:pPr>
        <w:pBdr>
          <w:top w:val="nil"/>
          <w:left w:val="nil"/>
          <w:bottom w:val="nil"/>
          <w:right w:val="nil"/>
          <w:between w:val="nil"/>
        </w:pBdr>
        <w:tabs>
          <w:tab w:val="left" w:pos="180"/>
        </w:tabs>
        <w:suppressAutoHyphens/>
        <w:ind w:left="360" w:hanging="288"/>
        <w:rPr>
          <w:szCs w:val="24"/>
          <w:u w:val="single"/>
        </w:rPr>
      </w:pPr>
      <w:r w:rsidRPr="00DB1AEE">
        <w:rPr>
          <w:szCs w:val="24"/>
          <w:u w:val="single"/>
        </w:rPr>
        <w:t>e.</w:t>
      </w:r>
      <w:r w:rsidRPr="00DB1AEE">
        <w:rPr>
          <w:szCs w:val="24"/>
          <w:u w:val="single"/>
        </w:rPr>
        <w:tab/>
        <w:t xml:space="preserve">“Mass floors” shall be in accordance with Section </w:t>
      </w:r>
      <w:r w:rsidRPr="00DB1AEE">
        <w:rPr>
          <w:rFonts w:eastAsia="Times"/>
          <w:szCs w:val="24"/>
          <w:u w:val="single"/>
        </w:rPr>
        <w:t>C402.1.3.4.</w:t>
      </w:r>
    </w:p>
    <w:p w14:paraId="73C4DE7F" w14:textId="77777777" w:rsidR="00DB1AEE" w:rsidRPr="00DB1AEE" w:rsidRDefault="00DB1AEE" w:rsidP="00DB1AEE">
      <w:pPr>
        <w:pBdr>
          <w:top w:val="nil"/>
          <w:left w:val="nil"/>
          <w:bottom w:val="nil"/>
          <w:right w:val="nil"/>
          <w:between w:val="nil"/>
        </w:pBdr>
        <w:tabs>
          <w:tab w:val="left" w:pos="180"/>
        </w:tabs>
        <w:suppressAutoHyphens/>
        <w:ind w:left="360" w:hanging="288"/>
        <w:rPr>
          <w:rFonts w:eastAsia="Times"/>
          <w:szCs w:val="24"/>
          <w:u w:val="single"/>
        </w:rPr>
      </w:pPr>
      <w:r w:rsidRPr="00DB1AEE">
        <w:rPr>
          <w:szCs w:val="24"/>
          <w:u w:val="single"/>
        </w:rPr>
        <w:t>f.</w:t>
      </w:r>
      <w:r w:rsidRPr="00DB1AEE">
        <w:rPr>
          <w:szCs w:val="24"/>
          <w:u w:val="single"/>
        </w:rPr>
        <w:tab/>
        <w:t xml:space="preserve">“Mass walls” shall be in accordance with Section </w:t>
      </w:r>
      <w:r w:rsidRPr="00DB1AEE">
        <w:rPr>
          <w:rFonts w:eastAsia="Times"/>
          <w:szCs w:val="24"/>
          <w:u w:val="single"/>
        </w:rPr>
        <w:t>C402.1.3.4.</w:t>
      </w:r>
    </w:p>
    <w:p w14:paraId="629896F6" w14:textId="77777777" w:rsidR="00DB1AEE" w:rsidRPr="00DB1AEE" w:rsidRDefault="00DB1AEE" w:rsidP="00DB1AEE">
      <w:pPr>
        <w:shd w:val="clear" w:color="auto" w:fill="FFFFFF"/>
        <w:suppressAutoHyphens/>
        <w:ind w:left="432" w:hanging="288"/>
        <w:jc w:val="left"/>
        <w:rPr>
          <w:szCs w:val="24"/>
          <w:u w:val="single"/>
        </w:rPr>
      </w:pPr>
      <w:r w:rsidRPr="00DB1AEE">
        <w:rPr>
          <w:szCs w:val="24"/>
          <w:u w:val="single"/>
        </w:rPr>
        <w:t>g.</w:t>
      </w:r>
      <w:r w:rsidRPr="00DB1AEE">
        <w:rPr>
          <w:szCs w:val="24"/>
          <w:u w:val="single"/>
        </w:rPr>
        <w:tab/>
        <w:t xml:space="preserve">The first value is for perimeter insulation and the second value is for full, under-slab insulation. Perimeter </w:t>
      </w:r>
      <w:r w:rsidRPr="00DB1AEE">
        <w:rPr>
          <w:rFonts w:eastAsia="Times"/>
          <w:szCs w:val="24"/>
          <w:u w:val="single"/>
        </w:rPr>
        <w:t>and full-slab insulation components shall be installed in accordance with Section C402.2.4.</w:t>
      </w:r>
    </w:p>
    <w:p w14:paraId="12E439B4" w14:textId="77777777" w:rsidR="00DB1AEE" w:rsidRPr="00DB1AEE" w:rsidRDefault="00DB1AEE" w:rsidP="00DB1AEE">
      <w:pPr>
        <w:pBdr>
          <w:top w:val="nil"/>
          <w:left w:val="nil"/>
          <w:bottom w:val="nil"/>
          <w:right w:val="nil"/>
          <w:between w:val="nil"/>
        </w:pBdr>
        <w:suppressAutoHyphens/>
        <w:ind w:left="288" w:hanging="288"/>
        <w:jc w:val="left"/>
        <w:rPr>
          <w:rFonts w:eastAsia="Times"/>
          <w:szCs w:val="24"/>
          <w:u w:val="single"/>
        </w:rPr>
      </w:pPr>
      <w:r w:rsidRPr="00DB1AEE">
        <w:rPr>
          <w:rFonts w:eastAsia="Times"/>
          <w:szCs w:val="24"/>
          <w:u w:val="single"/>
        </w:rPr>
        <w:t xml:space="preserve">h.    The first value is cavity insulation; the second value is continuous insulation. Therefore; “R-13ca+R-8.5ci” means R-13 cavity insulation and R-8.5 continuous insulation; “R-53ca” means R-53 cavity insulation and no continuous insulation. </w:t>
      </w:r>
    </w:p>
    <w:p w14:paraId="58867C2A" w14:textId="77777777" w:rsidR="00DB1AEE" w:rsidRPr="00DB1AEE" w:rsidRDefault="00DB1AEE" w:rsidP="00DB1AEE">
      <w:pPr>
        <w:pBdr>
          <w:top w:val="nil"/>
          <w:left w:val="nil"/>
          <w:bottom w:val="nil"/>
          <w:right w:val="nil"/>
          <w:between w:val="nil"/>
        </w:pBdr>
        <w:tabs>
          <w:tab w:val="left" w:pos="180"/>
        </w:tabs>
        <w:suppressAutoHyphens/>
        <w:ind w:left="360" w:hanging="288"/>
        <w:rPr>
          <w:rFonts w:eastAsia="Times"/>
          <w:szCs w:val="24"/>
          <w:u w:val="single"/>
        </w:rPr>
      </w:pPr>
      <w:r w:rsidRPr="00DB1AEE">
        <w:rPr>
          <w:rFonts w:eastAsia="Times"/>
          <w:szCs w:val="24"/>
          <w:u w:val="single"/>
        </w:rPr>
        <w:t>i.    Where the required R-value in Table C402.1.3 is met by using continuous insulation such that cavity insulation is not required, the R-Value is applicable to any wall framing spacing.</w:t>
      </w:r>
    </w:p>
    <w:p w14:paraId="3A5645ED" w14:textId="77777777" w:rsidR="00DB1AEE" w:rsidRPr="00DB1AEE" w:rsidRDefault="00DB1AEE" w:rsidP="00DB1AEE">
      <w:pPr>
        <w:pBdr>
          <w:top w:val="nil"/>
          <w:left w:val="nil"/>
          <w:bottom w:val="nil"/>
          <w:right w:val="nil"/>
          <w:between w:val="nil"/>
        </w:pBdr>
        <w:tabs>
          <w:tab w:val="left" w:pos="180"/>
        </w:tabs>
        <w:suppressAutoHyphens/>
        <w:ind w:left="360" w:hanging="288"/>
        <w:rPr>
          <w:rFonts w:eastAsia="Times"/>
          <w:szCs w:val="24"/>
          <w:u w:val="single"/>
        </w:rPr>
      </w:pPr>
      <w:r w:rsidRPr="00DB1AEE">
        <w:rPr>
          <w:iCs/>
          <w:szCs w:val="24"/>
          <w:u w:val="single"/>
        </w:rPr>
        <w:t>j</w:t>
      </w:r>
      <w:r w:rsidRPr="00DB1AEE">
        <w:rPr>
          <w:i/>
          <w:szCs w:val="24"/>
          <w:u w:val="single"/>
        </w:rPr>
        <w:t xml:space="preserve">. </w:t>
      </w:r>
      <w:r w:rsidRPr="00DB1AEE">
        <w:rPr>
          <w:iCs/>
          <w:szCs w:val="24"/>
          <w:u w:val="single"/>
        </w:rPr>
        <w:t xml:space="preserve">This refers to cold-formed steel studs or joists at 16” or 24” on-center </w:t>
      </w:r>
    </w:p>
    <w:p w14:paraId="1AC579CE" w14:textId="77777777" w:rsidR="00DB1AEE" w:rsidRPr="00DB1AEE" w:rsidRDefault="00DB1AEE" w:rsidP="00DB1AEE">
      <w:pPr>
        <w:pBdr>
          <w:top w:val="nil"/>
          <w:left w:val="nil"/>
          <w:bottom w:val="nil"/>
          <w:right w:val="nil"/>
          <w:between w:val="nil"/>
        </w:pBdr>
        <w:tabs>
          <w:tab w:val="left" w:pos="180"/>
        </w:tabs>
        <w:suppressAutoHyphens/>
        <w:spacing w:before="20"/>
        <w:ind w:left="360" w:hanging="360"/>
        <w:rPr>
          <w:rFonts w:ascii="Times" w:eastAsia="Times" w:hAnsi="Times" w:cs="Times"/>
          <w:color w:val="7030A0"/>
          <w:sz w:val="18"/>
          <w:szCs w:val="18"/>
          <w:u w:val="single"/>
        </w:rPr>
      </w:pPr>
    </w:p>
    <w:p w14:paraId="24DE8C1C" w14:textId="77777777" w:rsidR="00DB1AEE" w:rsidRPr="00DB1AEE" w:rsidRDefault="00DB1AEE" w:rsidP="00DB1AEE">
      <w:pPr>
        <w:widowControl w:val="0"/>
        <w:suppressAutoHyphens/>
        <w:spacing w:before="130" w:after="130"/>
        <w:rPr>
          <w:b/>
          <w:bCs/>
          <w:u w:val="single"/>
        </w:rPr>
      </w:pPr>
      <w:r w:rsidRPr="00DB1AEE">
        <w:rPr>
          <w:b/>
          <w:bCs/>
          <w:u w:val="single"/>
        </w:rPr>
        <w:t xml:space="preserve">Section </w:t>
      </w:r>
      <w:r w:rsidRPr="00DB1AEE">
        <w:rPr>
          <w:rFonts w:eastAsia="MS Mincho"/>
          <w:b/>
          <w:bCs/>
          <w:szCs w:val="24"/>
          <w:u w:val="single"/>
        </w:rPr>
        <w:t>C402.1.5 Rooms containing fuel-burning appliances</w:t>
      </w:r>
    </w:p>
    <w:p w14:paraId="08B1D176" w14:textId="77777777" w:rsidR="00DB1AEE" w:rsidRPr="00DB1AEE" w:rsidRDefault="00DB1AEE" w:rsidP="00DB1AEE">
      <w:pPr>
        <w:widowControl w:val="0"/>
        <w:suppressAutoHyphens/>
        <w:spacing w:before="130" w:after="130"/>
        <w:rPr>
          <w:u w:val="single"/>
        </w:rPr>
      </w:pPr>
      <w:r w:rsidRPr="00DB1AEE">
        <w:rPr>
          <w:u w:val="single"/>
        </w:rPr>
        <w:t xml:space="preserve">Section </w:t>
      </w:r>
      <w:r w:rsidRPr="00DB1AEE">
        <w:rPr>
          <w:rFonts w:eastAsia="MS Mincho"/>
          <w:szCs w:val="24"/>
          <w:u w:val="single"/>
        </w:rPr>
        <w:t xml:space="preserve">C402.1.5 </w:t>
      </w:r>
      <w:r w:rsidRPr="00DB1AEE">
        <w:rPr>
          <w:u w:val="single"/>
        </w:rPr>
        <w:t xml:space="preserve">– Revise the exception to Section </w:t>
      </w:r>
      <w:r w:rsidRPr="00DB1AEE">
        <w:rPr>
          <w:rFonts w:eastAsia="MS Mincho"/>
          <w:szCs w:val="24"/>
          <w:u w:val="single"/>
        </w:rPr>
        <w:t xml:space="preserve">C402.1.5 </w:t>
      </w:r>
      <w:r w:rsidRPr="00DB1AEE">
        <w:rPr>
          <w:u w:val="single"/>
        </w:rPr>
        <w:t>to read as follows:</w:t>
      </w:r>
    </w:p>
    <w:p w14:paraId="28BD53B1" w14:textId="77777777" w:rsidR="00DB1AEE" w:rsidRPr="00DB1AEE" w:rsidRDefault="00DB1AEE" w:rsidP="00DB1AEE">
      <w:pPr>
        <w:widowControl w:val="0"/>
        <w:autoSpaceDE w:val="0"/>
        <w:autoSpaceDN w:val="0"/>
        <w:adjustRightInd w:val="0"/>
        <w:spacing w:before="130" w:after="130"/>
        <w:ind w:left="360"/>
        <w:rPr>
          <w:iCs/>
          <w:szCs w:val="24"/>
          <w:u w:val="single"/>
        </w:rPr>
      </w:pPr>
      <w:r w:rsidRPr="00DB1AEE">
        <w:rPr>
          <w:b/>
          <w:bCs/>
          <w:iCs/>
          <w:szCs w:val="24"/>
          <w:u w:val="single"/>
        </w:rPr>
        <w:t xml:space="preserve">Exception: </w:t>
      </w:r>
      <w:r w:rsidRPr="00DB1AEE">
        <w:rPr>
          <w:iCs/>
          <w:szCs w:val="24"/>
          <w:u w:val="single"/>
        </w:rPr>
        <w:t>Fireplaces and stoves complying the New York City Mechanical Code, and the fireplace blocking requirements of the New York City  Building Code.</w:t>
      </w:r>
    </w:p>
    <w:p w14:paraId="02406D25" w14:textId="77777777" w:rsidR="00DB1AEE" w:rsidRPr="00DB1AEE" w:rsidRDefault="00DB1AEE" w:rsidP="00DB1AEE">
      <w:pPr>
        <w:widowControl w:val="0"/>
        <w:suppressAutoHyphens/>
        <w:spacing w:before="130" w:after="130"/>
        <w:rPr>
          <w:b/>
          <w:bCs/>
          <w:u w:val="single"/>
        </w:rPr>
      </w:pPr>
      <w:r w:rsidRPr="00DB1AEE">
        <w:rPr>
          <w:b/>
          <w:bCs/>
          <w:u w:val="single"/>
        </w:rPr>
        <w:t xml:space="preserve">Section </w:t>
      </w:r>
      <w:r w:rsidRPr="00DB1AEE">
        <w:rPr>
          <w:rFonts w:eastAsia="MS Mincho"/>
          <w:b/>
          <w:bCs/>
          <w:szCs w:val="24"/>
          <w:u w:val="single"/>
        </w:rPr>
        <w:t xml:space="preserve">C402.2.7 Airspaces.  </w:t>
      </w:r>
    </w:p>
    <w:p w14:paraId="7CA7CE9F" w14:textId="77777777" w:rsidR="00DB1AEE" w:rsidRPr="00DB1AEE" w:rsidRDefault="00DB1AEE" w:rsidP="00DB1AEE">
      <w:pPr>
        <w:widowControl w:val="0"/>
        <w:suppressAutoHyphens/>
        <w:autoSpaceDE w:val="0"/>
        <w:autoSpaceDN w:val="0"/>
        <w:adjustRightInd w:val="0"/>
        <w:spacing w:before="130" w:after="130"/>
        <w:rPr>
          <w:bCs/>
          <w:szCs w:val="24"/>
          <w:u w:val="single"/>
        </w:rPr>
      </w:pPr>
      <w:r w:rsidRPr="00DB1AEE">
        <w:rPr>
          <w:bCs/>
          <w:szCs w:val="24"/>
          <w:u w:val="single"/>
        </w:rPr>
        <w:t>Section C402.2.7 - Revise Section C402.2.7 to read as follows:</w:t>
      </w:r>
    </w:p>
    <w:p w14:paraId="4CAEB415" w14:textId="77777777" w:rsidR="00DB1AEE" w:rsidRPr="00DB1AEE" w:rsidRDefault="00DB1AEE" w:rsidP="00DB1AEE">
      <w:pPr>
        <w:widowControl w:val="0"/>
        <w:autoSpaceDE w:val="0"/>
        <w:autoSpaceDN w:val="0"/>
        <w:adjustRightInd w:val="0"/>
        <w:spacing w:before="130" w:after="130"/>
        <w:ind w:left="360"/>
        <w:rPr>
          <w:iCs/>
          <w:szCs w:val="24"/>
          <w:u w:val="single"/>
        </w:rPr>
      </w:pPr>
      <w:r w:rsidRPr="00DB1AEE">
        <w:rPr>
          <w:b/>
          <w:bCs/>
          <w:iCs/>
          <w:szCs w:val="24"/>
          <w:u w:val="single"/>
        </w:rPr>
        <w:t xml:space="preserve">C402.2.7 Airspaces.  </w:t>
      </w:r>
      <w:r w:rsidRPr="00DB1AEE">
        <w:rPr>
          <w:iCs/>
          <w:szCs w:val="24"/>
          <w:u w:val="single"/>
        </w:rPr>
        <w:t xml:space="preserve">Where the R-value of an airspace is used to for compliance in accordance with Section C402.1, the airspace shall be enclosed in a cavity bounded on all sides by building components and constructed to minimize airflow into and out of the enclosed airspace. Airflow shall be deemed minimized where one of the following conditions occur: </w:t>
      </w:r>
    </w:p>
    <w:p w14:paraId="653F6005" w14:textId="77777777" w:rsidR="00DB1AEE" w:rsidRPr="00DB1AEE" w:rsidRDefault="00DB1AEE" w:rsidP="00DB1AEE">
      <w:pPr>
        <w:widowControl w:val="0"/>
        <w:autoSpaceDE w:val="0"/>
        <w:autoSpaceDN w:val="0"/>
        <w:adjustRightInd w:val="0"/>
        <w:spacing w:before="130" w:after="130"/>
        <w:ind w:left="1008" w:hanging="288"/>
        <w:rPr>
          <w:iCs/>
          <w:szCs w:val="24"/>
          <w:u w:val="single"/>
        </w:rPr>
      </w:pPr>
      <w:r w:rsidRPr="00DB1AEE">
        <w:rPr>
          <w:iCs/>
          <w:szCs w:val="24"/>
          <w:u w:val="single"/>
        </w:rPr>
        <w:t>1. The enclosed airspace is unventilated.</w:t>
      </w:r>
    </w:p>
    <w:p w14:paraId="4B538A37" w14:textId="77777777" w:rsidR="00DB1AEE" w:rsidRPr="00DB1AEE" w:rsidRDefault="00DB1AEE" w:rsidP="00DB1AEE">
      <w:pPr>
        <w:widowControl w:val="0"/>
        <w:autoSpaceDE w:val="0"/>
        <w:autoSpaceDN w:val="0"/>
        <w:adjustRightInd w:val="0"/>
        <w:spacing w:before="130" w:after="130"/>
        <w:ind w:left="1008" w:hanging="288"/>
        <w:rPr>
          <w:iCs/>
          <w:szCs w:val="24"/>
          <w:u w:val="single"/>
        </w:rPr>
      </w:pPr>
      <w:r w:rsidRPr="00DB1AEE">
        <w:rPr>
          <w:iCs/>
          <w:szCs w:val="24"/>
          <w:u w:val="single"/>
        </w:rPr>
        <w:t>2. The enclosed airspace is bounded on at least one side by an anchored masonry veneer, constructed in accordance with Chapter 14 of the New York City Building Code and vented by veneer weep holes located only at the bottom of the airspace and spaced not less than 15 inches (381 mm) on center with top of the cavity airspace closed.</w:t>
      </w:r>
    </w:p>
    <w:p w14:paraId="5EEA371F" w14:textId="77777777" w:rsidR="00DB1AEE" w:rsidRPr="00DB1AEE" w:rsidRDefault="00DB1AEE" w:rsidP="00DB1AEE">
      <w:pPr>
        <w:widowControl w:val="0"/>
        <w:autoSpaceDE w:val="0"/>
        <w:autoSpaceDN w:val="0"/>
        <w:adjustRightInd w:val="0"/>
        <w:spacing w:before="130" w:after="130"/>
        <w:ind w:left="360"/>
        <w:rPr>
          <w:iCs/>
          <w:szCs w:val="24"/>
          <w:u w:val="single"/>
        </w:rPr>
      </w:pPr>
      <w:r w:rsidRPr="00DB1AEE">
        <w:rPr>
          <w:b/>
          <w:bCs/>
          <w:iCs/>
          <w:szCs w:val="24"/>
          <w:u w:val="single"/>
        </w:rPr>
        <w:t xml:space="preserve">Exception: </w:t>
      </w:r>
      <w:r w:rsidRPr="00DB1AEE">
        <w:rPr>
          <w:iCs/>
          <w:szCs w:val="24"/>
          <w:u w:val="single"/>
        </w:rPr>
        <w:t>For ventilated cavities, the effect of ventilation of airspaces located on the exterior side of the continuous air barrier and adjacent to and behind the exterior wall-covering material shall be determined in accordance with ASTM C1363 modified with an airflow entering the bottom and exiting the top of the airspace at an air movement rate of not less than 70 mm/second.</w:t>
      </w:r>
    </w:p>
    <w:p w14:paraId="5A51839E" w14:textId="77777777" w:rsidR="00DB1AEE" w:rsidRPr="00DB1AEE" w:rsidRDefault="00DB1AEE" w:rsidP="00DB1AEE">
      <w:pPr>
        <w:widowControl w:val="0"/>
        <w:suppressAutoHyphens/>
        <w:spacing w:before="130" w:after="130"/>
        <w:rPr>
          <w:b/>
          <w:bCs/>
          <w:u w:val="single"/>
        </w:rPr>
      </w:pPr>
      <w:r w:rsidRPr="00DB1AEE">
        <w:rPr>
          <w:b/>
          <w:bCs/>
          <w:u w:val="single"/>
        </w:rPr>
        <w:t xml:space="preserve">Section </w:t>
      </w:r>
      <w:r w:rsidRPr="00DB1AEE">
        <w:rPr>
          <w:rFonts w:eastAsia="MS Mincho"/>
          <w:b/>
          <w:bCs/>
          <w:szCs w:val="24"/>
          <w:u w:val="single"/>
        </w:rPr>
        <w:t xml:space="preserve">C402.2.8 Fireplaces.  </w:t>
      </w:r>
    </w:p>
    <w:p w14:paraId="043318B2" w14:textId="77777777" w:rsidR="00DB1AEE" w:rsidRPr="00DB1AEE" w:rsidRDefault="00DB1AEE" w:rsidP="00DB1AEE">
      <w:pPr>
        <w:widowControl w:val="0"/>
        <w:suppressAutoHyphens/>
        <w:autoSpaceDE w:val="0"/>
        <w:autoSpaceDN w:val="0"/>
        <w:adjustRightInd w:val="0"/>
        <w:spacing w:before="130" w:after="130"/>
        <w:rPr>
          <w:bCs/>
          <w:szCs w:val="24"/>
          <w:u w:val="single"/>
        </w:rPr>
      </w:pPr>
      <w:r w:rsidRPr="00DB1AEE">
        <w:rPr>
          <w:bCs/>
          <w:szCs w:val="24"/>
          <w:u w:val="single"/>
        </w:rPr>
        <w:t>Section C402.2.8 - Revise Section C402.2.8 to read as follows:</w:t>
      </w:r>
    </w:p>
    <w:p w14:paraId="37472567" w14:textId="77777777" w:rsidR="00DB1AEE" w:rsidRPr="00DB1AEE" w:rsidRDefault="00DB1AEE" w:rsidP="00DB1AEE">
      <w:pPr>
        <w:widowControl w:val="0"/>
        <w:autoSpaceDE w:val="0"/>
        <w:autoSpaceDN w:val="0"/>
        <w:adjustRightInd w:val="0"/>
        <w:spacing w:before="130" w:after="130"/>
        <w:ind w:left="360"/>
        <w:rPr>
          <w:iCs/>
          <w:szCs w:val="24"/>
          <w:u w:val="single"/>
        </w:rPr>
      </w:pPr>
      <w:r w:rsidRPr="00DB1AEE">
        <w:rPr>
          <w:b/>
          <w:bCs/>
          <w:iCs/>
          <w:szCs w:val="24"/>
          <w:u w:val="single"/>
        </w:rPr>
        <w:t xml:space="preserve">C402.2.8 Fireplaces. </w:t>
      </w:r>
      <w:r w:rsidRPr="00DB1AEE">
        <w:rPr>
          <w:iCs/>
          <w:szCs w:val="24"/>
          <w:u w:val="single"/>
        </w:rPr>
        <w:t>New wood-burning fireplaces shall have tight-fitting flue dampers or doors, and outdoor combustion air as required by the fireplace construction provisions of the New York City Construction Codes, as applicable . Where using tight-fitting doors on factory-built fireplaces listed and labeled in accordance with UL 127, the doors shall be tested and listed for the fireplace.</w:t>
      </w:r>
    </w:p>
    <w:p w14:paraId="3F72B7DC" w14:textId="77777777" w:rsidR="00DB1AEE" w:rsidRPr="00DB1AEE" w:rsidRDefault="00DB1AEE" w:rsidP="00DB1AEE">
      <w:pPr>
        <w:widowControl w:val="0"/>
        <w:autoSpaceDE w:val="0"/>
        <w:autoSpaceDN w:val="0"/>
        <w:adjustRightInd w:val="0"/>
        <w:spacing w:before="130" w:after="130"/>
        <w:rPr>
          <w:bCs/>
          <w:iCs/>
          <w:position w:val="16"/>
          <w:szCs w:val="24"/>
          <w:u w:val="single"/>
        </w:rPr>
      </w:pPr>
      <w:r w:rsidRPr="00DB1AEE">
        <w:rPr>
          <w:b/>
          <w:bCs/>
          <w:iCs/>
          <w:szCs w:val="24"/>
          <w:u w:val="single"/>
        </w:rPr>
        <w:t>Table C402.5 Building Envelope Fenestration Maximum U-Factor And SHGC Requirements</w:t>
      </w:r>
    </w:p>
    <w:p w14:paraId="2F044BCA" w14:textId="77777777" w:rsidR="00DB1AEE" w:rsidRPr="00DB1AEE" w:rsidRDefault="00DB1AEE" w:rsidP="00DB1AEE">
      <w:pPr>
        <w:suppressAutoHyphens/>
        <w:spacing w:before="130" w:after="130"/>
        <w:rPr>
          <w:rFonts w:eastAsia="MS Mincho"/>
          <w:bCs/>
          <w:szCs w:val="24"/>
          <w:u w:val="single"/>
        </w:rPr>
      </w:pPr>
      <w:r w:rsidRPr="00DB1AEE">
        <w:rPr>
          <w:rFonts w:eastAsia="MS Mincho"/>
          <w:bCs/>
          <w:szCs w:val="24"/>
          <w:u w:val="single"/>
        </w:rPr>
        <w:t>Revise Table C402.5 to read as follows:</w:t>
      </w:r>
    </w:p>
    <w:p w14:paraId="52DC4831" w14:textId="77777777" w:rsidR="00DB1AEE" w:rsidRPr="00DB1AEE" w:rsidRDefault="00DB1AEE" w:rsidP="00DB1AEE">
      <w:pPr>
        <w:keepNext/>
        <w:pBdr>
          <w:top w:val="nil"/>
          <w:left w:val="nil"/>
          <w:bottom w:val="nil"/>
          <w:right w:val="nil"/>
          <w:between w:val="nil"/>
        </w:pBdr>
        <w:suppressAutoHyphens/>
        <w:jc w:val="center"/>
        <w:rPr>
          <w:b/>
          <w:szCs w:val="24"/>
          <w:u w:val="single"/>
        </w:rPr>
      </w:pPr>
      <w:r w:rsidRPr="00DB1AEE">
        <w:rPr>
          <w:b/>
          <w:szCs w:val="24"/>
          <w:u w:val="single"/>
        </w:rPr>
        <w:t>TABLE C402.5</w:t>
      </w:r>
    </w:p>
    <w:p w14:paraId="67CA6866" w14:textId="77777777" w:rsidR="00DB1AEE" w:rsidRPr="00DB1AEE" w:rsidRDefault="00DB1AEE" w:rsidP="00DB1AEE">
      <w:pPr>
        <w:pBdr>
          <w:top w:val="nil"/>
          <w:left w:val="nil"/>
          <w:bottom w:val="nil"/>
          <w:right w:val="nil"/>
          <w:between w:val="nil"/>
        </w:pBdr>
        <w:suppressAutoHyphens/>
        <w:jc w:val="center"/>
        <w:rPr>
          <w:b/>
          <w:szCs w:val="24"/>
          <w:u w:val="single"/>
        </w:rPr>
      </w:pPr>
      <w:r w:rsidRPr="00DB1AEE">
        <w:rPr>
          <w:b/>
          <w:szCs w:val="24"/>
          <w:u w:val="single"/>
        </w:rPr>
        <w:t xml:space="preserve">BUILDING ENVELOPE FENESTRATION MAXIMUM </w:t>
      </w:r>
      <w:r w:rsidRPr="00DB1AEE">
        <w:rPr>
          <w:b/>
          <w:i/>
          <w:szCs w:val="24"/>
          <w:u w:val="single"/>
        </w:rPr>
        <w:t>U</w:t>
      </w:r>
      <w:r w:rsidRPr="00DB1AEE">
        <w:rPr>
          <w:b/>
          <w:szCs w:val="24"/>
          <w:u w:val="single"/>
        </w:rPr>
        <w:t xml:space="preserve">-FACTOR </w:t>
      </w:r>
    </w:p>
    <w:p w14:paraId="5B1400C5" w14:textId="77777777" w:rsidR="00DB1AEE" w:rsidRPr="00DB1AEE" w:rsidRDefault="00DB1AEE" w:rsidP="00DB1AEE">
      <w:pPr>
        <w:pBdr>
          <w:top w:val="nil"/>
          <w:left w:val="nil"/>
          <w:bottom w:val="nil"/>
          <w:right w:val="nil"/>
          <w:between w:val="nil"/>
        </w:pBdr>
        <w:suppressAutoHyphens/>
        <w:jc w:val="center"/>
        <w:rPr>
          <w:b/>
          <w:szCs w:val="24"/>
          <w:u w:val="single"/>
          <w:vertAlign w:val="superscript"/>
        </w:rPr>
      </w:pPr>
      <w:r w:rsidRPr="00DB1AEE">
        <w:rPr>
          <w:b/>
          <w:szCs w:val="24"/>
          <w:u w:val="single"/>
        </w:rPr>
        <w:t>AND SHGC REQUIREMENTS</w:t>
      </w:r>
      <w:r w:rsidRPr="00DB1AEE">
        <w:rPr>
          <w:b/>
          <w:szCs w:val="24"/>
          <w:u w:val="single"/>
          <w:vertAlign w:val="superscript"/>
        </w:rPr>
        <w:t>c</w:t>
      </w:r>
    </w:p>
    <w:p w14:paraId="296E7F1A" w14:textId="77777777" w:rsidR="00DB1AEE" w:rsidRPr="00DB1AEE" w:rsidRDefault="00DB1AEE" w:rsidP="00DB1AEE">
      <w:pPr>
        <w:pBdr>
          <w:top w:val="nil"/>
          <w:left w:val="nil"/>
          <w:bottom w:val="nil"/>
          <w:right w:val="nil"/>
          <w:between w:val="nil"/>
        </w:pBdr>
        <w:suppressAutoHyphens/>
        <w:jc w:val="center"/>
        <w:rPr>
          <w:b/>
          <w:szCs w:val="24"/>
          <w:u w:val="single"/>
        </w:rPr>
      </w:pPr>
    </w:p>
    <w:tbl>
      <w:tblPr>
        <w:tblpPr w:leftFromText="180" w:rightFromText="180" w:vertAnchor="text"/>
        <w:tblW w:w="10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39"/>
        <w:gridCol w:w="1841"/>
        <w:gridCol w:w="1398"/>
        <w:gridCol w:w="2557"/>
        <w:gridCol w:w="2046"/>
      </w:tblGrid>
      <w:tr w:rsidR="00DB1AEE" w:rsidRPr="00DB1AEE" w14:paraId="284335B6" w14:textId="77777777" w:rsidTr="00FC1832">
        <w:trPr>
          <w:trHeight w:val="19"/>
        </w:trPr>
        <w:tc>
          <w:tcPr>
            <w:tcW w:w="2339" w:type="dxa"/>
            <w:vMerge w:val="restart"/>
            <w:tcMar>
              <w:top w:w="60" w:type="dxa"/>
              <w:left w:w="40" w:type="dxa"/>
              <w:bottom w:w="40" w:type="dxa"/>
              <w:right w:w="40" w:type="dxa"/>
            </w:tcMar>
            <w:vAlign w:val="center"/>
          </w:tcPr>
          <w:p w14:paraId="0F0ED3C0" w14:textId="77777777" w:rsidR="00DB1AEE" w:rsidRPr="00DB1AEE" w:rsidRDefault="00DB1AEE" w:rsidP="00DB1AEE">
            <w:pPr>
              <w:pBdr>
                <w:top w:val="nil"/>
                <w:left w:val="nil"/>
                <w:bottom w:val="nil"/>
                <w:right w:val="nil"/>
                <w:between w:val="nil"/>
              </w:pBdr>
              <w:suppressAutoHyphens/>
              <w:jc w:val="center"/>
              <w:rPr>
                <w:szCs w:val="24"/>
                <w:u w:val="single"/>
              </w:rPr>
            </w:pPr>
            <w:bookmarkStart w:id="313" w:name="_3o7alnk" w:colFirst="0" w:colLast="0"/>
            <w:bookmarkEnd w:id="313"/>
            <w:r w:rsidRPr="00DB1AEE">
              <w:rPr>
                <w:b/>
                <w:szCs w:val="24"/>
                <w:u w:val="single"/>
              </w:rPr>
              <w:t>CLIMATE ZONE</w:t>
            </w:r>
          </w:p>
        </w:tc>
        <w:tc>
          <w:tcPr>
            <w:tcW w:w="3239" w:type="dxa"/>
            <w:gridSpan w:val="2"/>
            <w:tcMar>
              <w:top w:w="60" w:type="dxa"/>
              <w:left w:w="40" w:type="dxa"/>
              <w:bottom w:w="40" w:type="dxa"/>
              <w:right w:w="40" w:type="dxa"/>
            </w:tcMar>
            <w:vAlign w:val="center"/>
          </w:tcPr>
          <w:p w14:paraId="46DE3548" w14:textId="77777777" w:rsidR="00DB1AEE" w:rsidRPr="00DB1AEE" w:rsidRDefault="00DB1AEE" w:rsidP="00DB1AEE">
            <w:pPr>
              <w:pBdr>
                <w:top w:val="nil"/>
                <w:left w:val="nil"/>
                <w:bottom w:val="nil"/>
                <w:right w:val="nil"/>
                <w:between w:val="nil"/>
              </w:pBdr>
              <w:suppressAutoHyphens/>
              <w:jc w:val="center"/>
              <w:rPr>
                <w:b/>
                <w:szCs w:val="24"/>
                <w:u w:val="single"/>
              </w:rPr>
            </w:pPr>
            <w:r w:rsidRPr="00DB1AEE">
              <w:rPr>
                <w:b/>
                <w:szCs w:val="24"/>
                <w:u w:val="single"/>
              </w:rPr>
              <w:t xml:space="preserve">4 </w:t>
            </w:r>
          </w:p>
        </w:tc>
        <w:tc>
          <w:tcPr>
            <w:tcW w:w="2557" w:type="dxa"/>
          </w:tcPr>
          <w:p w14:paraId="55AEDE67" w14:textId="77777777" w:rsidR="00DB1AEE" w:rsidRPr="00DB1AEE" w:rsidRDefault="00DB1AEE" w:rsidP="00DB1AEE">
            <w:pPr>
              <w:pBdr>
                <w:top w:val="nil"/>
                <w:left w:val="nil"/>
                <w:bottom w:val="nil"/>
                <w:right w:val="nil"/>
                <w:between w:val="nil"/>
              </w:pBdr>
              <w:suppressAutoHyphens/>
              <w:jc w:val="center"/>
              <w:rPr>
                <w:b/>
                <w:szCs w:val="24"/>
                <w:u w:val="single"/>
              </w:rPr>
            </w:pPr>
            <w:r w:rsidRPr="00DB1AEE">
              <w:rPr>
                <w:b/>
                <w:szCs w:val="24"/>
                <w:u w:val="single"/>
              </w:rPr>
              <w:t>5</w:t>
            </w:r>
          </w:p>
        </w:tc>
        <w:tc>
          <w:tcPr>
            <w:tcW w:w="2046" w:type="dxa"/>
          </w:tcPr>
          <w:p w14:paraId="3096E7B1" w14:textId="77777777" w:rsidR="00DB1AEE" w:rsidRPr="00DB1AEE" w:rsidRDefault="00DB1AEE" w:rsidP="00DB1AEE">
            <w:pPr>
              <w:pBdr>
                <w:top w:val="nil"/>
                <w:left w:val="nil"/>
                <w:bottom w:val="nil"/>
                <w:right w:val="nil"/>
                <w:between w:val="nil"/>
              </w:pBdr>
              <w:suppressAutoHyphens/>
              <w:jc w:val="center"/>
              <w:rPr>
                <w:b/>
                <w:szCs w:val="24"/>
                <w:u w:val="single"/>
              </w:rPr>
            </w:pPr>
            <w:r w:rsidRPr="00DB1AEE">
              <w:rPr>
                <w:b/>
                <w:szCs w:val="24"/>
                <w:u w:val="single"/>
              </w:rPr>
              <w:t>6</w:t>
            </w:r>
          </w:p>
        </w:tc>
      </w:tr>
      <w:tr w:rsidR="00DB1AEE" w:rsidRPr="00DB1AEE" w14:paraId="219C3950" w14:textId="77777777" w:rsidTr="00FC1832">
        <w:trPr>
          <w:trHeight w:val="19"/>
        </w:trPr>
        <w:tc>
          <w:tcPr>
            <w:tcW w:w="2339" w:type="dxa"/>
            <w:vMerge/>
          </w:tcPr>
          <w:p w14:paraId="35705ABD" w14:textId="77777777" w:rsidR="00DB1AEE" w:rsidRPr="00DB1AEE" w:rsidRDefault="00DB1AEE" w:rsidP="00DB1AEE">
            <w:pPr>
              <w:pBdr>
                <w:top w:val="nil"/>
                <w:left w:val="nil"/>
                <w:bottom w:val="nil"/>
                <w:right w:val="nil"/>
                <w:between w:val="nil"/>
              </w:pBdr>
              <w:suppressAutoHyphens/>
              <w:spacing w:before="20" w:after="20"/>
              <w:jc w:val="center"/>
              <w:rPr>
                <w:b/>
                <w:szCs w:val="24"/>
                <w:u w:val="single"/>
              </w:rPr>
            </w:pPr>
          </w:p>
        </w:tc>
        <w:tc>
          <w:tcPr>
            <w:tcW w:w="7842" w:type="dxa"/>
            <w:gridSpan w:val="4"/>
            <w:tcMar>
              <w:top w:w="60" w:type="dxa"/>
              <w:left w:w="40" w:type="dxa"/>
              <w:bottom w:w="40" w:type="dxa"/>
              <w:right w:w="40" w:type="dxa"/>
            </w:tcMar>
            <w:vAlign w:val="center"/>
          </w:tcPr>
          <w:p w14:paraId="3255D369" w14:textId="77777777" w:rsidR="00DB1AEE" w:rsidRPr="00DB1AEE" w:rsidRDefault="00DB1AEE" w:rsidP="00DB1AEE">
            <w:pPr>
              <w:pBdr>
                <w:top w:val="nil"/>
                <w:left w:val="nil"/>
                <w:bottom w:val="nil"/>
                <w:right w:val="nil"/>
                <w:between w:val="nil"/>
              </w:pBdr>
              <w:suppressAutoHyphens/>
              <w:spacing w:before="20" w:after="20"/>
              <w:jc w:val="center"/>
              <w:rPr>
                <w:szCs w:val="24"/>
                <w:u w:val="single"/>
              </w:rPr>
            </w:pPr>
            <w:r w:rsidRPr="00DB1AEE">
              <w:rPr>
                <w:b/>
                <w:szCs w:val="24"/>
                <w:u w:val="single"/>
              </w:rPr>
              <w:t>Vertical fenestration</w:t>
            </w:r>
          </w:p>
        </w:tc>
      </w:tr>
      <w:tr w:rsidR="00DB1AEE" w:rsidRPr="00DB1AEE" w14:paraId="7FF7F296" w14:textId="77777777" w:rsidTr="00FC1832">
        <w:trPr>
          <w:trHeight w:val="19"/>
        </w:trPr>
        <w:tc>
          <w:tcPr>
            <w:tcW w:w="2339" w:type="dxa"/>
            <w:vMerge/>
          </w:tcPr>
          <w:p w14:paraId="014F878F" w14:textId="77777777" w:rsidR="00DB1AEE" w:rsidRPr="00DB1AEE" w:rsidRDefault="00DB1AEE" w:rsidP="00DB1AEE">
            <w:pPr>
              <w:pBdr>
                <w:top w:val="nil"/>
                <w:left w:val="nil"/>
                <w:bottom w:val="nil"/>
                <w:right w:val="nil"/>
                <w:between w:val="nil"/>
              </w:pBdr>
              <w:suppressAutoHyphens/>
              <w:spacing w:before="20" w:after="20"/>
              <w:jc w:val="center"/>
              <w:rPr>
                <w:b/>
                <w:i/>
                <w:szCs w:val="24"/>
                <w:u w:val="single"/>
              </w:rPr>
            </w:pPr>
          </w:p>
        </w:tc>
        <w:tc>
          <w:tcPr>
            <w:tcW w:w="7842" w:type="dxa"/>
            <w:gridSpan w:val="4"/>
            <w:tcMar>
              <w:top w:w="60" w:type="dxa"/>
              <w:left w:w="40" w:type="dxa"/>
              <w:bottom w:w="40" w:type="dxa"/>
              <w:right w:w="40" w:type="dxa"/>
            </w:tcMar>
          </w:tcPr>
          <w:p w14:paraId="63103617" w14:textId="77777777" w:rsidR="00DB1AEE" w:rsidRPr="00DB1AEE" w:rsidRDefault="00DB1AEE" w:rsidP="00DB1AEE">
            <w:pPr>
              <w:pBdr>
                <w:top w:val="nil"/>
                <w:left w:val="nil"/>
                <w:bottom w:val="nil"/>
                <w:right w:val="nil"/>
                <w:between w:val="nil"/>
              </w:pBdr>
              <w:suppressAutoHyphens/>
              <w:spacing w:before="20" w:after="20"/>
              <w:jc w:val="center"/>
              <w:rPr>
                <w:szCs w:val="24"/>
                <w:u w:val="single"/>
              </w:rPr>
            </w:pPr>
            <w:r w:rsidRPr="00DB1AEE">
              <w:rPr>
                <w:b/>
                <w:i/>
                <w:szCs w:val="24"/>
                <w:u w:val="single"/>
              </w:rPr>
              <w:t>U</w:t>
            </w:r>
            <w:r w:rsidRPr="00DB1AEE">
              <w:rPr>
                <w:b/>
                <w:szCs w:val="24"/>
                <w:u w:val="single"/>
              </w:rPr>
              <w:t>-factor</w:t>
            </w:r>
            <w:r w:rsidRPr="00DB1AEE">
              <w:rPr>
                <w:b/>
                <w:szCs w:val="24"/>
                <w:u w:val="single"/>
                <w:vertAlign w:val="superscript"/>
              </w:rPr>
              <w:t>a</w:t>
            </w:r>
          </w:p>
        </w:tc>
      </w:tr>
      <w:tr w:rsidR="00DB1AEE" w:rsidRPr="00DB1AEE" w14:paraId="421E6C7B" w14:textId="77777777" w:rsidTr="00FC1832">
        <w:trPr>
          <w:trHeight w:val="19"/>
        </w:trPr>
        <w:tc>
          <w:tcPr>
            <w:tcW w:w="2339" w:type="dxa"/>
            <w:vMerge/>
            <w:tcMar>
              <w:top w:w="60" w:type="dxa"/>
              <w:left w:w="40" w:type="dxa"/>
              <w:bottom w:w="40" w:type="dxa"/>
              <w:right w:w="40" w:type="dxa"/>
            </w:tcMar>
            <w:vAlign w:val="center"/>
          </w:tcPr>
          <w:p w14:paraId="66224ED0" w14:textId="77777777" w:rsidR="00DB1AEE" w:rsidRPr="00DB1AEE" w:rsidRDefault="00DB1AEE" w:rsidP="00DB1AEE">
            <w:pPr>
              <w:pBdr>
                <w:top w:val="nil"/>
                <w:left w:val="nil"/>
                <w:bottom w:val="nil"/>
                <w:right w:val="nil"/>
                <w:between w:val="nil"/>
              </w:pBdr>
              <w:suppressAutoHyphens/>
              <w:spacing w:before="40" w:after="60"/>
              <w:rPr>
                <w:szCs w:val="24"/>
                <w:u w:val="single"/>
              </w:rPr>
            </w:pPr>
          </w:p>
        </w:tc>
        <w:tc>
          <w:tcPr>
            <w:tcW w:w="1841" w:type="dxa"/>
            <w:tcMar>
              <w:top w:w="60" w:type="dxa"/>
              <w:left w:w="40" w:type="dxa"/>
              <w:bottom w:w="40" w:type="dxa"/>
              <w:right w:w="40" w:type="dxa"/>
            </w:tcMar>
          </w:tcPr>
          <w:p w14:paraId="4D36782C" w14:textId="77777777" w:rsidR="00DB1AEE" w:rsidRPr="00DB1AEE" w:rsidRDefault="00DB1AEE" w:rsidP="00DB1AEE">
            <w:pPr>
              <w:pBdr>
                <w:top w:val="nil"/>
                <w:left w:val="nil"/>
                <w:bottom w:val="nil"/>
                <w:right w:val="nil"/>
                <w:between w:val="nil"/>
              </w:pBdr>
              <w:suppressAutoHyphens/>
              <w:spacing w:before="20" w:after="20"/>
              <w:jc w:val="center"/>
              <w:rPr>
                <w:szCs w:val="24"/>
                <w:u w:val="single"/>
                <w:vertAlign w:val="superscript"/>
              </w:rPr>
            </w:pPr>
            <w:r w:rsidRPr="00DB1AEE">
              <w:rPr>
                <w:szCs w:val="24"/>
                <w:u w:val="single"/>
              </w:rPr>
              <w:t>Below 95’</w:t>
            </w:r>
            <w:r w:rsidRPr="00DB1AEE">
              <w:rPr>
                <w:szCs w:val="24"/>
                <w:u w:val="single"/>
                <w:vertAlign w:val="superscript"/>
              </w:rPr>
              <w:t>d</w:t>
            </w:r>
          </w:p>
        </w:tc>
        <w:tc>
          <w:tcPr>
            <w:tcW w:w="1398" w:type="dxa"/>
          </w:tcPr>
          <w:p w14:paraId="3DAD1E6E" w14:textId="77777777" w:rsidR="00DB1AEE" w:rsidRPr="00DB1AEE" w:rsidRDefault="00DB1AEE" w:rsidP="00DB1AEE">
            <w:pPr>
              <w:pBdr>
                <w:top w:val="nil"/>
                <w:left w:val="nil"/>
                <w:bottom w:val="nil"/>
                <w:right w:val="nil"/>
                <w:between w:val="nil"/>
              </w:pBdr>
              <w:suppressAutoHyphens/>
              <w:spacing w:before="20" w:after="20"/>
              <w:jc w:val="center"/>
              <w:rPr>
                <w:szCs w:val="24"/>
                <w:u w:val="single"/>
                <w:vertAlign w:val="superscript"/>
              </w:rPr>
            </w:pPr>
            <w:r w:rsidRPr="00DB1AEE">
              <w:rPr>
                <w:szCs w:val="24"/>
                <w:u w:val="single"/>
              </w:rPr>
              <w:t>Above 95’</w:t>
            </w:r>
            <w:r w:rsidRPr="00DB1AEE">
              <w:rPr>
                <w:szCs w:val="24"/>
                <w:u w:val="single"/>
                <w:vertAlign w:val="superscript"/>
              </w:rPr>
              <w:t>d</w:t>
            </w:r>
          </w:p>
        </w:tc>
        <w:tc>
          <w:tcPr>
            <w:tcW w:w="2557" w:type="dxa"/>
          </w:tcPr>
          <w:p w14:paraId="357531C3" w14:textId="77777777" w:rsidR="00DB1AEE" w:rsidRPr="00DB1AEE" w:rsidRDefault="00DB1AEE" w:rsidP="00DB1AEE">
            <w:pPr>
              <w:pBdr>
                <w:top w:val="nil"/>
                <w:left w:val="nil"/>
                <w:bottom w:val="nil"/>
                <w:right w:val="nil"/>
                <w:between w:val="nil"/>
              </w:pBdr>
              <w:suppressAutoHyphens/>
              <w:spacing w:before="20" w:after="20"/>
              <w:jc w:val="center"/>
              <w:rPr>
                <w:szCs w:val="24"/>
                <w:u w:val="single"/>
              </w:rPr>
            </w:pPr>
          </w:p>
        </w:tc>
        <w:tc>
          <w:tcPr>
            <w:tcW w:w="2046" w:type="dxa"/>
          </w:tcPr>
          <w:p w14:paraId="6C02CA79" w14:textId="77777777" w:rsidR="00DB1AEE" w:rsidRPr="00DB1AEE" w:rsidRDefault="00DB1AEE" w:rsidP="00DB1AEE">
            <w:pPr>
              <w:pBdr>
                <w:top w:val="nil"/>
                <w:left w:val="nil"/>
                <w:bottom w:val="nil"/>
                <w:right w:val="nil"/>
                <w:between w:val="nil"/>
              </w:pBdr>
              <w:suppressAutoHyphens/>
              <w:spacing w:before="20" w:after="20"/>
              <w:jc w:val="center"/>
              <w:rPr>
                <w:szCs w:val="24"/>
                <w:u w:val="single"/>
              </w:rPr>
            </w:pPr>
          </w:p>
        </w:tc>
      </w:tr>
      <w:tr w:rsidR="00DB1AEE" w:rsidRPr="00DB1AEE" w14:paraId="1C45525A" w14:textId="77777777" w:rsidTr="00FC1832">
        <w:trPr>
          <w:trHeight w:val="19"/>
        </w:trPr>
        <w:tc>
          <w:tcPr>
            <w:tcW w:w="2339" w:type="dxa"/>
            <w:tcMar>
              <w:top w:w="60" w:type="dxa"/>
              <w:left w:w="40" w:type="dxa"/>
              <w:bottom w:w="40" w:type="dxa"/>
              <w:right w:w="40" w:type="dxa"/>
            </w:tcMar>
            <w:vAlign w:val="center"/>
          </w:tcPr>
          <w:p w14:paraId="24349383" w14:textId="77777777" w:rsidR="00DB1AEE" w:rsidRPr="00DB1AEE" w:rsidRDefault="00DB1AEE" w:rsidP="00DB1AEE">
            <w:pPr>
              <w:pBdr>
                <w:top w:val="nil"/>
                <w:left w:val="nil"/>
                <w:bottom w:val="nil"/>
                <w:right w:val="nil"/>
                <w:between w:val="nil"/>
              </w:pBdr>
              <w:suppressAutoHyphens/>
              <w:spacing w:before="40" w:after="60"/>
              <w:rPr>
                <w:strike/>
                <w:szCs w:val="24"/>
                <w:u w:val="single"/>
              </w:rPr>
            </w:pPr>
            <w:r w:rsidRPr="00DB1AEE">
              <w:rPr>
                <w:szCs w:val="24"/>
                <w:u w:val="single"/>
              </w:rPr>
              <w:t>Metal framing, Fixed fenestration</w:t>
            </w:r>
          </w:p>
        </w:tc>
        <w:tc>
          <w:tcPr>
            <w:tcW w:w="1841" w:type="dxa"/>
            <w:tcMar>
              <w:top w:w="60" w:type="dxa"/>
              <w:left w:w="40" w:type="dxa"/>
              <w:bottom w:w="40" w:type="dxa"/>
              <w:right w:w="40" w:type="dxa"/>
            </w:tcMar>
          </w:tcPr>
          <w:p w14:paraId="100BC07D" w14:textId="77777777" w:rsidR="00DB1AEE" w:rsidRPr="00DB1AEE" w:rsidRDefault="00DB1AEE" w:rsidP="00DB1AEE">
            <w:pPr>
              <w:pBdr>
                <w:top w:val="nil"/>
                <w:left w:val="nil"/>
                <w:bottom w:val="nil"/>
                <w:right w:val="nil"/>
                <w:between w:val="nil"/>
              </w:pBdr>
              <w:suppressAutoHyphens/>
              <w:spacing w:before="20" w:after="20"/>
              <w:jc w:val="center"/>
              <w:rPr>
                <w:szCs w:val="24"/>
                <w:u w:val="single"/>
              </w:rPr>
            </w:pPr>
            <w:r w:rsidRPr="00DB1AEE">
              <w:rPr>
                <w:szCs w:val="24"/>
                <w:u w:val="single"/>
              </w:rPr>
              <w:t>U-0.30</w:t>
            </w:r>
          </w:p>
        </w:tc>
        <w:tc>
          <w:tcPr>
            <w:tcW w:w="1398" w:type="dxa"/>
          </w:tcPr>
          <w:p w14:paraId="2DE44238" w14:textId="77777777" w:rsidR="00DB1AEE" w:rsidRPr="00DB1AEE" w:rsidRDefault="00DB1AEE" w:rsidP="00DB1AEE">
            <w:pPr>
              <w:pBdr>
                <w:top w:val="nil"/>
                <w:left w:val="nil"/>
                <w:bottom w:val="nil"/>
                <w:right w:val="nil"/>
                <w:between w:val="nil"/>
              </w:pBdr>
              <w:suppressAutoHyphens/>
              <w:spacing w:before="20" w:after="20"/>
              <w:jc w:val="center"/>
              <w:rPr>
                <w:szCs w:val="24"/>
                <w:u w:val="single"/>
              </w:rPr>
            </w:pPr>
            <w:r w:rsidRPr="00DB1AEE">
              <w:rPr>
                <w:szCs w:val="24"/>
                <w:u w:val="single"/>
              </w:rPr>
              <w:t>U-0.34</w:t>
            </w:r>
          </w:p>
        </w:tc>
        <w:tc>
          <w:tcPr>
            <w:tcW w:w="2557" w:type="dxa"/>
          </w:tcPr>
          <w:p w14:paraId="28CD2AC6" w14:textId="77777777" w:rsidR="00DB1AEE" w:rsidRPr="00DB1AEE" w:rsidRDefault="00DB1AEE" w:rsidP="00DB1AEE">
            <w:pPr>
              <w:pBdr>
                <w:top w:val="nil"/>
                <w:left w:val="nil"/>
                <w:bottom w:val="nil"/>
                <w:right w:val="nil"/>
                <w:between w:val="nil"/>
              </w:pBdr>
              <w:suppressAutoHyphens/>
              <w:spacing w:before="20" w:after="20"/>
              <w:jc w:val="center"/>
              <w:rPr>
                <w:szCs w:val="24"/>
                <w:u w:val="single"/>
              </w:rPr>
            </w:pPr>
            <w:r w:rsidRPr="00DB1AEE">
              <w:rPr>
                <w:szCs w:val="24"/>
                <w:u w:val="single"/>
              </w:rPr>
              <w:t>U-0.34</w:t>
            </w:r>
          </w:p>
        </w:tc>
        <w:tc>
          <w:tcPr>
            <w:tcW w:w="2046" w:type="dxa"/>
          </w:tcPr>
          <w:p w14:paraId="61EEABE5" w14:textId="77777777" w:rsidR="00DB1AEE" w:rsidRPr="00DB1AEE" w:rsidRDefault="00DB1AEE" w:rsidP="00DB1AEE">
            <w:pPr>
              <w:pBdr>
                <w:top w:val="nil"/>
                <w:left w:val="nil"/>
                <w:bottom w:val="nil"/>
                <w:right w:val="nil"/>
                <w:between w:val="nil"/>
              </w:pBdr>
              <w:suppressAutoHyphens/>
              <w:spacing w:before="20" w:after="20"/>
              <w:jc w:val="center"/>
              <w:rPr>
                <w:szCs w:val="24"/>
                <w:u w:val="single"/>
              </w:rPr>
            </w:pPr>
            <w:r w:rsidRPr="00DB1AEE">
              <w:rPr>
                <w:szCs w:val="24"/>
                <w:u w:val="single"/>
              </w:rPr>
              <w:t>U-0.34</w:t>
            </w:r>
          </w:p>
        </w:tc>
      </w:tr>
      <w:tr w:rsidR="00DB1AEE" w:rsidRPr="00DB1AEE" w14:paraId="6EE5143E" w14:textId="77777777" w:rsidTr="00FC1832">
        <w:trPr>
          <w:trHeight w:val="19"/>
        </w:trPr>
        <w:tc>
          <w:tcPr>
            <w:tcW w:w="2339" w:type="dxa"/>
            <w:tcMar>
              <w:top w:w="60" w:type="dxa"/>
              <w:left w:w="40" w:type="dxa"/>
              <w:bottom w:w="40" w:type="dxa"/>
              <w:right w:w="40" w:type="dxa"/>
            </w:tcMar>
            <w:vAlign w:val="center"/>
          </w:tcPr>
          <w:p w14:paraId="2A74F839" w14:textId="77777777" w:rsidR="00DB1AEE" w:rsidRPr="00DB1AEE" w:rsidRDefault="00DB1AEE" w:rsidP="00DB1AEE">
            <w:pPr>
              <w:pBdr>
                <w:top w:val="nil"/>
                <w:left w:val="nil"/>
                <w:bottom w:val="nil"/>
                <w:right w:val="nil"/>
                <w:between w:val="nil"/>
              </w:pBdr>
              <w:suppressAutoHyphens/>
              <w:spacing w:before="40" w:after="60"/>
              <w:rPr>
                <w:szCs w:val="24"/>
                <w:u w:val="single"/>
              </w:rPr>
            </w:pPr>
            <w:r w:rsidRPr="00DB1AEE">
              <w:rPr>
                <w:szCs w:val="24"/>
                <w:u w:val="single"/>
              </w:rPr>
              <w:t>Metal framing, Operable fenestration</w:t>
            </w:r>
          </w:p>
        </w:tc>
        <w:tc>
          <w:tcPr>
            <w:tcW w:w="1841" w:type="dxa"/>
            <w:tcMar>
              <w:top w:w="60" w:type="dxa"/>
              <w:left w:w="40" w:type="dxa"/>
              <w:bottom w:w="40" w:type="dxa"/>
              <w:right w:w="40" w:type="dxa"/>
            </w:tcMar>
            <w:vAlign w:val="center"/>
          </w:tcPr>
          <w:p w14:paraId="64637F04" w14:textId="77777777" w:rsidR="00DB1AEE" w:rsidRPr="00DB1AEE" w:rsidRDefault="00DB1AEE" w:rsidP="00DB1AEE">
            <w:pPr>
              <w:pBdr>
                <w:top w:val="nil"/>
                <w:left w:val="nil"/>
                <w:bottom w:val="nil"/>
                <w:right w:val="nil"/>
                <w:between w:val="nil"/>
              </w:pBdr>
              <w:suppressAutoHyphens/>
              <w:spacing w:before="20" w:after="20"/>
              <w:jc w:val="center"/>
              <w:rPr>
                <w:szCs w:val="24"/>
                <w:u w:val="single"/>
              </w:rPr>
            </w:pPr>
            <w:r w:rsidRPr="00DB1AEE">
              <w:rPr>
                <w:szCs w:val="24"/>
                <w:u w:val="single"/>
              </w:rPr>
              <w:t>U-0.40</w:t>
            </w:r>
          </w:p>
        </w:tc>
        <w:tc>
          <w:tcPr>
            <w:tcW w:w="1398" w:type="dxa"/>
          </w:tcPr>
          <w:p w14:paraId="580CB443" w14:textId="77777777" w:rsidR="00DB1AEE" w:rsidRPr="00DB1AEE" w:rsidRDefault="00DB1AEE" w:rsidP="00DB1AEE">
            <w:pPr>
              <w:pBdr>
                <w:top w:val="nil"/>
                <w:left w:val="nil"/>
                <w:bottom w:val="nil"/>
                <w:right w:val="nil"/>
                <w:between w:val="nil"/>
              </w:pBdr>
              <w:suppressAutoHyphens/>
              <w:spacing w:before="20" w:after="20"/>
              <w:jc w:val="center"/>
              <w:rPr>
                <w:szCs w:val="24"/>
                <w:u w:val="single"/>
              </w:rPr>
            </w:pPr>
            <w:r w:rsidRPr="00DB1AEE">
              <w:rPr>
                <w:szCs w:val="24"/>
                <w:u w:val="single"/>
              </w:rPr>
              <w:t>U-0.42</w:t>
            </w:r>
          </w:p>
        </w:tc>
        <w:tc>
          <w:tcPr>
            <w:tcW w:w="2557" w:type="dxa"/>
          </w:tcPr>
          <w:p w14:paraId="7A6C592F" w14:textId="77777777" w:rsidR="00DB1AEE" w:rsidRPr="00DB1AEE" w:rsidRDefault="00DB1AEE" w:rsidP="00DB1AEE">
            <w:pPr>
              <w:pBdr>
                <w:top w:val="nil"/>
                <w:left w:val="nil"/>
                <w:bottom w:val="nil"/>
                <w:right w:val="nil"/>
                <w:between w:val="nil"/>
              </w:pBdr>
              <w:suppressAutoHyphens/>
              <w:spacing w:before="20" w:after="20"/>
              <w:jc w:val="center"/>
              <w:rPr>
                <w:u w:val="single"/>
              </w:rPr>
            </w:pPr>
            <w:r w:rsidRPr="00DB1AEE">
              <w:rPr>
                <w:u w:val="single"/>
              </w:rPr>
              <w:t>U-0.43</w:t>
            </w:r>
          </w:p>
        </w:tc>
        <w:tc>
          <w:tcPr>
            <w:tcW w:w="2046" w:type="dxa"/>
          </w:tcPr>
          <w:p w14:paraId="29A66107" w14:textId="77777777" w:rsidR="00DB1AEE" w:rsidRPr="00DB1AEE" w:rsidRDefault="00DB1AEE" w:rsidP="00DB1AEE">
            <w:pPr>
              <w:pBdr>
                <w:top w:val="nil"/>
                <w:left w:val="nil"/>
                <w:bottom w:val="nil"/>
                <w:right w:val="nil"/>
                <w:between w:val="nil"/>
              </w:pBdr>
              <w:suppressAutoHyphens/>
              <w:spacing w:before="20" w:after="20"/>
              <w:jc w:val="center"/>
              <w:rPr>
                <w:u w:val="single"/>
              </w:rPr>
            </w:pPr>
            <w:r w:rsidRPr="00DB1AEE">
              <w:rPr>
                <w:u w:val="single"/>
              </w:rPr>
              <w:t>U-0.41</w:t>
            </w:r>
          </w:p>
        </w:tc>
      </w:tr>
      <w:tr w:rsidR="00DB1AEE" w:rsidRPr="00DB1AEE" w14:paraId="087D7D9F" w14:textId="77777777" w:rsidTr="00FC1832">
        <w:trPr>
          <w:trHeight w:val="19"/>
        </w:trPr>
        <w:tc>
          <w:tcPr>
            <w:tcW w:w="2339" w:type="dxa"/>
            <w:tcBorders>
              <w:bottom w:val="single" w:sz="4" w:space="0" w:color="auto"/>
            </w:tcBorders>
            <w:tcMar>
              <w:top w:w="60" w:type="dxa"/>
              <w:left w:w="40" w:type="dxa"/>
              <w:bottom w:w="40" w:type="dxa"/>
              <w:right w:w="40" w:type="dxa"/>
            </w:tcMar>
            <w:vAlign w:val="center"/>
          </w:tcPr>
          <w:p w14:paraId="65469265" w14:textId="77777777" w:rsidR="00DB1AEE" w:rsidRPr="00DB1AEE" w:rsidRDefault="00DB1AEE" w:rsidP="00DB1AEE">
            <w:pPr>
              <w:pBdr>
                <w:top w:val="nil"/>
                <w:left w:val="nil"/>
                <w:bottom w:val="nil"/>
                <w:right w:val="nil"/>
                <w:between w:val="nil"/>
              </w:pBdr>
              <w:suppressAutoHyphens/>
              <w:spacing w:before="40" w:after="60"/>
              <w:rPr>
                <w:szCs w:val="24"/>
                <w:u w:val="single"/>
              </w:rPr>
            </w:pPr>
            <w:r w:rsidRPr="00DB1AEE">
              <w:rPr>
                <w:szCs w:val="24"/>
                <w:u w:val="single"/>
              </w:rPr>
              <w:t>Nonmetal framing, all fenestration</w:t>
            </w:r>
          </w:p>
        </w:tc>
        <w:tc>
          <w:tcPr>
            <w:tcW w:w="1841" w:type="dxa"/>
            <w:tcBorders>
              <w:bottom w:val="single" w:sz="4" w:space="0" w:color="auto"/>
            </w:tcBorders>
            <w:tcMar>
              <w:top w:w="60" w:type="dxa"/>
              <w:left w:w="40" w:type="dxa"/>
              <w:bottom w:w="40" w:type="dxa"/>
              <w:right w:w="40" w:type="dxa"/>
            </w:tcMar>
            <w:vAlign w:val="center"/>
          </w:tcPr>
          <w:p w14:paraId="5F6B20E7" w14:textId="77777777" w:rsidR="00DB1AEE" w:rsidRPr="00DB1AEE" w:rsidRDefault="00DB1AEE" w:rsidP="00DB1AEE">
            <w:pPr>
              <w:pBdr>
                <w:top w:val="nil"/>
                <w:left w:val="nil"/>
                <w:bottom w:val="nil"/>
                <w:right w:val="nil"/>
                <w:between w:val="nil"/>
              </w:pBdr>
              <w:suppressAutoHyphens/>
              <w:spacing w:before="20" w:after="20"/>
              <w:jc w:val="center"/>
              <w:rPr>
                <w:szCs w:val="24"/>
                <w:u w:val="single"/>
              </w:rPr>
            </w:pPr>
            <w:r w:rsidRPr="00DB1AEE">
              <w:rPr>
                <w:szCs w:val="24"/>
                <w:u w:val="single"/>
              </w:rPr>
              <w:t>U-0.28</w:t>
            </w:r>
          </w:p>
        </w:tc>
        <w:tc>
          <w:tcPr>
            <w:tcW w:w="1398" w:type="dxa"/>
            <w:tcBorders>
              <w:bottom w:val="single" w:sz="4" w:space="0" w:color="auto"/>
            </w:tcBorders>
          </w:tcPr>
          <w:p w14:paraId="2BDA338F" w14:textId="77777777" w:rsidR="00DB1AEE" w:rsidRPr="00DB1AEE" w:rsidRDefault="00DB1AEE" w:rsidP="00DB1AEE">
            <w:pPr>
              <w:pBdr>
                <w:top w:val="nil"/>
                <w:left w:val="nil"/>
                <w:bottom w:val="nil"/>
                <w:right w:val="nil"/>
                <w:between w:val="nil"/>
              </w:pBdr>
              <w:suppressAutoHyphens/>
              <w:spacing w:before="20" w:after="20"/>
              <w:jc w:val="center"/>
              <w:rPr>
                <w:szCs w:val="24"/>
                <w:u w:val="single"/>
              </w:rPr>
            </w:pPr>
            <w:r w:rsidRPr="00DB1AEE">
              <w:rPr>
                <w:szCs w:val="24"/>
                <w:u w:val="single"/>
              </w:rPr>
              <w:t>U-0.28</w:t>
            </w:r>
          </w:p>
        </w:tc>
        <w:tc>
          <w:tcPr>
            <w:tcW w:w="2557" w:type="dxa"/>
            <w:tcBorders>
              <w:bottom w:val="single" w:sz="4" w:space="0" w:color="auto"/>
            </w:tcBorders>
          </w:tcPr>
          <w:p w14:paraId="6CF8AF2B" w14:textId="77777777" w:rsidR="00DB1AEE" w:rsidRPr="00DB1AEE" w:rsidRDefault="00DB1AEE" w:rsidP="00DB1AEE">
            <w:pPr>
              <w:pBdr>
                <w:top w:val="nil"/>
                <w:left w:val="nil"/>
                <w:bottom w:val="nil"/>
                <w:right w:val="nil"/>
                <w:between w:val="nil"/>
              </w:pBdr>
              <w:suppressAutoHyphens/>
              <w:spacing w:before="20" w:after="20"/>
              <w:jc w:val="center"/>
              <w:rPr>
                <w:szCs w:val="24"/>
                <w:u w:val="single"/>
              </w:rPr>
            </w:pPr>
            <w:r w:rsidRPr="00DB1AEE">
              <w:rPr>
                <w:szCs w:val="24"/>
                <w:u w:val="single"/>
              </w:rPr>
              <w:t>U-0.27</w:t>
            </w:r>
          </w:p>
        </w:tc>
        <w:tc>
          <w:tcPr>
            <w:tcW w:w="2046" w:type="dxa"/>
            <w:tcBorders>
              <w:bottom w:val="single" w:sz="4" w:space="0" w:color="auto"/>
            </w:tcBorders>
          </w:tcPr>
          <w:p w14:paraId="1B64E3A2" w14:textId="77777777" w:rsidR="00DB1AEE" w:rsidRPr="00DB1AEE" w:rsidRDefault="00DB1AEE" w:rsidP="00DB1AEE">
            <w:pPr>
              <w:pBdr>
                <w:top w:val="nil"/>
                <w:left w:val="nil"/>
                <w:bottom w:val="nil"/>
                <w:right w:val="nil"/>
                <w:between w:val="nil"/>
              </w:pBdr>
              <w:suppressAutoHyphens/>
              <w:spacing w:before="20" w:after="20"/>
              <w:jc w:val="center"/>
              <w:rPr>
                <w:szCs w:val="24"/>
                <w:u w:val="single"/>
              </w:rPr>
            </w:pPr>
            <w:r w:rsidRPr="00DB1AEE">
              <w:rPr>
                <w:szCs w:val="24"/>
                <w:u w:val="single"/>
              </w:rPr>
              <w:t>U-0.27</w:t>
            </w:r>
          </w:p>
        </w:tc>
      </w:tr>
      <w:tr w:rsidR="00DB1AEE" w:rsidRPr="00DB1AEE" w14:paraId="161952BA" w14:textId="77777777" w:rsidTr="00FC1832">
        <w:trPr>
          <w:trHeight w:val="19"/>
        </w:trPr>
        <w:tc>
          <w:tcPr>
            <w:tcW w:w="2339" w:type="dxa"/>
            <w:tcBorders>
              <w:bottom w:val="single" w:sz="4" w:space="0" w:color="auto"/>
            </w:tcBorders>
            <w:tcMar>
              <w:top w:w="60" w:type="dxa"/>
              <w:left w:w="40" w:type="dxa"/>
              <w:bottom w:w="40" w:type="dxa"/>
              <w:right w:w="40" w:type="dxa"/>
            </w:tcMar>
            <w:vAlign w:val="center"/>
          </w:tcPr>
          <w:p w14:paraId="5148DFFA" w14:textId="77777777" w:rsidR="00DB1AEE" w:rsidRPr="00DB1AEE" w:rsidRDefault="00DB1AEE" w:rsidP="00DB1AEE">
            <w:pPr>
              <w:pBdr>
                <w:top w:val="nil"/>
                <w:left w:val="nil"/>
                <w:bottom w:val="nil"/>
                <w:right w:val="nil"/>
                <w:between w:val="nil"/>
              </w:pBdr>
              <w:suppressAutoHyphens/>
              <w:spacing w:before="40" w:after="60"/>
              <w:rPr>
                <w:szCs w:val="24"/>
                <w:u w:val="single"/>
              </w:rPr>
            </w:pPr>
            <w:r w:rsidRPr="00DB1AEE">
              <w:rPr>
                <w:szCs w:val="24"/>
                <w:u w:val="single"/>
              </w:rPr>
              <w:t>Entrance doors</w:t>
            </w:r>
          </w:p>
        </w:tc>
        <w:tc>
          <w:tcPr>
            <w:tcW w:w="1841" w:type="dxa"/>
            <w:tcBorders>
              <w:bottom w:val="single" w:sz="4" w:space="0" w:color="auto"/>
            </w:tcBorders>
            <w:tcMar>
              <w:top w:w="60" w:type="dxa"/>
              <w:left w:w="40" w:type="dxa"/>
              <w:bottom w:w="40" w:type="dxa"/>
              <w:right w:w="40" w:type="dxa"/>
            </w:tcMar>
            <w:vAlign w:val="center"/>
          </w:tcPr>
          <w:p w14:paraId="73C561E5" w14:textId="77777777" w:rsidR="00DB1AEE" w:rsidRPr="00DB1AEE" w:rsidRDefault="00DB1AEE" w:rsidP="00DB1AEE">
            <w:pPr>
              <w:pBdr>
                <w:top w:val="nil"/>
                <w:left w:val="nil"/>
                <w:bottom w:val="nil"/>
                <w:right w:val="nil"/>
                <w:between w:val="nil"/>
              </w:pBdr>
              <w:suppressAutoHyphens/>
              <w:spacing w:before="20" w:after="20"/>
              <w:jc w:val="center"/>
              <w:rPr>
                <w:szCs w:val="24"/>
                <w:u w:val="single"/>
              </w:rPr>
            </w:pPr>
            <w:r w:rsidRPr="00DB1AEE">
              <w:rPr>
                <w:szCs w:val="24"/>
                <w:u w:val="single"/>
              </w:rPr>
              <w:t>U-0.63</w:t>
            </w:r>
          </w:p>
        </w:tc>
        <w:tc>
          <w:tcPr>
            <w:tcW w:w="1398" w:type="dxa"/>
            <w:tcBorders>
              <w:bottom w:val="single" w:sz="4" w:space="0" w:color="auto"/>
            </w:tcBorders>
          </w:tcPr>
          <w:p w14:paraId="7649737E" w14:textId="77777777" w:rsidR="00DB1AEE" w:rsidRPr="00DB1AEE" w:rsidRDefault="00DB1AEE" w:rsidP="00DB1AEE">
            <w:pPr>
              <w:pBdr>
                <w:top w:val="nil"/>
                <w:left w:val="nil"/>
                <w:bottom w:val="nil"/>
                <w:right w:val="nil"/>
                <w:between w:val="nil"/>
              </w:pBdr>
              <w:suppressAutoHyphens/>
              <w:spacing w:before="20" w:after="20"/>
              <w:jc w:val="center"/>
              <w:rPr>
                <w:szCs w:val="24"/>
                <w:u w:val="single"/>
              </w:rPr>
            </w:pPr>
          </w:p>
        </w:tc>
        <w:tc>
          <w:tcPr>
            <w:tcW w:w="2557" w:type="dxa"/>
            <w:tcBorders>
              <w:bottom w:val="single" w:sz="4" w:space="0" w:color="auto"/>
            </w:tcBorders>
          </w:tcPr>
          <w:p w14:paraId="7AE098CA" w14:textId="77777777" w:rsidR="00DB1AEE" w:rsidRPr="00DB1AEE" w:rsidRDefault="00DB1AEE" w:rsidP="00DB1AEE">
            <w:pPr>
              <w:pBdr>
                <w:top w:val="nil"/>
                <w:left w:val="nil"/>
                <w:bottom w:val="nil"/>
                <w:right w:val="nil"/>
                <w:between w:val="nil"/>
              </w:pBdr>
              <w:suppressAutoHyphens/>
              <w:spacing w:before="20" w:after="20"/>
              <w:jc w:val="center"/>
              <w:rPr>
                <w:szCs w:val="24"/>
                <w:u w:val="single"/>
              </w:rPr>
            </w:pPr>
            <w:r w:rsidRPr="00DB1AEE">
              <w:rPr>
                <w:szCs w:val="24"/>
                <w:u w:val="single"/>
              </w:rPr>
              <w:t>U-0.63</w:t>
            </w:r>
          </w:p>
        </w:tc>
        <w:tc>
          <w:tcPr>
            <w:tcW w:w="2046" w:type="dxa"/>
            <w:tcBorders>
              <w:bottom w:val="single" w:sz="4" w:space="0" w:color="auto"/>
            </w:tcBorders>
          </w:tcPr>
          <w:p w14:paraId="15526C81" w14:textId="77777777" w:rsidR="00DB1AEE" w:rsidRPr="00DB1AEE" w:rsidRDefault="00DB1AEE" w:rsidP="00DB1AEE">
            <w:pPr>
              <w:pBdr>
                <w:top w:val="nil"/>
                <w:left w:val="nil"/>
                <w:bottom w:val="nil"/>
                <w:right w:val="nil"/>
                <w:between w:val="nil"/>
              </w:pBdr>
              <w:suppressAutoHyphens/>
              <w:spacing w:before="20" w:after="20"/>
              <w:jc w:val="center"/>
              <w:rPr>
                <w:szCs w:val="24"/>
                <w:u w:val="single"/>
              </w:rPr>
            </w:pPr>
            <w:r w:rsidRPr="00DB1AEE">
              <w:rPr>
                <w:szCs w:val="24"/>
                <w:u w:val="single"/>
              </w:rPr>
              <w:t>U-0.63</w:t>
            </w:r>
          </w:p>
        </w:tc>
      </w:tr>
      <w:tr w:rsidR="00DB1AEE" w:rsidRPr="00DB1AEE" w14:paraId="6300B03B" w14:textId="77777777" w:rsidTr="00FC1832">
        <w:trPr>
          <w:trHeight w:val="19"/>
        </w:trPr>
        <w:tc>
          <w:tcPr>
            <w:tcW w:w="2339" w:type="dxa"/>
            <w:tcBorders>
              <w:top w:val="single" w:sz="4" w:space="0" w:color="auto"/>
            </w:tcBorders>
          </w:tcPr>
          <w:p w14:paraId="64877672" w14:textId="77777777" w:rsidR="00DB1AEE" w:rsidRPr="00DB1AEE" w:rsidRDefault="00DB1AEE" w:rsidP="00DB1AEE">
            <w:pPr>
              <w:pBdr>
                <w:top w:val="nil"/>
                <w:left w:val="nil"/>
                <w:bottom w:val="nil"/>
                <w:right w:val="nil"/>
                <w:between w:val="nil"/>
              </w:pBdr>
              <w:suppressAutoHyphens/>
              <w:spacing w:before="20" w:after="20"/>
              <w:jc w:val="center"/>
              <w:rPr>
                <w:b/>
                <w:bCs/>
                <w:szCs w:val="24"/>
                <w:u w:val="single"/>
              </w:rPr>
            </w:pPr>
          </w:p>
        </w:tc>
        <w:tc>
          <w:tcPr>
            <w:tcW w:w="7842" w:type="dxa"/>
            <w:gridSpan w:val="4"/>
            <w:tcBorders>
              <w:top w:val="single" w:sz="4" w:space="0" w:color="auto"/>
            </w:tcBorders>
            <w:tcMar>
              <w:top w:w="60" w:type="dxa"/>
              <w:left w:w="40" w:type="dxa"/>
              <w:bottom w:w="40" w:type="dxa"/>
              <w:right w:w="40" w:type="dxa"/>
            </w:tcMar>
            <w:vAlign w:val="center"/>
          </w:tcPr>
          <w:p w14:paraId="3BD7DB31" w14:textId="77777777" w:rsidR="00DB1AEE" w:rsidRPr="00DB1AEE" w:rsidRDefault="00DB1AEE" w:rsidP="00DB1AEE">
            <w:pPr>
              <w:pBdr>
                <w:top w:val="nil"/>
                <w:left w:val="nil"/>
                <w:bottom w:val="nil"/>
                <w:right w:val="nil"/>
                <w:between w:val="nil"/>
              </w:pBdr>
              <w:suppressAutoHyphens/>
              <w:spacing w:before="20" w:after="20"/>
              <w:jc w:val="center"/>
              <w:rPr>
                <w:szCs w:val="24"/>
                <w:u w:val="single"/>
                <w:vertAlign w:val="superscript"/>
              </w:rPr>
            </w:pPr>
            <w:r w:rsidRPr="00DB1AEE">
              <w:rPr>
                <w:b/>
                <w:bCs/>
                <w:szCs w:val="24"/>
                <w:u w:val="single"/>
              </w:rPr>
              <w:t>SHGC</w:t>
            </w:r>
            <w:r w:rsidRPr="00DB1AEE">
              <w:rPr>
                <w:b/>
                <w:bCs/>
                <w:szCs w:val="24"/>
                <w:u w:val="single"/>
                <w:vertAlign w:val="superscript"/>
              </w:rPr>
              <w:t>b</w:t>
            </w:r>
          </w:p>
        </w:tc>
      </w:tr>
      <w:tr w:rsidR="00DB1AEE" w:rsidRPr="00DB1AEE" w14:paraId="6DDEC1E6" w14:textId="77777777" w:rsidTr="00FC1832">
        <w:trPr>
          <w:trHeight w:val="19"/>
        </w:trPr>
        <w:tc>
          <w:tcPr>
            <w:tcW w:w="2339" w:type="dxa"/>
            <w:tcBorders>
              <w:top w:val="single" w:sz="4" w:space="0" w:color="auto"/>
            </w:tcBorders>
            <w:tcMar>
              <w:top w:w="60" w:type="dxa"/>
              <w:left w:w="40" w:type="dxa"/>
              <w:bottom w:w="40" w:type="dxa"/>
              <w:right w:w="40" w:type="dxa"/>
            </w:tcMar>
            <w:vAlign w:val="center"/>
          </w:tcPr>
          <w:p w14:paraId="2C75A193" w14:textId="77777777" w:rsidR="00DB1AEE" w:rsidRPr="00DB1AEE" w:rsidRDefault="00DB1AEE" w:rsidP="00DB1AEE">
            <w:pPr>
              <w:pBdr>
                <w:top w:val="nil"/>
                <w:left w:val="nil"/>
                <w:bottom w:val="nil"/>
                <w:right w:val="nil"/>
                <w:between w:val="nil"/>
              </w:pBdr>
              <w:suppressAutoHyphens/>
              <w:spacing w:before="40" w:after="60"/>
              <w:rPr>
                <w:szCs w:val="24"/>
                <w:u w:val="single"/>
              </w:rPr>
            </w:pPr>
            <w:r w:rsidRPr="00DB1AEE">
              <w:rPr>
                <w:szCs w:val="24"/>
                <w:u w:val="single"/>
              </w:rPr>
              <w:t>PF &lt; 0.2</w:t>
            </w:r>
          </w:p>
        </w:tc>
        <w:tc>
          <w:tcPr>
            <w:tcW w:w="1841" w:type="dxa"/>
            <w:tcBorders>
              <w:top w:val="single" w:sz="4" w:space="0" w:color="auto"/>
            </w:tcBorders>
            <w:tcMar>
              <w:top w:w="60" w:type="dxa"/>
              <w:left w:w="40" w:type="dxa"/>
              <w:bottom w:w="40" w:type="dxa"/>
              <w:right w:w="40" w:type="dxa"/>
            </w:tcMar>
            <w:vAlign w:val="center"/>
          </w:tcPr>
          <w:p w14:paraId="37C44B96" w14:textId="77777777" w:rsidR="00DB1AEE" w:rsidRPr="00DB1AEE" w:rsidRDefault="00DB1AEE" w:rsidP="00DB1AEE">
            <w:pPr>
              <w:pBdr>
                <w:top w:val="nil"/>
                <w:left w:val="nil"/>
                <w:bottom w:val="nil"/>
                <w:right w:val="nil"/>
                <w:between w:val="nil"/>
              </w:pBdr>
              <w:suppressAutoHyphens/>
              <w:spacing w:before="20" w:after="20"/>
              <w:jc w:val="center"/>
              <w:rPr>
                <w:strike/>
                <w:szCs w:val="24"/>
                <w:u w:val="single"/>
              </w:rPr>
            </w:pPr>
            <w:r w:rsidRPr="00DB1AEE">
              <w:rPr>
                <w:szCs w:val="24"/>
                <w:u w:val="single"/>
              </w:rPr>
              <w:t>0.33</w:t>
            </w:r>
          </w:p>
        </w:tc>
        <w:tc>
          <w:tcPr>
            <w:tcW w:w="1398" w:type="dxa"/>
            <w:tcBorders>
              <w:top w:val="single" w:sz="4" w:space="0" w:color="auto"/>
            </w:tcBorders>
          </w:tcPr>
          <w:p w14:paraId="00948267" w14:textId="77777777" w:rsidR="00DB1AEE" w:rsidRPr="00DB1AEE" w:rsidRDefault="00DB1AEE" w:rsidP="00DB1AEE">
            <w:pPr>
              <w:pBdr>
                <w:top w:val="nil"/>
                <w:left w:val="nil"/>
                <w:bottom w:val="nil"/>
                <w:right w:val="nil"/>
                <w:between w:val="nil"/>
              </w:pBdr>
              <w:suppressAutoHyphens/>
              <w:spacing w:before="20" w:after="20"/>
              <w:jc w:val="center"/>
              <w:rPr>
                <w:szCs w:val="24"/>
                <w:u w:val="single"/>
              </w:rPr>
            </w:pPr>
          </w:p>
        </w:tc>
        <w:tc>
          <w:tcPr>
            <w:tcW w:w="2557" w:type="dxa"/>
            <w:tcBorders>
              <w:top w:val="single" w:sz="4" w:space="0" w:color="auto"/>
            </w:tcBorders>
          </w:tcPr>
          <w:p w14:paraId="5C5B52C7" w14:textId="77777777" w:rsidR="00DB1AEE" w:rsidRPr="00DB1AEE" w:rsidRDefault="00DB1AEE" w:rsidP="00DB1AEE">
            <w:pPr>
              <w:pBdr>
                <w:top w:val="nil"/>
                <w:left w:val="nil"/>
                <w:bottom w:val="nil"/>
                <w:right w:val="nil"/>
                <w:between w:val="nil"/>
              </w:pBdr>
              <w:suppressAutoHyphens/>
              <w:spacing w:before="20" w:after="20"/>
              <w:jc w:val="center"/>
              <w:rPr>
                <w:szCs w:val="24"/>
                <w:u w:val="single"/>
              </w:rPr>
            </w:pPr>
            <w:r w:rsidRPr="00DB1AEE">
              <w:rPr>
                <w:szCs w:val="24"/>
                <w:u w:val="single"/>
              </w:rPr>
              <w:t>0.33</w:t>
            </w:r>
          </w:p>
        </w:tc>
        <w:tc>
          <w:tcPr>
            <w:tcW w:w="2046" w:type="dxa"/>
            <w:tcBorders>
              <w:top w:val="single" w:sz="4" w:space="0" w:color="auto"/>
            </w:tcBorders>
          </w:tcPr>
          <w:p w14:paraId="36838053" w14:textId="77777777" w:rsidR="00DB1AEE" w:rsidRPr="00DB1AEE" w:rsidRDefault="00DB1AEE" w:rsidP="00DB1AEE">
            <w:pPr>
              <w:pBdr>
                <w:top w:val="nil"/>
                <w:left w:val="nil"/>
                <w:bottom w:val="nil"/>
                <w:right w:val="nil"/>
                <w:between w:val="nil"/>
              </w:pBdr>
              <w:suppressAutoHyphens/>
              <w:spacing w:before="20" w:after="20"/>
              <w:jc w:val="center"/>
              <w:rPr>
                <w:szCs w:val="24"/>
                <w:u w:val="single"/>
              </w:rPr>
            </w:pPr>
            <w:r w:rsidRPr="00DB1AEE">
              <w:rPr>
                <w:szCs w:val="24"/>
                <w:u w:val="single"/>
              </w:rPr>
              <w:t>0.34</w:t>
            </w:r>
          </w:p>
        </w:tc>
      </w:tr>
      <w:tr w:rsidR="00DB1AEE" w:rsidRPr="00DB1AEE" w14:paraId="6429C01B" w14:textId="77777777" w:rsidTr="00FC1832">
        <w:trPr>
          <w:trHeight w:val="19"/>
        </w:trPr>
        <w:tc>
          <w:tcPr>
            <w:tcW w:w="2339" w:type="dxa"/>
            <w:tcMar>
              <w:top w:w="60" w:type="dxa"/>
              <w:left w:w="40" w:type="dxa"/>
              <w:bottom w:w="40" w:type="dxa"/>
              <w:right w:w="40" w:type="dxa"/>
            </w:tcMar>
            <w:vAlign w:val="center"/>
          </w:tcPr>
          <w:p w14:paraId="15C174EA" w14:textId="77777777" w:rsidR="00DB1AEE" w:rsidRPr="00DB1AEE" w:rsidRDefault="00DB1AEE" w:rsidP="00DB1AEE">
            <w:pPr>
              <w:pBdr>
                <w:top w:val="nil"/>
                <w:left w:val="nil"/>
                <w:bottom w:val="nil"/>
                <w:right w:val="nil"/>
                <w:between w:val="nil"/>
              </w:pBdr>
              <w:suppressAutoHyphens/>
              <w:spacing w:before="40" w:after="60"/>
              <w:rPr>
                <w:szCs w:val="24"/>
                <w:u w:val="single"/>
              </w:rPr>
            </w:pPr>
            <w:r w:rsidRPr="00DB1AEE">
              <w:rPr>
                <w:rFonts w:eastAsia="Arial Unicode MS"/>
                <w:szCs w:val="24"/>
                <w:u w:val="single"/>
              </w:rPr>
              <w:t>0.2 ≤ PF &lt; 0.5</w:t>
            </w:r>
          </w:p>
        </w:tc>
        <w:tc>
          <w:tcPr>
            <w:tcW w:w="1841" w:type="dxa"/>
            <w:tcMar>
              <w:top w:w="60" w:type="dxa"/>
              <w:left w:w="40" w:type="dxa"/>
              <w:bottom w:w="40" w:type="dxa"/>
              <w:right w:w="40" w:type="dxa"/>
            </w:tcMar>
            <w:vAlign w:val="center"/>
          </w:tcPr>
          <w:p w14:paraId="39AEFF43" w14:textId="77777777" w:rsidR="00DB1AEE" w:rsidRPr="00DB1AEE" w:rsidRDefault="00DB1AEE" w:rsidP="00DB1AEE">
            <w:pPr>
              <w:pBdr>
                <w:top w:val="nil"/>
                <w:left w:val="nil"/>
                <w:bottom w:val="nil"/>
                <w:right w:val="nil"/>
                <w:between w:val="nil"/>
              </w:pBdr>
              <w:suppressAutoHyphens/>
              <w:spacing w:before="20" w:after="20"/>
              <w:jc w:val="center"/>
              <w:rPr>
                <w:strike/>
                <w:szCs w:val="24"/>
                <w:u w:val="single"/>
              </w:rPr>
            </w:pPr>
            <w:r w:rsidRPr="00DB1AEE">
              <w:rPr>
                <w:szCs w:val="24"/>
                <w:u w:val="single"/>
              </w:rPr>
              <w:t>0.40</w:t>
            </w:r>
          </w:p>
        </w:tc>
        <w:tc>
          <w:tcPr>
            <w:tcW w:w="1398" w:type="dxa"/>
          </w:tcPr>
          <w:p w14:paraId="09838768" w14:textId="77777777" w:rsidR="00DB1AEE" w:rsidRPr="00DB1AEE" w:rsidRDefault="00DB1AEE" w:rsidP="00DB1AEE">
            <w:pPr>
              <w:pBdr>
                <w:top w:val="nil"/>
                <w:left w:val="nil"/>
                <w:bottom w:val="nil"/>
                <w:right w:val="nil"/>
                <w:between w:val="nil"/>
              </w:pBdr>
              <w:suppressAutoHyphens/>
              <w:spacing w:before="20" w:after="20"/>
              <w:jc w:val="center"/>
              <w:rPr>
                <w:szCs w:val="24"/>
                <w:u w:val="single"/>
              </w:rPr>
            </w:pPr>
          </w:p>
        </w:tc>
        <w:tc>
          <w:tcPr>
            <w:tcW w:w="2557" w:type="dxa"/>
          </w:tcPr>
          <w:p w14:paraId="15EE60FF" w14:textId="77777777" w:rsidR="00DB1AEE" w:rsidRPr="00DB1AEE" w:rsidRDefault="00DB1AEE" w:rsidP="00DB1AEE">
            <w:pPr>
              <w:pBdr>
                <w:top w:val="nil"/>
                <w:left w:val="nil"/>
                <w:bottom w:val="nil"/>
                <w:right w:val="nil"/>
                <w:between w:val="nil"/>
              </w:pBdr>
              <w:suppressAutoHyphens/>
              <w:spacing w:before="20" w:after="20"/>
              <w:jc w:val="center"/>
              <w:rPr>
                <w:szCs w:val="24"/>
                <w:u w:val="single"/>
              </w:rPr>
            </w:pPr>
            <w:r w:rsidRPr="00DB1AEE">
              <w:rPr>
                <w:szCs w:val="24"/>
                <w:u w:val="single"/>
              </w:rPr>
              <w:t>0.40</w:t>
            </w:r>
          </w:p>
        </w:tc>
        <w:tc>
          <w:tcPr>
            <w:tcW w:w="2046" w:type="dxa"/>
          </w:tcPr>
          <w:p w14:paraId="750BE3A9" w14:textId="77777777" w:rsidR="00DB1AEE" w:rsidRPr="00DB1AEE" w:rsidRDefault="00DB1AEE" w:rsidP="00DB1AEE">
            <w:pPr>
              <w:pBdr>
                <w:top w:val="nil"/>
                <w:left w:val="nil"/>
                <w:bottom w:val="nil"/>
                <w:right w:val="nil"/>
                <w:between w:val="nil"/>
              </w:pBdr>
              <w:suppressAutoHyphens/>
              <w:spacing w:before="20" w:after="20"/>
              <w:jc w:val="center"/>
              <w:rPr>
                <w:szCs w:val="24"/>
                <w:u w:val="single"/>
              </w:rPr>
            </w:pPr>
            <w:r w:rsidRPr="00DB1AEE">
              <w:rPr>
                <w:szCs w:val="24"/>
                <w:u w:val="single"/>
              </w:rPr>
              <w:t>0.41</w:t>
            </w:r>
          </w:p>
        </w:tc>
      </w:tr>
      <w:tr w:rsidR="00DB1AEE" w:rsidRPr="00DB1AEE" w14:paraId="0F0E4E79" w14:textId="77777777" w:rsidTr="00FC1832">
        <w:trPr>
          <w:trHeight w:val="19"/>
        </w:trPr>
        <w:tc>
          <w:tcPr>
            <w:tcW w:w="2339" w:type="dxa"/>
            <w:tcMar>
              <w:top w:w="60" w:type="dxa"/>
              <w:left w:w="40" w:type="dxa"/>
              <w:bottom w:w="40" w:type="dxa"/>
              <w:right w:w="40" w:type="dxa"/>
            </w:tcMar>
            <w:vAlign w:val="center"/>
          </w:tcPr>
          <w:p w14:paraId="30BBB370" w14:textId="77777777" w:rsidR="00DB1AEE" w:rsidRPr="00DB1AEE" w:rsidRDefault="00DB1AEE" w:rsidP="00DB1AEE">
            <w:pPr>
              <w:pBdr>
                <w:top w:val="nil"/>
                <w:left w:val="nil"/>
                <w:bottom w:val="nil"/>
                <w:right w:val="nil"/>
                <w:between w:val="nil"/>
              </w:pBdr>
              <w:suppressAutoHyphens/>
              <w:spacing w:before="40" w:after="60"/>
              <w:rPr>
                <w:szCs w:val="24"/>
                <w:u w:val="single"/>
              </w:rPr>
            </w:pPr>
            <w:r w:rsidRPr="00DB1AEE">
              <w:rPr>
                <w:rFonts w:eastAsia="Arial Unicode MS"/>
                <w:szCs w:val="24"/>
                <w:u w:val="single"/>
              </w:rPr>
              <w:t>PF ≥ 0.5</w:t>
            </w:r>
          </w:p>
        </w:tc>
        <w:tc>
          <w:tcPr>
            <w:tcW w:w="1841" w:type="dxa"/>
            <w:tcMar>
              <w:top w:w="60" w:type="dxa"/>
              <w:left w:w="40" w:type="dxa"/>
              <w:bottom w:w="40" w:type="dxa"/>
              <w:right w:w="40" w:type="dxa"/>
            </w:tcMar>
            <w:vAlign w:val="center"/>
          </w:tcPr>
          <w:p w14:paraId="2BDF8B2F" w14:textId="77777777" w:rsidR="00DB1AEE" w:rsidRPr="00DB1AEE" w:rsidRDefault="00DB1AEE" w:rsidP="00DB1AEE">
            <w:pPr>
              <w:pBdr>
                <w:top w:val="nil"/>
                <w:left w:val="nil"/>
                <w:bottom w:val="nil"/>
                <w:right w:val="nil"/>
                <w:between w:val="nil"/>
              </w:pBdr>
              <w:suppressAutoHyphens/>
              <w:spacing w:before="20" w:after="20"/>
              <w:jc w:val="center"/>
              <w:rPr>
                <w:strike/>
                <w:szCs w:val="24"/>
                <w:u w:val="single"/>
              </w:rPr>
            </w:pPr>
            <w:r w:rsidRPr="00DB1AEE">
              <w:rPr>
                <w:szCs w:val="24"/>
                <w:u w:val="single"/>
              </w:rPr>
              <w:t>0.53</w:t>
            </w:r>
          </w:p>
        </w:tc>
        <w:tc>
          <w:tcPr>
            <w:tcW w:w="1398" w:type="dxa"/>
          </w:tcPr>
          <w:p w14:paraId="39EB4618" w14:textId="77777777" w:rsidR="00DB1AEE" w:rsidRPr="00DB1AEE" w:rsidRDefault="00DB1AEE" w:rsidP="00DB1AEE">
            <w:pPr>
              <w:pBdr>
                <w:top w:val="nil"/>
                <w:left w:val="nil"/>
                <w:bottom w:val="nil"/>
                <w:right w:val="nil"/>
                <w:between w:val="nil"/>
              </w:pBdr>
              <w:suppressAutoHyphens/>
              <w:spacing w:before="20" w:after="20"/>
              <w:jc w:val="center"/>
              <w:rPr>
                <w:szCs w:val="24"/>
                <w:u w:val="single"/>
              </w:rPr>
            </w:pPr>
          </w:p>
        </w:tc>
        <w:tc>
          <w:tcPr>
            <w:tcW w:w="2557" w:type="dxa"/>
          </w:tcPr>
          <w:p w14:paraId="11ECCD28" w14:textId="77777777" w:rsidR="00DB1AEE" w:rsidRPr="00DB1AEE" w:rsidRDefault="00DB1AEE" w:rsidP="00DB1AEE">
            <w:pPr>
              <w:pBdr>
                <w:top w:val="nil"/>
                <w:left w:val="nil"/>
                <w:bottom w:val="nil"/>
                <w:right w:val="nil"/>
                <w:between w:val="nil"/>
              </w:pBdr>
              <w:suppressAutoHyphens/>
              <w:spacing w:before="20" w:after="20"/>
              <w:jc w:val="center"/>
              <w:rPr>
                <w:szCs w:val="24"/>
                <w:u w:val="single"/>
              </w:rPr>
            </w:pPr>
            <w:r w:rsidRPr="00DB1AEE">
              <w:rPr>
                <w:szCs w:val="24"/>
                <w:u w:val="single"/>
              </w:rPr>
              <w:t>0.53</w:t>
            </w:r>
          </w:p>
        </w:tc>
        <w:tc>
          <w:tcPr>
            <w:tcW w:w="2046" w:type="dxa"/>
          </w:tcPr>
          <w:p w14:paraId="4487211E" w14:textId="77777777" w:rsidR="00DB1AEE" w:rsidRPr="00DB1AEE" w:rsidRDefault="00DB1AEE" w:rsidP="00DB1AEE">
            <w:pPr>
              <w:pBdr>
                <w:top w:val="nil"/>
                <w:left w:val="nil"/>
                <w:bottom w:val="nil"/>
                <w:right w:val="nil"/>
                <w:between w:val="nil"/>
              </w:pBdr>
              <w:suppressAutoHyphens/>
              <w:spacing w:before="20" w:after="20"/>
              <w:jc w:val="center"/>
              <w:rPr>
                <w:szCs w:val="24"/>
                <w:u w:val="single"/>
              </w:rPr>
            </w:pPr>
            <w:r w:rsidRPr="00DB1AEE">
              <w:rPr>
                <w:szCs w:val="24"/>
                <w:u w:val="single"/>
              </w:rPr>
              <w:t>0.54</w:t>
            </w:r>
          </w:p>
        </w:tc>
      </w:tr>
      <w:tr w:rsidR="00DB1AEE" w:rsidRPr="00DB1AEE" w14:paraId="1B4D2CA0" w14:textId="77777777" w:rsidTr="00FC1832">
        <w:trPr>
          <w:trHeight w:val="19"/>
        </w:trPr>
        <w:tc>
          <w:tcPr>
            <w:tcW w:w="2339" w:type="dxa"/>
          </w:tcPr>
          <w:p w14:paraId="32E531E1" w14:textId="77777777" w:rsidR="00DB1AEE" w:rsidRPr="00DB1AEE" w:rsidRDefault="00DB1AEE" w:rsidP="00DB1AEE">
            <w:pPr>
              <w:pBdr>
                <w:top w:val="nil"/>
                <w:left w:val="nil"/>
                <w:bottom w:val="nil"/>
                <w:right w:val="nil"/>
                <w:between w:val="nil"/>
              </w:pBdr>
              <w:suppressAutoHyphens/>
              <w:spacing w:before="20" w:after="20"/>
              <w:jc w:val="center"/>
              <w:rPr>
                <w:b/>
                <w:bCs/>
                <w:i/>
                <w:szCs w:val="24"/>
                <w:u w:val="single"/>
              </w:rPr>
            </w:pPr>
          </w:p>
        </w:tc>
        <w:tc>
          <w:tcPr>
            <w:tcW w:w="7842" w:type="dxa"/>
            <w:gridSpan w:val="4"/>
            <w:tcMar>
              <w:top w:w="60" w:type="dxa"/>
              <w:left w:w="40" w:type="dxa"/>
              <w:bottom w:w="40" w:type="dxa"/>
              <w:right w:w="40" w:type="dxa"/>
            </w:tcMar>
            <w:vAlign w:val="center"/>
          </w:tcPr>
          <w:p w14:paraId="1DB747E0" w14:textId="77777777" w:rsidR="00DB1AEE" w:rsidRPr="00DB1AEE" w:rsidRDefault="00DB1AEE" w:rsidP="00DB1AEE">
            <w:pPr>
              <w:pBdr>
                <w:top w:val="nil"/>
                <w:left w:val="nil"/>
                <w:bottom w:val="nil"/>
                <w:right w:val="nil"/>
                <w:between w:val="nil"/>
              </w:pBdr>
              <w:suppressAutoHyphens/>
              <w:spacing w:before="20" w:after="20"/>
              <w:jc w:val="center"/>
              <w:rPr>
                <w:szCs w:val="24"/>
                <w:u w:val="single"/>
              </w:rPr>
            </w:pPr>
            <w:r w:rsidRPr="00DB1AEE">
              <w:rPr>
                <w:b/>
                <w:bCs/>
                <w:i/>
                <w:szCs w:val="24"/>
                <w:u w:val="single"/>
              </w:rPr>
              <w:t>Skylights</w:t>
            </w:r>
          </w:p>
        </w:tc>
      </w:tr>
      <w:tr w:rsidR="00DB1AEE" w:rsidRPr="00DB1AEE" w14:paraId="09E9400D" w14:textId="77777777" w:rsidTr="00FC1832">
        <w:trPr>
          <w:trHeight w:val="19"/>
        </w:trPr>
        <w:tc>
          <w:tcPr>
            <w:tcW w:w="2339" w:type="dxa"/>
            <w:tcMar>
              <w:top w:w="60" w:type="dxa"/>
              <w:left w:w="40" w:type="dxa"/>
              <w:bottom w:w="40" w:type="dxa"/>
              <w:right w:w="40" w:type="dxa"/>
            </w:tcMar>
            <w:vAlign w:val="center"/>
          </w:tcPr>
          <w:p w14:paraId="7AB5BE34" w14:textId="77777777" w:rsidR="00DB1AEE" w:rsidRPr="00DB1AEE" w:rsidRDefault="00DB1AEE" w:rsidP="00DB1AEE">
            <w:pPr>
              <w:pBdr>
                <w:top w:val="nil"/>
                <w:left w:val="nil"/>
                <w:bottom w:val="nil"/>
                <w:right w:val="nil"/>
                <w:between w:val="nil"/>
              </w:pBdr>
              <w:suppressAutoHyphens/>
              <w:spacing w:before="40" w:after="60"/>
              <w:rPr>
                <w:szCs w:val="24"/>
                <w:u w:val="single"/>
              </w:rPr>
            </w:pPr>
            <w:r w:rsidRPr="00DB1AEE">
              <w:rPr>
                <w:i/>
                <w:szCs w:val="24"/>
                <w:u w:val="single"/>
              </w:rPr>
              <w:t>U</w:t>
            </w:r>
            <w:r w:rsidRPr="00DB1AEE">
              <w:rPr>
                <w:szCs w:val="24"/>
                <w:u w:val="single"/>
              </w:rPr>
              <w:t>-factor</w:t>
            </w:r>
          </w:p>
        </w:tc>
        <w:tc>
          <w:tcPr>
            <w:tcW w:w="1841" w:type="dxa"/>
            <w:tcMar>
              <w:top w:w="60" w:type="dxa"/>
              <w:left w:w="40" w:type="dxa"/>
              <w:bottom w:w="40" w:type="dxa"/>
              <w:right w:w="40" w:type="dxa"/>
            </w:tcMar>
            <w:vAlign w:val="center"/>
          </w:tcPr>
          <w:p w14:paraId="294EC70E" w14:textId="77777777" w:rsidR="00DB1AEE" w:rsidRPr="00DB1AEE" w:rsidRDefault="00DB1AEE" w:rsidP="00DB1AEE">
            <w:pPr>
              <w:pBdr>
                <w:top w:val="nil"/>
                <w:left w:val="nil"/>
                <w:bottom w:val="nil"/>
                <w:right w:val="nil"/>
                <w:between w:val="nil"/>
              </w:pBdr>
              <w:suppressAutoHyphens/>
              <w:spacing w:before="20" w:after="20"/>
              <w:jc w:val="center"/>
              <w:rPr>
                <w:strike/>
                <w:szCs w:val="24"/>
                <w:u w:val="single"/>
              </w:rPr>
            </w:pPr>
            <w:r w:rsidRPr="00DB1AEE">
              <w:rPr>
                <w:szCs w:val="24"/>
                <w:u w:val="single"/>
              </w:rPr>
              <w:t>U-0.48</w:t>
            </w:r>
          </w:p>
        </w:tc>
        <w:tc>
          <w:tcPr>
            <w:tcW w:w="1398" w:type="dxa"/>
          </w:tcPr>
          <w:p w14:paraId="4E3728CB" w14:textId="77777777" w:rsidR="00DB1AEE" w:rsidRPr="00DB1AEE" w:rsidRDefault="00DB1AEE" w:rsidP="00DB1AEE">
            <w:pPr>
              <w:pBdr>
                <w:top w:val="nil"/>
                <w:left w:val="nil"/>
                <w:bottom w:val="nil"/>
                <w:right w:val="nil"/>
                <w:between w:val="nil"/>
              </w:pBdr>
              <w:suppressAutoHyphens/>
              <w:spacing w:before="20" w:after="20"/>
              <w:jc w:val="center"/>
              <w:rPr>
                <w:szCs w:val="24"/>
                <w:u w:val="single"/>
              </w:rPr>
            </w:pPr>
          </w:p>
        </w:tc>
        <w:tc>
          <w:tcPr>
            <w:tcW w:w="2557" w:type="dxa"/>
          </w:tcPr>
          <w:p w14:paraId="3524E33E" w14:textId="77777777" w:rsidR="00DB1AEE" w:rsidRPr="00DB1AEE" w:rsidRDefault="00DB1AEE" w:rsidP="00DB1AEE">
            <w:pPr>
              <w:pBdr>
                <w:top w:val="nil"/>
                <w:left w:val="nil"/>
                <w:bottom w:val="nil"/>
                <w:right w:val="nil"/>
                <w:between w:val="nil"/>
              </w:pBdr>
              <w:suppressAutoHyphens/>
              <w:spacing w:before="20" w:after="20"/>
              <w:jc w:val="center"/>
              <w:rPr>
                <w:szCs w:val="24"/>
                <w:u w:val="single"/>
              </w:rPr>
            </w:pPr>
            <w:r w:rsidRPr="00DB1AEE">
              <w:rPr>
                <w:szCs w:val="24"/>
                <w:u w:val="single"/>
              </w:rPr>
              <w:t>U-0.48</w:t>
            </w:r>
          </w:p>
        </w:tc>
        <w:tc>
          <w:tcPr>
            <w:tcW w:w="2046" w:type="dxa"/>
          </w:tcPr>
          <w:p w14:paraId="632E7FC9" w14:textId="77777777" w:rsidR="00DB1AEE" w:rsidRPr="00DB1AEE" w:rsidRDefault="00DB1AEE" w:rsidP="00DB1AEE">
            <w:pPr>
              <w:pBdr>
                <w:top w:val="nil"/>
                <w:left w:val="nil"/>
                <w:bottom w:val="nil"/>
                <w:right w:val="nil"/>
                <w:between w:val="nil"/>
              </w:pBdr>
              <w:suppressAutoHyphens/>
              <w:spacing w:before="20" w:after="20"/>
              <w:jc w:val="center"/>
              <w:rPr>
                <w:szCs w:val="24"/>
                <w:u w:val="single"/>
              </w:rPr>
            </w:pPr>
            <w:r w:rsidRPr="00DB1AEE">
              <w:rPr>
                <w:szCs w:val="24"/>
                <w:u w:val="single"/>
              </w:rPr>
              <w:t>U-0.48</w:t>
            </w:r>
          </w:p>
        </w:tc>
      </w:tr>
      <w:tr w:rsidR="00DB1AEE" w:rsidRPr="00DB1AEE" w14:paraId="0BAC0B56" w14:textId="77777777" w:rsidTr="00FC1832">
        <w:trPr>
          <w:trHeight w:val="19"/>
        </w:trPr>
        <w:tc>
          <w:tcPr>
            <w:tcW w:w="2339" w:type="dxa"/>
            <w:tcMar>
              <w:top w:w="60" w:type="dxa"/>
              <w:left w:w="40" w:type="dxa"/>
              <w:bottom w:w="40" w:type="dxa"/>
              <w:right w:w="40" w:type="dxa"/>
            </w:tcMar>
            <w:vAlign w:val="center"/>
          </w:tcPr>
          <w:p w14:paraId="544AFA21" w14:textId="77777777" w:rsidR="00DB1AEE" w:rsidRPr="00DB1AEE" w:rsidRDefault="00DB1AEE" w:rsidP="00DB1AEE">
            <w:pPr>
              <w:pBdr>
                <w:top w:val="nil"/>
                <w:left w:val="nil"/>
                <w:bottom w:val="nil"/>
                <w:right w:val="nil"/>
                <w:between w:val="nil"/>
              </w:pBdr>
              <w:suppressAutoHyphens/>
              <w:spacing w:before="40" w:after="60"/>
              <w:rPr>
                <w:szCs w:val="24"/>
                <w:u w:val="single"/>
                <w:vertAlign w:val="superscript"/>
              </w:rPr>
            </w:pPr>
            <w:r w:rsidRPr="00DB1AEE">
              <w:rPr>
                <w:szCs w:val="24"/>
                <w:u w:val="single"/>
              </w:rPr>
              <w:t>SHGC</w:t>
            </w:r>
            <w:r w:rsidRPr="00DB1AEE">
              <w:rPr>
                <w:szCs w:val="24"/>
                <w:u w:val="single"/>
                <w:vertAlign w:val="superscript"/>
              </w:rPr>
              <w:t>b</w:t>
            </w:r>
          </w:p>
        </w:tc>
        <w:tc>
          <w:tcPr>
            <w:tcW w:w="1841" w:type="dxa"/>
            <w:tcMar>
              <w:top w:w="60" w:type="dxa"/>
              <w:left w:w="40" w:type="dxa"/>
              <w:bottom w:w="40" w:type="dxa"/>
              <w:right w:w="40" w:type="dxa"/>
            </w:tcMar>
            <w:vAlign w:val="center"/>
          </w:tcPr>
          <w:p w14:paraId="5B6AA1CC" w14:textId="77777777" w:rsidR="00DB1AEE" w:rsidRPr="00DB1AEE" w:rsidRDefault="00DB1AEE" w:rsidP="00DB1AEE">
            <w:pPr>
              <w:pBdr>
                <w:top w:val="nil"/>
                <w:left w:val="nil"/>
                <w:bottom w:val="nil"/>
                <w:right w:val="nil"/>
                <w:between w:val="nil"/>
              </w:pBdr>
              <w:suppressAutoHyphens/>
              <w:spacing w:before="20" w:after="20"/>
              <w:jc w:val="center"/>
              <w:rPr>
                <w:strike/>
                <w:szCs w:val="24"/>
                <w:u w:val="single"/>
              </w:rPr>
            </w:pPr>
            <w:r w:rsidRPr="00DB1AEE">
              <w:rPr>
                <w:szCs w:val="24"/>
                <w:u w:val="single"/>
              </w:rPr>
              <w:t>0.38</w:t>
            </w:r>
          </w:p>
        </w:tc>
        <w:tc>
          <w:tcPr>
            <w:tcW w:w="1398" w:type="dxa"/>
          </w:tcPr>
          <w:p w14:paraId="24CDF8D6" w14:textId="77777777" w:rsidR="00DB1AEE" w:rsidRPr="00DB1AEE" w:rsidRDefault="00DB1AEE" w:rsidP="00DB1AEE">
            <w:pPr>
              <w:pBdr>
                <w:top w:val="nil"/>
                <w:left w:val="nil"/>
                <w:bottom w:val="nil"/>
                <w:right w:val="nil"/>
                <w:between w:val="nil"/>
              </w:pBdr>
              <w:suppressAutoHyphens/>
              <w:spacing w:before="20" w:after="20"/>
              <w:jc w:val="center"/>
              <w:rPr>
                <w:szCs w:val="24"/>
                <w:u w:val="single"/>
              </w:rPr>
            </w:pPr>
          </w:p>
        </w:tc>
        <w:tc>
          <w:tcPr>
            <w:tcW w:w="2557" w:type="dxa"/>
          </w:tcPr>
          <w:p w14:paraId="0CCFE889" w14:textId="77777777" w:rsidR="00DB1AEE" w:rsidRPr="00DB1AEE" w:rsidRDefault="00DB1AEE" w:rsidP="00DB1AEE">
            <w:pPr>
              <w:pBdr>
                <w:top w:val="nil"/>
                <w:left w:val="nil"/>
                <w:bottom w:val="nil"/>
                <w:right w:val="nil"/>
                <w:between w:val="nil"/>
              </w:pBdr>
              <w:suppressAutoHyphens/>
              <w:spacing w:before="20" w:after="20"/>
              <w:jc w:val="center"/>
              <w:rPr>
                <w:szCs w:val="24"/>
                <w:u w:val="single"/>
              </w:rPr>
            </w:pPr>
            <w:r w:rsidRPr="00DB1AEE">
              <w:rPr>
                <w:szCs w:val="24"/>
                <w:u w:val="single"/>
              </w:rPr>
              <w:t>0.38</w:t>
            </w:r>
          </w:p>
        </w:tc>
        <w:tc>
          <w:tcPr>
            <w:tcW w:w="2046" w:type="dxa"/>
          </w:tcPr>
          <w:p w14:paraId="1F188B7D" w14:textId="77777777" w:rsidR="00DB1AEE" w:rsidRPr="00DB1AEE" w:rsidRDefault="00DB1AEE" w:rsidP="00DB1AEE">
            <w:pPr>
              <w:pBdr>
                <w:top w:val="nil"/>
                <w:left w:val="nil"/>
                <w:bottom w:val="nil"/>
                <w:right w:val="nil"/>
                <w:between w:val="nil"/>
              </w:pBdr>
              <w:suppressAutoHyphens/>
              <w:spacing w:before="20" w:after="20"/>
              <w:jc w:val="center"/>
              <w:rPr>
                <w:szCs w:val="24"/>
                <w:u w:val="single"/>
              </w:rPr>
            </w:pPr>
            <w:r w:rsidRPr="00DB1AEE">
              <w:rPr>
                <w:szCs w:val="24"/>
                <w:u w:val="single"/>
              </w:rPr>
              <w:t>0.38</w:t>
            </w:r>
          </w:p>
        </w:tc>
      </w:tr>
    </w:tbl>
    <w:p w14:paraId="623B9C4F" w14:textId="77777777" w:rsidR="00DB1AEE" w:rsidRPr="00DB1AEE" w:rsidRDefault="00DB1AEE" w:rsidP="00DB1AEE">
      <w:pPr>
        <w:widowControl w:val="0"/>
        <w:numPr>
          <w:ilvl w:val="0"/>
          <w:numId w:val="59"/>
        </w:numPr>
        <w:pBdr>
          <w:top w:val="nil"/>
          <w:left w:val="nil"/>
          <w:bottom w:val="nil"/>
          <w:right w:val="nil"/>
          <w:between w:val="nil"/>
        </w:pBdr>
        <w:suppressAutoHyphens/>
        <w:ind w:left="648" w:hanging="288"/>
        <w:jc w:val="left"/>
        <w:rPr>
          <w:szCs w:val="24"/>
          <w:u w:val="single"/>
        </w:rPr>
      </w:pPr>
      <w:r w:rsidRPr="00DB1AEE">
        <w:rPr>
          <w:szCs w:val="24"/>
          <w:u w:val="single"/>
        </w:rPr>
        <w:t>U-factor shall be rated in accordance with NFRC 100. U-factor shall reflect project-specific sizes, and include framing components plus glazing. SHGC shall be rated in accordance with NRFC 200.</w:t>
      </w:r>
    </w:p>
    <w:p w14:paraId="23E87A23" w14:textId="77777777" w:rsidR="00DB1AEE" w:rsidRPr="00DB1AEE" w:rsidRDefault="00DB1AEE" w:rsidP="00DB1AEE">
      <w:pPr>
        <w:numPr>
          <w:ilvl w:val="0"/>
          <w:numId w:val="59"/>
        </w:numPr>
        <w:suppressAutoHyphens/>
        <w:ind w:left="648" w:hanging="288"/>
        <w:contextualSpacing/>
        <w:jc w:val="left"/>
        <w:rPr>
          <w:szCs w:val="24"/>
          <w:u w:val="single"/>
        </w:rPr>
      </w:pPr>
      <w:r w:rsidRPr="00DB1AEE">
        <w:rPr>
          <w:szCs w:val="24"/>
          <w:u w:val="single"/>
        </w:rPr>
        <w:t xml:space="preserve">SHGC shall reflect project-specific sizes, and include framing components plus glazing. SHGC of the center-of-glass shall be an acceptable alternative for determining compliance with the SHGC requirements for the overall fenestration area. </w:t>
      </w:r>
    </w:p>
    <w:p w14:paraId="28A258B9" w14:textId="77777777" w:rsidR="00DB1AEE" w:rsidRPr="00DB1AEE" w:rsidRDefault="00DB1AEE" w:rsidP="00DB1AEE">
      <w:pPr>
        <w:widowControl w:val="0"/>
        <w:numPr>
          <w:ilvl w:val="0"/>
          <w:numId w:val="59"/>
        </w:numPr>
        <w:pBdr>
          <w:top w:val="nil"/>
          <w:left w:val="nil"/>
          <w:bottom w:val="nil"/>
          <w:right w:val="nil"/>
          <w:between w:val="nil"/>
        </w:pBdr>
        <w:suppressAutoHyphens/>
        <w:ind w:left="648" w:hanging="288"/>
        <w:jc w:val="left"/>
        <w:rPr>
          <w:szCs w:val="24"/>
          <w:u w:val="single"/>
        </w:rPr>
      </w:pPr>
      <w:r w:rsidRPr="00DB1AEE">
        <w:rPr>
          <w:szCs w:val="24"/>
          <w:u w:val="single"/>
        </w:rPr>
        <w:t xml:space="preserve">Fixed fenestration shall include glazed curtain walls, pre-fabricated storefronts and factory assembled fixed window units. </w:t>
      </w:r>
    </w:p>
    <w:p w14:paraId="77327A09" w14:textId="77777777" w:rsidR="00DB1AEE" w:rsidRPr="00DB1AEE" w:rsidRDefault="00DB1AEE" w:rsidP="00DB1AEE">
      <w:pPr>
        <w:widowControl w:val="0"/>
        <w:numPr>
          <w:ilvl w:val="0"/>
          <w:numId w:val="59"/>
        </w:numPr>
        <w:pBdr>
          <w:top w:val="nil"/>
          <w:left w:val="nil"/>
          <w:bottom w:val="nil"/>
          <w:right w:val="nil"/>
          <w:between w:val="nil"/>
        </w:pBdr>
        <w:suppressAutoHyphens/>
        <w:ind w:left="648" w:hanging="288"/>
        <w:jc w:val="left"/>
        <w:rPr>
          <w:szCs w:val="24"/>
          <w:u w:val="single"/>
        </w:rPr>
      </w:pPr>
      <w:r w:rsidRPr="00DB1AEE">
        <w:rPr>
          <w:szCs w:val="24"/>
          <w:u w:val="single"/>
        </w:rPr>
        <w:t>Where a portion of the fenestration frame is installed at or above 95 feet above grade, the unit may meet the requirements for 95 feet and above.</w:t>
      </w:r>
    </w:p>
    <w:p w14:paraId="66809A63" w14:textId="77777777" w:rsidR="00DB1AEE" w:rsidRPr="00DB1AEE" w:rsidRDefault="00DB1AEE" w:rsidP="00DB1AEE">
      <w:pPr>
        <w:widowControl w:val="0"/>
        <w:autoSpaceDE w:val="0"/>
        <w:autoSpaceDN w:val="0"/>
        <w:adjustRightInd w:val="0"/>
        <w:spacing w:before="130" w:after="130"/>
        <w:ind w:left="360"/>
        <w:rPr>
          <w:b/>
          <w:bCs/>
          <w:iCs/>
          <w:szCs w:val="24"/>
          <w:u w:val="single"/>
        </w:rPr>
      </w:pPr>
    </w:p>
    <w:p w14:paraId="6EAFB030" w14:textId="77777777" w:rsidR="00DB1AEE" w:rsidRPr="00DB1AEE" w:rsidRDefault="00DB1AEE" w:rsidP="00DB1AEE">
      <w:pPr>
        <w:widowControl w:val="0"/>
        <w:autoSpaceDE w:val="0"/>
        <w:autoSpaceDN w:val="0"/>
        <w:adjustRightInd w:val="0"/>
        <w:spacing w:before="130" w:after="130"/>
        <w:rPr>
          <w:bCs/>
          <w:iCs/>
          <w:position w:val="16"/>
          <w:szCs w:val="24"/>
          <w:u w:val="single"/>
        </w:rPr>
      </w:pPr>
      <w:r w:rsidRPr="00DB1AEE">
        <w:rPr>
          <w:b/>
          <w:bCs/>
          <w:iCs/>
          <w:szCs w:val="24"/>
          <w:u w:val="single"/>
        </w:rPr>
        <w:t xml:space="preserve">Section C402.5.2 Minimum skylight fenestration area.  </w:t>
      </w:r>
    </w:p>
    <w:p w14:paraId="650714AD" w14:textId="77777777" w:rsidR="00DB1AEE" w:rsidRPr="00DB1AEE" w:rsidRDefault="00DB1AEE" w:rsidP="00DB1AEE">
      <w:pPr>
        <w:suppressAutoHyphens/>
        <w:spacing w:before="130" w:after="130"/>
        <w:rPr>
          <w:rFonts w:eastAsia="MS Mincho"/>
          <w:bCs/>
          <w:szCs w:val="24"/>
          <w:u w:val="single"/>
        </w:rPr>
      </w:pPr>
      <w:r w:rsidRPr="00DB1AEE">
        <w:rPr>
          <w:rFonts w:eastAsia="MS Mincho"/>
          <w:bCs/>
          <w:szCs w:val="24"/>
          <w:u w:val="single"/>
        </w:rPr>
        <w:t>Section C402.5.2 -Revise the first paragraph of Section C402.5.2 to read as follows:</w:t>
      </w:r>
    </w:p>
    <w:p w14:paraId="5BB118C6" w14:textId="77777777" w:rsidR="00DB1AEE" w:rsidRPr="00DB1AEE" w:rsidRDefault="00DB1AEE" w:rsidP="00DB1AEE">
      <w:pPr>
        <w:widowControl w:val="0"/>
        <w:autoSpaceDE w:val="0"/>
        <w:autoSpaceDN w:val="0"/>
        <w:adjustRightInd w:val="0"/>
        <w:spacing w:before="130" w:after="130"/>
        <w:ind w:left="360"/>
        <w:jc w:val="left"/>
        <w:rPr>
          <w:iCs/>
          <w:szCs w:val="24"/>
          <w:u w:val="single"/>
        </w:rPr>
      </w:pPr>
      <w:r w:rsidRPr="00DB1AEE">
        <w:rPr>
          <w:b/>
          <w:bCs/>
          <w:iCs/>
          <w:szCs w:val="24"/>
          <w:u w:val="single"/>
        </w:rPr>
        <w:t xml:space="preserve">C402.5.2 Minimum skylight fenestration area.  </w:t>
      </w:r>
      <w:r w:rsidRPr="00DB1AEE">
        <w:rPr>
          <w:iCs/>
          <w:szCs w:val="24"/>
          <w:u w:val="single"/>
        </w:rPr>
        <w:t>Skylights shall be provided in enclosed spaces greater than 2,500 square feet (232 m2) in floor area, directly under a roof with not less than 75 percent of the ceiling area with a ceiling height greater than 15 feet (4572 mm), and used as an office, lobby, atrium, concourse, corridor, storage space, gymnasium/exercise center, convention center, automotive service area, space where manufacturing occurs, nonrefrigerated warehouse, retail store, distribution/sorting area, transportation depot, parking garage  , or workshop. The total toplit daylight zone shall be not less than half the floor area and shall comply with one of the following:</w:t>
      </w:r>
    </w:p>
    <w:p w14:paraId="34103B4C" w14:textId="77777777" w:rsidR="00DB1AEE" w:rsidRPr="00DB1AEE" w:rsidRDefault="00DB1AEE" w:rsidP="00DB1AEE">
      <w:pPr>
        <w:widowControl w:val="0"/>
        <w:autoSpaceDE w:val="0"/>
        <w:autoSpaceDN w:val="0"/>
        <w:adjustRightInd w:val="0"/>
        <w:spacing w:before="130" w:after="130"/>
        <w:rPr>
          <w:position w:val="16"/>
          <w:u w:val="single"/>
        </w:rPr>
      </w:pPr>
      <w:r w:rsidRPr="00DB1AEE">
        <w:rPr>
          <w:b/>
          <w:bCs/>
          <w:u w:val="single"/>
        </w:rPr>
        <w:t xml:space="preserve">Section C402.5.3.4 Area-weighted U-factor.  </w:t>
      </w:r>
    </w:p>
    <w:p w14:paraId="6DBFA481" w14:textId="77777777" w:rsidR="00DB1AEE" w:rsidRPr="00DB1AEE" w:rsidRDefault="00DB1AEE" w:rsidP="00DB1AEE">
      <w:pPr>
        <w:suppressAutoHyphens/>
        <w:spacing w:before="130" w:after="130"/>
        <w:rPr>
          <w:rFonts w:eastAsia="MS Mincho"/>
          <w:bCs/>
          <w:szCs w:val="24"/>
          <w:u w:val="single"/>
        </w:rPr>
      </w:pPr>
      <w:r w:rsidRPr="00DB1AEE">
        <w:rPr>
          <w:rFonts w:eastAsia="MS Mincho"/>
          <w:bCs/>
          <w:szCs w:val="24"/>
          <w:u w:val="single"/>
        </w:rPr>
        <w:t>Section C402.5.3.4 -Revise Section C402.5.3.4 to read as follows:</w:t>
      </w:r>
    </w:p>
    <w:p w14:paraId="6C16D728" w14:textId="77777777" w:rsidR="00DB1AEE" w:rsidRPr="00DB1AEE" w:rsidRDefault="00DB1AEE" w:rsidP="00DB1AEE">
      <w:pPr>
        <w:suppressAutoHyphens/>
        <w:ind w:left="720"/>
        <w:jc w:val="left"/>
        <w:rPr>
          <w:b/>
          <w:bCs/>
          <w:szCs w:val="24"/>
          <w:u w:val="single"/>
        </w:rPr>
      </w:pPr>
      <w:r w:rsidRPr="00DB1AEE">
        <w:rPr>
          <w:b/>
          <w:bCs/>
          <w:szCs w:val="24"/>
          <w:u w:val="single"/>
        </w:rPr>
        <w:t xml:space="preserve">C402.5.3.4 Area-weighted U-factor. </w:t>
      </w:r>
      <w:r w:rsidRPr="00DB1AEE">
        <w:rPr>
          <w:szCs w:val="24"/>
          <w:u w:val="single"/>
        </w:rPr>
        <w:t xml:space="preserve"> An area-weighted average combining vertical fixed fenestration and vertical operable fenestration in accordance with Equation 4-4a shall be permitted to demonstrate compliance with the U-factor requirements for those categories in Table C402.5. Entrance door and skylight U-factors shall be permitted to be averaged separately by fenestration product category.  All U-factors shall be rated in accordance with NFRC 100. </w:t>
      </w:r>
    </w:p>
    <w:p w14:paraId="434901C2" w14:textId="77777777" w:rsidR="00DB1AEE" w:rsidRPr="00DB1AEE" w:rsidRDefault="00DB1AEE" w:rsidP="00DB1AEE">
      <w:pPr>
        <w:suppressAutoHyphens/>
        <w:ind w:left="864"/>
        <w:jc w:val="left"/>
        <w:rPr>
          <w:szCs w:val="24"/>
          <w:u w:val="single"/>
        </w:rPr>
      </w:pPr>
      <w:r w:rsidRPr="00DB1AEE">
        <w:rPr>
          <w:rFonts w:eastAsia="Arial Unicode MS"/>
          <w:szCs w:val="24"/>
          <w:u w:val="single"/>
        </w:rPr>
        <w:t>∑[(U1 * A1) … (Un * An)] ≤ (U</w:t>
      </w:r>
      <w:r w:rsidRPr="00DB1AEE">
        <w:rPr>
          <w:szCs w:val="24"/>
          <w:u w:val="single"/>
          <w:vertAlign w:val="subscript"/>
        </w:rPr>
        <w:t xml:space="preserve">fixed </w:t>
      </w:r>
      <w:r w:rsidRPr="00DB1AEE">
        <w:rPr>
          <w:szCs w:val="24"/>
          <w:u w:val="single"/>
        </w:rPr>
        <w:t>* A</w:t>
      </w:r>
      <w:r w:rsidRPr="00DB1AEE">
        <w:rPr>
          <w:szCs w:val="24"/>
          <w:u w:val="single"/>
          <w:vertAlign w:val="subscript"/>
        </w:rPr>
        <w:t>fixed</w:t>
      </w:r>
      <w:r w:rsidRPr="00DB1AEE">
        <w:rPr>
          <w:szCs w:val="24"/>
          <w:u w:val="single"/>
        </w:rPr>
        <w:t xml:space="preserve"> + U</w:t>
      </w:r>
      <w:r w:rsidRPr="00DB1AEE">
        <w:rPr>
          <w:szCs w:val="24"/>
          <w:u w:val="single"/>
          <w:vertAlign w:val="subscript"/>
        </w:rPr>
        <w:t>operable</w:t>
      </w:r>
      <w:r w:rsidRPr="00DB1AEE">
        <w:rPr>
          <w:szCs w:val="24"/>
          <w:u w:val="single"/>
        </w:rPr>
        <w:t xml:space="preserve"> * A</w:t>
      </w:r>
      <w:r w:rsidRPr="00DB1AEE">
        <w:rPr>
          <w:szCs w:val="24"/>
          <w:u w:val="single"/>
          <w:vertAlign w:val="subscript"/>
        </w:rPr>
        <w:t>operable</w:t>
      </w:r>
      <w:r w:rsidRPr="00DB1AEE">
        <w:rPr>
          <w:szCs w:val="24"/>
          <w:u w:val="single"/>
        </w:rPr>
        <w:t xml:space="preserve">) </w:t>
      </w:r>
      <w:r w:rsidRPr="00DB1AEE">
        <w:rPr>
          <w:szCs w:val="24"/>
          <w:u w:val="single"/>
        </w:rPr>
        <w:tab/>
        <w:t xml:space="preserve">     (Equation 4-4a)</w:t>
      </w:r>
    </w:p>
    <w:p w14:paraId="62D53C6D" w14:textId="77777777" w:rsidR="00DB1AEE" w:rsidRPr="00DB1AEE" w:rsidRDefault="00DB1AEE" w:rsidP="00DB1AEE">
      <w:pPr>
        <w:suppressAutoHyphens/>
        <w:ind w:left="1008"/>
        <w:jc w:val="left"/>
        <w:rPr>
          <w:szCs w:val="24"/>
          <w:u w:val="single"/>
        </w:rPr>
      </w:pPr>
      <w:r w:rsidRPr="00DB1AEE">
        <w:rPr>
          <w:szCs w:val="24"/>
          <w:u w:val="single"/>
        </w:rPr>
        <w:t>where:</w:t>
      </w:r>
    </w:p>
    <w:p w14:paraId="297C1058" w14:textId="77777777" w:rsidR="00DB1AEE" w:rsidRPr="00DB1AEE" w:rsidRDefault="00DB1AEE" w:rsidP="00DB1AEE">
      <w:pPr>
        <w:suppressAutoHyphens/>
        <w:ind w:left="1152"/>
        <w:jc w:val="left"/>
        <w:rPr>
          <w:szCs w:val="24"/>
          <w:u w:val="single"/>
        </w:rPr>
      </w:pPr>
      <w:r w:rsidRPr="00DB1AEE">
        <w:rPr>
          <w:szCs w:val="24"/>
          <w:u w:val="single"/>
        </w:rPr>
        <w:t>U1 = rated U-factor of the 1st vertical fenestration assembly</w:t>
      </w:r>
    </w:p>
    <w:p w14:paraId="178BC548" w14:textId="77777777" w:rsidR="00DB1AEE" w:rsidRPr="00DB1AEE" w:rsidRDefault="00DB1AEE" w:rsidP="00DB1AEE">
      <w:pPr>
        <w:suppressAutoHyphens/>
        <w:ind w:left="1152"/>
        <w:jc w:val="left"/>
        <w:rPr>
          <w:szCs w:val="24"/>
          <w:u w:val="single"/>
        </w:rPr>
      </w:pPr>
      <w:r w:rsidRPr="00DB1AEE">
        <w:rPr>
          <w:szCs w:val="24"/>
          <w:u w:val="single"/>
        </w:rPr>
        <w:t>A1 = area of the 1st vertical fenestration assembly</w:t>
      </w:r>
    </w:p>
    <w:p w14:paraId="681C0F4E" w14:textId="77777777" w:rsidR="00DB1AEE" w:rsidRPr="00DB1AEE" w:rsidRDefault="00DB1AEE" w:rsidP="00DB1AEE">
      <w:pPr>
        <w:suppressAutoHyphens/>
        <w:ind w:left="1152"/>
        <w:jc w:val="left"/>
        <w:rPr>
          <w:szCs w:val="24"/>
          <w:u w:val="single"/>
        </w:rPr>
      </w:pPr>
      <w:r w:rsidRPr="00DB1AEE">
        <w:rPr>
          <w:szCs w:val="24"/>
          <w:u w:val="single"/>
        </w:rPr>
        <w:t>Un = rated U-factor of the nth vertical fenestration assembly</w:t>
      </w:r>
    </w:p>
    <w:p w14:paraId="17840D5D" w14:textId="77777777" w:rsidR="00DB1AEE" w:rsidRPr="00DB1AEE" w:rsidRDefault="00DB1AEE" w:rsidP="00DB1AEE">
      <w:pPr>
        <w:suppressAutoHyphens/>
        <w:ind w:left="1152"/>
        <w:jc w:val="left"/>
        <w:rPr>
          <w:szCs w:val="24"/>
          <w:u w:val="single"/>
        </w:rPr>
      </w:pPr>
      <w:r w:rsidRPr="00DB1AEE">
        <w:rPr>
          <w:szCs w:val="24"/>
          <w:u w:val="single"/>
        </w:rPr>
        <w:t>An = area of the nth vertical fenestration assembly</w:t>
      </w:r>
    </w:p>
    <w:p w14:paraId="40015D16" w14:textId="77777777" w:rsidR="00DB1AEE" w:rsidRPr="00DB1AEE" w:rsidRDefault="00DB1AEE" w:rsidP="00DB1AEE">
      <w:pPr>
        <w:suppressAutoHyphens/>
        <w:ind w:left="1152"/>
        <w:jc w:val="left"/>
        <w:rPr>
          <w:szCs w:val="24"/>
          <w:u w:val="single"/>
        </w:rPr>
      </w:pPr>
      <w:r w:rsidRPr="00DB1AEE">
        <w:rPr>
          <w:szCs w:val="24"/>
          <w:u w:val="single"/>
        </w:rPr>
        <w:t>U</w:t>
      </w:r>
      <w:r w:rsidRPr="00DB1AEE">
        <w:rPr>
          <w:szCs w:val="24"/>
          <w:u w:val="single"/>
          <w:vertAlign w:val="subscript"/>
        </w:rPr>
        <w:t xml:space="preserve">fixed </w:t>
      </w:r>
      <w:r w:rsidRPr="00DB1AEE">
        <w:rPr>
          <w:szCs w:val="24"/>
          <w:u w:val="single"/>
        </w:rPr>
        <w:t xml:space="preserve">= U-factor for vertical fixed fenestration in Table C402.4  </w:t>
      </w:r>
    </w:p>
    <w:p w14:paraId="0F5CE698" w14:textId="77777777" w:rsidR="00DB1AEE" w:rsidRPr="00DB1AEE" w:rsidRDefault="00DB1AEE" w:rsidP="00DB1AEE">
      <w:pPr>
        <w:suppressAutoHyphens/>
        <w:ind w:left="1152"/>
        <w:jc w:val="left"/>
        <w:rPr>
          <w:szCs w:val="24"/>
          <w:u w:val="single"/>
        </w:rPr>
      </w:pPr>
      <w:r w:rsidRPr="00DB1AEE">
        <w:rPr>
          <w:szCs w:val="24"/>
          <w:u w:val="single"/>
        </w:rPr>
        <w:t>A</w:t>
      </w:r>
      <w:r w:rsidRPr="00DB1AEE">
        <w:rPr>
          <w:szCs w:val="24"/>
          <w:u w:val="single"/>
          <w:vertAlign w:val="subscript"/>
        </w:rPr>
        <w:t xml:space="preserve">fixed </w:t>
      </w:r>
      <w:r w:rsidRPr="00DB1AEE">
        <w:rPr>
          <w:szCs w:val="24"/>
          <w:u w:val="single"/>
        </w:rPr>
        <w:t xml:space="preserve">= total area of the vertical fixed fenestration assemblies </w:t>
      </w:r>
    </w:p>
    <w:p w14:paraId="7A070146" w14:textId="77777777" w:rsidR="00DB1AEE" w:rsidRPr="00DB1AEE" w:rsidRDefault="00DB1AEE" w:rsidP="00DB1AEE">
      <w:pPr>
        <w:suppressAutoHyphens/>
        <w:ind w:left="1152"/>
        <w:jc w:val="left"/>
        <w:rPr>
          <w:szCs w:val="24"/>
          <w:u w:val="single"/>
        </w:rPr>
      </w:pPr>
      <w:r w:rsidRPr="00DB1AEE">
        <w:rPr>
          <w:szCs w:val="24"/>
          <w:u w:val="single"/>
        </w:rPr>
        <w:t>U</w:t>
      </w:r>
      <w:r w:rsidRPr="00DB1AEE">
        <w:rPr>
          <w:szCs w:val="24"/>
          <w:u w:val="single"/>
          <w:vertAlign w:val="subscript"/>
        </w:rPr>
        <w:t>operable</w:t>
      </w:r>
      <w:r w:rsidRPr="00DB1AEE">
        <w:rPr>
          <w:szCs w:val="24"/>
          <w:u w:val="single"/>
        </w:rPr>
        <w:t xml:space="preserve"> = U-factor for vertical operable fenestration in Table C402.4  </w:t>
      </w:r>
    </w:p>
    <w:p w14:paraId="79C8D323" w14:textId="77777777" w:rsidR="00DB1AEE" w:rsidRPr="00DB1AEE" w:rsidRDefault="00DB1AEE" w:rsidP="00DB1AEE">
      <w:pPr>
        <w:suppressAutoHyphens/>
        <w:ind w:left="1152"/>
        <w:jc w:val="left"/>
        <w:rPr>
          <w:u w:val="single"/>
        </w:rPr>
      </w:pPr>
      <w:r w:rsidRPr="00DB1AEE">
        <w:rPr>
          <w:u w:val="single"/>
        </w:rPr>
        <w:t xml:space="preserve"> A</w:t>
      </w:r>
      <w:r w:rsidRPr="00DB1AEE">
        <w:rPr>
          <w:u w:val="single"/>
          <w:vertAlign w:val="subscript"/>
        </w:rPr>
        <w:t>operable</w:t>
      </w:r>
      <w:r w:rsidRPr="00DB1AEE">
        <w:rPr>
          <w:u w:val="single"/>
        </w:rPr>
        <w:t xml:space="preserve"> = total area of the vertical operable fenestration assemblies.</w:t>
      </w:r>
    </w:p>
    <w:p w14:paraId="2858D788" w14:textId="77777777" w:rsidR="00DB1AEE" w:rsidRPr="00DB1AEE" w:rsidRDefault="00DB1AEE" w:rsidP="00DB1AEE">
      <w:pPr>
        <w:widowControl w:val="0"/>
        <w:autoSpaceDE w:val="0"/>
        <w:autoSpaceDN w:val="0"/>
        <w:adjustRightInd w:val="0"/>
        <w:spacing w:before="130" w:after="130"/>
        <w:ind w:left="360"/>
        <w:jc w:val="left"/>
        <w:rPr>
          <w:b/>
          <w:bCs/>
          <w:iCs/>
          <w:szCs w:val="24"/>
          <w:u w:val="single"/>
        </w:rPr>
      </w:pPr>
    </w:p>
    <w:p w14:paraId="735152F2" w14:textId="77777777" w:rsidR="00DB1AEE" w:rsidRPr="00DB1AEE" w:rsidRDefault="00DB1AEE" w:rsidP="00DB1AEE">
      <w:pPr>
        <w:widowControl w:val="0"/>
        <w:autoSpaceDE w:val="0"/>
        <w:autoSpaceDN w:val="0"/>
        <w:adjustRightInd w:val="0"/>
        <w:spacing w:before="130" w:after="130"/>
        <w:rPr>
          <w:bCs/>
          <w:iCs/>
          <w:position w:val="16"/>
          <w:szCs w:val="24"/>
          <w:u w:val="single"/>
        </w:rPr>
      </w:pPr>
      <w:r w:rsidRPr="00DB1AEE">
        <w:rPr>
          <w:b/>
          <w:bCs/>
          <w:iCs/>
          <w:szCs w:val="24"/>
          <w:u w:val="single"/>
        </w:rPr>
        <w:t xml:space="preserve">Section C402.6.2 Air leakage compliance.  </w:t>
      </w:r>
    </w:p>
    <w:p w14:paraId="11E80641" w14:textId="77777777" w:rsidR="00DB1AEE" w:rsidRPr="00DB1AEE" w:rsidRDefault="00DB1AEE" w:rsidP="00DB1AEE">
      <w:pPr>
        <w:suppressAutoHyphens/>
        <w:spacing w:before="130" w:after="130"/>
        <w:rPr>
          <w:rFonts w:eastAsia="MS Mincho"/>
          <w:bCs/>
          <w:szCs w:val="24"/>
          <w:u w:val="single"/>
        </w:rPr>
      </w:pPr>
      <w:r w:rsidRPr="00DB1AEE">
        <w:rPr>
          <w:rFonts w:eastAsia="MS Mincho"/>
          <w:bCs/>
          <w:szCs w:val="24"/>
          <w:u w:val="single"/>
        </w:rPr>
        <w:t>Section C402.6.2 -Delete Section C402.6.2, Section C402.6.2.1, Section C402.6.2.2,Section C402.6.2.3, Section C402.6.2.3.1 and Section C402.6.2.3.2 in their entirety and add new C402.6.2, Section C402.6.2.1, Section C402.6.2.2, Section C402.6.2.2.1 and Section C402.6.2.2.2 to read as follows:</w:t>
      </w:r>
    </w:p>
    <w:p w14:paraId="0D44944E" w14:textId="77777777" w:rsidR="00DB1AEE" w:rsidRPr="00DB1AEE" w:rsidRDefault="00DB1AEE" w:rsidP="00DB1AEE">
      <w:pPr>
        <w:pBdr>
          <w:top w:val="nil"/>
          <w:left w:val="nil"/>
          <w:bottom w:val="nil"/>
          <w:right w:val="nil"/>
          <w:between w:val="nil"/>
        </w:pBdr>
        <w:suppressAutoHyphens/>
        <w:ind w:left="360"/>
        <w:jc w:val="left"/>
        <w:rPr>
          <w:szCs w:val="24"/>
          <w:highlight w:val="white"/>
          <w:u w:val="single"/>
        </w:rPr>
      </w:pPr>
      <w:r w:rsidRPr="00DB1AEE">
        <w:rPr>
          <w:b/>
          <w:bCs/>
          <w:szCs w:val="24"/>
          <w:u w:val="single"/>
        </w:rPr>
        <w:t>C402.6.2 Air leakage compliance.</w:t>
      </w:r>
      <w:r w:rsidRPr="00DB1AEE">
        <w:rPr>
          <w:b/>
          <w:bCs/>
          <w:strike/>
          <w:szCs w:val="24"/>
          <w:u w:val="single"/>
        </w:rPr>
        <w:t xml:space="preserve"> </w:t>
      </w:r>
      <w:r w:rsidRPr="00DB1AEE">
        <w:rPr>
          <w:szCs w:val="24"/>
          <w:u w:val="single"/>
        </w:rPr>
        <w:t xml:space="preserve"> </w:t>
      </w:r>
      <w:r w:rsidRPr="00DB1AEE">
        <w:rPr>
          <w:strike/>
          <w:szCs w:val="24"/>
          <w:u w:val="single"/>
        </w:rPr>
        <w:t xml:space="preserve"> </w:t>
      </w:r>
      <w:r w:rsidRPr="00DB1AEE">
        <w:rPr>
          <w:szCs w:val="24"/>
          <w:highlight w:val="white"/>
          <w:u w:val="single"/>
        </w:rPr>
        <w:t xml:space="preserve">Air leakage of the building thermal envelope shall be tested by an approved third party in accordance with Section C402.6.2.1 and C402.6.2.2. The measured air leakage shall not be greater than </w:t>
      </w:r>
      <w:r w:rsidRPr="00DB1AEE">
        <w:rPr>
          <w:b/>
          <w:bCs/>
          <w:szCs w:val="24"/>
          <w:highlight w:val="white"/>
          <w:u w:val="single"/>
        </w:rPr>
        <w:t xml:space="preserve">0.35 </w:t>
      </w:r>
      <w:r w:rsidRPr="00DB1AEE">
        <w:rPr>
          <w:szCs w:val="24"/>
          <w:highlight w:val="white"/>
          <w:u w:val="single"/>
        </w:rPr>
        <w:t>cubic feet per minute per square foot</w:t>
      </w:r>
      <w:r w:rsidRPr="00DB1AEE">
        <w:rPr>
          <w:b/>
          <w:bCs/>
          <w:szCs w:val="24"/>
          <w:highlight w:val="white"/>
          <w:u w:val="single"/>
        </w:rPr>
        <w:t xml:space="preserve"> </w:t>
      </w:r>
      <w:r w:rsidRPr="00DB1AEE">
        <w:rPr>
          <w:szCs w:val="24"/>
          <w:highlight w:val="white"/>
          <w:u w:val="single"/>
        </w:rPr>
        <w:t>(1.0 L/s x m2) of the building thermal envelope area at a pressure differential of 0.3 inch water gauge (75 Pa) with the calculated building thermal envelope surface area being the sum of the above- and below-grade building thermal envelope.</w:t>
      </w:r>
    </w:p>
    <w:p w14:paraId="1AFA19A7" w14:textId="77777777" w:rsidR="00DB1AEE" w:rsidRPr="00DB1AEE" w:rsidRDefault="00DB1AEE" w:rsidP="00DB1AEE">
      <w:pPr>
        <w:suppressAutoHyphens/>
        <w:ind w:left="540"/>
        <w:jc w:val="left"/>
        <w:rPr>
          <w:szCs w:val="24"/>
          <w:u w:val="single"/>
        </w:rPr>
      </w:pPr>
      <w:r w:rsidRPr="00DB1AEE">
        <w:rPr>
          <w:b/>
          <w:bCs/>
          <w:szCs w:val="24"/>
          <w:u w:val="single"/>
        </w:rPr>
        <w:t xml:space="preserve">C402.6.2.1 Whole building test method and reporting. </w:t>
      </w:r>
      <w:r w:rsidRPr="00DB1AEE">
        <w:rPr>
          <w:szCs w:val="24"/>
          <w:u w:val="single"/>
        </w:rPr>
        <w:t xml:space="preserve"> The whole </w:t>
      </w:r>
      <w:r w:rsidRPr="00DB1AEE">
        <w:rPr>
          <w:i/>
          <w:iCs/>
          <w:szCs w:val="24"/>
          <w:u w:val="single"/>
        </w:rPr>
        <w:t>building  thermal envelope</w:t>
      </w:r>
      <w:r w:rsidRPr="00DB1AEE">
        <w:rPr>
          <w:szCs w:val="24"/>
          <w:u w:val="single"/>
        </w:rPr>
        <w:t xml:space="preserve"> shall be tested by an approved third party in accordance with ASTM E779, ASTM E1827, ASTM E3158 or an equivalent approved method. Air leakage shall be measured following a multi-point regression method and then averaged from depressurization and pressurization tests. A report that includes the tested surface area, floor area, air by volume, stories above grade, and air leakage rates shall be submitted to the building official and the building owner </w:t>
      </w:r>
    </w:p>
    <w:p w14:paraId="07B6E0AE" w14:textId="77777777" w:rsidR="00DB1AEE" w:rsidRPr="00DB1AEE" w:rsidRDefault="00DB1AEE" w:rsidP="00DB1AEE">
      <w:pPr>
        <w:suppressAutoHyphens/>
        <w:ind w:left="864"/>
        <w:jc w:val="left"/>
        <w:rPr>
          <w:b/>
          <w:szCs w:val="24"/>
          <w:u w:val="single"/>
        </w:rPr>
      </w:pPr>
      <w:r w:rsidRPr="00DB1AEE">
        <w:rPr>
          <w:b/>
          <w:szCs w:val="24"/>
          <w:u w:val="single"/>
        </w:rPr>
        <w:t>Exceptions:</w:t>
      </w:r>
    </w:p>
    <w:p w14:paraId="0DD631DB" w14:textId="77777777" w:rsidR="00DB1AEE" w:rsidRPr="00DB1AEE" w:rsidRDefault="00DB1AEE" w:rsidP="00DB1AEE">
      <w:pPr>
        <w:suppressAutoHyphens/>
        <w:ind w:left="1440" w:hanging="288"/>
        <w:jc w:val="left"/>
        <w:rPr>
          <w:szCs w:val="24"/>
          <w:u w:val="single"/>
        </w:rPr>
      </w:pPr>
      <w:r w:rsidRPr="00DB1AEE">
        <w:rPr>
          <w:szCs w:val="24"/>
          <w:u w:val="single"/>
        </w:rPr>
        <w:t xml:space="preserve"> 1.</w:t>
      </w:r>
      <w:r w:rsidRPr="00DB1AEE">
        <w:rPr>
          <w:szCs w:val="24"/>
          <w:u w:val="single"/>
        </w:rPr>
        <w:tab/>
        <w:t>For buildings greater than 50,000 square feet (4,645 m</w:t>
      </w:r>
      <w:r w:rsidRPr="00DB1AEE">
        <w:rPr>
          <w:szCs w:val="24"/>
          <w:u w:val="single"/>
          <w:vertAlign w:val="superscript"/>
        </w:rPr>
        <w:t>2</w:t>
      </w:r>
      <w:r w:rsidRPr="00DB1AEE">
        <w:rPr>
          <w:szCs w:val="24"/>
          <w:u w:val="single"/>
        </w:rPr>
        <w:t xml:space="preserve">), portions of the building shall be permitted to be tested following the procedures for a guarded test in ASTM E3158 and the measured air leakage shall be area-weighted by the surface areas of the building thermal envelope in each portion. The weighted average tested air leakage shall not be greater than the whole building leakage limit. The following portions of the building shall be tested: </w:t>
      </w:r>
    </w:p>
    <w:p w14:paraId="6D434C56" w14:textId="77777777" w:rsidR="00DB1AEE" w:rsidRPr="00DB1AEE" w:rsidRDefault="00DB1AEE" w:rsidP="00DB1AEE">
      <w:pPr>
        <w:suppressAutoHyphens/>
        <w:ind w:left="1800" w:hanging="288"/>
        <w:jc w:val="left"/>
        <w:rPr>
          <w:szCs w:val="24"/>
          <w:u w:val="single"/>
        </w:rPr>
      </w:pPr>
      <w:r w:rsidRPr="00DB1AEE">
        <w:rPr>
          <w:szCs w:val="24"/>
          <w:u w:val="single"/>
        </w:rPr>
        <w:t>1.1</w:t>
      </w:r>
      <w:r w:rsidRPr="00DB1AEE">
        <w:rPr>
          <w:szCs w:val="24"/>
          <w:u w:val="single"/>
        </w:rPr>
        <w:tab/>
        <w:t xml:space="preserve">The entire building thermal envelope area of stories that have any conditioned spaces directly under a roof. </w:t>
      </w:r>
    </w:p>
    <w:p w14:paraId="49D47EC5" w14:textId="77777777" w:rsidR="00DB1AEE" w:rsidRPr="00DB1AEE" w:rsidRDefault="00DB1AEE" w:rsidP="00DB1AEE">
      <w:pPr>
        <w:suppressAutoHyphens/>
        <w:ind w:left="1800" w:hanging="288"/>
        <w:jc w:val="left"/>
        <w:rPr>
          <w:szCs w:val="24"/>
          <w:u w:val="single"/>
        </w:rPr>
      </w:pPr>
      <w:r w:rsidRPr="00DB1AEE">
        <w:rPr>
          <w:szCs w:val="24"/>
          <w:u w:val="single"/>
        </w:rPr>
        <w:t>1.2</w:t>
      </w:r>
      <w:r w:rsidRPr="00DB1AEE">
        <w:rPr>
          <w:szCs w:val="24"/>
          <w:u w:val="single"/>
        </w:rPr>
        <w:tab/>
        <w:t>The entire building thermal envelope area of stories that have a building entrance,  a floor over unconditioned space,  a loading dock, or that are below grade.</w:t>
      </w:r>
    </w:p>
    <w:p w14:paraId="78102B66" w14:textId="77777777" w:rsidR="00DB1AEE" w:rsidRPr="00DB1AEE" w:rsidRDefault="00DB1AEE" w:rsidP="00DB1AEE">
      <w:pPr>
        <w:suppressAutoHyphens/>
        <w:ind w:left="1800" w:hanging="288"/>
        <w:jc w:val="left"/>
        <w:rPr>
          <w:szCs w:val="24"/>
          <w:u w:val="single"/>
        </w:rPr>
      </w:pPr>
      <w:r w:rsidRPr="00DB1AEE">
        <w:rPr>
          <w:szCs w:val="24"/>
          <w:u w:val="single"/>
        </w:rPr>
        <w:t>1.3</w:t>
      </w:r>
      <w:r w:rsidRPr="00DB1AEE">
        <w:rPr>
          <w:szCs w:val="24"/>
          <w:u w:val="single"/>
        </w:rPr>
        <w:tab/>
        <w:t xml:space="preserve">Representative above-grade portions of the building totaling not less than 25 percent of the wall area enclosing the remaining conditioned space. </w:t>
      </w:r>
    </w:p>
    <w:p w14:paraId="1F5DCE1C" w14:textId="77777777" w:rsidR="00DB1AEE" w:rsidRPr="00DB1AEE" w:rsidRDefault="00DB1AEE" w:rsidP="00DB1AEE">
      <w:pPr>
        <w:suppressAutoHyphens/>
        <w:ind w:left="1800" w:hanging="288"/>
        <w:jc w:val="left"/>
        <w:rPr>
          <w:szCs w:val="24"/>
          <w:u w:val="single"/>
        </w:rPr>
      </w:pPr>
      <w:r w:rsidRPr="00DB1AEE">
        <w:rPr>
          <w:szCs w:val="24"/>
          <w:u w:val="single"/>
        </w:rPr>
        <w:t xml:space="preserve">2. Hospital, Museums and other occupancies approved by the commissioner may be permitted to only perform pressurization test to comply with the requirements of this section. </w:t>
      </w:r>
    </w:p>
    <w:p w14:paraId="6CB8CAEE" w14:textId="77777777" w:rsidR="00DB1AEE" w:rsidRPr="00DB1AEE" w:rsidRDefault="00DB1AEE" w:rsidP="00DB1AEE">
      <w:pPr>
        <w:suppressAutoHyphens/>
        <w:spacing w:before="280" w:after="280"/>
        <w:ind w:left="720"/>
        <w:jc w:val="left"/>
        <w:rPr>
          <w:szCs w:val="24"/>
          <w:u w:val="single"/>
        </w:rPr>
      </w:pPr>
      <w:r w:rsidRPr="00DB1AEE">
        <w:rPr>
          <w:b/>
          <w:bCs/>
          <w:szCs w:val="24"/>
          <w:highlight w:val="white"/>
          <w:u w:val="single"/>
        </w:rPr>
        <w:t xml:space="preserve">C402.6.2.2 Building thermal envelope design and construction verification criteria. </w:t>
      </w:r>
      <w:r w:rsidRPr="00DB1AEE">
        <w:rPr>
          <w:szCs w:val="24"/>
          <w:highlight w:val="white"/>
          <w:u w:val="single"/>
        </w:rPr>
        <w:t>The installation of the continuous air barrier shall be verified by the building official, a registered design professional or approved agency in accordance with the following:</w:t>
      </w:r>
    </w:p>
    <w:p w14:paraId="084E0699" w14:textId="77777777" w:rsidR="00DB1AEE" w:rsidRPr="00DB1AEE" w:rsidRDefault="00DB1AEE" w:rsidP="00DB1AEE">
      <w:pPr>
        <w:numPr>
          <w:ilvl w:val="0"/>
          <w:numId w:val="62"/>
        </w:numPr>
        <w:suppressAutoHyphens/>
        <w:spacing w:before="280"/>
        <w:jc w:val="left"/>
        <w:rPr>
          <w:szCs w:val="24"/>
          <w:u w:val="single"/>
        </w:rPr>
      </w:pPr>
      <w:r w:rsidRPr="00DB1AEE">
        <w:rPr>
          <w:szCs w:val="24"/>
          <w:highlight w:val="white"/>
          <w:u w:val="single"/>
        </w:rPr>
        <w:t>A review of the construction documents and other supporting data shall be conducted to assess compliance with the requirements in Section C402.6.1.</w:t>
      </w:r>
    </w:p>
    <w:p w14:paraId="345FD20E" w14:textId="77777777" w:rsidR="00DB1AEE" w:rsidRPr="00DB1AEE" w:rsidRDefault="00DB1AEE" w:rsidP="00DB1AEE">
      <w:pPr>
        <w:numPr>
          <w:ilvl w:val="0"/>
          <w:numId w:val="62"/>
        </w:numPr>
        <w:suppressAutoHyphens/>
        <w:jc w:val="left"/>
        <w:rPr>
          <w:szCs w:val="24"/>
          <w:u w:val="single"/>
        </w:rPr>
      </w:pPr>
      <w:r w:rsidRPr="00DB1AEE">
        <w:rPr>
          <w:szCs w:val="24"/>
          <w:highlight w:val="white"/>
          <w:u w:val="single"/>
        </w:rPr>
        <w:t xml:space="preserve">Inspection of continuous air barrier components and assemblies shall be conducted during construction to verify compliance with the requirements of Section C402.6.2.2.1 and C402.6.2.2.2. The air barrier shall remain accessible for inspection and repair. </w:t>
      </w:r>
    </w:p>
    <w:p w14:paraId="5B0A3EF2" w14:textId="77777777" w:rsidR="00DB1AEE" w:rsidRPr="00DB1AEE" w:rsidRDefault="00DB1AEE" w:rsidP="00DB1AEE">
      <w:pPr>
        <w:numPr>
          <w:ilvl w:val="0"/>
          <w:numId w:val="62"/>
        </w:numPr>
        <w:suppressAutoHyphens/>
        <w:spacing w:after="280"/>
        <w:jc w:val="left"/>
        <w:rPr>
          <w:szCs w:val="24"/>
          <w:u w:val="single"/>
        </w:rPr>
      </w:pPr>
      <w:r w:rsidRPr="00DB1AEE">
        <w:rPr>
          <w:szCs w:val="24"/>
          <w:highlight w:val="white"/>
          <w:u w:val="single"/>
        </w:rPr>
        <w:t>A final inspection report shall be provided for inspections completed by the registered design professional or approved agency. The inspection report shall be provided to the building owner or owner’s authorized agent and the building official. The report shall identify deficiencies found during inspection and details of corrective measures taken.</w:t>
      </w:r>
    </w:p>
    <w:p w14:paraId="331DBE47" w14:textId="77777777" w:rsidR="00DB1AEE" w:rsidRPr="00DB1AEE" w:rsidRDefault="00DB1AEE" w:rsidP="00DB1AEE">
      <w:pPr>
        <w:pBdr>
          <w:top w:val="nil"/>
          <w:left w:val="nil"/>
          <w:bottom w:val="nil"/>
          <w:right w:val="nil"/>
          <w:between w:val="nil"/>
        </w:pBdr>
        <w:tabs>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spacing w:before="80" w:after="80"/>
        <w:ind w:left="1080"/>
        <w:rPr>
          <w:szCs w:val="24"/>
          <w:u w:val="single"/>
        </w:rPr>
      </w:pPr>
      <w:bookmarkStart w:id="314" w:name="_206ipza" w:colFirst="0" w:colLast="0"/>
      <w:bookmarkStart w:id="315" w:name="_4k668n3"/>
      <w:bookmarkEnd w:id="314"/>
      <w:bookmarkEnd w:id="315"/>
      <w:r w:rsidRPr="00DB1AEE">
        <w:rPr>
          <w:b/>
          <w:bCs/>
          <w:szCs w:val="24"/>
          <w:u w:val="single"/>
        </w:rPr>
        <w:t xml:space="preserve">C402.6.2.2.1 Materials. </w:t>
      </w:r>
      <w:r w:rsidRPr="00DB1AEE">
        <w:rPr>
          <w:b/>
          <w:bCs/>
          <w:strike/>
          <w:szCs w:val="24"/>
          <w:u w:val="single"/>
        </w:rPr>
        <w:t xml:space="preserve"> </w:t>
      </w:r>
      <w:r w:rsidRPr="00DB1AEE">
        <w:rPr>
          <w:szCs w:val="24"/>
          <w:u w:val="single"/>
        </w:rPr>
        <w:t>Materials with an air permeability not greater than 0.004 cfm/ft</w:t>
      </w:r>
      <w:r w:rsidRPr="00DB1AEE">
        <w:rPr>
          <w:szCs w:val="24"/>
          <w:u w:val="single"/>
          <w:vertAlign w:val="superscript"/>
        </w:rPr>
        <w:t>2</w:t>
      </w:r>
      <w:r w:rsidRPr="00DB1AEE">
        <w:rPr>
          <w:szCs w:val="24"/>
          <w:u w:val="single"/>
        </w:rPr>
        <w:t xml:space="preserve"> (0.02 L/s × m</w:t>
      </w:r>
      <w:r w:rsidRPr="00DB1AEE">
        <w:rPr>
          <w:szCs w:val="24"/>
          <w:u w:val="single"/>
          <w:vertAlign w:val="superscript"/>
        </w:rPr>
        <w:t>2</w:t>
      </w:r>
      <w:r w:rsidRPr="00DB1AEE">
        <w:rPr>
          <w:szCs w:val="24"/>
          <w:u w:val="single"/>
        </w:rPr>
        <w:t>) under a pressure differential of 0.3 inch water gauge (75 Pa) when tested in accordance with ASTM E2178 shall comply with this section. Materials in Items 1 through 16 shall be deemed to comply with this section, provided that joints are sealed and materials are installed as air barriers in accordance with the manufacturer’s instructions.</w:t>
      </w:r>
    </w:p>
    <w:p w14:paraId="17198702" w14:textId="77777777" w:rsidR="00DB1AEE" w:rsidRPr="00DB1AEE" w:rsidRDefault="00DB1AEE" w:rsidP="00DB1AEE">
      <w:pPr>
        <w:numPr>
          <w:ilvl w:val="0"/>
          <w:numId w:val="61"/>
        </w:numPr>
        <w:pBdr>
          <w:top w:val="nil"/>
          <w:left w:val="nil"/>
          <w:bottom w:val="nil"/>
          <w:right w:val="nil"/>
          <w:between w:val="nil"/>
        </w:pBdr>
        <w:tabs>
          <w:tab w:val="left" w:pos="1080"/>
        </w:tabs>
        <w:suppressAutoHyphens/>
        <w:spacing w:before="60" w:after="60"/>
        <w:ind w:left="1440" w:hanging="288"/>
        <w:jc w:val="left"/>
        <w:rPr>
          <w:szCs w:val="24"/>
          <w:u w:val="single"/>
        </w:rPr>
      </w:pPr>
      <w:r w:rsidRPr="00DB1AEE">
        <w:rPr>
          <w:szCs w:val="24"/>
          <w:u w:val="single"/>
        </w:rPr>
        <w:t> </w:t>
      </w:r>
      <w:r w:rsidRPr="00DB1AEE">
        <w:rPr>
          <w:szCs w:val="24"/>
          <w:u w:val="single"/>
        </w:rPr>
        <w:t xml:space="preserve">Plywood with a thickness of not less than </w:t>
      </w:r>
      <w:r w:rsidRPr="00DB1AEE">
        <w:rPr>
          <w:szCs w:val="24"/>
          <w:u w:val="single"/>
          <w:vertAlign w:val="superscript"/>
        </w:rPr>
        <w:t>3</w:t>
      </w:r>
      <w:r w:rsidRPr="00DB1AEE">
        <w:rPr>
          <w:szCs w:val="24"/>
          <w:u w:val="single"/>
        </w:rPr>
        <w:t>/</w:t>
      </w:r>
      <w:r w:rsidRPr="00DB1AEE">
        <w:rPr>
          <w:szCs w:val="24"/>
          <w:u w:val="single"/>
          <w:vertAlign w:val="subscript"/>
        </w:rPr>
        <w:t>8</w:t>
      </w:r>
      <w:r w:rsidRPr="00DB1AEE">
        <w:rPr>
          <w:szCs w:val="24"/>
          <w:u w:val="single"/>
        </w:rPr>
        <w:t xml:space="preserve"> inch (10 mm).</w:t>
      </w:r>
    </w:p>
    <w:p w14:paraId="495D09B4" w14:textId="77777777" w:rsidR="00DB1AEE" w:rsidRPr="00DB1AEE" w:rsidRDefault="00DB1AEE" w:rsidP="00DB1AEE">
      <w:pPr>
        <w:numPr>
          <w:ilvl w:val="0"/>
          <w:numId w:val="61"/>
        </w:numPr>
        <w:pBdr>
          <w:top w:val="nil"/>
          <w:left w:val="nil"/>
          <w:bottom w:val="nil"/>
          <w:right w:val="nil"/>
          <w:between w:val="nil"/>
        </w:pBdr>
        <w:tabs>
          <w:tab w:val="left" w:pos="1080"/>
        </w:tabs>
        <w:suppressAutoHyphens/>
        <w:spacing w:before="60" w:after="60"/>
        <w:ind w:left="1440" w:hanging="288"/>
        <w:jc w:val="left"/>
        <w:rPr>
          <w:szCs w:val="24"/>
          <w:u w:val="single"/>
        </w:rPr>
      </w:pPr>
      <w:r w:rsidRPr="00DB1AEE">
        <w:rPr>
          <w:szCs w:val="24"/>
          <w:u w:val="single"/>
        </w:rPr>
        <w:t> </w:t>
      </w:r>
      <w:r w:rsidRPr="00DB1AEE">
        <w:rPr>
          <w:szCs w:val="24"/>
          <w:u w:val="single"/>
        </w:rPr>
        <w:t xml:space="preserve">Oriented strand board having a thickness of not less than </w:t>
      </w:r>
      <w:r w:rsidRPr="00DB1AEE">
        <w:rPr>
          <w:szCs w:val="24"/>
          <w:u w:val="single"/>
          <w:vertAlign w:val="superscript"/>
        </w:rPr>
        <w:t>3</w:t>
      </w:r>
      <w:r w:rsidRPr="00DB1AEE">
        <w:rPr>
          <w:szCs w:val="24"/>
          <w:u w:val="single"/>
        </w:rPr>
        <w:t>/</w:t>
      </w:r>
      <w:r w:rsidRPr="00DB1AEE">
        <w:rPr>
          <w:szCs w:val="24"/>
          <w:u w:val="single"/>
          <w:vertAlign w:val="subscript"/>
        </w:rPr>
        <w:t>8</w:t>
      </w:r>
      <w:r w:rsidRPr="00DB1AEE">
        <w:rPr>
          <w:szCs w:val="24"/>
          <w:u w:val="single"/>
        </w:rPr>
        <w:t xml:space="preserve"> inch (10 mm).</w:t>
      </w:r>
    </w:p>
    <w:p w14:paraId="114A1E27" w14:textId="77777777" w:rsidR="00DB1AEE" w:rsidRPr="00DB1AEE" w:rsidRDefault="00DB1AEE" w:rsidP="00DB1AEE">
      <w:pPr>
        <w:numPr>
          <w:ilvl w:val="0"/>
          <w:numId w:val="61"/>
        </w:numPr>
        <w:pBdr>
          <w:top w:val="nil"/>
          <w:left w:val="nil"/>
          <w:bottom w:val="nil"/>
          <w:right w:val="nil"/>
          <w:between w:val="nil"/>
        </w:pBdr>
        <w:tabs>
          <w:tab w:val="left" w:pos="1080"/>
        </w:tabs>
        <w:suppressAutoHyphens/>
        <w:spacing w:before="60" w:after="60"/>
        <w:ind w:left="1440" w:hanging="288"/>
        <w:jc w:val="left"/>
        <w:rPr>
          <w:szCs w:val="24"/>
          <w:u w:val="single"/>
        </w:rPr>
      </w:pPr>
      <w:r w:rsidRPr="00DB1AEE">
        <w:rPr>
          <w:szCs w:val="24"/>
          <w:u w:val="single"/>
        </w:rPr>
        <w:t> </w:t>
      </w:r>
      <w:r w:rsidRPr="00DB1AEE">
        <w:rPr>
          <w:szCs w:val="24"/>
          <w:u w:val="single"/>
        </w:rPr>
        <w:t xml:space="preserve">Extruded polystyrene insulation board having a thickness of not less than </w:t>
      </w:r>
      <w:r w:rsidRPr="00DB1AEE">
        <w:rPr>
          <w:szCs w:val="24"/>
          <w:u w:val="single"/>
          <w:vertAlign w:val="superscript"/>
        </w:rPr>
        <w:t>1</w:t>
      </w:r>
      <w:r w:rsidRPr="00DB1AEE">
        <w:rPr>
          <w:szCs w:val="24"/>
          <w:u w:val="single"/>
        </w:rPr>
        <w:t>/</w:t>
      </w:r>
      <w:r w:rsidRPr="00DB1AEE">
        <w:rPr>
          <w:szCs w:val="24"/>
          <w:u w:val="single"/>
          <w:vertAlign w:val="subscript"/>
        </w:rPr>
        <w:t>2</w:t>
      </w:r>
      <w:r w:rsidRPr="00DB1AEE">
        <w:rPr>
          <w:szCs w:val="24"/>
          <w:u w:val="single"/>
        </w:rPr>
        <w:t xml:space="preserve"> inch (12.7 mm).</w:t>
      </w:r>
    </w:p>
    <w:p w14:paraId="637376E3" w14:textId="77777777" w:rsidR="00DB1AEE" w:rsidRPr="00DB1AEE" w:rsidRDefault="00DB1AEE" w:rsidP="00DB1AEE">
      <w:pPr>
        <w:numPr>
          <w:ilvl w:val="0"/>
          <w:numId w:val="61"/>
        </w:numPr>
        <w:pBdr>
          <w:top w:val="nil"/>
          <w:left w:val="nil"/>
          <w:bottom w:val="nil"/>
          <w:right w:val="nil"/>
          <w:between w:val="nil"/>
        </w:pBdr>
        <w:tabs>
          <w:tab w:val="left" w:pos="1080"/>
        </w:tabs>
        <w:suppressAutoHyphens/>
        <w:spacing w:before="60" w:after="60"/>
        <w:ind w:left="1440" w:hanging="288"/>
        <w:jc w:val="left"/>
        <w:rPr>
          <w:szCs w:val="24"/>
          <w:u w:val="single"/>
        </w:rPr>
      </w:pPr>
      <w:r w:rsidRPr="00DB1AEE">
        <w:rPr>
          <w:szCs w:val="24"/>
          <w:u w:val="single"/>
        </w:rPr>
        <w:t> </w:t>
      </w:r>
      <w:r w:rsidRPr="00DB1AEE">
        <w:rPr>
          <w:szCs w:val="24"/>
          <w:u w:val="single"/>
        </w:rPr>
        <w:t xml:space="preserve">Foil-back polyisocyanurate insulation board having a thickness of not less than </w:t>
      </w:r>
      <w:r w:rsidRPr="00DB1AEE">
        <w:rPr>
          <w:szCs w:val="24"/>
          <w:u w:val="single"/>
          <w:vertAlign w:val="superscript"/>
        </w:rPr>
        <w:t>1</w:t>
      </w:r>
      <w:r w:rsidRPr="00DB1AEE">
        <w:rPr>
          <w:szCs w:val="24"/>
          <w:u w:val="single"/>
        </w:rPr>
        <w:t>/</w:t>
      </w:r>
      <w:r w:rsidRPr="00DB1AEE">
        <w:rPr>
          <w:szCs w:val="24"/>
          <w:u w:val="single"/>
          <w:vertAlign w:val="subscript"/>
        </w:rPr>
        <w:t>2</w:t>
      </w:r>
      <w:r w:rsidRPr="00DB1AEE">
        <w:rPr>
          <w:szCs w:val="24"/>
          <w:u w:val="single"/>
        </w:rPr>
        <w:t xml:space="preserve"> inch (12.7 mm).</w:t>
      </w:r>
    </w:p>
    <w:p w14:paraId="5FA4CF8F" w14:textId="77777777" w:rsidR="00DB1AEE" w:rsidRPr="00DB1AEE" w:rsidRDefault="00DB1AEE" w:rsidP="00DB1AEE">
      <w:pPr>
        <w:numPr>
          <w:ilvl w:val="0"/>
          <w:numId w:val="61"/>
        </w:numPr>
        <w:pBdr>
          <w:top w:val="nil"/>
          <w:left w:val="nil"/>
          <w:bottom w:val="nil"/>
          <w:right w:val="nil"/>
          <w:between w:val="nil"/>
        </w:pBdr>
        <w:tabs>
          <w:tab w:val="left" w:pos="1080"/>
        </w:tabs>
        <w:suppressAutoHyphens/>
        <w:spacing w:before="60" w:after="60"/>
        <w:ind w:left="1440" w:hanging="288"/>
        <w:jc w:val="left"/>
        <w:rPr>
          <w:szCs w:val="24"/>
          <w:u w:val="single"/>
        </w:rPr>
      </w:pPr>
      <w:r w:rsidRPr="00DB1AEE">
        <w:rPr>
          <w:szCs w:val="24"/>
          <w:u w:val="single"/>
        </w:rPr>
        <w:t> </w:t>
      </w:r>
      <w:r w:rsidRPr="00DB1AEE">
        <w:rPr>
          <w:szCs w:val="24"/>
          <w:u w:val="single"/>
        </w:rPr>
        <w:t>Closed-cell spray foam having a minimum density of 1.5 pcf (2.4 kg/m</w:t>
      </w:r>
      <w:r w:rsidRPr="00DB1AEE">
        <w:rPr>
          <w:szCs w:val="24"/>
          <w:u w:val="single"/>
          <w:vertAlign w:val="superscript"/>
        </w:rPr>
        <w:t>3</w:t>
      </w:r>
      <w:r w:rsidRPr="00DB1AEE">
        <w:rPr>
          <w:szCs w:val="24"/>
          <w:u w:val="single"/>
        </w:rPr>
        <w:t>) and having a thickness of not less than 1.5 inches (38 mm).</w:t>
      </w:r>
    </w:p>
    <w:p w14:paraId="50BB8CC5" w14:textId="77777777" w:rsidR="00DB1AEE" w:rsidRPr="00DB1AEE" w:rsidRDefault="00DB1AEE" w:rsidP="00DB1AEE">
      <w:pPr>
        <w:numPr>
          <w:ilvl w:val="0"/>
          <w:numId w:val="61"/>
        </w:numPr>
        <w:pBdr>
          <w:top w:val="nil"/>
          <w:left w:val="nil"/>
          <w:bottom w:val="nil"/>
          <w:right w:val="nil"/>
          <w:between w:val="nil"/>
        </w:pBdr>
        <w:tabs>
          <w:tab w:val="left" w:pos="1080"/>
        </w:tabs>
        <w:suppressAutoHyphens/>
        <w:spacing w:before="60" w:after="60"/>
        <w:ind w:left="1440" w:hanging="288"/>
        <w:jc w:val="left"/>
        <w:rPr>
          <w:szCs w:val="24"/>
          <w:u w:val="single"/>
        </w:rPr>
      </w:pPr>
      <w:r w:rsidRPr="00DB1AEE">
        <w:rPr>
          <w:szCs w:val="24"/>
          <w:u w:val="single"/>
        </w:rPr>
        <w:t xml:space="preserve"> Open-cell spray foam with a density between 0.4 and 1.5 pcf (6 and 2</w:t>
      </w:r>
      <w:r w:rsidRPr="00DB1AEE">
        <w:rPr>
          <w:strike/>
          <w:szCs w:val="24"/>
          <w:u w:val="single"/>
        </w:rPr>
        <w:t>.</w:t>
      </w:r>
      <w:r w:rsidRPr="00DB1AEE">
        <w:rPr>
          <w:szCs w:val="24"/>
          <w:u w:val="single"/>
        </w:rPr>
        <w:t>4 kg/m</w:t>
      </w:r>
      <w:r w:rsidRPr="00DB1AEE">
        <w:rPr>
          <w:szCs w:val="24"/>
          <w:u w:val="single"/>
          <w:vertAlign w:val="superscript"/>
        </w:rPr>
        <w:t>3</w:t>
      </w:r>
      <w:r w:rsidRPr="00DB1AEE">
        <w:rPr>
          <w:szCs w:val="24"/>
          <w:u w:val="single"/>
        </w:rPr>
        <w:t>) and having a thickness of not less than 4.5 inches (113 mm).</w:t>
      </w:r>
    </w:p>
    <w:p w14:paraId="46144A04" w14:textId="77777777" w:rsidR="00DB1AEE" w:rsidRPr="00DB1AEE" w:rsidRDefault="00DB1AEE" w:rsidP="00DB1AEE">
      <w:pPr>
        <w:numPr>
          <w:ilvl w:val="0"/>
          <w:numId w:val="61"/>
        </w:numPr>
        <w:pBdr>
          <w:top w:val="nil"/>
          <w:left w:val="nil"/>
          <w:bottom w:val="nil"/>
          <w:right w:val="nil"/>
          <w:between w:val="nil"/>
        </w:pBdr>
        <w:tabs>
          <w:tab w:val="left" w:pos="1080"/>
        </w:tabs>
        <w:suppressAutoHyphens/>
        <w:spacing w:before="60" w:after="60"/>
        <w:ind w:left="1440" w:hanging="288"/>
        <w:jc w:val="left"/>
        <w:rPr>
          <w:szCs w:val="24"/>
          <w:u w:val="single"/>
        </w:rPr>
      </w:pPr>
      <w:r w:rsidRPr="00DB1AEE">
        <w:rPr>
          <w:szCs w:val="24"/>
          <w:u w:val="single"/>
        </w:rPr>
        <w:t xml:space="preserve">Exterior or interior gypsum board having a thickness of not less than </w:t>
      </w:r>
      <w:r w:rsidRPr="00DB1AEE">
        <w:rPr>
          <w:szCs w:val="24"/>
          <w:u w:val="single"/>
          <w:vertAlign w:val="superscript"/>
        </w:rPr>
        <w:t>1</w:t>
      </w:r>
      <w:r w:rsidRPr="00DB1AEE">
        <w:rPr>
          <w:szCs w:val="24"/>
          <w:u w:val="single"/>
        </w:rPr>
        <w:t>/</w:t>
      </w:r>
      <w:r w:rsidRPr="00DB1AEE">
        <w:rPr>
          <w:szCs w:val="24"/>
          <w:u w:val="single"/>
          <w:vertAlign w:val="subscript"/>
        </w:rPr>
        <w:t>2</w:t>
      </w:r>
      <w:r w:rsidRPr="00DB1AEE">
        <w:rPr>
          <w:szCs w:val="24"/>
          <w:u w:val="single"/>
        </w:rPr>
        <w:t xml:space="preserve"> inch (12.7 mm).</w:t>
      </w:r>
    </w:p>
    <w:p w14:paraId="13685D3D" w14:textId="77777777" w:rsidR="00DB1AEE" w:rsidRPr="00DB1AEE" w:rsidRDefault="00DB1AEE" w:rsidP="00DB1AEE">
      <w:pPr>
        <w:numPr>
          <w:ilvl w:val="0"/>
          <w:numId w:val="61"/>
        </w:numPr>
        <w:pBdr>
          <w:top w:val="nil"/>
          <w:left w:val="nil"/>
          <w:bottom w:val="nil"/>
          <w:right w:val="nil"/>
          <w:between w:val="nil"/>
        </w:pBdr>
        <w:tabs>
          <w:tab w:val="left" w:pos="1080"/>
        </w:tabs>
        <w:suppressAutoHyphens/>
        <w:spacing w:before="60" w:after="60"/>
        <w:ind w:left="1440" w:hanging="288"/>
        <w:jc w:val="left"/>
        <w:rPr>
          <w:szCs w:val="24"/>
          <w:u w:val="single"/>
        </w:rPr>
      </w:pPr>
      <w:r w:rsidRPr="00DB1AEE">
        <w:rPr>
          <w:szCs w:val="24"/>
          <w:u w:val="single"/>
        </w:rPr>
        <w:t xml:space="preserve">Cement board having a thickness of not less than </w:t>
      </w:r>
      <w:r w:rsidRPr="00DB1AEE">
        <w:rPr>
          <w:szCs w:val="24"/>
          <w:u w:val="single"/>
          <w:vertAlign w:val="superscript"/>
        </w:rPr>
        <w:t>1</w:t>
      </w:r>
      <w:r w:rsidRPr="00DB1AEE">
        <w:rPr>
          <w:szCs w:val="24"/>
          <w:u w:val="single"/>
        </w:rPr>
        <w:t>/</w:t>
      </w:r>
      <w:r w:rsidRPr="00DB1AEE">
        <w:rPr>
          <w:szCs w:val="24"/>
          <w:u w:val="single"/>
          <w:vertAlign w:val="subscript"/>
        </w:rPr>
        <w:t>2</w:t>
      </w:r>
      <w:r w:rsidRPr="00DB1AEE">
        <w:rPr>
          <w:szCs w:val="24"/>
          <w:u w:val="single"/>
        </w:rPr>
        <w:t xml:space="preserve"> inch (12.7 mm).</w:t>
      </w:r>
    </w:p>
    <w:p w14:paraId="25CDA236" w14:textId="77777777" w:rsidR="00DB1AEE" w:rsidRPr="00DB1AEE" w:rsidRDefault="00DB1AEE" w:rsidP="00DB1AEE">
      <w:pPr>
        <w:numPr>
          <w:ilvl w:val="0"/>
          <w:numId w:val="61"/>
        </w:numPr>
        <w:pBdr>
          <w:top w:val="nil"/>
          <w:left w:val="nil"/>
          <w:bottom w:val="nil"/>
          <w:right w:val="nil"/>
          <w:between w:val="nil"/>
        </w:pBdr>
        <w:tabs>
          <w:tab w:val="left" w:pos="1080"/>
        </w:tabs>
        <w:suppressAutoHyphens/>
        <w:spacing w:before="60" w:after="60"/>
        <w:ind w:left="1440" w:hanging="288"/>
        <w:jc w:val="left"/>
        <w:rPr>
          <w:szCs w:val="24"/>
          <w:u w:val="single"/>
        </w:rPr>
      </w:pPr>
      <w:r w:rsidRPr="00DB1AEE">
        <w:rPr>
          <w:szCs w:val="24"/>
          <w:u w:val="single"/>
        </w:rPr>
        <w:t>Built-up roofing membrane.</w:t>
      </w:r>
    </w:p>
    <w:p w14:paraId="5CD4BC2B" w14:textId="77777777" w:rsidR="00DB1AEE" w:rsidRPr="00DB1AEE" w:rsidRDefault="00DB1AEE" w:rsidP="00DB1AEE">
      <w:pPr>
        <w:numPr>
          <w:ilvl w:val="0"/>
          <w:numId w:val="61"/>
        </w:numPr>
        <w:pBdr>
          <w:top w:val="nil"/>
          <w:left w:val="nil"/>
          <w:bottom w:val="nil"/>
          <w:right w:val="nil"/>
          <w:between w:val="nil"/>
        </w:pBdr>
        <w:tabs>
          <w:tab w:val="left" w:pos="1080"/>
        </w:tabs>
        <w:suppressAutoHyphens/>
        <w:spacing w:before="60" w:after="60"/>
        <w:ind w:left="1440" w:hanging="288"/>
        <w:jc w:val="left"/>
        <w:rPr>
          <w:szCs w:val="24"/>
          <w:u w:val="single"/>
        </w:rPr>
      </w:pPr>
      <w:r w:rsidRPr="00DB1AEE">
        <w:rPr>
          <w:szCs w:val="24"/>
          <w:u w:val="single"/>
        </w:rPr>
        <w:t>Modified bituminous roof membrane.</w:t>
      </w:r>
    </w:p>
    <w:p w14:paraId="6843B38E" w14:textId="77777777" w:rsidR="00DB1AEE" w:rsidRPr="00DB1AEE" w:rsidRDefault="00DB1AEE" w:rsidP="00DB1AEE">
      <w:pPr>
        <w:numPr>
          <w:ilvl w:val="0"/>
          <w:numId w:val="61"/>
        </w:numPr>
        <w:pBdr>
          <w:top w:val="nil"/>
          <w:left w:val="nil"/>
          <w:bottom w:val="nil"/>
          <w:right w:val="nil"/>
          <w:between w:val="nil"/>
        </w:pBdr>
        <w:tabs>
          <w:tab w:val="left" w:pos="1080"/>
        </w:tabs>
        <w:suppressAutoHyphens/>
        <w:spacing w:before="60" w:after="60"/>
        <w:ind w:left="1440" w:hanging="288"/>
        <w:jc w:val="left"/>
        <w:rPr>
          <w:szCs w:val="24"/>
          <w:u w:val="single"/>
        </w:rPr>
      </w:pPr>
      <w:r w:rsidRPr="00DB1AEE">
        <w:rPr>
          <w:szCs w:val="24"/>
          <w:u w:val="single"/>
        </w:rPr>
        <w:t>Single-ply roof membrane.</w:t>
      </w:r>
    </w:p>
    <w:p w14:paraId="084C4B0C" w14:textId="77777777" w:rsidR="00DB1AEE" w:rsidRPr="00DB1AEE" w:rsidRDefault="00DB1AEE" w:rsidP="00DB1AEE">
      <w:pPr>
        <w:numPr>
          <w:ilvl w:val="0"/>
          <w:numId w:val="61"/>
        </w:numPr>
        <w:pBdr>
          <w:top w:val="nil"/>
          <w:left w:val="nil"/>
          <w:bottom w:val="nil"/>
          <w:right w:val="nil"/>
          <w:between w:val="nil"/>
        </w:pBdr>
        <w:tabs>
          <w:tab w:val="left" w:pos="1080"/>
        </w:tabs>
        <w:suppressAutoHyphens/>
        <w:spacing w:before="60" w:after="60"/>
        <w:ind w:left="1440" w:hanging="288"/>
        <w:jc w:val="left"/>
        <w:rPr>
          <w:szCs w:val="24"/>
          <w:u w:val="single"/>
        </w:rPr>
      </w:pPr>
      <w:r w:rsidRPr="00DB1AEE">
        <w:rPr>
          <w:szCs w:val="24"/>
          <w:u w:val="single"/>
        </w:rPr>
        <w:t xml:space="preserve">A Portland cement/sand parge, or gypsum plaster having a thickness of not less than </w:t>
      </w:r>
      <w:r w:rsidRPr="00DB1AEE">
        <w:rPr>
          <w:szCs w:val="24"/>
          <w:u w:val="single"/>
          <w:vertAlign w:val="superscript"/>
        </w:rPr>
        <w:t>5</w:t>
      </w:r>
      <w:r w:rsidRPr="00DB1AEE">
        <w:rPr>
          <w:szCs w:val="24"/>
          <w:u w:val="single"/>
        </w:rPr>
        <w:t>/</w:t>
      </w:r>
      <w:r w:rsidRPr="00DB1AEE">
        <w:rPr>
          <w:szCs w:val="24"/>
          <w:u w:val="single"/>
          <w:vertAlign w:val="subscript"/>
        </w:rPr>
        <w:t>8</w:t>
      </w:r>
      <w:r w:rsidRPr="00DB1AEE">
        <w:rPr>
          <w:szCs w:val="24"/>
          <w:u w:val="single"/>
        </w:rPr>
        <w:t xml:space="preserve"> inch (15.9 mm).</w:t>
      </w:r>
    </w:p>
    <w:p w14:paraId="71E7B385" w14:textId="77777777" w:rsidR="00DB1AEE" w:rsidRPr="00DB1AEE" w:rsidRDefault="00DB1AEE" w:rsidP="00DB1AEE">
      <w:pPr>
        <w:numPr>
          <w:ilvl w:val="0"/>
          <w:numId w:val="61"/>
        </w:numPr>
        <w:pBdr>
          <w:top w:val="nil"/>
          <w:left w:val="nil"/>
          <w:bottom w:val="nil"/>
          <w:right w:val="nil"/>
          <w:between w:val="nil"/>
        </w:pBdr>
        <w:tabs>
          <w:tab w:val="left" w:pos="1080"/>
        </w:tabs>
        <w:suppressAutoHyphens/>
        <w:spacing w:before="60" w:after="60"/>
        <w:ind w:left="1440" w:hanging="288"/>
        <w:jc w:val="left"/>
        <w:rPr>
          <w:szCs w:val="24"/>
          <w:u w:val="single"/>
        </w:rPr>
      </w:pPr>
      <w:r w:rsidRPr="00DB1AEE">
        <w:rPr>
          <w:szCs w:val="24"/>
          <w:u w:val="single"/>
        </w:rPr>
        <w:t>Cast-in-place and precast concrete.</w:t>
      </w:r>
    </w:p>
    <w:p w14:paraId="60DEDCF1" w14:textId="77777777" w:rsidR="00DB1AEE" w:rsidRPr="00DB1AEE" w:rsidRDefault="00DB1AEE" w:rsidP="00DB1AEE">
      <w:pPr>
        <w:numPr>
          <w:ilvl w:val="0"/>
          <w:numId w:val="61"/>
        </w:numPr>
        <w:pBdr>
          <w:top w:val="nil"/>
          <w:left w:val="nil"/>
          <w:bottom w:val="nil"/>
          <w:right w:val="nil"/>
          <w:between w:val="nil"/>
        </w:pBdr>
        <w:tabs>
          <w:tab w:val="left" w:pos="1080"/>
        </w:tabs>
        <w:suppressAutoHyphens/>
        <w:spacing w:before="60" w:after="60"/>
        <w:ind w:left="1440" w:hanging="288"/>
        <w:jc w:val="left"/>
        <w:rPr>
          <w:szCs w:val="24"/>
          <w:u w:val="single"/>
        </w:rPr>
      </w:pPr>
      <w:r w:rsidRPr="00DB1AEE">
        <w:rPr>
          <w:szCs w:val="24"/>
          <w:u w:val="single"/>
        </w:rPr>
        <w:t>Fully grouted concrete block masonry.</w:t>
      </w:r>
    </w:p>
    <w:p w14:paraId="60CEEB7B" w14:textId="77777777" w:rsidR="00DB1AEE" w:rsidRPr="00DB1AEE" w:rsidRDefault="00DB1AEE" w:rsidP="00DB1AEE">
      <w:pPr>
        <w:numPr>
          <w:ilvl w:val="0"/>
          <w:numId w:val="61"/>
        </w:numPr>
        <w:pBdr>
          <w:top w:val="nil"/>
          <w:left w:val="nil"/>
          <w:bottom w:val="nil"/>
          <w:right w:val="nil"/>
          <w:between w:val="nil"/>
        </w:pBdr>
        <w:tabs>
          <w:tab w:val="left" w:pos="1080"/>
        </w:tabs>
        <w:suppressAutoHyphens/>
        <w:spacing w:before="60" w:after="60"/>
        <w:ind w:left="1440" w:hanging="288"/>
        <w:jc w:val="left"/>
        <w:rPr>
          <w:szCs w:val="24"/>
          <w:u w:val="single"/>
        </w:rPr>
      </w:pPr>
      <w:r w:rsidRPr="00DB1AEE">
        <w:rPr>
          <w:szCs w:val="24"/>
          <w:u w:val="single"/>
        </w:rPr>
        <w:t>Sheet steel or aluminum.</w:t>
      </w:r>
    </w:p>
    <w:p w14:paraId="7D2CB708" w14:textId="77777777" w:rsidR="00DB1AEE" w:rsidRPr="00DB1AEE" w:rsidRDefault="00DB1AEE" w:rsidP="00DB1AEE">
      <w:pPr>
        <w:suppressAutoHyphens/>
        <w:ind w:left="1080"/>
        <w:jc w:val="left"/>
        <w:rPr>
          <w:szCs w:val="24"/>
          <w:u w:val="single"/>
        </w:rPr>
      </w:pPr>
      <w:bookmarkStart w:id="316" w:name="_2zbgiuw" w:colFirst="0" w:colLast="0"/>
      <w:bookmarkEnd w:id="316"/>
      <w:r w:rsidRPr="00DB1AEE">
        <w:rPr>
          <w:b/>
          <w:szCs w:val="24"/>
          <w:u w:val="single"/>
        </w:rPr>
        <w:t xml:space="preserve">C402.6.2.2.2 Assemblies. </w:t>
      </w:r>
      <w:r w:rsidRPr="00DB1AEE">
        <w:rPr>
          <w:b/>
          <w:strike/>
          <w:szCs w:val="24"/>
          <w:u w:val="single"/>
        </w:rPr>
        <w:t xml:space="preserve"> </w:t>
      </w:r>
      <w:r w:rsidRPr="00DB1AEE">
        <w:rPr>
          <w:szCs w:val="24"/>
          <w:u w:val="single"/>
        </w:rPr>
        <w:t>Assemblies of materials and components with an average air leakage not greater than 0.04 cfm/ft</w:t>
      </w:r>
      <w:r w:rsidRPr="00DB1AEE">
        <w:rPr>
          <w:szCs w:val="24"/>
          <w:u w:val="single"/>
          <w:vertAlign w:val="superscript"/>
        </w:rPr>
        <w:t>2</w:t>
      </w:r>
      <w:r w:rsidRPr="00DB1AEE">
        <w:rPr>
          <w:szCs w:val="24"/>
          <w:u w:val="single"/>
        </w:rPr>
        <w:t xml:space="preserve"> (0.2 L/s × m</w:t>
      </w:r>
      <w:r w:rsidRPr="00DB1AEE">
        <w:rPr>
          <w:szCs w:val="24"/>
          <w:u w:val="single"/>
          <w:vertAlign w:val="superscript"/>
        </w:rPr>
        <w:t>2</w:t>
      </w:r>
      <w:r w:rsidRPr="00DB1AEE">
        <w:rPr>
          <w:szCs w:val="24"/>
          <w:u w:val="single"/>
        </w:rPr>
        <w:t>) under a pressure differential of 0.3 inch of water gauge (75 Pa) where tested in accordance with ASTM E2357, ASTM E1677, ASTM D8052 or ASTM E283 shall comply with this section. Assemblies listed in Items 1 through 3 below shall be deemed to comply, provided that joints are sealed and the requirements of Section C402.6.1.2 are met.</w:t>
      </w:r>
    </w:p>
    <w:p w14:paraId="37769695" w14:textId="77777777" w:rsidR="00DB1AEE" w:rsidRPr="00DB1AEE" w:rsidRDefault="00DB1AEE" w:rsidP="00DB1AEE">
      <w:pPr>
        <w:numPr>
          <w:ilvl w:val="0"/>
          <w:numId w:val="60"/>
        </w:numPr>
        <w:pBdr>
          <w:top w:val="nil"/>
          <w:left w:val="nil"/>
          <w:bottom w:val="nil"/>
          <w:right w:val="nil"/>
          <w:between w:val="nil"/>
        </w:pBdr>
        <w:suppressAutoHyphens/>
        <w:ind w:left="1440" w:hanging="288"/>
        <w:jc w:val="left"/>
        <w:rPr>
          <w:szCs w:val="24"/>
          <w:u w:val="single"/>
        </w:rPr>
      </w:pPr>
      <w:r w:rsidRPr="00DB1AEE">
        <w:rPr>
          <w:szCs w:val="24"/>
          <w:u w:val="single"/>
        </w:rPr>
        <w:t>Concrete masonry walls coated with either one application of block filler or two applications of a paint or sealer coating.</w:t>
      </w:r>
    </w:p>
    <w:p w14:paraId="5B7BA287" w14:textId="77777777" w:rsidR="00DB1AEE" w:rsidRPr="00DB1AEE" w:rsidRDefault="00DB1AEE" w:rsidP="00DB1AEE">
      <w:pPr>
        <w:numPr>
          <w:ilvl w:val="0"/>
          <w:numId w:val="60"/>
        </w:numPr>
        <w:pBdr>
          <w:top w:val="nil"/>
          <w:left w:val="nil"/>
          <w:bottom w:val="nil"/>
          <w:right w:val="nil"/>
          <w:between w:val="nil"/>
        </w:pBdr>
        <w:suppressAutoHyphens/>
        <w:ind w:left="1440" w:hanging="288"/>
        <w:jc w:val="left"/>
        <w:rPr>
          <w:szCs w:val="24"/>
          <w:u w:val="single"/>
        </w:rPr>
      </w:pPr>
      <w:r w:rsidRPr="00DB1AEE">
        <w:rPr>
          <w:szCs w:val="24"/>
          <w:u w:val="single"/>
        </w:rPr>
        <w:t xml:space="preserve">Masonry walls constructed of clay or shale masonry units with a nominal width </w:t>
      </w:r>
      <w:r w:rsidRPr="00DB1AEE">
        <w:rPr>
          <w:strike/>
          <w:szCs w:val="24"/>
          <w:u w:val="single"/>
        </w:rPr>
        <w:t>of</w:t>
      </w:r>
      <w:r w:rsidRPr="00DB1AEE">
        <w:rPr>
          <w:szCs w:val="24"/>
          <w:u w:val="single"/>
        </w:rPr>
        <w:t xml:space="preserve"> greater than or equal to 4 inches (102 mm) or more.</w:t>
      </w:r>
    </w:p>
    <w:p w14:paraId="3116EB10" w14:textId="77777777" w:rsidR="00DB1AEE" w:rsidRPr="00DB1AEE" w:rsidRDefault="00DB1AEE" w:rsidP="00DB1AEE">
      <w:pPr>
        <w:numPr>
          <w:ilvl w:val="0"/>
          <w:numId w:val="60"/>
        </w:numPr>
        <w:pBdr>
          <w:top w:val="nil"/>
          <w:left w:val="nil"/>
          <w:bottom w:val="nil"/>
          <w:right w:val="nil"/>
          <w:between w:val="nil"/>
        </w:pBdr>
        <w:suppressAutoHyphens/>
        <w:spacing w:after="160"/>
        <w:ind w:left="1440" w:hanging="288"/>
        <w:jc w:val="left"/>
        <w:rPr>
          <w:szCs w:val="24"/>
          <w:u w:val="single"/>
        </w:rPr>
      </w:pPr>
      <w:r w:rsidRPr="00DB1AEE">
        <w:rPr>
          <w:szCs w:val="24"/>
          <w:u w:val="single"/>
        </w:rPr>
        <w:t>A Portland cement/sand parge, stucco or plaster not less than 1/2 inch (12.7 mm) in thickness.</w:t>
      </w:r>
    </w:p>
    <w:p w14:paraId="57448C5E" w14:textId="77777777" w:rsidR="00DB1AEE" w:rsidRPr="00DB1AEE" w:rsidRDefault="00DB1AEE" w:rsidP="00DB1AEE">
      <w:pPr>
        <w:widowControl w:val="0"/>
        <w:autoSpaceDE w:val="0"/>
        <w:autoSpaceDN w:val="0"/>
        <w:adjustRightInd w:val="0"/>
        <w:spacing w:before="130" w:after="130"/>
        <w:ind w:left="360"/>
        <w:jc w:val="left"/>
        <w:rPr>
          <w:b/>
          <w:bCs/>
          <w:iCs/>
          <w:szCs w:val="24"/>
          <w:u w:val="single"/>
        </w:rPr>
      </w:pPr>
    </w:p>
    <w:p w14:paraId="7BC9DDE4" w14:textId="77777777" w:rsidR="00DB1AEE" w:rsidRPr="00DB1AEE" w:rsidRDefault="00DB1AEE" w:rsidP="00DB1AEE">
      <w:pPr>
        <w:widowControl w:val="0"/>
        <w:autoSpaceDE w:val="0"/>
        <w:autoSpaceDN w:val="0"/>
        <w:adjustRightInd w:val="0"/>
        <w:spacing w:before="130" w:after="130"/>
        <w:rPr>
          <w:bCs/>
          <w:iCs/>
          <w:position w:val="16"/>
          <w:szCs w:val="24"/>
          <w:u w:val="single"/>
        </w:rPr>
      </w:pPr>
      <w:r w:rsidRPr="00DB1AEE">
        <w:rPr>
          <w:b/>
          <w:bCs/>
          <w:iCs/>
          <w:szCs w:val="24"/>
          <w:u w:val="single"/>
        </w:rPr>
        <w:t xml:space="preserve">Section C402.6.4 Doors and access openings to shafts, chutes, stairways and elevator lobbies.   </w:t>
      </w:r>
    </w:p>
    <w:p w14:paraId="0A527BAD" w14:textId="77777777" w:rsidR="00DB1AEE" w:rsidRPr="00DB1AEE" w:rsidRDefault="00DB1AEE" w:rsidP="00DB1AEE">
      <w:pPr>
        <w:suppressAutoHyphens/>
        <w:spacing w:before="130" w:after="130"/>
        <w:rPr>
          <w:rFonts w:eastAsia="MS Mincho"/>
          <w:bCs/>
          <w:szCs w:val="24"/>
          <w:u w:val="single"/>
        </w:rPr>
      </w:pPr>
      <w:r w:rsidRPr="00DB1AEE">
        <w:rPr>
          <w:rFonts w:eastAsia="MS Mincho"/>
          <w:bCs/>
          <w:szCs w:val="24"/>
          <w:u w:val="single"/>
        </w:rPr>
        <w:t>Section C402.6.4 -Revise Exceptions 1 and 2 from Section C402.6.4 to read as follows:</w:t>
      </w:r>
    </w:p>
    <w:p w14:paraId="195F5B77" w14:textId="77777777" w:rsidR="00DB1AEE" w:rsidRPr="00DB1AEE" w:rsidRDefault="00DB1AEE" w:rsidP="00DB1AEE">
      <w:pPr>
        <w:pBdr>
          <w:top w:val="nil"/>
          <w:left w:val="nil"/>
          <w:bottom w:val="nil"/>
          <w:right w:val="nil"/>
          <w:between w:val="nil"/>
        </w:pBdr>
        <w:tabs>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spacing w:before="80" w:after="80"/>
        <w:ind w:left="720"/>
        <w:rPr>
          <w:i/>
          <w:u w:val="single"/>
        </w:rPr>
      </w:pPr>
      <w:r w:rsidRPr="00DB1AEE">
        <w:rPr>
          <w:b/>
          <w:u w:val="single"/>
        </w:rPr>
        <w:t>Exceptions:</w:t>
      </w:r>
    </w:p>
    <w:p w14:paraId="7A449FDF" w14:textId="77777777" w:rsidR="00DB1AEE" w:rsidRPr="00DB1AEE" w:rsidRDefault="00DB1AEE" w:rsidP="00DB1AEE">
      <w:pPr>
        <w:pBdr>
          <w:top w:val="nil"/>
          <w:left w:val="nil"/>
          <w:bottom w:val="nil"/>
          <w:right w:val="nil"/>
          <w:between w:val="nil"/>
        </w:pBdr>
        <w:tabs>
          <w:tab w:val="left" w:pos="1080"/>
        </w:tabs>
        <w:suppressAutoHyphens/>
        <w:spacing w:before="60" w:after="60"/>
        <w:ind w:left="1440" w:hanging="360"/>
        <w:rPr>
          <w:u w:val="single"/>
        </w:rPr>
      </w:pPr>
      <w:r w:rsidRPr="00DB1AEE">
        <w:rPr>
          <w:u w:val="single"/>
        </w:rPr>
        <w:t>1.</w:t>
      </w:r>
      <w:r w:rsidRPr="00DB1AEE">
        <w:rPr>
          <w:u w:val="single"/>
        </w:rPr>
        <w:tab/>
        <w:t xml:space="preserve">Door openings required to comply with the duct and air transfer opening requirements of the </w:t>
      </w:r>
      <w:r w:rsidRPr="00DB1AEE">
        <w:rPr>
          <w:i/>
          <w:u w:val="single"/>
        </w:rPr>
        <w:t>New York City Building Code</w:t>
      </w:r>
      <w:r w:rsidRPr="00DB1AEE">
        <w:rPr>
          <w:u w:val="single"/>
        </w:rPr>
        <w:t>.</w:t>
      </w:r>
    </w:p>
    <w:p w14:paraId="35B61E55" w14:textId="77777777" w:rsidR="00DB1AEE" w:rsidRPr="00DB1AEE" w:rsidRDefault="00DB1AEE" w:rsidP="00DB1AEE">
      <w:pPr>
        <w:pBdr>
          <w:top w:val="nil"/>
          <w:left w:val="nil"/>
          <w:bottom w:val="nil"/>
          <w:right w:val="nil"/>
          <w:between w:val="nil"/>
        </w:pBdr>
        <w:tabs>
          <w:tab w:val="left" w:pos="1080"/>
        </w:tabs>
        <w:suppressAutoHyphens/>
        <w:spacing w:before="60" w:after="60"/>
        <w:ind w:left="1440" w:hanging="360"/>
        <w:rPr>
          <w:u w:val="single"/>
        </w:rPr>
      </w:pPr>
      <w:r w:rsidRPr="00DB1AEE">
        <w:rPr>
          <w:u w:val="single"/>
        </w:rPr>
        <w:t>2.</w:t>
      </w:r>
      <w:r w:rsidRPr="00DB1AEE">
        <w:rPr>
          <w:u w:val="single"/>
        </w:rPr>
        <w:tab/>
        <w:t xml:space="preserve">Doors and door openings required to comply with UL 1784 by the </w:t>
      </w:r>
      <w:r w:rsidRPr="00DB1AEE">
        <w:rPr>
          <w:i/>
          <w:u w:val="single"/>
        </w:rPr>
        <w:t>New York City Building Code</w:t>
      </w:r>
      <w:r w:rsidRPr="00DB1AEE">
        <w:rPr>
          <w:u w:val="single"/>
        </w:rPr>
        <w:t>.</w:t>
      </w:r>
    </w:p>
    <w:p w14:paraId="26B66125" w14:textId="77777777" w:rsidR="00DB1AEE" w:rsidRPr="00DB1AEE" w:rsidRDefault="00DB1AEE" w:rsidP="00DB1AEE">
      <w:pPr>
        <w:widowControl w:val="0"/>
        <w:autoSpaceDE w:val="0"/>
        <w:autoSpaceDN w:val="0"/>
        <w:adjustRightInd w:val="0"/>
        <w:spacing w:before="130" w:after="130"/>
        <w:rPr>
          <w:position w:val="16"/>
          <w:u w:val="single"/>
        </w:rPr>
      </w:pPr>
      <w:r w:rsidRPr="00DB1AEE">
        <w:rPr>
          <w:b/>
          <w:bCs/>
          <w:u w:val="single"/>
        </w:rPr>
        <w:t xml:space="preserve">Section C402.6.6 Vestibules.  </w:t>
      </w:r>
    </w:p>
    <w:p w14:paraId="3DB9A01C" w14:textId="77777777" w:rsidR="00DB1AEE" w:rsidRPr="00DB1AEE" w:rsidRDefault="00DB1AEE" w:rsidP="00DB1AEE">
      <w:pPr>
        <w:suppressAutoHyphens/>
        <w:spacing w:before="130" w:after="130"/>
        <w:rPr>
          <w:rFonts w:eastAsia="MS Mincho"/>
          <w:bCs/>
          <w:szCs w:val="24"/>
          <w:u w:val="single"/>
        </w:rPr>
      </w:pPr>
      <w:r w:rsidRPr="00DB1AEE">
        <w:rPr>
          <w:rFonts w:eastAsia="MS Mincho"/>
          <w:bCs/>
          <w:szCs w:val="24"/>
          <w:u w:val="single"/>
        </w:rPr>
        <w:t>Section C402.6.6 -Revise all the exceptions from Section C402.6.6 to read as follows:</w:t>
      </w:r>
    </w:p>
    <w:p w14:paraId="15401995" w14:textId="77777777" w:rsidR="00DB1AEE" w:rsidRPr="00DB1AEE" w:rsidRDefault="00DB1AEE" w:rsidP="00DB1AEE">
      <w:pPr>
        <w:pBdr>
          <w:top w:val="nil"/>
          <w:left w:val="nil"/>
          <w:bottom w:val="nil"/>
          <w:right w:val="nil"/>
          <w:between w:val="nil"/>
        </w:pBdr>
        <w:tabs>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spacing w:before="80" w:after="80"/>
        <w:ind w:left="720"/>
        <w:rPr>
          <w:i/>
          <w:u w:val="single"/>
        </w:rPr>
      </w:pPr>
      <w:r w:rsidRPr="00DB1AEE">
        <w:rPr>
          <w:b/>
          <w:u w:val="single"/>
        </w:rPr>
        <w:t>Exceptions:</w:t>
      </w:r>
      <w:r w:rsidRPr="00DB1AEE">
        <w:rPr>
          <w:u w:val="single"/>
        </w:rPr>
        <w:t xml:space="preserve"> Vestibules are not required for the following:</w:t>
      </w:r>
    </w:p>
    <w:p w14:paraId="57222093" w14:textId="77777777" w:rsidR="00DB1AEE" w:rsidRPr="00DB1AEE" w:rsidRDefault="00DB1AEE" w:rsidP="00DB1AEE">
      <w:pPr>
        <w:pBdr>
          <w:top w:val="nil"/>
          <w:left w:val="nil"/>
          <w:bottom w:val="nil"/>
          <w:right w:val="nil"/>
          <w:between w:val="nil"/>
        </w:pBdr>
        <w:tabs>
          <w:tab w:val="left" w:pos="1080"/>
        </w:tabs>
        <w:suppressAutoHyphens/>
        <w:spacing w:before="60" w:after="60"/>
        <w:ind w:left="1440" w:hanging="360"/>
        <w:rPr>
          <w:u w:val="single"/>
        </w:rPr>
      </w:pPr>
      <w:r w:rsidRPr="00DB1AEE">
        <w:rPr>
          <w:u w:val="single"/>
        </w:rPr>
        <w:t>1.</w:t>
      </w:r>
      <w:r w:rsidRPr="00DB1AEE">
        <w:rPr>
          <w:u w:val="single"/>
        </w:rPr>
        <w:tab/>
        <w:t>Doors not intended to be used by the public, such as doors to mechanical or electrical equipment rooms, or intended solely for employee use.</w:t>
      </w:r>
    </w:p>
    <w:p w14:paraId="53489120" w14:textId="77777777" w:rsidR="00DB1AEE" w:rsidRPr="00DB1AEE" w:rsidRDefault="00DB1AEE" w:rsidP="00DB1AEE">
      <w:pPr>
        <w:pBdr>
          <w:top w:val="nil"/>
          <w:left w:val="nil"/>
          <w:bottom w:val="nil"/>
          <w:right w:val="nil"/>
          <w:between w:val="nil"/>
        </w:pBdr>
        <w:tabs>
          <w:tab w:val="left" w:pos="1080"/>
        </w:tabs>
        <w:suppressAutoHyphens/>
        <w:spacing w:before="60" w:after="60"/>
        <w:ind w:left="1440" w:hanging="360"/>
        <w:rPr>
          <w:u w:val="single"/>
        </w:rPr>
      </w:pPr>
      <w:r w:rsidRPr="00DB1AEE">
        <w:rPr>
          <w:u w:val="single"/>
        </w:rPr>
        <w:t>2.</w:t>
      </w:r>
      <w:r w:rsidRPr="00DB1AEE">
        <w:rPr>
          <w:u w:val="single"/>
        </w:rPr>
        <w:tab/>
        <w:t xml:space="preserve">Doors opening directly from a </w:t>
      </w:r>
      <w:r w:rsidRPr="00DB1AEE">
        <w:rPr>
          <w:i/>
          <w:u w:val="single"/>
        </w:rPr>
        <w:t>sleeping unit</w:t>
      </w:r>
      <w:r w:rsidRPr="00DB1AEE">
        <w:rPr>
          <w:u w:val="single"/>
        </w:rPr>
        <w:t xml:space="preserve"> or dwelling unit.</w:t>
      </w:r>
    </w:p>
    <w:p w14:paraId="21F45DC8" w14:textId="77777777" w:rsidR="00DB1AEE" w:rsidRPr="00DB1AEE" w:rsidRDefault="00DB1AEE" w:rsidP="00DB1AEE">
      <w:pPr>
        <w:pBdr>
          <w:top w:val="nil"/>
          <w:left w:val="nil"/>
          <w:bottom w:val="nil"/>
          <w:right w:val="nil"/>
          <w:between w:val="nil"/>
        </w:pBdr>
        <w:tabs>
          <w:tab w:val="left" w:pos="1080"/>
        </w:tabs>
        <w:suppressAutoHyphens/>
        <w:spacing w:before="60" w:after="60"/>
        <w:ind w:left="1440" w:hanging="360"/>
        <w:rPr>
          <w:u w:val="single"/>
        </w:rPr>
      </w:pPr>
      <w:r w:rsidRPr="00DB1AEE">
        <w:rPr>
          <w:u w:val="single"/>
        </w:rPr>
        <w:t>3.</w:t>
      </w:r>
      <w:r w:rsidRPr="00DB1AEE">
        <w:rPr>
          <w:u w:val="single"/>
        </w:rPr>
        <w:tab/>
        <w:t>Doors that open directly from a space less than 3,000 square feet (298 m</w:t>
      </w:r>
      <w:r w:rsidRPr="00DB1AEE">
        <w:rPr>
          <w:u w:val="single"/>
          <w:vertAlign w:val="superscript"/>
        </w:rPr>
        <w:t>2</w:t>
      </w:r>
      <w:r w:rsidRPr="00DB1AEE">
        <w:rPr>
          <w:u w:val="single"/>
        </w:rPr>
        <w:t>) in area, in buildings less than 75 feet (23 m) in height.</w:t>
      </w:r>
    </w:p>
    <w:p w14:paraId="36BE7D60" w14:textId="77777777" w:rsidR="00DB1AEE" w:rsidRPr="00DB1AEE" w:rsidRDefault="00DB1AEE" w:rsidP="00DB1AEE">
      <w:pPr>
        <w:pBdr>
          <w:top w:val="nil"/>
          <w:left w:val="nil"/>
          <w:bottom w:val="nil"/>
          <w:right w:val="nil"/>
          <w:between w:val="nil"/>
        </w:pBdr>
        <w:tabs>
          <w:tab w:val="left" w:pos="1080"/>
        </w:tabs>
        <w:suppressAutoHyphens/>
        <w:spacing w:before="60" w:after="60"/>
        <w:ind w:left="1440" w:hanging="360"/>
        <w:rPr>
          <w:u w:val="single"/>
        </w:rPr>
      </w:pPr>
      <w:r w:rsidRPr="00DB1AEE">
        <w:rPr>
          <w:u w:val="single"/>
        </w:rPr>
        <w:t>4.  Revolving doors.</w:t>
      </w:r>
    </w:p>
    <w:p w14:paraId="44DC9CCC" w14:textId="77777777" w:rsidR="00DB1AEE" w:rsidRPr="00DB1AEE" w:rsidRDefault="00DB1AEE" w:rsidP="00DB1AEE">
      <w:pPr>
        <w:pBdr>
          <w:top w:val="nil"/>
          <w:left w:val="nil"/>
          <w:bottom w:val="nil"/>
          <w:right w:val="nil"/>
          <w:between w:val="nil"/>
        </w:pBdr>
        <w:tabs>
          <w:tab w:val="left" w:pos="1080"/>
        </w:tabs>
        <w:suppressAutoHyphens/>
        <w:spacing w:before="60" w:after="60"/>
        <w:ind w:left="1440" w:hanging="360"/>
        <w:rPr>
          <w:u w:val="single"/>
        </w:rPr>
      </w:pPr>
      <w:r w:rsidRPr="00DB1AEE">
        <w:rPr>
          <w:u w:val="single"/>
        </w:rPr>
        <w:t>5.</w:t>
      </w:r>
      <w:r w:rsidRPr="00DB1AEE">
        <w:rPr>
          <w:u w:val="single"/>
        </w:rPr>
        <w:tab/>
        <w:t>Doors used primarily to facilitate vehicular movement or material handling and adjacent personnel doors.</w:t>
      </w:r>
    </w:p>
    <w:p w14:paraId="5E781E8A" w14:textId="77777777" w:rsidR="00DB1AEE" w:rsidRPr="00DB1AEE" w:rsidRDefault="00DB1AEE" w:rsidP="00DB1AEE">
      <w:pPr>
        <w:pBdr>
          <w:top w:val="nil"/>
          <w:left w:val="nil"/>
          <w:bottom w:val="nil"/>
          <w:right w:val="nil"/>
          <w:between w:val="nil"/>
        </w:pBdr>
        <w:tabs>
          <w:tab w:val="left" w:pos="1080"/>
        </w:tabs>
        <w:suppressAutoHyphens/>
        <w:spacing w:before="60" w:after="60"/>
        <w:ind w:left="1440" w:hanging="360"/>
        <w:rPr>
          <w:u w:val="single"/>
        </w:rPr>
      </w:pPr>
      <w:r w:rsidRPr="00DB1AEE">
        <w:rPr>
          <w:u w:val="single"/>
        </w:rPr>
        <w:t>6.</w:t>
      </w:r>
      <w:r w:rsidRPr="00DB1AEE">
        <w:tab/>
      </w:r>
      <w:r w:rsidRPr="00DB1AEE">
        <w:rPr>
          <w:u w:val="single"/>
        </w:rPr>
        <w:t>Doors that open directly from a space less than 1,000 square feet (92.9</w:t>
      </w:r>
      <w:r w:rsidRPr="00DB1AEE">
        <w:rPr>
          <w:strike/>
          <w:u w:val="single"/>
        </w:rPr>
        <w:t xml:space="preserve"> </w:t>
      </w:r>
      <w:r w:rsidRPr="00DB1AEE">
        <w:rPr>
          <w:sz w:val="36"/>
          <w:szCs w:val="36"/>
          <w:u w:val="single"/>
        </w:rPr>
        <w:t xml:space="preserve"> </w:t>
      </w:r>
      <w:r w:rsidRPr="00DB1AEE">
        <w:rPr>
          <w:u w:val="single"/>
        </w:rPr>
        <w:t>m</w:t>
      </w:r>
      <w:r w:rsidRPr="00DB1AEE">
        <w:rPr>
          <w:u w:val="single"/>
          <w:vertAlign w:val="superscript"/>
        </w:rPr>
        <w:t>2</w:t>
      </w:r>
      <w:r w:rsidRPr="00DB1AEE">
        <w:rPr>
          <w:u w:val="single"/>
        </w:rPr>
        <w:t>) in area, in buildings 75 feet (22.86</w:t>
      </w:r>
      <w:r w:rsidRPr="00DB1AEE">
        <w:rPr>
          <w:sz w:val="36"/>
          <w:szCs w:val="36"/>
          <w:u w:val="single"/>
        </w:rPr>
        <w:t xml:space="preserve">  </w:t>
      </w:r>
      <w:r w:rsidRPr="00DB1AEE">
        <w:rPr>
          <w:u w:val="single"/>
        </w:rPr>
        <w:t>m) and greater in height.</w:t>
      </w:r>
    </w:p>
    <w:p w14:paraId="41388B92" w14:textId="77777777" w:rsidR="00DB1AEE" w:rsidRPr="00DB1AEE" w:rsidRDefault="00DB1AEE" w:rsidP="00DB1AEE">
      <w:pPr>
        <w:widowControl w:val="0"/>
        <w:autoSpaceDE w:val="0"/>
        <w:autoSpaceDN w:val="0"/>
        <w:adjustRightInd w:val="0"/>
        <w:spacing w:before="130" w:after="130"/>
        <w:rPr>
          <w:bCs/>
          <w:iCs/>
          <w:position w:val="16"/>
          <w:szCs w:val="24"/>
          <w:u w:val="single"/>
        </w:rPr>
      </w:pPr>
      <w:r w:rsidRPr="00DB1AEE">
        <w:rPr>
          <w:b/>
          <w:bCs/>
          <w:iCs/>
          <w:szCs w:val="24"/>
          <w:u w:val="single"/>
        </w:rPr>
        <w:t xml:space="preserve">Section C402.7 Thermal bridges in above-grade walls.  </w:t>
      </w:r>
    </w:p>
    <w:p w14:paraId="314F280C" w14:textId="77777777" w:rsidR="00DB1AEE" w:rsidRPr="00DB1AEE" w:rsidRDefault="00DB1AEE" w:rsidP="00DB1AEE">
      <w:pPr>
        <w:suppressAutoHyphens/>
        <w:spacing w:before="130" w:after="130"/>
        <w:rPr>
          <w:rFonts w:eastAsia="MS Mincho"/>
          <w:bCs/>
          <w:szCs w:val="24"/>
          <w:u w:val="single"/>
        </w:rPr>
      </w:pPr>
      <w:r w:rsidRPr="00DB1AEE">
        <w:rPr>
          <w:rFonts w:eastAsia="MS Mincho"/>
          <w:bCs/>
          <w:szCs w:val="24"/>
          <w:u w:val="single"/>
        </w:rPr>
        <w:t>Section C402.7 -Delete Section C402.7, Section C402.7.1, Section C402.7.2,Section C402.7.3, Section C402.7.4 and Section C402.7.5 in their entirety and add new C402.7, Section C402.7.1, Section C402.7.2, Section C402.7.2.1, Section C402.7.2.2, Section C402.7.2.3, Section C402.7.2.4, Section C402.7.2.4.1, Section C402.7.2.5, to read as follows:</w:t>
      </w:r>
    </w:p>
    <w:p w14:paraId="44C01D31" w14:textId="77777777" w:rsidR="00DB1AEE" w:rsidRPr="00DB1AEE" w:rsidRDefault="00DB1AEE" w:rsidP="00DB1AEE">
      <w:pPr>
        <w:suppressAutoHyphens/>
        <w:ind w:left="360"/>
        <w:jc w:val="left"/>
        <w:rPr>
          <w:b/>
          <w:bCs/>
          <w:u w:val="single"/>
        </w:rPr>
      </w:pPr>
      <w:r w:rsidRPr="00DB1AEE">
        <w:rPr>
          <w:b/>
          <w:bCs/>
          <w:u w:val="single"/>
        </w:rPr>
        <w:t xml:space="preserve">C402.7 Thermal bridging documentation and mitigation. </w:t>
      </w:r>
      <w:r w:rsidRPr="00DB1AEE">
        <w:rPr>
          <w:u w:val="single"/>
        </w:rPr>
        <w:t xml:space="preserve"> Where present, intersections listed in Section C402.7.1 that create thermal bridges shall be detailed in construction documents. Thermal bridges shall be mitigated in accordance with Section C402.7.2 </w:t>
      </w:r>
    </w:p>
    <w:p w14:paraId="192CA98F" w14:textId="77777777" w:rsidR="00DB1AEE" w:rsidRPr="00DB1AEE" w:rsidRDefault="00DB1AEE" w:rsidP="00DB1AEE">
      <w:pPr>
        <w:suppressAutoHyphens/>
        <w:ind w:left="720"/>
        <w:jc w:val="left"/>
        <w:rPr>
          <w:b/>
          <w:szCs w:val="24"/>
          <w:u w:val="single"/>
        </w:rPr>
      </w:pPr>
      <w:r w:rsidRPr="00DB1AEE">
        <w:rPr>
          <w:b/>
          <w:szCs w:val="24"/>
          <w:u w:val="single"/>
        </w:rPr>
        <w:t xml:space="preserve">Exceptions: </w:t>
      </w:r>
    </w:p>
    <w:p w14:paraId="617194BC" w14:textId="77777777" w:rsidR="00DB1AEE" w:rsidRPr="00DB1AEE" w:rsidRDefault="00DB1AEE" w:rsidP="00DB1AEE">
      <w:pPr>
        <w:numPr>
          <w:ilvl w:val="0"/>
          <w:numId w:val="63"/>
        </w:numPr>
        <w:pBdr>
          <w:top w:val="nil"/>
          <w:left w:val="nil"/>
          <w:bottom w:val="nil"/>
          <w:right w:val="nil"/>
          <w:between w:val="nil"/>
        </w:pBdr>
        <w:suppressAutoHyphens/>
        <w:spacing w:line="259" w:lineRule="auto"/>
        <w:ind w:left="1296" w:hanging="288"/>
        <w:jc w:val="left"/>
        <w:rPr>
          <w:szCs w:val="24"/>
          <w:u w:val="single"/>
        </w:rPr>
      </w:pPr>
      <w:r w:rsidRPr="00DB1AEE">
        <w:rPr>
          <w:szCs w:val="24"/>
          <w:u w:val="single"/>
        </w:rPr>
        <w:t>Assemblies not enclosing conditioned space.</w:t>
      </w:r>
    </w:p>
    <w:p w14:paraId="5D63DC91" w14:textId="77777777" w:rsidR="00DB1AEE" w:rsidRPr="00DB1AEE" w:rsidRDefault="00DB1AEE" w:rsidP="00DB1AEE">
      <w:pPr>
        <w:numPr>
          <w:ilvl w:val="0"/>
          <w:numId w:val="63"/>
        </w:numPr>
        <w:pBdr>
          <w:top w:val="nil"/>
          <w:left w:val="nil"/>
          <w:bottom w:val="nil"/>
          <w:right w:val="nil"/>
          <w:between w:val="nil"/>
        </w:pBdr>
        <w:suppressAutoHyphens/>
        <w:spacing w:line="259" w:lineRule="auto"/>
        <w:ind w:left="1296" w:hanging="288"/>
        <w:jc w:val="left"/>
        <w:rPr>
          <w:szCs w:val="24"/>
          <w:u w:val="single"/>
        </w:rPr>
      </w:pPr>
      <w:r w:rsidRPr="00DB1AEE">
        <w:rPr>
          <w:szCs w:val="24"/>
          <w:u w:val="single"/>
        </w:rPr>
        <w:t>Clear field thermal bridges.</w:t>
      </w:r>
    </w:p>
    <w:p w14:paraId="5B119292" w14:textId="77777777" w:rsidR="00DB1AEE" w:rsidRPr="00DB1AEE" w:rsidRDefault="00DB1AEE" w:rsidP="00DB1AEE">
      <w:pPr>
        <w:numPr>
          <w:ilvl w:val="0"/>
          <w:numId w:val="63"/>
        </w:numPr>
        <w:pBdr>
          <w:top w:val="nil"/>
          <w:left w:val="nil"/>
          <w:bottom w:val="nil"/>
          <w:right w:val="nil"/>
          <w:between w:val="nil"/>
        </w:pBdr>
        <w:suppressAutoHyphens/>
        <w:spacing w:line="259" w:lineRule="auto"/>
        <w:ind w:left="1296" w:hanging="288"/>
        <w:jc w:val="left"/>
        <w:rPr>
          <w:szCs w:val="24"/>
          <w:u w:val="single"/>
        </w:rPr>
      </w:pPr>
      <w:r w:rsidRPr="00DB1AEE">
        <w:rPr>
          <w:szCs w:val="24"/>
          <w:u w:val="single"/>
        </w:rPr>
        <w:t>Thermal bridges in uninsulated assemblies.</w:t>
      </w:r>
    </w:p>
    <w:p w14:paraId="4C30DA75" w14:textId="77777777" w:rsidR="00DB1AEE" w:rsidRPr="00DB1AEE" w:rsidRDefault="00DB1AEE" w:rsidP="00DB1AEE">
      <w:pPr>
        <w:numPr>
          <w:ilvl w:val="0"/>
          <w:numId w:val="63"/>
        </w:numPr>
        <w:pBdr>
          <w:top w:val="nil"/>
          <w:left w:val="nil"/>
          <w:bottom w:val="nil"/>
          <w:right w:val="nil"/>
          <w:between w:val="nil"/>
        </w:pBdr>
        <w:suppressAutoHyphens/>
        <w:spacing w:line="259" w:lineRule="auto"/>
        <w:ind w:left="1296" w:hanging="288"/>
        <w:jc w:val="left"/>
        <w:rPr>
          <w:szCs w:val="24"/>
          <w:u w:val="single"/>
        </w:rPr>
      </w:pPr>
      <w:r w:rsidRPr="00DB1AEE">
        <w:rPr>
          <w:szCs w:val="24"/>
          <w:u w:val="single"/>
        </w:rPr>
        <w:t>Linear- and point thermal bridges having a material thermal conductivity less than 3.0 Btu·in/h·ft</w:t>
      </w:r>
      <w:r w:rsidRPr="00DB1AEE">
        <w:rPr>
          <w:szCs w:val="24"/>
          <w:u w:val="single"/>
          <w:vertAlign w:val="superscript"/>
        </w:rPr>
        <w:t>2</w:t>
      </w:r>
      <w:r w:rsidRPr="00DB1AEE">
        <w:rPr>
          <w:szCs w:val="24"/>
          <w:u w:val="single"/>
        </w:rPr>
        <w:t>·°F (0.433 W/(m·K)).</w:t>
      </w:r>
    </w:p>
    <w:p w14:paraId="0939982B" w14:textId="77777777" w:rsidR="00DB1AEE" w:rsidRPr="00DB1AEE" w:rsidRDefault="00DB1AEE" w:rsidP="00DB1AEE">
      <w:pPr>
        <w:numPr>
          <w:ilvl w:val="0"/>
          <w:numId w:val="63"/>
        </w:numPr>
        <w:pBdr>
          <w:top w:val="nil"/>
          <w:left w:val="nil"/>
          <w:bottom w:val="nil"/>
          <w:right w:val="nil"/>
          <w:between w:val="nil"/>
        </w:pBdr>
        <w:suppressAutoHyphens/>
        <w:spacing w:after="160" w:line="259" w:lineRule="auto"/>
        <w:ind w:left="1296" w:hanging="288"/>
        <w:jc w:val="left"/>
        <w:rPr>
          <w:szCs w:val="24"/>
          <w:u w:val="single"/>
        </w:rPr>
      </w:pPr>
      <w:r w:rsidRPr="00DB1AEE">
        <w:rPr>
          <w:szCs w:val="24"/>
          <w:u w:val="single"/>
        </w:rPr>
        <w:t>Alterations except as required under section C503</w:t>
      </w:r>
    </w:p>
    <w:p w14:paraId="018F5F0D" w14:textId="77777777" w:rsidR="00DB1AEE" w:rsidRPr="00DB1AEE" w:rsidRDefault="00DB1AEE" w:rsidP="00DB1AEE">
      <w:pPr>
        <w:suppressAutoHyphens/>
        <w:ind w:left="1080"/>
        <w:jc w:val="left"/>
        <w:rPr>
          <w:szCs w:val="24"/>
          <w:u w:val="single"/>
        </w:rPr>
      </w:pPr>
      <w:r w:rsidRPr="00DB1AEE">
        <w:rPr>
          <w:b/>
          <w:szCs w:val="24"/>
          <w:u w:val="single"/>
        </w:rPr>
        <w:t xml:space="preserve">C402.7.1 Thermal bridge details. </w:t>
      </w:r>
      <w:r w:rsidRPr="00DB1AEE">
        <w:rPr>
          <w:szCs w:val="24"/>
          <w:u w:val="single"/>
        </w:rPr>
        <w:t xml:space="preserve"> The following intersections shall be evaluated for thermal bridges and be detailed in construction documents: </w:t>
      </w:r>
    </w:p>
    <w:p w14:paraId="743E1663" w14:textId="77777777" w:rsidR="00DB1AEE" w:rsidRPr="00DB1AEE" w:rsidRDefault="00DB1AEE" w:rsidP="00DB1AEE">
      <w:pPr>
        <w:numPr>
          <w:ilvl w:val="0"/>
          <w:numId w:val="64"/>
        </w:numPr>
        <w:pBdr>
          <w:top w:val="nil"/>
          <w:left w:val="nil"/>
          <w:bottom w:val="nil"/>
          <w:right w:val="nil"/>
          <w:between w:val="nil"/>
        </w:pBdr>
        <w:suppressAutoHyphens/>
        <w:spacing w:line="259" w:lineRule="auto"/>
        <w:ind w:left="1728" w:hanging="288"/>
        <w:jc w:val="left"/>
        <w:rPr>
          <w:szCs w:val="24"/>
          <w:u w:val="single"/>
        </w:rPr>
      </w:pPr>
      <w:r w:rsidRPr="00DB1AEE">
        <w:rPr>
          <w:szCs w:val="24"/>
          <w:u w:val="single"/>
        </w:rPr>
        <w:t xml:space="preserve">Structural framing and members. </w:t>
      </w:r>
    </w:p>
    <w:p w14:paraId="0CEDDBAA" w14:textId="77777777" w:rsidR="00DB1AEE" w:rsidRPr="00DB1AEE" w:rsidRDefault="00DB1AEE" w:rsidP="00DB1AEE">
      <w:pPr>
        <w:numPr>
          <w:ilvl w:val="0"/>
          <w:numId w:val="64"/>
        </w:numPr>
        <w:pBdr>
          <w:top w:val="nil"/>
          <w:left w:val="nil"/>
          <w:bottom w:val="nil"/>
          <w:right w:val="nil"/>
          <w:between w:val="nil"/>
        </w:pBdr>
        <w:suppressAutoHyphens/>
        <w:spacing w:line="259" w:lineRule="auto"/>
        <w:ind w:left="1728" w:hanging="288"/>
        <w:jc w:val="left"/>
        <w:rPr>
          <w:szCs w:val="24"/>
          <w:u w:val="single"/>
        </w:rPr>
      </w:pPr>
      <w:r w:rsidRPr="00DB1AEE">
        <w:rPr>
          <w:szCs w:val="24"/>
          <w:u w:val="single"/>
        </w:rPr>
        <w:t>Cladding attachment systems</w:t>
      </w:r>
    </w:p>
    <w:p w14:paraId="1C10C5FA" w14:textId="77777777" w:rsidR="00DB1AEE" w:rsidRPr="00DB1AEE" w:rsidRDefault="00DB1AEE" w:rsidP="00DB1AEE">
      <w:pPr>
        <w:numPr>
          <w:ilvl w:val="0"/>
          <w:numId w:val="64"/>
        </w:numPr>
        <w:pBdr>
          <w:top w:val="nil"/>
          <w:left w:val="nil"/>
          <w:bottom w:val="nil"/>
          <w:right w:val="nil"/>
          <w:between w:val="nil"/>
        </w:pBdr>
        <w:suppressAutoHyphens/>
        <w:spacing w:line="259" w:lineRule="auto"/>
        <w:ind w:left="1728" w:hanging="288"/>
        <w:jc w:val="left"/>
        <w:rPr>
          <w:szCs w:val="24"/>
          <w:u w:val="single"/>
        </w:rPr>
      </w:pPr>
      <w:r w:rsidRPr="00DB1AEE">
        <w:rPr>
          <w:szCs w:val="24"/>
          <w:u w:val="single"/>
        </w:rPr>
        <w:t xml:space="preserve">Assembly intersections: </w:t>
      </w:r>
    </w:p>
    <w:p w14:paraId="4A87CAA8" w14:textId="77777777" w:rsidR="00DB1AEE" w:rsidRPr="00DB1AEE" w:rsidRDefault="00DB1AEE" w:rsidP="00DB1AEE">
      <w:pPr>
        <w:numPr>
          <w:ilvl w:val="1"/>
          <w:numId w:val="64"/>
        </w:numPr>
        <w:pBdr>
          <w:top w:val="nil"/>
          <w:left w:val="nil"/>
          <w:bottom w:val="nil"/>
          <w:right w:val="nil"/>
          <w:between w:val="nil"/>
        </w:pBdr>
        <w:suppressAutoHyphens/>
        <w:spacing w:line="259" w:lineRule="auto"/>
        <w:ind w:left="1872" w:hanging="288"/>
        <w:jc w:val="left"/>
        <w:rPr>
          <w:szCs w:val="24"/>
          <w:u w:val="single"/>
        </w:rPr>
      </w:pPr>
      <w:r w:rsidRPr="00DB1AEE">
        <w:rPr>
          <w:szCs w:val="24"/>
          <w:u w:val="single"/>
        </w:rPr>
        <w:t>Roof edge, parapet</w:t>
      </w:r>
    </w:p>
    <w:p w14:paraId="567669C5" w14:textId="77777777" w:rsidR="00DB1AEE" w:rsidRPr="00DB1AEE" w:rsidRDefault="00DB1AEE" w:rsidP="00DB1AEE">
      <w:pPr>
        <w:numPr>
          <w:ilvl w:val="1"/>
          <w:numId w:val="64"/>
        </w:numPr>
        <w:pBdr>
          <w:top w:val="nil"/>
          <w:left w:val="nil"/>
          <w:bottom w:val="nil"/>
          <w:right w:val="nil"/>
          <w:between w:val="nil"/>
        </w:pBdr>
        <w:suppressAutoHyphens/>
        <w:spacing w:line="259" w:lineRule="auto"/>
        <w:ind w:left="1872" w:hanging="288"/>
        <w:jc w:val="left"/>
        <w:rPr>
          <w:szCs w:val="24"/>
          <w:u w:val="single"/>
        </w:rPr>
      </w:pPr>
      <w:r w:rsidRPr="00DB1AEE">
        <w:rPr>
          <w:szCs w:val="24"/>
          <w:u w:val="single"/>
        </w:rPr>
        <w:t>Intermediate floor to wall intersection</w:t>
      </w:r>
    </w:p>
    <w:p w14:paraId="17C48322" w14:textId="77777777" w:rsidR="00DB1AEE" w:rsidRPr="00DB1AEE" w:rsidRDefault="00DB1AEE" w:rsidP="00DB1AEE">
      <w:pPr>
        <w:numPr>
          <w:ilvl w:val="1"/>
          <w:numId w:val="64"/>
        </w:numPr>
        <w:pBdr>
          <w:top w:val="nil"/>
          <w:left w:val="nil"/>
          <w:bottom w:val="nil"/>
          <w:right w:val="nil"/>
          <w:between w:val="nil"/>
        </w:pBdr>
        <w:suppressAutoHyphens/>
        <w:spacing w:line="259" w:lineRule="auto"/>
        <w:ind w:left="1872" w:hanging="288"/>
        <w:jc w:val="left"/>
        <w:rPr>
          <w:szCs w:val="24"/>
          <w:u w:val="single"/>
        </w:rPr>
      </w:pPr>
      <w:r w:rsidRPr="00DB1AEE">
        <w:rPr>
          <w:szCs w:val="24"/>
          <w:u w:val="single"/>
        </w:rPr>
        <w:t>Intermediate floor balcony or overhang to opaque wall intersection</w:t>
      </w:r>
    </w:p>
    <w:p w14:paraId="68E77DA6" w14:textId="77777777" w:rsidR="00DB1AEE" w:rsidRPr="00DB1AEE" w:rsidRDefault="00DB1AEE" w:rsidP="00DB1AEE">
      <w:pPr>
        <w:numPr>
          <w:ilvl w:val="1"/>
          <w:numId w:val="64"/>
        </w:numPr>
        <w:pBdr>
          <w:top w:val="nil"/>
          <w:left w:val="nil"/>
          <w:bottom w:val="nil"/>
          <w:right w:val="nil"/>
          <w:between w:val="nil"/>
        </w:pBdr>
        <w:suppressAutoHyphens/>
        <w:spacing w:line="259" w:lineRule="auto"/>
        <w:ind w:left="1872" w:hanging="288"/>
        <w:jc w:val="left"/>
        <w:rPr>
          <w:szCs w:val="24"/>
          <w:u w:val="single"/>
        </w:rPr>
      </w:pPr>
      <w:r w:rsidRPr="00DB1AEE">
        <w:rPr>
          <w:szCs w:val="24"/>
          <w:u w:val="single"/>
        </w:rPr>
        <w:t>Intermediate floor balcony in contact with vertical fenestration</w:t>
      </w:r>
    </w:p>
    <w:p w14:paraId="13CC4264" w14:textId="77777777" w:rsidR="00DB1AEE" w:rsidRPr="00DB1AEE" w:rsidRDefault="00DB1AEE" w:rsidP="00DB1AEE">
      <w:pPr>
        <w:numPr>
          <w:ilvl w:val="1"/>
          <w:numId w:val="64"/>
        </w:numPr>
        <w:pBdr>
          <w:top w:val="nil"/>
          <w:left w:val="nil"/>
          <w:bottom w:val="nil"/>
          <w:right w:val="nil"/>
          <w:between w:val="nil"/>
        </w:pBdr>
        <w:suppressAutoHyphens/>
        <w:spacing w:line="259" w:lineRule="auto"/>
        <w:ind w:left="1872" w:hanging="288"/>
        <w:jc w:val="left"/>
        <w:rPr>
          <w:szCs w:val="24"/>
          <w:u w:val="single"/>
        </w:rPr>
      </w:pPr>
      <w:r w:rsidRPr="00DB1AEE">
        <w:rPr>
          <w:szCs w:val="24"/>
          <w:u w:val="single"/>
        </w:rPr>
        <w:t>Cladding support</w:t>
      </w:r>
    </w:p>
    <w:p w14:paraId="1E1BBE30" w14:textId="77777777" w:rsidR="00DB1AEE" w:rsidRPr="00DB1AEE" w:rsidRDefault="00DB1AEE" w:rsidP="00DB1AEE">
      <w:pPr>
        <w:numPr>
          <w:ilvl w:val="1"/>
          <w:numId w:val="64"/>
        </w:numPr>
        <w:pBdr>
          <w:top w:val="nil"/>
          <w:left w:val="nil"/>
          <w:bottom w:val="nil"/>
          <w:right w:val="nil"/>
          <w:between w:val="nil"/>
        </w:pBdr>
        <w:suppressAutoHyphens/>
        <w:spacing w:after="160" w:line="259" w:lineRule="auto"/>
        <w:ind w:left="1872" w:hanging="288"/>
        <w:jc w:val="left"/>
        <w:rPr>
          <w:u w:val="single"/>
        </w:rPr>
      </w:pPr>
      <w:r w:rsidRPr="00DB1AEE">
        <w:rPr>
          <w:u w:val="single"/>
        </w:rPr>
        <w:t>Wall to vertical fenestration intersection</w:t>
      </w:r>
    </w:p>
    <w:p w14:paraId="295BF255" w14:textId="77777777" w:rsidR="00DB1AEE" w:rsidRPr="00DB1AEE" w:rsidRDefault="00DB1AEE" w:rsidP="00DB1AEE">
      <w:pPr>
        <w:suppressAutoHyphens/>
        <w:ind w:left="1080"/>
        <w:jc w:val="left"/>
        <w:rPr>
          <w:b/>
          <w:bCs/>
          <w:szCs w:val="24"/>
          <w:u w:val="single"/>
        </w:rPr>
      </w:pPr>
      <w:r w:rsidRPr="00DB1AEE">
        <w:rPr>
          <w:b/>
          <w:bCs/>
          <w:szCs w:val="24"/>
          <w:u w:val="single"/>
        </w:rPr>
        <w:t xml:space="preserve">C402.7.2 Thermal bridges in above-grade walls. </w:t>
      </w:r>
      <w:r w:rsidRPr="00DB1AEE">
        <w:rPr>
          <w:szCs w:val="24"/>
          <w:u w:val="single"/>
        </w:rPr>
        <w:t xml:space="preserve"> Thermal bridges in above-grade walls shall comply with this section or an approved design accordance with Section </w:t>
      </w:r>
      <w:r w:rsidRPr="00DB1AEE">
        <w:rPr>
          <w:b/>
          <w:bCs/>
          <w:szCs w:val="24"/>
          <w:u w:val="single"/>
        </w:rPr>
        <w:t>102</w:t>
      </w:r>
      <w:r w:rsidRPr="00DB1AEE">
        <w:rPr>
          <w:szCs w:val="24"/>
          <w:u w:val="single"/>
        </w:rPr>
        <w:t>.</w:t>
      </w:r>
    </w:p>
    <w:p w14:paraId="476C77E0" w14:textId="77777777" w:rsidR="00DB1AEE" w:rsidRPr="00DB1AEE" w:rsidRDefault="00DB1AEE" w:rsidP="00DB1AEE">
      <w:pPr>
        <w:suppressAutoHyphens/>
        <w:ind w:left="1296"/>
        <w:jc w:val="left"/>
        <w:rPr>
          <w:szCs w:val="24"/>
          <w:u w:val="single"/>
        </w:rPr>
      </w:pPr>
      <w:r w:rsidRPr="00DB1AEE">
        <w:rPr>
          <w:b/>
          <w:szCs w:val="24"/>
          <w:u w:val="single"/>
        </w:rPr>
        <w:t>Exceptions:</w:t>
      </w:r>
      <w:r w:rsidRPr="00DB1AEE">
        <w:rPr>
          <w:szCs w:val="24"/>
          <w:u w:val="single"/>
        </w:rPr>
        <w:t xml:space="preserve"> Blocking, coping, flashing, and other similar materials for attachment of roof coverings.</w:t>
      </w:r>
    </w:p>
    <w:p w14:paraId="273FB3C7" w14:textId="77777777" w:rsidR="00DB1AEE" w:rsidRPr="00DB1AEE" w:rsidRDefault="00DB1AEE" w:rsidP="00DB1AEE">
      <w:pPr>
        <w:suppressAutoHyphens/>
        <w:ind w:left="1440"/>
        <w:jc w:val="left"/>
        <w:rPr>
          <w:szCs w:val="24"/>
          <w:u w:val="single"/>
        </w:rPr>
      </w:pPr>
      <w:bookmarkStart w:id="317" w:name="_2r0uhxc" w:colFirst="0" w:colLast="0"/>
      <w:bookmarkEnd w:id="317"/>
      <w:r w:rsidRPr="00DB1AEE">
        <w:rPr>
          <w:b/>
          <w:szCs w:val="24"/>
          <w:u w:val="single"/>
        </w:rPr>
        <w:t xml:space="preserve">C402.7.2.1 Balconies and floor decks. </w:t>
      </w:r>
      <w:r w:rsidRPr="00DB1AEE">
        <w:rPr>
          <w:szCs w:val="24"/>
          <w:u w:val="single"/>
        </w:rPr>
        <w:t xml:space="preserve"> Balconies and concrete floor decks shall not penetrate the building thermal envelope. Such assemblies shall be separately supported or shall be supported by structural attachments or elements that minimize thermal bridging through the building thermal envelope.</w:t>
      </w:r>
    </w:p>
    <w:p w14:paraId="51E0A63E" w14:textId="77777777" w:rsidR="00DB1AEE" w:rsidRPr="00DB1AEE" w:rsidRDefault="00DB1AEE" w:rsidP="00DB1AEE">
      <w:pPr>
        <w:suppressAutoHyphens/>
        <w:ind w:left="1584"/>
        <w:jc w:val="left"/>
        <w:rPr>
          <w:szCs w:val="24"/>
          <w:u w:val="single"/>
        </w:rPr>
      </w:pPr>
      <w:r w:rsidRPr="00DB1AEE">
        <w:rPr>
          <w:b/>
          <w:szCs w:val="24"/>
          <w:u w:val="single"/>
        </w:rPr>
        <w:t>Exceptions:</w:t>
      </w:r>
      <w:r w:rsidRPr="00DB1AEE">
        <w:rPr>
          <w:szCs w:val="24"/>
          <w:u w:val="single"/>
        </w:rPr>
        <w:t xml:space="preserve"> Balconies and concrete floor decks shall be permitted to penetrate the building thermal envelope where</w:t>
      </w:r>
      <w:r w:rsidRPr="00DB1AEE">
        <w:rPr>
          <w:strike/>
          <w:szCs w:val="24"/>
          <w:u w:val="single"/>
        </w:rPr>
        <w:t xml:space="preserve"> </w:t>
      </w:r>
      <w:r w:rsidRPr="00DB1AEE">
        <w:rPr>
          <w:szCs w:val="24"/>
          <w:u w:val="single"/>
        </w:rPr>
        <w:t>one of the following applies</w:t>
      </w:r>
      <w:r w:rsidRPr="00DB1AEE">
        <w:rPr>
          <w:strike/>
          <w:szCs w:val="24"/>
          <w:u w:val="single"/>
        </w:rPr>
        <w:t>:</w:t>
      </w:r>
    </w:p>
    <w:p w14:paraId="32568745" w14:textId="77777777" w:rsidR="00DB1AEE" w:rsidRPr="00DB1AEE" w:rsidRDefault="00DB1AEE" w:rsidP="00DB1AEE">
      <w:pPr>
        <w:numPr>
          <w:ilvl w:val="0"/>
          <w:numId w:val="65"/>
        </w:numPr>
        <w:pBdr>
          <w:top w:val="nil"/>
          <w:left w:val="nil"/>
          <w:bottom w:val="nil"/>
          <w:right w:val="nil"/>
          <w:between w:val="nil"/>
        </w:pBdr>
        <w:suppressAutoHyphens/>
        <w:spacing w:line="259" w:lineRule="auto"/>
        <w:ind w:left="2250"/>
        <w:jc w:val="left"/>
        <w:rPr>
          <w:szCs w:val="24"/>
          <w:u w:val="single"/>
        </w:rPr>
      </w:pPr>
      <w:r w:rsidRPr="00DB1AEE">
        <w:rPr>
          <w:szCs w:val="24"/>
          <w:u w:val="single"/>
        </w:rPr>
        <w:t>An area-weighted U-factor is used for above-grade wall compliance which includes a U-factor of 0.8 Btu/h·ft</w:t>
      </w:r>
      <w:r w:rsidRPr="00DB1AEE">
        <w:rPr>
          <w:szCs w:val="24"/>
          <w:u w:val="single"/>
          <w:vertAlign w:val="superscript"/>
        </w:rPr>
        <w:t>2</w:t>
      </w:r>
      <w:r w:rsidRPr="00DB1AEE">
        <w:rPr>
          <w:szCs w:val="24"/>
          <w:u w:val="single"/>
        </w:rPr>
        <w:t>·°F (1.38W/m × K)  for the area of the above-grade wall penetrated by the concrete floor deck in accordance with Section C402.1.2.1.5, or</w:t>
      </w:r>
    </w:p>
    <w:p w14:paraId="3C902760" w14:textId="77777777" w:rsidR="00DB1AEE" w:rsidRPr="00DB1AEE" w:rsidRDefault="00DB1AEE" w:rsidP="00DB1AEE">
      <w:pPr>
        <w:numPr>
          <w:ilvl w:val="0"/>
          <w:numId w:val="65"/>
        </w:numPr>
        <w:pBdr>
          <w:top w:val="nil"/>
          <w:left w:val="nil"/>
          <w:bottom w:val="nil"/>
          <w:right w:val="nil"/>
          <w:between w:val="nil"/>
        </w:pBdr>
        <w:suppressAutoHyphens/>
        <w:spacing w:line="259" w:lineRule="auto"/>
        <w:ind w:left="2016" w:hanging="288"/>
        <w:jc w:val="left"/>
        <w:rPr>
          <w:szCs w:val="24"/>
          <w:u w:val="single"/>
        </w:rPr>
      </w:pPr>
      <w:r w:rsidRPr="00DB1AEE">
        <w:rPr>
          <w:szCs w:val="24"/>
          <w:u w:val="single"/>
        </w:rPr>
        <w:t xml:space="preserve">An approved </w:t>
      </w:r>
      <w:r w:rsidRPr="00DB1AEE">
        <w:rPr>
          <w:i/>
          <w:iCs/>
          <w:szCs w:val="24"/>
          <w:u w:val="single"/>
        </w:rPr>
        <w:t>thermal break device</w:t>
      </w:r>
      <w:r w:rsidRPr="00DB1AEE">
        <w:rPr>
          <w:szCs w:val="24"/>
          <w:u w:val="single"/>
        </w:rPr>
        <w:t xml:space="preserve"> with an </w:t>
      </w:r>
      <w:r w:rsidRPr="00DB1AEE">
        <w:rPr>
          <w:i/>
          <w:iCs/>
          <w:szCs w:val="24"/>
          <w:u w:val="single"/>
        </w:rPr>
        <w:t>R-value</w:t>
      </w:r>
      <w:r w:rsidRPr="00DB1AEE">
        <w:rPr>
          <w:szCs w:val="24"/>
          <w:u w:val="single"/>
        </w:rPr>
        <w:t xml:space="preserve"> of not less than R-10 insulation material is installed in accordance with the manufacturer's instructions or.</w:t>
      </w:r>
    </w:p>
    <w:p w14:paraId="01436864" w14:textId="77777777" w:rsidR="00DB1AEE" w:rsidRPr="00DB1AEE" w:rsidRDefault="00DB1AEE" w:rsidP="00DB1AEE">
      <w:pPr>
        <w:numPr>
          <w:ilvl w:val="0"/>
          <w:numId w:val="65"/>
        </w:numPr>
        <w:pBdr>
          <w:top w:val="nil"/>
          <w:left w:val="nil"/>
          <w:bottom w:val="nil"/>
          <w:right w:val="nil"/>
          <w:between w:val="nil"/>
        </w:pBdr>
        <w:suppressAutoHyphens/>
        <w:spacing w:after="160" w:line="259" w:lineRule="auto"/>
        <w:ind w:left="2016" w:hanging="288"/>
        <w:jc w:val="left"/>
        <w:rPr>
          <w:szCs w:val="24"/>
          <w:u w:val="single"/>
        </w:rPr>
      </w:pPr>
      <w:r w:rsidRPr="00DB1AEE">
        <w:rPr>
          <w:szCs w:val="24"/>
          <w:u w:val="single"/>
        </w:rPr>
        <w:t>An approved design in accordance with Section 102 where the above-grade wall U-factor used for compliance accounts for all balcony and concrete floor deck thermal bridges.</w:t>
      </w:r>
    </w:p>
    <w:p w14:paraId="120887FE" w14:textId="77777777" w:rsidR="00DB1AEE" w:rsidRPr="00DB1AEE" w:rsidRDefault="00DB1AEE" w:rsidP="00DB1AEE">
      <w:pPr>
        <w:suppressAutoHyphens/>
        <w:ind w:left="720"/>
        <w:jc w:val="left"/>
        <w:rPr>
          <w:szCs w:val="24"/>
          <w:u w:val="single"/>
        </w:rPr>
      </w:pPr>
    </w:p>
    <w:p w14:paraId="6C55CF92" w14:textId="77777777" w:rsidR="00DB1AEE" w:rsidRPr="00DB1AEE" w:rsidRDefault="00DB1AEE" w:rsidP="00DB1AEE">
      <w:pPr>
        <w:suppressAutoHyphens/>
        <w:ind w:left="1440"/>
        <w:jc w:val="left"/>
        <w:rPr>
          <w:szCs w:val="24"/>
          <w:u w:val="single"/>
        </w:rPr>
      </w:pPr>
      <w:bookmarkStart w:id="318" w:name="_1664s55" w:colFirst="0" w:colLast="0"/>
      <w:bookmarkEnd w:id="318"/>
      <w:r w:rsidRPr="00DB1AEE">
        <w:rPr>
          <w:b/>
          <w:szCs w:val="24"/>
          <w:u w:val="single"/>
        </w:rPr>
        <w:t xml:space="preserve">C402.7.2.2 Cladding supports. </w:t>
      </w:r>
      <w:r w:rsidRPr="00DB1AEE">
        <w:rPr>
          <w:szCs w:val="24"/>
          <w:u w:val="single"/>
        </w:rPr>
        <w:t xml:space="preserve"> Linear elements supporting opaque cladding shall be offset from the structure with attachments that allow the continuous insulation, where present, to pass behind the cladding support element except at the point of attachment.</w:t>
      </w:r>
    </w:p>
    <w:p w14:paraId="33091780" w14:textId="77777777" w:rsidR="00DB1AEE" w:rsidRPr="00DB1AEE" w:rsidRDefault="00DB1AEE" w:rsidP="00DB1AEE">
      <w:pPr>
        <w:suppressAutoHyphens/>
        <w:ind w:left="1584"/>
        <w:jc w:val="left"/>
        <w:rPr>
          <w:szCs w:val="24"/>
          <w:u w:val="single"/>
        </w:rPr>
      </w:pPr>
      <w:r w:rsidRPr="00DB1AEE">
        <w:rPr>
          <w:b/>
          <w:szCs w:val="24"/>
          <w:u w:val="single"/>
        </w:rPr>
        <w:t>Exceptions:</w:t>
      </w:r>
      <w:r w:rsidRPr="00DB1AEE">
        <w:rPr>
          <w:szCs w:val="24"/>
          <w:u w:val="single"/>
        </w:rPr>
        <w:t xml:space="preserve"> </w:t>
      </w:r>
    </w:p>
    <w:p w14:paraId="7ED76AAE" w14:textId="77777777" w:rsidR="00DB1AEE" w:rsidRPr="00DB1AEE" w:rsidRDefault="00DB1AEE" w:rsidP="00DB1AEE">
      <w:pPr>
        <w:suppressAutoHyphens/>
        <w:ind w:left="1584"/>
        <w:jc w:val="left"/>
        <w:rPr>
          <w:szCs w:val="24"/>
          <w:u w:val="single"/>
        </w:rPr>
      </w:pPr>
      <w:r w:rsidRPr="00DB1AEE">
        <w:rPr>
          <w:szCs w:val="24"/>
          <w:u w:val="single"/>
        </w:rPr>
        <w:t xml:space="preserve">1. An approved design in accordance with Section 102 where the above-grade wall U-factor used for compliance accounts for the cladding support element thermal bridge. </w:t>
      </w:r>
    </w:p>
    <w:p w14:paraId="2924859B" w14:textId="77777777" w:rsidR="00DB1AEE" w:rsidRPr="00DB1AEE" w:rsidRDefault="00DB1AEE" w:rsidP="00DB1AEE">
      <w:pPr>
        <w:suppressAutoHyphens/>
        <w:ind w:left="1584"/>
        <w:jc w:val="left"/>
        <w:rPr>
          <w:szCs w:val="24"/>
          <w:u w:val="single"/>
        </w:rPr>
      </w:pPr>
      <w:r w:rsidRPr="00DB1AEE">
        <w:rPr>
          <w:szCs w:val="24"/>
          <w:u w:val="single"/>
        </w:rPr>
        <w:t>2. Anchoring for curtain wall and window wall systems where curtain wall and window wall systems comply with Section C402.7.2.4.</w:t>
      </w:r>
    </w:p>
    <w:p w14:paraId="79265077" w14:textId="77777777" w:rsidR="00DB1AEE" w:rsidRPr="00DB1AEE" w:rsidRDefault="00DB1AEE" w:rsidP="00DB1AEE">
      <w:pPr>
        <w:suppressAutoHyphens/>
        <w:ind w:left="1440"/>
        <w:jc w:val="left"/>
        <w:rPr>
          <w:szCs w:val="24"/>
          <w:u w:val="single"/>
        </w:rPr>
      </w:pPr>
      <w:bookmarkStart w:id="319" w:name="_3q5sasy"/>
      <w:bookmarkEnd w:id="319"/>
      <w:r w:rsidRPr="00DB1AEE">
        <w:rPr>
          <w:b/>
          <w:bCs/>
          <w:szCs w:val="24"/>
          <w:u w:val="single"/>
        </w:rPr>
        <w:t xml:space="preserve">C402.7.2.3 Structural beams and columns. </w:t>
      </w:r>
      <w:r w:rsidRPr="00DB1AEE">
        <w:rPr>
          <w:szCs w:val="24"/>
          <w:u w:val="single"/>
        </w:rPr>
        <w:t xml:space="preserve"> Structural steel and concrete beams and columns that project through the building thermal envelope shall be covered with not less than R-5 insulation for not less than 2 feet (610 mm) beyond the interior or exterior surface of an insulation component within the building thermal envelope.</w:t>
      </w:r>
    </w:p>
    <w:p w14:paraId="4DE9D82C" w14:textId="77777777" w:rsidR="00DB1AEE" w:rsidRPr="00DB1AEE" w:rsidRDefault="00DB1AEE" w:rsidP="00DB1AEE">
      <w:pPr>
        <w:suppressAutoHyphens/>
        <w:ind w:left="1584"/>
        <w:jc w:val="left"/>
        <w:rPr>
          <w:szCs w:val="24"/>
          <w:u w:val="single"/>
        </w:rPr>
      </w:pPr>
      <w:r w:rsidRPr="00DB1AEE">
        <w:rPr>
          <w:b/>
          <w:szCs w:val="24"/>
          <w:u w:val="single"/>
        </w:rPr>
        <w:t>Exception:</w:t>
      </w:r>
      <w:r w:rsidRPr="00DB1AEE">
        <w:rPr>
          <w:szCs w:val="24"/>
          <w:u w:val="single"/>
        </w:rPr>
        <w:t xml:space="preserve"> </w:t>
      </w:r>
    </w:p>
    <w:p w14:paraId="1F16DC0A" w14:textId="77777777" w:rsidR="00DB1AEE" w:rsidRPr="00DB1AEE" w:rsidRDefault="00DB1AEE" w:rsidP="00DB1AEE">
      <w:pPr>
        <w:suppressAutoHyphens/>
        <w:ind w:left="1584"/>
        <w:jc w:val="left"/>
        <w:rPr>
          <w:szCs w:val="24"/>
          <w:u w:val="single"/>
        </w:rPr>
      </w:pPr>
      <w:r w:rsidRPr="00DB1AEE">
        <w:rPr>
          <w:szCs w:val="24"/>
          <w:u w:val="single"/>
        </w:rPr>
        <w:t>1.Where an approved thermal break device is installed in accordance with the manufacturer's instructions.</w:t>
      </w:r>
    </w:p>
    <w:p w14:paraId="4B042D1F" w14:textId="77777777" w:rsidR="00DB1AEE" w:rsidRPr="00DB1AEE" w:rsidRDefault="00DB1AEE" w:rsidP="00DB1AEE">
      <w:pPr>
        <w:suppressAutoHyphens/>
        <w:ind w:left="1584"/>
        <w:jc w:val="left"/>
        <w:rPr>
          <w:szCs w:val="24"/>
          <w:u w:val="single"/>
        </w:rPr>
      </w:pPr>
      <w:r w:rsidRPr="00DB1AEE">
        <w:rPr>
          <w:szCs w:val="24"/>
          <w:u w:val="single"/>
        </w:rPr>
        <w:t>2. An approved design in accordance with Section102 where the above-grade wall U-factor used to demonstrate compliance accounts for the beam or column thermal bridge .</w:t>
      </w:r>
    </w:p>
    <w:p w14:paraId="7A43CEA8" w14:textId="77777777" w:rsidR="00DB1AEE" w:rsidRPr="00DB1AEE" w:rsidRDefault="00DB1AEE" w:rsidP="00DB1AEE">
      <w:pPr>
        <w:suppressAutoHyphens/>
        <w:ind w:left="1584"/>
        <w:jc w:val="left"/>
        <w:rPr>
          <w:szCs w:val="24"/>
          <w:u w:val="single"/>
        </w:rPr>
      </w:pPr>
    </w:p>
    <w:p w14:paraId="165BFF6A" w14:textId="77777777" w:rsidR="00DB1AEE" w:rsidRPr="00DB1AEE" w:rsidRDefault="00DB1AEE" w:rsidP="00DB1AEE">
      <w:pPr>
        <w:suppressAutoHyphens/>
        <w:ind w:left="1440"/>
        <w:jc w:val="left"/>
        <w:rPr>
          <w:szCs w:val="24"/>
          <w:u w:val="single"/>
        </w:rPr>
      </w:pPr>
      <w:bookmarkStart w:id="320" w:name="_25b2l0r" w:colFirst="0" w:colLast="0"/>
      <w:bookmarkEnd w:id="320"/>
      <w:r w:rsidRPr="00DB1AEE">
        <w:rPr>
          <w:b/>
          <w:szCs w:val="24"/>
          <w:u w:val="single"/>
        </w:rPr>
        <w:t xml:space="preserve">C402.7.2.4 Vertical fenestration. </w:t>
      </w:r>
      <w:r w:rsidRPr="00DB1AEE">
        <w:rPr>
          <w:szCs w:val="24"/>
          <w:u w:val="single"/>
        </w:rPr>
        <w:t xml:space="preserve"> Vertical fenestration.  Vertical  fenestration intersections with above-grade walls shall comply with one or more of the following::</w:t>
      </w:r>
    </w:p>
    <w:p w14:paraId="62624D10" w14:textId="77777777" w:rsidR="00DB1AEE" w:rsidRPr="00DB1AEE" w:rsidRDefault="00DB1AEE" w:rsidP="00DB1AEE">
      <w:pPr>
        <w:numPr>
          <w:ilvl w:val="0"/>
          <w:numId w:val="66"/>
        </w:numPr>
        <w:pBdr>
          <w:top w:val="nil"/>
          <w:left w:val="nil"/>
          <w:bottom w:val="nil"/>
          <w:right w:val="nil"/>
          <w:between w:val="nil"/>
        </w:pBdr>
        <w:suppressAutoHyphens/>
        <w:spacing w:line="259" w:lineRule="auto"/>
        <w:ind w:left="1872" w:hanging="288"/>
        <w:jc w:val="left"/>
        <w:rPr>
          <w:szCs w:val="24"/>
          <w:u w:val="single"/>
        </w:rPr>
      </w:pPr>
      <w:r w:rsidRPr="00DB1AEE">
        <w:rPr>
          <w:szCs w:val="24"/>
          <w:u w:val="single"/>
        </w:rPr>
        <w:t>Where above-grade walls include continuous insulation, the plane of the exterior glazing layer or, for metal frame fenestration, a non-metal thermal break in the frame shall be positioned within 2 inches (610 mm) of the interior or exterior surface of the continuous insulation.</w:t>
      </w:r>
    </w:p>
    <w:p w14:paraId="70334A8F" w14:textId="77777777" w:rsidR="00DB1AEE" w:rsidRPr="00DB1AEE" w:rsidRDefault="00DB1AEE" w:rsidP="00DB1AEE">
      <w:pPr>
        <w:numPr>
          <w:ilvl w:val="0"/>
          <w:numId w:val="66"/>
        </w:numPr>
        <w:pBdr>
          <w:top w:val="nil"/>
          <w:left w:val="nil"/>
          <w:bottom w:val="nil"/>
          <w:right w:val="nil"/>
          <w:between w:val="nil"/>
        </w:pBdr>
        <w:suppressAutoHyphens/>
        <w:spacing w:line="259" w:lineRule="auto"/>
        <w:ind w:left="1872" w:hanging="288"/>
        <w:jc w:val="left"/>
        <w:rPr>
          <w:szCs w:val="24"/>
          <w:u w:val="single"/>
        </w:rPr>
      </w:pPr>
      <w:r w:rsidRPr="00DB1AEE">
        <w:rPr>
          <w:szCs w:val="24"/>
          <w:u w:val="single"/>
        </w:rPr>
        <w:t>Where above-grade walls do not include continuous insulation, the plane of the exterior glazing layer or, for metal frame fenestration, a non-metal thermal break in the frame shall be positioned within the thickness of the integral or cavity insulation.</w:t>
      </w:r>
    </w:p>
    <w:p w14:paraId="7AC0316D" w14:textId="77777777" w:rsidR="00DB1AEE" w:rsidRPr="00DB1AEE" w:rsidRDefault="00DB1AEE" w:rsidP="00DB1AEE">
      <w:pPr>
        <w:numPr>
          <w:ilvl w:val="0"/>
          <w:numId w:val="66"/>
        </w:numPr>
        <w:pBdr>
          <w:top w:val="nil"/>
          <w:left w:val="nil"/>
          <w:bottom w:val="nil"/>
          <w:right w:val="nil"/>
          <w:between w:val="nil"/>
        </w:pBdr>
        <w:suppressAutoHyphens/>
        <w:spacing w:line="259" w:lineRule="auto"/>
        <w:ind w:left="1872" w:hanging="288"/>
        <w:jc w:val="left"/>
        <w:rPr>
          <w:szCs w:val="24"/>
          <w:u w:val="single"/>
        </w:rPr>
      </w:pPr>
      <w:r w:rsidRPr="00DB1AEE">
        <w:rPr>
          <w:szCs w:val="24"/>
          <w:u w:val="single"/>
        </w:rPr>
        <w:t>The surface of the rough opening, not covered by the fenestration frame, shall be insulated with insulation of not less than R-3 material or covered with a wood buck that is not less than 1.5 inches (457 mm) thick.</w:t>
      </w:r>
    </w:p>
    <w:p w14:paraId="3A352EF0" w14:textId="77777777" w:rsidR="00DB1AEE" w:rsidRPr="00DB1AEE" w:rsidRDefault="00DB1AEE" w:rsidP="00DB1AEE">
      <w:pPr>
        <w:pBdr>
          <w:top w:val="nil"/>
          <w:left w:val="nil"/>
          <w:bottom w:val="nil"/>
          <w:right w:val="nil"/>
          <w:between w:val="nil"/>
        </w:pBdr>
        <w:suppressAutoHyphens/>
        <w:ind w:left="1980"/>
        <w:jc w:val="left"/>
        <w:rPr>
          <w:szCs w:val="24"/>
          <w:u w:val="single"/>
        </w:rPr>
      </w:pPr>
      <w:r w:rsidRPr="00DB1AEE">
        <w:rPr>
          <w:b/>
          <w:szCs w:val="24"/>
          <w:u w:val="single"/>
        </w:rPr>
        <w:t xml:space="preserve">Exceptions: </w:t>
      </w:r>
    </w:p>
    <w:p w14:paraId="25568F45" w14:textId="77777777" w:rsidR="00DB1AEE" w:rsidRPr="00DB1AEE" w:rsidRDefault="00DB1AEE" w:rsidP="00DB1AEE">
      <w:pPr>
        <w:pBdr>
          <w:top w:val="nil"/>
          <w:left w:val="nil"/>
          <w:bottom w:val="nil"/>
          <w:right w:val="nil"/>
          <w:between w:val="nil"/>
        </w:pBdr>
        <w:suppressAutoHyphens/>
        <w:ind w:left="1980"/>
        <w:jc w:val="left"/>
        <w:rPr>
          <w:szCs w:val="24"/>
          <w:u w:val="single"/>
        </w:rPr>
      </w:pPr>
      <w:r w:rsidRPr="00DB1AEE">
        <w:rPr>
          <w:szCs w:val="24"/>
          <w:u w:val="single"/>
        </w:rPr>
        <w:t xml:space="preserve">1. Where an </w:t>
      </w:r>
      <w:r w:rsidRPr="00DB1AEE">
        <w:rPr>
          <w:i/>
          <w:szCs w:val="24"/>
          <w:u w:val="single"/>
        </w:rPr>
        <w:t xml:space="preserve">approved </w:t>
      </w:r>
      <w:r w:rsidRPr="00DB1AEE">
        <w:rPr>
          <w:szCs w:val="24"/>
          <w:u w:val="single"/>
        </w:rPr>
        <w:t xml:space="preserve">design in accordance with Section 102 for the above-grade wall U-factor used for compliance accounts for </w:t>
      </w:r>
      <w:r w:rsidRPr="00DB1AEE">
        <w:rPr>
          <w:i/>
          <w:szCs w:val="24"/>
          <w:u w:val="single"/>
        </w:rPr>
        <w:t xml:space="preserve">thermal bridges </w:t>
      </w:r>
      <w:r w:rsidRPr="00DB1AEE">
        <w:rPr>
          <w:szCs w:val="24"/>
          <w:u w:val="single"/>
        </w:rPr>
        <w:t xml:space="preserve">at the intersection with the vertical fenestration. </w:t>
      </w:r>
    </w:p>
    <w:p w14:paraId="04C31AFE" w14:textId="77777777" w:rsidR="00DB1AEE" w:rsidRPr="00DB1AEE" w:rsidRDefault="00DB1AEE" w:rsidP="00DB1AEE">
      <w:pPr>
        <w:pBdr>
          <w:top w:val="nil"/>
          <w:left w:val="nil"/>
          <w:bottom w:val="nil"/>
          <w:right w:val="nil"/>
          <w:between w:val="nil"/>
        </w:pBdr>
        <w:suppressAutoHyphens/>
        <w:ind w:left="1980"/>
        <w:jc w:val="left"/>
        <w:rPr>
          <w:szCs w:val="24"/>
          <w:u w:val="single"/>
        </w:rPr>
      </w:pPr>
      <w:r w:rsidRPr="00DB1AEE">
        <w:rPr>
          <w:szCs w:val="24"/>
          <w:u w:val="single"/>
        </w:rPr>
        <w:t>2. Doors</w:t>
      </w:r>
    </w:p>
    <w:p w14:paraId="4BEF3C58" w14:textId="77777777" w:rsidR="00DB1AEE" w:rsidRPr="00DB1AEE" w:rsidRDefault="00DB1AEE" w:rsidP="00DB1AEE">
      <w:pPr>
        <w:suppressAutoHyphens/>
        <w:ind w:left="1980"/>
        <w:jc w:val="left"/>
        <w:rPr>
          <w:bCs/>
          <w:szCs w:val="24"/>
          <w:u w:val="single"/>
        </w:rPr>
      </w:pPr>
      <w:bookmarkStart w:id="321" w:name="_kgcv8k" w:colFirst="0" w:colLast="0"/>
      <w:bookmarkEnd w:id="321"/>
      <w:r w:rsidRPr="00DB1AEE">
        <w:rPr>
          <w:b/>
          <w:szCs w:val="24"/>
          <w:u w:val="single"/>
        </w:rPr>
        <w:t xml:space="preserve">C402.7.2.4.1 vertical fenestration with spandrels.  </w:t>
      </w:r>
      <w:r w:rsidRPr="00DB1AEE">
        <w:rPr>
          <w:bCs/>
          <w:szCs w:val="24"/>
          <w:u w:val="single"/>
        </w:rPr>
        <w:t>Vertical fenestration with spandrels shall comply with one of the following:</w:t>
      </w:r>
    </w:p>
    <w:p w14:paraId="33EACD0B" w14:textId="77777777" w:rsidR="00DB1AEE" w:rsidRPr="00DB1AEE" w:rsidRDefault="00DB1AEE" w:rsidP="00DB1AEE">
      <w:pPr>
        <w:suppressAutoHyphens/>
        <w:ind w:left="1980"/>
        <w:jc w:val="left"/>
        <w:rPr>
          <w:bCs/>
          <w:szCs w:val="24"/>
          <w:u w:val="single"/>
        </w:rPr>
      </w:pPr>
      <w:r w:rsidRPr="00DB1AEE">
        <w:rPr>
          <w:bCs/>
          <w:szCs w:val="24"/>
          <w:u w:val="single"/>
        </w:rPr>
        <w:t>1.</w:t>
      </w:r>
      <w:r w:rsidRPr="00DB1AEE">
        <w:rPr>
          <w:bCs/>
          <w:szCs w:val="24"/>
          <w:u w:val="single"/>
        </w:rPr>
        <w:tab/>
        <w:t>For the intersection between vertical fenestration and opaque spandrel in a shared framing system, manufacturer's data for the spandrel U-factor shall account for thermal bridges.</w:t>
      </w:r>
    </w:p>
    <w:p w14:paraId="51C8E700" w14:textId="77777777" w:rsidR="00DB1AEE" w:rsidRPr="00DB1AEE" w:rsidRDefault="00DB1AEE" w:rsidP="00DB1AEE">
      <w:pPr>
        <w:suppressAutoHyphens/>
        <w:ind w:left="1980"/>
        <w:jc w:val="left"/>
        <w:rPr>
          <w:bCs/>
          <w:szCs w:val="24"/>
          <w:u w:val="single"/>
        </w:rPr>
      </w:pPr>
      <w:r w:rsidRPr="00DB1AEE">
        <w:rPr>
          <w:bCs/>
          <w:szCs w:val="24"/>
          <w:u w:val="single"/>
        </w:rPr>
        <w:t>2.</w:t>
      </w:r>
      <w:r w:rsidRPr="00DB1AEE">
        <w:rPr>
          <w:bCs/>
          <w:szCs w:val="24"/>
          <w:u w:val="single"/>
        </w:rPr>
        <w:tab/>
        <w:t>Use Default values as listed in C303.1.5</w:t>
      </w:r>
    </w:p>
    <w:p w14:paraId="2352DA32" w14:textId="77777777" w:rsidR="00DB1AEE" w:rsidRPr="00DB1AEE" w:rsidRDefault="00DB1AEE" w:rsidP="00DB1AEE">
      <w:pPr>
        <w:suppressAutoHyphens/>
        <w:ind w:left="720"/>
        <w:jc w:val="left"/>
        <w:rPr>
          <w:b/>
          <w:szCs w:val="24"/>
          <w:u w:val="single"/>
        </w:rPr>
      </w:pPr>
    </w:p>
    <w:p w14:paraId="3C8978EC" w14:textId="77777777" w:rsidR="00DB1AEE" w:rsidRPr="00DB1AEE" w:rsidRDefault="00DB1AEE" w:rsidP="00DB1AEE">
      <w:pPr>
        <w:suppressAutoHyphens/>
        <w:ind w:left="1440"/>
        <w:jc w:val="left"/>
        <w:rPr>
          <w:szCs w:val="24"/>
          <w:u w:val="single"/>
        </w:rPr>
      </w:pPr>
      <w:bookmarkStart w:id="322" w:name="_34g0dwd" w:colFirst="0" w:colLast="0"/>
      <w:bookmarkEnd w:id="322"/>
      <w:r w:rsidRPr="00DB1AEE">
        <w:rPr>
          <w:b/>
          <w:szCs w:val="24"/>
          <w:u w:val="single"/>
        </w:rPr>
        <w:t xml:space="preserve">C402.7.2.5 Parapets. </w:t>
      </w:r>
      <w:r w:rsidRPr="00DB1AEE">
        <w:rPr>
          <w:szCs w:val="24"/>
          <w:u w:val="single"/>
        </w:rPr>
        <w:t xml:space="preserve"> Parapets shall comply with one or more of the following as applicable:</w:t>
      </w:r>
    </w:p>
    <w:p w14:paraId="00F0B787" w14:textId="77777777" w:rsidR="00DB1AEE" w:rsidRPr="00DB1AEE" w:rsidRDefault="00DB1AEE" w:rsidP="00DB1AEE">
      <w:pPr>
        <w:numPr>
          <w:ilvl w:val="0"/>
          <w:numId w:val="67"/>
        </w:numPr>
        <w:pBdr>
          <w:top w:val="nil"/>
          <w:left w:val="nil"/>
          <w:bottom w:val="nil"/>
          <w:right w:val="nil"/>
          <w:between w:val="nil"/>
        </w:pBdr>
        <w:suppressAutoHyphens/>
        <w:spacing w:line="259" w:lineRule="auto"/>
        <w:ind w:left="1872" w:hanging="288"/>
        <w:jc w:val="left"/>
        <w:rPr>
          <w:szCs w:val="24"/>
          <w:u w:val="single"/>
        </w:rPr>
      </w:pPr>
      <w:r w:rsidRPr="00DB1AEE">
        <w:rPr>
          <w:szCs w:val="24"/>
          <w:u w:val="single"/>
        </w:rPr>
        <w:t>Where continuous insulation is installed on the exterior side of the above-grade wall and the roof is insulated with insulation entirely above deck, the continuous insulation shall extend up both sides of the parapet not less than 2 feet (610 mm) above the roof covering or to the top of the parapet, whichever is less. Parapets that are an integral part of a fire-resistance rated wall, and the exterior continuous insulation applied to the parapet, shall comply with the fire resistance ratings of the building code.</w:t>
      </w:r>
    </w:p>
    <w:p w14:paraId="2DBD5597" w14:textId="77777777" w:rsidR="00DB1AEE" w:rsidRPr="00DB1AEE" w:rsidRDefault="00DB1AEE" w:rsidP="00DB1AEE">
      <w:pPr>
        <w:numPr>
          <w:ilvl w:val="0"/>
          <w:numId w:val="67"/>
        </w:numPr>
        <w:pBdr>
          <w:top w:val="nil"/>
          <w:left w:val="nil"/>
          <w:bottom w:val="nil"/>
          <w:right w:val="nil"/>
          <w:between w:val="nil"/>
        </w:pBdr>
        <w:suppressAutoHyphens/>
        <w:spacing w:line="259" w:lineRule="auto"/>
        <w:ind w:left="1872" w:hanging="288"/>
        <w:jc w:val="left"/>
        <w:rPr>
          <w:szCs w:val="24"/>
          <w:u w:val="single"/>
        </w:rPr>
      </w:pPr>
      <w:r w:rsidRPr="00DB1AEE">
        <w:rPr>
          <w:szCs w:val="24"/>
          <w:u w:val="single"/>
        </w:rPr>
        <w:t>Where continuous insulation is installed on the exterior side of the above-grade wall and the roof insulation is below the roof deck, the continuous insulation shall extend up the exterior side of the parapet to not less than the height of the top surface of the roof assembly.</w:t>
      </w:r>
    </w:p>
    <w:p w14:paraId="53894764" w14:textId="77777777" w:rsidR="00DB1AEE" w:rsidRPr="00DB1AEE" w:rsidRDefault="00DB1AEE" w:rsidP="00DB1AEE">
      <w:pPr>
        <w:numPr>
          <w:ilvl w:val="0"/>
          <w:numId w:val="67"/>
        </w:numPr>
        <w:pBdr>
          <w:top w:val="nil"/>
          <w:left w:val="nil"/>
          <w:bottom w:val="nil"/>
          <w:right w:val="nil"/>
          <w:between w:val="nil"/>
        </w:pBdr>
        <w:suppressAutoHyphens/>
        <w:spacing w:line="259" w:lineRule="auto"/>
        <w:ind w:left="1872" w:hanging="288"/>
        <w:jc w:val="left"/>
        <w:rPr>
          <w:szCs w:val="24"/>
          <w:u w:val="single"/>
        </w:rPr>
      </w:pPr>
      <w:r w:rsidRPr="00DB1AEE">
        <w:rPr>
          <w:szCs w:val="24"/>
          <w:u w:val="single"/>
        </w:rPr>
        <w:t>Where continuous insulation is not installed on the exterior side of the above-grade wall and the roof is insulated with insulation entirely above deck, the wall cavity or integral insulation shall extend into the parapet up to the exterior face of the roof insulation or equivalent R-value insulation shall be installed not less than 2 feet (610 mm) horizontally inward on the underside of the roof deck.</w:t>
      </w:r>
    </w:p>
    <w:p w14:paraId="54849BE2" w14:textId="77777777" w:rsidR="00DB1AEE" w:rsidRPr="00DB1AEE" w:rsidRDefault="00DB1AEE" w:rsidP="00DB1AEE">
      <w:pPr>
        <w:numPr>
          <w:ilvl w:val="0"/>
          <w:numId w:val="67"/>
        </w:numPr>
        <w:pBdr>
          <w:top w:val="nil"/>
          <w:left w:val="nil"/>
          <w:bottom w:val="nil"/>
          <w:right w:val="nil"/>
          <w:between w:val="nil"/>
        </w:pBdr>
        <w:suppressAutoHyphens/>
        <w:spacing w:line="259" w:lineRule="auto"/>
        <w:ind w:left="1872" w:hanging="288"/>
        <w:jc w:val="left"/>
        <w:rPr>
          <w:szCs w:val="24"/>
          <w:u w:val="single"/>
        </w:rPr>
      </w:pPr>
      <w:r w:rsidRPr="00DB1AEE">
        <w:rPr>
          <w:szCs w:val="24"/>
          <w:u w:val="single"/>
        </w:rPr>
        <w:t>Where continuous insulation is not installed on the exterior side of the above-grade wall and the roof insulation is below the roof deck, the wall and roof insulation components shall be continuous and adjacent to each other at the roof-ceiling-wall intersection.</w:t>
      </w:r>
    </w:p>
    <w:p w14:paraId="7E5D1972" w14:textId="77777777" w:rsidR="00DB1AEE" w:rsidRPr="00DB1AEE" w:rsidRDefault="00DB1AEE" w:rsidP="00DB1AEE">
      <w:pPr>
        <w:numPr>
          <w:ilvl w:val="0"/>
          <w:numId w:val="67"/>
        </w:numPr>
        <w:pBdr>
          <w:top w:val="nil"/>
          <w:left w:val="nil"/>
          <w:bottom w:val="nil"/>
          <w:right w:val="nil"/>
          <w:between w:val="nil"/>
        </w:pBdr>
        <w:suppressAutoHyphens/>
        <w:spacing w:after="160" w:line="259" w:lineRule="auto"/>
        <w:ind w:left="1872" w:hanging="288"/>
        <w:jc w:val="left"/>
        <w:rPr>
          <w:szCs w:val="24"/>
          <w:u w:val="single"/>
        </w:rPr>
      </w:pPr>
      <w:r w:rsidRPr="00DB1AEE">
        <w:rPr>
          <w:szCs w:val="24"/>
          <w:u w:val="single"/>
        </w:rPr>
        <w:t>Where a thermal break device with not less than R-10 insulation material aligned with the above-grade wall and roof insulation is installed in accordance with the manufacturer's instructions.</w:t>
      </w:r>
    </w:p>
    <w:p w14:paraId="54A61D47" w14:textId="77777777" w:rsidR="00DB1AEE" w:rsidRPr="00DB1AEE" w:rsidRDefault="00DB1AEE" w:rsidP="00DB1AEE">
      <w:pPr>
        <w:tabs>
          <w:tab w:val="left" w:pos="1848"/>
        </w:tabs>
        <w:suppressAutoHyphens/>
        <w:ind w:left="1584"/>
        <w:jc w:val="left"/>
        <w:rPr>
          <w:szCs w:val="24"/>
          <w:u w:val="single"/>
        </w:rPr>
      </w:pPr>
      <w:r w:rsidRPr="00DB1AEE">
        <w:rPr>
          <w:b/>
          <w:szCs w:val="24"/>
          <w:u w:val="single"/>
        </w:rPr>
        <w:t xml:space="preserve">Exception: </w:t>
      </w:r>
      <w:r w:rsidRPr="00DB1AEE">
        <w:rPr>
          <w:szCs w:val="24"/>
          <w:u w:val="single"/>
        </w:rPr>
        <w:t xml:space="preserve">An </w:t>
      </w:r>
      <w:r w:rsidRPr="00DB1AEE">
        <w:rPr>
          <w:i/>
          <w:szCs w:val="24"/>
          <w:u w:val="single"/>
        </w:rPr>
        <w:t xml:space="preserve">approved </w:t>
      </w:r>
      <w:r w:rsidRPr="00DB1AEE">
        <w:rPr>
          <w:szCs w:val="24"/>
          <w:u w:val="single"/>
        </w:rPr>
        <w:t xml:space="preserve">design in accordance with Section 102 where the </w:t>
      </w:r>
      <w:r w:rsidRPr="00DB1AEE">
        <w:rPr>
          <w:i/>
          <w:szCs w:val="24"/>
          <w:u w:val="single"/>
        </w:rPr>
        <w:t>above-grade wall U</w:t>
      </w:r>
      <w:r w:rsidRPr="00DB1AEE">
        <w:rPr>
          <w:szCs w:val="24"/>
          <w:u w:val="single"/>
        </w:rPr>
        <w:t xml:space="preserve">-factor used for compliance accounts for the parapet </w:t>
      </w:r>
      <w:r w:rsidRPr="00DB1AEE">
        <w:rPr>
          <w:i/>
          <w:szCs w:val="24"/>
          <w:u w:val="single"/>
        </w:rPr>
        <w:t>thermal bridge</w:t>
      </w:r>
      <w:r w:rsidRPr="00DB1AEE">
        <w:rPr>
          <w:szCs w:val="24"/>
          <w:u w:val="single"/>
        </w:rPr>
        <w:t>.</w:t>
      </w:r>
    </w:p>
    <w:p w14:paraId="03BE182B" w14:textId="77777777" w:rsidR="00DB1AEE" w:rsidRPr="00DB1AEE" w:rsidRDefault="00DB1AEE" w:rsidP="00DB1AEE">
      <w:pPr>
        <w:tabs>
          <w:tab w:val="left" w:pos="1848"/>
        </w:tabs>
        <w:suppressAutoHyphens/>
        <w:ind w:left="1584"/>
        <w:jc w:val="left"/>
        <w:rPr>
          <w:szCs w:val="24"/>
          <w:u w:val="single"/>
        </w:rPr>
      </w:pPr>
    </w:p>
    <w:p w14:paraId="2EB1E843" w14:textId="77777777" w:rsidR="00DB1AEE" w:rsidRPr="00DB1AEE" w:rsidRDefault="00DB1AEE" w:rsidP="00DB1AEE">
      <w:pPr>
        <w:suppressAutoHyphens/>
        <w:spacing w:before="130" w:after="130"/>
        <w:jc w:val="center"/>
        <w:rPr>
          <w:rFonts w:eastAsia="MS Mincho"/>
          <w:b/>
          <w:bCs/>
          <w:szCs w:val="24"/>
          <w:u w:val="single"/>
        </w:rPr>
      </w:pPr>
      <w:bookmarkStart w:id="323" w:name="_1jlao46"/>
      <w:bookmarkStart w:id="324" w:name="_43ky6rz" w:colFirst="0" w:colLast="0"/>
      <w:bookmarkStart w:id="325" w:name="_2iq8gzs"/>
      <w:bookmarkEnd w:id="323"/>
      <w:bookmarkEnd w:id="324"/>
      <w:bookmarkEnd w:id="325"/>
      <w:r w:rsidRPr="00DB1AEE">
        <w:rPr>
          <w:rFonts w:eastAsia="MS Mincho"/>
          <w:b/>
          <w:bCs/>
          <w:szCs w:val="24"/>
          <w:u w:val="single"/>
        </w:rPr>
        <w:t>SECTION C403</w:t>
      </w:r>
    </w:p>
    <w:p w14:paraId="7A28267B" w14:textId="77777777" w:rsidR="00DB1AEE" w:rsidRPr="00DB1AEE" w:rsidRDefault="00DB1AEE" w:rsidP="00DB1AEE">
      <w:pPr>
        <w:suppressAutoHyphens/>
        <w:spacing w:before="130" w:after="130"/>
        <w:jc w:val="center"/>
        <w:rPr>
          <w:rFonts w:eastAsia="MS Mincho"/>
          <w:b/>
          <w:bCs/>
          <w:szCs w:val="24"/>
          <w:u w:val="single"/>
        </w:rPr>
      </w:pPr>
      <w:r w:rsidRPr="00DB1AEE">
        <w:rPr>
          <w:rFonts w:eastAsia="MS Mincho"/>
          <w:b/>
          <w:bCs/>
          <w:szCs w:val="24"/>
          <w:u w:val="single"/>
        </w:rPr>
        <w:t>BUILDING MECHANICAL SYSTEMS</w:t>
      </w:r>
    </w:p>
    <w:p w14:paraId="71593C35"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Section C403.2.2 Ventilation.</w:t>
      </w:r>
    </w:p>
    <w:p w14:paraId="0767C374" w14:textId="77777777" w:rsidR="00DB1AEE" w:rsidRPr="00DB1AEE" w:rsidRDefault="00DB1AEE" w:rsidP="00DB1AEE">
      <w:pPr>
        <w:suppressAutoHyphens/>
        <w:spacing w:before="130" w:after="130"/>
        <w:rPr>
          <w:rFonts w:eastAsia="MS Mincho"/>
          <w:bCs/>
          <w:szCs w:val="24"/>
          <w:u w:val="single"/>
        </w:rPr>
      </w:pPr>
      <w:r w:rsidRPr="00DB1AEE">
        <w:rPr>
          <w:rFonts w:eastAsia="MS Mincho"/>
          <w:bCs/>
          <w:szCs w:val="24"/>
          <w:u w:val="single"/>
        </w:rPr>
        <w:t>Section C403.2.2 – Revise Section C403.2.2 to read as follows:</w:t>
      </w:r>
    </w:p>
    <w:p w14:paraId="32C1F8E8" w14:textId="77777777" w:rsidR="00DB1AEE" w:rsidRPr="00DB1AEE" w:rsidRDefault="00DB1AEE" w:rsidP="00DB1AEE">
      <w:pPr>
        <w:widowControl w:val="0"/>
        <w:suppressAutoHyphens/>
        <w:spacing w:before="130" w:after="130"/>
        <w:ind w:left="360"/>
        <w:rPr>
          <w:b/>
          <w:bCs/>
          <w:u w:val="single"/>
        </w:rPr>
      </w:pPr>
      <w:r w:rsidRPr="00DB1AEE">
        <w:rPr>
          <w:b/>
          <w:bCs/>
          <w:u w:val="single"/>
        </w:rPr>
        <w:t xml:space="preserve">C403.2.2 </w:t>
      </w:r>
      <w:r w:rsidRPr="00DB1AEE">
        <w:rPr>
          <w:u w:val="single"/>
        </w:rPr>
        <w:t>Ventilation.  Ventilation, either natural or mechanical, shall be provided in accordance with Chapter 4 of the New York City Mechanical Code. Where mechanical ventilation is provided, the system shall provide the capability to reduce the outdoor air supply to the minimum required by Chapter 4 of the   New York City Mechanical Code.</w:t>
      </w:r>
    </w:p>
    <w:p w14:paraId="5676A5DC"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Section C403.3.4.1 Boiler oxygen concentration controls.</w:t>
      </w:r>
    </w:p>
    <w:p w14:paraId="20C5D100" w14:textId="77777777" w:rsidR="00DB1AEE" w:rsidRPr="00DB1AEE" w:rsidRDefault="00DB1AEE" w:rsidP="00DB1AEE">
      <w:pPr>
        <w:suppressAutoHyphens/>
        <w:spacing w:before="130" w:after="130"/>
        <w:rPr>
          <w:rFonts w:eastAsia="MS Mincho"/>
          <w:bCs/>
          <w:szCs w:val="24"/>
          <w:u w:val="single"/>
        </w:rPr>
      </w:pPr>
      <w:r w:rsidRPr="00DB1AEE">
        <w:rPr>
          <w:rFonts w:eastAsia="MS Mincho"/>
          <w:bCs/>
          <w:szCs w:val="24"/>
          <w:u w:val="single"/>
        </w:rPr>
        <w:t>Section C403.3.4.1 – Delete the exception Section C403.3.4.1.</w:t>
      </w:r>
    </w:p>
    <w:p w14:paraId="5FEFABF0"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 xml:space="preserve">Section C403.3.5 Buildings with high efficiency space heating gas boiler systems.  </w:t>
      </w:r>
    </w:p>
    <w:p w14:paraId="08A40636" w14:textId="77777777" w:rsidR="00DB1AEE" w:rsidRPr="00DB1AEE" w:rsidRDefault="00DB1AEE" w:rsidP="00DB1AEE">
      <w:pPr>
        <w:suppressAutoHyphens/>
        <w:spacing w:before="130" w:after="130"/>
        <w:rPr>
          <w:rFonts w:eastAsia="MS Mincho"/>
          <w:bCs/>
          <w:szCs w:val="24"/>
          <w:u w:val="single"/>
        </w:rPr>
      </w:pPr>
      <w:r w:rsidRPr="00DB1AEE">
        <w:rPr>
          <w:rFonts w:eastAsia="MS Mincho"/>
          <w:bCs/>
          <w:szCs w:val="24"/>
          <w:u w:val="single"/>
        </w:rPr>
        <w:t>Section C403.3.5 – Add new Section C403.3.5 to read as follows:</w:t>
      </w:r>
    </w:p>
    <w:p w14:paraId="178EE7F0" w14:textId="77777777" w:rsidR="00DB1AEE" w:rsidRPr="00DB1AEE" w:rsidRDefault="00DB1AEE" w:rsidP="00DB1AEE">
      <w:pPr>
        <w:widowControl w:val="0"/>
        <w:suppressAutoHyphens/>
        <w:spacing w:before="130" w:after="130"/>
        <w:ind w:left="360"/>
        <w:rPr>
          <w:b/>
          <w:bCs/>
          <w:u w:val="single"/>
        </w:rPr>
      </w:pPr>
      <w:r w:rsidRPr="00DB1AEE">
        <w:rPr>
          <w:b/>
          <w:bCs/>
          <w:u w:val="single"/>
        </w:rPr>
        <w:t xml:space="preserve">C403.3.5 Buildings with high efficiency space heating gas boiler systems.  </w:t>
      </w:r>
      <w:r w:rsidRPr="00DB1AEE">
        <w:rPr>
          <w:u w:val="single"/>
        </w:rPr>
        <w:t>New buildings where space heating is served by one or more gas hot water boilers with a minimum thermal efficiency (Et) of 90 percent when rated in accordance with the test procedures in Table C403.3.2(6) shall comply with this section, unless otherwise approved by the authority having jurisdiction. The hot water distribution system shall be designed so that the coils and other heat exchangers are selected such that at outdoor design conditions, the hot water return temperature entering the boilers is 120°F (49°C) or less when the boiler is firing.</w:t>
      </w:r>
      <w:r w:rsidRPr="00DB1AEE">
        <w:rPr>
          <w:b/>
          <w:bCs/>
          <w:u w:val="single"/>
        </w:rPr>
        <w:t xml:space="preserve">   </w:t>
      </w:r>
    </w:p>
    <w:p w14:paraId="60649D01"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 xml:space="preserve">Section C403.4.1.1 Heat pump supplementary heat.  </w:t>
      </w:r>
    </w:p>
    <w:p w14:paraId="0EE81FC2" w14:textId="77777777" w:rsidR="00DB1AEE" w:rsidRPr="00DB1AEE" w:rsidRDefault="00DB1AEE" w:rsidP="00DB1AEE">
      <w:pPr>
        <w:suppressAutoHyphens/>
        <w:spacing w:before="130" w:after="130"/>
        <w:rPr>
          <w:rFonts w:eastAsia="MS Mincho"/>
          <w:bCs/>
          <w:szCs w:val="24"/>
          <w:u w:val="single"/>
        </w:rPr>
      </w:pPr>
      <w:r w:rsidRPr="00DB1AEE">
        <w:rPr>
          <w:rFonts w:eastAsia="MS Mincho"/>
          <w:bCs/>
          <w:szCs w:val="24"/>
          <w:u w:val="single"/>
        </w:rPr>
        <w:t>Section C403.4.1.1 – Revise item 1 from  Section C403.4.1.1 to read as follows:</w:t>
      </w:r>
    </w:p>
    <w:p w14:paraId="7A171AA2" w14:textId="77777777" w:rsidR="00DB1AEE" w:rsidRPr="00DB1AEE" w:rsidRDefault="00DB1AEE" w:rsidP="00DB1AEE">
      <w:pPr>
        <w:widowControl w:val="0"/>
        <w:suppressAutoHyphens/>
        <w:spacing w:before="130" w:after="130"/>
        <w:ind w:left="360"/>
        <w:rPr>
          <w:b/>
          <w:bCs/>
          <w:u w:val="single"/>
        </w:rPr>
      </w:pPr>
      <w:r w:rsidRPr="00DB1AEE">
        <w:rPr>
          <w:b/>
          <w:bCs/>
          <w:u w:val="single"/>
        </w:rPr>
        <w:t>1.</w:t>
      </w:r>
      <w:r w:rsidRPr="00DB1AEE">
        <w:tab/>
      </w:r>
      <w:r w:rsidRPr="00DB1AEE">
        <w:rPr>
          <w:u w:val="single"/>
        </w:rPr>
        <w:t>The vapor compression cycle cannot provide necessary heating energy to satisfy the thermostat setting where controls are installed such that supplementary heat shall operate only when the outdoor air temperature is less than 17°F and supplemental heat capacity does not exceed 25 percent of total the design load.</w:t>
      </w:r>
      <w:r w:rsidRPr="00DB1AEE">
        <w:rPr>
          <w:b/>
          <w:bCs/>
          <w:u w:val="single"/>
        </w:rPr>
        <w:t xml:space="preserve">  </w:t>
      </w:r>
    </w:p>
    <w:p w14:paraId="6365ABCA"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 xml:space="preserve">Section C403.4.6 Demand responsive controls.  </w:t>
      </w:r>
    </w:p>
    <w:p w14:paraId="4E7C56CC" w14:textId="77777777" w:rsidR="00DB1AEE" w:rsidRPr="00DB1AEE" w:rsidRDefault="00DB1AEE" w:rsidP="00DB1AEE">
      <w:pPr>
        <w:suppressAutoHyphens/>
        <w:spacing w:before="130" w:after="130"/>
        <w:rPr>
          <w:rFonts w:eastAsia="MS Mincho"/>
          <w:bCs/>
          <w:szCs w:val="24"/>
          <w:u w:val="single"/>
        </w:rPr>
      </w:pPr>
      <w:r w:rsidRPr="00DB1AEE">
        <w:rPr>
          <w:rFonts w:eastAsia="MS Mincho"/>
          <w:bCs/>
          <w:szCs w:val="24"/>
          <w:u w:val="single"/>
        </w:rPr>
        <w:t>Section C403.4.6 – Revise item 2 from  Section C403.4.6 to read as follows:</w:t>
      </w:r>
    </w:p>
    <w:p w14:paraId="131AB7F7" w14:textId="77777777" w:rsidR="00DB1AEE" w:rsidRPr="00DB1AEE" w:rsidRDefault="00DB1AEE" w:rsidP="00DB1AEE">
      <w:pPr>
        <w:widowControl w:val="0"/>
        <w:suppressAutoHyphens/>
        <w:spacing w:before="130" w:after="130"/>
        <w:ind w:left="648" w:hanging="288"/>
        <w:rPr>
          <w:u w:val="single"/>
        </w:rPr>
      </w:pPr>
      <w:r w:rsidRPr="00DB1AEE">
        <w:rPr>
          <w:u w:val="single"/>
        </w:rPr>
        <w:t>2.</w:t>
      </w:r>
      <w:r w:rsidRPr="00DB1AEE">
        <w:rPr>
          <w:u w:val="single"/>
        </w:rPr>
        <w:tab/>
        <w:t>Automatically decreasing the zone operating heating set point by the following values: 1°F (0.5°C), 2°F (1°C), 3°F (1.5°C), and 4°F (2°C) while maintaining the minimum room temperature requirements of the New York City Building Code  .</w:t>
      </w:r>
    </w:p>
    <w:p w14:paraId="031028C5" w14:textId="77777777" w:rsidR="00DB1AEE" w:rsidRPr="00DB1AEE" w:rsidRDefault="00DB1AEE" w:rsidP="00DB1AEE">
      <w:pPr>
        <w:suppressAutoHyphens/>
        <w:spacing w:before="130" w:after="130"/>
        <w:rPr>
          <w:rFonts w:eastAsia="MS Mincho"/>
          <w:bCs/>
          <w:szCs w:val="24"/>
          <w:u w:val="single"/>
        </w:rPr>
      </w:pPr>
      <w:r w:rsidRPr="00DB1AEE">
        <w:rPr>
          <w:rFonts w:eastAsia="MS Mincho"/>
          <w:bCs/>
          <w:szCs w:val="24"/>
          <w:u w:val="single"/>
        </w:rPr>
        <w:t>Section C403.4.6 – Revise exception 1 and 2 from  Section C403.4.6 to read as follows:</w:t>
      </w:r>
    </w:p>
    <w:p w14:paraId="1DF8BD39" w14:textId="77777777" w:rsidR="00DB1AEE" w:rsidRPr="00DB1AEE" w:rsidRDefault="00DB1AEE" w:rsidP="00DB1AEE">
      <w:pPr>
        <w:widowControl w:val="0"/>
        <w:suppressAutoHyphens/>
        <w:spacing w:before="130" w:after="130"/>
        <w:ind w:left="360"/>
        <w:rPr>
          <w:u w:val="single"/>
        </w:rPr>
      </w:pPr>
      <w:r w:rsidRPr="00DB1AEE">
        <w:rPr>
          <w:u w:val="single"/>
        </w:rPr>
        <w:t>1. Group I occupancies in accordance with the New York City Building Code.</w:t>
      </w:r>
    </w:p>
    <w:p w14:paraId="6A7FFB43" w14:textId="77777777" w:rsidR="00DB1AEE" w:rsidRPr="00DB1AEE" w:rsidRDefault="00DB1AEE" w:rsidP="00DB1AEE">
      <w:pPr>
        <w:widowControl w:val="0"/>
        <w:suppressAutoHyphens/>
        <w:spacing w:before="130" w:after="130"/>
        <w:ind w:left="360"/>
        <w:rPr>
          <w:u w:val="single"/>
        </w:rPr>
      </w:pPr>
      <w:r w:rsidRPr="00DB1AEE">
        <w:rPr>
          <w:u w:val="single"/>
        </w:rPr>
        <w:t>2. Group H occupancies in accordance with the New York City Building Code.</w:t>
      </w:r>
    </w:p>
    <w:p w14:paraId="4AD73C17"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 xml:space="preserve">Section C403.6.1 Variable air volume and multiple-zone systems.  </w:t>
      </w:r>
    </w:p>
    <w:p w14:paraId="3E2916C5" w14:textId="77777777" w:rsidR="00DB1AEE" w:rsidRPr="00DB1AEE" w:rsidRDefault="00DB1AEE" w:rsidP="00DB1AEE">
      <w:pPr>
        <w:suppressAutoHyphens/>
        <w:spacing w:before="130" w:after="130"/>
        <w:rPr>
          <w:rFonts w:eastAsia="MS Mincho"/>
          <w:bCs/>
          <w:szCs w:val="24"/>
          <w:u w:val="single"/>
        </w:rPr>
      </w:pPr>
      <w:r w:rsidRPr="00DB1AEE">
        <w:rPr>
          <w:rFonts w:eastAsia="MS Mincho"/>
          <w:bCs/>
          <w:szCs w:val="24"/>
          <w:u w:val="single"/>
        </w:rPr>
        <w:t>Section C403.6.1 – Revise item 3 from  Section C403.6.1 to read as follows:</w:t>
      </w:r>
    </w:p>
    <w:p w14:paraId="495B6A4B" w14:textId="77777777" w:rsidR="00DB1AEE" w:rsidRPr="00DB1AEE" w:rsidRDefault="00DB1AEE" w:rsidP="00DB1AEE">
      <w:pPr>
        <w:widowControl w:val="0"/>
        <w:suppressAutoHyphens/>
        <w:spacing w:before="130" w:after="130"/>
        <w:ind w:left="648" w:hanging="288"/>
        <w:rPr>
          <w:u w:val="single"/>
        </w:rPr>
      </w:pPr>
      <w:r w:rsidRPr="00DB1AEE">
        <w:rPr>
          <w:u w:val="single"/>
        </w:rPr>
        <w:t>3.</w:t>
      </w:r>
      <w:r w:rsidRPr="00DB1AEE">
        <w:rPr>
          <w:u w:val="single"/>
        </w:rPr>
        <w:tab/>
        <w:t>The outdoor airflow rate required to meet the minimum ventilation requirements of Chapter 4 of the New York City  Mechanical Code.</w:t>
      </w:r>
    </w:p>
    <w:p w14:paraId="53099A35"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 xml:space="preserve">Section C403.6.6 Multiple-zone VAV system ventilation optimization control.  </w:t>
      </w:r>
    </w:p>
    <w:p w14:paraId="326DD0BA" w14:textId="77777777" w:rsidR="00DB1AEE" w:rsidRPr="00DB1AEE" w:rsidRDefault="00DB1AEE" w:rsidP="00DB1AEE">
      <w:pPr>
        <w:suppressAutoHyphens/>
        <w:spacing w:before="130" w:after="130"/>
        <w:rPr>
          <w:rFonts w:eastAsia="MS Mincho"/>
          <w:bCs/>
          <w:szCs w:val="24"/>
          <w:u w:val="single"/>
        </w:rPr>
      </w:pPr>
      <w:r w:rsidRPr="00DB1AEE">
        <w:rPr>
          <w:rFonts w:eastAsia="MS Mincho"/>
          <w:bCs/>
          <w:szCs w:val="24"/>
          <w:u w:val="single"/>
        </w:rPr>
        <w:t>Section C403.6.6 – Revise Section C403.6.6 to read as follows:</w:t>
      </w:r>
    </w:p>
    <w:p w14:paraId="39ED3182" w14:textId="77777777" w:rsidR="00DB1AEE" w:rsidRPr="00DB1AEE" w:rsidRDefault="00DB1AEE" w:rsidP="00DB1AEE">
      <w:pPr>
        <w:widowControl w:val="0"/>
        <w:suppressAutoHyphens/>
        <w:spacing w:before="130" w:after="130"/>
        <w:ind w:left="360"/>
        <w:rPr>
          <w:u w:val="single"/>
        </w:rPr>
      </w:pPr>
      <w:r w:rsidRPr="00DB1AEE">
        <w:rPr>
          <w:b/>
          <w:bCs/>
          <w:u w:val="single"/>
        </w:rPr>
        <w:t xml:space="preserve">C403.6.6 Multiple-zone VAV system ventilation optimization control.  </w:t>
      </w:r>
      <w:r w:rsidRPr="00DB1AEE">
        <w:rPr>
          <w:u w:val="single"/>
        </w:rPr>
        <w:t>Multiple-zone VAV systems with direct digital control of individual zone boxes reporting to a central control panel shall have automatic controls configured to reduce outdoor air intake flow below design rates in response to changes in system ventilation efficiency (Ev) as defined by the New York City  Mechanical Code.</w:t>
      </w:r>
    </w:p>
    <w:p w14:paraId="5B911C12" w14:textId="77777777" w:rsidR="00DB1AEE" w:rsidRPr="00DB1AEE" w:rsidRDefault="00DB1AEE" w:rsidP="00DB1AEE">
      <w:pPr>
        <w:widowControl w:val="0"/>
        <w:suppressAutoHyphens/>
        <w:spacing w:before="130" w:after="130"/>
        <w:ind w:left="360"/>
        <w:rPr>
          <w:u w:val="single"/>
        </w:rPr>
      </w:pPr>
      <w:r w:rsidRPr="00DB1AEE">
        <w:rPr>
          <w:u w:val="single"/>
        </w:rPr>
        <w:t>Exceptions:</w:t>
      </w:r>
    </w:p>
    <w:p w14:paraId="68EEC231" w14:textId="77777777" w:rsidR="00DB1AEE" w:rsidRPr="00DB1AEE" w:rsidRDefault="00DB1AEE" w:rsidP="00DB1AEE">
      <w:pPr>
        <w:widowControl w:val="0"/>
        <w:suppressAutoHyphens/>
        <w:spacing w:before="130" w:after="130"/>
        <w:ind w:left="1008" w:hanging="288"/>
        <w:rPr>
          <w:u w:val="single"/>
        </w:rPr>
      </w:pPr>
      <w:r w:rsidRPr="00DB1AEE">
        <w:rPr>
          <w:u w:val="single"/>
        </w:rPr>
        <w:t>1.</w:t>
      </w:r>
      <w:r w:rsidRPr="00DB1AEE">
        <w:rPr>
          <w:u w:val="single"/>
        </w:rPr>
        <w:tab/>
        <w:t>VAV systems with zonal transfer fans that recirculate air from other zones without directly mixing it with outdoor air, dual-duct dual-fan VAV systems, and VAV systems with fan-powered terminal units.</w:t>
      </w:r>
    </w:p>
    <w:p w14:paraId="2A9CC1F8" w14:textId="77777777" w:rsidR="00DB1AEE" w:rsidRPr="00DB1AEE" w:rsidRDefault="00DB1AEE" w:rsidP="00DB1AEE">
      <w:pPr>
        <w:widowControl w:val="0"/>
        <w:suppressAutoHyphens/>
        <w:spacing w:before="130" w:after="130"/>
        <w:ind w:left="1008" w:hanging="288"/>
        <w:rPr>
          <w:u w:val="single"/>
        </w:rPr>
      </w:pPr>
      <w:r w:rsidRPr="00DB1AEE">
        <w:rPr>
          <w:u w:val="single"/>
        </w:rPr>
        <w:t>2.</w:t>
      </w:r>
      <w:r w:rsidRPr="00DB1AEE">
        <w:rPr>
          <w:u w:val="single"/>
        </w:rPr>
        <w:tab/>
        <w:t>Systems where total design exhaust airflow is more than 70 percent of total design outdoor air intake flow requirements.</w:t>
      </w:r>
    </w:p>
    <w:p w14:paraId="5ACA1DB6"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 xml:space="preserve">Section C403.7.1 Demand control ventilation.    </w:t>
      </w:r>
    </w:p>
    <w:p w14:paraId="16E2A80F" w14:textId="77777777" w:rsidR="00DB1AEE" w:rsidRPr="00DB1AEE" w:rsidRDefault="00DB1AEE" w:rsidP="00DB1AEE">
      <w:pPr>
        <w:suppressAutoHyphens/>
        <w:spacing w:before="130" w:after="130"/>
        <w:rPr>
          <w:rFonts w:eastAsia="MS Mincho"/>
          <w:bCs/>
          <w:szCs w:val="24"/>
          <w:u w:val="single"/>
        </w:rPr>
      </w:pPr>
      <w:r w:rsidRPr="00DB1AEE">
        <w:rPr>
          <w:rFonts w:eastAsia="MS Mincho"/>
          <w:bCs/>
          <w:szCs w:val="24"/>
          <w:u w:val="single"/>
        </w:rPr>
        <w:t>Section C403.7.1 – Revise Item 2 from Section C403.7.1 to read as follows:</w:t>
      </w:r>
    </w:p>
    <w:p w14:paraId="1056123B" w14:textId="77777777" w:rsidR="00DB1AEE" w:rsidRPr="00DB1AEE" w:rsidRDefault="00DB1AEE" w:rsidP="00DB1AEE">
      <w:pPr>
        <w:widowControl w:val="0"/>
        <w:suppressAutoHyphens/>
        <w:spacing w:before="130" w:after="130"/>
        <w:ind w:left="360"/>
        <w:rPr>
          <w:u w:val="single"/>
        </w:rPr>
      </w:pPr>
      <w:r w:rsidRPr="00DB1AEE">
        <w:rPr>
          <w:u w:val="single"/>
        </w:rPr>
        <w:t>2. Spaces larger than 250 square feet (23 m2) in Climate Zones 5 and  6 and spaces larger than 500 square feet (46.5 m2) in  climate zone 4 that have a design occupant load of 15 people or greater per 1,000 square feet (93 m2) of floor area, as established in New York City  Mechanical Code, and are served by systems with one or more of the following:</w:t>
      </w:r>
    </w:p>
    <w:p w14:paraId="51061F8C" w14:textId="77777777" w:rsidR="00DB1AEE" w:rsidRPr="00DB1AEE" w:rsidRDefault="00DB1AEE" w:rsidP="00DB1AEE">
      <w:pPr>
        <w:widowControl w:val="0"/>
        <w:suppressAutoHyphens/>
        <w:spacing w:before="130" w:after="130"/>
        <w:ind w:left="1008" w:hanging="288"/>
        <w:rPr>
          <w:u w:val="single"/>
        </w:rPr>
      </w:pPr>
      <w:r w:rsidRPr="00DB1AEE">
        <w:rPr>
          <w:u w:val="single"/>
        </w:rPr>
        <w:t xml:space="preserve">2.1 </w:t>
      </w:r>
      <w:r w:rsidRPr="00DB1AEE">
        <w:rPr>
          <w:u w:val="single"/>
        </w:rPr>
        <w:tab/>
        <w:t xml:space="preserve"> An air-side economizer</w:t>
      </w:r>
    </w:p>
    <w:p w14:paraId="72F52DF3" w14:textId="77777777" w:rsidR="00DB1AEE" w:rsidRPr="00DB1AEE" w:rsidRDefault="00DB1AEE" w:rsidP="00DB1AEE">
      <w:pPr>
        <w:widowControl w:val="0"/>
        <w:suppressAutoHyphens/>
        <w:spacing w:before="130" w:after="130"/>
        <w:ind w:left="1008" w:hanging="288"/>
        <w:rPr>
          <w:u w:val="single"/>
        </w:rPr>
      </w:pPr>
      <w:r w:rsidRPr="00DB1AEE">
        <w:rPr>
          <w:u w:val="single"/>
        </w:rPr>
        <w:t>2.2 Automatic modulating control of the outdoor air damper.</w:t>
      </w:r>
    </w:p>
    <w:p w14:paraId="42F0B94A" w14:textId="77777777" w:rsidR="00DB1AEE" w:rsidRPr="00DB1AEE" w:rsidRDefault="00DB1AEE" w:rsidP="00DB1AEE">
      <w:pPr>
        <w:widowControl w:val="0"/>
        <w:suppressAutoHyphens/>
        <w:spacing w:before="130" w:after="130"/>
        <w:ind w:left="1008" w:hanging="288"/>
        <w:rPr>
          <w:u w:val="single"/>
        </w:rPr>
      </w:pPr>
      <w:r w:rsidRPr="00DB1AEE">
        <w:rPr>
          <w:u w:val="single"/>
        </w:rPr>
        <w:t>2.3.</w:t>
      </w:r>
      <w:r w:rsidRPr="00DB1AEE">
        <w:rPr>
          <w:u w:val="single"/>
        </w:rPr>
        <w:tab/>
        <w:t>A design outdoor airflow greater than 3,000 cfm (1416 L/s).</w:t>
      </w:r>
    </w:p>
    <w:p w14:paraId="28012905" w14:textId="77777777" w:rsidR="00DB1AEE" w:rsidRPr="00DB1AEE" w:rsidRDefault="00DB1AEE" w:rsidP="00DB1AEE">
      <w:pPr>
        <w:suppressAutoHyphens/>
        <w:spacing w:before="130" w:after="130"/>
        <w:rPr>
          <w:rFonts w:eastAsia="MS Mincho"/>
          <w:bCs/>
          <w:szCs w:val="24"/>
          <w:u w:val="single"/>
        </w:rPr>
      </w:pPr>
      <w:r w:rsidRPr="00DB1AEE">
        <w:rPr>
          <w:rFonts w:eastAsia="MS Mincho"/>
          <w:bCs/>
          <w:szCs w:val="24"/>
          <w:u w:val="single"/>
        </w:rPr>
        <w:t>Section C403.7.1 – Revise exception 5 from Section C403.7.1 to read as follows:</w:t>
      </w:r>
    </w:p>
    <w:p w14:paraId="4F8F7630" w14:textId="77777777" w:rsidR="00DB1AEE" w:rsidRPr="00DB1AEE" w:rsidRDefault="00DB1AEE" w:rsidP="00DB1AEE">
      <w:pPr>
        <w:widowControl w:val="0"/>
        <w:suppressAutoHyphens/>
        <w:spacing w:before="130" w:after="130"/>
        <w:ind w:left="360"/>
        <w:rPr>
          <w:u w:val="single"/>
        </w:rPr>
      </w:pPr>
      <w:r w:rsidRPr="00DB1AEE">
        <w:rPr>
          <w:u w:val="single"/>
        </w:rPr>
        <w:t>5.</w:t>
      </w:r>
      <w:r w:rsidRPr="00DB1AEE">
        <w:rPr>
          <w:u w:val="single"/>
        </w:rPr>
        <w:tab/>
        <w:t>Spaces with one of the following occupancy classifications as defined in the New York City Mechanical Code: correctional cells, education laboratories, barber, beauty and nail salons, and bowling alley seating areas.</w:t>
      </w:r>
    </w:p>
    <w:p w14:paraId="4DB5F351"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 xml:space="preserve">Section C403.7.2 Parking garage ventilation controls.    </w:t>
      </w:r>
    </w:p>
    <w:p w14:paraId="58444922" w14:textId="77777777" w:rsidR="00DB1AEE" w:rsidRPr="00DB1AEE" w:rsidRDefault="00DB1AEE" w:rsidP="00DB1AEE">
      <w:pPr>
        <w:suppressAutoHyphens/>
        <w:spacing w:before="130" w:after="130"/>
        <w:rPr>
          <w:rFonts w:eastAsia="MS Mincho"/>
          <w:bCs/>
          <w:szCs w:val="24"/>
          <w:u w:val="single"/>
        </w:rPr>
      </w:pPr>
      <w:r w:rsidRPr="00DB1AEE">
        <w:rPr>
          <w:rFonts w:eastAsia="MS Mincho"/>
          <w:bCs/>
          <w:szCs w:val="24"/>
          <w:u w:val="single"/>
        </w:rPr>
        <w:t>Section C403.7.2 – Revise Section C403.7.2 to read as follows:</w:t>
      </w:r>
    </w:p>
    <w:p w14:paraId="4EB68DF8" w14:textId="77777777" w:rsidR="00DB1AEE" w:rsidRPr="00DB1AEE" w:rsidRDefault="00DB1AEE" w:rsidP="00DB1AEE">
      <w:pPr>
        <w:widowControl w:val="0"/>
        <w:suppressAutoHyphens/>
        <w:spacing w:before="130" w:after="130"/>
        <w:ind w:left="360"/>
        <w:rPr>
          <w:u w:val="single"/>
        </w:rPr>
      </w:pPr>
      <w:r w:rsidRPr="00DB1AEE">
        <w:rPr>
          <w:b/>
          <w:bCs/>
          <w:u w:val="single"/>
        </w:rPr>
        <w:t xml:space="preserve">C403.7.2 Parking garage ventilation controls.  </w:t>
      </w:r>
      <w:r w:rsidRPr="00DB1AEE">
        <w:rPr>
          <w:u w:val="single"/>
        </w:rPr>
        <w:t>Ventilation systems employed in enclosed parking garages shall comply with New York City  Mechanical Code and the following:</w:t>
      </w:r>
    </w:p>
    <w:p w14:paraId="4C713D28" w14:textId="77777777" w:rsidR="00DB1AEE" w:rsidRPr="00DB1AEE" w:rsidRDefault="00DB1AEE" w:rsidP="00DB1AEE">
      <w:pPr>
        <w:widowControl w:val="0"/>
        <w:suppressAutoHyphens/>
        <w:spacing w:before="130" w:after="130"/>
        <w:ind w:left="1008" w:hanging="288"/>
        <w:rPr>
          <w:u w:val="single"/>
        </w:rPr>
      </w:pPr>
      <w:r w:rsidRPr="00DB1AEE">
        <w:rPr>
          <w:u w:val="single"/>
        </w:rPr>
        <w:t>1. Separate ventilation systems and control systems shall be provided for each parking garage section.</w:t>
      </w:r>
    </w:p>
    <w:p w14:paraId="2F440E1C" w14:textId="77777777" w:rsidR="00DB1AEE" w:rsidRPr="00DB1AEE" w:rsidRDefault="00DB1AEE" w:rsidP="00DB1AEE">
      <w:pPr>
        <w:widowControl w:val="0"/>
        <w:suppressAutoHyphens/>
        <w:spacing w:before="130" w:after="130"/>
        <w:ind w:left="1008" w:hanging="288"/>
        <w:rPr>
          <w:u w:val="single"/>
        </w:rPr>
      </w:pPr>
      <w:r w:rsidRPr="00DB1AEE">
        <w:rPr>
          <w:u w:val="single"/>
        </w:rPr>
        <w:t>2. Control systems for each parking garage section shall be capable of and configured to reduce fan airflow to not less than 0.05 cfm per square foot [0.00025 m3 /(s × m2)] of the floor area served and not more than 20 percent of the design capacity.</w:t>
      </w:r>
    </w:p>
    <w:p w14:paraId="60DE1532" w14:textId="77777777" w:rsidR="00DB1AEE" w:rsidRPr="00DB1AEE" w:rsidRDefault="00DB1AEE" w:rsidP="00DB1AEE">
      <w:pPr>
        <w:widowControl w:val="0"/>
        <w:suppressAutoHyphens/>
        <w:spacing w:before="130" w:after="130"/>
        <w:ind w:left="1008" w:hanging="288"/>
        <w:rPr>
          <w:u w:val="single"/>
        </w:rPr>
      </w:pPr>
      <w:r w:rsidRPr="00DB1AEE">
        <w:rPr>
          <w:u w:val="single"/>
        </w:rPr>
        <w:t>3. The ventilation system for each parking garage section shall have controls and devices that result in fan motor demand of not more than 30 percent of design wattage at 50 percent of the design airflow.</w:t>
      </w:r>
    </w:p>
    <w:p w14:paraId="42E014E0" w14:textId="77777777" w:rsidR="00DB1AEE" w:rsidRPr="00DB1AEE" w:rsidRDefault="00DB1AEE" w:rsidP="00DB1AEE">
      <w:pPr>
        <w:widowControl w:val="0"/>
        <w:suppressAutoHyphens/>
        <w:spacing w:before="130" w:after="130"/>
        <w:ind w:left="360"/>
        <w:rPr>
          <w:u w:val="single"/>
        </w:rPr>
      </w:pPr>
      <w:r w:rsidRPr="00DB1AEE">
        <w:rPr>
          <w:b/>
          <w:bCs/>
          <w:u w:val="single"/>
        </w:rPr>
        <w:t>Exception:</w:t>
      </w:r>
      <w:r w:rsidRPr="00DB1AEE">
        <w:rPr>
          <w:u w:val="single"/>
        </w:rPr>
        <w:t xml:space="preserve"> Garage ventilation systems serving a single parking garage section having a total ventilation system motor nameplate horsepower (ventilation system motor nameplate kilowatt) not exceeding 5 hp (3.7 kW) at fan system design conditions and where the parking garage section has no mechanical cooling or mechanical heating.</w:t>
      </w:r>
    </w:p>
    <w:p w14:paraId="298DBCED" w14:textId="77777777" w:rsidR="00DB1AEE" w:rsidRPr="00DB1AEE" w:rsidRDefault="00DB1AEE" w:rsidP="00DB1AEE">
      <w:pPr>
        <w:widowControl w:val="0"/>
        <w:suppressAutoHyphens/>
        <w:spacing w:before="130" w:after="130"/>
        <w:ind w:left="360"/>
        <w:rPr>
          <w:u w:val="single"/>
        </w:rPr>
      </w:pPr>
      <w:r w:rsidRPr="00DB1AEE">
        <w:rPr>
          <w:u w:val="single"/>
        </w:rPr>
        <w:t>Nothing in this section shall be construed to require more than one parking garage section in any parking structure.</w:t>
      </w:r>
    </w:p>
    <w:p w14:paraId="3D95AAFC"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 xml:space="preserve">Section C403.7.4.1 Nontransient dwelling units.    </w:t>
      </w:r>
    </w:p>
    <w:p w14:paraId="31CD6C0D" w14:textId="77777777" w:rsidR="00DB1AEE" w:rsidRPr="00DB1AEE" w:rsidRDefault="00DB1AEE" w:rsidP="00DB1AEE">
      <w:pPr>
        <w:suppressAutoHyphens/>
        <w:spacing w:before="130" w:after="130"/>
        <w:rPr>
          <w:rFonts w:eastAsia="MS Mincho"/>
          <w:bCs/>
          <w:szCs w:val="24"/>
          <w:u w:val="single"/>
        </w:rPr>
      </w:pPr>
      <w:r w:rsidRPr="00DB1AEE">
        <w:rPr>
          <w:rFonts w:eastAsia="MS Mincho"/>
          <w:bCs/>
          <w:szCs w:val="24"/>
          <w:u w:val="single"/>
        </w:rPr>
        <w:t>Section C403.7.4.1 – Revise Section C403.7.4.1 to read as follows:</w:t>
      </w:r>
    </w:p>
    <w:p w14:paraId="30B6F4C8" w14:textId="77777777" w:rsidR="00DB1AEE" w:rsidRPr="00DB1AEE" w:rsidRDefault="00DB1AEE" w:rsidP="00DB1AEE">
      <w:pPr>
        <w:widowControl w:val="0"/>
        <w:suppressAutoHyphens/>
        <w:spacing w:before="130" w:after="130"/>
        <w:ind w:left="360"/>
        <w:rPr>
          <w:u w:val="single"/>
        </w:rPr>
      </w:pPr>
      <w:r w:rsidRPr="00DB1AEE">
        <w:rPr>
          <w:b/>
          <w:bCs/>
          <w:u w:val="single"/>
        </w:rPr>
        <w:t>C403.7.4.1 Nontransient dwelling units.</w:t>
      </w:r>
      <w:r w:rsidRPr="00DB1AEE">
        <w:rPr>
          <w:u w:val="single"/>
        </w:rPr>
        <w:t xml:space="preserve"> Nontransient dwelling units shall  be provided with outdoor air energy recovery ventilation systems complying with one of the following: </w:t>
      </w:r>
    </w:p>
    <w:p w14:paraId="75D97020" w14:textId="77777777" w:rsidR="00DB1AEE" w:rsidRPr="00DB1AEE" w:rsidRDefault="00DB1AEE" w:rsidP="00DB1AEE">
      <w:pPr>
        <w:widowControl w:val="0"/>
        <w:suppressAutoHyphens/>
        <w:spacing w:before="130" w:after="130"/>
        <w:ind w:left="936" w:hanging="288"/>
        <w:rPr>
          <w:u w:val="single"/>
        </w:rPr>
      </w:pPr>
      <w:r w:rsidRPr="00DB1AEE">
        <w:rPr>
          <w:u w:val="single"/>
        </w:rPr>
        <w:t>1. The system shall have an enthalpy recovery ratio of not less than 50 percent at cooling design condition and not less than 60 percent at heating design condition.</w:t>
      </w:r>
    </w:p>
    <w:p w14:paraId="31AF62CD" w14:textId="77777777" w:rsidR="00DB1AEE" w:rsidRPr="00DB1AEE" w:rsidRDefault="00DB1AEE" w:rsidP="00DB1AEE">
      <w:pPr>
        <w:widowControl w:val="0"/>
        <w:suppressAutoHyphens/>
        <w:spacing w:before="130" w:after="130"/>
        <w:ind w:left="936" w:hanging="288"/>
        <w:rPr>
          <w:u w:val="single"/>
        </w:rPr>
      </w:pPr>
      <w:r w:rsidRPr="00DB1AEE">
        <w:rPr>
          <w:u w:val="single"/>
        </w:rPr>
        <w:t>2. The system shall have a sensible recovery efficiency (SRE) that is not less than 65 percent at 32°F (0°C). SRE shall be determined from a listed value or from interpolation of listed values at an airflow not less than the design airflow, based on testing in accordance with CAN/CSA C439.</w:t>
      </w:r>
    </w:p>
    <w:p w14:paraId="306E30F5" w14:textId="77777777" w:rsidR="00DB1AEE" w:rsidRPr="00DB1AEE" w:rsidRDefault="00DB1AEE" w:rsidP="00DB1AEE">
      <w:pPr>
        <w:widowControl w:val="0"/>
        <w:suppressAutoHyphens/>
        <w:spacing w:before="130" w:after="130"/>
        <w:ind w:left="360"/>
        <w:rPr>
          <w:u w:val="single"/>
        </w:rPr>
      </w:pPr>
      <w:r w:rsidRPr="00DB1AEE">
        <w:rPr>
          <w:u w:val="single"/>
        </w:rPr>
        <w:t>Exception:</w:t>
      </w:r>
    </w:p>
    <w:p w14:paraId="0E5902B8" w14:textId="77777777" w:rsidR="00DB1AEE" w:rsidRPr="00DB1AEE" w:rsidRDefault="00DB1AEE" w:rsidP="00DB1AEE">
      <w:pPr>
        <w:widowControl w:val="0"/>
        <w:suppressAutoHyphens/>
        <w:spacing w:before="130" w:after="130"/>
        <w:ind w:left="360"/>
        <w:rPr>
          <w:u w:val="single"/>
        </w:rPr>
      </w:pPr>
      <w:r w:rsidRPr="00DB1AEE">
        <w:rPr>
          <w:u w:val="single"/>
        </w:rPr>
        <w:t>Enthalpy recovery ratio requirements at cooling design condition in Climate Zones 4, 5, and 6.</w:t>
      </w:r>
    </w:p>
    <w:p w14:paraId="07CA0CE9"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 xml:space="preserve">Section C403.7.4.2 Spaces other than nontransient dwelling units.    </w:t>
      </w:r>
    </w:p>
    <w:p w14:paraId="6D5E05BB" w14:textId="77777777" w:rsidR="00DB1AEE" w:rsidRPr="00DB1AEE" w:rsidRDefault="00DB1AEE" w:rsidP="00DB1AEE">
      <w:pPr>
        <w:suppressAutoHyphens/>
        <w:spacing w:before="130" w:after="130"/>
        <w:rPr>
          <w:rFonts w:eastAsia="MS Mincho"/>
          <w:bCs/>
          <w:szCs w:val="24"/>
          <w:u w:val="single"/>
        </w:rPr>
      </w:pPr>
      <w:r w:rsidRPr="00DB1AEE">
        <w:rPr>
          <w:rFonts w:eastAsia="MS Mincho"/>
          <w:bCs/>
          <w:szCs w:val="24"/>
          <w:u w:val="single"/>
        </w:rPr>
        <w:t>Section C403.7.4.2 – Revise Section C403.7.4.2 to read as follows:</w:t>
      </w:r>
    </w:p>
    <w:p w14:paraId="4B0ED4E3" w14:textId="77777777" w:rsidR="00DB1AEE" w:rsidRPr="00DB1AEE" w:rsidRDefault="00DB1AEE" w:rsidP="00DB1AEE">
      <w:pPr>
        <w:spacing w:before="130" w:after="130"/>
        <w:ind w:left="720"/>
        <w:jc w:val="left"/>
        <w:rPr>
          <w:b/>
          <w:bCs/>
          <w:vanish/>
          <w:szCs w:val="24"/>
          <w:u w:val="single"/>
        </w:rPr>
      </w:pPr>
      <w:r w:rsidRPr="00DB1AEE">
        <w:rPr>
          <w:b/>
          <w:szCs w:val="24"/>
          <w:u w:val="single"/>
        </w:rPr>
        <w:t>C403.7.4.2 Spaces other than nontransient dwelling units.</w:t>
      </w:r>
      <w:r w:rsidRPr="00DB1AEE">
        <w:rPr>
          <w:b/>
          <w:bCs/>
          <w:szCs w:val="24"/>
          <w:u w:val="single"/>
        </w:rPr>
        <w:t xml:space="preserve"> </w:t>
      </w:r>
    </w:p>
    <w:p w14:paraId="1309EF58" w14:textId="77777777" w:rsidR="00DB1AEE" w:rsidRPr="00DB1AEE" w:rsidRDefault="00DB1AEE" w:rsidP="00DB1AEE">
      <w:pPr>
        <w:autoSpaceDE w:val="0"/>
        <w:autoSpaceDN w:val="0"/>
        <w:adjustRightInd w:val="0"/>
        <w:spacing w:before="80" w:after="80" w:line="220" w:lineRule="atLeast"/>
        <w:ind w:left="720"/>
        <w:rPr>
          <w:szCs w:val="24"/>
          <w:u w:val="single"/>
        </w:rPr>
      </w:pPr>
      <w:r w:rsidRPr="00DB1AEE">
        <w:rPr>
          <w:b/>
          <w:bCs/>
          <w:strike/>
          <w:szCs w:val="24"/>
          <w:u w:val="single"/>
        </w:rPr>
        <w:t xml:space="preserve"> </w:t>
      </w:r>
      <w:r w:rsidRPr="00DB1AEE">
        <w:rPr>
          <w:szCs w:val="24"/>
          <w:u w:val="single"/>
        </w:rPr>
        <w:t>Where the supply airflow rate of a fan system serving a space other than a nontransient dwelling unit exceeds the values specified in Tables</w:t>
      </w:r>
      <w:r w:rsidRPr="00DB1AEE">
        <w:rPr>
          <w:w w:val="0"/>
          <w:szCs w:val="24"/>
          <w:u w:val="single"/>
        </w:rPr>
        <w:t xml:space="preserve"> </w:t>
      </w:r>
      <w:r w:rsidRPr="00DB1AEE">
        <w:rPr>
          <w:szCs w:val="24"/>
          <w:u w:val="single"/>
        </w:rPr>
        <w:t>C403.7.4.2(1) and C403.7.4.2(2), the system shall include  an energy recovery system</w:t>
      </w:r>
      <w:r w:rsidRPr="00DB1AEE">
        <w:rPr>
          <w:i/>
          <w:iCs/>
          <w:szCs w:val="24"/>
          <w:u w:val="single"/>
        </w:rPr>
        <w:t>enthalpy recovery ratio</w:t>
      </w:r>
      <w:r w:rsidRPr="00DB1AEE">
        <w:rPr>
          <w:szCs w:val="24"/>
          <w:u w:val="single"/>
        </w:rPr>
        <w:t xml:space="preserve"> of not less than 50 percent</w:t>
      </w:r>
      <w:r w:rsidRPr="00DB1AEE">
        <w:rPr>
          <w:szCs w:val="24"/>
          <w:u w:val="single"/>
          <w:shd w:val="clear" w:color="auto" w:fill="FFFFFF"/>
        </w:rPr>
        <w:t>,</w:t>
      </w:r>
      <w:r w:rsidRPr="00DB1AEE">
        <w:rPr>
          <w:szCs w:val="24"/>
          <w:u w:val="single"/>
        </w:rPr>
        <w:t xml:space="preserve"> at design conditions. Where an air economizer is required, the energy recovery system shall include a bypass or controls that permit operation of the economizer as required by Section C403.5.</w:t>
      </w:r>
    </w:p>
    <w:p w14:paraId="7F2FC580" w14:textId="77777777" w:rsidR="00DB1AEE" w:rsidRPr="00DB1AEE" w:rsidRDefault="00DB1AEE" w:rsidP="00DB1AEE">
      <w:pPr>
        <w:autoSpaceDE w:val="0"/>
        <w:autoSpaceDN w:val="0"/>
        <w:adjustRightInd w:val="0"/>
        <w:spacing w:before="80" w:after="80" w:line="220" w:lineRule="atLeast"/>
        <w:ind w:left="720"/>
        <w:rPr>
          <w:szCs w:val="24"/>
          <w:u w:val="single"/>
        </w:rPr>
      </w:pPr>
      <w:r w:rsidRPr="00DB1AEE">
        <w:rPr>
          <w:b/>
          <w:bCs/>
          <w:szCs w:val="24"/>
          <w:u w:val="single"/>
        </w:rPr>
        <w:t>Exception:</w:t>
      </w:r>
      <w:r w:rsidRPr="00DB1AEE">
        <w:rPr>
          <w:szCs w:val="24"/>
          <w:u w:val="single"/>
        </w:rPr>
        <w:t xml:space="preserve"> An energy recovery ventilation system shall not be required in any of the following conditions:</w:t>
      </w:r>
    </w:p>
    <w:p w14:paraId="66B8CB17" w14:textId="77777777" w:rsidR="00DB1AEE" w:rsidRPr="00DB1AEE" w:rsidRDefault="00DB1AEE" w:rsidP="00DB1AEE">
      <w:pPr>
        <w:autoSpaceDE w:val="0"/>
        <w:autoSpaceDN w:val="0"/>
        <w:adjustRightInd w:val="0"/>
        <w:spacing w:before="80" w:after="80" w:line="220" w:lineRule="atLeast"/>
        <w:ind w:left="1440" w:hanging="288"/>
        <w:rPr>
          <w:szCs w:val="24"/>
          <w:u w:val="single"/>
        </w:rPr>
      </w:pPr>
      <w:r w:rsidRPr="00DB1AEE">
        <w:rPr>
          <w:szCs w:val="24"/>
          <w:u w:val="single"/>
        </w:rPr>
        <w:t>1.</w:t>
      </w:r>
      <w:r w:rsidRPr="00DB1AEE">
        <w:rPr>
          <w:szCs w:val="24"/>
          <w:u w:val="single"/>
        </w:rPr>
        <w:tab/>
        <w:t xml:space="preserve">Where energy recovery systems are prohibited by the </w:t>
      </w:r>
      <w:r w:rsidRPr="00DB1AEE">
        <w:rPr>
          <w:w w:val="0"/>
          <w:szCs w:val="24"/>
          <w:u w:val="single"/>
        </w:rPr>
        <w:t xml:space="preserve">Section 514.2 of the </w:t>
      </w:r>
      <w:r w:rsidRPr="00DB1AEE">
        <w:rPr>
          <w:i/>
          <w:iCs/>
          <w:w w:val="0"/>
          <w:szCs w:val="24"/>
          <w:u w:val="single"/>
        </w:rPr>
        <w:t>New York City</w:t>
      </w:r>
      <w:r w:rsidRPr="00DB1AEE">
        <w:rPr>
          <w:w w:val="0"/>
          <w:szCs w:val="24"/>
          <w:u w:val="single"/>
        </w:rPr>
        <w:t xml:space="preserve"> </w:t>
      </w:r>
      <w:r w:rsidRPr="00DB1AEE">
        <w:rPr>
          <w:i/>
          <w:iCs/>
          <w:szCs w:val="24"/>
          <w:u w:val="single"/>
        </w:rPr>
        <w:t>Mechanical Code</w:t>
      </w:r>
      <w:r w:rsidRPr="00DB1AEE">
        <w:rPr>
          <w:szCs w:val="24"/>
          <w:u w:val="single"/>
        </w:rPr>
        <w:t>.</w:t>
      </w:r>
    </w:p>
    <w:p w14:paraId="5A541A7B" w14:textId="77777777" w:rsidR="00DB1AEE" w:rsidRPr="00DB1AEE" w:rsidRDefault="00DB1AEE" w:rsidP="00DB1AEE">
      <w:pPr>
        <w:autoSpaceDE w:val="0"/>
        <w:autoSpaceDN w:val="0"/>
        <w:adjustRightInd w:val="0"/>
        <w:spacing w:before="80" w:after="80" w:line="220" w:lineRule="atLeast"/>
        <w:ind w:left="1440" w:hanging="288"/>
        <w:rPr>
          <w:szCs w:val="24"/>
          <w:u w:val="single"/>
        </w:rPr>
      </w:pPr>
      <w:r w:rsidRPr="00DB1AEE">
        <w:rPr>
          <w:szCs w:val="24"/>
          <w:u w:val="single"/>
        </w:rPr>
        <w:t>2.</w:t>
      </w:r>
      <w:r w:rsidRPr="00DB1AEE">
        <w:rPr>
          <w:szCs w:val="24"/>
          <w:u w:val="single"/>
        </w:rPr>
        <w:tab/>
        <w:t>Laboratory fume hood systems that include not fewer than one of the following features:</w:t>
      </w:r>
    </w:p>
    <w:p w14:paraId="6788B474" w14:textId="77777777" w:rsidR="00DB1AEE" w:rsidRPr="00DB1AEE" w:rsidRDefault="00DB1AEE" w:rsidP="00DB1AEE">
      <w:pPr>
        <w:autoSpaceDE w:val="0"/>
        <w:autoSpaceDN w:val="0"/>
        <w:adjustRightInd w:val="0"/>
        <w:spacing w:before="80" w:after="80" w:line="220" w:lineRule="atLeast"/>
        <w:ind w:left="2160" w:hanging="288"/>
        <w:rPr>
          <w:szCs w:val="24"/>
          <w:u w:val="single"/>
        </w:rPr>
      </w:pPr>
      <w:r w:rsidRPr="00DB1AEE">
        <w:rPr>
          <w:szCs w:val="24"/>
          <w:u w:val="single"/>
        </w:rPr>
        <w:t>2.1. Variable-air-volume hood exhaust and room supply systems configured to reduce exhaust and makeup air volume to 50 percent or less of design values.</w:t>
      </w:r>
    </w:p>
    <w:p w14:paraId="027FA2D5" w14:textId="77777777" w:rsidR="00DB1AEE" w:rsidRPr="00DB1AEE" w:rsidRDefault="00DB1AEE" w:rsidP="00DB1AEE">
      <w:pPr>
        <w:autoSpaceDE w:val="0"/>
        <w:autoSpaceDN w:val="0"/>
        <w:adjustRightInd w:val="0"/>
        <w:spacing w:before="80" w:after="80" w:line="220" w:lineRule="atLeast"/>
        <w:ind w:left="2160" w:hanging="288"/>
        <w:rPr>
          <w:szCs w:val="24"/>
          <w:u w:val="single"/>
        </w:rPr>
      </w:pPr>
      <w:r w:rsidRPr="00DB1AEE">
        <w:rPr>
          <w:szCs w:val="24"/>
          <w:u w:val="single"/>
        </w:rPr>
        <w:t>2.2. Direct makeup (auxiliary) air supply equal to or greater than 75 percent of the exhaust rate, heated not warmer than 2°F (1.1°C) above room setpoint, cooled to not cooler than 3°F (1.7°C) below room setpoint, with no humidification added, and no simultaneous heating and cooling used for dehumidification control.</w:t>
      </w:r>
    </w:p>
    <w:p w14:paraId="75966CF0" w14:textId="77777777" w:rsidR="00DB1AEE" w:rsidRPr="00DB1AEE" w:rsidRDefault="00DB1AEE" w:rsidP="00DB1AEE">
      <w:pPr>
        <w:autoSpaceDE w:val="0"/>
        <w:autoSpaceDN w:val="0"/>
        <w:adjustRightInd w:val="0"/>
        <w:spacing w:before="80" w:after="80" w:line="220" w:lineRule="atLeast"/>
        <w:ind w:left="1440" w:hanging="288"/>
        <w:rPr>
          <w:szCs w:val="24"/>
          <w:u w:val="single"/>
        </w:rPr>
      </w:pPr>
      <w:r w:rsidRPr="00DB1AEE">
        <w:rPr>
          <w:szCs w:val="24"/>
          <w:u w:val="single"/>
        </w:rPr>
        <w:t>3.</w:t>
      </w:r>
      <w:r w:rsidRPr="00DB1AEE">
        <w:rPr>
          <w:szCs w:val="24"/>
          <w:u w:val="single"/>
        </w:rPr>
        <w:tab/>
        <w:t>Systems serving spaces that are heated to less than 60°F (15.5°C) and that are not cooled.</w:t>
      </w:r>
    </w:p>
    <w:p w14:paraId="26DE2FCC" w14:textId="77777777" w:rsidR="00DB1AEE" w:rsidRPr="00DB1AEE" w:rsidRDefault="00DB1AEE" w:rsidP="00DB1AEE">
      <w:pPr>
        <w:autoSpaceDE w:val="0"/>
        <w:autoSpaceDN w:val="0"/>
        <w:adjustRightInd w:val="0"/>
        <w:spacing w:before="80" w:after="80" w:line="220" w:lineRule="atLeast"/>
        <w:ind w:left="1440" w:hanging="288"/>
        <w:rPr>
          <w:szCs w:val="24"/>
          <w:u w:val="single"/>
        </w:rPr>
      </w:pPr>
      <w:r w:rsidRPr="00DB1AEE">
        <w:rPr>
          <w:szCs w:val="24"/>
          <w:u w:val="single"/>
        </w:rPr>
        <w:t>4.</w:t>
      </w:r>
      <w:r w:rsidRPr="00DB1AEE">
        <w:rPr>
          <w:szCs w:val="24"/>
          <w:u w:val="single"/>
        </w:rPr>
        <w:tab/>
        <w:t>Heating and energy recovery where more than 60 percent of the outdoor heating energy is provided from site-recovered or site-solar energy in climate zones 5.</w:t>
      </w:r>
    </w:p>
    <w:p w14:paraId="34DC7236" w14:textId="77777777" w:rsidR="00DB1AEE" w:rsidRPr="00DB1AEE" w:rsidRDefault="00DB1AEE" w:rsidP="00DB1AEE">
      <w:pPr>
        <w:autoSpaceDE w:val="0"/>
        <w:autoSpaceDN w:val="0"/>
        <w:adjustRightInd w:val="0"/>
        <w:spacing w:before="80" w:after="80" w:line="220" w:lineRule="atLeast"/>
        <w:ind w:left="1440" w:hanging="288"/>
        <w:rPr>
          <w:szCs w:val="24"/>
          <w:u w:val="single"/>
        </w:rPr>
      </w:pPr>
      <w:r w:rsidRPr="00DB1AEE">
        <w:rPr>
          <w:szCs w:val="24"/>
          <w:u w:val="single"/>
        </w:rPr>
        <w:t>5.</w:t>
      </w:r>
      <w:r w:rsidRPr="00DB1AEE">
        <w:rPr>
          <w:szCs w:val="24"/>
          <w:u w:val="single"/>
        </w:rPr>
        <w:tab/>
        <w:t>Systems in climate zone 4 requiring dehumidification that employ series energy recovery and have a minimum SERR of 0.40.</w:t>
      </w:r>
    </w:p>
    <w:p w14:paraId="081657F0" w14:textId="77777777" w:rsidR="00DB1AEE" w:rsidRPr="00DB1AEE" w:rsidRDefault="00DB1AEE" w:rsidP="00DB1AEE">
      <w:pPr>
        <w:autoSpaceDE w:val="0"/>
        <w:autoSpaceDN w:val="0"/>
        <w:adjustRightInd w:val="0"/>
        <w:spacing w:before="80" w:after="80" w:line="220" w:lineRule="atLeast"/>
        <w:ind w:left="1440" w:hanging="288"/>
        <w:rPr>
          <w:w w:val="0"/>
          <w:szCs w:val="24"/>
          <w:u w:val="single"/>
        </w:rPr>
      </w:pPr>
      <w:r w:rsidRPr="00DB1AEE">
        <w:rPr>
          <w:w w:val="0"/>
          <w:szCs w:val="24"/>
          <w:u w:val="single"/>
        </w:rPr>
        <w:t>6.Where the sum of the airflow rates</w:t>
      </w:r>
      <w:r w:rsidRPr="00DB1AEE">
        <w:rPr>
          <w:strike/>
          <w:w w:val="0"/>
          <w:szCs w:val="24"/>
          <w:u w:val="single"/>
        </w:rPr>
        <w:t xml:space="preserve"> </w:t>
      </w:r>
      <w:r w:rsidRPr="00DB1AEE">
        <w:rPr>
          <w:w w:val="0"/>
          <w:szCs w:val="24"/>
          <w:u w:val="single"/>
        </w:rPr>
        <w:t>exhausted and relieved within 30 feet of each other</w:t>
      </w:r>
      <w:r w:rsidRPr="00DB1AEE">
        <w:rPr>
          <w:strike/>
          <w:w w:val="0"/>
          <w:szCs w:val="24"/>
          <w:u w:val="single"/>
        </w:rPr>
        <w:t xml:space="preserve"> </w:t>
      </w:r>
      <w:r w:rsidRPr="00DB1AEE">
        <w:rPr>
          <w:w w:val="0"/>
          <w:szCs w:val="24"/>
          <w:u w:val="single"/>
        </w:rPr>
        <w:t>is less than 75 percent of the design ventilation</w:t>
      </w:r>
      <w:r w:rsidRPr="00DB1AEE">
        <w:rPr>
          <w:strike/>
          <w:w w:val="0"/>
          <w:szCs w:val="24"/>
          <w:u w:val="single"/>
        </w:rPr>
        <w:t xml:space="preserve"> </w:t>
      </w:r>
      <w:r w:rsidRPr="00DB1AEE">
        <w:rPr>
          <w:w w:val="0"/>
          <w:szCs w:val="24"/>
          <w:u w:val="single"/>
        </w:rPr>
        <w:t>outdoor air flow rate, excluding exhaust air that is any of the following:</w:t>
      </w:r>
    </w:p>
    <w:p w14:paraId="5C384F41" w14:textId="77777777" w:rsidR="00DB1AEE" w:rsidRPr="00DB1AEE" w:rsidRDefault="00DB1AEE" w:rsidP="00DB1AEE">
      <w:pPr>
        <w:autoSpaceDE w:val="0"/>
        <w:autoSpaceDN w:val="0"/>
        <w:adjustRightInd w:val="0"/>
        <w:spacing w:before="80" w:after="80" w:line="220" w:lineRule="atLeast"/>
        <w:ind w:left="2160" w:hanging="288"/>
        <w:rPr>
          <w:w w:val="0"/>
          <w:szCs w:val="24"/>
          <w:u w:val="single"/>
        </w:rPr>
      </w:pPr>
      <w:r w:rsidRPr="00DB1AEE">
        <w:rPr>
          <w:w w:val="0"/>
          <w:szCs w:val="24"/>
          <w:u w:val="single"/>
        </w:rPr>
        <w:t>a.</w:t>
      </w:r>
      <w:r w:rsidRPr="00DB1AEE">
        <w:rPr>
          <w:w w:val="0"/>
          <w:szCs w:val="24"/>
          <w:u w:val="single"/>
        </w:rPr>
        <w:tab/>
        <w:t>used for another energy recovery system,</w:t>
      </w:r>
    </w:p>
    <w:p w14:paraId="77454BDF" w14:textId="77777777" w:rsidR="00DB1AEE" w:rsidRPr="00DB1AEE" w:rsidRDefault="00DB1AEE" w:rsidP="00DB1AEE">
      <w:pPr>
        <w:autoSpaceDE w:val="0"/>
        <w:autoSpaceDN w:val="0"/>
        <w:adjustRightInd w:val="0"/>
        <w:spacing w:before="80" w:after="80" w:line="220" w:lineRule="atLeast"/>
        <w:ind w:left="2160" w:hanging="288"/>
        <w:rPr>
          <w:w w:val="0"/>
          <w:szCs w:val="24"/>
          <w:u w:val="single"/>
        </w:rPr>
      </w:pPr>
      <w:r w:rsidRPr="00DB1AEE">
        <w:rPr>
          <w:w w:val="0"/>
          <w:szCs w:val="24"/>
          <w:u w:val="single"/>
        </w:rPr>
        <w:t>b.</w:t>
      </w:r>
      <w:r w:rsidRPr="00DB1AEE">
        <w:rPr>
          <w:w w:val="0"/>
          <w:szCs w:val="24"/>
          <w:u w:val="single"/>
        </w:rPr>
        <w:tab/>
        <w:t>not allowed by ASHRAE Standard 170 for use in energy recovery systems with leakage potential,</w:t>
      </w:r>
    </w:p>
    <w:p w14:paraId="387CB35B" w14:textId="77777777" w:rsidR="00DB1AEE" w:rsidRPr="00DB1AEE" w:rsidRDefault="00DB1AEE" w:rsidP="00DB1AEE">
      <w:pPr>
        <w:autoSpaceDE w:val="0"/>
        <w:autoSpaceDN w:val="0"/>
        <w:adjustRightInd w:val="0"/>
        <w:spacing w:before="80" w:after="80" w:line="220" w:lineRule="atLeast"/>
        <w:ind w:left="2160" w:hanging="288"/>
        <w:rPr>
          <w:w w:val="0"/>
          <w:szCs w:val="24"/>
          <w:u w:val="single"/>
        </w:rPr>
      </w:pPr>
      <w:r w:rsidRPr="00DB1AEE">
        <w:rPr>
          <w:w w:val="0"/>
          <w:szCs w:val="24"/>
          <w:u w:val="single"/>
        </w:rPr>
        <w:t>c.</w:t>
      </w:r>
      <w:r w:rsidRPr="00DB1AEE">
        <w:rPr>
          <w:w w:val="0"/>
          <w:szCs w:val="24"/>
          <w:u w:val="single"/>
        </w:rPr>
        <w:tab/>
        <w:t xml:space="preserve">prohibited by the </w:t>
      </w:r>
      <w:r w:rsidRPr="00DB1AEE">
        <w:rPr>
          <w:i/>
          <w:iCs/>
          <w:w w:val="0"/>
          <w:szCs w:val="24"/>
          <w:u w:val="single"/>
        </w:rPr>
        <w:t>New York City Mechanical Code</w:t>
      </w:r>
      <w:r w:rsidRPr="00DB1AEE">
        <w:rPr>
          <w:w w:val="0"/>
          <w:szCs w:val="24"/>
          <w:u w:val="single"/>
        </w:rPr>
        <w:t>, or</w:t>
      </w:r>
    </w:p>
    <w:p w14:paraId="22F981F4" w14:textId="77777777" w:rsidR="00DB1AEE" w:rsidRPr="00DB1AEE" w:rsidRDefault="00DB1AEE" w:rsidP="00DB1AEE">
      <w:pPr>
        <w:autoSpaceDE w:val="0"/>
        <w:autoSpaceDN w:val="0"/>
        <w:adjustRightInd w:val="0"/>
        <w:spacing w:before="80" w:after="80" w:line="220" w:lineRule="atLeast"/>
        <w:ind w:left="2160" w:hanging="288"/>
        <w:rPr>
          <w:w w:val="0"/>
          <w:szCs w:val="24"/>
          <w:u w:val="single"/>
        </w:rPr>
      </w:pPr>
      <w:r w:rsidRPr="00DB1AEE">
        <w:rPr>
          <w:w w:val="0"/>
          <w:szCs w:val="24"/>
          <w:u w:val="single"/>
        </w:rPr>
        <w:t>d.</w:t>
      </w:r>
      <w:r w:rsidRPr="00DB1AEE">
        <w:rPr>
          <w:w w:val="0"/>
          <w:szCs w:val="24"/>
          <w:u w:val="single"/>
        </w:rPr>
        <w:tab/>
        <w:t>of Class 4 as defined in ASHRAE 62.1.</w:t>
      </w:r>
    </w:p>
    <w:p w14:paraId="58FB2396" w14:textId="77777777" w:rsidR="00DB1AEE" w:rsidRPr="00DB1AEE" w:rsidRDefault="00DB1AEE" w:rsidP="00DB1AEE">
      <w:pPr>
        <w:autoSpaceDE w:val="0"/>
        <w:autoSpaceDN w:val="0"/>
        <w:adjustRightInd w:val="0"/>
        <w:spacing w:before="80" w:after="80" w:line="220" w:lineRule="atLeast"/>
        <w:ind w:left="1440" w:hanging="288"/>
        <w:rPr>
          <w:szCs w:val="24"/>
          <w:u w:val="single"/>
        </w:rPr>
      </w:pPr>
      <w:r w:rsidRPr="00DB1AEE">
        <w:rPr>
          <w:szCs w:val="24"/>
          <w:u w:val="single"/>
        </w:rPr>
        <w:t>7.</w:t>
      </w:r>
      <w:r w:rsidRPr="00DB1AEE">
        <w:rPr>
          <w:szCs w:val="24"/>
          <w:u w:val="single"/>
        </w:rPr>
        <w:tab/>
        <w:t xml:space="preserve">Systems expected to operate less than 20 hours per week at the </w:t>
      </w:r>
      <w:r w:rsidRPr="00DB1AEE">
        <w:rPr>
          <w:i/>
          <w:iCs/>
          <w:szCs w:val="24"/>
          <w:u w:val="single"/>
        </w:rPr>
        <w:t>outdoor air</w:t>
      </w:r>
      <w:r w:rsidRPr="00DB1AEE">
        <w:rPr>
          <w:szCs w:val="24"/>
          <w:u w:val="single"/>
        </w:rPr>
        <w:t xml:space="preserve"> percentage covered by Table C403.7.4.2(1).</w:t>
      </w:r>
    </w:p>
    <w:p w14:paraId="3591294E" w14:textId="77777777" w:rsidR="00DB1AEE" w:rsidRPr="00DB1AEE" w:rsidRDefault="00DB1AEE" w:rsidP="00DB1AEE">
      <w:pPr>
        <w:autoSpaceDE w:val="0"/>
        <w:autoSpaceDN w:val="0"/>
        <w:adjustRightInd w:val="0"/>
        <w:spacing w:before="80" w:after="80" w:line="220" w:lineRule="atLeast"/>
        <w:ind w:left="1440" w:hanging="288"/>
        <w:rPr>
          <w:szCs w:val="24"/>
          <w:u w:val="single"/>
        </w:rPr>
      </w:pPr>
      <w:r w:rsidRPr="00DB1AEE">
        <w:rPr>
          <w:szCs w:val="24"/>
          <w:u w:val="single"/>
        </w:rPr>
        <w:t>8. Systems exhausting toxic, flammable, paint or corrosive fumes or dust.</w:t>
      </w:r>
    </w:p>
    <w:p w14:paraId="1CEA59D3" w14:textId="77777777" w:rsidR="00DB1AEE" w:rsidRPr="00DB1AEE" w:rsidRDefault="00DB1AEE" w:rsidP="00DB1AEE">
      <w:pPr>
        <w:autoSpaceDE w:val="0"/>
        <w:autoSpaceDN w:val="0"/>
        <w:adjustRightInd w:val="0"/>
        <w:spacing w:before="80" w:after="80" w:line="220" w:lineRule="atLeast"/>
        <w:ind w:left="1440" w:hanging="288"/>
        <w:rPr>
          <w:szCs w:val="24"/>
          <w:u w:val="single"/>
        </w:rPr>
      </w:pPr>
      <w:r w:rsidRPr="00DB1AEE">
        <w:rPr>
          <w:szCs w:val="24"/>
          <w:u w:val="single"/>
        </w:rPr>
        <w:t>9.</w:t>
      </w:r>
      <w:r w:rsidRPr="00DB1AEE">
        <w:rPr>
          <w:szCs w:val="24"/>
          <w:u w:val="single"/>
        </w:rPr>
        <w:tab/>
        <w:t>Commercial kitchen hoods used for collecting and removing grease vapors and smoke.</w:t>
      </w:r>
    </w:p>
    <w:p w14:paraId="6584A7E0"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 xml:space="preserve">Section C403.7.5 Kitchen exhaust systems.     </w:t>
      </w:r>
    </w:p>
    <w:p w14:paraId="2D292D5E" w14:textId="77777777" w:rsidR="00DB1AEE" w:rsidRPr="00DB1AEE" w:rsidRDefault="00DB1AEE" w:rsidP="00DB1AEE">
      <w:pPr>
        <w:suppressAutoHyphens/>
        <w:spacing w:before="130" w:after="130"/>
        <w:rPr>
          <w:rFonts w:eastAsia="MS Mincho"/>
          <w:bCs/>
          <w:szCs w:val="24"/>
          <w:u w:val="single"/>
        </w:rPr>
      </w:pPr>
      <w:r w:rsidRPr="00DB1AEE">
        <w:rPr>
          <w:rFonts w:eastAsia="MS Mincho"/>
          <w:bCs/>
          <w:szCs w:val="24"/>
          <w:u w:val="single"/>
        </w:rPr>
        <w:t>Section C403.7.5 – Revise exception 2 from Section C403.7.5 to read as follows:</w:t>
      </w:r>
    </w:p>
    <w:p w14:paraId="1FBE45B1" w14:textId="77777777" w:rsidR="00DB1AEE" w:rsidRPr="00DB1AEE" w:rsidRDefault="00DB1AEE" w:rsidP="00DB1AEE">
      <w:pPr>
        <w:widowControl w:val="0"/>
        <w:suppressAutoHyphens/>
        <w:spacing w:before="130" w:after="130"/>
        <w:ind w:left="648" w:hanging="288"/>
        <w:rPr>
          <w:u w:val="single"/>
        </w:rPr>
      </w:pPr>
      <w:r w:rsidRPr="00DB1AEE">
        <w:rPr>
          <w:u w:val="single"/>
        </w:rPr>
        <w:t>2. Where allowed by the New York City  Mechanical Code, an energy recovery ventilation system is installed on the kitchen exhaust with a sensible heat recovery effectiveness of not less than 40 percent on not less than 50 percent of the total exhaust hood airflow.</w:t>
      </w:r>
    </w:p>
    <w:p w14:paraId="61846945"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 xml:space="preserve">Section C403.7.7 Shutoff dampers.      </w:t>
      </w:r>
    </w:p>
    <w:p w14:paraId="2FC77155" w14:textId="77777777" w:rsidR="00DB1AEE" w:rsidRPr="00DB1AEE" w:rsidRDefault="00DB1AEE" w:rsidP="00DB1AEE">
      <w:pPr>
        <w:suppressAutoHyphens/>
        <w:spacing w:before="130" w:after="130"/>
        <w:rPr>
          <w:rFonts w:eastAsia="MS Mincho"/>
          <w:bCs/>
          <w:szCs w:val="24"/>
          <w:u w:val="single"/>
        </w:rPr>
      </w:pPr>
      <w:r w:rsidRPr="00DB1AEE">
        <w:rPr>
          <w:rFonts w:eastAsia="MS Mincho"/>
          <w:bCs/>
          <w:szCs w:val="24"/>
          <w:u w:val="single"/>
        </w:rPr>
        <w:t>Section C403.7.7 – Revise Section C403.7.7 to read as follows:</w:t>
      </w:r>
    </w:p>
    <w:p w14:paraId="1153879F" w14:textId="77777777" w:rsidR="00DB1AEE" w:rsidRPr="00DB1AEE" w:rsidRDefault="00DB1AEE" w:rsidP="00DB1AEE">
      <w:pPr>
        <w:widowControl w:val="0"/>
        <w:suppressAutoHyphens/>
        <w:spacing w:before="130" w:after="130"/>
        <w:ind w:left="360"/>
        <w:rPr>
          <w:u w:val="single"/>
        </w:rPr>
      </w:pPr>
      <w:r w:rsidRPr="00DB1AEE">
        <w:rPr>
          <w:b/>
          <w:bCs/>
          <w:u w:val="single"/>
        </w:rPr>
        <w:t>C403.7.7 Shutoff dampers.</w:t>
      </w:r>
      <w:r w:rsidRPr="00DB1AEE">
        <w:rPr>
          <w:u w:val="single"/>
        </w:rPr>
        <w:t xml:space="preserve">  Outdoor air intake and exhaust openings and stairway and shaft vents shall be provided with Class I motorized dampers. The dampers shall have an air leakage rate not greater than 4 cfm/ft2 (20.3 L/s × m2) of damper surface area at 1.0 inch water gauge (249 Pa) and shall be labeled by an approved agency when tested in accordance with AMCA 500D for such purpose.</w:t>
      </w:r>
    </w:p>
    <w:p w14:paraId="4C86AC03" w14:textId="77777777" w:rsidR="00DB1AEE" w:rsidRPr="00DB1AEE" w:rsidRDefault="00DB1AEE" w:rsidP="00DB1AEE">
      <w:pPr>
        <w:widowControl w:val="0"/>
        <w:suppressAutoHyphens/>
        <w:spacing w:before="130" w:after="130"/>
        <w:ind w:left="360" w:firstLine="720"/>
        <w:rPr>
          <w:u w:val="single"/>
        </w:rPr>
      </w:pPr>
      <w:r w:rsidRPr="00DB1AEE">
        <w:rPr>
          <w:u w:val="single"/>
        </w:rPr>
        <w:t>Outdoor air intake and exhaust dampers shall be installed with automatic controls configured to close when the systems or spaces served are not in use or during unoccupied period warm-up and setback operation, unless the systems served require outdoor or exhaust air in accordance with the New York City  Mechanical Code or the dampers are opened to provide intentional economizer cooling.</w:t>
      </w:r>
    </w:p>
    <w:p w14:paraId="6581D358" w14:textId="77777777" w:rsidR="00DB1AEE" w:rsidRPr="00DB1AEE" w:rsidRDefault="00DB1AEE" w:rsidP="00DB1AEE">
      <w:pPr>
        <w:widowControl w:val="0"/>
        <w:suppressAutoHyphens/>
        <w:spacing w:before="130" w:after="130"/>
        <w:ind w:left="360" w:firstLine="720"/>
        <w:rPr>
          <w:u w:val="single"/>
        </w:rPr>
      </w:pPr>
      <w:r w:rsidRPr="00DB1AEE">
        <w:rPr>
          <w:u w:val="single"/>
        </w:rPr>
        <w:t>Stairway and elevator shaft vent dampers shall be installed with automatic controls configured to open upon the activation of any fire alarm initiating device of the building’s fire alarm system or the interruption of power to the damper, or by thermostatic control systems.</w:t>
      </w:r>
    </w:p>
    <w:p w14:paraId="4095B228" w14:textId="77777777" w:rsidR="00DB1AEE" w:rsidRPr="00DB1AEE" w:rsidRDefault="00DB1AEE" w:rsidP="00DB1AEE">
      <w:pPr>
        <w:widowControl w:val="0"/>
        <w:suppressAutoHyphens/>
        <w:spacing w:before="130" w:after="130"/>
        <w:ind w:left="360"/>
        <w:rPr>
          <w:u w:val="single"/>
        </w:rPr>
      </w:pPr>
      <w:r w:rsidRPr="00DB1AEE">
        <w:rPr>
          <w:u w:val="single"/>
        </w:rPr>
        <w:t>Exception: Nonmotorized gravity dampers shall be an alternative to motorized dampers for exhaust and relief openings as follows:</w:t>
      </w:r>
    </w:p>
    <w:p w14:paraId="49E0848B" w14:textId="77777777" w:rsidR="00DB1AEE" w:rsidRPr="00DB1AEE" w:rsidRDefault="00DB1AEE" w:rsidP="00DB1AEE">
      <w:pPr>
        <w:widowControl w:val="0"/>
        <w:suppressAutoHyphens/>
        <w:spacing w:before="130" w:after="130"/>
        <w:ind w:left="720"/>
        <w:rPr>
          <w:u w:val="single"/>
        </w:rPr>
      </w:pPr>
      <w:r w:rsidRPr="00DB1AEE">
        <w:rPr>
          <w:u w:val="single"/>
        </w:rPr>
        <w:t>1.</w:t>
      </w:r>
      <w:r w:rsidRPr="00DB1AEE">
        <w:rPr>
          <w:u w:val="single"/>
        </w:rPr>
        <w:tab/>
        <w:t>In buildings less than three stories in height above grade plane.</w:t>
      </w:r>
    </w:p>
    <w:p w14:paraId="4549A46F" w14:textId="77777777" w:rsidR="00DB1AEE" w:rsidRPr="00DB1AEE" w:rsidRDefault="00DB1AEE" w:rsidP="00DB1AEE">
      <w:pPr>
        <w:widowControl w:val="0"/>
        <w:suppressAutoHyphens/>
        <w:spacing w:before="130" w:after="130"/>
        <w:ind w:left="720"/>
        <w:rPr>
          <w:u w:val="single"/>
        </w:rPr>
      </w:pPr>
      <w:r w:rsidRPr="00DB1AEE">
        <w:rPr>
          <w:u w:val="single"/>
        </w:rPr>
        <w:t>2.</w:t>
      </w:r>
      <w:r w:rsidRPr="00DB1AEE">
        <w:rPr>
          <w:u w:val="single"/>
        </w:rPr>
        <w:tab/>
        <w:t>In buildings of any height located in Climate Zones 0, 1, 2 or 3.</w:t>
      </w:r>
    </w:p>
    <w:p w14:paraId="35360B4B" w14:textId="77777777" w:rsidR="00DB1AEE" w:rsidRPr="00DB1AEE" w:rsidRDefault="00DB1AEE" w:rsidP="00DB1AEE">
      <w:pPr>
        <w:widowControl w:val="0"/>
        <w:suppressAutoHyphens/>
        <w:spacing w:before="130" w:after="130"/>
        <w:ind w:left="720"/>
        <w:rPr>
          <w:u w:val="single"/>
        </w:rPr>
      </w:pPr>
      <w:r w:rsidRPr="00DB1AEE">
        <w:rPr>
          <w:u w:val="single"/>
        </w:rPr>
        <w:t>3.</w:t>
      </w:r>
      <w:r w:rsidRPr="00DB1AEE">
        <w:rPr>
          <w:u w:val="single"/>
        </w:rPr>
        <w:tab/>
        <w:t>Where the design exhaust capacity is not greater than 300 cfm (142 L/s).</w:t>
      </w:r>
    </w:p>
    <w:p w14:paraId="755C1555" w14:textId="77777777" w:rsidR="00DB1AEE" w:rsidRPr="00DB1AEE" w:rsidRDefault="00DB1AEE" w:rsidP="00DB1AEE">
      <w:pPr>
        <w:widowControl w:val="0"/>
        <w:suppressAutoHyphens/>
        <w:spacing w:before="130" w:after="130"/>
        <w:ind w:left="360" w:firstLine="720"/>
        <w:rPr>
          <w:b/>
          <w:bCs/>
          <w:u w:val="single"/>
        </w:rPr>
      </w:pPr>
      <w:r w:rsidRPr="00DB1AEE">
        <w:rPr>
          <w:u w:val="single"/>
        </w:rPr>
        <w:t>Nonmotorized gravity dampers shall have an air leakage rate not greater than 20 cfm/ft2 (101.6 L/s × m2) where not less than 24 inches (610 mm) in either dimension and 40 cfm/ft2 (203.2 L/s × m2) where less than 24 inches (610 mm) in either dimension. The rate of air leakage shall be determined at 1.0 inch water gauge (249 Pa) when tested in accordance with AMCA 500D for such purpose. The dampers shall be labeled by an approved agency.</w:t>
      </w:r>
    </w:p>
    <w:p w14:paraId="68AB5CF5"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 xml:space="preserve">Section </w:t>
      </w:r>
      <w:bookmarkStart w:id="326" w:name="_Hlk210551954"/>
      <w:r w:rsidRPr="00DB1AEE">
        <w:rPr>
          <w:b/>
          <w:bCs/>
          <w:szCs w:val="24"/>
          <w:u w:val="single"/>
        </w:rPr>
        <w:t xml:space="preserve">C403.13.1 </w:t>
      </w:r>
      <w:bookmarkEnd w:id="326"/>
      <w:r w:rsidRPr="00DB1AEE">
        <w:rPr>
          <w:b/>
          <w:bCs/>
          <w:szCs w:val="24"/>
          <w:u w:val="single"/>
        </w:rPr>
        <w:t xml:space="preserve">Duct and plenum insulation and sealing.      </w:t>
      </w:r>
    </w:p>
    <w:p w14:paraId="1119FF3E" w14:textId="77777777" w:rsidR="00DB1AEE" w:rsidRPr="00DB1AEE" w:rsidRDefault="00DB1AEE" w:rsidP="00DB1AEE">
      <w:pPr>
        <w:suppressAutoHyphens/>
        <w:spacing w:before="130" w:after="130"/>
        <w:rPr>
          <w:rFonts w:eastAsia="MS Mincho"/>
          <w:bCs/>
          <w:szCs w:val="24"/>
          <w:u w:val="single"/>
        </w:rPr>
      </w:pPr>
      <w:r w:rsidRPr="00DB1AEE">
        <w:rPr>
          <w:rFonts w:eastAsia="MS Mincho"/>
          <w:bCs/>
          <w:szCs w:val="24"/>
          <w:u w:val="single"/>
        </w:rPr>
        <w:t>Section C403.13.1 – Revise Section C403.13.1 to read as follows:</w:t>
      </w:r>
    </w:p>
    <w:p w14:paraId="2D61B801" w14:textId="77777777" w:rsidR="00DB1AEE" w:rsidRPr="00DB1AEE" w:rsidRDefault="00DB1AEE" w:rsidP="00DB1AEE">
      <w:pPr>
        <w:widowControl w:val="0"/>
        <w:suppressAutoHyphens/>
        <w:spacing w:before="130" w:after="130"/>
        <w:ind w:left="360"/>
        <w:rPr>
          <w:u w:val="single"/>
        </w:rPr>
      </w:pPr>
      <w:r w:rsidRPr="00DB1AEE">
        <w:rPr>
          <w:b/>
          <w:bCs/>
          <w:u w:val="single"/>
        </w:rPr>
        <w:t xml:space="preserve">C403.13.1 Duct and plenum insulation and sealing.  </w:t>
      </w:r>
      <w:r w:rsidRPr="00DB1AEE">
        <w:rPr>
          <w:u w:val="single"/>
        </w:rPr>
        <w:t>Supply and return air ducts and plenums shall be insulated with not less than R-6 insulation where located in unconditioned spaces and where located outside the building with not less than R-8 insulation in Climate Zone 4 and not less than R-12 insulation in Climate Zones 5 and 6. Ducts located underground beneath buildings shall be insulated as required in this section or have an equivalent thermal distribution efficiency. Underground ducts utilizing the thermal distribution efficiency method shall be listed and labeled to indicate the R-value equivalency. Where located within a building thermal envelope assembly, the duct or plenum shall be separated from the building exterior or unconditioned or exempt spaces by not less than R-8 insulation in Climate Zone 4 and not less than R-12 insulation in Climate Zones 5 and 6.</w:t>
      </w:r>
    </w:p>
    <w:p w14:paraId="18DCC6F9" w14:textId="77777777" w:rsidR="00DB1AEE" w:rsidRPr="00DB1AEE" w:rsidRDefault="00DB1AEE" w:rsidP="00DB1AEE">
      <w:pPr>
        <w:widowControl w:val="0"/>
        <w:suppressAutoHyphens/>
        <w:spacing w:before="130" w:after="130"/>
        <w:ind w:left="360"/>
        <w:rPr>
          <w:u w:val="single"/>
        </w:rPr>
      </w:pPr>
      <w:r w:rsidRPr="00DB1AEE">
        <w:rPr>
          <w:u w:val="single"/>
        </w:rPr>
        <w:t>Exceptions:</w:t>
      </w:r>
    </w:p>
    <w:p w14:paraId="68C9F24E" w14:textId="77777777" w:rsidR="00DB1AEE" w:rsidRPr="00DB1AEE" w:rsidRDefault="00DB1AEE" w:rsidP="00DB1AEE">
      <w:pPr>
        <w:widowControl w:val="0"/>
        <w:suppressAutoHyphens/>
        <w:spacing w:before="130" w:after="130"/>
        <w:ind w:left="720" w:hanging="288"/>
        <w:rPr>
          <w:u w:val="single"/>
        </w:rPr>
      </w:pPr>
      <w:r w:rsidRPr="00DB1AEE">
        <w:rPr>
          <w:u w:val="single"/>
        </w:rPr>
        <w:t>1.</w:t>
      </w:r>
      <w:r w:rsidRPr="00DB1AEE">
        <w:rPr>
          <w:u w:val="single"/>
        </w:rPr>
        <w:tab/>
        <w:t>Where located within equipment.</w:t>
      </w:r>
    </w:p>
    <w:p w14:paraId="26618EDA" w14:textId="77777777" w:rsidR="00DB1AEE" w:rsidRPr="00DB1AEE" w:rsidRDefault="00DB1AEE" w:rsidP="00DB1AEE">
      <w:pPr>
        <w:widowControl w:val="0"/>
        <w:suppressAutoHyphens/>
        <w:spacing w:before="130" w:after="130"/>
        <w:ind w:left="720" w:hanging="288"/>
        <w:rPr>
          <w:u w:val="single"/>
        </w:rPr>
      </w:pPr>
      <w:r w:rsidRPr="00DB1AEE">
        <w:rPr>
          <w:u w:val="single"/>
        </w:rPr>
        <w:t>2.</w:t>
      </w:r>
      <w:r w:rsidRPr="00DB1AEE">
        <w:rPr>
          <w:u w:val="single"/>
        </w:rPr>
        <w:tab/>
        <w:t>Where the design temperature difference between the interior and exterior of the duct or plenum is not greater than 15°F (8°C).</w:t>
      </w:r>
    </w:p>
    <w:p w14:paraId="07B205FC" w14:textId="77777777" w:rsidR="00DB1AEE" w:rsidRPr="00DB1AEE" w:rsidRDefault="00DB1AEE" w:rsidP="00DB1AEE">
      <w:pPr>
        <w:widowControl w:val="0"/>
        <w:suppressAutoHyphens/>
        <w:spacing w:before="130" w:after="130"/>
        <w:ind w:left="360" w:firstLine="720"/>
        <w:rPr>
          <w:u w:val="single"/>
        </w:rPr>
      </w:pPr>
      <w:r w:rsidRPr="00DB1AEE">
        <w:rPr>
          <w:u w:val="single"/>
        </w:rPr>
        <w:t>Ducts, air handlers and filter boxes shall be sealed. Joints and seams shall comply with the New York City  Mechanical Code.</w:t>
      </w:r>
    </w:p>
    <w:p w14:paraId="539C3E48"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 xml:space="preserve">Section C403.13.2 Duct construction.        </w:t>
      </w:r>
    </w:p>
    <w:p w14:paraId="2C0E30AA" w14:textId="77777777" w:rsidR="00DB1AEE" w:rsidRPr="00DB1AEE" w:rsidRDefault="00DB1AEE" w:rsidP="00DB1AEE">
      <w:pPr>
        <w:suppressAutoHyphens/>
        <w:spacing w:before="130" w:after="130"/>
        <w:rPr>
          <w:rFonts w:eastAsia="MS Mincho"/>
          <w:bCs/>
          <w:szCs w:val="24"/>
          <w:u w:val="single"/>
        </w:rPr>
      </w:pPr>
      <w:r w:rsidRPr="00DB1AEE">
        <w:rPr>
          <w:rFonts w:eastAsia="MS Mincho"/>
          <w:bCs/>
          <w:szCs w:val="24"/>
          <w:u w:val="single"/>
        </w:rPr>
        <w:t>Section C403.13.2 – Revise Section C403.13.2 to read as follows:</w:t>
      </w:r>
    </w:p>
    <w:p w14:paraId="376DC1CD" w14:textId="77777777" w:rsidR="00DB1AEE" w:rsidRPr="00DB1AEE" w:rsidRDefault="00DB1AEE" w:rsidP="00DB1AEE">
      <w:pPr>
        <w:widowControl w:val="0"/>
        <w:suppressAutoHyphens/>
        <w:spacing w:before="130" w:after="130"/>
        <w:ind w:left="360"/>
        <w:rPr>
          <w:b/>
          <w:bCs/>
          <w:u w:val="single"/>
        </w:rPr>
      </w:pPr>
      <w:r w:rsidRPr="00DB1AEE">
        <w:rPr>
          <w:b/>
          <w:bCs/>
          <w:u w:val="single"/>
        </w:rPr>
        <w:t xml:space="preserve">C403.13.2 Duct construction.  </w:t>
      </w:r>
      <w:r w:rsidRPr="00DB1AEE">
        <w:rPr>
          <w:u w:val="single"/>
        </w:rPr>
        <w:t>Ductwork shall be constructed and erected in accordance with the New York City Mechanical Code .</w:t>
      </w:r>
    </w:p>
    <w:p w14:paraId="08B0995D"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 xml:space="preserve">Section C403.13.2.1 Low-pressure duct systems.        </w:t>
      </w:r>
    </w:p>
    <w:p w14:paraId="79F827A0" w14:textId="77777777" w:rsidR="00DB1AEE" w:rsidRPr="00DB1AEE" w:rsidRDefault="00DB1AEE" w:rsidP="00DB1AEE">
      <w:pPr>
        <w:suppressAutoHyphens/>
        <w:spacing w:before="130" w:after="130"/>
        <w:rPr>
          <w:rFonts w:eastAsia="MS Mincho"/>
          <w:bCs/>
          <w:szCs w:val="24"/>
          <w:u w:val="single"/>
        </w:rPr>
      </w:pPr>
      <w:r w:rsidRPr="00DB1AEE">
        <w:rPr>
          <w:rFonts w:eastAsia="MS Mincho"/>
          <w:bCs/>
          <w:szCs w:val="24"/>
          <w:u w:val="single"/>
        </w:rPr>
        <w:t>Section C403.13.2.1 – Revise Section C403.13.2.1 to read as follows:</w:t>
      </w:r>
    </w:p>
    <w:p w14:paraId="401510B9" w14:textId="77777777" w:rsidR="00DB1AEE" w:rsidRPr="00DB1AEE" w:rsidRDefault="00DB1AEE" w:rsidP="00DB1AEE">
      <w:pPr>
        <w:widowControl w:val="0"/>
        <w:suppressAutoHyphens/>
        <w:spacing w:before="130" w:after="130"/>
        <w:ind w:left="360"/>
        <w:rPr>
          <w:b/>
          <w:bCs/>
          <w:u w:val="single"/>
        </w:rPr>
      </w:pPr>
      <w:r w:rsidRPr="00DB1AEE">
        <w:rPr>
          <w:b/>
          <w:bCs/>
          <w:u w:val="single"/>
        </w:rPr>
        <w:t xml:space="preserve">C403.13.2.1 Low-pressure duct systems.  </w:t>
      </w:r>
      <w:r w:rsidRPr="00DB1AEE">
        <w:rPr>
          <w:u w:val="single"/>
        </w:rPr>
        <w:t>Longitudinal and transverse joints, seams and connections of supply and return ducts operating at a static pressure less than or equal to 2 inches water gauge (w.g.) (498 Pa) shall be securely fastened and sealed with welds, gaskets, mastics (adhesives), mastic-plus-embedded-fabric systems or tapes installed in accordance with the manufacturer’s instructions. Pressure classifications specific to the duct system shall be clearly indicated on the construction documents in accordance with the New York City  Mechanical Code.</w:t>
      </w:r>
    </w:p>
    <w:p w14:paraId="032F5CC2" w14:textId="77777777" w:rsidR="00DB1AEE" w:rsidRPr="00DB1AEE" w:rsidRDefault="00DB1AEE" w:rsidP="00DB1AEE">
      <w:pPr>
        <w:widowControl w:val="0"/>
        <w:suppressAutoHyphens/>
        <w:spacing w:before="130" w:after="130"/>
        <w:ind w:left="360"/>
        <w:rPr>
          <w:b/>
          <w:bCs/>
          <w:u w:val="single"/>
        </w:rPr>
      </w:pPr>
      <w:r w:rsidRPr="00DB1AEE">
        <w:rPr>
          <w:b/>
          <w:bCs/>
          <w:u w:val="single"/>
        </w:rPr>
        <w:t xml:space="preserve">Exception: </w:t>
      </w:r>
      <w:r w:rsidRPr="00DB1AEE">
        <w:rPr>
          <w:u w:val="single"/>
        </w:rPr>
        <w:t>Locking-type longitudinal joints and seams, other than the snap-lock and button-lock types, need not be sealed as specified in this section.</w:t>
      </w:r>
    </w:p>
    <w:p w14:paraId="4B061FE5"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 xml:space="preserve">Section </w:t>
      </w:r>
      <w:bookmarkStart w:id="327" w:name="_Hlk210552177"/>
      <w:r w:rsidRPr="00DB1AEE">
        <w:rPr>
          <w:b/>
          <w:bCs/>
          <w:szCs w:val="24"/>
          <w:u w:val="single"/>
        </w:rPr>
        <w:t xml:space="preserve">C403.13.2.2 </w:t>
      </w:r>
      <w:bookmarkEnd w:id="327"/>
      <w:r w:rsidRPr="00DB1AEE">
        <w:rPr>
          <w:b/>
          <w:bCs/>
          <w:szCs w:val="24"/>
          <w:u w:val="single"/>
        </w:rPr>
        <w:t xml:space="preserve">Medium-pressure duct systems.        </w:t>
      </w:r>
    </w:p>
    <w:p w14:paraId="45026E7B" w14:textId="77777777" w:rsidR="00DB1AEE" w:rsidRPr="00DB1AEE" w:rsidRDefault="00DB1AEE" w:rsidP="00DB1AEE">
      <w:pPr>
        <w:suppressAutoHyphens/>
        <w:spacing w:before="130" w:after="130"/>
        <w:rPr>
          <w:rFonts w:eastAsia="MS Mincho"/>
          <w:bCs/>
          <w:szCs w:val="24"/>
          <w:u w:val="single"/>
        </w:rPr>
      </w:pPr>
      <w:r w:rsidRPr="00DB1AEE">
        <w:rPr>
          <w:rFonts w:eastAsia="MS Mincho"/>
          <w:bCs/>
          <w:szCs w:val="24"/>
          <w:u w:val="single"/>
        </w:rPr>
        <w:t>Section C403.13.2.2 – Revise Section C403.13.2.2 to read as follows:</w:t>
      </w:r>
    </w:p>
    <w:p w14:paraId="095550CF" w14:textId="77777777" w:rsidR="00DB1AEE" w:rsidRPr="00DB1AEE" w:rsidRDefault="00DB1AEE" w:rsidP="00DB1AEE">
      <w:pPr>
        <w:widowControl w:val="0"/>
        <w:suppressAutoHyphens/>
        <w:spacing w:before="130" w:after="130"/>
        <w:ind w:left="360"/>
        <w:rPr>
          <w:b/>
          <w:bCs/>
          <w:u w:val="single"/>
        </w:rPr>
      </w:pPr>
      <w:r w:rsidRPr="00DB1AEE">
        <w:rPr>
          <w:b/>
          <w:bCs/>
          <w:u w:val="single"/>
        </w:rPr>
        <w:t xml:space="preserve">C403.13.2.2 Medium-pressure duct systems.  </w:t>
      </w:r>
      <w:r w:rsidRPr="00DB1AEE">
        <w:rPr>
          <w:u w:val="single"/>
        </w:rPr>
        <w:t>Ducts and plenums designed to operate at a static pressure greater than 2 inches water gauge (w.g.) (498 Pa) but less than 3 inches w.g. (747 Pa) shall be insulated and sealed in accordance with Section C403.12.1. Pressure classifications specific to the duct system shall be clearly indicated on the construction documents in accordance with the New York City  Mechanical Code.</w:t>
      </w:r>
    </w:p>
    <w:p w14:paraId="2909CCCC"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 xml:space="preserve">Section C403.13.3 Piping insulation.        </w:t>
      </w:r>
    </w:p>
    <w:p w14:paraId="78027F67" w14:textId="77777777" w:rsidR="00DB1AEE" w:rsidRPr="00DB1AEE" w:rsidRDefault="00DB1AEE" w:rsidP="00DB1AEE">
      <w:pPr>
        <w:widowControl w:val="0"/>
        <w:suppressAutoHyphens/>
        <w:spacing w:before="130" w:after="130"/>
        <w:rPr>
          <w:u w:val="single"/>
        </w:rPr>
      </w:pPr>
      <w:r w:rsidRPr="00DB1AEE">
        <w:rPr>
          <w:rFonts w:eastAsia="MS Mincho"/>
          <w:bCs/>
          <w:szCs w:val="24"/>
          <w:u w:val="single"/>
        </w:rPr>
        <w:t>Section C403.13.3 – Revise Section C403.13.3 to read as follows:</w:t>
      </w:r>
    </w:p>
    <w:p w14:paraId="12DE95B2" w14:textId="77777777" w:rsidR="00DB1AEE" w:rsidRPr="00DB1AEE" w:rsidRDefault="00DB1AEE" w:rsidP="00DB1AEE">
      <w:pPr>
        <w:widowControl w:val="0"/>
        <w:suppressAutoHyphens/>
        <w:spacing w:before="130" w:after="130"/>
        <w:ind w:left="360"/>
        <w:rPr>
          <w:u w:val="single"/>
        </w:rPr>
      </w:pPr>
      <w:r w:rsidRPr="00DB1AEE">
        <w:rPr>
          <w:b/>
          <w:bCs/>
          <w:u w:val="single"/>
        </w:rPr>
        <w:t xml:space="preserve">C403.13.3 Piping insulation.  </w:t>
      </w:r>
      <w:r w:rsidRPr="00DB1AEE">
        <w:rPr>
          <w:u w:val="single"/>
        </w:rPr>
        <w:t>Piping serving as part of a heating or cooling system shall be thermally insulated in accordance with Table C403.13.3(1) or C403.13.3(2)..</w:t>
      </w:r>
    </w:p>
    <w:p w14:paraId="00218A23" w14:textId="77777777" w:rsidR="00DB1AEE" w:rsidRPr="00DB1AEE" w:rsidRDefault="00DB1AEE" w:rsidP="00DB1AEE">
      <w:pPr>
        <w:widowControl w:val="0"/>
        <w:suppressAutoHyphens/>
        <w:spacing w:before="130" w:after="130"/>
        <w:ind w:left="360"/>
        <w:rPr>
          <w:b/>
          <w:bCs/>
          <w:u w:val="single"/>
        </w:rPr>
      </w:pPr>
      <w:r w:rsidRPr="00DB1AEE">
        <w:rPr>
          <w:b/>
          <w:bCs/>
          <w:u w:val="single"/>
        </w:rPr>
        <w:t>Exceptions:</w:t>
      </w:r>
    </w:p>
    <w:p w14:paraId="21BD043C" w14:textId="77777777" w:rsidR="00DB1AEE" w:rsidRPr="00DB1AEE" w:rsidRDefault="00DB1AEE" w:rsidP="00DB1AEE">
      <w:pPr>
        <w:widowControl w:val="0"/>
        <w:suppressAutoHyphens/>
        <w:spacing w:before="130" w:after="130"/>
        <w:ind w:left="648" w:hanging="288"/>
        <w:rPr>
          <w:u w:val="single"/>
        </w:rPr>
      </w:pPr>
      <w:r w:rsidRPr="00DB1AEE">
        <w:rPr>
          <w:u w:val="single"/>
        </w:rPr>
        <w:t>1.</w:t>
      </w:r>
      <w:r w:rsidRPr="00DB1AEE">
        <w:rPr>
          <w:u w:val="single"/>
        </w:rPr>
        <w:tab/>
        <w:t>Factory-installed piping within HVAC equipment tested and rated in accordance with a test procedure referenced by this code.</w:t>
      </w:r>
    </w:p>
    <w:p w14:paraId="6B582905" w14:textId="77777777" w:rsidR="00DB1AEE" w:rsidRPr="00DB1AEE" w:rsidRDefault="00DB1AEE" w:rsidP="00DB1AEE">
      <w:pPr>
        <w:widowControl w:val="0"/>
        <w:suppressAutoHyphens/>
        <w:spacing w:before="130" w:after="130"/>
        <w:ind w:left="648" w:hanging="288"/>
        <w:rPr>
          <w:u w:val="single"/>
        </w:rPr>
      </w:pPr>
      <w:r w:rsidRPr="00DB1AEE">
        <w:rPr>
          <w:u w:val="single"/>
        </w:rPr>
        <w:t>2.</w:t>
      </w:r>
      <w:r w:rsidRPr="00DB1AEE">
        <w:rPr>
          <w:u w:val="single"/>
        </w:rPr>
        <w:tab/>
        <w:t>Factory-installed piping within room fan-coils and unit ventilators tested and rated according to AHRI 440 (except that the sampling and variation provisions of Section 6.5 shall not apply) and AHRI 840, respectively.</w:t>
      </w:r>
    </w:p>
    <w:p w14:paraId="302A8806" w14:textId="77777777" w:rsidR="00DB1AEE" w:rsidRPr="00DB1AEE" w:rsidRDefault="00DB1AEE" w:rsidP="00DB1AEE">
      <w:pPr>
        <w:widowControl w:val="0"/>
        <w:suppressAutoHyphens/>
        <w:spacing w:before="130" w:after="130"/>
        <w:ind w:left="648" w:hanging="288"/>
        <w:rPr>
          <w:u w:val="single"/>
        </w:rPr>
      </w:pPr>
      <w:r w:rsidRPr="00DB1AEE">
        <w:rPr>
          <w:u w:val="single"/>
        </w:rPr>
        <w:t>3.</w:t>
      </w:r>
      <w:r w:rsidRPr="00DB1AEE">
        <w:rPr>
          <w:u w:val="single"/>
        </w:rPr>
        <w:tab/>
        <w:t>Piping that conveys fluids that have a design operating temperature range between 60°F (15°C) and 105°F (41°C).</w:t>
      </w:r>
    </w:p>
    <w:p w14:paraId="6AB11489" w14:textId="77777777" w:rsidR="00DB1AEE" w:rsidRPr="00DB1AEE" w:rsidRDefault="00DB1AEE" w:rsidP="00DB1AEE">
      <w:pPr>
        <w:widowControl w:val="0"/>
        <w:suppressAutoHyphens/>
        <w:spacing w:before="130" w:after="130"/>
        <w:ind w:left="648" w:hanging="288"/>
        <w:rPr>
          <w:u w:val="single"/>
        </w:rPr>
      </w:pPr>
      <w:r w:rsidRPr="00DB1AEE">
        <w:rPr>
          <w:u w:val="single"/>
        </w:rPr>
        <w:t>4. Strainers, control valves, and balancing valves associated with piping 1 inch (25 mm) or less in diameter.</w:t>
      </w:r>
    </w:p>
    <w:p w14:paraId="266DBB1D" w14:textId="77777777" w:rsidR="00DB1AEE" w:rsidRPr="00DB1AEE" w:rsidRDefault="00DB1AEE" w:rsidP="00DB1AEE">
      <w:pPr>
        <w:widowControl w:val="0"/>
        <w:suppressAutoHyphens/>
        <w:spacing w:before="130" w:after="130"/>
        <w:ind w:left="648" w:hanging="288"/>
        <w:rPr>
          <w:u w:val="single"/>
        </w:rPr>
      </w:pPr>
      <w:r w:rsidRPr="00DB1AEE">
        <w:rPr>
          <w:u w:val="single"/>
        </w:rPr>
        <w:t>5. Direct buried piping that conveys fluids at or below 60°F (15°C).</w:t>
      </w:r>
    </w:p>
    <w:p w14:paraId="5AB01E3A" w14:textId="77777777" w:rsidR="00DB1AEE" w:rsidRPr="00DB1AEE" w:rsidRDefault="00DB1AEE" w:rsidP="00DB1AEE">
      <w:pPr>
        <w:widowControl w:val="0"/>
        <w:suppressAutoHyphens/>
        <w:spacing w:before="130" w:after="130"/>
        <w:ind w:left="648" w:hanging="288"/>
        <w:rPr>
          <w:u w:val="single"/>
        </w:rPr>
      </w:pPr>
      <w:r w:rsidRPr="00DB1AEE">
        <w:rPr>
          <w:u w:val="single"/>
        </w:rPr>
        <w:t>6.In radiant heating systems, sections of piping intended by design to radiate heat.</w:t>
      </w:r>
    </w:p>
    <w:p w14:paraId="318476FB" w14:textId="77777777" w:rsidR="00DB1AEE" w:rsidRPr="00DB1AEE" w:rsidRDefault="00DB1AEE" w:rsidP="00DB1AEE">
      <w:pPr>
        <w:suppressAutoHyphens/>
        <w:spacing w:before="130" w:after="130"/>
        <w:jc w:val="center"/>
        <w:rPr>
          <w:rFonts w:eastAsia="MS Mincho"/>
          <w:b/>
          <w:bCs/>
          <w:szCs w:val="24"/>
          <w:u w:val="single"/>
        </w:rPr>
      </w:pPr>
      <w:r w:rsidRPr="00DB1AEE">
        <w:rPr>
          <w:rFonts w:eastAsia="MS Mincho"/>
          <w:b/>
          <w:bCs/>
          <w:szCs w:val="24"/>
          <w:u w:val="single"/>
        </w:rPr>
        <w:t>SECTION C404</w:t>
      </w:r>
    </w:p>
    <w:p w14:paraId="41D541D7" w14:textId="77777777" w:rsidR="00DB1AEE" w:rsidRPr="00DB1AEE" w:rsidRDefault="00DB1AEE" w:rsidP="00DB1AEE">
      <w:pPr>
        <w:suppressAutoHyphens/>
        <w:spacing w:before="130" w:after="130"/>
        <w:jc w:val="center"/>
        <w:rPr>
          <w:rFonts w:eastAsia="MS Mincho"/>
          <w:b/>
          <w:bCs/>
          <w:szCs w:val="24"/>
          <w:u w:val="single"/>
        </w:rPr>
      </w:pPr>
      <w:r w:rsidRPr="00DB1AEE">
        <w:rPr>
          <w:rFonts w:eastAsia="MS Mincho"/>
          <w:b/>
          <w:bCs/>
          <w:szCs w:val="24"/>
          <w:u w:val="single"/>
        </w:rPr>
        <w:t>SERVICE WATER HEATING</w:t>
      </w:r>
    </w:p>
    <w:p w14:paraId="2D4BB9F6" w14:textId="77777777" w:rsidR="00DB1AEE" w:rsidRPr="00DB1AEE" w:rsidRDefault="00DB1AEE" w:rsidP="00DB1AEE">
      <w:pPr>
        <w:widowControl w:val="0"/>
        <w:suppressAutoHyphens/>
        <w:spacing w:before="130" w:after="130"/>
        <w:ind w:left="360"/>
        <w:rPr>
          <w:b/>
          <w:bCs/>
          <w:u w:val="single"/>
        </w:rPr>
      </w:pPr>
      <w:r w:rsidRPr="00DB1AEE">
        <w:rPr>
          <w:b/>
          <w:bCs/>
          <w:u w:val="single"/>
        </w:rPr>
        <w:t>Table C404.5.2.1</w:t>
      </w:r>
      <w:r w:rsidRPr="00DB1AEE">
        <w:t xml:space="preserve"> </w:t>
      </w:r>
      <w:r w:rsidRPr="00DB1AEE">
        <w:rPr>
          <w:b/>
          <w:bCs/>
          <w:u w:val="single"/>
        </w:rPr>
        <w:t xml:space="preserve">Internal Volume Of Various Water Distribution Tubing.        </w:t>
      </w:r>
    </w:p>
    <w:p w14:paraId="4D29D893" w14:textId="77777777" w:rsidR="00DB1AEE" w:rsidRPr="00DB1AEE" w:rsidRDefault="00DB1AEE" w:rsidP="00DB1AEE">
      <w:pPr>
        <w:widowControl w:val="0"/>
        <w:suppressAutoHyphens/>
        <w:spacing w:before="130" w:after="130"/>
        <w:ind w:left="360"/>
        <w:rPr>
          <w:u w:val="single"/>
        </w:rPr>
      </w:pPr>
      <w:r w:rsidRPr="00DB1AEE">
        <w:rPr>
          <w:u w:val="single"/>
        </w:rPr>
        <w:t>Table C404.5.2.1 – Delete Table C404.5.2.1 in it entirety and add new Table C404.5.2.1 to read as follows:</w:t>
      </w:r>
    </w:p>
    <w:p w14:paraId="596660CF" w14:textId="77777777" w:rsidR="00DB1AEE" w:rsidRPr="00DB1AEE" w:rsidRDefault="00DB1AEE" w:rsidP="00DB1AEE">
      <w:pPr>
        <w:keepNext/>
        <w:suppressAutoHyphens/>
        <w:autoSpaceDE w:val="0"/>
        <w:autoSpaceDN w:val="0"/>
        <w:adjustRightInd w:val="0"/>
        <w:spacing w:before="200" w:line="180" w:lineRule="atLeast"/>
        <w:jc w:val="center"/>
        <w:rPr>
          <w:b/>
          <w:bCs/>
          <w:szCs w:val="24"/>
          <w:u w:val="single"/>
        </w:rPr>
      </w:pPr>
      <w:r w:rsidRPr="00DB1AEE">
        <w:rPr>
          <w:b/>
          <w:bCs/>
          <w:szCs w:val="24"/>
          <w:u w:val="single"/>
        </w:rPr>
        <w:t>TABLE C404.5.2.1</w:t>
      </w:r>
    </w:p>
    <w:p w14:paraId="479CC422" w14:textId="77777777" w:rsidR="00DB1AEE" w:rsidRPr="00DB1AEE" w:rsidRDefault="00DB1AEE" w:rsidP="00DB1AEE">
      <w:pPr>
        <w:autoSpaceDE w:val="0"/>
        <w:autoSpaceDN w:val="0"/>
        <w:adjustRightInd w:val="0"/>
        <w:spacing w:after="20" w:line="180" w:lineRule="atLeast"/>
        <w:jc w:val="center"/>
        <w:rPr>
          <w:b/>
          <w:bCs/>
          <w:szCs w:val="24"/>
          <w:u w:val="single"/>
        </w:rPr>
      </w:pPr>
      <w:r w:rsidRPr="00DB1AEE">
        <w:rPr>
          <w:b/>
          <w:bCs/>
          <w:szCs w:val="24"/>
          <w:u w:val="single"/>
        </w:rPr>
        <w:t>INTERNAL VOLUME OF VARIOUS WATER DISTRIBUTION TUBING</w:t>
      </w:r>
    </w:p>
    <w:tbl>
      <w:tblPr>
        <w:tblW w:w="5518" w:type="dxa"/>
        <w:jc w:val="center"/>
        <w:tblLayout w:type="fixed"/>
        <w:tblCellMar>
          <w:top w:w="40" w:type="dxa"/>
          <w:left w:w="40" w:type="dxa"/>
          <w:bottom w:w="40" w:type="dxa"/>
          <w:right w:w="40" w:type="dxa"/>
        </w:tblCellMar>
        <w:tblLook w:val="0000" w:firstRow="0" w:lastRow="0" w:firstColumn="0" w:lastColumn="0" w:noHBand="0" w:noVBand="0"/>
      </w:tblPr>
      <w:tblGrid>
        <w:gridCol w:w="1839"/>
        <w:gridCol w:w="1839"/>
        <w:gridCol w:w="1840"/>
      </w:tblGrid>
      <w:tr w:rsidR="00DB1AEE" w:rsidRPr="00DB1AEE" w14:paraId="412280F4" w14:textId="77777777" w:rsidTr="00FC1832">
        <w:trPr>
          <w:trHeight w:val="360"/>
          <w:jc w:val="center"/>
        </w:trPr>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641D2B82" w14:textId="77777777" w:rsidR="00DB1AEE" w:rsidRPr="00DB1AEE" w:rsidRDefault="00DB1AEE" w:rsidP="00DB1AEE">
            <w:pPr>
              <w:suppressAutoHyphens/>
              <w:autoSpaceDE w:val="0"/>
              <w:autoSpaceDN w:val="0"/>
              <w:adjustRightInd w:val="0"/>
              <w:spacing w:line="160" w:lineRule="atLeast"/>
              <w:jc w:val="center"/>
              <w:rPr>
                <w:b/>
                <w:bCs/>
                <w:w w:val="0"/>
                <w:szCs w:val="24"/>
                <w:u w:val="single"/>
              </w:rPr>
            </w:pPr>
            <w:r w:rsidRPr="00DB1AEE">
              <w:rPr>
                <w:b/>
                <w:bCs/>
                <w:szCs w:val="24"/>
                <w:u w:val="single"/>
              </w:rPr>
              <w:t>Nominal Size</w:t>
            </w:r>
            <w:r w:rsidRPr="00DB1AEE">
              <w:rPr>
                <w:b/>
                <w:bCs/>
                <w:szCs w:val="24"/>
                <w:u w:val="single"/>
              </w:rPr>
              <w:br/>
              <w:t>(inches)</w:t>
            </w:r>
          </w:p>
        </w:tc>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4E1B0E4A" w14:textId="77777777" w:rsidR="00DB1AEE" w:rsidRPr="00DB1AEE" w:rsidRDefault="00DB1AEE" w:rsidP="00DB1AEE">
            <w:pPr>
              <w:suppressAutoHyphens/>
              <w:autoSpaceDE w:val="0"/>
              <w:autoSpaceDN w:val="0"/>
              <w:adjustRightInd w:val="0"/>
              <w:spacing w:line="160" w:lineRule="atLeast"/>
              <w:jc w:val="center"/>
              <w:rPr>
                <w:b/>
                <w:bCs/>
                <w:w w:val="0"/>
                <w:szCs w:val="24"/>
                <w:u w:val="single"/>
              </w:rPr>
            </w:pPr>
            <w:r w:rsidRPr="00DB1AEE">
              <w:rPr>
                <w:b/>
                <w:bCs/>
                <w:szCs w:val="24"/>
                <w:u w:val="single"/>
              </w:rPr>
              <w:t xml:space="preserve">Copper </w:t>
            </w:r>
            <w:r w:rsidRPr="00DB1AEE">
              <w:rPr>
                <w:b/>
                <w:bCs/>
                <w:szCs w:val="24"/>
                <w:u w:val="single"/>
              </w:rPr>
              <w:br/>
              <w:t>Type L</w:t>
            </w:r>
          </w:p>
        </w:tc>
        <w:tc>
          <w:tcPr>
            <w:tcW w:w="1840"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7F001494" w14:textId="77777777" w:rsidR="00DB1AEE" w:rsidRPr="00DB1AEE" w:rsidRDefault="00DB1AEE" w:rsidP="00DB1AEE">
            <w:pPr>
              <w:suppressAutoHyphens/>
              <w:autoSpaceDE w:val="0"/>
              <w:autoSpaceDN w:val="0"/>
              <w:adjustRightInd w:val="0"/>
              <w:spacing w:line="160" w:lineRule="atLeast"/>
              <w:jc w:val="center"/>
              <w:rPr>
                <w:b/>
                <w:bCs/>
                <w:w w:val="0"/>
                <w:szCs w:val="24"/>
                <w:u w:val="single"/>
              </w:rPr>
            </w:pPr>
            <w:r w:rsidRPr="00DB1AEE">
              <w:rPr>
                <w:b/>
                <w:bCs/>
                <w:szCs w:val="24"/>
                <w:u w:val="single"/>
              </w:rPr>
              <w:t xml:space="preserve">Copper </w:t>
            </w:r>
            <w:r w:rsidRPr="00DB1AEE">
              <w:rPr>
                <w:b/>
                <w:bCs/>
                <w:szCs w:val="24"/>
                <w:u w:val="single"/>
              </w:rPr>
              <w:br/>
              <w:t>Type K</w:t>
            </w:r>
          </w:p>
        </w:tc>
      </w:tr>
      <w:tr w:rsidR="00DB1AEE" w:rsidRPr="00DB1AEE" w14:paraId="5542B43E" w14:textId="77777777" w:rsidTr="00FC1832">
        <w:trPr>
          <w:trHeight w:val="260"/>
          <w:jc w:val="center"/>
        </w:trPr>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63B9EEF9"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vertAlign w:val="superscript"/>
              </w:rPr>
              <w:t>3</w:t>
            </w:r>
            <w:r w:rsidRPr="00DB1AEE">
              <w:rPr>
                <w:szCs w:val="24"/>
                <w:u w:val="single"/>
              </w:rPr>
              <w:t>/</w:t>
            </w:r>
            <w:r w:rsidRPr="00DB1AEE">
              <w:rPr>
                <w:szCs w:val="24"/>
                <w:u w:val="single"/>
                <w:vertAlign w:val="subscript"/>
              </w:rPr>
              <w:t>8</w:t>
            </w:r>
          </w:p>
        </w:tc>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6F11BA98"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0.97</w:t>
            </w:r>
          </w:p>
        </w:tc>
        <w:tc>
          <w:tcPr>
            <w:tcW w:w="1840"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163047E4"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0.84</w:t>
            </w:r>
          </w:p>
        </w:tc>
      </w:tr>
      <w:tr w:rsidR="00DB1AEE" w:rsidRPr="00DB1AEE" w14:paraId="765C9D1E" w14:textId="77777777" w:rsidTr="00FC1832">
        <w:trPr>
          <w:trHeight w:val="260"/>
          <w:jc w:val="center"/>
        </w:trPr>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7B09941F"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vertAlign w:val="superscript"/>
              </w:rPr>
              <w:t>1</w:t>
            </w:r>
            <w:r w:rsidRPr="00DB1AEE">
              <w:rPr>
                <w:szCs w:val="24"/>
                <w:u w:val="single"/>
              </w:rPr>
              <w:t>/</w:t>
            </w:r>
            <w:r w:rsidRPr="00DB1AEE">
              <w:rPr>
                <w:szCs w:val="24"/>
                <w:u w:val="single"/>
                <w:vertAlign w:val="subscript"/>
              </w:rPr>
              <w:t>2</w:t>
            </w:r>
          </w:p>
        </w:tc>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39847527"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1.55</w:t>
            </w:r>
          </w:p>
        </w:tc>
        <w:tc>
          <w:tcPr>
            <w:tcW w:w="1840"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298F37CE"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1.45</w:t>
            </w:r>
          </w:p>
        </w:tc>
      </w:tr>
      <w:tr w:rsidR="00DB1AEE" w:rsidRPr="00DB1AEE" w14:paraId="3596C9C3" w14:textId="77777777" w:rsidTr="00FC1832">
        <w:trPr>
          <w:trHeight w:val="260"/>
          <w:jc w:val="center"/>
        </w:trPr>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5A048C72"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vertAlign w:val="superscript"/>
              </w:rPr>
              <w:t>3</w:t>
            </w:r>
            <w:r w:rsidRPr="00DB1AEE">
              <w:rPr>
                <w:szCs w:val="24"/>
                <w:u w:val="single"/>
              </w:rPr>
              <w:t>/</w:t>
            </w:r>
            <w:r w:rsidRPr="00DB1AEE">
              <w:rPr>
                <w:szCs w:val="24"/>
                <w:u w:val="single"/>
                <w:vertAlign w:val="subscript"/>
              </w:rPr>
              <w:t>4</w:t>
            </w:r>
          </w:p>
        </w:tc>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7B8CD7B0"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3.22</w:t>
            </w:r>
          </w:p>
        </w:tc>
        <w:tc>
          <w:tcPr>
            <w:tcW w:w="1840"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653B78D1"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2.90</w:t>
            </w:r>
          </w:p>
        </w:tc>
      </w:tr>
      <w:tr w:rsidR="00DB1AEE" w:rsidRPr="00DB1AEE" w14:paraId="55F42B1A" w14:textId="77777777" w:rsidTr="00FC1832">
        <w:trPr>
          <w:trHeight w:val="260"/>
          <w:jc w:val="center"/>
        </w:trPr>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74C6FD87"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rPr>
              <w:t>1</w:t>
            </w:r>
          </w:p>
        </w:tc>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10F90D05"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5.49</w:t>
            </w:r>
          </w:p>
        </w:tc>
        <w:tc>
          <w:tcPr>
            <w:tcW w:w="1840"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3D753EBA"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5.17</w:t>
            </w:r>
          </w:p>
        </w:tc>
      </w:tr>
      <w:tr w:rsidR="00DB1AEE" w:rsidRPr="00DB1AEE" w14:paraId="079B556D" w14:textId="77777777" w:rsidTr="00FC1832">
        <w:trPr>
          <w:trHeight w:val="260"/>
          <w:jc w:val="center"/>
        </w:trPr>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132673DE"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rPr>
              <w:t>1</w:t>
            </w:r>
            <w:r w:rsidRPr="00DB1AEE">
              <w:rPr>
                <w:szCs w:val="24"/>
                <w:u w:val="single"/>
                <w:vertAlign w:val="superscript"/>
              </w:rPr>
              <w:t>1</w:t>
            </w:r>
            <w:r w:rsidRPr="00DB1AEE">
              <w:rPr>
                <w:szCs w:val="24"/>
                <w:u w:val="single"/>
              </w:rPr>
              <w:t>/</w:t>
            </w:r>
            <w:r w:rsidRPr="00DB1AEE">
              <w:rPr>
                <w:szCs w:val="24"/>
                <w:u w:val="single"/>
                <w:vertAlign w:val="subscript"/>
              </w:rPr>
              <w:t>4</w:t>
            </w:r>
          </w:p>
        </w:tc>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4537C2F2"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8.36</w:t>
            </w:r>
          </w:p>
        </w:tc>
        <w:tc>
          <w:tcPr>
            <w:tcW w:w="1840"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073E99B4"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8.09</w:t>
            </w:r>
          </w:p>
        </w:tc>
      </w:tr>
      <w:tr w:rsidR="00DB1AEE" w:rsidRPr="00DB1AEE" w14:paraId="0A56B9FE" w14:textId="77777777" w:rsidTr="00FC1832">
        <w:trPr>
          <w:trHeight w:val="260"/>
          <w:jc w:val="center"/>
        </w:trPr>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6D28F190"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rPr>
              <w:t>1</w:t>
            </w:r>
            <w:r w:rsidRPr="00DB1AEE">
              <w:rPr>
                <w:szCs w:val="24"/>
                <w:u w:val="single"/>
                <w:vertAlign w:val="superscript"/>
              </w:rPr>
              <w:t>1</w:t>
            </w:r>
            <w:r w:rsidRPr="00DB1AEE">
              <w:rPr>
                <w:szCs w:val="24"/>
                <w:u w:val="single"/>
              </w:rPr>
              <w:t>/</w:t>
            </w:r>
            <w:r w:rsidRPr="00DB1AEE">
              <w:rPr>
                <w:szCs w:val="24"/>
                <w:u w:val="single"/>
                <w:vertAlign w:val="subscript"/>
              </w:rPr>
              <w:t>2</w:t>
            </w:r>
          </w:p>
        </w:tc>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56C81FA4"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11.83</w:t>
            </w:r>
          </w:p>
        </w:tc>
        <w:tc>
          <w:tcPr>
            <w:tcW w:w="1840"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5672BA02"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11.45</w:t>
            </w:r>
          </w:p>
        </w:tc>
      </w:tr>
      <w:tr w:rsidR="00DB1AEE" w:rsidRPr="00DB1AEE" w14:paraId="65F35016" w14:textId="77777777" w:rsidTr="00FC1832">
        <w:trPr>
          <w:trHeight w:val="260"/>
          <w:jc w:val="center"/>
        </w:trPr>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3C2A01E4"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rPr>
              <w:t>2</w:t>
            </w:r>
          </w:p>
        </w:tc>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32975FA5"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20.58</w:t>
            </w:r>
          </w:p>
        </w:tc>
        <w:tc>
          <w:tcPr>
            <w:tcW w:w="1840"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743D1248"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20.04</w:t>
            </w:r>
          </w:p>
        </w:tc>
      </w:tr>
    </w:tbl>
    <w:p w14:paraId="4254469E" w14:textId="77777777" w:rsidR="00DB1AEE" w:rsidRPr="00DB1AEE" w:rsidRDefault="00DB1AEE" w:rsidP="00DB1AEE">
      <w:pPr>
        <w:suppressAutoHyphens/>
        <w:autoSpaceDE w:val="0"/>
        <w:autoSpaceDN w:val="0"/>
        <w:adjustRightInd w:val="0"/>
        <w:spacing w:before="20" w:line="180" w:lineRule="atLeast"/>
        <w:ind w:left="360" w:hanging="360"/>
        <w:rPr>
          <w:szCs w:val="24"/>
          <w:u w:val="single"/>
        </w:rPr>
      </w:pPr>
      <w:r w:rsidRPr="00DB1AEE">
        <w:rPr>
          <w:szCs w:val="24"/>
          <w:u w:val="single"/>
        </w:rPr>
        <w:t>For SI: 1 foot = 304.8 mm, 1 inch = 25.4 mm, 1 liquid ounce = 0.030 L, 1 oz/ft</w:t>
      </w:r>
      <w:r w:rsidRPr="00DB1AEE">
        <w:rPr>
          <w:szCs w:val="24"/>
          <w:u w:val="single"/>
          <w:vertAlign w:val="superscript"/>
        </w:rPr>
        <w:t>2</w:t>
      </w:r>
      <w:r w:rsidRPr="00DB1AEE">
        <w:rPr>
          <w:szCs w:val="24"/>
          <w:u w:val="single"/>
        </w:rPr>
        <w:t xml:space="preserve"> = 305.15 g/m</w:t>
      </w:r>
      <w:r w:rsidRPr="00DB1AEE">
        <w:rPr>
          <w:szCs w:val="24"/>
          <w:u w:val="single"/>
          <w:vertAlign w:val="superscript"/>
        </w:rPr>
        <w:t>2</w:t>
      </w:r>
      <w:r w:rsidRPr="00DB1AEE">
        <w:rPr>
          <w:szCs w:val="24"/>
          <w:u w:val="single"/>
        </w:rPr>
        <w:t>.</w:t>
      </w:r>
    </w:p>
    <w:p w14:paraId="3625E115" w14:textId="77777777" w:rsidR="00DB1AEE" w:rsidRPr="00DB1AEE" w:rsidRDefault="00DB1AEE" w:rsidP="00DB1AEE">
      <w:pPr>
        <w:suppressAutoHyphens/>
        <w:autoSpaceDE w:val="0"/>
        <w:autoSpaceDN w:val="0"/>
        <w:adjustRightInd w:val="0"/>
        <w:spacing w:before="20" w:line="180" w:lineRule="atLeast"/>
        <w:ind w:left="360" w:hanging="360"/>
        <w:rPr>
          <w:szCs w:val="24"/>
          <w:u w:val="single"/>
        </w:rPr>
      </w:pPr>
      <w:r w:rsidRPr="00DB1AEE">
        <w:rPr>
          <w:szCs w:val="24"/>
          <w:u w:val="single"/>
        </w:rPr>
        <w:t>N/A = Not Available.</w:t>
      </w:r>
    </w:p>
    <w:p w14:paraId="6638B99E" w14:textId="77777777" w:rsidR="00DB1AEE" w:rsidRPr="00DB1AEE" w:rsidRDefault="00DB1AEE" w:rsidP="00DB1AEE">
      <w:pPr>
        <w:widowControl w:val="0"/>
        <w:suppressAutoHyphens/>
        <w:spacing w:before="130" w:after="130"/>
        <w:ind w:left="360"/>
        <w:rPr>
          <w:b/>
          <w:bCs/>
          <w:szCs w:val="24"/>
          <w:u w:val="single"/>
        </w:rPr>
      </w:pPr>
    </w:p>
    <w:p w14:paraId="2935DE2F" w14:textId="77777777" w:rsidR="00DB1AEE" w:rsidRPr="00DB1AEE" w:rsidRDefault="00DB1AEE" w:rsidP="00DB1AEE">
      <w:pPr>
        <w:suppressAutoHyphens/>
        <w:spacing w:before="130" w:after="130"/>
        <w:jc w:val="center"/>
        <w:rPr>
          <w:rFonts w:eastAsia="MS Mincho"/>
          <w:b/>
          <w:bCs/>
          <w:szCs w:val="24"/>
          <w:u w:val="single"/>
        </w:rPr>
      </w:pPr>
      <w:r w:rsidRPr="00DB1AEE">
        <w:rPr>
          <w:rFonts w:eastAsia="MS Mincho"/>
          <w:b/>
          <w:bCs/>
          <w:szCs w:val="24"/>
          <w:u w:val="single"/>
        </w:rPr>
        <w:t>SECTION C405</w:t>
      </w:r>
    </w:p>
    <w:p w14:paraId="12996740" w14:textId="77777777" w:rsidR="00DB1AEE" w:rsidRPr="00DB1AEE" w:rsidRDefault="00DB1AEE" w:rsidP="00DB1AEE">
      <w:pPr>
        <w:suppressAutoHyphens/>
        <w:spacing w:before="130" w:after="130"/>
        <w:jc w:val="center"/>
        <w:rPr>
          <w:rFonts w:eastAsia="MS Mincho"/>
          <w:b/>
          <w:bCs/>
          <w:szCs w:val="24"/>
          <w:u w:val="single"/>
        </w:rPr>
      </w:pPr>
      <w:r w:rsidRPr="00DB1AEE">
        <w:rPr>
          <w:rFonts w:eastAsia="MS Mincho"/>
          <w:b/>
          <w:bCs/>
          <w:szCs w:val="24"/>
          <w:u w:val="single"/>
        </w:rPr>
        <w:t>ELECTRICAL POWER AND LIGHTING SYSTEMS</w:t>
      </w:r>
    </w:p>
    <w:p w14:paraId="221AC23E"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 xml:space="preserve">Section C405.1 General.        </w:t>
      </w:r>
    </w:p>
    <w:p w14:paraId="779A7CA4" w14:textId="77777777" w:rsidR="00DB1AEE" w:rsidRPr="00DB1AEE" w:rsidRDefault="00DB1AEE" w:rsidP="00DB1AEE">
      <w:pPr>
        <w:widowControl w:val="0"/>
        <w:suppressAutoHyphens/>
        <w:spacing w:before="130" w:after="130"/>
        <w:rPr>
          <w:b/>
          <w:bCs/>
          <w:u w:val="single"/>
        </w:rPr>
      </w:pPr>
      <w:r w:rsidRPr="00DB1AEE">
        <w:rPr>
          <w:rFonts w:eastAsia="MS Mincho"/>
          <w:bCs/>
          <w:szCs w:val="24"/>
          <w:u w:val="single"/>
        </w:rPr>
        <w:t>Section C405.1 – Revise Section C405.1 to read as follows:</w:t>
      </w:r>
    </w:p>
    <w:p w14:paraId="7CACA1A6" w14:textId="77777777" w:rsidR="00DB1AEE" w:rsidRPr="00DB1AEE" w:rsidRDefault="00DB1AEE" w:rsidP="00DB1AEE">
      <w:pPr>
        <w:widowControl w:val="0"/>
        <w:suppressAutoHyphens/>
        <w:spacing w:before="130" w:after="130"/>
        <w:ind w:left="360"/>
        <w:rPr>
          <w:u w:val="single"/>
        </w:rPr>
      </w:pPr>
      <w:r w:rsidRPr="00DB1AEE">
        <w:rPr>
          <w:b/>
          <w:bCs/>
          <w:u w:val="single"/>
        </w:rPr>
        <w:t xml:space="preserve">C405.1 General. </w:t>
      </w:r>
      <w:r w:rsidRPr="00DB1AEE">
        <w:rPr>
          <w:u w:val="single"/>
        </w:rPr>
        <w:t>Electrical power and lighting systems and generation shall comply with this section. General lighting shall consist of all lighting included when calculating the total connected interior lighting power in accordance with Section C405.3.1 and which does not require specific application controls in accordance with Section C405.2.5.</w:t>
      </w:r>
    </w:p>
    <w:p w14:paraId="05C26A19" w14:textId="77777777" w:rsidR="00DB1AEE" w:rsidRPr="00DB1AEE" w:rsidRDefault="00DB1AEE" w:rsidP="00DB1AEE">
      <w:pPr>
        <w:widowControl w:val="0"/>
        <w:suppressAutoHyphens/>
        <w:spacing w:before="130" w:after="130"/>
        <w:ind w:left="360"/>
        <w:rPr>
          <w:u w:val="single"/>
        </w:rPr>
      </w:pPr>
      <w:r w:rsidRPr="00DB1AEE">
        <w:rPr>
          <w:u w:val="single"/>
        </w:rPr>
        <w:t>Lighting controls shall be commissioned and completed in accordance with the requirements of Section C408.3 .</w:t>
      </w:r>
    </w:p>
    <w:p w14:paraId="0E6D0040" w14:textId="77777777" w:rsidR="00DB1AEE" w:rsidRPr="00DB1AEE" w:rsidRDefault="00DB1AEE" w:rsidP="00DB1AEE">
      <w:pPr>
        <w:widowControl w:val="0"/>
        <w:suppressAutoHyphens/>
        <w:spacing w:before="130" w:after="130"/>
        <w:ind w:left="360"/>
        <w:rPr>
          <w:u w:val="single"/>
        </w:rPr>
      </w:pPr>
      <w:r w:rsidRPr="00DB1AEE">
        <w:rPr>
          <w:b/>
          <w:bCs/>
          <w:u w:val="single"/>
        </w:rPr>
        <w:t>Exception:</w:t>
      </w:r>
      <w:r w:rsidRPr="00DB1AEE">
        <w:rPr>
          <w:u w:val="single"/>
        </w:rPr>
        <w:t xml:space="preserve"> Dwelling units and sleeping units that comply with Section C405.2.10, Section C405.3.3 and Section C405.6.</w:t>
      </w:r>
    </w:p>
    <w:p w14:paraId="06AF4F73"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 xml:space="preserve">Section C405.2.1 Occupant sensor controls.        </w:t>
      </w:r>
    </w:p>
    <w:p w14:paraId="0E87AB19" w14:textId="77777777" w:rsidR="00DB1AEE" w:rsidRPr="00DB1AEE" w:rsidRDefault="00DB1AEE" w:rsidP="00DB1AEE">
      <w:pPr>
        <w:widowControl w:val="0"/>
        <w:suppressAutoHyphens/>
        <w:spacing w:before="130" w:after="130"/>
        <w:rPr>
          <w:b/>
          <w:bCs/>
          <w:u w:val="single"/>
        </w:rPr>
      </w:pPr>
      <w:r w:rsidRPr="00DB1AEE">
        <w:rPr>
          <w:rFonts w:eastAsia="MS Mincho"/>
          <w:bCs/>
          <w:szCs w:val="24"/>
          <w:u w:val="single"/>
        </w:rPr>
        <w:t>Section C405.2.1 – Revise Section C405.2.1 to read as follows:</w:t>
      </w:r>
    </w:p>
    <w:p w14:paraId="05BB9A07" w14:textId="77777777" w:rsidR="00DB1AEE" w:rsidRPr="00DB1AEE" w:rsidRDefault="00DB1AEE" w:rsidP="00DB1AEE">
      <w:pPr>
        <w:widowControl w:val="0"/>
        <w:suppressAutoHyphens/>
        <w:spacing w:before="130" w:after="130"/>
        <w:ind w:left="360"/>
        <w:rPr>
          <w:u w:val="single"/>
        </w:rPr>
      </w:pPr>
      <w:r w:rsidRPr="00DB1AEE">
        <w:rPr>
          <w:b/>
          <w:bCs/>
          <w:u w:val="single"/>
        </w:rPr>
        <w:t xml:space="preserve">C405.2.1 Occupant sensor controls.  </w:t>
      </w:r>
      <w:r w:rsidRPr="00DB1AEE">
        <w:rPr>
          <w:u w:val="single"/>
        </w:rPr>
        <w:t>Occupant sensor controls shall be installed to control lights in the following space types:</w:t>
      </w:r>
    </w:p>
    <w:p w14:paraId="0910BE03" w14:textId="77777777" w:rsidR="00DB1AEE" w:rsidRPr="00DB1AEE" w:rsidRDefault="00DB1AEE" w:rsidP="00DB1AEE">
      <w:pPr>
        <w:widowControl w:val="0"/>
        <w:suppressAutoHyphens/>
        <w:spacing w:before="130" w:after="130"/>
        <w:ind w:left="1008" w:hanging="288"/>
        <w:rPr>
          <w:u w:val="single"/>
        </w:rPr>
      </w:pPr>
      <w:r w:rsidRPr="00DB1AEE">
        <w:rPr>
          <w:u w:val="single"/>
        </w:rPr>
        <w:t>1.</w:t>
      </w:r>
      <w:r w:rsidRPr="00DB1AEE">
        <w:rPr>
          <w:u w:val="single"/>
        </w:rPr>
        <w:tab/>
        <w:t>Classrooms/lecture/training rooms.</w:t>
      </w:r>
    </w:p>
    <w:p w14:paraId="625626CB" w14:textId="77777777" w:rsidR="00DB1AEE" w:rsidRPr="00DB1AEE" w:rsidRDefault="00DB1AEE" w:rsidP="00DB1AEE">
      <w:pPr>
        <w:widowControl w:val="0"/>
        <w:suppressAutoHyphens/>
        <w:spacing w:before="130" w:after="130"/>
        <w:ind w:left="1008" w:hanging="288"/>
        <w:rPr>
          <w:u w:val="single"/>
        </w:rPr>
      </w:pPr>
      <w:r w:rsidRPr="00DB1AEE">
        <w:rPr>
          <w:u w:val="single"/>
        </w:rPr>
        <w:t>2. Computer Room, data center</w:t>
      </w:r>
    </w:p>
    <w:p w14:paraId="1E1B324F" w14:textId="77777777" w:rsidR="00DB1AEE" w:rsidRPr="00DB1AEE" w:rsidRDefault="00DB1AEE" w:rsidP="00DB1AEE">
      <w:pPr>
        <w:widowControl w:val="0"/>
        <w:suppressAutoHyphens/>
        <w:spacing w:before="130" w:after="130"/>
        <w:ind w:left="1008" w:hanging="288"/>
        <w:rPr>
          <w:u w:val="single"/>
        </w:rPr>
      </w:pPr>
      <w:r w:rsidRPr="00DB1AEE">
        <w:rPr>
          <w:u w:val="single"/>
        </w:rPr>
        <w:t>3.</w:t>
      </w:r>
      <w:r w:rsidRPr="00DB1AEE">
        <w:rPr>
          <w:u w:val="single"/>
        </w:rPr>
        <w:tab/>
        <w:t>Conference/meeting/multipurpose rooms.</w:t>
      </w:r>
    </w:p>
    <w:p w14:paraId="1465BE25" w14:textId="77777777" w:rsidR="00DB1AEE" w:rsidRPr="00DB1AEE" w:rsidRDefault="00DB1AEE" w:rsidP="00DB1AEE">
      <w:pPr>
        <w:widowControl w:val="0"/>
        <w:suppressAutoHyphens/>
        <w:spacing w:before="130" w:after="130"/>
        <w:ind w:left="1008" w:hanging="288"/>
        <w:rPr>
          <w:u w:val="single"/>
        </w:rPr>
      </w:pPr>
      <w:r w:rsidRPr="00DB1AEE">
        <w:rPr>
          <w:u w:val="single"/>
        </w:rPr>
        <w:t>4.</w:t>
      </w:r>
      <w:r w:rsidRPr="00DB1AEE">
        <w:rPr>
          <w:u w:val="single"/>
        </w:rPr>
        <w:tab/>
        <w:t>Copy/print rooms.</w:t>
      </w:r>
    </w:p>
    <w:p w14:paraId="1E3C42D2" w14:textId="77777777" w:rsidR="00DB1AEE" w:rsidRPr="00DB1AEE" w:rsidRDefault="00DB1AEE" w:rsidP="00DB1AEE">
      <w:pPr>
        <w:widowControl w:val="0"/>
        <w:suppressAutoHyphens/>
        <w:spacing w:before="130" w:after="130"/>
        <w:ind w:left="1008" w:hanging="288"/>
        <w:rPr>
          <w:u w:val="single"/>
        </w:rPr>
      </w:pPr>
      <w:r w:rsidRPr="00DB1AEE">
        <w:rPr>
          <w:u w:val="single"/>
        </w:rPr>
        <w:t>5.</w:t>
      </w:r>
      <w:r w:rsidRPr="00DB1AEE">
        <w:rPr>
          <w:u w:val="single"/>
        </w:rPr>
        <w:tab/>
        <w:t>Lounges/breakrooms.</w:t>
      </w:r>
    </w:p>
    <w:p w14:paraId="08DC40AB" w14:textId="77777777" w:rsidR="00DB1AEE" w:rsidRPr="00DB1AEE" w:rsidRDefault="00DB1AEE" w:rsidP="00DB1AEE">
      <w:pPr>
        <w:widowControl w:val="0"/>
        <w:suppressAutoHyphens/>
        <w:spacing w:before="130" w:after="130"/>
        <w:ind w:left="1008" w:hanging="288"/>
        <w:rPr>
          <w:u w:val="single"/>
        </w:rPr>
      </w:pPr>
      <w:r w:rsidRPr="00DB1AEE">
        <w:rPr>
          <w:u w:val="single"/>
        </w:rPr>
        <w:t xml:space="preserve">6. Cafeteria and fast food dinning areas. </w:t>
      </w:r>
    </w:p>
    <w:p w14:paraId="04A99373" w14:textId="77777777" w:rsidR="00DB1AEE" w:rsidRPr="00DB1AEE" w:rsidRDefault="00DB1AEE" w:rsidP="00DB1AEE">
      <w:pPr>
        <w:widowControl w:val="0"/>
        <w:suppressAutoHyphens/>
        <w:spacing w:before="130" w:after="130"/>
        <w:ind w:left="1008" w:hanging="288"/>
        <w:rPr>
          <w:u w:val="single"/>
        </w:rPr>
      </w:pPr>
      <w:r w:rsidRPr="00DB1AEE">
        <w:rPr>
          <w:u w:val="single"/>
        </w:rPr>
        <w:t>7. Medical supply room in a healthcare facility.</w:t>
      </w:r>
    </w:p>
    <w:p w14:paraId="788A6682" w14:textId="77777777" w:rsidR="00DB1AEE" w:rsidRPr="00DB1AEE" w:rsidRDefault="00DB1AEE" w:rsidP="00DB1AEE">
      <w:pPr>
        <w:widowControl w:val="0"/>
        <w:suppressAutoHyphens/>
        <w:spacing w:before="130" w:after="130"/>
        <w:ind w:left="1008" w:hanging="288"/>
        <w:rPr>
          <w:u w:val="single"/>
        </w:rPr>
      </w:pPr>
      <w:r w:rsidRPr="00DB1AEE">
        <w:rPr>
          <w:u w:val="single"/>
        </w:rPr>
        <w:t>8.</w:t>
      </w:r>
      <w:r w:rsidRPr="00DB1AEE">
        <w:rPr>
          <w:u w:val="single"/>
        </w:rPr>
        <w:tab/>
        <w:t>Enclosed offices.</w:t>
      </w:r>
    </w:p>
    <w:p w14:paraId="708B9138" w14:textId="77777777" w:rsidR="00DB1AEE" w:rsidRPr="00DB1AEE" w:rsidRDefault="00DB1AEE" w:rsidP="00DB1AEE">
      <w:pPr>
        <w:widowControl w:val="0"/>
        <w:suppressAutoHyphens/>
        <w:spacing w:before="130" w:after="130"/>
        <w:ind w:left="1008" w:hanging="288"/>
        <w:rPr>
          <w:u w:val="single"/>
        </w:rPr>
      </w:pPr>
      <w:r w:rsidRPr="00DB1AEE">
        <w:rPr>
          <w:u w:val="single"/>
        </w:rPr>
        <w:t>9. Laundry/washing area.</w:t>
      </w:r>
    </w:p>
    <w:p w14:paraId="354F0542" w14:textId="77777777" w:rsidR="00DB1AEE" w:rsidRPr="00DB1AEE" w:rsidRDefault="00DB1AEE" w:rsidP="00DB1AEE">
      <w:pPr>
        <w:widowControl w:val="0"/>
        <w:suppressAutoHyphens/>
        <w:spacing w:before="130" w:after="130"/>
        <w:ind w:left="1008" w:hanging="288"/>
        <w:rPr>
          <w:u w:val="single"/>
        </w:rPr>
      </w:pPr>
      <w:r w:rsidRPr="00DB1AEE">
        <w:rPr>
          <w:u w:val="single"/>
        </w:rPr>
        <w:t>10. Open plan office areas.</w:t>
      </w:r>
    </w:p>
    <w:p w14:paraId="33898ED1" w14:textId="77777777" w:rsidR="00DB1AEE" w:rsidRPr="00DB1AEE" w:rsidRDefault="00DB1AEE" w:rsidP="00DB1AEE">
      <w:pPr>
        <w:widowControl w:val="0"/>
        <w:suppressAutoHyphens/>
        <w:spacing w:before="130" w:after="130"/>
        <w:ind w:left="1008" w:hanging="288"/>
        <w:rPr>
          <w:u w:val="single"/>
        </w:rPr>
      </w:pPr>
      <w:r w:rsidRPr="00DB1AEE">
        <w:rPr>
          <w:u w:val="single"/>
        </w:rPr>
        <w:t>11. Restrooms.</w:t>
      </w:r>
    </w:p>
    <w:p w14:paraId="3F38B999" w14:textId="77777777" w:rsidR="00DB1AEE" w:rsidRPr="00DB1AEE" w:rsidRDefault="00DB1AEE" w:rsidP="00DB1AEE">
      <w:pPr>
        <w:widowControl w:val="0"/>
        <w:suppressAutoHyphens/>
        <w:spacing w:before="130" w:after="130"/>
        <w:ind w:left="1008" w:hanging="288"/>
        <w:rPr>
          <w:u w:val="single"/>
        </w:rPr>
      </w:pPr>
      <w:r w:rsidRPr="00DB1AEE">
        <w:rPr>
          <w:u w:val="single"/>
        </w:rPr>
        <w:t>12. Storage rooms.</w:t>
      </w:r>
    </w:p>
    <w:p w14:paraId="7E34FBF8" w14:textId="77777777" w:rsidR="00DB1AEE" w:rsidRPr="00DB1AEE" w:rsidRDefault="00DB1AEE" w:rsidP="00DB1AEE">
      <w:pPr>
        <w:widowControl w:val="0"/>
        <w:suppressAutoHyphens/>
        <w:spacing w:before="130" w:after="130"/>
        <w:ind w:left="1008" w:hanging="288"/>
        <w:rPr>
          <w:u w:val="single"/>
        </w:rPr>
      </w:pPr>
      <w:r w:rsidRPr="00DB1AEE">
        <w:rPr>
          <w:u w:val="single"/>
        </w:rPr>
        <w:t>13. Telemedicine room in a healthcare facility.</w:t>
      </w:r>
    </w:p>
    <w:p w14:paraId="51B34DAE" w14:textId="77777777" w:rsidR="00DB1AEE" w:rsidRPr="00DB1AEE" w:rsidRDefault="00DB1AEE" w:rsidP="00DB1AEE">
      <w:pPr>
        <w:widowControl w:val="0"/>
        <w:suppressAutoHyphens/>
        <w:spacing w:before="130" w:after="130"/>
        <w:ind w:left="1008" w:hanging="288"/>
        <w:rPr>
          <w:u w:val="single"/>
        </w:rPr>
      </w:pPr>
      <w:r w:rsidRPr="00DB1AEE">
        <w:rPr>
          <w:u w:val="single"/>
        </w:rPr>
        <w:t>14. Locker rooms.</w:t>
      </w:r>
    </w:p>
    <w:p w14:paraId="66B7FE53" w14:textId="77777777" w:rsidR="00DB1AEE" w:rsidRPr="00DB1AEE" w:rsidRDefault="00DB1AEE" w:rsidP="00DB1AEE">
      <w:pPr>
        <w:widowControl w:val="0"/>
        <w:suppressAutoHyphens/>
        <w:spacing w:before="130" w:after="130"/>
        <w:ind w:left="1008" w:hanging="288"/>
        <w:rPr>
          <w:u w:val="single"/>
        </w:rPr>
      </w:pPr>
      <w:r w:rsidRPr="00DB1AEE">
        <w:rPr>
          <w:u w:val="single"/>
        </w:rPr>
        <w:t xml:space="preserve">15.  Corridors/transition areas/stairways. </w:t>
      </w:r>
    </w:p>
    <w:p w14:paraId="3BA4A87E" w14:textId="77777777" w:rsidR="00DB1AEE" w:rsidRPr="00DB1AEE" w:rsidRDefault="00DB1AEE" w:rsidP="00DB1AEE">
      <w:pPr>
        <w:widowControl w:val="0"/>
        <w:suppressAutoHyphens/>
        <w:spacing w:before="130" w:after="130"/>
        <w:ind w:left="1008" w:hanging="288"/>
        <w:rPr>
          <w:u w:val="single"/>
        </w:rPr>
      </w:pPr>
      <w:r w:rsidRPr="00DB1AEE">
        <w:rPr>
          <w:u w:val="single"/>
        </w:rPr>
        <w:t>16.</w:t>
      </w:r>
      <w:r w:rsidRPr="00DB1AEE">
        <w:rPr>
          <w:u w:val="single"/>
        </w:rPr>
        <w:tab/>
        <w:t xml:space="preserve"> Warehouse storage areas.</w:t>
      </w:r>
    </w:p>
    <w:p w14:paraId="36E0CAA8" w14:textId="77777777" w:rsidR="00DB1AEE" w:rsidRPr="00DB1AEE" w:rsidRDefault="00DB1AEE" w:rsidP="00DB1AEE">
      <w:pPr>
        <w:widowControl w:val="0"/>
        <w:suppressAutoHyphens/>
        <w:spacing w:before="130" w:after="130"/>
        <w:ind w:left="1008" w:hanging="288"/>
        <w:rPr>
          <w:u w:val="single"/>
        </w:rPr>
      </w:pPr>
      <w:r w:rsidRPr="00DB1AEE">
        <w:rPr>
          <w:u w:val="single"/>
        </w:rPr>
        <w:t>17. Other spaces 300 square feet (28 m2) or less that are enclosed by floor-to-ceiling height partitions.</w:t>
      </w:r>
    </w:p>
    <w:p w14:paraId="68CB638C" w14:textId="77777777" w:rsidR="00DB1AEE" w:rsidRPr="00DB1AEE" w:rsidRDefault="00DB1AEE" w:rsidP="00DB1AEE">
      <w:pPr>
        <w:widowControl w:val="0"/>
        <w:suppressAutoHyphens/>
        <w:spacing w:before="130" w:after="130"/>
        <w:ind w:left="1008" w:hanging="288"/>
        <w:rPr>
          <w:u w:val="single"/>
        </w:rPr>
      </w:pPr>
      <w:r w:rsidRPr="00DB1AEE">
        <w:rPr>
          <w:u w:val="single"/>
        </w:rPr>
        <w:t>18. Janitorial closets.</w:t>
      </w:r>
    </w:p>
    <w:p w14:paraId="5DB6EDDD"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 xml:space="preserve">Section C405.2.1.1 Occupant sensor control function.        </w:t>
      </w:r>
    </w:p>
    <w:p w14:paraId="4DD028BA" w14:textId="77777777" w:rsidR="00DB1AEE" w:rsidRPr="00DB1AEE" w:rsidRDefault="00DB1AEE" w:rsidP="00DB1AEE">
      <w:pPr>
        <w:widowControl w:val="0"/>
        <w:suppressAutoHyphens/>
        <w:spacing w:before="130" w:after="130"/>
        <w:rPr>
          <w:b/>
          <w:bCs/>
          <w:u w:val="single"/>
        </w:rPr>
      </w:pPr>
      <w:r w:rsidRPr="00DB1AEE">
        <w:rPr>
          <w:rFonts w:eastAsia="MS Mincho"/>
          <w:bCs/>
          <w:szCs w:val="24"/>
          <w:u w:val="single"/>
        </w:rPr>
        <w:t>Section C405.2.1.1 – Revise Section C405.2.1.1 to read as follows:</w:t>
      </w:r>
    </w:p>
    <w:p w14:paraId="45B7418F" w14:textId="77777777" w:rsidR="00DB1AEE" w:rsidRPr="00DB1AEE" w:rsidRDefault="00DB1AEE" w:rsidP="00DB1AEE">
      <w:pPr>
        <w:widowControl w:val="0"/>
        <w:suppressAutoHyphens/>
        <w:spacing w:before="130" w:after="130"/>
        <w:ind w:left="360"/>
        <w:rPr>
          <w:u w:val="single"/>
        </w:rPr>
      </w:pPr>
      <w:r w:rsidRPr="00DB1AEE">
        <w:rPr>
          <w:b/>
          <w:bCs/>
          <w:u w:val="single"/>
        </w:rPr>
        <w:t xml:space="preserve">C405.2.1.1 Occupant sensor control function.  </w:t>
      </w:r>
      <w:r w:rsidRPr="00DB1AEE">
        <w:rPr>
          <w:u w:val="single"/>
        </w:rPr>
        <w:t>Occupant sensor controls in warehouses storage areas shall comply with Section C405.2.1.2. Occupant sensor controls in open plan office areas, cafeteria dining areas, and fast food dining areas, 300 square feet (28 m2) or greater in area shall comply with Section C405.2.1.3. Occupant sensor controls in corridors shall comply with Section C405.2.1.4. Occupant sensor control function for egress illumination shall comply with Section C405.2.1.5. Occupant sensor controls for all other spaces specified in Section C405.2.1 shall comply with the following:</w:t>
      </w:r>
    </w:p>
    <w:p w14:paraId="225AEA8F" w14:textId="77777777" w:rsidR="00DB1AEE" w:rsidRPr="00DB1AEE" w:rsidRDefault="00DB1AEE" w:rsidP="00DB1AEE">
      <w:pPr>
        <w:widowControl w:val="0"/>
        <w:suppressAutoHyphens/>
        <w:spacing w:before="130" w:after="130"/>
        <w:ind w:left="360"/>
        <w:rPr>
          <w:u w:val="single"/>
        </w:rPr>
      </w:pPr>
      <w:r w:rsidRPr="00DB1AEE">
        <w:rPr>
          <w:u w:val="single"/>
        </w:rPr>
        <w:t>1.</w:t>
      </w:r>
      <w:r w:rsidRPr="00DB1AEE">
        <w:rPr>
          <w:u w:val="single"/>
        </w:rPr>
        <w:tab/>
        <w:t>They shall automatically turn off lights within 15   minutes after all occupants have left the space.</w:t>
      </w:r>
    </w:p>
    <w:p w14:paraId="14E54119" w14:textId="77777777" w:rsidR="00DB1AEE" w:rsidRPr="00DB1AEE" w:rsidRDefault="00DB1AEE" w:rsidP="00DB1AEE">
      <w:pPr>
        <w:widowControl w:val="0"/>
        <w:suppressAutoHyphens/>
        <w:spacing w:before="130" w:after="130"/>
        <w:ind w:left="360"/>
        <w:rPr>
          <w:u w:val="single"/>
        </w:rPr>
      </w:pPr>
      <w:r w:rsidRPr="00DB1AEE">
        <w:rPr>
          <w:u w:val="single"/>
        </w:rPr>
        <w:t>2.</w:t>
      </w:r>
      <w:r w:rsidRPr="00DB1AEE">
        <w:rPr>
          <w:u w:val="single"/>
        </w:rPr>
        <w:tab/>
        <w:t>They shall be manual on or controlled to automatically turn on the lighting to not more than 50-percent power of full power.</w:t>
      </w:r>
    </w:p>
    <w:p w14:paraId="39FF2B0F" w14:textId="77777777" w:rsidR="00DB1AEE" w:rsidRPr="00DB1AEE" w:rsidRDefault="00DB1AEE" w:rsidP="00DB1AEE">
      <w:pPr>
        <w:widowControl w:val="0"/>
        <w:suppressAutoHyphens/>
        <w:spacing w:before="130" w:after="130"/>
        <w:ind w:left="648" w:hanging="288"/>
        <w:rPr>
          <w:u w:val="single"/>
        </w:rPr>
      </w:pPr>
      <w:r w:rsidRPr="00DB1AEE">
        <w:rPr>
          <w:u w:val="single"/>
        </w:rPr>
        <w:t>3.</w:t>
      </w:r>
      <w:r w:rsidRPr="00DB1AEE">
        <w:rPr>
          <w:u w:val="single"/>
        </w:rPr>
        <w:tab/>
        <w:t>They shall incorporate a manual control to allow occupants to turn off lights.</w:t>
      </w:r>
    </w:p>
    <w:p w14:paraId="0D23A329" w14:textId="77777777" w:rsidR="00DB1AEE" w:rsidRPr="00DB1AEE" w:rsidRDefault="00DB1AEE" w:rsidP="00DB1AEE">
      <w:pPr>
        <w:widowControl w:val="0"/>
        <w:suppressAutoHyphens/>
        <w:spacing w:before="130" w:after="130"/>
        <w:ind w:left="360"/>
        <w:rPr>
          <w:b/>
          <w:bCs/>
          <w:u w:val="single"/>
        </w:rPr>
      </w:pPr>
      <w:r w:rsidRPr="00DB1AEE">
        <w:rPr>
          <w:b/>
          <w:bCs/>
          <w:u w:val="single"/>
        </w:rPr>
        <w:t>Exceptions:</w:t>
      </w:r>
    </w:p>
    <w:p w14:paraId="2B372507" w14:textId="77777777" w:rsidR="00DB1AEE" w:rsidRPr="00DB1AEE" w:rsidRDefault="00DB1AEE" w:rsidP="00DB1AEE">
      <w:pPr>
        <w:widowControl w:val="0"/>
        <w:suppressAutoHyphens/>
        <w:spacing w:before="130" w:after="130"/>
        <w:ind w:left="648" w:hanging="288"/>
        <w:rPr>
          <w:u w:val="single"/>
        </w:rPr>
      </w:pPr>
      <w:r w:rsidRPr="00DB1AEE">
        <w:rPr>
          <w:u w:val="single"/>
        </w:rPr>
        <w:t>1.  Full automatic-on controls with no manual control shall be permitted in corridors, interior parking areas, stairways, restrooms, locker rooms, lobbies, library stacks and areas where manual operation would endanger occupant safety or security.</w:t>
      </w:r>
    </w:p>
    <w:p w14:paraId="7D943BCE" w14:textId="77777777" w:rsidR="00DB1AEE" w:rsidRPr="00DB1AEE" w:rsidRDefault="00DB1AEE" w:rsidP="00DB1AEE">
      <w:pPr>
        <w:widowControl w:val="0"/>
        <w:suppressAutoHyphens/>
        <w:spacing w:before="130" w:after="130"/>
        <w:ind w:left="648" w:hanging="288"/>
        <w:rPr>
          <w:u w:val="single"/>
        </w:rPr>
      </w:pPr>
      <w:r w:rsidRPr="00DB1AEE">
        <w:rPr>
          <w:u w:val="single"/>
        </w:rPr>
        <w:t>2.</w:t>
      </w:r>
      <w:r w:rsidRPr="00DB1AEE">
        <w:rPr>
          <w:u w:val="single"/>
        </w:rPr>
        <w:tab/>
        <w:t>Manual-on controls shall be required for classrooms (not including shop classrooms, laboratory classrooms, and preschool classrooms), conference/meeting rooms, employee lunch and break rooms, and offices smaller than 200 square feet (18.5 m2) in area. Such sensors and controls shall not have an override switch that converts from manual-on to automatic-on functionality, and may have a grace period of up to 30 seconds to turn on the lighting automatically after the sensor has turned off the lighting if occupancy is detected.</w:t>
      </w:r>
    </w:p>
    <w:p w14:paraId="3AC74BDE" w14:textId="77777777" w:rsidR="00DB1AEE" w:rsidRPr="00DB1AEE" w:rsidRDefault="00DB1AEE" w:rsidP="00DB1AEE">
      <w:pPr>
        <w:widowControl w:val="0"/>
        <w:suppressAutoHyphens/>
        <w:spacing w:before="130" w:after="130"/>
        <w:ind w:left="648" w:hanging="288"/>
        <w:rPr>
          <w:u w:val="single"/>
        </w:rPr>
      </w:pPr>
      <w:r w:rsidRPr="00DB1AEE">
        <w:rPr>
          <w:u w:val="single"/>
        </w:rPr>
        <w:t>3.   Remote location of this local control device or devices shall be permitted for reasons of safety or security when each remote control device has an indicator pilot light as part of or next to the control device and the light is clearly labeled to identify the controlled lighting.</w:t>
      </w:r>
    </w:p>
    <w:p w14:paraId="0AB64B35"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 xml:space="preserve">Section C405.2.1.2 Occupant sensor control function in warehouse storage areas.        </w:t>
      </w:r>
    </w:p>
    <w:p w14:paraId="0E6FF5A4" w14:textId="77777777" w:rsidR="00DB1AEE" w:rsidRPr="00DB1AEE" w:rsidRDefault="00DB1AEE" w:rsidP="00DB1AEE">
      <w:pPr>
        <w:widowControl w:val="0"/>
        <w:suppressAutoHyphens/>
        <w:spacing w:before="130" w:after="130"/>
        <w:rPr>
          <w:b/>
          <w:bCs/>
          <w:u w:val="single"/>
        </w:rPr>
      </w:pPr>
      <w:r w:rsidRPr="00DB1AEE">
        <w:rPr>
          <w:rFonts w:eastAsia="MS Mincho"/>
          <w:bCs/>
          <w:szCs w:val="24"/>
          <w:u w:val="single"/>
        </w:rPr>
        <w:t>Section C405.2.1.2 – Revise Item 2 from Section C405.2.1.2 to read as follows:</w:t>
      </w:r>
    </w:p>
    <w:p w14:paraId="782F4FB2" w14:textId="77777777" w:rsidR="00DB1AEE" w:rsidRPr="00DB1AEE" w:rsidRDefault="00DB1AEE" w:rsidP="00DB1AEE">
      <w:pPr>
        <w:widowControl w:val="0"/>
        <w:suppressAutoHyphens/>
        <w:spacing w:before="130" w:after="130"/>
        <w:ind w:left="648" w:hanging="288"/>
        <w:rPr>
          <w:u w:val="single"/>
        </w:rPr>
      </w:pPr>
      <w:r w:rsidRPr="00DB1AEE">
        <w:rPr>
          <w:u w:val="single"/>
        </w:rPr>
        <w:t>2.</w:t>
      </w:r>
      <w:r w:rsidRPr="00DB1AEE">
        <w:rPr>
          <w:u w:val="single"/>
        </w:rPr>
        <w:tab/>
        <w:t>Occupant sensors shall automatically reduce lighting power within each controlled area to an unoccupied setpoint of not more than 30 percent of full power within  15  minutes after all occupants have left the controlled area.</w:t>
      </w:r>
    </w:p>
    <w:p w14:paraId="4A114591"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 xml:space="preserve">Section C405.2.1.3 Occupant sensor control function in open plan office areas.        </w:t>
      </w:r>
    </w:p>
    <w:p w14:paraId="13A6A6B7" w14:textId="77777777" w:rsidR="00DB1AEE" w:rsidRPr="00DB1AEE" w:rsidRDefault="00DB1AEE" w:rsidP="00DB1AEE">
      <w:pPr>
        <w:widowControl w:val="0"/>
        <w:suppressAutoHyphens/>
        <w:spacing w:before="130" w:after="130"/>
        <w:rPr>
          <w:b/>
          <w:bCs/>
          <w:u w:val="single"/>
        </w:rPr>
      </w:pPr>
      <w:r w:rsidRPr="00DB1AEE">
        <w:rPr>
          <w:rFonts w:eastAsia="MS Mincho"/>
          <w:bCs/>
          <w:szCs w:val="24"/>
          <w:u w:val="single"/>
        </w:rPr>
        <w:t>Section C405.2.1.3 – Delete Section C405.2.1.3 in its entirety, add new Section</w:t>
      </w:r>
      <w:r w:rsidRPr="00DB1AEE">
        <w:t xml:space="preserve"> </w:t>
      </w:r>
      <w:r w:rsidRPr="00DB1AEE">
        <w:rPr>
          <w:rFonts w:eastAsia="MS Mincho"/>
          <w:bCs/>
          <w:szCs w:val="24"/>
          <w:u w:val="single"/>
        </w:rPr>
        <w:t>C405.2.1.3  to read as follows:</w:t>
      </w:r>
    </w:p>
    <w:p w14:paraId="7B56888D" w14:textId="77777777" w:rsidR="00DB1AEE" w:rsidRPr="00DB1AEE" w:rsidRDefault="00DB1AEE" w:rsidP="00DB1AEE">
      <w:pPr>
        <w:widowControl w:val="0"/>
        <w:suppressAutoHyphens/>
        <w:spacing w:before="130" w:after="130"/>
        <w:ind w:left="360"/>
        <w:rPr>
          <w:u w:val="single"/>
        </w:rPr>
      </w:pPr>
      <w:r w:rsidRPr="00DB1AEE">
        <w:rPr>
          <w:b/>
          <w:bCs/>
          <w:u w:val="single"/>
        </w:rPr>
        <w:t xml:space="preserve">C405.2.1.3 Occupant sensor control function in open plan office areas, cafeteria dining areas, and fast-food dining areas.  </w:t>
      </w:r>
      <w:r w:rsidRPr="00DB1AEE">
        <w:rPr>
          <w:u w:val="single"/>
        </w:rPr>
        <w:t>Occupant sensor controls in open plan office spaces, cafeteria dining areas, and fast-food dining areas less than 300 square feet (28 m2) in area shall comply with Section C405.2.1.1. Occupant sensor controls in all other open plan office spaces, cafeteria dining spaces, and fast food dining spaces shall comply with all of the following:</w:t>
      </w:r>
    </w:p>
    <w:p w14:paraId="41C193C4" w14:textId="77777777" w:rsidR="00DB1AEE" w:rsidRPr="00DB1AEE" w:rsidRDefault="00DB1AEE" w:rsidP="00DB1AEE">
      <w:pPr>
        <w:widowControl w:val="0"/>
        <w:suppressAutoHyphens/>
        <w:spacing w:before="130" w:after="130"/>
        <w:ind w:left="648" w:hanging="288"/>
        <w:rPr>
          <w:u w:val="single"/>
        </w:rPr>
      </w:pPr>
      <w:r w:rsidRPr="00DB1AEE">
        <w:rPr>
          <w:u w:val="single"/>
        </w:rPr>
        <w:t>1.</w:t>
      </w:r>
      <w:r w:rsidRPr="00DB1AEE">
        <w:rPr>
          <w:u w:val="single"/>
        </w:rPr>
        <w:tab/>
        <w:t>The controls shall be configured so that general lighting can be separated into control zones with floor areas not greater than 600 square feet (55 m2) within the open plan office space or dining space. Where a through aisle traverses a control zone or separates two control zones, the luminaires serving the aisle shall be controlled separately from the general lighting in the control zones.</w:t>
      </w:r>
    </w:p>
    <w:p w14:paraId="3A4E9A80" w14:textId="77777777" w:rsidR="00DB1AEE" w:rsidRPr="00DB1AEE" w:rsidRDefault="00DB1AEE" w:rsidP="00DB1AEE">
      <w:pPr>
        <w:widowControl w:val="0"/>
        <w:suppressAutoHyphens/>
        <w:spacing w:before="130" w:after="130"/>
        <w:ind w:left="648" w:hanging="288"/>
        <w:rPr>
          <w:u w:val="single"/>
        </w:rPr>
      </w:pPr>
      <w:r w:rsidRPr="00DB1AEE">
        <w:rPr>
          <w:u w:val="single"/>
        </w:rPr>
        <w:t>2.</w:t>
      </w:r>
      <w:r w:rsidRPr="00DB1AEE">
        <w:rPr>
          <w:u w:val="single"/>
        </w:rPr>
        <w:tab/>
        <w:t>General lighting in each control zone shall be permitted to automatically turn on upon occupancy within the control zone. General lighting in other unoccupied zones within the open plan office space shall be permitted to turn on to not more than 20 percent of full power or remain unaffected.</w:t>
      </w:r>
    </w:p>
    <w:p w14:paraId="7489E13C" w14:textId="77777777" w:rsidR="00DB1AEE" w:rsidRPr="00DB1AEE" w:rsidRDefault="00DB1AEE" w:rsidP="00DB1AEE">
      <w:pPr>
        <w:widowControl w:val="0"/>
        <w:suppressAutoHyphens/>
        <w:spacing w:before="130" w:after="130"/>
        <w:ind w:left="648" w:hanging="288"/>
        <w:rPr>
          <w:u w:val="single"/>
        </w:rPr>
      </w:pPr>
      <w:r w:rsidRPr="00DB1AEE">
        <w:rPr>
          <w:u w:val="single"/>
        </w:rPr>
        <w:t>3.</w:t>
      </w:r>
      <w:r w:rsidRPr="00DB1AEE">
        <w:rPr>
          <w:u w:val="single"/>
        </w:rPr>
        <w:tab/>
        <w:t>The controls shall automatically turn off general lighting in all control zones within 15 minutes after all occupants have left the open plan office space.</w:t>
      </w:r>
    </w:p>
    <w:p w14:paraId="6892B899" w14:textId="77777777" w:rsidR="00DB1AEE" w:rsidRPr="00DB1AEE" w:rsidRDefault="00DB1AEE" w:rsidP="00DB1AEE">
      <w:pPr>
        <w:widowControl w:val="0"/>
        <w:suppressAutoHyphens/>
        <w:spacing w:before="130" w:after="130"/>
        <w:ind w:left="360"/>
        <w:rPr>
          <w:u w:val="single"/>
        </w:rPr>
      </w:pPr>
      <w:r w:rsidRPr="00DB1AEE">
        <w:rPr>
          <w:b/>
          <w:bCs/>
          <w:u w:val="single"/>
        </w:rPr>
        <w:t>Exception:</w:t>
      </w:r>
      <w:r w:rsidRPr="00DB1AEE">
        <w:rPr>
          <w:u w:val="single"/>
        </w:rPr>
        <w:t xml:space="preserve"> Where general lighting is turned off by time-switch control complying with Section C405.2.2.1.</w:t>
      </w:r>
    </w:p>
    <w:p w14:paraId="5FC0C4E2" w14:textId="77777777" w:rsidR="00DB1AEE" w:rsidRPr="00DB1AEE" w:rsidRDefault="00DB1AEE" w:rsidP="00DB1AEE">
      <w:pPr>
        <w:widowControl w:val="0"/>
        <w:suppressAutoHyphens/>
        <w:spacing w:before="130" w:after="130"/>
        <w:ind w:left="648" w:hanging="288"/>
        <w:rPr>
          <w:u w:val="single"/>
        </w:rPr>
      </w:pPr>
      <w:r w:rsidRPr="00DB1AEE">
        <w:rPr>
          <w:u w:val="single"/>
        </w:rPr>
        <w:t>4.</w:t>
      </w:r>
      <w:r w:rsidRPr="00DB1AEE">
        <w:rPr>
          <w:u w:val="single"/>
        </w:rPr>
        <w:tab/>
        <w:t>General lighting in each control zone shall turn off or uniformly reduce lighting power to an unoccupied setpoint of not more than 20 percent of full power within  15  minutes after all occupants have left the control zone.</w:t>
      </w:r>
    </w:p>
    <w:p w14:paraId="014E033F"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 xml:space="preserve">Section C405.2.1.4 Occupant sensor control function in corridors.        </w:t>
      </w:r>
    </w:p>
    <w:p w14:paraId="28DF4601" w14:textId="77777777" w:rsidR="00DB1AEE" w:rsidRPr="00DB1AEE" w:rsidRDefault="00DB1AEE" w:rsidP="00DB1AEE">
      <w:pPr>
        <w:widowControl w:val="0"/>
        <w:suppressAutoHyphens/>
        <w:spacing w:before="130" w:after="130"/>
        <w:rPr>
          <w:b/>
          <w:bCs/>
          <w:u w:val="single"/>
        </w:rPr>
      </w:pPr>
      <w:r w:rsidRPr="00DB1AEE">
        <w:rPr>
          <w:rFonts w:eastAsia="MS Mincho"/>
          <w:bCs/>
          <w:szCs w:val="24"/>
          <w:u w:val="single"/>
        </w:rPr>
        <w:t>Section C405.2.1.4 – Revise Section C405.2.1.4 to read as follows:</w:t>
      </w:r>
    </w:p>
    <w:p w14:paraId="188D5E19" w14:textId="77777777" w:rsidR="00DB1AEE" w:rsidRPr="00DB1AEE" w:rsidRDefault="00DB1AEE" w:rsidP="00DB1AEE">
      <w:pPr>
        <w:widowControl w:val="0"/>
        <w:suppressAutoHyphens/>
        <w:spacing w:before="130" w:after="130"/>
        <w:ind w:left="360"/>
        <w:rPr>
          <w:b/>
          <w:bCs/>
          <w:u w:val="single"/>
        </w:rPr>
      </w:pPr>
      <w:r w:rsidRPr="00DB1AEE">
        <w:rPr>
          <w:b/>
          <w:bCs/>
          <w:u w:val="single"/>
        </w:rPr>
        <w:t xml:space="preserve">C405.2.1.4 Occupant sensor control function in corridors. </w:t>
      </w:r>
      <w:r w:rsidRPr="00DB1AEE">
        <w:rPr>
          <w:u w:val="single"/>
        </w:rPr>
        <w:t>Occupant sensor controls in corridors shall uniformly reduce lighting power to an occupied setpoint not more than 50 percent of full power within  15   minutes after all occupants have left the space</w:t>
      </w:r>
      <w:r w:rsidRPr="00DB1AEE">
        <w:rPr>
          <w:b/>
          <w:bCs/>
          <w:u w:val="single"/>
        </w:rPr>
        <w:t xml:space="preserve">. </w:t>
      </w:r>
    </w:p>
    <w:p w14:paraId="025F99E0" w14:textId="77777777" w:rsidR="00DB1AEE" w:rsidRPr="00DB1AEE" w:rsidRDefault="00DB1AEE" w:rsidP="00DB1AEE">
      <w:pPr>
        <w:widowControl w:val="0"/>
        <w:suppressAutoHyphens/>
        <w:spacing w:before="130" w:after="130"/>
        <w:ind w:left="360"/>
        <w:rPr>
          <w:b/>
          <w:bCs/>
          <w:u w:val="single"/>
        </w:rPr>
      </w:pPr>
      <w:r w:rsidRPr="00DB1AEE">
        <w:rPr>
          <w:b/>
          <w:bCs/>
          <w:u w:val="single"/>
        </w:rPr>
        <w:t xml:space="preserve">Exception: </w:t>
      </w:r>
      <w:r w:rsidRPr="00DB1AEE">
        <w:rPr>
          <w:u w:val="single"/>
        </w:rPr>
        <w:t>Corridors provided with less than two footcandles of illumination on the floor at the darkest point with all lights on.</w:t>
      </w:r>
      <w:r w:rsidRPr="00DB1AEE">
        <w:rPr>
          <w:b/>
          <w:bCs/>
          <w:u w:val="single"/>
        </w:rPr>
        <w:t xml:space="preserve">  </w:t>
      </w:r>
    </w:p>
    <w:p w14:paraId="289EC55C"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 xml:space="preserve">Section C405.2.1.5 Occupant sensor control function for egress illumination.        </w:t>
      </w:r>
    </w:p>
    <w:p w14:paraId="6E06253D" w14:textId="77777777" w:rsidR="00DB1AEE" w:rsidRPr="00DB1AEE" w:rsidRDefault="00DB1AEE" w:rsidP="00DB1AEE">
      <w:pPr>
        <w:widowControl w:val="0"/>
        <w:suppressAutoHyphens/>
        <w:spacing w:before="130" w:after="130"/>
        <w:rPr>
          <w:b/>
          <w:bCs/>
          <w:u w:val="single"/>
        </w:rPr>
      </w:pPr>
      <w:r w:rsidRPr="00DB1AEE">
        <w:rPr>
          <w:rFonts w:eastAsia="MS Mincho"/>
          <w:bCs/>
          <w:szCs w:val="24"/>
          <w:u w:val="single"/>
        </w:rPr>
        <w:t>Section C405.2.1.5 – Revise Section C405.2.1.5  to read as follows:</w:t>
      </w:r>
    </w:p>
    <w:p w14:paraId="7CCF80F1" w14:textId="77777777" w:rsidR="00DB1AEE" w:rsidRPr="00DB1AEE" w:rsidRDefault="00DB1AEE" w:rsidP="00DB1AEE">
      <w:pPr>
        <w:widowControl w:val="0"/>
        <w:suppressAutoHyphens/>
        <w:spacing w:before="130" w:after="130"/>
        <w:ind w:left="360"/>
        <w:rPr>
          <w:u w:val="single"/>
        </w:rPr>
      </w:pPr>
      <w:r w:rsidRPr="00DB1AEE">
        <w:rPr>
          <w:b/>
          <w:bCs/>
          <w:u w:val="single"/>
        </w:rPr>
        <w:t xml:space="preserve">C405.2.1.5 Occupant sensor control function for egress illumination.  </w:t>
      </w:r>
      <w:r w:rsidRPr="00DB1AEE">
        <w:rPr>
          <w:u w:val="single"/>
        </w:rPr>
        <w:t xml:space="preserve">In new buildings, luminaires serving the exit access and providing means of egress illumination required by the New York City Building Code, including luminaires that function as both normal and emergency means of egress illumination, operating under normal conditions shall be controlled by a combination of listed emergency relay and occupancy sensors, or signal from another building control system, that automatically reduces the lighting power by at least 50%  percent when unoccupied for a period longer than 15 minutes. </w:t>
      </w:r>
    </w:p>
    <w:p w14:paraId="3F9295D0" w14:textId="77777777" w:rsidR="00DB1AEE" w:rsidRPr="00DB1AEE" w:rsidRDefault="00DB1AEE" w:rsidP="00DB1AEE">
      <w:pPr>
        <w:widowControl w:val="0"/>
        <w:suppressAutoHyphens/>
        <w:spacing w:before="130" w:after="130"/>
        <w:ind w:left="360"/>
        <w:rPr>
          <w:u w:val="single"/>
        </w:rPr>
      </w:pPr>
      <w:r w:rsidRPr="00DB1AEE">
        <w:rPr>
          <w:u w:val="single"/>
        </w:rPr>
        <w:t>Exceptions:</w:t>
      </w:r>
    </w:p>
    <w:p w14:paraId="758A1491" w14:textId="77777777" w:rsidR="00DB1AEE" w:rsidRPr="00DB1AEE" w:rsidRDefault="00DB1AEE" w:rsidP="00DB1AEE">
      <w:pPr>
        <w:widowControl w:val="0"/>
        <w:suppressAutoHyphens/>
        <w:spacing w:before="130" w:after="130"/>
        <w:ind w:left="360"/>
        <w:rPr>
          <w:u w:val="single"/>
        </w:rPr>
      </w:pPr>
      <w:r w:rsidRPr="00DB1AEE">
        <w:rPr>
          <w:u w:val="single"/>
        </w:rPr>
        <w:t>1.</w:t>
      </w:r>
      <w:r w:rsidRPr="00DB1AEE">
        <w:rPr>
          <w:u w:val="single"/>
        </w:rPr>
        <w:tab/>
        <w:t>Means of egress illumination serving the exit access that does not exceed 0.02 watts per square foot of building area is exempt from this requirement.</w:t>
      </w:r>
    </w:p>
    <w:p w14:paraId="4D43EDDE" w14:textId="77777777" w:rsidR="00DB1AEE" w:rsidRPr="00DB1AEE" w:rsidRDefault="00DB1AEE" w:rsidP="00DB1AEE">
      <w:pPr>
        <w:widowControl w:val="0"/>
        <w:suppressAutoHyphens/>
        <w:spacing w:before="130" w:after="130"/>
        <w:ind w:left="360"/>
        <w:rPr>
          <w:b/>
          <w:bCs/>
          <w:u w:val="single"/>
        </w:rPr>
      </w:pPr>
      <w:r w:rsidRPr="00DB1AEE">
        <w:rPr>
          <w:u w:val="single"/>
        </w:rPr>
        <w:t xml:space="preserve">2. </w:t>
      </w:r>
      <w:r w:rsidRPr="00DB1AEE">
        <w:rPr>
          <w:u w:val="single"/>
        </w:rPr>
        <w:tab/>
        <w:t>Emergency lighting designated to meet the requirements of the New York City Building Code</w:t>
      </w:r>
      <w:r w:rsidRPr="00DB1AEE">
        <w:rPr>
          <w:b/>
          <w:bCs/>
          <w:u w:val="single"/>
        </w:rPr>
        <w:t xml:space="preserve"> .   </w:t>
      </w:r>
    </w:p>
    <w:p w14:paraId="42094CC4"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 xml:space="preserve">Section C405.2.2.1 Time-switch control function.        </w:t>
      </w:r>
    </w:p>
    <w:p w14:paraId="79D2E35A" w14:textId="77777777" w:rsidR="00DB1AEE" w:rsidRPr="00DB1AEE" w:rsidRDefault="00DB1AEE" w:rsidP="00DB1AEE">
      <w:pPr>
        <w:widowControl w:val="0"/>
        <w:suppressAutoHyphens/>
        <w:spacing w:before="130" w:after="130"/>
        <w:rPr>
          <w:b/>
          <w:bCs/>
          <w:u w:val="single"/>
        </w:rPr>
      </w:pPr>
      <w:r w:rsidRPr="00DB1AEE">
        <w:rPr>
          <w:rFonts w:eastAsia="MS Mincho"/>
          <w:bCs/>
          <w:szCs w:val="24"/>
          <w:u w:val="single"/>
        </w:rPr>
        <w:t>Section C405.2.2.1 – Revise Item 7 from Section C405.2.2.1 to read as follows:</w:t>
      </w:r>
    </w:p>
    <w:p w14:paraId="2A68DFF8" w14:textId="77777777" w:rsidR="00DB1AEE" w:rsidRPr="00DB1AEE" w:rsidRDefault="00DB1AEE" w:rsidP="00DB1AEE">
      <w:pPr>
        <w:widowControl w:val="0"/>
        <w:suppressAutoHyphens/>
        <w:spacing w:before="130" w:after="130"/>
        <w:ind w:left="648" w:hanging="288"/>
        <w:rPr>
          <w:u w:val="single"/>
        </w:rPr>
      </w:pPr>
      <w:r w:rsidRPr="00DB1AEE">
        <w:rPr>
          <w:u w:val="single"/>
        </w:rPr>
        <w:t>7. For spaces where schedules are not defined time switch controls are   programmed by default   to a schedule that turns off lights not less than 12 hours per day.</w:t>
      </w:r>
    </w:p>
    <w:p w14:paraId="1464F2B5"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 xml:space="preserve">Section C405.2.4.1 Daylight-responsive control function.        </w:t>
      </w:r>
    </w:p>
    <w:p w14:paraId="7FBFB369" w14:textId="77777777" w:rsidR="00DB1AEE" w:rsidRPr="00DB1AEE" w:rsidRDefault="00DB1AEE" w:rsidP="00DB1AEE">
      <w:pPr>
        <w:widowControl w:val="0"/>
        <w:suppressAutoHyphens/>
        <w:spacing w:before="130" w:after="130"/>
        <w:rPr>
          <w:b/>
          <w:bCs/>
          <w:u w:val="single"/>
        </w:rPr>
      </w:pPr>
      <w:r w:rsidRPr="00DB1AEE">
        <w:rPr>
          <w:rFonts w:eastAsia="MS Mincho"/>
          <w:bCs/>
          <w:szCs w:val="24"/>
          <w:u w:val="single"/>
        </w:rPr>
        <w:t>Section C405.2.4.1 – Revise exceptions 1 and 2 from Section C405.2.4.1 to read as follows:</w:t>
      </w:r>
    </w:p>
    <w:p w14:paraId="7852C30B" w14:textId="77777777" w:rsidR="00DB1AEE" w:rsidRPr="00DB1AEE" w:rsidRDefault="00DB1AEE" w:rsidP="00DB1AEE">
      <w:pPr>
        <w:widowControl w:val="0"/>
        <w:suppressAutoHyphens/>
        <w:spacing w:before="130" w:after="130"/>
        <w:ind w:left="360"/>
        <w:rPr>
          <w:b/>
          <w:bCs/>
          <w:u w:val="single"/>
        </w:rPr>
      </w:pPr>
      <w:r w:rsidRPr="00DB1AEE">
        <w:rPr>
          <w:b/>
          <w:bCs/>
          <w:u w:val="single"/>
        </w:rPr>
        <w:t xml:space="preserve">Exceptions: </w:t>
      </w:r>
    </w:p>
    <w:p w14:paraId="1A117F99" w14:textId="77777777" w:rsidR="00DB1AEE" w:rsidRPr="00DB1AEE" w:rsidRDefault="00DB1AEE" w:rsidP="00DB1AEE">
      <w:pPr>
        <w:widowControl w:val="0"/>
        <w:suppressAutoHyphens/>
        <w:spacing w:before="130" w:after="130"/>
        <w:ind w:left="1008" w:hanging="288"/>
        <w:rPr>
          <w:u w:val="single"/>
        </w:rPr>
      </w:pPr>
      <w:r w:rsidRPr="00DB1AEE">
        <w:rPr>
          <w:u w:val="single"/>
        </w:rPr>
        <w:t>1.</w:t>
      </w:r>
      <w:r w:rsidRPr="00DB1AEE">
        <w:rPr>
          <w:u w:val="single"/>
        </w:rPr>
        <w:tab/>
        <w:t>Within each space, up to 100    watts of lighting within the primary sidelit daylight zone is permitted to be controlled together with lighting in a primary sidelit daylight zone facing a different cardinal orientation.</w:t>
      </w:r>
    </w:p>
    <w:p w14:paraId="2C58DB23" w14:textId="77777777" w:rsidR="00DB1AEE" w:rsidRPr="00DB1AEE" w:rsidRDefault="00DB1AEE" w:rsidP="00DB1AEE">
      <w:pPr>
        <w:widowControl w:val="0"/>
        <w:suppressAutoHyphens/>
        <w:spacing w:before="130" w:after="130"/>
        <w:ind w:left="1008" w:hanging="288"/>
        <w:rPr>
          <w:u w:val="single"/>
        </w:rPr>
      </w:pPr>
      <w:r w:rsidRPr="00DB1AEE">
        <w:rPr>
          <w:u w:val="single"/>
        </w:rPr>
        <w:t>2.</w:t>
      </w:r>
      <w:r w:rsidRPr="00DB1AEE">
        <w:rPr>
          <w:u w:val="single"/>
        </w:rPr>
        <w:tab/>
        <w:t>Within each space, up to 100 watts of lighting within the secondary sidelit daylight zone is permitted to be controlled together with lighting in a secondary sidelit daylight zone facing a different cardinal orientation.</w:t>
      </w:r>
    </w:p>
    <w:p w14:paraId="67DB9D49"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 xml:space="preserve">Section C405.2.7.2 Building facade and landscape lighting.        </w:t>
      </w:r>
    </w:p>
    <w:p w14:paraId="6F2DF5F9" w14:textId="77777777" w:rsidR="00DB1AEE" w:rsidRPr="00DB1AEE" w:rsidRDefault="00DB1AEE" w:rsidP="00DB1AEE">
      <w:pPr>
        <w:widowControl w:val="0"/>
        <w:suppressAutoHyphens/>
        <w:spacing w:before="130" w:after="130"/>
        <w:rPr>
          <w:b/>
          <w:bCs/>
          <w:u w:val="single"/>
        </w:rPr>
      </w:pPr>
      <w:r w:rsidRPr="00DB1AEE">
        <w:rPr>
          <w:rFonts w:eastAsia="MS Mincho"/>
          <w:bCs/>
          <w:szCs w:val="24"/>
          <w:u w:val="single"/>
        </w:rPr>
        <w:t>Section C405.2.7.2 – Revise Section C405.2.7.2 to read as follows:</w:t>
      </w:r>
    </w:p>
    <w:p w14:paraId="51424658" w14:textId="77777777" w:rsidR="00DB1AEE" w:rsidRPr="00DB1AEE" w:rsidRDefault="00DB1AEE" w:rsidP="00DB1AEE">
      <w:pPr>
        <w:widowControl w:val="0"/>
        <w:suppressAutoHyphens/>
        <w:spacing w:before="130" w:after="130"/>
        <w:ind w:left="360"/>
        <w:rPr>
          <w:u w:val="single"/>
        </w:rPr>
      </w:pPr>
      <w:r w:rsidRPr="00DB1AEE">
        <w:rPr>
          <w:b/>
          <w:bCs/>
          <w:u w:val="single"/>
        </w:rPr>
        <w:t xml:space="preserve">C405.2.7.2 Building facade and landscape lighting.  </w:t>
      </w:r>
      <w:r w:rsidRPr="00DB1AEE">
        <w:rPr>
          <w:u w:val="single"/>
        </w:rPr>
        <w:t xml:space="preserve">Building facade and landscape lighting shall automatically shut off, when sufficient daylight is present or not later than 1 hour after building or business closing to not earlier than 1 hour before building or business opening. For buildings that operate 24 hours, building’s façade lighting shall shut off at midnight.    </w:t>
      </w:r>
    </w:p>
    <w:p w14:paraId="76918597" w14:textId="77777777" w:rsidR="00DB1AEE" w:rsidRPr="00DB1AEE" w:rsidRDefault="00DB1AEE" w:rsidP="00DB1AEE">
      <w:pPr>
        <w:widowControl w:val="0"/>
        <w:suppressAutoHyphens/>
        <w:spacing w:before="130" w:after="130"/>
        <w:ind w:left="360"/>
        <w:rPr>
          <w:u w:val="single"/>
        </w:rPr>
      </w:pPr>
      <w:r w:rsidRPr="00DB1AEE">
        <w:rPr>
          <w:b/>
          <w:bCs/>
          <w:u w:val="single"/>
        </w:rPr>
        <w:t>Exception:</w:t>
      </w:r>
      <w:r w:rsidRPr="00DB1AEE">
        <w:rPr>
          <w:u w:val="single"/>
        </w:rPr>
        <w:t xml:space="preserve"> Designated areas in zones 3 and 4 during special events may be permitted to extend hours of façade lighting at the discretion of the commissioner.   </w:t>
      </w:r>
    </w:p>
    <w:p w14:paraId="47BEFA13"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 xml:space="preserve">Section C405.2.9 Interior parking area.        </w:t>
      </w:r>
    </w:p>
    <w:p w14:paraId="048C8D70" w14:textId="77777777" w:rsidR="00DB1AEE" w:rsidRPr="00DB1AEE" w:rsidRDefault="00DB1AEE" w:rsidP="00DB1AEE">
      <w:pPr>
        <w:widowControl w:val="0"/>
        <w:suppressAutoHyphens/>
        <w:spacing w:before="130" w:after="130"/>
        <w:rPr>
          <w:b/>
          <w:bCs/>
          <w:u w:val="single"/>
        </w:rPr>
      </w:pPr>
      <w:r w:rsidRPr="00DB1AEE">
        <w:rPr>
          <w:rFonts w:eastAsia="MS Mincho"/>
          <w:bCs/>
          <w:szCs w:val="24"/>
          <w:u w:val="single"/>
        </w:rPr>
        <w:t>Section C405.2.9  – Revise Item 1 from Section C405.2.9 to read as follows:</w:t>
      </w:r>
    </w:p>
    <w:p w14:paraId="1F1AAFB2" w14:textId="77777777" w:rsidR="00DB1AEE" w:rsidRPr="00DB1AEE" w:rsidRDefault="00DB1AEE" w:rsidP="00DB1AEE">
      <w:pPr>
        <w:widowControl w:val="0"/>
        <w:suppressAutoHyphens/>
        <w:spacing w:before="130" w:after="130"/>
        <w:ind w:left="648" w:hanging="288"/>
        <w:rPr>
          <w:u w:val="single"/>
        </w:rPr>
      </w:pPr>
      <w:r w:rsidRPr="00DB1AEE">
        <w:rPr>
          <w:u w:val="single"/>
        </w:rPr>
        <w:t>1.</w:t>
      </w:r>
      <w:r w:rsidRPr="00DB1AEE">
        <w:rPr>
          <w:u w:val="single"/>
        </w:rPr>
        <w:tab/>
        <w:t>Lighting power of each luminaire shall be automatically reduced by not less than 30 percent when there is no activity detected within a lighting zone for 15   minutes. Lighting zones for this requirement shall be not larger than 3,600 square feet (334.5 m</w:t>
      </w:r>
      <w:r w:rsidRPr="00DB1AEE">
        <w:rPr>
          <w:u w:val="single"/>
          <w:vertAlign w:val="superscript"/>
        </w:rPr>
        <w:t>2</w:t>
      </w:r>
      <w:r w:rsidRPr="00DB1AEE">
        <w:rPr>
          <w:u w:val="single"/>
        </w:rPr>
        <w:t>).</w:t>
      </w:r>
    </w:p>
    <w:p w14:paraId="5DD3075E" w14:textId="77777777" w:rsidR="00DB1AEE" w:rsidRPr="00DB1AEE" w:rsidRDefault="00DB1AEE" w:rsidP="00DB1AEE">
      <w:pPr>
        <w:widowControl w:val="0"/>
        <w:suppressAutoHyphens/>
        <w:spacing w:before="130" w:after="130"/>
        <w:rPr>
          <w:b/>
          <w:bCs/>
          <w:u w:val="single"/>
        </w:rPr>
      </w:pPr>
      <w:r w:rsidRPr="00DB1AEE">
        <w:rPr>
          <w:rFonts w:eastAsia="MS Mincho"/>
          <w:bCs/>
          <w:szCs w:val="24"/>
          <w:u w:val="single"/>
        </w:rPr>
        <w:t>Section C405.2.9  – Revise Item 3 from Section C405.2.9 to read as follows:</w:t>
      </w:r>
    </w:p>
    <w:p w14:paraId="03CE9AD6" w14:textId="77777777" w:rsidR="00DB1AEE" w:rsidRPr="00DB1AEE" w:rsidRDefault="00DB1AEE" w:rsidP="00DB1AEE">
      <w:pPr>
        <w:widowControl w:val="0"/>
        <w:suppressAutoHyphens/>
        <w:spacing w:before="130" w:after="130"/>
        <w:ind w:left="648" w:hanging="288"/>
        <w:rPr>
          <w:u w:val="single"/>
        </w:rPr>
      </w:pPr>
      <w:r w:rsidRPr="00DB1AEE">
        <w:rPr>
          <w:u w:val="single"/>
        </w:rPr>
        <w:t>3.</w:t>
      </w:r>
      <w:r w:rsidRPr="00DB1AEE">
        <w:rPr>
          <w:u w:val="single"/>
        </w:rPr>
        <w:tab/>
        <w:t>The power to luminaires within 20 feet (6096 mm) of perimeter wall openings or skylights  shall automatically reduce in response to daylight by at least 50 percent.</w:t>
      </w:r>
    </w:p>
    <w:p w14:paraId="2816B69F"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 xml:space="preserve">Section C405.2.10.1 Sleeping units and dwelling units in hotels, motels and vacation timeshare properties.        </w:t>
      </w:r>
    </w:p>
    <w:p w14:paraId="0A68B20E" w14:textId="77777777" w:rsidR="00DB1AEE" w:rsidRPr="00DB1AEE" w:rsidRDefault="00DB1AEE" w:rsidP="00DB1AEE">
      <w:pPr>
        <w:widowControl w:val="0"/>
        <w:suppressAutoHyphens/>
        <w:spacing w:before="130" w:after="130"/>
        <w:rPr>
          <w:b/>
          <w:bCs/>
          <w:u w:val="single"/>
        </w:rPr>
      </w:pPr>
      <w:r w:rsidRPr="00DB1AEE">
        <w:rPr>
          <w:rFonts w:eastAsia="MS Mincho"/>
          <w:bCs/>
          <w:szCs w:val="24"/>
          <w:u w:val="single"/>
        </w:rPr>
        <w:t>Section C405.2.10.1   – Revise Item 2 from Section C405.2.10.1 to read as follows:</w:t>
      </w:r>
    </w:p>
    <w:p w14:paraId="6D8370B7" w14:textId="77777777" w:rsidR="00DB1AEE" w:rsidRPr="00DB1AEE" w:rsidRDefault="00DB1AEE" w:rsidP="00DB1AEE">
      <w:pPr>
        <w:widowControl w:val="0"/>
        <w:suppressAutoHyphens/>
        <w:spacing w:before="130" w:after="130"/>
        <w:ind w:left="360"/>
        <w:rPr>
          <w:u w:val="single"/>
        </w:rPr>
      </w:pPr>
      <w:r w:rsidRPr="00DB1AEE">
        <w:rPr>
          <w:u w:val="single"/>
        </w:rPr>
        <w:t>2.</w:t>
      </w:r>
      <w:r w:rsidRPr="00DB1AEE">
        <w:rPr>
          <w:u w:val="single"/>
        </w:rPr>
        <w:tab/>
        <w:t>Lighting controls that automatically turn off all lighting and switched receptacles within 15   minutes after all occupants have left the unit.</w:t>
      </w:r>
    </w:p>
    <w:p w14:paraId="66880E12"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 xml:space="preserve">Section C405.2.10.2 Sleeping units in congregate living facilities.        </w:t>
      </w:r>
    </w:p>
    <w:p w14:paraId="0C90B078" w14:textId="77777777" w:rsidR="00DB1AEE" w:rsidRPr="00DB1AEE" w:rsidRDefault="00DB1AEE" w:rsidP="00DB1AEE">
      <w:pPr>
        <w:widowControl w:val="0"/>
        <w:suppressAutoHyphens/>
        <w:spacing w:before="130" w:after="130"/>
        <w:rPr>
          <w:b/>
          <w:bCs/>
          <w:u w:val="single"/>
        </w:rPr>
      </w:pPr>
      <w:r w:rsidRPr="00DB1AEE">
        <w:rPr>
          <w:rFonts w:eastAsia="MS Mincho"/>
          <w:bCs/>
          <w:szCs w:val="24"/>
          <w:u w:val="single"/>
        </w:rPr>
        <w:t>Section C405.2.10.2    – Revise Item 1 from  Section C405.2.10.2  to read as follows:</w:t>
      </w:r>
    </w:p>
    <w:p w14:paraId="25CE9C99" w14:textId="77777777" w:rsidR="00DB1AEE" w:rsidRPr="00DB1AEE" w:rsidRDefault="00DB1AEE" w:rsidP="00DB1AEE">
      <w:pPr>
        <w:widowControl w:val="0"/>
        <w:suppressAutoHyphens/>
        <w:spacing w:before="130" w:after="130"/>
        <w:ind w:left="360"/>
        <w:rPr>
          <w:u w:val="single"/>
        </w:rPr>
      </w:pPr>
      <w:r w:rsidRPr="00DB1AEE">
        <w:rPr>
          <w:u w:val="single"/>
        </w:rPr>
        <w:t>1.</w:t>
      </w:r>
      <w:r w:rsidRPr="00DB1AEE">
        <w:rPr>
          <w:u w:val="single"/>
        </w:rPr>
        <w:tab/>
        <w:t>Lighting in bathrooms shall be controlled by an occupant sensor control that automatically turns off lights within 15   minutes after all occupants have left the space.</w:t>
      </w:r>
    </w:p>
    <w:p w14:paraId="025A6B7C"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 xml:space="preserve">Section C405.3.1 Total connected interior lighting power.        </w:t>
      </w:r>
    </w:p>
    <w:p w14:paraId="61DA159D" w14:textId="77777777" w:rsidR="00DB1AEE" w:rsidRPr="00DB1AEE" w:rsidRDefault="00DB1AEE" w:rsidP="00DB1AEE">
      <w:pPr>
        <w:widowControl w:val="0"/>
        <w:suppressAutoHyphens/>
        <w:spacing w:before="130" w:after="130"/>
        <w:rPr>
          <w:b/>
          <w:bCs/>
          <w:u w:val="single"/>
        </w:rPr>
      </w:pPr>
      <w:r w:rsidRPr="00DB1AEE">
        <w:rPr>
          <w:rFonts w:eastAsia="MS Mincho"/>
          <w:bCs/>
          <w:szCs w:val="24"/>
          <w:u w:val="single"/>
        </w:rPr>
        <w:t>Section C405.3.1 – Revise exception 19 from  Section C405.3.1 to read as follows:</w:t>
      </w:r>
    </w:p>
    <w:p w14:paraId="067C1044" w14:textId="77777777" w:rsidR="00DB1AEE" w:rsidRPr="00DB1AEE" w:rsidRDefault="00DB1AEE" w:rsidP="00DB1AEE">
      <w:pPr>
        <w:widowControl w:val="0"/>
        <w:suppressAutoHyphens/>
        <w:spacing w:before="130" w:after="130"/>
        <w:ind w:left="360"/>
        <w:rPr>
          <w:b/>
          <w:bCs/>
          <w:u w:val="single"/>
        </w:rPr>
      </w:pPr>
      <w:r w:rsidRPr="00DB1AEE">
        <w:rPr>
          <w:u w:val="single"/>
        </w:rPr>
        <w:t>19. Lighting in dwelling units</w:t>
      </w:r>
      <w:r w:rsidRPr="00DB1AEE">
        <w:rPr>
          <w:b/>
          <w:bCs/>
          <w:u w:val="single"/>
        </w:rPr>
        <w:t xml:space="preserve">.    </w:t>
      </w:r>
    </w:p>
    <w:p w14:paraId="6088BE38"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 xml:space="preserve">Section C405.3.2.1 Building Area Method.        </w:t>
      </w:r>
    </w:p>
    <w:p w14:paraId="78F6490D" w14:textId="77777777" w:rsidR="00DB1AEE" w:rsidRPr="00DB1AEE" w:rsidRDefault="00DB1AEE" w:rsidP="00DB1AEE">
      <w:pPr>
        <w:widowControl w:val="0"/>
        <w:suppressAutoHyphens/>
        <w:spacing w:before="130" w:after="130"/>
        <w:rPr>
          <w:b/>
          <w:bCs/>
          <w:u w:val="single"/>
        </w:rPr>
      </w:pPr>
      <w:r w:rsidRPr="00DB1AEE">
        <w:rPr>
          <w:rFonts w:eastAsia="MS Mincho"/>
          <w:bCs/>
          <w:szCs w:val="24"/>
          <w:u w:val="single"/>
        </w:rPr>
        <w:t>Section C405.3.2.1     – Revise Item 2 from  Section C405.3.2.1 to read as follows:</w:t>
      </w:r>
    </w:p>
    <w:p w14:paraId="1B5D6858" w14:textId="77777777" w:rsidR="00DB1AEE" w:rsidRPr="00DB1AEE" w:rsidRDefault="00DB1AEE" w:rsidP="00DB1AEE">
      <w:pPr>
        <w:tabs>
          <w:tab w:val="left" w:pos="1080"/>
        </w:tabs>
        <w:autoSpaceDE w:val="0"/>
        <w:autoSpaceDN w:val="0"/>
        <w:adjustRightInd w:val="0"/>
        <w:spacing w:before="60" w:after="60" w:line="220" w:lineRule="atLeast"/>
        <w:ind w:left="648" w:hanging="288"/>
        <w:rPr>
          <w:szCs w:val="24"/>
          <w:u w:val="single"/>
        </w:rPr>
      </w:pPr>
      <w:r w:rsidRPr="00DB1AEE">
        <w:rPr>
          <w:szCs w:val="24"/>
          <w:u w:val="single"/>
        </w:rPr>
        <w:t>2.</w:t>
      </w:r>
      <w:r w:rsidRPr="00DB1AEE">
        <w:rPr>
          <w:szCs w:val="24"/>
          <w:u w:val="single"/>
        </w:rPr>
        <w:tab/>
        <w:t>Determine the floor area for each building area type listed in Table C405.3.2(1) and multiply this area by the applicable value from Table C405.3.2(1) to determine the lighting power (watts) for each building area type. Dwelling units are excluded from lighting power allowance calculations by application of Section C405.3.3. The area of dwelling units is not included in the calculation.</w:t>
      </w:r>
    </w:p>
    <w:p w14:paraId="6978ABBE"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 xml:space="preserve">Section C405.3.2.2 Space-by-Space Method.        </w:t>
      </w:r>
    </w:p>
    <w:p w14:paraId="55618591" w14:textId="77777777" w:rsidR="00DB1AEE" w:rsidRPr="00DB1AEE" w:rsidRDefault="00DB1AEE" w:rsidP="00DB1AEE">
      <w:pPr>
        <w:widowControl w:val="0"/>
        <w:suppressAutoHyphens/>
        <w:spacing w:before="130" w:after="130"/>
        <w:rPr>
          <w:b/>
          <w:bCs/>
          <w:u w:val="single"/>
        </w:rPr>
      </w:pPr>
      <w:r w:rsidRPr="00DB1AEE">
        <w:rPr>
          <w:rFonts w:eastAsia="MS Mincho"/>
          <w:bCs/>
          <w:szCs w:val="24"/>
          <w:u w:val="single"/>
        </w:rPr>
        <w:t>Section C405.3.2.2      – Revise Item 2 from  Section C405.3.2.2  to read as follows:</w:t>
      </w:r>
    </w:p>
    <w:p w14:paraId="194DFAF2" w14:textId="77777777" w:rsidR="00DB1AEE" w:rsidRPr="00DB1AEE" w:rsidRDefault="00DB1AEE" w:rsidP="00DB1AEE">
      <w:pPr>
        <w:tabs>
          <w:tab w:val="left" w:pos="1080"/>
        </w:tabs>
        <w:autoSpaceDE w:val="0"/>
        <w:autoSpaceDN w:val="0"/>
        <w:adjustRightInd w:val="0"/>
        <w:spacing w:before="60" w:after="60" w:line="220" w:lineRule="atLeast"/>
        <w:ind w:left="648" w:hanging="288"/>
        <w:rPr>
          <w:szCs w:val="24"/>
          <w:u w:val="single"/>
        </w:rPr>
      </w:pPr>
      <w:r w:rsidRPr="00DB1AEE">
        <w:rPr>
          <w:szCs w:val="24"/>
          <w:u w:val="single"/>
        </w:rPr>
        <w:t>2.</w:t>
      </w:r>
      <w:r w:rsidRPr="00DB1AEE">
        <w:rPr>
          <w:szCs w:val="24"/>
          <w:u w:val="single"/>
        </w:rPr>
        <w:tab/>
        <w:t>Determine the total floor area of all the spaces of each space type and multiply by the value for the space type in Table C405.3.2(2) to determine the allowed lighting power (watts) for each space type. Dwelling units are excluded from lighting power allowance calculations by application of Section C405.3.3. The area of dwelling units is not included in the calculation.</w:t>
      </w:r>
    </w:p>
    <w:p w14:paraId="5FA0E5A3"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 xml:space="preserve">Table C405.3.2(1) Interior Lighting Power Allowances: Building Area Method.        </w:t>
      </w:r>
    </w:p>
    <w:p w14:paraId="3A96823F" w14:textId="77777777" w:rsidR="00DB1AEE" w:rsidRPr="00DB1AEE" w:rsidRDefault="00DB1AEE" w:rsidP="00DB1AEE">
      <w:pPr>
        <w:widowControl w:val="0"/>
        <w:suppressAutoHyphens/>
        <w:spacing w:before="130" w:after="130"/>
        <w:rPr>
          <w:b/>
          <w:bCs/>
          <w:u w:val="single"/>
        </w:rPr>
      </w:pPr>
      <w:r w:rsidRPr="00DB1AEE">
        <w:rPr>
          <w:rFonts w:eastAsia="MS Mincho"/>
          <w:bCs/>
          <w:szCs w:val="24"/>
          <w:u w:val="single"/>
        </w:rPr>
        <w:t>Table C405.3.2(1)       – Revise Table C405.3.2(1) to read as follows:</w:t>
      </w:r>
    </w:p>
    <w:p w14:paraId="3B0F712C" w14:textId="77777777" w:rsidR="00DB1AEE" w:rsidRPr="00DB1AEE" w:rsidRDefault="00DB1AEE" w:rsidP="00DB1AEE">
      <w:pPr>
        <w:keepNext/>
        <w:suppressAutoHyphens/>
        <w:autoSpaceDE w:val="0"/>
        <w:autoSpaceDN w:val="0"/>
        <w:adjustRightInd w:val="0"/>
        <w:spacing w:before="200" w:line="180" w:lineRule="atLeast"/>
        <w:jc w:val="center"/>
        <w:rPr>
          <w:b/>
          <w:bCs/>
          <w:szCs w:val="24"/>
          <w:u w:val="single"/>
        </w:rPr>
      </w:pPr>
      <w:r w:rsidRPr="00DB1AEE">
        <w:rPr>
          <w:b/>
          <w:bCs/>
          <w:szCs w:val="24"/>
          <w:u w:val="single"/>
        </w:rPr>
        <w:t>TABLE C405.3.2(1)</w:t>
      </w:r>
    </w:p>
    <w:p w14:paraId="5A7566FF" w14:textId="77777777" w:rsidR="00DB1AEE" w:rsidRPr="00DB1AEE" w:rsidRDefault="00DB1AEE" w:rsidP="00DB1AEE">
      <w:pPr>
        <w:suppressAutoHyphens/>
        <w:autoSpaceDE w:val="0"/>
        <w:autoSpaceDN w:val="0"/>
        <w:adjustRightInd w:val="0"/>
        <w:spacing w:before="80" w:after="20" w:line="180" w:lineRule="atLeast"/>
        <w:jc w:val="center"/>
        <w:rPr>
          <w:b/>
          <w:bCs/>
          <w:szCs w:val="24"/>
          <w:u w:val="single"/>
        </w:rPr>
      </w:pPr>
      <w:r w:rsidRPr="00DB1AEE">
        <w:rPr>
          <w:b/>
          <w:bCs/>
          <w:szCs w:val="24"/>
          <w:u w:val="single"/>
        </w:rPr>
        <w:t xml:space="preserve">INTERIOR LIGHTING POWER ALLOWANCES: </w:t>
      </w:r>
      <w:r w:rsidRPr="00DB1AEE">
        <w:rPr>
          <w:b/>
          <w:bCs/>
          <w:szCs w:val="24"/>
          <w:u w:val="single"/>
        </w:rPr>
        <w:br/>
        <w:t>BUILDING AREA METHOD</w:t>
      </w:r>
    </w:p>
    <w:tbl>
      <w:tblPr>
        <w:tblW w:w="9545" w:type="dxa"/>
        <w:jc w:val="right"/>
        <w:tblLayout w:type="fixed"/>
        <w:tblCellMar>
          <w:top w:w="60" w:type="dxa"/>
          <w:left w:w="40" w:type="dxa"/>
          <w:bottom w:w="40" w:type="dxa"/>
          <w:right w:w="40" w:type="dxa"/>
        </w:tblCellMar>
        <w:tblLook w:val="0000" w:firstRow="0" w:lastRow="0" w:firstColumn="0" w:lastColumn="0" w:noHBand="0" w:noVBand="0"/>
      </w:tblPr>
      <w:tblGrid>
        <w:gridCol w:w="4855"/>
        <w:gridCol w:w="4690"/>
      </w:tblGrid>
      <w:tr w:rsidR="00DB1AEE" w:rsidRPr="00DB1AEE" w14:paraId="38AAED3E" w14:textId="77777777" w:rsidTr="00FC1832">
        <w:trPr>
          <w:trHeight w:val="220"/>
          <w:jc w:val="right"/>
        </w:trPr>
        <w:tc>
          <w:tcPr>
            <w:tcW w:w="4855" w:type="dxa"/>
            <w:tcBorders>
              <w:top w:val="single" w:sz="4" w:space="0" w:color="000000"/>
              <w:left w:val="single" w:sz="4" w:space="0" w:color="000000"/>
              <w:bottom w:val="single" w:sz="4" w:space="0" w:color="000000"/>
              <w:right w:val="single" w:sz="4" w:space="0" w:color="000000"/>
            </w:tcBorders>
            <w:tcMar>
              <w:top w:w="60" w:type="dxa"/>
              <w:left w:w="40" w:type="dxa"/>
              <w:bottom w:w="40" w:type="dxa"/>
              <w:right w:w="40" w:type="dxa"/>
            </w:tcMar>
            <w:vAlign w:val="center"/>
          </w:tcPr>
          <w:p w14:paraId="64FD1F73" w14:textId="77777777" w:rsidR="00DB1AEE" w:rsidRPr="00DB1AEE" w:rsidRDefault="00DB1AEE" w:rsidP="00DB1AEE">
            <w:pPr>
              <w:suppressAutoHyphens/>
              <w:autoSpaceDE w:val="0"/>
              <w:autoSpaceDN w:val="0"/>
              <w:adjustRightInd w:val="0"/>
              <w:spacing w:line="160" w:lineRule="atLeast"/>
              <w:jc w:val="center"/>
              <w:rPr>
                <w:w w:val="0"/>
                <w:szCs w:val="24"/>
                <w:u w:val="single"/>
              </w:rPr>
            </w:pPr>
            <w:r w:rsidRPr="00DB1AEE">
              <w:rPr>
                <w:b/>
                <w:bCs/>
                <w:szCs w:val="24"/>
                <w:u w:val="single"/>
              </w:rPr>
              <w:t>BUILDING AREA TYPE</w:t>
            </w:r>
          </w:p>
        </w:tc>
        <w:tc>
          <w:tcPr>
            <w:tcW w:w="4690" w:type="dxa"/>
            <w:tcBorders>
              <w:top w:val="single" w:sz="4" w:space="0" w:color="000000"/>
              <w:left w:val="single" w:sz="4" w:space="0" w:color="000000"/>
              <w:bottom w:val="single" w:sz="4" w:space="0" w:color="000000"/>
              <w:right w:val="single" w:sz="4" w:space="0" w:color="000000"/>
            </w:tcBorders>
            <w:tcMar>
              <w:top w:w="60" w:type="dxa"/>
              <w:left w:w="40" w:type="dxa"/>
              <w:bottom w:w="40" w:type="dxa"/>
              <w:right w:w="40" w:type="dxa"/>
            </w:tcMar>
            <w:vAlign w:val="center"/>
          </w:tcPr>
          <w:p w14:paraId="5DAC5E4F" w14:textId="77777777" w:rsidR="00DB1AEE" w:rsidRPr="00DB1AEE" w:rsidRDefault="00DB1AEE" w:rsidP="00DB1AEE">
            <w:pPr>
              <w:suppressAutoHyphens/>
              <w:autoSpaceDE w:val="0"/>
              <w:autoSpaceDN w:val="0"/>
              <w:adjustRightInd w:val="0"/>
              <w:spacing w:line="160" w:lineRule="atLeast"/>
              <w:jc w:val="center"/>
              <w:rPr>
                <w:w w:val="0"/>
                <w:szCs w:val="24"/>
                <w:u w:val="single"/>
              </w:rPr>
            </w:pPr>
            <w:r w:rsidRPr="00DB1AEE">
              <w:rPr>
                <w:b/>
                <w:bCs/>
                <w:szCs w:val="24"/>
                <w:u w:val="single"/>
              </w:rPr>
              <w:t>LPD (watts/ft</w:t>
            </w:r>
            <w:r w:rsidRPr="00DB1AEE">
              <w:rPr>
                <w:szCs w:val="24"/>
                <w:u w:val="single"/>
                <w:vertAlign w:val="superscript"/>
              </w:rPr>
              <w:t>2</w:t>
            </w:r>
            <w:r w:rsidRPr="00DB1AEE">
              <w:rPr>
                <w:b/>
                <w:bCs/>
                <w:szCs w:val="24"/>
                <w:u w:val="single"/>
              </w:rPr>
              <w:t>)</w:t>
            </w:r>
          </w:p>
        </w:tc>
      </w:tr>
      <w:tr w:rsidR="00DB1AEE" w:rsidRPr="00DB1AEE" w14:paraId="1C3029BC" w14:textId="77777777" w:rsidTr="00FC1832">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05C369F"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rPr>
              <w:t>Automotive facility</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CA83619"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0.</w:t>
            </w:r>
            <w:r w:rsidRPr="00DB1AEE">
              <w:rPr>
                <w:w w:val="0"/>
                <w:szCs w:val="24"/>
                <w:u w:val="single"/>
              </w:rPr>
              <w:t>64</w:t>
            </w:r>
          </w:p>
        </w:tc>
      </w:tr>
      <w:tr w:rsidR="00DB1AEE" w:rsidRPr="00DB1AEE" w14:paraId="1E138A9A" w14:textId="77777777" w:rsidTr="00FC1832">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EBDE42A"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rPr>
              <w:t>Convention center</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5E71B6A"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0.64</w:t>
            </w:r>
          </w:p>
        </w:tc>
      </w:tr>
      <w:tr w:rsidR="00DB1AEE" w:rsidRPr="00DB1AEE" w14:paraId="16CC5A63" w14:textId="77777777" w:rsidTr="00FC1832">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EB8E84B"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rPr>
              <w:t>Courthouse</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6B487D9"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0.</w:t>
            </w:r>
            <w:r w:rsidRPr="00DB1AEE">
              <w:rPr>
                <w:w w:val="0"/>
                <w:szCs w:val="24"/>
                <w:u w:val="single"/>
              </w:rPr>
              <w:t>74</w:t>
            </w:r>
          </w:p>
        </w:tc>
      </w:tr>
      <w:tr w:rsidR="00DB1AEE" w:rsidRPr="00DB1AEE" w14:paraId="02ADC299" w14:textId="77777777" w:rsidTr="00FC1832">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8B4578A"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rPr>
              <w:t>Dining: bar lounge/leisure</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98F1F39"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0.</w:t>
            </w:r>
            <w:r w:rsidRPr="00DB1AEE">
              <w:rPr>
                <w:w w:val="0"/>
                <w:szCs w:val="24"/>
                <w:u w:val="single"/>
              </w:rPr>
              <w:t>69</w:t>
            </w:r>
          </w:p>
        </w:tc>
      </w:tr>
      <w:tr w:rsidR="00DB1AEE" w:rsidRPr="00DB1AEE" w14:paraId="5D781189" w14:textId="77777777" w:rsidTr="00FC1832">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F0F28D8"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rPr>
              <w:t>Dining: cafeteria/fast food</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39EC853"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0.</w:t>
            </w:r>
            <w:r w:rsidRPr="00DB1AEE">
              <w:rPr>
                <w:w w:val="0"/>
                <w:szCs w:val="24"/>
                <w:u w:val="single"/>
              </w:rPr>
              <w:t>66</w:t>
            </w:r>
          </w:p>
        </w:tc>
      </w:tr>
      <w:tr w:rsidR="00DB1AEE" w:rsidRPr="00DB1AEE" w14:paraId="276D4AED" w14:textId="77777777" w:rsidTr="00FC1832">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245987F"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rPr>
              <w:t>Dining: family</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2F83746"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0.</w:t>
            </w:r>
            <w:r w:rsidRPr="00DB1AEE">
              <w:rPr>
                <w:w w:val="0"/>
                <w:szCs w:val="24"/>
                <w:u w:val="single"/>
              </w:rPr>
              <w:t>61</w:t>
            </w:r>
          </w:p>
        </w:tc>
      </w:tr>
      <w:tr w:rsidR="00DB1AEE" w:rsidRPr="00DB1AEE" w14:paraId="4B3E0B14" w14:textId="77777777" w:rsidTr="00FC1832">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6E03F6A"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rPr>
              <w:t>Dormitory</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3ED8CC5"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0.</w:t>
            </w:r>
            <w:r w:rsidRPr="00DB1AEE">
              <w:rPr>
                <w:w w:val="0"/>
                <w:szCs w:val="24"/>
                <w:u w:val="single"/>
              </w:rPr>
              <w:t>52</w:t>
            </w:r>
          </w:p>
        </w:tc>
      </w:tr>
      <w:tr w:rsidR="00DB1AEE" w:rsidRPr="00DB1AEE" w14:paraId="743F91D8" w14:textId="77777777" w:rsidTr="00FC1832">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63BC9DF"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rPr>
              <w:t>Exercise center</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EBC2E0D"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0.</w:t>
            </w:r>
            <w:r w:rsidRPr="00DB1AEE">
              <w:rPr>
                <w:w w:val="0"/>
                <w:szCs w:val="24"/>
                <w:u w:val="single"/>
              </w:rPr>
              <w:t>65</w:t>
            </w:r>
          </w:p>
        </w:tc>
      </w:tr>
      <w:tr w:rsidR="00DB1AEE" w:rsidRPr="00DB1AEE" w14:paraId="36F0F185" w14:textId="77777777" w:rsidTr="00FC1832">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5CB059A"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rPr>
              <w:t>Fire station</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8A2C1C9"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0.</w:t>
            </w:r>
            <w:r w:rsidRPr="00DB1AEE">
              <w:rPr>
                <w:w w:val="0"/>
                <w:szCs w:val="24"/>
                <w:u w:val="single"/>
              </w:rPr>
              <w:t>50</w:t>
            </w:r>
          </w:p>
        </w:tc>
      </w:tr>
      <w:tr w:rsidR="00DB1AEE" w:rsidRPr="00DB1AEE" w14:paraId="56B6968E" w14:textId="77777777" w:rsidTr="00FC1832">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46E4951"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rPr>
              <w:t>Gymnasium</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5FF85A3"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0.</w:t>
            </w:r>
            <w:r w:rsidRPr="00DB1AEE">
              <w:rPr>
                <w:w w:val="0"/>
                <w:szCs w:val="24"/>
                <w:u w:val="single"/>
              </w:rPr>
              <w:t>67</w:t>
            </w:r>
          </w:p>
        </w:tc>
      </w:tr>
      <w:tr w:rsidR="00DB1AEE" w:rsidRPr="00DB1AEE" w14:paraId="681CDFD1" w14:textId="77777777" w:rsidTr="00FC1832">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5BAA558"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rPr>
              <w:t>Health care clinic</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466000D"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0.</w:t>
            </w:r>
            <w:r w:rsidRPr="00DB1AEE">
              <w:rPr>
                <w:w w:val="0"/>
                <w:szCs w:val="24"/>
                <w:u w:val="single"/>
              </w:rPr>
              <w:t>68</w:t>
            </w:r>
          </w:p>
        </w:tc>
      </w:tr>
      <w:tr w:rsidR="00DB1AEE" w:rsidRPr="00DB1AEE" w14:paraId="08DA3E87" w14:textId="77777777" w:rsidTr="00FC1832">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6C340C0"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rPr>
              <w:t>Hospital</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B97C7D5"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0.</w:t>
            </w:r>
            <w:r w:rsidRPr="00DB1AEE">
              <w:rPr>
                <w:w w:val="0"/>
                <w:szCs w:val="24"/>
                <w:u w:val="single"/>
              </w:rPr>
              <w:t>86</w:t>
            </w:r>
          </w:p>
        </w:tc>
      </w:tr>
      <w:tr w:rsidR="00DB1AEE" w:rsidRPr="00DB1AEE" w14:paraId="41C353E5" w14:textId="77777777" w:rsidTr="00FC1832">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79D762B"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rPr>
              <w:t>Hotel/Motel</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ECB2125"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0.53</w:t>
            </w:r>
          </w:p>
        </w:tc>
      </w:tr>
      <w:tr w:rsidR="00DB1AEE" w:rsidRPr="00DB1AEE" w14:paraId="2BE24027" w14:textId="77777777" w:rsidTr="00FC1832">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D764EA8"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rPr>
              <w:t>Library</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EB47466"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0.</w:t>
            </w:r>
            <w:r w:rsidRPr="00DB1AEE">
              <w:rPr>
                <w:w w:val="0"/>
                <w:szCs w:val="24"/>
                <w:u w:val="single"/>
              </w:rPr>
              <w:t>78</w:t>
            </w:r>
          </w:p>
        </w:tc>
      </w:tr>
      <w:tr w:rsidR="00DB1AEE" w:rsidRPr="00DB1AEE" w14:paraId="7AE653D2" w14:textId="77777777" w:rsidTr="00FC1832">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1C3DC81"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rPr>
              <w:t>Manufacturing facility</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1EF0D83"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0.</w:t>
            </w:r>
            <w:r w:rsidRPr="00DB1AEE">
              <w:rPr>
                <w:w w:val="0"/>
                <w:szCs w:val="24"/>
                <w:u w:val="single"/>
              </w:rPr>
              <w:t>60</w:t>
            </w:r>
          </w:p>
        </w:tc>
      </w:tr>
      <w:tr w:rsidR="00DB1AEE" w:rsidRPr="00DB1AEE" w14:paraId="36C32A6F" w14:textId="77777777" w:rsidTr="00FC1832">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12A9B98"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rPr>
              <w:t>Motion picture theater</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A9FFD40"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0.43</w:t>
            </w:r>
          </w:p>
        </w:tc>
      </w:tr>
      <w:tr w:rsidR="00DB1AEE" w:rsidRPr="00DB1AEE" w14:paraId="29BDB52B" w14:textId="77777777" w:rsidTr="00FC1832">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83FC847"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rPr>
              <w:t>Multiple-family</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1F33179"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0.46</w:t>
            </w:r>
          </w:p>
        </w:tc>
      </w:tr>
      <w:tr w:rsidR="00DB1AEE" w:rsidRPr="00DB1AEE" w14:paraId="1BCB728A" w14:textId="77777777" w:rsidTr="00FC1832">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DDBEDAA"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rPr>
              <w:t>Museum</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93971B2"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0.56</w:t>
            </w:r>
          </w:p>
        </w:tc>
      </w:tr>
      <w:tr w:rsidR="00DB1AEE" w:rsidRPr="00DB1AEE" w14:paraId="608D0BE7" w14:textId="77777777" w:rsidTr="00FC1832">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6F5C670"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rPr>
              <w:t>Office</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DCA9A44"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0.62</w:t>
            </w:r>
          </w:p>
        </w:tc>
      </w:tr>
    </w:tbl>
    <w:p w14:paraId="1E0E77A9" w14:textId="77777777" w:rsidR="00DB1AEE" w:rsidRPr="00DB1AEE" w:rsidRDefault="00DB1AEE" w:rsidP="00DB1AEE">
      <w:pPr>
        <w:suppressAutoHyphens/>
        <w:autoSpaceDE w:val="0"/>
        <w:autoSpaceDN w:val="0"/>
        <w:adjustRightInd w:val="0"/>
        <w:spacing w:before="80" w:after="20" w:line="180" w:lineRule="atLeast"/>
        <w:jc w:val="center"/>
        <w:rPr>
          <w:b/>
          <w:bCs/>
          <w:szCs w:val="24"/>
          <w:u w:val="single"/>
        </w:rPr>
      </w:pPr>
    </w:p>
    <w:p w14:paraId="2C114099" w14:textId="77777777" w:rsidR="00DB1AEE" w:rsidRPr="00DB1AEE" w:rsidRDefault="00DB1AEE" w:rsidP="00DB1AEE">
      <w:pPr>
        <w:suppressAutoHyphens/>
        <w:autoSpaceDE w:val="0"/>
        <w:autoSpaceDN w:val="0"/>
        <w:adjustRightInd w:val="0"/>
        <w:spacing w:before="80"/>
        <w:jc w:val="center"/>
        <w:rPr>
          <w:szCs w:val="24"/>
          <w:u w:val="single"/>
        </w:rPr>
      </w:pPr>
      <w:r w:rsidRPr="00DB1AEE">
        <w:rPr>
          <w:i/>
          <w:iCs/>
          <w:szCs w:val="24"/>
          <w:u w:val="single"/>
        </w:rPr>
        <w:t>(continued)</w:t>
      </w:r>
    </w:p>
    <w:p w14:paraId="2CE7FBE2" w14:textId="77777777" w:rsidR="00DB1AEE" w:rsidRPr="00DB1AEE" w:rsidRDefault="00DB1AEE" w:rsidP="00DB1AE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autoSpaceDE w:val="0"/>
        <w:autoSpaceDN w:val="0"/>
        <w:adjustRightInd w:val="0"/>
        <w:spacing w:before="40" w:line="260" w:lineRule="atLeast"/>
        <w:ind w:left="1820" w:firstLine="260"/>
        <w:jc w:val="center"/>
        <w:rPr>
          <w:i/>
          <w:iCs/>
          <w:szCs w:val="24"/>
          <w:u w:val="single"/>
        </w:rPr>
      </w:pPr>
    </w:p>
    <w:p w14:paraId="5AB6DFD2" w14:textId="77777777" w:rsidR="00DB1AEE" w:rsidRPr="00DB1AEE" w:rsidRDefault="00DB1AEE" w:rsidP="00DB1AEE">
      <w:pPr>
        <w:keepNext/>
        <w:suppressAutoHyphens/>
        <w:autoSpaceDE w:val="0"/>
        <w:autoSpaceDN w:val="0"/>
        <w:adjustRightInd w:val="0"/>
        <w:spacing w:before="200" w:line="180" w:lineRule="atLeast"/>
        <w:jc w:val="center"/>
        <w:rPr>
          <w:b/>
          <w:bCs/>
          <w:szCs w:val="24"/>
          <w:u w:val="single"/>
        </w:rPr>
      </w:pPr>
      <w:r w:rsidRPr="00DB1AEE">
        <w:rPr>
          <w:b/>
          <w:bCs/>
          <w:szCs w:val="24"/>
          <w:u w:val="single"/>
        </w:rPr>
        <w:t>TABLE C405.3.2(1)—continued</w:t>
      </w:r>
    </w:p>
    <w:p w14:paraId="34B56982" w14:textId="77777777" w:rsidR="00DB1AEE" w:rsidRPr="00DB1AEE" w:rsidRDefault="00DB1AEE" w:rsidP="00DB1AEE">
      <w:pPr>
        <w:suppressAutoHyphens/>
        <w:autoSpaceDE w:val="0"/>
        <w:autoSpaceDN w:val="0"/>
        <w:adjustRightInd w:val="0"/>
        <w:spacing w:before="80" w:after="20" w:line="180" w:lineRule="atLeast"/>
        <w:jc w:val="center"/>
        <w:rPr>
          <w:b/>
          <w:bCs/>
          <w:szCs w:val="24"/>
          <w:u w:val="single"/>
        </w:rPr>
      </w:pPr>
      <w:r w:rsidRPr="00DB1AEE">
        <w:rPr>
          <w:b/>
          <w:bCs/>
          <w:szCs w:val="24"/>
          <w:u w:val="single"/>
        </w:rPr>
        <w:t xml:space="preserve">INTERIOR LIGHTING POWER ALLOWANCES: </w:t>
      </w:r>
      <w:r w:rsidRPr="00DB1AEE">
        <w:rPr>
          <w:b/>
          <w:bCs/>
          <w:szCs w:val="24"/>
          <w:u w:val="single"/>
        </w:rPr>
        <w:br/>
        <w:t>BUILDING AREA METHOD</w:t>
      </w:r>
    </w:p>
    <w:tbl>
      <w:tblPr>
        <w:tblW w:w="9545" w:type="dxa"/>
        <w:jc w:val="right"/>
        <w:tblLayout w:type="fixed"/>
        <w:tblCellMar>
          <w:top w:w="60" w:type="dxa"/>
          <w:left w:w="40" w:type="dxa"/>
          <w:bottom w:w="40" w:type="dxa"/>
          <w:right w:w="40" w:type="dxa"/>
        </w:tblCellMar>
        <w:tblLook w:val="0000" w:firstRow="0" w:lastRow="0" w:firstColumn="0" w:lastColumn="0" w:noHBand="0" w:noVBand="0"/>
      </w:tblPr>
      <w:tblGrid>
        <w:gridCol w:w="4855"/>
        <w:gridCol w:w="4690"/>
      </w:tblGrid>
      <w:tr w:rsidR="00DB1AEE" w:rsidRPr="00DB1AEE" w14:paraId="3F81E466" w14:textId="77777777" w:rsidTr="00FC1832">
        <w:trPr>
          <w:trHeight w:val="220"/>
          <w:jc w:val="right"/>
        </w:trPr>
        <w:tc>
          <w:tcPr>
            <w:tcW w:w="4855" w:type="dxa"/>
            <w:tcBorders>
              <w:top w:val="single" w:sz="4" w:space="0" w:color="000000"/>
              <w:left w:val="single" w:sz="4" w:space="0" w:color="000000"/>
              <w:bottom w:val="single" w:sz="4" w:space="0" w:color="000000"/>
              <w:right w:val="single" w:sz="4" w:space="0" w:color="000000"/>
            </w:tcBorders>
            <w:tcMar>
              <w:top w:w="60" w:type="dxa"/>
              <w:left w:w="40" w:type="dxa"/>
              <w:bottom w:w="40" w:type="dxa"/>
              <w:right w:w="40" w:type="dxa"/>
            </w:tcMar>
            <w:vAlign w:val="center"/>
          </w:tcPr>
          <w:p w14:paraId="2E9D817C" w14:textId="77777777" w:rsidR="00DB1AEE" w:rsidRPr="00DB1AEE" w:rsidRDefault="00DB1AEE" w:rsidP="00DB1AEE">
            <w:pPr>
              <w:suppressAutoHyphens/>
              <w:autoSpaceDE w:val="0"/>
              <w:autoSpaceDN w:val="0"/>
              <w:adjustRightInd w:val="0"/>
              <w:spacing w:line="160" w:lineRule="atLeast"/>
              <w:jc w:val="center"/>
              <w:rPr>
                <w:w w:val="0"/>
                <w:szCs w:val="24"/>
                <w:u w:val="single"/>
              </w:rPr>
            </w:pPr>
            <w:r w:rsidRPr="00DB1AEE">
              <w:rPr>
                <w:szCs w:val="24"/>
                <w:u w:val="single"/>
              </w:rPr>
              <w:t>BUILDING AREA TYPE</w:t>
            </w:r>
          </w:p>
        </w:tc>
        <w:tc>
          <w:tcPr>
            <w:tcW w:w="4690" w:type="dxa"/>
            <w:tcBorders>
              <w:top w:val="single" w:sz="4" w:space="0" w:color="000000"/>
              <w:left w:val="single" w:sz="4" w:space="0" w:color="000000"/>
              <w:bottom w:val="single" w:sz="4" w:space="0" w:color="000000"/>
              <w:right w:val="single" w:sz="4" w:space="0" w:color="000000"/>
            </w:tcBorders>
            <w:tcMar>
              <w:top w:w="60" w:type="dxa"/>
              <w:left w:w="40" w:type="dxa"/>
              <w:bottom w:w="40" w:type="dxa"/>
              <w:right w:w="40" w:type="dxa"/>
            </w:tcMar>
            <w:vAlign w:val="center"/>
          </w:tcPr>
          <w:p w14:paraId="6B7D430B" w14:textId="77777777" w:rsidR="00DB1AEE" w:rsidRPr="00DB1AEE" w:rsidRDefault="00DB1AEE" w:rsidP="00DB1AEE">
            <w:pPr>
              <w:suppressAutoHyphens/>
              <w:autoSpaceDE w:val="0"/>
              <w:autoSpaceDN w:val="0"/>
              <w:adjustRightInd w:val="0"/>
              <w:spacing w:line="160" w:lineRule="atLeast"/>
              <w:jc w:val="center"/>
              <w:rPr>
                <w:w w:val="0"/>
                <w:szCs w:val="24"/>
                <w:u w:val="single"/>
              </w:rPr>
            </w:pPr>
            <w:r w:rsidRPr="00DB1AEE">
              <w:rPr>
                <w:szCs w:val="24"/>
                <w:u w:val="single"/>
              </w:rPr>
              <w:t>LPD (watts/ft</w:t>
            </w:r>
            <w:r w:rsidRPr="00DB1AEE">
              <w:rPr>
                <w:szCs w:val="24"/>
                <w:u w:val="single"/>
                <w:vertAlign w:val="superscript"/>
              </w:rPr>
              <w:t>2</w:t>
            </w:r>
            <w:r w:rsidRPr="00DB1AEE">
              <w:rPr>
                <w:szCs w:val="24"/>
                <w:u w:val="single"/>
              </w:rPr>
              <w:t>)</w:t>
            </w:r>
          </w:p>
        </w:tc>
      </w:tr>
      <w:tr w:rsidR="00DB1AEE" w:rsidRPr="00DB1AEE" w14:paraId="72E452A1" w14:textId="77777777" w:rsidTr="00FC1832">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523EA01"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rPr>
              <w:t>Parking garage</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DD5171B"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0.</w:t>
            </w:r>
            <w:r w:rsidRPr="00DB1AEE">
              <w:rPr>
                <w:w w:val="0"/>
                <w:szCs w:val="24"/>
                <w:u w:val="single"/>
              </w:rPr>
              <w:t>12</w:t>
            </w:r>
          </w:p>
        </w:tc>
      </w:tr>
      <w:tr w:rsidR="00DB1AEE" w:rsidRPr="00DB1AEE" w14:paraId="7DCAA944" w14:textId="77777777" w:rsidTr="00FC1832">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C42D304"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rPr>
              <w:t>Penitentiary</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AA602EA"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0.65</w:t>
            </w:r>
          </w:p>
        </w:tc>
      </w:tr>
      <w:tr w:rsidR="00DB1AEE" w:rsidRPr="00DB1AEE" w14:paraId="696057AC" w14:textId="77777777" w:rsidTr="00FC1832">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2CC82DF"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rPr>
              <w:t>Performing arts theater</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AC597E0"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0.82</w:t>
            </w:r>
          </w:p>
        </w:tc>
      </w:tr>
      <w:tr w:rsidR="00DB1AEE" w:rsidRPr="00DB1AEE" w14:paraId="0FB391EC" w14:textId="77777777" w:rsidTr="00FC1832">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0103F85"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rPr>
              <w:t>Police station</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A61A994"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0.62</w:t>
            </w:r>
          </w:p>
        </w:tc>
      </w:tr>
      <w:tr w:rsidR="00DB1AEE" w:rsidRPr="00DB1AEE" w14:paraId="7202E17E" w14:textId="77777777" w:rsidTr="00FC1832">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6F1C7A6"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rPr>
              <w:t>Post office</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4851EFF"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0.</w:t>
            </w:r>
            <w:r w:rsidRPr="00DB1AEE">
              <w:rPr>
                <w:w w:val="0"/>
                <w:szCs w:val="24"/>
                <w:u w:val="single"/>
              </w:rPr>
              <w:t>62</w:t>
            </w:r>
          </w:p>
        </w:tc>
      </w:tr>
      <w:tr w:rsidR="00DB1AEE" w:rsidRPr="00DB1AEE" w14:paraId="23E76307" w14:textId="77777777" w:rsidTr="00FC1832">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3919C33"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rPr>
              <w:t>Religious building</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422536E"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0.66</w:t>
            </w:r>
          </w:p>
        </w:tc>
      </w:tr>
      <w:tr w:rsidR="00DB1AEE" w:rsidRPr="00DB1AEE" w14:paraId="6D9E0DED" w14:textId="77777777" w:rsidTr="00FC1832">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ECEC2A1"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rPr>
              <w:t>Retail</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D0D9871"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0.78</w:t>
            </w:r>
          </w:p>
        </w:tc>
      </w:tr>
      <w:tr w:rsidR="00DB1AEE" w:rsidRPr="00DB1AEE" w14:paraId="14BFE356" w14:textId="77777777" w:rsidTr="00FC1832">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38925FF"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rPr>
              <w:t>School/university</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F838CDE"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0.</w:t>
            </w:r>
            <w:r w:rsidRPr="00DB1AEE">
              <w:rPr>
                <w:w w:val="0"/>
                <w:szCs w:val="24"/>
                <w:u w:val="single"/>
              </w:rPr>
              <w:t>67</w:t>
            </w:r>
          </w:p>
        </w:tc>
      </w:tr>
      <w:tr w:rsidR="00DB1AEE" w:rsidRPr="00DB1AEE" w14:paraId="0F88F964" w14:textId="77777777" w:rsidTr="00FC1832">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081270C"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rPr>
              <w:t>Sports arena</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5C3B1CE"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0.73</w:t>
            </w:r>
          </w:p>
        </w:tc>
      </w:tr>
      <w:tr w:rsidR="00DB1AEE" w:rsidRPr="00DB1AEE" w14:paraId="5CFD1EB9" w14:textId="77777777" w:rsidTr="00FC1832">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4D424BB"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rPr>
              <w:t>Town hall</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991E4A4"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0.67</w:t>
            </w:r>
          </w:p>
        </w:tc>
      </w:tr>
      <w:tr w:rsidR="00DB1AEE" w:rsidRPr="00DB1AEE" w14:paraId="7A670CF5" w14:textId="77777777" w:rsidTr="00FC1832">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590936B"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rPr>
              <w:t>Transportation</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6746582"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0.</w:t>
            </w:r>
            <w:r w:rsidRPr="00DB1AEE">
              <w:rPr>
                <w:w w:val="0"/>
                <w:szCs w:val="24"/>
                <w:u w:val="single"/>
              </w:rPr>
              <w:t>51</w:t>
            </w:r>
          </w:p>
        </w:tc>
      </w:tr>
      <w:tr w:rsidR="00DB1AEE" w:rsidRPr="00DB1AEE" w14:paraId="32633454" w14:textId="77777777" w:rsidTr="00FC1832">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E68FFF3"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rPr>
              <w:t>Warehouse</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D2FEB4F"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0.</w:t>
            </w:r>
            <w:r w:rsidRPr="00DB1AEE">
              <w:rPr>
                <w:w w:val="0"/>
                <w:szCs w:val="24"/>
                <w:u w:val="single"/>
              </w:rPr>
              <w:t>41</w:t>
            </w:r>
          </w:p>
        </w:tc>
      </w:tr>
      <w:tr w:rsidR="00DB1AEE" w:rsidRPr="00DB1AEE" w14:paraId="2CE900A3" w14:textId="77777777" w:rsidTr="00FC1832">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2DB5375"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rPr>
              <w:t>Workshop</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31D7A48"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0.</w:t>
            </w:r>
            <w:r w:rsidRPr="00DB1AEE">
              <w:rPr>
                <w:w w:val="0"/>
                <w:szCs w:val="24"/>
                <w:u w:val="single"/>
              </w:rPr>
              <w:t>83</w:t>
            </w:r>
          </w:p>
        </w:tc>
      </w:tr>
    </w:tbl>
    <w:p w14:paraId="01CA36F3" w14:textId="77777777" w:rsidR="00DB1AEE" w:rsidRPr="00DB1AEE" w:rsidRDefault="00DB1AEE" w:rsidP="00DB1AEE">
      <w:pPr>
        <w:suppressAutoHyphens/>
        <w:autoSpaceDE w:val="0"/>
        <w:autoSpaceDN w:val="0"/>
        <w:adjustRightInd w:val="0"/>
        <w:spacing w:before="20" w:line="180" w:lineRule="atLeast"/>
        <w:ind w:left="360" w:hanging="360"/>
        <w:rPr>
          <w:szCs w:val="24"/>
          <w:u w:val="single"/>
        </w:rPr>
      </w:pPr>
      <w:r w:rsidRPr="00DB1AEE">
        <w:rPr>
          <w:szCs w:val="24"/>
          <w:u w:val="single"/>
        </w:rPr>
        <w:t>For SI: 1 watt per square foot = 10.76 w/m</w:t>
      </w:r>
      <w:r w:rsidRPr="00DB1AEE">
        <w:rPr>
          <w:szCs w:val="24"/>
          <w:u w:val="single"/>
          <w:vertAlign w:val="superscript"/>
        </w:rPr>
        <w:t>2</w:t>
      </w:r>
      <w:r w:rsidRPr="00DB1AEE">
        <w:rPr>
          <w:szCs w:val="24"/>
          <w:u w:val="single"/>
        </w:rPr>
        <w:t>.</w:t>
      </w:r>
    </w:p>
    <w:p w14:paraId="45AAB190" w14:textId="77777777" w:rsidR="00DB1AEE" w:rsidRPr="00DB1AEE" w:rsidRDefault="00DB1AEE" w:rsidP="00DB1AEE">
      <w:pPr>
        <w:autoSpaceDE w:val="0"/>
        <w:autoSpaceDN w:val="0"/>
        <w:adjustRightInd w:val="0"/>
        <w:spacing w:line="60" w:lineRule="atLeast"/>
        <w:jc w:val="left"/>
        <w:rPr>
          <w:rFonts w:ascii="Times" w:hAnsi="Times" w:cs="Times"/>
          <w:sz w:val="22"/>
          <w:szCs w:val="22"/>
        </w:rPr>
      </w:pPr>
    </w:p>
    <w:p w14:paraId="406ABE60"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 xml:space="preserve">Table C405.3.2(2) Interior Lighting Power Allowances: Space-By-Space Method.        </w:t>
      </w:r>
    </w:p>
    <w:p w14:paraId="5A164A48" w14:textId="77777777" w:rsidR="00DB1AEE" w:rsidRPr="00DB1AEE" w:rsidRDefault="00DB1AEE" w:rsidP="00DB1AEE">
      <w:pPr>
        <w:widowControl w:val="0"/>
        <w:suppressAutoHyphens/>
        <w:spacing w:before="130" w:after="130"/>
        <w:rPr>
          <w:b/>
          <w:bCs/>
          <w:u w:val="single"/>
        </w:rPr>
      </w:pPr>
      <w:r w:rsidRPr="00DB1AEE">
        <w:rPr>
          <w:rFonts w:eastAsia="MS Mincho"/>
          <w:bCs/>
          <w:szCs w:val="24"/>
          <w:u w:val="single"/>
        </w:rPr>
        <w:t>Table C405.3.2(2)       – Revise Table C405.3.2(2) to read as follows:</w:t>
      </w:r>
    </w:p>
    <w:p w14:paraId="242C8B18" w14:textId="77777777" w:rsidR="00DB1AEE" w:rsidRPr="00DB1AEE" w:rsidRDefault="00DB1AEE" w:rsidP="00DB1AEE">
      <w:pPr>
        <w:keepNext/>
        <w:suppressAutoHyphens/>
        <w:autoSpaceDE w:val="0"/>
        <w:autoSpaceDN w:val="0"/>
        <w:adjustRightInd w:val="0"/>
        <w:spacing w:before="200" w:line="180" w:lineRule="atLeast"/>
        <w:jc w:val="center"/>
        <w:rPr>
          <w:b/>
          <w:bCs/>
          <w:szCs w:val="24"/>
          <w:u w:val="single"/>
        </w:rPr>
      </w:pPr>
      <w:r w:rsidRPr="00DB1AEE">
        <w:rPr>
          <w:b/>
          <w:bCs/>
          <w:szCs w:val="24"/>
          <w:u w:val="single"/>
        </w:rPr>
        <w:t>TABLE C405.3.2(2)</w:t>
      </w:r>
    </w:p>
    <w:p w14:paraId="5BE0D083" w14:textId="77777777" w:rsidR="00DB1AEE" w:rsidRPr="00DB1AEE" w:rsidRDefault="00DB1AEE" w:rsidP="00DB1AEE">
      <w:pPr>
        <w:suppressAutoHyphens/>
        <w:jc w:val="center"/>
        <w:rPr>
          <w:b/>
          <w:szCs w:val="24"/>
          <w:u w:val="single"/>
        </w:rPr>
      </w:pPr>
      <w:r w:rsidRPr="00DB1AEE">
        <w:rPr>
          <w:b/>
          <w:szCs w:val="24"/>
          <w:u w:val="single"/>
        </w:rPr>
        <w:t>INTERIOR LIGHTING POWER ALLOWANCES: SPACE-BY-SPACE METHOD</w:t>
      </w:r>
    </w:p>
    <w:tbl>
      <w:tblPr>
        <w:tblW w:w="9415" w:type="dxa"/>
        <w:jc w:val="right"/>
        <w:tblLayout w:type="fixed"/>
        <w:tblCellMar>
          <w:top w:w="60" w:type="dxa"/>
          <w:left w:w="40" w:type="dxa"/>
          <w:bottom w:w="40" w:type="dxa"/>
          <w:right w:w="40" w:type="dxa"/>
        </w:tblCellMar>
        <w:tblLook w:val="0000" w:firstRow="0" w:lastRow="0" w:firstColumn="0" w:lastColumn="0" w:noHBand="0" w:noVBand="0"/>
      </w:tblPr>
      <w:tblGrid>
        <w:gridCol w:w="6572"/>
        <w:gridCol w:w="2843"/>
      </w:tblGrid>
      <w:tr w:rsidR="00DB1AEE" w:rsidRPr="00DB1AEE" w14:paraId="7CB081F8" w14:textId="77777777" w:rsidTr="00FC1832">
        <w:trPr>
          <w:trHeight w:val="220"/>
          <w:jc w:val="right"/>
        </w:trPr>
        <w:tc>
          <w:tcPr>
            <w:tcW w:w="6562" w:type="dxa"/>
            <w:tcBorders>
              <w:top w:val="single" w:sz="4" w:space="0" w:color="000000"/>
              <w:left w:val="single" w:sz="4" w:space="0" w:color="000000"/>
              <w:bottom w:val="single" w:sz="4" w:space="0" w:color="000000"/>
              <w:right w:val="single" w:sz="4" w:space="0" w:color="000000"/>
            </w:tcBorders>
            <w:tcMar>
              <w:top w:w="60" w:type="dxa"/>
              <w:left w:w="40" w:type="dxa"/>
              <w:bottom w:w="40" w:type="dxa"/>
              <w:right w:w="40" w:type="dxa"/>
            </w:tcMar>
            <w:vAlign w:val="center"/>
          </w:tcPr>
          <w:p w14:paraId="5AAC25A7" w14:textId="77777777" w:rsidR="00DB1AEE" w:rsidRPr="00DB1AEE" w:rsidRDefault="00DB1AEE" w:rsidP="00DB1AEE">
            <w:pPr>
              <w:suppressAutoHyphens/>
              <w:autoSpaceDE w:val="0"/>
              <w:autoSpaceDN w:val="0"/>
              <w:adjustRightInd w:val="0"/>
              <w:spacing w:line="160" w:lineRule="atLeast"/>
              <w:jc w:val="center"/>
              <w:rPr>
                <w:w w:val="0"/>
                <w:szCs w:val="24"/>
                <w:u w:val="single"/>
              </w:rPr>
            </w:pPr>
            <w:r w:rsidRPr="00DB1AEE">
              <w:rPr>
                <w:szCs w:val="24"/>
                <w:u w:val="single"/>
              </w:rPr>
              <w:t>COMMON SPACE TYPES</w:t>
            </w:r>
            <w:r w:rsidRPr="00DB1AEE">
              <w:rPr>
                <w:szCs w:val="24"/>
                <w:u w:val="single"/>
                <w:vertAlign w:val="superscript"/>
              </w:rPr>
              <w:t>a</w:t>
            </w:r>
          </w:p>
        </w:tc>
        <w:tc>
          <w:tcPr>
            <w:tcW w:w="2853" w:type="dxa"/>
            <w:tcBorders>
              <w:top w:val="single" w:sz="4" w:space="0" w:color="000000"/>
              <w:left w:val="single" w:sz="4" w:space="0" w:color="000000"/>
              <w:bottom w:val="single" w:sz="4" w:space="0" w:color="000000"/>
              <w:right w:val="single" w:sz="4" w:space="0" w:color="000000"/>
            </w:tcBorders>
            <w:tcMar>
              <w:top w:w="60" w:type="dxa"/>
              <w:left w:w="40" w:type="dxa"/>
              <w:bottom w:w="40" w:type="dxa"/>
              <w:right w:w="40" w:type="dxa"/>
            </w:tcMar>
            <w:vAlign w:val="center"/>
          </w:tcPr>
          <w:p w14:paraId="192D5F5F" w14:textId="77777777" w:rsidR="00DB1AEE" w:rsidRPr="00DB1AEE" w:rsidRDefault="00DB1AEE" w:rsidP="00DB1AEE">
            <w:pPr>
              <w:suppressAutoHyphens/>
              <w:autoSpaceDE w:val="0"/>
              <w:autoSpaceDN w:val="0"/>
              <w:adjustRightInd w:val="0"/>
              <w:spacing w:line="160" w:lineRule="atLeast"/>
              <w:jc w:val="center"/>
              <w:rPr>
                <w:w w:val="0"/>
                <w:szCs w:val="24"/>
                <w:u w:val="single"/>
              </w:rPr>
            </w:pPr>
            <w:r w:rsidRPr="00DB1AEE">
              <w:rPr>
                <w:szCs w:val="24"/>
                <w:u w:val="single"/>
              </w:rPr>
              <w:t>LPD (watts/ft</w:t>
            </w:r>
            <w:r w:rsidRPr="00DB1AEE">
              <w:rPr>
                <w:b/>
                <w:bCs/>
                <w:strike/>
                <w:w w:val="0"/>
                <w:szCs w:val="24"/>
                <w:u w:val="single"/>
              </w:rPr>
              <w:t>)</w:t>
            </w:r>
            <w:r w:rsidRPr="00DB1AEE">
              <w:rPr>
                <w:szCs w:val="24"/>
                <w:u w:val="single"/>
              </w:rPr>
              <w:t>²)</w:t>
            </w:r>
          </w:p>
        </w:tc>
      </w:tr>
      <w:tr w:rsidR="00DB1AEE" w:rsidRPr="00DB1AEE" w14:paraId="640958CD" w14:textId="77777777" w:rsidTr="00FC1832">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A770BB8"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rPr>
              <w:t>Atrium</w:t>
            </w:r>
          </w:p>
        </w:tc>
      </w:tr>
      <w:tr w:rsidR="00DB1AEE" w:rsidRPr="00DB1AEE" w14:paraId="5C9B1AEB" w14:textId="77777777" w:rsidTr="00FC1832">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5A08AD6" w14:textId="77777777" w:rsidR="00DB1AEE" w:rsidRPr="00DB1AEE" w:rsidRDefault="00DB1AEE" w:rsidP="00DB1AEE">
            <w:pPr>
              <w:suppressAutoHyphens/>
              <w:autoSpaceDE w:val="0"/>
              <w:autoSpaceDN w:val="0"/>
              <w:adjustRightInd w:val="0"/>
              <w:spacing w:before="20" w:after="20" w:line="200" w:lineRule="atLeast"/>
              <w:ind w:left="540" w:hanging="300"/>
              <w:jc w:val="left"/>
              <w:rPr>
                <w:w w:val="0"/>
                <w:szCs w:val="24"/>
                <w:u w:val="single"/>
              </w:rPr>
            </w:pPr>
            <w:r w:rsidRPr="00DB1AEE">
              <w:rPr>
                <w:szCs w:val="24"/>
                <w:u w:val="single"/>
              </w:rPr>
              <w:t>Less than 40 feet in height</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AFB0FD5"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0.41</w:t>
            </w:r>
          </w:p>
        </w:tc>
      </w:tr>
      <w:tr w:rsidR="00DB1AEE" w:rsidRPr="00DB1AEE" w14:paraId="55BA9569" w14:textId="77777777" w:rsidTr="00FC1832">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564A095" w14:textId="77777777" w:rsidR="00DB1AEE" w:rsidRPr="00DB1AEE" w:rsidRDefault="00DB1AEE" w:rsidP="00DB1AEE">
            <w:pPr>
              <w:suppressAutoHyphens/>
              <w:autoSpaceDE w:val="0"/>
              <w:autoSpaceDN w:val="0"/>
              <w:adjustRightInd w:val="0"/>
              <w:spacing w:before="20" w:after="20" w:line="200" w:lineRule="atLeast"/>
              <w:ind w:left="540" w:hanging="300"/>
              <w:jc w:val="left"/>
              <w:rPr>
                <w:w w:val="0"/>
                <w:szCs w:val="24"/>
                <w:u w:val="single"/>
              </w:rPr>
            </w:pPr>
            <w:r w:rsidRPr="00DB1AEE">
              <w:rPr>
                <w:szCs w:val="24"/>
                <w:u w:val="single"/>
              </w:rPr>
              <w:t>Greater than 40 feet in height</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0714D98"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0.51</w:t>
            </w:r>
          </w:p>
        </w:tc>
      </w:tr>
      <w:tr w:rsidR="00DB1AEE" w:rsidRPr="00DB1AEE" w14:paraId="7037F06D" w14:textId="77777777" w:rsidTr="00FC1832">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202CB23"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rPr>
              <w:t>Audience seating area</w:t>
            </w:r>
          </w:p>
        </w:tc>
      </w:tr>
      <w:tr w:rsidR="00DB1AEE" w:rsidRPr="00DB1AEE" w14:paraId="2EF6AE74" w14:textId="77777777" w:rsidTr="00FC1832">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D0F8966" w14:textId="77777777" w:rsidR="00DB1AEE" w:rsidRPr="00DB1AEE" w:rsidRDefault="00DB1AEE" w:rsidP="00DB1AEE">
            <w:pPr>
              <w:suppressAutoHyphens/>
              <w:autoSpaceDE w:val="0"/>
              <w:autoSpaceDN w:val="0"/>
              <w:adjustRightInd w:val="0"/>
              <w:spacing w:before="20" w:after="20" w:line="200" w:lineRule="atLeast"/>
              <w:ind w:left="540" w:hanging="300"/>
              <w:jc w:val="left"/>
              <w:rPr>
                <w:w w:val="0"/>
                <w:szCs w:val="24"/>
                <w:u w:val="single"/>
              </w:rPr>
            </w:pPr>
            <w:r w:rsidRPr="00DB1AEE">
              <w:rPr>
                <w:szCs w:val="24"/>
                <w:u w:val="single"/>
              </w:rPr>
              <w:t>In an auditorium</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816D503"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0</w:t>
            </w:r>
            <w:r w:rsidRPr="00DB1AEE">
              <w:rPr>
                <w:strike/>
                <w:w w:val="0"/>
                <w:szCs w:val="24"/>
                <w:u w:val="single"/>
              </w:rPr>
              <w:t>.</w:t>
            </w:r>
            <w:r w:rsidRPr="00DB1AEE">
              <w:rPr>
                <w:szCs w:val="24"/>
                <w:u w:val="single"/>
              </w:rPr>
              <w:t>57</w:t>
            </w:r>
          </w:p>
        </w:tc>
      </w:tr>
      <w:tr w:rsidR="00DB1AEE" w:rsidRPr="00DB1AEE" w14:paraId="1320C2AC" w14:textId="77777777" w:rsidTr="00FC1832">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88F743A" w14:textId="77777777" w:rsidR="00DB1AEE" w:rsidRPr="00DB1AEE" w:rsidRDefault="00DB1AEE" w:rsidP="00DB1AEE">
            <w:pPr>
              <w:suppressAutoHyphens/>
              <w:autoSpaceDE w:val="0"/>
              <w:autoSpaceDN w:val="0"/>
              <w:adjustRightInd w:val="0"/>
              <w:spacing w:before="20" w:after="20" w:line="200" w:lineRule="atLeast"/>
              <w:ind w:left="540" w:hanging="300"/>
              <w:jc w:val="left"/>
              <w:rPr>
                <w:w w:val="0"/>
                <w:szCs w:val="24"/>
                <w:u w:val="single"/>
              </w:rPr>
            </w:pPr>
            <w:r w:rsidRPr="00DB1AEE">
              <w:rPr>
                <w:szCs w:val="24"/>
                <w:u w:val="single"/>
              </w:rPr>
              <w:t>In a gymnasium</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26AB7FA"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0.23</w:t>
            </w:r>
          </w:p>
        </w:tc>
      </w:tr>
      <w:tr w:rsidR="00DB1AEE" w:rsidRPr="00DB1AEE" w14:paraId="1172A5A6" w14:textId="77777777" w:rsidTr="00FC1832">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AD8F395" w14:textId="77777777" w:rsidR="00DB1AEE" w:rsidRPr="00DB1AEE" w:rsidRDefault="00DB1AEE" w:rsidP="00DB1AEE">
            <w:pPr>
              <w:suppressAutoHyphens/>
              <w:autoSpaceDE w:val="0"/>
              <w:autoSpaceDN w:val="0"/>
              <w:adjustRightInd w:val="0"/>
              <w:spacing w:before="20" w:after="20" w:line="200" w:lineRule="atLeast"/>
              <w:ind w:left="540" w:hanging="300"/>
              <w:jc w:val="left"/>
              <w:rPr>
                <w:w w:val="0"/>
                <w:szCs w:val="24"/>
                <w:u w:val="single"/>
              </w:rPr>
            </w:pPr>
            <w:r w:rsidRPr="00DB1AEE">
              <w:rPr>
                <w:szCs w:val="24"/>
                <w:u w:val="single"/>
              </w:rPr>
              <w:t>In a motion picture theater</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00596B0" w14:textId="77777777" w:rsidR="00DB1AEE" w:rsidRPr="00DB1AEE" w:rsidRDefault="00DB1AEE" w:rsidP="00DB1AEE">
            <w:pPr>
              <w:autoSpaceDE w:val="0"/>
              <w:autoSpaceDN w:val="0"/>
              <w:adjustRightInd w:val="0"/>
              <w:spacing w:before="20" w:after="20" w:line="200" w:lineRule="atLeast"/>
              <w:jc w:val="center"/>
              <w:rPr>
                <w:szCs w:val="24"/>
                <w:u w:val="single"/>
              </w:rPr>
            </w:pPr>
            <w:r w:rsidRPr="00DB1AEE">
              <w:rPr>
                <w:szCs w:val="24"/>
                <w:u w:val="single"/>
              </w:rPr>
              <w:t>0.27</w:t>
            </w:r>
          </w:p>
        </w:tc>
      </w:tr>
      <w:tr w:rsidR="00DB1AEE" w:rsidRPr="00DB1AEE" w14:paraId="7BDF797D" w14:textId="77777777" w:rsidTr="00FC1832">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6497E42" w14:textId="77777777" w:rsidR="00DB1AEE" w:rsidRPr="00DB1AEE" w:rsidRDefault="00DB1AEE" w:rsidP="00DB1AEE">
            <w:pPr>
              <w:suppressAutoHyphens/>
              <w:autoSpaceDE w:val="0"/>
              <w:autoSpaceDN w:val="0"/>
              <w:adjustRightInd w:val="0"/>
              <w:spacing w:before="20" w:after="20" w:line="200" w:lineRule="atLeast"/>
              <w:ind w:left="540" w:hanging="300"/>
              <w:jc w:val="left"/>
              <w:rPr>
                <w:w w:val="0"/>
                <w:szCs w:val="24"/>
                <w:u w:val="single"/>
              </w:rPr>
            </w:pPr>
            <w:r w:rsidRPr="00DB1AEE">
              <w:rPr>
                <w:szCs w:val="24"/>
                <w:u w:val="single"/>
              </w:rPr>
              <w:t>In a penitentiary</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C7DA993" w14:textId="77777777" w:rsidR="00DB1AEE" w:rsidRPr="00DB1AEE" w:rsidRDefault="00DB1AEE" w:rsidP="00DB1AEE">
            <w:pPr>
              <w:autoSpaceDE w:val="0"/>
              <w:autoSpaceDN w:val="0"/>
              <w:adjustRightInd w:val="0"/>
              <w:spacing w:before="20" w:after="20" w:line="200" w:lineRule="atLeast"/>
              <w:jc w:val="center"/>
              <w:rPr>
                <w:strike/>
                <w:w w:val="0"/>
                <w:szCs w:val="24"/>
                <w:u w:val="single"/>
              </w:rPr>
            </w:pPr>
            <w:r w:rsidRPr="00DB1AEE">
              <w:rPr>
                <w:w w:val="0"/>
                <w:szCs w:val="24"/>
                <w:u w:val="single"/>
              </w:rPr>
              <w:t>0.28</w:t>
            </w:r>
          </w:p>
        </w:tc>
      </w:tr>
      <w:tr w:rsidR="00DB1AEE" w:rsidRPr="00DB1AEE" w14:paraId="3BB39F44" w14:textId="77777777" w:rsidTr="00FC1832">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744B1D0" w14:textId="77777777" w:rsidR="00DB1AEE" w:rsidRPr="00DB1AEE" w:rsidRDefault="00DB1AEE" w:rsidP="00DB1AEE">
            <w:pPr>
              <w:suppressAutoHyphens/>
              <w:autoSpaceDE w:val="0"/>
              <w:autoSpaceDN w:val="0"/>
              <w:adjustRightInd w:val="0"/>
              <w:spacing w:before="20" w:after="20" w:line="200" w:lineRule="atLeast"/>
              <w:ind w:left="540" w:hanging="300"/>
              <w:jc w:val="left"/>
              <w:rPr>
                <w:w w:val="0"/>
                <w:szCs w:val="24"/>
                <w:u w:val="single"/>
              </w:rPr>
            </w:pPr>
            <w:r w:rsidRPr="00DB1AEE">
              <w:rPr>
                <w:szCs w:val="24"/>
                <w:u w:val="single"/>
              </w:rPr>
              <w:t>In a performing arts theater</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16646B7"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1.09</w:t>
            </w:r>
          </w:p>
        </w:tc>
      </w:tr>
      <w:tr w:rsidR="00DB1AEE" w:rsidRPr="00DB1AEE" w14:paraId="3E61C83A" w14:textId="77777777" w:rsidTr="00FC1832">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4F1C3CC" w14:textId="77777777" w:rsidR="00DB1AEE" w:rsidRPr="00DB1AEE" w:rsidRDefault="00DB1AEE" w:rsidP="00DB1AEE">
            <w:pPr>
              <w:suppressAutoHyphens/>
              <w:autoSpaceDE w:val="0"/>
              <w:autoSpaceDN w:val="0"/>
              <w:adjustRightInd w:val="0"/>
              <w:spacing w:before="20" w:after="20" w:line="200" w:lineRule="atLeast"/>
              <w:ind w:left="540" w:hanging="300"/>
              <w:jc w:val="left"/>
              <w:rPr>
                <w:w w:val="0"/>
                <w:szCs w:val="24"/>
                <w:u w:val="single"/>
              </w:rPr>
            </w:pPr>
            <w:r w:rsidRPr="00DB1AEE">
              <w:rPr>
                <w:szCs w:val="24"/>
                <w:u w:val="single"/>
              </w:rPr>
              <w:t>In a religious building</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9F16FFA"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0.72</w:t>
            </w:r>
          </w:p>
        </w:tc>
      </w:tr>
      <w:tr w:rsidR="00DB1AEE" w:rsidRPr="00DB1AEE" w14:paraId="5DFBC2BD" w14:textId="77777777" w:rsidTr="00FC1832">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84B1D08" w14:textId="77777777" w:rsidR="00DB1AEE" w:rsidRPr="00DB1AEE" w:rsidRDefault="00DB1AEE" w:rsidP="00DB1AEE">
            <w:pPr>
              <w:suppressAutoHyphens/>
              <w:autoSpaceDE w:val="0"/>
              <w:autoSpaceDN w:val="0"/>
              <w:adjustRightInd w:val="0"/>
              <w:spacing w:before="20" w:after="20" w:line="200" w:lineRule="atLeast"/>
              <w:ind w:left="540" w:hanging="300"/>
              <w:jc w:val="left"/>
              <w:rPr>
                <w:w w:val="0"/>
                <w:szCs w:val="24"/>
                <w:u w:val="single"/>
              </w:rPr>
            </w:pPr>
            <w:r w:rsidRPr="00DB1AEE">
              <w:rPr>
                <w:szCs w:val="24"/>
                <w:u w:val="single"/>
              </w:rPr>
              <w:t>In a sports arena</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4A58C15"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0. 27</w:t>
            </w:r>
          </w:p>
        </w:tc>
      </w:tr>
      <w:tr w:rsidR="00DB1AEE" w:rsidRPr="00DB1AEE" w14:paraId="3316E208" w14:textId="77777777" w:rsidTr="00FC1832">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E6AC6F2" w14:textId="77777777" w:rsidR="00DB1AEE" w:rsidRPr="00DB1AEE" w:rsidRDefault="00DB1AEE" w:rsidP="00DB1AEE">
            <w:pPr>
              <w:suppressAutoHyphens/>
              <w:autoSpaceDE w:val="0"/>
              <w:autoSpaceDN w:val="0"/>
              <w:adjustRightInd w:val="0"/>
              <w:spacing w:before="20" w:after="20" w:line="200" w:lineRule="atLeast"/>
              <w:ind w:left="540" w:hanging="300"/>
              <w:jc w:val="left"/>
              <w:rPr>
                <w:w w:val="0"/>
                <w:szCs w:val="24"/>
                <w:u w:val="single"/>
              </w:rPr>
            </w:pPr>
            <w:r w:rsidRPr="00DB1AEE">
              <w:rPr>
                <w:szCs w:val="24"/>
                <w:u w:val="single"/>
              </w:rPr>
              <w:t>Otherwise</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15EF62E"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0.33</w:t>
            </w:r>
          </w:p>
        </w:tc>
      </w:tr>
      <w:tr w:rsidR="00DB1AEE" w:rsidRPr="00DB1AEE" w14:paraId="7A0E8024" w14:textId="77777777" w:rsidTr="00FC1832">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FEA23E7"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rPr>
              <w:t>Banking activity area</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4700F7A"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0.56</w:t>
            </w:r>
          </w:p>
        </w:tc>
      </w:tr>
      <w:tr w:rsidR="00DB1AEE" w:rsidRPr="00DB1AEE" w14:paraId="31D6E8C6" w14:textId="77777777" w:rsidTr="00FC1832">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956CBD8"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rPr>
              <w:t>Breakroom (See Lounge/breakroom)</w:t>
            </w:r>
          </w:p>
        </w:tc>
      </w:tr>
      <w:tr w:rsidR="00DB1AEE" w:rsidRPr="00DB1AEE" w14:paraId="29C6CE1D" w14:textId="77777777" w:rsidTr="00FC1832">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CACBC76"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rPr>
              <w:t>Classroom/lecture hall/training room</w:t>
            </w:r>
          </w:p>
        </w:tc>
      </w:tr>
      <w:tr w:rsidR="00DB1AEE" w:rsidRPr="00DB1AEE" w14:paraId="2830394B" w14:textId="77777777" w:rsidTr="00FC1832">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ADE00CE" w14:textId="77777777" w:rsidR="00DB1AEE" w:rsidRPr="00DB1AEE" w:rsidRDefault="00DB1AEE" w:rsidP="00DB1AEE">
            <w:pPr>
              <w:suppressAutoHyphens/>
              <w:autoSpaceDE w:val="0"/>
              <w:autoSpaceDN w:val="0"/>
              <w:adjustRightInd w:val="0"/>
              <w:spacing w:before="20" w:after="20" w:line="200" w:lineRule="atLeast"/>
              <w:ind w:left="540" w:hanging="300"/>
              <w:jc w:val="left"/>
              <w:rPr>
                <w:w w:val="0"/>
                <w:szCs w:val="24"/>
                <w:u w:val="single"/>
              </w:rPr>
            </w:pPr>
            <w:r w:rsidRPr="00DB1AEE">
              <w:rPr>
                <w:szCs w:val="24"/>
                <w:u w:val="single"/>
              </w:rPr>
              <w:t>In a penitentiary</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1D1C99C"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0.74</w:t>
            </w:r>
          </w:p>
        </w:tc>
      </w:tr>
      <w:tr w:rsidR="00DB1AEE" w:rsidRPr="00DB1AEE" w14:paraId="3BF7D054" w14:textId="77777777" w:rsidTr="00FC1832">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D12C0FF" w14:textId="77777777" w:rsidR="00DB1AEE" w:rsidRPr="00DB1AEE" w:rsidRDefault="00DB1AEE" w:rsidP="00DB1AEE">
            <w:pPr>
              <w:suppressAutoHyphens/>
              <w:autoSpaceDE w:val="0"/>
              <w:autoSpaceDN w:val="0"/>
              <w:adjustRightInd w:val="0"/>
              <w:spacing w:before="20" w:after="20" w:line="200" w:lineRule="atLeast"/>
              <w:ind w:left="540" w:hanging="300"/>
              <w:jc w:val="left"/>
              <w:rPr>
                <w:w w:val="0"/>
                <w:szCs w:val="24"/>
                <w:u w:val="single"/>
              </w:rPr>
            </w:pPr>
            <w:r w:rsidRPr="00DB1AEE">
              <w:rPr>
                <w:szCs w:val="24"/>
                <w:u w:val="single"/>
              </w:rPr>
              <w:t>Otherwise</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382CCCE"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0.72</w:t>
            </w:r>
          </w:p>
        </w:tc>
      </w:tr>
      <w:tr w:rsidR="00DB1AEE" w:rsidRPr="00DB1AEE" w14:paraId="47785F38" w14:textId="77777777" w:rsidTr="00FC1832">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D000A06"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rPr>
              <w:t>Computer room, data center</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58D440B"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0.75</w:t>
            </w:r>
          </w:p>
        </w:tc>
      </w:tr>
      <w:tr w:rsidR="00DB1AEE" w:rsidRPr="00DB1AEE" w14:paraId="378DA81D" w14:textId="77777777" w:rsidTr="00FC1832">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FE9BFAE"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rPr>
              <w:t>Conference/meeting/multipurpose room</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56B7C54"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0.88</w:t>
            </w:r>
          </w:p>
        </w:tc>
      </w:tr>
      <w:tr w:rsidR="00DB1AEE" w:rsidRPr="00DB1AEE" w14:paraId="2C7621AF" w14:textId="77777777" w:rsidTr="00FC1832">
        <w:tblPrEx>
          <w:jc w:val="lef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Look w:val="01E0" w:firstRow="1" w:lastRow="1" w:firstColumn="1" w:lastColumn="1" w:noHBand="0" w:noVBand="0"/>
        </w:tblPrEx>
        <w:trPr>
          <w:trHeight w:val="203"/>
        </w:trPr>
        <w:tc>
          <w:tcPr>
            <w:tcW w:w="6562" w:type="dxa"/>
            <w:tcBorders>
              <w:top w:val="single" w:sz="6" w:space="0" w:color="000000"/>
              <w:left w:val="single" w:sz="6" w:space="0" w:color="000000"/>
              <w:bottom w:val="single" w:sz="6" w:space="0" w:color="000000"/>
              <w:right w:val="single" w:sz="6" w:space="0" w:color="000000"/>
            </w:tcBorders>
          </w:tcPr>
          <w:p w14:paraId="50773547" w14:textId="77777777" w:rsidR="00DB1AEE" w:rsidRPr="00DB1AEE" w:rsidRDefault="00DB1AEE" w:rsidP="00DB1AEE">
            <w:pPr>
              <w:widowControl w:val="0"/>
              <w:autoSpaceDE w:val="0"/>
              <w:autoSpaceDN w:val="0"/>
              <w:ind w:left="101"/>
              <w:jc w:val="left"/>
              <w:rPr>
                <w:szCs w:val="24"/>
                <w:u w:val="single"/>
              </w:rPr>
            </w:pPr>
            <w:r w:rsidRPr="00DB1AEE">
              <w:rPr>
                <w:szCs w:val="24"/>
                <w:u w:val="single"/>
              </w:rPr>
              <w:t>Confinement</w:t>
            </w:r>
            <w:r w:rsidRPr="00DB1AEE">
              <w:rPr>
                <w:spacing w:val="-3"/>
                <w:szCs w:val="24"/>
                <w:u w:val="single"/>
              </w:rPr>
              <w:t xml:space="preserve"> </w:t>
            </w:r>
            <w:r w:rsidRPr="00DB1AEE">
              <w:rPr>
                <w:szCs w:val="24"/>
                <w:u w:val="single"/>
              </w:rPr>
              <w:t>cells</w:t>
            </w:r>
          </w:p>
        </w:tc>
        <w:tc>
          <w:tcPr>
            <w:tcW w:w="2853" w:type="dxa"/>
            <w:tcBorders>
              <w:top w:val="single" w:sz="6" w:space="0" w:color="000000"/>
              <w:left w:val="single" w:sz="6" w:space="0" w:color="000000"/>
              <w:bottom w:val="single" w:sz="6" w:space="0" w:color="000000"/>
              <w:right w:val="single" w:sz="6" w:space="0" w:color="000000"/>
            </w:tcBorders>
          </w:tcPr>
          <w:p w14:paraId="0843CF58" w14:textId="77777777" w:rsidR="00DB1AEE" w:rsidRPr="00DB1AEE" w:rsidRDefault="00DB1AEE" w:rsidP="00DB1AEE">
            <w:pPr>
              <w:widowControl w:val="0"/>
              <w:autoSpaceDE w:val="0"/>
              <w:autoSpaceDN w:val="0"/>
              <w:ind w:left="950" w:right="936"/>
              <w:jc w:val="center"/>
              <w:rPr>
                <w:szCs w:val="24"/>
                <w:u w:val="single"/>
              </w:rPr>
            </w:pPr>
            <w:r w:rsidRPr="00DB1AEE">
              <w:rPr>
                <w:szCs w:val="24"/>
                <w:u w:val="single"/>
              </w:rPr>
              <w:t>0.52</w:t>
            </w:r>
          </w:p>
        </w:tc>
      </w:tr>
      <w:tr w:rsidR="00DB1AEE" w:rsidRPr="00DB1AEE" w14:paraId="66BC8539" w14:textId="77777777" w:rsidTr="00FC1832">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AF711B0" w14:textId="77777777" w:rsidR="00DB1AEE" w:rsidRPr="00DB1AEE" w:rsidRDefault="00DB1AEE" w:rsidP="00DB1AEE">
            <w:pPr>
              <w:autoSpaceDE w:val="0"/>
              <w:autoSpaceDN w:val="0"/>
              <w:adjustRightInd w:val="0"/>
              <w:spacing w:before="20" w:after="20" w:line="200" w:lineRule="atLeast"/>
              <w:jc w:val="left"/>
              <w:rPr>
                <w:szCs w:val="24"/>
                <w:u w:val="single"/>
              </w:rPr>
            </w:pPr>
            <w:r w:rsidRPr="00DB1AEE">
              <w:rPr>
                <w:szCs w:val="24"/>
                <w:u w:val="single"/>
              </w:rPr>
              <w:t>Copy/print room</w:t>
            </w:r>
          </w:p>
          <w:p w14:paraId="036E61FC" w14:textId="77777777" w:rsidR="00DB1AEE" w:rsidRPr="00DB1AEE" w:rsidRDefault="00DB1AEE" w:rsidP="00DB1AEE">
            <w:pPr>
              <w:autoSpaceDE w:val="0"/>
              <w:autoSpaceDN w:val="0"/>
              <w:adjustRightInd w:val="0"/>
              <w:spacing w:before="20" w:after="20" w:line="200" w:lineRule="atLeast"/>
              <w:jc w:val="left"/>
              <w:rPr>
                <w:szCs w:val="24"/>
                <w:u w:val="single"/>
              </w:rPr>
            </w:pPr>
          </w:p>
          <w:p w14:paraId="3CB1BA3E" w14:textId="77777777" w:rsidR="00DB1AEE" w:rsidRPr="00DB1AEE" w:rsidRDefault="00DB1AEE" w:rsidP="00DB1AEE">
            <w:pPr>
              <w:autoSpaceDE w:val="0"/>
              <w:autoSpaceDN w:val="0"/>
              <w:adjustRightInd w:val="0"/>
              <w:spacing w:before="20" w:after="20" w:line="200" w:lineRule="atLeast"/>
              <w:jc w:val="left"/>
              <w:rPr>
                <w:szCs w:val="24"/>
                <w:u w:val="single"/>
              </w:rPr>
            </w:pPr>
          </w:p>
          <w:p w14:paraId="0942B11F" w14:textId="77777777" w:rsidR="00DB1AEE" w:rsidRPr="00DB1AEE" w:rsidRDefault="00DB1AEE" w:rsidP="00DB1AEE">
            <w:pPr>
              <w:autoSpaceDE w:val="0"/>
              <w:autoSpaceDN w:val="0"/>
              <w:adjustRightInd w:val="0"/>
              <w:spacing w:before="20" w:after="20" w:line="200" w:lineRule="atLeast"/>
              <w:jc w:val="left"/>
              <w:rPr>
                <w:szCs w:val="24"/>
                <w:u w:val="single"/>
              </w:rPr>
            </w:pPr>
          </w:p>
          <w:p w14:paraId="5E91A882" w14:textId="77777777" w:rsidR="00DB1AEE" w:rsidRPr="00DB1AEE" w:rsidRDefault="00DB1AEE" w:rsidP="00DB1AEE">
            <w:pPr>
              <w:autoSpaceDE w:val="0"/>
              <w:autoSpaceDN w:val="0"/>
              <w:adjustRightInd w:val="0"/>
              <w:spacing w:before="20" w:after="20" w:line="200" w:lineRule="atLeast"/>
              <w:jc w:val="left"/>
              <w:rPr>
                <w:w w:val="0"/>
                <w:szCs w:val="24"/>
                <w:u w:val="single"/>
              </w:rPr>
            </w:pP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4FA708D" w14:textId="77777777" w:rsidR="00DB1AEE" w:rsidRPr="00DB1AEE" w:rsidRDefault="00DB1AEE" w:rsidP="00DB1AEE">
            <w:pPr>
              <w:autoSpaceDE w:val="0"/>
              <w:autoSpaceDN w:val="0"/>
              <w:adjustRightInd w:val="0"/>
              <w:spacing w:before="20" w:after="20" w:line="200" w:lineRule="atLeast"/>
              <w:jc w:val="center"/>
              <w:rPr>
                <w:strike/>
                <w:w w:val="0"/>
                <w:szCs w:val="24"/>
                <w:u w:val="single"/>
              </w:rPr>
            </w:pPr>
            <w:r w:rsidRPr="00DB1AEE">
              <w:rPr>
                <w:w w:val="0"/>
                <w:szCs w:val="24"/>
                <w:u w:val="single"/>
              </w:rPr>
              <w:t>0.50</w:t>
            </w:r>
          </w:p>
        </w:tc>
      </w:tr>
      <w:tr w:rsidR="00DB1AEE" w:rsidRPr="00DB1AEE" w14:paraId="324AC9A7" w14:textId="77777777" w:rsidTr="00FC1832">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94FB7CB"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rPr>
              <w:t>Corridor</w:t>
            </w:r>
          </w:p>
        </w:tc>
      </w:tr>
      <w:tr w:rsidR="00DB1AEE" w:rsidRPr="00DB1AEE" w14:paraId="0ACC1738" w14:textId="77777777" w:rsidTr="00FC1832">
        <w:trPr>
          <w:trHeight w:val="4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A26DC83" w14:textId="77777777" w:rsidR="00DB1AEE" w:rsidRPr="00DB1AEE" w:rsidRDefault="00DB1AEE" w:rsidP="00DB1AEE">
            <w:pPr>
              <w:suppressAutoHyphens/>
              <w:autoSpaceDE w:val="0"/>
              <w:autoSpaceDN w:val="0"/>
              <w:adjustRightInd w:val="0"/>
              <w:spacing w:before="20" w:after="20" w:line="200" w:lineRule="atLeast"/>
              <w:ind w:left="300" w:hanging="300"/>
              <w:jc w:val="left"/>
              <w:rPr>
                <w:w w:val="0"/>
                <w:szCs w:val="24"/>
                <w:u w:val="single"/>
              </w:rPr>
            </w:pPr>
            <w:r w:rsidRPr="00DB1AEE">
              <w:rPr>
                <w:szCs w:val="24"/>
                <w:u w:val="single"/>
              </w:rPr>
              <w:tab/>
              <w:t>In a facility for the visually impaired (and not used primarily by the staff)</w:t>
            </w:r>
            <w:r w:rsidRPr="00DB1AEE">
              <w:rPr>
                <w:szCs w:val="24"/>
                <w:u w:val="single"/>
                <w:vertAlign w:val="superscript"/>
              </w:rPr>
              <w:t>b</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FE68D6B"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 xml:space="preserve"> 0.71</w:t>
            </w:r>
          </w:p>
        </w:tc>
      </w:tr>
      <w:tr w:rsidR="00DB1AEE" w:rsidRPr="00DB1AEE" w14:paraId="1AEF29FE" w14:textId="77777777" w:rsidTr="00FC1832">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2A36E8C" w14:textId="77777777" w:rsidR="00DB1AEE" w:rsidRPr="00DB1AEE" w:rsidRDefault="00DB1AEE" w:rsidP="00DB1AEE">
            <w:pPr>
              <w:suppressAutoHyphens/>
              <w:autoSpaceDE w:val="0"/>
              <w:autoSpaceDN w:val="0"/>
              <w:adjustRightInd w:val="0"/>
              <w:spacing w:before="20" w:after="20" w:line="200" w:lineRule="atLeast"/>
              <w:ind w:left="540" w:hanging="300"/>
              <w:jc w:val="left"/>
              <w:rPr>
                <w:w w:val="0"/>
                <w:szCs w:val="24"/>
                <w:u w:val="single"/>
              </w:rPr>
            </w:pPr>
            <w:r w:rsidRPr="00DB1AEE">
              <w:rPr>
                <w:szCs w:val="24"/>
                <w:u w:val="single"/>
              </w:rPr>
              <w:t>In a hospital</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2D4DB55"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0.61</w:t>
            </w:r>
          </w:p>
        </w:tc>
      </w:tr>
      <w:tr w:rsidR="00DB1AEE" w:rsidRPr="00DB1AEE" w14:paraId="24F693C1" w14:textId="77777777" w:rsidTr="00FC1832">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42AAE24" w14:textId="77777777" w:rsidR="00DB1AEE" w:rsidRPr="00DB1AEE" w:rsidRDefault="00DB1AEE" w:rsidP="00DB1AEE">
            <w:pPr>
              <w:suppressAutoHyphens/>
              <w:autoSpaceDE w:val="0"/>
              <w:autoSpaceDN w:val="0"/>
              <w:adjustRightInd w:val="0"/>
              <w:spacing w:before="20" w:after="20" w:line="200" w:lineRule="atLeast"/>
              <w:ind w:left="540" w:hanging="300"/>
              <w:jc w:val="left"/>
              <w:rPr>
                <w:w w:val="0"/>
                <w:szCs w:val="24"/>
                <w:u w:val="single"/>
              </w:rPr>
            </w:pPr>
            <w:r w:rsidRPr="00DB1AEE">
              <w:rPr>
                <w:szCs w:val="24"/>
                <w:u w:val="single"/>
              </w:rPr>
              <w:t>Otherwise</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467961C"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0.44</w:t>
            </w:r>
          </w:p>
        </w:tc>
      </w:tr>
      <w:tr w:rsidR="00DB1AEE" w:rsidRPr="00DB1AEE" w14:paraId="3C0A0005" w14:textId="77777777" w:rsidTr="00FC1832">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28F15F4"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rPr>
              <w:t>Courtroom</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649E603" w14:textId="77777777" w:rsidR="00DB1AEE" w:rsidRPr="00DB1AEE" w:rsidRDefault="00DB1AEE" w:rsidP="00DB1AEE">
            <w:pPr>
              <w:autoSpaceDE w:val="0"/>
              <w:autoSpaceDN w:val="0"/>
              <w:adjustRightInd w:val="0"/>
              <w:spacing w:before="20" w:after="20" w:line="200" w:lineRule="atLeast"/>
              <w:jc w:val="center"/>
              <w:rPr>
                <w:strike/>
                <w:w w:val="0"/>
                <w:szCs w:val="24"/>
                <w:u w:val="single"/>
              </w:rPr>
            </w:pPr>
            <w:r w:rsidRPr="00DB1AEE">
              <w:rPr>
                <w:szCs w:val="24"/>
                <w:u w:val="single"/>
              </w:rPr>
              <w:t xml:space="preserve"> </w:t>
            </w:r>
            <w:r w:rsidRPr="00DB1AEE">
              <w:rPr>
                <w:w w:val="0"/>
                <w:szCs w:val="24"/>
                <w:u w:val="single"/>
              </w:rPr>
              <w:t>1.06</w:t>
            </w:r>
          </w:p>
        </w:tc>
      </w:tr>
      <w:tr w:rsidR="00DB1AEE" w:rsidRPr="00DB1AEE" w14:paraId="77EBE79E" w14:textId="77777777" w:rsidTr="00FC1832">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6AF8E1D"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rPr>
              <w:t>Dining area</w:t>
            </w:r>
          </w:p>
        </w:tc>
      </w:tr>
      <w:tr w:rsidR="00DB1AEE" w:rsidRPr="00DB1AEE" w14:paraId="68C4A9E6" w14:textId="77777777" w:rsidTr="00FC1832">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021869F" w14:textId="77777777" w:rsidR="00DB1AEE" w:rsidRPr="00DB1AEE" w:rsidRDefault="00DB1AEE" w:rsidP="00DB1AEE">
            <w:pPr>
              <w:suppressAutoHyphens/>
              <w:autoSpaceDE w:val="0"/>
              <w:autoSpaceDN w:val="0"/>
              <w:adjustRightInd w:val="0"/>
              <w:spacing w:before="20" w:after="20" w:line="200" w:lineRule="atLeast"/>
              <w:ind w:left="540" w:hanging="300"/>
              <w:jc w:val="left"/>
              <w:rPr>
                <w:w w:val="0"/>
                <w:szCs w:val="24"/>
                <w:u w:val="single"/>
              </w:rPr>
            </w:pPr>
            <w:r w:rsidRPr="00DB1AEE">
              <w:rPr>
                <w:szCs w:val="24"/>
                <w:u w:val="single"/>
              </w:rPr>
              <w:t>In bar/lounge or leisure dining</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1363CBC" w14:textId="77777777" w:rsidR="00DB1AEE" w:rsidRPr="00DB1AEE" w:rsidRDefault="00DB1AEE" w:rsidP="00DB1AEE">
            <w:pPr>
              <w:autoSpaceDE w:val="0"/>
              <w:autoSpaceDN w:val="0"/>
              <w:adjustRightInd w:val="0"/>
              <w:spacing w:before="20" w:after="20" w:line="200" w:lineRule="atLeast"/>
              <w:jc w:val="center"/>
              <w:rPr>
                <w:strike/>
                <w:w w:val="0"/>
                <w:szCs w:val="24"/>
                <w:u w:val="single"/>
              </w:rPr>
            </w:pPr>
            <w:r w:rsidRPr="00DB1AEE">
              <w:rPr>
                <w:szCs w:val="24"/>
                <w:u w:val="single"/>
              </w:rPr>
              <w:t xml:space="preserve"> </w:t>
            </w:r>
            <w:r w:rsidRPr="00DB1AEE">
              <w:rPr>
                <w:w w:val="0"/>
                <w:szCs w:val="24"/>
                <w:u w:val="single"/>
              </w:rPr>
              <w:t>0.62</w:t>
            </w:r>
          </w:p>
        </w:tc>
      </w:tr>
      <w:tr w:rsidR="00DB1AEE" w:rsidRPr="00DB1AEE" w14:paraId="11F57167" w14:textId="77777777" w:rsidTr="00FC1832">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BB6BFD5" w14:textId="77777777" w:rsidR="00DB1AEE" w:rsidRPr="00DB1AEE" w:rsidRDefault="00DB1AEE" w:rsidP="00DB1AEE">
            <w:pPr>
              <w:suppressAutoHyphens/>
              <w:autoSpaceDE w:val="0"/>
              <w:autoSpaceDN w:val="0"/>
              <w:adjustRightInd w:val="0"/>
              <w:spacing w:before="20" w:after="20" w:line="200" w:lineRule="atLeast"/>
              <w:ind w:left="540" w:hanging="300"/>
              <w:jc w:val="left"/>
              <w:rPr>
                <w:w w:val="0"/>
                <w:szCs w:val="24"/>
                <w:u w:val="single"/>
              </w:rPr>
            </w:pPr>
            <w:r w:rsidRPr="00DB1AEE">
              <w:rPr>
                <w:szCs w:val="24"/>
                <w:u w:val="single"/>
              </w:rPr>
              <w:t>In cafeteria or fast food dining</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CEA4212"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0.36</w:t>
            </w:r>
          </w:p>
        </w:tc>
      </w:tr>
      <w:tr w:rsidR="00DB1AEE" w:rsidRPr="00DB1AEE" w14:paraId="336FEAB9" w14:textId="77777777" w:rsidTr="00FC1832">
        <w:trPr>
          <w:trHeight w:val="4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00C2D20" w14:textId="77777777" w:rsidR="00DB1AEE" w:rsidRPr="00DB1AEE" w:rsidRDefault="00DB1AEE" w:rsidP="00DB1AEE">
            <w:pPr>
              <w:suppressAutoHyphens/>
              <w:autoSpaceDE w:val="0"/>
              <w:autoSpaceDN w:val="0"/>
              <w:adjustRightInd w:val="0"/>
              <w:spacing w:before="20" w:after="20" w:line="200" w:lineRule="atLeast"/>
              <w:ind w:left="300" w:hanging="300"/>
              <w:jc w:val="left"/>
              <w:rPr>
                <w:w w:val="0"/>
                <w:szCs w:val="24"/>
                <w:u w:val="single"/>
              </w:rPr>
            </w:pPr>
            <w:r w:rsidRPr="00DB1AEE">
              <w:rPr>
                <w:szCs w:val="24"/>
                <w:u w:val="single"/>
              </w:rPr>
              <w:tab/>
              <w:t>In a facility for the visually impaired (and not used primarily by the staff)</w:t>
            </w:r>
            <w:r w:rsidRPr="00DB1AEE">
              <w:rPr>
                <w:szCs w:val="24"/>
                <w:u w:val="single"/>
                <w:vertAlign w:val="superscript"/>
              </w:rPr>
              <w:t>b</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E2BDAA6"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1.22</w:t>
            </w:r>
          </w:p>
        </w:tc>
      </w:tr>
      <w:tr w:rsidR="00DB1AEE" w:rsidRPr="00DB1AEE" w14:paraId="67AECC78" w14:textId="77777777" w:rsidTr="00FC1832">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78C7B91" w14:textId="77777777" w:rsidR="00DB1AEE" w:rsidRPr="00DB1AEE" w:rsidRDefault="00DB1AEE" w:rsidP="00DB1AEE">
            <w:pPr>
              <w:suppressAutoHyphens/>
              <w:autoSpaceDE w:val="0"/>
              <w:autoSpaceDN w:val="0"/>
              <w:adjustRightInd w:val="0"/>
              <w:spacing w:before="20" w:after="20" w:line="200" w:lineRule="atLeast"/>
              <w:ind w:left="540" w:hanging="300"/>
              <w:jc w:val="left"/>
              <w:rPr>
                <w:w w:val="0"/>
                <w:szCs w:val="24"/>
                <w:u w:val="single"/>
              </w:rPr>
            </w:pPr>
            <w:r w:rsidRPr="00DB1AEE">
              <w:rPr>
                <w:szCs w:val="24"/>
                <w:u w:val="single"/>
              </w:rPr>
              <w:t>In family dining</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36D6B01"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0.52</w:t>
            </w:r>
          </w:p>
        </w:tc>
      </w:tr>
      <w:tr w:rsidR="00DB1AEE" w:rsidRPr="00DB1AEE" w14:paraId="2A4DE4ED" w14:textId="77777777" w:rsidTr="00FC1832">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7E6FFE5" w14:textId="77777777" w:rsidR="00DB1AEE" w:rsidRPr="00DB1AEE" w:rsidRDefault="00DB1AEE" w:rsidP="00DB1AEE">
            <w:pPr>
              <w:suppressAutoHyphens/>
              <w:autoSpaceDE w:val="0"/>
              <w:autoSpaceDN w:val="0"/>
              <w:adjustRightInd w:val="0"/>
              <w:spacing w:before="20" w:after="20" w:line="200" w:lineRule="atLeast"/>
              <w:ind w:left="540" w:hanging="300"/>
              <w:jc w:val="left"/>
              <w:rPr>
                <w:w w:val="0"/>
                <w:szCs w:val="24"/>
                <w:u w:val="single"/>
              </w:rPr>
            </w:pPr>
            <w:r w:rsidRPr="00DB1AEE">
              <w:rPr>
                <w:szCs w:val="24"/>
                <w:u w:val="single"/>
              </w:rPr>
              <w:t>In a penitentiary</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3F3C80A"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0.35</w:t>
            </w:r>
          </w:p>
        </w:tc>
      </w:tr>
      <w:tr w:rsidR="00DB1AEE" w:rsidRPr="00DB1AEE" w14:paraId="15016DB6" w14:textId="77777777" w:rsidTr="00FC1832">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95421E8" w14:textId="77777777" w:rsidR="00DB1AEE" w:rsidRPr="00DB1AEE" w:rsidRDefault="00DB1AEE" w:rsidP="00DB1AEE">
            <w:pPr>
              <w:suppressAutoHyphens/>
              <w:autoSpaceDE w:val="0"/>
              <w:autoSpaceDN w:val="0"/>
              <w:adjustRightInd w:val="0"/>
              <w:spacing w:before="20" w:after="20" w:line="200" w:lineRule="atLeast"/>
              <w:ind w:left="540" w:hanging="300"/>
              <w:jc w:val="left"/>
              <w:rPr>
                <w:w w:val="0"/>
                <w:szCs w:val="24"/>
                <w:u w:val="single"/>
              </w:rPr>
            </w:pPr>
            <w:r w:rsidRPr="00DB1AEE">
              <w:rPr>
                <w:szCs w:val="24"/>
                <w:u w:val="single"/>
              </w:rPr>
              <w:t>Otherwise</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BA57188"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0.42</w:t>
            </w:r>
          </w:p>
        </w:tc>
      </w:tr>
      <w:tr w:rsidR="00DB1AEE" w:rsidRPr="00DB1AEE" w14:paraId="1EE4EC42" w14:textId="77777777" w:rsidTr="00FC1832">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2DAA9F8"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rPr>
              <w:t>Electrical/mechanical room</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9B77A8A" w14:textId="77777777" w:rsidR="00DB1AEE" w:rsidRPr="00DB1AEE" w:rsidRDefault="00DB1AEE" w:rsidP="00DB1AEE">
            <w:pPr>
              <w:autoSpaceDE w:val="0"/>
              <w:autoSpaceDN w:val="0"/>
              <w:adjustRightInd w:val="0"/>
              <w:spacing w:before="20" w:after="20" w:line="200" w:lineRule="atLeast"/>
              <w:jc w:val="center"/>
              <w:rPr>
                <w:strike/>
                <w:w w:val="0"/>
                <w:szCs w:val="24"/>
                <w:u w:val="single"/>
              </w:rPr>
            </w:pPr>
            <w:r w:rsidRPr="00DB1AEE">
              <w:rPr>
                <w:w w:val="0"/>
                <w:szCs w:val="24"/>
                <w:u w:val="single"/>
              </w:rPr>
              <w:t>0.39</w:t>
            </w:r>
          </w:p>
        </w:tc>
      </w:tr>
      <w:tr w:rsidR="00DB1AEE" w:rsidRPr="00DB1AEE" w14:paraId="33E776F1" w14:textId="77777777" w:rsidTr="00FC1832">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F485793"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rPr>
              <w:t>Emergency vehicle garage</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55473B4" w14:textId="77777777" w:rsidR="00DB1AEE" w:rsidRPr="00DB1AEE" w:rsidRDefault="00DB1AEE" w:rsidP="00DB1AEE">
            <w:pPr>
              <w:autoSpaceDE w:val="0"/>
              <w:autoSpaceDN w:val="0"/>
              <w:adjustRightInd w:val="0"/>
              <w:spacing w:before="20" w:after="20" w:line="200" w:lineRule="atLeast"/>
              <w:jc w:val="center"/>
              <w:rPr>
                <w:strike/>
                <w:w w:val="0"/>
                <w:szCs w:val="24"/>
                <w:u w:val="single"/>
              </w:rPr>
            </w:pPr>
            <w:r w:rsidRPr="00DB1AEE">
              <w:rPr>
                <w:w w:val="0"/>
                <w:szCs w:val="24"/>
                <w:u w:val="single"/>
              </w:rPr>
              <w:t xml:space="preserve"> 0.41</w:t>
            </w:r>
          </w:p>
        </w:tc>
      </w:tr>
      <w:tr w:rsidR="00DB1AEE" w:rsidRPr="00DB1AEE" w14:paraId="1B6AC741" w14:textId="77777777" w:rsidTr="00FC1832">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1CAB804"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rPr>
              <w:t>Food preparation area</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90261B2" w14:textId="77777777" w:rsidR="00DB1AEE" w:rsidRPr="00DB1AEE" w:rsidRDefault="00DB1AEE" w:rsidP="00DB1AEE">
            <w:pPr>
              <w:autoSpaceDE w:val="0"/>
              <w:autoSpaceDN w:val="0"/>
              <w:adjustRightInd w:val="0"/>
              <w:spacing w:before="20" w:after="20" w:line="200" w:lineRule="atLeast"/>
              <w:jc w:val="center"/>
              <w:rPr>
                <w:strike/>
                <w:w w:val="0"/>
                <w:szCs w:val="24"/>
                <w:u w:val="single"/>
              </w:rPr>
            </w:pPr>
            <w:r w:rsidRPr="00DB1AEE">
              <w:rPr>
                <w:w w:val="0"/>
                <w:szCs w:val="24"/>
                <w:u w:val="single"/>
              </w:rPr>
              <w:t>0.92</w:t>
            </w:r>
            <w:r w:rsidRPr="00DB1AEE">
              <w:rPr>
                <w:szCs w:val="24"/>
                <w:u w:val="single"/>
              </w:rPr>
              <w:t xml:space="preserve"> </w:t>
            </w:r>
          </w:p>
        </w:tc>
      </w:tr>
      <w:tr w:rsidR="00DB1AEE" w:rsidRPr="00DB1AEE" w14:paraId="0B30E278" w14:textId="77777777" w:rsidTr="00FC1832">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A6AB711"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rPr>
              <w:t>Guestroom</w:t>
            </w:r>
            <w:r w:rsidRPr="00DB1AEE">
              <w:rPr>
                <w:w w:val="0"/>
                <w:szCs w:val="24"/>
                <w:u w:val="single"/>
                <w:vertAlign w:val="superscript"/>
              </w:rPr>
              <w:t>c, d</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AFDF8B2" w14:textId="77777777" w:rsidR="00DB1AEE" w:rsidRPr="00DB1AEE" w:rsidRDefault="00DB1AEE" w:rsidP="00DB1AEE">
            <w:pPr>
              <w:autoSpaceDE w:val="0"/>
              <w:autoSpaceDN w:val="0"/>
              <w:adjustRightInd w:val="0"/>
              <w:spacing w:before="20" w:after="20" w:line="200" w:lineRule="atLeast"/>
              <w:jc w:val="center"/>
              <w:rPr>
                <w:strike/>
                <w:w w:val="0"/>
                <w:szCs w:val="24"/>
                <w:u w:val="single"/>
              </w:rPr>
            </w:pPr>
            <w:r w:rsidRPr="00DB1AEE">
              <w:rPr>
                <w:szCs w:val="24"/>
                <w:u w:val="single"/>
              </w:rPr>
              <w:t>0.41</w:t>
            </w:r>
          </w:p>
          <w:p w14:paraId="1C3A7F43" w14:textId="77777777" w:rsidR="00DB1AEE" w:rsidRPr="00DB1AEE" w:rsidRDefault="00DB1AEE" w:rsidP="00DB1AEE">
            <w:pPr>
              <w:autoSpaceDE w:val="0"/>
              <w:autoSpaceDN w:val="0"/>
              <w:adjustRightInd w:val="0"/>
              <w:spacing w:before="20" w:after="20" w:line="200" w:lineRule="atLeast"/>
              <w:jc w:val="center"/>
              <w:rPr>
                <w:w w:val="0"/>
                <w:szCs w:val="24"/>
                <w:u w:val="single"/>
              </w:rPr>
            </w:pPr>
          </w:p>
        </w:tc>
      </w:tr>
      <w:tr w:rsidR="00DB1AEE" w:rsidRPr="00DB1AEE" w14:paraId="002B7792" w14:textId="77777777" w:rsidTr="00FC1832">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D6CC0C0"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rPr>
              <w:t>Laboratory</w:t>
            </w:r>
          </w:p>
        </w:tc>
      </w:tr>
      <w:tr w:rsidR="00DB1AEE" w:rsidRPr="00DB1AEE" w14:paraId="6C14876C" w14:textId="77777777" w:rsidTr="00FC1832">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E96CC38" w14:textId="77777777" w:rsidR="00DB1AEE" w:rsidRPr="00DB1AEE" w:rsidRDefault="00DB1AEE" w:rsidP="00DB1AEE">
            <w:pPr>
              <w:suppressAutoHyphens/>
              <w:autoSpaceDE w:val="0"/>
              <w:autoSpaceDN w:val="0"/>
              <w:adjustRightInd w:val="0"/>
              <w:spacing w:before="20" w:after="20" w:line="200" w:lineRule="atLeast"/>
              <w:ind w:left="540" w:hanging="300"/>
              <w:jc w:val="left"/>
              <w:rPr>
                <w:w w:val="0"/>
                <w:szCs w:val="24"/>
                <w:u w:val="single"/>
              </w:rPr>
            </w:pPr>
            <w:r w:rsidRPr="00DB1AEE">
              <w:rPr>
                <w:szCs w:val="24"/>
                <w:u w:val="single"/>
              </w:rPr>
              <w:t>In or as a classroom</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A255252"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 xml:space="preserve"> </w:t>
            </w:r>
            <w:r w:rsidRPr="00DB1AEE">
              <w:rPr>
                <w:w w:val="0"/>
                <w:szCs w:val="24"/>
                <w:u w:val="single"/>
              </w:rPr>
              <w:t>1.04</w:t>
            </w:r>
          </w:p>
          <w:p w14:paraId="24D3CAB7" w14:textId="77777777" w:rsidR="00DB1AEE" w:rsidRPr="00DB1AEE" w:rsidRDefault="00DB1AEE" w:rsidP="00DB1AEE">
            <w:pPr>
              <w:autoSpaceDE w:val="0"/>
              <w:autoSpaceDN w:val="0"/>
              <w:adjustRightInd w:val="0"/>
              <w:spacing w:before="20" w:after="20" w:line="200" w:lineRule="atLeast"/>
              <w:jc w:val="center"/>
              <w:rPr>
                <w:strike/>
                <w:w w:val="0"/>
                <w:szCs w:val="24"/>
                <w:u w:val="single"/>
              </w:rPr>
            </w:pPr>
          </w:p>
        </w:tc>
      </w:tr>
      <w:tr w:rsidR="00DB1AEE" w:rsidRPr="00DB1AEE" w14:paraId="01CFEC10" w14:textId="77777777" w:rsidTr="00FC1832">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A9C3C3C" w14:textId="77777777" w:rsidR="00DB1AEE" w:rsidRPr="00DB1AEE" w:rsidRDefault="00DB1AEE" w:rsidP="00DB1AEE">
            <w:pPr>
              <w:suppressAutoHyphens/>
              <w:autoSpaceDE w:val="0"/>
              <w:autoSpaceDN w:val="0"/>
              <w:adjustRightInd w:val="0"/>
              <w:spacing w:before="20" w:after="20" w:line="200" w:lineRule="atLeast"/>
              <w:ind w:left="540" w:hanging="300"/>
              <w:jc w:val="left"/>
              <w:rPr>
                <w:w w:val="0"/>
                <w:szCs w:val="24"/>
                <w:u w:val="single"/>
              </w:rPr>
            </w:pPr>
            <w:r w:rsidRPr="00DB1AEE">
              <w:rPr>
                <w:szCs w:val="24"/>
                <w:u w:val="single"/>
              </w:rPr>
              <w:t>Otherwise</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6BFA956"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1.21</w:t>
            </w:r>
          </w:p>
        </w:tc>
      </w:tr>
      <w:tr w:rsidR="00DB1AEE" w:rsidRPr="00DB1AEE" w14:paraId="768A7C17" w14:textId="77777777" w:rsidTr="00FC1832">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09FCE8C"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rPr>
              <w:t>Laundry/washing area</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DC39533"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w w:val="0"/>
                <w:szCs w:val="24"/>
                <w:u w:val="single"/>
              </w:rPr>
              <w:t xml:space="preserve"> 0.43</w:t>
            </w:r>
          </w:p>
          <w:p w14:paraId="433F82D2" w14:textId="77777777" w:rsidR="00DB1AEE" w:rsidRPr="00DB1AEE" w:rsidRDefault="00DB1AEE" w:rsidP="00DB1AEE">
            <w:pPr>
              <w:autoSpaceDE w:val="0"/>
              <w:autoSpaceDN w:val="0"/>
              <w:adjustRightInd w:val="0"/>
              <w:spacing w:before="20" w:after="20" w:line="200" w:lineRule="atLeast"/>
              <w:jc w:val="center"/>
              <w:rPr>
                <w:strike/>
                <w:w w:val="0"/>
                <w:szCs w:val="24"/>
                <w:u w:val="single"/>
              </w:rPr>
            </w:pPr>
          </w:p>
        </w:tc>
      </w:tr>
      <w:tr w:rsidR="00DB1AEE" w:rsidRPr="00DB1AEE" w14:paraId="47FDF3AD" w14:textId="77777777" w:rsidTr="00FC1832">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9C77B56"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rPr>
              <w:t>Loading dock, interior</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4D36B2F"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w w:val="0"/>
                <w:szCs w:val="24"/>
                <w:u w:val="single"/>
              </w:rPr>
              <w:t xml:space="preserve"> 0.51</w:t>
            </w:r>
          </w:p>
          <w:p w14:paraId="2DC3B4DB" w14:textId="77777777" w:rsidR="00DB1AEE" w:rsidRPr="00DB1AEE" w:rsidRDefault="00DB1AEE" w:rsidP="00DB1AEE">
            <w:pPr>
              <w:autoSpaceDE w:val="0"/>
              <w:autoSpaceDN w:val="0"/>
              <w:adjustRightInd w:val="0"/>
              <w:spacing w:before="20" w:after="20" w:line="200" w:lineRule="atLeast"/>
              <w:jc w:val="center"/>
              <w:rPr>
                <w:strike/>
                <w:w w:val="0"/>
                <w:szCs w:val="24"/>
                <w:u w:val="single"/>
              </w:rPr>
            </w:pPr>
          </w:p>
        </w:tc>
      </w:tr>
      <w:tr w:rsidR="00DB1AEE" w:rsidRPr="00DB1AEE" w14:paraId="0701E66B" w14:textId="77777777" w:rsidTr="00FC1832">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479FD93"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rPr>
              <w:t>Lobby</w:t>
            </w:r>
          </w:p>
        </w:tc>
      </w:tr>
      <w:tr w:rsidR="00DB1AEE" w:rsidRPr="00DB1AEE" w14:paraId="0777C001" w14:textId="77777777" w:rsidTr="00FC1832">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EF14DA4" w14:textId="77777777" w:rsidR="00DB1AEE" w:rsidRPr="00DB1AEE" w:rsidRDefault="00DB1AEE" w:rsidP="00DB1AEE">
            <w:pPr>
              <w:suppressAutoHyphens/>
              <w:autoSpaceDE w:val="0"/>
              <w:autoSpaceDN w:val="0"/>
              <w:adjustRightInd w:val="0"/>
              <w:spacing w:before="20" w:after="20" w:line="200" w:lineRule="atLeast"/>
              <w:ind w:left="540" w:hanging="300"/>
              <w:jc w:val="left"/>
              <w:rPr>
                <w:w w:val="0"/>
                <w:szCs w:val="24"/>
                <w:u w:val="single"/>
              </w:rPr>
            </w:pPr>
            <w:r w:rsidRPr="00DB1AEE">
              <w:rPr>
                <w:szCs w:val="24"/>
                <w:u w:val="single"/>
              </w:rPr>
              <w:t>For an elevator</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A3C8450"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w w:val="0"/>
                <w:szCs w:val="24"/>
                <w:u w:val="single"/>
              </w:rPr>
              <w:t xml:space="preserve"> 0.52</w:t>
            </w:r>
          </w:p>
          <w:p w14:paraId="3EACD518" w14:textId="77777777" w:rsidR="00DB1AEE" w:rsidRPr="00DB1AEE" w:rsidRDefault="00DB1AEE" w:rsidP="00DB1AEE">
            <w:pPr>
              <w:autoSpaceDE w:val="0"/>
              <w:autoSpaceDN w:val="0"/>
              <w:adjustRightInd w:val="0"/>
              <w:spacing w:before="20" w:after="20" w:line="200" w:lineRule="atLeast"/>
              <w:jc w:val="center"/>
              <w:rPr>
                <w:strike/>
                <w:w w:val="0"/>
                <w:szCs w:val="24"/>
                <w:u w:val="single"/>
              </w:rPr>
            </w:pPr>
          </w:p>
        </w:tc>
      </w:tr>
      <w:tr w:rsidR="00DB1AEE" w:rsidRPr="00DB1AEE" w14:paraId="4EDB5078" w14:textId="77777777" w:rsidTr="00FC1832">
        <w:trPr>
          <w:trHeight w:val="4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80DA861" w14:textId="77777777" w:rsidR="00DB1AEE" w:rsidRPr="00DB1AEE" w:rsidRDefault="00DB1AEE" w:rsidP="00DB1AEE">
            <w:pPr>
              <w:suppressAutoHyphens/>
              <w:autoSpaceDE w:val="0"/>
              <w:autoSpaceDN w:val="0"/>
              <w:adjustRightInd w:val="0"/>
              <w:spacing w:before="20" w:after="20" w:line="200" w:lineRule="atLeast"/>
              <w:ind w:left="300" w:hanging="300"/>
              <w:jc w:val="left"/>
              <w:rPr>
                <w:w w:val="0"/>
                <w:szCs w:val="24"/>
                <w:u w:val="single"/>
              </w:rPr>
            </w:pPr>
            <w:r w:rsidRPr="00DB1AEE">
              <w:rPr>
                <w:szCs w:val="24"/>
                <w:u w:val="single"/>
              </w:rPr>
              <w:tab/>
              <w:t>In a facility for the visually impaired (and not used primarily by the staff)</w:t>
            </w:r>
            <w:r w:rsidRPr="00DB1AEE">
              <w:rPr>
                <w:szCs w:val="24"/>
                <w:u w:val="single"/>
                <w:vertAlign w:val="superscript"/>
              </w:rPr>
              <w:t>b</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F0145B0"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1.44</w:t>
            </w:r>
          </w:p>
        </w:tc>
      </w:tr>
      <w:tr w:rsidR="00DB1AEE" w:rsidRPr="00DB1AEE" w14:paraId="238DF8E6" w14:textId="77777777" w:rsidTr="00FC1832">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EAAFC23" w14:textId="77777777" w:rsidR="00DB1AEE" w:rsidRPr="00DB1AEE" w:rsidRDefault="00DB1AEE" w:rsidP="00DB1AEE">
            <w:pPr>
              <w:suppressAutoHyphens/>
              <w:autoSpaceDE w:val="0"/>
              <w:autoSpaceDN w:val="0"/>
              <w:adjustRightInd w:val="0"/>
              <w:spacing w:before="20" w:after="20" w:line="200" w:lineRule="atLeast"/>
              <w:ind w:left="540" w:hanging="300"/>
              <w:jc w:val="left"/>
              <w:rPr>
                <w:w w:val="0"/>
                <w:szCs w:val="24"/>
                <w:u w:val="single"/>
              </w:rPr>
            </w:pPr>
            <w:r w:rsidRPr="00DB1AEE">
              <w:rPr>
                <w:szCs w:val="24"/>
                <w:u w:val="single"/>
              </w:rPr>
              <w:t>In a motion picture theater</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0979DD0"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0.20</w:t>
            </w:r>
          </w:p>
        </w:tc>
      </w:tr>
      <w:tr w:rsidR="00DB1AEE" w:rsidRPr="00DB1AEE" w14:paraId="09280EE4" w14:textId="77777777" w:rsidTr="00FC1832">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8925C36" w14:textId="77777777" w:rsidR="00DB1AEE" w:rsidRPr="00DB1AEE" w:rsidRDefault="00DB1AEE" w:rsidP="00DB1AEE">
            <w:pPr>
              <w:suppressAutoHyphens/>
              <w:autoSpaceDE w:val="0"/>
              <w:autoSpaceDN w:val="0"/>
              <w:adjustRightInd w:val="0"/>
              <w:spacing w:before="20" w:after="20" w:line="200" w:lineRule="atLeast"/>
              <w:ind w:left="540" w:hanging="300"/>
              <w:jc w:val="left"/>
              <w:rPr>
                <w:w w:val="0"/>
                <w:szCs w:val="24"/>
                <w:u w:val="single"/>
              </w:rPr>
            </w:pPr>
            <w:r w:rsidRPr="00DB1AEE">
              <w:rPr>
                <w:szCs w:val="24"/>
                <w:u w:val="single"/>
              </w:rPr>
              <w:t>In a performing arts theater</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1E83020" w14:textId="77777777" w:rsidR="00DB1AEE" w:rsidRPr="00DB1AEE" w:rsidRDefault="00DB1AEE" w:rsidP="00DB1AEE">
            <w:pPr>
              <w:autoSpaceDE w:val="0"/>
              <w:autoSpaceDN w:val="0"/>
              <w:adjustRightInd w:val="0"/>
              <w:spacing w:before="20" w:after="20" w:line="200" w:lineRule="atLeast"/>
              <w:jc w:val="center"/>
              <w:rPr>
                <w:szCs w:val="24"/>
                <w:u w:val="single"/>
              </w:rPr>
            </w:pPr>
            <w:r w:rsidRPr="00DB1AEE">
              <w:rPr>
                <w:w w:val="0"/>
                <w:szCs w:val="24"/>
                <w:u w:val="single"/>
              </w:rPr>
              <w:t>0.82</w:t>
            </w:r>
            <w:r w:rsidRPr="00DB1AEE">
              <w:rPr>
                <w:szCs w:val="24"/>
                <w:u w:val="single"/>
              </w:rPr>
              <w:t xml:space="preserve"> </w:t>
            </w:r>
          </w:p>
          <w:p w14:paraId="038B116C" w14:textId="77777777" w:rsidR="00DB1AEE" w:rsidRPr="00DB1AEE" w:rsidRDefault="00DB1AEE" w:rsidP="00DB1AEE">
            <w:pPr>
              <w:autoSpaceDE w:val="0"/>
              <w:autoSpaceDN w:val="0"/>
              <w:adjustRightInd w:val="0"/>
              <w:spacing w:before="20" w:after="20" w:line="200" w:lineRule="atLeast"/>
              <w:jc w:val="center"/>
              <w:rPr>
                <w:strike/>
                <w:w w:val="0"/>
                <w:szCs w:val="24"/>
                <w:u w:val="single"/>
              </w:rPr>
            </w:pPr>
          </w:p>
        </w:tc>
      </w:tr>
      <w:tr w:rsidR="00DB1AEE" w:rsidRPr="00DB1AEE" w14:paraId="26F647ED" w14:textId="77777777" w:rsidTr="00FC1832">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0CFEC36" w14:textId="77777777" w:rsidR="00DB1AEE" w:rsidRPr="00DB1AEE" w:rsidRDefault="00DB1AEE" w:rsidP="00DB1AEE">
            <w:pPr>
              <w:suppressAutoHyphens/>
              <w:autoSpaceDE w:val="0"/>
              <w:autoSpaceDN w:val="0"/>
              <w:adjustRightInd w:val="0"/>
              <w:spacing w:before="20" w:after="20" w:line="200" w:lineRule="atLeast"/>
              <w:ind w:left="540" w:hanging="300"/>
              <w:jc w:val="left"/>
              <w:rPr>
                <w:w w:val="0"/>
                <w:szCs w:val="24"/>
                <w:u w:val="single"/>
              </w:rPr>
            </w:pPr>
            <w:r w:rsidRPr="00DB1AEE">
              <w:rPr>
                <w:szCs w:val="24"/>
                <w:u w:val="single"/>
              </w:rPr>
              <w:t>Otherwise</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3A5B3FA"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0.80</w:t>
            </w:r>
          </w:p>
        </w:tc>
      </w:tr>
      <w:tr w:rsidR="00DB1AEE" w:rsidRPr="00DB1AEE" w14:paraId="052A2F53" w14:textId="77777777" w:rsidTr="00FC1832">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1321B39"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rPr>
              <w:t>Locker room</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A4B4888"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0.43</w:t>
            </w:r>
          </w:p>
        </w:tc>
      </w:tr>
      <w:tr w:rsidR="00DB1AEE" w:rsidRPr="00DB1AEE" w14:paraId="71C6561B" w14:textId="77777777" w:rsidTr="00FC1832">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E66332F"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rPr>
              <w:t>Lounge/breakroom</w:t>
            </w:r>
          </w:p>
        </w:tc>
      </w:tr>
      <w:tr w:rsidR="00DB1AEE" w:rsidRPr="00DB1AEE" w14:paraId="3D7DDC09" w14:textId="77777777" w:rsidTr="00FC1832">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0E24750" w14:textId="77777777" w:rsidR="00DB1AEE" w:rsidRPr="00DB1AEE" w:rsidRDefault="00DB1AEE" w:rsidP="00DB1AEE">
            <w:pPr>
              <w:suppressAutoHyphens/>
              <w:autoSpaceDE w:val="0"/>
              <w:autoSpaceDN w:val="0"/>
              <w:adjustRightInd w:val="0"/>
              <w:spacing w:before="20" w:after="20" w:line="200" w:lineRule="atLeast"/>
              <w:ind w:left="540" w:hanging="300"/>
              <w:jc w:val="left"/>
              <w:rPr>
                <w:w w:val="0"/>
                <w:szCs w:val="24"/>
                <w:u w:val="single"/>
              </w:rPr>
            </w:pPr>
            <w:r w:rsidRPr="00DB1AEE">
              <w:rPr>
                <w:szCs w:val="24"/>
                <w:u w:val="single"/>
              </w:rPr>
              <w:t>In a healthcare facility</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3D6AB7E" w14:textId="77777777" w:rsidR="00DB1AEE" w:rsidRPr="00DB1AEE" w:rsidRDefault="00DB1AEE" w:rsidP="00DB1AEE">
            <w:pPr>
              <w:autoSpaceDE w:val="0"/>
              <w:autoSpaceDN w:val="0"/>
              <w:adjustRightInd w:val="0"/>
              <w:spacing w:before="20" w:after="20" w:line="200" w:lineRule="atLeast"/>
              <w:jc w:val="center"/>
              <w:rPr>
                <w:strike/>
                <w:w w:val="0"/>
                <w:szCs w:val="24"/>
                <w:u w:val="single"/>
              </w:rPr>
            </w:pPr>
            <w:r w:rsidRPr="00DB1AEE">
              <w:rPr>
                <w:szCs w:val="24"/>
                <w:u w:val="single"/>
              </w:rPr>
              <w:t xml:space="preserve"> </w:t>
            </w:r>
            <w:r w:rsidRPr="00DB1AEE">
              <w:rPr>
                <w:w w:val="0"/>
                <w:szCs w:val="24"/>
                <w:u w:val="single"/>
              </w:rPr>
              <w:t>0.53</w:t>
            </w:r>
          </w:p>
        </w:tc>
      </w:tr>
      <w:tr w:rsidR="00DB1AEE" w:rsidRPr="00DB1AEE" w14:paraId="267E1C85" w14:textId="77777777" w:rsidTr="00FC1832">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06F2841" w14:textId="77777777" w:rsidR="00DB1AEE" w:rsidRPr="00DB1AEE" w:rsidRDefault="00DB1AEE" w:rsidP="00DB1AEE">
            <w:pPr>
              <w:suppressAutoHyphens/>
              <w:autoSpaceDE w:val="0"/>
              <w:autoSpaceDN w:val="0"/>
              <w:adjustRightInd w:val="0"/>
              <w:spacing w:before="20" w:after="20" w:line="200" w:lineRule="atLeast"/>
              <w:ind w:left="540" w:hanging="300"/>
              <w:jc w:val="left"/>
              <w:rPr>
                <w:szCs w:val="24"/>
                <w:u w:val="single"/>
              </w:rPr>
            </w:pPr>
            <w:r w:rsidRPr="00DB1AEE">
              <w:rPr>
                <w:szCs w:val="24"/>
                <w:u w:val="single"/>
              </w:rPr>
              <w:t>Mother's wellness room</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367F710" w14:textId="77777777" w:rsidR="00DB1AEE" w:rsidRPr="00DB1AEE" w:rsidRDefault="00DB1AEE" w:rsidP="00DB1AEE">
            <w:pPr>
              <w:autoSpaceDE w:val="0"/>
              <w:autoSpaceDN w:val="0"/>
              <w:adjustRightInd w:val="0"/>
              <w:spacing w:before="20" w:after="20" w:line="200" w:lineRule="atLeast"/>
              <w:jc w:val="center"/>
              <w:rPr>
                <w:szCs w:val="24"/>
                <w:u w:val="single"/>
              </w:rPr>
            </w:pPr>
            <w:r w:rsidRPr="00DB1AEE">
              <w:rPr>
                <w:szCs w:val="24"/>
                <w:u w:val="single"/>
              </w:rPr>
              <w:t>0.68</w:t>
            </w:r>
          </w:p>
        </w:tc>
      </w:tr>
      <w:tr w:rsidR="00DB1AEE" w:rsidRPr="00DB1AEE" w14:paraId="40D83483" w14:textId="77777777" w:rsidTr="00FC1832">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F18EFE2" w14:textId="77777777" w:rsidR="00DB1AEE" w:rsidRPr="00DB1AEE" w:rsidRDefault="00DB1AEE" w:rsidP="00DB1AEE">
            <w:pPr>
              <w:suppressAutoHyphens/>
              <w:autoSpaceDE w:val="0"/>
              <w:autoSpaceDN w:val="0"/>
              <w:adjustRightInd w:val="0"/>
              <w:spacing w:before="20" w:after="20" w:line="200" w:lineRule="atLeast"/>
              <w:ind w:left="540" w:hanging="300"/>
              <w:jc w:val="left"/>
              <w:rPr>
                <w:w w:val="0"/>
                <w:szCs w:val="24"/>
                <w:u w:val="single"/>
              </w:rPr>
            </w:pPr>
            <w:r w:rsidRPr="00DB1AEE">
              <w:rPr>
                <w:szCs w:val="24"/>
                <w:u w:val="single"/>
              </w:rPr>
              <w:t>Otherwise</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AB79B94" w14:textId="77777777" w:rsidR="00DB1AEE" w:rsidRPr="00DB1AEE" w:rsidRDefault="00DB1AEE" w:rsidP="00DB1AEE">
            <w:pPr>
              <w:autoSpaceDE w:val="0"/>
              <w:autoSpaceDN w:val="0"/>
              <w:adjustRightInd w:val="0"/>
              <w:spacing w:before="20" w:after="20" w:line="200" w:lineRule="atLeast"/>
              <w:jc w:val="center"/>
              <w:rPr>
                <w:strike/>
                <w:w w:val="0"/>
                <w:szCs w:val="24"/>
                <w:u w:val="single"/>
              </w:rPr>
            </w:pPr>
            <w:r w:rsidRPr="00DB1AEE">
              <w:rPr>
                <w:w w:val="0"/>
                <w:szCs w:val="24"/>
                <w:u w:val="single"/>
              </w:rPr>
              <w:t xml:space="preserve"> 0</w:t>
            </w:r>
            <w:r w:rsidRPr="00DB1AEE">
              <w:rPr>
                <w:szCs w:val="24"/>
                <w:u w:val="single"/>
              </w:rPr>
              <w:t>.</w:t>
            </w:r>
            <w:r w:rsidRPr="00DB1AEE">
              <w:rPr>
                <w:w w:val="0"/>
                <w:szCs w:val="24"/>
                <w:u w:val="single"/>
              </w:rPr>
              <w:t>44</w:t>
            </w:r>
          </w:p>
        </w:tc>
      </w:tr>
      <w:tr w:rsidR="00DB1AEE" w:rsidRPr="00DB1AEE" w14:paraId="1D1FC753" w14:textId="77777777" w:rsidTr="00FC1832">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16364D3"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rPr>
              <w:t>Office</w:t>
            </w:r>
          </w:p>
        </w:tc>
      </w:tr>
      <w:tr w:rsidR="00DB1AEE" w:rsidRPr="00DB1AEE" w14:paraId="4FD70C12" w14:textId="77777777" w:rsidTr="00FC1832">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72E785E" w14:textId="77777777" w:rsidR="00DB1AEE" w:rsidRPr="00DB1AEE" w:rsidRDefault="00DB1AEE" w:rsidP="00DB1AEE">
            <w:pPr>
              <w:suppressAutoHyphens/>
              <w:autoSpaceDE w:val="0"/>
              <w:autoSpaceDN w:val="0"/>
              <w:adjustRightInd w:val="0"/>
              <w:spacing w:before="20" w:after="20" w:line="200" w:lineRule="atLeast"/>
              <w:ind w:left="540" w:hanging="300"/>
              <w:jc w:val="left"/>
              <w:rPr>
                <w:w w:val="0"/>
                <w:szCs w:val="24"/>
                <w:u w:val="single"/>
              </w:rPr>
            </w:pPr>
            <w:r w:rsidRPr="00DB1AEE">
              <w:rPr>
                <w:szCs w:val="24"/>
                <w:u w:val="single"/>
              </w:rPr>
              <w:t>Enclosed</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CCC9758"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0.73</w:t>
            </w:r>
          </w:p>
        </w:tc>
      </w:tr>
      <w:tr w:rsidR="00DB1AEE" w:rsidRPr="00DB1AEE" w14:paraId="4138FFC9" w14:textId="77777777" w:rsidTr="00FC1832">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7F6E72F" w14:textId="77777777" w:rsidR="00DB1AEE" w:rsidRPr="00DB1AEE" w:rsidRDefault="00DB1AEE" w:rsidP="00DB1AEE">
            <w:pPr>
              <w:suppressAutoHyphens/>
              <w:autoSpaceDE w:val="0"/>
              <w:autoSpaceDN w:val="0"/>
              <w:adjustRightInd w:val="0"/>
              <w:spacing w:before="20" w:after="20" w:line="200" w:lineRule="atLeast"/>
              <w:ind w:left="540" w:hanging="300"/>
              <w:jc w:val="left"/>
              <w:rPr>
                <w:w w:val="0"/>
                <w:szCs w:val="24"/>
                <w:u w:val="single"/>
              </w:rPr>
            </w:pPr>
            <w:r w:rsidRPr="00DB1AEE">
              <w:rPr>
                <w:szCs w:val="24"/>
                <w:u w:val="single"/>
              </w:rPr>
              <w:t>Open plan</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60FA4FB"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0.56</w:t>
            </w:r>
          </w:p>
        </w:tc>
      </w:tr>
      <w:tr w:rsidR="00DB1AEE" w:rsidRPr="00DB1AEE" w14:paraId="1C22244E" w14:textId="77777777" w:rsidTr="00FC1832">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2B98A40" w14:textId="77777777" w:rsidR="00DB1AEE" w:rsidRPr="00DB1AEE" w:rsidRDefault="00DB1AEE" w:rsidP="00DB1AEE">
            <w:pPr>
              <w:suppressAutoHyphens/>
              <w:autoSpaceDE w:val="0"/>
              <w:autoSpaceDN w:val="0"/>
              <w:adjustRightInd w:val="0"/>
              <w:spacing w:before="20" w:after="20" w:line="200" w:lineRule="atLeast"/>
              <w:ind w:left="540" w:hanging="300"/>
              <w:jc w:val="left"/>
              <w:rPr>
                <w:szCs w:val="24"/>
                <w:u w:val="single"/>
              </w:rPr>
            </w:pPr>
            <w:r w:rsidRPr="00DB1AEE">
              <w:rPr>
                <w:szCs w:val="24"/>
                <w:u w:val="single"/>
              </w:rPr>
              <w:t>Parking area daylighting transition zone</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2F996FC"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w w:val="0"/>
                <w:szCs w:val="24"/>
                <w:u w:val="single"/>
              </w:rPr>
              <w:t>1.06</w:t>
            </w:r>
          </w:p>
        </w:tc>
      </w:tr>
      <w:tr w:rsidR="00DB1AEE" w:rsidRPr="00DB1AEE" w14:paraId="474F64AA" w14:textId="77777777" w:rsidTr="00FC1832">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4D7873F"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rPr>
              <w:t xml:space="preserve">Parking area, </w:t>
            </w:r>
            <w:r w:rsidRPr="00DB1AEE">
              <w:rPr>
                <w:w w:val="0"/>
                <w:szCs w:val="24"/>
                <w:u w:val="single"/>
              </w:rPr>
              <w:t>interior</w:t>
            </w:r>
            <w:r w:rsidRPr="00DB1AEE">
              <w:rPr>
                <w:strike/>
                <w:w w:val="0"/>
                <w:szCs w:val="24"/>
                <w:u w:val="single"/>
                <w:vertAlign w:val="superscript"/>
              </w:rPr>
              <w:t xml:space="preserve">i </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B6C5D98"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 xml:space="preserve"> </w:t>
            </w:r>
            <w:r w:rsidRPr="00DB1AEE">
              <w:rPr>
                <w:w w:val="0"/>
                <w:szCs w:val="24"/>
                <w:u w:val="single"/>
              </w:rPr>
              <w:t>0.11</w:t>
            </w:r>
          </w:p>
        </w:tc>
      </w:tr>
      <w:tr w:rsidR="00DB1AEE" w:rsidRPr="00DB1AEE" w14:paraId="767C774A" w14:textId="77777777" w:rsidTr="00FC1832">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BD59C6F"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rPr>
              <w:t>Pharmacy area</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CDF1D86" w14:textId="77777777" w:rsidR="00DB1AEE" w:rsidRPr="00DB1AEE" w:rsidRDefault="00DB1AEE" w:rsidP="00DB1AEE">
            <w:pPr>
              <w:autoSpaceDE w:val="0"/>
              <w:autoSpaceDN w:val="0"/>
              <w:adjustRightInd w:val="0"/>
              <w:spacing w:before="20" w:after="20" w:line="200" w:lineRule="atLeast"/>
              <w:jc w:val="center"/>
              <w:rPr>
                <w:strike/>
                <w:w w:val="0"/>
                <w:szCs w:val="24"/>
                <w:u w:val="single"/>
              </w:rPr>
            </w:pPr>
            <w:r w:rsidRPr="00DB1AEE">
              <w:rPr>
                <w:szCs w:val="24"/>
                <w:u w:val="single"/>
              </w:rPr>
              <w:t xml:space="preserve"> </w:t>
            </w:r>
            <w:r w:rsidRPr="00DB1AEE">
              <w:rPr>
                <w:w w:val="0"/>
                <w:szCs w:val="24"/>
                <w:u w:val="single"/>
              </w:rPr>
              <w:t>1.23</w:t>
            </w:r>
          </w:p>
        </w:tc>
      </w:tr>
      <w:tr w:rsidR="00DB1AEE" w:rsidRPr="00DB1AEE" w14:paraId="3C3357B4" w14:textId="77777777" w:rsidTr="00FC1832">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FF95B61"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rPr>
              <w:t>Restroom</w:t>
            </w:r>
          </w:p>
        </w:tc>
      </w:tr>
      <w:tr w:rsidR="00DB1AEE" w:rsidRPr="00DB1AEE" w14:paraId="21DBCE9F" w14:textId="77777777" w:rsidTr="00FC1832">
        <w:trPr>
          <w:trHeight w:val="4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8B86877" w14:textId="77777777" w:rsidR="00DB1AEE" w:rsidRPr="00DB1AEE" w:rsidRDefault="00DB1AEE" w:rsidP="00DB1AEE">
            <w:pPr>
              <w:suppressAutoHyphens/>
              <w:autoSpaceDE w:val="0"/>
              <w:autoSpaceDN w:val="0"/>
              <w:adjustRightInd w:val="0"/>
              <w:spacing w:before="20" w:after="20" w:line="200" w:lineRule="atLeast"/>
              <w:ind w:left="300" w:hanging="300"/>
              <w:jc w:val="left"/>
              <w:rPr>
                <w:w w:val="0"/>
                <w:szCs w:val="24"/>
                <w:u w:val="single"/>
              </w:rPr>
            </w:pPr>
            <w:r w:rsidRPr="00DB1AEE">
              <w:rPr>
                <w:szCs w:val="24"/>
                <w:u w:val="single"/>
              </w:rPr>
              <w:tab/>
              <w:t xml:space="preserve">In a facility for the visually impaired (and not used primarily by the </w:t>
            </w:r>
            <w:r w:rsidRPr="00DB1AEE">
              <w:rPr>
                <w:w w:val="0"/>
                <w:szCs w:val="24"/>
                <w:u w:val="single"/>
              </w:rPr>
              <w:t>staff</w:t>
            </w:r>
            <w:r w:rsidRPr="00DB1AEE">
              <w:rPr>
                <w:spacing w:val="-13"/>
                <w:w w:val="0"/>
                <w:szCs w:val="24"/>
                <w:u w:val="single"/>
              </w:rPr>
              <w:t xml:space="preserve"> </w:t>
            </w:r>
            <w:r w:rsidRPr="00DB1AEE">
              <w:rPr>
                <w:w w:val="0"/>
                <w:szCs w:val="24"/>
                <w:u w:val="single"/>
                <w:vertAlign w:val="superscript"/>
              </w:rPr>
              <w:t>b</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58C4910" w14:textId="77777777" w:rsidR="00DB1AEE" w:rsidRPr="00DB1AEE" w:rsidRDefault="00DB1AEE" w:rsidP="00DB1AEE">
            <w:pPr>
              <w:autoSpaceDE w:val="0"/>
              <w:autoSpaceDN w:val="0"/>
              <w:adjustRightInd w:val="0"/>
              <w:spacing w:before="20" w:after="20" w:line="200" w:lineRule="atLeast"/>
              <w:jc w:val="center"/>
              <w:rPr>
                <w:strike/>
                <w:w w:val="0"/>
                <w:szCs w:val="24"/>
                <w:u w:val="single"/>
              </w:rPr>
            </w:pPr>
            <w:r w:rsidRPr="00DB1AEE">
              <w:rPr>
                <w:w w:val="0"/>
                <w:szCs w:val="24"/>
                <w:u w:val="single"/>
              </w:rPr>
              <w:t>0.81</w:t>
            </w:r>
            <w:r w:rsidRPr="00DB1AEE">
              <w:rPr>
                <w:szCs w:val="24"/>
                <w:u w:val="single"/>
              </w:rPr>
              <w:t xml:space="preserve"> </w:t>
            </w:r>
          </w:p>
        </w:tc>
      </w:tr>
      <w:tr w:rsidR="00DB1AEE" w:rsidRPr="00DB1AEE" w14:paraId="516535D4" w14:textId="77777777" w:rsidTr="00FC1832">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8925B25" w14:textId="77777777" w:rsidR="00DB1AEE" w:rsidRPr="00DB1AEE" w:rsidRDefault="00DB1AEE" w:rsidP="00DB1AEE">
            <w:pPr>
              <w:suppressAutoHyphens/>
              <w:autoSpaceDE w:val="0"/>
              <w:autoSpaceDN w:val="0"/>
              <w:adjustRightInd w:val="0"/>
              <w:spacing w:before="20" w:after="20" w:line="200" w:lineRule="atLeast"/>
              <w:ind w:left="540" w:hanging="300"/>
              <w:jc w:val="left"/>
              <w:rPr>
                <w:w w:val="0"/>
                <w:szCs w:val="24"/>
                <w:u w:val="single"/>
              </w:rPr>
            </w:pPr>
            <w:r w:rsidRPr="00DB1AEE">
              <w:rPr>
                <w:szCs w:val="24"/>
                <w:u w:val="single"/>
              </w:rPr>
              <w:t>Otherwise</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1BF4273"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0.74</w:t>
            </w:r>
          </w:p>
        </w:tc>
      </w:tr>
      <w:tr w:rsidR="00DB1AEE" w:rsidRPr="00DB1AEE" w14:paraId="28E22AFD" w14:textId="77777777" w:rsidTr="00FC1832">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2CEF031"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rPr>
              <w:t>Sales area</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7E14A0A"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0.85</w:t>
            </w:r>
          </w:p>
        </w:tc>
      </w:tr>
      <w:tr w:rsidR="00DB1AEE" w:rsidRPr="00DB1AEE" w14:paraId="3C35005B" w14:textId="77777777" w:rsidTr="00FC1832">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797FF16" w14:textId="77777777" w:rsidR="00DB1AEE" w:rsidRPr="00DB1AEE" w:rsidRDefault="00DB1AEE" w:rsidP="00DB1AEE">
            <w:pPr>
              <w:autoSpaceDE w:val="0"/>
              <w:autoSpaceDN w:val="0"/>
              <w:adjustRightInd w:val="0"/>
              <w:spacing w:before="20" w:after="20" w:line="200" w:lineRule="atLeast"/>
              <w:jc w:val="left"/>
              <w:rPr>
                <w:szCs w:val="24"/>
                <w:u w:val="single"/>
              </w:rPr>
            </w:pPr>
            <w:r w:rsidRPr="00DB1AEE">
              <w:rPr>
                <w:szCs w:val="24"/>
                <w:u w:val="single"/>
              </w:rPr>
              <w:t>Seating area, general</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D2193EE" w14:textId="77777777" w:rsidR="00DB1AEE" w:rsidRPr="00DB1AEE" w:rsidRDefault="00DB1AEE" w:rsidP="00DB1AEE">
            <w:pPr>
              <w:autoSpaceDE w:val="0"/>
              <w:autoSpaceDN w:val="0"/>
              <w:adjustRightInd w:val="0"/>
              <w:spacing w:before="20" w:after="20" w:line="200" w:lineRule="atLeast"/>
              <w:jc w:val="center"/>
              <w:rPr>
                <w:szCs w:val="24"/>
                <w:u w:val="single"/>
              </w:rPr>
            </w:pPr>
            <w:r w:rsidRPr="00DB1AEE">
              <w:rPr>
                <w:szCs w:val="24"/>
                <w:u w:val="single"/>
              </w:rPr>
              <w:t>0.21</w:t>
            </w:r>
          </w:p>
        </w:tc>
      </w:tr>
      <w:tr w:rsidR="00DB1AEE" w:rsidRPr="00DB1AEE" w14:paraId="06450516" w14:textId="77777777" w:rsidTr="00FC1832">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85B764E" w14:textId="77777777" w:rsidR="00DB1AEE" w:rsidRPr="00DB1AEE" w:rsidRDefault="00DB1AEE" w:rsidP="00DB1AEE">
            <w:pPr>
              <w:autoSpaceDE w:val="0"/>
              <w:autoSpaceDN w:val="0"/>
              <w:adjustRightInd w:val="0"/>
              <w:spacing w:before="20" w:after="20" w:line="200" w:lineRule="atLeast"/>
              <w:jc w:val="left"/>
              <w:rPr>
                <w:szCs w:val="24"/>
                <w:u w:val="single"/>
              </w:rPr>
            </w:pPr>
            <w:r w:rsidRPr="00DB1AEE">
              <w:rPr>
                <w:szCs w:val="24"/>
                <w:u w:val="single"/>
              </w:rPr>
              <w:t>Security screening general areas</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7D6609B" w14:textId="77777777" w:rsidR="00DB1AEE" w:rsidRPr="00DB1AEE" w:rsidRDefault="00DB1AEE" w:rsidP="00DB1AEE">
            <w:pPr>
              <w:autoSpaceDE w:val="0"/>
              <w:autoSpaceDN w:val="0"/>
              <w:adjustRightInd w:val="0"/>
              <w:spacing w:before="20" w:after="20" w:line="200" w:lineRule="atLeast"/>
              <w:jc w:val="center"/>
              <w:rPr>
                <w:szCs w:val="24"/>
                <w:u w:val="single"/>
              </w:rPr>
            </w:pPr>
            <w:r w:rsidRPr="00DB1AEE">
              <w:rPr>
                <w:szCs w:val="24"/>
                <w:u w:val="single"/>
              </w:rPr>
              <w:t>0.64</w:t>
            </w:r>
          </w:p>
        </w:tc>
      </w:tr>
      <w:tr w:rsidR="00DB1AEE" w:rsidRPr="00DB1AEE" w14:paraId="40F47E2B" w14:textId="77777777" w:rsidTr="00FC1832">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0E0CA40" w14:textId="77777777" w:rsidR="00DB1AEE" w:rsidRPr="00DB1AEE" w:rsidRDefault="00DB1AEE" w:rsidP="00DB1AEE">
            <w:pPr>
              <w:autoSpaceDE w:val="0"/>
              <w:autoSpaceDN w:val="0"/>
              <w:adjustRightInd w:val="0"/>
              <w:spacing w:before="20" w:after="20" w:line="200" w:lineRule="atLeast"/>
              <w:jc w:val="left"/>
              <w:rPr>
                <w:szCs w:val="24"/>
                <w:u w:val="single"/>
              </w:rPr>
            </w:pPr>
            <w:r w:rsidRPr="00DB1AEE">
              <w:rPr>
                <w:szCs w:val="24"/>
                <w:u w:val="single"/>
              </w:rPr>
              <w:t>Security screening in transportation facilities</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ABBC7FF" w14:textId="77777777" w:rsidR="00DB1AEE" w:rsidRPr="00DB1AEE" w:rsidRDefault="00DB1AEE" w:rsidP="00DB1AEE">
            <w:pPr>
              <w:autoSpaceDE w:val="0"/>
              <w:autoSpaceDN w:val="0"/>
              <w:adjustRightInd w:val="0"/>
              <w:spacing w:before="20" w:after="20" w:line="200" w:lineRule="atLeast"/>
              <w:jc w:val="center"/>
              <w:rPr>
                <w:szCs w:val="24"/>
                <w:u w:val="single"/>
              </w:rPr>
            </w:pPr>
            <w:r w:rsidRPr="00DB1AEE">
              <w:rPr>
                <w:szCs w:val="24"/>
                <w:u w:val="single"/>
              </w:rPr>
              <w:t>0.93</w:t>
            </w:r>
          </w:p>
        </w:tc>
      </w:tr>
      <w:tr w:rsidR="00DB1AEE" w:rsidRPr="00DB1AEE" w14:paraId="16FD62DE" w14:textId="77777777" w:rsidTr="00FC1832">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E990D1C" w14:textId="77777777" w:rsidR="00DB1AEE" w:rsidRPr="00DB1AEE" w:rsidRDefault="00DB1AEE" w:rsidP="00DB1AEE">
            <w:pPr>
              <w:autoSpaceDE w:val="0"/>
              <w:autoSpaceDN w:val="0"/>
              <w:adjustRightInd w:val="0"/>
              <w:spacing w:before="20" w:after="20" w:line="200" w:lineRule="atLeast"/>
              <w:jc w:val="left"/>
              <w:rPr>
                <w:szCs w:val="24"/>
                <w:u w:val="single"/>
              </w:rPr>
            </w:pPr>
            <w:r w:rsidRPr="00DB1AEE">
              <w:rPr>
                <w:szCs w:val="24"/>
                <w:u w:val="single"/>
              </w:rPr>
              <w:t>Security screening transportation waiting area</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098F50A" w14:textId="77777777" w:rsidR="00DB1AEE" w:rsidRPr="00DB1AEE" w:rsidRDefault="00DB1AEE" w:rsidP="00DB1AEE">
            <w:pPr>
              <w:autoSpaceDE w:val="0"/>
              <w:autoSpaceDN w:val="0"/>
              <w:adjustRightInd w:val="0"/>
              <w:jc w:val="center"/>
              <w:rPr>
                <w:szCs w:val="24"/>
                <w:u w:val="single"/>
              </w:rPr>
            </w:pPr>
            <w:r w:rsidRPr="00DB1AEE">
              <w:rPr>
                <w:szCs w:val="24"/>
                <w:u w:val="single"/>
              </w:rPr>
              <w:t xml:space="preserve">0.56 </w:t>
            </w:r>
          </w:p>
        </w:tc>
      </w:tr>
      <w:tr w:rsidR="00DB1AEE" w:rsidRPr="00DB1AEE" w14:paraId="0AA13EA3" w14:textId="77777777" w:rsidTr="00FC1832">
        <w:tblPrEx>
          <w:jc w:val="lef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Look w:val="01E0" w:firstRow="1" w:lastRow="1" w:firstColumn="1" w:lastColumn="1" w:noHBand="0" w:noVBand="0"/>
        </w:tblPrEx>
        <w:trPr>
          <w:trHeight w:val="300"/>
        </w:trPr>
        <w:tc>
          <w:tcPr>
            <w:tcW w:w="9415" w:type="dxa"/>
            <w:gridSpan w:val="2"/>
            <w:tcBorders>
              <w:top w:val="single" w:sz="6" w:space="0" w:color="000000"/>
              <w:left w:val="single" w:sz="6" w:space="0" w:color="000000"/>
              <w:bottom w:val="single" w:sz="6" w:space="0" w:color="000000"/>
              <w:right w:val="single" w:sz="6" w:space="0" w:color="000000"/>
            </w:tcBorders>
          </w:tcPr>
          <w:p w14:paraId="11C69726" w14:textId="77777777" w:rsidR="00DB1AEE" w:rsidRPr="00DB1AEE" w:rsidRDefault="00DB1AEE" w:rsidP="00DB1AEE">
            <w:pPr>
              <w:widowControl w:val="0"/>
              <w:autoSpaceDE w:val="0"/>
              <w:autoSpaceDN w:val="0"/>
              <w:spacing w:line="183" w:lineRule="exact"/>
              <w:ind w:left="107"/>
              <w:jc w:val="left"/>
              <w:rPr>
                <w:szCs w:val="24"/>
                <w:u w:val="single"/>
              </w:rPr>
            </w:pPr>
            <w:r w:rsidRPr="00DB1AEE">
              <w:rPr>
                <w:szCs w:val="24"/>
                <w:u w:val="single"/>
              </w:rPr>
              <w:t>Stairway</w:t>
            </w:r>
            <w:r w:rsidRPr="00DB1AEE">
              <w:rPr>
                <w:spacing w:val="-4"/>
                <w:szCs w:val="24"/>
                <w:u w:val="single"/>
              </w:rPr>
              <w:t xml:space="preserve"> </w:t>
            </w:r>
            <w:r w:rsidRPr="00DB1AEE">
              <w:rPr>
                <w:szCs w:val="24"/>
                <w:u w:val="single"/>
              </w:rPr>
              <w:t>(see</w:t>
            </w:r>
            <w:r w:rsidRPr="00DB1AEE">
              <w:rPr>
                <w:spacing w:val="-2"/>
                <w:szCs w:val="24"/>
                <w:u w:val="single"/>
              </w:rPr>
              <w:t xml:space="preserve"> </w:t>
            </w:r>
            <w:r w:rsidRPr="00DB1AEE">
              <w:rPr>
                <w:szCs w:val="24"/>
                <w:u w:val="single"/>
              </w:rPr>
              <w:t>Space</w:t>
            </w:r>
            <w:r w:rsidRPr="00DB1AEE">
              <w:rPr>
                <w:spacing w:val="-3"/>
                <w:szCs w:val="24"/>
                <w:u w:val="single"/>
              </w:rPr>
              <w:t xml:space="preserve"> </w:t>
            </w:r>
            <w:r w:rsidRPr="00DB1AEE">
              <w:rPr>
                <w:szCs w:val="24"/>
                <w:u w:val="single"/>
              </w:rPr>
              <w:t>containing</w:t>
            </w:r>
            <w:r w:rsidRPr="00DB1AEE">
              <w:rPr>
                <w:spacing w:val="-2"/>
                <w:szCs w:val="24"/>
                <w:u w:val="single"/>
              </w:rPr>
              <w:t xml:space="preserve"> </w:t>
            </w:r>
            <w:r w:rsidRPr="00DB1AEE">
              <w:rPr>
                <w:szCs w:val="24"/>
                <w:u w:val="single"/>
              </w:rPr>
              <w:t>stairway)</w:t>
            </w:r>
          </w:p>
        </w:tc>
      </w:tr>
      <w:tr w:rsidR="00DB1AEE" w:rsidRPr="00DB1AEE" w14:paraId="1854D88C" w14:textId="77777777" w:rsidTr="00FC1832">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6EC9EAC" w14:textId="77777777" w:rsidR="00DB1AEE" w:rsidRPr="00DB1AEE" w:rsidRDefault="00DB1AEE" w:rsidP="00DB1AEE">
            <w:pPr>
              <w:autoSpaceDE w:val="0"/>
              <w:autoSpaceDN w:val="0"/>
              <w:adjustRightInd w:val="0"/>
              <w:spacing w:before="20" w:after="20" w:line="200" w:lineRule="atLeast"/>
              <w:jc w:val="left"/>
              <w:rPr>
                <w:szCs w:val="24"/>
                <w:u w:val="single"/>
              </w:rPr>
            </w:pPr>
            <w:r w:rsidRPr="00DB1AEE">
              <w:rPr>
                <w:szCs w:val="24"/>
                <w:u w:val="single"/>
              </w:rPr>
              <w:t>Stairwell</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E9013D0" w14:textId="77777777" w:rsidR="00DB1AEE" w:rsidRPr="00DB1AEE" w:rsidRDefault="00DB1AEE" w:rsidP="00DB1AEE">
            <w:pPr>
              <w:autoSpaceDE w:val="0"/>
              <w:autoSpaceDN w:val="0"/>
              <w:adjustRightInd w:val="0"/>
              <w:spacing w:before="20" w:after="20" w:line="200" w:lineRule="atLeast"/>
              <w:jc w:val="center"/>
              <w:rPr>
                <w:szCs w:val="24"/>
                <w:u w:val="single"/>
              </w:rPr>
            </w:pPr>
            <w:r w:rsidRPr="00DB1AEE">
              <w:rPr>
                <w:szCs w:val="24"/>
                <w:u w:val="single"/>
              </w:rPr>
              <w:t>0.47</w:t>
            </w:r>
          </w:p>
        </w:tc>
      </w:tr>
      <w:tr w:rsidR="00DB1AEE" w:rsidRPr="00DB1AEE" w14:paraId="6B6C4BE0" w14:textId="77777777" w:rsidTr="00FC1832">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A043F5D" w14:textId="77777777" w:rsidR="00DB1AEE" w:rsidRPr="00DB1AEE" w:rsidRDefault="00DB1AEE" w:rsidP="00DB1AEE">
            <w:pPr>
              <w:autoSpaceDE w:val="0"/>
              <w:autoSpaceDN w:val="0"/>
              <w:adjustRightInd w:val="0"/>
              <w:spacing w:before="20" w:after="20" w:line="200" w:lineRule="atLeast"/>
              <w:jc w:val="left"/>
              <w:rPr>
                <w:szCs w:val="24"/>
                <w:u w:val="single"/>
              </w:rPr>
            </w:pPr>
            <w:r w:rsidRPr="00DB1AEE">
              <w:rPr>
                <w:szCs w:val="24"/>
                <w:u w:val="single"/>
              </w:rPr>
              <w:t>Storage room</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FFF97B8" w14:textId="77777777" w:rsidR="00DB1AEE" w:rsidRPr="00DB1AEE" w:rsidRDefault="00DB1AEE" w:rsidP="00DB1AEE">
            <w:pPr>
              <w:autoSpaceDE w:val="0"/>
              <w:autoSpaceDN w:val="0"/>
              <w:adjustRightInd w:val="0"/>
              <w:spacing w:before="20" w:after="20" w:line="200" w:lineRule="atLeast"/>
              <w:jc w:val="center"/>
              <w:rPr>
                <w:szCs w:val="24"/>
                <w:u w:val="single"/>
              </w:rPr>
            </w:pPr>
            <w:r w:rsidRPr="00DB1AEE">
              <w:rPr>
                <w:szCs w:val="24"/>
                <w:u w:val="single"/>
              </w:rPr>
              <w:t>0.35</w:t>
            </w:r>
          </w:p>
        </w:tc>
      </w:tr>
      <w:tr w:rsidR="00DB1AEE" w:rsidRPr="00DB1AEE" w14:paraId="093FA51E" w14:textId="77777777" w:rsidTr="00FC1832">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4A7CF01" w14:textId="77777777" w:rsidR="00DB1AEE" w:rsidRPr="00DB1AEE" w:rsidRDefault="00DB1AEE" w:rsidP="00DB1AEE">
            <w:pPr>
              <w:autoSpaceDE w:val="0"/>
              <w:autoSpaceDN w:val="0"/>
              <w:adjustRightInd w:val="0"/>
              <w:spacing w:before="20" w:after="20" w:line="200" w:lineRule="atLeast"/>
              <w:jc w:val="left"/>
              <w:rPr>
                <w:szCs w:val="24"/>
                <w:u w:val="single"/>
              </w:rPr>
            </w:pPr>
            <w:r w:rsidRPr="00DB1AEE">
              <w:rPr>
                <w:szCs w:val="24"/>
                <w:u w:val="single"/>
              </w:rPr>
              <w:t>Vehicular maintenance area</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4BD324E" w14:textId="77777777" w:rsidR="00DB1AEE" w:rsidRPr="00DB1AEE" w:rsidRDefault="00DB1AEE" w:rsidP="00DB1AEE">
            <w:pPr>
              <w:autoSpaceDE w:val="0"/>
              <w:autoSpaceDN w:val="0"/>
              <w:adjustRightInd w:val="0"/>
              <w:spacing w:before="20" w:after="20" w:line="200" w:lineRule="atLeast"/>
              <w:jc w:val="center"/>
              <w:rPr>
                <w:strike/>
                <w:szCs w:val="24"/>
                <w:u w:val="single"/>
              </w:rPr>
            </w:pPr>
            <w:r w:rsidRPr="00DB1AEE">
              <w:rPr>
                <w:szCs w:val="24"/>
                <w:u w:val="single"/>
              </w:rPr>
              <w:t xml:space="preserve"> </w:t>
            </w:r>
            <w:r w:rsidRPr="00DB1AEE">
              <w:rPr>
                <w:w w:val="0"/>
                <w:szCs w:val="24"/>
                <w:u w:val="single"/>
              </w:rPr>
              <w:t>0.53</w:t>
            </w:r>
          </w:p>
        </w:tc>
      </w:tr>
      <w:tr w:rsidR="00DB1AEE" w:rsidRPr="00DB1AEE" w14:paraId="4F5AEFB9" w14:textId="77777777" w:rsidTr="00FC1832">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9AE2E03" w14:textId="77777777" w:rsidR="00DB1AEE" w:rsidRPr="00DB1AEE" w:rsidRDefault="00DB1AEE" w:rsidP="00DB1AEE">
            <w:pPr>
              <w:autoSpaceDE w:val="0"/>
              <w:autoSpaceDN w:val="0"/>
              <w:adjustRightInd w:val="0"/>
              <w:spacing w:before="20" w:after="20" w:line="200" w:lineRule="atLeast"/>
              <w:jc w:val="left"/>
              <w:rPr>
                <w:szCs w:val="24"/>
                <w:u w:val="single"/>
              </w:rPr>
            </w:pPr>
            <w:r w:rsidRPr="00DB1AEE">
              <w:rPr>
                <w:szCs w:val="24"/>
                <w:u w:val="single"/>
              </w:rPr>
              <w:t>Workshop</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A28192E" w14:textId="77777777" w:rsidR="00DB1AEE" w:rsidRPr="00DB1AEE" w:rsidRDefault="00DB1AEE" w:rsidP="00DB1AEE">
            <w:pPr>
              <w:autoSpaceDE w:val="0"/>
              <w:autoSpaceDN w:val="0"/>
              <w:adjustRightInd w:val="0"/>
              <w:spacing w:before="20" w:after="20" w:line="200" w:lineRule="atLeast"/>
              <w:jc w:val="center"/>
              <w:rPr>
                <w:strike/>
                <w:szCs w:val="24"/>
                <w:u w:val="single"/>
              </w:rPr>
            </w:pPr>
            <w:r w:rsidRPr="00DB1AEE">
              <w:rPr>
                <w:szCs w:val="24"/>
                <w:u w:val="single"/>
              </w:rPr>
              <w:t xml:space="preserve"> </w:t>
            </w:r>
            <w:r w:rsidRPr="00DB1AEE">
              <w:rPr>
                <w:w w:val="0"/>
                <w:szCs w:val="24"/>
                <w:u w:val="single"/>
              </w:rPr>
              <w:t>1.09</w:t>
            </w:r>
          </w:p>
        </w:tc>
      </w:tr>
      <w:tr w:rsidR="00DB1AEE" w:rsidRPr="00DB1AEE" w14:paraId="298651AC" w14:textId="77777777" w:rsidTr="00FC1832">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EAB6944" w14:textId="77777777" w:rsidR="00DB1AEE" w:rsidRPr="00DB1AEE" w:rsidRDefault="00DB1AEE" w:rsidP="00DB1AEE">
            <w:pPr>
              <w:autoSpaceDE w:val="0"/>
              <w:autoSpaceDN w:val="0"/>
              <w:adjustRightInd w:val="0"/>
              <w:spacing w:before="20" w:after="20" w:line="200" w:lineRule="atLeast"/>
              <w:jc w:val="center"/>
              <w:rPr>
                <w:szCs w:val="24"/>
                <w:u w:val="single"/>
              </w:rPr>
            </w:pPr>
            <w:r w:rsidRPr="00DB1AEE">
              <w:rPr>
                <w:szCs w:val="24"/>
                <w:u w:val="single"/>
              </w:rPr>
              <w:t>BUILDING TYPE SPECIFIC SPACE TYPES</w:t>
            </w:r>
            <w:r w:rsidRPr="00DB1AEE">
              <w:rPr>
                <w:szCs w:val="24"/>
                <w:u w:val="single"/>
                <w:vertAlign w:val="superscript"/>
              </w:rPr>
              <w:t>a</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0F24678" w14:textId="77777777" w:rsidR="00DB1AEE" w:rsidRPr="00DB1AEE" w:rsidRDefault="00DB1AEE" w:rsidP="00DB1AEE">
            <w:pPr>
              <w:autoSpaceDE w:val="0"/>
              <w:autoSpaceDN w:val="0"/>
              <w:adjustRightInd w:val="0"/>
              <w:spacing w:before="20" w:after="20" w:line="200" w:lineRule="atLeast"/>
              <w:jc w:val="center"/>
              <w:rPr>
                <w:szCs w:val="24"/>
                <w:u w:val="single"/>
              </w:rPr>
            </w:pPr>
            <w:r w:rsidRPr="00DB1AEE">
              <w:rPr>
                <w:szCs w:val="24"/>
                <w:u w:val="single"/>
              </w:rPr>
              <w:t>LPD (watts/ft²)</w:t>
            </w:r>
          </w:p>
        </w:tc>
      </w:tr>
      <w:tr w:rsidR="00DB1AEE" w:rsidRPr="00DB1AEE" w14:paraId="631C0940" w14:textId="77777777" w:rsidTr="00FC1832">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0F7F26D"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rPr>
              <w:t>Automotive (see Vehicular maintenance area)</w:t>
            </w:r>
          </w:p>
        </w:tc>
      </w:tr>
      <w:tr w:rsidR="00DB1AEE" w:rsidRPr="00DB1AEE" w14:paraId="28858EFE" w14:textId="77777777" w:rsidTr="00FC1832">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59BCB4B"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rPr>
              <w:t>Convention Center—exhibit space</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4D2DD6F"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0.50</w:t>
            </w:r>
          </w:p>
        </w:tc>
      </w:tr>
      <w:tr w:rsidR="00DB1AEE" w:rsidRPr="00DB1AEE" w14:paraId="79DDEC33" w14:textId="77777777" w:rsidTr="00FC1832">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6CB6B6F"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rPr>
              <w:t>Dormitory—living quarters</w:t>
            </w:r>
            <w:r w:rsidRPr="00DB1AEE">
              <w:rPr>
                <w:szCs w:val="24"/>
                <w:u w:val="single"/>
                <w:vertAlign w:val="superscript"/>
              </w:rPr>
              <w:t>c, d</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4E54DE6"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 xml:space="preserve"> </w:t>
            </w:r>
            <w:r w:rsidRPr="00DB1AEE">
              <w:rPr>
                <w:w w:val="0"/>
                <w:szCs w:val="24"/>
                <w:u w:val="single"/>
              </w:rPr>
              <w:t>0.46</w:t>
            </w:r>
          </w:p>
          <w:p w14:paraId="4BEA62D2" w14:textId="77777777" w:rsidR="00DB1AEE" w:rsidRPr="00DB1AEE" w:rsidRDefault="00DB1AEE" w:rsidP="00DB1AEE">
            <w:pPr>
              <w:autoSpaceDE w:val="0"/>
              <w:autoSpaceDN w:val="0"/>
              <w:adjustRightInd w:val="0"/>
              <w:spacing w:before="20" w:after="20" w:line="200" w:lineRule="atLeast"/>
              <w:jc w:val="center"/>
              <w:rPr>
                <w:w w:val="0"/>
                <w:szCs w:val="24"/>
                <w:u w:val="single"/>
              </w:rPr>
            </w:pPr>
          </w:p>
        </w:tc>
      </w:tr>
      <w:tr w:rsidR="00DB1AEE" w:rsidRPr="00DB1AEE" w14:paraId="1C4CB9C1" w14:textId="77777777" w:rsidTr="00FC1832">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1BB5F88"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rPr>
              <w:t>Facility for the visually impaired</w:t>
            </w:r>
            <w:r w:rsidRPr="00DB1AEE">
              <w:rPr>
                <w:szCs w:val="24"/>
                <w:u w:val="single"/>
                <w:vertAlign w:val="superscript"/>
              </w:rPr>
              <w:t>b</w:t>
            </w:r>
          </w:p>
        </w:tc>
      </w:tr>
      <w:tr w:rsidR="00DB1AEE" w:rsidRPr="00DB1AEE" w14:paraId="54585EAA" w14:textId="77777777" w:rsidTr="00FC1832">
        <w:trPr>
          <w:trHeight w:val="4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67ED051" w14:textId="77777777" w:rsidR="00DB1AEE" w:rsidRPr="00DB1AEE" w:rsidRDefault="00DB1AEE" w:rsidP="00DB1AEE">
            <w:pPr>
              <w:suppressAutoHyphens/>
              <w:autoSpaceDE w:val="0"/>
              <w:autoSpaceDN w:val="0"/>
              <w:adjustRightInd w:val="0"/>
              <w:spacing w:before="20" w:after="20" w:line="200" w:lineRule="atLeast"/>
              <w:ind w:left="300" w:hanging="300"/>
              <w:jc w:val="left"/>
              <w:rPr>
                <w:w w:val="0"/>
                <w:szCs w:val="24"/>
                <w:u w:val="single"/>
              </w:rPr>
            </w:pPr>
            <w:r w:rsidRPr="00DB1AEE">
              <w:rPr>
                <w:szCs w:val="24"/>
                <w:u w:val="single"/>
              </w:rPr>
              <w:tab/>
              <w:t>In a chapel (and not used primarily by the staff)</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A0A9DE7"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0.58</w:t>
            </w:r>
          </w:p>
        </w:tc>
      </w:tr>
      <w:tr w:rsidR="00DB1AEE" w:rsidRPr="00DB1AEE" w14:paraId="7BC2C321" w14:textId="77777777" w:rsidTr="00FC1832">
        <w:trPr>
          <w:trHeight w:val="4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D347EFD" w14:textId="77777777" w:rsidR="00DB1AEE" w:rsidRPr="00DB1AEE" w:rsidRDefault="00DB1AEE" w:rsidP="00DB1AEE">
            <w:pPr>
              <w:suppressAutoHyphens/>
              <w:autoSpaceDE w:val="0"/>
              <w:autoSpaceDN w:val="0"/>
              <w:adjustRightInd w:val="0"/>
              <w:spacing w:before="20" w:after="20" w:line="200" w:lineRule="atLeast"/>
              <w:ind w:left="300" w:hanging="300"/>
              <w:jc w:val="left"/>
              <w:rPr>
                <w:w w:val="0"/>
                <w:szCs w:val="24"/>
                <w:u w:val="single"/>
              </w:rPr>
            </w:pPr>
            <w:r w:rsidRPr="00DB1AEE">
              <w:rPr>
                <w:szCs w:val="24"/>
                <w:u w:val="single"/>
              </w:rPr>
              <w:tab/>
              <w:t>In a recreation room (and not used primarily by the staff)</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1F8AAF1"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1.20</w:t>
            </w:r>
          </w:p>
        </w:tc>
      </w:tr>
      <w:tr w:rsidR="00DB1AEE" w:rsidRPr="00DB1AEE" w14:paraId="09F4B62E" w14:textId="77777777" w:rsidTr="00FC1832">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9C4B22F" w14:textId="77777777" w:rsidR="00DB1AEE" w:rsidRPr="00DB1AEE" w:rsidRDefault="00DB1AEE" w:rsidP="00DB1AEE">
            <w:pPr>
              <w:autoSpaceDE w:val="0"/>
              <w:autoSpaceDN w:val="0"/>
              <w:adjustRightInd w:val="0"/>
              <w:spacing w:before="20" w:after="20" w:line="200" w:lineRule="atLeast"/>
              <w:jc w:val="left"/>
              <w:rPr>
                <w:strike/>
                <w:szCs w:val="24"/>
                <w:u w:val="single"/>
              </w:rPr>
            </w:pPr>
            <w:r w:rsidRPr="00DB1AEE">
              <w:rPr>
                <w:szCs w:val="24"/>
                <w:u w:val="single"/>
              </w:rPr>
              <w:t>Gaming establishments</w:t>
            </w:r>
          </w:p>
        </w:tc>
      </w:tr>
      <w:tr w:rsidR="00DB1AEE" w:rsidRPr="00DB1AEE" w14:paraId="08F36A50" w14:textId="77777777" w:rsidTr="00FC1832">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BFDB4FE" w14:textId="77777777" w:rsidR="00DB1AEE" w:rsidRPr="00DB1AEE" w:rsidRDefault="00DB1AEE" w:rsidP="00DB1AEE">
            <w:pPr>
              <w:autoSpaceDE w:val="0"/>
              <w:autoSpaceDN w:val="0"/>
              <w:adjustRightInd w:val="0"/>
              <w:spacing w:before="20" w:after="20" w:line="200" w:lineRule="atLeast"/>
              <w:ind w:left="144"/>
              <w:jc w:val="left"/>
              <w:rPr>
                <w:szCs w:val="24"/>
                <w:u w:val="single"/>
              </w:rPr>
            </w:pPr>
            <w:r w:rsidRPr="00DB1AEE">
              <w:rPr>
                <w:szCs w:val="24"/>
                <w:u w:val="single"/>
              </w:rPr>
              <w:t>High limits game</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F15232E" w14:textId="77777777" w:rsidR="00DB1AEE" w:rsidRPr="00DB1AEE" w:rsidRDefault="00DB1AEE" w:rsidP="00DB1AEE">
            <w:pPr>
              <w:autoSpaceDE w:val="0"/>
              <w:autoSpaceDN w:val="0"/>
              <w:adjustRightInd w:val="0"/>
              <w:spacing w:before="20" w:after="20" w:line="200" w:lineRule="atLeast"/>
              <w:jc w:val="center"/>
              <w:rPr>
                <w:szCs w:val="24"/>
                <w:u w:val="single"/>
              </w:rPr>
            </w:pPr>
            <w:r w:rsidRPr="00DB1AEE">
              <w:rPr>
                <w:szCs w:val="24"/>
                <w:u w:val="single"/>
              </w:rPr>
              <w:t>1.68</w:t>
            </w:r>
          </w:p>
        </w:tc>
      </w:tr>
      <w:tr w:rsidR="00DB1AEE" w:rsidRPr="00DB1AEE" w14:paraId="4744B104" w14:textId="77777777" w:rsidTr="00FC1832">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D42474A" w14:textId="77777777" w:rsidR="00DB1AEE" w:rsidRPr="00DB1AEE" w:rsidRDefault="00DB1AEE" w:rsidP="00DB1AEE">
            <w:pPr>
              <w:autoSpaceDE w:val="0"/>
              <w:autoSpaceDN w:val="0"/>
              <w:adjustRightInd w:val="0"/>
              <w:spacing w:before="20" w:after="20" w:line="200" w:lineRule="atLeast"/>
              <w:ind w:left="144"/>
              <w:jc w:val="left"/>
              <w:rPr>
                <w:szCs w:val="24"/>
                <w:u w:val="single"/>
              </w:rPr>
            </w:pPr>
            <w:r w:rsidRPr="00DB1AEE">
              <w:rPr>
                <w:szCs w:val="24"/>
                <w:u w:val="single"/>
              </w:rPr>
              <w:t>Slots</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2B5E5FB" w14:textId="77777777" w:rsidR="00DB1AEE" w:rsidRPr="00DB1AEE" w:rsidRDefault="00DB1AEE" w:rsidP="00DB1AEE">
            <w:pPr>
              <w:autoSpaceDE w:val="0"/>
              <w:autoSpaceDN w:val="0"/>
              <w:adjustRightInd w:val="0"/>
              <w:spacing w:before="20" w:after="20" w:line="200" w:lineRule="atLeast"/>
              <w:jc w:val="center"/>
              <w:rPr>
                <w:szCs w:val="24"/>
                <w:u w:val="single"/>
              </w:rPr>
            </w:pPr>
            <w:r w:rsidRPr="00DB1AEE">
              <w:rPr>
                <w:szCs w:val="24"/>
                <w:u w:val="single"/>
              </w:rPr>
              <w:t>0.54</w:t>
            </w:r>
          </w:p>
        </w:tc>
      </w:tr>
      <w:tr w:rsidR="00DB1AEE" w:rsidRPr="00DB1AEE" w14:paraId="1CC735F1" w14:textId="77777777" w:rsidTr="00FC1832">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147B069" w14:textId="77777777" w:rsidR="00DB1AEE" w:rsidRPr="00DB1AEE" w:rsidRDefault="00DB1AEE" w:rsidP="00DB1AEE">
            <w:pPr>
              <w:autoSpaceDE w:val="0"/>
              <w:autoSpaceDN w:val="0"/>
              <w:adjustRightInd w:val="0"/>
              <w:spacing w:before="20" w:after="20" w:line="200" w:lineRule="atLeast"/>
              <w:ind w:left="144"/>
              <w:jc w:val="left"/>
              <w:rPr>
                <w:szCs w:val="24"/>
                <w:u w:val="single"/>
              </w:rPr>
            </w:pPr>
            <w:r w:rsidRPr="00DB1AEE">
              <w:rPr>
                <w:szCs w:val="24"/>
                <w:u w:val="single"/>
              </w:rPr>
              <w:t>Sportsbook</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6476A56" w14:textId="77777777" w:rsidR="00DB1AEE" w:rsidRPr="00DB1AEE" w:rsidRDefault="00DB1AEE" w:rsidP="00DB1AEE">
            <w:pPr>
              <w:autoSpaceDE w:val="0"/>
              <w:autoSpaceDN w:val="0"/>
              <w:adjustRightInd w:val="0"/>
              <w:spacing w:before="20" w:after="20" w:line="200" w:lineRule="atLeast"/>
              <w:jc w:val="center"/>
              <w:rPr>
                <w:szCs w:val="24"/>
                <w:u w:val="single"/>
              </w:rPr>
            </w:pPr>
            <w:r w:rsidRPr="00DB1AEE">
              <w:rPr>
                <w:szCs w:val="24"/>
                <w:u w:val="single"/>
              </w:rPr>
              <w:t>0.82</w:t>
            </w:r>
          </w:p>
        </w:tc>
      </w:tr>
      <w:tr w:rsidR="00DB1AEE" w:rsidRPr="00DB1AEE" w14:paraId="774AA645" w14:textId="77777777" w:rsidTr="00FC1832">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16D2A15" w14:textId="77777777" w:rsidR="00DB1AEE" w:rsidRPr="00DB1AEE" w:rsidRDefault="00DB1AEE" w:rsidP="00DB1AEE">
            <w:pPr>
              <w:autoSpaceDE w:val="0"/>
              <w:autoSpaceDN w:val="0"/>
              <w:adjustRightInd w:val="0"/>
              <w:spacing w:before="20" w:after="20" w:line="200" w:lineRule="atLeast"/>
              <w:ind w:left="144"/>
              <w:jc w:val="left"/>
              <w:rPr>
                <w:szCs w:val="24"/>
                <w:u w:val="single"/>
              </w:rPr>
            </w:pPr>
            <w:r w:rsidRPr="00DB1AEE">
              <w:rPr>
                <w:szCs w:val="24"/>
                <w:u w:val="single"/>
              </w:rPr>
              <w:t>Table Games</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3F41EB3" w14:textId="77777777" w:rsidR="00DB1AEE" w:rsidRPr="00DB1AEE" w:rsidRDefault="00DB1AEE" w:rsidP="00DB1AEE">
            <w:pPr>
              <w:autoSpaceDE w:val="0"/>
              <w:autoSpaceDN w:val="0"/>
              <w:adjustRightInd w:val="0"/>
              <w:spacing w:before="20" w:after="20" w:line="200" w:lineRule="atLeast"/>
              <w:jc w:val="center"/>
              <w:rPr>
                <w:szCs w:val="24"/>
                <w:u w:val="single"/>
              </w:rPr>
            </w:pPr>
            <w:r w:rsidRPr="00DB1AEE">
              <w:rPr>
                <w:szCs w:val="24"/>
                <w:u w:val="single"/>
              </w:rPr>
              <w:t>1.09</w:t>
            </w:r>
          </w:p>
        </w:tc>
      </w:tr>
      <w:tr w:rsidR="00DB1AEE" w:rsidRPr="00DB1AEE" w14:paraId="08B4A4AE" w14:textId="77777777" w:rsidTr="00FC1832">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5D99EFB"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rPr>
              <w:t>Gymnasium/fitness center</w:t>
            </w:r>
          </w:p>
        </w:tc>
      </w:tr>
      <w:tr w:rsidR="00DB1AEE" w:rsidRPr="00DB1AEE" w14:paraId="1228A43D" w14:textId="77777777" w:rsidTr="00FC1832">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51E621C" w14:textId="77777777" w:rsidR="00DB1AEE" w:rsidRPr="00DB1AEE" w:rsidRDefault="00DB1AEE" w:rsidP="00DB1AEE">
            <w:pPr>
              <w:suppressAutoHyphens/>
              <w:autoSpaceDE w:val="0"/>
              <w:autoSpaceDN w:val="0"/>
              <w:adjustRightInd w:val="0"/>
              <w:spacing w:before="20" w:after="20" w:line="200" w:lineRule="atLeast"/>
              <w:ind w:left="540" w:hanging="300"/>
              <w:jc w:val="left"/>
              <w:rPr>
                <w:w w:val="0"/>
                <w:szCs w:val="24"/>
                <w:u w:val="single"/>
              </w:rPr>
            </w:pPr>
            <w:r w:rsidRPr="00DB1AEE">
              <w:rPr>
                <w:szCs w:val="24"/>
                <w:u w:val="single"/>
              </w:rPr>
              <w:t>In an exercise area</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9A676CE" w14:textId="77777777" w:rsidR="00DB1AEE" w:rsidRPr="00DB1AEE" w:rsidRDefault="00DB1AEE" w:rsidP="00DB1AEE">
            <w:pPr>
              <w:autoSpaceDE w:val="0"/>
              <w:autoSpaceDN w:val="0"/>
              <w:adjustRightInd w:val="0"/>
              <w:spacing w:before="20" w:after="20" w:line="200" w:lineRule="atLeast"/>
              <w:jc w:val="center"/>
              <w:rPr>
                <w:strike/>
                <w:w w:val="0"/>
                <w:szCs w:val="24"/>
                <w:u w:val="single"/>
              </w:rPr>
            </w:pPr>
            <w:r w:rsidRPr="00DB1AEE">
              <w:rPr>
                <w:szCs w:val="24"/>
                <w:u w:val="single"/>
              </w:rPr>
              <w:t xml:space="preserve"> </w:t>
            </w:r>
            <w:r w:rsidRPr="00DB1AEE">
              <w:rPr>
                <w:w w:val="0"/>
                <w:szCs w:val="24"/>
                <w:u w:val="single"/>
              </w:rPr>
              <w:t>0.50</w:t>
            </w:r>
          </w:p>
        </w:tc>
      </w:tr>
      <w:tr w:rsidR="00DB1AEE" w:rsidRPr="00DB1AEE" w14:paraId="083B09AF" w14:textId="77777777" w:rsidTr="00FC1832">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C31851D" w14:textId="77777777" w:rsidR="00DB1AEE" w:rsidRPr="00DB1AEE" w:rsidRDefault="00DB1AEE" w:rsidP="00DB1AEE">
            <w:pPr>
              <w:suppressAutoHyphens/>
              <w:autoSpaceDE w:val="0"/>
              <w:autoSpaceDN w:val="0"/>
              <w:adjustRightInd w:val="0"/>
              <w:spacing w:before="20" w:after="20" w:line="200" w:lineRule="atLeast"/>
              <w:ind w:left="540" w:hanging="300"/>
              <w:jc w:val="left"/>
              <w:rPr>
                <w:w w:val="0"/>
                <w:szCs w:val="24"/>
                <w:u w:val="single"/>
              </w:rPr>
            </w:pPr>
            <w:r w:rsidRPr="00DB1AEE">
              <w:rPr>
                <w:szCs w:val="24"/>
                <w:u w:val="single"/>
              </w:rPr>
              <w:t>In a playing area</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2CC71EA" w14:textId="77777777" w:rsidR="00DB1AEE" w:rsidRPr="00DB1AEE" w:rsidRDefault="00DB1AEE" w:rsidP="00DB1AEE">
            <w:pPr>
              <w:autoSpaceDE w:val="0"/>
              <w:autoSpaceDN w:val="0"/>
              <w:adjustRightInd w:val="0"/>
              <w:spacing w:before="20" w:after="20" w:line="200" w:lineRule="atLeast"/>
              <w:jc w:val="center"/>
              <w:rPr>
                <w:strike/>
                <w:w w:val="0"/>
                <w:szCs w:val="24"/>
                <w:u w:val="single"/>
              </w:rPr>
            </w:pPr>
            <w:r w:rsidRPr="00DB1AEE">
              <w:rPr>
                <w:szCs w:val="24"/>
                <w:u w:val="single"/>
              </w:rPr>
              <w:t xml:space="preserve"> </w:t>
            </w:r>
            <w:r w:rsidRPr="00DB1AEE">
              <w:rPr>
                <w:w w:val="0"/>
                <w:szCs w:val="24"/>
                <w:u w:val="single"/>
              </w:rPr>
              <w:t>0.75</w:t>
            </w:r>
          </w:p>
        </w:tc>
      </w:tr>
      <w:tr w:rsidR="00DB1AEE" w:rsidRPr="00DB1AEE" w14:paraId="0279CD3C" w14:textId="77777777" w:rsidTr="00FC1832">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BEF32B9"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rPr>
              <w:t>Healthcare facility</w:t>
            </w:r>
          </w:p>
        </w:tc>
      </w:tr>
      <w:tr w:rsidR="00DB1AEE" w:rsidRPr="00DB1AEE" w14:paraId="27870FA3" w14:textId="77777777" w:rsidTr="00FC1832">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5C32B1A" w14:textId="77777777" w:rsidR="00DB1AEE" w:rsidRPr="00DB1AEE" w:rsidRDefault="00DB1AEE" w:rsidP="00DB1AEE">
            <w:pPr>
              <w:suppressAutoHyphens/>
              <w:autoSpaceDE w:val="0"/>
              <w:autoSpaceDN w:val="0"/>
              <w:adjustRightInd w:val="0"/>
              <w:spacing w:before="20" w:after="20" w:line="200" w:lineRule="atLeast"/>
              <w:ind w:left="540" w:hanging="300"/>
              <w:jc w:val="left"/>
              <w:rPr>
                <w:w w:val="0"/>
                <w:szCs w:val="24"/>
                <w:u w:val="single"/>
              </w:rPr>
            </w:pPr>
            <w:r w:rsidRPr="00DB1AEE">
              <w:rPr>
                <w:szCs w:val="24"/>
                <w:u w:val="single"/>
              </w:rPr>
              <w:t>In an exam/treatment room</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B592FAE" w14:textId="77777777" w:rsidR="00DB1AEE" w:rsidRPr="00DB1AEE" w:rsidRDefault="00DB1AEE" w:rsidP="00DB1AEE">
            <w:pPr>
              <w:autoSpaceDE w:val="0"/>
              <w:autoSpaceDN w:val="0"/>
              <w:adjustRightInd w:val="0"/>
              <w:spacing w:before="20" w:after="20" w:line="200" w:lineRule="atLeast"/>
              <w:jc w:val="center"/>
              <w:rPr>
                <w:strike/>
                <w:w w:val="0"/>
                <w:szCs w:val="24"/>
                <w:u w:val="single"/>
              </w:rPr>
            </w:pPr>
            <w:r w:rsidRPr="00DB1AEE">
              <w:rPr>
                <w:szCs w:val="24"/>
                <w:u w:val="single"/>
              </w:rPr>
              <w:t xml:space="preserve"> </w:t>
            </w:r>
            <w:r w:rsidRPr="00DB1AEE">
              <w:rPr>
                <w:w w:val="0"/>
                <w:szCs w:val="24"/>
                <w:u w:val="single"/>
              </w:rPr>
              <w:t>1.16</w:t>
            </w:r>
          </w:p>
        </w:tc>
      </w:tr>
      <w:tr w:rsidR="00DB1AEE" w:rsidRPr="00DB1AEE" w14:paraId="56D8F7EB" w14:textId="77777777" w:rsidTr="00FC1832">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36FA993" w14:textId="77777777" w:rsidR="00DB1AEE" w:rsidRPr="00DB1AEE" w:rsidRDefault="00DB1AEE" w:rsidP="00DB1AEE">
            <w:pPr>
              <w:suppressAutoHyphens/>
              <w:autoSpaceDE w:val="0"/>
              <w:autoSpaceDN w:val="0"/>
              <w:adjustRightInd w:val="0"/>
              <w:spacing w:before="20" w:after="20" w:line="200" w:lineRule="atLeast"/>
              <w:ind w:left="540" w:hanging="300"/>
              <w:jc w:val="left"/>
              <w:rPr>
                <w:w w:val="0"/>
                <w:szCs w:val="24"/>
                <w:u w:val="single"/>
              </w:rPr>
            </w:pPr>
            <w:r w:rsidRPr="00DB1AEE">
              <w:rPr>
                <w:szCs w:val="24"/>
                <w:u w:val="single"/>
              </w:rPr>
              <w:t>In an imaging room</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DC91935"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0.94</w:t>
            </w:r>
          </w:p>
        </w:tc>
      </w:tr>
      <w:tr w:rsidR="00DB1AEE" w:rsidRPr="00DB1AEE" w14:paraId="52566670" w14:textId="77777777" w:rsidTr="00FC1832">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CABE157" w14:textId="77777777" w:rsidR="00DB1AEE" w:rsidRPr="00DB1AEE" w:rsidRDefault="00DB1AEE" w:rsidP="00DB1AEE">
            <w:pPr>
              <w:suppressAutoHyphens/>
              <w:autoSpaceDE w:val="0"/>
              <w:autoSpaceDN w:val="0"/>
              <w:adjustRightInd w:val="0"/>
              <w:spacing w:before="20" w:after="20" w:line="200" w:lineRule="atLeast"/>
              <w:ind w:left="540" w:hanging="300"/>
              <w:jc w:val="left"/>
              <w:rPr>
                <w:w w:val="0"/>
                <w:szCs w:val="24"/>
                <w:u w:val="single"/>
              </w:rPr>
            </w:pPr>
            <w:r w:rsidRPr="00DB1AEE">
              <w:rPr>
                <w:szCs w:val="24"/>
                <w:u w:val="single"/>
              </w:rPr>
              <w:t>In a medical supply room</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8F0A0D2" w14:textId="77777777" w:rsidR="00DB1AEE" w:rsidRPr="00DB1AEE" w:rsidRDefault="00DB1AEE" w:rsidP="00DB1AEE">
            <w:pPr>
              <w:autoSpaceDE w:val="0"/>
              <w:autoSpaceDN w:val="0"/>
              <w:adjustRightInd w:val="0"/>
              <w:spacing w:before="20" w:after="20" w:line="200" w:lineRule="atLeast"/>
              <w:jc w:val="center"/>
              <w:rPr>
                <w:strike/>
                <w:w w:val="0"/>
                <w:szCs w:val="24"/>
                <w:u w:val="single"/>
              </w:rPr>
            </w:pPr>
            <w:r w:rsidRPr="00DB1AEE">
              <w:rPr>
                <w:szCs w:val="24"/>
                <w:u w:val="single"/>
              </w:rPr>
              <w:t xml:space="preserve"> </w:t>
            </w:r>
            <w:r w:rsidRPr="00DB1AEE">
              <w:rPr>
                <w:w w:val="0"/>
                <w:szCs w:val="24"/>
                <w:u w:val="single"/>
              </w:rPr>
              <w:t>0.54</w:t>
            </w:r>
          </w:p>
        </w:tc>
      </w:tr>
      <w:tr w:rsidR="00DB1AEE" w:rsidRPr="00DB1AEE" w14:paraId="15B95E9E" w14:textId="77777777" w:rsidTr="00FC1832">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7A4C1D5" w14:textId="77777777" w:rsidR="00DB1AEE" w:rsidRPr="00DB1AEE" w:rsidRDefault="00DB1AEE" w:rsidP="00DB1AEE">
            <w:pPr>
              <w:suppressAutoHyphens/>
              <w:autoSpaceDE w:val="0"/>
              <w:autoSpaceDN w:val="0"/>
              <w:adjustRightInd w:val="0"/>
              <w:spacing w:before="20" w:after="20" w:line="200" w:lineRule="atLeast"/>
              <w:ind w:left="540" w:hanging="300"/>
              <w:jc w:val="left"/>
              <w:rPr>
                <w:w w:val="0"/>
                <w:szCs w:val="24"/>
                <w:u w:val="single"/>
              </w:rPr>
            </w:pPr>
            <w:r w:rsidRPr="00DB1AEE">
              <w:rPr>
                <w:szCs w:val="24"/>
                <w:u w:val="single"/>
              </w:rPr>
              <w:t>In a nursery</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6ACFED7"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0.87</w:t>
            </w:r>
          </w:p>
        </w:tc>
      </w:tr>
      <w:tr w:rsidR="00DB1AEE" w:rsidRPr="00DB1AEE" w14:paraId="097EE560" w14:textId="77777777" w:rsidTr="00FC1832">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36F8514" w14:textId="77777777" w:rsidR="00DB1AEE" w:rsidRPr="00DB1AEE" w:rsidRDefault="00DB1AEE" w:rsidP="00DB1AEE">
            <w:pPr>
              <w:suppressAutoHyphens/>
              <w:autoSpaceDE w:val="0"/>
              <w:autoSpaceDN w:val="0"/>
              <w:adjustRightInd w:val="0"/>
              <w:spacing w:before="20" w:after="20" w:line="200" w:lineRule="atLeast"/>
              <w:ind w:left="540" w:hanging="300"/>
              <w:jc w:val="left"/>
              <w:rPr>
                <w:w w:val="0"/>
                <w:szCs w:val="24"/>
                <w:u w:val="single"/>
              </w:rPr>
            </w:pPr>
            <w:r w:rsidRPr="00DB1AEE">
              <w:rPr>
                <w:szCs w:val="24"/>
                <w:u w:val="single"/>
              </w:rPr>
              <w:t>In a nurse’s station</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8511426" w14:textId="77777777" w:rsidR="00DB1AEE" w:rsidRPr="00DB1AEE" w:rsidRDefault="00DB1AEE" w:rsidP="00DB1AEE">
            <w:pPr>
              <w:autoSpaceDE w:val="0"/>
              <w:autoSpaceDN w:val="0"/>
              <w:adjustRightInd w:val="0"/>
              <w:spacing w:before="20" w:after="20" w:line="200" w:lineRule="atLeast"/>
              <w:jc w:val="center"/>
              <w:rPr>
                <w:strike/>
                <w:w w:val="0"/>
                <w:szCs w:val="24"/>
                <w:u w:val="single"/>
              </w:rPr>
            </w:pPr>
            <w:r w:rsidRPr="00DB1AEE">
              <w:rPr>
                <w:w w:val="0"/>
                <w:szCs w:val="24"/>
                <w:u w:val="single"/>
              </w:rPr>
              <w:t>0.75</w:t>
            </w:r>
            <w:r w:rsidRPr="00DB1AEE">
              <w:rPr>
                <w:szCs w:val="24"/>
                <w:u w:val="single"/>
              </w:rPr>
              <w:t xml:space="preserve"> </w:t>
            </w:r>
          </w:p>
        </w:tc>
      </w:tr>
      <w:tr w:rsidR="00DB1AEE" w:rsidRPr="00DB1AEE" w14:paraId="35520CA0" w14:textId="77777777" w:rsidTr="00FC1832">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432591B" w14:textId="77777777" w:rsidR="00DB1AEE" w:rsidRPr="00DB1AEE" w:rsidRDefault="00DB1AEE" w:rsidP="00DB1AEE">
            <w:pPr>
              <w:suppressAutoHyphens/>
              <w:autoSpaceDE w:val="0"/>
              <w:autoSpaceDN w:val="0"/>
              <w:adjustRightInd w:val="0"/>
              <w:spacing w:before="20" w:after="20" w:line="200" w:lineRule="atLeast"/>
              <w:ind w:left="540" w:hanging="300"/>
              <w:jc w:val="left"/>
              <w:rPr>
                <w:w w:val="0"/>
                <w:szCs w:val="24"/>
                <w:u w:val="single"/>
              </w:rPr>
            </w:pPr>
            <w:r w:rsidRPr="00DB1AEE">
              <w:rPr>
                <w:szCs w:val="24"/>
                <w:u w:val="single"/>
              </w:rPr>
              <w:t>In an operating room</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A915AB7" w14:textId="77777777" w:rsidR="00DB1AEE" w:rsidRPr="00DB1AEE" w:rsidRDefault="00DB1AEE" w:rsidP="00DB1AEE">
            <w:pPr>
              <w:autoSpaceDE w:val="0"/>
              <w:autoSpaceDN w:val="0"/>
              <w:adjustRightInd w:val="0"/>
              <w:spacing w:before="20" w:after="20" w:line="200" w:lineRule="atLeast"/>
              <w:jc w:val="center"/>
              <w:rPr>
                <w:strike/>
                <w:w w:val="0"/>
                <w:szCs w:val="24"/>
                <w:u w:val="single"/>
              </w:rPr>
            </w:pPr>
            <w:r w:rsidRPr="00DB1AEE">
              <w:rPr>
                <w:w w:val="0"/>
                <w:szCs w:val="24"/>
                <w:u w:val="single"/>
              </w:rPr>
              <w:t>1.87</w:t>
            </w:r>
          </w:p>
        </w:tc>
      </w:tr>
      <w:tr w:rsidR="00DB1AEE" w:rsidRPr="00DB1AEE" w14:paraId="48B2DFEF" w14:textId="77777777" w:rsidTr="00FC1832">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7BB3091" w14:textId="77777777" w:rsidR="00DB1AEE" w:rsidRPr="00DB1AEE" w:rsidRDefault="00DB1AEE" w:rsidP="00DB1AEE">
            <w:pPr>
              <w:suppressAutoHyphens/>
              <w:autoSpaceDE w:val="0"/>
              <w:autoSpaceDN w:val="0"/>
              <w:adjustRightInd w:val="0"/>
              <w:spacing w:before="20" w:after="20" w:line="200" w:lineRule="atLeast"/>
              <w:ind w:left="540" w:hanging="300"/>
              <w:jc w:val="left"/>
              <w:rPr>
                <w:w w:val="0"/>
                <w:szCs w:val="24"/>
                <w:u w:val="single"/>
              </w:rPr>
            </w:pPr>
            <w:r w:rsidRPr="00DB1AEE">
              <w:rPr>
                <w:szCs w:val="24"/>
                <w:u w:val="single"/>
              </w:rPr>
              <w:t>In a patient room</w:t>
            </w:r>
            <w:r w:rsidRPr="00DB1AEE">
              <w:rPr>
                <w:szCs w:val="24"/>
                <w:u w:val="single"/>
                <w:vertAlign w:val="superscript"/>
              </w:rPr>
              <w:t>c</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342E75E" w14:textId="77777777" w:rsidR="00DB1AEE" w:rsidRPr="00DB1AEE" w:rsidRDefault="00DB1AEE" w:rsidP="00DB1AEE">
            <w:pPr>
              <w:autoSpaceDE w:val="0"/>
              <w:autoSpaceDN w:val="0"/>
              <w:adjustRightInd w:val="0"/>
              <w:spacing w:before="20" w:after="20" w:line="200" w:lineRule="atLeast"/>
              <w:jc w:val="center"/>
              <w:rPr>
                <w:strike/>
                <w:w w:val="0"/>
                <w:szCs w:val="24"/>
                <w:u w:val="single"/>
              </w:rPr>
            </w:pPr>
            <w:r w:rsidRPr="00DB1AEE">
              <w:rPr>
                <w:szCs w:val="24"/>
                <w:u w:val="single"/>
              </w:rPr>
              <w:t xml:space="preserve"> </w:t>
            </w:r>
            <w:r w:rsidRPr="00DB1AEE">
              <w:rPr>
                <w:w w:val="0"/>
                <w:szCs w:val="24"/>
                <w:u w:val="single"/>
              </w:rPr>
              <w:t>0.45</w:t>
            </w:r>
          </w:p>
        </w:tc>
      </w:tr>
      <w:tr w:rsidR="00DB1AEE" w:rsidRPr="00DB1AEE" w14:paraId="30F4D7ED" w14:textId="77777777" w:rsidTr="00FC1832">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145A50D" w14:textId="77777777" w:rsidR="00DB1AEE" w:rsidRPr="00DB1AEE" w:rsidRDefault="00DB1AEE" w:rsidP="00DB1AEE">
            <w:pPr>
              <w:suppressAutoHyphens/>
              <w:autoSpaceDE w:val="0"/>
              <w:autoSpaceDN w:val="0"/>
              <w:adjustRightInd w:val="0"/>
              <w:spacing w:before="20" w:after="20" w:line="200" w:lineRule="atLeast"/>
              <w:ind w:left="540" w:hanging="300"/>
              <w:jc w:val="left"/>
              <w:rPr>
                <w:w w:val="0"/>
                <w:szCs w:val="24"/>
                <w:u w:val="single"/>
              </w:rPr>
            </w:pPr>
            <w:r w:rsidRPr="00DB1AEE">
              <w:rPr>
                <w:szCs w:val="24"/>
                <w:u w:val="single"/>
              </w:rPr>
              <w:t>In a physical therapy room</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7D9934E"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0.82</w:t>
            </w:r>
          </w:p>
        </w:tc>
      </w:tr>
      <w:tr w:rsidR="00DB1AEE" w:rsidRPr="00DB1AEE" w14:paraId="34028526" w14:textId="77777777" w:rsidTr="00FC1832">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C0C689A" w14:textId="77777777" w:rsidR="00DB1AEE" w:rsidRPr="00DB1AEE" w:rsidRDefault="00DB1AEE" w:rsidP="00DB1AEE">
            <w:pPr>
              <w:suppressAutoHyphens/>
              <w:autoSpaceDE w:val="0"/>
              <w:autoSpaceDN w:val="0"/>
              <w:adjustRightInd w:val="0"/>
              <w:spacing w:before="20" w:after="20" w:line="200" w:lineRule="atLeast"/>
              <w:ind w:left="540" w:hanging="300"/>
              <w:jc w:val="left"/>
              <w:rPr>
                <w:w w:val="0"/>
                <w:szCs w:val="24"/>
                <w:u w:val="single"/>
              </w:rPr>
            </w:pPr>
            <w:r w:rsidRPr="00DB1AEE">
              <w:rPr>
                <w:szCs w:val="24"/>
                <w:u w:val="single"/>
              </w:rPr>
              <w:t>In a recovery room</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315BD0D" w14:textId="77777777" w:rsidR="00DB1AEE" w:rsidRPr="00DB1AEE" w:rsidRDefault="00DB1AEE" w:rsidP="00DB1AEE">
            <w:pPr>
              <w:autoSpaceDE w:val="0"/>
              <w:autoSpaceDN w:val="0"/>
              <w:adjustRightInd w:val="0"/>
              <w:spacing w:before="20" w:after="20" w:line="200" w:lineRule="atLeast"/>
              <w:jc w:val="center"/>
              <w:rPr>
                <w:strike/>
                <w:w w:val="0"/>
                <w:szCs w:val="24"/>
                <w:u w:val="single"/>
              </w:rPr>
            </w:pPr>
            <w:r w:rsidRPr="00DB1AEE">
              <w:rPr>
                <w:w w:val="0"/>
                <w:szCs w:val="24"/>
                <w:u w:val="single"/>
              </w:rPr>
              <w:t>0.89</w:t>
            </w:r>
            <w:r w:rsidRPr="00DB1AEE">
              <w:rPr>
                <w:szCs w:val="24"/>
                <w:u w:val="single"/>
              </w:rPr>
              <w:t xml:space="preserve"> </w:t>
            </w:r>
          </w:p>
        </w:tc>
      </w:tr>
      <w:tr w:rsidR="00DB1AEE" w:rsidRPr="00DB1AEE" w14:paraId="19C33197" w14:textId="77777777" w:rsidTr="00FC1832">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FBACC15" w14:textId="77777777" w:rsidR="00DB1AEE" w:rsidRPr="00DB1AEE" w:rsidRDefault="00DB1AEE" w:rsidP="00DB1AEE">
            <w:pPr>
              <w:suppressAutoHyphens/>
              <w:autoSpaceDE w:val="0"/>
              <w:autoSpaceDN w:val="0"/>
              <w:adjustRightInd w:val="0"/>
              <w:spacing w:before="20" w:after="20" w:line="200" w:lineRule="atLeast"/>
              <w:ind w:left="540" w:hanging="300"/>
              <w:jc w:val="left"/>
              <w:rPr>
                <w:szCs w:val="24"/>
                <w:u w:val="single"/>
              </w:rPr>
            </w:pPr>
            <w:r w:rsidRPr="00DB1AEE">
              <w:rPr>
                <w:szCs w:val="24"/>
                <w:u w:val="single"/>
              </w:rPr>
              <w:t>In a telemedicine room</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C343432"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w w:val="0"/>
                <w:szCs w:val="24"/>
                <w:u w:val="single"/>
              </w:rPr>
              <w:t>1.44</w:t>
            </w:r>
          </w:p>
        </w:tc>
      </w:tr>
      <w:tr w:rsidR="00DB1AEE" w:rsidRPr="00DB1AEE" w14:paraId="1CEEE7DC" w14:textId="77777777" w:rsidTr="00FC1832">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0523602"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rPr>
              <w:t>Library</w:t>
            </w:r>
          </w:p>
        </w:tc>
      </w:tr>
      <w:tr w:rsidR="00DB1AEE" w:rsidRPr="00DB1AEE" w14:paraId="2DDFBDB8" w14:textId="77777777" w:rsidTr="00FC1832">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441A397" w14:textId="77777777" w:rsidR="00DB1AEE" w:rsidRPr="00DB1AEE" w:rsidRDefault="00DB1AEE" w:rsidP="00DB1AEE">
            <w:pPr>
              <w:suppressAutoHyphens/>
              <w:autoSpaceDE w:val="0"/>
              <w:autoSpaceDN w:val="0"/>
              <w:adjustRightInd w:val="0"/>
              <w:spacing w:before="20" w:after="20" w:line="200" w:lineRule="atLeast"/>
              <w:ind w:left="540" w:hanging="300"/>
              <w:jc w:val="left"/>
              <w:rPr>
                <w:w w:val="0"/>
                <w:szCs w:val="24"/>
                <w:u w:val="single"/>
              </w:rPr>
            </w:pPr>
            <w:r w:rsidRPr="00DB1AEE">
              <w:rPr>
                <w:szCs w:val="24"/>
                <w:u w:val="single"/>
              </w:rPr>
              <w:t>In a reading area</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52D81F7" w14:textId="77777777" w:rsidR="00DB1AEE" w:rsidRPr="00DB1AEE" w:rsidRDefault="00DB1AEE" w:rsidP="00DB1AEE">
            <w:pPr>
              <w:autoSpaceDE w:val="0"/>
              <w:autoSpaceDN w:val="0"/>
              <w:adjustRightInd w:val="0"/>
              <w:spacing w:before="20" w:after="20" w:line="200" w:lineRule="atLeast"/>
              <w:jc w:val="center"/>
              <w:rPr>
                <w:strike/>
                <w:w w:val="0"/>
                <w:szCs w:val="24"/>
                <w:u w:val="single"/>
              </w:rPr>
            </w:pPr>
            <w:r w:rsidRPr="00DB1AEE">
              <w:rPr>
                <w:szCs w:val="24"/>
                <w:u w:val="single"/>
              </w:rPr>
              <w:t xml:space="preserve"> </w:t>
            </w:r>
            <w:r w:rsidRPr="00DB1AEE">
              <w:rPr>
                <w:w w:val="0"/>
                <w:szCs w:val="24"/>
                <w:u w:val="single"/>
              </w:rPr>
              <w:t>0.77</w:t>
            </w:r>
          </w:p>
        </w:tc>
      </w:tr>
      <w:tr w:rsidR="00DB1AEE" w:rsidRPr="00DB1AEE" w14:paraId="2E29190B" w14:textId="77777777" w:rsidTr="00FC1832">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B7DFF47" w14:textId="77777777" w:rsidR="00DB1AEE" w:rsidRPr="00DB1AEE" w:rsidRDefault="00DB1AEE" w:rsidP="00DB1AEE">
            <w:pPr>
              <w:suppressAutoHyphens/>
              <w:autoSpaceDE w:val="0"/>
              <w:autoSpaceDN w:val="0"/>
              <w:adjustRightInd w:val="0"/>
              <w:spacing w:before="20" w:after="20" w:line="200" w:lineRule="atLeast"/>
              <w:ind w:left="540" w:hanging="300"/>
              <w:jc w:val="left"/>
              <w:rPr>
                <w:w w:val="0"/>
                <w:szCs w:val="24"/>
                <w:u w:val="single"/>
              </w:rPr>
            </w:pPr>
            <w:r w:rsidRPr="00DB1AEE">
              <w:rPr>
                <w:szCs w:val="24"/>
                <w:u w:val="single"/>
              </w:rPr>
              <w:t>In the stacks</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BB732EB"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1.18</w:t>
            </w:r>
          </w:p>
        </w:tc>
      </w:tr>
      <w:tr w:rsidR="00DB1AEE" w:rsidRPr="00DB1AEE" w14:paraId="52C84A21" w14:textId="77777777" w:rsidTr="00FC1832">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9B29342"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rPr>
              <w:t>Manufacturing facility</w:t>
            </w:r>
          </w:p>
        </w:tc>
      </w:tr>
      <w:tr w:rsidR="00DB1AEE" w:rsidRPr="00DB1AEE" w14:paraId="4DD6AA8D" w14:textId="77777777" w:rsidTr="00FC1832">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8D0B744" w14:textId="77777777" w:rsidR="00DB1AEE" w:rsidRPr="00DB1AEE" w:rsidRDefault="00DB1AEE" w:rsidP="00DB1AEE">
            <w:pPr>
              <w:suppressAutoHyphens/>
              <w:autoSpaceDE w:val="0"/>
              <w:autoSpaceDN w:val="0"/>
              <w:adjustRightInd w:val="0"/>
              <w:spacing w:before="20" w:after="20" w:line="200" w:lineRule="atLeast"/>
              <w:ind w:left="540" w:hanging="300"/>
              <w:jc w:val="left"/>
              <w:rPr>
                <w:w w:val="0"/>
                <w:szCs w:val="24"/>
                <w:u w:val="single"/>
              </w:rPr>
            </w:pPr>
            <w:r w:rsidRPr="00DB1AEE">
              <w:rPr>
                <w:szCs w:val="24"/>
                <w:u w:val="single"/>
              </w:rPr>
              <w:t>In a detailed manufacturing area</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A139F65"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0.75</w:t>
            </w:r>
          </w:p>
        </w:tc>
      </w:tr>
      <w:tr w:rsidR="00DB1AEE" w:rsidRPr="00DB1AEE" w14:paraId="42A1807B" w14:textId="77777777" w:rsidTr="00FC1832">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F59BA4A" w14:textId="77777777" w:rsidR="00DB1AEE" w:rsidRPr="00DB1AEE" w:rsidRDefault="00DB1AEE" w:rsidP="00DB1AEE">
            <w:pPr>
              <w:suppressAutoHyphens/>
              <w:autoSpaceDE w:val="0"/>
              <w:autoSpaceDN w:val="0"/>
              <w:adjustRightInd w:val="0"/>
              <w:spacing w:before="20" w:after="20" w:line="200" w:lineRule="atLeast"/>
              <w:ind w:left="540" w:hanging="300"/>
              <w:jc w:val="left"/>
              <w:rPr>
                <w:w w:val="0"/>
                <w:szCs w:val="24"/>
                <w:u w:val="single"/>
              </w:rPr>
            </w:pPr>
            <w:r w:rsidRPr="00DB1AEE">
              <w:rPr>
                <w:szCs w:val="24"/>
                <w:u w:val="single"/>
              </w:rPr>
              <w:t>In an equipment room</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04C8544" w14:textId="77777777" w:rsidR="00DB1AEE" w:rsidRPr="00DB1AEE" w:rsidRDefault="00DB1AEE" w:rsidP="00DB1AEE">
            <w:pPr>
              <w:autoSpaceDE w:val="0"/>
              <w:autoSpaceDN w:val="0"/>
              <w:adjustRightInd w:val="0"/>
              <w:spacing w:before="20" w:after="20" w:line="200" w:lineRule="atLeast"/>
              <w:jc w:val="center"/>
              <w:rPr>
                <w:strike/>
                <w:w w:val="0"/>
                <w:szCs w:val="24"/>
                <w:u w:val="single"/>
              </w:rPr>
            </w:pPr>
            <w:r w:rsidRPr="00DB1AEE">
              <w:rPr>
                <w:szCs w:val="24"/>
                <w:u w:val="single"/>
              </w:rPr>
              <w:t xml:space="preserve"> </w:t>
            </w:r>
            <w:r w:rsidRPr="00DB1AEE">
              <w:rPr>
                <w:w w:val="0"/>
                <w:szCs w:val="24"/>
                <w:u w:val="single"/>
              </w:rPr>
              <w:t>0.61</w:t>
            </w:r>
          </w:p>
        </w:tc>
      </w:tr>
      <w:tr w:rsidR="00DB1AEE" w:rsidRPr="00DB1AEE" w14:paraId="04601148" w14:textId="77777777" w:rsidTr="00FC1832">
        <w:trPr>
          <w:trHeight w:val="4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8CAD569" w14:textId="77777777" w:rsidR="00DB1AEE" w:rsidRPr="00DB1AEE" w:rsidRDefault="00DB1AEE" w:rsidP="00DB1AEE">
            <w:pPr>
              <w:suppressAutoHyphens/>
              <w:autoSpaceDE w:val="0"/>
              <w:autoSpaceDN w:val="0"/>
              <w:adjustRightInd w:val="0"/>
              <w:spacing w:before="20" w:after="20" w:line="200" w:lineRule="atLeast"/>
              <w:ind w:left="300" w:hanging="300"/>
              <w:jc w:val="left"/>
              <w:rPr>
                <w:w w:val="0"/>
                <w:szCs w:val="24"/>
                <w:u w:val="single"/>
              </w:rPr>
            </w:pPr>
            <w:r w:rsidRPr="00DB1AEE">
              <w:rPr>
                <w:szCs w:val="24"/>
                <w:u w:val="single"/>
              </w:rPr>
              <w:tab/>
              <w:t>In an extra-high-bay area (greater than 50 feet floor-to-ceiling height)</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869F81C" w14:textId="77777777" w:rsidR="00DB1AEE" w:rsidRPr="00DB1AEE" w:rsidRDefault="00DB1AEE" w:rsidP="00DB1AEE">
            <w:pPr>
              <w:autoSpaceDE w:val="0"/>
              <w:autoSpaceDN w:val="0"/>
              <w:adjustRightInd w:val="0"/>
              <w:spacing w:before="20" w:after="20" w:line="200" w:lineRule="atLeast"/>
              <w:jc w:val="center"/>
              <w:rPr>
                <w:strike/>
                <w:w w:val="0"/>
                <w:szCs w:val="24"/>
                <w:u w:val="single"/>
              </w:rPr>
            </w:pPr>
            <w:r w:rsidRPr="00DB1AEE">
              <w:rPr>
                <w:w w:val="0"/>
                <w:szCs w:val="24"/>
                <w:u w:val="single"/>
              </w:rPr>
              <w:t>0.73</w:t>
            </w:r>
            <w:r w:rsidRPr="00DB1AEE">
              <w:rPr>
                <w:szCs w:val="24"/>
                <w:u w:val="single"/>
              </w:rPr>
              <w:t xml:space="preserve"> </w:t>
            </w:r>
          </w:p>
        </w:tc>
      </w:tr>
      <w:tr w:rsidR="00DB1AEE" w:rsidRPr="00DB1AEE" w14:paraId="2222F50B" w14:textId="77777777" w:rsidTr="00FC1832">
        <w:trPr>
          <w:trHeight w:val="4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483B917" w14:textId="77777777" w:rsidR="00DB1AEE" w:rsidRPr="00DB1AEE" w:rsidRDefault="00DB1AEE" w:rsidP="00DB1AEE">
            <w:pPr>
              <w:suppressAutoHyphens/>
              <w:autoSpaceDE w:val="0"/>
              <w:autoSpaceDN w:val="0"/>
              <w:adjustRightInd w:val="0"/>
              <w:spacing w:before="20" w:after="20" w:line="200" w:lineRule="atLeast"/>
              <w:ind w:left="300" w:hanging="300"/>
              <w:jc w:val="left"/>
              <w:rPr>
                <w:w w:val="0"/>
                <w:szCs w:val="24"/>
                <w:u w:val="single"/>
              </w:rPr>
            </w:pPr>
            <w:r w:rsidRPr="00DB1AEE">
              <w:rPr>
                <w:szCs w:val="24"/>
                <w:u w:val="single"/>
              </w:rPr>
              <w:tab/>
              <w:t>In a high-bay area (25</w:t>
            </w:r>
            <w:r w:rsidRPr="00DB1AEE">
              <w:rPr>
                <w:strike/>
                <w:szCs w:val="24"/>
                <w:u w:val="single"/>
              </w:rPr>
              <w:t>–</w:t>
            </w:r>
            <w:r w:rsidRPr="00DB1AEE">
              <w:rPr>
                <w:szCs w:val="24"/>
                <w:u w:val="single"/>
              </w:rPr>
              <w:t>50 feet floor-to-ceiling height)</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C60A18F" w14:textId="77777777" w:rsidR="00DB1AEE" w:rsidRPr="00DB1AEE" w:rsidRDefault="00DB1AEE" w:rsidP="00DB1AEE">
            <w:pPr>
              <w:autoSpaceDE w:val="0"/>
              <w:autoSpaceDN w:val="0"/>
              <w:adjustRightInd w:val="0"/>
              <w:spacing w:before="20" w:after="20" w:line="200" w:lineRule="atLeast"/>
              <w:jc w:val="center"/>
              <w:rPr>
                <w:strike/>
                <w:w w:val="0"/>
                <w:szCs w:val="24"/>
                <w:u w:val="single"/>
              </w:rPr>
            </w:pPr>
            <w:r w:rsidRPr="00DB1AEE">
              <w:rPr>
                <w:w w:val="0"/>
                <w:szCs w:val="24"/>
                <w:u w:val="single"/>
              </w:rPr>
              <w:t>0.58</w:t>
            </w:r>
            <w:r w:rsidRPr="00DB1AEE">
              <w:rPr>
                <w:szCs w:val="24"/>
                <w:u w:val="single"/>
              </w:rPr>
              <w:t xml:space="preserve"> </w:t>
            </w:r>
          </w:p>
        </w:tc>
      </w:tr>
      <w:tr w:rsidR="00DB1AEE" w:rsidRPr="00DB1AEE" w14:paraId="0F571005" w14:textId="77777777" w:rsidTr="00FC1832">
        <w:trPr>
          <w:trHeight w:val="4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21F77D8" w14:textId="77777777" w:rsidR="00DB1AEE" w:rsidRPr="00DB1AEE" w:rsidRDefault="00DB1AEE" w:rsidP="00DB1AEE">
            <w:pPr>
              <w:suppressAutoHyphens/>
              <w:autoSpaceDE w:val="0"/>
              <w:autoSpaceDN w:val="0"/>
              <w:adjustRightInd w:val="0"/>
              <w:spacing w:before="20" w:after="20" w:line="200" w:lineRule="atLeast"/>
              <w:ind w:left="300" w:hanging="300"/>
              <w:jc w:val="left"/>
              <w:rPr>
                <w:w w:val="0"/>
                <w:szCs w:val="24"/>
                <w:u w:val="single"/>
              </w:rPr>
            </w:pPr>
            <w:r w:rsidRPr="00DB1AEE">
              <w:rPr>
                <w:szCs w:val="24"/>
                <w:u w:val="single"/>
              </w:rPr>
              <w:tab/>
              <w:t>In a low-bay area (less than 25 feet floor-to-ceiling height)</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C4572EE" w14:textId="77777777" w:rsidR="00DB1AEE" w:rsidRPr="00DB1AEE" w:rsidRDefault="00DB1AEE" w:rsidP="00DB1AEE">
            <w:pPr>
              <w:autoSpaceDE w:val="0"/>
              <w:autoSpaceDN w:val="0"/>
              <w:adjustRightInd w:val="0"/>
              <w:spacing w:before="20" w:after="20" w:line="200" w:lineRule="atLeast"/>
              <w:jc w:val="center"/>
              <w:rPr>
                <w:strike/>
                <w:w w:val="0"/>
                <w:szCs w:val="24"/>
                <w:u w:val="single"/>
              </w:rPr>
            </w:pPr>
            <w:r w:rsidRPr="00DB1AEE">
              <w:rPr>
                <w:w w:val="0"/>
                <w:szCs w:val="24"/>
                <w:u w:val="single"/>
              </w:rPr>
              <w:t xml:space="preserve"> 0.61</w:t>
            </w:r>
          </w:p>
        </w:tc>
      </w:tr>
      <w:tr w:rsidR="00DB1AEE" w:rsidRPr="00DB1AEE" w14:paraId="33408300" w14:textId="77777777" w:rsidTr="00FC1832">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A0E5787"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rPr>
              <w:t>Museum</w:t>
            </w:r>
          </w:p>
        </w:tc>
      </w:tr>
      <w:tr w:rsidR="00DB1AEE" w:rsidRPr="00DB1AEE" w14:paraId="378F918F" w14:textId="77777777" w:rsidTr="00FC1832">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CEE703D" w14:textId="77777777" w:rsidR="00DB1AEE" w:rsidRPr="00DB1AEE" w:rsidRDefault="00DB1AEE" w:rsidP="00DB1AEE">
            <w:pPr>
              <w:suppressAutoHyphens/>
              <w:autoSpaceDE w:val="0"/>
              <w:autoSpaceDN w:val="0"/>
              <w:adjustRightInd w:val="0"/>
              <w:spacing w:before="20" w:after="20" w:line="200" w:lineRule="atLeast"/>
              <w:ind w:left="540" w:hanging="300"/>
              <w:jc w:val="left"/>
              <w:rPr>
                <w:w w:val="0"/>
                <w:szCs w:val="24"/>
                <w:u w:val="single"/>
              </w:rPr>
            </w:pPr>
            <w:r w:rsidRPr="00DB1AEE">
              <w:rPr>
                <w:szCs w:val="24"/>
                <w:u w:val="single"/>
              </w:rPr>
              <w:t>In a general exhibition area</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254BACF"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0.31</w:t>
            </w:r>
          </w:p>
        </w:tc>
      </w:tr>
      <w:tr w:rsidR="00DB1AEE" w:rsidRPr="00DB1AEE" w14:paraId="252EA2B0" w14:textId="77777777" w:rsidTr="00FC1832">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9CFE641" w14:textId="77777777" w:rsidR="00DB1AEE" w:rsidRPr="00DB1AEE" w:rsidRDefault="00DB1AEE" w:rsidP="00DB1AEE">
            <w:pPr>
              <w:suppressAutoHyphens/>
              <w:autoSpaceDE w:val="0"/>
              <w:autoSpaceDN w:val="0"/>
              <w:adjustRightInd w:val="0"/>
              <w:spacing w:before="20" w:after="20" w:line="200" w:lineRule="atLeast"/>
              <w:ind w:left="540" w:hanging="300"/>
              <w:jc w:val="left"/>
              <w:rPr>
                <w:w w:val="0"/>
                <w:szCs w:val="24"/>
                <w:u w:val="single"/>
              </w:rPr>
            </w:pPr>
            <w:r w:rsidRPr="00DB1AEE">
              <w:rPr>
                <w:szCs w:val="24"/>
                <w:u w:val="single"/>
              </w:rPr>
              <w:t>In a restoration room</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7C11425" w14:textId="77777777" w:rsidR="00DB1AEE" w:rsidRPr="00DB1AEE" w:rsidRDefault="00DB1AEE" w:rsidP="00DB1AEE">
            <w:pPr>
              <w:autoSpaceDE w:val="0"/>
              <w:autoSpaceDN w:val="0"/>
              <w:adjustRightInd w:val="0"/>
              <w:spacing w:before="20" w:after="20" w:line="200" w:lineRule="atLeast"/>
              <w:jc w:val="center"/>
              <w:rPr>
                <w:strike/>
                <w:w w:val="0"/>
                <w:szCs w:val="24"/>
                <w:u w:val="single"/>
              </w:rPr>
            </w:pPr>
            <w:r w:rsidRPr="00DB1AEE">
              <w:rPr>
                <w:w w:val="0"/>
                <w:szCs w:val="24"/>
                <w:u w:val="single"/>
              </w:rPr>
              <w:t>0.77</w:t>
            </w:r>
          </w:p>
        </w:tc>
      </w:tr>
      <w:tr w:rsidR="00DB1AEE" w:rsidRPr="00DB1AEE" w14:paraId="4873382A" w14:textId="77777777" w:rsidTr="00FC1832">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9240C36"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rPr>
              <w:t>Performing arts theater—dressing room</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6F53807" w14:textId="77777777" w:rsidR="00DB1AEE" w:rsidRPr="00DB1AEE" w:rsidRDefault="00DB1AEE" w:rsidP="00DB1AEE">
            <w:pPr>
              <w:autoSpaceDE w:val="0"/>
              <w:autoSpaceDN w:val="0"/>
              <w:adjustRightInd w:val="0"/>
              <w:spacing w:before="20" w:after="20" w:line="200" w:lineRule="atLeast"/>
              <w:jc w:val="center"/>
              <w:rPr>
                <w:strike/>
                <w:w w:val="0"/>
                <w:szCs w:val="24"/>
                <w:u w:val="single"/>
              </w:rPr>
            </w:pPr>
            <w:r w:rsidRPr="00DB1AEE">
              <w:rPr>
                <w:szCs w:val="24"/>
                <w:u w:val="single"/>
              </w:rPr>
              <w:t xml:space="preserve"> </w:t>
            </w:r>
            <w:r w:rsidRPr="00DB1AEE">
              <w:rPr>
                <w:w w:val="0"/>
                <w:szCs w:val="24"/>
                <w:u w:val="single"/>
              </w:rPr>
              <w:t>0.35</w:t>
            </w:r>
          </w:p>
        </w:tc>
      </w:tr>
      <w:tr w:rsidR="00DB1AEE" w:rsidRPr="00DB1AEE" w14:paraId="3A3202AF" w14:textId="77777777" w:rsidTr="00FC1832">
        <w:trPr>
          <w:trHeight w:val="280"/>
          <w:jc w:val="right"/>
        </w:trPr>
        <w:tc>
          <w:tcPr>
            <w:tcW w:w="656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73E7203"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rPr>
              <w:t>Post office—sorting area</w:t>
            </w:r>
          </w:p>
        </w:tc>
        <w:tc>
          <w:tcPr>
            <w:tcW w:w="285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1A88CE6" w14:textId="77777777" w:rsidR="00DB1AEE" w:rsidRPr="00DB1AEE" w:rsidRDefault="00DB1AEE" w:rsidP="00DB1AEE">
            <w:pPr>
              <w:autoSpaceDE w:val="0"/>
              <w:autoSpaceDN w:val="0"/>
              <w:adjustRightInd w:val="0"/>
              <w:spacing w:before="20" w:after="20" w:line="200" w:lineRule="atLeast"/>
              <w:jc w:val="center"/>
              <w:rPr>
                <w:strike/>
                <w:w w:val="0"/>
                <w:szCs w:val="24"/>
                <w:u w:val="single"/>
              </w:rPr>
            </w:pPr>
            <w:r w:rsidRPr="00DB1AEE">
              <w:rPr>
                <w:szCs w:val="24"/>
                <w:u w:val="single"/>
              </w:rPr>
              <w:t xml:space="preserve"> </w:t>
            </w:r>
            <w:r w:rsidRPr="00DB1AEE">
              <w:rPr>
                <w:w w:val="0"/>
                <w:szCs w:val="24"/>
                <w:u w:val="single"/>
              </w:rPr>
              <w:t>0.66</w:t>
            </w:r>
          </w:p>
        </w:tc>
      </w:tr>
      <w:tr w:rsidR="00DB1AEE" w:rsidRPr="00DB1AEE" w14:paraId="615107F5" w14:textId="77777777" w:rsidTr="00FC1832">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B9DD715"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rPr>
              <w:t>Religious buildings</w:t>
            </w:r>
          </w:p>
        </w:tc>
      </w:tr>
      <w:tr w:rsidR="00DB1AEE" w:rsidRPr="00DB1AEE" w14:paraId="5BB71E02" w14:textId="77777777" w:rsidTr="00FC1832">
        <w:trPr>
          <w:trHeight w:val="280"/>
          <w:jc w:val="right"/>
        </w:trPr>
        <w:tc>
          <w:tcPr>
            <w:tcW w:w="6597"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CAB3F35" w14:textId="77777777" w:rsidR="00DB1AEE" w:rsidRPr="00DB1AEE" w:rsidRDefault="00DB1AEE" w:rsidP="00DB1AEE">
            <w:pPr>
              <w:suppressAutoHyphens/>
              <w:autoSpaceDE w:val="0"/>
              <w:autoSpaceDN w:val="0"/>
              <w:adjustRightInd w:val="0"/>
              <w:spacing w:before="20" w:after="20" w:line="200" w:lineRule="atLeast"/>
              <w:ind w:left="540" w:hanging="300"/>
              <w:jc w:val="left"/>
              <w:rPr>
                <w:w w:val="0"/>
                <w:szCs w:val="24"/>
                <w:u w:val="single"/>
              </w:rPr>
            </w:pPr>
            <w:r w:rsidRPr="00DB1AEE">
              <w:rPr>
                <w:szCs w:val="24"/>
                <w:u w:val="single"/>
              </w:rPr>
              <w:t>In a fellowship hall</w:t>
            </w:r>
          </w:p>
        </w:tc>
        <w:tc>
          <w:tcPr>
            <w:tcW w:w="2818"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0A4C219"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0.50</w:t>
            </w:r>
          </w:p>
        </w:tc>
      </w:tr>
      <w:tr w:rsidR="00DB1AEE" w:rsidRPr="00DB1AEE" w14:paraId="382B5838" w14:textId="77777777" w:rsidTr="00FC1832">
        <w:trPr>
          <w:trHeight w:val="280"/>
          <w:jc w:val="right"/>
        </w:trPr>
        <w:tc>
          <w:tcPr>
            <w:tcW w:w="6597"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B072645" w14:textId="77777777" w:rsidR="00DB1AEE" w:rsidRPr="00DB1AEE" w:rsidRDefault="00DB1AEE" w:rsidP="00DB1AEE">
            <w:pPr>
              <w:suppressAutoHyphens/>
              <w:autoSpaceDE w:val="0"/>
              <w:autoSpaceDN w:val="0"/>
              <w:adjustRightInd w:val="0"/>
              <w:spacing w:before="20" w:after="20" w:line="200" w:lineRule="atLeast"/>
              <w:ind w:left="540" w:hanging="300"/>
              <w:jc w:val="left"/>
              <w:rPr>
                <w:w w:val="0"/>
                <w:szCs w:val="24"/>
                <w:u w:val="single"/>
              </w:rPr>
            </w:pPr>
            <w:r w:rsidRPr="00DB1AEE">
              <w:rPr>
                <w:szCs w:val="24"/>
                <w:u w:val="single"/>
              </w:rPr>
              <w:t>In a worship/pulpit/choir area</w:t>
            </w:r>
          </w:p>
        </w:tc>
        <w:tc>
          <w:tcPr>
            <w:tcW w:w="2818"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C53DBFC"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0.75</w:t>
            </w:r>
          </w:p>
        </w:tc>
      </w:tr>
      <w:tr w:rsidR="00DB1AEE" w:rsidRPr="00DB1AEE" w14:paraId="5B4477A4" w14:textId="77777777" w:rsidTr="00FC1832">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1E437FA"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rPr>
              <w:t>Retail facilities</w:t>
            </w:r>
          </w:p>
        </w:tc>
      </w:tr>
      <w:tr w:rsidR="00DB1AEE" w:rsidRPr="00DB1AEE" w14:paraId="2E7278DB" w14:textId="77777777" w:rsidTr="00FC1832">
        <w:trPr>
          <w:trHeight w:val="280"/>
          <w:jc w:val="right"/>
        </w:trPr>
        <w:tc>
          <w:tcPr>
            <w:tcW w:w="6597"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CAEB84D" w14:textId="77777777" w:rsidR="00DB1AEE" w:rsidRPr="00DB1AEE" w:rsidRDefault="00DB1AEE" w:rsidP="00DB1AEE">
            <w:pPr>
              <w:suppressAutoHyphens/>
              <w:autoSpaceDE w:val="0"/>
              <w:autoSpaceDN w:val="0"/>
              <w:adjustRightInd w:val="0"/>
              <w:spacing w:before="20" w:after="20" w:line="200" w:lineRule="atLeast"/>
              <w:ind w:left="540" w:hanging="300"/>
              <w:jc w:val="left"/>
              <w:rPr>
                <w:w w:val="0"/>
                <w:szCs w:val="24"/>
                <w:u w:val="single"/>
              </w:rPr>
            </w:pPr>
            <w:r w:rsidRPr="00DB1AEE">
              <w:rPr>
                <w:szCs w:val="24"/>
                <w:u w:val="single"/>
              </w:rPr>
              <w:t>In a dressing/fitting room</w:t>
            </w:r>
          </w:p>
        </w:tc>
        <w:tc>
          <w:tcPr>
            <w:tcW w:w="2818"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5E14721"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0.45</w:t>
            </w:r>
          </w:p>
        </w:tc>
      </w:tr>
      <w:tr w:rsidR="00DB1AEE" w:rsidRPr="00DB1AEE" w14:paraId="5DBE7CB5" w14:textId="77777777" w:rsidTr="00FC1832">
        <w:trPr>
          <w:trHeight w:val="280"/>
          <w:jc w:val="right"/>
        </w:trPr>
        <w:tc>
          <w:tcPr>
            <w:tcW w:w="6597"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893486A" w14:textId="77777777" w:rsidR="00DB1AEE" w:rsidRPr="00DB1AEE" w:rsidRDefault="00DB1AEE" w:rsidP="00DB1AEE">
            <w:pPr>
              <w:suppressAutoHyphens/>
              <w:autoSpaceDE w:val="0"/>
              <w:autoSpaceDN w:val="0"/>
              <w:adjustRightInd w:val="0"/>
              <w:spacing w:before="20" w:after="20" w:line="200" w:lineRule="atLeast"/>
              <w:ind w:left="540" w:hanging="300"/>
              <w:jc w:val="left"/>
              <w:rPr>
                <w:szCs w:val="24"/>
                <w:u w:val="single"/>
              </w:rPr>
            </w:pPr>
            <w:r w:rsidRPr="00DB1AEE">
              <w:rPr>
                <w:szCs w:val="24"/>
                <w:u w:val="single"/>
              </w:rPr>
              <w:t>Hair salon</w:t>
            </w:r>
          </w:p>
        </w:tc>
        <w:tc>
          <w:tcPr>
            <w:tcW w:w="2818"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54E0910" w14:textId="77777777" w:rsidR="00DB1AEE" w:rsidRPr="00DB1AEE" w:rsidRDefault="00DB1AEE" w:rsidP="00DB1AEE">
            <w:pPr>
              <w:autoSpaceDE w:val="0"/>
              <w:autoSpaceDN w:val="0"/>
              <w:adjustRightInd w:val="0"/>
              <w:spacing w:before="20" w:after="20" w:line="200" w:lineRule="atLeast"/>
              <w:jc w:val="center"/>
              <w:rPr>
                <w:szCs w:val="24"/>
                <w:u w:val="single"/>
              </w:rPr>
            </w:pPr>
            <w:r w:rsidRPr="00DB1AEE">
              <w:rPr>
                <w:szCs w:val="24"/>
                <w:u w:val="single"/>
              </w:rPr>
              <w:t>0.65</w:t>
            </w:r>
          </w:p>
        </w:tc>
      </w:tr>
      <w:tr w:rsidR="00DB1AEE" w:rsidRPr="00DB1AEE" w14:paraId="4E941571" w14:textId="77777777" w:rsidTr="00FC1832">
        <w:trPr>
          <w:trHeight w:val="280"/>
          <w:jc w:val="right"/>
        </w:trPr>
        <w:tc>
          <w:tcPr>
            <w:tcW w:w="6597"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FC31A0C" w14:textId="77777777" w:rsidR="00DB1AEE" w:rsidRPr="00DB1AEE" w:rsidRDefault="00DB1AEE" w:rsidP="00DB1AEE">
            <w:pPr>
              <w:suppressAutoHyphens/>
              <w:autoSpaceDE w:val="0"/>
              <w:autoSpaceDN w:val="0"/>
              <w:adjustRightInd w:val="0"/>
              <w:spacing w:before="20" w:after="20" w:line="200" w:lineRule="atLeast"/>
              <w:ind w:left="540" w:hanging="300"/>
              <w:jc w:val="left"/>
              <w:rPr>
                <w:szCs w:val="24"/>
                <w:u w:val="single"/>
              </w:rPr>
            </w:pPr>
            <w:r w:rsidRPr="00DB1AEE">
              <w:rPr>
                <w:szCs w:val="24"/>
                <w:u w:val="single"/>
              </w:rPr>
              <w:t>Nail salon</w:t>
            </w:r>
          </w:p>
        </w:tc>
        <w:tc>
          <w:tcPr>
            <w:tcW w:w="2818"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ACB2696" w14:textId="77777777" w:rsidR="00DB1AEE" w:rsidRPr="00DB1AEE" w:rsidRDefault="00DB1AEE" w:rsidP="00DB1AEE">
            <w:pPr>
              <w:autoSpaceDE w:val="0"/>
              <w:autoSpaceDN w:val="0"/>
              <w:adjustRightInd w:val="0"/>
              <w:spacing w:before="20" w:after="20" w:line="200" w:lineRule="atLeast"/>
              <w:jc w:val="center"/>
              <w:rPr>
                <w:szCs w:val="24"/>
                <w:u w:val="single"/>
              </w:rPr>
            </w:pPr>
            <w:r w:rsidRPr="00DB1AEE">
              <w:rPr>
                <w:szCs w:val="24"/>
                <w:u w:val="single"/>
              </w:rPr>
              <w:t>0.75</w:t>
            </w:r>
          </w:p>
        </w:tc>
      </w:tr>
      <w:tr w:rsidR="00DB1AEE" w:rsidRPr="00DB1AEE" w14:paraId="2AAD6C63" w14:textId="77777777" w:rsidTr="00FC1832">
        <w:trPr>
          <w:trHeight w:val="280"/>
          <w:jc w:val="right"/>
        </w:trPr>
        <w:tc>
          <w:tcPr>
            <w:tcW w:w="6597"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2077ECC" w14:textId="77777777" w:rsidR="00DB1AEE" w:rsidRPr="00DB1AEE" w:rsidRDefault="00DB1AEE" w:rsidP="00DB1AEE">
            <w:pPr>
              <w:suppressAutoHyphens/>
              <w:autoSpaceDE w:val="0"/>
              <w:autoSpaceDN w:val="0"/>
              <w:adjustRightInd w:val="0"/>
              <w:spacing w:before="20" w:after="20" w:line="200" w:lineRule="atLeast"/>
              <w:ind w:left="540" w:hanging="300"/>
              <w:jc w:val="left"/>
              <w:rPr>
                <w:w w:val="0"/>
                <w:szCs w:val="24"/>
                <w:u w:val="single"/>
              </w:rPr>
            </w:pPr>
            <w:r w:rsidRPr="00DB1AEE">
              <w:rPr>
                <w:szCs w:val="24"/>
                <w:u w:val="single"/>
              </w:rPr>
              <w:t>In a mall concourse</w:t>
            </w:r>
          </w:p>
        </w:tc>
        <w:tc>
          <w:tcPr>
            <w:tcW w:w="2818"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4981D6C"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0.57</w:t>
            </w:r>
          </w:p>
        </w:tc>
      </w:tr>
      <w:tr w:rsidR="00DB1AEE" w:rsidRPr="00DB1AEE" w14:paraId="146757FC" w14:textId="77777777" w:rsidTr="00FC1832">
        <w:trPr>
          <w:trHeight w:val="280"/>
          <w:jc w:val="right"/>
        </w:trPr>
        <w:tc>
          <w:tcPr>
            <w:tcW w:w="6597"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A23D5A0" w14:textId="77777777" w:rsidR="00DB1AEE" w:rsidRPr="00DB1AEE" w:rsidRDefault="00DB1AEE" w:rsidP="00DB1AEE">
            <w:pPr>
              <w:suppressAutoHyphens/>
              <w:autoSpaceDE w:val="0"/>
              <w:autoSpaceDN w:val="0"/>
              <w:adjustRightInd w:val="0"/>
              <w:spacing w:before="20" w:after="20" w:line="200" w:lineRule="atLeast"/>
              <w:ind w:left="540" w:hanging="300"/>
              <w:jc w:val="left"/>
              <w:rPr>
                <w:szCs w:val="24"/>
                <w:u w:val="single"/>
              </w:rPr>
            </w:pPr>
            <w:r w:rsidRPr="00DB1AEE">
              <w:rPr>
                <w:szCs w:val="24"/>
                <w:u w:val="single"/>
              </w:rPr>
              <w:t>Massage space</w:t>
            </w:r>
          </w:p>
        </w:tc>
        <w:tc>
          <w:tcPr>
            <w:tcW w:w="2818"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BC735CA"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w w:val="0"/>
                <w:szCs w:val="24"/>
                <w:u w:val="single"/>
              </w:rPr>
              <w:t>0.81</w:t>
            </w:r>
          </w:p>
        </w:tc>
      </w:tr>
      <w:tr w:rsidR="00DB1AEE" w:rsidRPr="00DB1AEE" w14:paraId="324EAEA8" w14:textId="77777777" w:rsidTr="00FC1832">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BA70A9A"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rPr>
              <w:t>Sports arena—playing area</w:t>
            </w:r>
          </w:p>
        </w:tc>
      </w:tr>
      <w:tr w:rsidR="00DB1AEE" w:rsidRPr="00DB1AEE" w14:paraId="6F872610" w14:textId="77777777" w:rsidTr="00FC1832">
        <w:trPr>
          <w:trHeight w:val="280"/>
          <w:jc w:val="right"/>
        </w:trPr>
        <w:tc>
          <w:tcPr>
            <w:tcW w:w="6597"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F8F2E6A" w14:textId="77777777" w:rsidR="00DB1AEE" w:rsidRPr="00DB1AEE" w:rsidRDefault="00DB1AEE" w:rsidP="00DB1AEE">
            <w:pPr>
              <w:suppressAutoHyphens/>
              <w:autoSpaceDE w:val="0"/>
              <w:autoSpaceDN w:val="0"/>
              <w:adjustRightInd w:val="0"/>
              <w:spacing w:before="20" w:after="20" w:line="200" w:lineRule="atLeast"/>
              <w:ind w:left="540" w:hanging="300"/>
              <w:jc w:val="left"/>
              <w:rPr>
                <w:w w:val="0"/>
                <w:szCs w:val="24"/>
                <w:u w:val="single"/>
              </w:rPr>
            </w:pPr>
            <w:r w:rsidRPr="00DB1AEE">
              <w:rPr>
                <w:szCs w:val="24"/>
                <w:u w:val="single"/>
              </w:rPr>
              <w:t>For a Class I facility</w:t>
            </w:r>
            <w:r w:rsidRPr="00DB1AEE">
              <w:rPr>
                <w:strike/>
                <w:spacing w:val="-13"/>
                <w:w w:val="0"/>
                <w:szCs w:val="24"/>
                <w:u w:val="single"/>
              </w:rPr>
              <w:t xml:space="preserve"> </w:t>
            </w:r>
            <w:r w:rsidRPr="00DB1AEE">
              <w:rPr>
                <w:strike/>
                <w:w w:val="0"/>
                <w:szCs w:val="24"/>
                <w:u w:val="single"/>
                <w:vertAlign w:val="superscript"/>
              </w:rPr>
              <w:t xml:space="preserve"> </w:t>
            </w:r>
            <w:r w:rsidRPr="00DB1AEE">
              <w:rPr>
                <w:w w:val="0"/>
                <w:szCs w:val="24"/>
                <w:u w:val="single"/>
                <w:vertAlign w:val="superscript"/>
              </w:rPr>
              <w:t>c</w:t>
            </w:r>
          </w:p>
        </w:tc>
        <w:tc>
          <w:tcPr>
            <w:tcW w:w="2818"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2F441A6" w14:textId="77777777" w:rsidR="00DB1AEE" w:rsidRPr="00DB1AEE" w:rsidRDefault="00DB1AEE" w:rsidP="00DB1AEE">
            <w:pPr>
              <w:autoSpaceDE w:val="0"/>
              <w:autoSpaceDN w:val="0"/>
              <w:adjustRightInd w:val="0"/>
              <w:spacing w:before="20" w:after="20" w:line="200" w:lineRule="atLeast"/>
              <w:jc w:val="center"/>
              <w:rPr>
                <w:strike/>
                <w:w w:val="0"/>
                <w:szCs w:val="24"/>
                <w:u w:val="single"/>
              </w:rPr>
            </w:pPr>
            <w:r w:rsidRPr="00DB1AEE">
              <w:rPr>
                <w:szCs w:val="24"/>
                <w:u w:val="single"/>
              </w:rPr>
              <w:t xml:space="preserve"> </w:t>
            </w:r>
            <w:r w:rsidRPr="00DB1AEE">
              <w:rPr>
                <w:w w:val="0"/>
                <w:szCs w:val="24"/>
                <w:u w:val="single"/>
              </w:rPr>
              <w:t>2.26</w:t>
            </w:r>
          </w:p>
        </w:tc>
      </w:tr>
      <w:tr w:rsidR="00DB1AEE" w:rsidRPr="00DB1AEE" w14:paraId="62971ACE" w14:textId="77777777" w:rsidTr="00FC1832">
        <w:trPr>
          <w:trHeight w:val="280"/>
          <w:jc w:val="right"/>
        </w:trPr>
        <w:tc>
          <w:tcPr>
            <w:tcW w:w="6597"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ECC2CD3" w14:textId="77777777" w:rsidR="00DB1AEE" w:rsidRPr="00DB1AEE" w:rsidRDefault="00DB1AEE" w:rsidP="00DB1AEE">
            <w:pPr>
              <w:suppressAutoHyphens/>
              <w:autoSpaceDE w:val="0"/>
              <w:autoSpaceDN w:val="0"/>
              <w:adjustRightInd w:val="0"/>
              <w:spacing w:before="20" w:after="20" w:line="200" w:lineRule="atLeast"/>
              <w:ind w:left="540" w:hanging="300"/>
              <w:jc w:val="left"/>
              <w:rPr>
                <w:w w:val="0"/>
                <w:szCs w:val="24"/>
                <w:u w:val="single"/>
              </w:rPr>
            </w:pPr>
            <w:r w:rsidRPr="00DB1AEE">
              <w:rPr>
                <w:szCs w:val="24"/>
                <w:u w:val="single"/>
              </w:rPr>
              <w:t>For a Class II facility</w:t>
            </w:r>
            <w:r w:rsidRPr="00DB1AEE">
              <w:rPr>
                <w:strike/>
                <w:spacing w:val="-13"/>
                <w:w w:val="0"/>
                <w:szCs w:val="24"/>
                <w:u w:val="single"/>
              </w:rPr>
              <w:t xml:space="preserve"> </w:t>
            </w:r>
            <w:r w:rsidRPr="00DB1AEE">
              <w:rPr>
                <w:w w:val="0"/>
                <w:szCs w:val="24"/>
                <w:u w:val="single"/>
                <w:vertAlign w:val="superscript"/>
              </w:rPr>
              <w:t xml:space="preserve"> d</w:t>
            </w:r>
          </w:p>
        </w:tc>
        <w:tc>
          <w:tcPr>
            <w:tcW w:w="2818"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9E0728A" w14:textId="77777777" w:rsidR="00DB1AEE" w:rsidRPr="00DB1AEE" w:rsidRDefault="00DB1AEE" w:rsidP="00DB1AEE">
            <w:pPr>
              <w:autoSpaceDE w:val="0"/>
              <w:autoSpaceDN w:val="0"/>
              <w:adjustRightInd w:val="0"/>
              <w:spacing w:before="20" w:after="20" w:line="200" w:lineRule="atLeast"/>
              <w:jc w:val="center"/>
              <w:rPr>
                <w:strike/>
                <w:w w:val="0"/>
                <w:szCs w:val="24"/>
                <w:u w:val="single"/>
              </w:rPr>
            </w:pPr>
            <w:r w:rsidRPr="00DB1AEE">
              <w:rPr>
                <w:w w:val="0"/>
                <w:szCs w:val="24"/>
                <w:u w:val="single"/>
              </w:rPr>
              <w:t>1.45</w:t>
            </w:r>
          </w:p>
        </w:tc>
      </w:tr>
      <w:tr w:rsidR="00DB1AEE" w:rsidRPr="00DB1AEE" w14:paraId="51DC3BF8" w14:textId="77777777" w:rsidTr="00FC1832">
        <w:trPr>
          <w:trHeight w:val="280"/>
          <w:jc w:val="right"/>
        </w:trPr>
        <w:tc>
          <w:tcPr>
            <w:tcW w:w="6597"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9EC48A5" w14:textId="77777777" w:rsidR="00DB1AEE" w:rsidRPr="00DB1AEE" w:rsidRDefault="00DB1AEE" w:rsidP="00DB1AEE">
            <w:pPr>
              <w:suppressAutoHyphens/>
              <w:autoSpaceDE w:val="0"/>
              <w:autoSpaceDN w:val="0"/>
              <w:adjustRightInd w:val="0"/>
              <w:spacing w:before="20" w:after="20" w:line="200" w:lineRule="atLeast"/>
              <w:ind w:left="540" w:hanging="300"/>
              <w:jc w:val="left"/>
              <w:rPr>
                <w:w w:val="0"/>
                <w:szCs w:val="24"/>
                <w:u w:val="single"/>
              </w:rPr>
            </w:pPr>
            <w:r w:rsidRPr="00DB1AEE">
              <w:rPr>
                <w:szCs w:val="24"/>
                <w:u w:val="single"/>
              </w:rPr>
              <w:t>For a Class III facility</w:t>
            </w:r>
            <w:r w:rsidRPr="00DB1AEE">
              <w:rPr>
                <w:strike/>
                <w:spacing w:val="-14"/>
                <w:w w:val="0"/>
                <w:szCs w:val="24"/>
                <w:u w:val="single"/>
              </w:rPr>
              <w:t xml:space="preserve"> </w:t>
            </w:r>
            <w:r w:rsidRPr="00DB1AEE">
              <w:rPr>
                <w:w w:val="0"/>
                <w:szCs w:val="24"/>
                <w:u w:val="single"/>
                <w:vertAlign w:val="superscript"/>
              </w:rPr>
              <w:t xml:space="preserve"> e</w:t>
            </w:r>
          </w:p>
        </w:tc>
        <w:tc>
          <w:tcPr>
            <w:tcW w:w="2818"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8ABCCCA" w14:textId="77777777" w:rsidR="00DB1AEE" w:rsidRPr="00DB1AEE" w:rsidRDefault="00DB1AEE" w:rsidP="00DB1AEE">
            <w:pPr>
              <w:autoSpaceDE w:val="0"/>
              <w:autoSpaceDN w:val="0"/>
              <w:adjustRightInd w:val="0"/>
              <w:spacing w:before="20" w:after="20" w:line="200" w:lineRule="atLeast"/>
              <w:jc w:val="center"/>
              <w:rPr>
                <w:strike/>
                <w:w w:val="0"/>
                <w:szCs w:val="24"/>
                <w:u w:val="single"/>
              </w:rPr>
            </w:pPr>
            <w:r w:rsidRPr="00DB1AEE">
              <w:rPr>
                <w:w w:val="0"/>
                <w:szCs w:val="24"/>
                <w:u w:val="single"/>
              </w:rPr>
              <w:t xml:space="preserve"> 1.08</w:t>
            </w:r>
          </w:p>
        </w:tc>
      </w:tr>
      <w:tr w:rsidR="00DB1AEE" w:rsidRPr="00DB1AEE" w14:paraId="1AB50DBE" w14:textId="77777777" w:rsidTr="00FC1832">
        <w:trPr>
          <w:trHeight w:val="280"/>
          <w:jc w:val="right"/>
        </w:trPr>
        <w:tc>
          <w:tcPr>
            <w:tcW w:w="6597"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8F58A17" w14:textId="77777777" w:rsidR="00DB1AEE" w:rsidRPr="00DB1AEE" w:rsidRDefault="00DB1AEE" w:rsidP="00DB1AEE">
            <w:pPr>
              <w:suppressAutoHyphens/>
              <w:autoSpaceDE w:val="0"/>
              <w:autoSpaceDN w:val="0"/>
              <w:adjustRightInd w:val="0"/>
              <w:spacing w:before="20" w:after="20" w:line="200" w:lineRule="atLeast"/>
              <w:ind w:left="540" w:hanging="300"/>
              <w:jc w:val="left"/>
              <w:rPr>
                <w:w w:val="0"/>
                <w:szCs w:val="24"/>
                <w:u w:val="single"/>
              </w:rPr>
            </w:pPr>
            <w:r w:rsidRPr="00DB1AEE">
              <w:rPr>
                <w:szCs w:val="24"/>
                <w:u w:val="single"/>
              </w:rPr>
              <w:t>For a Class IV facility</w:t>
            </w:r>
            <w:r w:rsidRPr="00DB1AEE">
              <w:rPr>
                <w:w w:val="0"/>
                <w:szCs w:val="24"/>
                <w:u w:val="single"/>
                <w:vertAlign w:val="superscript"/>
              </w:rPr>
              <w:t xml:space="preserve"> f</w:t>
            </w:r>
          </w:p>
        </w:tc>
        <w:tc>
          <w:tcPr>
            <w:tcW w:w="2818"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EBF4489" w14:textId="77777777" w:rsidR="00DB1AEE" w:rsidRPr="00DB1AEE" w:rsidRDefault="00DB1AEE" w:rsidP="00DB1AEE">
            <w:pPr>
              <w:autoSpaceDE w:val="0"/>
              <w:autoSpaceDN w:val="0"/>
              <w:adjustRightInd w:val="0"/>
              <w:spacing w:before="20" w:after="20" w:line="200" w:lineRule="atLeast"/>
              <w:jc w:val="center"/>
              <w:rPr>
                <w:strike/>
                <w:w w:val="0"/>
                <w:szCs w:val="24"/>
                <w:u w:val="single"/>
              </w:rPr>
            </w:pPr>
            <w:r w:rsidRPr="00DB1AEE">
              <w:rPr>
                <w:w w:val="0"/>
                <w:szCs w:val="24"/>
                <w:u w:val="single"/>
              </w:rPr>
              <w:t>0.72</w:t>
            </w:r>
          </w:p>
        </w:tc>
      </w:tr>
      <w:tr w:rsidR="00DB1AEE" w:rsidRPr="00DB1AEE" w14:paraId="6F7941D6" w14:textId="77777777" w:rsidTr="00FC1832">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EDD00ED"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rPr>
              <w:t>Transportation facility</w:t>
            </w:r>
          </w:p>
        </w:tc>
      </w:tr>
      <w:tr w:rsidR="00DB1AEE" w:rsidRPr="00DB1AEE" w14:paraId="2CF8F51F" w14:textId="77777777" w:rsidTr="00FC1832">
        <w:trPr>
          <w:trHeight w:val="280"/>
          <w:jc w:val="right"/>
        </w:trPr>
        <w:tc>
          <w:tcPr>
            <w:tcW w:w="6597"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9DFA25C" w14:textId="77777777" w:rsidR="00DB1AEE" w:rsidRPr="00DB1AEE" w:rsidRDefault="00DB1AEE" w:rsidP="00DB1AEE">
            <w:pPr>
              <w:suppressAutoHyphens/>
              <w:autoSpaceDE w:val="0"/>
              <w:autoSpaceDN w:val="0"/>
              <w:adjustRightInd w:val="0"/>
              <w:spacing w:before="20" w:after="20" w:line="200" w:lineRule="atLeast"/>
              <w:ind w:left="540" w:hanging="300"/>
              <w:jc w:val="left"/>
              <w:rPr>
                <w:w w:val="0"/>
                <w:szCs w:val="24"/>
                <w:u w:val="single"/>
              </w:rPr>
            </w:pPr>
            <w:r w:rsidRPr="00DB1AEE">
              <w:rPr>
                <w:w w:val="0"/>
                <w:szCs w:val="24"/>
                <w:u w:val="single"/>
              </w:rPr>
              <w:t>Airport hanger</w:t>
            </w:r>
          </w:p>
        </w:tc>
        <w:tc>
          <w:tcPr>
            <w:tcW w:w="2818"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3646163" w14:textId="77777777" w:rsidR="00DB1AEE" w:rsidRPr="00DB1AEE" w:rsidRDefault="00DB1AEE" w:rsidP="00DB1AEE">
            <w:pPr>
              <w:autoSpaceDE w:val="0"/>
              <w:autoSpaceDN w:val="0"/>
              <w:adjustRightInd w:val="0"/>
              <w:spacing w:before="20" w:after="20" w:line="200" w:lineRule="atLeast"/>
              <w:jc w:val="center"/>
              <w:rPr>
                <w:szCs w:val="24"/>
                <w:u w:val="single"/>
              </w:rPr>
            </w:pPr>
            <w:r w:rsidRPr="00DB1AEE">
              <w:rPr>
                <w:szCs w:val="24"/>
                <w:u w:val="single"/>
              </w:rPr>
              <w:t>1.36</w:t>
            </w:r>
          </w:p>
        </w:tc>
      </w:tr>
      <w:tr w:rsidR="00DB1AEE" w:rsidRPr="00DB1AEE" w14:paraId="73EB9221" w14:textId="77777777" w:rsidTr="00FC1832">
        <w:trPr>
          <w:trHeight w:val="280"/>
          <w:jc w:val="right"/>
        </w:trPr>
        <w:tc>
          <w:tcPr>
            <w:tcW w:w="6597"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5E07E27" w14:textId="77777777" w:rsidR="00DB1AEE" w:rsidRPr="00DB1AEE" w:rsidRDefault="00DB1AEE" w:rsidP="00DB1AEE">
            <w:pPr>
              <w:suppressAutoHyphens/>
              <w:autoSpaceDE w:val="0"/>
              <w:autoSpaceDN w:val="0"/>
              <w:adjustRightInd w:val="0"/>
              <w:spacing w:before="20" w:after="20" w:line="200" w:lineRule="atLeast"/>
              <w:ind w:left="540" w:hanging="300"/>
              <w:jc w:val="left"/>
              <w:rPr>
                <w:w w:val="0"/>
                <w:szCs w:val="24"/>
                <w:u w:val="single"/>
              </w:rPr>
            </w:pPr>
            <w:r w:rsidRPr="00DB1AEE">
              <w:rPr>
                <w:w w:val="0"/>
                <w:szCs w:val="24"/>
                <w:u w:val="single"/>
              </w:rPr>
              <w:t>Passenger loading area</w:t>
            </w:r>
          </w:p>
        </w:tc>
        <w:tc>
          <w:tcPr>
            <w:tcW w:w="2818"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0547A7A" w14:textId="77777777" w:rsidR="00DB1AEE" w:rsidRPr="00DB1AEE" w:rsidRDefault="00DB1AEE" w:rsidP="00DB1AEE">
            <w:pPr>
              <w:autoSpaceDE w:val="0"/>
              <w:autoSpaceDN w:val="0"/>
              <w:adjustRightInd w:val="0"/>
              <w:spacing w:before="20" w:after="20" w:line="200" w:lineRule="atLeast"/>
              <w:jc w:val="center"/>
              <w:rPr>
                <w:szCs w:val="24"/>
                <w:u w:val="single"/>
              </w:rPr>
            </w:pPr>
            <w:r w:rsidRPr="00DB1AEE">
              <w:rPr>
                <w:szCs w:val="24"/>
                <w:u w:val="single"/>
              </w:rPr>
              <w:t>0.71</w:t>
            </w:r>
          </w:p>
        </w:tc>
      </w:tr>
      <w:tr w:rsidR="00DB1AEE" w:rsidRPr="00DB1AEE" w14:paraId="3DCDE103" w14:textId="77777777" w:rsidTr="00FC1832">
        <w:trPr>
          <w:trHeight w:val="280"/>
          <w:jc w:val="right"/>
        </w:trPr>
        <w:tc>
          <w:tcPr>
            <w:tcW w:w="6597"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F51E6EA" w14:textId="77777777" w:rsidR="00DB1AEE" w:rsidRPr="00DB1AEE" w:rsidRDefault="00DB1AEE" w:rsidP="00DB1AEE">
            <w:pPr>
              <w:suppressAutoHyphens/>
              <w:autoSpaceDE w:val="0"/>
              <w:autoSpaceDN w:val="0"/>
              <w:adjustRightInd w:val="0"/>
              <w:spacing w:before="20" w:after="20" w:line="200" w:lineRule="atLeast"/>
              <w:ind w:left="540" w:hanging="300"/>
              <w:jc w:val="left"/>
              <w:rPr>
                <w:w w:val="0"/>
                <w:szCs w:val="24"/>
                <w:u w:val="single"/>
              </w:rPr>
            </w:pPr>
            <w:r w:rsidRPr="00DB1AEE">
              <w:rPr>
                <w:w w:val="0"/>
                <w:szCs w:val="24"/>
                <w:u w:val="single"/>
              </w:rPr>
              <w:t>In a baggage/carousel</w:t>
            </w:r>
            <w:r w:rsidRPr="00DB1AEE">
              <w:rPr>
                <w:spacing w:val="-1"/>
                <w:w w:val="0"/>
                <w:szCs w:val="24"/>
                <w:u w:val="single"/>
              </w:rPr>
              <w:t xml:space="preserve"> </w:t>
            </w:r>
            <w:r w:rsidRPr="00DB1AEE">
              <w:rPr>
                <w:w w:val="0"/>
                <w:szCs w:val="24"/>
                <w:u w:val="single"/>
              </w:rPr>
              <w:t xml:space="preserve">area </w:t>
            </w:r>
          </w:p>
          <w:p w14:paraId="74145A46" w14:textId="77777777" w:rsidR="00DB1AEE" w:rsidRPr="00DB1AEE" w:rsidRDefault="00DB1AEE" w:rsidP="00DB1AEE">
            <w:pPr>
              <w:suppressAutoHyphens/>
              <w:autoSpaceDE w:val="0"/>
              <w:autoSpaceDN w:val="0"/>
              <w:adjustRightInd w:val="0"/>
              <w:spacing w:before="20" w:after="20" w:line="200" w:lineRule="atLeast"/>
              <w:ind w:left="540" w:hanging="300"/>
              <w:jc w:val="left"/>
              <w:rPr>
                <w:w w:val="0"/>
                <w:szCs w:val="24"/>
                <w:u w:val="single"/>
              </w:rPr>
            </w:pPr>
          </w:p>
        </w:tc>
        <w:tc>
          <w:tcPr>
            <w:tcW w:w="2818"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BD82345"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0.28</w:t>
            </w:r>
          </w:p>
        </w:tc>
      </w:tr>
      <w:tr w:rsidR="00DB1AEE" w:rsidRPr="00DB1AEE" w14:paraId="3D2B307A" w14:textId="77777777" w:rsidTr="00FC1832">
        <w:trPr>
          <w:trHeight w:val="280"/>
          <w:jc w:val="right"/>
        </w:trPr>
        <w:tc>
          <w:tcPr>
            <w:tcW w:w="6597"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E3E0CDA" w14:textId="77777777" w:rsidR="00DB1AEE" w:rsidRPr="00DB1AEE" w:rsidRDefault="00DB1AEE" w:rsidP="00DB1AEE">
            <w:pPr>
              <w:suppressAutoHyphens/>
              <w:autoSpaceDE w:val="0"/>
              <w:autoSpaceDN w:val="0"/>
              <w:adjustRightInd w:val="0"/>
              <w:spacing w:before="20" w:after="20" w:line="200" w:lineRule="atLeast"/>
              <w:ind w:left="540" w:hanging="300"/>
              <w:jc w:val="left"/>
              <w:rPr>
                <w:w w:val="0"/>
                <w:szCs w:val="24"/>
                <w:u w:val="single"/>
              </w:rPr>
            </w:pPr>
            <w:r w:rsidRPr="00DB1AEE">
              <w:rPr>
                <w:szCs w:val="24"/>
                <w:u w:val="single"/>
              </w:rPr>
              <w:t xml:space="preserve">In </w:t>
            </w:r>
            <w:r w:rsidRPr="00DB1AEE">
              <w:rPr>
                <w:w w:val="0"/>
                <w:szCs w:val="24"/>
                <w:u w:val="single"/>
              </w:rPr>
              <w:t>an</w:t>
            </w:r>
            <w:r w:rsidRPr="00DB1AEE">
              <w:rPr>
                <w:spacing w:val="-2"/>
                <w:w w:val="0"/>
                <w:szCs w:val="24"/>
                <w:u w:val="single"/>
              </w:rPr>
              <w:t xml:space="preserve"> </w:t>
            </w:r>
            <w:r w:rsidRPr="00DB1AEE">
              <w:rPr>
                <w:w w:val="0"/>
                <w:szCs w:val="24"/>
                <w:u w:val="single"/>
              </w:rPr>
              <w:t>airport concourse</w:t>
            </w:r>
            <w:r w:rsidRPr="00DB1AEE">
              <w:rPr>
                <w:strike/>
                <w:w w:val="0"/>
                <w:szCs w:val="24"/>
                <w:u w:val="single"/>
              </w:rPr>
              <w:t xml:space="preserve"> </w:t>
            </w:r>
          </w:p>
        </w:tc>
        <w:tc>
          <w:tcPr>
            <w:tcW w:w="2818"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D7FDC17" w14:textId="77777777" w:rsidR="00DB1AEE" w:rsidRPr="00DB1AEE" w:rsidRDefault="00DB1AEE" w:rsidP="00DB1AEE">
            <w:pPr>
              <w:autoSpaceDE w:val="0"/>
              <w:autoSpaceDN w:val="0"/>
              <w:adjustRightInd w:val="0"/>
              <w:spacing w:before="20" w:after="20" w:line="200" w:lineRule="atLeast"/>
              <w:jc w:val="center"/>
              <w:rPr>
                <w:strike/>
                <w:w w:val="0"/>
                <w:szCs w:val="24"/>
                <w:u w:val="single"/>
              </w:rPr>
            </w:pPr>
            <w:r w:rsidRPr="00DB1AEE">
              <w:rPr>
                <w:szCs w:val="24"/>
                <w:u w:val="single"/>
              </w:rPr>
              <w:t xml:space="preserve"> </w:t>
            </w:r>
            <w:r w:rsidRPr="00DB1AEE">
              <w:rPr>
                <w:w w:val="0"/>
                <w:szCs w:val="24"/>
                <w:u w:val="single"/>
              </w:rPr>
              <w:t>0.31</w:t>
            </w:r>
          </w:p>
        </w:tc>
      </w:tr>
      <w:tr w:rsidR="00DB1AEE" w:rsidRPr="00DB1AEE" w14:paraId="216E1FB2" w14:textId="77777777" w:rsidTr="00FC1832">
        <w:trPr>
          <w:trHeight w:val="280"/>
          <w:jc w:val="right"/>
        </w:trPr>
        <w:tc>
          <w:tcPr>
            <w:tcW w:w="6597"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CEF9528" w14:textId="77777777" w:rsidR="00DB1AEE" w:rsidRPr="00DB1AEE" w:rsidRDefault="00DB1AEE" w:rsidP="00DB1AEE">
            <w:pPr>
              <w:suppressAutoHyphens/>
              <w:autoSpaceDE w:val="0"/>
              <w:autoSpaceDN w:val="0"/>
              <w:adjustRightInd w:val="0"/>
              <w:spacing w:before="20" w:after="20" w:line="200" w:lineRule="atLeast"/>
              <w:ind w:left="540" w:hanging="300"/>
              <w:jc w:val="left"/>
              <w:rPr>
                <w:w w:val="0"/>
                <w:szCs w:val="24"/>
                <w:u w:val="single"/>
              </w:rPr>
            </w:pPr>
            <w:r w:rsidRPr="00DB1AEE">
              <w:rPr>
                <w:w w:val="0"/>
                <w:szCs w:val="24"/>
                <w:u w:val="single"/>
              </w:rPr>
              <w:t>At</w:t>
            </w:r>
            <w:r w:rsidRPr="00DB1AEE">
              <w:rPr>
                <w:spacing w:val="-1"/>
                <w:w w:val="0"/>
                <w:szCs w:val="24"/>
                <w:u w:val="single"/>
              </w:rPr>
              <w:t xml:space="preserve"> </w:t>
            </w:r>
            <w:r w:rsidRPr="00DB1AEE">
              <w:rPr>
                <w:w w:val="0"/>
                <w:szCs w:val="24"/>
                <w:u w:val="single"/>
              </w:rPr>
              <w:t>a terminal ticket</w:t>
            </w:r>
            <w:r w:rsidRPr="00DB1AEE">
              <w:rPr>
                <w:spacing w:val="-2"/>
                <w:w w:val="0"/>
                <w:szCs w:val="24"/>
                <w:u w:val="single"/>
              </w:rPr>
              <w:t xml:space="preserve"> </w:t>
            </w:r>
            <w:r w:rsidRPr="00DB1AEE">
              <w:rPr>
                <w:w w:val="0"/>
                <w:szCs w:val="24"/>
                <w:u w:val="single"/>
              </w:rPr>
              <w:t>counter</w:t>
            </w:r>
          </w:p>
        </w:tc>
        <w:tc>
          <w:tcPr>
            <w:tcW w:w="2818"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E39FB65"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0.40</w:t>
            </w:r>
          </w:p>
        </w:tc>
      </w:tr>
      <w:tr w:rsidR="00DB1AEE" w:rsidRPr="00DB1AEE" w14:paraId="7E7AC7ED" w14:textId="77777777" w:rsidTr="00FC1832">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8C2A684"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rPr>
              <w:t>Warehouse—storage area</w:t>
            </w:r>
          </w:p>
        </w:tc>
      </w:tr>
      <w:tr w:rsidR="00DB1AEE" w:rsidRPr="00DB1AEE" w14:paraId="27AA9670" w14:textId="77777777" w:rsidTr="00FC1832">
        <w:trPr>
          <w:trHeight w:val="280"/>
          <w:jc w:val="right"/>
        </w:trPr>
        <w:tc>
          <w:tcPr>
            <w:tcW w:w="6597"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754D538" w14:textId="77777777" w:rsidR="00DB1AEE" w:rsidRPr="00DB1AEE" w:rsidRDefault="00DB1AEE" w:rsidP="00DB1AEE">
            <w:pPr>
              <w:suppressAutoHyphens/>
              <w:autoSpaceDE w:val="0"/>
              <w:autoSpaceDN w:val="0"/>
              <w:adjustRightInd w:val="0"/>
              <w:spacing w:before="20" w:after="20" w:line="200" w:lineRule="atLeast"/>
              <w:ind w:left="540" w:hanging="300"/>
              <w:jc w:val="left"/>
              <w:rPr>
                <w:w w:val="0"/>
                <w:szCs w:val="24"/>
                <w:u w:val="single"/>
              </w:rPr>
            </w:pPr>
            <w:r w:rsidRPr="00DB1AEE">
              <w:rPr>
                <w:szCs w:val="24"/>
                <w:u w:val="single"/>
              </w:rPr>
              <w:t>For medium to bulky, palletized items</w:t>
            </w:r>
          </w:p>
        </w:tc>
        <w:tc>
          <w:tcPr>
            <w:tcW w:w="2818"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C84A495" w14:textId="77777777" w:rsidR="00DB1AEE" w:rsidRPr="00DB1AEE" w:rsidRDefault="00DB1AEE" w:rsidP="00DB1AEE">
            <w:pPr>
              <w:autoSpaceDE w:val="0"/>
              <w:autoSpaceDN w:val="0"/>
              <w:adjustRightInd w:val="0"/>
              <w:spacing w:before="20" w:after="20" w:line="200" w:lineRule="atLeast"/>
              <w:jc w:val="center"/>
              <w:rPr>
                <w:strike/>
                <w:w w:val="0"/>
                <w:szCs w:val="24"/>
                <w:u w:val="single"/>
              </w:rPr>
            </w:pPr>
            <w:r w:rsidRPr="00DB1AEE">
              <w:rPr>
                <w:szCs w:val="24"/>
                <w:u w:val="single"/>
              </w:rPr>
              <w:t xml:space="preserve"> </w:t>
            </w:r>
            <w:r w:rsidRPr="00DB1AEE">
              <w:rPr>
                <w:w w:val="0"/>
                <w:szCs w:val="24"/>
                <w:u w:val="single"/>
              </w:rPr>
              <w:t>0.27</w:t>
            </w:r>
          </w:p>
        </w:tc>
      </w:tr>
      <w:tr w:rsidR="00DB1AEE" w:rsidRPr="00DB1AEE" w14:paraId="0742BFA4" w14:textId="77777777" w:rsidTr="00FC1832">
        <w:trPr>
          <w:trHeight w:val="280"/>
          <w:jc w:val="right"/>
        </w:trPr>
        <w:tc>
          <w:tcPr>
            <w:tcW w:w="6597"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65A03E7" w14:textId="77777777" w:rsidR="00DB1AEE" w:rsidRPr="00DB1AEE" w:rsidRDefault="00DB1AEE" w:rsidP="00DB1AEE">
            <w:pPr>
              <w:suppressAutoHyphens/>
              <w:autoSpaceDE w:val="0"/>
              <w:autoSpaceDN w:val="0"/>
              <w:adjustRightInd w:val="0"/>
              <w:spacing w:before="20" w:after="20" w:line="200" w:lineRule="atLeast"/>
              <w:ind w:left="540" w:hanging="300"/>
              <w:jc w:val="left"/>
              <w:rPr>
                <w:w w:val="0"/>
                <w:szCs w:val="24"/>
                <w:u w:val="single"/>
              </w:rPr>
            </w:pPr>
            <w:r w:rsidRPr="00DB1AEE">
              <w:rPr>
                <w:szCs w:val="24"/>
                <w:u w:val="single"/>
              </w:rPr>
              <w:t>For smaller, hand-carried items</w:t>
            </w:r>
          </w:p>
        </w:tc>
        <w:tc>
          <w:tcPr>
            <w:tcW w:w="2818"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6549E1E" w14:textId="77777777" w:rsidR="00DB1AEE" w:rsidRPr="00DB1AEE" w:rsidRDefault="00DB1AEE" w:rsidP="00DB1AEE">
            <w:pPr>
              <w:autoSpaceDE w:val="0"/>
              <w:autoSpaceDN w:val="0"/>
              <w:adjustRightInd w:val="0"/>
              <w:spacing w:before="20" w:after="20" w:line="200" w:lineRule="atLeast"/>
              <w:jc w:val="center"/>
              <w:rPr>
                <w:strike/>
                <w:w w:val="0"/>
                <w:szCs w:val="24"/>
                <w:u w:val="single"/>
              </w:rPr>
            </w:pPr>
            <w:r w:rsidRPr="00DB1AEE">
              <w:rPr>
                <w:w w:val="0"/>
                <w:szCs w:val="24"/>
                <w:u w:val="single"/>
              </w:rPr>
              <w:t>0.65</w:t>
            </w:r>
          </w:p>
        </w:tc>
      </w:tr>
    </w:tbl>
    <w:p w14:paraId="26BEA8C8" w14:textId="77777777" w:rsidR="00DB1AEE" w:rsidRPr="00DB1AEE" w:rsidRDefault="00DB1AEE" w:rsidP="00DB1AEE">
      <w:pPr>
        <w:suppressAutoHyphens/>
        <w:autoSpaceDE w:val="0"/>
        <w:autoSpaceDN w:val="0"/>
        <w:adjustRightInd w:val="0"/>
        <w:spacing w:before="40" w:line="180" w:lineRule="atLeast"/>
        <w:ind w:left="360" w:hanging="360"/>
        <w:jc w:val="left"/>
        <w:rPr>
          <w:szCs w:val="24"/>
          <w:u w:val="single"/>
        </w:rPr>
      </w:pPr>
      <w:r w:rsidRPr="00DB1AEE">
        <w:rPr>
          <w:szCs w:val="24"/>
          <w:u w:val="single"/>
        </w:rPr>
        <w:t>For SI: 1 foot = 304.8 mm, 1 watt per square foot = 10.76 w/m</w:t>
      </w:r>
      <w:r w:rsidRPr="00DB1AEE">
        <w:rPr>
          <w:szCs w:val="24"/>
          <w:u w:val="single"/>
          <w:vertAlign w:val="superscript"/>
        </w:rPr>
        <w:t>2</w:t>
      </w:r>
      <w:r w:rsidRPr="00DB1AEE">
        <w:rPr>
          <w:szCs w:val="24"/>
          <w:u w:val="single"/>
        </w:rPr>
        <w:t>.</w:t>
      </w:r>
    </w:p>
    <w:p w14:paraId="7B5DCEF4" w14:textId="77777777" w:rsidR="00DB1AEE" w:rsidRPr="00DB1AEE" w:rsidRDefault="00DB1AEE" w:rsidP="00DB1AEE">
      <w:pPr>
        <w:suppressAutoHyphens/>
        <w:autoSpaceDE w:val="0"/>
        <w:autoSpaceDN w:val="0"/>
        <w:adjustRightInd w:val="0"/>
        <w:spacing w:before="20" w:line="180" w:lineRule="atLeast"/>
        <w:ind w:left="360" w:hanging="360"/>
        <w:rPr>
          <w:szCs w:val="24"/>
          <w:u w:val="single"/>
        </w:rPr>
      </w:pPr>
      <w:r w:rsidRPr="00DB1AEE">
        <w:rPr>
          <w:szCs w:val="24"/>
          <w:u w:val="single"/>
        </w:rPr>
        <w:t>a.</w:t>
      </w:r>
      <w:r w:rsidRPr="00DB1AEE">
        <w:rPr>
          <w:szCs w:val="24"/>
          <w:u w:val="single"/>
        </w:rPr>
        <w:tab/>
        <w:t>In cases where both a common space type and a building area specific space type are listed, the building area specific space type shall apply.</w:t>
      </w:r>
    </w:p>
    <w:p w14:paraId="58D95FB9" w14:textId="77777777" w:rsidR="00DB1AEE" w:rsidRPr="00DB1AEE" w:rsidRDefault="00DB1AEE" w:rsidP="00DB1AEE">
      <w:pPr>
        <w:suppressAutoHyphens/>
        <w:autoSpaceDE w:val="0"/>
        <w:autoSpaceDN w:val="0"/>
        <w:adjustRightInd w:val="0"/>
        <w:spacing w:before="20" w:line="180" w:lineRule="atLeast"/>
        <w:ind w:left="360" w:hanging="360"/>
        <w:rPr>
          <w:szCs w:val="24"/>
          <w:u w:val="single"/>
        </w:rPr>
      </w:pPr>
      <w:r w:rsidRPr="00DB1AEE">
        <w:rPr>
          <w:szCs w:val="24"/>
          <w:u w:val="single"/>
        </w:rPr>
        <w:t>b.</w:t>
      </w:r>
      <w:r w:rsidRPr="00DB1AEE">
        <w:rPr>
          <w:szCs w:val="24"/>
          <w:u w:val="single"/>
        </w:rPr>
        <w:tab/>
        <w:t>A ‘Facility for the Visually Impaired’ is a facility that is licensed or will be licensed by local or state authorities for senior long-term care, adult daycare, senior support or people with special visual needs.</w:t>
      </w:r>
    </w:p>
    <w:p w14:paraId="263A2A6E" w14:textId="77777777" w:rsidR="00DB1AEE" w:rsidRPr="00DB1AEE" w:rsidRDefault="00DB1AEE" w:rsidP="00DB1AEE">
      <w:pPr>
        <w:suppressAutoHyphens/>
        <w:autoSpaceDE w:val="0"/>
        <w:autoSpaceDN w:val="0"/>
        <w:adjustRightInd w:val="0"/>
        <w:spacing w:before="20" w:line="180" w:lineRule="atLeast"/>
        <w:ind w:left="360" w:hanging="360"/>
        <w:rPr>
          <w:szCs w:val="24"/>
          <w:u w:val="single"/>
        </w:rPr>
      </w:pPr>
      <w:r w:rsidRPr="00DB1AEE">
        <w:rPr>
          <w:szCs w:val="24"/>
          <w:u w:val="single"/>
        </w:rPr>
        <w:t>c.</w:t>
      </w:r>
      <w:r w:rsidRPr="00DB1AEE">
        <w:rPr>
          <w:szCs w:val="24"/>
          <w:u w:val="single"/>
        </w:rPr>
        <w:tab/>
        <w:t>Class I facilities consist of professional facilities; and semiprofessional, collegiate, or club facilities with seating for 5,000 or more spectators.</w:t>
      </w:r>
    </w:p>
    <w:p w14:paraId="207A78DB" w14:textId="77777777" w:rsidR="00DB1AEE" w:rsidRPr="00DB1AEE" w:rsidRDefault="00DB1AEE" w:rsidP="00DB1AEE">
      <w:pPr>
        <w:suppressAutoHyphens/>
        <w:autoSpaceDE w:val="0"/>
        <w:autoSpaceDN w:val="0"/>
        <w:adjustRightInd w:val="0"/>
        <w:spacing w:before="20" w:line="180" w:lineRule="atLeast"/>
        <w:ind w:left="360" w:hanging="360"/>
        <w:rPr>
          <w:szCs w:val="24"/>
          <w:u w:val="single"/>
        </w:rPr>
      </w:pPr>
      <w:r w:rsidRPr="00DB1AEE">
        <w:rPr>
          <w:szCs w:val="24"/>
          <w:u w:val="single"/>
        </w:rPr>
        <w:t>d.</w:t>
      </w:r>
      <w:r w:rsidRPr="00DB1AEE">
        <w:rPr>
          <w:szCs w:val="24"/>
          <w:u w:val="single"/>
        </w:rPr>
        <w:tab/>
        <w:t xml:space="preserve">Class II facilities consist of collegiate and semiprofessional facilities with seating for fewer than 5,000 spectators; club facilities with seating for between 2,000 and 5,000 spectators; and amateur league and high </w:t>
      </w:r>
      <w:r w:rsidRPr="00DB1AEE">
        <w:rPr>
          <w:strike/>
          <w:w w:val="0"/>
          <w:szCs w:val="24"/>
          <w:u w:val="single"/>
        </w:rPr>
        <w:t>-</w:t>
      </w:r>
      <w:r w:rsidRPr="00DB1AEE">
        <w:rPr>
          <w:szCs w:val="24"/>
          <w:u w:val="single"/>
        </w:rPr>
        <w:t>school facilities with seating for more than 2,000 spectators.</w:t>
      </w:r>
    </w:p>
    <w:p w14:paraId="157B3A8F" w14:textId="77777777" w:rsidR="00DB1AEE" w:rsidRPr="00DB1AEE" w:rsidRDefault="00DB1AEE" w:rsidP="00DB1AEE">
      <w:pPr>
        <w:suppressAutoHyphens/>
        <w:autoSpaceDE w:val="0"/>
        <w:autoSpaceDN w:val="0"/>
        <w:adjustRightInd w:val="0"/>
        <w:spacing w:before="20" w:line="180" w:lineRule="atLeast"/>
        <w:ind w:left="360" w:hanging="360"/>
        <w:rPr>
          <w:szCs w:val="24"/>
          <w:u w:val="single"/>
        </w:rPr>
      </w:pPr>
      <w:r w:rsidRPr="00DB1AEE">
        <w:rPr>
          <w:szCs w:val="24"/>
          <w:u w:val="single"/>
        </w:rPr>
        <w:t>e.</w:t>
      </w:r>
      <w:r w:rsidRPr="00DB1AEE">
        <w:rPr>
          <w:szCs w:val="24"/>
          <w:u w:val="single"/>
        </w:rPr>
        <w:tab/>
        <w:t xml:space="preserve">Class III facilities consist of club, amateur league and high </w:t>
      </w:r>
      <w:r w:rsidRPr="00DB1AEE">
        <w:rPr>
          <w:strike/>
          <w:w w:val="0"/>
          <w:szCs w:val="24"/>
          <w:u w:val="single"/>
        </w:rPr>
        <w:t>-</w:t>
      </w:r>
      <w:r w:rsidRPr="00DB1AEE">
        <w:rPr>
          <w:szCs w:val="24"/>
          <w:u w:val="single"/>
        </w:rPr>
        <w:t>school facilities with seating for 2,000 or fewer spectators.</w:t>
      </w:r>
    </w:p>
    <w:p w14:paraId="338240FD" w14:textId="77777777" w:rsidR="00DB1AEE" w:rsidRPr="00DB1AEE" w:rsidRDefault="00DB1AEE" w:rsidP="00DB1AEE">
      <w:pPr>
        <w:autoSpaceDE w:val="0"/>
        <w:autoSpaceDN w:val="0"/>
        <w:adjustRightInd w:val="0"/>
        <w:spacing w:before="20" w:after="120" w:line="180" w:lineRule="atLeast"/>
        <w:ind w:left="360" w:hanging="360"/>
        <w:rPr>
          <w:szCs w:val="24"/>
          <w:u w:val="single"/>
        </w:rPr>
      </w:pPr>
      <w:r w:rsidRPr="00DB1AEE">
        <w:rPr>
          <w:szCs w:val="24"/>
          <w:u w:val="single"/>
        </w:rPr>
        <w:t>f.</w:t>
      </w:r>
      <w:r w:rsidRPr="00DB1AEE">
        <w:rPr>
          <w:szCs w:val="24"/>
          <w:u w:val="single"/>
        </w:rPr>
        <w:tab/>
        <w:t xml:space="preserve">Class IV facilities consist of elementary school and recreational facilities; and amateur league and high </w:t>
      </w:r>
      <w:r w:rsidRPr="00DB1AEE">
        <w:rPr>
          <w:strike/>
          <w:w w:val="0"/>
          <w:szCs w:val="24"/>
          <w:u w:val="single"/>
        </w:rPr>
        <w:t>-</w:t>
      </w:r>
      <w:r w:rsidRPr="00DB1AEE">
        <w:rPr>
          <w:szCs w:val="24"/>
          <w:u w:val="single"/>
        </w:rPr>
        <w:t>school facilities without provision for spectators.</w:t>
      </w:r>
    </w:p>
    <w:p w14:paraId="2703F6DD" w14:textId="77777777" w:rsidR="00DB1AEE" w:rsidRPr="00DB1AEE" w:rsidRDefault="00DB1AEE" w:rsidP="00DB1AEE">
      <w:pPr>
        <w:suppressAutoHyphens/>
        <w:spacing w:before="20"/>
        <w:ind w:left="360" w:hanging="360"/>
        <w:jc w:val="left"/>
        <w:rPr>
          <w:szCs w:val="24"/>
          <w:u w:val="single"/>
        </w:rPr>
      </w:pPr>
      <w:r w:rsidRPr="00DB1AEE">
        <w:rPr>
          <w:rFonts w:eastAsia="Microsoft Sans Serif"/>
          <w:spacing w:val="-1"/>
          <w:w w:val="99"/>
          <w:szCs w:val="24"/>
          <w:u w:val="single"/>
        </w:rPr>
        <w:t>g.</w:t>
      </w:r>
      <w:r w:rsidRPr="00DB1AEE">
        <w:rPr>
          <w:rFonts w:eastAsia="Microsoft Sans Serif"/>
          <w:spacing w:val="-1"/>
          <w:w w:val="99"/>
          <w:szCs w:val="24"/>
          <w:u w:val="single"/>
        </w:rPr>
        <w:tab/>
      </w:r>
      <w:r w:rsidRPr="00DB1AEE">
        <w:rPr>
          <w:szCs w:val="24"/>
          <w:u w:val="single"/>
        </w:rPr>
        <w:t>The</w:t>
      </w:r>
      <w:r w:rsidRPr="00DB1AEE">
        <w:rPr>
          <w:spacing w:val="-2"/>
          <w:szCs w:val="24"/>
          <w:u w:val="single"/>
        </w:rPr>
        <w:t xml:space="preserve"> </w:t>
      </w:r>
      <w:r w:rsidRPr="00DB1AEE">
        <w:rPr>
          <w:szCs w:val="24"/>
          <w:u w:val="single"/>
        </w:rPr>
        <w:t>wattage</w:t>
      </w:r>
      <w:r w:rsidRPr="00DB1AEE">
        <w:rPr>
          <w:spacing w:val="-1"/>
          <w:szCs w:val="24"/>
          <w:u w:val="single"/>
        </w:rPr>
        <w:t xml:space="preserve"> </w:t>
      </w:r>
      <w:r w:rsidRPr="00DB1AEE">
        <w:rPr>
          <w:szCs w:val="24"/>
          <w:u w:val="single"/>
        </w:rPr>
        <w:t>of</w:t>
      </w:r>
      <w:r w:rsidRPr="00DB1AEE">
        <w:rPr>
          <w:spacing w:val="-3"/>
          <w:szCs w:val="24"/>
          <w:u w:val="single"/>
        </w:rPr>
        <w:t xml:space="preserve"> </w:t>
      </w:r>
      <w:r w:rsidRPr="00DB1AEE">
        <w:rPr>
          <w:szCs w:val="24"/>
          <w:u w:val="single"/>
        </w:rPr>
        <w:t>lighting</w:t>
      </w:r>
      <w:r w:rsidRPr="00DB1AEE">
        <w:rPr>
          <w:spacing w:val="-3"/>
          <w:szCs w:val="24"/>
          <w:u w:val="single"/>
        </w:rPr>
        <w:t xml:space="preserve"> </w:t>
      </w:r>
      <w:r w:rsidRPr="00DB1AEE">
        <w:rPr>
          <w:szCs w:val="24"/>
          <w:u w:val="single"/>
        </w:rPr>
        <w:t>in</w:t>
      </w:r>
      <w:r w:rsidRPr="00DB1AEE">
        <w:rPr>
          <w:spacing w:val="-3"/>
          <w:szCs w:val="24"/>
          <w:u w:val="single"/>
        </w:rPr>
        <w:t xml:space="preserve"> </w:t>
      </w:r>
      <w:r w:rsidRPr="00DB1AEE">
        <w:rPr>
          <w:szCs w:val="24"/>
          <w:u w:val="single"/>
        </w:rPr>
        <w:t>daylight</w:t>
      </w:r>
      <w:r w:rsidRPr="00DB1AEE">
        <w:rPr>
          <w:spacing w:val="-3"/>
          <w:szCs w:val="24"/>
          <w:u w:val="single"/>
        </w:rPr>
        <w:t xml:space="preserve"> </w:t>
      </w:r>
      <w:r w:rsidRPr="00DB1AEE">
        <w:rPr>
          <w:szCs w:val="24"/>
          <w:u w:val="single"/>
        </w:rPr>
        <w:t>transition</w:t>
      </w:r>
      <w:r w:rsidRPr="00DB1AEE">
        <w:rPr>
          <w:spacing w:val="-1"/>
          <w:szCs w:val="24"/>
          <w:u w:val="single"/>
        </w:rPr>
        <w:t xml:space="preserve"> </w:t>
      </w:r>
      <w:r w:rsidRPr="00DB1AEE">
        <w:rPr>
          <w:szCs w:val="24"/>
          <w:u w:val="single"/>
        </w:rPr>
        <w:t>zones and ramps without</w:t>
      </w:r>
      <w:r w:rsidRPr="00DB1AEE">
        <w:rPr>
          <w:spacing w:val="-3"/>
          <w:szCs w:val="24"/>
          <w:u w:val="single"/>
        </w:rPr>
        <w:t xml:space="preserve"> </w:t>
      </w:r>
      <w:r w:rsidRPr="00DB1AEE">
        <w:rPr>
          <w:szCs w:val="24"/>
          <w:u w:val="single"/>
        </w:rPr>
        <w:t>parking</w:t>
      </w:r>
      <w:r w:rsidRPr="00DB1AEE">
        <w:rPr>
          <w:spacing w:val="-1"/>
          <w:szCs w:val="24"/>
          <w:u w:val="single"/>
        </w:rPr>
        <w:t xml:space="preserve"> </w:t>
      </w:r>
      <w:r w:rsidRPr="00DB1AEE">
        <w:rPr>
          <w:szCs w:val="24"/>
          <w:u w:val="single"/>
        </w:rPr>
        <w:t>is</w:t>
      </w:r>
      <w:r w:rsidRPr="00DB1AEE">
        <w:rPr>
          <w:spacing w:val="-2"/>
          <w:szCs w:val="24"/>
          <w:u w:val="single"/>
        </w:rPr>
        <w:t xml:space="preserve"> </w:t>
      </w:r>
      <w:r w:rsidRPr="00DB1AEE">
        <w:rPr>
          <w:szCs w:val="24"/>
          <w:u w:val="single"/>
        </w:rPr>
        <w:t>excluded.</w:t>
      </w:r>
    </w:p>
    <w:p w14:paraId="5E2244AA" w14:textId="77777777" w:rsidR="00DB1AEE" w:rsidRPr="00DB1AEE" w:rsidRDefault="00DB1AEE" w:rsidP="00DB1AEE">
      <w:pPr>
        <w:widowControl w:val="0"/>
        <w:suppressAutoHyphens/>
        <w:spacing w:before="130" w:after="130"/>
        <w:rPr>
          <w:b/>
          <w:bCs/>
          <w:szCs w:val="24"/>
          <w:u w:val="single"/>
        </w:rPr>
      </w:pPr>
      <w:r w:rsidRPr="00DB1AEE">
        <w:rPr>
          <w:szCs w:val="24"/>
          <w:u w:val="single"/>
        </w:rPr>
        <w:t>h.   Pool</w:t>
      </w:r>
      <w:r w:rsidRPr="00DB1AEE">
        <w:rPr>
          <w:spacing w:val="-2"/>
          <w:szCs w:val="24"/>
          <w:u w:val="single"/>
        </w:rPr>
        <w:t xml:space="preserve"> </w:t>
      </w:r>
      <w:r w:rsidRPr="00DB1AEE">
        <w:rPr>
          <w:szCs w:val="24"/>
          <w:u w:val="single"/>
        </w:rPr>
        <w:t>surfaces are</w:t>
      </w:r>
      <w:r w:rsidRPr="00DB1AEE">
        <w:rPr>
          <w:spacing w:val="-1"/>
          <w:szCs w:val="24"/>
          <w:u w:val="single"/>
        </w:rPr>
        <w:t xml:space="preserve"> </w:t>
      </w:r>
      <w:r w:rsidRPr="00DB1AEE">
        <w:rPr>
          <w:szCs w:val="24"/>
          <w:u w:val="single"/>
        </w:rPr>
        <w:t>excluded.</w:t>
      </w:r>
      <w:r w:rsidRPr="00DB1AEE">
        <w:rPr>
          <w:spacing w:val="-3"/>
          <w:szCs w:val="24"/>
          <w:u w:val="single"/>
        </w:rPr>
        <w:t xml:space="preserve"> </w:t>
      </w:r>
      <w:r w:rsidRPr="00DB1AEE">
        <w:rPr>
          <w:szCs w:val="24"/>
          <w:u w:val="single"/>
        </w:rPr>
        <w:t>Neither</w:t>
      </w:r>
      <w:r w:rsidRPr="00DB1AEE">
        <w:rPr>
          <w:spacing w:val="-1"/>
          <w:szCs w:val="24"/>
          <w:u w:val="single"/>
        </w:rPr>
        <w:t xml:space="preserve"> </w:t>
      </w:r>
      <w:r w:rsidRPr="00DB1AEE">
        <w:rPr>
          <w:szCs w:val="24"/>
          <w:u w:val="single"/>
        </w:rPr>
        <w:t>the</w:t>
      </w:r>
      <w:r w:rsidRPr="00DB1AEE">
        <w:rPr>
          <w:spacing w:val="1"/>
          <w:szCs w:val="24"/>
          <w:u w:val="single"/>
        </w:rPr>
        <w:t xml:space="preserve"> </w:t>
      </w:r>
      <w:r w:rsidRPr="00DB1AEE">
        <w:rPr>
          <w:szCs w:val="24"/>
          <w:u w:val="single"/>
        </w:rPr>
        <w:t>surface</w:t>
      </w:r>
      <w:r w:rsidRPr="00DB1AEE">
        <w:rPr>
          <w:spacing w:val="-3"/>
          <w:szCs w:val="24"/>
          <w:u w:val="single"/>
        </w:rPr>
        <w:t xml:space="preserve"> </w:t>
      </w:r>
      <w:r w:rsidRPr="00DB1AEE">
        <w:rPr>
          <w:szCs w:val="24"/>
          <w:u w:val="single"/>
        </w:rPr>
        <w:t>area of the</w:t>
      </w:r>
      <w:r w:rsidRPr="00DB1AEE">
        <w:rPr>
          <w:spacing w:val="-3"/>
          <w:szCs w:val="24"/>
          <w:u w:val="single"/>
        </w:rPr>
        <w:t xml:space="preserve"> </w:t>
      </w:r>
      <w:r w:rsidRPr="00DB1AEE">
        <w:rPr>
          <w:szCs w:val="24"/>
          <w:u w:val="single"/>
        </w:rPr>
        <w:t>swimming or</w:t>
      </w:r>
      <w:r w:rsidRPr="00DB1AEE">
        <w:rPr>
          <w:spacing w:val="-1"/>
          <w:szCs w:val="24"/>
          <w:u w:val="single"/>
        </w:rPr>
        <w:t xml:space="preserve"> </w:t>
      </w:r>
      <w:r w:rsidRPr="00DB1AEE">
        <w:rPr>
          <w:szCs w:val="24"/>
          <w:u w:val="single"/>
        </w:rPr>
        <w:t>spa</w:t>
      </w:r>
      <w:r w:rsidRPr="00DB1AEE">
        <w:rPr>
          <w:spacing w:val="-3"/>
          <w:szCs w:val="24"/>
          <w:u w:val="single"/>
        </w:rPr>
        <w:t xml:space="preserve"> </w:t>
      </w:r>
      <w:r w:rsidRPr="00DB1AEE">
        <w:rPr>
          <w:szCs w:val="24"/>
          <w:u w:val="single"/>
        </w:rPr>
        <w:t>pool nor the</w:t>
      </w:r>
      <w:r w:rsidRPr="00DB1AEE">
        <w:rPr>
          <w:spacing w:val="-1"/>
          <w:szCs w:val="24"/>
          <w:u w:val="single"/>
        </w:rPr>
        <w:t xml:space="preserve"> </w:t>
      </w:r>
      <w:r w:rsidRPr="00DB1AEE">
        <w:rPr>
          <w:szCs w:val="24"/>
          <w:u w:val="single"/>
        </w:rPr>
        <w:t>wattage</w:t>
      </w:r>
      <w:r w:rsidRPr="00DB1AEE">
        <w:rPr>
          <w:spacing w:val="-1"/>
          <w:szCs w:val="24"/>
          <w:u w:val="single"/>
        </w:rPr>
        <w:t xml:space="preserve"> </w:t>
      </w:r>
      <w:r w:rsidRPr="00DB1AEE">
        <w:rPr>
          <w:szCs w:val="24"/>
          <w:u w:val="single"/>
        </w:rPr>
        <w:t>of</w:t>
      </w:r>
      <w:r w:rsidRPr="00DB1AEE">
        <w:rPr>
          <w:spacing w:val="-2"/>
          <w:szCs w:val="24"/>
          <w:u w:val="single"/>
        </w:rPr>
        <w:t xml:space="preserve"> </w:t>
      </w:r>
      <w:r w:rsidRPr="00DB1AEE">
        <w:rPr>
          <w:szCs w:val="24"/>
          <w:u w:val="single"/>
        </w:rPr>
        <w:t>the lighting serving</w:t>
      </w:r>
      <w:r w:rsidRPr="00DB1AEE">
        <w:rPr>
          <w:spacing w:val="-3"/>
          <w:szCs w:val="24"/>
          <w:u w:val="single"/>
        </w:rPr>
        <w:t xml:space="preserve"> </w:t>
      </w:r>
      <w:r w:rsidRPr="00DB1AEE">
        <w:rPr>
          <w:szCs w:val="24"/>
          <w:u w:val="single"/>
        </w:rPr>
        <w:t>them</w:t>
      </w:r>
      <w:r w:rsidRPr="00DB1AEE">
        <w:rPr>
          <w:spacing w:val="5"/>
          <w:szCs w:val="24"/>
          <w:u w:val="single"/>
        </w:rPr>
        <w:t xml:space="preserve"> </w:t>
      </w:r>
      <w:r w:rsidRPr="00DB1AEE">
        <w:rPr>
          <w:szCs w:val="24"/>
          <w:u w:val="single"/>
        </w:rPr>
        <w:t>shall be</w:t>
      </w:r>
      <w:r w:rsidRPr="00DB1AEE">
        <w:rPr>
          <w:spacing w:val="-3"/>
          <w:szCs w:val="24"/>
          <w:u w:val="single"/>
        </w:rPr>
        <w:t xml:space="preserve"> </w:t>
      </w:r>
      <w:r w:rsidRPr="00DB1AEE">
        <w:rPr>
          <w:szCs w:val="24"/>
          <w:u w:val="single"/>
        </w:rPr>
        <w:t>counted.</w:t>
      </w:r>
    </w:p>
    <w:p w14:paraId="63B1196E" w14:textId="77777777" w:rsidR="00DB1AEE" w:rsidRPr="00DB1AEE" w:rsidRDefault="00DB1AEE" w:rsidP="00DB1AEE">
      <w:pPr>
        <w:widowControl w:val="0"/>
        <w:suppressAutoHyphens/>
        <w:autoSpaceDE w:val="0"/>
        <w:autoSpaceDN w:val="0"/>
        <w:adjustRightInd w:val="0"/>
        <w:spacing w:before="130" w:after="130"/>
        <w:rPr>
          <w:b/>
          <w:bCs/>
          <w:u w:val="single"/>
        </w:rPr>
      </w:pPr>
      <w:r w:rsidRPr="00DB1AEE">
        <w:rPr>
          <w:b/>
          <w:bCs/>
          <w:u w:val="single"/>
        </w:rPr>
        <w:t xml:space="preserve">Section C405.4 Horticultural lighting.        </w:t>
      </w:r>
    </w:p>
    <w:p w14:paraId="1C296B7A" w14:textId="77777777" w:rsidR="00DB1AEE" w:rsidRPr="00DB1AEE" w:rsidRDefault="00DB1AEE" w:rsidP="00DB1AEE">
      <w:pPr>
        <w:widowControl w:val="0"/>
        <w:suppressAutoHyphens/>
        <w:spacing w:before="130" w:after="130"/>
        <w:rPr>
          <w:b/>
          <w:bCs/>
          <w:u w:val="single"/>
        </w:rPr>
      </w:pPr>
      <w:r w:rsidRPr="00DB1AEE">
        <w:rPr>
          <w:rFonts w:eastAsia="MS Mincho"/>
          <w:bCs/>
          <w:szCs w:val="24"/>
          <w:u w:val="single"/>
        </w:rPr>
        <w:t>Section C405.4 – Revise Section C405.4 to read as follows:</w:t>
      </w:r>
    </w:p>
    <w:p w14:paraId="7C0CEAFA" w14:textId="77777777" w:rsidR="00DB1AEE" w:rsidRPr="00DB1AEE" w:rsidRDefault="00DB1AEE" w:rsidP="00DB1AEE">
      <w:pPr>
        <w:widowControl w:val="0"/>
        <w:suppressAutoHyphens/>
        <w:spacing w:before="130" w:after="130"/>
        <w:ind w:left="360"/>
        <w:rPr>
          <w:b/>
          <w:bCs/>
          <w:u w:val="single"/>
        </w:rPr>
      </w:pPr>
      <w:r w:rsidRPr="00DB1AEE">
        <w:rPr>
          <w:b/>
          <w:bCs/>
          <w:u w:val="single"/>
        </w:rPr>
        <w:t xml:space="preserve">C405.4 Horticultural lighting.  </w:t>
      </w:r>
      <w:r w:rsidRPr="00DB1AEE">
        <w:rPr>
          <w:u w:val="single"/>
        </w:rPr>
        <w:t>Permanently installed luminaires for horticultural lighting shall have a photosynthetic photon efficacy of not less than 2.1 micromoles per joule (μmol/J). Luminaires for horticultural lighting in greenhouses shall be controlled by a device that automatically turns off the luminaire when sufficient daylight is available. Luminaires for horticultural lighting shall be controlled by a device that automatically turns off the luminaire at specific programmed times.</w:t>
      </w:r>
    </w:p>
    <w:p w14:paraId="169F79DA"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 xml:space="preserve">Section C405.5.1 Total connected exterior lighting power.        </w:t>
      </w:r>
    </w:p>
    <w:p w14:paraId="7F124B93" w14:textId="77777777" w:rsidR="00DB1AEE" w:rsidRPr="00DB1AEE" w:rsidRDefault="00DB1AEE" w:rsidP="00DB1AEE">
      <w:pPr>
        <w:widowControl w:val="0"/>
        <w:suppressAutoHyphens/>
        <w:spacing w:before="130" w:after="130"/>
        <w:ind w:left="360"/>
        <w:rPr>
          <w:b/>
          <w:bCs/>
          <w:u w:val="single"/>
        </w:rPr>
      </w:pPr>
      <w:r w:rsidRPr="00DB1AEE">
        <w:rPr>
          <w:rFonts w:eastAsia="MS Mincho"/>
          <w:bCs/>
          <w:szCs w:val="24"/>
          <w:u w:val="single"/>
        </w:rPr>
        <w:t>Section C405.5.1 – Revise Exception 15 from Section C405.5.1 to read as follows</w:t>
      </w:r>
    </w:p>
    <w:p w14:paraId="7BEA4D1F" w14:textId="77777777" w:rsidR="00DB1AEE" w:rsidRPr="00DB1AEE" w:rsidRDefault="00DB1AEE" w:rsidP="00DB1AEE">
      <w:pPr>
        <w:widowControl w:val="0"/>
        <w:suppressAutoHyphens/>
        <w:spacing w:before="130" w:after="130"/>
        <w:ind w:left="360"/>
        <w:rPr>
          <w:u w:val="single"/>
        </w:rPr>
      </w:pPr>
      <w:r w:rsidRPr="00DB1AEE">
        <w:rPr>
          <w:u w:val="single"/>
        </w:rPr>
        <w:t>15. Lighting of the exterior means of egress as required by the New York City  Building Code.</w:t>
      </w:r>
    </w:p>
    <w:p w14:paraId="669D8EE0"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 xml:space="preserve">Table C405.5.2(2) Lighting Power Allowances For Building Exteriors.        </w:t>
      </w:r>
    </w:p>
    <w:p w14:paraId="457F27E1" w14:textId="77777777" w:rsidR="00DB1AEE" w:rsidRPr="00DB1AEE" w:rsidRDefault="00DB1AEE" w:rsidP="00DB1AEE">
      <w:pPr>
        <w:widowControl w:val="0"/>
        <w:suppressAutoHyphens/>
        <w:spacing w:before="130" w:after="130"/>
        <w:rPr>
          <w:b/>
          <w:bCs/>
          <w:u w:val="single"/>
        </w:rPr>
      </w:pPr>
      <w:r w:rsidRPr="00DB1AEE">
        <w:rPr>
          <w:rFonts w:eastAsia="MS Mincho"/>
          <w:bCs/>
          <w:szCs w:val="24"/>
          <w:u w:val="single"/>
        </w:rPr>
        <w:t>Table C405.5.2(2) – Revise Table C405.5.2(2) to read as follows:</w:t>
      </w:r>
    </w:p>
    <w:p w14:paraId="3A29A9EC" w14:textId="77777777" w:rsidR="00DB1AEE" w:rsidRPr="00DB1AEE" w:rsidRDefault="00DB1AEE" w:rsidP="00DB1AEE">
      <w:pPr>
        <w:keepNext/>
        <w:suppressAutoHyphens/>
        <w:autoSpaceDE w:val="0"/>
        <w:autoSpaceDN w:val="0"/>
        <w:adjustRightInd w:val="0"/>
        <w:spacing w:line="180" w:lineRule="atLeast"/>
        <w:jc w:val="center"/>
        <w:rPr>
          <w:b/>
          <w:bCs/>
          <w:szCs w:val="24"/>
          <w:u w:val="single"/>
        </w:rPr>
      </w:pPr>
      <w:r w:rsidRPr="00DB1AEE">
        <w:rPr>
          <w:b/>
          <w:bCs/>
          <w:szCs w:val="24"/>
          <w:u w:val="single"/>
        </w:rPr>
        <w:t>TABLE C405.5.2(2)</w:t>
      </w:r>
    </w:p>
    <w:p w14:paraId="6B688BA3" w14:textId="77777777" w:rsidR="00DB1AEE" w:rsidRPr="00DB1AEE" w:rsidRDefault="00DB1AEE" w:rsidP="00DB1AEE">
      <w:pPr>
        <w:suppressAutoHyphens/>
        <w:autoSpaceDE w:val="0"/>
        <w:autoSpaceDN w:val="0"/>
        <w:adjustRightInd w:val="0"/>
        <w:spacing w:before="80" w:after="20" w:line="180" w:lineRule="atLeast"/>
        <w:jc w:val="center"/>
        <w:rPr>
          <w:b/>
          <w:bCs/>
          <w:szCs w:val="24"/>
          <w:u w:val="single"/>
        </w:rPr>
      </w:pPr>
      <w:r w:rsidRPr="00DB1AEE">
        <w:rPr>
          <w:b/>
          <w:bCs/>
          <w:szCs w:val="24"/>
          <w:u w:val="single"/>
        </w:rPr>
        <w:t>LIGHTING POWER ALLOWANCES FOR BUILDING EXTERIORS</w:t>
      </w:r>
    </w:p>
    <w:tbl>
      <w:tblPr>
        <w:tblW w:w="9345" w:type="dxa"/>
        <w:jc w:val="right"/>
        <w:tblLayout w:type="fixed"/>
        <w:tblCellMar>
          <w:top w:w="60" w:type="dxa"/>
          <w:left w:w="40" w:type="dxa"/>
          <w:bottom w:w="40" w:type="dxa"/>
          <w:right w:w="40" w:type="dxa"/>
        </w:tblCellMar>
        <w:tblLook w:val="0000" w:firstRow="0" w:lastRow="0" w:firstColumn="0" w:lastColumn="0" w:noHBand="0" w:noVBand="0"/>
      </w:tblPr>
      <w:tblGrid>
        <w:gridCol w:w="2705"/>
        <w:gridCol w:w="1660"/>
        <w:gridCol w:w="1660"/>
        <w:gridCol w:w="1660"/>
        <w:gridCol w:w="1660"/>
      </w:tblGrid>
      <w:tr w:rsidR="00DB1AEE" w:rsidRPr="00DB1AEE" w14:paraId="315554A6" w14:textId="77777777" w:rsidTr="00FC1832">
        <w:trPr>
          <w:trHeight w:val="220"/>
          <w:jc w:val="right"/>
        </w:trPr>
        <w:tc>
          <w:tcPr>
            <w:tcW w:w="2705" w:type="dxa"/>
            <w:vMerge w:val="restart"/>
            <w:tcBorders>
              <w:top w:val="single" w:sz="4" w:space="0" w:color="000000"/>
              <w:left w:val="single" w:sz="4" w:space="0" w:color="000000"/>
              <w:bottom w:val="single" w:sz="4" w:space="0" w:color="000000"/>
              <w:right w:val="single" w:sz="4" w:space="0" w:color="000000"/>
            </w:tcBorders>
            <w:tcMar>
              <w:top w:w="60" w:type="dxa"/>
              <w:left w:w="40" w:type="dxa"/>
              <w:bottom w:w="40" w:type="dxa"/>
              <w:right w:w="40" w:type="dxa"/>
            </w:tcMar>
            <w:vAlign w:val="center"/>
          </w:tcPr>
          <w:p w14:paraId="24C1E24E" w14:textId="77777777" w:rsidR="00DB1AEE" w:rsidRPr="00DB1AEE" w:rsidRDefault="00DB1AEE" w:rsidP="00DB1AEE">
            <w:pPr>
              <w:suppressAutoHyphens/>
              <w:autoSpaceDE w:val="0"/>
              <w:autoSpaceDN w:val="0"/>
              <w:adjustRightInd w:val="0"/>
              <w:spacing w:line="160" w:lineRule="atLeast"/>
              <w:jc w:val="center"/>
              <w:rPr>
                <w:b/>
                <w:bCs/>
                <w:w w:val="0"/>
                <w:szCs w:val="24"/>
                <w:u w:val="single"/>
              </w:rPr>
            </w:pPr>
          </w:p>
        </w:tc>
        <w:tc>
          <w:tcPr>
            <w:tcW w:w="6640" w:type="dxa"/>
            <w:gridSpan w:val="4"/>
            <w:tcBorders>
              <w:top w:val="single" w:sz="4" w:space="0" w:color="000000"/>
              <w:left w:val="single" w:sz="4" w:space="0" w:color="000000"/>
              <w:bottom w:val="single" w:sz="4" w:space="0" w:color="000000"/>
              <w:right w:val="single" w:sz="4" w:space="0" w:color="000000"/>
            </w:tcBorders>
            <w:tcMar>
              <w:top w:w="60" w:type="dxa"/>
              <w:left w:w="40" w:type="dxa"/>
              <w:bottom w:w="40" w:type="dxa"/>
              <w:right w:w="40" w:type="dxa"/>
            </w:tcMar>
            <w:vAlign w:val="center"/>
          </w:tcPr>
          <w:p w14:paraId="3D138801" w14:textId="77777777" w:rsidR="00DB1AEE" w:rsidRPr="00DB1AEE" w:rsidRDefault="00DB1AEE" w:rsidP="00DB1AEE">
            <w:pPr>
              <w:suppressAutoHyphens/>
              <w:autoSpaceDE w:val="0"/>
              <w:autoSpaceDN w:val="0"/>
              <w:adjustRightInd w:val="0"/>
              <w:spacing w:line="160" w:lineRule="atLeast"/>
              <w:jc w:val="center"/>
              <w:rPr>
                <w:b/>
                <w:bCs/>
                <w:w w:val="0"/>
                <w:szCs w:val="24"/>
                <w:u w:val="single"/>
              </w:rPr>
            </w:pPr>
            <w:r w:rsidRPr="00DB1AEE">
              <w:rPr>
                <w:szCs w:val="24"/>
                <w:u w:val="single"/>
              </w:rPr>
              <w:t>LIGHTING ZONES</w:t>
            </w:r>
          </w:p>
        </w:tc>
      </w:tr>
      <w:tr w:rsidR="00DB1AEE" w:rsidRPr="00DB1AEE" w14:paraId="66F9D6C6" w14:textId="77777777" w:rsidTr="00FC1832">
        <w:trPr>
          <w:trHeight w:val="220"/>
          <w:jc w:val="right"/>
        </w:trPr>
        <w:tc>
          <w:tcPr>
            <w:tcW w:w="2705" w:type="dxa"/>
            <w:vMerge/>
          </w:tcPr>
          <w:p w14:paraId="319D2651" w14:textId="77777777" w:rsidR="00DB1AEE" w:rsidRPr="00DB1AEE" w:rsidRDefault="00DB1AEE" w:rsidP="00DB1AEE">
            <w:pPr>
              <w:widowControl w:val="0"/>
              <w:autoSpaceDE w:val="0"/>
              <w:autoSpaceDN w:val="0"/>
              <w:adjustRightInd w:val="0"/>
              <w:jc w:val="left"/>
              <w:rPr>
                <w:b/>
                <w:bCs/>
                <w:szCs w:val="24"/>
                <w:u w:val="single"/>
              </w:rPr>
            </w:pP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4D3CC3C" w14:textId="77777777" w:rsidR="00DB1AEE" w:rsidRPr="00DB1AEE" w:rsidRDefault="00DB1AEE" w:rsidP="00DB1AEE">
            <w:pPr>
              <w:suppressAutoHyphens/>
              <w:autoSpaceDE w:val="0"/>
              <w:autoSpaceDN w:val="0"/>
              <w:adjustRightInd w:val="0"/>
              <w:spacing w:line="160" w:lineRule="atLeast"/>
              <w:jc w:val="center"/>
              <w:rPr>
                <w:b/>
                <w:bCs/>
                <w:w w:val="0"/>
                <w:szCs w:val="24"/>
                <w:u w:val="single"/>
              </w:rPr>
            </w:pPr>
            <w:r w:rsidRPr="00DB1AEE">
              <w:rPr>
                <w:szCs w:val="24"/>
                <w:u w:val="single"/>
              </w:rPr>
              <w:t>Zone 1</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C4F1FB1" w14:textId="77777777" w:rsidR="00DB1AEE" w:rsidRPr="00DB1AEE" w:rsidRDefault="00DB1AEE" w:rsidP="00DB1AEE">
            <w:pPr>
              <w:suppressAutoHyphens/>
              <w:autoSpaceDE w:val="0"/>
              <w:autoSpaceDN w:val="0"/>
              <w:adjustRightInd w:val="0"/>
              <w:spacing w:line="160" w:lineRule="atLeast"/>
              <w:jc w:val="center"/>
              <w:rPr>
                <w:b/>
                <w:bCs/>
                <w:w w:val="0"/>
                <w:szCs w:val="24"/>
                <w:u w:val="single"/>
              </w:rPr>
            </w:pPr>
            <w:r w:rsidRPr="00DB1AEE">
              <w:rPr>
                <w:szCs w:val="24"/>
                <w:u w:val="single"/>
              </w:rPr>
              <w:t>Zone 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27FB9EC" w14:textId="77777777" w:rsidR="00DB1AEE" w:rsidRPr="00DB1AEE" w:rsidRDefault="00DB1AEE" w:rsidP="00DB1AEE">
            <w:pPr>
              <w:suppressAutoHyphens/>
              <w:autoSpaceDE w:val="0"/>
              <w:autoSpaceDN w:val="0"/>
              <w:adjustRightInd w:val="0"/>
              <w:spacing w:line="160" w:lineRule="atLeast"/>
              <w:jc w:val="center"/>
              <w:rPr>
                <w:b/>
                <w:bCs/>
                <w:w w:val="0"/>
                <w:szCs w:val="24"/>
                <w:u w:val="single"/>
              </w:rPr>
            </w:pPr>
            <w:r w:rsidRPr="00DB1AEE">
              <w:rPr>
                <w:szCs w:val="24"/>
                <w:u w:val="single"/>
              </w:rPr>
              <w:t>Zone 3</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90C4682" w14:textId="77777777" w:rsidR="00DB1AEE" w:rsidRPr="00DB1AEE" w:rsidRDefault="00DB1AEE" w:rsidP="00DB1AEE">
            <w:pPr>
              <w:suppressAutoHyphens/>
              <w:autoSpaceDE w:val="0"/>
              <w:autoSpaceDN w:val="0"/>
              <w:adjustRightInd w:val="0"/>
              <w:spacing w:line="160" w:lineRule="atLeast"/>
              <w:jc w:val="center"/>
              <w:rPr>
                <w:b/>
                <w:bCs/>
                <w:w w:val="0"/>
                <w:szCs w:val="24"/>
                <w:u w:val="single"/>
              </w:rPr>
            </w:pPr>
            <w:r w:rsidRPr="00DB1AEE">
              <w:rPr>
                <w:szCs w:val="24"/>
                <w:u w:val="single"/>
              </w:rPr>
              <w:t>Zone 4</w:t>
            </w:r>
          </w:p>
        </w:tc>
      </w:tr>
      <w:tr w:rsidR="00DB1AEE" w:rsidRPr="00DB1AEE" w14:paraId="19E3CCCA" w14:textId="77777777" w:rsidTr="00FC1832">
        <w:trPr>
          <w:trHeight w:val="280"/>
          <w:jc w:val="right"/>
        </w:trPr>
        <w:tc>
          <w:tcPr>
            <w:tcW w:w="270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9B149EA"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rPr>
              <w:t>Base Site Allowance</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16D63A2"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160 W</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C941E96"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280 W</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9662712"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400 W</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EF5E1C9"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560 W</w:t>
            </w:r>
          </w:p>
        </w:tc>
      </w:tr>
      <w:tr w:rsidR="00DB1AEE" w:rsidRPr="00DB1AEE" w14:paraId="12305527" w14:textId="77777777" w:rsidTr="00FC1832">
        <w:trPr>
          <w:trHeight w:val="220"/>
          <w:jc w:val="right"/>
        </w:trPr>
        <w:tc>
          <w:tcPr>
            <w:tcW w:w="9345" w:type="dxa"/>
            <w:gridSpan w:val="5"/>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3342305" w14:textId="77777777" w:rsidR="00DB1AEE" w:rsidRPr="00DB1AEE" w:rsidRDefault="00DB1AEE" w:rsidP="00DB1AEE">
            <w:pPr>
              <w:suppressAutoHyphens/>
              <w:autoSpaceDE w:val="0"/>
              <w:autoSpaceDN w:val="0"/>
              <w:adjustRightInd w:val="0"/>
              <w:spacing w:line="160" w:lineRule="atLeast"/>
              <w:jc w:val="center"/>
              <w:rPr>
                <w:b/>
                <w:bCs/>
                <w:w w:val="0"/>
                <w:szCs w:val="24"/>
                <w:u w:val="single"/>
              </w:rPr>
            </w:pPr>
            <w:r w:rsidRPr="00DB1AEE">
              <w:rPr>
                <w:szCs w:val="24"/>
                <w:u w:val="single"/>
              </w:rPr>
              <w:t>Uncovered Parking Areas</w:t>
            </w:r>
          </w:p>
        </w:tc>
      </w:tr>
      <w:tr w:rsidR="00DB1AEE" w:rsidRPr="00DB1AEE" w14:paraId="14772A94" w14:textId="77777777" w:rsidTr="00FC1832">
        <w:trPr>
          <w:trHeight w:val="280"/>
          <w:jc w:val="right"/>
        </w:trPr>
        <w:tc>
          <w:tcPr>
            <w:tcW w:w="270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33F86F1" w14:textId="77777777" w:rsidR="00DB1AEE" w:rsidRPr="00DB1AEE" w:rsidRDefault="00DB1AEE" w:rsidP="00DB1AEE">
            <w:pPr>
              <w:suppressAutoHyphens/>
              <w:autoSpaceDE w:val="0"/>
              <w:autoSpaceDN w:val="0"/>
              <w:adjustRightInd w:val="0"/>
              <w:spacing w:before="20" w:after="20" w:line="200" w:lineRule="atLeast"/>
              <w:ind w:left="300" w:hanging="300"/>
              <w:jc w:val="left"/>
              <w:rPr>
                <w:w w:val="0"/>
                <w:szCs w:val="24"/>
                <w:u w:val="single"/>
              </w:rPr>
            </w:pPr>
            <w:r w:rsidRPr="00DB1AEE">
              <w:rPr>
                <w:szCs w:val="24"/>
                <w:u w:val="single"/>
              </w:rPr>
              <w:t>Parking area, exterior</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728BA39"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w w:val="0"/>
                <w:szCs w:val="24"/>
                <w:u w:val="single"/>
              </w:rPr>
              <w:t>0.015 W/ft</w:t>
            </w:r>
            <w:r w:rsidRPr="00DB1AEE">
              <w:rPr>
                <w:w w:val="0"/>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07CDB0D"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w w:val="0"/>
                <w:szCs w:val="24"/>
                <w:u w:val="single"/>
              </w:rPr>
              <w:t>0.026 W/ft</w:t>
            </w:r>
            <w:r w:rsidRPr="00DB1AEE">
              <w:rPr>
                <w:w w:val="0"/>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0EC39FF"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w w:val="0"/>
                <w:szCs w:val="24"/>
                <w:u w:val="single"/>
              </w:rPr>
              <w:t>0.037 W/ft</w:t>
            </w:r>
            <w:r w:rsidRPr="00DB1AEE">
              <w:rPr>
                <w:w w:val="0"/>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179AEED" w14:textId="77777777" w:rsidR="00DB1AEE" w:rsidRPr="00DB1AEE" w:rsidRDefault="00DB1AEE" w:rsidP="00DB1AEE">
            <w:pPr>
              <w:autoSpaceDE w:val="0"/>
              <w:autoSpaceDN w:val="0"/>
              <w:adjustRightInd w:val="0"/>
              <w:spacing w:before="20" w:after="20" w:line="200" w:lineRule="atLeast"/>
              <w:jc w:val="center"/>
              <w:rPr>
                <w:szCs w:val="24"/>
                <w:u w:val="single"/>
                <w:vertAlign w:val="superscript"/>
              </w:rPr>
            </w:pPr>
            <w:r w:rsidRPr="00DB1AEE">
              <w:rPr>
                <w:szCs w:val="24"/>
                <w:u w:val="single"/>
              </w:rPr>
              <w:t>0.05</w:t>
            </w:r>
            <w:r w:rsidRPr="00DB1AEE">
              <w:rPr>
                <w:strike/>
                <w:szCs w:val="24"/>
                <w:u w:val="single"/>
              </w:rPr>
              <w:t xml:space="preserve"> </w:t>
            </w:r>
            <w:r w:rsidRPr="00DB1AEE">
              <w:rPr>
                <w:szCs w:val="24"/>
                <w:u w:val="single"/>
              </w:rPr>
              <w:t xml:space="preserve"> W/ft</w:t>
            </w:r>
            <w:r w:rsidRPr="00DB1AEE">
              <w:rPr>
                <w:szCs w:val="24"/>
                <w:u w:val="single"/>
                <w:vertAlign w:val="superscript"/>
              </w:rPr>
              <w:t>2</w:t>
            </w:r>
          </w:p>
          <w:p w14:paraId="543871EB" w14:textId="77777777" w:rsidR="00DB1AEE" w:rsidRPr="00DB1AEE" w:rsidRDefault="00DB1AEE" w:rsidP="00DB1AEE">
            <w:pPr>
              <w:autoSpaceDE w:val="0"/>
              <w:autoSpaceDN w:val="0"/>
              <w:adjustRightInd w:val="0"/>
              <w:spacing w:before="20" w:after="20" w:line="200" w:lineRule="atLeast"/>
              <w:jc w:val="center"/>
              <w:rPr>
                <w:strike/>
                <w:w w:val="0"/>
                <w:szCs w:val="24"/>
                <w:u w:val="single"/>
              </w:rPr>
            </w:pPr>
          </w:p>
        </w:tc>
      </w:tr>
      <w:tr w:rsidR="00DB1AEE" w:rsidRPr="00DB1AEE" w14:paraId="0455633C" w14:textId="77777777" w:rsidTr="00FC1832">
        <w:trPr>
          <w:trHeight w:val="220"/>
          <w:jc w:val="right"/>
        </w:trPr>
        <w:tc>
          <w:tcPr>
            <w:tcW w:w="9345" w:type="dxa"/>
            <w:gridSpan w:val="5"/>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AA919F3" w14:textId="77777777" w:rsidR="00DB1AEE" w:rsidRPr="00DB1AEE" w:rsidRDefault="00DB1AEE" w:rsidP="00DB1AEE">
            <w:pPr>
              <w:suppressAutoHyphens/>
              <w:autoSpaceDE w:val="0"/>
              <w:autoSpaceDN w:val="0"/>
              <w:adjustRightInd w:val="0"/>
              <w:spacing w:line="160" w:lineRule="atLeast"/>
              <w:jc w:val="center"/>
              <w:rPr>
                <w:b/>
                <w:bCs/>
                <w:w w:val="0"/>
                <w:szCs w:val="24"/>
                <w:u w:val="single"/>
              </w:rPr>
            </w:pPr>
            <w:r w:rsidRPr="00DB1AEE">
              <w:rPr>
                <w:szCs w:val="24"/>
                <w:u w:val="single"/>
              </w:rPr>
              <w:t>Building Grounds</w:t>
            </w:r>
          </w:p>
        </w:tc>
      </w:tr>
      <w:tr w:rsidR="00DB1AEE" w:rsidRPr="00DB1AEE" w14:paraId="7B5EDAEB" w14:textId="77777777" w:rsidTr="00FC1832">
        <w:trPr>
          <w:trHeight w:val="280"/>
          <w:jc w:val="right"/>
        </w:trPr>
        <w:tc>
          <w:tcPr>
            <w:tcW w:w="270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ACCB41C"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rPr>
              <w:t xml:space="preserve">Walkways and ramps </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A2682AA"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0.50 W/linear foot</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26FB490"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0.50 W/linear foot</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26EB515"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w w:val="0"/>
                <w:szCs w:val="24"/>
                <w:u w:val="single"/>
              </w:rPr>
              <w:t>0.55 W/linear foot</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C25A604"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w w:val="0"/>
                <w:szCs w:val="24"/>
                <w:u w:val="single"/>
              </w:rPr>
              <w:t>0.60 W/linear foot</w:t>
            </w:r>
          </w:p>
        </w:tc>
      </w:tr>
      <w:tr w:rsidR="00DB1AEE" w:rsidRPr="00DB1AEE" w14:paraId="4B4D8F31" w14:textId="77777777" w:rsidTr="00FC1832">
        <w:trPr>
          <w:trHeight w:val="480"/>
          <w:jc w:val="right"/>
        </w:trPr>
        <w:tc>
          <w:tcPr>
            <w:tcW w:w="270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10156B2"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rPr>
              <w:t>Plaza areas</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B679EBE"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w w:val="0"/>
                <w:szCs w:val="24"/>
                <w:u w:val="single"/>
              </w:rPr>
              <w:t>0.028 W/ft</w:t>
            </w:r>
            <w:r w:rsidRPr="00DB1AEE">
              <w:rPr>
                <w:w w:val="0"/>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1419BB7"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trike/>
                <w:szCs w:val="24"/>
                <w:u w:val="single"/>
              </w:rPr>
              <w:t xml:space="preserve"> </w:t>
            </w:r>
            <w:r w:rsidRPr="00DB1AEE">
              <w:rPr>
                <w:w w:val="0"/>
                <w:szCs w:val="24"/>
                <w:u w:val="single"/>
              </w:rPr>
              <w:t>0.049 W/ft</w:t>
            </w:r>
            <w:r w:rsidRPr="00DB1AEE">
              <w:rPr>
                <w:w w:val="0"/>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CFFA5C5"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w w:val="0"/>
                <w:szCs w:val="24"/>
                <w:u w:val="single"/>
              </w:rPr>
              <w:t>0.070 W/ft</w:t>
            </w:r>
            <w:r w:rsidRPr="00DB1AEE">
              <w:rPr>
                <w:w w:val="0"/>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687301C"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w w:val="0"/>
                <w:szCs w:val="24"/>
                <w:u w:val="single"/>
              </w:rPr>
              <w:t>0.098 W/ft</w:t>
            </w:r>
            <w:r w:rsidRPr="00DB1AEE">
              <w:rPr>
                <w:w w:val="0"/>
                <w:szCs w:val="24"/>
                <w:u w:val="single"/>
                <w:vertAlign w:val="superscript"/>
              </w:rPr>
              <w:t>2</w:t>
            </w:r>
          </w:p>
        </w:tc>
      </w:tr>
      <w:tr w:rsidR="00DB1AEE" w:rsidRPr="00DB1AEE" w14:paraId="64C20C48" w14:textId="77777777" w:rsidTr="00FC1832">
        <w:trPr>
          <w:trHeight w:val="280"/>
          <w:jc w:val="right"/>
        </w:trPr>
        <w:tc>
          <w:tcPr>
            <w:tcW w:w="270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97B2FA7"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rPr>
              <w:t>Dining areas</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5E0063E"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w w:val="0"/>
                <w:szCs w:val="24"/>
                <w:u w:val="single"/>
              </w:rPr>
              <w:t>0.156 W/ft</w:t>
            </w:r>
            <w:r w:rsidRPr="00DB1AEE">
              <w:rPr>
                <w:w w:val="0"/>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E5C33A3"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w w:val="0"/>
                <w:szCs w:val="24"/>
                <w:u w:val="single"/>
              </w:rPr>
              <w:t>0.273 W/ft</w:t>
            </w:r>
            <w:r w:rsidRPr="00DB1AEE">
              <w:rPr>
                <w:w w:val="0"/>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236007B"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w w:val="0"/>
                <w:szCs w:val="24"/>
                <w:u w:val="single"/>
              </w:rPr>
              <w:t>0.390 W/ft</w:t>
            </w:r>
            <w:r w:rsidRPr="00DB1AEE">
              <w:rPr>
                <w:w w:val="0"/>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CBD49B8"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w w:val="0"/>
                <w:szCs w:val="24"/>
                <w:u w:val="single"/>
              </w:rPr>
              <w:t>0.546 W/ft</w:t>
            </w:r>
            <w:r w:rsidRPr="00DB1AEE">
              <w:rPr>
                <w:w w:val="0"/>
                <w:szCs w:val="24"/>
                <w:u w:val="single"/>
                <w:vertAlign w:val="superscript"/>
              </w:rPr>
              <w:t>2</w:t>
            </w:r>
          </w:p>
        </w:tc>
      </w:tr>
      <w:tr w:rsidR="00DB1AEE" w:rsidRPr="00DB1AEE" w14:paraId="48D3492B" w14:textId="77777777" w:rsidTr="00FC1832">
        <w:trPr>
          <w:trHeight w:val="280"/>
          <w:jc w:val="right"/>
        </w:trPr>
        <w:tc>
          <w:tcPr>
            <w:tcW w:w="270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35E0A57"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rPr>
              <w:t>Stairways</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9BF5976"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w w:val="0"/>
                <w:szCs w:val="24"/>
                <w:u w:val="single"/>
              </w:rPr>
              <w:t>Exempt</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CD7E400"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w w:val="0"/>
                <w:szCs w:val="24"/>
                <w:u w:val="single"/>
              </w:rPr>
              <w:t>Exempt</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152AF91"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w w:val="0"/>
                <w:szCs w:val="24"/>
                <w:u w:val="single"/>
              </w:rPr>
              <w:t>Exempt</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C25FFCE"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w w:val="0"/>
                <w:szCs w:val="24"/>
                <w:u w:val="single"/>
              </w:rPr>
              <w:t>Exempt</w:t>
            </w:r>
          </w:p>
        </w:tc>
      </w:tr>
      <w:tr w:rsidR="00DB1AEE" w:rsidRPr="00DB1AEE" w14:paraId="3C7F3C88" w14:textId="77777777" w:rsidTr="00FC1832">
        <w:trPr>
          <w:trHeight w:val="280"/>
          <w:jc w:val="right"/>
        </w:trPr>
        <w:tc>
          <w:tcPr>
            <w:tcW w:w="270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CAACD76"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rPr>
              <w:t>Pedestrian tunnels</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F9915B6"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w w:val="0"/>
                <w:szCs w:val="24"/>
                <w:u w:val="single"/>
              </w:rPr>
              <w:t>0.063 W/ft</w:t>
            </w:r>
            <w:r w:rsidRPr="00DB1AEE">
              <w:rPr>
                <w:w w:val="0"/>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EE2CC0B"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w w:val="0"/>
                <w:szCs w:val="24"/>
                <w:u w:val="single"/>
              </w:rPr>
              <w:t>0.110 W/ft</w:t>
            </w:r>
            <w:r w:rsidRPr="00DB1AEE">
              <w:rPr>
                <w:w w:val="0"/>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DBAB59C"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w w:val="0"/>
                <w:szCs w:val="24"/>
                <w:u w:val="single"/>
              </w:rPr>
              <w:t>0.157 W/ft</w:t>
            </w:r>
            <w:r w:rsidRPr="00DB1AEE">
              <w:rPr>
                <w:w w:val="0"/>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ED605ED" w14:textId="77777777" w:rsidR="00DB1AEE" w:rsidRPr="00DB1AEE" w:rsidRDefault="00DB1AEE" w:rsidP="00DB1AEE">
            <w:pPr>
              <w:autoSpaceDE w:val="0"/>
              <w:autoSpaceDN w:val="0"/>
              <w:adjustRightInd w:val="0"/>
              <w:spacing w:before="20" w:after="20" w:line="200" w:lineRule="atLeast"/>
              <w:jc w:val="center"/>
              <w:rPr>
                <w:szCs w:val="24"/>
                <w:u w:val="single"/>
                <w:vertAlign w:val="superscript"/>
              </w:rPr>
            </w:pPr>
            <w:r w:rsidRPr="00DB1AEE">
              <w:rPr>
                <w:szCs w:val="24"/>
                <w:u w:val="single"/>
                <w:vertAlign w:val="superscript"/>
              </w:rPr>
              <w:t>0.220 W/ft2</w:t>
            </w:r>
          </w:p>
          <w:p w14:paraId="33AE3049" w14:textId="77777777" w:rsidR="00DB1AEE" w:rsidRPr="00DB1AEE" w:rsidRDefault="00DB1AEE" w:rsidP="00DB1AEE">
            <w:pPr>
              <w:autoSpaceDE w:val="0"/>
              <w:autoSpaceDN w:val="0"/>
              <w:adjustRightInd w:val="0"/>
              <w:spacing w:before="20" w:after="20" w:line="200" w:lineRule="atLeast"/>
              <w:jc w:val="center"/>
              <w:rPr>
                <w:w w:val="0"/>
                <w:szCs w:val="24"/>
                <w:u w:val="single"/>
              </w:rPr>
            </w:pPr>
          </w:p>
        </w:tc>
      </w:tr>
      <w:tr w:rsidR="00DB1AEE" w:rsidRPr="00DB1AEE" w14:paraId="0B6AA077" w14:textId="77777777" w:rsidTr="00FC1832">
        <w:trPr>
          <w:trHeight w:val="280"/>
          <w:jc w:val="right"/>
        </w:trPr>
        <w:tc>
          <w:tcPr>
            <w:tcW w:w="270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8420957"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rPr>
              <w:t>Landscaping</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86D49F1"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w w:val="0"/>
                <w:szCs w:val="24"/>
                <w:u w:val="single"/>
              </w:rPr>
              <w:t>0.014 W/ft</w:t>
            </w:r>
            <w:r w:rsidRPr="00DB1AEE">
              <w:rPr>
                <w:w w:val="0"/>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3BA556E"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w w:val="0"/>
                <w:szCs w:val="24"/>
                <w:u w:val="single"/>
              </w:rPr>
              <w:t>0.025 W/ft</w:t>
            </w:r>
            <w:r w:rsidRPr="00DB1AEE">
              <w:rPr>
                <w:w w:val="0"/>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E6C1D41"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w w:val="0"/>
                <w:szCs w:val="24"/>
                <w:u w:val="single"/>
              </w:rPr>
              <w:t>0.036 W/ft</w:t>
            </w:r>
            <w:r w:rsidRPr="00DB1AEE">
              <w:rPr>
                <w:w w:val="0"/>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4AAF43E" w14:textId="77777777" w:rsidR="00DB1AEE" w:rsidRPr="00DB1AEE" w:rsidRDefault="00DB1AEE" w:rsidP="00DB1AEE">
            <w:pPr>
              <w:autoSpaceDE w:val="0"/>
              <w:autoSpaceDN w:val="0"/>
              <w:adjustRightInd w:val="0"/>
              <w:spacing w:before="20" w:after="20" w:line="200" w:lineRule="atLeast"/>
              <w:jc w:val="center"/>
              <w:rPr>
                <w:szCs w:val="24"/>
                <w:u w:val="single"/>
                <w:vertAlign w:val="superscript"/>
              </w:rPr>
            </w:pPr>
            <w:r w:rsidRPr="00DB1AEE">
              <w:rPr>
                <w:szCs w:val="24"/>
                <w:u w:val="single"/>
              </w:rPr>
              <w:t>0.04 W/ft</w:t>
            </w:r>
            <w:r w:rsidRPr="00DB1AEE">
              <w:rPr>
                <w:szCs w:val="24"/>
                <w:u w:val="single"/>
                <w:vertAlign w:val="superscript"/>
              </w:rPr>
              <w:t>2</w:t>
            </w:r>
          </w:p>
          <w:p w14:paraId="0D68E01E" w14:textId="77777777" w:rsidR="00DB1AEE" w:rsidRPr="00DB1AEE" w:rsidRDefault="00DB1AEE" w:rsidP="00DB1AEE">
            <w:pPr>
              <w:autoSpaceDE w:val="0"/>
              <w:autoSpaceDN w:val="0"/>
              <w:adjustRightInd w:val="0"/>
              <w:spacing w:before="20" w:after="20" w:line="200" w:lineRule="atLeast"/>
              <w:jc w:val="center"/>
              <w:rPr>
                <w:strike/>
                <w:w w:val="0"/>
                <w:szCs w:val="24"/>
                <w:u w:val="single"/>
              </w:rPr>
            </w:pPr>
          </w:p>
        </w:tc>
      </w:tr>
      <w:tr w:rsidR="00DB1AEE" w:rsidRPr="00DB1AEE" w14:paraId="0BE81DB2" w14:textId="77777777" w:rsidTr="00FC1832">
        <w:trPr>
          <w:trHeight w:val="220"/>
          <w:jc w:val="right"/>
        </w:trPr>
        <w:tc>
          <w:tcPr>
            <w:tcW w:w="9345" w:type="dxa"/>
            <w:gridSpan w:val="5"/>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49AA63D" w14:textId="77777777" w:rsidR="00DB1AEE" w:rsidRPr="00DB1AEE" w:rsidRDefault="00DB1AEE" w:rsidP="00DB1AEE">
            <w:pPr>
              <w:suppressAutoHyphens/>
              <w:autoSpaceDE w:val="0"/>
              <w:autoSpaceDN w:val="0"/>
              <w:adjustRightInd w:val="0"/>
              <w:spacing w:line="160" w:lineRule="atLeast"/>
              <w:jc w:val="center"/>
              <w:rPr>
                <w:b/>
                <w:bCs/>
                <w:w w:val="0"/>
                <w:szCs w:val="24"/>
                <w:u w:val="single"/>
              </w:rPr>
            </w:pPr>
            <w:r w:rsidRPr="00DB1AEE">
              <w:rPr>
                <w:b/>
                <w:bCs/>
                <w:szCs w:val="24"/>
                <w:u w:val="single"/>
              </w:rPr>
              <w:t xml:space="preserve"> </w:t>
            </w:r>
            <w:r w:rsidRPr="00DB1AEE">
              <w:rPr>
                <w:szCs w:val="24"/>
                <w:u w:val="single"/>
              </w:rPr>
              <w:t>Building Entrances and Exits</w:t>
            </w:r>
          </w:p>
        </w:tc>
      </w:tr>
      <w:tr w:rsidR="00DB1AEE" w:rsidRPr="00DB1AEE" w14:paraId="7E878F2A" w14:textId="77777777" w:rsidTr="00FC1832">
        <w:trPr>
          <w:trHeight w:val="480"/>
          <w:jc w:val="right"/>
        </w:trPr>
        <w:tc>
          <w:tcPr>
            <w:tcW w:w="270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2C7FD98"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rPr>
              <w:t>Pedestrian and vehicular entrances and exits</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D589872"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 xml:space="preserve"> </w:t>
            </w:r>
            <w:r w:rsidRPr="00DB1AEE">
              <w:rPr>
                <w:w w:val="0"/>
                <w:szCs w:val="24"/>
                <w:u w:val="single"/>
              </w:rPr>
              <w:t>5.6 W/linear</w:t>
            </w:r>
          </w:p>
          <w:p w14:paraId="3ADD1A4B"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w w:val="0"/>
                <w:szCs w:val="24"/>
                <w:u w:val="single"/>
              </w:rPr>
              <w:t>foot of</w:t>
            </w:r>
          </w:p>
          <w:p w14:paraId="4F4670A8"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w w:val="0"/>
                <w:szCs w:val="24"/>
                <w:u w:val="single"/>
              </w:rPr>
              <w:t>opening</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C5CCCD3"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 xml:space="preserve"> </w:t>
            </w:r>
            <w:r w:rsidRPr="00DB1AEE">
              <w:rPr>
                <w:w w:val="0"/>
                <w:szCs w:val="24"/>
                <w:u w:val="single"/>
              </w:rPr>
              <w:t>9.8 W/linear</w:t>
            </w:r>
          </w:p>
          <w:p w14:paraId="6F2A94CA"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w w:val="0"/>
                <w:szCs w:val="24"/>
                <w:u w:val="single"/>
              </w:rPr>
              <w:t>foot of</w:t>
            </w:r>
          </w:p>
          <w:p w14:paraId="4F9AF6ED"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w w:val="0"/>
                <w:szCs w:val="24"/>
                <w:u w:val="single"/>
              </w:rPr>
              <w:t>opening</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6FFD185"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w w:val="0"/>
                <w:szCs w:val="24"/>
                <w:u w:val="single"/>
              </w:rPr>
              <w:t>14 W/linear</w:t>
            </w:r>
          </w:p>
          <w:p w14:paraId="1F15929E"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w w:val="0"/>
                <w:szCs w:val="24"/>
                <w:u w:val="single"/>
              </w:rPr>
              <w:t>foot of</w:t>
            </w:r>
          </w:p>
          <w:p w14:paraId="19A66CD3"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w w:val="0"/>
                <w:szCs w:val="24"/>
                <w:u w:val="single"/>
              </w:rPr>
              <w:t>opening</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0A9A1B0"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w w:val="0"/>
                <w:szCs w:val="24"/>
                <w:u w:val="single"/>
              </w:rPr>
              <w:t>19.6 W/linear</w:t>
            </w:r>
          </w:p>
          <w:p w14:paraId="26AC97E8"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w w:val="0"/>
                <w:szCs w:val="24"/>
                <w:u w:val="single"/>
              </w:rPr>
              <w:t>foot of</w:t>
            </w:r>
          </w:p>
          <w:p w14:paraId="464C773F"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w w:val="0"/>
                <w:szCs w:val="24"/>
                <w:u w:val="single"/>
              </w:rPr>
              <w:t>opening</w:t>
            </w:r>
          </w:p>
        </w:tc>
      </w:tr>
      <w:tr w:rsidR="00DB1AEE" w:rsidRPr="00DB1AEE" w14:paraId="698ECADE" w14:textId="77777777" w:rsidTr="00FC1832">
        <w:trPr>
          <w:trHeight w:val="280"/>
          <w:jc w:val="right"/>
        </w:trPr>
        <w:tc>
          <w:tcPr>
            <w:tcW w:w="270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18C31F3"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rPr>
              <w:t>Entry canopies</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A64FC22"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w w:val="0"/>
                <w:szCs w:val="24"/>
                <w:u w:val="single"/>
              </w:rPr>
              <w:t>0.072 W/ft</w:t>
            </w:r>
            <w:r w:rsidRPr="00DB1AEE">
              <w:rPr>
                <w:w w:val="0"/>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F29A1C8"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w w:val="0"/>
                <w:szCs w:val="24"/>
                <w:u w:val="single"/>
              </w:rPr>
              <w:t>0.126 W/ft</w:t>
            </w:r>
            <w:r w:rsidRPr="00DB1AEE">
              <w:rPr>
                <w:w w:val="0"/>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B30520B"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w w:val="0"/>
                <w:szCs w:val="24"/>
                <w:u w:val="single"/>
              </w:rPr>
              <w:t>0.180 W/ft</w:t>
            </w:r>
            <w:r w:rsidRPr="00DB1AEE">
              <w:rPr>
                <w:w w:val="0"/>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7C84869"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w w:val="0"/>
                <w:szCs w:val="24"/>
                <w:u w:val="single"/>
              </w:rPr>
              <w:t>0.252W/ft</w:t>
            </w:r>
            <w:r w:rsidRPr="00DB1AEE">
              <w:rPr>
                <w:w w:val="0"/>
                <w:szCs w:val="24"/>
                <w:u w:val="single"/>
                <w:vertAlign w:val="superscript"/>
              </w:rPr>
              <w:t>2</w:t>
            </w:r>
          </w:p>
        </w:tc>
      </w:tr>
      <w:tr w:rsidR="00DB1AEE" w:rsidRPr="00DB1AEE" w14:paraId="2AFD706C" w14:textId="77777777" w:rsidTr="00FC1832">
        <w:trPr>
          <w:trHeight w:val="280"/>
          <w:jc w:val="right"/>
        </w:trPr>
        <w:tc>
          <w:tcPr>
            <w:tcW w:w="270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609A7FA"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rPr>
              <w:t>Loading docks</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B7DE8ED"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w w:val="0"/>
                <w:szCs w:val="24"/>
                <w:u w:val="single"/>
              </w:rPr>
              <w:t>0.104 W/ft</w:t>
            </w:r>
            <w:r w:rsidRPr="00DB1AEE">
              <w:rPr>
                <w:w w:val="0"/>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85DB467"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w w:val="0"/>
                <w:szCs w:val="24"/>
                <w:u w:val="single"/>
              </w:rPr>
              <w:t>0.182 W/ft</w:t>
            </w:r>
            <w:r w:rsidRPr="00DB1AEE">
              <w:rPr>
                <w:w w:val="0"/>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DDE80E7"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w w:val="0"/>
                <w:szCs w:val="24"/>
                <w:u w:val="single"/>
              </w:rPr>
              <w:t>0.260 W/ft</w:t>
            </w:r>
            <w:r w:rsidRPr="00DB1AEE">
              <w:rPr>
                <w:w w:val="0"/>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C03DB36" w14:textId="77777777" w:rsidR="00DB1AEE" w:rsidRPr="00DB1AEE" w:rsidRDefault="00DB1AEE" w:rsidP="00DB1AEE">
            <w:pPr>
              <w:autoSpaceDE w:val="0"/>
              <w:autoSpaceDN w:val="0"/>
              <w:adjustRightInd w:val="0"/>
              <w:spacing w:before="20" w:after="20" w:line="200" w:lineRule="atLeast"/>
              <w:jc w:val="center"/>
              <w:rPr>
                <w:strike/>
                <w:w w:val="0"/>
                <w:szCs w:val="24"/>
                <w:u w:val="single"/>
              </w:rPr>
            </w:pPr>
            <w:r w:rsidRPr="00DB1AEE">
              <w:rPr>
                <w:szCs w:val="24"/>
                <w:u w:val="single"/>
              </w:rPr>
              <w:t>0.35 W/ft</w:t>
            </w:r>
            <w:r w:rsidRPr="00DB1AEE">
              <w:rPr>
                <w:szCs w:val="24"/>
                <w:u w:val="single"/>
                <w:vertAlign w:val="superscript"/>
              </w:rPr>
              <w:t>2</w:t>
            </w:r>
          </w:p>
        </w:tc>
      </w:tr>
      <w:tr w:rsidR="00DB1AEE" w:rsidRPr="00DB1AEE" w14:paraId="30234523" w14:textId="77777777" w:rsidTr="00FC1832">
        <w:trPr>
          <w:trHeight w:val="220"/>
          <w:jc w:val="right"/>
        </w:trPr>
        <w:tc>
          <w:tcPr>
            <w:tcW w:w="9345" w:type="dxa"/>
            <w:gridSpan w:val="5"/>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7CEB5DA" w14:textId="77777777" w:rsidR="00DB1AEE" w:rsidRPr="00DB1AEE" w:rsidRDefault="00DB1AEE" w:rsidP="00DB1AEE">
            <w:pPr>
              <w:suppressAutoHyphens/>
              <w:autoSpaceDE w:val="0"/>
              <w:autoSpaceDN w:val="0"/>
              <w:adjustRightInd w:val="0"/>
              <w:spacing w:line="160" w:lineRule="atLeast"/>
              <w:jc w:val="center"/>
              <w:rPr>
                <w:b/>
                <w:bCs/>
                <w:w w:val="0"/>
                <w:szCs w:val="24"/>
                <w:u w:val="single"/>
              </w:rPr>
            </w:pPr>
            <w:r w:rsidRPr="00DB1AEE">
              <w:rPr>
                <w:szCs w:val="24"/>
                <w:u w:val="single"/>
              </w:rPr>
              <w:t>Sales Canopies</w:t>
            </w:r>
          </w:p>
        </w:tc>
      </w:tr>
      <w:tr w:rsidR="00DB1AEE" w:rsidRPr="00DB1AEE" w14:paraId="51E02D6C" w14:textId="77777777" w:rsidTr="00FC1832">
        <w:trPr>
          <w:trHeight w:val="280"/>
          <w:jc w:val="right"/>
        </w:trPr>
        <w:tc>
          <w:tcPr>
            <w:tcW w:w="270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4201A7E"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rPr>
              <w:t>Free-standing and attached</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EA53840"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w w:val="0"/>
                <w:szCs w:val="24"/>
                <w:u w:val="single"/>
              </w:rPr>
              <w:t>0.20 W/ft</w:t>
            </w:r>
            <w:r w:rsidRPr="00DB1AEE">
              <w:rPr>
                <w:w w:val="0"/>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36BDF58"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w w:val="0"/>
                <w:szCs w:val="24"/>
                <w:u w:val="single"/>
              </w:rPr>
              <w:t>0.35 W/ft</w:t>
            </w:r>
            <w:r w:rsidRPr="00DB1AEE">
              <w:rPr>
                <w:w w:val="0"/>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C64029D"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w w:val="0"/>
                <w:szCs w:val="24"/>
                <w:u w:val="single"/>
              </w:rPr>
              <w:t>0.50 W/ft</w:t>
            </w:r>
            <w:r w:rsidRPr="00DB1AEE">
              <w:rPr>
                <w:w w:val="0"/>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3C54475"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0.70 W/ft</w:t>
            </w:r>
            <w:r w:rsidRPr="00DB1AEE">
              <w:rPr>
                <w:szCs w:val="24"/>
                <w:u w:val="single"/>
                <w:vertAlign w:val="superscript"/>
              </w:rPr>
              <w:t>2</w:t>
            </w:r>
          </w:p>
        </w:tc>
      </w:tr>
      <w:tr w:rsidR="00DB1AEE" w:rsidRPr="00DB1AEE" w14:paraId="1FA4764B" w14:textId="77777777" w:rsidTr="00FC1832">
        <w:trPr>
          <w:trHeight w:val="220"/>
          <w:jc w:val="right"/>
        </w:trPr>
        <w:tc>
          <w:tcPr>
            <w:tcW w:w="9345" w:type="dxa"/>
            <w:gridSpan w:val="5"/>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03B57CF" w14:textId="77777777" w:rsidR="00DB1AEE" w:rsidRPr="00DB1AEE" w:rsidRDefault="00DB1AEE" w:rsidP="00DB1AEE">
            <w:pPr>
              <w:suppressAutoHyphens/>
              <w:autoSpaceDE w:val="0"/>
              <w:autoSpaceDN w:val="0"/>
              <w:adjustRightInd w:val="0"/>
              <w:spacing w:line="160" w:lineRule="atLeast"/>
              <w:jc w:val="center"/>
              <w:rPr>
                <w:b/>
                <w:bCs/>
                <w:w w:val="0"/>
                <w:szCs w:val="24"/>
                <w:u w:val="single"/>
              </w:rPr>
            </w:pPr>
            <w:r w:rsidRPr="00DB1AEE">
              <w:rPr>
                <w:szCs w:val="24"/>
                <w:u w:val="single"/>
              </w:rPr>
              <w:t>Outdoor Sales</w:t>
            </w:r>
          </w:p>
        </w:tc>
      </w:tr>
      <w:tr w:rsidR="00DB1AEE" w:rsidRPr="00DB1AEE" w14:paraId="3B2F8B80" w14:textId="77777777" w:rsidTr="00FC1832">
        <w:trPr>
          <w:trHeight w:val="280"/>
          <w:jc w:val="right"/>
        </w:trPr>
        <w:tc>
          <w:tcPr>
            <w:tcW w:w="270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35AE9C6"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rPr>
              <w:t>Open areas (including vehicle sales lots)</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1C71231"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w w:val="0"/>
                <w:szCs w:val="24"/>
                <w:u w:val="single"/>
              </w:rPr>
              <w:t>0.072 W/ft</w:t>
            </w:r>
            <w:r w:rsidRPr="00DB1AEE">
              <w:rPr>
                <w:w w:val="0"/>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D11C3A8"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w w:val="0"/>
                <w:szCs w:val="24"/>
                <w:u w:val="single"/>
              </w:rPr>
              <w:t>0.126 W/ft</w:t>
            </w:r>
            <w:r w:rsidRPr="00DB1AEE">
              <w:rPr>
                <w:w w:val="0"/>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D8BE66A"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w w:val="0"/>
                <w:szCs w:val="24"/>
                <w:u w:val="single"/>
              </w:rPr>
              <w:t>0.180 W/ft</w:t>
            </w:r>
            <w:r w:rsidRPr="00DB1AEE">
              <w:rPr>
                <w:w w:val="0"/>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B1336F1"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w w:val="0"/>
                <w:szCs w:val="24"/>
                <w:u w:val="single"/>
              </w:rPr>
              <w:t>0.252 W/ft</w:t>
            </w:r>
            <w:r w:rsidRPr="00DB1AEE">
              <w:rPr>
                <w:w w:val="0"/>
                <w:szCs w:val="24"/>
                <w:u w:val="single"/>
                <w:vertAlign w:val="superscript"/>
              </w:rPr>
              <w:t>2</w:t>
            </w:r>
          </w:p>
        </w:tc>
      </w:tr>
      <w:tr w:rsidR="00DB1AEE" w:rsidRPr="00DB1AEE" w14:paraId="30AA1A90" w14:textId="77777777" w:rsidTr="00FC1832">
        <w:trPr>
          <w:trHeight w:val="480"/>
          <w:jc w:val="right"/>
        </w:trPr>
        <w:tc>
          <w:tcPr>
            <w:tcW w:w="270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A078013"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rPr>
              <w:t xml:space="preserve">Street frontage for vehicle sales lots in </w:t>
            </w:r>
            <w:r w:rsidRPr="00DB1AEE">
              <w:rPr>
                <w:szCs w:val="24"/>
                <w:u w:val="single"/>
              </w:rPr>
              <w:br/>
              <w:t>addition to “open area” allowance</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CC912D2"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 xml:space="preserve"> No allowance</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8E3EBCA" w14:textId="77777777" w:rsidR="00DB1AEE" w:rsidRPr="00DB1AEE" w:rsidRDefault="00DB1AEE" w:rsidP="00DB1AEE">
            <w:pPr>
              <w:autoSpaceDE w:val="0"/>
              <w:autoSpaceDN w:val="0"/>
              <w:adjustRightInd w:val="0"/>
              <w:spacing w:before="20" w:after="20" w:line="200" w:lineRule="atLeast"/>
              <w:jc w:val="center"/>
              <w:rPr>
                <w:szCs w:val="24"/>
                <w:u w:val="single"/>
              </w:rPr>
            </w:pPr>
            <w:r w:rsidRPr="00DB1AEE">
              <w:rPr>
                <w:szCs w:val="24"/>
                <w:u w:val="single"/>
              </w:rPr>
              <w:t>7 W/linear foot</w:t>
            </w:r>
          </w:p>
          <w:p w14:paraId="6AD974A1" w14:textId="77777777" w:rsidR="00DB1AEE" w:rsidRPr="00DB1AEE" w:rsidRDefault="00DB1AEE" w:rsidP="00DB1AEE">
            <w:pPr>
              <w:autoSpaceDE w:val="0"/>
              <w:autoSpaceDN w:val="0"/>
              <w:adjustRightInd w:val="0"/>
              <w:spacing w:before="20" w:after="20" w:line="200" w:lineRule="atLeast"/>
              <w:jc w:val="center"/>
              <w:rPr>
                <w:w w:val="0"/>
                <w:szCs w:val="24"/>
                <w:u w:val="single"/>
              </w:rPr>
            </w:pP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35C32EF" w14:textId="77777777" w:rsidR="00DB1AEE" w:rsidRPr="00DB1AEE" w:rsidRDefault="00DB1AEE" w:rsidP="00DB1AEE">
            <w:pPr>
              <w:autoSpaceDE w:val="0"/>
              <w:autoSpaceDN w:val="0"/>
              <w:adjustRightInd w:val="0"/>
              <w:spacing w:before="20" w:after="20" w:line="200" w:lineRule="atLeast"/>
              <w:jc w:val="center"/>
              <w:rPr>
                <w:szCs w:val="24"/>
                <w:u w:val="single"/>
              </w:rPr>
            </w:pPr>
            <w:r w:rsidRPr="00DB1AEE">
              <w:rPr>
                <w:szCs w:val="24"/>
                <w:u w:val="single"/>
              </w:rPr>
              <w:t xml:space="preserve"> 7 W/linear foot</w:t>
            </w:r>
          </w:p>
          <w:p w14:paraId="731ACAC5" w14:textId="77777777" w:rsidR="00DB1AEE" w:rsidRPr="00DB1AEE" w:rsidRDefault="00DB1AEE" w:rsidP="00DB1AEE">
            <w:pPr>
              <w:autoSpaceDE w:val="0"/>
              <w:autoSpaceDN w:val="0"/>
              <w:adjustRightInd w:val="0"/>
              <w:spacing w:before="20" w:after="20" w:line="200" w:lineRule="atLeast"/>
              <w:jc w:val="center"/>
              <w:rPr>
                <w:w w:val="0"/>
                <w:szCs w:val="24"/>
                <w:u w:val="single"/>
              </w:rPr>
            </w:pP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5E1E080" w14:textId="77777777" w:rsidR="00DB1AEE" w:rsidRPr="00DB1AEE" w:rsidRDefault="00DB1AEE" w:rsidP="00DB1AEE">
            <w:pPr>
              <w:autoSpaceDE w:val="0"/>
              <w:autoSpaceDN w:val="0"/>
              <w:adjustRightInd w:val="0"/>
              <w:spacing w:before="20" w:after="20" w:line="200" w:lineRule="atLeast"/>
              <w:jc w:val="center"/>
              <w:rPr>
                <w:strike/>
                <w:szCs w:val="24"/>
                <w:u w:val="single"/>
              </w:rPr>
            </w:pPr>
            <w:r w:rsidRPr="00DB1AEE">
              <w:rPr>
                <w:szCs w:val="24"/>
                <w:u w:val="single"/>
              </w:rPr>
              <w:t xml:space="preserve"> </w:t>
            </w:r>
          </w:p>
          <w:p w14:paraId="256E6EEF"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w w:val="0"/>
                <w:szCs w:val="24"/>
                <w:u w:val="single"/>
              </w:rPr>
              <w:t>14.4 W/linear</w:t>
            </w:r>
          </w:p>
          <w:p w14:paraId="18A297E6"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w w:val="0"/>
                <w:szCs w:val="24"/>
                <w:u w:val="single"/>
              </w:rPr>
              <w:t>foot</w:t>
            </w:r>
          </w:p>
        </w:tc>
      </w:tr>
    </w:tbl>
    <w:p w14:paraId="08C9CF26" w14:textId="77777777" w:rsidR="00DB1AEE" w:rsidRPr="00DB1AEE" w:rsidRDefault="00DB1AEE" w:rsidP="00DB1AEE">
      <w:pPr>
        <w:suppressAutoHyphens/>
        <w:autoSpaceDE w:val="0"/>
        <w:autoSpaceDN w:val="0"/>
        <w:adjustRightInd w:val="0"/>
        <w:spacing w:before="20" w:line="180" w:lineRule="atLeast"/>
        <w:ind w:left="360" w:hanging="360"/>
        <w:rPr>
          <w:szCs w:val="24"/>
          <w:u w:val="single"/>
        </w:rPr>
      </w:pPr>
      <w:r w:rsidRPr="00DB1AEE">
        <w:rPr>
          <w:szCs w:val="24"/>
          <w:u w:val="single"/>
        </w:rPr>
        <w:t>For SI: 1 foot = 304.8 mm, 1 watt per square foot = W/0.0929 m</w:t>
      </w:r>
      <w:r w:rsidRPr="00DB1AEE">
        <w:rPr>
          <w:szCs w:val="24"/>
          <w:u w:val="single"/>
          <w:vertAlign w:val="superscript"/>
        </w:rPr>
        <w:t>2</w:t>
      </w:r>
      <w:r w:rsidRPr="00DB1AEE">
        <w:rPr>
          <w:szCs w:val="24"/>
          <w:u w:val="single"/>
        </w:rPr>
        <w:t>.</w:t>
      </w:r>
    </w:p>
    <w:p w14:paraId="411C8732" w14:textId="77777777" w:rsidR="00DB1AEE" w:rsidRPr="00DB1AEE" w:rsidRDefault="00DB1AEE" w:rsidP="00DB1AEE">
      <w:pPr>
        <w:suppressAutoHyphens/>
        <w:autoSpaceDE w:val="0"/>
        <w:autoSpaceDN w:val="0"/>
        <w:adjustRightInd w:val="0"/>
        <w:spacing w:before="20" w:line="180" w:lineRule="atLeast"/>
        <w:ind w:left="360" w:hanging="360"/>
        <w:rPr>
          <w:szCs w:val="24"/>
          <w:u w:val="single"/>
        </w:rPr>
      </w:pPr>
      <w:r w:rsidRPr="00DB1AEE">
        <w:rPr>
          <w:szCs w:val="24"/>
          <w:u w:val="single"/>
        </w:rPr>
        <w:t>W = watts.</w:t>
      </w:r>
    </w:p>
    <w:p w14:paraId="7E7B7150"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Section C405.6  Dwelling electrical meter.</w:t>
      </w:r>
    </w:p>
    <w:p w14:paraId="60B6F655" w14:textId="77777777" w:rsidR="00DB1AEE" w:rsidRPr="00DB1AEE" w:rsidRDefault="00DB1AEE" w:rsidP="00DB1AEE">
      <w:pPr>
        <w:widowControl w:val="0"/>
        <w:suppressAutoHyphens/>
        <w:spacing w:before="130" w:after="130"/>
        <w:rPr>
          <w:b/>
          <w:bCs/>
          <w:u w:val="single"/>
        </w:rPr>
      </w:pPr>
      <w:r w:rsidRPr="00DB1AEE">
        <w:rPr>
          <w:rFonts w:eastAsia="MS Mincho"/>
          <w:bCs/>
          <w:szCs w:val="24"/>
          <w:u w:val="single"/>
        </w:rPr>
        <w:t>Section C405.6  – Delete Section C405.6  in its entirety, add new Section</w:t>
      </w:r>
      <w:r w:rsidRPr="00DB1AEE">
        <w:t xml:space="preserve"> </w:t>
      </w:r>
      <w:r w:rsidRPr="00DB1AEE">
        <w:rPr>
          <w:rFonts w:eastAsia="MS Mincho"/>
          <w:bCs/>
          <w:szCs w:val="24"/>
          <w:u w:val="single"/>
        </w:rPr>
        <w:t>C405.6, Section C405.6.1 and C405.6.2    to read as follows:</w:t>
      </w:r>
    </w:p>
    <w:p w14:paraId="661506D9" w14:textId="77777777" w:rsidR="00DB1AEE" w:rsidRPr="00DB1AEE" w:rsidRDefault="00DB1AEE" w:rsidP="00DB1AEE">
      <w:pPr>
        <w:widowControl w:val="0"/>
        <w:suppressAutoHyphens/>
        <w:spacing w:before="130" w:after="130"/>
        <w:ind w:left="360"/>
        <w:rPr>
          <w:szCs w:val="24"/>
          <w:u w:val="single"/>
        </w:rPr>
      </w:pPr>
      <w:r w:rsidRPr="00DB1AEE">
        <w:rPr>
          <w:b/>
          <w:bCs/>
          <w:szCs w:val="24"/>
          <w:u w:val="single"/>
        </w:rPr>
        <w:t xml:space="preserve">C405.6 Electrical meter. </w:t>
      </w:r>
      <w:r w:rsidRPr="00DB1AEE">
        <w:rPr>
          <w:szCs w:val="24"/>
          <w:u w:val="single"/>
        </w:rPr>
        <w:t xml:space="preserve">Electrical service within buildings shall comply with the following: </w:t>
      </w:r>
    </w:p>
    <w:p w14:paraId="4FB4A938" w14:textId="77777777" w:rsidR="00DB1AEE" w:rsidRPr="00DB1AEE" w:rsidRDefault="00DB1AEE" w:rsidP="00DB1AEE">
      <w:pPr>
        <w:widowControl w:val="0"/>
        <w:suppressAutoHyphens/>
        <w:spacing w:before="130" w:after="130"/>
        <w:ind w:left="720"/>
        <w:rPr>
          <w:b/>
          <w:bCs/>
          <w:szCs w:val="24"/>
          <w:u w:val="single"/>
        </w:rPr>
      </w:pPr>
      <w:r w:rsidRPr="00DB1AEE">
        <w:rPr>
          <w:b/>
          <w:bCs/>
          <w:szCs w:val="24"/>
          <w:u w:val="single"/>
        </w:rPr>
        <w:t xml:space="preserve">C405.6.1   Dwelling electrical meter.  </w:t>
      </w:r>
      <w:r w:rsidRPr="00DB1AEE">
        <w:rPr>
          <w:szCs w:val="24"/>
          <w:u w:val="single"/>
        </w:rPr>
        <w:t>Each dwelling unit located in a Group R-2 building shall have a separate electrical meter.</w:t>
      </w:r>
    </w:p>
    <w:p w14:paraId="60CCA2E2" w14:textId="77777777" w:rsidR="00DB1AEE" w:rsidRPr="00DB1AEE" w:rsidRDefault="00DB1AEE" w:rsidP="00DB1AEE">
      <w:pPr>
        <w:widowControl w:val="0"/>
        <w:suppressAutoHyphens/>
        <w:spacing w:before="130" w:after="130"/>
        <w:ind w:left="720"/>
        <w:rPr>
          <w:szCs w:val="24"/>
          <w:u w:val="single"/>
        </w:rPr>
      </w:pPr>
      <w:r w:rsidRPr="00DB1AEE">
        <w:rPr>
          <w:b/>
          <w:bCs/>
          <w:szCs w:val="24"/>
          <w:u w:val="single"/>
        </w:rPr>
        <w:t xml:space="preserve">C405.6.2 Electrical meters for tenant spaces in covered buildings. </w:t>
      </w:r>
      <w:r w:rsidRPr="00DB1AEE">
        <w:rPr>
          <w:szCs w:val="24"/>
          <w:u w:val="single"/>
        </w:rPr>
        <w:t>Each covered tenant space in a new building shall be equipped with a separate meter or sub-meter to measure the electrical consumption of such space when let or sublet. The terms covered building, meter, sub-meter, tenant space and covered tenant space shall have the same meanings as defined in Section 28-311.2 of the NYC Administrative Code.</w:t>
      </w:r>
    </w:p>
    <w:p w14:paraId="25919444"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Section C405.10.1 Elevator cabs.</w:t>
      </w:r>
    </w:p>
    <w:p w14:paraId="5CF1B836" w14:textId="77777777" w:rsidR="00DB1AEE" w:rsidRPr="00DB1AEE" w:rsidRDefault="00DB1AEE" w:rsidP="00DB1AEE">
      <w:pPr>
        <w:widowControl w:val="0"/>
        <w:suppressAutoHyphens/>
        <w:spacing w:before="130" w:after="130"/>
        <w:rPr>
          <w:b/>
          <w:bCs/>
          <w:u w:val="single"/>
        </w:rPr>
      </w:pPr>
      <w:r w:rsidRPr="00DB1AEE">
        <w:rPr>
          <w:rFonts w:eastAsia="MS Mincho"/>
          <w:bCs/>
          <w:szCs w:val="24"/>
          <w:u w:val="single"/>
        </w:rPr>
        <w:t>Section C405.10.1 – Delete Section C405.10.1 in its entirety, add new Section</w:t>
      </w:r>
      <w:r w:rsidRPr="00DB1AEE">
        <w:t xml:space="preserve"> </w:t>
      </w:r>
      <w:r w:rsidRPr="00DB1AEE">
        <w:rPr>
          <w:rFonts w:eastAsia="MS Mincho"/>
          <w:bCs/>
          <w:szCs w:val="24"/>
          <w:u w:val="single"/>
        </w:rPr>
        <w:t xml:space="preserve">C405.10.1, Section C405.10.1.1, Section C405.10.1.1.1, </w:t>
      </w:r>
      <w:r w:rsidRPr="00DB1AEE">
        <w:rPr>
          <w:szCs w:val="24"/>
          <w:u w:val="single"/>
        </w:rPr>
        <w:t xml:space="preserve">Section C405.10.1.1.2 and Section C405.10.1.1.3 </w:t>
      </w:r>
      <w:r w:rsidRPr="00DB1AEE">
        <w:rPr>
          <w:b/>
          <w:bCs/>
          <w:szCs w:val="24"/>
          <w:u w:val="single"/>
        </w:rPr>
        <w:t xml:space="preserve"> </w:t>
      </w:r>
      <w:r w:rsidRPr="00DB1AEE">
        <w:rPr>
          <w:rFonts w:eastAsia="MS Mincho"/>
          <w:bCs/>
          <w:szCs w:val="24"/>
          <w:u w:val="single"/>
        </w:rPr>
        <w:t xml:space="preserve"> to read as follows:</w:t>
      </w:r>
    </w:p>
    <w:p w14:paraId="4034E2B5" w14:textId="77777777" w:rsidR="00DB1AEE" w:rsidRPr="00DB1AEE" w:rsidRDefault="00DB1AEE" w:rsidP="00DB1AEE">
      <w:pPr>
        <w:widowControl w:val="0"/>
        <w:suppressAutoHyphens/>
        <w:spacing w:before="130" w:after="130"/>
        <w:ind w:left="360"/>
        <w:rPr>
          <w:u w:val="single"/>
        </w:rPr>
      </w:pPr>
      <w:r w:rsidRPr="00DB1AEE">
        <w:rPr>
          <w:b/>
          <w:bCs/>
          <w:u w:val="single"/>
        </w:rPr>
        <w:t xml:space="preserve">C405.10.1 Elevator equipment and cabs. </w:t>
      </w:r>
      <w:r w:rsidRPr="00DB1AEE">
        <w:rPr>
          <w:u w:val="single"/>
        </w:rPr>
        <w:t>For the luminaires in each elevator cab, not including signals and displays, the sum of the lumens divided by the sum of the watts shall be not less than 35 lumens per watt. Ventilation fans in elevators that do not have their own air-conditioning system shall not consume more than 0.33 watts/cfm at the maximum rated speed of the fan. Controls shall be provided that will de-energize ventilation fans and lighting systems when the elevator is stopped, unoccupied and with its doors closed for over 15 minutes.</w:t>
      </w:r>
    </w:p>
    <w:p w14:paraId="47EA1398" w14:textId="77777777" w:rsidR="00DB1AEE" w:rsidRPr="00DB1AEE" w:rsidRDefault="00DB1AEE" w:rsidP="00DB1AEE">
      <w:pPr>
        <w:widowControl w:val="0"/>
        <w:suppressAutoHyphens/>
        <w:spacing w:before="130" w:after="130"/>
        <w:ind w:left="720"/>
        <w:rPr>
          <w:u w:val="single"/>
        </w:rPr>
      </w:pPr>
      <w:r w:rsidRPr="00DB1AEE">
        <w:rPr>
          <w:b/>
          <w:bCs/>
          <w:u w:val="single"/>
        </w:rPr>
        <w:t>C405.10.1.1 Power conversion system.</w:t>
      </w:r>
      <w:r w:rsidRPr="00DB1AEE">
        <w:rPr>
          <w:u w:val="single"/>
        </w:rPr>
        <w:t xml:space="preserve"> New traction elevators with a rise of 75 feet (23 m) or more in new buildings shall have a power conversion system that complies with Sections C405.10.1.1.1 through C405.10.1.1.3. </w:t>
      </w:r>
    </w:p>
    <w:p w14:paraId="79FE7FE3" w14:textId="77777777" w:rsidR="00DB1AEE" w:rsidRPr="00DB1AEE" w:rsidRDefault="00DB1AEE" w:rsidP="00DB1AEE">
      <w:pPr>
        <w:widowControl w:val="0"/>
        <w:suppressAutoHyphens/>
        <w:spacing w:before="130" w:after="130"/>
        <w:ind w:left="1440"/>
        <w:rPr>
          <w:u w:val="single"/>
        </w:rPr>
      </w:pPr>
      <w:r w:rsidRPr="00DB1AEE">
        <w:rPr>
          <w:b/>
          <w:bCs/>
          <w:u w:val="single"/>
        </w:rPr>
        <w:t>C405.10.1.1.1 Motor.</w:t>
      </w:r>
      <w:r w:rsidRPr="00DB1AEE">
        <w:rPr>
          <w:u w:val="single"/>
        </w:rPr>
        <w:t xml:space="preserve"> Induction motors with a Class IE2 efficiency rating, as defined by IEC EN 60034-30, or alternative technologies, such as permanent magnet synchronous motors that have equal or better efficiency, shall be used. </w:t>
      </w:r>
    </w:p>
    <w:p w14:paraId="337D2738" w14:textId="77777777" w:rsidR="00DB1AEE" w:rsidRPr="00DB1AEE" w:rsidRDefault="00DB1AEE" w:rsidP="00DB1AEE">
      <w:pPr>
        <w:widowControl w:val="0"/>
        <w:suppressAutoHyphens/>
        <w:spacing w:before="130" w:after="130"/>
        <w:ind w:left="1440"/>
        <w:rPr>
          <w:u w:val="single"/>
        </w:rPr>
      </w:pPr>
      <w:r w:rsidRPr="00DB1AEE">
        <w:rPr>
          <w:b/>
          <w:bCs/>
          <w:u w:val="single"/>
        </w:rPr>
        <w:t xml:space="preserve">C405.10.1.1.2 Transmission. </w:t>
      </w:r>
      <w:r w:rsidRPr="00DB1AEE">
        <w:rPr>
          <w:u w:val="single"/>
        </w:rPr>
        <w:t xml:space="preserve"> Transmissions shall not reduce the efficiency of the combined motor/transmission below that shown for the Class IE2 motor for elevators with capacities below 4,000 pounds (1814 kg). Gearless machines shall be assumed to have a 100 percent transmission efficiency. </w:t>
      </w:r>
    </w:p>
    <w:p w14:paraId="63565DA4" w14:textId="77777777" w:rsidR="00DB1AEE" w:rsidRPr="00DB1AEE" w:rsidRDefault="00DB1AEE" w:rsidP="00DB1AEE">
      <w:pPr>
        <w:widowControl w:val="0"/>
        <w:suppressAutoHyphens/>
        <w:spacing w:before="130" w:after="130"/>
        <w:ind w:left="1440"/>
        <w:rPr>
          <w:u w:val="single"/>
        </w:rPr>
      </w:pPr>
      <w:r w:rsidRPr="00DB1AEE">
        <w:rPr>
          <w:b/>
          <w:bCs/>
          <w:u w:val="single"/>
        </w:rPr>
        <w:t>C405.10.1.1.3 Drive.</w:t>
      </w:r>
      <w:r w:rsidRPr="00DB1AEE">
        <w:rPr>
          <w:u w:val="single"/>
        </w:rPr>
        <w:t xml:space="preserve"> Potential energy released during motion shall be recovered with a regenerative drive that supplies electrical energy to the building electrical system.</w:t>
      </w:r>
    </w:p>
    <w:p w14:paraId="035355AB"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Section C405.12 Automatic receptacle control.</w:t>
      </w:r>
    </w:p>
    <w:p w14:paraId="2F0A229E"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szCs w:val="24"/>
          <w:u w:val="single"/>
        </w:rPr>
        <w:t>Section C405.12- Delete Section C405.12,</w:t>
      </w:r>
      <w:r w:rsidRPr="00DB1AEE">
        <w:rPr>
          <w:b/>
          <w:bCs/>
          <w:szCs w:val="24"/>
          <w:u w:val="single"/>
        </w:rPr>
        <w:t xml:space="preserve"> </w:t>
      </w:r>
      <w:r w:rsidRPr="00DB1AEE">
        <w:rPr>
          <w:rFonts w:eastAsia="MS Mincho"/>
          <w:bCs/>
          <w:szCs w:val="24"/>
          <w:u w:val="single"/>
        </w:rPr>
        <w:t xml:space="preserve">C405.12.1 in their entirety. </w:t>
      </w:r>
    </w:p>
    <w:p w14:paraId="32DEC24C" w14:textId="77777777" w:rsidR="00DB1AEE" w:rsidRPr="00DB1AEE" w:rsidRDefault="00DB1AEE" w:rsidP="00DB1AEE">
      <w:pPr>
        <w:widowControl w:val="0"/>
        <w:suppressAutoHyphens/>
        <w:autoSpaceDE w:val="0"/>
        <w:autoSpaceDN w:val="0"/>
        <w:adjustRightInd w:val="0"/>
        <w:spacing w:before="130" w:after="130"/>
        <w:rPr>
          <w:rFonts w:eastAsia="MS Mincho"/>
          <w:bCs/>
          <w:szCs w:val="24"/>
          <w:u w:val="single"/>
        </w:rPr>
      </w:pPr>
      <w:r w:rsidRPr="00DB1AEE">
        <w:rPr>
          <w:b/>
          <w:bCs/>
          <w:szCs w:val="24"/>
          <w:u w:val="single"/>
        </w:rPr>
        <w:t>Section C405.13 Energy monitoring.</w:t>
      </w:r>
    </w:p>
    <w:p w14:paraId="26D09F40"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rFonts w:eastAsia="MS Mincho"/>
          <w:bCs/>
          <w:szCs w:val="24"/>
          <w:u w:val="single"/>
        </w:rPr>
        <w:t>Section</w:t>
      </w:r>
      <w:r w:rsidRPr="00DB1AEE">
        <w:rPr>
          <w:u w:val="single"/>
        </w:rPr>
        <w:t xml:space="preserve"> </w:t>
      </w:r>
      <w:r w:rsidRPr="00DB1AEE">
        <w:rPr>
          <w:rFonts w:eastAsia="MS Mincho"/>
          <w:bCs/>
          <w:szCs w:val="24"/>
          <w:u w:val="single"/>
        </w:rPr>
        <w:t>C405.13-  Delete Section</w:t>
      </w:r>
      <w:r w:rsidRPr="00DB1AEE">
        <w:rPr>
          <w:u w:val="single"/>
        </w:rPr>
        <w:t xml:space="preserve"> </w:t>
      </w:r>
      <w:r w:rsidRPr="00DB1AEE">
        <w:rPr>
          <w:rFonts w:eastAsia="MS Mincho"/>
          <w:bCs/>
          <w:szCs w:val="24"/>
          <w:u w:val="single"/>
        </w:rPr>
        <w:t>C405.13,  Section</w:t>
      </w:r>
      <w:r w:rsidRPr="00DB1AEE">
        <w:rPr>
          <w:u w:val="single"/>
        </w:rPr>
        <w:t xml:space="preserve"> </w:t>
      </w:r>
      <w:r w:rsidRPr="00DB1AEE">
        <w:rPr>
          <w:rFonts w:eastAsia="MS Mincho"/>
          <w:bCs/>
          <w:szCs w:val="24"/>
          <w:u w:val="single"/>
        </w:rPr>
        <w:t>C405.13.1, Section</w:t>
      </w:r>
      <w:r w:rsidRPr="00DB1AEE">
        <w:rPr>
          <w:u w:val="single"/>
        </w:rPr>
        <w:t xml:space="preserve"> </w:t>
      </w:r>
      <w:r w:rsidRPr="00DB1AEE">
        <w:rPr>
          <w:rFonts w:eastAsia="MS Mincho"/>
          <w:bCs/>
          <w:szCs w:val="24"/>
          <w:u w:val="single"/>
        </w:rPr>
        <w:t>C405.13.2, Table C405.13.2, Section</w:t>
      </w:r>
      <w:r w:rsidRPr="00DB1AEE">
        <w:rPr>
          <w:u w:val="single"/>
        </w:rPr>
        <w:t xml:space="preserve"> </w:t>
      </w:r>
      <w:r w:rsidRPr="00DB1AEE">
        <w:rPr>
          <w:rFonts w:eastAsia="MS Mincho"/>
          <w:bCs/>
          <w:szCs w:val="24"/>
          <w:u w:val="single"/>
        </w:rPr>
        <w:t>C405.13.3, Section</w:t>
      </w:r>
      <w:r w:rsidRPr="00DB1AEE">
        <w:rPr>
          <w:u w:val="single"/>
        </w:rPr>
        <w:t xml:space="preserve"> </w:t>
      </w:r>
      <w:r w:rsidRPr="00DB1AEE">
        <w:rPr>
          <w:rFonts w:eastAsia="MS Mincho"/>
          <w:bCs/>
          <w:szCs w:val="24"/>
          <w:u w:val="single"/>
        </w:rPr>
        <w:t>C405.13.4, Section</w:t>
      </w:r>
      <w:r w:rsidRPr="00DB1AEE">
        <w:rPr>
          <w:u w:val="single"/>
        </w:rPr>
        <w:t xml:space="preserve"> </w:t>
      </w:r>
      <w:r w:rsidRPr="00DB1AEE">
        <w:rPr>
          <w:rFonts w:eastAsia="MS Mincho"/>
          <w:bCs/>
          <w:szCs w:val="24"/>
          <w:u w:val="single"/>
        </w:rPr>
        <w:t>C405.13.5, Section</w:t>
      </w:r>
      <w:r w:rsidRPr="00DB1AEE">
        <w:rPr>
          <w:u w:val="single"/>
        </w:rPr>
        <w:t xml:space="preserve"> </w:t>
      </w:r>
      <w:r w:rsidRPr="00DB1AEE">
        <w:rPr>
          <w:rFonts w:eastAsia="MS Mincho"/>
          <w:bCs/>
          <w:szCs w:val="24"/>
          <w:u w:val="single"/>
        </w:rPr>
        <w:t>C405.13.6, Section</w:t>
      </w:r>
      <w:r w:rsidRPr="00DB1AEE">
        <w:rPr>
          <w:u w:val="single"/>
        </w:rPr>
        <w:t xml:space="preserve"> </w:t>
      </w:r>
      <w:r w:rsidRPr="00DB1AEE">
        <w:rPr>
          <w:rFonts w:eastAsia="MS Mincho"/>
          <w:bCs/>
          <w:szCs w:val="24"/>
          <w:u w:val="single"/>
        </w:rPr>
        <w:t>C405.13.7, Section</w:t>
      </w:r>
      <w:r w:rsidRPr="00DB1AEE">
        <w:rPr>
          <w:u w:val="single"/>
        </w:rPr>
        <w:t xml:space="preserve"> </w:t>
      </w:r>
      <w:r w:rsidRPr="00DB1AEE">
        <w:rPr>
          <w:rFonts w:eastAsia="MS Mincho"/>
          <w:bCs/>
          <w:szCs w:val="24"/>
          <w:u w:val="single"/>
        </w:rPr>
        <w:t>C405.13.8, Table C405.13.8, Section</w:t>
      </w:r>
      <w:r w:rsidRPr="00DB1AEE">
        <w:rPr>
          <w:u w:val="single"/>
        </w:rPr>
        <w:t xml:space="preserve"> </w:t>
      </w:r>
      <w:r w:rsidRPr="00DB1AEE">
        <w:rPr>
          <w:rFonts w:eastAsia="MS Mincho"/>
          <w:bCs/>
          <w:szCs w:val="24"/>
          <w:u w:val="single"/>
        </w:rPr>
        <w:t>C405.13.9, Section</w:t>
      </w:r>
      <w:r w:rsidRPr="00DB1AEE">
        <w:rPr>
          <w:u w:val="single"/>
        </w:rPr>
        <w:t xml:space="preserve"> </w:t>
      </w:r>
      <w:r w:rsidRPr="00DB1AEE">
        <w:rPr>
          <w:rFonts w:eastAsia="MS Mincho"/>
          <w:bCs/>
          <w:szCs w:val="24"/>
          <w:u w:val="single"/>
        </w:rPr>
        <w:t>C405.13.10 and Section</w:t>
      </w:r>
      <w:r w:rsidRPr="00DB1AEE">
        <w:rPr>
          <w:u w:val="single"/>
        </w:rPr>
        <w:t xml:space="preserve"> </w:t>
      </w:r>
      <w:r w:rsidRPr="00DB1AEE">
        <w:rPr>
          <w:rFonts w:eastAsia="MS Mincho"/>
          <w:bCs/>
          <w:szCs w:val="24"/>
          <w:u w:val="single"/>
        </w:rPr>
        <w:t xml:space="preserve">C405.13.11, Section C405.14in their entirety. </w:t>
      </w:r>
    </w:p>
    <w:p w14:paraId="2C7A1239"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Section C405.12 Commercial kitchen equipment.</w:t>
      </w:r>
    </w:p>
    <w:p w14:paraId="6219E27B" w14:textId="77777777" w:rsidR="00DB1AEE" w:rsidRPr="00DB1AEE" w:rsidRDefault="00DB1AEE" w:rsidP="00DB1AEE">
      <w:pPr>
        <w:widowControl w:val="0"/>
        <w:suppressAutoHyphens/>
        <w:spacing w:before="130" w:after="130"/>
        <w:rPr>
          <w:b/>
          <w:bCs/>
          <w:u w:val="single"/>
        </w:rPr>
      </w:pPr>
      <w:r w:rsidRPr="00DB1AEE">
        <w:rPr>
          <w:rFonts w:eastAsia="MS Mincho"/>
          <w:bCs/>
          <w:szCs w:val="24"/>
          <w:u w:val="single"/>
        </w:rPr>
        <w:t>Section C405.12 – Add new Section</w:t>
      </w:r>
      <w:r w:rsidRPr="00DB1AEE">
        <w:rPr>
          <w:u w:val="single"/>
        </w:rPr>
        <w:t xml:space="preserve"> </w:t>
      </w:r>
      <w:r w:rsidRPr="00DB1AEE">
        <w:rPr>
          <w:rFonts w:eastAsia="MS Mincho"/>
          <w:bCs/>
          <w:szCs w:val="24"/>
          <w:u w:val="single"/>
        </w:rPr>
        <w:t>C405.12, Table C405.12(1), Table C405.12(2), Table C405.12(3)</w:t>
      </w:r>
      <w:r w:rsidRPr="00DB1AEE">
        <w:rPr>
          <w:szCs w:val="24"/>
          <w:u w:val="single"/>
        </w:rPr>
        <w:t xml:space="preserve">, </w:t>
      </w:r>
      <w:r w:rsidRPr="00DB1AEE">
        <w:rPr>
          <w:rFonts w:eastAsia="MS Mincho"/>
          <w:bCs/>
          <w:szCs w:val="24"/>
          <w:u w:val="single"/>
        </w:rPr>
        <w:t>Table C405.12(4) and Table C405.12(5)to read as follows:</w:t>
      </w:r>
    </w:p>
    <w:p w14:paraId="1612775B" w14:textId="77777777" w:rsidR="00DB1AEE" w:rsidRPr="00DB1AEE" w:rsidRDefault="00DB1AEE" w:rsidP="00DB1AEE">
      <w:pPr>
        <w:tabs>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before="80" w:after="80" w:line="220" w:lineRule="atLeast"/>
        <w:rPr>
          <w:rFonts w:ascii="Arial" w:hAnsi="Arial" w:cs="Arial"/>
          <w:sz w:val="22"/>
          <w:szCs w:val="22"/>
        </w:rPr>
      </w:pPr>
    </w:p>
    <w:p w14:paraId="5D799C66" w14:textId="77777777" w:rsidR="00DB1AEE" w:rsidRPr="00DB1AEE" w:rsidRDefault="00DB1AEE" w:rsidP="00DB1AEE">
      <w:pPr>
        <w:spacing w:before="130" w:after="130"/>
        <w:ind w:left="360"/>
        <w:jc w:val="left"/>
        <w:rPr>
          <w:b/>
          <w:vanish/>
          <w:w w:val="0"/>
          <w:szCs w:val="24"/>
          <w:u w:val="single"/>
        </w:rPr>
      </w:pPr>
      <w:bookmarkStart w:id="328" w:name="_Hlk189732937"/>
      <w:r w:rsidRPr="00DB1AEE">
        <w:rPr>
          <w:b/>
          <w:w w:val="0"/>
          <w:szCs w:val="24"/>
          <w:u w:val="single"/>
        </w:rPr>
        <w:t xml:space="preserve">C405.12 Commercial kitchen equipment. </w:t>
      </w:r>
    </w:p>
    <w:p w14:paraId="1D71D3B1" w14:textId="77777777" w:rsidR="00DB1AEE" w:rsidRPr="00DB1AEE" w:rsidRDefault="00DB1AEE" w:rsidP="00DB1AEE">
      <w:pPr>
        <w:suppressAutoHyphens/>
        <w:ind w:left="360"/>
        <w:jc w:val="left"/>
        <w:rPr>
          <w:szCs w:val="24"/>
          <w:u w:val="single"/>
        </w:rPr>
      </w:pPr>
      <w:r w:rsidRPr="00DB1AEE">
        <w:rPr>
          <w:szCs w:val="24"/>
          <w:u w:val="single"/>
        </w:rPr>
        <w:t xml:space="preserve"> Commercial kitchen equipment shall comply with the minimum efficiency requirements of Tables C405.12(1)  through C405.12(5). </w:t>
      </w:r>
    </w:p>
    <w:p w14:paraId="32D2F096" w14:textId="77777777" w:rsidR="00DB1AEE" w:rsidRPr="00DB1AEE" w:rsidRDefault="00DB1AEE" w:rsidP="00DB1AEE">
      <w:pPr>
        <w:suppressAutoHyphens/>
        <w:jc w:val="center"/>
        <w:rPr>
          <w:b/>
          <w:szCs w:val="24"/>
          <w:u w:val="single"/>
        </w:rPr>
      </w:pPr>
      <w:bookmarkStart w:id="329" w:name="_Hlk189733126"/>
      <w:bookmarkEnd w:id="328"/>
      <w:r w:rsidRPr="00DB1AEE">
        <w:rPr>
          <w:b/>
          <w:szCs w:val="24"/>
          <w:u w:val="single"/>
        </w:rPr>
        <w:t>TABLE C405.12(1)</w:t>
      </w:r>
    </w:p>
    <w:p w14:paraId="616488AD" w14:textId="77777777" w:rsidR="00DB1AEE" w:rsidRPr="00DB1AEE" w:rsidRDefault="00DB1AEE" w:rsidP="00DB1AEE">
      <w:pPr>
        <w:suppressAutoHyphens/>
        <w:jc w:val="center"/>
        <w:rPr>
          <w:b/>
          <w:szCs w:val="24"/>
          <w:u w:val="single"/>
        </w:rPr>
      </w:pPr>
      <w:r w:rsidRPr="00DB1AEE">
        <w:rPr>
          <w:b/>
          <w:szCs w:val="24"/>
          <w:u w:val="single"/>
        </w:rPr>
        <w:t>MINIMUM EFFICIENCY REQUIREMENTS: COMMERCIAL FRYERS</w:t>
      </w:r>
    </w:p>
    <w:p w14:paraId="68DC3B0C" w14:textId="77777777" w:rsidR="00DB1AEE" w:rsidRPr="00DB1AEE" w:rsidRDefault="00DB1AEE" w:rsidP="00DB1AEE">
      <w:pPr>
        <w:suppressAutoHyphens/>
        <w:jc w:val="center"/>
        <w:rPr>
          <w:b/>
          <w:szCs w:val="24"/>
          <w:u w:val="single"/>
        </w:rPr>
      </w:pPr>
      <w:r w:rsidRPr="00DB1AEE">
        <w:rPr>
          <w:b/>
          <w:szCs w:val="24"/>
          <w:u w:val="single"/>
        </w:rPr>
        <w:t>(This table is intended to be a restatement of the legally binding provisions found in Title 10 CFR Part 431 included here as a convenience to the users of this code)</w:t>
      </w:r>
    </w:p>
    <w:tbl>
      <w:tblPr>
        <w:tblW w:w="957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80"/>
        <w:gridCol w:w="2669"/>
        <w:gridCol w:w="2393"/>
        <w:gridCol w:w="2235"/>
      </w:tblGrid>
      <w:tr w:rsidR="00DB1AEE" w:rsidRPr="00DB1AEE" w14:paraId="251270EC" w14:textId="77777777" w:rsidTr="00FC1832">
        <w:trPr>
          <w:trHeight w:val="414"/>
        </w:trPr>
        <w:tc>
          <w:tcPr>
            <w:tcW w:w="2280" w:type="dxa"/>
          </w:tcPr>
          <w:p w14:paraId="63D23245" w14:textId="77777777" w:rsidR="00DB1AEE" w:rsidRPr="00DB1AEE" w:rsidRDefault="00DB1AEE" w:rsidP="00DB1AEE">
            <w:pPr>
              <w:widowControl w:val="0"/>
              <w:autoSpaceDE w:val="0"/>
              <w:autoSpaceDN w:val="0"/>
              <w:ind w:left="1098"/>
              <w:jc w:val="center"/>
              <w:rPr>
                <w:szCs w:val="24"/>
                <w:u w:val="single"/>
              </w:rPr>
            </w:pPr>
          </w:p>
        </w:tc>
        <w:tc>
          <w:tcPr>
            <w:tcW w:w="2669" w:type="dxa"/>
          </w:tcPr>
          <w:p w14:paraId="11DF6506" w14:textId="77777777" w:rsidR="00DB1AEE" w:rsidRPr="00DB1AEE" w:rsidRDefault="00DB1AEE" w:rsidP="00DB1AEE">
            <w:pPr>
              <w:widowControl w:val="0"/>
              <w:autoSpaceDE w:val="0"/>
              <w:autoSpaceDN w:val="0"/>
              <w:ind w:left="266" w:right="255"/>
              <w:jc w:val="center"/>
              <w:rPr>
                <w:b/>
                <w:szCs w:val="24"/>
                <w:u w:val="single"/>
              </w:rPr>
            </w:pPr>
            <w:r w:rsidRPr="00DB1AEE">
              <w:rPr>
                <w:b/>
                <w:szCs w:val="24"/>
                <w:u w:val="single"/>
              </w:rPr>
              <w:t>HEAVY-LOAD</w:t>
            </w:r>
            <w:r w:rsidRPr="00DB1AEE">
              <w:rPr>
                <w:b/>
                <w:spacing w:val="-3"/>
                <w:szCs w:val="24"/>
                <w:u w:val="single"/>
              </w:rPr>
              <w:t xml:space="preserve"> </w:t>
            </w:r>
            <w:r w:rsidRPr="00DB1AEE">
              <w:rPr>
                <w:b/>
                <w:szCs w:val="24"/>
                <w:u w:val="single"/>
              </w:rPr>
              <w:t>COOKING</w:t>
            </w:r>
          </w:p>
          <w:p w14:paraId="4233567F" w14:textId="77777777" w:rsidR="00DB1AEE" w:rsidRPr="00DB1AEE" w:rsidRDefault="00DB1AEE" w:rsidP="00DB1AEE">
            <w:pPr>
              <w:widowControl w:val="0"/>
              <w:autoSpaceDE w:val="0"/>
              <w:autoSpaceDN w:val="0"/>
              <w:ind w:left="262" w:right="255"/>
              <w:jc w:val="center"/>
              <w:rPr>
                <w:b/>
                <w:szCs w:val="24"/>
                <w:u w:val="single"/>
              </w:rPr>
            </w:pPr>
            <w:r w:rsidRPr="00DB1AEE">
              <w:rPr>
                <w:b/>
                <w:szCs w:val="24"/>
                <w:u w:val="single"/>
              </w:rPr>
              <w:t>ENERGY</w:t>
            </w:r>
            <w:r w:rsidRPr="00DB1AEE">
              <w:rPr>
                <w:b/>
                <w:spacing w:val="-2"/>
                <w:szCs w:val="24"/>
                <w:u w:val="single"/>
              </w:rPr>
              <w:t xml:space="preserve"> </w:t>
            </w:r>
            <w:r w:rsidRPr="00DB1AEE">
              <w:rPr>
                <w:b/>
                <w:szCs w:val="24"/>
                <w:u w:val="single"/>
              </w:rPr>
              <w:t>EFFICIENCY</w:t>
            </w:r>
          </w:p>
        </w:tc>
        <w:tc>
          <w:tcPr>
            <w:tcW w:w="2393" w:type="dxa"/>
          </w:tcPr>
          <w:p w14:paraId="468A0C45" w14:textId="77777777" w:rsidR="00DB1AEE" w:rsidRPr="00DB1AEE" w:rsidRDefault="00DB1AEE" w:rsidP="00DB1AEE">
            <w:pPr>
              <w:widowControl w:val="0"/>
              <w:autoSpaceDE w:val="0"/>
              <w:autoSpaceDN w:val="0"/>
              <w:ind w:left="297" w:right="287"/>
              <w:jc w:val="center"/>
              <w:rPr>
                <w:b/>
                <w:szCs w:val="24"/>
                <w:u w:val="single"/>
              </w:rPr>
            </w:pPr>
            <w:r w:rsidRPr="00DB1AEE">
              <w:rPr>
                <w:b/>
                <w:szCs w:val="24"/>
                <w:u w:val="single"/>
              </w:rPr>
              <w:t>IDLE</w:t>
            </w:r>
            <w:r w:rsidRPr="00DB1AEE">
              <w:rPr>
                <w:b/>
                <w:spacing w:val="-1"/>
                <w:szCs w:val="24"/>
                <w:u w:val="single"/>
              </w:rPr>
              <w:t xml:space="preserve"> </w:t>
            </w:r>
            <w:r w:rsidRPr="00DB1AEE">
              <w:rPr>
                <w:b/>
                <w:szCs w:val="24"/>
                <w:u w:val="single"/>
              </w:rPr>
              <w:t>ENERGY</w:t>
            </w:r>
            <w:r w:rsidRPr="00DB1AEE">
              <w:rPr>
                <w:b/>
                <w:spacing w:val="-1"/>
                <w:szCs w:val="24"/>
                <w:u w:val="single"/>
              </w:rPr>
              <w:t xml:space="preserve"> </w:t>
            </w:r>
            <w:r w:rsidRPr="00DB1AEE">
              <w:rPr>
                <w:b/>
                <w:szCs w:val="24"/>
                <w:u w:val="single"/>
              </w:rPr>
              <w:t>RATE</w:t>
            </w:r>
          </w:p>
        </w:tc>
        <w:tc>
          <w:tcPr>
            <w:tcW w:w="2235" w:type="dxa"/>
          </w:tcPr>
          <w:p w14:paraId="39058D81" w14:textId="77777777" w:rsidR="00DB1AEE" w:rsidRPr="00DB1AEE" w:rsidRDefault="00DB1AEE" w:rsidP="00DB1AEE">
            <w:pPr>
              <w:widowControl w:val="0"/>
              <w:autoSpaceDE w:val="0"/>
              <w:autoSpaceDN w:val="0"/>
              <w:ind w:left="286"/>
              <w:jc w:val="center"/>
              <w:rPr>
                <w:b/>
                <w:szCs w:val="24"/>
                <w:u w:val="single"/>
              </w:rPr>
            </w:pPr>
            <w:r w:rsidRPr="00DB1AEE">
              <w:rPr>
                <w:b/>
                <w:szCs w:val="24"/>
                <w:u w:val="single"/>
              </w:rPr>
              <w:t>TEST</w:t>
            </w:r>
            <w:r w:rsidRPr="00DB1AEE">
              <w:rPr>
                <w:b/>
                <w:spacing w:val="-1"/>
                <w:szCs w:val="24"/>
                <w:u w:val="single"/>
              </w:rPr>
              <w:t xml:space="preserve"> </w:t>
            </w:r>
            <w:r w:rsidRPr="00DB1AEE">
              <w:rPr>
                <w:b/>
                <w:szCs w:val="24"/>
                <w:u w:val="single"/>
              </w:rPr>
              <w:t>PROCEDURE</w:t>
            </w:r>
          </w:p>
        </w:tc>
      </w:tr>
      <w:tr w:rsidR="00DB1AEE" w:rsidRPr="00DB1AEE" w14:paraId="32637B90" w14:textId="77777777" w:rsidTr="00FC1832">
        <w:trPr>
          <w:trHeight w:val="414"/>
        </w:trPr>
        <w:tc>
          <w:tcPr>
            <w:tcW w:w="2280" w:type="dxa"/>
          </w:tcPr>
          <w:p w14:paraId="4F82C628" w14:textId="77777777" w:rsidR="00DB1AEE" w:rsidRPr="00DB1AEE" w:rsidRDefault="00DB1AEE" w:rsidP="00DB1AEE">
            <w:pPr>
              <w:widowControl w:val="0"/>
              <w:autoSpaceDE w:val="0"/>
              <w:autoSpaceDN w:val="0"/>
              <w:ind w:left="693" w:right="107" w:hanging="567"/>
              <w:jc w:val="center"/>
              <w:rPr>
                <w:szCs w:val="24"/>
                <w:u w:val="single"/>
              </w:rPr>
            </w:pPr>
            <w:r w:rsidRPr="00DB1AEE">
              <w:rPr>
                <w:szCs w:val="24"/>
                <w:u w:val="single"/>
              </w:rPr>
              <w:t>Standard Open Deep-Fat</w:t>
            </w:r>
            <w:r w:rsidRPr="00DB1AEE">
              <w:rPr>
                <w:spacing w:val="-45"/>
                <w:szCs w:val="24"/>
                <w:u w:val="single"/>
              </w:rPr>
              <w:t xml:space="preserve"> </w:t>
            </w:r>
            <w:r w:rsidRPr="00DB1AEE">
              <w:rPr>
                <w:szCs w:val="24"/>
                <w:u w:val="single"/>
              </w:rPr>
              <w:t>Gas</w:t>
            </w:r>
            <w:r w:rsidRPr="00DB1AEE">
              <w:rPr>
                <w:spacing w:val="2"/>
                <w:szCs w:val="24"/>
                <w:u w:val="single"/>
              </w:rPr>
              <w:t xml:space="preserve"> </w:t>
            </w:r>
            <w:r w:rsidRPr="00DB1AEE">
              <w:rPr>
                <w:szCs w:val="24"/>
                <w:u w:val="single"/>
              </w:rPr>
              <w:t>Fryers</w:t>
            </w:r>
          </w:p>
        </w:tc>
        <w:tc>
          <w:tcPr>
            <w:tcW w:w="2669" w:type="dxa"/>
          </w:tcPr>
          <w:p w14:paraId="66F8BDC0" w14:textId="77777777" w:rsidR="00DB1AEE" w:rsidRPr="00DB1AEE" w:rsidRDefault="00DB1AEE" w:rsidP="00DB1AEE">
            <w:pPr>
              <w:widowControl w:val="0"/>
              <w:autoSpaceDE w:val="0"/>
              <w:autoSpaceDN w:val="0"/>
              <w:ind w:left="266" w:right="254"/>
              <w:jc w:val="center"/>
              <w:rPr>
                <w:szCs w:val="24"/>
                <w:u w:val="single"/>
              </w:rPr>
            </w:pPr>
            <w:r w:rsidRPr="00DB1AEE">
              <w:rPr>
                <w:szCs w:val="24"/>
                <w:u w:val="single"/>
              </w:rPr>
              <w:t>≥</w:t>
            </w:r>
            <w:r w:rsidRPr="00DB1AEE">
              <w:rPr>
                <w:spacing w:val="-1"/>
                <w:szCs w:val="24"/>
                <w:u w:val="single"/>
              </w:rPr>
              <w:t xml:space="preserve"> </w:t>
            </w:r>
            <w:r w:rsidRPr="00DB1AEE">
              <w:rPr>
                <w:szCs w:val="24"/>
                <w:u w:val="single"/>
              </w:rPr>
              <w:t>50%</w:t>
            </w:r>
          </w:p>
        </w:tc>
        <w:tc>
          <w:tcPr>
            <w:tcW w:w="2393" w:type="dxa"/>
          </w:tcPr>
          <w:p w14:paraId="6F946B0E" w14:textId="77777777" w:rsidR="00DB1AEE" w:rsidRPr="00DB1AEE" w:rsidRDefault="00DB1AEE" w:rsidP="00DB1AEE">
            <w:pPr>
              <w:widowControl w:val="0"/>
              <w:autoSpaceDE w:val="0"/>
              <w:autoSpaceDN w:val="0"/>
              <w:ind w:left="297" w:right="285"/>
              <w:jc w:val="center"/>
              <w:rPr>
                <w:szCs w:val="24"/>
                <w:u w:val="single"/>
              </w:rPr>
            </w:pPr>
            <w:r w:rsidRPr="00DB1AEE">
              <w:rPr>
                <w:szCs w:val="24"/>
                <w:u w:val="single"/>
              </w:rPr>
              <w:t>≤</w:t>
            </w:r>
            <w:r w:rsidRPr="00DB1AEE">
              <w:rPr>
                <w:spacing w:val="-1"/>
                <w:szCs w:val="24"/>
                <w:u w:val="single"/>
              </w:rPr>
              <w:t xml:space="preserve"> </w:t>
            </w:r>
            <w:r w:rsidRPr="00DB1AEE">
              <w:rPr>
                <w:szCs w:val="24"/>
                <w:u w:val="single"/>
              </w:rPr>
              <w:t>9,000</w:t>
            </w:r>
            <w:r w:rsidRPr="00DB1AEE">
              <w:rPr>
                <w:spacing w:val="-1"/>
                <w:szCs w:val="24"/>
                <w:u w:val="single"/>
              </w:rPr>
              <w:t xml:space="preserve"> </w:t>
            </w:r>
            <w:r w:rsidRPr="00DB1AEE">
              <w:rPr>
                <w:szCs w:val="24"/>
                <w:u w:val="single"/>
              </w:rPr>
              <w:t>Btu/hr</w:t>
            </w:r>
          </w:p>
        </w:tc>
        <w:tc>
          <w:tcPr>
            <w:tcW w:w="2235" w:type="dxa"/>
            <w:vMerge w:val="restart"/>
          </w:tcPr>
          <w:p w14:paraId="2BDBDF0A" w14:textId="77777777" w:rsidR="00DB1AEE" w:rsidRPr="00DB1AEE" w:rsidRDefault="00DB1AEE" w:rsidP="00DB1AEE">
            <w:pPr>
              <w:widowControl w:val="0"/>
              <w:autoSpaceDE w:val="0"/>
              <w:autoSpaceDN w:val="0"/>
              <w:ind w:left="1098"/>
              <w:jc w:val="center"/>
              <w:rPr>
                <w:b/>
                <w:szCs w:val="24"/>
                <w:u w:val="single"/>
              </w:rPr>
            </w:pPr>
          </w:p>
          <w:p w14:paraId="2D084C4A" w14:textId="77777777" w:rsidR="00DB1AEE" w:rsidRPr="00DB1AEE" w:rsidRDefault="00DB1AEE" w:rsidP="00DB1AEE">
            <w:pPr>
              <w:widowControl w:val="0"/>
              <w:autoSpaceDE w:val="0"/>
              <w:autoSpaceDN w:val="0"/>
              <w:ind w:left="1018" w:right="143" w:hanging="853"/>
              <w:jc w:val="center"/>
              <w:rPr>
                <w:szCs w:val="24"/>
                <w:u w:val="single"/>
              </w:rPr>
            </w:pPr>
            <w:r w:rsidRPr="00DB1AEE">
              <w:rPr>
                <w:szCs w:val="24"/>
                <w:u w:val="single"/>
              </w:rPr>
              <w:t>ASTM Standard F1361-</w:t>
            </w:r>
            <w:r w:rsidRPr="00DB1AEE">
              <w:rPr>
                <w:spacing w:val="-45"/>
                <w:szCs w:val="24"/>
                <w:u w:val="single"/>
              </w:rPr>
              <w:t xml:space="preserve"> </w:t>
            </w:r>
            <w:r w:rsidRPr="00DB1AEE">
              <w:rPr>
                <w:szCs w:val="24"/>
                <w:u w:val="single"/>
              </w:rPr>
              <w:t>17</w:t>
            </w:r>
          </w:p>
        </w:tc>
      </w:tr>
      <w:tr w:rsidR="00DB1AEE" w:rsidRPr="00DB1AEE" w14:paraId="7A213EB2" w14:textId="77777777" w:rsidTr="00FC1832">
        <w:trPr>
          <w:trHeight w:val="412"/>
        </w:trPr>
        <w:tc>
          <w:tcPr>
            <w:tcW w:w="2280" w:type="dxa"/>
          </w:tcPr>
          <w:p w14:paraId="2D88247F" w14:textId="77777777" w:rsidR="00DB1AEE" w:rsidRPr="00DB1AEE" w:rsidRDefault="00DB1AEE" w:rsidP="00DB1AEE">
            <w:pPr>
              <w:widowControl w:val="0"/>
              <w:autoSpaceDE w:val="0"/>
              <w:autoSpaceDN w:val="0"/>
              <w:ind w:left="563" w:right="107" w:hanging="437"/>
              <w:jc w:val="center"/>
              <w:rPr>
                <w:szCs w:val="24"/>
                <w:u w:val="single"/>
              </w:rPr>
            </w:pPr>
            <w:r w:rsidRPr="00DB1AEE">
              <w:rPr>
                <w:szCs w:val="24"/>
                <w:u w:val="single"/>
              </w:rPr>
              <w:t>Standard Open Deep-Fat</w:t>
            </w:r>
            <w:r w:rsidRPr="00DB1AEE">
              <w:rPr>
                <w:spacing w:val="-45"/>
                <w:szCs w:val="24"/>
                <w:u w:val="single"/>
              </w:rPr>
              <w:t xml:space="preserve"> </w:t>
            </w:r>
            <w:r w:rsidRPr="00DB1AEE">
              <w:rPr>
                <w:szCs w:val="24"/>
                <w:u w:val="single"/>
              </w:rPr>
              <w:t>Electric</w:t>
            </w:r>
            <w:r w:rsidRPr="00DB1AEE">
              <w:rPr>
                <w:spacing w:val="2"/>
                <w:szCs w:val="24"/>
                <w:u w:val="single"/>
              </w:rPr>
              <w:t xml:space="preserve"> </w:t>
            </w:r>
            <w:r w:rsidRPr="00DB1AEE">
              <w:rPr>
                <w:szCs w:val="24"/>
                <w:u w:val="single"/>
              </w:rPr>
              <w:t>Fryers</w:t>
            </w:r>
          </w:p>
        </w:tc>
        <w:tc>
          <w:tcPr>
            <w:tcW w:w="2669" w:type="dxa"/>
          </w:tcPr>
          <w:p w14:paraId="5AECE62A" w14:textId="77777777" w:rsidR="00DB1AEE" w:rsidRPr="00DB1AEE" w:rsidRDefault="00DB1AEE" w:rsidP="00DB1AEE">
            <w:pPr>
              <w:widowControl w:val="0"/>
              <w:autoSpaceDE w:val="0"/>
              <w:autoSpaceDN w:val="0"/>
              <w:ind w:left="266" w:right="254"/>
              <w:jc w:val="center"/>
              <w:rPr>
                <w:szCs w:val="24"/>
                <w:u w:val="single"/>
              </w:rPr>
            </w:pPr>
            <w:r w:rsidRPr="00DB1AEE">
              <w:rPr>
                <w:szCs w:val="24"/>
                <w:u w:val="single"/>
              </w:rPr>
              <w:t>≥</w:t>
            </w:r>
            <w:r w:rsidRPr="00DB1AEE">
              <w:rPr>
                <w:spacing w:val="-1"/>
                <w:szCs w:val="24"/>
                <w:u w:val="single"/>
              </w:rPr>
              <w:t xml:space="preserve"> </w:t>
            </w:r>
            <w:r w:rsidRPr="00DB1AEE">
              <w:rPr>
                <w:szCs w:val="24"/>
                <w:u w:val="single"/>
              </w:rPr>
              <w:t>83%</w:t>
            </w:r>
          </w:p>
        </w:tc>
        <w:tc>
          <w:tcPr>
            <w:tcW w:w="2393" w:type="dxa"/>
          </w:tcPr>
          <w:p w14:paraId="4D46C4C8" w14:textId="77777777" w:rsidR="00DB1AEE" w:rsidRPr="00DB1AEE" w:rsidRDefault="00DB1AEE" w:rsidP="00DB1AEE">
            <w:pPr>
              <w:widowControl w:val="0"/>
              <w:autoSpaceDE w:val="0"/>
              <w:autoSpaceDN w:val="0"/>
              <w:ind w:left="297" w:right="286"/>
              <w:jc w:val="center"/>
              <w:rPr>
                <w:szCs w:val="24"/>
                <w:u w:val="single"/>
              </w:rPr>
            </w:pPr>
            <w:r w:rsidRPr="00DB1AEE">
              <w:rPr>
                <w:szCs w:val="24"/>
                <w:u w:val="single"/>
              </w:rPr>
              <w:t>≤</w:t>
            </w:r>
            <w:r w:rsidRPr="00DB1AEE">
              <w:rPr>
                <w:spacing w:val="-1"/>
                <w:szCs w:val="24"/>
                <w:u w:val="single"/>
              </w:rPr>
              <w:t xml:space="preserve"> </w:t>
            </w:r>
            <w:r w:rsidRPr="00DB1AEE">
              <w:rPr>
                <w:szCs w:val="24"/>
                <w:u w:val="single"/>
              </w:rPr>
              <w:t>800</w:t>
            </w:r>
            <w:r w:rsidRPr="00DB1AEE">
              <w:rPr>
                <w:spacing w:val="-1"/>
                <w:szCs w:val="24"/>
                <w:u w:val="single"/>
              </w:rPr>
              <w:t xml:space="preserve"> </w:t>
            </w:r>
            <w:r w:rsidRPr="00DB1AEE">
              <w:rPr>
                <w:szCs w:val="24"/>
                <w:u w:val="single"/>
              </w:rPr>
              <w:t>watts</w:t>
            </w:r>
          </w:p>
        </w:tc>
        <w:tc>
          <w:tcPr>
            <w:tcW w:w="2235" w:type="dxa"/>
            <w:vMerge/>
            <w:tcBorders>
              <w:top w:val="nil"/>
            </w:tcBorders>
          </w:tcPr>
          <w:p w14:paraId="2EF7F93C" w14:textId="77777777" w:rsidR="00DB1AEE" w:rsidRPr="00DB1AEE" w:rsidRDefault="00DB1AEE" w:rsidP="00DB1AEE">
            <w:pPr>
              <w:suppressAutoHyphens/>
              <w:jc w:val="left"/>
              <w:rPr>
                <w:szCs w:val="24"/>
                <w:u w:val="single"/>
              </w:rPr>
            </w:pPr>
          </w:p>
        </w:tc>
      </w:tr>
      <w:tr w:rsidR="00DB1AEE" w:rsidRPr="00DB1AEE" w14:paraId="6EF3576F" w14:textId="77777777" w:rsidTr="00FC1832">
        <w:trPr>
          <w:trHeight w:val="414"/>
        </w:trPr>
        <w:tc>
          <w:tcPr>
            <w:tcW w:w="2280" w:type="dxa"/>
          </w:tcPr>
          <w:p w14:paraId="686F32F0" w14:textId="77777777" w:rsidR="00DB1AEE" w:rsidRPr="00DB1AEE" w:rsidRDefault="00DB1AEE" w:rsidP="00DB1AEE">
            <w:pPr>
              <w:widowControl w:val="0"/>
              <w:autoSpaceDE w:val="0"/>
              <w:autoSpaceDN w:val="0"/>
              <w:ind w:left="539" w:right="213" w:hanging="308"/>
              <w:jc w:val="center"/>
              <w:rPr>
                <w:szCs w:val="24"/>
                <w:u w:val="single"/>
              </w:rPr>
            </w:pPr>
            <w:r w:rsidRPr="00DB1AEE">
              <w:rPr>
                <w:szCs w:val="24"/>
                <w:u w:val="single"/>
              </w:rPr>
              <w:t>Large</w:t>
            </w:r>
            <w:r w:rsidRPr="00DB1AEE">
              <w:rPr>
                <w:spacing w:val="1"/>
                <w:szCs w:val="24"/>
                <w:u w:val="single"/>
              </w:rPr>
              <w:t xml:space="preserve"> </w:t>
            </w:r>
            <w:r w:rsidRPr="00DB1AEE">
              <w:rPr>
                <w:szCs w:val="24"/>
                <w:u w:val="single"/>
              </w:rPr>
              <w:t>Vat</w:t>
            </w:r>
            <w:r w:rsidRPr="00DB1AEE">
              <w:rPr>
                <w:spacing w:val="1"/>
                <w:szCs w:val="24"/>
                <w:u w:val="single"/>
              </w:rPr>
              <w:t xml:space="preserve"> </w:t>
            </w:r>
            <w:r w:rsidRPr="00DB1AEE">
              <w:rPr>
                <w:szCs w:val="24"/>
                <w:u w:val="single"/>
              </w:rPr>
              <w:t>Open</w:t>
            </w:r>
            <w:r w:rsidRPr="00DB1AEE">
              <w:rPr>
                <w:spacing w:val="-1"/>
                <w:szCs w:val="24"/>
                <w:u w:val="single"/>
              </w:rPr>
              <w:t xml:space="preserve"> </w:t>
            </w:r>
            <w:r w:rsidRPr="00DB1AEE">
              <w:rPr>
                <w:szCs w:val="24"/>
                <w:u w:val="single"/>
              </w:rPr>
              <w:t>Deep-</w:t>
            </w:r>
            <w:r w:rsidRPr="00DB1AEE">
              <w:rPr>
                <w:spacing w:val="-44"/>
                <w:szCs w:val="24"/>
                <w:u w:val="single"/>
              </w:rPr>
              <w:t xml:space="preserve"> </w:t>
            </w:r>
            <w:r w:rsidRPr="00DB1AEE">
              <w:rPr>
                <w:szCs w:val="24"/>
                <w:u w:val="single"/>
              </w:rPr>
              <w:t>Fat</w:t>
            </w:r>
            <w:r w:rsidRPr="00DB1AEE">
              <w:rPr>
                <w:spacing w:val="1"/>
                <w:szCs w:val="24"/>
                <w:u w:val="single"/>
              </w:rPr>
              <w:t xml:space="preserve"> </w:t>
            </w:r>
            <w:r w:rsidRPr="00DB1AEE">
              <w:rPr>
                <w:szCs w:val="24"/>
                <w:u w:val="single"/>
              </w:rPr>
              <w:t>Gas</w:t>
            </w:r>
            <w:r w:rsidRPr="00DB1AEE">
              <w:rPr>
                <w:spacing w:val="1"/>
                <w:szCs w:val="24"/>
                <w:u w:val="single"/>
              </w:rPr>
              <w:t xml:space="preserve"> </w:t>
            </w:r>
            <w:r w:rsidRPr="00DB1AEE">
              <w:rPr>
                <w:szCs w:val="24"/>
                <w:u w:val="single"/>
              </w:rPr>
              <w:t>Fryers</w:t>
            </w:r>
          </w:p>
        </w:tc>
        <w:tc>
          <w:tcPr>
            <w:tcW w:w="2669" w:type="dxa"/>
          </w:tcPr>
          <w:p w14:paraId="0D022032" w14:textId="77777777" w:rsidR="00DB1AEE" w:rsidRPr="00DB1AEE" w:rsidRDefault="00DB1AEE" w:rsidP="00DB1AEE">
            <w:pPr>
              <w:widowControl w:val="0"/>
              <w:autoSpaceDE w:val="0"/>
              <w:autoSpaceDN w:val="0"/>
              <w:ind w:left="266" w:right="254"/>
              <w:jc w:val="center"/>
              <w:rPr>
                <w:szCs w:val="24"/>
                <w:u w:val="single"/>
              </w:rPr>
            </w:pPr>
            <w:r w:rsidRPr="00DB1AEE">
              <w:rPr>
                <w:szCs w:val="24"/>
                <w:u w:val="single"/>
              </w:rPr>
              <w:t>≥</w:t>
            </w:r>
            <w:r w:rsidRPr="00DB1AEE">
              <w:rPr>
                <w:spacing w:val="-1"/>
                <w:szCs w:val="24"/>
                <w:u w:val="single"/>
              </w:rPr>
              <w:t xml:space="preserve"> </w:t>
            </w:r>
            <w:r w:rsidRPr="00DB1AEE">
              <w:rPr>
                <w:szCs w:val="24"/>
                <w:u w:val="single"/>
              </w:rPr>
              <w:t>50%</w:t>
            </w:r>
          </w:p>
        </w:tc>
        <w:tc>
          <w:tcPr>
            <w:tcW w:w="2393" w:type="dxa"/>
          </w:tcPr>
          <w:p w14:paraId="2599CD12" w14:textId="77777777" w:rsidR="00DB1AEE" w:rsidRPr="00DB1AEE" w:rsidRDefault="00DB1AEE" w:rsidP="00DB1AEE">
            <w:pPr>
              <w:widowControl w:val="0"/>
              <w:autoSpaceDE w:val="0"/>
              <w:autoSpaceDN w:val="0"/>
              <w:ind w:left="296" w:right="287"/>
              <w:jc w:val="center"/>
              <w:rPr>
                <w:szCs w:val="24"/>
                <w:u w:val="single"/>
              </w:rPr>
            </w:pPr>
            <w:r w:rsidRPr="00DB1AEE">
              <w:rPr>
                <w:szCs w:val="24"/>
                <w:u w:val="single"/>
              </w:rPr>
              <w:t>≤</w:t>
            </w:r>
            <w:r w:rsidRPr="00DB1AEE">
              <w:rPr>
                <w:spacing w:val="-2"/>
                <w:szCs w:val="24"/>
                <w:u w:val="single"/>
              </w:rPr>
              <w:t xml:space="preserve"> </w:t>
            </w:r>
            <w:r w:rsidRPr="00DB1AEE">
              <w:rPr>
                <w:szCs w:val="24"/>
                <w:u w:val="single"/>
              </w:rPr>
              <w:t>12,000</w:t>
            </w:r>
            <w:r w:rsidRPr="00DB1AEE">
              <w:rPr>
                <w:spacing w:val="-1"/>
                <w:szCs w:val="24"/>
                <w:u w:val="single"/>
              </w:rPr>
              <w:t xml:space="preserve"> </w:t>
            </w:r>
            <w:r w:rsidRPr="00DB1AEE">
              <w:rPr>
                <w:szCs w:val="24"/>
                <w:u w:val="single"/>
              </w:rPr>
              <w:t>Btu/hr</w:t>
            </w:r>
          </w:p>
        </w:tc>
        <w:tc>
          <w:tcPr>
            <w:tcW w:w="2235" w:type="dxa"/>
            <w:vMerge w:val="restart"/>
          </w:tcPr>
          <w:p w14:paraId="185CFA24" w14:textId="77777777" w:rsidR="00DB1AEE" w:rsidRPr="00DB1AEE" w:rsidRDefault="00DB1AEE" w:rsidP="00DB1AEE">
            <w:pPr>
              <w:widowControl w:val="0"/>
              <w:autoSpaceDE w:val="0"/>
              <w:autoSpaceDN w:val="0"/>
              <w:ind w:left="1098"/>
              <w:jc w:val="center"/>
              <w:rPr>
                <w:b/>
                <w:szCs w:val="24"/>
                <w:u w:val="single"/>
              </w:rPr>
            </w:pPr>
          </w:p>
          <w:p w14:paraId="41F4FF4F" w14:textId="77777777" w:rsidR="00DB1AEE" w:rsidRPr="00DB1AEE" w:rsidRDefault="00DB1AEE" w:rsidP="00DB1AEE">
            <w:pPr>
              <w:widowControl w:val="0"/>
              <w:autoSpaceDE w:val="0"/>
              <w:autoSpaceDN w:val="0"/>
              <w:ind w:left="1018" w:right="143" w:hanging="853"/>
              <w:jc w:val="center"/>
              <w:rPr>
                <w:szCs w:val="24"/>
                <w:u w:val="single"/>
              </w:rPr>
            </w:pPr>
            <w:r w:rsidRPr="00DB1AEE">
              <w:rPr>
                <w:szCs w:val="24"/>
                <w:u w:val="single"/>
              </w:rPr>
              <w:t>ASTM Standard F2144-</w:t>
            </w:r>
            <w:r w:rsidRPr="00DB1AEE">
              <w:rPr>
                <w:spacing w:val="-45"/>
                <w:szCs w:val="24"/>
                <w:u w:val="single"/>
              </w:rPr>
              <w:t xml:space="preserve"> </w:t>
            </w:r>
            <w:r w:rsidRPr="00DB1AEE">
              <w:rPr>
                <w:szCs w:val="24"/>
                <w:u w:val="single"/>
              </w:rPr>
              <w:t>17</w:t>
            </w:r>
          </w:p>
        </w:tc>
      </w:tr>
      <w:tr w:rsidR="00DB1AEE" w:rsidRPr="00DB1AEE" w14:paraId="5323DB4D" w14:textId="77777777" w:rsidTr="00FC1832">
        <w:trPr>
          <w:trHeight w:val="413"/>
        </w:trPr>
        <w:tc>
          <w:tcPr>
            <w:tcW w:w="2280" w:type="dxa"/>
          </w:tcPr>
          <w:p w14:paraId="086E2015" w14:textId="77777777" w:rsidR="00DB1AEE" w:rsidRPr="00DB1AEE" w:rsidRDefault="00DB1AEE" w:rsidP="00DB1AEE">
            <w:pPr>
              <w:widowControl w:val="0"/>
              <w:autoSpaceDE w:val="0"/>
              <w:autoSpaceDN w:val="0"/>
              <w:ind w:left="410" w:right="212" w:hanging="178"/>
              <w:jc w:val="center"/>
              <w:rPr>
                <w:szCs w:val="24"/>
                <w:u w:val="single"/>
              </w:rPr>
            </w:pPr>
            <w:r w:rsidRPr="00DB1AEE">
              <w:rPr>
                <w:szCs w:val="24"/>
                <w:u w:val="single"/>
              </w:rPr>
              <w:t>Large</w:t>
            </w:r>
            <w:r w:rsidRPr="00DB1AEE">
              <w:rPr>
                <w:spacing w:val="1"/>
                <w:szCs w:val="24"/>
                <w:u w:val="single"/>
              </w:rPr>
              <w:t xml:space="preserve"> </w:t>
            </w:r>
            <w:r w:rsidRPr="00DB1AEE">
              <w:rPr>
                <w:szCs w:val="24"/>
                <w:u w:val="single"/>
              </w:rPr>
              <w:t>Vat</w:t>
            </w:r>
            <w:r w:rsidRPr="00DB1AEE">
              <w:rPr>
                <w:spacing w:val="1"/>
                <w:szCs w:val="24"/>
                <w:u w:val="single"/>
              </w:rPr>
              <w:t xml:space="preserve"> </w:t>
            </w:r>
            <w:r w:rsidRPr="00DB1AEE">
              <w:rPr>
                <w:szCs w:val="24"/>
                <w:u w:val="single"/>
              </w:rPr>
              <w:t>Open</w:t>
            </w:r>
            <w:r w:rsidRPr="00DB1AEE">
              <w:rPr>
                <w:spacing w:val="-1"/>
                <w:szCs w:val="24"/>
                <w:u w:val="single"/>
              </w:rPr>
              <w:t xml:space="preserve"> </w:t>
            </w:r>
            <w:r w:rsidRPr="00DB1AEE">
              <w:rPr>
                <w:szCs w:val="24"/>
                <w:u w:val="single"/>
              </w:rPr>
              <w:t>Deep-</w:t>
            </w:r>
            <w:r w:rsidRPr="00DB1AEE">
              <w:rPr>
                <w:spacing w:val="-44"/>
                <w:szCs w:val="24"/>
                <w:u w:val="single"/>
              </w:rPr>
              <w:t xml:space="preserve"> </w:t>
            </w:r>
            <w:r w:rsidRPr="00DB1AEE">
              <w:rPr>
                <w:szCs w:val="24"/>
                <w:u w:val="single"/>
              </w:rPr>
              <w:t>Fat</w:t>
            </w:r>
            <w:r w:rsidRPr="00DB1AEE">
              <w:rPr>
                <w:spacing w:val="1"/>
                <w:szCs w:val="24"/>
                <w:u w:val="single"/>
              </w:rPr>
              <w:t xml:space="preserve"> </w:t>
            </w:r>
            <w:r w:rsidRPr="00DB1AEE">
              <w:rPr>
                <w:szCs w:val="24"/>
                <w:u w:val="single"/>
              </w:rPr>
              <w:t>Electric</w:t>
            </w:r>
            <w:r w:rsidRPr="00DB1AEE">
              <w:rPr>
                <w:spacing w:val="1"/>
                <w:szCs w:val="24"/>
                <w:u w:val="single"/>
              </w:rPr>
              <w:t xml:space="preserve"> </w:t>
            </w:r>
            <w:r w:rsidRPr="00DB1AEE">
              <w:rPr>
                <w:szCs w:val="24"/>
                <w:u w:val="single"/>
              </w:rPr>
              <w:t>Fryers</w:t>
            </w:r>
          </w:p>
        </w:tc>
        <w:tc>
          <w:tcPr>
            <w:tcW w:w="2669" w:type="dxa"/>
          </w:tcPr>
          <w:p w14:paraId="03D188B2" w14:textId="77777777" w:rsidR="00DB1AEE" w:rsidRPr="00DB1AEE" w:rsidRDefault="00DB1AEE" w:rsidP="00DB1AEE">
            <w:pPr>
              <w:widowControl w:val="0"/>
              <w:autoSpaceDE w:val="0"/>
              <w:autoSpaceDN w:val="0"/>
              <w:ind w:left="266" w:right="254"/>
              <w:jc w:val="center"/>
              <w:rPr>
                <w:szCs w:val="24"/>
                <w:u w:val="single"/>
              </w:rPr>
            </w:pPr>
            <w:r w:rsidRPr="00DB1AEE">
              <w:rPr>
                <w:szCs w:val="24"/>
                <w:u w:val="single"/>
              </w:rPr>
              <w:t>≥</w:t>
            </w:r>
            <w:r w:rsidRPr="00DB1AEE">
              <w:rPr>
                <w:spacing w:val="-1"/>
                <w:szCs w:val="24"/>
                <w:u w:val="single"/>
              </w:rPr>
              <w:t xml:space="preserve"> </w:t>
            </w:r>
            <w:r w:rsidRPr="00DB1AEE">
              <w:rPr>
                <w:szCs w:val="24"/>
                <w:u w:val="single"/>
              </w:rPr>
              <w:t>80%</w:t>
            </w:r>
          </w:p>
        </w:tc>
        <w:tc>
          <w:tcPr>
            <w:tcW w:w="2393" w:type="dxa"/>
          </w:tcPr>
          <w:p w14:paraId="1875B795" w14:textId="77777777" w:rsidR="00DB1AEE" w:rsidRPr="00DB1AEE" w:rsidRDefault="00DB1AEE" w:rsidP="00DB1AEE">
            <w:pPr>
              <w:widowControl w:val="0"/>
              <w:autoSpaceDE w:val="0"/>
              <w:autoSpaceDN w:val="0"/>
              <w:ind w:left="295" w:right="287"/>
              <w:jc w:val="center"/>
              <w:rPr>
                <w:szCs w:val="24"/>
                <w:u w:val="single"/>
              </w:rPr>
            </w:pPr>
            <w:r w:rsidRPr="00DB1AEE">
              <w:rPr>
                <w:szCs w:val="24"/>
                <w:u w:val="single"/>
              </w:rPr>
              <w:t>≤</w:t>
            </w:r>
            <w:r w:rsidRPr="00DB1AEE">
              <w:rPr>
                <w:spacing w:val="-1"/>
                <w:szCs w:val="24"/>
                <w:u w:val="single"/>
              </w:rPr>
              <w:t xml:space="preserve"> </w:t>
            </w:r>
            <w:r w:rsidRPr="00DB1AEE">
              <w:rPr>
                <w:szCs w:val="24"/>
                <w:u w:val="single"/>
              </w:rPr>
              <w:t>1,100</w:t>
            </w:r>
            <w:r w:rsidRPr="00DB1AEE">
              <w:rPr>
                <w:spacing w:val="-1"/>
                <w:szCs w:val="24"/>
                <w:u w:val="single"/>
              </w:rPr>
              <w:t xml:space="preserve"> </w:t>
            </w:r>
            <w:r w:rsidRPr="00DB1AEE">
              <w:rPr>
                <w:szCs w:val="24"/>
                <w:u w:val="single"/>
              </w:rPr>
              <w:t>watts</w:t>
            </w:r>
          </w:p>
        </w:tc>
        <w:tc>
          <w:tcPr>
            <w:tcW w:w="2235" w:type="dxa"/>
            <w:vMerge/>
            <w:tcBorders>
              <w:top w:val="nil"/>
            </w:tcBorders>
          </w:tcPr>
          <w:p w14:paraId="77109B54" w14:textId="77777777" w:rsidR="00DB1AEE" w:rsidRPr="00DB1AEE" w:rsidRDefault="00DB1AEE" w:rsidP="00DB1AEE">
            <w:pPr>
              <w:suppressAutoHyphens/>
              <w:jc w:val="left"/>
              <w:rPr>
                <w:szCs w:val="24"/>
                <w:u w:val="single"/>
              </w:rPr>
            </w:pPr>
          </w:p>
        </w:tc>
      </w:tr>
      <w:bookmarkEnd w:id="329"/>
    </w:tbl>
    <w:p w14:paraId="21A1077E" w14:textId="77777777" w:rsidR="00DB1AEE" w:rsidRPr="00DB1AEE" w:rsidRDefault="00DB1AEE" w:rsidP="00DB1AEE">
      <w:pPr>
        <w:spacing w:after="160" w:line="259" w:lineRule="auto"/>
        <w:jc w:val="left"/>
        <w:rPr>
          <w:rFonts w:eastAsia="Aptos"/>
          <w:szCs w:val="24"/>
          <w:u w:val="single"/>
        </w:rPr>
      </w:pPr>
    </w:p>
    <w:p w14:paraId="39A9438B" w14:textId="77777777" w:rsidR="00DB1AEE" w:rsidRPr="00DB1AEE" w:rsidRDefault="00DB1AEE" w:rsidP="00DB1AEE">
      <w:pPr>
        <w:suppressAutoHyphens/>
        <w:jc w:val="center"/>
        <w:rPr>
          <w:b/>
          <w:bCs/>
          <w:szCs w:val="24"/>
          <w:u w:val="single"/>
        </w:rPr>
      </w:pPr>
      <w:bookmarkStart w:id="330" w:name="_Hlk189733416"/>
      <w:r w:rsidRPr="00DB1AEE">
        <w:rPr>
          <w:b/>
          <w:bCs/>
          <w:szCs w:val="24"/>
          <w:u w:val="single"/>
        </w:rPr>
        <w:t>TABLE C405.12(2)</w:t>
      </w:r>
    </w:p>
    <w:p w14:paraId="2D90EC03" w14:textId="77777777" w:rsidR="00DB1AEE" w:rsidRPr="00DB1AEE" w:rsidRDefault="00DB1AEE" w:rsidP="00DB1AEE">
      <w:pPr>
        <w:suppressAutoHyphens/>
        <w:jc w:val="center"/>
        <w:rPr>
          <w:b/>
          <w:bCs/>
          <w:szCs w:val="24"/>
          <w:u w:val="single"/>
        </w:rPr>
      </w:pPr>
      <w:r w:rsidRPr="00DB1AEE">
        <w:rPr>
          <w:b/>
          <w:bCs/>
          <w:szCs w:val="24"/>
          <w:u w:val="single"/>
        </w:rPr>
        <w:t>MINIMUM EFFICIENCY REQUIREMENTS: COMMERCIAL HOT FOOD HOLDING CABINETS</w:t>
      </w:r>
    </w:p>
    <w:p w14:paraId="2BBAF1A1" w14:textId="77777777" w:rsidR="00DB1AEE" w:rsidRPr="00DB1AEE" w:rsidRDefault="00DB1AEE" w:rsidP="00DB1AEE">
      <w:pPr>
        <w:suppressAutoHyphens/>
        <w:jc w:val="center"/>
        <w:rPr>
          <w:b/>
          <w:bCs/>
          <w:szCs w:val="24"/>
          <w:u w:val="single"/>
        </w:rPr>
      </w:pPr>
      <w:r w:rsidRPr="00DB1AEE">
        <w:rPr>
          <w:b/>
          <w:bCs/>
          <w:szCs w:val="24"/>
          <w:u w:val="single"/>
        </w:rPr>
        <w:t>(This table is intended to be a restatement of the legally binding provisions found in Title 10 CFR Part 431 included here as a convenience to the users of this code)</w:t>
      </w:r>
    </w:p>
    <w:tbl>
      <w:tblPr>
        <w:tblW w:w="957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97"/>
        <w:gridCol w:w="3418"/>
        <w:gridCol w:w="2962"/>
      </w:tblGrid>
      <w:tr w:rsidR="00DB1AEE" w:rsidRPr="00DB1AEE" w14:paraId="2DC8D787" w14:textId="77777777" w:rsidTr="00FC1832">
        <w:trPr>
          <w:trHeight w:val="412"/>
        </w:trPr>
        <w:tc>
          <w:tcPr>
            <w:tcW w:w="3197" w:type="dxa"/>
          </w:tcPr>
          <w:p w14:paraId="3DD46C5B" w14:textId="77777777" w:rsidR="00DB1AEE" w:rsidRPr="00DB1AEE" w:rsidRDefault="00DB1AEE" w:rsidP="00DB1AEE">
            <w:pPr>
              <w:widowControl w:val="0"/>
              <w:autoSpaceDE w:val="0"/>
              <w:autoSpaceDN w:val="0"/>
              <w:jc w:val="center"/>
              <w:rPr>
                <w:b/>
                <w:szCs w:val="24"/>
                <w:u w:val="single"/>
              </w:rPr>
            </w:pPr>
            <w:r w:rsidRPr="00DB1AEE">
              <w:rPr>
                <w:b/>
                <w:szCs w:val="24"/>
                <w:u w:val="single"/>
              </w:rPr>
              <w:t>PRODUCT</w:t>
            </w:r>
            <w:r w:rsidRPr="00DB1AEE">
              <w:rPr>
                <w:b/>
                <w:spacing w:val="-1"/>
                <w:szCs w:val="24"/>
                <w:u w:val="single"/>
              </w:rPr>
              <w:t xml:space="preserve"> </w:t>
            </w:r>
            <w:r w:rsidRPr="00DB1AEE">
              <w:rPr>
                <w:b/>
                <w:szCs w:val="24"/>
                <w:u w:val="single"/>
              </w:rPr>
              <w:t>INTERIOR</w:t>
            </w:r>
            <w:r w:rsidRPr="00DB1AEE">
              <w:rPr>
                <w:b/>
                <w:spacing w:val="-1"/>
                <w:szCs w:val="24"/>
                <w:u w:val="single"/>
              </w:rPr>
              <w:t xml:space="preserve"> </w:t>
            </w:r>
            <w:r w:rsidRPr="00DB1AEE">
              <w:rPr>
                <w:b/>
                <w:szCs w:val="24"/>
                <w:u w:val="single"/>
              </w:rPr>
              <w:t>VOLUME</w:t>
            </w:r>
          </w:p>
          <w:p w14:paraId="194DA1BF" w14:textId="77777777" w:rsidR="00DB1AEE" w:rsidRPr="00DB1AEE" w:rsidRDefault="00DB1AEE" w:rsidP="00DB1AEE">
            <w:pPr>
              <w:widowControl w:val="0"/>
              <w:autoSpaceDE w:val="0"/>
              <w:autoSpaceDN w:val="0"/>
              <w:jc w:val="center"/>
              <w:rPr>
                <w:b/>
                <w:szCs w:val="24"/>
                <w:u w:val="single"/>
              </w:rPr>
            </w:pPr>
            <w:r w:rsidRPr="00DB1AEE">
              <w:rPr>
                <w:b/>
                <w:szCs w:val="24"/>
                <w:u w:val="single"/>
              </w:rPr>
              <w:t>(CUBIC</w:t>
            </w:r>
            <w:r w:rsidRPr="00DB1AEE">
              <w:rPr>
                <w:b/>
                <w:spacing w:val="-1"/>
                <w:szCs w:val="24"/>
                <w:u w:val="single"/>
              </w:rPr>
              <w:t xml:space="preserve"> </w:t>
            </w:r>
            <w:r w:rsidRPr="00DB1AEE">
              <w:rPr>
                <w:b/>
                <w:szCs w:val="24"/>
                <w:u w:val="single"/>
              </w:rPr>
              <w:t>FEET)</w:t>
            </w:r>
          </w:p>
        </w:tc>
        <w:tc>
          <w:tcPr>
            <w:tcW w:w="3418" w:type="dxa"/>
          </w:tcPr>
          <w:p w14:paraId="5242E930" w14:textId="77777777" w:rsidR="00DB1AEE" w:rsidRPr="00DB1AEE" w:rsidRDefault="00DB1AEE" w:rsidP="00DB1AEE">
            <w:pPr>
              <w:widowControl w:val="0"/>
              <w:autoSpaceDE w:val="0"/>
              <w:autoSpaceDN w:val="0"/>
              <w:jc w:val="center"/>
              <w:rPr>
                <w:b/>
                <w:szCs w:val="24"/>
                <w:u w:val="single"/>
              </w:rPr>
            </w:pPr>
            <w:r w:rsidRPr="00DB1AEE">
              <w:rPr>
                <w:b/>
                <w:szCs w:val="24"/>
                <w:u w:val="single"/>
              </w:rPr>
              <w:t>MAXIMUM</w:t>
            </w:r>
            <w:r w:rsidRPr="00DB1AEE">
              <w:rPr>
                <w:b/>
                <w:spacing w:val="-1"/>
                <w:szCs w:val="24"/>
                <w:u w:val="single"/>
              </w:rPr>
              <w:t xml:space="preserve"> </w:t>
            </w:r>
            <w:r w:rsidRPr="00DB1AEE">
              <w:rPr>
                <w:b/>
                <w:szCs w:val="24"/>
                <w:u w:val="single"/>
              </w:rPr>
              <w:t>IDLE</w:t>
            </w:r>
            <w:r w:rsidRPr="00DB1AEE">
              <w:rPr>
                <w:b/>
                <w:spacing w:val="-1"/>
                <w:szCs w:val="24"/>
                <w:u w:val="single"/>
              </w:rPr>
              <w:t xml:space="preserve"> </w:t>
            </w:r>
            <w:r w:rsidRPr="00DB1AEE">
              <w:rPr>
                <w:b/>
                <w:szCs w:val="24"/>
                <w:u w:val="single"/>
              </w:rPr>
              <w:t>ENERGY</w:t>
            </w:r>
          </w:p>
          <w:p w14:paraId="6BF8B73E" w14:textId="77777777" w:rsidR="00DB1AEE" w:rsidRPr="00DB1AEE" w:rsidRDefault="00DB1AEE" w:rsidP="00DB1AEE">
            <w:pPr>
              <w:widowControl w:val="0"/>
              <w:autoSpaceDE w:val="0"/>
              <w:autoSpaceDN w:val="0"/>
              <w:jc w:val="center"/>
              <w:rPr>
                <w:b/>
                <w:szCs w:val="24"/>
                <w:u w:val="single"/>
              </w:rPr>
            </w:pPr>
            <w:r w:rsidRPr="00DB1AEE">
              <w:rPr>
                <w:b/>
                <w:szCs w:val="24"/>
                <w:u w:val="single"/>
              </w:rPr>
              <w:t>CONSUMPTION</w:t>
            </w:r>
            <w:r w:rsidRPr="00DB1AEE">
              <w:rPr>
                <w:b/>
                <w:spacing w:val="-2"/>
                <w:szCs w:val="24"/>
                <w:u w:val="single"/>
              </w:rPr>
              <w:t xml:space="preserve"> </w:t>
            </w:r>
            <w:r w:rsidRPr="00DB1AEE">
              <w:rPr>
                <w:b/>
                <w:szCs w:val="24"/>
                <w:u w:val="single"/>
              </w:rPr>
              <w:t>RATE</w:t>
            </w:r>
            <w:r w:rsidRPr="00DB1AEE">
              <w:rPr>
                <w:b/>
                <w:spacing w:val="-2"/>
                <w:szCs w:val="24"/>
                <w:u w:val="single"/>
              </w:rPr>
              <w:t xml:space="preserve"> </w:t>
            </w:r>
            <w:r w:rsidRPr="00DB1AEE">
              <w:rPr>
                <w:b/>
                <w:szCs w:val="24"/>
                <w:u w:val="single"/>
              </w:rPr>
              <w:t>(WATTS)</w:t>
            </w:r>
          </w:p>
        </w:tc>
        <w:tc>
          <w:tcPr>
            <w:tcW w:w="2962" w:type="dxa"/>
          </w:tcPr>
          <w:p w14:paraId="3F9AB970" w14:textId="77777777" w:rsidR="00DB1AEE" w:rsidRPr="00DB1AEE" w:rsidRDefault="00DB1AEE" w:rsidP="00DB1AEE">
            <w:pPr>
              <w:widowControl w:val="0"/>
              <w:autoSpaceDE w:val="0"/>
              <w:autoSpaceDN w:val="0"/>
              <w:jc w:val="center"/>
              <w:rPr>
                <w:b/>
                <w:szCs w:val="24"/>
                <w:u w:val="single"/>
              </w:rPr>
            </w:pPr>
            <w:r w:rsidRPr="00DB1AEE">
              <w:rPr>
                <w:b/>
                <w:szCs w:val="24"/>
                <w:u w:val="single"/>
              </w:rPr>
              <w:t>TEST</w:t>
            </w:r>
            <w:r w:rsidRPr="00DB1AEE">
              <w:rPr>
                <w:b/>
                <w:spacing w:val="-2"/>
                <w:szCs w:val="24"/>
                <w:u w:val="single"/>
              </w:rPr>
              <w:t xml:space="preserve"> </w:t>
            </w:r>
            <w:r w:rsidRPr="00DB1AEE">
              <w:rPr>
                <w:b/>
                <w:szCs w:val="24"/>
                <w:u w:val="single"/>
              </w:rPr>
              <w:t>PROCEDURE</w:t>
            </w:r>
          </w:p>
        </w:tc>
      </w:tr>
      <w:tr w:rsidR="00DB1AEE" w:rsidRPr="00DB1AEE" w14:paraId="0354AF60" w14:textId="77777777" w:rsidTr="00FC1832">
        <w:trPr>
          <w:trHeight w:val="208"/>
        </w:trPr>
        <w:tc>
          <w:tcPr>
            <w:tcW w:w="3197" w:type="dxa"/>
          </w:tcPr>
          <w:p w14:paraId="0D0127B8" w14:textId="77777777" w:rsidR="00DB1AEE" w:rsidRPr="00DB1AEE" w:rsidRDefault="00DB1AEE" w:rsidP="00DB1AEE">
            <w:pPr>
              <w:widowControl w:val="0"/>
              <w:autoSpaceDE w:val="0"/>
              <w:autoSpaceDN w:val="0"/>
              <w:jc w:val="center"/>
              <w:rPr>
                <w:szCs w:val="24"/>
                <w:u w:val="single"/>
              </w:rPr>
            </w:pPr>
            <w:r w:rsidRPr="00DB1AEE">
              <w:rPr>
                <w:szCs w:val="24"/>
                <w:u w:val="single"/>
              </w:rPr>
              <w:t>0</w:t>
            </w:r>
            <w:r w:rsidRPr="00DB1AEE">
              <w:rPr>
                <w:spacing w:val="1"/>
                <w:szCs w:val="24"/>
                <w:u w:val="single"/>
              </w:rPr>
              <w:t xml:space="preserve"> </w:t>
            </w:r>
            <w:r w:rsidRPr="00DB1AEE">
              <w:rPr>
                <w:szCs w:val="24"/>
                <w:u w:val="single"/>
              </w:rPr>
              <w:t>&lt;</w:t>
            </w:r>
            <w:r w:rsidRPr="00DB1AEE">
              <w:rPr>
                <w:spacing w:val="2"/>
                <w:szCs w:val="24"/>
                <w:u w:val="single"/>
              </w:rPr>
              <w:t xml:space="preserve"> </w:t>
            </w:r>
            <w:r w:rsidRPr="00DB1AEE">
              <w:rPr>
                <w:szCs w:val="24"/>
                <w:u w:val="single"/>
              </w:rPr>
              <w:t>V</w:t>
            </w:r>
            <w:r w:rsidRPr="00DB1AEE">
              <w:rPr>
                <w:spacing w:val="2"/>
                <w:szCs w:val="24"/>
                <w:u w:val="single"/>
              </w:rPr>
              <w:t xml:space="preserve"> </w:t>
            </w:r>
            <w:r w:rsidRPr="00DB1AEE">
              <w:rPr>
                <w:szCs w:val="24"/>
                <w:u w:val="single"/>
              </w:rPr>
              <w:t>&lt; 13</w:t>
            </w:r>
          </w:p>
        </w:tc>
        <w:tc>
          <w:tcPr>
            <w:tcW w:w="3418" w:type="dxa"/>
          </w:tcPr>
          <w:p w14:paraId="005D70E0" w14:textId="77777777" w:rsidR="00DB1AEE" w:rsidRPr="00DB1AEE" w:rsidRDefault="00DB1AEE" w:rsidP="00DB1AEE">
            <w:pPr>
              <w:widowControl w:val="0"/>
              <w:autoSpaceDE w:val="0"/>
              <w:autoSpaceDN w:val="0"/>
              <w:jc w:val="center"/>
              <w:rPr>
                <w:szCs w:val="24"/>
                <w:u w:val="single"/>
              </w:rPr>
            </w:pPr>
            <w:r w:rsidRPr="00DB1AEE">
              <w:rPr>
                <w:szCs w:val="24"/>
                <w:u w:val="single"/>
              </w:rPr>
              <w:t>≤ 21.5</w:t>
            </w:r>
            <w:r w:rsidRPr="00DB1AEE">
              <w:rPr>
                <w:spacing w:val="1"/>
                <w:szCs w:val="24"/>
                <w:u w:val="single"/>
              </w:rPr>
              <w:t xml:space="preserve"> </w:t>
            </w:r>
            <w:r w:rsidRPr="00DB1AEE">
              <w:rPr>
                <w:szCs w:val="24"/>
                <w:u w:val="single"/>
              </w:rPr>
              <w:t>V</w:t>
            </w:r>
          </w:p>
        </w:tc>
        <w:tc>
          <w:tcPr>
            <w:tcW w:w="2962" w:type="dxa"/>
            <w:vMerge w:val="restart"/>
          </w:tcPr>
          <w:p w14:paraId="1BBFE93D" w14:textId="77777777" w:rsidR="00DB1AEE" w:rsidRPr="00DB1AEE" w:rsidRDefault="00DB1AEE" w:rsidP="00DB1AEE">
            <w:pPr>
              <w:widowControl w:val="0"/>
              <w:autoSpaceDE w:val="0"/>
              <w:autoSpaceDN w:val="0"/>
              <w:jc w:val="center"/>
              <w:rPr>
                <w:b/>
                <w:szCs w:val="24"/>
                <w:u w:val="single"/>
              </w:rPr>
            </w:pPr>
          </w:p>
          <w:p w14:paraId="2C6394EA" w14:textId="77777777" w:rsidR="00DB1AEE" w:rsidRPr="00DB1AEE" w:rsidRDefault="00DB1AEE" w:rsidP="00DB1AEE">
            <w:pPr>
              <w:widowControl w:val="0"/>
              <w:autoSpaceDE w:val="0"/>
              <w:autoSpaceDN w:val="0"/>
              <w:jc w:val="center"/>
              <w:rPr>
                <w:szCs w:val="24"/>
                <w:u w:val="single"/>
              </w:rPr>
            </w:pPr>
            <w:r w:rsidRPr="00DB1AEE">
              <w:rPr>
                <w:szCs w:val="24"/>
                <w:u w:val="single"/>
              </w:rPr>
              <w:t>ASTM</w:t>
            </w:r>
            <w:r w:rsidRPr="00DB1AEE">
              <w:rPr>
                <w:spacing w:val="-2"/>
                <w:szCs w:val="24"/>
                <w:u w:val="single"/>
              </w:rPr>
              <w:t xml:space="preserve"> </w:t>
            </w:r>
            <w:r w:rsidRPr="00DB1AEE">
              <w:rPr>
                <w:szCs w:val="24"/>
                <w:u w:val="single"/>
              </w:rPr>
              <w:t>Standard</w:t>
            </w:r>
            <w:r w:rsidRPr="00DB1AEE">
              <w:rPr>
                <w:spacing w:val="2"/>
                <w:szCs w:val="24"/>
                <w:u w:val="single"/>
              </w:rPr>
              <w:t xml:space="preserve"> </w:t>
            </w:r>
            <w:r w:rsidRPr="00DB1AEE">
              <w:rPr>
                <w:szCs w:val="24"/>
                <w:u w:val="single"/>
              </w:rPr>
              <w:t>F2140-11</w:t>
            </w:r>
          </w:p>
        </w:tc>
      </w:tr>
      <w:tr w:rsidR="00DB1AEE" w:rsidRPr="00DB1AEE" w14:paraId="3C48B8BD" w14:textId="77777777" w:rsidTr="00FC1832">
        <w:trPr>
          <w:trHeight w:val="205"/>
        </w:trPr>
        <w:tc>
          <w:tcPr>
            <w:tcW w:w="3197" w:type="dxa"/>
          </w:tcPr>
          <w:p w14:paraId="62D8AB99" w14:textId="77777777" w:rsidR="00DB1AEE" w:rsidRPr="00DB1AEE" w:rsidRDefault="00DB1AEE" w:rsidP="00DB1AEE">
            <w:pPr>
              <w:widowControl w:val="0"/>
              <w:autoSpaceDE w:val="0"/>
              <w:autoSpaceDN w:val="0"/>
              <w:jc w:val="center"/>
              <w:rPr>
                <w:szCs w:val="24"/>
                <w:u w:val="single"/>
              </w:rPr>
            </w:pPr>
            <w:r w:rsidRPr="00DB1AEE">
              <w:rPr>
                <w:szCs w:val="24"/>
                <w:u w:val="single"/>
              </w:rPr>
              <w:t>13</w:t>
            </w:r>
            <w:r w:rsidRPr="00DB1AEE">
              <w:rPr>
                <w:spacing w:val="1"/>
                <w:szCs w:val="24"/>
                <w:u w:val="single"/>
              </w:rPr>
              <w:t xml:space="preserve"> </w:t>
            </w:r>
            <w:r w:rsidRPr="00DB1AEE">
              <w:rPr>
                <w:szCs w:val="24"/>
                <w:u w:val="single"/>
              </w:rPr>
              <w:t>≤</w:t>
            </w:r>
            <w:r w:rsidRPr="00DB1AEE">
              <w:rPr>
                <w:spacing w:val="1"/>
                <w:szCs w:val="24"/>
                <w:u w:val="single"/>
              </w:rPr>
              <w:t xml:space="preserve"> </w:t>
            </w:r>
            <w:r w:rsidRPr="00DB1AEE">
              <w:rPr>
                <w:szCs w:val="24"/>
                <w:u w:val="single"/>
              </w:rPr>
              <w:t>V</w:t>
            </w:r>
            <w:r w:rsidRPr="00DB1AEE">
              <w:rPr>
                <w:spacing w:val="1"/>
                <w:szCs w:val="24"/>
                <w:u w:val="single"/>
              </w:rPr>
              <w:t xml:space="preserve"> </w:t>
            </w:r>
            <w:r w:rsidRPr="00DB1AEE">
              <w:rPr>
                <w:szCs w:val="24"/>
                <w:u w:val="single"/>
              </w:rPr>
              <w:t>&lt;</w:t>
            </w:r>
            <w:r w:rsidRPr="00DB1AEE">
              <w:rPr>
                <w:spacing w:val="-1"/>
                <w:szCs w:val="24"/>
                <w:u w:val="single"/>
              </w:rPr>
              <w:t xml:space="preserve"> </w:t>
            </w:r>
            <w:r w:rsidRPr="00DB1AEE">
              <w:rPr>
                <w:szCs w:val="24"/>
                <w:u w:val="single"/>
              </w:rPr>
              <w:t>28</w:t>
            </w:r>
          </w:p>
        </w:tc>
        <w:tc>
          <w:tcPr>
            <w:tcW w:w="3418" w:type="dxa"/>
          </w:tcPr>
          <w:p w14:paraId="2D3BEF7E" w14:textId="77777777" w:rsidR="00DB1AEE" w:rsidRPr="00DB1AEE" w:rsidRDefault="00DB1AEE" w:rsidP="00DB1AEE">
            <w:pPr>
              <w:widowControl w:val="0"/>
              <w:autoSpaceDE w:val="0"/>
              <w:autoSpaceDN w:val="0"/>
              <w:jc w:val="center"/>
              <w:rPr>
                <w:szCs w:val="24"/>
                <w:u w:val="single"/>
              </w:rPr>
            </w:pPr>
            <w:r w:rsidRPr="00DB1AEE">
              <w:rPr>
                <w:szCs w:val="24"/>
                <w:u w:val="single"/>
              </w:rPr>
              <w:t>≤ 2.0</w:t>
            </w:r>
            <w:r w:rsidRPr="00DB1AEE">
              <w:rPr>
                <w:spacing w:val="1"/>
                <w:szCs w:val="24"/>
                <w:u w:val="single"/>
              </w:rPr>
              <w:t xml:space="preserve"> </w:t>
            </w:r>
            <w:r w:rsidRPr="00DB1AEE">
              <w:rPr>
                <w:szCs w:val="24"/>
                <w:u w:val="single"/>
              </w:rPr>
              <w:t>V</w:t>
            </w:r>
            <w:r w:rsidRPr="00DB1AEE">
              <w:rPr>
                <w:spacing w:val="1"/>
                <w:szCs w:val="24"/>
                <w:u w:val="single"/>
              </w:rPr>
              <w:t xml:space="preserve"> </w:t>
            </w:r>
            <w:r w:rsidRPr="00DB1AEE">
              <w:rPr>
                <w:szCs w:val="24"/>
                <w:u w:val="single"/>
              </w:rPr>
              <w:t>+</w:t>
            </w:r>
            <w:r w:rsidRPr="00DB1AEE">
              <w:rPr>
                <w:spacing w:val="-2"/>
                <w:szCs w:val="24"/>
                <w:u w:val="single"/>
              </w:rPr>
              <w:t xml:space="preserve"> </w:t>
            </w:r>
            <w:r w:rsidRPr="00DB1AEE">
              <w:rPr>
                <w:szCs w:val="24"/>
                <w:u w:val="single"/>
              </w:rPr>
              <w:t>254.0</w:t>
            </w:r>
          </w:p>
        </w:tc>
        <w:tc>
          <w:tcPr>
            <w:tcW w:w="2962" w:type="dxa"/>
            <w:vMerge/>
            <w:tcBorders>
              <w:top w:val="nil"/>
            </w:tcBorders>
          </w:tcPr>
          <w:p w14:paraId="6F5F7642" w14:textId="77777777" w:rsidR="00DB1AEE" w:rsidRPr="00DB1AEE" w:rsidRDefault="00DB1AEE" w:rsidP="00DB1AEE">
            <w:pPr>
              <w:suppressAutoHyphens/>
              <w:jc w:val="left"/>
              <w:rPr>
                <w:szCs w:val="24"/>
                <w:u w:val="single"/>
              </w:rPr>
            </w:pPr>
          </w:p>
        </w:tc>
      </w:tr>
      <w:tr w:rsidR="00DB1AEE" w:rsidRPr="00DB1AEE" w14:paraId="0ABDA7F7" w14:textId="77777777" w:rsidTr="00FC1832">
        <w:trPr>
          <w:trHeight w:val="208"/>
        </w:trPr>
        <w:tc>
          <w:tcPr>
            <w:tcW w:w="3197" w:type="dxa"/>
          </w:tcPr>
          <w:p w14:paraId="4CE400C1" w14:textId="77777777" w:rsidR="00DB1AEE" w:rsidRPr="00DB1AEE" w:rsidRDefault="00DB1AEE" w:rsidP="00DB1AEE">
            <w:pPr>
              <w:widowControl w:val="0"/>
              <w:autoSpaceDE w:val="0"/>
              <w:autoSpaceDN w:val="0"/>
              <w:jc w:val="center"/>
              <w:rPr>
                <w:szCs w:val="24"/>
                <w:u w:val="single"/>
              </w:rPr>
            </w:pPr>
            <w:r w:rsidRPr="00DB1AEE">
              <w:rPr>
                <w:szCs w:val="24"/>
                <w:u w:val="single"/>
              </w:rPr>
              <w:t>28 ≤</w:t>
            </w:r>
            <w:r w:rsidRPr="00DB1AEE">
              <w:rPr>
                <w:spacing w:val="1"/>
                <w:szCs w:val="24"/>
                <w:u w:val="single"/>
              </w:rPr>
              <w:t xml:space="preserve"> </w:t>
            </w:r>
            <w:r w:rsidRPr="00DB1AEE">
              <w:rPr>
                <w:szCs w:val="24"/>
                <w:u w:val="single"/>
              </w:rPr>
              <w:t>V</w:t>
            </w:r>
          </w:p>
        </w:tc>
        <w:tc>
          <w:tcPr>
            <w:tcW w:w="3418" w:type="dxa"/>
          </w:tcPr>
          <w:p w14:paraId="61FDBAA3" w14:textId="77777777" w:rsidR="00DB1AEE" w:rsidRPr="00DB1AEE" w:rsidRDefault="00DB1AEE" w:rsidP="00DB1AEE">
            <w:pPr>
              <w:widowControl w:val="0"/>
              <w:autoSpaceDE w:val="0"/>
              <w:autoSpaceDN w:val="0"/>
              <w:jc w:val="center"/>
              <w:rPr>
                <w:szCs w:val="24"/>
                <w:u w:val="single"/>
              </w:rPr>
            </w:pPr>
            <w:r w:rsidRPr="00DB1AEE">
              <w:rPr>
                <w:szCs w:val="24"/>
                <w:u w:val="single"/>
              </w:rPr>
              <w:t>≤ 3.8</w:t>
            </w:r>
            <w:r w:rsidRPr="00DB1AEE">
              <w:rPr>
                <w:spacing w:val="1"/>
                <w:szCs w:val="24"/>
                <w:u w:val="single"/>
              </w:rPr>
              <w:t xml:space="preserve"> </w:t>
            </w:r>
            <w:r w:rsidRPr="00DB1AEE">
              <w:rPr>
                <w:szCs w:val="24"/>
                <w:u w:val="single"/>
              </w:rPr>
              <w:t>V</w:t>
            </w:r>
            <w:r w:rsidRPr="00DB1AEE">
              <w:rPr>
                <w:spacing w:val="1"/>
                <w:szCs w:val="24"/>
                <w:u w:val="single"/>
              </w:rPr>
              <w:t xml:space="preserve"> </w:t>
            </w:r>
            <w:r w:rsidRPr="00DB1AEE">
              <w:rPr>
                <w:szCs w:val="24"/>
                <w:u w:val="single"/>
              </w:rPr>
              <w:t>+</w:t>
            </w:r>
            <w:r w:rsidRPr="00DB1AEE">
              <w:rPr>
                <w:spacing w:val="-2"/>
                <w:szCs w:val="24"/>
                <w:u w:val="single"/>
              </w:rPr>
              <w:t xml:space="preserve"> </w:t>
            </w:r>
            <w:r w:rsidRPr="00DB1AEE">
              <w:rPr>
                <w:szCs w:val="24"/>
                <w:u w:val="single"/>
              </w:rPr>
              <w:t>203.5</w:t>
            </w:r>
          </w:p>
        </w:tc>
        <w:tc>
          <w:tcPr>
            <w:tcW w:w="2962" w:type="dxa"/>
            <w:vMerge/>
            <w:tcBorders>
              <w:top w:val="nil"/>
            </w:tcBorders>
          </w:tcPr>
          <w:p w14:paraId="5DEDE6D7" w14:textId="77777777" w:rsidR="00DB1AEE" w:rsidRPr="00DB1AEE" w:rsidRDefault="00DB1AEE" w:rsidP="00DB1AEE">
            <w:pPr>
              <w:suppressAutoHyphens/>
              <w:jc w:val="left"/>
              <w:rPr>
                <w:szCs w:val="24"/>
                <w:u w:val="single"/>
              </w:rPr>
            </w:pPr>
          </w:p>
        </w:tc>
      </w:tr>
      <w:bookmarkEnd w:id="330"/>
    </w:tbl>
    <w:p w14:paraId="28E16AC0" w14:textId="77777777" w:rsidR="00DB1AEE" w:rsidRPr="00DB1AEE" w:rsidRDefault="00DB1AEE" w:rsidP="00DB1AEE">
      <w:pPr>
        <w:spacing w:after="160" w:line="259" w:lineRule="auto"/>
        <w:ind w:left="1098"/>
        <w:jc w:val="center"/>
        <w:rPr>
          <w:rFonts w:eastAsia="Aptos"/>
          <w:szCs w:val="24"/>
          <w:u w:val="single"/>
        </w:rPr>
      </w:pPr>
    </w:p>
    <w:p w14:paraId="6AC90E2E" w14:textId="77777777" w:rsidR="00DB1AEE" w:rsidRPr="00DB1AEE" w:rsidRDefault="00DB1AEE" w:rsidP="00DB1AEE">
      <w:pPr>
        <w:suppressAutoHyphens/>
        <w:jc w:val="center"/>
        <w:rPr>
          <w:b/>
          <w:bCs/>
          <w:szCs w:val="24"/>
          <w:u w:val="single"/>
        </w:rPr>
      </w:pPr>
      <w:bookmarkStart w:id="331" w:name="_Hlk189733580"/>
      <w:r w:rsidRPr="00DB1AEE">
        <w:rPr>
          <w:b/>
          <w:bCs/>
          <w:szCs w:val="24"/>
          <w:u w:val="single"/>
        </w:rPr>
        <w:t>TABLE C405.12(3)</w:t>
      </w:r>
    </w:p>
    <w:p w14:paraId="3E31F106" w14:textId="77777777" w:rsidR="00DB1AEE" w:rsidRPr="00DB1AEE" w:rsidRDefault="00DB1AEE" w:rsidP="00DB1AEE">
      <w:pPr>
        <w:suppressAutoHyphens/>
        <w:jc w:val="center"/>
        <w:rPr>
          <w:b/>
          <w:bCs/>
          <w:szCs w:val="24"/>
          <w:u w:val="single"/>
        </w:rPr>
      </w:pPr>
      <w:r w:rsidRPr="00DB1AEE">
        <w:rPr>
          <w:b/>
          <w:bCs/>
          <w:szCs w:val="24"/>
          <w:u w:val="single"/>
        </w:rPr>
        <w:t>MINIMUM EFFICIENCY REQUIREMENTS: COMMERCIAL STEAM COOKERS</w:t>
      </w:r>
    </w:p>
    <w:p w14:paraId="1CF845D4" w14:textId="77777777" w:rsidR="00DB1AEE" w:rsidRPr="00DB1AEE" w:rsidRDefault="00DB1AEE" w:rsidP="00DB1AEE">
      <w:pPr>
        <w:suppressAutoHyphens/>
        <w:jc w:val="center"/>
        <w:rPr>
          <w:b/>
          <w:bCs/>
          <w:szCs w:val="24"/>
          <w:u w:val="single"/>
        </w:rPr>
      </w:pPr>
      <w:r w:rsidRPr="00DB1AEE">
        <w:rPr>
          <w:b/>
          <w:bCs/>
          <w:szCs w:val="24"/>
          <w:u w:val="single"/>
        </w:rPr>
        <w:t>(This table is intended to be a restatement of the legally binding provisions found in Title 10 CFR Part 431 included here as a convenience to the users of this code)</w:t>
      </w:r>
    </w:p>
    <w:tbl>
      <w:tblPr>
        <w:tblW w:w="957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70"/>
        <w:gridCol w:w="2707"/>
        <w:gridCol w:w="2029"/>
        <w:gridCol w:w="1897"/>
        <w:gridCol w:w="1776"/>
      </w:tblGrid>
      <w:tr w:rsidR="00DB1AEE" w:rsidRPr="00DB1AEE" w14:paraId="2E8242A0" w14:textId="77777777" w:rsidTr="00FC1832">
        <w:trPr>
          <w:trHeight w:val="415"/>
        </w:trPr>
        <w:tc>
          <w:tcPr>
            <w:tcW w:w="1170" w:type="dxa"/>
          </w:tcPr>
          <w:p w14:paraId="7B9B96E6" w14:textId="77777777" w:rsidR="00DB1AEE" w:rsidRPr="00DB1AEE" w:rsidRDefault="00DB1AEE" w:rsidP="00DB1AEE">
            <w:pPr>
              <w:widowControl w:val="0"/>
              <w:autoSpaceDE w:val="0"/>
              <w:autoSpaceDN w:val="0"/>
              <w:ind w:left="460"/>
              <w:jc w:val="center"/>
              <w:rPr>
                <w:b/>
                <w:szCs w:val="24"/>
                <w:u w:val="single"/>
              </w:rPr>
            </w:pPr>
            <w:r w:rsidRPr="00DB1AEE">
              <w:rPr>
                <w:b/>
                <w:szCs w:val="24"/>
                <w:u w:val="single"/>
              </w:rPr>
              <w:t>FUEL</w:t>
            </w:r>
            <w:r w:rsidRPr="00DB1AEE">
              <w:rPr>
                <w:b/>
                <w:spacing w:val="-1"/>
                <w:szCs w:val="24"/>
                <w:u w:val="single"/>
              </w:rPr>
              <w:t xml:space="preserve"> </w:t>
            </w:r>
            <w:r w:rsidRPr="00DB1AEE">
              <w:rPr>
                <w:b/>
                <w:szCs w:val="24"/>
                <w:u w:val="single"/>
              </w:rPr>
              <w:t>TYPE</w:t>
            </w:r>
          </w:p>
        </w:tc>
        <w:tc>
          <w:tcPr>
            <w:tcW w:w="2707" w:type="dxa"/>
          </w:tcPr>
          <w:p w14:paraId="1AF9014C" w14:textId="77777777" w:rsidR="00DB1AEE" w:rsidRPr="00DB1AEE" w:rsidRDefault="00DB1AEE" w:rsidP="00DB1AEE">
            <w:pPr>
              <w:widowControl w:val="0"/>
              <w:autoSpaceDE w:val="0"/>
              <w:autoSpaceDN w:val="0"/>
              <w:ind w:left="283" w:right="281"/>
              <w:jc w:val="center"/>
              <w:rPr>
                <w:b/>
                <w:szCs w:val="24"/>
                <w:u w:val="single"/>
              </w:rPr>
            </w:pPr>
            <w:r w:rsidRPr="00DB1AEE">
              <w:rPr>
                <w:b/>
                <w:szCs w:val="24"/>
                <w:u w:val="single"/>
              </w:rPr>
              <w:t>PAN</w:t>
            </w:r>
            <w:r w:rsidRPr="00DB1AEE">
              <w:rPr>
                <w:b/>
                <w:spacing w:val="-2"/>
                <w:szCs w:val="24"/>
                <w:u w:val="single"/>
              </w:rPr>
              <w:t xml:space="preserve"> </w:t>
            </w:r>
            <w:r w:rsidRPr="00DB1AEE">
              <w:rPr>
                <w:b/>
                <w:szCs w:val="24"/>
                <w:u w:val="single"/>
              </w:rPr>
              <w:t>CAPACITY</w:t>
            </w:r>
          </w:p>
        </w:tc>
        <w:tc>
          <w:tcPr>
            <w:tcW w:w="2029" w:type="dxa"/>
          </w:tcPr>
          <w:p w14:paraId="5DB3914E" w14:textId="77777777" w:rsidR="00DB1AEE" w:rsidRPr="00DB1AEE" w:rsidRDefault="00DB1AEE" w:rsidP="00DB1AEE">
            <w:pPr>
              <w:widowControl w:val="0"/>
              <w:autoSpaceDE w:val="0"/>
              <w:autoSpaceDN w:val="0"/>
              <w:ind w:left="157" w:right="155"/>
              <w:jc w:val="center"/>
              <w:rPr>
                <w:b/>
                <w:szCs w:val="24"/>
                <w:u w:val="single"/>
              </w:rPr>
            </w:pPr>
            <w:r w:rsidRPr="00DB1AEE">
              <w:rPr>
                <w:b/>
                <w:szCs w:val="24"/>
                <w:u w:val="single"/>
              </w:rPr>
              <w:t>COOKING</w:t>
            </w:r>
            <w:r w:rsidRPr="00DB1AEE">
              <w:rPr>
                <w:b/>
                <w:spacing w:val="-4"/>
                <w:szCs w:val="24"/>
                <w:u w:val="single"/>
              </w:rPr>
              <w:t xml:space="preserve"> </w:t>
            </w:r>
            <w:r w:rsidRPr="00DB1AEE">
              <w:rPr>
                <w:b/>
                <w:szCs w:val="24"/>
                <w:u w:val="single"/>
              </w:rPr>
              <w:t>ENERGY</w:t>
            </w:r>
          </w:p>
          <w:p w14:paraId="4CDA4F3A" w14:textId="77777777" w:rsidR="00DB1AEE" w:rsidRPr="00DB1AEE" w:rsidRDefault="00DB1AEE" w:rsidP="00DB1AEE">
            <w:pPr>
              <w:widowControl w:val="0"/>
              <w:autoSpaceDE w:val="0"/>
              <w:autoSpaceDN w:val="0"/>
              <w:ind w:left="157" w:right="152"/>
              <w:jc w:val="center"/>
              <w:rPr>
                <w:b/>
                <w:szCs w:val="24"/>
                <w:u w:val="single"/>
              </w:rPr>
            </w:pPr>
            <w:r w:rsidRPr="00DB1AEE">
              <w:rPr>
                <w:b/>
                <w:szCs w:val="24"/>
                <w:u w:val="single"/>
              </w:rPr>
              <w:t>EFFICIENCY</w:t>
            </w:r>
            <w:r w:rsidRPr="00DB1AEE">
              <w:rPr>
                <w:b/>
                <w:szCs w:val="24"/>
                <w:u w:val="single"/>
                <w:vertAlign w:val="superscript"/>
              </w:rPr>
              <w:t>a</w:t>
            </w:r>
          </w:p>
        </w:tc>
        <w:tc>
          <w:tcPr>
            <w:tcW w:w="1897" w:type="dxa"/>
          </w:tcPr>
          <w:p w14:paraId="6E1E4181" w14:textId="77777777" w:rsidR="00DB1AEE" w:rsidRPr="00DB1AEE" w:rsidRDefault="00DB1AEE" w:rsidP="00DB1AEE">
            <w:pPr>
              <w:widowControl w:val="0"/>
              <w:autoSpaceDE w:val="0"/>
              <w:autoSpaceDN w:val="0"/>
              <w:ind w:left="412" w:right="409"/>
              <w:jc w:val="center"/>
              <w:rPr>
                <w:b/>
                <w:szCs w:val="24"/>
                <w:u w:val="single"/>
              </w:rPr>
            </w:pPr>
            <w:r w:rsidRPr="00DB1AEE">
              <w:rPr>
                <w:b/>
                <w:szCs w:val="24"/>
                <w:u w:val="single"/>
              </w:rPr>
              <w:t>IDLE</w:t>
            </w:r>
            <w:r w:rsidRPr="00DB1AEE">
              <w:rPr>
                <w:b/>
                <w:spacing w:val="-2"/>
                <w:szCs w:val="24"/>
                <w:u w:val="single"/>
              </w:rPr>
              <w:t xml:space="preserve"> </w:t>
            </w:r>
            <w:r w:rsidRPr="00DB1AEE">
              <w:rPr>
                <w:b/>
                <w:szCs w:val="24"/>
                <w:u w:val="single"/>
              </w:rPr>
              <w:t>RATE</w:t>
            </w:r>
          </w:p>
        </w:tc>
        <w:tc>
          <w:tcPr>
            <w:tcW w:w="1776" w:type="dxa"/>
          </w:tcPr>
          <w:p w14:paraId="19C3DF1D" w14:textId="77777777" w:rsidR="00DB1AEE" w:rsidRPr="00DB1AEE" w:rsidRDefault="00DB1AEE" w:rsidP="00DB1AEE">
            <w:pPr>
              <w:widowControl w:val="0"/>
              <w:autoSpaceDE w:val="0"/>
              <w:autoSpaceDN w:val="0"/>
              <w:ind w:left="288" w:right="283"/>
              <w:jc w:val="center"/>
              <w:rPr>
                <w:b/>
                <w:szCs w:val="24"/>
                <w:u w:val="single"/>
              </w:rPr>
            </w:pPr>
            <w:r w:rsidRPr="00DB1AEE">
              <w:rPr>
                <w:b/>
                <w:szCs w:val="24"/>
                <w:u w:val="single"/>
              </w:rPr>
              <w:t>TEST</w:t>
            </w:r>
          </w:p>
          <w:p w14:paraId="0A5308B8" w14:textId="77777777" w:rsidR="00DB1AEE" w:rsidRPr="00DB1AEE" w:rsidRDefault="00DB1AEE" w:rsidP="00DB1AEE">
            <w:pPr>
              <w:widowControl w:val="0"/>
              <w:autoSpaceDE w:val="0"/>
              <w:autoSpaceDN w:val="0"/>
              <w:ind w:left="288" w:right="287"/>
              <w:jc w:val="center"/>
              <w:rPr>
                <w:b/>
                <w:szCs w:val="24"/>
                <w:u w:val="single"/>
              </w:rPr>
            </w:pPr>
            <w:r w:rsidRPr="00DB1AEE">
              <w:rPr>
                <w:b/>
                <w:szCs w:val="24"/>
                <w:u w:val="single"/>
              </w:rPr>
              <w:t>PROCEDURE</w:t>
            </w:r>
          </w:p>
        </w:tc>
      </w:tr>
      <w:tr w:rsidR="00DB1AEE" w:rsidRPr="00DB1AEE" w14:paraId="37763F18" w14:textId="77777777" w:rsidTr="00FC1832">
        <w:trPr>
          <w:trHeight w:val="205"/>
        </w:trPr>
        <w:tc>
          <w:tcPr>
            <w:tcW w:w="1170" w:type="dxa"/>
            <w:vMerge w:val="restart"/>
          </w:tcPr>
          <w:p w14:paraId="5642CE6A" w14:textId="77777777" w:rsidR="00DB1AEE" w:rsidRPr="00DB1AEE" w:rsidRDefault="00DB1AEE" w:rsidP="00DB1AEE">
            <w:pPr>
              <w:widowControl w:val="0"/>
              <w:autoSpaceDE w:val="0"/>
              <w:autoSpaceDN w:val="0"/>
              <w:ind w:left="1098"/>
              <w:jc w:val="center"/>
              <w:rPr>
                <w:b/>
                <w:szCs w:val="24"/>
                <w:u w:val="single"/>
              </w:rPr>
            </w:pPr>
          </w:p>
          <w:p w14:paraId="5BF58DA0" w14:textId="77777777" w:rsidR="00DB1AEE" w:rsidRPr="00DB1AEE" w:rsidRDefault="00DB1AEE" w:rsidP="00DB1AEE">
            <w:pPr>
              <w:widowControl w:val="0"/>
              <w:autoSpaceDE w:val="0"/>
              <w:autoSpaceDN w:val="0"/>
              <w:ind w:left="374"/>
              <w:jc w:val="center"/>
              <w:rPr>
                <w:szCs w:val="24"/>
                <w:u w:val="single"/>
              </w:rPr>
            </w:pPr>
            <w:r w:rsidRPr="00DB1AEE">
              <w:rPr>
                <w:szCs w:val="24"/>
                <w:u w:val="single"/>
              </w:rPr>
              <w:t>Electric Steam</w:t>
            </w:r>
          </w:p>
        </w:tc>
        <w:tc>
          <w:tcPr>
            <w:tcW w:w="2707" w:type="dxa"/>
          </w:tcPr>
          <w:p w14:paraId="76471A26" w14:textId="77777777" w:rsidR="00DB1AEE" w:rsidRPr="00DB1AEE" w:rsidRDefault="00DB1AEE" w:rsidP="00DB1AEE">
            <w:pPr>
              <w:widowControl w:val="0"/>
              <w:autoSpaceDE w:val="0"/>
              <w:autoSpaceDN w:val="0"/>
              <w:ind w:left="283" w:right="272"/>
              <w:jc w:val="center"/>
              <w:rPr>
                <w:szCs w:val="24"/>
                <w:u w:val="single"/>
              </w:rPr>
            </w:pPr>
            <w:r w:rsidRPr="00DB1AEE">
              <w:rPr>
                <w:szCs w:val="24"/>
                <w:u w:val="single"/>
              </w:rPr>
              <w:t>3-pan</w:t>
            </w:r>
          </w:p>
        </w:tc>
        <w:tc>
          <w:tcPr>
            <w:tcW w:w="2029" w:type="dxa"/>
          </w:tcPr>
          <w:p w14:paraId="20C31AA5" w14:textId="77777777" w:rsidR="00DB1AEE" w:rsidRPr="00DB1AEE" w:rsidRDefault="00DB1AEE" w:rsidP="00DB1AEE">
            <w:pPr>
              <w:widowControl w:val="0"/>
              <w:autoSpaceDE w:val="0"/>
              <w:autoSpaceDN w:val="0"/>
              <w:jc w:val="center"/>
              <w:rPr>
                <w:szCs w:val="24"/>
                <w:u w:val="single"/>
              </w:rPr>
            </w:pPr>
            <w:r w:rsidRPr="00DB1AEE">
              <w:rPr>
                <w:szCs w:val="24"/>
                <w:u w:val="single"/>
              </w:rPr>
              <w:t>50%</w:t>
            </w:r>
          </w:p>
        </w:tc>
        <w:tc>
          <w:tcPr>
            <w:tcW w:w="1897" w:type="dxa"/>
          </w:tcPr>
          <w:p w14:paraId="77E1E2B6" w14:textId="77777777" w:rsidR="00DB1AEE" w:rsidRPr="00DB1AEE" w:rsidRDefault="00DB1AEE" w:rsidP="00DB1AEE">
            <w:pPr>
              <w:widowControl w:val="0"/>
              <w:autoSpaceDE w:val="0"/>
              <w:autoSpaceDN w:val="0"/>
              <w:ind w:left="418" w:right="409"/>
              <w:jc w:val="center"/>
              <w:rPr>
                <w:szCs w:val="24"/>
                <w:u w:val="single"/>
              </w:rPr>
            </w:pPr>
            <w:r w:rsidRPr="00DB1AEE">
              <w:rPr>
                <w:szCs w:val="24"/>
                <w:u w:val="single"/>
              </w:rPr>
              <w:t>400</w:t>
            </w:r>
            <w:r w:rsidRPr="00DB1AEE">
              <w:rPr>
                <w:spacing w:val="1"/>
                <w:szCs w:val="24"/>
                <w:u w:val="single"/>
              </w:rPr>
              <w:t xml:space="preserve"> </w:t>
            </w:r>
            <w:r w:rsidRPr="00DB1AEE">
              <w:rPr>
                <w:szCs w:val="24"/>
                <w:u w:val="single"/>
              </w:rPr>
              <w:t>watts</w:t>
            </w:r>
          </w:p>
        </w:tc>
        <w:tc>
          <w:tcPr>
            <w:tcW w:w="1776" w:type="dxa"/>
            <w:vMerge w:val="restart"/>
          </w:tcPr>
          <w:p w14:paraId="2FC357DB" w14:textId="77777777" w:rsidR="00DB1AEE" w:rsidRPr="00DB1AEE" w:rsidRDefault="00DB1AEE" w:rsidP="00DB1AEE">
            <w:pPr>
              <w:widowControl w:val="0"/>
              <w:autoSpaceDE w:val="0"/>
              <w:autoSpaceDN w:val="0"/>
              <w:ind w:left="1098"/>
              <w:jc w:val="center"/>
              <w:rPr>
                <w:b/>
                <w:szCs w:val="24"/>
                <w:u w:val="single"/>
              </w:rPr>
            </w:pPr>
          </w:p>
          <w:p w14:paraId="740E2A39" w14:textId="77777777" w:rsidR="00DB1AEE" w:rsidRPr="00DB1AEE" w:rsidRDefault="00DB1AEE" w:rsidP="00DB1AEE">
            <w:pPr>
              <w:widowControl w:val="0"/>
              <w:autoSpaceDE w:val="0"/>
              <w:autoSpaceDN w:val="0"/>
              <w:ind w:left="1098"/>
              <w:jc w:val="center"/>
              <w:rPr>
                <w:b/>
                <w:szCs w:val="24"/>
                <w:u w:val="single"/>
              </w:rPr>
            </w:pPr>
          </w:p>
          <w:p w14:paraId="5E76B95A" w14:textId="77777777" w:rsidR="00DB1AEE" w:rsidRPr="00DB1AEE" w:rsidRDefault="00DB1AEE" w:rsidP="00DB1AEE">
            <w:pPr>
              <w:widowControl w:val="0"/>
              <w:autoSpaceDE w:val="0"/>
              <w:autoSpaceDN w:val="0"/>
              <w:ind w:left="1098"/>
              <w:jc w:val="center"/>
              <w:rPr>
                <w:b/>
                <w:szCs w:val="24"/>
                <w:u w:val="single"/>
              </w:rPr>
            </w:pPr>
          </w:p>
          <w:p w14:paraId="0BB19A39" w14:textId="77777777" w:rsidR="00DB1AEE" w:rsidRPr="00DB1AEE" w:rsidRDefault="00DB1AEE" w:rsidP="00DB1AEE">
            <w:pPr>
              <w:widowControl w:val="0"/>
              <w:autoSpaceDE w:val="0"/>
              <w:autoSpaceDN w:val="0"/>
              <w:ind w:left="499" w:right="238" w:hanging="255"/>
              <w:jc w:val="center"/>
              <w:rPr>
                <w:szCs w:val="24"/>
                <w:u w:val="single"/>
              </w:rPr>
            </w:pPr>
            <w:r w:rsidRPr="00DB1AEE">
              <w:rPr>
                <w:szCs w:val="24"/>
                <w:u w:val="single"/>
              </w:rPr>
              <w:t>ASTM Standard</w:t>
            </w:r>
            <w:r w:rsidRPr="00DB1AEE">
              <w:rPr>
                <w:spacing w:val="-45"/>
                <w:szCs w:val="24"/>
                <w:u w:val="single"/>
              </w:rPr>
              <w:t xml:space="preserve"> </w:t>
            </w:r>
            <w:r w:rsidRPr="00DB1AEE">
              <w:rPr>
                <w:szCs w:val="24"/>
                <w:u w:val="single"/>
              </w:rPr>
              <w:t>F1484-18</w:t>
            </w:r>
          </w:p>
        </w:tc>
      </w:tr>
      <w:tr w:rsidR="00DB1AEE" w:rsidRPr="00DB1AEE" w14:paraId="47104B92" w14:textId="77777777" w:rsidTr="00FC1832">
        <w:trPr>
          <w:trHeight w:val="208"/>
        </w:trPr>
        <w:tc>
          <w:tcPr>
            <w:tcW w:w="1170" w:type="dxa"/>
            <w:vMerge/>
            <w:tcBorders>
              <w:top w:val="nil"/>
            </w:tcBorders>
          </w:tcPr>
          <w:p w14:paraId="4E5F5302" w14:textId="77777777" w:rsidR="00DB1AEE" w:rsidRPr="00DB1AEE" w:rsidRDefault="00DB1AEE" w:rsidP="00DB1AEE">
            <w:pPr>
              <w:suppressAutoHyphens/>
              <w:jc w:val="left"/>
              <w:rPr>
                <w:szCs w:val="24"/>
                <w:u w:val="single"/>
              </w:rPr>
            </w:pPr>
          </w:p>
        </w:tc>
        <w:tc>
          <w:tcPr>
            <w:tcW w:w="2707" w:type="dxa"/>
          </w:tcPr>
          <w:p w14:paraId="3A006505" w14:textId="77777777" w:rsidR="00DB1AEE" w:rsidRPr="00DB1AEE" w:rsidRDefault="00DB1AEE" w:rsidP="00DB1AEE">
            <w:pPr>
              <w:widowControl w:val="0"/>
              <w:autoSpaceDE w:val="0"/>
              <w:autoSpaceDN w:val="0"/>
              <w:ind w:left="283" w:right="272"/>
              <w:jc w:val="center"/>
              <w:rPr>
                <w:szCs w:val="24"/>
                <w:u w:val="single"/>
              </w:rPr>
            </w:pPr>
            <w:r w:rsidRPr="00DB1AEE">
              <w:rPr>
                <w:szCs w:val="24"/>
                <w:u w:val="single"/>
              </w:rPr>
              <w:t>4-pan</w:t>
            </w:r>
          </w:p>
        </w:tc>
        <w:tc>
          <w:tcPr>
            <w:tcW w:w="2029" w:type="dxa"/>
          </w:tcPr>
          <w:p w14:paraId="3C303CDF" w14:textId="77777777" w:rsidR="00DB1AEE" w:rsidRPr="00DB1AEE" w:rsidRDefault="00DB1AEE" w:rsidP="00DB1AEE">
            <w:pPr>
              <w:widowControl w:val="0"/>
              <w:autoSpaceDE w:val="0"/>
              <w:autoSpaceDN w:val="0"/>
              <w:jc w:val="center"/>
              <w:rPr>
                <w:szCs w:val="24"/>
                <w:u w:val="single"/>
              </w:rPr>
            </w:pPr>
            <w:r w:rsidRPr="00DB1AEE">
              <w:rPr>
                <w:szCs w:val="24"/>
                <w:u w:val="single"/>
              </w:rPr>
              <w:t>50%</w:t>
            </w:r>
          </w:p>
        </w:tc>
        <w:tc>
          <w:tcPr>
            <w:tcW w:w="1897" w:type="dxa"/>
          </w:tcPr>
          <w:p w14:paraId="219BF880" w14:textId="77777777" w:rsidR="00DB1AEE" w:rsidRPr="00DB1AEE" w:rsidRDefault="00DB1AEE" w:rsidP="00DB1AEE">
            <w:pPr>
              <w:widowControl w:val="0"/>
              <w:autoSpaceDE w:val="0"/>
              <w:autoSpaceDN w:val="0"/>
              <w:ind w:left="418" w:right="409"/>
              <w:jc w:val="center"/>
              <w:rPr>
                <w:szCs w:val="24"/>
                <w:u w:val="single"/>
              </w:rPr>
            </w:pPr>
            <w:r w:rsidRPr="00DB1AEE">
              <w:rPr>
                <w:szCs w:val="24"/>
                <w:u w:val="single"/>
              </w:rPr>
              <w:t>530 watts</w:t>
            </w:r>
          </w:p>
        </w:tc>
        <w:tc>
          <w:tcPr>
            <w:tcW w:w="1776" w:type="dxa"/>
            <w:vMerge/>
            <w:tcBorders>
              <w:top w:val="nil"/>
            </w:tcBorders>
          </w:tcPr>
          <w:p w14:paraId="779916E5" w14:textId="77777777" w:rsidR="00DB1AEE" w:rsidRPr="00DB1AEE" w:rsidRDefault="00DB1AEE" w:rsidP="00DB1AEE">
            <w:pPr>
              <w:suppressAutoHyphens/>
              <w:jc w:val="left"/>
              <w:rPr>
                <w:szCs w:val="24"/>
                <w:u w:val="single"/>
              </w:rPr>
            </w:pPr>
          </w:p>
        </w:tc>
      </w:tr>
      <w:tr w:rsidR="00DB1AEE" w:rsidRPr="00DB1AEE" w14:paraId="1343914F" w14:textId="77777777" w:rsidTr="00FC1832">
        <w:trPr>
          <w:trHeight w:val="205"/>
        </w:trPr>
        <w:tc>
          <w:tcPr>
            <w:tcW w:w="1170" w:type="dxa"/>
            <w:vMerge/>
            <w:tcBorders>
              <w:top w:val="nil"/>
            </w:tcBorders>
          </w:tcPr>
          <w:p w14:paraId="57300DF5" w14:textId="77777777" w:rsidR="00DB1AEE" w:rsidRPr="00DB1AEE" w:rsidRDefault="00DB1AEE" w:rsidP="00DB1AEE">
            <w:pPr>
              <w:suppressAutoHyphens/>
              <w:jc w:val="left"/>
              <w:rPr>
                <w:szCs w:val="24"/>
                <w:u w:val="single"/>
              </w:rPr>
            </w:pPr>
          </w:p>
        </w:tc>
        <w:tc>
          <w:tcPr>
            <w:tcW w:w="2707" w:type="dxa"/>
          </w:tcPr>
          <w:p w14:paraId="69945BC0" w14:textId="77777777" w:rsidR="00DB1AEE" w:rsidRPr="00DB1AEE" w:rsidRDefault="00DB1AEE" w:rsidP="00DB1AEE">
            <w:pPr>
              <w:widowControl w:val="0"/>
              <w:autoSpaceDE w:val="0"/>
              <w:autoSpaceDN w:val="0"/>
              <w:ind w:left="283" w:right="272"/>
              <w:jc w:val="center"/>
              <w:rPr>
                <w:szCs w:val="24"/>
                <w:u w:val="single"/>
              </w:rPr>
            </w:pPr>
            <w:r w:rsidRPr="00DB1AEE">
              <w:rPr>
                <w:szCs w:val="24"/>
                <w:u w:val="single"/>
              </w:rPr>
              <w:t>5-pan</w:t>
            </w:r>
          </w:p>
        </w:tc>
        <w:tc>
          <w:tcPr>
            <w:tcW w:w="2029" w:type="dxa"/>
          </w:tcPr>
          <w:p w14:paraId="7B90B63A" w14:textId="77777777" w:rsidR="00DB1AEE" w:rsidRPr="00DB1AEE" w:rsidRDefault="00DB1AEE" w:rsidP="00DB1AEE">
            <w:pPr>
              <w:widowControl w:val="0"/>
              <w:autoSpaceDE w:val="0"/>
              <w:autoSpaceDN w:val="0"/>
              <w:jc w:val="center"/>
              <w:rPr>
                <w:szCs w:val="24"/>
                <w:u w:val="single"/>
              </w:rPr>
            </w:pPr>
            <w:r w:rsidRPr="00DB1AEE">
              <w:rPr>
                <w:szCs w:val="24"/>
                <w:u w:val="single"/>
              </w:rPr>
              <w:t>50%</w:t>
            </w:r>
          </w:p>
        </w:tc>
        <w:tc>
          <w:tcPr>
            <w:tcW w:w="1897" w:type="dxa"/>
          </w:tcPr>
          <w:p w14:paraId="79ABDB55" w14:textId="77777777" w:rsidR="00DB1AEE" w:rsidRPr="00DB1AEE" w:rsidRDefault="00DB1AEE" w:rsidP="00DB1AEE">
            <w:pPr>
              <w:widowControl w:val="0"/>
              <w:autoSpaceDE w:val="0"/>
              <w:autoSpaceDN w:val="0"/>
              <w:ind w:left="418" w:right="409"/>
              <w:jc w:val="center"/>
              <w:rPr>
                <w:szCs w:val="24"/>
                <w:u w:val="single"/>
              </w:rPr>
            </w:pPr>
            <w:r w:rsidRPr="00DB1AEE">
              <w:rPr>
                <w:szCs w:val="24"/>
                <w:u w:val="single"/>
              </w:rPr>
              <w:t>670 watts</w:t>
            </w:r>
          </w:p>
        </w:tc>
        <w:tc>
          <w:tcPr>
            <w:tcW w:w="1776" w:type="dxa"/>
            <w:vMerge/>
            <w:tcBorders>
              <w:top w:val="nil"/>
            </w:tcBorders>
          </w:tcPr>
          <w:p w14:paraId="510A4D48" w14:textId="77777777" w:rsidR="00DB1AEE" w:rsidRPr="00DB1AEE" w:rsidRDefault="00DB1AEE" w:rsidP="00DB1AEE">
            <w:pPr>
              <w:suppressAutoHyphens/>
              <w:jc w:val="left"/>
              <w:rPr>
                <w:szCs w:val="24"/>
                <w:u w:val="single"/>
              </w:rPr>
            </w:pPr>
          </w:p>
        </w:tc>
      </w:tr>
      <w:tr w:rsidR="00DB1AEE" w:rsidRPr="00DB1AEE" w14:paraId="40D2750E" w14:textId="77777777" w:rsidTr="00FC1832">
        <w:trPr>
          <w:trHeight w:val="208"/>
        </w:trPr>
        <w:tc>
          <w:tcPr>
            <w:tcW w:w="1170" w:type="dxa"/>
            <w:vMerge/>
            <w:tcBorders>
              <w:top w:val="nil"/>
            </w:tcBorders>
          </w:tcPr>
          <w:p w14:paraId="222A487C" w14:textId="77777777" w:rsidR="00DB1AEE" w:rsidRPr="00DB1AEE" w:rsidRDefault="00DB1AEE" w:rsidP="00DB1AEE">
            <w:pPr>
              <w:suppressAutoHyphens/>
              <w:jc w:val="left"/>
              <w:rPr>
                <w:szCs w:val="24"/>
                <w:u w:val="single"/>
              </w:rPr>
            </w:pPr>
          </w:p>
        </w:tc>
        <w:tc>
          <w:tcPr>
            <w:tcW w:w="2707" w:type="dxa"/>
          </w:tcPr>
          <w:p w14:paraId="4B2B8D25" w14:textId="77777777" w:rsidR="00DB1AEE" w:rsidRPr="00DB1AEE" w:rsidRDefault="00DB1AEE" w:rsidP="00DB1AEE">
            <w:pPr>
              <w:widowControl w:val="0"/>
              <w:autoSpaceDE w:val="0"/>
              <w:autoSpaceDN w:val="0"/>
              <w:ind w:left="283" w:right="274"/>
              <w:jc w:val="center"/>
              <w:rPr>
                <w:szCs w:val="24"/>
                <w:u w:val="single"/>
              </w:rPr>
            </w:pPr>
            <w:r w:rsidRPr="00DB1AEE">
              <w:rPr>
                <w:szCs w:val="24"/>
                <w:u w:val="single"/>
              </w:rPr>
              <w:t>6-pan</w:t>
            </w:r>
            <w:r w:rsidRPr="00DB1AEE">
              <w:rPr>
                <w:spacing w:val="-2"/>
                <w:szCs w:val="24"/>
                <w:u w:val="single"/>
              </w:rPr>
              <w:t xml:space="preserve"> </w:t>
            </w:r>
            <w:r w:rsidRPr="00DB1AEE">
              <w:rPr>
                <w:szCs w:val="24"/>
                <w:u w:val="single"/>
              </w:rPr>
              <w:t>and</w:t>
            </w:r>
            <w:r w:rsidRPr="00DB1AEE">
              <w:rPr>
                <w:spacing w:val="-1"/>
                <w:szCs w:val="24"/>
                <w:u w:val="single"/>
              </w:rPr>
              <w:t xml:space="preserve"> </w:t>
            </w:r>
            <w:r w:rsidRPr="00DB1AEE">
              <w:rPr>
                <w:szCs w:val="24"/>
                <w:u w:val="single"/>
              </w:rPr>
              <w:t>larger</w:t>
            </w:r>
          </w:p>
        </w:tc>
        <w:tc>
          <w:tcPr>
            <w:tcW w:w="2029" w:type="dxa"/>
          </w:tcPr>
          <w:p w14:paraId="60D2A4F3" w14:textId="77777777" w:rsidR="00DB1AEE" w:rsidRPr="00DB1AEE" w:rsidRDefault="00DB1AEE" w:rsidP="00DB1AEE">
            <w:pPr>
              <w:widowControl w:val="0"/>
              <w:autoSpaceDE w:val="0"/>
              <w:autoSpaceDN w:val="0"/>
              <w:jc w:val="center"/>
              <w:rPr>
                <w:szCs w:val="24"/>
                <w:u w:val="single"/>
              </w:rPr>
            </w:pPr>
            <w:r w:rsidRPr="00DB1AEE">
              <w:rPr>
                <w:szCs w:val="24"/>
                <w:u w:val="single"/>
              </w:rPr>
              <w:t>50%</w:t>
            </w:r>
          </w:p>
        </w:tc>
        <w:tc>
          <w:tcPr>
            <w:tcW w:w="1897" w:type="dxa"/>
          </w:tcPr>
          <w:p w14:paraId="0C0ED652" w14:textId="77777777" w:rsidR="00DB1AEE" w:rsidRPr="00DB1AEE" w:rsidRDefault="00DB1AEE" w:rsidP="00DB1AEE">
            <w:pPr>
              <w:widowControl w:val="0"/>
              <w:autoSpaceDE w:val="0"/>
              <w:autoSpaceDN w:val="0"/>
              <w:ind w:left="418" w:right="409"/>
              <w:jc w:val="center"/>
              <w:rPr>
                <w:szCs w:val="24"/>
                <w:u w:val="single"/>
              </w:rPr>
            </w:pPr>
            <w:r w:rsidRPr="00DB1AEE">
              <w:rPr>
                <w:szCs w:val="24"/>
                <w:u w:val="single"/>
              </w:rPr>
              <w:t>800 watts</w:t>
            </w:r>
          </w:p>
        </w:tc>
        <w:tc>
          <w:tcPr>
            <w:tcW w:w="1776" w:type="dxa"/>
            <w:vMerge/>
            <w:tcBorders>
              <w:top w:val="nil"/>
            </w:tcBorders>
          </w:tcPr>
          <w:p w14:paraId="3040CBAD" w14:textId="77777777" w:rsidR="00DB1AEE" w:rsidRPr="00DB1AEE" w:rsidRDefault="00DB1AEE" w:rsidP="00DB1AEE">
            <w:pPr>
              <w:suppressAutoHyphens/>
              <w:jc w:val="left"/>
              <w:rPr>
                <w:szCs w:val="24"/>
                <w:u w:val="single"/>
              </w:rPr>
            </w:pPr>
          </w:p>
        </w:tc>
      </w:tr>
      <w:tr w:rsidR="00DB1AEE" w:rsidRPr="00DB1AEE" w14:paraId="12DE7FEB" w14:textId="77777777" w:rsidTr="00FC1832">
        <w:trPr>
          <w:trHeight w:val="205"/>
        </w:trPr>
        <w:tc>
          <w:tcPr>
            <w:tcW w:w="1170" w:type="dxa"/>
            <w:vMerge w:val="restart"/>
          </w:tcPr>
          <w:p w14:paraId="64E15F51" w14:textId="77777777" w:rsidR="00DB1AEE" w:rsidRPr="00DB1AEE" w:rsidRDefault="00DB1AEE" w:rsidP="00DB1AEE">
            <w:pPr>
              <w:widowControl w:val="0"/>
              <w:autoSpaceDE w:val="0"/>
              <w:autoSpaceDN w:val="0"/>
              <w:ind w:left="1098"/>
              <w:jc w:val="center"/>
              <w:rPr>
                <w:b/>
                <w:szCs w:val="24"/>
                <w:u w:val="single"/>
              </w:rPr>
            </w:pPr>
          </w:p>
          <w:p w14:paraId="3512A056" w14:textId="77777777" w:rsidR="00DB1AEE" w:rsidRPr="00DB1AEE" w:rsidRDefault="00DB1AEE" w:rsidP="00DB1AEE">
            <w:pPr>
              <w:widowControl w:val="0"/>
              <w:autoSpaceDE w:val="0"/>
              <w:autoSpaceDN w:val="0"/>
              <w:ind w:left="506"/>
              <w:jc w:val="center"/>
              <w:rPr>
                <w:szCs w:val="24"/>
                <w:u w:val="single"/>
              </w:rPr>
            </w:pPr>
            <w:r w:rsidRPr="00DB1AEE">
              <w:rPr>
                <w:szCs w:val="24"/>
                <w:u w:val="single"/>
              </w:rPr>
              <w:t>Gas</w:t>
            </w:r>
            <w:r w:rsidRPr="00DB1AEE">
              <w:rPr>
                <w:spacing w:val="1"/>
                <w:szCs w:val="24"/>
                <w:u w:val="single"/>
              </w:rPr>
              <w:t xml:space="preserve"> </w:t>
            </w:r>
            <w:r w:rsidRPr="00DB1AEE">
              <w:rPr>
                <w:szCs w:val="24"/>
                <w:u w:val="single"/>
              </w:rPr>
              <w:t>Steam</w:t>
            </w:r>
          </w:p>
        </w:tc>
        <w:tc>
          <w:tcPr>
            <w:tcW w:w="2707" w:type="dxa"/>
          </w:tcPr>
          <w:p w14:paraId="269DCB06" w14:textId="77777777" w:rsidR="00DB1AEE" w:rsidRPr="00DB1AEE" w:rsidRDefault="00DB1AEE" w:rsidP="00DB1AEE">
            <w:pPr>
              <w:widowControl w:val="0"/>
              <w:autoSpaceDE w:val="0"/>
              <w:autoSpaceDN w:val="0"/>
              <w:ind w:left="283" w:right="272"/>
              <w:jc w:val="center"/>
              <w:rPr>
                <w:szCs w:val="24"/>
                <w:u w:val="single"/>
              </w:rPr>
            </w:pPr>
            <w:r w:rsidRPr="00DB1AEE">
              <w:rPr>
                <w:szCs w:val="24"/>
                <w:u w:val="single"/>
              </w:rPr>
              <w:t>3-pan</w:t>
            </w:r>
          </w:p>
        </w:tc>
        <w:tc>
          <w:tcPr>
            <w:tcW w:w="2029" w:type="dxa"/>
          </w:tcPr>
          <w:p w14:paraId="0E827F79" w14:textId="77777777" w:rsidR="00DB1AEE" w:rsidRPr="00DB1AEE" w:rsidRDefault="00DB1AEE" w:rsidP="00DB1AEE">
            <w:pPr>
              <w:widowControl w:val="0"/>
              <w:autoSpaceDE w:val="0"/>
              <w:autoSpaceDN w:val="0"/>
              <w:jc w:val="center"/>
              <w:rPr>
                <w:szCs w:val="24"/>
                <w:u w:val="single"/>
              </w:rPr>
            </w:pPr>
            <w:r w:rsidRPr="00DB1AEE">
              <w:rPr>
                <w:szCs w:val="24"/>
                <w:u w:val="single"/>
              </w:rPr>
              <w:t>38%</w:t>
            </w:r>
          </w:p>
        </w:tc>
        <w:tc>
          <w:tcPr>
            <w:tcW w:w="1897" w:type="dxa"/>
          </w:tcPr>
          <w:p w14:paraId="3F60F3B6" w14:textId="77777777" w:rsidR="00DB1AEE" w:rsidRPr="00DB1AEE" w:rsidRDefault="00DB1AEE" w:rsidP="00DB1AEE">
            <w:pPr>
              <w:widowControl w:val="0"/>
              <w:autoSpaceDE w:val="0"/>
              <w:autoSpaceDN w:val="0"/>
              <w:ind w:left="415" w:right="409"/>
              <w:jc w:val="center"/>
              <w:rPr>
                <w:szCs w:val="24"/>
                <w:u w:val="single"/>
              </w:rPr>
            </w:pPr>
            <w:r w:rsidRPr="00DB1AEE">
              <w:rPr>
                <w:szCs w:val="24"/>
                <w:u w:val="single"/>
              </w:rPr>
              <w:t>6,250 Btu/h</w:t>
            </w:r>
          </w:p>
        </w:tc>
        <w:tc>
          <w:tcPr>
            <w:tcW w:w="1776" w:type="dxa"/>
            <w:vMerge/>
            <w:tcBorders>
              <w:top w:val="nil"/>
            </w:tcBorders>
          </w:tcPr>
          <w:p w14:paraId="05727426" w14:textId="77777777" w:rsidR="00DB1AEE" w:rsidRPr="00DB1AEE" w:rsidRDefault="00DB1AEE" w:rsidP="00DB1AEE">
            <w:pPr>
              <w:suppressAutoHyphens/>
              <w:jc w:val="left"/>
              <w:rPr>
                <w:szCs w:val="24"/>
                <w:u w:val="single"/>
              </w:rPr>
            </w:pPr>
          </w:p>
        </w:tc>
      </w:tr>
      <w:tr w:rsidR="00DB1AEE" w:rsidRPr="00DB1AEE" w14:paraId="5AA866BB" w14:textId="77777777" w:rsidTr="00FC1832">
        <w:trPr>
          <w:trHeight w:val="206"/>
        </w:trPr>
        <w:tc>
          <w:tcPr>
            <w:tcW w:w="1170" w:type="dxa"/>
            <w:vMerge/>
            <w:tcBorders>
              <w:top w:val="nil"/>
            </w:tcBorders>
          </w:tcPr>
          <w:p w14:paraId="7CDE10FE" w14:textId="77777777" w:rsidR="00DB1AEE" w:rsidRPr="00DB1AEE" w:rsidRDefault="00DB1AEE" w:rsidP="00DB1AEE">
            <w:pPr>
              <w:suppressAutoHyphens/>
              <w:jc w:val="left"/>
              <w:rPr>
                <w:szCs w:val="24"/>
                <w:u w:val="single"/>
              </w:rPr>
            </w:pPr>
          </w:p>
        </w:tc>
        <w:tc>
          <w:tcPr>
            <w:tcW w:w="2707" w:type="dxa"/>
          </w:tcPr>
          <w:p w14:paraId="6E3ECA12" w14:textId="77777777" w:rsidR="00DB1AEE" w:rsidRPr="00DB1AEE" w:rsidRDefault="00DB1AEE" w:rsidP="00DB1AEE">
            <w:pPr>
              <w:widowControl w:val="0"/>
              <w:autoSpaceDE w:val="0"/>
              <w:autoSpaceDN w:val="0"/>
              <w:ind w:left="283" w:right="272"/>
              <w:jc w:val="center"/>
              <w:rPr>
                <w:szCs w:val="24"/>
                <w:u w:val="single"/>
              </w:rPr>
            </w:pPr>
            <w:r w:rsidRPr="00DB1AEE">
              <w:rPr>
                <w:szCs w:val="24"/>
                <w:u w:val="single"/>
              </w:rPr>
              <w:t>4-pan</w:t>
            </w:r>
          </w:p>
        </w:tc>
        <w:tc>
          <w:tcPr>
            <w:tcW w:w="2029" w:type="dxa"/>
          </w:tcPr>
          <w:p w14:paraId="79DB00A8" w14:textId="77777777" w:rsidR="00DB1AEE" w:rsidRPr="00DB1AEE" w:rsidRDefault="00DB1AEE" w:rsidP="00DB1AEE">
            <w:pPr>
              <w:widowControl w:val="0"/>
              <w:autoSpaceDE w:val="0"/>
              <w:autoSpaceDN w:val="0"/>
              <w:jc w:val="center"/>
              <w:rPr>
                <w:szCs w:val="24"/>
                <w:u w:val="single"/>
              </w:rPr>
            </w:pPr>
            <w:r w:rsidRPr="00DB1AEE">
              <w:rPr>
                <w:szCs w:val="24"/>
                <w:u w:val="single"/>
              </w:rPr>
              <w:t>38%</w:t>
            </w:r>
          </w:p>
        </w:tc>
        <w:tc>
          <w:tcPr>
            <w:tcW w:w="1897" w:type="dxa"/>
          </w:tcPr>
          <w:p w14:paraId="61B5316E" w14:textId="77777777" w:rsidR="00DB1AEE" w:rsidRPr="00DB1AEE" w:rsidRDefault="00DB1AEE" w:rsidP="00DB1AEE">
            <w:pPr>
              <w:widowControl w:val="0"/>
              <w:autoSpaceDE w:val="0"/>
              <w:autoSpaceDN w:val="0"/>
              <w:ind w:left="415" w:right="409"/>
              <w:jc w:val="center"/>
              <w:rPr>
                <w:szCs w:val="24"/>
                <w:u w:val="single"/>
              </w:rPr>
            </w:pPr>
            <w:r w:rsidRPr="00DB1AEE">
              <w:rPr>
                <w:szCs w:val="24"/>
                <w:u w:val="single"/>
              </w:rPr>
              <w:t>8,350 Btu/h</w:t>
            </w:r>
          </w:p>
        </w:tc>
        <w:tc>
          <w:tcPr>
            <w:tcW w:w="1776" w:type="dxa"/>
            <w:vMerge/>
            <w:tcBorders>
              <w:top w:val="nil"/>
            </w:tcBorders>
          </w:tcPr>
          <w:p w14:paraId="7F36214C" w14:textId="77777777" w:rsidR="00DB1AEE" w:rsidRPr="00DB1AEE" w:rsidRDefault="00DB1AEE" w:rsidP="00DB1AEE">
            <w:pPr>
              <w:suppressAutoHyphens/>
              <w:jc w:val="left"/>
              <w:rPr>
                <w:szCs w:val="24"/>
                <w:u w:val="single"/>
              </w:rPr>
            </w:pPr>
          </w:p>
        </w:tc>
      </w:tr>
      <w:tr w:rsidR="00DB1AEE" w:rsidRPr="00DB1AEE" w14:paraId="6D314EA5" w14:textId="77777777" w:rsidTr="00FC1832">
        <w:trPr>
          <w:trHeight w:val="208"/>
        </w:trPr>
        <w:tc>
          <w:tcPr>
            <w:tcW w:w="1170" w:type="dxa"/>
            <w:vMerge/>
            <w:tcBorders>
              <w:top w:val="nil"/>
            </w:tcBorders>
          </w:tcPr>
          <w:p w14:paraId="0979F32C" w14:textId="77777777" w:rsidR="00DB1AEE" w:rsidRPr="00DB1AEE" w:rsidRDefault="00DB1AEE" w:rsidP="00DB1AEE">
            <w:pPr>
              <w:suppressAutoHyphens/>
              <w:jc w:val="left"/>
              <w:rPr>
                <w:szCs w:val="24"/>
                <w:u w:val="single"/>
              </w:rPr>
            </w:pPr>
          </w:p>
        </w:tc>
        <w:tc>
          <w:tcPr>
            <w:tcW w:w="2707" w:type="dxa"/>
          </w:tcPr>
          <w:p w14:paraId="26728D4B" w14:textId="77777777" w:rsidR="00DB1AEE" w:rsidRPr="00DB1AEE" w:rsidRDefault="00DB1AEE" w:rsidP="00DB1AEE">
            <w:pPr>
              <w:widowControl w:val="0"/>
              <w:autoSpaceDE w:val="0"/>
              <w:autoSpaceDN w:val="0"/>
              <w:ind w:left="283" w:right="272"/>
              <w:jc w:val="center"/>
              <w:rPr>
                <w:szCs w:val="24"/>
                <w:u w:val="single"/>
              </w:rPr>
            </w:pPr>
            <w:r w:rsidRPr="00DB1AEE">
              <w:rPr>
                <w:szCs w:val="24"/>
                <w:u w:val="single"/>
              </w:rPr>
              <w:t>5-pan</w:t>
            </w:r>
          </w:p>
        </w:tc>
        <w:tc>
          <w:tcPr>
            <w:tcW w:w="2029" w:type="dxa"/>
          </w:tcPr>
          <w:p w14:paraId="13A33377" w14:textId="77777777" w:rsidR="00DB1AEE" w:rsidRPr="00DB1AEE" w:rsidRDefault="00DB1AEE" w:rsidP="00DB1AEE">
            <w:pPr>
              <w:widowControl w:val="0"/>
              <w:autoSpaceDE w:val="0"/>
              <w:autoSpaceDN w:val="0"/>
              <w:jc w:val="center"/>
              <w:rPr>
                <w:szCs w:val="24"/>
                <w:u w:val="single"/>
              </w:rPr>
            </w:pPr>
            <w:r w:rsidRPr="00DB1AEE">
              <w:rPr>
                <w:szCs w:val="24"/>
                <w:u w:val="single"/>
              </w:rPr>
              <w:t>38%</w:t>
            </w:r>
          </w:p>
        </w:tc>
        <w:tc>
          <w:tcPr>
            <w:tcW w:w="1897" w:type="dxa"/>
          </w:tcPr>
          <w:p w14:paraId="76FA1F10" w14:textId="77777777" w:rsidR="00DB1AEE" w:rsidRPr="00DB1AEE" w:rsidRDefault="00DB1AEE" w:rsidP="00DB1AEE">
            <w:pPr>
              <w:widowControl w:val="0"/>
              <w:autoSpaceDE w:val="0"/>
              <w:autoSpaceDN w:val="0"/>
              <w:ind w:left="418" w:right="409"/>
              <w:jc w:val="center"/>
              <w:rPr>
                <w:szCs w:val="24"/>
                <w:u w:val="single"/>
              </w:rPr>
            </w:pPr>
            <w:r w:rsidRPr="00DB1AEE">
              <w:rPr>
                <w:szCs w:val="24"/>
                <w:u w:val="single"/>
              </w:rPr>
              <w:t>10,400 Btu/h</w:t>
            </w:r>
          </w:p>
        </w:tc>
        <w:tc>
          <w:tcPr>
            <w:tcW w:w="1776" w:type="dxa"/>
            <w:vMerge/>
            <w:tcBorders>
              <w:top w:val="nil"/>
            </w:tcBorders>
          </w:tcPr>
          <w:p w14:paraId="7486A9E9" w14:textId="77777777" w:rsidR="00DB1AEE" w:rsidRPr="00DB1AEE" w:rsidRDefault="00DB1AEE" w:rsidP="00DB1AEE">
            <w:pPr>
              <w:suppressAutoHyphens/>
              <w:jc w:val="left"/>
              <w:rPr>
                <w:szCs w:val="24"/>
                <w:u w:val="single"/>
              </w:rPr>
            </w:pPr>
          </w:p>
        </w:tc>
      </w:tr>
      <w:tr w:rsidR="00DB1AEE" w:rsidRPr="00DB1AEE" w14:paraId="6BFC3C3D" w14:textId="77777777" w:rsidTr="00FC1832">
        <w:trPr>
          <w:trHeight w:val="206"/>
        </w:trPr>
        <w:tc>
          <w:tcPr>
            <w:tcW w:w="1170" w:type="dxa"/>
            <w:vMerge/>
            <w:tcBorders>
              <w:top w:val="nil"/>
            </w:tcBorders>
          </w:tcPr>
          <w:p w14:paraId="17A30BA7" w14:textId="77777777" w:rsidR="00DB1AEE" w:rsidRPr="00DB1AEE" w:rsidRDefault="00DB1AEE" w:rsidP="00DB1AEE">
            <w:pPr>
              <w:suppressAutoHyphens/>
              <w:jc w:val="left"/>
              <w:rPr>
                <w:szCs w:val="24"/>
                <w:u w:val="single"/>
              </w:rPr>
            </w:pPr>
          </w:p>
        </w:tc>
        <w:tc>
          <w:tcPr>
            <w:tcW w:w="2707" w:type="dxa"/>
          </w:tcPr>
          <w:p w14:paraId="6502B4F2" w14:textId="77777777" w:rsidR="00DB1AEE" w:rsidRPr="00DB1AEE" w:rsidRDefault="00DB1AEE" w:rsidP="00DB1AEE">
            <w:pPr>
              <w:widowControl w:val="0"/>
              <w:autoSpaceDE w:val="0"/>
              <w:autoSpaceDN w:val="0"/>
              <w:ind w:left="283" w:right="274"/>
              <w:jc w:val="center"/>
              <w:rPr>
                <w:szCs w:val="24"/>
                <w:u w:val="single"/>
              </w:rPr>
            </w:pPr>
            <w:r w:rsidRPr="00DB1AEE">
              <w:rPr>
                <w:szCs w:val="24"/>
                <w:u w:val="single"/>
              </w:rPr>
              <w:t>6-pan</w:t>
            </w:r>
            <w:r w:rsidRPr="00DB1AEE">
              <w:rPr>
                <w:spacing w:val="-2"/>
                <w:szCs w:val="24"/>
                <w:u w:val="single"/>
              </w:rPr>
              <w:t xml:space="preserve"> </w:t>
            </w:r>
            <w:r w:rsidRPr="00DB1AEE">
              <w:rPr>
                <w:szCs w:val="24"/>
                <w:u w:val="single"/>
              </w:rPr>
              <w:t>and</w:t>
            </w:r>
            <w:r w:rsidRPr="00DB1AEE">
              <w:rPr>
                <w:spacing w:val="-1"/>
                <w:szCs w:val="24"/>
                <w:u w:val="single"/>
              </w:rPr>
              <w:t xml:space="preserve"> </w:t>
            </w:r>
            <w:r w:rsidRPr="00DB1AEE">
              <w:rPr>
                <w:szCs w:val="24"/>
                <w:u w:val="single"/>
              </w:rPr>
              <w:t>larger</w:t>
            </w:r>
          </w:p>
        </w:tc>
        <w:tc>
          <w:tcPr>
            <w:tcW w:w="2029" w:type="dxa"/>
          </w:tcPr>
          <w:p w14:paraId="33E4995B" w14:textId="77777777" w:rsidR="00DB1AEE" w:rsidRPr="00DB1AEE" w:rsidRDefault="00DB1AEE" w:rsidP="00DB1AEE">
            <w:pPr>
              <w:widowControl w:val="0"/>
              <w:autoSpaceDE w:val="0"/>
              <w:autoSpaceDN w:val="0"/>
              <w:jc w:val="center"/>
              <w:rPr>
                <w:szCs w:val="24"/>
                <w:u w:val="single"/>
              </w:rPr>
            </w:pPr>
            <w:r w:rsidRPr="00DB1AEE">
              <w:rPr>
                <w:szCs w:val="24"/>
                <w:u w:val="single"/>
              </w:rPr>
              <w:t>38%</w:t>
            </w:r>
          </w:p>
        </w:tc>
        <w:tc>
          <w:tcPr>
            <w:tcW w:w="1897" w:type="dxa"/>
          </w:tcPr>
          <w:p w14:paraId="63DC120C" w14:textId="77777777" w:rsidR="00DB1AEE" w:rsidRPr="00DB1AEE" w:rsidRDefault="00DB1AEE" w:rsidP="00DB1AEE">
            <w:pPr>
              <w:widowControl w:val="0"/>
              <w:autoSpaceDE w:val="0"/>
              <w:autoSpaceDN w:val="0"/>
              <w:ind w:left="418" w:right="409"/>
              <w:jc w:val="center"/>
              <w:rPr>
                <w:szCs w:val="24"/>
                <w:u w:val="single"/>
              </w:rPr>
            </w:pPr>
            <w:r w:rsidRPr="00DB1AEE">
              <w:rPr>
                <w:szCs w:val="24"/>
                <w:u w:val="single"/>
              </w:rPr>
              <w:t>12,500 Btu/h</w:t>
            </w:r>
          </w:p>
        </w:tc>
        <w:tc>
          <w:tcPr>
            <w:tcW w:w="1776" w:type="dxa"/>
            <w:vMerge/>
            <w:tcBorders>
              <w:top w:val="nil"/>
            </w:tcBorders>
          </w:tcPr>
          <w:p w14:paraId="0CAD35F9" w14:textId="77777777" w:rsidR="00DB1AEE" w:rsidRPr="00DB1AEE" w:rsidRDefault="00DB1AEE" w:rsidP="00DB1AEE">
            <w:pPr>
              <w:suppressAutoHyphens/>
              <w:jc w:val="left"/>
              <w:rPr>
                <w:szCs w:val="24"/>
                <w:u w:val="single"/>
              </w:rPr>
            </w:pPr>
          </w:p>
        </w:tc>
      </w:tr>
    </w:tbl>
    <w:p w14:paraId="469FE57F" w14:textId="77777777" w:rsidR="00DB1AEE" w:rsidRPr="00DB1AEE" w:rsidRDefault="00DB1AEE" w:rsidP="00DB1AEE">
      <w:pPr>
        <w:tabs>
          <w:tab w:val="left" w:pos="1180"/>
        </w:tabs>
        <w:suppressAutoHyphens/>
        <w:spacing w:before="19"/>
        <w:ind w:left="820"/>
        <w:jc w:val="left"/>
        <w:rPr>
          <w:szCs w:val="24"/>
          <w:u w:val="single"/>
        </w:rPr>
      </w:pPr>
      <w:r w:rsidRPr="00DB1AEE">
        <w:rPr>
          <w:szCs w:val="24"/>
          <w:u w:val="single"/>
        </w:rPr>
        <w:t>a.</w:t>
      </w:r>
      <w:r w:rsidRPr="00DB1AEE">
        <w:rPr>
          <w:szCs w:val="24"/>
          <w:u w:val="single"/>
        </w:rPr>
        <w:tab/>
        <w:t>Cooking</w:t>
      </w:r>
      <w:r w:rsidRPr="00DB1AEE">
        <w:rPr>
          <w:spacing w:val="-3"/>
          <w:szCs w:val="24"/>
          <w:u w:val="single"/>
        </w:rPr>
        <w:t xml:space="preserve"> </w:t>
      </w:r>
      <w:r w:rsidRPr="00DB1AEE">
        <w:rPr>
          <w:szCs w:val="24"/>
          <w:u w:val="single"/>
        </w:rPr>
        <w:t>Energy</w:t>
      </w:r>
      <w:r w:rsidRPr="00DB1AEE">
        <w:rPr>
          <w:spacing w:val="-3"/>
          <w:szCs w:val="24"/>
          <w:u w:val="single"/>
        </w:rPr>
        <w:t xml:space="preserve"> </w:t>
      </w:r>
      <w:r w:rsidRPr="00DB1AEE">
        <w:rPr>
          <w:szCs w:val="24"/>
          <w:u w:val="single"/>
        </w:rPr>
        <w:t>Efficiency</w:t>
      </w:r>
      <w:r w:rsidRPr="00DB1AEE">
        <w:rPr>
          <w:spacing w:val="-3"/>
          <w:szCs w:val="24"/>
          <w:u w:val="single"/>
        </w:rPr>
        <w:t xml:space="preserve"> </w:t>
      </w:r>
      <w:r w:rsidRPr="00DB1AEE">
        <w:rPr>
          <w:szCs w:val="24"/>
          <w:u w:val="single"/>
        </w:rPr>
        <w:t>is</w:t>
      </w:r>
      <w:r w:rsidRPr="00DB1AEE">
        <w:rPr>
          <w:spacing w:val="1"/>
          <w:szCs w:val="24"/>
          <w:u w:val="single"/>
        </w:rPr>
        <w:t xml:space="preserve"> </w:t>
      </w:r>
      <w:r w:rsidRPr="00DB1AEE">
        <w:rPr>
          <w:szCs w:val="24"/>
          <w:u w:val="single"/>
        </w:rPr>
        <w:t>based</w:t>
      </w:r>
      <w:r w:rsidRPr="00DB1AEE">
        <w:rPr>
          <w:spacing w:val="1"/>
          <w:szCs w:val="24"/>
          <w:u w:val="single"/>
        </w:rPr>
        <w:t xml:space="preserve"> </w:t>
      </w:r>
      <w:r w:rsidRPr="00DB1AEE">
        <w:rPr>
          <w:szCs w:val="24"/>
          <w:u w:val="single"/>
        </w:rPr>
        <w:t>on heavy</w:t>
      </w:r>
      <w:r w:rsidRPr="00DB1AEE">
        <w:rPr>
          <w:spacing w:val="-4"/>
          <w:szCs w:val="24"/>
          <w:u w:val="single"/>
        </w:rPr>
        <w:t xml:space="preserve"> </w:t>
      </w:r>
      <w:r w:rsidRPr="00DB1AEE">
        <w:rPr>
          <w:szCs w:val="24"/>
          <w:u w:val="single"/>
        </w:rPr>
        <w:t>load (potato)</w:t>
      </w:r>
      <w:r w:rsidRPr="00DB1AEE">
        <w:rPr>
          <w:spacing w:val="1"/>
          <w:szCs w:val="24"/>
          <w:u w:val="single"/>
        </w:rPr>
        <w:t xml:space="preserve"> </w:t>
      </w:r>
      <w:r w:rsidRPr="00DB1AEE">
        <w:rPr>
          <w:szCs w:val="24"/>
          <w:u w:val="single"/>
        </w:rPr>
        <w:t>cooking</w:t>
      </w:r>
      <w:r w:rsidRPr="00DB1AEE">
        <w:rPr>
          <w:spacing w:val="-2"/>
          <w:szCs w:val="24"/>
          <w:u w:val="single"/>
        </w:rPr>
        <w:t xml:space="preserve"> </w:t>
      </w:r>
      <w:r w:rsidRPr="00DB1AEE">
        <w:rPr>
          <w:szCs w:val="24"/>
          <w:u w:val="single"/>
        </w:rPr>
        <w:t>capacity.</w:t>
      </w:r>
    </w:p>
    <w:bookmarkEnd w:id="331"/>
    <w:p w14:paraId="7F34245B" w14:textId="77777777" w:rsidR="00DB1AEE" w:rsidRPr="00DB1AEE" w:rsidRDefault="00DB1AEE" w:rsidP="00DB1AEE">
      <w:pPr>
        <w:tabs>
          <w:tab w:val="left" w:pos="1180"/>
        </w:tabs>
        <w:suppressAutoHyphens/>
        <w:spacing w:before="19"/>
        <w:ind w:left="820"/>
        <w:jc w:val="left"/>
        <w:rPr>
          <w:szCs w:val="24"/>
          <w:u w:val="single"/>
        </w:rPr>
      </w:pPr>
    </w:p>
    <w:p w14:paraId="0E63B47E" w14:textId="77777777" w:rsidR="00DB1AEE" w:rsidRPr="00DB1AEE" w:rsidRDefault="00DB1AEE" w:rsidP="00DB1AEE">
      <w:pPr>
        <w:suppressAutoHyphens/>
        <w:jc w:val="center"/>
        <w:rPr>
          <w:b/>
          <w:szCs w:val="24"/>
          <w:u w:val="single"/>
        </w:rPr>
      </w:pPr>
      <w:bookmarkStart w:id="332" w:name="_Hlk189733756"/>
      <w:r w:rsidRPr="00DB1AEE">
        <w:rPr>
          <w:b/>
          <w:szCs w:val="24"/>
          <w:u w:val="single"/>
        </w:rPr>
        <w:t>TABLE C405.12(4)</w:t>
      </w:r>
    </w:p>
    <w:p w14:paraId="220FFBF3" w14:textId="77777777" w:rsidR="00DB1AEE" w:rsidRPr="00DB1AEE" w:rsidRDefault="00DB1AEE" w:rsidP="00DB1AEE">
      <w:pPr>
        <w:suppressAutoHyphens/>
        <w:jc w:val="center"/>
        <w:rPr>
          <w:b/>
          <w:szCs w:val="24"/>
          <w:u w:val="single"/>
        </w:rPr>
      </w:pPr>
      <w:r w:rsidRPr="00DB1AEE">
        <w:rPr>
          <w:b/>
          <w:szCs w:val="24"/>
          <w:u w:val="single"/>
        </w:rPr>
        <w:t>MINIMUM EFFICIENCY REQUIREMENTS: COMMERCIAL DISHWASHERS</w:t>
      </w:r>
    </w:p>
    <w:p w14:paraId="5A415944" w14:textId="77777777" w:rsidR="00DB1AEE" w:rsidRPr="00DB1AEE" w:rsidRDefault="00DB1AEE" w:rsidP="00DB1AEE">
      <w:pPr>
        <w:suppressAutoHyphens/>
        <w:jc w:val="center"/>
        <w:rPr>
          <w:b/>
          <w:szCs w:val="24"/>
          <w:u w:val="single"/>
        </w:rPr>
      </w:pPr>
      <w:r w:rsidRPr="00DB1AEE">
        <w:rPr>
          <w:b/>
          <w:szCs w:val="24"/>
          <w:u w:val="single"/>
        </w:rPr>
        <w:t>(This table is intended to be a restatement of the legally binding provisions found in Title 10 CFR Part 431 included here as a convenience to the users of this code)</w:t>
      </w:r>
    </w:p>
    <w:tbl>
      <w:tblPr>
        <w:tblW w:w="95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72"/>
        <w:gridCol w:w="1539"/>
        <w:gridCol w:w="1781"/>
        <w:gridCol w:w="1537"/>
        <w:gridCol w:w="1782"/>
        <w:gridCol w:w="1369"/>
      </w:tblGrid>
      <w:tr w:rsidR="00DB1AEE" w:rsidRPr="00DB1AEE" w14:paraId="434D2603" w14:textId="77777777" w:rsidTr="00FC1832">
        <w:trPr>
          <w:trHeight w:val="414"/>
        </w:trPr>
        <w:tc>
          <w:tcPr>
            <w:tcW w:w="1572" w:type="dxa"/>
          </w:tcPr>
          <w:p w14:paraId="180A6431" w14:textId="77777777" w:rsidR="00DB1AEE" w:rsidRPr="00DB1AEE" w:rsidRDefault="00DB1AEE" w:rsidP="00DB1AEE">
            <w:pPr>
              <w:widowControl w:val="0"/>
              <w:autoSpaceDE w:val="0"/>
              <w:autoSpaceDN w:val="0"/>
              <w:ind w:left="175" w:right="166"/>
              <w:jc w:val="center"/>
              <w:rPr>
                <w:b/>
                <w:szCs w:val="24"/>
                <w:u w:val="single"/>
              </w:rPr>
            </w:pPr>
            <w:r w:rsidRPr="00DB1AEE">
              <w:rPr>
                <w:b/>
                <w:szCs w:val="24"/>
                <w:u w:val="single"/>
              </w:rPr>
              <w:t>MACHINE</w:t>
            </w:r>
          </w:p>
          <w:p w14:paraId="61B26126" w14:textId="77777777" w:rsidR="00DB1AEE" w:rsidRPr="00DB1AEE" w:rsidRDefault="00DB1AEE" w:rsidP="00DB1AEE">
            <w:pPr>
              <w:widowControl w:val="0"/>
              <w:autoSpaceDE w:val="0"/>
              <w:autoSpaceDN w:val="0"/>
              <w:ind w:left="173" w:right="167"/>
              <w:jc w:val="center"/>
              <w:rPr>
                <w:b/>
                <w:szCs w:val="24"/>
                <w:u w:val="single"/>
              </w:rPr>
            </w:pPr>
            <w:r w:rsidRPr="00DB1AEE">
              <w:rPr>
                <w:b/>
                <w:szCs w:val="24"/>
                <w:u w:val="single"/>
              </w:rPr>
              <w:t>TYPE</w:t>
            </w:r>
          </w:p>
        </w:tc>
        <w:tc>
          <w:tcPr>
            <w:tcW w:w="3320" w:type="dxa"/>
            <w:gridSpan w:val="2"/>
          </w:tcPr>
          <w:p w14:paraId="1345D53C" w14:textId="77777777" w:rsidR="00DB1AEE" w:rsidRPr="00DB1AEE" w:rsidRDefault="00DB1AEE" w:rsidP="00DB1AEE">
            <w:pPr>
              <w:widowControl w:val="0"/>
              <w:autoSpaceDE w:val="0"/>
              <w:autoSpaceDN w:val="0"/>
              <w:ind w:left="577" w:right="572"/>
              <w:jc w:val="center"/>
              <w:rPr>
                <w:b/>
                <w:szCs w:val="24"/>
                <w:u w:val="single"/>
              </w:rPr>
            </w:pPr>
            <w:r w:rsidRPr="00DB1AEE">
              <w:rPr>
                <w:b/>
                <w:szCs w:val="24"/>
                <w:u w:val="single"/>
              </w:rPr>
              <w:t>HIGH</w:t>
            </w:r>
            <w:r w:rsidRPr="00DB1AEE">
              <w:rPr>
                <w:b/>
                <w:spacing w:val="-1"/>
                <w:szCs w:val="24"/>
                <w:u w:val="single"/>
              </w:rPr>
              <w:t xml:space="preserve"> </w:t>
            </w:r>
            <w:r w:rsidRPr="00DB1AEE">
              <w:rPr>
                <w:b/>
                <w:szCs w:val="24"/>
                <w:u w:val="single"/>
              </w:rPr>
              <w:t>TEMP EFFICIENCY</w:t>
            </w:r>
          </w:p>
          <w:p w14:paraId="79121DE2" w14:textId="77777777" w:rsidR="00DB1AEE" w:rsidRPr="00DB1AEE" w:rsidRDefault="00DB1AEE" w:rsidP="00DB1AEE">
            <w:pPr>
              <w:widowControl w:val="0"/>
              <w:autoSpaceDE w:val="0"/>
              <w:autoSpaceDN w:val="0"/>
              <w:ind w:left="577" w:right="570"/>
              <w:jc w:val="center"/>
              <w:rPr>
                <w:b/>
                <w:szCs w:val="24"/>
                <w:u w:val="single"/>
              </w:rPr>
            </w:pPr>
            <w:r w:rsidRPr="00DB1AEE">
              <w:rPr>
                <w:b/>
                <w:szCs w:val="24"/>
                <w:u w:val="single"/>
              </w:rPr>
              <w:t>REQUIREMENTS</w:t>
            </w:r>
          </w:p>
        </w:tc>
        <w:tc>
          <w:tcPr>
            <w:tcW w:w="3319" w:type="dxa"/>
            <w:gridSpan w:val="2"/>
          </w:tcPr>
          <w:p w14:paraId="4711650E" w14:textId="77777777" w:rsidR="00DB1AEE" w:rsidRPr="00DB1AEE" w:rsidRDefault="00DB1AEE" w:rsidP="00DB1AEE">
            <w:pPr>
              <w:widowControl w:val="0"/>
              <w:autoSpaceDE w:val="0"/>
              <w:autoSpaceDN w:val="0"/>
              <w:ind w:left="595" w:right="585"/>
              <w:jc w:val="center"/>
              <w:rPr>
                <w:b/>
                <w:szCs w:val="24"/>
                <w:u w:val="single"/>
              </w:rPr>
            </w:pPr>
            <w:r w:rsidRPr="00DB1AEE">
              <w:rPr>
                <w:b/>
                <w:szCs w:val="24"/>
                <w:u w:val="single"/>
              </w:rPr>
              <w:t>LOW</w:t>
            </w:r>
            <w:r w:rsidRPr="00DB1AEE">
              <w:rPr>
                <w:b/>
                <w:spacing w:val="-1"/>
                <w:szCs w:val="24"/>
                <w:u w:val="single"/>
              </w:rPr>
              <w:t xml:space="preserve"> </w:t>
            </w:r>
            <w:r w:rsidRPr="00DB1AEE">
              <w:rPr>
                <w:b/>
                <w:szCs w:val="24"/>
                <w:u w:val="single"/>
              </w:rPr>
              <w:t>TEMP EFFICIENCY</w:t>
            </w:r>
          </w:p>
          <w:p w14:paraId="015EB0F7" w14:textId="77777777" w:rsidR="00DB1AEE" w:rsidRPr="00DB1AEE" w:rsidRDefault="00DB1AEE" w:rsidP="00DB1AEE">
            <w:pPr>
              <w:widowControl w:val="0"/>
              <w:autoSpaceDE w:val="0"/>
              <w:autoSpaceDN w:val="0"/>
              <w:ind w:left="592" w:right="585"/>
              <w:jc w:val="center"/>
              <w:rPr>
                <w:b/>
                <w:szCs w:val="24"/>
                <w:u w:val="single"/>
              </w:rPr>
            </w:pPr>
            <w:r w:rsidRPr="00DB1AEE">
              <w:rPr>
                <w:b/>
                <w:szCs w:val="24"/>
                <w:u w:val="single"/>
              </w:rPr>
              <w:t>REQUIREMENTS</w:t>
            </w:r>
          </w:p>
        </w:tc>
        <w:tc>
          <w:tcPr>
            <w:tcW w:w="1369" w:type="dxa"/>
            <w:vMerge w:val="restart"/>
          </w:tcPr>
          <w:p w14:paraId="28B7B645" w14:textId="77777777" w:rsidR="00DB1AEE" w:rsidRPr="00DB1AEE" w:rsidRDefault="00DB1AEE" w:rsidP="00DB1AEE">
            <w:pPr>
              <w:widowControl w:val="0"/>
              <w:autoSpaceDE w:val="0"/>
              <w:autoSpaceDN w:val="0"/>
              <w:ind w:left="1098"/>
              <w:jc w:val="center"/>
              <w:rPr>
                <w:b/>
                <w:szCs w:val="24"/>
                <w:u w:val="single"/>
              </w:rPr>
            </w:pPr>
          </w:p>
          <w:p w14:paraId="2AD833EF" w14:textId="77777777" w:rsidR="00DB1AEE" w:rsidRPr="00DB1AEE" w:rsidRDefault="00DB1AEE" w:rsidP="00DB1AEE">
            <w:pPr>
              <w:widowControl w:val="0"/>
              <w:autoSpaceDE w:val="0"/>
              <w:autoSpaceDN w:val="0"/>
              <w:ind w:left="106" w:right="91" w:firstLine="345"/>
              <w:jc w:val="center"/>
              <w:rPr>
                <w:b/>
                <w:szCs w:val="24"/>
                <w:u w:val="single"/>
              </w:rPr>
            </w:pPr>
            <w:r w:rsidRPr="00DB1AEE">
              <w:rPr>
                <w:b/>
                <w:szCs w:val="24"/>
                <w:u w:val="single"/>
              </w:rPr>
              <w:t>TEST</w:t>
            </w:r>
            <w:r w:rsidRPr="00DB1AEE">
              <w:rPr>
                <w:b/>
                <w:spacing w:val="1"/>
                <w:szCs w:val="24"/>
                <w:u w:val="single"/>
              </w:rPr>
              <w:t xml:space="preserve"> </w:t>
            </w:r>
            <w:r w:rsidRPr="00DB1AEE">
              <w:rPr>
                <w:b/>
                <w:spacing w:val="-1"/>
                <w:szCs w:val="24"/>
                <w:u w:val="single"/>
              </w:rPr>
              <w:t>PROCEDURE</w:t>
            </w:r>
          </w:p>
        </w:tc>
      </w:tr>
      <w:tr w:rsidR="00DB1AEE" w:rsidRPr="00DB1AEE" w14:paraId="1449BBE8" w14:textId="77777777" w:rsidTr="00FC1832">
        <w:trPr>
          <w:trHeight w:val="414"/>
        </w:trPr>
        <w:tc>
          <w:tcPr>
            <w:tcW w:w="1572" w:type="dxa"/>
          </w:tcPr>
          <w:p w14:paraId="01B81C8B" w14:textId="77777777" w:rsidR="00DB1AEE" w:rsidRPr="00DB1AEE" w:rsidRDefault="00DB1AEE" w:rsidP="00DB1AEE">
            <w:pPr>
              <w:widowControl w:val="0"/>
              <w:autoSpaceDE w:val="0"/>
              <w:autoSpaceDN w:val="0"/>
              <w:ind w:left="1098"/>
              <w:jc w:val="center"/>
              <w:rPr>
                <w:szCs w:val="24"/>
                <w:u w:val="single"/>
              </w:rPr>
            </w:pPr>
          </w:p>
        </w:tc>
        <w:tc>
          <w:tcPr>
            <w:tcW w:w="1539" w:type="dxa"/>
          </w:tcPr>
          <w:p w14:paraId="0F2BBB65" w14:textId="77777777" w:rsidR="00DB1AEE" w:rsidRPr="00DB1AEE" w:rsidRDefault="00DB1AEE" w:rsidP="00DB1AEE">
            <w:pPr>
              <w:widowControl w:val="0"/>
              <w:autoSpaceDE w:val="0"/>
              <w:autoSpaceDN w:val="0"/>
              <w:ind w:left="264" w:right="253"/>
              <w:jc w:val="center"/>
              <w:rPr>
                <w:b/>
                <w:szCs w:val="24"/>
                <w:u w:val="single"/>
              </w:rPr>
            </w:pPr>
            <w:r w:rsidRPr="00DB1AEE">
              <w:rPr>
                <w:b/>
                <w:szCs w:val="24"/>
                <w:u w:val="single"/>
              </w:rPr>
              <w:t>Idle Energy</w:t>
            </w:r>
          </w:p>
          <w:p w14:paraId="1BC0BC55" w14:textId="77777777" w:rsidR="00DB1AEE" w:rsidRPr="00DB1AEE" w:rsidRDefault="00DB1AEE" w:rsidP="00DB1AEE">
            <w:pPr>
              <w:widowControl w:val="0"/>
              <w:autoSpaceDE w:val="0"/>
              <w:autoSpaceDN w:val="0"/>
              <w:ind w:left="261" w:right="253"/>
              <w:jc w:val="center"/>
              <w:rPr>
                <w:b/>
                <w:szCs w:val="24"/>
                <w:u w:val="single"/>
              </w:rPr>
            </w:pPr>
            <w:r w:rsidRPr="00DB1AEE">
              <w:rPr>
                <w:b/>
                <w:szCs w:val="24"/>
                <w:u w:val="single"/>
              </w:rPr>
              <w:t>Rate</w:t>
            </w:r>
            <w:r w:rsidRPr="00DB1AEE">
              <w:rPr>
                <w:b/>
                <w:szCs w:val="24"/>
                <w:u w:val="single"/>
                <w:vertAlign w:val="superscript"/>
              </w:rPr>
              <w:t>a</w:t>
            </w:r>
          </w:p>
        </w:tc>
        <w:tc>
          <w:tcPr>
            <w:tcW w:w="1781" w:type="dxa"/>
          </w:tcPr>
          <w:p w14:paraId="4C05BA8E" w14:textId="77777777" w:rsidR="00DB1AEE" w:rsidRPr="00DB1AEE" w:rsidRDefault="00DB1AEE" w:rsidP="00DB1AEE">
            <w:pPr>
              <w:widowControl w:val="0"/>
              <w:autoSpaceDE w:val="0"/>
              <w:autoSpaceDN w:val="0"/>
              <w:ind w:left="227" w:right="221"/>
              <w:jc w:val="center"/>
              <w:rPr>
                <w:b/>
                <w:szCs w:val="24"/>
                <w:u w:val="single"/>
              </w:rPr>
            </w:pPr>
            <w:r w:rsidRPr="00DB1AEE">
              <w:rPr>
                <w:b/>
                <w:szCs w:val="24"/>
                <w:u w:val="single"/>
              </w:rPr>
              <w:t>Water</w:t>
            </w:r>
          </w:p>
          <w:p w14:paraId="12D2C3D6" w14:textId="77777777" w:rsidR="00DB1AEE" w:rsidRPr="00DB1AEE" w:rsidRDefault="00DB1AEE" w:rsidP="00DB1AEE">
            <w:pPr>
              <w:widowControl w:val="0"/>
              <w:autoSpaceDE w:val="0"/>
              <w:autoSpaceDN w:val="0"/>
              <w:ind w:left="227" w:right="217"/>
              <w:jc w:val="center"/>
              <w:rPr>
                <w:b/>
                <w:szCs w:val="24"/>
                <w:u w:val="single"/>
              </w:rPr>
            </w:pPr>
            <w:r w:rsidRPr="00DB1AEE">
              <w:rPr>
                <w:b/>
                <w:szCs w:val="24"/>
                <w:u w:val="single"/>
              </w:rPr>
              <w:t>Consumption</w:t>
            </w:r>
            <w:r w:rsidRPr="00DB1AEE">
              <w:rPr>
                <w:b/>
                <w:szCs w:val="24"/>
                <w:u w:val="single"/>
                <w:vertAlign w:val="superscript"/>
              </w:rPr>
              <w:t>b</w:t>
            </w:r>
          </w:p>
        </w:tc>
        <w:tc>
          <w:tcPr>
            <w:tcW w:w="1537" w:type="dxa"/>
          </w:tcPr>
          <w:p w14:paraId="3AAFB1F3" w14:textId="77777777" w:rsidR="00DB1AEE" w:rsidRPr="00DB1AEE" w:rsidRDefault="00DB1AEE" w:rsidP="00DB1AEE">
            <w:pPr>
              <w:widowControl w:val="0"/>
              <w:autoSpaceDE w:val="0"/>
              <w:autoSpaceDN w:val="0"/>
              <w:ind w:left="265" w:right="251"/>
              <w:jc w:val="center"/>
              <w:rPr>
                <w:b/>
                <w:szCs w:val="24"/>
                <w:u w:val="single"/>
              </w:rPr>
            </w:pPr>
            <w:r w:rsidRPr="00DB1AEE">
              <w:rPr>
                <w:b/>
                <w:szCs w:val="24"/>
                <w:u w:val="single"/>
              </w:rPr>
              <w:t>Idle Energy</w:t>
            </w:r>
          </w:p>
          <w:p w14:paraId="014A7C84" w14:textId="77777777" w:rsidR="00DB1AEE" w:rsidRPr="00DB1AEE" w:rsidRDefault="00DB1AEE" w:rsidP="00DB1AEE">
            <w:pPr>
              <w:widowControl w:val="0"/>
              <w:autoSpaceDE w:val="0"/>
              <w:autoSpaceDN w:val="0"/>
              <w:ind w:left="261" w:right="251"/>
              <w:jc w:val="center"/>
              <w:rPr>
                <w:b/>
                <w:szCs w:val="24"/>
                <w:u w:val="single"/>
              </w:rPr>
            </w:pPr>
            <w:r w:rsidRPr="00DB1AEE">
              <w:rPr>
                <w:b/>
                <w:szCs w:val="24"/>
                <w:u w:val="single"/>
              </w:rPr>
              <w:t>Rate</w:t>
            </w:r>
            <w:r w:rsidRPr="00DB1AEE">
              <w:rPr>
                <w:b/>
                <w:szCs w:val="24"/>
                <w:u w:val="single"/>
                <w:vertAlign w:val="superscript"/>
              </w:rPr>
              <w:t>a</w:t>
            </w:r>
          </w:p>
        </w:tc>
        <w:tc>
          <w:tcPr>
            <w:tcW w:w="1782" w:type="dxa"/>
          </w:tcPr>
          <w:p w14:paraId="21978123" w14:textId="77777777" w:rsidR="00DB1AEE" w:rsidRPr="00DB1AEE" w:rsidRDefault="00DB1AEE" w:rsidP="00DB1AEE">
            <w:pPr>
              <w:widowControl w:val="0"/>
              <w:autoSpaceDE w:val="0"/>
              <w:autoSpaceDN w:val="0"/>
              <w:ind w:left="226" w:right="222"/>
              <w:jc w:val="center"/>
              <w:rPr>
                <w:b/>
                <w:szCs w:val="24"/>
                <w:u w:val="single"/>
              </w:rPr>
            </w:pPr>
            <w:r w:rsidRPr="00DB1AEE">
              <w:rPr>
                <w:b/>
                <w:szCs w:val="24"/>
                <w:u w:val="single"/>
              </w:rPr>
              <w:t>Water</w:t>
            </w:r>
          </w:p>
          <w:p w14:paraId="4C41E37F" w14:textId="77777777" w:rsidR="00DB1AEE" w:rsidRPr="00DB1AEE" w:rsidRDefault="00DB1AEE" w:rsidP="00DB1AEE">
            <w:pPr>
              <w:widowControl w:val="0"/>
              <w:autoSpaceDE w:val="0"/>
              <w:autoSpaceDN w:val="0"/>
              <w:ind w:left="226" w:right="218"/>
              <w:jc w:val="center"/>
              <w:rPr>
                <w:b/>
                <w:szCs w:val="24"/>
                <w:u w:val="single"/>
              </w:rPr>
            </w:pPr>
            <w:r w:rsidRPr="00DB1AEE">
              <w:rPr>
                <w:b/>
                <w:szCs w:val="24"/>
                <w:u w:val="single"/>
              </w:rPr>
              <w:t>Consumption</w:t>
            </w:r>
            <w:r w:rsidRPr="00DB1AEE">
              <w:rPr>
                <w:b/>
                <w:szCs w:val="24"/>
                <w:u w:val="single"/>
                <w:vertAlign w:val="superscript"/>
              </w:rPr>
              <w:t>b</w:t>
            </w:r>
          </w:p>
        </w:tc>
        <w:tc>
          <w:tcPr>
            <w:tcW w:w="1369" w:type="dxa"/>
            <w:vMerge/>
            <w:tcBorders>
              <w:top w:val="nil"/>
            </w:tcBorders>
          </w:tcPr>
          <w:p w14:paraId="16C164EE" w14:textId="77777777" w:rsidR="00DB1AEE" w:rsidRPr="00DB1AEE" w:rsidRDefault="00DB1AEE" w:rsidP="00DB1AEE">
            <w:pPr>
              <w:suppressAutoHyphens/>
              <w:jc w:val="left"/>
              <w:rPr>
                <w:szCs w:val="24"/>
                <w:u w:val="single"/>
              </w:rPr>
            </w:pPr>
          </w:p>
        </w:tc>
      </w:tr>
      <w:tr w:rsidR="00DB1AEE" w:rsidRPr="00DB1AEE" w14:paraId="12DB0F42" w14:textId="77777777" w:rsidTr="00FC1832">
        <w:trPr>
          <w:trHeight w:val="206"/>
        </w:trPr>
        <w:tc>
          <w:tcPr>
            <w:tcW w:w="1572" w:type="dxa"/>
          </w:tcPr>
          <w:p w14:paraId="6BBA64A8" w14:textId="77777777" w:rsidR="00DB1AEE" w:rsidRPr="00DB1AEE" w:rsidRDefault="00DB1AEE" w:rsidP="00DB1AEE">
            <w:pPr>
              <w:widowControl w:val="0"/>
              <w:autoSpaceDE w:val="0"/>
              <w:autoSpaceDN w:val="0"/>
              <w:ind w:left="175" w:right="167"/>
              <w:jc w:val="center"/>
              <w:rPr>
                <w:szCs w:val="24"/>
                <w:u w:val="single"/>
              </w:rPr>
            </w:pPr>
            <w:r w:rsidRPr="00DB1AEE">
              <w:rPr>
                <w:szCs w:val="24"/>
                <w:u w:val="single"/>
              </w:rPr>
              <w:t>Under</w:t>
            </w:r>
            <w:r w:rsidRPr="00DB1AEE">
              <w:rPr>
                <w:spacing w:val="1"/>
                <w:szCs w:val="24"/>
                <w:u w:val="single"/>
              </w:rPr>
              <w:t xml:space="preserve"> </w:t>
            </w:r>
            <w:r w:rsidRPr="00DB1AEE">
              <w:rPr>
                <w:szCs w:val="24"/>
                <w:u w:val="single"/>
              </w:rPr>
              <w:t>Counter</w:t>
            </w:r>
          </w:p>
        </w:tc>
        <w:tc>
          <w:tcPr>
            <w:tcW w:w="1539" w:type="dxa"/>
          </w:tcPr>
          <w:p w14:paraId="68B475C4" w14:textId="77777777" w:rsidR="00DB1AEE" w:rsidRPr="00DB1AEE" w:rsidRDefault="00DB1AEE" w:rsidP="00DB1AEE">
            <w:pPr>
              <w:widowControl w:val="0"/>
              <w:autoSpaceDE w:val="0"/>
              <w:autoSpaceDN w:val="0"/>
              <w:ind w:left="253" w:right="253"/>
              <w:jc w:val="center"/>
              <w:rPr>
                <w:szCs w:val="24"/>
                <w:u w:val="single"/>
              </w:rPr>
            </w:pPr>
            <w:r w:rsidRPr="00DB1AEE">
              <w:rPr>
                <w:szCs w:val="24"/>
                <w:u w:val="single"/>
              </w:rPr>
              <w:t>≤</w:t>
            </w:r>
            <w:r w:rsidRPr="00DB1AEE">
              <w:rPr>
                <w:spacing w:val="-2"/>
                <w:szCs w:val="24"/>
                <w:u w:val="single"/>
              </w:rPr>
              <w:t xml:space="preserve"> </w:t>
            </w:r>
            <w:r w:rsidRPr="00DB1AEE">
              <w:rPr>
                <w:szCs w:val="24"/>
                <w:u w:val="single"/>
              </w:rPr>
              <w:t>0.50</w:t>
            </w:r>
            <w:r w:rsidRPr="00DB1AEE">
              <w:rPr>
                <w:spacing w:val="-3"/>
                <w:szCs w:val="24"/>
                <w:u w:val="single"/>
              </w:rPr>
              <w:t xml:space="preserve"> </w:t>
            </w:r>
            <w:r w:rsidRPr="00DB1AEE">
              <w:rPr>
                <w:szCs w:val="24"/>
                <w:u w:val="single"/>
              </w:rPr>
              <w:t>kW</w:t>
            </w:r>
          </w:p>
        </w:tc>
        <w:tc>
          <w:tcPr>
            <w:tcW w:w="1781" w:type="dxa"/>
          </w:tcPr>
          <w:p w14:paraId="6E16E067" w14:textId="77777777" w:rsidR="00DB1AEE" w:rsidRPr="00DB1AEE" w:rsidRDefault="00DB1AEE" w:rsidP="00DB1AEE">
            <w:pPr>
              <w:widowControl w:val="0"/>
              <w:autoSpaceDE w:val="0"/>
              <w:autoSpaceDN w:val="0"/>
              <w:ind w:left="227" w:right="218"/>
              <w:jc w:val="center"/>
              <w:rPr>
                <w:szCs w:val="24"/>
                <w:u w:val="single"/>
              </w:rPr>
            </w:pPr>
            <w:r w:rsidRPr="00DB1AEE">
              <w:rPr>
                <w:szCs w:val="24"/>
                <w:u w:val="single"/>
              </w:rPr>
              <w:t>≤</w:t>
            </w:r>
            <w:r w:rsidRPr="00DB1AEE">
              <w:rPr>
                <w:spacing w:val="-1"/>
                <w:szCs w:val="24"/>
                <w:u w:val="single"/>
              </w:rPr>
              <w:t xml:space="preserve"> </w:t>
            </w:r>
            <w:r w:rsidRPr="00DB1AEE">
              <w:rPr>
                <w:szCs w:val="24"/>
                <w:u w:val="single"/>
              </w:rPr>
              <w:t>0.86 GPR</w:t>
            </w:r>
          </w:p>
        </w:tc>
        <w:tc>
          <w:tcPr>
            <w:tcW w:w="1537" w:type="dxa"/>
          </w:tcPr>
          <w:p w14:paraId="7EABC773" w14:textId="77777777" w:rsidR="00DB1AEE" w:rsidRPr="00DB1AEE" w:rsidRDefault="00DB1AEE" w:rsidP="00DB1AEE">
            <w:pPr>
              <w:widowControl w:val="0"/>
              <w:autoSpaceDE w:val="0"/>
              <w:autoSpaceDN w:val="0"/>
              <w:ind w:left="362"/>
              <w:jc w:val="center"/>
              <w:rPr>
                <w:szCs w:val="24"/>
                <w:u w:val="single"/>
              </w:rPr>
            </w:pPr>
            <w:r w:rsidRPr="00DB1AEE">
              <w:rPr>
                <w:szCs w:val="24"/>
                <w:u w:val="single"/>
              </w:rPr>
              <w:t>≤</w:t>
            </w:r>
            <w:r w:rsidRPr="00DB1AEE">
              <w:rPr>
                <w:spacing w:val="-2"/>
                <w:szCs w:val="24"/>
                <w:u w:val="single"/>
              </w:rPr>
              <w:t xml:space="preserve"> </w:t>
            </w:r>
            <w:r w:rsidRPr="00DB1AEE">
              <w:rPr>
                <w:szCs w:val="24"/>
                <w:u w:val="single"/>
              </w:rPr>
              <w:t>0.50</w:t>
            </w:r>
            <w:r w:rsidRPr="00DB1AEE">
              <w:rPr>
                <w:spacing w:val="-3"/>
                <w:szCs w:val="24"/>
                <w:u w:val="single"/>
              </w:rPr>
              <w:t xml:space="preserve"> </w:t>
            </w:r>
            <w:r w:rsidRPr="00DB1AEE">
              <w:rPr>
                <w:szCs w:val="24"/>
                <w:u w:val="single"/>
              </w:rPr>
              <w:t>kW</w:t>
            </w:r>
          </w:p>
        </w:tc>
        <w:tc>
          <w:tcPr>
            <w:tcW w:w="1782" w:type="dxa"/>
          </w:tcPr>
          <w:p w14:paraId="1F0F86AF" w14:textId="77777777" w:rsidR="00DB1AEE" w:rsidRPr="00DB1AEE" w:rsidRDefault="00DB1AEE" w:rsidP="00DB1AEE">
            <w:pPr>
              <w:widowControl w:val="0"/>
              <w:autoSpaceDE w:val="0"/>
              <w:autoSpaceDN w:val="0"/>
              <w:ind w:left="226" w:right="220"/>
              <w:jc w:val="center"/>
              <w:rPr>
                <w:szCs w:val="24"/>
                <w:u w:val="single"/>
              </w:rPr>
            </w:pPr>
            <w:r w:rsidRPr="00DB1AEE">
              <w:rPr>
                <w:szCs w:val="24"/>
                <w:u w:val="single"/>
              </w:rPr>
              <w:t>≤</w:t>
            </w:r>
            <w:r w:rsidRPr="00DB1AEE">
              <w:rPr>
                <w:spacing w:val="-1"/>
                <w:szCs w:val="24"/>
                <w:u w:val="single"/>
              </w:rPr>
              <w:t xml:space="preserve"> </w:t>
            </w:r>
            <w:r w:rsidRPr="00DB1AEE">
              <w:rPr>
                <w:szCs w:val="24"/>
                <w:u w:val="single"/>
              </w:rPr>
              <w:t>1.19 GPR</w:t>
            </w:r>
          </w:p>
        </w:tc>
        <w:tc>
          <w:tcPr>
            <w:tcW w:w="1369" w:type="dxa"/>
            <w:tcBorders>
              <w:bottom w:val="nil"/>
            </w:tcBorders>
          </w:tcPr>
          <w:p w14:paraId="31AE9D73" w14:textId="77777777" w:rsidR="00DB1AEE" w:rsidRPr="00DB1AEE" w:rsidRDefault="00DB1AEE" w:rsidP="00DB1AEE">
            <w:pPr>
              <w:widowControl w:val="0"/>
              <w:autoSpaceDE w:val="0"/>
              <w:autoSpaceDN w:val="0"/>
              <w:ind w:left="1098"/>
              <w:jc w:val="center"/>
              <w:rPr>
                <w:szCs w:val="24"/>
                <w:u w:val="single"/>
              </w:rPr>
            </w:pPr>
          </w:p>
        </w:tc>
      </w:tr>
      <w:tr w:rsidR="00DB1AEE" w:rsidRPr="00DB1AEE" w14:paraId="05CEF922" w14:textId="77777777" w:rsidTr="00FC1832">
        <w:trPr>
          <w:trHeight w:val="208"/>
        </w:trPr>
        <w:tc>
          <w:tcPr>
            <w:tcW w:w="1572" w:type="dxa"/>
            <w:tcBorders>
              <w:bottom w:val="nil"/>
            </w:tcBorders>
          </w:tcPr>
          <w:p w14:paraId="78E51F94" w14:textId="77777777" w:rsidR="00DB1AEE" w:rsidRPr="00DB1AEE" w:rsidRDefault="00DB1AEE" w:rsidP="00DB1AEE">
            <w:pPr>
              <w:widowControl w:val="0"/>
              <w:autoSpaceDE w:val="0"/>
              <w:autoSpaceDN w:val="0"/>
              <w:ind w:left="174" w:right="167"/>
              <w:jc w:val="center"/>
              <w:rPr>
                <w:szCs w:val="24"/>
                <w:u w:val="single"/>
              </w:rPr>
            </w:pPr>
            <w:r w:rsidRPr="00DB1AEE">
              <w:rPr>
                <w:szCs w:val="24"/>
                <w:u w:val="single"/>
              </w:rPr>
              <w:t>Stationary</w:t>
            </w:r>
          </w:p>
        </w:tc>
        <w:tc>
          <w:tcPr>
            <w:tcW w:w="1539" w:type="dxa"/>
            <w:tcBorders>
              <w:bottom w:val="nil"/>
            </w:tcBorders>
          </w:tcPr>
          <w:p w14:paraId="08F97159" w14:textId="77777777" w:rsidR="00DB1AEE" w:rsidRPr="00DB1AEE" w:rsidRDefault="00DB1AEE" w:rsidP="00DB1AEE">
            <w:pPr>
              <w:widowControl w:val="0"/>
              <w:autoSpaceDE w:val="0"/>
              <w:autoSpaceDN w:val="0"/>
              <w:ind w:left="1098"/>
              <w:jc w:val="center"/>
              <w:rPr>
                <w:szCs w:val="24"/>
                <w:u w:val="single"/>
              </w:rPr>
            </w:pPr>
          </w:p>
        </w:tc>
        <w:tc>
          <w:tcPr>
            <w:tcW w:w="1781" w:type="dxa"/>
            <w:tcBorders>
              <w:bottom w:val="nil"/>
            </w:tcBorders>
          </w:tcPr>
          <w:p w14:paraId="647E0B1E" w14:textId="77777777" w:rsidR="00DB1AEE" w:rsidRPr="00DB1AEE" w:rsidRDefault="00DB1AEE" w:rsidP="00DB1AEE">
            <w:pPr>
              <w:widowControl w:val="0"/>
              <w:autoSpaceDE w:val="0"/>
              <w:autoSpaceDN w:val="0"/>
              <w:ind w:left="1098"/>
              <w:jc w:val="center"/>
              <w:rPr>
                <w:szCs w:val="24"/>
                <w:u w:val="single"/>
              </w:rPr>
            </w:pPr>
          </w:p>
        </w:tc>
        <w:tc>
          <w:tcPr>
            <w:tcW w:w="1537" w:type="dxa"/>
            <w:tcBorders>
              <w:bottom w:val="nil"/>
            </w:tcBorders>
          </w:tcPr>
          <w:p w14:paraId="527D690C" w14:textId="77777777" w:rsidR="00DB1AEE" w:rsidRPr="00DB1AEE" w:rsidRDefault="00DB1AEE" w:rsidP="00DB1AEE">
            <w:pPr>
              <w:widowControl w:val="0"/>
              <w:autoSpaceDE w:val="0"/>
              <w:autoSpaceDN w:val="0"/>
              <w:ind w:left="1098"/>
              <w:jc w:val="center"/>
              <w:rPr>
                <w:szCs w:val="24"/>
                <w:u w:val="single"/>
              </w:rPr>
            </w:pPr>
          </w:p>
        </w:tc>
        <w:tc>
          <w:tcPr>
            <w:tcW w:w="1782" w:type="dxa"/>
            <w:tcBorders>
              <w:bottom w:val="nil"/>
            </w:tcBorders>
          </w:tcPr>
          <w:p w14:paraId="3033C176" w14:textId="77777777" w:rsidR="00DB1AEE" w:rsidRPr="00DB1AEE" w:rsidRDefault="00DB1AEE" w:rsidP="00DB1AEE">
            <w:pPr>
              <w:widowControl w:val="0"/>
              <w:autoSpaceDE w:val="0"/>
              <w:autoSpaceDN w:val="0"/>
              <w:ind w:left="1098"/>
              <w:jc w:val="center"/>
              <w:rPr>
                <w:szCs w:val="24"/>
                <w:u w:val="single"/>
              </w:rPr>
            </w:pPr>
          </w:p>
        </w:tc>
        <w:tc>
          <w:tcPr>
            <w:tcW w:w="1369" w:type="dxa"/>
            <w:tcBorders>
              <w:top w:val="nil"/>
              <w:bottom w:val="nil"/>
            </w:tcBorders>
          </w:tcPr>
          <w:p w14:paraId="4C918603" w14:textId="77777777" w:rsidR="00DB1AEE" w:rsidRPr="00DB1AEE" w:rsidRDefault="00DB1AEE" w:rsidP="00DB1AEE">
            <w:pPr>
              <w:widowControl w:val="0"/>
              <w:autoSpaceDE w:val="0"/>
              <w:autoSpaceDN w:val="0"/>
              <w:ind w:left="1098"/>
              <w:jc w:val="center"/>
              <w:rPr>
                <w:szCs w:val="24"/>
                <w:u w:val="single"/>
              </w:rPr>
            </w:pPr>
          </w:p>
        </w:tc>
      </w:tr>
      <w:tr w:rsidR="00DB1AEE" w:rsidRPr="00DB1AEE" w14:paraId="4582D625" w14:textId="77777777" w:rsidTr="00FC1832">
        <w:trPr>
          <w:trHeight w:val="207"/>
        </w:trPr>
        <w:tc>
          <w:tcPr>
            <w:tcW w:w="1572" w:type="dxa"/>
            <w:tcBorders>
              <w:top w:val="nil"/>
              <w:bottom w:val="nil"/>
            </w:tcBorders>
          </w:tcPr>
          <w:p w14:paraId="7038513C" w14:textId="77777777" w:rsidR="00DB1AEE" w:rsidRPr="00DB1AEE" w:rsidRDefault="00DB1AEE" w:rsidP="00DB1AEE">
            <w:pPr>
              <w:widowControl w:val="0"/>
              <w:autoSpaceDE w:val="0"/>
              <w:autoSpaceDN w:val="0"/>
              <w:ind w:left="174" w:right="167"/>
              <w:jc w:val="center"/>
              <w:rPr>
                <w:szCs w:val="24"/>
                <w:u w:val="single"/>
              </w:rPr>
            </w:pPr>
            <w:r w:rsidRPr="00DB1AEE">
              <w:rPr>
                <w:szCs w:val="24"/>
                <w:u w:val="single"/>
              </w:rPr>
              <w:t>Single</w:t>
            </w:r>
            <w:r w:rsidRPr="00DB1AEE">
              <w:rPr>
                <w:spacing w:val="-2"/>
                <w:szCs w:val="24"/>
                <w:u w:val="single"/>
              </w:rPr>
              <w:t xml:space="preserve"> </w:t>
            </w:r>
            <w:r w:rsidRPr="00DB1AEE">
              <w:rPr>
                <w:szCs w:val="24"/>
                <w:u w:val="single"/>
              </w:rPr>
              <w:t>Tank</w:t>
            </w:r>
          </w:p>
        </w:tc>
        <w:tc>
          <w:tcPr>
            <w:tcW w:w="1539" w:type="dxa"/>
            <w:tcBorders>
              <w:top w:val="nil"/>
              <w:bottom w:val="nil"/>
            </w:tcBorders>
          </w:tcPr>
          <w:p w14:paraId="3B915A5E" w14:textId="77777777" w:rsidR="00DB1AEE" w:rsidRPr="00DB1AEE" w:rsidRDefault="00DB1AEE" w:rsidP="00DB1AEE">
            <w:pPr>
              <w:widowControl w:val="0"/>
              <w:autoSpaceDE w:val="0"/>
              <w:autoSpaceDN w:val="0"/>
              <w:ind w:left="253" w:right="253"/>
              <w:jc w:val="center"/>
              <w:rPr>
                <w:szCs w:val="24"/>
                <w:u w:val="single"/>
              </w:rPr>
            </w:pPr>
            <w:r w:rsidRPr="00DB1AEE">
              <w:rPr>
                <w:szCs w:val="24"/>
                <w:u w:val="single"/>
              </w:rPr>
              <w:t>≤</w:t>
            </w:r>
            <w:r w:rsidRPr="00DB1AEE">
              <w:rPr>
                <w:spacing w:val="-2"/>
                <w:szCs w:val="24"/>
                <w:u w:val="single"/>
              </w:rPr>
              <w:t xml:space="preserve"> </w:t>
            </w:r>
            <w:r w:rsidRPr="00DB1AEE">
              <w:rPr>
                <w:szCs w:val="24"/>
                <w:u w:val="single"/>
              </w:rPr>
              <w:t>0.70</w:t>
            </w:r>
            <w:r w:rsidRPr="00DB1AEE">
              <w:rPr>
                <w:spacing w:val="-3"/>
                <w:szCs w:val="24"/>
                <w:u w:val="single"/>
              </w:rPr>
              <w:t xml:space="preserve"> </w:t>
            </w:r>
            <w:r w:rsidRPr="00DB1AEE">
              <w:rPr>
                <w:szCs w:val="24"/>
                <w:u w:val="single"/>
              </w:rPr>
              <w:t>kW</w:t>
            </w:r>
          </w:p>
        </w:tc>
        <w:tc>
          <w:tcPr>
            <w:tcW w:w="1781" w:type="dxa"/>
            <w:tcBorders>
              <w:top w:val="nil"/>
              <w:bottom w:val="nil"/>
            </w:tcBorders>
          </w:tcPr>
          <w:p w14:paraId="52448D75" w14:textId="77777777" w:rsidR="00DB1AEE" w:rsidRPr="00DB1AEE" w:rsidRDefault="00DB1AEE" w:rsidP="00DB1AEE">
            <w:pPr>
              <w:widowControl w:val="0"/>
              <w:autoSpaceDE w:val="0"/>
              <w:autoSpaceDN w:val="0"/>
              <w:ind w:left="227" w:right="218"/>
              <w:jc w:val="center"/>
              <w:rPr>
                <w:szCs w:val="24"/>
                <w:u w:val="single"/>
              </w:rPr>
            </w:pPr>
            <w:r w:rsidRPr="00DB1AEE">
              <w:rPr>
                <w:szCs w:val="24"/>
                <w:u w:val="single"/>
              </w:rPr>
              <w:t>≤</w:t>
            </w:r>
            <w:r w:rsidRPr="00DB1AEE">
              <w:rPr>
                <w:spacing w:val="-1"/>
                <w:szCs w:val="24"/>
                <w:u w:val="single"/>
              </w:rPr>
              <w:t xml:space="preserve"> </w:t>
            </w:r>
            <w:r w:rsidRPr="00DB1AEE">
              <w:rPr>
                <w:szCs w:val="24"/>
                <w:u w:val="single"/>
              </w:rPr>
              <w:t>0.89 GPR</w:t>
            </w:r>
          </w:p>
        </w:tc>
        <w:tc>
          <w:tcPr>
            <w:tcW w:w="1537" w:type="dxa"/>
            <w:tcBorders>
              <w:top w:val="nil"/>
              <w:bottom w:val="nil"/>
            </w:tcBorders>
          </w:tcPr>
          <w:p w14:paraId="2AF39C05" w14:textId="77777777" w:rsidR="00DB1AEE" w:rsidRPr="00DB1AEE" w:rsidRDefault="00DB1AEE" w:rsidP="00DB1AEE">
            <w:pPr>
              <w:widowControl w:val="0"/>
              <w:autoSpaceDE w:val="0"/>
              <w:autoSpaceDN w:val="0"/>
              <w:ind w:left="362"/>
              <w:jc w:val="center"/>
              <w:rPr>
                <w:szCs w:val="24"/>
                <w:u w:val="single"/>
              </w:rPr>
            </w:pPr>
            <w:r w:rsidRPr="00DB1AEE">
              <w:rPr>
                <w:szCs w:val="24"/>
                <w:u w:val="single"/>
              </w:rPr>
              <w:t>≤</w:t>
            </w:r>
            <w:r w:rsidRPr="00DB1AEE">
              <w:rPr>
                <w:spacing w:val="-2"/>
                <w:szCs w:val="24"/>
                <w:u w:val="single"/>
              </w:rPr>
              <w:t xml:space="preserve"> </w:t>
            </w:r>
            <w:r w:rsidRPr="00DB1AEE">
              <w:rPr>
                <w:szCs w:val="24"/>
                <w:u w:val="single"/>
              </w:rPr>
              <w:t>0.60</w:t>
            </w:r>
            <w:r w:rsidRPr="00DB1AEE">
              <w:rPr>
                <w:spacing w:val="-3"/>
                <w:szCs w:val="24"/>
                <w:u w:val="single"/>
              </w:rPr>
              <w:t xml:space="preserve"> </w:t>
            </w:r>
            <w:r w:rsidRPr="00DB1AEE">
              <w:rPr>
                <w:szCs w:val="24"/>
                <w:u w:val="single"/>
              </w:rPr>
              <w:t>kW</w:t>
            </w:r>
          </w:p>
        </w:tc>
        <w:tc>
          <w:tcPr>
            <w:tcW w:w="1782" w:type="dxa"/>
            <w:tcBorders>
              <w:top w:val="nil"/>
              <w:bottom w:val="nil"/>
            </w:tcBorders>
          </w:tcPr>
          <w:p w14:paraId="5EB52F7A" w14:textId="77777777" w:rsidR="00DB1AEE" w:rsidRPr="00DB1AEE" w:rsidRDefault="00DB1AEE" w:rsidP="00DB1AEE">
            <w:pPr>
              <w:widowControl w:val="0"/>
              <w:autoSpaceDE w:val="0"/>
              <w:autoSpaceDN w:val="0"/>
              <w:ind w:left="226" w:right="220"/>
              <w:jc w:val="center"/>
              <w:rPr>
                <w:szCs w:val="24"/>
                <w:u w:val="single"/>
              </w:rPr>
            </w:pPr>
            <w:r w:rsidRPr="00DB1AEE">
              <w:rPr>
                <w:szCs w:val="24"/>
                <w:u w:val="single"/>
              </w:rPr>
              <w:t>≤</w:t>
            </w:r>
            <w:r w:rsidRPr="00DB1AEE">
              <w:rPr>
                <w:spacing w:val="-1"/>
                <w:szCs w:val="24"/>
                <w:u w:val="single"/>
              </w:rPr>
              <w:t xml:space="preserve"> </w:t>
            </w:r>
            <w:r w:rsidRPr="00DB1AEE">
              <w:rPr>
                <w:szCs w:val="24"/>
                <w:u w:val="single"/>
              </w:rPr>
              <w:t>1.18 GPR</w:t>
            </w:r>
          </w:p>
        </w:tc>
        <w:tc>
          <w:tcPr>
            <w:tcW w:w="1369" w:type="dxa"/>
            <w:tcBorders>
              <w:top w:val="nil"/>
              <w:bottom w:val="nil"/>
            </w:tcBorders>
          </w:tcPr>
          <w:p w14:paraId="67EB35FB" w14:textId="77777777" w:rsidR="00DB1AEE" w:rsidRPr="00DB1AEE" w:rsidRDefault="00DB1AEE" w:rsidP="00DB1AEE">
            <w:pPr>
              <w:widowControl w:val="0"/>
              <w:autoSpaceDE w:val="0"/>
              <w:autoSpaceDN w:val="0"/>
              <w:ind w:left="102" w:right="99"/>
              <w:jc w:val="center"/>
              <w:rPr>
                <w:szCs w:val="24"/>
                <w:u w:val="single"/>
              </w:rPr>
            </w:pPr>
            <w:r w:rsidRPr="00DB1AEE">
              <w:rPr>
                <w:szCs w:val="24"/>
                <w:u w:val="single"/>
              </w:rPr>
              <w:t>ASTM</w:t>
            </w:r>
            <w:r w:rsidRPr="00DB1AEE">
              <w:rPr>
                <w:spacing w:val="-2"/>
                <w:szCs w:val="24"/>
                <w:u w:val="single"/>
              </w:rPr>
              <w:t xml:space="preserve"> </w:t>
            </w:r>
            <w:r w:rsidRPr="00DB1AEE">
              <w:rPr>
                <w:szCs w:val="24"/>
                <w:u w:val="single"/>
              </w:rPr>
              <w:t>F1696-</w:t>
            </w:r>
          </w:p>
        </w:tc>
      </w:tr>
      <w:tr w:rsidR="00DB1AEE" w:rsidRPr="00DB1AEE" w14:paraId="5F295FC1" w14:textId="77777777" w:rsidTr="00FC1832">
        <w:trPr>
          <w:trHeight w:val="205"/>
        </w:trPr>
        <w:tc>
          <w:tcPr>
            <w:tcW w:w="1572" w:type="dxa"/>
            <w:tcBorders>
              <w:top w:val="nil"/>
            </w:tcBorders>
          </w:tcPr>
          <w:p w14:paraId="475E1BDD" w14:textId="77777777" w:rsidR="00DB1AEE" w:rsidRPr="00DB1AEE" w:rsidRDefault="00DB1AEE" w:rsidP="00DB1AEE">
            <w:pPr>
              <w:widowControl w:val="0"/>
              <w:autoSpaceDE w:val="0"/>
              <w:autoSpaceDN w:val="0"/>
              <w:ind w:left="175" w:right="166"/>
              <w:jc w:val="center"/>
              <w:rPr>
                <w:szCs w:val="24"/>
                <w:u w:val="single"/>
              </w:rPr>
            </w:pPr>
            <w:r w:rsidRPr="00DB1AEE">
              <w:rPr>
                <w:szCs w:val="24"/>
                <w:u w:val="single"/>
              </w:rPr>
              <w:t>Door</w:t>
            </w:r>
          </w:p>
        </w:tc>
        <w:tc>
          <w:tcPr>
            <w:tcW w:w="1539" w:type="dxa"/>
            <w:tcBorders>
              <w:top w:val="nil"/>
            </w:tcBorders>
          </w:tcPr>
          <w:p w14:paraId="005FBFA3" w14:textId="77777777" w:rsidR="00DB1AEE" w:rsidRPr="00DB1AEE" w:rsidRDefault="00DB1AEE" w:rsidP="00DB1AEE">
            <w:pPr>
              <w:widowControl w:val="0"/>
              <w:autoSpaceDE w:val="0"/>
              <w:autoSpaceDN w:val="0"/>
              <w:ind w:left="1098"/>
              <w:jc w:val="center"/>
              <w:rPr>
                <w:szCs w:val="24"/>
                <w:u w:val="single"/>
              </w:rPr>
            </w:pPr>
          </w:p>
        </w:tc>
        <w:tc>
          <w:tcPr>
            <w:tcW w:w="1781" w:type="dxa"/>
            <w:tcBorders>
              <w:top w:val="nil"/>
            </w:tcBorders>
          </w:tcPr>
          <w:p w14:paraId="7447753A" w14:textId="77777777" w:rsidR="00DB1AEE" w:rsidRPr="00DB1AEE" w:rsidRDefault="00DB1AEE" w:rsidP="00DB1AEE">
            <w:pPr>
              <w:widowControl w:val="0"/>
              <w:autoSpaceDE w:val="0"/>
              <w:autoSpaceDN w:val="0"/>
              <w:ind w:left="1098"/>
              <w:jc w:val="center"/>
              <w:rPr>
                <w:szCs w:val="24"/>
                <w:u w:val="single"/>
              </w:rPr>
            </w:pPr>
          </w:p>
        </w:tc>
        <w:tc>
          <w:tcPr>
            <w:tcW w:w="1537" w:type="dxa"/>
            <w:tcBorders>
              <w:top w:val="nil"/>
            </w:tcBorders>
          </w:tcPr>
          <w:p w14:paraId="746927EE" w14:textId="77777777" w:rsidR="00DB1AEE" w:rsidRPr="00DB1AEE" w:rsidRDefault="00DB1AEE" w:rsidP="00DB1AEE">
            <w:pPr>
              <w:widowControl w:val="0"/>
              <w:autoSpaceDE w:val="0"/>
              <w:autoSpaceDN w:val="0"/>
              <w:ind w:left="1098"/>
              <w:jc w:val="center"/>
              <w:rPr>
                <w:szCs w:val="24"/>
                <w:u w:val="single"/>
              </w:rPr>
            </w:pPr>
          </w:p>
        </w:tc>
        <w:tc>
          <w:tcPr>
            <w:tcW w:w="1782" w:type="dxa"/>
            <w:tcBorders>
              <w:top w:val="nil"/>
            </w:tcBorders>
          </w:tcPr>
          <w:p w14:paraId="012DD96A" w14:textId="77777777" w:rsidR="00DB1AEE" w:rsidRPr="00DB1AEE" w:rsidRDefault="00DB1AEE" w:rsidP="00DB1AEE">
            <w:pPr>
              <w:widowControl w:val="0"/>
              <w:autoSpaceDE w:val="0"/>
              <w:autoSpaceDN w:val="0"/>
              <w:ind w:left="1098"/>
              <w:jc w:val="center"/>
              <w:rPr>
                <w:szCs w:val="24"/>
                <w:u w:val="single"/>
              </w:rPr>
            </w:pPr>
          </w:p>
        </w:tc>
        <w:tc>
          <w:tcPr>
            <w:tcW w:w="1369" w:type="dxa"/>
            <w:tcBorders>
              <w:top w:val="nil"/>
              <w:bottom w:val="nil"/>
            </w:tcBorders>
          </w:tcPr>
          <w:p w14:paraId="56FA660A" w14:textId="77777777" w:rsidR="00DB1AEE" w:rsidRPr="00DB1AEE" w:rsidRDefault="00DB1AEE" w:rsidP="00DB1AEE">
            <w:pPr>
              <w:widowControl w:val="0"/>
              <w:autoSpaceDE w:val="0"/>
              <w:autoSpaceDN w:val="0"/>
              <w:ind w:left="102" w:right="97"/>
              <w:jc w:val="center"/>
              <w:rPr>
                <w:szCs w:val="24"/>
                <w:u w:val="single"/>
              </w:rPr>
            </w:pPr>
            <w:r w:rsidRPr="00DB1AEE">
              <w:rPr>
                <w:szCs w:val="24"/>
                <w:u w:val="single"/>
              </w:rPr>
              <w:t>18</w:t>
            </w:r>
          </w:p>
        </w:tc>
      </w:tr>
      <w:tr w:rsidR="00DB1AEE" w:rsidRPr="00DB1AEE" w14:paraId="68DC45E2" w14:textId="77777777" w:rsidTr="00FC1832">
        <w:trPr>
          <w:trHeight w:val="203"/>
        </w:trPr>
        <w:tc>
          <w:tcPr>
            <w:tcW w:w="1572" w:type="dxa"/>
            <w:tcBorders>
              <w:bottom w:val="nil"/>
            </w:tcBorders>
          </w:tcPr>
          <w:p w14:paraId="514B576A" w14:textId="77777777" w:rsidR="00DB1AEE" w:rsidRPr="00DB1AEE" w:rsidRDefault="00DB1AEE" w:rsidP="00DB1AEE">
            <w:pPr>
              <w:widowControl w:val="0"/>
              <w:autoSpaceDE w:val="0"/>
              <w:autoSpaceDN w:val="0"/>
              <w:ind w:left="172" w:right="167"/>
              <w:jc w:val="center"/>
              <w:rPr>
                <w:szCs w:val="24"/>
                <w:u w:val="single"/>
              </w:rPr>
            </w:pPr>
            <w:r w:rsidRPr="00DB1AEE">
              <w:rPr>
                <w:szCs w:val="24"/>
                <w:u w:val="single"/>
              </w:rPr>
              <w:t>Pot,</w:t>
            </w:r>
            <w:r w:rsidRPr="00DB1AEE">
              <w:rPr>
                <w:spacing w:val="1"/>
                <w:szCs w:val="24"/>
                <w:u w:val="single"/>
              </w:rPr>
              <w:t xml:space="preserve"> </w:t>
            </w:r>
            <w:r w:rsidRPr="00DB1AEE">
              <w:rPr>
                <w:szCs w:val="24"/>
                <w:u w:val="single"/>
              </w:rPr>
              <w:t>Pan ,</w:t>
            </w:r>
            <w:r w:rsidRPr="00DB1AEE">
              <w:rPr>
                <w:spacing w:val="1"/>
                <w:szCs w:val="24"/>
                <w:u w:val="single"/>
              </w:rPr>
              <w:t xml:space="preserve"> </w:t>
            </w:r>
            <w:r w:rsidRPr="00DB1AEE">
              <w:rPr>
                <w:szCs w:val="24"/>
                <w:u w:val="single"/>
              </w:rPr>
              <w:t>and</w:t>
            </w:r>
          </w:p>
        </w:tc>
        <w:tc>
          <w:tcPr>
            <w:tcW w:w="1539" w:type="dxa"/>
            <w:vMerge w:val="restart"/>
          </w:tcPr>
          <w:p w14:paraId="5265515A" w14:textId="77777777" w:rsidR="00DB1AEE" w:rsidRPr="00DB1AEE" w:rsidRDefault="00DB1AEE" w:rsidP="00DB1AEE">
            <w:pPr>
              <w:widowControl w:val="0"/>
              <w:autoSpaceDE w:val="0"/>
              <w:autoSpaceDN w:val="0"/>
              <w:ind w:left="362"/>
              <w:jc w:val="center"/>
              <w:rPr>
                <w:szCs w:val="24"/>
                <w:u w:val="single"/>
              </w:rPr>
            </w:pPr>
            <w:r w:rsidRPr="00DB1AEE">
              <w:rPr>
                <w:szCs w:val="24"/>
                <w:u w:val="single"/>
              </w:rPr>
              <w:t>≤</w:t>
            </w:r>
            <w:r w:rsidRPr="00DB1AEE">
              <w:rPr>
                <w:spacing w:val="-2"/>
                <w:szCs w:val="24"/>
                <w:u w:val="single"/>
              </w:rPr>
              <w:t xml:space="preserve"> </w:t>
            </w:r>
            <w:r w:rsidRPr="00DB1AEE">
              <w:rPr>
                <w:szCs w:val="24"/>
                <w:u w:val="single"/>
              </w:rPr>
              <w:t>1.20</w:t>
            </w:r>
            <w:r w:rsidRPr="00DB1AEE">
              <w:rPr>
                <w:spacing w:val="-3"/>
                <w:szCs w:val="24"/>
                <w:u w:val="single"/>
              </w:rPr>
              <w:t xml:space="preserve"> </w:t>
            </w:r>
            <w:r w:rsidRPr="00DB1AEE">
              <w:rPr>
                <w:szCs w:val="24"/>
                <w:u w:val="single"/>
              </w:rPr>
              <w:t>kW</w:t>
            </w:r>
          </w:p>
        </w:tc>
        <w:tc>
          <w:tcPr>
            <w:tcW w:w="1781" w:type="dxa"/>
            <w:vMerge w:val="restart"/>
          </w:tcPr>
          <w:p w14:paraId="13EECD5A" w14:textId="77777777" w:rsidR="00DB1AEE" w:rsidRPr="00DB1AEE" w:rsidRDefault="00DB1AEE" w:rsidP="00DB1AEE">
            <w:pPr>
              <w:widowControl w:val="0"/>
              <w:autoSpaceDE w:val="0"/>
              <w:autoSpaceDN w:val="0"/>
              <w:ind w:left="369"/>
              <w:jc w:val="center"/>
              <w:rPr>
                <w:szCs w:val="24"/>
                <w:u w:val="single"/>
              </w:rPr>
            </w:pPr>
            <w:r w:rsidRPr="00DB1AEE">
              <w:rPr>
                <w:szCs w:val="24"/>
                <w:u w:val="single"/>
              </w:rPr>
              <w:t>≤</w:t>
            </w:r>
            <w:r w:rsidRPr="00DB1AEE">
              <w:rPr>
                <w:spacing w:val="-1"/>
                <w:szCs w:val="24"/>
                <w:u w:val="single"/>
              </w:rPr>
              <w:t xml:space="preserve"> </w:t>
            </w:r>
            <w:r w:rsidRPr="00DB1AEE">
              <w:rPr>
                <w:szCs w:val="24"/>
                <w:u w:val="single"/>
              </w:rPr>
              <w:t>0.58 GPSF</w:t>
            </w:r>
          </w:p>
        </w:tc>
        <w:tc>
          <w:tcPr>
            <w:tcW w:w="1537" w:type="dxa"/>
            <w:vMerge w:val="restart"/>
          </w:tcPr>
          <w:p w14:paraId="4B48BF80" w14:textId="77777777" w:rsidR="00DB1AEE" w:rsidRPr="00DB1AEE" w:rsidRDefault="00DB1AEE" w:rsidP="00DB1AEE">
            <w:pPr>
              <w:widowControl w:val="0"/>
              <w:autoSpaceDE w:val="0"/>
              <w:autoSpaceDN w:val="0"/>
              <w:ind w:left="362"/>
              <w:jc w:val="center"/>
              <w:rPr>
                <w:szCs w:val="24"/>
                <w:u w:val="single"/>
              </w:rPr>
            </w:pPr>
            <w:r w:rsidRPr="00DB1AEE">
              <w:rPr>
                <w:szCs w:val="24"/>
                <w:u w:val="single"/>
              </w:rPr>
              <w:t>≤</w:t>
            </w:r>
            <w:r w:rsidRPr="00DB1AEE">
              <w:rPr>
                <w:spacing w:val="-2"/>
                <w:szCs w:val="24"/>
                <w:u w:val="single"/>
              </w:rPr>
              <w:t xml:space="preserve"> </w:t>
            </w:r>
            <w:r w:rsidRPr="00DB1AEE">
              <w:rPr>
                <w:szCs w:val="24"/>
                <w:u w:val="single"/>
              </w:rPr>
              <w:t>1.00</w:t>
            </w:r>
            <w:r w:rsidRPr="00DB1AEE">
              <w:rPr>
                <w:spacing w:val="-3"/>
                <w:szCs w:val="24"/>
                <w:u w:val="single"/>
              </w:rPr>
              <w:t xml:space="preserve"> </w:t>
            </w:r>
            <w:r w:rsidRPr="00DB1AEE">
              <w:rPr>
                <w:szCs w:val="24"/>
                <w:u w:val="single"/>
              </w:rPr>
              <w:t>kW</w:t>
            </w:r>
          </w:p>
        </w:tc>
        <w:tc>
          <w:tcPr>
            <w:tcW w:w="1782" w:type="dxa"/>
            <w:vMerge w:val="restart"/>
          </w:tcPr>
          <w:p w14:paraId="40E7681E" w14:textId="77777777" w:rsidR="00DB1AEE" w:rsidRPr="00DB1AEE" w:rsidRDefault="00DB1AEE" w:rsidP="00DB1AEE">
            <w:pPr>
              <w:widowControl w:val="0"/>
              <w:autoSpaceDE w:val="0"/>
              <w:autoSpaceDN w:val="0"/>
              <w:ind w:left="368"/>
              <w:jc w:val="center"/>
              <w:rPr>
                <w:szCs w:val="24"/>
                <w:u w:val="single"/>
              </w:rPr>
            </w:pPr>
            <w:r w:rsidRPr="00DB1AEE">
              <w:rPr>
                <w:szCs w:val="24"/>
                <w:u w:val="single"/>
              </w:rPr>
              <w:t>≤</w:t>
            </w:r>
            <w:r w:rsidRPr="00DB1AEE">
              <w:rPr>
                <w:spacing w:val="-1"/>
                <w:szCs w:val="24"/>
                <w:u w:val="single"/>
              </w:rPr>
              <w:t xml:space="preserve"> </w:t>
            </w:r>
            <w:r w:rsidRPr="00DB1AEE">
              <w:rPr>
                <w:szCs w:val="24"/>
                <w:u w:val="single"/>
              </w:rPr>
              <w:t>0.58 GPSF</w:t>
            </w:r>
          </w:p>
        </w:tc>
        <w:tc>
          <w:tcPr>
            <w:tcW w:w="1369" w:type="dxa"/>
            <w:tcBorders>
              <w:top w:val="nil"/>
              <w:bottom w:val="nil"/>
            </w:tcBorders>
          </w:tcPr>
          <w:p w14:paraId="08921FD8" w14:textId="77777777" w:rsidR="00DB1AEE" w:rsidRPr="00DB1AEE" w:rsidRDefault="00DB1AEE" w:rsidP="00DB1AEE">
            <w:pPr>
              <w:widowControl w:val="0"/>
              <w:autoSpaceDE w:val="0"/>
              <w:autoSpaceDN w:val="0"/>
              <w:ind w:left="1098"/>
              <w:jc w:val="center"/>
              <w:rPr>
                <w:szCs w:val="24"/>
                <w:u w:val="single"/>
              </w:rPr>
            </w:pPr>
          </w:p>
        </w:tc>
      </w:tr>
      <w:tr w:rsidR="00DB1AEE" w:rsidRPr="00DB1AEE" w14:paraId="3DEDED96" w14:textId="77777777" w:rsidTr="00FC1832">
        <w:trPr>
          <w:trHeight w:val="201"/>
        </w:trPr>
        <w:tc>
          <w:tcPr>
            <w:tcW w:w="1572" w:type="dxa"/>
            <w:tcBorders>
              <w:top w:val="nil"/>
            </w:tcBorders>
          </w:tcPr>
          <w:p w14:paraId="6571D394" w14:textId="77777777" w:rsidR="00DB1AEE" w:rsidRPr="00DB1AEE" w:rsidRDefault="00DB1AEE" w:rsidP="00DB1AEE">
            <w:pPr>
              <w:widowControl w:val="0"/>
              <w:autoSpaceDE w:val="0"/>
              <w:autoSpaceDN w:val="0"/>
              <w:ind w:left="175" w:right="165"/>
              <w:jc w:val="center"/>
              <w:rPr>
                <w:szCs w:val="24"/>
                <w:u w:val="single"/>
              </w:rPr>
            </w:pPr>
            <w:r w:rsidRPr="00DB1AEE">
              <w:rPr>
                <w:szCs w:val="24"/>
                <w:u w:val="single"/>
              </w:rPr>
              <w:t>Utensil</w:t>
            </w:r>
          </w:p>
        </w:tc>
        <w:tc>
          <w:tcPr>
            <w:tcW w:w="1539" w:type="dxa"/>
            <w:vMerge/>
            <w:tcBorders>
              <w:top w:val="nil"/>
            </w:tcBorders>
          </w:tcPr>
          <w:p w14:paraId="5ACEC4DB" w14:textId="77777777" w:rsidR="00DB1AEE" w:rsidRPr="00DB1AEE" w:rsidRDefault="00DB1AEE" w:rsidP="00DB1AEE">
            <w:pPr>
              <w:suppressAutoHyphens/>
              <w:jc w:val="left"/>
              <w:rPr>
                <w:szCs w:val="24"/>
                <w:u w:val="single"/>
              </w:rPr>
            </w:pPr>
          </w:p>
        </w:tc>
        <w:tc>
          <w:tcPr>
            <w:tcW w:w="1781" w:type="dxa"/>
            <w:vMerge/>
            <w:tcBorders>
              <w:top w:val="nil"/>
            </w:tcBorders>
          </w:tcPr>
          <w:p w14:paraId="4962FB92" w14:textId="77777777" w:rsidR="00DB1AEE" w:rsidRPr="00DB1AEE" w:rsidRDefault="00DB1AEE" w:rsidP="00DB1AEE">
            <w:pPr>
              <w:suppressAutoHyphens/>
              <w:jc w:val="left"/>
              <w:rPr>
                <w:szCs w:val="24"/>
                <w:u w:val="single"/>
              </w:rPr>
            </w:pPr>
          </w:p>
        </w:tc>
        <w:tc>
          <w:tcPr>
            <w:tcW w:w="1537" w:type="dxa"/>
            <w:vMerge/>
            <w:tcBorders>
              <w:top w:val="nil"/>
            </w:tcBorders>
          </w:tcPr>
          <w:p w14:paraId="7559ED19" w14:textId="77777777" w:rsidR="00DB1AEE" w:rsidRPr="00DB1AEE" w:rsidRDefault="00DB1AEE" w:rsidP="00DB1AEE">
            <w:pPr>
              <w:suppressAutoHyphens/>
              <w:jc w:val="left"/>
              <w:rPr>
                <w:szCs w:val="24"/>
                <w:u w:val="single"/>
              </w:rPr>
            </w:pPr>
          </w:p>
        </w:tc>
        <w:tc>
          <w:tcPr>
            <w:tcW w:w="1782" w:type="dxa"/>
            <w:vMerge/>
            <w:tcBorders>
              <w:top w:val="nil"/>
            </w:tcBorders>
          </w:tcPr>
          <w:p w14:paraId="15E9C8DA" w14:textId="77777777" w:rsidR="00DB1AEE" w:rsidRPr="00DB1AEE" w:rsidRDefault="00DB1AEE" w:rsidP="00DB1AEE">
            <w:pPr>
              <w:suppressAutoHyphens/>
              <w:jc w:val="left"/>
              <w:rPr>
                <w:szCs w:val="24"/>
                <w:u w:val="single"/>
              </w:rPr>
            </w:pPr>
          </w:p>
        </w:tc>
        <w:tc>
          <w:tcPr>
            <w:tcW w:w="1369" w:type="dxa"/>
            <w:tcBorders>
              <w:top w:val="nil"/>
            </w:tcBorders>
          </w:tcPr>
          <w:p w14:paraId="44CB14E8" w14:textId="77777777" w:rsidR="00DB1AEE" w:rsidRPr="00DB1AEE" w:rsidRDefault="00DB1AEE" w:rsidP="00DB1AEE">
            <w:pPr>
              <w:widowControl w:val="0"/>
              <w:autoSpaceDE w:val="0"/>
              <w:autoSpaceDN w:val="0"/>
              <w:ind w:left="1098"/>
              <w:jc w:val="center"/>
              <w:rPr>
                <w:szCs w:val="24"/>
                <w:u w:val="single"/>
              </w:rPr>
            </w:pPr>
          </w:p>
        </w:tc>
      </w:tr>
      <w:tr w:rsidR="00DB1AEE" w:rsidRPr="00DB1AEE" w14:paraId="475B52EC" w14:textId="77777777" w:rsidTr="00FC1832">
        <w:trPr>
          <w:trHeight w:val="203"/>
        </w:trPr>
        <w:tc>
          <w:tcPr>
            <w:tcW w:w="1572" w:type="dxa"/>
            <w:tcBorders>
              <w:bottom w:val="nil"/>
            </w:tcBorders>
          </w:tcPr>
          <w:p w14:paraId="6BC05D25" w14:textId="77777777" w:rsidR="00DB1AEE" w:rsidRPr="00DB1AEE" w:rsidRDefault="00DB1AEE" w:rsidP="00DB1AEE">
            <w:pPr>
              <w:widowControl w:val="0"/>
              <w:autoSpaceDE w:val="0"/>
              <w:autoSpaceDN w:val="0"/>
              <w:ind w:left="174" w:right="167"/>
              <w:jc w:val="center"/>
              <w:rPr>
                <w:szCs w:val="24"/>
                <w:u w:val="single"/>
              </w:rPr>
            </w:pPr>
            <w:r w:rsidRPr="00DB1AEE">
              <w:rPr>
                <w:szCs w:val="24"/>
                <w:u w:val="single"/>
              </w:rPr>
              <w:t>Single</w:t>
            </w:r>
            <w:r w:rsidRPr="00DB1AEE">
              <w:rPr>
                <w:spacing w:val="-2"/>
                <w:szCs w:val="24"/>
                <w:u w:val="single"/>
              </w:rPr>
              <w:t xml:space="preserve"> </w:t>
            </w:r>
            <w:r w:rsidRPr="00DB1AEE">
              <w:rPr>
                <w:szCs w:val="24"/>
                <w:u w:val="single"/>
              </w:rPr>
              <w:t>Tank</w:t>
            </w:r>
          </w:p>
        </w:tc>
        <w:tc>
          <w:tcPr>
            <w:tcW w:w="1539" w:type="dxa"/>
            <w:vMerge w:val="restart"/>
          </w:tcPr>
          <w:p w14:paraId="4DC2437C" w14:textId="77777777" w:rsidR="00DB1AEE" w:rsidRPr="00DB1AEE" w:rsidRDefault="00DB1AEE" w:rsidP="00DB1AEE">
            <w:pPr>
              <w:widowControl w:val="0"/>
              <w:autoSpaceDE w:val="0"/>
              <w:autoSpaceDN w:val="0"/>
              <w:ind w:left="362"/>
              <w:jc w:val="center"/>
              <w:rPr>
                <w:szCs w:val="24"/>
                <w:u w:val="single"/>
              </w:rPr>
            </w:pPr>
            <w:r w:rsidRPr="00DB1AEE">
              <w:rPr>
                <w:szCs w:val="24"/>
                <w:u w:val="single"/>
              </w:rPr>
              <w:t>≤</w:t>
            </w:r>
            <w:r w:rsidRPr="00DB1AEE">
              <w:rPr>
                <w:spacing w:val="-2"/>
                <w:szCs w:val="24"/>
                <w:u w:val="single"/>
              </w:rPr>
              <w:t xml:space="preserve"> </w:t>
            </w:r>
            <w:r w:rsidRPr="00DB1AEE">
              <w:rPr>
                <w:szCs w:val="24"/>
                <w:u w:val="single"/>
              </w:rPr>
              <w:t>1.50</w:t>
            </w:r>
            <w:r w:rsidRPr="00DB1AEE">
              <w:rPr>
                <w:spacing w:val="-3"/>
                <w:szCs w:val="24"/>
                <w:u w:val="single"/>
              </w:rPr>
              <w:t xml:space="preserve"> </w:t>
            </w:r>
            <w:r w:rsidRPr="00DB1AEE">
              <w:rPr>
                <w:szCs w:val="24"/>
                <w:u w:val="single"/>
              </w:rPr>
              <w:t>kW</w:t>
            </w:r>
          </w:p>
        </w:tc>
        <w:tc>
          <w:tcPr>
            <w:tcW w:w="1781" w:type="dxa"/>
            <w:vMerge w:val="restart"/>
          </w:tcPr>
          <w:p w14:paraId="30A3CD61" w14:textId="77777777" w:rsidR="00DB1AEE" w:rsidRPr="00DB1AEE" w:rsidRDefault="00DB1AEE" w:rsidP="00DB1AEE">
            <w:pPr>
              <w:widowControl w:val="0"/>
              <w:autoSpaceDE w:val="0"/>
              <w:autoSpaceDN w:val="0"/>
              <w:ind w:left="419"/>
              <w:jc w:val="center"/>
              <w:rPr>
                <w:szCs w:val="24"/>
                <w:u w:val="single"/>
              </w:rPr>
            </w:pPr>
            <w:r w:rsidRPr="00DB1AEE">
              <w:rPr>
                <w:szCs w:val="24"/>
                <w:u w:val="single"/>
              </w:rPr>
              <w:t>≤</w:t>
            </w:r>
            <w:r w:rsidRPr="00DB1AEE">
              <w:rPr>
                <w:spacing w:val="-1"/>
                <w:szCs w:val="24"/>
                <w:u w:val="single"/>
              </w:rPr>
              <w:t xml:space="preserve"> </w:t>
            </w:r>
            <w:r w:rsidRPr="00DB1AEE">
              <w:rPr>
                <w:szCs w:val="24"/>
                <w:u w:val="single"/>
              </w:rPr>
              <w:t>0.70 GPR</w:t>
            </w:r>
          </w:p>
        </w:tc>
        <w:tc>
          <w:tcPr>
            <w:tcW w:w="1537" w:type="dxa"/>
            <w:vMerge w:val="restart"/>
          </w:tcPr>
          <w:p w14:paraId="170ADA35" w14:textId="77777777" w:rsidR="00DB1AEE" w:rsidRPr="00DB1AEE" w:rsidRDefault="00DB1AEE" w:rsidP="00DB1AEE">
            <w:pPr>
              <w:widowControl w:val="0"/>
              <w:autoSpaceDE w:val="0"/>
              <w:autoSpaceDN w:val="0"/>
              <w:ind w:left="362"/>
              <w:jc w:val="center"/>
              <w:rPr>
                <w:szCs w:val="24"/>
                <w:u w:val="single"/>
              </w:rPr>
            </w:pPr>
            <w:r w:rsidRPr="00DB1AEE">
              <w:rPr>
                <w:szCs w:val="24"/>
                <w:u w:val="single"/>
              </w:rPr>
              <w:t>≤</w:t>
            </w:r>
            <w:r w:rsidRPr="00DB1AEE">
              <w:rPr>
                <w:spacing w:val="-2"/>
                <w:szCs w:val="24"/>
                <w:u w:val="single"/>
              </w:rPr>
              <w:t xml:space="preserve"> </w:t>
            </w:r>
            <w:r w:rsidRPr="00DB1AEE">
              <w:rPr>
                <w:szCs w:val="24"/>
                <w:u w:val="single"/>
              </w:rPr>
              <w:t>1.50</w:t>
            </w:r>
            <w:r w:rsidRPr="00DB1AEE">
              <w:rPr>
                <w:spacing w:val="-3"/>
                <w:szCs w:val="24"/>
                <w:u w:val="single"/>
              </w:rPr>
              <w:t xml:space="preserve"> </w:t>
            </w:r>
            <w:r w:rsidRPr="00DB1AEE">
              <w:rPr>
                <w:szCs w:val="24"/>
                <w:u w:val="single"/>
              </w:rPr>
              <w:t>kW</w:t>
            </w:r>
          </w:p>
        </w:tc>
        <w:tc>
          <w:tcPr>
            <w:tcW w:w="1782" w:type="dxa"/>
            <w:vMerge w:val="restart"/>
          </w:tcPr>
          <w:p w14:paraId="1661E02C" w14:textId="77777777" w:rsidR="00DB1AEE" w:rsidRPr="00DB1AEE" w:rsidRDefault="00DB1AEE" w:rsidP="00DB1AEE">
            <w:pPr>
              <w:widowControl w:val="0"/>
              <w:autoSpaceDE w:val="0"/>
              <w:autoSpaceDN w:val="0"/>
              <w:ind w:left="418"/>
              <w:jc w:val="center"/>
              <w:rPr>
                <w:szCs w:val="24"/>
                <w:u w:val="single"/>
              </w:rPr>
            </w:pPr>
            <w:r w:rsidRPr="00DB1AEE">
              <w:rPr>
                <w:szCs w:val="24"/>
                <w:u w:val="single"/>
              </w:rPr>
              <w:t>≤</w:t>
            </w:r>
            <w:r w:rsidRPr="00DB1AEE">
              <w:rPr>
                <w:spacing w:val="-1"/>
                <w:szCs w:val="24"/>
                <w:u w:val="single"/>
              </w:rPr>
              <w:t xml:space="preserve"> </w:t>
            </w:r>
            <w:r w:rsidRPr="00DB1AEE">
              <w:rPr>
                <w:szCs w:val="24"/>
                <w:u w:val="single"/>
              </w:rPr>
              <w:t>0.79 GPR</w:t>
            </w:r>
          </w:p>
        </w:tc>
        <w:tc>
          <w:tcPr>
            <w:tcW w:w="1369" w:type="dxa"/>
            <w:tcBorders>
              <w:bottom w:val="nil"/>
            </w:tcBorders>
          </w:tcPr>
          <w:p w14:paraId="43E1C54F" w14:textId="77777777" w:rsidR="00DB1AEE" w:rsidRPr="00DB1AEE" w:rsidRDefault="00DB1AEE" w:rsidP="00DB1AEE">
            <w:pPr>
              <w:widowControl w:val="0"/>
              <w:autoSpaceDE w:val="0"/>
              <w:autoSpaceDN w:val="0"/>
              <w:ind w:left="1098"/>
              <w:jc w:val="center"/>
              <w:rPr>
                <w:szCs w:val="24"/>
                <w:u w:val="single"/>
              </w:rPr>
            </w:pPr>
          </w:p>
        </w:tc>
      </w:tr>
      <w:tr w:rsidR="00DB1AEE" w:rsidRPr="00DB1AEE" w14:paraId="44E6AED5" w14:textId="77777777" w:rsidTr="00FC1832">
        <w:trPr>
          <w:trHeight w:val="198"/>
        </w:trPr>
        <w:tc>
          <w:tcPr>
            <w:tcW w:w="1572" w:type="dxa"/>
            <w:tcBorders>
              <w:top w:val="nil"/>
            </w:tcBorders>
          </w:tcPr>
          <w:p w14:paraId="1588FECE" w14:textId="77777777" w:rsidR="00DB1AEE" w:rsidRPr="00DB1AEE" w:rsidRDefault="00DB1AEE" w:rsidP="00DB1AEE">
            <w:pPr>
              <w:widowControl w:val="0"/>
              <w:autoSpaceDE w:val="0"/>
              <w:autoSpaceDN w:val="0"/>
              <w:ind w:left="175" w:right="167"/>
              <w:jc w:val="center"/>
              <w:rPr>
                <w:szCs w:val="24"/>
                <w:u w:val="single"/>
              </w:rPr>
            </w:pPr>
            <w:r w:rsidRPr="00DB1AEE">
              <w:rPr>
                <w:szCs w:val="24"/>
                <w:u w:val="single"/>
              </w:rPr>
              <w:t>Conveyor</w:t>
            </w:r>
          </w:p>
        </w:tc>
        <w:tc>
          <w:tcPr>
            <w:tcW w:w="1539" w:type="dxa"/>
            <w:vMerge/>
            <w:tcBorders>
              <w:top w:val="nil"/>
            </w:tcBorders>
          </w:tcPr>
          <w:p w14:paraId="43A3DADC" w14:textId="77777777" w:rsidR="00DB1AEE" w:rsidRPr="00DB1AEE" w:rsidRDefault="00DB1AEE" w:rsidP="00DB1AEE">
            <w:pPr>
              <w:suppressAutoHyphens/>
              <w:jc w:val="left"/>
              <w:rPr>
                <w:szCs w:val="24"/>
                <w:u w:val="single"/>
              </w:rPr>
            </w:pPr>
          </w:p>
        </w:tc>
        <w:tc>
          <w:tcPr>
            <w:tcW w:w="1781" w:type="dxa"/>
            <w:vMerge/>
            <w:tcBorders>
              <w:top w:val="nil"/>
            </w:tcBorders>
          </w:tcPr>
          <w:p w14:paraId="00100257" w14:textId="77777777" w:rsidR="00DB1AEE" w:rsidRPr="00DB1AEE" w:rsidRDefault="00DB1AEE" w:rsidP="00DB1AEE">
            <w:pPr>
              <w:suppressAutoHyphens/>
              <w:jc w:val="left"/>
              <w:rPr>
                <w:szCs w:val="24"/>
                <w:u w:val="single"/>
              </w:rPr>
            </w:pPr>
          </w:p>
        </w:tc>
        <w:tc>
          <w:tcPr>
            <w:tcW w:w="1537" w:type="dxa"/>
            <w:vMerge/>
            <w:tcBorders>
              <w:top w:val="nil"/>
            </w:tcBorders>
          </w:tcPr>
          <w:p w14:paraId="013683F9" w14:textId="77777777" w:rsidR="00DB1AEE" w:rsidRPr="00DB1AEE" w:rsidRDefault="00DB1AEE" w:rsidP="00DB1AEE">
            <w:pPr>
              <w:suppressAutoHyphens/>
              <w:jc w:val="left"/>
              <w:rPr>
                <w:szCs w:val="24"/>
                <w:u w:val="single"/>
              </w:rPr>
            </w:pPr>
          </w:p>
        </w:tc>
        <w:tc>
          <w:tcPr>
            <w:tcW w:w="1782" w:type="dxa"/>
            <w:vMerge/>
            <w:tcBorders>
              <w:top w:val="nil"/>
            </w:tcBorders>
          </w:tcPr>
          <w:p w14:paraId="23719C0F" w14:textId="77777777" w:rsidR="00DB1AEE" w:rsidRPr="00DB1AEE" w:rsidRDefault="00DB1AEE" w:rsidP="00DB1AEE">
            <w:pPr>
              <w:suppressAutoHyphens/>
              <w:jc w:val="left"/>
              <w:rPr>
                <w:szCs w:val="24"/>
                <w:u w:val="single"/>
              </w:rPr>
            </w:pPr>
          </w:p>
        </w:tc>
        <w:tc>
          <w:tcPr>
            <w:tcW w:w="1369" w:type="dxa"/>
            <w:tcBorders>
              <w:top w:val="nil"/>
              <w:bottom w:val="nil"/>
            </w:tcBorders>
          </w:tcPr>
          <w:p w14:paraId="587CC036" w14:textId="77777777" w:rsidR="00DB1AEE" w:rsidRPr="00DB1AEE" w:rsidRDefault="00DB1AEE" w:rsidP="00DB1AEE">
            <w:pPr>
              <w:widowControl w:val="0"/>
              <w:autoSpaceDE w:val="0"/>
              <w:autoSpaceDN w:val="0"/>
              <w:ind w:left="1098"/>
              <w:jc w:val="center"/>
              <w:rPr>
                <w:szCs w:val="24"/>
                <w:u w:val="single"/>
              </w:rPr>
            </w:pPr>
          </w:p>
        </w:tc>
      </w:tr>
      <w:tr w:rsidR="00DB1AEE" w:rsidRPr="00DB1AEE" w14:paraId="65FB32D8" w14:textId="77777777" w:rsidTr="00FC1832">
        <w:trPr>
          <w:trHeight w:val="204"/>
        </w:trPr>
        <w:tc>
          <w:tcPr>
            <w:tcW w:w="1572" w:type="dxa"/>
            <w:tcBorders>
              <w:bottom w:val="nil"/>
            </w:tcBorders>
          </w:tcPr>
          <w:p w14:paraId="60CE0BB3" w14:textId="77777777" w:rsidR="00DB1AEE" w:rsidRPr="00DB1AEE" w:rsidRDefault="00DB1AEE" w:rsidP="00DB1AEE">
            <w:pPr>
              <w:widowControl w:val="0"/>
              <w:autoSpaceDE w:val="0"/>
              <w:autoSpaceDN w:val="0"/>
              <w:ind w:left="174" w:right="167"/>
              <w:jc w:val="center"/>
              <w:rPr>
                <w:szCs w:val="24"/>
                <w:u w:val="single"/>
              </w:rPr>
            </w:pPr>
            <w:r w:rsidRPr="00DB1AEE">
              <w:rPr>
                <w:szCs w:val="24"/>
                <w:u w:val="single"/>
              </w:rPr>
              <w:t>Multiple</w:t>
            </w:r>
            <w:r w:rsidRPr="00DB1AEE">
              <w:rPr>
                <w:spacing w:val="-2"/>
                <w:szCs w:val="24"/>
                <w:u w:val="single"/>
              </w:rPr>
              <w:t xml:space="preserve"> </w:t>
            </w:r>
            <w:r w:rsidRPr="00DB1AEE">
              <w:rPr>
                <w:szCs w:val="24"/>
                <w:u w:val="single"/>
              </w:rPr>
              <w:t>Tank</w:t>
            </w:r>
          </w:p>
        </w:tc>
        <w:tc>
          <w:tcPr>
            <w:tcW w:w="1539" w:type="dxa"/>
            <w:vMerge w:val="restart"/>
          </w:tcPr>
          <w:p w14:paraId="5BA3C890" w14:textId="77777777" w:rsidR="00DB1AEE" w:rsidRPr="00DB1AEE" w:rsidRDefault="00DB1AEE" w:rsidP="00DB1AEE">
            <w:pPr>
              <w:widowControl w:val="0"/>
              <w:autoSpaceDE w:val="0"/>
              <w:autoSpaceDN w:val="0"/>
              <w:ind w:left="362"/>
              <w:jc w:val="center"/>
              <w:rPr>
                <w:szCs w:val="24"/>
                <w:u w:val="single"/>
              </w:rPr>
            </w:pPr>
            <w:r w:rsidRPr="00DB1AEE">
              <w:rPr>
                <w:szCs w:val="24"/>
                <w:u w:val="single"/>
              </w:rPr>
              <w:t>≤</w:t>
            </w:r>
            <w:r w:rsidRPr="00DB1AEE">
              <w:rPr>
                <w:spacing w:val="-2"/>
                <w:szCs w:val="24"/>
                <w:u w:val="single"/>
              </w:rPr>
              <w:t xml:space="preserve"> </w:t>
            </w:r>
            <w:r w:rsidRPr="00DB1AEE">
              <w:rPr>
                <w:szCs w:val="24"/>
                <w:u w:val="single"/>
              </w:rPr>
              <w:t>2.25</w:t>
            </w:r>
            <w:r w:rsidRPr="00DB1AEE">
              <w:rPr>
                <w:spacing w:val="-3"/>
                <w:szCs w:val="24"/>
                <w:u w:val="single"/>
              </w:rPr>
              <w:t xml:space="preserve"> </w:t>
            </w:r>
            <w:r w:rsidRPr="00DB1AEE">
              <w:rPr>
                <w:szCs w:val="24"/>
                <w:u w:val="single"/>
              </w:rPr>
              <w:t>kW</w:t>
            </w:r>
          </w:p>
        </w:tc>
        <w:tc>
          <w:tcPr>
            <w:tcW w:w="1781" w:type="dxa"/>
            <w:vMerge w:val="restart"/>
          </w:tcPr>
          <w:p w14:paraId="355223CA" w14:textId="77777777" w:rsidR="00DB1AEE" w:rsidRPr="00DB1AEE" w:rsidRDefault="00DB1AEE" w:rsidP="00DB1AEE">
            <w:pPr>
              <w:widowControl w:val="0"/>
              <w:autoSpaceDE w:val="0"/>
              <w:autoSpaceDN w:val="0"/>
              <w:ind w:left="419"/>
              <w:jc w:val="center"/>
              <w:rPr>
                <w:szCs w:val="24"/>
                <w:u w:val="single"/>
              </w:rPr>
            </w:pPr>
            <w:r w:rsidRPr="00DB1AEE">
              <w:rPr>
                <w:szCs w:val="24"/>
                <w:u w:val="single"/>
              </w:rPr>
              <w:t>≤</w:t>
            </w:r>
            <w:r w:rsidRPr="00DB1AEE">
              <w:rPr>
                <w:spacing w:val="-1"/>
                <w:szCs w:val="24"/>
                <w:u w:val="single"/>
              </w:rPr>
              <w:t xml:space="preserve"> </w:t>
            </w:r>
            <w:r w:rsidRPr="00DB1AEE">
              <w:rPr>
                <w:szCs w:val="24"/>
                <w:u w:val="single"/>
              </w:rPr>
              <w:t>0.54 GPR</w:t>
            </w:r>
          </w:p>
        </w:tc>
        <w:tc>
          <w:tcPr>
            <w:tcW w:w="1537" w:type="dxa"/>
            <w:vMerge w:val="restart"/>
          </w:tcPr>
          <w:p w14:paraId="2B33D04E" w14:textId="77777777" w:rsidR="00DB1AEE" w:rsidRPr="00DB1AEE" w:rsidRDefault="00DB1AEE" w:rsidP="00DB1AEE">
            <w:pPr>
              <w:widowControl w:val="0"/>
              <w:autoSpaceDE w:val="0"/>
              <w:autoSpaceDN w:val="0"/>
              <w:ind w:left="362"/>
              <w:jc w:val="center"/>
              <w:rPr>
                <w:szCs w:val="24"/>
                <w:u w:val="single"/>
              </w:rPr>
            </w:pPr>
            <w:r w:rsidRPr="00DB1AEE">
              <w:rPr>
                <w:szCs w:val="24"/>
                <w:u w:val="single"/>
              </w:rPr>
              <w:t>≤</w:t>
            </w:r>
            <w:r w:rsidRPr="00DB1AEE">
              <w:rPr>
                <w:spacing w:val="-2"/>
                <w:szCs w:val="24"/>
                <w:u w:val="single"/>
              </w:rPr>
              <w:t xml:space="preserve"> </w:t>
            </w:r>
            <w:r w:rsidRPr="00DB1AEE">
              <w:rPr>
                <w:szCs w:val="24"/>
                <w:u w:val="single"/>
              </w:rPr>
              <w:t>2.00</w:t>
            </w:r>
            <w:r w:rsidRPr="00DB1AEE">
              <w:rPr>
                <w:spacing w:val="-3"/>
                <w:szCs w:val="24"/>
                <w:u w:val="single"/>
              </w:rPr>
              <w:t xml:space="preserve"> </w:t>
            </w:r>
            <w:r w:rsidRPr="00DB1AEE">
              <w:rPr>
                <w:szCs w:val="24"/>
                <w:u w:val="single"/>
              </w:rPr>
              <w:t>kW</w:t>
            </w:r>
          </w:p>
        </w:tc>
        <w:tc>
          <w:tcPr>
            <w:tcW w:w="1782" w:type="dxa"/>
            <w:vMerge w:val="restart"/>
          </w:tcPr>
          <w:p w14:paraId="7DCB0498" w14:textId="77777777" w:rsidR="00DB1AEE" w:rsidRPr="00DB1AEE" w:rsidRDefault="00DB1AEE" w:rsidP="00DB1AEE">
            <w:pPr>
              <w:widowControl w:val="0"/>
              <w:autoSpaceDE w:val="0"/>
              <w:autoSpaceDN w:val="0"/>
              <w:ind w:left="418"/>
              <w:jc w:val="center"/>
              <w:rPr>
                <w:szCs w:val="24"/>
                <w:u w:val="single"/>
              </w:rPr>
            </w:pPr>
            <w:r w:rsidRPr="00DB1AEE">
              <w:rPr>
                <w:szCs w:val="24"/>
                <w:u w:val="single"/>
              </w:rPr>
              <w:t>≤</w:t>
            </w:r>
            <w:r w:rsidRPr="00DB1AEE">
              <w:rPr>
                <w:spacing w:val="-1"/>
                <w:szCs w:val="24"/>
                <w:u w:val="single"/>
              </w:rPr>
              <w:t xml:space="preserve"> </w:t>
            </w:r>
            <w:r w:rsidRPr="00DB1AEE">
              <w:rPr>
                <w:szCs w:val="24"/>
                <w:u w:val="single"/>
              </w:rPr>
              <w:t>0.54 GPR</w:t>
            </w:r>
          </w:p>
        </w:tc>
        <w:tc>
          <w:tcPr>
            <w:tcW w:w="1369" w:type="dxa"/>
            <w:tcBorders>
              <w:top w:val="nil"/>
              <w:bottom w:val="nil"/>
            </w:tcBorders>
          </w:tcPr>
          <w:p w14:paraId="707C2743" w14:textId="77777777" w:rsidR="00DB1AEE" w:rsidRPr="00DB1AEE" w:rsidRDefault="00DB1AEE" w:rsidP="00DB1AEE">
            <w:pPr>
              <w:widowControl w:val="0"/>
              <w:autoSpaceDE w:val="0"/>
              <w:autoSpaceDN w:val="0"/>
              <w:ind w:left="1098"/>
              <w:jc w:val="center"/>
              <w:rPr>
                <w:szCs w:val="24"/>
                <w:u w:val="single"/>
              </w:rPr>
            </w:pPr>
          </w:p>
        </w:tc>
      </w:tr>
      <w:tr w:rsidR="00DB1AEE" w:rsidRPr="00DB1AEE" w14:paraId="3FB39478" w14:textId="77777777" w:rsidTr="00FC1832">
        <w:trPr>
          <w:trHeight w:val="200"/>
        </w:trPr>
        <w:tc>
          <w:tcPr>
            <w:tcW w:w="1572" w:type="dxa"/>
            <w:tcBorders>
              <w:top w:val="nil"/>
            </w:tcBorders>
          </w:tcPr>
          <w:p w14:paraId="70DA6BE5" w14:textId="77777777" w:rsidR="00DB1AEE" w:rsidRPr="00DB1AEE" w:rsidRDefault="00DB1AEE" w:rsidP="00DB1AEE">
            <w:pPr>
              <w:widowControl w:val="0"/>
              <w:autoSpaceDE w:val="0"/>
              <w:autoSpaceDN w:val="0"/>
              <w:ind w:left="175" w:right="167"/>
              <w:jc w:val="center"/>
              <w:rPr>
                <w:szCs w:val="24"/>
                <w:u w:val="single"/>
              </w:rPr>
            </w:pPr>
            <w:r w:rsidRPr="00DB1AEE">
              <w:rPr>
                <w:szCs w:val="24"/>
                <w:u w:val="single"/>
              </w:rPr>
              <w:t>Conveyor</w:t>
            </w:r>
          </w:p>
        </w:tc>
        <w:tc>
          <w:tcPr>
            <w:tcW w:w="1539" w:type="dxa"/>
            <w:vMerge/>
            <w:tcBorders>
              <w:top w:val="nil"/>
            </w:tcBorders>
          </w:tcPr>
          <w:p w14:paraId="066A31D2" w14:textId="77777777" w:rsidR="00DB1AEE" w:rsidRPr="00DB1AEE" w:rsidRDefault="00DB1AEE" w:rsidP="00DB1AEE">
            <w:pPr>
              <w:suppressAutoHyphens/>
              <w:jc w:val="left"/>
              <w:rPr>
                <w:szCs w:val="24"/>
                <w:u w:val="single"/>
              </w:rPr>
            </w:pPr>
          </w:p>
        </w:tc>
        <w:tc>
          <w:tcPr>
            <w:tcW w:w="1781" w:type="dxa"/>
            <w:vMerge/>
            <w:tcBorders>
              <w:top w:val="nil"/>
            </w:tcBorders>
          </w:tcPr>
          <w:p w14:paraId="3306020F" w14:textId="77777777" w:rsidR="00DB1AEE" w:rsidRPr="00DB1AEE" w:rsidRDefault="00DB1AEE" w:rsidP="00DB1AEE">
            <w:pPr>
              <w:suppressAutoHyphens/>
              <w:jc w:val="left"/>
              <w:rPr>
                <w:szCs w:val="24"/>
                <w:u w:val="single"/>
              </w:rPr>
            </w:pPr>
          </w:p>
        </w:tc>
        <w:tc>
          <w:tcPr>
            <w:tcW w:w="1537" w:type="dxa"/>
            <w:vMerge/>
            <w:tcBorders>
              <w:top w:val="nil"/>
            </w:tcBorders>
          </w:tcPr>
          <w:p w14:paraId="0889B8D8" w14:textId="77777777" w:rsidR="00DB1AEE" w:rsidRPr="00DB1AEE" w:rsidRDefault="00DB1AEE" w:rsidP="00DB1AEE">
            <w:pPr>
              <w:suppressAutoHyphens/>
              <w:jc w:val="left"/>
              <w:rPr>
                <w:szCs w:val="24"/>
                <w:u w:val="single"/>
              </w:rPr>
            </w:pPr>
          </w:p>
        </w:tc>
        <w:tc>
          <w:tcPr>
            <w:tcW w:w="1782" w:type="dxa"/>
            <w:vMerge/>
            <w:tcBorders>
              <w:top w:val="nil"/>
            </w:tcBorders>
          </w:tcPr>
          <w:p w14:paraId="2684DD35" w14:textId="77777777" w:rsidR="00DB1AEE" w:rsidRPr="00DB1AEE" w:rsidRDefault="00DB1AEE" w:rsidP="00DB1AEE">
            <w:pPr>
              <w:suppressAutoHyphens/>
              <w:jc w:val="left"/>
              <w:rPr>
                <w:szCs w:val="24"/>
                <w:u w:val="single"/>
              </w:rPr>
            </w:pPr>
          </w:p>
        </w:tc>
        <w:tc>
          <w:tcPr>
            <w:tcW w:w="1369" w:type="dxa"/>
            <w:tcBorders>
              <w:top w:val="nil"/>
              <w:bottom w:val="nil"/>
            </w:tcBorders>
          </w:tcPr>
          <w:p w14:paraId="52271092" w14:textId="77777777" w:rsidR="00DB1AEE" w:rsidRPr="00DB1AEE" w:rsidRDefault="00DB1AEE" w:rsidP="00DB1AEE">
            <w:pPr>
              <w:widowControl w:val="0"/>
              <w:autoSpaceDE w:val="0"/>
              <w:autoSpaceDN w:val="0"/>
              <w:ind w:left="102" w:right="99"/>
              <w:jc w:val="center"/>
              <w:rPr>
                <w:szCs w:val="24"/>
                <w:u w:val="single"/>
              </w:rPr>
            </w:pPr>
            <w:r w:rsidRPr="00DB1AEE">
              <w:rPr>
                <w:szCs w:val="24"/>
                <w:u w:val="single"/>
              </w:rPr>
              <w:t>ASTM</w:t>
            </w:r>
            <w:r w:rsidRPr="00DB1AEE">
              <w:rPr>
                <w:spacing w:val="-2"/>
                <w:szCs w:val="24"/>
                <w:u w:val="single"/>
              </w:rPr>
              <w:t xml:space="preserve"> </w:t>
            </w:r>
            <w:r w:rsidRPr="00DB1AEE">
              <w:rPr>
                <w:szCs w:val="24"/>
                <w:u w:val="single"/>
              </w:rPr>
              <w:t>F1920-</w:t>
            </w:r>
          </w:p>
        </w:tc>
      </w:tr>
      <w:tr w:rsidR="00DB1AEE" w:rsidRPr="00DB1AEE" w14:paraId="004EEF52" w14:textId="77777777" w:rsidTr="00FC1832">
        <w:trPr>
          <w:trHeight w:val="203"/>
        </w:trPr>
        <w:tc>
          <w:tcPr>
            <w:tcW w:w="1572" w:type="dxa"/>
            <w:tcBorders>
              <w:bottom w:val="nil"/>
            </w:tcBorders>
          </w:tcPr>
          <w:p w14:paraId="67539ADB" w14:textId="77777777" w:rsidR="00DB1AEE" w:rsidRPr="00DB1AEE" w:rsidRDefault="00DB1AEE" w:rsidP="00DB1AEE">
            <w:pPr>
              <w:widowControl w:val="0"/>
              <w:autoSpaceDE w:val="0"/>
              <w:autoSpaceDN w:val="0"/>
              <w:ind w:left="174" w:right="167"/>
              <w:jc w:val="center"/>
              <w:rPr>
                <w:szCs w:val="24"/>
                <w:u w:val="single"/>
              </w:rPr>
            </w:pPr>
            <w:r w:rsidRPr="00DB1AEE">
              <w:rPr>
                <w:szCs w:val="24"/>
                <w:u w:val="single"/>
              </w:rPr>
              <w:t>Single</w:t>
            </w:r>
            <w:r w:rsidRPr="00DB1AEE">
              <w:rPr>
                <w:spacing w:val="-2"/>
                <w:szCs w:val="24"/>
                <w:u w:val="single"/>
              </w:rPr>
              <w:t xml:space="preserve"> </w:t>
            </w:r>
            <w:r w:rsidRPr="00DB1AEE">
              <w:rPr>
                <w:szCs w:val="24"/>
                <w:u w:val="single"/>
              </w:rPr>
              <w:t>Tank</w:t>
            </w:r>
          </w:p>
        </w:tc>
        <w:tc>
          <w:tcPr>
            <w:tcW w:w="1539" w:type="dxa"/>
            <w:vMerge w:val="restart"/>
          </w:tcPr>
          <w:p w14:paraId="0D68A68B" w14:textId="77777777" w:rsidR="00DB1AEE" w:rsidRPr="00DB1AEE" w:rsidRDefault="00DB1AEE" w:rsidP="00DB1AEE">
            <w:pPr>
              <w:widowControl w:val="0"/>
              <w:autoSpaceDE w:val="0"/>
              <w:autoSpaceDN w:val="0"/>
              <w:ind w:left="395"/>
              <w:jc w:val="center"/>
              <w:rPr>
                <w:szCs w:val="24"/>
                <w:u w:val="single"/>
              </w:rPr>
            </w:pPr>
            <w:r w:rsidRPr="00DB1AEE">
              <w:rPr>
                <w:szCs w:val="24"/>
                <w:u w:val="single"/>
              </w:rPr>
              <w:t>Reported</w:t>
            </w:r>
          </w:p>
        </w:tc>
        <w:tc>
          <w:tcPr>
            <w:tcW w:w="1781" w:type="dxa"/>
            <w:tcBorders>
              <w:bottom w:val="nil"/>
            </w:tcBorders>
          </w:tcPr>
          <w:p w14:paraId="02C9D3F4" w14:textId="77777777" w:rsidR="00DB1AEE" w:rsidRPr="00DB1AEE" w:rsidRDefault="00DB1AEE" w:rsidP="00DB1AEE">
            <w:pPr>
              <w:widowControl w:val="0"/>
              <w:autoSpaceDE w:val="0"/>
              <w:autoSpaceDN w:val="0"/>
              <w:ind w:left="227" w:right="222"/>
              <w:jc w:val="center"/>
              <w:rPr>
                <w:szCs w:val="24"/>
                <w:u w:val="single"/>
              </w:rPr>
            </w:pPr>
            <w:r w:rsidRPr="00DB1AEE">
              <w:rPr>
                <w:szCs w:val="24"/>
                <w:u w:val="single"/>
              </w:rPr>
              <w:t>GPH ≤ 2.975x</w:t>
            </w:r>
            <w:r w:rsidRPr="00DB1AEE">
              <w:rPr>
                <w:spacing w:val="-4"/>
                <w:szCs w:val="24"/>
                <w:u w:val="single"/>
              </w:rPr>
              <w:t xml:space="preserve"> </w:t>
            </w:r>
            <w:r w:rsidRPr="00DB1AEE">
              <w:rPr>
                <w:szCs w:val="24"/>
                <w:u w:val="single"/>
              </w:rPr>
              <w:t>+</w:t>
            </w:r>
          </w:p>
        </w:tc>
        <w:tc>
          <w:tcPr>
            <w:tcW w:w="1537" w:type="dxa"/>
            <w:vMerge w:val="restart"/>
          </w:tcPr>
          <w:p w14:paraId="13D4E6A0" w14:textId="77777777" w:rsidR="00DB1AEE" w:rsidRPr="00DB1AEE" w:rsidRDefault="00DB1AEE" w:rsidP="00DB1AEE">
            <w:pPr>
              <w:widowControl w:val="0"/>
              <w:autoSpaceDE w:val="0"/>
              <w:autoSpaceDN w:val="0"/>
              <w:ind w:left="395"/>
              <w:jc w:val="center"/>
              <w:rPr>
                <w:szCs w:val="24"/>
                <w:u w:val="single"/>
              </w:rPr>
            </w:pPr>
            <w:r w:rsidRPr="00DB1AEE">
              <w:rPr>
                <w:szCs w:val="24"/>
                <w:u w:val="single"/>
              </w:rPr>
              <w:t>Reported</w:t>
            </w:r>
          </w:p>
        </w:tc>
        <w:tc>
          <w:tcPr>
            <w:tcW w:w="1782" w:type="dxa"/>
            <w:tcBorders>
              <w:bottom w:val="nil"/>
            </w:tcBorders>
          </w:tcPr>
          <w:p w14:paraId="69A03754" w14:textId="77777777" w:rsidR="00DB1AEE" w:rsidRPr="00DB1AEE" w:rsidRDefault="00DB1AEE" w:rsidP="00DB1AEE">
            <w:pPr>
              <w:widowControl w:val="0"/>
              <w:autoSpaceDE w:val="0"/>
              <w:autoSpaceDN w:val="0"/>
              <w:ind w:left="226" w:right="224"/>
              <w:jc w:val="center"/>
              <w:rPr>
                <w:szCs w:val="24"/>
                <w:u w:val="single"/>
              </w:rPr>
            </w:pPr>
            <w:r w:rsidRPr="00DB1AEE">
              <w:rPr>
                <w:szCs w:val="24"/>
                <w:u w:val="single"/>
              </w:rPr>
              <w:t>GPH ≤ 2.975x</w:t>
            </w:r>
            <w:r w:rsidRPr="00DB1AEE">
              <w:rPr>
                <w:spacing w:val="-4"/>
                <w:szCs w:val="24"/>
                <w:u w:val="single"/>
              </w:rPr>
              <w:t xml:space="preserve"> </w:t>
            </w:r>
            <w:r w:rsidRPr="00DB1AEE">
              <w:rPr>
                <w:szCs w:val="24"/>
                <w:u w:val="single"/>
              </w:rPr>
              <w:t>+</w:t>
            </w:r>
          </w:p>
        </w:tc>
        <w:tc>
          <w:tcPr>
            <w:tcW w:w="1369" w:type="dxa"/>
            <w:tcBorders>
              <w:top w:val="nil"/>
              <w:bottom w:val="nil"/>
            </w:tcBorders>
          </w:tcPr>
          <w:p w14:paraId="427792FE" w14:textId="77777777" w:rsidR="00DB1AEE" w:rsidRPr="00DB1AEE" w:rsidRDefault="00DB1AEE" w:rsidP="00DB1AEE">
            <w:pPr>
              <w:widowControl w:val="0"/>
              <w:autoSpaceDE w:val="0"/>
              <w:autoSpaceDN w:val="0"/>
              <w:ind w:left="102" w:right="97"/>
              <w:jc w:val="center"/>
              <w:rPr>
                <w:szCs w:val="24"/>
                <w:u w:val="single"/>
              </w:rPr>
            </w:pPr>
            <w:r w:rsidRPr="00DB1AEE">
              <w:rPr>
                <w:szCs w:val="24"/>
                <w:u w:val="single"/>
              </w:rPr>
              <w:t>15</w:t>
            </w:r>
          </w:p>
        </w:tc>
      </w:tr>
      <w:tr w:rsidR="00DB1AEE" w:rsidRPr="00DB1AEE" w14:paraId="2FE29A34" w14:textId="77777777" w:rsidTr="00FC1832">
        <w:trPr>
          <w:trHeight w:val="198"/>
        </w:trPr>
        <w:tc>
          <w:tcPr>
            <w:tcW w:w="1572" w:type="dxa"/>
            <w:tcBorders>
              <w:top w:val="nil"/>
            </w:tcBorders>
          </w:tcPr>
          <w:p w14:paraId="6F3FD67B" w14:textId="77777777" w:rsidR="00DB1AEE" w:rsidRPr="00DB1AEE" w:rsidRDefault="00DB1AEE" w:rsidP="00DB1AEE">
            <w:pPr>
              <w:widowControl w:val="0"/>
              <w:autoSpaceDE w:val="0"/>
              <w:autoSpaceDN w:val="0"/>
              <w:ind w:left="175" w:right="167"/>
              <w:jc w:val="center"/>
              <w:rPr>
                <w:szCs w:val="24"/>
                <w:u w:val="single"/>
              </w:rPr>
            </w:pPr>
            <w:r w:rsidRPr="00DB1AEE">
              <w:rPr>
                <w:szCs w:val="24"/>
                <w:u w:val="single"/>
              </w:rPr>
              <w:t>Flight</w:t>
            </w:r>
            <w:r w:rsidRPr="00DB1AEE">
              <w:rPr>
                <w:spacing w:val="-2"/>
                <w:szCs w:val="24"/>
                <w:u w:val="single"/>
              </w:rPr>
              <w:t xml:space="preserve"> </w:t>
            </w:r>
            <w:r w:rsidRPr="00DB1AEE">
              <w:rPr>
                <w:szCs w:val="24"/>
                <w:u w:val="single"/>
              </w:rPr>
              <w:t>Type</w:t>
            </w:r>
          </w:p>
        </w:tc>
        <w:tc>
          <w:tcPr>
            <w:tcW w:w="1539" w:type="dxa"/>
            <w:vMerge/>
            <w:tcBorders>
              <w:top w:val="nil"/>
            </w:tcBorders>
          </w:tcPr>
          <w:p w14:paraId="7F1427A4" w14:textId="77777777" w:rsidR="00DB1AEE" w:rsidRPr="00DB1AEE" w:rsidRDefault="00DB1AEE" w:rsidP="00DB1AEE">
            <w:pPr>
              <w:suppressAutoHyphens/>
              <w:jc w:val="left"/>
              <w:rPr>
                <w:szCs w:val="24"/>
                <w:u w:val="single"/>
              </w:rPr>
            </w:pPr>
          </w:p>
        </w:tc>
        <w:tc>
          <w:tcPr>
            <w:tcW w:w="1781" w:type="dxa"/>
            <w:tcBorders>
              <w:top w:val="nil"/>
            </w:tcBorders>
          </w:tcPr>
          <w:p w14:paraId="4341A9A7" w14:textId="77777777" w:rsidR="00DB1AEE" w:rsidRPr="00DB1AEE" w:rsidRDefault="00DB1AEE" w:rsidP="00DB1AEE">
            <w:pPr>
              <w:widowControl w:val="0"/>
              <w:autoSpaceDE w:val="0"/>
              <w:autoSpaceDN w:val="0"/>
              <w:ind w:left="227" w:right="217"/>
              <w:jc w:val="center"/>
              <w:rPr>
                <w:szCs w:val="24"/>
                <w:u w:val="single"/>
              </w:rPr>
            </w:pPr>
            <w:r w:rsidRPr="00DB1AEE">
              <w:rPr>
                <w:szCs w:val="24"/>
                <w:u w:val="single"/>
              </w:rPr>
              <w:t>55.00</w:t>
            </w:r>
          </w:p>
        </w:tc>
        <w:tc>
          <w:tcPr>
            <w:tcW w:w="1537" w:type="dxa"/>
            <w:vMerge/>
            <w:tcBorders>
              <w:top w:val="nil"/>
            </w:tcBorders>
          </w:tcPr>
          <w:p w14:paraId="491634DF" w14:textId="77777777" w:rsidR="00DB1AEE" w:rsidRPr="00DB1AEE" w:rsidRDefault="00DB1AEE" w:rsidP="00DB1AEE">
            <w:pPr>
              <w:suppressAutoHyphens/>
              <w:jc w:val="left"/>
              <w:rPr>
                <w:szCs w:val="24"/>
                <w:u w:val="single"/>
              </w:rPr>
            </w:pPr>
          </w:p>
        </w:tc>
        <w:tc>
          <w:tcPr>
            <w:tcW w:w="1782" w:type="dxa"/>
            <w:tcBorders>
              <w:top w:val="nil"/>
            </w:tcBorders>
          </w:tcPr>
          <w:p w14:paraId="73F73A9B" w14:textId="77777777" w:rsidR="00DB1AEE" w:rsidRPr="00DB1AEE" w:rsidRDefault="00DB1AEE" w:rsidP="00DB1AEE">
            <w:pPr>
              <w:widowControl w:val="0"/>
              <w:autoSpaceDE w:val="0"/>
              <w:autoSpaceDN w:val="0"/>
              <w:ind w:left="226" w:right="219"/>
              <w:jc w:val="center"/>
              <w:rPr>
                <w:szCs w:val="24"/>
                <w:u w:val="single"/>
              </w:rPr>
            </w:pPr>
            <w:r w:rsidRPr="00DB1AEE">
              <w:rPr>
                <w:szCs w:val="24"/>
                <w:u w:val="single"/>
              </w:rPr>
              <w:t>55.00</w:t>
            </w:r>
          </w:p>
        </w:tc>
        <w:tc>
          <w:tcPr>
            <w:tcW w:w="1369" w:type="dxa"/>
            <w:tcBorders>
              <w:top w:val="nil"/>
              <w:bottom w:val="nil"/>
            </w:tcBorders>
          </w:tcPr>
          <w:p w14:paraId="6E904637" w14:textId="77777777" w:rsidR="00DB1AEE" w:rsidRPr="00DB1AEE" w:rsidRDefault="00DB1AEE" w:rsidP="00DB1AEE">
            <w:pPr>
              <w:widowControl w:val="0"/>
              <w:autoSpaceDE w:val="0"/>
              <w:autoSpaceDN w:val="0"/>
              <w:ind w:left="1098"/>
              <w:jc w:val="center"/>
              <w:rPr>
                <w:szCs w:val="24"/>
                <w:u w:val="single"/>
              </w:rPr>
            </w:pPr>
          </w:p>
        </w:tc>
      </w:tr>
      <w:tr w:rsidR="00DB1AEE" w:rsidRPr="00DB1AEE" w14:paraId="758D70DE" w14:textId="77777777" w:rsidTr="00FC1832">
        <w:trPr>
          <w:trHeight w:val="205"/>
        </w:trPr>
        <w:tc>
          <w:tcPr>
            <w:tcW w:w="1572" w:type="dxa"/>
            <w:tcBorders>
              <w:bottom w:val="nil"/>
            </w:tcBorders>
          </w:tcPr>
          <w:p w14:paraId="234277DC" w14:textId="77777777" w:rsidR="00DB1AEE" w:rsidRPr="00DB1AEE" w:rsidRDefault="00DB1AEE" w:rsidP="00DB1AEE">
            <w:pPr>
              <w:widowControl w:val="0"/>
              <w:autoSpaceDE w:val="0"/>
              <w:autoSpaceDN w:val="0"/>
              <w:ind w:left="174" w:right="167"/>
              <w:jc w:val="center"/>
              <w:rPr>
                <w:szCs w:val="24"/>
                <w:u w:val="single"/>
              </w:rPr>
            </w:pPr>
            <w:r w:rsidRPr="00DB1AEE">
              <w:rPr>
                <w:szCs w:val="24"/>
                <w:u w:val="single"/>
              </w:rPr>
              <w:t>Multiple Tank</w:t>
            </w:r>
          </w:p>
        </w:tc>
        <w:tc>
          <w:tcPr>
            <w:tcW w:w="1539" w:type="dxa"/>
            <w:vMerge w:val="restart"/>
          </w:tcPr>
          <w:p w14:paraId="47FD0AE3" w14:textId="77777777" w:rsidR="00DB1AEE" w:rsidRPr="00DB1AEE" w:rsidRDefault="00DB1AEE" w:rsidP="00DB1AEE">
            <w:pPr>
              <w:widowControl w:val="0"/>
              <w:autoSpaceDE w:val="0"/>
              <w:autoSpaceDN w:val="0"/>
              <w:ind w:left="395"/>
              <w:jc w:val="center"/>
              <w:rPr>
                <w:szCs w:val="24"/>
                <w:u w:val="single"/>
              </w:rPr>
            </w:pPr>
            <w:r w:rsidRPr="00DB1AEE">
              <w:rPr>
                <w:szCs w:val="24"/>
                <w:u w:val="single"/>
              </w:rPr>
              <w:t>Reported</w:t>
            </w:r>
          </w:p>
        </w:tc>
        <w:tc>
          <w:tcPr>
            <w:tcW w:w="1781" w:type="dxa"/>
            <w:tcBorders>
              <w:bottom w:val="nil"/>
            </w:tcBorders>
          </w:tcPr>
          <w:p w14:paraId="519789BE" w14:textId="77777777" w:rsidR="00DB1AEE" w:rsidRPr="00DB1AEE" w:rsidRDefault="00DB1AEE" w:rsidP="00DB1AEE">
            <w:pPr>
              <w:widowControl w:val="0"/>
              <w:autoSpaceDE w:val="0"/>
              <w:autoSpaceDN w:val="0"/>
              <w:ind w:left="227" w:right="222"/>
              <w:jc w:val="center"/>
              <w:rPr>
                <w:szCs w:val="24"/>
                <w:u w:val="single"/>
              </w:rPr>
            </w:pPr>
            <w:r w:rsidRPr="00DB1AEE">
              <w:rPr>
                <w:szCs w:val="24"/>
                <w:u w:val="single"/>
              </w:rPr>
              <w:t>GPH ≤ 4.96x</w:t>
            </w:r>
            <w:r w:rsidRPr="00DB1AEE">
              <w:rPr>
                <w:spacing w:val="-4"/>
                <w:szCs w:val="24"/>
                <w:u w:val="single"/>
              </w:rPr>
              <w:t xml:space="preserve"> </w:t>
            </w:r>
            <w:r w:rsidRPr="00DB1AEE">
              <w:rPr>
                <w:szCs w:val="24"/>
                <w:u w:val="single"/>
              </w:rPr>
              <w:t>+</w:t>
            </w:r>
          </w:p>
        </w:tc>
        <w:tc>
          <w:tcPr>
            <w:tcW w:w="1537" w:type="dxa"/>
            <w:vMerge w:val="restart"/>
          </w:tcPr>
          <w:p w14:paraId="3D8C31B7" w14:textId="77777777" w:rsidR="00DB1AEE" w:rsidRPr="00DB1AEE" w:rsidRDefault="00DB1AEE" w:rsidP="00DB1AEE">
            <w:pPr>
              <w:widowControl w:val="0"/>
              <w:autoSpaceDE w:val="0"/>
              <w:autoSpaceDN w:val="0"/>
              <w:ind w:left="395"/>
              <w:jc w:val="center"/>
              <w:rPr>
                <w:szCs w:val="24"/>
                <w:u w:val="single"/>
              </w:rPr>
            </w:pPr>
            <w:r w:rsidRPr="00DB1AEE">
              <w:rPr>
                <w:szCs w:val="24"/>
                <w:u w:val="single"/>
              </w:rPr>
              <w:t>Reported</w:t>
            </w:r>
          </w:p>
        </w:tc>
        <w:tc>
          <w:tcPr>
            <w:tcW w:w="1782" w:type="dxa"/>
            <w:tcBorders>
              <w:bottom w:val="nil"/>
            </w:tcBorders>
          </w:tcPr>
          <w:p w14:paraId="465BFE57" w14:textId="77777777" w:rsidR="00DB1AEE" w:rsidRPr="00DB1AEE" w:rsidRDefault="00DB1AEE" w:rsidP="00DB1AEE">
            <w:pPr>
              <w:widowControl w:val="0"/>
              <w:autoSpaceDE w:val="0"/>
              <w:autoSpaceDN w:val="0"/>
              <w:ind w:left="226" w:right="224"/>
              <w:jc w:val="center"/>
              <w:rPr>
                <w:szCs w:val="24"/>
                <w:u w:val="single"/>
              </w:rPr>
            </w:pPr>
            <w:r w:rsidRPr="00DB1AEE">
              <w:rPr>
                <w:szCs w:val="24"/>
                <w:u w:val="single"/>
              </w:rPr>
              <w:t>GPH ≤ 4.96x</w:t>
            </w:r>
            <w:r w:rsidRPr="00DB1AEE">
              <w:rPr>
                <w:spacing w:val="-4"/>
                <w:szCs w:val="24"/>
                <w:u w:val="single"/>
              </w:rPr>
              <w:t xml:space="preserve"> </w:t>
            </w:r>
            <w:r w:rsidRPr="00DB1AEE">
              <w:rPr>
                <w:szCs w:val="24"/>
                <w:u w:val="single"/>
              </w:rPr>
              <w:t>+</w:t>
            </w:r>
          </w:p>
        </w:tc>
        <w:tc>
          <w:tcPr>
            <w:tcW w:w="1369" w:type="dxa"/>
            <w:tcBorders>
              <w:top w:val="nil"/>
              <w:bottom w:val="nil"/>
            </w:tcBorders>
          </w:tcPr>
          <w:p w14:paraId="523926AC" w14:textId="77777777" w:rsidR="00DB1AEE" w:rsidRPr="00DB1AEE" w:rsidRDefault="00DB1AEE" w:rsidP="00DB1AEE">
            <w:pPr>
              <w:widowControl w:val="0"/>
              <w:autoSpaceDE w:val="0"/>
              <w:autoSpaceDN w:val="0"/>
              <w:ind w:left="1098"/>
              <w:jc w:val="center"/>
              <w:rPr>
                <w:szCs w:val="24"/>
                <w:u w:val="single"/>
              </w:rPr>
            </w:pPr>
          </w:p>
        </w:tc>
      </w:tr>
      <w:tr w:rsidR="00DB1AEE" w:rsidRPr="00DB1AEE" w14:paraId="102ACE9A" w14:textId="77777777" w:rsidTr="00FC1832">
        <w:trPr>
          <w:trHeight w:val="198"/>
        </w:trPr>
        <w:tc>
          <w:tcPr>
            <w:tcW w:w="1572" w:type="dxa"/>
            <w:tcBorders>
              <w:top w:val="nil"/>
            </w:tcBorders>
          </w:tcPr>
          <w:p w14:paraId="4E2FF36D" w14:textId="77777777" w:rsidR="00DB1AEE" w:rsidRPr="00DB1AEE" w:rsidRDefault="00DB1AEE" w:rsidP="00DB1AEE">
            <w:pPr>
              <w:widowControl w:val="0"/>
              <w:autoSpaceDE w:val="0"/>
              <w:autoSpaceDN w:val="0"/>
              <w:ind w:left="175" w:right="167"/>
              <w:jc w:val="center"/>
              <w:rPr>
                <w:szCs w:val="24"/>
                <w:u w:val="single"/>
              </w:rPr>
            </w:pPr>
            <w:r w:rsidRPr="00DB1AEE">
              <w:rPr>
                <w:szCs w:val="24"/>
                <w:u w:val="single"/>
              </w:rPr>
              <w:t>Flight</w:t>
            </w:r>
            <w:r w:rsidRPr="00DB1AEE">
              <w:rPr>
                <w:spacing w:val="-2"/>
                <w:szCs w:val="24"/>
                <w:u w:val="single"/>
              </w:rPr>
              <w:t xml:space="preserve"> </w:t>
            </w:r>
            <w:r w:rsidRPr="00DB1AEE">
              <w:rPr>
                <w:szCs w:val="24"/>
                <w:u w:val="single"/>
              </w:rPr>
              <w:t>Type</w:t>
            </w:r>
          </w:p>
        </w:tc>
        <w:tc>
          <w:tcPr>
            <w:tcW w:w="1539" w:type="dxa"/>
            <w:vMerge/>
            <w:tcBorders>
              <w:top w:val="nil"/>
            </w:tcBorders>
          </w:tcPr>
          <w:p w14:paraId="209A8354" w14:textId="77777777" w:rsidR="00DB1AEE" w:rsidRPr="00DB1AEE" w:rsidRDefault="00DB1AEE" w:rsidP="00DB1AEE">
            <w:pPr>
              <w:suppressAutoHyphens/>
              <w:jc w:val="left"/>
              <w:rPr>
                <w:szCs w:val="24"/>
                <w:u w:val="single"/>
              </w:rPr>
            </w:pPr>
          </w:p>
        </w:tc>
        <w:tc>
          <w:tcPr>
            <w:tcW w:w="1781" w:type="dxa"/>
            <w:tcBorders>
              <w:top w:val="nil"/>
            </w:tcBorders>
          </w:tcPr>
          <w:p w14:paraId="62ACE21D" w14:textId="77777777" w:rsidR="00DB1AEE" w:rsidRPr="00DB1AEE" w:rsidRDefault="00DB1AEE" w:rsidP="00DB1AEE">
            <w:pPr>
              <w:widowControl w:val="0"/>
              <w:autoSpaceDE w:val="0"/>
              <w:autoSpaceDN w:val="0"/>
              <w:ind w:left="227" w:right="217"/>
              <w:jc w:val="center"/>
              <w:rPr>
                <w:szCs w:val="24"/>
                <w:u w:val="single"/>
              </w:rPr>
            </w:pPr>
            <w:r w:rsidRPr="00DB1AEE">
              <w:rPr>
                <w:szCs w:val="24"/>
                <w:u w:val="single"/>
              </w:rPr>
              <w:t>17.00</w:t>
            </w:r>
          </w:p>
        </w:tc>
        <w:tc>
          <w:tcPr>
            <w:tcW w:w="1537" w:type="dxa"/>
            <w:vMerge/>
            <w:tcBorders>
              <w:top w:val="nil"/>
            </w:tcBorders>
          </w:tcPr>
          <w:p w14:paraId="1D6B6002" w14:textId="77777777" w:rsidR="00DB1AEE" w:rsidRPr="00DB1AEE" w:rsidRDefault="00DB1AEE" w:rsidP="00DB1AEE">
            <w:pPr>
              <w:suppressAutoHyphens/>
              <w:jc w:val="left"/>
              <w:rPr>
                <w:szCs w:val="24"/>
                <w:u w:val="single"/>
              </w:rPr>
            </w:pPr>
          </w:p>
        </w:tc>
        <w:tc>
          <w:tcPr>
            <w:tcW w:w="1782" w:type="dxa"/>
            <w:tcBorders>
              <w:top w:val="nil"/>
            </w:tcBorders>
          </w:tcPr>
          <w:p w14:paraId="3B4EEEAA" w14:textId="77777777" w:rsidR="00DB1AEE" w:rsidRPr="00DB1AEE" w:rsidRDefault="00DB1AEE" w:rsidP="00DB1AEE">
            <w:pPr>
              <w:widowControl w:val="0"/>
              <w:autoSpaceDE w:val="0"/>
              <w:autoSpaceDN w:val="0"/>
              <w:ind w:left="226" w:right="219"/>
              <w:jc w:val="center"/>
              <w:rPr>
                <w:szCs w:val="24"/>
                <w:u w:val="single"/>
              </w:rPr>
            </w:pPr>
            <w:r w:rsidRPr="00DB1AEE">
              <w:rPr>
                <w:szCs w:val="24"/>
                <w:u w:val="single"/>
              </w:rPr>
              <w:t>17.00</w:t>
            </w:r>
          </w:p>
        </w:tc>
        <w:tc>
          <w:tcPr>
            <w:tcW w:w="1369" w:type="dxa"/>
            <w:tcBorders>
              <w:top w:val="nil"/>
            </w:tcBorders>
          </w:tcPr>
          <w:p w14:paraId="5E26C39A" w14:textId="77777777" w:rsidR="00DB1AEE" w:rsidRPr="00DB1AEE" w:rsidRDefault="00DB1AEE" w:rsidP="00DB1AEE">
            <w:pPr>
              <w:widowControl w:val="0"/>
              <w:autoSpaceDE w:val="0"/>
              <w:autoSpaceDN w:val="0"/>
              <w:ind w:left="1098"/>
              <w:jc w:val="center"/>
              <w:rPr>
                <w:szCs w:val="24"/>
                <w:u w:val="single"/>
              </w:rPr>
            </w:pPr>
          </w:p>
        </w:tc>
      </w:tr>
    </w:tbl>
    <w:p w14:paraId="5544B3C0" w14:textId="77777777" w:rsidR="00DB1AEE" w:rsidRPr="00DB1AEE" w:rsidRDefault="00DB1AEE" w:rsidP="00DB1AEE">
      <w:pPr>
        <w:tabs>
          <w:tab w:val="left" w:pos="1180"/>
          <w:tab w:val="left" w:pos="1181"/>
        </w:tabs>
        <w:suppressAutoHyphens/>
        <w:spacing w:before="19" w:line="244" w:lineRule="auto"/>
        <w:ind w:left="1180" w:right="950" w:hanging="360"/>
        <w:jc w:val="left"/>
        <w:rPr>
          <w:szCs w:val="24"/>
          <w:u w:val="single"/>
        </w:rPr>
      </w:pPr>
      <w:r w:rsidRPr="00DB1AEE">
        <w:rPr>
          <w:rFonts w:eastAsia="Microsoft Sans Serif"/>
          <w:spacing w:val="-1"/>
          <w:w w:val="99"/>
          <w:szCs w:val="24"/>
          <w:u w:val="single"/>
        </w:rPr>
        <w:t>a.</w:t>
      </w:r>
      <w:r w:rsidRPr="00DB1AEE">
        <w:rPr>
          <w:rFonts w:eastAsia="Microsoft Sans Serif"/>
          <w:spacing w:val="-1"/>
          <w:w w:val="99"/>
          <w:szCs w:val="24"/>
          <w:u w:val="single"/>
        </w:rPr>
        <w:tab/>
      </w:r>
      <w:r w:rsidRPr="00DB1AEE">
        <w:rPr>
          <w:szCs w:val="24"/>
          <w:u w:val="single"/>
        </w:rPr>
        <w:t>Idle results shall be measured with the door closed and represent the total idle energy consumed by the machine including all tank heater(s) and</w:t>
      </w:r>
      <w:r w:rsidRPr="00DB1AEE">
        <w:rPr>
          <w:spacing w:val="-35"/>
          <w:szCs w:val="24"/>
          <w:u w:val="single"/>
        </w:rPr>
        <w:t xml:space="preserve"> </w:t>
      </w:r>
      <w:r w:rsidRPr="00DB1AEE">
        <w:rPr>
          <w:szCs w:val="24"/>
          <w:u w:val="single"/>
        </w:rPr>
        <w:t>controls. Booster heater (internal or external) energy consumption should not be part of this measurement unless it cannot be separately</w:t>
      </w:r>
      <w:r w:rsidRPr="00DB1AEE">
        <w:rPr>
          <w:spacing w:val="1"/>
          <w:szCs w:val="24"/>
          <w:u w:val="single"/>
        </w:rPr>
        <w:t xml:space="preserve"> </w:t>
      </w:r>
      <w:r w:rsidRPr="00DB1AEE">
        <w:rPr>
          <w:szCs w:val="24"/>
          <w:u w:val="single"/>
        </w:rPr>
        <w:t>monitored</w:t>
      </w:r>
      <w:r w:rsidRPr="00DB1AEE">
        <w:rPr>
          <w:spacing w:val="2"/>
          <w:szCs w:val="24"/>
          <w:u w:val="single"/>
        </w:rPr>
        <w:t xml:space="preserve"> </w:t>
      </w:r>
      <w:r w:rsidRPr="00DB1AEE">
        <w:rPr>
          <w:szCs w:val="24"/>
          <w:u w:val="single"/>
        </w:rPr>
        <w:t>per US</w:t>
      </w:r>
      <w:r w:rsidRPr="00DB1AEE">
        <w:rPr>
          <w:spacing w:val="2"/>
          <w:szCs w:val="24"/>
          <w:u w:val="single"/>
        </w:rPr>
        <w:t xml:space="preserve"> </w:t>
      </w:r>
      <w:r w:rsidRPr="00DB1AEE">
        <w:rPr>
          <w:szCs w:val="24"/>
          <w:u w:val="single"/>
        </w:rPr>
        <w:t>EPA</w:t>
      </w:r>
      <w:r w:rsidRPr="00DB1AEE">
        <w:rPr>
          <w:spacing w:val="1"/>
          <w:szCs w:val="24"/>
          <w:u w:val="single"/>
        </w:rPr>
        <w:t xml:space="preserve"> </w:t>
      </w:r>
      <w:r w:rsidRPr="00DB1AEE">
        <w:rPr>
          <w:szCs w:val="24"/>
          <w:u w:val="single"/>
        </w:rPr>
        <w:t>Energy</w:t>
      </w:r>
      <w:r w:rsidRPr="00DB1AEE">
        <w:rPr>
          <w:spacing w:val="-1"/>
          <w:szCs w:val="24"/>
          <w:u w:val="single"/>
        </w:rPr>
        <w:t xml:space="preserve"> </w:t>
      </w:r>
      <w:r w:rsidRPr="00DB1AEE">
        <w:rPr>
          <w:szCs w:val="24"/>
          <w:u w:val="single"/>
        </w:rPr>
        <w:t>Star</w:t>
      </w:r>
      <w:r w:rsidRPr="00DB1AEE">
        <w:rPr>
          <w:spacing w:val="4"/>
          <w:szCs w:val="24"/>
          <w:u w:val="single"/>
        </w:rPr>
        <w:t xml:space="preserve"> </w:t>
      </w:r>
      <w:r w:rsidRPr="00DB1AEE">
        <w:rPr>
          <w:szCs w:val="24"/>
          <w:u w:val="single"/>
        </w:rPr>
        <w:t>Commercial</w:t>
      </w:r>
      <w:r w:rsidRPr="00DB1AEE">
        <w:rPr>
          <w:spacing w:val="1"/>
          <w:szCs w:val="24"/>
          <w:u w:val="single"/>
        </w:rPr>
        <w:t xml:space="preserve"> </w:t>
      </w:r>
      <w:r w:rsidRPr="00DB1AEE">
        <w:rPr>
          <w:szCs w:val="24"/>
          <w:u w:val="single"/>
        </w:rPr>
        <w:t>Dishwasher</w:t>
      </w:r>
      <w:r w:rsidRPr="00DB1AEE">
        <w:rPr>
          <w:spacing w:val="-1"/>
          <w:szCs w:val="24"/>
          <w:u w:val="single"/>
        </w:rPr>
        <w:t xml:space="preserve"> </w:t>
      </w:r>
      <w:r w:rsidRPr="00DB1AEE">
        <w:rPr>
          <w:szCs w:val="24"/>
          <w:u w:val="single"/>
        </w:rPr>
        <w:t>Specification Version</w:t>
      </w:r>
      <w:r w:rsidRPr="00DB1AEE">
        <w:rPr>
          <w:spacing w:val="2"/>
          <w:szCs w:val="24"/>
          <w:u w:val="single"/>
        </w:rPr>
        <w:t xml:space="preserve"> </w:t>
      </w:r>
      <w:r w:rsidRPr="00DB1AEE">
        <w:rPr>
          <w:szCs w:val="24"/>
          <w:u w:val="single"/>
        </w:rPr>
        <w:t>2.0.</w:t>
      </w:r>
    </w:p>
    <w:p w14:paraId="47B0A35E" w14:textId="77777777" w:rsidR="00DB1AEE" w:rsidRPr="00DB1AEE" w:rsidRDefault="00DB1AEE" w:rsidP="00DB1AEE">
      <w:pPr>
        <w:tabs>
          <w:tab w:val="left" w:pos="1180"/>
          <w:tab w:val="left" w:pos="1181"/>
        </w:tabs>
        <w:suppressAutoHyphens/>
        <w:spacing w:line="242" w:lineRule="auto"/>
        <w:ind w:left="1180" w:right="1322" w:hanging="360"/>
        <w:jc w:val="left"/>
        <w:rPr>
          <w:szCs w:val="24"/>
          <w:u w:val="single"/>
        </w:rPr>
      </w:pPr>
      <w:r w:rsidRPr="00DB1AEE">
        <w:rPr>
          <w:rFonts w:eastAsia="Microsoft Sans Serif"/>
          <w:spacing w:val="-1"/>
          <w:w w:val="99"/>
          <w:szCs w:val="24"/>
          <w:u w:val="single"/>
        </w:rPr>
        <w:t>b.</w:t>
      </w:r>
      <w:r w:rsidRPr="00DB1AEE">
        <w:rPr>
          <w:rFonts w:eastAsia="Microsoft Sans Serif"/>
          <w:spacing w:val="-1"/>
          <w:w w:val="99"/>
          <w:szCs w:val="24"/>
          <w:u w:val="single"/>
        </w:rPr>
        <w:tab/>
      </w:r>
      <w:r w:rsidRPr="00DB1AEE">
        <w:rPr>
          <w:szCs w:val="24"/>
          <w:u w:val="single"/>
        </w:rPr>
        <w:t>GPR = gallons per rack; GPSF = gallons per square foot of rack; GPH = gallons per hour; x = sf of conveyer belt (i.e., W*L)/min (maximum</w:t>
      </w:r>
      <w:r w:rsidRPr="00DB1AEE">
        <w:rPr>
          <w:spacing w:val="-35"/>
          <w:szCs w:val="24"/>
          <w:u w:val="single"/>
        </w:rPr>
        <w:t xml:space="preserve"> </w:t>
      </w:r>
      <w:r w:rsidRPr="00DB1AEE">
        <w:rPr>
          <w:szCs w:val="24"/>
          <w:u w:val="single"/>
        </w:rPr>
        <w:t>conveyor</w:t>
      </w:r>
      <w:r w:rsidRPr="00DB1AEE">
        <w:rPr>
          <w:spacing w:val="-1"/>
          <w:szCs w:val="24"/>
          <w:u w:val="single"/>
        </w:rPr>
        <w:t xml:space="preserve"> </w:t>
      </w:r>
      <w:r w:rsidRPr="00DB1AEE">
        <w:rPr>
          <w:szCs w:val="24"/>
          <w:u w:val="single"/>
        </w:rPr>
        <w:t>speed</w:t>
      </w:r>
      <w:bookmarkEnd w:id="332"/>
    </w:p>
    <w:p w14:paraId="5E782616" w14:textId="77777777" w:rsidR="00DB1AEE" w:rsidRPr="00DB1AEE" w:rsidRDefault="00DB1AEE" w:rsidP="00DB1AEE">
      <w:pPr>
        <w:suppressAutoHyphens/>
        <w:jc w:val="center"/>
        <w:rPr>
          <w:b/>
          <w:bCs/>
          <w:szCs w:val="24"/>
          <w:u w:val="single"/>
        </w:rPr>
      </w:pPr>
      <w:bookmarkStart w:id="333" w:name="_Hlk189733885"/>
      <w:r w:rsidRPr="00DB1AEE">
        <w:rPr>
          <w:b/>
          <w:bCs/>
          <w:szCs w:val="24"/>
          <w:u w:val="single"/>
        </w:rPr>
        <w:t>TABLE C405.12(5)</w:t>
      </w:r>
    </w:p>
    <w:p w14:paraId="425A0B22" w14:textId="77777777" w:rsidR="00DB1AEE" w:rsidRPr="00DB1AEE" w:rsidRDefault="00DB1AEE" w:rsidP="00DB1AEE">
      <w:pPr>
        <w:suppressAutoHyphens/>
        <w:jc w:val="center"/>
        <w:rPr>
          <w:b/>
          <w:bCs/>
          <w:szCs w:val="24"/>
          <w:u w:val="single"/>
        </w:rPr>
      </w:pPr>
      <w:r w:rsidRPr="00DB1AEE">
        <w:rPr>
          <w:b/>
          <w:bCs/>
          <w:szCs w:val="24"/>
          <w:u w:val="single"/>
        </w:rPr>
        <w:t>MINIMUM EFFICIENCY REQUIREMENTS: COMMERCIAL OVENS</w:t>
      </w:r>
    </w:p>
    <w:p w14:paraId="1369FBD5" w14:textId="77777777" w:rsidR="00DB1AEE" w:rsidRPr="00DB1AEE" w:rsidRDefault="00DB1AEE" w:rsidP="00DB1AEE">
      <w:pPr>
        <w:suppressAutoHyphens/>
        <w:jc w:val="center"/>
        <w:rPr>
          <w:b/>
          <w:bCs/>
          <w:szCs w:val="24"/>
          <w:u w:val="single"/>
        </w:rPr>
      </w:pPr>
      <w:r w:rsidRPr="00DB1AEE">
        <w:rPr>
          <w:b/>
          <w:bCs/>
          <w:szCs w:val="24"/>
          <w:u w:val="single"/>
        </w:rPr>
        <w:t>(This table is intended to be a restatement of the legally binding provisions found in Title 10 CFR Part 431 included here as a convenience to the users of this code)</w:t>
      </w:r>
    </w:p>
    <w:tbl>
      <w:tblPr>
        <w:tblW w:w="957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2"/>
        <w:gridCol w:w="2052"/>
        <w:gridCol w:w="2133"/>
        <w:gridCol w:w="1932"/>
        <w:gridCol w:w="1655"/>
      </w:tblGrid>
      <w:tr w:rsidR="00DB1AEE" w:rsidRPr="00DB1AEE" w14:paraId="53BD4388" w14:textId="77777777" w:rsidTr="00FC1832">
        <w:trPr>
          <w:trHeight w:val="412"/>
        </w:trPr>
        <w:tc>
          <w:tcPr>
            <w:tcW w:w="1802" w:type="dxa"/>
          </w:tcPr>
          <w:p w14:paraId="63EEE41B" w14:textId="77777777" w:rsidR="00DB1AEE" w:rsidRPr="00DB1AEE" w:rsidRDefault="00DB1AEE" w:rsidP="00DB1AEE">
            <w:pPr>
              <w:widowControl w:val="0"/>
              <w:autoSpaceDE w:val="0"/>
              <w:autoSpaceDN w:val="0"/>
              <w:ind w:left="51" w:right="42"/>
              <w:jc w:val="center"/>
              <w:rPr>
                <w:b/>
                <w:szCs w:val="24"/>
                <w:u w:val="single"/>
              </w:rPr>
            </w:pPr>
            <w:r w:rsidRPr="00DB1AEE">
              <w:rPr>
                <w:b/>
                <w:szCs w:val="24"/>
                <w:u w:val="single"/>
              </w:rPr>
              <w:t>FUEL</w:t>
            </w:r>
            <w:r w:rsidRPr="00DB1AEE">
              <w:rPr>
                <w:b/>
                <w:spacing w:val="-1"/>
                <w:szCs w:val="24"/>
                <w:u w:val="single"/>
              </w:rPr>
              <w:t xml:space="preserve"> </w:t>
            </w:r>
            <w:r w:rsidRPr="00DB1AEE">
              <w:rPr>
                <w:b/>
                <w:szCs w:val="24"/>
                <w:u w:val="single"/>
              </w:rPr>
              <w:t>TYPE</w:t>
            </w:r>
          </w:p>
        </w:tc>
        <w:tc>
          <w:tcPr>
            <w:tcW w:w="2052" w:type="dxa"/>
          </w:tcPr>
          <w:p w14:paraId="5EB1D5D2" w14:textId="77777777" w:rsidR="00DB1AEE" w:rsidRPr="00DB1AEE" w:rsidRDefault="00DB1AEE" w:rsidP="00DB1AEE">
            <w:pPr>
              <w:widowControl w:val="0"/>
              <w:autoSpaceDE w:val="0"/>
              <w:autoSpaceDN w:val="0"/>
              <w:ind w:left="249" w:right="242"/>
              <w:jc w:val="center"/>
              <w:rPr>
                <w:b/>
                <w:szCs w:val="24"/>
                <w:u w:val="single"/>
              </w:rPr>
            </w:pPr>
            <w:r w:rsidRPr="00DB1AEE">
              <w:rPr>
                <w:b/>
                <w:szCs w:val="24"/>
                <w:u w:val="single"/>
              </w:rPr>
              <w:t>CLASSIFICATION</w:t>
            </w:r>
          </w:p>
        </w:tc>
        <w:tc>
          <w:tcPr>
            <w:tcW w:w="2133" w:type="dxa"/>
          </w:tcPr>
          <w:p w14:paraId="6764B659" w14:textId="77777777" w:rsidR="00DB1AEE" w:rsidRPr="00DB1AEE" w:rsidRDefault="00DB1AEE" w:rsidP="00DB1AEE">
            <w:pPr>
              <w:widowControl w:val="0"/>
              <w:autoSpaceDE w:val="0"/>
              <w:autoSpaceDN w:val="0"/>
              <w:ind w:left="139" w:right="133"/>
              <w:jc w:val="center"/>
              <w:rPr>
                <w:b/>
                <w:szCs w:val="24"/>
                <w:u w:val="single"/>
              </w:rPr>
            </w:pPr>
            <w:r w:rsidRPr="00DB1AEE">
              <w:rPr>
                <w:b/>
                <w:szCs w:val="24"/>
                <w:u w:val="single"/>
              </w:rPr>
              <w:t>IDLE</w:t>
            </w:r>
            <w:r w:rsidRPr="00DB1AEE">
              <w:rPr>
                <w:b/>
                <w:spacing w:val="-2"/>
                <w:szCs w:val="24"/>
                <w:u w:val="single"/>
              </w:rPr>
              <w:t xml:space="preserve"> </w:t>
            </w:r>
            <w:r w:rsidRPr="00DB1AEE">
              <w:rPr>
                <w:b/>
                <w:szCs w:val="24"/>
                <w:u w:val="single"/>
              </w:rPr>
              <w:t>RATE</w:t>
            </w:r>
          </w:p>
        </w:tc>
        <w:tc>
          <w:tcPr>
            <w:tcW w:w="1932" w:type="dxa"/>
          </w:tcPr>
          <w:p w14:paraId="1DB4651A" w14:textId="77777777" w:rsidR="00DB1AEE" w:rsidRPr="00DB1AEE" w:rsidRDefault="00DB1AEE" w:rsidP="00DB1AEE">
            <w:pPr>
              <w:widowControl w:val="0"/>
              <w:autoSpaceDE w:val="0"/>
              <w:autoSpaceDN w:val="0"/>
              <w:ind w:left="107" w:right="94"/>
              <w:jc w:val="center"/>
              <w:rPr>
                <w:b/>
                <w:szCs w:val="24"/>
                <w:u w:val="single"/>
              </w:rPr>
            </w:pPr>
            <w:r w:rsidRPr="00DB1AEE">
              <w:rPr>
                <w:b/>
                <w:szCs w:val="24"/>
                <w:u w:val="single"/>
              </w:rPr>
              <w:t>COOKING-ENERGY</w:t>
            </w:r>
          </w:p>
          <w:p w14:paraId="2C975816" w14:textId="77777777" w:rsidR="00DB1AEE" w:rsidRPr="00DB1AEE" w:rsidRDefault="00DB1AEE" w:rsidP="00DB1AEE">
            <w:pPr>
              <w:widowControl w:val="0"/>
              <w:autoSpaceDE w:val="0"/>
              <w:autoSpaceDN w:val="0"/>
              <w:ind w:left="107" w:right="93"/>
              <w:jc w:val="center"/>
              <w:rPr>
                <w:b/>
                <w:szCs w:val="24"/>
                <w:u w:val="single"/>
              </w:rPr>
            </w:pPr>
            <w:r w:rsidRPr="00DB1AEE">
              <w:rPr>
                <w:b/>
                <w:szCs w:val="24"/>
                <w:u w:val="single"/>
              </w:rPr>
              <w:t>EFFICIENCY,</w:t>
            </w:r>
            <w:r w:rsidRPr="00DB1AEE">
              <w:rPr>
                <w:b/>
                <w:spacing w:val="1"/>
                <w:szCs w:val="24"/>
                <w:u w:val="single"/>
              </w:rPr>
              <w:t xml:space="preserve"> </w:t>
            </w:r>
            <w:r w:rsidRPr="00DB1AEE">
              <w:rPr>
                <w:b/>
                <w:szCs w:val="24"/>
                <w:u w:val="single"/>
              </w:rPr>
              <w:t>%</w:t>
            </w:r>
          </w:p>
        </w:tc>
        <w:tc>
          <w:tcPr>
            <w:tcW w:w="1655" w:type="dxa"/>
          </w:tcPr>
          <w:p w14:paraId="451AFBF7" w14:textId="77777777" w:rsidR="00DB1AEE" w:rsidRPr="00DB1AEE" w:rsidRDefault="00DB1AEE" w:rsidP="00DB1AEE">
            <w:pPr>
              <w:widowControl w:val="0"/>
              <w:autoSpaceDE w:val="0"/>
              <w:autoSpaceDN w:val="0"/>
              <w:ind w:left="232" w:right="218"/>
              <w:jc w:val="center"/>
              <w:rPr>
                <w:b/>
                <w:szCs w:val="24"/>
                <w:u w:val="single"/>
              </w:rPr>
            </w:pPr>
            <w:r w:rsidRPr="00DB1AEE">
              <w:rPr>
                <w:b/>
                <w:szCs w:val="24"/>
                <w:u w:val="single"/>
              </w:rPr>
              <w:t>TEST</w:t>
            </w:r>
          </w:p>
          <w:p w14:paraId="37410082" w14:textId="77777777" w:rsidR="00DB1AEE" w:rsidRPr="00DB1AEE" w:rsidRDefault="00DB1AEE" w:rsidP="00DB1AEE">
            <w:pPr>
              <w:widowControl w:val="0"/>
              <w:autoSpaceDE w:val="0"/>
              <w:autoSpaceDN w:val="0"/>
              <w:ind w:left="232" w:right="222"/>
              <w:jc w:val="center"/>
              <w:rPr>
                <w:b/>
                <w:szCs w:val="24"/>
                <w:u w:val="single"/>
              </w:rPr>
            </w:pPr>
            <w:r w:rsidRPr="00DB1AEE">
              <w:rPr>
                <w:b/>
                <w:szCs w:val="24"/>
                <w:u w:val="single"/>
              </w:rPr>
              <w:t>PROCEDURE</w:t>
            </w:r>
          </w:p>
        </w:tc>
      </w:tr>
      <w:tr w:rsidR="00DB1AEE" w:rsidRPr="00DB1AEE" w14:paraId="5D9C19CE" w14:textId="77777777" w:rsidTr="00FC1832">
        <w:trPr>
          <w:trHeight w:val="208"/>
        </w:trPr>
        <w:tc>
          <w:tcPr>
            <w:tcW w:w="9574" w:type="dxa"/>
            <w:gridSpan w:val="5"/>
          </w:tcPr>
          <w:p w14:paraId="1ED49D1D" w14:textId="77777777" w:rsidR="00DB1AEE" w:rsidRPr="00DB1AEE" w:rsidRDefault="00DB1AEE" w:rsidP="00DB1AEE">
            <w:pPr>
              <w:widowControl w:val="0"/>
              <w:autoSpaceDE w:val="0"/>
              <w:autoSpaceDN w:val="0"/>
              <w:ind w:left="3915" w:right="3907"/>
              <w:jc w:val="center"/>
              <w:rPr>
                <w:b/>
                <w:szCs w:val="24"/>
                <w:u w:val="single"/>
              </w:rPr>
            </w:pPr>
            <w:r w:rsidRPr="00DB1AEE">
              <w:rPr>
                <w:b/>
                <w:szCs w:val="24"/>
                <w:u w:val="single"/>
              </w:rPr>
              <w:t>Convection</w:t>
            </w:r>
            <w:r w:rsidRPr="00DB1AEE">
              <w:rPr>
                <w:b/>
                <w:spacing w:val="-2"/>
                <w:szCs w:val="24"/>
                <w:u w:val="single"/>
              </w:rPr>
              <w:t xml:space="preserve"> </w:t>
            </w:r>
            <w:r w:rsidRPr="00DB1AEE">
              <w:rPr>
                <w:b/>
                <w:szCs w:val="24"/>
                <w:u w:val="single"/>
              </w:rPr>
              <w:t>Ovens</w:t>
            </w:r>
          </w:p>
        </w:tc>
      </w:tr>
      <w:tr w:rsidR="00DB1AEE" w:rsidRPr="00DB1AEE" w14:paraId="72AACE78" w14:textId="77777777" w:rsidTr="00FC1832">
        <w:trPr>
          <w:trHeight w:val="205"/>
        </w:trPr>
        <w:tc>
          <w:tcPr>
            <w:tcW w:w="1802" w:type="dxa"/>
          </w:tcPr>
          <w:p w14:paraId="4896DD7C" w14:textId="77777777" w:rsidR="00DB1AEE" w:rsidRPr="00DB1AEE" w:rsidRDefault="00DB1AEE" w:rsidP="00DB1AEE">
            <w:pPr>
              <w:widowControl w:val="0"/>
              <w:autoSpaceDE w:val="0"/>
              <w:autoSpaceDN w:val="0"/>
              <w:ind w:left="48" w:right="42"/>
              <w:jc w:val="center"/>
              <w:rPr>
                <w:szCs w:val="24"/>
                <w:u w:val="single"/>
              </w:rPr>
            </w:pPr>
            <w:r w:rsidRPr="00DB1AEE">
              <w:rPr>
                <w:szCs w:val="24"/>
                <w:u w:val="single"/>
              </w:rPr>
              <w:t>Gas</w:t>
            </w:r>
          </w:p>
        </w:tc>
        <w:tc>
          <w:tcPr>
            <w:tcW w:w="2052" w:type="dxa"/>
          </w:tcPr>
          <w:p w14:paraId="5EBBBC3B" w14:textId="77777777" w:rsidR="00DB1AEE" w:rsidRPr="00DB1AEE" w:rsidRDefault="00DB1AEE" w:rsidP="00DB1AEE">
            <w:pPr>
              <w:widowControl w:val="0"/>
              <w:autoSpaceDE w:val="0"/>
              <w:autoSpaceDN w:val="0"/>
              <w:ind w:left="249" w:right="240"/>
              <w:jc w:val="center"/>
              <w:rPr>
                <w:szCs w:val="24"/>
                <w:u w:val="single"/>
              </w:rPr>
            </w:pPr>
            <w:r w:rsidRPr="00DB1AEE">
              <w:rPr>
                <w:szCs w:val="24"/>
                <w:u w:val="single"/>
              </w:rPr>
              <w:t>Full-Size</w:t>
            </w:r>
          </w:p>
        </w:tc>
        <w:tc>
          <w:tcPr>
            <w:tcW w:w="2133" w:type="dxa"/>
          </w:tcPr>
          <w:p w14:paraId="633109A2" w14:textId="77777777" w:rsidR="00DB1AEE" w:rsidRPr="00DB1AEE" w:rsidRDefault="00DB1AEE" w:rsidP="00DB1AEE">
            <w:pPr>
              <w:widowControl w:val="0"/>
              <w:autoSpaceDE w:val="0"/>
              <w:autoSpaceDN w:val="0"/>
              <w:ind w:left="141" w:right="129"/>
              <w:jc w:val="center"/>
              <w:rPr>
                <w:szCs w:val="24"/>
                <w:u w:val="single"/>
              </w:rPr>
            </w:pPr>
            <w:r w:rsidRPr="00DB1AEE">
              <w:rPr>
                <w:szCs w:val="24"/>
                <w:u w:val="single"/>
              </w:rPr>
              <w:t>≤</w:t>
            </w:r>
            <w:r w:rsidRPr="00DB1AEE">
              <w:rPr>
                <w:spacing w:val="-2"/>
                <w:szCs w:val="24"/>
                <w:u w:val="single"/>
              </w:rPr>
              <w:t xml:space="preserve"> </w:t>
            </w:r>
            <w:r w:rsidRPr="00DB1AEE">
              <w:rPr>
                <w:szCs w:val="24"/>
                <w:u w:val="single"/>
              </w:rPr>
              <w:t>12,000</w:t>
            </w:r>
            <w:r w:rsidRPr="00DB1AEE">
              <w:rPr>
                <w:spacing w:val="-1"/>
                <w:szCs w:val="24"/>
                <w:u w:val="single"/>
              </w:rPr>
              <w:t xml:space="preserve"> </w:t>
            </w:r>
            <w:r w:rsidRPr="00DB1AEE">
              <w:rPr>
                <w:szCs w:val="24"/>
                <w:u w:val="single"/>
              </w:rPr>
              <w:t>Btu/h</w:t>
            </w:r>
          </w:p>
        </w:tc>
        <w:tc>
          <w:tcPr>
            <w:tcW w:w="1932" w:type="dxa"/>
          </w:tcPr>
          <w:p w14:paraId="6B4B82C3" w14:textId="77777777" w:rsidR="00DB1AEE" w:rsidRPr="00DB1AEE" w:rsidRDefault="00DB1AEE" w:rsidP="00DB1AEE">
            <w:pPr>
              <w:widowControl w:val="0"/>
              <w:autoSpaceDE w:val="0"/>
              <w:autoSpaceDN w:val="0"/>
              <w:ind w:left="793"/>
              <w:jc w:val="center"/>
              <w:rPr>
                <w:szCs w:val="24"/>
                <w:u w:val="single"/>
              </w:rPr>
            </w:pPr>
            <w:r w:rsidRPr="00DB1AEE">
              <w:rPr>
                <w:szCs w:val="24"/>
                <w:u w:val="single"/>
              </w:rPr>
              <w:t>≥</w:t>
            </w:r>
            <w:r w:rsidRPr="00DB1AEE">
              <w:rPr>
                <w:spacing w:val="-1"/>
                <w:szCs w:val="24"/>
                <w:u w:val="single"/>
              </w:rPr>
              <w:t xml:space="preserve"> </w:t>
            </w:r>
            <w:r w:rsidRPr="00DB1AEE">
              <w:rPr>
                <w:szCs w:val="24"/>
                <w:u w:val="single"/>
              </w:rPr>
              <w:t>46</w:t>
            </w:r>
          </w:p>
        </w:tc>
        <w:tc>
          <w:tcPr>
            <w:tcW w:w="1655" w:type="dxa"/>
            <w:vMerge w:val="restart"/>
          </w:tcPr>
          <w:p w14:paraId="4AE456CB" w14:textId="77777777" w:rsidR="00DB1AEE" w:rsidRPr="00DB1AEE" w:rsidRDefault="00DB1AEE" w:rsidP="00DB1AEE">
            <w:pPr>
              <w:widowControl w:val="0"/>
              <w:autoSpaceDE w:val="0"/>
              <w:autoSpaceDN w:val="0"/>
              <w:ind w:left="1098"/>
              <w:jc w:val="center"/>
              <w:rPr>
                <w:b/>
                <w:szCs w:val="24"/>
                <w:u w:val="single"/>
              </w:rPr>
            </w:pPr>
          </w:p>
          <w:p w14:paraId="34E28F93" w14:textId="77777777" w:rsidR="00DB1AEE" w:rsidRPr="00DB1AEE" w:rsidRDefault="00DB1AEE" w:rsidP="00DB1AEE">
            <w:pPr>
              <w:widowControl w:val="0"/>
              <w:autoSpaceDE w:val="0"/>
              <w:autoSpaceDN w:val="0"/>
              <w:ind w:left="119"/>
              <w:jc w:val="center"/>
              <w:rPr>
                <w:szCs w:val="24"/>
                <w:u w:val="single"/>
              </w:rPr>
            </w:pPr>
            <w:r w:rsidRPr="00DB1AEE">
              <w:rPr>
                <w:szCs w:val="24"/>
                <w:u w:val="single"/>
              </w:rPr>
              <w:t>ASTM</w:t>
            </w:r>
            <w:r w:rsidRPr="00DB1AEE">
              <w:rPr>
                <w:spacing w:val="-3"/>
                <w:szCs w:val="24"/>
                <w:u w:val="single"/>
              </w:rPr>
              <w:t xml:space="preserve"> </w:t>
            </w:r>
            <w:r w:rsidRPr="00DB1AEE">
              <w:rPr>
                <w:szCs w:val="24"/>
                <w:u w:val="single"/>
              </w:rPr>
              <w:t>F1496</w:t>
            </w:r>
            <w:r w:rsidRPr="00DB1AEE">
              <w:rPr>
                <w:spacing w:val="4"/>
                <w:szCs w:val="24"/>
                <w:u w:val="single"/>
              </w:rPr>
              <w:t xml:space="preserve"> </w:t>
            </w:r>
            <w:r w:rsidRPr="00DB1AEE">
              <w:rPr>
                <w:szCs w:val="24"/>
                <w:u w:val="single"/>
              </w:rPr>
              <w:t>-</w:t>
            </w:r>
            <w:r w:rsidRPr="00DB1AEE">
              <w:rPr>
                <w:spacing w:val="2"/>
                <w:szCs w:val="24"/>
                <w:u w:val="single"/>
              </w:rPr>
              <w:t xml:space="preserve"> </w:t>
            </w:r>
            <w:r w:rsidRPr="00DB1AEE">
              <w:rPr>
                <w:szCs w:val="24"/>
                <w:u w:val="single"/>
              </w:rPr>
              <w:t>13</w:t>
            </w:r>
          </w:p>
        </w:tc>
      </w:tr>
      <w:tr w:rsidR="00DB1AEE" w:rsidRPr="00DB1AEE" w14:paraId="588D2DC6" w14:textId="77777777" w:rsidTr="00FC1832">
        <w:trPr>
          <w:trHeight w:val="208"/>
        </w:trPr>
        <w:tc>
          <w:tcPr>
            <w:tcW w:w="1802" w:type="dxa"/>
            <w:vMerge w:val="restart"/>
          </w:tcPr>
          <w:p w14:paraId="1DBFCA28" w14:textId="77777777" w:rsidR="00DB1AEE" w:rsidRPr="00DB1AEE" w:rsidRDefault="00DB1AEE" w:rsidP="00DB1AEE">
            <w:pPr>
              <w:widowControl w:val="0"/>
              <w:autoSpaceDE w:val="0"/>
              <w:autoSpaceDN w:val="0"/>
              <w:ind w:left="604"/>
              <w:jc w:val="center"/>
              <w:rPr>
                <w:szCs w:val="24"/>
                <w:u w:val="single"/>
              </w:rPr>
            </w:pPr>
            <w:r w:rsidRPr="00DB1AEE">
              <w:rPr>
                <w:szCs w:val="24"/>
                <w:u w:val="single"/>
              </w:rPr>
              <w:t>Electric</w:t>
            </w:r>
          </w:p>
        </w:tc>
        <w:tc>
          <w:tcPr>
            <w:tcW w:w="2052" w:type="dxa"/>
          </w:tcPr>
          <w:p w14:paraId="61BB1E0C" w14:textId="77777777" w:rsidR="00DB1AEE" w:rsidRPr="00DB1AEE" w:rsidRDefault="00DB1AEE" w:rsidP="00DB1AEE">
            <w:pPr>
              <w:widowControl w:val="0"/>
              <w:autoSpaceDE w:val="0"/>
              <w:autoSpaceDN w:val="0"/>
              <w:ind w:left="249" w:right="240"/>
              <w:jc w:val="center"/>
              <w:rPr>
                <w:szCs w:val="24"/>
                <w:u w:val="single"/>
              </w:rPr>
            </w:pPr>
            <w:r w:rsidRPr="00DB1AEE">
              <w:rPr>
                <w:szCs w:val="24"/>
                <w:u w:val="single"/>
              </w:rPr>
              <w:t>Half-Size</w:t>
            </w:r>
          </w:p>
        </w:tc>
        <w:tc>
          <w:tcPr>
            <w:tcW w:w="2133" w:type="dxa"/>
          </w:tcPr>
          <w:p w14:paraId="627C9111" w14:textId="77777777" w:rsidR="00DB1AEE" w:rsidRPr="00DB1AEE" w:rsidRDefault="00DB1AEE" w:rsidP="00DB1AEE">
            <w:pPr>
              <w:widowControl w:val="0"/>
              <w:autoSpaceDE w:val="0"/>
              <w:autoSpaceDN w:val="0"/>
              <w:ind w:left="141" w:right="131"/>
              <w:jc w:val="center"/>
              <w:rPr>
                <w:szCs w:val="24"/>
                <w:u w:val="single"/>
              </w:rPr>
            </w:pPr>
            <w:r w:rsidRPr="00DB1AEE">
              <w:rPr>
                <w:szCs w:val="24"/>
                <w:u w:val="single"/>
              </w:rPr>
              <w:t>≤</w:t>
            </w:r>
            <w:r w:rsidRPr="00DB1AEE">
              <w:rPr>
                <w:spacing w:val="-1"/>
                <w:szCs w:val="24"/>
                <w:u w:val="single"/>
              </w:rPr>
              <w:t xml:space="preserve"> </w:t>
            </w:r>
            <w:r w:rsidRPr="00DB1AEE">
              <w:rPr>
                <w:szCs w:val="24"/>
                <w:u w:val="single"/>
              </w:rPr>
              <w:t>1.0 Btu/h</w:t>
            </w:r>
          </w:p>
        </w:tc>
        <w:tc>
          <w:tcPr>
            <w:tcW w:w="1932" w:type="dxa"/>
            <w:vMerge w:val="restart"/>
          </w:tcPr>
          <w:p w14:paraId="5FD629CB" w14:textId="77777777" w:rsidR="00DB1AEE" w:rsidRPr="00DB1AEE" w:rsidRDefault="00DB1AEE" w:rsidP="00DB1AEE">
            <w:pPr>
              <w:widowControl w:val="0"/>
              <w:autoSpaceDE w:val="0"/>
              <w:autoSpaceDN w:val="0"/>
              <w:ind w:left="107" w:right="92"/>
              <w:jc w:val="center"/>
              <w:rPr>
                <w:szCs w:val="24"/>
                <w:u w:val="single"/>
              </w:rPr>
            </w:pPr>
            <w:r w:rsidRPr="00DB1AEE">
              <w:rPr>
                <w:szCs w:val="24"/>
                <w:u w:val="single"/>
              </w:rPr>
              <w:t>≥</w:t>
            </w:r>
            <w:r w:rsidRPr="00DB1AEE">
              <w:rPr>
                <w:spacing w:val="-1"/>
                <w:szCs w:val="24"/>
                <w:u w:val="single"/>
              </w:rPr>
              <w:t xml:space="preserve"> </w:t>
            </w:r>
            <w:r w:rsidRPr="00DB1AEE">
              <w:rPr>
                <w:szCs w:val="24"/>
                <w:u w:val="single"/>
              </w:rPr>
              <w:t>71</w:t>
            </w:r>
          </w:p>
        </w:tc>
        <w:tc>
          <w:tcPr>
            <w:tcW w:w="1655" w:type="dxa"/>
            <w:vMerge/>
            <w:tcBorders>
              <w:top w:val="nil"/>
            </w:tcBorders>
          </w:tcPr>
          <w:p w14:paraId="360E2AD0" w14:textId="77777777" w:rsidR="00DB1AEE" w:rsidRPr="00DB1AEE" w:rsidRDefault="00DB1AEE" w:rsidP="00DB1AEE">
            <w:pPr>
              <w:suppressAutoHyphens/>
              <w:jc w:val="left"/>
              <w:rPr>
                <w:szCs w:val="24"/>
                <w:u w:val="single"/>
              </w:rPr>
            </w:pPr>
          </w:p>
        </w:tc>
      </w:tr>
      <w:tr w:rsidR="00DB1AEE" w:rsidRPr="00DB1AEE" w14:paraId="5A6CFC7B" w14:textId="77777777" w:rsidTr="00FC1832">
        <w:trPr>
          <w:trHeight w:val="206"/>
        </w:trPr>
        <w:tc>
          <w:tcPr>
            <w:tcW w:w="1802" w:type="dxa"/>
            <w:vMerge/>
            <w:tcBorders>
              <w:top w:val="nil"/>
            </w:tcBorders>
          </w:tcPr>
          <w:p w14:paraId="3B21F852" w14:textId="77777777" w:rsidR="00DB1AEE" w:rsidRPr="00DB1AEE" w:rsidRDefault="00DB1AEE" w:rsidP="00DB1AEE">
            <w:pPr>
              <w:suppressAutoHyphens/>
              <w:jc w:val="left"/>
              <w:rPr>
                <w:szCs w:val="24"/>
                <w:u w:val="single"/>
              </w:rPr>
            </w:pPr>
          </w:p>
        </w:tc>
        <w:tc>
          <w:tcPr>
            <w:tcW w:w="2052" w:type="dxa"/>
          </w:tcPr>
          <w:p w14:paraId="21403124" w14:textId="77777777" w:rsidR="00DB1AEE" w:rsidRPr="00DB1AEE" w:rsidRDefault="00DB1AEE" w:rsidP="00DB1AEE">
            <w:pPr>
              <w:widowControl w:val="0"/>
              <w:autoSpaceDE w:val="0"/>
              <w:autoSpaceDN w:val="0"/>
              <w:ind w:left="249" w:right="240"/>
              <w:jc w:val="center"/>
              <w:rPr>
                <w:szCs w:val="24"/>
                <w:u w:val="single"/>
              </w:rPr>
            </w:pPr>
            <w:r w:rsidRPr="00DB1AEE">
              <w:rPr>
                <w:szCs w:val="24"/>
                <w:u w:val="single"/>
              </w:rPr>
              <w:t>Full-Size</w:t>
            </w:r>
          </w:p>
        </w:tc>
        <w:tc>
          <w:tcPr>
            <w:tcW w:w="2133" w:type="dxa"/>
          </w:tcPr>
          <w:p w14:paraId="36A9F344" w14:textId="77777777" w:rsidR="00DB1AEE" w:rsidRPr="00DB1AEE" w:rsidRDefault="00DB1AEE" w:rsidP="00DB1AEE">
            <w:pPr>
              <w:widowControl w:val="0"/>
              <w:autoSpaceDE w:val="0"/>
              <w:autoSpaceDN w:val="0"/>
              <w:ind w:left="141" w:right="131"/>
              <w:jc w:val="center"/>
              <w:rPr>
                <w:szCs w:val="24"/>
                <w:u w:val="single"/>
              </w:rPr>
            </w:pPr>
            <w:r w:rsidRPr="00DB1AEE">
              <w:rPr>
                <w:szCs w:val="24"/>
                <w:u w:val="single"/>
              </w:rPr>
              <w:t>≤</w:t>
            </w:r>
            <w:r w:rsidRPr="00DB1AEE">
              <w:rPr>
                <w:spacing w:val="-1"/>
                <w:szCs w:val="24"/>
                <w:u w:val="single"/>
              </w:rPr>
              <w:t xml:space="preserve"> </w:t>
            </w:r>
            <w:r w:rsidRPr="00DB1AEE">
              <w:rPr>
                <w:szCs w:val="24"/>
                <w:u w:val="single"/>
              </w:rPr>
              <w:t>1.60</w:t>
            </w:r>
            <w:r w:rsidRPr="00DB1AEE">
              <w:rPr>
                <w:spacing w:val="-1"/>
                <w:szCs w:val="24"/>
                <w:u w:val="single"/>
              </w:rPr>
              <w:t xml:space="preserve"> </w:t>
            </w:r>
            <w:r w:rsidRPr="00DB1AEE">
              <w:rPr>
                <w:szCs w:val="24"/>
                <w:u w:val="single"/>
              </w:rPr>
              <w:t>Btu/h</w:t>
            </w:r>
          </w:p>
        </w:tc>
        <w:tc>
          <w:tcPr>
            <w:tcW w:w="1932" w:type="dxa"/>
            <w:vMerge/>
            <w:tcBorders>
              <w:top w:val="nil"/>
            </w:tcBorders>
          </w:tcPr>
          <w:p w14:paraId="30E65298" w14:textId="77777777" w:rsidR="00DB1AEE" w:rsidRPr="00DB1AEE" w:rsidRDefault="00DB1AEE" w:rsidP="00DB1AEE">
            <w:pPr>
              <w:suppressAutoHyphens/>
              <w:jc w:val="left"/>
              <w:rPr>
                <w:szCs w:val="24"/>
                <w:u w:val="single"/>
              </w:rPr>
            </w:pPr>
          </w:p>
        </w:tc>
        <w:tc>
          <w:tcPr>
            <w:tcW w:w="1655" w:type="dxa"/>
            <w:vMerge/>
            <w:tcBorders>
              <w:top w:val="nil"/>
            </w:tcBorders>
          </w:tcPr>
          <w:p w14:paraId="0EFB515C" w14:textId="77777777" w:rsidR="00DB1AEE" w:rsidRPr="00DB1AEE" w:rsidRDefault="00DB1AEE" w:rsidP="00DB1AEE">
            <w:pPr>
              <w:suppressAutoHyphens/>
              <w:jc w:val="left"/>
              <w:rPr>
                <w:szCs w:val="24"/>
                <w:u w:val="single"/>
              </w:rPr>
            </w:pPr>
          </w:p>
        </w:tc>
      </w:tr>
      <w:tr w:rsidR="00DB1AEE" w:rsidRPr="00DB1AEE" w14:paraId="12D79559" w14:textId="77777777" w:rsidTr="00FC1832">
        <w:trPr>
          <w:trHeight w:val="205"/>
        </w:trPr>
        <w:tc>
          <w:tcPr>
            <w:tcW w:w="9574" w:type="dxa"/>
            <w:gridSpan w:val="5"/>
          </w:tcPr>
          <w:p w14:paraId="221ECE28" w14:textId="77777777" w:rsidR="00DB1AEE" w:rsidRPr="00DB1AEE" w:rsidRDefault="00DB1AEE" w:rsidP="00DB1AEE">
            <w:pPr>
              <w:widowControl w:val="0"/>
              <w:autoSpaceDE w:val="0"/>
              <w:autoSpaceDN w:val="0"/>
              <w:ind w:left="3919" w:right="3907"/>
              <w:jc w:val="center"/>
              <w:rPr>
                <w:b/>
                <w:szCs w:val="24"/>
                <w:u w:val="single"/>
              </w:rPr>
            </w:pPr>
            <w:r w:rsidRPr="00DB1AEE">
              <w:rPr>
                <w:b/>
                <w:szCs w:val="24"/>
                <w:u w:val="single"/>
              </w:rPr>
              <w:t>Combination</w:t>
            </w:r>
            <w:r w:rsidRPr="00DB1AEE">
              <w:rPr>
                <w:b/>
                <w:spacing w:val="-3"/>
                <w:szCs w:val="24"/>
                <w:u w:val="single"/>
              </w:rPr>
              <w:t xml:space="preserve"> </w:t>
            </w:r>
            <w:r w:rsidRPr="00DB1AEE">
              <w:rPr>
                <w:b/>
                <w:szCs w:val="24"/>
                <w:u w:val="single"/>
              </w:rPr>
              <w:t>Ovens</w:t>
            </w:r>
          </w:p>
        </w:tc>
      </w:tr>
      <w:tr w:rsidR="00DB1AEE" w:rsidRPr="00DB1AEE" w14:paraId="766A5773" w14:textId="77777777" w:rsidTr="00FC1832">
        <w:trPr>
          <w:trHeight w:val="208"/>
        </w:trPr>
        <w:tc>
          <w:tcPr>
            <w:tcW w:w="1802" w:type="dxa"/>
            <w:vMerge w:val="restart"/>
          </w:tcPr>
          <w:p w14:paraId="73892F60" w14:textId="77777777" w:rsidR="00DB1AEE" w:rsidRPr="00DB1AEE" w:rsidRDefault="00DB1AEE" w:rsidP="00DB1AEE">
            <w:pPr>
              <w:widowControl w:val="0"/>
              <w:autoSpaceDE w:val="0"/>
              <w:autoSpaceDN w:val="0"/>
              <w:ind w:left="48" w:right="42"/>
              <w:jc w:val="center"/>
              <w:rPr>
                <w:szCs w:val="24"/>
                <w:u w:val="single"/>
              </w:rPr>
            </w:pPr>
            <w:r w:rsidRPr="00DB1AEE">
              <w:rPr>
                <w:szCs w:val="24"/>
                <w:u w:val="single"/>
              </w:rPr>
              <w:t>Gas</w:t>
            </w:r>
          </w:p>
        </w:tc>
        <w:tc>
          <w:tcPr>
            <w:tcW w:w="2052" w:type="dxa"/>
          </w:tcPr>
          <w:p w14:paraId="70EB70FB" w14:textId="77777777" w:rsidR="00DB1AEE" w:rsidRPr="00DB1AEE" w:rsidRDefault="00DB1AEE" w:rsidP="00DB1AEE">
            <w:pPr>
              <w:widowControl w:val="0"/>
              <w:autoSpaceDE w:val="0"/>
              <w:autoSpaceDN w:val="0"/>
              <w:ind w:left="249" w:right="238"/>
              <w:jc w:val="center"/>
              <w:rPr>
                <w:szCs w:val="24"/>
                <w:u w:val="single"/>
              </w:rPr>
            </w:pPr>
            <w:r w:rsidRPr="00DB1AEE">
              <w:rPr>
                <w:szCs w:val="24"/>
                <w:u w:val="single"/>
              </w:rPr>
              <w:t>Steam</w:t>
            </w:r>
            <w:r w:rsidRPr="00DB1AEE">
              <w:rPr>
                <w:spacing w:val="1"/>
                <w:szCs w:val="24"/>
                <w:u w:val="single"/>
              </w:rPr>
              <w:t xml:space="preserve"> </w:t>
            </w:r>
            <w:r w:rsidRPr="00DB1AEE">
              <w:rPr>
                <w:szCs w:val="24"/>
                <w:u w:val="single"/>
              </w:rPr>
              <w:t>Mode</w:t>
            </w:r>
          </w:p>
        </w:tc>
        <w:tc>
          <w:tcPr>
            <w:tcW w:w="2133" w:type="dxa"/>
          </w:tcPr>
          <w:p w14:paraId="135A37CF" w14:textId="77777777" w:rsidR="00DB1AEE" w:rsidRPr="00DB1AEE" w:rsidRDefault="00DB1AEE" w:rsidP="00DB1AEE">
            <w:pPr>
              <w:widowControl w:val="0"/>
              <w:autoSpaceDE w:val="0"/>
              <w:autoSpaceDN w:val="0"/>
              <w:ind w:left="141" w:right="128"/>
              <w:jc w:val="center"/>
              <w:rPr>
                <w:szCs w:val="24"/>
                <w:u w:val="single"/>
              </w:rPr>
            </w:pPr>
            <w:r w:rsidRPr="00DB1AEE">
              <w:rPr>
                <w:w w:val="95"/>
                <w:szCs w:val="24"/>
                <w:u w:val="single"/>
              </w:rPr>
              <w:t>≤</w:t>
            </w:r>
            <w:r w:rsidRPr="00DB1AEE">
              <w:rPr>
                <w:spacing w:val="18"/>
                <w:w w:val="95"/>
                <w:szCs w:val="24"/>
                <w:u w:val="single"/>
              </w:rPr>
              <w:t xml:space="preserve"> </w:t>
            </w:r>
            <w:r w:rsidRPr="00DB1AEE">
              <w:rPr>
                <w:w w:val="95"/>
                <w:szCs w:val="24"/>
                <w:u w:val="single"/>
              </w:rPr>
              <w:t>200P</w:t>
            </w:r>
            <w:r w:rsidRPr="00DB1AEE">
              <w:rPr>
                <w:w w:val="95"/>
                <w:szCs w:val="24"/>
                <w:u w:val="single"/>
                <w:vertAlign w:val="superscript"/>
              </w:rPr>
              <w:t>a</w:t>
            </w:r>
            <w:r w:rsidRPr="00DB1AEE">
              <w:rPr>
                <w:spacing w:val="-2"/>
                <w:w w:val="95"/>
                <w:szCs w:val="24"/>
                <w:u w:val="single"/>
              </w:rPr>
              <w:t xml:space="preserve"> </w:t>
            </w:r>
            <w:r w:rsidRPr="00DB1AEE">
              <w:rPr>
                <w:w w:val="95"/>
                <w:szCs w:val="24"/>
                <w:u w:val="single"/>
              </w:rPr>
              <w:t>+</w:t>
            </w:r>
            <w:r w:rsidRPr="00DB1AEE">
              <w:rPr>
                <w:spacing w:val="15"/>
                <w:w w:val="95"/>
                <w:szCs w:val="24"/>
                <w:u w:val="single"/>
              </w:rPr>
              <w:t xml:space="preserve"> </w:t>
            </w:r>
            <w:r w:rsidRPr="00DB1AEE">
              <w:rPr>
                <w:w w:val="95"/>
                <w:szCs w:val="24"/>
                <w:u w:val="single"/>
              </w:rPr>
              <w:t>6,511</w:t>
            </w:r>
            <w:r w:rsidRPr="00DB1AEE">
              <w:rPr>
                <w:spacing w:val="21"/>
                <w:w w:val="95"/>
                <w:szCs w:val="24"/>
                <w:u w:val="single"/>
              </w:rPr>
              <w:t xml:space="preserve"> </w:t>
            </w:r>
            <w:r w:rsidRPr="00DB1AEE">
              <w:rPr>
                <w:w w:val="95"/>
                <w:szCs w:val="24"/>
                <w:u w:val="single"/>
              </w:rPr>
              <w:t>Btu/h</w:t>
            </w:r>
          </w:p>
        </w:tc>
        <w:tc>
          <w:tcPr>
            <w:tcW w:w="1932" w:type="dxa"/>
          </w:tcPr>
          <w:p w14:paraId="071BC5F6" w14:textId="77777777" w:rsidR="00DB1AEE" w:rsidRPr="00DB1AEE" w:rsidRDefault="00DB1AEE" w:rsidP="00DB1AEE">
            <w:pPr>
              <w:widowControl w:val="0"/>
              <w:autoSpaceDE w:val="0"/>
              <w:autoSpaceDN w:val="0"/>
              <w:ind w:left="793"/>
              <w:jc w:val="center"/>
              <w:rPr>
                <w:szCs w:val="24"/>
                <w:u w:val="single"/>
              </w:rPr>
            </w:pPr>
            <w:r w:rsidRPr="00DB1AEE">
              <w:rPr>
                <w:szCs w:val="24"/>
                <w:u w:val="single"/>
              </w:rPr>
              <w:t>≥</w:t>
            </w:r>
            <w:r w:rsidRPr="00DB1AEE">
              <w:rPr>
                <w:spacing w:val="-1"/>
                <w:szCs w:val="24"/>
                <w:u w:val="single"/>
              </w:rPr>
              <w:t xml:space="preserve"> </w:t>
            </w:r>
            <w:r w:rsidRPr="00DB1AEE">
              <w:rPr>
                <w:szCs w:val="24"/>
                <w:u w:val="single"/>
              </w:rPr>
              <w:t>41</w:t>
            </w:r>
          </w:p>
        </w:tc>
        <w:tc>
          <w:tcPr>
            <w:tcW w:w="1655" w:type="dxa"/>
            <w:vMerge w:val="restart"/>
          </w:tcPr>
          <w:p w14:paraId="4F8625F7" w14:textId="77777777" w:rsidR="00DB1AEE" w:rsidRPr="00DB1AEE" w:rsidRDefault="00DB1AEE" w:rsidP="00DB1AEE">
            <w:pPr>
              <w:widowControl w:val="0"/>
              <w:autoSpaceDE w:val="0"/>
              <w:autoSpaceDN w:val="0"/>
              <w:ind w:left="1098"/>
              <w:jc w:val="center"/>
              <w:rPr>
                <w:b/>
                <w:szCs w:val="24"/>
                <w:u w:val="single"/>
              </w:rPr>
            </w:pPr>
          </w:p>
          <w:p w14:paraId="686B4607" w14:textId="77777777" w:rsidR="00DB1AEE" w:rsidRPr="00DB1AEE" w:rsidRDefault="00DB1AEE" w:rsidP="00DB1AEE">
            <w:pPr>
              <w:widowControl w:val="0"/>
              <w:autoSpaceDE w:val="0"/>
              <w:autoSpaceDN w:val="0"/>
              <w:ind w:left="119"/>
              <w:jc w:val="center"/>
              <w:rPr>
                <w:szCs w:val="24"/>
                <w:u w:val="single"/>
              </w:rPr>
            </w:pPr>
            <w:r w:rsidRPr="00DB1AEE">
              <w:rPr>
                <w:szCs w:val="24"/>
                <w:u w:val="single"/>
              </w:rPr>
              <w:t>ASTM</w:t>
            </w:r>
            <w:r w:rsidRPr="00DB1AEE">
              <w:rPr>
                <w:spacing w:val="-3"/>
                <w:szCs w:val="24"/>
                <w:u w:val="single"/>
              </w:rPr>
              <w:t xml:space="preserve"> </w:t>
            </w:r>
            <w:r w:rsidRPr="00DB1AEE">
              <w:rPr>
                <w:szCs w:val="24"/>
                <w:u w:val="single"/>
              </w:rPr>
              <w:t>F2861</w:t>
            </w:r>
            <w:r w:rsidRPr="00DB1AEE">
              <w:rPr>
                <w:spacing w:val="4"/>
                <w:szCs w:val="24"/>
                <w:u w:val="single"/>
              </w:rPr>
              <w:t xml:space="preserve"> </w:t>
            </w:r>
            <w:r w:rsidRPr="00DB1AEE">
              <w:rPr>
                <w:szCs w:val="24"/>
                <w:u w:val="single"/>
              </w:rPr>
              <w:t>-</w:t>
            </w:r>
            <w:r w:rsidRPr="00DB1AEE">
              <w:rPr>
                <w:spacing w:val="2"/>
                <w:szCs w:val="24"/>
                <w:u w:val="single"/>
              </w:rPr>
              <w:t xml:space="preserve"> </w:t>
            </w:r>
            <w:r w:rsidRPr="00DB1AEE">
              <w:rPr>
                <w:szCs w:val="24"/>
                <w:u w:val="single"/>
              </w:rPr>
              <w:t>17</w:t>
            </w:r>
          </w:p>
        </w:tc>
      </w:tr>
      <w:tr w:rsidR="00DB1AEE" w:rsidRPr="00DB1AEE" w14:paraId="4CA28385" w14:textId="77777777" w:rsidTr="00FC1832">
        <w:trPr>
          <w:trHeight w:val="205"/>
        </w:trPr>
        <w:tc>
          <w:tcPr>
            <w:tcW w:w="1802" w:type="dxa"/>
            <w:vMerge/>
            <w:tcBorders>
              <w:top w:val="nil"/>
            </w:tcBorders>
          </w:tcPr>
          <w:p w14:paraId="68A9DFF8" w14:textId="77777777" w:rsidR="00DB1AEE" w:rsidRPr="00DB1AEE" w:rsidRDefault="00DB1AEE" w:rsidP="00DB1AEE">
            <w:pPr>
              <w:suppressAutoHyphens/>
              <w:jc w:val="left"/>
              <w:rPr>
                <w:szCs w:val="24"/>
                <w:u w:val="single"/>
              </w:rPr>
            </w:pPr>
          </w:p>
        </w:tc>
        <w:tc>
          <w:tcPr>
            <w:tcW w:w="2052" w:type="dxa"/>
          </w:tcPr>
          <w:p w14:paraId="58021D69" w14:textId="77777777" w:rsidR="00DB1AEE" w:rsidRPr="00DB1AEE" w:rsidRDefault="00DB1AEE" w:rsidP="00DB1AEE">
            <w:pPr>
              <w:widowControl w:val="0"/>
              <w:autoSpaceDE w:val="0"/>
              <w:autoSpaceDN w:val="0"/>
              <w:ind w:left="247" w:right="242"/>
              <w:jc w:val="center"/>
              <w:rPr>
                <w:szCs w:val="24"/>
                <w:u w:val="single"/>
              </w:rPr>
            </w:pPr>
            <w:r w:rsidRPr="00DB1AEE">
              <w:rPr>
                <w:szCs w:val="24"/>
                <w:u w:val="single"/>
              </w:rPr>
              <w:t>Convection</w:t>
            </w:r>
            <w:r w:rsidRPr="00DB1AEE">
              <w:rPr>
                <w:spacing w:val="-2"/>
                <w:szCs w:val="24"/>
                <w:u w:val="single"/>
              </w:rPr>
              <w:t xml:space="preserve"> </w:t>
            </w:r>
            <w:r w:rsidRPr="00DB1AEE">
              <w:rPr>
                <w:szCs w:val="24"/>
                <w:u w:val="single"/>
              </w:rPr>
              <w:t>Mode</w:t>
            </w:r>
          </w:p>
        </w:tc>
        <w:tc>
          <w:tcPr>
            <w:tcW w:w="2133" w:type="dxa"/>
          </w:tcPr>
          <w:p w14:paraId="642F29B2" w14:textId="77777777" w:rsidR="00DB1AEE" w:rsidRPr="00DB1AEE" w:rsidRDefault="00DB1AEE" w:rsidP="00DB1AEE">
            <w:pPr>
              <w:widowControl w:val="0"/>
              <w:autoSpaceDE w:val="0"/>
              <w:autoSpaceDN w:val="0"/>
              <w:ind w:left="141" w:right="128"/>
              <w:jc w:val="center"/>
              <w:rPr>
                <w:szCs w:val="24"/>
                <w:u w:val="single"/>
              </w:rPr>
            </w:pPr>
            <w:r w:rsidRPr="00DB1AEE">
              <w:rPr>
                <w:w w:val="95"/>
                <w:szCs w:val="24"/>
                <w:u w:val="single"/>
              </w:rPr>
              <w:t>≤</w:t>
            </w:r>
            <w:r w:rsidRPr="00DB1AEE">
              <w:rPr>
                <w:spacing w:val="18"/>
                <w:w w:val="95"/>
                <w:szCs w:val="24"/>
                <w:u w:val="single"/>
              </w:rPr>
              <w:t xml:space="preserve"> </w:t>
            </w:r>
            <w:r w:rsidRPr="00DB1AEE">
              <w:rPr>
                <w:w w:val="95"/>
                <w:szCs w:val="24"/>
                <w:u w:val="single"/>
              </w:rPr>
              <w:t>150P</w:t>
            </w:r>
            <w:r w:rsidRPr="00DB1AEE">
              <w:rPr>
                <w:w w:val="95"/>
                <w:szCs w:val="24"/>
                <w:u w:val="single"/>
                <w:vertAlign w:val="superscript"/>
              </w:rPr>
              <w:t>a</w:t>
            </w:r>
            <w:r w:rsidRPr="00DB1AEE">
              <w:rPr>
                <w:spacing w:val="-2"/>
                <w:w w:val="95"/>
                <w:szCs w:val="24"/>
                <w:u w:val="single"/>
              </w:rPr>
              <w:t xml:space="preserve"> </w:t>
            </w:r>
            <w:r w:rsidRPr="00DB1AEE">
              <w:rPr>
                <w:w w:val="95"/>
                <w:szCs w:val="24"/>
                <w:u w:val="single"/>
              </w:rPr>
              <w:t>+</w:t>
            </w:r>
            <w:r w:rsidRPr="00DB1AEE">
              <w:rPr>
                <w:spacing w:val="15"/>
                <w:w w:val="95"/>
                <w:szCs w:val="24"/>
                <w:u w:val="single"/>
              </w:rPr>
              <w:t xml:space="preserve"> </w:t>
            </w:r>
            <w:r w:rsidRPr="00DB1AEE">
              <w:rPr>
                <w:w w:val="95"/>
                <w:szCs w:val="24"/>
                <w:u w:val="single"/>
              </w:rPr>
              <w:t>5,425</w:t>
            </w:r>
            <w:r w:rsidRPr="00DB1AEE">
              <w:rPr>
                <w:spacing w:val="21"/>
                <w:w w:val="95"/>
                <w:szCs w:val="24"/>
                <w:u w:val="single"/>
              </w:rPr>
              <w:t xml:space="preserve"> </w:t>
            </w:r>
            <w:r w:rsidRPr="00DB1AEE">
              <w:rPr>
                <w:w w:val="95"/>
                <w:szCs w:val="24"/>
                <w:u w:val="single"/>
              </w:rPr>
              <w:t>Btu/h</w:t>
            </w:r>
          </w:p>
        </w:tc>
        <w:tc>
          <w:tcPr>
            <w:tcW w:w="1932" w:type="dxa"/>
          </w:tcPr>
          <w:p w14:paraId="005F88BB" w14:textId="77777777" w:rsidR="00DB1AEE" w:rsidRPr="00DB1AEE" w:rsidRDefault="00DB1AEE" w:rsidP="00DB1AEE">
            <w:pPr>
              <w:widowControl w:val="0"/>
              <w:autoSpaceDE w:val="0"/>
              <w:autoSpaceDN w:val="0"/>
              <w:ind w:left="793"/>
              <w:jc w:val="center"/>
              <w:rPr>
                <w:szCs w:val="24"/>
                <w:u w:val="single"/>
              </w:rPr>
            </w:pPr>
            <w:r w:rsidRPr="00DB1AEE">
              <w:rPr>
                <w:szCs w:val="24"/>
                <w:u w:val="single"/>
              </w:rPr>
              <w:t>≥</w:t>
            </w:r>
            <w:r w:rsidRPr="00DB1AEE">
              <w:rPr>
                <w:spacing w:val="-1"/>
                <w:szCs w:val="24"/>
                <w:u w:val="single"/>
              </w:rPr>
              <w:t xml:space="preserve"> </w:t>
            </w:r>
            <w:r w:rsidRPr="00DB1AEE">
              <w:rPr>
                <w:szCs w:val="24"/>
                <w:u w:val="single"/>
              </w:rPr>
              <w:t>56</w:t>
            </w:r>
          </w:p>
        </w:tc>
        <w:tc>
          <w:tcPr>
            <w:tcW w:w="1655" w:type="dxa"/>
            <w:vMerge/>
            <w:tcBorders>
              <w:top w:val="nil"/>
            </w:tcBorders>
          </w:tcPr>
          <w:p w14:paraId="6C0D1318" w14:textId="77777777" w:rsidR="00DB1AEE" w:rsidRPr="00DB1AEE" w:rsidRDefault="00DB1AEE" w:rsidP="00DB1AEE">
            <w:pPr>
              <w:suppressAutoHyphens/>
              <w:jc w:val="left"/>
              <w:rPr>
                <w:szCs w:val="24"/>
                <w:u w:val="single"/>
              </w:rPr>
            </w:pPr>
          </w:p>
        </w:tc>
      </w:tr>
      <w:tr w:rsidR="00DB1AEE" w:rsidRPr="00DB1AEE" w14:paraId="5E39BEA6" w14:textId="77777777" w:rsidTr="00FC1832">
        <w:trPr>
          <w:trHeight w:val="208"/>
        </w:trPr>
        <w:tc>
          <w:tcPr>
            <w:tcW w:w="1802" w:type="dxa"/>
            <w:vMerge w:val="restart"/>
          </w:tcPr>
          <w:p w14:paraId="119C5AAA" w14:textId="77777777" w:rsidR="00DB1AEE" w:rsidRPr="00DB1AEE" w:rsidRDefault="00DB1AEE" w:rsidP="00DB1AEE">
            <w:pPr>
              <w:widowControl w:val="0"/>
              <w:autoSpaceDE w:val="0"/>
              <w:autoSpaceDN w:val="0"/>
              <w:ind w:left="604"/>
              <w:jc w:val="center"/>
              <w:rPr>
                <w:szCs w:val="24"/>
                <w:u w:val="single"/>
              </w:rPr>
            </w:pPr>
            <w:r w:rsidRPr="00DB1AEE">
              <w:rPr>
                <w:szCs w:val="24"/>
                <w:u w:val="single"/>
              </w:rPr>
              <w:t>Electric</w:t>
            </w:r>
          </w:p>
        </w:tc>
        <w:tc>
          <w:tcPr>
            <w:tcW w:w="2052" w:type="dxa"/>
          </w:tcPr>
          <w:p w14:paraId="364EDAF7" w14:textId="77777777" w:rsidR="00DB1AEE" w:rsidRPr="00DB1AEE" w:rsidRDefault="00DB1AEE" w:rsidP="00DB1AEE">
            <w:pPr>
              <w:widowControl w:val="0"/>
              <w:autoSpaceDE w:val="0"/>
              <w:autoSpaceDN w:val="0"/>
              <w:ind w:left="249" w:right="238"/>
              <w:jc w:val="center"/>
              <w:rPr>
                <w:szCs w:val="24"/>
                <w:u w:val="single"/>
              </w:rPr>
            </w:pPr>
            <w:r w:rsidRPr="00DB1AEE">
              <w:rPr>
                <w:szCs w:val="24"/>
                <w:u w:val="single"/>
              </w:rPr>
              <w:t>Steam</w:t>
            </w:r>
            <w:r w:rsidRPr="00DB1AEE">
              <w:rPr>
                <w:spacing w:val="1"/>
                <w:szCs w:val="24"/>
                <w:u w:val="single"/>
              </w:rPr>
              <w:t xml:space="preserve"> </w:t>
            </w:r>
            <w:r w:rsidRPr="00DB1AEE">
              <w:rPr>
                <w:szCs w:val="24"/>
                <w:u w:val="single"/>
              </w:rPr>
              <w:t>Mode</w:t>
            </w:r>
          </w:p>
        </w:tc>
        <w:tc>
          <w:tcPr>
            <w:tcW w:w="2133" w:type="dxa"/>
          </w:tcPr>
          <w:p w14:paraId="0A32F9D8" w14:textId="77777777" w:rsidR="00DB1AEE" w:rsidRPr="00DB1AEE" w:rsidRDefault="00DB1AEE" w:rsidP="00DB1AEE">
            <w:pPr>
              <w:widowControl w:val="0"/>
              <w:autoSpaceDE w:val="0"/>
              <w:autoSpaceDN w:val="0"/>
              <w:ind w:left="141" w:right="133"/>
              <w:jc w:val="center"/>
              <w:rPr>
                <w:szCs w:val="24"/>
                <w:u w:val="single"/>
              </w:rPr>
            </w:pPr>
            <w:r w:rsidRPr="00DB1AEE">
              <w:rPr>
                <w:w w:val="95"/>
                <w:szCs w:val="24"/>
                <w:u w:val="single"/>
              </w:rPr>
              <w:t>≤</w:t>
            </w:r>
            <w:r w:rsidRPr="00DB1AEE">
              <w:rPr>
                <w:spacing w:val="18"/>
                <w:w w:val="95"/>
                <w:szCs w:val="24"/>
                <w:u w:val="single"/>
              </w:rPr>
              <w:t xml:space="preserve"> </w:t>
            </w:r>
            <w:r w:rsidRPr="00DB1AEE">
              <w:rPr>
                <w:w w:val="95"/>
                <w:szCs w:val="24"/>
                <w:u w:val="single"/>
              </w:rPr>
              <w:t>0.133P</w:t>
            </w:r>
            <w:r w:rsidRPr="00DB1AEE">
              <w:rPr>
                <w:w w:val="95"/>
                <w:szCs w:val="24"/>
                <w:u w:val="single"/>
                <w:vertAlign w:val="superscript"/>
              </w:rPr>
              <w:t>a</w:t>
            </w:r>
            <w:r w:rsidRPr="00DB1AEE">
              <w:rPr>
                <w:spacing w:val="-6"/>
                <w:w w:val="95"/>
                <w:szCs w:val="24"/>
                <w:u w:val="single"/>
              </w:rPr>
              <w:t xml:space="preserve"> </w:t>
            </w:r>
            <w:r w:rsidRPr="00DB1AEE">
              <w:rPr>
                <w:w w:val="95"/>
                <w:szCs w:val="24"/>
                <w:u w:val="single"/>
              </w:rPr>
              <w:t>+</w:t>
            </w:r>
            <w:r w:rsidRPr="00DB1AEE">
              <w:rPr>
                <w:spacing w:val="20"/>
                <w:w w:val="95"/>
                <w:szCs w:val="24"/>
                <w:u w:val="single"/>
              </w:rPr>
              <w:t xml:space="preserve"> </w:t>
            </w:r>
            <w:r w:rsidRPr="00DB1AEE">
              <w:rPr>
                <w:w w:val="95"/>
                <w:szCs w:val="24"/>
                <w:u w:val="single"/>
              </w:rPr>
              <w:t>0.6400</w:t>
            </w:r>
            <w:r w:rsidRPr="00DB1AEE">
              <w:rPr>
                <w:spacing w:val="19"/>
                <w:w w:val="95"/>
                <w:szCs w:val="24"/>
                <w:u w:val="single"/>
              </w:rPr>
              <w:t xml:space="preserve"> </w:t>
            </w:r>
            <w:r w:rsidRPr="00DB1AEE">
              <w:rPr>
                <w:w w:val="95"/>
                <w:szCs w:val="24"/>
                <w:u w:val="single"/>
              </w:rPr>
              <w:t>kW</w:t>
            </w:r>
          </w:p>
        </w:tc>
        <w:tc>
          <w:tcPr>
            <w:tcW w:w="1932" w:type="dxa"/>
          </w:tcPr>
          <w:p w14:paraId="60A78B37" w14:textId="77777777" w:rsidR="00DB1AEE" w:rsidRPr="00DB1AEE" w:rsidRDefault="00DB1AEE" w:rsidP="00DB1AEE">
            <w:pPr>
              <w:widowControl w:val="0"/>
              <w:autoSpaceDE w:val="0"/>
              <w:autoSpaceDN w:val="0"/>
              <w:ind w:left="793"/>
              <w:jc w:val="center"/>
              <w:rPr>
                <w:szCs w:val="24"/>
                <w:u w:val="single"/>
              </w:rPr>
            </w:pPr>
            <w:r w:rsidRPr="00DB1AEE">
              <w:rPr>
                <w:szCs w:val="24"/>
                <w:u w:val="single"/>
              </w:rPr>
              <w:t>≥</w:t>
            </w:r>
            <w:r w:rsidRPr="00DB1AEE">
              <w:rPr>
                <w:spacing w:val="-1"/>
                <w:szCs w:val="24"/>
                <w:u w:val="single"/>
              </w:rPr>
              <w:t xml:space="preserve"> </w:t>
            </w:r>
            <w:r w:rsidRPr="00DB1AEE">
              <w:rPr>
                <w:szCs w:val="24"/>
                <w:u w:val="single"/>
              </w:rPr>
              <w:t>55</w:t>
            </w:r>
          </w:p>
        </w:tc>
        <w:tc>
          <w:tcPr>
            <w:tcW w:w="1655" w:type="dxa"/>
            <w:vMerge/>
            <w:tcBorders>
              <w:top w:val="nil"/>
            </w:tcBorders>
          </w:tcPr>
          <w:p w14:paraId="16949C38" w14:textId="77777777" w:rsidR="00DB1AEE" w:rsidRPr="00DB1AEE" w:rsidRDefault="00DB1AEE" w:rsidP="00DB1AEE">
            <w:pPr>
              <w:suppressAutoHyphens/>
              <w:jc w:val="left"/>
              <w:rPr>
                <w:szCs w:val="24"/>
                <w:u w:val="single"/>
              </w:rPr>
            </w:pPr>
          </w:p>
        </w:tc>
      </w:tr>
      <w:tr w:rsidR="00DB1AEE" w:rsidRPr="00DB1AEE" w14:paraId="245A66FD" w14:textId="77777777" w:rsidTr="00FC1832">
        <w:trPr>
          <w:trHeight w:val="206"/>
        </w:trPr>
        <w:tc>
          <w:tcPr>
            <w:tcW w:w="1802" w:type="dxa"/>
            <w:vMerge/>
            <w:tcBorders>
              <w:top w:val="nil"/>
            </w:tcBorders>
          </w:tcPr>
          <w:p w14:paraId="6853C9E2" w14:textId="77777777" w:rsidR="00DB1AEE" w:rsidRPr="00DB1AEE" w:rsidRDefault="00DB1AEE" w:rsidP="00DB1AEE">
            <w:pPr>
              <w:suppressAutoHyphens/>
              <w:jc w:val="left"/>
              <w:rPr>
                <w:szCs w:val="24"/>
                <w:u w:val="single"/>
              </w:rPr>
            </w:pPr>
          </w:p>
        </w:tc>
        <w:tc>
          <w:tcPr>
            <w:tcW w:w="2052" w:type="dxa"/>
          </w:tcPr>
          <w:p w14:paraId="7174CC4C" w14:textId="77777777" w:rsidR="00DB1AEE" w:rsidRPr="00DB1AEE" w:rsidRDefault="00DB1AEE" w:rsidP="00DB1AEE">
            <w:pPr>
              <w:widowControl w:val="0"/>
              <w:autoSpaceDE w:val="0"/>
              <w:autoSpaceDN w:val="0"/>
              <w:ind w:left="247" w:right="242"/>
              <w:jc w:val="center"/>
              <w:rPr>
                <w:szCs w:val="24"/>
                <w:u w:val="single"/>
              </w:rPr>
            </w:pPr>
            <w:r w:rsidRPr="00DB1AEE">
              <w:rPr>
                <w:szCs w:val="24"/>
                <w:u w:val="single"/>
              </w:rPr>
              <w:t>Convection</w:t>
            </w:r>
            <w:r w:rsidRPr="00DB1AEE">
              <w:rPr>
                <w:spacing w:val="-2"/>
                <w:szCs w:val="24"/>
                <w:u w:val="single"/>
              </w:rPr>
              <w:t xml:space="preserve"> </w:t>
            </w:r>
            <w:r w:rsidRPr="00DB1AEE">
              <w:rPr>
                <w:szCs w:val="24"/>
                <w:u w:val="single"/>
              </w:rPr>
              <w:t>Mode</w:t>
            </w:r>
          </w:p>
        </w:tc>
        <w:tc>
          <w:tcPr>
            <w:tcW w:w="2133" w:type="dxa"/>
          </w:tcPr>
          <w:p w14:paraId="28CE80B6" w14:textId="77777777" w:rsidR="00DB1AEE" w:rsidRPr="00DB1AEE" w:rsidRDefault="00DB1AEE" w:rsidP="00DB1AEE">
            <w:pPr>
              <w:widowControl w:val="0"/>
              <w:autoSpaceDE w:val="0"/>
              <w:autoSpaceDN w:val="0"/>
              <w:ind w:left="141" w:right="133"/>
              <w:jc w:val="center"/>
              <w:rPr>
                <w:szCs w:val="24"/>
                <w:u w:val="single"/>
              </w:rPr>
            </w:pPr>
            <w:r w:rsidRPr="00DB1AEE">
              <w:rPr>
                <w:w w:val="95"/>
                <w:szCs w:val="24"/>
                <w:u w:val="single"/>
              </w:rPr>
              <w:t>≤</w:t>
            </w:r>
            <w:r w:rsidRPr="00DB1AEE">
              <w:rPr>
                <w:spacing w:val="18"/>
                <w:w w:val="95"/>
                <w:szCs w:val="24"/>
                <w:u w:val="single"/>
              </w:rPr>
              <w:t xml:space="preserve"> </w:t>
            </w:r>
            <w:r w:rsidRPr="00DB1AEE">
              <w:rPr>
                <w:w w:val="95"/>
                <w:szCs w:val="24"/>
                <w:u w:val="single"/>
              </w:rPr>
              <w:t>0.080P</w:t>
            </w:r>
            <w:r w:rsidRPr="00DB1AEE">
              <w:rPr>
                <w:w w:val="95"/>
                <w:szCs w:val="24"/>
                <w:u w:val="single"/>
                <w:vertAlign w:val="superscript"/>
              </w:rPr>
              <w:t>a</w:t>
            </w:r>
            <w:r w:rsidRPr="00DB1AEE">
              <w:rPr>
                <w:spacing w:val="-6"/>
                <w:w w:val="95"/>
                <w:szCs w:val="24"/>
                <w:u w:val="single"/>
              </w:rPr>
              <w:t xml:space="preserve"> </w:t>
            </w:r>
            <w:r w:rsidRPr="00DB1AEE">
              <w:rPr>
                <w:w w:val="95"/>
                <w:szCs w:val="24"/>
                <w:u w:val="single"/>
              </w:rPr>
              <w:t>+</w:t>
            </w:r>
            <w:r w:rsidRPr="00DB1AEE">
              <w:rPr>
                <w:spacing w:val="20"/>
                <w:w w:val="95"/>
                <w:szCs w:val="24"/>
                <w:u w:val="single"/>
              </w:rPr>
              <w:t xml:space="preserve"> </w:t>
            </w:r>
            <w:r w:rsidRPr="00DB1AEE">
              <w:rPr>
                <w:w w:val="95"/>
                <w:szCs w:val="24"/>
                <w:u w:val="single"/>
              </w:rPr>
              <w:t>0.4989</w:t>
            </w:r>
            <w:r w:rsidRPr="00DB1AEE">
              <w:rPr>
                <w:spacing w:val="19"/>
                <w:w w:val="95"/>
                <w:szCs w:val="24"/>
                <w:u w:val="single"/>
              </w:rPr>
              <w:t xml:space="preserve"> </w:t>
            </w:r>
            <w:r w:rsidRPr="00DB1AEE">
              <w:rPr>
                <w:w w:val="95"/>
                <w:szCs w:val="24"/>
                <w:u w:val="single"/>
              </w:rPr>
              <w:t>kW</w:t>
            </w:r>
          </w:p>
        </w:tc>
        <w:tc>
          <w:tcPr>
            <w:tcW w:w="1932" w:type="dxa"/>
          </w:tcPr>
          <w:p w14:paraId="152C9EC3" w14:textId="77777777" w:rsidR="00DB1AEE" w:rsidRPr="00DB1AEE" w:rsidRDefault="00DB1AEE" w:rsidP="00DB1AEE">
            <w:pPr>
              <w:widowControl w:val="0"/>
              <w:autoSpaceDE w:val="0"/>
              <w:autoSpaceDN w:val="0"/>
              <w:ind w:left="793"/>
              <w:jc w:val="center"/>
              <w:rPr>
                <w:szCs w:val="24"/>
                <w:u w:val="single"/>
              </w:rPr>
            </w:pPr>
            <w:r w:rsidRPr="00DB1AEE">
              <w:rPr>
                <w:szCs w:val="24"/>
                <w:u w:val="single"/>
              </w:rPr>
              <w:t>≥</w:t>
            </w:r>
            <w:r w:rsidRPr="00DB1AEE">
              <w:rPr>
                <w:spacing w:val="-1"/>
                <w:szCs w:val="24"/>
                <w:u w:val="single"/>
              </w:rPr>
              <w:t xml:space="preserve"> </w:t>
            </w:r>
            <w:r w:rsidRPr="00DB1AEE">
              <w:rPr>
                <w:szCs w:val="24"/>
                <w:u w:val="single"/>
              </w:rPr>
              <w:t>76</w:t>
            </w:r>
          </w:p>
        </w:tc>
        <w:tc>
          <w:tcPr>
            <w:tcW w:w="1655" w:type="dxa"/>
            <w:vMerge/>
            <w:tcBorders>
              <w:top w:val="nil"/>
            </w:tcBorders>
          </w:tcPr>
          <w:p w14:paraId="6BD34DBE" w14:textId="77777777" w:rsidR="00DB1AEE" w:rsidRPr="00DB1AEE" w:rsidRDefault="00DB1AEE" w:rsidP="00DB1AEE">
            <w:pPr>
              <w:suppressAutoHyphens/>
              <w:jc w:val="left"/>
              <w:rPr>
                <w:szCs w:val="24"/>
                <w:u w:val="single"/>
              </w:rPr>
            </w:pPr>
          </w:p>
        </w:tc>
      </w:tr>
      <w:tr w:rsidR="00DB1AEE" w:rsidRPr="00DB1AEE" w14:paraId="6533E2AF" w14:textId="77777777" w:rsidTr="00FC1832">
        <w:trPr>
          <w:trHeight w:val="205"/>
        </w:trPr>
        <w:tc>
          <w:tcPr>
            <w:tcW w:w="9574" w:type="dxa"/>
            <w:gridSpan w:val="5"/>
          </w:tcPr>
          <w:p w14:paraId="3B2DC037" w14:textId="77777777" w:rsidR="00DB1AEE" w:rsidRPr="00DB1AEE" w:rsidRDefault="00DB1AEE" w:rsidP="00DB1AEE">
            <w:pPr>
              <w:widowControl w:val="0"/>
              <w:autoSpaceDE w:val="0"/>
              <w:autoSpaceDN w:val="0"/>
              <w:ind w:left="3917" w:right="3907"/>
              <w:jc w:val="center"/>
              <w:rPr>
                <w:b/>
                <w:szCs w:val="24"/>
                <w:u w:val="single"/>
              </w:rPr>
            </w:pPr>
            <w:r w:rsidRPr="00DB1AEE">
              <w:rPr>
                <w:b/>
                <w:szCs w:val="24"/>
                <w:u w:val="single"/>
              </w:rPr>
              <w:t>Rack</w:t>
            </w:r>
            <w:r w:rsidRPr="00DB1AEE">
              <w:rPr>
                <w:b/>
                <w:spacing w:val="-2"/>
                <w:szCs w:val="24"/>
                <w:u w:val="single"/>
              </w:rPr>
              <w:t xml:space="preserve"> </w:t>
            </w:r>
            <w:r w:rsidRPr="00DB1AEE">
              <w:rPr>
                <w:b/>
                <w:szCs w:val="24"/>
                <w:u w:val="single"/>
              </w:rPr>
              <w:t>Ovens</w:t>
            </w:r>
          </w:p>
        </w:tc>
      </w:tr>
      <w:tr w:rsidR="00DB1AEE" w:rsidRPr="00DB1AEE" w14:paraId="5C189239" w14:textId="77777777" w:rsidTr="00FC1832">
        <w:trPr>
          <w:trHeight w:val="208"/>
        </w:trPr>
        <w:tc>
          <w:tcPr>
            <w:tcW w:w="1802" w:type="dxa"/>
            <w:vMerge w:val="restart"/>
          </w:tcPr>
          <w:p w14:paraId="128C3236" w14:textId="77777777" w:rsidR="00DB1AEE" w:rsidRPr="00DB1AEE" w:rsidRDefault="00DB1AEE" w:rsidP="00DB1AEE">
            <w:pPr>
              <w:widowControl w:val="0"/>
              <w:autoSpaceDE w:val="0"/>
              <w:autoSpaceDN w:val="0"/>
              <w:ind w:left="48" w:right="42"/>
              <w:jc w:val="center"/>
              <w:rPr>
                <w:szCs w:val="24"/>
                <w:u w:val="single"/>
              </w:rPr>
            </w:pPr>
            <w:r w:rsidRPr="00DB1AEE">
              <w:rPr>
                <w:szCs w:val="24"/>
                <w:u w:val="single"/>
              </w:rPr>
              <w:t>Gas</w:t>
            </w:r>
          </w:p>
        </w:tc>
        <w:tc>
          <w:tcPr>
            <w:tcW w:w="2052" w:type="dxa"/>
          </w:tcPr>
          <w:p w14:paraId="276F04E8" w14:textId="77777777" w:rsidR="00DB1AEE" w:rsidRPr="00DB1AEE" w:rsidRDefault="00DB1AEE" w:rsidP="00DB1AEE">
            <w:pPr>
              <w:widowControl w:val="0"/>
              <w:autoSpaceDE w:val="0"/>
              <w:autoSpaceDN w:val="0"/>
              <w:ind w:left="249" w:right="237"/>
              <w:jc w:val="center"/>
              <w:rPr>
                <w:szCs w:val="24"/>
                <w:u w:val="single"/>
              </w:rPr>
            </w:pPr>
            <w:r w:rsidRPr="00DB1AEE">
              <w:rPr>
                <w:szCs w:val="24"/>
                <w:u w:val="single"/>
              </w:rPr>
              <w:t>Single</w:t>
            </w:r>
          </w:p>
        </w:tc>
        <w:tc>
          <w:tcPr>
            <w:tcW w:w="2133" w:type="dxa"/>
          </w:tcPr>
          <w:p w14:paraId="691BF01A" w14:textId="77777777" w:rsidR="00DB1AEE" w:rsidRPr="00DB1AEE" w:rsidRDefault="00DB1AEE" w:rsidP="00DB1AEE">
            <w:pPr>
              <w:widowControl w:val="0"/>
              <w:autoSpaceDE w:val="0"/>
              <w:autoSpaceDN w:val="0"/>
              <w:ind w:left="141" w:right="129"/>
              <w:jc w:val="center"/>
              <w:rPr>
                <w:szCs w:val="24"/>
                <w:u w:val="single"/>
              </w:rPr>
            </w:pPr>
            <w:r w:rsidRPr="00DB1AEE">
              <w:rPr>
                <w:szCs w:val="24"/>
                <w:u w:val="single"/>
              </w:rPr>
              <w:t>≤</w:t>
            </w:r>
            <w:r w:rsidRPr="00DB1AEE">
              <w:rPr>
                <w:spacing w:val="-2"/>
                <w:szCs w:val="24"/>
                <w:u w:val="single"/>
              </w:rPr>
              <w:t xml:space="preserve"> </w:t>
            </w:r>
            <w:r w:rsidRPr="00DB1AEE">
              <w:rPr>
                <w:szCs w:val="24"/>
                <w:u w:val="single"/>
              </w:rPr>
              <w:t>25,000</w:t>
            </w:r>
            <w:r w:rsidRPr="00DB1AEE">
              <w:rPr>
                <w:spacing w:val="-1"/>
                <w:szCs w:val="24"/>
                <w:u w:val="single"/>
              </w:rPr>
              <w:t xml:space="preserve"> </w:t>
            </w:r>
            <w:r w:rsidRPr="00DB1AEE">
              <w:rPr>
                <w:szCs w:val="24"/>
                <w:u w:val="single"/>
              </w:rPr>
              <w:t>Btu/h</w:t>
            </w:r>
          </w:p>
        </w:tc>
        <w:tc>
          <w:tcPr>
            <w:tcW w:w="1932" w:type="dxa"/>
          </w:tcPr>
          <w:p w14:paraId="6FD6FBA5" w14:textId="77777777" w:rsidR="00DB1AEE" w:rsidRPr="00DB1AEE" w:rsidRDefault="00DB1AEE" w:rsidP="00DB1AEE">
            <w:pPr>
              <w:widowControl w:val="0"/>
              <w:autoSpaceDE w:val="0"/>
              <w:autoSpaceDN w:val="0"/>
              <w:ind w:left="793"/>
              <w:jc w:val="center"/>
              <w:rPr>
                <w:szCs w:val="24"/>
                <w:u w:val="single"/>
              </w:rPr>
            </w:pPr>
            <w:r w:rsidRPr="00DB1AEE">
              <w:rPr>
                <w:szCs w:val="24"/>
                <w:u w:val="single"/>
              </w:rPr>
              <w:t>≥</w:t>
            </w:r>
            <w:r w:rsidRPr="00DB1AEE">
              <w:rPr>
                <w:spacing w:val="-1"/>
                <w:szCs w:val="24"/>
                <w:u w:val="single"/>
              </w:rPr>
              <w:t xml:space="preserve"> </w:t>
            </w:r>
            <w:r w:rsidRPr="00DB1AEE">
              <w:rPr>
                <w:szCs w:val="24"/>
                <w:u w:val="single"/>
              </w:rPr>
              <w:t>48</w:t>
            </w:r>
          </w:p>
        </w:tc>
        <w:tc>
          <w:tcPr>
            <w:tcW w:w="1655" w:type="dxa"/>
            <w:vMerge w:val="restart"/>
          </w:tcPr>
          <w:p w14:paraId="2580DFDB" w14:textId="77777777" w:rsidR="00DB1AEE" w:rsidRPr="00DB1AEE" w:rsidRDefault="00DB1AEE" w:rsidP="00DB1AEE">
            <w:pPr>
              <w:widowControl w:val="0"/>
              <w:autoSpaceDE w:val="0"/>
              <w:autoSpaceDN w:val="0"/>
              <w:ind w:left="119"/>
              <w:jc w:val="center"/>
              <w:rPr>
                <w:szCs w:val="24"/>
                <w:u w:val="single"/>
              </w:rPr>
            </w:pPr>
            <w:r w:rsidRPr="00DB1AEE">
              <w:rPr>
                <w:szCs w:val="24"/>
                <w:u w:val="single"/>
              </w:rPr>
              <w:t>ASTM</w:t>
            </w:r>
            <w:r w:rsidRPr="00DB1AEE">
              <w:rPr>
                <w:spacing w:val="-3"/>
                <w:szCs w:val="24"/>
                <w:u w:val="single"/>
              </w:rPr>
              <w:t xml:space="preserve"> </w:t>
            </w:r>
            <w:r w:rsidRPr="00DB1AEE">
              <w:rPr>
                <w:szCs w:val="24"/>
                <w:u w:val="single"/>
              </w:rPr>
              <w:t>F2093</w:t>
            </w:r>
            <w:r w:rsidRPr="00DB1AEE">
              <w:rPr>
                <w:spacing w:val="4"/>
                <w:szCs w:val="24"/>
                <w:u w:val="single"/>
              </w:rPr>
              <w:t xml:space="preserve"> </w:t>
            </w:r>
            <w:r w:rsidRPr="00DB1AEE">
              <w:rPr>
                <w:szCs w:val="24"/>
                <w:u w:val="single"/>
              </w:rPr>
              <w:t>-</w:t>
            </w:r>
            <w:r w:rsidRPr="00DB1AEE">
              <w:rPr>
                <w:spacing w:val="2"/>
                <w:szCs w:val="24"/>
                <w:u w:val="single"/>
              </w:rPr>
              <w:t xml:space="preserve"> </w:t>
            </w:r>
            <w:r w:rsidRPr="00DB1AEE">
              <w:rPr>
                <w:szCs w:val="24"/>
                <w:u w:val="single"/>
              </w:rPr>
              <w:t>18</w:t>
            </w:r>
          </w:p>
        </w:tc>
      </w:tr>
      <w:tr w:rsidR="00DB1AEE" w:rsidRPr="00DB1AEE" w14:paraId="57E52E6D" w14:textId="77777777" w:rsidTr="00FC1832">
        <w:trPr>
          <w:trHeight w:val="205"/>
        </w:trPr>
        <w:tc>
          <w:tcPr>
            <w:tcW w:w="1802" w:type="dxa"/>
            <w:vMerge/>
            <w:tcBorders>
              <w:top w:val="nil"/>
            </w:tcBorders>
          </w:tcPr>
          <w:p w14:paraId="35AE815B" w14:textId="77777777" w:rsidR="00DB1AEE" w:rsidRPr="00DB1AEE" w:rsidRDefault="00DB1AEE" w:rsidP="00DB1AEE">
            <w:pPr>
              <w:suppressAutoHyphens/>
              <w:jc w:val="left"/>
              <w:rPr>
                <w:szCs w:val="24"/>
                <w:u w:val="single"/>
              </w:rPr>
            </w:pPr>
          </w:p>
        </w:tc>
        <w:tc>
          <w:tcPr>
            <w:tcW w:w="2052" w:type="dxa"/>
          </w:tcPr>
          <w:p w14:paraId="02A54213" w14:textId="77777777" w:rsidR="00DB1AEE" w:rsidRPr="00DB1AEE" w:rsidRDefault="00DB1AEE" w:rsidP="00DB1AEE">
            <w:pPr>
              <w:widowControl w:val="0"/>
              <w:autoSpaceDE w:val="0"/>
              <w:autoSpaceDN w:val="0"/>
              <w:ind w:left="249" w:right="239"/>
              <w:jc w:val="center"/>
              <w:rPr>
                <w:szCs w:val="24"/>
                <w:u w:val="single"/>
              </w:rPr>
            </w:pPr>
            <w:r w:rsidRPr="00DB1AEE">
              <w:rPr>
                <w:szCs w:val="24"/>
                <w:u w:val="single"/>
              </w:rPr>
              <w:t>Double</w:t>
            </w:r>
          </w:p>
        </w:tc>
        <w:tc>
          <w:tcPr>
            <w:tcW w:w="2133" w:type="dxa"/>
          </w:tcPr>
          <w:p w14:paraId="18E4875B" w14:textId="77777777" w:rsidR="00DB1AEE" w:rsidRPr="00DB1AEE" w:rsidRDefault="00DB1AEE" w:rsidP="00DB1AEE">
            <w:pPr>
              <w:widowControl w:val="0"/>
              <w:autoSpaceDE w:val="0"/>
              <w:autoSpaceDN w:val="0"/>
              <w:ind w:left="141" w:right="129"/>
              <w:jc w:val="center"/>
              <w:rPr>
                <w:szCs w:val="24"/>
                <w:u w:val="single"/>
              </w:rPr>
            </w:pPr>
            <w:r w:rsidRPr="00DB1AEE">
              <w:rPr>
                <w:szCs w:val="24"/>
                <w:u w:val="single"/>
              </w:rPr>
              <w:t>≤</w:t>
            </w:r>
            <w:r w:rsidRPr="00DB1AEE">
              <w:rPr>
                <w:spacing w:val="-2"/>
                <w:szCs w:val="24"/>
                <w:u w:val="single"/>
              </w:rPr>
              <w:t xml:space="preserve"> </w:t>
            </w:r>
            <w:r w:rsidRPr="00DB1AEE">
              <w:rPr>
                <w:szCs w:val="24"/>
                <w:u w:val="single"/>
              </w:rPr>
              <w:t>30,000</w:t>
            </w:r>
            <w:r w:rsidRPr="00DB1AEE">
              <w:rPr>
                <w:spacing w:val="-1"/>
                <w:szCs w:val="24"/>
                <w:u w:val="single"/>
              </w:rPr>
              <w:t xml:space="preserve"> </w:t>
            </w:r>
            <w:r w:rsidRPr="00DB1AEE">
              <w:rPr>
                <w:szCs w:val="24"/>
                <w:u w:val="single"/>
              </w:rPr>
              <w:t>Btu/h</w:t>
            </w:r>
          </w:p>
        </w:tc>
        <w:tc>
          <w:tcPr>
            <w:tcW w:w="1932" w:type="dxa"/>
          </w:tcPr>
          <w:p w14:paraId="1229673C" w14:textId="77777777" w:rsidR="00DB1AEE" w:rsidRPr="00DB1AEE" w:rsidRDefault="00DB1AEE" w:rsidP="00DB1AEE">
            <w:pPr>
              <w:widowControl w:val="0"/>
              <w:autoSpaceDE w:val="0"/>
              <w:autoSpaceDN w:val="0"/>
              <w:ind w:left="793"/>
              <w:jc w:val="center"/>
              <w:rPr>
                <w:szCs w:val="24"/>
                <w:u w:val="single"/>
              </w:rPr>
            </w:pPr>
            <w:r w:rsidRPr="00DB1AEE">
              <w:rPr>
                <w:szCs w:val="24"/>
                <w:u w:val="single"/>
              </w:rPr>
              <w:t>≥</w:t>
            </w:r>
            <w:r w:rsidRPr="00DB1AEE">
              <w:rPr>
                <w:spacing w:val="-1"/>
                <w:szCs w:val="24"/>
                <w:u w:val="single"/>
              </w:rPr>
              <w:t xml:space="preserve"> </w:t>
            </w:r>
            <w:r w:rsidRPr="00DB1AEE">
              <w:rPr>
                <w:szCs w:val="24"/>
                <w:u w:val="single"/>
              </w:rPr>
              <w:t>52</w:t>
            </w:r>
          </w:p>
        </w:tc>
        <w:tc>
          <w:tcPr>
            <w:tcW w:w="1655" w:type="dxa"/>
            <w:vMerge/>
            <w:tcBorders>
              <w:top w:val="nil"/>
            </w:tcBorders>
          </w:tcPr>
          <w:p w14:paraId="596A239D" w14:textId="77777777" w:rsidR="00DB1AEE" w:rsidRPr="00DB1AEE" w:rsidRDefault="00DB1AEE" w:rsidP="00DB1AEE">
            <w:pPr>
              <w:suppressAutoHyphens/>
              <w:jc w:val="left"/>
              <w:rPr>
                <w:szCs w:val="24"/>
                <w:u w:val="single"/>
              </w:rPr>
            </w:pPr>
          </w:p>
        </w:tc>
      </w:tr>
    </w:tbl>
    <w:p w14:paraId="0E32F720" w14:textId="77777777" w:rsidR="00DB1AEE" w:rsidRPr="00DB1AEE" w:rsidRDefault="00DB1AEE" w:rsidP="00DB1AEE">
      <w:pPr>
        <w:tabs>
          <w:tab w:val="left" w:pos="1180"/>
          <w:tab w:val="left" w:pos="1181"/>
        </w:tabs>
        <w:suppressAutoHyphens/>
        <w:spacing w:before="20" w:line="247" w:lineRule="auto"/>
        <w:ind w:left="1180" w:right="1468" w:hanging="360"/>
        <w:jc w:val="left"/>
        <w:rPr>
          <w:rFonts w:cs="Arial"/>
          <w:color w:val="006400"/>
          <w:sz w:val="14"/>
        </w:rPr>
      </w:pPr>
      <w:r w:rsidRPr="00DB1AEE">
        <w:rPr>
          <w:rFonts w:eastAsia="Microsoft Sans Serif"/>
          <w:spacing w:val="-1"/>
          <w:w w:val="99"/>
          <w:szCs w:val="24"/>
          <w:u w:val="single"/>
        </w:rPr>
        <w:t>a.</w:t>
      </w:r>
      <w:r w:rsidRPr="00DB1AEE">
        <w:rPr>
          <w:rFonts w:eastAsia="Microsoft Sans Serif"/>
          <w:spacing w:val="-1"/>
          <w:w w:val="99"/>
          <w:szCs w:val="24"/>
          <w:u w:val="single"/>
        </w:rPr>
        <w:tab/>
      </w:r>
      <w:r w:rsidRPr="00DB1AEE">
        <w:rPr>
          <w:szCs w:val="24"/>
          <w:u w:val="single"/>
        </w:rPr>
        <w:t>P</w:t>
      </w:r>
      <w:r w:rsidRPr="00DB1AEE">
        <w:rPr>
          <w:spacing w:val="1"/>
          <w:szCs w:val="24"/>
          <w:u w:val="single"/>
        </w:rPr>
        <w:t xml:space="preserve"> </w:t>
      </w:r>
      <w:r w:rsidRPr="00DB1AEE">
        <w:rPr>
          <w:szCs w:val="24"/>
          <w:u w:val="single"/>
        </w:rPr>
        <w:t>= Pan</w:t>
      </w:r>
      <w:r w:rsidRPr="00DB1AEE">
        <w:rPr>
          <w:spacing w:val="2"/>
          <w:szCs w:val="24"/>
          <w:u w:val="single"/>
        </w:rPr>
        <w:t xml:space="preserve"> </w:t>
      </w:r>
      <w:r w:rsidRPr="00DB1AEE">
        <w:rPr>
          <w:szCs w:val="24"/>
          <w:u w:val="single"/>
        </w:rPr>
        <w:t>Capacity:</w:t>
      </w:r>
      <w:r w:rsidRPr="00DB1AEE">
        <w:rPr>
          <w:spacing w:val="2"/>
          <w:szCs w:val="24"/>
          <w:u w:val="single"/>
        </w:rPr>
        <w:t xml:space="preserve"> </w:t>
      </w:r>
      <w:r w:rsidRPr="00DB1AEE">
        <w:rPr>
          <w:szCs w:val="24"/>
          <w:u w:val="single"/>
        </w:rPr>
        <w:t>The</w:t>
      </w:r>
      <w:r w:rsidRPr="00DB1AEE">
        <w:rPr>
          <w:spacing w:val="2"/>
          <w:szCs w:val="24"/>
          <w:u w:val="single"/>
        </w:rPr>
        <w:t xml:space="preserve"> </w:t>
      </w:r>
      <w:r w:rsidRPr="00DB1AEE">
        <w:rPr>
          <w:szCs w:val="24"/>
          <w:u w:val="single"/>
        </w:rPr>
        <w:t>number</w:t>
      </w:r>
      <w:r w:rsidRPr="00DB1AEE">
        <w:rPr>
          <w:spacing w:val="3"/>
          <w:szCs w:val="24"/>
          <w:u w:val="single"/>
        </w:rPr>
        <w:t xml:space="preserve"> </w:t>
      </w:r>
      <w:r w:rsidRPr="00DB1AEE">
        <w:rPr>
          <w:szCs w:val="24"/>
          <w:u w:val="single"/>
        </w:rPr>
        <w:t>of</w:t>
      </w:r>
      <w:r w:rsidRPr="00DB1AEE">
        <w:rPr>
          <w:spacing w:val="2"/>
          <w:szCs w:val="24"/>
          <w:u w:val="single"/>
        </w:rPr>
        <w:t xml:space="preserve"> </w:t>
      </w:r>
      <w:r w:rsidRPr="00DB1AEE">
        <w:rPr>
          <w:szCs w:val="24"/>
          <w:u w:val="single"/>
        </w:rPr>
        <w:t>steam</w:t>
      </w:r>
      <w:r w:rsidRPr="00DB1AEE">
        <w:rPr>
          <w:spacing w:val="2"/>
          <w:szCs w:val="24"/>
          <w:u w:val="single"/>
        </w:rPr>
        <w:t xml:space="preserve"> </w:t>
      </w:r>
      <w:r w:rsidRPr="00DB1AEE">
        <w:rPr>
          <w:szCs w:val="24"/>
          <w:u w:val="single"/>
        </w:rPr>
        <w:t>table</w:t>
      </w:r>
      <w:r w:rsidRPr="00DB1AEE">
        <w:rPr>
          <w:spacing w:val="3"/>
          <w:szCs w:val="24"/>
          <w:u w:val="single"/>
        </w:rPr>
        <w:t xml:space="preserve"> </w:t>
      </w:r>
      <w:r w:rsidRPr="00DB1AEE">
        <w:rPr>
          <w:szCs w:val="24"/>
          <w:u w:val="single"/>
        </w:rPr>
        <w:t>pans the</w:t>
      </w:r>
      <w:r w:rsidRPr="00DB1AEE">
        <w:rPr>
          <w:spacing w:val="3"/>
          <w:szCs w:val="24"/>
          <w:u w:val="single"/>
        </w:rPr>
        <w:t xml:space="preserve"> </w:t>
      </w:r>
      <w:r w:rsidRPr="00DB1AEE">
        <w:rPr>
          <w:szCs w:val="24"/>
          <w:u w:val="single"/>
        </w:rPr>
        <w:t>combination</w:t>
      </w:r>
      <w:r w:rsidRPr="00DB1AEE">
        <w:rPr>
          <w:spacing w:val="1"/>
          <w:szCs w:val="24"/>
          <w:u w:val="single"/>
        </w:rPr>
        <w:t xml:space="preserve"> </w:t>
      </w:r>
      <w:r w:rsidRPr="00DB1AEE">
        <w:rPr>
          <w:szCs w:val="24"/>
          <w:u w:val="single"/>
        </w:rPr>
        <w:t>oven</w:t>
      </w:r>
      <w:r w:rsidRPr="00DB1AEE">
        <w:rPr>
          <w:spacing w:val="-1"/>
          <w:szCs w:val="24"/>
          <w:u w:val="single"/>
        </w:rPr>
        <w:t xml:space="preserve"> </w:t>
      </w:r>
      <w:r w:rsidRPr="00DB1AEE">
        <w:rPr>
          <w:szCs w:val="24"/>
          <w:u w:val="single"/>
        </w:rPr>
        <w:t>is</w:t>
      </w:r>
      <w:r w:rsidRPr="00DB1AEE">
        <w:rPr>
          <w:spacing w:val="3"/>
          <w:szCs w:val="24"/>
          <w:u w:val="single"/>
        </w:rPr>
        <w:t xml:space="preserve"> </w:t>
      </w:r>
      <w:r w:rsidRPr="00DB1AEE">
        <w:rPr>
          <w:szCs w:val="24"/>
          <w:u w:val="single"/>
        </w:rPr>
        <w:t>able</w:t>
      </w:r>
      <w:r w:rsidRPr="00DB1AEE">
        <w:rPr>
          <w:spacing w:val="3"/>
          <w:szCs w:val="24"/>
          <w:u w:val="single"/>
        </w:rPr>
        <w:t xml:space="preserve"> </w:t>
      </w:r>
      <w:r w:rsidRPr="00DB1AEE">
        <w:rPr>
          <w:szCs w:val="24"/>
          <w:u w:val="single"/>
        </w:rPr>
        <w:t>to accommodate</w:t>
      </w:r>
      <w:r w:rsidRPr="00DB1AEE">
        <w:rPr>
          <w:spacing w:val="1"/>
          <w:szCs w:val="24"/>
          <w:u w:val="single"/>
        </w:rPr>
        <w:t xml:space="preserve"> </w:t>
      </w:r>
      <w:r w:rsidRPr="00DB1AEE">
        <w:rPr>
          <w:szCs w:val="24"/>
          <w:u w:val="single"/>
        </w:rPr>
        <w:t>as</w:t>
      </w:r>
      <w:r w:rsidRPr="00DB1AEE">
        <w:rPr>
          <w:spacing w:val="2"/>
          <w:szCs w:val="24"/>
          <w:u w:val="single"/>
        </w:rPr>
        <w:t xml:space="preserve"> </w:t>
      </w:r>
      <w:r w:rsidRPr="00DB1AEE">
        <w:rPr>
          <w:szCs w:val="24"/>
          <w:u w:val="single"/>
        </w:rPr>
        <w:t>per the</w:t>
      </w:r>
      <w:r w:rsidRPr="00DB1AEE">
        <w:rPr>
          <w:spacing w:val="-1"/>
          <w:szCs w:val="24"/>
          <w:u w:val="single"/>
        </w:rPr>
        <w:t xml:space="preserve"> </w:t>
      </w:r>
      <w:r w:rsidRPr="00DB1AEE">
        <w:rPr>
          <w:szCs w:val="24"/>
          <w:u w:val="single"/>
        </w:rPr>
        <w:t>ASTM F1495–05</w:t>
      </w:r>
      <w:r w:rsidRPr="00DB1AEE">
        <w:rPr>
          <w:spacing w:val="-1"/>
          <w:szCs w:val="24"/>
          <w:u w:val="single"/>
        </w:rPr>
        <w:t xml:space="preserve"> </w:t>
      </w:r>
      <w:r w:rsidRPr="00DB1AEE">
        <w:rPr>
          <w:szCs w:val="24"/>
          <w:u w:val="single"/>
        </w:rPr>
        <w:t>standard</w:t>
      </w:r>
      <w:r w:rsidRPr="00DB1AEE">
        <w:rPr>
          <w:spacing w:val="1"/>
          <w:szCs w:val="24"/>
          <w:u w:val="single"/>
        </w:rPr>
        <w:t xml:space="preserve"> </w:t>
      </w:r>
      <w:r w:rsidRPr="00DB1AEE">
        <w:rPr>
          <w:szCs w:val="24"/>
          <w:u w:val="single"/>
        </w:rPr>
        <w:t>specification</w:t>
      </w:r>
      <w:r w:rsidRPr="00DB1AEE">
        <w:rPr>
          <w:rFonts w:cs="Arial"/>
          <w:color w:val="006400"/>
          <w:sz w:val="14"/>
        </w:rPr>
        <w:t>.</w:t>
      </w:r>
    </w:p>
    <w:bookmarkEnd w:id="333"/>
    <w:p w14:paraId="543F2CD6"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Section C405.13 Automatic receptacle control.</w:t>
      </w:r>
    </w:p>
    <w:p w14:paraId="16A80003" w14:textId="77777777" w:rsidR="00DB1AEE" w:rsidRPr="00DB1AEE" w:rsidRDefault="00DB1AEE" w:rsidP="00DB1AEE">
      <w:pPr>
        <w:widowControl w:val="0"/>
        <w:suppressAutoHyphens/>
        <w:spacing w:before="130" w:after="130"/>
        <w:rPr>
          <w:b/>
          <w:bCs/>
          <w:u w:val="single"/>
        </w:rPr>
      </w:pPr>
      <w:r w:rsidRPr="00DB1AEE">
        <w:rPr>
          <w:rFonts w:eastAsia="MS Mincho"/>
          <w:bCs/>
          <w:szCs w:val="24"/>
          <w:u w:val="single"/>
        </w:rPr>
        <w:t>Section C405.13 – Add new Section</w:t>
      </w:r>
      <w:r w:rsidRPr="00DB1AEE">
        <w:t xml:space="preserve"> </w:t>
      </w:r>
      <w:r w:rsidRPr="00DB1AEE">
        <w:rPr>
          <w:rFonts w:eastAsia="MS Mincho"/>
          <w:bCs/>
          <w:szCs w:val="24"/>
          <w:u w:val="single"/>
        </w:rPr>
        <w:t>C405.13 and  C405.13.1 to read as follows:</w:t>
      </w:r>
    </w:p>
    <w:p w14:paraId="461526A4" w14:textId="77777777" w:rsidR="00DB1AEE" w:rsidRPr="00DB1AEE" w:rsidRDefault="00DB1AEE" w:rsidP="00DB1AEE">
      <w:pPr>
        <w:spacing w:before="130" w:after="130"/>
        <w:jc w:val="left"/>
        <w:rPr>
          <w:b/>
          <w:vanish/>
          <w:w w:val="0"/>
          <w:szCs w:val="24"/>
          <w:u w:val="single"/>
          <w:specVanish/>
        </w:rPr>
      </w:pPr>
      <w:bookmarkStart w:id="334" w:name="_Hlk189734768"/>
      <w:r w:rsidRPr="00DB1AEE">
        <w:rPr>
          <w:b/>
          <w:w w:val="0"/>
          <w:szCs w:val="24"/>
          <w:u w:val="single"/>
        </w:rPr>
        <w:t>C405.13 Automatic receptacle control</w:t>
      </w:r>
      <w:r w:rsidRPr="00DB1AEE">
        <w:rPr>
          <w:bCs/>
          <w:w w:val="0"/>
          <w:szCs w:val="24"/>
          <w:u w:val="single"/>
        </w:rPr>
        <w:t>.</w:t>
      </w:r>
      <w:r w:rsidRPr="00DB1AEE">
        <w:rPr>
          <w:b/>
          <w:w w:val="0"/>
          <w:szCs w:val="24"/>
          <w:u w:val="single"/>
        </w:rPr>
        <w:t xml:space="preserve"> </w:t>
      </w:r>
    </w:p>
    <w:p w14:paraId="34783A38" w14:textId="77777777" w:rsidR="00DB1AEE" w:rsidRPr="00DB1AEE" w:rsidRDefault="00DB1AEE" w:rsidP="00DB1AEE">
      <w:pPr>
        <w:suppressAutoHyphens/>
        <w:jc w:val="left"/>
        <w:rPr>
          <w:szCs w:val="24"/>
          <w:u w:val="single"/>
        </w:rPr>
      </w:pPr>
      <w:r w:rsidRPr="00DB1AEE">
        <w:rPr>
          <w:szCs w:val="24"/>
          <w:u w:val="single"/>
        </w:rPr>
        <w:t xml:space="preserve"> The following shall have automatic receptacle control complying with Section C405.13.1:</w:t>
      </w:r>
    </w:p>
    <w:p w14:paraId="035E4B9E" w14:textId="77777777" w:rsidR="00DB1AEE" w:rsidRPr="00DB1AEE" w:rsidRDefault="00DB1AEE" w:rsidP="00DB1AEE">
      <w:pPr>
        <w:numPr>
          <w:ilvl w:val="0"/>
          <w:numId w:val="68"/>
        </w:numPr>
        <w:suppressAutoHyphens/>
        <w:autoSpaceDE w:val="0"/>
        <w:autoSpaceDN w:val="0"/>
        <w:adjustRightInd w:val="0"/>
        <w:spacing w:before="60" w:after="60" w:line="220" w:lineRule="atLeast"/>
        <w:jc w:val="left"/>
        <w:rPr>
          <w:szCs w:val="24"/>
          <w:u w:val="single"/>
        </w:rPr>
      </w:pPr>
      <w:r w:rsidRPr="00DB1AEE">
        <w:rPr>
          <w:szCs w:val="24"/>
          <w:u w:val="single"/>
        </w:rPr>
        <w:t>At least 50 percent of all 125V, 15- and 20-amp receptacles installed in enclosed offices, conference rooms, rooms used primarily for copy or print functions, breakrooms, classrooms and individual workstations, including those installed in modular partitions and module office workstation systems.</w:t>
      </w:r>
    </w:p>
    <w:p w14:paraId="538794A2" w14:textId="77777777" w:rsidR="00DB1AEE" w:rsidRPr="00DB1AEE" w:rsidRDefault="00DB1AEE" w:rsidP="00DB1AEE">
      <w:pPr>
        <w:numPr>
          <w:ilvl w:val="0"/>
          <w:numId w:val="68"/>
        </w:numPr>
        <w:suppressAutoHyphens/>
        <w:autoSpaceDE w:val="0"/>
        <w:autoSpaceDN w:val="0"/>
        <w:adjustRightInd w:val="0"/>
        <w:spacing w:before="60" w:after="60" w:line="220" w:lineRule="atLeast"/>
        <w:jc w:val="left"/>
        <w:rPr>
          <w:szCs w:val="24"/>
          <w:u w:val="single"/>
        </w:rPr>
      </w:pPr>
      <w:r w:rsidRPr="00DB1AEE">
        <w:rPr>
          <w:szCs w:val="24"/>
          <w:u w:val="single"/>
        </w:rPr>
        <w:t>At least 25 percent of branch circuit feeders installed for modular furniture not shown on the construction documents.</w:t>
      </w:r>
    </w:p>
    <w:p w14:paraId="135DF973" w14:textId="77777777" w:rsidR="00DB1AEE" w:rsidRPr="00DB1AEE" w:rsidRDefault="00DB1AEE" w:rsidP="00DB1AEE">
      <w:pPr>
        <w:spacing w:before="130" w:after="130"/>
        <w:ind w:left="432"/>
        <w:jc w:val="left"/>
        <w:rPr>
          <w:b/>
          <w:vanish/>
          <w:spacing w:val="4"/>
          <w:szCs w:val="24"/>
        </w:rPr>
      </w:pPr>
      <w:bookmarkStart w:id="335" w:name="_Hlk189750653"/>
      <w:bookmarkEnd w:id="334"/>
      <w:r w:rsidRPr="00DB1AEE">
        <w:rPr>
          <w:b/>
          <w:spacing w:val="4"/>
          <w:szCs w:val="24"/>
          <w:u w:val="single"/>
        </w:rPr>
        <w:t>C405.13.1 Automatic receptacle control function</w:t>
      </w:r>
      <w:r w:rsidRPr="00DB1AEE">
        <w:rPr>
          <w:bCs/>
          <w:spacing w:val="4"/>
          <w:szCs w:val="24"/>
          <w:u w:val="single"/>
        </w:rPr>
        <w:t>.</w:t>
      </w:r>
      <w:r w:rsidRPr="00DB1AEE">
        <w:rPr>
          <w:b/>
          <w:spacing w:val="4"/>
          <w:szCs w:val="24"/>
        </w:rPr>
        <w:t xml:space="preserve"> </w:t>
      </w:r>
    </w:p>
    <w:p w14:paraId="17376827" w14:textId="77777777" w:rsidR="00DB1AEE" w:rsidRPr="00DB1AEE" w:rsidRDefault="00DB1AEE" w:rsidP="00DB1AEE">
      <w:pPr>
        <w:suppressAutoHyphens/>
        <w:autoSpaceDE w:val="0"/>
        <w:autoSpaceDN w:val="0"/>
        <w:adjustRightInd w:val="0"/>
        <w:spacing w:line="220" w:lineRule="atLeast"/>
        <w:ind w:left="360"/>
        <w:jc w:val="left"/>
        <w:rPr>
          <w:b/>
          <w:bCs/>
          <w:szCs w:val="24"/>
          <w:u w:val="single"/>
        </w:rPr>
      </w:pPr>
      <w:r w:rsidRPr="00DB1AEE">
        <w:rPr>
          <w:szCs w:val="24"/>
          <w:u w:val="single"/>
        </w:rPr>
        <w:t xml:space="preserve"> Automatic receptacle controls shall comply with the following:</w:t>
      </w:r>
    </w:p>
    <w:p w14:paraId="43A35C8F" w14:textId="77777777" w:rsidR="00DB1AEE" w:rsidRPr="00DB1AEE" w:rsidRDefault="00DB1AEE" w:rsidP="00DB1AEE">
      <w:pPr>
        <w:autoSpaceDE w:val="0"/>
        <w:autoSpaceDN w:val="0"/>
        <w:adjustRightInd w:val="0"/>
        <w:spacing w:before="60" w:after="60" w:line="220" w:lineRule="atLeast"/>
        <w:ind w:left="1080" w:hanging="360"/>
        <w:rPr>
          <w:szCs w:val="24"/>
          <w:u w:val="single"/>
        </w:rPr>
      </w:pPr>
      <w:r w:rsidRPr="00DB1AEE">
        <w:rPr>
          <w:szCs w:val="24"/>
          <w:u w:val="single"/>
        </w:rPr>
        <w:t>1.</w:t>
      </w:r>
      <w:r w:rsidRPr="00DB1AEE">
        <w:rPr>
          <w:szCs w:val="24"/>
          <w:u w:val="single"/>
        </w:rPr>
        <w:tab/>
        <w:t>Either split controlled receptacles shall be provided with the top receptacle controlled, or a controlled receptacle shall be located within 12 inches (304.8 mm) of each uncontrolled receptacle.</w:t>
      </w:r>
    </w:p>
    <w:p w14:paraId="6D22C339" w14:textId="77777777" w:rsidR="00DB1AEE" w:rsidRPr="00DB1AEE" w:rsidRDefault="00DB1AEE" w:rsidP="00DB1AEE">
      <w:pPr>
        <w:autoSpaceDE w:val="0"/>
        <w:autoSpaceDN w:val="0"/>
        <w:adjustRightInd w:val="0"/>
        <w:spacing w:before="60" w:after="60" w:line="220" w:lineRule="atLeast"/>
        <w:ind w:left="1080" w:hanging="360"/>
        <w:rPr>
          <w:szCs w:val="24"/>
          <w:u w:val="single"/>
        </w:rPr>
      </w:pPr>
      <w:r w:rsidRPr="00DB1AEE">
        <w:rPr>
          <w:szCs w:val="24"/>
          <w:u w:val="single"/>
        </w:rPr>
        <w:t>2.</w:t>
      </w:r>
      <w:r w:rsidRPr="00DB1AEE">
        <w:rPr>
          <w:szCs w:val="24"/>
          <w:u w:val="single"/>
        </w:rPr>
        <w:tab/>
        <w:t>One of the following methods shall be used to provide control:</w:t>
      </w:r>
    </w:p>
    <w:p w14:paraId="69A84369" w14:textId="77777777" w:rsidR="00DB1AEE" w:rsidRPr="00DB1AEE" w:rsidRDefault="00DB1AEE" w:rsidP="00DB1AEE">
      <w:pPr>
        <w:autoSpaceDE w:val="0"/>
        <w:autoSpaceDN w:val="0"/>
        <w:adjustRightInd w:val="0"/>
        <w:spacing w:before="60" w:after="60" w:line="220" w:lineRule="atLeast"/>
        <w:ind w:left="1620" w:hanging="540"/>
        <w:rPr>
          <w:szCs w:val="24"/>
          <w:u w:val="single"/>
        </w:rPr>
      </w:pPr>
      <w:r w:rsidRPr="00DB1AEE">
        <w:rPr>
          <w:szCs w:val="24"/>
          <w:u w:val="single"/>
        </w:rPr>
        <w:t>2.1.</w:t>
      </w:r>
      <w:r w:rsidRPr="00DB1AEE">
        <w:rPr>
          <w:szCs w:val="24"/>
          <w:u w:val="single"/>
        </w:rPr>
        <w:tab/>
        <w:t>A scheduled basis using a time-of-day operated control device that turns receptacle power off at specific programmed times and can be programmed separately for each day of the week. The control device shall be configured to provide an independent schedule for each portion of the building of not more than 5,000 square feet (464.5 m</w:t>
      </w:r>
      <w:r w:rsidRPr="00DB1AEE">
        <w:rPr>
          <w:szCs w:val="24"/>
          <w:u w:val="single"/>
          <w:vertAlign w:val="superscript"/>
        </w:rPr>
        <w:t>2</w:t>
      </w:r>
      <w:r w:rsidRPr="00DB1AEE">
        <w:rPr>
          <w:szCs w:val="24"/>
          <w:u w:val="single"/>
        </w:rPr>
        <w:t>) and not more than one floor. The occupant shall be able to manually override an area for not more than 2 hours. Any individual override switch shall control the receptacles in a portion of the building not more than 5,000 feet (1524 m).</w:t>
      </w:r>
    </w:p>
    <w:p w14:paraId="772F0DF3" w14:textId="77777777" w:rsidR="00DB1AEE" w:rsidRPr="00DB1AEE" w:rsidRDefault="00DB1AEE" w:rsidP="00DB1AEE">
      <w:pPr>
        <w:autoSpaceDE w:val="0"/>
        <w:autoSpaceDN w:val="0"/>
        <w:adjustRightInd w:val="0"/>
        <w:spacing w:before="60" w:after="60" w:line="220" w:lineRule="atLeast"/>
        <w:ind w:left="1620" w:hanging="540"/>
        <w:rPr>
          <w:szCs w:val="24"/>
          <w:u w:val="single"/>
        </w:rPr>
      </w:pPr>
      <w:r w:rsidRPr="00DB1AEE">
        <w:rPr>
          <w:szCs w:val="24"/>
          <w:u w:val="single"/>
        </w:rPr>
        <w:t>2.2.</w:t>
      </w:r>
      <w:r w:rsidRPr="00DB1AEE">
        <w:rPr>
          <w:szCs w:val="24"/>
          <w:u w:val="single"/>
        </w:rPr>
        <w:tab/>
        <w:t>An occupant sensor control that shall turn off receptacles within 15 minutes of all occupants leaving a space.</w:t>
      </w:r>
    </w:p>
    <w:p w14:paraId="63371850" w14:textId="77777777" w:rsidR="00DB1AEE" w:rsidRPr="00DB1AEE" w:rsidRDefault="00DB1AEE" w:rsidP="00DB1AEE">
      <w:pPr>
        <w:autoSpaceDE w:val="0"/>
        <w:autoSpaceDN w:val="0"/>
        <w:adjustRightInd w:val="0"/>
        <w:spacing w:before="60" w:after="60" w:line="220" w:lineRule="atLeast"/>
        <w:ind w:left="1620" w:hanging="540"/>
        <w:rPr>
          <w:szCs w:val="24"/>
          <w:u w:val="single"/>
        </w:rPr>
      </w:pPr>
      <w:r w:rsidRPr="00DB1AEE">
        <w:rPr>
          <w:szCs w:val="24"/>
          <w:u w:val="single"/>
        </w:rPr>
        <w:t>2.3.</w:t>
      </w:r>
      <w:r w:rsidRPr="00DB1AEE">
        <w:rPr>
          <w:szCs w:val="24"/>
          <w:u w:val="single"/>
        </w:rPr>
        <w:tab/>
        <w:t>An automated signal from another control or alarm system that shall turn off receptacles within  15 minutes after determining that the area is unoccupied.</w:t>
      </w:r>
    </w:p>
    <w:p w14:paraId="53ACAAC6" w14:textId="77777777" w:rsidR="00DB1AEE" w:rsidRPr="00DB1AEE" w:rsidRDefault="00DB1AEE" w:rsidP="00DB1AEE">
      <w:pPr>
        <w:autoSpaceDE w:val="0"/>
        <w:autoSpaceDN w:val="0"/>
        <w:adjustRightInd w:val="0"/>
        <w:spacing w:before="60" w:after="60" w:line="220" w:lineRule="atLeast"/>
        <w:ind w:left="1080" w:hanging="360"/>
        <w:rPr>
          <w:szCs w:val="24"/>
          <w:u w:val="single"/>
        </w:rPr>
      </w:pPr>
      <w:r w:rsidRPr="00DB1AEE">
        <w:rPr>
          <w:szCs w:val="24"/>
          <w:u w:val="single"/>
        </w:rPr>
        <w:t>3.</w:t>
      </w:r>
      <w:r w:rsidRPr="00DB1AEE">
        <w:rPr>
          <w:szCs w:val="24"/>
          <w:u w:val="single"/>
        </w:rPr>
        <w:tab/>
        <w:t>All controlled receptacles shall be permanently marked in accordance with NFPA 70 and be uniformly distributed throughout the space.</w:t>
      </w:r>
    </w:p>
    <w:p w14:paraId="2220557C" w14:textId="77777777" w:rsidR="00DB1AEE" w:rsidRPr="00DB1AEE" w:rsidRDefault="00DB1AEE" w:rsidP="00DB1AEE">
      <w:pPr>
        <w:autoSpaceDE w:val="0"/>
        <w:autoSpaceDN w:val="0"/>
        <w:adjustRightInd w:val="0"/>
        <w:spacing w:before="60" w:after="60" w:line="220" w:lineRule="atLeast"/>
        <w:ind w:left="1080" w:hanging="360"/>
        <w:rPr>
          <w:szCs w:val="24"/>
          <w:u w:val="single"/>
        </w:rPr>
      </w:pPr>
      <w:r w:rsidRPr="00DB1AEE">
        <w:rPr>
          <w:szCs w:val="24"/>
          <w:u w:val="single"/>
        </w:rPr>
        <w:t>4.</w:t>
      </w:r>
      <w:r w:rsidRPr="00DB1AEE">
        <w:rPr>
          <w:szCs w:val="24"/>
          <w:u w:val="single"/>
        </w:rPr>
        <w:tab/>
        <w:t>Plug-in devices shall not comply.</w:t>
      </w:r>
    </w:p>
    <w:p w14:paraId="4D7C2A92" w14:textId="77777777" w:rsidR="00DB1AEE" w:rsidRPr="00DB1AEE" w:rsidRDefault="00DB1AEE" w:rsidP="00DB1AEE">
      <w:pPr>
        <w:autoSpaceDE w:val="0"/>
        <w:autoSpaceDN w:val="0"/>
        <w:adjustRightInd w:val="0"/>
        <w:spacing w:before="80" w:after="80" w:line="220" w:lineRule="atLeast"/>
        <w:ind w:left="720"/>
        <w:rPr>
          <w:szCs w:val="24"/>
          <w:u w:val="single"/>
        </w:rPr>
      </w:pPr>
      <w:r w:rsidRPr="00DB1AEE">
        <w:rPr>
          <w:b/>
          <w:bCs/>
          <w:szCs w:val="24"/>
          <w:u w:val="single"/>
        </w:rPr>
        <w:t>Exceptions:</w:t>
      </w:r>
      <w:r w:rsidRPr="00DB1AEE">
        <w:rPr>
          <w:szCs w:val="24"/>
          <w:u w:val="single"/>
        </w:rPr>
        <w:t xml:space="preserve"> Automatic receptacle controls are not required for the following:</w:t>
      </w:r>
    </w:p>
    <w:p w14:paraId="2F7A098B" w14:textId="77777777" w:rsidR="00DB1AEE" w:rsidRPr="00DB1AEE" w:rsidRDefault="00DB1AEE" w:rsidP="00DB1AEE">
      <w:pPr>
        <w:autoSpaceDE w:val="0"/>
        <w:autoSpaceDN w:val="0"/>
        <w:adjustRightInd w:val="0"/>
        <w:spacing w:before="60" w:after="60" w:line="220" w:lineRule="atLeast"/>
        <w:ind w:left="1440" w:hanging="360"/>
        <w:rPr>
          <w:szCs w:val="24"/>
          <w:u w:val="single"/>
        </w:rPr>
      </w:pPr>
      <w:r w:rsidRPr="00DB1AEE">
        <w:rPr>
          <w:szCs w:val="24"/>
          <w:u w:val="single"/>
        </w:rPr>
        <w:t>1.</w:t>
      </w:r>
      <w:r w:rsidRPr="00DB1AEE">
        <w:rPr>
          <w:szCs w:val="24"/>
          <w:u w:val="single"/>
        </w:rPr>
        <w:tab/>
        <w:t>Receptacles specifically designated for equipment requiring continuous operation (24 hours per day, 365 days per year).</w:t>
      </w:r>
    </w:p>
    <w:p w14:paraId="77CCDF8D" w14:textId="77777777" w:rsidR="00DB1AEE" w:rsidRPr="00DB1AEE" w:rsidRDefault="00DB1AEE" w:rsidP="00DB1AEE">
      <w:pPr>
        <w:autoSpaceDE w:val="0"/>
        <w:autoSpaceDN w:val="0"/>
        <w:adjustRightInd w:val="0"/>
        <w:spacing w:before="60" w:after="60" w:line="220" w:lineRule="atLeast"/>
        <w:ind w:left="1440" w:hanging="360"/>
        <w:rPr>
          <w:szCs w:val="24"/>
          <w:u w:val="single"/>
        </w:rPr>
      </w:pPr>
      <w:r w:rsidRPr="00DB1AEE">
        <w:rPr>
          <w:szCs w:val="24"/>
          <w:u w:val="single"/>
        </w:rPr>
        <w:t>2.</w:t>
      </w:r>
      <w:r w:rsidRPr="00DB1AEE">
        <w:rPr>
          <w:szCs w:val="24"/>
          <w:u w:val="single"/>
        </w:rPr>
        <w:tab/>
        <w:t>Spaces where an automatic control would endanger the safety or security of the room or building occupants.</w:t>
      </w:r>
    </w:p>
    <w:p w14:paraId="09A91E0F" w14:textId="77777777" w:rsidR="00DB1AEE" w:rsidRPr="00DB1AEE" w:rsidRDefault="00DB1AEE" w:rsidP="00DB1AEE">
      <w:pPr>
        <w:autoSpaceDE w:val="0"/>
        <w:autoSpaceDN w:val="0"/>
        <w:adjustRightInd w:val="0"/>
        <w:spacing w:before="60" w:after="60" w:line="220" w:lineRule="atLeast"/>
        <w:ind w:left="1440" w:hanging="360"/>
        <w:rPr>
          <w:szCs w:val="24"/>
          <w:u w:val="single"/>
        </w:rPr>
      </w:pPr>
      <w:r w:rsidRPr="00DB1AEE">
        <w:rPr>
          <w:szCs w:val="24"/>
          <w:u w:val="single"/>
        </w:rPr>
        <w:t>3.</w:t>
      </w:r>
      <w:r w:rsidRPr="00DB1AEE">
        <w:rPr>
          <w:szCs w:val="24"/>
          <w:u w:val="single"/>
        </w:rPr>
        <w:tab/>
        <w:t>Within a single modular office workstation, noncontrolled receptacles are permitted to be located more than 12 inches (304.8 mm), but not more than 72 inches (1828 mm) from the controlled receptacles serving that workstation.</w:t>
      </w:r>
    </w:p>
    <w:bookmarkEnd w:id="335"/>
    <w:p w14:paraId="37F2E66A"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Section C405.14 Energy monitoring.</w:t>
      </w:r>
    </w:p>
    <w:p w14:paraId="7C7E367D" w14:textId="77777777" w:rsidR="00DB1AEE" w:rsidRPr="00DB1AEE" w:rsidRDefault="00DB1AEE" w:rsidP="00DB1AEE">
      <w:pPr>
        <w:widowControl w:val="0"/>
        <w:suppressAutoHyphens/>
        <w:spacing w:before="130" w:after="130"/>
        <w:rPr>
          <w:b/>
          <w:bCs/>
          <w:u w:val="single"/>
        </w:rPr>
      </w:pPr>
      <w:r w:rsidRPr="00DB1AEE">
        <w:rPr>
          <w:rFonts w:eastAsia="MS Mincho"/>
          <w:bCs/>
          <w:szCs w:val="24"/>
          <w:u w:val="single"/>
        </w:rPr>
        <w:t>Section C405.14 – Add new Section</w:t>
      </w:r>
      <w:r w:rsidRPr="00DB1AEE">
        <w:t xml:space="preserve"> </w:t>
      </w:r>
      <w:r w:rsidRPr="00DB1AEE">
        <w:rPr>
          <w:rFonts w:eastAsia="MS Mincho"/>
          <w:bCs/>
          <w:szCs w:val="24"/>
          <w:u w:val="single"/>
        </w:rPr>
        <w:t>C405.14,  Section</w:t>
      </w:r>
      <w:r w:rsidRPr="00DB1AEE">
        <w:t xml:space="preserve"> </w:t>
      </w:r>
      <w:r w:rsidRPr="00DB1AEE">
        <w:rPr>
          <w:rFonts w:eastAsia="MS Mincho"/>
          <w:bCs/>
          <w:szCs w:val="24"/>
          <w:u w:val="single"/>
        </w:rPr>
        <w:t>C405.14.1, Section</w:t>
      </w:r>
      <w:r w:rsidRPr="00DB1AEE">
        <w:t xml:space="preserve"> </w:t>
      </w:r>
      <w:r w:rsidRPr="00DB1AEE">
        <w:rPr>
          <w:rFonts w:eastAsia="MS Mincho"/>
          <w:bCs/>
          <w:szCs w:val="24"/>
          <w:u w:val="single"/>
        </w:rPr>
        <w:t>C405.14.2, Table C405.14.2, Section</w:t>
      </w:r>
      <w:r w:rsidRPr="00DB1AEE">
        <w:t xml:space="preserve"> </w:t>
      </w:r>
      <w:r w:rsidRPr="00DB1AEE">
        <w:rPr>
          <w:rFonts w:eastAsia="MS Mincho"/>
          <w:bCs/>
          <w:szCs w:val="24"/>
          <w:u w:val="single"/>
        </w:rPr>
        <w:t>C405.14.3, Section</w:t>
      </w:r>
      <w:r w:rsidRPr="00DB1AEE">
        <w:t xml:space="preserve"> </w:t>
      </w:r>
      <w:r w:rsidRPr="00DB1AEE">
        <w:rPr>
          <w:rFonts w:eastAsia="MS Mincho"/>
          <w:bCs/>
          <w:szCs w:val="24"/>
          <w:u w:val="single"/>
        </w:rPr>
        <w:t>C405.14.4, Section</w:t>
      </w:r>
      <w:r w:rsidRPr="00DB1AEE">
        <w:t xml:space="preserve"> </w:t>
      </w:r>
      <w:r w:rsidRPr="00DB1AEE">
        <w:rPr>
          <w:rFonts w:eastAsia="MS Mincho"/>
          <w:bCs/>
          <w:szCs w:val="24"/>
          <w:u w:val="single"/>
        </w:rPr>
        <w:t>C405.14.5, Section</w:t>
      </w:r>
      <w:r w:rsidRPr="00DB1AEE">
        <w:t xml:space="preserve"> </w:t>
      </w:r>
      <w:r w:rsidRPr="00DB1AEE">
        <w:rPr>
          <w:rFonts w:eastAsia="MS Mincho"/>
          <w:bCs/>
          <w:szCs w:val="24"/>
          <w:u w:val="single"/>
        </w:rPr>
        <w:t>C405.14.6, Section</w:t>
      </w:r>
      <w:r w:rsidRPr="00DB1AEE">
        <w:t xml:space="preserve"> </w:t>
      </w:r>
      <w:r w:rsidRPr="00DB1AEE">
        <w:rPr>
          <w:rFonts w:eastAsia="MS Mincho"/>
          <w:bCs/>
          <w:szCs w:val="24"/>
          <w:u w:val="single"/>
        </w:rPr>
        <w:t>C405.14.7, Section</w:t>
      </w:r>
      <w:r w:rsidRPr="00DB1AEE">
        <w:t xml:space="preserve"> </w:t>
      </w:r>
      <w:r w:rsidRPr="00DB1AEE">
        <w:rPr>
          <w:rFonts w:eastAsia="MS Mincho"/>
          <w:bCs/>
          <w:szCs w:val="24"/>
          <w:u w:val="single"/>
        </w:rPr>
        <w:t>C405.14.8, Table C405.14.8, Section</w:t>
      </w:r>
      <w:r w:rsidRPr="00DB1AEE">
        <w:t xml:space="preserve"> </w:t>
      </w:r>
      <w:r w:rsidRPr="00DB1AEE">
        <w:rPr>
          <w:rFonts w:eastAsia="MS Mincho"/>
          <w:bCs/>
          <w:szCs w:val="24"/>
          <w:u w:val="single"/>
        </w:rPr>
        <w:t>C405.14.9, Section</w:t>
      </w:r>
      <w:r w:rsidRPr="00DB1AEE">
        <w:t xml:space="preserve"> </w:t>
      </w:r>
      <w:r w:rsidRPr="00DB1AEE">
        <w:rPr>
          <w:rFonts w:eastAsia="MS Mincho"/>
          <w:bCs/>
          <w:szCs w:val="24"/>
          <w:u w:val="single"/>
        </w:rPr>
        <w:t>C405.14.10 and Section</w:t>
      </w:r>
      <w:r w:rsidRPr="00DB1AEE">
        <w:t xml:space="preserve"> </w:t>
      </w:r>
      <w:r w:rsidRPr="00DB1AEE">
        <w:rPr>
          <w:rFonts w:eastAsia="MS Mincho"/>
          <w:bCs/>
          <w:szCs w:val="24"/>
          <w:u w:val="single"/>
        </w:rPr>
        <w:t>C405.14.11  to read as follows:</w:t>
      </w:r>
    </w:p>
    <w:p w14:paraId="10FD4C47" w14:textId="77777777" w:rsidR="00DB1AEE" w:rsidRPr="00DB1AEE" w:rsidRDefault="00DB1AEE" w:rsidP="00DB1AEE">
      <w:pPr>
        <w:spacing w:before="130" w:after="130"/>
        <w:jc w:val="left"/>
        <w:rPr>
          <w:b/>
          <w:vanish/>
          <w:w w:val="0"/>
          <w:szCs w:val="24"/>
          <w:specVanish/>
        </w:rPr>
      </w:pPr>
      <w:bookmarkStart w:id="336" w:name="_Hlk189828321"/>
      <w:r w:rsidRPr="00DB1AEE">
        <w:rPr>
          <w:b/>
          <w:w w:val="0"/>
          <w:szCs w:val="24"/>
          <w:u w:val="single"/>
        </w:rPr>
        <w:t>C405.14 Energy monitoring</w:t>
      </w:r>
      <w:r w:rsidRPr="00DB1AEE">
        <w:rPr>
          <w:bCs/>
          <w:w w:val="0"/>
          <w:szCs w:val="24"/>
          <w:u w:val="single"/>
        </w:rPr>
        <w:t>.</w:t>
      </w:r>
      <w:r w:rsidRPr="00DB1AEE">
        <w:rPr>
          <w:b/>
          <w:w w:val="0"/>
          <w:szCs w:val="24"/>
        </w:rPr>
        <w:t xml:space="preserve"> </w:t>
      </w:r>
    </w:p>
    <w:p w14:paraId="606404CD" w14:textId="77777777" w:rsidR="00DB1AEE" w:rsidRPr="00DB1AEE" w:rsidRDefault="00DB1AEE" w:rsidP="00DB1AEE">
      <w:pPr>
        <w:suppressAutoHyphens/>
        <w:jc w:val="left"/>
        <w:rPr>
          <w:szCs w:val="24"/>
          <w:u w:val="single"/>
        </w:rPr>
      </w:pPr>
      <w:r w:rsidRPr="00DB1AEE">
        <w:rPr>
          <w:strike/>
          <w:szCs w:val="24"/>
        </w:rPr>
        <w:t xml:space="preserve"> </w:t>
      </w:r>
      <w:r w:rsidRPr="00DB1AEE">
        <w:rPr>
          <w:szCs w:val="24"/>
          <w:u w:val="single"/>
        </w:rPr>
        <w:t xml:space="preserve">New buildings with a gross </w:t>
      </w:r>
      <w:r w:rsidRPr="00DB1AEE">
        <w:rPr>
          <w:i/>
          <w:iCs/>
          <w:szCs w:val="24"/>
          <w:u w:val="single"/>
        </w:rPr>
        <w:t>conditioned floor area</w:t>
      </w:r>
      <w:r w:rsidRPr="00DB1AEE">
        <w:rPr>
          <w:szCs w:val="24"/>
          <w:u w:val="single"/>
        </w:rPr>
        <w:t xml:space="preserve"> of</w:t>
      </w:r>
      <w:r w:rsidRPr="00DB1AEE">
        <w:rPr>
          <w:szCs w:val="24"/>
        </w:rPr>
        <w:t xml:space="preserve"> </w:t>
      </w:r>
      <w:r w:rsidRPr="00DB1AEE">
        <w:rPr>
          <w:szCs w:val="24"/>
          <w:u w:val="single"/>
        </w:rPr>
        <w:t>10,000</w:t>
      </w:r>
      <w:r w:rsidRPr="00DB1AEE">
        <w:rPr>
          <w:szCs w:val="24"/>
        </w:rPr>
        <w:t xml:space="preserve"> </w:t>
      </w:r>
      <w:r w:rsidRPr="00DB1AEE">
        <w:rPr>
          <w:szCs w:val="24"/>
          <w:u w:val="single"/>
        </w:rPr>
        <w:t>square feet</w:t>
      </w:r>
      <w:r w:rsidRPr="00DB1AEE">
        <w:rPr>
          <w:szCs w:val="24"/>
        </w:rPr>
        <w:t xml:space="preserve"> (</w:t>
      </w:r>
      <w:r w:rsidRPr="00DB1AEE">
        <w:rPr>
          <w:szCs w:val="24"/>
          <w:u w:val="single"/>
        </w:rPr>
        <w:t>929</w:t>
      </w:r>
      <w:r w:rsidRPr="00DB1AEE">
        <w:rPr>
          <w:szCs w:val="24"/>
        </w:rPr>
        <w:t xml:space="preserve"> </w:t>
      </w:r>
      <w:r w:rsidRPr="00DB1AEE">
        <w:rPr>
          <w:szCs w:val="24"/>
          <w:u w:val="single"/>
        </w:rPr>
        <w:t>m</w:t>
      </w:r>
      <w:r w:rsidRPr="00DB1AEE">
        <w:rPr>
          <w:szCs w:val="24"/>
          <w:u w:val="single"/>
          <w:vertAlign w:val="superscript"/>
        </w:rPr>
        <w:t>2</w:t>
      </w:r>
      <w:r w:rsidRPr="00DB1AEE">
        <w:rPr>
          <w:szCs w:val="24"/>
          <w:u w:val="single"/>
        </w:rPr>
        <w:t>) or larger</w:t>
      </w:r>
      <w:r w:rsidRPr="00DB1AEE">
        <w:rPr>
          <w:strike/>
          <w:szCs w:val="24"/>
        </w:rPr>
        <w:t xml:space="preserve"> </w:t>
      </w:r>
      <w:r w:rsidRPr="00DB1AEE">
        <w:rPr>
          <w:szCs w:val="24"/>
          <w:u w:val="single"/>
        </w:rPr>
        <w:t>shall be equipped to measure, monitor, record and report energy consumption in accordance with Sections C405.14.1 through C405.14.6</w:t>
      </w:r>
      <w:r w:rsidRPr="00DB1AEE">
        <w:rPr>
          <w:szCs w:val="24"/>
        </w:rPr>
        <w:t xml:space="preserve"> </w:t>
      </w:r>
      <w:r w:rsidRPr="00DB1AEE">
        <w:rPr>
          <w:szCs w:val="24"/>
          <w:u w:val="single"/>
        </w:rPr>
        <w:t>for load categories indicated in Table C405.14.2 and Sections C405.14.7 through C405.14.11 for end-use categories indicated in Table C405.14.8.</w:t>
      </w:r>
    </w:p>
    <w:p w14:paraId="78191179" w14:textId="77777777" w:rsidR="00DB1AEE" w:rsidRPr="00DB1AEE" w:rsidRDefault="00DB1AEE" w:rsidP="00DB1AEE">
      <w:pPr>
        <w:autoSpaceDE w:val="0"/>
        <w:autoSpaceDN w:val="0"/>
        <w:adjustRightInd w:val="0"/>
        <w:spacing w:before="80" w:after="80" w:line="220" w:lineRule="atLeast"/>
        <w:ind w:left="360"/>
        <w:rPr>
          <w:szCs w:val="24"/>
        </w:rPr>
      </w:pPr>
      <w:r w:rsidRPr="00DB1AEE">
        <w:rPr>
          <w:b/>
          <w:bCs/>
          <w:szCs w:val="24"/>
          <w:u w:val="single"/>
        </w:rPr>
        <w:t>Exception</w:t>
      </w:r>
      <w:r w:rsidRPr="00DB1AEE">
        <w:rPr>
          <w:rFonts w:eastAsia="Aptos"/>
          <w:b/>
          <w:bCs/>
          <w:w w:val="0"/>
          <w:szCs w:val="24"/>
          <w:u w:val="single"/>
        </w:rPr>
        <w:t>s</w:t>
      </w:r>
      <w:r w:rsidRPr="00DB1AEE">
        <w:rPr>
          <w:b/>
          <w:bCs/>
          <w:szCs w:val="24"/>
        </w:rPr>
        <w:t>:</w:t>
      </w:r>
      <w:r w:rsidRPr="00DB1AEE">
        <w:rPr>
          <w:szCs w:val="24"/>
        </w:rPr>
        <w:t xml:space="preserve"> </w:t>
      </w:r>
    </w:p>
    <w:p w14:paraId="74C04976" w14:textId="77777777" w:rsidR="00DB1AEE" w:rsidRPr="00DB1AEE" w:rsidRDefault="00DB1AEE" w:rsidP="00DB1AEE">
      <w:pPr>
        <w:suppressAutoHyphens/>
        <w:ind w:left="1440" w:hanging="360"/>
        <w:jc w:val="left"/>
        <w:rPr>
          <w:szCs w:val="24"/>
          <w:u w:val="single"/>
        </w:rPr>
      </w:pPr>
      <w:r w:rsidRPr="00DB1AEE">
        <w:rPr>
          <w:szCs w:val="24"/>
          <w:u w:val="single"/>
        </w:rPr>
        <w:t>1.</w:t>
      </w:r>
      <w:r w:rsidRPr="00DB1AEE">
        <w:rPr>
          <w:szCs w:val="24"/>
          <w:u w:val="single"/>
        </w:rPr>
        <w:tab/>
        <w:t>Dwelling units in R-2 occupancies.</w:t>
      </w:r>
    </w:p>
    <w:p w14:paraId="0FCF3379" w14:textId="77777777" w:rsidR="00DB1AEE" w:rsidRPr="00DB1AEE" w:rsidRDefault="00DB1AEE" w:rsidP="00DB1AEE">
      <w:pPr>
        <w:suppressAutoHyphens/>
        <w:ind w:left="1440" w:hanging="360"/>
        <w:jc w:val="left"/>
        <w:rPr>
          <w:szCs w:val="24"/>
          <w:u w:val="single"/>
        </w:rPr>
      </w:pPr>
      <w:r w:rsidRPr="00DB1AEE">
        <w:rPr>
          <w:szCs w:val="24"/>
          <w:u w:val="single"/>
        </w:rPr>
        <w:t>2. Individual tenant spaces are not required to comply with this section provided that the space has its own utility services and meters and has less than 5,000 square feet (464.5 m</w:t>
      </w:r>
      <w:r w:rsidRPr="00DB1AEE">
        <w:rPr>
          <w:szCs w:val="24"/>
          <w:u w:val="single"/>
          <w:vertAlign w:val="superscript"/>
        </w:rPr>
        <w:t>2</w:t>
      </w:r>
      <w:r w:rsidRPr="00DB1AEE">
        <w:rPr>
          <w:szCs w:val="24"/>
          <w:u w:val="single"/>
        </w:rPr>
        <w:t>) of conditioned floor area.</w:t>
      </w:r>
    </w:p>
    <w:p w14:paraId="1AF66953" w14:textId="77777777" w:rsidR="00DB1AEE" w:rsidRPr="00DB1AEE" w:rsidRDefault="00DB1AEE" w:rsidP="00DB1AEE">
      <w:pPr>
        <w:spacing w:before="130" w:after="130"/>
        <w:ind w:left="432"/>
        <w:jc w:val="left"/>
        <w:rPr>
          <w:bCs/>
          <w:vanish/>
          <w:spacing w:val="4"/>
          <w:szCs w:val="24"/>
          <w:specVanish/>
        </w:rPr>
      </w:pPr>
      <w:bookmarkStart w:id="337" w:name="_Hlk189828739"/>
      <w:bookmarkEnd w:id="336"/>
      <w:r w:rsidRPr="00DB1AEE">
        <w:rPr>
          <w:b/>
          <w:spacing w:val="4"/>
          <w:szCs w:val="24"/>
          <w:u w:val="single"/>
        </w:rPr>
        <w:t>C405.14.1 Electrical energy metering</w:t>
      </w:r>
      <w:r w:rsidRPr="00DB1AEE">
        <w:rPr>
          <w:bCs/>
          <w:spacing w:val="4"/>
          <w:szCs w:val="24"/>
        </w:rPr>
        <w:t>.</w:t>
      </w:r>
      <w:r w:rsidRPr="00DB1AEE">
        <w:rPr>
          <w:spacing w:val="4"/>
          <w:szCs w:val="24"/>
        </w:rPr>
        <w:t xml:space="preserve"> </w:t>
      </w:r>
    </w:p>
    <w:p w14:paraId="7A3349C0" w14:textId="77777777" w:rsidR="00DB1AEE" w:rsidRPr="00DB1AEE" w:rsidRDefault="00DB1AEE" w:rsidP="00DB1AEE">
      <w:pPr>
        <w:suppressAutoHyphens/>
        <w:autoSpaceDE w:val="0"/>
        <w:autoSpaceDN w:val="0"/>
        <w:adjustRightInd w:val="0"/>
        <w:spacing w:line="220" w:lineRule="atLeast"/>
        <w:ind w:left="360"/>
        <w:jc w:val="left"/>
        <w:rPr>
          <w:szCs w:val="24"/>
          <w:u w:val="single"/>
        </w:rPr>
      </w:pPr>
      <w:r w:rsidRPr="00DB1AEE">
        <w:rPr>
          <w:szCs w:val="24"/>
        </w:rPr>
        <w:t xml:space="preserve"> </w:t>
      </w:r>
    </w:p>
    <w:p w14:paraId="1CA13839" w14:textId="77777777" w:rsidR="00DB1AEE" w:rsidRPr="00DB1AEE" w:rsidRDefault="00DB1AEE" w:rsidP="00DB1AEE">
      <w:pPr>
        <w:suppressAutoHyphens/>
        <w:autoSpaceDE w:val="0"/>
        <w:autoSpaceDN w:val="0"/>
        <w:adjustRightInd w:val="0"/>
        <w:spacing w:line="220" w:lineRule="atLeast"/>
        <w:ind w:left="360"/>
        <w:jc w:val="left"/>
        <w:rPr>
          <w:szCs w:val="24"/>
          <w:u w:val="single"/>
        </w:rPr>
      </w:pPr>
      <w:r w:rsidRPr="00DB1AEE">
        <w:rPr>
          <w:szCs w:val="24"/>
          <w:u w:val="single"/>
        </w:rPr>
        <w:t>and its associated site, including but not limited to site lighting, parking, recreational facilities and other areas that serve the building and its occupants, meters or other measurement devices shall be provided to collect energy consumption data for each end-use category required by Section C405.14.2.</w:t>
      </w:r>
    </w:p>
    <w:p w14:paraId="6FF6A4B7" w14:textId="77777777" w:rsidR="00DB1AEE" w:rsidRPr="00DB1AEE" w:rsidRDefault="00DB1AEE" w:rsidP="00DB1AEE">
      <w:pPr>
        <w:spacing w:before="130" w:after="130"/>
        <w:ind w:left="432"/>
        <w:jc w:val="left"/>
        <w:rPr>
          <w:b/>
          <w:vanish/>
          <w:spacing w:val="4"/>
          <w:szCs w:val="24"/>
        </w:rPr>
      </w:pPr>
      <w:bookmarkStart w:id="338" w:name="_Hlk189830518"/>
      <w:bookmarkEnd w:id="337"/>
      <w:r w:rsidRPr="00DB1AEE">
        <w:rPr>
          <w:b/>
          <w:spacing w:val="4"/>
          <w:szCs w:val="24"/>
          <w:u w:val="single"/>
        </w:rPr>
        <w:t>C405.14.2 End-use electric metering categories</w:t>
      </w:r>
      <w:r w:rsidRPr="00DB1AEE">
        <w:rPr>
          <w:bCs/>
          <w:spacing w:val="4"/>
          <w:szCs w:val="24"/>
          <w:u w:val="single"/>
        </w:rPr>
        <w:t>.</w:t>
      </w:r>
      <w:r w:rsidRPr="00DB1AEE">
        <w:rPr>
          <w:b/>
          <w:spacing w:val="4"/>
          <w:szCs w:val="24"/>
        </w:rPr>
        <w:t xml:space="preserve"> </w:t>
      </w:r>
    </w:p>
    <w:p w14:paraId="641A01A8" w14:textId="77777777" w:rsidR="00DB1AEE" w:rsidRPr="00DB1AEE" w:rsidRDefault="00DB1AEE" w:rsidP="00DB1AEE">
      <w:pPr>
        <w:suppressAutoHyphens/>
        <w:autoSpaceDE w:val="0"/>
        <w:autoSpaceDN w:val="0"/>
        <w:adjustRightInd w:val="0"/>
        <w:spacing w:line="220" w:lineRule="atLeast"/>
        <w:ind w:left="360"/>
        <w:jc w:val="left"/>
        <w:rPr>
          <w:szCs w:val="24"/>
          <w:u w:val="single"/>
        </w:rPr>
      </w:pPr>
      <w:r w:rsidRPr="00DB1AEE">
        <w:rPr>
          <w:szCs w:val="24"/>
          <w:u w:val="single"/>
        </w:rPr>
        <w:t xml:space="preserve"> Meters or other </w:t>
      </w:r>
      <w:r w:rsidRPr="00DB1AEE">
        <w:rPr>
          <w:i/>
          <w:iCs/>
          <w:szCs w:val="24"/>
          <w:u w:val="single"/>
        </w:rPr>
        <w:t>approved</w:t>
      </w:r>
      <w:r w:rsidRPr="00DB1AEE">
        <w:rPr>
          <w:szCs w:val="24"/>
          <w:u w:val="single"/>
        </w:rPr>
        <w:t xml:space="preserve"> measurement devices shall be provided to collect energy use data for each end-use category indicated in Table C405.14.2. Where multiple meters are used to measure any end-use category, the data acquisition system shall total all of the energy used by that category. Not more than 5 percent of the design load for each of the end-use categories indicated in Table C405.14.2 shall be permitted to be from a load that is not within that category.</w:t>
      </w:r>
    </w:p>
    <w:p w14:paraId="54BE6990" w14:textId="77777777" w:rsidR="00DB1AEE" w:rsidRPr="00DB1AEE" w:rsidRDefault="00DB1AEE" w:rsidP="00DB1AEE">
      <w:pPr>
        <w:autoSpaceDE w:val="0"/>
        <w:autoSpaceDN w:val="0"/>
        <w:adjustRightInd w:val="0"/>
        <w:spacing w:before="80" w:after="80" w:line="220" w:lineRule="atLeast"/>
        <w:ind w:left="720"/>
        <w:rPr>
          <w:b/>
          <w:bCs/>
          <w:szCs w:val="24"/>
          <w:u w:val="single"/>
        </w:rPr>
      </w:pPr>
      <w:r w:rsidRPr="00DB1AEE">
        <w:rPr>
          <w:b/>
          <w:bCs/>
          <w:szCs w:val="24"/>
          <w:u w:val="single"/>
        </w:rPr>
        <w:t>Exceptions:</w:t>
      </w:r>
    </w:p>
    <w:p w14:paraId="27E4A9DB" w14:textId="77777777" w:rsidR="00DB1AEE" w:rsidRPr="00DB1AEE" w:rsidRDefault="00DB1AEE" w:rsidP="00DB1AEE">
      <w:pPr>
        <w:autoSpaceDE w:val="0"/>
        <w:autoSpaceDN w:val="0"/>
        <w:adjustRightInd w:val="0"/>
        <w:spacing w:before="60" w:after="60" w:line="220" w:lineRule="atLeast"/>
        <w:ind w:left="1440" w:hanging="360"/>
        <w:rPr>
          <w:szCs w:val="24"/>
          <w:u w:val="single"/>
        </w:rPr>
      </w:pPr>
      <w:r w:rsidRPr="00DB1AEE">
        <w:rPr>
          <w:szCs w:val="24"/>
          <w:u w:val="single"/>
        </w:rPr>
        <w:t>1.</w:t>
      </w:r>
      <w:r w:rsidRPr="00DB1AEE">
        <w:rPr>
          <w:szCs w:val="24"/>
          <w:u w:val="single"/>
        </w:rPr>
        <w:tab/>
        <w:t>HVAC and water heating equipment serving only an individual dwelling unit shall not require end-use metering.</w:t>
      </w:r>
    </w:p>
    <w:p w14:paraId="0A5509A8" w14:textId="77777777" w:rsidR="00DB1AEE" w:rsidRPr="00DB1AEE" w:rsidRDefault="00DB1AEE" w:rsidP="00DB1AEE">
      <w:pPr>
        <w:autoSpaceDE w:val="0"/>
        <w:autoSpaceDN w:val="0"/>
        <w:adjustRightInd w:val="0"/>
        <w:spacing w:before="60" w:after="60" w:line="220" w:lineRule="atLeast"/>
        <w:ind w:left="1440" w:hanging="360"/>
        <w:rPr>
          <w:szCs w:val="24"/>
          <w:u w:val="single"/>
        </w:rPr>
      </w:pPr>
      <w:r w:rsidRPr="00DB1AEE">
        <w:rPr>
          <w:szCs w:val="24"/>
          <w:u w:val="single"/>
        </w:rPr>
        <w:t>2.</w:t>
      </w:r>
      <w:r w:rsidRPr="00DB1AEE">
        <w:rPr>
          <w:szCs w:val="24"/>
          <w:u w:val="single"/>
        </w:rPr>
        <w:tab/>
        <w:t>End-use metering shall not be required for fire pumps, stairwell pressurization fans or any system that operates only during testing or emergency.</w:t>
      </w:r>
    </w:p>
    <w:p w14:paraId="7B60365D" w14:textId="77777777" w:rsidR="00DB1AEE" w:rsidRPr="00DB1AEE" w:rsidRDefault="00DB1AEE" w:rsidP="00DB1AEE">
      <w:pPr>
        <w:autoSpaceDE w:val="0"/>
        <w:autoSpaceDN w:val="0"/>
        <w:adjustRightInd w:val="0"/>
        <w:spacing w:before="60" w:after="60" w:line="220" w:lineRule="atLeast"/>
        <w:ind w:left="1440" w:hanging="360"/>
        <w:rPr>
          <w:szCs w:val="24"/>
          <w:u w:val="single"/>
        </w:rPr>
      </w:pPr>
      <w:r w:rsidRPr="00DB1AEE">
        <w:rPr>
          <w:szCs w:val="24"/>
          <w:u w:val="single"/>
        </w:rPr>
        <w:t>3.</w:t>
      </w:r>
      <w:r w:rsidRPr="00DB1AEE">
        <w:rPr>
          <w:szCs w:val="24"/>
          <w:u w:val="single"/>
        </w:rPr>
        <w:tab/>
        <w:t>End-use metering shall not be required for an individual tenant space having a floor area not greater than 2,500 square feet (232 m</w:t>
      </w:r>
      <w:r w:rsidRPr="00DB1AEE">
        <w:rPr>
          <w:szCs w:val="24"/>
          <w:u w:val="single"/>
          <w:vertAlign w:val="superscript"/>
        </w:rPr>
        <w:t>2</w:t>
      </w:r>
      <w:r w:rsidRPr="00DB1AEE">
        <w:rPr>
          <w:szCs w:val="24"/>
          <w:u w:val="single"/>
        </w:rPr>
        <w:t>) where a dedicated source meter complying with Section C405.14.3 is provided.</w:t>
      </w:r>
    </w:p>
    <w:p w14:paraId="351280CD" w14:textId="77777777" w:rsidR="00DB1AEE" w:rsidRPr="00DB1AEE" w:rsidRDefault="00DB1AEE" w:rsidP="00DB1AEE">
      <w:pPr>
        <w:keepNext/>
        <w:suppressAutoHyphens/>
        <w:autoSpaceDE w:val="0"/>
        <w:autoSpaceDN w:val="0"/>
        <w:adjustRightInd w:val="0"/>
        <w:spacing w:before="200" w:line="180" w:lineRule="atLeast"/>
        <w:jc w:val="center"/>
        <w:rPr>
          <w:b/>
          <w:bCs/>
          <w:szCs w:val="24"/>
          <w:u w:val="single"/>
        </w:rPr>
      </w:pPr>
      <w:bookmarkStart w:id="339" w:name="_Hlk190086285"/>
      <w:bookmarkEnd w:id="338"/>
      <w:r w:rsidRPr="00DB1AEE">
        <w:rPr>
          <w:b/>
          <w:bCs/>
          <w:szCs w:val="24"/>
          <w:u w:val="single"/>
        </w:rPr>
        <w:t>TABLE C405.14.2</w:t>
      </w:r>
    </w:p>
    <w:p w14:paraId="21E40B6C" w14:textId="77777777" w:rsidR="00DB1AEE" w:rsidRPr="00DB1AEE" w:rsidRDefault="00DB1AEE" w:rsidP="00DB1AEE">
      <w:pPr>
        <w:suppressAutoHyphens/>
        <w:autoSpaceDE w:val="0"/>
        <w:autoSpaceDN w:val="0"/>
        <w:adjustRightInd w:val="0"/>
        <w:spacing w:before="80" w:after="20" w:line="180" w:lineRule="atLeast"/>
        <w:jc w:val="center"/>
        <w:rPr>
          <w:b/>
          <w:bCs/>
          <w:szCs w:val="24"/>
          <w:u w:val="single"/>
        </w:rPr>
      </w:pPr>
      <w:r w:rsidRPr="00DB1AEE">
        <w:rPr>
          <w:b/>
          <w:bCs/>
          <w:szCs w:val="24"/>
          <w:u w:val="single"/>
        </w:rPr>
        <w:t>ELECTRICAL ENERGY USE CATEGORIES</w:t>
      </w:r>
    </w:p>
    <w:tbl>
      <w:tblPr>
        <w:tblW w:w="9280" w:type="dxa"/>
        <w:jc w:val="right"/>
        <w:tblLayout w:type="fixed"/>
        <w:tblCellMar>
          <w:top w:w="60" w:type="dxa"/>
          <w:left w:w="40" w:type="dxa"/>
          <w:bottom w:w="40" w:type="dxa"/>
          <w:right w:w="40" w:type="dxa"/>
        </w:tblCellMar>
        <w:tblLook w:val="0000" w:firstRow="0" w:lastRow="0" w:firstColumn="0" w:lastColumn="0" w:noHBand="0" w:noVBand="0"/>
      </w:tblPr>
      <w:tblGrid>
        <w:gridCol w:w="1800"/>
        <w:gridCol w:w="7480"/>
      </w:tblGrid>
      <w:tr w:rsidR="00DB1AEE" w:rsidRPr="00DB1AEE" w14:paraId="56734482" w14:textId="77777777" w:rsidTr="00FC1832">
        <w:trPr>
          <w:trHeight w:val="380"/>
          <w:jc w:val="right"/>
        </w:trPr>
        <w:tc>
          <w:tcPr>
            <w:tcW w:w="1800" w:type="dxa"/>
            <w:tcBorders>
              <w:top w:val="single" w:sz="4" w:space="0" w:color="000000"/>
              <w:left w:val="single" w:sz="4" w:space="0" w:color="000000"/>
              <w:bottom w:val="single" w:sz="4" w:space="0" w:color="000000"/>
              <w:right w:val="single" w:sz="4" w:space="0" w:color="000000"/>
            </w:tcBorders>
            <w:tcMar>
              <w:top w:w="60" w:type="dxa"/>
              <w:left w:w="40" w:type="dxa"/>
              <w:bottom w:w="40" w:type="dxa"/>
              <w:right w:w="40" w:type="dxa"/>
            </w:tcMar>
            <w:vAlign w:val="center"/>
          </w:tcPr>
          <w:p w14:paraId="4496E4A2" w14:textId="77777777" w:rsidR="00DB1AEE" w:rsidRPr="00DB1AEE" w:rsidRDefault="00DB1AEE" w:rsidP="00DB1AEE">
            <w:pPr>
              <w:suppressAutoHyphens/>
              <w:autoSpaceDE w:val="0"/>
              <w:autoSpaceDN w:val="0"/>
              <w:adjustRightInd w:val="0"/>
              <w:spacing w:line="160" w:lineRule="atLeast"/>
              <w:jc w:val="center"/>
              <w:rPr>
                <w:b/>
                <w:bCs/>
                <w:w w:val="0"/>
                <w:szCs w:val="24"/>
                <w:u w:val="single"/>
              </w:rPr>
            </w:pPr>
            <w:r w:rsidRPr="00DB1AEE">
              <w:rPr>
                <w:b/>
                <w:bCs/>
                <w:szCs w:val="24"/>
                <w:u w:val="single"/>
              </w:rPr>
              <w:t>LOAD CATEGORY</w:t>
            </w:r>
          </w:p>
        </w:tc>
        <w:tc>
          <w:tcPr>
            <w:tcW w:w="7480" w:type="dxa"/>
            <w:tcBorders>
              <w:top w:val="single" w:sz="4" w:space="0" w:color="000000"/>
              <w:left w:val="single" w:sz="4" w:space="0" w:color="000000"/>
              <w:bottom w:val="single" w:sz="4" w:space="0" w:color="000000"/>
              <w:right w:val="single" w:sz="4" w:space="0" w:color="000000"/>
            </w:tcBorders>
            <w:tcMar>
              <w:top w:w="60" w:type="dxa"/>
              <w:left w:w="40" w:type="dxa"/>
              <w:bottom w:w="40" w:type="dxa"/>
              <w:right w:w="40" w:type="dxa"/>
            </w:tcMar>
            <w:vAlign w:val="center"/>
          </w:tcPr>
          <w:p w14:paraId="6BCDEFBE" w14:textId="77777777" w:rsidR="00DB1AEE" w:rsidRPr="00DB1AEE" w:rsidRDefault="00DB1AEE" w:rsidP="00DB1AEE">
            <w:pPr>
              <w:suppressAutoHyphens/>
              <w:autoSpaceDE w:val="0"/>
              <w:autoSpaceDN w:val="0"/>
              <w:adjustRightInd w:val="0"/>
              <w:spacing w:line="160" w:lineRule="atLeast"/>
              <w:jc w:val="center"/>
              <w:rPr>
                <w:b/>
                <w:bCs/>
                <w:w w:val="0"/>
                <w:szCs w:val="24"/>
                <w:u w:val="single"/>
              </w:rPr>
            </w:pPr>
            <w:r w:rsidRPr="00DB1AEE">
              <w:rPr>
                <w:b/>
                <w:bCs/>
                <w:szCs w:val="24"/>
                <w:u w:val="single"/>
              </w:rPr>
              <w:t>DESCRIPTION OF ENERGY USE</w:t>
            </w:r>
          </w:p>
        </w:tc>
      </w:tr>
      <w:tr w:rsidR="00DB1AEE" w:rsidRPr="00DB1AEE" w14:paraId="5214C3D9" w14:textId="77777777" w:rsidTr="00FC1832">
        <w:trPr>
          <w:trHeight w:val="1480"/>
          <w:jc w:val="right"/>
        </w:trPr>
        <w:tc>
          <w:tcPr>
            <w:tcW w:w="18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F180C11"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rPr>
              <w:t>Total HVAC system</w:t>
            </w:r>
          </w:p>
        </w:tc>
        <w:tc>
          <w:tcPr>
            <w:tcW w:w="748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8939DAC"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rPr>
              <w:t>Heating, cooling and ventilation, including but not limited to fans, pumps, boilers, chillers and water heating. Energy used by 120-volt equipment, or by 208/120-volt equipment that is located in a building where the main service is 480/277-volt power, is permitted to be excluded from total HVAC system energy use.</w:t>
            </w:r>
          </w:p>
        </w:tc>
      </w:tr>
      <w:tr w:rsidR="00DB1AEE" w:rsidRPr="00DB1AEE" w14:paraId="0613B3E5" w14:textId="77777777" w:rsidTr="00FC1832">
        <w:trPr>
          <w:trHeight w:val="480"/>
          <w:jc w:val="right"/>
        </w:trPr>
        <w:tc>
          <w:tcPr>
            <w:tcW w:w="18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1AA391F"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rPr>
              <w:t>Interior lighting</w:t>
            </w:r>
          </w:p>
        </w:tc>
        <w:tc>
          <w:tcPr>
            <w:tcW w:w="748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A5E1334"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rPr>
              <w:t>Lighting systems located within the building.</w:t>
            </w:r>
          </w:p>
        </w:tc>
      </w:tr>
      <w:tr w:rsidR="00DB1AEE" w:rsidRPr="00DB1AEE" w14:paraId="554417FD" w14:textId="77777777" w:rsidTr="00FC1832">
        <w:trPr>
          <w:trHeight w:val="480"/>
          <w:jc w:val="right"/>
        </w:trPr>
        <w:tc>
          <w:tcPr>
            <w:tcW w:w="18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CE91CE7"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rPr>
              <w:t>Exterior lighting</w:t>
            </w:r>
          </w:p>
        </w:tc>
        <w:tc>
          <w:tcPr>
            <w:tcW w:w="748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606930C"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rPr>
              <w:t>Lighting systems located on the building site but not within the building.</w:t>
            </w:r>
          </w:p>
        </w:tc>
      </w:tr>
      <w:tr w:rsidR="00DB1AEE" w:rsidRPr="00DB1AEE" w14:paraId="4AC772CB" w14:textId="77777777" w:rsidTr="00FC1832">
        <w:trPr>
          <w:trHeight w:val="480"/>
          <w:jc w:val="right"/>
        </w:trPr>
        <w:tc>
          <w:tcPr>
            <w:tcW w:w="18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0591C94"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rPr>
              <w:t>Plug loads</w:t>
            </w:r>
          </w:p>
        </w:tc>
        <w:tc>
          <w:tcPr>
            <w:tcW w:w="748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5AA212C"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rPr>
              <w:t>Devices, appliances and equipment connected to convenience receptacle outlets.</w:t>
            </w:r>
          </w:p>
        </w:tc>
      </w:tr>
      <w:tr w:rsidR="00DB1AEE" w:rsidRPr="00DB1AEE" w14:paraId="055CD879" w14:textId="77777777" w:rsidTr="00FC1832">
        <w:trPr>
          <w:trHeight w:val="1280"/>
          <w:jc w:val="right"/>
        </w:trPr>
        <w:tc>
          <w:tcPr>
            <w:tcW w:w="18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08BBF78"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rPr>
              <w:t>Process load</w:t>
            </w:r>
          </w:p>
        </w:tc>
        <w:tc>
          <w:tcPr>
            <w:tcW w:w="748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C3D43BF"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rPr>
              <w:t>Any single load that is not included in an HVAC, lighting or plug load category and that exceeds 5 percent of the peak connected load of the whole building, including but not limited to data centers, manufacturing equipment and commercial kitchens.</w:t>
            </w:r>
          </w:p>
        </w:tc>
      </w:tr>
      <w:tr w:rsidR="00DB1AEE" w:rsidRPr="00DB1AEE" w14:paraId="24897CEE" w14:textId="77777777" w:rsidTr="00FC1832">
        <w:trPr>
          <w:trHeight w:val="1280"/>
          <w:jc w:val="right"/>
        </w:trPr>
        <w:tc>
          <w:tcPr>
            <w:tcW w:w="1800" w:type="dxa"/>
            <w:tcBorders>
              <w:top w:val="nil"/>
              <w:left w:val="single" w:sz="4" w:space="0" w:color="000000"/>
              <w:bottom w:val="single" w:sz="4" w:space="0" w:color="auto"/>
              <w:right w:val="single" w:sz="4" w:space="0" w:color="000000"/>
            </w:tcBorders>
            <w:tcMar>
              <w:top w:w="60" w:type="dxa"/>
              <w:left w:w="40" w:type="dxa"/>
              <w:bottom w:w="40" w:type="dxa"/>
              <w:right w:w="40" w:type="dxa"/>
            </w:tcMar>
            <w:vAlign w:val="center"/>
          </w:tcPr>
          <w:p w14:paraId="55E94497"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rPr>
              <w:t xml:space="preserve">Building </w:t>
            </w:r>
            <w:r w:rsidRPr="00DB1AEE">
              <w:rPr>
                <w:szCs w:val="24"/>
                <w:u w:val="single"/>
              </w:rPr>
              <w:br/>
              <w:t xml:space="preserve">operations and other </w:t>
            </w:r>
            <w:r w:rsidRPr="00DB1AEE">
              <w:rPr>
                <w:szCs w:val="24"/>
                <w:u w:val="single"/>
              </w:rPr>
              <w:br/>
              <w:t>miscellaneous loads</w:t>
            </w:r>
          </w:p>
        </w:tc>
        <w:tc>
          <w:tcPr>
            <w:tcW w:w="7480" w:type="dxa"/>
            <w:tcBorders>
              <w:top w:val="nil"/>
              <w:left w:val="single" w:sz="4" w:space="0" w:color="000000"/>
              <w:bottom w:val="single" w:sz="4" w:space="0" w:color="auto"/>
              <w:right w:val="single" w:sz="4" w:space="0" w:color="000000"/>
            </w:tcBorders>
            <w:tcMar>
              <w:top w:w="60" w:type="dxa"/>
              <w:left w:w="40" w:type="dxa"/>
              <w:bottom w:w="40" w:type="dxa"/>
              <w:right w:w="40" w:type="dxa"/>
            </w:tcMar>
            <w:vAlign w:val="center"/>
          </w:tcPr>
          <w:p w14:paraId="70F93C41" w14:textId="77777777" w:rsidR="00DB1AEE" w:rsidRPr="00DB1AEE" w:rsidRDefault="00DB1AEE" w:rsidP="00DB1AEE">
            <w:pPr>
              <w:autoSpaceDE w:val="0"/>
              <w:autoSpaceDN w:val="0"/>
              <w:adjustRightInd w:val="0"/>
              <w:spacing w:before="20" w:after="20" w:line="200" w:lineRule="atLeast"/>
              <w:jc w:val="left"/>
              <w:rPr>
                <w:w w:val="0"/>
                <w:szCs w:val="24"/>
                <w:u w:val="single"/>
              </w:rPr>
            </w:pPr>
            <w:r w:rsidRPr="00DB1AEE">
              <w:rPr>
                <w:szCs w:val="24"/>
                <w:u w:val="single"/>
              </w:rPr>
              <w:t>The remaining loads not included elsewhere in this table, including but not limited to vertical transportation systems, automatic doors, motorized shading systems, ornamental fountains, fireplaces, swimming pools, spas and snow-melt systems.</w:t>
            </w:r>
          </w:p>
        </w:tc>
      </w:tr>
      <w:tr w:rsidR="00DB1AEE" w:rsidRPr="00DB1AEE" w14:paraId="01853BC2" w14:textId="77777777" w:rsidTr="00FC1832">
        <w:trPr>
          <w:trHeight w:val="1280"/>
          <w:jc w:val="right"/>
        </w:trPr>
        <w:tc>
          <w:tcPr>
            <w:tcW w:w="1800" w:type="dxa"/>
            <w:tcBorders>
              <w:top w:val="single" w:sz="4" w:space="0" w:color="auto"/>
              <w:left w:val="single" w:sz="4" w:space="0" w:color="auto"/>
              <w:bottom w:val="single" w:sz="4" w:space="0" w:color="auto"/>
              <w:right w:val="single" w:sz="4" w:space="0" w:color="auto"/>
            </w:tcBorders>
            <w:tcMar>
              <w:top w:w="60" w:type="dxa"/>
              <w:left w:w="40" w:type="dxa"/>
              <w:bottom w:w="40" w:type="dxa"/>
              <w:right w:w="40" w:type="dxa"/>
            </w:tcMar>
            <w:vAlign w:val="center"/>
          </w:tcPr>
          <w:p w14:paraId="498A7EEB" w14:textId="77777777" w:rsidR="00DB1AEE" w:rsidRPr="00DB1AEE" w:rsidRDefault="00DB1AEE" w:rsidP="00DB1AEE">
            <w:pPr>
              <w:autoSpaceDE w:val="0"/>
              <w:autoSpaceDN w:val="0"/>
              <w:adjustRightInd w:val="0"/>
              <w:spacing w:before="20" w:after="20" w:line="200" w:lineRule="atLeast"/>
              <w:jc w:val="left"/>
              <w:rPr>
                <w:szCs w:val="24"/>
                <w:u w:val="single"/>
              </w:rPr>
            </w:pPr>
            <w:r w:rsidRPr="00DB1AEE">
              <w:rPr>
                <w:szCs w:val="24"/>
                <w:u w:val="single"/>
              </w:rPr>
              <w:t>Electric hot</w:t>
            </w:r>
          </w:p>
          <w:p w14:paraId="6133C9A5" w14:textId="77777777" w:rsidR="00DB1AEE" w:rsidRPr="00DB1AEE" w:rsidRDefault="00DB1AEE" w:rsidP="00DB1AEE">
            <w:pPr>
              <w:autoSpaceDE w:val="0"/>
              <w:autoSpaceDN w:val="0"/>
              <w:adjustRightInd w:val="0"/>
              <w:spacing w:before="20" w:after="20" w:line="200" w:lineRule="atLeast"/>
              <w:jc w:val="left"/>
              <w:rPr>
                <w:szCs w:val="24"/>
                <w:u w:val="single"/>
              </w:rPr>
            </w:pPr>
            <w:r w:rsidRPr="00DB1AEE">
              <w:rPr>
                <w:szCs w:val="24"/>
                <w:u w:val="single"/>
              </w:rPr>
              <w:t>water heating</w:t>
            </w:r>
          </w:p>
          <w:p w14:paraId="1ACBBBB3" w14:textId="77777777" w:rsidR="00DB1AEE" w:rsidRPr="00DB1AEE" w:rsidRDefault="00DB1AEE" w:rsidP="00DB1AEE">
            <w:pPr>
              <w:autoSpaceDE w:val="0"/>
              <w:autoSpaceDN w:val="0"/>
              <w:adjustRightInd w:val="0"/>
              <w:spacing w:before="20" w:after="20" w:line="200" w:lineRule="atLeast"/>
              <w:jc w:val="left"/>
              <w:rPr>
                <w:szCs w:val="24"/>
                <w:u w:val="single"/>
              </w:rPr>
            </w:pPr>
            <w:r w:rsidRPr="00DB1AEE">
              <w:rPr>
                <w:szCs w:val="24"/>
                <w:u w:val="single"/>
              </w:rPr>
              <w:t>for uses other</w:t>
            </w:r>
          </w:p>
          <w:p w14:paraId="14EC8611" w14:textId="77777777" w:rsidR="00DB1AEE" w:rsidRPr="00DB1AEE" w:rsidRDefault="00DB1AEE" w:rsidP="00DB1AEE">
            <w:pPr>
              <w:autoSpaceDE w:val="0"/>
              <w:autoSpaceDN w:val="0"/>
              <w:adjustRightInd w:val="0"/>
              <w:spacing w:before="20" w:after="20" w:line="200" w:lineRule="atLeast"/>
              <w:jc w:val="left"/>
              <w:rPr>
                <w:szCs w:val="24"/>
                <w:u w:val="single"/>
              </w:rPr>
            </w:pPr>
            <w:r w:rsidRPr="00DB1AEE">
              <w:rPr>
                <w:szCs w:val="24"/>
                <w:u w:val="single"/>
              </w:rPr>
              <w:t>than space</w:t>
            </w:r>
          </w:p>
          <w:p w14:paraId="50DFEAF4" w14:textId="77777777" w:rsidR="00DB1AEE" w:rsidRPr="00DB1AEE" w:rsidRDefault="00DB1AEE" w:rsidP="00DB1AEE">
            <w:pPr>
              <w:autoSpaceDE w:val="0"/>
              <w:autoSpaceDN w:val="0"/>
              <w:adjustRightInd w:val="0"/>
              <w:spacing w:before="20" w:after="20" w:line="200" w:lineRule="atLeast"/>
              <w:jc w:val="left"/>
              <w:rPr>
                <w:szCs w:val="24"/>
                <w:u w:val="single"/>
              </w:rPr>
            </w:pPr>
            <w:r w:rsidRPr="00DB1AEE">
              <w:rPr>
                <w:szCs w:val="24"/>
                <w:u w:val="single"/>
              </w:rPr>
              <w:t>conditioning</w:t>
            </w:r>
          </w:p>
        </w:tc>
        <w:tc>
          <w:tcPr>
            <w:tcW w:w="7480" w:type="dxa"/>
            <w:tcBorders>
              <w:top w:val="single" w:sz="4" w:space="0" w:color="auto"/>
              <w:left w:val="single" w:sz="4" w:space="0" w:color="auto"/>
              <w:bottom w:val="single" w:sz="4" w:space="0" w:color="auto"/>
              <w:right w:val="single" w:sz="4" w:space="0" w:color="auto"/>
            </w:tcBorders>
            <w:tcMar>
              <w:top w:w="60" w:type="dxa"/>
              <w:left w:w="40" w:type="dxa"/>
              <w:bottom w:w="40" w:type="dxa"/>
              <w:right w:w="40" w:type="dxa"/>
            </w:tcMar>
            <w:vAlign w:val="center"/>
          </w:tcPr>
          <w:p w14:paraId="394575FF" w14:textId="77777777" w:rsidR="00DB1AEE" w:rsidRPr="00DB1AEE" w:rsidRDefault="00DB1AEE" w:rsidP="00DB1AEE">
            <w:pPr>
              <w:autoSpaceDE w:val="0"/>
              <w:autoSpaceDN w:val="0"/>
              <w:adjustRightInd w:val="0"/>
              <w:spacing w:before="20" w:after="20" w:line="200" w:lineRule="atLeast"/>
              <w:jc w:val="left"/>
              <w:rPr>
                <w:szCs w:val="24"/>
                <w:u w:val="single"/>
              </w:rPr>
            </w:pPr>
            <w:r w:rsidRPr="00DB1AEE">
              <w:rPr>
                <w:szCs w:val="24"/>
                <w:u w:val="single"/>
              </w:rPr>
              <w:t>Electricity used to generate hot water.</w:t>
            </w:r>
          </w:p>
          <w:p w14:paraId="38CC8BEF" w14:textId="77777777" w:rsidR="00DB1AEE" w:rsidRPr="00DB1AEE" w:rsidRDefault="00DB1AEE" w:rsidP="00DB1AEE">
            <w:pPr>
              <w:autoSpaceDE w:val="0"/>
              <w:autoSpaceDN w:val="0"/>
              <w:adjustRightInd w:val="0"/>
              <w:spacing w:before="20" w:after="20" w:line="200" w:lineRule="atLeast"/>
              <w:jc w:val="left"/>
              <w:rPr>
                <w:szCs w:val="24"/>
                <w:u w:val="single"/>
              </w:rPr>
            </w:pPr>
            <w:r w:rsidRPr="00DB1AEE">
              <w:rPr>
                <w:szCs w:val="24"/>
                <w:u w:val="single"/>
              </w:rPr>
              <w:t>Exception: Electric water heating with design capacity that is less than 10</w:t>
            </w:r>
          </w:p>
          <w:p w14:paraId="1A211091" w14:textId="77777777" w:rsidR="00DB1AEE" w:rsidRPr="00DB1AEE" w:rsidRDefault="00DB1AEE" w:rsidP="00DB1AEE">
            <w:pPr>
              <w:autoSpaceDE w:val="0"/>
              <w:autoSpaceDN w:val="0"/>
              <w:adjustRightInd w:val="0"/>
              <w:spacing w:before="20" w:after="20" w:line="200" w:lineRule="atLeast"/>
              <w:jc w:val="left"/>
              <w:rPr>
                <w:szCs w:val="24"/>
                <w:u w:val="single"/>
              </w:rPr>
            </w:pPr>
            <w:r w:rsidRPr="00DB1AEE">
              <w:rPr>
                <w:szCs w:val="24"/>
                <w:u w:val="single"/>
              </w:rPr>
              <w:t>percent of the building service rating.</w:t>
            </w:r>
          </w:p>
        </w:tc>
      </w:tr>
      <w:tr w:rsidR="00DB1AEE" w:rsidRPr="00DB1AEE" w14:paraId="1AF0EF7D" w14:textId="77777777" w:rsidTr="00FC1832">
        <w:trPr>
          <w:trHeight w:val="1280"/>
          <w:jc w:val="right"/>
        </w:trPr>
        <w:tc>
          <w:tcPr>
            <w:tcW w:w="1800" w:type="dxa"/>
            <w:tcBorders>
              <w:top w:val="single" w:sz="4" w:space="0" w:color="auto"/>
              <w:left w:val="single" w:sz="4" w:space="0" w:color="auto"/>
              <w:bottom w:val="single" w:sz="4" w:space="0" w:color="auto"/>
              <w:right w:val="single" w:sz="4" w:space="0" w:color="auto"/>
            </w:tcBorders>
            <w:tcMar>
              <w:top w:w="60" w:type="dxa"/>
              <w:left w:w="40" w:type="dxa"/>
              <w:bottom w:w="40" w:type="dxa"/>
              <w:right w:w="40" w:type="dxa"/>
            </w:tcMar>
            <w:vAlign w:val="center"/>
          </w:tcPr>
          <w:p w14:paraId="6F5233FA" w14:textId="77777777" w:rsidR="00DB1AEE" w:rsidRPr="00DB1AEE" w:rsidRDefault="00DB1AEE" w:rsidP="00DB1AEE">
            <w:pPr>
              <w:autoSpaceDE w:val="0"/>
              <w:autoSpaceDN w:val="0"/>
              <w:adjustRightInd w:val="0"/>
              <w:spacing w:before="20" w:after="20" w:line="200" w:lineRule="atLeast"/>
              <w:jc w:val="left"/>
              <w:rPr>
                <w:szCs w:val="24"/>
                <w:u w:val="single"/>
              </w:rPr>
            </w:pPr>
            <w:r w:rsidRPr="00DB1AEE">
              <w:rPr>
                <w:szCs w:val="24"/>
                <w:u w:val="single"/>
              </w:rPr>
              <w:t>Electric vehicle charging</w:t>
            </w:r>
          </w:p>
        </w:tc>
        <w:tc>
          <w:tcPr>
            <w:tcW w:w="7480" w:type="dxa"/>
            <w:tcBorders>
              <w:top w:val="single" w:sz="4" w:space="0" w:color="auto"/>
              <w:left w:val="single" w:sz="4" w:space="0" w:color="auto"/>
              <w:bottom w:val="single" w:sz="4" w:space="0" w:color="auto"/>
              <w:right w:val="single" w:sz="4" w:space="0" w:color="auto"/>
            </w:tcBorders>
            <w:tcMar>
              <w:top w:w="60" w:type="dxa"/>
              <w:left w:w="40" w:type="dxa"/>
              <w:bottom w:w="40" w:type="dxa"/>
              <w:right w:w="40" w:type="dxa"/>
            </w:tcMar>
            <w:vAlign w:val="center"/>
          </w:tcPr>
          <w:p w14:paraId="3FA0E7FF" w14:textId="77777777" w:rsidR="00DB1AEE" w:rsidRPr="00DB1AEE" w:rsidRDefault="00DB1AEE" w:rsidP="00DB1AEE">
            <w:pPr>
              <w:autoSpaceDE w:val="0"/>
              <w:autoSpaceDN w:val="0"/>
              <w:adjustRightInd w:val="0"/>
              <w:spacing w:before="20" w:after="20" w:line="200" w:lineRule="atLeast"/>
              <w:jc w:val="left"/>
              <w:rPr>
                <w:szCs w:val="24"/>
                <w:u w:val="single"/>
              </w:rPr>
            </w:pPr>
            <w:r w:rsidRPr="00DB1AEE">
              <w:rPr>
                <w:szCs w:val="24"/>
                <w:u w:val="single"/>
              </w:rPr>
              <w:t>Electric vehicle charging loads that are powered through the building's electrical service.</w:t>
            </w:r>
          </w:p>
        </w:tc>
      </w:tr>
    </w:tbl>
    <w:p w14:paraId="28205DB0" w14:textId="77777777" w:rsidR="00DB1AEE" w:rsidRPr="00DB1AEE" w:rsidRDefault="00DB1AEE" w:rsidP="00DB1AEE">
      <w:pPr>
        <w:suppressAutoHyphens/>
        <w:autoSpaceDE w:val="0"/>
        <w:autoSpaceDN w:val="0"/>
        <w:adjustRightInd w:val="0"/>
        <w:spacing w:before="80" w:after="20" w:line="180" w:lineRule="atLeast"/>
        <w:jc w:val="center"/>
        <w:rPr>
          <w:b/>
          <w:bCs/>
          <w:szCs w:val="24"/>
        </w:rPr>
      </w:pPr>
      <w:bookmarkStart w:id="340" w:name="_Hlk190086560"/>
      <w:bookmarkEnd w:id="339"/>
    </w:p>
    <w:p w14:paraId="7CB6E327" w14:textId="77777777" w:rsidR="00DB1AEE" w:rsidRPr="00DB1AEE" w:rsidRDefault="00DB1AEE" w:rsidP="00DB1AEE">
      <w:pPr>
        <w:spacing w:before="130" w:after="130"/>
        <w:ind w:left="432"/>
        <w:jc w:val="left"/>
        <w:rPr>
          <w:bCs/>
          <w:vanish/>
          <w:spacing w:val="4"/>
          <w:szCs w:val="24"/>
          <w:u w:val="single"/>
          <w:specVanish/>
        </w:rPr>
      </w:pPr>
      <w:bookmarkStart w:id="341" w:name="_Hlk190089271"/>
      <w:r w:rsidRPr="00DB1AEE">
        <w:rPr>
          <w:b/>
          <w:spacing w:val="4"/>
          <w:szCs w:val="24"/>
          <w:u w:val="single"/>
        </w:rPr>
        <w:t>C405.14.3 Electrical Meters</w:t>
      </w:r>
      <w:r w:rsidRPr="00DB1AEE">
        <w:rPr>
          <w:bCs/>
          <w:spacing w:val="4"/>
          <w:szCs w:val="24"/>
          <w:u w:val="single"/>
        </w:rPr>
        <w:t>.</w:t>
      </w:r>
      <w:r w:rsidRPr="00DB1AEE">
        <w:rPr>
          <w:spacing w:val="4"/>
          <w:szCs w:val="24"/>
          <w:u w:val="single"/>
        </w:rPr>
        <w:t xml:space="preserve"> </w:t>
      </w:r>
    </w:p>
    <w:p w14:paraId="0F35548B" w14:textId="77777777" w:rsidR="00DB1AEE" w:rsidRPr="00DB1AEE" w:rsidRDefault="00DB1AEE" w:rsidP="00DB1AEE">
      <w:pPr>
        <w:suppressAutoHyphens/>
        <w:autoSpaceDE w:val="0"/>
        <w:autoSpaceDN w:val="0"/>
        <w:adjustRightInd w:val="0"/>
        <w:spacing w:line="220" w:lineRule="atLeast"/>
        <w:ind w:left="360"/>
        <w:jc w:val="center"/>
        <w:rPr>
          <w:szCs w:val="24"/>
          <w:u w:val="single"/>
        </w:rPr>
      </w:pPr>
      <w:r w:rsidRPr="00DB1AEE">
        <w:rPr>
          <w:szCs w:val="24"/>
          <w:u w:val="single"/>
        </w:rPr>
        <w:t xml:space="preserve"> Meters or other measurement devices required by this section shall be configured to automatically communicate energy consumption data to the data acquisition system required by Section C405.14.4. Source meters shall be allowed to be any digital-type meter. Lighting, HVAC or other building systems that can self-monitor their energy consumption shall be permitted instead of meters. Current sensors shall be permitted, provided that they have a tested accuracy of ±2 percent. Required metering systems and equipment shall have the capability to provide at least hourly data that is fully integrated into the data acquisition system and graphical energy report in accordance with Sections C405.14.4 and C405.14.5.</w:t>
      </w:r>
      <w:r w:rsidRPr="00DB1AEE">
        <w:rPr>
          <w:b/>
          <w:bCs/>
          <w:w w:val="0"/>
          <w:szCs w:val="24"/>
        </w:rPr>
        <w:t xml:space="preserve"> </w:t>
      </w:r>
      <w:r w:rsidRPr="00DB1AEE">
        <w:rPr>
          <w:szCs w:val="24"/>
          <w:u w:val="single"/>
        </w:rPr>
        <w:t>Nonintrusive load monitoring (NILM) packages that extract energy consumption data from detailed electric waveform analysis shall be permitted to substitute for individual meters if the equivalent data is available for collection in Section C405.14.4 and reporting in Section C405.14.5.</w:t>
      </w:r>
    </w:p>
    <w:p w14:paraId="0BF91843" w14:textId="77777777" w:rsidR="00DB1AEE" w:rsidRPr="00DB1AEE" w:rsidRDefault="00DB1AEE" w:rsidP="00DB1AEE">
      <w:pPr>
        <w:spacing w:before="130" w:after="130"/>
        <w:ind w:left="432"/>
        <w:jc w:val="left"/>
        <w:rPr>
          <w:bCs/>
          <w:vanish/>
          <w:spacing w:val="4"/>
          <w:szCs w:val="24"/>
          <w:u w:val="single"/>
          <w:specVanish/>
        </w:rPr>
      </w:pPr>
      <w:bookmarkStart w:id="342" w:name="_Hlk190090133"/>
      <w:bookmarkEnd w:id="340"/>
      <w:bookmarkEnd w:id="341"/>
      <w:r w:rsidRPr="00DB1AEE">
        <w:rPr>
          <w:b/>
          <w:spacing w:val="4"/>
          <w:szCs w:val="24"/>
          <w:u w:val="single"/>
        </w:rPr>
        <w:t>C405.14.4 Electrical energy data acquisition system</w:t>
      </w:r>
      <w:r w:rsidRPr="00DB1AEE">
        <w:rPr>
          <w:bCs/>
          <w:spacing w:val="4"/>
          <w:szCs w:val="24"/>
          <w:u w:val="single"/>
        </w:rPr>
        <w:t>.</w:t>
      </w:r>
      <w:r w:rsidRPr="00DB1AEE">
        <w:rPr>
          <w:spacing w:val="4"/>
          <w:szCs w:val="24"/>
          <w:u w:val="single"/>
        </w:rPr>
        <w:t xml:space="preserve"> </w:t>
      </w:r>
    </w:p>
    <w:p w14:paraId="6E248BEB" w14:textId="77777777" w:rsidR="00DB1AEE" w:rsidRPr="00DB1AEE" w:rsidRDefault="00DB1AEE" w:rsidP="00DB1AEE">
      <w:pPr>
        <w:suppressAutoHyphens/>
        <w:autoSpaceDE w:val="0"/>
        <w:autoSpaceDN w:val="0"/>
        <w:adjustRightInd w:val="0"/>
        <w:spacing w:line="220" w:lineRule="atLeast"/>
        <w:ind w:left="360"/>
        <w:jc w:val="center"/>
        <w:rPr>
          <w:szCs w:val="24"/>
          <w:u w:val="single"/>
        </w:rPr>
      </w:pPr>
      <w:r w:rsidRPr="00DB1AEE">
        <w:rPr>
          <w:szCs w:val="24"/>
          <w:u w:val="single"/>
        </w:rPr>
        <w:t xml:space="preserve"> A data acquisition system shall have the capability to store the data from the required meters and other sensing devices for a minimum of 36 months. The data acquisition system shall have the capability to store real-time energy consumption data and provide hourly, daily, monthly and yearly logged data for each end-use category required by Section C405.14.2.</w:t>
      </w:r>
      <w:r w:rsidRPr="00DB1AEE">
        <w:rPr>
          <w:b/>
          <w:bCs/>
          <w:w w:val="0"/>
          <w:szCs w:val="24"/>
        </w:rPr>
        <w:t xml:space="preserve"> </w:t>
      </w:r>
      <w:r w:rsidRPr="00DB1AEE">
        <w:rPr>
          <w:szCs w:val="24"/>
          <w:u w:val="single"/>
        </w:rPr>
        <w:t>The data acquisition system</w:t>
      </w:r>
    </w:p>
    <w:p w14:paraId="0B189E73" w14:textId="77777777" w:rsidR="00DB1AEE" w:rsidRPr="00DB1AEE" w:rsidRDefault="00DB1AEE" w:rsidP="00DB1AEE">
      <w:pPr>
        <w:suppressAutoHyphens/>
        <w:autoSpaceDE w:val="0"/>
        <w:autoSpaceDN w:val="0"/>
        <w:adjustRightInd w:val="0"/>
        <w:spacing w:line="220" w:lineRule="atLeast"/>
        <w:ind w:left="360"/>
        <w:jc w:val="left"/>
        <w:rPr>
          <w:szCs w:val="24"/>
          <w:u w:val="single"/>
        </w:rPr>
      </w:pPr>
      <w:r w:rsidRPr="00DB1AEE">
        <w:rPr>
          <w:szCs w:val="24"/>
          <w:u w:val="single"/>
        </w:rPr>
        <w:t>shall have the capability of providing building total peak electric demand and the time(s) of day and time(s) per month at which the peak occurs. Peak demand shall be integrated over the same time period as the underlying whole-building meter reading rate.</w:t>
      </w:r>
    </w:p>
    <w:bookmarkEnd w:id="342"/>
    <w:p w14:paraId="4A8360CB" w14:textId="77777777" w:rsidR="00DB1AEE" w:rsidRPr="00DB1AEE" w:rsidRDefault="00DB1AEE" w:rsidP="00DB1AEE">
      <w:pPr>
        <w:spacing w:before="130" w:after="130"/>
        <w:ind w:left="432"/>
        <w:jc w:val="left"/>
        <w:rPr>
          <w:bCs/>
          <w:vanish/>
          <w:spacing w:val="4"/>
          <w:szCs w:val="24"/>
          <w:u w:val="single"/>
          <w:specVanish/>
        </w:rPr>
      </w:pPr>
      <w:r w:rsidRPr="00DB1AEE">
        <w:rPr>
          <w:b/>
          <w:spacing w:val="4"/>
          <w:szCs w:val="24"/>
          <w:u w:val="single"/>
        </w:rPr>
        <w:t>C405.14.5 Graphical energy report</w:t>
      </w:r>
      <w:r w:rsidRPr="00DB1AEE">
        <w:rPr>
          <w:bCs/>
          <w:spacing w:val="4"/>
          <w:szCs w:val="24"/>
          <w:u w:val="single"/>
        </w:rPr>
        <w:t>.</w:t>
      </w:r>
      <w:r w:rsidRPr="00DB1AEE">
        <w:rPr>
          <w:spacing w:val="4"/>
          <w:szCs w:val="24"/>
          <w:u w:val="single"/>
        </w:rPr>
        <w:t xml:space="preserve"> </w:t>
      </w:r>
    </w:p>
    <w:p w14:paraId="2D251C5F" w14:textId="77777777" w:rsidR="00DB1AEE" w:rsidRPr="00DB1AEE" w:rsidRDefault="00DB1AEE" w:rsidP="00DB1AEE">
      <w:pPr>
        <w:suppressAutoHyphens/>
        <w:autoSpaceDE w:val="0"/>
        <w:autoSpaceDN w:val="0"/>
        <w:adjustRightInd w:val="0"/>
        <w:spacing w:line="220" w:lineRule="atLeast"/>
        <w:ind w:left="360"/>
        <w:jc w:val="left"/>
        <w:rPr>
          <w:szCs w:val="24"/>
          <w:u w:val="single"/>
        </w:rPr>
      </w:pPr>
      <w:r w:rsidRPr="00DB1AEE">
        <w:rPr>
          <w:szCs w:val="24"/>
          <w:u w:val="single"/>
        </w:rPr>
        <w:t xml:space="preserve"> A permanent and readily available reporting mechanism shall be provided in the building for access by building operation and management personnel. The reporting mechanism shall have the capability to graphically provide the energy consumption for each end-use category required by Section C405.14.2 not less than every hour, day, month and year for the previous 36 months.</w:t>
      </w:r>
    </w:p>
    <w:p w14:paraId="03BE2D13" w14:textId="77777777" w:rsidR="00DB1AEE" w:rsidRPr="00DB1AEE" w:rsidRDefault="00DB1AEE" w:rsidP="00DB1AEE">
      <w:pPr>
        <w:spacing w:before="130" w:after="130"/>
        <w:ind w:left="432"/>
        <w:jc w:val="left"/>
        <w:rPr>
          <w:bCs/>
          <w:vanish/>
          <w:spacing w:val="4"/>
          <w:szCs w:val="24"/>
          <w:u w:val="single"/>
          <w:specVanish/>
        </w:rPr>
      </w:pPr>
      <w:bookmarkStart w:id="343" w:name="_Hlk190094305"/>
      <w:r w:rsidRPr="00DB1AEE">
        <w:rPr>
          <w:b/>
          <w:spacing w:val="4"/>
          <w:szCs w:val="24"/>
          <w:u w:val="single"/>
        </w:rPr>
        <w:t>C405.14.6 Renewable energy.</w:t>
      </w:r>
    </w:p>
    <w:p w14:paraId="31D3ED19" w14:textId="77777777" w:rsidR="00DB1AEE" w:rsidRPr="00DB1AEE" w:rsidRDefault="00DB1AEE" w:rsidP="00DB1A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autoSpaceDE w:val="0"/>
        <w:autoSpaceDN w:val="0"/>
        <w:adjustRightInd w:val="0"/>
        <w:spacing w:before="420"/>
        <w:rPr>
          <w:szCs w:val="24"/>
        </w:rPr>
      </w:pPr>
      <w:r w:rsidRPr="00DB1AEE">
        <w:rPr>
          <w:b/>
          <w:bCs/>
          <w:szCs w:val="24"/>
          <w:u w:val="single"/>
        </w:rPr>
        <w:t xml:space="preserve"> </w:t>
      </w:r>
      <w:r w:rsidRPr="00DB1AEE">
        <w:rPr>
          <w:szCs w:val="24"/>
          <w:u w:val="single"/>
        </w:rPr>
        <w:t>On-site renewable energy sources shall be metered with no less frequency than nonrenewable energy systems in accordance with Section</w:t>
      </w:r>
      <w:r w:rsidRPr="00DB1AEE">
        <w:rPr>
          <w:szCs w:val="24"/>
        </w:rPr>
        <w:t xml:space="preserve"> </w:t>
      </w:r>
      <w:r w:rsidRPr="00DB1AEE">
        <w:rPr>
          <w:szCs w:val="24"/>
          <w:u w:val="single"/>
        </w:rPr>
        <w:t>405.14.3.</w:t>
      </w:r>
    </w:p>
    <w:p w14:paraId="2A3B9E97" w14:textId="77777777" w:rsidR="00DB1AEE" w:rsidRPr="00DB1AEE" w:rsidRDefault="00DB1AEE" w:rsidP="00DB1AEE">
      <w:pPr>
        <w:spacing w:before="130" w:after="130"/>
        <w:ind w:left="432"/>
        <w:jc w:val="left"/>
        <w:rPr>
          <w:bCs/>
          <w:vanish/>
          <w:spacing w:val="4"/>
          <w:szCs w:val="24"/>
          <w:u w:val="single"/>
          <w:specVanish/>
        </w:rPr>
      </w:pPr>
      <w:r w:rsidRPr="00DB1AEE">
        <w:rPr>
          <w:b/>
          <w:bCs/>
          <w:spacing w:val="4"/>
          <w:szCs w:val="24"/>
          <w:u w:val="single"/>
        </w:rPr>
        <w:t>C405.14.7</w:t>
      </w:r>
      <w:r w:rsidRPr="00DB1AEE">
        <w:rPr>
          <w:spacing w:val="4"/>
          <w:szCs w:val="24"/>
          <w:u w:val="single"/>
        </w:rPr>
        <w:t xml:space="preserve"> </w:t>
      </w:r>
      <w:r w:rsidRPr="00DB1AEE">
        <w:rPr>
          <w:b/>
          <w:bCs/>
          <w:spacing w:val="4"/>
          <w:szCs w:val="24"/>
          <w:u w:val="single"/>
        </w:rPr>
        <w:t>Nonelectrical energy submetering</w:t>
      </w:r>
      <w:r w:rsidRPr="00DB1AEE">
        <w:rPr>
          <w:spacing w:val="4"/>
          <w:szCs w:val="24"/>
          <w:u w:val="single"/>
        </w:rPr>
        <w:t>.</w:t>
      </w:r>
    </w:p>
    <w:p w14:paraId="4C3FDDC6" w14:textId="77777777" w:rsidR="00DB1AEE" w:rsidRPr="00DB1AEE" w:rsidRDefault="00DB1AEE" w:rsidP="00DB1A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autoSpaceDE w:val="0"/>
        <w:autoSpaceDN w:val="0"/>
        <w:adjustRightInd w:val="0"/>
        <w:rPr>
          <w:szCs w:val="24"/>
          <w:u w:val="single"/>
        </w:rPr>
      </w:pPr>
      <w:r w:rsidRPr="00DB1AEE">
        <w:rPr>
          <w:szCs w:val="24"/>
          <w:u w:val="single"/>
        </w:rPr>
        <w:t xml:space="preserve"> For all nonelectrical energy supplied to the building and its associated site that serves the building and its occupants, submeters or other measurement devices shall be provided to collect energy consumption data for each end-use category required by Section C405.14.8.</w:t>
      </w:r>
    </w:p>
    <w:p w14:paraId="492BC361" w14:textId="77777777" w:rsidR="00DB1AEE" w:rsidRPr="00DB1AEE" w:rsidRDefault="00DB1AEE" w:rsidP="00DB1A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autoSpaceDE w:val="0"/>
        <w:autoSpaceDN w:val="0"/>
        <w:adjustRightInd w:val="0"/>
        <w:spacing w:before="120"/>
        <w:ind w:left="720"/>
        <w:rPr>
          <w:szCs w:val="24"/>
          <w:u w:val="single"/>
        </w:rPr>
      </w:pPr>
      <w:r w:rsidRPr="00DB1AEE">
        <w:rPr>
          <w:szCs w:val="24"/>
          <w:u w:val="single"/>
        </w:rPr>
        <w:t>Exceptions:</w:t>
      </w:r>
    </w:p>
    <w:p w14:paraId="2EF340E6" w14:textId="77777777" w:rsidR="00DB1AEE" w:rsidRPr="00DB1AEE" w:rsidRDefault="00DB1AEE" w:rsidP="00DB1A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autoSpaceDE w:val="0"/>
        <w:autoSpaceDN w:val="0"/>
        <w:adjustRightInd w:val="0"/>
        <w:ind w:left="1008" w:hanging="288"/>
        <w:rPr>
          <w:szCs w:val="24"/>
          <w:u w:val="single"/>
        </w:rPr>
      </w:pPr>
      <w:r w:rsidRPr="00DB1AEE">
        <w:rPr>
          <w:szCs w:val="24"/>
          <w:u w:val="single"/>
        </w:rPr>
        <w:t>1. HVAC and water heating equipment serving only an individual dwelling unit shall not require end-use submetering.</w:t>
      </w:r>
    </w:p>
    <w:p w14:paraId="450D772B" w14:textId="77777777" w:rsidR="00DB1AEE" w:rsidRPr="00DB1AEE" w:rsidRDefault="00DB1AEE" w:rsidP="00DB1A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autoSpaceDE w:val="0"/>
        <w:autoSpaceDN w:val="0"/>
        <w:adjustRightInd w:val="0"/>
        <w:ind w:left="1008" w:hanging="288"/>
        <w:rPr>
          <w:szCs w:val="24"/>
          <w:u w:val="single"/>
        </w:rPr>
      </w:pPr>
      <w:r w:rsidRPr="00DB1AEE">
        <w:rPr>
          <w:szCs w:val="24"/>
          <w:u w:val="single"/>
        </w:rPr>
        <w:t xml:space="preserve">2. End-use submetering shall not be required for fire pumps, stairwell pressurization fans or any system that operates only during testing or emergency. </w:t>
      </w:r>
    </w:p>
    <w:p w14:paraId="30A18EA1" w14:textId="77777777" w:rsidR="00DB1AEE" w:rsidRPr="00DB1AEE" w:rsidRDefault="00DB1AEE" w:rsidP="00DB1A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autoSpaceDE w:val="0"/>
        <w:autoSpaceDN w:val="0"/>
        <w:adjustRightInd w:val="0"/>
        <w:ind w:left="1008" w:hanging="288"/>
        <w:rPr>
          <w:szCs w:val="24"/>
          <w:u w:val="single"/>
        </w:rPr>
      </w:pPr>
      <w:r w:rsidRPr="00DB1AEE">
        <w:rPr>
          <w:szCs w:val="24"/>
          <w:u w:val="single"/>
        </w:rPr>
        <w:t>3. End-use submetering shall not be required for an individual tenant space having a floor area not greater than 2,500 square feet (232 m2) where a dedicated source meter complying with Section C405.14.9 is provided.</w:t>
      </w:r>
    </w:p>
    <w:p w14:paraId="40E98071" w14:textId="77777777" w:rsidR="00DB1AEE" w:rsidRPr="00DB1AEE" w:rsidRDefault="00DB1AEE" w:rsidP="00DB1A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autoSpaceDE w:val="0"/>
        <w:autoSpaceDN w:val="0"/>
        <w:adjustRightInd w:val="0"/>
        <w:ind w:left="1008" w:hanging="288"/>
        <w:rPr>
          <w:szCs w:val="24"/>
          <w:u w:val="single"/>
        </w:rPr>
      </w:pPr>
      <w:r w:rsidRPr="00DB1AEE">
        <w:rPr>
          <w:szCs w:val="24"/>
          <w:u w:val="single"/>
        </w:rPr>
        <w:t>4. Equipment powered primarily by solid fuels serving loads other than building heating and service water heating loads.</w:t>
      </w:r>
    </w:p>
    <w:p w14:paraId="58F1539A" w14:textId="77777777" w:rsidR="00DB1AEE" w:rsidRPr="00DB1AEE" w:rsidRDefault="00DB1AEE" w:rsidP="00DB1AEE">
      <w:pPr>
        <w:spacing w:before="130" w:after="130"/>
        <w:ind w:left="432"/>
        <w:jc w:val="left"/>
        <w:rPr>
          <w:bCs/>
          <w:vanish/>
          <w:spacing w:val="4"/>
          <w:szCs w:val="24"/>
          <w:u w:val="single"/>
          <w:specVanish/>
        </w:rPr>
      </w:pPr>
      <w:r w:rsidRPr="00DB1AEE">
        <w:rPr>
          <w:b/>
          <w:bCs/>
          <w:spacing w:val="4"/>
          <w:szCs w:val="24"/>
          <w:u w:val="single"/>
        </w:rPr>
        <w:t>C405.14.8</w:t>
      </w:r>
      <w:r w:rsidRPr="00DB1AEE">
        <w:rPr>
          <w:spacing w:val="4"/>
          <w:szCs w:val="24"/>
          <w:u w:val="single"/>
        </w:rPr>
        <w:t xml:space="preserve"> </w:t>
      </w:r>
      <w:r w:rsidRPr="00DB1AEE">
        <w:rPr>
          <w:b/>
          <w:bCs/>
          <w:spacing w:val="4"/>
          <w:szCs w:val="24"/>
          <w:u w:val="single"/>
        </w:rPr>
        <w:t>End-use nonelectrical submetering categories</w:t>
      </w:r>
      <w:r w:rsidRPr="00DB1AEE">
        <w:rPr>
          <w:spacing w:val="4"/>
          <w:szCs w:val="24"/>
          <w:u w:val="single"/>
        </w:rPr>
        <w:t>.</w:t>
      </w:r>
      <w:r w:rsidRPr="00DB1AEE">
        <w:rPr>
          <w:bCs/>
          <w:spacing w:val="4"/>
          <w:szCs w:val="24"/>
          <w:u w:val="single"/>
        </w:rPr>
        <w:t xml:space="preserve"> </w:t>
      </w:r>
    </w:p>
    <w:p w14:paraId="3D213202" w14:textId="77777777" w:rsidR="00DB1AEE" w:rsidRPr="00DB1AEE" w:rsidRDefault="00DB1AEE" w:rsidP="00DB1A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autoSpaceDE w:val="0"/>
        <w:autoSpaceDN w:val="0"/>
        <w:adjustRightInd w:val="0"/>
        <w:spacing w:before="420"/>
        <w:ind w:left="1008" w:hanging="288"/>
        <w:rPr>
          <w:szCs w:val="24"/>
          <w:u w:val="single"/>
        </w:rPr>
      </w:pPr>
      <w:r w:rsidRPr="00DB1AEE">
        <w:rPr>
          <w:szCs w:val="24"/>
          <w:u w:val="single"/>
        </w:rPr>
        <w:t xml:space="preserve"> Submeters or other approved measurement devices shall be provided to collect energy use data for each end-use category indicated in Table C405.14.8. Where multiple submeters are used to measure any end-use category, the data acquisition system shall total all of the energy used by that category. Not more than 5 percent of the design load for each of the end-use categories indicated in Table C405.14.8 shall be permitted to be from a load that is not within that category.</w:t>
      </w:r>
    </w:p>
    <w:p w14:paraId="3D884241" w14:textId="77777777" w:rsidR="00DB1AEE" w:rsidRPr="00DB1AEE" w:rsidRDefault="00DB1AEE" w:rsidP="00DB1A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autoSpaceDE w:val="0"/>
        <w:autoSpaceDN w:val="0"/>
        <w:adjustRightInd w:val="0"/>
        <w:ind w:left="1008" w:hanging="288"/>
        <w:jc w:val="center"/>
        <w:rPr>
          <w:b/>
          <w:bCs/>
          <w:szCs w:val="24"/>
          <w:u w:val="single"/>
        </w:rPr>
      </w:pPr>
      <w:r w:rsidRPr="00DB1AEE">
        <w:rPr>
          <w:b/>
          <w:bCs/>
          <w:szCs w:val="24"/>
          <w:u w:val="single"/>
        </w:rPr>
        <w:t>TABLE C405.14.8</w:t>
      </w:r>
    </w:p>
    <w:p w14:paraId="2F62950D" w14:textId="77777777" w:rsidR="00DB1AEE" w:rsidRPr="00DB1AEE" w:rsidRDefault="00DB1AEE" w:rsidP="00DB1A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autoSpaceDE w:val="0"/>
        <w:autoSpaceDN w:val="0"/>
        <w:adjustRightInd w:val="0"/>
        <w:ind w:left="1008" w:hanging="288"/>
        <w:jc w:val="center"/>
        <w:rPr>
          <w:b/>
          <w:bCs/>
          <w:szCs w:val="24"/>
          <w:u w:val="single"/>
        </w:rPr>
      </w:pPr>
      <w:r w:rsidRPr="00DB1AEE">
        <w:rPr>
          <w:b/>
          <w:bCs/>
          <w:szCs w:val="24"/>
          <w:u w:val="single"/>
        </w:rPr>
        <w:t>NONELECTRICAL ENERGY USE CATEGORIES</w:t>
      </w: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1"/>
        <w:gridCol w:w="6731"/>
      </w:tblGrid>
      <w:tr w:rsidR="00DB1AEE" w:rsidRPr="00DB1AEE" w14:paraId="35A7BCAD" w14:textId="77777777" w:rsidTr="00FC1832">
        <w:tc>
          <w:tcPr>
            <w:tcW w:w="1611" w:type="dxa"/>
          </w:tcPr>
          <w:p w14:paraId="73FCDA9A" w14:textId="77777777" w:rsidR="00DB1AEE" w:rsidRPr="00DB1AEE" w:rsidRDefault="00DB1AEE" w:rsidP="00DB1A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autoSpaceDE w:val="0"/>
              <w:autoSpaceDN w:val="0"/>
              <w:adjustRightInd w:val="0"/>
              <w:spacing w:before="420"/>
              <w:jc w:val="center"/>
              <w:rPr>
                <w:rFonts w:eastAsia="Calibri"/>
                <w:b/>
                <w:bCs/>
                <w:szCs w:val="24"/>
                <w:u w:val="single"/>
              </w:rPr>
            </w:pPr>
            <w:r w:rsidRPr="00DB1AEE">
              <w:rPr>
                <w:rFonts w:eastAsia="Calibri"/>
                <w:b/>
                <w:bCs/>
                <w:szCs w:val="24"/>
                <w:u w:val="single"/>
              </w:rPr>
              <w:t>END USE CATEGORY</w:t>
            </w:r>
          </w:p>
        </w:tc>
        <w:tc>
          <w:tcPr>
            <w:tcW w:w="6731" w:type="dxa"/>
          </w:tcPr>
          <w:p w14:paraId="465B3FB4" w14:textId="77777777" w:rsidR="00DB1AEE" w:rsidRPr="00DB1AEE" w:rsidRDefault="00DB1AEE" w:rsidP="00DB1A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autoSpaceDE w:val="0"/>
              <w:autoSpaceDN w:val="0"/>
              <w:adjustRightInd w:val="0"/>
              <w:spacing w:before="420"/>
              <w:jc w:val="center"/>
              <w:rPr>
                <w:rFonts w:eastAsia="Calibri"/>
                <w:b/>
                <w:bCs/>
                <w:szCs w:val="24"/>
                <w:u w:val="single"/>
              </w:rPr>
            </w:pPr>
            <w:r w:rsidRPr="00DB1AEE">
              <w:rPr>
                <w:rFonts w:eastAsia="Calibri"/>
                <w:b/>
                <w:bCs/>
                <w:szCs w:val="24"/>
                <w:u w:val="single"/>
              </w:rPr>
              <w:t>DESCRIPTION OF END USE</w:t>
            </w:r>
          </w:p>
        </w:tc>
      </w:tr>
      <w:tr w:rsidR="00DB1AEE" w:rsidRPr="00DB1AEE" w14:paraId="7B15D443" w14:textId="77777777" w:rsidTr="00FC1832">
        <w:tc>
          <w:tcPr>
            <w:tcW w:w="1611" w:type="dxa"/>
            <w:vAlign w:val="center"/>
          </w:tcPr>
          <w:p w14:paraId="7EFDFBFB" w14:textId="77777777" w:rsidR="00DB1AEE" w:rsidRPr="00DB1AEE" w:rsidRDefault="00DB1AEE" w:rsidP="00DB1A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autoSpaceDE w:val="0"/>
              <w:autoSpaceDN w:val="0"/>
              <w:adjustRightInd w:val="0"/>
              <w:jc w:val="center"/>
              <w:rPr>
                <w:rFonts w:eastAsia="Calibri"/>
                <w:szCs w:val="24"/>
                <w:u w:val="single"/>
              </w:rPr>
            </w:pPr>
            <w:r w:rsidRPr="00DB1AEE">
              <w:rPr>
                <w:rFonts w:eastAsia="Calibri"/>
                <w:szCs w:val="24"/>
                <w:u w:val="single"/>
              </w:rPr>
              <w:t>Total HVAC system</w:t>
            </w:r>
          </w:p>
        </w:tc>
        <w:tc>
          <w:tcPr>
            <w:tcW w:w="6731" w:type="dxa"/>
          </w:tcPr>
          <w:p w14:paraId="70B8C2CB" w14:textId="77777777" w:rsidR="00DB1AEE" w:rsidRPr="00DB1AEE" w:rsidRDefault="00DB1AEE" w:rsidP="00DB1A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autoSpaceDE w:val="0"/>
              <w:autoSpaceDN w:val="0"/>
              <w:adjustRightInd w:val="0"/>
              <w:spacing w:before="120" w:after="120"/>
              <w:jc w:val="left"/>
              <w:rPr>
                <w:rFonts w:eastAsia="Calibri"/>
                <w:szCs w:val="24"/>
                <w:u w:val="single"/>
              </w:rPr>
            </w:pPr>
            <w:r w:rsidRPr="00DB1AEE">
              <w:rPr>
                <w:rFonts w:eastAsia="Calibri"/>
                <w:szCs w:val="24"/>
                <w:u w:val="single"/>
              </w:rPr>
              <w:t>Heating and cooling systems, including but not limited to boilers, chillers and furnaces. District heating and cooling energy entering the building’s distribution system shall be monitored at the point of entry to the building distribution system.</w:t>
            </w:r>
          </w:p>
        </w:tc>
      </w:tr>
      <w:tr w:rsidR="00DB1AEE" w:rsidRPr="00DB1AEE" w14:paraId="2878EB42" w14:textId="77777777" w:rsidTr="00FC1832">
        <w:tc>
          <w:tcPr>
            <w:tcW w:w="1611" w:type="dxa"/>
            <w:vAlign w:val="center"/>
          </w:tcPr>
          <w:p w14:paraId="0F7D0B8C" w14:textId="77777777" w:rsidR="00DB1AEE" w:rsidRPr="00DB1AEE" w:rsidRDefault="00DB1AEE" w:rsidP="00DB1A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autoSpaceDE w:val="0"/>
              <w:autoSpaceDN w:val="0"/>
              <w:adjustRightInd w:val="0"/>
              <w:jc w:val="center"/>
              <w:rPr>
                <w:rFonts w:eastAsia="Calibri"/>
                <w:szCs w:val="24"/>
                <w:u w:val="single"/>
              </w:rPr>
            </w:pPr>
            <w:r w:rsidRPr="00DB1AEE">
              <w:rPr>
                <w:rFonts w:eastAsia="Calibri"/>
                <w:szCs w:val="24"/>
                <w:u w:val="single"/>
              </w:rPr>
              <w:t>Process loads</w:t>
            </w:r>
          </w:p>
        </w:tc>
        <w:tc>
          <w:tcPr>
            <w:tcW w:w="6731" w:type="dxa"/>
          </w:tcPr>
          <w:p w14:paraId="4B30C16A" w14:textId="77777777" w:rsidR="00DB1AEE" w:rsidRPr="00DB1AEE" w:rsidRDefault="00DB1AEE" w:rsidP="00DB1A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autoSpaceDE w:val="0"/>
              <w:autoSpaceDN w:val="0"/>
              <w:adjustRightInd w:val="0"/>
              <w:spacing w:before="120" w:after="120"/>
              <w:jc w:val="left"/>
              <w:rPr>
                <w:rFonts w:eastAsia="Calibri"/>
                <w:szCs w:val="24"/>
                <w:u w:val="single"/>
              </w:rPr>
            </w:pPr>
            <w:r w:rsidRPr="00DB1AEE">
              <w:rPr>
                <w:rFonts w:eastAsia="Calibri"/>
                <w:szCs w:val="24"/>
                <w:u w:val="single"/>
              </w:rPr>
              <w:t>Any single load that is not included in the HVAC or service water heating categories where the rated fuel gas or fuel oil input of the load and that is not less than 5 percent of the sum of the rated fuel gas or fuel oil input of all monitored equipment, including but not limited to manufacturing equipment, process equipment, commercial kitchens, and commercial laundry equipment.</w:t>
            </w:r>
          </w:p>
        </w:tc>
      </w:tr>
      <w:tr w:rsidR="00DB1AEE" w:rsidRPr="00DB1AEE" w14:paraId="6EF0E2CC" w14:textId="77777777" w:rsidTr="00FC1832">
        <w:tc>
          <w:tcPr>
            <w:tcW w:w="1611" w:type="dxa"/>
            <w:vAlign w:val="center"/>
          </w:tcPr>
          <w:p w14:paraId="41E5FE18" w14:textId="77777777" w:rsidR="00DB1AEE" w:rsidRPr="00DB1AEE" w:rsidRDefault="00DB1AEE" w:rsidP="00DB1A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autoSpaceDE w:val="0"/>
              <w:autoSpaceDN w:val="0"/>
              <w:adjustRightInd w:val="0"/>
              <w:jc w:val="center"/>
              <w:rPr>
                <w:rFonts w:eastAsia="Calibri"/>
                <w:szCs w:val="24"/>
                <w:u w:val="single"/>
              </w:rPr>
            </w:pPr>
            <w:r w:rsidRPr="00DB1AEE">
              <w:rPr>
                <w:rFonts w:eastAsia="Calibri"/>
                <w:szCs w:val="24"/>
                <w:u w:val="single"/>
              </w:rPr>
              <w:t>Other miscellaneous loads</w:t>
            </w:r>
          </w:p>
        </w:tc>
        <w:tc>
          <w:tcPr>
            <w:tcW w:w="6731" w:type="dxa"/>
          </w:tcPr>
          <w:p w14:paraId="2F51C49F" w14:textId="77777777" w:rsidR="00DB1AEE" w:rsidRPr="00DB1AEE" w:rsidRDefault="00DB1AEE" w:rsidP="00DB1A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autoSpaceDE w:val="0"/>
              <w:autoSpaceDN w:val="0"/>
              <w:adjustRightInd w:val="0"/>
              <w:spacing w:before="120" w:after="120"/>
              <w:jc w:val="left"/>
              <w:rPr>
                <w:rFonts w:eastAsia="Calibri"/>
                <w:szCs w:val="24"/>
                <w:u w:val="single"/>
              </w:rPr>
            </w:pPr>
            <w:r w:rsidRPr="00DB1AEE">
              <w:rPr>
                <w:rFonts w:eastAsia="Calibri"/>
                <w:szCs w:val="24"/>
                <w:u w:val="single"/>
              </w:rPr>
              <w:t>The remaining loads not included elsewhere in this table, including but not limited to fireplaces, swimming pools, spas, gas lighting, and snow-melt systems.</w:t>
            </w:r>
          </w:p>
        </w:tc>
      </w:tr>
      <w:tr w:rsidR="00DB1AEE" w:rsidRPr="00DB1AEE" w14:paraId="549BBD42" w14:textId="77777777" w:rsidTr="00FC1832">
        <w:tc>
          <w:tcPr>
            <w:tcW w:w="1611" w:type="dxa"/>
            <w:vAlign w:val="center"/>
          </w:tcPr>
          <w:p w14:paraId="2A39A08D" w14:textId="77777777" w:rsidR="00DB1AEE" w:rsidRPr="00DB1AEE" w:rsidRDefault="00DB1AEE" w:rsidP="00DB1A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autoSpaceDE w:val="0"/>
              <w:autoSpaceDN w:val="0"/>
              <w:adjustRightInd w:val="0"/>
              <w:jc w:val="center"/>
              <w:rPr>
                <w:rFonts w:eastAsia="Calibri"/>
                <w:szCs w:val="24"/>
                <w:u w:val="single"/>
              </w:rPr>
            </w:pPr>
            <w:r w:rsidRPr="00DB1AEE">
              <w:rPr>
                <w:rFonts w:eastAsia="Calibri"/>
                <w:szCs w:val="24"/>
                <w:u w:val="single"/>
              </w:rPr>
              <w:t>Service water heating</w:t>
            </w:r>
          </w:p>
        </w:tc>
        <w:tc>
          <w:tcPr>
            <w:tcW w:w="6731" w:type="dxa"/>
          </w:tcPr>
          <w:p w14:paraId="7FD0FF2F" w14:textId="77777777" w:rsidR="00DB1AEE" w:rsidRPr="00DB1AEE" w:rsidRDefault="00DB1AEE" w:rsidP="00DB1A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autoSpaceDE w:val="0"/>
              <w:autoSpaceDN w:val="0"/>
              <w:adjustRightInd w:val="0"/>
              <w:spacing w:before="120"/>
              <w:jc w:val="left"/>
              <w:rPr>
                <w:rFonts w:eastAsia="Calibri"/>
                <w:szCs w:val="24"/>
                <w:u w:val="single"/>
              </w:rPr>
            </w:pPr>
            <w:r w:rsidRPr="00DB1AEE">
              <w:rPr>
                <w:rFonts w:eastAsia="Calibri"/>
                <w:szCs w:val="24"/>
                <w:u w:val="single"/>
              </w:rPr>
              <w:t xml:space="preserve">Fuel used to heat potable water. </w:t>
            </w:r>
          </w:p>
          <w:p w14:paraId="0FDAB699" w14:textId="77777777" w:rsidR="00DB1AEE" w:rsidRPr="00DB1AEE" w:rsidRDefault="00DB1AEE" w:rsidP="00DB1A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autoSpaceDE w:val="0"/>
              <w:autoSpaceDN w:val="0"/>
              <w:adjustRightInd w:val="0"/>
              <w:spacing w:after="120"/>
              <w:jc w:val="left"/>
              <w:rPr>
                <w:rFonts w:eastAsia="Calibri"/>
                <w:szCs w:val="24"/>
                <w:u w:val="single"/>
              </w:rPr>
            </w:pPr>
            <w:r w:rsidRPr="00DB1AEE">
              <w:rPr>
                <w:rFonts w:eastAsia="Calibri"/>
                <w:szCs w:val="24"/>
                <w:u w:val="single"/>
              </w:rPr>
              <w:t>Exception: Water heating with design capacity that is less than 10 percent of the sum of the rated fuel gas or fuel oil input of all monitored equipment.</w:t>
            </w:r>
          </w:p>
        </w:tc>
      </w:tr>
    </w:tbl>
    <w:p w14:paraId="75B87739" w14:textId="77777777" w:rsidR="00DB1AEE" w:rsidRPr="00DB1AEE" w:rsidRDefault="00DB1AEE" w:rsidP="00DB1AEE">
      <w:pPr>
        <w:spacing w:before="130" w:after="130"/>
        <w:ind w:left="432"/>
        <w:jc w:val="left"/>
        <w:rPr>
          <w:bCs/>
          <w:vanish/>
          <w:spacing w:val="4"/>
          <w:szCs w:val="24"/>
          <w:u w:val="single"/>
          <w:specVanish/>
        </w:rPr>
      </w:pPr>
      <w:r w:rsidRPr="00DB1AEE">
        <w:rPr>
          <w:b/>
          <w:bCs/>
          <w:spacing w:val="4"/>
          <w:szCs w:val="24"/>
          <w:u w:val="single"/>
        </w:rPr>
        <w:t>C405.14.9 Nonelectrical submeters</w:t>
      </w:r>
      <w:r w:rsidRPr="00DB1AEE">
        <w:rPr>
          <w:spacing w:val="4"/>
          <w:szCs w:val="24"/>
          <w:u w:val="single"/>
        </w:rPr>
        <w:t>.</w:t>
      </w:r>
    </w:p>
    <w:p w14:paraId="40C2B547" w14:textId="77777777" w:rsidR="00DB1AEE" w:rsidRPr="00DB1AEE" w:rsidRDefault="00DB1AEE" w:rsidP="00DB1A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autoSpaceDE w:val="0"/>
        <w:autoSpaceDN w:val="0"/>
        <w:adjustRightInd w:val="0"/>
        <w:spacing w:before="420"/>
        <w:ind w:left="1008" w:hanging="288"/>
        <w:rPr>
          <w:szCs w:val="24"/>
          <w:u w:val="single"/>
        </w:rPr>
      </w:pPr>
      <w:r w:rsidRPr="00DB1AEE">
        <w:rPr>
          <w:szCs w:val="24"/>
          <w:u w:val="single"/>
        </w:rPr>
        <w:t xml:space="preserve">  Submeters or other measurement devices required by this section shall be configured to automatically communicate energy consumption data to the data acquisition system required by Section C405.14.10. Source submeters shall be allowed to be any digital-type meter that can provide a digital output to the data acquisition system. Required submetering systems and equipment shall be fully integrated into the data acquisition system and graphical energy report that updates at least hourly in accordance with Sections C405.14.10 and C405.14.11.</w:t>
      </w:r>
    </w:p>
    <w:p w14:paraId="08B12A1B" w14:textId="77777777" w:rsidR="00DB1AEE" w:rsidRPr="00DB1AEE" w:rsidRDefault="00DB1AEE" w:rsidP="00DB1AEE">
      <w:pPr>
        <w:spacing w:before="130" w:after="130"/>
        <w:ind w:left="432"/>
        <w:jc w:val="left"/>
        <w:rPr>
          <w:bCs/>
          <w:vanish/>
          <w:spacing w:val="4"/>
          <w:szCs w:val="24"/>
          <w:u w:val="single"/>
          <w:specVanish/>
        </w:rPr>
      </w:pPr>
      <w:r w:rsidRPr="00DB1AEE">
        <w:rPr>
          <w:b/>
          <w:bCs/>
          <w:spacing w:val="4"/>
          <w:szCs w:val="24"/>
          <w:u w:val="single"/>
        </w:rPr>
        <w:t>C405.14.10 Nonelectrical energy data acquisition system</w:t>
      </w:r>
      <w:r w:rsidRPr="00DB1AEE">
        <w:rPr>
          <w:spacing w:val="4"/>
          <w:szCs w:val="24"/>
          <w:u w:val="single"/>
        </w:rPr>
        <w:t>.</w:t>
      </w:r>
    </w:p>
    <w:p w14:paraId="0FA901F6" w14:textId="77777777" w:rsidR="00DB1AEE" w:rsidRPr="00DB1AEE" w:rsidRDefault="00DB1AEE" w:rsidP="00DB1A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autoSpaceDE w:val="0"/>
        <w:autoSpaceDN w:val="0"/>
        <w:adjustRightInd w:val="0"/>
        <w:spacing w:before="420"/>
        <w:ind w:left="1008" w:hanging="288"/>
        <w:jc w:val="left"/>
        <w:rPr>
          <w:szCs w:val="24"/>
          <w:u w:val="single"/>
        </w:rPr>
      </w:pPr>
      <w:r w:rsidRPr="00DB1AEE">
        <w:rPr>
          <w:szCs w:val="24"/>
          <w:u w:val="single"/>
        </w:rPr>
        <w:t xml:space="preserve">   A data acquisition system shall have the capability to store the data from the required submeters and other sensing devices for not less than 36 months. The data acquisition system shall have the capability to store real-time energy consumption data and provide hourly, daily, monthly and yearly logged data for each end-use category required by Section C405.14.8. The data acquisition system shall have the capability of providing building total nonelectrical peak demand and the time(s) of day and time(s) per month at which the peak occurs. Where applicable as determined by the authority having jurisdiction (AHJ), peak demand shall be integrated over the same time period as the underlying whole-building meter reading rate.</w:t>
      </w:r>
    </w:p>
    <w:p w14:paraId="61BCFE07" w14:textId="77777777" w:rsidR="00DB1AEE" w:rsidRPr="00DB1AEE" w:rsidRDefault="00DB1AEE" w:rsidP="00DB1AEE">
      <w:pPr>
        <w:spacing w:before="130" w:after="130"/>
        <w:ind w:left="432"/>
        <w:jc w:val="left"/>
        <w:rPr>
          <w:bCs/>
          <w:vanish/>
          <w:spacing w:val="4"/>
          <w:szCs w:val="24"/>
          <w:u w:val="single"/>
          <w:specVanish/>
        </w:rPr>
      </w:pPr>
      <w:r w:rsidRPr="00DB1AEE">
        <w:rPr>
          <w:b/>
          <w:bCs/>
          <w:spacing w:val="4"/>
          <w:szCs w:val="24"/>
          <w:u w:val="single"/>
        </w:rPr>
        <w:t>C405.14.11 Graphical energy report</w:t>
      </w:r>
      <w:r w:rsidRPr="00DB1AEE">
        <w:rPr>
          <w:spacing w:val="4"/>
          <w:szCs w:val="24"/>
          <w:u w:val="single"/>
        </w:rPr>
        <w:t>.</w:t>
      </w:r>
    </w:p>
    <w:p w14:paraId="2A6A2D35" w14:textId="77777777" w:rsidR="00DB1AEE" w:rsidRPr="00DB1AEE" w:rsidRDefault="00DB1AEE" w:rsidP="00DB1A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autoSpaceDE w:val="0"/>
        <w:autoSpaceDN w:val="0"/>
        <w:adjustRightInd w:val="0"/>
        <w:spacing w:before="420"/>
        <w:ind w:left="1008" w:hanging="288"/>
        <w:jc w:val="left"/>
        <w:rPr>
          <w:szCs w:val="24"/>
          <w:u w:val="single"/>
        </w:rPr>
      </w:pPr>
      <w:r w:rsidRPr="00DB1AEE">
        <w:rPr>
          <w:szCs w:val="24"/>
          <w:u w:val="single"/>
        </w:rPr>
        <w:t xml:space="preserve"> A permanent and readily accessible reporting mechanism shall be provided in the building that is accessible by building operation and management personnel. The reporting mechanism shall have the capability to graphically provide the nonelectrical energy consumption for each end-use category required by Section C405.14.8 not less than every hour, day, month and year for the previous 36 months. The graphical report shall incorporate natural gas interval data from the submeter or the ability to enter gas utility bills into the report.</w:t>
      </w:r>
    </w:p>
    <w:bookmarkEnd w:id="343"/>
    <w:p w14:paraId="46551BDA" w14:textId="77777777" w:rsidR="00DB1AEE" w:rsidRPr="00DB1AEE" w:rsidRDefault="00DB1AEE" w:rsidP="00DB1AEE">
      <w:pPr>
        <w:widowControl w:val="0"/>
        <w:suppressAutoHyphens/>
        <w:autoSpaceDE w:val="0"/>
        <w:autoSpaceDN w:val="0"/>
        <w:adjustRightInd w:val="0"/>
        <w:spacing w:before="130" w:after="130"/>
        <w:rPr>
          <w:b/>
          <w:bCs/>
          <w:u w:val="single"/>
        </w:rPr>
      </w:pPr>
    </w:p>
    <w:p w14:paraId="4A1A4C9E"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Section C405.17 Electrification Ready.</w:t>
      </w:r>
    </w:p>
    <w:p w14:paraId="6DFA1BBE" w14:textId="77777777" w:rsidR="00DB1AEE" w:rsidRPr="00DB1AEE" w:rsidRDefault="00DB1AEE" w:rsidP="00DB1AEE">
      <w:pPr>
        <w:widowControl w:val="0"/>
        <w:suppressAutoHyphens/>
        <w:spacing w:before="130" w:after="130"/>
        <w:rPr>
          <w:b/>
          <w:bCs/>
          <w:u w:val="single"/>
        </w:rPr>
      </w:pPr>
      <w:r w:rsidRPr="00DB1AEE">
        <w:rPr>
          <w:rFonts w:eastAsia="MS Mincho"/>
          <w:bCs/>
          <w:szCs w:val="24"/>
          <w:u w:val="single"/>
        </w:rPr>
        <w:t>Section C405.17 – Delete Section</w:t>
      </w:r>
      <w:r w:rsidRPr="00DB1AEE">
        <w:rPr>
          <w:u w:val="single"/>
        </w:rPr>
        <w:t xml:space="preserve"> </w:t>
      </w:r>
      <w:r w:rsidRPr="00DB1AEE">
        <w:rPr>
          <w:rFonts w:eastAsia="MS Mincho"/>
          <w:bCs/>
          <w:szCs w:val="24"/>
          <w:u w:val="single"/>
        </w:rPr>
        <w:t xml:space="preserve">C405.17 in its entirety. </w:t>
      </w:r>
    </w:p>
    <w:p w14:paraId="2F0739C4" w14:textId="77777777" w:rsidR="00DB1AEE" w:rsidRPr="00DB1AEE" w:rsidRDefault="00DB1AEE" w:rsidP="00DB1AEE">
      <w:pPr>
        <w:suppressAutoHyphens/>
        <w:spacing w:before="130" w:after="130"/>
        <w:jc w:val="center"/>
        <w:rPr>
          <w:rFonts w:eastAsia="MS Mincho"/>
          <w:b/>
          <w:bCs/>
          <w:szCs w:val="24"/>
          <w:u w:val="single"/>
        </w:rPr>
      </w:pPr>
      <w:r w:rsidRPr="00DB1AEE">
        <w:rPr>
          <w:rFonts w:eastAsia="MS Mincho"/>
          <w:b/>
          <w:bCs/>
          <w:szCs w:val="24"/>
          <w:u w:val="single"/>
        </w:rPr>
        <w:t>SECTION C406</w:t>
      </w:r>
    </w:p>
    <w:p w14:paraId="433FE3DA" w14:textId="77777777" w:rsidR="00DB1AEE" w:rsidRPr="00DB1AEE" w:rsidRDefault="00DB1AEE" w:rsidP="00DB1AEE">
      <w:pPr>
        <w:widowControl w:val="0"/>
        <w:suppressAutoHyphens/>
        <w:spacing w:before="130" w:after="130"/>
        <w:ind w:left="360"/>
        <w:jc w:val="center"/>
        <w:rPr>
          <w:b/>
          <w:bCs/>
          <w:u w:val="single"/>
        </w:rPr>
      </w:pPr>
      <w:r w:rsidRPr="00DB1AEE">
        <w:rPr>
          <w:rFonts w:eastAsia="MS Mincho"/>
          <w:b/>
          <w:bCs/>
          <w:szCs w:val="24"/>
          <w:u w:val="single"/>
        </w:rPr>
        <w:t>ADDITIONAL EFFICIENCY, RENEWABLE AND LOAD MANAGEMENT REQUIREMENTS</w:t>
      </w:r>
    </w:p>
    <w:p w14:paraId="0514FF43"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Section C406.1.1.2 Building core/shell and build-out construction</w:t>
      </w:r>
    </w:p>
    <w:p w14:paraId="11915162" w14:textId="77777777" w:rsidR="00DB1AEE" w:rsidRPr="00DB1AEE" w:rsidRDefault="00DB1AEE" w:rsidP="00DB1AEE">
      <w:pPr>
        <w:widowControl w:val="0"/>
        <w:suppressAutoHyphens/>
        <w:autoSpaceDE w:val="0"/>
        <w:autoSpaceDN w:val="0"/>
        <w:adjustRightInd w:val="0"/>
        <w:spacing w:before="130" w:after="130"/>
        <w:rPr>
          <w:szCs w:val="24"/>
          <w:u w:val="single"/>
        </w:rPr>
      </w:pPr>
      <w:r w:rsidRPr="00DB1AEE">
        <w:rPr>
          <w:szCs w:val="24"/>
          <w:u w:val="single"/>
        </w:rPr>
        <w:t>Section C406.1.1.2- Delete item 3.3</w:t>
      </w:r>
    </w:p>
    <w:p w14:paraId="0EEBDE3E"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Section C406.2.1.6 E06 Improve fenestration.</w:t>
      </w:r>
    </w:p>
    <w:p w14:paraId="09B9A880" w14:textId="77777777" w:rsidR="00DB1AEE" w:rsidRPr="00DB1AEE" w:rsidRDefault="00DB1AEE" w:rsidP="00DB1AEE">
      <w:pPr>
        <w:widowControl w:val="0"/>
        <w:suppressAutoHyphens/>
        <w:autoSpaceDE w:val="0"/>
        <w:autoSpaceDN w:val="0"/>
        <w:adjustRightInd w:val="0"/>
        <w:spacing w:before="130" w:after="130"/>
        <w:rPr>
          <w:szCs w:val="24"/>
          <w:u w:val="single"/>
        </w:rPr>
      </w:pPr>
      <w:r w:rsidRPr="00DB1AEE">
        <w:rPr>
          <w:szCs w:val="24"/>
          <w:u w:val="single"/>
        </w:rPr>
        <w:t>Section C406.2.1.6- Revise section C406.2.1.6 to read as follows:</w:t>
      </w:r>
    </w:p>
    <w:p w14:paraId="3281DDEA" w14:textId="77777777" w:rsidR="00DB1AEE" w:rsidRPr="00DB1AEE" w:rsidRDefault="00DB1AEE" w:rsidP="00DB1AEE">
      <w:pPr>
        <w:widowControl w:val="0"/>
        <w:suppressAutoHyphens/>
        <w:autoSpaceDE w:val="0"/>
        <w:autoSpaceDN w:val="0"/>
        <w:adjustRightInd w:val="0"/>
        <w:spacing w:before="130" w:after="130"/>
        <w:rPr>
          <w:szCs w:val="24"/>
          <w:u w:val="single"/>
        </w:rPr>
      </w:pPr>
      <w:r w:rsidRPr="00DB1AEE">
        <w:rPr>
          <w:b/>
          <w:bCs/>
          <w:szCs w:val="24"/>
          <w:u w:val="single"/>
        </w:rPr>
        <w:t>C406.2.1.6 6 E06 Improve fenestration</w:t>
      </w:r>
      <w:r w:rsidRPr="00DB1AEE">
        <w:rPr>
          <w:szCs w:val="24"/>
          <w:u w:val="single"/>
        </w:rPr>
        <w:t>. Reserved</w:t>
      </w:r>
    </w:p>
    <w:p w14:paraId="3B2B2250"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Section C406.2.3.1.3 W03 Efficient fossil fuel water heater.</w:t>
      </w:r>
    </w:p>
    <w:p w14:paraId="00D03BC5" w14:textId="77777777" w:rsidR="00DB1AEE" w:rsidRPr="00DB1AEE" w:rsidRDefault="00DB1AEE" w:rsidP="00DB1AEE">
      <w:pPr>
        <w:widowControl w:val="0"/>
        <w:suppressAutoHyphens/>
        <w:autoSpaceDE w:val="0"/>
        <w:autoSpaceDN w:val="0"/>
        <w:adjustRightInd w:val="0"/>
        <w:spacing w:before="130" w:after="130"/>
        <w:rPr>
          <w:szCs w:val="24"/>
          <w:u w:val="single"/>
        </w:rPr>
      </w:pPr>
      <w:r w:rsidRPr="00DB1AEE">
        <w:rPr>
          <w:szCs w:val="24"/>
          <w:u w:val="single"/>
        </w:rPr>
        <w:t>Section C406.2.3.1.3 - Revise section C406.2.3.1.3 to read as follows:</w:t>
      </w:r>
    </w:p>
    <w:p w14:paraId="4F91ACD6" w14:textId="77777777" w:rsidR="00DB1AEE" w:rsidRPr="00DB1AEE" w:rsidRDefault="00DB1AEE" w:rsidP="00DB1AEE">
      <w:pPr>
        <w:widowControl w:val="0"/>
        <w:suppressAutoHyphens/>
        <w:autoSpaceDE w:val="0"/>
        <w:autoSpaceDN w:val="0"/>
        <w:adjustRightInd w:val="0"/>
        <w:spacing w:before="130" w:after="130"/>
        <w:rPr>
          <w:szCs w:val="24"/>
          <w:u w:val="single"/>
        </w:rPr>
      </w:pPr>
      <w:r w:rsidRPr="00DB1AEE">
        <w:rPr>
          <w:b/>
          <w:bCs/>
          <w:szCs w:val="24"/>
          <w:u w:val="single"/>
        </w:rPr>
        <w:t>C406.2.3.1.3 W03 Efficient fossil fuel water heater</w:t>
      </w:r>
      <w:r w:rsidRPr="00DB1AEE">
        <w:rPr>
          <w:szCs w:val="24"/>
          <w:u w:val="single"/>
        </w:rPr>
        <w:t>. Reserved</w:t>
      </w:r>
    </w:p>
    <w:p w14:paraId="22A07765"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Section C406.2.3.1.4 Combination service water heating systems.</w:t>
      </w:r>
    </w:p>
    <w:p w14:paraId="011120FB" w14:textId="77777777" w:rsidR="00DB1AEE" w:rsidRPr="00DB1AEE" w:rsidRDefault="00DB1AEE" w:rsidP="00DB1AEE">
      <w:pPr>
        <w:widowControl w:val="0"/>
        <w:suppressAutoHyphens/>
        <w:autoSpaceDE w:val="0"/>
        <w:autoSpaceDN w:val="0"/>
        <w:adjustRightInd w:val="0"/>
        <w:spacing w:before="130" w:after="130"/>
        <w:rPr>
          <w:szCs w:val="24"/>
          <w:u w:val="single"/>
        </w:rPr>
      </w:pPr>
      <w:r w:rsidRPr="00DB1AEE">
        <w:rPr>
          <w:szCs w:val="24"/>
          <w:u w:val="single"/>
        </w:rPr>
        <w:t>Section C406.2.3.1.4 - Revise section C406.2.3.1.3 to read as follows:</w:t>
      </w:r>
    </w:p>
    <w:p w14:paraId="092AF502" w14:textId="77777777" w:rsidR="00DB1AEE" w:rsidRPr="00DB1AEE" w:rsidRDefault="00DB1AEE" w:rsidP="00DB1AEE">
      <w:pPr>
        <w:widowControl w:val="0"/>
        <w:suppressAutoHyphens/>
        <w:autoSpaceDE w:val="0"/>
        <w:autoSpaceDN w:val="0"/>
        <w:adjustRightInd w:val="0"/>
        <w:spacing w:before="130" w:after="130"/>
        <w:rPr>
          <w:u w:val="single"/>
        </w:rPr>
      </w:pPr>
      <w:r w:rsidRPr="00DB1AEE">
        <w:rPr>
          <w:b/>
          <w:bCs/>
          <w:u w:val="single"/>
        </w:rPr>
        <w:t>C406.2.3.1.4 Combination service water heating systems</w:t>
      </w:r>
      <w:r w:rsidRPr="00DB1AEE">
        <w:rPr>
          <w:u w:val="single"/>
        </w:rPr>
        <w:t>. Where service water heating employs both energy recovery and heat pump water heating, W01 may be combined with W02 and receive the sum of both credits.</w:t>
      </w:r>
    </w:p>
    <w:p w14:paraId="50060D91"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Section C406.2.6.1 Q01 Efficient elevator equipment.</w:t>
      </w:r>
    </w:p>
    <w:p w14:paraId="13434FBA" w14:textId="77777777" w:rsidR="00DB1AEE" w:rsidRPr="00DB1AEE" w:rsidRDefault="00DB1AEE" w:rsidP="00DB1AEE">
      <w:pPr>
        <w:widowControl w:val="0"/>
        <w:suppressAutoHyphens/>
        <w:autoSpaceDE w:val="0"/>
        <w:autoSpaceDN w:val="0"/>
        <w:adjustRightInd w:val="0"/>
        <w:spacing w:before="130" w:after="130"/>
        <w:rPr>
          <w:szCs w:val="24"/>
          <w:u w:val="single"/>
        </w:rPr>
      </w:pPr>
      <w:r w:rsidRPr="00DB1AEE">
        <w:rPr>
          <w:szCs w:val="24"/>
          <w:u w:val="single"/>
        </w:rPr>
        <w:t>Section C406.2.6.1 - Revise section C406.2.6.1 to read as follows:</w:t>
      </w:r>
    </w:p>
    <w:p w14:paraId="18565EDA" w14:textId="77777777" w:rsidR="00DB1AEE" w:rsidRPr="00DB1AEE" w:rsidRDefault="00DB1AEE" w:rsidP="00DB1AEE">
      <w:pPr>
        <w:widowControl w:val="0"/>
        <w:suppressAutoHyphens/>
        <w:autoSpaceDE w:val="0"/>
        <w:autoSpaceDN w:val="0"/>
        <w:adjustRightInd w:val="0"/>
        <w:spacing w:before="130" w:after="130"/>
        <w:rPr>
          <w:szCs w:val="24"/>
          <w:u w:val="single"/>
        </w:rPr>
      </w:pPr>
      <w:r w:rsidRPr="00DB1AEE">
        <w:rPr>
          <w:b/>
          <w:bCs/>
          <w:szCs w:val="24"/>
          <w:u w:val="single"/>
        </w:rPr>
        <w:t>C406.2.6.1 Q01 Efficient elevator equipment</w:t>
      </w:r>
      <w:r w:rsidRPr="00DB1AEE">
        <w:rPr>
          <w:szCs w:val="24"/>
          <w:u w:val="single"/>
        </w:rPr>
        <w:t>. Reserved</w:t>
      </w:r>
    </w:p>
    <w:p w14:paraId="44818139"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Section C406.2.6.2 Q02 Efficient commercial kitchen equipment.</w:t>
      </w:r>
    </w:p>
    <w:p w14:paraId="3747521B" w14:textId="77777777" w:rsidR="00DB1AEE" w:rsidRPr="00DB1AEE" w:rsidRDefault="00DB1AEE" w:rsidP="00DB1AEE">
      <w:pPr>
        <w:widowControl w:val="0"/>
        <w:suppressAutoHyphens/>
        <w:autoSpaceDE w:val="0"/>
        <w:autoSpaceDN w:val="0"/>
        <w:adjustRightInd w:val="0"/>
        <w:spacing w:before="130" w:after="130"/>
        <w:rPr>
          <w:szCs w:val="24"/>
          <w:u w:val="single"/>
        </w:rPr>
      </w:pPr>
      <w:r w:rsidRPr="00DB1AEE">
        <w:rPr>
          <w:szCs w:val="24"/>
          <w:u w:val="single"/>
        </w:rPr>
        <w:t>Section C406.2.6.2 - Revise section C406.2.6.2 to read as follows:</w:t>
      </w:r>
    </w:p>
    <w:p w14:paraId="4625ACF3" w14:textId="77777777" w:rsidR="00DB1AEE" w:rsidRPr="00DB1AEE" w:rsidRDefault="00DB1AEE" w:rsidP="00DB1AEE">
      <w:pPr>
        <w:widowControl w:val="0"/>
        <w:suppressAutoHyphens/>
        <w:autoSpaceDE w:val="0"/>
        <w:autoSpaceDN w:val="0"/>
        <w:adjustRightInd w:val="0"/>
        <w:spacing w:before="130" w:after="130"/>
        <w:rPr>
          <w:szCs w:val="24"/>
          <w:u w:val="single"/>
        </w:rPr>
      </w:pPr>
      <w:r w:rsidRPr="00DB1AEE">
        <w:rPr>
          <w:b/>
          <w:bCs/>
          <w:szCs w:val="24"/>
          <w:u w:val="single"/>
        </w:rPr>
        <w:t>C406.2.6.2 Q02 Efficient commercial kitchen equipment</w:t>
      </w:r>
      <w:r w:rsidRPr="00DB1AEE">
        <w:rPr>
          <w:szCs w:val="24"/>
          <w:u w:val="single"/>
        </w:rPr>
        <w:t>. Reserved</w:t>
      </w:r>
    </w:p>
    <w:p w14:paraId="2E68C9A2"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Table C406.2.6.2(1) Minimum Efficiency Requirements: Commercial Fryers.</w:t>
      </w:r>
    </w:p>
    <w:p w14:paraId="050C2026" w14:textId="77777777" w:rsidR="00DB1AEE" w:rsidRPr="00DB1AEE" w:rsidRDefault="00DB1AEE" w:rsidP="00DB1AEE">
      <w:pPr>
        <w:widowControl w:val="0"/>
        <w:suppressAutoHyphens/>
        <w:autoSpaceDE w:val="0"/>
        <w:autoSpaceDN w:val="0"/>
        <w:adjustRightInd w:val="0"/>
        <w:spacing w:before="130" w:after="130"/>
        <w:rPr>
          <w:szCs w:val="24"/>
          <w:u w:val="single"/>
        </w:rPr>
      </w:pPr>
      <w:r w:rsidRPr="00DB1AEE">
        <w:rPr>
          <w:szCs w:val="24"/>
          <w:u w:val="single"/>
        </w:rPr>
        <w:t xml:space="preserve">Table C406.2.6.2(1) – Delete Table C406.2.6.2(1) in its entirety. </w:t>
      </w:r>
    </w:p>
    <w:p w14:paraId="3D3A128B"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Table C406.2.6.2(2) Minimum Efficiency Requirements: Commercial Steam Cookers.</w:t>
      </w:r>
    </w:p>
    <w:p w14:paraId="77E635EF" w14:textId="77777777" w:rsidR="00DB1AEE" w:rsidRPr="00DB1AEE" w:rsidRDefault="00DB1AEE" w:rsidP="00DB1AEE">
      <w:pPr>
        <w:widowControl w:val="0"/>
        <w:suppressAutoHyphens/>
        <w:autoSpaceDE w:val="0"/>
        <w:autoSpaceDN w:val="0"/>
        <w:adjustRightInd w:val="0"/>
        <w:spacing w:before="130" w:after="130"/>
        <w:rPr>
          <w:szCs w:val="24"/>
          <w:u w:val="single"/>
        </w:rPr>
      </w:pPr>
      <w:r w:rsidRPr="00DB1AEE">
        <w:rPr>
          <w:szCs w:val="24"/>
          <w:u w:val="single"/>
        </w:rPr>
        <w:t xml:space="preserve">Table C406.2.6.2(2) – Delete Table C406.2.6.2(2) in its entirety. </w:t>
      </w:r>
    </w:p>
    <w:p w14:paraId="55B0110D"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Table C406.2.6.2(3) Minimum Efficiency Requirements: Commercial Dishwashers.</w:t>
      </w:r>
    </w:p>
    <w:p w14:paraId="5E8B0A0B" w14:textId="77777777" w:rsidR="00DB1AEE" w:rsidRPr="00DB1AEE" w:rsidRDefault="00DB1AEE" w:rsidP="00DB1AEE">
      <w:pPr>
        <w:widowControl w:val="0"/>
        <w:suppressAutoHyphens/>
        <w:autoSpaceDE w:val="0"/>
        <w:autoSpaceDN w:val="0"/>
        <w:adjustRightInd w:val="0"/>
        <w:spacing w:before="130" w:after="130"/>
        <w:rPr>
          <w:szCs w:val="24"/>
          <w:u w:val="single"/>
        </w:rPr>
      </w:pPr>
      <w:r w:rsidRPr="00DB1AEE">
        <w:rPr>
          <w:szCs w:val="24"/>
          <w:u w:val="single"/>
        </w:rPr>
        <w:t xml:space="preserve">Table C406.2.6.2(3) – Delete Table C406.2.6.2(3) in its entirety. </w:t>
      </w:r>
    </w:p>
    <w:p w14:paraId="170D3E89"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Table C406.2.6.2(4) Minimum Efficiency Requirements: Commercial Ovens.</w:t>
      </w:r>
    </w:p>
    <w:p w14:paraId="7224CEE1" w14:textId="77777777" w:rsidR="00DB1AEE" w:rsidRPr="00DB1AEE" w:rsidRDefault="00DB1AEE" w:rsidP="00DB1AEE">
      <w:pPr>
        <w:widowControl w:val="0"/>
        <w:suppressAutoHyphens/>
        <w:autoSpaceDE w:val="0"/>
        <w:autoSpaceDN w:val="0"/>
        <w:adjustRightInd w:val="0"/>
        <w:spacing w:before="130" w:after="130"/>
        <w:rPr>
          <w:szCs w:val="24"/>
          <w:u w:val="single"/>
        </w:rPr>
      </w:pPr>
      <w:r w:rsidRPr="00DB1AEE">
        <w:rPr>
          <w:szCs w:val="24"/>
          <w:u w:val="single"/>
        </w:rPr>
        <w:t xml:space="preserve">Table C406.2.6.2(4) – Delete Table C406.2.6.2(4) in its entirety. </w:t>
      </w:r>
    </w:p>
    <w:p w14:paraId="09218806" w14:textId="77777777" w:rsidR="00DB1AEE" w:rsidRPr="00DB1AEE" w:rsidRDefault="00DB1AEE" w:rsidP="00DB1AEE">
      <w:pPr>
        <w:widowControl w:val="0"/>
        <w:suppressAutoHyphens/>
        <w:autoSpaceDE w:val="0"/>
        <w:autoSpaceDN w:val="0"/>
        <w:adjustRightInd w:val="0"/>
        <w:spacing w:before="130" w:after="130"/>
        <w:rPr>
          <w:szCs w:val="24"/>
          <w:u w:val="single"/>
        </w:rPr>
      </w:pPr>
    </w:p>
    <w:p w14:paraId="666C1270" w14:textId="77777777" w:rsidR="00DB1AEE" w:rsidRPr="00DB1AEE" w:rsidRDefault="00DB1AEE" w:rsidP="00DB1AEE">
      <w:pPr>
        <w:suppressAutoHyphens/>
        <w:jc w:val="left"/>
        <w:rPr>
          <w:u w:val="single"/>
        </w:rPr>
      </w:pPr>
    </w:p>
    <w:p w14:paraId="5B0C3EBC" w14:textId="77777777" w:rsidR="00DB1AEE" w:rsidRPr="00DB1AEE" w:rsidRDefault="00DB1AEE" w:rsidP="00DB1AEE">
      <w:pPr>
        <w:suppressAutoHyphens/>
        <w:jc w:val="center"/>
        <w:rPr>
          <w:b/>
          <w:u w:val="single"/>
        </w:rPr>
      </w:pPr>
      <w:r w:rsidRPr="00DB1AEE">
        <w:rPr>
          <w:b/>
          <w:u w:val="single"/>
        </w:rPr>
        <w:t>SECTION C407</w:t>
      </w:r>
    </w:p>
    <w:p w14:paraId="7FCF8949" w14:textId="77777777" w:rsidR="00DB1AEE" w:rsidRPr="00DB1AEE" w:rsidRDefault="00DB1AEE" w:rsidP="00DB1AEE">
      <w:pPr>
        <w:suppressAutoHyphens/>
        <w:jc w:val="center"/>
        <w:rPr>
          <w:b/>
          <w:u w:val="single"/>
        </w:rPr>
      </w:pPr>
      <w:r w:rsidRPr="00DB1AEE">
        <w:rPr>
          <w:b/>
          <w:u w:val="single"/>
        </w:rPr>
        <w:t>SIMULATED BUILDING PERFORMANCE</w:t>
      </w:r>
    </w:p>
    <w:p w14:paraId="57D2B14D"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Section C407 Simulated Building Performance.</w:t>
      </w:r>
    </w:p>
    <w:p w14:paraId="48E8B382" w14:textId="77777777" w:rsidR="00DB1AEE" w:rsidRPr="00DB1AEE" w:rsidRDefault="00DB1AEE" w:rsidP="00DB1AEE">
      <w:pPr>
        <w:widowControl w:val="0"/>
        <w:suppressAutoHyphens/>
        <w:spacing w:before="130" w:after="130"/>
        <w:rPr>
          <w:b/>
          <w:bCs/>
          <w:u w:val="single"/>
        </w:rPr>
      </w:pPr>
      <w:r w:rsidRPr="00DB1AEE">
        <w:rPr>
          <w:rFonts w:eastAsia="MS Mincho"/>
          <w:bCs/>
          <w:szCs w:val="24"/>
          <w:u w:val="single"/>
        </w:rPr>
        <w:t xml:space="preserve">Section C407 – Delete Section C407 in its entirety and add Section C407 to read as follows: </w:t>
      </w:r>
    </w:p>
    <w:p w14:paraId="223B6895" w14:textId="77777777" w:rsidR="00DB1AEE" w:rsidRPr="00DB1AEE" w:rsidRDefault="00DB1AEE" w:rsidP="00DB1AEE">
      <w:pPr>
        <w:suppressAutoHyphens/>
        <w:jc w:val="center"/>
        <w:rPr>
          <w:b/>
          <w:u w:val="single"/>
        </w:rPr>
      </w:pPr>
      <w:r w:rsidRPr="00DB1AEE">
        <w:rPr>
          <w:b/>
          <w:u w:val="single"/>
        </w:rPr>
        <w:t>SECTION C407</w:t>
      </w:r>
    </w:p>
    <w:p w14:paraId="5C27D440" w14:textId="77777777" w:rsidR="00DB1AEE" w:rsidRPr="00DB1AEE" w:rsidRDefault="00DB1AEE" w:rsidP="00DB1AEE">
      <w:pPr>
        <w:suppressAutoHyphens/>
        <w:jc w:val="center"/>
        <w:rPr>
          <w:b/>
          <w:u w:val="single"/>
        </w:rPr>
      </w:pPr>
      <w:r w:rsidRPr="00DB1AEE">
        <w:rPr>
          <w:b/>
          <w:u w:val="single"/>
        </w:rPr>
        <w:t>RESERVED</w:t>
      </w:r>
    </w:p>
    <w:p w14:paraId="7F0676F5" w14:textId="77777777" w:rsidR="00DB1AEE" w:rsidRPr="00DB1AEE" w:rsidRDefault="00DB1AEE" w:rsidP="00DB1AEE">
      <w:pPr>
        <w:widowControl w:val="0"/>
        <w:suppressAutoHyphens/>
        <w:spacing w:before="130" w:after="130"/>
        <w:ind w:left="360"/>
        <w:rPr>
          <w:b/>
          <w:bCs/>
          <w:u w:val="single"/>
        </w:rPr>
      </w:pPr>
    </w:p>
    <w:p w14:paraId="360EA1CC" w14:textId="77777777" w:rsidR="00DB1AEE" w:rsidRPr="00DB1AEE" w:rsidRDefault="00DB1AEE" w:rsidP="00DB1AEE">
      <w:pPr>
        <w:suppressAutoHyphens/>
        <w:jc w:val="center"/>
        <w:rPr>
          <w:b/>
          <w:u w:val="single"/>
        </w:rPr>
      </w:pPr>
      <w:r w:rsidRPr="00DB1AEE">
        <w:rPr>
          <w:b/>
          <w:u w:val="single"/>
        </w:rPr>
        <w:t>SECTION C408</w:t>
      </w:r>
    </w:p>
    <w:p w14:paraId="6A61CE46" w14:textId="77777777" w:rsidR="00DB1AEE" w:rsidRPr="00DB1AEE" w:rsidRDefault="00DB1AEE" w:rsidP="00DB1AEE">
      <w:pPr>
        <w:widowControl w:val="0"/>
        <w:suppressAutoHyphens/>
        <w:spacing w:before="130" w:after="130"/>
        <w:ind w:left="360"/>
        <w:jc w:val="center"/>
        <w:rPr>
          <w:b/>
          <w:bCs/>
          <w:u w:val="single"/>
        </w:rPr>
      </w:pPr>
      <w:r w:rsidRPr="00DB1AEE">
        <w:rPr>
          <w:b/>
          <w:u w:val="single"/>
        </w:rPr>
        <w:t>MAINTENANCE INFORMATION AND SYSTEM COMMISSIONING</w:t>
      </w:r>
    </w:p>
    <w:p w14:paraId="453331FD" w14:textId="77777777" w:rsidR="00DB1AEE" w:rsidRPr="00DB1AEE" w:rsidRDefault="00DB1AEE" w:rsidP="00DB1AEE">
      <w:pPr>
        <w:widowControl w:val="0"/>
        <w:suppressAutoHyphens/>
        <w:spacing w:before="130" w:after="130"/>
        <w:ind w:left="360"/>
        <w:rPr>
          <w:b/>
          <w:bCs/>
          <w:u w:val="single"/>
        </w:rPr>
      </w:pPr>
    </w:p>
    <w:p w14:paraId="58119997"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 xml:space="preserve">Section C408.2 Mechanical systems, renewable energy, and service water-heating systems commissioning and completion requirements.  </w:t>
      </w:r>
    </w:p>
    <w:p w14:paraId="363E182A" w14:textId="77777777" w:rsidR="00DB1AEE" w:rsidRPr="00DB1AEE" w:rsidRDefault="00DB1AEE" w:rsidP="00DB1AEE">
      <w:pPr>
        <w:widowControl w:val="0"/>
        <w:suppressAutoHyphens/>
        <w:spacing w:before="130" w:after="130"/>
        <w:rPr>
          <w:b/>
          <w:bCs/>
          <w:u w:val="single"/>
        </w:rPr>
      </w:pPr>
      <w:r w:rsidRPr="00DB1AEE">
        <w:rPr>
          <w:rFonts w:eastAsia="MS Mincho"/>
          <w:bCs/>
          <w:szCs w:val="24"/>
          <w:u w:val="single"/>
        </w:rPr>
        <w:t>Section C408.2 – Revise Section</w:t>
      </w:r>
      <w:r w:rsidRPr="00DB1AEE">
        <w:t xml:space="preserve"> </w:t>
      </w:r>
      <w:r w:rsidRPr="00DB1AEE">
        <w:rPr>
          <w:rFonts w:eastAsia="MS Mincho"/>
          <w:bCs/>
          <w:szCs w:val="24"/>
          <w:u w:val="single"/>
        </w:rPr>
        <w:t>C408.2 to read as follows:</w:t>
      </w:r>
    </w:p>
    <w:p w14:paraId="0731C2BA" w14:textId="77777777" w:rsidR="00DB1AEE" w:rsidRPr="00DB1AEE" w:rsidRDefault="00DB1AEE" w:rsidP="00DB1AEE">
      <w:pPr>
        <w:spacing w:before="130" w:after="130"/>
        <w:ind w:left="360"/>
        <w:jc w:val="left"/>
        <w:rPr>
          <w:b/>
          <w:vanish/>
          <w:szCs w:val="22"/>
          <w:u w:val="single"/>
        </w:rPr>
      </w:pPr>
      <w:r w:rsidRPr="00DB1AEE">
        <w:rPr>
          <w:b/>
          <w:w w:val="0"/>
          <w:szCs w:val="22"/>
          <w:u w:val="single"/>
        </w:rPr>
        <w:t>C408.2 Mechanical systems, renewable energy, and service water-heating systems commissioning and completion requirements</w:t>
      </w:r>
      <w:r w:rsidRPr="00DB1AEE">
        <w:rPr>
          <w:bCs/>
          <w:szCs w:val="24"/>
          <w:u w:val="single"/>
        </w:rPr>
        <w:t>.</w:t>
      </w:r>
      <w:r w:rsidRPr="00DB1AEE">
        <w:rPr>
          <w:b/>
          <w:szCs w:val="22"/>
          <w:u w:val="single"/>
        </w:rPr>
        <w:t xml:space="preserve"> </w:t>
      </w:r>
    </w:p>
    <w:p w14:paraId="1B080747" w14:textId="77777777" w:rsidR="00DB1AEE" w:rsidRPr="00DB1AEE" w:rsidRDefault="00DB1AEE" w:rsidP="00DB1AEE">
      <w:pPr>
        <w:autoSpaceDE w:val="0"/>
        <w:autoSpaceDN w:val="0"/>
        <w:adjustRightInd w:val="0"/>
        <w:spacing w:before="80" w:after="80" w:line="220" w:lineRule="atLeast"/>
        <w:ind w:left="360"/>
        <w:rPr>
          <w:szCs w:val="24"/>
          <w:u w:val="single"/>
        </w:rPr>
      </w:pPr>
      <w:r w:rsidRPr="00DB1AEE">
        <w:rPr>
          <w:szCs w:val="24"/>
          <w:u w:val="single"/>
        </w:rPr>
        <w:t xml:space="preserve"> Prior to the final mechanical and plumbing inspections, the </w:t>
      </w:r>
      <w:r w:rsidRPr="00DB1AEE">
        <w:rPr>
          <w:i/>
          <w:iCs/>
          <w:szCs w:val="24"/>
          <w:u w:val="single"/>
        </w:rPr>
        <w:t>approved agency</w:t>
      </w:r>
      <w:r w:rsidRPr="00DB1AEE">
        <w:rPr>
          <w:szCs w:val="24"/>
          <w:u w:val="single"/>
        </w:rPr>
        <w:t xml:space="preserve"> shall provide evidence of mechanical systems </w:t>
      </w:r>
      <w:r w:rsidRPr="00DB1AEE">
        <w:rPr>
          <w:i/>
          <w:iCs/>
          <w:szCs w:val="24"/>
          <w:u w:val="single"/>
        </w:rPr>
        <w:t>commissioning</w:t>
      </w:r>
      <w:r w:rsidRPr="00DB1AEE">
        <w:rPr>
          <w:szCs w:val="24"/>
          <w:u w:val="single"/>
        </w:rPr>
        <w:t xml:space="preserve"> and completion in accordance with the provisions of this section.</w:t>
      </w:r>
    </w:p>
    <w:p w14:paraId="1E0C00FE" w14:textId="77777777" w:rsidR="00DB1AEE" w:rsidRPr="00DB1AEE" w:rsidRDefault="00DB1AEE" w:rsidP="00DB1AEE">
      <w:pPr>
        <w:autoSpaceDE w:val="0"/>
        <w:autoSpaceDN w:val="0"/>
        <w:adjustRightInd w:val="0"/>
        <w:spacing w:before="60" w:after="60" w:line="220" w:lineRule="atLeast"/>
        <w:ind w:left="360" w:firstLine="432"/>
        <w:rPr>
          <w:szCs w:val="24"/>
          <w:u w:val="single"/>
        </w:rPr>
      </w:pPr>
      <w:r w:rsidRPr="00DB1AEE">
        <w:rPr>
          <w:i/>
          <w:iCs/>
          <w:szCs w:val="24"/>
          <w:u w:val="single"/>
        </w:rPr>
        <w:t>Construction document</w:t>
      </w:r>
      <w:r w:rsidRPr="00DB1AEE">
        <w:rPr>
          <w:szCs w:val="24"/>
          <w:u w:val="single"/>
        </w:rPr>
        <w:t xml:space="preserve"> notes shall clearly indicate provisions for </w:t>
      </w:r>
      <w:r w:rsidRPr="00DB1AEE">
        <w:rPr>
          <w:i/>
          <w:iCs/>
          <w:szCs w:val="24"/>
          <w:u w:val="single"/>
        </w:rPr>
        <w:t>commissioning</w:t>
      </w:r>
      <w:r w:rsidRPr="00DB1AEE">
        <w:rPr>
          <w:szCs w:val="24"/>
          <w:u w:val="single"/>
        </w:rPr>
        <w:t xml:space="preserve"> and completion requirements in accordance with this section and are permitted to refer to specifications for further requirements. Copies of all documentation shall be given to the owner or owner’s authorized agent and made available to the </w:t>
      </w:r>
      <w:r w:rsidRPr="00DB1AEE">
        <w:rPr>
          <w:i/>
          <w:iCs/>
          <w:szCs w:val="24"/>
          <w:u w:val="single"/>
        </w:rPr>
        <w:t>building official</w:t>
      </w:r>
      <w:r w:rsidRPr="00DB1AEE">
        <w:rPr>
          <w:szCs w:val="24"/>
          <w:u w:val="single"/>
        </w:rPr>
        <w:t xml:space="preserve"> upon request in accordance with Sections C408.2.4 and C408.2.5.</w:t>
      </w:r>
    </w:p>
    <w:p w14:paraId="4D8ECDB7" w14:textId="77777777" w:rsidR="00DB1AEE" w:rsidRPr="00DB1AEE" w:rsidRDefault="00DB1AEE" w:rsidP="00DB1AEE">
      <w:pPr>
        <w:suppressAutoHyphens/>
        <w:ind w:left="360" w:firstLine="432"/>
        <w:jc w:val="left"/>
        <w:rPr>
          <w:szCs w:val="24"/>
          <w:u w:val="single"/>
        </w:rPr>
      </w:pPr>
      <w:r w:rsidRPr="00DB1AEE">
        <w:rPr>
          <w:szCs w:val="24"/>
          <w:u w:val="single"/>
        </w:rPr>
        <w:t>Mechanical systems, renewable energy, and service water heating systems shall include but are not limited to, at a minimum, the following heating, ventilating, air conditioning, service water heating, indoor air quality and refrigeration systems (mechanical and/or passive) and associated controls:</w:t>
      </w:r>
    </w:p>
    <w:p w14:paraId="7A76BD38" w14:textId="77777777" w:rsidR="00DB1AEE" w:rsidRPr="00DB1AEE" w:rsidRDefault="00DB1AEE" w:rsidP="00DB1AEE">
      <w:pPr>
        <w:suppressAutoHyphens/>
        <w:ind w:left="1080" w:hanging="360"/>
        <w:jc w:val="left"/>
        <w:rPr>
          <w:szCs w:val="24"/>
          <w:u w:val="single"/>
        </w:rPr>
      </w:pPr>
      <w:r w:rsidRPr="00DB1AEE">
        <w:rPr>
          <w:szCs w:val="24"/>
          <w:u w:val="single"/>
        </w:rPr>
        <w:t>1.</w:t>
      </w:r>
      <w:r w:rsidRPr="00DB1AEE">
        <w:rPr>
          <w:szCs w:val="24"/>
          <w:u w:val="single"/>
        </w:rPr>
        <w:tab/>
        <w:t>Heating, cooling, air handling and distribution, ventilation, and exhaust systems, and their related air quality monitoring systems.</w:t>
      </w:r>
    </w:p>
    <w:p w14:paraId="38460215" w14:textId="77777777" w:rsidR="00DB1AEE" w:rsidRPr="00DB1AEE" w:rsidRDefault="00DB1AEE" w:rsidP="00DB1AEE">
      <w:pPr>
        <w:suppressAutoHyphens/>
        <w:ind w:left="1080" w:hanging="360"/>
        <w:jc w:val="left"/>
        <w:rPr>
          <w:szCs w:val="24"/>
          <w:u w:val="single"/>
        </w:rPr>
      </w:pPr>
      <w:r w:rsidRPr="00DB1AEE">
        <w:rPr>
          <w:szCs w:val="24"/>
          <w:u w:val="single"/>
        </w:rPr>
        <w:t>2.</w:t>
      </w:r>
      <w:r w:rsidRPr="00DB1AEE">
        <w:rPr>
          <w:szCs w:val="24"/>
          <w:u w:val="single"/>
        </w:rPr>
        <w:tab/>
        <w:t>Air, water, and other energy recovery systems.</w:t>
      </w:r>
    </w:p>
    <w:p w14:paraId="70CAB977" w14:textId="77777777" w:rsidR="00DB1AEE" w:rsidRPr="00DB1AEE" w:rsidRDefault="00DB1AEE" w:rsidP="00DB1AEE">
      <w:pPr>
        <w:suppressAutoHyphens/>
        <w:ind w:left="1080" w:hanging="360"/>
        <w:jc w:val="left"/>
        <w:rPr>
          <w:szCs w:val="24"/>
          <w:u w:val="single"/>
        </w:rPr>
      </w:pPr>
      <w:r w:rsidRPr="00DB1AEE">
        <w:rPr>
          <w:szCs w:val="24"/>
          <w:u w:val="single"/>
        </w:rPr>
        <w:t>3.</w:t>
      </w:r>
      <w:r w:rsidRPr="00DB1AEE">
        <w:rPr>
          <w:szCs w:val="24"/>
          <w:u w:val="single"/>
        </w:rPr>
        <w:tab/>
        <w:t>Manual or automatic controls, whether local or remote, on energy using systems including but not limited to temperature controls, setback sequences, and occupancy-based control, including energy management functions of the building management system.</w:t>
      </w:r>
    </w:p>
    <w:p w14:paraId="2C3A0244" w14:textId="77777777" w:rsidR="00DB1AEE" w:rsidRPr="00DB1AEE" w:rsidRDefault="00DB1AEE" w:rsidP="00DB1AEE">
      <w:pPr>
        <w:suppressAutoHyphens/>
        <w:ind w:left="1080" w:hanging="360"/>
        <w:jc w:val="left"/>
        <w:rPr>
          <w:szCs w:val="24"/>
          <w:u w:val="single"/>
        </w:rPr>
      </w:pPr>
      <w:r w:rsidRPr="00DB1AEE">
        <w:rPr>
          <w:szCs w:val="24"/>
          <w:u w:val="single"/>
        </w:rPr>
        <w:t>4.</w:t>
      </w:r>
      <w:r w:rsidRPr="00DB1AEE">
        <w:rPr>
          <w:szCs w:val="24"/>
          <w:u w:val="single"/>
        </w:rPr>
        <w:tab/>
        <w:t>Plumbing, including insulation of piping and associated valves, domestic and process water pumping, and mixing systems.</w:t>
      </w:r>
    </w:p>
    <w:p w14:paraId="4875C43E" w14:textId="77777777" w:rsidR="00DB1AEE" w:rsidRPr="00DB1AEE" w:rsidRDefault="00DB1AEE" w:rsidP="00DB1AEE">
      <w:pPr>
        <w:suppressAutoHyphens/>
        <w:ind w:left="1080" w:hanging="360"/>
        <w:jc w:val="left"/>
        <w:rPr>
          <w:szCs w:val="24"/>
          <w:u w:val="single"/>
        </w:rPr>
      </w:pPr>
      <w:r w:rsidRPr="00DB1AEE">
        <w:rPr>
          <w:szCs w:val="24"/>
          <w:u w:val="single"/>
        </w:rPr>
        <w:t>5.</w:t>
      </w:r>
      <w:r w:rsidRPr="00DB1AEE">
        <w:rPr>
          <w:szCs w:val="24"/>
          <w:u w:val="single"/>
        </w:rPr>
        <w:tab/>
        <w:t>Mechanical heating systems and service water heating systems.</w:t>
      </w:r>
    </w:p>
    <w:p w14:paraId="68F65AAF" w14:textId="77777777" w:rsidR="00DB1AEE" w:rsidRPr="00DB1AEE" w:rsidRDefault="00DB1AEE" w:rsidP="00DB1AEE">
      <w:pPr>
        <w:suppressAutoHyphens/>
        <w:ind w:left="1080" w:hanging="360"/>
        <w:jc w:val="left"/>
        <w:rPr>
          <w:szCs w:val="24"/>
          <w:u w:val="single"/>
        </w:rPr>
      </w:pPr>
      <w:r w:rsidRPr="00DB1AEE">
        <w:rPr>
          <w:szCs w:val="24"/>
          <w:u w:val="single"/>
        </w:rPr>
        <w:t>6.</w:t>
      </w:r>
      <w:r w:rsidRPr="00DB1AEE">
        <w:rPr>
          <w:szCs w:val="24"/>
          <w:u w:val="single"/>
        </w:rPr>
        <w:tab/>
        <w:t>Refrigeration systems.</w:t>
      </w:r>
    </w:p>
    <w:p w14:paraId="4E01D573" w14:textId="77777777" w:rsidR="00DB1AEE" w:rsidRPr="00DB1AEE" w:rsidRDefault="00DB1AEE" w:rsidP="00DB1AEE">
      <w:pPr>
        <w:suppressAutoHyphens/>
        <w:ind w:left="1080" w:hanging="360"/>
        <w:jc w:val="left"/>
        <w:rPr>
          <w:szCs w:val="24"/>
          <w:u w:val="single"/>
        </w:rPr>
      </w:pPr>
      <w:r w:rsidRPr="00DB1AEE">
        <w:rPr>
          <w:szCs w:val="24"/>
          <w:u w:val="single"/>
        </w:rPr>
        <w:t>7.</w:t>
      </w:r>
      <w:r w:rsidRPr="00DB1AEE">
        <w:rPr>
          <w:szCs w:val="24"/>
          <w:u w:val="single"/>
        </w:rPr>
        <w:tab/>
        <w:t>Renewable energy and energy storage systems.</w:t>
      </w:r>
    </w:p>
    <w:p w14:paraId="37666981" w14:textId="77777777" w:rsidR="00DB1AEE" w:rsidRPr="00DB1AEE" w:rsidRDefault="00DB1AEE" w:rsidP="00DB1AEE">
      <w:pPr>
        <w:suppressAutoHyphens/>
        <w:ind w:left="1080" w:hanging="360"/>
        <w:jc w:val="left"/>
        <w:rPr>
          <w:szCs w:val="24"/>
          <w:u w:val="single"/>
        </w:rPr>
      </w:pPr>
      <w:r w:rsidRPr="00DB1AEE">
        <w:rPr>
          <w:szCs w:val="24"/>
          <w:u w:val="single"/>
        </w:rPr>
        <w:t>8.</w:t>
      </w:r>
      <w:r w:rsidRPr="00DB1AEE">
        <w:rPr>
          <w:szCs w:val="24"/>
          <w:u w:val="single"/>
        </w:rPr>
        <w:tab/>
        <w:t>Other systems, equipment and components that are used for heating, cooling or ventilation and that affect energy use.</w:t>
      </w:r>
    </w:p>
    <w:p w14:paraId="6EEA53B3" w14:textId="77777777" w:rsidR="00DB1AEE" w:rsidRPr="00DB1AEE" w:rsidRDefault="00DB1AEE" w:rsidP="00DB1AEE">
      <w:pPr>
        <w:autoSpaceDE w:val="0"/>
        <w:autoSpaceDN w:val="0"/>
        <w:adjustRightInd w:val="0"/>
        <w:spacing w:before="80" w:after="80" w:line="220" w:lineRule="atLeast"/>
        <w:ind w:left="720"/>
        <w:rPr>
          <w:i/>
          <w:iCs/>
          <w:szCs w:val="24"/>
          <w:u w:val="single"/>
        </w:rPr>
      </w:pPr>
      <w:r w:rsidRPr="00DB1AEE">
        <w:rPr>
          <w:b/>
          <w:bCs/>
          <w:szCs w:val="24"/>
          <w:u w:val="single"/>
        </w:rPr>
        <w:t>Exceptions:</w:t>
      </w:r>
      <w:r w:rsidRPr="00DB1AEE">
        <w:rPr>
          <w:szCs w:val="24"/>
          <w:u w:val="single"/>
        </w:rPr>
        <w:t xml:space="preserve"> The following systems are exempt:</w:t>
      </w:r>
    </w:p>
    <w:p w14:paraId="2E99F210" w14:textId="77777777" w:rsidR="00DB1AEE" w:rsidRPr="00DB1AEE" w:rsidRDefault="00DB1AEE" w:rsidP="00DB1AEE">
      <w:pPr>
        <w:tabs>
          <w:tab w:val="left" w:pos="860"/>
        </w:tabs>
        <w:autoSpaceDE w:val="0"/>
        <w:autoSpaceDN w:val="0"/>
        <w:adjustRightInd w:val="0"/>
        <w:spacing w:before="60" w:after="60" w:line="220" w:lineRule="atLeast"/>
        <w:ind w:left="1440" w:hanging="360"/>
        <w:rPr>
          <w:szCs w:val="24"/>
          <w:u w:val="single"/>
        </w:rPr>
      </w:pPr>
      <w:r w:rsidRPr="00DB1AEE">
        <w:rPr>
          <w:szCs w:val="24"/>
          <w:u w:val="single"/>
        </w:rPr>
        <w:t>1.</w:t>
      </w:r>
      <w:r w:rsidRPr="00DB1AEE">
        <w:rPr>
          <w:szCs w:val="24"/>
          <w:u w:val="single"/>
        </w:rPr>
        <w:tab/>
      </w:r>
      <w:r w:rsidRPr="00DB1AEE">
        <w:rPr>
          <w:sz w:val="16"/>
          <w:szCs w:val="16"/>
          <w:u w:val="single"/>
        </w:rPr>
        <w:t xml:space="preserve"> </w:t>
      </w:r>
      <w:r w:rsidRPr="00DB1AEE">
        <w:rPr>
          <w:szCs w:val="24"/>
          <w:u w:val="single"/>
        </w:rPr>
        <w:t>Buildings with less than 10,000 square feet (929 m2) gross conditioned floor area and combined heating, cooling and service water heating capacity of less than 960,000 Btu/h (281 kW).</w:t>
      </w:r>
    </w:p>
    <w:p w14:paraId="62E8295A" w14:textId="77777777" w:rsidR="00DB1AEE" w:rsidRPr="00DB1AEE" w:rsidRDefault="00DB1AEE" w:rsidP="00DB1AEE">
      <w:pPr>
        <w:tabs>
          <w:tab w:val="left" w:pos="860"/>
        </w:tabs>
        <w:autoSpaceDE w:val="0"/>
        <w:autoSpaceDN w:val="0"/>
        <w:adjustRightInd w:val="0"/>
        <w:spacing w:before="60" w:after="60" w:line="220" w:lineRule="atLeast"/>
        <w:ind w:left="1440" w:hanging="360"/>
        <w:rPr>
          <w:szCs w:val="24"/>
          <w:u w:val="single"/>
        </w:rPr>
      </w:pPr>
      <w:r w:rsidRPr="00DB1AEE">
        <w:rPr>
          <w:szCs w:val="24"/>
          <w:u w:val="single"/>
        </w:rPr>
        <w:t>2.   Components within dwelling units and sleeping units served by one of the following systems:</w:t>
      </w:r>
    </w:p>
    <w:p w14:paraId="7F873DDB" w14:textId="77777777" w:rsidR="00DB1AEE" w:rsidRPr="00DB1AEE" w:rsidRDefault="00DB1AEE" w:rsidP="00DB1AEE">
      <w:pPr>
        <w:tabs>
          <w:tab w:val="left" w:pos="860"/>
        </w:tabs>
        <w:autoSpaceDE w:val="0"/>
        <w:autoSpaceDN w:val="0"/>
        <w:adjustRightInd w:val="0"/>
        <w:spacing w:before="60" w:after="60" w:line="220" w:lineRule="atLeast"/>
        <w:ind w:left="1728" w:hanging="360"/>
        <w:rPr>
          <w:szCs w:val="24"/>
          <w:u w:val="single"/>
        </w:rPr>
      </w:pPr>
      <w:r w:rsidRPr="00DB1AEE">
        <w:rPr>
          <w:szCs w:val="24"/>
          <w:u w:val="single"/>
        </w:rPr>
        <w:t>2.1. Simple unitary or packaged HVAC equipment listed in Table C403.3.2(1), C403.3.2(2), C403.3.2(4) or C403.3.2(5), each serving one zone and controlled by a single thermostat in the zone served.</w:t>
      </w:r>
    </w:p>
    <w:p w14:paraId="025CE470" w14:textId="77777777" w:rsidR="00DB1AEE" w:rsidRPr="00DB1AEE" w:rsidRDefault="00DB1AEE" w:rsidP="00DB1AEE">
      <w:pPr>
        <w:tabs>
          <w:tab w:val="left" w:pos="860"/>
        </w:tabs>
        <w:autoSpaceDE w:val="0"/>
        <w:autoSpaceDN w:val="0"/>
        <w:adjustRightInd w:val="0"/>
        <w:spacing w:before="60" w:after="60" w:line="220" w:lineRule="atLeast"/>
        <w:ind w:left="1728" w:hanging="360"/>
        <w:rPr>
          <w:szCs w:val="24"/>
          <w:u w:val="single"/>
        </w:rPr>
      </w:pPr>
      <w:r w:rsidRPr="00DB1AEE">
        <w:rPr>
          <w:szCs w:val="24"/>
          <w:u w:val="single"/>
        </w:rPr>
        <w:t>2.2. Two-pipe heating systems installed in the dwelling, serving one or more zones .</w:t>
      </w:r>
    </w:p>
    <w:p w14:paraId="40B44320" w14:textId="77777777" w:rsidR="00DB1AEE" w:rsidRPr="00DB1AEE" w:rsidRDefault="00DB1AEE" w:rsidP="00DB1AEE">
      <w:pPr>
        <w:suppressAutoHyphens/>
        <w:ind w:left="1440" w:hanging="360"/>
        <w:jc w:val="left"/>
        <w:rPr>
          <w:szCs w:val="24"/>
          <w:u w:val="single"/>
        </w:rPr>
      </w:pPr>
      <w:r w:rsidRPr="00DB1AEE">
        <w:rPr>
          <w:szCs w:val="24"/>
          <w:u w:val="single"/>
        </w:rPr>
        <w:t xml:space="preserve">3. </w:t>
      </w:r>
      <w:r w:rsidRPr="00DB1AEE">
        <w:rPr>
          <w:szCs w:val="24"/>
          <w:u w:val="single"/>
        </w:rPr>
        <w:tab/>
        <w:t xml:space="preserve">Renewable energy systems being installed with a generating capacity of less than 25 kW. </w:t>
      </w:r>
    </w:p>
    <w:p w14:paraId="5E80036F" w14:textId="77777777" w:rsidR="00DB1AEE" w:rsidRPr="00DB1AEE" w:rsidRDefault="00DB1AEE" w:rsidP="00DB1AEE">
      <w:pPr>
        <w:widowControl w:val="0"/>
        <w:suppressAutoHyphens/>
        <w:spacing w:before="130" w:after="130"/>
        <w:ind w:left="720"/>
        <w:rPr>
          <w:b/>
          <w:bCs/>
          <w:u w:val="single"/>
        </w:rPr>
      </w:pPr>
    </w:p>
    <w:p w14:paraId="70109DE0"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 xml:space="preserve">Section C408.2.1 Commissioning plan.    </w:t>
      </w:r>
    </w:p>
    <w:p w14:paraId="48859170" w14:textId="77777777" w:rsidR="00DB1AEE" w:rsidRPr="00DB1AEE" w:rsidRDefault="00DB1AEE" w:rsidP="00DB1AEE">
      <w:pPr>
        <w:widowControl w:val="0"/>
        <w:suppressAutoHyphens/>
        <w:spacing w:before="130" w:after="130"/>
        <w:rPr>
          <w:b/>
          <w:bCs/>
          <w:u w:val="single"/>
        </w:rPr>
      </w:pPr>
      <w:r w:rsidRPr="00DB1AEE">
        <w:rPr>
          <w:rFonts w:eastAsia="MS Mincho"/>
          <w:bCs/>
          <w:szCs w:val="24"/>
          <w:u w:val="single"/>
        </w:rPr>
        <w:t>Section C408.2.1 – Revise Item 2 from  Section</w:t>
      </w:r>
      <w:r w:rsidRPr="00DB1AEE">
        <w:t xml:space="preserve"> </w:t>
      </w:r>
      <w:r w:rsidRPr="00DB1AEE">
        <w:rPr>
          <w:rFonts w:eastAsia="MS Mincho"/>
          <w:bCs/>
          <w:szCs w:val="24"/>
          <w:u w:val="single"/>
        </w:rPr>
        <w:t>C408.2.1 to read as follows:</w:t>
      </w:r>
    </w:p>
    <w:p w14:paraId="4729414A" w14:textId="77777777" w:rsidR="00DB1AEE" w:rsidRPr="00DB1AEE" w:rsidRDefault="00DB1AEE" w:rsidP="00DB1AEE">
      <w:pPr>
        <w:widowControl w:val="0"/>
        <w:suppressAutoHyphens/>
        <w:spacing w:before="130" w:after="130"/>
        <w:ind w:left="648" w:hanging="288"/>
        <w:rPr>
          <w:u w:val="single"/>
        </w:rPr>
      </w:pPr>
      <w:r w:rsidRPr="00DB1AEE">
        <w:rPr>
          <w:u w:val="single"/>
        </w:rPr>
        <w:t>2.</w:t>
      </w:r>
      <w:r w:rsidRPr="00DB1AEE">
        <w:rPr>
          <w:u w:val="single"/>
        </w:rPr>
        <w:tab/>
        <w:t>A listing of the specific equipment, appliances or systems to be tested their full sequences of operation, and a description of the tests to be performed, including prerequisite activities and reference to specific checklists or worksheets which are necessary or required by the department.</w:t>
      </w:r>
    </w:p>
    <w:p w14:paraId="14BA984A"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 xml:space="preserve">Section C408.2.2 Systems adjusting and balancing.    </w:t>
      </w:r>
    </w:p>
    <w:p w14:paraId="557111A5" w14:textId="77777777" w:rsidR="00DB1AEE" w:rsidRPr="00DB1AEE" w:rsidRDefault="00DB1AEE" w:rsidP="00DB1AEE">
      <w:pPr>
        <w:widowControl w:val="0"/>
        <w:suppressAutoHyphens/>
        <w:spacing w:before="130" w:after="130"/>
        <w:rPr>
          <w:b/>
          <w:bCs/>
          <w:u w:val="single"/>
        </w:rPr>
      </w:pPr>
      <w:r w:rsidRPr="00DB1AEE">
        <w:rPr>
          <w:rFonts w:eastAsia="MS Mincho"/>
          <w:bCs/>
          <w:szCs w:val="24"/>
          <w:u w:val="single"/>
        </w:rPr>
        <w:t>Section C408.2.2 – Revise Section</w:t>
      </w:r>
      <w:r w:rsidRPr="00DB1AEE">
        <w:t xml:space="preserve"> </w:t>
      </w:r>
      <w:r w:rsidRPr="00DB1AEE">
        <w:rPr>
          <w:rFonts w:eastAsia="MS Mincho"/>
          <w:bCs/>
          <w:szCs w:val="24"/>
          <w:u w:val="single"/>
        </w:rPr>
        <w:t>C408.2.2 to read as follows:</w:t>
      </w:r>
    </w:p>
    <w:p w14:paraId="6DBEBAB5" w14:textId="77777777" w:rsidR="00DB1AEE" w:rsidRPr="00DB1AEE" w:rsidRDefault="00DB1AEE" w:rsidP="00DB1AEE">
      <w:pPr>
        <w:widowControl w:val="0"/>
        <w:suppressAutoHyphens/>
        <w:spacing w:before="130" w:after="130"/>
        <w:ind w:left="360"/>
        <w:rPr>
          <w:u w:val="single"/>
        </w:rPr>
      </w:pPr>
      <w:r w:rsidRPr="00DB1AEE">
        <w:rPr>
          <w:b/>
          <w:bCs/>
          <w:u w:val="single"/>
        </w:rPr>
        <w:t xml:space="preserve">C408.2.2 Systems adjusting and balancing.  </w:t>
      </w:r>
      <w:r w:rsidRPr="00DB1AEE">
        <w:rPr>
          <w:u w:val="single"/>
        </w:rPr>
        <w:t>HVAC systems shall be balanced in accordance with ASHRAE 111, “Testing, Adjusting, and Balancing of Building HVAC Systems” or other accepted engineering standards. Air and water flow rates shall be measured and adjusted to deliver final flow rates within the tolerances provided in the product specifications. Test and balance activities shall include air system and hydronic system balancing.</w:t>
      </w:r>
    </w:p>
    <w:p w14:paraId="490DB4CE"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 xml:space="preserve">Section C408.2.2.1 Air systems balancing.    </w:t>
      </w:r>
    </w:p>
    <w:p w14:paraId="2DDE10D6" w14:textId="77777777" w:rsidR="00DB1AEE" w:rsidRPr="00DB1AEE" w:rsidRDefault="00DB1AEE" w:rsidP="00DB1AEE">
      <w:pPr>
        <w:widowControl w:val="0"/>
        <w:suppressAutoHyphens/>
        <w:spacing w:before="130" w:after="130"/>
        <w:rPr>
          <w:b/>
          <w:bCs/>
          <w:u w:val="single"/>
        </w:rPr>
      </w:pPr>
      <w:r w:rsidRPr="00DB1AEE">
        <w:rPr>
          <w:rFonts w:eastAsia="MS Mincho"/>
          <w:bCs/>
          <w:szCs w:val="24"/>
          <w:u w:val="single"/>
        </w:rPr>
        <w:t>Section C408.2.2.1 – Delete exception from Section</w:t>
      </w:r>
      <w:r w:rsidRPr="00DB1AEE">
        <w:t xml:space="preserve"> </w:t>
      </w:r>
      <w:r w:rsidRPr="00DB1AEE">
        <w:rPr>
          <w:rFonts w:eastAsia="MS Mincho"/>
          <w:bCs/>
          <w:szCs w:val="24"/>
          <w:u w:val="single"/>
        </w:rPr>
        <w:t>C408.2.2.1.</w:t>
      </w:r>
    </w:p>
    <w:p w14:paraId="3B38BEF4"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 xml:space="preserve">Section C408.2.3.1 Air systems balancing.    </w:t>
      </w:r>
    </w:p>
    <w:p w14:paraId="0B026EFC" w14:textId="77777777" w:rsidR="00DB1AEE" w:rsidRPr="00DB1AEE" w:rsidRDefault="00DB1AEE" w:rsidP="00DB1AEE">
      <w:pPr>
        <w:widowControl w:val="0"/>
        <w:suppressAutoHyphens/>
        <w:spacing w:before="130" w:after="130"/>
        <w:rPr>
          <w:b/>
          <w:bCs/>
          <w:u w:val="single"/>
        </w:rPr>
      </w:pPr>
      <w:r w:rsidRPr="00DB1AEE">
        <w:rPr>
          <w:rFonts w:eastAsia="MS Mincho"/>
          <w:bCs/>
          <w:szCs w:val="24"/>
          <w:u w:val="single"/>
        </w:rPr>
        <w:t>Section C408.2.2.1 – Revise  exception from Section</w:t>
      </w:r>
      <w:r w:rsidRPr="00DB1AEE">
        <w:t xml:space="preserve"> </w:t>
      </w:r>
      <w:r w:rsidRPr="00DB1AEE">
        <w:rPr>
          <w:rFonts w:eastAsia="MS Mincho"/>
          <w:bCs/>
          <w:szCs w:val="24"/>
          <w:u w:val="single"/>
        </w:rPr>
        <w:t>C408.2.3.1 to read as follows:</w:t>
      </w:r>
    </w:p>
    <w:p w14:paraId="776872F0" w14:textId="77777777" w:rsidR="00DB1AEE" w:rsidRPr="00DB1AEE" w:rsidRDefault="00DB1AEE" w:rsidP="00DB1AEE">
      <w:pPr>
        <w:widowControl w:val="0"/>
        <w:suppressAutoHyphens/>
        <w:spacing w:before="130" w:after="130"/>
        <w:ind w:left="360"/>
        <w:rPr>
          <w:b/>
          <w:bCs/>
          <w:u w:val="single"/>
        </w:rPr>
      </w:pPr>
      <w:r w:rsidRPr="00DB1AEE">
        <w:rPr>
          <w:b/>
          <w:bCs/>
          <w:u w:val="single"/>
        </w:rPr>
        <w:t xml:space="preserve">Exception: </w:t>
      </w:r>
      <w:r w:rsidRPr="00DB1AEE">
        <w:rPr>
          <w:u w:val="single"/>
        </w:rPr>
        <w:t>Unitary or packaged HVAC equipment listed in the tables in Section C403.3.2 that do not require supply air economizers shall only be required to demonstrate functioning under full-load and part-load conditions.</w:t>
      </w:r>
    </w:p>
    <w:p w14:paraId="7D0E66A2"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 xml:space="preserve">Section C408.2.4 Preliminary commissioning report.    </w:t>
      </w:r>
    </w:p>
    <w:p w14:paraId="2C844206" w14:textId="77777777" w:rsidR="00DB1AEE" w:rsidRPr="00DB1AEE" w:rsidRDefault="00DB1AEE" w:rsidP="00DB1AEE">
      <w:pPr>
        <w:widowControl w:val="0"/>
        <w:suppressAutoHyphens/>
        <w:spacing w:before="130" w:after="130"/>
        <w:rPr>
          <w:b/>
          <w:bCs/>
          <w:u w:val="single"/>
        </w:rPr>
      </w:pPr>
      <w:r w:rsidRPr="00DB1AEE">
        <w:rPr>
          <w:rFonts w:eastAsia="MS Mincho"/>
          <w:bCs/>
          <w:szCs w:val="24"/>
          <w:u w:val="single"/>
        </w:rPr>
        <w:t>Section C408.2.4 – Revise  the first sentence  from Section</w:t>
      </w:r>
      <w:r w:rsidRPr="00DB1AEE">
        <w:t xml:space="preserve"> </w:t>
      </w:r>
      <w:r w:rsidRPr="00DB1AEE">
        <w:rPr>
          <w:rFonts w:eastAsia="MS Mincho"/>
          <w:bCs/>
          <w:szCs w:val="24"/>
          <w:u w:val="single"/>
        </w:rPr>
        <w:t>C408.2.4 to read as follows:</w:t>
      </w:r>
    </w:p>
    <w:p w14:paraId="68E5ACAE" w14:textId="77777777" w:rsidR="00DB1AEE" w:rsidRPr="00DB1AEE" w:rsidRDefault="00DB1AEE" w:rsidP="00DB1AEE">
      <w:pPr>
        <w:widowControl w:val="0"/>
        <w:suppressAutoHyphens/>
        <w:spacing w:before="130" w:after="130"/>
        <w:ind w:left="360"/>
        <w:rPr>
          <w:u w:val="single"/>
        </w:rPr>
      </w:pPr>
      <w:r w:rsidRPr="00DB1AEE">
        <w:rPr>
          <w:u w:val="single"/>
        </w:rPr>
        <w:t>A preliminary report of commissioning test procedures and results shall be completed and certified by the approved agency and provided to the building owner or owner’s authorized agent.</w:t>
      </w:r>
    </w:p>
    <w:p w14:paraId="4E1E7A82"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 xml:space="preserve">Section C408.2.4.1 Acceptance of report.    </w:t>
      </w:r>
    </w:p>
    <w:p w14:paraId="024EAB44" w14:textId="77777777" w:rsidR="00DB1AEE" w:rsidRPr="00DB1AEE" w:rsidRDefault="00DB1AEE" w:rsidP="00DB1AEE">
      <w:pPr>
        <w:widowControl w:val="0"/>
        <w:suppressAutoHyphens/>
        <w:spacing w:before="130" w:after="130"/>
        <w:rPr>
          <w:b/>
          <w:bCs/>
          <w:u w:val="single"/>
        </w:rPr>
      </w:pPr>
      <w:r w:rsidRPr="00DB1AEE">
        <w:rPr>
          <w:rFonts w:eastAsia="MS Mincho"/>
          <w:bCs/>
          <w:szCs w:val="24"/>
          <w:u w:val="single"/>
        </w:rPr>
        <w:t>Section C408.2.4.1 – Revise  Section</w:t>
      </w:r>
      <w:r w:rsidRPr="00DB1AEE">
        <w:t xml:space="preserve"> </w:t>
      </w:r>
      <w:r w:rsidRPr="00DB1AEE">
        <w:rPr>
          <w:rFonts w:eastAsia="MS Mincho"/>
          <w:bCs/>
          <w:szCs w:val="24"/>
          <w:u w:val="single"/>
        </w:rPr>
        <w:t>C408.2.4 to read as follows:</w:t>
      </w:r>
    </w:p>
    <w:p w14:paraId="1F0D019C" w14:textId="77777777" w:rsidR="00DB1AEE" w:rsidRPr="00DB1AEE" w:rsidRDefault="00DB1AEE" w:rsidP="00DB1AEE">
      <w:pPr>
        <w:widowControl w:val="0"/>
        <w:suppressAutoHyphens/>
        <w:spacing w:before="130" w:after="130"/>
        <w:ind w:left="360"/>
        <w:rPr>
          <w:b/>
          <w:bCs/>
          <w:u w:val="single"/>
        </w:rPr>
      </w:pPr>
      <w:r w:rsidRPr="00DB1AEE">
        <w:rPr>
          <w:b/>
          <w:bCs/>
          <w:u w:val="single"/>
        </w:rPr>
        <w:t xml:space="preserve">C408.2.4.1 Acceptance of report.  </w:t>
      </w:r>
      <w:r w:rsidRPr="00DB1AEE">
        <w:rPr>
          <w:u w:val="single"/>
        </w:rPr>
        <w:t>Buildings, or portions thereof, shall not be considered as acceptable for a final inspection pursuant to Chapter 1 of this code until the building official has received a letter of transmittal from the building owner acknowledging that the building owner or owner’s authorized agent has received the Preliminary Commissioning Report.</w:t>
      </w:r>
    </w:p>
    <w:p w14:paraId="5103701A"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 xml:space="preserve">Section C408.2.5 Documentation requirements.    </w:t>
      </w:r>
    </w:p>
    <w:p w14:paraId="0BF0694B" w14:textId="77777777" w:rsidR="00DB1AEE" w:rsidRPr="00DB1AEE" w:rsidRDefault="00DB1AEE" w:rsidP="00DB1AEE">
      <w:pPr>
        <w:widowControl w:val="0"/>
        <w:suppressAutoHyphens/>
        <w:spacing w:before="130" w:after="130"/>
        <w:rPr>
          <w:b/>
          <w:bCs/>
          <w:u w:val="single"/>
        </w:rPr>
      </w:pPr>
      <w:r w:rsidRPr="00DB1AEE">
        <w:rPr>
          <w:rFonts w:eastAsia="MS Mincho"/>
          <w:bCs/>
          <w:szCs w:val="24"/>
          <w:u w:val="single"/>
        </w:rPr>
        <w:t>Section C408.2.5 – Delete Section C408.2.5, Section C408.2.5.1 and Section C408.2.5.2 and add new  Section</w:t>
      </w:r>
      <w:r w:rsidRPr="00DB1AEE">
        <w:t xml:space="preserve"> </w:t>
      </w:r>
      <w:r w:rsidRPr="00DB1AEE">
        <w:rPr>
          <w:rFonts w:eastAsia="MS Mincho"/>
          <w:bCs/>
          <w:szCs w:val="24"/>
          <w:u w:val="single"/>
        </w:rPr>
        <w:t>C408.2.5, Section C408.2.5.1, Section C408.2.5.2, Section C408.2.5.3, Section C408.2.5.4 to read as follows:</w:t>
      </w:r>
    </w:p>
    <w:p w14:paraId="21041F8A" w14:textId="77777777" w:rsidR="00DB1AEE" w:rsidRPr="00DB1AEE" w:rsidRDefault="00DB1AEE" w:rsidP="00DB1AEE">
      <w:pPr>
        <w:widowControl w:val="0"/>
        <w:suppressAutoHyphens/>
        <w:spacing w:before="130" w:after="130"/>
        <w:ind w:left="360"/>
        <w:rPr>
          <w:b/>
          <w:bCs/>
          <w:u w:val="single"/>
        </w:rPr>
      </w:pPr>
      <w:r w:rsidRPr="00DB1AEE">
        <w:rPr>
          <w:b/>
          <w:bCs/>
          <w:u w:val="single"/>
        </w:rPr>
        <w:t xml:space="preserve">C408.2.5 Documentation requirements.  </w:t>
      </w:r>
      <w:r w:rsidRPr="00DB1AEE">
        <w:rPr>
          <w:u w:val="single"/>
        </w:rPr>
        <w:t>The construction documents shall specify that the documents described in Sections C408.2.5.1 through C408.2.5.3  be provided to the building owner or owner’s authorized agent within 90 days of the date of receipt of the certificate of occupancy or letter of completion. The construction documents shall also specify that the Final Commissioning Report be provided to the building owner or owner’s authorized agent in accordance with the requirements of Section C408.2.5.4</w:t>
      </w:r>
    </w:p>
    <w:p w14:paraId="363ABAF0" w14:textId="77777777" w:rsidR="00DB1AEE" w:rsidRPr="00DB1AEE" w:rsidRDefault="00DB1AEE" w:rsidP="00DB1AEE">
      <w:pPr>
        <w:widowControl w:val="0"/>
        <w:suppressAutoHyphens/>
        <w:spacing w:before="130" w:after="130"/>
        <w:ind w:left="360"/>
        <w:rPr>
          <w:u w:val="single"/>
        </w:rPr>
      </w:pPr>
      <w:r w:rsidRPr="00DB1AEE">
        <w:rPr>
          <w:b/>
          <w:bCs/>
          <w:u w:val="single"/>
        </w:rPr>
        <w:t xml:space="preserve">C408.2.5.1 Drawings.  </w:t>
      </w:r>
      <w:r w:rsidRPr="00DB1AEE">
        <w:rPr>
          <w:u w:val="single"/>
        </w:rPr>
        <w:t xml:space="preserve">Construction documents shall include the location and performance data on each piece of equipment. </w:t>
      </w:r>
    </w:p>
    <w:p w14:paraId="06225FCF" w14:textId="77777777" w:rsidR="00DB1AEE" w:rsidRPr="00DB1AEE" w:rsidRDefault="00DB1AEE" w:rsidP="00DB1AEE">
      <w:pPr>
        <w:widowControl w:val="0"/>
        <w:suppressAutoHyphens/>
        <w:spacing w:before="130" w:after="130"/>
        <w:ind w:left="360"/>
        <w:rPr>
          <w:u w:val="single"/>
        </w:rPr>
      </w:pPr>
      <w:r w:rsidRPr="00DB1AEE">
        <w:rPr>
          <w:b/>
          <w:bCs/>
          <w:u w:val="single"/>
        </w:rPr>
        <w:t>C408.2.5.2 Manuals.</w:t>
      </w:r>
      <w:r w:rsidRPr="00DB1AEE">
        <w:rPr>
          <w:u w:val="single"/>
        </w:rPr>
        <w:t xml:space="preserve">  An operating and maintenance manual shall be provided and include all of the following:</w:t>
      </w:r>
    </w:p>
    <w:p w14:paraId="6FC23AC6" w14:textId="77777777" w:rsidR="00DB1AEE" w:rsidRPr="00DB1AEE" w:rsidRDefault="00DB1AEE" w:rsidP="00DB1AEE">
      <w:pPr>
        <w:widowControl w:val="0"/>
        <w:suppressAutoHyphens/>
        <w:spacing w:before="130" w:after="130"/>
        <w:ind w:left="1008" w:hanging="288"/>
        <w:rPr>
          <w:u w:val="single"/>
        </w:rPr>
      </w:pPr>
      <w:r w:rsidRPr="00DB1AEE">
        <w:rPr>
          <w:u w:val="single"/>
        </w:rPr>
        <w:t>1.</w:t>
      </w:r>
      <w:r w:rsidRPr="00DB1AEE">
        <w:rPr>
          <w:u w:val="single"/>
        </w:rPr>
        <w:tab/>
        <w:t>Submittal data stating equipment size and selected options for each piece of equipment requiring maintenance.</w:t>
      </w:r>
    </w:p>
    <w:p w14:paraId="0955AF13" w14:textId="77777777" w:rsidR="00DB1AEE" w:rsidRPr="00DB1AEE" w:rsidRDefault="00DB1AEE" w:rsidP="00DB1AEE">
      <w:pPr>
        <w:widowControl w:val="0"/>
        <w:suppressAutoHyphens/>
        <w:spacing w:before="130" w:after="130"/>
        <w:ind w:left="1008" w:hanging="288"/>
        <w:rPr>
          <w:u w:val="single"/>
        </w:rPr>
      </w:pPr>
      <w:r w:rsidRPr="00DB1AEE">
        <w:rPr>
          <w:u w:val="single"/>
        </w:rPr>
        <w:t>2.</w:t>
      </w:r>
      <w:r w:rsidRPr="00DB1AEE">
        <w:rPr>
          <w:u w:val="single"/>
        </w:rPr>
        <w:tab/>
        <w:t>Manufacturer’s operation manuals and maintenance manuals for each piece of equipment requiring maintenance, except equipment not furnished as part of the project. Required routine maintenance actions shall be clearly identified.</w:t>
      </w:r>
    </w:p>
    <w:p w14:paraId="372A2A2B" w14:textId="77777777" w:rsidR="00DB1AEE" w:rsidRPr="00DB1AEE" w:rsidRDefault="00DB1AEE" w:rsidP="00DB1AEE">
      <w:pPr>
        <w:widowControl w:val="0"/>
        <w:suppressAutoHyphens/>
        <w:spacing w:before="130" w:after="130"/>
        <w:ind w:left="1008" w:hanging="288"/>
        <w:rPr>
          <w:u w:val="single"/>
        </w:rPr>
      </w:pPr>
      <w:r w:rsidRPr="00DB1AEE">
        <w:rPr>
          <w:u w:val="single"/>
        </w:rPr>
        <w:t>3.</w:t>
      </w:r>
      <w:r w:rsidRPr="00DB1AEE">
        <w:rPr>
          <w:u w:val="single"/>
        </w:rPr>
        <w:tab/>
        <w:t>Name and address of at least one service agency.</w:t>
      </w:r>
    </w:p>
    <w:p w14:paraId="67A08B49" w14:textId="77777777" w:rsidR="00DB1AEE" w:rsidRPr="00DB1AEE" w:rsidRDefault="00DB1AEE" w:rsidP="00DB1AEE">
      <w:pPr>
        <w:widowControl w:val="0"/>
        <w:suppressAutoHyphens/>
        <w:spacing w:before="130" w:after="130"/>
        <w:ind w:left="1008" w:hanging="288"/>
        <w:rPr>
          <w:u w:val="single"/>
        </w:rPr>
      </w:pPr>
      <w:r w:rsidRPr="00DB1AEE">
        <w:rPr>
          <w:u w:val="single"/>
        </w:rPr>
        <w:t>4.</w:t>
      </w:r>
      <w:r w:rsidRPr="00DB1AEE">
        <w:rPr>
          <w:u w:val="single"/>
        </w:rPr>
        <w:tab/>
        <w:t>HVAC and service hot water controls system maintenance and calibration information, including wiring diagrams, schematics and control sequence descriptions. Desired or field-determined set points shall be permanently recorded on control drawings at control devices or, for digital control systems, in system programming instructions.</w:t>
      </w:r>
    </w:p>
    <w:p w14:paraId="150C5D4B" w14:textId="77777777" w:rsidR="00DB1AEE" w:rsidRPr="00DB1AEE" w:rsidRDefault="00DB1AEE" w:rsidP="00DB1AEE">
      <w:pPr>
        <w:widowControl w:val="0"/>
        <w:suppressAutoHyphens/>
        <w:spacing w:before="130" w:after="130"/>
        <w:ind w:left="1008" w:hanging="288"/>
        <w:rPr>
          <w:u w:val="single"/>
        </w:rPr>
      </w:pPr>
      <w:r w:rsidRPr="00DB1AEE">
        <w:rPr>
          <w:u w:val="single"/>
        </w:rPr>
        <w:t>5.</w:t>
      </w:r>
      <w:r w:rsidRPr="00DB1AEE">
        <w:rPr>
          <w:u w:val="single"/>
        </w:rPr>
        <w:tab/>
        <w:t>Submittal data indicating all selected options for each piece of lighting equipment and lighting controls.</w:t>
      </w:r>
    </w:p>
    <w:p w14:paraId="1663BDB2" w14:textId="77777777" w:rsidR="00DB1AEE" w:rsidRPr="00DB1AEE" w:rsidRDefault="00DB1AEE" w:rsidP="00DB1AEE">
      <w:pPr>
        <w:widowControl w:val="0"/>
        <w:suppressAutoHyphens/>
        <w:spacing w:before="130" w:after="130"/>
        <w:ind w:left="1008" w:hanging="288"/>
        <w:rPr>
          <w:u w:val="single"/>
        </w:rPr>
      </w:pPr>
      <w:r w:rsidRPr="00DB1AEE">
        <w:rPr>
          <w:u w:val="single"/>
        </w:rPr>
        <w:t>6.</w:t>
      </w:r>
      <w:r w:rsidRPr="00DB1AEE">
        <w:rPr>
          <w:u w:val="single"/>
        </w:rPr>
        <w:tab/>
        <w:t>Operation and maintenance manuals for each piece of lighting equipment. Required routine maintenance actions, cleaning and recommended relamping shall be clearly identified.</w:t>
      </w:r>
    </w:p>
    <w:p w14:paraId="0B711907" w14:textId="77777777" w:rsidR="00DB1AEE" w:rsidRPr="00DB1AEE" w:rsidRDefault="00DB1AEE" w:rsidP="00DB1AEE">
      <w:pPr>
        <w:widowControl w:val="0"/>
        <w:suppressAutoHyphens/>
        <w:spacing w:before="130" w:after="130"/>
        <w:ind w:left="1008" w:hanging="288"/>
        <w:rPr>
          <w:u w:val="single"/>
        </w:rPr>
      </w:pPr>
      <w:r w:rsidRPr="00DB1AEE">
        <w:rPr>
          <w:u w:val="single"/>
        </w:rPr>
        <w:t>7.</w:t>
      </w:r>
      <w:r w:rsidRPr="00DB1AEE">
        <w:rPr>
          <w:u w:val="single"/>
        </w:rPr>
        <w:tab/>
        <w:t>A schedule for inspecting and recalibrating all lighting controls.</w:t>
      </w:r>
    </w:p>
    <w:p w14:paraId="0CD9E056" w14:textId="77777777" w:rsidR="00DB1AEE" w:rsidRPr="00DB1AEE" w:rsidRDefault="00DB1AEE" w:rsidP="00DB1AEE">
      <w:pPr>
        <w:widowControl w:val="0"/>
        <w:suppressAutoHyphens/>
        <w:spacing w:before="130" w:after="130"/>
        <w:ind w:left="1008" w:hanging="288"/>
        <w:rPr>
          <w:u w:val="single"/>
        </w:rPr>
      </w:pPr>
      <w:r w:rsidRPr="00DB1AEE">
        <w:rPr>
          <w:u w:val="single"/>
        </w:rPr>
        <w:t>8.</w:t>
      </w:r>
      <w:r w:rsidRPr="00DB1AEE">
        <w:rPr>
          <w:u w:val="single"/>
        </w:rPr>
        <w:tab/>
        <w:t xml:space="preserve">A narrative of how each system is intended to operate, including recommended set points. </w:t>
      </w:r>
    </w:p>
    <w:p w14:paraId="1D7FFEF6" w14:textId="77777777" w:rsidR="00DB1AEE" w:rsidRPr="00DB1AEE" w:rsidRDefault="00DB1AEE" w:rsidP="00DB1AEE">
      <w:pPr>
        <w:widowControl w:val="0"/>
        <w:suppressAutoHyphens/>
        <w:spacing w:before="130" w:after="130"/>
        <w:ind w:left="360"/>
        <w:rPr>
          <w:u w:val="single"/>
        </w:rPr>
      </w:pPr>
      <w:r w:rsidRPr="00DB1AEE">
        <w:rPr>
          <w:b/>
          <w:bCs/>
          <w:u w:val="single"/>
        </w:rPr>
        <w:t>C408.2.5.3 System balancing report</w:t>
      </w:r>
      <w:r w:rsidRPr="00DB1AEE">
        <w:rPr>
          <w:u w:val="single"/>
        </w:rPr>
        <w:t>. A written report describing the activities and measurements completed in accordance with Section C408.2.2.</w:t>
      </w:r>
    </w:p>
    <w:p w14:paraId="5264F44A" w14:textId="77777777" w:rsidR="00DB1AEE" w:rsidRPr="00DB1AEE" w:rsidRDefault="00DB1AEE" w:rsidP="00DB1AEE">
      <w:pPr>
        <w:widowControl w:val="0"/>
        <w:suppressAutoHyphens/>
        <w:spacing w:before="130" w:after="130"/>
        <w:ind w:left="360"/>
        <w:rPr>
          <w:u w:val="single"/>
        </w:rPr>
      </w:pPr>
      <w:r w:rsidRPr="00DB1AEE">
        <w:rPr>
          <w:b/>
          <w:bCs/>
          <w:u w:val="single"/>
        </w:rPr>
        <w:t>C408.2.5.4 Final commissioning report.</w:t>
      </w:r>
      <w:r w:rsidRPr="00DB1AEE">
        <w:rPr>
          <w:u w:val="single"/>
        </w:rPr>
        <w:t xml:space="preserve"> Within 30 months for new buildings 500,000 gross square feet (46 452 m²) or greater, excluding R-2 occupancies, or within 18 months for R-2 occupancies and all other buildings, of the issuance of the certificate of occupancy or letter of completion, an approved agency shall prepare a report of test procedures and results, including test procedures and results performed after occupancy, identified as the "Final Commissioning Report,” provide such report to the building owner, and submit a certification to the department with applicable fees in accordance with department rules. The owner of a building 500,000 gross square feet (46 452 m²) or greater may apply for an extension of time to the building official based on good cause, in accordance with department rules. Such report shall include the following:</w:t>
      </w:r>
    </w:p>
    <w:p w14:paraId="05FC9B52" w14:textId="77777777" w:rsidR="00DB1AEE" w:rsidRPr="00DB1AEE" w:rsidRDefault="00DB1AEE" w:rsidP="00DB1AEE">
      <w:pPr>
        <w:widowControl w:val="0"/>
        <w:suppressAutoHyphens/>
        <w:spacing w:before="130" w:after="130"/>
        <w:ind w:left="1008" w:hanging="288"/>
        <w:rPr>
          <w:u w:val="single"/>
        </w:rPr>
      </w:pPr>
      <w:r w:rsidRPr="00DB1AEE">
        <w:rPr>
          <w:u w:val="single"/>
        </w:rPr>
        <w:t>1.</w:t>
      </w:r>
      <w:r w:rsidRPr="00DB1AEE">
        <w:rPr>
          <w:u w:val="single"/>
        </w:rPr>
        <w:tab/>
        <w:t>Results of functional performance tests.</w:t>
      </w:r>
    </w:p>
    <w:p w14:paraId="46DF4380" w14:textId="77777777" w:rsidR="00DB1AEE" w:rsidRPr="00DB1AEE" w:rsidRDefault="00DB1AEE" w:rsidP="00DB1AEE">
      <w:pPr>
        <w:widowControl w:val="0"/>
        <w:suppressAutoHyphens/>
        <w:spacing w:before="130" w:after="130"/>
        <w:ind w:left="1008" w:hanging="288"/>
        <w:rPr>
          <w:u w:val="single"/>
        </w:rPr>
      </w:pPr>
      <w:r w:rsidRPr="00DB1AEE">
        <w:rPr>
          <w:u w:val="single"/>
        </w:rPr>
        <w:t>2.</w:t>
      </w:r>
      <w:r w:rsidRPr="00DB1AEE">
        <w:rPr>
          <w:u w:val="single"/>
        </w:rPr>
        <w:tab/>
        <w:t>Disposition of deficiencies found during testing, including details of corrective measures used or proposed.</w:t>
      </w:r>
    </w:p>
    <w:p w14:paraId="7E2D4D81" w14:textId="77777777" w:rsidR="00DB1AEE" w:rsidRPr="00DB1AEE" w:rsidRDefault="00DB1AEE" w:rsidP="00DB1AEE">
      <w:pPr>
        <w:widowControl w:val="0"/>
        <w:suppressAutoHyphens/>
        <w:spacing w:before="130" w:after="130"/>
        <w:ind w:left="1008" w:hanging="288"/>
        <w:rPr>
          <w:u w:val="single"/>
        </w:rPr>
      </w:pPr>
      <w:r w:rsidRPr="00DB1AEE">
        <w:rPr>
          <w:u w:val="single"/>
        </w:rPr>
        <w:t>3.</w:t>
      </w:r>
      <w:r w:rsidRPr="00DB1AEE">
        <w:rPr>
          <w:u w:val="single"/>
        </w:rPr>
        <w:tab/>
        <w:t>Functional performance test procedures used during the commissioning process including measurable criteria for test acceptance, provided herein for repeatability.</w:t>
      </w:r>
    </w:p>
    <w:p w14:paraId="2B033D0F" w14:textId="77777777" w:rsidR="00DB1AEE" w:rsidRPr="00DB1AEE" w:rsidRDefault="00DB1AEE" w:rsidP="00DB1AEE">
      <w:pPr>
        <w:widowControl w:val="0"/>
        <w:suppressAutoHyphens/>
        <w:spacing w:before="130" w:after="130"/>
        <w:ind w:left="360"/>
        <w:rPr>
          <w:u w:val="single"/>
        </w:rPr>
      </w:pPr>
      <w:r w:rsidRPr="00DB1AEE">
        <w:rPr>
          <w:u w:val="single"/>
        </w:rPr>
        <w:t>Exception: Deferred tests that cannot be performed at the time of report preparation due to climatic conditions.</w:t>
      </w:r>
    </w:p>
    <w:p w14:paraId="364A3135"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 xml:space="preserve">Section C408.3.1 Functional testing.    </w:t>
      </w:r>
    </w:p>
    <w:p w14:paraId="574E800A" w14:textId="77777777" w:rsidR="00DB1AEE" w:rsidRPr="00DB1AEE" w:rsidRDefault="00DB1AEE" w:rsidP="00DB1AEE">
      <w:pPr>
        <w:widowControl w:val="0"/>
        <w:suppressAutoHyphens/>
        <w:spacing w:before="130" w:after="130"/>
        <w:rPr>
          <w:b/>
          <w:bCs/>
          <w:u w:val="single"/>
        </w:rPr>
      </w:pPr>
      <w:r w:rsidRPr="00DB1AEE">
        <w:rPr>
          <w:rFonts w:eastAsia="MS Mincho"/>
          <w:bCs/>
          <w:szCs w:val="24"/>
          <w:u w:val="single"/>
        </w:rPr>
        <w:t>Section C408.3.1 – Revise the first sentence of Section</w:t>
      </w:r>
      <w:r w:rsidRPr="00DB1AEE">
        <w:t xml:space="preserve"> </w:t>
      </w:r>
      <w:r w:rsidRPr="00DB1AEE">
        <w:rPr>
          <w:rFonts w:eastAsia="MS Mincho"/>
          <w:bCs/>
          <w:szCs w:val="24"/>
          <w:u w:val="single"/>
        </w:rPr>
        <w:t>C408.3.1 to read as follows:</w:t>
      </w:r>
    </w:p>
    <w:p w14:paraId="7992EBE7" w14:textId="77777777" w:rsidR="00DB1AEE" w:rsidRPr="00DB1AEE" w:rsidRDefault="00DB1AEE" w:rsidP="00DB1AEE">
      <w:pPr>
        <w:widowControl w:val="0"/>
        <w:suppressAutoHyphens/>
        <w:spacing w:before="130" w:after="130"/>
        <w:ind w:left="360"/>
        <w:rPr>
          <w:u w:val="single"/>
        </w:rPr>
      </w:pPr>
      <w:r w:rsidRPr="00DB1AEE">
        <w:rPr>
          <w:u w:val="single"/>
        </w:rPr>
        <w:t>Prior to passing final inspection, the approved agency shall provide evidence that the lighting and receptable control systems have been tested to ensure that control hardware and software are calibrated, adjusted, programmed and in proper working condition in accordance with the construction documents and manufacturer’s instructions.</w:t>
      </w:r>
    </w:p>
    <w:p w14:paraId="1470E8D1" w14:textId="77777777" w:rsidR="00DB1AEE" w:rsidRPr="00DB1AEE" w:rsidRDefault="00DB1AEE" w:rsidP="00DB1AEE">
      <w:pPr>
        <w:widowControl w:val="0"/>
        <w:suppressAutoHyphens/>
        <w:spacing w:before="130" w:after="130"/>
        <w:ind w:left="360"/>
        <w:rPr>
          <w:b/>
          <w:bCs/>
          <w:u w:val="single"/>
        </w:rPr>
      </w:pPr>
    </w:p>
    <w:p w14:paraId="4AA062FB"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 xml:space="preserve">Section C408.4 Air barrier commissioning.  .    </w:t>
      </w:r>
    </w:p>
    <w:p w14:paraId="060214D9" w14:textId="77777777" w:rsidR="00DB1AEE" w:rsidRPr="00DB1AEE" w:rsidRDefault="00DB1AEE" w:rsidP="00DB1AEE">
      <w:pPr>
        <w:widowControl w:val="0"/>
        <w:suppressAutoHyphens/>
        <w:spacing w:before="130" w:after="130"/>
        <w:rPr>
          <w:b/>
          <w:bCs/>
          <w:u w:val="single"/>
        </w:rPr>
      </w:pPr>
      <w:r w:rsidRPr="00DB1AEE">
        <w:rPr>
          <w:rFonts w:eastAsia="MS Mincho"/>
          <w:bCs/>
          <w:szCs w:val="24"/>
          <w:u w:val="single"/>
        </w:rPr>
        <w:t>Section C408.4 – Add new Section</w:t>
      </w:r>
      <w:r w:rsidRPr="00DB1AEE">
        <w:t xml:space="preserve"> </w:t>
      </w:r>
      <w:r w:rsidRPr="00DB1AEE">
        <w:rPr>
          <w:rFonts w:eastAsia="MS Mincho"/>
          <w:bCs/>
          <w:szCs w:val="24"/>
          <w:u w:val="single"/>
        </w:rPr>
        <w:t>C408.4, Section</w:t>
      </w:r>
      <w:r w:rsidRPr="00DB1AEE">
        <w:t xml:space="preserve"> </w:t>
      </w:r>
      <w:r w:rsidRPr="00DB1AEE">
        <w:rPr>
          <w:rFonts w:eastAsia="MS Mincho"/>
          <w:bCs/>
          <w:szCs w:val="24"/>
          <w:u w:val="single"/>
        </w:rPr>
        <w:t>C408.4.1, Section</w:t>
      </w:r>
      <w:r w:rsidRPr="00DB1AEE">
        <w:t xml:space="preserve"> </w:t>
      </w:r>
      <w:r w:rsidRPr="00DB1AEE">
        <w:rPr>
          <w:rFonts w:eastAsia="MS Mincho"/>
          <w:bCs/>
          <w:szCs w:val="24"/>
          <w:u w:val="single"/>
        </w:rPr>
        <w:t>C408.4.2, Section</w:t>
      </w:r>
      <w:r w:rsidRPr="00DB1AEE">
        <w:t xml:space="preserve"> </w:t>
      </w:r>
      <w:r w:rsidRPr="00DB1AEE">
        <w:rPr>
          <w:rFonts w:eastAsia="MS Mincho"/>
          <w:bCs/>
          <w:szCs w:val="24"/>
          <w:u w:val="single"/>
        </w:rPr>
        <w:t>C408.4.3   to read as follows:</w:t>
      </w:r>
    </w:p>
    <w:p w14:paraId="18E67E42" w14:textId="77777777" w:rsidR="00DB1AEE" w:rsidRPr="00DB1AEE" w:rsidRDefault="00DB1AEE" w:rsidP="00DB1AEE">
      <w:pPr>
        <w:widowControl w:val="0"/>
        <w:suppressAutoHyphens/>
        <w:spacing w:before="130" w:after="130"/>
        <w:ind w:left="360"/>
        <w:rPr>
          <w:b/>
          <w:bCs/>
          <w:u w:val="single"/>
        </w:rPr>
      </w:pPr>
      <w:r w:rsidRPr="00DB1AEE">
        <w:rPr>
          <w:b/>
          <w:bCs/>
          <w:u w:val="single"/>
        </w:rPr>
        <w:t xml:space="preserve">C408.4 Air barrier commissioning.  </w:t>
      </w:r>
      <w:r w:rsidRPr="00DB1AEE">
        <w:rPr>
          <w:u w:val="single"/>
        </w:rPr>
        <w:t>For new buildings or additions that are 10,000 gross square feet (929 m2) and greater, prior to passing final inspection, the approved agency shall provide evidence of air barrier commissioning and substantial completion in accordance with the provisions of Sections C408.4.1 through C408.4.3.</w:t>
      </w:r>
      <w:r w:rsidRPr="00DB1AEE">
        <w:rPr>
          <w:b/>
          <w:bCs/>
          <w:u w:val="single"/>
        </w:rPr>
        <w:t xml:space="preserve"> </w:t>
      </w:r>
    </w:p>
    <w:p w14:paraId="5D867102" w14:textId="77777777" w:rsidR="00DB1AEE" w:rsidRPr="00DB1AEE" w:rsidRDefault="00DB1AEE" w:rsidP="00DB1AEE">
      <w:pPr>
        <w:widowControl w:val="0"/>
        <w:suppressAutoHyphens/>
        <w:spacing w:before="130" w:after="130"/>
        <w:ind w:left="360"/>
        <w:rPr>
          <w:b/>
          <w:bCs/>
          <w:u w:val="single"/>
        </w:rPr>
      </w:pPr>
      <w:r w:rsidRPr="00DB1AEE">
        <w:rPr>
          <w:b/>
          <w:bCs/>
          <w:u w:val="single"/>
        </w:rPr>
        <w:t xml:space="preserve">C408.4.1 Documentation.  </w:t>
      </w:r>
      <w:r w:rsidRPr="00DB1AEE">
        <w:rPr>
          <w:u w:val="single"/>
        </w:rPr>
        <w:t>Construction documents shall include documentation of the continuous air barrier components included in the design and a field inspection checklist that includes all requirements necessary for maintaining air barrier continuity and durability in accordance with Section C402.6.</w:t>
      </w:r>
      <w:r w:rsidRPr="00DB1AEE">
        <w:rPr>
          <w:b/>
          <w:bCs/>
          <w:u w:val="single"/>
        </w:rPr>
        <w:t xml:space="preserve"> </w:t>
      </w:r>
    </w:p>
    <w:p w14:paraId="09AA3B10" w14:textId="77777777" w:rsidR="00DB1AEE" w:rsidRPr="00DB1AEE" w:rsidRDefault="00DB1AEE" w:rsidP="00DB1AEE">
      <w:pPr>
        <w:widowControl w:val="0"/>
        <w:suppressAutoHyphens/>
        <w:spacing w:before="130" w:after="130"/>
        <w:ind w:left="360"/>
        <w:rPr>
          <w:b/>
          <w:bCs/>
          <w:u w:val="single"/>
        </w:rPr>
      </w:pPr>
      <w:r w:rsidRPr="00DB1AEE">
        <w:rPr>
          <w:b/>
          <w:bCs/>
          <w:u w:val="single"/>
        </w:rPr>
        <w:t xml:space="preserve">C408.4.2 Field inspections.  </w:t>
      </w:r>
      <w:r w:rsidRPr="00DB1AEE">
        <w:rPr>
          <w:u w:val="single"/>
        </w:rPr>
        <w:t>Reports from field inspections during project construction showing compliance with continuous air barrier requirements including proper material handling and storage, use of approved materials and material substitutes, proper material and surface preparation, and air barrier continuity shall be provided to the owner and, upon request, to the building official. Air barrier continuity shall be determined by testing or inspecting each type of unique air barrier joint or seam in the building envelope for continuity and defects.</w:t>
      </w:r>
      <w:r w:rsidRPr="00DB1AEE">
        <w:rPr>
          <w:b/>
          <w:bCs/>
          <w:u w:val="single"/>
        </w:rPr>
        <w:t xml:space="preserve"> </w:t>
      </w:r>
    </w:p>
    <w:p w14:paraId="62A8866A" w14:textId="77777777" w:rsidR="00DB1AEE" w:rsidRPr="00DB1AEE" w:rsidRDefault="00DB1AEE" w:rsidP="00DB1AEE">
      <w:pPr>
        <w:widowControl w:val="0"/>
        <w:suppressAutoHyphens/>
        <w:spacing w:before="130" w:after="130"/>
        <w:ind w:left="360"/>
        <w:rPr>
          <w:b/>
          <w:bCs/>
          <w:u w:val="single"/>
        </w:rPr>
      </w:pPr>
      <w:r w:rsidRPr="00DB1AEE">
        <w:rPr>
          <w:b/>
          <w:bCs/>
          <w:u w:val="single"/>
        </w:rPr>
        <w:t xml:space="preserve">C408.4.3 Report.  </w:t>
      </w:r>
      <w:r w:rsidRPr="00DB1AEE">
        <w:rPr>
          <w:u w:val="single"/>
        </w:rPr>
        <w:t>A Final Commissioning Report indicating compliance with the continuous air barrier requirements shall be provided to the building owner and, upon request, to the building official.</w:t>
      </w:r>
    </w:p>
    <w:p w14:paraId="763973C9" w14:textId="77777777" w:rsidR="00DB1AEE" w:rsidRPr="00DB1AEE" w:rsidRDefault="00DB1AEE" w:rsidP="00DB1AEE">
      <w:pPr>
        <w:widowControl w:val="0"/>
        <w:suppressAutoHyphens/>
        <w:spacing w:before="130" w:after="130"/>
        <w:ind w:left="360"/>
        <w:rPr>
          <w:b/>
          <w:bCs/>
          <w:u w:val="single"/>
        </w:rPr>
      </w:pPr>
    </w:p>
    <w:p w14:paraId="151BD9B6" w14:textId="77777777" w:rsidR="00DB1AEE" w:rsidRPr="00DB1AEE" w:rsidRDefault="00DB1AEE" w:rsidP="00DB1AEE">
      <w:pPr>
        <w:widowControl w:val="0"/>
        <w:suppressAutoHyphens/>
        <w:spacing w:before="130" w:after="130"/>
        <w:ind w:left="360"/>
        <w:jc w:val="center"/>
        <w:rPr>
          <w:b/>
          <w:bCs/>
          <w:u w:val="single"/>
        </w:rPr>
      </w:pPr>
      <w:r w:rsidRPr="00DB1AEE">
        <w:rPr>
          <w:b/>
          <w:bCs/>
          <w:u w:val="single"/>
        </w:rPr>
        <w:t>CHAPTER C5</w:t>
      </w:r>
    </w:p>
    <w:p w14:paraId="687BDFF9" w14:textId="77777777" w:rsidR="00DB1AEE" w:rsidRPr="00DB1AEE" w:rsidRDefault="00DB1AEE" w:rsidP="00DB1AEE">
      <w:pPr>
        <w:widowControl w:val="0"/>
        <w:suppressAutoHyphens/>
        <w:spacing w:before="130" w:after="130"/>
        <w:ind w:left="360"/>
        <w:jc w:val="center"/>
        <w:rPr>
          <w:b/>
          <w:bCs/>
          <w:u w:val="single"/>
        </w:rPr>
      </w:pPr>
      <w:r w:rsidRPr="00DB1AEE">
        <w:rPr>
          <w:b/>
          <w:bCs/>
          <w:u w:val="single"/>
        </w:rPr>
        <w:t>EXISTING BUILDINGS</w:t>
      </w:r>
    </w:p>
    <w:p w14:paraId="734C50E2" w14:textId="77777777" w:rsidR="00DB1AEE" w:rsidRPr="00DB1AEE" w:rsidRDefault="00DB1AEE" w:rsidP="00DB1AEE">
      <w:pPr>
        <w:widowControl w:val="0"/>
        <w:suppressAutoHyphens/>
        <w:spacing w:before="130" w:after="130"/>
        <w:ind w:left="360"/>
        <w:jc w:val="center"/>
        <w:rPr>
          <w:b/>
          <w:bCs/>
          <w:u w:val="single"/>
        </w:rPr>
      </w:pPr>
      <w:r w:rsidRPr="00DB1AEE">
        <w:rPr>
          <w:b/>
          <w:bCs/>
          <w:u w:val="single"/>
        </w:rPr>
        <w:t>SECTION ECC C501</w:t>
      </w:r>
    </w:p>
    <w:p w14:paraId="51C7F0DA" w14:textId="77777777" w:rsidR="00DB1AEE" w:rsidRPr="00DB1AEE" w:rsidRDefault="00DB1AEE" w:rsidP="00DB1AEE">
      <w:pPr>
        <w:widowControl w:val="0"/>
        <w:suppressAutoHyphens/>
        <w:spacing w:before="130" w:after="130"/>
        <w:ind w:left="360"/>
        <w:jc w:val="center"/>
        <w:rPr>
          <w:b/>
          <w:bCs/>
          <w:u w:val="single"/>
        </w:rPr>
      </w:pPr>
      <w:r w:rsidRPr="00DB1AEE">
        <w:rPr>
          <w:b/>
          <w:bCs/>
          <w:u w:val="single"/>
        </w:rPr>
        <w:t>GENERAL</w:t>
      </w:r>
    </w:p>
    <w:p w14:paraId="7E6FB3AF"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 xml:space="preserve">Section C501.1 Scope.    </w:t>
      </w:r>
    </w:p>
    <w:p w14:paraId="1E4D2E46" w14:textId="77777777" w:rsidR="00DB1AEE" w:rsidRPr="00DB1AEE" w:rsidRDefault="00DB1AEE" w:rsidP="00DB1AEE">
      <w:pPr>
        <w:widowControl w:val="0"/>
        <w:suppressAutoHyphens/>
        <w:spacing w:before="130" w:after="130"/>
        <w:rPr>
          <w:b/>
          <w:bCs/>
          <w:u w:val="single"/>
        </w:rPr>
      </w:pPr>
      <w:r w:rsidRPr="00DB1AEE">
        <w:rPr>
          <w:rFonts w:eastAsia="MS Mincho"/>
          <w:bCs/>
          <w:szCs w:val="24"/>
          <w:u w:val="single"/>
        </w:rPr>
        <w:t>Section C501.1 – Revise Section</w:t>
      </w:r>
      <w:r w:rsidRPr="00DB1AEE">
        <w:t xml:space="preserve"> </w:t>
      </w:r>
      <w:r w:rsidRPr="00DB1AEE">
        <w:rPr>
          <w:rFonts w:eastAsia="MS Mincho"/>
          <w:bCs/>
          <w:szCs w:val="24"/>
          <w:u w:val="single"/>
        </w:rPr>
        <w:t>C501.1 to read as follows:</w:t>
      </w:r>
    </w:p>
    <w:p w14:paraId="11F4E3E9" w14:textId="77777777" w:rsidR="00DB1AEE" w:rsidRPr="00DB1AEE" w:rsidRDefault="00DB1AEE" w:rsidP="00DB1AEE">
      <w:pPr>
        <w:widowControl w:val="0"/>
        <w:suppressAutoHyphens/>
        <w:spacing w:before="130" w:after="130"/>
        <w:ind w:left="360"/>
        <w:rPr>
          <w:b/>
          <w:bCs/>
          <w:u w:val="single"/>
        </w:rPr>
      </w:pPr>
      <w:r w:rsidRPr="00DB1AEE">
        <w:rPr>
          <w:b/>
          <w:bCs/>
          <w:u w:val="single"/>
        </w:rPr>
        <w:t xml:space="preserve">C501.1 Scope.  </w:t>
      </w:r>
      <w:r w:rsidRPr="00DB1AEE">
        <w:rPr>
          <w:u w:val="single"/>
        </w:rPr>
        <w:t>The provisions of this chapter shall control the alteration, repair, addition and change of occupancy of existing buildings and structures. This chapter shall not apply to alterations required to comply with new building provisions as determined by 28-101.4.5 of the New York City Administrative Code</w:t>
      </w:r>
      <w:r w:rsidRPr="00DB1AEE">
        <w:rPr>
          <w:b/>
          <w:bCs/>
          <w:u w:val="single"/>
        </w:rPr>
        <w:t xml:space="preserve">.  </w:t>
      </w:r>
    </w:p>
    <w:p w14:paraId="7AD8291F" w14:textId="77777777" w:rsidR="00DB1AEE" w:rsidRPr="00DB1AEE" w:rsidRDefault="00DB1AEE" w:rsidP="00DB1AEE">
      <w:pPr>
        <w:widowControl w:val="0"/>
        <w:suppressAutoHyphens/>
        <w:spacing w:before="130" w:after="130"/>
        <w:ind w:left="360"/>
        <w:rPr>
          <w:b/>
          <w:bCs/>
          <w:u w:val="single"/>
        </w:rPr>
      </w:pPr>
    </w:p>
    <w:p w14:paraId="51AE9567"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 xml:space="preserve">Section C501.2 Compliance.    </w:t>
      </w:r>
    </w:p>
    <w:p w14:paraId="31A67619" w14:textId="77777777" w:rsidR="00DB1AEE" w:rsidRPr="00DB1AEE" w:rsidRDefault="00DB1AEE" w:rsidP="00DB1AEE">
      <w:pPr>
        <w:widowControl w:val="0"/>
        <w:suppressAutoHyphens/>
        <w:spacing w:before="130" w:after="130"/>
        <w:rPr>
          <w:b/>
          <w:bCs/>
          <w:u w:val="single"/>
        </w:rPr>
      </w:pPr>
      <w:r w:rsidRPr="00DB1AEE">
        <w:rPr>
          <w:rFonts w:eastAsia="MS Mincho"/>
          <w:bCs/>
          <w:szCs w:val="24"/>
          <w:u w:val="single"/>
        </w:rPr>
        <w:t>Section C501.2 – Revise Section</w:t>
      </w:r>
      <w:r w:rsidRPr="00DB1AEE">
        <w:t xml:space="preserve"> </w:t>
      </w:r>
      <w:r w:rsidRPr="00DB1AEE">
        <w:rPr>
          <w:rFonts w:eastAsia="MS Mincho"/>
          <w:bCs/>
          <w:szCs w:val="24"/>
          <w:u w:val="single"/>
        </w:rPr>
        <w:t>C501.2 to read as follows:</w:t>
      </w:r>
    </w:p>
    <w:p w14:paraId="5A0D6337" w14:textId="77777777" w:rsidR="00DB1AEE" w:rsidRPr="00DB1AEE" w:rsidRDefault="00DB1AEE" w:rsidP="00DB1AEE">
      <w:pPr>
        <w:widowControl w:val="0"/>
        <w:suppressAutoHyphens/>
        <w:spacing w:before="130" w:after="130"/>
        <w:ind w:left="360"/>
        <w:rPr>
          <w:u w:val="single"/>
        </w:rPr>
      </w:pPr>
      <w:r w:rsidRPr="00DB1AEE">
        <w:rPr>
          <w:b/>
          <w:bCs/>
          <w:u w:val="single"/>
        </w:rPr>
        <w:t xml:space="preserve">C501.2 Compliance.  </w:t>
      </w:r>
      <w:r w:rsidRPr="00DB1AEE">
        <w:rPr>
          <w:u w:val="single"/>
        </w:rPr>
        <w:t xml:space="preserve">Additions, alterations, repairs, and changes of occupancy to, or relocation of, existing buildings and structures shall comply with Sections C502, C503, C504 and C505 of this code, as applicable, and with the provisions for alterations, repairs, additions and changes of occupancy or relocation, respectively, in the New York City Construction Codes, , New York City Fire Code, and the New York City Electrical Code. </w:t>
      </w:r>
    </w:p>
    <w:p w14:paraId="4EA40F6B" w14:textId="77777777" w:rsidR="00DB1AEE" w:rsidRPr="00DB1AEE" w:rsidRDefault="00DB1AEE" w:rsidP="00DB1AEE">
      <w:pPr>
        <w:widowControl w:val="0"/>
        <w:suppressAutoHyphens/>
        <w:spacing w:before="130" w:after="130"/>
        <w:ind w:left="360"/>
        <w:rPr>
          <w:b/>
          <w:bCs/>
          <w:u w:val="single"/>
        </w:rPr>
      </w:pPr>
      <w:r w:rsidRPr="00DB1AEE">
        <w:rPr>
          <w:u w:val="single"/>
        </w:rPr>
        <w:t>Exception: Additions, alterations, repairs or changes of occupancy complying with 2025 NYC ASHRAE 90.1</w:t>
      </w:r>
      <w:r w:rsidRPr="00DB1AEE">
        <w:rPr>
          <w:b/>
          <w:bCs/>
          <w:u w:val="single"/>
        </w:rPr>
        <w:t>.</w:t>
      </w:r>
    </w:p>
    <w:p w14:paraId="06F05EEE" w14:textId="77777777" w:rsidR="00DB1AEE" w:rsidRPr="00DB1AEE" w:rsidRDefault="00DB1AEE" w:rsidP="00DB1AEE">
      <w:pPr>
        <w:widowControl w:val="0"/>
        <w:suppressAutoHyphens/>
        <w:spacing w:before="130" w:after="130"/>
        <w:ind w:left="360"/>
        <w:rPr>
          <w:b/>
          <w:bCs/>
          <w:u w:val="single"/>
        </w:rPr>
      </w:pPr>
    </w:p>
    <w:p w14:paraId="4E7688E2"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 xml:space="preserve">Section C501.6 Change in space conditioning.    </w:t>
      </w:r>
    </w:p>
    <w:p w14:paraId="346E1753" w14:textId="77777777" w:rsidR="00DB1AEE" w:rsidRPr="00DB1AEE" w:rsidRDefault="00DB1AEE" w:rsidP="00DB1AEE">
      <w:pPr>
        <w:widowControl w:val="0"/>
        <w:suppressAutoHyphens/>
        <w:spacing w:before="130" w:after="130"/>
        <w:rPr>
          <w:b/>
          <w:bCs/>
          <w:u w:val="single"/>
        </w:rPr>
      </w:pPr>
      <w:r w:rsidRPr="00DB1AEE">
        <w:rPr>
          <w:rFonts w:eastAsia="MS Mincho"/>
          <w:bCs/>
          <w:szCs w:val="24"/>
          <w:u w:val="single"/>
        </w:rPr>
        <w:t>Section C501.6 – Revise Section</w:t>
      </w:r>
      <w:r w:rsidRPr="00DB1AEE">
        <w:t xml:space="preserve"> </w:t>
      </w:r>
      <w:r w:rsidRPr="00DB1AEE">
        <w:rPr>
          <w:rFonts w:eastAsia="MS Mincho"/>
          <w:bCs/>
          <w:szCs w:val="24"/>
          <w:u w:val="single"/>
        </w:rPr>
        <w:t>C501.6 to read as follows:</w:t>
      </w:r>
    </w:p>
    <w:p w14:paraId="7E81A117" w14:textId="77777777" w:rsidR="00DB1AEE" w:rsidRPr="00DB1AEE" w:rsidRDefault="00DB1AEE" w:rsidP="00DB1AEE">
      <w:pPr>
        <w:widowControl w:val="0"/>
        <w:suppressAutoHyphens/>
        <w:spacing w:before="130" w:after="130"/>
        <w:ind w:left="360"/>
        <w:rPr>
          <w:u w:val="single"/>
        </w:rPr>
      </w:pPr>
      <w:r w:rsidRPr="00DB1AEE">
        <w:rPr>
          <w:b/>
          <w:bCs/>
          <w:u w:val="single"/>
        </w:rPr>
        <w:t xml:space="preserve">C501.6 Change in space conditioning. </w:t>
      </w:r>
      <w:r w:rsidRPr="00DB1AEE">
        <w:rPr>
          <w:u w:val="single"/>
        </w:rPr>
        <w:t>Any nonconditioned or low-energy building or space that is altered to become conditioned space shall be required to   comply with Section C502.</w:t>
      </w:r>
    </w:p>
    <w:p w14:paraId="4E0DFCAB" w14:textId="77777777" w:rsidR="00DB1AEE" w:rsidRPr="00DB1AEE" w:rsidRDefault="00DB1AEE" w:rsidP="00DB1AEE">
      <w:pPr>
        <w:widowControl w:val="0"/>
        <w:suppressAutoHyphens/>
        <w:spacing w:before="130" w:after="130"/>
        <w:ind w:left="360"/>
        <w:rPr>
          <w:u w:val="single"/>
        </w:rPr>
      </w:pPr>
      <w:r w:rsidRPr="00DB1AEE">
        <w:rPr>
          <w:u w:val="single"/>
        </w:rPr>
        <w:t>Exception: Where the component performance alternative in Section C402.1.4 is used to comply with this section, the proposed UA shall be not greater than 110 percent of the target UA.</w:t>
      </w:r>
    </w:p>
    <w:p w14:paraId="09A31C24" w14:textId="77777777" w:rsidR="00DB1AEE" w:rsidRPr="00DB1AEE" w:rsidRDefault="00DB1AEE" w:rsidP="00DB1AEE">
      <w:pPr>
        <w:widowControl w:val="0"/>
        <w:suppressAutoHyphens/>
        <w:spacing w:before="130" w:after="130"/>
        <w:ind w:left="360"/>
        <w:jc w:val="center"/>
        <w:rPr>
          <w:b/>
          <w:bCs/>
          <w:u w:val="single"/>
        </w:rPr>
      </w:pPr>
      <w:r w:rsidRPr="00DB1AEE">
        <w:rPr>
          <w:b/>
          <w:bCs/>
          <w:u w:val="single"/>
        </w:rPr>
        <w:t>SECTION ECC C502</w:t>
      </w:r>
    </w:p>
    <w:p w14:paraId="517B59C2" w14:textId="77777777" w:rsidR="00DB1AEE" w:rsidRPr="00DB1AEE" w:rsidRDefault="00DB1AEE" w:rsidP="00DB1AEE">
      <w:pPr>
        <w:widowControl w:val="0"/>
        <w:suppressAutoHyphens/>
        <w:spacing w:before="130" w:after="130"/>
        <w:ind w:left="360"/>
        <w:jc w:val="center"/>
        <w:rPr>
          <w:b/>
          <w:bCs/>
          <w:u w:val="single"/>
        </w:rPr>
      </w:pPr>
      <w:r w:rsidRPr="00DB1AEE">
        <w:rPr>
          <w:b/>
          <w:bCs/>
          <w:u w:val="single"/>
        </w:rPr>
        <w:t>ADDITIONS</w:t>
      </w:r>
    </w:p>
    <w:p w14:paraId="042F48AA"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 xml:space="preserve">Section C502.1 General.    </w:t>
      </w:r>
    </w:p>
    <w:p w14:paraId="2503456D" w14:textId="77777777" w:rsidR="00DB1AEE" w:rsidRPr="00DB1AEE" w:rsidRDefault="00DB1AEE" w:rsidP="00DB1AEE">
      <w:pPr>
        <w:widowControl w:val="0"/>
        <w:suppressAutoHyphens/>
        <w:spacing w:before="130" w:after="130"/>
        <w:rPr>
          <w:b/>
          <w:bCs/>
          <w:u w:val="single"/>
        </w:rPr>
      </w:pPr>
      <w:r w:rsidRPr="00DB1AEE">
        <w:rPr>
          <w:rFonts w:eastAsia="MS Mincho"/>
          <w:bCs/>
          <w:szCs w:val="24"/>
          <w:u w:val="single"/>
        </w:rPr>
        <w:t>Section C502.1 – Revise Section</w:t>
      </w:r>
      <w:r w:rsidRPr="00DB1AEE">
        <w:t xml:space="preserve"> </w:t>
      </w:r>
      <w:r w:rsidRPr="00DB1AEE">
        <w:rPr>
          <w:rFonts w:eastAsia="MS Mincho"/>
          <w:bCs/>
          <w:szCs w:val="24"/>
          <w:u w:val="single"/>
        </w:rPr>
        <w:t>C502.1 to read as follows:</w:t>
      </w:r>
    </w:p>
    <w:p w14:paraId="098B2BC3" w14:textId="77777777" w:rsidR="00DB1AEE" w:rsidRPr="00DB1AEE" w:rsidRDefault="00DB1AEE" w:rsidP="00DB1AEE">
      <w:pPr>
        <w:widowControl w:val="0"/>
        <w:suppressAutoHyphens/>
        <w:spacing w:before="130" w:after="130"/>
        <w:ind w:left="360"/>
        <w:rPr>
          <w:b/>
          <w:bCs/>
          <w:u w:val="single"/>
        </w:rPr>
      </w:pPr>
      <w:r w:rsidRPr="00DB1AEE">
        <w:rPr>
          <w:b/>
          <w:bCs/>
          <w:u w:val="single"/>
        </w:rPr>
        <w:t xml:space="preserve">C502.1 General.  </w:t>
      </w:r>
      <w:r w:rsidRPr="00DB1AEE">
        <w:rPr>
          <w:u w:val="single"/>
        </w:rPr>
        <w:t>Additions to an existing building, building system or portion thereof shall conform to the provisions of this code as those provisions relate to new construction without requiring the unaltered portion of the existing building or building system to comply with this code. Additions shall not create an unsafe or hazardous condition or overload existing building systems. An addition shall be deemed to comply with this code if the addition alone complies or if the existing building and addition comply with this code as a single building.  Altered portions of the building filed in conjunction with an addition shall comply with section C503.</w:t>
      </w:r>
    </w:p>
    <w:p w14:paraId="3B1A7E0E"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 xml:space="preserve">Section C502.3.1 Vertical fenestration area.    </w:t>
      </w:r>
    </w:p>
    <w:p w14:paraId="0262AAFE" w14:textId="77777777" w:rsidR="00DB1AEE" w:rsidRPr="00DB1AEE" w:rsidRDefault="00DB1AEE" w:rsidP="00DB1AEE">
      <w:pPr>
        <w:widowControl w:val="0"/>
        <w:suppressAutoHyphens/>
        <w:spacing w:before="130" w:after="130"/>
        <w:rPr>
          <w:b/>
          <w:bCs/>
          <w:u w:val="single"/>
        </w:rPr>
      </w:pPr>
      <w:r w:rsidRPr="00DB1AEE">
        <w:rPr>
          <w:rFonts w:eastAsia="MS Mincho"/>
          <w:bCs/>
          <w:szCs w:val="24"/>
          <w:u w:val="single"/>
        </w:rPr>
        <w:t>Section C502.3.1 – Revise Item 1 from Section</w:t>
      </w:r>
      <w:r w:rsidRPr="00DB1AEE">
        <w:t xml:space="preserve"> </w:t>
      </w:r>
      <w:r w:rsidRPr="00DB1AEE">
        <w:rPr>
          <w:rFonts w:eastAsia="MS Mincho"/>
          <w:bCs/>
          <w:szCs w:val="24"/>
          <w:u w:val="single"/>
        </w:rPr>
        <w:t>C502.3.1 to read as follows:</w:t>
      </w:r>
    </w:p>
    <w:p w14:paraId="1E4685D4" w14:textId="77777777" w:rsidR="00DB1AEE" w:rsidRPr="00DB1AEE" w:rsidRDefault="00DB1AEE" w:rsidP="00DB1AEE">
      <w:pPr>
        <w:widowControl w:val="0"/>
        <w:suppressAutoHyphens/>
        <w:spacing w:before="130" w:after="130"/>
        <w:ind w:left="360"/>
        <w:rPr>
          <w:u w:val="single"/>
        </w:rPr>
      </w:pPr>
      <w:r w:rsidRPr="00DB1AEE">
        <w:rPr>
          <w:u w:val="single"/>
        </w:rPr>
        <w:t>1.</w:t>
      </w:r>
      <w:r w:rsidRPr="00DB1AEE">
        <w:rPr>
          <w:u w:val="single"/>
        </w:rPr>
        <w:tab/>
        <w:t>Where an addition has a new vertical fenestration area that results in a total building fenestration area less than or equal to that permitted by Section C402.5.1, the addition shall comply with Section C402.1.4, C402.5.3.</w:t>
      </w:r>
    </w:p>
    <w:p w14:paraId="1288C84C" w14:textId="77777777" w:rsidR="00DB1AEE" w:rsidRPr="00DB1AEE" w:rsidRDefault="00DB1AEE" w:rsidP="00DB1AEE">
      <w:pPr>
        <w:widowControl w:val="0"/>
        <w:suppressAutoHyphens/>
        <w:spacing w:before="130" w:after="130"/>
        <w:rPr>
          <w:b/>
          <w:bCs/>
          <w:u w:val="single"/>
        </w:rPr>
      </w:pPr>
      <w:r w:rsidRPr="00DB1AEE">
        <w:rPr>
          <w:rFonts w:eastAsia="MS Mincho"/>
          <w:bCs/>
          <w:szCs w:val="24"/>
          <w:u w:val="single"/>
        </w:rPr>
        <w:t>Section C502.3.1 – Revise Item 3 from Section</w:t>
      </w:r>
      <w:r w:rsidRPr="00DB1AEE">
        <w:t xml:space="preserve"> </w:t>
      </w:r>
      <w:r w:rsidRPr="00DB1AEE">
        <w:rPr>
          <w:rFonts w:eastAsia="MS Mincho"/>
          <w:bCs/>
          <w:szCs w:val="24"/>
          <w:u w:val="single"/>
        </w:rPr>
        <w:t>C502.3.1 to read as follows:</w:t>
      </w:r>
    </w:p>
    <w:p w14:paraId="2478D185" w14:textId="77777777" w:rsidR="00DB1AEE" w:rsidRPr="00DB1AEE" w:rsidRDefault="00DB1AEE" w:rsidP="00DB1AEE">
      <w:pPr>
        <w:widowControl w:val="0"/>
        <w:suppressAutoHyphens/>
        <w:spacing w:before="130" w:after="130"/>
        <w:ind w:left="360"/>
        <w:rPr>
          <w:u w:val="single"/>
        </w:rPr>
      </w:pPr>
      <w:r w:rsidRPr="00DB1AEE">
        <w:rPr>
          <w:u w:val="single"/>
        </w:rPr>
        <w:t>3.</w:t>
      </w:r>
      <w:r w:rsidRPr="00DB1AEE">
        <w:rPr>
          <w:u w:val="single"/>
        </w:rPr>
        <w:tab/>
        <w:t>Where an addition has vertical fenestration that results in a total building vertical fenestration area exceeding that permitted by Section C402.5.1.2, the addition shall comply with Section C402.1.4.</w:t>
      </w:r>
    </w:p>
    <w:p w14:paraId="4A0AA0D9"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 xml:space="preserve">Section C502.3.2 Skylight area.    </w:t>
      </w:r>
    </w:p>
    <w:p w14:paraId="14C99441" w14:textId="77777777" w:rsidR="00DB1AEE" w:rsidRPr="00DB1AEE" w:rsidRDefault="00DB1AEE" w:rsidP="00DB1AEE">
      <w:pPr>
        <w:widowControl w:val="0"/>
        <w:suppressAutoHyphens/>
        <w:spacing w:before="130" w:after="130"/>
        <w:rPr>
          <w:b/>
          <w:bCs/>
          <w:u w:val="single"/>
        </w:rPr>
      </w:pPr>
      <w:r w:rsidRPr="00DB1AEE">
        <w:rPr>
          <w:rFonts w:eastAsia="MS Mincho"/>
          <w:bCs/>
          <w:szCs w:val="24"/>
          <w:u w:val="single"/>
        </w:rPr>
        <w:t>Section C502.3.2 – Revise Item 1 from Section</w:t>
      </w:r>
      <w:r w:rsidRPr="00DB1AEE">
        <w:t xml:space="preserve"> </w:t>
      </w:r>
      <w:r w:rsidRPr="00DB1AEE">
        <w:rPr>
          <w:rFonts w:eastAsia="MS Mincho"/>
          <w:bCs/>
          <w:szCs w:val="24"/>
          <w:u w:val="single"/>
        </w:rPr>
        <w:t>C502.3.2 to read as follows:</w:t>
      </w:r>
    </w:p>
    <w:p w14:paraId="144938EA" w14:textId="77777777" w:rsidR="00DB1AEE" w:rsidRPr="00DB1AEE" w:rsidRDefault="00DB1AEE" w:rsidP="00DB1AEE">
      <w:pPr>
        <w:widowControl w:val="0"/>
        <w:suppressAutoHyphens/>
        <w:spacing w:before="130" w:after="130"/>
        <w:ind w:left="360"/>
        <w:rPr>
          <w:u w:val="single"/>
        </w:rPr>
      </w:pPr>
      <w:r w:rsidRPr="00DB1AEE">
        <w:rPr>
          <w:u w:val="single"/>
        </w:rPr>
        <w:t>1.</w:t>
      </w:r>
      <w:r w:rsidRPr="00DB1AEE">
        <w:rPr>
          <w:u w:val="single"/>
        </w:rPr>
        <w:tab/>
        <w:t>Where an addition has new skylight area that results in a total building fenestration area less than or equal to that permitted by Section C402.5.1, the addition shall comply with Section C402.1.4.</w:t>
      </w:r>
    </w:p>
    <w:p w14:paraId="58191E6E" w14:textId="77777777" w:rsidR="00DB1AEE" w:rsidRPr="00DB1AEE" w:rsidRDefault="00DB1AEE" w:rsidP="00DB1AEE">
      <w:pPr>
        <w:widowControl w:val="0"/>
        <w:suppressAutoHyphens/>
        <w:spacing w:before="130" w:after="130"/>
        <w:rPr>
          <w:b/>
          <w:bCs/>
          <w:u w:val="single"/>
        </w:rPr>
      </w:pPr>
      <w:r w:rsidRPr="00DB1AEE">
        <w:rPr>
          <w:rFonts w:eastAsia="MS Mincho"/>
          <w:bCs/>
          <w:szCs w:val="24"/>
          <w:u w:val="single"/>
        </w:rPr>
        <w:t>Section C502.3.2 – Revise Item 3 from Section</w:t>
      </w:r>
      <w:r w:rsidRPr="00DB1AEE">
        <w:t xml:space="preserve"> </w:t>
      </w:r>
      <w:r w:rsidRPr="00DB1AEE">
        <w:rPr>
          <w:rFonts w:eastAsia="MS Mincho"/>
          <w:bCs/>
          <w:szCs w:val="24"/>
          <w:u w:val="single"/>
        </w:rPr>
        <w:t>C502.3.2 to read as follows:</w:t>
      </w:r>
    </w:p>
    <w:p w14:paraId="56B14F5B" w14:textId="77777777" w:rsidR="00DB1AEE" w:rsidRPr="00DB1AEE" w:rsidRDefault="00DB1AEE" w:rsidP="00DB1AEE">
      <w:pPr>
        <w:widowControl w:val="0"/>
        <w:suppressAutoHyphens/>
        <w:spacing w:before="130" w:after="130"/>
        <w:ind w:left="360"/>
        <w:rPr>
          <w:u w:val="single"/>
        </w:rPr>
      </w:pPr>
      <w:r w:rsidRPr="00DB1AEE">
        <w:rPr>
          <w:u w:val="single"/>
        </w:rPr>
        <w:t>3.</w:t>
      </w:r>
      <w:r w:rsidRPr="00DB1AEE">
        <w:rPr>
          <w:u w:val="single"/>
        </w:rPr>
        <w:tab/>
        <w:t>Where an addition has skylight area that results in a total building skylight area exceeding that permitted by Section C402.5.1.2, the addition shall comply with Section C402.1.4.</w:t>
      </w:r>
    </w:p>
    <w:p w14:paraId="6B3E3763"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 xml:space="preserve">Section C502.3.4 Service water-heating systems.    </w:t>
      </w:r>
    </w:p>
    <w:p w14:paraId="4CDFCF4B" w14:textId="77777777" w:rsidR="00DB1AEE" w:rsidRPr="00DB1AEE" w:rsidRDefault="00DB1AEE" w:rsidP="00DB1AEE">
      <w:pPr>
        <w:widowControl w:val="0"/>
        <w:suppressAutoHyphens/>
        <w:spacing w:before="130" w:after="130"/>
        <w:rPr>
          <w:b/>
          <w:bCs/>
          <w:u w:val="single"/>
        </w:rPr>
      </w:pPr>
      <w:r w:rsidRPr="00DB1AEE">
        <w:rPr>
          <w:rFonts w:eastAsia="MS Mincho"/>
          <w:bCs/>
          <w:szCs w:val="24"/>
          <w:u w:val="single"/>
        </w:rPr>
        <w:t>Section C502.3.4 – Revise Section</w:t>
      </w:r>
      <w:r w:rsidRPr="00DB1AEE">
        <w:t xml:space="preserve"> </w:t>
      </w:r>
      <w:r w:rsidRPr="00DB1AEE">
        <w:rPr>
          <w:rFonts w:eastAsia="MS Mincho"/>
          <w:bCs/>
          <w:szCs w:val="24"/>
          <w:u w:val="single"/>
        </w:rPr>
        <w:t>C502.3.4 to read as follows:</w:t>
      </w:r>
    </w:p>
    <w:p w14:paraId="412053AD" w14:textId="77777777" w:rsidR="00DB1AEE" w:rsidRPr="00DB1AEE" w:rsidRDefault="00DB1AEE" w:rsidP="00DB1AEE">
      <w:pPr>
        <w:widowControl w:val="0"/>
        <w:suppressAutoHyphens/>
        <w:spacing w:before="130" w:after="130"/>
        <w:ind w:left="360"/>
        <w:rPr>
          <w:b/>
          <w:bCs/>
          <w:u w:val="single"/>
        </w:rPr>
      </w:pPr>
      <w:r w:rsidRPr="00DB1AEE">
        <w:rPr>
          <w:b/>
          <w:bCs/>
          <w:u w:val="single"/>
        </w:rPr>
        <w:t xml:space="preserve">C502.3.4 Service water-heating systems. </w:t>
      </w:r>
      <w:r w:rsidRPr="00DB1AEE">
        <w:rPr>
          <w:u w:val="single"/>
        </w:rPr>
        <w:t>New service water-heating equipment, controls and service water-heating piping shall comply with Section C404 and C408.</w:t>
      </w:r>
    </w:p>
    <w:p w14:paraId="1036EF1D"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 xml:space="preserve">Section C502.3.7 Additional energy efficiency credits.    </w:t>
      </w:r>
    </w:p>
    <w:p w14:paraId="267FE827" w14:textId="77777777" w:rsidR="00DB1AEE" w:rsidRPr="00DB1AEE" w:rsidRDefault="00DB1AEE" w:rsidP="00DB1AEE">
      <w:pPr>
        <w:widowControl w:val="0"/>
        <w:suppressAutoHyphens/>
        <w:spacing w:before="130" w:after="130"/>
        <w:rPr>
          <w:b/>
          <w:bCs/>
          <w:u w:val="single"/>
        </w:rPr>
      </w:pPr>
      <w:r w:rsidRPr="00DB1AEE">
        <w:rPr>
          <w:rFonts w:eastAsia="MS Mincho"/>
          <w:bCs/>
          <w:szCs w:val="24"/>
          <w:u w:val="single"/>
        </w:rPr>
        <w:t>Section C502.3.7 – Delete exception 5 from Section</w:t>
      </w:r>
      <w:r w:rsidRPr="00DB1AEE">
        <w:t xml:space="preserve"> </w:t>
      </w:r>
      <w:r w:rsidRPr="00DB1AEE">
        <w:rPr>
          <w:rFonts w:eastAsia="MS Mincho"/>
          <w:bCs/>
          <w:szCs w:val="24"/>
          <w:u w:val="single"/>
        </w:rPr>
        <w:t>C502.3.7.</w:t>
      </w:r>
    </w:p>
    <w:p w14:paraId="13F9F7FD" w14:textId="77777777" w:rsidR="00DB1AEE" w:rsidRPr="00DB1AEE" w:rsidRDefault="00DB1AEE" w:rsidP="00DB1AEE">
      <w:pPr>
        <w:widowControl w:val="0"/>
        <w:suppressAutoHyphens/>
        <w:spacing w:before="130" w:after="130"/>
        <w:ind w:left="360"/>
        <w:jc w:val="center"/>
        <w:rPr>
          <w:b/>
          <w:bCs/>
          <w:u w:val="single"/>
        </w:rPr>
      </w:pPr>
      <w:r w:rsidRPr="00DB1AEE">
        <w:rPr>
          <w:b/>
          <w:bCs/>
          <w:u w:val="single"/>
        </w:rPr>
        <w:t>SECTION ECC C503</w:t>
      </w:r>
    </w:p>
    <w:p w14:paraId="77AB53E3" w14:textId="77777777" w:rsidR="00DB1AEE" w:rsidRPr="00DB1AEE" w:rsidRDefault="00DB1AEE" w:rsidP="00DB1AEE">
      <w:pPr>
        <w:widowControl w:val="0"/>
        <w:suppressAutoHyphens/>
        <w:spacing w:before="130" w:after="130"/>
        <w:ind w:left="360"/>
        <w:jc w:val="center"/>
        <w:rPr>
          <w:b/>
          <w:bCs/>
          <w:u w:val="single"/>
        </w:rPr>
      </w:pPr>
      <w:r w:rsidRPr="00DB1AEE">
        <w:rPr>
          <w:b/>
          <w:bCs/>
          <w:u w:val="single"/>
        </w:rPr>
        <w:t>ALTERATIONS</w:t>
      </w:r>
    </w:p>
    <w:p w14:paraId="02BE2766"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 xml:space="preserve">Section C503.1 General.    </w:t>
      </w:r>
    </w:p>
    <w:p w14:paraId="53FA3850" w14:textId="77777777" w:rsidR="00DB1AEE" w:rsidRPr="00DB1AEE" w:rsidRDefault="00DB1AEE" w:rsidP="00DB1AEE">
      <w:pPr>
        <w:widowControl w:val="0"/>
        <w:suppressAutoHyphens/>
        <w:spacing w:before="130" w:after="130"/>
        <w:rPr>
          <w:b/>
          <w:bCs/>
          <w:u w:val="single"/>
        </w:rPr>
      </w:pPr>
      <w:r w:rsidRPr="00DB1AEE">
        <w:rPr>
          <w:rFonts w:eastAsia="MS Mincho"/>
          <w:bCs/>
          <w:szCs w:val="24"/>
          <w:u w:val="single"/>
        </w:rPr>
        <w:t>Section C503.1– Revise Section</w:t>
      </w:r>
      <w:r w:rsidRPr="00DB1AEE">
        <w:t xml:space="preserve"> </w:t>
      </w:r>
      <w:r w:rsidRPr="00DB1AEE">
        <w:rPr>
          <w:rFonts w:eastAsia="MS Mincho"/>
          <w:bCs/>
          <w:szCs w:val="24"/>
          <w:u w:val="single"/>
        </w:rPr>
        <w:t>C503.1 to read as follows:</w:t>
      </w:r>
    </w:p>
    <w:p w14:paraId="414F411D" w14:textId="77777777" w:rsidR="00DB1AEE" w:rsidRPr="00DB1AEE" w:rsidRDefault="00DB1AEE" w:rsidP="00DB1AEE">
      <w:pPr>
        <w:widowControl w:val="0"/>
        <w:suppressAutoHyphens/>
        <w:spacing w:before="130" w:after="130"/>
        <w:ind w:left="360"/>
        <w:rPr>
          <w:b/>
          <w:bCs/>
          <w:u w:val="single"/>
        </w:rPr>
      </w:pPr>
      <w:r w:rsidRPr="00DB1AEE">
        <w:rPr>
          <w:b/>
          <w:bCs/>
          <w:u w:val="single"/>
        </w:rPr>
        <w:t xml:space="preserve">C503.1 General.  </w:t>
      </w:r>
      <w:r w:rsidRPr="00DB1AEE">
        <w:rPr>
          <w:u w:val="single"/>
        </w:rPr>
        <w:t>Alterations to any building or structure shall comply with the requirements of Section C503. Alterations shall be such that the existing building or structure is not less conforming to the provisions of this code than the existing building or structure was prior to the alteration. Alterations to an existing building, building system or portion thereof shall conform to the provisions of this code as those provisions relate to new construction without requiring the unaltered portions of the existing building or building system to comply with this code. Subsequent subsections of section C503 shall not be construed as limiting the scope of C503.1 through omission. Alterations shall not create an unsafe or hazardous condition or overload existing building systems.</w:t>
      </w:r>
    </w:p>
    <w:p w14:paraId="1881BD2B" w14:textId="77777777" w:rsidR="00DB1AEE" w:rsidRPr="00DB1AEE" w:rsidRDefault="00DB1AEE" w:rsidP="00DB1AEE">
      <w:pPr>
        <w:widowControl w:val="0"/>
        <w:suppressAutoHyphens/>
        <w:spacing w:before="130" w:after="130"/>
        <w:ind w:left="720"/>
        <w:rPr>
          <w:u w:val="single"/>
        </w:rPr>
      </w:pPr>
      <w:r w:rsidRPr="00DB1AEE">
        <w:rPr>
          <w:b/>
          <w:bCs/>
          <w:u w:val="single"/>
        </w:rPr>
        <w:t xml:space="preserve">Exception: </w:t>
      </w:r>
      <w:r w:rsidRPr="00DB1AEE">
        <w:rPr>
          <w:u w:val="single"/>
        </w:rPr>
        <w:t>The following types of work  need not comply with the requirements for new construction, provided that the energy use of the building is not increased:</w:t>
      </w:r>
    </w:p>
    <w:p w14:paraId="4442E6F9" w14:textId="77777777" w:rsidR="00DB1AEE" w:rsidRPr="00DB1AEE" w:rsidRDefault="00DB1AEE" w:rsidP="00DB1AEE">
      <w:pPr>
        <w:widowControl w:val="0"/>
        <w:suppressAutoHyphens/>
        <w:spacing w:before="130" w:after="130"/>
        <w:ind w:left="1008" w:hanging="288"/>
        <w:rPr>
          <w:u w:val="single"/>
        </w:rPr>
      </w:pPr>
      <w:r w:rsidRPr="00DB1AEE">
        <w:rPr>
          <w:u w:val="single"/>
        </w:rPr>
        <w:t>1.</w:t>
      </w:r>
      <w:r w:rsidRPr="00DB1AEE">
        <w:rPr>
          <w:u w:val="single"/>
        </w:rPr>
        <w:tab/>
        <w:t>Storm windows installed over existing fenestration.</w:t>
      </w:r>
    </w:p>
    <w:p w14:paraId="55A3BBD1" w14:textId="77777777" w:rsidR="00DB1AEE" w:rsidRPr="00DB1AEE" w:rsidRDefault="00DB1AEE" w:rsidP="00DB1AEE">
      <w:pPr>
        <w:widowControl w:val="0"/>
        <w:suppressAutoHyphens/>
        <w:spacing w:before="130" w:after="130"/>
        <w:ind w:left="1008" w:hanging="288"/>
        <w:rPr>
          <w:u w:val="single"/>
        </w:rPr>
      </w:pPr>
      <w:r w:rsidRPr="00DB1AEE">
        <w:rPr>
          <w:u w:val="single"/>
        </w:rPr>
        <w:t>2.</w:t>
      </w:r>
      <w:r w:rsidRPr="00DB1AEE">
        <w:rPr>
          <w:u w:val="single"/>
        </w:rPr>
        <w:tab/>
        <w:t>Surface-applied window film installed on existing single-pane fenestration assemblies reducing solar heat gain, provided that the code does not require the glazing or fenestration to be replaced.</w:t>
      </w:r>
    </w:p>
    <w:p w14:paraId="05692735" w14:textId="77777777" w:rsidR="00DB1AEE" w:rsidRPr="00DB1AEE" w:rsidRDefault="00DB1AEE" w:rsidP="00DB1AEE">
      <w:pPr>
        <w:widowControl w:val="0"/>
        <w:suppressAutoHyphens/>
        <w:spacing w:before="130" w:after="130"/>
        <w:ind w:left="1008" w:hanging="288"/>
        <w:rPr>
          <w:u w:val="single"/>
        </w:rPr>
      </w:pPr>
      <w:r w:rsidRPr="00DB1AEE">
        <w:rPr>
          <w:u w:val="single"/>
        </w:rPr>
        <w:t>5.</w:t>
      </w:r>
      <w:r w:rsidRPr="00DB1AEE">
        <w:rPr>
          <w:u w:val="single"/>
        </w:rPr>
        <w:tab/>
        <w:t>Roof recover.</w:t>
      </w:r>
    </w:p>
    <w:p w14:paraId="2E11CD69" w14:textId="77777777" w:rsidR="00DB1AEE" w:rsidRPr="00DB1AEE" w:rsidRDefault="00DB1AEE" w:rsidP="00DB1AEE">
      <w:pPr>
        <w:widowControl w:val="0"/>
        <w:suppressAutoHyphens/>
        <w:spacing w:before="130" w:after="130"/>
        <w:ind w:left="1008" w:hanging="288"/>
        <w:rPr>
          <w:u w:val="single"/>
        </w:rPr>
      </w:pPr>
      <w:r w:rsidRPr="00DB1AEE">
        <w:rPr>
          <w:u w:val="single"/>
        </w:rPr>
        <w:t>4. Roof replacement where roof assembly insulation is integral to or located below the structural roof deck.</w:t>
      </w:r>
    </w:p>
    <w:p w14:paraId="7C01EE9C" w14:textId="77777777" w:rsidR="00DB1AEE" w:rsidRPr="00DB1AEE" w:rsidRDefault="00DB1AEE" w:rsidP="00DB1AEE">
      <w:pPr>
        <w:widowControl w:val="0"/>
        <w:suppressAutoHyphens/>
        <w:spacing w:before="130" w:after="130"/>
        <w:ind w:left="1008" w:hanging="288"/>
        <w:rPr>
          <w:u w:val="single"/>
        </w:rPr>
      </w:pPr>
      <w:r w:rsidRPr="00DB1AEE">
        <w:rPr>
          <w:u w:val="single"/>
        </w:rPr>
        <w:t>6.</w:t>
      </w:r>
      <w:r w:rsidRPr="00DB1AEE">
        <w:rPr>
          <w:u w:val="single"/>
        </w:rPr>
        <w:tab/>
        <w:t xml:space="preserve">Roofs without insulation in the cavity and where the sheathing or insulation is exposed during reroofing shall be insulated either above or below the sheathing. </w:t>
      </w:r>
    </w:p>
    <w:p w14:paraId="712BE316" w14:textId="77777777" w:rsidR="00DB1AEE" w:rsidRPr="00DB1AEE" w:rsidRDefault="00DB1AEE" w:rsidP="00DB1AEE">
      <w:pPr>
        <w:widowControl w:val="0"/>
        <w:suppressAutoHyphens/>
        <w:spacing w:before="130" w:after="130"/>
        <w:ind w:left="1008" w:hanging="288"/>
        <w:rPr>
          <w:u w:val="single"/>
        </w:rPr>
      </w:pPr>
      <w:r w:rsidRPr="00DB1AEE">
        <w:rPr>
          <w:u w:val="single"/>
        </w:rPr>
        <w:t>5.</w:t>
      </w:r>
      <w:r w:rsidRPr="00DB1AEE">
        <w:rPr>
          <w:u w:val="single"/>
        </w:rPr>
        <w:tab/>
        <w:t>Air barriers shall not be required for roof recover and roof replacement where the alterations or renovations to the building do not include alterations, renovations or repairs to the remainder of the building thermal envelope.</w:t>
      </w:r>
    </w:p>
    <w:p w14:paraId="3BB3AC1E" w14:textId="77777777" w:rsidR="00DB1AEE" w:rsidRPr="00DB1AEE" w:rsidRDefault="00DB1AEE" w:rsidP="00DB1AEE">
      <w:pPr>
        <w:widowControl w:val="0"/>
        <w:suppressAutoHyphens/>
        <w:spacing w:before="130" w:after="130"/>
        <w:ind w:left="1008" w:hanging="288"/>
        <w:rPr>
          <w:u w:val="single"/>
        </w:rPr>
      </w:pPr>
      <w:r w:rsidRPr="00DB1AEE">
        <w:rPr>
          <w:u w:val="single"/>
        </w:rPr>
        <w:t>6. Replacement of existing doors that separate conditioned space from the exterior shall not require the installation of a vestibule or revolving door, provided, however, that an existing vestibule that separates such conditioned space from the exterior shall not be removed.</w:t>
      </w:r>
    </w:p>
    <w:p w14:paraId="76DECEBD"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 xml:space="preserve">Section C503.2 Building thermal envelope.    </w:t>
      </w:r>
    </w:p>
    <w:p w14:paraId="5CAE32AD" w14:textId="77777777" w:rsidR="00DB1AEE" w:rsidRPr="00DB1AEE" w:rsidRDefault="00DB1AEE" w:rsidP="00DB1AEE">
      <w:pPr>
        <w:widowControl w:val="0"/>
        <w:suppressAutoHyphens/>
        <w:spacing w:before="130" w:after="130"/>
        <w:rPr>
          <w:b/>
          <w:bCs/>
          <w:u w:val="single"/>
        </w:rPr>
      </w:pPr>
      <w:r w:rsidRPr="00DB1AEE">
        <w:rPr>
          <w:rFonts w:eastAsia="MS Mincho"/>
          <w:bCs/>
          <w:szCs w:val="24"/>
          <w:u w:val="single"/>
        </w:rPr>
        <w:t>Section C503.2 – Revise Section</w:t>
      </w:r>
      <w:r w:rsidRPr="00DB1AEE">
        <w:t xml:space="preserve"> </w:t>
      </w:r>
      <w:r w:rsidRPr="00DB1AEE">
        <w:rPr>
          <w:rFonts w:eastAsia="MS Mincho"/>
          <w:bCs/>
          <w:szCs w:val="24"/>
          <w:u w:val="single"/>
        </w:rPr>
        <w:t>C503.2 to read as follows:</w:t>
      </w:r>
    </w:p>
    <w:p w14:paraId="21DB072B" w14:textId="77777777" w:rsidR="00DB1AEE" w:rsidRPr="00DB1AEE" w:rsidRDefault="00DB1AEE" w:rsidP="00DB1AEE">
      <w:pPr>
        <w:widowControl w:val="0"/>
        <w:suppressAutoHyphens/>
        <w:autoSpaceDE w:val="0"/>
        <w:autoSpaceDN w:val="0"/>
        <w:adjustRightInd w:val="0"/>
        <w:spacing w:before="130" w:after="130"/>
        <w:ind w:left="360"/>
        <w:rPr>
          <w:szCs w:val="24"/>
          <w:u w:val="single"/>
        </w:rPr>
      </w:pPr>
      <w:r w:rsidRPr="00DB1AEE">
        <w:rPr>
          <w:b/>
          <w:bCs/>
          <w:szCs w:val="24"/>
          <w:u w:val="single"/>
        </w:rPr>
        <w:t xml:space="preserve">C503.2 Building thermal envelope. </w:t>
      </w:r>
      <w:r w:rsidRPr="00DB1AEE">
        <w:rPr>
          <w:szCs w:val="24"/>
          <w:u w:val="single"/>
        </w:rPr>
        <w:t>Alterations of existing building thermal envelope assemblies shall comply with this section. New building thermal envelope assemblies that are part of the alteration shall comply with Section C402. An area-weighted average U-factor for new and altered portions of the building thermal envelope shall be permitted to satisfy the U-factor requirements in Section C402.1.4. The existing R-value of insulation shall not be reduced or the U-factor of a building thermal envelope assembly be increased as part of a building thermal envelope alteration.</w:t>
      </w:r>
    </w:p>
    <w:p w14:paraId="6AAEBACF" w14:textId="77777777" w:rsidR="00DB1AEE" w:rsidRPr="00DB1AEE" w:rsidRDefault="00DB1AEE" w:rsidP="00DB1AEE">
      <w:pPr>
        <w:widowControl w:val="0"/>
        <w:suppressAutoHyphens/>
        <w:autoSpaceDE w:val="0"/>
        <w:autoSpaceDN w:val="0"/>
        <w:adjustRightInd w:val="0"/>
        <w:spacing w:before="130" w:after="130"/>
        <w:ind w:left="360"/>
        <w:rPr>
          <w:szCs w:val="24"/>
          <w:u w:val="single"/>
        </w:rPr>
      </w:pPr>
      <w:r w:rsidRPr="00DB1AEE">
        <w:rPr>
          <w:szCs w:val="24"/>
          <w:u w:val="single"/>
        </w:rPr>
        <w:t>Exception: Where the existing building exceeds the fenestration area limitations of Section C402.5.1 prior to alteration, the building is exempt from Section C402.5.1 provided that there is no increase in fenestration area.</w:t>
      </w:r>
    </w:p>
    <w:p w14:paraId="4C418E43"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 xml:space="preserve">Section C503.2.1 Roof replacement.    </w:t>
      </w:r>
    </w:p>
    <w:p w14:paraId="09FB6BDF" w14:textId="77777777" w:rsidR="00DB1AEE" w:rsidRPr="00DB1AEE" w:rsidRDefault="00DB1AEE" w:rsidP="00DB1AEE">
      <w:pPr>
        <w:widowControl w:val="0"/>
        <w:suppressAutoHyphens/>
        <w:spacing w:before="130" w:after="130"/>
        <w:rPr>
          <w:b/>
          <w:bCs/>
          <w:u w:val="single"/>
        </w:rPr>
      </w:pPr>
      <w:r w:rsidRPr="00DB1AEE">
        <w:rPr>
          <w:rFonts w:eastAsia="MS Mincho"/>
          <w:bCs/>
          <w:szCs w:val="24"/>
          <w:u w:val="single"/>
        </w:rPr>
        <w:t>Section C503.2.1 – Revise the exception from Section</w:t>
      </w:r>
      <w:r w:rsidRPr="00DB1AEE">
        <w:t xml:space="preserve"> </w:t>
      </w:r>
      <w:r w:rsidRPr="00DB1AEE">
        <w:rPr>
          <w:rFonts w:eastAsia="MS Mincho"/>
          <w:bCs/>
          <w:szCs w:val="24"/>
          <w:u w:val="single"/>
        </w:rPr>
        <w:t>C503.2.1 to read as follows:</w:t>
      </w:r>
    </w:p>
    <w:p w14:paraId="0D660116" w14:textId="77777777" w:rsidR="00DB1AEE" w:rsidRPr="00DB1AEE" w:rsidRDefault="00DB1AEE" w:rsidP="00DB1AEE">
      <w:pPr>
        <w:widowControl w:val="0"/>
        <w:suppressAutoHyphens/>
        <w:spacing w:before="130" w:after="130"/>
        <w:ind w:left="360"/>
        <w:rPr>
          <w:b/>
          <w:bCs/>
          <w:u w:val="single"/>
        </w:rPr>
      </w:pPr>
      <w:r w:rsidRPr="00DB1AEE">
        <w:rPr>
          <w:b/>
          <w:bCs/>
          <w:u w:val="single"/>
        </w:rPr>
        <w:t xml:space="preserve">Exceptions: </w:t>
      </w:r>
      <w:r w:rsidRPr="00DB1AEE">
        <w:rPr>
          <w:u w:val="single"/>
        </w:rPr>
        <w:t>Where replacement of ceiling finishes exposes cavities of the roof-ceiling construction, that is part of the building thermal envelope, the cavities shall be insulated to full depth with insulation that complies with Section C303.1.4 and having a minimum nominal value of R-3.5 per inch.</w:t>
      </w:r>
    </w:p>
    <w:p w14:paraId="1D446FE0" w14:textId="77777777" w:rsidR="00DB1AEE" w:rsidRPr="00DB1AEE" w:rsidRDefault="00DB1AEE" w:rsidP="00DB1AEE">
      <w:pPr>
        <w:widowControl w:val="0"/>
        <w:suppressAutoHyphens/>
        <w:spacing w:before="130" w:after="130"/>
        <w:rPr>
          <w:b/>
          <w:bCs/>
          <w:u w:val="single"/>
        </w:rPr>
      </w:pPr>
      <w:r w:rsidRPr="00DB1AEE">
        <w:rPr>
          <w:b/>
          <w:bCs/>
          <w:u w:val="single"/>
        </w:rPr>
        <w:t xml:space="preserve">Section C503.2.2 Vertical fenestration.    </w:t>
      </w:r>
    </w:p>
    <w:p w14:paraId="6584B7C5" w14:textId="77777777" w:rsidR="00DB1AEE" w:rsidRPr="00DB1AEE" w:rsidRDefault="00DB1AEE" w:rsidP="00DB1AEE">
      <w:pPr>
        <w:widowControl w:val="0"/>
        <w:suppressAutoHyphens/>
        <w:spacing w:before="130" w:after="130"/>
        <w:rPr>
          <w:u w:val="single"/>
        </w:rPr>
      </w:pPr>
      <w:r w:rsidRPr="00DB1AEE">
        <w:rPr>
          <w:u w:val="single"/>
        </w:rPr>
        <w:t>Section C503.2.2 – Revise Section C503.2.2</w:t>
      </w:r>
      <w:r w:rsidRPr="00DB1AEE">
        <w:rPr>
          <w:rFonts w:eastAsia="MS Mincho"/>
          <w:szCs w:val="24"/>
          <w:u w:val="single"/>
        </w:rPr>
        <w:t xml:space="preserve"> to read as follows</w:t>
      </w:r>
      <w:r w:rsidRPr="00DB1AEE">
        <w:rPr>
          <w:u w:val="single"/>
        </w:rPr>
        <w:t xml:space="preserve"> :</w:t>
      </w:r>
    </w:p>
    <w:p w14:paraId="2F8AE0C7" w14:textId="77777777" w:rsidR="00DB1AEE" w:rsidRPr="00DB1AEE" w:rsidRDefault="00DB1AEE" w:rsidP="00DB1AEE">
      <w:pPr>
        <w:widowControl w:val="0"/>
        <w:suppressAutoHyphens/>
        <w:spacing w:before="130" w:after="130"/>
        <w:ind w:left="360"/>
        <w:rPr>
          <w:b/>
          <w:bCs/>
          <w:u w:val="single"/>
        </w:rPr>
      </w:pPr>
      <w:r w:rsidRPr="00DB1AEE">
        <w:rPr>
          <w:b/>
          <w:bCs/>
          <w:u w:val="single"/>
        </w:rPr>
        <w:t xml:space="preserve">C503.2.2 Vertical fenestration.  </w:t>
      </w:r>
      <w:r w:rsidRPr="00DB1AEE">
        <w:rPr>
          <w:u w:val="single"/>
        </w:rPr>
        <w:t>The addition of vertical fenestration that results in a total building fenestration area less than or equal to that specified in Section C402.5.1 shall comply with Section C402.1.4, C402.5.3. The addition of vertical fenestration that results in a total building fenestration area greater than Section C402.5.1 shall comply with Section C402.5.1.1 for the space adjacent to the new fenestration only. Alterations that result in a total building vertical fenestration area exceeding that specified in Section C402.5.1.1 shall comply with Section C402.1.4.</w:t>
      </w:r>
    </w:p>
    <w:p w14:paraId="7DDDEE75" w14:textId="77777777" w:rsidR="00DB1AEE" w:rsidRPr="00DB1AEE" w:rsidRDefault="00DB1AEE" w:rsidP="00DB1AEE">
      <w:pPr>
        <w:widowControl w:val="0"/>
        <w:suppressAutoHyphens/>
        <w:spacing w:before="130" w:after="130"/>
        <w:rPr>
          <w:b/>
          <w:bCs/>
          <w:u w:val="single"/>
        </w:rPr>
      </w:pPr>
      <w:r w:rsidRPr="00DB1AEE">
        <w:rPr>
          <w:b/>
          <w:bCs/>
          <w:u w:val="single"/>
        </w:rPr>
        <w:t xml:space="preserve">Section C503.2.3 Skylight area.    </w:t>
      </w:r>
    </w:p>
    <w:p w14:paraId="4611F93D" w14:textId="77777777" w:rsidR="00DB1AEE" w:rsidRPr="00DB1AEE" w:rsidRDefault="00DB1AEE" w:rsidP="00DB1AEE">
      <w:pPr>
        <w:widowControl w:val="0"/>
        <w:suppressAutoHyphens/>
        <w:spacing w:before="130" w:after="130"/>
        <w:rPr>
          <w:u w:val="single"/>
        </w:rPr>
      </w:pPr>
      <w:r w:rsidRPr="00DB1AEE">
        <w:rPr>
          <w:u w:val="single"/>
        </w:rPr>
        <w:t xml:space="preserve">Section C503.2.3 – Revise Section C503.2.3 </w:t>
      </w:r>
      <w:r w:rsidRPr="00DB1AEE">
        <w:rPr>
          <w:rFonts w:eastAsia="MS Mincho"/>
          <w:szCs w:val="24"/>
          <w:u w:val="single"/>
        </w:rPr>
        <w:t>to read as follows</w:t>
      </w:r>
      <w:r w:rsidRPr="00DB1AEE">
        <w:rPr>
          <w:u w:val="single"/>
        </w:rPr>
        <w:t>:</w:t>
      </w:r>
    </w:p>
    <w:p w14:paraId="3A936104" w14:textId="77777777" w:rsidR="00DB1AEE" w:rsidRPr="00DB1AEE" w:rsidRDefault="00DB1AEE" w:rsidP="00DB1AEE">
      <w:pPr>
        <w:widowControl w:val="0"/>
        <w:suppressAutoHyphens/>
        <w:spacing w:before="130" w:after="130"/>
        <w:ind w:left="360"/>
        <w:rPr>
          <w:b/>
          <w:bCs/>
          <w:u w:val="single"/>
        </w:rPr>
      </w:pPr>
      <w:r w:rsidRPr="00DB1AEE">
        <w:rPr>
          <w:b/>
          <w:bCs/>
          <w:u w:val="single"/>
        </w:rPr>
        <w:t xml:space="preserve">C503.2.3 Skylight area.  </w:t>
      </w:r>
      <w:r w:rsidRPr="00DB1AEE">
        <w:rPr>
          <w:u w:val="single"/>
        </w:rPr>
        <w:t>New skylight area that results in a total building skylight area less than or equal to that specified in Section C402.5.1 shall comply with Section C402.1.4, C402.5. The addition of skylight area that results in a total building skylight area greater than Section C402.5.1 shall comply with Section C402.5.1.2 for the space adjacent to the new skylights. Alterations that result in a total building skylight area exceeding that specified in Section C402.5.1.2 shall comply with Section C402.1.4</w:t>
      </w:r>
      <w:r w:rsidRPr="00DB1AEE">
        <w:rPr>
          <w:b/>
          <w:bCs/>
          <w:u w:val="single"/>
        </w:rPr>
        <w:t>.</w:t>
      </w:r>
    </w:p>
    <w:p w14:paraId="42FDB7B6" w14:textId="77777777" w:rsidR="00DB1AEE" w:rsidRPr="00DB1AEE" w:rsidRDefault="00DB1AEE" w:rsidP="00DB1AEE">
      <w:pPr>
        <w:widowControl w:val="0"/>
        <w:suppressAutoHyphens/>
        <w:spacing w:before="130" w:after="130"/>
        <w:rPr>
          <w:b/>
          <w:bCs/>
          <w:u w:val="single"/>
        </w:rPr>
      </w:pPr>
      <w:r w:rsidRPr="00DB1AEE">
        <w:rPr>
          <w:b/>
          <w:bCs/>
          <w:u w:val="single"/>
        </w:rPr>
        <w:t xml:space="preserve">Section C503.2.4 Above-grade wall alterations.    </w:t>
      </w:r>
    </w:p>
    <w:p w14:paraId="1A7D921E" w14:textId="77777777" w:rsidR="00DB1AEE" w:rsidRPr="00DB1AEE" w:rsidRDefault="00DB1AEE" w:rsidP="00DB1AEE">
      <w:pPr>
        <w:widowControl w:val="0"/>
        <w:suppressAutoHyphens/>
        <w:spacing w:before="130" w:after="130"/>
        <w:rPr>
          <w:u w:val="single"/>
        </w:rPr>
      </w:pPr>
      <w:r w:rsidRPr="00DB1AEE">
        <w:rPr>
          <w:u w:val="single"/>
        </w:rPr>
        <w:t xml:space="preserve">Section C503.2.4 – Revise Item 2 from Section C503.2.4 </w:t>
      </w:r>
      <w:r w:rsidRPr="00DB1AEE">
        <w:rPr>
          <w:rFonts w:eastAsia="MS Mincho"/>
          <w:szCs w:val="24"/>
          <w:u w:val="single"/>
        </w:rPr>
        <w:t>to read as follows</w:t>
      </w:r>
      <w:r w:rsidRPr="00DB1AEE">
        <w:rPr>
          <w:u w:val="single"/>
        </w:rPr>
        <w:t>:</w:t>
      </w:r>
    </w:p>
    <w:p w14:paraId="5E5B49EF" w14:textId="77777777" w:rsidR="00DB1AEE" w:rsidRPr="00DB1AEE" w:rsidRDefault="00DB1AEE" w:rsidP="00DB1AEE">
      <w:pPr>
        <w:widowControl w:val="0"/>
        <w:suppressAutoHyphens/>
        <w:spacing w:before="130" w:after="130"/>
        <w:ind w:left="360"/>
        <w:rPr>
          <w:u w:val="single"/>
        </w:rPr>
      </w:pPr>
      <w:r w:rsidRPr="00DB1AEE">
        <w:rPr>
          <w:u w:val="single"/>
        </w:rPr>
        <w:t>2. Where wall cavities are exposed, the cavities shall be insulated to full depth with insulation complying with Section C303.1.4 and having a minimum nominal value of R-3.5 per inch.</w:t>
      </w:r>
    </w:p>
    <w:p w14:paraId="6F304923" w14:textId="77777777" w:rsidR="00DB1AEE" w:rsidRPr="00DB1AEE" w:rsidRDefault="00DB1AEE" w:rsidP="00DB1AEE">
      <w:pPr>
        <w:widowControl w:val="0"/>
        <w:suppressAutoHyphens/>
        <w:spacing w:before="130" w:after="130"/>
        <w:rPr>
          <w:b/>
          <w:bCs/>
          <w:u w:val="single"/>
        </w:rPr>
      </w:pPr>
      <w:r w:rsidRPr="00DB1AEE">
        <w:rPr>
          <w:b/>
          <w:bCs/>
          <w:u w:val="single"/>
        </w:rPr>
        <w:t xml:space="preserve">Section C503.3 Heating and cooling systems.    </w:t>
      </w:r>
    </w:p>
    <w:p w14:paraId="2A72B276" w14:textId="77777777" w:rsidR="00DB1AEE" w:rsidRPr="00DB1AEE" w:rsidRDefault="00DB1AEE" w:rsidP="00DB1AEE">
      <w:pPr>
        <w:widowControl w:val="0"/>
        <w:suppressAutoHyphens/>
        <w:spacing w:before="130" w:after="130"/>
        <w:rPr>
          <w:u w:val="single"/>
        </w:rPr>
      </w:pPr>
      <w:r w:rsidRPr="00DB1AEE">
        <w:rPr>
          <w:u w:val="single"/>
        </w:rPr>
        <w:t xml:space="preserve">Section C503.3 – Revise Section C503.3 </w:t>
      </w:r>
      <w:r w:rsidRPr="00DB1AEE">
        <w:rPr>
          <w:rFonts w:eastAsia="MS Mincho"/>
          <w:szCs w:val="24"/>
          <w:u w:val="single"/>
        </w:rPr>
        <w:t>to read as follows</w:t>
      </w:r>
      <w:r w:rsidRPr="00DB1AEE">
        <w:rPr>
          <w:u w:val="single"/>
        </w:rPr>
        <w:t>:</w:t>
      </w:r>
    </w:p>
    <w:p w14:paraId="0D351E54" w14:textId="77777777" w:rsidR="00DB1AEE" w:rsidRPr="00DB1AEE" w:rsidRDefault="00DB1AEE" w:rsidP="00DB1AEE">
      <w:pPr>
        <w:widowControl w:val="0"/>
        <w:suppressAutoHyphens/>
        <w:spacing w:before="130" w:after="130"/>
        <w:ind w:left="360"/>
        <w:rPr>
          <w:b/>
          <w:bCs/>
          <w:u w:val="single"/>
        </w:rPr>
      </w:pPr>
      <w:r w:rsidRPr="00DB1AEE">
        <w:rPr>
          <w:b/>
          <w:bCs/>
          <w:u w:val="single"/>
        </w:rPr>
        <w:t xml:space="preserve">C503.3 Heating and cooling systems.  </w:t>
      </w:r>
      <w:r w:rsidRPr="00DB1AEE">
        <w:rPr>
          <w:u w:val="single"/>
        </w:rPr>
        <w:t>New heating, cooling, piping and duct systems that are part of the alteration shall comply with Sections C403 and C408</w:t>
      </w:r>
      <w:r w:rsidRPr="00DB1AEE">
        <w:rPr>
          <w:b/>
          <w:bCs/>
          <w:u w:val="single"/>
        </w:rPr>
        <w:t xml:space="preserve">. </w:t>
      </w:r>
      <w:r w:rsidRPr="00DB1AEE">
        <w:rPr>
          <w:u w:val="single"/>
        </w:rPr>
        <w:t>Alterations to heating, cooling duct, and piping systems shall comply with Sections C403 and C408</w:t>
      </w:r>
      <w:r w:rsidRPr="00DB1AEE">
        <w:rPr>
          <w:b/>
          <w:bCs/>
          <w:u w:val="single"/>
        </w:rPr>
        <w:t>.</w:t>
      </w:r>
    </w:p>
    <w:p w14:paraId="49D93E9A" w14:textId="77777777" w:rsidR="00DB1AEE" w:rsidRPr="00DB1AEE" w:rsidRDefault="00DB1AEE" w:rsidP="00DB1AEE">
      <w:pPr>
        <w:widowControl w:val="0"/>
        <w:suppressAutoHyphens/>
        <w:spacing w:before="130" w:after="130"/>
        <w:rPr>
          <w:b/>
          <w:bCs/>
          <w:u w:val="single"/>
        </w:rPr>
      </w:pPr>
      <w:r w:rsidRPr="00DB1AEE">
        <w:rPr>
          <w:b/>
          <w:bCs/>
          <w:u w:val="single"/>
        </w:rPr>
        <w:t xml:space="preserve">Section C503.3.4 Controls.    </w:t>
      </w:r>
    </w:p>
    <w:p w14:paraId="2E437BBA" w14:textId="77777777" w:rsidR="00DB1AEE" w:rsidRPr="00DB1AEE" w:rsidRDefault="00DB1AEE" w:rsidP="00DB1AEE">
      <w:pPr>
        <w:widowControl w:val="0"/>
        <w:suppressAutoHyphens/>
        <w:spacing w:before="130" w:after="130"/>
        <w:rPr>
          <w:u w:val="single"/>
        </w:rPr>
      </w:pPr>
      <w:r w:rsidRPr="00DB1AEE">
        <w:rPr>
          <w:u w:val="single"/>
        </w:rPr>
        <w:t xml:space="preserve">Section C503.3.4 – Revise Section C503.3.4 </w:t>
      </w:r>
      <w:r w:rsidRPr="00DB1AEE">
        <w:rPr>
          <w:rFonts w:eastAsia="MS Mincho"/>
          <w:szCs w:val="24"/>
          <w:u w:val="single"/>
        </w:rPr>
        <w:t>to read as follows</w:t>
      </w:r>
      <w:r w:rsidRPr="00DB1AEE">
        <w:rPr>
          <w:u w:val="single"/>
        </w:rPr>
        <w:t>:</w:t>
      </w:r>
    </w:p>
    <w:p w14:paraId="6DEE69FB" w14:textId="77777777" w:rsidR="00DB1AEE" w:rsidRPr="00DB1AEE" w:rsidRDefault="00DB1AEE" w:rsidP="00DB1AEE">
      <w:pPr>
        <w:widowControl w:val="0"/>
        <w:suppressAutoHyphens/>
        <w:spacing w:before="130" w:after="130"/>
        <w:ind w:left="360"/>
        <w:rPr>
          <w:u w:val="single"/>
        </w:rPr>
      </w:pPr>
      <w:r w:rsidRPr="00DB1AEE">
        <w:rPr>
          <w:b/>
          <w:bCs/>
          <w:u w:val="single"/>
        </w:rPr>
        <w:t xml:space="preserve">C503.3.4 Controls. </w:t>
      </w:r>
      <w:r w:rsidRPr="00DB1AEE">
        <w:rPr>
          <w:u w:val="single"/>
        </w:rPr>
        <w:t>New HVACR systems that are part of the alteration shall be provided with controls that comply with Section C403.4. Altered controls shall comply with Section C403.4. Where controls are altered for more than 50% of the terminal distribution elements of a heating or cooling system, the controls for all commonly served terminal distribution elements and the associated, immediately upstream plant equipment shall comply with section C403.4 as new.</w:t>
      </w:r>
    </w:p>
    <w:p w14:paraId="6E64B319" w14:textId="77777777" w:rsidR="00DB1AEE" w:rsidRPr="00DB1AEE" w:rsidRDefault="00DB1AEE" w:rsidP="00DB1AEE">
      <w:pPr>
        <w:widowControl w:val="0"/>
        <w:suppressAutoHyphens/>
        <w:spacing w:before="130" w:after="130"/>
        <w:ind w:left="360"/>
        <w:rPr>
          <w:u w:val="single"/>
        </w:rPr>
      </w:pPr>
      <w:r w:rsidRPr="00DB1AEE">
        <w:rPr>
          <w:u w:val="single"/>
        </w:rPr>
        <w:t>Exceptions:</w:t>
      </w:r>
    </w:p>
    <w:p w14:paraId="2837BC19" w14:textId="77777777" w:rsidR="00DB1AEE" w:rsidRPr="00DB1AEE" w:rsidRDefault="00DB1AEE" w:rsidP="00DB1AEE">
      <w:pPr>
        <w:widowControl w:val="0"/>
        <w:suppressAutoHyphens/>
        <w:spacing w:before="130" w:after="130"/>
        <w:ind w:left="360"/>
        <w:rPr>
          <w:u w:val="single"/>
        </w:rPr>
      </w:pPr>
      <w:r w:rsidRPr="00DB1AEE">
        <w:rPr>
          <w:u w:val="single"/>
        </w:rPr>
        <w:t>1. Controls for terminal distribution elements located in a space occupied by a different tenant than the altered space.</w:t>
      </w:r>
    </w:p>
    <w:p w14:paraId="7D37C1DA" w14:textId="77777777" w:rsidR="00DB1AEE" w:rsidRPr="00DB1AEE" w:rsidRDefault="00DB1AEE" w:rsidP="00DB1AEE">
      <w:pPr>
        <w:widowControl w:val="0"/>
        <w:suppressAutoHyphens/>
        <w:spacing w:before="130" w:after="130"/>
        <w:ind w:left="360"/>
        <w:rPr>
          <w:u w:val="single"/>
        </w:rPr>
      </w:pPr>
      <w:r w:rsidRPr="00DB1AEE">
        <w:rPr>
          <w:u w:val="single"/>
        </w:rPr>
        <w:t>2. Control provisions of section C403.4 which are impossible to achieve without an alteration of otherwise unaltered non-control elements of the associated, immediately upstream plant equipment.</w:t>
      </w:r>
    </w:p>
    <w:p w14:paraId="5F14BFEE" w14:textId="77777777" w:rsidR="00DB1AEE" w:rsidRPr="00DB1AEE" w:rsidRDefault="00DB1AEE" w:rsidP="00DB1AEE">
      <w:pPr>
        <w:widowControl w:val="0"/>
        <w:suppressAutoHyphens/>
        <w:spacing w:before="130" w:after="130"/>
        <w:rPr>
          <w:b/>
          <w:bCs/>
          <w:u w:val="single"/>
        </w:rPr>
      </w:pPr>
      <w:r w:rsidRPr="00DB1AEE">
        <w:rPr>
          <w:b/>
          <w:bCs/>
          <w:u w:val="single"/>
        </w:rPr>
        <w:t xml:space="preserve">Section C503.3.5 System sizing.    </w:t>
      </w:r>
    </w:p>
    <w:p w14:paraId="3A13F17E" w14:textId="77777777" w:rsidR="00DB1AEE" w:rsidRPr="00DB1AEE" w:rsidRDefault="00DB1AEE" w:rsidP="00DB1AEE">
      <w:pPr>
        <w:widowControl w:val="0"/>
        <w:suppressAutoHyphens/>
        <w:spacing w:before="130" w:after="130"/>
        <w:rPr>
          <w:u w:val="single"/>
        </w:rPr>
      </w:pPr>
      <w:r w:rsidRPr="00DB1AEE">
        <w:rPr>
          <w:u w:val="single"/>
        </w:rPr>
        <w:t xml:space="preserve">Section C503.3.3 – Revise Section C503.3.5 </w:t>
      </w:r>
      <w:r w:rsidRPr="00DB1AEE">
        <w:rPr>
          <w:rFonts w:eastAsia="MS Mincho"/>
          <w:szCs w:val="24"/>
          <w:u w:val="single"/>
        </w:rPr>
        <w:t>to read as follows</w:t>
      </w:r>
      <w:r w:rsidRPr="00DB1AEE">
        <w:rPr>
          <w:u w:val="single"/>
        </w:rPr>
        <w:t>:</w:t>
      </w:r>
    </w:p>
    <w:p w14:paraId="2A24350F" w14:textId="77777777" w:rsidR="00DB1AEE" w:rsidRPr="00DB1AEE" w:rsidRDefault="00DB1AEE" w:rsidP="00DB1AEE">
      <w:pPr>
        <w:widowControl w:val="0"/>
        <w:suppressAutoHyphens/>
        <w:spacing w:before="130" w:after="130"/>
        <w:ind w:left="360"/>
        <w:rPr>
          <w:u w:val="single"/>
        </w:rPr>
      </w:pPr>
      <w:r w:rsidRPr="00DB1AEE">
        <w:rPr>
          <w:b/>
          <w:bCs/>
          <w:u w:val="single"/>
        </w:rPr>
        <w:t xml:space="preserve">C503.3.5 System sizing.  </w:t>
      </w:r>
      <w:r w:rsidRPr="00DB1AEE">
        <w:rPr>
          <w:u w:val="single"/>
        </w:rPr>
        <w:t xml:space="preserve">New heating, cooling and ventilation systems that is part of an alteration shall be sized in accordance with Section C403.1.1 based on the existing building features as modified by the alteration. </w:t>
      </w:r>
    </w:p>
    <w:p w14:paraId="4A144276" w14:textId="77777777" w:rsidR="00DB1AEE" w:rsidRPr="00DB1AEE" w:rsidRDefault="00DB1AEE" w:rsidP="00DB1AEE">
      <w:pPr>
        <w:widowControl w:val="0"/>
        <w:suppressAutoHyphens/>
        <w:spacing w:before="130" w:after="130"/>
        <w:ind w:left="360"/>
        <w:rPr>
          <w:u w:val="single"/>
        </w:rPr>
      </w:pPr>
      <w:r w:rsidRPr="00DB1AEE">
        <w:rPr>
          <w:u w:val="single"/>
        </w:rPr>
        <w:t xml:space="preserve">Exception: </w:t>
      </w:r>
    </w:p>
    <w:p w14:paraId="064683AF" w14:textId="77777777" w:rsidR="00DB1AEE" w:rsidRPr="00DB1AEE" w:rsidRDefault="00DB1AEE" w:rsidP="00DB1AEE">
      <w:pPr>
        <w:widowControl w:val="0"/>
        <w:suppressAutoHyphens/>
        <w:spacing w:before="130" w:after="130"/>
        <w:ind w:left="360"/>
        <w:rPr>
          <w:u w:val="single"/>
        </w:rPr>
      </w:pPr>
      <w:r w:rsidRPr="00DB1AEE">
        <w:rPr>
          <w:u w:val="single"/>
        </w:rPr>
        <w:t>1. Where it is demonstrated to the building official that compliance with this section would result in heating or cooling equipment that is deemed by the commissioner incompatible with the rest of the heating or cooling system.</w:t>
      </w:r>
    </w:p>
    <w:p w14:paraId="5A3689BE" w14:textId="77777777" w:rsidR="00DB1AEE" w:rsidRPr="00DB1AEE" w:rsidRDefault="00DB1AEE" w:rsidP="00DB1AEE">
      <w:pPr>
        <w:widowControl w:val="0"/>
        <w:suppressAutoHyphens/>
        <w:spacing w:before="130" w:after="130"/>
        <w:ind w:left="360"/>
        <w:rPr>
          <w:u w:val="single"/>
        </w:rPr>
      </w:pPr>
      <w:r w:rsidRPr="00DB1AEE">
        <w:rPr>
          <w:u w:val="single"/>
        </w:rPr>
        <w:t>2. Where it has been demonstrated to the building official that the additional capacity will be needed in the future.</w:t>
      </w:r>
    </w:p>
    <w:p w14:paraId="794F2E90" w14:textId="77777777" w:rsidR="00DB1AEE" w:rsidRPr="00DB1AEE" w:rsidRDefault="00DB1AEE" w:rsidP="00DB1AEE">
      <w:pPr>
        <w:widowControl w:val="0"/>
        <w:suppressAutoHyphens/>
        <w:spacing w:before="130" w:after="130"/>
        <w:rPr>
          <w:b/>
          <w:bCs/>
          <w:u w:val="single"/>
        </w:rPr>
      </w:pPr>
      <w:r w:rsidRPr="00DB1AEE">
        <w:rPr>
          <w:b/>
          <w:bCs/>
          <w:u w:val="single"/>
        </w:rPr>
        <w:t xml:space="preserve">Section C503.6 Additional energy efficiency credit requirements for alterations.    </w:t>
      </w:r>
    </w:p>
    <w:p w14:paraId="6DBA43C5" w14:textId="77777777" w:rsidR="00DB1AEE" w:rsidRPr="00DB1AEE" w:rsidRDefault="00DB1AEE" w:rsidP="00DB1AEE">
      <w:pPr>
        <w:widowControl w:val="0"/>
        <w:suppressAutoHyphens/>
        <w:spacing w:before="130" w:after="130"/>
        <w:rPr>
          <w:u w:val="single"/>
        </w:rPr>
      </w:pPr>
      <w:r w:rsidRPr="00DB1AEE">
        <w:rPr>
          <w:u w:val="single"/>
        </w:rPr>
        <w:t xml:space="preserve">Section C503.6 – Revise exception 3 from Section C503.6 </w:t>
      </w:r>
      <w:r w:rsidRPr="00DB1AEE">
        <w:rPr>
          <w:rFonts w:eastAsia="MS Mincho"/>
          <w:szCs w:val="24"/>
          <w:u w:val="single"/>
        </w:rPr>
        <w:t>to read as follows</w:t>
      </w:r>
      <w:r w:rsidRPr="00DB1AEE">
        <w:rPr>
          <w:u w:val="single"/>
        </w:rPr>
        <w:t>:</w:t>
      </w:r>
    </w:p>
    <w:p w14:paraId="1DC6C757" w14:textId="77777777" w:rsidR="00DB1AEE" w:rsidRPr="00DB1AEE" w:rsidRDefault="00DB1AEE" w:rsidP="00DB1AEE">
      <w:pPr>
        <w:widowControl w:val="0"/>
        <w:suppressAutoHyphens/>
        <w:spacing w:before="130" w:after="130"/>
        <w:rPr>
          <w:b/>
          <w:bCs/>
          <w:u w:val="single"/>
        </w:rPr>
      </w:pPr>
      <w:r w:rsidRPr="00DB1AEE">
        <w:rPr>
          <w:u w:val="single"/>
        </w:rPr>
        <w:t xml:space="preserve">3. Reserved. </w:t>
      </w:r>
      <w:r w:rsidRPr="00DB1AEE">
        <w:rPr>
          <w:b/>
          <w:bCs/>
          <w:u w:val="single"/>
        </w:rPr>
        <w:t xml:space="preserve">Section C505.1 General..    </w:t>
      </w:r>
    </w:p>
    <w:p w14:paraId="6DDA284C" w14:textId="77777777" w:rsidR="00DB1AEE" w:rsidRPr="00DB1AEE" w:rsidRDefault="00DB1AEE" w:rsidP="00DB1AEE">
      <w:pPr>
        <w:widowControl w:val="0"/>
        <w:suppressAutoHyphens/>
        <w:spacing w:before="130" w:after="130"/>
        <w:rPr>
          <w:u w:val="single"/>
        </w:rPr>
      </w:pPr>
      <w:r w:rsidRPr="00DB1AEE">
        <w:rPr>
          <w:u w:val="single"/>
        </w:rPr>
        <w:t>Section C505.1 – Delete the exception to Section C505.1.</w:t>
      </w:r>
    </w:p>
    <w:p w14:paraId="6548E7B0" w14:textId="77777777" w:rsidR="00DB1AEE" w:rsidRPr="00DB1AEE" w:rsidRDefault="00DB1AEE" w:rsidP="00DB1AEE">
      <w:pPr>
        <w:widowControl w:val="0"/>
        <w:suppressAutoHyphens/>
        <w:spacing w:before="130" w:after="130"/>
        <w:rPr>
          <w:b/>
          <w:bCs/>
          <w:u w:val="single"/>
        </w:rPr>
      </w:pPr>
      <w:r w:rsidRPr="00DB1AEE">
        <w:rPr>
          <w:b/>
          <w:bCs/>
          <w:u w:val="single"/>
        </w:rPr>
        <w:t xml:space="preserve">Section C505.2.1 Building thermal envelope.    </w:t>
      </w:r>
    </w:p>
    <w:p w14:paraId="38ED4359" w14:textId="77777777" w:rsidR="00DB1AEE" w:rsidRPr="00DB1AEE" w:rsidRDefault="00DB1AEE" w:rsidP="00DB1AEE">
      <w:pPr>
        <w:widowControl w:val="0"/>
        <w:suppressAutoHyphens/>
        <w:spacing w:before="130" w:after="130"/>
        <w:rPr>
          <w:u w:val="single"/>
        </w:rPr>
      </w:pPr>
      <w:r w:rsidRPr="00DB1AEE">
        <w:rPr>
          <w:u w:val="single"/>
        </w:rPr>
        <w:t>Section C505.2.1 – Revise Section C505.2.1 to read as follows:</w:t>
      </w:r>
    </w:p>
    <w:p w14:paraId="013D8334" w14:textId="77777777" w:rsidR="00DB1AEE" w:rsidRPr="00DB1AEE" w:rsidRDefault="00DB1AEE" w:rsidP="00DB1AEE">
      <w:pPr>
        <w:widowControl w:val="0"/>
        <w:suppressAutoHyphens/>
        <w:spacing w:before="130" w:after="130"/>
        <w:ind w:left="360"/>
        <w:rPr>
          <w:b/>
          <w:bCs/>
          <w:u w:val="single"/>
        </w:rPr>
      </w:pPr>
      <w:r w:rsidRPr="00DB1AEE">
        <w:rPr>
          <w:b/>
          <w:bCs/>
          <w:u w:val="single"/>
        </w:rPr>
        <w:t xml:space="preserve">C505.2.1 Building thermal envelope. </w:t>
      </w:r>
      <w:r w:rsidRPr="00DB1AEE">
        <w:rPr>
          <w:u w:val="single"/>
        </w:rPr>
        <w:t>Where a change of occupancy results in a fenestration area greater than the maximum fenestration area allowed by Section C402.5.1, the building shall comply with Section C402.1.4, with a proposed EPF that shall be not greater than 110 percent of the target UA.</w:t>
      </w:r>
    </w:p>
    <w:p w14:paraId="2FDF1B83" w14:textId="77777777" w:rsidR="00DB1AEE" w:rsidRPr="00DB1AEE" w:rsidRDefault="00DB1AEE" w:rsidP="00DB1AEE">
      <w:pPr>
        <w:widowControl w:val="0"/>
        <w:suppressAutoHyphens/>
        <w:spacing w:before="130" w:after="130"/>
        <w:ind w:left="360"/>
        <w:rPr>
          <w:u w:val="single"/>
        </w:rPr>
      </w:pPr>
      <w:r w:rsidRPr="00DB1AEE">
        <w:rPr>
          <w:b/>
          <w:bCs/>
          <w:u w:val="single"/>
        </w:rPr>
        <w:t xml:space="preserve">Exception: </w:t>
      </w:r>
      <w:r w:rsidRPr="00DB1AEE">
        <w:rPr>
          <w:u w:val="single"/>
        </w:rPr>
        <w:t>Where the change of occupancy or use is made to a building or a portion of the building that is less than 2,000 square feet, the new occupancy is exempt from Section C402.5.1, provided that there is not an increase in fenestration area.</w:t>
      </w:r>
    </w:p>
    <w:p w14:paraId="1D2F3E38" w14:textId="77777777" w:rsidR="00DB1AEE" w:rsidRPr="00DB1AEE" w:rsidRDefault="00DB1AEE" w:rsidP="00DB1AEE">
      <w:pPr>
        <w:widowControl w:val="0"/>
        <w:suppressAutoHyphens/>
        <w:spacing w:before="130" w:after="130"/>
        <w:rPr>
          <w:b/>
          <w:bCs/>
          <w:u w:val="single"/>
        </w:rPr>
      </w:pPr>
      <w:r w:rsidRPr="00DB1AEE">
        <w:rPr>
          <w:b/>
          <w:bCs/>
          <w:u w:val="single"/>
        </w:rPr>
        <w:t xml:space="preserve">Table C505.2.2—Building Mechanical Systems.    </w:t>
      </w:r>
    </w:p>
    <w:p w14:paraId="3872B037" w14:textId="77777777" w:rsidR="00DB1AEE" w:rsidRPr="00DB1AEE" w:rsidRDefault="00DB1AEE" w:rsidP="00DB1AEE">
      <w:pPr>
        <w:widowControl w:val="0"/>
        <w:suppressAutoHyphens/>
        <w:spacing w:before="130" w:after="130"/>
        <w:rPr>
          <w:u w:val="single"/>
        </w:rPr>
      </w:pPr>
      <w:r w:rsidRPr="00DB1AEE">
        <w:rPr>
          <w:u w:val="single"/>
        </w:rPr>
        <w:t>Table C505.2.2– Revise Table C505.2.2 to read as follows:</w:t>
      </w:r>
    </w:p>
    <w:p w14:paraId="22DF0337" w14:textId="77777777" w:rsidR="00DB1AEE" w:rsidRPr="00DB1AEE" w:rsidRDefault="00DB1AEE" w:rsidP="00DB1AEE">
      <w:pPr>
        <w:widowControl w:val="0"/>
        <w:suppressAutoHyphens/>
        <w:spacing w:before="130" w:after="130"/>
        <w:jc w:val="center"/>
        <w:rPr>
          <w:b/>
          <w:bCs/>
          <w:u w:val="single"/>
        </w:rPr>
      </w:pPr>
      <w:r w:rsidRPr="00DB1AEE">
        <w:rPr>
          <w:b/>
          <w:bCs/>
          <w:u w:val="single"/>
        </w:rPr>
        <w:t>TABLE C505.2.2—BUILDING MECHANICAL SYSTEMS</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8"/>
        <w:gridCol w:w="4512"/>
      </w:tblGrid>
      <w:tr w:rsidR="00DB1AEE" w:rsidRPr="00DB1AEE" w14:paraId="4AC1F949" w14:textId="77777777" w:rsidTr="00FC1832">
        <w:tc>
          <w:tcPr>
            <w:tcW w:w="4478" w:type="dxa"/>
          </w:tcPr>
          <w:p w14:paraId="608B0CE0" w14:textId="77777777" w:rsidR="00DB1AEE" w:rsidRPr="00DB1AEE" w:rsidRDefault="00DB1AEE" w:rsidP="00DB1AEE">
            <w:pPr>
              <w:widowControl w:val="0"/>
              <w:suppressAutoHyphens/>
              <w:spacing w:before="130" w:after="130"/>
              <w:rPr>
                <w:rFonts w:ascii="Calibri" w:eastAsia="Calibri" w:hAnsi="Calibri"/>
                <w:b/>
                <w:bCs/>
                <w:sz w:val="22"/>
                <w:szCs w:val="22"/>
                <w:u w:val="single"/>
              </w:rPr>
            </w:pPr>
            <w:r w:rsidRPr="00DB1AEE">
              <w:rPr>
                <w:rFonts w:ascii="Calibri" w:eastAsia="Calibri" w:hAnsi="Calibri"/>
                <w:b/>
                <w:bCs/>
                <w:sz w:val="22"/>
                <w:szCs w:val="22"/>
                <w:u w:val="single"/>
              </w:rPr>
              <w:t>ENERGY USE INTENSITY RANK</w:t>
            </w:r>
          </w:p>
        </w:tc>
        <w:tc>
          <w:tcPr>
            <w:tcW w:w="4512" w:type="dxa"/>
          </w:tcPr>
          <w:p w14:paraId="5179DA8B" w14:textId="77777777" w:rsidR="00DB1AEE" w:rsidRPr="00DB1AEE" w:rsidRDefault="00DB1AEE" w:rsidP="00DB1AEE">
            <w:pPr>
              <w:widowControl w:val="0"/>
              <w:suppressAutoHyphens/>
              <w:spacing w:before="130" w:after="130"/>
              <w:rPr>
                <w:rFonts w:ascii="Calibri" w:eastAsia="Calibri" w:hAnsi="Calibri"/>
                <w:b/>
                <w:bCs/>
                <w:sz w:val="22"/>
                <w:szCs w:val="22"/>
                <w:u w:val="single"/>
              </w:rPr>
            </w:pPr>
            <w:r w:rsidRPr="00DB1AEE">
              <w:rPr>
                <w:rFonts w:ascii="Calibri" w:eastAsia="Calibri" w:hAnsi="Calibri"/>
                <w:b/>
                <w:bCs/>
                <w:sz w:val="22"/>
                <w:szCs w:val="22"/>
                <w:u w:val="single"/>
              </w:rPr>
              <w:t>NEW YORK CITY BUILDING CODE  OCCUPANCY CLASSIFICATION AND USE</w:t>
            </w:r>
          </w:p>
        </w:tc>
      </w:tr>
      <w:tr w:rsidR="00DB1AEE" w:rsidRPr="00DB1AEE" w14:paraId="7C6020CC" w14:textId="77777777" w:rsidTr="00FC1832">
        <w:tc>
          <w:tcPr>
            <w:tcW w:w="4478" w:type="dxa"/>
          </w:tcPr>
          <w:p w14:paraId="0E8549DA" w14:textId="77777777" w:rsidR="00DB1AEE" w:rsidRPr="00DB1AEE" w:rsidRDefault="00DB1AEE" w:rsidP="00DB1AEE">
            <w:pPr>
              <w:widowControl w:val="0"/>
              <w:suppressAutoHyphens/>
              <w:spacing w:before="130" w:after="130"/>
              <w:rPr>
                <w:rFonts w:ascii="Calibri" w:eastAsia="Calibri" w:hAnsi="Calibri"/>
                <w:sz w:val="22"/>
                <w:szCs w:val="22"/>
                <w:u w:val="single"/>
              </w:rPr>
            </w:pPr>
            <w:r w:rsidRPr="00DB1AEE">
              <w:rPr>
                <w:rFonts w:ascii="Calibri" w:eastAsia="Calibri" w:hAnsi="Calibri"/>
                <w:sz w:val="22"/>
                <w:szCs w:val="22"/>
                <w:u w:val="single"/>
              </w:rPr>
              <w:t>High</w:t>
            </w:r>
          </w:p>
        </w:tc>
        <w:tc>
          <w:tcPr>
            <w:tcW w:w="4512" w:type="dxa"/>
          </w:tcPr>
          <w:p w14:paraId="2A6EEBFD" w14:textId="77777777" w:rsidR="00DB1AEE" w:rsidRPr="00DB1AEE" w:rsidRDefault="00DB1AEE" w:rsidP="00DB1AEE">
            <w:pPr>
              <w:widowControl w:val="0"/>
              <w:suppressAutoHyphens/>
              <w:spacing w:before="130" w:after="130"/>
              <w:rPr>
                <w:rFonts w:ascii="Calibri" w:eastAsia="Calibri" w:hAnsi="Calibri"/>
                <w:sz w:val="22"/>
                <w:szCs w:val="22"/>
                <w:u w:val="single"/>
              </w:rPr>
            </w:pPr>
            <w:r w:rsidRPr="00DB1AEE">
              <w:rPr>
                <w:rFonts w:ascii="Calibri" w:eastAsia="Calibri" w:hAnsi="Calibri"/>
                <w:sz w:val="22"/>
                <w:szCs w:val="22"/>
                <w:u w:val="single"/>
              </w:rPr>
              <w:t>A-2, B (laboratories), I-2</w:t>
            </w:r>
          </w:p>
        </w:tc>
      </w:tr>
      <w:tr w:rsidR="00DB1AEE" w:rsidRPr="00DB1AEE" w14:paraId="2DB3C414" w14:textId="77777777" w:rsidTr="00FC1832">
        <w:tc>
          <w:tcPr>
            <w:tcW w:w="4478" w:type="dxa"/>
          </w:tcPr>
          <w:p w14:paraId="0ED734CA" w14:textId="77777777" w:rsidR="00DB1AEE" w:rsidRPr="00DB1AEE" w:rsidRDefault="00DB1AEE" w:rsidP="00DB1AEE">
            <w:pPr>
              <w:widowControl w:val="0"/>
              <w:suppressAutoHyphens/>
              <w:spacing w:before="130" w:after="130"/>
              <w:rPr>
                <w:rFonts w:ascii="Calibri" w:eastAsia="Calibri" w:hAnsi="Calibri"/>
                <w:sz w:val="22"/>
                <w:szCs w:val="22"/>
                <w:u w:val="single"/>
              </w:rPr>
            </w:pPr>
            <w:r w:rsidRPr="00DB1AEE">
              <w:rPr>
                <w:rFonts w:ascii="Calibri" w:eastAsia="Calibri" w:hAnsi="Calibri"/>
                <w:sz w:val="22"/>
                <w:szCs w:val="22"/>
                <w:u w:val="single"/>
              </w:rPr>
              <w:t>Medium</w:t>
            </w:r>
          </w:p>
        </w:tc>
        <w:tc>
          <w:tcPr>
            <w:tcW w:w="4512" w:type="dxa"/>
          </w:tcPr>
          <w:p w14:paraId="7110D477" w14:textId="77777777" w:rsidR="00DB1AEE" w:rsidRPr="00DB1AEE" w:rsidRDefault="00DB1AEE" w:rsidP="00DB1AEE">
            <w:pPr>
              <w:widowControl w:val="0"/>
              <w:suppressAutoHyphens/>
              <w:spacing w:before="130" w:after="130"/>
              <w:rPr>
                <w:rFonts w:ascii="Calibri" w:eastAsia="Calibri" w:hAnsi="Calibri"/>
                <w:sz w:val="22"/>
                <w:szCs w:val="22"/>
                <w:u w:val="single"/>
              </w:rPr>
            </w:pPr>
            <w:r w:rsidRPr="00DB1AEE">
              <w:rPr>
                <w:rFonts w:ascii="Calibri" w:eastAsia="Calibri" w:hAnsi="Calibri"/>
                <w:sz w:val="22"/>
                <w:szCs w:val="22"/>
                <w:u w:val="single"/>
              </w:rPr>
              <w:t>A-1, A-3,a A-4, A-5, B,</w:t>
            </w:r>
            <w:r w:rsidRPr="00DB1AEE">
              <w:rPr>
                <w:rFonts w:ascii="Calibri" w:eastAsia="Calibri" w:hAnsi="Calibri"/>
                <w:sz w:val="22"/>
                <w:szCs w:val="22"/>
                <w:u w:val="single"/>
                <w:vertAlign w:val="superscript"/>
              </w:rPr>
              <w:t>b</w:t>
            </w:r>
            <w:r w:rsidRPr="00DB1AEE">
              <w:rPr>
                <w:rFonts w:ascii="Calibri" w:eastAsia="Calibri" w:hAnsi="Calibri"/>
                <w:sz w:val="22"/>
                <w:szCs w:val="22"/>
                <w:u w:val="single"/>
              </w:rPr>
              <w:t xml:space="preserve"> E, I-1, I-3, I-4, M</w:t>
            </w:r>
          </w:p>
        </w:tc>
      </w:tr>
      <w:tr w:rsidR="00DB1AEE" w:rsidRPr="00DB1AEE" w14:paraId="57A3BCC3" w14:textId="77777777" w:rsidTr="00FC1832">
        <w:tc>
          <w:tcPr>
            <w:tcW w:w="4478" w:type="dxa"/>
          </w:tcPr>
          <w:p w14:paraId="64760E00" w14:textId="77777777" w:rsidR="00DB1AEE" w:rsidRPr="00DB1AEE" w:rsidRDefault="00DB1AEE" w:rsidP="00DB1AEE">
            <w:pPr>
              <w:widowControl w:val="0"/>
              <w:suppressAutoHyphens/>
              <w:spacing w:before="130" w:after="130"/>
              <w:rPr>
                <w:rFonts w:ascii="Calibri" w:eastAsia="Calibri" w:hAnsi="Calibri"/>
                <w:sz w:val="22"/>
                <w:szCs w:val="22"/>
                <w:u w:val="single"/>
              </w:rPr>
            </w:pPr>
            <w:r w:rsidRPr="00DB1AEE">
              <w:rPr>
                <w:rFonts w:ascii="Calibri" w:eastAsia="Calibri" w:hAnsi="Calibri"/>
                <w:sz w:val="22"/>
                <w:szCs w:val="22"/>
                <w:u w:val="single"/>
              </w:rPr>
              <w:t>Low</w:t>
            </w:r>
          </w:p>
        </w:tc>
        <w:tc>
          <w:tcPr>
            <w:tcW w:w="4512" w:type="dxa"/>
          </w:tcPr>
          <w:p w14:paraId="200414EE" w14:textId="77777777" w:rsidR="00DB1AEE" w:rsidRPr="00DB1AEE" w:rsidRDefault="00DB1AEE" w:rsidP="00DB1AEE">
            <w:pPr>
              <w:widowControl w:val="0"/>
              <w:suppressAutoHyphens/>
              <w:spacing w:before="130" w:after="130"/>
              <w:rPr>
                <w:rFonts w:ascii="Calibri" w:eastAsia="Calibri" w:hAnsi="Calibri"/>
                <w:sz w:val="22"/>
                <w:szCs w:val="22"/>
                <w:u w:val="single"/>
              </w:rPr>
            </w:pPr>
            <w:r w:rsidRPr="00DB1AEE">
              <w:rPr>
                <w:rFonts w:ascii="Calibri" w:eastAsia="Calibri" w:hAnsi="Calibri"/>
                <w:sz w:val="22"/>
                <w:szCs w:val="22"/>
                <w:u w:val="single"/>
              </w:rPr>
              <w:t>A-3 (places of religious worship), R-1, R-2, R-3,c S-1, S-2, F, H, U</w:t>
            </w:r>
          </w:p>
        </w:tc>
      </w:tr>
    </w:tbl>
    <w:p w14:paraId="3F8D5790" w14:textId="77777777" w:rsidR="00DB1AEE" w:rsidRPr="00DB1AEE" w:rsidRDefault="00DB1AEE" w:rsidP="00DB1AEE">
      <w:pPr>
        <w:widowControl w:val="0"/>
        <w:suppressAutoHyphens/>
        <w:spacing w:before="130" w:after="130"/>
        <w:ind w:left="360"/>
        <w:rPr>
          <w:u w:val="single"/>
        </w:rPr>
      </w:pPr>
      <w:r w:rsidRPr="00DB1AEE">
        <w:rPr>
          <w:u w:val="single"/>
        </w:rPr>
        <w:t>a. Excluding places of religious worship.</w:t>
      </w:r>
    </w:p>
    <w:p w14:paraId="2C64F72C" w14:textId="77777777" w:rsidR="00DB1AEE" w:rsidRPr="00DB1AEE" w:rsidRDefault="00DB1AEE" w:rsidP="00DB1AEE">
      <w:pPr>
        <w:widowControl w:val="0"/>
        <w:suppressAutoHyphens/>
        <w:spacing w:before="130" w:after="130"/>
        <w:ind w:left="360"/>
        <w:rPr>
          <w:u w:val="single"/>
        </w:rPr>
      </w:pPr>
      <w:r w:rsidRPr="00DB1AEE">
        <w:rPr>
          <w:u w:val="single"/>
        </w:rPr>
        <w:t>b. Excluding laboratories.</w:t>
      </w:r>
    </w:p>
    <w:p w14:paraId="386B0DE1" w14:textId="77777777" w:rsidR="00DB1AEE" w:rsidRPr="00DB1AEE" w:rsidRDefault="00DB1AEE" w:rsidP="00DB1AEE">
      <w:pPr>
        <w:widowControl w:val="0"/>
        <w:suppressAutoHyphens/>
        <w:spacing w:before="130" w:after="130"/>
        <w:ind w:left="360"/>
        <w:rPr>
          <w:u w:val="single"/>
        </w:rPr>
      </w:pPr>
      <w:r w:rsidRPr="00DB1AEE">
        <w:rPr>
          <w:u w:val="single"/>
        </w:rPr>
        <w:t>c. Buildings three stories or less in height above grade plane shall comply with Section R505.</w:t>
      </w:r>
    </w:p>
    <w:p w14:paraId="7E0041BB" w14:textId="77777777" w:rsidR="00DB1AEE" w:rsidRPr="00DB1AEE" w:rsidRDefault="00DB1AEE" w:rsidP="00DB1AEE">
      <w:pPr>
        <w:widowControl w:val="0"/>
        <w:suppressAutoHyphens/>
        <w:spacing w:before="130" w:after="130"/>
        <w:ind w:left="360"/>
        <w:rPr>
          <w:b/>
          <w:bCs/>
          <w:u w:val="single"/>
        </w:rPr>
      </w:pPr>
    </w:p>
    <w:p w14:paraId="6AE6B0B2" w14:textId="77777777" w:rsidR="00DB1AEE" w:rsidRPr="00DB1AEE" w:rsidRDefault="00DB1AEE" w:rsidP="00DB1AEE">
      <w:pPr>
        <w:widowControl w:val="0"/>
        <w:suppressAutoHyphens/>
        <w:spacing w:before="130" w:after="130"/>
        <w:rPr>
          <w:b/>
          <w:bCs/>
          <w:u w:val="single"/>
        </w:rPr>
      </w:pPr>
      <w:r w:rsidRPr="00DB1AEE">
        <w:rPr>
          <w:b/>
          <w:bCs/>
          <w:u w:val="single"/>
        </w:rPr>
        <w:t xml:space="preserve">Table C505.2.3—Service Water Heating.    </w:t>
      </w:r>
    </w:p>
    <w:p w14:paraId="2F158FFB" w14:textId="77777777" w:rsidR="00DB1AEE" w:rsidRPr="00DB1AEE" w:rsidRDefault="00DB1AEE" w:rsidP="00DB1AEE">
      <w:pPr>
        <w:widowControl w:val="0"/>
        <w:suppressAutoHyphens/>
        <w:spacing w:before="130" w:after="130"/>
        <w:rPr>
          <w:u w:val="single"/>
        </w:rPr>
      </w:pPr>
      <w:r w:rsidRPr="00DB1AEE">
        <w:rPr>
          <w:u w:val="single"/>
        </w:rPr>
        <w:t>Table C505.2.3– Revise Table C505.2.3 to read as follows:</w:t>
      </w:r>
    </w:p>
    <w:p w14:paraId="694158A3" w14:textId="77777777" w:rsidR="00DB1AEE" w:rsidRPr="00DB1AEE" w:rsidRDefault="00DB1AEE" w:rsidP="00DB1AEE">
      <w:pPr>
        <w:widowControl w:val="0"/>
        <w:suppressAutoHyphens/>
        <w:spacing w:before="130" w:after="130"/>
        <w:ind w:left="360"/>
        <w:jc w:val="center"/>
        <w:rPr>
          <w:b/>
          <w:bCs/>
          <w:u w:val="single"/>
        </w:rPr>
      </w:pPr>
      <w:r w:rsidRPr="00DB1AEE">
        <w:rPr>
          <w:b/>
          <w:bCs/>
          <w:u w:val="single"/>
        </w:rPr>
        <w:t>TABLE C505.2.3—SERVICE WATER HEATING</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8"/>
        <w:gridCol w:w="4512"/>
      </w:tblGrid>
      <w:tr w:rsidR="00DB1AEE" w:rsidRPr="00DB1AEE" w14:paraId="2D124EAD" w14:textId="77777777" w:rsidTr="00FC1832">
        <w:tc>
          <w:tcPr>
            <w:tcW w:w="4478" w:type="dxa"/>
          </w:tcPr>
          <w:p w14:paraId="0AF257DC" w14:textId="77777777" w:rsidR="00DB1AEE" w:rsidRPr="00DB1AEE" w:rsidRDefault="00DB1AEE" w:rsidP="00DB1AEE">
            <w:pPr>
              <w:widowControl w:val="0"/>
              <w:suppressAutoHyphens/>
              <w:spacing w:before="130" w:after="130"/>
              <w:rPr>
                <w:rFonts w:ascii="Calibri" w:eastAsia="Calibri" w:hAnsi="Calibri"/>
                <w:b/>
                <w:bCs/>
                <w:sz w:val="22"/>
                <w:szCs w:val="22"/>
                <w:u w:val="single"/>
              </w:rPr>
            </w:pPr>
            <w:r w:rsidRPr="00DB1AEE">
              <w:rPr>
                <w:rFonts w:ascii="Calibri" w:eastAsia="Calibri" w:hAnsi="Calibri"/>
                <w:b/>
                <w:bCs/>
                <w:sz w:val="22"/>
                <w:szCs w:val="22"/>
                <w:u w:val="single"/>
              </w:rPr>
              <w:t>ENERGY USE INTENSITY RANK</w:t>
            </w:r>
          </w:p>
        </w:tc>
        <w:tc>
          <w:tcPr>
            <w:tcW w:w="4512" w:type="dxa"/>
          </w:tcPr>
          <w:p w14:paraId="0E2142F4" w14:textId="77777777" w:rsidR="00DB1AEE" w:rsidRPr="00DB1AEE" w:rsidRDefault="00DB1AEE" w:rsidP="00DB1AEE">
            <w:pPr>
              <w:widowControl w:val="0"/>
              <w:suppressAutoHyphens/>
              <w:spacing w:before="130" w:after="130"/>
              <w:rPr>
                <w:rFonts w:ascii="Calibri" w:eastAsia="Calibri" w:hAnsi="Calibri"/>
                <w:b/>
                <w:bCs/>
                <w:sz w:val="22"/>
                <w:szCs w:val="22"/>
                <w:u w:val="single"/>
              </w:rPr>
            </w:pPr>
            <w:r w:rsidRPr="00DB1AEE">
              <w:rPr>
                <w:rFonts w:ascii="Calibri" w:eastAsia="Calibri" w:hAnsi="Calibri"/>
                <w:b/>
                <w:bCs/>
                <w:sz w:val="22"/>
                <w:szCs w:val="22"/>
                <w:u w:val="single"/>
              </w:rPr>
              <w:t>NEW YORK CITY BUILDING CODE  OCCUPANCY CLASSIFICATION AND USE</w:t>
            </w:r>
          </w:p>
        </w:tc>
      </w:tr>
      <w:tr w:rsidR="00DB1AEE" w:rsidRPr="00DB1AEE" w14:paraId="6BAB1EFF" w14:textId="77777777" w:rsidTr="00FC1832">
        <w:tc>
          <w:tcPr>
            <w:tcW w:w="4478" w:type="dxa"/>
          </w:tcPr>
          <w:p w14:paraId="326119FE" w14:textId="77777777" w:rsidR="00DB1AEE" w:rsidRPr="00DB1AEE" w:rsidRDefault="00DB1AEE" w:rsidP="00DB1AEE">
            <w:pPr>
              <w:widowControl w:val="0"/>
              <w:suppressAutoHyphens/>
              <w:spacing w:before="130" w:after="130"/>
              <w:rPr>
                <w:rFonts w:ascii="Calibri" w:eastAsia="Calibri" w:hAnsi="Calibri"/>
                <w:sz w:val="22"/>
                <w:szCs w:val="22"/>
                <w:u w:val="single"/>
              </w:rPr>
            </w:pPr>
            <w:r w:rsidRPr="00DB1AEE">
              <w:rPr>
                <w:rFonts w:ascii="Calibri" w:eastAsia="Calibri" w:hAnsi="Calibri"/>
                <w:sz w:val="22"/>
                <w:szCs w:val="22"/>
                <w:u w:val="single"/>
              </w:rPr>
              <w:t>High</w:t>
            </w:r>
          </w:p>
        </w:tc>
        <w:tc>
          <w:tcPr>
            <w:tcW w:w="4512" w:type="dxa"/>
          </w:tcPr>
          <w:p w14:paraId="522EE244" w14:textId="77777777" w:rsidR="00DB1AEE" w:rsidRPr="00DB1AEE" w:rsidRDefault="00DB1AEE" w:rsidP="00DB1AEE">
            <w:pPr>
              <w:widowControl w:val="0"/>
              <w:suppressAutoHyphens/>
              <w:spacing w:before="130" w:after="130"/>
              <w:rPr>
                <w:rFonts w:ascii="Calibri" w:eastAsia="Calibri" w:hAnsi="Calibri"/>
                <w:sz w:val="22"/>
                <w:szCs w:val="22"/>
                <w:u w:val="single"/>
              </w:rPr>
            </w:pPr>
            <w:r w:rsidRPr="00DB1AEE">
              <w:rPr>
                <w:rFonts w:ascii="Calibri" w:eastAsia="Calibri" w:hAnsi="Calibri"/>
                <w:sz w:val="22"/>
                <w:szCs w:val="22"/>
                <w:u w:val="single"/>
              </w:rPr>
              <w:t>A-2, I-1, I-2, R-1</w:t>
            </w:r>
          </w:p>
        </w:tc>
      </w:tr>
      <w:tr w:rsidR="00DB1AEE" w:rsidRPr="00DB1AEE" w14:paraId="53935B4F" w14:textId="77777777" w:rsidTr="00FC1832">
        <w:tc>
          <w:tcPr>
            <w:tcW w:w="4478" w:type="dxa"/>
          </w:tcPr>
          <w:p w14:paraId="1ED103BE" w14:textId="77777777" w:rsidR="00DB1AEE" w:rsidRPr="00DB1AEE" w:rsidRDefault="00DB1AEE" w:rsidP="00DB1AEE">
            <w:pPr>
              <w:widowControl w:val="0"/>
              <w:suppressAutoHyphens/>
              <w:spacing w:before="130" w:after="130"/>
              <w:rPr>
                <w:rFonts w:ascii="Calibri" w:eastAsia="Calibri" w:hAnsi="Calibri"/>
                <w:sz w:val="22"/>
                <w:szCs w:val="22"/>
                <w:u w:val="single"/>
              </w:rPr>
            </w:pPr>
            <w:r w:rsidRPr="00DB1AEE">
              <w:rPr>
                <w:rFonts w:ascii="Calibri" w:eastAsia="Calibri" w:hAnsi="Calibri"/>
                <w:sz w:val="22"/>
                <w:szCs w:val="22"/>
                <w:u w:val="single"/>
              </w:rPr>
              <w:t>Low</w:t>
            </w:r>
          </w:p>
        </w:tc>
        <w:tc>
          <w:tcPr>
            <w:tcW w:w="4512" w:type="dxa"/>
          </w:tcPr>
          <w:p w14:paraId="5389411A" w14:textId="77777777" w:rsidR="00DB1AEE" w:rsidRPr="00DB1AEE" w:rsidRDefault="00DB1AEE" w:rsidP="00DB1AEE">
            <w:pPr>
              <w:widowControl w:val="0"/>
              <w:suppressAutoHyphens/>
              <w:spacing w:before="130" w:after="130"/>
              <w:rPr>
                <w:rFonts w:ascii="Calibri" w:eastAsia="Calibri" w:hAnsi="Calibri"/>
                <w:sz w:val="22"/>
                <w:szCs w:val="22"/>
                <w:u w:val="single"/>
              </w:rPr>
            </w:pPr>
            <w:r w:rsidRPr="00DB1AEE">
              <w:rPr>
                <w:rFonts w:ascii="Calibri" w:eastAsia="Calibri" w:hAnsi="Calibri"/>
                <w:sz w:val="22"/>
                <w:szCs w:val="22"/>
                <w:u w:val="single"/>
              </w:rPr>
              <w:t>All other occupancies and uses</w:t>
            </w:r>
          </w:p>
        </w:tc>
      </w:tr>
    </w:tbl>
    <w:p w14:paraId="5722CFDF" w14:textId="77777777" w:rsidR="00DB1AEE" w:rsidRPr="00DB1AEE" w:rsidRDefault="00DB1AEE" w:rsidP="00DB1AEE">
      <w:pPr>
        <w:widowControl w:val="0"/>
        <w:suppressAutoHyphens/>
        <w:spacing w:before="130" w:after="130"/>
        <w:rPr>
          <w:b/>
          <w:bCs/>
          <w:u w:val="single"/>
        </w:rPr>
      </w:pPr>
      <w:r w:rsidRPr="00DB1AEE">
        <w:rPr>
          <w:b/>
          <w:bCs/>
          <w:u w:val="single"/>
        </w:rPr>
        <w:t xml:space="preserve">Table C505.2.4—Lighting.    </w:t>
      </w:r>
    </w:p>
    <w:p w14:paraId="6D8D869C" w14:textId="77777777" w:rsidR="00DB1AEE" w:rsidRPr="00DB1AEE" w:rsidRDefault="00DB1AEE" w:rsidP="00DB1AEE">
      <w:pPr>
        <w:widowControl w:val="0"/>
        <w:suppressAutoHyphens/>
        <w:spacing w:before="130" w:after="130"/>
        <w:rPr>
          <w:u w:val="single"/>
        </w:rPr>
      </w:pPr>
      <w:r w:rsidRPr="00DB1AEE">
        <w:rPr>
          <w:u w:val="single"/>
        </w:rPr>
        <w:t>Table C505.2.4– Revise Table C505.2.4 to read as follows:</w:t>
      </w:r>
    </w:p>
    <w:p w14:paraId="6971FE63" w14:textId="77777777" w:rsidR="00DB1AEE" w:rsidRPr="00DB1AEE" w:rsidRDefault="00DB1AEE" w:rsidP="00DB1AEE">
      <w:pPr>
        <w:widowControl w:val="0"/>
        <w:suppressAutoHyphens/>
        <w:spacing w:before="130" w:after="130"/>
        <w:jc w:val="center"/>
        <w:rPr>
          <w:b/>
          <w:bCs/>
          <w:u w:val="single"/>
        </w:rPr>
      </w:pPr>
      <w:r w:rsidRPr="00DB1AEE">
        <w:rPr>
          <w:b/>
          <w:bCs/>
          <w:u w:val="single"/>
        </w:rPr>
        <w:t>TABLE C505.2.4—LIGHTING</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8"/>
        <w:gridCol w:w="4512"/>
      </w:tblGrid>
      <w:tr w:rsidR="00DB1AEE" w:rsidRPr="00DB1AEE" w14:paraId="5C580341" w14:textId="77777777" w:rsidTr="00FC1832">
        <w:tc>
          <w:tcPr>
            <w:tcW w:w="4478" w:type="dxa"/>
          </w:tcPr>
          <w:p w14:paraId="55391593" w14:textId="77777777" w:rsidR="00DB1AEE" w:rsidRPr="00DB1AEE" w:rsidRDefault="00DB1AEE" w:rsidP="00DB1AEE">
            <w:pPr>
              <w:widowControl w:val="0"/>
              <w:suppressAutoHyphens/>
              <w:spacing w:before="130" w:after="130"/>
              <w:rPr>
                <w:rFonts w:ascii="Calibri" w:eastAsia="Calibri" w:hAnsi="Calibri"/>
                <w:b/>
                <w:bCs/>
                <w:sz w:val="22"/>
                <w:szCs w:val="22"/>
                <w:u w:val="single"/>
              </w:rPr>
            </w:pPr>
            <w:r w:rsidRPr="00DB1AEE">
              <w:rPr>
                <w:rFonts w:ascii="Calibri" w:eastAsia="Calibri" w:hAnsi="Calibri"/>
                <w:b/>
                <w:bCs/>
                <w:sz w:val="22"/>
                <w:szCs w:val="22"/>
                <w:u w:val="single"/>
              </w:rPr>
              <w:t>ENERGY USE INTENSITY RANK</w:t>
            </w:r>
          </w:p>
        </w:tc>
        <w:tc>
          <w:tcPr>
            <w:tcW w:w="4512" w:type="dxa"/>
          </w:tcPr>
          <w:p w14:paraId="09FD7AAD" w14:textId="77777777" w:rsidR="00DB1AEE" w:rsidRPr="00DB1AEE" w:rsidRDefault="00DB1AEE" w:rsidP="00DB1AEE">
            <w:pPr>
              <w:widowControl w:val="0"/>
              <w:suppressAutoHyphens/>
              <w:spacing w:before="130" w:after="130"/>
              <w:rPr>
                <w:rFonts w:ascii="Calibri" w:eastAsia="Calibri" w:hAnsi="Calibri"/>
                <w:b/>
                <w:bCs/>
                <w:sz w:val="22"/>
                <w:szCs w:val="22"/>
                <w:u w:val="single"/>
              </w:rPr>
            </w:pPr>
            <w:r w:rsidRPr="00DB1AEE">
              <w:rPr>
                <w:rFonts w:ascii="Calibri" w:eastAsia="Calibri" w:hAnsi="Calibri"/>
                <w:b/>
                <w:bCs/>
                <w:sz w:val="22"/>
                <w:szCs w:val="22"/>
                <w:u w:val="single"/>
              </w:rPr>
              <w:t>NEW YORK CITY BUILDING CODE  OCCUPANCY CLASSIFICATION AND USE</w:t>
            </w:r>
          </w:p>
        </w:tc>
      </w:tr>
      <w:tr w:rsidR="00DB1AEE" w:rsidRPr="00DB1AEE" w14:paraId="60FD9D0B" w14:textId="77777777" w:rsidTr="00FC1832">
        <w:tc>
          <w:tcPr>
            <w:tcW w:w="4478" w:type="dxa"/>
          </w:tcPr>
          <w:p w14:paraId="3781CE99" w14:textId="77777777" w:rsidR="00DB1AEE" w:rsidRPr="00DB1AEE" w:rsidRDefault="00DB1AEE" w:rsidP="00DB1AEE">
            <w:pPr>
              <w:widowControl w:val="0"/>
              <w:suppressAutoHyphens/>
              <w:spacing w:before="130" w:after="130"/>
              <w:rPr>
                <w:rFonts w:ascii="Calibri" w:eastAsia="Calibri" w:hAnsi="Calibri"/>
                <w:sz w:val="22"/>
                <w:szCs w:val="22"/>
                <w:u w:val="single"/>
              </w:rPr>
            </w:pPr>
            <w:r w:rsidRPr="00DB1AEE">
              <w:rPr>
                <w:rFonts w:ascii="Calibri" w:eastAsia="Calibri" w:hAnsi="Calibri"/>
                <w:sz w:val="22"/>
                <w:szCs w:val="22"/>
                <w:u w:val="single"/>
              </w:rPr>
              <w:t>High</w:t>
            </w:r>
          </w:p>
        </w:tc>
        <w:tc>
          <w:tcPr>
            <w:tcW w:w="4512" w:type="dxa"/>
          </w:tcPr>
          <w:p w14:paraId="09DF9256" w14:textId="77777777" w:rsidR="00DB1AEE" w:rsidRPr="00DB1AEE" w:rsidRDefault="00DB1AEE" w:rsidP="00DB1AEE">
            <w:pPr>
              <w:widowControl w:val="0"/>
              <w:suppressAutoHyphens/>
              <w:spacing w:before="130" w:after="130"/>
              <w:rPr>
                <w:rFonts w:ascii="Calibri" w:eastAsia="Calibri" w:hAnsi="Calibri"/>
                <w:sz w:val="22"/>
                <w:szCs w:val="22"/>
                <w:u w:val="single"/>
              </w:rPr>
            </w:pPr>
            <w:r w:rsidRPr="00DB1AEE">
              <w:rPr>
                <w:rFonts w:ascii="Calibri" w:eastAsia="Calibri" w:hAnsi="Calibri"/>
                <w:sz w:val="22"/>
                <w:szCs w:val="22"/>
                <w:u w:val="single"/>
              </w:rPr>
              <w:t>B (laboratories), B (outpatient healthcare), I-2, M</w:t>
            </w:r>
          </w:p>
        </w:tc>
      </w:tr>
      <w:tr w:rsidR="00DB1AEE" w:rsidRPr="00DB1AEE" w14:paraId="56BDC542" w14:textId="77777777" w:rsidTr="00FC1832">
        <w:tc>
          <w:tcPr>
            <w:tcW w:w="4478" w:type="dxa"/>
          </w:tcPr>
          <w:p w14:paraId="7C7EAAD9" w14:textId="77777777" w:rsidR="00DB1AEE" w:rsidRPr="00DB1AEE" w:rsidRDefault="00DB1AEE" w:rsidP="00DB1AEE">
            <w:pPr>
              <w:widowControl w:val="0"/>
              <w:suppressAutoHyphens/>
              <w:spacing w:before="130" w:after="130"/>
              <w:rPr>
                <w:rFonts w:ascii="Calibri" w:eastAsia="Calibri" w:hAnsi="Calibri"/>
                <w:sz w:val="22"/>
                <w:szCs w:val="22"/>
                <w:u w:val="single"/>
              </w:rPr>
            </w:pPr>
            <w:r w:rsidRPr="00DB1AEE">
              <w:rPr>
                <w:rFonts w:ascii="Calibri" w:eastAsia="Calibri" w:hAnsi="Calibri"/>
                <w:sz w:val="22"/>
                <w:szCs w:val="22"/>
                <w:u w:val="single"/>
              </w:rPr>
              <w:t>Medium</w:t>
            </w:r>
          </w:p>
        </w:tc>
        <w:tc>
          <w:tcPr>
            <w:tcW w:w="4512" w:type="dxa"/>
          </w:tcPr>
          <w:p w14:paraId="226D50B4" w14:textId="77777777" w:rsidR="00DB1AEE" w:rsidRPr="00DB1AEE" w:rsidRDefault="00DB1AEE" w:rsidP="00DB1AEE">
            <w:pPr>
              <w:widowControl w:val="0"/>
              <w:suppressAutoHyphens/>
              <w:spacing w:before="130" w:after="130"/>
              <w:rPr>
                <w:rFonts w:ascii="Calibri" w:eastAsia="Calibri" w:hAnsi="Calibri"/>
                <w:sz w:val="22"/>
                <w:szCs w:val="22"/>
                <w:u w:val="single"/>
              </w:rPr>
            </w:pPr>
            <w:r w:rsidRPr="00DB1AEE">
              <w:rPr>
                <w:rFonts w:ascii="Calibri" w:eastAsia="Calibri" w:hAnsi="Calibri"/>
                <w:sz w:val="22"/>
                <w:szCs w:val="22"/>
                <w:u w:val="single"/>
              </w:rPr>
              <w:t>A-2, A-3 (courtrooms), B,a I-1, I-3, I-4, R-1, R-2, R-3,b R-4, S-1, S-2</w:t>
            </w:r>
          </w:p>
        </w:tc>
      </w:tr>
      <w:tr w:rsidR="00DB1AEE" w:rsidRPr="00DB1AEE" w14:paraId="47CC72A5" w14:textId="77777777" w:rsidTr="00FC1832">
        <w:tc>
          <w:tcPr>
            <w:tcW w:w="4478" w:type="dxa"/>
          </w:tcPr>
          <w:p w14:paraId="494553D6" w14:textId="77777777" w:rsidR="00DB1AEE" w:rsidRPr="00DB1AEE" w:rsidRDefault="00DB1AEE" w:rsidP="00DB1AEE">
            <w:pPr>
              <w:widowControl w:val="0"/>
              <w:suppressAutoHyphens/>
              <w:spacing w:before="130" w:after="130"/>
              <w:rPr>
                <w:rFonts w:ascii="Calibri" w:eastAsia="Calibri" w:hAnsi="Calibri"/>
                <w:sz w:val="22"/>
                <w:szCs w:val="22"/>
                <w:u w:val="single"/>
              </w:rPr>
            </w:pPr>
            <w:r w:rsidRPr="00DB1AEE">
              <w:rPr>
                <w:rFonts w:ascii="Calibri" w:eastAsia="Calibri" w:hAnsi="Calibri"/>
                <w:sz w:val="22"/>
                <w:szCs w:val="22"/>
                <w:u w:val="single"/>
              </w:rPr>
              <w:t>Low</w:t>
            </w:r>
          </w:p>
        </w:tc>
        <w:tc>
          <w:tcPr>
            <w:tcW w:w="4512" w:type="dxa"/>
          </w:tcPr>
          <w:p w14:paraId="03AE10F0" w14:textId="77777777" w:rsidR="00DB1AEE" w:rsidRPr="00DB1AEE" w:rsidRDefault="00DB1AEE" w:rsidP="00DB1AEE">
            <w:pPr>
              <w:widowControl w:val="0"/>
              <w:suppressAutoHyphens/>
              <w:spacing w:before="130" w:after="130"/>
              <w:rPr>
                <w:rFonts w:ascii="Calibri" w:eastAsia="Calibri" w:hAnsi="Calibri"/>
                <w:sz w:val="22"/>
                <w:szCs w:val="22"/>
                <w:u w:val="single"/>
              </w:rPr>
            </w:pPr>
            <w:r w:rsidRPr="00DB1AEE">
              <w:rPr>
                <w:rFonts w:ascii="Calibri" w:eastAsia="Calibri" w:hAnsi="Calibri"/>
                <w:sz w:val="22"/>
                <w:szCs w:val="22"/>
                <w:u w:val="single"/>
              </w:rPr>
              <w:t>A-1, A-3,c A-4, E</w:t>
            </w:r>
          </w:p>
        </w:tc>
      </w:tr>
    </w:tbl>
    <w:p w14:paraId="09570B45" w14:textId="77777777" w:rsidR="00DB1AEE" w:rsidRPr="00DB1AEE" w:rsidRDefault="00DB1AEE" w:rsidP="00DB1AEE">
      <w:pPr>
        <w:widowControl w:val="0"/>
        <w:suppressAutoHyphens/>
        <w:spacing w:before="130" w:after="130"/>
        <w:ind w:left="360"/>
        <w:rPr>
          <w:b/>
          <w:bCs/>
          <w:u w:val="single"/>
        </w:rPr>
      </w:pPr>
      <w:r w:rsidRPr="00DB1AEE">
        <w:rPr>
          <w:b/>
          <w:bCs/>
          <w:u w:val="single"/>
        </w:rPr>
        <w:t>a. Excluding laboratories and outpatient healthcare.</w:t>
      </w:r>
    </w:p>
    <w:p w14:paraId="6B581C0C" w14:textId="77777777" w:rsidR="00DB1AEE" w:rsidRPr="00DB1AEE" w:rsidRDefault="00DB1AEE" w:rsidP="00DB1AEE">
      <w:pPr>
        <w:widowControl w:val="0"/>
        <w:suppressAutoHyphens/>
        <w:spacing w:before="130" w:after="130"/>
        <w:ind w:left="360"/>
        <w:rPr>
          <w:b/>
          <w:bCs/>
          <w:u w:val="single"/>
        </w:rPr>
      </w:pPr>
      <w:r w:rsidRPr="00DB1AEE">
        <w:rPr>
          <w:b/>
          <w:bCs/>
          <w:u w:val="single"/>
        </w:rPr>
        <w:t>b. Buildings three stories or less in height above grade plane shall comply with Section R505.</w:t>
      </w:r>
    </w:p>
    <w:p w14:paraId="2E38EB3A" w14:textId="77777777" w:rsidR="00DB1AEE" w:rsidRPr="00DB1AEE" w:rsidRDefault="00DB1AEE" w:rsidP="00DB1AEE">
      <w:pPr>
        <w:widowControl w:val="0"/>
        <w:suppressAutoHyphens/>
        <w:spacing w:before="130" w:after="130"/>
        <w:ind w:left="360"/>
        <w:rPr>
          <w:b/>
          <w:bCs/>
          <w:u w:val="single"/>
        </w:rPr>
      </w:pPr>
      <w:r w:rsidRPr="00DB1AEE">
        <w:rPr>
          <w:b/>
          <w:bCs/>
          <w:u w:val="single"/>
        </w:rPr>
        <w:t>c. Excluding courtrooms.</w:t>
      </w:r>
    </w:p>
    <w:p w14:paraId="58A4D514" w14:textId="77777777" w:rsidR="00DB1AEE" w:rsidRPr="00DB1AEE" w:rsidRDefault="00DB1AEE" w:rsidP="00DB1AEE">
      <w:pPr>
        <w:widowControl w:val="0"/>
        <w:suppressAutoHyphens/>
        <w:spacing w:before="130" w:after="130"/>
        <w:ind w:left="360"/>
        <w:rPr>
          <w:b/>
          <w:bCs/>
          <w:u w:val="single"/>
        </w:rPr>
      </w:pPr>
    </w:p>
    <w:p w14:paraId="468F4545" w14:textId="77777777" w:rsidR="00DB1AEE" w:rsidRPr="00DB1AEE" w:rsidRDefault="00DB1AEE" w:rsidP="00DB1AEE">
      <w:pPr>
        <w:widowControl w:val="0"/>
        <w:suppressAutoHyphens/>
        <w:spacing w:before="130" w:after="130"/>
        <w:ind w:left="360"/>
        <w:jc w:val="center"/>
        <w:rPr>
          <w:b/>
          <w:bCs/>
          <w:u w:val="single"/>
        </w:rPr>
      </w:pPr>
      <w:r w:rsidRPr="00DB1AEE">
        <w:rPr>
          <w:b/>
          <w:bCs/>
          <w:u w:val="single"/>
        </w:rPr>
        <w:t>CHAPTER C6</w:t>
      </w:r>
    </w:p>
    <w:p w14:paraId="01613C37" w14:textId="77777777" w:rsidR="00DB1AEE" w:rsidRPr="00DB1AEE" w:rsidRDefault="00DB1AEE" w:rsidP="00DB1AEE">
      <w:pPr>
        <w:widowControl w:val="0"/>
        <w:suppressAutoHyphens/>
        <w:spacing w:before="130" w:after="130"/>
        <w:ind w:left="360"/>
        <w:jc w:val="center"/>
        <w:rPr>
          <w:b/>
          <w:bCs/>
          <w:u w:val="single"/>
        </w:rPr>
      </w:pPr>
    </w:p>
    <w:p w14:paraId="0A4FBCC9" w14:textId="77777777" w:rsidR="00DB1AEE" w:rsidRPr="00DB1AEE" w:rsidRDefault="00DB1AEE" w:rsidP="00DB1AEE">
      <w:pPr>
        <w:widowControl w:val="0"/>
        <w:suppressAutoHyphens/>
        <w:autoSpaceDE w:val="0"/>
        <w:autoSpaceDN w:val="0"/>
        <w:adjustRightInd w:val="0"/>
        <w:spacing w:before="130" w:after="130"/>
        <w:jc w:val="center"/>
        <w:rPr>
          <w:b/>
          <w:szCs w:val="24"/>
          <w:u w:val="single"/>
        </w:rPr>
      </w:pPr>
      <w:r w:rsidRPr="00DB1AEE">
        <w:rPr>
          <w:b/>
          <w:szCs w:val="24"/>
          <w:u w:val="single"/>
        </w:rPr>
        <w:t>CHAPTER R2</w:t>
      </w:r>
    </w:p>
    <w:p w14:paraId="300A2458" w14:textId="77777777" w:rsidR="00DB1AEE" w:rsidRPr="00DB1AEE" w:rsidRDefault="00DB1AEE" w:rsidP="00DB1AEE">
      <w:pPr>
        <w:widowControl w:val="0"/>
        <w:suppressAutoHyphens/>
        <w:autoSpaceDE w:val="0"/>
        <w:autoSpaceDN w:val="0"/>
        <w:adjustRightInd w:val="0"/>
        <w:spacing w:before="130" w:after="130"/>
        <w:jc w:val="center"/>
        <w:rPr>
          <w:b/>
          <w:bCs/>
          <w:szCs w:val="24"/>
          <w:u w:val="single"/>
        </w:rPr>
      </w:pPr>
      <w:r w:rsidRPr="00DB1AEE">
        <w:rPr>
          <w:b/>
          <w:szCs w:val="24"/>
          <w:u w:val="single"/>
        </w:rPr>
        <w:t>DEFINITIONS</w:t>
      </w:r>
    </w:p>
    <w:p w14:paraId="1021013A" w14:textId="77777777" w:rsidR="00DB1AEE" w:rsidRPr="00DB1AEE" w:rsidRDefault="00DB1AEE" w:rsidP="00DB1AEE">
      <w:pPr>
        <w:widowControl w:val="0"/>
        <w:suppressAutoHyphens/>
        <w:autoSpaceDE w:val="0"/>
        <w:autoSpaceDN w:val="0"/>
        <w:adjustRightInd w:val="0"/>
        <w:spacing w:before="130" w:after="130"/>
        <w:jc w:val="center"/>
        <w:rPr>
          <w:b/>
          <w:bCs/>
          <w:szCs w:val="24"/>
          <w:u w:val="single"/>
        </w:rPr>
      </w:pPr>
      <w:r w:rsidRPr="00DB1AEE">
        <w:rPr>
          <w:b/>
          <w:bCs/>
          <w:szCs w:val="24"/>
          <w:u w:val="single"/>
        </w:rPr>
        <w:t xml:space="preserve">SECTION R201 </w:t>
      </w:r>
    </w:p>
    <w:p w14:paraId="5D38C135" w14:textId="77777777" w:rsidR="00DB1AEE" w:rsidRPr="00DB1AEE" w:rsidRDefault="00DB1AEE" w:rsidP="00DB1AEE">
      <w:pPr>
        <w:widowControl w:val="0"/>
        <w:suppressAutoHyphens/>
        <w:autoSpaceDE w:val="0"/>
        <w:autoSpaceDN w:val="0"/>
        <w:adjustRightInd w:val="0"/>
        <w:spacing w:before="130" w:after="130"/>
        <w:jc w:val="center"/>
        <w:rPr>
          <w:b/>
          <w:bCs/>
          <w:szCs w:val="24"/>
          <w:u w:val="single"/>
        </w:rPr>
      </w:pPr>
      <w:r w:rsidRPr="00DB1AEE">
        <w:rPr>
          <w:b/>
          <w:bCs/>
          <w:szCs w:val="24"/>
          <w:u w:val="single"/>
        </w:rPr>
        <w:t>GENERAL</w:t>
      </w:r>
    </w:p>
    <w:p w14:paraId="6558FA1C"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Section R201.1 Scope.</w:t>
      </w:r>
    </w:p>
    <w:p w14:paraId="21800341" w14:textId="77777777" w:rsidR="00DB1AEE" w:rsidRPr="00DB1AEE" w:rsidRDefault="00DB1AEE" w:rsidP="00DB1AEE">
      <w:pPr>
        <w:widowControl w:val="0"/>
        <w:suppressAutoHyphens/>
        <w:autoSpaceDE w:val="0"/>
        <w:autoSpaceDN w:val="0"/>
        <w:adjustRightInd w:val="0"/>
        <w:spacing w:before="130" w:after="130"/>
        <w:rPr>
          <w:u w:val="single"/>
        </w:rPr>
      </w:pPr>
      <w:r w:rsidRPr="00DB1AEE">
        <w:rPr>
          <w:u w:val="single"/>
        </w:rPr>
        <w:t>Section R201.1 - Revise Section R201.1 to read as follows:</w:t>
      </w:r>
    </w:p>
    <w:p w14:paraId="47098A7D" w14:textId="77777777" w:rsidR="00DB1AEE" w:rsidRPr="00DB1AEE" w:rsidRDefault="00DB1AEE" w:rsidP="00DB1AEE">
      <w:pPr>
        <w:widowControl w:val="0"/>
        <w:suppressAutoHyphens/>
        <w:autoSpaceDE w:val="0"/>
        <w:autoSpaceDN w:val="0"/>
        <w:adjustRightInd w:val="0"/>
        <w:spacing w:before="130" w:after="130"/>
        <w:ind w:left="360"/>
        <w:rPr>
          <w:bCs/>
          <w:szCs w:val="24"/>
          <w:u w:val="single"/>
        </w:rPr>
      </w:pPr>
      <w:r w:rsidRPr="00DB1AEE">
        <w:rPr>
          <w:b/>
          <w:bCs/>
          <w:szCs w:val="24"/>
          <w:u w:val="single"/>
          <w:lang w:val="x-none"/>
        </w:rPr>
        <w:t>R201.1 Scope.</w:t>
      </w:r>
      <w:r w:rsidRPr="00DB1AEE">
        <w:rPr>
          <w:b/>
          <w:bCs/>
          <w:szCs w:val="24"/>
          <w:u w:val="single"/>
        </w:rPr>
        <w:t xml:space="preserve"> </w:t>
      </w:r>
      <w:r w:rsidRPr="00DB1AEE">
        <w:rPr>
          <w:bCs/>
          <w:szCs w:val="24"/>
          <w:u w:val="single"/>
        </w:rPr>
        <w:t>Unless stated otherwise, the words and terms provided in italics within this code shall have the meanings as defined in Section R202, C202 or as defined within the chapter or appendix where the word or term is found, except as provided in Sections R201.3 and R201.4.</w:t>
      </w:r>
    </w:p>
    <w:p w14:paraId="5412A7E3"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Section R201.3 Terms defined in other codes.</w:t>
      </w:r>
    </w:p>
    <w:p w14:paraId="6ABF9E6E" w14:textId="77777777" w:rsidR="00DB1AEE" w:rsidRPr="00DB1AEE" w:rsidRDefault="00DB1AEE" w:rsidP="00DB1AEE">
      <w:pPr>
        <w:widowControl w:val="0"/>
        <w:suppressAutoHyphens/>
        <w:autoSpaceDE w:val="0"/>
        <w:autoSpaceDN w:val="0"/>
        <w:adjustRightInd w:val="0"/>
        <w:spacing w:before="130" w:after="130"/>
        <w:rPr>
          <w:u w:val="single"/>
        </w:rPr>
      </w:pPr>
      <w:r w:rsidRPr="00DB1AEE">
        <w:rPr>
          <w:u w:val="single"/>
        </w:rPr>
        <w:t>Section R201.3 - Revise Section R201.3 to read as follows:</w:t>
      </w:r>
    </w:p>
    <w:p w14:paraId="542DE289" w14:textId="77777777" w:rsidR="00DB1AEE" w:rsidRPr="00DB1AEE" w:rsidRDefault="00DB1AEE" w:rsidP="00DB1AEE">
      <w:pPr>
        <w:widowControl w:val="0"/>
        <w:suppressAutoHyphens/>
        <w:autoSpaceDE w:val="0"/>
        <w:autoSpaceDN w:val="0"/>
        <w:adjustRightInd w:val="0"/>
        <w:spacing w:before="130" w:after="130"/>
        <w:ind w:left="360"/>
        <w:rPr>
          <w:u w:val="single"/>
        </w:rPr>
      </w:pPr>
      <w:bookmarkStart w:id="344" w:name="_Toc423972331"/>
      <w:bookmarkStart w:id="345" w:name="_Toc424209815"/>
      <w:bookmarkStart w:id="346" w:name="_Toc424211006"/>
      <w:r w:rsidRPr="00DB1AEE">
        <w:rPr>
          <w:b/>
          <w:bCs/>
          <w:u w:val="single"/>
        </w:rPr>
        <w:t>R201.3 Terms defined in other codes.</w:t>
      </w:r>
      <w:bookmarkEnd w:id="344"/>
      <w:bookmarkEnd w:id="345"/>
      <w:bookmarkEnd w:id="346"/>
      <w:r w:rsidRPr="00DB1AEE">
        <w:rPr>
          <w:b/>
          <w:bCs/>
          <w:u w:val="single"/>
        </w:rPr>
        <w:t xml:space="preserve"> </w:t>
      </w:r>
      <w:r w:rsidRPr="00DB1AEE">
        <w:rPr>
          <w:u w:val="single"/>
        </w:rPr>
        <w:t>Where italicized words and terms are not defined in this code but are defined in the New York City Construction Codes, New York City Fire Code, or the New York City Electrical Code shall have the meanings ascribed to them in those codes.</w:t>
      </w:r>
    </w:p>
    <w:p w14:paraId="7F589648" w14:textId="77777777" w:rsidR="00DB1AEE" w:rsidRPr="00DB1AEE" w:rsidRDefault="00DB1AEE" w:rsidP="00DB1AEE">
      <w:pPr>
        <w:widowControl w:val="0"/>
        <w:suppressAutoHyphens/>
        <w:autoSpaceDE w:val="0"/>
        <w:autoSpaceDN w:val="0"/>
        <w:adjustRightInd w:val="0"/>
        <w:spacing w:before="130" w:after="130"/>
        <w:jc w:val="center"/>
        <w:rPr>
          <w:b/>
          <w:bCs/>
          <w:caps/>
          <w:szCs w:val="24"/>
          <w:u w:val="single"/>
        </w:rPr>
      </w:pPr>
      <w:r w:rsidRPr="00DB1AEE">
        <w:rPr>
          <w:b/>
          <w:bCs/>
          <w:caps/>
          <w:szCs w:val="24"/>
          <w:u w:val="single"/>
        </w:rPr>
        <w:t>Section R202</w:t>
      </w:r>
    </w:p>
    <w:p w14:paraId="048A334F" w14:textId="77777777" w:rsidR="00DB1AEE" w:rsidRPr="00DB1AEE" w:rsidRDefault="00DB1AEE" w:rsidP="00DB1AEE">
      <w:pPr>
        <w:widowControl w:val="0"/>
        <w:suppressAutoHyphens/>
        <w:autoSpaceDE w:val="0"/>
        <w:autoSpaceDN w:val="0"/>
        <w:adjustRightInd w:val="0"/>
        <w:spacing w:before="130" w:after="130"/>
        <w:jc w:val="center"/>
        <w:rPr>
          <w:b/>
          <w:bCs/>
          <w:caps/>
          <w:szCs w:val="24"/>
          <w:u w:val="single"/>
        </w:rPr>
      </w:pPr>
      <w:r w:rsidRPr="00DB1AEE">
        <w:rPr>
          <w:b/>
          <w:bCs/>
          <w:caps/>
          <w:szCs w:val="24"/>
          <w:u w:val="single"/>
        </w:rPr>
        <w:t>GENERAL DEFINITIONS</w:t>
      </w:r>
    </w:p>
    <w:p w14:paraId="44DF0796" w14:textId="77777777" w:rsidR="00DB1AEE" w:rsidRPr="00DB1AEE" w:rsidRDefault="00DB1AEE" w:rsidP="00DB1AEE">
      <w:pPr>
        <w:widowControl w:val="0"/>
        <w:suppressAutoHyphens/>
        <w:autoSpaceDE w:val="0"/>
        <w:autoSpaceDN w:val="0"/>
        <w:adjustRightInd w:val="0"/>
        <w:spacing w:before="130" w:after="130"/>
        <w:rPr>
          <w:szCs w:val="24"/>
          <w:u w:val="single"/>
        </w:rPr>
      </w:pPr>
      <w:r w:rsidRPr="00DB1AEE">
        <w:rPr>
          <w:szCs w:val="24"/>
          <w:u w:val="single"/>
        </w:rPr>
        <w:t xml:space="preserve">Section R202 - Delete the definitions of “Building Code of New York State,” “Existing Building Code of New York State,” “Fire Code of New York State,” “Fuel Gas Code of New York State,” “Mechanical Code of New York State,” “Plumbing Code of New York State,” ”Property Maintenance Code of New York State,” “Residential Code of New York State,” and “Uniform Code.” </w:t>
      </w:r>
    </w:p>
    <w:p w14:paraId="3B32CD93" w14:textId="77777777" w:rsidR="00DB1AEE" w:rsidRPr="00DB1AEE" w:rsidRDefault="00DB1AEE" w:rsidP="00DB1AEE">
      <w:pPr>
        <w:widowControl w:val="0"/>
        <w:suppressAutoHyphens/>
        <w:autoSpaceDE w:val="0"/>
        <w:autoSpaceDN w:val="0"/>
        <w:adjustRightInd w:val="0"/>
        <w:spacing w:before="130" w:after="130"/>
        <w:rPr>
          <w:u w:val="single"/>
        </w:rPr>
      </w:pPr>
      <w:r w:rsidRPr="00DB1AEE">
        <w:rPr>
          <w:u w:val="single"/>
        </w:rPr>
        <w:t>Section R202 – Add the definitions of  “2025 NYC ASHRAE 90.1” after the definition of “2025 NYS ASHRAE 90.1.” to read as follows:</w:t>
      </w:r>
    </w:p>
    <w:p w14:paraId="27055034" w14:textId="77777777" w:rsidR="00DB1AEE" w:rsidRPr="00DB1AEE" w:rsidRDefault="00DB1AEE" w:rsidP="00DB1AEE">
      <w:pPr>
        <w:widowControl w:val="0"/>
        <w:suppressAutoHyphens/>
        <w:spacing w:before="130" w:after="130"/>
        <w:rPr>
          <w:u w:val="single"/>
        </w:rPr>
      </w:pPr>
      <w:r w:rsidRPr="00DB1AEE">
        <w:rPr>
          <w:b/>
          <w:bCs/>
          <w:u w:val="single"/>
        </w:rPr>
        <w:t>2025 NYC ASHRAE 90.1.</w:t>
      </w:r>
      <w:r w:rsidRPr="00DB1AEE">
        <w:rPr>
          <w:u w:val="single"/>
        </w:rPr>
        <w:t xml:space="preserve"> New York City amendments to 2025 NYS ASHRAE 90.1  </w:t>
      </w:r>
    </w:p>
    <w:p w14:paraId="11E29F87" w14:textId="77777777" w:rsidR="00DB1AEE" w:rsidRPr="00DB1AEE" w:rsidRDefault="00DB1AEE" w:rsidP="00DB1AEE">
      <w:pPr>
        <w:widowControl w:val="0"/>
        <w:suppressAutoHyphens/>
        <w:autoSpaceDE w:val="0"/>
        <w:autoSpaceDN w:val="0"/>
        <w:adjustRightInd w:val="0"/>
        <w:spacing w:before="130" w:after="130"/>
        <w:rPr>
          <w:szCs w:val="24"/>
          <w:u w:val="single"/>
        </w:rPr>
      </w:pPr>
      <w:r w:rsidRPr="00DB1AEE">
        <w:rPr>
          <w:szCs w:val="24"/>
          <w:u w:val="single"/>
        </w:rPr>
        <w:t>Section R202 - Delete the definitions of “Approved,” “Approved agency,” after the definition of “Alteration.”</w:t>
      </w:r>
    </w:p>
    <w:p w14:paraId="3E0EC035" w14:textId="77777777" w:rsidR="00DB1AEE" w:rsidRPr="00DB1AEE" w:rsidRDefault="00DB1AEE" w:rsidP="00DB1AEE">
      <w:pPr>
        <w:widowControl w:val="0"/>
        <w:suppressAutoHyphens/>
        <w:autoSpaceDE w:val="0"/>
        <w:autoSpaceDN w:val="0"/>
        <w:adjustRightInd w:val="0"/>
        <w:spacing w:before="130" w:after="130"/>
        <w:rPr>
          <w:u w:val="single"/>
        </w:rPr>
      </w:pPr>
      <w:r w:rsidRPr="00DB1AEE">
        <w:rPr>
          <w:u w:val="single"/>
        </w:rPr>
        <w:t xml:space="preserve">Section R202 – Add the definitions of “Approved,” “Approved agency,” after the definition of “Alteration,” to read as follows: </w:t>
      </w:r>
    </w:p>
    <w:p w14:paraId="56F073A4" w14:textId="77777777" w:rsidR="00DB1AEE" w:rsidRPr="00DB1AEE" w:rsidRDefault="00DB1AEE" w:rsidP="00DB1AEE">
      <w:pPr>
        <w:widowControl w:val="0"/>
        <w:suppressAutoHyphens/>
        <w:autoSpaceDE w:val="0"/>
        <w:autoSpaceDN w:val="0"/>
        <w:adjustRightInd w:val="0"/>
        <w:spacing w:before="130" w:after="130"/>
        <w:rPr>
          <w:u w:val="single"/>
        </w:rPr>
      </w:pPr>
      <w:r w:rsidRPr="00DB1AEE">
        <w:rPr>
          <w:b/>
          <w:bCs/>
          <w:szCs w:val="24"/>
          <w:u w:val="single"/>
        </w:rPr>
        <w:t>APPROVED.</w:t>
      </w:r>
      <w:r w:rsidRPr="00DB1AEE">
        <w:rPr>
          <w:szCs w:val="24"/>
          <w:u w:val="single"/>
        </w:rPr>
        <w:t xml:space="preserve"> </w:t>
      </w:r>
      <w:r w:rsidRPr="00DB1AEE">
        <w:rPr>
          <w:u w:val="single"/>
        </w:rPr>
        <w:t>See Section 28-101.5 of the Administrative Code.</w:t>
      </w:r>
    </w:p>
    <w:p w14:paraId="619131DE" w14:textId="77777777" w:rsidR="00DB1AEE" w:rsidRPr="00DB1AEE" w:rsidRDefault="00DB1AEE" w:rsidP="00DB1AEE">
      <w:pPr>
        <w:widowControl w:val="0"/>
        <w:suppressAutoHyphens/>
        <w:autoSpaceDE w:val="0"/>
        <w:autoSpaceDN w:val="0"/>
        <w:adjustRightInd w:val="0"/>
        <w:spacing w:before="130" w:after="130"/>
        <w:rPr>
          <w:u w:val="single"/>
        </w:rPr>
      </w:pPr>
      <w:r w:rsidRPr="00DB1AEE">
        <w:rPr>
          <w:b/>
          <w:bCs/>
          <w:szCs w:val="24"/>
          <w:u w:val="single"/>
        </w:rPr>
        <w:t>APPROVED AGENCY.</w:t>
      </w:r>
      <w:r w:rsidRPr="00DB1AEE">
        <w:rPr>
          <w:szCs w:val="24"/>
          <w:u w:val="single"/>
        </w:rPr>
        <w:t xml:space="preserve"> </w:t>
      </w:r>
      <w:r w:rsidRPr="00DB1AEE">
        <w:rPr>
          <w:u w:val="single"/>
        </w:rPr>
        <w:t>See Section 28-101.5 of the Administrative Code.</w:t>
      </w:r>
    </w:p>
    <w:p w14:paraId="1A3302F1" w14:textId="77777777" w:rsidR="00DB1AEE" w:rsidRPr="00DB1AEE" w:rsidRDefault="00DB1AEE" w:rsidP="00DB1AEE">
      <w:pPr>
        <w:widowControl w:val="0"/>
        <w:suppressAutoHyphens/>
        <w:autoSpaceDE w:val="0"/>
        <w:autoSpaceDN w:val="0"/>
        <w:adjustRightInd w:val="0"/>
        <w:spacing w:before="130" w:after="130"/>
        <w:rPr>
          <w:u w:val="single"/>
        </w:rPr>
      </w:pPr>
      <w:r w:rsidRPr="00DB1AEE">
        <w:rPr>
          <w:u w:val="single"/>
        </w:rPr>
        <w:t xml:space="preserve">Section R202 – Delete the definitions of “Area-weighted average,” “Authority having jurisdiction,”  after the definition of “Approved source.” </w:t>
      </w:r>
    </w:p>
    <w:p w14:paraId="3204A39B" w14:textId="77777777" w:rsidR="00DB1AEE" w:rsidRPr="00DB1AEE" w:rsidRDefault="00DB1AEE" w:rsidP="00DB1AEE">
      <w:pPr>
        <w:widowControl w:val="0"/>
        <w:suppressAutoHyphens/>
        <w:autoSpaceDE w:val="0"/>
        <w:autoSpaceDN w:val="0"/>
        <w:adjustRightInd w:val="0"/>
        <w:spacing w:before="130" w:after="130"/>
        <w:rPr>
          <w:u w:val="single"/>
        </w:rPr>
      </w:pPr>
      <w:r w:rsidRPr="00DB1AEE">
        <w:rPr>
          <w:u w:val="single"/>
        </w:rPr>
        <w:t xml:space="preserve">Section R202 – Add the definitions of “Area-weighted average,”  “Authority having jurisdiction,” after the definition of “Approved source.” to read as follows: </w:t>
      </w:r>
    </w:p>
    <w:p w14:paraId="770532CB" w14:textId="77777777" w:rsidR="00DB1AEE" w:rsidRPr="00DB1AEE" w:rsidRDefault="00DB1AEE" w:rsidP="00DB1AEE">
      <w:pPr>
        <w:widowControl w:val="0"/>
        <w:suppressAutoHyphens/>
        <w:autoSpaceDE w:val="0"/>
        <w:autoSpaceDN w:val="0"/>
        <w:adjustRightInd w:val="0"/>
        <w:spacing w:before="130" w:after="130"/>
        <w:rPr>
          <w:szCs w:val="24"/>
          <w:u w:val="single"/>
        </w:rPr>
      </w:pPr>
      <w:r w:rsidRPr="00DB1AEE">
        <w:rPr>
          <w:b/>
          <w:bCs/>
          <w:szCs w:val="24"/>
          <w:u w:val="single"/>
        </w:rPr>
        <w:t>AREA WEIGHTED AVERAGE.</w:t>
      </w:r>
      <w:r w:rsidRPr="00DB1AEE">
        <w:rPr>
          <w:szCs w:val="24"/>
          <w:u w:val="single"/>
        </w:rPr>
        <w:t xml:space="preserve"> A mathematical technique for combining different amounts of various components, based on proportional relevance, into a single number. Weighted averaging may be used where there is more than one insulation or thermal resistance value for floor, wall, ceiling insulation, for fenestration in a building. As an example, the area weighted average for window fenestration U-factors equals (Area 1 × U-factor 1) + (Area 2 × U-factor 2) + …/Total Area = weighted average fenestration U-factor.</w:t>
      </w:r>
    </w:p>
    <w:p w14:paraId="1D7A8C83" w14:textId="77777777" w:rsidR="00DB1AEE" w:rsidRPr="00DB1AEE" w:rsidRDefault="00DB1AEE" w:rsidP="00DB1AEE">
      <w:pPr>
        <w:widowControl w:val="0"/>
        <w:suppressAutoHyphens/>
        <w:autoSpaceDE w:val="0"/>
        <w:autoSpaceDN w:val="0"/>
        <w:adjustRightInd w:val="0"/>
        <w:spacing w:before="130" w:after="130"/>
        <w:rPr>
          <w:szCs w:val="24"/>
          <w:u w:val="single"/>
        </w:rPr>
      </w:pPr>
      <w:r w:rsidRPr="00DB1AEE">
        <w:rPr>
          <w:b/>
          <w:bCs/>
          <w:szCs w:val="24"/>
          <w:u w:val="single"/>
        </w:rPr>
        <w:t>AUTHORITY HAVING JURISDICTION.</w:t>
      </w:r>
      <w:r w:rsidRPr="00DB1AEE">
        <w:rPr>
          <w:szCs w:val="24"/>
          <w:u w:val="single"/>
        </w:rPr>
        <w:t xml:space="preserve"> The governmental unit or agency responsible for administration and enforcement of the </w:t>
      </w:r>
      <w:r w:rsidRPr="00DB1AEE">
        <w:rPr>
          <w:szCs w:val="24"/>
          <w:highlight w:val="lightGray"/>
          <w:u w:val="single"/>
        </w:rPr>
        <w:t>New York City Building Codes and NYCECC</w:t>
      </w:r>
      <w:r w:rsidRPr="00DB1AEE">
        <w:rPr>
          <w:szCs w:val="24"/>
          <w:u w:val="single"/>
        </w:rPr>
        <w:t>.</w:t>
      </w:r>
    </w:p>
    <w:p w14:paraId="016D2D53" w14:textId="77777777" w:rsidR="00DB1AEE" w:rsidRPr="00DB1AEE" w:rsidRDefault="00DB1AEE" w:rsidP="00DB1AEE">
      <w:pPr>
        <w:widowControl w:val="0"/>
        <w:suppressAutoHyphens/>
        <w:autoSpaceDE w:val="0"/>
        <w:autoSpaceDN w:val="0"/>
        <w:adjustRightInd w:val="0"/>
        <w:spacing w:before="130" w:after="130"/>
        <w:rPr>
          <w:u w:val="single"/>
        </w:rPr>
      </w:pPr>
      <w:r w:rsidRPr="00DB1AEE">
        <w:rPr>
          <w:u w:val="single"/>
        </w:rPr>
        <w:t xml:space="preserve">Section R202 – Delete the definitions of “Basement wall,” after the definition of “Balanced ventilation system.” </w:t>
      </w:r>
    </w:p>
    <w:p w14:paraId="54707150" w14:textId="77777777" w:rsidR="00DB1AEE" w:rsidRPr="00DB1AEE" w:rsidRDefault="00DB1AEE" w:rsidP="00DB1AEE">
      <w:pPr>
        <w:widowControl w:val="0"/>
        <w:suppressAutoHyphens/>
        <w:autoSpaceDE w:val="0"/>
        <w:autoSpaceDN w:val="0"/>
        <w:adjustRightInd w:val="0"/>
        <w:spacing w:before="130" w:after="130"/>
        <w:rPr>
          <w:u w:val="single"/>
        </w:rPr>
      </w:pPr>
      <w:r w:rsidRPr="00DB1AEE">
        <w:rPr>
          <w:u w:val="single"/>
        </w:rPr>
        <w:t xml:space="preserve">Section R202 – Add the definitions of “Basement or cellar, Energy Code,” “Basement wall,”  “Below-grade wall,” after the definition of “Balanced ventilation system.” to read as follows: </w:t>
      </w:r>
    </w:p>
    <w:p w14:paraId="78B7F1B0" w14:textId="77777777" w:rsidR="00DB1AEE" w:rsidRPr="00DB1AEE" w:rsidRDefault="00DB1AEE" w:rsidP="00DB1AEE">
      <w:pPr>
        <w:suppressAutoHyphens/>
        <w:jc w:val="left"/>
        <w:rPr>
          <w:rFonts w:eastAsia="MS Mincho"/>
          <w:u w:val="single"/>
        </w:rPr>
      </w:pPr>
      <w:r w:rsidRPr="00DB1AEE">
        <w:rPr>
          <w:rFonts w:eastAsia="MS Mincho"/>
          <w:b/>
          <w:bCs/>
          <w:u w:val="single"/>
        </w:rPr>
        <w:t>BASEMENT OR CELLAR, ENERGY CODE.</w:t>
      </w:r>
      <w:r w:rsidRPr="00DB1AEE">
        <w:rPr>
          <w:rFonts w:eastAsia="MS Mincho"/>
          <w:u w:val="single"/>
        </w:rPr>
        <w:t xml:space="preserve"> A story that is not a story above grade plane. See the definition of “Story above grade plane.” </w:t>
      </w:r>
    </w:p>
    <w:p w14:paraId="43BFDA42" w14:textId="77777777" w:rsidR="00DB1AEE" w:rsidRPr="00DB1AEE" w:rsidRDefault="00DB1AEE" w:rsidP="00DB1AEE">
      <w:pPr>
        <w:suppressAutoHyphens/>
        <w:jc w:val="left"/>
        <w:rPr>
          <w:rFonts w:eastAsia="MS Mincho"/>
          <w:b/>
          <w:bCs/>
          <w:u w:val="single"/>
        </w:rPr>
      </w:pPr>
      <w:r w:rsidRPr="00DB1AEE">
        <w:rPr>
          <w:rFonts w:eastAsia="MS Mincho"/>
          <w:b/>
          <w:bCs/>
          <w:u w:val="single"/>
        </w:rPr>
        <w:t xml:space="preserve">BASEMENT WALL. </w:t>
      </w:r>
      <w:r w:rsidRPr="00DB1AEE">
        <w:rPr>
          <w:rFonts w:eastAsia="MS Mincho"/>
          <w:u w:val="single"/>
        </w:rPr>
        <w:t>See “Below-grade wall”</w:t>
      </w:r>
    </w:p>
    <w:p w14:paraId="3224F06B" w14:textId="77777777" w:rsidR="00DB1AEE" w:rsidRPr="00DB1AEE" w:rsidRDefault="00DB1AEE" w:rsidP="00DB1AEE">
      <w:pPr>
        <w:suppressAutoHyphens/>
        <w:jc w:val="left"/>
        <w:rPr>
          <w:rFonts w:eastAsia="MS Mincho"/>
          <w:u w:val="single"/>
        </w:rPr>
      </w:pPr>
      <w:r w:rsidRPr="00DB1AEE">
        <w:rPr>
          <w:rFonts w:eastAsia="MS Mincho"/>
          <w:b/>
          <w:bCs/>
          <w:u w:val="single"/>
        </w:rPr>
        <w:t>BELOW-GRADE WALL</w:t>
      </w:r>
      <w:r w:rsidRPr="00DB1AEE">
        <w:rPr>
          <w:rFonts w:eastAsia="MS Mincho"/>
          <w:u w:val="single"/>
        </w:rPr>
        <w:t>. A wall where 50 percent or more of the total surface area is below the adjoining grade and enclosing conditioned space.</w:t>
      </w:r>
    </w:p>
    <w:p w14:paraId="4E27F590" w14:textId="77777777" w:rsidR="00DB1AEE" w:rsidRPr="00DB1AEE" w:rsidRDefault="00DB1AEE" w:rsidP="00DB1AEE">
      <w:pPr>
        <w:widowControl w:val="0"/>
        <w:suppressAutoHyphens/>
        <w:autoSpaceDE w:val="0"/>
        <w:autoSpaceDN w:val="0"/>
        <w:adjustRightInd w:val="0"/>
        <w:spacing w:before="130" w:after="130"/>
        <w:rPr>
          <w:u w:val="single"/>
        </w:rPr>
      </w:pPr>
      <w:r w:rsidRPr="00DB1AEE">
        <w:rPr>
          <w:u w:val="single"/>
        </w:rPr>
        <w:t xml:space="preserve">Section R202 – Delete the definitions of “Building official,” after the definition of “Building.” </w:t>
      </w:r>
    </w:p>
    <w:p w14:paraId="6E047418" w14:textId="77777777" w:rsidR="00DB1AEE" w:rsidRPr="00DB1AEE" w:rsidRDefault="00DB1AEE" w:rsidP="00DB1AEE">
      <w:pPr>
        <w:widowControl w:val="0"/>
        <w:suppressAutoHyphens/>
        <w:autoSpaceDE w:val="0"/>
        <w:autoSpaceDN w:val="0"/>
        <w:adjustRightInd w:val="0"/>
        <w:spacing w:before="130" w:after="130" w:line="259" w:lineRule="auto"/>
        <w:rPr>
          <w:u w:val="single"/>
        </w:rPr>
      </w:pPr>
      <w:r w:rsidRPr="00DB1AEE">
        <w:rPr>
          <w:u w:val="single"/>
        </w:rPr>
        <w:t xml:space="preserve">Section R202 – Add the definitions of “Building official” after the definition of “Building.” to read as follows: </w:t>
      </w:r>
    </w:p>
    <w:p w14:paraId="3BE6B44E" w14:textId="77777777" w:rsidR="00DB1AEE" w:rsidRPr="00DB1AEE" w:rsidRDefault="00DB1AEE" w:rsidP="00DB1AEE">
      <w:pPr>
        <w:suppressAutoHyphens/>
        <w:jc w:val="left"/>
        <w:rPr>
          <w:rFonts w:eastAsia="MS Mincho"/>
          <w:u w:val="single"/>
        </w:rPr>
      </w:pPr>
      <w:r w:rsidRPr="00DB1AEE">
        <w:rPr>
          <w:rFonts w:eastAsia="MS Mincho"/>
          <w:b/>
          <w:bCs/>
          <w:u w:val="single"/>
        </w:rPr>
        <w:t>BUILDING OFFICIAL.</w:t>
      </w:r>
      <w:r w:rsidRPr="00DB1AEE">
        <w:rPr>
          <w:rFonts w:eastAsia="MS Mincho"/>
          <w:u w:val="single"/>
        </w:rPr>
        <w:t xml:space="preserve"> The Commissioner of Buildings of the City of New York or his or her duly authorized representative. See Section 28-101.5 of the Administrative Code.</w:t>
      </w:r>
    </w:p>
    <w:p w14:paraId="1C9FEA48" w14:textId="77777777" w:rsidR="00DB1AEE" w:rsidRPr="00DB1AEE" w:rsidRDefault="00DB1AEE" w:rsidP="00DB1AEE">
      <w:pPr>
        <w:widowControl w:val="0"/>
        <w:suppressAutoHyphens/>
        <w:spacing w:before="130" w:after="130"/>
        <w:rPr>
          <w:u w:val="single"/>
        </w:rPr>
      </w:pPr>
      <w:r w:rsidRPr="00DB1AEE">
        <w:rPr>
          <w:u w:val="single"/>
        </w:rPr>
        <w:t xml:space="preserve">Section R202 – Delete the definitions of “Building Thermal Envelope,” after the definition of “Building System.” </w:t>
      </w:r>
    </w:p>
    <w:p w14:paraId="3DEB8CBF" w14:textId="77777777" w:rsidR="00DB1AEE" w:rsidRPr="00DB1AEE" w:rsidRDefault="00DB1AEE" w:rsidP="00DB1AEE">
      <w:pPr>
        <w:widowControl w:val="0"/>
        <w:suppressAutoHyphens/>
        <w:spacing w:before="130" w:after="130" w:line="259" w:lineRule="auto"/>
        <w:rPr>
          <w:u w:val="single"/>
        </w:rPr>
      </w:pPr>
      <w:r w:rsidRPr="00DB1AEE">
        <w:rPr>
          <w:u w:val="single"/>
        </w:rPr>
        <w:t>Section R202 – Add the definitions of “Building Thermal Envelope” after the definition of “Building System.to read as follows:</w:t>
      </w:r>
    </w:p>
    <w:p w14:paraId="108344E5" w14:textId="77777777" w:rsidR="00DB1AEE" w:rsidRPr="00DB1AEE" w:rsidRDefault="00DB1AEE" w:rsidP="00DB1AEE">
      <w:pPr>
        <w:suppressAutoHyphens/>
        <w:jc w:val="left"/>
        <w:rPr>
          <w:rFonts w:eastAsia="MS Mincho"/>
          <w:u w:val="single"/>
        </w:rPr>
      </w:pPr>
      <w:r w:rsidRPr="00DB1AEE">
        <w:rPr>
          <w:rFonts w:eastAsia="MS Mincho"/>
          <w:b/>
          <w:bCs/>
          <w:u w:val="single"/>
        </w:rPr>
        <w:t>BUILDING THERMAL ENVELOPE</w:t>
      </w:r>
      <w:r w:rsidRPr="00DB1AEE">
        <w:rPr>
          <w:rFonts w:eastAsia="MS Mincho"/>
          <w:u w:val="single"/>
        </w:rPr>
        <w:t>. The exterior walls, floors, ceilings, slabs, roofs,  fenestration and any other building element assemblies (above and below grade) that enclose conditioned space or provide a boundary between conditioned space and exempt or unconditioned space.</w:t>
      </w:r>
    </w:p>
    <w:p w14:paraId="16F6BFF0" w14:textId="77777777" w:rsidR="00DB1AEE" w:rsidRPr="00DB1AEE" w:rsidRDefault="00DB1AEE" w:rsidP="00DB1AEE">
      <w:pPr>
        <w:widowControl w:val="0"/>
        <w:suppressAutoHyphens/>
        <w:autoSpaceDE w:val="0"/>
        <w:autoSpaceDN w:val="0"/>
        <w:adjustRightInd w:val="0"/>
        <w:spacing w:before="130" w:after="130"/>
        <w:rPr>
          <w:u w:val="single"/>
        </w:rPr>
      </w:pPr>
      <w:r w:rsidRPr="00DB1AEE">
        <w:rPr>
          <w:u w:val="single"/>
        </w:rPr>
        <w:t xml:space="preserve">Section R202 – Add the definitions of “Commissioner” after the definition of “Commercial building.” to read as follows: </w:t>
      </w:r>
    </w:p>
    <w:p w14:paraId="132E1D40" w14:textId="77777777" w:rsidR="00DB1AEE" w:rsidRPr="00DB1AEE" w:rsidRDefault="00DB1AEE" w:rsidP="00DB1AEE">
      <w:pPr>
        <w:suppressAutoHyphens/>
        <w:jc w:val="left"/>
        <w:rPr>
          <w:rFonts w:eastAsia="MS Mincho"/>
          <w:u w:val="single"/>
        </w:rPr>
      </w:pPr>
      <w:r w:rsidRPr="00DB1AEE">
        <w:rPr>
          <w:rFonts w:eastAsia="MS Mincho"/>
          <w:b/>
          <w:bCs/>
          <w:u w:val="single"/>
        </w:rPr>
        <w:t>COMMISSIONER.</w:t>
      </w:r>
      <w:r w:rsidRPr="00DB1AEE">
        <w:rPr>
          <w:rFonts w:eastAsia="MS Mincho"/>
          <w:u w:val="single"/>
        </w:rPr>
        <w:t xml:space="preserve"> The commissioner of buildings of the city of New York, or his or her duly authorized representative.(See “Authority Having Jurisdiction” and “Building official”)</w:t>
      </w:r>
    </w:p>
    <w:p w14:paraId="6B24E987" w14:textId="77777777" w:rsidR="00DB1AEE" w:rsidRPr="00DB1AEE" w:rsidRDefault="00DB1AEE" w:rsidP="00DB1AEE">
      <w:pPr>
        <w:suppressAutoHyphens/>
        <w:jc w:val="left"/>
        <w:rPr>
          <w:rFonts w:eastAsia="MS Mincho"/>
          <w:u w:val="single"/>
        </w:rPr>
      </w:pPr>
    </w:p>
    <w:p w14:paraId="021FD29D" w14:textId="77777777" w:rsidR="00DB1AEE" w:rsidRPr="00DB1AEE" w:rsidRDefault="00DB1AEE" w:rsidP="00DB1AEE">
      <w:pPr>
        <w:widowControl w:val="0"/>
        <w:suppressAutoHyphens/>
        <w:autoSpaceDE w:val="0"/>
        <w:autoSpaceDN w:val="0"/>
        <w:adjustRightInd w:val="0"/>
        <w:spacing w:before="130" w:after="130"/>
        <w:rPr>
          <w:u w:val="single"/>
        </w:rPr>
      </w:pPr>
      <w:r w:rsidRPr="00DB1AEE">
        <w:rPr>
          <w:u w:val="single"/>
        </w:rPr>
        <w:t xml:space="preserve">Section R202 – Delete the definitions of “Enclosed Reflective Airspace,” after the definition of “Emittance.” </w:t>
      </w:r>
    </w:p>
    <w:p w14:paraId="19DF7A2C" w14:textId="77777777" w:rsidR="00DB1AEE" w:rsidRPr="00DB1AEE" w:rsidRDefault="00DB1AEE" w:rsidP="00DB1AEE">
      <w:pPr>
        <w:widowControl w:val="0"/>
        <w:suppressAutoHyphens/>
        <w:autoSpaceDE w:val="0"/>
        <w:autoSpaceDN w:val="0"/>
        <w:adjustRightInd w:val="0"/>
        <w:spacing w:before="130" w:after="130"/>
        <w:rPr>
          <w:u w:val="single"/>
        </w:rPr>
      </w:pPr>
      <w:r w:rsidRPr="00DB1AEE">
        <w:rPr>
          <w:u w:val="single"/>
        </w:rPr>
        <w:t xml:space="preserve">Section R202 – Add the definitions of “Embodied Carbon, ” “Enclosed Reflective Airspace.” after the definition of “Emittance.” to read as follows: </w:t>
      </w:r>
    </w:p>
    <w:p w14:paraId="2D5EB91D" w14:textId="77777777" w:rsidR="00DB1AEE" w:rsidRPr="00DB1AEE" w:rsidRDefault="00DB1AEE" w:rsidP="00DB1AEE">
      <w:pPr>
        <w:suppressAutoHyphens/>
        <w:jc w:val="left"/>
        <w:rPr>
          <w:rFonts w:eastAsia="MS Mincho"/>
          <w:u w:val="single"/>
        </w:rPr>
      </w:pPr>
      <w:r w:rsidRPr="00DB1AEE">
        <w:rPr>
          <w:rFonts w:eastAsia="MS Mincho"/>
          <w:b/>
          <w:bCs/>
          <w:u w:val="single"/>
        </w:rPr>
        <w:t>EMBODIED CARBON:</w:t>
      </w:r>
      <w:r w:rsidRPr="00DB1AEE">
        <w:rPr>
          <w:rFonts w:eastAsia="MS Mincho"/>
          <w:u w:val="single"/>
        </w:rPr>
        <w:t xml:space="preserve"> The total greenhouse gas emissions associated with the life cycle of building materials and products, excluding operational emissions from the building itself.</w:t>
      </w:r>
    </w:p>
    <w:p w14:paraId="25F050D3" w14:textId="77777777" w:rsidR="00DB1AEE" w:rsidRPr="00DB1AEE" w:rsidRDefault="00DB1AEE" w:rsidP="00DB1AEE">
      <w:pPr>
        <w:suppressAutoHyphens/>
        <w:jc w:val="left"/>
        <w:rPr>
          <w:rFonts w:eastAsia="MS Mincho"/>
          <w:u w:val="single"/>
        </w:rPr>
      </w:pPr>
      <w:r w:rsidRPr="00DB1AEE">
        <w:rPr>
          <w:rFonts w:eastAsia="MS Mincho"/>
          <w:b/>
          <w:bCs/>
          <w:u w:val="single"/>
        </w:rPr>
        <w:t>ENCLOSED REFLECTIVE AIRSPACE.</w:t>
      </w:r>
      <w:r w:rsidRPr="00DB1AEE">
        <w:rPr>
          <w:rFonts w:eastAsia="MS Mincho"/>
          <w:u w:val="single"/>
        </w:rPr>
        <w:t xml:space="preserve"> An unventilated cavity with at least one low-emittance surface adjacent to an empty air space bounded on all sides by building components.</w:t>
      </w:r>
    </w:p>
    <w:p w14:paraId="0F59667A" w14:textId="77777777" w:rsidR="00DB1AEE" w:rsidRPr="00DB1AEE" w:rsidRDefault="00DB1AEE" w:rsidP="00DB1AEE">
      <w:pPr>
        <w:widowControl w:val="0"/>
        <w:suppressAutoHyphens/>
        <w:autoSpaceDE w:val="0"/>
        <w:autoSpaceDN w:val="0"/>
        <w:adjustRightInd w:val="0"/>
        <w:spacing w:before="130" w:after="130"/>
        <w:rPr>
          <w:u w:val="single"/>
        </w:rPr>
      </w:pPr>
      <w:r w:rsidRPr="00DB1AEE">
        <w:rPr>
          <w:u w:val="single"/>
        </w:rPr>
        <w:t xml:space="preserve">Section R202 – Delete the definitions of “Energy code,” “Energy cost,”  after the definition of “Energy analysis.” </w:t>
      </w:r>
    </w:p>
    <w:p w14:paraId="73BD1628" w14:textId="77777777" w:rsidR="00DB1AEE" w:rsidRPr="00DB1AEE" w:rsidRDefault="00DB1AEE" w:rsidP="00DB1AEE">
      <w:pPr>
        <w:widowControl w:val="0"/>
        <w:suppressAutoHyphens/>
        <w:autoSpaceDE w:val="0"/>
        <w:autoSpaceDN w:val="0"/>
        <w:adjustRightInd w:val="0"/>
        <w:spacing w:before="130" w:after="130"/>
        <w:rPr>
          <w:u w:val="single"/>
        </w:rPr>
      </w:pPr>
      <w:r w:rsidRPr="00DB1AEE">
        <w:rPr>
          <w:u w:val="single"/>
        </w:rPr>
        <w:t xml:space="preserve">Section R202 – Add the definitions of “Energy code, after the definition of “Energy analysis.” to read as follows: </w:t>
      </w:r>
    </w:p>
    <w:p w14:paraId="3807F371" w14:textId="77777777" w:rsidR="00DB1AEE" w:rsidRPr="00DB1AEE" w:rsidRDefault="00DB1AEE" w:rsidP="00DB1AEE">
      <w:pPr>
        <w:suppressAutoHyphens/>
        <w:jc w:val="left"/>
        <w:rPr>
          <w:rFonts w:eastAsia="MS Mincho"/>
          <w:u w:val="single"/>
        </w:rPr>
      </w:pPr>
      <w:r w:rsidRPr="00DB1AEE">
        <w:rPr>
          <w:rFonts w:eastAsia="MS Mincho"/>
          <w:b/>
          <w:bCs/>
          <w:u w:val="single"/>
        </w:rPr>
        <w:t>ENERGY CODE.</w:t>
      </w:r>
      <w:r w:rsidRPr="00DB1AEE">
        <w:rPr>
          <w:rFonts w:eastAsia="MS Mincho"/>
          <w:u w:val="single"/>
        </w:rPr>
        <w:t xml:space="preserve"> The New York City Energy Conservation Code.</w:t>
      </w:r>
    </w:p>
    <w:p w14:paraId="24131A15" w14:textId="77777777" w:rsidR="00DB1AEE" w:rsidRPr="00DB1AEE" w:rsidRDefault="00DB1AEE" w:rsidP="00DB1AEE">
      <w:pPr>
        <w:widowControl w:val="0"/>
        <w:suppressAutoHyphens/>
        <w:autoSpaceDE w:val="0"/>
        <w:autoSpaceDN w:val="0"/>
        <w:adjustRightInd w:val="0"/>
        <w:spacing w:before="130" w:after="130"/>
        <w:rPr>
          <w:szCs w:val="24"/>
          <w:u w:val="single"/>
        </w:rPr>
      </w:pPr>
      <w:r w:rsidRPr="00DB1AEE">
        <w:rPr>
          <w:u w:val="single"/>
        </w:rPr>
        <w:t xml:space="preserve">Section R202 – Delete the definitions of “Grade Plane,”   after the definition of “Fuel oil.” </w:t>
      </w:r>
    </w:p>
    <w:p w14:paraId="0BDC5DEA" w14:textId="77777777" w:rsidR="00DB1AEE" w:rsidRPr="00DB1AEE" w:rsidRDefault="00DB1AEE" w:rsidP="00DB1AEE">
      <w:pPr>
        <w:widowControl w:val="0"/>
        <w:suppressAutoHyphens/>
        <w:autoSpaceDE w:val="0"/>
        <w:autoSpaceDN w:val="0"/>
        <w:adjustRightInd w:val="0"/>
        <w:spacing w:before="130" w:after="130"/>
        <w:rPr>
          <w:u w:val="single"/>
        </w:rPr>
      </w:pPr>
      <w:r w:rsidRPr="00DB1AEE">
        <w:rPr>
          <w:u w:val="single"/>
        </w:rPr>
        <w:t xml:space="preserve">Section R202 – Add the definitions of “Grade Plane, Energy,” after the definition of “Fuel Oil.” to read as follows: </w:t>
      </w:r>
    </w:p>
    <w:p w14:paraId="200B9C06" w14:textId="77777777" w:rsidR="00DB1AEE" w:rsidRPr="00DB1AEE" w:rsidRDefault="00DB1AEE" w:rsidP="00DB1AEE">
      <w:pPr>
        <w:suppressAutoHyphens/>
        <w:jc w:val="left"/>
        <w:rPr>
          <w:rFonts w:eastAsia="MS Mincho"/>
          <w:u w:val="single"/>
        </w:rPr>
      </w:pPr>
      <w:r w:rsidRPr="00DB1AEE">
        <w:rPr>
          <w:rFonts w:eastAsia="MS Mincho"/>
          <w:b/>
          <w:bCs/>
          <w:u w:val="single"/>
        </w:rPr>
        <w:t>GRADE PLANE, ENERGY.</w:t>
      </w:r>
      <w:r w:rsidRPr="00DB1AEE">
        <w:rPr>
          <w:rFonts w:eastAsia="MS Mincho"/>
          <w:u w:val="single"/>
        </w:rPr>
        <w:t xml:space="preserve"> A reference plane representing the average of the finished ground level adjoining the building at all exterior walls. Where the finished ground level slopes away from the exterior walls, the reference plane is established by the lowest points within the area between the building and the lot line or, where the lot line is more than 6 feet (1829 mm) from the building, between the structure and a point 6 feet (1829 mm) from the building.</w:t>
      </w:r>
    </w:p>
    <w:p w14:paraId="786D46A0" w14:textId="77777777" w:rsidR="00DB1AEE" w:rsidRPr="00DB1AEE" w:rsidRDefault="00DB1AEE" w:rsidP="00DB1AEE">
      <w:pPr>
        <w:widowControl w:val="0"/>
        <w:suppressAutoHyphens/>
        <w:autoSpaceDE w:val="0"/>
        <w:autoSpaceDN w:val="0"/>
        <w:adjustRightInd w:val="0"/>
        <w:spacing w:before="130" w:after="130"/>
        <w:rPr>
          <w:u w:val="single"/>
        </w:rPr>
      </w:pPr>
      <w:r w:rsidRPr="00DB1AEE">
        <w:rPr>
          <w:u w:val="single"/>
        </w:rPr>
        <w:t xml:space="preserve">Section R202 – Delete the definitions of “Market value,”   after the definition of “Manual.” </w:t>
      </w:r>
    </w:p>
    <w:p w14:paraId="133B6E06" w14:textId="77777777" w:rsidR="00DB1AEE" w:rsidRPr="00DB1AEE" w:rsidRDefault="00DB1AEE" w:rsidP="00DB1AEE">
      <w:pPr>
        <w:widowControl w:val="0"/>
        <w:suppressAutoHyphens/>
        <w:autoSpaceDE w:val="0"/>
        <w:autoSpaceDN w:val="0"/>
        <w:adjustRightInd w:val="0"/>
        <w:spacing w:before="130" w:after="130"/>
        <w:rPr>
          <w:u w:val="single"/>
        </w:rPr>
      </w:pPr>
      <w:r w:rsidRPr="00DB1AEE">
        <w:rPr>
          <w:u w:val="single"/>
        </w:rPr>
        <w:t xml:space="preserve">Section R202 – Add the definitions of “Professional certification,” “Project” after the definition of “Plenum.” to read as follows: </w:t>
      </w:r>
    </w:p>
    <w:p w14:paraId="69F8A66E" w14:textId="77777777" w:rsidR="00DB1AEE" w:rsidRPr="00DB1AEE" w:rsidRDefault="00DB1AEE" w:rsidP="00DB1AEE">
      <w:pPr>
        <w:suppressAutoHyphens/>
        <w:jc w:val="left"/>
        <w:rPr>
          <w:rFonts w:eastAsia="MS Mincho"/>
          <w:u w:val="single"/>
        </w:rPr>
      </w:pPr>
      <w:r w:rsidRPr="00DB1AEE">
        <w:rPr>
          <w:rFonts w:eastAsia="MS Mincho"/>
          <w:b/>
          <w:bCs/>
          <w:u w:val="single"/>
        </w:rPr>
        <w:t>PROFESSIONAL CERTIFICATION.</w:t>
      </w:r>
      <w:r w:rsidRPr="00DB1AEE">
        <w:rPr>
          <w:rFonts w:eastAsia="MS Mincho"/>
          <w:u w:val="single"/>
        </w:rPr>
        <w:t xml:space="preserve"> See Section 28-101.5 of the Administrative Code. </w:t>
      </w:r>
    </w:p>
    <w:p w14:paraId="0315CA64" w14:textId="77777777" w:rsidR="00DB1AEE" w:rsidRPr="00DB1AEE" w:rsidRDefault="00DB1AEE" w:rsidP="00DB1AEE">
      <w:pPr>
        <w:suppressAutoHyphens/>
        <w:jc w:val="left"/>
        <w:rPr>
          <w:rFonts w:eastAsia="MS Mincho"/>
          <w:u w:val="single"/>
        </w:rPr>
      </w:pPr>
      <w:r w:rsidRPr="00DB1AEE">
        <w:rPr>
          <w:rFonts w:eastAsia="MS Mincho"/>
          <w:b/>
          <w:bCs/>
          <w:u w:val="single"/>
        </w:rPr>
        <w:t>PROJECT.</w:t>
      </w:r>
      <w:r w:rsidRPr="00DB1AEE">
        <w:rPr>
          <w:rFonts w:eastAsia="MS Mincho"/>
          <w:u w:val="single"/>
        </w:rPr>
        <w:t xml:space="preserve"> A design and construction undertaking comprised of work related to one or more buildings and the site improvements. A project is represented by one or more plan/work applications, including construction documents compiled in accordance with Section 107 of the New York City Building Code, that relate either to the construction of a new building or buildings or to the demolition or alteration of an existing building or buildings. Applications for a project may have different registered design professionals and different job numbers, and may result in the issuance of one or more permits.</w:t>
      </w:r>
    </w:p>
    <w:p w14:paraId="76021E8A" w14:textId="77777777" w:rsidR="00DB1AEE" w:rsidRPr="00DB1AEE" w:rsidRDefault="00DB1AEE" w:rsidP="00DB1AEE">
      <w:pPr>
        <w:widowControl w:val="0"/>
        <w:suppressAutoHyphens/>
        <w:autoSpaceDE w:val="0"/>
        <w:autoSpaceDN w:val="0"/>
        <w:adjustRightInd w:val="0"/>
        <w:spacing w:before="130" w:after="130"/>
        <w:rPr>
          <w:u w:val="single"/>
        </w:rPr>
      </w:pPr>
      <w:r w:rsidRPr="00DB1AEE">
        <w:rPr>
          <w:u w:val="single"/>
        </w:rPr>
        <w:t xml:space="preserve">Section R202 – Delete the definitions of “Solar Heat Gain Coefficient (SHGC)”   after the definition of “Sleeping unit.” </w:t>
      </w:r>
    </w:p>
    <w:p w14:paraId="4A5A8786" w14:textId="77777777" w:rsidR="00DB1AEE" w:rsidRPr="00DB1AEE" w:rsidRDefault="00DB1AEE" w:rsidP="00DB1AEE">
      <w:pPr>
        <w:widowControl w:val="0"/>
        <w:suppressAutoHyphens/>
        <w:autoSpaceDE w:val="0"/>
        <w:autoSpaceDN w:val="0"/>
        <w:adjustRightInd w:val="0"/>
        <w:spacing w:before="130" w:after="130"/>
        <w:rPr>
          <w:u w:val="single"/>
        </w:rPr>
      </w:pPr>
      <w:r w:rsidRPr="00DB1AEE">
        <w:rPr>
          <w:u w:val="single"/>
        </w:rPr>
        <w:t xml:space="preserve">Section R202 – Add the definitions of “Solar Heat Gain Coefficient (SHGC),” after the definition of “Sleeping unit.” to read as follows: </w:t>
      </w:r>
    </w:p>
    <w:p w14:paraId="0E0E061C" w14:textId="77777777" w:rsidR="00DB1AEE" w:rsidRPr="00DB1AEE" w:rsidRDefault="00DB1AEE" w:rsidP="00DB1AEE">
      <w:pPr>
        <w:suppressAutoHyphens/>
        <w:jc w:val="left"/>
        <w:rPr>
          <w:rFonts w:eastAsia="MS Mincho"/>
          <w:u w:val="single"/>
        </w:rPr>
      </w:pPr>
      <w:r w:rsidRPr="00DB1AEE">
        <w:rPr>
          <w:rFonts w:eastAsia="MS Mincho"/>
          <w:b/>
          <w:bCs/>
          <w:u w:val="single"/>
        </w:rPr>
        <w:t>SOLAR HEAT GAIN COEFFICIENT (SHGC).</w:t>
      </w:r>
      <w:r w:rsidRPr="00DB1AEE">
        <w:rPr>
          <w:rFonts w:eastAsia="MS Mincho"/>
          <w:u w:val="single"/>
        </w:rPr>
        <w:t xml:space="preserve"> The ratio of the solar heat gain entering the space through the fenestration assembly to the incident solar radiation. Solar heat gain includes directly transmitted solar heat and absorbed solar radiation that is then re-radiated, conducted or transferred by convection into the space.</w:t>
      </w:r>
    </w:p>
    <w:p w14:paraId="4B0D1F43" w14:textId="77777777" w:rsidR="00DB1AEE" w:rsidRPr="00DB1AEE" w:rsidRDefault="00DB1AEE" w:rsidP="00DB1AEE">
      <w:pPr>
        <w:widowControl w:val="0"/>
        <w:suppressAutoHyphens/>
        <w:autoSpaceDE w:val="0"/>
        <w:autoSpaceDN w:val="0"/>
        <w:adjustRightInd w:val="0"/>
        <w:spacing w:before="130" w:after="130"/>
        <w:rPr>
          <w:u w:val="single"/>
        </w:rPr>
      </w:pPr>
      <w:r w:rsidRPr="00DB1AEE">
        <w:rPr>
          <w:u w:val="single"/>
        </w:rPr>
        <w:t xml:space="preserve">Section R202 – Add the definitions of “Story,” “Story above grade plane,” “Substantial Energy Alteration, “ “Substantially complete building permit application. ” after the definition of “Steep slope.” to read as follows: </w:t>
      </w:r>
    </w:p>
    <w:p w14:paraId="517524EE" w14:textId="77777777" w:rsidR="00DB1AEE" w:rsidRPr="00DB1AEE" w:rsidRDefault="00DB1AEE" w:rsidP="00DB1AEE">
      <w:pPr>
        <w:suppressAutoHyphens/>
        <w:jc w:val="left"/>
        <w:rPr>
          <w:rFonts w:eastAsia="MS Mincho"/>
          <w:u w:val="single"/>
        </w:rPr>
      </w:pPr>
      <w:r w:rsidRPr="00DB1AEE">
        <w:rPr>
          <w:rFonts w:eastAsia="MS Mincho"/>
          <w:b/>
          <w:bCs/>
          <w:u w:val="single"/>
        </w:rPr>
        <w:t>STORY.</w:t>
      </w:r>
      <w:r w:rsidRPr="00DB1AEE">
        <w:rPr>
          <w:rFonts w:eastAsia="MS Mincho"/>
          <w:u w:val="single"/>
        </w:rPr>
        <w:t xml:space="preserve"> The portion of a building included between the upper surface of a floor and the upper surface of the floor or roof next above. See the definitions of “Basement or Cellar, Energy Code and “Grade plane, Energy Code.” A story is measured as the vertical distance from top to top of two successive tiers of beams or finished floor surfaces and, for the topmost story, from the top of the floor finish to the top of the ceiling joists or, where there is not a ceiling, to the top of the roof rafters. </w:t>
      </w:r>
    </w:p>
    <w:p w14:paraId="1616A544" w14:textId="77777777" w:rsidR="00DB1AEE" w:rsidRPr="00DB1AEE" w:rsidRDefault="00DB1AEE" w:rsidP="00DB1AEE">
      <w:pPr>
        <w:suppressAutoHyphens/>
        <w:jc w:val="left"/>
        <w:rPr>
          <w:rFonts w:eastAsia="MS Mincho"/>
          <w:u w:val="single"/>
        </w:rPr>
      </w:pPr>
      <w:r w:rsidRPr="00DB1AEE">
        <w:rPr>
          <w:rFonts w:eastAsia="MS Mincho"/>
          <w:b/>
          <w:bCs/>
          <w:u w:val="single"/>
        </w:rPr>
        <w:t>STORY ABOVE GRADE PLANE.</w:t>
      </w:r>
      <w:r w:rsidRPr="00DB1AEE">
        <w:rPr>
          <w:rFonts w:eastAsia="MS Mincho"/>
          <w:u w:val="single"/>
        </w:rPr>
        <w:t xml:space="preserve"> Any story having its finished floor surface entirely above grade plane, or in which the finished surface of the floor next above is:</w:t>
      </w:r>
    </w:p>
    <w:p w14:paraId="7DCEDD45" w14:textId="77777777" w:rsidR="00DB1AEE" w:rsidRPr="00DB1AEE" w:rsidRDefault="00DB1AEE" w:rsidP="00DB1AEE">
      <w:pPr>
        <w:suppressAutoHyphens/>
        <w:jc w:val="left"/>
        <w:rPr>
          <w:rFonts w:eastAsia="MS Mincho"/>
          <w:u w:val="single"/>
        </w:rPr>
      </w:pPr>
      <w:r w:rsidRPr="00DB1AEE">
        <w:rPr>
          <w:rFonts w:eastAsia="MS Mincho"/>
          <w:u w:val="single"/>
        </w:rPr>
        <w:t>1.</w:t>
      </w:r>
      <w:r w:rsidRPr="00DB1AEE">
        <w:rPr>
          <w:rFonts w:eastAsia="MS Mincho"/>
          <w:u w:val="single"/>
        </w:rPr>
        <w:tab/>
        <w:t>More than 6 feet (1829 mm) above average grade plane; or</w:t>
      </w:r>
    </w:p>
    <w:p w14:paraId="040B896B" w14:textId="77777777" w:rsidR="00DB1AEE" w:rsidRPr="00DB1AEE" w:rsidRDefault="00DB1AEE" w:rsidP="00DB1AEE">
      <w:pPr>
        <w:suppressAutoHyphens/>
        <w:jc w:val="left"/>
        <w:rPr>
          <w:rFonts w:eastAsia="MS Mincho"/>
          <w:u w:val="single"/>
        </w:rPr>
      </w:pPr>
      <w:r w:rsidRPr="00DB1AEE">
        <w:rPr>
          <w:rFonts w:eastAsia="MS Mincho"/>
          <w:u w:val="single"/>
        </w:rPr>
        <w:t>2.</w:t>
      </w:r>
      <w:r w:rsidRPr="00DB1AEE">
        <w:rPr>
          <w:rFonts w:eastAsia="MS Mincho"/>
          <w:u w:val="single"/>
        </w:rPr>
        <w:tab/>
        <w:t xml:space="preserve">More than 12 feet (3658 mm) above the finished ground level at any point. </w:t>
      </w:r>
    </w:p>
    <w:p w14:paraId="49A39055" w14:textId="77777777" w:rsidR="00DB1AEE" w:rsidRPr="00DB1AEE" w:rsidRDefault="00DB1AEE" w:rsidP="00DB1AEE">
      <w:pPr>
        <w:widowControl w:val="0"/>
        <w:suppressAutoHyphens/>
        <w:autoSpaceDE w:val="0"/>
        <w:autoSpaceDN w:val="0"/>
        <w:adjustRightInd w:val="0"/>
        <w:spacing w:before="130" w:after="130"/>
        <w:rPr>
          <w:u w:val="single"/>
        </w:rPr>
      </w:pPr>
      <w:r w:rsidRPr="00DB1AEE">
        <w:rPr>
          <w:u w:val="single"/>
        </w:rPr>
        <w:t xml:space="preserve">Section R202 – Add the definitions of “Thermal Bridges” after the definition of “Testing unit enclosure area.” to read as follows: </w:t>
      </w:r>
    </w:p>
    <w:p w14:paraId="22E4EB24" w14:textId="77777777" w:rsidR="00DB1AEE" w:rsidRPr="00DB1AEE" w:rsidRDefault="00DB1AEE" w:rsidP="00DB1AEE">
      <w:pPr>
        <w:suppressAutoHyphens/>
        <w:jc w:val="left"/>
        <w:rPr>
          <w:rFonts w:eastAsia="MS Mincho"/>
          <w:u w:val="single"/>
        </w:rPr>
      </w:pPr>
      <w:r w:rsidRPr="00DB1AEE">
        <w:rPr>
          <w:rFonts w:eastAsia="MS Mincho"/>
          <w:b/>
          <w:bCs/>
          <w:u w:val="single"/>
        </w:rPr>
        <w:t>THERMAL BRIDGES.</w:t>
      </w:r>
      <w:r w:rsidRPr="00DB1AEE">
        <w:rPr>
          <w:rFonts w:eastAsia="MS Mincho"/>
          <w:u w:val="single"/>
        </w:rPr>
        <w:t xml:space="preserve"> A structural element or interface of elements that has higher thermal conductivity than the surrounding building thermal envelope, which creates a path of decreased resistance for heat transfer. </w:t>
      </w:r>
    </w:p>
    <w:p w14:paraId="431D8AE3" w14:textId="77777777" w:rsidR="00DB1AEE" w:rsidRPr="00DB1AEE" w:rsidRDefault="00DB1AEE" w:rsidP="00DB1AEE">
      <w:pPr>
        <w:suppressAutoHyphens/>
        <w:ind w:left="720"/>
        <w:jc w:val="left"/>
        <w:rPr>
          <w:rFonts w:eastAsia="MS Mincho"/>
          <w:u w:val="single"/>
        </w:rPr>
      </w:pPr>
      <w:r w:rsidRPr="00DB1AEE">
        <w:rPr>
          <w:rFonts w:eastAsia="MS Mincho"/>
          <w:b/>
          <w:bCs/>
          <w:u w:val="single"/>
        </w:rPr>
        <w:t>CLEAR FIELD THERMAL BRIDGE.</w:t>
      </w:r>
      <w:r w:rsidRPr="00DB1AEE">
        <w:rPr>
          <w:rFonts w:eastAsia="MS Mincho"/>
          <w:u w:val="single"/>
        </w:rPr>
        <w:t xml:space="preserve"> Elements of a building envelope assembly creating paths of decreased resistance for heat transfer which repeat at regular intervals, such as metal or wood studs, girts, and purlins. </w:t>
      </w:r>
    </w:p>
    <w:p w14:paraId="5F65F2E4" w14:textId="77777777" w:rsidR="00DB1AEE" w:rsidRPr="00DB1AEE" w:rsidRDefault="00DB1AEE" w:rsidP="00DB1AEE">
      <w:pPr>
        <w:suppressAutoHyphens/>
        <w:ind w:left="720"/>
        <w:jc w:val="left"/>
        <w:rPr>
          <w:rFonts w:eastAsia="MS Mincho"/>
          <w:u w:val="single"/>
        </w:rPr>
      </w:pPr>
      <w:r w:rsidRPr="00DB1AEE">
        <w:rPr>
          <w:rFonts w:eastAsia="MS Mincho"/>
          <w:b/>
          <w:bCs/>
          <w:u w:val="single"/>
        </w:rPr>
        <w:t>CHI-FACTOR (χ-FACTOR).</w:t>
      </w:r>
      <w:r w:rsidRPr="00DB1AEE">
        <w:rPr>
          <w:rFonts w:eastAsia="MS Mincho"/>
          <w:u w:val="single"/>
        </w:rPr>
        <w:t xml:space="preserve"> The heat loss factor for a single thermal bridge characterized as a point element of a building thermal envelope (Btu/h x °F) [W/K].</w:t>
      </w:r>
    </w:p>
    <w:p w14:paraId="6523F928" w14:textId="77777777" w:rsidR="00DB1AEE" w:rsidRPr="00DB1AEE" w:rsidRDefault="00DB1AEE" w:rsidP="00DB1AEE">
      <w:pPr>
        <w:suppressAutoHyphens/>
        <w:ind w:left="720"/>
        <w:jc w:val="left"/>
        <w:rPr>
          <w:rFonts w:eastAsia="MS Mincho"/>
          <w:u w:val="single"/>
        </w:rPr>
      </w:pPr>
      <w:r w:rsidRPr="00DB1AEE">
        <w:rPr>
          <w:rFonts w:eastAsia="MS Mincho"/>
          <w:u w:val="single"/>
        </w:rPr>
        <w:t>Linear thermal bridge: a length-based element associated with horizontal, vertical, or diagonal elements that penetrates the insulation in the building thermal envelope and with a length measured along an exterior surface of the building thermal envelope, such as balconies, parapet-, roof-, floor-, or fenestration intersections, and shelf angles.</w:t>
      </w:r>
    </w:p>
    <w:p w14:paraId="301A55B0" w14:textId="77777777" w:rsidR="00DB1AEE" w:rsidRPr="00DB1AEE" w:rsidRDefault="00DB1AEE" w:rsidP="00DB1AEE">
      <w:pPr>
        <w:suppressAutoHyphens/>
        <w:ind w:left="720"/>
        <w:jc w:val="left"/>
        <w:rPr>
          <w:rFonts w:eastAsia="MS Mincho"/>
          <w:u w:val="single"/>
        </w:rPr>
      </w:pPr>
      <w:r w:rsidRPr="00DB1AEE">
        <w:rPr>
          <w:rFonts w:eastAsia="MS Mincho"/>
          <w:b/>
          <w:bCs/>
          <w:u w:val="single"/>
        </w:rPr>
        <w:t>POINT THERMAL BRIDGE</w:t>
      </w:r>
      <w:r w:rsidRPr="00DB1AEE">
        <w:rPr>
          <w:rFonts w:eastAsia="MS Mincho"/>
          <w:u w:val="single"/>
        </w:rPr>
        <w:t>. An element that penetrates the insulation in the building thermal envelope, such as columns or beams passing through envelope assemblies, attachments, anchors, and connections not defined as clear field- or linear thermal bridges. The cross-sectional area is measured at the external surface of the outermost penetrated insulation layer.</w:t>
      </w:r>
    </w:p>
    <w:p w14:paraId="7D5618D3" w14:textId="77777777" w:rsidR="00DB1AEE" w:rsidRPr="00DB1AEE" w:rsidRDefault="00DB1AEE" w:rsidP="00DB1AEE">
      <w:pPr>
        <w:suppressAutoHyphens/>
        <w:ind w:left="720"/>
        <w:jc w:val="left"/>
        <w:rPr>
          <w:rFonts w:eastAsia="MS Mincho"/>
          <w:u w:val="single"/>
        </w:rPr>
      </w:pPr>
      <w:r w:rsidRPr="00DB1AEE">
        <w:rPr>
          <w:rFonts w:eastAsia="MS Mincho"/>
          <w:b/>
          <w:bCs/>
          <w:u w:val="single"/>
        </w:rPr>
        <w:t>PSI-FACTOR (ψ-FACTOR).</w:t>
      </w:r>
      <w:r w:rsidRPr="00DB1AEE">
        <w:rPr>
          <w:rFonts w:eastAsia="MS Mincho"/>
          <w:u w:val="single"/>
        </w:rPr>
        <w:t xml:space="preserve"> The heat loss factor per unit length of a thermal bridge characterized as a linear element of a building thermal envelope (Btu/h x ft x °F) [W/(m x K)].</w:t>
      </w:r>
    </w:p>
    <w:p w14:paraId="6B035953" w14:textId="77777777" w:rsidR="00DB1AEE" w:rsidRPr="00DB1AEE" w:rsidRDefault="00DB1AEE" w:rsidP="00DB1AEE">
      <w:pPr>
        <w:suppressAutoHyphens/>
        <w:jc w:val="left"/>
        <w:rPr>
          <w:rFonts w:eastAsia="MS Mincho"/>
          <w:u w:val="single"/>
        </w:rPr>
      </w:pPr>
    </w:p>
    <w:p w14:paraId="7A86BCF6" w14:textId="77777777" w:rsidR="00DB1AEE" w:rsidRPr="00DB1AEE" w:rsidRDefault="00DB1AEE" w:rsidP="00DB1AEE">
      <w:pPr>
        <w:widowControl w:val="0"/>
        <w:suppressAutoHyphens/>
        <w:autoSpaceDE w:val="0"/>
        <w:autoSpaceDN w:val="0"/>
        <w:adjustRightInd w:val="0"/>
        <w:spacing w:before="130" w:after="130"/>
        <w:jc w:val="center"/>
        <w:rPr>
          <w:b/>
          <w:szCs w:val="24"/>
          <w:u w:val="single"/>
        </w:rPr>
      </w:pPr>
      <w:r w:rsidRPr="00DB1AEE">
        <w:rPr>
          <w:b/>
          <w:szCs w:val="24"/>
          <w:u w:val="single"/>
        </w:rPr>
        <w:t>CHAPTER R3</w:t>
      </w:r>
    </w:p>
    <w:p w14:paraId="1E0C144B" w14:textId="77777777" w:rsidR="00DB1AEE" w:rsidRPr="00DB1AEE" w:rsidRDefault="00DB1AEE" w:rsidP="00DB1AEE">
      <w:pPr>
        <w:widowControl w:val="0"/>
        <w:suppressAutoHyphens/>
        <w:autoSpaceDE w:val="0"/>
        <w:autoSpaceDN w:val="0"/>
        <w:adjustRightInd w:val="0"/>
        <w:spacing w:before="130" w:after="130"/>
        <w:jc w:val="center"/>
        <w:rPr>
          <w:b/>
          <w:szCs w:val="24"/>
          <w:u w:val="single"/>
        </w:rPr>
      </w:pPr>
      <w:r w:rsidRPr="00DB1AEE">
        <w:rPr>
          <w:b/>
          <w:szCs w:val="24"/>
          <w:u w:val="single"/>
        </w:rPr>
        <w:t>GENERAL REQUIREMENTS</w:t>
      </w:r>
    </w:p>
    <w:p w14:paraId="50733C84" w14:textId="77777777" w:rsidR="00DB1AEE" w:rsidRPr="00DB1AEE" w:rsidRDefault="00DB1AEE" w:rsidP="00DB1AEE">
      <w:pPr>
        <w:widowControl w:val="0"/>
        <w:suppressAutoHyphens/>
        <w:autoSpaceDE w:val="0"/>
        <w:autoSpaceDN w:val="0"/>
        <w:adjustRightInd w:val="0"/>
        <w:spacing w:before="130" w:after="130"/>
        <w:jc w:val="center"/>
        <w:rPr>
          <w:b/>
          <w:bCs/>
          <w:szCs w:val="24"/>
          <w:u w:val="single"/>
        </w:rPr>
      </w:pPr>
      <w:r w:rsidRPr="00DB1AEE">
        <w:rPr>
          <w:b/>
          <w:bCs/>
          <w:szCs w:val="24"/>
          <w:u w:val="single"/>
        </w:rPr>
        <w:t>SECTION ECC R301</w:t>
      </w:r>
    </w:p>
    <w:p w14:paraId="6FE5616D" w14:textId="77777777" w:rsidR="00DB1AEE" w:rsidRPr="00DB1AEE" w:rsidRDefault="00DB1AEE" w:rsidP="00DB1AEE">
      <w:pPr>
        <w:autoSpaceDE w:val="0"/>
        <w:autoSpaceDN w:val="0"/>
        <w:adjustRightInd w:val="0"/>
        <w:spacing w:before="130" w:after="130"/>
        <w:jc w:val="center"/>
        <w:rPr>
          <w:bCs/>
          <w:szCs w:val="24"/>
          <w:u w:val="single"/>
        </w:rPr>
      </w:pPr>
      <w:r w:rsidRPr="00DB1AEE">
        <w:rPr>
          <w:b/>
          <w:bCs/>
          <w:szCs w:val="24"/>
          <w:u w:val="single"/>
        </w:rPr>
        <w:t>CLIMATE ZONES</w:t>
      </w:r>
    </w:p>
    <w:p w14:paraId="4DD78BC2"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Section R301.1 General.</w:t>
      </w:r>
    </w:p>
    <w:p w14:paraId="61196060" w14:textId="77777777" w:rsidR="00DB1AEE" w:rsidRPr="00DB1AEE" w:rsidRDefault="00DB1AEE" w:rsidP="00DB1AEE">
      <w:pPr>
        <w:widowControl w:val="0"/>
        <w:suppressAutoHyphens/>
        <w:autoSpaceDE w:val="0"/>
        <w:autoSpaceDN w:val="0"/>
        <w:adjustRightInd w:val="0"/>
        <w:spacing w:before="130" w:after="130"/>
        <w:rPr>
          <w:bCs/>
          <w:szCs w:val="24"/>
          <w:u w:val="single"/>
        </w:rPr>
      </w:pPr>
      <w:r w:rsidRPr="00DB1AEE">
        <w:rPr>
          <w:bCs/>
          <w:szCs w:val="24"/>
          <w:u w:val="single"/>
        </w:rPr>
        <w:t>Section R301.1 - Revise Section R301.1 to read as follows:</w:t>
      </w:r>
    </w:p>
    <w:p w14:paraId="259326FB" w14:textId="77777777" w:rsidR="00DB1AEE" w:rsidRPr="00DB1AEE" w:rsidRDefault="00DB1AEE" w:rsidP="00DB1AEE">
      <w:pPr>
        <w:widowControl w:val="0"/>
        <w:suppressAutoHyphens/>
        <w:autoSpaceDE w:val="0"/>
        <w:autoSpaceDN w:val="0"/>
        <w:adjustRightInd w:val="0"/>
        <w:spacing w:before="130" w:after="130"/>
        <w:ind w:left="360"/>
        <w:rPr>
          <w:bCs/>
          <w:szCs w:val="24"/>
          <w:u w:val="single"/>
        </w:rPr>
      </w:pPr>
      <w:r w:rsidRPr="00DB1AEE">
        <w:rPr>
          <w:b/>
          <w:bCs/>
          <w:szCs w:val="24"/>
          <w:u w:val="single"/>
          <w:lang w:val="x-none"/>
        </w:rPr>
        <w:t>R301.1 General.</w:t>
      </w:r>
      <w:r w:rsidRPr="00DB1AEE">
        <w:rPr>
          <w:b/>
          <w:bCs/>
          <w:szCs w:val="24"/>
          <w:u w:val="single"/>
        </w:rPr>
        <w:t xml:space="preserve"> </w:t>
      </w:r>
      <w:r w:rsidRPr="00DB1AEE">
        <w:rPr>
          <w:bCs/>
          <w:szCs w:val="24"/>
          <w:u w:val="single"/>
        </w:rPr>
        <w:t>For projects in the City of New York, Climate Zone 4A shall be used in determining the applicable requirements from Chapter R4.</w:t>
      </w:r>
    </w:p>
    <w:p w14:paraId="194B3870" w14:textId="77777777" w:rsidR="00DB1AEE" w:rsidRPr="00DB1AEE" w:rsidRDefault="00DB1AEE" w:rsidP="00DB1AEE">
      <w:pPr>
        <w:suppressAutoHyphens/>
        <w:spacing w:before="130" w:after="130"/>
        <w:jc w:val="center"/>
        <w:rPr>
          <w:b/>
          <w:szCs w:val="24"/>
          <w:u w:val="single"/>
        </w:rPr>
      </w:pPr>
      <w:r w:rsidRPr="00DB1AEE">
        <w:rPr>
          <w:b/>
          <w:szCs w:val="24"/>
          <w:u w:val="single"/>
        </w:rPr>
        <w:t>SECTION R303</w:t>
      </w:r>
    </w:p>
    <w:p w14:paraId="75C0DE93" w14:textId="77777777" w:rsidR="00DB1AEE" w:rsidRPr="00DB1AEE" w:rsidRDefault="00DB1AEE" w:rsidP="00DB1AEE">
      <w:pPr>
        <w:suppressAutoHyphens/>
        <w:spacing w:before="130" w:after="130"/>
        <w:jc w:val="center"/>
        <w:rPr>
          <w:b/>
          <w:szCs w:val="24"/>
          <w:u w:val="single"/>
        </w:rPr>
      </w:pPr>
      <w:r w:rsidRPr="00DB1AEE">
        <w:rPr>
          <w:b/>
          <w:szCs w:val="24"/>
          <w:u w:val="single"/>
        </w:rPr>
        <w:t>MATERIALS, SYSTEMS AND EQUIPMENT</w:t>
      </w:r>
    </w:p>
    <w:p w14:paraId="0327AEF5" w14:textId="77777777" w:rsidR="00DB1AEE" w:rsidRPr="00DB1AEE" w:rsidRDefault="00DB1AEE" w:rsidP="00DB1AEE">
      <w:pPr>
        <w:suppressAutoHyphens/>
        <w:spacing w:before="130" w:after="130"/>
        <w:jc w:val="left"/>
        <w:rPr>
          <w:b/>
          <w:szCs w:val="24"/>
          <w:u w:val="single"/>
        </w:rPr>
      </w:pPr>
      <w:r w:rsidRPr="00DB1AEE">
        <w:rPr>
          <w:b/>
          <w:szCs w:val="24"/>
          <w:u w:val="single"/>
        </w:rPr>
        <w:t>Section R303.1.1 Building thermal envelope insulation.</w:t>
      </w:r>
    </w:p>
    <w:p w14:paraId="246FA2BB" w14:textId="77777777" w:rsidR="00DB1AEE" w:rsidRPr="00DB1AEE" w:rsidRDefault="00DB1AEE" w:rsidP="00DB1AEE">
      <w:pPr>
        <w:suppressAutoHyphens/>
        <w:spacing w:before="130" w:after="130"/>
        <w:jc w:val="left"/>
        <w:rPr>
          <w:szCs w:val="24"/>
          <w:u w:val="single"/>
        </w:rPr>
      </w:pPr>
      <w:r w:rsidRPr="00DB1AEE">
        <w:rPr>
          <w:szCs w:val="24"/>
          <w:u w:val="single"/>
        </w:rPr>
        <w:t>Section R303.1.1 – Revise the Exception to Section R303.1.1 to read as follows:</w:t>
      </w:r>
    </w:p>
    <w:p w14:paraId="69C29C7A" w14:textId="77777777" w:rsidR="00DB1AEE" w:rsidRPr="00DB1AEE" w:rsidRDefault="00DB1AEE" w:rsidP="00DB1AEE">
      <w:pPr>
        <w:widowControl w:val="0"/>
        <w:suppressAutoHyphens/>
        <w:autoSpaceDE w:val="0"/>
        <w:autoSpaceDN w:val="0"/>
        <w:adjustRightInd w:val="0"/>
        <w:spacing w:before="130" w:after="130"/>
        <w:ind w:left="360"/>
        <w:rPr>
          <w:szCs w:val="24"/>
          <w:u w:val="single"/>
          <w:lang w:val="x-none"/>
        </w:rPr>
      </w:pPr>
      <w:r w:rsidRPr="00DB1AEE">
        <w:rPr>
          <w:b/>
          <w:bCs/>
          <w:szCs w:val="24"/>
          <w:u w:val="single"/>
          <w:lang w:val="x-none"/>
        </w:rPr>
        <w:t>Exception:</w:t>
      </w:r>
      <w:r w:rsidRPr="00DB1AEE">
        <w:rPr>
          <w:szCs w:val="24"/>
          <w:u w:val="single"/>
          <w:lang w:val="x-none"/>
        </w:rPr>
        <w:t xml:space="preserve"> For roof insulation installed above the deck, the R-value shall be labeled as required by the material standards specified in New York City Building Code.</w:t>
      </w:r>
    </w:p>
    <w:p w14:paraId="69F9DC2B" w14:textId="77777777" w:rsidR="00DB1AEE" w:rsidRPr="00DB1AEE" w:rsidRDefault="00DB1AEE" w:rsidP="00DB1AEE">
      <w:pPr>
        <w:suppressAutoHyphens/>
        <w:spacing w:before="130" w:after="130"/>
        <w:jc w:val="left"/>
        <w:rPr>
          <w:b/>
          <w:bCs/>
          <w:u w:val="single"/>
        </w:rPr>
      </w:pPr>
      <w:r w:rsidRPr="00DB1AEE">
        <w:rPr>
          <w:b/>
          <w:bCs/>
          <w:u w:val="single"/>
        </w:rPr>
        <w:t>Section R303.1.2 Insulation mark installation.</w:t>
      </w:r>
    </w:p>
    <w:p w14:paraId="31805462" w14:textId="77777777" w:rsidR="00DB1AEE" w:rsidRPr="00DB1AEE" w:rsidRDefault="00DB1AEE" w:rsidP="00DB1AEE">
      <w:pPr>
        <w:suppressAutoHyphens/>
        <w:spacing w:before="130" w:after="130"/>
        <w:jc w:val="left"/>
        <w:rPr>
          <w:u w:val="single"/>
        </w:rPr>
      </w:pPr>
      <w:r w:rsidRPr="00DB1AEE">
        <w:rPr>
          <w:u w:val="single"/>
        </w:rPr>
        <w:t>Section R303.1.2 – Revise the Exception to Section R303.1.2 to read as follows:</w:t>
      </w:r>
    </w:p>
    <w:p w14:paraId="2332099F" w14:textId="77777777" w:rsidR="00DB1AEE" w:rsidRPr="00DB1AEE" w:rsidRDefault="00DB1AEE" w:rsidP="00DB1AEE">
      <w:pPr>
        <w:widowControl w:val="0"/>
        <w:suppressAutoHyphens/>
        <w:autoSpaceDE w:val="0"/>
        <w:autoSpaceDN w:val="0"/>
        <w:adjustRightInd w:val="0"/>
        <w:spacing w:before="130" w:after="130"/>
        <w:ind w:left="360"/>
        <w:rPr>
          <w:szCs w:val="24"/>
          <w:u w:val="single"/>
          <w:lang w:val="x-none"/>
        </w:rPr>
      </w:pPr>
      <w:r w:rsidRPr="00DB1AEE">
        <w:rPr>
          <w:b/>
          <w:bCs/>
          <w:szCs w:val="24"/>
          <w:u w:val="single"/>
          <w:lang w:val="x-none"/>
        </w:rPr>
        <w:t xml:space="preserve">Exception: </w:t>
      </w:r>
      <w:r w:rsidRPr="00DB1AEE">
        <w:rPr>
          <w:szCs w:val="24"/>
          <w:u w:val="single"/>
          <w:lang w:val="x-none"/>
        </w:rPr>
        <w:t>For roof insulation installed above the deck, the R-value shall be labeled as specified by the material standards in the New York City Building Code</w:t>
      </w:r>
    </w:p>
    <w:p w14:paraId="51A7E051"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Section R303.1.3 Fenestration product rating.</w:t>
      </w:r>
    </w:p>
    <w:p w14:paraId="30556F2D" w14:textId="77777777" w:rsidR="00DB1AEE" w:rsidRPr="00DB1AEE" w:rsidRDefault="00DB1AEE" w:rsidP="00DB1AEE">
      <w:pPr>
        <w:widowControl w:val="0"/>
        <w:suppressAutoHyphens/>
        <w:autoSpaceDE w:val="0"/>
        <w:autoSpaceDN w:val="0"/>
        <w:adjustRightInd w:val="0"/>
        <w:spacing w:before="130" w:after="130"/>
        <w:rPr>
          <w:bCs/>
          <w:szCs w:val="24"/>
          <w:u w:val="single"/>
        </w:rPr>
      </w:pPr>
      <w:r w:rsidRPr="00DB1AEE">
        <w:rPr>
          <w:bCs/>
          <w:szCs w:val="24"/>
          <w:u w:val="single"/>
        </w:rPr>
        <w:t>Section R303.1.3 - Revise Section R303.1.3 to read as follows:</w:t>
      </w:r>
    </w:p>
    <w:p w14:paraId="5896CC77" w14:textId="77777777" w:rsidR="00DB1AEE" w:rsidRPr="00DB1AEE" w:rsidRDefault="00DB1AEE" w:rsidP="00DB1AEE">
      <w:pPr>
        <w:widowControl w:val="0"/>
        <w:suppressAutoHyphens/>
        <w:autoSpaceDE w:val="0"/>
        <w:autoSpaceDN w:val="0"/>
        <w:adjustRightInd w:val="0"/>
        <w:spacing w:before="130" w:after="130"/>
        <w:ind w:left="360"/>
        <w:rPr>
          <w:szCs w:val="24"/>
          <w:u w:val="single"/>
        </w:rPr>
      </w:pPr>
      <w:r w:rsidRPr="00DB1AEE">
        <w:rPr>
          <w:b/>
          <w:bCs/>
          <w:szCs w:val="24"/>
          <w:u w:val="single"/>
        </w:rPr>
        <w:t>R303.1.3 Fenestration product rating.</w:t>
      </w:r>
      <w:r w:rsidRPr="00DB1AEE">
        <w:rPr>
          <w:szCs w:val="24"/>
          <w:u w:val="single"/>
        </w:rPr>
        <w:t xml:space="preserve"> U-factors of fenestration products such as windows, doors and skylights shall be determined in accordance with NFRC 100.</w:t>
      </w:r>
    </w:p>
    <w:p w14:paraId="2C2ED722" w14:textId="77777777" w:rsidR="00DB1AEE" w:rsidRPr="00DB1AEE" w:rsidRDefault="00DB1AEE" w:rsidP="00DB1AEE">
      <w:pPr>
        <w:widowControl w:val="0"/>
        <w:suppressAutoHyphens/>
        <w:autoSpaceDE w:val="0"/>
        <w:autoSpaceDN w:val="0"/>
        <w:adjustRightInd w:val="0"/>
        <w:spacing w:before="130" w:after="130"/>
        <w:ind w:left="360"/>
        <w:rPr>
          <w:szCs w:val="24"/>
          <w:u w:val="single"/>
        </w:rPr>
      </w:pPr>
      <w:r w:rsidRPr="00DB1AEE">
        <w:rPr>
          <w:b/>
          <w:bCs/>
          <w:u w:val="single"/>
        </w:rPr>
        <w:t>Exception:</w:t>
      </w:r>
      <w:r w:rsidRPr="00DB1AEE">
        <w:rPr>
          <w:u w:val="single"/>
        </w:rPr>
        <w:t xml:space="preserve"> Where required, garage door U-factors shall be determined in accordance with either NFRC 100 or ANSI/DASMA 105.</w:t>
      </w:r>
    </w:p>
    <w:p w14:paraId="1C000E64" w14:textId="77777777" w:rsidR="00DB1AEE" w:rsidRPr="00DB1AEE" w:rsidRDefault="00DB1AEE" w:rsidP="00DB1AEE">
      <w:pPr>
        <w:tabs>
          <w:tab w:val="left" w:pos="720"/>
        </w:tabs>
        <w:suppressAutoHyphens/>
        <w:spacing w:before="130" w:after="130"/>
        <w:ind w:left="720"/>
        <w:rPr>
          <w:rFonts w:ascii="Times New Roman PS MT" w:eastAsia="Times New Roman PS MT" w:hAnsi="Times New Roman PS MT" w:cs="Times New Roman PS MT"/>
          <w:sz w:val="22"/>
          <w:szCs w:val="22"/>
          <w:u w:val="single"/>
        </w:rPr>
      </w:pPr>
      <w:r w:rsidRPr="00DB1AEE">
        <w:rPr>
          <w:rFonts w:ascii="Times New Roman PS MT" w:eastAsia="Times New Roman PS MT" w:hAnsi="Times New Roman PS MT" w:cs="Times New Roman PS MT"/>
          <w:i/>
          <w:iCs/>
          <w:sz w:val="22"/>
          <w:szCs w:val="22"/>
          <w:u w:val="single"/>
        </w:rPr>
        <w:t>U-</w:t>
      </w:r>
      <w:r w:rsidRPr="00DB1AEE">
        <w:rPr>
          <w:rFonts w:ascii="Times New Roman PS MT" w:eastAsia="Times New Roman PS MT" w:hAnsi="Times New Roman PS MT" w:cs="Times New Roman PS MT"/>
          <w:sz w:val="22"/>
          <w:szCs w:val="22"/>
          <w:u w:val="single"/>
        </w:rPr>
        <w:t>factors shall be determined by a third-party accredited, independent laboratory,</w:t>
      </w:r>
      <w:r w:rsidRPr="00DB1AEE">
        <w:rPr>
          <w:rFonts w:ascii="Times New Roman PS MT" w:eastAsia="Times New Roman PS MT" w:hAnsi="Times New Roman PS MT" w:cs="Times New Roman PS MT"/>
          <w:sz w:val="20"/>
          <w:u w:val="single"/>
        </w:rPr>
        <w:t xml:space="preserve"> </w:t>
      </w:r>
      <w:r w:rsidRPr="00DB1AEE">
        <w:rPr>
          <w:rFonts w:ascii="Times New Roman PS MT" w:eastAsia="Times New Roman PS MT" w:hAnsi="Times New Roman PS MT" w:cs="Times New Roman PS MT"/>
          <w:sz w:val="22"/>
          <w:szCs w:val="22"/>
          <w:u w:val="single"/>
        </w:rPr>
        <w:t>recognized by ANSI, ILAC or MiRa and labeled and certified by the manufacturer.</w:t>
      </w:r>
    </w:p>
    <w:p w14:paraId="4934E067" w14:textId="77777777" w:rsidR="00DB1AEE" w:rsidRPr="00DB1AEE" w:rsidRDefault="00DB1AEE" w:rsidP="00DB1AEE">
      <w:pPr>
        <w:widowControl w:val="0"/>
        <w:suppressAutoHyphens/>
        <w:spacing w:before="130" w:after="130"/>
        <w:ind w:left="360"/>
        <w:rPr>
          <w:u w:val="single"/>
        </w:rPr>
      </w:pPr>
    </w:p>
    <w:p w14:paraId="0C91B39A" w14:textId="77777777" w:rsidR="00DB1AEE" w:rsidRPr="00DB1AEE" w:rsidRDefault="00DB1AEE" w:rsidP="00DB1AEE">
      <w:pPr>
        <w:widowControl w:val="0"/>
        <w:suppressAutoHyphens/>
        <w:autoSpaceDE w:val="0"/>
        <w:autoSpaceDN w:val="0"/>
        <w:adjustRightInd w:val="0"/>
        <w:spacing w:before="130" w:after="130"/>
        <w:ind w:left="360"/>
        <w:rPr>
          <w:szCs w:val="24"/>
          <w:u w:val="single"/>
        </w:rPr>
      </w:pPr>
      <w:r w:rsidRPr="00DB1AEE">
        <w:rPr>
          <w:szCs w:val="24"/>
          <w:u w:val="single"/>
        </w:rPr>
        <w:t>Products lacking such a labeled U-factor shall be assigned a default U-factor from Table R303.1.3(1) or Table R303.1.3(2). The solar heat gain coefficient (SHGC) and visible transmittance (VT) of glazed fenestration products such as windows, glazed doors and skylights shall be determined in accordance with NFRC 200 an accredited, independent laboratory, and labeled and certified by the manufacturer. Products lacking such a labeled SHGC or VT shall be assigned a default SHGC or VT from Table R303.1.3(3).</w:t>
      </w:r>
    </w:p>
    <w:p w14:paraId="4CA3C8CD"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Section R303.1.6 Airspaces.</w:t>
      </w:r>
    </w:p>
    <w:p w14:paraId="425B409B" w14:textId="77777777" w:rsidR="00DB1AEE" w:rsidRPr="00DB1AEE" w:rsidRDefault="00DB1AEE" w:rsidP="00DB1AEE">
      <w:pPr>
        <w:widowControl w:val="0"/>
        <w:suppressAutoHyphens/>
        <w:autoSpaceDE w:val="0"/>
        <w:autoSpaceDN w:val="0"/>
        <w:adjustRightInd w:val="0"/>
        <w:spacing w:before="130" w:after="130"/>
        <w:rPr>
          <w:bCs/>
          <w:szCs w:val="24"/>
          <w:u w:val="single"/>
        </w:rPr>
      </w:pPr>
      <w:r w:rsidRPr="00DB1AEE">
        <w:rPr>
          <w:bCs/>
          <w:szCs w:val="24"/>
          <w:u w:val="single"/>
        </w:rPr>
        <w:t>Section R303.1.6 - Revise Section R303.1.6 to read as follows:</w:t>
      </w:r>
    </w:p>
    <w:p w14:paraId="41CA55DF" w14:textId="77777777" w:rsidR="00DB1AEE" w:rsidRPr="00DB1AEE" w:rsidRDefault="00DB1AEE" w:rsidP="00DB1AEE">
      <w:pPr>
        <w:widowControl w:val="0"/>
        <w:suppressAutoHyphens/>
        <w:autoSpaceDE w:val="0"/>
        <w:autoSpaceDN w:val="0"/>
        <w:adjustRightInd w:val="0"/>
        <w:spacing w:before="130" w:after="130"/>
        <w:ind w:left="360"/>
        <w:rPr>
          <w:szCs w:val="24"/>
          <w:u w:val="single"/>
        </w:rPr>
      </w:pPr>
      <w:r w:rsidRPr="00DB1AEE">
        <w:rPr>
          <w:b/>
          <w:bCs/>
          <w:szCs w:val="24"/>
          <w:u w:val="single"/>
        </w:rPr>
        <w:t>R303.1.6 Airspaces.</w:t>
      </w:r>
      <w:r w:rsidRPr="00DB1AEE">
        <w:rPr>
          <w:szCs w:val="24"/>
          <w:u w:val="single"/>
        </w:rPr>
        <w:t xml:space="preserve"> Where the R-value of an enclosed reflective airspace or enclosed nonreflective airspace is used for compliance with this code, the airspace shall be enclosed in a cavity bounded on all sides by building components and constructed to minimize airflow into and out of the enclosed airspace. Airflow shall be deemed minimized where one of the following conditions occur: </w:t>
      </w:r>
    </w:p>
    <w:p w14:paraId="0A4D2481" w14:textId="77777777" w:rsidR="00DB1AEE" w:rsidRPr="00DB1AEE" w:rsidRDefault="00DB1AEE" w:rsidP="00DB1AEE">
      <w:pPr>
        <w:widowControl w:val="0"/>
        <w:suppressAutoHyphens/>
        <w:autoSpaceDE w:val="0"/>
        <w:autoSpaceDN w:val="0"/>
        <w:adjustRightInd w:val="0"/>
        <w:spacing w:before="130" w:after="130"/>
        <w:ind w:left="720"/>
        <w:rPr>
          <w:szCs w:val="24"/>
          <w:u w:val="single"/>
        </w:rPr>
      </w:pPr>
      <w:r w:rsidRPr="00DB1AEE">
        <w:rPr>
          <w:szCs w:val="24"/>
          <w:u w:val="single"/>
        </w:rPr>
        <w:t>1.  The enclosed airspace is unventilated.</w:t>
      </w:r>
      <w:r w:rsidRPr="00DB1AEE">
        <w:rPr>
          <w:szCs w:val="24"/>
          <w:u w:val="single"/>
        </w:rPr>
        <w:tab/>
      </w:r>
    </w:p>
    <w:p w14:paraId="4C7E3032" w14:textId="77777777" w:rsidR="00DB1AEE" w:rsidRPr="00DB1AEE" w:rsidRDefault="00DB1AEE" w:rsidP="00DB1AEE">
      <w:pPr>
        <w:widowControl w:val="0"/>
        <w:suppressAutoHyphens/>
        <w:autoSpaceDE w:val="0"/>
        <w:autoSpaceDN w:val="0"/>
        <w:adjustRightInd w:val="0"/>
        <w:spacing w:before="130" w:after="130"/>
        <w:ind w:left="720"/>
        <w:rPr>
          <w:szCs w:val="24"/>
          <w:u w:val="single"/>
        </w:rPr>
      </w:pPr>
      <w:r w:rsidRPr="00DB1AEE">
        <w:rPr>
          <w:szCs w:val="24"/>
          <w:u w:val="single"/>
        </w:rPr>
        <w:t xml:space="preserve">2. The enclosed airspace is bounded on one or more sides by an anchored masonry veneer, constructed in accordance with the </w:t>
      </w:r>
      <w:r w:rsidRPr="00DB1AEE">
        <w:rPr>
          <w:szCs w:val="24"/>
          <w:highlight w:val="lightGray"/>
          <w:u w:val="single"/>
        </w:rPr>
        <w:t>New York City Building Code</w:t>
      </w:r>
      <w:r w:rsidRPr="00DB1AEE">
        <w:rPr>
          <w:szCs w:val="24"/>
          <w:u w:val="single"/>
        </w:rPr>
        <w:t>, and vented by veneer weep holes located only at the bottom portion of the airspace and spaced not less than 15 inches (381 mm) on center with the top of the cavity airspace closed.</w:t>
      </w:r>
    </w:p>
    <w:p w14:paraId="200BC502" w14:textId="77777777" w:rsidR="00DB1AEE" w:rsidRPr="00DB1AEE" w:rsidRDefault="00DB1AEE" w:rsidP="00DB1AEE">
      <w:pPr>
        <w:widowControl w:val="0"/>
        <w:suppressAutoHyphens/>
        <w:autoSpaceDE w:val="0"/>
        <w:autoSpaceDN w:val="0"/>
        <w:adjustRightInd w:val="0"/>
        <w:spacing w:before="130" w:after="130"/>
        <w:ind w:left="360"/>
        <w:rPr>
          <w:szCs w:val="24"/>
          <w:u w:val="single"/>
        </w:rPr>
      </w:pPr>
      <w:r w:rsidRPr="00DB1AEE">
        <w:rPr>
          <w:b/>
          <w:bCs/>
          <w:szCs w:val="24"/>
          <w:u w:val="single"/>
        </w:rPr>
        <w:t>Exception:</w:t>
      </w:r>
      <w:r w:rsidRPr="00DB1AEE">
        <w:rPr>
          <w:szCs w:val="24"/>
          <w:u w:val="single"/>
        </w:rPr>
        <w:t xml:space="preserve"> For ventilated cavities, the effect of the ventilation of airspaces located on the exterior side of the continuous air barrier and adjacent to and behind the exterior wall covering material shall be determined in accordance with ASTM C1363, modified with an airflow entering the bottom and exiting the top of the airspace at an air movement rate of not less than 70 millimeters per second.</w:t>
      </w:r>
    </w:p>
    <w:p w14:paraId="7E91A534"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Section R303.2 Installation.</w:t>
      </w:r>
    </w:p>
    <w:p w14:paraId="347BC709" w14:textId="77777777" w:rsidR="00DB1AEE" w:rsidRPr="00DB1AEE" w:rsidRDefault="00DB1AEE" w:rsidP="00DB1AEE">
      <w:pPr>
        <w:widowControl w:val="0"/>
        <w:suppressAutoHyphens/>
        <w:autoSpaceDE w:val="0"/>
        <w:autoSpaceDN w:val="0"/>
        <w:adjustRightInd w:val="0"/>
        <w:spacing w:before="130" w:after="130"/>
        <w:rPr>
          <w:bCs/>
          <w:szCs w:val="24"/>
          <w:u w:val="single"/>
        </w:rPr>
      </w:pPr>
      <w:r w:rsidRPr="00DB1AEE">
        <w:rPr>
          <w:bCs/>
          <w:szCs w:val="24"/>
          <w:u w:val="single"/>
        </w:rPr>
        <w:t>Section R303.2- Revise Section R303.2 to read as follows:</w:t>
      </w:r>
    </w:p>
    <w:p w14:paraId="0B8F6396" w14:textId="77777777" w:rsidR="00DB1AEE" w:rsidRPr="00DB1AEE" w:rsidRDefault="00DB1AEE" w:rsidP="00DB1AEE">
      <w:pPr>
        <w:widowControl w:val="0"/>
        <w:suppressAutoHyphens/>
        <w:autoSpaceDE w:val="0"/>
        <w:autoSpaceDN w:val="0"/>
        <w:adjustRightInd w:val="0"/>
        <w:spacing w:before="130" w:after="130"/>
        <w:ind w:left="360"/>
        <w:rPr>
          <w:szCs w:val="24"/>
          <w:u w:val="single"/>
        </w:rPr>
      </w:pPr>
      <w:r w:rsidRPr="00DB1AEE">
        <w:rPr>
          <w:b/>
          <w:bCs/>
          <w:szCs w:val="24"/>
          <w:u w:val="single"/>
        </w:rPr>
        <w:t>R303.2 Installation.</w:t>
      </w:r>
      <w:r w:rsidRPr="00DB1AEE">
        <w:rPr>
          <w:szCs w:val="24"/>
          <w:u w:val="single"/>
        </w:rPr>
        <w:t xml:space="preserve">   Materials, systems and equipment shall be installed in accordance with the manufacturer’s instructions and the provisions of the New York City Construction Codes.</w:t>
      </w:r>
    </w:p>
    <w:p w14:paraId="16EC37A1" w14:textId="77777777" w:rsidR="00DB1AEE" w:rsidRPr="00DB1AEE" w:rsidRDefault="00DB1AEE" w:rsidP="00DB1AEE">
      <w:pPr>
        <w:widowControl w:val="0"/>
        <w:suppressAutoHyphens/>
        <w:autoSpaceDE w:val="0"/>
        <w:autoSpaceDN w:val="0"/>
        <w:adjustRightInd w:val="0"/>
        <w:spacing w:before="130" w:after="130"/>
        <w:jc w:val="center"/>
        <w:rPr>
          <w:b/>
          <w:szCs w:val="24"/>
          <w:u w:val="single"/>
        </w:rPr>
      </w:pPr>
      <w:r w:rsidRPr="00DB1AEE">
        <w:rPr>
          <w:b/>
          <w:szCs w:val="24"/>
          <w:u w:val="single"/>
        </w:rPr>
        <w:t>CHAPTER R4</w:t>
      </w:r>
    </w:p>
    <w:p w14:paraId="7F1ECF8F" w14:textId="77777777" w:rsidR="00DB1AEE" w:rsidRPr="00DB1AEE" w:rsidRDefault="00DB1AEE" w:rsidP="00DB1AEE">
      <w:pPr>
        <w:suppressAutoHyphens/>
        <w:spacing w:before="130" w:after="130"/>
        <w:jc w:val="center"/>
        <w:rPr>
          <w:rFonts w:eastAsia="MS Mincho"/>
          <w:bCs/>
          <w:szCs w:val="24"/>
          <w:u w:val="single"/>
        </w:rPr>
      </w:pPr>
      <w:r w:rsidRPr="00DB1AEE">
        <w:rPr>
          <w:b/>
          <w:szCs w:val="24"/>
          <w:u w:val="single"/>
        </w:rPr>
        <w:t>RESIDENTIAL ENERGY EFFICIENCY</w:t>
      </w:r>
    </w:p>
    <w:p w14:paraId="5C0DAA5E" w14:textId="77777777" w:rsidR="00DB1AEE" w:rsidRPr="00DB1AEE" w:rsidRDefault="00DB1AEE" w:rsidP="00DB1AEE">
      <w:pPr>
        <w:suppressAutoHyphens/>
        <w:spacing w:before="130" w:after="130"/>
        <w:jc w:val="center"/>
        <w:rPr>
          <w:rFonts w:eastAsia="MS Mincho"/>
          <w:b/>
          <w:bCs/>
          <w:szCs w:val="24"/>
          <w:u w:val="single"/>
        </w:rPr>
      </w:pPr>
      <w:r w:rsidRPr="00DB1AEE">
        <w:rPr>
          <w:rFonts w:eastAsia="MS Mincho"/>
          <w:b/>
          <w:bCs/>
          <w:szCs w:val="24"/>
          <w:u w:val="single"/>
        </w:rPr>
        <w:t>SECTION R401</w:t>
      </w:r>
    </w:p>
    <w:p w14:paraId="134DB716" w14:textId="77777777" w:rsidR="00DB1AEE" w:rsidRPr="00DB1AEE" w:rsidRDefault="00DB1AEE" w:rsidP="00DB1AEE">
      <w:pPr>
        <w:suppressAutoHyphens/>
        <w:spacing w:before="130" w:after="130"/>
        <w:jc w:val="center"/>
        <w:rPr>
          <w:rFonts w:eastAsia="MS Mincho"/>
          <w:b/>
          <w:bCs/>
          <w:szCs w:val="24"/>
          <w:u w:val="single"/>
        </w:rPr>
      </w:pPr>
      <w:r w:rsidRPr="00DB1AEE">
        <w:rPr>
          <w:rFonts w:eastAsia="MS Mincho"/>
          <w:b/>
          <w:bCs/>
          <w:szCs w:val="24"/>
          <w:u w:val="single"/>
        </w:rPr>
        <w:t>GENERAL</w:t>
      </w:r>
    </w:p>
    <w:p w14:paraId="27757FCA"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Section R401.3 Certificate.</w:t>
      </w:r>
    </w:p>
    <w:p w14:paraId="61B43615" w14:textId="77777777" w:rsidR="00DB1AEE" w:rsidRPr="00DB1AEE" w:rsidRDefault="00DB1AEE" w:rsidP="00DB1AEE">
      <w:pPr>
        <w:widowControl w:val="0"/>
        <w:suppressAutoHyphens/>
        <w:autoSpaceDE w:val="0"/>
        <w:autoSpaceDN w:val="0"/>
        <w:adjustRightInd w:val="0"/>
        <w:spacing w:before="130" w:after="130"/>
        <w:rPr>
          <w:bCs/>
          <w:szCs w:val="24"/>
          <w:u w:val="single"/>
        </w:rPr>
      </w:pPr>
      <w:r w:rsidRPr="00DB1AEE">
        <w:rPr>
          <w:bCs/>
          <w:szCs w:val="24"/>
          <w:u w:val="single"/>
        </w:rPr>
        <w:t>Section R401.3 - Revise Section R401.3 to read as follows:</w:t>
      </w:r>
    </w:p>
    <w:p w14:paraId="598BAB54" w14:textId="77777777" w:rsidR="00DB1AEE" w:rsidRPr="00DB1AEE" w:rsidRDefault="00DB1AEE" w:rsidP="00DB1AEE">
      <w:pPr>
        <w:widowControl w:val="0"/>
        <w:suppressAutoHyphens/>
        <w:autoSpaceDE w:val="0"/>
        <w:autoSpaceDN w:val="0"/>
        <w:adjustRightInd w:val="0"/>
        <w:spacing w:before="130" w:after="130"/>
        <w:ind w:left="360"/>
        <w:rPr>
          <w:bCs/>
          <w:szCs w:val="24"/>
          <w:u w:val="single"/>
        </w:rPr>
      </w:pPr>
      <w:r w:rsidRPr="00DB1AEE">
        <w:rPr>
          <w:b/>
          <w:szCs w:val="24"/>
          <w:u w:val="single"/>
        </w:rPr>
        <w:t>R401.3 Certificate</w:t>
      </w:r>
      <w:r w:rsidRPr="00DB1AEE">
        <w:rPr>
          <w:bCs/>
          <w:szCs w:val="24"/>
          <w:u w:val="single"/>
        </w:rPr>
        <w:t>.   A permanent certificate shall be completed by the builder or other approved party and posted on a wall in the space where the furnace is located, a utility room or an approved location inside the building. Where located on an electrical panel, the certificate shall not cover or obstruct the visibility of the circuit directory label, service disconnect label or other required labels. The certificate shall indicate the following:</w:t>
      </w:r>
    </w:p>
    <w:p w14:paraId="5E389E57" w14:textId="77777777" w:rsidR="00DB1AEE" w:rsidRPr="00DB1AEE" w:rsidRDefault="00DB1AEE" w:rsidP="00DB1AEE">
      <w:pPr>
        <w:widowControl w:val="0"/>
        <w:suppressAutoHyphens/>
        <w:autoSpaceDE w:val="0"/>
        <w:autoSpaceDN w:val="0"/>
        <w:adjustRightInd w:val="0"/>
        <w:spacing w:before="130" w:after="130"/>
        <w:ind w:left="648" w:hanging="288"/>
        <w:rPr>
          <w:bCs/>
          <w:szCs w:val="24"/>
          <w:u w:val="single"/>
        </w:rPr>
      </w:pPr>
      <w:r w:rsidRPr="00DB1AEE">
        <w:rPr>
          <w:bCs/>
          <w:szCs w:val="24"/>
          <w:u w:val="single"/>
        </w:rPr>
        <w:t>1. The predominant R-values of insulation installed in or on ceilings, roofs, walls, foundation components such as slabs, below-grade walls, crawl space walls and floors and ducts outside conditioned spaces.</w:t>
      </w:r>
    </w:p>
    <w:p w14:paraId="3D1F4DDE" w14:textId="77777777" w:rsidR="00DB1AEE" w:rsidRPr="00DB1AEE" w:rsidRDefault="00DB1AEE" w:rsidP="00DB1AEE">
      <w:pPr>
        <w:widowControl w:val="0"/>
        <w:suppressAutoHyphens/>
        <w:autoSpaceDE w:val="0"/>
        <w:autoSpaceDN w:val="0"/>
        <w:adjustRightInd w:val="0"/>
        <w:spacing w:before="130" w:after="130"/>
        <w:ind w:left="648" w:hanging="288"/>
        <w:rPr>
          <w:bCs/>
          <w:szCs w:val="24"/>
          <w:u w:val="single"/>
        </w:rPr>
      </w:pPr>
      <w:r w:rsidRPr="00DB1AEE">
        <w:rPr>
          <w:bCs/>
          <w:szCs w:val="24"/>
          <w:u w:val="single"/>
        </w:rPr>
        <w:t>2.</w:t>
      </w:r>
      <w:r w:rsidRPr="00DB1AEE">
        <w:rPr>
          <w:bCs/>
          <w:szCs w:val="24"/>
          <w:u w:val="single"/>
        </w:rPr>
        <w:tab/>
        <w:t>U-factors of fenestration and the solar heat gain coefficient (SHGC) of fenestration. Where there is more than one value for any component of the building thermal envelope, the certificate shall indicate both the value covering the largest area and the area weighted average value if available.</w:t>
      </w:r>
    </w:p>
    <w:p w14:paraId="74FB0474" w14:textId="77777777" w:rsidR="00DB1AEE" w:rsidRPr="00DB1AEE" w:rsidRDefault="00DB1AEE" w:rsidP="00DB1AEE">
      <w:pPr>
        <w:widowControl w:val="0"/>
        <w:suppressAutoHyphens/>
        <w:autoSpaceDE w:val="0"/>
        <w:autoSpaceDN w:val="0"/>
        <w:adjustRightInd w:val="0"/>
        <w:spacing w:before="130" w:after="130"/>
        <w:ind w:left="648" w:hanging="288"/>
        <w:rPr>
          <w:bCs/>
          <w:szCs w:val="24"/>
          <w:u w:val="single"/>
        </w:rPr>
      </w:pPr>
      <w:r w:rsidRPr="00DB1AEE">
        <w:rPr>
          <w:bCs/>
          <w:szCs w:val="24"/>
          <w:u w:val="single"/>
        </w:rPr>
        <w:t>3.</w:t>
      </w:r>
      <w:r w:rsidRPr="00DB1AEE">
        <w:rPr>
          <w:bCs/>
          <w:szCs w:val="24"/>
          <w:u w:val="single"/>
        </w:rPr>
        <w:tab/>
        <w:t>The results from any required duct system and building thermal envelope air leakage testing performed on the building.</w:t>
      </w:r>
    </w:p>
    <w:p w14:paraId="5CE6C8EE" w14:textId="77777777" w:rsidR="00DB1AEE" w:rsidRPr="00DB1AEE" w:rsidRDefault="00DB1AEE" w:rsidP="00DB1AEE">
      <w:pPr>
        <w:widowControl w:val="0"/>
        <w:suppressAutoHyphens/>
        <w:autoSpaceDE w:val="0"/>
        <w:autoSpaceDN w:val="0"/>
        <w:adjustRightInd w:val="0"/>
        <w:spacing w:before="130" w:after="130"/>
        <w:ind w:left="648" w:hanging="288"/>
        <w:rPr>
          <w:bCs/>
          <w:szCs w:val="24"/>
          <w:u w:val="single"/>
        </w:rPr>
      </w:pPr>
      <w:r w:rsidRPr="00DB1AEE">
        <w:rPr>
          <w:bCs/>
          <w:szCs w:val="24"/>
          <w:u w:val="single"/>
        </w:rPr>
        <w:t>4.</w:t>
      </w:r>
      <w:r w:rsidRPr="00DB1AEE">
        <w:rPr>
          <w:bCs/>
          <w:szCs w:val="24"/>
          <w:u w:val="single"/>
        </w:rPr>
        <w:tab/>
        <w:t>The types, sizes and efficiencies of heating, cooling and service water-heating equipment. Where a gas-fired unvented room heater, electric furnace or baseboard electric heater is installed in the residence, the certificate shall indicate “gas-fired unvented room heater,” “electric furnace” or “baseboard electric heater,” as appropriate. An efficiency shall not be indicated for gas-fired unvented room heaters, electric furnaces and electric baseboard heaters.</w:t>
      </w:r>
    </w:p>
    <w:p w14:paraId="1CB736CB" w14:textId="77777777" w:rsidR="00DB1AEE" w:rsidRPr="00DB1AEE" w:rsidRDefault="00DB1AEE" w:rsidP="00DB1AEE">
      <w:pPr>
        <w:widowControl w:val="0"/>
        <w:suppressAutoHyphens/>
        <w:autoSpaceDE w:val="0"/>
        <w:autoSpaceDN w:val="0"/>
        <w:adjustRightInd w:val="0"/>
        <w:spacing w:before="130" w:after="130"/>
        <w:ind w:left="648" w:hanging="288"/>
        <w:rPr>
          <w:bCs/>
          <w:szCs w:val="24"/>
          <w:u w:val="single"/>
        </w:rPr>
      </w:pPr>
      <w:r w:rsidRPr="00DB1AEE">
        <w:rPr>
          <w:bCs/>
          <w:szCs w:val="24"/>
          <w:u w:val="single"/>
        </w:rPr>
        <w:t>5.</w:t>
      </w:r>
      <w:r w:rsidRPr="00DB1AEE">
        <w:rPr>
          <w:bCs/>
          <w:szCs w:val="24"/>
          <w:u w:val="single"/>
        </w:rPr>
        <w:tab/>
        <w:t>Where on-site photovoltaic panel systems have been installed, the array capacity, inverter efficiency, panel tilt and orientation shall be noted on the certificate.</w:t>
      </w:r>
    </w:p>
    <w:p w14:paraId="3BBDC58A" w14:textId="77777777" w:rsidR="00DB1AEE" w:rsidRPr="00DB1AEE" w:rsidRDefault="00DB1AEE" w:rsidP="00DB1AEE">
      <w:pPr>
        <w:widowControl w:val="0"/>
        <w:suppressAutoHyphens/>
        <w:autoSpaceDE w:val="0"/>
        <w:autoSpaceDN w:val="0"/>
        <w:adjustRightInd w:val="0"/>
        <w:spacing w:before="130" w:after="130"/>
        <w:ind w:left="648" w:hanging="288"/>
        <w:rPr>
          <w:bCs/>
          <w:szCs w:val="24"/>
          <w:u w:val="single"/>
        </w:rPr>
      </w:pPr>
      <w:r w:rsidRPr="00DB1AEE">
        <w:rPr>
          <w:bCs/>
          <w:szCs w:val="24"/>
          <w:u w:val="single"/>
        </w:rPr>
        <w:t>6.</w:t>
      </w:r>
      <w:r w:rsidRPr="00DB1AEE">
        <w:rPr>
          <w:bCs/>
          <w:szCs w:val="24"/>
          <w:u w:val="single"/>
        </w:rPr>
        <w:tab/>
        <w:t>For buildings where an Energy Rating Index score is determined in accordance with Section R406, the Energy Rating Index score, both with and without any on-site generation, shall be listed on the certificate.</w:t>
      </w:r>
    </w:p>
    <w:p w14:paraId="7A501705" w14:textId="77777777" w:rsidR="00DB1AEE" w:rsidRPr="00DB1AEE" w:rsidRDefault="00DB1AEE" w:rsidP="00DB1AEE">
      <w:pPr>
        <w:widowControl w:val="0"/>
        <w:suppressAutoHyphens/>
        <w:autoSpaceDE w:val="0"/>
        <w:autoSpaceDN w:val="0"/>
        <w:adjustRightInd w:val="0"/>
        <w:spacing w:before="130" w:after="130"/>
        <w:ind w:left="648" w:hanging="288"/>
        <w:rPr>
          <w:bCs/>
          <w:szCs w:val="24"/>
          <w:u w:val="single"/>
        </w:rPr>
      </w:pPr>
      <w:r w:rsidRPr="00DB1AEE">
        <w:rPr>
          <w:bCs/>
          <w:szCs w:val="24"/>
          <w:u w:val="single"/>
        </w:rPr>
        <w:t>7.</w:t>
      </w:r>
      <w:r w:rsidRPr="00DB1AEE">
        <w:rPr>
          <w:bCs/>
          <w:szCs w:val="24"/>
          <w:u w:val="single"/>
        </w:rPr>
        <w:tab/>
        <w:t>The code edition under which the structure was permitted, and the compliance path used and, where applicable, the additional efficiency measures selected for compliance with Section R408.</w:t>
      </w:r>
    </w:p>
    <w:p w14:paraId="6D901D7D" w14:textId="77777777" w:rsidR="00DB1AEE" w:rsidRPr="00DB1AEE" w:rsidRDefault="00DB1AEE" w:rsidP="00DB1AEE">
      <w:pPr>
        <w:widowControl w:val="0"/>
        <w:suppressAutoHyphens/>
        <w:autoSpaceDE w:val="0"/>
        <w:autoSpaceDN w:val="0"/>
        <w:adjustRightInd w:val="0"/>
        <w:spacing w:before="130" w:after="130"/>
        <w:ind w:left="648" w:hanging="288"/>
        <w:rPr>
          <w:u w:val="single"/>
        </w:rPr>
      </w:pPr>
      <w:r w:rsidRPr="00DB1AEE">
        <w:rPr>
          <w:bCs/>
          <w:szCs w:val="24"/>
          <w:u w:val="single"/>
        </w:rPr>
        <w:t>8. The location and dimensions of a solar-ready zone where one is provided.</w:t>
      </w:r>
    </w:p>
    <w:p w14:paraId="4CC83C38" w14:textId="77777777" w:rsidR="00DB1AEE" w:rsidRPr="00DB1AEE" w:rsidRDefault="00DB1AEE" w:rsidP="00DB1AEE">
      <w:pPr>
        <w:suppressAutoHyphens/>
        <w:spacing w:before="130" w:after="130"/>
        <w:jc w:val="center"/>
        <w:rPr>
          <w:rFonts w:eastAsia="MS Mincho"/>
          <w:b/>
          <w:bCs/>
          <w:szCs w:val="24"/>
          <w:u w:val="single"/>
        </w:rPr>
      </w:pPr>
      <w:r w:rsidRPr="00DB1AEE">
        <w:rPr>
          <w:rFonts w:eastAsia="MS Mincho"/>
          <w:b/>
          <w:bCs/>
          <w:szCs w:val="24"/>
          <w:u w:val="single"/>
        </w:rPr>
        <w:t>SECTION R402</w:t>
      </w:r>
    </w:p>
    <w:p w14:paraId="38BB1B44" w14:textId="77777777" w:rsidR="00DB1AEE" w:rsidRPr="00DB1AEE" w:rsidRDefault="00DB1AEE" w:rsidP="00DB1AEE">
      <w:pPr>
        <w:suppressAutoHyphens/>
        <w:spacing w:before="130" w:after="130"/>
        <w:jc w:val="center"/>
        <w:rPr>
          <w:rFonts w:eastAsia="MS Mincho"/>
          <w:b/>
          <w:bCs/>
          <w:szCs w:val="24"/>
          <w:u w:val="single"/>
        </w:rPr>
      </w:pPr>
      <w:r w:rsidRPr="00DB1AEE">
        <w:rPr>
          <w:rFonts w:eastAsia="MS Mincho"/>
          <w:b/>
          <w:bCs/>
          <w:szCs w:val="24"/>
          <w:u w:val="single"/>
        </w:rPr>
        <w:t>BUILDING THERMAL ENVELOPE</w:t>
      </w:r>
    </w:p>
    <w:p w14:paraId="7D11E142"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Section R402.1 General.</w:t>
      </w:r>
    </w:p>
    <w:p w14:paraId="31FB8DD9" w14:textId="77777777" w:rsidR="00DB1AEE" w:rsidRPr="00DB1AEE" w:rsidRDefault="00DB1AEE" w:rsidP="00DB1AEE">
      <w:pPr>
        <w:widowControl w:val="0"/>
        <w:suppressAutoHyphens/>
        <w:autoSpaceDE w:val="0"/>
        <w:autoSpaceDN w:val="0"/>
        <w:adjustRightInd w:val="0"/>
        <w:spacing w:before="130" w:after="130"/>
        <w:rPr>
          <w:bCs/>
          <w:szCs w:val="24"/>
          <w:u w:val="single"/>
        </w:rPr>
      </w:pPr>
      <w:r w:rsidRPr="00DB1AEE">
        <w:rPr>
          <w:bCs/>
          <w:szCs w:val="24"/>
          <w:u w:val="single"/>
        </w:rPr>
        <w:t>Section R402.1 - Revise Section R402.1 to read as follows:</w:t>
      </w:r>
    </w:p>
    <w:p w14:paraId="1A7D94D4" w14:textId="77777777" w:rsidR="00DB1AEE" w:rsidRPr="00DB1AEE" w:rsidRDefault="00DB1AEE" w:rsidP="00DB1AEE">
      <w:pPr>
        <w:widowControl w:val="0"/>
        <w:suppressAutoHyphens/>
        <w:autoSpaceDE w:val="0"/>
        <w:autoSpaceDN w:val="0"/>
        <w:adjustRightInd w:val="0"/>
        <w:spacing w:before="130" w:after="130"/>
        <w:ind w:left="360"/>
        <w:rPr>
          <w:u w:val="single"/>
        </w:rPr>
      </w:pPr>
      <w:r w:rsidRPr="00DB1AEE">
        <w:rPr>
          <w:b/>
          <w:bCs/>
          <w:u w:val="single"/>
        </w:rPr>
        <w:t>R402.1 General.</w:t>
      </w:r>
      <w:r w:rsidRPr="00DB1AEE">
        <w:rPr>
          <w:u w:val="single"/>
        </w:rPr>
        <w:t xml:space="preserve">   The building thermal envelope shall comply with the requirements of one of the following:</w:t>
      </w:r>
    </w:p>
    <w:p w14:paraId="5EC33812" w14:textId="77777777" w:rsidR="00DB1AEE" w:rsidRPr="00DB1AEE" w:rsidRDefault="00DB1AEE" w:rsidP="00DB1AEE">
      <w:pPr>
        <w:widowControl w:val="0"/>
        <w:suppressAutoHyphens/>
        <w:autoSpaceDE w:val="0"/>
        <w:autoSpaceDN w:val="0"/>
        <w:adjustRightInd w:val="0"/>
        <w:spacing w:before="130" w:after="130"/>
        <w:ind w:left="360"/>
        <w:rPr>
          <w:u w:val="single"/>
        </w:rPr>
      </w:pPr>
      <w:r w:rsidRPr="00DB1AEE">
        <w:rPr>
          <w:u w:val="single"/>
        </w:rPr>
        <w:t>1. Sections R402.1.1 through R402.1.4 and Section R402.1.6, and R402.2 through R402.7.</w:t>
      </w:r>
    </w:p>
    <w:p w14:paraId="024AE714" w14:textId="77777777" w:rsidR="00DB1AEE" w:rsidRPr="00DB1AEE" w:rsidRDefault="00DB1AEE" w:rsidP="00DB1AEE">
      <w:pPr>
        <w:widowControl w:val="0"/>
        <w:suppressAutoHyphens/>
        <w:autoSpaceDE w:val="0"/>
        <w:autoSpaceDN w:val="0"/>
        <w:adjustRightInd w:val="0"/>
        <w:spacing w:before="130" w:after="130"/>
        <w:ind w:left="360"/>
        <w:rPr>
          <w:u w:val="single"/>
        </w:rPr>
      </w:pPr>
      <w:r w:rsidRPr="00DB1AEE">
        <w:rPr>
          <w:u w:val="single"/>
        </w:rPr>
        <w:t xml:space="preserve"> 2. Sections R402.1.1, R402.1.5 and R402.1.6, and R402.2 through R402.7.</w:t>
      </w:r>
    </w:p>
    <w:p w14:paraId="0E8FAA42"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Section R402.1.1 General.</w:t>
      </w:r>
    </w:p>
    <w:p w14:paraId="38835E1A" w14:textId="77777777" w:rsidR="00DB1AEE" w:rsidRPr="00DB1AEE" w:rsidRDefault="00DB1AEE" w:rsidP="00DB1AEE">
      <w:pPr>
        <w:widowControl w:val="0"/>
        <w:suppressAutoHyphens/>
        <w:autoSpaceDE w:val="0"/>
        <w:autoSpaceDN w:val="0"/>
        <w:adjustRightInd w:val="0"/>
        <w:spacing w:before="130" w:after="130"/>
        <w:rPr>
          <w:bCs/>
          <w:szCs w:val="24"/>
          <w:u w:val="single"/>
        </w:rPr>
      </w:pPr>
      <w:r w:rsidRPr="00DB1AEE">
        <w:rPr>
          <w:bCs/>
          <w:szCs w:val="24"/>
          <w:u w:val="single"/>
        </w:rPr>
        <w:t>Section R402.1.1 - Revise Section R402.1.1 to read as follows:</w:t>
      </w:r>
    </w:p>
    <w:p w14:paraId="22BDD7CD" w14:textId="77777777" w:rsidR="00DB1AEE" w:rsidRPr="00DB1AEE" w:rsidRDefault="00DB1AEE" w:rsidP="00DB1AEE">
      <w:pPr>
        <w:widowControl w:val="0"/>
        <w:suppressAutoHyphens/>
        <w:autoSpaceDE w:val="0"/>
        <w:autoSpaceDN w:val="0"/>
        <w:adjustRightInd w:val="0"/>
        <w:spacing w:before="130" w:after="130"/>
        <w:ind w:left="360"/>
        <w:rPr>
          <w:u w:val="single"/>
        </w:rPr>
      </w:pPr>
      <w:r w:rsidRPr="00DB1AEE">
        <w:rPr>
          <w:b/>
          <w:bCs/>
          <w:u w:val="single"/>
        </w:rPr>
        <w:t xml:space="preserve">R402.1.1 Vapor retarder.   </w:t>
      </w:r>
      <w:r w:rsidRPr="00DB1AEE">
        <w:rPr>
          <w:u w:val="single"/>
        </w:rPr>
        <w:t>Wall assemblies in the building thermal envelope shall comply with the vapor retarder requirements of the New York City Building Code, as applicable.</w:t>
      </w:r>
    </w:p>
    <w:p w14:paraId="680C8A78" w14:textId="77777777" w:rsidR="00DB1AEE" w:rsidRPr="00DB1AEE" w:rsidRDefault="00DB1AEE" w:rsidP="00DB1AEE">
      <w:pPr>
        <w:widowControl w:val="0"/>
        <w:autoSpaceDE w:val="0"/>
        <w:autoSpaceDN w:val="0"/>
        <w:adjustRightInd w:val="0"/>
        <w:spacing w:before="130" w:after="130"/>
        <w:rPr>
          <w:bCs/>
          <w:iCs/>
          <w:position w:val="16"/>
          <w:szCs w:val="24"/>
          <w:u w:val="single"/>
        </w:rPr>
      </w:pPr>
      <w:r w:rsidRPr="00DB1AEE">
        <w:rPr>
          <w:b/>
          <w:bCs/>
          <w:iCs/>
          <w:szCs w:val="24"/>
          <w:u w:val="single"/>
        </w:rPr>
        <w:t>Table R402.1.2 Insulation and Fenestration Requirements by Component</w:t>
      </w:r>
      <w:r w:rsidRPr="00DB1AEE">
        <w:rPr>
          <w:b/>
          <w:bCs/>
          <w:iCs/>
          <w:szCs w:val="24"/>
          <w:u w:val="single"/>
          <w:vertAlign w:val="superscript"/>
        </w:rPr>
        <w:t>a</w:t>
      </w:r>
    </w:p>
    <w:p w14:paraId="442903DF" w14:textId="77777777" w:rsidR="00DB1AEE" w:rsidRPr="00DB1AEE" w:rsidRDefault="00DB1AEE" w:rsidP="00DB1AEE">
      <w:pPr>
        <w:suppressAutoHyphens/>
        <w:spacing w:before="130" w:after="130"/>
        <w:rPr>
          <w:rFonts w:eastAsia="MS Mincho"/>
          <w:bCs/>
          <w:szCs w:val="24"/>
          <w:u w:val="single"/>
        </w:rPr>
      </w:pPr>
      <w:r w:rsidRPr="00DB1AEE">
        <w:rPr>
          <w:rFonts w:eastAsia="MS Mincho"/>
          <w:bCs/>
          <w:szCs w:val="24"/>
          <w:u w:val="single"/>
        </w:rPr>
        <w:t>Revise Table R402.1.2 to read as follows:</w:t>
      </w:r>
    </w:p>
    <w:p w14:paraId="74865986" w14:textId="77777777" w:rsidR="00DB1AEE" w:rsidRPr="00DB1AEE" w:rsidRDefault="00DB1AEE" w:rsidP="00DB1AEE">
      <w:pPr>
        <w:widowControl w:val="0"/>
        <w:suppressAutoHyphens/>
        <w:autoSpaceDE w:val="0"/>
        <w:autoSpaceDN w:val="0"/>
        <w:adjustRightInd w:val="0"/>
        <w:spacing w:before="130" w:after="130"/>
        <w:ind w:left="360"/>
        <w:jc w:val="center"/>
        <w:rPr>
          <w:b/>
          <w:bCs/>
          <w:u w:val="single"/>
        </w:rPr>
      </w:pPr>
      <w:r w:rsidRPr="00DB1AEE">
        <w:rPr>
          <w:b/>
          <w:bCs/>
          <w:u w:val="single"/>
        </w:rPr>
        <w:t>TABLE R402.1.2</w:t>
      </w:r>
    </w:p>
    <w:p w14:paraId="61256FE0" w14:textId="77777777" w:rsidR="00DB1AEE" w:rsidRPr="00DB1AEE" w:rsidRDefault="00DB1AEE" w:rsidP="00DB1AEE">
      <w:pPr>
        <w:widowControl w:val="0"/>
        <w:suppressAutoHyphens/>
        <w:autoSpaceDE w:val="0"/>
        <w:autoSpaceDN w:val="0"/>
        <w:adjustRightInd w:val="0"/>
        <w:spacing w:before="130" w:after="130"/>
        <w:ind w:left="360"/>
        <w:jc w:val="center"/>
        <w:rPr>
          <w:b/>
          <w:bCs/>
          <w:u w:val="single"/>
          <w:vertAlign w:val="superscript"/>
        </w:rPr>
      </w:pPr>
      <w:r w:rsidRPr="00DB1AEE">
        <w:rPr>
          <w:b/>
          <w:bCs/>
          <w:u w:val="single"/>
        </w:rPr>
        <w:t>MAXIMUM ASSEMBLY U-FACTORS AND FENESTRATION REQUIREMENTS</w:t>
      </w:r>
      <w:r w:rsidRPr="00DB1AEE">
        <w:rPr>
          <w:b/>
          <w:bCs/>
          <w:u w:val="single"/>
          <w:vertAlign w:val="superscript"/>
        </w:rPr>
        <w:t>a</w:t>
      </w:r>
    </w:p>
    <w:tbl>
      <w:tblPr>
        <w:tblW w:w="7748" w:type="dxa"/>
        <w:jc w:val="center"/>
        <w:tblLook w:val="04A0" w:firstRow="1" w:lastRow="0" w:firstColumn="1" w:lastColumn="0" w:noHBand="0" w:noVBand="1"/>
      </w:tblPr>
      <w:tblGrid>
        <w:gridCol w:w="3843"/>
        <w:gridCol w:w="2395"/>
        <w:gridCol w:w="820"/>
        <w:gridCol w:w="690"/>
      </w:tblGrid>
      <w:tr w:rsidR="00DB1AEE" w:rsidRPr="00DB1AEE" w14:paraId="237F86E6" w14:textId="77777777" w:rsidTr="00FC1832">
        <w:trPr>
          <w:trHeight w:val="494"/>
          <w:jc w:val="center"/>
        </w:trPr>
        <w:tc>
          <w:tcPr>
            <w:tcW w:w="3843" w:type="dxa"/>
            <w:tcBorders>
              <w:top w:val="single" w:sz="4" w:space="0" w:color="auto"/>
              <w:left w:val="single" w:sz="4" w:space="0" w:color="auto"/>
              <w:bottom w:val="single" w:sz="4" w:space="0" w:color="auto"/>
              <w:right w:val="single" w:sz="4" w:space="0" w:color="auto"/>
            </w:tcBorders>
            <w:vAlign w:val="center"/>
            <w:hideMark/>
          </w:tcPr>
          <w:p w14:paraId="7441CA80" w14:textId="77777777" w:rsidR="00DB1AEE" w:rsidRPr="00DB1AEE" w:rsidRDefault="00DB1AEE" w:rsidP="00DB1AEE">
            <w:pPr>
              <w:suppressAutoHyphens/>
              <w:jc w:val="center"/>
              <w:rPr>
                <w:rFonts w:cs="Arial"/>
                <w:b/>
                <w:bCs/>
                <w:sz w:val="18"/>
                <w:szCs w:val="18"/>
                <w:u w:val="single"/>
              </w:rPr>
            </w:pPr>
            <w:r w:rsidRPr="00DB1AEE">
              <w:rPr>
                <w:rFonts w:cs="Arial"/>
                <w:b/>
                <w:bCs/>
                <w:sz w:val="18"/>
                <w:szCs w:val="18"/>
                <w:u w:val="single"/>
              </w:rPr>
              <w:t>Climate Zone</w:t>
            </w:r>
          </w:p>
        </w:tc>
        <w:tc>
          <w:tcPr>
            <w:tcW w:w="2395" w:type="dxa"/>
            <w:tcBorders>
              <w:top w:val="single" w:sz="4" w:space="0" w:color="auto"/>
              <w:left w:val="nil"/>
              <w:bottom w:val="single" w:sz="4" w:space="0" w:color="auto"/>
              <w:right w:val="single" w:sz="4" w:space="0" w:color="auto"/>
            </w:tcBorders>
            <w:vAlign w:val="center"/>
            <w:hideMark/>
          </w:tcPr>
          <w:p w14:paraId="1B028072" w14:textId="77777777" w:rsidR="00DB1AEE" w:rsidRPr="00DB1AEE" w:rsidRDefault="00DB1AEE" w:rsidP="00DB1AEE">
            <w:pPr>
              <w:suppressAutoHyphens/>
              <w:jc w:val="center"/>
              <w:rPr>
                <w:rFonts w:cs="Arial"/>
                <w:sz w:val="18"/>
                <w:szCs w:val="18"/>
                <w:u w:val="single"/>
              </w:rPr>
            </w:pPr>
            <w:r w:rsidRPr="00DB1AEE">
              <w:rPr>
                <w:rFonts w:cs="Arial"/>
                <w:sz w:val="18"/>
                <w:szCs w:val="18"/>
                <w:u w:val="single"/>
              </w:rPr>
              <w:t>4</w:t>
            </w:r>
          </w:p>
        </w:tc>
        <w:tc>
          <w:tcPr>
            <w:tcW w:w="820" w:type="dxa"/>
            <w:tcBorders>
              <w:top w:val="single" w:sz="4" w:space="0" w:color="auto"/>
              <w:left w:val="nil"/>
              <w:bottom w:val="single" w:sz="4" w:space="0" w:color="auto"/>
              <w:right w:val="single" w:sz="4" w:space="0" w:color="auto"/>
            </w:tcBorders>
            <w:vAlign w:val="center"/>
            <w:hideMark/>
          </w:tcPr>
          <w:p w14:paraId="4A065747" w14:textId="77777777" w:rsidR="00DB1AEE" w:rsidRPr="00DB1AEE" w:rsidRDefault="00DB1AEE" w:rsidP="00DB1AEE">
            <w:pPr>
              <w:suppressAutoHyphens/>
              <w:jc w:val="center"/>
              <w:rPr>
                <w:rFonts w:cs="Arial"/>
                <w:sz w:val="18"/>
                <w:szCs w:val="18"/>
                <w:u w:val="single"/>
              </w:rPr>
            </w:pPr>
            <w:r w:rsidRPr="00DB1AEE">
              <w:rPr>
                <w:rFonts w:cs="Arial"/>
                <w:sz w:val="18"/>
                <w:szCs w:val="18"/>
                <w:u w:val="single"/>
              </w:rPr>
              <w:t>5</w:t>
            </w:r>
          </w:p>
        </w:tc>
        <w:tc>
          <w:tcPr>
            <w:tcW w:w="690" w:type="dxa"/>
            <w:tcBorders>
              <w:top w:val="single" w:sz="4" w:space="0" w:color="auto"/>
              <w:left w:val="nil"/>
              <w:bottom w:val="single" w:sz="4" w:space="0" w:color="auto"/>
              <w:right w:val="single" w:sz="4" w:space="0" w:color="auto"/>
            </w:tcBorders>
            <w:vAlign w:val="center"/>
            <w:hideMark/>
          </w:tcPr>
          <w:p w14:paraId="704F0BAB" w14:textId="77777777" w:rsidR="00DB1AEE" w:rsidRPr="00DB1AEE" w:rsidRDefault="00DB1AEE" w:rsidP="00DB1AEE">
            <w:pPr>
              <w:suppressAutoHyphens/>
              <w:jc w:val="center"/>
              <w:rPr>
                <w:rFonts w:cs="Arial"/>
                <w:sz w:val="18"/>
                <w:szCs w:val="18"/>
                <w:u w:val="single"/>
              </w:rPr>
            </w:pPr>
            <w:r w:rsidRPr="00DB1AEE">
              <w:rPr>
                <w:rFonts w:cs="Arial"/>
                <w:sz w:val="18"/>
                <w:szCs w:val="18"/>
                <w:u w:val="single"/>
              </w:rPr>
              <w:t>6</w:t>
            </w:r>
          </w:p>
        </w:tc>
      </w:tr>
      <w:tr w:rsidR="00DB1AEE" w:rsidRPr="00DB1AEE" w14:paraId="2557EC96" w14:textId="77777777" w:rsidTr="00FC1832">
        <w:trPr>
          <w:trHeight w:val="288"/>
          <w:jc w:val="center"/>
        </w:trPr>
        <w:tc>
          <w:tcPr>
            <w:tcW w:w="3843" w:type="dxa"/>
            <w:tcBorders>
              <w:top w:val="nil"/>
              <w:left w:val="single" w:sz="4" w:space="0" w:color="auto"/>
              <w:bottom w:val="single" w:sz="4" w:space="0" w:color="auto"/>
              <w:right w:val="single" w:sz="4" w:space="0" w:color="auto"/>
            </w:tcBorders>
            <w:vAlign w:val="center"/>
            <w:hideMark/>
          </w:tcPr>
          <w:p w14:paraId="6E66EF0F" w14:textId="77777777" w:rsidR="00DB1AEE" w:rsidRPr="00DB1AEE" w:rsidRDefault="00DB1AEE" w:rsidP="00DB1AEE">
            <w:pPr>
              <w:suppressAutoHyphens/>
              <w:jc w:val="left"/>
              <w:rPr>
                <w:rFonts w:cs="Arial"/>
                <w:caps/>
                <w:sz w:val="18"/>
                <w:szCs w:val="18"/>
                <w:u w:val="single"/>
              </w:rPr>
            </w:pPr>
            <w:r w:rsidRPr="00DB1AEE">
              <w:rPr>
                <w:rFonts w:cs="Arial"/>
                <w:caps/>
                <w:sz w:val="18"/>
                <w:szCs w:val="18"/>
                <w:u w:val="single"/>
              </w:rPr>
              <w:t xml:space="preserve">Vertical Fenestration </w:t>
            </w:r>
            <w:r w:rsidRPr="00DB1AEE">
              <w:rPr>
                <w:rFonts w:cs="Arial"/>
                <w:i/>
                <w:iCs/>
                <w:caps/>
                <w:sz w:val="18"/>
                <w:szCs w:val="18"/>
                <w:u w:val="single"/>
              </w:rPr>
              <w:t>U</w:t>
            </w:r>
            <w:r w:rsidRPr="00DB1AEE">
              <w:rPr>
                <w:rFonts w:cs="Arial"/>
                <w:caps/>
                <w:sz w:val="18"/>
                <w:szCs w:val="18"/>
                <w:u w:val="single"/>
              </w:rPr>
              <w:t>-factor </w:t>
            </w:r>
          </w:p>
        </w:tc>
        <w:tc>
          <w:tcPr>
            <w:tcW w:w="2395" w:type="dxa"/>
            <w:tcBorders>
              <w:top w:val="nil"/>
              <w:left w:val="nil"/>
              <w:bottom w:val="single" w:sz="4" w:space="0" w:color="auto"/>
              <w:right w:val="single" w:sz="4" w:space="0" w:color="auto"/>
            </w:tcBorders>
            <w:vAlign w:val="center"/>
          </w:tcPr>
          <w:p w14:paraId="7DEDF38E" w14:textId="77777777" w:rsidR="00DB1AEE" w:rsidRPr="00DB1AEE" w:rsidRDefault="00DB1AEE" w:rsidP="00DB1AEE">
            <w:pPr>
              <w:suppressAutoHyphens/>
              <w:jc w:val="center"/>
              <w:rPr>
                <w:rFonts w:cs="Arial"/>
                <w:sz w:val="18"/>
                <w:szCs w:val="18"/>
                <w:u w:val="single"/>
              </w:rPr>
            </w:pPr>
            <w:r w:rsidRPr="00DB1AEE">
              <w:rPr>
                <w:rFonts w:cs="Arial"/>
                <w:sz w:val="18"/>
                <w:szCs w:val="18"/>
                <w:u w:val="single"/>
              </w:rPr>
              <w:t>0.27</w:t>
            </w:r>
          </w:p>
        </w:tc>
        <w:tc>
          <w:tcPr>
            <w:tcW w:w="820" w:type="dxa"/>
            <w:tcBorders>
              <w:top w:val="nil"/>
              <w:left w:val="nil"/>
              <w:bottom w:val="single" w:sz="4" w:space="0" w:color="auto"/>
              <w:right w:val="single" w:sz="4" w:space="0" w:color="auto"/>
            </w:tcBorders>
            <w:vAlign w:val="center"/>
          </w:tcPr>
          <w:p w14:paraId="2CA57803" w14:textId="77777777" w:rsidR="00DB1AEE" w:rsidRPr="00DB1AEE" w:rsidRDefault="00DB1AEE" w:rsidP="00DB1AEE">
            <w:pPr>
              <w:suppressAutoHyphens/>
              <w:jc w:val="center"/>
              <w:rPr>
                <w:rFonts w:cs="Arial"/>
                <w:sz w:val="18"/>
                <w:szCs w:val="18"/>
                <w:u w:val="single"/>
                <w:vertAlign w:val="superscript"/>
              </w:rPr>
            </w:pPr>
            <w:r w:rsidRPr="00DB1AEE">
              <w:rPr>
                <w:rFonts w:cs="Arial"/>
                <w:sz w:val="18"/>
                <w:szCs w:val="18"/>
                <w:u w:val="single"/>
              </w:rPr>
              <w:t>0.27</w:t>
            </w:r>
            <w:r w:rsidRPr="00DB1AEE">
              <w:rPr>
                <w:rFonts w:cs="Arial"/>
                <w:sz w:val="18"/>
                <w:szCs w:val="18"/>
                <w:u w:val="single"/>
                <w:vertAlign w:val="superscript"/>
              </w:rPr>
              <w:t>c</w:t>
            </w:r>
          </w:p>
        </w:tc>
        <w:tc>
          <w:tcPr>
            <w:tcW w:w="690" w:type="dxa"/>
            <w:tcBorders>
              <w:top w:val="nil"/>
              <w:left w:val="nil"/>
              <w:bottom w:val="single" w:sz="4" w:space="0" w:color="auto"/>
              <w:right w:val="single" w:sz="4" w:space="0" w:color="auto"/>
            </w:tcBorders>
            <w:vAlign w:val="center"/>
          </w:tcPr>
          <w:p w14:paraId="62F9D471" w14:textId="77777777" w:rsidR="00DB1AEE" w:rsidRPr="00DB1AEE" w:rsidRDefault="00DB1AEE" w:rsidP="00DB1AEE">
            <w:pPr>
              <w:suppressAutoHyphens/>
              <w:jc w:val="center"/>
              <w:rPr>
                <w:rFonts w:cs="Arial"/>
                <w:sz w:val="18"/>
                <w:szCs w:val="18"/>
                <w:u w:val="single"/>
                <w:vertAlign w:val="superscript"/>
              </w:rPr>
            </w:pPr>
            <w:r w:rsidRPr="00DB1AEE">
              <w:rPr>
                <w:rFonts w:cs="Arial"/>
                <w:sz w:val="18"/>
                <w:szCs w:val="18"/>
                <w:u w:val="single"/>
              </w:rPr>
              <w:t>0.27</w:t>
            </w:r>
            <w:r w:rsidRPr="00DB1AEE">
              <w:rPr>
                <w:rFonts w:cs="Arial"/>
                <w:sz w:val="18"/>
                <w:szCs w:val="18"/>
                <w:u w:val="single"/>
                <w:vertAlign w:val="superscript"/>
              </w:rPr>
              <w:t>c</w:t>
            </w:r>
          </w:p>
        </w:tc>
      </w:tr>
      <w:tr w:rsidR="00DB1AEE" w:rsidRPr="00DB1AEE" w14:paraId="320CB883" w14:textId="77777777" w:rsidTr="00FC1832">
        <w:trPr>
          <w:trHeight w:val="288"/>
          <w:jc w:val="center"/>
        </w:trPr>
        <w:tc>
          <w:tcPr>
            <w:tcW w:w="3843" w:type="dxa"/>
            <w:tcBorders>
              <w:top w:val="nil"/>
              <w:left w:val="single" w:sz="4" w:space="0" w:color="auto"/>
              <w:bottom w:val="single" w:sz="4" w:space="0" w:color="auto"/>
              <w:right w:val="single" w:sz="4" w:space="0" w:color="auto"/>
            </w:tcBorders>
            <w:vAlign w:val="center"/>
            <w:hideMark/>
          </w:tcPr>
          <w:p w14:paraId="391C01CC" w14:textId="77777777" w:rsidR="00DB1AEE" w:rsidRPr="00DB1AEE" w:rsidRDefault="00DB1AEE" w:rsidP="00DB1AEE">
            <w:pPr>
              <w:suppressAutoHyphens/>
              <w:jc w:val="left"/>
              <w:rPr>
                <w:rFonts w:cs="Arial"/>
                <w:caps/>
                <w:sz w:val="18"/>
                <w:szCs w:val="18"/>
                <w:u w:val="single"/>
              </w:rPr>
            </w:pPr>
            <w:r w:rsidRPr="00DB1AEE">
              <w:rPr>
                <w:rFonts w:cs="Arial"/>
                <w:caps/>
                <w:sz w:val="18"/>
                <w:szCs w:val="18"/>
                <w:u w:val="single"/>
              </w:rPr>
              <w:t xml:space="preserve">Skylight </w:t>
            </w:r>
            <w:r w:rsidRPr="00DB1AEE">
              <w:rPr>
                <w:rFonts w:cs="Arial"/>
                <w:i/>
                <w:iCs/>
                <w:caps/>
                <w:sz w:val="18"/>
                <w:szCs w:val="18"/>
                <w:u w:val="single"/>
              </w:rPr>
              <w:t>U</w:t>
            </w:r>
            <w:r w:rsidRPr="00DB1AEE">
              <w:rPr>
                <w:rFonts w:cs="Arial"/>
                <w:caps/>
                <w:sz w:val="18"/>
                <w:szCs w:val="18"/>
                <w:u w:val="single"/>
              </w:rPr>
              <w:t>-factor </w:t>
            </w:r>
          </w:p>
        </w:tc>
        <w:tc>
          <w:tcPr>
            <w:tcW w:w="2395" w:type="dxa"/>
            <w:tcBorders>
              <w:top w:val="nil"/>
              <w:left w:val="nil"/>
              <w:bottom w:val="single" w:sz="4" w:space="0" w:color="auto"/>
              <w:right w:val="single" w:sz="4" w:space="0" w:color="auto"/>
            </w:tcBorders>
            <w:vAlign w:val="center"/>
          </w:tcPr>
          <w:p w14:paraId="027DB7A5" w14:textId="77777777" w:rsidR="00DB1AEE" w:rsidRPr="00DB1AEE" w:rsidRDefault="00DB1AEE" w:rsidP="00DB1AEE">
            <w:pPr>
              <w:suppressAutoHyphens/>
              <w:jc w:val="center"/>
              <w:rPr>
                <w:rFonts w:cs="Arial"/>
                <w:sz w:val="18"/>
                <w:szCs w:val="18"/>
                <w:u w:val="single"/>
              </w:rPr>
            </w:pPr>
            <w:r w:rsidRPr="00DB1AEE">
              <w:rPr>
                <w:rFonts w:cs="Arial"/>
                <w:sz w:val="18"/>
                <w:szCs w:val="18"/>
                <w:u w:val="single"/>
              </w:rPr>
              <w:t>0.50</w:t>
            </w:r>
          </w:p>
        </w:tc>
        <w:tc>
          <w:tcPr>
            <w:tcW w:w="820" w:type="dxa"/>
            <w:tcBorders>
              <w:top w:val="nil"/>
              <w:left w:val="nil"/>
              <w:bottom w:val="single" w:sz="4" w:space="0" w:color="auto"/>
              <w:right w:val="single" w:sz="4" w:space="0" w:color="auto"/>
            </w:tcBorders>
            <w:vAlign w:val="center"/>
          </w:tcPr>
          <w:p w14:paraId="2BFAE1D3" w14:textId="77777777" w:rsidR="00DB1AEE" w:rsidRPr="00DB1AEE" w:rsidRDefault="00DB1AEE" w:rsidP="00DB1AEE">
            <w:pPr>
              <w:suppressAutoHyphens/>
              <w:jc w:val="center"/>
              <w:rPr>
                <w:rFonts w:cs="Arial"/>
                <w:sz w:val="18"/>
                <w:szCs w:val="18"/>
                <w:u w:val="single"/>
              </w:rPr>
            </w:pPr>
            <w:r w:rsidRPr="00DB1AEE">
              <w:rPr>
                <w:rFonts w:cs="Arial"/>
                <w:sz w:val="18"/>
                <w:szCs w:val="18"/>
                <w:u w:val="single"/>
              </w:rPr>
              <w:t>0.50</w:t>
            </w:r>
          </w:p>
        </w:tc>
        <w:tc>
          <w:tcPr>
            <w:tcW w:w="690" w:type="dxa"/>
            <w:tcBorders>
              <w:top w:val="nil"/>
              <w:left w:val="nil"/>
              <w:bottom w:val="single" w:sz="4" w:space="0" w:color="auto"/>
              <w:right w:val="single" w:sz="4" w:space="0" w:color="auto"/>
            </w:tcBorders>
            <w:vAlign w:val="center"/>
          </w:tcPr>
          <w:p w14:paraId="52B62DED" w14:textId="77777777" w:rsidR="00DB1AEE" w:rsidRPr="00DB1AEE" w:rsidRDefault="00DB1AEE" w:rsidP="00DB1AEE">
            <w:pPr>
              <w:suppressAutoHyphens/>
              <w:jc w:val="center"/>
              <w:rPr>
                <w:rFonts w:cs="Arial"/>
                <w:sz w:val="18"/>
                <w:szCs w:val="18"/>
                <w:u w:val="single"/>
              </w:rPr>
            </w:pPr>
            <w:r w:rsidRPr="00DB1AEE">
              <w:rPr>
                <w:rFonts w:cs="Arial"/>
                <w:sz w:val="18"/>
                <w:szCs w:val="18"/>
                <w:u w:val="single"/>
              </w:rPr>
              <w:t>0.50</w:t>
            </w:r>
          </w:p>
        </w:tc>
      </w:tr>
      <w:tr w:rsidR="00DB1AEE" w:rsidRPr="00DB1AEE" w14:paraId="4717A900" w14:textId="77777777" w:rsidTr="00FC1832">
        <w:trPr>
          <w:trHeight w:val="480"/>
          <w:jc w:val="center"/>
        </w:trPr>
        <w:tc>
          <w:tcPr>
            <w:tcW w:w="3843" w:type="dxa"/>
            <w:tcBorders>
              <w:top w:val="nil"/>
              <w:left w:val="single" w:sz="4" w:space="0" w:color="auto"/>
              <w:bottom w:val="single" w:sz="4" w:space="0" w:color="auto"/>
              <w:right w:val="single" w:sz="4" w:space="0" w:color="auto"/>
            </w:tcBorders>
            <w:vAlign w:val="center"/>
            <w:hideMark/>
          </w:tcPr>
          <w:p w14:paraId="2D0F4425" w14:textId="77777777" w:rsidR="00DB1AEE" w:rsidRPr="00DB1AEE" w:rsidRDefault="00DB1AEE" w:rsidP="00DB1AEE">
            <w:pPr>
              <w:suppressAutoHyphens/>
              <w:jc w:val="left"/>
              <w:rPr>
                <w:rFonts w:cs="Arial"/>
                <w:caps/>
                <w:sz w:val="18"/>
                <w:szCs w:val="18"/>
                <w:u w:val="single"/>
                <w:vertAlign w:val="superscript"/>
              </w:rPr>
            </w:pPr>
            <w:r w:rsidRPr="00DB1AEE">
              <w:rPr>
                <w:rFonts w:cs="Arial"/>
                <w:caps/>
                <w:sz w:val="18"/>
                <w:szCs w:val="18"/>
                <w:u w:val="single"/>
              </w:rPr>
              <w:t>Glazed Vertical Fenestration SHGC</w:t>
            </w:r>
            <w:r w:rsidRPr="00DB1AEE">
              <w:rPr>
                <w:rFonts w:cs="Arial"/>
                <w:sz w:val="18"/>
                <w:szCs w:val="18"/>
                <w:u w:val="single"/>
                <w:vertAlign w:val="superscript"/>
              </w:rPr>
              <w:t>c,d,f</w:t>
            </w:r>
          </w:p>
        </w:tc>
        <w:tc>
          <w:tcPr>
            <w:tcW w:w="2395" w:type="dxa"/>
            <w:tcBorders>
              <w:top w:val="nil"/>
              <w:left w:val="nil"/>
              <w:bottom w:val="single" w:sz="4" w:space="0" w:color="auto"/>
              <w:right w:val="single" w:sz="4" w:space="0" w:color="auto"/>
            </w:tcBorders>
            <w:noWrap/>
            <w:vAlign w:val="center"/>
          </w:tcPr>
          <w:p w14:paraId="3DB60F04" w14:textId="77777777" w:rsidR="00DB1AEE" w:rsidRPr="00DB1AEE" w:rsidRDefault="00DB1AEE" w:rsidP="00DB1AEE">
            <w:pPr>
              <w:suppressAutoHyphens/>
              <w:jc w:val="center"/>
              <w:rPr>
                <w:rFonts w:cs="Arial"/>
                <w:sz w:val="20"/>
                <w:u w:val="single"/>
              </w:rPr>
            </w:pPr>
            <w:r w:rsidRPr="00DB1AEE">
              <w:rPr>
                <w:rFonts w:cs="Arial"/>
                <w:sz w:val="20"/>
                <w:u w:val="single"/>
              </w:rPr>
              <w:t>0.40</w:t>
            </w:r>
          </w:p>
          <w:p w14:paraId="0C6AE28D" w14:textId="77777777" w:rsidR="00DB1AEE" w:rsidRPr="00DB1AEE" w:rsidRDefault="00DB1AEE" w:rsidP="00DB1AEE">
            <w:pPr>
              <w:suppressAutoHyphens/>
              <w:jc w:val="center"/>
              <w:rPr>
                <w:rFonts w:cs="Arial"/>
                <w:u w:val="single"/>
              </w:rPr>
            </w:pPr>
          </w:p>
        </w:tc>
        <w:tc>
          <w:tcPr>
            <w:tcW w:w="820" w:type="dxa"/>
            <w:tcBorders>
              <w:top w:val="nil"/>
              <w:left w:val="nil"/>
              <w:bottom w:val="single" w:sz="4" w:space="0" w:color="auto"/>
              <w:right w:val="single" w:sz="4" w:space="0" w:color="auto"/>
            </w:tcBorders>
            <w:noWrap/>
            <w:vAlign w:val="center"/>
          </w:tcPr>
          <w:p w14:paraId="7B81E362" w14:textId="77777777" w:rsidR="00DB1AEE" w:rsidRPr="00DB1AEE" w:rsidRDefault="00DB1AEE" w:rsidP="00DB1AEE">
            <w:pPr>
              <w:suppressAutoHyphens/>
              <w:jc w:val="center"/>
              <w:rPr>
                <w:rFonts w:cs="Arial"/>
                <w:u w:val="single"/>
              </w:rPr>
            </w:pPr>
            <w:r w:rsidRPr="00DB1AEE">
              <w:rPr>
                <w:rFonts w:cs="Arial"/>
                <w:sz w:val="18"/>
                <w:szCs w:val="18"/>
                <w:u w:val="single"/>
              </w:rPr>
              <w:t>NR</w:t>
            </w:r>
          </w:p>
        </w:tc>
        <w:tc>
          <w:tcPr>
            <w:tcW w:w="690" w:type="dxa"/>
            <w:tcBorders>
              <w:top w:val="nil"/>
              <w:left w:val="nil"/>
              <w:bottom w:val="single" w:sz="4" w:space="0" w:color="auto"/>
              <w:right w:val="single" w:sz="4" w:space="0" w:color="auto"/>
            </w:tcBorders>
            <w:noWrap/>
            <w:vAlign w:val="center"/>
          </w:tcPr>
          <w:p w14:paraId="40FD0E3A" w14:textId="77777777" w:rsidR="00DB1AEE" w:rsidRPr="00DB1AEE" w:rsidRDefault="00DB1AEE" w:rsidP="00DB1AEE">
            <w:pPr>
              <w:suppressAutoHyphens/>
              <w:jc w:val="center"/>
              <w:rPr>
                <w:rFonts w:cs="Arial"/>
                <w:u w:val="single"/>
              </w:rPr>
            </w:pPr>
            <w:r w:rsidRPr="00DB1AEE">
              <w:rPr>
                <w:rFonts w:cs="Arial"/>
                <w:sz w:val="18"/>
                <w:szCs w:val="18"/>
                <w:u w:val="single"/>
              </w:rPr>
              <w:t>NR</w:t>
            </w:r>
          </w:p>
        </w:tc>
      </w:tr>
      <w:tr w:rsidR="00DB1AEE" w:rsidRPr="00DB1AEE" w14:paraId="04F96FE3" w14:textId="77777777" w:rsidTr="00FC1832">
        <w:trPr>
          <w:trHeight w:val="480"/>
          <w:jc w:val="center"/>
        </w:trPr>
        <w:tc>
          <w:tcPr>
            <w:tcW w:w="3843" w:type="dxa"/>
            <w:tcBorders>
              <w:top w:val="nil"/>
              <w:left w:val="single" w:sz="4" w:space="0" w:color="auto"/>
              <w:bottom w:val="single" w:sz="4" w:space="0" w:color="auto"/>
              <w:right w:val="single" w:sz="4" w:space="0" w:color="auto"/>
            </w:tcBorders>
            <w:vAlign w:val="center"/>
          </w:tcPr>
          <w:p w14:paraId="71BB4E59" w14:textId="77777777" w:rsidR="00DB1AEE" w:rsidRPr="00DB1AEE" w:rsidRDefault="00DB1AEE" w:rsidP="00DB1AEE">
            <w:pPr>
              <w:suppressAutoHyphens/>
              <w:jc w:val="left"/>
              <w:rPr>
                <w:rFonts w:cs="Arial"/>
                <w:caps/>
                <w:sz w:val="18"/>
                <w:szCs w:val="18"/>
                <w:u w:val="single"/>
                <w:vertAlign w:val="superscript"/>
              </w:rPr>
            </w:pPr>
            <w:r w:rsidRPr="00DB1AEE">
              <w:rPr>
                <w:rFonts w:cs="Arial"/>
                <w:caps/>
                <w:sz w:val="18"/>
                <w:szCs w:val="18"/>
                <w:u w:val="single"/>
              </w:rPr>
              <w:t>Skylight SHGC</w:t>
            </w:r>
            <w:r w:rsidRPr="00DB1AEE">
              <w:rPr>
                <w:rFonts w:cs="Arial"/>
                <w:sz w:val="18"/>
                <w:szCs w:val="18"/>
                <w:u w:val="single"/>
                <w:vertAlign w:val="superscript"/>
              </w:rPr>
              <w:t>d</w:t>
            </w:r>
          </w:p>
        </w:tc>
        <w:tc>
          <w:tcPr>
            <w:tcW w:w="2395" w:type="dxa"/>
            <w:tcBorders>
              <w:top w:val="nil"/>
              <w:left w:val="nil"/>
              <w:bottom w:val="single" w:sz="4" w:space="0" w:color="auto"/>
              <w:right w:val="single" w:sz="4" w:space="0" w:color="auto"/>
            </w:tcBorders>
            <w:noWrap/>
            <w:vAlign w:val="center"/>
          </w:tcPr>
          <w:p w14:paraId="39B99502" w14:textId="77777777" w:rsidR="00DB1AEE" w:rsidRPr="00DB1AEE" w:rsidRDefault="00DB1AEE" w:rsidP="00DB1AEE">
            <w:pPr>
              <w:suppressAutoHyphens/>
              <w:jc w:val="center"/>
              <w:rPr>
                <w:rFonts w:cs="Arial"/>
                <w:sz w:val="20"/>
                <w:u w:val="single"/>
              </w:rPr>
            </w:pPr>
            <w:r w:rsidRPr="00DB1AEE">
              <w:rPr>
                <w:rFonts w:cs="Arial"/>
                <w:sz w:val="20"/>
                <w:u w:val="single"/>
              </w:rPr>
              <w:t>0.40</w:t>
            </w:r>
          </w:p>
          <w:p w14:paraId="1F963E20" w14:textId="77777777" w:rsidR="00DB1AEE" w:rsidRPr="00DB1AEE" w:rsidRDefault="00DB1AEE" w:rsidP="00DB1AEE">
            <w:pPr>
              <w:suppressAutoHyphens/>
              <w:jc w:val="center"/>
              <w:rPr>
                <w:rFonts w:cs="Arial"/>
                <w:sz w:val="18"/>
                <w:szCs w:val="18"/>
                <w:u w:val="single"/>
              </w:rPr>
            </w:pPr>
          </w:p>
        </w:tc>
        <w:tc>
          <w:tcPr>
            <w:tcW w:w="820" w:type="dxa"/>
            <w:tcBorders>
              <w:top w:val="nil"/>
              <w:left w:val="nil"/>
              <w:bottom w:val="single" w:sz="4" w:space="0" w:color="auto"/>
              <w:right w:val="single" w:sz="4" w:space="0" w:color="auto"/>
            </w:tcBorders>
            <w:noWrap/>
            <w:vAlign w:val="center"/>
          </w:tcPr>
          <w:p w14:paraId="61DA27A4" w14:textId="77777777" w:rsidR="00DB1AEE" w:rsidRPr="00DB1AEE" w:rsidRDefault="00DB1AEE" w:rsidP="00DB1AEE">
            <w:pPr>
              <w:suppressAutoHyphens/>
              <w:jc w:val="center"/>
              <w:rPr>
                <w:rFonts w:cs="Arial"/>
                <w:sz w:val="18"/>
                <w:szCs w:val="18"/>
                <w:u w:val="single"/>
              </w:rPr>
            </w:pPr>
            <w:r w:rsidRPr="00DB1AEE">
              <w:rPr>
                <w:rFonts w:cs="Arial"/>
                <w:sz w:val="18"/>
                <w:szCs w:val="18"/>
                <w:u w:val="single"/>
              </w:rPr>
              <w:t>NR</w:t>
            </w:r>
          </w:p>
        </w:tc>
        <w:tc>
          <w:tcPr>
            <w:tcW w:w="690" w:type="dxa"/>
            <w:tcBorders>
              <w:top w:val="nil"/>
              <w:left w:val="nil"/>
              <w:bottom w:val="single" w:sz="4" w:space="0" w:color="auto"/>
              <w:right w:val="single" w:sz="4" w:space="0" w:color="auto"/>
            </w:tcBorders>
            <w:noWrap/>
            <w:vAlign w:val="center"/>
          </w:tcPr>
          <w:p w14:paraId="092FAC80" w14:textId="77777777" w:rsidR="00DB1AEE" w:rsidRPr="00DB1AEE" w:rsidRDefault="00DB1AEE" w:rsidP="00DB1AEE">
            <w:pPr>
              <w:suppressAutoHyphens/>
              <w:jc w:val="center"/>
              <w:rPr>
                <w:rFonts w:cs="Arial"/>
                <w:sz w:val="18"/>
                <w:szCs w:val="18"/>
                <w:u w:val="single"/>
              </w:rPr>
            </w:pPr>
            <w:r w:rsidRPr="00DB1AEE">
              <w:rPr>
                <w:rFonts w:cs="Arial"/>
                <w:sz w:val="18"/>
                <w:szCs w:val="18"/>
                <w:u w:val="single"/>
              </w:rPr>
              <w:t>NR</w:t>
            </w:r>
          </w:p>
        </w:tc>
      </w:tr>
      <w:tr w:rsidR="00DB1AEE" w:rsidRPr="00DB1AEE" w14:paraId="37C9D194" w14:textId="77777777" w:rsidTr="00FC1832">
        <w:trPr>
          <w:trHeight w:val="288"/>
          <w:jc w:val="center"/>
        </w:trPr>
        <w:tc>
          <w:tcPr>
            <w:tcW w:w="3843" w:type="dxa"/>
            <w:tcBorders>
              <w:top w:val="nil"/>
              <w:left w:val="single" w:sz="4" w:space="0" w:color="auto"/>
              <w:bottom w:val="single" w:sz="4" w:space="0" w:color="auto"/>
              <w:right w:val="single" w:sz="4" w:space="0" w:color="auto"/>
            </w:tcBorders>
            <w:vAlign w:val="center"/>
            <w:hideMark/>
          </w:tcPr>
          <w:p w14:paraId="70461295" w14:textId="77777777" w:rsidR="00DB1AEE" w:rsidRPr="00DB1AEE" w:rsidRDefault="00DB1AEE" w:rsidP="00DB1AEE">
            <w:pPr>
              <w:suppressAutoHyphens/>
              <w:jc w:val="left"/>
              <w:rPr>
                <w:rFonts w:cs="Arial"/>
                <w:caps/>
                <w:sz w:val="18"/>
                <w:szCs w:val="18"/>
                <w:u w:val="single"/>
              </w:rPr>
            </w:pPr>
            <w:r w:rsidRPr="00DB1AEE">
              <w:rPr>
                <w:rFonts w:cs="Arial"/>
                <w:caps/>
                <w:sz w:val="18"/>
                <w:szCs w:val="18"/>
                <w:u w:val="single"/>
              </w:rPr>
              <w:t xml:space="preserve">Ceiling </w:t>
            </w:r>
            <w:r w:rsidRPr="00DB1AEE">
              <w:rPr>
                <w:rFonts w:cs="Arial"/>
                <w:i/>
                <w:iCs/>
                <w:caps/>
                <w:sz w:val="18"/>
                <w:szCs w:val="18"/>
                <w:u w:val="single"/>
              </w:rPr>
              <w:t>U</w:t>
            </w:r>
            <w:r w:rsidRPr="00DB1AEE">
              <w:rPr>
                <w:rFonts w:cs="Arial"/>
                <w:caps/>
                <w:sz w:val="18"/>
                <w:szCs w:val="18"/>
                <w:u w:val="single"/>
              </w:rPr>
              <w:t>-factor </w:t>
            </w:r>
          </w:p>
        </w:tc>
        <w:tc>
          <w:tcPr>
            <w:tcW w:w="2395" w:type="dxa"/>
            <w:tcBorders>
              <w:top w:val="nil"/>
              <w:left w:val="nil"/>
              <w:bottom w:val="single" w:sz="4" w:space="0" w:color="auto"/>
              <w:right w:val="single" w:sz="4" w:space="0" w:color="auto"/>
            </w:tcBorders>
            <w:vAlign w:val="center"/>
          </w:tcPr>
          <w:p w14:paraId="4B43C408" w14:textId="77777777" w:rsidR="00DB1AEE" w:rsidRPr="00DB1AEE" w:rsidRDefault="00DB1AEE" w:rsidP="00DB1AEE">
            <w:pPr>
              <w:suppressAutoHyphens/>
              <w:jc w:val="center"/>
              <w:rPr>
                <w:rFonts w:cs="Arial"/>
                <w:sz w:val="18"/>
                <w:szCs w:val="18"/>
                <w:u w:val="single"/>
              </w:rPr>
            </w:pPr>
          </w:p>
          <w:p w14:paraId="01C441F3" w14:textId="77777777" w:rsidR="00DB1AEE" w:rsidRPr="00DB1AEE" w:rsidRDefault="00DB1AEE" w:rsidP="00DB1AEE">
            <w:pPr>
              <w:suppressAutoHyphens/>
              <w:jc w:val="center"/>
              <w:rPr>
                <w:rFonts w:cs="Arial"/>
                <w:sz w:val="18"/>
                <w:szCs w:val="18"/>
                <w:u w:val="single"/>
              </w:rPr>
            </w:pPr>
            <w:r w:rsidRPr="00DB1AEE">
              <w:rPr>
                <w:rFonts w:cs="Arial"/>
                <w:sz w:val="18"/>
                <w:szCs w:val="18"/>
                <w:u w:val="single"/>
              </w:rPr>
              <w:t>0.026</w:t>
            </w:r>
          </w:p>
        </w:tc>
        <w:tc>
          <w:tcPr>
            <w:tcW w:w="820" w:type="dxa"/>
            <w:tcBorders>
              <w:top w:val="nil"/>
              <w:left w:val="nil"/>
              <w:bottom w:val="single" w:sz="4" w:space="0" w:color="auto"/>
              <w:right w:val="single" w:sz="4" w:space="0" w:color="auto"/>
            </w:tcBorders>
            <w:vAlign w:val="center"/>
          </w:tcPr>
          <w:p w14:paraId="6122AEFD" w14:textId="77777777" w:rsidR="00DB1AEE" w:rsidRPr="00DB1AEE" w:rsidRDefault="00DB1AEE" w:rsidP="00DB1AEE">
            <w:pPr>
              <w:suppressAutoHyphens/>
              <w:jc w:val="center"/>
              <w:rPr>
                <w:rFonts w:cs="Arial"/>
                <w:sz w:val="18"/>
                <w:szCs w:val="18"/>
                <w:u w:val="single"/>
              </w:rPr>
            </w:pPr>
            <w:r w:rsidRPr="00DB1AEE">
              <w:rPr>
                <w:rFonts w:cs="Arial"/>
                <w:sz w:val="18"/>
                <w:szCs w:val="18"/>
                <w:u w:val="single"/>
              </w:rPr>
              <w:t>0.026</w:t>
            </w:r>
          </w:p>
        </w:tc>
        <w:tc>
          <w:tcPr>
            <w:tcW w:w="690" w:type="dxa"/>
            <w:tcBorders>
              <w:top w:val="nil"/>
              <w:left w:val="nil"/>
              <w:bottom w:val="single" w:sz="4" w:space="0" w:color="auto"/>
              <w:right w:val="single" w:sz="4" w:space="0" w:color="auto"/>
            </w:tcBorders>
            <w:vAlign w:val="center"/>
          </w:tcPr>
          <w:p w14:paraId="0AA00418" w14:textId="77777777" w:rsidR="00DB1AEE" w:rsidRPr="00DB1AEE" w:rsidRDefault="00DB1AEE" w:rsidP="00DB1AEE">
            <w:pPr>
              <w:suppressAutoHyphens/>
              <w:jc w:val="center"/>
              <w:rPr>
                <w:rFonts w:cs="Arial"/>
                <w:sz w:val="18"/>
                <w:szCs w:val="18"/>
                <w:u w:val="single"/>
              </w:rPr>
            </w:pPr>
            <w:r w:rsidRPr="00DB1AEE">
              <w:rPr>
                <w:rFonts w:cs="Arial"/>
                <w:sz w:val="18"/>
                <w:szCs w:val="18"/>
                <w:u w:val="single"/>
              </w:rPr>
              <w:t>0.026</w:t>
            </w:r>
          </w:p>
        </w:tc>
      </w:tr>
      <w:tr w:rsidR="00DB1AEE" w:rsidRPr="00DB1AEE" w14:paraId="1CF03D97" w14:textId="77777777" w:rsidTr="00FC1832">
        <w:trPr>
          <w:trHeight w:val="480"/>
          <w:jc w:val="center"/>
        </w:trPr>
        <w:tc>
          <w:tcPr>
            <w:tcW w:w="3843" w:type="dxa"/>
            <w:tcBorders>
              <w:top w:val="nil"/>
              <w:left w:val="single" w:sz="4" w:space="0" w:color="auto"/>
              <w:bottom w:val="single" w:sz="4" w:space="0" w:color="auto"/>
              <w:right w:val="single" w:sz="4" w:space="0" w:color="auto"/>
            </w:tcBorders>
            <w:vAlign w:val="center"/>
            <w:hideMark/>
          </w:tcPr>
          <w:p w14:paraId="5479F1D5" w14:textId="77777777" w:rsidR="00DB1AEE" w:rsidRPr="00DB1AEE" w:rsidRDefault="00DB1AEE" w:rsidP="00DB1AEE">
            <w:pPr>
              <w:suppressAutoHyphens/>
              <w:jc w:val="left"/>
              <w:rPr>
                <w:rFonts w:cs="Arial"/>
                <w:caps/>
                <w:sz w:val="18"/>
                <w:szCs w:val="18"/>
                <w:u w:val="single"/>
              </w:rPr>
            </w:pPr>
            <w:r w:rsidRPr="00DB1AEE">
              <w:rPr>
                <w:rFonts w:cs="Arial"/>
                <w:caps/>
                <w:sz w:val="18"/>
                <w:szCs w:val="18"/>
                <w:u w:val="single"/>
              </w:rPr>
              <w:t>Insulation Entirely Above Roof Deck</w:t>
            </w:r>
          </w:p>
        </w:tc>
        <w:tc>
          <w:tcPr>
            <w:tcW w:w="2395" w:type="dxa"/>
            <w:tcBorders>
              <w:top w:val="nil"/>
              <w:left w:val="nil"/>
              <w:bottom w:val="single" w:sz="4" w:space="0" w:color="auto"/>
              <w:right w:val="single" w:sz="4" w:space="0" w:color="auto"/>
            </w:tcBorders>
            <w:noWrap/>
            <w:vAlign w:val="center"/>
          </w:tcPr>
          <w:p w14:paraId="653F54C3" w14:textId="77777777" w:rsidR="00DB1AEE" w:rsidRPr="00DB1AEE" w:rsidRDefault="00DB1AEE" w:rsidP="00DB1AEE">
            <w:pPr>
              <w:suppressAutoHyphens/>
              <w:jc w:val="center"/>
              <w:rPr>
                <w:rFonts w:cs="Arial"/>
                <w:u w:val="single"/>
              </w:rPr>
            </w:pPr>
            <w:r w:rsidRPr="00DB1AEE">
              <w:rPr>
                <w:rFonts w:cs="Arial"/>
                <w:sz w:val="18"/>
                <w:szCs w:val="18"/>
                <w:u w:val="single"/>
              </w:rPr>
              <w:t>0.032</w:t>
            </w:r>
          </w:p>
        </w:tc>
        <w:tc>
          <w:tcPr>
            <w:tcW w:w="820" w:type="dxa"/>
            <w:tcBorders>
              <w:top w:val="nil"/>
              <w:left w:val="nil"/>
              <w:bottom w:val="single" w:sz="4" w:space="0" w:color="auto"/>
              <w:right w:val="single" w:sz="4" w:space="0" w:color="auto"/>
            </w:tcBorders>
            <w:noWrap/>
            <w:vAlign w:val="center"/>
          </w:tcPr>
          <w:p w14:paraId="49A3BB9E" w14:textId="77777777" w:rsidR="00DB1AEE" w:rsidRPr="00DB1AEE" w:rsidRDefault="00DB1AEE" w:rsidP="00DB1AEE">
            <w:pPr>
              <w:suppressAutoHyphens/>
              <w:jc w:val="center"/>
              <w:rPr>
                <w:rFonts w:cs="Arial"/>
                <w:u w:val="single"/>
              </w:rPr>
            </w:pPr>
            <w:r w:rsidRPr="00DB1AEE">
              <w:rPr>
                <w:rFonts w:cs="Arial"/>
                <w:sz w:val="18"/>
                <w:szCs w:val="18"/>
                <w:u w:val="single"/>
              </w:rPr>
              <w:t>0.032</w:t>
            </w:r>
          </w:p>
        </w:tc>
        <w:tc>
          <w:tcPr>
            <w:tcW w:w="690" w:type="dxa"/>
            <w:tcBorders>
              <w:top w:val="nil"/>
              <w:left w:val="nil"/>
              <w:bottom w:val="single" w:sz="4" w:space="0" w:color="auto"/>
              <w:right w:val="single" w:sz="4" w:space="0" w:color="auto"/>
            </w:tcBorders>
            <w:noWrap/>
            <w:vAlign w:val="center"/>
          </w:tcPr>
          <w:p w14:paraId="29618320" w14:textId="77777777" w:rsidR="00DB1AEE" w:rsidRPr="00DB1AEE" w:rsidRDefault="00DB1AEE" w:rsidP="00DB1AEE">
            <w:pPr>
              <w:suppressAutoHyphens/>
              <w:jc w:val="center"/>
              <w:rPr>
                <w:rFonts w:cs="Arial"/>
                <w:u w:val="single"/>
              </w:rPr>
            </w:pPr>
            <w:r w:rsidRPr="00DB1AEE">
              <w:rPr>
                <w:rFonts w:cs="Arial"/>
                <w:sz w:val="18"/>
                <w:szCs w:val="18"/>
                <w:u w:val="single"/>
              </w:rPr>
              <w:t>0.032</w:t>
            </w:r>
          </w:p>
        </w:tc>
      </w:tr>
      <w:tr w:rsidR="00DB1AEE" w:rsidRPr="00DB1AEE" w14:paraId="220B3EC5" w14:textId="77777777" w:rsidTr="00FC1832">
        <w:trPr>
          <w:trHeight w:val="288"/>
          <w:jc w:val="center"/>
        </w:trPr>
        <w:tc>
          <w:tcPr>
            <w:tcW w:w="3843" w:type="dxa"/>
            <w:tcBorders>
              <w:top w:val="nil"/>
              <w:left w:val="single" w:sz="4" w:space="0" w:color="auto"/>
              <w:bottom w:val="single" w:sz="4" w:space="0" w:color="auto"/>
              <w:right w:val="single" w:sz="4" w:space="0" w:color="auto"/>
            </w:tcBorders>
            <w:vAlign w:val="center"/>
            <w:hideMark/>
          </w:tcPr>
          <w:p w14:paraId="477790F6" w14:textId="77777777" w:rsidR="00DB1AEE" w:rsidRPr="00DB1AEE" w:rsidRDefault="00DB1AEE" w:rsidP="00DB1AEE">
            <w:pPr>
              <w:suppressAutoHyphens/>
              <w:jc w:val="left"/>
              <w:rPr>
                <w:rFonts w:cs="Arial"/>
                <w:caps/>
                <w:sz w:val="18"/>
                <w:szCs w:val="18"/>
                <w:u w:val="single"/>
              </w:rPr>
            </w:pPr>
            <w:r w:rsidRPr="00DB1AEE">
              <w:rPr>
                <w:rFonts w:cs="Arial"/>
                <w:caps/>
                <w:sz w:val="18"/>
                <w:szCs w:val="18"/>
                <w:u w:val="single"/>
              </w:rPr>
              <w:t xml:space="preserve">Wood Frame Wall </w:t>
            </w:r>
            <w:r w:rsidRPr="00DB1AEE">
              <w:rPr>
                <w:rFonts w:cs="Arial"/>
                <w:i/>
                <w:iCs/>
                <w:caps/>
                <w:sz w:val="18"/>
                <w:szCs w:val="18"/>
                <w:u w:val="single"/>
              </w:rPr>
              <w:t>U</w:t>
            </w:r>
            <w:r w:rsidRPr="00DB1AEE">
              <w:rPr>
                <w:rFonts w:cs="Arial"/>
                <w:caps/>
                <w:sz w:val="18"/>
                <w:szCs w:val="18"/>
                <w:u w:val="single"/>
              </w:rPr>
              <w:t>-factor </w:t>
            </w:r>
          </w:p>
        </w:tc>
        <w:tc>
          <w:tcPr>
            <w:tcW w:w="2395" w:type="dxa"/>
            <w:tcBorders>
              <w:top w:val="nil"/>
              <w:left w:val="nil"/>
              <w:bottom w:val="single" w:sz="4" w:space="0" w:color="auto"/>
              <w:right w:val="single" w:sz="4" w:space="0" w:color="auto"/>
            </w:tcBorders>
            <w:vAlign w:val="center"/>
          </w:tcPr>
          <w:p w14:paraId="510115AB" w14:textId="77777777" w:rsidR="00DB1AEE" w:rsidRPr="00DB1AEE" w:rsidRDefault="00DB1AEE" w:rsidP="00DB1AEE">
            <w:pPr>
              <w:suppressAutoHyphens/>
              <w:jc w:val="center"/>
              <w:rPr>
                <w:rFonts w:cs="Arial"/>
                <w:sz w:val="18"/>
                <w:szCs w:val="18"/>
                <w:u w:val="single"/>
              </w:rPr>
            </w:pPr>
            <w:r w:rsidRPr="00DB1AEE">
              <w:rPr>
                <w:rFonts w:cs="Arial"/>
                <w:sz w:val="18"/>
                <w:szCs w:val="18"/>
                <w:u w:val="single"/>
              </w:rPr>
              <w:t>0.045</w:t>
            </w:r>
          </w:p>
        </w:tc>
        <w:tc>
          <w:tcPr>
            <w:tcW w:w="820" w:type="dxa"/>
            <w:tcBorders>
              <w:top w:val="nil"/>
              <w:left w:val="nil"/>
              <w:bottom w:val="single" w:sz="4" w:space="0" w:color="auto"/>
              <w:right w:val="single" w:sz="4" w:space="0" w:color="auto"/>
            </w:tcBorders>
            <w:vAlign w:val="center"/>
          </w:tcPr>
          <w:p w14:paraId="31A914F8" w14:textId="77777777" w:rsidR="00DB1AEE" w:rsidRPr="00DB1AEE" w:rsidRDefault="00DB1AEE" w:rsidP="00DB1AEE">
            <w:pPr>
              <w:suppressAutoHyphens/>
              <w:jc w:val="center"/>
              <w:rPr>
                <w:rFonts w:cs="Arial"/>
                <w:sz w:val="18"/>
                <w:szCs w:val="18"/>
                <w:u w:val="single"/>
              </w:rPr>
            </w:pPr>
            <w:r w:rsidRPr="00DB1AEE">
              <w:rPr>
                <w:rFonts w:cs="Arial"/>
                <w:sz w:val="18"/>
                <w:szCs w:val="18"/>
                <w:u w:val="single"/>
              </w:rPr>
              <w:t>0.045</w:t>
            </w:r>
          </w:p>
        </w:tc>
        <w:tc>
          <w:tcPr>
            <w:tcW w:w="690" w:type="dxa"/>
            <w:tcBorders>
              <w:top w:val="nil"/>
              <w:left w:val="nil"/>
              <w:bottom w:val="single" w:sz="4" w:space="0" w:color="auto"/>
              <w:right w:val="single" w:sz="4" w:space="0" w:color="auto"/>
            </w:tcBorders>
            <w:vAlign w:val="center"/>
          </w:tcPr>
          <w:p w14:paraId="3E962B63" w14:textId="77777777" w:rsidR="00DB1AEE" w:rsidRPr="00DB1AEE" w:rsidRDefault="00DB1AEE" w:rsidP="00DB1AEE">
            <w:pPr>
              <w:suppressAutoHyphens/>
              <w:jc w:val="center"/>
              <w:rPr>
                <w:rFonts w:cs="Arial"/>
                <w:sz w:val="18"/>
                <w:szCs w:val="18"/>
                <w:u w:val="single"/>
              </w:rPr>
            </w:pPr>
            <w:r w:rsidRPr="00DB1AEE">
              <w:rPr>
                <w:rFonts w:cs="Arial"/>
                <w:sz w:val="18"/>
                <w:szCs w:val="18"/>
                <w:u w:val="single"/>
              </w:rPr>
              <w:t>0.045</w:t>
            </w:r>
          </w:p>
        </w:tc>
      </w:tr>
      <w:tr w:rsidR="00DB1AEE" w:rsidRPr="00DB1AEE" w14:paraId="083B43BE" w14:textId="77777777" w:rsidTr="00FC1832">
        <w:trPr>
          <w:trHeight w:val="288"/>
          <w:jc w:val="center"/>
        </w:trPr>
        <w:tc>
          <w:tcPr>
            <w:tcW w:w="3843" w:type="dxa"/>
            <w:tcBorders>
              <w:top w:val="nil"/>
              <w:left w:val="single" w:sz="4" w:space="0" w:color="auto"/>
              <w:bottom w:val="single" w:sz="4" w:space="0" w:color="auto"/>
              <w:right w:val="single" w:sz="4" w:space="0" w:color="auto"/>
            </w:tcBorders>
            <w:vAlign w:val="center"/>
            <w:hideMark/>
          </w:tcPr>
          <w:p w14:paraId="2473E22F" w14:textId="77777777" w:rsidR="00DB1AEE" w:rsidRPr="00DB1AEE" w:rsidRDefault="00DB1AEE" w:rsidP="00DB1AEE">
            <w:pPr>
              <w:suppressAutoHyphens/>
              <w:jc w:val="left"/>
              <w:rPr>
                <w:rFonts w:cs="Arial"/>
                <w:caps/>
                <w:sz w:val="18"/>
                <w:szCs w:val="18"/>
                <w:u w:val="single"/>
              </w:rPr>
            </w:pPr>
            <w:r w:rsidRPr="00DB1AEE">
              <w:rPr>
                <w:rFonts w:cs="Arial"/>
                <w:caps/>
                <w:sz w:val="18"/>
                <w:szCs w:val="18"/>
                <w:u w:val="single"/>
              </w:rPr>
              <w:t xml:space="preserve">Mass Wall </w:t>
            </w:r>
            <w:r w:rsidRPr="00DB1AEE">
              <w:rPr>
                <w:rFonts w:cs="Arial"/>
                <w:i/>
                <w:iCs/>
                <w:caps/>
                <w:sz w:val="18"/>
                <w:szCs w:val="18"/>
                <w:u w:val="single"/>
              </w:rPr>
              <w:t>U</w:t>
            </w:r>
            <w:r w:rsidRPr="00DB1AEE">
              <w:rPr>
                <w:rFonts w:cs="Arial"/>
                <w:caps/>
                <w:sz w:val="18"/>
                <w:szCs w:val="18"/>
                <w:u w:val="single"/>
              </w:rPr>
              <w:t>-factor</w:t>
            </w:r>
            <w:r w:rsidRPr="00DB1AEE">
              <w:rPr>
                <w:rFonts w:cs="Arial"/>
                <w:sz w:val="18"/>
                <w:szCs w:val="18"/>
                <w:u w:val="single"/>
                <w:vertAlign w:val="superscript"/>
              </w:rPr>
              <w:t>b</w:t>
            </w:r>
            <w:r w:rsidRPr="00DB1AEE">
              <w:rPr>
                <w:rFonts w:cs="Arial"/>
                <w:caps/>
                <w:sz w:val="14"/>
                <w:szCs w:val="14"/>
                <w:u w:val="single"/>
              </w:rPr>
              <w:t> </w:t>
            </w:r>
          </w:p>
        </w:tc>
        <w:tc>
          <w:tcPr>
            <w:tcW w:w="2395" w:type="dxa"/>
            <w:tcBorders>
              <w:top w:val="nil"/>
              <w:left w:val="nil"/>
              <w:bottom w:val="single" w:sz="4" w:space="0" w:color="auto"/>
              <w:right w:val="single" w:sz="4" w:space="0" w:color="auto"/>
            </w:tcBorders>
            <w:vAlign w:val="center"/>
          </w:tcPr>
          <w:p w14:paraId="0CB8FE04" w14:textId="77777777" w:rsidR="00DB1AEE" w:rsidRPr="00DB1AEE" w:rsidRDefault="00DB1AEE" w:rsidP="00DB1AEE">
            <w:pPr>
              <w:suppressAutoHyphens/>
              <w:jc w:val="center"/>
              <w:rPr>
                <w:rFonts w:cs="Arial"/>
                <w:sz w:val="18"/>
                <w:szCs w:val="18"/>
                <w:u w:val="single"/>
              </w:rPr>
            </w:pPr>
            <w:r w:rsidRPr="00DB1AEE">
              <w:rPr>
                <w:rFonts w:cs="Arial"/>
                <w:sz w:val="18"/>
                <w:szCs w:val="18"/>
                <w:u w:val="single"/>
              </w:rPr>
              <w:t>0.060</w:t>
            </w:r>
          </w:p>
        </w:tc>
        <w:tc>
          <w:tcPr>
            <w:tcW w:w="820" w:type="dxa"/>
            <w:tcBorders>
              <w:top w:val="nil"/>
              <w:left w:val="nil"/>
              <w:bottom w:val="single" w:sz="4" w:space="0" w:color="auto"/>
              <w:right w:val="single" w:sz="4" w:space="0" w:color="auto"/>
            </w:tcBorders>
            <w:vAlign w:val="center"/>
          </w:tcPr>
          <w:p w14:paraId="2FF5AA3C" w14:textId="77777777" w:rsidR="00DB1AEE" w:rsidRPr="00DB1AEE" w:rsidRDefault="00DB1AEE" w:rsidP="00DB1AEE">
            <w:pPr>
              <w:suppressAutoHyphens/>
              <w:jc w:val="center"/>
              <w:rPr>
                <w:rFonts w:cs="Arial"/>
                <w:strike/>
                <w:sz w:val="18"/>
                <w:szCs w:val="18"/>
                <w:u w:val="single"/>
              </w:rPr>
            </w:pPr>
            <w:r w:rsidRPr="00DB1AEE">
              <w:rPr>
                <w:rFonts w:cs="Arial"/>
                <w:sz w:val="18"/>
                <w:szCs w:val="18"/>
                <w:u w:val="single"/>
              </w:rPr>
              <w:t>0.060</w:t>
            </w:r>
          </w:p>
        </w:tc>
        <w:tc>
          <w:tcPr>
            <w:tcW w:w="690" w:type="dxa"/>
            <w:tcBorders>
              <w:top w:val="nil"/>
              <w:left w:val="nil"/>
              <w:bottom w:val="single" w:sz="4" w:space="0" w:color="auto"/>
              <w:right w:val="single" w:sz="4" w:space="0" w:color="auto"/>
            </w:tcBorders>
            <w:vAlign w:val="center"/>
          </w:tcPr>
          <w:p w14:paraId="7E907DE9" w14:textId="77777777" w:rsidR="00DB1AEE" w:rsidRPr="00DB1AEE" w:rsidRDefault="00DB1AEE" w:rsidP="00DB1AEE">
            <w:pPr>
              <w:suppressAutoHyphens/>
              <w:jc w:val="center"/>
              <w:rPr>
                <w:rFonts w:cs="Arial"/>
                <w:sz w:val="18"/>
                <w:szCs w:val="18"/>
                <w:u w:val="single"/>
              </w:rPr>
            </w:pPr>
            <w:r w:rsidRPr="00DB1AEE">
              <w:rPr>
                <w:rFonts w:cs="Arial"/>
                <w:sz w:val="18"/>
                <w:szCs w:val="18"/>
                <w:u w:val="single"/>
              </w:rPr>
              <w:t>0.060</w:t>
            </w:r>
          </w:p>
        </w:tc>
      </w:tr>
      <w:tr w:rsidR="00DB1AEE" w:rsidRPr="00DB1AEE" w14:paraId="5677C003" w14:textId="77777777" w:rsidTr="00FC1832">
        <w:trPr>
          <w:trHeight w:val="288"/>
          <w:jc w:val="center"/>
        </w:trPr>
        <w:tc>
          <w:tcPr>
            <w:tcW w:w="3843" w:type="dxa"/>
            <w:tcBorders>
              <w:top w:val="nil"/>
              <w:left w:val="single" w:sz="4" w:space="0" w:color="auto"/>
              <w:bottom w:val="single" w:sz="4" w:space="0" w:color="auto"/>
              <w:right w:val="single" w:sz="4" w:space="0" w:color="auto"/>
            </w:tcBorders>
            <w:vAlign w:val="center"/>
            <w:hideMark/>
          </w:tcPr>
          <w:p w14:paraId="64A2794F" w14:textId="77777777" w:rsidR="00DB1AEE" w:rsidRPr="00DB1AEE" w:rsidRDefault="00DB1AEE" w:rsidP="00DB1AEE">
            <w:pPr>
              <w:suppressAutoHyphens/>
              <w:jc w:val="left"/>
              <w:rPr>
                <w:rFonts w:cs="Arial"/>
                <w:caps/>
                <w:sz w:val="18"/>
                <w:szCs w:val="18"/>
                <w:u w:val="single"/>
              </w:rPr>
            </w:pPr>
            <w:r w:rsidRPr="00DB1AEE">
              <w:rPr>
                <w:rFonts w:cs="Arial"/>
                <w:caps/>
                <w:sz w:val="18"/>
                <w:szCs w:val="18"/>
                <w:u w:val="single"/>
              </w:rPr>
              <w:t xml:space="preserve">Floor </w:t>
            </w:r>
            <w:r w:rsidRPr="00DB1AEE">
              <w:rPr>
                <w:rFonts w:cs="Arial"/>
                <w:i/>
                <w:iCs/>
                <w:caps/>
                <w:sz w:val="18"/>
                <w:szCs w:val="18"/>
                <w:u w:val="single"/>
              </w:rPr>
              <w:t>U</w:t>
            </w:r>
            <w:r w:rsidRPr="00DB1AEE">
              <w:rPr>
                <w:rFonts w:cs="Arial"/>
                <w:caps/>
                <w:sz w:val="18"/>
                <w:szCs w:val="18"/>
                <w:u w:val="single"/>
              </w:rPr>
              <w:t>-factor </w:t>
            </w:r>
          </w:p>
        </w:tc>
        <w:tc>
          <w:tcPr>
            <w:tcW w:w="2395" w:type="dxa"/>
            <w:tcBorders>
              <w:top w:val="nil"/>
              <w:left w:val="nil"/>
              <w:bottom w:val="single" w:sz="4" w:space="0" w:color="auto"/>
              <w:right w:val="single" w:sz="4" w:space="0" w:color="auto"/>
            </w:tcBorders>
            <w:vAlign w:val="center"/>
          </w:tcPr>
          <w:p w14:paraId="4814A8C3" w14:textId="77777777" w:rsidR="00DB1AEE" w:rsidRPr="00DB1AEE" w:rsidRDefault="00DB1AEE" w:rsidP="00DB1AEE">
            <w:pPr>
              <w:suppressAutoHyphens/>
              <w:jc w:val="center"/>
              <w:rPr>
                <w:rFonts w:cs="Arial"/>
                <w:sz w:val="18"/>
                <w:szCs w:val="18"/>
                <w:u w:val="single"/>
              </w:rPr>
            </w:pPr>
            <w:r w:rsidRPr="00DB1AEE">
              <w:rPr>
                <w:rFonts w:cs="Arial"/>
                <w:sz w:val="18"/>
                <w:szCs w:val="18"/>
                <w:u w:val="single"/>
              </w:rPr>
              <w:t>0.033</w:t>
            </w:r>
          </w:p>
        </w:tc>
        <w:tc>
          <w:tcPr>
            <w:tcW w:w="820" w:type="dxa"/>
            <w:tcBorders>
              <w:top w:val="nil"/>
              <w:left w:val="nil"/>
              <w:bottom w:val="single" w:sz="4" w:space="0" w:color="auto"/>
              <w:right w:val="single" w:sz="4" w:space="0" w:color="auto"/>
            </w:tcBorders>
            <w:vAlign w:val="center"/>
          </w:tcPr>
          <w:p w14:paraId="5B9B0B3E" w14:textId="77777777" w:rsidR="00DB1AEE" w:rsidRPr="00DB1AEE" w:rsidRDefault="00DB1AEE" w:rsidP="00DB1AEE">
            <w:pPr>
              <w:suppressAutoHyphens/>
              <w:jc w:val="center"/>
              <w:rPr>
                <w:rFonts w:cs="Arial"/>
                <w:sz w:val="18"/>
                <w:szCs w:val="18"/>
                <w:u w:val="single"/>
              </w:rPr>
            </w:pPr>
            <w:r w:rsidRPr="00DB1AEE">
              <w:rPr>
                <w:rFonts w:cs="Arial"/>
                <w:sz w:val="18"/>
                <w:szCs w:val="18"/>
                <w:u w:val="single"/>
              </w:rPr>
              <w:t>0.033</w:t>
            </w:r>
          </w:p>
        </w:tc>
        <w:tc>
          <w:tcPr>
            <w:tcW w:w="690" w:type="dxa"/>
            <w:tcBorders>
              <w:top w:val="nil"/>
              <w:left w:val="nil"/>
              <w:bottom w:val="single" w:sz="4" w:space="0" w:color="auto"/>
              <w:right w:val="single" w:sz="4" w:space="0" w:color="auto"/>
            </w:tcBorders>
            <w:vAlign w:val="center"/>
          </w:tcPr>
          <w:p w14:paraId="660B3186" w14:textId="77777777" w:rsidR="00DB1AEE" w:rsidRPr="00DB1AEE" w:rsidRDefault="00DB1AEE" w:rsidP="00DB1AEE">
            <w:pPr>
              <w:suppressAutoHyphens/>
              <w:jc w:val="center"/>
              <w:rPr>
                <w:rFonts w:cs="Arial"/>
                <w:sz w:val="18"/>
                <w:szCs w:val="18"/>
                <w:u w:val="single"/>
              </w:rPr>
            </w:pPr>
            <w:r w:rsidRPr="00DB1AEE">
              <w:rPr>
                <w:rFonts w:cs="Arial"/>
                <w:sz w:val="18"/>
                <w:szCs w:val="18"/>
                <w:u w:val="single"/>
              </w:rPr>
              <w:t>0.033</w:t>
            </w:r>
          </w:p>
        </w:tc>
      </w:tr>
      <w:tr w:rsidR="00DB1AEE" w:rsidRPr="00DB1AEE" w14:paraId="0947E986" w14:textId="77777777" w:rsidTr="00FC1832">
        <w:trPr>
          <w:trHeight w:val="288"/>
          <w:jc w:val="center"/>
        </w:trPr>
        <w:tc>
          <w:tcPr>
            <w:tcW w:w="3843" w:type="dxa"/>
            <w:tcBorders>
              <w:top w:val="nil"/>
              <w:left w:val="single" w:sz="4" w:space="0" w:color="auto"/>
              <w:bottom w:val="single" w:sz="4" w:space="0" w:color="auto"/>
              <w:right w:val="single" w:sz="4" w:space="0" w:color="auto"/>
            </w:tcBorders>
            <w:vAlign w:val="center"/>
            <w:hideMark/>
          </w:tcPr>
          <w:p w14:paraId="4B0E273A" w14:textId="77777777" w:rsidR="00DB1AEE" w:rsidRPr="00DB1AEE" w:rsidRDefault="00DB1AEE" w:rsidP="00DB1AEE">
            <w:pPr>
              <w:suppressAutoHyphens/>
              <w:jc w:val="left"/>
              <w:rPr>
                <w:rFonts w:cs="Arial"/>
                <w:caps/>
                <w:sz w:val="18"/>
                <w:szCs w:val="18"/>
                <w:u w:val="single"/>
              </w:rPr>
            </w:pPr>
            <w:r w:rsidRPr="00DB1AEE">
              <w:rPr>
                <w:rFonts w:cs="Arial"/>
                <w:caps/>
                <w:sz w:val="18"/>
                <w:szCs w:val="18"/>
                <w:u w:val="single"/>
              </w:rPr>
              <w:t xml:space="preserve">Below-grade Wall </w:t>
            </w:r>
            <w:r w:rsidRPr="00DB1AEE">
              <w:rPr>
                <w:rFonts w:cs="Arial"/>
                <w:i/>
                <w:iCs/>
                <w:caps/>
                <w:sz w:val="18"/>
                <w:szCs w:val="18"/>
                <w:u w:val="single"/>
              </w:rPr>
              <w:t>U</w:t>
            </w:r>
            <w:r w:rsidRPr="00DB1AEE">
              <w:rPr>
                <w:rFonts w:cs="Arial"/>
                <w:caps/>
                <w:sz w:val="18"/>
                <w:szCs w:val="18"/>
                <w:u w:val="single"/>
              </w:rPr>
              <w:t>-factor </w:t>
            </w:r>
          </w:p>
        </w:tc>
        <w:tc>
          <w:tcPr>
            <w:tcW w:w="2395" w:type="dxa"/>
            <w:tcBorders>
              <w:top w:val="nil"/>
              <w:left w:val="nil"/>
              <w:bottom w:val="single" w:sz="4" w:space="0" w:color="auto"/>
              <w:right w:val="single" w:sz="4" w:space="0" w:color="auto"/>
            </w:tcBorders>
            <w:vAlign w:val="center"/>
          </w:tcPr>
          <w:p w14:paraId="7903CABC" w14:textId="77777777" w:rsidR="00DB1AEE" w:rsidRPr="00DB1AEE" w:rsidRDefault="00DB1AEE" w:rsidP="00DB1AEE">
            <w:pPr>
              <w:suppressAutoHyphens/>
              <w:jc w:val="center"/>
              <w:rPr>
                <w:rFonts w:cs="Arial"/>
                <w:sz w:val="18"/>
                <w:szCs w:val="18"/>
                <w:u w:val="single"/>
              </w:rPr>
            </w:pPr>
            <w:r w:rsidRPr="00DB1AEE">
              <w:rPr>
                <w:rFonts w:cs="Arial"/>
                <w:sz w:val="18"/>
                <w:szCs w:val="18"/>
                <w:u w:val="single"/>
              </w:rPr>
              <w:t>0.050</w:t>
            </w:r>
          </w:p>
        </w:tc>
        <w:tc>
          <w:tcPr>
            <w:tcW w:w="820" w:type="dxa"/>
            <w:tcBorders>
              <w:top w:val="nil"/>
              <w:left w:val="nil"/>
              <w:bottom w:val="single" w:sz="4" w:space="0" w:color="auto"/>
              <w:right w:val="single" w:sz="4" w:space="0" w:color="auto"/>
            </w:tcBorders>
            <w:vAlign w:val="center"/>
          </w:tcPr>
          <w:p w14:paraId="2185995E" w14:textId="77777777" w:rsidR="00DB1AEE" w:rsidRPr="00DB1AEE" w:rsidRDefault="00DB1AEE" w:rsidP="00DB1AEE">
            <w:pPr>
              <w:suppressAutoHyphens/>
              <w:jc w:val="center"/>
              <w:rPr>
                <w:rFonts w:cs="Arial"/>
                <w:sz w:val="18"/>
                <w:szCs w:val="18"/>
                <w:u w:val="single"/>
              </w:rPr>
            </w:pPr>
            <w:r w:rsidRPr="00DB1AEE">
              <w:rPr>
                <w:rFonts w:cs="Arial"/>
                <w:sz w:val="18"/>
                <w:szCs w:val="18"/>
                <w:u w:val="single"/>
              </w:rPr>
              <w:t>0.050</w:t>
            </w:r>
          </w:p>
        </w:tc>
        <w:tc>
          <w:tcPr>
            <w:tcW w:w="690" w:type="dxa"/>
            <w:tcBorders>
              <w:top w:val="nil"/>
              <w:left w:val="nil"/>
              <w:bottom w:val="single" w:sz="4" w:space="0" w:color="auto"/>
              <w:right w:val="single" w:sz="4" w:space="0" w:color="auto"/>
            </w:tcBorders>
            <w:vAlign w:val="center"/>
          </w:tcPr>
          <w:p w14:paraId="1D59636C" w14:textId="77777777" w:rsidR="00DB1AEE" w:rsidRPr="00DB1AEE" w:rsidRDefault="00DB1AEE" w:rsidP="00DB1AEE">
            <w:pPr>
              <w:suppressAutoHyphens/>
              <w:jc w:val="center"/>
              <w:rPr>
                <w:rFonts w:cs="Arial"/>
                <w:sz w:val="18"/>
                <w:szCs w:val="18"/>
                <w:u w:val="single"/>
              </w:rPr>
            </w:pPr>
            <w:r w:rsidRPr="00DB1AEE">
              <w:rPr>
                <w:rFonts w:cs="Arial"/>
                <w:sz w:val="18"/>
                <w:szCs w:val="18"/>
                <w:u w:val="single"/>
              </w:rPr>
              <w:t>0.050</w:t>
            </w:r>
          </w:p>
        </w:tc>
      </w:tr>
      <w:tr w:rsidR="00DB1AEE" w:rsidRPr="00DB1AEE" w14:paraId="14BF4FC2" w14:textId="77777777" w:rsidTr="00FC1832">
        <w:trPr>
          <w:trHeight w:val="288"/>
          <w:jc w:val="center"/>
        </w:trPr>
        <w:tc>
          <w:tcPr>
            <w:tcW w:w="3843" w:type="dxa"/>
            <w:tcBorders>
              <w:top w:val="nil"/>
              <w:left w:val="single" w:sz="4" w:space="0" w:color="auto"/>
              <w:bottom w:val="single" w:sz="4" w:space="0" w:color="auto"/>
              <w:right w:val="single" w:sz="4" w:space="0" w:color="auto"/>
            </w:tcBorders>
            <w:vAlign w:val="center"/>
            <w:hideMark/>
          </w:tcPr>
          <w:p w14:paraId="26D67181" w14:textId="77777777" w:rsidR="00DB1AEE" w:rsidRPr="00DB1AEE" w:rsidRDefault="00DB1AEE" w:rsidP="00DB1AEE">
            <w:pPr>
              <w:suppressAutoHyphens/>
              <w:jc w:val="left"/>
              <w:rPr>
                <w:rFonts w:cs="Arial"/>
                <w:caps/>
                <w:sz w:val="18"/>
                <w:szCs w:val="18"/>
                <w:u w:val="single"/>
                <w:vertAlign w:val="superscript"/>
              </w:rPr>
            </w:pPr>
            <w:r w:rsidRPr="00DB1AEE">
              <w:rPr>
                <w:rFonts w:cs="Arial"/>
                <w:caps/>
                <w:sz w:val="18"/>
                <w:szCs w:val="18"/>
                <w:u w:val="single"/>
              </w:rPr>
              <w:t xml:space="preserve">Unheated Slab </w:t>
            </w:r>
            <w:r w:rsidRPr="00DB1AEE">
              <w:rPr>
                <w:rFonts w:cs="Arial"/>
                <w:i/>
                <w:iCs/>
                <w:caps/>
                <w:sz w:val="18"/>
                <w:szCs w:val="18"/>
                <w:u w:val="single"/>
              </w:rPr>
              <w:t>F</w:t>
            </w:r>
            <w:r w:rsidRPr="00DB1AEE">
              <w:rPr>
                <w:rFonts w:cs="Arial"/>
                <w:caps/>
                <w:sz w:val="18"/>
                <w:szCs w:val="18"/>
                <w:u w:val="single"/>
              </w:rPr>
              <w:t>-Factor</w:t>
            </w:r>
            <w:r w:rsidRPr="00DB1AEE">
              <w:rPr>
                <w:rFonts w:cs="Arial"/>
                <w:sz w:val="18"/>
                <w:szCs w:val="18"/>
                <w:u w:val="single"/>
                <w:vertAlign w:val="superscript"/>
              </w:rPr>
              <w:t>d</w:t>
            </w:r>
          </w:p>
        </w:tc>
        <w:tc>
          <w:tcPr>
            <w:tcW w:w="2395" w:type="dxa"/>
            <w:tcBorders>
              <w:top w:val="nil"/>
              <w:left w:val="nil"/>
              <w:bottom w:val="single" w:sz="4" w:space="0" w:color="auto"/>
              <w:right w:val="single" w:sz="4" w:space="0" w:color="auto"/>
            </w:tcBorders>
            <w:noWrap/>
            <w:vAlign w:val="center"/>
          </w:tcPr>
          <w:p w14:paraId="0BCD21B5" w14:textId="77777777" w:rsidR="00DB1AEE" w:rsidRPr="00DB1AEE" w:rsidRDefault="00DB1AEE" w:rsidP="00DB1AEE">
            <w:pPr>
              <w:suppressAutoHyphens/>
              <w:jc w:val="center"/>
              <w:rPr>
                <w:rFonts w:cs="Arial"/>
                <w:u w:val="single"/>
              </w:rPr>
            </w:pPr>
            <w:r w:rsidRPr="00DB1AEE">
              <w:rPr>
                <w:rFonts w:cs="Arial"/>
                <w:sz w:val="18"/>
                <w:szCs w:val="18"/>
                <w:u w:val="single"/>
              </w:rPr>
              <w:t>0.48</w:t>
            </w:r>
          </w:p>
        </w:tc>
        <w:tc>
          <w:tcPr>
            <w:tcW w:w="820" w:type="dxa"/>
            <w:tcBorders>
              <w:top w:val="nil"/>
              <w:left w:val="nil"/>
              <w:bottom w:val="single" w:sz="4" w:space="0" w:color="auto"/>
              <w:right w:val="single" w:sz="4" w:space="0" w:color="auto"/>
            </w:tcBorders>
            <w:noWrap/>
            <w:vAlign w:val="center"/>
          </w:tcPr>
          <w:p w14:paraId="5792C6F0" w14:textId="77777777" w:rsidR="00DB1AEE" w:rsidRPr="00DB1AEE" w:rsidRDefault="00DB1AEE" w:rsidP="00DB1AEE">
            <w:pPr>
              <w:suppressAutoHyphens/>
              <w:jc w:val="center"/>
              <w:rPr>
                <w:rFonts w:cs="Arial"/>
                <w:u w:val="single"/>
              </w:rPr>
            </w:pPr>
            <w:r w:rsidRPr="00DB1AEE">
              <w:rPr>
                <w:rFonts w:cs="Arial"/>
                <w:sz w:val="18"/>
                <w:szCs w:val="18"/>
                <w:u w:val="single"/>
              </w:rPr>
              <w:t>0.48</w:t>
            </w:r>
          </w:p>
        </w:tc>
        <w:tc>
          <w:tcPr>
            <w:tcW w:w="690" w:type="dxa"/>
            <w:tcBorders>
              <w:top w:val="nil"/>
              <w:left w:val="nil"/>
              <w:bottom w:val="single" w:sz="4" w:space="0" w:color="auto"/>
              <w:right w:val="single" w:sz="4" w:space="0" w:color="auto"/>
            </w:tcBorders>
            <w:noWrap/>
            <w:vAlign w:val="center"/>
          </w:tcPr>
          <w:p w14:paraId="34E6C925" w14:textId="77777777" w:rsidR="00DB1AEE" w:rsidRPr="00DB1AEE" w:rsidRDefault="00DB1AEE" w:rsidP="00DB1AEE">
            <w:pPr>
              <w:suppressAutoHyphens/>
              <w:jc w:val="center"/>
              <w:rPr>
                <w:rFonts w:cs="Arial"/>
                <w:u w:val="single"/>
              </w:rPr>
            </w:pPr>
            <w:r w:rsidRPr="00DB1AEE">
              <w:rPr>
                <w:rFonts w:cs="Arial"/>
                <w:sz w:val="18"/>
                <w:szCs w:val="18"/>
                <w:u w:val="single"/>
              </w:rPr>
              <w:t>0.48</w:t>
            </w:r>
          </w:p>
        </w:tc>
      </w:tr>
      <w:tr w:rsidR="00DB1AEE" w:rsidRPr="00DB1AEE" w14:paraId="0C25B4C9" w14:textId="77777777" w:rsidTr="00FC1832">
        <w:trPr>
          <w:trHeight w:val="288"/>
          <w:jc w:val="center"/>
        </w:trPr>
        <w:tc>
          <w:tcPr>
            <w:tcW w:w="3843" w:type="dxa"/>
            <w:tcBorders>
              <w:top w:val="nil"/>
              <w:left w:val="single" w:sz="4" w:space="0" w:color="auto"/>
              <w:bottom w:val="single" w:sz="4" w:space="0" w:color="auto"/>
              <w:right w:val="single" w:sz="4" w:space="0" w:color="auto"/>
            </w:tcBorders>
            <w:vAlign w:val="center"/>
            <w:hideMark/>
          </w:tcPr>
          <w:p w14:paraId="0A638B9D" w14:textId="77777777" w:rsidR="00DB1AEE" w:rsidRPr="00DB1AEE" w:rsidRDefault="00DB1AEE" w:rsidP="00DB1AEE">
            <w:pPr>
              <w:suppressAutoHyphens/>
              <w:jc w:val="left"/>
              <w:rPr>
                <w:rFonts w:cs="Arial"/>
                <w:caps/>
                <w:sz w:val="18"/>
                <w:szCs w:val="18"/>
                <w:u w:val="single"/>
              </w:rPr>
            </w:pPr>
            <w:r w:rsidRPr="00DB1AEE">
              <w:rPr>
                <w:rFonts w:cs="Arial"/>
                <w:caps/>
                <w:sz w:val="18"/>
                <w:szCs w:val="18"/>
                <w:u w:val="single"/>
              </w:rPr>
              <w:t xml:space="preserve">Heated Slab </w:t>
            </w:r>
            <w:r w:rsidRPr="00DB1AEE">
              <w:rPr>
                <w:rFonts w:cs="Arial"/>
                <w:i/>
                <w:iCs/>
                <w:caps/>
                <w:sz w:val="18"/>
                <w:szCs w:val="18"/>
                <w:u w:val="single"/>
              </w:rPr>
              <w:t>F</w:t>
            </w:r>
            <w:r w:rsidRPr="00DB1AEE">
              <w:rPr>
                <w:rFonts w:cs="Arial"/>
                <w:caps/>
                <w:sz w:val="18"/>
                <w:szCs w:val="18"/>
                <w:u w:val="single"/>
              </w:rPr>
              <w:t>-Factor</w:t>
            </w:r>
            <w:r w:rsidRPr="00DB1AEE">
              <w:rPr>
                <w:rFonts w:cs="Arial"/>
                <w:sz w:val="18"/>
                <w:szCs w:val="18"/>
                <w:u w:val="single"/>
                <w:vertAlign w:val="superscript"/>
              </w:rPr>
              <w:t>d</w:t>
            </w:r>
          </w:p>
        </w:tc>
        <w:tc>
          <w:tcPr>
            <w:tcW w:w="2395" w:type="dxa"/>
            <w:tcBorders>
              <w:top w:val="nil"/>
              <w:left w:val="nil"/>
              <w:bottom w:val="single" w:sz="4" w:space="0" w:color="auto"/>
              <w:right w:val="single" w:sz="4" w:space="0" w:color="auto"/>
            </w:tcBorders>
            <w:noWrap/>
            <w:vAlign w:val="center"/>
          </w:tcPr>
          <w:p w14:paraId="27EFBA1D" w14:textId="77777777" w:rsidR="00DB1AEE" w:rsidRPr="00DB1AEE" w:rsidRDefault="00DB1AEE" w:rsidP="00DB1AEE">
            <w:pPr>
              <w:suppressAutoHyphens/>
              <w:jc w:val="center"/>
              <w:rPr>
                <w:rFonts w:cs="Arial"/>
                <w:u w:val="single"/>
              </w:rPr>
            </w:pPr>
            <w:r w:rsidRPr="00DB1AEE">
              <w:rPr>
                <w:rFonts w:cs="Arial"/>
                <w:sz w:val="18"/>
                <w:szCs w:val="18"/>
                <w:u w:val="single"/>
              </w:rPr>
              <w:t>0.55</w:t>
            </w:r>
          </w:p>
        </w:tc>
        <w:tc>
          <w:tcPr>
            <w:tcW w:w="820" w:type="dxa"/>
            <w:tcBorders>
              <w:top w:val="nil"/>
              <w:left w:val="nil"/>
              <w:bottom w:val="single" w:sz="4" w:space="0" w:color="auto"/>
              <w:right w:val="single" w:sz="4" w:space="0" w:color="auto"/>
            </w:tcBorders>
            <w:noWrap/>
            <w:vAlign w:val="center"/>
          </w:tcPr>
          <w:p w14:paraId="32C3A73A" w14:textId="77777777" w:rsidR="00DB1AEE" w:rsidRPr="00DB1AEE" w:rsidRDefault="00DB1AEE" w:rsidP="00DB1AEE">
            <w:pPr>
              <w:suppressAutoHyphens/>
              <w:jc w:val="center"/>
              <w:rPr>
                <w:rFonts w:cs="Arial"/>
                <w:u w:val="single"/>
              </w:rPr>
            </w:pPr>
            <w:r w:rsidRPr="00DB1AEE">
              <w:rPr>
                <w:rFonts w:cs="Arial"/>
                <w:sz w:val="18"/>
                <w:szCs w:val="18"/>
                <w:u w:val="single"/>
              </w:rPr>
              <w:t>0.55</w:t>
            </w:r>
          </w:p>
        </w:tc>
        <w:tc>
          <w:tcPr>
            <w:tcW w:w="690" w:type="dxa"/>
            <w:tcBorders>
              <w:top w:val="nil"/>
              <w:left w:val="nil"/>
              <w:bottom w:val="single" w:sz="4" w:space="0" w:color="auto"/>
              <w:right w:val="single" w:sz="4" w:space="0" w:color="auto"/>
            </w:tcBorders>
            <w:noWrap/>
            <w:vAlign w:val="center"/>
          </w:tcPr>
          <w:p w14:paraId="16F33ADC" w14:textId="77777777" w:rsidR="00DB1AEE" w:rsidRPr="00DB1AEE" w:rsidRDefault="00DB1AEE" w:rsidP="00DB1AEE">
            <w:pPr>
              <w:suppressAutoHyphens/>
              <w:jc w:val="center"/>
              <w:rPr>
                <w:rFonts w:cs="Arial"/>
                <w:u w:val="single"/>
              </w:rPr>
            </w:pPr>
            <w:r w:rsidRPr="00DB1AEE">
              <w:rPr>
                <w:rFonts w:cs="Arial"/>
                <w:sz w:val="18"/>
                <w:szCs w:val="18"/>
                <w:u w:val="single"/>
              </w:rPr>
              <w:t>0.55</w:t>
            </w:r>
          </w:p>
        </w:tc>
      </w:tr>
      <w:tr w:rsidR="00DB1AEE" w:rsidRPr="00DB1AEE" w14:paraId="6ECA0623" w14:textId="77777777" w:rsidTr="00FC1832">
        <w:trPr>
          <w:trHeight w:val="288"/>
          <w:jc w:val="center"/>
        </w:trPr>
        <w:tc>
          <w:tcPr>
            <w:tcW w:w="3843" w:type="dxa"/>
            <w:tcBorders>
              <w:top w:val="nil"/>
              <w:left w:val="single" w:sz="4" w:space="0" w:color="auto"/>
              <w:bottom w:val="single" w:sz="4" w:space="0" w:color="auto"/>
              <w:right w:val="single" w:sz="4" w:space="0" w:color="auto"/>
            </w:tcBorders>
            <w:vAlign w:val="center"/>
            <w:hideMark/>
          </w:tcPr>
          <w:p w14:paraId="1D95329A" w14:textId="77777777" w:rsidR="00DB1AEE" w:rsidRPr="00DB1AEE" w:rsidRDefault="00DB1AEE" w:rsidP="00DB1AEE">
            <w:pPr>
              <w:suppressAutoHyphens/>
              <w:jc w:val="left"/>
              <w:rPr>
                <w:rFonts w:cs="Arial"/>
                <w:caps/>
                <w:sz w:val="18"/>
                <w:szCs w:val="18"/>
                <w:u w:val="single"/>
              </w:rPr>
            </w:pPr>
            <w:r w:rsidRPr="00DB1AEE">
              <w:rPr>
                <w:rFonts w:cs="Arial"/>
                <w:caps/>
                <w:sz w:val="18"/>
                <w:szCs w:val="18"/>
                <w:u w:val="single"/>
              </w:rPr>
              <w:t xml:space="preserve">Crawl Space Wall </w:t>
            </w:r>
            <w:r w:rsidRPr="00DB1AEE">
              <w:rPr>
                <w:rFonts w:cs="Arial"/>
                <w:i/>
                <w:iCs/>
                <w:caps/>
                <w:sz w:val="18"/>
                <w:szCs w:val="18"/>
                <w:u w:val="single"/>
              </w:rPr>
              <w:t>U</w:t>
            </w:r>
            <w:r w:rsidRPr="00DB1AEE">
              <w:rPr>
                <w:rFonts w:cs="Arial"/>
                <w:caps/>
                <w:sz w:val="18"/>
                <w:szCs w:val="18"/>
                <w:u w:val="single"/>
              </w:rPr>
              <w:t>-factor </w:t>
            </w:r>
          </w:p>
        </w:tc>
        <w:tc>
          <w:tcPr>
            <w:tcW w:w="2395" w:type="dxa"/>
            <w:tcBorders>
              <w:top w:val="nil"/>
              <w:left w:val="nil"/>
              <w:bottom w:val="single" w:sz="4" w:space="0" w:color="auto"/>
              <w:right w:val="single" w:sz="4" w:space="0" w:color="auto"/>
            </w:tcBorders>
            <w:vAlign w:val="center"/>
          </w:tcPr>
          <w:p w14:paraId="7FC2FE88" w14:textId="77777777" w:rsidR="00DB1AEE" w:rsidRPr="00DB1AEE" w:rsidRDefault="00DB1AEE" w:rsidP="00DB1AEE">
            <w:pPr>
              <w:suppressAutoHyphens/>
              <w:jc w:val="center"/>
              <w:rPr>
                <w:rFonts w:cs="Arial"/>
                <w:sz w:val="18"/>
                <w:szCs w:val="18"/>
                <w:u w:val="single"/>
              </w:rPr>
            </w:pPr>
            <w:r w:rsidRPr="00DB1AEE">
              <w:rPr>
                <w:rFonts w:cs="Arial"/>
                <w:sz w:val="18"/>
                <w:szCs w:val="18"/>
                <w:u w:val="single"/>
              </w:rPr>
              <w:t>0.055</w:t>
            </w:r>
          </w:p>
        </w:tc>
        <w:tc>
          <w:tcPr>
            <w:tcW w:w="820" w:type="dxa"/>
            <w:tcBorders>
              <w:top w:val="nil"/>
              <w:left w:val="nil"/>
              <w:bottom w:val="single" w:sz="4" w:space="0" w:color="auto"/>
              <w:right w:val="single" w:sz="4" w:space="0" w:color="auto"/>
            </w:tcBorders>
            <w:vAlign w:val="center"/>
          </w:tcPr>
          <w:p w14:paraId="76AB9745" w14:textId="77777777" w:rsidR="00DB1AEE" w:rsidRPr="00DB1AEE" w:rsidRDefault="00DB1AEE" w:rsidP="00DB1AEE">
            <w:pPr>
              <w:suppressAutoHyphens/>
              <w:jc w:val="center"/>
              <w:rPr>
                <w:rFonts w:cs="Arial"/>
                <w:sz w:val="18"/>
                <w:szCs w:val="18"/>
                <w:u w:val="single"/>
              </w:rPr>
            </w:pPr>
            <w:r w:rsidRPr="00DB1AEE">
              <w:rPr>
                <w:rFonts w:cs="Arial"/>
                <w:sz w:val="18"/>
                <w:szCs w:val="18"/>
                <w:u w:val="single"/>
              </w:rPr>
              <w:t>0.055</w:t>
            </w:r>
          </w:p>
        </w:tc>
        <w:tc>
          <w:tcPr>
            <w:tcW w:w="690" w:type="dxa"/>
            <w:tcBorders>
              <w:top w:val="nil"/>
              <w:left w:val="nil"/>
              <w:bottom w:val="single" w:sz="4" w:space="0" w:color="auto"/>
              <w:right w:val="single" w:sz="4" w:space="0" w:color="auto"/>
            </w:tcBorders>
            <w:vAlign w:val="center"/>
          </w:tcPr>
          <w:p w14:paraId="2FD7399D" w14:textId="77777777" w:rsidR="00DB1AEE" w:rsidRPr="00DB1AEE" w:rsidRDefault="00DB1AEE" w:rsidP="00DB1AEE">
            <w:pPr>
              <w:suppressAutoHyphens/>
              <w:jc w:val="center"/>
              <w:rPr>
                <w:rFonts w:cs="Arial"/>
                <w:sz w:val="18"/>
                <w:szCs w:val="18"/>
                <w:u w:val="single"/>
              </w:rPr>
            </w:pPr>
            <w:r w:rsidRPr="00DB1AEE">
              <w:rPr>
                <w:rFonts w:cs="Arial"/>
                <w:sz w:val="18"/>
                <w:szCs w:val="18"/>
                <w:u w:val="single"/>
              </w:rPr>
              <w:t>0.055</w:t>
            </w:r>
          </w:p>
        </w:tc>
      </w:tr>
    </w:tbl>
    <w:p w14:paraId="575A5F34" w14:textId="77777777" w:rsidR="00DB1AEE" w:rsidRPr="00DB1AEE" w:rsidRDefault="00DB1AEE" w:rsidP="00DB1AEE">
      <w:pPr>
        <w:widowControl w:val="0"/>
        <w:suppressAutoHyphens/>
        <w:autoSpaceDE w:val="0"/>
        <w:autoSpaceDN w:val="0"/>
        <w:adjustRightInd w:val="0"/>
        <w:spacing w:before="130" w:after="130"/>
        <w:ind w:left="360"/>
        <w:rPr>
          <w:sz w:val="18"/>
          <w:szCs w:val="14"/>
          <w:u w:val="single"/>
        </w:rPr>
      </w:pPr>
      <w:r w:rsidRPr="00DB1AEE">
        <w:rPr>
          <w:sz w:val="18"/>
          <w:szCs w:val="14"/>
          <w:u w:val="single"/>
        </w:rPr>
        <w:t>For SI: 1 foot = 304.8 mm.</w:t>
      </w:r>
    </w:p>
    <w:p w14:paraId="41033CB6" w14:textId="77777777" w:rsidR="00DB1AEE" w:rsidRPr="00DB1AEE" w:rsidRDefault="00DB1AEE" w:rsidP="00DB1AEE">
      <w:pPr>
        <w:widowControl w:val="0"/>
        <w:suppressAutoHyphens/>
        <w:autoSpaceDE w:val="0"/>
        <w:autoSpaceDN w:val="0"/>
        <w:adjustRightInd w:val="0"/>
        <w:ind w:left="360"/>
        <w:rPr>
          <w:sz w:val="18"/>
          <w:szCs w:val="14"/>
          <w:u w:val="single"/>
        </w:rPr>
      </w:pPr>
      <w:r w:rsidRPr="00DB1AEE">
        <w:rPr>
          <w:sz w:val="18"/>
          <w:szCs w:val="14"/>
          <w:u w:val="single"/>
        </w:rPr>
        <w:t>a.</w:t>
      </w:r>
      <w:r w:rsidRPr="00DB1AEE">
        <w:rPr>
          <w:sz w:val="18"/>
          <w:szCs w:val="14"/>
          <w:u w:val="single"/>
        </w:rPr>
        <w:tab/>
        <w:t>Nonfenestration U-factors and F-factors shall be obtained from measurement, calculation, an approved source, or Appendix RF where such appendix is adopted or approved.</w:t>
      </w:r>
    </w:p>
    <w:p w14:paraId="343CDE65" w14:textId="77777777" w:rsidR="00DB1AEE" w:rsidRPr="00DB1AEE" w:rsidRDefault="00DB1AEE" w:rsidP="00DB1AEE">
      <w:pPr>
        <w:widowControl w:val="0"/>
        <w:suppressAutoHyphens/>
        <w:autoSpaceDE w:val="0"/>
        <w:autoSpaceDN w:val="0"/>
        <w:adjustRightInd w:val="0"/>
        <w:ind w:left="360"/>
        <w:rPr>
          <w:sz w:val="18"/>
          <w:szCs w:val="14"/>
          <w:u w:val="single"/>
        </w:rPr>
      </w:pPr>
      <w:r w:rsidRPr="00DB1AEE">
        <w:rPr>
          <w:sz w:val="18"/>
          <w:szCs w:val="14"/>
          <w:u w:val="single"/>
        </w:rPr>
        <w:t>b.</w:t>
      </w:r>
      <w:r w:rsidRPr="00DB1AEE">
        <w:rPr>
          <w:sz w:val="18"/>
          <w:szCs w:val="14"/>
          <w:u w:val="single"/>
        </w:rPr>
        <w:tab/>
        <w:t>Mass walls shall be in accordance with Section R402.2.6. Where more than half the insulation is on the interior, the mass wall U-factor shall not exceed 0.56.</w:t>
      </w:r>
    </w:p>
    <w:p w14:paraId="1E2C9F16" w14:textId="77777777" w:rsidR="00DB1AEE" w:rsidRPr="00DB1AEE" w:rsidRDefault="00DB1AEE" w:rsidP="00DB1AEE">
      <w:pPr>
        <w:widowControl w:val="0"/>
        <w:suppressAutoHyphens/>
        <w:autoSpaceDE w:val="0"/>
        <w:autoSpaceDN w:val="0"/>
        <w:adjustRightInd w:val="0"/>
        <w:ind w:left="360"/>
        <w:rPr>
          <w:sz w:val="18"/>
          <w:szCs w:val="14"/>
          <w:u w:val="single"/>
        </w:rPr>
      </w:pPr>
      <w:r w:rsidRPr="00DB1AEE">
        <w:rPr>
          <w:sz w:val="18"/>
          <w:szCs w:val="14"/>
          <w:u w:val="single"/>
        </w:rPr>
        <w:t>c.</w:t>
      </w:r>
      <w:r w:rsidRPr="00DB1AEE">
        <w:rPr>
          <w:sz w:val="18"/>
          <w:szCs w:val="14"/>
          <w:u w:val="single"/>
        </w:rPr>
        <w:tab/>
        <w:t>Reserved</w:t>
      </w:r>
    </w:p>
    <w:p w14:paraId="30DFD307" w14:textId="77777777" w:rsidR="00DB1AEE" w:rsidRPr="00DB1AEE" w:rsidRDefault="00DB1AEE" w:rsidP="00DB1AEE">
      <w:pPr>
        <w:widowControl w:val="0"/>
        <w:suppressAutoHyphens/>
        <w:autoSpaceDE w:val="0"/>
        <w:autoSpaceDN w:val="0"/>
        <w:adjustRightInd w:val="0"/>
        <w:ind w:left="360"/>
        <w:rPr>
          <w:sz w:val="18"/>
          <w:szCs w:val="14"/>
          <w:u w:val="single"/>
        </w:rPr>
      </w:pPr>
      <w:r w:rsidRPr="00DB1AEE">
        <w:rPr>
          <w:sz w:val="18"/>
          <w:szCs w:val="14"/>
          <w:u w:val="single"/>
        </w:rPr>
        <w:t>d. F-factors for slabs shall correspond to the R-values of Table R402.1.3 and the installation conditions of Section R402.2.10.1.</w:t>
      </w:r>
    </w:p>
    <w:p w14:paraId="15AF8AB0" w14:textId="77777777" w:rsidR="00DB1AEE" w:rsidRPr="00DB1AEE" w:rsidRDefault="00DB1AEE" w:rsidP="00DB1AEE">
      <w:pPr>
        <w:widowControl w:val="0"/>
        <w:autoSpaceDE w:val="0"/>
        <w:autoSpaceDN w:val="0"/>
        <w:adjustRightInd w:val="0"/>
        <w:spacing w:before="130" w:after="130"/>
        <w:rPr>
          <w:bCs/>
          <w:iCs/>
          <w:position w:val="16"/>
          <w:szCs w:val="24"/>
          <w:u w:val="single"/>
        </w:rPr>
      </w:pPr>
      <w:r w:rsidRPr="00DB1AEE">
        <w:rPr>
          <w:b/>
          <w:bCs/>
          <w:iCs/>
          <w:szCs w:val="24"/>
          <w:u w:val="single"/>
        </w:rPr>
        <w:t>Table R402.1.3 Insulation and Fenestration Requirements by Component</w:t>
      </w:r>
      <w:r w:rsidRPr="00DB1AEE">
        <w:rPr>
          <w:b/>
          <w:bCs/>
          <w:iCs/>
          <w:szCs w:val="24"/>
          <w:u w:val="single"/>
          <w:vertAlign w:val="superscript"/>
        </w:rPr>
        <w:t>a</w:t>
      </w:r>
    </w:p>
    <w:p w14:paraId="0A683EEF" w14:textId="77777777" w:rsidR="00DB1AEE" w:rsidRPr="00DB1AEE" w:rsidRDefault="00DB1AEE" w:rsidP="00DB1AEE">
      <w:pPr>
        <w:suppressAutoHyphens/>
        <w:spacing w:before="130" w:after="130"/>
        <w:rPr>
          <w:rFonts w:eastAsia="MS Mincho"/>
          <w:bCs/>
          <w:szCs w:val="24"/>
          <w:u w:val="single"/>
        </w:rPr>
      </w:pPr>
      <w:r w:rsidRPr="00DB1AEE">
        <w:rPr>
          <w:rFonts w:eastAsia="MS Mincho"/>
          <w:bCs/>
          <w:szCs w:val="24"/>
          <w:u w:val="single"/>
        </w:rPr>
        <w:t>Revise Table R402.1.3 to read as follows:</w:t>
      </w:r>
    </w:p>
    <w:p w14:paraId="5C4304C1" w14:textId="77777777" w:rsidR="00DB1AEE" w:rsidRPr="00DB1AEE" w:rsidRDefault="00DB1AEE" w:rsidP="00DB1AEE">
      <w:pPr>
        <w:widowControl w:val="0"/>
        <w:suppressAutoHyphens/>
        <w:autoSpaceDE w:val="0"/>
        <w:autoSpaceDN w:val="0"/>
        <w:adjustRightInd w:val="0"/>
        <w:ind w:left="360"/>
        <w:jc w:val="center"/>
        <w:rPr>
          <w:b/>
          <w:bCs/>
          <w:sz w:val="22"/>
          <w:szCs w:val="18"/>
          <w:u w:val="single"/>
        </w:rPr>
      </w:pPr>
      <w:r w:rsidRPr="00DB1AEE">
        <w:rPr>
          <w:b/>
          <w:bCs/>
          <w:sz w:val="22"/>
          <w:szCs w:val="18"/>
          <w:u w:val="single"/>
        </w:rPr>
        <w:t>TABLE R402.1.3</w:t>
      </w:r>
    </w:p>
    <w:p w14:paraId="121A4738" w14:textId="77777777" w:rsidR="00DB1AEE" w:rsidRPr="00DB1AEE" w:rsidRDefault="00DB1AEE" w:rsidP="00DB1AEE">
      <w:pPr>
        <w:widowControl w:val="0"/>
        <w:suppressAutoHyphens/>
        <w:autoSpaceDE w:val="0"/>
        <w:autoSpaceDN w:val="0"/>
        <w:adjustRightInd w:val="0"/>
        <w:ind w:left="360"/>
        <w:jc w:val="center"/>
        <w:rPr>
          <w:b/>
          <w:bCs/>
          <w:sz w:val="22"/>
          <w:szCs w:val="18"/>
          <w:u w:val="single"/>
        </w:rPr>
      </w:pPr>
      <w:r w:rsidRPr="00DB1AEE">
        <w:rPr>
          <w:b/>
          <w:bCs/>
          <w:sz w:val="22"/>
          <w:szCs w:val="18"/>
          <w:u w:val="single"/>
        </w:rPr>
        <w:t>INSULATION MINIMUM R-VALUES AND FENESTRATION REQUIREMENTS BY COMPONENT</w:t>
      </w:r>
      <w:r w:rsidRPr="00DB1AEE">
        <w:rPr>
          <w:b/>
          <w:bCs/>
          <w:sz w:val="22"/>
          <w:szCs w:val="18"/>
          <w:u w:val="single"/>
          <w:vertAlign w:val="superscript"/>
        </w:rPr>
        <w:t>a</w:t>
      </w:r>
    </w:p>
    <w:tbl>
      <w:tblPr>
        <w:tblW w:w="9231" w:type="dxa"/>
        <w:jc w:val="center"/>
        <w:tblLook w:val="04A0" w:firstRow="1" w:lastRow="0" w:firstColumn="1" w:lastColumn="0" w:noHBand="0" w:noVBand="1"/>
      </w:tblPr>
      <w:tblGrid>
        <w:gridCol w:w="4049"/>
        <w:gridCol w:w="2786"/>
        <w:gridCol w:w="1170"/>
        <w:gridCol w:w="1226"/>
      </w:tblGrid>
      <w:tr w:rsidR="00DB1AEE" w:rsidRPr="00DB1AEE" w14:paraId="48BF0E56" w14:textId="77777777" w:rsidTr="00FC1832">
        <w:trPr>
          <w:trHeight w:val="497"/>
          <w:jc w:val="center"/>
        </w:trPr>
        <w:tc>
          <w:tcPr>
            <w:tcW w:w="4049" w:type="dxa"/>
            <w:tcBorders>
              <w:top w:val="single" w:sz="4" w:space="0" w:color="auto"/>
              <w:left w:val="single" w:sz="4" w:space="0" w:color="auto"/>
              <w:bottom w:val="single" w:sz="4" w:space="0" w:color="auto"/>
              <w:right w:val="single" w:sz="4" w:space="0" w:color="auto"/>
            </w:tcBorders>
            <w:vAlign w:val="center"/>
            <w:hideMark/>
          </w:tcPr>
          <w:p w14:paraId="152AE06D" w14:textId="77777777" w:rsidR="00DB1AEE" w:rsidRPr="00DB1AEE" w:rsidRDefault="00DB1AEE" w:rsidP="00DB1AEE">
            <w:pPr>
              <w:suppressAutoHyphens/>
              <w:jc w:val="center"/>
              <w:rPr>
                <w:sz w:val="18"/>
                <w:szCs w:val="18"/>
                <w:u w:val="single"/>
              </w:rPr>
            </w:pPr>
            <w:r w:rsidRPr="00DB1AEE">
              <w:rPr>
                <w:sz w:val="18"/>
                <w:szCs w:val="18"/>
                <w:u w:val="single"/>
              </w:rPr>
              <w:t>Climate Zone</w:t>
            </w:r>
          </w:p>
        </w:tc>
        <w:tc>
          <w:tcPr>
            <w:tcW w:w="2786" w:type="dxa"/>
            <w:tcBorders>
              <w:top w:val="single" w:sz="4" w:space="0" w:color="auto"/>
              <w:left w:val="nil"/>
              <w:bottom w:val="single" w:sz="4" w:space="0" w:color="auto"/>
              <w:right w:val="single" w:sz="4" w:space="0" w:color="auto"/>
            </w:tcBorders>
            <w:vAlign w:val="center"/>
            <w:hideMark/>
          </w:tcPr>
          <w:p w14:paraId="28F0681A" w14:textId="77777777" w:rsidR="00DB1AEE" w:rsidRPr="00DB1AEE" w:rsidRDefault="00DB1AEE" w:rsidP="00DB1AEE">
            <w:pPr>
              <w:suppressAutoHyphens/>
              <w:jc w:val="center"/>
              <w:rPr>
                <w:sz w:val="18"/>
                <w:szCs w:val="18"/>
                <w:u w:val="single"/>
              </w:rPr>
            </w:pPr>
            <w:r w:rsidRPr="00DB1AEE">
              <w:rPr>
                <w:sz w:val="18"/>
                <w:szCs w:val="18"/>
                <w:u w:val="single"/>
              </w:rPr>
              <w:t>4</w:t>
            </w:r>
          </w:p>
        </w:tc>
        <w:tc>
          <w:tcPr>
            <w:tcW w:w="1170" w:type="dxa"/>
            <w:tcBorders>
              <w:top w:val="single" w:sz="4" w:space="0" w:color="auto"/>
              <w:left w:val="nil"/>
              <w:bottom w:val="single" w:sz="4" w:space="0" w:color="auto"/>
              <w:right w:val="single" w:sz="4" w:space="0" w:color="auto"/>
            </w:tcBorders>
            <w:vAlign w:val="center"/>
            <w:hideMark/>
          </w:tcPr>
          <w:p w14:paraId="29D67142" w14:textId="77777777" w:rsidR="00DB1AEE" w:rsidRPr="00DB1AEE" w:rsidRDefault="00DB1AEE" w:rsidP="00DB1AEE">
            <w:pPr>
              <w:suppressAutoHyphens/>
              <w:jc w:val="center"/>
              <w:rPr>
                <w:sz w:val="18"/>
                <w:szCs w:val="18"/>
                <w:u w:val="single"/>
              </w:rPr>
            </w:pPr>
            <w:r w:rsidRPr="00DB1AEE">
              <w:rPr>
                <w:sz w:val="18"/>
                <w:szCs w:val="18"/>
                <w:u w:val="single"/>
              </w:rPr>
              <w:t>5</w:t>
            </w:r>
          </w:p>
        </w:tc>
        <w:tc>
          <w:tcPr>
            <w:tcW w:w="1226" w:type="dxa"/>
            <w:tcBorders>
              <w:top w:val="single" w:sz="4" w:space="0" w:color="auto"/>
              <w:left w:val="nil"/>
              <w:bottom w:val="single" w:sz="4" w:space="0" w:color="auto"/>
              <w:right w:val="single" w:sz="4" w:space="0" w:color="auto"/>
            </w:tcBorders>
            <w:vAlign w:val="center"/>
            <w:hideMark/>
          </w:tcPr>
          <w:p w14:paraId="22C3B337" w14:textId="77777777" w:rsidR="00DB1AEE" w:rsidRPr="00DB1AEE" w:rsidRDefault="00DB1AEE" w:rsidP="00DB1AEE">
            <w:pPr>
              <w:suppressAutoHyphens/>
              <w:jc w:val="center"/>
              <w:rPr>
                <w:sz w:val="18"/>
                <w:szCs w:val="18"/>
                <w:u w:val="single"/>
              </w:rPr>
            </w:pPr>
            <w:r w:rsidRPr="00DB1AEE">
              <w:rPr>
                <w:sz w:val="18"/>
                <w:szCs w:val="18"/>
                <w:u w:val="single"/>
              </w:rPr>
              <w:t>6</w:t>
            </w:r>
          </w:p>
        </w:tc>
      </w:tr>
      <w:tr w:rsidR="00DB1AEE" w:rsidRPr="00DB1AEE" w14:paraId="1DC83614" w14:textId="77777777" w:rsidTr="00FC1832">
        <w:trPr>
          <w:trHeight w:val="298"/>
          <w:jc w:val="center"/>
        </w:trPr>
        <w:tc>
          <w:tcPr>
            <w:tcW w:w="4049" w:type="dxa"/>
            <w:tcBorders>
              <w:top w:val="nil"/>
              <w:left w:val="single" w:sz="4" w:space="0" w:color="auto"/>
              <w:bottom w:val="single" w:sz="4" w:space="0" w:color="auto"/>
              <w:right w:val="single" w:sz="4" w:space="0" w:color="auto"/>
            </w:tcBorders>
            <w:vAlign w:val="center"/>
            <w:hideMark/>
          </w:tcPr>
          <w:p w14:paraId="6495CC69" w14:textId="77777777" w:rsidR="00DB1AEE" w:rsidRPr="00DB1AEE" w:rsidRDefault="00DB1AEE" w:rsidP="00DB1AEE">
            <w:pPr>
              <w:suppressAutoHyphens/>
              <w:jc w:val="center"/>
              <w:rPr>
                <w:caps/>
                <w:sz w:val="18"/>
                <w:szCs w:val="18"/>
                <w:u w:val="single"/>
              </w:rPr>
            </w:pPr>
            <w:r w:rsidRPr="00DB1AEE">
              <w:rPr>
                <w:caps/>
                <w:sz w:val="18"/>
                <w:szCs w:val="18"/>
                <w:u w:val="single"/>
              </w:rPr>
              <w:t xml:space="preserve">VERTICAL Fenestration </w:t>
            </w:r>
            <w:r w:rsidRPr="00DB1AEE">
              <w:rPr>
                <w:i/>
                <w:iCs/>
                <w:caps/>
                <w:sz w:val="18"/>
                <w:szCs w:val="18"/>
                <w:u w:val="single"/>
              </w:rPr>
              <w:t>U</w:t>
            </w:r>
            <w:r w:rsidRPr="00DB1AEE">
              <w:rPr>
                <w:caps/>
                <w:sz w:val="18"/>
                <w:szCs w:val="18"/>
                <w:u w:val="single"/>
              </w:rPr>
              <w:t>-factor</w:t>
            </w:r>
            <w:r w:rsidRPr="00DB1AEE">
              <w:rPr>
                <w:sz w:val="18"/>
                <w:szCs w:val="18"/>
                <w:u w:val="single"/>
                <w:vertAlign w:val="superscript"/>
              </w:rPr>
              <w:t>f</w:t>
            </w:r>
          </w:p>
        </w:tc>
        <w:tc>
          <w:tcPr>
            <w:tcW w:w="2786" w:type="dxa"/>
            <w:tcBorders>
              <w:top w:val="nil"/>
              <w:left w:val="nil"/>
              <w:bottom w:val="single" w:sz="4" w:space="0" w:color="auto"/>
              <w:right w:val="single" w:sz="4" w:space="0" w:color="auto"/>
            </w:tcBorders>
            <w:vAlign w:val="center"/>
          </w:tcPr>
          <w:p w14:paraId="61CFC9CF" w14:textId="77777777" w:rsidR="00DB1AEE" w:rsidRPr="00DB1AEE" w:rsidRDefault="00DB1AEE" w:rsidP="00DB1AEE">
            <w:pPr>
              <w:suppressAutoHyphens/>
              <w:jc w:val="center"/>
              <w:rPr>
                <w:sz w:val="18"/>
                <w:szCs w:val="18"/>
                <w:u w:val="single"/>
              </w:rPr>
            </w:pPr>
            <w:r w:rsidRPr="00DB1AEE">
              <w:rPr>
                <w:sz w:val="18"/>
                <w:szCs w:val="18"/>
                <w:u w:val="single"/>
              </w:rPr>
              <w:t>0.27</w:t>
            </w:r>
          </w:p>
        </w:tc>
        <w:tc>
          <w:tcPr>
            <w:tcW w:w="1170" w:type="dxa"/>
            <w:tcBorders>
              <w:top w:val="nil"/>
              <w:left w:val="nil"/>
              <w:bottom w:val="single" w:sz="4" w:space="0" w:color="auto"/>
              <w:right w:val="single" w:sz="4" w:space="0" w:color="auto"/>
            </w:tcBorders>
            <w:vAlign w:val="center"/>
          </w:tcPr>
          <w:p w14:paraId="7B7DF917" w14:textId="77777777" w:rsidR="00DB1AEE" w:rsidRPr="00DB1AEE" w:rsidRDefault="00DB1AEE" w:rsidP="00DB1AEE">
            <w:pPr>
              <w:suppressAutoHyphens/>
              <w:jc w:val="center"/>
              <w:rPr>
                <w:sz w:val="18"/>
                <w:szCs w:val="18"/>
                <w:u w:val="single"/>
              </w:rPr>
            </w:pPr>
            <w:r w:rsidRPr="00DB1AEE">
              <w:rPr>
                <w:sz w:val="18"/>
                <w:szCs w:val="18"/>
                <w:u w:val="single"/>
              </w:rPr>
              <w:t>0.27</w:t>
            </w:r>
          </w:p>
        </w:tc>
        <w:tc>
          <w:tcPr>
            <w:tcW w:w="1226" w:type="dxa"/>
            <w:tcBorders>
              <w:top w:val="nil"/>
              <w:left w:val="nil"/>
              <w:bottom w:val="single" w:sz="4" w:space="0" w:color="auto"/>
              <w:right w:val="single" w:sz="4" w:space="0" w:color="auto"/>
            </w:tcBorders>
            <w:vAlign w:val="center"/>
          </w:tcPr>
          <w:p w14:paraId="2AC9E0F7" w14:textId="77777777" w:rsidR="00DB1AEE" w:rsidRPr="00DB1AEE" w:rsidRDefault="00DB1AEE" w:rsidP="00DB1AEE">
            <w:pPr>
              <w:suppressAutoHyphens/>
              <w:jc w:val="center"/>
              <w:rPr>
                <w:sz w:val="18"/>
                <w:szCs w:val="18"/>
                <w:u w:val="single"/>
              </w:rPr>
            </w:pPr>
            <w:r w:rsidRPr="00DB1AEE">
              <w:rPr>
                <w:sz w:val="18"/>
                <w:szCs w:val="18"/>
                <w:u w:val="single"/>
              </w:rPr>
              <w:t>0.27</w:t>
            </w:r>
          </w:p>
        </w:tc>
      </w:tr>
      <w:tr w:rsidR="00DB1AEE" w:rsidRPr="00DB1AEE" w14:paraId="203E0A87" w14:textId="77777777" w:rsidTr="00FC1832">
        <w:trPr>
          <w:trHeight w:val="298"/>
          <w:jc w:val="center"/>
        </w:trPr>
        <w:tc>
          <w:tcPr>
            <w:tcW w:w="4049" w:type="dxa"/>
            <w:tcBorders>
              <w:top w:val="nil"/>
              <w:left w:val="single" w:sz="4" w:space="0" w:color="auto"/>
              <w:bottom w:val="single" w:sz="4" w:space="0" w:color="auto"/>
              <w:right w:val="single" w:sz="4" w:space="0" w:color="auto"/>
            </w:tcBorders>
            <w:vAlign w:val="center"/>
            <w:hideMark/>
          </w:tcPr>
          <w:p w14:paraId="24CF68A5" w14:textId="77777777" w:rsidR="00DB1AEE" w:rsidRPr="00DB1AEE" w:rsidRDefault="00DB1AEE" w:rsidP="00DB1AEE">
            <w:pPr>
              <w:suppressAutoHyphens/>
              <w:jc w:val="center"/>
              <w:rPr>
                <w:caps/>
                <w:sz w:val="18"/>
                <w:szCs w:val="18"/>
                <w:u w:val="single"/>
              </w:rPr>
            </w:pPr>
            <w:r w:rsidRPr="00DB1AEE">
              <w:rPr>
                <w:caps/>
                <w:sz w:val="18"/>
                <w:szCs w:val="18"/>
                <w:u w:val="single"/>
              </w:rPr>
              <w:t>Skylight</w:t>
            </w:r>
            <w:r w:rsidRPr="00DB1AEE">
              <w:rPr>
                <w:sz w:val="18"/>
                <w:szCs w:val="18"/>
                <w:u w:val="single"/>
                <w:vertAlign w:val="superscript"/>
              </w:rPr>
              <w:t>b</w:t>
            </w:r>
            <w:r w:rsidRPr="00DB1AEE">
              <w:rPr>
                <w:caps/>
                <w:sz w:val="18"/>
                <w:szCs w:val="18"/>
                <w:u w:val="single"/>
              </w:rPr>
              <w:t xml:space="preserve"> </w:t>
            </w:r>
            <w:r w:rsidRPr="00DB1AEE">
              <w:rPr>
                <w:i/>
                <w:iCs/>
                <w:caps/>
                <w:sz w:val="18"/>
                <w:szCs w:val="18"/>
                <w:u w:val="single"/>
              </w:rPr>
              <w:t>U</w:t>
            </w:r>
            <w:r w:rsidRPr="00DB1AEE">
              <w:rPr>
                <w:caps/>
                <w:sz w:val="18"/>
                <w:szCs w:val="18"/>
                <w:u w:val="single"/>
              </w:rPr>
              <w:t>-factor</w:t>
            </w:r>
          </w:p>
        </w:tc>
        <w:tc>
          <w:tcPr>
            <w:tcW w:w="2786" w:type="dxa"/>
            <w:tcBorders>
              <w:top w:val="nil"/>
              <w:left w:val="nil"/>
              <w:bottom w:val="single" w:sz="4" w:space="0" w:color="auto"/>
              <w:right w:val="single" w:sz="4" w:space="0" w:color="auto"/>
            </w:tcBorders>
            <w:vAlign w:val="center"/>
          </w:tcPr>
          <w:p w14:paraId="43EE5171" w14:textId="77777777" w:rsidR="00DB1AEE" w:rsidRPr="00DB1AEE" w:rsidRDefault="00DB1AEE" w:rsidP="00DB1AEE">
            <w:pPr>
              <w:suppressAutoHyphens/>
              <w:jc w:val="center"/>
              <w:rPr>
                <w:sz w:val="18"/>
                <w:szCs w:val="18"/>
                <w:u w:val="single"/>
              </w:rPr>
            </w:pPr>
            <w:r w:rsidRPr="00DB1AEE">
              <w:rPr>
                <w:sz w:val="18"/>
                <w:szCs w:val="18"/>
                <w:u w:val="single"/>
              </w:rPr>
              <w:t>0.50</w:t>
            </w:r>
          </w:p>
        </w:tc>
        <w:tc>
          <w:tcPr>
            <w:tcW w:w="1170" w:type="dxa"/>
            <w:tcBorders>
              <w:top w:val="nil"/>
              <w:left w:val="nil"/>
              <w:bottom w:val="single" w:sz="4" w:space="0" w:color="auto"/>
              <w:right w:val="single" w:sz="4" w:space="0" w:color="auto"/>
            </w:tcBorders>
            <w:vAlign w:val="center"/>
          </w:tcPr>
          <w:p w14:paraId="28B72B2D" w14:textId="77777777" w:rsidR="00DB1AEE" w:rsidRPr="00DB1AEE" w:rsidRDefault="00DB1AEE" w:rsidP="00DB1AEE">
            <w:pPr>
              <w:suppressAutoHyphens/>
              <w:jc w:val="center"/>
              <w:rPr>
                <w:sz w:val="18"/>
                <w:szCs w:val="18"/>
                <w:u w:val="single"/>
              </w:rPr>
            </w:pPr>
            <w:r w:rsidRPr="00DB1AEE">
              <w:rPr>
                <w:sz w:val="18"/>
                <w:szCs w:val="18"/>
                <w:u w:val="single"/>
              </w:rPr>
              <w:t>0.50</w:t>
            </w:r>
          </w:p>
        </w:tc>
        <w:tc>
          <w:tcPr>
            <w:tcW w:w="1226" w:type="dxa"/>
            <w:tcBorders>
              <w:top w:val="nil"/>
              <w:left w:val="nil"/>
              <w:bottom w:val="single" w:sz="4" w:space="0" w:color="auto"/>
              <w:right w:val="single" w:sz="4" w:space="0" w:color="auto"/>
            </w:tcBorders>
            <w:vAlign w:val="center"/>
          </w:tcPr>
          <w:p w14:paraId="16002FFF" w14:textId="77777777" w:rsidR="00DB1AEE" w:rsidRPr="00DB1AEE" w:rsidRDefault="00DB1AEE" w:rsidP="00DB1AEE">
            <w:pPr>
              <w:suppressAutoHyphens/>
              <w:jc w:val="center"/>
              <w:rPr>
                <w:sz w:val="18"/>
                <w:szCs w:val="18"/>
                <w:u w:val="single"/>
              </w:rPr>
            </w:pPr>
            <w:r w:rsidRPr="00DB1AEE">
              <w:rPr>
                <w:sz w:val="18"/>
                <w:szCs w:val="18"/>
                <w:u w:val="single"/>
              </w:rPr>
              <w:t>0.50</w:t>
            </w:r>
          </w:p>
        </w:tc>
      </w:tr>
      <w:tr w:rsidR="00DB1AEE" w:rsidRPr="00DB1AEE" w14:paraId="496215C4" w14:textId="77777777" w:rsidTr="00FC1832">
        <w:trPr>
          <w:trHeight w:val="497"/>
          <w:jc w:val="center"/>
        </w:trPr>
        <w:tc>
          <w:tcPr>
            <w:tcW w:w="4049" w:type="dxa"/>
            <w:tcBorders>
              <w:top w:val="nil"/>
              <w:left w:val="single" w:sz="4" w:space="0" w:color="auto"/>
              <w:bottom w:val="single" w:sz="4" w:space="0" w:color="auto"/>
              <w:right w:val="single" w:sz="4" w:space="0" w:color="auto"/>
            </w:tcBorders>
            <w:vAlign w:val="center"/>
            <w:hideMark/>
          </w:tcPr>
          <w:p w14:paraId="07269C10" w14:textId="77777777" w:rsidR="00DB1AEE" w:rsidRPr="00DB1AEE" w:rsidRDefault="00DB1AEE" w:rsidP="00DB1AEE">
            <w:pPr>
              <w:suppressAutoHyphens/>
              <w:jc w:val="center"/>
              <w:rPr>
                <w:caps/>
                <w:sz w:val="18"/>
                <w:szCs w:val="18"/>
                <w:u w:val="single"/>
              </w:rPr>
            </w:pPr>
            <w:r w:rsidRPr="00DB1AEE">
              <w:rPr>
                <w:caps/>
                <w:sz w:val="18"/>
                <w:szCs w:val="18"/>
                <w:u w:val="single"/>
              </w:rPr>
              <w:t>Glazed Vertical Fenestration SHGC</w:t>
            </w:r>
            <w:r w:rsidRPr="00DB1AEE">
              <w:rPr>
                <w:sz w:val="18"/>
                <w:szCs w:val="18"/>
                <w:u w:val="single"/>
                <w:vertAlign w:val="superscript"/>
              </w:rPr>
              <w:t>h</w:t>
            </w:r>
          </w:p>
        </w:tc>
        <w:tc>
          <w:tcPr>
            <w:tcW w:w="2786" w:type="dxa"/>
            <w:tcBorders>
              <w:top w:val="nil"/>
              <w:left w:val="nil"/>
              <w:bottom w:val="single" w:sz="4" w:space="0" w:color="auto"/>
              <w:right w:val="single" w:sz="4" w:space="0" w:color="auto"/>
            </w:tcBorders>
            <w:noWrap/>
            <w:vAlign w:val="center"/>
          </w:tcPr>
          <w:p w14:paraId="6F3DBC12" w14:textId="77777777" w:rsidR="00DB1AEE" w:rsidRPr="00DB1AEE" w:rsidRDefault="00DB1AEE" w:rsidP="00DB1AEE">
            <w:pPr>
              <w:suppressAutoHyphens/>
              <w:jc w:val="center"/>
              <w:rPr>
                <w:sz w:val="18"/>
                <w:szCs w:val="18"/>
                <w:u w:val="single"/>
              </w:rPr>
            </w:pPr>
            <w:r w:rsidRPr="00DB1AEE">
              <w:rPr>
                <w:sz w:val="18"/>
                <w:szCs w:val="18"/>
                <w:u w:val="single"/>
              </w:rPr>
              <w:t>0.40</w:t>
            </w:r>
          </w:p>
          <w:p w14:paraId="2E64E977" w14:textId="77777777" w:rsidR="00DB1AEE" w:rsidRPr="00DB1AEE" w:rsidRDefault="00DB1AEE" w:rsidP="00DB1AEE">
            <w:pPr>
              <w:suppressAutoHyphens/>
              <w:jc w:val="center"/>
              <w:rPr>
                <w:sz w:val="18"/>
                <w:szCs w:val="18"/>
                <w:u w:val="single"/>
              </w:rPr>
            </w:pPr>
          </w:p>
        </w:tc>
        <w:tc>
          <w:tcPr>
            <w:tcW w:w="1170" w:type="dxa"/>
            <w:tcBorders>
              <w:top w:val="nil"/>
              <w:left w:val="nil"/>
              <w:bottom w:val="single" w:sz="4" w:space="0" w:color="auto"/>
              <w:right w:val="single" w:sz="4" w:space="0" w:color="auto"/>
            </w:tcBorders>
            <w:noWrap/>
            <w:vAlign w:val="center"/>
          </w:tcPr>
          <w:p w14:paraId="705D357F" w14:textId="77777777" w:rsidR="00DB1AEE" w:rsidRPr="00DB1AEE" w:rsidRDefault="00DB1AEE" w:rsidP="00DB1AEE">
            <w:pPr>
              <w:suppressAutoHyphens/>
              <w:jc w:val="center"/>
              <w:rPr>
                <w:sz w:val="18"/>
                <w:szCs w:val="18"/>
                <w:u w:val="single"/>
              </w:rPr>
            </w:pPr>
            <w:r w:rsidRPr="00DB1AEE">
              <w:rPr>
                <w:sz w:val="18"/>
                <w:szCs w:val="18"/>
                <w:u w:val="single"/>
              </w:rPr>
              <w:t>NR</w:t>
            </w:r>
          </w:p>
        </w:tc>
        <w:tc>
          <w:tcPr>
            <w:tcW w:w="1226" w:type="dxa"/>
            <w:tcBorders>
              <w:top w:val="nil"/>
              <w:left w:val="nil"/>
              <w:bottom w:val="single" w:sz="4" w:space="0" w:color="auto"/>
              <w:right w:val="single" w:sz="4" w:space="0" w:color="auto"/>
            </w:tcBorders>
            <w:noWrap/>
            <w:vAlign w:val="center"/>
          </w:tcPr>
          <w:p w14:paraId="42DA3CFA" w14:textId="77777777" w:rsidR="00DB1AEE" w:rsidRPr="00DB1AEE" w:rsidRDefault="00DB1AEE" w:rsidP="00DB1AEE">
            <w:pPr>
              <w:suppressAutoHyphens/>
              <w:jc w:val="center"/>
              <w:rPr>
                <w:sz w:val="18"/>
                <w:szCs w:val="18"/>
                <w:u w:val="single"/>
              </w:rPr>
            </w:pPr>
            <w:r w:rsidRPr="00DB1AEE">
              <w:rPr>
                <w:sz w:val="18"/>
                <w:szCs w:val="18"/>
                <w:u w:val="single"/>
              </w:rPr>
              <w:t>NR</w:t>
            </w:r>
          </w:p>
        </w:tc>
      </w:tr>
      <w:tr w:rsidR="00DB1AEE" w:rsidRPr="00DB1AEE" w14:paraId="395A8E12" w14:textId="77777777" w:rsidTr="00FC1832">
        <w:trPr>
          <w:trHeight w:val="298"/>
          <w:jc w:val="center"/>
        </w:trPr>
        <w:tc>
          <w:tcPr>
            <w:tcW w:w="4049" w:type="dxa"/>
            <w:tcBorders>
              <w:top w:val="nil"/>
              <w:left w:val="single" w:sz="4" w:space="0" w:color="auto"/>
              <w:bottom w:val="single" w:sz="4" w:space="0" w:color="auto"/>
              <w:right w:val="single" w:sz="4" w:space="0" w:color="auto"/>
            </w:tcBorders>
            <w:vAlign w:val="center"/>
          </w:tcPr>
          <w:p w14:paraId="52E9DCF7" w14:textId="77777777" w:rsidR="00DB1AEE" w:rsidRPr="00DB1AEE" w:rsidRDefault="00DB1AEE" w:rsidP="00DB1AEE">
            <w:pPr>
              <w:suppressAutoHyphens/>
              <w:jc w:val="center"/>
              <w:rPr>
                <w:caps/>
                <w:sz w:val="18"/>
                <w:szCs w:val="18"/>
                <w:u w:val="single"/>
              </w:rPr>
            </w:pPr>
            <w:r w:rsidRPr="00DB1AEE">
              <w:rPr>
                <w:caps/>
                <w:sz w:val="18"/>
                <w:szCs w:val="18"/>
                <w:u w:val="single"/>
              </w:rPr>
              <w:t>Skylight SHGC</w:t>
            </w:r>
          </w:p>
        </w:tc>
        <w:tc>
          <w:tcPr>
            <w:tcW w:w="2786" w:type="dxa"/>
            <w:tcBorders>
              <w:top w:val="nil"/>
              <w:left w:val="nil"/>
              <w:bottom w:val="single" w:sz="4" w:space="0" w:color="auto"/>
              <w:right w:val="single" w:sz="4" w:space="0" w:color="auto"/>
            </w:tcBorders>
            <w:vAlign w:val="center"/>
          </w:tcPr>
          <w:p w14:paraId="70CEC49F" w14:textId="77777777" w:rsidR="00DB1AEE" w:rsidRPr="00DB1AEE" w:rsidRDefault="00DB1AEE" w:rsidP="00DB1AEE">
            <w:pPr>
              <w:suppressAutoHyphens/>
              <w:jc w:val="center"/>
              <w:rPr>
                <w:sz w:val="18"/>
                <w:szCs w:val="18"/>
                <w:u w:val="single"/>
              </w:rPr>
            </w:pPr>
            <w:r w:rsidRPr="00DB1AEE">
              <w:rPr>
                <w:sz w:val="18"/>
                <w:szCs w:val="18"/>
                <w:u w:val="single"/>
              </w:rPr>
              <w:t>0.40</w:t>
            </w:r>
          </w:p>
        </w:tc>
        <w:tc>
          <w:tcPr>
            <w:tcW w:w="1170" w:type="dxa"/>
            <w:tcBorders>
              <w:top w:val="nil"/>
              <w:left w:val="nil"/>
              <w:bottom w:val="single" w:sz="4" w:space="0" w:color="auto"/>
              <w:right w:val="single" w:sz="4" w:space="0" w:color="auto"/>
            </w:tcBorders>
            <w:vAlign w:val="center"/>
          </w:tcPr>
          <w:p w14:paraId="475A003F" w14:textId="77777777" w:rsidR="00DB1AEE" w:rsidRPr="00DB1AEE" w:rsidRDefault="00DB1AEE" w:rsidP="00DB1AEE">
            <w:pPr>
              <w:suppressAutoHyphens/>
              <w:jc w:val="center"/>
              <w:rPr>
                <w:strike/>
                <w:sz w:val="18"/>
                <w:szCs w:val="18"/>
                <w:u w:val="single"/>
              </w:rPr>
            </w:pPr>
            <w:r w:rsidRPr="00DB1AEE">
              <w:rPr>
                <w:sz w:val="18"/>
                <w:szCs w:val="18"/>
                <w:u w:val="single"/>
              </w:rPr>
              <w:t>NR</w:t>
            </w:r>
          </w:p>
        </w:tc>
        <w:tc>
          <w:tcPr>
            <w:tcW w:w="1226" w:type="dxa"/>
            <w:tcBorders>
              <w:top w:val="nil"/>
              <w:left w:val="nil"/>
              <w:bottom w:val="single" w:sz="4" w:space="0" w:color="auto"/>
              <w:right w:val="single" w:sz="4" w:space="0" w:color="auto"/>
            </w:tcBorders>
            <w:vAlign w:val="center"/>
          </w:tcPr>
          <w:p w14:paraId="62C84DB9" w14:textId="77777777" w:rsidR="00DB1AEE" w:rsidRPr="00DB1AEE" w:rsidRDefault="00DB1AEE" w:rsidP="00DB1AEE">
            <w:pPr>
              <w:suppressAutoHyphens/>
              <w:jc w:val="center"/>
              <w:rPr>
                <w:strike/>
                <w:sz w:val="18"/>
                <w:szCs w:val="18"/>
                <w:u w:val="single"/>
              </w:rPr>
            </w:pPr>
            <w:r w:rsidRPr="00DB1AEE">
              <w:rPr>
                <w:sz w:val="18"/>
                <w:szCs w:val="18"/>
                <w:u w:val="single"/>
              </w:rPr>
              <w:t>NR</w:t>
            </w:r>
          </w:p>
        </w:tc>
      </w:tr>
      <w:tr w:rsidR="00DB1AEE" w:rsidRPr="00DB1AEE" w14:paraId="53F97A96" w14:textId="77777777" w:rsidTr="00FC1832">
        <w:trPr>
          <w:trHeight w:val="298"/>
          <w:jc w:val="center"/>
        </w:trPr>
        <w:tc>
          <w:tcPr>
            <w:tcW w:w="4049" w:type="dxa"/>
            <w:tcBorders>
              <w:top w:val="nil"/>
              <w:left w:val="single" w:sz="4" w:space="0" w:color="auto"/>
              <w:bottom w:val="single" w:sz="4" w:space="0" w:color="auto"/>
              <w:right w:val="single" w:sz="4" w:space="0" w:color="auto"/>
            </w:tcBorders>
            <w:vAlign w:val="center"/>
            <w:hideMark/>
          </w:tcPr>
          <w:p w14:paraId="6209168A" w14:textId="77777777" w:rsidR="00DB1AEE" w:rsidRPr="00DB1AEE" w:rsidRDefault="00DB1AEE" w:rsidP="00DB1AEE">
            <w:pPr>
              <w:suppressAutoHyphens/>
              <w:jc w:val="center"/>
              <w:rPr>
                <w:caps/>
                <w:sz w:val="18"/>
                <w:szCs w:val="18"/>
                <w:u w:val="single"/>
              </w:rPr>
            </w:pPr>
            <w:r w:rsidRPr="00DB1AEE">
              <w:rPr>
                <w:caps/>
                <w:sz w:val="18"/>
                <w:szCs w:val="18"/>
                <w:u w:val="single"/>
              </w:rPr>
              <w:t>Ceiling</w:t>
            </w:r>
            <w:r w:rsidRPr="00DB1AEE">
              <w:rPr>
                <w:i/>
                <w:iCs/>
                <w:caps/>
                <w:sz w:val="18"/>
                <w:szCs w:val="18"/>
                <w:u w:val="single"/>
              </w:rPr>
              <w:t xml:space="preserve"> R-</w:t>
            </w:r>
            <w:r w:rsidRPr="00DB1AEE">
              <w:rPr>
                <w:caps/>
                <w:sz w:val="18"/>
                <w:szCs w:val="18"/>
                <w:u w:val="single"/>
              </w:rPr>
              <w:t>Value</w:t>
            </w:r>
            <w:r w:rsidRPr="00DB1AEE">
              <w:rPr>
                <w:sz w:val="18"/>
                <w:szCs w:val="18"/>
                <w:u w:val="single"/>
                <w:vertAlign w:val="superscript"/>
              </w:rPr>
              <w:t>g</w:t>
            </w:r>
          </w:p>
        </w:tc>
        <w:tc>
          <w:tcPr>
            <w:tcW w:w="2786" w:type="dxa"/>
            <w:tcBorders>
              <w:top w:val="nil"/>
              <w:left w:val="nil"/>
              <w:bottom w:val="single" w:sz="4" w:space="0" w:color="auto"/>
              <w:right w:val="single" w:sz="4" w:space="0" w:color="auto"/>
            </w:tcBorders>
            <w:vAlign w:val="center"/>
          </w:tcPr>
          <w:p w14:paraId="11B28959" w14:textId="77777777" w:rsidR="00DB1AEE" w:rsidRPr="00DB1AEE" w:rsidRDefault="00DB1AEE" w:rsidP="00DB1AEE">
            <w:pPr>
              <w:suppressAutoHyphens/>
              <w:jc w:val="center"/>
              <w:rPr>
                <w:sz w:val="18"/>
                <w:szCs w:val="18"/>
                <w:u w:val="single"/>
              </w:rPr>
            </w:pPr>
            <w:r w:rsidRPr="00DB1AEE">
              <w:rPr>
                <w:sz w:val="18"/>
                <w:szCs w:val="18"/>
                <w:u w:val="single"/>
              </w:rPr>
              <w:t>49 ca</w:t>
            </w:r>
          </w:p>
        </w:tc>
        <w:tc>
          <w:tcPr>
            <w:tcW w:w="1170" w:type="dxa"/>
            <w:tcBorders>
              <w:top w:val="nil"/>
              <w:left w:val="nil"/>
              <w:bottom w:val="single" w:sz="4" w:space="0" w:color="auto"/>
              <w:right w:val="single" w:sz="4" w:space="0" w:color="auto"/>
            </w:tcBorders>
            <w:vAlign w:val="center"/>
          </w:tcPr>
          <w:p w14:paraId="094BCD50" w14:textId="77777777" w:rsidR="00DB1AEE" w:rsidRPr="00DB1AEE" w:rsidRDefault="00DB1AEE" w:rsidP="00DB1AEE">
            <w:pPr>
              <w:suppressAutoHyphens/>
              <w:jc w:val="center"/>
              <w:rPr>
                <w:sz w:val="18"/>
                <w:szCs w:val="18"/>
                <w:u w:val="single"/>
              </w:rPr>
            </w:pPr>
            <w:r w:rsidRPr="00DB1AEE">
              <w:rPr>
                <w:sz w:val="18"/>
                <w:szCs w:val="18"/>
                <w:u w:val="single"/>
              </w:rPr>
              <w:t>49ca</w:t>
            </w:r>
          </w:p>
        </w:tc>
        <w:tc>
          <w:tcPr>
            <w:tcW w:w="1226" w:type="dxa"/>
            <w:tcBorders>
              <w:top w:val="nil"/>
              <w:left w:val="nil"/>
              <w:bottom w:val="single" w:sz="4" w:space="0" w:color="auto"/>
              <w:right w:val="single" w:sz="4" w:space="0" w:color="auto"/>
            </w:tcBorders>
            <w:vAlign w:val="center"/>
          </w:tcPr>
          <w:p w14:paraId="3C102F75" w14:textId="77777777" w:rsidR="00DB1AEE" w:rsidRPr="00DB1AEE" w:rsidRDefault="00DB1AEE" w:rsidP="00DB1AEE">
            <w:pPr>
              <w:suppressAutoHyphens/>
              <w:jc w:val="center"/>
              <w:rPr>
                <w:sz w:val="18"/>
                <w:szCs w:val="18"/>
                <w:u w:val="single"/>
              </w:rPr>
            </w:pPr>
            <w:r w:rsidRPr="00DB1AEE">
              <w:rPr>
                <w:sz w:val="18"/>
                <w:szCs w:val="18"/>
                <w:u w:val="single"/>
              </w:rPr>
              <w:t>49ca</w:t>
            </w:r>
          </w:p>
        </w:tc>
      </w:tr>
      <w:tr w:rsidR="00DB1AEE" w:rsidRPr="00DB1AEE" w14:paraId="334082ED" w14:textId="77777777" w:rsidTr="00FC1832">
        <w:trPr>
          <w:trHeight w:val="298"/>
          <w:jc w:val="center"/>
        </w:trPr>
        <w:tc>
          <w:tcPr>
            <w:tcW w:w="4049" w:type="dxa"/>
            <w:tcBorders>
              <w:top w:val="nil"/>
              <w:left w:val="single" w:sz="4" w:space="0" w:color="auto"/>
              <w:bottom w:val="single" w:sz="4" w:space="0" w:color="auto"/>
              <w:right w:val="single" w:sz="4" w:space="0" w:color="auto"/>
            </w:tcBorders>
            <w:vAlign w:val="center"/>
          </w:tcPr>
          <w:p w14:paraId="24E0B997" w14:textId="77777777" w:rsidR="00DB1AEE" w:rsidRPr="00DB1AEE" w:rsidRDefault="00DB1AEE" w:rsidP="00DB1AEE">
            <w:pPr>
              <w:suppressAutoHyphens/>
              <w:jc w:val="center"/>
              <w:rPr>
                <w:caps/>
                <w:sz w:val="18"/>
                <w:szCs w:val="18"/>
                <w:u w:val="single"/>
              </w:rPr>
            </w:pPr>
            <w:r w:rsidRPr="00DB1AEE">
              <w:rPr>
                <w:caps/>
                <w:sz w:val="18"/>
                <w:szCs w:val="18"/>
                <w:u w:val="single"/>
              </w:rPr>
              <w:t>Insulation entirely above roof deck</w:t>
            </w:r>
          </w:p>
        </w:tc>
        <w:tc>
          <w:tcPr>
            <w:tcW w:w="2786" w:type="dxa"/>
            <w:tcBorders>
              <w:top w:val="nil"/>
              <w:left w:val="nil"/>
              <w:bottom w:val="single" w:sz="4" w:space="0" w:color="auto"/>
              <w:right w:val="single" w:sz="4" w:space="0" w:color="auto"/>
            </w:tcBorders>
            <w:vAlign w:val="center"/>
          </w:tcPr>
          <w:p w14:paraId="5C3C9B50" w14:textId="77777777" w:rsidR="00DB1AEE" w:rsidRPr="00DB1AEE" w:rsidRDefault="00DB1AEE" w:rsidP="00DB1AEE">
            <w:pPr>
              <w:suppressAutoHyphens/>
              <w:jc w:val="center"/>
              <w:rPr>
                <w:sz w:val="18"/>
                <w:szCs w:val="18"/>
                <w:u w:val="single"/>
              </w:rPr>
            </w:pPr>
            <w:r w:rsidRPr="00DB1AEE">
              <w:rPr>
                <w:sz w:val="18"/>
                <w:szCs w:val="18"/>
                <w:u w:val="single"/>
              </w:rPr>
              <w:t>30ci</w:t>
            </w:r>
          </w:p>
        </w:tc>
        <w:tc>
          <w:tcPr>
            <w:tcW w:w="1170" w:type="dxa"/>
            <w:tcBorders>
              <w:top w:val="nil"/>
              <w:left w:val="nil"/>
              <w:bottom w:val="single" w:sz="4" w:space="0" w:color="auto"/>
              <w:right w:val="single" w:sz="4" w:space="0" w:color="auto"/>
            </w:tcBorders>
            <w:vAlign w:val="center"/>
          </w:tcPr>
          <w:p w14:paraId="1C1F3484" w14:textId="77777777" w:rsidR="00DB1AEE" w:rsidRPr="00DB1AEE" w:rsidRDefault="00DB1AEE" w:rsidP="00DB1AEE">
            <w:pPr>
              <w:suppressAutoHyphens/>
              <w:jc w:val="center"/>
              <w:rPr>
                <w:sz w:val="18"/>
                <w:szCs w:val="18"/>
                <w:u w:val="single"/>
              </w:rPr>
            </w:pPr>
            <w:r w:rsidRPr="00DB1AEE">
              <w:rPr>
                <w:sz w:val="18"/>
                <w:szCs w:val="18"/>
                <w:u w:val="single"/>
              </w:rPr>
              <w:t>30ci</w:t>
            </w:r>
          </w:p>
        </w:tc>
        <w:tc>
          <w:tcPr>
            <w:tcW w:w="1226" w:type="dxa"/>
            <w:tcBorders>
              <w:top w:val="nil"/>
              <w:left w:val="nil"/>
              <w:bottom w:val="single" w:sz="4" w:space="0" w:color="auto"/>
              <w:right w:val="single" w:sz="4" w:space="0" w:color="auto"/>
            </w:tcBorders>
            <w:vAlign w:val="center"/>
          </w:tcPr>
          <w:p w14:paraId="742E675E" w14:textId="77777777" w:rsidR="00DB1AEE" w:rsidRPr="00DB1AEE" w:rsidRDefault="00DB1AEE" w:rsidP="00DB1AEE">
            <w:pPr>
              <w:suppressAutoHyphens/>
              <w:jc w:val="center"/>
              <w:rPr>
                <w:sz w:val="18"/>
                <w:szCs w:val="18"/>
                <w:u w:val="single"/>
              </w:rPr>
            </w:pPr>
            <w:r w:rsidRPr="00DB1AEE">
              <w:rPr>
                <w:sz w:val="18"/>
                <w:szCs w:val="18"/>
                <w:u w:val="single"/>
              </w:rPr>
              <w:t>30ci</w:t>
            </w:r>
          </w:p>
        </w:tc>
      </w:tr>
      <w:tr w:rsidR="00DB1AEE" w:rsidRPr="00DB1AEE" w14:paraId="1DC99D39" w14:textId="77777777" w:rsidTr="00FC1832">
        <w:trPr>
          <w:trHeight w:val="298"/>
          <w:jc w:val="center"/>
        </w:trPr>
        <w:tc>
          <w:tcPr>
            <w:tcW w:w="4049" w:type="dxa"/>
            <w:tcBorders>
              <w:top w:val="nil"/>
              <w:left w:val="single" w:sz="4" w:space="0" w:color="auto"/>
              <w:bottom w:val="single" w:sz="4" w:space="0" w:color="auto"/>
              <w:right w:val="single" w:sz="4" w:space="0" w:color="auto"/>
            </w:tcBorders>
            <w:vAlign w:val="center"/>
            <w:hideMark/>
          </w:tcPr>
          <w:p w14:paraId="4CEB88A7" w14:textId="77777777" w:rsidR="00DB1AEE" w:rsidRPr="00DB1AEE" w:rsidRDefault="00DB1AEE" w:rsidP="00DB1AEE">
            <w:pPr>
              <w:suppressAutoHyphens/>
              <w:jc w:val="center"/>
              <w:rPr>
                <w:caps/>
                <w:sz w:val="18"/>
                <w:szCs w:val="18"/>
                <w:u w:val="single"/>
              </w:rPr>
            </w:pPr>
            <w:r w:rsidRPr="00DB1AEE">
              <w:rPr>
                <w:caps/>
                <w:sz w:val="18"/>
                <w:szCs w:val="18"/>
                <w:u w:val="single"/>
              </w:rPr>
              <w:t xml:space="preserve">Wood Frame Wall </w:t>
            </w:r>
            <w:r w:rsidRPr="00DB1AEE">
              <w:rPr>
                <w:i/>
                <w:iCs/>
                <w:caps/>
                <w:sz w:val="18"/>
                <w:szCs w:val="18"/>
                <w:u w:val="single"/>
              </w:rPr>
              <w:t>R-</w:t>
            </w:r>
            <w:r w:rsidRPr="00DB1AEE">
              <w:rPr>
                <w:caps/>
                <w:sz w:val="18"/>
                <w:szCs w:val="18"/>
                <w:u w:val="single"/>
              </w:rPr>
              <w:t>Value</w:t>
            </w:r>
            <w:r w:rsidRPr="00DB1AEE">
              <w:rPr>
                <w:sz w:val="18"/>
                <w:szCs w:val="18"/>
                <w:u w:val="single"/>
                <w:vertAlign w:val="superscript"/>
              </w:rPr>
              <w:t>d</w:t>
            </w:r>
          </w:p>
        </w:tc>
        <w:tc>
          <w:tcPr>
            <w:tcW w:w="2786" w:type="dxa"/>
            <w:tcBorders>
              <w:top w:val="nil"/>
              <w:left w:val="nil"/>
              <w:bottom w:val="single" w:sz="4" w:space="0" w:color="auto"/>
              <w:right w:val="single" w:sz="4" w:space="0" w:color="auto"/>
            </w:tcBorders>
            <w:vAlign w:val="center"/>
          </w:tcPr>
          <w:p w14:paraId="02E63E3F" w14:textId="77777777" w:rsidR="00DB1AEE" w:rsidRPr="00DB1AEE" w:rsidRDefault="00DB1AEE" w:rsidP="00DB1AEE">
            <w:pPr>
              <w:suppressAutoHyphens/>
              <w:jc w:val="center"/>
              <w:rPr>
                <w:sz w:val="18"/>
                <w:szCs w:val="18"/>
                <w:u w:val="single"/>
              </w:rPr>
            </w:pPr>
            <w:r w:rsidRPr="00DB1AEE">
              <w:rPr>
                <w:sz w:val="18"/>
                <w:szCs w:val="18"/>
                <w:u w:val="single"/>
              </w:rPr>
              <w:t>30ca or</w:t>
            </w:r>
          </w:p>
          <w:p w14:paraId="55EEA69D" w14:textId="77777777" w:rsidR="00DB1AEE" w:rsidRPr="00DB1AEE" w:rsidRDefault="00DB1AEE" w:rsidP="00DB1AEE">
            <w:pPr>
              <w:suppressAutoHyphens/>
              <w:jc w:val="center"/>
              <w:rPr>
                <w:sz w:val="18"/>
                <w:szCs w:val="18"/>
                <w:u w:val="single"/>
              </w:rPr>
            </w:pPr>
            <w:r w:rsidRPr="00DB1AEE">
              <w:rPr>
                <w:sz w:val="18"/>
                <w:szCs w:val="18"/>
                <w:u w:val="single"/>
              </w:rPr>
              <w:t>20ca +5ci or 13ca+10ci</w:t>
            </w:r>
          </w:p>
          <w:p w14:paraId="3F7AC9ED" w14:textId="77777777" w:rsidR="00DB1AEE" w:rsidRPr="00DB1AEE" w:rsidRDefault="00DB1AEE" w:rsidP="00DB1AEE">
            <w:pPr>
              <w:suppressAutoHyphens/>
              <w:jc w:val="center"/>
              <w:rPr>
                <w:sz w:val="18"/>
                <w:szCs w:val="18"/>
                <w:u w:val="single"/>
              </w:rPr>
            </w:pPr>
            <w:r w:rsidRPr="00DB1AEE">
              <w:rPr>
                <w:sz w:val="18"/>
                <w:szCs w:val="18"/>
                <w:u w:val="single"/>
              </w:rPr>
              <w:t>20ci</w:t>
            </w:r>
          </w:p>
          <w:p w14:paraId="64A1615C" w14:textId="77777777" w:rsidR="00DB1AEE" w:rsidRPr="00DB1AEE" w:rsidRDefault="00DB1AEE" w:rsidP="00DB1AEE">
            <w:pPr>
              <w:suppressAutoHyphens/>
              <w:jc w:val="center"/>
              <w:rPr>
                <w:sz w:val="18"/>
                <w:szCs w:val="18"/>
                <w:u w:val="single"/>
              </w:rPr>
            </w:pPr>
          </w:p>
        </w:tc>
        <w:tc>
          <w:tcPr>
            <w:tcW w:w="1170" w:type="dxa"/>
            <w:tcBorders>
              <w:top w:val="nil"/>
              <w:left w:val="nil"/>
              <w:bottom w:val="single" w:sz="4" w:space="0" w:color="auto"/>
              <w:right w:val="single" w:sz="4" w:space="0" w:color="auto"/>
            </w:tcBorders>
            <w:vAlign w:val="center"/>
          </w:tcPr>
          <w:p w14:paraId="1E210594" w14:textId="77777777" w:rsidR="00DB1AEE" w:rsidRPr="00DB1AEE" w:rsidRDefault="00DB1AEE" w:rsidP="00DB1AEE">
            <w:pPr>
              <w:suppressAutoHyphens/>
              <w:jc w:val="center"/>
              <w:rPr>
                <w:sz w:val="18"/>
                <w:szCs w:val="18"/>
                <w:u w:val="single"/>
              </w:rPr>
            </w:pPr>
            <w:r w:rsidRPr="00DB1AEE">
              <w:rPr>
                <w:sz w:val="18"/>
                <w:szCs w:val="18"/>
                <w:u w:val="single"/>
              </w:rPr>
              <w:t>30ca or</w:t>
            </w:r>
          </w:p>
          <w:p w14:paraId="73DFBB9B" w14:textId="77777777" w:rsidR="00DB1AEE" w:rsidRPr="00DB1AEE" w:rsidRDefault="00DB1AEE" w:rsidP="00DB1AEE">
            <w:pPr>
              <w:suppressAutoHyphens/>
              <w:jc w:val="center"/>
              <w:rPr>
                <w:sz w:val="18"/>
                <w:szCs w:val="18"/>
                <w:u w:val="single"/>
              </w:rPr>
            </w:pPr>
            <w:r w:rsidRPr="00DB1AEE">
              <w:rPr>
                <w:sz w:val="18"/>
                <w:szCs w:val="18"/>
                <w:u w:val="single"/>
              </w:rPr>
              <w:t>20ca+5ci or</w:t>
            </w:r>
          </w:p>
          <w:p w14:paraId="692D1607" w14:textId="77777777" w:rsidR="00DB1AEE" w:rsidRPr="00DB1AEE" w:rsidRDefault="00DB1AEE" w:rsidP="00DB1AEE">
            <w:pPr>
              <w:suppressAutoHyphens/>
              <w:jc w:val="center"/>
              <w:rPr>
                <w:sz w:val="18"/>
                <w:szCs w:val="18"/>
                <w:u w:val="single"/>
              </w:rPr>
            </w:pPr>
            <w:r w:rsidRPr="00DB1AEE">
              <w:rPr>
                <w:sz w:val="18"/>
                <w:szCs w:val="18"/>
                <w:u w:val="single"/>
              </w:rPr>
              <w:t>13ca+10ci or</w:t>
            </w:r>
          </w:p>
          <w:p w14:paraId="01B2F9F7" w14:textId="77777777" w:rsidR="00DB1AEE" w:rsidRPr="00DB1AEE" w:rsidRDefault="00DB1AEE" w:rsidP="00DB1AEE">
            <w:pPr>
              <w:suppressAutoHyphens/>
              <w:jc w:val="center"/>
              <w:rPr>
                <w:sz w:val="18"/>
                <w:szCs w:val="18"/>
                <w:u w:val="single"/>
              </w:rPr>
            </w:pPr>
            <w:r w:rsidRPr="00DB1AEE">
              <w:rPr>
                <w:sz w:val="18"/>
                <w:szCs w:val="18"/>
                <w:u w:val="single"/>
              </w:rPr>
              <w:t>20ci</w:t>
            </w:r>
          </w:p>
        </w:tc>
        <w:tc>
          <w:tcPr>
            <w:tcW w:w="1226" w:type="dxa"/>
            <w:tcBorders>
              <w:top w:val="nil"/>
              <w:left w:val="nil"/>
              <w:bottom w:val="single" w:sz="4" w:space="0" w:color="auto"/>
              <w:right w:val="single" w:sz="4" w:space="0" w:color="auto"/>
            </w:tcBorders>
            <w:vAlign w:val="center"/>
          </w:tcPr>
          <w:p w14:paraId="4A2C3007" w14:textId="77777777" w:rsidR="00DB1AEE" w:rsidRPr="00DB1AEE" w:rsidRDefault="00DB1AEE" w:rsidP="00DB1AEE">
            <w:pPr>
              <w:suppressAutoHyphens/>
              <w:jc w:val="center"/>
              <w:rPr>
                <w:sz w:val="18"/>
                <w:szCs w:val="18"/>
                <w:u w:val="single"/>
              </w:rPr>
            </w:pPr>
            <w:r w:rsidRPr="00DB1AEE">
              <w:rPr>
                <w:sz w:val="18"/>
                <w:szCs w:val="18"/>
                <w:u w:val="single"/>
              </w:rPr>
              <w:t>30ca or</w:t>
            </w:r>
          </w:p>
          <w:p w14:paraId="1C3B5856" w14:textId="77777777" w:rsidR="00DB1AEE" w:rsidRPr="00DB1AEE" w:rsidRDefault="00DB1AEE" w:rsidP="00DB1AEE">
            <w:pPr>
              <w:suppressAutoHyphens/>
              <w:jc w:val="center"/>
              <w:rPr>
                <w:sz w:val="18"/>
                <w:szCs w:val="18"/>
                <w:u w:val="single"/>
              </w:rPr>
            </w:pPr>
            <w:r w:rsidRPr="00DB1AEE">
              <w:rPr>
                <w:sz w:val="18"/>
                <w:szCs w:val="18"/>
                <w:u w:val="single"/>
              </w:rPr>
              <w:t>20ca+5ci or</w:t>
            </w:r>
          </w:p>
          <w:p w14:paraId="2BB892EA" w14:textId="77777777" w:rsidR="00DB1AEE" w:rsidRPr="00DB1AEE" w:rsidRDefault="00DB1AEE" w:rsidP="00DB1AEE">
            <w:pPr>
              <w:suppressAutoHyphens/>
              <w:jc w:val="center"/>
              <w:rPr>
                <w:sz w:val="18"/>
                <w:szCs w:val="18"/>
                <w:u w:val="single"/>
              </w:rPr>
            </w:pPr>
            <w:r w:rsidRPr="00DB1AEE">
              <w:rPr>
                <w:sz w:val="18"/>
                <w:szCs w:val="18"/>
                <w:u w:val="single"/>
              </w:rPr>
              <w:t>13ca+10ci or</w:t>
            </w:r>
          </w:p>
          <w:p w14:paraId="62E8F346" w14:textId="77777777" w:rsidR="00DB1AEE" w:rsidRPr="00DB1AEE" w:rsidRDefault="00DB1AEE" w:rsidP="00DB1AEE">
            <w:pPr>
              <w:suppressAutoHyphens/>
              <w:jc w:val="center"/>
              <w:rPr>
                <w:sz w:val="18"/>
                <w:szCs w:val="18"/>
                <w:u w:val="single"/>
              </w:rPr>
            </w:pPr>
            <w:r w:rsidRPr="00DB1AEE">
              <w:rPr>
                <w:sz w:val="18"/>
                <w:szCs w:val="18"/>
                <w:u w:val="single"/>
              </w:rPr>
              <w:t>20ci</w:t>
            </w:r>
          </w:p>
        </w:tc>
      </w:tr>
      <w:tr w:rsidR="00DB1AEE" w:rsidRPr="00DB1AEE" w14:paraId="23923E03" w14:textId="77777777" w:rsidTr="00FC1832">
        <w:trPr>
          <w:trHeight w:val="298"/>
          <w:jc w:val="center"/>
        </w:trPr>
        <w:tc>
          <w:tcPr>
            <w:tcW w:w="4049" w:type="dxa"/>
            <w:tcBorders>
              <w:top w:val="nil"/>
              <w:left w:val="single" w:sz="4" w:space="0" w:color="auto"/>
              <w:bottom w:val="single" w:sz="4" w:space="0" w:color="auto"/>
              <w:right w:val="single" w:sz="4" w:space="0" w:color="auto"/>
            </w:tcBorders>
            <w:vAlign w:val="center"/>
            <w:hideMark/>
          </w:tcPr>
          <w:p w14:paraId="5AA1508C" w14:textId="77777777" w:rsidR="00DB1AEE" w:rsidRPr="00DB1AEE" w:rsidRDefault="00DB1AEE" w:rsidP="00DB1AEE">
            <w:pPr>
              <w:suppressAutoHyphens/>
              <w:jc w:val="center"/>
              <w:rPr>
                <w:caps/>
                <w:sz w:val="18"/>
                <w:szCs w:val="18"/>
                <w:u w:val="single"/>
              </w:rPr>
            </w:pPr>
            <w:r w:rsidRPr="00DB1AEE">
              <w:rPr>
                <w:caps/>
                <w:sz w:val="18"/>
                <w:szCs w:val="18"/>
                <w:u w:val="single"/>
              </w:rPr>
              <w:t>Mass Wall</w:t>
            </w:r>
            <w:r w:rsidRPr="00DB1AEE">
              <w:rPr>
                <w:i/>
                <w:iCs/>
                <w:caps/>
                <w:sz w:val="18"/>
                <w:szCs w:val="18"/>
                <w:u w:val="single"/>
              </w:rPr>
              <w:t xml:space="preserve"> R-</w:t>
            </w:r>
            <w:r w:rsidRPr="00DB1AEE">
              <w:rPr>
                <w:caps/>
                <w:sz w:val="18"/>
                <w:szCs w:val="18"/>
                <w:u w:val="single"/>
              </w:rPr>
              <w:t>Value</w:t>
            </w:r>
            <w:r w:rsidRPr="00DB1AEE">
              <w:rPr>
                <w:sz w:val="18"/>
                <w:szCs w:val="18"/>
                <w:u w:val="single"/>
                <w:vertAlign w:val="superscript"/>
              </w:rPr>
              <w:t>e</w:t>
            </w:r>
          </w:p>
        </w:tc>
        <w:tc>
          <w:tcPr>
            <w:tcW w:w="2786" w:type="dxa"/>
            <w:tcBorders>
              <w:top w:val="nil"/>
              <w:left w:val="nil"/>
              <w:bottom w:val="single" w:sz="4" w:space="0" w:color="auto"/>
              <w:right w:val="single" w:sz="4" w:space="0" w:color="auto"/>
            </w:tcBorders>
            <w:vAlign w:val="center"/>
          </w:tcPr>
          <w:p w14:paraId="799BF794" w14:textId="77777777" w:rsidR="00DB1AEE" w:rsidRPr="00DB1AEE" w:rsidRDefault="00DB1AEE" w:rsidP="00DB1AEE">
            <w:pPr>
              <w:suppressAutoHyphens/>
              <w:jc w:val="center"/>
              <w:rPr>
                <w:sz w:val="18"/>
                <w:szCs w:val="18"/>
                <w:u w:val="single"/>
              </w:rPr>
            </w:pPr>
            <w:r w:rsidRPr="00DB1AEE">
              <w:rPr>
                <w:sz w:val="18"/>
                <w:szCs w:val="18"/>
                <w:u w:val="single"/>
              </w:rPr>
              <w:t>15ci/20ci</w:t>
            </w:r>
          </w:p>
        </w:tc>
        <w:tc>
          <w:tcPr>
            <w:tcW w:w="1170" w:type="dxa"/>
            <w:tcBorders>
              <w:top w:val="nil"/>
              <w:left w:val="nil"/>
              <w:bottom w:val="single" w:sz="4" w:space="0" w:color="auto"/>
              <w:right w:val="single" w:sz="4" w:space="0" w:color="auto"/>
            </w:tcBorders>
            <w:vAlign w:val="center"/>
          </w:tcPr>
          <w:p w14:paraId="6F75D81B" w14:textId="77777777" w:rsidR="00DB1AEE" w:rsidRPr="00DB1AEE" w:rsidRDefault="00DB1AEE" w:rsidP="00DB1AEE">
            <w:pPr>
              <w:suppressAutoHyphens/>
              <w:jc w:val="center"/>
              <w:rPr>
                <w:strike/>
                <w:sz w:val="18"/>
                <w:szCs w:val="18"/>
                <w:u w:val="single"/>
              </w:rPr>
            </w:pPr>
            <w:r w:rsidRPr="00DB1AEE">
              <w:rPr>
                <w:sz w:val="18"/>
                <w:szCs w:val="18"/>
                <w:u w:val="single"/>
              </w:rPr>
              <w:t>15ci/20ci</w:t>
            </w:r>
          </w:p>
        </w:tc>
        <w:tc>
          <w:tcPr>
            <w:tcW w:w="1226" w:type="dxa"/>
            <w:tcBorders>
              <w:top w:val="nil"/>
              <w:left w:val="nil"/>
              <w:bottom w:val="single" w:sz="4" w:space="0" w:color="auto"/>
              <w:right w:val="single" w:sz="4" w:space="0" w:color="auto"/>
            </w:tcBorders>
            <w:vAlign w:val="center"/>
          </w:tcPr>
          <w:p w14:paraId="16F08104" w14:textId="77777777" w:rsidR="00DB1AEE" w:rsidRPr="00DB1AEE" w:rsidRDefault="00DB1AEE" w:rsidP="00DB1AEE">
            <w:pPr>
              <w:suppressAutoHyphens/>
              <w:jc w:val="center"/>
              <w:rPr>
                <w:sz w:val="18"/>
                <w:szCs w:val="18"/>
                <w:u w:val="single"/>
              </w:rPr>
            </w:pPr>
            <w:r w:rsidRPr="00DB1AEE">
              <w:rPr>
                <w:sz w:val="18"/>
                <w:szCs w:val="18"/>
                <w:u w:val="single"/>
              </w:rPr>
              <w:t>15ci/20ci</w:t>
            </w:r>
          </w:p>
        </w:tc>
      </w:tr>
      <w:tr w:rsidR="00DB1AEE" w:rsidRPr="00DB1AEE" w14:paraId="5B499944" w14:textId="77777777" w:rsidTr="00FC1832">
        <w:trPr>
          <w:trHeight w:val="298"/>
          <w:jc w:val="center"/>
        </w:trPr>
        <w:tc>
          <w:tcPr>
            <w:tcW w:w="4049" w:type="dxa"/>
            <w:tcBorders>
              <w:top w:val="nil"/>
              <w:left w:val="single" w:sz="4" w:space="0" w:color="auto"/>
              <w:bottom w:val="single" w:sz="4" w:space="0" w:color="auto"/>
              <w:right w:val="single" w:sz="4" w:space="0" w:color="auto"/>
            </w:tcBorders>
            <w:vAlign w:val="center"/>
            <w:hideMark/>
          </w:tcPr>
          <w:p w14:paraId="3C61BE79" w14:textId="77777777" w:rsidR="00DB1AEE" w:rsidRPr="00DB1AEE" w:rsidRDefault="00DB1AEE" w:rsidP="00DB1AEE">
            <w:pPr>
              <w:suppressAutoHyphens/>
              <w:jc w:val="center"/>
              <w:rPr>
                <w:caps/>
                <w:sz w:val="18"/>
                <w:szCs w:val="18"/>
                <w:u w:val="single"/>
              </w:rPr>
            </w:pPr>
            <w:r w:rsidRPr="00DB1AEE">
              <w:rPr>
                <w:caps/>
                <w:sz w:val="18"/>
                <w:szCs w:val="18"/>
                <w:u w:val="single"/>
              </w:rPr>
              <w:t xml:space="preserve">Floor </w:t>
            </w:r>
            <w:r w:rsidRPr="00DB1AEE">
              <w:rPr>
                <w:i/>
                <w:iCs/>
                <w:caps/>
                <w:sz w:val="18"/>
                <w:szCs w:val="18"/>
                <w:u w:val="single"/>
              </w:rPr>
              <w:t>R-</w:t>
            </w:r>
            <w:r w:rsidRPr="00DB1AEE">
              <w:rPr>
                <w:caps/>
                <w:sz w:val="18"/>
                <w:szCs w:val="18"/>
                <w:u w:val="single"/>
              </w:rPr>
              <w:t>Value</w:t>
            </w:r>
            <w:r w:rsidRPr="00DB1AEE">
              <w:rPr>
                <w:sz w:val="18"/>
                <w:szCs w:val="18"/>
                <w:u w:val="single"/>
                <w:vertAlign w:val="superscript"/>
              </w:rPr>
              <w:t>g</w:t>
            </w:r>
          </w:p>
        </w:tc>
        <w:tc>
          <w:tcPr>
            <w:tcW w:w="2786" w:type="dxa"/>
            <w:tcBorders>
              <w:top w:val="nil"/>
              <w:left w:val="nil"/>
              <w:bottom w:val="single" w:sz="4" w:space="0" w:color="auto"/>
              <w:right w:val="single" w:sz="4" w:space="0" w:color="auto"/>
            </w:tcBorders>
            <w:vAlign w:val="center"/>
          </w:tcPr>
          <w:p w14:paraId="0CD50971" w14:textId="77777777" w:rsidR="00DB1AEE" w:rsidRPr="00DB1AEE" w:rsidRDefault="00DB1AEE" w:rsidP="00DB1AEE">
            <w:pPr>
              <w:suppressAutoHyphens/>
              <w:jc w:val="center"/>
              <w:rPr>
                <w:sz w:val="18"/>
                <w:szCs w:val="18"/>
                <w:u w:val="single"/>
              </w:rPr>
            </w:pPr>
            <w:r w:rsidRPr="00DB1AEE">
              <w:rPr>
                <w:sz w:val="18"/>
                <w:szCs w:val="18"/>
                <w:u w:val="single"/>
              </w:rPr>
              <w:t>30ca or 19ca+7.5ci or 20ci</w:t>
            </w:r>
          </w:p>
        </w:tc>
        <w:tc>
          <w:tcPr>
            <w:tcW w:w="1170" w:type="dxa"/>
            <w:tcBorders>
              <w:top w:val="nil"/>
              <w:left w:val="nil"/>
              <w:bottom w:val="single" w:sz="4" w:space="0" w:color="auto"/>
              <w:right w:val="single" w:sz="4" w:space="0" w:color="auto"/>
            </w:tcBorders>
            <w:vAlign w:val="center"/>
          </w:tcPr>
          <w:p w14:paraId="63D7F397" w14:textId="77777777" w:rsidR="00DB1AEE" w:rsidRPr="00DB1AEE" w:rsidRDefault="00DB1AEE" w:rsidP="00DB1AEE">
            <w:pPr>
              <w:suppressAutoHyphens/>
              <w:jc w:val="center"/>
              <w:rPr>
                <w:sz w:val="18"/>
                <w:szCs w:val="18"/>
                <w:u w:val="single"/>
              </w:rPr>
            </w:pPr>
            <w:r w:rsidRPr="00DB1AEE">
              <w:rPr>
                <w:sz w:val="18"/>
                <w:szCs w:val="18"/>
                <w:u w:val="single"/>
              </w:rPr>
              <w:t>30ca or 19ca+7.5ci or 20ci</w:t>
            </w:r>
          </w:p>
        </w:tc>
        <w:tc>
          <w:tcPr>
            <w:tcW w:w="1226" w:type="dxa"/>
            <w:tcBorders>
              <w:top w:val="nil"/>
              <w:left w:val="nil"/>
              <w:bottom w:val="single" w:sz="4" w:space="0" w:color="auto"/>
              <w:right w:val="single" w:sz="4" w:space="0" w:color="auto"/>
            </w:tcBorders>
            <w:vAlign w:val="center"/>
          </w:tcPr>
          <w:p w14:paraId="6EA8C2E4" w14:textId="77777777" w:rsidR="00DB1AEE" w:rsidRPr="00DB1AEE" w:rsidRDefault="00DB1AEE" w:rsidP="00DB1AEE">
            <w:pPr>
              <w:suppressAutoHyphens/>
              <w:jc w:val="center"/>
              <w:rPr>
                <w:sz w:val="18"/>
                <w:szCs w:val="18"/>
                <w:u w:val="single"/>
              </w:rPr>
            </w:pPr>
            <w:r w:rsidRPr="00DB1AEE">
              <w:rPr>
                <w:sz w:val="18"/>
                <w:szCs w:val="18"/>
                <w:u w:val="single"/>
              </w:rPr>
              <w:t>30ca or 19ca+7.5ci or 20ci</w:t>
            </w:r>
          </w:p>
        </w:tc>
      </w:tr>
      <w:tr w:rsidR="00DB1AEE" w:rsidRPr="00DB1AEE" w14:paraId="4FB643D6" w14:textId="77777777" w:rsidTr="00FC1832">
        <w:trPr>
          <w:trHeight w:val="298"/>
          <w:jc w:val="center"/>
        </w:trPr>
        <w:tc>
          <w:tcPr>
            <w:tcW w:w="4049" w:type="dxa"/>
            <w:tcBorders>
              <w:top w:val="nil"/>
              <w:left w:val="single" w:sz="4" w:space="0" w:color="auto"/>
              <w:bottom w:val="single" w:sz="4" w:space="0" w:color="auto"/>
              <w:right w:val="single" w:sz="4" w:space="0" w:color="auto"/>
            </w:tcBorders>
            <w:vAlign w:val="center"/>
            <w:hideMark/>
          </w:tcPr>
          <w:p w14:paraId="3189AA09" w14:textId="77777777" w:rsidR="00DB1AEE" w:rsidRPr="00DB1AEE" w:rsidRDefault="00DB1AEE" w:rsidP="00DB1AEE">
            <w:pPr>
              <w:suppressAutoHyphens/>
              <w:jc w:val="center"/>
              <w:rPr>
                <w:caps/>
                <w:sz w:val="18"/>
                <w:szCs w:val="18"/>
                <w:u w:val="single"/>
                <w:vertAlign w:val="superscript"/>
              </w:rPr>
            </w:pPr>
            <w:r w:rsidRPr="00DB1AEE">
              <w:rPr>
                <w:sz w:val="18"/>
                <w:szCs w:val="18"/>
                <w:u w:val="single"/>
              </w:rPr>
              <w:t xml:space="preserve">BELOW-GRADE </w:t>
            </w:r>
            <w:r w:rsidRPr="00DB1AEE">
              <w:rPr>
                <w:caps/>
                <w:sz w:val="18"/>
                <w:szCs w:val="18"/>
                <w:u w:val="single"/>
              </w:rPr>
              <w:t xml:space="preserve">Wall </w:t>
            </w:r>
            <w:r w:rsidRPr="00DB1AEE">
              <w:rPr>
                <w:i/>
                <w:iCs/>
                <w:caps/>
                <w:sz w:val="18"/>
                <w:szCs w:val="18"/>
                <w:u w:val="single"/>
              </w:rPr>
              <w:t>R-</w:t>
            </w:r>
            <w:r w:rsidRPr="00DB1AEE">
              <w:rPr>
                <w:caps/>
                <w:sz w:val="18"/>
                <w:szCs w:val="18"/>
                <w:u w:val="single"/>
              </w:rPr>
              <w:t>Value </w:t>
            </w:r>
            <w:r w:rsidRPr="00DB1AEE">
              <w:rPr>
                <w:sz w:val="18"/>
                <w:szCs w:val="18"/>
                <w:u w:val="single"/>
                <w:vertAlign w:val="superscript"/>
              </w:rPr>
              <w:t>b</w:t>
            </w:r>
          </w:p>
        </w:tc>
        <w:tc>
          <w:tcPr>
            <w:tcW w:w="2786" w:type="dxa"/>
            <w:tcBorders>
              <w:top w:val="nil"/>
              <w:left w:val="nil"/>
              <w:bottom w:val="single" w:sz="4" w:space="0" w:color="auto"/>
              <w:right w:val="single" w:sz="4" w:space="0" w:color="auto"/>
            </w:tcBorders>
            <w:vAlign w:val="center"/>
          </w:tcPr>
          <w:p w14:paraId="094CD711" w14:textId="77777777" w:rsidR="00DB1AEE" w:rsidRPr="00DB1AEE" w:rsidRDefault="00DB1AEE" w:rsidP="00DB1AEE">
            <w:pPr>
              <w:suppressAutoHyphens/>
              <w:jc w:val="center"/>
              <w:rPr>
                <w:sz w:val="18"/>
                <w:szCs w:val="18"/>
                <w:u w:val="single"/>
              </w:rPr>
            </w:pPr>
            <w:r w:rsidRPr="00DB1AEE">
              <w:rPr>
                <w:sz w:val="18"/>
                <w:szCs w:val="18"/>
                <w:u w:val="single"/>
              </w:rPr>
              <w:t xml:space="preserve"> 15ci or 19ca or 13ca +5ci</w:t>
            </w:r>
          </w:p>
        </w:tc>
        <w:tc>
          <w:tcPr>
            <w:tcW w:w="1170" w:type="dxa"/>
            <w:tcBorders>
              <w:top w:val="nil"/>
              <w:left w:val="nil"/>
              <w:bottom w:val="single" w:sz="4" w:space="0" w:color="auto"/>
              <w:right w:val="single" w:sz="4" w:space="0" w:color="auto"/>
            </w:tcBorders>
            <w:vAlign w:val="center"/>
          </w:tcPr>
          <w:p w14:paraId="63E358B4" w14:textId="77777777" w:rsidR="00DB1AEE" w:rsidRPr="00DB1AEE" w:rsidRDefault="00DB1AEE" w:rsidP="00DB1AEE">
            <w:pPr>
              <w:suppressAutoHyphens/>
              <w:jc w:val="center"/>
              <w:rPr>
                <w:sz w:val="18"/>
                <w:szCs w:val="18"/>
                <w:u w:val="single"/>
              </w:rPr>
            </w:pPr>
            <w:r w:rsidRPr="00DB1AEE">
              <w:rPr>
                <w:sz w:val="18"/>
                <w:szCs w:val="18"/>
                <w:u w:val="single"/>
              </w:rPr>
              <w:t>15ci or 19ca or 13ca +5ci</w:t>
            </w:r>
          </w:p>
        </w:tc>
        <w:tc>
          <w:tcPr>
            <w:tcW w:w="1226" w:type="dxa"/>
            <w:tcBorders>
              <w:top w:val="nil"/>
              <w:left w:val="nil"/>
              <w:bottom w:val="single" w:sz="4" w:space="0" w:color="auto"/>
              <w:right w:val="single" w:sz="4" w:space="0" w:color="auto"/>
            </w:tcBorders>
            <w:vAlign w:val="center"/>
          </w:tcPr>
          <w:p w14:paraId="23CECDB4" w14:textId="77777777" w:rsidR="00DB1AEE" w:rsidRPr="00DB1AEE" w:rsidRDefault="00DB1AEE" w:rsidP="00DB1AEE">
            <w:pPr>
              <w:suppressAutoHyphens/>
              <w:jc w:val="center"/>
              <w:rPr>
                <w:sz w:val="18"/>
                <w:szCs w:val="18"/>
                <w:u w:val="single"/>
              </w:rPr>
            </w:pPr>
            <w:r w:rsidRPr="00DB1AEE">
              <w:rPr>
                <w:sz w:val="18"/>
                <w:szCs w:val="18"/>
                <w:u w:val="single"/>
              </w:rPr>
              <w:t>15ci or 19ca or 13ca +5ci</w:t>
            </w:r>
          </w:p>
        </w:tc>
      </w:tr>
      <w:tr w:rsidR="00DB1AEE" w:rsidRPr="00DB1AEE" w14:paraId="2778962E" w14:textId="77777777" w:rsidTr="00FC1832">
        <w:trPr>
          <w:trHeight w:val="298"/>
          <w:jc w:val="center"/>
        </w:trPr>
        <w:tc>
          <w:tcPr>
            <w:tcW w:w="4049" w:type="dxa"/>
            <w:tcBorders>
              <w:top w:val="nil"/>
              <w:left w:val="single" w:sz="4" w:space="0" w:color="auto"/>
              <w:bottom w:val="single" w:sz="4" w:space="0" w:color="auto"/>
              <w:right w:val="single" w:sz="4" w:space="0" w:color="auto"/>
            </w:tcBorders>
            <w:vAlign w:val="center"/>
          </w:tcPr>
          <w:p w14:paraId="1E555398" w14:textId="77777777" w:rsidR="00DB1AEE" w:rsidRPr="00DB1AEE" w:rsidRDefault="00DB1AEE" w:rsidP="00DB1AEE">
            <w:pPr>
              <w:suppressAutoHyphens/>
              <w:jc w:val="center"/>
              <w:rPr>
                <w:caps/>
                <w:sz w:val="18"/>
                <w:szCs w:val="18"/>
                <w:u w:val="single"/>
              </w:rPr>
            </w:pPr>
            <w:r w:rsidRPr="00DB1AEE">
              <w:rPr>
                <w:caps/>
                <w:sz w:val="18"/>
                <w:szCs w:val="18"/>
                <w:u w:val="single"/>
              </w:rPr>
              <w:t>Unheated slab R-value &amp; depth</w:t>
            </w:r>
            <w:r w:rsidRPr="00DB1AEE">
              <w:rPr>
                <w:sz w:val="18"/>
                <w:szCs w:val="18"/>
                <w:u w:val="single"/>
                <w:vertAlign w:val="superscript"/>
              </w:rPr>
              <w:t>c</w:t>
            </w:r>
          </w:p>
        </w:tc>
        <w:tc>
          <w:tcPr>
            <w:tcW w:w="2786" w:type="dxa"/>
            <w:tcBorders>
              <w:top w:val="nil"/>
              <w:left w:val="nil"/>
              <w:bottom w:val="single" w:sz="4" w:space="0" w:color="auto"/>
              <w:right w:val="single" w:sz="4" w:space="0" w:color="auto"/>
            </w:tcBorders>
            <w:noWrap/>
            <w:vAlign w:val="center"/>
          </w:tcPr>
          <w:p w14:paraId="4A74A272" w14:textId="77777777" w:rsidR="00DB1AEE" w:rsidRPr="00DB1AEE" w:rsidRDefault="00DB1AEE" w:rsidP="00DB1AEE">
            <w:pPr>
              <w:suppressAutoHyphens/>
              <w:jc w:val="center"/>
              <w:rPr>
                <w:strike/>
                <w:sz w:val="18"/>
                <w:szCs w:val="18"/>
                <w:u w:val="single"/>
              </w:rPr>
            </w:pPr>
            <w:r w:rsidRPr="00DB1AEE">
              <w:rPr>
                <w:sz w:val="18"/>
                <w:szCs w:val="18"/>
                <w:u w:val="single"/>
              </w:rPr>
              <w:t>10ci, 4 ft.</w:t>
            </w:r>
          </w:p>
        </w:tc>
        <w:tc>
          <w:tcPr>
            <w:tcW w:w="1170" w:type="dxa"/>
            <w:tcBorders>
              <w:top w:val="nil"/>
              <w:left w:val="nil"/>
              <w:bottom w:val="single" w:sz="4" w:space="0" w:color="auto"/>
              <w:right w:val="single" w:sz="4" w:space="0" w:color="auto"/>
            </w:tcBorders>
            <w:noWrap/>
            <w:vAlign w:val="center"/>
          </w:tcPr>
          <w:p w14:paraId="7788BA0A" w14:textId="77777777" w:rsidR="00DB1AEE" w:rsidRPr="00DB1AEE" w:rsidRDefault="00DB1AEE" w:rsidP="00DB1AEE">
            <w:pPr>
              <w:suppressAutoHyphens/>
              <w:jc w:val="center"/>
              <w:rPr>
                <w:strike/>
                <w:sz w:val="18"/>
                <w:szCs w:val="18"/>
                <w:u w:val="single"/>
              </w:rPr>
            </w:pPr>
            <w:r w:rsidRPr="00DB1AEE">
              <w:rPr>
                <w:sz w:val="18"/>
                <w:szCs w:val="18"/>
                <w:u w:val="single"/>
              </w:rPr>
              <w:t>10ci, 4 ft.</w:t>
            </w:r>
          </w:p>
        </w:tc>
        <w:tc>
          <w:tcPr>
            <w:tcW w:w="1226" w:type="dxa"/>
            <w:tcBorders>
              <w:top w:val="nil"/>
              <w:left w:val="nil"/>
              <w:bottom w:val="single" w:sz="4" w:space="0" w:color="auto"/>
              <w:right w:val="single" w:sz="4" w:space="0" w:color="auto"/>
            </w:tcBorders>
            <w:noWrap/>
            <w:vAlign w:val="center"/>
          </w:tcPr>
          <w:p w14:paraId="53560E8A" w14:textId="77777777" w:rsidR="00DB1AEE" w:rsidRPr="00DB1AEE" w:rsidRDefault="00DB1AEE" w:rsidP="00DB1AEE">
            <w:pPr>
              <w:suppressAutoHyphens/>
              <w:jc w:val="center"/>
              <w:rPr>
                <w:strike/>
                <w:sz w:val="18"/>
                <w:szCs w:val="18"/>
                <w:u w:val="single"/>
              </w:rPr>
            </w:pPr>
            <w:r w:rsidRPr="00DB1AEE">
              <w:rPr>
                <w:sz w:val="18"/>
                <w:szCs w:val="18"/>
                <w:u w:val="single"/>
              </w:rPr>
              <w:t>10ci, 4 ft.</w:t>
            </w:r>
          </w:p>
        </w:tc>
      </w:tr>
      <w:tr w:rsidR="00DB1AEE" w:rsidRPr="00DB1AEE" w14:paraId="04E3B581" w14:textId="77777777" w:rsidTr="00FC1832">
        <w:trPr>
          <w:trHeight w:val="298"/>
          <w:jc w:val="center"/>
        </w:trPr>
        <w:tc>
          <w:tcPr>
            <w:tcW w:w="4049" w:type="dxa"/>
            <w:tcBorders>
              <w:top w:val="nil"/>
              <w:left w:val="single" w:sz="4" w:space="0" w:color="auto"/>
              <w:bottom w:val="single" w:sz="4" w:space="0" w:color="auto"/>
              <w:right w:val="single" w:sz="4" w:space="0" w:color="auto"/>
            </w:tcBorders>
            <w:vAlign w:val="center"/>
          </w:tcPr>
          <w:p w14:paraId="58263894" w14:textId="77777777" w:rsidR="00DB1AEE" w:rsidRPr="00DB1AEE" w:rsidRDefault="00DB1AEE" w:rsidP="00DB1AEE">
            <w:pPr>
              <w:suppressAutoHyphens/>
              <w:jc w:val="center"/>
              <w:rPr>
                <w:caps/>
                <w:sz w:val="18"/>
                <w:szCs w:val="18"/>
                <w:u w:val="single"/>
              </w:rPr>
            </w:pPr>
            <w:r w:rsidRPr="00DB1AEE">
              <w:rPr>
                <w:caps/>
                <w:sz w:val="18"/>
                <w:szCs w:val="18"/>
                <w:u w:val="single"/>
              </w:rPr>
              <w:t>Heated slab R-value &amp; depth</w:t>
            </w:r>
            <w:r w:rsidRPr="00DB1AEE">
              <w:rPr>
                <w:sz w:val="18"/>
                <w:szCs w:val="18"/>
                <w:u w:val="single"/>
                <w:vertAlign w:val="superscript"/>
              </w:rPr>
              <w:t>c</w:t>
            </w:r>
          </w:p>
        </w:tc>
        <w:tc>
          <w:tcPr>
            <w:tcW w:w="2786" w:type="dxa"/>
            <w:tcBorders>
              <w:top w:val="nil"/>
              <w:left w:val="nil"/>
              <w:bottom w:val="single" w:sz="4" w:space="0" w:color="auto"/>
              <w:right w:val="single" w:sz="4" w:space="0" w:color="auto"/>
            </w:tcBorders>
            <w:noWrap/>
            <w:vAlign w:val="center"/>
          </w:tcPr>
          <w:p w14:paraId="4D5565C0" w14:textId="77777777" w:rsidR="00DB1AEE" w:rsidRPr="00DB1AEE" w:rsidRDefault="00DB1AEE" w:rsidP="00DB1AEE">
            <w:pPr>
              <w:suppressAutoHyphens/>
              <w:jc w:val="center"/>
              <w:rPr>
                <w:sz w:val="18"/>
                <w:szCs w:val="18"/>
                <w:u w:val="single"/>
              </w:rPr>
            </w:pPr>
            <w:r w:rsidRPr="00DB1AEE">
              <w:rPr>
                <w:sz w:val="18"/>
                <w:szCs w:val="18"/>
                <w:u w:val="single"/>
              </w:rPr>
              <w:t>10ci 4 ft and R-10 full slab</w:t>
            </w:r>
          </w:p>
          <w:p w14:paraId="602D4460" w14:textId="77777777" w:rsidR="00DB1AEE" w:rsidRPr="00DB1AEE" w:rsidRDefault="00DB1AEE" w:rsidP="00DB1AEE">
            <w:pPr>
              <w:suppressAutoHyphens/>
              <w:jc w:val="center"/>
              <w:rPr>
                <w:strike/>
                <w:sz w:val="18"/>
                <w:szCs w:val="18"/>
                <w:u w:val="single"/>
              </w:rPr>
            </w:pPr>
          </w:p>
        </w:tc>
        <w:tc>
          <w:tcPr>
            <w:tcW w:w="1170" w:type="dxa"/>
            <w:tcBorders>
              <w:top w:val="nil"/>
              <w:left w:val="nil"/>
              <w:bottom w:val="single" w:sz="4" w:space="0" w:color="auto"/>
              <w:right w:val="single" w:sz="4" w:space="0" w:color="auto"/>
            </w:tcBorders>
            <w:noWrap/>
            <w:vAlign w:val="center"/>
          </w:tcPr>
          <w:p w14:paraId="43A4F79C" w14:textId="77777777" w:rsidR="00DB1AEE" w:rsidRPr="00DB1AEE" w:rsidRDefault="00DB1AEE" w:rsidP="00DB1AEE">
            <w:pPr>
              <w:suppressAutoHyphens/>
              <w:jc w:val="center"/>
              <w:rPr>
                <w:sz w:val="18"/>
                <w:szCs w:val="18"/>
                <w:u w:val="single"/>
              </w:rPr>
            </w:pPr>
            <w:r w:rsidRPr="00DB1AEE">
              <w:rPr>
                <w:sz w:val="18"/>
                <w:szCs w:val="18"/>
                <w:u w:val="single"/>
              </w:rPr>
              <w:t>10ci, 4ft and R-10 full slab</w:t>
            </w:r>
          </w:p>
        </w:tc>
        <w:tc>
          <w:tcPr>
            <w:tcW w:w="1226" w:type="dxa"/>
            <w:tcBorders>
              <w:top w:val="nil"/>
              <w:left w:val="nil"/>
              <w:bottom w:val="single" w:sz="4" w:space="0" w:color="auto"/>
              <w:right w:val="single" w:sz="4" w:space="0" w:color="auto"/>
            </w:tcBorders>
            <w:noWrap/>
            <w:vAlign w:val="center"/>
          </w:tcPr>
          <w:p w14:paraId="2ABBE242" w14:textId="77777777" w:rsidR="00DB1AEE" w:rsidRPr="00DB1AEE" w:rsidRDefault="00DB1AEE" w:rsidP="00DB1AEE">
            <w:pPr>
              <w:suppressAutoHyphens/>
              <w:jc w:val="center"/>
              <w:rPr>
                <w:sz w:val="18"/>
                <w:szCs w:val="18"/>
                <w:u w:val="single"/>
              </w:rPr>
            </w:pPr>
            <w:r w:rsidRPr="00DB1AEE">
              <w:rPr>
                <w:sz w:val="18"/>
                <w:szCs w:val="18"/>
                <w:u w:val="single"/>
              </w:rPr>
              <w:t>10ci, 4ft and R-10 full slab</w:t>
            </w:r>
          </w:p>
        </w:tc>
      </w:tr>
      <w:tr w:rsidR="00DB1AEE" w:rsidRPr="00DB1AEE" w14:paraId="70E28A57" w14:textId="77777777" w:rsidTr="00FC1832">
        <w:trPr>
          <w:trHeight w:val="298"/>
          <w:jc w:val="center"/>
        </w:trPr>
        <w:tc>
          <w:tcPr>
            <w:tcW w:w="4049" w:type="dxa"/>
            <w:tcBorders>
              <w:top w:val="nil"/>
              <w:left w:val="single" w:sz="4" w:space="0" w:color="auto"/>
              <w:bottom w:val="single" w:sz="4" w:space="0" w:color="auto"/>
              <w:right w:val="single" w:sz="4" w:space="0" w:color="auto"/>
            </w:tcBorders>
            <w:vAlign w:val="center"/>
            <w:hideMark/>
          </w:tcPr>
          <w:p w14:paraId="2EB6B9D5" w14:textId="77777777" w:rsidR="00DB1AEE" w:rsidRPr="00DB1AEE" w:rsidRDefault="00DB1AEE" w:rsidP="00DB1AEE">
            <w:pPr>
              <w:suppressAutoHyphens/>
              <w:jc w:val="center"/>
              <w:rPr>
                <w:caps/>
                <w:sz w:val="18"/>
                <w:szCs w:val="18"/>
                <w:u w:val="single"/>
                <w:vertAlign w:val="superscript"/>
              </w:rPr>
            </w:pPr>
            <w:r w:rsidRPr="00DB1AEE">
              <w:rPr>
                <w:caps/>
                <w:sz w:val="18"/>
                <w:szCs w:val="18"/>
                <w:u w:val="single"/>
              </w:rPr>
              <w:t xml:space="preserve">Crawl Space Wall </w:t>
            </w:r>
            <w:r w:rsidRPr="00DB1AEE">
              <w:rPr>
                <w:i/>
                <w:iCs/>
                <w:caps/>
                <w:sz w:val="18"/>
                <w:szCs w:val="18"/>
                <w:u w:val="single"/>
              </w:rPr>
              <w:t>R-value</w:t>
            </w:r>
            <w:r w:rsidRPr="00DB1AEE">
              <w:rPr>
                <w:caps/>
                <w:sz w:val="18"/>
                <w:szCs w:val="18"/>
                <w:u w:val="single"/>
              </w:rPr>
              <w:t> </w:t>
            </w:r>
            <w:r w:rsidRPr="00DB1AEE">
              <w:rPr>
                <w:sz w:val="18"/>
                <w:szCs w:val="18"/>
                <w:u w:val="single"/>
                <w:vertAlign w:val="superscript"/>
              </w:rPr>
              <w:t>b</w:t>
            </w:r>
          </w:p>
        </w:tc>
        <w:tc>
          <w:tcPr>
            <w:tcW w:w="2786" w:type="dxa"/>
            <w:tcBorders>
              <w:top w:val="nil"/>
              <w:left w:val="nil"/>
              <w:bottom w:val="single" w:sz="4" w:space="0" w:color="auto"/>
              <w:right w:val="single" w:sz="4" w:space="0" w:color="auto"/>
            </w:tcBorders>
            <w:vAlign w:val="center"/>
          </w:tcPr>
          <w:p w14:paraId="3303DB0D" w14:textId="77777777" w:rsidR="00DB1AEE" w:rsidRPr="00DB1AEE" w:rsidRDefault="00DB1AEE" w:rsidP="00DB1AEE">
            <w:pPr>
              <w:suppressAutoHyphens/>
              <w:jc w:val="center"/>
              <w:rPr>
                <w:strike/>
                <w:sz w:val="18"/>
                <w:szCs w:val="18"/>
                <w:u w:val="single"/>
              </w:rPr>
            </w:pPr>
            <w:r w:rsidRPr="00DB1AEE">
              <w:rPr>
                <w:sz w:val="18"/>
                <w:szCs w:val="18"/>
                <w:u w:val="single"/>
              </w:rPr>
              <w:t>15ci or 19ca or 13ca +5ci</w:t>
            </w:r>
          </w:p>
        </w:tc>
        <w:tc>
          <w:tcPr>
            <w:tcW w:w="1170" w:type="dxa"/>
            <w:tcBorders>
              <w:top w:val="nil"/>
              <w:left w:val="nil"/>
              <w:bottom w:val="single" w:sz="4" w:space="0" w:color="auto"/>
              <w:right w:val="single" w:sz="4" w:space="0" w:color="auto"/>
            </w:tcBorders>
            <w:vAlign w:val="center"/>
          </w:tcPr>
          <w:p w14:paraId="35F73DD1" w14:textId="77777777" w:rsidR="00DB1AEE" w:rsidRPr="00DB1AEE" w:rsidRDefault="00DB1AEE" w:rsidP="00DB1AEE">
            <w:pPr>
              <w:suppressAutoHyphens/>
              <w:jc w:val="center"/>
              <w:rPr>
                <w:sz w:val="18"/>
                <w:szCs w:val="18"/>
                <w:u w:val="single"/>
              </w:rPr>
            </w:pPr>
            <w:r w:rsidRPr="00DB1AEE">
              <w:rPr>
                <w:sz w:val="18"/>
                <w:szCs w:val="18"/>
                <w:u w:val="single"/>
              </w:rPr>
              <w:t>15ci or 19ca or 13ca +5ci</w:t>
            </w:r>
          </w:p>
        </w:tc>
        <w:tc>
          <w:tcPr>
            <w:tcW w:w="1226" w:type="dxa"/>
            <w:tcBorders>
              <w:top w:val="nil"/>
              <w:left w:val="nil"/>
              <w:bottom w:val="single" w:sz="4" w:space="0" w:color="auto"/>
              <w:right w:val="single" w:sz="4" w:space="0" w:color="auto"/>
            </w:tcBorders>
            <w:vAlign w:val="center"/>
          </w:tcPr>
          <w:p w14:paraId="690B4853" w14:textId="77777777" w:rsidR="00DB1AEE" w:rsidRPr="00DB1AEE" w:rsidRDefault="00DB1AEE" w:rsidP="00DB1AEE">
            <w:pPr>
              <w:suppressAutoHyphens/>
              <w:jc w:val="center"/>
              <w:rPr>
                <w:sz w:val="18"/>
                <w:szCs w:val="18"/>
                <w:u w:val="single"/>
              </w:rPr>
            </w:pPr>
            <w:r w:rsidRPr="00DB1AEE">
              <w:rPr>
                <w:sz w:val="18"/>
                <w:szCs w:val="18"/>
                <w:u w:val="single"/>
              </w:rPr>
              <w:t>15ci or 19ca or 13ca +5ci</w:t>
            </w:r>
          </w:p>
        </w:tc>
      </w:tr>
    </w:tbl>
    <w:p w14:paraId="3DE224EA" w14:textId="77777777" w:rsidR="00DB1AEE" w:rsidRPr="00DB1AEE" w:rsidRDefault="00DB1AEE" w:rsidP="00DB1AEE">
      <w:pPr>
        <w:numPr>
          <w:ilvl w:val="0"/>
          <w:numId w:val="161"/>
        </w:numPr>
        <w:suppressAutoHyphens/>
        <w:contextualSpacing/>
        <w:jc w:val="left"/>
        <w:rPr>
          <w:color w:val="000000"/>
          <w:sz w:val="18"/>
          <w:szCs w:val="18"/>
          <w:u w:val="single"/>
        </w:rPr>
      </w:pPr>
      <w:r w:rsidRPr="00DB1AEE">
        <w:rPr>
          <w:i/>
          <w:iCs/>
          <w:sz w:val="18"/>
          <w:szCs w:val="18"/>
          <w:u w:val="single"/>
        </w:rPr>
        <w:t>R-</w:t>
      </w:r>
      <w:r w:rsidRPr="00DB1AEE">
        <w:rPr>
          <w:sz w:val="18"/>
          <w:szCs w:val="18"/>
          <w:u w:val="single"/>
        </w:rPr>
        <w:t xml:space="preserve">values are minimums. </w:t>
      </w:r>
      <w:r w:rsidRPr="00DB1AEE">
        <w:rPr>
          <w:i/>
          <w:iCs/>
          <w:sz w:val="18"/>
          <w:szCs w:val="18"/>
          <w:u w:val="single"/>
        </w:rPr>
        <w:t>U</w:t>
      </w:r>
      <w:r w:rsidRPr="00DB1AEE">
        <w:rPr>
          <w:sz w:val="18"/>
          <w:szCs w:val="18"/>
          <w:u w:val="single"/>
        </w:rPr>
        <w:t xml:space="preserve">-factors and </w:t>
      </w:r>
      <w:r w:rsidRPr="00DB1AEE">
        <w:rPr>
          <w:i/>
          <w:iCs/>
          <w:sz w:val="18"/>
          <w:szCs w:val="18"/>
          <w:u w:val="single"/>
        </w:rPr>
        <w:t xml:space="preserve">SHGC </w:t>
      </w:r>
      <w:r w:rsidRPr="00DB1AEE">
        <w:rPr>
          <w:sz w:val="18"/>
          <w:szCs w:val="18"/>
          <w:u w:val="single"/>
        </w:rPr>
        <w:t xml:space="preserve">are maximums. Where insulation is installed in a cavity that is less than the label or design thickness of the insulation, the installed </w:t>
      </w:r>
      <w:r w:rsidRPr="00DB1AEE">
        <w:rPr>
          <w:i/>
          <w:iCs/>
          <w:sz w:val="18"/>
          <w:szCs w:val="18"/>
          <w:u w:val="single"/>
        </w:rPr>
        <w:t>R</w:t>
      </w:r>
      <w:r w:rsidRPr="00DB1AEE">
        <w:rPr>
          <w:sz w:val="18"/>
          <w:szCs w:val="18"/>
          <w:u w:val="single"/>
        </w:rPr>
        <w:t xml:space="preserve">-value of the insulation shall be not less than the </w:t>
      </w:r>
      <w:r w:rsidRPr="00DB1AEE">
        <w:rPr>
          <w:i/>
          <w:iCs/>
          <w:sz w:val="18"/>
          <w:szCs w:val="18"/>
          <w:u w:val="single"/>
        </w:rPr>
        <w:t>R</w:t>
      </w:r>
      <w:r w:rsidRPr="00DB1AEE">
        <w:rPr>
          <w:sz w:val="18"/>
          <w:szCs w:val="18"/>
          <w:u w:val="single"/>
        </w:rPr>
        <w:t>-value specified in the table. </w:t>
      </w:r>
    </w:p>
    <w:p w14:paraId="27AF01D9" w14:textId="77777777" w:rsidR="00DB1AEE" w:rsidRPr="00DB1AEE" w:rsidRDefault="00DB1AEE" w:rsidP="00DB1AEE">
      <w:pPr>
        <w:numPr>
          <w:ilvl w:val="0"/>
          <w:numId w:val="161"/>
        </w:numPr>
        <w:suppressAutoHyphens/>
        <w:contextualSpacing/>
        <w:jc w:val="left"/>
        <w:rPr>
          <w:color w:val="000000"/>
          <w:sz w:val="18"/>
          <w:szCs w:val="18"/>
          <w:u w:val="single"/>
        </w:rPr>
      </w:pPr>
      <w:r w:rsidRPr="00DB1AEE">
        <w:rPr>
          <w:sz w:val="18"/>
          <w:szCs w:val="18"/>
          <w:u w:val="single"/>
        </w:rPr>
        <w:t>“15ci or 19ca” means R-15</w:t>
      </w:r>
      <w:r w:rsidRPr="00DB1AEE">
        <w:rPr>
          <w:i/>
          <w:iCs/>
          <w:sz w:val="18"/>
          <w:szCs w:val="18"/>
          <w:u w:val="single"/>
        </w:rPr>
        <w:t xml:space="preserve"> continuous insulation</w:t>
      </w:r>
      <w:r w:rsidRPr="00DB1AEE">
        <w:rPr>
          <w:sz w:val="18"/>
          <w:szCs w:val="18"/>
          <w:u w:val="single"/>
        </w:rPr>
        <w:t xml:space="preserve"> (ci) on the interior or exterior surface of the wall or R-19 </w:t>
      </w:r>
      <w:r w:rsidRPr="00DB1AEE">
        <w:rPr>
          <w:i/>
          <w:iCs/>
          <w:sz w:val="18"/>
          <w:szCs w:val="18"/>
          <w:u w:val="single"/>
        </w:rPr>
        <w:t>cavity insulation</w:t>
      </w:r>
      <w:r w:rsidRPr="00DB1AEE">
        <w:rPr>
          <w:sz w:val="18"/>
          <w:szCs w:val="18"/>
          <w:u w:val="single"/>
        </w:rPr>
        <w:t xml:space="preserve"> on the interior side of the wall. 13ca+5ci means R-13 </w:t>
      </w:r>
      <w:r w:rsidRPr="00DB1AEE">
        <w:rPr>
          <w:i/>
          <w:iCs/>
          <w:sz w:val="18"/>
          <w:szCs w:val="18"/>
          <w:u w:val="single"/>
        </w:rPr>
        <w:t>cavity insulation</w:t>
      </w:r>
      <w:r w:rsidRPr="00DB1AEE">
        <w:rPr>
          <w:sz w:val="18"/>
          <w:szCs w:val="18"/>
          <w:u w:val="single"/>
        </w:rPr>
        <w:t xml:space="preserve"> on the interior of the basement wall plus R-5 </w:t>
      </w:r>
      <w:r w:rsidRPr="00DB1AEE">
        <w:rPr>
          <w:i/>
          <w:iCs/>
          <w:sz w:val="18"/>
          <w:szCs w:val="18"/>
          <w:u w:val="single"/>
        </w:rPr>
        <w:t>continuous insulation</w:t>
      </w:r>
      <w:r w:rsidRPr="00DB1AEE">
        <w:rPr>
          <w:sz w:val="18"/>
          <w:szCs w:val="18"/>
          <w:u w:val="single"/>
        </w:rPr>
        <w:t xml:space="preserve"> on the interior or exterior of the home.</w:t>
      </w:r>
    </w:p>
    <w:p w14:paraId="7FE69754" w14:textId="77777777" w:rsidR="00DB1AEE" w:rsidRPr="00DB1AEE" w:rsidRDefault="00DB1AEE" w:rsidP="00DB1AEE">
      <w:pPr>
        <w:numPr>
          <w:ilvl w:val="0"/>
          <w:numId w:val="161"/>
        </w:numPr>
        <w:suppressAutoHyphens/>
        <w:contextualSpacing/>
        <w:jc w:val="left"/>
        <w:rPr>
          <w:color w:val="000000"/>
          <w:sz w:val="18"/>
          <w:szCs w:val="18"/>
          <w:u w:val="single"/>
        </w:rPr>
      </w:pPr>
      <w:r w:rsidRPr="00DB1AEE">
        <w:rPr>
          <w:sz w:val="18"/>
          <w:szCs w:val="18"/>
          <w:u w:val="single"/>
        </w:rPr>
        <w:t>Slab insulation shall be installed in accordance with Section R402.2.9.1. </w:t>
      </w:r>
    </w:p>
    <w:p w14:paraId="4C4865E1" w14:textId="77777777" w:rsidR="00DB1AEE" w:rsidRPr="00DB1AEE" w:rsidRDefault="00DB1AEE" w:rsidP="00DB1AEE">
      <w:pPr>
        <w:numPr>
          <w:ilvl w:val="0"/>
          <w:numId w:val="161"/>
        </w:numPr>
        <w:suppressAutoHyphens/>
        <w:contextualSpacing/>
        <w:jc w:val="left"/>
        <w:rPr>
          <w:color w:val="000000"/>
          <w:sz w:val="18"/>
          <w:szCs w:val="18"/>
          <w:u w:val="single"/>
        </w:rPr>
      </w:pPr>
      <w:r w:rsidRPr="00DB1AEE">
        <w:rPr>
          <w:sz w:val="18"/>
          <w:szCs w:val="18"/>
          <w:u w:val="single"/>
        </w:rPr>
        <w:t>The first value is</w:t>
      </w:r>
      <w:r w:rsidRPr="00DB1AEE">
        <w:rPr>
          <w:i/>
          <w:iCs/>
          <w:sz w:val="18"/>
          <w:szCs w:val="18"/>
          <w:u w:val="single"/>
        </w:rPr>
        <w:t xml:space="preserve"> cavity insulation</w:t>
      </w:r>
      <w:r w:rsidRPr="00DB1AEE">
        <w:rPr>
          <w:sz w:val="18"/>
          <w:szCs w:val="18"/>
          <w:u w:val="single"/>
        </w:rPr>
        <w:t xml:space="preserve">, the second value is </w:t>
      </w:r>
      <w:r w:rsidRPr="00DB1AEE">
        <w:rPr>
          <w:i/>
          <w:iCs/>
          <w:sz w:val="18"/>
          <w:szCs w:val="18"/>
          <w:u w:val="single"/>
        </w:rPr>
        <w:t>continuous insulation.</w:t>
      </w:r>
      <w:r w:rsidRPr="00DB1AEE">
        <w:rPr>
          <w:sz w:val="18"/>
          <w:szCs w:val="18"/>
          <w:u w:val="single"/>
        </w:rPr>
        <w:t xml:space="preserve"> Therefore, as an example, “13ca+10ci ” means R-13  </w:t>
      </w:r>
      <w:r w:rsidRPr="00DB1AEE">
        <w:rPr>
          <w:i/>
          <w:iCs/>
          <w:sz w:val="18"/>
          <w:szCs w:val="18"/>
          <w:u w:val="single"/>
        </w:rPr>
        <w:t>cavity insulation</w:t>
      </w:r>
      <w:r w:rsidRPr="00DB1AEE">
        <w:rPr>
          <w:sz w:val="18"/>
          <w:szCs w:val="18"/>
          <w:u w:val="single"/>
        </w:rPr>
        <w:t xml:space="preserve"> plus R-10 </w:t>
      </w:r>
      <w:r w:rsidRPr="00DB1AEE">
        <w:rPr>
          <w:i/>
          <w:iCs/>
          <w:sz w:val="18"/>
          <w:szCs w:val="18"/>
          <w:u w:val="single"/>
        </w:rPr>
        <w:t>continuous insulation.</w:t>
      </w:r>
      <w:r w:rsidRPr="00DB1AEE">
        <w:rPr>
          <w:sz w:val="18"/>
          <w:szCs w:val="18"/>
          <w:u w:val="single"/>
        </w:rPr>
        <w:t> </w:t>
      </w:r>
    </w:p>
    <w:p w14:paraId="10794607" w14:textId="77777777" w:rsidR="00DB1AEE" w:rsidRPr="00DB1AEE" w:rsidRDefault="00DB1AEE" w:rsidP="00DB1AEE">
      <w:pPr>
        <w:numPr>
          <w:ilvl w:val="0"/>
          <w:numId w:val="161"/>
        </w:numPr>
        <w:suppressAutoHyphens/>
        <w:contextualSpacing/>
        <w:jc w:val="left"/>
        <w:rPr>
          <w:color w:val="000000"/>
          <w:sz w:val="18"/>
          <w:szCs w:val="18"/>
          <w:u w:val="single"/>
        </w:rPr>
      </w:pPr>
      <w:r w:rsidRPr="00DB1AEE">
        <w:rPr>
          <w:sz w:val="18"/>
          <w:szCs w:val="18"/>
          <w:u w:val="single"/>
        </w:rPr>
        <w:t xml:space="preserve">Mass walls shall be in accordance with Section R402.2.5. The second </w:t>
      </w:r>
      <w:r w:rsidRPr="00DB1AEE">
        <w:rPr>
          <w:i/>
          <w:iCs/>
          <w:sz w:val="18"/>
          <w:szCs w:val="18"/>
          <w:u w:val="single"/>
        </w:rPr>
        <w:t>R-value</w:t>
      </w:r>
      <w:r w:rsidRPr="00DB1AEE">
        <w:rPr>
          <w:sz w:val="18"/>
          <w:szCs w:val="18"/>
          <w:u w:val="single"/>
        </w:rPr>
        <w:t xml:space="preserve"> applies where more than half of the insulation is on the interior of the mass wall.</w:t>
      </w:r>
    </w:p>
    <w:p w14:paraId="1780337E" w14:textId="77777777" w:rsidR="00DB1AEE" w:rsidRPr="00DB1AEE" w:rsidRDefault="00DB1AEE" w:rsidP="00DB1AEE">
      <w:pPr>
        <w:numPr>
          <w:ilvl w:val="0"/>
          <w:numId w:val="161"/>
        </w:numPr>
        <w:suppressAutoHyphens/>
        <w:contextualSpacing/>
        <w:jc w:val="left"/>
        <w:rPr>
          <w:color w:val="000000"/>
          <w:sz w:val="18"/>
          <w:szCs w:val="18"/>
          <w:u w:val="single"/>
        </w:rPr>
      </w:pPr>
      <w:r w:rsidRPr="00DB1AEE">
        <w:rPr>
          <w:sz w:val="18"/>
          <w:szCs w:val="18"/>
          <w:u w:val="single"/>
        </w:rPr>
        <w:t>Reserved</w:t>
      </w:r>
    </w:p>
    <w:p w14:paraId="2C441E0D" w14:textId="77777777" w:rsidR="00DB1AEE" w:rsidRPr="00DB1AEE" w:rsidRDefault="00DB1AEE" w:rsidP="00DB1AEE">
      <w:pPr>
        <w:numPr>
          <w:ilvl w:val="0"/>
          <w:numId w:val="161"/>
        </w:numPr>
        <w:suppressAutoHyphens/>
        <w:spacing w:after="160" w:line="279" w:lineRule="auto"/>
        <w:contextualSpacing/>
        <w:jc w:val="left"/>
        <w:rPr>
          <w:sz w:val="18"/>
          <w:szCs w:val="18"/>
          <w:u w:val="single"/>
        </w:rPr>
      </w:pPr>
      <w:r w:rsidRPr="00DB1AEE">
        <w:rPr>
          <w:sz w:val="18"/>
          <w:szCs w:val="18"/>
          <w:u w:val="single"/>
        </w:rPr>
        <w:t>"30ca or 20ca+5ci or 20ci" means R-30</w:t>
      </w:r>
      <w:r w:rsidRPr="00DB1AEE">
        <w:rPr>
          <w:strike/>
          <w:sz w:val="18"/>
          <w:szCs w:val="18"/>
          <w:u w:val="single"/>
        </w:rPr>
        <w:t xml:space="preserve"> </w:t>
      </w:r>
      <w:r w:rsidRPr="00DB1AEE">
        <w:rPr>
          <w:sz w:val="18"/>
          <w:szCs w:val="18"/>
          <w:u w:val="single"/>
        </w:rPr>
        <w:t xml:space="preserve"> </w:t>
      </w:r>
      <w:r w:rsidRPr="00DB1AEE">
        <w:rPr>
          <w:i/>
          <w:iCs/>
          <w:sz w:val="18"/>
          <w:szCs w:val="18"/>
          <w:u w:val="single"/>
        </w:rPr>
        <w:t>cavity insulation</w:t>
      </w:r>
      <w:r w:rsidRPr="00DB1AEE">
        <w:rPr>
          <w:sz w:val="18"/>
          <w:szCs w:val="18"/>
          <w:u w:val="single"/>
        </w:rPr>
        <w:t xml:space="preserve"> alone or R-20 </w:t>
      </w:r>
      <w:r w:rsidRPr="00DB1AEE">
        <w:rPr>
          <w:i/>
          <w:iCs/>
          <w:sz w:val="18"/>
          <w:szCs w:val="18"/>
          <w:u w:val="single"/>
        </w:rPr>
        <w:t>cavity insulation</w:t>
      </w:r>
      <w:r w:rsidRPr="00DB1AEE">
        <w:rPr>
          <w:sz w:val="18"/>
          <w:szCs w:val="18"/>
          <w:u w:val="single"/>
        </w:rPr>
        <w:t xml:space="preserve"> with R-5 </w:t>
      </w:r>
      <w:r w:rsidRPr="00DB1AEE">
        <w:rPr>
          <w:i/>
          <w:iCs/>
          <w:sz w:val="18"/>
          <w:szCs w:val="18"/>
          <w:u w:val="single"/>
        </w:rPr>
        <w:t>continuous insulation</w:t>
      </w:r>
      <w:r w:rsidRPr="00DB1AEE">
        <w:rPr>
          <w:sz w:val="18"/>
          <w:szCs w:val="18"/>
          <w:u w:val="single"/>
        </w:rPr>
        <w:t xml:space="preserve"> or R-20 </w:t>
      </w:r>
      <w:r w:rsidRPr="00DB1AEE">
        <w:rPr>
          <w:i/>
          <w:iCs/>
          <w:sz w:val="18"/>
          <w:szCs w:val="18"/>
          <w:u w:val="single"/>
        </w:rPr>
        <w:t>continuous insulation</w:t>
      </w:r>
      <w:r w:rsidRPr="00DB1AEE">
        <w:rPr>
          <w:sz w:val="18"/>
          <w:szCs w:val="18"/>
          <w:u w:val="single"/>
        </w:rPr>
        <w:t xml:space="preserve"> alone</w:t>
      </w:r>
    </w:p>
    <w:p w14:paraId="4C4191D1" w14:textId="77777777" w:rsidR="00DB1AEE" w:rsidRPr="00DB1AEE" w:rsidRDefault="00DB1AEE" w:rsidP="00DB1AEE">
      <w:pPr>
        <w:suppressAutoHyphens/>
        <w:spacing w:before="130" w:after="130"/>
        <w:rPr>
          <w:rFonts w:eastAsia="MS Mincho"/>
          <w:b/>
          <w:bCs/>
          <w:szCs w:val="24"/>
          <w:u w:val="single"/>
        </w:rPr>
      </w:pPr>
      <w:r w:rsidRPr="00DB1AEE">
        <w:rPr>
          <w:rFonts w:eastAsia="MS Mincho"/>
          <w:b/>
          <w:bCs/>
          <w:szCs w:val="24"/>
          <w:u w:val="single"/>
        </w:rPr>
        <w:t>Section R402.1.6 Rooms containing fuel-burning appliances.</w:t>
      </w:r>
    </w:p>
    <w:p w14:paraId="0A83E881" w14:textId="77777777" w:rsidR="00DB1AEE" w:rsidRPr="00DB1AEE" w:rsidRDefault="00DB1AEE" w:rsidP="00DB1AEE">
      <w:pPr>
        <w:widowControl w:val="0"/>
        <w:suppressAutoHyphens/>
        <w:autoSpaceDE w:val="0"/>
        <w:autoSpaceDN w:val="0"/>
        <w:adjustRightInd w:val="0"/>
        <w:spacing w:before="130" w:after="130"/>
        <w:rPr>
          <w:bCs/>
          <w:szCs w:val="24"/>
          <w:u w:val="single"/>
        </w:rPr>
      </w:pPr>
      <w:r w:rsidRPr="00DB1AEE">
        <w:rPr>
          <w:bCs/>
          <w:szCs w:val="24"/>
          <w:u w:val="single"/>
        </w:rPr>
        <w:t>Section R402.1.6 - Revise Section R402.1.6 to read as follows:</w:t>
      </w:r>
    </w:p>
    <w:p w14:paraId="017B4DB8" w14:textId="77777777" w:rsidR="00DB1AEE" w:rsidRPr="00DB1AEE" w:rsidRDefault="00DB1AEE" w:rsidP="00DB1AEE">
      <w:pPr>
        <w:widowControl w:val="0"/>
        <w:suppressAutoHyphens/>
        <w:autoSpaceDE w:val="0"/>
        <w:autoSpaceDN w:val="0"/>
        <w:adjustRightInd w:val="0"/>
        <w:spacing w:before="130" w:after="130"/>
        <w:ind w:left="360"/>
        <w:rPr>
          <w:b/>
          <w:bCs/>
          <w:u w:val="single"/>
        </w:rPr>
      </w:pPr>
      <w:r w:rsidRPr="00DB1AEE">
        <w:rPr>
          <w:b/>
          <w:bCs/>
          <w:u w:val="single"/>
        </w:rPr>
        <w:t xml:space="preserve">R402.1.6 Rooms containing fuel-burning appliances.  </w:t>
      </w:r>
      <w:r w:rsidRPr="00DB1AEE">
        <w:rPr>
          <w:u w:val="single"/>
        </w:rPr>
        <w:t>In Climate Zones 3 through 8, where open combustion air ducts provide combustion air to open combustion fuel-burning appliances, the appliances and combustion air opening shall be located outside the building thermal envelope or enclosed in a room that is isolated from inside the building thermal envelope. Such rooms shall be sealed and insulated in accordance with the building thermal envelope requirements of Table R402.1.3, where the walls, floors and ceilings shall meet a minimum of the below-grade wall R-value requirement. The door into the room shall be fully gasketed and any water lines and ducts in the room insulated in accordance with Section R403. The combustion air duct shall be insulated where it passes through conditioned space to an R-value of not less than R-8.</w:t>
      </w:r>
    </w:p>
    <w:p w14:paraId="72614FCD" w14:textId="77777777" w:rsidR="00DB1AEE" w:rsidRPr="00DB1AEE" w:rsidRDefault="00DB1AEE" w:rsidP="00DB1AEE">
      <w:pPr>
        <w:widowControl w:val="0"/>
        <w:suppressAutoHyphens/>
        <w:autoSpaceDE w:val="0"/>
        <w:autoSpaceDN w:val="0"/>
        <w:adjustRightInd w:val="0"/>
        <w:spacing w:before="130" w:after="130"/>
        <w:ind w:left="360"/>
        <w:rPr>
          <w:b/>
          <w:bCs/>
          <w:u w:val="single"/>
        </w:rPr>
      </w:pPr>
      <w:r w:rsidRPr="00DB1AEE">
        <w:rPr>
          <w:b/>
          <w:bCs/>
          <w:u w:val="single"/>
        </w:rPr>
        <w:t>Exceptions:</w:t>
      </w:r>
    </w:p>
    <w:p w14:paraId="1A3F6203" w14:textId="77777777" w:rsidR="00DB1AEE" w:rsidRPr="00DB1AEE" w:rsidRDefault="00DB1AEE" w:rsidP="00DB1AEE">
      <w:pPr>
        <w:widowControl w:val="0"/>
        <w:suppressAutoHyphens/>
        <w:autoSpaceDE w:val="0"/>
        <w:autoSpaceDN w:val="0"/>
        <w:adjustRightInd w:val="0"/>
        <w:spacing w:before="130" w:after="130"/>
        <w:ind w:left="648" w:hanging="288"/>
        <w:rPr>
          <w:u w:val="single"/>
        </w:rPr>
      </w:pPr>
      <w:r w:rsidRPr="00DB1AEE">
        <w:rPr>
          <w:u w:val="single"/>
        </w:rPr>
        <w:t>1.</w:t>
      </w:r>
      <w:r w:rsidRPr="00DB1AEE">
        <w:rPr>
          <w:u w:val="single"/>
        </w:rPr>
        <w:tab/>
        <w:t>Direct vent appliances with both intake and exhaust pipes installed continuous to the outside.</w:t>
      </w:r>
    </w:p>
    <w:p w14:paraId="0C9FD9BF" w14:textId="77777777" w:rsidR="00DB1AEE" w:rsidRPr="00DB1AEE" w:rsidRDefault="00DB1AEE" w:rsidP="00DB1AEE">
      <w:pPr>
        <w:widowControl w:val="0"/>
        <w:suppressAutoHyphens/>
        <w:autoSpaceDE w:val="0"/>
        <w:autoSpaceDN w:val="0"/>
        <w:adjustRightInd w:val="0"/>
        <w:spacing w:before="130" w:after="130"/>
        <w:ind w:left="648" w:hanging="288"/>
        <w:rPr>
          <w:u w:val="single"/>
        </w:rPr>
      </w:pPr>
      <w:r w:rsidRPr="00DB1AEE">
        <w:rPr>
          <w:u w:val="single"/>
        </w:rPr>
        <w:t>2.</w:t>
      </w:r>
      <w:r w:rsidRPr="00DB1AEE">
        <w:rPr>
          <w:u w:val="single"/>
        </w:rPr>
        <w:tab/>
        <w:t>Fireplaces and stoves complying with Section R402.4.2 and the New York City Mechanical Code.</w:t>
      </w:r>
    </w:p>
    <w:p w14:paraId="6B7120E4" w14:textId="77777777" w:rsidR="00DB1AEE" w:rsidRPr="00DB1AEE" w:rsidRDefault="00DB1AEE" w:rsidP="00DB1AEE">
      <w:pPr>
        <w:suppressAutoHyphens/>
        <w:spacing w:before="130" w:after="130"/>
        <w:rPr>
          <w:rFonts w:eastAsia="MS Mincho"/>
          <w:b/>
          <w:bCs/>
          <w:szCs w:val="24"/>
          <w:u w:val="single"/>
        </w:rPr>
      </w:pPr>
      <w:r w:rsidRPr="00DB1AEE">
        <w:rPr>
          <w:rFonts w:eastAsia="MS Mincho"/>
          <w:b/>
          <w:bCs/>
          <w:szCs w:val="24"/>
          <w:u w:val="single"/>
        </w:rPr>
        <w:t>Section R402.2.7 Steel-frame ceilings, walls and floors.</w:t>
      </w:r>
    </w:p>
    <w:p w14:paraId="6E07C6FB" w14:textId="77777777" w:rsidR="00DB1AEE" w:rsidRPr="00DB1AEE" w:rsidRDefault="00DB1AEE" w:rsidP="00DB1AEE">
      <w:pPr>
        <w:suppressAutoHyphens/>
        <w:spacing w:before="130" w:after="130"/>
        <w:rPr>
          <w:rFonts w:eastAsia="MS Mincho"/>
          <w:bCs/>
          <w:szCs w:val="24"/>
          <w:u w:val="single"/>
        </w:rPr>
      </w:pPr>
      <w:r w:rsidRPr="00DB1AEE">
        <w:rPr>
          <w:rFonts w:eastAsia="MS Mincho"/>
          <w:bCs/>
          <w:szCs w:val="24"/>
          <w:u w:val="single"/>
        </w:rPr>
        <w:t>Section R402.2.7 – Revise Section R402.2.7 to read as follows:</w:t>
      </w:r>
    </w:p>
    <w:p w14:paraId="3B698AA3" w14:textId="77777777" w:rsidR="00DB1AEE" w:rsidRPr="00DB1AEE" w:rsidRDefault="00DB1AEE" w:rsidP="00DB1AEE">
      <w:pPr>
        <w:widowControl w:val="0"/>
        <w:suppressAutoHyphens/>
        <w:autoSpaceDE w:val="0"/>
        <w:autoSpaceDN w:val="0"/>
        <w:adjustRightInd w:val="0"/>
        <w:spacing w:before="130" w:after="130"/>
        <w:ind w:left="360"/>
        <w:rPr>
          <w:u w:val="single"/>
        </w:rPr>
      </w:pPr>
      <w:r w:rsidRPr="00DB1AEE">
        <w:rPr>
          <w:b/>
          <w:bCs/>
          <w:u w:val="single"/>
        </w:rPr>
        <w:t xml:space="preserve">R402.2.7 Steel-frame ceilings, walls and floors.  </w:t>
      </w:r>
      <w:r w:rsidRPr="00DB1AEE">
        <w:rPr>
          <w:u w:val="single"/>
        </w:rPr>
        <w:t>Steel-frame ceilings, walls, and floors shall comply with the ceiling, wood frame wall and floor U-factor requirements of Table R402.1.2, R-values in table R402.1.3 may not be applied. The calculation of the U-factor for steel-framed ceilings and walls in a building thermal envelope assembly shall be determined in accordance with section RF102.3.</w:t>
      </w:r>
      <w:r w:rsidRPr="00DB1AEE">
        <w:rPr>
          <w:b/>
          <w:bCs/>
          <w:u w:val="single"/>
        </w:rPr>
        <w:t xml:space="preserve">  </w:t>
      </w:r>
    </w:p>
    <w:p w14:paraId="5AF86801" w14:textId="77777777" w:rsidR="00DB1AEE" w:rsidRPr="00DB1AEE" w:rsidRDefault="00DB1AEE" w:rsidP="00DB1AEE">
      <w:pPr>
        <w:widowControl w:val="0"/>
        <w:suppressAutoHyphens/>
        <w:autoSpaceDE w:val="0"/>
        <w:autoSpaceDN w:val="0"/>
        <w:adjustRightInd w:val="0"/>
        <w:spacing w:before="130" w:after="130"/>
        <w:rPr>
          <w:rFonts w:eastAsia="MS Mincho"/>
          <w:b/>
          <w:bCs/>
          <w:u w:val="single"/>
        </w:rPr>
      </w:pPr>
      <w:r w:rsidRPr="00DB1AEE">
        <w:rPr>
          <w:rFonts w:eastAsia="MS Mincho"/>
          <w:b/>
          <w:bCs/>
          <w:u w:val="single"/>
        </w:rPr>
        <w:t>Section R402.2.9 Basement Walls.</w:t>
      </w:r>
    </w:p>
    <w:p w14:paraId="06BAD192" w14:textId="77777777" w:rsidR="00DB1AEE" w:rsidRPr="00DB1AEE" w:rsidRDefault="00DB1AEE" w:rsidP="00DB1AEE">
      <w:pPr>
        <w:widowControl w:val="0"/>
        <w:suppressAutoHyphens/>
        <w:spacing w:before="130" w:after="130"/>
        <w:rPr>
          <w:b/>
          <w:bCs/>
          <w:u w:val="single"/>
        </w:rPr>
      </w:pPr>
      <w:r w:rsidRPr="00DB1AEE">
        <w:rPr>
          <w:b/>
          <w:bCs/>
          <w:u w:val="single"/>
        </w:rPr>
        <w:t xml:space="preserve">Section </w:t>
      </w:r>
      <w:r w:rsidRPr="00DB1AEE">
        <w:rPr>
          <w:rFonts w:eastAsia="MS Mincho"/>
          <w:b/>
          <w:bCs/>
          <w:szCs w:val="24"/>
          <w:u w:val="single"/>
        </w:rPr>
        <w:t xml:space="preserve">R402.2.9 </w:t>
      </w:r>
      <w:r w:rsidRPr="00DB1AEE">
        <w:rPr>
          <w:b/>
          <w:bCs/>
          <w:u w:val="single"/>
        </w:rPr>
        <w:t xml:space="preserve"> - Delete Section </w:t>
      </w:r>
      <w:r w:rsidRPr="00DB1AEE">
        <w:rPr>
          <w:rFonts w:eastAsia="MS Mincho"/>
          <w:b/>
          <w:bCs/>
          <w:szCs w:val="24"/>
          <w:u w:val="single"/>
        </w:rPr>
        <w:t xml:space="preserve">R402.2.9 </w:t>
      </w:r>
      <w:r w:rsidRPr="00DB1AEE">
        <w:rPr>
          <w:b/>
          <w:bCs/>
          <w:u w:val="single"/>
        </w:rPr>
        <w:t xml:space="preserve"> in its entirety and add a new Section </w:t>
      </w:r>
      <w:r w:rsidRPr="00DB1AEE">
        <w:rPr>
          <w:rFonts w:eastAsia="MS Mincho"/>
          <w:b/>
          <w:bCs/>
          <w:szCs w:val="24"/>
          <w:u w:val="single"/>
        </w:rPr>
        <w:t xml:space="preserve">R402.2.9 </w:t>
      </w:r>
      <w:r w:rsidRPr="00DB1AEE">
        <w:rPr>
          <w:b/>
          <w:bCs/>
          <w:u w:val="single"/>
        </w:rPr>
        <w:t xml:space="preserve"> to read as follows:</w:t>
      </w:r>
    </w:p>
    <w:p w14:paraId="48069466" w14:textId="77777777" w:rsidR="00DB1AEE" w:rsidRPr="00DB1AEE" w:rsidRDefault="00DB1AEE" w:rsidP="00DB1AEE">
      <w:pPr>
        <w:widowControl w:val="0"/>
        <w:suppressAutoHyphens/>
        <w:spacing w:before="130" w:after="130"/>
        <w:ind w:left="360"/>
        <w:rPr>
          <w:u w:val="single"/>
        </w:rPr>
      </w:pPr>
      <w:r w:rsidRPr="00DB1AEE">
        <w:rPr>
          <w:b/>
          <w:bCs/>
          <w:u w:val="single"/>
        </w:rPr>
        <w:t xml:space="preserve">R402.2.9 Below-grade walls.  </w:t>
      </w:r>
      <w:r w:rsidRPr="00DB1AEE">
        <w:rPr>
          <w:u w:val="single"/>
        </w:rPr>
        <w:t xml:space="preserve"> Below-grade walls shall be insulated in accordance with Table R402.1.3.  </w:t>
      </w:r>
    </w:p>
    <w:p w14:paraId="3F77D609" w14:textId="77777777" w:rsidR="00DB1AEE" w:rsidRPr="00DB1AEE" w:rsidRDefault="00DB1AEE" w:rsidP="00DB1AEE">
      <w:pPr>
        <w:widowControl w:val="0"/>
        <w:suppressAutoHyphens/>
        <w:spacing w:before="130" w:after="130"/>
        <w:ind w:left="360"/>
        <w:rPr>
          <w:u w:val="single"/>
        </w:rPr>
      </w:pPr>
      <w:r w:rsidRPr="00DB1AEE">
        <w:rPr>
          <w:u w:val="single"/>
        </w:rPr>
        <w:t xml:space="preserve">Exception: Below-grade walls associated with unconditioned basements or cellars where the following requirements are met: </w:t>
      </w:r>
    </w:p>
    <w:p w14:paraId="735AEDF5" w14:textId="77777777" w:rsidR="00DB1AEE" w:rsidRPr="00DB1AEE" w:rsidRDefault="00DB1AEE" w:rsidP="00DB1AEE">
      <w:pPr>
        <w:widowControl w:val="0"/>
        <w:suppressAutoHyphens/>
        <w:spacing w:before="130" w:after="130"/>
        <w:ind w:left="1008" w:hanging="288"/>
        <w:rPr>
          <w:u w:val="single"/>
        </w:rPr>
      </w:pPr>
      <w:r w:rsidRPr="00DB1AEE">
        <w:rPr>
          <w:u w:val="single"/>
        </w:rPr>
        <w:t>1.</w:t>
      </w:r>
      <w:r w:rsidRPr="00DB1AEE">
        <w:rPr>
          <w:u w:val="single"/>
        </w:rPr>
        <w:tab/>
        <w:t xml:space="preserve">The floor overhead, including the underside stairway stringer leading to the basement or cellar, is insulated in accordance with Section R402.1.3 and applicable provisions of Sections R402.2 and R402.2.7. </w:t>
      </w:r>
    </w:p>
    <w:p w14:paraId="0267D648" w14:textId="77777777" w:rsidR="00DB1AEE" w:rsidRPr="00DB1AEE" w:rsidRDefault="00DB1AEE" w:rsidP="00DB1AEE">
      <w:pPr>
        <w:widowControl w:val="0"/>
        <w:suppressAutoHyphens/>
        <w:spacing w:before="130" w:after="130"/>
        <w:ind w:left="1008" w:hanging="288"/>
        <w:rPr>
          <w:u w:val="single"/>
        </w:rPr>
      </w:pPr>
      <w:r w:rsidRPr="00DB1AEE">
        <w:rPr>
          <w:u w:val="single"/>
        </w:rPr>
        <w:t>2.</w:t>
      </w:r>
      <w:r w:rsidRPr="00DB1AEE">
        <w:rPr>
          <w:u w:val="single"/>
        </w:rPr>
        <w:tab/>
        <w:t xml:space="preserve">There are no uninsulated ductwork, domestic hot water piping, or hydronic heating surfaces exposed to the basement or cellar. </w:t>
      </w:r>
    </w:p>
    <w:p w14:paraId="64942873" w14:textId="77777777" w:rsidR="00DB1AEE" w:rsidRPr="00DB1AEE" w:rsidRDefault="00DB1AEE" w:rsidP="00DB1AEE">
      <w:pPr>
        <w:widowControl w:val="0"/>
        <w:suppressAutoHyphens/>
        <w:spacing w:before="130" w:after="130"/>
        <w:ind w:left="1008" w:hanging="288"/>
        <w:rPr>
          <w:u w:val="single"/>
        </w:rPr>
      </w:pPr>
      <w:r w:rsidRPr="00DB1AEE">
        <w:rPr>
          <w:u w:val="single"/>
        </w:rPr>
        <w:t>3.</w:t>
      </w:r>
      <w:r w:rsidRPr="00DB1AEE">
        <w:rPr>
          <w:u w:val="single"/>
        </w:rPr>
        <w:tab/>
        <w:t xml:space="preserve">There are no HVAC supply or return diffusers serving the basement or cellar. </w:t>
      </w:r>
    </w:p>
    <w:p w14:paraId="22E0A8A3" w14:textId="77777777" w:rsidR="00DB1AEE" w:rsidRPr="00DB1AEE" w:rsidRDefault="00DB1AEE" w:rsidP="00DB1AEE">
      <w:pPr>
        <w:widowControl w:val="0"/>
        <w:suppressAutoHyphens/>
        <w:spacing w:before="130" w:after="130"/>
        <w:ind w:left="1008" w:hanging="288"/>
        <w:rPr>
          <w:u w:val="single"/>
        </w:rPr>
      </w:pPr>
      <w:r w:rsidRPr="00DB1AEE">
        <w:rPr>
          <w:u w:val="single"/>
        </w:rPr>
        <w:t>4.</w:t>
      </w:r>
      <w:r w:rsidRPr="00DB1AEE">
        <w:rPr>
          <w:u w:val="single"/>
        </w:rPr>
        <w:tab/>
        <w:t xml:space="preserve">The walls surrounding the stairway and adjacent to conditioned space are insulated in accordance with Section R402.1.3 and applicable provisions of Section R402.2. </w:t>
      </w:r>
    </w:p>
    <w:p w14:paraId="1FB22C11" w14:textId="77777777" w:rsidR="00DB1AEE" w:rsidRPr="00DB1AEE" w:rsidRDefault="00DB1AEE" w:rsidP="00DB1AEE">
      <w:pPr>
        <w:widowControl w:val="0"/>
        <w:suppressAutoHyphens/>
        <w:spacing w:before="130" w:after="130"/>
        <w:ind w:left="1008" w:hanging="288"/>
        <w:rPr>
          <w:u w:val="single"/>
        </w:rPr>
      </w:pPr>
      <w:r w:rsidRPr="00DB1AEE">
        <w:rPr>
          <w:u w:val="single"/>
        </w:rPr>
        <w:t>5.</w:t>
      </w:r>
      <w:r w:rsidRPr="00DB1AEE">
        <w:rPr>
          <w:u w:val="single"/>
        </w:rPr>
        <w:tab/>
        <w:t xml:space="preserve">The door(s) leading to the basement or cellar from conditioned spaces are insulated in accordance with Section R402.1.3 and applicable provisions of Section R402.2, and weatherstripped in accordance with Section R402.4. </w:t>
      </w:r>
    </w:p>
    <w:p w14:paraId="11513A28" w14:textId="77777777" w:rsidR="00DB1AEE" w:rsidRPr="00DB1AEE" w:rsidRDefault="00DB1AEE" w:rsidP="00DB1AEE">
      <w:pPr>
        <w:widowControl w:val="0"/>
        <w:suppressAutoHyphens/>
        <w:spacing w:before="130" w:after="130"/>
        <w:ind w:left="1008" w:hanging="288"/>
        <w:rPr>
          <w:u w:val="single"/>
        </w:rPr>
      </w:pPr>
      <w:r w:rsidRPr="00DB1AEE">
        <w:rPr>
          <w:u w:val="single"/>
        </w:rPr>
        <w:t>6.</w:t>
      </w:r>
      <w:r w:rsidRPr="00DB1AEE">
        <w:rPr>
          <w:u w:val="single"/>
        </w:rPr>
        <w:tab/>
        <w:t>The building thermal envelope separating the basement or cellar from adjacent conditioned spaces complies with Section R402.4.</w:t>
      </w:r>
    </w:p>
    <w:p w14:paraId="7430C9EC" w14:textId="77777777" w:rsidR="00DB1AEE" w:rsidRPr="00DB1AEE" w:rsidRDefault="00DB1AEE" w:rsidP="00DB1AEE">
      <w:pPr>
        <w:widowControl w:val="0"/>
        <w:suppressAutoHyphens/>
        <w:autoSpaceDE w:val="0"/>
        <w:autoSpaceDN w:val="0"/>
        <w:adjustRightInd w:val="0"/>
        <w:spacing w:before="130" w:after="130"/>
        <w:rPr>
          <w:rFonts w:eastAsia="MS Mincho"/>
          <w:b/>
          <w:bCs/>
          <w:u w:val="single"/>
        </w:rPr>
      </w:pPr>
      <w:r w:rsidRPr="00DB1AEE">
        <w:rPr>
          <w:rFonts w:eastAsia="MS Mincho"/>
          <w:b/>
          <w:bCs/>
          <w:u w:val="single"/>
        </w:rPr>
        <w:t>Section R402.2.9.1 Basement wall insulation installation.</w:t>
      </w:r>
    </w:p>
    <w:p w14:paraId="0EBF682F" w14:textId="77777777" w:rsidR="00DB1AEE" w:rsidRPr="00DB1AEE" w:rsidRDefault="00DB1AEE" w:rsidP="00DB1AEE">
      <w:pPr>
        <w:widowControl w:val="0"/>
        <w:suppressAutoHyphens/>
        <w:spacing w:before="130" w:after="130"/>
        <w:rPr>
          <w:u w:val="single"/>
        </w:rPr>
      </w:pPr>
      <w:r w:rsidRPr="00DB1AEE">
        <w:rPr>
          <w:u w:val="single"/>
        </w:rPr>
        <w:t xml:space="preserve">Section </w:t>
      </w:r>
      <w:r w:rsidRPr="00DB1AEE">
        <w:rPr>
          <w:rFonts w:eastAsia="MS Mincho"/>
          <w:szCs w:val="24"/>
          <w:u w:val="single"/>
        </w:rPr>
        <w:t xml:space="preserve">R402.2.9.1 </w:t>
      </w:r>
      <w:r w:rsidRPr="00DB1AEE">
        <w:rPr>
          <w:u w:val="single"/>
        </w:rPr>
        <w:t xml:space="preserve"> - Delete Section </w:t>
      </w:r>
      <w:r w:rsidRPr="00DB1AEE">
        <w:rPr>
          <w:rFonts w:eastAsia="MS Mincho"/>
          <w:szCs w:val="24"/>
          <w:u w:val="single"/>
        </w:rPr>
        <w:t xml:space="preserve">R402.2.9.1 </w:t>
      </w:r>
      <w:r w:rsidRPr="00DB1AEE">
        <w:rPr>
          <w:u w:val="single"/>
        </w:rPr>
        <w:t xml:space="preserve"> in its entirety and add a new Section </w:t>
      </w:r>
      <w:r w:rsidRPr="00DB1AEE">
        <w:rPr>
          <w:rFonts w:eastAsia="MS Mincho"/>
          <w:szCs w:val="24"/>
          <w:u w:val="single"/>
        </w:rPr>
        <w:t xml:space="preserve">R402.2.9.1 </w:t>
      </w:r>
      <w:r w:rsidRPr="00DB1AEE">
        <w:rPr>
          <w:u w:val="single"/>
        </w:rPr>
        <w:t xml:space="preserve"> to read as follows:</w:t>
      </w:r>
    </w:p>
    <w:p w14:paraId="600C99E1" w14:textId="77777777" w:rsidR="00DB1AEE" w:rsidRPr="00DB1AEE" w:rsidRDefault="00DB1AEE" w:rsidP="00DB1AEE">
      <w:pPr>
        <w:widowControl w:val="0"/>
        <w:suppressAutoHyphens/>
        <w:spacing w:before="130" w:after="130"/>
        <w:ind w:left="360"/>
        <w:rPr>
          <w:b/>
          <w:bCs/>
          <w:u w:val="single"/>
        </w:rPr>
      </w:pPr>
      <w:r w:rsidRPr="00DB1AEE">
        <w:rPr>
          <w:b/>
          <w:bCs/>
          <w:u w:val="single"/>
        </w:rPr>
        <w:t xml:space="preserve">R402.2.9.1 Below-grade wall insulation installation. </w:t>
      </w:r>
      <w:r w:rsidRPr="00DB1AEE">
        <w:rPr>
          <w:u w:val="single"/>
        </w:rPr>
        <w:t>Where below-grade walls are insulated, the insulation shall be installed from the top of the below-grade wall down to 10 feet (3048 mm) below grade or to the basement or cellar floor, whichever is less, or in accordance with the proposed design or the rated design, as applicable</w:t>
      </w:r>
    </w:p>
    <w:p w14:paraId="5E783F87" w14:textId="77777777" w:rsidR="00DB1AEE" w:rsidRPr="00DB1AEE" w:rsidRDefault="00DB1AEE" w:rsidP="00DB1AEE">
      <w:pPr>
        <w:widowControl w:val="0"/>
        <w:suppressAutoHyphens/>
        <w:autoSpaceDE w:val="0"/>
        <w:autoSpaceDN w:val="0"/>
        <w:adjustRightInd w:val="0"/>
        <w:spacing w:before="130" w:after="130"/>
        <w:rPr>
          <w:rFonts w:eastAsia="MS Mincho"/>
          <w:b/>
          <w:bCs/>
          <w:u w:val="single"/>
        </w:rPr>
      </w:pPr>
      <w:r w:rsidRPr="00DB1AEE">
        <w:rPr>
          <w:rFonts w:eastAsia="MS Mincho"/>
          <w:b/>
          <w:bCs/>
          <w:u w:val="single"/>
        </w:rPr>
        <w:t>Section R402.2.10.1 Slab-on-grade floor insulation installation.</w:t>
      </w:r>
    </w:p>
    <w:p w14:paraId="462A025F" w14:textId="77777777" w:rsidR="00DB1AEE" w:rsidRPr="00DB1AEE" w:rsidRDefault="00DB1AEE" w:rsidP="00DB1AEE">
      <w:pPr>
        <w:widowControl w:val="0"/>
        <w:suppressAutoHyphens/>
        <w:spacing w:before="130" w:after="130"/>
        <w:rPr>
          <w:u w:val="single"/>
        </w:rPr>
      </w:pPr>
      <w:r w:rsidRPr="00DB1AEE">
        <w:rPr>
          <w:u w:val="single"/>
        </w:rPr>
        <w:t xml:space="preserve">Section </w:t>
      </w:r>
      <w:r w:rsidRPr="00DB1AEE">
        <w:rPr>
          <w:rFonts w:eastAsia="MS Mincho"/>
          <w:szCs w:val="24"/>
          <w:u w:val="single"/>
        </w:rPr>
        <w:t xml:space="preserve">R402.2.10.1 </w:t>
      </w:r>
      <w:r w:rsidRPr="00DB1AEE">
        <w:rPr>
          <w:u w:val="single"/>
        </w:rPr>
        <w:t xml:space="preserve"> - Delete Section </w:t>
      </w:r>
      <w:r w:rsidRPr="00DB1AEE">
        <w:rPr>
          <w:rFonts w:eastAsia="MS Mincho"/>
          <w:szCs w:val="24"/>
          <w:u w:val="single"/>
        </w:rPr>
        <w:t xml:space="preserve">R402.2.10.1 </w:t>
      </w:r>
      <w:r w:rsidRPr="00DB1AEE">
        <w:rPr>
          <w:u w:val="single"/>
        </w:rPr>
        <w:t xml:space="preserve"> in its entirety and add a new Section </w:t>
      </w:r>
      <w:r w:rsidRPr="00DB1AEE">
        <w:rPr>
          <w:rFonts w:eastAsia="MS Mincho"/>
          <w:szCs w:val="24"/>
          <w:u w:val="single"/>
        </w:rPr>
        <w:t xml:space="preserve">R402.2.10.1 </w:t>
      </w:r>
      <w:r w:rsidRPr="00DB1AEE">
        <w:rPr>
          <w:u w:val="single"/>
        </w:rPr>
        <w:t xml:space="preserve"> to read as follows:</w:t>
      </w:r>
    </w:p>
    <w:p w14:paraId="54A9D8AB" w14:textId="77777777" w:rsidR="00DB1AEE" w:rsidRPr="00DB1AEE" w:rsidRDefault="00DB1AEE" w:rsidP="00DB1AEE">
      <w:pPr>
        <w:widowControl w:val="0"/>
        <w:suppressAutoHyphens/>
        <w:spacing w:before="130" w:after="130"/>
        <w:ind w:left="360"/>
        <w:rPr>
          <w:u w:val="single"/>
        </w:rPr>
      </w:pPr>
      <w:r w:rsidRPr="00DB1AEE">
        <w:rPr>
          <w:b/>
          <w:bCs/>
          <w:u w:val="single"/>
        </w:rPr>
        <w:t xml:space="preserve">R402.2.10.1 Slab-on-grade floor insulation installation.  </w:t>
      </w:r>
      <w:r w:rsidRPr="00DB1AEE">
        <w:rPr>
          <w:u w:val="single"/>
        </w:rPr>
        <w:t xml:space="preserve"> For buildings complying with Section R401.2.1, the slab edge continuous insulation shall extend downward from the top of the slab on the outside or inside of the foundation wall. Insulation located below grade shall be extended the vertical distance provided in Table R402.1.3, but need not exceed the footing depth in accordance with chapter 18 of the New York City Building Code. Where a proposed design includes insulation extending away from the building, it shall be protected by pavement or by not less than 10 inches (254 mm) of soil. The top edge of the insulation installed between the exterior wall and the edge of the interior slab shall be permitted to be cut at a 45-degree (0.79 rad) angle away from the exterior wall. Full-slab insulation shall be continuous under the entire area of the slab-on-grade floor, except at structural column locations and service penetrations. Slab edge insulation required at the heated slab perimeter shall not be required to extend below the bottom of the heated slab and shall be continuous with the full slab insulation.</w:t>
      </w:r>
    </w:p>
    <w:p w14:paraId="12E9F004" w14:textId="77777777" w:rsidR="00DB1AEE" w:rsidRPr="00DB1AEE" w:rsidRDefault="00DB1AEE" w:rsidP="00DB1AEE">
      <w:pPr>
        <w:widowControl w:val="0"/>
        <w:suppressAutoHyphens/>
        <w:spacing w:before="130" w:after="130"/>
        <w:rPr>
          <w:u w:val="single"/>
        </w:rPr>
      </w:pPr>
      <w:r w:rsidRPr="00DB1AEE">
        <w:rPr>
          <w:b/>
          <w:bCs/>
          <w:u w:val="single"/>
        </w:rPr>
        <w:t>Section R402.2.11.1  Crawl space wall insulation installations.</w:t>
      </w:r>
    </w:p>
    <w:p w14:paraId="33A97F67" w14:textId="77777777" w:rsidR="00DB1AEE" w:rsidRPr="00DB1AEE" w:rsidRDefault="00DB1AEE" w:rsidP="00DB1AEE">
      <w:pPr>
        <w:widowControl w:val="0"/>
        <w:suppressAutoHyphens/>
        <w:spacing w:before="130" w:after="130"/>
        <w:rPr>
          <w:u w:val="single"/>
        </w:rPr>
      </w:pPr>
      <w:r w:rsidRPr="00DB1AEE">
        <w:rPr>
          <w:u w:val="single"/>
        </w:rPr>
        <w:t xml:space="preserve">Section </w:t>
      </w:r>
      <w:r w:rsidRPr="00DB1AEE">
        <w:rPr>
          <w:rFonts w:eastAsia="MS Mincho"/>
          <w:szCs w:val="24"/>
          <w:u w:val="single"/>
        </w:rPr>
        <w:t xml:space="preserve">R402.2.11.1  </w:t>
      </w:r>
      <w:r w:rsidRPr="00DB1AEE">
        <w:rPr>
          <w:u w:val="single"/>
        </w:rPr>
        <w:t xml:space="preserve">- Revise the last paragraph of  Section </w:t>
      </w:r>
      <w:r w:rsidRPr="00DB1AEE">
        <w:rPr>
          <w:rFonts w:eastAsia="MS Mincho"/>
          <w:szCs w:val="24"/>
          <w:u w:val="single"/>
        </w:rPr>
        <w:t xml:space="preserve">R402.5.1 </w:t>
      </w:r>
      <w:r w:rsidRPr="00DB1AEE">
        <w:rPr>
          <w:u w:val="single"/>
        </w:rPr>
        <w:t xml:space="preserve"> to read as follows:</w:t>
      </w:r>
    </w:p>
    <w:p w14:paraId="088963DE" w14:textId="77777777" w:rsidR="00DB1AEE" w:rsidRPr="00DB1AEE" w:rsidRDefault="00DB1AEE" w:rsidP="00DB1AEE">
      <w:pPr>
        <w:widowControl w:val="0"/>
        <w:suppressAutoHyphens/>
        <w:spacing w:before="130" w:after="130"/>
        <w:ind w:left="360"/>
        <w:rPr>
          <w:u w:val="single"/>
        </w:rPr>
      </w:pPr>
      <w:r w:rsidRPr="00DB1AEE">
        <w:rPr>
          <w:u w:val="single"/>
        </w:rPr>
        <w:t>Exposed earth in crawl space foundations shall be covered with a continuous Class I vapor retarder in accordance with New York City Building Code, as applicable. Joints of the vapor retarder shall overlap by 6 inches (153 mm) and be sealed or taped. The edges of the vapor retarder shall extend not less than 6 inches (153 mm) up stem walls and shall be attached to the stem walls.</w:t>
      </w:r>
    </w:p>
    <w:p w14:paraId="19C90023" w14:textId="77777777" w:rsidR="00DB1AEE" w:rsidRPr="00DB1AEE" w:rsidRDefault="00DB1AEE" w:rsidP="00DB1AEE">
      <w:pPr>
        <w:widowControl w:val="0"/>
        <w:suppressAutoHyphens/>
        <w:spacing w:before="130" w:after="130"/>
        <w:ind w:left="360"/>
        <w:rPr>
          <w:u w:val="single"/>
        </w:rPr>
      </w:pPr>
    </w:p>
    <w:p w14:paraId="4F16F2F0" w14:textId="77777777" w:rsidR="00DB1AEE" w:rsidRPr="00DB1AEE" w:rsidRDefault="00DB1AEE" w:rsidP="00DB1AEE">
      <w:pPr>
        <w:widowControl w:val="0"/>
        <w:suppressAutoHyphens/>
        <w:spacing w:before="130" w:after="130"/>
        <w:rPr>
          <w:u w:val="single"/>
        </w:rPr>
      </w:pPr>
      <w:r w:rsidRPr="00DB1AEE">
        <w:rPr>
          <w:b/>
          <w:bCs/>
          <w:u w:val="single"/>
        </w:rPr>
        <w:t>Section R402.5.1 Building thermal envelope. </w:t>
      </w:r>
      <w:r w:rsidRPr="00DB1AEE">
        <w:rPr>
          <w:u w:val="single"/>
        </w:rPr>
        <w:t> </w:t>
      </w:r>
    </w:p>
    <w:p w14:paraId="3E72D22E" w14:textId="77777777" w:rsidR="00DB1AEE" w:rsidRPr="00DB1AEE" w:rsidRDefault="00DB1AEE" w:rsidP="00DB1AEE">
      <w:pPr>
        <w:widowControl w:val="0"/>
        <w:suppressAutoHyphens/>
        <w:spacing w:before="130" w:after="130"/>
        <w:rPr>
          <w:u w:val="single"/>
        </w:rPr>
      </w:pPr>
      <w:r w:rsidRPr="00DB1AEE">
        <w:rPr>
          <w:u w:val="single"/>
        </w:rPr>
        <w:t xml:space="preserve">Section </w:t>
      </w:r>
      <w:r w:rsidRPr="00DB1AEE">
        <w:rPr>
          <w:rFonts w:eastAsia="MS Mincho"/>
          <w:szCs w:val="24"/>
          <w:u w:val="single"/>
        </w:rPr>
        <w:t xml:space="preserve">R402.5.1 </w:t>
      </w:r>
      <w:r w:rsidRPr="00DB1AEE">
        <w:rPr>
          <w:u w:val="single"/>
        </w:rPr>
        <w:t xml:space="preserve"> - Delete Section </w:t>
      </w:r>
      <w:r w:rsidRPr="00DB1AEE">
        <w:rPr>
          <w:rFonts w:eastAsia="MS Mincho"/>
          <w:szCs w:val="24"/>
          <w:u w:val="single"/>
        </w:rPr>
        <w:t xml:space="preserve">R402.5.1 </w:t>
      </w:r>
      <w:r w:rsidRPr="00DB1AEE">
        <w:rPr>
          <w:u w:val="single"/>
        </w:rPr>
        <w:t xml:space="preserve"> in its entirety and add a new Section </w:t>
      </w:r>
      <w:r w:rsidRPr="00DB1AEE">
        <w:rPr>
          <w:rFonts w:eastAsia="MS Mincho"/>
          <w:szCs w:val="24"/>
          <w:u w:val="single"/>
        </w:rPr>
        <w:t xml:space="preserve">R402.5.1 </w:t>
      </w:r>
      <w:r w:rsidRPr="00DB1AEE">
        <w:rPr>
          <w:u w:val="single"/>
        </w:rPr>
        <w:t xml:space="preserve"> to read as follows:</w:t>
      </w:r>
    </w:p>
    <w:p w14:paraId="55F60541" w14:textId="77777777" w:rsidR="00DB1AEE" w:rsidRPr="00DB1AEE" w:rsidRDefault="00DB1AEE" w:rsidP="00DB1AEE">
      <w:pPr>
        <w:widowControl w:val="0"/>
        <w:suppressAutoHyphens/>
        <w:spacing w:before="130" w:after="130"/>
        <w:ind w:left="360"/>
        <w:rPr>
          <w:u w:val="single"/>
        </w:rPr>
      </w:pPr>
      <w:r w:rsidRPr="00DB1AEE">
        <w:rPr>
          <w:b/>
          <w:bCs/>
          <w:u w:val="single"/>
        </w:rPr>
        <w:t>R402.5.1 Building thermal envelope. </w:t>
      </w:r>
      <w:r w:rsidRPr="00DB1AEE">
        <w:rPr>
          <w:u w:val="single"/>
        </w:rPr>
        <w:t xml:space="preserve">   The </w:t>
      </w:r>
      <w:r w:rsidRPr="00DB1AEE">
        <w:rPr>
          <w:i/>
          <w:iCs/>
          <w:u w:val="single"/>
        </w:rPr>
        <w:t>building thermal envelope</w:t>
      </w:r>
      <w:r w:rsidRPr="00DB1AEE">
        <w:rPr>
          <w:u w:val="single"/>
        </w:rPr>
        <w:t xml:space="preserve"> shall comply with Sections R402.5.1.1 through</w:t>
      </w:r>
      <w:r w:rsidRPr="00DB1AEE">
        <w:rPr>
          <w:b/>
          <w:bCs/>
          <w:u w:val="single"/>
        </w:rPr>
        <w:t xml:space="preserve"> </w:t>
      </w:r>
      <w:r w:rsidRPr="00DB1AEE">
        <w:rPr>
          <w:u w:val="single"/>
        </w:rPr>
        <w:t>R402.5.1.4 The sealing methods between dissimilar materials shall allow for differential expansion and contraction. </w:t>
      </w:r>
    </w:p>
    <w:p w14:paraId="5A346095" w14:textId="77777777" w:rsidR="00DB1AEE" w:rsidRPr="00DB1AEE" w:rsidRDefault="00DB1AEE" w:rsidP="00DB1AEE">
      <w:pPr>
        <w:widowControl w:val="0"/>
        <w:suppressAutoHyphens/>
        <w:spacing w:before="130" w:after="130"/>
        <w:rPr>
          <w:b/>
          <w:bCs/>
          <w:u w:val="single"/>
        </w:rPr>
      </w:pPr>
      <w:r w:rsidRPr="00DB1AEE">
        <w:rPr>
          <w:b/>
          <w:bCs/>
          <w:u w:val="single"/>
        </w:rPr>
        <w:t>Section R402.5.1.1 Installation.</w:t>
      </w:r>
    </w:p>
    <w:p w14:paraId="266A2965" w14:textId="77777777" w:rsidR="00DB1AEE" w:rsidRPr="00DB1AEE" w:rsidRDefault="00DB1AEE" w:rsidP="00DB1AEE">
      <w:pPr>
        <w:widowControl w:val="0"/>
        <w:suppressAutoHyphens/>
        <w:spacing w:before="130" w:after="130"/>
        <w:rPr>
          <w:u w:val="single"/>
        </w:rPr>
      </w:pPr>
      <w:r w:rsidRPr="00DB1AEE">
        <w:rPr>
          <w:u w:val="single"/>
        </w:rPr>
        <w:t xml:space="preserve">Section </w:t>
      </w:r>
      <w:r w:rsidRPr="00DB1AEE">
        <w:rPr>
          <w:rFonts w:eastAsia="MS Mincho"/>
          <w:szCs w:val="24"/>
          <w:u w:val="single"/>
        </w:rPr>
        <w:t xml:space="preserve">R402.5.1.1 </w:t>
      </w:r>
      <w:r w:rsidRPr="00DB1AEE">
        <w:rPr>
          <w:u w:val="single"/>
        </w:rPr>
        <w:t xml:space="preserve"> - Delete Section </w:t>
      </w:r>
      <w:r w:rsidRPr="00DB1AEE">
        <w:rPr>
          <w:rFonts w:eastAsia="MS Mincho"/>
          <w:szCs w:val="24"/>
          <w:u w:val="single"/>
        </w:rPr>
        <w:t xml:space="preserve">R402.5.1.1 </w:t>
      </w:r>
      <w:r w:rsidRPr="00DB1AEE">
        <w:rPr>
          <w:u w:val="single"/>
        </w:rPr>
        <w:t xml:space="preserve">in its entirety and add a new Section </w:t>
      </w:r>
      <w:r w:rsidRPr="00DB1AEE">
        <w:rPr>
          <w:rFonts w:eastAsia="MS Mincho"/>
          <w:szCs w:val="24"/>
          <w:u w:val="single"/>
        </w:rPr>
        <w:t xml:space="preserve">R402.5.1.1 </w:t>
      </w:r>
      <w:r w:rsidRPr="00DB1AEE">
        <w:rPr>
          <w:u w:val="single"/>
        </w:rPr>
        <w:t>to read as follows:</w:t>
      </w:r>
    </w:p>
    <w:p w14:paraId="51C2C56E" w14:textId="77777777" w:rsidR="00DB1AEE" w:rsidRPr="00DB1AEE" w:rsidRDefault="00DB1AEE" w:rsidP="00DB1AEE">
      <w:pPr>
        <w:widowControl w:val="0"/>
        <w:suppressAutoHyphens/>
        <w:spacing w:before="130" w:after="130"/>
        <w:ind w:left="360"/>
        <w:rPr>
          <w:u w:val="single"/>
        </w:rPr>
      </w:pPr>
      <w:r w:rsidRPr="00DB1AEE">
        <w:rPr>
          <w:b/>
          <w:bCs/>
          <w:u w:val="single"/>
        </w:rPr>
        <w:t>R402.5.1.1 Installation.  </w:t>
      </w:r>
      <w:r w:rsidRPr="00DB1AEE">
        <w:rPr>
          <w:u w:val="single"/>
        </w:rPr>
        <w:t xml:space="preserve"> The components of the </w:t>
      </w:r>
      <w:r w:rsidRPr="00DB1AEE">
        <w:rPr>
          <w:i/>
          <w:iCs/>
          <w:u w:val="single"/>
        </w:rPr>
        <w:t>building thermal envelope</w:t>
      </w:r>
      <w:r w:rsidRPr="00DB1AEE">
        <w:rPr>
          <w:u w:val="single"/>
        </w:rPr>
        <w:t xml:space="preserve"> as indicated in Table R402.4.1.1 shall be installed in accordance with the manufacturer’s instructions and the criteria indicated in Table R402.5.1.1, as applicable to the method of construction. Where required by the </w:t>
      </w:r>
      <w:r w:rsidRPr="00DB1AEE">
        <w:rPr>
          <w:i/>
          <w:iCs/>
          <w:u w:val="single"/>
        </w:rPr>
        <w:t>building official,</w:t>
      </w:r>
      <w:r w:rsidRPr="00DB1AEE">
        <w:rPr>
          <w:u w:val="single"/>
        </w:rPr>
        <w:t xml:space="preserve"> an </w:t>
      </w:r>
      <w:r w:rsidRPr="00DB1AEE">
        <w:rPr>
          <w:i/>
          <w:iCs/>
          <w:u w:val="single"/>
        </w:rPr>
        <w:t xml:space="preserve">approved </w:t>
      </w:r>
      <w:r w:rsidRPr="00DB1AEE">
        <w:rPr>
          <w:u w:val="single"/>
        </w:rPr>
        <w:t>agency shall inspect all components and verify compliance. The inspection shall include an open wall visual inspection of all components included in Table R402.5.1.1. and shall be installed so that the insulation material uniformly fills each cavity side-to-side and top-to-bottom, without gaps or voids around obstructions, and is split, installed, or fitted tightly around wiring and other penetrations in the cavity. No more than 2 percent of the total insulated area shall contain gaps or voids in the insulation or be compressed below the thickness required to attain the labeled R-value. </w:t>
      </w:r>
    </w:p>
    <w:p w14:paraId="381D0093" w14:textId="77777777" w:rsidR="00DB1AEE" w:rsidRPr="00DB1AEE" w:rsidRDefault="00DB1AEE" w:rsidP="00DB1AEE">
      <w:pPr>
        <w:widowControl w:val="0"/>
        <w:autoSpaceDE w:val="0"/>
        <w:autoSpaceDN w:val="0"/>
        <w:adjustRightInd w:val="0"/>
        <w:spacing w:before="130" w:after="130"/>
        <w:rPr>
          <w:bCs/>
          <w:iCs/>
          <w:position w:val="16"/>
          <w:szCs w:val="24"/>
          <w:u w:val="single"/>
        </w:rPr>
      </w:pPr>
      <w:r w:rsidRPr="00DB1AEE">
        <w:rPr>
          <w:b/>
          <w:bCs/>
          <w:iCs/>
          <w:szCs w:val="24"/>
          <w:u w:val="single"/>
        </w:rPr>
        <w:t>Table R402.5.1.1 Insulation and Fenestration Requirements by Component</w:t>
      </w:r>
      <w:r w:rsidRPr="00DB1AEE">
        <w:rPr>
          <w:b/>
          <w:bCs/>
          <w:iCs/>
          <w:szCs w:val="24"/>
          <w:u w:val="single"/>
          <w:vertAlign w:val="superscript"/>
        </w:rPr>
        <w:t>a</w:t>
      </w:r>
    </w:p>
    <w:p w14:paraId="4BABEBA8" w14:textId="77777777" w:rsidR="00DB1AEE" w:rsidRPr="00DB1AEE" w:rsidRDefault="00DB1AEE" w:rsidP="00DB1AEE">
      <w:pPr>
        <w:widowControl w:val="0"/>
        <w:suppressAutoHyphens/>
        <w:spacing w:before="130" w:after="130"/>
        <w:ind w:left="360"/>
        <w:rPr>
          <w:b/>
          <w:bCs/>
          <w:u w:val="single"/>
        </w:rPr>
      </w:pPr>
      <w:r w:rsidRPr="00DB1AEE">
        <w:rPr>
          <w:rFonts w:eastAsia="MS Mincho"/>
          <w:bCs/>
          <w:szCs w:val="24"/>
          <w:u w:val="single"/>
        </w:rPr>
        <w:t>Revise Table R402.5.1.1 to read as follows:</w:t>
      </w:r>
    </w:p>
    <w:p w14:paraId="1D7C6739" w14:textId="77777777" w:rsidR="00DB1AEE" w:rsidRPr="00DB1AEE" w:rsidRDefault="00DB1AEE" w:rsidP="00DB1AEE">
      <w:pPr>
        <w:widowControl w:val="0"/>
        <w:suppressAutoHyphens/>
        <w:spacing w:before="130" w:after="130"/>
        <w:ind w:left="360"/>
        <w:jc w:val="center"/>
        <w:rPr>
          <w:b/>
          <w:bCs/>
          <w:u w:val="single"/>
        </w:rPr>
      </w:pPr>
      <w:r w:rsidRPr="00DB1AEE">
        <w:rPr>
          <w:b/>
          <w:bCs/>
          <w:u w:val="single"/>
        </w:rPr>
        <w:t>TABLE R402.5.1.1</w:t>
      </w:r>
    </w:p>
    <w:p w14:paraId="4890AB5B" w14:textId="77777777" w:rsidR="00DB1AEE" w:rsidRPr="00DB1AEE" w:rsidRDefault="00DB1AEE" w:rsidP="00DB1AEE">
      <w:pPr>
        <w:widowControl w:val="0"/>
        <w:suppressAutoHyphens/>
        <w:spacing w:before="130" w:after="130"/>
        <w:ind w:left="360"/>
        <w:jc w:val="center"/>
        <w:rPr>
          <w:b/>
          <w:bCs/>
          <w:u w:val="single"/>
        </w:rPr>
      </w:pPr>
      <w:r w:rsidRPr="00DB1AEE">
        <w:rPr>
          <w:b/>
          <w:bCs/>
          <w:u w:val="single"/>
        </w:rPr>
        <w:t>AIR BARRIER, AIR SEALING AND INSULATION INSTALLATION</w:t>
      </w:r>
      <w:r w:rsidRPr="00DB1AEE">
        <w:rPr>
          <w:b/>
          <w:bCs/>
          <w:u w:val="single"/>
          <w:vertAlign w:val="superscript"/>
        </w:rPr>
        <w:t>a</w:t>
      </w:r>
    </w:p>
    <w:tbl>
      <w:tblPr>
        <w:tblW w:w="9510" w:type="dxa"/>
        <w:tblInd w:w="-3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88"/>
        <w:gridCol w:w="3945"/>
        <w:gridCol w:w="4177"/>
      </w:tblGrid>
      <w:tr w:rsidR="00DB1AEE" w:rsidRPr="00DB1AEE" w14:paraId="781E7C82" w14:textId="77777777" w:rsidTr="00FC1832">
        <w:trPr>
          <w:trHeight w:val="300"/>
        </w:trPr>
        <w:tc>
          <w:tcPr>
            <w:tcW w:w="1388" w:type="dxa"/>
            <w:tcBorders>
              <w:top w:val="single" w:sz="6" w:space="0" w:color="auto"/>
              <w:left w:val="single" w:sz="6" w:space="0" w:color="auto"/>
              <w:bottom w:val="single" w:sz="6" w:space="0" w:color="auto"/>
              <w:right w:val="single" w:sz="6" w:space="0" w:color="auto"/>
            </w:tcBorders>
            <w:vAlign w:val="bottom"/>
            <w:hideMark/>
          </w:tcPr>
          <w:p w14:paraId="710A9DFE" w14:textId="77777777" w:rsidR="00DB1AEE" w:rsidRPr="00DB1AEE" w:rsidRDefault="00DB1AEE" w:rsidP="00DB1AEE">
            <w:pPr>
              <w:widowControl w:val="0"/>
              <w:suppressAutoHyphens/>
              <w:rPr>
                <w:b/>
                <w:bCs/>
                <w:sz w:val="20"/>
                <w:u w:val="single"/>
              </w:rPr>
            </w:pPr>
            <w:r w:rsidRPr="00DB1AEE">
              <w:rPr>
                <w:b/>
                <w:bCs/>
                <w:sz w:val="20"/>
                <w:u w:val="single"/>
              </w:rPr>
              <w:t>COMPONENT </w:t>
            </w:r>
          </w:p>
        </w:tc>
        <w:tc>
          <w:tcPr>
            <w:tcW w:w="3945" w:type="dxa"/>
            <w:tcBorders>
              <w:top w:val="single" w:sz="6" w:space="0" w:color="auto"/>
              <w:left w:val="single" w:sz="6" w:space="0" w:color="auto"/>
              <w:bottom w:val="single" w:sz="6" w:space="0" w:color="auto"/>
              <w:right w:val="single" w:sz="6" w:space="0" w:color="auto"/>
            </w:tcBorders>
            <w:vAlign w:val="bottom"/>
            <w:hideMark/>
          </w:tcPr>
          <w:p w14:paraId="3F5C149B" w14:textId="77777777" w:rsidR="00DB1AEE" w:rsidRPr="00DB1AEE" w:rsidRDefault="00DB1AEE" w:rsidP="00DB1AEE">
            <w:pPr>
              <w:widowControl w:val="0"/>
              <w:suppressAutoHyphens/>
              <w:rPr>
                <w:b/>
                <w:bCs/>
                <w:sz w:val="20"/>
                <w:u w:val="single"/>
              </w:rPr>
            </w:pPr>
            <w:r w:rsidRPr="00DB1AEE">
              <w:rPr>
                <w:b/>
                <w:bCs/>
                <w:sz w:val="20"/>
                <w:u w:val="single"/>
              </w:rPr>
              <w:t>AIR BARRIER, AIR SEALING CRITERIA </w:t>
            </w:r>
          </w:p>
        </w:tc>
        <w:tc>
          <w:tcPr>
            <w:tcW w:w="4177" w:type="dxa"/>
            <w:tcBorders>
              <w:top w:val="single" w:sz="6" w:space="0" w:color="auto"/>
              <w:left w:val="single" w:sz="6" w:space="0" w:color="auto"/>
              <w:bottom w:val="single" w:sz="6" w:space="0" w:color="auto"/>
              <w:right w:val="single" w:sz="6" w:space="0" w:color="auto"/>
            </w:tcBorders>
            <w:vAlign w:val="bottom"/>
            <w:hideMark/>
          </w:tcPr>
          <w:p w14:paraId="4A8F578C" w14:textId="77777777" w:rsidR="00DB1AEE" w:rsidRPr="00DB1AEE" w:rsidRDefault="00DB1AEE" w:rsidP="00DB1AEE">
            <w:pPr>
              <w:widowControl w:val="0"/>
              <w:suppressAutoHyphens/>
              <w:rPr>
                <w:b/>
                <w:bCs/>
                <w:sz w:val="20"/>
                <w:u w:val="single"/>
              </w:rPr>
            </w:pPr>
            <w:r w:rsidRPr="00DB1AEE">
              <w:rPr>
                <w:b/>
                <w:bCs/>
                <w:sz w:val="20"/>
                <w:u w:val="single"/>
              </w:rPr>
              <w:t>INSULATION INSTALLATION CRITERIA </w:t>
            </w:r>
          </w:p>
        </w:tc>
      </w:tr>
      <w:tr w:rsidR="00DB1AEE" w:rsidRPr="00DB1AEE" w14:paraId="14175E41" w14:textId="77777777" w:rsidTr="00FC1832">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449B8196" w14:textId="77777777" w:rsidR="00DB1AEE" w:rsidRPr="00DB1AEE" w:rsidRDefault="00DB1AEE" w:rsidP="00DB1AEE">
            <w:pPr>
              <w:widowControl w:val="0"/>
              <w:suppressAutoHyphens/>
              <w:rPr>
                <w:sz w:val="20"/>
                <w:u w:val="single"/>
              </w:rPr>
            </w:pPr>
            <w:r w:rsidRPr="00DB1AEE">
              <w:rPr>
                <w:sz w:val="20"/>
                <w:u w:val="single"/>
              </w:rPr>
              <w:t>General requirements </w:t>
            </w:r>
          </w:p>
        </w:tc>
        <w:tc>
          <w:tcPr>
            <w:tcW w:w="3945" w:type="dxa"/>
            <w:tcBorders>
              <w:top w:val="single" w:sz="6" w:space="0" w:color="auto"/>
              <w:left w:val="single" w:sz="6" w:space="0" w:color="auto"/>
              <w:bottom w:val="single" w:sz="6" w:space="0" w:color="auto"/>
              <w:right w:val="single" w:sz="6" w:space="0" w:color="auto"/>
            </w:tcBorders>
            <w:hideMark/>
          </w:tcPr>
          <w:p w14:paraId="1CC722CC" w14:textId="77777777" w:rsidR="00DB1AEE" w:rsidRPr="00DB1AEE" w:rsidRDefault="00DB1AEE" w:rsidP="00DB1AEE">
            <w:pPr>
              <w:widowControl w:val="0"/>
              <w:suppressAutoHyphens/>
              <w:jc w:val="center"/>
              <w:rPr>
                <w:sz w:val="20"/>
                <w:u w:val="single"/>
              </w:rPr>
            </w:pPr>
            <w:r w:rsidRPr="00DB1AEE">
              <w:rPr>
                <w:sz w:val="20"/>
                <w:u w:val="single"/>
              </w:rPr>
              <w:t>A continuous air barrier shall be installed in the building thermal envelope.</w:t>
            </w:r>
          </w:p>
          <w:p w14:paraId="1E8EB4A4" w14:textId="77777777" w:rsidR="00DB1AEE" w:rsidRPr="00DB1AEE" w:rsidRDefault="00DB1AEE" w:rsidP="00DB1AEE">
            <w:pPr>
              <w:widowControl w:val="0"/>
              <w:suppressAutoHyphens/>
              <w:jc w:val="center"/>
              <w:rPr>
                <w:sz w:val="20"/>
                <w:u w:val="single"/>
              </w:rPr>
            </w:pPr>
          </w:p>
          <w:p w14:paraId="63B4CAD2" w14:textId="77777777" w:rsidR="00DB1AEE" w:rsidRPr="00DB1AEE" w:rsidRDefault="00DB1AEE" w:rsidP="00DB1AEE">
            <w:pPr>
              <w:widowControl w:val="0"/>
              <w:suppressAutoHyphens/>
              <w:jc w:val="center"/>
              <w:rPr>
                <w:sz w:val="20"/>
                <w:u w:val="single"/>
              </w:rPr>
            </w:pPr>
            <w:r w:rsidRPr="00DB1AEE">
              <w:rPr>
                <w:sz w:val="20"/>
                <w:u w:val="single"/>
              </w:rPr>
              <w:br/>
            </w:r>
          </w:p>
          <w:p w14:paraId="29D5D2ED" w14:textId="77777777" w:rsidR="00DB1AEE" w:rsidRPr="00DB1AEE" w:rsidRDefault="00DB1AEE" w:rsidP="00DB1AEE">
            <w:pPr>
              <w:widowControl w:val="0"/>
              <w:suppressAutoHyphens/>
              <w:jc w:val="center"/>
              <w:rPr>
                <w:sz w:val="20"/>
                <w:u w:val="single"/>
              </w:rPr>
            </w:pPr>
            <w:r w:rsidRPr="00DB1AEE">
              <w:rPr>
                <w:sz w:val="20"/>
                <w:u w:val="single"/>
              </w:rPr>
              <w:t>Breaks or joints in the air barrier shall be sealed.</w:t>
            </w:r>
          </w:p>
        </w:tc>
        <w:tc>
          <w:tcPr>
            <w:tcW w:w="4177" w:type="dxa"/>
            <w:tcBorders>
              <w:top w:val="single" w:sz="6" w:space="0" w:color="auto"/>
              <w:left w:val="single" w:sz="6" w:space="0" w:color="auto"/>
              <w:bottom w:val="single" w:sz="6" w:space="0" w:color="auto"/>
              <w:right w:val="single" w:sz="6" w:space="0" w:color="auto"/>
            </w:tcBorders>
            <w:vAlign w:val="center"/>
            <w:hideMark/>
          </w:tcPr>
          <w:p w14:paraId="0B099283" w14:textId="77777777" w:rsidR="00DB1AEE" w:rsidRPr="00DB1AEE" w:rsidRDefault="00DB1AEE" w:rsidP="00DB1AEE">
            <w:pPr>
              <w:widowControl w:val="0"/>
              <w:suppressAutoHyphens/>
              <w:jc w:val="center"/>
              <w:rPr>
                <w:sz w:val="20"/>
                <w:u w:val="single"/>
              </w:rPr>
            </w:pPr>
            <w:r w:rsidRPr="00DB1AEE">
              <w:rPr>
                <w:sz w:val="20"/>
                <w:u w:val="single"/>
              </w:rPr>
              <w:t>Air-permeable insulation shall not be used as a sealing material.</w:t>
            </w:r>
          </w:p>
          <w:p w14:paraId="094658DA" w14:textId="77777777" w:rsidR="00DB1AEE" w:rsidRPr="00DB1AEE" w:rsidRDefault="00DB1AEE" w:rsidP="00DB1AEE">
            <w:pPr>
              <w:widowControl w:val="0"/>
              <w:suppressAutoHyphens/>
              <w:jc w:val="center"/>
              <w:rPr>
                <w:sz w:val="20"/>
                <w:u w:val="single"/>
              </w:rPr>
            </w:pPr>
          </w:p>
          <w:p w14:paraId="6ACB4B94" w14:textId="77777777" w:rsidR="00DB1AEE" w:rsidRPr="00DB1AEE" w:rsidRDefault="00DB1AEE" w:rsidP="00DB1AEE">
            <w:pPr>
              <w:widowControl w:val="0"/>
              <w:suppressAutoHyphens/>
              <w:jc w:val="center"/>
              <w:rPr>
                <w:sz w:val="20"/>
                <w:u w:val="single"/>
              </w:rPr>
            </w:pPr>
            <w:r w:rsidRPr="00DB1AEE">
              <w:rPr>
                <w:sz w:val="20"/>
                <w:u w:val="single"/>
              </w:rPr>
              <w:t>Insulation shall be installed so that the insulation material uniformly fills each cavity side-to-side and top-to-bottom, without substantial gaps or voids around obstructions, and  is split, installed, or fitted tightly around wiring and other penetrations in the cavity.  Not more than 2 percent of the total insulated area shall be compressed below the thickness required to attain the labeled R-value or contain gaps or voids in the insulation.</w:t>
            </w:r>
          </w:p>
          <w:p w14:paraId="141F694D" w14:textId="77777777" w:rsidR="00DB1AEE" w:rsidRPr="00DB1AEE" w:rsidRDefault="00DB1AEE" w:rsidP="00DB1AEE">
            <w:pPr>
              <w:widowControl w:val="0"/>
              <w:suppressAutoHyphens/>
              <w:jc w:val="center"/>
              <w:rPr>
                <w:sz w:val="20"/>
                <w:u w:val="single"/>
              </w:rPr>
            </w:pPr>
          </w:p>
        </w:tc>
      </w:tr>
      <w:tr w:rsidR="00DB1AEE" w:rsidRPr="00DB1AEE" w14:paraId="3419F448" w14:textId="77777777" w:rsidTr="00FC1832">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5F87AEB1" w14:textId="77777777" w:rsidR="00DB1AEE" w:rsidRPr="00DB1AEE" w:rsidRDefault="00DB1AEE" w:rsidP="00DB1AEE">
            <w:pPr>
              <w:widowControl w:val="0"/>
              <w:suppressAutoHyphens/>
              <w:rPr>
                <w:sz w:val="20"/>
                <w:u w:val="single"/>
              </w:rPr>
            </w:pPr>
            <w:r w:rsidRPr="00DB1AEE">
              <w:rPr>
                <w:sz w:val="20"/>
                <w:u w:val="single"/>
              </w:rPr>
              <w:t>Ceiling/attic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73459649" w14:textId="77777777" w:rsidR="00DB1AEE" w:rsidRPr="00DB1AEE" w:rsidRDefault="00DB1AEE" w:rsidP="00DB1AEE">
            <w:pPr>
              <w:widowControl w:val="0"/>
              <w:suppressAutoHyphens/>
              <w:rPr>
                <w:sz w:val="20"/>
                <w:u w:val="single"/>
              </w:rPr>
            </w:pPr>
            <w:r w:rsidRPr="00DB1AEE">
              <w:rPr>
                <w:sz w:val="20"/>
                <w:u w:val="single"/>
              </w:rPr>
              <w:t> An air barrier shall be installed in any dropped ceiling or soffit to separate it from unconditioned space. </w:t>
            </w:r>
            <w:r w:rsidRPr="00DB1AEE">
              <w:rPr>
                <w:sz w:val="20"/>
                <w:u w:val="single"/>
              </w:rPr>
              <w:br/>
              <w:t> </w:t>
            </w:r>
          </w:p>
          <w:p w14:paraId="4FA3747E" w14:textId="77777777" w:rsidR="00DB1AEE" w:rsidRPr="00DB1AEE" w:rsidRDefault="00DB1AEE" w:rsidP="00DB1AEE">
            <w:pPr>
              <w:widowControl w:val="0"/>
              <w:suppressAutoHyphens/>
              <w:rPr>
                <w:sz w:val="20"/>
                <w:u w:val="single"/>
              </w:rPr>
            </w:pPr>
            <w:r w:rsidRPr="00DB1AEE">
              <w:rPr>
                <w:sz w:val="20"/>
                <w:u w:val="single"/>
              </w:rPr>
              <w:t>Access openings, drop down stairs or knee wall doors to unconditioned attic spaces shall be sealed with gasketing </w:t>
            </w:r>
          </w:p>
          <w:p w14:paraId="4CB8D6EC" w14:textId="77777777" w:rsidR="00DB1AEE" w:rsidRPr="00DB1AEE" w:rsidRDefault="00DB1AEE" w:rsidP="00DB1AEE">
            <w:pPr>
              <w:widowControl w:val="0"/>
              <w:suppressAutoHyphens/>
              <w:rPr>
                <w:sz w:val="20"/>
                <w:u w:val="single"/>
              </w:rPr>
            </w:pPr>
            <w:r w:rsidRPr="00DB1AEE">
              <w:rPr>
                <w:sz w:val="20"/>
                <w:u w:val="single"/>
              </w:rPr>
              <w:t>materials that allow for repeated entrance over time.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6A19EAB5" w14:textId="77777777" w:rsidR="00DB1AEE" w:rsidRPr="00DB1AEE" w:rsidRDefault="00DB1AEE" w:rsidP="00DB1AEE">
            <w:pPr>
              <w:widowControl w:val="0"/>
              <w:suppressAutoHyphens/>
              <w:rPr>
                <w:sz w:val="20"/>
                <w:u w:val="single"/>
              </w:rPr>
            </w:pPr>
            <w:r w:rsidRPr="00DB1AEE">
              <w:rPr>
                <w:sz w:val="20"/>
                <w:u w:val="single"/>
              </w:rPr>
              <w:t>The insulation in any dropped ceiling/soffit shall be aligned with the air barrier. Access hatches </w:t>
            </w:r>
          </w:p>
          <w:p w14:paraId="7F4E0CD3" w14:textId="77777777" w:rsidR="00DB1AEE" w:rsidRPr="00DB1AEE" w:rsidRDefault="00DB1AEE" w:rsidP="00DB1AEE">
            <w:pPr>
              <w:widowControl w:val="0"/>
              <w:suppressAutoHyphens/>
              <w:rPr>
                <w:sz w:val="20"/>
                <w:u w:val="single"/>
              </w:rPr>
            </w:pPr>
            <w:r w:rsidRPr="00DB1AEE">
              <w:rPr>
                <w:sz w:val="20"/>
                <w:u w:val="single"/>
              </w:rPr>
              <w:t>and doors shall be installed and insulated in accordance with Section R402.2.5. </w:t>
            </w:r>
          </w:p>
          <w:p w14:paraId="704EEA25" w14:textId="77777777" w:rsidR="00DB1AEE" w:rsidRPr="00DB1AEE" w:rsidRDefault="00DB1AEE" w:rsidP="00DB1AEE">
            <w:pPr>
              <w:widowControl w:val="0"/>
              <w:suppressAutoHyphens/>
              <w:rPr>
                <w:sz w:val="20"/>
                <w:u w:val="single"/>
              </w:rPr>
            </w:pPr>
            <w:r w:rsidRPr="00DB1AEE">
              <w:rPr>
                <w:sz w:val="20"/>
                <w:u w:val="single"/>
              </w:rPr>
              <w:t>Eave baffles shall be installed in accordance with </w:t>
            </w:r>
          </w:p>
          <w:p w14:paraId="1E797213" w14:textId="77777777" w:rsidR="00DB1AEE" w:rsidRPr="00DB1AEE" w:rsidRDefault="00DB1AEE" w:rsidP="00DB1AEE">
            <w:pPr>
              <w:widowControl w:val="0"/>
              <w:suppressAutoHyphens/>
              <w:rPr>
                <w:sz w:val="20"/>
                <w:u w:val="single"/>
              </w:rPr>
            </w:pPr>
            <w:r w:rsidRPr="00DB1AEE">
              <w:rPr>
                <w:sz w:val="20"/>
                <w:u w:val="single"/>
              </w:rPr>
              <w:t>Section R402.2.4. </w:t>
            </w:r>
          </w:p>
        </w:tc>
      </w:tr>
      <w:tr w:rsidR="00DB1AEE" w:rsidRPr="00DB1AEE" w14:paraId="335D40DF" w14:textId="77777777" w:rsidTr="00FC1832">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62BD3C88" w14:textId="77777777" w:rsidR="00DB1AEE" w:rsidRPr="00DB1AEE" w:rsidRDefault="00DB1AEE" w:rsidP="00DB1AEE">
            <w:pPr>
              <w:widowControl w:val="0"/>
              <w:suppressAutoHyphens/>
              <w:rPr>
                <w:sz w:val="20"/>
                <w:u w:val="single"/>
              </w:rPr>
            </w:pPr>
            <w:r w:rsidRPr="00DB1AEE">
              <w:rPr>
                <w:sz w:val="20"/>
                <w:u w:val="single"/>
              </w:rPr>
              <w:t>Walls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10C80719" w14:textId="77777777" w:rsidR="00DB1AEE" w:rsidRPr="00DB1AEE" w:rsidRDefault="00DB1AEE" w:rsidP="00DB1AEE">
            <w:pPr>
              <w:widowControl w:val="0"/>
              <w:suppressAutoHyphens/>
              <w:rPr>
                <w:sz w:val="20"/>
                <w:u w:val="single"/>
              </w:rPr>
            </w:pPr>
            <w:r w:rsidRPr="00DB1AEE">
              <w:rPr>
                <w:sz w:val="20"/>
                <w:u w:val="single"/>
              </w:rPr>
              <w:t>The junction of the foundation and sill plate shall be sealed.  </w:t>
            </w:r>
            <w:r w:rsidRPr="00DB1AEE">
              <w:rPr>
                <w:sz w:val="20"/>
                <w:u w:val="single"/>
              </w:rPr>
              <w:br/>
              <w:t> </w:t>
            </w:r>
          </w:p>
          <w:p w14:paraId="64C50DD1" w14:textId="77777777" w:rsidR="00DB1AEE" w:rsidRPr="00DB1AEE" w:rsidRDefault="00DB1AEE" w:rsidP="00DB1AEE">
            <w:pPr>
              <w:widowControl w:val="0"/>
              <w:suppressAutoHyphens/>
              <w:rPr>
                <w:sz w:val="20"/>
                <w:u w:val="single"/>
              </w:rPr>
            </w:pPr>
            <w:r w:rsidRPr="00DB1AEE">
              <w:rPr>
                <w:sz w:val="20"/>
                <w:u w:val="single"/>
              </w:rPr>
              <w:t>The junction of the top plate and the top of exterior walls shall be sealed. </w:t>
            </w:r>
          </w:p>
          <w:p w14:paraId="76AFEC8E" w14:textId="77777777" w:rsidR="00DB1AEE" w:rsidRPr="00DB1AEE" w:rsidRDefault="00DB1AEE" w:rsidP="00DB1AEE">
            <w:pPr>
              <w:widowControl w:val="0"/>
              <w:suppressAutoHyphens/>
              <w:rPr>
                <w:sz w:val="20"/>
                <w:u w:val="single"/>
              </w:rPr>
            </w:pPr>
            <w:r w:rsidRPr="00DB1AEE">
              <w:rPr>
                <w:sz w:val="20"/>
                <w:u w:val="single"/>
              </w:rPr>
              <w:t> </w:t>
            </w:r>
          </w:p>
          <w:p w14:paraId="5612F76D" w14:textId="77777777" w:rsidR="00DB1AEE" w:rsidRPr="00DB1AEE" w:rsidRDefault="00DB1AEE" w:rsidP="00DB1AEE">
            <w:pPr>
              <w:widowControl w:val="0"/>
              <w:suppressAutoHyphens/>
              <w:rPr>
                <w:sz w:val="20"/>
                <w:u w:val="single"/>
              </w:rPr>
            </w:pPr>
            <w:r w:rsidRPr="00DB1AEE">
              <w:rPr>
                <w:sz w:val="20"/>
                <w:u w:val="single"/>
              </w:rPr>
              <w:t>Knee walls shall be sealed.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30AAE38B" w14:textId="77777777" w:rsidR="00DB1AEE" w:rsidRPr="00DB1AEE" w:rsidRDefault="00DB1AEE" w:rsidP="00DB1AEE">
            <w:pPr>
              <w:widowControl w:val="0"/>
              <w:suppressAutoHyphens/>
              <w:rPr>
                <w:sz w:val="20"/>
                <w:u w:val="single"/>
              </w:rPr>
            </w:pPr>
            <w:r w:rsidRPr="00DB1AEE">
              <w:rPr>
                <w:sz w:val="20"/>
                <w:u w:val="single"/>
              </w:rPr>
              <w:t xml:space="preserve">Cavities within corners and headers of frame walls shall be insulated by completely filling the cavity with a material having a thermal resistance, </w:t>
            </w:r>
            <w:r w:rsidRPr="00DB1AEE">
              <w:rPr>
                <w:i/>
                <w:iCs/>
                <w:sz w:val="20"/>
                <w:u w:val="single"/>
              </w:rPr>
              <w:t>R</w:t>
            </w:r>
            <w:r w:rsidRPr="00DB1AEE">
              <w:rPr>
                <w:sz w:val="20"/>
                <w:u w:val="single"/>
              </w:rPr>
              <w:t xml:space="preserve">-value, of not less than </w:t>
            </w:r>
            <w:r w:rsidRPr="00DB1AEE">
              <w:rPr>
                <w:i/>
                <w:iCs/>
                <w:sz w:val="20"/>
                <w:u w:val="single"/>
              </w:rPr>
              <w:t>R</w:t>
            </w:r>
            <w:r w:rsidRPr="00DB1AEE">
              <w:rPr>
                <w:sz w:val="20"/>
                <w:u w:val="single"/>
              </w:rPr>
              <w:t>-3 per inch.  </w:t>
            </w:r>
            <w:r w:rsidRPr="00DB1AEE">
              <w:rPr>
                <w:sz w:val="20"/>
                <w:u w:val="single"/>
              </w:rPr>
              <w:br/>
              <w:t> </w:t>
            </w:r>
          </w:p>
          <w:p w14:paraId="26E82842" w14:textId="77777777" w:rsidR="00DB1AEE" w:rsidRPr="00DB1AEE" w:rsidRDefault="00DB1AEE" w:rsidP="00DB1AEE">
            <w:pPr>
              <w:widowControl w:val="0"/>
              <w:suppressAutoHyphens/>
              <w:rPr>
                <w:sz w:val="20"/>
                <w:u w:val="single"/>
              </w:rPr>
            </w:pPr>
            <w:r w:rsidRPr="00DB1AEE">
              <w:rPr>
                <w:sz w:val="20"/>
                <w:u w:val="single"/>
              </w:rPr>
              <w:t>Exterior building thermal envelope insulation for framed walls shall be installed in substantial contact and continuous alignment with the air barrier. </w:t>
            </w:r>
          </w:p>
        </w:tc>
      </w:tr>
      <w:tr w:rsidR="00DB1AEE" w:rsidRPr="00DB1AEE" w14:paraId="3B51C636" w14:textId="77777777" w:rsidTr="00FC1832">
        <w:trPr>
          <w:trHeight w:val="705"/>
        </w:trPr>
        <w:tc>
          <w:tcPr>
            <w:tcW w:w="1388" w:type="dxa"/>
            <w:tcBorders>
              <w:top w:val="single" w:sz="6" w:space="0" w:color="auto"/>
              <w:left w:val="single" w:sz="6" w:space="0" w:color="auto"/>
              <w:bottom w:val="single" w:sz="6" w:space="0" w:color="auto"/>
              <w:right w:val="single" w:sz="6" w:space="0" w:color="auto"/>
            </w:tcBorders>
            <w:vAlign w:val="center"/>
            <w:hideMark/>
          </w:tcPr>
          <w:p w14:paraId="1B8E7D23" w14:textId="77777777" w:rsidR="00DB1AEE" w:rsidRPr="00DB1AEE" w:rsidRDefault="00DB1AEE" w:rsidP="00DB1AEE">
            <w:pPr>
              <w:widowControl w:val="0"/>
              <w:suppressAutoHyphens/>
              <w:rPr>
                <w:sz w:val="20"/>
                <w:u w:val="single"/>
              </w:rPr>
            </w:pPr>
            <w:r w:rsidRPr="00DB1AEE">
              <w:rPr>
                <w:sz w:val="20"/>
                <w:u w:val="single"/>
              </w:rPr>
              <w:t>Knee wall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44635E30" w14:textId="77777777" w:rsidR="00DB1AEE" w:rsidRPr="00DB1AEE" w:rsidRDefault="00DB1AEE" w:rsidP="00DB1AEE">
            <w:pPr>
              <w:widowControl w:val="0"/>
              <w:suppressAutoHyphens/>
              <w:rPr>
                <w:sz w:val="20"/>
                <w:u w:val="single"/>
              </w:rPr>
            </w:pPr>
            <w:r w:rsidRPr="00DB1AEE">
              <w:rPr>
                <w:sz w:val="20"/>
                <w:u w:val="single"/>
              </w:rPr>
              <w:t>Knee walls shall have an air </w:t>
            </w:r>
          </w:p>
          <w:p w14:paraId="3321334D" w14:textId="77777777" w:rsidR="00DB1AEE" w:rsidRPr="00DB1AEE" w:rsidRDefault="00DB1AEE" w:rsidP="00DB1AEE">
            <w:pPr>
              <w:widowControl w:val="0"/>
              <w:suppressAutoHyphens/>
              <w:rPr>
                <w:sz w:val="20"/>
                <w:u w:val="single"/>
              </w:rPr>
            </w:pPr>
            <w:r w:rsidRPr="00DB1AEE">
              <w:rPr>
                <w:sz w:val="20"/>
                <w:u w:val="single"/>
              </w:rPr>
              <w:t>barrier between conditioned </w:t>
            </w:r>
          </w:p>
          <w:p w14:paraId="1BB9DEFA" w14:textId="77777777" w:rsidR="00DB1AEE" w:rsidRPr="00DB1AEE" w:rsidRDefault="00DB1AEE" w:rsidP="00DB1AEE">
            <w:pPr>
              <w:widowControl w:val="0"/>
              <w:suppressAutoHyphens/>
              <w:rPr>
                <w:sz w:val="20"/>
                <w:u w:val="single"/>
              </w:rPr>
            </w:pPr>
            <w:r w:rsidRPr="00DB1AEE">
              <w:rPr>
                <w:sz w:val="20"/>
                <w:u w:val="single"/>
              </w:rPr>
              <w:t>and unconditioned space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44ABD3AB" w14:textId="77777777" w:rsidR="00DB1AEE" w:rsidRPr="00DB1AEE" w:rsidRDefault="00DB1AEE" w:rsidP="00DB1AEE">
            <w:pPr>
              <w:widowControl w:val="0"/>
              <w:suppressAutoHyphens/>
              <w:rPr>
                <w:sz w:val="20"/>
                <w:u w:val="single"/>
              </w:rPr>
            </w:pPr>
            <w:r w:rsidRPr="00DB1AEE">
              <w:rPr>
                <w:sz w:val="20"/>
                <w:u w:val="single"/>
              </w:rPr>
              <w:t>Insulation installed in a knee wall assembly shall be installed in accordance with Section </w:t>
            </w:r>
          </w:p>
          <w:p w14:paraId="0EE41F77" w14:textId="77777777" w:rsidR="00DB1AEE" w:rsidRPr="00DB1AEE" w:rsidRDefault="00DB1AEE" w:rsidP="00DB1AEE">
            <w:pPr>
              <w:widowControl w:val="0"/>
              <w:suppressAutoHyphens/>
              <w:rPr>
                <w:sz w:val="20"/>
                <w:u w:val="single"/>
              </w:rPr>
            </w:pPr>
            <w:r w:rsidRPr="00DB1AEE">
              <w:rPr>
                <w:sz w:val="20"/>
                <w:u w:val="single"/>
              </w:rPr>
              <w:t>R402.2.3. </w:t>
            </w:r>
          </w:p>
          <w:p w14:paraId="6097D1A0" w14:textId="77777777" w:rsidR="00DB1AEE" w:rsidRPr="00DB1AEE" w:rsidRDefault="00DB1AEE" w:rsidP="00DB1AEE">
            <w:pPr>
              <w:widowControl w:val="0"/>
              <w:suppressAutoHyphens/>
              <w:rPr>
                <w:sz w:val="20"/>
                <w:u w:val="single"/>
              </w:rPr>
            </w:pPr>
            <w:r w:rsidRPr="00DB1AEE">
              <w:rPr>
                <w:sz w:val="20"/>
                <w:u w:val="single"/>
              </w:rPr>
              <w:t>Air-permeable insulation shall be enclosed inside an air barrier assembly. </w:t>
            </w:r>
          </w:p>
        </w:tc>
      </w:tr>
      <w:tr w:rsidR="00DB1AEE" w:rsidRPr="00DB1AEE" w14:paraId="05111D2F" w14:textId="77777777" w:rsidTr="00FC1832">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4B2DCC59" w14:textId="77777777" w:rsidR="00DB1AEE" w:rsidRPr="00DB1AEE" w:rsidRDefault="00DB1AEE" w:rsidP="00DB1AEE">
            <w:pPr>
              <w:widowControl w:val="0"/>
              <w:suppressAutoHyphens/>
              <w:rPr>
                <w:sz w:val="20"/>
                <w:u w:val="single"/>
              </w:rPr>
            </w:pPr>
            <w:r w:rsidRPr="00DB1AEE">
              <w:rPr>
                <w:sz w:val="20"/>
                <w:u w:val="single"/>
              </w:rPr>
              <w:t>Windows, skylights and doors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37055E28" w14:textId="77777777" w:rsidR="00DB1AEE" w:rsidRPr="00DB1AEE" w:rsidRDefault="00DB1AEE" w:rsidP="00DB1AEE">
            <w:pPr>
              <w:widowControl w:val="0"/>
              <w:suppressAutoHyphens/>
              <w:rPr>
                <w:sz w:val="20"/>
                <w:u w:val="single"/>
              </w:rPr>
            </w:pPr>
            <w:r w:rsidRPr="00DB1AEE">
              <w:rPr>
                <w:sz w:val="20"/>
                <w:u w:val="single"/>
              </w:rPr>
              <w:t>The rough opening gap between framing and the frames of skylights,  windows and doors, shall be sealed in accordance with fenestration manufacturer’s instructions.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63F9E69E" w14:textId="77777777" w:rsidR="00DB1AEE" w:rsidRPr="00DB1AEE" w:rsidRDefault="00DB1AEE" w:rsidP="00DB1AEE">
            <w:pPr>
              <w:widowControl w:val="0"/>
              <w:suppressAutoHyphens/>
              <w:rPr>
                <w:sz w:val="20"/>
                <w:u w:val="single"/>
              </w:rPr>
            </w:pPr>
            <w:r w:rsidRPr="00DB1AEE">
              <w:rPr>
                <w:sz w:val="20"/>
                <w:u w:val="single"/>
              </w:rPr>
              <w:t>Insulation shall not be required in the rough opening gap except as required by the fenestration manufacturer's instructions. </w:t>
            </w:r>
          </w:p>
        </w:tc>
      </w:tr>
      <w:tr w:rsidR="00DB1AEE" w:rsidRPr="00DB1AEE" w14:paraId="6ED98873" w14:textId="77777777" w:rsidTr="00FC1832">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7C99491F" w14:textId="77777777" w:rsidR="00DB1AEE" w:rsidRPr="00DB1AEE" w:rsidRDefault="00DB1AEE" w:rsidP="00DB1AEE">
            <w:pPr>
              <w:widowControl w:val="0"/>
              <w:suppressAutoHyphens/>
              <w:rPr>
                <w:sz w:val="20"/>
                <w:u w:val="single"/>
              </w:rPr>
            </w:pPr>
            <w:r w:rsidRPr="00DB1AEE">
              <w:rPr>
                <w:sz w:val="20"/>
                <w:u w:val="single"/>
              </w:rPr>
              <w:t>Rim joists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1F971B2E" w14:textId="77777777" w:rsidR="00DB1AEE" w:rsidRPr="00DB1AEE" w:rsidRDefault="00DB1AEE" w:rsidP="00DB1AEE">
            <w:pPr>
              <w:widowControl w:val="0"/>
              <w:suppressAutoHyphens/>
              <w:rPr>
                <w:sz w:val="20"/>
                <w:u w:val="single"/>
              </w:rPr>
            </w:pPr>
            <w:r w:rsidRPr="00DB1AEE">
              <w:rPr>
                <w:sz w:val="20"/>
                <w:u w:val="single"/>
              </w:rPr>
              <w:t>Rim joists shall include an air barrier.</w:t>
            </w:r>
            <w:r w:rsidRPr="00DB1AEE">
              <w:rPr>
                <w:sz w:val="20"/>
                <w:u w:val="single"/>
                <w:vertAlign w:val="superscript"/>
              </w:rPr>
              <w:t>b</w:t>
            </w:r>
            <w:r w:rsidRPr="00DB1AEE">
              <w:rPr>
                <w:sz w:val="20"/>
                <w:u w:val="single"/>
              </w:rPr>
              <w:t>. </w:t>
            </w:r>
            <w:r w:rsidRPr="00DB1AEE">
              <w:rPr>
                <w:sz w:val="20"/>
                <w:u w:val="single"/>
              </w:rPr>
              <w:br/>
              <w:t> </w:t>
            </w:r>
          </w:p>
          <w:p w14:paraId="02FA835D" w14:textId="77777777" w:rsidR="00DB1AEE" w:rsidRPr="00DB1AEE" w:rsidRDefault="00DB1AEE" w:rsidP="00DB1AEE">
            <w:pPr>
              <w:widowControl w:val="0"/>
              <w:suppressAutoHyphens/>
              <w:rPr>
                <w:sz w:val="20"/>
                <w:u w:val="single"/>
              </w:rPr>
            </w:pPr>
            <w:r w:rsidRPr="00DB1AEE">
              <w:rPr>
                <w:sz w:val="20"/>
                <w:u w:val="single"/>
              </w:rPr>
              <w:t>The junctions of the rim board to the sill plate and the rim board and the subfloor shall be air sealed.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5F8E3D7B" w14:textId="77777777" w:rsidR="00DB1AEE" w:rsidRPr="00DB1AEE" w:rsidRDefault="00DB1AEE" w:rsidP="00DB1AEE">
            <w:pPr>
              <w:widowControl w:val="0"/>
              <w:suppressAutoHyphens/>
              <w:rPr>
                <w:sz w:val="20"/>
                <w:u w:val="single"/>
              </w:rPr>
            </w:pPr>
            <w:r w:rsidRPr="00DB1AEE">
              <w:rPr>
                <w:sz w:val="20"/>
                <w:u w:val="single"/>
              </w:rPr>
              <w:t>Rim joists shall be insulated so that the insulation maintains permanent contact with the exterior rim board.ᵇ </w:t>
            </w:r>
          </w:p>
        </w:tc>
      </w:tr>
      <w:tr w:rsidR="00DB1AEE" w:rsidRPr="00DB1AEE" w14:paraId="5FD43C31" w14:textId="77777777" w:rsidTr="00FC1832">
        <w:trPr>
          <w:trHeight w:val="435"/>
        </w:trPr>
        <w:tc>
          <w:tcPr>
            <w:tcW w:w="1388" w:type="dxa"/>
            <w:tcBorders>
              <w:top w:val="single" w:sz="6" w:space="0" w:color="auto"/>
              <w:left w:val="single" w:sz="6" w:space="0" w:color="auto"/>
              <w:bottom w:val="single" w:sz="6" w:space="0" w:color="auto"/>
              <w:right w:val="single" w:sz="6" w:space="0" w:color="auto"/>
            </w:tcBorders>
            <w:vAlign w:val="center"/>
            <w:hideMark/>
          </w:tcPr>
          <w:p w14:paraId="2A54A2C8" w14:textId="77777777" w:rsidR="00DB1AEE" w:rsidRPr="00DB1AEE" w:rsidRDefault="00DB1AEE" w:rsidP="00DB1AEE">
            <w:pPr>
              <w:widowControl w:val="0"/>
              <w:suppressAutoHyphens/>
              <w:rPr>
                <w:sz w:val="20"/>
                <w:u w:val="single"/>
              </w:rPr>
            </w:pPr>
            <w:r w:rsidRPr="00DB1AEE">
              <w:rPr>
                <w:sz w:val="20"/>
                <w:u w:val="single"/>
              </w:rPr>
              <w:t>Floors, including cantilevered floors and floors above garages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0BF5A801" w14:textId="77777777" w:rsidR="00DB1AEE" w:rsidRPr="00DB1AEE" w:rsidRDefault="00DB1AEE" w:rsidP="00DB1AEE">
            <w:pPr>
              <w:widowControl w:val="0"/>
              <w:suppressAutoHyphens/>
              <w:rPr>
                <w:sz w:val="20"/>
                <w:u w:val="single"/>
              </w:rPr>
            </w:pPr>
            <w:r w:rsidRPr="00DB1AEE">
              <w:rPr>
                <w:sz w:val="20"/>
                <w:u w:val="single"/>
              </w:rPr>
              <w:t> </w:t>
            </w:r>
          </w:p>
          <w:p w14:paraId="6A3ADD91" w14:textId="77777777" w:rsidR="00DB1AEE" w:rsidRPr="00DB1AEE" w:rsidRDefault="00DB1AEE" w:rsidP="00DB1AEE">
            <w:pPr>
              <w:widowControl w:val="0"/>
              <w:suppressAutoHyphens/>
              <w:rPr>
                <w:sz w:val="20"/>
                <w:u w:val="single"/>
              </w:rPr>
            </w:pPr>
            <w:r w:rsidRPr="00DB1AEE">
              <w:rPr>
                <w:sz w:val="20"/>
                <w:u w:val="single"/>
              </w:rPr>
              <w:t>Floor framing members that are part of the </w:t>
            </w:r>
          </w:p>
          <w:p w14:paraId="6F52EE25" w14:textId="77777777" w:rsidR="00DB1AEE" w:rsidRPr="00DB1AEE" w:rsidRDefault="00DB1AEE" w:rsidP="00DB1AEE">
            <w:pPr>
              <w:widowControl w:val="0"/>
              <w:suppressAutoHyphens/>
              <w:rPr>
                <w:sz w:val="20"/>
                <w:u w:val="single"/>
              </w:rPr>
            </w:pPr>
            <w:r w:rsidRPr="00DB1AEE">
              <w:rPr>
                <w:sz w:val="20"/>
                <w:u w:val="single"/>
              </w:rPr>
              <w:t>building thermal envelope shall be air sealed to maintain a continuous air barrier. </w:t>
            </w:r>
          </w:p>
          <w:p w14:paraId="5B8705EA" w14:textId="77777777" w:rsidR="00DB1AEE" w:rsidRPr="00DB1AEE" w:rsidRDefault="00DB1AEE" w:rsidP="00DB1AEE">
            <w:pPr>
              <w:widowControl w:val="0"/>
              <w:suppressAutoHyphens/>
              <w:rPr>
                <w:sz w:val="20"/>
                <w:u w:val="single"/>
              </w:rPr>
            </w:pPr>
            <w:r w:rsidRPr="00DB1AEE">
              <w:rPr>
                <w:sz w:val="20"/>
                <w:u w:val="single"/>
              </w:rPr>
              <w:t>Air permeable floor cavity insulation shall be enclosed.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65FAC13D" w14:textId="77777777" w:rsidR="00DB1AEE" w:rsidRPr="00DB1AEE" w:rsidRDefault="00DB1AEE" w:rsidP="00DB1AEE">
            <w:pPr>
              <w:widowControl w:val="0"/>
              <w:suppressAutoHyphens/>
              <w:rPr>
                <w:sz w:val="20"/>
                <w:u w:val="single"/>
              </w:rPr>
            </w:pPr>
            <w:r w:rsidRPr="00DB1AEE">
              <w:rPr>
                <w:sz w:val="20"/>
                <w:u w:val="single"/>
              </w:rPr>
              <w:t>Floor insulation shall be installed in accordance with the requirements of Section R402.2.8. </w:t>
            </w:r>
          </w:p>
        </w:tc>
      </w:tr>
      <w:tr w:rsidR="00DB1AEE" w:rsidRPr="00DB1AEE" w14:paraId="34F967DD" w14:textId="77777777" w:rsidTr="00FC1832">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6C160761" w14:textId="77777777" w:rsidR="00DB1AEE" w:rsidRPr="00DB1AEE" w:rsidRDefault="00DB1AEE" w:rsidP="00DB1AEE">
            <w:pPr>
              <w:widowControl w:val="0"/>
              <w:suppressAutoHyphens/>
              <w:rPr>
                <w:sz w:val="20"/>
                <w:u w:val="single"/>
              </w:rPr>
            </w:pPr>
            <w:r w:rsidRPr="00DB1AEE">
              <w:rPr>
                <w:sz w:val="20"/>
                <w:u w:val="single"/>
              </w:rPr>
              <w:t>Basement or cellar, crawl space and slab foundations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2425FD71" w14:textId="77777777" w:rsidR="00DB1AEE" w:rsidRPr="00DB1AEE" w:rsidRDefault="00DB1AEE" w:rsidP="00DB1AEE">
            <w:pPr>
              <w:widowControl w:val="0"/>
              <w:suppressAutoHyphens/>
              <w:rPr>
                <w:sz w:val="20"/>
                <w:u w:val="single"/>
              </w:rPr>
            </w:pPr>
            <w:r w:rsidRPr="00DB1AEE">
              <w:rPr>
                <w:sz w:val="20"/>
                <w:u w:val="single"/>
              </w:rPr>
              <w:t>Exposed earth in unvented crawl spaces shall be covered with a Class I vapor retarder/air barrier in accordance with Section R402.2.11.  </w:t>
            </w:r>
            <w:r w:rsidRPr="00DB1AEE">
              <w:rPr>
                <w:sz w:val="20"/>
                <w:u w:val="single"/>
              </w:rPr>
              <w:br/>
              <w:t> </w:t>
            </w:r>
          </w:p>
          <w:p w14:paraId="60788C6D" w14:textId="77777777" w:rsidR="00DB1AEE" w:rsidRPr="00DB1AEE" w:rsidRDefault="00DB1AEE" w:rsidP="00DB1AEE">
            <w:pPr>
              <w:widowControl w:val="0"/>
              <w:suppressAutoHyphens/>
              <w:rPr>
                <w:sz w:val="20"/>
                <w:u w:val="single"/>
              </w:rPr>
            </w:pPr>
            <w:r w:rsidRPr="00DB1AEE">
              <w:rPr>
                <w:sz w:val="20"/>
                <w:u w:val="single"/>
              </w:rPr>
              <w:t>Penetrations through concrete foundation walls and slabs shall be air sealed.  </w:t>
            </w:r>
            <w:r w:rsidRPr="00DB1AEE">
              <w:rPr>
                <w:sz w:val="20"/>
                <w:u w:val="single"/>
              </w:rPr>
              <w:br/>
              <w:t> </w:t>
            </w:r>
          </w:p>
          <w:p w14:paraId="0BB00A2B" w14:textId="77777777" w:rsidR="00DB1AEE" w:rsidRPr="00DB1AEE" w:rsidRDefault="00DB1AEE" w:rsidP="00DB1AEE">
            <w:pPr>
              <w:widowControl w:val="0"/>
              <w:suppressAutoHyphens/>
              <w:rPr>
                <w:sz w:val="20"/>
                <w:u w:val="single"/>
              </w:rPr>
            </w:pPr>
            <w:r w:rsidRPr="00DB1AEE">
              <w:rPr>
                <w:sz w:val="20"/>
                <w:u w:val="single"/>
              </w:rPr>
              <w:t>Class 1 vapor retarders shall not be used as an air barrier on below-grade walls and shall be installed in accordance with the New York City Building Code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7B82BB8E" w14:textId="77777777" w:rsidR="00DB1AEE" w:rsidRPr="00DB1AEE" w:rsidRDefault="00DB1AEE" w:rsidP="00DB1AEE">
            <w:pPr>
              <w:widowControl w:val="0"/>
              <w:suppressAutoHyphens/>
              <w:rPr>
                <w:sz w:val="20"/>
                <w:u w:val="single"/>
              </w:rPr>
            </w:pPr>
            <w:r w:rsidRPr="00DB1AEE">
              <w:rPr>
                <w:sz w:val="20"/>
                <w:u w:val="single"/>
              </w:rPr>
              <w:t>Crawl space insulation, where provided instead of floor insulation, shall be installed in accordance with Section R402.2.11.  </w:t>
            </w:r>
            <w:r w:rsidRPr="00DB1AEE">
              <w:rPr>
                <w:sz w:val="20"/>
                <w:u w:val="single"/>
              </w:rPr>
              <w:br/>
              <w:t> </w:t>
            </w:r>
          </w:p>
          <w:p w14:paraId="61622FAB" w14:textId="77777777" w:rsidR="00DB1AEE" w:rsidRPr="00DB1AEE" w:rsidRDefault="00DB1AEE" w:rsidP="00DB1AEE">
            <w:pPr>
              <w:widowControl w:val="0"/>
              <w:suppressAutoHyphens/>
              <w:rPr>
                <w:sz w:val="20"/>
                <w:u w:val="single"/>
              </w:rPr>
            </w:pPr>
            <w:r w:rsidRPr="00DB1AEE">
              <w:rPr>
                <w:sz w:val="20"/>
                <w:u w:val="single"/>
              </w:rPr>
              <w:t>Conditioned basement or cellar foundation wall insulation shall be installed in accordance with Section R402.2.9.1.  </w:t>
            </w:r>
            <w:r w:rsidRPr="00DB1AEE">
              <w:rPr>
                <w:sz w:val="20"/>
                <w:u w:val="single"/>
              </w:rPr>
              <w:br/>
              <w:t> </w:t>
            </w:r>
          </w:p>
          <w:p w14:paraId="0ECBA158" w14:textId="77777777" w:rsidR="00DB1AEE" w:rsidRPr="00DB1AEE" w:rsidRDefault="00DB1AEE" w:rsidP="00DB1AEE">
            <w:pPr>
              <w:widowControl w:val="0"/>
              <w:suppressAutoHyphens/>
              <w:rPr>
                <w:sz w:val="20"/>
                <w:u w:val="single"/>
              </w:rPr>
            </w:pPr>
            <w:r w:rsidRPr="00DB1AEE">
              <w:rPr>
                <w:sz w:val="20"/>
                <w:u w:val="single"/>
              </w:rPr>
              <w:t>Slab-on-grade floor insulation shall be installed in accordance with Section R402.2.10. </w:t>
            </w:r>
          </w:p>
        </w:tc>
      </w:tr>
      <w:tr w:rsidR="00DB1AEE" w:rsidRPr="00DB1AEE" w14:paraId="0A15D649" w14:textId="77777777" w:rsidTr="00FC1832">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5F125A48" w14:textId="77777777" w:rsidR="00DB1AEE" w:rsidRPr="00DB1AEE" w:rsidRDefault="00DB1AEE" w:rsidP="00DB1AEE">
            <w:pPr>
              <w:widowControl w:val="0"/>
              <w:suppressAutoHyphens/>
              <w:rPr>
                <w:sz w:val="20"/>
                <w:u w:val="single"/>
              </w:rPr>
            </w:pPr>
            <w:r w:rsidRPr="00DB1AEE">
              <w:rPr>
                <w:sz w:val="20"/>
                <w:u w:val="single"/>
              </w:rPr>
              <w:t>Shafts, penetrations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5E1E638E" w14:textId="77777777" w:rsidR="00DB1AEE" w:rsidRPr="00DB1AEE" w:rsidRDefault="00DB1AEE" w:rsidP="00DB1AEE">
            <w:pPr>
              <w:widowControl w:val="0"/>
              <w:suppressAutoHyphens/>
              <w:rPr>
                <w:sz w:val="20"/>
                <w:u w:val="single"/>
              </w:rPr>
            </w:pPr>
            <w:r w:rsidRPr="00DB1AEE">
              <w:rPr>
                <w:sz w:val="20"/>
                <w:u w:val="single"/>
              </w:rPr>
              <w:t>Duct and flue shafts to exterior or unconditioned space shall be sealed.  </w:t>
            </w:r>
            <w:r w:rsidRPr="00DB1AEE">
              <w:rPr>
                <w:sz w:val="20"/>
                <w:u w:val="single"/>
              </w:rPr>
              <w:br/>
              <w:t> </w:t>
            </w:r>
          </w:p>
          <w:p w14:paraId="4EDE31E6" w14:textId="77777777" w:rsidR="00DB1AEE" w:rsidRPr="00DB1AEE" w:rsidRDefault="00DB1AEE" w:rsidP="00DB1AEE">
            <w:pPr>
              <w:widowControl w:val="0"/>
              <w:suppressAutoHyphens/>
              <w:rPr>
                <w:sz w:val="20"/>
                <w:u w:val="single"/>
              </w:rPr>
            </w:pPr>
            <w:r w:rsidRPr="00DB1AEE">
              <w:rPr>
                <w:sz w:val="20"/>
                <w:u w:val="single"/>
              </w:rPr>
              <w:t>Utility penetrations of the air barrier shall be caulked, gasketed or otherwise sealed and shall allow for expansion, contraction of materials and mechanical vibration.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3D2D334D" w14:textId="77777777" w:rsidR="00DB1AEE" w:rsidRPr="00DB1AEE" w:rsidRDefault="00DB1AEE" w:rsidP="00DB1AEE">
            <w:pPr>
              <w:widowControl w:val="0"/>
              <w:suppressAutoHyphens/>
              <w:rPr>
                <w:sz w:val="20"/>
                <w:u w:val="single"/>
              </w:rPr>
            </w:pPr>
            <w:r w:rsidRPr="00DB1AEE">
              <w:rPr>
                <w:sz w:val="20"/>
                <w:u w:val="single"/>
              </w:rPr>
              <w:t>Insulation shall be fitted tightly around utilities passing through shafts and penetrations in the building thermal envelope to maintain required</w:t>
            </w:r>
            <w:r w:rsidRPr="00DB1AEE">
              <w:rPr>
                <w:i/>
                <w:iCs/>
                <w:sz w:val="20"/>
                <w:u w:val="single"/>
              </w:rPr>
              <w:t xml:space="preserve"> R</w:t>
            </w:r>
            <w:r w:rsidRPr="00DB1AEE">
              <w:rPr>
                <w:sz w:val="20"/>
                <w:u w:val="single"/>
              </w:rPr>
              <w:t>-value </w:t>
            </w:r>
          </w:p>
        </w:tc>
      </w:tr>
      <w:tr w:rsidR="00DB1AEE" w:rsidRPr="00DB1AEE" w14:paraId="578C4668" w14:textId="77777777" w:rsidTr="00FC1832">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02CA62AC" w14:textId="77777777" w:rsidR="00DB1AEE" w:rsidRPr="00DB1AEE" w:rsidRDefault="00DB1AEE" w:rsidP="00DB1AEE">
            <w:pPr>
              <w:widowControl w:val="0"/>
              <w:suppressAutoHyphens/>
              <w:rPr>
                <w:sz w:val="20"/>
                <w:u w:val="single"/>
              </w:rPr>
            </w:pPr>
            <w:r w:rsidRPr="00DB1AEE">
              <w:rPr>
                <w:sz w:val="20"/>
                <w:u w:val="single"/>
              </w:rPr>
              <w:t>Narrow cavities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29382425" w14:textId="77777777" w:rsidR="00DB1AEE" w:rsidRPr="00DB1AEE" w:rsidRDefault="00DB1AEE" w:rsidP="00DB1AEE">
            <w:pPr>
              <w:widowControl w:val="0"/>
              <w:suppressAutoHyphens/>
              <w:rPr>
                <w:sz w:val="20"/>
                <w:u w:val="single"/>
              </w:rPr>
            </w:pPr>
            <w:r w:rsidRPr="00DB1AEE">
              <w:rPr>
                <w:sz w:val="20"/>
                <w:u w:val="single"/>
              </w:rPr>
              <w:t>Narrow cavities of 1 inch or less that are not able to be insulated shall be air sealed.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69CF7A1B" w14:textId="77777777" w:rsidR="00DB1AEE" w:rsidRPr="00DB1AEE" w:rsidRDefault="00DB1AEE" w:rsidP="00DB1AEE">
            <w:pPr>
              <w:widowControl w:val="0"/>
              <w:suppressAutoHyphens/>
              <w:rPr>
                <w:sz w:val="20"/>
                <w:u w:val="single"/>
              </w:rPr>
            </w:pPr>
            <w:r w:rsidRPr="00DB1AEE">
              <w:rPr>
                <w:sz w:val="20"/>
                <w:u w:val="single"/>
              </w:rPr>
              <w:t>Batts to be installed in narrow cavities shall be cut to fit or narrow cavities shall be filled with insulation that on installation readily conforms to the available cavity space. </w:t>
            </w:r>
          </w:p>
        </w:tc>
      </w:tr>
      <w:tr w:rsidR="00DB1AEE" w:rsidRPr="00DB1AEE" w14:paraId="75B742E9" w14:textId="77777777" w:rsidTr="00FC1832">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3B75F380" w14:textId="77777777" w:rsidR="00DB1AEE" w:rsidRPr="00DB1AEE" w:rsidRDefault="00DB1AEE" w:rsidP="00DB1AEE">
            <w:pPr>
              <w:widowControl w:val="0"/>
              <w:suppressAutoHyphens/>
              <w:rPr>
                <w:sz w:val="20"/>
                <w:u w:val="single"/>
              </w:rPr>
            </w:pPr>
            <w:r w:rsidRPr="00DB1AEE">
              <w:rPr>
                <w:sz w:val="20"/>
                <w:u w:val="single"/>
              </w:rPr>
              <w:t>Garage separation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370B48AC" w14:textId="77777777" w:rsidR="00DB1AEE" w:rsidRPr="00DB1AEE" w:rsidRDefault="00DB1AEE" w:rsidP="00DB1AEE">
            <w:pPr>
              <w:widowControl w:val="0"/>
              <w:suppressAutoHyphens/>
              <w:rPr>
                <w:sz w:val="20"/>
                <w:u w:val="single"/>
              </w:rPr>
            </w:pPr>
            <w:r w:rsidRPr="00DB1AEE">
              <w:rPr>
                <w:sz w:val="20"/>
                <w:u w:val="single"/>
              </w:rPr>
              <w:t>Air sealing shall be provided between the garage and conditioned spaces.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46EFB9CA" w14:textId="77777777" w:rsidR="00DB1AEE" w:rsidRPr="00DB1AEE" w:rsidRDefault="00DB1AEE" w:rsidP="00DB1AEE">
            <w:pPr>
              <w:widowControl w:val="0"/>
              <w:suppressAutoHyphens/>
              <w:rPr>
                <w:sz w:val="20"/>
                <w:u w:val="single"/>
              </w:rPr>
            </w:pPr>
            <w:r w:rsidRPr="00DB1AEE">
              <w:rPr>
                <w:sz w:val="20"/>
                <w:u w:val="single"/>
              </w:rPr>
              <w:t>Insulated portions of the garage separation assembly shall be installed in accordance with Sections R303 and R402.2.8. </w:t>
            </w:r>
          </w:p>
        </w:tc>
      </w:tr>
      <w:tr w:rsidR="00DB1AEE" w:rsidRPr="00DB1AEE" w14:paraId="6CA713E2" w14:textId="77777777" w:rsidTr="00FC1832">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128EDE42" w14:textId="77777777" w:rsidR="00DB1AEE" w:rsidRPr="00DB1AEE" w:rsidRDefault="00DB1AEE" w:rsidP="00DB1AEE">
            <w:pPr>
              <w:widowControl w:val="0"/>
              <w:suppressAutoHyphens/>
              <w:rPr>
                <w:sz w:val="20"/>
                <w:u w:val="single"/>
              </w:rPr>
            </w:pPr>
            <w:r w:rsidRPr="00DB1AEE">
              <w:rPr>
                <w:sz w:val="20"/>
                <w:u w:val="single"/>
              </w:rPr>
              <w:t>Recessed lighting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0DF135F6" w14:textId="77777777" w:rsidR="00DB1AEE" w:rsidRPr="00DB1AEE" w:rsidRDefault="00DB1AEE" w:rsidP="00DB1AEE">
            <w:pPr>
              <w:widowControl w:val="0"/>
              <w:suppressAutoHyphens/>
              <w:rPr>
                <w:sz w:val="20"/>
                <w:u w:val="single"/>
              </w:rPr>
            </w:pPr>
            <w:r w:rsidRPr="00DB1AEE">
              <w:rPr>
                <w:sz w:val="20"/>
                <w:u w:val="single"/>
              </w:rPr>
              <w:t>Recessed light fixtures installed in the building thermal envelope shall be air sealed in accordance with Section R402.4.5.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79AFE9BE" w14:textId="77777777" w:rsidR="00DB1AEE" w:rsidRPr="00DB1AEE" w:rsidRDefault="00DB1AEE" w:rsidP="00DB1AEE">
            <w:pPr>
              <w:widowControl w:val="0"/>
              <w:suppressAutoHyphens/>
              <w:rPr>
                <w:sz w:val="20"/>
                <w:u w:val="single"/>
              </w:rPr>
            </w:pPr>
            <w:r w:rsidRPr="00DB1AEE">
              <w:rPr>
                <w:sz w:val="20"/>
                <w:u w:val="single"/>
              </w:rPr>
              <w:t>Recessed light fixtures installed in the building thermal envelope shall be airtight and IC rated and shall be buried in or surrounded with insulation. </w:t>
            </w:r>
          </w:p>
        </w:tc>
      </w:tr>
      <w:tr w:rsidR="00DB1AEE" w:rsidRPr="00DB1AEE" w14:paraId="450BF339" w14:textId="77777777" w:rsidTr="00FC1832">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60B2BAAA" w14:textId="77777777" w:rsidR="00DB1AEE" w:rsidRPr="00DB1AEE" w:rsidRDefault="00DB1AEE" w:rsidP="00DB1AEE">
            <w:pPr>
              <w:widowControl w:val="0"/>
              <w:suppressAutoHyphens/>
              <w:rPr>
                <w:sz w:val="20"/>
                <w:u w:val="single"/>
              </w:rPr>
            </w:pPr>
            <w:r w:rsidRPr="00DB1AEE">
              <w:rPr>
                <w:sz w:val="20"/>
                <w:u w:val="single"/>
              </w:rPr>
              <w:t>Plumbing, wiring or other obstructions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43AFE572" w14:textId="77777777" w:rsidR="00DB1AEE" w:rsidRPr="00DB1AEE" w:rsidRDefault="00DB1AEE" w:rsidP="00DB1AEE">
            <w:pPr>
              <w:widowControl w:val="0"/>
              <w:suppressAutoHyphens/>
              <w:rPr>
                <w:sz w:val="20"/>
                <w:u w:val="single"/>
              </w:rPr>
            </w:pPr>
            <w:r w:rsidRPr="00DB1AEE">
              <w:rPr>
                <w:sz w:val="20"/>
                <w:u w:val="single"/>
              </w:rPr>
              <w:t>All holes created by wiring, plumbing or other obstructions in the air barrier assembly shall be air sealed.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4E023083" w14:textId="77777777" w:rsidR="00DB1AEE" w:rsidRPr="00DB1AEE" w:rsidRDefault="00DB1AEE" w:rsidP="00DB1AEE">
            <w:pPr>
              <w:widowControl w:val="0"/>
              <w:suppressAutoHyphens/>
              <w:rPr>
                <w:sz w:val="20"/>
                <w:u w:val="single"/>
              </w:rPr>
            </w:pPr>
            <w:r w:rsidRPr="00DB1AEE">
              <w:rPr>
                <w:sz w:val="20"/>
                <w:u w:val="single"/>
              </w:rPr>
              <w:t xml:space="preserve">Insulation shall be installed to fill the available space and surround wiring, plumbing, or other obstructions, unless the required </w:t>
            </w:r>
            <w:r w:rsidRPr="00DB1AEE">
              <w:rPr>
                <w:i/>
                <w:iCs/>
                <w:sz w:val="20"/>
                <w:u w:val="single"/>
              </w:rPr>
              <w:t>R</w:t>
            </w:r>
            <w:r w:rsidRPr="00DB1AEE">
              <w:rPr>
                <w:sz w:val="20"/>
                <w:u w:val="single"/>
              </w:rPr>
              <w:t>-value can be met by installing insulation and air barrier systems completely to the exterior side of the obstructions. </w:t>
            </w:r>
          </w:p>
        </w:tc>
      </w:tr>
      <w:tr w:rsidR="00DB1AEE" w:rsidRPr="00DB1AEE" w14:paraId="036D3026" w14:textId="77777777" w:rsidTr="00FC1832">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767E9F2E" w14:textId="77777777" w:rsidR="00DB1AEE" w:rsidRPr="00DB1AEE" w:rsidRDefault="00DB1AEE" w:rsidP="00DB1AEE">
            <w:pPr>
              <w:widowControl w:val="0"/>
              <w:suppressAutoHyphens/>
              <w:rPr>
                <w:sz w:val="20"/>
                <w:u w:val="single"/>
              </w:rPr>
            </w:pPr>
            <w:r w:rsidRPr="00DB1AEE">
              <w:rPr>
                <w:sz w:val="20"/>
                <w:u w:val="single"/>
              </w:rPr>
              <w:t>Showers, tubs and fireplaces </w:t>
            </w:r>
          </w:p>
          <w:p w14:paraId="72ADA0DE" w14:textId="77777777" w:rsidR="00DB1AEE" w:rsidRPr="00DB1AEE" w:rsidRDefault="00DB1AEE" w:rsidP="00DB1AEE">
            <w:pPr>
              <w:widowControl w:val="0"/>
              <w:suppressAutoHyphens/>
              <w:rPr>
                <w:sz w:val="20"/>
                <w:u w:val="single"/>
              </w:rPr>
            </w:pPr>
            <w:r w:rsidRPr="00DB1AEE">
              <w:rPr>
                <w:sz w:val="20"/>
                <w:u w:val="single"/>
              </w:rPr>
              <w:t>adjacent to the building thermal envelope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0A0159EA" w14:textId="77777777" w:rsidR="00DB1AEE" w:rsidRPr="00DB1AEE" w:rsidRDefault="00DB1AEE" w:rsidP="00DB1AEE">
            <w:pPr>
              <w:widowControl w:val="0"/>
              <w:suppressAutoHyphens/>
              <w:rPr>
                <w:sz w:val="20"/>
                <w:u w:val="single"/>
              </w:rPr>
            </w:pPr>
            <w:r w:rsidRPr="00DB1AEE">
              <w:rPr>
                <w:sz w:val="20"/>
                <w:u w:val="single"/>
              </w:rPr>
              <w:t>An air barrier shall separate insulation in the building thermal envelope from the shower, tub or </w:t>
            </w:r>
          </w:p>
          <w:p w14:paraId="70E323D2" w14:textId="77777777" w:rsidR="00DB1AEE" w:rsidRPr="00DB1AEE" w:rsidRDefault="00DB1AEE" w:rsidP="00DB1AEE">
            <w:pPr>
              <w:widowControl w:val="0"/>
              <w:suppressAutoHyphens/>
              <w:rPr>
                <w:sz w:val="20"/>
                <w:u w:val="single"/>
              </w:rPr>
            </w:pPr>
            <w:r w:rsidRPr="00DB1AEE">
              <w:rPr>
                <w:sz w:val="20"/>
                <w:u w:val="single"/>
              </w:rPr>
              <w:t>fireplace assemblies.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54E229DF" w14:textId="77777777" w:rsidR="00DB1AEE" w:rsidRPr="00DB1AEE" w:rsidRDefault="00DB1AEE" w:rsidP="00DB1AEE">
            <w:pPr>
              <w:widowControl w:val="0"/>
              <w:suppressAutoHyphens/>
              <w:rPr>
                <w:sz w:val="20"/>
                <w:u w:val="single"/>
              </w:rPr>
            </w:pPr>
            <w:r w:rsidRPr="00DB1AEE">
              <w:rPr>
                <w:sz w:val="20"/>
                <w:u w:val="single"/>
              </w:rPr>
              <w:t>Exterior framed walls adjacent to showers, tubs and fireplaces shall be insulated. </w:t>
            </w:r>
          </w:p>
        </w:tc>
      </w:tr>
      <w:tr w:rsidR="00DB1AEE" w:rsidRPr="00DB1AEE" w14:paraId="37D2DAAC" w14:textId="77777777" w:rsidTr="00FC1832">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0EDCD702" w14:textId="77777777" w:rsidR="00DB1AEE" w:rsidRPr="00DB1AEE" w:rsidRDefault="00DB1AEE" w:rsidP="00DB1AEE">
            <w:pPr>
              <w:widowControl w:val="0"/>
              <w:suppressAutoHyphens/>
              <w:rPr>
                <w:sz w:val="20"/>
                <w:u w:val="single"/>
              </w:rPr>
            </w:pPr>
            <w:r w:rsidRPr="00DB1AEE">
              <w:rPr>
                <w:sz w:val="20"/>
                <w:u w:val="single"/>
              </w:rPr>
              <w:t>Electrical, communication </w:t>
            </w:r>
          </w:p>
          <w:p w14:paraId="493119DA" w14:textId="77777777" w:rsidR="00DB1AEE" w:rsidRPr="00DB1AEE" w:rsidRDefault="00DB1AEE" w:rsidP="00DB1AEE">
            <w:pPr>
              <w:widowControl w:val="0"/>
              <w:suppressAutoHyphens/>
              <w:rPr>
                <w:sz w:val="20"/>
                <w:u w:val="single"/>
              </w:rPr>
            </w:pPr>
            <w:r w:rsidRPr="00DB1AEE">
              <w:rPr>
                <w:sz w:val="20"/>
                <w:u w:val="single"/>
              </w:rPr>
              <w:t>and other equipment boxes, </w:t>
            </w:r>
          </w:p>
          <w:p w14:paraId="7BB9ADE3" w14:textId="77777777" w:rsidR="00DB1AEE" w:rsidRPr="00DB1AEE" w:rsidRDefault="00DB1AEE" w:rsidP="00DB1AEE">
            <w:pPr>
              <w:widowControl w:val="0"/>
              <w:suppressAutoHyphens/>
              <w:rPr>
                <w:sz w:val="20"/>
                <w:u w:val="single"/>
              </w:rPr>
            </w:pPr>
            <w:r w:rsidRPr="00DB1AEE">
              <w:rPr>
                <w:sz w:val="20"/>
                <w:u w:val="single"/>
              </w:rPr>
              <w:t>housings and enclosures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1D50DAAC" w14:textId="77777777" w:rsidR="00DB1AEE" w:rsidRPr="00DB1AEE" w:rsidRDefault="00DB1AEE" w:rsidP="00DB1AEE">
            <w:pPr>
              <w:widowControl w:val="0"/>
              <w:suppressAutoHyphens/>
              <w:rPr>
                <w:sz w:val="20"/>
                <w:u w:val="single"/>
              </w:rPr>
            </w:pPr>
            <w:r w:rsidRPr="00DB1AEE">
              <w:rPr>
                <w:sz w:val="20"/>
                <w:u w:val="single"/>
              </w:rPr>
              <w:t>Boxes, housing and enclosures that </w:t>
            </w:r>
          </w:p>
          <w:p w14:paraId="41E1C00B" w14:textId="77777777" w:rsidR="00DB1AEE" w:rsidRPr="00DB1AEE" w:rsidRDefault="00DB1AEE" w:rsidP="00DB1AEE">
            <w:pPr>
              <w:widowControl w:val="0"/>
              <w:suppressAutoHyphens/>
              <w:rPr>
                <w:sz w:val="20"/>
                <w:u w:val="single"/>
              </w:rPr>
            </w:pPr>
            <w:r w:rsidRPr="00DB1AEE">
              <w:rPr>
                <w:sz w:val="20"/>
                <w:u w:val="single"/>
              </w:rPr>
              <w:t>penetrate the air barrier shall be caulked, taped, gasketed or otherwise sealed to the air barrier element being penetrated. </w:t>
            </w:r>
          </w:p>
          <w:p w14:paraId="0C912B62" w14:textId="77777777" w:rsidR="00DB1AEE" w:rsidRPr="00DB1AEE" w:rsidRDefault="00DB1AEE" w:rsidP="00DB1AEE">
            <w:pPr>
              <w:widowControl w:val="0"/>
              <w:suppressAutoHyphens/>
              <w:rPr>
                <w:sz w:val="20"/>
                <w:u w:val="single"/>
              </w:rPr>
            </w:pPr>
            <w:r w:rsidRPr="00DB1AEE">
              <w:rPr>
                <w:sz w:val="20"/>
                <w:u w:val="single"/>
              </w:rPr>
              <w:t>All concealed openings into the box, housing or enclosure shall be sealed. </w:t>
            </w:r>
          </w:p>
          <w:p w14:paraId="383A09B9" w14:textId="77777777" w:rsidR="00DB1AEE" w:rsidRPr="00DB1AEE" w:rsidRDefault="00DB1AEE" w:rsidP="00DB1AEE">
            <w:pPr>
              <w:widowControl w:val="0"/>
              <w:suppressAutoHyphens/>
              <w:rPr>
                <w:sz w:val="20"/>
                <w:u w:val="single"/>
              </w:rPr>
            </w:pPr>
            <w:r w:rsidRPr="00DB1AEE">
              <w:rPr>
                <w:sz w:val="20"/>
                <w:u w:val="single"/>
              </w:rPr>
              <w:t>Alternatively, air-sealed boxes shall be installed in accordance with Section </w:t>
            </w:r>
          </w:p>
          <w:p w14:paraId="2593BDC0" w14:textId="77777777" w:rsidR="00DB1AEE" w:rsidRPr="00DB1AEE" w:rsidRDefault="00DB1AEE" w:rsidP="00DB1AEE">
            <w:pPr>
              <w:widowControl w:val="0"/>
              <w:suppressAutoHyphens/>
              <w:rPr>
                <w:sz w:val="20"/>
                <w:u w:val="single"/>
              </w:rPr>
            </w:pPr>
            <w:r w:rsidRPr="00DB1AEE">
              <w:rPr>
                <w:sz w:val="20"/>
                <w:u w:val="single"/>
              </w:rPr>
              <w:t>R402.5.5.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2FE3236D" w14:textId="77777777" w:rsidR="00DB1AEE" w:rsidRPr="00DB1AEE" w:rsidRDefault="00DB1AEE" w:rsidP="00DB1AEE">
            <w:pPr>
              <w:widowControl w:val="0"/>
              <w:suppressAutoHyphens/>
              <w:rPr>
                <w:sz w:val="20"/>
                <w:u w:val="single"/>
              </w:rPr>
            </w:pPr>
            <w:r w:rsidRPr="00DB1AEE">
              <w:rPr>
                <w:sz w:val="20"/>
                <w:u w:val="single"/>
              </w:rPr>
              <w:t>Boxes, housing and enclosures shall be buried in or surrounded by insulation. </w:t>
            </w:r>
          </w:p>
        </w:tc>
      </w:tr>
      <w:tr w:rsidR="00DB1AEE" w:rsidRPr="00DB1AEE" w14:paraId="03956B35" w14:textId="77777777" w:rsidTr="00FC1832">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2F1BDCAA" w14:textId="77777777" w:rsidR="00DB1AEE" w:rsidRPr="00DB1AEE" w:rsidRDefault="00DB1AEE" w:rsidP="00DB1AEE">
            <w:pPr>
              <w:widowControl w:val="0"/>
              <w:suppressAutoHyphens/>
              <w:rPr>
                <w:sz w:val="20"/>
                <w:u w:val="single"/>
              </w:rPr>
            </w:pPr>
            <w:r w:rsidRPr="00DB1AEE">
              <w:rPr>
                <w:sz w:val="20"/>
                <w:u w:val="single"/>
              </w:rPr>
              <w:t>HVAC register boots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5AED39FA" w14:textId="77777777" w:rsidR="00DB1AEE" w:rsidRPr="00DB1AEE" w:rsidRDefault="00DB1AEE" w:rsidP="00DB1AEE">
            <w:pPr>
              <w:widowControl w:val="0"/>
              <w:suppressAutoHyphens/>
              <w:rPr>
                <w:sz w:val="20"/>
                <w:u w:val="single"/>
              </w:rPr>
            </w:pPr>
            <w:r w:rsidRPr="00DB1AEE">
              <w:rPr>
                <w:sz w:val="20"/>
                <w:u w:val="single"/>
              </w:rPr>
              <w:t>HVAC supply and return register boots  shall be sealed to the subfloor, wall covering or ceiling penetrated by the boot.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59D60BF4" w14:textId="77777777" w:rsidR="00DB1AEE" w:rsidRPr="00DB1AEE" w:rsidRDefault="00DB1AEE" w:rsidP="00DB1AEE">
            <w:pPr>
              <w:widowControl w:val="0"/>
              <w:suppressAutoHyphens/>
              <w:rPr>
                <w:sz w:val="20"/>
                <w:u w:val="single"/>
              </w:rPr>
            </w:pPr>
            <w:r w:rsidRPr="00DB1AEE">
              <w:rPr>
                <w:sz w:val="20"/>
                <w:u w:val="single"/>
              </w:rPr>
              <w:t>HVAC supply and return register boots located within a building thermal envelope assembly shall be buried in or surrounded by insulation. </w:t>
            </w:r>
          </w:p>
        </w:tc>
      </w:tr>
      <w:tr w:rsidR="00DB1AEE" w:rsidRPr="00DB1AEE" w14:paraId="381342AE" w14:textId="77777777" w:rsidTr="00FC1832">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163E8262" w14:textId="77777777" w:rsidR="00DB1AEE" w:rsidRPr="00DB1AEE" w:rsidRDefault="00DB1AEE" w:rsidP="00DB1AEE">
            <w:pPr>
              <w:widowControl w:val="0"/>
              <w:suppressAutoHyphens/>
              <w:rPr>
                <w:sz w:val="20"/>
                <w:u w:val="single"/>
              </w:rPr>
            </w:pPr>
            <w:r w:rsidRPr="00DB1AEE">
              <w:rPr>
                <w:sz w:val="20"/>
                <w:u w:val="single"/>
              </w:rPr>
              <w:t>Concealed sprinklers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771CB0EE" w14:textId="77777777" w:rsidR="00DB1AEE" w:rsidRPr="00DB1AEE" w:rsidRDefault="00DB1AEE" w:rsidP="00DB1AEE">
            <w:pPr>
              <w:widowControl w:val="0"/>
              <w:suppressAutoHyphens/>
              <w:rPr>
                <w:sz w:val="20"/>
                <w:u w:val="single"/>
              </w:rPr>
            </w:pPr>
            <w:r w:rsidRPr="00DB1AEE">
              <w:rPr>
                <w:sz w:val="20"/>
                <w:u w:val="single"/>
              </w:rPr>
              <w:t>Where required to be sealed, concealed fire sprinklers shall only be sealed in a manner that is recommended by the manufacturer. Caulking or other adhesive sealants shall not be used to fill voids between fire sprinkler cover plates and walls or ceilings.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22BC97AB" w14:textId="77777777" w:rsidR="00DB1AEE" w:rsidRPr="00DB1AEE" w:rsidRDefault="00DB1AEE" w:rsidP="00DB1AEE">
            <w:pPr>
              <w:widowControl w:val="0"/>
              <w:suppressAutoHyphens/>
              <w:rPr>
                <w:sz w:val="20"/>
                <w:u w:val="single"/>
              </w:rPr>
            </w:pPr>
            <w:r w:rsidRPr="00DB1AEE">
              <w:rPr>
                <w:sz w:val="20"/>
                <w:u w:val="single"/>
              </w:rPr>
              <w:t> </w:t>
            </w:r>
          </w:p>
        </w:tc>
      </w:tr>
      <w:tr w:rsidR="00DB1AEE" w:rsidRPr="00DB1AEE" w14:paraId="4B4AD5E2" w14:textId="77777777" w:rsidTr="00FC1832">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55F1D298" w14:textId="77777777" w:rsidR="00DB1AEE" w:rsidRPr="00DB1AEE" w:rsidRDefault="00DB1AEE" w:rsidP="00DB1AEE">
            <w:pPr>
              <w:widowControl w:val="0"/>
              <w:suppressAutoHyphens/>
              <w:rPr>
                <w:sz w:val="20"/>
                <w:u w:val="single"/>
              </w:rPr>
            </w:pPr>
            <w:r w:rsidRPr="00DB1AEE">
              <w:rPr>
                <w:sz w:val="20"/>
                <w:u w:val="single"/>
              </w:rPr>
              <w:t>Common walls or double walls separating attached </w:t>
            </w:r>
          </w:p>
          <w:p w14:paraId="3928F2B4" w14:textId="77777777" w:rsidR="00DB1AEE" w:rsidRPr="00DB1AEE" w:rsidRDefault="00DB1AEE" w:rsidP="00DB1AEE">
            <w:pPr>
              <w:widowControl w:val="0"/>
              <w:suppressAutoHyphens/>
              <w:rPr>
                <w:sz w:val="20"/>
                <w:u w:val="single"/>
              </w:rPr>
            </w:pPr>
            <w:r w:rsidRPr="00DB1AEE">
              <w:rPr>
                <w:sz w:val="20"/>
                <w:u w:val="single"/>
              </w:rPr>
              <w:t>single-family dwellings or </w:t>
            </w:r>
          </w:p>
          <w:p w14:paraId="72F3A2ED" w14:textId="77777777" w:rsidR="00DB1AEE" w:rsidRPr="00DB1AEE" w:rsidRDefault="00DB1AEE" w:rsidP="00DB1AEE">
            <w:pPr>
              <w:widowControl w:val="0"/>
              <w:suppressAutoHyphens/>
              <w:rPr>
                <w:sz w:val="20"/>
                <w:u w:val="single"/>
              </w:rPr>
            </w:pPr>
            <w:r w:rsidRPr="00DB1AEE">
              <w:rPr>
                <w:sz w:val="20"/>
                <w:u w:val="single"/>
              </w:rPr>
              <w:t>townhouses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07BE5F81" w14:textId="77777777" w:rsidR="00DB1AEE" w:rsidRPr="00DB1AEE" w:rsidRDefault="00DB1AEE" w:rsidP="00DB1AEE">
            <w:pPr>
              <w:widowControl w:val="0"/>
              <w:suppressAutoHyphens/>
              <w:rPr>
                <w:sz w:val="20"/>
                <w:u w:val="single"/>
              </w:rPr>
            </w:pPr>
            <w:r w:rsidRPr="00DB1AEE">
              <w:rPr>
                <w:sz w:val="20"/>
                <w:u w:val="single"/>
              </w:rPr>
              <w:t>An interior air barrier shall be provided. Air sealing at the intersections with building </w:t>
            </w:r>
          </w:p>
          <w:p w14:paraId="2D627FA7" w14:textId="77777777" w:rsidR="00DB1AEE" w:rsidRPr="00DB1AEE" w:rsidRDefault="00DB1AEE" w:rsidP="00DB1AEE">
            <w:pPr>
              <w:widowControl w:val="0"/>
              <w:suppressAutoHyphens/>
              <w:rPr>
                <w:sz w:val="20"/>
                <w:u w:val="single"/>
              </w:rPr>
            </w:pPr>
            <w:r w:rsidRPr="00DB1AEE">
              <w:rPr>
                <w:sz w:val="20"/>
                <w:u w:val="single"/>
              </w:rPr>
              <w:t>thermal envelope shall be provided. </w:t>
            </w:r>
          </w:p>
          <w:p w14:paraId="36C7EE74" w14:textId="77777777" w:rsidR="00DB1AEE" w:rsidRPr="00DB1AEE" w:rsidRDefault="00DB1AEE" w:rsidP="00DB1AEE">
            <w:pPr>
              <w:widowControl w:val="0"/>
              <w:suppressAutoHyphens/>
              <w:rPr>
                <w:sz w:val="20"/>
                <w:u w:val="single"/>
              </w:rPr>
            </w:pPr>
            <w:r w:rsidRPr="00DB1AEE">
              <w:rPr>
                <w:sz w:val="20"/>
                <w:u w:val="single"/>
              </w:rPr>
              <w:t>Where installed in a fire resistance- </w:t>
            </w:r>
          </w:p>
          <w:p w14:paraId="2F13A83E" w14:textId="77777777" w:rsidR="00DB1AEE" w:rsidRPr="00DB1AEE" w:rsidRDefault="00DB1AEE" w:rsidP="00DB1AEE">
            <w:pPr>
              <w:widowControl w:val="0"/>
              <w:suppressAutoHyphens/>
              <w:rPr>
                <w:sz w:val="20"/>
                <w:u w:val="single"/>
              </w:rPr>
            </w:pPr>
            <w:r w:rsidRPr="00DB1AEE">
              <w:rPr>
                <w:sz w:val="20"/>
                <w:u w:val="single"/>
              </w:rPr>
              <w:t>rated wall assembly, air sealing materials shall comply with one of the following: </w:t>
            </w:r>
          </w:p>
          <w:p w14:paraId="202A0CAC" w14:textId="77777777" w:rsidR="00DB1AEE" w:rsidRPr="00DB1AEE" w:rsidRDefault="00DB1AEE" w:rsidP="00DB1AEE">
            <w:pPr>
              <w:widowControl w:val="0"/>
              <w:suppressAutoHyphens/>
              <w:rPr>
                <w:sz w:val="20"/>
                <w:u w:val="single"/>
              </w:rPr>
            </w:pPr>
            <w:r w:rsidRPr="00DB1AEE">
              <w:rPr>
                <w:sz w:val="20"/>
                <w:u w:val="single"/>
              </w:rPr>
              <w:t>1. Be in accordance with an approved design for the fire-resistance-rated </w:t>
            </w:r>
          </w:p>
          <w:p w14:paraId="0834D42A" w14:textId="77777777" w:rsidR="00DB1AEE" w:rsidRPr="00DB1AEE" w:rsidRDefault="00DB1AEE" w:rsidP="00DB1AEE">
            <w:pPr>
              <w:widowControl w:val="0"/>
              <w:suppressAutoHyphens/>
              <w:rPr>
                <w:sz w:val="20"/>
                <w:u w:val="single"/>
              </w:rPr>
            </w:pPr>
            <w:r w:rsidRPr="00DB1AEE">
              <w:rPr>
                <w:sz w:val="20"/>
                <w:u w:val="single"/>
              </w:rPr>
              <w:t>assembly. </w:t>
            </w:r>
          </w:p>
          <w:p w14:paraId="6DBC1324" w14:textId="77777777" w:rsidR="00DB1AEE" w:rsidRPr="00DB1AEE" w:rsidRDefault="00DB1AEE" w:rsidP="00DB1AEE">
            <w:pPr>
              <w:widowControl w:val="0"/>
              <w:suppressAutoHyphens/>
              <w:rPr>
                <w:sz w:val="20"/>
                <w:u w:val="single"/>
              </w:rPr>
            </w:pPr>
            <w:r w:rsidRPr="00DB1AEE">
              <w:rPr>
                <w:sz w:val="20"/>
                <w:u w:val="single"/>
              </w:rPr>
              <w:t>2. Be supported by approved data that </w:t>
            </w:r>
          </w:p>
          <w:p w14:paraId="63373BA5" w14:textId="77777777" w:rsidR="00DB1AEE" w:rsidRPr="00DB1AEE" w:rsidRDefault="00DB1AEE" w:rsidP="00DB1AEE">
            <w:pPr>
              <w:widowControl w:val="0"/>
              <w:suppressAutoHyphens/>
              <w:rPr>
                <w:sz w:val="20"/>
                <w:u w:val="single"/>
              </w:rPr>
            </w:pPr>
            <w:r w:rsidRPr="00DB1AEE">
              <w:rPr>
                <w:sz w:val="20"/>
                <w:u w:val="single"/>
              </w:rPr>
              <w:t>shows the assembly as installed complies with the required fire resistance rating.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58F8149D" w14:textId="77777777" w:rsidR="00DB1AEE" w:rsidRPr="00DB1AEE" w:rsidRDefault="00DB1AEE" w:rsidP="00DB1AEE">
            <w:pPr>
              <w:widowControl w:val="0"/>
              <w:suppressAutoHyphens/>
              <w:rPr>
                <w:sz w:val="20"/>
                <w:u w:val="single"/>
              </w:rPr>
            </w:pPr>
            <w:r w:rsidRPr="00DB1AEE">
              <w:rPr>
                <w:sz w:val="20"/>
                <w:u w:val="single"/>
              </w:rPr>
              <w:t>Insulation materials recognized in the approved common wall or double-wall design and installed in accordance with the approved design shall be </w:t>
            </w:r>
          </w:p>
          <w:p w14:paraId="403BA58D" w14:textId="77777777" w:rsidR="00DB1AEE" w:rsidRPr="00DB1AEE" w:rsidRDefault="00DB1AEE" w:rsidP="00DB1AEE">
            <w:pPr>
              <w:widowControl w:val="0"/>
              <w:suppressAutoHyphens/>
              <w:rPr>
                <w:sz w:val="20"/>
                <w:u w:val="single"/>
              </w:rPr>
            </w:pPr>
            <w:r w:rsidRPr="00DB1AEE">
              <w:rPr>
                <w:sz w:val="20"/>
                <w:u w:val="single"/>
              </w:rPr>
              <w:t>permitted to be used. </w:t>
            </w:r>
          </w:p>
        </w:tc>
      </w:tr>
    </w:tbl>
    <w:p w14:paraId="10FC19C5" w14:textId="77777777" w:rsidR="00DB1AEE" w:rsidRPr="00DB1AEE" w:rsidRDefault="00DB1AEE" w:rsidP="00DB1AEE">
      <w:pPr>
        <w:widowControl w:val="0"/>
        <w:suppressAutoHyphens/>
        <w:spacing w:before="130" w:after="130"/>
        <w:ind w:left="360"/>
        <w:rPr>
          <w:u w:val="single"/>
        </w:rPr>
      </w:pPr>
      <w:r w:rsidRPr="00DB1AEE">
        <w:rPr>
          <w:u w:val="single"/>
        </w:rPr>
        <w:t>a.</w:t>
      </w:r>
      <w:r w:rsidRPr="00DB1AEE">
        <w:rPr>
          <w:u w:val="single"/>
        </w:rPr>
        <w:tab/>
        <w:t>Inspection of log walls shall be in accordance with the provisions of ICC 400. </w:t>
      </w:r>
    </w:p>
    <w:p w14:paraId="327545CD" w14:textId="77777777" w:rsidR="00DB1AEE" w:rsidRPr="00DB1AEE" w:rsidRDefault="00DB1AEE" w:rsidP="00DB1AEE">
      <w:pPr>
        <w:widowControl w:val="0"/>
        <w:suppressAutoHyphens/>
        <w:spacing w:before="130" w:after="130"/>
        <w:ind w:left="360"/>
        <w:rPr>
          <w:u w:val="single"/>
        </w:rPr>
      </w:pPr>
      <w:r w:rsidRPr="00DB1AEE">
        <w:rPr>
          <w:u w:val="single"/>
        </w:rPr>
        <w:t>b.</w:t>
      </w:r>
      <w:r w:rsidRPr="00DB1AEE">
        <w:rPr>
          <w:u w:val="single"/>
        </w:rPr>
        <w:tab/>
        <w:t>Insulation full enclosure is not required in unconditioned/ventilated attic spaces and at rim joists. </w:t>
      </w:r>
    </w:p>
    <w:p w14:paraId="58039BE5" w14:textId="77777777" w:rsidR="00DB1AEE" w:rsidRPr="00DB1AEE" w:rsidRDefault="00DB1AEE" w:rsidP="00DB1AEE">
      <w:pPr>
        <w:widowControl w:val="0"/>
        <w:suppressAutoHyphens/>
        <w:spacing w:before="130" w:after="130"/>
      </w:pPr>
      <w:r w:rsidRPr="00DB1AEE">
        <w:rPr>
          <w:b/>
          <w:bCs/>
          <w:szCs w:val="24"/>
          <w:u w:val="single"/>
        </w:rPr>
        <w:t xml:space="preserve">Section </w:t>
      </w:r>
      <w:r w:rsidRPr="00DB1AEE">
        <w:rPr>
          <w:b/>
          <w:bCs/>
          <w:u w:val="single"/>
        </w:rPr>
        <w:t>R402.5.1.2 Air leakage testing</w:t>
      </w:r>
      <w:r w:rsidRPr="00DB1AEE">
        <w:rPr>
          <w:b/>
          <w:bCs/>
          <w:szCs w:val="24"/>
          <w:u w:val="single"/>
        </w:rPr>
        <w:t>.</w:t>
      </w:r>
    </w:p>
    <w:p w14:paraId="1D80728A" w14:textId="77777777" w:rsidR="00DB1AEE" w:rsidRPr="00DB1AEE" w:rsidRDefault="00DB1AEE" w:rsidP="00DB1AEE">
      <w:pPr>
        <w:widowControl w:val="0"/>
        <w:suppressAutoHyphens/>
        <w:spacing w:before="130" w:after="130"/>
        <w:rPr>
          <w:u w:val="single"/>
        </w:rPr>
      </w:pPr>
      <w:r w:rsidRPr="00DB1AEE">
        <w:rPr>
          <w:u w:val="single"/>
        </w:rPr>
        <w:t xml:space="preserve">Section </w:t>
      </w:r>
      <w:r w:rsidRPr="00DB1AEE">
        <w:rPr>
          <w:rFonts w:eastAsia="MS Mincho"/>
          <w:szCs w:val="24"/>
          <w:u w:val="single"/>
        </w:rPr>
        <w:t xml:space="preserve">R402.5.1.2 </w:t>
      </w:r>
      <w:r w:rsidRPr="00DB1AEE">
        <w:rPr>
          <w:u w:val="single"/>
        </w:rPr>
        <w:t xml:space="preserve"> - Delete Section </w:t>
      </w:r>
      <w:r w:rsidRPr="00DB1AEE">
        <w:rPr>
          <w:rFonts w:eastAsia="MS Mincho"/>
          <w:szCs w:val="24"/>
          <w:u w:val="single"/>
        </w:rPr>
        <w:t xml:space="preserve">R402.5.1.2 </w:t>
      </w:r>
      <w:r w:rsidRPr="00DB1AEE">
        <w:rPr>
          <w:u w:val="single"/>
        </w:rPr>
        <w:t xml:space="preserve">in its entirety and add a new Section </w:t>
      </w:r>
      <w:r w:rsidRPr="00DB1AEE">
        <w:rPr>
          <w:rFonts w:eastAsia="MS Mincho"/>
          <w:szCs w:val="24"/>
          <w:u w:val="single"/>
        </w:rPr>
        <w:t xml:space="preserve">R402.5.1.2 </w:t>
      </w:r>
      <w:r w:rsidRPr="00DB1AEE">
        <w:rPr>
          <w:u w:val="single"/>
        </w:rPr>
        <w:t>to read as follows:</w:t>
      </w:r>
    </w:p>
    <w:p w14:paraId="63B6E382" w14:textId="77777777" w:rsidR="00DB1AEE" w:rsidRPr="00DB1AEE" w:rsidRDefault="00DB1AEE" w:rsidP="00DB1AEE">
      <w:pPr>
        <w:widowControl w:val="0"/>
        <w:suppressAutoHyphens/>
        <w:spacing w:before="130" w:after="130"/>
        <w:ind w:left="360"/>
        <w:rPr>
          <w:u w:val="single"/>
        </w:rPr>
      </w:pPr>
      <w:r w:rsidRPr="00DB1AEE">
        <w:rPr>
          <w:b/>
          <w:bCs/>
          <w:u w:val="single"/>
        </w:rPr>
        <w:t xml:space="preserve">R402.5.1.2 Air leakage testing.   </w:t>
      </w:r>
      <w:r w:rsidRPr="00DB1AEE">
        <w:rPr>
          <w:u w:val="single"/>
        </w:rPr>
        <w:t xml:space="preserve">The building shall be tested for air leakage in accordance with Sections R402.5.1.3 and R402.5.1.4. Where required by the building official, testing shall be conducted by an approved third party. A written report of the results of the test shall be signed by the party conducting the test and provided to the building official. Testing shall be performed at any time after creation of all penetrations of the building thermal envelope have been sealed. </w:t>
      </w:r>
    </w:p>
    <w:p w14:paraId="7A42E816" w14:textId="77777777" w:rsidR="00DB1AEE" w:rsidRPr="00DB1AEE" w:rsidRDefault="00DB1AEE" w:rsidP="00DB1AEE">
      <w:pPr>
        <w:widowControl w:val="0"/>
        <w:suppressAutoHyphens/>
        <w:spacing w:before="130" w:after="130"/>
        <w:ind w:left="360"/>
        <w:rPr>
          <w:u w:val="single"/>
        </w:rPr>
      </w:pPr>
      <w:r w:rsidRPr="00DB1AEE">
        <w:rPr>
          <w:u w:val="single"/>
        </w:rPr>
        <w:t>Exception:  For heated sunrooms and heated attached private garages and heated, detached private garages accessory to one-and-two family dwellings and townhouses not more than three stories above grade plane in height, building thermal envelope tightness and insulation installation shall be considered acceptable where the items in Table R402.5.1.1, applicable to the method of construction, are field verified. Where required by the building official, an approved third party independent from the installer shall inspect both air barrier and insulation installation criteria. Heated, attached private garage space and heated, detached private garage space shall be thermally isolated from all other habitable, conditioned spaces in accordance with Sections R402.2.13 and R402.4.5, as applicable.</w:t>
      </w:r>
    </w:p>
    <w:p w14:paraId="73CE897A" w14:textId="77777777" w:rsidR="00DB1AEE" w:rsidRPr="00DB1AEE" w:rsidRDefault="00DB1AEE" w:rsidP="00DB1AEE">
      <w:pPr>
        <w:widowControl w:val="0"/>
        <w:suppressAutoHyphens/>
        <w:spacing w:before="130" w:after="130"/>
      </w:pPr>
      <w:r w:rsidRPr="00DB1AEE">
        <w:rPr>
          <w:b/>
          <w:bCs/>
          <w:szCs w:val="24"/>
          <w:u w:val="single"/>
        </w:rPr>
        <w:t xml:space="preserve">Section </w:t>
      </w:r>
      <w:r w:rsidRPr="00DB1AEE">
        <w:rPr>
          <w:b/>
          <w:bCs/>
          <w:u w:val="single"/>
        </w:rPr>
        <w:t>R402.5.1.3 Maximum air leakage rate</w:t>
      </w:r>
      <w:r w:rsidRPr="00DB1AEE">
        <w:rPr>
          <w:b/>
          <w:bCs/>
          <w:szCs w:val="24"/>
          <w:u w:val="single"/>
        </w:rPr>
        <w:t>.</w:t>
      </w:r>
    </w:p>
    <w:p w14:paraId="557D0654" w14:textId="77777777" w:rsidR="00DB1AEE" w:rsidRPr="00DB1AEE" w:rsidRDefault="00DB1AEE" w:rsidP="00DB1AEE">
      <w:pPr>
        <w:widowControl w:val="0"/>
        <w:suppressAutoHyphens/>
        <w:spacing w:before="130" w:after="130"/>
        <w:rPr>
          <w:u w:val="single"/>
        </w:rPr>
      </w:pPr>
      <w:r w:rsidRPr="00DB1AEE">
        <w:rPr>
          <w:u w:val="single"/>
        </w:rPr>
        <w:t xml:space="preserve">Section </w:t>
      </w:r>
      <w:r w:rsidRPr="00DB1AEE">
        <w:rPr>
          <w:rFonts w:eastAsia="MS Mincho"/>
          <w:u w:val="single"/>
        </w:rPr>
        <w:t>R402.5.1.3-</w:t>
      </w:r>
      <w:r w:rsidRPr="00DB1AEE">
        <w:rPr>
          <w:u w:val="single"/>
        </w:rPr>
        <w:t xml:space="preserve">Delete Section </w:t>
      </w:r>
      <w:r w:rsidRPr="00DB1AEE">
        <w:rPr>
          <w:rFonts w:eastAsia="MS Mincho"/>
          <w:u w:val="single"/>
        </w:rPr>
        <w:t xml:space="preserve">R402.5.1.3 </w:t>
      </w:r>
      <w:r w:rsidRPr="00DB1AEE">
        <w:rPr>
          <w:u w:val="single"/>
        </w:rPr>
        <w:t xml:space="preserve">in its entirety and add a new Section </w:t>
      </w:r>
      <w:r w:rsidRPr="00DB1AEE">
        <w:rPr>
          <w:rFonts w:eastAsia="MS Mincho"/>
          <w:u w:val="single"/>
        </w:rPr>
        <w:t xml:space="preserve">R402.5.1.3 </w:t>
      </w:r>
      <w:r w:rsidRPr="00DB1AEE">
        <w:rPr>
          <w:u w:val="single"/>
        </w:rPr>
        <w:t>to read as follows:</w:t>
      </w:r>
    </w:p>
    <w:p w14:paraId="3868ABD8" w14:textId="77777777" w:rsidR="00DB1AEE" w:rsidRPr="00DB1AEE" w:rsidRDefault="00DB1AEE" w:rsidP="00DB1AEE">
      <w:pPr>
        <w:widowControl w:val="0"/>
        <w:suppressAutoHyphens/>
        <w:spacing w:before="130" w:after="130"/>
        <w:ind w:left="360"/>
        <w:rPr>
          <w:u w:val="single"/>
        </w:rPr>
      </w:pPr>
      <w:r w:rsidRPr="00DB1AEE">
        <w:rPr>
          <w:b/>
          <w:bCs/>
          <w:u w:val="single"/>
        </w:rPr>
        <w:t>R402.5.1.3 Maximum air leakage rate.</w:t>
      </w:r>
      <w:r w:rsidRPr="00DB1AEE">
        <w:rPr>
          <w:u w:val="single"/>
        </w:rPr>
        <w:t xml:space="preserve"> The maximum air leakage rate for any building under any compliance path shall not exceed 3.0    air changes per hour. Testing shall be conducted in accordance with ANSI/RESNET/ICC 380, ASTM E779 or ASTM E1827 and reported at a pressure differential of 0.2 inch water gauge (50 Pa).</w:t>
      </w:r>
    </w:p>
    <w:p w14:paraId="22954374" w14:textId="77777777" w:rsidR="00DB1AEE" w:rsidRPr="00DB1AEE" w:rsidRDefault="00DB1AEE" w:rsidP="00DB1AEE">
      <w:pPr>
        <w:widowControl w:val="0"/>
        <w:suppressAutoHyphens/>
        <w:spacing w:before="130" w:after="130"/>
        <w:ind w:left="360"/>
        <w:rPr>
          <w:u w:val="single"/>
        </w:rPr>
      </w:pPr>
      <w:r w:rsidRPr="00DB1AEE">
        <w:rPr>
          <w:b/>
          <w:bCs/>
          <w:u w:val="single"/>
        </w:rPr>
        <w:t>Exception:</w:t>
      </w:r>
      <w:r w:rsidRPr="00DB1AEE">
        <w:rPr>
          <w:u w:val="single"/>
        </w:rPr>
        <w:t xml:space="preserve"> Buildings over 50,000 square feet may comply with the testing requirements of section C402.6.</w:t>
      </w:r>
    </w:p>
    <w:p w14:paraId="534985A4" w14:textId="77777777" w:rsidR="00DB1AEE" w:rsidRPr="00DB1AEE" w:rsidRDefault="00DB1AEE" w:rsidP="00DB1AEE">
      <w:pPr>
        <w:widowControl w:val="0"/>
        <w:suppressAutoHyphens/>
        <w:spacing w:before="130" w:after="130"/>
      </w:pPr>
      <w:r w:rsidRPr="00DB1AEE">
        <w:rPr>
          <w:b/>
          <w:bCs/>
          <w:szCs w:val="24"/>
          <w:u w:val="single"/>
        </w:rPr>
        <w:t>Section R402.5.1.4 Testing   procedure.</w:t>
      </w:r>
    </w:p>
    <w:p w14:paraId="4698CFE0" w14:textId="77777777" w:rsidR="00DB1AEE" w:rsidRPr="00DB1AEE" w:rsidRDefault="00DB1AEE" w:rsidP="00DB1AEE">
      <w:pPr>
        <w:widowControl w:val="0"/>
        <w:suppressAutoHyphens/>
        <w:spacing w:before="130" w:after="130"/>
        <w:rPr>
          <w:szCs w:val="24"/>
          <w:u w:val="single"/>
        </w:rPr>
      </w:pPr>
      <w:r w:rsidRPr="00DB1AEE">
        <w:rPr>
          <w:szCs w:val="24"/>
          <w:u w:val="single"/>
        </w:rPr>
        <w:t>Section R402.1.4 - Add new Section R402.5.1.4, to read as follows:</w:t>
      </w:r>
    </w:p>
    <w:p w14:paraId="6F6BA268" w14:textId="77777777" w:rsidR="00DB1AEE" w:rsidRPr="00DB1AEE" w:rsidRDefault="00DB1AEE" w:rsidP="00DB1AEE">
      <w:pPr>
        <w:widowControl w:val="0"/>
        <w:suppressAutoHyphens/>
        <w:spacing w:before="130" w:after="130"/>
        <w:ind w:left="360"/>
        <w:rPr>
          <w:u w:val="single"/>
        </w:rPr>
      </w:pPr>
      <w:r w:rsidRPr="00DB1AEE">
        <w:rPr>
          <w:b/>
          <w:bCs/>
          <w:u w:val="single"/>
        </w:rPr>
        <w:t xml:space="preserve">R402.5.1.4 Testing   procedure.  </w:t>
      </w:r>
      <w:r w:rsidRPr="00DB1AEE">
        <w:rPr>
          <w:u w:val="single"/>
        </w:rPr>
        <w:t xml:space="preserve"> Testing shall be conducted by an approved agency  . A written report of the results of the test shall be signed by the party conducting the test and provided to the building official. Testing shall be performed at any time after creation of all penetrations of the building thermal envelope have been sealed. The written report shall include:  </w:t>
      </w:r>
    </w:p>
    <w:p w14:paraId="0F426E6A" w14:textId="77777777" w:rsidR="00DB1AEE" w:rsidRPr="00DB1AEE" w:rsidRDefault="00DB1AEE" w:rsidP="00DB1AEE">
      <w:pPr>
        <w:widowControl w:val="0"/>
        <w:suppressAutoHyphens/>
        <w:spacing w:before="130" w:after="130"/>
        <w:ind w:left="1008" w:hanging="288"/>
        <w:rPr>
          <w:u w:val="single"/>
        </w:rPr>
      </w:pPr>
      <w:r w:rsidRPr="00DB1AEE">
        <w:rPr>
          <w:u w:val="single"/>
        </w:rPr>
        <w:t xml:space="preserve">1.  The name and place of business of the party conducting the test;  </w:t>
      </w:r>
    </w:p>
    <w:p w14:paraId="02928B17" w14:textId="77777777" w:rsidR="00DB1AEE" w:rsidRPr="00DB1AEE" w:rsidRDefault="00DB1AEE" w:rsidP="00DB1AEE">
      <w:pPr>
        <w:widowControl w:val="0"/>
        <w:suppressAutoHyphens/>
        <w:spacing w:before="130" w:after="130"/>
        <w:ind w:left="1008" w:hanging="288"/>
        <w:rPr>
          <w:u w:val="single"/>
        </w:rPr>
      </w:pPr>
      <w:r w:rsidRPr="00DB1AEE">
        <w:rPr>
          <w:u w:val="single"/>
        </w:rPr>
        <w:t xml:space="preserve">2.  The address of the building that was tested;  </w:t>
      </w:r>
    </w:p>
    <w:p w14:paraId="4AEE95C5" w14:textId="77777777" w:rsidR="00DB1AEE" w:rsidRPr="00DB1AEE" w:rsidRDefault="00DB1AEE" w:rsidP="00DB1AEE">
      <w:pPr>
        <w:widowControl w:val="0"/>
        <w:suppressAutoHyphens/>
        <w:spacing w:before="130" w:after="130"/>
        <w:ind w:left="1008" w:hanging="288"/>
        <w:rPr>
          <w:u w:val="single"/>
        </w:rPr>
      </w:pPr>
      <w:r w:rsidRPr="00DB1AEE">
        <w:rPr>
          <w:u w:val="single"/>
        </w:rPr>
        <w:t>3.</w:t>
      </w:r>
      <w:r w:rsidRPr="00DB1AEE">
        <w:rPr>
          <w:u w:val="single"/>
        </w:rPr>
        <w:tab/>
        <w:t xml:space="preserve">The conditioned floor area of the dwelling, calculated in accordance with ANSI/BOMA Z65.1, except that conditioned floor area shall include areas where the ceiling height is less than 5 feet (1524 mm);  </w:t>
      </w:r>
    </w:p>
    <w:p w14:paraId="3DF48B0C" w14:textId="77777777" w:rsidR="00DB1AEE" w:rsidRPr="00DB1AEE" w:rsidRDefault="00DB1AEE" w:rsidP="00DB1AEE">
      <w:pPr>
        <w:widowControl w:val="0"/>
        <w:suppressAutoHyphens/>
        <w:spacing w:before="130" w:after="130"/>
        <w:ind w:left="1008" w:hanging="288"/>
        <w:rPr>
          <w:u w:val="single"/>
        </w:rPr>
      </w:pPr>
      <w:r w:rsidRPr="00DB1AEE">
        <w:rPr>
          <w:u w:val="single"/>
        </w:rPr>
        <w:t xml:space="preserve">4.  Measurement of the air volume lost at an internal pressurization of 0.2 inches water gauge (50 Pa);  </w:t>
      </w:r>
    </w:p>
    <w:p w14:paraId="69872C17" w14:textId="77777777" w:rsidR="00DB1AEE" w:rsidRPr="00DB1AEE" w:rsidRDefault="00DB1AEE" w:rsidP="00DB1AEE">
      <w:pPr>
        <w:widowControl w:val="0"/>
        <w:suppressAutoHyphens/>
        <w:spacing w:before="130" w:after="130"/>
        <w:ind w:left="1008" w:hanging="288"/>
        <w:rPr>
          <w:u w:val="single"/>
        </w:rPr>
      </w:pPr>
      <w:r w:rsidRPr="00DB1AEE">
        <w:rPr>
          <w:u w:val="single"/>
        </w:rPr>
        <w:t xml:space="preserve">5.  The air leakage rate in air changes per hour or cubic feet per minute per square foot of dwelling unit enclosure area;  </w:t>
      </w:r>
    </w:p>
    <w:p w14:paraId="01B35B4E" w14:textId="77777777" w:rsidR="00DB1AEE" w:rsidRPr="00DB1AEE" w:rsidRDefault="00DB1AEE" w:rsidP="00DB1AEE">
      <w:pPr>
        <w:widowControl w:val="0"/>
        <w:suppressAutoHyphens/>
        <w:spacing w:before="130" w:after="130"/>
        <w:ind w:left="1008" w:hanging="288"/>
        <w:rPr>
          <w:u w:val="single"/>
        </w:rPr>
      </w:pPr>
      <w:r w:rsidRPr="00DB1AEE">
        <w:rPr>
          <w:u w:val="single"/>
        </w:rPr>
        <w:t xml:space="preserve">6.  The date(s) of the test;  </w:t>
      </w:r>
    </w:p>
    <w:p w14:paraId="58C276DB" w14:textId="77777777" w:rsidR="00DB1AEE" w:rsidRPr="00DB1AEE" w:rsidRDefault="00DB1AEE" w:rsidP="00DB1AEE">
      <w:pPr>
        <w:widowControl w:val="0"/>
        <w:suppressAutoHyphens/>
        <w:spacing w:before="130" w:after="130"/>
        <w:ind w:left="1008" w:hanging="288"/>
        <w:rPr>
          <w:u w:val="single"/>
        </w:rPr>
      </w:pPr>
      <w:r w:rsidRPr="00DB1AEE">
        <w:rPr>
          <w:u w:val="single"/>
        </w:rPr>
        <w:t xml:space="preserve">7.  A certification by the party conducting the test of the accuracy of the test results; and  </w:t>
      </w:r>
    </w:p>
    <w:p w14:paraId="3756A041" w14:textId="77777777" w:rsidR="00DB1AEE" w:rsidRPr="00DB1AEE" w:rsidRDefault="00DB1AEE" w:rsidP="00DB1AEE">
      <w:pPr>
        <w:widowControl w:val="0"/>
        <w:suppressAutoHyphens/>
        <w:spacing w:before="130" w:after="130"/>
        <w:ind w:left="1008" w:hanging="288"/>
        <w:rPr>
          <w:u w:val="single"/>
        </w:rPr>
      </w:pPr>
      <w:r w:rsidRPr="00DB1AEE">
        <w:rPr>
          <w:u w:val="single"/>
        </w:rPr>
        <w:t xml:space="preserve">8.  The signature of the party conducting the test.  </w:t>
      </w:r>
    </w:p>
    <w:p w14:paraId="114EAF4A" w14:textId="77777777" w:rsidR="00DB1AEE" w:rsidRPr="00DB1AEE" w:rsidRDefault="00DB1AEE" w:rsidP="00DB1AEE">
      <w:pPr>
        <w:widowControl w:val="0"/>
        <w:suppressAutoHyphens/>
        <w:spacing w:before="130" w:after="130"/>
        <w:ind w:left="360"/>
        <w:rPr>
          <w:u w:val="single"/>
        </w:rPr>
      </w:pPr>
      <w:r w:rsidRPr="00DB1AEE">
        <w:rPr>
          <w:u w:val="single"/>
        </w:rPr>
        <w:t xml:space="preserve">During testing:  </w:t>
      </w:r>
    </w:p>
    <w:p w14:paraId="12A75CE9" w14:textId="77777777" w:rsidR="00DB1AEE" w:rsidRPr="00DB1AEE" w:rsidRDefault="00DB1AEE" w:rsidP="00DB1AEE">
      <w:pPr>
        <w:widowControl w:val="0"/>
        <w:suppressAutoHyphens/>
        <w:spacing w:before="130" w:after="130"/>
        <w:ind w:left="1008" w:hanging="288"/>
        <w:rPr>
          <w:u w:val="single"/>
        </w:rPr>
      </w:pPr>
      <w:r w:rsidRPr="00DB1AEE">
        <w:rPr>
          <w:u w:val="single"/>
        </w:rPr>
        <w:t xml:space="preserve">1.  Exterior windows and doors, fireplace and stove doors shall be closed, but not sealed, beyond the intended weatherstripping or other infiltration control measures.  </w:t>
      </w:r>
    </w:p>
    <w:p w14:paraId="39A424DF" w14:textId="77777777" w:rsidR="00DB1AEE" w:rsidRPr="00DB1AEE" w:rsidRDefault="00DB1AEE" w:rsidP="00DB1AEE">
      <w:pPr>
        <w:widowControl w:val="0"/>
        <w:suppressAutoHyphens/>
        <w:spacing w:before="130" w:after="130"/>
        <w:ind w:left="1008" w:hanging="288"/>
        <w:rPr>
          <w:u w:val="single"/>
        </w:rPr>
      </w:pPr>
      <w:r w:rsidRPr="00DB1AEE">
        <w:rPr>
          <w:u w:val="single"/>
        </w:rPr>
        <w:t xml:space="preserve">2.  Dampers including exhaust, intake, makeup air, backdraft and flue dampers shall be closed, but not sealed beyond intended infiltration control measures.  </w:t>
      </w:r>
    </w:p>
    <w:p w14:paraId="69274AC3" w14:textId="77777777" w:rsidR="00DB1AEE" w:rsidRPr="00DB1AEE" w:rsidRDefault="00DB1AEE" w:rsidP="00DB1AEE">
      <w:pPr>
        <w:widowControl w:val="0"/>
        <w:suppressAutoHyphens/>
        <w:spacing w:before="130" w:after="130"/>
        <w:ind w:left="1008" w:hanging="288"/>
        <w:rPr>
          <w:u w:val="single"/>
        </w:rPr>
      </w:pPr>
      <w:r w:rsidRPr="00DB1AEE">
        <w:rPr>
          <w:u w:val="single"/>
        </w:rPr>
        <w:t xml:space="preserve">3.  Interior doors, where installed at the time of the test, shall be open.  </w:t>
      </w:r>
    </w:p>
    <w:p w14:paraId="236C0D2F" w14:textId="77777777" w:rsidR="00DB1AEE" w:rsidRPr="00DB1AEE" w:rsidRDefault="00DB1AEE" w:rsidP="00DB1AEE">
      <w:pPr>
        <w:widowControl w:val="0"/>
        <w:suppressAutoHyphens/>
        <w:spacing w:before="130" w:after="130"/>
        <w:ind w:left="1008" w:hanging="288"/>
        <w:rPr>
          <w:u w:val="single"/>
        </w:rPr>
      </w:pPr>
      <w:r w:rsidRPr="00DB1AEE">
        <w:rPr>
          <w:u w:val="single"/>
        </w:rPr>
        <w:t xml:space="preserve">4.  Exterior or interior terminations for continuous ventilation systems and heat recovery ventilators shall be closed and sealed.  </w:t>
      </w:r>
    </w:p>
    <w:p w14:paraId="03427E99" w14:textId="77777777" w:rsidR="00DB1AEE" w:rsidRPr="00DB1AEE" w:rsidRDefault="00DB1AEE" w:rsidP="00DB1AEE">
      <w:pPr>
        <w:widowControl w:val="0"/>
        <w:suppressAutoHyphens/>
        <w:spacing w:before="130" w:after="130"/>
        <w:ind w:left="1008" w:hanging="288"/>
        <w:rPr>
          <w:u w:val="single"/>
        </w:rPr>
      </w:pPr>
      <w:r w:rsidRPr="00DB1AEE">
        <w:rPr>
          <w:u w:val="single"/>
        </w:rPr>
        <w:t xml:space="preserve">5.  Heating and cooling systems, where installed at the time of the test, shall be turned off.  </w:t>
      </w:r>
    </w:p>
    <w:p w14:paraId="28FF61BD" w14:textId="77777777" w:rsidR="00DB1AEE" w:rsidRPr="00DB1AEE" w:rsidRDefault="00DB1AEE" w:rsidP="00DB1AEE">
      <w:pPr>
        <w:widowControl w:val="0"/>
        <w:suppressAutoHyphens/>
        <w:spacing w:before="130" w:after="130"/>
        <w:ind w:left="1008" w:hanging="288"/>
        <w:rPr>
          <w:u w:val="single"/>
        </w:rPr>
      </w:pPr>
      <w:r w:rsidRPr="00DB1AEE">
        <w:rPr>
          <w:u w:val="single"/>
        </w:rPr>
        <w:t>6. Supply and return registers, where installed at the time of the test, shall be fully open.</w:t>
      </w:r>
    </w:p>
    <w:p w14:paraId="6855654E" w14:textId="77777777" w:rsidR="00DB1AEE" w:rsidRPr="00DB1AEE" w:rsidRDefault="00DB1AEE" w:rsidP="00DB1AEE">
      <w:pPr>
        <w:widowControl w:val="0"/>
        <w:suppressAutoHyphens/>
        <w:spacing w:before="130" w:after="130"/>
      </w:pPr>
      <w:r w:rsidRPr="00DB1AEE">
        <w:rPr>
          <w:b/>
          <w:bCs/>
          <w:szCs w:val="24"/>
          <w:u w:val="single"/>
        </w:rPr>
        <w:t>Section R402.6 Maximum fenestration U-factor and SHGC.</w:t>
      </w:r>
    </w:p>
    <w:p w14:paraId="2F1C436B" w14:textId="77777777" w:rsidR="00DB1AEE" w:rsidRPr="00DB1AEE" w:rsidRDefault="00DB1AEE" w:rsidP="00DB1AEE">
      <w:pPr>
        <w:widowControl w:val="0"/>
        <w:suppressAutoHyphens/>
        <w:spacing w:before="130" w:after="130"/>
        <w:rPr>
          <w:u w:val="single"/>
        </w:rPr>
      </w:pPr>
      <w:r w:rsidRPr="00DB1AEE">
        <w:rPr>
          <w:u w:val="single"/>
        </w:rPr>
        <w:t xml:space="preserve">Section </w:t>
      </w:r>
      <w:r w:rsidRPr="00DB1AEE">
        <w:rPr>
          <w:rFonts w:eastAsia="MS Mincho"/>
          <w:u w:val="single"/>
        </w:rPr>
        <w:t>R402.6-</w:t>
      </w:r>
      <w:r w:rsidRPr="00DB1AEE">
        <w:rPr>
          <w:u w:val="single"/>
        </w:rPr>
        <w:t xml:space="preserve">Delete Section </w:t>
      </w:r>
      <w:r w:rsidRPr="00DB1AEE">
        <w:rPr>
          <w:rFonts w:eastAsia="MS Mincho"/>
          <w:u w:val="single"/>
        </w:rPr>
        <w:t xml:space="preserve">R402.6 </w:t>
      </w:r>
      <w:r w:rsidRPr="00DB1AEE">
        <w:rPr>
          <w:u w:val="single"/>
        </w:rPr>
        <w:t xml:space="preserve">in its entirety and add a new Section </w:t>
      </w:r>
      <w:r w:rsidRPr="00DB1AEE">
        <w:rPr>
          <w:rFonts w:eastAsia="MS Mincho"/>
          <w:u w:val="single"/>
        </w:rPr>
        <w:t xml:space="preserve">R402.6 </w:t>
      </w:r>
      <w:r w:rsidRPr="00DB1AEE">
        <w:rPr>
          <w:u w:val="single"/>
        </w:rPr>
        <w:t>to read as follows:</w:t>
      </w:r>
    </w:p>
    <w:p w14:paraId="6A5330CB" w14:textId="77777777" w:rsidR="00DB1AEE" w:rsidRPr="00DB1AEE" w:rsidRDefault="00DB1AEE" w:rsidP="00DB1AEE">
      <w:pPr>
        <w:widowControl w:val="0"/>
        <w:suppressAutoHyphens/>
        <w:spacing w:before="130" w:after="130"/>
        <w:ind w:left="360"/>
        <w:rPr>
          <w:u w:val="single"/>
        </w:rPr>
      </w:pPr>
      <w:r w:rsidRPr="00DB1AEE">
        <w:rPr>
          <w:b/>
          <w:bCs/>
          <w:u w:val="single"/>
        </w:rPr>
        <w:t>R402.6 Maximum fenestration U-factor and SHGC</w:t>
      </w:r>
      <w:r w:rsidRPr="00DB1AEE">
        <w:rPr>
          <w:u w:val="single"/>
        </w:rPr>
        <w:t>.</w:t>
      </w:r>
      <w:r w:rsidRPr="00DB1AEE">
        <w:rPr>
          <w:b/>
          <w:bCs/>
          <w:u w:val="single"/>
        </w:rPr>
        <w:t>  </w:t>
      </w:r>
      <w:r w:rsidRPr="00DB1AEE">
        <w:rPr>
          <w:u w:val="single"/>
        </w:rPr>
        <w:t xml:space="preserve"> The area-weighted average maximum fenestration </w:t>
      </w:r>
      <w:r w:rsidRPr="00DB1AEE">
        <w:rPr>
          <w:i/>
          <w:iCs/>
          <w:u w:val="single"/>
        </w:rPr>
        <w:t>U</w:t>
      </w:r>
      <w:r w:rsidRPr="00DB1AEE">
        <w:rPr>
          <w:u w:val="single"/>
        </w:rPr>
        <w:t>-factor permitted using tradeoffs from Section R402.1.5 or R405 shall be 0.40 for vertical fenestration, and 0.72 for skylights.</w:t>
      </w:r>
    </w:p>
    <w:p w14:paraId="1483BC2F" w14:textId="77777777" w:rsidR="00DB1AEE" w:rsidRPr="00DB1AEE" w:rsidRDefault="00DB1AEE" w:rsidP="00DB1AEE">
      <w:pPr>
        <w:widowControl w:val="0"/>
        <w:suppressAutoHyphens/>
        <w:spacing w:before="130" w:after="130"/>
        <w:ind w:left="360"/>
        <w:rPr>
          <w:u w:val="single"/>
        </w:rPr>
      </w:pPr>
      <w:r w:rsidRPr="00DB1AEE">
        <w:rPr>
          <w:b/>
          <w:bCs/>
          <w:u w:val="single"/>
        </w:rPr>
        <w:t>Exception</w:t>
      </w:r>
      <w:r w:rsidRPr="00DB1AEE">
        <w:rPr>
          <w:i/>
          <w:iCs/>
          <w:u w:val="single"/>
        </w:rPr>
        <w:t>:</w:t>
      </w:r>
      <w:r w:rsidRPr="00DB1AEE">
        <w:rPr>
          <w:u w:val="single"/>
        </w:rPr>
        <w:t xml:space="preserve"> The maximum </w:t>
      </w:r>
      <w:r w:rsidRPr="00DB1AEE">
        <w:rPr>
          <w:i/>
          <w:iCs/>
          <w:u w:val="single"/>
        </w:rPr>
        <w:t>U</w:t>
      </w:r>
      <w:r w:rsidRPr="00DB1AEE">
        <w:rPr>
          <w:u w:val="single"/>
        </w:rPr>
        <w:t>-factor and solar heat gain coefficient (SHGC) for fenestration shall not be required in storm shelters complying with ICC 500.</w:t>
      </w:r>
    </w:p>
    <w:p w14:paraId="1CD701C9" w14:textId="77777777" w:rsidR="00DB1AEE" w:rsidRPr="00DB1AEE" w:rsidRDefault="00DB1AEE" w:rsidP="00DB1AEE">
      <w:pPr>
        <w:widowControl w:val="0"/>
        <w:suppressAutoHyphens/>
        <w:spacing w:before="130" w:after="130"/>
      </w:pPr>
      <w:r w:rsidRPr="00DB1AEE">
        <w:rPr>
          <w:b/>
          <w:bCs/>
          <w:u w:val="single"/>
        </w:rPr>
        <w:t>Section R402.7 Thermal bridges.</w:t>
      </w:r>
    </w:p>
    <w:p w14:paraId="7F6C4406" w14:textId="77777777" w:rsidR="00DB1AEE" w:rsidRPr="00DB1AEE" w:rsidRDefault="00DB1AEE" w:rsidP="00DB1AEE">
      <w:pPr>
        <w:suppressAutoHyphens/>
        <w:spacing w:before="130" w:after="130"/>
        <w:rPr>
          <w:rFonts w:eastAsia="MS Mincho"/>
          <w:bCs/>
          <w:szCs w:val="24"/>
          <w:u w:val="single"/>
        </w:rPr>
      </w:pPr>
      <w:r w:rsidRPr="00DB1AEE">
        <w:rPr>
          <w:rFonts w:eastAsia="MS Mincho"/>
          <w:bCs/>
          <w:szCs w:val="24"/>
          <w:u w:val="single"/>
        </w:rPr>
        <w:t>Section R402.7 – Add new Sections R402.7, R402.7.1, R402.7.2 and R402.7.3, and Table R402.7, to read as follows:</w:t>
      </w:r>
    </w:p>
    <w:p w14:paraId="777A895F" w14:textId="77777777" w:rsidR="00DB1AEE" w:rsidRPr="00DB1AEE" w:rsidRDefault="00DB1AEE" w:rsidP="00DB1AEE">
      <w:pPr>
        <w:suppressAutoHyphens/>
        <w:spacing w:before="130" w:after="130"/>
        <w:jc w:val="left"/>
        <w:rPr>
          <w:rFonts w:eastAsia="MS Mincho"/>
          <w:b/>
          <w:bCs/>
          <w:szCs w:val="24"/>
          <w:u w:val="single"/>
        </w:rPr>
      </w:pPr>
      <w:r w:rsidRPr="00DB1AEE">
        <w:rPr>
          <w:rFonts w:eastAsia="MS Mincho"/>
          <w:b/>
          <w:bCs/>
          <w:szCs w:val="24"/>
          <w:u w:val="single"/>
        </w:rPr>
        <w:t xml:space="preserve">R402.7 Thermal bridges. </w:t>
      </w:r>
      <w:r w:rsidRPr="00DB1AEE">
        <w:rPr>
          <w:rFonts w:eastAsia="MS Mincho"/>
          <w:szCs w:val="24"/>
          <w:u w:val="single"/>
        </w:rPr>
        <w:t>Applications for construction document approval shall include documentation of thermal bridges</w:t>
      </w:r>
      <w:r w:rsidRPr="00DB1AEE">
        <w:rPr>
          <w:rFonts w:eastAsia="MS Mincho"/>
          <w:b/>
          <w:bCs/>
          <w:szCs w:val="24"/>
          <w:u w:val="single"/>
        </w:rPr>
        <w:t>.</w:t>
      </w:r>
    </w:p>
    <w:p w14:paraId="32F4F0A2" w14:textId="77777777" w:rsidR="00DB1AEE" w:rsidRPr="00DB1AEE" w:rsidRDefault="00DB1AEE" w:rsidP="00DB1AEE">
      <w:pPr>
        <w:suppressAutoHyphens/>
        <w:spacing w:before="130" w:after="130"/>
        <w:jc w:val="left"/>
        <w:rPr>
          <w:rFonts w:eastAsia="MS Mincho"/>
          <w:b/>
          <w:bCs/>
          <w:szCs w:val="24"/>
          <w:u w:val="single"/>
        </w:rPr>
      </w:pPr>
      <w:r w:rsidRPr="00DB1AEE">
        <w:rPr>
          <w:rFonts w:eastAsia="MS Mincho"/>
          <w:b/>
          <w:bCs/>
          <w:szCs w:val="24"/>
          <w:u w:val="single"/>
        </w:rPr>
        <w:t xml:space="preserve">R402.7.1 Clear field thermal bridges. </w:t>
      </w:r>
      <w:r w:rsidRPr="00DB1AEE">
        <w:rPr>
          <w:rFonts w:eastAsia="MS Mincho"/>
          <w:szCs w:val="24"/>
          <w:u w:val="single"/>
        </w:rPr>
        <w:t>Where otherwise not included in pre-calculated assembly U-factors, C-factors, or F-factors outlined in Appendix A of 2025 NYC ASHRAE 90.1, clear field thermal bridges in a wall, roof, or floor assembly shall be noted as such in the drawings</w:t>
      </w:r>
      <w:r w:rsidRPr="00DB1AEE">
        <w:rPr>
          <w:rFonts w:eastAsia="MS Mincho"/>
          <w:b/>
          <w:bCs/>
          <w:szCs w:val="24"/>
          <w:u w:val="single"/>
        </w:rPr>
        <w:t>.</w:t>
      </w:r>
    </w:p>
    <w:p w14:paraId="79C038B6" w14:textId="77777777" w:rsidR="00DB1AEE" w:rsidRPr="00DB1AEE" w:rsidRDefault="00DB1AEE" w:rsidP="00DB1AEE">
      <w:pPr>
        <w:suppressAutoHyphens/>
        <w:spacing w:before="130" w:after="130"/>
        <w:jc w:val="left"/>
        <w:rPr>
          <w:rFonts w:eastAsia="MS Mincho"/>
          <w:szCs w:val="24"/>
          <w:u w:val="single"/>
        </w:rPr>
      </w:pPr>
      <w:r w:rsidRPr="00DB1AEE">
        <w:rPr>
          <w:rFonts w:eastAsia="MS Mincho"/>
          <w:b/>
          <w:bCs/>
          <w:szCs w:val="24"/>
          <w:u w:val="single"/>
        </w:rPr>
        <w:t xml:space="preserve">R402.7.2 Point thermal bridges. </w:t>
      </w:r>
      <w:r w:rsidRPr="00DB1AEE">
        <w:rPr>
          <w:rFonts w:eastAsia="MS Mincho"/>
          <w:szCs w:val="24"/>
          <w:u w:val="single"/>
        </w:rPr>
        <w:t>Point thermal bridges greater than or equal in area to 8 in</w:t>
      </w:r>
      <w:r w:rsidRPr="00DB1AEE">
        <w:rPr>
          <w:rFonts w:eastAsia="MS Mincho"/>
          <w:szCs w:val="24"/>
          <w:u w:val="single"/>
          <w:vertAlign w:val="superscript"/>
        </w:rPr>
        <w:t>2</w:t>
      </w:r>
      <w:r w:rsidRPr="00DB1AEE">
        <w:rPr>
          <w:rFonts w:eastAsia="MS Mincho"/>
          <w:szCs w:val="24"/>
          <w:u w:val="single"/>
        </w:rPr>
        <w:t xml:space="preserve"> (5161 mm</w:t>
      </w:r>
      <w:r w:rsidRPr="00DB1AEE">
        <w:rPr>
          <w:rFonts w:eastAsia="MS Mincho"/>
          <w:szCs w:val="24"/>
          <w:u w:val="single"/>
          <w:vertAlign w:val="superscript"/>
        </w:rPr>
        <w:t>2</w:t>
      </w:r>
      <w:r w:rsidRPr="00DB1AEE">
        <w:rPr>
          <w:rFonts w:eastAsia="MS Mincho"/>
          <w:szCs w:val="24"/>
          <w:u w:val="single"/>
        </w:rPr>
        <w:t>) and not associated with HVAC or electrical systems shall be noted as thermal bridges in the drawings.</w:t>
      </w:r>
    </w:p>
    <w:p w14:paraId="5E4C915B" w14:textId="77777777" w:rsidR="00DB1AEE" w:rsidRPr="00DB1AEE" w:rsidRDefault="00DB1AEE" w:rsidP="00DB1AEE">
      <w:pPr>
        <w:suppressAutoHyphens/>
        <w:spacing w:before="130" w:after="130"/>
        <w:jc w:val="left"/>
        <w:rPr>
          <w:rFonts w:eastAsia="MS Mincho"/>
          <w:szCs w:val="24"/>
          <w:u w:val="single"/>
        </w:rPr>
      </w:pPr>
      <w:r w:rsidRPr="00DB1AEE">
        <w:rPr>
          <w:rFonts w:eastAsia="MS Mincho"/>
          <w:b/>
          <w:bCs/>
          <w:szCs w:val="24"/>
          <w:u w:val="single"/>
        </w:rPr>
        <w:t>R402.7.3 Linear thermal bridges.</w:t>
      </w:r>
      <w:r w:rsidRPr="00DB1AEE">
        <w:rPr>
          <w:rFonts w:eastAsia="MS Mincho"/>
          <w:szCs w:val="24"/>
          <w:u w:val="single"/>
        </w:rPr>
        <w:t xml:space="preserve"> Construction documents shall include the following documentation in tabular format for linear thermal bridges listed in Table R402.7:</w:t>
      </w:r>
    </w:p>
    <w:p w14:paraId="3A7137FC" w14:textId="77777777" w:rsidR="00DB1AEE" w:rsidRPr="00DB1AEE" w:rsidRDefault="00DB1AEE" w:rsidP="00DB1AEE">
      <w:pPr>
        <w:suppressAutoHyphens/>
        <w:spacing w:before="130" w:after="130"/>
        <w:ind w:left="288" w:hanging="288"/>
        <w:jc w:val="left"/>
        <w:rPr>
          <w:rFonts w:eastAsia="MS Mincho"/>
          <w:szCs w:val="24"/>
          <w:u w:val="single"/>
        </w:rPr>
      </w:pPr>
      <w:r w:rsidRPr="00DB1AEE">
        <w:rPr>
          <w:rFonts w:eastAsia="MS Mincho"/>
          <w:szCs w:val="24"/>
          <w:u w:val="single"/>
        </w:rPr>
        <w:t>1. Linear thermal bridge type.</w:t>
      </w:r>
    </w:p>
    <w:p w14:paraId="247D95EA" w14:textId="77777777" w:rsidR="00DB1AEE" w:rsidRPr="00DB1AEE" w:rsidRDefault="00DB1AEE" w:rsidP="00DB1AEE">
      <w:pPr>
        <w:suppressAutoHyphens/>
        <w:spacing w:before="130" w:after="130"/>
        <w:ind w:left="288" w:hanging="288"/>
        <w:jc w:val="left"/>
        <w:rPr>
          <w:rFonts w:eastAsia="MS Mincho"/>
          <w:szCs w:val="24"/>
          <w:u w:val="single"/>
        </w:rPr>
      </w:pPr>
      <w:r w:rsidRPr="00DB1AEE">
        <w:rPr>
          <w:rFonts w:eastAsia="MS Mincho"/>
          <w:szCs w:val="24"/>
          <w:u w:val="single"/>
        </w:rPr>
        <w:t xml:space="preserve">2. Aggregate length of each type of linear thermal bridge. </w:t>
      </w:r>
    </w:p>
    <w:p w14:paraId="00ED03E9" w14:textId="77777777" w:rsidR="00DB1AEE" w:rsidRPr="00DB1AEE" w:rsidRDefault="00DB1AEE" w:rsidP="00DB1AEE">
      <w:pPr>
        <w:suppressAutoHyphens/>
        <w:spacing w:before="130" w:after="130"/>
        <w:ind w:left="288" w:hanging="288"/>
        <w:jc w:val="left"/>
        <w:rPr>
          <w:rFonts w:eastAsia="MS Mincho"/>
          <w:szCs w:val="24"/>
          <w:u w:val="single"/>
        </w:rPr>
      </w:pPr>
      <w:r w:rsidRPr="00DB1AEE">
        <w:rPr>
          <w:rFonts w:eastAsia="MS Mincho"/>
          <w:szCs w:val="24"/>
          <w:u w:val="single"/>
        </w:rPr>
        <w:t>3. Relevant detail in the construction documents showing a cross-section through the thermal bridge.</w:t>
      </w:r>
    </w:p>
    <w:p w14:paraId="1FBBA337" w14:textId="77777777" w:rsidR="00DB1AEE" w:rsidRPr="00DB1AEE" w:rsidRDefault="00DB1AEE" w:rsidP="00DB1AEE">
      <w:pPr>
        <w:suppressAutoHyphens/>
        <w:spacing w:before="130" w:after="130"/>
        <w:ind w:left="288" w:hanging="288"/>
        <w:jc w:val="left"/>
        <w:rPr>
          <w:rFonts w:eastAsia="MS Mincho"/>
          <w:szCs w:val="24"/>
          <w:u w:val="single"/>
        </w:rPr>
      </w:pPr>
      <w:r w:rsidRPr="00DB1AEE">
        <w:rPr>
          <w:rFonts w:eastAsia="MS Mincho"/>
          <w:szCs w:val="24"/>
          <w:u w:val="single"/>
        </w:rPr>
        <w:t>4. Ψ-value for each thermal bridge from Table R402.7.</w:t>
      </w:r>
    </w:p>
    <w:p w14:paraId="7C7136D7" w14:textId="77777777" w:rsidR="00DB1AEE" w:rsidRPr="00DB1AEE" w:rsidRDefault="00DB1AEE" w:rsidP="00DB1AEE">
      <w:pPr>
        <w:suppressAutoHyphens/>
        <w:spacing w:before="130" w:after="130"/>
        <w:jc w:val="left"/>
        <w:rPr>
          <w:rFonts w:eastAsia="MS Mincho"/>
          <w:szCs w:val="24"/>
          <w:u w:val="single"/>
        </w:rPr>
      </w:pPr>
      <w:r w:rsidRPr="00DB1AEE">
        <w:rPr>
          <w:rFonts w:eastAsia="MS Mincho"/>
          <w:szCs w:val="24"/>
          <w:u w:val="single"/>
        </w:rPr>
        <w:t>Exception: Where linear thermal bridges have been tested or modeled using methods approved by the department, alternate values may be used as long as supporting documentation is provided</w:t>
      </w:r>
    </w:p>
    <w:p w14:paraId="1E51D4D9" w14:textId="77777777" w:rsidR="00DB1AEE" w:rsidRPr="00DB1AEE" w:rsidRDefault="00DB1AEE" w:rsidP="00DB1AEE">
      <w:pPr>
        <w:suppressAutoHyphens/>
        <w:jc w:val="center"/>
        <w:outlineLvl w:val="3"/>
        <w:rPr>
          <w:b/>
          <w:bCs/>
          <w:szCs w:val="24"/>
          <w:u w:val="single"/>
        </w:rPr>
      </w:pPr>
      <w:r w:rsidRPr="00DB1AEE">
        <w:rPr>
          <w:b/>
          <w:bCs/>
          <w:szCs w:val="24"/>
          <w:u w:val="single"/>
        </w:rPr>
        <w:t xml:space="preserve">Table R402.7                                                                                                                               </w:t>
      </w:r>
    </w:p>
    <w:p w14:paraId="445F58EE" w14:textId="77777777" w:rsidR="00DB1AEE" w:rsidRPr="00DB1AEE" w:rsidRDefault="00DB1AEE" w:rsidP="00DB1AEE">
      <w:pPr>
        <w:suppressAutoHyphens/>
        <w:jc w:val="center"/>
        <w:outlineLvl w:val="3"/>
        <w:rPr>
          <w:b/>
          <w:bCs/>
          <w:szCs w:val="24"/>
          <w:u w:val="single"/>
        </w:rPr>
      </w:pPr>
      <w:r w:rsidRPr="00DB1AEE">
        <w:rPr>
          <w:b/>
          <w:bCs/>
          <w:szCs w:val="24"/>
          <w:u w:val="single"/>
        </w:rPr>
        <w:t xml:space="preserve">AVERAGE THERMAL TRANSMITTANCE FOR UNMITIGATED LINEAR THERMAL BRIDGES </w:t>
      </w:r>
    </w:p>
    <w:tbl>
      <w:tblPr>
        <w:tblW w:w="957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21"/>
        <w:gridCol w:w="3180"/>
        <w:gridCol w:w="3175"/>
      </w:tblGrid>
      <w:tr w:rsidR="00DB1AEE" w:rsidRPr="00DB1AEE" w14:paraId="08AEAABF" w14:textId="77777777" w:rsidTr="00FC1832">
        <w:trPr>
          <w:trHeight w:val="412"/>
        </w:trPr>
        <w:tc>
          <w:tcPr>
            <w:tcW w:w="3221" w:type="dxa"/>
          </w:tcPr>
          <w:p w14:paraId="18E382F9" w14:textId="77777777" w:rsidR="00DB1AEE" w:rsidRPr="00DB1AEE" w:rsidRDefault="00DB1AEE" w:rsidP="00DB1AEE">
            <w:pPr>
              <w:widowControl w:val="0"/>
              <w:autoSpaceDE w:val="0"/>
              <w:autoSpaceDN w:val="0"/>
              <w:spacing w:line="201" w:lineRule="exact"/>
              <w:ind w:left="225" w:right="216"/>
              <w:jc w:val="center"/>
              <w:rPr>
                <w:b/>
                <w:bCs/>
                <w:szCs w:val="24"/>
                <w:u w:val="single"/>
              </w:rPr>
            </w:pPr>
            <w:r w:rsidRPr="00DB1AEE">
              <w:rPr>
                <w:b/>
                <w:bCs/>
                <w:szCs w:val="24"/>
                <w:u w:val="single"/>
              </w:rPr>
              <w:t>Type</w:t>
            </w:r>
            <w:r w:rsidRPr="00DB1AEE">
              <w:rPr>
                <w:b/>
                <w:bCs/>
                <w:spacing w:val="-2"/>
                <w:szCs w:val="24"/>
                <w:u w:val="single"/>
              </w:rPr>
              <w:t xml:space="preserve"> </w:t>
            </w:r>
            <w:r w:rsidRPr="00DB1AEE">
              <w:rPr>
                <w:b/>
                <w:bCs/>
                <w:szCs w:val="24"/>
                <w:u w:val="single"/>
              </w:rPr>
              <w:t>of</w:t>
            </w:r>
            <w:r w:rsidRPr="00DB1AEE">
              <w:rPr>
                <w:b/>
                <w:bCs/>
                <w:spacing w:val="-1"/>
                <w:szCs w:val="24"/>
                <w:u w:val="single"/>
              </w:rPr>
              <w:t xml:space="preserve"> </w:t>
            </w:r>
            <w:r w:rsidRPr="00DB1AEE">
              <w:rPr>
                <w:b/>
                <w:bCs/>
                <w:szCs w:val="24"/>
                <w:u w:val="single"/>
              </w:rPr>
              <w:t>Thermal</w:t>
            </w:r>
            <w:r w:rsidRPr="00DB1AEE">
              <w:rPr>
                <w:b/>
                <w:bCs/>
                <w:spacing w:val="-1"/>
                <w:szCs w:val="24"/>
                <w:u w:val="single"/>
              </w:rPr>
              <w:t xml:space="preserve"> </w:t>
            </w:r>
            <w:r w:rsidRPr="00DB1AEE">
              <w:rPr>
                <w:b/>
                <w:bCs/>
                <w:szCs w:val="24"/>
                <w:u w:val="single"/>
              </w:rPr>
              <w:t>Bridge</w:t>
            </w:r>
          </w:p>
        </w:tc>
        <w:tc>
          <w:tcPr>
            <w:tcW w:w="3180" w:type="dxa"/>
          </w:tcPr>
          <w:p w14:paraId="6B243C22" w14:textId="77777777" w:rsidR="00DB1AEE" w:rsidRPr="00DB1AEE" w:rsidRDefault="00DB1AEE" w:rsidP="00DB1AEE">
            <w:pPr>
              <w:widowControl w:val="0"/>
              <w:autoSpaceDE w:val="0"/>
              <w:autoSpaceDN w:val="0"/>
              <w:spacing w:line="201" w:lineRule="exact"/>
              <w:ind w:left="935" w:right="925"/>
              <w:jc w:val="center"/>
              <w:rPr>
                <w:b/>
                <w:bCs/>
                <w:szCs w:val="24"/>
                <w:u w:val="single"/>
              </w:rPr>
            </w:pPr>
            <w:r w:rsidRPr="00DB1AEE">
              <w:rPr>
                <w:b/>
                <w:bCs/>
                <w:szCs w:val="24"/>
                <w:u w:val="single"/>
              </w:rPr>
              <w:t>Ψ-value</w:t>
            </w:r>
            <w:r w:rsidRPr="00DB1AEE">
              <w:rPr>
                <w:b/>
                <w:bCs/>
                <w:szCs w:val="24"/>
                <w:u w:val="single"/>
                <w:vertAlign w:val="superscript"/>
              </w:rPr>
              <w:t>a</w:t>
            </w:r>
          </w:p>
          <w:p w14:paraId="6823CE99" w14:textId="77777777" w:rsidR="00DB1AEE" w:rsidRPr="00DB1AEE" w:rsidRDefault="00DB1AEE" w:rsidP="00DB1AEE">
            <w:pPr>
              <w:widowControl w:val="0"/>
              <w:autoSpaceDE w:val="0"/>
              <w:autoSpaceDN w:val="0"/>
              <w:spacing w:line="192" w:lineRule="exact"/>
              <w:ind w:left="937" w:right="925"/>
              <w:jc w:val="center"/>
              <w:rPr>
                <w:b/>
                <w:bCs/>
                <w:szCs w:val="24"/>
                <w:u w:val="single"/>
              </w:rPr>
            </w:pPr>
            <w:r w:rsidRPr="00DB1AEE">
              <w:rPr>
                <w:b/>
                <w:bCs/>
                <w:szCs w:val="24"/>
                <w:u w:val="single"/>
              </w:rPr>
              <w:t>[Btu/hr</w:t>
            </w:r>
            <w:r w:rsidRPr="00DB1AEE">
              <w:rPr>
                <w:b/>
                <w:bCs/>
                <w:spacing w:val="-1"/>
                <w:szCs w:val="24"/>
                <w:u w:val="single"/>
              </w:rPr>
              <w:t xml:space="preserve"> </w:t>
            </w:r>
            <w:r w:rsidRPr="00DB1AEE">
              <w:rPr>
                <w:b/>
                <w:bCs/>
                <w:szCs w:val="24"/>
                <w:u w:val="single"/>
              </w:rPr>
              <w:t>•</w:t>
            </w:r>
            <w:r w:rsidRPr="00DB1AEE">
              <w:rPr>
                <w:b/>
                <w:bCs/>
                <w:spacing w:val="-1"/>
                <w:szCs w:val="24"/>
                <w:u w:val="single"/>
              </w:rPr>
              <w:t xml:space="preserve"> </w:t>
            </w:r>
            <w:r w:rsidRPr="00DB1AEE">
              <w:rPr>
                <w:b/>
                <w:bCs/>
                <w:szCs w:val="24"/>
                <w:u w:val="single"/>
              </w:rPr>
              <w:t>ft •</w:t>
            </w:r>
            <w:r w:rsidRPr="00DB1AEE">
              <w:rPr>
                <w:b/>
                <w:bCs/>
                <w:spacing w:val="-1"/>
                <w:szCs w:val="24"/>
                <w:u w:val="single"/>
              </w:rPr>
              <w:t xml:space="preserve"> </w:t>
            </w:r>
            <w:r w:rsidRPr="00DB1AEE">
              <w:rPr>
                <w:b/>
                <w:bCs/>
                <w:szCs w:val="24"/>
                <w:u w:val="single"/>
              </w:rPr>
              <w:t>˚F]</w:t>
            </w:r>
          </w:p>
        </w:tc>
        <w:tc>
          <w:tcPr>
            <w:tcW w:w="3175" w:type="dxa"/>
          </w:tcPr>
          <w:p w14:paraId="40B9B34D" w14:textId="77777777" w:rsidR="00DB1AEE" w:rsidRPr="00DB1AEE" w:rsidRDefault="00DB1AEE" w:rsidP="00DB1AEE">
            <w:pPr>
              <w:widowControl w:val="0"/>
              <w:autoSpaceDE w:val="0"/>
              <w:autoSpaceDN w:val="0"/>
              <w:spacing w:line="201" w:lineRule="exact"/>
              <w:ind w:left="1201" w:right="1190"/>
              <w:jc w:val="center"/>
              <w:rPr>
                <w:b/>
                <w:bCs/>
                <w:szCs w:val="24"/>
                <w:u w:val="single"/>
              </w:rPr>
            </w:pPr>
            <w:r w:rsidRPr="00DB1AEE">
              <w:rPr>
                <w:b/>
                <w:bCs/>
                <w:szCs w:val="24"/>
                <w:u w:val="single"/>
              </w:rPr>
              <w:t>Ψ-value</w:t>
            </w:r>
            <w:r w:rsidRPr="00DB1AEE">
              <w:rPr>
                <w:b/>
                <w:bCs/>
                <w:szCs w:val="24"/>
                <w:u w:val="single"/>
                <w:vertAlign w:val="superscript"/>
              </w:rPr>
              <w:t>a</w:t>
            </w:r>
          </w:p>
          <w:p w14:paraId="2F206425" w14:textId="77777777" w:rsidR="00DB1AEE" w:rsidRPr="00DB1AEE" w:rsidRDefault="00DB1AEE" w:rsidP="00DB1AEE">
            <w:pPr>
              <w:widowControl w:val="0"/>
              <w:autoSpaceDE w:val="0"/>
              <w:autoSpaceDN w:val="0"/>
              <w:spacing w:line="192" w:lineRule="exact"/>
              <w:ind w:left="1201" w:right="1189"/>
              <w:jc w:val="center"/>
              <w:rPr>
                <w:b/>
                <w:bCs/>
                <w:szCs w:val="24"/>
                <w:u w:val="single"/>
              </w:rPr>
            </w:pPr>
            <w:r w:rsidRPr="00DB1AEE">
              <w:rPr>
                <w:b/>
                <w:bCs/>
                <w:szCs w:val="24"/>
                <w:u w:val="single"/>
              </w:rPr>
              <w:t>W/mK</w:t>
            </w:r>
          </w:p>
        </w:tc>
      </w:tr>
      <w:tr w:rsidR="00DB1AEE" w:rsidRPr="00DB1AEE" w14:paraId="3929EF9E" w14:textId="77777777" w:rsidTr="00FC1832">
        <w:trPr>
          <w:trHeight w:val="208"/>
        </w:trPr>
        <w:tc>
          <w:tcPr>
            <w:tcW w:w="9576" w:type="dxa"/>
            <w:gridSpan w:val="3"/>
          </w:tcPr>
          <w:p w14:paraId="2FD929EB" w14:textId="77777777" w:rsidR="00DB1AEE" w:rsidRPr="00DB1AEE" w:rsidRDefault="00DB1AEE" w:rsidP="00DB1AEE">
            <w:pPr>
              <w:widowControl w:val="0"/>
              <w:autoSpaceDE w:val="0"/>
              <w:autoSpaceDN w:val="0"/>
              <w:spacing w:line="188" w:lineRule="exact"/>
              <w:ind w:left="1353" w:right="1344"/>
              <w:jc w:val="center"/>
              <w:rPr>
                <w:b/>
                <w:bCs/>
                <w:szCs w:val="24"/>
                <w:u w:val="single"/>
              </w:rPr>
            </w:pPr>
            <w:r w:rsidRPr="00DB1AEE">
              <w:rPr>
                <w:b/>
                <w:bCs/>
                <w:szCs w:val="24"/>
                <w:u w:val="single"/>
              </w:rPr>
              <w:t>Steel</w:t>
            </w:r>
            <w:r w:rsidRPr="00DB1AEE">
              <w:rPr>
                <w:b/>
                <w:bCs/>
                <w:spacing w:val="-2"/>
                <w:szCs w:val="24"/>
                <w:u w:val="single"/>
              </w:rPr>
              <w:t xml:space="preserve"> </w:t>
            </w:r>
            <w:r w:rsidRPr="00DB1AEE">
              <w:rPr>
                <w:b/>
                <w:bCs/>
                <w:szCs w:val="24"/>
                <w:u w:val="single"/>
              </w:rPr>
              <w:t>Frame,</w:t>
            </w:r>
            <w:r w:rsidRPr="00DB1AEE">
              <w:rPr>
                <w:b/>
                <w:bCs/>
                <w:spacing w:val="-1"/>
                <w:szCs w:val="24"/>
                <w:u w:val="single"/>
              </w:rPr>
              <w:t xml:space="preserve"> </w:t>
            </w:r>
            <w:r w:rsidRPr="00DB1AEE">
              <w:rPr>
                <w:b/>
                <w:bCs/>
                <w:szCs w:val="24"/>
                <w:u w:val="single"/>
              </w:rPr>
              <w:t>Steel</w:t>
            </w:r>
            <w:r w:rsidRPr="00DB1AEE">
              <w:rPr>
                <w:b/>
                <w:bCs/>
                <w:spacing w:val="-1"/>
                <w:szCs w:val="24"/>
                <w:u w:val="single"/>
              </w:rPr>
              <w:t xml:space="preserve"> </w:t>
            </w:r>
            <w:r w:rsidRPr="00DB1AEE">
              <w:rPr>
                <w:b/>
                <w:bCs/>
                <w:szCs w:val="24"/>
                <w:u w:val="single"/>
              </w:rPr>
              <w:t>Stud,</w:t>
            </w:r>
            <w:r w:rsidRPr="00DB1AEE">
              <w:rPr>
                <w:b/>
                <w:bCs/>
                <w:spacing w:val="-3"/>
                <w:szCs w:val="24"/>
                <w:u w:val="single"/>
              </w:rPr>
              <w:t xml:space="preserve"> </w:t>
            </w:r>
            <w:r w:rsidRPr="00DB1AEE">
              <w:rPr>
                <w:b/>
                <w:bCs/>
                <w:szCs w:val="24"/>
                <w:u w:val="single"/>
              </w:rPr>
              <w:t>Poured-in-place</w:t>
            </w:r>
            <w:r w:rsidRPr="00DB1AEE">
              <w:rPr>
                <w:b/>
                <w:bCs/>
                <w:spacing w:val="-1"/>
                <w:szCs w:val="24"/>
                <w:u w:val="single"/>
              </w:rPr>
              <w:t xml:space="preserve"> </w:t>
            </w:r>
            <w:r w:rsidRPr="00DB1AEE">
              <w:rPr>
                <w:b/>
                <w:bCs/>
                <w:szCs w:val="24"/>
                <w:u w:val="single"/>
              </w:rPr>
              <w:t>Concrete,</w:t>
            </w:r>
            <w:r w:rsidRPr="00DB1AEE">
              <w:rPr>
                <w:b/>
                <w:bCs/>
                <w:spacing w:val="-1"/>
                <w:szCs w:val="24"/>
                <w:u w:val="single"/>
              </w:rPr>
              <w:t xml:space="preserve"> </w:t>
            </w:r>
            <w:r w:rsidRPr="00DB1AEE">
              <w:rPr>
                <w:b/>
                <w:bCs/>
                <w:szCs w:val="24"/>
                <w:u w:val="single"/>
              </w:rPr>
              <w:t>Concrete</w:t>
            </w:r>
            <w:r w:rsidRPr="00DB1AEE">
              <w:rPr>
                <w:b/>
                <w:bCs/>
                <w:spacing w:val="-1"/>
                <w:szCs w:val="24"/>
                <w:u w:val="single"/>
              </w:rPr>
              <w:t xml:space="preserve"> </w:t>
            </w:r>
            <w:r w:rsidRPr="00DB1AEE">
              <w:rPr>
                <w:b/>
                <w:bCs/>
                <w:szCs w:val="24"/>
                <w:u w:val="single"/>
              </w:rPr>
              <w:t>Block,</w:t>
            </w:r>
            <w:r w:rsidRPr="00DB1AEE">
              <w:rPr>
                <w:b/>
                <w:bCs/>
                <w:spacing w:val="-3"/>
                <w:szCs w:val="24"/>
                <w:u w:val="single"/>
              </w:rPr>
              <w:t xml:space="preserve"> </w:t>
            </w:r>
            <w:r w:rsidRPr="00DB1AEE">
              <w:rPr>
                <w:b/>
                <w:bCs/>
                <w:szCs w:val="24"/>
                <w:u w:val="single"/>
              </w:rPr>
              <w:t>Curtain-wall</w:t>
            </w:r>
          </w:p>
        </w:tc>
      </w:tr>
      <w:tr w:rsidR="00DB1AEE" w:rsidRPr="00DB1AEE" w14:paraId="581C0250" w14:textId="77777777" w:rsidTr="00FC1832">
        <w:trPr>
          <w:trHeight w:val="206"/>
        </w:trPr>
        <w:tc>
          <w:tcPr>
            <w:tcW w:w="3221" w:type="dxa"/>
          </w:tcPr>
          <w:p w14:paraId="18DA52AC" w14:textId="77777777" w:rsidR="00DB1AEE" w:rsidRPr="00DB1AEE" w:rsidRDefault="00DB1AEE" w:rsidP="00DB1AEE">
            <w:pPr>
              <w:widowControl w:val="0"/>
              <w:autoSpaceDE w:val="0"/>
              <w:autoSpaceDN w:val="0"/>
              <w:spacing w:before="2" w:line="184" w:lineRule="exact"/>
              <w:ind w:left="223" w:right="216"/>
              <w:jc w:val="center"/>
              <w:rPr>
                <w:szCs w:val="24"/>
                <w:u w:val="single"/>
              </w:rPr>
            </w:pPr>
            <w:r w:rsidRPr="00DB1AEE">
              <w:rPr>
                <w:szCs w:val="24"/>
                <w:u w:val="single"/>
              </w:rPr>
              <w:t>Balcony</w:t>
            </w:r>
          </w:p>
        </w:tc>
        <w:tc>
          <w:tcPr>
            <w:tcW w:w="3180" w:type="dxa"/>
          </w:tcPr>
          <w:p w14:paraId="0AA254E6" w14:textId="77777777" w:rsidR="00DB1AEE" w:rsidRPr="00DB1AEE" w:rsidRDefault="00DB1AEE" w:rsidP="00DB1AEE">
            <w:pPr>
              <w:widowControl w:val="0"/>
              <w:autoSpaceDE w:val="0"/>
              <w:autoSpaceDN w:val="0"/>
              <w:spacing w:before="2" w:line="184" w:lineRule="exact"/>
              <w:ind w:left="934" w:right="925"/>
              <w:jc w:val="center"/>
              <w:rPr>
                <w:szCs w:val="24"/>
                <w:u w:val="single"/>
              </w:rPr>
            </w:pPr>
            <w:r w:rsidRPr="00DB1AEE">
              <w:rPr>
                <w:szCs w:val="24"/>
                <w:u w:val="single"/>
              </w:rPr>
              <w:t>0.50</w:t>
            </w:r>
          </w:p>
        </w:tc>
        <w:tc>
          <w:tcPr>
            <w:tcW w:w="3175" w:type="dxa"/>
          </w:tcPr>
          <w:p w14:paraId="109FA8D1" w14:textId="77777777" w:rsidR="00DB1AEE" w:rsidRPr="00DB1AEE" w:rsidRDefault="00DB1AEE" w:rsidP="00DB1AEE">
            <w:pPr>
              <w:widowControl w:val="0"/>
              <w:autoSpaceDE w:val="0"/>
              <w:autoSpaceDN w:val="0"/>
              <w:spacing w:before="2" w:line="184" w:lineRule="exact"/>
              <w:ind w:left="1201" w:right="1190"/>
              <w:jc w:val="center"/>
              <w:rPr>
                <w:szCs w:val="24"/>
                <w:u w:val="single"/>
              </w:rPr>
            </w:pPr>
            <w:r w:rsidRPr="00DB1AEE">
              <w:rPr>
                <w:szCs w:val="24"/>
                <w:u w:val="single"/>
              </w:rPr>
              <w:t>0.871</w:t>
            </w:r>
          </w:p>
        </w:tc>
      </w:tr>
      <w:tr w:rsidR="00DB1AEE" w:rsidRPr="00DB1AEE" w14:paraId="0C032E2E" w14:textId="77777777" w:rsidTr="00FC1832">
        <w:trPr>
          <w:trHeight w:val="205"/>
        </w:trPr>
        <w:tc>
          <w:tcPr>
            <w:tcW w:w="3221" w:type="dxa"/>
          </w:tcPr>
          <w:p w14:paraId="45918D3B" w14:textId="77777777" w:rsidR="00DB1AEE" w:rsidRPr="00DB1AEE" w:rsidRDefault="00DB1AEE" w:rsidP="00DB1AEE">
            <w:pPr>
              <w:widowControl w:val="0"/>
              <w:autoSpaceDE w:val="0"/>
              <w:autoSpaceDN w:val="0"/>
              <w:spacing w:before="2" w:line="184" w:lineRule="exact"/>
              <w:ind w:left="224" w:right="216"/>
              <w:jc w:val="center"/>
              <w:rPr>
                <w:szCs w:val="24"/>
                <w:u w:val="single"/>
              </w:rPr>
            </w:pPr>
            <w:r w:rsidRPr="00DB1AEE">
              <w:rPr>
                <w:szCs w:val="24"/>
                <w:u w:val="single"/>
              </w:rPr>
              <w:t>Floor</w:t>
            </w:r>
            <w:r w:rsidRPr="00DB1AEE">
              <w:rPr>
                <w:szCs w:val="24"/>
                <w:u w:val="single"/>
                <w:vertAlign w:val="superscript"/>
              </w:rPr>
              <w:t>b</w:t>
            </w:r>
          </w:p>
        </w:tc>
        <w:tc>
          <w:tcPr>
            <w:tcW w:w="3180" w:type="dxa"/>
          </w:tcPr>
          <w:p w14:paraId="7BE3E5EC" w14:textId="77777777" w:rsidR="00DB1AEE" w:rsidRPr="00DB1AEE" w:rsidRDefault="00DB1AEE" w:rsidP="00DB1AEE">
            <w:pPr>
              <w:widowControl w:val="0"/>
              <w:autoSpaceDE w:val="0"/>
              <w:autoSpaceDN w:val="0"/>
              <w:spacing w:before="2" w:line="184" w:lineRule="exact"/>
              <w:ind w:left="934" w:right="925"/>
              <w:jc w:val="center"/>
              <w:rPr>
                <w:szCs w:val="24"/>
                <w:u w:val="single"/>
              </w:rPr>
            </w:pPr>
            <w:r w:rsidRPr="00DB1AEE">
              <w:rPr>
                <w:szCs w:val="24"/>
                <w:u w:val="single"/>
              </w:rPr>
              <w:t>0.44</w:t>
            </w:r>
          </w:p>
        </w:tc>
        <w:tc>
          <w:tcPr>
            <w:tcW w:w="3175" w:type="dxa"/>
          </w:tcPr>
          <w:p w14:paraId="70F8989A" w14:textId="77777777" w:rsidR="00DB1AEE" w:rsidRPr="00DB1AEE" w:rsidRDefault="00DB1AEE" w:rsidP="00DB1AEE">
            <w:pPr>
              <w:widowControl w:val="0"/>
              <w:autoSpaceDE w:val="0"/>
              <w:autoSpaceDN w:val="0"/>
              <w:spacing w:before="2" w:line="184" w:lineRule="exact"/>
              <w:ind w:left="1201" w:right="1190"/>
              <w:jc w:val="center"/>
              <w:rPr>
                <w:szCs w:val="24"/>
                <w:u w:val="single"/>
              </w:rPr>
            </w:pPr>
            <w:r w:rsidRPr="00DB1AEE">
              <w:rPr>
                <w:szCs w:val="24"/>
                <w:u w:val="single"/>
              </w:rPr>
              <w:t>0.755</w:t>
            </w:r>
          </w:p>
        </w:tc>
      </w:tr>
      <w:tr w:rsidR="00DB1AEE" w:rsidRPr="00DB1AEE" w14:paraId="126A5025" w14:textId="77777777" w:rsidTr="00FC1832">
        <w:trPr>
          <w:trHeight w:val="208"/>
        </w:trPr>
        <w:tc>
          <w:tcPr>
            <w:tcW w:w="3221" w:type="dxa"/>
          </w:tcPr>
          <w:p w14:paraId="710F5347" w14:textId="77777777" w:rsidR="00DB1AEE" w:rsidRPr="00DB1AEE" w:rsidRDefault="00DB1AEE" w:rsidP="00DB1AEE">
            <w:pPr>
              <w:widowControl w:val="0"/>
              <w:autoSpaceDE w:val="0"/>
              <w:autoSpaceDN w:val="0"/>
              <w:spacing w:before="4" w:line="184" w:lineRule="exact"/>
              <w:ind w:left="223" w:right="216"/>
              <w:jc w:val="center"/>
              <w:rPr>
                <w:szCs w:val="24"/>
                <w:u w:val="single"/>
              </w:rPr>
            </w:pPr>
            <w:r w:rsidRPr="00DB1AEE">
              <w:rPr>
                <w:szCs w:val="24"/>
                <w:u w:val="single"/>
              </w:rPr>
              <w:t>Slab</w:t>
            </w:r>
            <w:r w:rsidRPr="00DB1AEE">
              <w:rPr>
                <w:spacing w:val="1"/>
                <w:szCs w:val="24"/>
                <w:u w:val="single"/>
              </w:rPr>
              <w:t xml:space="preserve"> </w:t>
            </w:r>
            <w:r w:rsidRPr="00DB1AEE">
              <w:rPr>
                <w:szCs w:val="24"/>
                <w:u w:val="single"/>
              </w:rPr>
              <w:t>to Ground</w:t>
            </w:r>
          </w:p>
        </w:tc>
        <w:tc>
          <w:tcPr>
            <w:tcW w:w="3180" w:type="dxa"/>
          </w:tcPr>
          <w:p w14:paraId="73FAD050" w14:textId="77777777" w:rsidR="00DB1AEE" w:rsidRPr="00DB1AEE" w:rsidRDefault="00DB1AEE" w:rsidP="00DB1AEE">
            <w:pPr>
              <w:widowControl w:val="0"/>
              <w:autoSpaceDE w:val="0"/>
              <w:autoSpaceDN w:val="0"/>
              <w:spacing w:before="4" w:line="184" w:lineRule="exact"/>
              <w:ind w:left="933" w:right="925"/>
              <w:jc w:val="center"/>
              <w:rPr>
                <w:szCs w:val="24"/>
                <w:u w:val="single"/>
              </w:rPr>
            </w:pPr>
            <w:r w:rsidRPr="00DB1AEE">
              <w:rPr>
                <w:szCs w:val="24"/>
                <w:u w:val="single"/>
              </w:rPr>
              <w:t>n/a</w:t>
            </w:r>
          </w:p>
        </w:tc>
        <w:tc>
          <w:tcPr>
            <w:tcW w:w="3175" w:type="dxa"/>
          </w:tcPr>
          <w:p w14:paraId="78168146" w14:textId="77777777" w:rsidR="00DB1AEE" w:rsidRPr="00DB1AEE" w:rsidRDefault="00DB1AEE" w:rsidP="00DB1AEE">
            <w:pPr>
              <w:widowControl w:val="0"/>
              <w:autoSpaceDE w:val="0"/>
              <w:autoSpaceDN w:val="0"/>
              <w:spacing w:before="4" w:line="184" w:lineRule="exact"/>
              <w:ind w:left="1201" w:right="1190"/>
              <w:jc w:val="center"/>
              <w:rPr>
                <w:szCs w:val="24"/>
                <w:u w:val="single"/>
              </w:rPr>
            </w:pPr>
            <w:r w:rsidRPr="00DB1AEE">
              <w:rPr>
                <w:szCs w:val="24"/>
                <w:u w:val="single"/>
              </w:rPr>
              <w:t>n/a</w:t>
            </w:r>
          </w:p>
        </w:tc>
      </w:tr>
      <w:tr w:rsidR="00DB1AEE" w:rsidRPr="00DB1AEE" w14:paraId="2C360380" w14:textId="77777777" w:rsidTr="00FC1832">
        <w:trPr>
          <w:trHeight w:val="205"/>
        </w:trPr>
        <w:tc>
          <w:tcPr>
            <w:tcW w:w="3221" w:type="dxa"/>
          </w:tcPr>
          <w:p w14:paraId="13915CB5" w14:textId="77777777" w:rsidR="00DB1AEE" w:rsidRPr="00DB1AEE" w:rsidRDefault="00DB1AEE" w:rsidP="00DB1AEE">
            <w:pPr>
              <w:widowControl w:val="0"/>
              <w:autoSpaceDE w:val="0"/>
              <w:autoSpaceDN w:val="0"/>
              <w:spacing w:before="2" w:line="184" w:lineRule="exact"/>
              <w:ind w:left="228" w:right="216"/>
              <w:jc w:val="center"/>
              <w:rPr>
                <w:szCs w:val="24"/>
                <w:u w:val="single"/>
              </w:rPr>
            </w:pPr>
            <w:r w:rsidRPr="00DB1AEE">
              <w:rPr>
                <w:szCs w:val="24"/>
                <w:u w:val="single"/>
              </w:rPr>
              <w:t>Fenestration</w:t>
            </w:r>
            <w:r w:rsidRPr="00DB1AEE">
              <w:rPr>
                <w:spacing w:val="-3"/>
                <w:szCs w:val="24"/>
                <w:u w:val="single"/>
              </w:rPr>
              <w:t xml:space="preserve"> </w:t>
            </w:r>
            <w:r w:rsidRPr="00DB1AEE">
              <w:rPr>
                <w:szCs w:val="24"/>
                <w:u w:val="single"/>
              </w:rPr>
              <w:t>Perimeter</w:t>
            </w:r>
            <w:r w:rsidRPr="00DB1AEE">
              <w:rPr>
                <w:spacing w:val="-2"/>
                <w:szCs w:val="24"/>
                <w:u w:val="single"/>
              </w:rPr>
              <w:t xml:space="preserve"> </w:t>
            </w:r>
            <w:r w:rsidRPr="00DB1AEE">
              <w:rPr>
                <w:szCs w:val="24"/>
                <w:u w:val="single"/>
              </w:rPr>
              <w:t>Transition</w:t>
            </w:r>
            <w:r w:rsidRPr="00DB1AEE">
              <w:rPr>
                <w:szCs w:val="24"/>
                <w:u w:val="single"/>
                <w:vertAlign w:val="superscript"/>
              </w:rPr>
              <w:t>c</w:t>
            </w:r>
          </w:p>
        </w:tc>
        <w:tc>
          <w:tcPr>
            <w:tcW w:w="3180" w:type="dxa"/>
          </w:tcPr>
          <w:p w14:paraId="4A9E473F" w14:textId="77777777" w:rsidR="00DB1AEE" w:rsidRPr="00DB1AEE" w:rsidRDefault="00DB1AEE" w:rsidP="00DB1AEE">
            <w:pPr>
              <w:widowControl w:val="0"/>
              <w:autoSpaceDE w:val="0"/>
              <w:autoSpaceDN w:val="0"/>
              <w:spacing w:before="2" w:line="184" w:lineRule="exact"/>
              <w:ind w:left="934" w:right="925"/>
              <w:jc w:val="center"/>
              <w:rPr>
                <w:szCs w:val="24"/>
                <w:u w:val="single"/>
              </w:rPr>
            </w:pPr>
            <w:r w:rsidRPr="00DB1AEE">
              <w:rPr>
                <w:szCs w:val="24"/>
                <w:u w:val="single"/>
              </w:rPr>
              <w:t>0.32</w:t>
            </w:r>
          </w:p>
        </w:tc>
        <w:tc>
          <w:tcPr>
            <w:tcW w:w="3175" w:type="dxa"/>
          </w:tcPr>
          <w:p w14:paraId="35201E45" w14:textId="77777777" w:rsidR="00DB1AEE" w:rsidRPr="00DB1AEE" w:rsidRDefault="00DB1AEE" w:rsidP="00DB1AEE">
            <w:pPr>
              <w:widowControl w:val="0"/>
              <w:autoSpaceDE w:val="0"/>
              <w:autoSpaceDN w:val="0"/>
              <w:spacing w:before="2" w:line="184" w:lineRule="exact"/>
              <w:ind w:left="1201" w:right="1190"/>
              <w:jc w:val="center"/>
              <w:rPr>
                <w:szCs w:val="24"/>
                <w:u w:val="single"/>
              </w:rPr>
            </w:pPr>
            <w:r w:rsidRPr="00DB1AEE">
              <w:rPr>
                <w:szCs w:val="24"/>
                <w:u w:val="single"/>
              </w:rPr>
              <w:t>0.550</w:t>
            </w:r>
          </w:p>
        </w:tc>
      </w:tr>
      <w:tr w:rsidR="00DB1AEE" w:rsidRPr="00DB1AEE" w14:paraId="57FA7588" w14:textId="77777777" w:rsidTr="00FC1832">
        <w:trPr>
          <w:trHeight w:val="208"/>
        </w:trPr>
        <w:tc>
          <w:tcPr>
            <w:tcW w:w="3221" w:type="dxa"/>
          </w:tcPr>
          <w:p w14:paraId="2F311573" w14:textId="77777777" w:rsidR="00DB1AEE" w:rsidRPr="00DB1AEE" w:rsidRDefault="00DB1AEE" w:rsidP="00DB1AEE">
            <w:pPr>
              <w:widowControl w:val="0"/>
              <w:autoSpaceDE w:val="0"/>
              <w:autoSpaceDN w:val="0"/>
              <w:spacing w:before="2" w:line="187" w:lineRule="exact"/>
              <w:ind w:left="224" w:right="216"/>
              <w:jc w:val="center"/>
              <w:rPr>
                <w:szCs w:val="24"/>
                <w:u w:val="single"/>
              </w:rPr>
            </w:pPr>
            <w:r w:rsidRPr="00DB1AEE">
              <w:rPr>
                <w:szCs w:val="24"/>
                <w:u w:val="single"/>
              </w:rPr>
              <w:t>Parapet</w:t>
            </w:r>
          </w:p>
        </w:tc>
        <w:tc>
          <w:tcPr>
            <w:tcW w:w="3180" w:type="dxa"/>
          </w:tcPr>
          <w:p w14:paraId="0910AF5A" w14:textId="77777777" w:rsidR="00DB1AEE" w:rsidRPr="00DB1AEE" w:rsidRDefault="00DB1AEE" w:rsidP="00DB1AEE">
            <w:pPr>
              <w:widowControl w:val="0"/>
              <w:autoSpaceDE w:val="0"/>
              <w:autoSpaceDN w:val="0"/>
              <w:spacing w:before="2" w:line="187" w:lineRule="exact"/>
              <w:ind w:left="934" w:right="925"/>
              <w:jc w:val="center"/>
              <w:rPr>
                <w:szCs w:val="24"/>
                <w:u w:val="single"/>
              </w:rPr>
            </w:pPr>
            <w:r w:rsidRPr="00DB1AEE">
              <w:rPr>
                <w:szCs w:val="24"/>
                <w:u w:val="single"/>
              </w:rPr>
              <w:t>0.42</w:t>
            </w:r>
          </w:p>
        </w:tc>
        <w:tc>
          <w:tcPr>
            <w:tcW w:w="3175" w:type="dxa"/>
          </w:tcPr>
          <w:p w14:paraId="6023C99D" w14:textId="77777777" w:rsidR="00DB1AEE" w:rsidRPr="00DB1AEE" w:rsidRDefault="00DB1AEE" w:rsidP="00DB1AEE">
            <w:pPr>
              <w:widowControl w:val="0"/>
              <w:autoSpaceDE w:val="0"/>
              <w:autoSpaceDN w:val="0"/>
              <w:spacing w:before="2" w:line="187" w:lineRule="exact"/>
              <w:ind w:left="1201" w:right="1190"/>
              <w:jc w:val="center"/>
              <w:rPr>
                <w:szCs w:val="24"/>
                <w:u w:val="single"/>
              </w:rPr>
            </w:pPr>
            <w:r w:rsidRPr="00DB1AEE">
              <w:rPr>
                <w:szCs w:val="24"/>
                <w:u w:val="single"/>
              </w:rPr>
              <w:t>0.735</w:t>
            </w:r>
          </w:p>
        </w:tc>
      </w:tr>
      <w:tr w:rsidR="00DB1AEE" w:rsidRPr="00DB1AEE" w14:paraId="480E6EB1" w14:textId="77777777" w:rsidTr="00FC1832">
        <w:trPr>
          <w:trHeight w:val="206"/>
        </w:trPr>
        <w:tc>
          <w:tcPr>
            <w:tcW w:w="3221" w:type="dxa"/>
          </w:tcPr>
          <w:p w14:paraId="3E7BD905" w14:textId="77777777" w:rsidR="00DB1AEE" w:rsidRPr="00DB1AEE" w:rsidRDefault="00DB1AEE" w:rsidP="00DB1AEE">
            <w:pPr>
              <w:widowControl w:val="0"/>
              <w:autoSpaceDE w:val="0"/>
              <w:autoSpaceDN w:val="0"/>
              <w:spacing w:before="2" w:line="184" w:lineRule="exact"/>
              <w:ind w:left="226" w:right="216"/>
              <w:jc w:val="center"/>
              <w:rPr>
                <w:szCs w:val="24"/>
                <w:u w:val="single"/>
              </w:rPr>
            </w:pPr>
            <w:r w:rsidRPr="00DB1AEE">
              <w:rPr>
                <w:szCs w:val="24"/>
                <w:u w:val="single"/>
              </w:rPr>
              <w:t>Eaves</w:t>
            </w:r>
          </w:p>
        </w:tc>
        <w:tc>
          <w:tcPr>
            <w:tcW w:w="3180" w:type="dxa"/>
          </w:tcPr>
          <w:p w14:paraId="30415CE6" w14:textId="77777777" w:rsidR="00DB1AEE" w:rsidRPr="00DB1AEE" w:rsidRDefault="00DB1AEE" w:rsidP="00DB1AEE">
            <w:pPr>
              <w:widowControl w:val="0"/>
              <w:autoSpaceDE w:val="0"/>
              <w:autoSpaceDN w:val="0"/>
              <w:spacing w:before="2" w:line="184" w:lineRule="exact"/>
              <w:ind w:left="933" w:right="925"/>
              <w:jc w:val="center"/>
              <w:rPr>
                <w:szCs w:val="24"/>
                <w:u w:val="single"/>
              </w:rPr>
            </w:pPr>
            <w:r w:rsidRPr="00DB1AEE">
              <w:rPr>
                <w:szCs w:val="24"/>
                <w:u w:val="single"/>
              </w:rPr>
              <w:t>n/a</w:t>
            </w:r>
          </w:p>
        </w:tc>
        <w:tc>
          <w:tcPr>
            <w:tcW w:w="3175" w:type="dxa"/>
          </w:tcPr>
          <w:p w14:paraId="5695B35A" w14:textId="77777777" w:rsidR="00DB1AEE" w:rsidRPr="00DB1AEE" w:rsidRDefault="00DB1AEE" w:rsidP="00DB1AEE">
            <w:pPr>
              <w:widowControl w:val="0"/>
              <w:autoSpaceDE w:val="0"/>
              <w:autoSpaceDN w:val="0"/>
              <w:spacing w:before="2" w:line="184" w:lineRule="exact"/>
              <w:ind w:left="1201" w:right="1190"/>
              <w:jc w:val="center"/>
              <w:rPr>
                <w:szCs w:val="24"/>
                <w:u w:val="single"/>
              </w:rPr>
            </w:pPr>
            <w:r w:rsidRPr="00DB1AEE">
              <w:rPr>
                <w:szCs w:val="24"/>
                <w:u w:val="single"/>
              </w:rPr>
              <w:t>n/a</w:t>
            </w:r>
          </w:p>
        </w:tc>
      </w:tr>
      <w:tr w:rsidR="00DB1AEE" w:rsidRPr="00DB1AEE" w14:paraId="773731C9" w14:textId="77777777" w:rsidTr="00FC1832">
        <w:trPr>
          <w:trHeight w:val="206"/>
        </w:trPr>
        <w:tc>
          <w:tcPr>
            <w:tcW w:w="3221" w:type="dxa"/>
          </w:tcPr>
          <w:p w14:paraId="6CB964D3" w14:textId="77777777" w:rsidR="00DB1AEE" w:rsidRPr="00DB1AEE" w:rsidRDefault="00DB1AEE" w:rsidP="00DB1AEE">
            <w:pPr>
              <w:widowControl w:val="0"/>
              <w:autoSpaceDE w:val="0"/>
              <w:autoSpaceDN w:val="0"/>
              <w:spacing w:before="2" w:line="184" w:lineRule="exact"/>
              <w:ind w:left="225" w:right="216"/>
              <w:jc w:val="center"/>
              <w:rPr>
                <w:szCs w:val="24"/>
                <w:u w:val="single"/>
              </w:rPr>
            </w:pPr>
            <w:r w:rsidRPr="00DB1AEE">
              <w:rPr>
                <w:szCs w:val="24"/>
                <w:u w:val="single"/>
              </w:rPr>
              <w:t>Shelf Angle</w:t>
            </w:r>
          </w:p>
        </w:tc>
        <w:tc>
          <w:tcPr>
            <w:tcW w:w="3180" w:type="dxa"/>
          </w:tcPr>
          <w:p w14:paraId="1F5DDB68" w14:textId="77777777" w:rsidR="00DB1AEE" w:rsidRPr="00DB1AEE" w:rsidRDefault="00DB1AEE" w:rsidP="00DB1AEE">
            <w:pPr>
              <w:widowControl w:val="0"/>
              <w:autoSpaceDE w:val="0"/>
              <w:autoSpaceDN w:val="0"/>
              <w:spacing w:before="2" w:line="184" w:lineRule="exact"/>
              <w:ind w:left="934" w:right="925"/>
              <w:jc w:val="center"/>
              <w:rPr>
                <w:szCs w:val="24"/>
                <w:u w:val="single"/>
              </w:rPr>
            </w:pPr>
            <w:r w:rsidRPr="00DB1AEE">
              <w:rPr>
                <w:szCs w:val="24"/>
                <w:u w:val="single"/>
              </w:rPr>
              <w:t>0.41</w:t>
            </w:r>
          </w:p>
        </w:tc>
        <w:tc>
          <w:tcPr>
            <w:tcW w:w="3175" w:type="dxa"/>
          </w:tcPr>
          <w:p w14:paraId="6EB6D5DB" w14:textId="77777777" w:rsidR="00DB1AEE" w:rsidRPr="00DB1AEE" w:rsidRDefault="00DB1AEE" w:rsidP="00DB1AEE">
            <w:pPr>
              <w:widowControl w:val="0"/>
              <w:autoSpaceDE w:val="0"/>
              <w:autoSpaceDN w:val="0"/>
              <w:spacing w:before="2" w:line="184" w:lineRule="exact"/>
              <w:ind w:left="1201" w:right="1190"/>
              <w:jc w:val="center"/>
              <w:rPr>
                <w:szCs w:val="24"/>
                <w:u w:val="single"/>
              </w:rPr>
            </w:pPr>
            <w:r w:rsidRPr="00DB1AEE">
              <w:rPr>
                <w:szCs w:val="24"/>
                <w:u w:val="single"/>
              </w:rPr>
              <w:t>0.713</w:t>
            </w:r>
          </w:p>
        </w:tc>
      </w:tr>
      <w:tr w:rsidR="00DB1AEE" w:rsidRPr="00DB1AEE" w14:paraId="4594BE38" w14:textId="77777777" w:rsidTr="00FC1832">
        <w:trPr>
          <w:trHeight w:val="208"/>
        </w:trPr>
        <w:tc>
          <w:tcPr>
            <w:tcW w:w="9576" w:type="dxa"/>
            <w:gridSpan w:val="3"/>
          </w:tcPr>
          <w:p w14:paraId="1B7DD658" w14:textId="77777777" w:rsidR="00DB1AEE" w:rsidRPr="00DB1AEE" w:rsidRDefault="00DB1AEE" w:rsidP="00DB1AEE">
            <w:pPr>
              <w:widowControl w:val="0"/>
              <w:autoSpaceDE w:val="0"/>
              <w:autoSpaceDN w:val="0"/>
              <w:spacing w:line="188" w:lineRule="exact"/>
              <w:ind w:left="1353" w:right="1343"/>
              <w:jc w:val="center"/>
              <w:rPr>
                <w:b/>
                <w:bCs/>
                <w:szCs w:val="24"/>
                <w:u w:val="single"/>
              </w:rPr>
            </w:pPr>
            <w:r w:rsidRPr="00DB1AEE">
              <w:rPr>
                <w:b/>
                <w:bCs/>
                <w:szCs w:val="24"/>
                <w:u w:val="single"/>
              </w:rPr>
              <w:t>Wood</w:t>
            </w:r>
            <w:r w:rsidRPr="00DB1AEE">
              <w:rPr>
                <w:b/>
                <w:bCs/>
                <w:spacing w:val="-2"/>
                <w:szCs w:val="24"/>
                <w:u w:val="single"/>
              </w:rPr>
              <w:t xml:space="preserve"> </w:t>
            </w:r>
            <w:r w:rsidRPr="00DB1AEE">
              <w:rPr>
                <w:b/>
                <w:bCs/>
                <w:szCs w:val="24"/>
                <w:u w:val="single"/>
              </w:rPr>
              <w:t>Frame</w:t>
            </w:r>
            <w:r w:rsidRPr="00DB1AEE">
              <w:rPr>
                <w:b/>
                <w:bCs/>
                <w:spacing w:val="-2"/>
                <w:szCs w:val="24"/>
                <w:u w:val="single"/>
              </w:rPr>
              <w:t xml:space="preserve"> </w:t>
            </w:r>
            <w:r w:rsidRPr="00DB1AEE">
              <w:rPr>
                <w:b/>
                <w:bCs/>
                <w:szCs w:val="24"/>
                <w:u w:val="single"/>
              </w:rPr>
              <w:t>Construction</w:t>
            </w:r>
          </w:p>
        </w:tc>
      </w:tr>
      <w:tr w:rsidR="00DB1AEE" w:rsidRPr="00DB1AEE" w14:paraId="4426E855" w14:textId="77777777" w:rsidTr="00FC1832">
        <w:trPr>
          <w:trHeight w:val="206"/>
        </w:trPr>
        <w:tc>
          <w:tcPr>
            <w:tcW w:w="3221" w:type="dxa"/>
          </w:tcPr>
          <w:p w14:paraId="7652326C" w14:textId="77777777" w:rsidR="00DB1AEE" w:rsidRPr="00DB1AEE" w:rsidRDefault="00DB1AEE" w:rsidP="00DB1AEE">
            <w:pPr>
              <w:widowControl w:val="0"/>
              <w:autoSpaceDE w:val="0"/>
              <w:autoSpaceDN w:val="0"/>
              <w:spacing w:before="2" w:line="184" w:lineRule="exact"/>
              <w:ind w:left="223" w:right="216"/>
              <w:jc w:val="center"/>
              <w:rPr>
                <w:szCs w:val="24"/>
                <w:u w:val="single"/>
              </w:rPr>
            </w:pPr>
            <w:r w:rsidRPr="00DB1AEE">
              <w:rPr>
                <w:szCs w:val="24"/>
                <w:u w:val="single"/>
              </w:rPr>
              <w:t>Balcony</w:t>
            </w:r>
          </w:p>
        </w:tc>
        <w:tc>
          <w:tcPr>
            <w:tcW w:w="3180" w:type="dxa"/>
          </w:tcPr>
          <w:p w14:paraId="4A654F65" w14:textId="77777777" w:rsidR="00DB1AEE" w:rsidRPr="00DB1AEE" w:rsidRDefault="00DB1AEE" w:rsidP="00DB1AEE">
            <w:pPr>
              <w:widowControl w:val="0"/>
              <w:autoSpaceDE w:val="0"/>
              <w:autoSpaceDN w:val="0"/>
              <w:spacing w:before="2" w:line="184" w:lineRule="exact"/>
              <w:ind w:left="933" w:right="925"/>
              <w:jc w:val="center"/>
              <w:rPr>
                <w:szCs w:val="24"/>
                <w:u w:val="single"/>
              </w:rPr>
            </w:pPr>
            <w:r w:rsidRPr="00DB1AEE">
              <w:rPr>
                <w:szCs w:val="24"/>
                <w:u w:val="single"/>
              </w:rPr>
              <w:t>n/a</w:t>
            </w:r>
          </w:p>
        </w:tc>
        <w:tc>
          <w:tcPr>
            <w:tcW w:w="3175" w:type="dxa"/>
          </w:tcPr>
          <w:p w14:paraId="2BA3C0C4" w14:textId="77777777" w:rsidR="00DB1AEE" w:rsidRPr="00DB1AEE" w:rsidRDefault="00DB1AEE" w:rsidP="00DB1AEE">
            <w:pPr>
              <w:widowControl w:val="0"/>
              <w:autoSpaceDE w:val="0"/>
              <w:autoSpaceDN w:val="0"/>
              <w:spacing w:before="2" w:line="184" w:lineRule="exact"/>
              <w:ind w:left="1201" w:right="1190"/>
              <w:jc w:val="center"/>
              <w:rPr>
                <w:szCs w:val="24"/>
                <w:u w:val="single"/>
              </w:rPr>
            </w:pPr>
            <w:r w:rsidRPr="00DB1AEE">
              <w:rPr>
                <w:szCs w:val="24"/>
                <w:u w:val="single"/>
              </w:rPr>
              <w:t>n/a</w:t>
            </w:r>
          </w:p>
        </w:tc>
      </w:tr>
      <w:tr w:rsidR="00DB1AEE" w:rsidRPr="00DB1AEE" w14:paraId="5B1D7264" w14:textId="77777777" w:rsidTr="00FC1832">
        <w:trPr>
          <w:trHeight w:val="208"/>
        </w:trPr>
        <w:tc>
          <w:tcPr>
            <w:tcW w:w="3221" w:type="dxa"/>
          </w:tcPr>
          <w:p w14:paraId="23ABE982" w14:textId="77777777" w:rsidR="00DB1AEE" w:rsidRPr="00DB1AEE" w:rsidRDefault="00DB1AEE" w:rsidP="00DB1AEE">
            <w:pPr>
              <w:widowControl w:val="0"/>
              <w:autoSpaceDE w:val="0"/>
              <w:autoSpaceDN w:val="0"/>
              <w:spacing w:before="2" w:line="187" w:lineRule="exact"/>
              <w:ind w:left="224" w:right="216"/>
              <w:jc w:val="center"/>
              <w:rPr>
                <w:szCs w:val="24"/>
                <w:u w:val="single"/>
              </w:rPr>
            </w:pPr>
            <w:r w:rsidRPr="00DB1AEE">
              <w:rPr>
                <w:szCs w:val="24"/>
                <w:u w:val="single"/>
              </w:rPr>
              <w:t>Floor</w:t>
            </w:r>
            <w:r w:rsidRPr="00DB1AEE">
              <w:rPr>
                <w:szCs w:val="24"/>
                <w:u w:val="single"/>
                <w:vertAlign w:val="superscript"/>
              </w:rPr>
              <w:t>b</w:t>
            </w:r>
          </w:p>
        </w:tc>
        <w:tc>
          <w:tcPr>
            <w:tcW w:w="3180" w:type="dxa"/>
          </w:tcPr>
          <w:p w14:paraId="1529F7E5" w14:textId="77777777" w:rsidR="00DB1AEE" w:rsidRPr="00DB1AEE" w:rsidRDefault="00DB1AEE" w:rsidP="00DB1AEE">
            <w:pPr>
              <w:widowControl w:val="0"/>
              <w:autoSpaceDE w:val="0"/>
              <w:autoSpaceDN w:val="0"/>
              <w:spacing w:before="2" w:line="187" w:lineRule="exact"/>
              <w:ind w:left="933" w:right="925"/>
              <w:jc w:val="center"/>
              <w:rPr>
                <w:szCs w:val="24"/>
                <w:u w:val="single"/>
              </w:rPr>
            </w:pPr>
            <w:r w:rsidRPr="00DB1AEE">
              <w:rPr>
                <w:szCs w:val="24"/>
                <w:u w:val="single"/>
              </w:rPr>
              <w:t>0.336</w:t>
            </w:r>
          </w:p>
        </w:tc>
        <w:tc>
          <w:tcPr>
            <w:tcW w:w="3175" w:type="dxa"/>
          </w:tcPr>
          <w:p w14:paraId="0617D39A" w14:textId="77777777" w:rsidR="00DB1AEE" w:rsidRPr="00DB1AEE" w:rsidRDefault="00DB1AEE" w:rsidP="00DB1AEE">
            <w:pPr>
              <w:widowControl w:val="0"/>
              <w:autoSpaceDE w:val="0"/>
              <w:autoSpaceDN w:val="0"/>
              <w:spacing w:before="2" w:line="187" w:lineRule="exact"/>
              <w:ind w:left="1201" w:right="1190"/>
              <w:jc w:val="center"/>
              <w:rPr>
                <w:szCs w:val="24"/>
                <w:u w:val="single"/>
              </w:rPr>
            </w:pPr>
            <w:r w:rsidRPr="00DB1AEE">
              <w:rPr>
                <w:szCs w:val="24"/>
                <w:u w:val="single"/>
              </w:rPr>
              <w:t>0.582</w:t>
            </w:r>
          </w:p>
        </w:tc>
      </w:tr>
      <w:tr w:rsidR="00DB1AEE" w:rsidRPr="00DB1AEE" w14:paraId="5D957F80" w14:textId="77777777" w:rsidTr="00FC1832">
        <w:trPr>
          <w:trHeight w:val="206"/>
        </w:trPr>
        <w:tc>
          <w:tcPr>
            <w:tcW w:w="3221" w:type="dxa"/>
          </w:tcPr>
          <w:p w14:paraId="13BA500E" w14:textId="77777777" w:rsidR="00DB1AEE" w:rsidRPr="00DB1AEE" w:rsidRDefault="00DB1AEE" w:rsidP="00DB1AEE">
            <w:pPr>
              <w:widowControl w:val="0"/>
              <w:autoSpaceDE w:val="0"/>
              <w:autoSpaceDN w:val="0"/>
              <w:spacing w:before="2" w:line="184" w:lineRule="exact"/>
              <w:ind w:left="223" w:right="216"/>
              <w:jc w:val="center"/>
              <w:rPr>
                <w:szCs w:val="24"/>
                <w:u w:val="single"/>
              </w:rPr>
            </w:pPr>
            <w:r w:rsidRPr="00DB1AEE">
              <w:rPr>
                <w:szCs w:val="24"/>
                <w:u w:val="single"/>
              </w:rPr>
              <w:t>Slab</w:t>
            </w:r>
            <w:r w:rsidRPr="00DB1AEE">
              <w:rPr>
                <w:spacing w:val="1"/>
                <w:szCs w:val="24"/>
                <w:u w:val="single"/>
              </w:rPr>
              <w:t xml:space="preserve"> </w:t>
            </w:r>
            <w:r w:rsidRPr="00DB1AEE">
              <w:rPr>
                <w:szCs w:val="24"/>
                <w:u w:val="single"/>
              </w:rPr>
              <w:t>to Ground</w:t>
            </w:r>
          </w:p>
        </w:tc>
        <w:tc>
          <w:tcPr>
            <w:tcW w:w="3180" w:type="dxa"/>
          </w:tcPr>
          <w:p w14:paraId="6D9DE7E0" w14:textId="77777777" w:rsidR="00DB1AEE" w:rsidRPr="00DB1AEE" w:rsidRDefault="00DB1AEE" w:rsidP="00DB1AEE">
            <w:pPr>
              <w:widowControl w:val="0"/>
              <w:autoSpaceDE w:val="0"/>
              <w:autoSpaceDN w:val="0"/>
              <w:spacing w:before="2" w:line="184" w:lineRule="exact"/>
              <w:ind w:left="933" w:right="925"/>
              <w:jc w:val="center"/>
              <w:rPr>
                <w:szCs w:val="24"/>
                <w:u w:val="single"/>
              </w:rPr>
            </w:pPr>
            <w:r w:rsidRPr="00DB1AEE">
              <w:rPr>
                <w:szCs w:val="24"/>
                <w:u w:val="single"/>
              </w:rPr>
              <w:t>n/a</w:t>
            </w:r>
          </w:p>
        </w:tc>
        <w:tc>
          <w:tcPr>
            <w:tcW w:w="3175" w:type="dxa"/>
          </w:tcPr>
          <w:p w14:paraId="5DD55E74" w14:textId="77777777" w:rsidR="00DB1AEE" w:rsidRPr="00DB1AEE" w:rsidRDefault="00DB1AEE" w:rsidP="00DB1AEE">
            <w:pPr>
              <w:widowControl w:val="0"/>
              <w:autoSpaceDE w:val="0"/>
              <w:autoSpaceDN w:val="0"/>
              <w:spacing w:before="2" w:line="184" w:lineRule="exact"/>
              <w:ind w:left="1201" w:right="1190"/>
              <w:jc w:val="center"/>
              <w:rPr>
                <w:szCs w:val="24"/>
                <w:u w:val="single"/>
              </w:rPr>
            </w:pPr>
            <w:r w:rsidRPr="00DB1AEE">
              <w:rPr>
                <w:szCs w:val="24"/>
                <w:u w:val="single"/>
              </w:rPr>
              <w:t>n/a</w:t>
            </w:r>
          </w:p>
        </w:tc>
      </w:tr>
      <w:tr w:rsidR="00DB1AEE" w:rsidRPr="00DB1AEE" w14:paraId="1A20C101" w14:textId="77777777" w:rsidTr="00FC1832">
        <w:trPr>
          <w:trHeight w:val="208"/>
        </w:trPr>
        <w:tc>
          <w:tcPr>
            <w:tcW w:w="3221" w:type="dxa"/>
          </w:tcPr>
          <w:p w14:paraId="4B4938E7" w14:textId="77777777" w:rsidR="00DB1AEE" w:rsidRPr="00DB1AEE" w:rsidRDefault="00DB1AEE" w:rsidP="00DB1AEE">
            <w:pPr>
              <w:widowControl w:val="0"/>
              <w:autoSpaceDE w:val="0"/>
              <w:autoSpaceDN w:val="0"/>
              <w:spacing w:before="2" w:line="187" w:lineRule="exact"/>
              <w:ind w:left="228" w:right="216"/>
              <w:jc w:val="center"/>
              <w:rPr>
                <w:szCs w:val="24"/>
                <w:u w:val="single"/>
              </w:rPr>
            </w:pPr>
            <w:r w:rsidRPr="00DB1AEE">
              <w:rPr>
                <w:szCs w:val="24"/>
                <w:u w:val="single"/>
              </w:rPr>
              <w:t>Fenestration</w:t>
            </w:r>
            <w:r w:rsidRPr="00DB1AEE">
              <w:rPr>
                <w:spacing w:val="-3"/>
                <w:szCs w:val="24"/>
                <w:u w:val="single"/>
              </w:rPr>
              <w:t xml:space="preserve"> </w:t>
            </w:r>
            <w:r w:rsidRPr="00DB1AEE">
              <w:rPr>
                <w:szCs w:val="24"/>
                <w:u w:val="single"/>
              </w:rPr>
              <w:t>Perimeter</w:t>
            </w:r>
            <w:r w:rsidRPr="00DB1AEE">
              <w:rPr>
                <w:spacing w:val="-2"/>
                <w:szCs w:val="24"/>
                <w:u w:val="single"/>
              </w:rPr>
              <w:t xml:space="preserve"> </w:t>
            </w:r>
            <w:r w:rsidRPr="00DB1AEE">
              <w:rPr>
                <w:szCs w:val="24"/>
                <w:u w:val="single"/>
              </w:rPr>
              <w:t>Transition</w:t>
            </w:r>
            <w:r w:rsidRPr="00DB1AEE">
              <w:rPr>
                <w:szCs w:val="24"/>
                <w:u w:val="single"/>
                <w:vertAlign w:val="superscript"/>
              </w:rPr>
              <w:t>c</w:t>
            </w:r>
          </w:p>
        </w:tc>
        <w:tc>
          <w:tcPr>
            <w:tcW w:w="3180" w:type="dxa"/>
          </w:tcPr>
          <w:p w14:paraId="5318C2DE" w14:textId="77777777" w:rsidR="00DB1AEE" w:rsidRPr="00DB1AEE" w:rsidRDefault="00DB1AEE" w:rsidP="00DB1AEE">
            <w:pPr>
              <w:widowControl w:val="0"/>
              <w:autoSpaceDE w:val="0"/>
              <w:autoSpaceDN w:val="0"/>
              <w:spacing w:before="2" w:line="187" w:lineRule="exact"/>
              <w:ind w:left="934" w:right="925"/>
              <w:jc w:val="center"/>
              <w:rPr>
                <w:szCs w:val="24"/>
                <w:u w:val="single"/>
              </w:rPr>
            </w:pPr>
            <w:r w:rsidRPr="00DB1AEE">
              <w:rPr>
                <w:szCs w:val="24"/>
                <w:u w:val="single"/>
              </w:rPr>
              <w:t>0.15</w:t>
            </w:r>
          </w:p>
        </w:tc>
        <w:tc>
          <w:tcPr>
            <w:tcW w:w="3175" w:type="dxa"/>
          </w:tcPr>
          <w:p w14:paraId="77F8AD64" w14:textId="77777777" w:rsidR="00DB1AEE" w:rsidRPr="00DB1AEE" w:rsidRDefault="00DB1AEE" w:rsidP="00DB1AEE">
            <w:pPr>
              <w:widowControl w:val="0"/>
              <w:autoSpaceDE w:val="0"/>
              <w:autoSpaceDN w:val="0"/>
              <w:spacing w:before="2" w:line="187" w:lineRule="exact"/>
              <w:ind w:left="1201" w:right="1190"/>
              <w:jc w:val="center"/>
              <w:rPr>
                <w:szCs w:val="24"/>
                <w:u w:val="single"/>
              </w:rPr>
            </w:pPr>
            <w:r w:rsidRPr="00DB1AEE">
              <w:rPr>
                <w:szCs w:val="24"/>
                <w:u w:val="single"/>
              </w:rPr>
              <w:t>0.26</w:t>
            </w:r>
          </w:p>
        </w:tc>
      </w:tr>
      <w:tr w:rsidR="00DB1AEE" w:rsidRPr="00DB1AEE" w14:paraId="4B3227D4" w14:textId="77777777" w:rsidTr="00FC1832">
        <w:trPr>
          <w:trHeight w:val="206"/>
        </w:trPr>
        <w:tc>
          <w:tcPr>
            <w:tcW w:w="3221" w:type="dxa"/>
          </w:tcPr>
          <w:p w14:paraId="7598F796" w14:textId="77777777" w:rsidR="00DB1AEE" w:rsidRPr="00DB1AEE" w:rsidRDefault="00DB1AEE" w:rsidP="00DB1AEE">
            <w:pPr>
              <w:widowControl w:val="0"/>
              <w:autoSpaceDE w:val="0"/>
              <w:autoSpaceDN w:val="0"/>
              <w:spacing w:before="2" w:line="184" w:lineRule="exact"/>
              <w:ind w:left="224" w:right="216"/>
              <w:jc w:val="center"/>
              <w:rPr>
                <w:szCs w:val="24"/>
                <w:u w:val="single"/>
              </w:rPr>
            </w:pPr>
            <w:r w:rsidRPr="00DB1AEE">
              <w:rPr>
                <w:szCs w:val="24"/>
                <w:u w:val="single"/>
              </w:rPr>
              <w:t>Parapet</w:t>
            </w:r>
          </w:p>
        </w:tc>
        <w:tc>
          <w:tcPr>
            <w:tcW w:w="3180" w:type="dxa"/>
          </w:tcPr>
          <w:p w14:paraId="085F267D" w14:textId="77777777" w:rsidR="00DB1AEE" w:rsidRPr="00DB1AEE" w:rsidRDefault="00DB1AEE" w:rsidP="00DB1AEE">
            <w:pPr>
              <w:widowControl w:val="0"/>
              <w:autoSpaceDE w:val="0"/>
              <w:autoSpaceDN w:val="0"/>
              <w:spacing w:before="2" w:line="184" w:lineRule="exact"/>
              <w:ind w:left="933" w:right="925"/>
              <w:jc w:val="center"/>
              <w:rPr>
                <w:szCs w:val="24"/>
                <w:u w:val="single"/>
              </w:rPr>
            </w:pPr>
            <w:r w:rsidRPr="00DB1AEE">
              <w:rPr>
                <w:szCs w:val="24"/>
                <w:u w:val="single"/>
              </w:rPr>
              <w:t>0.032</w:t>
            </w:r>
          </w:p>
        </w:tc>
        <w:tc>
          <w:tcPr>
            <w:tcW w:w="3175" w:type="dxa"/>
          </w:tcPr>
          <w:p w14:paraId="45543997" w14:textId="77777777" w:rsidR="00DB1AEE" w:rsidRPr="00DB1AEE" w:rsidRDefault="00DB1AEE" w:rsidP="00DB1AEE">
            <w:pPr>
              <w:widowControl w:val="0"/>
              <w:autoSpaceDE w:val="0"/>
              <w:autoSpaceDN w:val="0"/>
              <w:spacing w:before="2" w:line="184" w:lineRule="exact"/>
              <w:ind w:left="1201" w:right="1190"/>
              <w:jc w:val="center"/>
              <w:rPr>
                <w:szCs w:val="24"/>
                <w:u w:val="single"/>
              </w:rPr>
            </w:pPr>
            <w:r w:rsidRPr="00DB1AEE">
              <w:rPr>
                <w:szCs w:val="24"/>
                <w:u w:val="single"/>
              </w:rPr>
              <w:t>0.056</w:t>
            </w:r>
          </w:p>
        </w:tc>
      </w:tr>
      <w:tr w:rsidR="00DB1AEE" w:rsidRPr="00DB1AEE" w14:paraId="7CC58745" w14:textId="77777777" w:rsidTr="00FC1832">
        <w:trPr>
          <w:trHeight w:val="205"/>
        </w:trPr>
        <w:tc>
          <w:tcPr>
            <w:tcW w:w="3221" w:type="dxa"/>
          </w:tcPr>
          <w:p w14:paraId="5E2EBEEA" w14:textId="77777777" w:rsidR="00DB1AEE" w:rsidRPr="00DB1AEE" w:rsidRDefault="00DB1AEE" w:rsidP="00DB1AEE">
            <w:pPr>
              <w:widowControl w:val="0"/>
              <w:autoSpaceDE w:val="0"/>
              <w:autoSpaceDN w:val="0"/>
              <w:spacing w:before="2" w:line="184" w:lineRule="exact"/>
              <w:ind w:left="226" w:right="216"/>
              <w:jc w:val="center"/>
              <w:rPr>
                <w:szCs w:val="24"/>
                <w:u w:val="single"/>
              </w:rPr>
            </w:pPr>
            <w:r w:rsidRPr="00DB1AEE">
              <w:rPr>
                <w:szCs w:val="24"/>
                <w:u w:val="single"/>
              </w:rPr>
              <w:t>Eaves</w:t>
            </w:r>
          </w:p>
        </w:tc>
        <w:tc>
          <w:tcPr>
            <w:tcW w:w="3180" w:type="dxa"/>
          </w:tcPr>
          <w:p w14:paraId="425EFB1D" w14:textId="77777777" w:rsidR="00DB1AEE" w:rsidRPr="00DB1AEE" w:rsidRDefault="00DB1AEE" w:rsidP="00DB1AEE">
            <w:pPr>
              <w:widowControl w:val="0"/>
              <w:autoSpaceDE w:val="0"/>
              <w:autoSpaceDN w:val="0"/>
              <w:spacing w:before="2" w:line="184" w:lineRule="exact"/>
              <w:ind w:left="933" w:right="925"/>
              <w:jc w:val="center"/>
              <w:rPr>
                <w:szCs w:val="24"/>
                <w:u w:val="single"/>
              </w:rPr>
            </w:pPr>
            <w:r w:rsidRPr="00DB1AEE">
              <w:rPr>
                <w:szCs w:val="24"/>
                <w:u w:val="single"/>
              </w:rPr>
              <w:t>n/a</w:t>
            </w:r>
          </w:p>
        </w:tc>
        <w:tc>
          <w:tcPr>
            <w:tcW w:w="3175" w:type="dxa"/>
          </w:tcPr>
          <w:p w14:paraId="50D454C9" w14:textId="77777777" w:rsidR="00DB1AEE" w:rsidRPr="00DB1AEE" w:rsidRDefault="00DB1AEE" w:rsidP="00DB1AEE">
            <w:pPr>
              <w:widowControl w:val="0"/>
              <w:autoSpaceDE w:val="0"/>
              <w:autoSpaceDN w:val="0"/>
              <w:spacing w:before="2" w:line="184" w:lineRule="exact"/>
              <w:ind w:left="1201" w:right="1190"/>
              <w:jc w:val="center"/>
              <w:rPr>
                <w:szCs w:val="24"/>
                <w:u w:val="single"/>
              </w:rPr>
            </w:pPr>
            <w:r w:rsidRPr="00DB1AEE">
              <w:rPr>
                <w:szCs w:val="24"/>
                <w:u w:val="single"/>
              </w:rPr>
              <w:t>n/a</w:t>
            </w:r>
          </w:p>
        </w:tc>
      </w:tr>
      <w:tr w:rsidR="00DB1AEE" w:rsidRPr="00DB1AEE" w14:paraId="23E71C7E" w14:textId="77777777" w:rsidTr="00FC1832">
        <w:trPr>
          <w:trHeight w:val="208"/>
        </w:trPr>
        <w:tc>
          <w:tcPr>
            <w:tcW w:w="3221" w:type="dxa"/>
          </w:tcPr>
          <w:p w14:paraId="40E3639E" w14:textId="77777777" w:rsidR="00DB1AEE" w:rsidRPr="00DB1AEE" w:rsidRDefault="00DB1AEE" w:rsidP="00DB1AEE">
            <w:pPr>
              <w:widowControl w:val="0"/>
              <w:autoSpaceDE w:val="0"/>
              <w:autoSpaceDN w:val="0"/>
              <w:spacing w:before="4" w:line="184" w:lineRule="exact"/>
              <w:ind w:left="225" w:right="216"/>
              <w:jc w:val="center"/>
              <w:rPr>
                <w:szCs w:val="24"/>
                <w:u w:val="single"/>
              </w:rPr>
            </w:pPr>
            <w:r w:rsidRPr="00DB1AEE">
              <w:rPr>
                <w:szCs w:val="24"/>
                <w:u w:val="single"/>
              </w:rPr>
              <w:t>Shelf Angle</w:t>
            </w:r>
          </w:p>
        </w:tc>
        <w:tc>
          <w:tcPr>
            <w:tcW w:w="3180" w:type="dxa"/>
          </w:tcPr>
          <w:p w14:paraId="6E71807C" w14:textId="77777777" w:rsidR="00DB1AEE" w:rsidRPr="00DB1AEE" w:rsidRDefault="00DB1AEE" w:rsidP="00DB1AEE">
            <w:pPr>
              <w:widowControl w:val="0"/>
              <w:autoSpaceDE w:val="0"/>
              <w:autoSpaceDN w:val="0"/>
              <w:spacing w:before="4" w:line="184" w:lineRule="exact"/>
              <w:ind w:left="933" w:right="925"/>
              <w:jc w:val="center"/>
              <w:rPr>
                <w:szCs w:val="24"/>
                <w:u w:val="single"/>
              </w:rPr>
            </w:pPr>
            <w:r w:rsidRPr="00DB1AEE">
              <w:rPr>
                <w:szCs w:val="24"/>
                <w:u w:val="single"/>
              </w:rPr>
              <w:t>0.186</w:t>
            </w:r>
          </w:p>
        </w:tc>
        <w:tc>
          <w:tcPr>
            <w:tcW w:w="3175" w:type="dxa"/>
          </w:tcPr>
          <w:p w14:paraId="135AF7F5" w14:textId="77777777" w:rsidR="00DB1AEE" w:rsidRPr="00DB1AEE" w:rsidRDefault="00DB1AEE" w:rsidP="00DB1AEE">
            <w:pPr>
              <w:widowControl w:val="0"/>
              <w:autoSpaceDE w:val="0"/>
              <w:autoSpaceDN w:val="0"/>
              <w:spacing w:before="4" w:line="184" w:lineRule="exact"/>
              <w:ind w:left="1201" w:right="1190"/>
              <w:jc w:val="center"/>
              <w:rPr>
                <w:szCs w:val="24"/>
                <w:u w:val="single"/>
              </w:rPr>
            </w:pPr>
            <w:r w:rsidRPr="00DB1AEE">
              <w:rPr>
                <w:szCs w:val="24"/>
                <w:u w:val="single"/>
              </w:rPr>
              <w:t>0.322</w:t>
            </w:r>
          </w:p>
        </w:tc>
      </w:tr>
    </w:tbl>
    <w:p w14:paraId="743CC0DF" w14:textId="77777777" w:rsidR="00DB1AEE" w:rsidRPr="00DB1AEE" w:rsidRDefault="00DB1AEE" w:rsidP="00DB1AEE">
      <w:pPr>
        <w:widowControl w:val="0"/>
        <w:tabs>
          <w:tab w:val="left" w:pos="975"/>
        </w:tabs>
        <w:suppressAutoHyphens/>
        <w:autoSpaceDE w:val="0"/>
        <w:autoSpaceDN w:val="0"/>
        <w:spacing w:before="19" w:line="242" w:lineRule="auto"/>
        <w:ind w:left="1007" w:right="916" w:hanging="188"/>
        <w:jc w:val="left"/>
        <w:rPr>
          <w:szCs w:val="24"/>
          <w:u w:val="single"/>
        </w:rPr>
      </w:pPr>
      <w:r w:rsidRPr="00DB1AEE">
        <w:rPr>
          <w:szCs w:val="24"/>
          <w:u w:val="single"/>
        </w:rPr>
        <w:t>a.</w:t>
      </w:r>
      <w:r w:rsidRPr="00DB1AEE">
        <w:rPr>
          <w:szCs w:val="24"/>
          <w:u w:val="single"/>
        </w:rPr>
        <w:tab/>
        <w:t>Psi-values are derived from the ASHRAE Research Project 1365 and BC Hydro Building Envelope Thermal Bridging Guide Version 1.2 - September 2018, and are based on poor performing details.</w:t>
      </w:r>
    </w:p>
    <w:p w14:paraId="59C02691" w14:textId="77777777" w:rsidR="00DB1AEE" w:rsidRPr="00DB1AEE" w:rsidRDefault="00DB1AEE" w:rsidP="00DB1AEE">
      <w:pPr>
        <w:widowControl w:val="0"/>
        <w:tabs>
          <w:tab w:val="left" w:pos="975"/>
        </w:tabs>
        <w:suppressAutoHyphens/>
        <w:autoSpaceDE w:val="0"/>
        <w:autoSpaceDN w:val="0"/>
        <w:spacing w:before="43"/>
        <w:ind w:left="974" w:hanging="155"/>
        <w:jc w:val="left"/>
        <w:rPr>
          <w:szCs w:val="24"/>
          <w:u w:val="single"/>
        </w:rPr>
      </w:pPr>
      <w:r w:rsidRPr="00DB1AEE">
        <w:rPr>
          <w:spacing w:val="-1"/>
          <w:w w:val="99"/>
          <w:szCs w:val="24"/>
          <w:u w:val="single"/>
        </w:rPr>
        <w:t>b.</w:t>
      </w:r>
      <w:r w:rsidRPr="00DB1AEE">
        <w:rPr>
          <w:rFonts w:eastAsia="Microsoft Sans Serif"/>
          <w:color w:val="006400"/>
          <w:spacing w:val="-1"/>
          <w:w w:val="99"/>
          <w:szCs w:val="24"/>
          <w:u w:val="single"/>
        </w:rPr>
        <w:tab/>
      </w:r>
      <w:r w:rsidRPr="00DB1AEE">
        <w:rPr>
          <w:szCs w:val="24"/>
          <w:u w:val="single"/>
        </w:rPr>
        <w:t>This</w:t>
      </w:r>
      <w:r w:rsidRPr="00DB1AEE">
        <w:rPr>
          <w:spacing w:val="-2"/>
          <w:szCs w:val="24"/>
          <w:u w:val="single"/>
        </w:rPr>
        <w:t xml:space="preserve"> </w:t>
      </w:r>
      <w:r w:rsidRPr="00DB1AEE">
        <w:rPr>
          <w:szCs w:val="24"/>
          <w:u w:val="single"/>
        </w:rPr>
        <w:t>value</w:t>
      </w:r>
      <w:r w:rsidRPr="00DB1AEE">
        <w:rPr>
          <w:spacing w:val="-3"/>
          <w:szCs w:val="24"/>
          <w:u w:val="single"/>
        </w:rPr>
        <w:t xml:space="preserve"> </w:t>
      </w:r>
      <w:r w:rsidRPr="00DB1AEE">
        <w:rPr>
          <w:szCs w:val="24"/>
          <w:u w:val="single"/>
        </w:rPr>
        <w:t>is</w:t>
      </w:r>
      <w:r w:rsidRPr="00DB1AEE">
        <w:rPr>
          <w:spacing w:val="-1"/>
          <w:szCs w:val="24"/>
          <w:u w:val="single"/>
        </w:rPr>
        <w:t xml:space="preserve"> </w:t>
      </w:r>
      <w:r w:rsidRPr="00DB1AEE">
        <w:rPr>
          <w:szCs w:val="24"/>
          <w:u w:val="single"/>
        </w:rPr>
        <w:t>for an intermediate</w:t>
      </w:r>
      <w:r w:rsidRPr="00DB1AEE">
        <w:rPr>
          <w:spacing w:val="-3"/>
          <w:szCs w:val="24"/>
          <w:u w:val="single"/>
        </w:rPr>
        <w:t xml:space="preserve"> </w:t>
      </w:r>
      <w:r w:rsidRPr="00DB1AEE">
        <w:rPr>
          <w:szCs w:val="24"/>
          <w:u w:val="single"/>
        </w:rPr>
        <w:t>floor.</w:t>
      </w:r>
      <w:r w:rsidRPr="00DB1AEE">
        <w:rPr>
          <w:spacing w:val="34"/>
          <w:szCs w:val="24"/>
          <w:u w:val="single"/>
        </w:rPr>
        <w:t xml:space="preserve"> </w:t>
      </w:r>
      <w:r w:rsidRPr="00DB1AEE">
        <w:rPr>
          <w:szCs w:val="24"/>
          <w:u w:val="single"/>
        </w:rPr>
        <w:t>Ground</w:t>
      </w:r>
      <w:r w:rsidRPr="00DB1AEE">
        <w:rPr>
          <w:spacing w:val="-1"/>
          <w:szCs w:val="24"/>
          <w:u w:val="single"/>
        </w:rPr>
        <w:t xml:space="preserve"> </w:t>
      </w:r>
      <w:r w:rsidRPr="00DB1AEE">
        <w:rPr>
          <w:szCs w:val="24"/>
          <w:u w:val="single"/>
        </w:rPr>
        <w:t>to</w:t>
      </w:r>
      <w:r w:rsidRPr="00DB1AEE">
        <w:rPr>
          <w:spacing w:val="-2"/>
          <w:szCs w:val="24"/>
          <w:u w:val="single"/>
        </w:rPr>
        <w:t xml:space="preserve"> </w:t>
      </w:r>
      <w:r w:rsidRPr="00DB1AEE">
        <w:rPr>
          <w:szCs w:val="24"/>
          <w:u w:val="single"/>
        </w:rPr>
        <w:t>Slab</w:t>
      </w:r>
      <w:r w:rsidRPr="00DB1AEE">
        <w:rPr>
          <w:spacing w:val="-3"/>
          <w:szCs w:val="24"/>
          <w:u w:val="single"/>
        </w:rPr>
        <w:t xml:space="preserve"> </w:t>
      </w:r>
      <w:r w:rsidRPr="00DB1AEE">
        <w:rPr>
          <w:szCs w:val="24"/>
          <w:u w:val="single"/>
        </w:rPr>
        <w:t>thermal</w:t>
      </w:r>
      <w:r w:rsidRPr="00DB1AEE">
        <w:rPr>
          <w:spacing w:val="-2"/>
          <w:szCs w:val="24"/>
          <w:u w:val="single"/>
        </w:rPr>
        <w:t xml:space="preserve"> </w:t>
      </w:r>
      <w:r w:rsidRPr="00DB1AEE">
        <w:rPr>
          <w:szCs w:val="24"/>
          <w:u w:val="single"/>
        </w:rPr>
        <w:t>bridging</w:t>
      </w:r>
      <w:r w:rsidRPr="00DB1AEE">
        <w:rPr>
          <w:spacing w:val="-2"/>
          <w:szCs w:val="24"/>
          <w:u w:val="single"/>
        </w:rPr>
        <w:t xml:space="preserve"> </w:t>
      </w:r>
      <w:r w:rsidRPr="00DB1AEE">
        <w:rPr>
          <w:szCs w:val="24"/>
          <w:u w:val="single"/>
        </w:rPr>
        <w:t>is applicable</w:t>
      </w:r>
      <w:r w:rsidRPr="00DB1AEE">
        <w:rPr>
          <w:spacing w:val="-3"/>
          <w:szCs w:val="24"/>
          <w:u w:val="single"/>
        </w:rPr>
        <w:t xml:space="preserve"> </w:t>
      </w:r>
      <w:r w:rsidRPr="00DB1AEE">
        <w:rPr>
          <w:szCs w:val="24"/>
          <w:u w:val="single"/>
        </w:rPr>
        <w:t>for</w:t>
      </w:r>
      <w:r w:rsidRPr="00DB1AEE">
        <w:rPr>
          <w:spacing w:val="3"/>
          <w:szCs w:val="24"/>
          <w:u w:val="single"/>
        </w:rPr>
        <w:t xml:space="preserve"> </w:t>
      </w:r>
      <w:r w:rsidRPr="00DB1AEE">
        <w:rPr>
          <w:szCs w:val="24"/>
          <w:u w:val="single"/>
        </w:rPr>
        <w:t>all</w:t>
      </w:r>
      <w:r w:rsidRPr="00DB1AEE">
        <w:rPr>
          <w:spacing w:val="-1"/>
          <w:szCs w:val="24"/>
          <w:u w:val="single"/>
        </w:rPr>
        <w:t xml:space="preserve"> </w:t>
      </w:r>
      <w:r w:rsidRPr="00DB1AEE">
        <w:rPr>
          <w:szCs w:val="24"/>
          <w:u w:val="single"/>
        </w:rPr>
        <w:t>buildings.</w:t>
      </w:r>
    </w:p>
    <w:p w14:paraId="3B9476BF" w14:textId="77777777" w:rsidR="00DB1AEE" w:rsidRPr="00DB1AEE" w:rsidRDefault="00DB1AEE" w:rsidP="00DB1AEE">
      <w:pPr>
        <w:widowControl w:val="0"/>
        <w:tabs>
          <w:tab w:val="left" w:pos="967"/>
        </w:tabs>
        <w:suppressAutoHyphens/>
        <w:autoSpaceDE w:val="0"/>
        <w:autoSpaceDN w:val="0"/>
        <w:spacing w:before="40" w:line="244" w:lineRule="auto"/>
        <w:ind w:left="1007" w:right="916" w:hanging="188"/>
        <w:jc w:val="left"/>
        <w:rPr>
          <w:szCs w:val="24"/>
          <w:u w:val="single"/>
        </w:rPr>
      </w:pPr>
      <w:r w:rsidRPr="00DB1AEE">
        <w:rPr>
          <w:spacing w:val="-1"/>
          <w:w w:val="99"/>
          <w:szCs w:val="24"/>
          <w:u w:val="single"/>
        </w:rPr>
        <w:t>c.</w:t>
      </w:r>
      <w:r w:rsidRPr="00DB1AEE">
        <w:rPr>
          <w:rFonts w:eastAsia="Microsoft Sans Serif"/>
          <w:color w:val="006400"/>
          <w:spacing w:val="-1"/>
          <w:w w:val="99"/>
          <w:szCs w:val="24"/>
          <w:u w:val="single"/>
        </w:rPr>
        <w:tab/>
      </w:r>
      <w:r w:rsidRPr="00DB1AEE">
        <w:rPr>
          <w:szCs w:val="24"/>
          <w:u w:val="single"/>
        </w:rPr>
        <w:t>Fenestration Perimeter Transition is the thermal bridge between any fenestration frame and the typical wall, roof or floor assembly it abuts or is</w:t>
      </w:r>
      <w:r w:rsidRPr="00DB1AEE">
        <w:rPr>
          <w:spacing w:val="1"/>
          <w:szCs w:val="24"/>
          <w:u w:val="single"/>
        </w:rPr>
        <w:t xml:space="preserve"> </w:t>
      </w:r>
      <w:r w:rsidRPr="00DB1AEE">
        <w:rPr>
          <w:szCs w:val="24"/>
          <w:u w:val="single"/>
        </w:rPr>
        <w:t>mounted within. For each unique window or door installation type, provide a minimum of one typical-installation detail showing either the head, jamb</w:t>
      </w:r>
      <w:r w:rsidRPr="00DB1AEE">
        <w:rPr>
          <w:spacing w:val="-35"/>
          <w:szCs w:val="24"/>
          <w:u w:val="single"/>
        </w:rPr>
        <w:t xml:space="preserve"> </w:t>
      </w:r>
      <w:r w:rsidRPr="00DB1AEE">
        <w:rPr>
          <w:szCs w:val="24"/>
          <w:u w:val="single"/>
        </w:rPr>
        <w:t>or sill detail of the window or door frame and the abutting wall, roof or floor construction, including all structural and insulation layers, blocking,</w:t>
      </w:r>
      <w:r w:rsidRPr="00DB1AEE">
        <w:rPr>
          <w:spacing w:val="1"/>
          <w:szCs w:val="24"/>
          <w:u w:val="single"/>
        </w:rPr>
        <w:t xml:space="preserve"> </w:t>
      </w:r>
      <w:r w:rsidRPr="00DB1AEE">
        <w:rPr>
          <w:szCs w:val="24"/>
          <w:u w:val="single"/>
        </w:rPr>
        <w:t>flashing,</w:t>
      </w:r>
      <w:r w:rsidRPr="00DB1AEE">
        <w:rPr>
          <w:spacing w:val="2"/>
          <w:szCs w:val="24"/>
          <w:u w:val="single"/>
        </w:rPr>
        <w:t xml:space="preserve"> </w:t>
      </w:r>
      <w:r w:rsidRPr="00DB1AEE">
        <w:rPr>
          <w:szCs w:val="24"/>
          <w:u w:val="single"/>
        </w:rPr>
        <w:t>and cladding.</w:t>
      </w:r>
    </w:p>
    <w:p w14:paraId="499C50B5" w14:textId="77777777" w:rsidR="00DB1AEE" w:rsidRPr="00DB1AEE" w:rsidRDefault="00DB1AEE" w:rsidP="00DB1AEE">
      <w:pPr>
        <w:suppressAutoHyphens/>
        <w:spacing w:before="130" w:after="130"/>
        <w:jc w:val="left"/>
        <w:rPr>
          <w:szCs w:val="24"/>
          <w:u w:val="single"/>
        </w:rPr>
      </w:pPr>
    </w:p>
    <w:p w14:paraId="0CD108FF" w14:textId="77777777" w:rsidR="00DB1AEE" w:rsidRPr="00DB1AEE" w:rsidRDefault="00DB1AEE" w:rsidP="00DB1AEE">
      <w:pPr>
        <w:suppressAutoHyphens/>
        <w:spacing w:before="130" w:after="130"/>
        <w:jc w:val="left"/>
        <w:rPr>
          <w:rFonts w:eastAsia="MS Mincho"/>
          <w:szCs w:val="24"/>
          <w:u w:val="single"/>
        </w:rPr>
      </w:pPr>
    </w:p>
    <w:p w14:paraId="4A52DEED" w14:textId="77777777" w:rsidR="00DB1AEE" w:rsidRPr="00DB1AEE" w:rsidRDefault="00DB1AEE" w:rsidP="00DB1AEE">
      <w:pPr>
        <w:suppressAutoHyphens/>
        <w:spacing w:before="130" w:after="130"/>
        <w:jc w:val="center"/>
        <w:rPr>
          <w:rFonts w:eastAsia="MS Mincho"/>
          <w:b/>
          <w:bCs/>
          <w:szCs w:val="24"/>
          <w:u w:val="single"/>
        </w:rPr>
      </w:pPr>
    </w:p>
    <w:p w14:paraId="683EFE17" w14:textId="77777777" w:rsidR="00DB1AEE" w:rsidRPr="00DB1AEE" w:rsidRDefault="00DB1AEE" w:rsidP="00DB1AEE">
      <w:pPr>
        <w:suppressAutoHyphens/>
        <w:spacing w:before="130" w:after="130"/>
        <w:jc w:val="center"/>
        <w:rPr>
          <w:rFonts w:eastAsia="MS Mincho"/>
          <w:b/>
          <w:bCs/>
          <w:szCs w:val="24"/>
          <w:u w:val="single"/>
        </w:rPr>
      </w:pPr>
      <w:r w:rsidRPr="00DB1AEE">
        <w:rPr>
          <w:rFonts w:eastAsia="MS Mincho"/>
          <w:b/>
          <w:bCs/>
          <w:szCs w:val="24"/>
          <w:u w:val="single"/>
        </w:rPr>
        <w:t>SECTION R403</w:t>
      </w:r>
    </w:p>
    <w:p w14:paraId="53A6A9F2" w14:textId="77777777" w:rsidR="00DB1AEE" w:rsidRPr="00DB1AEE" w:rsidRDefault="00DB1AEE" w:rsidP="00DB1AEE">
      <w:pPr>
        <w:suppressAutoHyphens/>
        <w:spacing w:before="130" w:after="130"/>
        <w:jc w:val="center"/>
        <w:rPr>
          <w:rFonts w:eastAsia="MS Mincho"/>
          <w:b/>
          <w:bCs/>
          <w:szCs w:val="24"/>
          <w:u w:val="single"/>
        </w:rPr>
      </w:pPr>
      <w:r w:rsidRPr="00DB1AEE">
        <w:rPr>
          <w:rFonts w:eastAsia="MS Mincho"/>
          <w:b/>
          <w:bCs/>
          <w:szCs w:val="24"/>
          <w:u w:val="single"/>
        </w:rPr>
        <w:t>SYSTEMS</w:t>
      </w:r>
    </w:p>
    <w:p w14:paraId="3BD290D7"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Section R403.3.3 Ductwork located outside conditioned space.</w:t>
      </w:r>
    </w:p>
    <w:p w14:paraId="180B5F7A" w14:textId="77777777" w:rsidR="00DB1AEE" w:rsidRPr="00DB1AEE" w:rsidRDefault="00DB1AEE" w:rsidP="00DB1AEE">
      <w:pPr>
        <w:widowControl w:val="0"/>
        <w:suppressAutoHyphens/>
        <w:autoSpaceDE w:val="0"/>
        <w:autoSpaceDN w:val="0"/>
        <w:adjustRightInd w:val="0"/>
        <w:spacing w:before="130" w:after="130"/>
        <w:rPr>
          <w:bCs/>
          <w:szCs w:val="24"/>
          <w:u w:val="single"/>
        </w:rPr>
      </w:pPr>
      <w:r w:rsidRPr="00DB1AEE">
        <w:rPr>
          <w:bCs/>
          <w:szCs w:val="24"/>
          <w:u w:val="single"/>
        </w:rPr>
        <w:t>Section R403.3.3 - Revise Section R403.3.3 to read as follows:</w:t>
      </w:r>
    </w:p>
    <w:p w14:paraId="075A76DC" w14:textId="77777777" w:rsidR="00DB1AEE" w:rsidRPr="00DB1AEE" w:rsidRDefault="00DB1AEE" w:rsidP="00DB1AEE">
      <w:pPr>
        <w:widowControl w:val="0"/>
        <w:suppressAutoHyphens/>
        <w:spacing w:before="130" w:after="130"/>
        <w:ind w:left="360"/>
        <w:rPr>
          <w:u w:val="single"/>
        </w:rPr>
      </w:pPr>
      <w:r w:rsidRPr="00DB1AEE">
        <w:rPr>
          <w:b/>
          <w:bCs/>
          <w:u w:val="single"/>
        </w:rPr>
        <w:t xml:space="preserve">R403.3.3 Ductwork located outside conditioned space. </w:t>
      </w:r>
      <w:r w:rsidRPr="00DB1AEE">
        <w:rPr>
          <w:u w:val="single"/>
        </w:rPr>
        <w:t>New ductwork shall not be located outside conditioned space. Existing and return ductwork located outside conditioned space shall be insulated to an R-value of not less than R-8 for ducts 3 inches (76 mm) in diameter and larger and not less than R-6 for ducts smaller than 3 inches (76 mm) in diameter. Ductwork buried beneath a building shall be insulated. as required per this section or have an equivalent thermal distribution efficiency. Underground ductwork utilizing the thermal distribution efficiency method shall be listed and labeled to indicate the R-value equivalency.</w:t>
      </w:r>
    </w:p>
    <w:p w14:paraId="348E777E"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Section R403.3.6 Sealing.</w:t>
      </w:r>
    </w:p>
    <w:p w14:paraId="588ADEA2" w14:textId="77777777" w:rsidR="00DB1AEE" w:rsidRPr="00DB1AEE" w:rsidRDefault="00DB1AEE" w:rsidP="00DB1AEE">
      <w:pPr>
        <w:widowControl w:val="0"/>
        <w:suppressAutoHyphens/>
        <w:autoSpaceDE w:val="0"/>
        <w:autoSpaceDN w:val="0"/>
        <w:adjustRightInd w:val="0"/>
        <w:spacing w:before="130" w:after="130"/>
        <w:rPr>
          <w:bCs/>
          <w:szCs w:val="24"/>
          <w:u w:val="single"/>
        </w:rPr>
      </w:pPr>
      <w:r w:rsidRPr="00DB1AEE">
        <w:rPr>
          <w:bCs/>
          <w:szCs w:val="24"/>
          <w:u w:val="single"/>
        </w:rPr>
        <w:t>Section R403.3.6 - Revise Section R403.3.6 to read as follows:</w:t>
      </w:r>
    </w:p>
    <w:p w14:paraId="628BE017" w14:textId="77777777" w:rsidR="00DB1AEE" w:rsidRPr="00DB1AEE" w:rsidRDefault="00DB1AEE" w:rsidP="00DB1AEE">
      <w:pPr>
        <w:widowControl w:val="0"/>
        <w:suppressAutoHyphens/>
        <w:spacing w:before="130" w:after="130"/>
        <w:ind w:left="360"/>
        <w:rPr>
          <w:u w:val="single"/>
        </w:rPr>
      </w:pPr>
      <w:r w:rsidRPr="00DB1AEE">
        <w:rPr>
          <w:b/>
          <w:bCs/>
          <w:u w:val="single"/>
        </w:rPr>
        <w:t>R403.3.6 Sealing</w:t>
      </w:r>
      <w:r w:rsidRPr="00DB1AEE">
        <w:rPr>
          <w:u w:val="single"/>
        </w:rPr>
        <w:t>.  Ductwork, air-handling units and filter boxes shall be sealed. Joints and seams shall comply with either the New York City Mechanical Code, as applicable.</w:t>
      </w:r>
    </w:p>
    <w:p w14:paraId="2B20BA22"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Section R403.4 Mechanical system piping insulation.</w:t>
      </w:r>
    </w:p>
    <w:p w14:paraId="219173C9" w14:textId="77777777" w:rsidR="00DB1AEE" w:rsidRPr="00DB1AEE" w:rsidRDefault="00DB1AEE" w:rsidP="00DB1AEE">
      <w:pPr>
        <w:widowControl w:val="0"/>
        <w:suppressAutoHyphens/>
        <w:autoSpaceDE w:val="0"/>
        <w:autoSpaceDN w:val="0"/>
        <w:adjustRightInd w:val="0"/>
        <w:spacing w:before="130" w:after="130"/>
        <w:rPr>
          <w:bCs/>
          <w:szCs w:val="24"/>
          <w:u w:val="single"/>
        </w:rPr>
      </w:pPr>
      <w:r w:rsidRPr="00DB1AEE">
        <w:rPr>
          <w:bCs/>
          <w:szCs w:val="24"/>
          <w:u w:val="single"/>
        </w:rPr>
        <w:t>Section R403.4 - Revise Section R403.4 to read as follows:</w:t>
      </w:r>
    </w:p>
    <w:p w14:paraId="641399CB" w14:textId="77777777" w:rsidR="00DB1AEE" w:rsidRPr="00DB1AEE" w:rsidRDefault="00DB1AEE" w:rsidP="00DB1AEE">
      <w:pPr>
        <w:widowControl w:val="0"/>
        <w:suppressAutoHyphens/>
        <w:spacing w:before="130" w:after="130"/>
        <w:ind w:left="360"/>
        <w:rPr>
          <w:u w:val="single"/>
        </w:rPr>
      </w:pPr>
      <w:r w:rsidRPr="00DB1AEE">
        <w:rPr>
          <w:b/>
          <w:bCs/>
          <w:u w:val="single"/>
        </w:rPr>
        <w:t>R403.4 Mechanical system piping insulation.</w:t>
      </w:r>
      <w:r w:rsidRPr="00DB1AEE">
        <w:rPr>
          <w:u w:val="single"/>
        </w:rPr>
        <w:t xml:space="preserve">  Piping serving as part of a heating or cooling system capable of carrying fluids greater than 105°F (41°C) or less than 60°F (15°C) shall be thermally insulated in accordance with Table R403.4. The thickness and conductivity of the insulation must result in an R-value of not less than R-3.</w:t>
      </w:r>
    </w:p>
    <w:p w14:paraId="5EFFEE4A"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Table R403.4 MINIMUM PIPE INSULATION THICKNESS (in inches).</w:t>
      </w:r>
    </w:p>
    <w:p w14:paraId="1B657C27" w14:textId="77777777" w:rsidR="00DB1AEE" w:rsidRPr="00DB1AEE" w:rsidRDefault="00DB1AEE" w:rsidP="00DB1AEE">
      <w:pPr>
        <w:widowControl w:val="0"/>
        <w:suppressAutoHyphens/>
        <w:autoSpaceDE w:val="0"/>
        <w:autoSpaceDN w:val="0"/>
        <w:adjustRightInd w:val="0"/>
        <w:spacing w:before="130" w:after="130"/>
        <w:rPr>
          <w:bCs/>
          <w:szCs w:val="24"/>
          <w:u w:val="single"/>
        </w:rPr>
      </w:pPr>
      <w:r w:rsidRPr="00DB1AEE">
        <w:rPr>
          <w:bCs/>
          <w:szCs w:val="24"/>
          <w:u w:val="single"/>
        </w:rPr>
        <w:t>Table R403.4 – Add Table R403.4.1 and Table R403.2 to read as follows:</w:t>
      </w:r>
    </w:p>
    <w:p w14:paraId="1F58B3E5" w14:textId="77777777" w:rsidR="00DB1AEE" w:rsidRPr="00DB1AEE" w:rsidRDefault="00DB1AEE" w:rsidP="00DB1AEE">
      <w:pPr>
        <w:widowControl w:val="0"/>
        <w:suppressAutoHyphens/>
        <w:spacing w:before="130" w:after="130"/>
        <w:ind w:left="360"/>
        <w:rPr>
          <w:u w:val="single"/>
        </w:rPr>
      </w:pPr>
    </w:p>
    <w:p w14:paraId="28FA15DC" w14:textId="77777777" w:rsidR="00DB1AEE" w:rsidRPr="00DB1AEE" w:rsidRDefault="00DB1AEE" w:rsidP="00DB1AEE">
      <w:pPr>
        <w:keepNext/>
        <w:suppressAutoHyphens/>
        <w:autoSpaceDE w:val="0"/>
        <w:autoSpaceDN w:val="0"/>
        <w:adjustRightInd w:val="0"/>
        <w:spacing w:line="180" w:lineRule="atLeast"/>
        <w:jc w:val="center"/>
        <w:rPr>
          <w:b/>
          <w:bCs/>
          <w:szCs w:val="24"/>
          <w:u w:val="single"/>
        </w:rPr>
      </w:pPr>
      <w:r w:rsidRPr="00DB1AEE">
        <w:rPr>
          <w:b/>
          <w:bCs/>
          <w:szCs w:val="24"/>
          <w:u w:val="single"/>
        </w:rPr>
        <w:t>TABLE R403.4.1</w:t>
      </w:r>
    </w:p>
    <w:p w14:paraId="1D255F35" w14:textId="77777777" w:rsidR="00DB1AEE" w:rsidRPr="00DB1AEE" w:rsidRDefault="00DB1AEE" w:rsidP="00DB1AEE">
      <w:pPr>
        <w:suppressAutoHyphens/>
        <w:autoSpaceDE w:val="0"/>
        <w:autoSpaceDN w:val="0"/>
        <w:adjustRightInd w:val="0"/>
        <w:spacing w:before="80" w:after="20" w:line="180" w:lineRule="atLeast"/>
        <w:jc w:val="center"/>
        <w:rPr>
          <w:b/>
          <w:bCs/>
          <w:szCs w:val="24"/>
          <w:u w:val="single"/>
        </w:rPr>
      </w:pPr>
      <w:r w:rsidRPr="00DB1AEE">
        <w:rPr>
          <w:b/>
          <w:bCs/>
          <w:szCs w:val="24"/>
          <w:u w:val="single"/>
        </w:rPr>
        <w:t>MINIMUM PIPE INSULATION THICKNESS (in inches)</w:t>
      </w:r>
      <w:r w:rsidRPr="00DB1AEE">
        <w:rPr>
          <w:b/>
          <w:bCs/>
          <w:szCs w:val="24"/>
          <w:u w:val="single"/>
          <w:vertAlign w:val="superscript"/>
        </w:rPr>
        <w:t>a, c</w:t>
      </w:r>
    </w:p>
    <w:tbl>
      <w:tblPr>
        <w:tblW w:w="9820" w:type="dxa"/>
        <w:jc w:val="right"/>
        <w:tblLayout w:type="fixed"/>
        <w:tblCellMar>
          <w:top w:w="60" w:type="dxa"/>
          <w:left w:w="40" w:type="dxa"/>
          <w:bottom w:w="40" w:type="dxa"/>
          <w:right w:w="40" w:type="dxa"/>
        </w:tblCellMar>
        <w:tblLook w:val="0000" w:firstRow="0" w:lastRow="0" w:firstColumn="0" w:lastColumn="0" w:noHBand="0" w:noVBand="0"/>
      </w:tblPr>
      <w:tblGrid>
        <w:gridCol w:w="2335"/>
        <w:gridCol w:w="1350"/>
        <w:gridCol w:w="1260"/>
        <w:gridCol w:w="1170"/>
        <w:gridCol w:w="540"/>
        <w:gridCol w:w="900"/>
        <w:gridCol w:w="900"/>
        <w:gridCol w:w="730"/>
        <w:gridCol w:w="635"/>
      </w:tblGrid>
      <w:tr w:rsidR="00DB1AEE" w:rsidRPr="00DB1AEE" w14:paraId="61F17778" w14:textId="77777777" w:rsidTr="00FC1832">
        <w:trPr>
          <w:trHeight w:val="220"/>
          <w:jc w:val="right"/>
        </w:trPr>
        <w:tc>
          <w:tcPr>
            <w:tcW w:w="2335" w:type="dxa"/>
            <w:vMerge w:val="restart"/>
            <w:tcBorders>
              <w:top w:val="single" w:sz="4" w:space="0" w:color="000000"/>
              <w:left w:val="single" w:sz="4" w:space="0" w:color="000000"/>
              <w:bottom w:val="single" w:sz="4" w:space="0" w:color="000000"/>
              <w:right w:val="single" w:sz="4" w:space="0" w:color="000000"/>
            </w:tcBorders>
            <w:tcMar>
              <w:top w:w="60" w:type="dxa"/>
              <w:left w:w="40" w:type="dxa"/>
              <w:bottom w:w="40" w:type="dxa"/>
              <w:right w:w="40" w:type="dxa"/>
            </w:tcMar>
            <w:vAlign w:val="center"/>
          </w:tcPr>
          <w:p w14:paraId="3DC23644" w14:textId="77777777" w:rsidR="00DB1AEE" w:rsidRPr="00DB1AEE" w:rsidRDefault="00DB1AEE" w:rsidP="00DB1AEE">
            <w:pPr>
              <w:suppressAutoHyphens/>
              <w:autoSpaceDE w:val="0"/>
              <w:autoSpaceDN w:val="0"/>
              <w:adjustRightInd w:val="0"/>
              <w:spacing w:line="160" w:lineRule="atLeast"/>
              <w:jc w:val="center"/>
              <w:rPr>
                <w:b/>
                <w:bCs/>
                <w:w w:val="0"/>
                <w:szCs w:val="24"/>
                <w:u w:val="single"/>
              </w:rPr>
            </w:pPr>
            <w:r w:rsidRPr="00DB1AEE">
              <w:rPr>
                <w:b/>
                <w:bCs/>
                <w:szCs w:val="24"/>
                <w:u w:val="single"/>
              </w:rPr>
              <w:t>FLUID OPERATING TEMPERATURE RANGE AND USAGE (°F)</w:t>
            </w:r>
          </w:p>
        </w:tc>
        <w:tc>
          <w:tcPr>
            <w:tcW w:w="2610" w:type="dxa"/>
            <w:gridSpan w:val="2"/>
            <w:tcBorders>
              <w:top w:val="single" w:sz="4" w:space="0" w:color="000000"/>
              <w:left w:val="single" w:sz="4" w:space="0" w:color="000000"/>
              <w:bottom w:val="single" w:sz="4" w:space="0" w:color="000000"/>
              <w:right w:val="single" w:sz="4" w:space="0" w:color="000000"/>
            </w:tcBorders>
            <w:tcMar>
              <w:top w:w="60" w:type="dxa"/>
              <w:left w:w="40" w:type="dxa"/>
              <w:bottom w:w="40" w:type="dxa"/>
              <w:right w:w="40" w:type="dxa"/>
            </w:tcMar>
            <w:vAlign w:val="center"/>
          </w:tcPr>
          <w:p w14:paraId="5EA8A984" w14:textId="77777777" w:rsidR="00DB1AEE" w:rsidRPr="00DB1AEE" w:rsidRDefault="00DB1AEE" w:rsidP="00DB1AEE">
            <w:pPr>
              <w:suppressAutoHyphens/>
              <w:autoSpaceDE w:val="0"/>
              <w:autoSpaceDN w:val="0"/>
              <w:adjustRightInd w:val="0"/>
              <w:spacing w:line="160" w:lineRule="atLeast"/>
              <w:jc w:val="center"/>
              <w:rPr>
                <w:b/>
                <w:bCs/>
                <w:w w:val="0"/>
                <w:szCs w:val="24"/>
                <w:u w:val="single"/>
              </w:rPr>
            </w:pPr>
            <w:r w:rsidRPr="00DB1AEE">
              <w:rPr>
                <w:b/>
                <w:bCs/>
                <w:szCs w:val="24"/>
                <w:u w:val="single"/>
              </w:rPr>
              <w:t>INSULATION CONDUCTIVITY</w:t>
            </w:r>
          </w:p>
        </w:tc>
        <w:tc>
          <w:tcPr>
            <w:tcW w:w="1170" w:type="dxa"/>
            <w:vMerge w:val="restart"/>
            <w:tcBorders>
              <w:top w:val="single" w:sz="4" w:space="0" w:color="000000"/>
              <w:left w:val="single" w:sz="4" w:space="0" w:color="000000"/>
              <w:right w:val="single" w:sz="4" w:space="0" w:color="000000"/>
            </w:tcBorders>
          </w:tcPr>
          <w:p w14:paraId="077C0C7E" w14:textId="77777777" w:rsidR="00DB1AEE" w:rsidRPr="00DB1AEE" w:rsidRDefault="00DB1AEE" w:rsidP="00DB1AEE">
            <w:pPr>
              <w:suppressAutoHyphens/>
              <w:autoSpaceDE w:val="0"/>
              <w:autoSpaceDN w:val="0"/>
              <w:adjustRightInd w:val="0"/>
              <w:spacing w:line="160" w:lineRule="atLeast"/>
              <w:jc w:val="center"/>
              <w:rPr>
                <w:b/>
                <w:bCs/>
                <w:szCs w:val="24"/>
                <w:u w:val="single"/>
              </w:rPr>
            </w:pPr>
            <w:r w:rsidRPr="00DB1AEE">
              <w:rPr>
                <w:b/>
                <w:bCs/>
                <w:szCs w:val="24"/>
                <w:u w:val="single"/>
              </w:rPr>
              <w:t>INCHES</w:t>
            </w:r>
          </w:p>
          <w:p w14:paraId="3CF7E197" w14:textId="77777777" w:rsidR="00DB1AEE" w:rsidRPr="00DB1AEE" w:rsidRDefault="00DB1AEE" w:rsidP="00DB1AEE">
            <w:pPr>
              <w:suppressAutoHyphens/>
              <w:autoSpaceDE w:val="0"/>
              <w:autoSpaceDN w:val="0"/>
              <w:adjustRightInd w:val="0"/>
              <w:spacing w:line="160" w:lineRule="atLeast"/>
              <w:jc w:val="center"/>
              <w:rPr>
                <w:b/>
                <w:bCs/>
                <w:szCs w:val="24"/>
                <w:u w:val="single"/>
              </w:rPr>
            </w:pPr>
            <w:r w:rsidRPr="00DB1AEE">
              <w:rPr>
                <w:b/>
                <w:bCs/>
                <w:szCs w:val="24"/>
                <w:u w:val="single"/>
              </w:rPr>
              <w:t>OR</w:t>
            </w:r>
          </w:p>
          <w:p w14:paraId="0C9630F4" w14:textId="77777777" w:rsidR="00DB1AEE" w:rsidRPr="00DB1AEE" w:rsidRDefault="00DB1AEE" w:rsidP="00DB1AEE">
            <w:pPr>
              <w:suppressAutoHyphens/>
              <w:autoSpaceDE w:val="0"/>
              <w:autoSpaceDN w:val="0"/>
              <w:adjustRightInd w:val="0"/>
              <w:spacing w:line="160" w:lineRule="atLeast"/>
              <w:jc w:val="center"/>
              <w:rPr>
                <w:b/>
                <w:bCs/>
                <w:szCs w:val="24"/>
                <w:u w:val="single"/>
              </w:rPr>
            </w:pPr>
            <w:r w:rsidRPr="00DB1AEE">
              <w:rPr>
                <w:b/>
                <w:bCs/>
                <w:szCs w:val="24"/>
                <w:u w:val="single"/>
              </w:rPr>
              <w:t>R-VALUE</w:t>
            </w:r>
          </w:p>
        </w:tc>
        <w:tc>
          <w:tcPr>
            <w:tcW w:w="3705" w:type="dxa"/>
            <w:gridSpan w:val="5"/>
            <w:tcBorders>
              <w:top w:val="single" w:sz="4" w:space="0" w:color="000000"/>
              <w:left w:val="single" w:sz="4" w:space="0" w:color="000000"/>
              <w:bottom w:val="single" w:sz="4" w:space="0" w:color="000000"/>
              <w:right w:val="single" w:sz="4" w:space="0" w:color="000000"/>
            </w:tcBorders>
            <w:tcMar>
              <w:top w:w="60" w:type="dxa"/>
              <w:left w:w="40" w:type="dxa"/>
              <w:bottom w:w="40" w:type="dxa"/>
              <w:right w:w="40" w:type="dxa"/>
            </w:tcMar>
            <w:vAlign w:val="center"/>
          </w:tcPr>
          <w:p w14:paraId="78E0C4F9" w14:textId="77777777" w:rsidR="00DB1AEE" w:rsidRPr="00DB1AEE" w:rsidRDefault="00DB1AEE" w:rsidP="00DB1AEE">
            <w:pPr>
              <w:suppressAutoHyphens/>
              <w:autoSpaceDE w:val="0"/>
              <w:autoSpaceDN w:val="0"/>
              <w:adjustRightInd w:val="0"/>
              <w:spacing w:line="160" w:lineRule="atLeast"/>
              <w:jc w:val="center"/>
              <w:rPr>
                <w:b/>
                <w:bCs/>
                <w:w w:val="0"/>
                <w:szCs w:val="24"/>
                <w:u w:val="single"/>
              </w:rPr>
            </w:pPr>
            <w:r w:rsidRPr="00DB1AEE">
              <w:rPr>
                <w:b/>
                <w:bCs/>
                <w:szCs w:val="24"/>
                <w:u w:val="single"/>
              </w:rPr>
              <w:t>NOMINAL PIPE OR TUBE SIZE (inches)</w:t>
            </w:r>
          </w:p>
        </w:tc>
      </w:tr>
      <w:tr w:rsidR="00DB1AEE" w:rsidRPr="00DB1AEE" w14:paraId="6D6C856E" w14:textId="77777777" w:rsidTr="00FC1832">
        <w:trPr>
          <w:trHeight w:val="620"/>
          <w:jc w:val="right"/>
        </w:trPr>
        <w:tc>
          <w:tcPr>
            <w:tcW w:w="2335" w:type="dxa"/>
            <w:vMerge/>
            <w:tcBorders>
              <w:top w:val="single" w:sz="4" w:space="0" w:color="000000"/>
              <w:left w:val="single" w:sz="4" w:space="0" w:color="000000"/>
              <w:bottom w:val="single" w:sz="4" w:space="0" w:color="000000"/>
              <w:right w:val="single" w:sz="4" w:space="0" w:color="000000"/>
            </w:tcBorders>
          </w:tcPr>
          <w:p w14:paraId="07812FE8" w14:textId="77777777" w:rsidR="00DB1AEE" w:rsidRPr="00DB1AEE" w:rsidRDefault="00DB1AEE" w:rsidP="00DB1AEE">
            <w:pPr>
              <w:widowControl w:val="0"/>
              <w:autoSpaceDE w:val="0"/>
              <w:autoSpaceDN w:val="0"/>
              <w:adjustRightInd w:val="0"/>
              <w:jc w:val="left"/>
              <w:rPr>
                <w:b/>
                <w:bCs/>
                <w:szCs w:val="24"/>
                <w:u w:val="single"/>
              </w:rPr>
            </w:pPr>
          </w:p>
        </w:tc>
        <w:tc>
          <w:tcPr>
            <w:tcW w:w="135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2178DAF" w14:textId="77777777" w:rsidR="00DB1AEE" w:rsidRPr="00DB1AEE" w:rsidRDefault="00DB1AEE" w:rsidP="00DB1AEE">
            <w:pPr>
              <w:suppressAutoHyphens/>
              <w:autoSpaceDE w:val="0"/>
              <w:autoSpaceDN w:val="0"/>
              <w:adjustRightInd w:val="0"/>
              <w:spacing w:line="160" w:lineRule="atLeast"/>
              <w:jc w:val="center"/>
              <w:rPr>
                <w:b/>
                <w:bCs/>
                <w:w w:val="0"/>
                <w:szCs w:val="24"/>
                <w:u w:val="single"/>
              </w:rPr>
            </w:pPr>
            <w:r w:rsidRPr="00DB1AEE">
              <w:rPr>
                <w:b/>
                <w:bCs/>
                <w:szCs w:val="24"/>
                <w:u w:val="single"/>
              </w:rPr>
              <w:t>Conductivity</w:t>
            </w:r>
            <w:r w:rsidRPr="00DB1AEE">
              <w:rPr>
                <w:b/>
                <w:bCs/>
                <w:szCs w:val="24"/>
                <w:u w:val="single"/>
              </w:rPr>
              <w:br/>
              <w:t>Btu × in./(h × ft</w:t>
            </w:r>
            <w:r w:rsidRPr="00DB1AEE">
              <w:rPr>
                <w:b/>
                <w:bCs/>
                <w:szCs w:val="24"/>
                <w:u w:val="single"/>
                <w:vertAlign w:val="superscript"/>
              </w:rPr>
              <w:t>2</w:t>
            </w:r>
            <w:r w:rsidRPr="00DB1AEE">
              <w:rPr>
                <w:b/>
                <w:bCs/>
                <w:szCs w:val="24"/>
                <w:u w:val="single"/>
              </w:rPr>
              <w:t xml:space="preserve"> × °F)</w:t>
            </w:r>
            <w:r w:rsidRPr="00DB1AEE">
              <w:rPr>
                <w:b/>
                <w:bCs/>
                <w:szCs w:val="24"/>
                <w:u w:val="single"/>
                <w:vertAlign w:val="superscript"/>
              </w:rPr>
              <w:t>b</w:t>
            </w:r>
          </w:p>
        </w:tc>
        <w:tc>
          <w:tcPr>
            <w:tcW w:w="12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CA3211A" w14:textId="77777777" w:rsidR="00DB1AEE" w:rsidRPr="00DB1AEE" w:rsidRDefault="00DB1AEE" w:rsidP="00DB1AEE">
            <w:pPr>
              <w:suppressAutoHyphens/>
              <w:autoSpaceDE w:val="0"/>
              <w:autoSpaceDN w:val="0"/>
              <w:adjustRightInd w:val="0"/>
              <w:spacing w:line="160" w:lineRule="atLeast"/>
              <w:jc w:val="center"/>
              <w:rPr>
                <w:b/>
                <w:bCs/>
                <w:w w:val="0"/>
                <w:szCs w:val="24"/>
                <w:u w:val="single"/>
              </w:rPr>
            </w:pPr>
            <w:r w:rsidRPr="00DB1AEE">
              <w:rPr>
                <w:b/>
                <w:bCs/>
                <w:szCs w:val="24"/>
                <w:u w:val="single"/>
              </w:rPr>
              <w:t>Mean Rating Temperature, °F</w:t>
            </w:r>
          </w:p>
        </w:tc>
        <w:tc>
          <w:tcPr>
            <w:tcW w:w="1170" w:type="dxa"/>
            <w:vMerge/>
            <w:tcBorders>
              <w:left w:val="single" w:sz="4" w:space="0" w:color="000000"/>
              <w:bottom w:val="single" w:sz="4" w:space="0" w:color="auto"/>
              <w:right w:val="single" w:sz="4" w:space="0" w:color="000000"/>
            </w:tcBorders>
          </w:tcPr>
          <w:p w14:paraId="7939DAEE" w14:textId="77777777" w:rsidR="00DB1AEE" w:rsidRPr="00DB1AEE" w:rsidRDefault="00DB1AEE" w:rsidP="00DB1AEE">
            <w:pPr>
              <w:suppressAutoHyphens/>
              <w:autoSpaceDE w:val="0"/>
              <w:autoSpaceDN w:val="0"/>
              <w:adjustRightInd w:val="0"/>
              <w:spacing w:line="160" w:lineRule="atLeast"/>
              <w:jc w:val="center"/>
              <w:rPr>
                <w:b/>
                <w:bCs/>
                <w:szCs w:val="24"/>
                <w:u w:val="single"/>
              </w:rPr>
            </w:pPr>
          </w:p>
        </w:tc>
        <w:tc>
          <w:tcPr>
            <w:tcW w:w="54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B90D04D" w14:textId="77777777" w:rsidR="00DB1AEE" w:rsidRPr="00DB1AEE" w:rsidRDefault="00DB1AEE" w:rsidP="00DB1AEE">
            <w:pPr>
              <w:suppressAutoHyphens/>
              <w:autoSpaceDE w:val="0"/>
              <w:autoSpaceDN w:val="0"/>
              <w:adjustRightInd w:val="0"/>
              <w:spacing w:line="160" w:lineRule="atLeast"/>
              <w:jc w:val="center"/>
              <w:rPr>
                <w:b/>
                <w:bCs/>
                <w:w w:val="0"/>
                <w:szCs w:val="24"/>
                <w:u w:val="single"/>
              </w:rPr>
            </w:pPr>
            <w:r w:rsidRPr="00DB1AEE">
              <w:rPr>
                <w:b/>
                <w:bCs/>
                <w:szCs w:val="24"/>
                <w:u w:val="single"/>
              </w:rPr>
              <w:t>&lt; 1</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D93ECEB" w14:textId="77777777" w:rsidR="00DB1AEE" w:rsidRPr="00DB1AEE" w:rsidRDefault="00DB1AEE" w:rsidP="00DB1AEE">
            <w:pPr>
              <w:suppressAutoHyphens/>
              <w:autoSpaceDE w:val="0"/>
              <w:autoSpaceDN w:val="0"/>
              <w:adjustRightInd w:val="0"/>
              <w:spacing w:line="160" w:lineRule="atLeast"/>
              <w:jc w:val="center"/>
              <w:rPr>
                <w:b/>
                <w:bCs/>
                <w:w w:val="0"/>
                <w:szCs w:val="24"/>
                <w:u w:val="single"/>
              </w:rPr>
            </w:pPr>
            <w:r w:rsidRPr="00DB1AEE">
              <w:rPr>
                <w:b/>
                <w:bCs/>
                <w:szCs w:val="24"/>
                <w:u w:val="single"/>
              </w:rPr>
              <w:t>1 to &lt; 1</w:t>
            </w:r>
            <w:r w:rsidRPr="00DB1AEE">
              <w:rPr>
                <w:b/>
                <w:bCs/>
                <w:szCs w:val="24"/>
                <w:u w:val="single"/>
                <w:vertAlign w:val="superscript"/>
              </w:rPr>
              <w:t>1</w:t>
            </w:r>
            <w:r w:rsidRPr="00DB1AEE">
              <w:rPr>
                <w:b/>
                <w:bCs/>
                <w:szCs w:val="24"/>
                <w:u w:val="single"/>
              </w:rPr>
              <w:t>/</w:t>
            </w:r>
            <w:r w:rsidRPr="00DB1AEE">
              <w:rPr>
                <w:b/>
                <w:bCs/>
                <w:szCs w:val="24"/>
                <w:u w:val="single"/>
                <w:vertAlign w:val="subscript"/>
              </w:rPr>
              <w:t>2</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EF4D021" w14:textId="77777777" w:rsidR="00DB1AEE" w:rsidRPr="00DB1AEE" w:rsidRDefault="00DB1AEE" w:rsidP="00DB1AEE">
            <w:pPr>
              <w:suppressAutoHyphens/>
              <w:autoSpaceDE w:val="0"/>
              <w:autoSpaceDN w:val="0"/>
              <w:adjustRightInd w:val="0"/>
              <w:spacing w:line="160" w:lineRule="atLeast"/>
              <w:jc w:val="center"/>
              <w:rPr>
                <w:b/>
                <w:bCs/>
                <w:w w:val="0"/>
                <w:szCs w:val="24"/>
                <w:u w:val="single"/>
              </w:rPr>
            </w:pPr>
            <w:r w:rsidRPr="00DB1AEE">
              <w:rPr>
                <w:b/>
                <w:bCs/>
                <w:szCs w:val="24"/>
                <w:u w:val="single"/>
              </w:rPr>
              <w:t>1</w:t>
            </w:r>
            <w:r w:rsidRPr="00DB1AEE">
              <w:rPr>
                <w:b/>
                <w:bCs/>
                <w:szCs w:val="24"/>
                <w:u w:val="single"/>
                <w:vertAlign w:val="superscript"/>
              </w:rPr>
              <w:t>1</w:t>
            </w:r>
            <w:r w:rsidRPr="00DB1AEE">
              <w:rPr>
                <w:b/>
                <w:bCs/>
                <w:szCs w:val="24"/>
                <w:u w:val="single"/>
              </w:rPr>
              <w:t>/</w:t>
            </w:r>
            <w:r w:rsidRPr="00DB1AEE">
              <w:rPr>
                <w:b/>
                <w:bCs/>
                <w:szCs w:val="24"/>
                <w:u w:val="single"/>
                <w:vertAlign w:val="subscript"/>
              </w:rPr>
              <w:t>2</w:t>
            </w:r>
            <w:r w:rsidRPr="00DB1AEE">
              <w:rPr>
                <w:b/>
                <w:bCs/>
                <w:szCs w:val="24"/>
                <w:u w:val="single"/>
              </w:rPr>
              <w:t xml:space="preserve"> to &lt; 4</w:t>
            </w:r>
          </w:p>
        </w:tc>
        <w:tc>
          <w:tcPr>
            <w:tcW w:w="73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0E17D3F" w14:textId="77777777" w:rsidR="00DB1AEE" w:rsidRPr="00DB1AEE" w:rsidRDefault="00DB1AEE" w:rsidP="00DB1AEE">
            <w:pPr>
              <w:suppressAutoHyphens/>
              <w:autoSpaceDE w:val="0"/>
              <w:autoSpaceDN w:val="0"/>
              <w:adjustRightInd w:val="0"/>
              <w:spacing w:line="160" w:lineRule="atLeast"/>
              <w:jc w:val="center"/>
              <w:rPr>
                <w:b/>
                <w:bCs/>
                <w:w w:val="0"/>
                <w:szCs w:val="24"/>
                <w:u w:val="single"/>
              </w:rPr>
            </w:pPr>
            <w:r w:rsidRPr="00DB1AEE">
              <w:rPr>
                <w:b/>
                <w:bCs/>
                <w:szCs w:val="24"/>
                <w:u w:val="single"/>
              </w:rPr>
              <w:t>4 to &lt; 8</w:t>
            </w:r>
          </w:p>
        </w:tc>
        <w:tc>
          <w:tcPr>
            <w:tcW w:w="63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58EAC16" w14:textId="77777777" w:rsidR="00DB1AEE" w:rsidRPr="00DB1AEE" w:rsidRDefault="00DB1AEE" w:rsidP="00DB1AEE">
            <w:pPr>
              <w:suppressAutoHyphens/>
              <w:autoSpaceDE w:val="0"/>
              <w:autoSpaceDN w:val="0"/>
              <w:adjustRightInd w:val="0"/>
              <w:spacing w:line="160" w:lineRule="atLeast"/>
              <w:jc w:val="center"/>
              <w:rPr>
                <w:b/>
                <w:bCs/>
                <w:w w:val="0"/>
                <w:szCs w:val="24"/>
                <w:u w:val="single"/>
              </w:rPr>
            </w:pPr>
            <w:r w:rsidRPr="00DB1AEE">
              <w:rPr>
                <w:b/>
                <w:bCs/>
                <w:szCs w:val="24"/>
                <w:u w:val="single"/>
              </w:rPr>
              <w:t>&gt; 8</w:t>
            </w:r>
          </w:p>
        </w:tc>
      </w:tr>
      <w:tr w:rsidR="00DB1AEE" w:rsidRPr="00DB1AEE" w14:paraId="0FAEA799" w14:textId="77777777" w:rsidTr="00FC1832">
        <w:trPr>
          <w:trHeight w:val="280"/>
          <w:jc w:val="right"/>
        </w:trPr>
        <w:tc>
          <w:tcPr>
            <w:tcW w:w="2335"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7747CB10"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&gt; 350</w:t>
            </w:r>
          </w:p>
        </w:tc>
        <w:tc>
          <w:tcPr>
            <w:tcW w:w="1350"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184619A1"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0.32–0.34</w:t>
            </w:r>
          </w:p>
        </w:tc>
        <w:tc>
          <w:tcPr>
            <w:tcW w:w="1260" w:type="dxa"/>
            <w:vMerge w:val="restart"/>
            <w:tcBorders>
              <w:top w:val="nil"/>
              <w:left w:val="single" w:sz="4" w:space="0" w:color="000000"/>
              <w:right w:val="single" w:sz="4" w:space="0" w:color="auto"/>
            </w:tcBorders>
            <w:tcMar>
              <w:top w:w="60" w:type="dxa"/>
              <w:left w:w="40" w:type="dxa"/>
              <w:bottom w:w="40" w:type="dxa"/>
              <w:right w:w="40" w:type="dxa"/>
            </w:tcMar>
            <w:vAlign w:val="center"/>
          </w:tcPr>
          <w:p w14:paraId="5451EFDB"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250</w:t>
            </w:r>
          </w:p>
        </w:tc>
        <w:tc>
          <w:tcPr>
            <w:tcW w:w="1170" w:type="dxa"/>
            <w:tcBorders>
              <w:top w:val="single" w:sz="4" w:space="0" w:color="auto"/>
              <w:left w:val="single" w:sz="4" w:space="0" w:color="auto"/>
              <w:bottom w:val="single" w:sz="4" w:space="0" w:color="auto"/>
              <w:right w:val="single" w:sz="4" w:space="0" w:color="auto"/>
            </w:tcBorders>
          </w:tcPr>
          <w:p w14:paraId="666B9181" w14:textId="77777777" w:rsidR="00DB1AEE" w:rsidRPr="00DB1AEE" w:rsidRDefault="00DB1AEE" w:rsidP="00DB1AEE">
            <w:pPr>
              <w:autoSpaceDE w:val="0"/>
              <w:autoSpaceDN w:val="0"/>
              <w:adjustRightInd w:val="0"/>
              <w:spacing w:before="20" w:after="20" w:line="200" w:lineRule="atLeast"/>
              <w:jc w:val="center"/>
              <w:rPr>
                <w:szCs w:val="24"/>
                <w:u w:val="single"/>
              </w:rPr>
            </w:pPr>
            <w:r w:rsidRPr="00DB1AEE">
              <w:rPr>
                <w:szCs w:val="24"/>
                <w:u w:val="single"/>
              </w:rPr>
              <w:t>Inches</w:t>
            </w:r>
          </w:p>
        </w:tc>
        <w:tc>
          <w:tcPr>
            <w:tcW w:w="540" w:type="dxa"/>
            <w:tcBorders>
              <w:top w:val="nil"/>
              <w:left w:val="single" w:sz="4" w:space="0" w:color="auto"/>
              <w:bottom w:val="single" w:sz="4" w:space="0" w:color="000000"/>
              <w:right w:val="single" w:sz="4" w:space="0" w:color="000000"/>
            </w:tcBorders>
            <w:tcMar>
              <w:top w:w="60" w:type="dxa"/>
              <w:left w:w="40" w:type="dxa"/>
              <w:bottom w:w="40" w:type="dxa"/>
              <w:right w:w="40" w:type="dxa"/>
            </w:tcMar>
            <w:vAlign w:val="center"/>
          </w:tcPr>
          <w:p w14:paraId="47B9DFC0"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4.5</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0C99314"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5.0</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01C474D"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5.0</w:t>
            </w:r>
          </w:p>
        </w:tc>
        <w:tc>
          <w:tcPr>
            <w:tcW w:w="73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7E81111"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5.0</w:t>
            </w:r>
          </w:p>
        </w:tc>
        <w:tc>
          <w:tcPr>
            <w:tcW w:w="63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CE38695"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5.0</w:t>
            </w:r>
          </w:p>
        </w:tc>
      </w:tr>
      <w:tr w:rsidR="00DB1AEE" w:rsidRPr="00DB1AEE" w14:paraId="2033E444" w14:textId="77777777" w:rsidTr="00FC1832">
        <w:trPr>
          <w:trHeight w:val="280"/>
          <w:jc w:val="right"/>
        </w:trPr>
        <w:tc>
          <w:tcPr>
            <w:tcW w:w="2335"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3A60452A" w14:textId="77777777" w:rsidR="00DB1AEE" w:rsidRPr="00DB1AEE" w:rsidRDefault="00DB1AEE" w:rsidP="00DB1AEE">
            <w:pPr>
              <w:autoSpaceDE w:val="0"/>
              <w:autoSpaceDN w:val="0"/>
              <w:adjustRightInd w:val="0"/>
              <w:spacing w:before="20" w:after="20" w:line="200" w:lineRule="atLeast"/>
              <w:jc w:val="center"/>
              <w:rPr>
                <w:szCs w:val="24"/>
                <w:u w:val="single"/>
              </w:rPr>
            </w:pPr>
          </w:p>
        </w:tc>
        <w:tc>
          <w:tcPr>
            <w:tcW w:w="1350"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1A4A3906" w14:textId="77777777" w:rsidR="00DB1AEE" w:rsidRPr="00DB1AEE" w:rsidRDefault="00DB1AEE" w:rsidP="00DB1AEE">
            <w:pPr>
              <w:autoSpaceDE w:val="0"/>
              <w:autoSpaceDN w:val="0"/>
              <w:adjustRightInd w:val="0"/>
              <w:spacing w:before="20" w:after="20" w:line="200" w:lineRule="atLeast"/>
              <w:jc w:val="center"/>
              <w:rPr>
                <w:szCs w:val="24"/>
                <w:u w:val="single"/>
              </w:rPr>
            </w:pPr>
          </w:p>
        </w:tc>
        <w:tc>
          <w:tcPr>
            <w:tcW w:w="1260" w:type="dxa"/>
            <w:vMerge/>
            <w:tcBorders>
              <w:left w:val="single" w:sz="4" w:space="0" w:color="000000"/>
              <w:bottom w:val="single" w:sz="4" w:space="0" w:color="000000"/>
              <w:right w:val="single" w:sz="4" w:space="0" w:color="auto"/>
            </w:tcBorders>
            <w:tcMar>
              <w:top w:w="60" w:type="dxa"/>
              <w:left w:w="40" w:type="dxa"/>
              <w:bottom w:w="40" w:type="dxa"/>
              <w:right w:w="40" w:type="dxa"/>
            </w:tcMar>
            <w:vAlign w:val="center"/>
          </w:tcPr>
          <w:p w14:paraId="2C7A49B6" w14:textId="77777777" w:rsidR="00DB1AEE" w:rsidRPr="00DB1AEE" w:rsidRDefault="00DB1AEE" w:rsidP="00DB1AEE">
            <w:pPr>
              <w:autoSpaceDE w:val="0"/>
              <w:autoSpaceDN w:val="0"/>
              <w:adjustRightInd w:val="0"/>
              <w:spacing w:before="20" w:after="20" w:line="200" w:lineRule="atLeast"/>
              <w:jc w:val="center"/>
              <w:rPr>
                <w:szCs w:val="24"/>
                <w:u w:val="single"/>
              </w:rPr>
            </w:pPr>
          </w:p>
        </w:tc>
        <w:tc>
          <w:tcPr>
            <w:tcW w:w="1170" w:type="dxa"/>
            <w:tcBorders>
              <w:top w:val="single" w:sz="4" w:space="0" w:color="auto"/>
              <w:left w:val="single" w:sz="4" w:space="0" w:color="auto"/>
              <w:bottom w:val="single" w:sz="4" w:space="0" w:color="auto"/>
              <w:right w:val="single" w:sz="4" w:space="0" w:color="auto"/>
            </w:tcBorders>
          </w:tcPr>
          <w:p w14:paraId="6A6A9D3D" w14:textId="77777777" w:rsidR="00DB1AEE" w:rsidRPr="00DB1AEE" w:rsidRDefault="00DB1AEE" w:rsidP="00DB1AEE">
            <w:pPr>
              <w:autoSpaceDE w:val="0"/>
              <w:autoSpaceDN w:val="0"/>
              <w:adjustRightInd w:val="0"/>
              <w:spacing w:before="20" w:after="20" w:line="200" w:lineRule="atLeast"/>
              <w:jc w:val="center"/>
              <w:rPr>
                <w:szCs w:val="24"/>
                <w:u w:val="single"/>
              </w:rPr>
            </w:pPr>
            <w:r w:rsidRPr="00DB1AEE">
              <w:rPr>
                <w:szCs w:val="24"/>
                <w:u w:val="single"/>
              </w:rPr>
              <w:t>R-value</w:t>
            </w:r>
          </w:p>
        </w:tc>
        <w:tc>
          <w:tcPr>
            <w:tcW w:w="540" w:type="dxa"/>
            <w:tcBorders>
              <w:top w:val="nil"/>
              <w:left w:val="single" w:sz="4" w:space="0" w:color="auto"/>
              <w:bottom w:val="single" w:sz="4" w:space="0" w:color="000000"/>
              <w:right w:val="single" w:sz="4" w:space="0" w:color="000000"/>
            </w:tcBorders>
            <w:tcMar>
              <w:top w:w="60" w:type="dxa"/>
              <w:left w:w="40" w:type="dxa"/>
              <w:bottom w:w="40" w:type="dxa"/>
              <w:right w:w="40" w:type="dxa"/>
            </w:tcMar>
            <w:vAlign w:val="center"/>
          </w:tcPr>
          <w:p w14:paraId="171F0A00" w14:textId="77777777" w:rsidR="00DB1AEE" w:rsidRPr="00DB1AEE" w:rsidRDefault="00DB1AEE" w:rsidP="00DB1AEE">
            <w:pPr>
              <w:autoSpaceDE w:val="0"/>
              <w:autoSpaceDN w:val="0"/>
              <w:adjustRightInd w:val="0"/>
              <w:spacing w:before="20" w:after="20" w:line="200" w:lineRule="atLeast"/>
              <w:jc w:val="center"/>
              <w:rPr>
                <w:szCs w:val="24"/>
                <w:u w:val="single"/>
              </w:rPr>
            </w:pPr>
            <w:r w:rsidRPr="00DB1AEE">
              <w:rPr>
                <w:szCs w:val="24"/>
                <w:u w:val="single"/>
              </w:rPr>
              <w:t>R-32</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CCF5780" w14:textId="77777777" w:rsidR="00DB1AEE" w:rsidRPr="00DB1AEE" w:rsidRDefault="00DB1AEE" w:rsidP="00DB1AEE">
            <w:pPr>
              <w:autoSpaceDE w:val="0"/>
              <w:autoSpaceDN w:val="0"/>
              <w:adjustRightInd w:val="0"/>
              <w:spacing w:before="20" w:after="20" w:line="200" w:lineRule="atLeast"/>
              <w:jc w:val="center"/>
              <w:rPr>
                <w:szCs w:val="24"/>
                <w:u w:val="single"/>
              </w:rPr>
            </w:pPr>
            <w:r w:rsidRPr="00DB1AEE">
              <w:rPr>
                <w:szCs w:val="24"/>
                <w:u w:val="single"/>
              </w:rPr>
              <w:t>R-36</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95C9780" w14:textId="77777777" w:rsidR="00DB1AEE" w:rsidRPr="00DB1AEE" w:rsidRDefault="00DB1AEE" w:rsidP="00DB1AEE">
            <w:pPr>
              <w:autoSpaceDE w:val="0"/>
              <w:autoSpaceDN w:val="0"/>
              <w:adjustRightInd w:val="0"/>
              <w:spacing w:before="20" w:after="20" w:line="200" w:lineRule="atLeast"/>
              <w:jc w:val="center"/>
              <w:rPr>
                <w:szCs w:val="24"/>
                <w:u w:val="single"/>
              </w:rPr>
            </w:pPr>
            <w:r w:rsidRPr="00DB1AEE">
              <w:rPr>
                <w:szCs w:val="24"/>
                <w:u w:val="single"/>
              </w:rPr>
              <w:t>R-34</w:t>
            </w:r>
          </w:p>
        </w:tc>
        <w:tc>
          <w:tcPr>
            <w:tcW w:w="73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02CE6B6" w14:textId="77777777" w:rsidR="00DB1AEE" w:rsidRPr="00DB1AEE" w:rsidRDefault="00DB1AEE" w:rsidP="00DB1AEE">
            <w:pPr>
              <w:autoSpaceDE w:val="0"/>
              <w:autoSpaceDN w:val="0"/>
              <w:adjustRightInd w:val="0"/>
              <w:spacing w:before="20" w:after="20" w:line="200" w:lineRule="atLeast"/>
              <w:jc w:val="center"/>
              <w:rPr>
                <w:szCs w:val="24"/>
                <w:u w:val="single"/>
              </w:rPr>
            </w:pPr>
            <w:r w:rsidRPr="00DB1AEE">
              <w:rPr>
                <w:szCs w:val="24"/>
                <w:u w:val="single"/>
              </w:rPr>
              <w:t>R-26</w:t>
            </w:r>
          </w:p>
        </w:tc>
        <w:tc>
          <w:tcPr>
            <w:tcW w:w="63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59BAC75" w14:textId="77777777" w:rsidR="00DB1AEE" w:rsidRPr="00DB1AEE" w:rsidRDefault="00DB1AEE" w:rsidP="00DB1AEE">
            <w:pPr>
              <w:autoSpaceDE w:val="0"/>
              <w:autoSpaceDN w:val="0"/>
              <w:adjustRightInd w:val="0"/>
              <w:spacing w:before="20" w:after="20" w:line="200" w:lineRule="atLeast"/>
              <w:jc w:val="center"/>
              <w:rPr>
                <w:szCs w:val="24"/>
                <w:u w:val="single"/>
              </w:rPr>
            </w:pPr>
            <w:r w:rsidRPr="00DB1AEE">
              <w:rPr>
                <w:szCs w:val="24"/>
                <w:u w:val="single"/>
              </w:rPr>
              <w:t>R-21</w:t>
            </w:r>
          </w:p>
        </w:tc>
      </w:tr>
      <w:tr w:rsidR="00DB1AEE" w:rsidRPr="00DB1AEE" w14:paraId="2268FABA" w14:textId="77777777" w:rsidTr="00FC1832">
        <w:trPr>
          <w:trHeight w:val="280"/>
          <w:jc w:val="right"/>
        </w:trPr>
        <w:tc>
          <w:tcPr>
            <w:tcW w:w="2335"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01C8BD6E"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251–350</w:t>
            </w:r>
          </w:p>
        </w:tc>
        <w:tc>
          <w:tcPr>
            <w:tcW w:w="1350"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0D17C555"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0.29–0.32</w:t>
            </w:r>
          </w:p>
        </w:tc>
        <w:tc>
          <w:tcPr>
            <w:tcW w:w="1260"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63FA1357"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200</w:t>
            </w:r>
          </w:p>
        </w:tc>
        <w:tc>
          <w:tcPr>
            <w:tcW w:w="1170" w:type="dxa"/>
            <w:tcBorders>
              <w:top w:val="single" w:sz="4" w:space="0" w:color="auto"/>
              <w:left w:val="single" w:sz="4" w:space="0" w:color="000000"/>
              <w:bottom w:val="single" w:sz="4" w:space="0" w:color="000000"/>
              <w:right w:val="single" w:sz="4" w:space="0" w:color="000000"/>
            </w:tcBorders>
          </w:tcPr>
          <w:p w14:paraId="0BC4C9B0" w14:textId="77777777" w:rsidR="00DB1AEE" w:rsidRPr="00DB1AEE" w:rsidRDefault="00DB1AEE" w:rsidP="00DB1AEE">
            <w:pPr>
              <w:autoSpaceDE w:val="0"/>
              <w:autoSpaceDN w:val="0"/>
              <w:adjustRightInd w:val="0"/>
              <w:spacing w:before="20" w:after="20" w:line="200" w:lineRule="atLeast"/>
              <w:jc w:val="center"/>
              <w:rPr>
                <w:szCs w:val="24"/>
                <w:u w:val="single"/>
              </w:rPr>
            </w:pPr>
            <w:r w:rsidRPr="00DB1AEE">
              <w:rPr>
                <w:szCs w:val="24"/>
                <w:u w:val="single"/>
              </w:rPr>
              <w:t>Inches</w:t>
            </w:r>
          </w:p>
        </w:tc>
        <w:tc>
          <w:tcPr>
            <w:tcW w:w="54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77A2E5F"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3.0</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551A64A"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4.0</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8652C10"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4.5</w:t>
            </w:r>
          </w:p>
        </w:tc>
        <w:tc>
          <w:tcPr>
            <w:tcW w:w="73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C585116"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4.5</w:t>
            </w:r>
          </w:p>
        </w:tc>
        <w:tc>
          <w:tcPr>
            <w:tcW w:w="63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32B625B"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4.5</w:t>
            </w:r>
          </w:p>
        </w:tc>
      </w:tr>
      <w:tr w:rsidR="00DB1AEE" w:rsidRPr="00DB1AEE" w14:paraId="720589C4" w14:textId="77777777" w:rsidTr="00FC1832">
        <w:trPr>
          <w:trHeight w:val="280"/>
          <w:jc w:val="right"/>
        </w:trPr>
        <w:tc>
          <w:tcPr>
            <w:tcW w:w="2335"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306777DB" w14:textId="77777777" w:rsidR="00DB1AEE" w:rsidRPr="00DB1AEE" w:rsidRDefault="00DB1AEE" w:rsidP="00DB1AEE">
            <w:pPr>
              <w:autoSpaceDE w:val="0"/>
              <w:autoSpaceDN w:val="0"/>
              <w:adjustRightInd w:val="0"/>
              <w:spacing w:before="20" w:after="20" w:line="200" w:lineRule="atLeast"/>
              <w:jc w:val="center"/>
              <w:rPr>
                <w:szCs w:val="24"/>
                <w:u w:val="single"/>
              </w:rPr>
            </w:pPr>
          </w:p>
        </w:tc>
        <w:tc>
          <w:tcPr>
            <w:tcW w:w="1350"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0C6DCE93" w14:textId="77777777" w:rsidR="00DB1AEE" w:rsidRPr="00DB1AEE" w:rsidRDefault="00DB1AEE" w:rsidP="00DB1AEE">
            <w:pPr>
              <w:autoSpaceDE w:val="0"/>
              <w:autoSpaceDN w:val="0"/>
              <w:adjustRightInd w:val="0"/>
              <w:spacing w:before="20" w:after="20" w:line="200" w:lineRule="atLeast"/>
              <w:jc w:val="center"/>
              <w:rPr>
                <w:szCs w:val="24"/>
                <w:u w:val="single"/>
              </w:rPr>
            </w:pPr>
          </w:p>
        </w:tc>
        <w:tc>
          <w:tcPr>
            <w:tcW w:w="1260"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6B9A91DA" w14:textId="77777777" w:rsidR="00DB1AEE" w:rsidRPr="00DB1AEE" w:rsidRDefault="00DB1AEE" w:rsidP="00DB1AEE">
            <w:pPr>
              <w:autoSpaceDE w:val="0"/>
              <w:autoSpaceDN w:val="0"/>
              <w:adjustRightInd w:val="0"/>
              <w:spacing w:before="20" w:after="20" w:line="200" w:lineRule="atLeast"/>
              <w:jc w:val="center"/>
              <w:rPr>
                <w:szCs w:val="24"/>
                <w:u w:val="single"/>
              </w:rPr>
            </w:pPr>
          </w:p>
        </w:tc>
        <w:tc>
          <w:tcPr>
            <w:tcW w:w="1170" w:type="dxa"/>
            <w:tcBorders>
              <w:top w:val="single" w:sz="4" w:space="0" w:color="auto"/>
              <w:left w:val="single" w:sz="4" w:space="0" w:color="000000"/>
              <w:bottom w:val="single" w:sz="4" w:space="0" w:color="000000"/>
              <w:right w:val="single" w:sz="4" w:space="0" w:color="000000"/>
            </w:tcBorders>
          </w:tcPr>
          <w:p w14:paraId="23DA37BB" w14:textId="77777777" w:rsidR="00DB1AEE" w:rsidRPr="00DB1AEE" w:rsidRDefault="00DB1AEE" w:rsidP="00DB1AEE">
            <w:pPr>
              <w:autoSpaceDE w:val="0"/>
              <w:autoSpaceDN w:val="0"/>
              <w:adjustRightInd w:val="0"/>
              <w:spacing w:before="20" w:after="20" w:line="200" w:lineRule="atLeast"/>
              <w:jc w:val="center"/>
              <w:rPr>
                <w:szCs w:val="24"/>
                <w:u w:val="single"/>
              </w:rPr>
            </w:pPr>
            <w:r w:rsidRPr="00DB1AEE">
              <w:rPr>
                <w:szCs w:val="24"/>
                <w:u w:val="single"/>
              </w:rPr>
              <w:t>R-value</w:t>
            </w:r>
          </w:p>
        </w:tc>
        <w:tc>
          <w:tcPr>
            <w:tcW w:w="54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598CB31" w14:textId="77777777" w:rsidR="00DB1AEE" w:rsidRPr="00DB1AEE" w:rsidRDefault="00DB1AEE" w:rsidP="00DB1AEE">
            <w:pPr>
              <w:autoSpaceDE w:val="0"/>
              <w:autoSpaceDN w:val="0"/>
              <w:adjustRightInd w:val="0"/>
              <w:spacing w:before="20" w:after="20" w:line="200" w:lineRule="atLeast"/>
              <w:jc w:val="center"/>
              <w:rPr>
                <w:szCs w:val="24"/>
                <w:u w:val="single"/>
              </w:rPr>
            </w:pPr>
            <w:r w:rsidRPr="00DB1AEE">
              <w:rPr>
                <w:szCs w:val="24"/>
                <w:u w:val="single"/>
              </w:rPr>
              <w:t>R-20</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1B7CA80" w14:textId="77777777" w:rsidR="00DB1AEE" w:rsidRPr="00DB1AEE" w:rsidRDefault="00DB1AEE" w:rsidP="00DB1AEE">
            <w:pPr>
              <w:autoSpaceDE w:val="0"/>
              <w:autoSpaceDN w:val="0"/>
              <w:adjustRightInd w:val="0"/>
              <w:spacing w:before="20" w:after="20" w:line="200" w:lineRule="atLeast"/>
              <w:jc w:val="center"/>
              <w:rPr>
                <w:szCs w:val="24"/>
                <w:u w:val="single"/>
              </w:rPr>
            </w:pPr>
            <w:r w:rsidRPr="00DB1AEE">
              <w:rPr>
                <w:szCs w:val="24"/>
                <w:u w:val="single"/>
              </w:rPr>
              <w:t>R-29</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2E07714" w14:textId="77777777" w:rsidR="00DB1AEE" w:rsidRPr="00DB1AEE" w:rsidRDefault="00DB1AEE" w:rsidP="00DB1AEE">
            <w:pPr>
              <w:autoSpaceDE w:val="0"/>
              <w:autoSpaceDN w:val="0"/>
              <w:adjustRightInd w:val="0"/>
              <w:spacing w:before="20" w:after="20" w:line="200" w:lineRule="atLeast"/>
              <w:jc w:val="center"/>
              <w:rPr>
                <w:szCs w:val="24"/>
                <w:u w:val="single"/>
              </w:rPr>
            </w:pPr>
            <w:r w:rsidRPr="00DB1AEE">
              <w:rPr>
                <w:szCs w:val="24"/>
                <w:u w:val="single"/>
              </w:rPr>
              <w:t>R-32</w:t>
            </w:r>
          </w:p>
        </w:tc>
        <w:tc>
          <w:tcPr>
            <w:tcW w:w="73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845074B" w14:textId="77777777" w:rsidR="00DB1AEE" w:rsidRPr="00DB1AEE" w:rsidRDefault="00DB1AEE" w:rsidP="00DB1AEE">
            <w:pPr>
              <w:autoSpaceDE w:val="0"/>
              <w:autoSpaceDN w:val="0"/>
              <w:adjustRightInd w:val="0"/>
              <w:spacing w:before="20" w:after="20" w:line="200" w:lineRule="atLeast"/>
              <w:jc w:val="center"/>
              <w:rPr>
                <w:szCs w:val="24"/>
                <w:u w:val="single"/>
              </w:rPr>
            </w:pPr>
            <w:r w:rsidRPr="00DB1AEE">
              <w:rPr>
                <w:szCs w:val="24"/>
                <w:u w:val="single"/>
              </w:rPr>
              <w:t>R-24</w:t>
            </w:r>
          </w:p>
        </w:tc>
        <w:tc>
          <w:tcPr>
            <w:tcW w:w="63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B359799" w14:textId="77777777" w:rsidR="00DB1AEE" w:rsidRPr="00DB1AEE" w:rsidRDefault="00DB1AEE" w:rsidP="00DB1AEE">
            <w:pPr>
              <w:autoSpaceDE w:val="0"/>
              <w:autoSpaceDN w:val="0"/>
              <w:adjustRightInd w:val="0"/>
              <w:spacing w:before="20" w:after="20" w:line="200" w:lineRule="atLeast"/>
              <w:jc w:val="center"/>
              <w:rPr>
                <w:szCs w:val="24"/>
                <w:u w:val="single"/>
              </w:rPr>
            </w:pPr>
            <w:r w:rsidRPr="00DB1AEE">
              <w:rPr>
                <w:szCs w:val="24"/>
                <w:u w:val="single"/>
              </w:rPr>
              <w:t>R-20</w:t>
            </w:r>
          </w:p>
        </w:tc>
      </w:tr>
      <w:tr w:rsidR="00DB1AEE" w:rsidRPr="00DB1AEE" w14:paraId="559EEFE9" w14:textId="77777777" w:rsidTr="00FC1832">
        <w:trPr>
          <w:trHeight w:val="280"/>
          <w:jc w:val="right"/>
        </w:trPr>
        <w:tc>
          <w:tcPr>
            <w:tcW w:w="2335"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59832574"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201–250</w:t>
            </w:r>
          </w:p>
        </w:tc>
        <w:tc>
          <w:tcPr>
            <w:tcW w:w="1350"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1740B9B8"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0.27–0.30</w:t>
            </w:r>
          </w:p>
        </w:tc>
        <w:tc>
          <w:tcPr>
            <w:tcW w:w="1260"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292194DF"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150</w:t>
            </w:r>
          </w:p>
        </w:tc>
        <w:tc>
          <w:tcPr>
            <w:tcW w:w="1170" w:type="dxa"/>
            <w:tcBorders>
              <w:top w:val="nil"/>
              <w:left w:val="single" w:sz="4" w:space="0" w:color="000000"/>
              <w:bottom w:val="single" w:sz="4" w:space="0" w:color="000000"/>
              <w:right w:val="single" w:sz="4" w:space="0" w:color="000000"/>
            </w:tcBorders>
          </w:tcPr>
          <w:p w14:paraId="0858FE5D" w14:textId="77777777" w:rsidR="00DB1AEE" w:rsidRPr="00DB1AEE" w:rsidRDefault="00DB1AEE" w:rsidP="00DB1AEE">
            <w:pPr>
              <w:autoSpaceDE w:val="0"/>
              <w:autoSpaceDN w:val="0"/>
              <w:adjustRightInd w:val="0"/>
              <w:spacing w:before="20" w:after="20" w:line="200" w:lineRule="atLeast"/>
              <w:jc w:val="center"/>
              <w:rPr>
                <w:szCs w:val="24"/>
                <w:u w:val="single"/>
              </w:rPr>
            </w:pPr>
            <w:r w:rsidRPr="00DB1AEE">
              <w:rPr>
                <w:szCs w:val="24"/>
                <w:u w:val="single"/>
              </w:rPr>
              <w:t>Inches</w:t>
            </w:r>
          </w:p>
        </w:tc>
        <w:tc>
          <w:tcPr>
            <w:tcW w:w="54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922F6F9"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2.5</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D698959"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2.5</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4C6DB78"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2.5</w:t>
            </w:r>
          </w:p>
        </w:tc>
        <w:tc>
          <w:tcPr>
            <w:tcW w:w="73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BDE7704"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3.0</w:t>
            </w:r>
          </w:p>
        </w:tc>
        <w:tc>
          <w:tcPr>
            <w:tcW w:w="63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088A7EC"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3.0</w:t>
            </w:r>
          </w:p>
        </w:tc>
      </w:tr>
      <w:tr w:rsidR="00DB1AEE" w:rsidRPr="00DB1AEE" w14:paraId="1EDC6E3C" w14:textId="77777777" w:rsidTr="00FC1832">
        <w:trPr>
          <w:trHeight w:val="280"/>
          <w:jc w:val="right"/>
        </w:trPr>
        <w:tc>
          <w:tcPr>
            <w:tcW w:w="2335"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4D669C0E" w14:textId="77777777" w:rsidR="00DB1AEE" w:rsidRPr="00DB1AEE" w:rsidRDefault="00DB1AEE" w:rsidP="00DB1AEE">
            <w:pPr>
              <w:autoSpaceDE w:val="0"/>
              <w:autoSpaceDN w:val="0"/>
              <w:adjustRightInd w:val="0"/>
              <w:spacing w:before="20" w:after="20" w:line="200" w:lineRule="atLeast"/>
              <w:jc w:val="center"/>
              <w:rPr>
                <w:szCs w:val="24"/>
                <w:u w:val="single"/>
              </w:rPr>
            </w:pPr>
          </w:p>
        </w:tc>
        <w:tc>
          <w:tcPr>
            <w:tcW w:w="1350"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747D99D4" w14:textId="77777777" w:rsidR="00DB1AEE" w:rsidRPr="00DB1AEE" w:rsidRDefault="00DB1AEE" w:rsidP="00DB1AEE">
            <w:pPr>
              <w:autoSpaceDE w:val="0"/>
              <w:autoSpaceDN w:val="0"/>
              <w:adjustRightInd w:val="0"/>
              <w:spacing w:before="20" w:after="20" w:line="200" w:lineRule="atLeast"/>
              <w:jc w:val="center"/>
              <w:rPr>
                <w:szCs w:val="24"/>
                <w:u w:val="single"/>
              </w:rPr>
            </w:pPr>
          </w:p>
        </w:tc>
        <w:tc>
          <w:tcPr>
            <w:tcW w:w="1260"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11834491" w14:textId="77777777" w:rsidR="00DB1AEE" w:rsidRPr="00DB1AEE" w:rsidRDefault="00DB1AEE" w:rsidP="00DB1AEE">
            <w:pPr>
              <w:autoSpaceDE w:val="0"/>
              <w:autoSpaceDN w:val="0"/>
              <w:adjustRightInd w:val="0"/>
              <w:spacing w:before="20" w:after="20" w:line="200" w:lineRule="atLeast"/>
              <w:jc w:val="center"/>
              <w:rPr>
                <w:szCs w:val="24"/>
                <w:u w:val="single"/>
              </w:rPr>
            </w:pPr>
          </w:p>
        </w:tc>
        <w:tc>
          <w:tcPr>
            <w:tcW w:w="1170" w:type="dxa"/>
            <w:tcBorders>
              <w:top w:val="nil"/>
              <w:left w:val="single" w:sz="4" w:space="0" w:color="000000"/>
              <w:bottom w:val="single" w:sz="4" w:space="0" w:color="000000"/>
              <w:right w:val="single" w:sz="4" w:space="0" w:color="000000"/>
            </w:tcBorders>
          </w:tcPr>
          <w:p w14:paraId="73EA2D8A" w14:textId="77777777" w:rsidR="00DB1AEE" w:rsidRPr="00DB1AEE" w:rsidRDefault="00DB1AEE" w:rsidP="00DB1AEE">
            <w:pPr>
              <w:autoSpaceDE w:val="0"/>
              <w:autoSpaceDN w:val="0"/>
              <w:adjustRightInd w:val="0"/>
              <w:spacing w:before="20" w:after="20" w:line="200" w:lineRule="atLeast"/>
              <w:jc w:val="center"/>
              <w:rPr>
                <w:szCs w:val="24"/>
                <w:u w:val="single"/>
              </w:rPr>
            </w:pPr>
            <w:r w:rsidRPr="00DB1AEE">
              <w:rPr>
                <w:szCs w:val="24"/>
                <w:u w:val="single"/>
              </w:rPr>
              <w:t>R-value</w:t>
            </w:r>
          </w:p>
        </w:tc>
        <w:tc>
          <w:tcPr>
            <w:tcW w:w="54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9E1F02E" w14:textId="77777777" w:rsidR="00DB1AEE" w:rsidRPr="00DB1AEE" w:rsidRDefault="00DB1AEE" w:rsidP="00DB1AEE">
            <w:pPr>
              <w:autoSpaceDE w:val="0"/>
              <w:autoSpaceDN w:val="0"/>
              <w:adjustRightInd w:val="0"/>
              <w:spacing w:before="20" w:after="20" w:line="200" w:lineRule="atLeast"/>
              <w:jc w:val="center"/>
              <w:rPr>
                <w:szCs w:val="24"/>
                <w:u w:val="single"/>
              </w:rPr>
            </w:pPr>
            <w:r w:rsidRPr="00DB1AEE">
              <w:rPr>
                <w:szCs w:val="24"/>
                <w:u w:val="single"/>
              </w:rPr>
              <w:t>R-17</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BC80806" w14:textId="77777777" w:rsidR="00DB1AEE" w:rsidRPr="00DB1AEE" w:rsidRDefault="00DB1AEE" w:rsidP="00DB1AEE">
            <w:pPr>
              <w:autoSpaceDE w:val="0"/>
              <w:autoSpaceDN w:val="0"/>
              <w:adjustRightInd w:val="0"/>
              <w:spacing w:before="20" w:after="20" w:line="200" w:lineRule="atLeast"/>
              <w:jc w:val="center"/>
              <w:rPr>
                <w:szCs w:val="24"/>
                <w:u w:val="single"/>
              </w:rPr>
            </w:pPr>
            <w:r w:rsidRPr="00DB1AEE">
              <w:rPr>
                <w:szCs w:val="24"/>
                <w:u w:val="single"/>
              </w:rPr>
              <w:t>R-17</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3E8BCFF" w14:textId="77777777" w:rsidR="00DB1AEE" w:rsidRPr="00DB1AEE" w:rsidRDefault="00DB1AEE" w:rsidP="00DB1AEE">
            <w:pPr>
              <w:autoSpaceDE w:val="0"/>
              <w:autoSpaceDN w:val="0"/>
              <w:adjustRightInd w:val="0"/>
              <w:spacing w:before="20" w:after="20" w:line="200" w:lineRule="atLeast"/>
              <w:jc w:val="center"/>
              <w:rPr>
                <w:szCs w:val="24"/>
                <w:u w:val="single"/>
              </w:rPr>
            </w:pPr>
            <w:r w:rsidRPr="00DB1AEE">
              <w:rPr>
                <w:szCs w:val="24"/>
                <w:u w:val="single"/>
              </w:rPr>
              <w:t>R-17</w:t>
            </w:r>
          </w:p>
        </w:tc>
        <w:tc>
          <w:tcPr>
            <w:tcW w:w="73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2A7755A" w14:textId="77777777" w:rsidR="00DB1AEE" w:rsidRPr="00DB1AEE" w:rsidRDefault="00DB1AEE" w:rsidP="00DB1AEE">
            <w:pPr>
              <w:autoSpaceDE w:val="0"/>
              <w:autoSpaceDN w:val="0"/>
              <w:adjustRightInd w:val="0"/>
              <w:spacing w:before="20" w:after="20" w:line="200" w:lineRule="atLeast"/>
              <w:jc w:val="center"/>
              <w:rPr>
                <w:szCs w:val="24"/>
                <w:u w:val="single"/>
              </w:rPr>
            </w:pPr>
            <w:r w:rsidRPr="00DB1AEE">
              <w:rPr>
                <w:szCs w:val="24"/>
                <w:u w:val="single"/>
              </w:rPr>
              <w:t>R-15</w:t>
            </w:r>
          </w:p>
        </w:tc>
        <w:tc>
          <w:tcPr>
            <w:tcW w:w="63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D4DDB22" w14:textId="77777777" w:rsidR="00DB1AEE" w:rsidRPr="00DB1AEE" w:rsidRDefault="00DB1AEE" w:rsidP="00DB1AEE">
            <w:pPr>
              <w:autoSpaceDE w:val="0"/>
              <w:autoSpaceDN w:val="0"/>
              <w:adjustRightInd w:val="0"/>
              <w:spacing w:before="20" w:after="20" w:line="200" w:lineRule="atLeast"/>
              <w:jc w:val="center"/>
              <w:rPr>
                <w:szCs w:val="24"/>
                <w:u w:val="single"/>
              </w:rPr>
            </w:pPr>
            <w:r w:rsidRPr="00DB1AEE">
              <w:rPr>
                <w:szCs w:val="24"/>
                <w:u w:val="single"/>
              </w:rPr>
              <w:t>R-13</w:t>
            </w:r>
          </w:p>
        </w:tc>
      </w:tr>
      <w:tr w:rsidR="00DB1AEE" w:rsidRPr="00DB1AEE" w14:paraId="520ED461" w14:textId="77777777" w:rsidTr="00FC1832">
        <w:trPr>
          <w:trHeight w:val="280"/>
          <w:jc w:val="right"/>
        </w:trPr>
        <w:tc>
          <w:tcPr>
            <w:tcW w:w="2335"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097DC732"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141–200</w:t>
            </w:r>
          </w:p>
        </w:tc>
        <w:tc>
          <w:tcPr>
            <w:tcW w:w="1350"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394F8302"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0.25–0.29</w:t>
            </w:r>
          </w:p>
        </w:tc>
        <w:tc>
          <w:tcPr>
            <w:tcW w:w="1260"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3A61C642"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125</w:t>
            </w:r>
          </w:p>
        </w:tc>
        <w:tc>
          <w:tcPr>
            <w:tcW w:w="1170" w:type="dxa"/>
            <w:tcBorders>
              <w:top w:val="nil"/>
              <w:left w:val="single" w:sz="4" w:space="0" w:color="000000"/>
              <w:bottom w:val="single" w:sz="4" w:space="0" w:color="000000"/>
              <w:right w:val="single" w:sz="4" w:space="0" w:color="000000"/>
            </w:tcBorders>
          </w:tcPr>
          <w:p w14:paraId="53FFA658" w14:textId="77777777" w:rsidR="00DB1AEE" w:rsidRPr="00DB1AEE" w:rsidRDefault="00DB1AEE" w:rsidP="00DB1AEE">
            <w:pPr>
              <w:autoSpaceDE w:val="0"/>
              <w:autoSpaceDN w:val="0"/>
              <w:adjustRightInd w:val="0"/>
              <w:spacing w:before="20" w:after="20" w:line="200" w:lineRule="atLeast"/>
              <w:jc w:val="center"/>
              <w:rPr>
                <w:szCs w:val="24"/>
                <w:u w:val="single"/>
              </w:rPr>
            </w:pPr>
            <w:r w:rsidRPr="00DB1AEE">
              <w:rPr>
                <w:szCs w:val="24"/>
                <w:u w:val="single"/>
              </w:rPr>
              <w:t>Inches</w:t>
            </w:r>
          </w:p>
        </w:tc>
        <w:tc>
          <w:tcPr>
            <w:tcW w:w="54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19D6C0B"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1.5</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F468EF4"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1.5</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0E6FFE2"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2.0</w:t>
            </w:r>
          </w:p>
        </w:tc>
        <w:tc>
          <w:tcPr>
            <w:tcW w:w="73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8F34164"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2.0</w:t>
            </w:r>
          </w:p>
        </w:tc>
        <w:tc>
          <w:tcPr>
            <w:tcW w:w="63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7206D53"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2.0</w:t>
            </w:r>
          </w:p>
        </w:tc>
      </w:tr>
      <w:tr w:rsidR="00DB1AEE" w:rsidRPr="00DB1AEE" w14:paraId="22E8B2D2" w14:textId="77777777" w:rsidTr="00FC1832">
        <w:trPr>
          <w:trHeight w:val="280"/>
          <w:jc w:val="right"/>
        </w:trPr>
        <w:tc>
          <w:tcPr>
            <w:tcW w:w="2335"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1DF6752B" w14:textId="77777777" w:rsidR="00DB1AEE" w:rsidRPr="00DB1AEE" w:rsidRDefault="00DB1AEE" w:rsidP="00DB1AEE">
            <w:pPr>
              <w:autoSpaceDE w:val="0"/>
              <w:autoSpaceDN w:val="0"/>
              <w:adjustRightInd w:val="0"/>
              <w:spacing w:before="20" w:after="20" w:line="200" w:lineRule="atLeast"/>
              <w:jc w:val="center"/>
              <w:rPr>
                <w:szCs w:val="24"/>
                <w:u w:val="single"/>
              </w:rPr>
            </w:pPr>
          </w:p>
        </w:tc>
        <w:tc>
          <w:tcPr>
            <w:tcW w:w="1350"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12F9A3A1" w14:textId="77777777" w:rsidR="00DB1AEE" w:rsidRPr="00DB1AEE" w:rsidRDefault="00DB1AEE" w:rsidP="00DB1AEE">
            <w:pPr>
              <w:autoSpaceDE w:val="0"/>
              <w:autoSpaceDN w:val="0"/>
              <w:adjustRightInd w:val="0"/>
              <w:spacing w:before="20" w:after="20" w:line="200" w:lineRule="atLeast"/>
              <w:jc w:val="center"/>
              <w:rPr>
                <w:szCs w:val="24"/>
                <w:u w:val="single"/>
              </w:rPr>
            </w:pPr>
          </w:p>
        </w:tc>
        <w:tc>
          <w:tcPr>
            <w:tcW w:w="1260"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0E070306" w14:textId="77777777" w:rsidR="00DB1AEE" w:rsidRPr="00DB1AEE" w:rsidRDefault="00DB1AEE" w:rsidP="00DB1AEE">
            <w:pPr>
              <w:autoSpaceDE w:val="0"/>
              <w:autoSpaceDN w:val="0"/>
              <w:adjustRightInd w:val="0"/>
              <w:spacing w:before="20" w:after="20" w:line="200" w:lineRule="atLeast"/>
              <w:jc w:val="center"/>
              <w:rPr>
                <w:szCs w:val="24"/>
                <w:u w:val="single"/>
              </w:rPr>
            </w:pPr>
          </w:p>
        </w:tc>
        <w:tc>
          <w:tcPr>
            <w:tcW w:w="1170" w:type="dxa"/>
            <w:tcBorders>
              <w:top w:val="nil"/>
              <w:left w:val="single" w:sz="4" w:space="0" w:color="000000"/>
              <w:bottom w:val="single" w:sz="4" w:space="0" w:color="000000"/>
              <w:right w:val="single" w:sz="4" w:space="0" w:color="000000"/>
            </w:tcBorders>
          </w:tcPr>
          <w:p w14:paraId="3E0BC51C" w14:textId="77777777" w:rsidR="00DB1AEE" w:rsidRPr="00DB1AEE" w:rsidRDefault="00DB1AEE" w:rsidP="00DB1AEE">
            <w:pPr>
              <w:autoSpaceDE w:val="0"/>
              <w:autoSpaceDN w:val="0"/>
              <w:adjustRightInd w:val="0"/>
              <w:spacing w:before="20" w:after="20" w:line="200" w:lineRule="atLeast"/>
              <w:jc w:val="center"/>
              <w:rPr>
                <w:szCs w:val="24"/>
                <w:u w:val="single"/>
              </w:rPr>
            </w:pPr>
            <w:r w:rsidRPr="00DB1AEE">
              <w:rPr>
                <w:szCs w:val="24"/>
                <w:u w:val="single"/>
              </w:rPr>
              <w:t>R-value</w:t>
            </w:r>
          </w:p>
        </w:tc>
        <w:tc>
          <w:tcPr>
            <w:tcW w:w="54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495AB65" w14:textId="77777777" w:rsidR="00DB1AEE" w:rsidRPr="00DB1AEE" w:rsidRDefault="00DB1AEE" w:rsidP="00DB1AEE">
            <w:pPr>
              <w:autoSpaceDE w:val="0"/>
              <w:autoSpaceDN w:val="0"/>
              <w:adjustRightInd w:val="0"/>
              <w:spacing w:before="20" w:after="20" w:line="200" w:lineRule="atLeast"/>
              <w:jc w:val="center"/>
              <w:rPr>
                <w:szCs w:val="24"/>
                <w:u w:val="single"/>
              </w:rPr>
            </w:pPr>
            <w:r w:rsidRPr="00DB1AEE">
              <w:rPr>
                <w:szCs w:val="24"/>
                <w:u w:val="single"/>
              </w:rPr>
              <w:t>R-9</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CDD34EE" w14:textId="77777777" w:rsidR="00DB1AEE" w:rsidRPr="00DB1AEE" w:rsidRDefault="00DB1AEE" w:rsidP="00DB1AEE">
            <w:pPr>
              <w:autoSpaceDE w:val="0"/>
              <w:autoSpaceDN w:val="0"/>
              <w:adjustRightInd w:val="0"/>
              <w:spacing w:before="20" w:after="20" w:line="200" w:lineRule="atLeast"/>
              <w:jc w:val="center"/>
              <w:rPr>
                <w:szCs w:val="24"/>
                <w:u w:val="single"/>
              </w:rPr>
            </w:pPr>
            <w:r w:rsidRPr="00DB1AEE">
              <w:rPr>
                <w:szCs w:val="24"/>
                <w:u w:val="single"/>
              </w:rPr>
              <w:t>R-9</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D44763D" w14:textId="77777777" w:rsidR="00DB1AEE" w:rsidRPr="00DB1AEE" w:rsidRDefault="00DB1AEE" w:rsidP="00DB1AEE">
            <w:pPr>
              <w:autoSpaceDE w:val="0"/>
              <w:autoSpaceDN w:val="0"/>
              <w:adjustRightInd w:val="0"/>
              <w:spacing w:before="20" w:after="20" w:line="200" w:lineRule="atLeast"/>
              <w:jc w:val="center"/>
              <w:rPr>
                <w:szCs w:val="24"/>
                <w:u w:val="single"/>
              </w:rPr>
            </w:pPr>
            <w:r w:rsidRPr="00DB1AEE">
              <w:rPr>
                <w:szCs w:val="24"/>
                <w:u w:val="single"/>
              </w:rPr>
              <w:t>R-11</w:t>
            </w:r>
          </w:p>
        </w:tc>
        <w:tc>
          <w:tcPr>
            <w:tcW w:w="73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678CB97" w14:textId="77777777" w:rsidR="00DB1AEE" w:rsidRPr="00DB1AEE" w:rsidRDefault="00DB1AEE" w:rsidP="00DB1AEE">
            <w:pPr>
              <w:autoSpaceDE w:val="0"/>
              <w:autoSpaceDN w:val="0"/>
              <w:adjustRightInd w:val="0"/>
              <w:spacing w:before="20" w:after="20" w:line="200" w:lineRule="atLeast"/>
              <w:jc w:val="center"/>
              <w:rPr>
                <w:szCs w:val="24"/>
                <w:u w:val="single"/>
              </w:rPr>
            </w:pPr>
            <w:r w:rsidRPr="00DB1AEE">
              <w:rPr>
                <w:szCs w:val="24"/>
                <w:u w:val="single"/>
              </w:rPr>
              <w:t>R-10</w:t>
            </w:r>
          </w:p>
        </w:tc>
        <w:tc>
          <w:tcPr>
            <w:tcW w:w="63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32739FE" w14:textId="77777777" w:rsidR="00DB1AEE" w:rsidRPr="00DB1AEE" w:rsidRDefault="00DB1AEE" w:rsidP="00DB1AEE">
            <w:pPr>
              <w:autoSpaceDE w:val="0"/>
              <w:autoSpaceDN w:val="0"/>
              <w:adjustRightInd w:val="0"/>
              <w:spacing w:before="20" w:after="20" w:line="200" w:lineRule="atLeast"/>
              <w:jc w:val="center"/>
              <w:rPr>
                <w:szCs w:val="24"/>
                <w:u w:val="single"/>
              </w:rPr>
            </w:pPr>
            <w:r w:rsidRPr="00DB1AEE">
              <w:rPr>
                <w:szCs w:val="24"/>
                <w:u w:val="single"/>
              </w:rPr>
              <w:t>R-9</w:t>
            </w:r>
          </w:p>
        </w:tc>
      </w:tr>
      <w:tr w:rsidR="00DB1AEE" w:rsidRPr="00DB1AEE" w14:paraId="770D8558" w14:textId="77777777" w:rsidTr="00FC1832">
        <w:trPr>
          <w:trHeight w:val="280"/>
          <w:jc w:val="right"/>
        </w:trPr>
        <w:tc>
          <w:tcPr>
            <w:tcW w:w="2335"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5420EB32"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105–140</w:t>
            </w:r>
          </w:p>
        </w:tc>
        <w:tc>
          <w:tcPr>
            <w:tcW w:w="1350"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0DEBACE4"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0.21–0.28</w:t>
            </w:r>
          </w:p>
        </w:tc>
        <w:tc>
          <w:tcPr>
            <w:tcW w:w="1260"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2554647F"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100</w:t>
            </w:r>
          </w:p>
        </w:tc>
        <w:tc>
          <w:tcPr>
            <w:tcW w:w="1170" w:type="dxa"/>
            <w:tcBorders>
              <w:top w:val="nil"/>
              <w:left w:val="single" w:sz="4" w:space="0" w:color="000000"/>
              <w:bottom w:val="single" w:sz="4" w:space="0" w:color="000000"/>
              <w:right w:val="single" w:sz="4" w:space="0" w:color="000000"/>
            </w:tcBorders>
          </w:tcPr>
          <w:p w14:paraId="31A0226C" w14:textId="77777777" w:rsidR="00DB1AEE" w:rsidRPr="00DB1AEE" w:rsidRDefault="00DB1AEE" w:rsidP="00DB1AEE">
            <w:pPr>
              <w:autoSpaceDE w:val="0"/>
              <w:autoSpaceDN w:val="0"/>
              <w:adjustRightInd w:val="0"/>
              <w:spacing w:before="20" w:after="20" w:line="200" w:lineRule="atLeast"/>
              <w:jc w:val="center"/>
              <w:rPr>
                <w:szCs w:val="24"/>
                <w:u w:val="single"/>
              </w:rPr>
            </w:pPr>
            <w:r w:rsidRPr="00DB1AEE">
              <w:rPr>
                <w:szCs w:val="24"/>
                <w:u w:val="single"/>
              </w:rPr>
              <w:t>Inches</w:t>
            </w:r>
          </w:p>
        </w:tc>
        <w:tc>
          <w:tcPr>
            <w:tcW w:w="54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7554B3E"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1.0</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E348AB3"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1.0</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0B9D48F"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1.5</w:t>
            </w:r>
          </w:p>
        </w:tc>
        <w:tc>
          <w:tcPr>
            <w:tcW w:w="73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41C627F"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1.5</w:t>
            </w:r>
          </w:p>
        </w:tc>
        <w:tc>
          <w:tcPr>
            <w:tcW w:w="63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FFB4EDE"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1.5</w:t>
            </w:r>
          </w:p>
        </w:tc>
      </w:tr>
      <w:tr w:rsidR="00DB1AEE" w:rsidRPr="00DB1AEE" w14:paraId="50D71C31" w14:textId="77777777" w:rsidTr="00FC1832">
        <w:trPr>
          <w:trHeight w:val="280"/>
          <w:jc w:val="right"/>
        </w:trPr>
        <w:tc>
          <w:tcPr>
            <w:tcW w:w="2335"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5CC173FB" w14:textId="77777777" w:rsidR="00DB1AEE" w:rsidRPr="00DB1AEE" w:rsidRDefault="00DB1AEE" w:rsidP="00DB1AEE">
            <w:pPr>
              <w:autoSpaceDE w:val="0"/>
              <w:autoSpaceDN w:val="0"/>
              <w:adjustRightInd w:val="0"/>
              <w:spacing w:before="20" w:after="20" w:line="200" w:lineRule="atLeast"/>
              <w:jc w:val="center"/>
              <w:rPr>
                <w:szCs w:val="24"/>
                <w:u w:val="single"/>
              </w:rPr>
            </w:pPr>
          </w:p>
        </w:tc>
        <w:tc>
          <w:tcPr>
            <w:tcW w:w="1350"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048B5D7F" w14:textId="77777777" w:rsidR="00DB1AEE" w:rsidRPr="00DB1AEE" w:rsidRDefault="00DB1AEE" w:rsidP="00DB1AEE">
            <w:pPr>
              <w:autoSpaceDE w:val="0"/>
              <w:autoSpaceDN w:val="0"/>
              <w:adjustRightInd w:val="0"/>
              <w:spacing w:before="20" w:after="20" w:line="200" w:lineRule="atLeast"/>
              <w:jc w:val="center"/>
              <w:rPr>
                <w:szCs w:val="24"/>
                <w:u w:val="single"/>
              </w:rPr>
            </w:pPr>
          </w:p>
        </w:tc>
        <w:tc>
          <w:tcPr>
            <w:tcW w:w="1260"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718E8788" w14:textId="77777777" w:rsidR="00DB1AEE" w:rsidRPr="00DB1AEE" w:rsidRDefault="00DB1AEE" w:rsidP="00DB1AEE">
            <w:pPr>
              <w:autoSpaceDE w:val="0"/>
              <w:autoSpaceDN w:val="0"/>
              <w:adjustRightInd w:val="0"/>
              <w:spacing w:before="20" w:after="20" w:line="200" w:lineRule="atLeast"/>
              <w:jc w:val="center"/>
              <w:rPr>
                <w:szCs w:val="24"/>
                <w:u w:val="single"/>
              </w:rPr>
            </w:pPr>
          </w:p>
        </w:tc>
        <w:tc>
          <w:tcPr>
            <w:tcW w:w="1170" w:type="dxa"/>
            <w:tcBorders>
              <w:top w:val="nil"/>
              <w:left w:val="single" w:sz="4" w:space="0" w:color="000000"/>
              <w:bottom w:val="single" w:sz="4" w:space="0" w:color="000000"/>
              <w:right w:val="single" w:sz="4" w:space="0" w:color="000000"/>
            </w:tcBorders>
          </w:tcPr>
          <w:p w14:paraId="03F267AB" w14:textId="77777777" w:rsidR="00DB1AEE" w:rsidRPr="00DB1AEE" w:rsidRDefault="00DB1AEE" w:rsidP="00DB1AEE">
            <w:pPr>
              <w:autoSpaceDE w:val="0"/>
              <w:autoSpaceDN w:val="0"/>
              <w:adjustRightInd w:val="0"/>
              <w:spacing w:before="20" w:after="20" w:line="200" w:lineRule="atLeast"/>
              <w:jc w:val="center"/>
              <w:rPr>
                <w:szCs w:val="24"/>
                <w:u w:val="single"/>
              </w:rPr>
            </w:pPr>
            <w:r w:rsidRPr="00DB1AEE">
              <w:rPr>
                <w:szCs w:val="24"/>
                <w:u w:val="single"/>
              </w:rPr>
              <w:t>R-value</w:t>
            </w:r>
          </w:p>
        </w:tc>
        <w:tc>
          <w:tcPr>
            <w:tcW w:w="54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57FB6F5" w14:textId="77777777" w:rsidR="00DB1AEE" w:rsidRPr="00DB1AEE" w:rsidRDefault="00DB1AEE" w:rsidP="00DB1AEE">
            <w:pPr>
              <w:autoSpaceDE w:val="0"/>
              <w:autoSpaceDN w:val="0"/>
              <w:adjustRightInd w:val="0"/>
              <w:spacing w:before="20" w:after="20" w:line="200" w:lineRule="atLeast"/>
              <w:jc w:val="center"/>
              <w:rPr>
                <w:szCs w:val="24"/>
                <w:u w:val="single"/>
              </w:rPr>
            </w:pPr>
            <w:r w:rsidRPr="00DB1AEE">
              <w:rPr>
                <w:szCs w:val="24"/>
                <w:u w:val="single"/>
              </w:rPr>
              <w:t>R-5</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F9A9273" w14:textId="77777777" w:rsidR="00DB1AEE" w:rsidRPr="00DB1AEE" w:rsidRDefault="00DB1AEE" w:rsidP="00DB1AEE">
            <w:pPr>
              <w:autoSpaceDE w:val="0"/>
              <w:autoSpaceDN w:val="0"/>
              <w:adjustRightInd w:val="0"/>
              <w:spacing w:before="20" w:after="20" w:line="200" w:lineRule="atLeast"/>
              <w:jc w:val="center"/>
              <w:rPr>
                <w:szCs w:val="24"/>
                <w:u w:val="single"/>
              </w:rPr>
            </w:pPr>
            <w:r w:rsidRPr="00DB1AEE">
              <w:rPr>
                <w:szCs w:val="24"/>
                <w:u w:val="single"/>
              </w:rPr>
              <w:t>R-9</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7F0F728" w14:textId="77777777" w:rsidR="00DB1AEE" w:rsidRPr="00DB1AEE" w:rsidRDefault="00DB1AEE" w:rsidP="00DB1AEE">
            <w:pPr>
              <w:autoSpaceDE w:val="0"/>
              <w:autoSpaceDN w:val="0"/>
              <w:adjustRightInd w:val="0"/>
              <w:spacing w:before="20" w:after="20" w:line="200" w:lineRule="atLeast"/>
              <w:jc w:val="center"/>
              <w:rPr>
                <w:szCs w:val="24"/>
                <w:u w:val="single"/>
              </w:rPr>
            </w:pPr>
            <w:r w:rsidRPr="00DB1AEE">
              <w:rPr>
                <w:szCs w:val="24"/>
                <w:u w:val="single"/>
              </w:rPr>
              <w:t>R-8</w:t>
            </w:r>
          </w:p>
        </w:tc>
        <w:tc>
          <w:tcPr>
            <w:tcW w:w="73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24687E8" w14:textId="77777777" w:rsidR="00DB1AEE" w:rsidRPr="00DB1AEE" w:rsidRDefault="00DB1AEE" w:rsidP="00DB1AEE">
            <w:pPr>
              <w:autoSpaceDE w:val="0"/>
              <w:autoSpaceDN w:val="0"/>
              <w:adjustRightInd w:val="0"/>
              <w:spacing w:before="20" w:after="20" w:line="200" w:lineRule="atLeast"/>
              <w:jc w:val="center"/>
              <w:rPr>
                <w:szCs w:val="24"/>
                <w:u w:val="single"/>
              </w:rPr>
            </w:pPr>
            <w:r w:rsidRPr="00DB1AEE">
              <w:rPr>
                <w:szCs w:val="24"/>
                <w:u w:val="single"/>
              </w:rPr>
              <w:t>R-8</w:t>
            </w:r>
          </w:p>
        </w:tc>
        <w:tc>
          <w:tcPr>
            <w:tcW w:w="63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6D8A8F8" w14:textId="77777777" w:rsidR="00DB1AEE" w:rsidRPr="00DB1AEE" w:rsidRDefault="00DB1AEE" w:rsidP="00DB1AEE">
            <w:pPr>
              <w:autoSpaceDE w:val="0"/>
              <w:autoSpaceDN w:val="0"/>
              <w:adjustRightInd w:val="0"/>
              <w:spacing w:before="20" w:after="20" w:line="200" w:lineRule="atLeast"/>
              <w:jc w:val="center"/>
              <w:rPr>
                <w:szCs w:val="24"/>
                <w:u w:val="single"/>
              </w:rPr>
            </w:pPr>
            <w:r w:rsidRPr="00DB1AEE">
              <w:rPr>
                <w:szCs w:val="24"/>
                <w:u w:val="single"/>
              </w:rPr>
              <w:t>R-7</w:t>
            </w:r>
          </w:p>
        </w:tc>
      </w:tr>
      <w:tr w:rsidR="00DB1AEE" w:rsidRPr="00DB1AEE" w14:paraId="4E997F45" w14:textId="77777777" w:rsidTr="00FC1832">
        <w:trPr>
          <w:trHeight w:val="280"/>
          <w:jc w:val="right"/>
        </w:trPr>
        <w:tc>
          <w:tcPr>
            <w:tcW w:w="2335"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6761656E"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40–60</w:t>
            </w:r>
          </w:p>
        </w:tc>
        <w:tc>
          <w:tcPr>
            <w:tcW w:w="1350"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1E7D20CD"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0.21–0.27</w:t>
            </w:r>
          </w:p>
        </w:tc>
        <w:tc>
          <w:tcPr>
            <w:tcW w:w="1260"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41602B45"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75</w:t>
            </w:r>
          </w:p>
        </w:tc>
        <w:tc>
          <w:tcPr>
            <w:tcW w:w="1170" w:type="dxa"/>
            <w:tcBorders>
              <w:top w:val="nil"/>
              <w:left w:val="single" w:sz="4" w:space="0" w:color="000000"/>
              <w:bottom w:val="single" w:sz="4" w:space="0" w:color="000000"/>
              <w:right w:val="single" w:sz="4" w:space="0" w:color="000000"/>
            </w:tcBorders>
          </w:tcPr>
          <w:p w14:paraId="2168C4E5" w14:textId="77777777" w:rsidR="00DB1AEE" w:rsidRPr="00DB1AEE" w:rsidRDefault="00DB1AEE" w:rsidP="00DB1AEE">
            <w:pPr>
              <w:autoSpaceDE w:val="0"/>
              <w:autoSpaceDN w:val="0"/>
              <w:adjustRightInd w:val="0"/>
              <w:spacing w:before="20" w:after="20" w:line="200" w:lineRule="atLeast"/>
              <w:jc w:val="center"/>
              <w:rPr>
                <w:szCs w:val="24"/>
                <w:u w:val="single"/>
              </w:rPr>
            </w:pPr>
            <w:r w:rsidRPr="00DB1AEE">
              <w:rPr>
                <w:szCs w:val="24"/>
                <w:u w:val="single"/>
              </w:rPr>
              <w:t>Inches</w:t>
            </w:r>
          </w:p>
        </w:tc>
        <w:tc>
          <w:tcPr>
            <w:tcW w:w="54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B563BF7"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0.5</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647441A"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0.5</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70C7D53"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1.0</w:t>
            </w:r>
          </w:p>
        </w:tc>
        <w:tc>
          <w:tcPr>
            <w:tcW w:w="73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530B7DC"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1.0</w:t>
            </w:r>
          </w:p>
        </w:tc>
        <w:tc>
          <w:tcPr>
            <w:tcW w:w="63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90A6389"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1.0</w:t>
            </w:r>
          </w:p>
        </w:tc>
      </w:tr>
      <w:tr w:rsidR="00DB1AEE" w:rsidRPr="00DB1AEE" w14:paraId="1E6C6B52" w14:textId="77777777" w:rsidTr="00FC1832">
        <w:trPr>
          <w:trHeight w:val="280"/>
          <w:jc w:val="right"/>
        </w:trPr>
        <w:tc>
          <w:tcPr>
            <w:tcW w:w="2335"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71B4679C" w14:textId="77777777" w:rsidR="00DB1AEE" w:rsidRPr="00DB1AEE" w:rsidRDefault="00DB1AEE" w:rsidP="00DB1AEE">
            <w:pPr>
              <w:autoSpaceDE w:val="0"/>
              <w:autoSpaceDN w:val="0"/>
              <w:adjustRightInd w:val="0"/>
              <w:spacing w:before="20" w:after="20" w:line="200" w:lineRule="atLeast"/>
              <w:jc w:val="center"/>
              <w:rPr>
                <w:szCs w:val="24"/>
                <w:u w:val="single"/>
              </w:rPr>
            </w:pPr>
          </w:p>
        </w:tc>
        <w:tc>
          <w:tcPr>
            <w:tcW w:w="1350"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30F7BAF1" w14:textId="77777777" w:rsidR="00DB1AEE" w:rsidRPr="00DB1AEE" w:rsidRDefault="00DB1AEE" w:rsidP="00DB1AEE">
            <w:pPr>
              <w:autoSpaceDE w:val="0"/>
              <w:autoSpaceDN w:val="0"/>
              <w:adjustRightInd w:val="0"/>
              <w:spacing w:before="20" w:after="20" w:line="200" w:lineRule="atLeast"/>
              <w:jc w:val="center"/>
              <w:rPr>
                <w:szCs w:val="24"/>
                <w:u w:val="single"/>
              </w:rPr>
            </w:pPr>
          </w:p>
        </w:tc>
        <w:tc>
          <w:tcPr>
            <w:tcW w:w="1260"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2ACB7F5A" w14:textId="77777777" w:rsidR="00DB1AEE" w:rsidRPr="00DB1AEE" w:rsidRDefault="00DB1AEE" w:rsidP="00DB1AEE">
            <w:pPr>
              <w:autoSpaceDE w:val="0"/>
              <w:autoSpaceDN w:val="0"/>
              <w:adjustRightInd w:val="0"/>
              <w:spacing w:before="20" w:after="20" w:line="200" w:lineRule="atLeast"/>
              <w:jc w:val="center"/>
              <w:rPr>
                <w:szCs w:val="24"/>
                <w:u w:val="single"/>
              </w:rPr>
            </w:pPr>
          </w:p>
        </w:tc>
        <w:tc>
          <w:tcPr>
            <w:tcW w:w="1170" w:type="dxa"/>
            <w:tcBorders>
              <w:top w:val="nil"/>
              <w:left w:val="single" w:sz="4" w:space="0" w:color="000000"/>
              <w:bottom w:val="single" w:sz="4" w:space="0" w:color="auto"/>
              <w:right w:val="single" w:sz="4" w:space="0" w:color="000000"/>
            </w:tcBorders>
          </w:tcPr>
          <w:p w14:paraId="5BE16454" w14:textId="77777777" w:rsidR="00DB1AEE" w:rsidRPr="00DB1AEE" w:rsidRDefault="00DB1AEE" w:rsidP="00DB1AEE">
            <w:pPr>
              <w:autoSpaceDE w:val="0"/>
              <w:autoSpaceDN w:val="0"/>
              <w:adjustRightInd w:val="0"/>
              <w:spacing w:before="20" w:after="20" w:line="200" w:lineRule="atLeast"/>
              <w:jc w:val="center"/>
              <w:rPr>
                <w:szCs w:val="24"/>
                <w:u w:val="single"/>
              </w:rPr>
            </w:pPr>
            <w:r w:rsidRPr="00DB1AEE">
              <w:rPr>
                <w:szCs w:val="24"/>
                <w:u w:val="single"/>
              </w:rPr>
              <w:t>R-value</w:t>
            </w:r>
          </w:p>
        </w:tc>
        <w:tc>
          <w:tcPr>
            <w:tcW w:w="54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0D2D30A" w14:textId="77777777" w:rsidR="00DB1AEE" w:rsidRPr="00DB1AEE" w:rsidRDefault="00DB1AEE" w:rsidP="00DB1AEE">
            <w:pPr>
              <w:autoSpaceDE w:val="0"/>
              <w:autoSpaceDN w:val="0"/>
              <w:adjustRightInd w:val="0"/>
              <w:spacing w:before="20" w:after="20" w:line="200" w:lineRule="atLeast"/>
              <w:jc w:val="center"/>
              <w:rPr>
                <w:szCs w:val="24"/>
                <w:u w:val="single"/>
              </w:rPr>
            </w:pPr>
            <w:r w:rsidRPr="00DB1AEE">
              <w:rPr>
                <w:szCs w:val="24"/>
                <w:u w:val="single"/>
              </w:rPr>
              <w:t>R-2</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2F70F61" w14:textId="77777777" w:rsidR="00DB1AEE" w:rsidRPr="00DB1AEE" w:rsidRDefault="00DB1AEE" w:rsidP="00DB1AEE">
            <w:pPr>
              <w:autoSpaceDE w:val="0"/>
              <w:autoSpaceDN w:val="0"/>
              <w:adjustRightInd w:val="0"/>
              <w:spacing w:before="20" w:after="20" w:line="200" w:lineRule="atLeast"/>
              <w:jc w:val="center"/>
              <w:rPr>
                <w:szCs w:val="24"/>
                <w:u w:val="single"/>
              </w:rPr>
            </w:pPr>
            <w:r w:rsidRPr="00DB1AEE">
              <w:rPr>
                <w:szCs w:val="24"/>
                <w:u w:val="single"/>
              </w:rPr>
              <w:t>R-2</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B15FA0B" w14:textId="77777777" w:rsidR="00DB1AEE" w:rsidRPr="00DB1AEE" w:rsidRDefault="00DB1AEE" w:rsidP="00DB1AEE">
            <w:pPr>
              <w:autoSpaceDE w:val="0"/>
              <w:autoSpaceDN w:val="0"/>
              <w:adjustRightInd w:val="0"/>
              <w:spacing w:before="20" w:after="20" w:line="200" w:lineRule="atLeast"/>
              <w:jc w:val="center"/>
              <w:rPr>
                <w:szCs w:val="24"/>
                <w:u w:val="single"/>
              </w:rPr>
            </w:pPr>
            <w:r w:rsidRPr="00DB1AEE">
              <w:rPr>
                <w:szCs w:val="24"/>
                <w:u w:val="single"/>
              </w:rPr>
              <w:t>R-5</w:t>
            </w:r>
          </w:p>
        </w:tc>
        <w:tc>
          <w:tcPr>
            <w:tcW w:w="73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52650DC" w14:textId="77777777" w:rsidR="00DB1AEE" w:rsidRPr="00DB1AEE" w:rsidRDefault="00DB1AEE" w:rsidP="00DB1AEE">
            <w:pPr>
              <w:autoSpaceDE w:val="0"/>
              <w:autoSpaceDN w:val="0"/>
              <w:adjustRightInd w:val="0"/>
              <w:spacing w:before="20" w:after="20" w:line="200" w:lineRule="atLeast"/>
              <w:jc w:val="center"/>
              <w:rPr>
                <w:szCs w:val="24"/>
                <w:u w:val="single"/>
              </w:rPr>
            </w:pPr>
            <w:r w:rsidRPr="00DB1AEE">
              <w:rPr>
                <w:szCs w:val="24"/>
                <w:u w:val="single"/>
              </w:rPr>
              <w:t>R-5</w:t>
            </w:r>
          </w:p>
        </w:tc>
        <w:tc>
          <w:tcPr>
            <w:tcW w:w="63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9F8F219" w14:textId="77777777" w:rsidR="00DB1AEE" w:rsidRPr="00DB1AEE" w:rsidRDefault="00DB1AEE" w:rsidP="00DB1AEE">
            <w:pPr>
              <w:autoSpaceDE w:val="0"/>
              <w:autoSpaceDN w:val="0"/>
              <w:adjustRightInd w:val="0"/>
              <w:spacing w:before="20" w:after="20" w:line="200" w:lineRule="atLeast"/>
              <w:jc w:val="center"/>
              <w:rPr>
                <w:szCs w:val="24"/>
                <w:u w:val="single"/>
              </w:rPr>
            </w:pPr>
            <w:r w:rsidRPr="00DB1AEE">
              <w:rPr>
                <w:szCs w:val="24"/>
                <w:u w:val="single"/>
              </w:rPr>
              <w:t>R-4</w:t>
            </w:r>
          </w:p>
        </w:tc>
      </w:tr>
      <w:tr w:rsidR="00DB1AEE" w:rsidRPr="00DB1AEE" w14:paraId="06713CDB" w14:textId="77777777" w:rsidTr="00FC1832">
        <w:trPr>
          <w:trHeight w:val="280"/>
          <w:jc w:val="right"/>
        </w:trPr>
        <w:tc>
          <w:tcPr>
            <w:tcW w:w="2335"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405DF225"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&lt; 40</w:t>
            </w:r>
          </w:p>
        </w:tc>
        <w:tc>
          <w:tcPr>
            <w:tcW w:w="1350"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6F1F489C"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0.20–0.26</w:t>
            </w:r>
          </w:p>
        </w:tc>
        <w:tc>
          <w:tcPr>
            <w:tcW w:w="1260" w:type="dxa"/>
            <w:vMerge w:val="restart"/>
            <w:tcBorders>
              <w:top w:val="nil"/>
              <w:left w:val="single" w:sz="4" w:space="0" w:color="000000"/>
              <w:right w:val="single" w:sz="4" w:space="0" w:color="auto"/>
            </w:tcBorders>
            <w:tcMar>
              <w:top w:w="60" w:type="dxa"/>
              <w:left w:w="40" w:type="dxa"/>
              <w:bottom w:w="40" w:type="dxa"/>
              <w:right w:w="40" w:type="dxa"/>
            </w:tcMar>
            <w:vAlign w:val="center"/>
          </w:tcPr>
          <w:p w14:paraId="1E317A57"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50</w:t>
            </w:r>
          </w:p>
        </w:tc>
        <w:tc>
          <w:tcPr>
            <w:tcW w:w="1170" w:type="dxa"/>
            <w:tcBorders>
              <w:top w:val="single" w:sz="4" w:space="0" w:color="auto"/>
              <w:left w:val="single" w:sz="4" w:space="0" w:color="auto"/>
              <w:bottom w:val="single" w:sz="4" w:space="0" w:color="auto"/>
              <w:right w:val="single" w:sz="4" w:space="0" w:color="auto"/>
            </w:tcBorders>
          </w:tcPr>
          <w:p w14:paraId="6B2F2435" w14:textId="77777777" w:rsidR="00DB1AEE" w:rsidRPr="00DB1AEE" w:rsidRDefault="00DB1AEE" w:rsidP="00DB1AEE">
            <w:pPr>
              <w:autoSpaceDE w:val="0"/>
              <w:autoSpaceDN w:val="0"/>
              <w:adjustRightInd w:val="0"/>
              <w:spacing w:before="20" w:after="20" w:line="200" w:lineRule="atLeast"/>
              <w:jc w:val="center"/>
              <w:rPr>
                <w:szCs w:val="24"/>
                <w:u w:val="single"/>
              </w:rPr>
            </w:pPr>
            <w:r w:rsidRPr="00DB1AEE">
              <w:rPr>
                <w:szCs w:val="24"/>
                <w:u w:val="single"/>
              </w:rPr>
              <w:t>Inches</w:t>
            </w:r>
          </w:p>
        </w:tc>
        <w:tc>
          <w:tcPr>
            <w:tcW w:w="540" w:type="dxa"/>
            <w:tcBorders>
              <w:top w:val="nil"/>
              <w:left w:val="single" w:sz="4" w:space="0" w:color="auto"/>
              <w:bottom w:val="single" w:sz="4" w:space="0" w:color="auto"/>
              <w:right w:val="single" w:sz="4" w:space="0" w:color="000000"/>
            </w:tcBorders>
            <w:tcMar>
              <w:top w:w="60" w:type="dxa"/>
              <w:left w:w="40" w:type="dxa"/>
              <w:bottom w:w="40" w:type="dxa"/>
              <w:right w:w="40" w:type="dxa"/>
            </w:tcMar>
            <w:vAlign w:val="center"/>
          </w:tcPr>
          <w:p w14:paraId="0A8D05D6"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0.5</w:t>
            </w:r>
          </w:p>
        </w:tc>
        <w:tc>
          <w:tcPr>
            <w:tcW w:w="900" w:type="dxa"/>
            <w:tcBorders>
              <w:top w:val="nil"/>
              <w:left w:val="single" w:sz="4" w:space="0" w:color="000000"/>
              <w:bottom w:val="single" w:sz="4" w:space="0" w:color="auto"/>
              <w:right w:val="single" w:sz="4" w:space="0" w:color="000000"/>
            </w:tcBorders>
            <w:tcMar>
              <w:top w:w="60" w:type="dxa"/>
              <w:left w:w="40" w:type="dxa"/>
              <w:bottom w:w="40" w:type="dxa"/>
              <w:right w:w="40" w:type="dxa"/>
            </w:tcMar>
            <w:vAlign w:val="center"/>
          </w:tcPr>
          <w:p w14:paraId="5F258A87"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1.0</w:t>
            </w:r>
          </w:p>
        </w:tc>
        <w:tc>
          <w:tcPr>
            <w:tcW w:w="900" w:type="dxa"/>
            <w:tcBorders>
              <w:top w:val="nil"/>
              <w:left w:val="single" w:sz="4" w:space="0" w:color="000000"/>
              <w:bottom w:val="single" w:sz="4" w:space="0" w:color="auto"/>
              <w:right w:val="single" w:sz="4" w:space="0" w:color="000000"/>
            </w:tcBorders>
            <w:tcMar>
              <w:top w:w="60" w:type="dxa"/>
              <w:left w:w="40" w:type="dxa"/>
              <w:bottom w:w="40" w:type="dxa"/>
              <w:right w:w="40" w:type="dxa"/>
            </w:tcMar>
            <w:vAlign w:val="center"/>
          </w:tcPr>
          <w:p w14:paraId="3E404831"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1.0</w:t>
            </w:r>
          </w:p>
        </w:tc>
        <w:tc>
          <w:tcPr>
            <w:tcW w:w="730" w:type="dxa"/>
            <w:tcBorders>
              <w:top w:val="nil"/>
              <w:left w:val="single" w:sz="4" w:space="0" w:color="000000"/>
              <w:bottom w:val="single" w:sz="4" w:space="0" w:color="auto"/>
              <w:right w:val="single" w:sz="4" w:space="0" w:color="000000"/>
            </w:tcBorders>
            <w:tcMar>
              <w:top w:w="60" w:type="dxa"/>
              <w:left w:w="40" w:type="dxa"/>
              <w:bottom w:w="40" w:type="dxa"/>
              <w:right w:w="40" w:type="dxa"/>
            </w:tcMar>
            <w:vAlign w:val="center"/>
          </w:tcPr>
          <w:p w14:paraId="431E4FE6"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1.0</w:t>
            </w:r>
          </w:p>
        </w:tc>
        <w:tc>
          <w:tcPr>
            <w:tcW w:w="635" w:type="dxa"/>
            <w:tcBorders>
              <w:top w:val="nil"/>
              <w:left w:val="single" w:sz="4" w:space="0" w:color="000000"/>
              <w:bottom w:val="single" w:sz="4" w:space="0" w:color="auto"/>
              <w:right w:val="single" w:sz="4" w:space="0" w:color="000000"/>
            </w:tcBorders>
            <w:tcMar>
              <w:top w:w="60" w:type="dxa"/>
              <w:left w:w="40" w:type="dxa"/>
              <w:bottom w:w="40" w:type="dxa"/>
              <w:right w:w="40" w:type="dxa"/>
            </w:tcMar>
            <w:vAlign w:val="center"/>
          </w:tcPr>
          <w:p w14:paraId="7CEC0B0F" w14:textId="77777777" w:rsidR="00DB1AEE" w:rsidRPr="00DB1AEE" w:rsidRDefault="00DB1AEE" w:rsidP="00DB1AEE">
            <w:pPr>
              <w:autoSpaceDE w:val="0"/>
              <w:autoSpaceDN w:val="0"/>
              <w:adjustRightInd w:val="0"/>
              <w:spacing w:before="20" w:after="20" w:line="200" w:lineRule="atLeast"/>
              <w:jc w:val="center"/>
              <w:rPr>
                <w:w w:val="0"/>
                <w:szCs w:val="24"/>
                <w:u w:val="single"/>
              </w:rPr>
            </w:pPr>
            <w:r w:rsidRPr="00DB1AEE">
              <w:rPr>
                <w:szCs w:val="24"/>
                <w:u w:val="single"/>
              </w:rPr>
              <w:t>1.5</w:t>
            </w:r>
          </w:p>
        </w:tc>
      </w:tr>
      <w:tr w:rsidR="00DB1AEE" w:rsidRPr="00DB1AEE" w14:paraId="0AC1F6AA" w14:textId="77777777" w:rsidTr="00FC1832">
        <w:trPr>
          <w:trHeight w:val="280"/>
          <w:jc w:val="right"/>
        </w:trPr>
        <w:tc>
          <w:tcPr>
            <w:tcW w:w="2335"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41386185" w14:textId="77777777" w:rsidR="00DB1AEE" w:rsidRPr="00DB1AEE" w:rsidRDefault="00DB1AEE" w:rsidP="00DB1AEE">
            <w:pPr>
              <w:autoSpaceDE w:val="0"/>
              <w:autoSpaceDN w:val="0"/>
              <w:adjustRightInd w:val="0"/>
              <w:spacing w:before="20" w:after="20" w:line="200" w:lineRule="atLeast"/>
              <w:jc w:val="center"/>
              <w:rPr>
                <w:szCs w:val="24"/>
                <w:u w:val="single"/>
              </w:rPr>
            </w:pPr>
          </w:p>
        </w:tc>
        <w:tc>
          <w:tcPr>
            <w:tcW w:w="1350"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2B01FB7E" w14:textId="77777777" w:rsidR="00DB1AEE" w:rsidRPr="00DB1AEE" w:rsidRDefault="00DB1AEE" w:rsidP="00DB1AEE">
            <w:pPr>
              <w:autoSpaceDE w:val="0"/>
              <w:autoSpaceDN w:val="0"/>
              <w:adjustRightInd w:val="0"/>
              <w:spacing w:before="20" w:after="20" w:line="200" w:lineRule="atLeast"/>
              <w:jc w:val="center"/>
              <w:rPr>
                <w:szCs w:val="24"/>
                <w:u w:val="single"/>
              </w:rPr>
            </w:pPr>
          </w:p>
        </w:tc>
        <w:tc>
          <w:tcPr>
            <w:tcW w:w="1260" w:type="dxa"/>
            <w:vMerge/>
            <w:tcBorders>
              <w:left w:val="single" w:sz="4" w:space="0" w:color="000000"/>
              <w:bottom w:val="single" w:sz="4" w:space="0" w:color="000000"/>
              <w:right w:val="single" w:sz="4" w:space="0" w:color="auto"/>
            </w:tcBorders>
            <w:tcMar>
              <w:top w:w="60" w:type="dxa"/>
              <w:left w:w="40" w:type="dxa"/>
              <w:bottom w:w="40" w:type="dxa"/>
              <w:right w:w="40" w:type="dxa"/>
            </w:tcMar>
            <w:vAlign w:val="center"/>
          </w:tcPr>
          <w:p w14:paraId="0619D1E4" w14:textId="77777777" w:rsidR="00DB1AEE" w:rsidRPr="00DB1AEE" w:rsidRDefault="00DB1AEE" w:rsidP="00DB1AEE">
            <w:pPr>
              <w:autoSpaceDE w:val="0"/>
              <w:autoSpaceDN w:val="0"/>
              <w:adjustRightInd w:val="0"/>
              <w:spacing w:before="20" w:after="20" w:line="200" w:lineRule="atLeast"/>
              <w:jc w:val="center"/>
              <w:rPr>
                <w:szCs w:val="24"/>
                <w:u w:val="single"/>
              </w:rPr>
            </w:pPr>
          </w:p>
        </w:tc>
        <w:tc>
          <w:tcPr>
            <w:tcW w:w="1170" w:type="dxa"/>
            <w:tcBorders>
              <w:top w:val="single" w:sz="4" w:space="0" w:color="auto"/>
              <w:left w:val="single" w:sz="4" w:space="0" w:color="auto"/>
              <w:bottom w:val="single" w:sz="4" w:space="0" w:color="auto"/>
              <w:right w:val="single" w:sz="4" w:space="0" w:color="auto"/>
            </w:tcBorders>
          </w:tcPr>
          <w:p w14:paraId="2795C563" w14:textId="77777777" w:rsidR="00DB1AEE" w:rsidRPr="00DB1AEE" w:rsidRDefault="00DB1AEE" w:rsidP="00DB1AEE">
            <w:pPr>
              <w:autoSpaceDE w:val="0"/>
              <w:autoSpaceDN w:val="0"/>
              <w:adjustRightInd w:val="0"/>
              <w:spacing w:before="20" w:after="20" w:line="200" w:lineRule="atLeast"/>
              <w:jc w:val="center"/>
              <w:rPr>
                <w:szCs w:val="24"/>
                <w:u w:val="single"/>
              </w:rPr>
            </w:pPr>
            <w:r w:rsidRPr="00DB1AEE">
              <w:rPr>
                <w:szCs w:val="24"/>
                <w:u w:val="single"/>
              </w:rPr>
              <w:t>R-value</w:t>
            </w:r>
          </w:p>
        </w:tc>
        <w:tc>
          <w:tcPr>
            <w:tcW w:w="540" w:type="dxa"/>
            <w:tcBorders>
              <w:top w:val="single" w:sz="4" w:space="0" w:color="auto"/>
              <w:left w:val="single" w:sz="4" w:space="0" w:color="auto"/>
              <w:bottom w:val="single" w:sz="4" w:space="0" w:color="auto"/>
              <w:right w:val="single" w:sz="4" w:space="0" w:color="auto"/>
            </w:tcBorders>
            <w:tcMar>
              <w:top w:w="60" w:type="dxa"/>
              <w:left w:w="40" w:type="dxa"/>
              <w:bottom w:w="40" w:type="dxa"/>
              <w:right w:w="40" w:type="dxa"/>
            </w:tcMar>
            <w:vAlign w:val="center"/>
          </w:tcPr>
          <w:p w14:paraId="37C22B3A" w14:textId="77777777" w:rsidR="00DB1AEE" w:rsidRPr="00DB1AEE" w:rsidRDefault="00DB1AEE" w:rsidP="00DB1AEE">
            <w:pPr>
              <w:autoSpaceDE w:val="0"/>
              <w:autoSpaceDN w:val="0"/>
              <w:adjustRightInd w:val="0"/>
              <w:spacing w:before="20" w:after="20" w:line="200" w:lineRule="atLeast"/>
              <w:jc w:val="center"/>
              <w:rPr>
                <w:szCs w:val="24"/>
                <w:u w:val="single"/>
              </w:rPr>
            </w:pPr>
            <w:r w:rsidRPr="00DB1AEE">
              <w:rPr>
                <w:szCs w:val="24"/>
                <w:u w:val="single"/>
              </w:rPr>
              <w:t>R-6</w:t>
            </w:r>
          </w:p>
        </w:tc>
        <w:tc>
          <w:tcPr>
            <w:tcW w:w="900" w:type="dxa"/>
            <w:tcBorders>
              <w:top w:val="single" w:sz="4" w:space="0" w:color="auto"/>
              <w:left w:val="single" w:sz="4" w:space="0" w:color="auto"/>
              <w:bottom w:val="single" w:sz="4" w:space="0" w:color="auto"/>
              <w:right w:val="single" w:sz="4" w:space="0" w:color="auto"/>
            </w:tcBorders>
            <w:tcMar>
              <w:top w:w="60" w:type="dxa"/>
              <w:left w:w="40" w:type="dxa"/>
              <w:bottom w:w="40" w:type="dxa"/>
              <w:right w:w="40" w:type="dxa"/>
            </w:tcMar>
            <w:vAlign w:val="center"/>
          </w:tcPr>
          <w:p w14:paraId="2F0115C1" w14:textId="77777777" w:rsidR="00DB1AEE" w:rsidRPr="00DB1AEE" w:rsidRDefault="00DB1AEE" w:rsidP="00DB1AEE">
            <w:pPr>
              <w:autoSpaceDE w:val="0"/>
              <w:autoSpaceDN w:val="0"/>
              <w:adjustRightInd w:val="0"/>
              <w:spacing w:before="20" w:after="20" w:line="200" w:lineRule="atLeast"/>
              <w:jc w:val="center"/>
              <w:rPr>
                <w:szCs w:val="24"/>
                <w:u w:val="single"/>
              </w:rPr>
            </w:pPr>
            <w:r w:rsidRPr="00DB1AEE">
              <w:rPr>
                <w:szCs w:val="24"/>
                <w:u w:val="single"/>
              </w:rPr>
              <w:t>R-9</w:t>
            </w:r>
          </w:p>
        </w:tc>
        <w:tc>
          <w:tcPr>
            <w:tcW w:w="900" w:type="dxa"/>
            <w:tcBorders>
              <w:top w:val="single" w:sz="4" w:space="0" w:color="auto"/>
              <w:left w:val="single" w:sz="4" w:space="0" w:color="auto"/>
              <w:bottom w:val="single" w:sz="4" w:space="0" w:color="auto"/>
              <w:right w:val="single" w:sz="4" w:space="0" w:color="auto"/>
            </w:tcBorders>
            <w:tcMar>
              <w:top w:w="60" w:type="dxa"/>
              <w:left w:w="40" w:type="dxa"/>
              <w:bottom w:w="40" w:type="dxa"/>
              <w:right w:w="40" w:type="dxa"/>
            </w:tcMar>
            <w:vAlign w:val="center"/>
          </w:tcPr>
          <w:p w14:paraId="57AC641B" w14:textId="77777777" w:rsidR="00DB1AEE" w:rsidRPr="00DB1AEE" w:rsidRDefault="00DB1AEE" w:rsidP="00DB1AEE">
            <w:pPr>
              <w:autoSpaceDE w:val="0"/>
              <w:autoSpaceDN w:val="0"/>
              <w:adjustRightInd w:val="0"/>
              <w:spacing w:before="20" w:after="20" w:line="200" w:lineRule="atLeast"/>
              <w:jc w:val="center"/>
              <w:rPr>
                <w:szCs w:val="24"/>
                <w:u w:val="single"/>
              </w:rPr>
            </w:pPr>
            <w:r w:rsidRPr="00DB1AEE">
              <w:rPr>
                <w:szCs w:val="24"/>
                <w:u w:val="single"/>
              </w:rPr>
              <w:t>R-9</w:t>
            </w:r>
          </w:p>
        </w:tc>
        <w:tc>
          <w:tcPr>
            <w:tcW w:w="730" w:type="dxa"/>
            <w:tcBorders>
              <w:top w:val="single" w:sz="4" w:space="0" w:color="auto"/>
              <w:left w:val="single" w:sz="4" w:space="0" w:color="auto"/>
              <w:bottom w:val="single" w:sz="4" w:space="0" w:color="auto"/>
              <w:right w:val="single" w:sz="4" w:space="0" w:color="auto"/>
            </w:tcBorders>
            <w:tcMar>
              <w:top w:w="60" w:type="dxa"/>
              <w:left w:w="40" w:type="dxa"/>
              <w:bottom w:w="40" w:type="dxa"/>
              <w:right w:w="40" w:type="dxa"/>
            </w:tcMar>
            <w:vAlign w:val="center"/>
          </w:tcPr>
          <w:p w14:paraId="0B89353B" w14:textId="77777777" w:rsidR="00DB1AEE" w:rsidRPr="00DB1AEE" w:rsidRDefault="00DB1AEE" w:rsidP="00DB1AEE">
            <w:pPr>
              <w:autoSpaceDE w:val="0"/>
              <w:autoSpaceDN w:val="0"/>
              <w:adjustRightInd w:val="0"/>
              <w:spacing w:before="20" w:after="20" w:line="200" w:lineRule="atLeast"/>
              <w:jc w:val="center"/>
              <w:rPr>
                <w:szCs w:val="24"/>
                <w:u w:val="single"/>
              </w:rPr>
            </w:pPr>
            <w:r w:rsidRPr="00DB1AEE">
              <w:rPr>
                <w:szCs w:val="24"/>
                <w:u w:val="single"/>
              </w:rPr>
              <w:t>R-8</w:t>
            </w:r>
          </w:p>
        </w:tc>
        <w:tc>
          <w:tcPr>
            <w:tcW w:w="635" w:type="dxa"/>
            <w:tcBorders>
              <w:top w:val="single" w:sz="4" w:space="0" w:color="auto"/>
              <w:left w:val="single" w:sz="4" w:space="0" w:color="auto"/>
              <w:bottom w:val="single" w:sz="4" w:space="0" w:color="auto"/>
              <w:right w:val="single" w:sz="4" w:space="0" w:color="auto"/>
            </w:tcBorders>
            <w:tcMar>
              <w:top w:w="60" w:type="dxa"/>
              <w:left w:w="40" w:type="dxa"/>
              <w:bottom w:w="40" w:type="dxa"/>
              <w:right w:w="40" w:type="dxa"/>
            </w:tcMar>
            <w:vAlign w:val="center"/>
          </w:tcPr>
          <w:p w14:paraId="29CBCE9C" w14:textId="77777777" w:rsidR="00DB1AEE" w:rsidRPr="00DB1AEE" w:rsidRDefault="00DB1AEE" w:rsidP="00DB1AEE">
            <w:pPr>
              <w:autoSpaceDE w:val="0"/>
              <w:autoSpaceDN w:val="0"/>
              <w:adjustRightInd w:val="0"/>
              <w:spacing w:before="20" w:after="20" w:line="200" w:lineRule="atLeast"/>
              <w:jc w:val="center"/>
              <w:rPr>
                <w:szCs w:val="24"/>
                <w:u w:val="single"/>
              </w:rPr>
            </w:pPr>
            <w:r w:rsidRPr="00DB1AEE">
              <w:rPr>
                <w:szCs w:val="24"/>
                <w:u w:val="single"/>
              </w:rPr>
              <w:t>R-7</w:t>
            </w:r>
          </w:p>
        </w:tc>
      </w:tr>
    </w:tbl>
    <w:p w14:paraId="4E208FE1" w14:textId="77777777" w:rsidR="00DB1AEE" w:rsidRPr="00DB1AEE" w:rsidRDefault="00DB1AEE" w:rsidP="00DB1AEE">
      <w:pPr>
        <w:suppressAutoHyphens/>
        <w:autoSpaceDE w:val="0"/>
        <w:autoSpaceDN w:val="0"/>
        <w:adjustRightInd w:val="0"/>
        <w:spacing w:before="20" w:line="180" w:lineRule="atLeast"/>
        <w:ind w:left="360" w:hanging="360"/>
        <w:rPr>
          <w:szCs w:val="24"/>
          <w:u w:val="single"/>
        </w:rPr>
      </w:pPr>
      <w:r w:rsidRPr="00DB1AEE">
        <w:rPr>
          <w:szCs w:val="24"/>
          <w:u w:val="single"/>
        </w:rPr>
        <w:t>For SI: 1 inch = 25.4 mm, °C = [(°F) – 32]/1.8.</w:t>
      </w:r>
    </w:p>
    <w:p w14:paraId="523C8673" w14:textId="77777777" w:rsidR="00DB1AEE" w:rsidRPr="00DB1AEE" w:rsidRDefault="00DB1AEE" w:rsidP="00DB1AEE">
      <w:pPr>
        <w:suppressAutoHyphens/>
        <w:autoSpaceDE w:val="0"/>
        <w:autoSpaceDN w:val="0"/>
        <w:adjustRightInd w:val="0"/>
        <w:spacing w:before="20" w:line="180" w:lineRule="atLeast"/>
        <w:ind w:left="360" w:hanging="360"/>
        <w:rPr>
          <w:szCs w:val="24"/>
          <w:u w:val="single"/>
        </w:rPr>
      </w:pPr>
      <w:r w:rsidRPr="00DB1AEE">
        <w:rPr>
          <w:szCs w:val="24"/>
          <w:u w:val="single"/>
        </w:rPr>
        <w:t>a.</w:t>
      </w:r>
      <w:r w:rsidRPr="00DB1AEE">
        <w:rPr>
          <w:szCs w:val="24"/>
          <w:u w:val="single"/>
        </w:rPr>
        <w:tab/>
        <w:t>For piping smaller than 1</w:t>
      </w:r>
      <w:r w:rsidRPr="00DB1AEE">
        <w:rPr>
          <w:szCs w:val="24"/>
          <w:u w:val="single"/>
          <w:vertAlign w:val="superscript"/>
        </w:rPr>
        <w:t>1</w:t>
      </w:r>
      <w:r w:rsidRPr="00DB1AEE">
        <w:rPr>
          <w:szCs w:val="24"/>
          <w:u w:val="single"/>
        </w:rPr>
        <w:t>/</w:t>
      </w:r>
      <w:r w:rsidRPr="00DB1AEE">
        <w:rPr>
          <w:szCs w:val="24"/>
          <w:u w:val="single"/>
          <w:vertAlign w:val="subscript"/>
        </w:rPr>
        <w:t>2</w:t>
      </w:r>
      <w:r w:rsidRPr="00DB1AEE">
        <w:rPr>
          <w:szCs w:val="24"/>
          <w:u w:val="single"/>
        </w:rPr>
        <w:t xml:space="preserve"> inches and located in partitions within conditioned spaces, reduction of these thicknesses by 1 inch shall be permitted (before thickness adjustment required in Note b) but not to a thickness less than 1 inch.</w:t>
      </w:r>
    </w:p>
    <w:p w14:paraId="76FED034" w14:textId="77777777" w:rsidR="00DB1AEE" w:rsidRPr="00DB1AEE" w:rsidRDefault="00DB1AEE" w:rsidP="00DB1AEE">
      <w:pPr>
        <w:suppressAutoHyphens/>
        <w:autoSpaceDE w:val="0"/>
        <w:autoSpaceDN w:val="0"/>
        <w:adjustRightInd w:val="0"/>
        <w:spacing w:before="20" w:line="180" w:lineRule="atLeast"/>
        <w:ind w:left="360" w:hanging="360"/>
        <w:rPr>
          <w:szCs w:val="24"/>
          <w:u w:val="single"/>
        </w:rPr>
      </w:pPr>
      <w:r w:rsidRPr="00DB1AEE">
        <w:rPr>
          <w:szCs w:val="24"/>
          <w:u w:val="single"/>
        </w:rPr>
        <w:t>b.</w:t>
      </w:r>
      <w:r w:rsidRPr="00DB1AEE">
        <w:rPr>
          <w:szCs w:val="24"/>
          <w:u w:val="single"/>
        </w:rPr>
        <w:tab/>
        <w:t xml:space="preserve"> For insulation outside the stated conductivity range, the minimum thickness (T) shall be determined as follows:</w:t>
      </w:r>
    </w:p>
    <w:p w14:paraId="28864058" w14:textId="77777777" w:rsidR="00DB1AEE" w:rsidRPr="00DB1AEE" w:rsidRDefault="00DB1AEE" w:rsidP="00DB1AEE">
      <w:pPr>
        <w:suppressAutoHyphens/>
        <w:autoSpaceDE w:val="0"/>
        <w:autoSpaceDN w:val="0"/>
        <w:adjustRightInd w:val="0"/>
        <w:spacing w:before="20" w:line="180" w:lineRule="atLeast"/>
        <w:ind w:left="720" w:hanging="360"/>
        <w:rPr>
          <w:szCs w:val="24"/>
          <w:u w:val="single"/>
        </w:rPr>
      </w:pPr>
      <w:r w:rsidRPr="00DB1AEE">
        <w:rPr>
          <w:i/>
          <w:iCs/>
          <w:szCs w:val="24"/>
          <w:u w:val="single"/>
        </w:rPr>
        <w:t>T</w:t>
      </w:r>
      <w:r w:rsidRPr="00DB1AEE">
        <w:rPr>
          <w:szCs w:val="24"/>
          <w:u w:val="single"/>
        </w:rPr>
        <w:t xml:space="preserve"> = </w:t>
      </w:r>
      <w:r w:rsidRPr="00DB1AEE">
        <w:rPr>
          <w:i/>
          <w:iCs/>
          <w:szCs w:val="24"/>
          <w:u w:val="single"/>
        </w:rPr>
        <w:t>r</w:t>
      </w:r>
      <w:r w:rsidRPr="00DB1AEE">
        <w:rPr>
          <w:szCs w:val="24"/>
          <w:u w:val="single"/>
        </w:rPr>
        <w:t xml:space="preserve">[(1 + </w:t>
      </w:r>
      <w:r w:rsidRPr="00DB1AEE">
        <w:rPr>
          <w:i/>
          <w:iCs/>
          <w:szCs w:val="24"/>
          <w:u w:val="single"/>
        </w:rPr>
        <w:t>t</w:t>
      </w:r>
      <w:r w:rsidRPr="00DB1AEE">
        <w:rPr>
          <w:szCs w:val="24"/>
          <w:u w:val="single"/>
        </w:rPr>
        <w:t>/</w:t>
      </w:r>
      <w:r w:rsidRPr="00DB1AEE">
        <w:rPr>
          <w:i/>
          <w:iCs/>
          <w:szCs w:val="24"/>
          <w:u w:val="single"/>
        </w:rPr>
        <w:t>r</w:t>
      </w:r>
      <w:r w:rsidRPr="00DB1AEE">
        <w:rPr>
          <w:szCs w:val="24"/>
          <w:u w:val="single"/>
        </w:rPr>
        <w:t>)</w:t>
      </w:r>
      <w:r w:rsidRPr="00DB1AEE">
        <w:rPr>
          <w:szCs w:val="24"/>
          <w:u w:val="single"/>
          <w:vertAlign w:val="superscript"/>
        </w:rPr>
        <w:t>K/k</w:t>
      </w:r>
      <w:r w:rsidRPr="00DB1AEE">
        <w:rPr>
          <w:szCs w:val="24"/>
          <w:u w:val="single"/>
        </w:rPr>
        <w:t xml:space="preserve"> – 1]  </w:t>
      </w:r>
    </w:p>
    <w:p w14:paraId="415F47B6" w14:textId="77777777" w:rsidR="00DB1AEE" w:rsidRPr="00DB1AEE" w:rsidRDefault="00DB1AEE" w:rsidP="00DB1AEE">
      <w:pPr>
        <w:suppressAutoHyphens/>
        <w:autoSpaceDE w:val="0"/>
        <w:autoSpaceDN w:val="0"/>
        <w:adjustRightInd w:val="0"/>
        <w:spacing w:before="20" w:line="180" w:lineRule="atLeast"/>
        <w:ind w:left="720" w:hanging="360"/>
        <w:rPr>
          <w:szCs w:val="24"/>
          <w:u w:val="single"/>
        </w:rPr>
      </w:pPr>
      <w:r w:rsidRPr="00DB1AEE">
        <w:rPr>
          <w:szCs w:val="24"/>
          <w:u w:val="single"/>
        </w:rPr>
        <w:t>where:</w:t>
      </w:r>
    </w:p>
    <w:p w14:paraId="7F4EDF7D" w14:textId="77777777" w:rsidR="00DB1AEE" w:rsidRPr="00DB1AEE" w:rsidRDefault="00DB1AEE" w:rsidP="00DB1AEE">
      <w:pPr>
        <w:suppressAutoHyphens/>
        <w:autoSpaceDE w:val="0"/>
        <w:autoSpaceDN w:val="0"/>
        <w:adjustRightInd w:val="0"/>
        <w:spacing w:before="20" w:line="180" w:lineRule="atLeast"/>
        <w:ind w:left="1080" w:hanging="360"/>
        <w:rPr>
          <w:szCs w:val="24"/>
          <w:u w:val="single"/>
        </w:rPr>
      </w:pPr>
      <w:r w:rsidRPr="00DB1AEE">
        <w:rPr>
          <w:i/>
          <w:iCs/>
          <w:szCs w:val="24"/>
          <w:u w:val="single"/>
        </w:rPr>
        <w:t>T</w:t>
      </w:r>
      <w:r w:rsidRPr="00DB1AEE">
        <w:rPr>
          <w:szCs w:val="24"/>
          <w:u w:val="single"/>
        </w:rPr>
        <w:t xml:space="preserve"> = Minimum insulation thickness. </w:t>
      </w:r>
    </w:p>
    <w:p w14:paraId="0FE0BE77" w14:textId="77777777" w:rsidR="00DB1AEE" w:rsidRPr="00DB1AEE" w:rsidRDefault="00DB1AEE" w:rsidP="00DB1AEE">
      <w:pPr>
        <w:suppressAutoHyphens/>
        <w:autoSpaceDE w:val="0"/>
        <w:autoSpaceDN w:val="0"/>
        <w:adjustRightInd w:val="0"/>
        <w:spacing w:before="20" w:line="180" w:lineRule="atLeast"/>
        <w:ind w:left="1080" w:hanging="360"/>
        <w:rPr>
          <w:szCs w:val="24"/>
          <w:u w:val="single"/>
        </w:rPr>
      </w:pPr>
      <w:r w:rsidRPr="00DB1AEE">
        <w:rPr>
          <w:i/>
          <w:iCs/>
          <w:szCs w:val="24"/>
          <w:u w:val="single"/>
        </w:rPr>
        <w:t>r</w:t>
      </w:r>
      <w:r w:rsidRPr="00DB1AEE">
        <w:rPr>
          <w:szCs w:val="24"/>
          <w:u w:val="single"/>
        </w:rPr>
        <w:t xml:space="preserve"> = Actual outside radius of pipe. </w:t>
      </w:r>
    </w:p>
    <w:p w14:paraId="3BF79F0B" w14:textId="77777777" w:rsidR="00DB1AEE" w:rsidRPr="00DB1AEE" w:rsidRDefault="00DB1AEE" w:rsidP="00DB1AEE">
      <w:pPr>
        <w:suppressAutoHyphens/>
        <w:autoSpaceDE w:val="0"/>
        <w:autoSpaceDN w:val="0"/>
        <w:adjustRightInd w:val="0"/>
        <w:spacing w:before="20" w:line="180" w:lineRule="atLeast"/>
        <w:ind w:left="1080" w:hanging="360"/>
        <w:rPr>
          <w:szCs w:val="24"/>
          <w:u w:val="single"/>
        </w:rPr>
      </w:pPr>
      <w:r w:rsidRPr="00DB1AEE">
        <w:rPr>
          <w:i/>
          <w:iCs/>
          <w:szCs w:val="24"/>
          <w:u w:val="single"/>
        </w:rPr>
        <w:t>t</w:t>
      </w:r>
      <w:r w:rsidRPr="00DB1AEE">
        <w:rPr>
          <w:szCs w:val="24"/>
          <w:u w:val="single"/>
        </w:rPr>
        <w:t xml:space="preserve"> = Insulation thickness listed in the table for applicable fluid temperature and pipe size. </w:t>
      </w:r>
    </w:p>
    <w:p w14:paraId="259D2B3C" w14:textId="77777777" w:rsidR="00DB1AEE" w:rsidRPr="00DB1AEE" w:rsidRDefault="00DB1AEE" w:rsidP="00DB1AEE">
      <w:pPr>
        <w:suppressAutoHyphens/>
        <w:autoSpaceDE w:val="0"/>
        <w:autoSpaceDN w:val="0"/>
        <w:adjustRightInd w:val="0"/>
        <w:spacing w:before="20" w:line="180" w:lineRule="atLeast"/>
        <w:ind w:left="1080" w:hanging="360"/>
        <w:rPr>
          <w:szCs w:val="24"/>
          <w:u w:val="single"/>
        </w:rPr>
      </w:pPr>
      <w:r w:rsidRPr="00DB1AEE">
        <w:rPr>
          <w:i/>
          <w:iCs/>
          <w:szCs w:val="24"/>
          <w:u w:val="single"/>
        </w:rPr>
        <w:t>K</w:t>
      </w:r>
      <w:r w:rsidRPr="00DB1AEE">
        <w:rPr>
          <w:szCs w:val="24"/>
          <w:u w:val="single"/>
        </w:rPr>
        <w:t xml:space="preserve"> = Conductivity of alternate material at mean rating temperature indicated for the applicable fluid temperature (Btu × in/h × ft</w:t>
      </w:r>
      <w:r w:rsidRPr="00DB1AEE">
        <w:rPr>
          <w:szCs w:val="24"/>
          <w:u w:val="single"/>
          <w:vertAlign w:val="superscript"/>
        </w:rPr>
        <w:t>2</w:t>
      </w:r>
      <w:r w:rsidRPr="00DB1AEE">
        <w:rPr>
          <w:szCs w:val="24"/>
          <w:u w:val="single"/>
        </w:rPr>
        <w:t xml:space="preserve"> × °F). </w:t>
      </w:r>
    </w:p>
    <w:p w14:paraId="19906628" w14:textId="77777777" w:rsidR="00DB1AEE" w:rsidRPr="00DB1AEE" w:rsidRDefault="00DB1AEE" w:rsidP="00DB1AEE">
      <w:pPr>
        <w:suppressAutoHyphens/>
        <w:autoSpaceDE w:val="0"/>
        <w:autoSpaceDN w:val="0"/>
        <w:adjustRightInd w:val="0"/>
        <w:spacing w:before="20" w:line="180" w:lineRule="atLeast"/>
        <w:ind w:left="1080" w:hanging="360"/>
        <w:rPr>
          <w:szCs w:val="24"/>
          <w:u w:val="single"/>
        </w:rPr>
      </w:pPr>
      <w:r w:rsidRPr="00DB1AEE">
        <w:rPr>
          <w:i/>
          <w:iCs/>
          <w:szCs w:val="24"/>
          <w:u w:val="single"/>
        </w:rPr>
        <w:t>k</w:t>
      </w:r>
      <w:r w:rsidRPr="00DB1AEE">
        <w:rPr>
          <w:szCs w:val="24"/>
          <w:u w:val="single"/>
        </w:rPr>
        <w:t xml:space="preserve"> = The upper value of the conductivity range listed in the table for the applicable fluid temperature.</w:t>
      </w:r>
    </w:p>
    <w:p w14:paraId="53ABB956" w14:textId="77777777" w:rsidR="00DB1AEE" w:rsidRPr="00DB1AEE" w:rsidRDefault="00DB1AEE" w:rsidP="00DB1AEE">
      <w:pPr>
        <w:suppressAutoHyphens/>
        <w:autoSpaceDE w:val="0"/>
        <w:autoSpaceDN w:val="0"/>
        <w:adjustRightInd w:val="0"/>
        <w:spacing w:before="20" w:line="180" w:lineRule="atLeast"/>
        <w:ind w:left="360" w:hanging="360"/>
        <w:rPr>
          <w:szCs w:val="24"/>
          <w:u w:val="single"/>
        </w:rPr>
      </w:pPr>
      <w:r w:rsidRPr="00DB1AEE">
        <w:rPr>
          <w:szCs w:val="24"/>
          <w:u w:val="single"/>
        </w:rPr>
        <w:t>c.</w:t>
      </w:r>
      <w:r w:rsidRPr="00DB1AEE">
        <w:rPr>
          <w:szCs w:val="24"/>
          <w:u w:val="single"/>
        </w:rPr>
        <w:tab/>
        <w:t>For direct-buried heating and hot water system piping, reduction of these thicknesses by 1</w:t>
      </w:r>
      <w:r w:rsidRPr="00DB1AEE">
        <w:rPr>
          <w:szCs w:val="24"/>
          <w:u w:val="single"/>
          <w:vertAlign w:val="superscript"/>
        </w:rPr>
        <w:t>1</w:t>
      </w:r>
      <w:r w:rsidRPr="00DB1AEE">
        <w:rPr>
          <w:szCs w:val="24"/>
          <w:u w:val="single"/>
        </w:rPr>
        <w:t>/</w:t>
      </w:r>
      <w:r w:rsidRPr="00DB1AEE">
        <w:rPr>
          <w:szCs w:val="24"/>
          <w:u w:val="single"/>
          <w:vertAlign w:val="subscript"/>
        </w:rPr>
        <w:t>2</w:t>
      </w:r>
      <w:r w:rsidRPr="00DB1AEE">
        <w:rPr>
          <w:szCs w:val="24"/>
          <w:u w:val="single"/>
        </w:rPr>
        <w:t xml:space="preserve"> inches (38 mm) shall be permitted (before thickness adjustment required in Note b but not to thicknesses less than 1 inch.</w:t>
      </w:r>
    </w:p>
    <w:p w14:paraId="7DF209E8" w14:textId="77777777" w:rsidR="00DB1AEE" w:rsidRPr="00DB1AEE" w:rsidRDefault="00DB1AEE" w:rsidP="00DB1AEE">
      <w:pPr>
        <w:autoSpaceDE w:val="0"/>
        <w:autoSpaceDN w:val="0"/>
        <w:adjustRightInd w:val="0"/>
        <w:spacing w:before="80" w:after="80" w:line="220" w:lineRule="atLeast"/>
        <w:jc w:val="left"/>
        <w:rPr>
          <w:szCs w:val="24"/>
        </w:rPr>
      </w:pPr>
    </w:p>
    <w:p w14:paraId="4972F82D" w14:textId="77777777" w:rsidR="00DB1AEE" w:rsidRPr="00DB1AEE" w:rsidRDefault="00DB1AEE" w:rsidP="00DB1AEE">
      <w:pPr>
        <w:tabs>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before="80" w:after="80" w:line="220" w:lineRule="atLeast"/>
        <w:ind w:left="460"/>
        <w:jc w:val="center"/>
        <w:rPr>
          <w:b/>
          <w:bCs/>
          <w:szCs w:val="24"/>
          <w:u w:val="single"/>
        </w:rPr>
      </w:pPr>
      <w:bookmarkStart w:id="347" w:name="_Hlk187316798"/>
      <w:r w:rsidRPr="00DB1AEE">
        <w:rPr>
          <w:b/>
          <w:bCs/>
          <w:szCs w:val="24"/>
          <w:u w:val="single"/>
        </w:rPr>
        <w:t>TABLE R403.4.2</w:t>
      </w:r>
    </w:p>
    <w:p w14:paraId="5AA7A997" w14:textId="77777777" w:rsidR="00DB1AEE" w:rsidRPr="00DB1AEE" w:rsidRDefault="00DB1AEE" w:rsidP="00DB1AEE">
      <w:pPr>
        <w:autoSpaceDE w:val="0"/>
        <w:autoSpaceDN w:val="0"/>
        <w:adjustRightInd w:val="0"/>
        <w:spacing w:before="80" w:after="80" w:line="220" w:lineRule="atLeast"/>
        <w:jc w:val="center"/>
        <w:rPr>
          <w:b/>
          <w:bCs/>
          <w:szCs w:val="24"/>
          <w:u w:val="single"/>
        </w:rPr>
      </w:pPr>
      <w:r w:rsidRPr="00DB1AEE">
        <w:rPr>
          <w:b/>
          <w:bCs/>
          <w:szCs w:val="24"/>
          <w:u w:val="single"/>
        </w:rPr>
        <w:t>MINIMUM PIPE INSULATION R-Value</w:t>
      </w:r>
      <w:r w:rsidRPr="00DB1AEE">
        <w:rPr>
          <w:b/>
          <w:bCs/>
          <w:szCs w:val="24"/>
          <w:u w:val="single"/>
          <w:vertAlign w:val="superscript"/>
        </w:rPr>
        <w:t>a</w:t>
      </w:r>
    </w:p>
    <w:tbl>
      <w:tblPr>
        <w:tblW w:w="1043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5035"/>
        <w:gridCol w:w="900"/>
        <w:gridCol w:w="1260"/>
        <w:gridCol w:w="1440"/>
        <w:gridCol w:w="720"/>
        <w:gridCol w:w="1080"/>
      </w:tblGrid>
      <w:tr w:rsidR="00DB1AEE" w:rsidRPr="00DB1AEE" w14:paraId="6BBCBB90" w14:textId="77777777" w:rsidTr="00FC1832">
        <w:trPr>
          <w:trHeight w:val="403"/>
          <w:jc w:val="center"/>
        </w:trPr>
        <w:tc>
          <w:tcPr>
            <w:tcW w:w="5035" w:type="dxa"/>
          </w:tcPr>
          <w:p w14:paraId="6D21FE7D" w14:textId="77777777" w:rsidR="00DB1AEE" w:rsidRPr="00DB1AEE" w:rsidRDefault="00DB1AEE" w:rsidP="00DB1AEE">
            <w:pPr>
              <w:tabs>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before="80" w:after="80" w:line="220" w:lineRule="atLeast"/>
              <w:ind w:left="460"/>
              <w:jc w:val="center"/>
              <w:rPr>
                <w:rFonts w:eastAsia="Calibri"/>
                <w:b/>
                <w:bCs/>
                <w:szCs w:val="24"/>
                <w:u w:val="single"/>
              </w:rPr>
            </w:pPr>
            <w:r w:rsidRPr="00DB1AEE">
              <w:rPr>
                <w:rFonts w:eastAsia="Calibri"/>
                <w:b/>
                <w:bCs/>
                <w:szCs w:val="24"/>
                <w:u w:val="single"/>
              </w:rPr>
              <w:t>FLUID OPERATING TEMPERATURE RANGE AND</w:t>
            </w:r>
          </w:p>
          <w:p w14:paraId="4C2CEC2F" w14:textId="77777777" w:rsidR="00DB1AEE" w:rsidRPr="00DB1AEE" w:rsidRDefault="00DB1AEE" w:rsidP="00DB1AEE">
            <w:pPr>
              <w:autoSpaceDE w:val="0"/>
              <w:autoSpaceDN w:val="0"/>
              <w:adjustRightInd w:val="0"/>
              <w:spacing w:before="80" w:after="80" w:line="220" w:lineRule="atLeast"/>
              <w:jc w:val="center"/>
              <w:rPr>
                <w:rFonts w:eastAsia="Calibri"/>
                <w:b/>
                <w:bCs/>
                <w:szCs w:val="24"/>
                <w:u w:val="single"/>
              </w:rPr>
            </w:pPr>
            <w:r w:rsidRPr="00DB1AEE">
              <w:rPr>
                <w:rFonts w:eastAsia="Calibri"/>
                <w:b/>
                <w:bCs/>
                <w:szCs w:val="24"/>
                <w:u w:val="single"/>
              </w:rPr>
              <w:t>USAGE (°F)</w:t>
            </w:r>
          </w:p>
        </w:tc>
        <w:tc>
          <w:tcPr>
            <w:tcW w:w="5400" w:type="dxa"/>
            <w:gridSpan w:val="5"/>
          </w:tcPr>
          <w:p w14:paraId="726D9AC4" w14:textId="77777777" w:rsidR="00DB1AEE" w:rsidRPr="00DB1AEE" w:rsidRDefault="00DB1AEE" w:rsidP="00DB1AEE">
            <w:pPr>
              <w:tabs>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before="80" w:after="80" w:line="220" w:lineRule="atLeast"/>
              <w:ind w:left="460"/>
              <w:jc w:val="center"/>
              <w:rPr>
                <w:rFonts w:eastAsia="Calibri"/>
                <w:b/>
                <w:bCs/>
                <w:szCs w:val="24"/>
                <w:u w:val="single"/>
              </w:rPr>
            </w:pPr>
            <w:r w:rsidRPr="00DB1AEE">
              <w:rPr>
                <w:rFonts w:eastAsia="Calibri"/>
                <w:b/>
                <w:bCs/>
                <w:szCs w:val="24"/>
                <w:u w:val="single"/>
              </w:rPr>
              <w:t>NOMINAL PIPE OR TUBE SIZE</w:t>
            </w:r>
          </w:p>
          <w:p w14:paraId="71D74D48" w14:textId="77777777" w:rsidR="00DB1AEE" w:rsidRPr="00DB1AEE" w:rsidRDefault="00DB1AEE" w:rsidP="00DB1AEE">
            <w:pPr>
              <w:autoSpaceDE w:val="0"/>
              <w:autoSpaceDN w:val="0"/>
              <w:adjustRightInd w:val="0"/>
              <w:spacing w:before="80" w:after="80" w:line="220" w:lineRule="atLeast"/>
              <w:jc w:val="center"/>
              <w:rPr>
                <w:rFonts w:eastAsia="Calibri"/>
                <w:b/>
                <w:bCs/>
                <w:szCs w:val="24"/>
                <w:u w:val="single"/>
              </w:rPr>
            </w:pPr>
            <w:r w:rsidRPr="00DB1AEE">
              <w:rPr>
                <w:rFonts w:eastAsia="Calibri"/>
                <w:b/>
                <w:bCs/>
                <w:szCs w:val="24"/>
                <w:u w:val="single"/>
              </w:rPr>
              <w:t>(inches)</w:t>
            </w:r>
          </w:p>
        </w:tc>
      </w:tr>
      <w:tr w:rsidR="00DB1AEE" w:rsidRPr="00DB1AEE" w14:paraId="1FD27204" w14:textId="77777777" w:rsidTr="00FC1832">
        <w:trPr>
          <w:trHeight w:val="403"/>
          <w:jc w:val="center"/>
        </w:trPr>
        <w:tc>
          <w:tcPr>
            <w:tcW w:w="5035" w:type="dxa"/>
          </w:tcPr>
          <w:p w14:paraId="42747F9E" w14:textId="77777777" w:rsidR="00DB1AEE" w:rsidRPr="00DB1AEE" w:rsidRDefault="00DB1AEE" w:rsidP="00DB1AEE">
            <w:pPr>
              <w:autoSpaceDE w:val="0"/>
              <w:autoSpaceDN w:val="0"/>
              <w:adjustRightInd w:val="0"/>
              <w:spacing w:before="80" w:after="80" w:line="220" w:lineRule="atLeast"/>
              <w:jc w:val="center"/>
              <w:rPr>
                <w:rFonts w:eastAsia="Calibri"/>
                <w:b/>
                <w:bCs/>
                <w:szCs w:val="24"/>
                <w:u w:val="single"/>
              </w:rPr>
            </w:pPr>
          </w:p>
        </w:tc>
        <w:tc>
          <w:tcPr>
            <w:tcW w:w="900" w:type="dxa"/>
          </w:tcPr>
          <w:p w14:paraId="0A50B76E" w14:textId="77777777" w:rsidR="00DB1AEE" w:rsidRPr="00DB1AEE" w:rsidRDefault="00DB1AEE" w:rsidP="00DB1AEE">
            <w:pPr>
              <w:autoSpaceDE w:val="0"/>
              <w:autoSpaceDN w:val="0"/>
              <w:adjustRightInd w:val="0"/>
              <w:spacing w:before="80" w:after="80" w:line="220" w:lineRule="atLeast"/>
              <w:jc w:val="center"/>
              <w:rPr>
                <w:rFonts w:eastAsia="Calibri"/>
                <w:b/>
                <w:bCs/>
                <w:szCs w:val="24"/>
                <w:u w:val="single"/>
              </w:rPr>
            </w:pPr>
            <w:r w:rsidRPr="00DB1AEE">
              <w:rPr>
                <w:rFonts w:eastAsia="Calibri"/>
                <w:b/>
                <w:bCs/>
                <w:szCs w:val="24"/>
                <w:u w:val="single"/>
              </w:rPr>
              <w:t>&lt;1</w:t>
            </w:r>
          </w:p>
        </w:tc>
        <w:tc>
          <w:tcPr>
            <w:tcW w:w="1260" w:type="dxa"/>
          </w:tcPr>
          <w:p w14:paraId="5599A112" w14:textId="77777777" w:rsidR="00DB1AEE" w:rsidRPr="00DB1AEE" w:rsidRDefault="00DB1AEE" w:rsidP="00DB1AEE">
            <w:pPr>
              <w:tabs>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before="80" w:after="80" w:line="220" w:lineRule="atLeast"/>
              <w:rPr>
                <w:rFonts w:eastAsia="Calibri"/>
                <w:b/>
                <w:bCs/>
                <w:szCs w:val="24"/>
                <w:u w:val="single"/>
              </w:rPr>
            </w:pPr>
            <w:r w:rsidRPr="00DB1AEE">
              <w:rPr>
                <w:rFonts w:eastAsia="Calibri"/>
                <w:b/>
                <w:bCs/>
                <w:szCs w:val="24"/>
                <w:u w:val="single"/>
              </w:rPr>
              <w:t>1 TO &lt;1 1/2</w:t>
            </w:r>
          </w:p>
        </w:tc>
        <w:tc>
          <w:tcPr>
            <w:tcW w:w="1440" w:type="dxa"/>
          </w:tcPr>
          <w:p w14:paraId="01C50C87" w14:textId="77777777" w:rsidR="00DB1AEE" w:rsidRPr="00DB1AEE" w:rsidRDefault="00DB1AEE" w:rsidP="00DB1AEE">
            <w:pPr>
              <w:tabs>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before="80" w:after="80" w:line="220" w:lineRule="atLeast"/>
              <w:rPr>
                <w:rFonts w:eastAsia="Calibri"/>
                <w:b/>
                <w:bCs/>
                <w:szCs w:val="24"/>
                <w:u w:val="single"/>
              </w:rPr>
            </w:pPr>
            <w:r w:rsidRPr="00DB1AEE">
              <w:rPr>
                <w:rFonts w:eastAsia="Calibri"/>
                <w:b/>
                <w:bCs/>
                <w:szCs w:val="24"/>
                <w:u w:val="single"/>
              </w:rPr>
              <w:t>1 1/2 TO &lt;4</w:t>
            </w:r>
          </w:p>
        </w:tc>
        <w:tc>
          <w:tcPr>
            <w:tcW w:w="720" w:type="dxa"/>
          </w:tcPr>
          <w:p w14:paraId="7F7E5A7A" w14:textId="77777777" w:rsidR="00DB1AEE" w:rsidRPr="00DB1AEE" w:rsidRDefault="00DB1AEE" w:rsidP="00DB1AEE">
            <w:pPr>
              <w:tabs>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before="80" w:after="80" w:line="220" w:lineRule="atLeast"/>
              <w:rPr>
                <w:rFonts w:eastAsia="Calibri"/>
                <w:b/>
                <w:bCs/>
                <w:szCs w:val="24"/>
                <w:u w:val="single"/>
              </w:rPr>
            </w:pPr>
            <w:r w:rsidRPr="00DB1AEE">
              <w:rPr>
                <w:rFonts w:eastAsia="Calibri"/>
                <w:b/>
                <w:bCs/>
                <w:szCs w:val="24"/>
                <w:u w:val="single"/>
              </w:rPr>
              <w:t>4 TO &lt;8</w:t>
            </w:r>
          </w:p>
        </w:tc>
        <w:tc>
          <w:tcPr>
            <w:tcW w:w="1080" w:type="dxa"/>
          </w:tcPr>
          <w:p w14:paraId="2D61E672" w14:textId="77777777" w:rsidR="00DB1AEE" w:rsidRPr="00DB1AEE" w:rsidRDefault="00DB1AEE" w:rsidP="00DB1AEE">
            <w:pPr>
              <w:autoSpaceDE w:val="0"/>
              <w:autoSpaceDN w:val="0"/>
              <w:adjustRightInd w:val="0"/>
              <w:spacing w:before="80" w:after="80" w:line="220" w:lineRule="atLeast"/>
              <w:jc w:val="center"/>
              <w:rPr>
                <w:rFonts w:eastAsia="Calibri"/>
                <w:b/>
                <w:bCs/>
                <w:szCs w:val="24"/>
                <w:u w:val="single"/>
              </w:rPr>
            </w:pPr>
            <w:r w:rsidRPr="00DB1AEE">
              <w:rPr>
                <w:rFonts w:eastAsia="Calibri"/>
                <w:b/>
                <w:bCs/>
                <w:szCs w:val="24"/>
                <w:u w:val="single"/>
              </w:rPr>
              <w:t>≥8</w:t>
            </w:r>
          </w:p>
        </w:tc>
      </w:tr>
      <w:tr w:rsidR="00DB1AEE" w:rsidRPr="00DB1AEE" w14:paraId="41007774" w14:textId="77777777" w:rsidTr="00FC1832">
        <w:trPr>
          <w:trHeight w:val="418"/>
          <w:jc w:val="center"/>
        </w:trPr>
        <w:tc>
          <w:tcPr>
            <w:tcW w:w="5035" w:type="dxa"/>
          </w:tcPr>
          <w:p w14:paraId="676CCBAF" w14:textId="77777777" w:rsidR="00DB1AEE" w:rsidRPr="00DB1AEE" w:rsidRDefault="00DB1AEE" w:rsidP="00DB1AEE">
            <w:pPr>
              <w:autoSpaceDE w:val="0"/>
              <w:autoSpaceDN w:val="0"/>
              <w:adjustRightInd w:val="0"/>
              <w:spacing w:before="80" w:after="80" w:line="220" w:lineRule="atLeast"/>
              <w:jc w:val="center"/>
              <w:rPr>
                <w:rFonts w:eastAsia="Calibri"/>
                <w:b/>
                <w:bCs/>
                <w:szCs w:val="24"/>
                <w:u w:val="single"/>
              </w:rPr>
            </w:pPr>
          </w:p>
        </w:tc>
        <w:tc>
          <w:tcPr>
            <w:tcW w:w="5400" w:type="dxa"/>
            <w:gridSpan w:val="5"/>
          </w:tcPr>
          <w:p w14:paraId="53CED64F" w14:textId="77777777" w:rsidR="00DB1AEE" w:rsidRPr="00DB1AEE" w:rsidRDefault="00DB1AEE" w:rsidP="00DB1AEE">
            <w:pPr>
              <w:autoSpaceDE w:val="0"/>
              <w:autoSpaceDN w:val="0"/>
              <w:adjustRightInd w:val="0"/>
              <w:spacing w:before="80" w:after="80" w:line="220" w:lineRule="atLeast"/>
              <w:jc w:val="center"/>
              <w:rPr>
                <w:rFonts w:eastAsia="Calibri"/>
                <w:b/>
                <w:bCs/>
                <w:szCs w:val="24"/>
                <w:u w:val="single"/>
              </w:rPr>
            </w:pPr>
            <w:r w:rsidRPr="00DB1AEE">
              <w:rPr>
                <w:rFonts w:eastAsia="Calibri"/>
                <w:b/>
                <w:bCs/>
                <w:szCs w:val="24"/>
                <w:u w:val="single"/>
              </w:rPr>
              <w:t>Minimum Insulation R-Value</w:t>
            </w:r>
          </w:p>
        </w:tc>
      </w:tr>
      <w:tr w:rsidR="00DB1AEE" w:rsidRPr="00DB1AEE" w14:paraId="14621673" w14:textId="77777777" w:rsidTr="00FC1832">
        <w:trPr>
          <w:trHeight w:val="403"/>
          <w:jc w:val="center"/>
        </w:trPr>
        <w:tc>
          <w:tcPr>
            <w:tcW w:w="5035" w:type="dxa"/>
          </w:tcPr>
          <w:p w14:paraId="49F3866A" w14:textId="77777777" w:rsidR="00DB1AEE" w:rsidRPr="00DB1AEE" w:rsidRDefault="00DB1AEE" w:rsidP="00DB1AEE">
            <w:pPr>
              <w:autoSpaceDE w:val="0"/>
              <w:autoSpaceDN w:val="0"/>
              <w:adjustRightInd w:val="0"/>
              <w:spacing w:before="80" w:after="80" w:line="220" w:lineRule="atLeast"/>
              <w:jc w:val="center"/>
              <w:rPr>
                <w:rFonts w:eastAsia="Calibri"/>
                <w:szCs w:val="24"/>
                <w:u w:val="single"/>
              </w:rPr>
            </w:pPr>
            <w:r w:rsidRPr="00DB1AEE">
              <w:rPr>
                <w:rFonts w:eastAsia="Calibri"/>
                <w:szCs w:val="24"/>
                <w:u w:val="single"/>
              </w:rPr>
              <w:t>&gt;350</w:t>
            </w:r>
          </w:p>
        </w:tc>
        <w:tc>
          <w:tcPr>
            <w:tcW w:w="900" w:type="dxa"/>
          </w:tcPr>
          <w:p w14:paraId="1E787237" w14:textId="77777777" w:rsidR="00DB1AEE" w:rsidRPr="00DB1AEE" w:rsidRDefault="00DB1AEE" w:rsidP="00DB1AEE">
            <w:pPr>
              <w:autoSpaceDE w:val="0"/>
              <w:autoSpaceDN w:val="0"/>
              <w:adjustRightInd w:val="0"/>
              <w:spacing w:before="80" w:after="80" w:line="220" w:lineRule="atLeast"/>
              <w:jc w:val="center"/>
              <w:rPr>
                <w:rFonts w:eastAsia="Calibri"/>
                <w:szCs w:val="24"/>
                <w:u w:val="single"/>
              </w:rPr>
            </w:pPr>
            <w:r w:rsidRPr="00DB1AEE">
              <w:rPr>
                <w:rFonts w:eastAsia="Calibri"/>
                <w:szCs w:val="24"/>
                <w:u w:val="single"/>
              </w:rPr>
              <w:t>R32</w:t>
            </w:r>
          </w:p>
        </w:tc>
        <w:tc>
          <w:tcPr>
            <w:tcW w:w="1260" w:type="dxa"/>
          </w:tcPr>
          <w:p w14:paraId="0DC27C6E" w14:textId="77777777" w:rsidR="00DB1AEE" w:rsidRPr="00DB1AEE" w:rsidRDefault="00DB1AEE" w:rsidP="00DB1AEE">
            <w:pPr>
              <w:autoSpaceDE w:val="0"/>
              <w:autoSpaceDN w:val="0"/>
              <w:adjustRightInd w:val="0"/>
              <w:spacing w:before="80" w:after="80" w:line="220" w:lineRule="atLeast"/>
              <w:jc w:val="center"/>
              <w:rPr>
                <w:rFonts w:eastAsia="Calibri"/>
                <w:szCs w:val="24"/>
                <w:u w:val="single"/>
              </w:rPr>
            </w:pPr>
            <w:r w:rsidRPr="00DB1AEE">
              <w:rPr>
                <w:rFonts w:eastAsia="Calibri"/>
                <w:szCs w:val="24"/>
                <w:u w:val="single"/>
              </w:rPr>
              <w:t>R36</w:t>
            </w:r>
          </w:p>
        </w:tc>
        <w:tc>
          <w:tcPr>
            <w:tcW w:w="1440" w:type="dxa"/>
          </w:tcPr>
          <w:p w14:paraId="792C3045" w14:textId="77777777" w:rsidR="00DB1AEE" w:rsidRPr="00DB1AEE" w:rsidRDefault="00DB1AEE" w:rsidP="00DB1AEE">
            <w:pPr>
              <w:autoSpaceDE w:val="0"/>
              <w:autoSpaceDN w:val="0"/>
              <w:adjustRightInd w:val="0"/>
              <w:spacing w:before="80" w:after="80" w:line="220" w:lineRule="atLeast"/>
              <w:jc w:val="center"/>
              <w:rPr>
                <w:rFonts w:eastAsia="Calibri"/>
                <w:szCs w:val="24"/>
                <w:u w:val="single"/>
              </w:rPr>
            </w:pPr>
            <w:r w:rsidRPr="00DB1AEE">
              <w:rPr>
                <w:rFonts w:eastAsia="Calibri"/>
                <w:szCs w:val="24"/>
                <w:u w:val="single"/>
              </w:rPr>
              <w:t>R34</w:t>
            </w:r>
          </w:p>
        </w:tc>
        <w:tc>
          <w:tcPr>
            <w:tcW w:w="720" w:type="dxa"/>
          </w:tcPr>
          <w:p w14:paraId="2F44BCA1" w14:textId="77777777" w:rsidR="00DB1AEE" w:rsidRPr="00DB1AEE" w:rsidRDefault="00DB1AEE" w:rsidP="00DB1AEE">
            <w:pPr>
              <w:autoSpaceDE w:val="0"/>
              <w:autoSpaceDN w:val="0"/>
              <w:adjustRightInd w:val="0"/>
              <w:spacing w:before="80" w:after="80" w:line="220" w:lineRule="atLeast"/>
              <w:jc w:val="center"/>
              <w:rPr>
                <w:rFonts w:eastAsia="Calibri"/>
                <w:szCs w:val="24"/>
                <w:u w:val="single"/>
              </w:rPr>
            </w:pPr>
            <w:r w:rsidRPr="00DB1AEE">
              <w:rPr>
                <w:rFonts w:eastAsia="Calibri"/>
                <w:szCs w:val="24"/>
                <w:u w:val="single"/>
              </w:rPr>
              <w:t>R26</w:t>
            </w:r>
          </w:p>
        </w:tc>
        <w:tc>
          <w:tcPr>
            <w:tcW w:w="1080" w:type="dxa"/>
          </w:tcPr>
          <w:p w14:paraId="7B05462D" w14:textId="77777777" w:rsidR="00DB1AEE" w:rsidRPr="00DB1AEE" w:rsidRDefault="00DB1AEE" w:rsidP="00DB1AEE">
            <w:pPr>
              <w:autoSpaceDE w:val="0"/>
              <w:autoSpaceDN w:val="0"/>
              <w:adjustRightInd w:val="0"/>
              <w:spacing w:before="80" w:after="80" w:line="220" w:lineRule="atLeast"/>
              <w:jc w:val="center"/>
              <w:rPr>
                <w:rFonts w:eastAsia="Calibri"/>
                <w:szCs w:val="24"/>
                <w:u w:val="single"/>
              </w:rPr>
            </w:pPr>
            <w:r w:rsidRPr="00DB1AEE">
              <w:rPr>
                <w:rFonts w:eastAsia="Calibri"/>
                <w:szCs w:val="24"/>
                <w:u w:val="single"/>
              </w:rPr>
              <w:t>R21</w:t>
            </w:r>
          </w:p>
        </w:tc>
      </w:tr>
      <w:tr w:rsidR="00DB1AEE" w:rsidRPr="00DB1AEE" w14:paraId="2E2D13CF" w14:textId="77777777" w:rsidTr="00FC1832">
        <w:trPr>
          <w:trHeight w:val="403"/>
          <w:jc w:val="center"/>
        </w:trPr>
        <w:tc>
          <w:tcPr>
            <w:tcW w:w="5035" w:type="dxa"/>
          </w:tcPr>
          <w:p w14:paraId="1203F50C" w14:textId="77777777" w:rsidR="00DB1AEE" w:rsidRPr="00DB1AEE" w:rsidRDefault="00DB1AEE" w:rsidP="00DB1AEE">
            <w:pPr>
              <w:autoSpaceDE w:val="0"/>
              <w:autoSpaceDN w:val="0"/>
              <w:adjustRightInd w:val="0"/>
              <w:spacing w:before="80" w:after="80" w:line="220" w:lineRule="atLeast"/>
              <w:jc w:val="center"/>
              <w:rPr>
                <w:rFonts w:eastAsia="Calibri"/>
                <w:szCs w:val="24"/>
                <w:u w:val="single"/>
              </w:rPr>
            </w:pPr>
            <w:r w:rsidRPr="00DB1AEE">
              <w:rPr>
                <w:rFonts w:eastAsia="Calibri"/>
                <w:szCs w:val="24"/>
                <w:u w:val="single"/>
              </w:rPr>
              <w:t>251-350</w:t>
            </w:r>
          </w:p>
        </w:tc>
        <w:tc>
          <w:tcPr>
            <w:tcW w:w="900" w:type="dxa"/>
          </w:tcPr>
          <w:p w14:paraId="3CDC9AD6" w14:textId="77777777" w:rsidR="00DB1AEE" w:rsidRPr="00DB1AEE" w:rsidRDefault="00DB1AEE" w:rsidP="00DB1AEE">
            <w:pPr>
              <w:autoSpaceDE w:val="0"/>
              <w:autoSpaceDN w:val="0"/>
              <w:adjustRightInd w:val="0"/>
              <w:spacing w:before="80" w:after="80" w:line="220" w:lineRule="atLeast"/>
              <w:jc w:val="center"/>
              <w:rPr>
                <w:rFonts w:eastAsia="Calibri"/>
                <w:szCs w:val="24"/>
                <w:u w:val="single"/>
              </w:rPr>
            </w:pPr>
            <w:r w:rsidRPr="00DB1AEE">
              <w:rPr>
                <w:rFonts w:eastAsia="Calibri"/>
                <w:szCs w:val="24"/>
                <w:u w:val="single"/>
              </w:rPr>
              <w:t>R20</w:t>
            </w:r>
          </w:p>
        </w:tc>
        <w:tc>
          <w:tcPr>
            <w:tcW w:w="1260" w:type="dxa"/>
          </w:tcPr>
          <w:p w14:paraId="762CD689" w14:textId="77777777" w:rsidR="00DB1AEE" w:rsidRPr="00DB1AEE" w:rsidRDefault="00DB1AEE" w:rsidP="00DB1AEE">
            <w:pPr>
              <w:autoSpaceDE w:val="0"/>
              <w:autoSpaceDN w:val="0"/>
              <w:adjustRightInd w:val="0"/>
              <w:spacing w:before="80" w:after="80" w:line="220" w:lineRule="atLeast"/>
              <w:jc w:val="center"/>
              <w:rPr>
                <w:rFonts w:eastAsia="Calibri"/>
                <w:szCs w:val="24"/>
                <w:u w:val="single"/>
              </w:rPr>
            </w:pPr>
            <w:r w:rsidRPr="00DB1AEE">
              <w:rPr>
                <w:rFonts w:eastAsia="Calibri"/>
                <w:szCs w:val="24"/>
                <w:u w:val="single"/>
              </w:rPr>
              <w:t>R29</w:t>
            </w:r>
          </w:p>
        </w:tc>
        <w:tc>
          <w:tcPr>
            <w:tcW w:w="1440" w:type="dxa"/>
          </w:tcPr>
          <w:p w14:paraId="312F3AF5" w14:textId="77777777" w:rsidR="00DB1AEE" w:rsidRPr="00DB1AEE" w:rsidRDefault="00DB1AEE" w:rsidP="00DB1AEE">
            <w:pPr>
              <w:autoSpaceDE w:val="0"/>
              <w:autoSpaceDN w:val="0"/>
              <w:adjustRightInd w:val="0"/>
              <w:spacing w:before="80" w:after="80" w:line="220" w:lineRule="atLeast"/>
              <w:jc w:val="center"/>
              <w:rPr>
                <w:rFonts w:eastAsia="Calibri"/>
                <w:szCs w:val="24"/>
                <w:u w:val="single"/>
              </w:rPr>
            </w:pPr>
            <w:r w:rsidRPr="00DB1AEE">
              <w:rPr>
                <w:rFonts w:eastAsia="Calibri"/>
                <w:szCs w:val="24"/>
                <w:u w:val="single"/>
              </w:rPr>
              <w:t>R32</w:t>
            </w:r>
          </w:p>
        </w:tc>
        <w:tc>
          <w:tcPr>
            <w:tcW w:w="720" w:type="dxa"/>
          </w:tcPr>
          <w:p w14:paraId="7BF5A623" w14:textId="77777777" w:rsidR="00DB1AEE" w:rsidRPr="00DB1AEE" w:rsidRDefault="00DB1AEE" w:rsidP="00DB1AEE">
            <w:pPr>
              <w:autoSpaceDE w:val="0"/>
              <w:autoSpaceDN w:val="0"/>
              <w:adjustRightInd w:val="0"/>
              <w:spacing w:before="80" w:after="80" w:line="220" w:lineRule="atLeast"/>
              <w:jc w:val="center"/>
              <w:rPr>
                <w:rFonts w:eastAsia="Calibri"/>
                <w:szCs w:val="24"/>
                <w:u w:val="single"/>
              </w:rPr>
            </w:pPr>
            <w:r w:rsidRPr="00DB1AEE">
              <w:rPr>
                <w:rFonts w:eastAsia="Calibri"/>
                <w:szCs w:val="24"/>
                <w:u w:val="single"/>
              </w:rPr>
              <w:t>R24</w:t>
            </w:r>
          </w:p>
        </w:tc>
        <w:tc>
          <w:tcPr>
            <w:tcW w:w="1080" w:type="dxa"/>
          </w:tcPr>
          <w:p w14:paraId="19F38474" w14:textId="77777777" w:rsidR="00DB1AEE" w:rsidRPr="00DB1AEE" w:rsidRDefault="00DB1AEE" w:rsidP="00DB1AEE">
            <w:pPr>
              <w:autoSpaceDE w:val="0"/>
              <w:autoSpaceDN w:val="0"/>
              <w:adjustRightInd w:val="0"/>
              <w:spacing w:before="80" w:after="80" w:line="220" w:lineRule="atLeast"/>
              <w:jc w:val="center"/>
              <w:rPr>
                <w:rFonts w:eastAsia="Calibri"/>
                <w:szCs w:val="24"/>
                <w:u w:val="single"/>
              </w:rPr>
            </w:pPr>
            <w:r w:rsidRPr="00DB1AEE">
              <w:rPr>
                <w:rFonts w:eastAsia="Calibri"/>
                <w:szCs w:val="24"/>
                <w:u w:val="single"/>
              </w:rPr>
              <w:t>R20</w:t>
            </w:r>
          </w:p>
        </w:tc>
      </w:tr>
      <w:tr w:rsidR="00DB1AEE" w:rsidRPr="00DB1AEE" w14:paraId="0A600F36" w14:textId="77777777" w:rsidTr="00FC1832">
        <w:trPr>
          <w:trHeight w:val="403"/>
          <w:jc w:val="center"/>
        </w:trPr>
        <w:tc>
          <w:tcPr>
            <w:tcW w:w="5035" w:type="dxa"/>
          </w:tcPr>
          <w:p w14:paraId="125DB27C" w14:textId="77777777" w:rsidR="00DB1AEE" w:rsidRPr="00DB1AEE" w:rsidRDefault="00DB1AEE" w:rsidP="00DB1AEE">
            <w:pPr>
              <w:autoSpaceDE w:val="0"/>
              <w:autoSpaceDN w:val="0"/>
              <w:adjustRightInd w:val="0"/>
              <w:spacing w:before="80" w:after="80" w:line="220" w:lineRule="atLeast"/>
              <w:jc w:val="center"/>
              <w:rPr>
                <w:rFonts w:eastAsia="Calibri"/>
                <w:szCs w:val="24"/>
                <w:u w:val="single"/>
              </w:rPr>
            </w:pPr>
            <w:r w:rsidRPr="00DB1AEE">
              <w:rPr>
                <w:rFonts w:eastAsia="Calibri"/>
                <w:szCs w:val="24"/>
                <w:u w:val="single"/>
              </w:rPr>
              <w:t>201-250</w:t>
            </w:r>
          </w:p>
        </w:tc>
        <w:tc>
          <w:tcPr>
            <w:tcW w:w="900" w:type="dxa"/>
          </w:tcPr>
          <w:p w14:paraId="2F95010F" w14:textId="77777777" w:rsidR="00DB1AEE" w:rsidRPr="00DB1AEE" w:rsidRDefault="00DB1AEE" w:rsidP="00DB1AEE">
            <w:pPr>
              <w:autoSpaceDE w:val="0"/>
              <w:autoSpaceDN w:val="0"/>
              <w:adjustRightInd w:val="0"/>
              <w:spacing w:before="80" w:after="80" w:line="220" w:lineRule="atLeast"/>
              <w:jc w:val="center"/>
              <w:rPr>
                <w:rFonts w:eastAsia="Calibri"/>
                <w:szCs w:val="24"/>
                <w:u w:val="single"/>
              </w:rPr>
            </w:pPr>
            <w:r w:rsidRPr="00DB1AEE">
              <w:rPr>
                <w:rFonts w:eastAsia="Calibri"/>
                <w:szCs w:val="24"/>
                <w:u w:val="single"/>
              </w:rPr>
              <w:t>R17</w:t>
            </w:r>
          </w:p>
        </w:tc>
        <w:tc>
          <w:tcPr>
            <w:tcW w:w="1260" w:type="dxa"/>
          </w:tcPr>
          <w:p w14:paraId="02567744" w14:textId="77777777" w:rsidR="00DB1AEE" w:rsidRPr="00DB1AEE" w:rsidRDefault="00DB1AEE" w:rsidP="00DB1AEE">
            <w:pPr>
              <w:autoSpaceDE w:val="0"/>
              <w:autoSpaceDN w:val="0"/>
              <w:adjustRightInd w:val="0"/>
              <w:spacing w:before="80" w:after="80" w:line="220" w:lineRule="atLeast"/>
              <w:jc w:val="center"/>
              <w:rPr>
                <w:rFonts w:eastAsia="Calibri"/>
                <w:szCs w:val="24"/>
                <w:u w:val="single"/>
              </w:rPr>
            </w:pPr>
            <w:r w:rsidRPr="00DB1AEE">
              <w:rPr>
                <w:rFonts w:eastAsia="Calibri"/>
                <w:szCs w:val="24"/>
                <w:u w:val="single"/>
              </w:rPr>
              <w:t>R17</w:t>
            </w:r>
          </w:p>
        </w:tc>
        <w:tc>
          <w:tcPr>
            <w:tcW w:w="1440" w:type="dxa"/>
          </w:tcPr>
          <w:p w14:paraId="4A2A24E0" w14:textId="77777777" w:rsidR="00DB1AEE" w:rsidRPr="00DB1AEE" w:rsidRDefault="00DB1AEE" w:rsidP="00DB1AEE">
            <w:pPr>
              <w:autoSpaceDE w:val="0"/>
              <w:autoSpaceDN w:val="0"/>
              <w:adjustRightInd w:val="0"/>
              <w:spacing w:before="80" w:after="80" w:line="220" w:lineRule="atLeast"/>
              <w:jc w:val="center"/>
              <w:rPr>
                <w:rFonts w:eastAsia="Calibri"/>
                <w:szCs w:val="24"/>
                <w:u w:val="single"/>
              </w:rPr>
            </w:pPr>
            <w:r w:rsidRPr="00DB1AEE">
              <w:rPr>
                <w:rFonts w:eastAsia="Calibri"/>
                <w:szCs w:val="24"/>
                <w:u w:val="single"/>
              </w:rPr>
              <w:t>R17</w:t>
            </w:r>
          </w:p>
        </w:tc>
        <w:tc>
          <w:tcPr>
            <w:tcW w:w="720" w:type="dxa"/>
          </w:tcPr>
          <w:p w14:paraId="4DD56F8E" w14:textId="77777777" w:rsidR="00DB1AEE" w:rsidRPr="00DB1AEE" w:rsidRDefault="00DB1AEE" w:rsidP="00DB1AEE">
            <w:pPr>
              <w:autoSpaceDE w:val="0"/>
              <w:autoSpaceDN w:val="0"/>
              <w:adjustRightInd w:val="0"/>
              <w:spacing w:before="80" w:after="80" w:line="220" w:lineRule="atLeast"/>
              <w:jc w:val="center"/>
              <w:rPr>
                <w:rFonts w:eastAsia="Calibri"/>
                <w:szCs w:val="24"/>
                <w:u w:val="single"/>
              </w:rPr>
            </w:pPr>
            <w:r w:rsidRPr="00DB1AEE">
              <w:rPr>
                <w:rFonts w:eastAsia="Calibri"/>
                <w:szCs w:val="24"/>
                <w:u w:val="single"/>
              </w:rPr>
              <w:t>R15</w:t>
            </w:r>
          </w:p>
        </w:tc>
        <w:tc>
          <w:tcPr>
            <w:tcW w:w="1080" w:type="dxa"/>
          </w:tcPr>
          <w:p w14:paraId="102584B0" w14:textId="77777777" w:rsidR="00DB1AEE" w:rsidRPr="00DB1AEE" w:rsidRDefault="00DB1AEE" w:rsidP="00DB1AEE">
            <w:pPr>
              <w:autoSpaceDE w:val="0"/>
              <w:autoSpaceDN w:val="0"/>
              <w:adjustRightInd w:val="0"/>
              <w:spacing w:before="80" w:after="80" w:line="220" w:lineRule="atLeast"/>
              <w:jc w:val="center"/>
              <w:rPr>
                <w:rFonts w:eastAsia="Calibri"/>
                <w:szCs w:val="24"/>
                <w:u w:val="single"/>
              </w:rPr>
            </w:pPr>
            <w:r w:rsidRPr="00DB1AEE">
              <w:rPr>
                <w:rFonts w:eastAsia="Calibri"/>
                <w:szCs w:val="24"/>
                <w:u w:val="single"/>
              </w:rPr>
              <w:t>R13</w:t>
            </w:r>
          </w:p>
        </w:tc>
      </w:tr>
      <w:tr w:rsidR="00DB1AEE" w:rsidRPr="00DB1AEE" w14:paraId="71C208DD" w14:textId="77777777" w:rsidTr="00FC1832">
        <w:trPr>
          <w:trHeight w:val="403"/>
          <w:jc w:val="center"/>
        </w:trPr>
        <w:tc>
          <w:tcPr>
            <w:tcW w:w="5035" w:type="dxa"/>
          </w:tcPr>
          <w:p w14:paraId="223431BB" w14:textId="77777777" w:rsidR="00DB1AEE" w:rsidRPr="00DB1AEE" w:rsidRDefault="00DB1AEE" w:rsidP="00DB1AEE">
            <w:pPr>
              <w:autoSpaceDE w:val="0"/>
              <w:autoSpaceDN w:val="0"/>
              <w:adjustRightInd w:val="0"/>
              <w:spacing w:before="80" w:after="80" w:line="220" w:lineRule="atLeast"/>
              <w:jc w:val="center"/>
              <w:rPr>
                <w:rFonts w:eastAsia="Calibri"/>
                <w:szCs w:val="24"/>
                <w:u w:val="single"/>
              </w:rPr>
            </w:pPr>
            <w:r w:rsidRPr="00DB1AEE">
              <w:rPr>
                <w:rFonts w:eastAsia="Calibri"/>
                <w:szCs w:val="24"/>
                <w:u w:val="single"/>
              </w:rPr>
              <w:t>141-200</w:t>
            </w:r>
          </w:p>
        </w:tc>
        <w:tc>
          <w:tcPr>
            <w:tcW w:w="900" w:type="dxa"/>
          </w:tcPr>
          <w:p w14:paraId="4764A5BB" w14:textId="77777777" w:rsidR="00DB1AEE" w:rsidRPr="00DB1AEE" w:rsidRDefault="00DB1AEE" w:rsidP="00DB1AEE">
            <w:pPr>
              <w:autoSpaceDE w:val="0"/>
              <w:autoSpaceDN w:val="0"/>
              <w:adjustRightInd w:val="0"/>
              <w:spacing w:before="80" w:after="80" w:line="220" w:lineRule="atLeast"/>
              <w:jc w:val="center"/>
              <w:rPr>
                <w:rFonts w:eastAsia="Calibri"/>
                <w:szCs w:val="24"/>
                <w:u w:val="single"/>
              </w:rPr>
            </w:pPr>
            <w:r w:rsidRPr="00DB1AEE">
              <w:rPr>
                <w:rFonts w:eastAsia="Calibri"/>
                <w:szCs w:val="24"/>
                <w:u w:val="single"/>
              </w:rPr>
              <w:t>R9</w:t>
            </w:r>
          </w:p>
        </w:tc>
        <w:tc>
          <w:tcPr>
            <w:tcW w:w="1260" w:type="dxa"/>
          </w:tcPr>
          <w:p w14:paraId="7B36C5C1" w14:textId="77777777" w:rsidR="00DB1AEE" w:rsidRPr="00DB1AEE" w:rsidRDefault="00DB1AEE" w:rsidP="00DB1AEE">
            <w:pPr>
              <w:autoSpaceDE w:val="0"/>
              <w:autoSpaceDN w:val="0"/>
              <w:adjustRightInd w:val="0"/>
              <w:spacing w:before="80" w:after="80" w:line="220" w:lineRule="atLeast"/>
              <w:jc w:val="center"/>
              <w:rPr>
                <w:rFonts w:eastAsia="Calibri"/>
                <w:szCs w:val="24"/>
                <w:u w:val="single"/>
              </w:rPr>
            </w:pPr>
            <w:r w:rsidRPr="00DB1AEE">
              <w:rPr>
                <w:rFonts w:eastAsia="Calibri"/>
                <w:szCs w:val="24"/>
                <w:u w:val="single"/>
              </w:rPr>
              <w:t>R9</w:t>
            </w:r>
          </w:p>
        </w:tc>
        <w:tc>
          <w:tcPr>
            <w:tcW w:w="1440" w:type="dxa"/>
          </w:tcPr>
          <w:p w14:paraId="7F4D809C" w14:textId="77777777" w:rsidR="00DB1AEE" w:rsidRPr="00DB1AEE" w:rsidRDefault="00DB1AEE" w:rsidP="00DB1AEE">
            <w:pPr>
              <w:autoSpaceDE w:val="0"/>
              <w:autoSpaceDN w:val="0"/>
              <w:adjustRightInd w:val="0"/>
              <w:spacing w:before="80" w:after="80" w:line="220" w:lineRule="atLeast"/>
              <w:jc w:val="center"/>
              <w:rPr>
                <w:rFonts w:eastAsia="Calibri"/>
                <w:szCs w:val="24"/>
                <w:u w:val="single"/>
              </w:rPr>
            </w:pPr>
            <w:r w:rsidRPr="00DB1AEE">
              <w:rPr>
                <w:rFonts w:eastAsia="Calibri"/>
                <w:szCs w:val="24"/>
                <w:u w:val="single"/>
              </w:rPr>
              <w:t>R11</w:t>
            </w:r>
          </w:p>
        </w:tc>
        <w:tc>
          <w:tcPr>
            <w:tcW w:w="720" w:type="dxa"/>
          </w:tcPr>
          <w:p w14:paraId="5B4BD87B" w14:textId="77777777" w:rsidR="00DB1AEE" w:rsidRPr="00DB1AEE" w:rsidRDefault="00DB1AEE" w:rsidP="00DB1AEE">
            <w:pPr>
              <w:autoSpaceDE w:val="0"/>
              <w:autoSpaceDN w:val="0"/>
              <w:adjustRightInd w:val="0"/>
              <w:spacing w:before="80" w:after="80" w:line="220" w:lineRule="atLeast"/>
              <w:jc w:val="center"/>
              <w:rPr>
                <w:rFonts w:eastAsia="Calibri"/>
                <w:szCs w:val="24"/>
                <w:u w:val="single"/>
              </w:rPr>
            </w:pPr>
            <w:r w:rsidRPr="00DB1AEE">
              <w:rPr>
                <w:rFonts w:eastAsia="Calibri"/>
                <w:szCs w:val="24"/>
                <w:u w:val="single"/>
              </w:rPr>
              <w:t>R10</w:t>
            </w:r>
          </w:p>
        </w:tc>
        <w:tc>
          <w:tcPr>
            <w:tcW w:w="1080" w:type="dxa"/>
          </w:tcPr>
          <w:p w14:paraId="07BCD19C" w14:textId="77777777" w:rsidR="00DB1AEE" w:rsidRPr="00DB1AEE" w:rsidRDefault="00DB1AEE" w:rsidP="00DB1AEE">
            <w:pPr>
              <w:autoSpaceDE w:val="0"/>
              <w:autoSpaceDN w:val="0"/>
              <w:adjustRightInd w:val="0"/>
              <w:spacing w:before="80" w:after="80" w:line="220" w:lineRule="atLeast"/>
              <w:jc w:val="center"/>
              <w:rPr>
                <w:rFonts w:eastAsia="Calibri"/>
                <w:szCs w:val="24"/>
                <w:u w:val="single"/>
              </w:rPr>
            </w:pPr>
            <w:r w:rsidRPr="00DB1AEE">
              <w:rPr>
                <w:rFonts w:eastAsia="Calibri"/>
                <w:szCs w:val="24"/>
                <w:u w:val="single"/>
              </w:rPr>
              <w:t>R9</w:t>
            </w:r>
          </w:p>
        </w:tc>
      </w:tr>
      <w:tr w:rsidR="00DB1AEE" w:rsidRPr="00DB1AEE" w14:paraId="31EF9540" w14:textId="77777777" w:rsidTr="00FC1832">
        <w:trPr>
          <w:trHeight w:val="403"/>
          <w:jc w:val="center"/>
        </w:trPr>
        <w:tc>
          <w:tcPr>
            <w:tcW w:w="5035" w:type="dxa"/>
          </w:tcPr>
          <w:p w14:paraId="3BDAF328" w14:textId="77777777" w:rsidR="00DB1AEE" w:rsidRPr="00DB1AEE" w:rsidRDefault="00DB1AEE" w:rsidP="00DB1AEE">
            <w:pPr>
              <w:autoSpaceDE w:val="0"/>
              <w:autoSpaceDN w:val="0"/>
              <w:adjustRightInd w:val="0"/>
              <w:spacing w:before="80" w:after="80" w:line="220" w:lineRule="atLeast"/>
              <w:jc w:val="center"/>
              <w:rPr>
                <w:rFonts w:eastAsia="Calibri"/>
                <w:szCs w:val="24"/>
                <w:u w:val="single"/>
              </w:rPr>
            </w:pPr>
            <w:r w:rsidRPr="00DB1AEE">
              <w:rPr>
                <w:rFonts w:eastAsia="Calibri"/>
                <w:szCs w:val="24"/>
                <w:u w:val="single"/>
              </w:rPr>
              <w:t>105-140</w:t>
            </w:r>
          </w:p>
        </w:tc>
        <w:tc>
          <w:tcPr>
            <w:tcW w:w="900" w:type="dxa"/>
          </w:tcPr>
          <w:p w14:paraId="59AF1C86" w14:textId="77777777" w:rsidR="00DB1AEE" w:rsidRPr="00DB1AEE" w:rsidRDefault="00DB1AEE" w:rsidP="00DB1AEE">
            <w:pPr>
              <w:autoSpaceDE w:val="0"/>
              <w:autoSpaceDN w:val="0"/>
              <w:adjustRightInd w:val="0"/>
              <w:spacing w:before="80" w:after="80" w:line="220" w:lineRule="atLeast"/>
              <w:jc w:val="center"/>
              <w:rPr>
                <w:rFonts w:eastAsia="Calibri"/>
                <w:szCs w:val="24"/>
                <w:u w:val="single"/>
              </w:rPr>
            </w:pPr>
            <w:r w:rsidRPr="00DB1AEE">
              <w:rPr>
                <w:rFonts w:eastAsia="Calibri"/>
                <w:szCs w:val="24"/>
                <w:u w:val="single"/>
              </w:rPr>
              <w:t>R5</w:t>
            </w:r>
          </w:p>
        </w:tc>
        <w:tc>
          <w:tcPr>
            <w:tcW w:w="1260" w:type="dxa"/>
          </w:tcPr>
          <w:p w14:paraId="2DE61619" w14:textId="77777777" w:rsidR="00DB1AEE" w:rsidRPr="00DB1AEE" w:rsidRDefault="00DB1AEE" w:rsidP="00DB1AEE">
            <w:pPr>
              <w:autoSpaceDE w:val="0"/>
              <w:autoSpaceDN w:val="0"/>
              <w:adjustRightInd w:val="0"/>
              <w:spacing w:before="80" w:after="80" w:line="220" w:lineRule="atLeast"/>
              <w:jc w:val="center"/>
              <w:rPr>
                <w:rFonts w:eastAsia="Calibri"/>
                <w:szCs w:val="24"/>
                <w:u w:val="single"/>
              </w:rPr>
            </w:pPr>
            <w:r w:rsidRPr="00DB1AEE">
              <w:rPr>
                <w:rFonts w:eastAsia="Calibri"/>
                <w:szCs w:val="24"/>
                <w:u w:val="single"/>
              </w:rPr>
              <w:t>R9</w:t>
            </w:r>
          </w:p>
        </w:tc>
        <w:tc>
          <w:tcPr>
            <w:tcW w:w="1440" w:type="dxa"/>
          </w:tcPr>
          <w:p w14:paraId="6EEA999E" w14:textId="77777777" w:rsidR="00DB1AEE" w:rsidRPr="00DB1AEE" w:rsidRDefault="00DB1AEE" w:rsidP="00DB1AEE">
            <w:pPr>
              <w:autoSpaceDE w:val="0"/>
              <w:autoSpaceDN w:val="0"/>
              <w:adjustRightInd w:val="0"/>
              <w:spacing w:before="80" w:after="80" w:line="220" w:lineRule="atLeast"/>
              <w:jc w:val="center"/>
              <w:rPr>
                <w:rFonts w:eastAsia="Calibri"/>
                <w:szCs w:val="24"/>
                <w:u w:val="single"/>
              </w:rPr>
            </w:pPr>
            <w:r w:rsidRPr="00DB1AEE">
              <w:rPr>
                <w:rFonts w:eastAsia="Calibri"/>
                <w:szCs w:val="24"/>
                <w:u w:val="single"/>
              </w:rPr>
              <w:t>R8</w:t>
            </w:r>
          </w:p>
        </w:tc>
        <w:tc>
          <w:tcPr>
            <w:tcW w:w="720" w:type="dxa"/>
          </w:tcPr>
          <w:p w14:paraId="391428C0" w14:textId="77777777" w:rsidR="00DB1AEE" w:rsidRPr="00DB1AEE" w:rsidRDefault="00DB1AEE" w:rsidP="00DB1AEE">
            <w:pPr>
              <w:autoSpaceDE w:val="0"/>
              <w:autoSpaceDN w:val="0"/>
              <w:adjustRightInd w:val="0"/>
              <w:spacing w:before="80" w:after="80" w:line="220" w:lineRule="atLeast"/>
              <w:jc w:val="center"/>
              <w:rPr>
                <w:rFonts w:eastAsia="Calibri"/>
                <w:szCs w:val="24"/>
                <w:u w:val="single"/>
              </w:rPr>
            </w:pPr>
            <w:r w:rsidRPr="00DB1AEE">
              <w:rPr>
                <w:rFonts w:eastAsia="Calibri"/>
                <w:szCs w:val="24"/>
                <w:u w:val="single"/>
              </w:rPr>
              <w:t>R8</w:t>
            </w:r>
          </w:p>
        </w:tc>
        <w:tc>
          <w:tcPr>
            <w:tcW w:w="1080" w:type="dxa"/>
          </w:tcPr>
          <w:p w14:paraId="556C2C62" w14:textId="77777777" w:rsidR="00DB1AEE" w:rsidRPr="00DB1AEE" w:rsidRDefault="00DB1AEE" w:rsidP="00DB1AEE">
            <w:pPr>
              <w:autoSpaceDE w:val="0"/>
              <w:autoSpaceDN w:val="0"/>
              <w:adjustRightInd w:val="0"/>
              <w:spacing w:before="80" w:after="80" w:line="220" w:lineRule="atLeast"/>
              <w:jc w:val="center"/>
              <w:rPr>
                <w:rFonts w:eastAsia="Calibri"/>
                <w:szCs w:val="24"/>
                <w:u w:val="single"/>
              </w:rPr>
            </w:pPr>
            <w:r w:rsidRPr="00DB1AEE">
              <w:rPr>
                <w:rFonts w:eastAsia="Calibri"/>
                <w:szCs w:val="24"/>
                <w:u w:val="single"/>
              </w:rPr>
              <w:t>R7</w:t>
            </w:r>
          </w:p>
        </w:tc>
      </w:tr>
      <w:tr w:rsidR="00DB1AEE" w:rsidRPr="00DB1AEE" w14:paraId="68BC593B" w14:textId="77777777" w:rsidTr="00FC1832">
        <w:trPr>
          <w:trHeight w:val="403"/>
          <w:jc w:val="center"/>
        </w:trPr>
        <w:tc>
          <w:tcPr>
            <w:tcW w:w="5035" w:type="dxa"/>
          </w:tcPr>
          <w:p w14:paraId="4F3D966F" w14:textId="77777777" w:rsidR="00DB1AEE" w:rsidRPr="00DB1AEE" w:rsidRDefault="00DB1AEE" w:rsidP="00DB1AEE">
            <w:pPr>
              <w:autoSpaceDE w:val="0"/>
              <w:autoSpaceDN w:val="0"/>
              <w:adjustRightInd w:val="0"/>
              <w:spacing w:before="80" w:after="80" w:line="220" w:lineRule="atLeast"/>
              <w:jc w:val="center"/>
              <w:rPr>
                <w:rFonts w:eastAsia="Calibri"/>
                <w:szCs w:val="24"/>
                <w:u w:val="single"/>
              </w:rPr>
            </w:pPr>
            <w:r w:rsidRPr="00DB1AEE">
              <w:rPr>
                <w:rFonts w:eastAsia="Calibri"/>
                <w:szCs w:val="24"/>
                <w:u w:val="single"/>
              </w:rPr>
              <w:t>40-60</w:t>
            </w:r>
          </w:p>
        </w:tc>
        <w:tc>
          <w:tcPr>
            <w:tcW w:w="900" w:type="dxa"/>
          </w:tcPr>
          <w:p w14:paraId="08C10688" w14:textId="77777777" w:rsidR="00DB1AEE" w:rsidRPr="00DB1AEE" w:rsidRDefault="00DB1AEE" w:rsidP="00DB1AEE">
            <w:pPr>
              <w:autoSpaceDE w:val="0"/>
              <w:autoSpaceDN w:val="0"/>
              <w:adjustRightInd w:val="0"/>
              <w:spacing w:before="80" w:after="80" w:line="220" w:lineRule="atLeast"/>
              <w:jc w:val="center"/>
              <w:rPr>
                <w:rFonts w:eastAsia="Calibri"/>
                <w:szCs w:val="24"/>
                <w:u w:val="single"/>
              </w:rPr>
            </w:pPr>
            <w:r w:rsidRPr="00DB1AEE">
              <w:rPr>
                <w:rFonts w:eastAsia="Calibri"/>
                <w:szCs w:val="24"/>
                <w:u w:val="single"/>
              </w:rPr>
              <w:t>R2</w:t>
            </w:r>
          </w:p>
        </w:tc>
        <w:tc>
          <w:tcPr>
            <w:tcW w:w="1260" w:type="dxa"/>
          </w:tcPr>
          <w:p w14:paraId="70243997" w14:textId="77777777" w:rsidR="00DB1AEE" w:rsidRPr="00DB1AEE" w:rsidRDefault="00DB1AEE" w:rsidP="00DB1AEE">
            <w:pPr>
              <w:autoSpaceDE w:val="0"/>
              <w:autoSpaceDN w:val="0"/>
              <w:adjustRightInd w:val="0"/>
              <w:spacing w:before="80" w:after="80" w:line="220" w:lineRule="atLeast"/>
              <w:jc w:val="center"/>
              <w:rPr>
                <w:rFonts w:eastAsia="Calibri"/>
                <w:szCs w:val="24"/>
                <w:u w:val="single"/>
              </w:rPr>
            </w:pPr>
            <w:r w:rsidRPr="00DB1AEE">
              <w:rPr>
                <w:rFonts w:eastAsia="Calibri"/>
                <w:szCs w:val="24"/>
                <w:u w:val="single"/>
              </w:rPr>
              <w:t>R2</w:t>
            </w:r>
          </w:p>
        </w:tc>
        <w:tc>
          <w:tcPr>
            <w:tcW w:w="1440" w:type="dxa"/>
          </w:tcPr>
          <w:p w14:paraId="38C239D0" w14:textId="77777777" w:rsidR="00DB1AEE" w:rsidRPr="00DB1AEE" w:rsidRDefault="00DB1AEE" w:rsidP="00DB1AEE">
            <w:pPr>
              <w:autoSpaceDE w:val="0"/>
              <w:autoSpaceDN w:val="0"/>
              <w:adjustRightInd w:val="0"/>
              <w:spacing w:before="80" w:after="80" w:line="220" w:lineRule="atLeast"/>
              <w:jc w:val="center"/>
              <w:rPr>
                <w:rFonts w:eastAsia="Calibri"/>
                <w:szCs w:val="24"/>
                <w:u w:val="single"/>
              </w:rPr>
            </w:pPr>
            <w:r w:rsidRPr="00DB1AEE">
              <w:rPr>
                <w:rFonts w:eastAsia="Calibri"/>
                <w:szCs w:val="24"/>
                <w:u w:val="single"/>
              </w:rPr>
              <w:t>R5</w:t>
            </w:r>
          </w:p>
        </w:tc>
        <w:tc>
          <w:tcPr>
            <w:tcW w:w="720" w:type="dxa"/>
          </w:tcPr>
          <w:p w14:paraId="0E30A008" w14:textId="77777777" w:rsidR="00DB1AEE" w:rsidRPr="00DB1AEE" w:rsidRDefault="00DB1AEE" w:rsidP="00DB1AEE">
            <w:pPr>
              <w:autoSpaceDE w:val="0"/>
              <w:autoSpaceDN w:val="0"/>
              <w:adjustRightInd w:val="0"/>
              <w:spacing w:before="80" w:after="80" w:line="220" w:lineRule="atLeast"/>
              <w:jc w:val="center"/>
              <w:rPr>
                <w:rFonts w:eastAsia="Calibri"/>
                <w:szCs w:val="24"/>
                <w:u w:val="single"/>
              </w:rPr>
            </w:pPr>
            <w:r w:rsidRPr="00DB1AEE">
              <w:rPr>
                <w:rFonts w:eastAsia="Calibri"/>
                <w:szCs w:val="24"/>
                <w:u w:val="single"/>
              </w:rPr>
              <w:t>R5</w:t>
            </w:r>
          </w:p>
        </w:tc>
        <w:tc>
          <w:tcPr>
            <w:tcW w:w="1080" w:type="dxa"/>
          </w:tcPr>
          <w:p w14:paraId="7A78009C" w14:textId="77777777" w:rsidR="00DB1AEE" w:rsidRPr="00DB1AEE" w:rsidRDefault="00DB1AEE" w:rsidP="00DB1AEE">
            <w:pPr>
              <w:autoSpaceDE w:val="0"/>
              <w:autoSpaceDN w:val="0"/>
              <w:adjustRightInd w:val="0"/>
              <w:spacing w:before="80" w:after="80" w:line="220" w:lineRule="atLeast"/>
              <w:jc w:val="center"/>
              <w:rPr>
                <w:rFonts w:eastAsia="Calibri"/>
                <w:szCs w:val="24"/>
                <w:u w:val="single"/>
              </w:rPr>
            </w:pPr>
            <w:r w:rsidRPr="00DB1AEE">
              <w:rPr>
                <w:rFonts w:eastAsia="Calibri"/>
                <w:szCs w:val="24"/>
                <w:u w:val="single"/>
              </w:rPr>
              <w:t>R4</w:t>
            </w:r>
          </w:p>
        </w:tc>
      </w:tr>
      <w:tr w:rsidR="00DB1AEE" w:rsidRPr="00DB1AEE" w14:paraId="761F19C7" w14:textId="77777777" w:rsidTr="00FC1832">
        <w:trPr>
          <w:trHeight w:val="403"/>
          <w:jc w:val="center"/>
        </w:trPr>
        <w:tc>
          <w:tcPr>
            <w:tcW w:w="5035" w:type="dxa"/>
          </w:tcPr>
          <w:p w14:paraId="1CB81051" w14:textId="77777777" w:rsidR="00DB1AEE" w:rsidRPr="00DB1AEE" w:rsidRDefault="00DB1AEE" w:rsidP="00DB1AEE">
            <w:pPr>
              <w:autoSpaceDE w:val="0"/>
              <w:autoSpaceDN w:val="0"/>
              <w:adjustRightInd w:val="0"/>
              <w:spacing w:before="80" w:after="80" w:line="220" w:lineRule="atLeast"/>
              <w:jc w:val="center"/>
              <w:rPr>
                <w:rFonts w:eastAsia="Calibri"/>
                <w:szCs w:val="24"/>
                <w:u w:val="single"/>
              </w:rPr>
            </w:pPr>
            <w:r w:rsidRPr="00DB1AEE">
              <w:rPr>
                <w:rFonts w:eastAsia="Calibri"/>
                <w:szCs w:val="24"/>
                <w:u w:val="single"/>
              </w:rPr>
              <w:t>≤40</w:t>
            </w:r>
          </w:p>
        </w:tc>
        <w:tc>
          <w:tcPr>
            <w:tcW w:w="900" w:type="dxa"/>
          </w:tcPr>
          <w:p w14:paraId="5C56ABC5" w14:textId="77777777" w:rsidR="00DB1AEE" w:rsidRPr="00DB1AEE" w:rsidRDefault="00DB1AEE" w:rsidP="00DB1AEE">
            <w:pPr>
              <w:autoSpaceDE w:val="0"/>
              <w:autoSpaceDN w:val="0"/>
              <w:adjustRightInd w:val="0"/>
              <w:spacing w:before="80" w:after="80" w:line="220" w:lineRule="atLeast"/>
              <w:jc w:val="center"/>
              <w:rPr>
                <w:rFonts w:eastAsia="Calibri"/>
                <w:szCs w:val="24"/>
                <w:u w:val="single"/>
              </w:rPr>
            </w:pPr>
            <w:r w:rsidRPr="00DB1AEE">
              <w:rPr>
                <w:rFonts w:eastAsia="Calibri"/>
                <w:szCs w:val="24"/>
                <w:u w:val="single"/>
              </w:rPr>
              <w:t>R6</w:t>
            </w:r>
          </w:p>
        </w:tc>
        <w:tc>
          <w:tcPr>
            <w:tcW w:w="1260" w:type="dxa"/>
          </w:tcPr>
          <w:p w14:paraId="04089530" w14:textId="77777777" w:rsidR="00DB1AEE" w:rsidRPr="00DB1AEE" w:rsidRDefault="00DB1AEE" w:rsidP="00DB1AEE">
            <w:pPr>
              <w:autoSpaceDE w:val="0"/>
              <w:autoSpaceDN w:val="0"/>
              <w:adjustRightInd w:val="0"/>
              <w:spacing w:before="80" w:after="80" w:line="220" w:lineRule="atLeast"/>
              <w:jc w:val="center"/>
              <w:rPr>
                <w:rFonts w:eastAsia="Calibri"/>
                <w:szCs w:val="24"/>
                <w:u w:val="single"/>
              </w:rPr>
            </w:pPr>
            <w:r w:rsidRPr="00DB1AEE">
              <w:rPr>
                <w:rFonts w:eastAsia="Calibri"/>
                <w:szCs w:val="24"/>
                <w:u w:val="single"/>
              </w:rPr>
              <w:t>R9</w:t>
            </w:r>
          </w:p>
        </w:tc>
        <w:tc>
          <w:tcPr>
            <w:tcW w:w="1440" w:type="dxa"/>
          </w:tcPr>
          <w:p w14:paraId="58500623" w14:textId="77777777" w:rsidR="00DB1AEE" w:rsidRPr="00DB1AEE" w:rsidRDefault="00DB1AEE" w:rsidP="00DB1AEE">
            <w:pPr>
              <w:autoSpaceDE w:val="0"/>
              <w:autoSpaceDN w:val="0"/>
              <w:adjustRightInd w:val="0"/>
              <w:spacing w:before="80" w:after="80" w:line="220" w:lineRule="atLeast"/>
              <w:jc w:val="center"/>
              <w:rPr>
                <w:rFonts w:eastAsia="Calibri"/>
                <w:szCs w:val="24"/>
                <w:u w:val="single"/>
              </w:rPr>
            </w:pPr>
            <w:r w:rsidRPr="00DB1AEE">
              <w:rPr>
                <w:rFonts w:eastAsia="Calibri"/>
                <w:szCs w:val="24"/>
                <w:u w:val="single"/>
              </w:rPr>
              <w:t>R9</w:t>
            </w:r>
          </w:p>
        </w:tc>
        <w:tc>
          <w:tcPr>
            <w:tcW w:w="720" w:type="dxa"/>
          </w:tcPr>
          <w:p w14:paraId="1108534B" w14:textId="77777777" w:rsidR="00DB1AEE" w:rsidRPr="00DB1AEE" w:rsidRDefault="00DB1AEE" w:rsidP="00DB1AEE">
            <w:pPr>
              <w:autoSpaceDE w:val="0"/>
              <w:autoSpaceDN w:val="0"/>
              <w:adjustRightInd w:val="0"/>
              <w:spacing w:before="80" w:after="80" w:line="220" w:lineRule="atLeast"/>
              <w:jc w:val="center"/>
              <w:rPr>
                <w:rFonts w:eastAsia="Calibri"/>
                <w:szCs w:val="24"/>
                <w:u w:val="single"/>
              </w:rPr>
            </w:pPr>
            <w:r w:rsidRPr="00DB1AEE">
              <w:rPr>
                <w:rFonts w:eastAsia="Calibri"/>
                <w:szCs w:val="24"/>
                <w:u w:val="single"/>
              </w:rPr>
              <w:t>R8</w:t>
            </w:r>
          </w:p>
        </w:tc>
        <w:tc>
          <w:tcPr>
            <w:tcW w:w="1080" w:type="dxa"/>
          </w:tcPr>
          <w:p w14:paraId="07703147" w14:textId="77777777" w:rsidR="00DB1AEE" w:rsidRPr="00DB1AEE" w:rsidRDefault="00DB1AEE" w:rsidP="00DB1AEE">
            <w:pPr>
              <w:autoSpaceDE w:val="0"/>
              <w:autoSpaceDN w:val="0"/>
              <w:adjustRightInd w:val="0"/>
              <w:spacing w:before="80" w:after="80" w:line="220" w:lineRule="atLeast"/>
              <w:jc w:val="center"/>
              <w:rPr>
                <w:rFonts w:eastAsia="Calibri"/>
                <w:szCs w:val="24"/>
                <w:u w:val="single"/>
              </w:rPr>
            </w:pPr>
            <w:r w:rsidRPr="00DB1AEE">
              <w:rPr>
                <w:rFonts w:eastAsia="Calibri"/>
                <w:szCs w:val="24"/>
                <w:u w:val="single"/>
              </w:rPr>
              <w:t>R7</w:t>
            </w:r>
          </w:p>
        </w:tc>
      </w:tr>
    </w:tbl>
    <w:p w14:paraId="222CCED9" w14:textId="77777777" w:rsidR="00DB1AEE" w:rsidRPr="00DB1AEE" w:rsidRDefault="00DB1AEE" w:rsidP="00DB1AEE">
      <w:pPr>
        <w:autoSpaceDE w:val="0"/>
        <w:autoSpaceDN w:val="0"/>
        <w:adjustRightInd w:val="0"/>
        <w:jc w:val="left"/>
        <w:rPr>
          <w:szCs w:val="24"/>
          <w:u w:val="single"/>
        </w:rPr>
      </w:pPr>
      <w:r w:rsidRPr="00DB1AEE">
        <w:rPr>
          <w:szCs w:val="24"/>
          <w:u w:val="single"/>
        </w:rPr>
        <w:t xml:space="preserve">For SI: R-1 = RSI-0.176228, °C = [(°F)-32]/1.8. </w:t>
      </w:r>
    </w:p>
    <w:p w14:paraId="2C080F82" w14:textId="77777777" w:rsidR="00DB1AEE" w:rsidRPr="00DB1AEE" w:rsidRDefault="00DB1AEE" w:rsidP="00DB1AEE">
      <w:pPr>
        <w:autoSpaceDE w:val="0"/>
        <w:autoSpaceDN w:val="0"/>
        <w:adjustRightInd w:val="0"/>
        <w:jc w:val="left"/>
        <w:rPr>
          <w:szCs w:val="24"/>
          <w:u w:val="single"/>
        </w:rPr>
      </w:pPr>
      <w:r w:rsidRPr="00DB1AEE">
        <w:rPr>
          <w:szCs w:val="24"/>
          <w:u w:val="single"/>
        </w:rPr>
        <w:t xml:space="preserve">a. The R-value of cylindrical piping insulation shall be determined as follows: </w:t>
      </w:r>
    </w:p>
    <w:p w14:paraId="4C47BC4D" w14:textId="77777777" w:rsidR="00DB1AEE" w:rsidRPr="00DB1AEE" w:rsidRDefault="00DB1AEE" w:rsidP="00DB1AEE">
      <w:pPr>
        <w:autoSpaceDE w:val="0"/>
        <w:autoSpaceDN w:val="0"/>
        <w:adjustRightInd w:val="0"/>
        <w:ind w:left="144"/>
        <w:jc w:val="left"/>
        <w:rPr>
          <w:szCs w:val="24"/>
          <w:u w:val="single"/>
        </w:rPr>
      </w:pPr>
      <w:r w:rsidRPr="00DB1AEE">
        <w:rPr>
          <w:szCs w:val="24"/>
          <w:u w:val="single"/>
        </w:rPr>
        <w:t xml:space="preserve">R=(ro(ln(ro/ri)))/k </w:t>
      </w:r>
    </w:p>
    <w:p w14:paraId="770FBA26" w14:textId="77777777" w:rsidR="00DB1AEE" w:rsidRPr="00DB1AEE" w:rsidRDefault="00DB1AEE" w:rsidP="00DB1AEE">
      <w:pPr>
        <w:autoSpaceDE w:val="0"/>
        <w:autoSpaceDN w:val="0"/>
        <w:adjustRightInd w:val="0"/>
        <w:ind w:left="288"/>
        <w:jc w:val="left"/>
        <w:rPr>
          <w:szCs w:val="24"/>
          <w:u w:val="single"/>
        </w:rPr>
      </w:pPr>
      <w:r w:rsidRPr="00DB1AEE">
        <w:rPr>
          <w:szCs w:val="24"/>
          <w:u w:val="single"/>
        </w:rPr>
        <w:t xml:space="preserve">where: </w:t>
      </w:r>
    </w:p>
    <w:p w14:paraId="31653E63" w14:textId="77777777" w:rsidR="00DB1AEE" w:rsidRPr="00DB1AEE" w:rsidRDefault="00DB1AEE" w:rsidP="00DB1AEE">
      <w:pPr>
        <w:autoSpaceDE w:val="0"/>
        <w:autoSpaceDN w:val="0"/>
        <w:adjustRightInd w:val="0"/>
        <w:ind w:left="432"/>
        <w:jc w:val="left"/>
        <w:rPr>
          <w:szCs w:val="24"/>
          <w:u w:val="single"/>
        </w:rPr>
      </w:pPr>
      <w:r w:rsidRPr="00DB1AEE">
        <w:rPr>
          <w:szCs w:val="24"/>
          <w:u w:val="single"/>
        </w:rPr>
        <w:t xml:space="preserve">R = The interior R-value of the cylindrical piping insulation in Btu x ft2 x °F/h </w:t>
      </w:r>
    </w:p>
    <w:p w14:paraId="14173C1A" w14:textId="77777777" w:rsidR="00DB1AEE" w:rsidRPr="00DB1AEE" w:rsidRDefault="00DB1AEE" w:rsidP="00DB1AEE">
      <w:pPr>
        <w:autoSpaceDE w:val="0"/>
        <w:autoSpaceDN w:val="0"/>
        <w:adjustRightInd w:val="0"/>
        <w:ind w:left="432"/>
        <w:jc w:val="left"/>
        <w:rPr>
          <w:szCs w:val="24"/>
          <w:u w:val="single"/>
        </w:rPr>
      </w:pPr>
      <w:r w:rsidRPr="00DB1AEE">
        <w:rPr>
          <w:szCs w:val="24"/>
          <w:u w:val="single"/>
        </w:rPr>
        <w:t xml:space="preserve">ro = The outer radius of the piping insulation in inches </w:t>
      </w:r>
    </w:p>
    <w:p w14:paraId="5A6966A5" w14:textId="77777777" w:rsidR="00DB1AEE" w:rsidRPr="00DB1AEE" w:rsidRDefault="00DB1AEE" w:rsidP="00DB1AEE">
      <w:pPr>
        <w:autoSpaceDE w:val="0"/>
        <w:autoSpaceDN w:val="0"/>
        <w:adjustRightInd w:val="0"/>
        <w:ind w:left="432"/>
        <w:jc w:val="left"/>
        <w:rPr>
          <w:szCs w:val="24"/>
          <w:u w:val="single"/>
        </w:rPr>
      </w:pPr>
      <w:r w:rsidRPr="00DB1AEE">
        <w:rPr>
          <w:szCs w:val="24"/>
          <w:u w:val="single"/>
        </w:rPr>
        <w:t xml:space="preserve">ri = The inner radius of the piping insulation in inches </w:t>
      </w:r>
    </w:p>
    <w:p w14:paraId="1893A06F" w14:textId="77777777" w:rsidR="00DB1AEE" w:rsidRPr="00DB1AEE" w:rsidRDefault="00DB1AEE" w:rsidP="00DB1AEE">
      <w:pPr>
        <w:autoSpaceDE w:val="0"/>
        <w:autoSpaceDN w:val="0"/>
        <w:adjustRightInd w:val="0"/>
        <w:spacing w:before="80" w:after="80" w:line="220" w:lineRule="atLeast"/>
        <w:ind w:left="432"/>
        <w:jc w:val="left"/>
        <w:rPr>
          <w:rFonts w:ascii="Arial" w:hAnsi="Arial" w:cs="Arial"/>
          <w:color w:val="006400"/>
          <w:sz w:val="20"/>
        </w:rPr>
      </w:pPr>
      <w:r w:rsidRPr="00DB1AEE">
        <w:rPr>
          <w:w w:val="0"/>
          <w:szCs w:val="24"/>
          <w:u w:val="single"/>
        </w:rPr>
        <w:t>k = the thermal conductivity of the insulation material in Btu x in/h x ft2 x °F</w:t>
      </w:r>
    </w:p>
    <w:bookmarkEnd w:id="347"/>
    <w:p w14:paraId="727E89A7"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Section R403.5.3 Drain water heat recovery units.</w:t>
      </w:r>
    </w:p>
    <w:p w14:paraId="7B73C8DF" w14:textId="77777777" w:rsidR="00DB1AEE" w:rsidRPr="00DB1AEE" w:rsidRDefault="00DB1AEE" w:rsidP="00DB1AEE">
      <w:pPr>
        <w:widowControl w:val="0"/>
        <w:suppressAutoHyphens/>
        <w:autoSpaceDE w:val="0"/>
        <w:autoSpaceDN w:val="0"/>
        <w:adjustRightInd w:val="0"/>
        <w:spacing w:before="130" w:after="130"/>
        <w:rPr>
          <w:bCs/>
          <w:szCs w:val="24"/>
          <w:u w:val="single"/>
        </w:rPr>
      </w:pPr>
      <w:r w:rsidRPr="00DB1AEE">
        <w:rPr>
          <w:bCs/>
          <w:szCs w:val="24"/>
          <w:u w:val="single"/>
        </w:rPr>
        <w:t>Section R403.5.3 - Revise Section R403.5.3 to read as follows:</w:t>
      </w:r>
    </w:p>
    <w:p w14:paraId="23EE00EF" w14:textId="77777777" w:rsidR="00DB1AEE" w:rsidRPr="00DB1AEE" w:rsidRDefault="00DB1AEE" w:rsidP="00DB1AEE">
      <w:pPr>
        <w:widowControl w:val="0"/>
        <w:suppressAutoHyphens/>
        <w:spacing w:before="130" w:after="130"/>
        <w:ind w:left="360"/>
        <w:rPr>
          <w:u w:val="single"/>
        </w:rPr>
      </w:pPr>
      <w:r w:rsidRPr="00DB1AEE">
        <w:rPr>
          <w:b/>
          <w:bCs/>
          <w:u w:val="single"/>
        </w:rPr>
        <w:t>R403.5.3 Drain water heat recovery units.</w:t>
      </w:r>
      <w:r w:rsidRPr="00DB1AEE">
        <w:rPr>
          <w:u w:val="single"/>
        </w:rPr>
        <w:t xml:space="preserve">  Where installed, drain water heat recovery units shall have a minimum efficiency of 40 percent if installed for equal flow or a minimum efficiency of 52 percent if installed for unequal flow. Drain water heat recovery units shall comply with CSA B55.2 and be tested and labeled in accordance with CSA B55.1. Potable water-side pressure loss of drain water heat recovery units shall be less than 3 psi (20.7 kPa) for individual units connected to one or two showers. Potable water-side pressure loss of drain water heat recovery units shall be less than 2 psi (13.8 kPa) for individual units connected to three or more showers.</w:t>
      </w:r>
    </w:p>
    <w:p w14:paraId="7CA69648" w14:textId="77777777" w:rsidR="00DB1AEE" w:rsidRPr="00DB1AEE" w:rsidRDefault="00DB1AEE" w:rsidP="00DB1AEE">
      <w:pPr>
        <w:widowControl w:val="0"/>
        <w:suppressAutoHyphens/>
        <w:spacing w:before="130" w:after="130"/>
        <w:ind w:left="360"/>
        <w:rPr>
          <w:u w:val="single"/>
        </w:rPr>
      </w:pPr>
    </w:p>
    <w:p w14:paraId="1DE0309C"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Section R403.5.5 Supply of service hot water.   .</w:t>
      </w:r>
    </w:p>
    <w:p w14:paraId="3CB58C3E" w14:textId="77777777" w:rsidR="00DB1AEE" w:rsidRPr="00DB1AEE" w:rsidRDefault="00DB1AEE" w:rsidP="00DB1AEE">
      <w:pPr>
        <w:widowControl w:val="0"/>
        <w:suppressAutoHyphens/>
        <w:autoSpaceDE w:val="0"/>
        <w:autoSpaceDN w:val="0"/>
        <w:adjustRightInd w:val="0"/>
        <w:spacing w:before="130" w:after="130"/>
        <w:rPr>
          <w:bCs/>
          <w:szCs w:val="24"/>
          <w:u w:val="single"/>
        </w:rPr>
      </w:pPr>
      <w:r w:rsidRPr="00DB1AEE">
        <w:rPr>
          <w:bCs/>
          <w:szCs w:val="24"/>
          <w:u w:val="single"/>
        </w:rPr>
        <w:t>Section R403.5.5 – Add Section R403.5.5, Table R403.5.5, Section R403.5.5.1, Table R403.5.5.1, Section R403.5.5.1.1, R403.5.5.2, R403.5.5.3, R403.5.5.4 and Table R403.5.5.4 to read as follows:</w:t>
      </w:r>
    </w:p>
    <w:p w14:paraId="1BD1E983" w14:textId="77777777" w:rsidR="00DB1AEE" w:rsidRPr="00DB1AEE" w:rsidRDefault="00DB1AEE" w:rsidP="00DB1AEE">
      <w:pPr>
        <w:widowControl w:val="0"/>
        <w:suppressAutoHyphens/>
        <w:spacing w:before="130" w:after="130"/>
        <w:ind w:left="360"/>
        <w:rPr>
          <w:u w:val="single"/>
        </w:rPr>
      </w:pPr>
      <w:r w:rsidRPr="00DB1AEE">
        <w:rPr>
          <w:b/>
          <w:bCs/>
          <w:u w:val="single"/>
        </w:rPr>
        <w:t>R403.5.5 Supply of heated water.</w:t>
      </w:r>
      <w:r w:rsidRPr="00DB1AEE">
        <w:rPr>
          <w:u w:val="single"/>
        </w:rPr>
        <w:t xml:space="preserve">   In new buildings, heated water supply piping shall be in accordance with one of the following: </w:t>
      </w:r>
    </w:p>
    <w:p w14:paraId="5EF808E6" w14:textId="77777777" w:rsidR="00DB1AEE" w:rsidRPr="00DB1AEE" w:rsidRDefault="00DB1AEE" w:rsidP="00DB1AEE">
      <w:pPr>
        <w:widowControl w:val="0"/>
        <w:suppressAutoHyphens/>
        <w:spacing w:before="130" w:after="130"/>
        <w:ind w:left="648" w:hanging="288"/>
        <w:rPr>
          <w:u w:val="single"/>
        </w:rPr>
      </w:pPr>
      <w:r w:rsidRPr="00DB1AEE">
        <w:rPr>
          <w:u w:val="single"/>
        </w:rPr>
        <w:t>1.</w:t>
      </w:r>
      <w:r w:rsidRPr="00DB1AEE">
        <w:rPr>
          <w:b/>
          <w:bCs/>
          <w:u w:val="single"/>
        </w:rPr>
        <w:t>Maximum allowable pipe length method</w:t>
      </w:r>
      <w:r w:rsidRPr="00DB1AEE">
        <w:rPr>
          <w:u w:val="single"/>
        </w:rPr>
        <w:t>. The maximum allowable pipe length from the nearest source of heated water to the termination of the fixture supply pipe shall be in accordance with the maximum pipe length in Table R403.5.5. Where the length contains more than one size of pipe, the largest size shall be used for determining the maximum allowable length of the piping in Table R403.5.5.</w:t>
      </w:r>
    </w:p>
    <w:p w14:paraId="6C7A563D" w14:textId="77777777" w:rsidR="00DB1AEE" w:rsidRPr="00DB1AEE" w:rsidRDefault="00DB1AEE" w:rsidP="00DB1AEE">
      <w:pPr>
        <w:widowControl w:val="0"/>
        <w:suppressAutoHyphens/>
        <w:spacing w:before="130" w:after="130"/>
        <w:ind w:left="648" w:hanging="288"/>
        <w:rPr>
          <w:u w:val="single"/>
        </w:rPr>
      </w:pPr>
      <w:r w:rsidRPr="00DB1AEE">
        <w:rPr>
          <w:u w:val="single"/>
        </w:rPr>
        <w:t>2.</w:t>
      </w:r>
      <w:r w:rsidRPr="00DB1AEE">
        <w:rPr>
          <w:b/>
          <w:bCs/>
          <w:u w:val="single"/>
        </w:rPr>
        <w:t>Maximum allowable pipe volume method</w:t>
      </w:r>
      <w:r w:rsidRPr="00DB1AEE">
        <w:rPr>
          <w:u w:val="single"/>
        </w:rPr>
        <w:t>. The water volume in the piping shall be calculated in accordance with Table R403.5.5. The maximum volume of hot or tempered water in the piping to public lavatory faucets shall be 2 ounces. For fixtures other than public lavatory faucets, the maximum volume shall be 64 ounces for hot or tempered water from a waterheater or boiler; and 24 ounces for hot or tempered water from a circulation loop pipe or an electrically heat-traced pipe</w:t>
      </w:r>
    </w:p>
    <w:p w14:paraId="2C4B5793" w14:textId="77777777" w:rsidR="00DB1AEE" w:rsidRPr="00DB1AEE" w:rsidRDefault="00DB1AEE" w:rsidP="00DB1AEE">
      <w:pPr>
        <w:widowControl w:val="0"/>
        <w:suppressAutoHyphens/>
        <w:spacing w:before="130" w:after="130"/>
        <w:ind w:left="648" w:hanging="288"/>
        <w:rPr>
          <w:u w:val="single"/>
        </w:rPr>
      </w:pPr>
      <w:r w:rsidRPr="00DB1AEE">
        <w:rPr>
          <w:u w:val="single"/>
        </w:rPr>
        <w:t>3.</w:t>
      </w:r>
      <w:r w:rsidRPr="00DB1AEE">
        <w:rPr>
          <w:b/>
          <w:bCs/>
          <w:u w:val="single"/>
        </w:rPr>
        <w:t>Drain water heat recovery units</w:t>
      </w:r>
      <w:r w:rsidRPr="00DB1AEE">
        <w:rPr>
          <w:u w:val="single"/>
        </w:rPr>
        <w:t>.  New buildings shall include a drain water heat recovery unit in accordance with R403.5.3.</w:t>
      </w:r>
    </w:p>
    <w:p w14:paraId="616B6E27" w14:textId="77777777" w:rsidR="00DB1AEE" w:rsidRPr="00DB1AEE" w:rsidRDefault="00DB1AEE" w:rsidP="00DB1AEE">
      <w:pPr>
        <w:widowControl w:val="0"/>
        <w:suppressAutoHyphens/>
        <w:spacing w:before="130" w:after="130"/>
        <w:ind w:left="648" w:hanging="288"/>
        <w:rPr>
          <w:u w:val="single"/>
        </w:rPr>
      </w:pPr>
      <w:r w:rsidRPr="00DB1AEE">
        <w:rPr>
          <w:u w:val="single"/>
        </w:rPr>
        <w:t>4.</w:t>
      </w:r>
      <w:r w:rsidRPr="00DB1AEE">
        <w:rPr>
          <w:b/>
          <w:bCs/>
          <w:u w:val="single"/>
        </w:rPr>
        <w:t>Recirculation Systems</w:t>
      </w:r>
      <w:r w:rsidRPr="00DB1AEE">
        <w:rPr>
          <w:u w:val="single"/>
        </w:rPr>
        <w:t>. Projects shall include a recirculation system with no more than 0.5 gallon (1.9 liter) storage.  The storage limit shall be measured from the point where the branch feeding the fixture branches off the recirculation loop to the fixture.   Recirculation systems must be based on an occupant-controlled switch or an occupancy sensor, installed in each bathroom which is located beyond a 0.5 gallon stored-volume range from the water heater.</w:t>
      </w:r>
    </w:p>
    <w:p w14:paraId="716DC081" w14:textId="77777777" w:rsidR="00DB1AEE" w:rsidRPr="00DB1AEE" w:rsidRDefault="00DB1AEE" w:rsidP="00DB1AEE">
      <w:pPr>
        <w:suppressAutoHyphens/>
        <w:jc w:val="center"/>
        <w:rPr>
          <w:b/>
          <w:bCs/>
          <w:szCs w:val="24"/>
          <w:u w:val="single"/>
        </w:rPr>
      </w:pPr>
      <w:r w:rsidRPr="00DB1AEE">
        <w:rPr>
          <w:b/>
          <w:bCs/>
          <w:szCs w:val="24"/>
          <w:u w:val="single"/>
        </w:rPr>
        <w:t>Table R403.5.5</w:t>
      </w:r>
    </w:p>
    <w:p w14:paraId="1A7F1C1D" w14:textId="77777777" w:rsidR="00DB1AEE" w:rsidRPr="00DB1AEE" w:rsidRDefault="00DB1AEE" w:rsidP="00DB1AEE">
      <w:pPr>
        <w:suppressAutoHyphens/>
        <w:jc w:val="center"/>
        <w:rPr>
          <w:b/>
          <w:bCs/>
          <w:szCs w:val="24"/>
          <w:u w:val="single"/>
        </w:rPr>
      </w:pPr>
      <w:r w:rsidRPr="00DB1AEE">
        <w:rPr>
          <w:b/>
          <w:bCs/>
          <w:szCs w:val="24"/>
          <w:u w:val="single"/>
        </w:rPr>
        <w:t>Pipe Volume and Maximum Piping Lengths</w:t>
      </w:r>
    </w:p>
    <w:tbl>
      <w:tblPr>
        <w:tblW w:w="9074" w:type="dxa"/>
        <w:tblInd w:w="-8"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1553"/>
        <w:gridCol w:w="1956"/>
        <w:gridCol w:w="2820"/>
        <w:gridCol w:w="2745"/>
      </w:tblGrid>
      <w:tr w:rsidR="00DB1AEE" w:rsidRPr="00DB1AEE" w14:paraId="1889BD78" w14:textId="77777777" w:rsidTr="00FC1832">
        <w:trPr>
          <w:trHeight w:val="243"/>
        </w:trPr>
        <w:tc>
          <w:tcPr>
            <w:tcW w:w="1553" w:type="dxa"/>
            <w:vMerge w:val="restart"/>
            <w:tcBorders>
              <w:top w:val="single" w:sz="6" w:space="0" w:color="auto"/>
              <w:left w:val="single" w:sz="6" w:space="0" w:color="auto"/>
              <w:bottom w:val="single" w:sz="6" w:space="0" w:color="auto"/>
              <w:right w:val="single" w:sz="4" w:space="0" w:color="auto"/>
            </w:tcBorders>
            <w:vAlign w:val="center"/>
          </w:tcPr>
          <w:p w14:paraId="196632C5" w14:textId="77777777" w:rsidR="00DB1AEE" w:rsidRPr="00DB1AEE" w:rsidRDefault="00DB1AEE" w:rsidP="00DB1AEE">
            <w:pPr>
              <w:suppressAutoHyphens/>
              <w:spacing w:beforeAutospacing="1" w:afterAutospacing="1"/>
              <w:jc w:val="center"/>
              <w:rPr>
                <w:szCs w:val="24"/>
                <w:u w:val="single"/>
              </w:rPr>
            </w:pPr>
            <w:r w:rsidRPr="00DB1AEE">
              <w:rPr>
                <w:szCs w:val="24"/>
                <w:u w:val="single"/>
              </w:rPr>
              <w:t>Nominal Pipe or Tube Size (inch) </w:t>
            </w:r>
          </w:p>
        </w:tc>
        <w:tc>
          <w:tcPr>
            <w:tcW w:w="1956" w:type="dxa"/>
            <w:vMerge w:val="restart"/>
            <w:tcBorders>
              <w:top w:val="single" w:sz="6" w:space="0" w:color="auto"/>
              <w:left w:val="single" w:sz="4" w:space="0" w:color="auto"/>
              <w:bottom w:val="single" w:sz="6" w:space="0" w:color="auto"/>
              <w:right w:val="single" w:sz="6" w:space="0" w:color="auto"/>
            </w:tcBorders>
            <w:vAlign w:val="center"/>
          </w:tcPr>
          <w:p w14:paraId="00B665D2" w14:textId="77777777" w:rsidR="00DB1AEE" w:rsidRPr="00DB1AEE" w:rsidRDefault="00DB1AEE" w:rsidP="00DB1AEE">
            <w:pPr>
              <w:suppressAutoHyphens/>
              <w:spacing w:beforeAutospacing="1" w:afterAutospacing="1"/>
              <w:jc w:val="center"/>
              <w:rPr>
                <w:szCs w:val="24"/>
                <w:u w:val="single"/>
              </w:rPr>
            </w:pPr>
            <w:r w:rsidRPr="00DB1AEE">
              <w:rPr>
                <w:szCs w:val="24"/>
                <w:u w:val="single"/>
              </w:rPr>
              <w:t>VOLUME (Liquid Ounces Per Foot Length) </w:t>
            </w:r>
          </w:p>
        </w:tc>
        <w:tc>
          <w:tcPr>
            <w:tcW w:w="5565" w:type="dxa"/>
            <w:gridSpan w:val="2"/>
            <w:tcBorders>
              <w:top w:val="single" w:sz="6" w:space="0" w:color="auto"/>
              <w:left w:val="single" w:sz="6" w:space="0" w:color="auto"/>
              <w:bottom w:val="single" w:sz="6" w:space="0" w:color="auto"/>
              <w:right w:val="single" w:sz="6" w:space="0" w:color="auto"/>
            </w:tcBorders>
          </w:tcPr>
          <w:p w14:paraId="706CC9E1" w14:textId="77777777" w:rsidR="00DB1AEE" w:rsidRPr="00DB1AEE" w:rsidRDefault="00DB1AEE" w:rsidP="00DB1AEE">
            <w:pPr>
              <w:suppressAutoHyphens/>
              <w:spacing w:beforeAutospacing="1" w:afterAutospacing="1"/>
              <w:jc w:val="center"/>
              <w:rPr>
                <w:szCs w:val="24"/>
                <w:u w:val="single"/>
              </w:rPr>
            </w:pPr>
            <w:r w:rsidRPr="00DB1AEE">
              <w:rPr>
                <w:szCs w:val="24"/>
                <w:u w:val="single"/>
              </w:rPr>
              <w:t>Maximum Pipe or Tube Length </w:t>
            </w:r>
          </w:p>
        </w:tc>
      </w:tr>
      <w:tr w:rsidR="00DB1AEE" w:rsidRPr="00DB1AEE" w14:paraId="2C8BF2F1" w14:textId="77777777" w:rsidTr="00FC1832">
        <w:trPr>
          <w:trHeight w:val="146"/>
        </w:trPr>
        <w:tc>
          <w:tcPr>
            <w:tcW w:w="1553" w:type="dxa"/>
            <w:vMerge/>
          </w:tcPr>
          <w:p w14:paraId="773665DA" w14:textId="77777777" w:rsidR="00DB1AEE" w:rsidRPr="00DB1AEE" w:rsidRDefault="00DB1AEE" w:rsidP="00DB1AEE">
            <w:pPr>
              <w:suppressAutoHyphens/>
              <w:jc w:val="left"/>
              <w:rPr>
                <w:szCs w:val="24"/>
                <w:u w:val="single"/>
              </w:rPr>
            </w:pPr>
          </w:p>
        </w:tc>
        <w:tc>
          <w:tcPr>
            <w:tcW w:w="1956" w:type="dxa"/>
            <w:vMerge/>
          </w:tcPr>
          <w:p w14:paraId="7CEE6469" w14:textId="77777777" w:rsidR="00DB1AEE" w:rsidRPr="00DB1AEE" w:rsidRDefault="00DB1AEE" w:rsidP="00DB1AEE">
            <w:pPr>
              <w:suppressAutoHyphens/>
              <w:jc w:val="left"/>
              <w:rPr>
                <w:szCs w:val="24"/>
                <w:u w:val="single"/>
              </w:rPr>
            </w:pPr>
          </w:p>
        </w:tc>
        <w:tc>
          <w:tcPr>
            <w:tcW w:w="2820" w:type="dxa"/>
            <w:tcBorders>
              <w:top w:val="single" w:sz="6" w:space="0" w:color="auto"/>
              <w:left w:val="single" w:sz="6" w:space="0" w:color="auto"/>
              <w:bottom w:val="single" w:sz="6" w:space="0" w:color="auto"/>
              <w:right w:val="single" w:sz="6" w:space="0" w:color="auto"/>
            </w:tcBorders>
          </w:tcPr>
          <w:p w14:paraId="608F1909" w14:textId="77777777" w:rsidR="00DB1AEE" w:rsidRPr="00DB1AEE" w:rsidRDefault="00DB1AEE" w:rsidP="00DB1AEE">
            <w:pPr>
              <w:suppressAutoHyphens/>
              <w:spacing w:beforeAutospacing="1" w:afterAutospacing="1"/>
              <w:jc w:val="center"/>
              <w:rPr>
                <w:szCs w:val="24"/>
                <w:u w:val="single"/>
              </w:rPr>
            </w:pPr>
            <w:r w:rsidRPr="00DB1AEE">
              <w:rPr>
                <w:szCs w:val="24"/>
                <w:u w:val="single"/>
              </w:rPr>
              <w:t>System without a circulation loop or heat-traced line (feet) </w:t>
            </w:r>
          </w:p>
        </w:tc>
        <w:tc>
          <w:tcPr>
            <w:tcW w:w="2745" w:type="dxa"/>
            <w:tcBorders>
              <w:top w:val="single" w:sz="6" w:space="0" w:color="auto"/>
              <w:left w:val="single" w:sz="6" w:space="0" w:color="auto"/>
              <w:bottom w:val="single" w:sz="6" w:space="0" w:color="auto"/>
              <w:right w:val="single" w:sz="6" w:space="0" w:color="auto"/>
            </w:tcBorders>
          </w:tcPr>
          <w:p w14:paraId="6CC06913" w14:textId="77777777" w:rsidR="00DB1AEE" w:rsidRPr="00DB1AEE" w:rsidRDefault="00DB1AEE" w:rsidP="00DB1AEE">
            <w:pPr>
              <w:suppressAutoHyphens/>
              <w:spacing w:beforeAutospacing="1" w:afterAutospacing="1"/>
              <w:jc w:val="center"/>
              <w:rPr>
                <w:szCs w:val="24"/>
                <w:u w:val="single"/>
              </w:rPr>
            </w:pPr>
            <w:r w:rsidRPr="00DB1AEE">
              <w:rPr>
                <w:szCs w:val="24"/>
                <w:u w:val="single"/>
              </w:rPr>
              <w:t>System with a circulation loop or heat-traced line (feet) </w:t>
            </w:r>
          </w:p>
        </w:tc>
      </w:tr>
      <w:tr w:rsidR="00DB1AEE" w:rsidRPr="00DB1AEE" w14:paraId="64A8C5AD" w14:textId="77777777" w:rsidTr="00FC1832">
        <w:trPr>
          <w:trHeight w:val="243"/>
        </w:trPr>
        <w:tc>
          <w:tcPr>
            <w:tcW w:w="1553" w:type="dxa"/>
            <w:tcBorders>
              <w:top w:val="single" w:sz="6" w:space="0" w:color="auto"/>
              <w:left w:val="single" w:sz="6" w:space="0" w:color="auto"/>
              <w:bottom w:val="single" w:sz="6" w:space="0" w:color="auto"/>
              <w:right w:val="single" w:sz="6" w:space="0" w:color="auto"/>
            </w:tcBorders>
          </w:tcPr>
          <w:p w14:paraId="0FF3D6E7" w14:textId="77777777" w:rsidR="00DB1AEE" w:rsidRPr="00DB1AEE" w:rsidRDefault="00DB1AEE" w:rsidP="00DB1AEE">
            <w:pPr>
              <w:suppressAutoHyphens/>
              <w:spacing w:beforeAutospacing="1" w:afterAutospacing="1"/>
              <w:jc w:val="center"/>
              <w:rPr>
                <w:szCs w:val="24"/>
                <w:u w:val="single"/>
              </w:rPr>
            </w:pPr>
            <w:r w:rsidRPr="00DB1AEE">
              <w:rPr>
                <w:szCs w:val="24"/>
                <w:u w:val="single"/>
              </w:rPr>
              <w:t>1/4</w:t>
            </w:r>
            <w:r w:rsidRPr="00DB1AEE">
              <w:rPr>
                <w:szCs w:val="24"/>
                <w:u w:val="single"/>
                <w:vertAlign w:val="superscript"/>
              </w:rPr>
              <w:t>a</w:t>
            </w:r>
            <w:r w:rsidRPr="00DB1AEE">
              <w:rPr>
                <w:szCs w:val="24"/>
                <w:u w:val="single"/>
              </w:rPr>
              <w:t> </w:t>
            </w:r>
          </w:p>
        </w:tc>
        <w:tc>
          <w:tcPr>
            <w:tcW w:w="1956" w:type="dxa"/>
            <w:tcBorders>
              <w:top w:val="single" w:sz="6" w:space="0" w:color="auto"/>
              <w:left w:val="single" w:sz="6" w:space="0" w:color="auto"/>
              <w:bottom w:val="single" w:sz="6" w:space="0" w:color="auto"/>
              <w:right w:val="single" w:sz="6" w:space="0" w:color="auto"/>
            </w:tcBorders>
          </w:tcPr>
          <w:p w14:paraId="18881D1C" w14:textId="77777777" w:rsidR="00DB1AEE" w:rsidRPr="00DB1AEE" w:rsidRDefault="00DB1AEE" w:rsidP="00DB1AEE">
            <w:pPr>
              <w:suppressAutoHyphens/>
              <w:spacing w:beforeAutospacing="1" w:afterAutospacing="1"/>
              <w:jc w:val="center"/>
              <w:rPr>
                <w:szCs w:val="24"/>
                <w:u w:val="single"/>
              </w:rPr>
            </w:pPr>
            <w:r w:rsidRPr="00DB1AEE">
              <w:rPr>
                <w:szCs w:val="24"/>
                <w:u w:val="single"/>
              </w:rPr>
              <w:t>0.33 </w:t>
            </w:r>
          </w:p>
        </w:tc>
        <w:tc>
          <w:tcPr>
            <w:tcW w:w="2820" w:type="dxa"/>
            <w:tcBorders>
              <w:top w:val="single" w:sz="6" w:space="0" w:color="auto"/>
              <w:left w:val="single" w:sz="6" w:space="0" w:color="auto"/>
              <w:bottom w:val="single" w:sz="6" w:space="0" w:color="auto"/>
              <w:right w:val="single" w:sz="6" w:space="0" w:color="auto"/>
            </w:tcBorders>
          </w:tcPr>
          <w:p w14:paraId="38D16FB3" w14:textId="77777777" w:rsidR="00DB1AEE" w:rsidRPr="00DB1AEE" w:rsidRDefault="00DB1AEE" w:rsidP="00DB1AEE">
            <w:pPr>
              <w:suppressAutoHyphens/>
              <w:spacing w:beforeAutospacing="1" w:afterAutospacing="1"/>
              <w:jc w:val="center"/>
              <w:rPr>
                <w:szCs w:val="24"/>
                <w:u w:val="single"/>
              </w:rPr>
            </w:pPr>
            <w:r w:rsidRPr="00DB1AEE">
              <w:rPr>
                <w:szCs w:val="24"/>
                <w:u w:val="single"/>
              </w:rPr>
              <w:t>50 </w:t>
            </w:r>
          </w:p>
        </w:tc>
        <w:tc>
          <w:tcPr>
            <w:tcW w:w="2745" w:type="dxa"/>
            <w:tcBorders>
              <w:top w:val="single" w:sz="6" w:space="0" w:color="auto"/>
              <w:left w:val="single" w:sz="6" w:space="0" w:color="auto"/>
              <w:bottom w:val="single" w:sz="6" w:space="0" w:color="auto"/>
              <w:right w:val="single" w:sz="6" w:space="0" w:color="auto"/>
            </w:tcBorders>
          </w:tcPr>
          <w:p w14:paraId="55B6E62A" w14:textId="77777777" w:rsidR="00DB1AEE" w:rsidRPr="00DB1AEE" w:rsidRDefault="00DB1AEE" w:rsidP="00DB1AEE">
            <w:pPr>
              <w:suppressAutoHyphens/>
              <w:spacing w:beforeAutospacing="1" w:afterAutospacing="1"/>
              <w:jc w:val="center"/>
              <w:rPr>
                <w:szCs w:val="24"/>
                <w:u w:val="single"/>
              </w:rPr>
            </w:pPr>
            <w:r w:rsidRPr="00DB1AEE">
              <w:rPr>
                <w:szCs w:val="24"/>
                <w:u w:val="single"/>
              </w:rPr>
              <w:t>16 </w:t>
            </w:r>
          </w:p>
        </w:tc>
      </w:tr>
      <w:tr w:rsidR="00DB1AEE" w:rsidRPr="00DB1AEE" w14:paraId="281EEFF3" w14:textId="77777777" w:rsidTr="00FC1832">
        <w:trPr>
          <w:trHeight w:val="243"/>
        </w:trPr>
        <w:tc>
          <w:tcPr>
            <w:tcW w:w="1553" w:type="dxa"/>
            <w:tcBorders>
              <w:top w:val="single" w:sz="6" w:space="0" w:color="auto"/>
              <w:left w:val="single" w:sz="6" w:space="0" w:color="auto"/>
              <w:bottom w:val="single" w:sz="6" w:space="0" w:color="auto"/>
              <w:right w:val="single" w:sz="6" w:space="0" w:color="auto"/>
            </w:tcBorders>
          </w:tcPr>
          <w:p w14:paraId="39B477AF" w14:textId="77777777" w:rsidR="00DB1AEE" w:rsidRPr="00DB1AEE" w:rsidRDefault="00DB1AEE" w:rsidP="00DB1AEE">
            <w:pPr>
              <w:suppressAutoHyphens/>
              <w:spacing w:beforeAutospacing="1" w:afterAutospacing="1"/>
              <w:jc w:val="center"/>
              <w:rPr>
                <w:szCs w:val="24"/>
                <w:u w:val="single"/>
              </w:rPr>
            </w:pPr>
            <w:r w:rsidRPr="00DB1AEE">
              <w:rPr>
                <w:szCs w:val="24"/>
                <w:u w:val="single"/>
              </w:rPr>
              <w:t>5/16</w:t>
            </w:r>
            <w:r w:rsidRPr="00DB1AEE">
              <w:rPr>
                <w:szCs w:val="24"/>
                <w:u w:val="single"/>
                <w:vertAlign w:val="superscript"/>
              </w:rPr>
              <w:t>a</w:t>
            </w:r>
            <w:r w:rsidRPr="00DB1AEE">
              <w:rPr>
                <w:szCs w:val="24"/>
                <w:u w:val="single"/>
              </w:rPr>
              <w:t> </w:t>
            </w:r>
          </w:p>
        </w:tc>
        <w:tc>
          <w:tcPr>
            <w:tcW w:w="1956" w:type="dxa"/>
            <w:tcBorders>
              <w:top w:val="single" w:sz="6" w:space="0" w:color="auto"/>
              <w:left w:val="single" w:sz="6" w:space="0" w:color="auto"/>
              <w:bottom w:val="single" w:sz="6" w:space="0" w:color="auto"/>
              <w:right w:val="single" w:sz="6" w:space="0" w:color="auto"/>
            </w:tcBorders>
          </w:tcPr>
          <w:p w14:paraId="5B603563" w14:textId="77777777" w:rsidR="00DB1AEE" w:rsidRPr="00DB1AEE" w:rsidRDefault="00DB1AEE" w:rsidP="00DB1AEE">
            <w:pPr>
              <w:suppressAutoHyphens/>
              <w:spacing w:beforeAutospacing="1" w:afterAutospacing="1"/>
              <w:jc w:val="center"/>
              <w:rPr>
                <w:szCs w:val="24"/>
                <w:u w:val="single"/>
              </w:rPr>
            </w:pPr>
            <w:r w:rsidRPr="00DB1AEE">
              <w:rPr>
                <w:szCs w:val="24"/>
                <w:u w:val="single"/>
              </w:rPr>
              <w:t>0.5 </w:t>
            </w:r>
          </w:p>
        </w:tc>
        <w:tc>
          <w:tcPr>
            <w:tcW w:w="2820" w:type="dxa"/>
            <w:tcBorders>
              <w:top w:val="single" w:sz="6" w:space="0" w:color="auto"/>
              <w:left w:val="single" w:sz="6" w:space="0" w:color="auto"/>
              <w:bottom w:val="single" w:sz="6" w:space="0" w:color="auto"/>
              <w:right w:val="single" w:sz="6" w:space="0" w:color="auto"/>
            </w:tcBorders>
          </w:tcPr>
          <w:p w14:paraId="14ECF561" w14:textId="77777777" w:rsidR="00DB1AEE" w:rsidRPr="00DB1AEE" w:rsidRDefault="00DB1AEE" w:rsidP="00DB1AEE">
            <w:pPr>
              <w:suppressAutoHyphens/>
              <w:spacing w:beforeAutospacing="1" w:afterAutospacing="1"/>
              <w:jc w:val="center"/>
              <w:rPr>
                <w:szCs w:val="24"/>
                <w:u w:val="single"/>
              </w:rPr>
            </w:pPr>
            <w:r w:rsidRPr="00DB1AEE">
              <w:rPr>
                <w:szCs w:val="24"/>
                <w:u w:val="single"/>
              </w:rPr>
              <w:t>50 </w:t>
            </w:r>
          </w:p>
        </w:tc>
        <w:tc>
          <w:tcPr>
            <w:tcW w:w="2745" w:type="dxa"/>
            <w:tcBorders>
              <w:top w:val="single" w:sz="6" w:space="0" w:color="auto"/>
              <w:left w:val="single" w:sz="6" w:space="0" w:color="auto"/>
              <w:bottom w:val="single" w:sz="6" w:space="0" w:color="auto"/>
              <w:right w:val="single" w:sz="6" w:space="0" w:color="auto"/>
            </w:tcBorders>
          </w:tcPr>
          <w:p w14:paraId="618E389E" w14:textId="77777777" w:rsidR="00DB1AEE" w:rsidRPr="00DB1AEE" w:rsidRDefault="00DB1AEE" w:rsidP="00DB1AEE">
            <w:pPr>
              <w:suppressAutoHyphens/>
              <w:spacing w:beforeAutospacing="1" w:afterAutospacing="1"/>
              <w:jc w:val="center"/>
              <w:rPr>
                <w:szCs w:val="24"/>
                <w:u w:val="single"/>
              </w:rPr>
            </w:pPr>
            <w:r w:rsidRPr="00DB1AEE">
              <w:rPr>
                <w:szCs w:val="24"/>
                <w:u w:val="single"/>
              </w:rPr>
              <w:t>16 </w:t>
            </w:r>
          </w:p>
        </w:tc>
      </w:tr>
      <w:tr w:rsidR="00DB1AEE" w:rsidRPr="00DB1AEE" w14:paraId="776E948E" w14:textId="77777777" w:rsidTr="00FC1832">
        <w:trPr>
          <w:trHeight w:val="243"/>
        </w:trPr>
        <w:tc>
          <w:tcPr>
            <w:tcW w:w="1553" w:type="dxa"/>
            <w:tcBorders>
              <w:top w:val="single" w:sz="6" w:space="0" w:color="auto"/>
              <w:left w:val="single" w:sz="6" w:space="0" w:color="auto"/>
              <w:bottom w:val="single" w:sz="6" w:space="0" w:color="auto"/>
              <w:right w:val="single" w:sz="6" w:space="0" w:color="auto"/>
            </w:tcBorders>
          </w:tcPr>
          <w:p w14:paraId="45E7FBFE" w14:textId="77777777" w:rsidR="00DB1AEE" w:rsidRPr="00DB1AEE" w:rsidRDefault="00DB1AEE" w:rsidP="00DB1AEE">
            <w:pPr>
              <w:suppressAutoHyphens/>
              <w:spacing w:beforeAutospacing="1" w:afterAutospacing="1"/>
              <w:jc w:val="center"/>
              <w:rPr>
                <w:szCs w:val="24"/>
                <w:u w:val="single"/>
              </w:rPr>
            </w:pPr>
            <w:r w:rsidRPr="00DB1AEE">
              <w:rPr>
                <w:szCs w:val="24"/>
                <w:u w:val="single"/>
              </w:rPr>
              <w:t>3/8</w:t>
            </w:r>
            <w:r w:rsidRPr="00DB1AEE">
              <w:rPr>
                <w:szCs w:val="24"/>
                <w:u w:val="single"/>
                <w:vertAlign w:val="superscript"/>
              </w:rPr>
              <w:t>a</w:t>
            </w:r>
            <w:r w:rsidRPr="00DB1AEE">
              <w:rPr>
                <w:szCs w:val="24"/>
                <w:u w:val="single"/>
              </w:rPr>
              <w:t> </w:t>
            </w:r>
          </w:p>
        </w:tc>
        <w:tc>
          <w:tcPr>
            <w:tcW w:w="1956" w:type="dxa"/>
            <w:tcBorders>
              <w:top w:val="single" w:sz="6" w:space="0" w:color="auto"/>
              <w:left w:val="single" w:sz="6" w:space="0" w:color="auto"/>
              <w:bottom w:val="single" w:sz="6" w:space="0" w:color="auto"/>
              <w:right w:val="single" w:sz="6" w:space="0" w:color="auto"/>
            </w:tcBorders>
          </w:tcPr>
          <w:p w14:paraId="6FBB1A62" w14:textId="77777777" w:rsidR="00DB1AEE" w:rsidRPr="00DB1AEE" w:rsidRDefault="00DB1AEE" w:rsidP="00DB1AEE">
            <w:pPr>
              <w:suppressAutoHyphens/>
              <w:spacing w:beforeAutospacing="1" w:afterAutospacing="1"/>
              <w:jc w:val="center"/>
              <w:rPr>
                <w:szCs w:val="24"/>
                <w:u w:val="single"/>
              </w:rPr>
            </w:pPr>
            <w:r w:rsidRPr="00DB1AEE">
              <w:rPr>
                <w:szCs w:val="24"/>
                <w:u w:val="single"/>
              </w:rPr>
              <w:t>0.75 </w:t>
            </w:r>
          </w:p>
        </w:tc>
        <w:tc>
          <w:tcPr>
            <w:tcW w:w="2820" w:type="dxa"/>
            <w:tcBorders>
              <w:top w:val="single" w:sz="6" w:space="0" w:color="auto"/>
              <w:left w:val="single" w:sz="6" w:space="0" w:color="auto"/>
              <w:bottom w:val="single" w:sz="6" w:space="0" w:color="auto"/>
              <w:right w:val="single" w:sz="6" w:space="0" w:color="auto"/>
            </w:tcBorders>
          </w:tcPr>
          <w:p w14:paraId="77F01D01" w14:textId="77777777" w:rsidR="00DB1AEE" w:rsidRPr="00DB1AEE" w:rsidRDefault="00DB1AEE" w:rsidP="00DB1AEE">
            <w:pPr>
              <w:suppressAutoHyphens/>
              <w:spacing w:beforeAutospacing="1" w:afterAutospacing="1"/>
              <w:jc w:val="center"/>
              <w:rPr>
                <w:szCs w:val="24"/>
                <w:u w:val="single"/>
              </w:rPr>
            </w:pPr>
            <w:r w:rsidRPr="00DB1AEE">
              <w:rPr>
                <w:szCs w:val="24"/>
                <w:u w:val="single"/>
              </w:rPr>
              <w:t>50 </w:t>
            </w:r>
          </w:p>
        </w:tc>
        <w:tc>
          <w:tcPr>
            <w:tcW w:w="2745" w:type="dxa"/>
            <w:tcBorders>
              <w:top w:val="single" w:sz="6" w:space="0" w:color="auto"/>
              <w:left w:val="single" w:sz="6" w:space="0" w:color="auto"/>
              <w:bottom w:val="single" w:sz="6" w:space="0" w:color="auto"/>
              <w:right w:val="single" w:sz="6" w:space="0" w:color="auto"/>
            </w:tcBorders>
          </w:tcPr>
          <w:p w14:paraId="5195B5DC" w14:textId="77777777" w:rsidR="00DB1AEE" w:rsidRPr="00DB1AEE" w:rsidRDefault="00DB1AEE" w:rsidP="00DB1AEE">
            <w:pPr>
              <w:suppressAutoHyphens/>
              <w:spacing w:beforeAutospacing="1" w:afterAutospacing="1"/>
              <w:jc w:val="center"/>
              <w:rPr>
                <w:szCs w:val="24"/>
                <w:u w:val="single"/>
              </w:rPr>
            </w:pPr>
            <w:r w:rsidRPr="00DB1AEE">
              <w:rPr>
                <w:szCs w:val="24"/>
                <w:u w:val="single"/>
              </w:rPr>
              <w:t>16 </w:t>
            </w:r>
          </w:p>
        </w:tc>
      </w:tr>
      <w:tr w:rsidR="00DB1AEE" w:rsidRPr="00DB1AEE" w14:paraId="3639EDC5" w14:textId="77777777" w:rsidTr="00FC1832">
        <w:trPr>
          <w:trHeight w:val="228"/>
        </w:trPr>
        <w:tc>
          <w:tcPr>
            <w:tcW w:w="1553" w:type="dxa"/>
            <w:tcBorders>
              <w:top w:val="single" w:sz="6" w:space="0" w:color="auto"/>
              <w:left w:val="single" w:sz="6" w:space="0" w:color="auto"/>
              <w:bottom w:val="single" w:sz="6" w:space="0" w:color="auto"/>
              <w:right w:val="single" w:sz="6" w:space="0" w:color="auto"/>
            </w:tcBorders>
          </w:tcPr>
          <w:p w14:paraId="68461168" w14:textId="77777777" w:rsidR="00DB1AEE" w:rsidRPr="00DB1AEE" w:rsidRDefault="00DB1AEE" w:rsidP="00DB1AEE">
            <w:pPr>
              <w:suppressAutoHyphens/>
              <w:spacing w:beforeAutospacing="1" w:afterAutospacing="1"/>
              <w:jc w:val="center"/>
              <w:rPr>
                <w:szCs w:val="24"/>
                <w:u w:val="single"/>
              </w:rPr>
            </w:pPr>
            <w:r w:rsidRPr="00DB1AEE">
              <w:rPr>
                <w:szCs w:val="24"/>
                <w:u w:val="single"/>
              </w:rPr>
              <w:t>1/2 </w:t>
            </w:r>
          </w:p>
        </w:tc>
        <w:tc>
          <w:tcPr>
            <w:tcW w:w="1956" w:type="dxa"/>
            <w:tcBorders>
              <w:top w:val="single" w:sz="6" w:space="0" w:color="auto"/>
              <w:left w:val="single" w:sz="6" w:space="0" w:color="auto"/>
              <w:bottom w:val="single" w:sz="6" w:space="0" w:color="auto"/>
              <w:right w:val="single" w:sz="6" w:space="0" w:color="auto"/>
            </w:tcBorders>
          </w:tcPr>
          <w:p w14:paraId="6316AC81" w14:textId="77777777" w:rsidR="00DB1AEE" w:rsidRPr="00DB1AEE" w:rsidRDefault="00DB1AEE" w:rsidP="00DB1AEE">
            <w:pPr>
              <w:suppressAutoHyphens/>
              <w:spacing w:beforeAutospacing="1" w:afterAutospacing="1"/>
              <w:jc w:val="center"/>
              <w:rPr>
                <w:szCs w:val="24"/>
                <w:u w:val="single"/>
              </w:rPr>
            </w:pPr>
            <w:r w:rsidRPr="00DB1AEE">
              <w:rPr>
                <w:szCs w:val="24"/>
                <w:u w:val="single"/>
              </w:rPr>
              <w:t>1.5 </w:t>
            </w:r>
          </w:p>
        </w:tc>
        <w:tc>
          <w:tcPr>
            <w:tcW w:w="2820" w:type="dxa"/>
            <w:tcBorders>
              <w:top w:val="single" w:sz="6" w:space="0" w:color="auto"/>
              <w:left w:val="single" w:sz="6" w:space="0" w:color="auto"/>
              <w:bottom w:val="single" w:sz="6" w:space="0" w:color="auto"/>
              <w:right w:val="single" w:sz="6" w:space="0" w:color="auto"/>
            </w:tcBorders>
          </w:tcPr>
          <w:p w14:paraId="77E4B603" w14:textId="77777777" w:rsidR="00DB1AEE" w:rsidRPr="00DB1AEE" w:rsidRDefault="00DB1AEE" w:rsidP="00DB1AEE">
            <w:pPr>
              <w:suppressAutoHyphens/>
              <w:spacing w:beforeAutospacing="1" w:afterAutospacing="1"/>
              <w:jc w:val="center"/>
              <w:rPr>
                <w:szCs w:val="24"/>
                <w:u w:val="single"/>
              </w:rPr>
            </w:pPr>
            <w:r w:rsidRPr="00DB1AEE">
              <w:rPr>
                <w:szCs w:val="24"/>
                <w:u w:val="single"/>
              </w:rPr>
              <w:t>43 </w:t>
            </w:r>
          </w:p>
        </w:tc>
        <w:tc>
          <w:tcPr>
            <w:tcW w:w="2745" w:type="dxa"/>
            <w:tcBorders>
              <w:top w:val="single" w:sz="6" w:space="0" w:color="auto"/>
              <w:left w:val="single" w:sz="6" w:space="0" w:color="auto"/>
              <w:bottom w:val="single" w:sz="6" w:space="0" w:color="auto"/>
              <w:right w:val="single" w:sz="6" w:space="0" w:color="auto"/>
            </w:tcBorders>
          </w:tcPr>
          <w:p w14:paraId="1C279989" w14:textId="77777777" w:rsidR="00DB1AEE" w:rsidRPr="00DB1AEE" w:rsidRDefault="00DB1AEE" w:rsidP="00DB1AEE">
            <w:pPr>
              <w:suppressAutoHyphens/>
              <w:spacing w:beforeAutospacing="1" w:afterAutospacing="1"/>
              <w:jc w:val="center"/>
              <w:rPr>
                <w:szCs w:val="24"/>
                <w:u w:val="single"/>
              </w:rPr>
            </w:pPr>
            <w:r w:rsidRPr="00DB1AEE">
              <w:rPr>
                <w:szCs w:val="24"/>
                <w:u w:val="single"/>
              </w:rPr>
              <w:t>16 </w:t>
            </w:r>
          </w:p>
        </w:tc>
      </w:tr>
      <w:tr w:rsidR="00DB1AEE" w:rsidRPr="00DB1AEE" w14:paraId="7D04FC77" w14:textId="77777777" w:rsidTr="00FC1832">
        <w:trPr>
          <w:trHeight w:val="243"/>
        </w:trPr>
        <w:tc>
          <w:tcPr>
            <w:tcW w:w="1553" w:type="dxa"/>
            <w:tcBorders>
              <w:top w:val="single" w:sz="6" w:space="0" w:color="auto"/>
              <w:left w:val="single" w:sz="6" w:space="0" w:color="auto"/>
              <w:bottom w:val="single" w:sz="6" w:space="0" w:color="auto"/>
              <w:right w:val="single" w:sz="6" w:space="0" w:color="auto"/>
            </w:tcBorders>
          </w:tcPr>
          <w:p w14:paraId="67635F9A" w14:textId="77777777" w:rsidR="00DB1AEE" w:rsidRPr="00DB1AEE" w:rsidRDefault="00DB1AEE" w:rsidP="00DB1AEE">
            <w:pPr>
              <w:suppressAutoHyphens/>
              <w:spacing w:beforeAutospacing="1" w:afterAutospacing="1"/>
              <w:jc w:val="center"/>
              <w:rPr>
                <w:szCs w:val="24"/>
                <w:u w:val="single"/>
              </w:rPr>
            </w:pPr>
            <w:r w:rsidRPr="00DB1AEE">
              <w:rPr>
                <w:szCs w:val="24"/>
                <w:u w:val="single"/>
              </w:rPr>
              <w:t>5/8 </w:t>
            </w:r>
          </w:p>
        </w:tc>
        <w:tc>
          <w:tcPr>
            <w:tcW w:w="1956" w:type="dxa"/>
            <w:tcBorders>
              <w:top w:val="single" w:sz="6" w:space="0" w:color="auto"/>
              <w:left w:val="single" w:sz="6" w:space="0" w:color="auto"/>
              <w:bottom w:val="single" w:sz="6" w:space="0" w:color="auto"/>
              <w:right w:val="single" w:sz="6" w:space="0" w:color="auto"/>
            </w:tcBorders>
          </w:tcPr>
          <w:p w14:paraId="6A578A42" w14:textId="77777777" w:rsidR="00DB1AEE" w:rsidRPr="00DB1AEE" w:rsidRDefault="00DB1AEE" w:rsidP="00DB1AEE">
            <w:pPr>
              <w:suppressAutoHyphens/>
              <w:spacing w:beforeAutospacing="1" w:afterAutospacing="1"/>
              <w:jc w:val="center"/>
              <w:rPr>
                <w:szCs w:val="24"/>
                <w:u w:val="single"/>
              </w:rPr>
            </w:pPr>
            <w:r w:rsidRPr="00DB1AEE">
              <w:rPr>
                <w:szCs w:val="24"/>
                <w:u w:val="single"/>
              </w:rPr>
              <w:t>2 </w:t>
            </w:r>
          </w:p>
        </w:tc>
        <w:tc>
          <w:tcPr>
            <w:tcW w:w="2820" w:type="dxa"/>
            <w:tcBorders>
              <w:top w:val="single" w:sz="6" w:space="0" w:color="auto"/>
              <w:left w:val="single" w:sz="6" w:space="0" w:color="auto"/>
              <w:bottom w:val="single" w:sz="6" w:space="0" w:color="auto"/>
              <w:right w:val="single" w:sz="6" w:space="0" w:color="auto"/>
            </w:tcBorders>
          </w:tcPr>
          <w:p w14:paraId="3B5FF4B9" w14:textId="77777777" w:rsidR="00DB1AEE" w:rsidRPr="00DB1AEE" w:rsidRDefault="00DB1AEE" w:rsidP="00DB1AEE">
            <w:pPr>
              <w:suppressAutoHyphens/>
              <w:spacing w:beforeAutospacing="1" w:afterAutospacing="1"/>
              <w:jc w:val="center"/>
              <w:rPr>
                <w:szCs w:val="24"/>
                <w:u w:val="single"/>
              </w:rPr>
            </w:pPr>
            <w:r w:rsidRPr="00DB1AEE">
              <w:rPr>
                <w:szCs w:val="24"/>
                <w:u w:val="single"/>
              </w:rPr>
              <w:t>32 </w:t>
            </w:r>
          </w:p>
        </w:tc>
        <w:tc>
          <w:tcPr>
            <w:tcW w:w="2745" w:type="dxa"/>
            <w:tcBorders>
              <w:top w:val="single" w:sz="6" w:space="0" w:color="auto"/>
              <w:left w:val="single" w:sz="6" w:space="0" w:color="auto"/>
              <w:bottom w:val="single" w:sz="6" w:space="0" w:color="auto"/>
              <w:right w:val="single" w:sz="6" w:space="0" w:color="auto"/>
            </w:tcBorders>
          </w:tcPr>
          <w:p w14:paraId="6B3C2283" w14:textId="77777777" w:rsidR="00DB1AEE" w:rsidRPr="00DB1AEE" w:rsidRDefault="00DB1AEE" w:rsidP="00DB1AEE">
            <w:pPr>
              <w:suppressAutoHyphens/>
              <w:spacing w:beforeAutospacing="1" w:afterAutospacing="1"/>
              <w:jc w:val="center"/>
              <w:rPr>
                <w:szCs w:val="24"/>
                <w:u w:val="single"/>
              </w:rPr>
            </w:pPr>
            <w:r w:rsidRPr="00DB1AEE">
              <w:rPr>
                <w:szCs w:val="24"/>
                <w:u w:val="single"/>
              </w:rPr>
              <w:t>12 </w:t>
            </w:r>
          </w:p>
        </w:tc>
      </w:tr>
      <w:tr w:rsidR="00DB1AEE" w:rsidRPr="00DB1AEE" w14:paraId="01C0CE4E" w14:textId="77777777" w:rsidTr="00FC1832">
        <w:trPr>
          <w:trHeight w:val="243"/>
        </w:trPr>
        <w:tc>
          <w:tcPr>
            <w:tcW w:w="1553" w:type="dxa"/>
            <w:tcBorders>
              <w:top w:val="single" w:sz="6" w:space="0" w:color="auto"/>
              <w:left w:val="single" w:sz="6" w:space="0" w:color="auto"/>
              <w:bottom w:val="single" w:sz="6" w:space="0" w:color="auto"/>
              <w:right w:val="single" w:sz="6" w:space="0" w:color="auto"/>
            </w:tcBorders>
          </w:tcPr>
          <w:p w14:paraId="43564B41" w14:textId="77777777" w:rsidR="00DB1AEE" w:rsidRPr="00DB1AEE" w:rsidRDefault="00DB1AEE" w:rsidP="00DB1AEE">
            <w:pPr>
              <w:suppressAutoHyphens/>
              <w:spacing w:beforeAutospacing="1" w:afterAutospacing="1"/>
              <w:jc w:val="center"/>
              <w:rPr>
                <w:szCs w:val="24"/>
                <w:u w:val="single"/>
              </w:rPr>
            </w:pPr>
            <w:r w:rsidRPr="00DB1AEE">
              <w:rPr>
                <w:szCs w:val="24"/>
                <w:u w:val="single"/>
              </w:rPr>
              <w:t>3/4 </w:t>
            </w:r>
          </w:p>
        </w:tc>
        <w:tc>
          <w:tcPr>
            <w:tcW w:w="1956" w:type="dxa"/>
            <w:tcBorders>
              <w:top w:val="single" w:sz="6" w:space="0" w:color="auto"/>
              <w:left w:val="single" w:sz="6" w:space="0" w:color="auto"/>
              <w:bottom w:val="single" w:sz="6" w:space="0" w:color="auto"/>
              <w:right w:val="single" w:sz="6" w:space="0" w:color="auto"/>
            </w:tcBorders>
          </w:tcPr>
          <w:p w14:paraId="6091D75A" w14:textId="77777777" w:rsidR="00DB1AEE" w:rsidRPr="00DB1AEE" w:rsidRDefault="00DB1AEE" w:rsidP="00DB1AEE">
            <w:pPr>
              <w:suppressAutoHyphens/>
              <w:spacing w:beforeAutospacing="1" w:afterAutospacing="1"/>
              <w:jc w:val="center"/>
              <w:rPr>
                <w:szCs w:val="24"/>
                <w:u w:val="single"/>
              </w:rPr>
            </w:pPr>
            <w:r w:rsidRPr="00DB1AEE">
              <w:rPr>
                <w:szCs w:val="24"/>
                <w:u w:val="single"/>
              </w:rPr>
              <w:t>3 </w:t>
            </w:r>
          </w:p>
        </w:tc>
        <w:tc>
          <w:tcPr>
            <w:tcW w:w="2820" w:type="dxa"/>
            <w:tcBorders>
              <w:top w:val="single" w:sz="6" w:space="0" w:color="auto"/>
              <w:left w:val="single" w:sz="6" w:space="0" w:color="auto"/>
              <w:bottom w:val="single" w:sz="6" w:space="0" w:color="auto"/>
              <w:right w:val="single" w:sz="6" w:space="0" w:color="auto"/>
            </w:tcBorders>
          </w:tcPr>
          <w:p w14:paraId="55FF7042" w14:textId="77777777" w:rsidR="00DB1AEE" w:rsidRPr="00DB1AEE" w:rsidRDefault="00DB1AEE" w:rsidP="00DB1AEE">
            <w:pPr>
              <w:suppressAutoHyphens/>
              <w:spacing w:beforeAutospacing="1" w:afterAutospacing="1"/>
              <w:jc w:val="center"/>
              <w:rPr>
                <w:szCs w:val="24"/>
                <w:u w:val="single"/>
              </w:rPr>
            </w:pPr>
            <w:r w:rsidRPr="00DB1AEE">
              <w:rPr>
                <w:szCs w:val="24"/>
                <w:u w:val="single"/>
              </w:rPr>
              <w:t>21 </w:t>
            </w:r>
          </w:p>
        </w:tc>
        <w:tc>
          <w:tcPr>
            <w:tcW w:w="2745" w:type="dxa"/>
            <w:tcBorders>
              <w:top w:val="single" w:sz="6" w:space="0" w:color="auto"/>
              <w:left w:val="single" w:sz="6" w:space="0" w:color="auto"/>
              <w:bottom w:val="single" w:sz="6" w:space="0" w:color="auto"/>
              <w:right w:val="single" w:sz="6" w:space="0" w:color="auto"/>
            </w:tcBorders>
          </w:tcPr>
          <w:p w14:paraId="438288A4" w14:textId="77777777" w:rsidR="00DB1AEE" w:rsidRPr="00DB1AEE" w:rsidRDefault="00DB1AEE" w:rsidP="00DB1AEE">
            <w:pPr>
              <w:suppressAutoHyphens/>
              <w:spacing w:beforeAutospacing="1" w:afterAutospacing="1"/>
              <w:jc w:val="center"/>
              <w:rPr>
                <w:szCs w:val="24"/>
                <w:u w:val="single"/>
              </w:rPr>
            </w:pPr>
            <w:r w:rsidRPr="00DB1AEE">
              <w:rPr>
                <w:szCs w:val="24"/>
                <w:u w:val="single"/>
              </w:rPr>
              <w:t>8 </w:t>
            </w:r>
          </w:p>
        </w:tc>
      </w:tr>
      <w:tr w:rsidR="00DB1AEE" w:rsidRPr="00DB1AEE" w14:paraId="33D44563" w14:textId="77777777" w:rsidTr="00FC1832">
        <w:trPr>
          <w:trHeight w:val="243"/>
        </w:trPr>
        <w:tc>
          <w:tcPr>
            <w:tcW w:w="1553" w:type="dxa"/>
            <w:tcBorders>
              <w:top w:val="single" w:sz="6" w:space="0" w:color="auto"/>
              <w:left w:val="single" w:sz="6" w:space="0" w:color="auto"/>
              <w:bottom w:val="single" w:sz="6" w:space="0" w:color="auto"/>
              <w:right w:val="single" w:sz="6" w:space="0" w:color="auto"/>
            </w:tcBorders>
          </w:tcPr>
          <w:p w14:paraId="5CB727D4" w14:textId="77777777" w:rsidR="00DB1AEE" w:rsidRPr="00DB1AEE" w:rsidRDefault="00DB1AEE" w:rsidP="00DB1AEE">
            <w:pPr>
              <w:suppressAutoHyphens/>
              <w:spacing w:beforeAutospacing="1" w:afterAutospacing="1"/>
              <w:jc w:val="center"/>
              <w:rPr>
                <w:szCs w:val="24"/>
                <w:u w:val="single"/>
              </w:rPr>
            </w:pPr>
            <w:r w:rsidRPr="00DB1AEE">
              <w:rPr>
                <w:szCs w:val="24"/>
                <w:u w:val="single"/>
              </w:rPr>
              <w:t>7/8 </w:t>
            </w:r>
          </w:p>
        </w:tc>
        <w:tc>
          <w:tcPr>
            <w:tcW w:w="1956" w:type="dxa"/>
            <w:tcBorders>
              <w:top w:val="single" w:sz="6" w:space="0" w:color="auto"/>
              <w:left w:val="single" w:sz="6" w:space="0" w:color="auto"/>
              <w:bottom w:val="single" w:sz="6" w:space="0" w:color="auto"/>
              <w:right w:val="single" w:sz="6" w:space="0" w:color="auto"/>
            </w:tcBorders>
          </w:tcPr>
          <w:p w14:paraId="797FD146" w14:textId="77777777" w:rsidR="00DB1AEE" w:rsidRPr="00DB1AEE" w:rsidRDefault="00DB1AEE" w:rsidP="00DB1AEE">
            <w:pPr>
              <w:suppressAutoHyphens/>
              <w:spacing w:beforeAutospacing="1" w:afterAutospacing="1"/>
              <w:jc w:val="center"/>
              <w:rPr>
                <w:szCs w:val="24"/>
                <w:u w:val="single"/>
              </w:rPr>
            </w:pPr>
            <w:r w:rsidRPr="00DB1AEE">
              <w:rPr>
                <w:szCs w:val="24"/>
                <w:u w:val="single"/>
              </w:rPr>
              <w:t>4 </w:t>
            </w:r>
          </w:p>
        </w:tc>
        <w:tc>
          <w:tcPr>
            <w:tcW w:w="2820" w:type="dxa"/>
            <w:tcBorders>
              <w:top w:val="single" w:sz="6" w:space="0" w:color="auto"/>
              <w:left w:val="single" w:sz="6" w:space="0" w:color="auto"/>
              <w:bottom w:val="single" w:sz="6" w:space="0" w:color="auto"/>
              <w:right w:val="single" w:sz="6" w:space="0" w:color="auto"/>
            </w:tcBorders>
          </w:tcPr>
          <w:p w14:paraId="378C526E" w14:textId="77777777" w:rsidR="00DB1AEE" w:rsidRPr="00DB1AEE" w:rsidRDefault="00DB1AEE" w:rsidP="00DB1AEE">
            <w:pPr>
              <w:suppressAutoHyphens/>
              <w:spacing w:beforeAutospacing="1" w:afterAutospacing="1"/>
              <w:jc w:val="center"/>
              <w:rPr>
                <w:szCs w:val="24"/>
                <w:u w:val="single"/>
              </w:rPr>
            </w:pPr>
            <w:r w:rsidRPr="00DB1AEE">
              <w:rPr>
                <w:szCs w:val="24"/>
                <w:u w:val="single"/>
              </w:rPr>
              <w:t>16 </w:t>
            </w:r>
          </w:p>
        </w:tc>
        <w:tc>
          <w:tcPr>
            <w:tcW w:w="2745" w:type="dxa"/>
            <w:tcBorders>
              <w:top w:val="single" w:sz="6" w:space="0" w:color="auto"/>
              <w:left w:val="single" w:sz="6" w:space="0" w:color="auto"/>
              <w:bottom w:val="single" w:sz="6" w:space="0" w:color="auto"/>
              <w:right w:val="single" w:sz="6" w:space="0" w:color="auto"/>
            </w:tcBorders>
          </w:tcPr>
          <w:p w14:paraId="1D43244C" w14:textId="77777777" w:rsidR="00DB1AEE" w:rsidRPr="00DB1AEE" w:rsidRDefault="00DB1AEE" w:rsidP="00DB1AEE">
            <w:pPr>
              <w:suppressAutoHyphens/>
              <w:spacing w:beforeAutospacing="1" w:afterAutospacing="1"/>
              <w:jc w:val="center"/>
              <w:rPr>
                <w:szCs w:val="24"/>
                <w:u w:val="single"/>
              </w:rPr>
            </w:pPr>
            <w:r w:rsidRPr="00DB1AEE">
              <w:rPr>
                <w:szCs w:val="24"/>
                <w:u w:val="single"/>
              </w:rPr>
              <w:t>6 </w:t>
            </w:r>
          </w:p>
        </w:tc>
      </w:tr>
      <w:tr w:rsidR="00DB1AEE" w:rsidRPr="00DB1AEE" w14:paraId="4B989C67" w14:textId="77777777" w:rsidTr="00FC1832">
        <w:trPr>
          <w:trHeight w:val="243"/>
        </w:trPr>
        <w:tc>
          <w:tcPr>
            <w:tcW w:w="1553" w:type="dxa"/>
            <w:tcBorders>
              <w:top w:val="single" w:sz="6" w:space="0" w:color="auto"/>
              <w:left w:val="single" w:sz="6" w:space="0" w:color="auto"/>
              <w:bottom w:val="single" w:sz="6" w:space="0" w:color="auto"/>
              <w:right w:val="single" w:sz="6" w:space="0" w:color="auto"/>
            </w:tcBorders>
          </w:tcPr>
          <w:p w14:paraId="7176AF45" w14:textId="77777777" w:rsidR="00DB1AEE" w:rsidRPr="00DB1AEE" w:rsidRDefault="00DB1AEE" w:rsidP="00DB1AEE">
            <w:pPr>
              <w:suppressAutoHyphens/>
              <w:spacing w:beforeAutospacing="1" w:afterAutospacing="1"/>
              <w:jc w:val="center"/>
              <w:rPr>
                <w:szCs w:val="24"/>
                <w:u w:val="single"/>
              </w:rPr>
            </w:pPr>
            <w:r w:rsidRPr="00DB1AEE">
              <w:rPr>
                <w:szCs w:val="24"/>
                <w:u w:val="single"/>
              </w:rPr>
              <w:t>1 </w:t>
            </w:r>
          </w:p>
        </w:tc>
        <w:tc>
          <w:tcPr>
            <w:tcW w:w="1956" w:type="dxa"/>
            <w:tcBorders>
              <w:top w:val="single" w:sz="6" w:space="0" w:color="auto"/>
              <w:left w:val="single" w:sz="6" w:space="0" w:color="auto"/>
              <w:bottom w:val="single" w:sz="6" w:space="0" w:color="auto"/>
              <w:right w:val="single" w:sz="6" w:space="0" w:color="auto"/>
            </w:tcBorders>
          </w:tcPr>
          <w:p w14:paraId="712ECEC4" w14:textId="77777777" w:rsidR="00DB1AEE" w:rsidRPr="00DB1AEE" w:rsidRDefault="00DB1AEE" w:rsidP="00DB1AEE">
            <w:pPr>
              <w:suppressAutoHyphens/>
              <w:spacing w:beforeAutospacing="1" w:afterAutospacing="1"/>
              <w:jc w:val="center"/>
              <w:rPr>
                <w:szCs w:val="24"/>
                <w:u w:val="single"/>
              </w:rPr>
            </w:pPr>
            <w:r w:rsidRPr="00DB1AEE">
              <w:rPr>
                <w:szCs w:val="24"/>
                <w:u w:val="single"/>
              </w:rPr>
              <w:t>5 </w:t>
            </w:r>
          </w:p>
        </w:tc>
        <w:tc>
          <w:tcPr>
            <w:tcW w:w="2820" w:type="dxa"/>
            <w:tcBorders>
              <w:top w:val="single" w:sz="6" w:space="0" w:color="auto"/>
              <w:left w:val="single" w:sz="6" w:space="0" w:color="auto"/>
              <w:bottom w:val="single" w:sz="6" w:space="0" w:color="auto"/>
              <w:right w:val="single" w:sz="6" w:space="0" w:color="auto"/>
            </w:tcBorders>
          </w:tcPr>
          <w:p w14:paraId="2BBF3A34" w14:textId="77777777" w:rsidR="00DB1AEE" w:rsidRPr="00DB1AEE" w:rsidRDefault="00DB1AEE" w:rsidP="00DB1AEE">
            <w:pPr>
              <w:suppressAutoHyphens/>
              <w:spacing w:beforeAutospacing="1" w:afterAutospacing="1"/>
              <w:jc w:val="center"/>
              <w:rPr>
                <w:szCs w:val="24"/>
                <w:u w:val="single"/>
              </w:rPr>
            </w:pPr>
            <w:r w:rsidRPr="00DB1AEE">
              <w:rPr>
                <w:szCs w:val="24"/>
                <w:u w:val="single"/>
              </w:rPr>
              <w:t>13 </w:t>
            </w:r>
          </w:p>
        </w:tc>
        <w:tc>
          <w:tcPr>
            <w:tcW w:w="2745" w:type="dxa"/>
            <w:tcBorders>
              <w:top w:val="single" w:sz="6" w:space="0" w:color="auto"/>
              <w:left w:val="single" w:sz="6" w:space="0" w:color="auto"/>
              <w:bottom w:val="single" w:sz="6" w:space="0" w:color="auto"/>
              <w:right w:val="single" w:sz="6" w:space="0" w:color="auto"/>
            </w:tcBorders>
          </w:tcPr>
          <w:p w14:paraId="6228A040" w14:textId="77777777" w:rsidR="00DB1AEE" w:rsidRPr="00DB1AEE" w:rsidRDefault="00DB1AEE" w:rsidP="00DB1AEE">
            <w:pPr>
              <w:suppressAutoHyphens/>
              <w:spacing w:beforeAutospacing="1" w:afterAutospacing="1"/>
              <w:jc w:val="center"/>
              <w:rPr>
                <w:szCs w:val="24"/>
                <w:u w:val="single"/>
              </w:rPr>
            </w:pPr>
            <w:r w:rsidRPr="00DB1AEE">
              <w:rPr>
                <w:szCs w:val="24"/>
                <w:u w:val="single"/>
              </w:rPr>
              <w:t>5 </w:t>
            </w:r>
          </w:p>
        </w:tc>
      </w:tr>
      <w:tr w:rsidR="00DB1AEE" w:rsidRPr="00DB1AEE" w14:paraId="0D1AA22C" w14:textId="77777777" w:rsidTr="00FC1832">
        <w:trPr>
          <w:trHeight w:val="243"/>
        </w:trPr>
        <w:tc>
          <w:tcPr>
            <w:tcW w:w="1553" w:type="dxa"/>
            <w:tcBorders>
              <w:top w:val="single" w:sz="6" w:space="0" w:color="auto"/>
              <w:left w:val="single" w:sz="6" w:space="0" w:color="auto"/>
              <w:bottom w:val="single" w:sz="6" w:space="0" w:color="auto"/>
              <w:right w:val="single" w:sz="6" w:space="0" w:color="auto"/>
            </w:tcBorders>
          </w:tcPr>
          <w:p w14:paraId="38B4FD80" w14:textId="77777777" w:rsidR="00DB1AEE" w:rsidRPr="00DB1AEE" w:rsidRDefault="00DB1AEE" w:rsidP="00DB1AEE">
            <w:pPr>
              <w:suppressAutoHyphens/>
              <w:spacing w:beforeAutospacing="1" w:afterAutospacing="1"/>
              <w:jc w:val="center"/>
              <w:rPr>
                <w:szCs w:val="24"/>
                <w:u w:val="single"/>
              </w:rPr>
            </w:pPr>
            <w:r w:rsidRPr="00DB1AEE">
              <w:rPr>
                <w:szCs w:val="24"/>
                <w:u w:val="single"/>
              </w:rPr>
              <w:t>1 1/4 </w:t>
            </w:r>
          </w:p>
        </w:tc>
        <w:tc>
          <w:tcPr>
            <w:tcW w:w="1956" w:type="dxa"/>
            <w:tcBorders>
              <w:top w:val="single" w:sz="6" w:space="0" w:color="auto"/>
              <w:left w:val="single" w:sz="6" w:space="0" w:color="auto"/>
              <w:bottom w:val="single" w:sz="6" w:space="0" w:color="auto"/>
              <w:right w:val="single" w:sz="6" w:space="0" w:color="auto"/>
            </w:tcBorders>
          </w:tcPr>
          <w:p w14:paraId="126DE86D" w14:textId="77777777" w:rsidR="00DB1AEE" w:rsidRPr="00DB1AEE" w:rsidRDefault="00DB1AEE" w:rsidP="00DB1AEE">
            <w:pPr>
              <w:suppressAutoHyphens/>
              <w:spacing w:beforeAutospacing="1" w:afterAutospacing="1"/>
              <w:jc w:val="center"/>
              <w:rPr>
                <w:szCs w:val="24"/>
                <w:u w:val="single"/>
              </w:rPr>
            </w:pPr>
            <w:r w:rsidRPr="00DB1AEE">
              <w:rPr>
                <w:szCs w:val="24"/>
                <w:u w:val="single"/>
              </w:rPr>
              <w:t>8 </w:t>
            </w:r>
          </w:p>
        </w:tc>
        <w:tc>
          <w:tcPr>
            <w:tcW w:w="2820" w:type="dxa"/>
            <w:tcBorders>
              <w:top w:val="single" w:sz="6" w:space="0" w:color="auto"/>
              <w:left w:val="single" w:sz="6" w:space="0" w:color="auto"/>
              <w:bottom w:val="single" w:sz="6" w:space="0" w:color="auto"/>
              <w:right w:val="single" w:sz="6" w:space="0" w:color="auto"/>
            </w:tcBorders>
          </w:tcPr>
          <w:p w14:paraId="1D7A57AB" w14:textId="77777777" w:rsidR="00DB1AEE" w:rsidRPr="00DB1AEE" w:rsidRDefault="00DB1AEE" w:rsidP="00DB1AEE">
            <w:pPr>
              <w:suppressAutoHyphens/>
              <w:spacing w:beforeAutospacing="1" w:afterAutospacing="1"/>
              <w:jc w:val="center"/>
              <w:rPr>
                <w:szCs w:val="24"/>
                <w:u w:val="single"/>
              </w:rPr>
            </w:pPr>
            <w:r w:rsidRPr="00DB1AEE">
              <w:rPr>
                <w:szCs w:val="24"/>
                <w:u w:val="single"/>
              </w:rPr>
              <w:t>8 </w:t>
            </w:r>
          </w:p>
        </w:tc>
        <w:tc>
          <w:tcPr>
            <w:tcW w:w="2745" w:type="dxa"/>
            <w:tcBorders>
              <w:top w:val="single" w:sz="6" w:space="0" w:color="auto"/>
              <w:left w:val="single" w:sz="6" w:space="0" w:color="auto"/>
              <w:bottom w:val="single" w:sz="6" w:space="0" w:color="auto"/>
              <w:right w:val="single" w:sz="6" w:space="0" w:color="auto"/>
            </w:tcBorders>
          </w:tcPr>
          <w:p w14:paraId="79820C31" w14:textId="77777777" w:rsidR="00DB1AEE" w:rsidRPr="00DB1AEE" w:rsidRDefault="00DB1AEE" w:rsidP="00DB1AEE">
            <w:pPr>
              <w:suppressAutoHyphens/>
              <w:spacing w:beforeAutospacing="1" w:afterAutospacing="1"/>
              <w:jc w:val="center"/>
              <w:rPr>
                <w:szCs w:val="24"/>
                <w:u w:val="single"/>
              </w:rPr>
            </w:pPr>
            <w:r w:rsidRPr="00DB1AEE">
              <w:rPr>
                <w:szCs w:val="24"/>
                <w:u w:val="single"/>
              </w:rPr>
              <w:t>3 </w:t>
            </w:r>
          </w:p>
        </w:tc>
      </w:tr>
      <w:tr w:rsidR="00DB1AEE" w:rsidRPr="00DB1AEE" w14:paraId="6C81F990" w14:textId="77777777" w:rsidTr="00FC1832">
        <w:trPr>
          <w:trHeight w:val="228"/>
        </w:trPr>
        <w:tc>
          <w:tcPr>
            <w:tcW w:w="1553" w:type="dxa"/>
            <w:tcBorders>
              <w:top w:val="single" w:sz="6" w:space="0" w:color="auto"/>
              <w:left w:val="single" w:sz="6" w:space="0" w:color="auto"/>
              <w:bottom w:val="single" w:sz="6" w:space="0" w:color="auto"/>
              <w:right w:val="single" w:sz="6" w:space="0" w:color="auto"/>
            </w:tcBorders>
          </w:tcPr>
          <w:p w14:paraId="51CC3AE4" w14:textId="77777777" w:rsidR="00DB1AEE" w:rsidRPr="00DB1AEE" w:rsidRDefault="00DB1AEE" w:rsidP="00DB1AEE">
            <w:pPr>
              <w:suppressAutoHyphens/>
              <w:spacing w:beforeAutospacing="1" w:afterAutospacing="1"/>
              <w:jc w:val="center"/>
              <w:rPr>
                <w:szCs w:val="24"/>
                <w:u w:val="single"/>
              </w:rPr>
            </w:pPr>
            <w:r w:rsidRPr="00DB1AEE">
              <w:rPr>
                <w:szCs w:val="24"/>
                <w:u w:val="single"/>
              </w:rPr>
              <w:t>1 1/2 </w:t>
            </w:r>
          </w:p>
        </w:tc>
        <w:tc>
          <w:tcPr>
            <w:tcW w:w="1956" w:type="dxa"/>
            <w:tcBorders>
              <w:top w:val="single" w:sz="6" w:space="0" w:color="auto"/>
              <w:left w:val="single" w:sz="6" w:space="0" w:color="auto"/>
              <w:bottom w:val="single" w:sz="6" w:space="0" w:color="auto"/>
              <w:right w:val="single" w:sz="6" w:space="0" w:color="auto"/>
            </w:tcBorders>
          </w:tcPr>
          <w:p w14:paraId="22FC0C8E" w14:textId="77777777" w:rsidR="00DB1AEE" w:rsidRPr="00DB1AEE" w:rsidRDefault="00DB1AEE" w:rsidP="00DB1AEE">
            <w:pPr>
              <w:suppressAutoHyphens/>
              <w:spacing w:beforeAutospacing="1" w:afterAutospacing="1"/>
              <w:jc w:val="center"/>
              <w:rPr>
                <w:szCs w:val="24"/>
                <w:u w:val="single"/>
              </w:rPr>
            </w:pPr>
            <w:r w:rsidRPr="00DB1AEE">
              <w:rPr>
                <w:szCs w:val="24"/>
                <w:u w:val="single"/>
              </w:rPr>
              <w:t>11 </w:t>
            </w:r>
          </w:p>
        </w:tc>
        <w:tc>
          <w:tcPr>
            <w:tcW w:w="2820" w:type="dxa"/>
            <w:tcBorders>
              <w:top w:val="single" w:sz="6" w:space="0" w:color="auto"/>
              <w:left w:val="single" w:sz="6" w:space="0" w:color="auto"/>
              <w:bottom w:val="single" w:sz="6" w:space="0" w:color="auto"/>
              <w:right w:val="single" w:sz="6" w:space="0" w:color="auto"/>
            </w:tcBorders>
          </w:tcPr>
          <w:p w14:paraId="3A7A6141" w14:textId="77777777" w:rsidR="00DB1AEE" w:rsidRPr="00DB1AEE" w:rsidRDefault="00DB1AEE" w:rsidP="00DB1AEE">
            <w:pPr>
              <w:suppressAutoHyphens/>
              <w:spacing w:beforeAutospacing="1" w:afterAutospacing="1"/>
              <w:jc w:val="center"/>
              <w:rPr>
                <w:szCs w:val="24"/>
                <w:u w:val="single"/>
              </w:rPr>
            </w:pPr>
            <w:r w:rsidRPr="00DB1AEE">
              <w:rPr>
                <w:szCs w:val="24"/>
                <w:u w:val="single"/>
              </w:rPr>
              <w:t>6 </w:t>
            </w:r>
          </w:p>
        </w:tc>
        <w:tc>
          <w:tcPr>
            <w:tcW w:w="2745" w:type="dxa"/>
            <w:tcBorders>
              <w:top w:val="single" w:sz="6" w:space="0" w:color="auto"/>
              <w:left w:val="single" w:sz="6" w:space="0" w:color="auto"/>
              <w:bottom w:val="single" w:sz="6" w:space="0" w:color="auto"/>
              <w:right w:val="single" w:sz="6" w:space="0" w:color="auto"/>
            </w:tcBorders>
          </w:tcPr>
          <w:p w14:paraId="03F1C0E6" w14:textId="77777777" w:rsidR="00DB1AEE" w:rsidRPr="00DB1AEE" w:rsidRDefault="00DB1AEE" w:rsidP="00DB1AEE">
            <w:pPr>
              <w:suppressAutoHyphens/>
              <w:spacing w:beforeAutospacing="1" w:afterAutospacing="1"/>
              <w:jc w:val="center"/>
              <w:rPr>
                <w:szCs w:val="24"/>
                <w:u w:val="single"/>
              </w:rPr>
            </w:pPr>
            <w:r w:rsidRPr="00DB1AEE">
              <w:rPr>
                <w:szCs w:val="24"/>
                <w:u w:val="single"/>
              </w:rPr>
              <w:t>2 </w:t>
            </w:r>
          </w:p>
        </w:tc>
      </w:tr>
      <w:tr w:rsidR="00DB1AEE" w:rsidRPr="00DB1AEE" w14:paraId="5F2B1F42" w14:textId="77777777" w:rsidTr="00FC1832">
        <w:trPr>
          <w:trHeight w:val="243"/>
        </w:trPr>
        <w:tc>
          <w:tcPr>
            <w:tcW w:w="1553" w:type="dxa"/>
            <w:tcBorders>
              <w:top w:val="single" w:sz="6" w:space="0" w:color="auto"/>
              <w:left w:val="single" w:sz="6" w:space="0" w:color="auto"/>
              <w:bottom w:val="single" w:sz="6" w:space="0" w:color="auto"/>
              <w:right w:val="single" w:sz="6" w:space="0" w:color="auto"/>
            </w:tcBorders>
          </w:tcPr>
          <w:p w14:paraId="51500A7D" w14:textId="77777777" w:rsidR="00DB1AEE" w:rsidRPr="00DB1AEE" w:rsidRDefault="00DB1AEE" w:rsidP="00DB1AEE">
            <w:pPr>
              <w:suppressAutoHyphens/>
              <w:spacing w:beforeAutospacing="1" w:afterAutospacing="1"/>
              <w:jc w:val="center"/>
              <w:rPr>
                <w:szCs w:val="24"/>
                <w:u w:val="single"/>
              </w:rPr>
            </w:pPr>
            <w:r w:rsidRPr="00DB1AEE">
              <w:rPr>
                <w:szCs w:val="24"/>
                <w:u w:val="single"/>
              </w:rPr>
              <w:t>2 or larger </w:t>
            </w:r>
          </w:p>
        </w:tc>
        <w:tc>
          <w:tcPr>
            <w:tcW w:w="1956" w:type="dxa"/>
            <w:tcBorders>
              <w:top w:val="single" w:sz="6" w:space="0" w:color="auto"/>
              <w:left w:val="single" w:sz="6" w:space="0" w:color="auto"/>
              <w:bottom w:val="single" w:sz="6" w:space="0" w:color="auto"/>
              <w:right w:val="single" w:sz="6" w:space="0" w:color="auto"/>
            </w:tcBorders>
          </w:tcPr>
          <w:p w14:paraId="06AF3CF3" w14:textId="77777777" w:rsidR="00DB1AEE" w:rsidRPr="00DB1AEE" w:rsidRDefault="00DB1AEE" w:rsidP="00DB1AEE">
            <w:pPr>
              <w:suppressAutoHyphens/>
              <w:spacing w:beforeAutospacing="1" w:afterAutospacing="1"/>
              <w:jc w:val="center"/>
              <w:rPr>
                <w:szCs w:val="24"/>
                <w:u w:val="single"/>
              </w:rPr>
            </w:pPr>
            <w:r w:rsidRPr="00DB1AEE">
              <w:rPr>
                <w:szCs w:val="24"/>
                <w:u w:val="single"/>
              </w:rPr>
              <w:t>18 </w:t>
            </w:r>
          </w:p>
        </w:tc>
        <w:tc>
          <w:tcPr>
            <w:tcW w:w="2820" w:type="dxa"/>
            <w:tcBorders>
              <w:top w:val="single" w:sz="6" w:space="0" w:color="auto"/>
              <w:left w:val="single" w:sz="6" w:space="0" w:color="auto"/>
              <w:bottom w:val="single" w:sz="6" w:space="0" w:color="auto"/>
              <w:right w:val="single" w:sz="6" w:space="0" w:color="auto"/>
            </w:tcBorders>
          </w:tcPr>
          <w:p w14:paraId="0BC1DA19" w14:textId="77777777" w:rsidR="00DB1AEE" w:rsidRPr="00DB1AEE" w:rsidRDefault="00DB1AEE" w:rsidP="00DB1AEE">
            <w:pPr>
              <w:suppressAutoHyphens/>
              <w:spacing w:beforeAutospacing="1" w:afterAutospacing="1"/>
              <w:jc w:val="center"/>
              <w:rPr>
                <w:szCs w:val="24"/>
                <w:u w:val="single"/>
              </w:rPr>
            </w:pPr>
            <w:r w:rsidRPr="00DB1AEE">
              <w:rPr>
                <w:szCs w:val="24"/>
                <w:u w:val="single"/>
              </w:rPr>
              <w:t>4 </w:t>
            </w:r>
          </w:p>
        </w:tc>
        <w:tc>
          <w:tcPr>
            <w:tcW w:w="2745" w:type="dxa"/>
            <w:tcBorders>
              <w:top w:val="single" w:sz="6" w:space="0" w:color="auto"/>
              <w:left w:val="single" w:sz="6" w:space="0" w:color="auto"/>
              <w:bottom w:val="single" w:sz="6" w:space="0" w:color="auto"/>
              <w:right w:val="single" w:sz="6" w:space="0" w:color="auto"/>
            </w:tcBorders>
          </w:tcPr>
          <w:p w14:paraId="26D89DD1" w14:textId="77777777" w:rsidR="00DB1AEE" w:rsidRPr="00DB1AEE" w:rsidRDefault="00DB1AEE" w:rsidP="00DB1AEE">
            <w:pPr>
              <w:suppressAutoHyphens/>
              <w:spacing w:beforeAutospacing="1" w:afterAutospacing="1"/>
              <w:jc w:val="center"/>
              <w:rPr>
                <w:szCs w:val="24"/>
                <w:u w:val="single"/>
              </w:rPr>
            </w:pPr>
            <w:r w:rsidRPr="00DB1AEE">
              <w:rPr>
                <w:szCs w:val="24"/>
                <w:u w:val="single"/>
              </w:rPr>
              <w:t>1 </w:t>
            </w:r>
          </w:p>
        </w:tc>
      </w:tr>
    </w:tbl>
    <w:p w14:paraId="145B19FF" w14:textId="77777777" w:rsidR="00DB1AEE" w:rsidRPr="00DB1AEE" w:rsidRDefault="00DB1AEE" w:rsidP="00DB1AEE">
      <w:pPr>
        <w:suppressAutoHyphens/>
        <w:spacing w:after="120"/>
        <w:jc w:val="left"/>
        <w:rPr>
          <w:b/>
          <w:szCs w:val="24"/>
          <w:u w:val="single"/>
        </w:rPr>
      </w:pPr>
      <w:r w:rsidRPr="00DB1AEE">
        <w:rPr>
          <w:szCs w:val="24"/>
          <w:u w:val="single"/>
        </w:rPr>
        <w:t>a. The flow rate for ¼-inch size pipe or tube is limited to 0.5 gpm (0.032 (L/s); for 5/16-inch size, it is limited to 1 gpm (0.063 L/s); for 3/8-inch size, it is limited to 1.5 gpm (0.095 L/s). </w:t>
      </w:r>
    </w:p>
    <w:p w14:paraId="0600F826" w14:textId="77777777" w:rsidR="00DB1AEE" w:rsidRPr="00DB1AEE" w:rsidRDefault="00DB1AEE" w:rsidP="00DB1AEE">
      <w:pPr>
        <w:suppressAutoHyphens/>
        <w:spacing w:after="120"/>
        <w:jc w:val="left"/>
        <w:rPr>
          <w:szCs w:val="24"/>
          <w:u w:val="single"/>
        </w:rPr>
      </w:pPr>
      <w:r w:rsidRPr="00DB1AEE">
        <w:rPr>
          <w:szCs w:val="24"/>
          <w:u w:val="single"/>
        </w:rPr>
        <w:t>b. The volume shall be the sum of the internal volumes of pipe, fittings, valves, meters and manifolds between the source of hot water and the termination of the fixture supply pipe. The volume contained within fixture shutoff valves, flexible water supply connectors to a fixture fitting, or within a fixture fitting shall not be included in the water volume determination. Where hot or tempered water is supplied by a circulation loop pipe or a heat-traced pipe, the volume shall include the portion of the fitting on the branch pipe that supplies water to the fixture.</w:t>
      </w:r>
    </w:p>
    <w:p w14:paraId="6E3C793B" w14:textId="77777777" w:rsidR="00DB1AEE" w:rsidRPr="00DB1AEE" w:rsidRDefault="00DB1AEE" w:rsidP="00DB1AEE">
      <w:pPr>
        <w:widowControl w:val="0"/>
        <w:suppressAutoHyphens/>
        <w:spacing w:before="130" w:after="130"/>
        <w:ind w:left="648" w:hanging="288"/>
        <w:rPr>
          <w:szCs w:val="24"/>
          <w:u w:val="single"/>
        </w:rPr>
      </w:pPr>
    </w:p>
    <w:p w14:paraId="2103CBD0" w14:textId="77777777" w:rsidR="00DB1AEE" w:rsidRPr="00DB1AEE" w:rsidRDefault="00DB1AEE" w:rsidP="00DB1AEE">
      <w:pPr>
        <w:widowControl w:val="0"/>
        <w:suppressAutoHyphens/>
        <w:spacing w:before="130" w:after="130"/>
        <w:ind w:left="648" w:hanging="288"/>
        <w:rPr>
          <w:u w:val="single"/>
        </w:rPr>
      </w:pPr>
    </w:p>
    <w:p w14:paraId="29AEBC50"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Section R403.6 Mechanical ventilation.</w:t>
      </w:r>
    </w:p>
    <w:p w14:paraId="2F7B030F" w14:textId="77777777" w:rsidR="00DB1AEE" w:rsidRPr="00DB1AEE" w:rsidRDefault="00DB1AEE" w:rsidP="00DB1AEE">
      <w:pPr>
        <w:widowControl w:val="0"/>
        <w:suppressAutoHyphens/>
        <w:autoSpaceDE w:val="0"/>
        <w:autoSpaceDN w:val="0"/>
        <w:adjustRightInd w:val="0"/>
        <w:spacing w:before="130" w:after="130"/>
        <w:rPr>
          <w:bCs/>
          <w:szCs w:val="24"/>
          <w:u w:val="single"/>
        </w:rPr>
      </w:pPr>
      <w:r w:rsidRPr="00DB1AEE">
        <w:rPr>
          <w:bCs/>
          <w:szCs w:val="24"/>
          <w:u w:val="single"/>
        </w:rPr>
        <w:t>Section R403.6 - Revise Section R403.6 to read as follows:</w:t>
      </w:r>
    </w:p>
    <w:p w14:paraId="1D31208E" w14:textId="77777777" w:rsidR="00DB1AEE" w:rsidRPr="00DB1AEE" w:rsidRDefault="00DB1AEE" w:rsidP="00DB1AEE">
      <w:pPr>
        <w:widowControl w:val="0"/>
        <w:suppressAutoHyphens/>
        <w:spacing w:before="130" w:after="130"/>
        <w:ind w:left="360"/>
        <w:rPr>
          <w:u w:val="single"/>
        </w:rPr>
      </w:pPr>
      <w:r w:rsidRPr="00DB1AEE">
        <w:rPr>
          <w:b/>
          <w:bCs/>
          <w:u w:val="single"/>
        </w:rPr>
        <w:t>R403.6 Mechanical ventilation.</w:t>
      </w:r>
      <w:r w:rsidRPr="00DB1AEE">
        <w:rPr>
          <w:u w:val="single"/>
        </w:rPr>
        <w:t xml:space="preserve">  The buildings and dwelling units complying with Section R402.5.1.1 shall be provided with mechanical ventilation that complies with the requirements of the New York City Mechanical Code, as applicable, or with other approved means of ventilation. Outdoor air intakes and exhausts shall have automatic or gravity dampers that close when the ventilation system is not operating.</w:t>
      </w:r>
    </w:p>
    <w:p w14:paraId="00BAB3B8"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 xml:space="preserve">Section R403.6.1 Heat or energy recovery ventilation.  </w:t>
      </w:r>
    </w:p>
    <w:p w14:paraId="158D3BF0" w14:textId="77777777" w:rsidR="00DB1AEE" w:rsidRPr="00DB1AEE" w:rsidRDefault="00DB1AEE" w:rsidP="00DB1AEE">
      <w:pPr>
        <w:widowControl w:val="0"/>
        <w:suppressAutoHyphens/>
        <w:autoSpaceDE w:val="0"/>
        <w:autoSpaceDN w:val="0"/>
        <w:adjustRightInd w:val="0"/>
        <w:spacing w:before="130" w:after="130"/>
        <w:rPr>
          <w:bCs/>
          <w:szCs w:val="24"/>
          <w:u w:val="single"/>
        </w:rPr>
      </w:pPr>
      <w:r w:rsidRPr="00DB1AEE">
        <w:rPr>
          <w:bCs/>
          <w:szCs w:val="24"/>
          <w:u w:val="single"/>
        </w:rPr>
        <w:t>Section R403.6.1 - Revise Section R403.6.1 to read as follows:</w:t>
      </w:r>
    </w:p>
    <w:p w14:paraId="66413277" w14:textId="77777777" w:rsidR="00DB1AEE" w:rsidRPr="00DB1AEE" w:rsidRDefault="00DB1AEE" w:rsidP="00DB1AEE">
      <w:pPr>
        <w:widowControl w:val="0"/>
        <w:suppressAutoHyphens/>
        <w:spacing w:before="130" w:after="130"/>
        <w:ind w:left="360"/>
        <w:rPr>
          <w:u w:val="single"/>
        </w:rPr>
      </w:pPr>
      <w:r w:rsidRPr="00DB1AEE">
        <w:rPr>
          <w:b/>
          <w:bCs/>
          <w:u w:val="single"/>
        </w:rPr>
        <w:t>R403.6.1 Heat or energy recovery ventilation.</w:t>
      </w:r>
      <w:r w:rsidRPr="00DB1AEE">
        <w:rPr>
          <w:u w:val="single"/>
        </w:rPr>
        <w:t xml:space="preserve">  Dwelling units shall be provided with a heat recovery or energy recovery ventilation system installed per manufacturer’s instructions.  </w:t>
      </w:r>
    </w:p>
    <w:p w14:paraId="6E39E11F" w14:textId="77777777" w:rsidR="00DB1AEE" w:rsidRPr="00DB1AEE" w:rsidRDefault="00DB1AEE" w:rsidP="00DB1AEE">
      <w:pPr>
        <w:widowControl w:val="0"/>
        <w:suppressAutoHyphens/>
        <w:spacing w:before="130" w:after="130"/>
        <w:ind w:left="360"/>
        <w:rPr>
          <w:u w:val="single"/>
        </w:rPr>
      </w:pPr>
      <w:r w:rsidRPr="00DB1AEE">
        <w:rPr>
          <w:u w:val="single"/>
        </w:rPr>
        <w:t>Exception: A balanced ventilation system complying with the New York City Mechanical Code and sections R403.6.1.1 through R403.6.1.3</w:t>
      </w:r>
      <w:r w:rsidRPr="00DB1AEE">
        <w:t xml:space="preserve"> </w:t>
      </w:r>
      <w:r w:rsidRPr="00DB1AEE">
        <w:rPr>
          <w:u w:val="single"/>
        </w:rPr>
        <w:t>using the return side of the building’s heating and/or cooling system air handler to supply outdoor air, shall be permitted to comply with this section. When the outdoor air supply is ducted to the heating and/or cooling system air handler, the mixed air temperature shall not be less than that permitted by the heating equipment manufacturer’s installation instructions. Heating and/or cooling system air handlers used to distribute outdoor air shall be field-verified to not exceed an efficacy of 45 W/CFM if using furnaces for heating and 58 W/CFM if using other forms of heating.  In the balanced system design, an equivalent exhaust air flow rate shall be provided simultaneously by one or more exhaust fans, located remotely from the source of supply air. The balanced system’s exhaust and supply fans shall be interlocked for operation, sized to provide equivalent air flow at a rate greater than or equal to that determined by Table R403.6.1(1) and shall have their fan capacities adjusted for intermittent run time per Table R403.6.1(2). Continuous operation of the balanced ventilation system shall not be permitted.</w:t>
      </w:r>
    </w:p>
    <w:p w14:paraId="3D7E5B59"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 xml:space="preserve">Section R403.6.1.1 Whole-house mechanical ventilation (balanced ventilation option) system design.  </w:t>
      </w:r>
    </w:p>
    <w:p w14:paraId="33832D30" w14:textId="77777777" w:rsidR="00DB1AEE" w:rsidRPr="00DB1AEE" w:rsidRDefault="00DB1AEE" w:rsidP="00DB1AEE">
      <w:pPr>
        <w:widowControl w:val="0"/>
        <w:suppressAutoHyphens/>
        <w:autoSpaceDE w:val="0"/>
        <w:autoSpaceDN w:val="0"/>
        <w:adjustRightInd w:val="0"/>
        <w:spacing w:before="130" w:after="130"/>
        <w:rPr>
          <w:bCs/>
          <w:szCs w:val="24"/>
          <w:u w:val="single"/>
        </w:rPr>
      </w:pPr>
      <w:r w:rsidRPr="00DB1AEE">
        <w:rPr>
          <w:bCs/>
          <w:szCs w:val="24"/>
          <w:u w:val="single"/>
        </w:rPr>
        <w:t>Section R403.6.1.1 – Add new Section R403.6.1.1 to read as follows:</w:t>
      </w:r>
    </w:p>
    <w:p w14:paraId="4A696BB2" w14:textId="77777777" w:rsidR="00DB1AEE" w:rsidRPr="00DB1AEE" w:rsidRDefault="00DB1AEE" w:rsidP="00DB1AEE">
      <w:pPr>
        <w:autoSpaceDE w:val="0"/>
        <w:autoSpaceDN w:val="0"/>
        <w:adjustRightInd w:val="0"/>
        <w:spacing w:before="130" w:after="130"/>
        <w:ind w:left="720"/>
        <w:rPr>
          <w:szCs w:val="24"/>
          <w:u w:val="single"/>
        </w:rPr>
      </w:pPr>
      <w:r w:rsidRPr="00DB1AEE">
        <w:rPr>
          <w:b/>
          <w:bCs/>
          <w:szCs w:val="24"/>
          <w:u w:val="single"/>
        </w:rPr>
        <w:t>R403.6.1.1 Whole-house mechanical ventilation (balanced ventilation option) system design.</w:t>
      </w:r>
      <w:r w:rsidRPr="00DB1AEE">
        <w:rPr>
          <w:szCs w:val="24"/>
          <w:u w:val="single"/>
        </w:rPr>
        <w:t xml:space="preserve"> The whole-house ventilation system shall consist of one or more supply or exhaust fans, or a combination of such, and associated ducts and controls. Local exhaust or supply fans are permitted to serve as such as system. Outdoor air ducts connected to the return side of an air handler shall be considered as providing supply ventilation.</w:t>
      </w:r>
    </w:p>
    <w:p w14:paraId="49555CA9"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 xml:space="preserve">Section R403.6.1.2 System controls.  </w:t>
      </w:r>
    </w:p>
    <w:p w14:paraId="6AD0A6CB" w14:textId="77777777" w:rsidR="00DB1AEE" w:rsidRPr="00DB1AEE" w:rsidRDefault="00DB1AEE" w:rsidP="00DB1AEE">
      <w:pPr>
        <w:widowControl w:val="0"/>
        <w:suppressAutoHyphens/>
        <w:autoSpaceDE w:val="0"/>
        <w:autoSpaceDN w:val="0"/>
        <w:adjustRightInd w:val="0"/>
        <w:spacing w:before="130" w:after="130"/>
        <w:rPr>
          <w:bCs/>
          <w:szCs w:val="24"/>
          <w:u w:val="single"/>
        </w:rPr>
      </w:pPr>
      <w:r w:rsidRPr="00DB1AEE">
        <w:rPr>
          <w:bCs/>
          <w:szCs w:val="24"/>
          <w:u w:val="single"/>
        </w:rPr>
        <w:t>Section R403.6.1.2 – Add new Section R403.6.1.2 to read as follows:</w:t>
      </w:r>
    </w:p>
    <w:p w14:paraId="619BAD0F" w14:textId="77777777" w:rsidR="00DB1AEE" w:rsidRPr="00DB1AEE" w:rsidRDefault="00DB1AEE" w:rsidP="00DB1AEE">
      <w:pPr>
        <w:autoSpaceDE w:val="0"/>
        <w:autoSpaceDN w:val="0"/>
        <w:adjustRightInd w:val="0"/>
        <w:spacing w:before="130" w:after="130"/>
        <w:ind w:left="720"/>
        <w:rPr>
          <w:szCs w:val="24"/>
          <w:u w:val="single"/>
        </w:rPr>
      </w:pPr>
      <w:r w:rsidRPr="00DB1AEE">
        <w:rPr>
          <w:b/>
          <w:bCs/>
          <w:szCs w:val="24"/>
          <w:u w:val="single"/>
        </w:rPr>
        <w:t>R403.6.1.2 System controls.</w:t>
      </w:r>
      <w:r w:rsidRPr="00DB1AEE">
        <w:rPr>
          <w:szCs w:val="24"/>
          <w:u w:val="single"/>
        </w:rPr>
        <w:t xml:space="preserve"> The whole-house ventilation system shall be provided with controls that enable manual override.</w:t>
      </w:r>
    </w:p>
    <w:p w14:paraId="2C4B0745"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 xml:space="preserve">Section R403.6.1.3 Mechanical ventilation rate.  </w:t>
      </w:r>
    </w:p>
    <w:p w14:paraId="5562AE58" w14:textId="77777777" w:rsidR="00DB1AEE" w:rsidRPr="00DB1AEE" w:rsidRDefault="00DB1AEE" w:rsidP="00DB1AEE">
      <w:pPr>
        <w:widowControl w:val="0"/>
        <w:suppressAutoHyphens/>
        <w:autoSpaceDE w:val="0"/>
        <w:autoSpaceDN w:val="0"/>
        <w:adjustRightInd w:val="0"/>
        <w:spacing w:before="130" w:after="130"/>
        <w:rPr>
          <w:bCs/>
          <w:szCs w:val="24"/>
          <w:u w:val="single"/>
        </w:rPr>
      </w:pPr>
      <w:r w:rsidRPr="00DB1AEE">
        <w:rPr>
          <w:bCs/>
          <w:szCs w:val="24"/>
          <w:u w:val="single"/>
        </w:rPr>
        <w:t>Section R403.6.1.3 – Add new Section R403.6.1.3 to read as follows:</w:t>
      </w:r>
    </w:p>
    <w:p w14:paraId="45C73C5C" w14:textId="77777777" w:rsidR="00DB1AEE" w:rsidRPr="00DB1AEE" w:rsidRDefault="00DB1AEE" w:rsidP="00DB1AEE">
      <w:pPr>
        <w:autoSpaceDE w:val="0"/>
        <w:autoSpaceDN w:val="0"/>
        <w:adjustRightInd w:val="0"/>
        <w:spacing w:before="130" w:after="130"/>
        <w:ind w:left="720"/>
        <w:rPr>
          <w:szCs w:val="24"/>
          <w:u w:val="single"/>
        </w:rPr>
      </w:pPr>
      <w:r w:rsidRPr="00DB1AEE">
        <w:rPr>
          <w:b/>
          <w:bCs/>
          <w:szCs w:val="24"/>
          <w:u w:val="single"/>
        </w:rPr>
        <w:t>R403.6.1.3 Mechanical ventilation rate.</w:t>
      </w:r>
      <w:r w:rsidRPr="00DB1AEE">
        <w:rPr>
          <w:szCs w:val="24"/>
          <w:u w:val="single"/>
        </w:rPr>
        <w:t xml:space="preserve"> The whole-house mechanical ventilation system is permitted to operate intermittently where the system has controls that enable operation for not less than 25 percent of each 4 hour segment and the ventilation rate prescribed in Table R403.6.1 (1) is multiplied by the factor determined in accordance with Table R403.6.1(2).</w:t>
      </w:r>
    </w:p>
    <w:p w14:paraId="07637FD3" w14:textId="77777777" w:rsidR="00DB1AEE" w:rsidRPr="00DB1AEE" w:rsidRDefault="00DB1AEE" w:rsidP="00DB1AEE">
      <w:pPr>
        <w:suppressAutoHyphens/>
        <w:jc w:val="center"/>
        <w:rPr>
          <w:rFonts w:cs="Arial"/>
          <w:b/>
          <w:color w:val="006400"/>
        </w:rPr>
      </w:pPr>
    </w:p>
    <w:p w14:paraId="0F2B726F"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 xml:space="preserve">Table R403.6.1(1) Continuous Whole-House Mechanical Ventilation System Airflow Rate Requirements.  </w:t>
      </w:r>
    </w:p>
    <w:p w14:paraId="10D1C952" w14:textId="77777777" w:rsidR="00DB1AEE" w:rsidRPr="00DB1AEE" w:rsidRDefault="00DB1AEE" w:rsidP="00DB1AEE">
      <w:pPr>
        <w:widowControl w:val="0"/>
        <w:suppressAutoHyphens/>
        <w:autoSpaceDE w:val="0"/>
        <w:autoSpaceDN w:val="0"/>
        <w:adjustRightInd w:val="0"/>
        <w:spacing w:before="130" w:after="130"/>
        <w:rPr>
          <w:bCs/>
          <w:szCs w:val="24"/>
          <w:u w:val="single"/>
        </w:rPr>
      </w:pPr>
      <w:r w:rsidRPr="00DB1AEE">
        <w:rPr>
          <w:bCs/>
          <w:szCs w:val="24"/>
          <w:u w:val="single"/>
        </w:rPr>
        <w:t>Table R403.6.1(1) – Add new Table R403.6.1(1) to read as follows:</w:t>
      </w:r>
    </w:p>
    <w:p w14:paraId="5B24FCB8" w14:textId="77777777" w:rsidR="00DB1AEE" w:rsidRPr="00DB1AEE" w:rsidRDefault="00DB1AEE" w:rsidP="00DB1AEE">
      <w:pPr>
        <w:suppressAutoHyphens/>
        <w:jc w:val="center"/>
        <w:rPr>
          <w:rFonts w:cs="Arial"/>
          <w:b/>
          <w:color w:val="006400"/>
        </w:rPr>
      </w:pPr>
    </w:p>
    <w:p w14:paraId="350005F2" w14:textId="77777777" w:rsidR="00DB1AEE" w:rsidRPr="00DB1AEE" w:rsidRDefault="00DB1AEE" w:rsidP="00DB1AEE">
      <w:pPr>
        <w:suppressAutoHyphens/>
        <w:jc w:val="center"/>
        <w:rPr>
          <w:b/>
          <w:szCs w:val="24"/>
          <w:u w:val="single"/>
        </w:rPr>
      </w:pPr>
      <w:r w:rsidRPr="00DB1AEE">
        <w:rPr>
          <w:b/>
          <w:szCs w:val="24"/>
          <w:u w:val="single"/>
        </w:rPr>
        <w:t>TABLE R403.6.1(1) CONTINUOUS WHOLE-HOUSE MECHANICAL VENTILATION SYSTEM AIRFLOW RATE REQUIREMENTS</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1"/>
        <w:gridCol w:w="1172"/>
        <w:gridCol w:w="1170"/>
        <w:gridCol w:w="1261"/>
        <w:gridCol w:w="1622"/>
        <w:gridCol w:w="1173"/>
      </w:tblGrid>
      <w:tr w:rsidR="00DB1AEE" w:rsidRPr="00DB1AEE" w14:paraId="4CF1A6E1" w14:textId="77777777" w:rsidTr="00FC1832">
        <w:trPr>
          <w:trHeight w:val="208"/>
        </w:trPr>
        <w:tc>
          <w:tcPr>
            <w:tcW w:w="2701" w:type="dxa"/>
            <w:vMerge w:val="restart"/>
          </w:tcPr>
          <w:p w14:paraId="5CF0EC5B" w14:textId="77777777" w:rsidR="00DB1AEE" w:rsidRPr="00DB1AEE" w:rsidRDefault="00DB1AEE" w:rsidP="00DB1AEE">
            <w:pPr>
              <w:widowControl w:val="0"/>
              <w:autoSpaceDE w:val="0"/>
              <w:autoSpaceDN w:val="0"/>
              <w:jc w:val="center"/>
              <w:rPr>
                <w:b/>
                <w:szCs w:val="24"/>
                <w:u w:val="single"/>
              </w:rPr>
            </w:pPr>
            <w:r w:rsidRPr="00DB1AEE">
              <w:rPr>
                <w:b/>
                <w:spacing w:val="-1"/>
                <w:szCs w:val="24"/>
                <w:u w:val="single"/>
              </w:rPr>
              <w:t xml:space="preserve">DWELLING </w:t>
            </w:r>
            <w:r w:rsidRPr="00DB1AEE">
              <w:rPr>
                <w:b/>
                <w:szCs w:val="24"/>
                <w:u w:val="single"/>
              </w:rPr>
              <w:t>UNIT</w:t>
            </w:r>
            <w:r w:rsidRPr="00DB1AEE">
              <w:rPr>
                <w:b/>
                <w:spacing w:val="-47"/>
                <w:szCs w:val="24"/>
                <w:u w:val="single"/>
              </w:rPr>
              <w:t xml:space="preserve"> </w:t>
            </w:r>
            <w:r w:rsidRPr="00DB1AEE">
              <w:rPr>
                <w:b/>
                <w:szCs w:val="24"/>
                <w:u w:val="single"/>
              </w:rPr>
              <w:t>FLOOR</w:t>
            </w:r>
            <w:r w:rsidRPr="00DB1AEE">
              <w:rPr>
                <w:b/>
                <w:spacing w:val="-1"/>
                <w:szCs w:val="24"/>
                <w:u w:val="single"/>
              </w:rPr>
              <w:t xml:space="preserve"> </w:t>
            </w:r>
            <w:r w:rsidRPr="00DB1AEE">
              <w:rPr>
                <w:b/>
                <w:szCs w:val="24"/>
                <w:u w:val="single"/>
              </w:rPr>
              <w:t>AREA</w:t>
            </w:r>
          </w:p>
          <w:p w14:paraId="21A837ED" w14:textId="77777777" w:rsidR="00DB1AEE" w:rsidRPr="00DB1AEE" w:rsidRDefault="00DB1AEE" w:rsidP="00DB1AEE">
            <w:pPr>
              <w:widowControl w:val="0"/>
              <w:autoSpaceDE w:val="0"/>
              <w:autoSpaceDN w:val="0"/>
              <w:jc w:val="center"/>
              <w:rPr>
                <w:b/>
                <w:szCs w:val="24"/>
                <w:u w:val="single"/>
              </w:rPr>
            </w:pPr>
            <w:r w:rsidRPr="00DB1AEE">
              <w:rPr>
                <w:b/>
                <w:szCs w:val="24"/>
                <w:u w:val="single"/>
              </w:rPr>
              <w:t>(square</w:t>
            </w:r>
            <w:r w:rsidRPr="00DB1AEE">
              <w:rPr>
                <w:b/>
                <w:spacing w:val="-2"/>
                <w:szCs w:val="24"/>
                <w:u w:val="single"/>
              </w:rPr>
              <w:t xml:space="preserve"> </w:t>
            </w:r>
            <w:r w:rsidRPr="00DB1AEE">
              <w:rPr>
                <w:b/>
                <w:szCs w:val="24"/>
                <w:u w:val="single"/>
              </w:rPr>
              <w:t>feet)</w:t>
            </w:r>
          </w:p>
        </w:tc>
        <w:tc>
          <w:tcPr>
            <w:tcW w:w="6398" w:type="dxa"/>
            <w:gridSpan w:val="5"/>
          </w:tcPr>
          <w:p w14:paraId="4D7642E8" w14:textId="77777777" w:rsidR="00DB1AEE" w:rsidRPr="00DB1AEE" w:rsidRDefault="00DB1AEE" w:rsidP="00DB1AEE">
            <w:pPr>
              <w:widowControl w:val="0"/>
              <w:autoSpaceDE w:val="0"/>
              <w:autoSpaceDN w:val="0"/>
              <w:jc w:val="center"/>
              <w:rPr>
                <w:b/>
                <w:szCs w:val="24"/>
                <w:u w:val="single"/>
              </w:rPr>
            </w:pPr>
            <w:r w:rsidRPr="00DB1AEE">
              <w:rPr>
                <w:b/>
                <w:szCs w:val="24"/>
                <w:u w:val="single"/>
              </w:rPr>
              <w:t>NUMBER</w:t>
            </w:r>
            <w:r w:rsidRPr="00DB1AEE">
              <w:rPr>
                <w:b/>
                <w:spacing w:val="-2"/>
                <w:szCs w:val="24"/>
                <w:u w:val="single"/>
              </w:rPr>
              <w:t xml:space="preserve"> </w:t>
            </w:r>
            <w:r w:rsidRPr="00DB1AEE">
              <w:rPr>
                <w:b/>
                <w:szCs w:val="24"/>
                <w:u w:val="single"/>
              </w:rPr>
              <w:t>OF</w:t>
            </w:r>
            <w:r w:rsidRPr="00DB1AEE">
              <w:rPr>
                <w:b/>
                <w:spacing w:val="-1"/>
                <w:szCs w:val="24"/>
                <w:u w:val="single"/>
              </w:rPr>
              <w:t xml:space="preserve"> </w:t>
            </w:r>
            <w:r w:rsidRPr="00DB1AEE">
              <w:rPr>
                <w:b/>
                <w:szCs w:val="24"/>
                <w:u w:val="single"/>
              </w:rPr>
              <w:t>BEDROOMS</w:t>
            </w:r>
          </w:p>
        </w:tc>
      </w:tr>
      <w:tr w:rsidR="00DB1AEE" w:rsidRPr="00DB1AEE" w14:paraId="6B11CD51" w14:textId="77777777" w:rsidTr="00FC1832">
        <w:trPr>
          <w:trHeight w:val="205"/>
        </w:trPr>
        <w:tc>
          <w:tcPr>
            <w:tcW w:w="2701" w:type="dxa"/>
            <w:vMerge/>
            <w:tcBorders>
              <w:top w:val="nil"/>
            </w:tcBorders>
          </w:tcPr>
          <w:p w14:paraId="6D9BF574" w14:textId="77777777" w:rsidR="00DB1AEE" w:rsidRPr="00DB1AEE" w:rsidRDefault="00DB1AEE" w:rsidP="00DB1AEE">
            <w:pPr>
              <w:suppressAutoHyphens/>
              <w:jc w:val="center"/>
              <w:rPr>
                <w:szCs w:val="24"/>
                <w:u w:val="single"/>
              </w:rPr>
            </w:pPr>
          </w:p>
        </w:tc>
        <w:tc>
          <w:tcPr>
            <w:tcW w:w="1172" w:type="dxa"/>
          </w:tcPr>
          <w:p w14:paraId="13245CAD" w14:textId="77777777" w:rsidR="00DB1AEE" w:rsidRPr="00DB1AEE" w:rsidRDefault="00DB1AEE" w:rsidP="00DB1AEE">
            <w:pPr>
              <w:widowControl w:val="0"/>
              <w:autoSpaceDE w:val="0"/>
              <w:autoSpaceDN w:val="0"/>
              <w:jc w:val="center"/>
              <w:rPr>
                <w:b/>
                <w:szCs w:val="24"/>
                <w:u w:val="single"/>
              </w:rPr>
            </w:pPr>
            <w:r w:rsidRPr="00DB1AEE">
              <w:rPr>
                <w:b/>
                <w:szCs w:val="24"/>
                <w:u w:val="single"/>
              </w:rPr>
              <w:t>0 –</w:t>
            </w:r>
            <w:r w:rsidRPr="00DB1AEE">
              <w:rPr>
                <w:b/>
                <w:spacing w:val="1"/>
                <w:szCs w:val="24"/>
                <w:u w:val="single"/>
              </w:rPr>
              <w:t xml:space="preserve"> </w:t>
            </w:r>
            <w:r w:rsidRPr="00DB1AEE">
              <w:rPr>
                <w:b/>
                <w:szCs w:val="24"/>
                <w:u w:val="single"/>
              </w:rPr>
              <w:t>1</w:t>
            </w:r>
          </w:p>
        </w:tc>
        <w:tc>
          <w:tcPr>
            <w:tcW w:w="1170" w:type="dxa"/>
          </w:tcPr>
          <w:p w14:paraId="7504244C" w14:textId="77777777" w:rsidR="00DB1AEE" w:rsidRPr="00DB1AEE" w:rsidRDefault="00DB1AEE" w:rsidP="00DB1AEE">
            <w:pPr>
              <w:widowControl w:val="0"/>
              <w:autoSpaceDE w:val="0"/>
              <w:autoSpaceDN w:val="0"/>
              <w:jc w:val="center"/>
              <w:rPr>
                <w:b/>
                <w:szCs w:val="24"/>
                <w:u w:val="single"/>
              </w:rPr>
            </w:pPr>
            <w:r w:rsidRPr="00DB1AEE">
              <w:rPr>
                <w:b/>
                <w:szCs w:val="24"/>
                <w:u w:val="single"/>
              </w:rPr>
              <w:t>2 –</w:t>
            </w:r>
            <w:r w:rsidRPr="00DB1AEE">
              <w:rPr>
                <w:b/>
                <w:spacing w:val="1"/>
                <w:szCs w:val="24"/>
                <w:u w:val="single"/>
              </w:rPr>
              <w:t xml:space="preserve"> </w:t>
            </w:r>
            <w:r w:rsidRPr="00DB1AEE">
              <w:rPr>
                <w:b/>
                <w:szCs w:val="24"/>
                <w:u w:val="single"/>
              </w:rPr>
              <w:t>3</w:t>
            </w:r>
          </w:p>
        </w:tc>
        <w:tc>
          <w:tcPr>
            <w:tcW w:w="1261" w:type="dxa"/>
          </w:tcPr>
          <w:p w14:paraId="3AF17471" w14:textId="77777777" w:rsidR="00DB1AEE" w:rsidRPr="00DB1AEE" w:rsidRDefault="00DB1AEE" w:rsidP="00DB1AEE">
            <w:pPr>
              <w:widowControl w:val="0"/>
              <w:autoSpaceDE w:val="0"/>
              <w:autoSpaceDN w:val="0"/>
              <w:jc w:val="center"/>
              <w:rPr>
                <w:b/>
                <w:szCs w:val="24"/>
                <w:u w:val="single"/>
              </w:rPr>
            </w:pPr>
            <w:r w:rsidRPr="00DB1AEE">
              <w:rPr>
                <w:b/>
                <w:szCs w:val="24"/>
                <w:u w:val="single"/>
              </w:rPr>
              <w:t>4 –</w:t>
            </w:r>
            <w:r w:rsidRPr="00DB1AEE">
              <w:rPr>
                <w:b/>
                <w:spacing w:val="1"/>
                <w:szCs w:val="24"/>
                <w:u w:val="single"/>
              </w:rPr>
              <w:t xml:space="preserve"> </w:t>
            </w:r>
            <w:r w:rsidRPr="00DB1AEE">
              <w:rPr>
                <w:b/>
                <w:szCs w:val="24"/>
                <w:u w:val="single"/>
              </w:rPr>
              <w:t>5</w:t>
            </w:r>
          </w:p>
        </w:tc>
        <w:tc>
          <w:tcPr>
            <w:tcW w:w="1622" w:type="dxa"/>
          </w:tcPr>
          <w:p w14:paraId="5C0CDE34" w14:textId="77777777" w:rsidR="00DB1AEE" w:rsidRPr="00DB1AEE" w:rsidRDefault="00DB1AEE" w:rsidP="00DB1AEE">
            <w:pPr>
              <w:widowControl w:val="0"/>
              <w:autoSpaceDE w:val="0"/>
              <w:autoSpaceDN w:val="0"/>
              <w:jc w:val="center"/>
              <w:rPr>
                <w:b/>
                <w:szCs w:val="24"/>
                <w:u w:val="single"/>
              </w:rPr>
            </w:pPr>
            <w:r w:rsidRPr="00DB1AEE">
              <w:rPr>
                <w:b/>
                <w:szCs w:val="24"/>
                <w:u w:val="single"/>
              </w:rPr>
              <w:t>6 –</w:t>
            </w:r>
            <w:r w:rsidRPr="00DB1AEE">
              <w:rPr>
                <w:b/>
                <w:spacing w:val="1"/>
                <w:szCs w:val="24"/>
                <w:u w:val="single"/>
              </w:rPr>
              <w:t xml:space="preserve"> </w:t>
            </w:r>
            <w:r w:rsidRPr="00DB1AEE">
              <w:rPr>
                <w:b/>
                <w:szCs w:val="24"/>
                <w:u w:val="single"/>
              </w:rPr>
              <w:t>7</w:t>
            </w:r>
          </w:p>
        </w:tc>
        <w:tc>
          <w:tcPr>
            <w:tcW w:w="1173" w:type="dxa"/>
          </w:tcPr>
          <w:p w14:paraId="74B551D8" w14:textId="77777777" w:rsidR="00DB1AEE" w:rsidRPr="00DB1AEE" w:rsidRDefault="00DB1AEE" w:rsidP="00DB1AEE">
            <w:pPr>
              <w:widowControl w:val="0"/>
              <w:autoSpaceDE w:val="0"/>
              <w:autoSpaceDN w:val="0"/>
              <w:jc w:val="center"/>
              <w:rPr>
                <w:b/>
                <w:szCs w:val="24"/>
                <w:u w:val="single"/>
              </w:rPr>
            </w:pPr>
            <w:r w:rsidRPr="00DB1AEE">
              <w:rPr>
                <w:b/>
                <w:szCs w:val="24"/>
                <w:u w:val="single"/>
              </w:rPr>
              <w:t>&gt; 7</w:t>
            </w:r>
          </w:p>
        </w:tc>
      </w:tr>
      <w:tr w:rsidR="00DB1AEE" w:rsidRPr="00DB1AEE" w14:paraId="7A40C42E" w14:textId="77777777" w:rsidTr="00FC1832">
        <w:trPr>
          <w:trHeight w:val="208"/>
        </w:trPr>
        <w:tc>
          <w:tcPr>
            <w:tcW w:w="2701" w:type="dxa"/>
            <w:vMerge/>
            <w:tcBorders>
              <w:top w:val="nil"/>
            </w:tcBorders>
          </w:tcPr>
          <w:p w14:paraId="24FE9463" w14:textId="77777777" w:rsidR="00DB1AEE" w:rsidRPr="00DB1AEE" w:rsidRDefault="00DB1AEE" w:rsidP="00DB1AEE">
            <w:pPr>
              <w:suppressAutoHyphens/>
              <w:jc w:val="center"/>
              <w:rPr>
                <w:szCs w:val="24"/>
                <w:u w:val="single"/>
              </w:rPr>
            </w:pPr>
          </w:p>
        </w:tc>
        <w:tc>
          <w:tcPr>
            <w:tcW w:w="6398" w:type="dxa"/>
            <w:gridSpan w:val="5"/>
          </w:tcPr>
          <w:p w14:paraId="558F6C76" w14:textId="77777777" w:rsidR="00DB1AEE" w:rsidRPr="00DB1AEE" w:rsidRDefault="00DB1AEE" w:rsidP="00DB1AEE">
            <w:pPr>
              <w:widowControl w:val="0"/>
              <w:autoSpaceDE w:val="0"/>
              <w:autoSpaceDN w:val="0"/>
              <w:jc w:val="center"/>
              <w:rPr>
                <w:b/>
                <w:szCs w:val="24"/>
                <w:u w:val="single"/>
              </w:rPr>
            </w:pPr>
            <w:r w:rsidRPr="00DB1AEE">
              <w:rPr>
                <w:b/>
                <w:szCs w:val="24"/>
                <w:u w:val="single"/>
              </w:rPr>
              <w:t>Airflow</w:t>
            </w:r>
            <w:r w:rsidRPr="00DB1AEE">
              <w:rPr>
                <w:b/>
                <w:spacing w:val="1"/>
                <w:szCs w:val="24"/>
                <w:u w:val="single"/>
              </w:rPr>
              <w:t xml:space="preserve"> </w:t>
            </w:r>
            <w:r w:rsidRPr="00DB1AEE">
              <w:rPr>
                <w:b/>
                <w:szCs w:val="24"/>
                <w:u w:val="single"/>
              </w:rPr>
              <w:t>in</w:t>
            </w:r>
            <w:r w:rsidRPr="00DB1AEE">
              <w:rPr>
                <w:b/>
                <w:spacing w:val="-2"/>
                <w:szCs w:val="24"/>
                <w:u w:val="single"/>
              </w:rPr>
              <w:t xml:space="preserve"> </w:t>
            </w:r>
            <w:r w:rsidRPr="00DB1AEE">
              <w:rPr>
                <w:b/>
                <w:szCs w:val="24"/>
                <w:u w:val="single"/>
              </w:rPr>
              <w:t>CFM</w:t>
            </w:r>
          </w:p>
        </w:tc>
      </w:tr>
      <w:tr w:rsidR="00DB1AEE" w:rsidRPr="00DB1AEE" w14:paraId="7705541A" w14:textId="77777777" w:rsidTr="00FC1832">
        <w:trPr>
          <w:trHeight w:val="205"/>
        </w:trPr>
        <w:tc>
          <w:tcPr>
            <w:tcW w:w="2701" w:type="dxa"/>
          </w:tcPr>
          <w:p w14:paraId="21B30655" w14:textId="77777777" w:rsidR="00DB1AEE" w:rsidRPr="00DB1AEE" w:rsidRDefault="00DB1AEE" w:rsidP="00DB1AEE">
            <w:pPr>
              <w:widowControl w:val="0"/>
              <w:autoSpaceDE w:val="0"/>
              <w:autoSpaceDN w:val="0"/>
              <w:jc w:val="center"/>
              <w:rPr>
                <w:szCs w:val="24"/>
                <w:u w:val="single"/>
              </w:rPr>
            </w:pPr>
            <w:r w:rsidRPr="00DB1AEE">
              <w:rPr>
                <w:szCs w:val="24"/>
                <w:u w:val="single"/>
              </w:rPr>
              <w:t>&lt;</w:t>
            </w:r>
            <w:r w:rsidRPr="00DB1AEE">
              <w:rPr>
                <w:spacing w:val="1"/>
                <w:szCs w:val="24"/>
                <w:u w:val="single"/>
              </w:rPr>
              <w:t xml:space="preserve"> </w:t>
            </w:r>
            <w:r w:rsidRPr="00DB1AEE">
              <w:rPr>
                <w:szCs w:val="24"/>
                <w:u w:val="single"/>
              </w:rPr>
              <w:t>1,500</w:t>
            </w:r>
          </w:p>
        </w:tc>
        <w:tc>
          <w:tcPr>
            <w:tcW w:w="1172" w:type="dxa"/>
          </w:tcPr>
          <w:p w14:paraId="6C06BAD3" w14:textId="77777777" w:rsidR="00DB1AEE" w:rsidRPr="00DB1AEE" w:rsidRDefault="00DB1AEE" w:rsidP="00DB1AEE">
            <w:pPr>
              <w:widowControl w:val="0"/>
              <w:autoSpaceDE w:val="0"/>
              <w:autoSpaceDN w:val="0"/>
              <w:jc w:val="center"/>
              <w:rPr>
                <w:szCs w:val="24"/>
                <w:u w:val="single"/>
              </w:rPr>
            </w:pPr>
            <w:r w:rsidRPr="00DB1AEE">
              <w:rPr>
                <w:szCs w:val="24"/>
                <w:u w:val="single"/>
              </w:rPr>
              <w:t>30</w:t>
            </w:r>
          </w:p>
        </w:tc>
        <w:tc>
          <w:tcPr>
            <w:tcW w:w="1170" w:type="dxa"/>
          </w:tcPr>
          <w:p w14:paraId="593A2996" w14:textId="77777777" w:rsidR="00DB1AEE" w:rsidRPr="00DB1AEE" w:rsidRDefault="00DB1AEE" w:rsidP="00DB1AEE">
            <w:pPr>
              <w:widowControl w:val="0"/>
              <w:autoSpaceDE w:val="0"/>
              <w:autoSpaceDN w:val="0"/>
              <w:jc w:val="center"/>
              <w:rPr>
                <w:szCs w:val="24"/>
                <w:u w:val="single"/>
              </w:rPr>
            </w:pPr>
            <w:r w:rsidRPr="00DB1AEE">
              <w:rPr>
                <w:szCs w:val="24"/>
                <w:u w:val="single"/>
              </w:rPr>
              <w:t>45</w:t>
            </w:r>
          </w:p>
        </w:tc>
        <w:tc>
          <w:tcPr>
            <w:tcW w:w="1261" w:type="dxa"/>
          </w:tcPr>
          <w:p w14:paraId="275A3FED" w14:textId="77777777" w:rsidR="00DB1AEE" w:rsidRPr="00DB1AEE" w:rsidRDefault="00DB1AEE" w:rsidP="00DB1AEE">
            <w:pPr>
              <w:widowControl w:val="0"/>
              <w:autoSpaceDE w:val="0"/>
              <w:autoSpaceDN w:val="0"/>
              <w:jc w:val="center"/>
              <w:rPr>
                <w:szCs w:val="24"/>
                <w:u w:val="single"/>
              </w:rPr>
            </w:pPr>
            <w:r w:rsidRPr="00DB1AEE">
              <w:rPr>
                <w:szCs w:val="24"/>
                <w:u w:val="single"/>
              </w:rPr>
              <w:t>60</w:t>
            </w:r>
          </w:p>
        </w:tc>
        <w:tc>
          <w:tcPr>
            <w:tcW w:w="1622" w:type="dxa"/>
          </w:tcPr>
          <w:p w14:paraId="4C53382B" w14:textId="77777777" w:rsidR="00DB1AEE" w:rsidRPr="00DB1AEE" w:rsidRDefault="00DB1AEE" w:rsidP="00DB1AEE">
            <w:pPr>
              <w:widowControl w:val="0"/>
              <w:autoSpaceDE w:val="0"/>
              <w:autoSpaceDN w:val="0"/>
              <w:jc w:val="center"/>
              <w:rPr>
                <w:szCs w:val="24"/>
                <w:u w:val="single"/>
              </w:rPr>
            </w:pPr>
            <w:r w:rsidRPr="00DB1AEE">
              <w:rPr>
                <w:szCs w:val="24"/>
                <w:u w:val="single"/>
              </w:rPr>
              <w:t>75</w:t>
            </w:r>
          </w:p>
        </w:tc>
        <w:tc>
          <w:tcPr>
            <w:tcW w:w="1173" w:type="dxa"/>
          </w:tcPr>
          <w:p w14:paraId="2F9EB7FE" w14:textId="77777777" w:rsidR="00DB1AEE" w:rsidRPr="00DB1AEE" w:rsidRDefault="00DB1AEE" w:rsidP="00DB1AEE">
            <w:pPr>
              <w:widowControl w:val="0"/>
              <w:autoSpaceDE w:val="0"/>
              <w:autoSpaceDN w:val="0"/>
              <w:jc w:val="center"/>
              <w:rPr>
                <w:szCs w:val="24"/>
                <w:u w:val="single"/>
              </w:rPr>
            </w:pPr>
            <w:r w:rsidRPr="00DB1AEE">
              <w:rPr>
                <w:szCs w:val="24"/>
                <w:u w:val="single"/>
              </w:rPr>
              <w:t>90</w:t>
            </w:r>
          </w:p>
        </w:tc>
      </w:tr>
      <w:tr w:rsidR="00DB1AEE" w:rsidRPr="00DB1AEE" w14:paraId="3B33B95F" w14:textId="77777777" w:rsidTr="00FC1832">
        <w:trPr>
          <w:trHeight w:val="206"/>
        </w:trPr>
        <w:tc>
          <w:tcPr>
            <w:tcW w:w="2701" w:type="dxa"/>
          </w:tcPr>
          <w:p w14:paraId="22785891" w14:textId="77777777" w:rsidR="00DB1AEE" w:rsidRPr="00DB1AEE" w:rsidRDefault="00DB1AEE" w:rsidP="00DB1AEE">
            <w:pPr>
              <w:widowControl w:val="0"/>
              <w:autoSpaceDE w:val="0"/>
              <w:autoSpaceDN w:val="0"/>
              <w:jc w:val="center"/>
              <w:rPr>
                <w:szCs w:val="24"/>
                <w:u w:val="single"/>
              </w:rPr>
            </w:pPr>
            <w:r w:rsidRPr="00DB1AEE">
              <w:rPr>
                <w:w w:val="105"/>
                <w:szCs w:val="24"/>
                <w:u w:val="single"/>
              </w:rPr>
              <w:t>1,501</w:t>
            </w:r>
            <w:r w:rsidRPr="00DB1AEE">
              <w:rPr>
                <w:spacing w:val="-3"/>
                <w:w w:val="105"/>
                <w:szCs w:val="24"/>
                <w:u w:val="single"/>
              </w:rPr>
              <w:t xml:space="preserve"> </w:t>
            </w:r>
            <w:r w:rsidRPr="00DB1AEE">
              <w:rPr>
                <w:w w:val="105"/>
                <w:szCs w:val="24"/>
                <w:u w:val="single"/>
              </w:rPr>
              <w:t>– 3,000</w:t>
            </w:r>
          </w:p>
        </w:tc>
        <w:tc>
          <w:tcPr>
            <w:tcW w:w="1172" w:type="dxa"/>
          </w:tcPr>
          <w:p w14:paraId="7DEA7489" w14:textId="77777777" w:rsidR="00DB1AEE" w:rsidRPr="00DB1AEE" w:rsidRDefault="00DB1AEE" w:rsidP="00DB1AEE">
            <w:pPr>
              <w:widowControl w:val="0"/>
              <w:autoSpaceDE w:val="0"/>
              <w:autoSpaceDN w:val="0"/>
              <w:jc w:val="center"/>
              <w:rPr>
                <w:szCs w:val="24"/>
                <w:u w:val="single"/>
              </w:rPr>
            </w:pPr>
            <w:r w:rsidRPr="00DB1AEE">
              <w:rPr>
                <w:szCs w:val="24"/>
                <w:u w:val="single"/>
              </w:rPr>
              <w:t>45</w:t>
            </w:r>
          </w:p>
        </w:tc>
        <w:tc>
          <w:tcPr>
            <w:tcW w:w="1170" w:type="dxa"/>
          </w:tcPr>
          <w:p w14:paraId="26859F03" w14:textId="77777777" w:rsidR="00DB1AEE" w:rsidRPr="00DB1AEE" w:rsidRDefault="00DB1AEE" w:rsidP="00DB1AEE">
            <w:pPr>
              <w:widowControl w:val="0"/>
              <w:autoSpaceDE w:val="0"/>
              <w:autoSpaceDN w:val="0"/>
              <w:jc w:val="center"/>
              <w:rPr>
                <w:szCs w:val="24"/>
                <w:u w:val="single"/>
              </w:rPr>
            </w:pPr>
            <w:r w:rsidRPr="00DB1AEE">
              <w:rPr>
                <w:szCs w:val="24"/>
                <w:u w:val="single"/>
              </w:rPr>
              <w:t>60</w:t>
            </w:r>
          </w:p>
        </w:tc>
        <w:tc>
          <w:tcPr>
            <w:tcW w:w="1261" w:type="dxa"/>
          </w:tcPr>
          <w:p w14:paraId="6F31F7A6" w14:textId="77777777" w:rsidR="00DB1AEE" w:rsidRPr="00DB1AEE" w:rsidRDefault="00DB1AEE" w:rsidP="00DB1AEE">
            <w:pPr>
              <w:widowControl w:val="0"/>
              <w:autoSpaceDE w:val="0"/>
              <w:autoSpaceDN w:val="0"/>
              <w:jc w:val="center"/>
              <w:rPr>
                <w:szCs w:val="24"/>
                <w:u w:val="single"/>
              </w:rPr>
            </w:pPr>
            <w:r w:rsidRPr="00DB1AEE">
              <w:rPr>
                <w:szCs w:val="24"/>
                <w:u w:val="single"/>
              </w:rPr>
              <w:t>75</w:t>
            </w:r>
          </w:p>
        </w:tc>
        <w:tc>
          <w:tcPr>
            <w:tcW w:w="1622" w:type="dxa"/>
          </w:tcPr>
          <w:p w14:paraId="6AF69908" w14:textId="77777777" w:rsidR="00DB1AEE" w:rsidRPr="00DB1AEE" w:rsidRDefault="00DB1AEE" w:rsidP="00DB1AEE">
            <w:pPr>
              <w:widowControl w:val="0"/>
              <w:autoSpaceDE w:val="0"/>
              <w:autoSpaceDN w:val="0"/>
              <w:jc w:val="center"/>
              <w:rPr>
                <w:szCs w:val="24"/>
                <w:u w:val="single"/>
              </w:rPr>
            </w:pPr>
            <w:r w:rsidRPr="00DB1AEE">
              <w:rPr>
                <w:szCs w:val="24"/>
                <w:u w:val="single"/>
              </w:rPr>
              <w:t>90</w:t>
            </w:r>
          </w:p>
        </w:tc>
        <w:tc>
          <w:tcPr>
            <w:tcW w:w="1173" w:type="dxa"/>
          </w:tcPr>
          <w:p w14:paraId="1159C052" w14:textId="77777777" w:rsidR="00DB1AEE" w:rsidRPr="00DB1AEE" w:rsidRDefault="00DB1AEE" w:rsidP="00DB1AEE">
            <w:pPr>
              <w:widowControl w:val="0"/>
              <w:autoSpaceDE w:val="0"/>
              <w:autoSpaceDN w:val="0"/>
              <w:jc w:val="center"/>
              <w:rPr>
                <w:szCs w:val="24"/>
                <w:u w:val="single"/>
              </w:rPr>
            </w:pPr>
            <w:r w:rsidRPr="00DB1AEE">
              <w:rPr>
                <w:szCs w:val="24"/>
                <w:u w:val="single"/>
              </w:rPr>
              <w:t>105</w:t>
            </w:r>
          </w:p>
        </w:tc>
      </w:tr>
      <w:tr w:rsidR="00DB1AEE" w:rsidRPr="00DB1AEE" w14:paraId="61ADF9DF" w14:textId="77777777" w:rsidTr="00FC1832">
        <w:trPr>
          <w:trHeight w:val="208"/>
        </w:trPr>
        <w:tc>
          <w:tcPr>
            <w:tcW w:w="2701" w:type="dxa"/>
          </w:tcPr>
          <w:p w14:paraId="4A5B3219" w14:textId="77777777" w:rsidR="00DB1AEE" w:rsidRPr="00DB1AEE" w:rsidRDefault="00DB1AEE" w:rsidP="00DB1AEE">
            <w:pPr>
              <w:widowControl w:val="0"/>
              <w:autoSpaceDE w:val="0"/>
              <w:autoSpaceDN w:val="0"/>
              <w:jc w:val="center"/>
              <w:rPr>
                <w:szCs w:val="24"/>
                <w:u w:val="single"/>
              </w:rPr>
            </w:pPr>
            <w:r w:rsidRPr="00DB1AEE">
              <w:rPr>
                <w:w w:val="105"/>
                <w:szCs w:val="24"/>
                <w:u w:val="single"/>
              </w:rPr>
              <w:t>3,001</w:t>
            </w:r>
            <w:r w:rsidRPr="00DB1AEE">
              <w:rPr>
                <w:spacing w:val="-3"/>
                <w:w w:val="105"/>
                <w:szCs w:val="24"/>
                <w:u w:val="single"/>
              </w:rPr>
              <w:t xml:space="preserve"> </w:t>
            </w:r>
            <w:r w:rsidRPr="00DB1AEE">
              <w:rPr>
                <w:w w:val="105"/>
                <w:szCs w:val="24"/>
                <w:u w:val="single"/>
              </w:rPr>
              <w:t>– 4,500</w:t>
            </w:r>
          </w:p>
        </w:tc>
        <w:tc>
          <w:tcPr>
            <w:tcW w:w="1172" w:type="dxa"/>
          </w:tcPr>
          <w:p w14:paraId="279DD8F4" w14:textId="77777777" w:rsidR="00DB1AEE" w:rsidRPr="00DB1AEE" w:rsidRDefault="00DB1AEE" w:rsidP="00DB1AEE">
            <w:pPr>
              <w:widowControl w:val="0"/>
              <w:autoSpaceDE w:val="0"/>
              <w:autoSpaceDN w:val="0"/>
              <w:jc w:val="center"/>
              <w:rPr>
                <w:szCs w:val="24"/>
                <w:u w:val="single"/>
              </w:rPr>
            </w:pPr>
            <w:r w:rsidRPr="00DB1AEE">
              <w:rPr>
                <w:szCs w:val="24"/>
                <w:u w:val="single"/>
              </w:rPr>
              <w:t>60</w:t>
            </w:r>
          </w:p>
        </w:tc>
        <w:tc>
          <w:tcPr>
            <w:tcW w:w="1170" w:type="dxa"/>
          </w:tcPr>
          <w:p w14:paraId="6D98C362" w14:textId="77777777" w:rsidR="00DB1AEE" w:rsidRPr="00DB1AEE" w:rsidRDefault="00DB1AEE" w:rsidP="00DB1AEE">
            <w:pPr>
              <w:widowControl w:val="0"/>
              <w:autoSpaceDE w:val="0"/>
              <w:autoSpaceDN w:val="0"/>
              <w:jc w:val="center"/>
              <w:rPr>
                <w:szCs w:val="24"/>
                <w:u w:val="single"/>
              </w:rPr>
            </w:pPr>
            <w:r w:rsidRPr="00DB1AEE">
              <w:rPr>
                <w:szCs w:val="24"/>
                <w:u w:val="single"/>
              </w:rPr>
              <w:t>75</w:t>
            </w:r>
          </w:p>
        </w:tc>
        <w:tc>
          <w:tcPr>
            <w:tcW w:w="1261" w:type="dxa"/>
          </w:tcPr>
          <w:p w14:paraId="188C7007" w14:textId="77777777" w:rsidR="00DB1AEE" w:rsidRPr="00DB1AEE" w:rsidRDefault="00DB1AEE" w:rsidP="00DB1AEE">
            <w:pPr>
              <w:widowControl w:val="0"/>
              <w:autoSpaceDE w:val="0"/>
              <w:autoSpaceDN w:val="0"/>
              <w:jc w:val="center"/>
              <w:rPr>
                <w:szCs w:val="24"/>
                <w:u w:val="single"/>
              </w:rPr>
            </w:pPr>
            <w:r w:rsidRPr="00DB1AEE">
              <w:rPr>
                <w:szCs w:val="24"/>
                <w:u w:val="single"/>
              </w:rPr>
              <w:t>90</w:t>
            </w:r>
          </w:p>
        </w:tc>
        <w:tc>
          <w:tcPr>
            <w:tcW w:w="1622" w:type="dxa"/>
          </w:tcPr>
          <w:p w14:paraId="5EB285E5" w14:textId="77777777" w:rsidR="00DB1AEE" w:rsidRPr="00DB1AEE" w:rsidRDefault="00DB1AEE" w:rsidP="00DB1AEE">
            <w:pPr>
              <w:widowControl w:val="0"/>
              <w:autoSpaceDE w:val="0"/>
              <w:autoSpaceDN w:val="0"/>
              <w:jc w:val="center"/>
              <w:rPr>
                <w:szCs w:val="24"/>
                <w:u w:val="single"/>
              </w:rPr>
            </w:pPr>
            <w:r w:rsidRPr="00DB1AEE">
              <w:rPr>
                <w:szCs w:val="24"/>
                <w:u w:val="single"/>
              </w:rPr>
              <w:t>105</w:t>
            </w:r>
          </w:p>
        </w:tc>
        <w:tc>
          <w:tcPr>
            <w:tcW w:w="1173" w:type="dxa"/>
          </w:tcPr>
          <w:p w14:paraId="01C79BBB" w14:textId="77777777" w:rsidR="00DB1AEE" w:rsidRPr="00DB1AEE" w:rsidRDefault="00DB1AEE" w:rsidP="00DB1AEE">
            <w:pPr>
              <w:widowControl w:val="0"/>
              <w:autoSpaceDE w:val="0"/>
              <w:autoSpaceDN w:val="0"/>
              <w:jc w:val="center"/>
              <w:rPr>
                <w:szCs w:val="24"/>
                <w:u w:val="single"/>
              </w:rPr>
            </w:pPr>
            <w:r w:rsidRPr="00DB1AEE">
              <w:rPr>
                <w:szCs w:val="24"/>
                <w:u w:val="single"/>
              </w:rPr>
              <w:t>120</w:t>
            </w:r>
          </w:p>
        </w:tc>
      </w:tr>
      <w:tr w:rsidR="00DB1AEE" w:rsidRPr="00DB1AEE" w14:paraId="08107638" w14:textId="77777777" w:rsidTr="00FC1832">
        <w:trPr>
          <w:trHeight w:val="206"/>
        </w:trPr>
        <w:tc>
          <w:tcPr>
            <w:tcW w:w="2701" w:type="dxa"/>
          </w:tcPr>
          <w:p w14:paraId="6A57CEE8" w14:textId="77777777" w:rsidR="00DB1AEE" w:rsidRPr="00DB1AEE" w:rsidRDefault="00DB1AEE" w:rsidP="00DB1AEE">
            <w:pPr>
              <w:widowControl w:val="0"/>
              <w:autoSpaceDE w:val="0"/>
              <w:autoSpaceDN w:val="0"/>
              <w:jc w:val="center"/>
              <w:rPr>
                <w:szCs w:val="24"/>
                <w:u w:val="single"/>
              </w:rPr>
            </w:pPr>
            <w:r w:rsidRPr="00DB1AEE">
              <w:rPr>
                <w:w w:val="105"/>
                <w:szCs w:val="24"/>
                <w:u w:val="single"/>
              </w:rPr>
              <w:t>4,501</w:t>
            </w:r>
            <w:r w:rsidRPr="00DB1AEE">
              <w:rPr>
                <w:spacing w:val="-3"/>
                <w:w w:val="105"/>
                <w:szCs w:val="24"/>
                <w:u w:val="single"/>
              </w:rPr>
              <w:t xml:space="preserve"> </w:t>
            </w:r>
            <w:r w:rsidRPr="00DB1AEE">
              <w:rPr>
                <w:w w:val="105"/>
                <w:szCs w:val="24"/>
                <w:u w:val="single"/>
              </w:rPr>
              <w:t>– 6,000</w:t>
            </w:r>
          </w:p>
        </w:tc>
        <w:tc>
          <w:tcPr>
            <w:tcW w:w="1172" w:type="dxa"/>
          </w:tcPr>
          <w:p w14:paraId="45A98488" w14:textId="77777777" w:rsidR="00DB1AEE" w:rsidRPr="00DB1AEE" w:rsidRDefault="00DB1AEE" w:rsidP="00DB1AEE">
            <w:pPr>
              <w:widowControl w:val="0"/>
              <w:autoSpaceDE w:val="0"/>
              <w:autoSpaceDN w:val="0"/>
              <w:jc w:val="center"/>
              <w:rPr>
                <w:szCs w:val="24"/>
                <w:u w:val="single"/>
              </w:rPr>
            </w:pPr>
            <w:r w:rsidRPr="00DB1AEE">
              <w:rPr>
                <w:szCs w:val="24"/>
                <w:u w:val="single"/>
              </w:rPr>
              <w:t>75</w:t>
            </w:r>
          </w:p>
        </w:tc>
        <w:tc>
          <w:tcPr>
            <w:tcW w:w="1170" w:type="dxa"/>
          </w:tcPr>
          <w:p w14:paraId="134E1E9D" w14:textId="77777777" w:rsidR="00DB1AEE" w:rsidRPr="00DB1AEE" w:rsidRDefault="00DB1AEE" w:rsidP="00DB1AEE">
            <w:pPr>
              <w:widowControl w:val="0"/>
              <w:autoSpaceDE w:val="0"/>
              <w:autoSpaceDN w:val="0"/>
              <w:jc w:val="center"/>
              <w:rPr>
                <w:szCs w:val="24"/>
                <w:u w:val="single"/>
              </w:rPr>
            </w:pPr>
            <w:r w:rsidRPr="00DB1AEE">
              <w:rPr>
                <w:szCs w:val="24"/>
                <w:u w:val="single"/>
              </w:rPr>
              <w:t>90</w:t>
            </w:r>
          </w:p>
        </w:tc>
        <w:tc>
          <w:tcPr>
            <w:tcW w:w="1261" w:type="dxa"/>
          </w:tcPr>
          <w:p w14:paraId="36F93245" w14:textId="77777777" w:rsidR="00DB1AEE" w:rsidRPr="00DB1AEE" w:rsidRDefault="00DB1AEE" w:rsidP="00DB1AEE">
            <w:pPr>
              <w:widowControl w:val="0"/>
              <w:autoSpaceDE w:val="0"/>
              <w:autoSpaceDN w:val="0"/>
              <w:jc w:val="center"/>
              <w:rPr>
                <w:szCs w:val="24"/>
                <w:u w:val="single"/>
              </w:rPr>
            </w:pPr>
            <w:r w:rsidRPr="00DB1AEE">
              <w:rPr>
                <w:szCs w:val="24"/>
                <w:u w:val="single"/>
              </w:rPr>
              <w:t>105</w:t>
            </w:r>
          </w:p>
        </w:tc>
        <w:tc>
          <w:tcPr>
            <w:tcW w:w="1622" w:type="dxa"/>
          </w:tcPr>
          <w:p w14:paraId="110A549D" w14:textId="77777777" w:rsidR="00DB1AEE" w:rsidRPr="00DB1AEE" w:rsidRDefault="00DB1AEE" w:rsidP="00DB1AEE">
            <w:pPr>
              <w:widowControl w:val="0"/>
              <w:autoSpaceDE w:val="0"/>
              <w:autoSpaceDN w:val="0"/>
              <w:jc w:val="center"/>
              <w:rPr>
                <w:szCs w:val="24"/>
                <w:u w:val="single"/>
              </w:rPr>
            </w:pPr>
            <w:r w:rsidRPr="00DB1AEE">
              <w:rPr>
                <w:szCs w:val="24"/>
                <w:u w:val="single"/>
              </w:rPr>
              <w:t>120</w:t>
            </w:r>
          </w:p>
        </w:tc>
        <w:tc>
          <w:tcPr>
            <w:tcW w:w="1173" w:type="dxa"/>
          </w:tcPr>
          <w:p w14:paraId="545CD2D1" w14:textId="77777777" w:rsidR="00DB1AEE" w:rsidRPr="00DB1AEE" w:rsidRDefault="00DB1AEE" w:rsidP="00DB1AEE">
            <w:pPr>
              <w:widowControl w:val="0"/>
              <w:autoSpaceDE w:val="0"/>
              <w:autoSpaceDN w:val="0"/>
              <w:jc w:val="center"/>
              <w:rPr>
                <w:szCs w:val="24"/>
                <w:u w:val="single"/>
              </w:rPr>
            </w:pPr>
            <w:r w:rsidRPr="00DB1AEE">
              <w:rPr>
                <w:szCs w:val="24"/>
                <w:u w:val="single"/>
              </w:rPr>
              <w:t>135</w:t>
            </w:r>
          </w:p>
        </w:tc>
      </w:tr>
      <w:tr w:rsidR="00DB1AEE" w:rsidRPr="00DB1AEE" w14:paraId="26A31744" w14:textId="77777777" w:rsidTr="00FC1832">
        <w:trPr>
          <w:trHeight w:val="208"/>
        </w:trPr>
        <w:tc>
          <w:tcPr>
            <w:tcW w:w="2701" w:type="dxa"/>
          </w:tcPr>
          <w:p w14:paraId="7A93F119" w14:textId="77777777" w:rsidR="00DB1AEE" w:rsidRPr="00DB1AEE" w:rsidRDefault="00DB1AEE" w:rsidP="00DB1AEE">
            <w:pPr>
              <w:widowControl w:val="0"/>
              <w:autoSpaceDE w:val="0"/>
              <w:autoSpaceDN w:val="0"/>
              <w:jc w:val="center"/>
              <w:rPr>
                <w:szCs w:val="24"/>
                <w:u w:val="single"/>
              </w:rPr>
            </w:pPr>
            <w:r w:rsidRPr="00DB1AEE">
              <w:rPr>
                <w:w w:val="105"/>
                <w:szCs w:val="24"/>
                <w:u w:val="single"/>
              </w:rPr>
              <w:t>6,001</w:t>
            </w:r>
            <w:r w:rsidRPr="00DB1AEE">
              <w:rPr>
                <w:spacing w:val="-3"/>
                <w:w w:val="105"/>
                <w:szCs w:val="24"/>
                <w:u w:val="single"/>
              </w:rPr>
              <w:t xml:space="preserve"> </w:t>
            </w:r>
            <w:r w:rsidRPr="00DB1AEE">
              <w:rPr>
                <w:w w:val="105"/>
                <w:szCs w:val="24"/>
                <w:u w:val="single"/>
              </w:rPr>
              <w:t>– 7,500</w:t>
            </w:r>
          </w:p>
        </w:tc>
        <w:tc>
          <w:tcPr>
            <w:tcW w:w="1172" w:type="dxa"/>
          </w:tcPr>
          <w:p w14:paraId="1895331C" w14:textId="77777777" w:rsidR="00DB1AEE" w:rsidRPr="00DB1AEE" w:rsidRDefault="00DB1AEE" w:rsidP="00DB1AEE">
            <w:pPr>
              <w:widowControl w:val="0"/>
              <w:autoSpaceDE w:val="0"/>
              <w:autoSpaceDN w:val="0"/>
              <w:jc w:val="center"/>
              <w:rPr>
                <w:szCs w:val="24"/>
                <w:u w:val="single"/>
              </w:rPr>
            </w:pPr>
            <w:r w:rsidRPr="00DB1AEE">
              <w:rPr>
                <w:szCs w:val="24"/>
                <w:u w:val="single"/>
              </w:rPr>
              <w:t>90</w:t>
            </w:r>
          </w:p>
        </w:tc>
        <w:tc>
          <w:tcPr>
            <w:tcW w:w="1170" w:type="dxa"/>
          </w:tcPr>
          <w:p w14:paraId="2ED689B9" w14:textId="77777777" w:rsidR="00DB1AEE" w:rsidRPr="00DB1AEE" w:rsidRDefault="00DB1AEE" w:rsidP="00DB1AEE">
            <w:pPr>
              <w:widowControl w:val="0"/>
              <w:autoSpaceDE w:val="0"/>
              <w:autoSpaceDN w:val="0"/>
              <w:jc w:val="center"/>
              <w:rPr>
                <w:szCs w:val="24"/>
                <w:u w:val="single"/>
              </w:rPr>
            </w:pPr>
            <w:r w:rsidRPr="00DB1AEE">
              <w:rPr>
                <w:szCs w:val="24"/>
                <w:u w:val="single"/>
              </w:rPr>
              <w:t>105</w:t>
            </w:r>
          </w:p>
        </w:tc>
        <w:tc>
          <w:tcPr>
            <w:tcW w:w="1261" w:type="dxa"/>
          </w:tcPr>
          <w:p w14:paraId="776E3BCC" w14:textId="77777777" w:rsidR="00DB1AEE" w:rsidRPr="00DB1AEE" w:rsidRDefault="00DB1AEE" w:rsidP="00DB1AEE">
            <w:pPr>
              <w:widowControl w:val="0"/>
              <w:autoSpaceDE w:val="0"/>
              <w:autoSpaceDN w:val="0"/>
              <w:jc w:val="center"/>
              <w:rPr>
                <w:szCs w:val="24"/>
                <w:u w:val="single"/>
              </w:rPr>
            </w:pPr>
            <w:r w:rsidRPr="00DB1AEE">
              <w:rPr>
                <w:szCs w:val="24"/>
                <w:u w:val="single"/>
              </w:rPr>
              <w:t>120</w:t>
            </w:r>
          </w:p>
        </w:tc>
        <w:tc>
          <w:tcPr>
            <w:tcW w:w="1622" w:type="dxa"/>
          </w:tcPr>
          <w:p w14:paraId="5AF8E6C9" w14:textId="77777777" w:rsidR="00DB1AEE" w:rsidRPr="00DB1AEE" w:rsidRDefault="00DB1AEE" w:rsidP="00DB1AEE">
            <w:pPr>
              <w:widowControl w:val="0"/>
              <w:autoSpaceDE w:val="0"/>
              <w:autoSpaceDN w:val="0"/>
              <w:jc w:val="center"/>
              <w:rPr>
                <w:szCs w:val="24"/>
                <w:u w:val="single"/>
              </w:rPr>
            </w:pPr>
            <w:r w:rsidRPr="00DB1AEE">
              <w:rPr>
                <w:szCs w:val="24"/>
                <w:u w:val="single"/>
              </w:rPr>
              <w:t>135</w:t>
            </w:r>
          </w:p>
        </w:tc>
        <w:tc>
          <w:tcPr>
            <w:tcW w:w="1173" w:type="dxa"/>
          </w:tcPr>
          <w:p w14:paraId="19BA9998" w14:textId="77777777" w:rsidR="00DB1AEE" w:rsidRPr="00DB1AEE" w:rsidRDefault="00DB1AEE" w:rsidP="00DB1AEE">
            <w:pPr>
              <w:widowControl w:val="0"/>
              <w:autoSpaceDE w:val="0"/>
              <w:autoSpaceDN w:val="0"/>
              <w:jc w:val="center"/>
              <w:rPr>
                <w:szCs w:val="24"/>
                <w:u w:val="single"/>
              </w:rPr>
            </w:pPr>
            <w:r w:rsidRPr="00DB1AEE">
              <w:rPr>
                <w:szCs w:val="24"/>
                <w:u w:val="single"/>
              </w:rPr>
              <w:t>150</w:t>
            </w:r>
          </w:p>
        </w:tc>
      </w:tr>
      <w:tr w:rsidR="00DB1AEE" w:rsidRPr="00DB1AEE" w14:paraId="4F579E3D" w14:textId="77777777" w:rsidTr="00FC1832">
        <w:trPr>
          <w:trHeight w:val="206"/>
        </w:trPr>
        <w:tc>
          <w:tcPr>
            <w:tcW w:w="2701" w:type="dxa"/>
          </w:tcPr>
          <w:p w14:paraId="59C04446" w14:textId="77777777" w:rsidR="00DB1AEE" w:rsidRPr="00DB1AEE" w:rsidRDefault="00DB1AEE" w:rsidP="00DB1AEE">
            <w:pPr>
              <w:widowControl w:val="0"/>
              <w:autoSpaceDE w:val="0"/>
              <w:autoSpaceDN w:val="0"/>
              <w:jc w:val="center"/>
              <w:rPr>
                <w:szCs w:val="24"/>
                <w:u w:val="single"/>
              </w:rPr>
            </w:pPr>
            <w:r w:rsidRPr="00DB1AEE">
              <w:rPr>
                <w:szCs w:val="24"/>
                <w:u w:val="single"/>
              </w:rPr>
              <w:t>&gt;</w:t>
            </w:r>
            <w:r w:rsidRPr="00DB1AEE">
              <w:rPr>
                <w:spacing w:val="1"/>
                <w:szCs w:val="24"/>
                <w:u w:val="single"/>
              </w:rPr>
              <w:t xml:space="preserve"> </w:t>
            </w:r>
            <w:r w:rsidRPr="00DB1AEE">
              <w:rPr>
                <w:szCs w:val="24"/>
                <w:u w:val="single"/>
              </w:rPr>
              <w:t>7,500</w:t>
            </w:r>
          </w:p>
        </w:tc>
        <w:tc>
          <w:tcPr>
            <w:tcW w:w="1172" w:type="dxa"/>
          </w:tcPr>
          <w:p w14:paraId="40081097" w14:textId="77777777" w:rsidR="00DB1AEE" w:rsidRPr="00DB1AEE" w:rsidRDefault="00DB1AEE" w:rsidP="00DB1AEE">
            <w:pPr>
              <w:widowControl w:val="0"/>
              <w:autoSpaceDE w:val="0"/>
              <w:autoSpaceDN w:val="0"/>
              <w:jc w:val="center"/>
              <w:rPr>
                <w:szCs w:val="24"/>
                <w:u w:val="single"/>
              </w:rPr>
            </w:pPr>
            <w:r w:rsidRPr="00DB1AEE">
              <w:rPr>
                <w:szCs w:val="24"/>
                <w:u w:val="single"/>
              </w:rPr>
              <w:t>105</w:t>
            </w:r>
          </w:p>
        </w:tc>
        <w:tc>
          <w:tcPr>
            <w:tcW w:w="1170" w:type="dxa"/>
          </w:tcPr>
          <w:p w14:paraId="10713E8F" w14:textId="77777777" w:rsidR="00DB1AEE" w:rsidRPr="00DB1AEE" w:rsidRDefault="00DB1AEE" w:rsidP="00DB1AEE">
            <w:pPr>
              <w:widowControl w:val="0"/>
              <w:autoSpaceDE w:val="0"/>
              <w:autoSpaceDN w:val="0"/>
              <w:jc w:val="center"/>
              <w:rPr>
                <w:szCs w:val="24"/>
                <w:u w:val="single"/>
              </w:rPr>
            </w:pPr>
            <w:r w:rsidRPr="00DB1AEE">
              <w:rPr>
                <w:szCs w:val="24"/>
                <w:u w:val="single"/>
              </w:rPr>
              <w:t>120</w:t>
            </w:r>
          </w:p>
        </w:tc>
        <w:tc>
          <w:tcPr>
            <w:tcW w:w="1261" w:type="dxa"/>
          </w:tcPr>
          <w:p w14:paraId="6379B549" w14:textId="77777777" w:rsidR="00DB1AEE" w:rsidRPr="00DB1AEE" w:rsidRDefault="00DB1AEE" w:rsidP="00DB1AEE">
            <w:pPr>
              <w:widowControl w:val="0"/>
              <w:autoSpaceDE w:val="0"/>
              <w:autoSpaceDN w:val="0"/>
              <w:jc w:val="center"/>
              <w:rPr>
                <w:szCs w:val="24"/>
                <w:u w:val="single"/>
              </w:rPr>
            </w:pPr>
            <w:r w:rsidRPr="00DB1AEE">
              <w:rPr>
                <w:szCs w:val="24"/>
                <w:u w:val="single"/>
              </w:rPr>
              <w:t>135</w:t>
            </w:r>
          </w:p>
        </w:tc>
        <w:tc>
          <w:tcPr>
            <w:tcW w:w="1622" w:type="dxa"/>
          </w:tcPr>
          <w:p w14:paraId="4F2C9A58" w14:textId="77777777" w:rsidR="00DB1AEE" w:rsidRPr="00DB1AEE" w:rsidRDefault="00DB1AEE" w:rsidP="00DB1AEE">
            <w:pPr>
              <w:widowControl w:val="0"/>
              <w:autoSpaceDE w:val="0"/>
              <w:autoSpaceDN w:val="0"/>
              <w:jc w:val="center"/>
              <w:rPr>
                <w:szCs w:val="24"/>
                <w:u w:val="single"/>
              </w:rPr>
            </w:pPr>
            <w:r w:rsidRPr="00DB1AEE">
              <w:rPr>
                <w:szCs w:val="24"/>
                <w:u w:val="single"/>
              </w:rPr>
              <w:t>150</w:t>
            </w:r>
          </w:p>
        </w:tc>
        <w:tc>
          <w:tcPr>
            <w:tcW w:w="1173" w:type="dxa"/>
          </w:tcPr>
          <w:p w14:paraId="7D2A003A" w14:textId="77777777" w:rsidR="00DB1AEE" w:rsidRPr="00DB1AEE" w:rsidRDefault="00DB1AEE" w:rsidP="00DB1AEE">
            <w:pPr>
              <w:widowControl w:val="0"/>
              <w:autoSpaceDE w:val="0"/>
              <w:autoSpaceDN w:val="0"/>
              <w:jc w:val="center"/>
              <w:rPr>
                <w:szCs w:val="24"/>
                <w:u w:val="single"/>
              </w:rPr>
            </w:pPr>
            <w:r w:rsidRPr="00DB1AEE">
              <w:rPr>
                <w:szCs w:val="24"/>
                <w:u w:val="single"/>
              </w:rPr>
              <w:t>165</w:t>
            </w:r>
          </w:p>
        </w:tc>
      </w:tr>
    </w:tbl>
    <w:p w14:paraId="6F5E7D06" w14:textId="77777777" w:rsidR="00DB1AEE" w:rsidRPr="00DB1AEE" w:rsidRDefault="00DB1AEE" w:rsidP="00DB1AEE">
      <w:pPr>
        <w:suppressAutoHyphens/>
        <w:jc w:val="center"/>
        <w:rPr>
          <w:szCs w:val="24"/>
          <w:u w:val="single"/>
        </w:rPr>
      </w:pPr>
      <w:r w:rsidRPr="00DB1AEE">
        <w:rPr>
          <w:szCs w:val="24"/>
          <w:u w:val="single"/>
        </w:rPr>
        <w:t>For</w:t>
      </w:r>
      <w:r w:rsidRPr="00DB1AEE">
        <w:rPr>
          <w:spacing w:val="-2"/>
          <w:szCs w:val="24"/>
          <w:u w:val="single"/>
        </w:rPr>
        <w:t xml:space="preserve"> </w:t>
      </w:r>
      <w:r w:rsidRPr="00DB1AEE">
        <w:rPr>
          <w:szCs w:val="24"/>
          <w:u w:val="single"/>
        </w:rPr>
        <w:t>SI:</w:t>
      </w:r>
      <w:r w:rsidRPr="00DB1AEE">
        <w:rPr>
          <w:spacing w:val="1"/>
          <w:szCs w:val="24"/>
          <w:u w:val="single"/>
        </w:rPr>
        <w:t xml:space="preserve"> </w:t>
      </w:r>
      <w:r w:rsidRPr="00DB1AEE">
        <w:rPr>
          <w:szCs w:val="24"/>
          <w:u w:val="single"/>
        </w:rPr>
        <w:t>1</w:t>
      </w:r>
      <w:r w:rsidRPr="00DB1AEE">
        <w:rPr>
          <w:spacing w:val="-1"/>
          <w:szCs w:val="24"/>
          <w:u w:val="single"/>
        </w:rPr>
        <w:t xml:space="preserve"> </w:t>
      </w:r>
      <w:r w:rsidRPr="00DB1AEE">
        <w:rPr>
          <w:szCs w:val="24"/>
          <w:u w:val="single"/>
        </w:rPr>
        <w:t>square foot</w:t>
      </w:r>
      <w:r w:rsidRPr="00DB1AEE">
        <w:rPr>
          <w:spacing w:val="-1"/>
          <w:szCs w:val="24"/>
          <w:u w:val="single"/>
        </w:rPr>
        <w:t xml:space="preserve"> </w:t>
      </w:r>
      <w:r w:rsidRPr="00DB1AEE">
        <w:rPr>
          <w:szCs w:val="24"/>
          <w:u w:val="single"/>
        </w:rPr>
        <w:t>=</w:t>
      </w:r>
      <w:r w:rsidRPr="00DB1AEE">
        <w:rPr>
          <w:spacing w:val="1"/>
          <w:szCs w:val="24"/>
          <w:u w:val="single"/>
        </w:rPr>
        <w:t xml:space="preserve"> </w:t>
      </w:r>
      <w:r w:rsidRPr="00DB1AEE">
        <w:rPr>
          <w:szCs w:val="24"/>
          <w:u w:val="single"/>
        </w:rPr>
        <w:t>0.0929</w:t>
      </w:r>
      <w:r w:rsidRPr="00DB1AEE">
        <w:rPr>
          <w:spacing w:val="-2"/>
          <w:szCs w:val="24"/>
          <w:u w:val="single"/>
        </w:rPr>
        <w:t xml:space="preserve"> </w:t>
      </w:r>
      <w:r w:rsidRPr="00DB1AEE">
        <w:rPr>
          <w:szCs w:val="24"/>
          <w:u w:val="single"/>
        </w:rPr>
        <w:t>m</w:t>
      </w:r>
      <w:r w:rsidRPr="00DB1AEE">
        <w:rPr>
          <w:szCs w:val="24"/>
          <w:u w:val="single"/>
          <w:vertAlign w:val="superscript"/>
        </w:rPr>
        <w:t>2</w:t>
      </w:r>
      <w:r w:rsidRPr="00DB1AEE">
        <w:rPr>
          <w:szCs w:val="24"/>
          <w:u w:val="single"/>
        </w:rPr>
        <w:t>,</w:t>
      </w:r>
      <w:r w:rsidRPr="00DB1AEE">
        <w:rPr>
          <w:spacing w:val="-1"/>
          <w:szCs w:val="24"/>
          <w:u w:val="single"/>
        </w:rPr>
        <w:t xml:space="preserve"> </w:t>
      </w:r>
      <w:r w:rsidRPr="00DB1AEE">
        <w:rPr>
          <w:szCs w:val="24"/>
          <w:u w:val="single"/>
        </w:rPr>
        <w:t>1 cubic foot</w:t>
      </w:r>
      <w:r w:rsidRPr="00DB1AEE">
        <w:rPr>
          <w:spacing w:val="2"/>
          <w:szCs w:val="24"/>
          <w:u w:val="single"/>
        </w:rPr>
        <w:t xml:space="preserve"> </w:t>
      </w:r>
      <w:r w:rsidRPr="00DB1AEE">
        <w:rPr>
          <w:szCs w:val="24"/>
          <w:u w:val="single"/>
        </w:rPr>
        <w:t>per</w:t>
      </w:r>
      <w:r w:rsidRPr="00DB1AEE">
        <w:rPr>
          <w:spacing w:val="-1"/>
          <w:szCs w:val="24"/>
          <w:u w:val="single"/>
        </w:rPr>
        <w:t xml:space="preserve"> </w:t>
      </w:r>
      <w:r w:rsidRPr="00DB1AEE">
        <w:rPr>
          <w:szCs w:val="24"/>
          <w:u w:val="single"/>
        </w:rPr>
        <w:t>minute</w:t>
      </w:r>
      <w:r w:rsidRPr="00DB1AEE">
        <w:rPr>
          <w:spacing w:val="-2"/>
          <w:szCs w:val="24"/>
          <w:u w:val="single"/>
        </w:rPr>
        <w:t xml:space="preserve"> </w:t>
      </w:r>
      <w:r w:rsidRPr="00DB1AEE">
        <w:rPr>
          <w:szCs w:val="24"/>
          <w:u w:val="single"/>
        </w:rPr>
        <w:t>=</w:t>
      </w:r>
      <w:r w:rsidRPr="00DB1AEE">
        <w:rPr>
          <w:spacing w:val="1"/>
          <w:szCs w:val="24"/>
          <w:u w:val="single"/>
        </w:rPr>
        <w:t xml:space="preserve"> </w:t>
      </w:r>
      <w:r w:rsidRPr="00DB1AEE">
        <w:rPr>
          <w:szCs w:val="24"/>
          <w:u w:val="single"/>
        </w:rPr>
        <w:t>0.0004719</w:t>
      </w:r>
      <w:r w:rsidRPr="00DB1AEE">
        <w:rPr>
          <w:spacing w:val="-1"/>
          <w:szCs w:val="24"/>
          <w:u w:val="single"/>
        </w:rPr>
        <w:t xml:space="preserve"> </w:t>
      </w:r>
      <w:r w:rsidRPr="00DB1AEE">
        <w:rPr>
          <w:szCs w:val="24"/>
          <w:u w:val="single"/>
        </w:rPr>
        <w:t>m</w:t>
      </w:r>
      <w:r w:rsidRPr="00DB1AEE">
        <w:rPr>
          <w:szCs w:val="24"/>
          <w:u w:val="single"/>
          <w:vertAlign w:val="superscript"/>
        </w:rPr>
        <w:t>3</w:t>
      </w:r>
      <w:r w:rsidRPr="00DB1AEE">
        <w:rPr>
          <w:szCs w:val="24"/>
          <w:u w:val="single"/>
        </w:rPr>
        <w:t>/s</w:t>
      </w:r>
    </w:p>
    <w:p w14:paraId="16EF3A7B" w14:textId="77777777" w:rsidR="00DB1AEE" w:rsidRPr="00DB1AEE" w:rsidRDefault="00DB1AEE" w:rsidP="00DB1AEE">
      <w:pPr>
        <w:suppressAutoHyphens/>
        <w:jc w:val="center"/>
        <w:rPr>
          <w:rFonts w:cs="Arial"/>
          <w:b/>
          <w:szCs w:val="36"/>
        </w:rPr>
      </w:pPr>
    </w:p>
    <w:p w14:paraId="72A3385A"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 xml:space="preserve">Table R403.6.1(2) Intermittent Whole-House Mechanical Ventilation Rate Factors.  </w:t>
      </w:r>
    </w:p>
    <w:p w14:paraId="7AB5D352" w14:textId="77777777" w:rsidR="00DB1AEE" w:rsidRPr="00DB1AEE" w:rsidRDefault="00DB1AEE" w:rsidP="00DB1AEE">
      <w:pPr>
        <w:widowControl w:val="0"/>
        <w:suppressAutoHyphens/>
        <w:autoSpaceDE w:val="0"/>
        <w:autoSpaceDN w:val="0"/>
        <w:adjustRightInd w:val="0"/>
        <w:spacing w:before="130" w:after="130"/>
        <w:rPr>
          <w:bCs/>
          <w:szCs w:val="24"/>
          <w:u w:val="single"/>
        </w:rPr>
      </w:pPr>
      <w:r w:rsidRPr="00DB1AEE">
        <w:rPr>
          <w:bCs/>
          <w:szCs w:val="24"/>
          <w:u w:val="single"/>
        </w:rPr>
        <w:t>Table R403.6.1(2) – Add new Table R403.6.1(2) to read as follows:</w:t>
      </w:r>
    </w:p>
    <w:p w14:paraId="2C78F018" w14:textId="77777777" w:rsidR="00DB1AEE" w:rsidRPr="00DB1AEE" w:rsidRDefault="00DB1AEE" w:rsidP="00DB1AEE">
      <w:pPr>
        <w:suppressAutoHyphens/>
        <w:jc w:val="center"/>
        <w:rPr>
          <w:b/>
          <w:szCs w:val="24"/>
          <w:u w:val="single"/>
        </w:rPr>
      </w:pPr>
    </w:p>
    <w:p w14:paraId="369F9393" w14:textId="77777777" w:rsidR="00DB1AEE" w:rsidRPr="00DB1AEE" w:rsidRDefault="00DB1AEE" w:rsidP="00DB1AEE">
      <w:pPr>
        <w:suppressAutoHyphens/>
        <w:jc w:val="center"/>
        <w:rPr>
          <w:b/>
          <w:szCs w:val="24"/>
          <w:u w:val="single"/>
        </w:rPr>
      </w:pPr>
      <w:r w:rsidRPr="00DB1AEE">
        <w:rPr>
          <w:b/>
          <w:szCs w:val="24"/>
          <w:u w:val="single"/>
        </w:rPr>
        <w:t>TABLE R403.6.1(2) INTERMITTENT WHOLE-HOUSE MECHANICAL VENTILATION RATE FACTORS</w:t>
      </w:r>
      <w:r w:rsidRPr="00DB1AEE">
        <w:rPr>
          <w:b/>
          <w:szCs w:val="24"/>
          <w:u w:val="single"/>
          <w:vertAlign w:val="superscript"/>
        </w:rPr>
        <w:t>a,b</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37"/>
        <w:gridCol w:w="776"/>
        <w:gridCol w:w="778"/>
        <w:gridCol w:w="778"/>
        <w:gridCol w:w="754"/>
        <w:gridCol w:w="726"/>
        <w:gridCol w:w="812"/>
      </w:tblGrid>
      <w:tr w:rsidR="00DB1AEE" w:rsidRPr="00DB1AEE" w14:paraId="536674BE" w14:textId="77777777" w:rsidTr="00FC1832">
        <w:trPr>
          <w:trHeight w:val="414"/>
        </w:trPr>
        <w:tc>
          <w:tcPr>
            <w:tcW w:w="4237" w:type="dxa"/>
          </w:tcPr>
          <w:p w14:paraId="22ED337D" w14:textId="77777777" w:rsidR="00DB1AEE" w:rsidRPr="00DB1AEE" w:rsidRDefault="00DB1AEE" w:rsidP="00DB1AEE">
            <w:pPr>
              <w:widowControl w:val="0"/>
              <w:autoSpaceDE w:val="0"/>
              <w:autoSpaceDN w:val="0"/>
              <w:jc w:val="center"/>
              <w:rPr>
                <w:b/>
                <w:szCs w:val="24"/>
                <w:u w:val="single"/>
              </w:rPr>
            </w:pPr>
            <w:r w:rsidRPr="00DB1AEE">
              <w:rPr>
                <w:b/>
                <w:szCs w:val="24"/>
                <w:u w:val="single"/>
              </w:rPr>
              <w:t>RUN-TIME</w:t>
            </w:r>
            <w:r w:rsidRPr="00DB1AEE">
              <w:rPr>
                <w:b/>
                <w:spacing w:val="-2"/>
                <w:szCs w:val="24"/>
                <w:u w:val="single"/>
              </w:rPr>
              <w:t xml:space="preserve"> </w:t>
            </w:r>
            <w:r w:rsidRPr="00DB1AEE">
              <w:rPr>
                <w:b/>
                <w:szCs w:val="24"/>
                <w:u w:val="single"/>
              </w:rPr>
              <w:t>PERCENTAGE</w:t>
            </w:r>
            <w:r w:rsidRPr="00DB1AEE">
              <w:rPr>
                <w:b/>
                <w:spacing w:val="-1"/>
                <w:szCs w:val="24"/>
                <w:u w:val="single"/>
              </w:rPr>
              <w:t xml:space="preserve"> </w:t>
            </w:r>
            <w:r w:rsidRPr="00DB1AEE">
              <w:rPr>
                <w:b/>
                <w:szCs w:val="24"/>
                <w:u w:val="single"/>
              </w:rPr>
              <w:t>IN</w:t>
            </w:r>
            <w:r w:rsidRPr="00DB1AEE">
              <w:rPr>
                <w:b/>
                <w:spacing w:val="-1"/>
                <w:szCs w:val="24"/>
                <w:u w:val="single"/>
              </w:rPr>
              <w:t xml:space="preserve"> </w:t>
            </w:r>
            <w:r w:rsidRPr="00DB1AEE">
              <w:rPr>
                <w:b/>
                <w:szCs w:val="24"/>
                <w:u w:val="single"/>
              </w:rPr>
              <w:t>EACH</w:t>
            </w:r>
            <w:r w:rsidRPr="00DB1AEE">
              <w:rPr>
                <w:b/>
                <w:spacing w:val="-2"/>
                <w:szCs w:val="24"/>
                <w:u w:val="single"/>
              </w:rPr>
              <w:t xml:space="preserve"> </w:t>
            </w:r>
            <w:r w:rsidRPr="00DB1AEE">
              <w:rPr>
                <w:b/>
                <w:szCs w:val="24"/>
                <w:u w:val="single"/>
              </w:rPr>
              <w:t>4-HOUR</w:t>
            </w:r>
          </w:p>
          <w:p w14:paraId="00DD0806" w14:textId="77777777" w:rsidR="00DB1AEE" w:rsidRPr="00DB1AEE" w:rsidRDefault="00DB1AEE" w:rsidP="00DB1AEE">
            <w:pPr>
              <w:widowControl w:val="0"/>
              <w:autoSpaceDE w:val="0"/>
              <w:autoSpaceDN w:val="0"/>
              <w:jc w:val="center"/>
              <w:rPr>
                <w:b/>
                <w:szCs w:val="24"/>
                <w:u w:val="single"/>
              </w:rPr>
            </w:pPr>
            <w:r w:rsidRPr="00DB1AEE">
              <w:rPr>
                <w:b/>
                <w:szCs w:val="24"/>
                <w:u w:val="single"/>
              </w:rPr>
              <w:t>SEGMENT</w:t>
            </w:r>
          </w:p>
        </w:tc>
        <w:tc>
          <w:tcPr>
            <w:tcW w:w="776" w:type="dxa"/>
          </w:tcPr>
          <w:p w14:paraId="3A8977D7" w14:textId="77777777" w:rsidR="00DB1AEE" w:rsidRPr="00DB1AEE" w:rsidRDefault="00DB1AEE" w:rsidP="00DB1AEE">
            <w:pPr>
              <w:widowControl w:val="0"/>
              <w:autoSpaceDE w:val="0"/>
              <w:autoSpaceDN w:val="0"/>
              <w:jc w:val="center"/>
              <w:rPr>
                <w:b/>
                <w:szCs w:val="24"/>
                <w:u w:val="single"/>
              </w:rPr>
            </w:pPr>
            <w:r w:rsidRPr="00DB1AEE">
              <w:rPr>
                <w:b/>
                <w:szCs w:val="24"/>
                <w:u w:val="single"/>
              </w:rPr>
              <w:t>25%</w:t>
            </w:r>
          </w:p>
        </w:tc>
        <w:tc>
          <w:tcPr>
            <w:tcW w:w="778" w:type="dxa"/>
          </w:tcPr>
          <w:p w14:paraId="46C74CA5" w14:textId="77777777" w:rsidR="00DB1AEE" w:rsidRPr="00DB1AEE" w:rsidRDefault="00DB1AEE" w:rsidP="00DB1AEE">
            <w:pPr>
              <w:widowControl w:val="0"/>
              <w:autoSpaceDE w:val="0"/>
              <w:autoSpaceDN w:val="0"/>
              <w:jc w:val="center"/>
              <w:rPr>
                <w:b/>
                <w:szCs w:val="24"/>
                <w:u w:val="single"/>
              </w:rPr>
            </w:pPr>
            <w:r w:rsidRPr="00DB1AEE">
              <w:rPr>
                <w:b/>
                <w:szCs w:val="24"/>
                <w:u w:val="single"/>
              </w:rPr>
              <w:t>33%</w:t>
            </w:r>
          </w:p>
        </w:tc>
        <w:tc>
          <w:tcPr>
            <w:tcW w:w="778" w:type="dxa"/>
          </w:tcPr>
          <w:p w14:paraId="66D43D91" w14:textId="77777777" w:rsidR="00DB1AEE" w:rsidRPr="00DB1AEE" w:rsidRDefault="00DB1AEE" w:rsidP="00DB1AEE">
            <w:pPr>
              <w:widowControl w:val="0"/>
              <w:autoSpaceDE w:val="0"/>
              <w:autoSpaceDN w:val="0"/>
              <w:jc w:val="center"/>
              <w:rPr>
                <w:b/>
                <w:szCs w:val="24"/>
                <w:u w:val="single"/>
              </w:rPr>
            </w:pPr>
            <w:r w:rsidRPr="00DB1AEE">
              <w:rPr>
                <w:b/>
                <w:szCs w:val="24"/>
                <w:u w:val="single"/>
              </w:rPr>
              <w:t>50%</w:t>
            </w:r>
          </w:p>
        </w:tc>
        <w:tc>
          <w:tcPr>
            <w:tcW w:w="754" w:type="dxa"/>
          </w:tcPr>
          <w:p w14:paraId="774AC587" w14:textId="77777777" w:rsidR="00DB1AEE" w:rsidRPr="00DB1AEE" w:rsidRDefault="00DB1AEE" w:rsidP="00DB1AEE">
            <w:pPr>
              <w:widowControl w:val="0"/>
              <w:autoSpaceDE w:val="0"/>
              <w:autoSpaceDN w:val="0"/>
              <w:jc w:val="center"/>
              <w:rPr>
                <w:b/>
                <w:szCs w:val="24"/>
                <w:u w:val="single"/>
              </w:rPr>
            </w:pPr>
            <w:r w:rsidRPr="00DB1AEE">
              <w:rPr>
                <w:b/>
                <w:szCs w:val="24"/>
                <w:u w:val="single"/>
              </w:rPr>
              <w:t>66%</w:t>
            </w:r>
          </w:p>
        </w:tc>
        <w:tc>
          <w:tcPr>
            <w:tcW w:w="726" w:type="dxa"/>
          </w:tcPr>
          <w:p w14:paraId="0A88D4CA" w14:textId="77777777" w:rsidR="00DB1AEE" w:rsidRPr="00DB1AEE" w:rsidRDefault="00DB1AEE" w:rsidP="00DB1AEE">
            <w:pPr>
              <w:widowControl w:val="0"/>
              <w:autoSpaceDE w:val="0"/>
              <w:autoSpaceDN w:val="0"/>
              <w:jc w:val="center"/>
              <w:rPr>
                <w:b/>
                <w:szCs w:val="24"/>
                <w:u w:val="single"/>
              </w:rPr>
            </w:pPr>
            <w:r w:rsidRPr="00DB1AEE">
              <w:rPr>
                <w:b/>
                <w:szCs w:val="24"/>
                <w:u w:val="single"/>
              </w:rPr>
              <w:t>75%</w:t>
            </w:r>
          </w:p>
        </w:tc>
        <w:tc>
          <w:tcPr>
            <w:tcW w:w="812" w:type="dxa"/>
          </w:tcPr>
          <w:p w14:paraId="3E580FE4" w14:textId="77777777" w:rsidR="00DB1AEE" w:rsidRPr="00DB1AEE" w:rsidRDefault="00DB1AEE" w:rsidP="00DB1AEE">
            <w:pPr>
              <w:widowControl w:val="0"/>
              <w:autoSpaceDE w:val="0"/>
              <w:autoSpaceDN w:val="0"/>
              <w:jc w:val="center"/>
              <w:rPr>
                <w:b/>
                <w:szCs w:val="24"/>
                <w:u w:val="single"/>
              </w:rPr>
            </w:pPr>
            <w:r w:rsidRPr="00DB1AEE">
              <w:rPr>
                <w:b/>
                <w:szCs w:val="24"/>
                <w:u w:val="single"/>
              </w:rPr>
              <w:t>100%</w:t>
            </w:r>
          </w:p>
        </w:tc>
      </w:tr>
      <w:tr w:rsidR="00DB1AEE" w:rsidRPr="00DB1AEE" w14:paraId="6FC04CD9" w14:textId="77777777" w:rsidTr="00FC1832">
        <w:trPr>
          <w:trHeight w:val="206"/>
        </w:trPr>
        <w:tc>
          <w:tcPr>
            <w:tcW w:w="4237" w:type="dxa"/>
          </w:tcPr>
          <w:p w14:paraId="1C9991D7" w14:textId="77777777" w:rsidR="00DB1AEE" w:rsidRPr="00DB1AEE" w:rsidRDefault="00DB1AEE" w:rsidP="00DB1AEE">
            <w:pPr>
              <w:widowControl w:val="0"/>
              <w:autoSpaceDE w:val="0"/>
              <w:autoSpaceDN w:val="0"/>
              <w:jc w:val="center"/>
              <w:rPr>
                <w:szCs w:val="24"/>
                <w:u w:val="single"/>
              </w:rPr>
            </w:pPr>
            <w:r w:rsidRPr="00DB1AEE">
              <w:rPr>
                <w:szCs w:val="24"/>
                <w:u w:val="single"/>
              </w:rPr>
              <w:t>Factor</w:t>
            </w:r>
            <w:r w:rsidRPr="00DB1AEE">
              <w:rPr>
                <w:szCs w:val="24"/>
                <w:u w:val="single"/>
                <w:vertAlign w:val="superscript"/>
              </w:rPr>
              <w:t>a</w:t>
            </w:r>
          </w:p>
        </w:tc>
        <w:tc>
          <w:tcPr>
            <w:tcW w:w="776" w:type="dxa"/>
          </w:tcPr>
          <w:p w14:paraId="4A7C9F66" w14:textId="77777777" w:rsidR="00DB1AEE" w:rsidRPr="00DB1AEE" w:rsidRDefault="00DB1AEE" w:rsidP="00DB1AEE">
            <w:pPr>
              <w:widowControl w:val="0"/>
              <w:autoSpaceDE w:val="0"/>
              <w:autoSpaceDN w:val="0"/>
              <w:jc w:val="center"/>
              <w:rPr>
                <w:szCs w:val="24"/>
                <w:u w:val="single"/>
              </w:rPr>
            </w:pPr>
            <w:r w:rsidRPr="00DB1AEE">
              <w:rPr>
                <w:w w:val="99"/>
                <w:szCs w:val="24"/>
                <w:u w:val="single"/>
              </w:rPr>
              <w:t>4</w:t>
            </w:r>
          </w:p>
        </w:tc>
        <w:tc>
          <w:tcPr>
            <w:tcW w:w="778" w:type="dxa"/>
          </w:tcPr>
          <w:p w14:paraId="29FBF209" w14:textId="77777777" w:rsidR="00DB1AEE" w:rsidRPr="00DB1AEE" w:rsidRDefault="00DB1AEE" w:rsidP="00DB1AEE">
            <w:pPr>
              <w:widowControl w:val="0"/>
              <w:autoSpaceDE w:val="0"/>
              <w:autoSpaceDN w:val="0"/>
              <w:jc w:val="center"/>
              <w:rPr>
                <w:szCs w:val="24"/>
                <w:u w:val="single"/>
              </w:rPr>
            </w:pPr>
            <w:r w:rsidRPr="00DB1AEE">
              <w:rPr>
                <w:w w:val="99"/>
                <w:szCs w:val="24"/>
                <w:u w:val="single"/>
              </w:rPr>
              <w:t>3</w:t>
            </w:r>
          </w:p>
        </w:tc>
        <w:tc>
          <w:tcPr>
            <w:tcW w:w="778" w:type="dxa"/>
          </w:tcPr>
          <w:p w14:paraId="4180FEEA" w14:textId="77777777" w:rsidR="00DB1AEE" w:rsidRPr="00DB1AEE" w:rsidRDefault="00DB1AEE" w:rsidP="00DB1AEE">
            <w:pPr>
              <w:widowControl w:val="0"/>
              <w:autoSpaceDE w:val="0"/>
              <w:autoSpaceDN w:val="0"/>
              <w:jc w:val="center"/>
              <w:rPr>
                <w:szCs w:val="24"/>
                <w:u w:val="single"/>
              </w:rPr>
            </w:pPr>
            <w:r w:rsidRPr="00DB1AEE">
              <w:rPr>
                <w:w w:val="99"/>
                <w:szCs w:val="24"/>
                <w:u w:val="single"/>
              </w:rPr>
              <w:t>2</w:t>
            </w:r>
          </w:p>
        </w:tc>
        <w:tc>
          <w:tcPr>
            <w:tcW w:w="754" w:type="dxa"/>
          </w:tcPr>
          <w:p w14:paraId="0CC020F7" w14:textId="77777777" w:rsidR="00DB1AEE" w:rsidRPr="00DB1AEE" w:rsidRDefault="00DB1AEE" w:rsidP="00DB1AEE">
            <w:pPr>
              <w:widowControl w:val="0"/>
              <w:autoSpaceDE w:val="0"/>
              <w:autoSpaceDN w:val="0"/>
              <w:jc w:val="center"/>
              <w:rPr>
                <w:szCs w:val="24"/>
                <w:u w:val="single"/>
              </w:rPr>
            </w:pPr>
            <w:r w:rsidRPr="00DB1AEE">
              <w:rPr>
                <w:szCs w:val="24"/>
                <w:u w:val="single"/>
              </w:rPr>
              <w:t>1.5</w:t>
            </w:r>
          </w:p>
        </w:tc>
        <w:tc>
          <w:tcPr>
            <w:tcW w:w="726" w:type="dxa"/>
          </w:tcPr>
          <w:p w14:paraId="41BD61EC" w14:textId="77777777" w:rsidR="00DB1AEE" w:rsidRPr="00DB1AEE" w:rsidRDefault="00DB1AEE" w:rsidP="00DB1AEE">
            <w:pPr>
              <w:widowControl w:val="0"/>
              <w:autoSpaceDE w:val="0"/>
              <w:autoSpaceDN w:val="0"/>
              <w:jc w:val="center"/>
              <w:rPr>
                <w:szCs w:val="24"/>
                <w:u w:val="single"/>
              </w:rPr>
            </w:pPr>
            <w:r w:rsidRPr="00DB1AEE">
              <w:rPr>
                <w:szCs w:val="24"/>
                <w:u w:val="single"/>
              </w:rPr>
              <w:t>1.3</w:t>
            </w:r>
          </w:p>
        </w:tc>
        <w:tc>
          <w:tcPr>
            <w:tcW w:w="812" w:type="dxa"/>
          </w:tcPr>
          <w:p w14:paraId="19626B6F" w14:textId="77777777" w:rsidR="00DB1AEE" w:rsidRPr="00DB1AEE" w:rsidRDefault="00DB1AEE" w:rsidP="00DB1AEE">
            <w:pPr>
              <w:widowControl w:val="0"/>
              <w:autoSpaceDE w:val="0"/>
              <w:autoSpaceDN w:val="0"/>
              <w:jc w:val="center"/>
              <w:rPr>
                <w:szCs w:val="24"/>
                <w:u w:val="single"/>
              </w:rPr>
            </w:pPr>
            <w:r w:rsidRPr="00DB1AEE">
              <w:rPr>
                <w:szCs w:val="24"/>
                <w:u w:val="single"/>
              </w:rPr>
              <w:t>1.0</w:t>
            </w:r>
          </w:p>
        </w:tc>
      </w:tr>
    </w:tbl>
    <w:p w14:paraId="3F5124A2" w14:textId="77777777" w:rsidR="00DB1AEE" w:rsidRPr="00DB1AEE" w:rsidRDefault="00DB1AEE" w:rsidP="00DB1AEE">
      <w:pPr>
        <w:widowControl w:val="0"/>
        <w:tabs>
          <w:tab w:val="left" w:pos="1061"/>
        </w:tabs>
        <w:suppressAutoHyphens/>
        <w:autoSpaceDE w:val="0"/>
        <w:autoSpaceDN w:val="0"/>
        <w:spacing w:before="20"/>
        <w:ind w:left="1060" w:hanging="155"/>
        <w:jc w:val="left"/>
        <w:rPr>
          <w:szCs w:val="24"/>
          <w:u w:val="single"/>
        </w:rPr>
      </w:pPr>
      <w:r w:rsidRPr="00DB1AEE">
        <w:rPr>
          <w:rFonts w:eastAsia="Microsoft Sans Serif"/>
          <w:spacing w:val="-1"/>
          <w:w w:val="99"/>
          <w:szCs w:val="24"/>
          <w:u w:val="single"/>
        </w:rPr>
        <w:t>a.</w:t>
      </w:r>
      <w:r w:rsidRPr="00DB1AEE">
        <w:rPr>
          <w:rFonts w:eastAsia="Microsoft Sans Serif"/>
          <w:spacing w:val="-1"/>
          <w:w w:val="99"/>
          <w:szCs w:val="24"/>
          <w:u w:val="single"/>
        </w:rPr>
        <w:tab/>
      </w:r>
      <w:r w:rsidRPr="00DB1AEE">
        <w:rPr>
          <w:szCs w:val="24"/>
          <w:u w:val="single"/>
        </w:rPr>
        <w:t>For</w:t>
      </w:r>
      <w:r w:rsidRPr="00DB1AEE">
        <w:rPr>
          <w:spacing w:val="-1"/>
          <w:szCs w:val="24"/>
          <w:u w:val="single"/>
        </w:rPr>
        <w:t xml:space="preserve"> </w:t>
      </w:r>
      <w:r w:rsidRPr="00DB1AEE">
        <w:rPr>
          <w:szCs w:val="24"/>
          <w:u w:val="single"/>
        </w:rPr>
        <w:t>ventilation</w:t>
      </w:r>
      <w:r w:rsidRPr="00DB1AEE">
        <w:rPr>
          <w:spacing w:val="-1"/>
          <w:szCs w:val="24"/>
          <w:u w:val="single"/>
        </w:rPr>
        <w:t xml:space="preserve"> </w:t>
      </w:r>
      <w:r w:rsidRPr="00DB1AEE">
        <w:rPr>
          <w:szCs w:val="24"/>
          <w:u w:val="single"/>
        </w:rPr>
        <w:t>system run</w:t>
      </w:r>
      <w:r w:rsidRPr="00DB1AEE">
        <w:rPr>
          <w:spacing w:val="-2"/>
          <w:szCs w:val="24"/>
          <w:u w:val="single"/>
        </w:rPr>
        <w:t xml:space="preserve"> </w:t>
      </w:r>
      <w:r w:rsidRPr="00DB1AEE">
        <w:rPr>
          <w:szCs w:val="24"/>
          <w:u w:val="single"/>
        </w:rPr>
        <w:t>time</w:t>
      </w:r>
      <w:r w:rsidRPr="00DB1AEE">
        <w:rPr>
          <w:spacing w:val="-1"/>
          <w:szCs w:val="24"/>
          <w:u w:val="single"/>
        </w:rPr>
        <w:t xml:space="preserve"> </w:t>
      </w:r>
      <w:r w:rsidRPr="00DB1AEE">
        <w:rPr>
          <w:szCs w:val="24"/>
          <w:u w:val="single"/>
        </w:rPr>
        <w:t>values</w:t>
      </w:r>
      <w:r w:rsidRPr="00DB1AEE">
        <w:rPr>
          <w:spacing w:val="-2"/>
          <w:szCs w:val="24"/>
          <w:u w:val="single"/>
        </w:rPr>
        <w:t xml:space="preserve"> </w:t>
      </w:r>
      <w:r w:rsidRPr="00DB1AEE">
        <w:rPr>
          <w:szCs w:val="24"/>
          <w:u w:val="single"/>
        </w:rPr>
        <w:t>between</w:t>
      </w:r>
      <w:r w:rsidRPr="00DB1AEE">
        <w:rPr>
          <w:spacing w:val="-3"/>
          <w:szCs w:val="24"/>
          <w:u w:val="single"/>
        </w:rPr>
        <w:t xml:space="preserve"> </w:t>
      </w:r>
      <w:r w:rsidRPr="00DB1AEE">
        <w:rPr>
          <w:szCs w:val="24"/>
          <w:u w:val="single"/>
        </w:rPr>
        <w:t>those</w:t>
      </w:r>
      <w:r w:rsidRPr="00DB1AEE">
        <w:rPr>
          <w:spacing w:val="-1"/>
          <w:szCs w:val="24"/>
          <w:u w:val="single"/>
        </w:rPr>
        <w:t xml:space="preserve"> </w:t>
      </w:r>
      <w:r w:rsidRPr="00DB1AEE">
        <w:rPr>
          <w:szCs w:val="24"/>
          <w:u w:val="single"/>
        </w:rPr>
        <w:t>given,</w:t>
      </w:r>
      <w:r w:rsidRPr="00DB1AEE">
        <w:rPr>
          <w:spacing w:val="-3"/>
          <w:szCs w:val="24"/>
          <w:u w:val="single"/>
        </w:rPr>
        <w:t xml:space="preserve"> </w:t>
      </w:r>
      <w:r w:rsidRPr="00DB1AEE">
        <w:rPr>
          <w:szCs w:val="24"/>
          <w:u w:val="single"/>
        </w:rPr>
        <w:t>the</w:t>
      </w:r>
      <w:r w:rsidRPr="00DB1AEE">
        <w:rPr>
          <w:spacing w:val="-3"/>
          <w:szCs w:val="24"/>
          <w:u w:val="single"/>
        </w:rPr>
        <w:t xml:space="preserve"> </w:t>
      </w:r>
      <w:r w:rsidRPr="00DB1AEE">
        <w:rPr>
          <w:szCs w:val="24"/>
          <w:u w:val="single"/>
        </w:rPr>
        <w:t>factors are</w:t>
      </w:r>
      <w:r w:rsidRPr="00DB1AEE">
        <w:rPr>
          <w:spacing w:val="-1"/>
          <w:szCs w:val="24"/>
          <w:u w:val="single"/>
        </w:rPr>
        <w:t xml:space="preserve"> </w:t>
      </w:r>
      <w:r w:rsidRPr="00DB1AEE">
        <w:rPr>
          <w:szCs w:val="24"/>
          <w:u w:val="single"/>
        </w:rPr>
        <w:t>permitted</w:t>
      </w:r>
      <w:r w:rsidRPr="00DB1AEE">
        <w:rPr>
          <w:spacing w:val="-1"/>
          <w:szCs w:val="24"/>
          <w:u w:val="single"/>
        </w:rPr>
        <w:t xml:space="preserve"> </w:t>
      </w:r>
      <w:r w:rsidRPr="00DB1AEE">
        <w:rPr>
          <w:szCs w:val="24"/>
          <w:u w:val="single"/>
        </w:rPr>
        <w:t>to</w:t>
      </w:r>
      <w:r w:rsidRPr="00DB1AEE">
        <w:rPr>
          <w:spacing w:val="-1"/>
          <w:szCs w:val="24"/>
          <w:u w:val="single"/>
        </w:rPr>
        <w:t xml:space="preserve"> </w:t>
      </w:r>
      <w:r w:rsidRPr="00DB1AEE">
        <w:rPr>
          <w:szCs w:val="24"/>
          <w:u w:val="single"/>
        </w:rPr>
        <w:t>be</w:t>
      </w:r>
      <w:r w:rsidRPr="00DB1AEE">
        <w:rPr>
          <w:spacing w:val="-1"/>
          <w:szCs w:val="24"/>
          <w:u w:val="single"/>
        </w:rPr>
        <w:t xml:space="preserve"> </w:t>
      </w:r>
      <w:r w:rsidRPr="00DB1AEE">
        <w:rPr>
          <w:szCs w:val="24"/>
          <w:u w:val="single"/>
        </w:rPr>
        <w:t>determined</w:t>
      </w:r>
      <w:r w:rsidRPr="00DB1AEE">
        <w:rPr>
          <w:spacing w:val="-1"/>
          <w:szCs w:val="24"/>
          <w:u w:val="single"/>
        </w:rPr>
        <w:t xml:space="preserve"> </w:t>
      </w:r>
      <w:r w:rsidRPr="00DB1AEE">
        <w:rPr>
          <w:szCs w:val="24"/>
          <w:u w:val="single"/>
        </w:rPr>
        <w:t>by</w:t>
      </w:r>
      <w:r w:rsidRPr="00DB1AEE">
        <w:rPr>
          <w:spacing w:val="-3"/>
          <w:szCs w:val="24"/>
          <w:u w:val="single"/>
        </w:rPr>
        <w:t xml:space="preserve"> </w:t>
      </w:r>
      <w:r w:rsidRPr="00DB1AEE">
        <w:rPr>
          <w:szCs w:val="24"/>
          <w:u w:val="single"/>
        </w:rPr>
        <w:t>interpolation.</w:t>
      </w:r>
    </w:p>
    <w:p w14:paraId="26F721CF" w14:textId="77777777" w:rsidR="00DB1AEE" w:rsidRPr="00DB1AEE" w:rsidRDefault="00DB1AEE" w:rsidP="00DB1AEE">
      <w:pPr>
        <w:widowControl w:val="0"/>
        <w:tabs>
          <w:tab w:val="left" w:pos="1061"/>
        </w:tabs>
        <w:suppressAutoHyphens/>
        <w:autoSpaceDE w:val="0"/>
        <w:autoSpaceDN w:val="0"/>
        <w:spacing w:before="43"/>
        <w:ind w:left="1060" w:hanging="155"/>
        <w:jc w:val="left"/>
        <w:rPr>
          <w:szCs w:val="24"/>
          <w:u w:val="single"/>
        </w:rPr>
      </w:pPr>
      <w:r w:rsidRPr="00DB1AEE">
        <w:rPr>
          <w:rFonts w:eastAsia="Microsoft Sans Serif"/>
          <w:spacing w:val="-1"/>
          <w:w w:val="99"/>
          <w:szCs w:val="24"/>
          <w:u w:val="single"/>
        </w:rPr>
        <w:t>b.</w:t>
      </w:r>
      <w:r w:rsidRPr="00DB1AEE">
        <w:rPr>
          <w:rFonts w:eastAsia="Microsoft Sans Serif"/>
          <w:spacing w:val="-1"/>
          <w:w w:val="99"/>
          <w:szCs w:val="24"/>
          <w:u w:val="single"/>
        </w:rPr>
        <w:tab/>
      </w:r>
      <w:r w:rsidRPr="00DB1AEE">
        <w:rPr>
          <w:szCs w:val="24"/>
          <w:u w:val="single"/>
        </w:rPr>
        <w:t>Extrapolation</w:t>
      </w:r>
      <w:r w:rsidRPr="00DB1AEE">
        <w:rPr>
          <w:spacing w:val="-1"/>
          <w:szCs w:val="24"/>
          <w:u w:val="single"/>
        </w:rPr>
        <w:t xml:space="preserve"> </w:t>
      </w:r>
      <w:r w:rsidRPr="00DB1AEE">
        <w:rPr>
          <w:szCs w:val="24"/>
          <w:u w:val="single"/>
        </w:rPr>
        <w:t>beyond</w:t>
      </w:r>
      <w:r w:rsidRPr="00DB1AEE">
        <w:rPr>
          <w:spacing w:val="-3"/>
          <w:szCs w:val="24"/>
          <w:u w:val="single"/>
        </w:rPr>
        <w:t xml:space="preserve"> </w:t>
      </w:r>
      <w:r w:rsidRPr="00DB1AEE">
        <w:rPr>
          <w:szCs w:val="24"/>
          <w:u w:val="single"/>
        </w:rPr>
        <w:t>the</w:t>
      </w:r>
      <w:r w:rsidRPr="00DB1AEE">
        <w:rPr>
          <w:spacing w:val="-2"/>
          <w:szCs w:val="24"/>
          <w:u w:val="single"/>
        </w:rPr>
        <w:t xml:space="preserve"> </w:t>
      </w:r>
      <w:r w:rsidRPr="00DB1AEE">
        <w:rPr>
          <w:szCs w:val="24"/>
          <w:u w:val="single"/>
        </w:rPr>
        <w:t>table</w:t>
      </w:r>
      <w:r w:rsidRPr="00DB1AEE">
        <w:rPr>
          <w:spacing w:val="-3"/>
          <w:szCs w:val="24"/>
          <w:u w:val="single"/>
        </w:rPr>
        <w:t xml:space="preserve"> </w:t>
      </w:r>
      <w:r w:rsidRPr="00DB1AEE">
        <w:rPr>
          <w:szCs w:val="24"/>
          <w:u w:val="single"/>
        </w:rPr>
        <w:t>is</w:t>
      </w:r>
      <w:r w:rsidRPr="00DB1AEE">
        <w:rPr>
          <w:spacing w:val="1"/>
          <w:szCs w:val="24"/>
          <w:u w:val="single"/>
        </w:rPr>
        <w:t xml:space="preserve"> </w:t>
      </w:r>
      <w:r w:rsidRPr="00DB1AEE">
        <w:rPr>
          <w:szCs w:val="24"/>
          <w:u w:val="single"/>
        </w:rPr>
        <w:t>prohibited.</w:t>
      </w:r>
    </w:p>
    <w:p w14:paraId="71D8DC8F" w14:textId="77777777" w:rsidR="00DB1AEE" w:rsidRPr="00DB1AEE" w:rsidRDefault="00DB1AEE" w:rsidP="00DB1AEE">
      <w:pPr>
        <w:widowControl w:val="0"/>
        <w:suppressAutoHyphens/>
        <w:spacing w:before="130" w:after="130"/>
        <w:ind w:left="360"/>
        <w:rPr>
          <w:szCs w:val="24"/>
          <w:u w:val="single"/>
        </w:rPr>
      </w:pPr>
    </w:p>
    <w:p w14:paraId="27925C67"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 xml:space="preserve">Section R403.6.3 Testing.  </w:t>
      </w:r>
    </w:p>
    <w:p w14:paraId="34EF9809" w14:textId="77777777" w:rsidR="00DB1AEE" w:rsidRPr="00DB1AEE" w:rsidRDefault="00DB1AEE" w:rsidP="00DB1AEE">
      <w:pPr>
        <w:widowControl w:val="0"/>
        <w:suppressAutoHyphens/>
        <w:autoSpaceDE w:val="0"/>
        <w:autoSpaceDN w:val="0"/>
        <w:adjustRightInd w:val="0"/>
        <w:spacing w:before="130" w:after="130"/>
        <w:rPr>
          <w:bCs/>
          <w:szCs w:val="24"/>
          <w:u w:val="single"/>
        </w:rPr>
      </w:pPr>
      <w:r w:rsidRPr="00DB1AEE">
        <w:rPr>
          <w:bCs/>
          <w:szCs w:val="24"/>
          <w:u w:val="single"/>
        </w:rPr>
        <w:t>Section R403.6.3 - Revise Section R403.6.3 to read as follows:</w:t>
      </w:r>
    </w:p>
    <w:p w14:paraId="66A86915" w14:textId="77777777" w:rsidR="00DB1AEE" w:rsidRPr="00DB1AEE" w:rsidRDefault="00DB1AEE" w:rsidP="00DB1AEE">
      <w:pPr>
        <w:widowControl w:val="0"/>
        <w:suppressAutoHyphens/>
        <w:spacing w:before="130" w:after="130"/>
        <w:ind w:left="360"/>
        <w:rPr>
          <w:u w:val="single"/>
        </w:rPr>
      </w:pPr>
      <w:r w:rsidRPr="00DB1AEE">
        <w:rPr>
          <w:b/>
          <w:bCs/>
          <w:u w:val="single"/>
        </w:rPr>
        <w:t>R403.6.3 Testing</w:t>
      </w:r>
      <w:r w:rsidRPr="00DB1AEE">
        <w:rPr>
          <w:u w:val="single"/>
        </w:rPr>
        <w:t xml:space="preserve">.  Mechanical ventilation systems shall be tested and verified to provide the minimum ventilation flow rates required by Section R403.6 in accordance with ANSI/RESNET/ICC 380. Testing shall be conducted by an approved agency.  A written report of the results of the test shall be signed by the party conducting the test and provided to the code official. </w:t>
      </w:r>
    </w:p>
    <w:p w14:paraId="65D44655" w14:textId="77777777" w:rsidR="00DB1AEE" w:rsidRPr="00DB1AEE" w:rsidRDefault="00DB1AEE" w:rsidP="00DB1AEE">
      <w:pPr>
        <w:widowControl w:val="0"/>
        <w:suppressAutoHyphens/>
        <w:spacing w:before="130" w:after="130"/>
        <w:ind w:left="360"/>
        <w:rPr>
          <w:u w:val="single"/>
        </w:rPr>
      </w:pPr>
      <w:r w:rsidRPr="00DB1AEE">
        <w:rPr>
          <w:u w:val="single"/>
        </w:rPr>
        <w:t xml:space="preserve">Exception: </w:t>
      </w:r>
    </w:p>
    <w:p w14:paraId="1B9B26D0" w14:textId="77777777" w:rsidR="00DB1AEE" w:rsidRPr="00DB1AEE" w:rsidRDefault="00DB1AEE" w:rsidP="00DB1AEE">
      <w:pPr>
        <w:widowControl w:val="0"/>
        <w:suppressAutoHyphens/>
        <w:spacing w:before="130" w:after="130"/>
        <w:ind w:left="1008" w:hanging="288"/>
        <w:rPr>
          <w:u w:val="single"/>
        </w:rPr>
      </w:pPr>
      <w:r w:rsidRPr="00DB1AEE">
        <w:rPr>
          <w:u w:val="single"/>
        </w:rPr>
        <w:t>1. Kitchen range hoods that are ducted to the outside with ducting having a diameter of 6-inches (152 mm) or larger, a length of 10 feet (3028 mm) or less duct and not more than two 90-degree (1.57 rad) elbows or equivalent shall not require testing.</w:t>
      </w:r>
    </w:p>
    <w:p w14:paraId="2A2CBDAD" w14:textId="77777777" w:rsidR="00DB1AEE" w:rsidRPr="00DB1AEE" w:rsidRDefault="00DB1AEE" w:rsidP="00DB1AEE">
      <w:pPr>
        <w:widowControl w:val="0"/>
        <w:suppressAutoHyphens/>
        <w:spacing w:before="130" w:after="130"/>
        <w:ind w:left="1008" w:hanging="288"/>
        <w:rPr>
          <w:u w:val="single"/>
        </w:rPr>
      </w:pPr>
      <w:r w:rsidRPr="00DB1AEE">
        <w:rPr>
          <w:u w:val="single"/>
        </w:rPr>
        <w:t>2. A test by an approved agency shall not be required where the ventilation system has an integrated diagnostic tool used for airflow measurement, and a user interface that communicates the installed airflow rate.</w:t>
      </w:r>
    </w:p>
    <w:p w14:paraId="11754D99" w14:textId="77777777" w:rsidR="00DB1AEE" w:rsidRPr="00DB1AEE" w:rsidRDefault="00DB1AEE" w:rsidP="00DB1AEE">
      <w:pPr>
        <w:widowControl w:val="0"/>
        <w:suppressAutoHyphens/>
        <w:spacing w:before="130" w:after="130"/>
        <w:ind w:left="1008" w:hanging="288"/>
        <w:rPr>
          <w:u w:val="single"/>
        </w:rPr>
      </w:pPr>
      <w:r w:rsidRPr="00DB1AEE">
        <w:rPr>
          <w:u w:val="single"/>
        </w:rPr>
        <w:t>3. Where tested in accordance with Section R403.6.4, testing of each mechanical ventilation system is not required.</w:t>
      </w:r>
    </w:p>
    <w:p w14:paraId="5C2E9F74"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 xml:space="preserve">Section R403.8 Systems serving multiple dwelling units.  </w:t>
      </w:r>
    </w:p>
    <w:p w14:paraId="03A7F9D0" w14:textId="77777777" w:rsidR="00DB1AEE" w:rsidRPr="00DB1AEE" w:rsidRDefault="00DB1AEE" w:rsidP="00DB1AEE">
      <w:pPr>
        <w:widowControl w:val="0"/>
        <w:suppressAutoHyphens/>
        <w:autoSpaceDE w:val="0"/>
        <w:autoSpaceDN w:val="0"/>
        <w:adjustRightInd w:val="0"/>
        <w:spacing w:before="130" w:after="130"/>
        <w:rPr>
          <w:bCs/>
          <w:szCs w:val="24"/>
          <w:u w:val="single"/>
        </w:rPr>
      </w:pPr>
      <w:r w:rsidRPr="00DB1AEE">
        <w:rPr>
          <w:bCs/>
          <w:szCs w:val="24"/>
          <w:u w:val="single"/>
        </w:rPr>
        <w:t>Section R403.8 - Revise Section R403.8 to read as follows:</w:t>
      </w:r>
    </w:p>
    <w:p w14:paraId="5E275DC7" w14:textId="77777777" w:rsidR="00DB1AEE" w:rsidRPr="00DB1AEE" w:rsidRDefault="00DB1AEE" w:rsidP="00DB1AEE">
      <w:pPr>
        <w:widowControl w:val="0"/>
        <w:suppressAutoHyphens/>
        <w:spacing w:before="130" w:after="130"/>
        <w:ind w:left="360"/>
        <w:rPr>
          <w:u w:val="single"/>
        </w:rPr>
      </w:pPr>
      <w:r w:rsidRPr="00DB1AEE">
        <w:rPr>
          <w:b/>
          <w:bCs/>
          <w:u w:val="single"/>
        </w:rPr>
        <w:t>R403.8 Systems serving multiple dwelling units.</w:t>
      </w:r>
      <w:r w:rsidRPr="00DB1AEE">
        <w:rPr>
          <w:u w:val="single"/>
        </w:rPr>
        <w:t xml:space="preserve">  Except for systems complying with Section R403.9, systems serving multiple dwelling units shall comply with Sections C403 C404 and C408 of the New York City Energy Conservation Code instead of Section R403 </w:t>
      </w:r>
    </w:p>
    <w:p w14:paraId="2745847E" w14:textId="77777777" w:rsidR="00DB1AEE" w:rsidRPr="00DB1AEE" w:rsidRDefault="00DB1AEE" w:rsidP="00DB1AEE">
      <w:pPr>
        <w:widowControl w:val="0"/>
        <w:suppressAutoHyphens/>
        <w:spacing w:before="130" w:after="130"/>
        <w:ind w:left="360"/>
        <w:rPr>
          <w:u w:val="single"/>
        </w:rPr>
      </w:pPr>
      <w:r w:rsidRPr="00DB1AEE">
        <w:rPr>
          <w:u w:val="single"/>
        </w:rPr>
        <w:t>Exception: Systems complying with Section R403.9</w:t>
      </w:r>
    </w:p>
    <w:p w14:paraId="30F8B083" w14:textId="77777777" w:rsidR="00DB1AEE" w:rsidRPr="00DB1AEE" w:rsidRDefault="00DB1AEE" w:rsidP="00DB1AEE">
      <w:pPr>
        <w:widowControl w:val="0"/>
        <w:suppressAutoHyphens/>
        <w:spacing w:before="130" w:after="130"/>
        <w:ind w:left="360"/>
        <w:rPr>
          <w:u w:val="single"/>
        </w:rPr>
      </w:pPr>
    </w:p>
    <w:p w14:paraId="4F986A28" w14:textId="77777777" w:rsidR="00DB1AEE" w:rsidRPr="00DB1AEE" w:rsidRDefault="00DB1AEE" w:rsidP="00DB1AEE">
      <w:pPr>
        <w:suppressAutoHyphens/>
        <w:spacing w:before="130" w:after="130"/>
        <w:ind w:left="360"/>
        <w:rPr>
          <w:bCs/>
          <w:szCs w:val="24"/>
          <w:u w:val="single"/>
        </w:rPr>
      </w:pPr>
    </w:p>
    <w:p w14:paraId="252D4ED5" w14:textId="77777777" w:rsidR="00DB1AEE" w:rsidRPr="00DB1AEE" w:rsidRDefault="00DB1AEE" w:rsidP="00DB1AEE">
      <w:pPr>
        <w:suppressAutoHyphens/>
        <w:spacing w:before="130" w:after="130"/>
        <w:jc w:val="center"/>
        <w:rPr>
          <w:rFonts w:eastAsia="MS Mincho"/>
          <w:b/>
          <w:bCs/>
          <w:szCs w:val="24"/>
          <w:u w:val="single"/>
        </w:rPr>
      </w:pPr>
      <w:r w:rsidRPr="00DB1AEE">
        <w:rPr>
          <w:rFonts w:eastAsia="MS Mincho"/>
          <w:b/>
          <w:bCs/>
          <w:szCs w:val="24"/>
          <w:u w:val="single"/>
        </w:rPr>
        <w:t>SECTION R404</w:t>
      </w:r>
    </w:p>
    <w:p w14:paraId="56361419" w14:textId="77777777" w:rsidR="00DB1AEE" w:rsidRPr="00DB1AEE" w:rsidRDefault="00DB1AEE" w:rsidP="00DB1AEE">
      <w:pPr>
        <w:suppressAutoHyphens/>
        <w:spacing w:before="130" w:after="130"/>
        <w:jc w:val="center"/>
        <w:rPr>
          <w:rFonts w:eastAsia="MS Mincho"/>
          <w:b/>
          <w:bCs/>
          <w:szCs w:val="24"/>
          <w:u w:val="single"/>
        </w:rPr>
      </w:pPr>
      <w:r w:rsidRPr="00DB1AEE">
        <w:rPr>
          <w:rFonts w:eastAsia="MS Mincho"/>
          <w:b/>
          <w:bCs/>
          <w:szCs w:val="24"/>
          <w:u w:val="single"/>
        </w:rPr>
        <w:t>SYSTEMS</w:t>
      </w:r>
    </w:p>
    <w:p w14:paraId="73ADF14C"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 xml:space="preserve">Section R404.1.2 Exterior lighting power requirements.  </w:t>
      </w:r>
    </w:p>
    <w:p w14:paraId="730EF83A" w14:textId="77777777" w:rsidR="00DB1AEE" w:rsidRPr="00DB1AEE" w:rsidRDefault="00DB1AEE" w:rsidP="00DB1AEE">
      <w:pPr>
        <w:suppressAutoHyphens/>
        <w:spacing w:before="130" w:after="130"/>
        <w:rPr>
          <w:rFonts w:eastAsia="MS Mincho"/>
          <w:bCs/>
          <w:szCs w:val="24"/>
          <w:u w:val="single"/>
        </w:rPr>
      </w:pPr>
      <w:r w:rsidRPr="00DB1AEE">
        <w:rPr>
          <w:rFonts w:eastAsia="MS Mincho"/>
          <w:bCs/>
          <w:szCs w:val="24"/>
          <w:u w:val="single"/>
        </w:rPr>
        <w:t xml:space="preserve">Section R404.1.2  – </w:t>
      </w:r>
      <w:r w:rsidRPr="00DB1AEE">
        <w:rPr>
          <w:bCs/>
          <w:szCs w:val="24"/>
          <w:u w:val="single"/>
        </w:rPr>
        <w:t>Revise Section R404.1.2 to read as follows</w:t>
      </w:r>
      <w:r w:rsidRPr="00DB1AEE">
        <w:rPr>
          <w:rFonts w:eastAsia="MS Mincho"/>
          <w:bCs/>
          <w:szCs w:val="24"/>
          <w:u w:val="single"/>
        </w:rPr>
        <w:t>:</w:t>
      </w:r>
    </w:p>
    <w:p w14:paraId="2055C095" w14:textId="77777777" w:rsidR="00DB1AEE" w:rsidRPr="00DB1AEE" w:rsidRDefault="00DB1AEE" w:rsidP="00DB1AEE">
      <w:pPr>
        <w:widowControl w:val="0"/>
        <w:suppressAutoHyphens/>
        <w:autoSpaceDE w:val="0"/>
        <w:autoSpaceDN w:val="0"/>
        <w:adjustRightInd w:val="0"/>
        <w:spacing w:before="130" w:after="130"/>
        <w:ind w:left="360"/>
        <w:rPr>
          <w:u w:val="single"/>
        </w:rPr>
      </w:pPr>
      <w:r w:rsidRPr="00DB1AEE">
        <w:rPr>
          <w:b/>
          <w:bCs/>
          <w:u w:val="single"/>
        </w:rPr>
        <w:t xml:space="preserve">R404.1.2 Exterior lighting power requirements.  </w:t>
      </w:r>
      <w:r w:rsidRPr="00DB1AEE">
        <w:rPr>
          <w:u w:val="single"/>
        </w:rPr>
        <w:t>The total exterior connected lighting power shall be not greater than the exterior lighting power allowance calculated in accordance with Section R404.1.3. The total exterior connected lighting power shall be the total maximum rated wattage of all lighting that is powered through the energy service for the building .</w:t>
      </w:r>
    </w:p>
    <w:p w14:paraId="14C9E32E" w14:textId="77777777" w:rsidR="00DB1AEE" w:rsidRPr="00DB1AEE" w:rsidRDefault="00DB1AEE" w:rsidP="00DB1AEE">
      <w:pPr>
        <w:widowControl w:val="0"/>
        <w:suppressAutoHyphens/>
        <w:autoSpaceDE w:val="0"/>
        <w:autoSpaceDN w:val="0"/>
        <w:adjustRightInd w:val="0"/>
        <w:spacing w:before="130" w:after="130"/>
        <w:ind w:left="360"/>
        <w:rPr>
          <w:u w:val="single"/>
        </w:rPr>
      </w:pPr>
      <w:r w:rsidRPr="00DB1AEE">
        <w:rPr>
          <w:u w:val="single"/>
        </w:rPr>
        <w:t>Exceptions: Lighting used for the following applications shall not be included.</w:t>
      </w:r>
    </w:p>
    <w:p w14:paraId="201D2764" w14:textId="77777777" w:rsidR="00DB1AEE" w:rsidRPr="00DB1AEE" w:rsidRDefault="00DB1AEE" w:rsidP="00DB1AEE">
      <w:pPr>
        <w:widowControl w:val="0"/>
        <w:suppressAutoHyphens/>
        <w:autoSpaceDE w:val="0"/>
        <w:autoSpaceDN w:val="0"/>
        <w:adjustRightInd w:val="0"/>
        <w:spacing w:before="130" w:after="130"/>
        <w:ind w:left="1008" w:hanging="288"/>
        <w:rPr>
          <w:u w:val="single"/>
        </w:rPr>
      </w:pPr>
      <w:r w:rsidRPr="00DB1AEE">
        <w:rPr>
          <w:u w:val="single"/>
        </w:rPr>
        <w:t>1.</w:t>
      </w:r>
      <w:r w:rsidRPr="00DB1AEE">
        <w:rPr>
          <w:u w:val="single"/>
        </w:rPr>
        <w:tab/>
        <w:t>Lighting approved for safety reasons.</w:t>
      </w:r>
    </w:p>
    <w:p w14:paraId="197CEC57" w14:textId="77777777" w:rsidR="00DB1AEE" w:rsidRPr="00DB1AEE" w:rsidRDefault="00DB1AEE" w:rsidP="00DB1AEE">
      <w:pPr>
        <w:widowControl w:val="0"/>
        <w:suppressAutoHyphens/>
        <w:autoSpaceDE w:val="0"/>
        <w:autoSpaceDN w:val="0"/>
        <w:adjustRightInd w:val="0"/>
        <w:spacing w:before="130" w:after="130"/>
        <w:ind w:left="1008" w:hanging="288"/>
        <w:rPr>
          <w:u w:val="single"/>
        </w:rPr>
      </w:pPr>
      <w:r w:rsidRPr="00DB1AEE">
        <w:rPr>
          <w:u w:val="single"/>
        </w:rPr>
        <w:t>2.</w:t>
      </w:r>
      <w:r w:rsidRPr="00DB1AEE">
        <w:rPr>
          <w:u w:val="single"/>
        </w:rPr>
        <w:tab/>
        <w:t>Emergency lighting that is automatically off during normal operations.</w:t>
      </w:r>
    </w:p>
    <w:p w14:paraId="6883843E" w14:textId="77777777" w:rsidR="00DB1AEE" w:rsidRPr="00DB1AEE" w:rsidRDefault="00DB1AEE" w:rsidP="00DB1AEE">
      <w:pPr>
        <w:widowControl w:val="0"/>
        <w:suppressAutoHyphens/>
        <w:autoSpaceDE w:val="0"/>
        <w:autoSpaceDN w:val="0"/>
        <w:adjustRightInd w:val="0"/>
        <w:spacing w:before="130" w:after="130"/>
        <w:ind w:left="1008" w:hanging="288"/>
        <w:rPr>
          <w:u w:val="single"/>
        </w:rPr>
      </w:pPr>
      <w:r w:rsidRPr="00DB1AEE">
        <w:rPr>
          <w:u w:val="single"/>
        </w:rPr>
        <w:t>3.</w:t>
      </w:r>
      <w:r w:rsidRPr="00DB1AEE">
        <w:rPr>
          <w:u w:val="single"/>
        </w:rPr>
        <w:tab/>
        <w:t>Exit signs.</w:t>
      </w:r>
    </w:p>
    <w:p w14:paraId="18753909" w14:textId="77777777" w:rsidR="00DB1AEE" w:rsidRPr="00DB1AEE" w:rsidRDefault="00DB1AEE" w:rsidP="00DB1AEE">
      <w:pPr>
        <w:widowControl w:val="0"/>
        <w:suppressAutoHyphens/>
        <w:autoSpaceDE w:val="0"/>
        <w:autoSpaceDN w:val="0"/>
        <w:adjustRightInd w:val="0"/>
        <w:spacing w:before="130" w:after="130"/>
        <w:ind w:left="1008" w:hanging="288"/>
        <w:rPr>
          <w:u w:val="single"/>
        </w:rPr>
      </w:pPr>
      <w:r w:rsidRPr="00DB1AEE">
        <w:rPr>
          <w:u w:val="single"/>
        </w:rPr>
        <w:t>4.</w:t>
      </w:r>
      <w:r w:rsidRPr="00DB1AEE">
        <w:rPr>
          <w:u w:val="single"/>
        </w:rPr>
        <w:tab/>
        <w:t>Specialized signal, directional and marker lighting associated with transportation.</w:t>
      </w:r>
    </w:p>
    <w:p w14:paraId="6419C112" w14:textId="77777777" w:rsidR="00DB1AEE" w:rsidRPr="00DB1AEE" w:rsidRDefault="00DB1AEE" w:rsidP="00DB1AEE">
      <w:pPr>
        <w:widowControl w:val="0"/>
        <w:suppressAutoHyphens/>
        <w:autoSpaceDE w:val="0"/>
        <w:autoSpaceDN w:val="0"/>
        <w:adjustRightInd w:val="0"/>
        <w:spacing w:before="130" w:after="130"/>
        <w:ind w:left="1008" w:hanging="288"/>
        <w:rPr>
          <w:u w:val="single"/>
        </w:rPr>
      </w:pPr>
      <w:r w:rsidRPr="00DB1AEE">
        <w:rPr>
          <w:u w:val="single"/>
        </w:rPr>
        <w:t>5.</w:t>
      </w:r>
      <w:r w:rsidRPr="00DB1AEE">
        <w:rPr>
          <w:u w:val="single"/>
        </w:rPr>
        <w:tab/>
        <w:t>Lighting for athletic playing areas.</w:t>
      </w:r>
    </w:p>
    <w:p w14:paraId="4B10AF39" w14:textId="77777777" w:rsidR="00DB1AEE" w:rsidRPr="00DB1AEE" w:rsidRDefault="00DB1AEE" w:rsidP="00DB1AEE">
      <w:pPr>
        <w:widowControl w:val="0"/>
        <w:suppressAutoHyphens/>
        <w:autoSpaceDE w:val="0"/>
        <w:autoSpaceDN w:val="0"/>
        <w:adjustRightInd w:val="0"/>
        <w:spacing w:before="130" w:after="130"/>
        <w:ind w:left="1008" w:hanging="288"/>
        <w:rPr>
          <w:u w:val="single"/>
        </w:rPr>
      </w:pPr>
      <w:r w:rsidRPr="00DB1AEE">
        <w:rPr>
          <w:u w:val="single"/>
        </w:rPr>
        <w:t>6.</w:t>
      </w:r>
      <w:r w:rsidRPr="00DB1AEE">
        <w:rPr>
          <w:u w:val="single"/>
        </w:rPr>
        <w:tab/>
        <w:t>Temporary lighting.</w:t>
      </w:r>
    </w:p>
    <w:p w14:paraId="5A1EF5D2" w14:textId="77777777" w:rsidR="00DB1AEE" w:rsidRPr="00DB1AEE" w:rsidRDefault="00DB1AEE" w:rsidP="00DB1AEE">
      <w:pPr>
        <w:widowControl w:val="0"/>
        <w:suppressAutoHyphens/>
        <w:autoSpaceDE w:val="0"/>
        <w:autoSpaceDN w:val="0"/>
        <w:adjustRightInd w:val="0"/>
        <w:spacing w:before="130" w:after="130"/>
        <w:ind w:left="1008" w:hanging="288"/>
        <w:rPr>
          <w:u w:val="single"/>
        </w:rPr>
      </w:pPr>
      <w:r w:rsidRPr="00DB1AEE">
        <w:rPr>
          <w:u w:val="single"/>
        </w:rPr>
        <w:t>7.</w:t>
      </w:r>
      <w:r w:rsidRPr="00DB1AEE">
        <w:rPr>
          <w:u w:val="single"/>
        </w:rPr>
        <w:tab/>
        <w:t>Lighting used to highlight features of art, public monuments and the national flag.</w:t>
      </w:r>
    </w:p>
    <w:p w14:paraId="70C96A81" w14:textId="77777777" w:rsidR="00DB1AEE" w:rsidRPr="00DB1AEE" w:rsidRDefault="00DB1AEE" w:rsidP="00DB1AEE">
      <w:pPr>
        <w:widowControl w:val="0"/>
        <w:suppressAutoHyphens/>
        <w:autoSpaceDE w:val="0"/>
        <w:autoSpaceDN w:val="0"/>
        <w:adjustRightInd w:val="0"/>
        <w:spacing w:before="130" w:after="130"/>
        <w:ind w:left="1008" w:hanging="288"/>
        <w:rPr>
          <w:u w:val="single"/>
        </w:rPr>
      </w:pPr>
      <w:r w:rsidRPr="00DB1AEE">
        <w:rPr>
          <w:u w:val="single"/>
        </w:rPr>
        <w:t>8.</w:t>
      </w:r>
      <w:r w:rsidRPr="00DB1AEE">
        <w:rPr>
          <w:u w:val="single"/>
        </w:rPr>
        <w:tab/>
        <w:t>Lighting for water features and swimming pools.</w:t>
      </w:r>
    </w:p>
    <w:p w14:paraId="7A07C24F" w14:textId="77777777" w:rsidR="00DB1AEE" w:rsidRPr="00DB1AEE" w:rsidRDefault="00DB1AEE" w:rsidP="00DB1AEE">
      <w:pPr>
        <w:widowControl w:val="0"/>
        <w:suppressAutoHyphens/>
        <w:autoSpaceDE w:val="0"/>
        <w:autoSpaceDN w:val="0"/>
        <w:adjustRightInd w:val="0"/>
        <w:spacing w:before="130" w:after="130"/>
        <w:ind w:left="1008" w:hanging="288"/>
        <w:rPr>
          <w:u w:val="single"/>
        </w:rPr>
      </w:pPr>
      <w:r w:rsidRPr="00DB1AEE">
        <w:rPr>
          <w:u w:val="single"/>
        </w:rPr>
        <w:t>9.</w:t>
      </w:r>
      <w:r w:rsidRPr="00DB1AEE">
        <w:rPr>
          <w:u w:val="single"/>
        </w:rPr>
        <w:tab/>
        <w:t>Lighting controlled from within sleeping units and dwelling units.</w:t>
      </w:r>
    </w:p>
    <w:p w14:paraId="16B63CD3" w14:textId="77777777" w:rsidR="00DB1AEE" w:rsidRPr="00DB1AEE" w:rsidRDefault="00DB1AEE" w:rsidP="00DB1AEE">
      <w:pPr>
        <w:widowControl w:val="0"/>
        <w:suppressAutoHyphens/>
        <w:autoSpaceDE w:val="0"/>
        <w:autoSpaceDN w:val="0"/>
        <w:adjustRightInd w:val="0"/>
        <w:spacing w:before="130" w:after="130"/>
        <w:ind w:left="1008" w:hanging="288"/>
        <w:rPr>
          <w:u w:val="single"/>
        </w:rPr>
      </w:pPr>
      <w:r w:rsidRPr="00DB1AEE">
        <w:rPr>
          <w:u w:val="single"/>
        </w:rPr>
        <w:t>10. Lighting of the exterior means of egress as required by the New York City Building Code.</w:t>
      </w:r>
    </w:p>
    <w:p w14:paraId="68482252"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 xml:space="preserve">Section R404.2.1 Habitable spaces.  </w:t>
      </w:r>
    </w:p>
    <w:p w14:paraId="3259A26B" w14:textId="77777777" w:rsidR="00DB1AEE" w:rsidRPr="00DB1AEE" w:rsidRDefault="00DB1AEE" w:rsidP="00DB1AEE">
      <w:pPr>
        <w:suppressAutoHyphens/>
        <w:spacing w:before="130" w:after="130"/>
        <w:rPr>
          <w:rFonts w:eastAsia="MS Mincho"/>
          <w:bCs/>
          <w:szCs w:val="24"/>
          <w:u w:val="single"/>
        </w:rPr>
      </w:pPr>
      <w:r w:rsidRPr="00DB1AEE">
        <w:rPr>
          <w:rFonts w:eastAsia="MS Mincho"/>
          <w:bCs/>
          <w:szCs w:val="24"/>
          <w:u w:val="single"/>
        </w:rPr>
        <w:t xml:space="preserve">Section R404.2.1 – </w:t>
      </w:r>
      <w:r w:rsidRPr="00DB1AEE">
        <w:rPr>
          <w:bCs/>
          <w:szCs w:val="24"/>
          <w:u w:val="single"/>
        </w:rPr>
        <w:t xml:space="preserve">Revise Section </w:t>
      </w:r>
      <w:r w:rsidRPr="00DB1AEE">
        <w:rPr>
          <w:rFonts w:eastAsia="MS Mincho"/>
          <w:bCs/>
          <w:szCs w:val="24"/>
          <w:u w:val="single"/>
        </w:rPr>
        <w:t xml:space="preserve">R404.2.1 </w:t>
      </w:r>
      <w:r w:rsidRPr="00DB1AEE">
        <w:rPr>
          <w:bCs/>
          <w:szCs w:val="24"/>
          <w:u w:val="single"/>
        </w:rPr>
        <w:t>to read as follows</w:t>
      </w:r>
      <w:r w:rsidRPr="00DB1AEE">
        <w:rPr>
          <w:rFonts w:eastAsia="MS Mincho"/>
          <w:bCs/>
          <w:szCs w:val="24"/>
          <w:u w:val="single"/>
        </w:rPr>
        <w:t>:</w:t>
      </w:r>
    </w:p>
    <w:p w14:paraId="33B8BBAA" w14:textId="77777777" w:rsidR="00DB1AEE" w:rsidRPr="00DB1AEE" w:rsidRDefault="00DB1AEE" w:rsidP="00DB1AEE">
      <w:pPr>
        <w:widowControl w:val="0"/>
        <w:suppressAutoHyphens/>
        <w:autoSpaceDE w:val="0"/>
        <w:autoSpaceDN w:val="0"/>
        <w:adjustRightInd w:val="0"/>
        <w:spacing w:before="130" w:after="130"/>
        <w:ind w:left="360"/>
        <w:rPr>
          <w:b/>
          <w:bCs/>
          <w:u w:val="single"/>
        </w:rPr>
      </w:pPr>
      <w:r w:rsidRPr="00DB1AEE">
        <w:rPr>
          <w:b/>
          <w:bCs/>
          <w:u w:val="single"/>
        </w:rPr>
        <w:t xml:space="preserve">R404.2.1 Habitable spaces. </w:t>
      </w:r>
      <w:r w:rsidRPr="00DB1AEE">
        <w:rPr>
          <w:u w:val="single"/>
        </w:rPr>
        <w:t>All permanently installed luminaires in habitable spaces shall be controlled with a manual dimmer or with an automatic shutoff control that automatically turns off lights within 15 minutes after all occupants have left the space and shall incorporate a manual control to allow occupants to turn the lights on or off.</w:t>
      </w:r>
    </w:p>
    <w:p w14:paraId="51042599"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 xml:space="preserve">Section R404.5  Dwelling unit electrical meter.  </w:t>
      </w:r>
    </w:p>
    <w:p w14:paraId="27234B4E" w14:textId="77777777" w:rsidR="00DB1AEE" w:rsidRPr="00DB1AEE" w:rsidRDefault="00DB1AEE" w:rsidP="00DB1AEE">
      <w:pPr>
        <w:suppressAutoHyphens/>
        <w:spacing w:before="130" w:after="130"/>
        <w:rPr>
          <w:rFonts w:eastAsia="MS Mincho"/>
          <w:bCs/>
          <w:szCs w:val="24"/>
          <w:u w:val="single"/>
        </w:rPr>
      </w:pPr>
      <w:r w:rsidRPr="00DB1AEE">
        <w:rPr>
          <w:rFonts w:eastAsia="MS Mincho"/>
          <w:bCs/>
          <w:szCs w:val="24"/>
          <w:u w:val="single"/>
        </w:rPr>
        <w:t xml:space="preserve">Section R404.1 – </w:t>
      </w:r>
      <w:r w:rsidRPr="00DB1AEE">
        <w:rPr>
          <w:bCs/>
          <w:szCs w:val="24"/>
          <w:u w:val="single"/>
        </w:rPr>
        <w:t>Revise Section R403.3.3 to read as follows</w:t>
      </w:r>
      <w:r w:rsidRPr="00DB1AEE">
        <w:rPr>
          <w:rFonts w:eastAsia="MS Mincho"/>
          <w:bCs/>
          <w:szCs w:val="24"/>
          <w:u w:val="single"/>
        </w:rPr>
        <w:t>:</w:t>
      </w:r>
    </w:p>
    <w:p w14:paraId="100CB852" w14:textId="77777777" w:rsidR="00DB1AEE" w:rsidRPr="00DB1AEE" w:rsidRDefault="00DB1AEE" w:rsidP="00DB1AEE">
      <w:pPr>
        <w:widowControl w:val="0"/>
        <w:suppressAutoHyphens/>
        <w:autoSpaceDE w:val="0"/>
        <w:autoSpaceDN w:val="0"/>
        <w:adjustRightInd w:val="0"/>
        <w:spacing w:before="130" w:after="130"/>
        <w:ind w:left="360"/>
        <w:rPr>
          <w:b/>
          <w:bCs/>
          <w:u w:val="single"/>
        </w:rPr>
      </w:pPr>
      <w:r w:rsidRPr="00DB1AEE">
        <w:rPr>
          <w:b/>
          <w:bCs/>
          <w:u w:val="single"/>
        </w:rPr>
        <w:t xml:space="preserve">R404.5 Dwelling unit electrical meter.  </w:t>
      </w:r>
      <w:r w:rsidRPr="00DB1AEE">
        <w:rPr>
          <w:u w:val="single"/>
        </w:rPr>
        <w:t>In all buildings having individual dwelling units, provisions shall be made to determine the electrical energy consumed by each unit by separately metering individual dwelling units</w:t>
      </w:r>
      <w:r w:rsidRPr="00DB1AEE">
        <w:rPr>
          <w:b/>
          <w:bCs/>
          <w:u w:val="single"/>
        </w:rPr>
        <w:t xml:space="preserve">.  </w:t>
      </w:r>
    </w:p>
    <w:p w14:paraId="5307D21E"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 xml:space="preserve">Section R404.8  Electrical vehicle service equipment capable.  </w:t>
      </w:r>
    </w:p>
    <w:p w14:paraId="6E14A8CE" w14:textId="77777777" w:rsidR="00DB1AEE" w:rsidRPr="00DB1AEE" w:rsidRDefault="00DB1AEE" w:rsidP="00DB1AEE">
      <w:pPr>
        <w:suppressAutoHyphens/>
        <w:spacing w:before="130" w:after="130"/>
        <w:rPr>
          <w:rFonts w:eastAsia="MS Mincho"/>
          <w:bCs/>
          <w:szCs w:val="24"/>
          <w:u w:val="single"/>
        </w:rPr>
      </w:pPr>
      <w:r w:rsidRPr="00DB1AEE">
        <w:rPr>
          <w:rFonts w:eastAsia="MS Mincho"/>
          <w:bCs/>
          <w:szCs w:val="24"/>
          <w:u w:val="single"/>
        </w:rPr>
        <w:t xml:space="preserve">Section R404.8 – </w:t>
      </w:r>
      <w:r w:rsidRPr="00DB1AEE">
        <w:rPr>
          <w:bCs/>
          <w:szCs w:val="24"/>
          <w:u w:val="single"/>
        </w:rPr>
        <w:t xml:space="preserve">Add new Section </w:t>
      </w:r>
      <w:r w:rsidRPr="00DB1AEE">
        <w:rPr>
          <w:rFonts w:eastAsia="MS Mincho"/>
          <w:bCs/>
          <w:szCs w:val="24"/>
          <w:u w:val="single"/>
        </w:rPr>
        <w:t xml:space="preserve">R404.8 </w:t>
      </w:r>
      <w:r w:rsidRPr="00DB1AEE">
        <w:rPr>
          <w:bCs/>
          <w:szCs w:val="24"/>
          <w:u w:val="single"/>
        </w:rPr>
        <w:t>to read as follows</w:t>
      </w:r>
      <w:r w:rsidRPr="00DB1AEE">
        <w:rPr>
          <w:rFonts w:eastAsia="MS Mincho"/>
          <w:bCs/>
          <w:szCs w:val="24"/>
          <w:u w:val="single"/>
        </w:rPr>
        <w:t>:</w:t>
      </w:r>
    </w:p>
    <w:p w14:paraId="299CD3DC" w14:textId="77777777" w:rsidR="00DB1AEE" w:rsidRPr="00DB1AEE" w:rsidRDefault="00DB1AEE" w:rsidP="00DB1AEE">
      <w:pPr>
        <w:widowControl w:val="0"/>
        <w:suppressAutoHyphens/>
        <w:autoSpaceDE w:val="0"/>
        <w:autoSpaceDN w:val="0"/>
        <w:adjustRightInd w:val="0"/>
        <w:spacing w:before="130" w:after="130"/>
        <w:ind w:left="360"/>
        <w:rPr>
          <w:u w:val="single"/>
        </w:rPr>
      </w:pPr>
      <w:r w:rsidRPr="00DB1AEE">
        <w:rPr>
          <w:b/>
          <w:bCs/>
          <w:u w:val="single"/>
        </w:rPr>
        <w:t xml:space="preserve">R404.8 Electrical vehicle service equipment capable. </w:t>
      </w:r>
      <w:r w:rsidRPr="00DB1AEE">
        <w:rPr>
          <w:u w:val="single"/>
        </w:rPr>
        <w:t>One or two-family dwellings and townhouses with parking area provided on the building site shall provide a 208/240V 40-amp outlet for each dwelling unit or panel capacity and conduit for the future installation of such an outlet. Outlet or conduit termination shall be adjacent to the parking area. For residential occupancies where there is a common parking area, provide either:</w:t>
      </w:r>
    </w:p>
    <w:p w14:paraId="00785D7E" w14:textId="77777777" w:rsidR="00DB1AEE" w:rsidRPr="00DB1AEE" w:rsidRDefault="00DB1AEE" w:rsidP="00DB1AEE">
      <w:pPr>
        <w:widowControl w:val="0"/>
        <w:suppressAutoHyphens/>
        <w:autoSpaceDE w:val="0"/>
        <w:autoSpaceDN w:val="0"/>
        <w:adjustRightInd w:val="0"/>
        <w:spacing w:before="130" w:after="130"/>
        <w:ind w:left="720" w:firstLine="780"/>
        <w:rPr>
          <w:u w:val="single"/>
        </w:rPr>
      </w:pPr>
      <w:r w:rsidRPr="00DB1AEE">
        <w:rPr>
          <w:u w:val="single"/>
        </w:rPr>
        <w:t>1. Panel capacity and conduit for the future installation of 208/240V 40-amp outlets for 5 percent of the total parking spaces, but not less than one outlet, or</w:t>
      </w:r>
    </w:p>
    <w:p w14:paraId="24A75197" w14:textId="77777777" w:rsidR="00DB1AEE" w:rsidRPr="00DB1AEE" w:rsidRDefault="00DB1AEE" w:rsidP="00DB1AEE">
      <w:pPr>
        <w:widowControl w:val="0"/>
        <w:suppressAutoHyphens/>
        <w:autoSpaceDE w:val="0"/>
        <w:autoSpaceDN w:val="0"/>
        <w:adjustRightInd w:val="0"/>
        <w:spacing w:before="130" w:after="130"/>
        <w:ind w:left="720" w:firstLine="900"/>
        <w:rPr>
          <w:b/>
          <w:bCs/>
          <w:u w:val="single"/>
        </w:rPr>
      </w:pPr>
      <w:r w:rsidRPr="00DB1AEE">
        <w:rPr>
          <w:u w:val="single"/>
        </w:rPr>
        <w:t>2. 208/240V 40-amp outlets for 5 percent of the total parking spaces, but not less than one outlet</w:t>
      </w:r>
      <w:r w:rsidRPr="00DB1AEE">
        <w:rPr>
          <w:b/>
          <w:bCs/>
          <w:u w:val="single"/>
        </w:rPr>
        <w:t>.</w:t>
      </w:r>
    </w:p>
    <w:p w14:paraId="41F1C4C7" w14:textId="77777777" w:rsidR="00DB1AEE" w:rsidRPr="00DB1AEE" w:rsidRDefault="00DB1AEE" w:rsidP="00DB1AEE">
      <w:pPr>
        <w:suppressAutoHyphens/>
        <w:spacing w:before="130" w:after="130"/>
        <w:jc w:val="center"/>
        <w:rPr>
          <w:rFonts w:eastAsia="MS Mincho"/>
          <w:b/>
          <w:bCs/>
          <w:szCs w:val="24"/>
          <w:u w:val="single"/>
        </w:rPr>
      </w:pPr>
      <w:r w:rsidRPr="00DB1AEE">
        <w:rPr>
          <w:rFonts w:eastAsia="MS Mincho"/>
          <w:b/>
          <w:bCs/>
          <w:szCs w:val="24"/>
          <w:u w:val="single"/>
        </w:rPr>
        <w:t>SECTION R405</w:t>
      </w:r>
    </w:p>
    <w:p w14:paraId="7316F11A" w14:textId="77777777" w:rsidR="00DB1AEE" w:rsidRPr="00DB1AEE" w:rsidRDefault="00DB1AEE" w:rsidP="00DB1AEE">
      <w:pPr>
        <w:suppressAutoHyphens/>
        <w:spacing w:before="130" w:after="130"/>
        <w:jc w:val="center"/>
        <w:rPr>
          <w:rFonts w:eastAsia="MS Mincho"/>
          <w:b/>
          <w:bCs/>
          <w:szCs w:val="24"/>
          <w:u w:val="single"/>
        </w:rPr>
      </w:pPr>
      <w:r w:rsidRPr="00DB1AEE">
        <w:rPr>
          <w:rFonts w:eastAsia="MS Mincho"/>
          <w:b/>
          <w:bCs/>
          <w:szCs w:val="24"/>
          <w:u w:val="single"/>
        </w:rPr>
        <w:t>SIMULATED  BUILDING PERFORMANCE</w:t>
      </w:r>
    </w:p>
    <w:p w14:paraId="522C5CB1" w14:textId="77777777" w:rsidR="00DB1AEE" w:rsidRPr="00DB1AEE" w:rsidRDefault="00DB1AEE" w:rsidP="00DB1AEE">
      <w:pPr>
        <w:widowControl w:val="0"/>
        <w:suppressAutoHyphens/>
        <w:autoSpaceDE w:val="0"/>
        <w:autoSpaceDN w:val="0"/>
        <w:adjustRightInd w:val="0"/>
        <w:spacing w:before="130" w:after="130"/>
        <w:rPr>
          <w:b/>
          <w:bCs/>
          <w:szCs w:val="24"/>
          <w:u w:val="single"/>
        </w:rPr>
      </w:pPr>
      <w:r w:rsidRPr="00DB1AEE">
        <w:rPr>
          <w:b/>
          <w:bCs/>
          <w:szCs w:val="24"/>
          <w:u w:val="single"/>
        </w:rPr>
        <w:t>Section R405.2 Simulated building performance compliance.</w:t>
      </w:r>
    </w:p>
    <w:p w14:paraId="0AECE206" w14:textId="77777777" w:rsidR="00DB1AEE" w:rsidRPr="00DB1AEE" w:rsidRDefault="00DB1AEE" w:rsidP="00DB1AEE">
      <w:pPr>
        <w:suppressAutoHyphens/>
        <w:spacing w:before="130" w:after="130"/>
        <w:rPr>
          <w:rFonts w:eastAsia="MS Mincho"/>
          <w:bCs/>
          <w:szCs w:val="24"/>
          <w:u w:val="single"/>
        </w:rPr>
      </w:pPr>
      <w:r w:rsidRPr="00DB1AEE">
        <w:rPr>
          <w:rFonts w:eastAsia="MS Mincho"/>
          <w:bCs/>
          <w:szCs w:val="24"/>
          <w:u w:val="single"/>
        </w:rPr>
        <w:t xml:space="preserve">Section R405.2 – </w:t>
      </w:r>
      <w:r w:rsidRPr="00DB1AEE">
        <w:rPr>
          <w:bCs/>
          <w:szCs w:val="24"/>
          <w:u w:val="single"/>
        </w:rPr>
        <w:t>Revise Section R405.2 to read as follows</w:t>
      </w:r>
      <w:r w:rsidRPr="00DB1AEE">
        <w:rPr>
          <w:rFonts w:eastAsia="MS Mincho"/>
          <w:bCs/>
          <w:szCs w:val="24"/>
          <w:u w:val="single"/>
        </w:rPr>
        <w:t>:</w:t>
      </w:r>
    </w:p>
    <w:p w14:paraId="3CA7ACFD" w14:textId="77777777" w:rsidR="00DB1AEE" w:rsidRPr="00DB1AEE" w:rsidRDefault="00DB1AEE" w:rsidP="00DB1AEE">
      <w:pPr>
        <w:widowControl w:val="0"/>
        <w:suppressAutoHyphens/>
        <w:autoSpaceDE w:val="0"/>
        <w:autoSpaceDN w:val="0"/>
        <w:adjustRightInd w:val="0"/>
        <w:spacing w:before="130" w:after="130"/>
        <w:ind w:left="360"/>
        <w:rPr>
          <w:u w:val="single"/>
        </w:rPr>
      </w:pPr>
      <w:r w:rsidRPr="00DB1AEE">
        <w:rPr>
          <w:b/>
          <w:bCs/>
          <w:u w:val="single"/>
        </w:rPr>
        <w:t xml:space="preserve">R405.2 </w:t>
      </w:r>
      <w:r w:rsidRPr="00DB1AEE">
        <w:rPr>
          <w:u w:val="single"/>
        </w:rPr>
        <w:t>Simulated building performance compliance. Compliance based on simulated  building performance analysis requires that a building comply with the following:</w:t>
      </w:r>
    </w:p>
    <w:p w14:paraId="07A43138" w14:textId="77777777" w:rsidR="00DB1AEE" w:rsidRPr="00DB1AEE" w:rsidRDefault="00DB1AEE" w:rsidP="00DB1AEE">
      <w:pPr>
        <w:widowControl w:val="0"/>
        <w:suppressAutoHyphens/>
        <w:autoSpaceDE w:val="0"/>
        <w:autoSpaceDN w:val="0"/>
        <w:adjustRightInd w:val="0"/>
        <w:spacing w:before="130" w:after="130"/>
        <w:ind w:left="360"/>
        <w:rPr>
          <w:u w:val="single"/>
        </w:rPr>
      </w:pPr>
      <w:r w:rsidRPr="00DB1AEE">
        <w:rPr>
          <w:u w:val="single"/>
        </w:rPr>
        <w:t>1. The requirements of the sections indicated within Table R405.2.</w:t>
      </w:r>
    </w:p>
    <w:p w14:paraId="4100D383" w14:textId="77777777" w:rsidR="00DB1AEE" w:rsidRPr="00DB1AEE" w:rsidRDefault="00DB1AEE" w:rsidP="00DB1AEE">
      <w:pPr>
        <w:widowControl w:val="0"/>
        <w:suppressAutoHyphens/>
        <w:autoSpaceDE w:val="0"/>
        <w:autoSpaceDN w:val="0"/>
        <w:adjustRightInd w:val="0"/>
        <w:spacing w:before="130" w:after="130"/>
        <w:ind w:left="648" w:hanging="288"/>
        <w:rPr>
          <w:u w:val="single"/>
        </w:rPr>
      </w:pPr>
      <w:r w:rsidRPr="00DB1AEE">
        <w:rPr>
          <w:u w:val="single"/>
        </w:rPr>
        <w:t xml:space="preserve">2. The proposed total building thermal envelope thermal conductance (TCp) shall be less than or equal to the required total building thermal envelope TCr using the prescriptive U-factors and F-factors from Table R402.1.2 multiplied by 1.15 in accordance with Equation 4-2 and Section R402.1.5. </w:t>
      </w:r>
    </w:p>
    <w:p w14:paraId="57BF1BD6" w14:textId="77777777" w:rsidR="00DB1AEE" w:rsidRPr="00DB1AEE" w:rsidRDefault="00DB1AEE" w:rsidP="00DB1AEE">
      <w:pPr>
        <w:widowControl w:val="0"/>
        <w:suppressAutoHyphens/>
        <w:autoSpaceDE w:val="0"/>
        <w:autoSpaceDN w:val="0"/>
        <w:adjustRightInd w:val="0"/>
        <w:spacing w:before="130" w:after="130"/>
        <w:ind w:left="360"/>
        <w:rPr>
          <w:u w:val="single"/>
        </w:rPr>
      </w:pPr>
      <w:r w:rsidRPr="00DB1AEE">
        <w:rPr>
          <w:u w:val="single"/>
        </w:rPr>
        <w:t>Equation 4-2 TCProposed design ≤ 1.15 × TCPrescriptive reference design</w:t>
      </w:r>
    </w:p>
    <w:p w14:paraId="599BB303" w14:textId="77777777" w:rsidR="00DB1AEE" w:rsidRPr="00DB1AEE" w:rsidRDefault="00DB1AEE" w:rsidP="00DB1AEE">
      <w:pPr>
        <w:widowControl w:val="0"/>
        <w:suppressAutoHyphens/>
        <w:autoSpaceDE w:val="0"/>
        <w:autoSpaceDN w:val="0"/>
        <w:adjustRightInd w:val="0"/>
        <w:spacing w:before="130" w:after="130"/>
        <w:ind w:left="648" w:hanging="288"/>
        <w:rPr>
          <w:b/>
          <w:bCs/>
          <w:u w:val="single"/>
        </w:rPr>
      </w:pPr>
      <w:r w:rsidRPr="00DB1AEE">
        <w:rPr>
          <w:u w:val="single"/>
        </w:rPr>
        <w:t>3.</w:t>
      </w:r>
      <w:r w:rsidRPr="00DB1AEE">
        <w:rPr>
          <w:b/>
          <w:bCs/>
          <w:u w:val="single"/>
        </w:rPr>
        <w:t xml:space="preserve"> </w:t>
      </w:r>
      <w:r w:rsidRPr="00DB1AEE">
        <w:rPr>
          <w:u w:val="single"/>
        </w:rPr>
        <w:t>The annual site energy use expressed in Btu or Btu per square foot of conditioned floor area of the dwelling unit shall be less than or equal to 80 percent of the annual site energy use expressed in Btu or Btu per square foot of conditioned floor area of the standard reference design. For each dwelling unit with greater than 5,000 square feet (465 m2) of living space located above grade plane, the annual site energy use expressed in Btu or Btu per square foot of conditioned floor area of the dwelling unit shall be reduced by an additional 5 percent of annual site energy use expressed in Btu or Btu per square foot of conditioned floor area of the standard reference design.</w:t>
      </w:r>
    </w:p>
    <w:p w14:paraId="452F64DD" w14:textId="77777777" w:rsidR="00DB1AEE" w:rsidRPr="00DB1AEE" w:rsidRDefault="00DB1AEE" w:rsidP="00DB1AEE">
      <w:pPr>
        <w:suppressAutoHyphens/>
        <w:spacing w:before="130" w:after="130"/>
        <w:jc w:val="center"/>
        <w:rPr>
          <w:rFonts w:eastAsia="MS Mincho"/>
          <w:b/>
          <w:bCs/>
          <w:szCs w:val="24"/>
          <w:u w:val="single"/>
        </w:rPr>
      </w:pPr>
      <w:r w:rsidRPr="00DB1AEE">
        <w:rPr>
          <w:rFonts w:eastAsia="MS Mincho"/>
          <w:b/>
          <w:bCs/>
          <w:szCs w:val="24"/>
          <w:u w:val="single"/>
        </w:rPr>
        <w:t>SECTION R408</w:t>
      </w:r>
    </w:p>
    <w:p w14:paraId="463D45E8" w14:textId="77777777" w:rsidR="00DB1AEE" w:rsidRPr="00DB1AEE" w:rsidRDefault="00DB1AEE" w:rsidP="00DB1AEE">
      <w:pPr>
        <w:widowControl w:val="0"/>
        <w:suppressAutoHyphens/>
        <w:autoSpaceDE w:val="0"/>
        <w:autoSpaceDN w:val="0"/>
        <w:adjustRightInd w:val="0"/>
        <w:spacing w:before="130" w:after="130"/>
        <w:jc w:val="center"/>
        <w:rPr>
          <w:b/>
          <w:bCs/>
          <w:u w:val="single"/>
        </w:rPr>
      </w:pPr>
      <w:r w:rsidRPr="00DB1AEE">
        <w:rPr>
          <w:rFonts w:eastAsia="MS Mincho"/>
          <w:b/>
          <w:u w:val="single"/>
        </w:rPr>
        <w:t>ADDITIONAL EFFICIENCY CREDITS</w:t>
      </w:r>
    </w:p>
    <w:p w14:paraId="37AFA408" w14:textId="77777777" w:rsidR="00DB1AEE" w:rsidRPr="00DB1AEE" w:rsidRDefault="00DB1AEE" w:rsidP="00DB1AEE">
      <w:pPr>
        <w:suppressAutoHyphens/>
        <w:spacing w:before="130" w:after="130"/>
        <w:rPr>
          <w:rFonts w:eastAsia="MS Mincho"/>
          <w:u w:val="single"/>
        </w:rPr>
      </w:pPr>
      <w:r w:rsidRPr="00DB1AEE">
        <w:rPr>
          <w:rFonts w:eastAsia="MS Mincho"/>
          <w:b/>
          <w:bCs/>
          <w:u w:val="single"/>
        </w:rPr>
        <w:t>Section R408.2 Additional energy efficiency credit requirements.</w:t>
      </w:r>
      <w:r w:rsidRPr="00DB1AEE">
        <w:rPr>
          <w:rFonts w:eastAsia="MS Mincho"/>
          <w:u w:val="single"/>
        </w:rPr>
        <w:t> </w:t>
      </w:r>
    </w:p>
    <w:p w14:paraId="68349D12" w14:textId="77777777" w:rsidR="00DB1AEE" w:rsidRPr="00DB1AEE" w:rsidRDefault="00DB1AEE" w:rsidP="00DB1AEE">
      <w:pPr>
        <w:suppressAutoHyphens/>
        <w:spacing w:before="130" w:after="130"/>
        <w:rPr>
          <w:rFonts w:eastAsia="MS Mincho"/>
          <w:u w:val="single"/>
        </w:rPr>
      </w:pPr>
      <w:r w:rsidRPr="00DB1AEE">
        <w:rPr>
          <w:rFonts w:eastAsia="MS Mincho"/>
          <w:u w:val="single"/>
        </w:rPr>
        <w:t>Section R408.2 – Revise Section R408.2 to read as follows:</w:t>
      </w:r>
    </w:p>
    <w:p w14:paraId="457AB765" w14:textId="77777777" w:rsidR="00DB1AEE" w:rsidRPr="00DB1AEE" w:rsidRDefault="00DB1AEE" w:rsidP="00DB1AEE">
      <w:pPr>
        <w:spacing w:before="130" w:after="130"/>
        <w:jc w:val="left"/>
        <w:rPr>
          <w:b/>
          <w:vanish/>
          <w:w w:val="0"/>
          <w:szCs w:val="24"/>
        </w:rPr>
      </w:pPr>
      <w:r w:rsidRPr="00DB1AEE">
        <w:rPr>
          <w:b/>
          <w:w w:val="0"/>
          <w:szCs w:val="24"/>
          <w:u w:val="single"/>
        </w:rPr>
        <w:t>R408.2 Additional energy efficiency credit requirements</w:t>
      </w:r>
      <w:r w:rsidRPr="00DB1AEE">
        <w:rPr>
          <w:bCs/>
          <w:w w:val="0"/>
          <w:szCs w:val="24"/>
        </w:rPr>
        <w:t xml:space="preserve">. </w:t>
      </w:r>
    </w:p>
    <w:p w14:paraId="0FDA8133" w14:textId="77777777" w:rsidR="00DB1AEE" w:rsidRPr="00DB1AEE" w:rsidRDefault="00DB1AEE" w:rsidP="00DB1AEE">
      <w:pPr>
        <w:tabs>
          <w:tab w:val="left" w:pos="1040"/>
          <w:tab w:val="left" w:pos="1280"/>
          <w:tab w:val="right" w:pos="4900"/>
        </w:tabs>
        <w:suppressAutoHyphens/>
        <w:autoSpaceDE w:val="0"/>
        <w:autoSpaceDN w:val="0"/>
        <w:adjustRightInd w:val="0"/>
        <w:spacing w:before="130" w:after="130"/>
        <w:ind w:left="1300" w:hanging="1060"/>
        <w:rPr>
          <w:szCs w:val="24"/>
          <w:u w:val="single"/>
        </w:rPr>
      </w:pPr>
      <w:r w:rsidRPr="00DB1AEE">
        <w:rPr>
          <w:b/>
          <w:bCs/>
          <w:szCs w:val="24"/>
        </w:rPr>
        <w:t xml:space="preserve"> </w:t>
      </w:r>
      <w:r w:rsidRPr="00DB1AEE">
        <w:rPr>
          <w:szCs w:val="24"/>
          <w:u w:val="single"/>
        </w:rPr>
        <w:t>Additional energy efficiency</w:t>
      </w:r>
      <w:r w:rsidRPr="00DB1AEE">
        <w:rPr>
          <w:szCs w:val="24"/>
        </w:rPr>
        <w:t xml:space="preserve"> </w:t>
      </w:r>
      <w:r w:rsidRPr="00DB1AEE">
        <w:rPr>
          <w:szCs w:val="24"/>
          <w:u w:val="single"/>
        </w:rPr>
        <w:t>Residential buildings shall earn not less than 10 credits from not less than two measures specified in Table R408.2. Five additional credits shall be earned for buildings units with more than 5,000 square feet (465 m2) of living space located above grade plane. To earn credit as specified in Table R408.2 for the applicable climate zone, each measure selected for compliance shall comply with the applicable subsections of Section R408. Each dwelling unit or sleeping unit shall comply with the selected measure to earn credit. Interpolation of credits between measures shall not be permitted.</w:t>
      </w:r>
    </w:p>
    <w:p w14:paraId="4C9B3D65" w14:textId="77777777" w:rsidR="00DB1AEE" w:rsidRPr="00DB1AEE" w:rsidRDefault="00DB1AEE" w:rsidP="00DB1AEE">
      <w:pPr>
        <w:suppressAutoHyphens/>
        <w:spacing w:before="130" w:after="130"/>
        <w:rPr>
          <w:rFonts w:eastAsia="MS Mincho"/>
          <w:u w:val="single"/>
        </w:rPr>
      </w:pPr>
      <w:r w:rsidRPr="00DB1AEE">
        <w:rPr>
          <w:rFonts w:eastAsia="MS Mincho"/>
          <w:b/>
          <w:bCs/>
          <w:u w:val="single"/>
        </w:rPr>
        <w:t>Table R408.2 Additional energy efficiency credit requirements.</w:t>
      </w:r>
      <w:r w:rsidRPr="00DB1AEE">
        <w:rPr>
          <w:rFonts w:eastAsia="MS Mincho"/>
          <w:u w:val="single"/>
        </w:rPr>
        <w:t> </w:t>
      </w:r>
    </w:p>
    <w:p w14:paraId="7A8F2A8C" w14:textId="77777777" w:rsidR="00DB1AEE" w:rsidRPr="00DB1AEE" w:rsidRDefault="00DB1AEE" w:rsidP="00DB1AEE">
      <w:pPr>
        <w:suppressAutoHyphens/>
        <w:spacing w:before="130" w:after="130"/>
        <w:rPr>
          <w:rFonts w:eastAsia="MS Mincho"/>
          <w:u w:val="single"/>
        </w:rPr>
      </w:pPr>
      <w:r w:rsidRPr="00DB1AEE">
        <w:rPr>
          <w:rFonts w:eastAsia="MS Mincho"/>
          <w:u w:val="single"/>
        </w:rPr>
        <w:t>Table R408 2 – Revise Table  R408.2 to read as follows:</w:t>
      </w:r>
    </w:p>
    <w:p w14:paraId="61603B69" w14:textId="77777777" w:rsidR="00DB1AEE" w:rsidRPr="00DB1AEE" w:rsidRDefault="00DB1AEE" w:rsidP="00DB1AEE">
      <w:pPr>
        <w:suppressAutoHyphens/>
        <w:autoSpaceDE w:val="0"/>
        <w:autoSpaceDN w:val="0"/>
        <w:adjustRightInd w:val="0"/>
        <w:spacing w:before="130" w:after="130"/>
        <w:rPr>
          <w:b/>
          <w:bCs/>
          <w:szCs w:val="24"/>
        </w:rPr>
      </w:pPr>
    </w:p>
    <w:p w14:paraId="43D42368" w14:textId="77777777" w:rsidR="00DB1AEE" w:rsidRPr="00DB1AEE" w:rsidRDefault="00DB1AEE" w:rsidP="00DB1AEE">
      <w:pPr>
        <w:suppressAutoHyphens/>
        <w:spacing w:after="100" w:afterAutospacing="1"/>
        <w:jc w:val="center"/>
        <w:rPr>
          <w:b/>
          <w:bCs/>
          <w:szCs w:val="24"/>
          <w:u w:val="single"/>
        </w:rPr>
      </w:pPr>
      <w:r w:rsidRPr="00DB1AEE">
        <w:rPr>
          <w:b/>
          <w:bCs/>
          <w:szCs w:val="24"/>
          <w:u w:val="single"/>
        </w:rPr>
        <w:t>TABLE R408.2  CREDITS FOR ADDITIONAL ENERGY EFFICIENCY</w:t>
      </w:r>
    </w:p>
    <w:tbl>
      <w:tblPr>
        <w:tblW w:w="9848" w:type="dxa"/>
        <w:tblInd w:w="113" w:type="dxa"/>
        <w:tblLook w:val="04A0" w:firstRow="1" w:lastRow="0" w:firstColumn="1" w:lastColumn="0" w:noHBand="0" w:noVBand="1"/>
      </w:tblPr>
      <w:tblGrid>
        <w:gridCol w:w="1705"/>
        <w:gridCol w:w="5115"/>
        <w:gridCol w:w="1142"/>
        <w:gridCol w:w="943"/>
        <w:gridCol w:w="943"/>
      </w:tblGrid>
      <w:tr w:rsidR="00DB1AEE" w:rsidRPr="00DB1AEE" w14:paraId="296BE370" w14:textId="77777777" w:rsidTr="00FC1832">
        <w:trPr>
          <w:trHeight w:val="279"/>
        </w:trPr>
        <w:tc>
          <w:tcPr>
            <w:tcW w:w="1705" w:type="dxa"/>
            <w:vMerge w:val="restart"/>
            <w:tcBorders>
              <w:top w:val="single" w:sz="4" w:space="0" w:color="231F20"/>
              <w:left w:val="single" w:sz="4" w:space="0" w:color="231F20"/>
              <w:bottom w:val="single" w:sz="4" w:space="0" w:color="231F20"/>
              <w:right w:val="single" w:sz="4" w:space="0" w:color="231F20"/>
            </w:tcBorders>
            <w:shd w:val="clear" w:color="000000" w:fill="E7E8E9"/>
            <w:hideMark/>
          </w:tcPr>
          <w:p w14:paraId="3C5F14B7" w14:textId="77777777" w:rsidR="00DB1AEE" w:rsidRPr="00DB1AEE" w:rsidRDefault="00DB1AEE" w:rsidP="00DB1AEE">
            <w:pPr>
              <w:ind w:firstLineChars="100" w:firstLine="170"/>
              <w:jc w:val="left"/>
              <w:rPr>
                <w:rFonts w:ascii="Calibri" w:hAnsi="Calibri" w:cs="Calibri"/>
                <w:b/>
                <w:bCs/>
                <w:sz w:val="17"/>
                <w:szCs w:val="17"/>
              </w:rPr>
            </w:pPr>
            <w:r w:rsidRPr="00DB1AEE">
              <w:rPr>
                <w:rFonts w:ascii="Calibri" w:hAnsi="Calibri" w:cs="Calibri"/>
                <w:b/>
                <w:bCs/>
                <w:color w:val="231F20"/>
                <w:sz w:val="17"/>
                <w:szCs w:val="17"/>
              </w:rPr>
              <w:t>MEASURE NUMBER</w:t>
            </w:r>
          </w:p>
        </w:tc>
        <w:tc>
          <w:tcPr>
            <w:tcW w:w="5115" w:type="dxa"/>
            <w:vMerge w:val="restart"/>
            <w:tcBorders>
              <w:top w:val="single" w:sz="4" w:space="0" w:color="231F20"/>
              <w:left w:val="single" w:sz="4" w:space="0" w:color="231F20"/>
              <w:bottom w:val="single" w:sz="4" w:space="0" w:color="231F20"/>
              <w:right w:val="single" w:sz="4" w:space="0" w:color="231F20"/>
            </w:tcBorders>
            <w:shd w:val="clear" w:color="000000" w:fill="E7E8E9"/>
            <w:hideMark/>
          </w:tcPr>
          <w:p w14:paraId="26AA7258" w14:textId="77777777" w:rsidR="00DB1AEE" w:rsidRPr="00DB1AEE" w:rsidRDefault="00DB1AEE" w:rsidP="00DB1AEE">
            <w:pPr>
              <w:ind w:firstLineChars="1200" w:firstLine="2040"/>
              <w:jc w:val="left"/>
              <w:rPr>
                <w:rFonts w:ascii="Calibri" w:hAnsi="Calibri" w:cs="Calibri"/>
                <w:b/>
                <w:bCs/>
                <w:sz w:val="17"/>
                <w:szCs w:val="17"/>
              </w:rPr>
            </w:pPr>
            <w:r w:rsidRPr="00DB1AEE">
              <w:rPr>
                <w:rFonts w:ascii="Calibri" w:hAnsi="Calibri" w:cs="Calibri"/>
                <w:b/>
                <w:bCs/>
                <w:color w:val="231F20"/>
                <w:sz w:val="17"/>
                <w:szCs w:val="17"/>
              </w:rPr>
              <w:t>MEASURE DESCRIPTION</w:t>
            </w:r>
          </w:p>
        </w:tc>
        <w:tc>
          <w:tcPr>
            <w:tcW w:w="1142" w:type="dxa"/>
            <w:tcBorders>
              <w:top w:val="single" w:sz="4" w:space="0" w:color="231F20"/>
              <w:left w:val="nil"/>
              <w:bottom w:val="single" w:sz="4" w:space="0" w:color="231F20"/>
              <w:right w:val="single" w:sz="4" w:space="0" w:color="231F20"/>
            </w:tcBorders>
            <w:shd w:val="clear" w:color="000000" w:fill="E7E8E9"/>
            <w:vAlign w:val="bottom"/>
            <w:hideMark/>
          </w:tcPr>
          <w:p w14:paraId="73F166D8" w14:textId="77777777" w:rsidR="00DB1AEE" w:rsidRPr="00DB1AEE" w:rsidRDefault="00DB1AEE" w:rsidP="00DB1AEE">
            <w:pPr>
              <w:jc w:val="left"/>
              <w:rPr>
                <w:color w:val="000000"/>
                <w:sz w:val="20"/>
              </w:rPr>
            </w:pPr>
            <w:r w:rsidRPr="00DB1AEE">
              <w:rPr>
                <w:color w:val="000000"/>
                <w:sz w:val="20"/>
              </w:rPr>
              <w:t> </w:t>
            </w:r>
          </w:p>
        </w:tc>
        <w:tc>
          <w:tcPr>
            <w:tcW w:w="943" w:type="dxa"/>
            <w:tcBorders>
              <w:top w:val="single" w:sz="4" w:space="0" w:color="231F20"/>
              <w:left w:val="nil"/>
              <w:bottom w:val="single" w:sz="4" w:space="0" w:color="231F20"/>
              <w:right w:val="single" w:sz="4" w:space="0" w:color="231F20"/>
            </w:tcBorders>
            <w:shd w:val="clear" w:color="000000" w:fill="E7E8E9"/>
            <w:vAlign w:val="bottom"/>
            <w:hideMark/>
          </w:tcPr>
          <w:p w14:paraId="0F03543F" w14:textId="77777777" w:rsidR="00DB1AEE" w:rsidRPr="00DB1AEE" w:rsidRDefault="00DB1AEE" w:rsidP="00DB1AEE">
            <w:pPr>
              <w:jc w:val="left"/>
              <w:rPr>
                <w:color w:val="000000"/>
                <w:sz w:val="20"/>
              </w:rPr>
            </w:pPr>
            <w:r w:rsidRPr="00DB1AEE">
              <w:rPr>
                <w:color w:val="000000"/>
                <w:sz w:val="20"/>
              </w:rPr>
              <w:t> </w:t>
            </w:r>
          </w:p>
        </w:tc>
        <w:tc>
          <w:tcPr>
            <w:tcW w:w="943" w:type="dxa"/>
            <w:tcBorders>
              <w:top w:val="single" w:sz="4" w:space="0" w:color="231F20"/>
              <w:left w:val="nil"/>
              <w:bottom w:val="single" w:sz="4" w:space="0" w:color="231F20"/>
              <w:right w:val="single" w:sz="4" w:space="0" w:color="231F20"/>
            </w:tcBorders>
            <w:shd w:val="clear" w:color="000000" w:fill="E7E8E9"/>
            <w:vAlign w:val="bottom"/>
            <w:hideMark/>
          </w:tcPr>
          <w:p w14:paraId="0DC3BE65" w14:textId="77777777" w:rsidR="00DB1AEE" w:rsidRPr="00DB1AEE" w:rsidRDefault="00DB1AEE" w:rsidP="00DB1AEE">
            <w:pPr>
              <w:jc w:val="left"/>
              <w:rPr>
                <w:color w:val="000000"/>
                <w:sz w:val="20"/>
              </w:rPr>
            </w:pPr>
            <w:r w:rsidRPr="00DB1AEE">
              <w:rPr>
                <w:color w:val="000000"/>
                <w:sz w:val="20"/>
              </w:rPr>
              <w:t> </w:t>
            </w:r>
          </w:p>
        </w:tc>
      </w:tr>
      <w:tr w:rsidR="00DB1AEE" w:rsidRPr="00DB1AEE" w14:paraId="23724781" w14:textId="77777777" w:rsidTr="00FC1832">
        <w:trPr>
          <w:trHeight w:val="476"/>
        </w:trPr>
        <w:tc>
          <w:tcPr>
            <w:tcW w:w="1705" w:type="dxa"/>
            <w:vMerge/>
            <w:tcBorders>
              <w:top w:val="single" w:sz="4" w:space="0" w:color="231F20"/>
              <w:left w:val="single" w:sz="4" w:space="0" w:color="231F20"/>
              <w:bottom w:val="single" w:sz="4" w:space="0" w:color="231F20"/>
              <w:right w:val="single" w:sz="4" w:space="0" w:color="231F20"/>
            </w:tcBorders>
            <w:vAlign w:val="center"/>
            <w:hideMark/>
          </w:tcPr>
          <w:p w14:paraId="2B0102C0" w14:textId="77777777" w:rsidR="00DB1AEE" w:rsidRPr="00DB1AEE" w:rsidRDefault="00DB1AEE" w:rsidP="00DB1AEE">
            <w:pPr>
              <w:jc w:val="left"/>
              <w:rPr>
                <w:rFonts w:ascii="Calibri" w:hAnsi="Calibri" w:cs="Calibri"/>
                <w:b/>
                <w:bCs/>
                <w:sz w:val="17"/>
                <w:szCs w:val="17"/>
              </w:rPr>
            </w:pPr>
          </w:p>
        </w:tc>
        <w:tc>
          <w:tcPr>
            <w:tcW w:w="5115" w:type="dxa"/>
            <w:vMerge/>
            <w:tcBorders>
              <w:top w:val="single" w:sz="4" w:space="0" w:color="231F20"/>
              <w:left w:val="single" w:sz="4" w:space="0" w:color="231F20"/>
              <w:bottom w:val="single" w:sz="4" w:space="0" w:color="231F20"/>
              <w:right w:val="single" w:sz="4" w:space="0" w:color="231F20"/>
            </w:tcBorders>
            <w:vAlign w:val="center"/>
            <w:hideMark/>
          </w:tcPr>
          <w:p w14:paraId="60D34907" w14:textId="77777777" w:rsidR="00DB1AEE" w:rsidRPr="00DB1AEE" w:rsidRDefault="00DB1AEE" w:rsidP="00DB1AEE">
            <w:pPr>
              <w:jc w:val="left"/>
              <w:rPr>
                <w:rFonts w:ascii="Calibri" w:hAnsi="Calibri" w:cs="Calibri"/>
                <w:b/>
                <w:bCs/>
                <w:sz w:val="17"/>
                <w:szCs w:val="17"/>
              </w:rPr>
            </w:pPr>
          </w:p>
        </w:tc>
        <w:tc>
          <w:tcPr>
            <w:tcW w:w="1142" w:type="dxa"/>
            <w:tcBorders>
              <w:top w:val="nil"/>
              <w:left w:val="nil"/>
              <w:bottom w:val="single" w:sz="4" w:space="0" w:color="231F20"/>
              <w:right w:val="single" w:sz="4" w:space="0" w:color="231F20"/>
            </w:tcBorders>
            <w:shd w:val="clear" w:color="000000" w:fill="E7E8E9"/>
            <w:hideMark/>
          </w:tcPr>
          <w:p w14:paraId="24A5841C" w14:textId="77777777" w:rsidR="00DB1AEE" w:rsidRPr="00DB1AEE" w:rsidRDefault="00DB1AEE" w:rsidP="00DB1AEE">
            <w:pPr>
              <w:ind w:firstLineChars="200" w:firstLine="340"/>
              <w:jc w:val="left"/>
              <w:rPr>
                <w:rFonts w:ascii="Calibri" w:hAnsi="Calibri" w:cs="Calibri"/>
                <w:b/>
                <w:bCs/>
                <w:sz w:val="17"/>
                <w:szCs w:val="17"/>
              </w:rPr>
            </w:pPr>
            <w:r w:rsidRPr="00DB1AEE">
              <w:rPr>
                <w:rFonts w:ascii="Calibri" w:hAnsi="Calibri" w:cs="Calibri"/>
                <w:b/>
                <w:bCs/>
                <w:color w:val="231F20"/>
                <w:sz w:val="17"/>
                <w:szCs w:val="17"/>
              </w:rPr>
              <w:t>Climate Zone 4</w:t>
            </w:r>
          </w:p>
        </w:tc>
        <w:tc>
          <w:tcPr>
            <w:tcW w:w="943" w:type="dxa"/>
            <w:tcBorders>
              <w:top w:val="nil"/>
              <w:left w:val="nil"/>
              <w:bottom w:val="single" w:sz="4" w:space="0" w:color="231F20"/>
              <w:right w:val="single" w:sz="4" w:space="0" w:color="231F20"/>
            </w:tcBorders>
            <w:shd w:val="clear" w:color="000000" w:fill="E7E8E9"/>
            <w:hideMark/>
          </w:tcPr>
          <w:p w14:paraId="7CC9F598" w14:textId="77777777" w:rsidR="00DB1AEE" w:rsidRPr="00DB1AEE" w:rsidRDefault="00DB1AEE" w:rsidP="00DB1AEE">
            <w:pPr>
              <w:ind w:firstLineChars="100" w:firstLine="170"/>
              <w:jc w:val="left"/>
              <w:rPr>
                <w:rFonts w:ascii="Calibri" w:hAnsi="Calibri" w:cs="Calibri"/>
                <w:b/>
                <w:bCs/>
                <w:sz w:val="17"/>
                <w:szCs w:val="17"/>
              </w:rPr>
            </w:pPr>
            <w:r w:rsidRPr="00DB1AEE">
              <w:rPr>
                <w:rFonts w:ascii="Calibri" w:hAnsi="Calibri" w:cs="Calibri"/>
                <w:b/>
                <w:bCs/>
                <w:color w:val="231F20"/>
                <w:sz w:val="17"/>
                <w:szCs w:val="17"/>
              </w:rPr>
              <w:t>Climate Zone 5</w:t>
            </w:r>
          </w:p>
        </w:tc>
        <w:tc>
          <w:tcPr>
            <w:tcW w:w="943" w:type="dxa"/>
            <w:tcBorders>
              <w:top w:val="nil"/>
              <w:left w:val="nil"/>
              <w:bottom w:val="single" w:sz="4" w:space="0" w:color="231F20"/>
              <w:right w:val="single" w:sz="4" w:space="0" w:color="231F20"/>
            </w:tcBorders>
            <w:shd w:val="clear" w:color="000000" w:fill="E7E8E9"/>
            <w:hideMark/>
          </w:tcPr>
          <w:p w14:paraId="6ADFB6BC" w14:textId="77777777" w:rsidR="00DB1AEE" w:rsidRPr="00DB1AEE" w:rsidRDefault="00DB1AEE" w:rsidP="00DB1AEE">
            <w:pPr>
              <w:ind w:firstLineChars="100" w:firstLine="170"/>
              <w:jc w:val="left"/>
              <w:rPr>
                <w:rFonts w:ascii="Calibri" w:hAnsi="Calibri" w:cs="Calibri"/>
                <w:b/>
                <w:bCs/>
                <w:sz w:val="17"/>
                <w:szCs w:val="17"/>
              </w:rPr>
            </w:pPr>
            <w:r w:rsidRPr="00DB1AEE">
              <w:rPr>
                <w:rFonts w:ascii="Calibri" w:hAnsi="Calibri" w:cs="Calibri"/>
                <w:b/>
                <w:bCs/>
                <w:color w:val="231F20"/>
                <w:sz w:val="17"/>
                <w:szCs w:val="17"/>
              </w:rPr>
              <w:t>Climate Zone 6</w:t>
            </w:r>
          </w:p>
        </w:tc>
      </w:tr>
      <w:tr w:rsidR="00DB1AEE" w:rsidRPr="00DB1AEE" w14:paraId="46C52BE1" w14:textId="77777777" w:rsidTr="00FC1832">
        <w:trPr>
          <w:trHeight w:val="297"/>
        </w:trPr>
        <w:tc>
          <w:tcPr>
            <w:tcW w:w="1705" w:type="dxa"/>
            <w:tcBorders>
              <w:top w:val="nil"/>
              <w:left w:val="single" w:sz="4" w:space="0" w:color="231F20"/>
              <w:bottom w:val="single" w:sz="4" w:space="0" w:color="231F20"/>
              <w:right w:val="single" w:sz="4" w:space="0" w:color="231F20"/>
            </w:tcBorders>
            <w:hideMark/>
          </w:tcPr>
          <w:p w14:paraId="722DE76B" w14:textId="77777777" w:rsidR="00DB1AEE" w:rsidRPr="00DB1AEE" w:rsidRDefault="00DB1AEE" w:rsidP="00DB1AEE">
            <w:pPr>
              <w:jc w:val="left"/>
              <w:rPr>
                <w:rFonts w:ascii="Calibri" w:hAnsi="Calibri" w:cs="Calibri"/>
                <w:sz w:val="17"/>
                <w:szCs w:val="17"/>
              </w:rPr>
            </w:pPr>
            <w:r w:rsidRPr="00DB1AEE">
              <w:rPr>
                <w:rFonts w:ascii="Calibri" w:hAnsi="Calibri" w:cs="Calibri"/>
                <w:color w:val="231F20"/>
                <w:sz w:val="17"/>
                <w:szCs w:val="17"/>
              </w:rPr>
              <w:t>R408.2.1.1(1)</w:t>
            </w:r>
          </w:p>
        </w:tc>
        <w:tc>
          <w:tcPr>
            <w:tcW w:w="5115" w:type="dxa"/>
            <w:tcBorders>
              <w:top w:val="single" w:sz="4" w:space="0" w:color="231F20"/>
              <w:left w:val="nil"/>
              <w:bottom w:val="single" w:sz="4" w:space="0" w:color="231F20"/>
              <w:right w:val="single" w:sz="4" w:space="0" w:color="231F20"/>
            </w:tcBorders>
            <w:hideMark/>
          </w:tcPr>
          <w:p w14:paraId="6613DF9E" w14:textId="77777777" w:rsidR="00DB1AEE" w:rsidRPr="00DB1AEE" w:rsidRDefault="00DB1AEE" w:rsidP="00DB1AEE">
            <w:pPr>
              <w:jc w:val="left"/>
              <w:rPr>
                <w:rFonts w:ascii="Calibri" w:hAnsi="Calibri" w:cs="Calibri"/>
                <w:sz w:val="17"/>
                <w:szCs w:val="17"/>
              </w:rPr>
            </w:pPr>
            <w:r w:rsidRPr="00DB1AEE">
              <w:rPr>
                <w:rFonts w:ascii="Calibri" w:hAnsi="Calibri" w:cs="Calibri"/>
                <w:color w:val="231F20"/>
                <w:sz w:val="17"/>
                <w:szCs w:val="17"/>
              </w:rPr>
              <w:t>≥ 2.5% Reduction in total TC</w:t>
            </w:r>
          </w:p>
        </w:tc>
        <w:tc>
          <w:tcPr>
            <w:tcW w:w="1142" w:type="dxa"/>
            <w:tcBorders>
              <w:top w:val="nil"/>
              <w:left w:val="nil"/>
              <w:bottom w:val="single" w:sz="4" w:space="0" w:color="231F20"/>
              <w:right w:val="single" w:sz="4" w:space="0" w:color="231F20"/>
            </w:tcBorders>
            <w:noWrap/>
            <w:hideMark/>
          </w:tcPr>
          <w:p w14:paraId="23769208" w14:textId="77777777" w:rsidR="00DB1AEE" w:rsidRPr="00DB1AEE" w:rsidRDefault="00DB1AEE" w:rsidP="00DB1AEE">
            <w:pPr>
              <w:jc w:val="center"/>
              <w:rPr>
                <w:rFonts w:ascii="Calibri" w:hAnsi="Calibri" w:cs="Calibri"/>
                <w:color w:val="231F20"/>
                <w:sz w:val="17"/>
                <w:szCs w:val="17"/>
              </w:rPr>
            </w:pPr>
            <w:r w:rsidRPr="00DB1AEE">
              <w:rPr>
                <w:rFonts w:ascii="Calibri" w:hAnsi="Calibri" w:cs="Calibri"/>
                <w:color w:val="231F20"/>
                <w:sz w:val="17"/>
                <w:szCs w:val="17"/>
              </w:rPr>
              <w:t>1</w:t>
            </w:r>
          </w:p>
        </w:tc>
        <w:tc>
          <w:tcPr>
            <w:tcW w:w="943" w:type="dxa"/>
            <w:tcBorders>
              <w:top w:val="nil"/>
              <w:left w:val="nil"/>
              <w:bottom w:val="single" w:sz="4" w:space="0" w:color="231F20"/>
              <w:right w:val="single" w:sz="4" w:space="0" w:color="231F20"/>
            </w:tcBorders>
            <w:noWrap/>
            <w:hideMark/>
          </w:tcPr>
          <w:p w14:paraId="16CD0A63" w14:textId="77777777" w:rsidR="00DB1AEE" w:rsidRPr="00DB1AEE" w:rsidRDefault="00DB1AEE" w:rsidP="00DB1AEE">
            <w:pPr>
              <w:jc w:val="center"/>
              <w:rPr>
                <w:rFonts w:ascii="Calibri" w:hAnsi="Calibri" w:cs="Calibri"/>
                <w:color w:val="231F20"/>
                <w:sz w:val="17"/>
                <w:szCs w:val="17"/>
              </w:rPr>
            </w:pPr>
            <w:r w:rsidRPr="00DB1AEE">
              <w:rPr>
                <w:rFonts w:ascii="Calibri" w:hAnsi="Calibri" w:cs="Calibri"/>
                <w:color w:val="231F20"/>
                <w:sz w:val="17"/>
                <w:szCs w:val="17"/>
              </w:rPr>
              <w:t>1</w:t>
            </w:r>
          </w:p>
        </w:tc>
        <w:tc>
          <w:tcPr>
            <w:tcW w:w="943" w:type="dxa"/>
            <w:tcBorders>
              <w:top w:val="nil"/>
              <w:left w:val="nil"/>
              <w:bottom w:val="single" w:sz="4" w:space="0" w:color="231F20"/>
              <w:right w:val="single" w:sz="4" w:space="0" w:color="231F20"/>
            </w:tcBorders>
            <w:noWrap/>
            <w:hideMark/>
          </w:tcPr>
          <w:p w14:paraId="53142466" w14:textId="77777777" w:rsidR="00DB1AEE" w:rsidRPr="00DB1AEE" w:rsidRDefault="00DB1AEE" w:rsidP="00DB1AEE">
            <w:pPr>
              <w:jc w:val="center"/>
              <w:rPr>
                <w:rFonts w:ascii="Calibri" w:hAnsi="Calibri" w:cs="Calibri"/>
                <w:color w:val="231F20"/>
                <w:sz w:val="17"/>
                <w:szCs w:val="17"/>
              </w:rPr>
            </w:pPr>
            <w:r w:rsidRPr="00DB1AEE">
              <w:rPr>
                <w:rFonts w:ascii="Calibri" w:hAnsi="Calibri" w:cs="Calibri"/>
                <w:color w:val="231F20"/>
                <w:sz w:val="17"/>
                <w:szCs w:val="17"/>
              </w:rPr>
              <w:t>1</w:t>
            </w:r>
          </w:p>
        </w:tc>
      </w:tr>
      <w:tr w:rsidR="00DB1AEE" w:rsidRPr="00DB1AEE" w14:paraId="25BE1DE8" w14:textId="77777777" w:rsidTr="00FC1832">
        <w:trPr>
          <w:trHeight w:val="279"/>
        </w:trPr>
        <w:tc>
          <w:tcPr>
            <w:tcW w:w="1705" w:type="dxa"/>
            <w:tcBorders>
              <w:top w:val="nil"/>
              <w:left w:val="single" w:sz="4" w:space="0" w:color="231F20"/>
              <w:bottom w:val="single" w:sz="4" w:space="0" w:color="231F20"/>
              <w:right w:val="single" w:sz="4" w:space="0" w:color="231F20"/>
            </w:tcBorders>
            <w:hideMark/>
          </w:tcPr>
          <w:p w14:paraId="153133E1" w14:textId="77777777" w:rsidR="00DB1AEE" w:rsidRPr="00DB1AEE" w:rsidRDefault="00DB1AEE" w:rsidP="00DB1AEE">
            <w:pPr>
              <w:jc w:val="left"/>
              <w:rPr>
                <w:rFonts w:ascii="Calibri" w:hAnsi="Calibri" w:cs="Calibri"/>
                <w:sz w:val="17"/>
                <w:szCs w:val="17"/>
              </w:rPr>
            </w:pPr>
            <w:r w:rsidRPr="00DB1AEE">
              <w:rPr>
                <w:rFonts w:ascii="Calibri" w:hAnsi="Calibri" w:cs="Calibri"/>
                <w:color w:val="231F20"/>
                <w:sz w:val="17"/>
                <w:szCs w:val="17"/>
              </w:rPr>
              <w:t>R408.2.1.1(2)</w:t>
            </w:r>
          </w:p>
        </w:tc>
        <w:tc>
          <w:tcPr>
            <w:tcW w:w="5115" w:type="dxa"/>
            <w:tcBorders>
              <w:top w:val="single" w:sz="4" w:space="0" w:color="231F20"/>
              <w:left w:val="nil"/>
              <w:bottom w:val="single" w:sz="4" w:space="0" w:color="231F20"/>
              <w:right w:val="single" w:sz="4" w:space="0" w:color="231F20"/>
            </w:tcBorders>
            <w:hideMark/>
          </w:tcPr>
          <w:p w14:paraId="1B9FE9C0" w14:textId="77777777" w:rsidR="00DB1AEE" w:rsidRPr="00DB1AEE" w:rsidRDefault="00DB1AEE" w:rsidP="00DB1AEE">
            <w:pPr>
              <w:jc w:val="left"/>
              <w:rPr>
                <w:rFonts w:ascii="Calibri" w:hAnsi="Calibri" w:cs="Calibri"/>
                <w:sz w:val="17"/>
                <w:szCs w:val="17"/>
              </w:rPr>
            </w:pPr>
            <w:r w:rsidRPr="00DB1AEE">
              <w:rPr>
                <w:rFonts w:ascii="Calibri" w:hAnsi="Calibri" w:cs="Calibri"/>
                <w:color w:val="231F20"/>
                <w:sz w:val="17"/>
                <w:szCs w:val="17"/>
              </w:rPr>
              <w:t>≥ 5% reduction in total TC</w:t>
            </w:r>
          </w:p>
        </w:tc>
        <w:tc>
          <w:tcPr>
            <w:tcW w:w="1142" w:type="dxa"/>
            <w:tcBorders>
              <w:top w:val="nil"/>
              <w:left w:val="nil"/>
              <w:bottom w:val="single" w:sz="4" w:space="0" w:color="231F20"/>
              <w:right w:val="single" w:sz="4" w:space="0" w:color="231F20"/>
            </w:tcBorders>
            <w:noWrap/>
            <w:hideMark/>
          </w:tcPr>
          <w:p w14:paraId="60D72844" w14:textId="77777777" w:rsidR="00DB1AEE" w:rsidRPr="00DB1AEE" w:rsidRDefault="00DB1AEE" w:rsidP="00DB1AEE">
            <w:pPr>
              <w:jc w:val="center"/>
              <w:rPr>
                <w:rFonts w:ascii="Calibri" w:hAnsi="Calibri" w:cs="Calibri"/>
                <w:color w:val="231F20"/>
                <w:sz w:val="17"/>
                <w:szCs w:val="17"/>
              </w:rPr>
            </w:pPr>
            <w:r w:rsidRPr="00DB1AEE">
              <w:rPr>
                <w:rFonts w:ascii="Calibri" w:hAnsi="Calibri" w:cs="Calibri"/>
                <w:color w:val="231F20"/>
                <w:sz w:val="17"/>
                <w:szCs w:val="17"/>
              </w:rPr>
              <w:t>2</w:t>
            </w:r>
          </w:p>
        </w:tc>
        <w:tc>
          <w:tcPr>
            <w:tcW w:w="943" w:type="dxa"/>
            <w:tcBorders>
              <w:top w:val="nil"/>
              <w:left w:val="nil"/>
              <w:bottom w:val="single" w:sz="4" w:space="0" w:color="231F20"/>
              <w:right w:val="single" w:sz="4" w:space="0" w:color="231F20"/>
            </w:tcBorders>
            <w:noWrap/>
            <w:hideMark/>
          </w:tcPr>
          <w:p w14:paraId="3930976A" w14:textId="77777777" w:rsidR="00DB1AEE" w:rsidRPr="00DB1AEE" w:rsidRDefault="00DB1AEE" w:rsidP="00DB1AEE">
            <w:pPr>
              <w:jc w:val="center"/>
              <w:rPr>
                <w:rFonts w:ascii="Calibri" w:hAnsi="Calibri" w:cs="Calibri"/>
                <w:color w:val="231F20"/>
                <w:sz w:val="17"/>
                <w:szCs w:val="17"/>
              </w:rPr>
            </w:pPr>
            <w:r w:rsidRPr="00DB1AEE">
              <w:rPr>
                <w:rFonts w:ascii="Calibri" w:hAnsi="Calibri" w:cs="Calibri"/>
                <w:color w:val="231F20"/>
                <w:sz w:val="17"/>
                <w:szCs w:val="17"/>
              </w:rPr>
              <w:t>2</w:t>
            </w:r>
          </w:p>
        </w:tc>
        <w:tc>
          <w:tcPr>
            <w:tcW w:w="943" w:type="dxa"/>
            <w:tcBorders>
              <w:top w:val="nil"/>
              <w:left w:val="nil"/>
              <w:bottom w:val="single" w:sz="4" w:space="0" w:color="231F20"/>
              <w:right w:val="single" w:sz="4" w:space="0" w:color="231F20"/>
            </w:tcBorders>
            <w:noWrap/>
            <w:hideMark/>
          </w:tcPr>
          <w:p w14:paraId="182D87C4" w14:textId="77777777" w:rsidR="00DB1AEE" w:rsidRPr="00DB1AEE" w:rsidRDefault="00DB1AEE" w:rsidP="00DB1AEE">
            <w:pPr>
              <w:jc w:val="center"/>
              <w:rPr>
                <w:rFonts w:ascii="Calibri" w:hAnsi="Calibri" w:cs="Calibri"/>
                <w:color w:val="231F20"/>
                <w:sz w:val="17"/>
                <w:szCs w:val="17"/>
              </w:rPr>
            </w:pPr>
            <w:r w:rsidRPr="00DB1AEE">
              <w:rPr>
                <w:rFonts w:ascii="Calibri" w:hAnsi="Calibri" w:cs="Calibri"/>
                <w:color w:val="231F20"/>
                <w:sz w:val="17"/>
                <w:szCs w:val="17"/>
              </w:rPr>
              <w:t>2</w:t>
            </w:r>
          </w:p>
        </w:tc>
      </w:tr>
      <w:tr w:rsidR="00DB1AEE" w:rsidRPr="00DB1AEE" w14:paraId="58258EB3" w14:textId="77777777" w:rsidTr="00FC1832">
        <w:trPr>
          <w:trHeight w:val="297"/>
        </w:trPr>
        <w:tc>
          <w:tcPr>
            <w:tcW w:w="1705" w:type="dxa"/>
            <w:tcBorders>
              <w:top w:val="nil"/>
              <w:left w:val="single" w:sz="4" w:space="0" w:color="231F20"/>
              <w:bottom w:val="single" w:sz="4" w:space="0" w:color="231F20"/>
              <w:right w:val="single" w:sz="4" w:space="0" w:color="231F20"/>
            </w:tcBorders>
            <w:hideMark/>
          </w:tcPr>
          <w:p w14:paraId="098E0D80" w14:textId="77777777" w:rsidR="00DB1AEE" w:rsidRPr="00DB1AEE" w:rsidRDefault="00DB1AEE" w:rsidP="00DB1AEE">
            <w:pPr>
              <w:jc w:val="left"/>
              <w:rPr>
                <w:rFonts w:ascii="Calibri" w:hAnsi="Calibri" w:cs="Calibri"/>
                <w:sz w:val="17"/>
                <w:szCs w:val="17"/>
              </w:rPr>
            </w:pPr>
            <w:r w:rsidRPr="00DB1AEE">
              <w:rPr>
                <w:rFonts w:ascii="Calibri" w:hAnsi="Calibri" w:cs="Calibri"/>
                <w:color w:val="231F20"/>
                <w:sz w:val="17"/>
                <w:szCs w:val="17"/>
              </w:rPr>
              <w:t>R408.2.1.1(3)</w:t>
            </w:r>
          </w:p>
        </w:tc>
        <w:tc>
          <w:tcPr>
            <w:tcW w:w="5115" w:type="dxa"/>
            <w:tcBorders>
              <w:top w:val="single" w:sz="4" w:space="0" w:color="231F20"/>
              <w:left w:val="nil"/>
              <w:bottom w:val="single" w:sz="4" w:space="0" w:color="231F20"/>
              <w:right w:val="single" w:sz="4" w:space="0" w:color="231F20"/>
            </w:tcBorders>
            <w:hideMark/>
          </w:tcPr>
          <w:p w14:paraId="29A88E2A" w14:textId="77777777" w:rsidR="00DB1AEE" w:rsidRPr="00DB1AEE" w:rsidRDefault="00DB1AEE" w:rsidP="00DB1AEE">
            <w:pPr>
              <w:jc w:val="left"/>
              <w:rPr>
                <w:rFonts w:ascii="Calibri" w:hAnsi="Calibri" w:cs="Calibri"/>
                <w:sz w:val="17"/>
                <w:szCs w:val="17"/>
              </w:rPr>
            </w:pPr>
            <w:r w:rsidRPr="00DB1AEE">
              <w:rPr>
                <w:rFonts w:ascii="Calibri" w:hAnsi="Calibri" w:cs="Calibri"/>
                <w:color w:val="231F20"/>
                <w:sz w:val="17"/>
                <w:szCs w:val="17"/>
              </w:rPr>
              <w:t>&gt; 7.5% reduction in total TC</w:t>
            </w:r>
          </w:p>
        </w:tc>
        <w:tc>
          <w:tcPr>
            <w:tcW w:w="1142" w:type="dxa"/>
            <w:tcBorders>
              <w:top w:val="nil"/>
              <w:left w:val="nil"/>
              <w:bottom w:val="single" w:sz="4" w:space="0" w:color="231F20"/>
              <w:right w:val="single" w:sz="4" w:space="0" w:color="231F20"/>
            </w:tcBorders>
            <w:noWrap/>
            <w:hideMark/>
          </w:tcPr>
          <w:p w14:paraId="4262B09B" w14:textId="77777777" w:rsidR="00DB1AEE" w:rsidRPr="00DB1AEE" w:rsidRDefault="00DB1AEE" w:rsidP="00DB1AEE">
            <w:pPr>
              <w:jc w:val="center"/>
              <w:rPr>
                <w:rFonts w:ascii="Calibri" w:hAnsi="Calibri" w:cs="Calibri"/>
                <w:color w:val="231F20"/>
                <w:sz w:val="17"/>
                <w:szCs w:val="17"/>
              </w:rPr>
            </w:pPr>
            <w:r w:rsidRPr="00DB1AEE">
              <w:rPr>
                <w:rFonts w:ascii="Calibri" w:hAnsi="Calibri" w:cs="Calibri"/>
                <w:color w:val="231F20"/>
                <w:sz w:val="17"/>
                <w:szCs w:val="17"/>
              </w:rPr>
              <w:t>2</w:t>
            </w:r>
          </w:p>
        </w:tc>
        <w:tc>
          <w:tcPr>
            <w:tcW w:w="943" w:type="dxa"/>
            <w:tcBorders>
              <w:top w:val="nil"/>
              <w:left w:val="nil"/>
              <w:bottom w:val="single" w:sz="4" w:space="0" w:color="231F20"/>
              <w:right w:val="single" w:sz="4" w:space="0" w:color="231F20"/>
            </w:tcBorders>
            <w:noWrap/>
            <w:hideMark/>
          </w:tcPr>
          <w:p w14:paraId="5F1E11DC" w14:textId="77777777" w:rsidR="00DB1AEE" w:rsidRPr="00DB1AEE" w:rsidRDefault="00DB1AEE" w:rsidP="00DB1AEE">
            <w:pPr>
              <w:jc w:val="center"/>
              <w:rPr>
                <w:rFonts w:ascii="Calibri" w:hAnsi="Calibri" w:cs="Calibri"/>
                <w:color w:val="231F20"/>
                <w:sz w:val="17"/>
                <w:szCs w:val="17"/>
              </w:rPr>
            </w:pPr>
            <w:r w:rsidRPr="00DB1AEE">
              <w:rPr>
                <w:rFonts w:ascii="Calibri" w:hAnsi="Calibri" w:cs="Calibri"/>
                <w:color w:val="231F20"/>
                <w:sz w:val="17"/>
                <w:szCs w:val="17"/>
              </w:rPr>
              <w:t>2</w:t>
            </w:r>
          </w:p>
        </w:tc>
        <w:tc>
          <w:tcPr>
            <w:tcW w:w="943" w:type="dxa"/>
            <w:tcBorders>
              <w:top w:val="nil"/>
              <w:left w:val="nil"/>
              <w:bottom w:val="single" w:sz="4" w:space="0" w:color="231F20"/>
              <w:right w:val="single" w:sz="4" w:space="0" w:color="231F20"/>
            </w:tcBorders>
            <w:noWrap/>
            <w:hideMark/>
          </w:tcPr>
          <w:p w14:paraId="1F9FFFD0" w14:textId="77777777" w:rsidR="00DB1AEE" w:rsidRPr="00DB1AEE" w:rsidRDefault="00DB1AEE" w:rsidP="00DB1AEE">
            <w:pPr>
              <w:jc w:val="center"/>
              <w:rPr>
                <w:rFonts w:ascii="Calibri" w:hAnsi="Calibri" w:cs="Calibri"/>
                <w:color w:val="231F20"/>
                <w:sz w:val="17"/>
                <w:szCs w:val="17"/>
              </w:rPr>
            </w:pPr>
            <w:r w:rsidRPr="00DB1AEE">
              <w:rPr>
                <w:rFonts w:ascii="Calibri" w:hAnsi="Calibri" w:cs="Calibri"/>
                <w:color w:val="231F20"/>
                <w:sz w:val="17"/>
                <w:szCs w:val="17"/>
              </w:rPr>
              <w:t>3</w:t>
            </w:r>
          </w:p>
        </w:tc>
      </w:tr>
      <w:tr w:rsidR="00DB1AEE" w:rsidRPr="00DB1AEE" w14:paraId="0909B554" w14:textId="77777777" w:rsidTr="00FC1832">
        <w:trPr>
          <w:trHeight w:val="279"/>
        </w:trPr>
        <w:tc>
          <w:tcPr>
            <w:tcW w:w="1705" w:type="dxa"/>
            <w:tcBorders>
              <w:top w:val="nil"/>
              <w:left w:val="single" w:sz="4" w:space="0" w:color="231F20"/>
              <w:bottom w:val="single" w:sz="4" w:space="0" w:color="231F20"/>
              <w:right w:val="single" w:sz="4" w:space="0" w:color="231F20"/>
            </w:tcBorders>
            <w:hideMark/>
          </w:tcPr>
          <w:p w14:paraId="33E05573" w14:textId="77777777" w:rsidR="00DB1AEE" w:rsidRPr="00DB1AEE" w:rsidRDefault="00DB1AEE" w:rsidP="00DB1AEE">
            <w:pPr>
              <w:jc w:val="left"/>
              <w:rPr>
                <w:rFonts w:ascii="Calibri" w:hAnsi="Calibri" w:cs="Calibri"/>
                <w:sz w:val="17"/>
                <w:szCs w:val="17"/>
              </w:rPr>
            </w:pPr>
            <w:r w:rsidRPr="00DB1AEE">
              <w:rPr>
                <w:rFonts w:ascii="Calibri" w:hAnsi="Calibri" w:cs="Calibri"/>
                <w:color w:val="231F20"/>
                <w:sz w:val="17"/>
                <w:szCs w:val="17"/>
              </w:rPr>
              <w:t>R408.2.1.1(4)</w:t>
            </w:r>
          </w:p>
        </w:tc>
        <w:tc>
          <w:tcPr>
            <w:tcW w:w="5115" w:type="dxa"/>
            <w:tcBorders>
              <w:top w:val="single" w:sz="4" w:space="0" w:color="231F20"/>
              <w:left w:val="nil"/>
              <w:bottom w:val="single" w:sz="4" w:space="0" w:color="231F20"/>
              <w:right w:val="single" w:sz="4" w:space="0" w:color="231F20"/>
            </w:tcBorders>
            <w:hideMark/>
          </w:tcPr>
          <w:p w14:paraId="403AF03F" w14:textId="77777777" w:rsidR="00DB1AEE" w:rsidRPr="00DB1AEE" w:rsidRDefault="00DB1AEE" w:rsidP="00DB1AEE">
            <w:pPr>
              <w:ind w:firstLineChars="100" w:firstLine="170"/>
              <w:jc w:val="left"/>
              <w:rPr>
                <w:rFonts w:ascii="Calibri" w:hAnsi="Calibri" w:cs="Calibri"/>
                <w:sz w:val="17"/>
                <w:szCs w:val="17"/>
              </w:rPr>
            </w:pPr>
            <w:r w:rsidRPr="00DB1AEE">
              <w:rPr>
                <w:rFonts w:ascii="Calibri" w:hAnsi="Calibri" w:cs="Calibri"/>
                <w:color w:val="231F20"/>
                <w:sz w:val="17"/>
                <w:szCs w:val="17"/>
              </w:rPr>
              <w:t>&gt; 10% reduction in total TC</w:t>
            </w:r>
          </w:p>
        </w:tc>
        <w:tc>
          <w:tcPr>
            <w:tcW w:w="1142" w:type="dxa"/>
            <w:tcBorders>
              <w:top w:val="nil"/>
              <w:left w:val="nil"/>
              <w:bottom w:val="single" w:sz="4" w:space="0" w:color="231F20"/>
              <w:right w:val="single" w:sz="4" w:space="0" w:color="231F20"/>
            </w:tcBorders>
            <w:noWrap/>
            <w:hideMark/>
          </w:tcPr>
          <w:p w14:paraId="301F8810" w14:textId="77777777" w:rsidR="00DB1AEE" w:rsidRPr="00DB1AEE" w:rsidRDefault="00DB1AEE" w:rsidP="00DB1AEE">
            <w:pPr>
              <w:jc w:val="center"/>
              <w:rPr>
                <w:rFonts w:ascii="Calibri" w:hAnsi="Calibri" w:cs="Calibri"/>
                <w:color w:val="231F20"/>
                <w:sz w:val="17"/>
                <w:szCs w:val="17"/>
              </w:rPr>
            </w:pPr>
            <w:r w:rsidRPr="00DB1AEE">
              <w:rPr>
                <w:rFonts w:ascii="Calibri" w:hAnsi="Calibri" w:cs="Calibri"/>
                <w:color w:val="231F20"/>
                <w:sz w:val="17"/>
                <w:szCs w:val="17"/>
              </w:rPr>
              <w:t>3</w:t>
            </w:r>
          </w:p>
        </w:tc>
        <w:tc>
          <w:tcPr>
            <w:tcW w:w="943" w:type="dxa"/>
            <w:tcBorders>
              <w:top w:val="nil"/>
              <w:left w:val="nil"/>
              <w:bottom w:val="single" w:sz="4" w:space="0" w:color="231F20"/>
              <w:right w:val="single" w:sz="4" w:space="0" w:color="231F20"/>
            </w:tcBorders>
            <w:noWrap/>
            <w:hideMark/>
          </w:tcPr>
          <w:p w14:paraId="44B3AC39" w14:textId="77777777" w:rsidR="00DB1AEE" w:rsidRPr="00DB1AEE" w:rsidRDefault="00DB1AEE" w:rsidP="00DB1AEE">
            <w:pPr>
              <w:jc w:val="center"/>
              <w:rPr>
                <w:rFonts w:ascii="Calibri" w:hAnsi="Calibri" w:cs="Calibri"/>
                <w:color w:val="231F20"/>
                <w:sz w:val="17"/>
                <w:szCs w:val="17"/>
              </w:rPr>
            </w:pPr>
            <w:r w:rsidRPr="00DB1AEE">
              <w:rPr>
                <w:rFonts w:ascii="Calibri" w:hAnsi="Calibri" w:cs="Calibri"/>
                <w:color w:val="231F20"/>
                <w:sz w:val="17"/>
                <w:szCs w:val="17"/>
              </w:rPr>
              <w:t>4</w:t>
            </w:r>
          </w:p>
        </w:tc>
        <w:tc>
          <w:tcPr>
            <w:tcW w:w="943" w:type="dxa"/>
            <w:tcBorders>
              <w:top w:val="nil"/>
              <w:left w:val="nil"/>
              <w:bottom w:val="single" w:sz="4" w:space="0" w:color="231F20"/>
              <w:right w:val="single" w:sz="4" w:space="0" w:color="231F20"/>
            </w:tcBorders>
            <w:noWrap/>
            <w:hideMark/>
          </w:tcPr>
          <w:p w14:paraId="3BE2DB74" w14:textId="77777777" w:rsidR="00DB1AEE" w:rsidRPr="00DB1AEE" w:rsidRDefault="00DB1AEE" w:rsidP="00DB1AEE">
            <w:pPr>
              <w:jc w:val="center"/>
              <w:rPr>
                <w:rFonts w:ascii="Calibri" w:hAnsi="Calibri" w:cs="Calibri"/>
                <w:color w:val="231F20"/>
                <w:sz w:val="17"/>
                <w:szCs w:val="17"/>
              </w:rPr>
            </w:pPr>
            <w:r w:rsidRPr="00DB1AEE">
              <w:rPr>
                <w:rFonts w:ascii="Calibri" w:hAnsi="Calibri" w:cs="Calibri"/>
                <w:color w:val="231F20"/>
                <w:sz w:val="17"/>
                <w:szCs w:val="17"/>
              </w:rPr>
              <w:t>4</w:t>
            </w:r>
          </w:p>
        </w:tc>
      </w:tr>
      <w:tr w:rsidR="00DB1AEE" w:rsidRPr="00DB1AEE" w14:paraId="08ADF520" w14:textId="77777777" w:rsidTr="00FC1832">
        <w:trPr>
          <w:trHeight w:val="297"/>
        </w:trPr>
        <w:tc>
          <w:tcPr>
            <w:tcW w:w="1705" w:type="dxa"/>
            <w:tcBorders>
              <w:top w:val="nil"/>
              <w:left w:val="single" w:sz="4" w:space="0" w:color="231F20"/>
              <w:bottom w:val="single" w:sz="4" w:space="0" w:color="231F20"/>
              <w:right w:val="single" w:sz="4" w:space="0" w:color="231F20"/>
            </w:tcBorders>
            <w:hideMark/>
          </w:tcPr>
          <w:p w14:paraId="547E163B" w14:textId="77777777" w:rsidR="00DB1AEE" w:rsidRPr="00DB1AEE" w:rsidRDefault="00DB1AEE" w:rsidP="00DB1AEE">
            <w:pPr>
              <w:jc w:val="left"/>
              <w:rPr>
                <w:rFonts w:ascii="Calibri" w:hAnsi="Calibri" w:cs="Calibri"/>
                <w:sz w:val="17"/>
                <w:szCs w:val="17"/>
              </w:rPr>
            </w:pPr>
            <w:r w:rsidRPr="00DB1AEE">
              <w:rPr>
                <w:rFonts w:ascii="Calibri" w:hAnsi="Calibri" w:cs="Calibri"/>
                <w:color w:val="231F20"/>
                <w:sz w:val="17"/>
                <w:szCs w:val="17"/>
              </w:rPr>
              <w:t>R408.2.1.1(5)</w:t>
            </w:r>
          </w:p>
        </w:tc>
        <w:tc>
          <w:tcPr>
            <w:tcW w:w="5115" w:type="dxa"/>
            <w:tcBorders>
              <w:top w:val="single" w:sz="4" w:space="0" w:color="231F20"/>
              <w:left w:val="nil"/>
              <w:bottom w:val="single" w:sz="4" w:space="0" w:color="231F20"/>
              <w:right w:val="single" w:sz="4" w:space="0" w:color="231F20"/>
            </w:tcBorders>
            <w:hideMark/>
          </w:tcPr>
          <w:p w14:paraId="0427B08D" w14:textId="77777777" w:rsidR="00DB1AEE" w:rsidRPr="00DB1AEE" w:rsidRDefault="00DB1AEE" w:rsidP="00DB1AEE">
            <w:pPr>
              <w:ind w:firstLineChars="100" w:firstLine="170"/>
              <w:jc w:val="left"/>
              <w:rPr>
                <w:rFonts w:ascii="Calibri" w:hAnsi="Calibri" w:cs="Calibri"/>
                <w:sz w:val="17"/>
                <w:szCs w:val="17"/>
              </w:rPr>
            </w:pPr>
            <w:r w:rsidRPr="00DB1AEE">
              <w:rPr>
                <w:rFonts w:ascii="Calibri" w:hAnsi="Calibri" w:cs="Calibri"/>
                <w:color w:val="231F20"/>
                <w:sz w:val="17"/>
                <w:szCs w:val="17"/>
              </w:rPr>
              <w:t>&gt; 15% reduction in total TC</w:t>
            </w:r>
          </w:p>
        </w:tc>
        <w:tc>
          <w:tcPr>
            <w:tcW w:w="1142" w:type="dxa"/>
            <w:tcBorders>
              <w:top w:val="nil"/>
              <w:left w:val="nil"/>
              <w:bottom w:val="single" w:sz="4" w:space="0" w:color="231F20"/>
              <w:right w:val="single" w:sz="4" w:space="0" w:color="231F20"/>
            </w:tcBorders>
            <w:noWrap/>
            <w:hideMark/>
          </w:tcPr>
          <w:p w14:paraId="01ACBFE8" w14:textId="77777777" w:rsidR="00DB1AEE" w:rsidRPr="00DB1AEE" w:rsidRDefault="00DB1AEE" w:rsidP="00DB1AEE">
            <w:pPr>
              <w:jc w:val="center"/>
              <w:rPr>
                <w:rFonts w:ascii="Calibri" w:hAnsi="Calibri" w:cs="Calibri"/>
                <w:color w:val="231F20"/>
                <w:sz w:val="17"/>
                <w:szCs w:val="17"/>
              </w:rPr>
            </w:pPr>
            <w:r w:rsidRPr="00DB1AEE">
              <w:rPr>
                <w:rFonts w:ascii="Calibri" w:hAnsi="Calibri" w:cs="Calibri"/>
                <w:color w:val="231F20"/>
                <w:sz w:val="17"/>
                <w:szCs w:val="17"/>
              </w:rPr>
              <w:t>4</w:t>
            </w:r>
          </w:p>
        </w:tc>
        <w:tc>
          <w:tcPr>
            <w:tcW w:w="943" w:type="dxa"/>
            <w:tcBorders>
              <w:top w:val="nil"/>
              <w:left w:val="nil"/>
              <w:bottom w:val="single" w:sz="4" w:space="0" w:color="231F20"/>
              <w:right w:val="single" w:sz="4" w:space="0" w:color="231F20"/>
            </w:tcBorders>
            <w:noWrap/>
            <w:hideMark/>
          </w:tcPr>
          <w:p w14:paraId="5B4AE0FA" w14:textId="77777777" w:rsidR="00DB1AEE" w:rsidRPr="00DB1AEE" w:rsidRDefault="00DB1AEE" w:rsidP="00DB1AEE">
            <w:pPr>
              <w:jc w:val="center"/>
              <w:rPr>
                <w:rFonts w:ascii="Calibri" w:hAnsi="Calibri" w:cs="Calibri"/>
                <w:color w:val="231F20"/>
                <w:sz w:val="17"/>
                <w:szCs w:val="17"/>
              </w:rPr>
            </w:pPr>
            <w:r w:rsidRPr="00DB1AEE">
              <w:rPr>
                <w:rFonts w:ascii="Calibri" w:hAnsi="Calibri" w:cs="Calibri"/>
                <w:color w:val="231F20"/>
                <w:sz w:val="17"/>
                <w:szCs w:val="17"/>
              </w:rPr>
              <w:t>5</w:t>
            </w:r>
          </w:p>
        </w:tc>
        <w:tc>
          <w:tcPr>
            <w:tcW w:w="943" w:type="dxa"/>
            <w:tcBorders>
              <w:top w:val="nil"/>
              <w:left w:val="nil"/>
              <w:bottom w:val="single" w:sz="4" w:space="0" w:color="231F20"/>
              <w:right w:val="single" w:sz="4" w:space="0" w:color="231F20"/>
            </w:tcBorders>
            <w:noWrap/>
            <w:hideMark/>
          </w:tcPr>
          <w:p w14:paraId="62A5AB6A" w14:textId="77777777" w:rsidR="00DB1AEE" w:rsidRPr="00DB1AEE" w:rsidRDefault="00DB1AEE" w:rsidP="00DB1AEE">
            <w:pPr>
              <w:jc w:val="center"/>
              <w:rPr>
                <w:rFonts w:ascii="Calibri" w:hAnsi="Calibri" w:cs="Calibri"/>
                <w:color w:val="231F20"/>
                <w:sz w:val="17"/>
                <w:szCs w:val="17"/>
              </w:rPr>
            </w:pPr>
            <w:r w:rsidRPr="00DB1AEE">
              <w:rPr>
                <w:rFonts w:ascii="Calibri" w:hAnsi="Calibri" w:cs="Calibri"/>
                <w:color w:val="231F20"/>
                <w:sz w:val="17"/>
                <w:szCs w:val="17"/>
              </w:rPr>
              <w:t>6</w:t>
            </w:r>
          </w:p>
        </w:tc>
      </w:tr>
      <w:tr w:rsidR="00DB1AEE" w:rsidRPr="00DB1AEE" w14:paraId="0C24F913" w14:textId="77777777" w:rsidTr="00FC1832">
        <w:trPr>
          <w:trHeight w:val="279"/>
        </w:trPr>
        <w:tc>
          <w:tcPr>
            <w:tcW w:w="1705" w:type="dxa"/>
            <w:tcBorders>
              <w:top w:val="nil"/>
              <w:left w:val="single" w:sz="4" w:space="0" w:color="231F20"/>
              <w:bottom w:val="single" w:sz="4" w:space="0" w:color="231F20"/>
              <w:right w:val="single" w:sz="4" w:space="0" w:color="231F20"/>
            </w:tcBorders>
            <w:hideMark/>
          </w:tcPr>
          <w:p w14:paraId="14A18A85" w14:textId="77777777" w:rsidR="00DB1AEE" w:rsidRPr="00DB1AEE" w:rsidRDefault="00DB1AEE" w:rsidP="00DB1AEE">
            <w:pPr>
              <w:jc w:val="left"/>
              <w:rPr>
                <w:rFonts w:ascii="Calibri" w:hAnsi="Calibri" w:cs="Calibri"/>
                <w:sz w:val="17"/>
                <w:szCs w:val="17"/>
              </w:rPr>
            </w:pPr>
            <w:r w:rsidRPr="00DB1AEE">
              <w:rPr>
                <w:rFonts w:ascii="Calibri" w:hAnsi="Calibri" w:cs="Calibri"/>
                <w:color w:val="231F20"/>
                <w:sz w:val="17"/>
                <w:szCs w:val="17"/>
              </w:rPr>
              <w:t>R408.2.1.1(6)</w:t>
            </w:r>
          </w:p>
        </w:tc>
        <w:tc>
          <w:tcPr>
            <w:tcW w:w="5115" w:type="dxa"/>
            <w:tcBorders>
              <w:top w:val="single" w:sz="4" w:space="0" w:color="231F20"/>
              <w:left w:val="nil"/>
              <w:bottom w:val="single" w:sz="4" w:space="0" w:color="231F20"/>
              <w:right w:val="single" w:sz="4" w:space="0" w:color="231F20"/>
            </w:tcBorders>
            <w:hideMark/>
          </w:tcPr>
          <w:p w14:paraId="144BC525" w14:textId="77777777" w:rsidR="00DB1AEE" w:rsidRPr="00DB1AEE" w:rsidRDefault="00DB1AEE" w:rsidP="00DB1AEE">
            <w:pPr>
              <w:ind w:firstLineChars="100" w:firstLine="170"/>
              <w:jc w:val="left"/>
              <w:rPr>
                <w:rFonts w:ascii="Calibri" w:hAnsi="Calibri" w:cs="Calibri"/>
                <w:sz w:val="17"/>
                <w:szCs w:val="17"/>
              </w:rPr>
            </w:pPr>
            <w:r w:rsidRPr="00DB1AEE">
              <w:rPr>
                <w:rFonts w:ascii="Calibri" w:hAnsi="Calibri" w:cs="Calibri"/>
                <w:color w:val="231F20"/>
                <w:sz w:val="17"/>
                <w:szCs w:val="17"/>
              </w:rPr>
              <w:t>&gt; 20% reduction in total TC</w:t>
            </w:r>
          </w:p>
        </w:tc>
        <w:tc>
          <w:tcPr>
            <w:tcW w:w="1142" w:type="dxa"/>
            <w:tcBorders>
              <w:top w:val="nil"/>
              <w:left w:val="nil"/>
              <w:bottom w:val="single" w:sz="4" w:space="0" w:color="231F20"/>
              <w:right w:val="single" w:sz="4" w:space="0" w:color="231F20"/>
            </w:tcBorders>
            <w:noWrap/>
            <w:hideMark/>
          </w:tcPr>
          <w:p w14:paraId="39D6D217" w14:textId="77777777" w:rsidR="00DB1AEE" w:rsidRPr="00DB1AEE" w:rsidRDefault="00DB1AEE" w:rsidP="00DB1AEE">
            <w:pPr>
              <w:jc w:val="center"/>
              <w:rPr>
                <w:rFonts w:ascii="Calibri" w:hAnsi="Calibri" w:cs="Calibri"/>
                <w:color w:val="231F20"/>
                <w:sz w:val="17"/>
                <w:szCs w:val="17"/>
              </w:rPr>
            </w:pPr>
            <w:r w:rsidRPr="00DB1AEE">
              <w:rPr>
                <w:rFonts w:ascii="Calibri" w:hAnsi="Calibri" w:cs="Calibri"/>
                <w:color w:val="231F20"/>
                <w:sz w:val="17"/>
                <w:szCs w:val="17"/>
              </w:rPr>
              <w:t>5</w:t>
            </w:r>
          </w:p>
        </w:tc>
        <w:tc>
          <w:tcPr>
            <w:tcW w:w="943" w:type="dxa"/>
            <w:tcBorders>
              <w:top w:val="nil"/>
              <w:left w:val="nil"/>
              <w:bottom w:val="single" w:sz="4" w:space="0" w:color="231F20"/>
              <w:right w:val="single" w:sz="4" w:space="0" w:color="231F20"/>
            </w:tcBorders>
            <w:noWrap/>
            <w:hideMark/>
          </w:tcPr>
          <w:p w14:paraId="0146984C" w14:textId="77777777" w:rsidR="00DB1AEE" w:rsidRPr="00DB1AEE" w:rsidRDefault="00DB1AEE" w:rsidP="00DB1AEE">
            <w:pPr>
              <w:jc w:val="center"/>
              <w:rPr>
                <w:rFonts w:ascii="Calibri" w:hAnsi="Calibri" w:cs="Calibri"/>
                <w:color w:val="231F20"/>
                <w:sz w:val="17"/>
                <w:szCs w:val="17"/>
              </w:rPr>
            </w:pPr>
            <w:r w:rsidRPr="00DB1AEE">
              <w:rPr>
                <w:rFonts w:ascii="Calibri" w:hAnsi="Calibri" w:cs="Calibri"/>
                <w:color w:val="231F20"/>
                <w:sz w:val="17"/>
                <w:szCs w:val="17"/>
              </w:rPr>
              <w:t>7</w:t>
            </w:r>
          </w:p>
        </w:tc>
        <w:tc>
          <w:tcPr>
            <w:tcW w:w="943" w:type="dxa"/>
            <w:tcBorders>
              <w:top w:val="nil"/>
              <w:left w:val="nil"/>
              <w:bottom w:val="single" w:sz="4" w:space="0" w:color="231F20"/>
              <w:right w:val="single" w:sz="4" w:space="0" w:color="231F20"/>
            </w:tcBorders>
            <w:noWrap/>
            <w:hideMark/>
          </w:tcPr>
          <w:p w14:paraId="0C4D4A38" w14:textId="77777777" w:rsidR="00DB1AEE" w:rsidRPr="00DB1AEE" w:rsidRDefault="00DB1AEE" w:rsidP="00DB1AEE">
            <w:pPr>
              <w:jc w:val="center"/>
              <w:rPr>
                <w:rFonts w:ascii="Calibri" w:hAnsi="Calibri" w:cs="Calibri"/>
                <w:color w:val="231F20"/>
                <w:sz w:val="17"/>
                <w:szCs w:val="17"/>
              </w:rPr>
            </w:pPr>
            <w:r w:rsidRPr="00DB1AEE">
              <w:rPr>
                <w:rFonts w:ascii="Calibri" w:hAnsi="Calibri" w:cs="Calibri"/>
                <w:color w:val="231F20"/>
                <w:sz w:val="17"/>
                <w:szCs w:val="17"/>
              </w:rPr>
              <w:t>8</w:t>
            </w:r>
          </w:p>
        </w:tc>
      </w:tr>
      <w:tr w:rsidR="00DB1AEE" w:rsidRPr="00DB1AEE" w14:paraId="423E2890" w14:textId="77777777" w:rsidTr="00FC1832">
        <w:trPr>
          <w:trHeight w:val="297"/>
        </w:trPr>
        <w:tc>
          <w:tcPr>
            <w:tcW w:w="1705" w:type="dxa"/>
            <w:tcBorders>
              <w:top w:val="nil"/>
              <w:left w:val="single" w:sz="4" w:space="0" w:color="231F20"/>
              <w:bottom w:val="single" w:sz="4" w:space="0" w:color="231F20"/>
              <w:right w:val="single" w:sz="4" w:space="0" w:color="231F20"/>
            </w:tcBorders>
            <w:hideMark/>
          </w:tcPr>
          <w:p w14:paraId="01740BC3" w14:textId="77777777" w:rsidR="00DB1AEE" w:rsidRPr="00DB1AEE" w:rsidRDefault="00DB1AEE" w:rsidP="00DB1AEE">
            <w:pPr>
              <w:jc w:val="left"/>
              <w:rPr>
                <w:rFonts w:ascii="Calibri" w:hAnsi="Calibri" w:cs="Calibri"/>
                <w:sz w:val="17"/>
                <w:szCs w:val="17"/>
              </w:rPr>
            </w:pPr>
            <w:r w:rsidRPr="00DB1AEE">
              <w:rPr>
                <w:rFonts w:ascii="Calibri" w:hAnsi="Calibri" w:cs="Calibri"/>
                <w:color w:val="231F20"/>
                <w:sz w:val="17"/>
                <w:szCs w:val="17"/>
              </w:rPr>
              <w:t>R408.2.1.1(7)</w:t>
            </w:r>
          </w:p>
        </w:tc>
        <w:tc>
          <w:tcPr>
            <w:tcW w:w="5115" w:type="dxa"/>
            <w:tcBorders>
              <w:top w:val="single" w:sz="4" w:space="0" w:color="231F20"/>
              <w:left w:val="nil"/>
              <w:bottom w:val="single" w:sz="4" w:space="0" w:color="231F20"/>
              <w:right w:val="single" w:sz="4" w:space="0" w:color="231F20"/>
            </w:tcBorders>
            <w:hideMark/>
          </w:tcPr>
          <w:p w14:paraId="5BF3D5FF" w14:textId="77777777" w:rsidR="00DB1AEE" w:rsidRPr="00DB1AEE" w:rsidRDefault="00DB1AEE" w:rsidP="00DB1AEE">
            <w:pPr>
              <w:ind w:firstLineChars="100" w:firstLine="170"/>
              <w:jc w:val="left"/>
              <w:rPr>
                <w:rFonts w:ascii="Calibri" w:hAnsi="Calibri" w:cs="Calibri"/>
                <w:sz w:val="17"/>
                <w:szCs w:val="17"/>
              </w:rPr>
            </w:pPr>
            <w:r w:rsidRPr="00DB1AEE">
              <w:rPr>
                <w:rFonts w:ascii="Calibri" w:hAnsi="Calibri" w:cs="Calibri"/>
                <w:color w:val="231F20"/>
                <w:sz w:val="17"/>
                <w:szCs w:val="17"/>
              </w:rPr>
              <w:t>&gt; 30% reduction in total TC</w:t>
            </w:r>
          </w:p>
        </w:tc>
        <w:tc>
          <w:tcPr>
            <w:tcW w:w="1142" w:type="dxa"/>
            <w:tcBorders>
              <w:top w:val="nil"/>
              <w:left w:val="nil"/>
              <w:bottom w:val="single" w:sz="4" w:space="0" w:color="231F20"/>
              <w:right w:val="single" w:sz="4" w:space="0" w:color="231F20"/>
            </w:tcBorders>
            <w:noWrap/>
            <w:hideMark/>
          </w:tcPr>
          <w:p w14:paraId="346588E5" w14:textId="77777777" w:rsidR="00DB1AEE" w:rsidRPr="00DB1AEE" w:rsidRDefault="00DB1AEE" w:rsidP="00DB1AEE">
            <w:pPr>
              <w:jc w:val="center"/>
              <w:rPr>
                <w:rFonts w:ascii="Calibri" w:hAnsi="Calibri" w:cs="Calibri"/>
                <w:color w:val="231F20"/>
                <w:sz w:val="17"/>
                <w:szCs w:val="17"/>
              </w:rPr>
            </w:pPr>
            <w:r w:rsidRPr="00DB1AEE">
              <w:rPr>
                <w:rFonts w:ascii="Calibri" w:hAnsi="Calibri" w:cs="Calibri"/>
                <w:color w:val="231F20"/>
                <w:sz w:val="17"/>
                <w:szCs w:val="17"/>
              </w:rPr>
              <w:t>8</w:t>
            </w:r>
          </w:p>
        </w:tc>
        <w:tc>
          <w:tcPr>
            <w:tcW w:w="943" w:type="dxa"/>
            <w:tcBorders>
              <w:top w:val="nil"/>
              <w:left w:val="nil"/>
              <w:bottom w:val="single" w:sz="4" w:space="0" w:color="231F20"/>
              <w:right w:val="single" w:sz="4" w:space="0" w:color="231F20"/>
            </w:tcBorders>
            <w:noWrap/>
            <w:hideMark/>
          </w:tcPr>
          <w:p w14:paraId="36417A15" w14:textId="77777777" w:rsidR="00DB1AEE" w:rsidRPr="00DB1AEE" w:rsidRDefault="00DB1AEE" w:rsidP="00DB1AEE">
            <w:pPr>
              <w:jc w:val="center"/>
              <w:rPr>
                <w:rFonts w:ascii="Calibri" w:hAnsi="Calibri" w:cs="Calibri"/>
                <w:color w:val="231F20"/>
                <w:sz w:val="17"/>
                <w:szCs w:val="17"/>
              </w:rPr>
            </w:pPr>
            <w:r w:rsidRPr="00DB1AEE">
              <w:rPr>
                <w:rFonts w:ascii="Calibri" w:hAnsi="Calibri" w:cs="Calibri"/>
                <w:color w:val="231F20"/>
                <w:sz w:val="17"/>
                <w:szCs w:val="17"/>
              </w:rPr>
              <w:t>11</w:t>
            </w:r>
          </w:p>
        </w:tc>
        <w:tc>
          <w:tcPr>
            <w:tcW w:w="943" w:type="dxa"/>
            <w:tcBorders>
              <w:top w:val="nil"/>
              <w:left w:val="nil"/>
              <w:bottom w:val="single" w:sz="4" w:space="0" w:color="231F20"/>
              <w:right w:val="single" w:sz="4" w:space="0" w:color="231F20"/>
            </w:tcBorders>
            <w:noWrap/>
            <w:hideMark/>
          </w:tcPr>
          <w:p w14:paraId="08F536A6" w14:textId="77777777" w:rsidR="00DB1AEE" w:rsidRPr="00DB1AEE" w:rsidRDefault="00DB1AEE" w:rsidP="00DB1AEE">
            <w:pPr>
              <w:jc w:val="center"/>
              <w:rPr>
                <w:rFonts w:ascii="Calibri" w:hAnsi="Calibri" w:cs="Calibri"/>
                <w:color w:val="231F20"/>
                <w:sz w:val="17"/>
                <w:szCs w:val="17"/>
              </w:rPr>
            </w:pPr>
            <w:r w:rsidRPr="00DB1AEE">
              <w:rPr>
                <w:rFonts w:ascii="Calibri" w:hAnsi="Calibri" w:cs="Calibri"/>
                <w:color w:val="231F20"/>
                <w:sz w:val="17"/>
                <w:szCs w:val="17"/>
              </w:rPr>
              <w:t>12</w:t>
            </w:r>
          </w:p>
        </w:tc>
      </w:tr>
      <w:tr w:rsidR="00DB1AEE" w:rsidRPr="00DB1AEE" w14:paraId="464811C7" w14:textId="77777777" w:rsidTr="00FC1832">
        <w:trPr>
          <w:trHeight w:val="279"/>
        </w:trPr>
        <w:tc>
          <w:tcPr>
            <w:tcW w:w="1705" w:type="dxa"/>
            <w:tcBorders>
              <w:top w:val="nil"/>
              <w:left w:val="single" w:sz="4" w:space="0" w:color="231F20"/>
              <w:bottom w:val="single" w:sz="4" w:space="0" w:color="231F20"/>
              <w:right w:val="single" w:sz="4" w:space="0" w:color="231F20"/>
            </w:tcBorders>
            <w:hideMark/>
          </w:tcPr>
          <w:p w14:paraId="65A7073C" w14:textId="77777777" w:rsidR="00DB1AEE" w:rsidRPr="00DB1AEE" w:rsidRDefault="00DB1AEE" w:rsidP="00DB1AEE">
            <w:pPr>
              <w:jc w:val="left"/>
              <w:rPr>
                <w:rFonts w:ascii="Calibri" w:hAnsi="Calibri" w:cs="Calibri"/>
                <w:sz w:val="17"/>
                <w:szCs w:val="17"/>
              </w:rPr>
            </w:pPr>
            <w:r w:rsidRPr="00DB1AEE">
              <w:rPr>
                <w:rFonts w:ascii="Calibri" w:hAnsi="Calibri" w:cs="Calibri"/>
                <w:color w:val="231F20"/>
                <w:sz w:val="17"/>
                <w:szCs w:val="17"/>
              </w:rPr>
              <w:t>R408.2.1.2(1)</w:t>
            </w:r>
          </w:p>
        </w:tc>
        <w:tc>
          <w:tcPr>
            <w:tcW w:w="5115" w:type="dxa"/>
            <w:tcBorders>
              <w:top w:val="single" w:sz="4" w:space="0" w:color="231F20"/>
              <w:left w:val="nil"/>
              <w:bottom w:val="single" w:sz="4" w:space="0" w:color="231F20"/>
              <w:right w:val="single" w:sz="4" w:space="0" w:color="231F20"/>
            </w:tcBorders>
            <w:hideMark/>
          </w:tcPr>
          <w:p w14:paraId="53CD6A5A" w14:textId="77777777" w:rsidR="00DB1AEE" w:rsidRPr="00DB1AEE" w:rsidRDefault="00DB1AEE" w:rsidP="00DB1AEE">
            <w:pPr>
              <w:jc w:val="left"/>
              <w:rPr>
                <w:color w:val="000000"/>
                <w:sz w:val="20"/>
              </w:rPr>
            </w:pPr>
            <w:r w:rsidRPr="00DB1AEE">
              <w:rPr>
                <w:rFonts w:ascii="Calibri" w:hAnsi="Calibri" w:cs="Calibri"/>
                <w:i/>
                <w:iCs/>
                <w:color w:val="231F20"/>
                <w:sz w:val="17"/>
                <w:szCs w:val="17"/>
              </w:rPr>
              <w:t>U</w:t>
            </w:r>
            <w:r w:rsidRPr="00DB1AEE">
              <w:rPr>
                <w:rFonts w:ascii="Calibri" w:hAnsi="Calibri" w:cs="Calibri"/>
                <w:color w:val="231F20"/>
                <w:sz w:val="17"/>
                <w:szCs w:val="17"/>
              </w:rPr>
              <w:t>-factor and SHGC for vertical fenestration per Table R408.2.1.2</w:t>
            </w:r>
          </w:p>
        </w:tc>
        <w:tc>
          <w:tcPr>
            <w:tcW w:w="1142" w:type="dxa"/>
            <w:tcBorders>
              <w:top w:val="nil"/>
              <w:left w:val="nil"/>
              <w:bottom w:val="single" w:sz="4" w:space="0" w:color="231F20"/>
              <w:right w:val="single" w:sz="4" w:space="0" w:color="231F20"/>
            </w:tcBorders>
            <w:noWrap/>
            <w:hideMark/>
          </w:tcPr>
          <w:p w14:paraId="0A75EB92" w14:textId="77777777" w:rsidR="00DB1AEE" w:rsidRPr="00DB1AEE" w:rsidRDefault="00DB1AEE" w:rsidP="00DB1AEE">
            <w:pPr>
              <w:jc w:val="center"/>
              <w:rPr>
                <w:rFonts w:ascii="Calibri" w:hAnsi="Calibri" w:cs="Calibri"/>
                <w:color w:val="231F20"/>
                <w:sz w:val="17"/>
                <w:szCs w:val="17"/>
              </w:rPr>
            </w:pPr>
            <w:r w:rsidRPr="00DB1AEE">
              <w:rPr>
                <w:rFonts w:ascii="Calibri" w:hAnsi="Calibri" w:cs="Calibri"/>
                <w:color w:val="231F20"/>
                <w:sz w:val="17"/>
                <w:szCs w:val="17"/>
              </w:rPr>
              <w:t>2</w:t>
            </w:r>
          </w:p>
        </w:tc>
        <w:tc>
          <w:tcPr>
            <w:tcW w:w="943" w:type="dxa"/>
            <w:tcBorders>
              <w:top w:val="nil"/>
              <w:left w:val="nil"/>
              <w:bottom w:val="single" w:sz="4" w:space="0" w:color="231F20"/>
              <w:right w:val="single" w:sz="4" w:space="0" w:color="231F20"/>
            </w:tcBorders>
            <w:noWrap/>
            <w:hideMark/>
          </w:tcPr>
          <w:p w14:paraId="68DAF097" w14:textId="77777777" w:rsidR="00DB1AEE" w:rsidRPr="00DB1AEE" w:rsidRDefault="00DB1AEE" w:rsidP="00DB1AEE">
            <w:pPr>
              <w:jc w:val="center"/>
              <w:rPr>
                <w:rFonts w:ascii="Calibri" w:hAnsi="Calibri" w:cs="Calibri"/>
                <w:color w:val="231F20"/>
                <w:sz w:val="17"/>
                <w:szCs w:val="17"/>
              </w:rPr>
            </w:pPr>
            <w:r w:rsidRPr="00DB1AEE">
              <w:rPr>
                <w:rFonts w:ascii="Calibri" w:hAnsi="Calibri" w:cs="Calibri"/>
                <w:color w:val="231F20"/>
                <w:sz w:val="17"/>
                <w:szCs w:val="17"/>
              </w:rPr>
              <w:t>1</w:t>
            </w:r>
          </w:p>
        </w:tc>
        <w:tc>
          <w:tcPr>
            <w:tcW w:w="943" w:type="dxa"/>
            <w:tcBorders>
              <w:top w:val="nil"/>
              <w:left w:val="nil"/>
              <w:bottom w:val="single" w:sz="4" w:space="0" w:color="231F20"/>
              <w:right w:val="single" w:sz="4" w:space="0" w:color="231F20"/>
            </w:tcBorders>
            <w:noWrap/>
            <w:hideMark/>
          </w:tcPr>
          <w:p w14:paraId="324CC5AB" w14:textId="77777777" w:rsidR="00DB1AEE" w:rsidRPr="00DB1AEE" w:rsidRDefault="00DB1AEE" w:rsidP="00DB1AEE">
            <w:pPr>
              <w:jc w:val="center"/>
              <w:rPr>
                <w:rFonts w:ascii="Calibri" w:hAnsi="Calibri" w:cs="Calibri"/>
                <w:color w:val="231F20"/>
                <w:sz w:val="17"/>
                <w:szCs w:val="17"/>
              </w:rPr>
            </w:pPr>
            <w:r w:rsidRPr="00DB1AEE">
              <w:rPr>
                <w:rFonts w:ascii="Calibri" w:hAnsi="Calibri" w:cs="Calibri"/>
                <w:color w:val="231F20"/>
                <w:sz w:val="17"/>
                <w:szCs w:val="17"/>
              </w:rPr>
              <w:t>1</w:t>
            </w:r>
          </w:p>
        </w:tc>
      </w:tr>
      <w:tr w:rsidR="00DB1AEE" w:rsidRPr="00DB1AEE" w14:paraId="0BF24854" w14:textId="77777777" w:rsidTr="00FC1832">
        <w:trPr>
          <w:trHeight w:val="297"/>
        </w:trPr>
        <w:tc>
          <w:tcPr>
            <w:tcW w:w="1705" w:type="dxa"/>
            <w:tcBorders>
              <w:top w:val="nil"/>
              <w:left w:val="single" w:sz="4" w:space="0" w:color="231F20"/>
              <w:bottom w:val="single" w:sz="4" w:space="0" w:color="231F20"/>
              <w:right w:val="single" w:sz="4" w:space="0" w:color="231F20"/>
            </w:tcBorders>
            <w:hideMark/>
          </w:tcPr>
          <w:p w14:paraId="55DEE545" w14:textId="77777777" w:rsidR="00DB1AEE" w:rsidRPr="00DB1AEE" w:rsidRDefault="00DB1AEE" w:rsidP="00DB1AEE">
            <w:pPr>
              <w:jc w:val="left"/>
              <w:rPr>
                <w:rFonts w:ascii="Calibri" w:hAnsi="Calibri" w:cs="Calibri"/>
                <w:sz w:val="17"/>
                <w:szCs w:val="17"/>
              </w:rPr>
            </w:pPr>
            <w:r w:rsidRPr="00DB1AEE">
              <w:rPr>
                <w:rFonts w:ascii="Calibri" w:hAnsi="Calibri" w:cs="Calibri"/>
                <w:color w:val="231F20"/>
                <w:sz w:val="17"/>
                <w:szCs w:val="17"/>
              </w:rPr>
              <w:t>R408.2.1.4</w:t>
            </w:r>
          </w:p>
        </w:tc>
        <w:tc>
          <w:tcPr>
            <w:tcW w:w="5115" w:type="dxa"/>
            <w:tcBorders>
              <w:top w:val="single" w:sz="4" w:space="0" w:color="231F20"/>
              <w:left w:val="nil"/>
              <w:bottom w:val="single" w:sz="4" w:space="0" w:color="231F20"/>
              <w:right w:val="single" w:sz="4" w:space="0" w:color="231F20"/>
            </w:tcBorders>
            <w:hideMark/>
          </w:tcPr>
          <w:p w14:paraId="630E6A12" w14:textId="77777777" w:rsidR="00DB1AEE" w:rsidRPr="00DB1AEE" w:rsidRDefault="00DB1AEE" w:rsidP="00DB1AEE">
            <w:pPr>
              <w:jc w:val="left"/>
              <w:rPr>
                <w:rFonts w:ascii="Calibri" w:hAnsi="Calibri" w:cs="Calibri"/>
                <w:sz w:val="17"/>
                <w:szCs w:val="17"/>
              </w:rPr>
            </w:pPr>
            <w:r w:rsidRPr="00DB1AEE">
              <w:rPr>
                <w:rFonts w:ascii="Calibri" w:hAnsi="Calibri" w:cs="Calibri"/>
                <w:color w:val="231F20"/>
                <w:sz w:val="17"/>
                <w:szCs w:val="17"/>
              </w:rPr>
              <w:t>Reduced air leakage</w:t>
            </w:r>
          </w:p>
        </w:tc>
        <w:tc>
          <w:tcPr>
            <w:tcW w:w="1142" w:type="dxa"/>
            <w:tcBorders>
              <w:top w:val="nil"/>
              <w:left w:val="nil"/>
              <w:bottom w:val="single" w:sz="4" w:space="0" w:color="231F20"/>
              <w:right w:val="single" w:sz="4" w:space="0" w:color="231F20"/>
            </w:tcBorders>
            <w:noWrap/>
            <w:hideMark/>
          </w:tcPr>
          <w:p w14:paraId="3B0824DB" w14:textId="77777777" w:rsidR="00DB1AEE" w:rsidRPr="00DB1AEE" w:rsidRDefault="00DB1AEE" w:rsidP="00DB1AEE">
            <w:pPr>
              <w:jc w:val="center"/>
              <w:rPr>
                <w:rFonts w:ascii="Calibri" w:hAnsi="Calibri" w:cs="Calibri"/>
                <w:color w:val="231F20"/>
                <w:sz w:val="17"/>
                <w:szCs w:val="17"/>
              </w:rPr>
            </w:pPr>
            <w:r w:rsidRPr="00DB1AEE">
              <w:rPr>
                <w:rFonts w:ascii="Calibri" w:hAnsi="Calibri" w:cs="Calibri"/>
                <w:color w:val="231F20"/>
                <w:sz w:val="17"/>
                <w:szCs w:val="17"/>
              </w:rPr>
              <w:t>2</w:t>
            </w:r>
          </w:p>
        </w:tc>
        <w:tc>
          <w:tcPr>
            <w:tcW w:w="943" w:type="dxa"/>
            <w:tcBorders>
              <w:top w:val="nil"/>
              <w:left w:val="nil"/>
              <w:bottom w:val="single" w:sz="4" w:space="0" w:color="231F20"/>
              <w:right w:val="single" w:sz="4" w:space="0" w:color="231F20"/>
            </w:tcBorders>
            <w:noWrap/>
            <w:hideMark/>
          </w:tcPr>
          <w:p w14:paraId="427ACA1D" w14:textId="77777777" w:rsidR="00DB1AEE" w:rsidRPr="00DB1AEE" w:rsidRDefault="00DB1AEE" w:rsidP="00DB1AEE">
            <w:pPr>
              <w:jc w:val="center"/>
              <w:rPr>
                <w:rFonts w:ascii="Calibri" w:hAnsi="Calibri" w:cs="Calibri"/>
                <w:color w:val="231F20"/>
                <w:sz w:val="17"/>
                <w:szCs w:val="17"/>
              </w:rPr>
            </w:pPr>
            <w:r w:rsidRPr="00DB1AEE">
              <w:rPr>
                <w:rFonts w:ascii="Calibri" w:hAnsi="Calibri" w:cs="Calibri"/>
                <w:color w:val="231F20"/>
                <w:sz w:val="17"/>
                <w:szCs w:val="17"/>
              </w:rPr>
              <w:t>3</w:t>
            </w:r>
          </w:p>
        </w:tc>
        <w:tc>
          <w:tcPr>
            <w:tcW w:w="943" w:type="dxa"/>
            <w:tcBorders>
              <w:top w:val="nil"/>
              <w:left w:val="nil"/>
              <w:bottom w:val="single" w:sz="4" w:space="0" w:color="231F20"/>
              <w:right w:val="single" w:sz="4" w:space="0" w:color="231F20"/>
            </w:tcBorders>
            <w:hideMark/>
          </w:tcPr>
          <w:p w14:paraId="7BA88B3B" w14:textId="77777777" w:rsidR="00DB1AEE" w:rsidRPr="00DB1AEE" w:rsidRDefault="00DB1AEE" w:rsidP="00DB1AEE">
            <w:pPr>
              <w:jc w:val="center"/>
              <w:rPr>
                <w:rFonts w:ascii="Calibri" w:hAnsi="Calibri" w:cs="Calibri"/>
                <w:sz w:val="17"/>
                <w:szCs w:val="17"/>
              </w:rPr>
            </w:pPr>
            <w:r w:rsidRPr="00DB1AEE">
              <w:rPr>
                <w:rFonts w:ascii="Calibri" w:hAnsi="Calibri" w:cs="Calibri"/>
                <w:color w:val="231F20"/>
                <w:sz w:val="17"/>
                <w:szCs w:val="17"/>
              </w:rPr>
              <w:t>NA</w:t>
            </w:r>
          </w:p>
        </w:tc>
      </w:tr>
      <w:tr w:rsidR="00DB1AEE" w:rsidRPr="00DB1AEE" w14:paraId="4F1590A9" w14:textId="77777777" w:rsidTr="00FC1832">
        <w:trPr>
          <w:trHeight w:val="279"/>
        </w:trPr>
        <w:tc>
          <w:tcPr>
            <w:tcW w:w="1705" w:type="dxa"/>
            <w:tcBorders>
              <w:top w:val="nil"/>
              <w:left w:val="single" w:sz="4" w:space="0" w:color="231F20"/>
              <w:bottom w:val="single" w:sz="4" w:space="0" w:color="231F20"/>
              <w:right w:val="single" w:sz="4" w:space="0" w:color="231F20"/>
            </w:tcBorders>
            <w:hideMark/>
          </w:tcPr>
          <w:p w14:paraId="68CD7596" w14:textId="77777777" w:rsidR="00DB1AEE" w:rsidRPr="00DB1AEE" w:rsidRDefault="00DB1AEE" w:rsidP="00DB1AEE">
            <w:pPr>
              <w:jc w:val="left"/>
              <w:rPr>
                <w:color w:val="000000"/>
                <w:sz w:val="20"/>
              </w:rPr>
            </w:pPr>
            <w:r w:rsidRPr="00DB1AEE">
              <w:rPr>
                <w:rFonts w:ascii="Calibri" w:hAnsi="Calibri" w:cs="Calibri"/>
                <w:color w:val="231F20"/>
                <w:sz w:val="17"/>
                <w:szCs w:val="17"/>
              </w:rPr>
              <w:t>R408.2.2(1)</w:t>
            </w:r>
            <w:r w:rsidRPr="00DB1AEE">
              <w:rPr>
                <w:rFonts w:ascii="Calibri" w:hAnsi="Calibri" w:cs="Calibri"/>
                <w:color w:val="231F20"/>
                <w:sz w:val="10"/>
                <w:szCs w:val="10"/>
                <w:vertAlign w:val="superscript"/>
              </w:rPr>
              <w:t>b</w:t>
            </w:r>
          </w:p>
        </w:tc>
        <w:tc>
          <w:tcPr>
            <w:tcW w:w="5115" w:type="dxa"/>
            <w:tcBorders>
              <w:top w:val="single" w:sz="4" w:space="0" w:color="231F20"/>
              <w:left w:val="nil"/>
              <w:bottom w:val="single" w:sz="4" w:space="0" w:color="231F20"/>
              <w:right w:val="single" w:sz="4" w:space="0" w:color="231F20"/>
            </w:tcBorders>
            <w:hideMark/>
          </w:tcPr>
          <w:p w14:paraId="2D24E8BD" w14:textId="77777777" w:rsidR="00DB1AEE" w:rsidRPr="00DB1AEE" w:rsidRDefault="00DB1AEE" w:rsidP="00DB1AEE">
            <w:pPr>
              <w:jc w:val="left"/>
              <w:rPr>
                <w:rFonts w:ascii="Calibri" w:hAnsi="Calibri" w:cs="Calibri"/>
                <w:sz w:val="17"/>
                <w:szCs w:val="17"/>
              </w:rPr>
            </w:pPr>
            <w:r w:rsidRPr="00DB1AEE">
              <w:rPr>
                <w:rFonts w:ascii="Calibri" w:hAnsi="Calibri" w:cs="Calibri"/>
                <w:color w:val="231F20"/>
                <w:sz w:val="17"/>
                <w:szCs w:val="17"/>
              </w:rPr>
              <w:t>Ground source heat pump</w:t>
            </w:r>
          </w:p>
        </w:tc>
        <w:tc>
          <w:tcPr>
            <w:tcW w:w="1142" w:type="dxa"/>
            <w:tcBorders>
              <w:top w:val="nil"/>
              <w:left w:val="nil"/>
              <w:bottom w:val="single" w:sz="4" w:space="0" w:color="231F20"/>
              <w:right w:val="single" w:sz="4" w:space="0" w:color="231F20"/>
            </w:tcBorders>
            <w:noWrap/>
            <w:hideMark/>
          </w:tcPr>
          <w:p w14:paraId="7C016E0D" w14:textId="77777777" w:rsidR="00DB1AEE" w:rsidRPr="00DB1AEE" w:rsidRDefault="00DB1AEE" w:rsidP="00DB1AEE">
            <w:pPr>
              <w:jc w:val="center"/>
              <w:rPr>
                <w:rFonts w:ascii="Calibri" w:hAnsi="Calibri" w:cs="Calibri"/>
                <w:color w:val="231F20"/>
                <w:sz w:val="17"/>
                <w:szCs w:val="17"/>
              </w:rPr>
            </w:pPr>
            <w:r w:rsidRPr="00DB1AEE">
              <w:rPr>
                <w:rFonts w:ascii="Calibri" w:hAnsi="Calibri" w:cs="Calibri"/>
                <w:color w:val="231F20"/>
                <w:sz w:val="17"/>
                <w:szCs w:val="17"/>
              </w:rPr>
              <w:t>15</w:t>
            </w:r>
          </w:p>
        </w:tc>
        <w:tc>
          <w:tcPr>
            <w:tcW w:w="943" w:type="dxa"/>
            <w:tcBorders>
              <w:top w:val="nil"/>
              <w:left w:val="nil"/>
              <w:bottom w:val="single" w:sz="4" w:space="0" w:color="231F20"/>
              <w:right w:val="single" w:sz="4" w:space="0" w:color="231F20"/>
            </w:tcBorders>
            <w:noWrap/>
            <w:hideMark/>
          </w:tcPr>
          <w:p w14:paraId="5DE7EF4B" w14:textId="77777777" w:rsidR="00DB1AEE" w:rsidRPr="00DB1AEE" w:rsidRDefault="00DB1AEE" w:rsidP="00DB1AEE">
            <w:pPr>
              <w:jc w:val="center"/>
              <w:rPr>
                <w:rFonts w:ascii="Calibri" w:hAnsi="Calibri" w:cs="Calibri"/>
                <w:color w:val="231F20"/>
                <w:sz w:val="17"/>
                <w:szCs w:val="17"/>
              </w:rPr>
            </w:pPr>
            <w:r w:rsidRPr="00DB1AEE">
              <w:rPr>
                <w:rFonts w:ascii="Calibri" w:hAnsi="Calibri" w:cs="Calibri"/>
                <w:color w:val="231F20"/>
                <w:sz w:val="17"/>
                <w:szCs w:val="17"/>
              </w:rPr>
              <w:t>15</w:t>
            </w:r>
          </w:p>
        </w:tc>
        <w:tc>
          <w:tcPr>
            <w:tcW w:w="943" w:type="dxa"/>
            <w:tcBorders>
              <w:top w:val="nil"/>
              <w:left w:val="nil"/>
              <w:bottom w:val="single" w:sz="4" w:space="0" w:color="231F20"/>
              <w:right w:val="single" w:sz="4" w:space="0" w:color="231F20"/>
            </w:tcBorders>
            <w:noWrap/>
            <w:hideMark/>
          </w:tcPr>
          <w:p w14:paraId="25D3F2C7" w14:textId="77777777" w:rsidR="00DB1AEE" w:rsidRPr="00DB1AEE" w:rsidRDefault="00DB1AEE" w:rsidP="00DB1AEE">
            <w:pPr>
              <w:jc w:val="center"/>
              <w:rPr>
                <w:rFonts w:ascii="Calibri" w:hAnsi="Calibri" w:cs="Calibri"/>
                <w:color w:val="231F20"/>
                <w:sz w:val="17"/>
                <w:szCs w:val="17"/>
              </w:rPr>
            </w:pPr>
            <w:r w:rsidRPr="00DB1AEE">
              <w:rPr>
                <w:rFonts w:ascii="Calibri" w:hAnsi="Calibri" w:cs="Calibri"/>
                <w:color w:val="231F20"/>
                <w:sz w:val="17"/>
                <w:szCs w:val="17"/>
              </w:rPr>
              <w:t>17</w:t>
            </w:r>
          </w:p>
        </w:tc>
      </w:tr>
      <w:tr w:rsidR="00DB1AEE" w:rsidRPr="00DB1AEE" w14:paraId="6DA9864A" w14:textId="77777777" w:rsidTr="00FC1832">
        <w:trPr>
          <w:trHeight w:val="297"/>
        </w:trPr>
        <w:tc>
          <w:tcPr>
            <w:tcW w:w="1705" w:type="dxa"/>
            <w:tcBorders>
              <w:top w:val="nil"/>
              <w:left w:val="single" w:sz="4" w:space="0" w:color="231F20"/>
              <w:bottom w:val="single" w:sz="4" w:space="0" w:color="231F20"/>
              <w:right w:val="single" w:sz="4" w:space="0" w:color="231F20"/>
            </w:tcBorders>
            <w:hideMark/>
          </w:tcPr>
          <w:p w14:paraId="095B9178" w14:textId="77777777" w:rsidR="00DB1AEE" w:rsidRPr="00DB1AEE" w:rsidRDefault="00DB1AEE" w:rsidP="00DB1AEE">
            <w:pPr>
              <w:jc w:val="left"/>
              <w:rPr>
                <w:color w:val="000000"/>
                <w:sz w:val="20"/>
              </w:rPr>
            </w:pPr>
            <w:r w:rsidRPr="00DB1AEE">
              <w:rPr>
                <w:rFonts w:ascii="Calibri" w:hAnsi="Calibri" w:cs="Calibri"/>
                <w:color w:val="231F20"/>
                <w:sz w:val="17"/>
                <w:szCs w:val="17"/>
              </w:rPr>
              <w:t>R408.2.2(2)</w:t>
            </w:r>
            <w:r w:rsidRPr="00DB1AEE">
              <w:rPr>
                <w:rFonts w:ascii="Calibri" w:hAnsi="Calibri" w:cs="Calibri"/>
                <w:color w:val="231F20"/>
                <w:sz w:val="10"/>
                <w:szCs w:val="10"/>
                <w:vertAlign w:val="superscript"/>
              </w:rPr>
              <w:t>b</w:t>
            </w:r>
          </w:p>
        </w:tc>
        <w:tc>
          <w:tcPr>
            <w:tcW w:w="5115" w:type="dxa"/>
            <w:tcBorders>
              <w:top w:val="single" w:sz="4" w:space="0" w:color="231F20"/>
              <w:left w:val="nil"/>
              <w:bottom w:val="single" w:sz="4" w:space="0" w:color="231F20"/>
              <w:right w:val="single" w:sz="4" w:space="0" w:color="231F20"/>
            </w:tcBorders>
            <w:hideMark/>
          </w:tcPr>
          <w:p w14:paraId="18E8558E" w14:textId="77777777" w:rsidR="00DB1AEE" w:rsidRPr="00DB1AEE" w:rsidRDefault="00DB1AEE" w:rsidP="00DB1AEE">
            <w:pPr>
              <w:jc w:val="left"/>
              <w:rPr>
                <w:rFonts w:ascii="Calibri" w:hAnsi="Calibri" w:cs="Calibri"/>
                <w:sz w:val="17"/>
                <w:szCs w:val="17"/>
              </w:rPr>
            </w:pPr>
            <w:r w:rsidRPr="00DB1AEE">
              <w:rPr>
                <w:rFonts w:ascii="Calibri" w:hAnsi="Calibri" w:cs="Calibri"/>
                <w:color w:val="231F20"/>
                <w:sz w:val="17"/>
                <w:szCs w:val="17"/>
              </w:rPr>
              <w:t>High Performance Cooling (Option 1)</w:t>
            </w:r>
          </w:p>
        </w:tc>
        <w:tc>
          <w:tcPr>
            <w:tcW w:w="1142" w:type="dxa"/>
            <w:tcBorders>
              <w:top w:val="nil"/>
              <w:left w:val="nil"/>
              <w:bottom w:val="single" w:sz="4" w:space="0" w:color="231F20"/>
              <w:right w:val="single" w:sz="4" w:space="0" w:color="231F20"/>
            </w:tcBorders>
            <w:noWrap/>
            <w:hideMark/>
          </w:tcPr>
          <w:p w14:paraId="2426DB77" w14:textId="77777777" w:rsidR="00DB1AEE" w:rsidRPr="00DB1AEE" w:rsidRDefault="00DB1AEE" w:rsidP="00DB1AEE">
            <w:pPr>
              <w:jc w:val="center"/>
              <w:rPr>
                <w:rFonts w:ascii="Calibri" w:hAnsi="Calibri" w:cs="Calibri"/>
                <w:color w:val="231F20"/>
                <w:sz w:val="17"/>
                <w:szCs w:val="17"/>
              </w:rPr>
            </w:pPr>
            <w:r w:rsidRPr="00DB1AEE">
              <w:rPr>
                <w:rFonts w:ascii="Calibri" w:hAnsi="Calibri" w:cs="Calibri"/>
                <w:color w:val="231F20"/>
                <w:sz w:val="17"/>
                <w:szCs w:val="17"/>
              </w:rPr>
              <w:t>2</w:t>
            </w:r>
          </w:p>
        </w:tc>
        <w:tc>
          <w:tcPr>
            <w:tcW w:w="943" w:type="dxa"/>
            <w:tcBorders>
              <w:top w:val="nil"/>
              <w:left w:val="nil"/>
              <w:bottom w:val="single" w:sz="4" w:space="0" w:color="231F20"/>
              <w:right w:val="single" w:sz="4" w:space="0" w:color="231F20"/>
            </w:tcBorders>
            <w:noWrap/>
            <w:hideMark/>
          </w:tcPr>
          <w:p w14:paraId="01BE2486" w14:textId="77777777" w:rsidR="00DB1AEE" w:rsidRPr="00DB1AEE" w:rsidRDefault="00DB1AEE" w:rsidP="00DB1AEE">
            <w:pPr>
              <w:jc w:val="center"/>
              <w:rPr>
                <w:rFonts w:ascii="Calibri" w:hAnsi="Calibri" w:cs="Calibri"/>
                <w:color w:val="231F20"/>
                <w:sz w:val="17"/>
                <w:szCs w:val="17"/>
              </w:rPr>
            </w:pPr>
            <w:r w:rsidRPr="00DB1AEE">
              <w:rPr>
                <w:rFonts w:ascii="Calibri" w:hAnsi="Calibri" w:cs="Calibri"/>
                <w:color w:val="231F20"/>
                <w:sz w:val="17"/>
                <w:szCs w:val="17"/>
              </w:rPr>
              <w:t>1</w:t>
            </w:r>
          </w:p>
        </w:tc>
        <w:tc>
          <w:tcPr>
            <w:tcW w:w="943" w:type="dxa"/>
            <w:tcBorders>
              <w:top w:val="nil"/>
              <w:left w:val="nil"/>
              <w:bottom w:val="single" w:sz="4" w:space="0" w:color="231F20"/>
              <w:right w:val="single" w:sz="4" w:space="0" w:color="231F20"/>
            </w:tcBorders>
            <w:noWrap/>
            <w:hideMark/>
          </w:tcPr>
          <w:p w14:paraId="768BD64F" w14:textId="77777777" w:rsidR="00DB1AEE" w:rsidRPr="00DB1AEE" w:rsidRDefault="00DB1AEE" w:rsidP="00DB1AEE">
            <w:pPr>
              <w:jc w:val="center"/>
              <w:rPr>
                <w:rFonts w:ascii="Calibri" w:hAnsi="Calibri" w:cs="Calibri"/>
                <w:color w:val="231F20"/>
                <w:sz w:val="17"/>
                <w:szCs w:val="17"/>
              </w:rPr>
            </w:pPr>
            <w:r w:rsidRPr="00DB1AEE">
              <w:rPr>
                <w:rFonts w:ascii="Calibri" w:hAnsi="Calibri" w:cs="Calibri"/>
                <w:color w:val="231F20"/>
                <w:sz w:val="17"/>
                <w:szCs w:val="17"/>
              </w:rPr>
              <w:t>1</w:t>
            </w:r>
          </w:p>
        </w:tc>
      </w:tr>
      <w:tr w:rsidR="00DB1AEE" w:rsidRPr="00DB1AEE" w14:paraId="7B3C3B3C" w14:textId="77777777" w:rsidTr="00FC1832">
        <w:trPr>
          <w:trHeight w:val="279"/>
        </w:trPr>
        <w:tc>
          <w:tcPr>
            <w:tcW w:w="1705" w:type="dxa"/>
            <w:tcBorders>
              <w:top w:val="nil"/>
              <w:left w:val="single" w:sz="4" w:space="0" w:color="231F20"/>
              <w:bottom w:val="single" w:sz="4" w:space="0" w:color="231F20"/>
              <w:right w:val="single" w:sz="4" w:space="0" w:color="231F20"/>
            </w:tcBorders>
            <w:hideMark/>
          </w:tcPr>
          <w:p w14:paraId="1B91C3E4" w14:textId="77777777" w:rsidR="00DB1AEE" w:rsidRPr="00DB1AEE" w:rsidRDefault="00DB1AEE" w:rsidP="00DB1AEE">
            <w:pPr>
              <w:jc w:val="left"/>
              <w:rPr>
                <w:color w:val="000000"/>
                <w:sz w:val="20"/>
              </w:rPr>
            </w:pPr>
            <w:r w:rsidRPr="00DB1AEE">
              <w:rPr>
                <w:rFonts w:ascii="Calibri" w:hAnsi="Calibri" w:cs="Calibri"/>
                <w:color w:val="231F20"/>
                <w:sz w:val="17"/>
                <w:szCs w:val="17"/>
              </w:rPr>
              <w:t>R408.2.2(3)</w:t>
            </w:r>
            <w:r w:rsidRPr="00DB1AEE">
              <w:rPr>
                <w:rFonts w:ascii="Calibri" w:hAnsi="Calibri" w:cs="Calibri"/>
                <w:color w:val="231F20"/>
                <w:sz w:val="10"/>
                <w:szCs w:val="10"/>
                <w:vertAlign w:val="superscript"/>
              </w:rPr>
              <w:t>b</w:t>
            </w:r>
          </w:p>
        </w:tc>
        <w:tc>
          <w:tcPr>
            <w:tcW w:w="5115" w:type="dxa"/>
            <w:tcBorders>
              <w:top w:val="single" w:sz="4" w:space="0" w:color="231F20"/>
              <w:left w:val="nil"/>
              <w:bottom w:val="single" w:sz="4" w:space="0" w:color="231F20"/>
              <w:right w:val="single" w:sz="4" w:space="0" w:color="231F20"/>
            </w:tcBorders>
            <w:hideMark/>
          </w:tcPr>
          <w:p w14:paraId="4214B0CF" w14:textId="77777777" w:rsidR="00DB1AEE" w:rsidRPr="00DB1AEE" w:rsidRDefault="00DB1AEE" w:rsidP="00DB1AEE">
            <w:pPr>
              <w:jc w:val="left"/>
              <w:rPr>
                <w:rFonts w:ascii="Calibri" w:hAnsi="Calibri" w:cs="Calibri"/>
                <w:sz w:val="17"/>
                <w:szCs w:val="17"/>
              </w:rPr>
            </w:pPr>
            <w:r w:rsidRPr="00DB1AEE">
              <w:rPr>
                <w:rFonts w:ascii="Calibri" w:hAnsi="Calibri" w:cs="Calibri"/>
                <w:color w:val="231F20"/>
                <w:sz w:val="17"/>
                <w:szCs w:val="17"/>
              </w:rPr>
              <w:t>High Performance Cooling (Option 2)</w:t>
            </w:r>
          </w:p>
        </w:tc>
        <w:tc>
          <w:tcPr>
            <w:tcW w:w="1142" w:type="dxa"/>
            <w:tcBorders>
              <w:top w:val="nil"/>
              <w:left w:val="nil"/>
              <w:bottom w:val="single" w:sz="4" w:space="0" w:color="231F20"/>
              <w:right w:val="single" w:sz="4" w:space="0" w:color="231F20"/>
            </w:tcBorders>
            <w:noWrap/>
            <w:hideMark/>
          </w:tcPr>
          <w:p w14:paraId="2ECFCAC5" w14:textId="77777777" w:rsidR="00DB1AEE" w:rsidRPr="00DB1AEE" w:rsidRDefault="00DB1AEE" w:rsidP="00DB1AEE">
            <w:pPr>
              <w:jc w:val="center"/>
              <w:rPr>
                <w:rFonts w:ascii="Calibri" w:hAnsi="Calibri" w:cs="Calibri"/>
                <w:color w:val="231F20"/>
                <w:sz w:val="17"/>
                <w:szCs w:val="17"/>
              </w:rPr>
            </w:pPr>
            <w:r w:rsidRPr="00DB1AEE">
              <w:rPr>
                <w:rFonts w:ascii="Calibri" w:hAnsi="Calibri" w:cs="Calibri"/>
                <w:color w:val="231F20"/>
                <w:sz w:val="17"/>
                <w:szCs w:val="17"/>
              </w:rPr>
              <w:t>2</w:t>
            </w:r>
          </w:p>
        </w:tc>
        <w:tc>
          <w:tcPr>
            <w:tcW w:w="943" w:type="dxa"/>
            <w:tcBorders>
              <w:top w:val="nil"/>
              <w:left w:val="nil"/>
              <w:bottom w:val="single" w:sz="4" w:space="0" w:color="231F20"/>
              <w:right w:val="single" w:sz="4" w:space="0" w:color="231F20"/>
            </w:tcBorders>
            <w:noWrap/>
            <w:hideMark/>
          </w:tcPr>
          <w:p w14:paraId="74A2ABAC" w14:textId="77777777" w:rsidR="00DB1AEE" w:rsidRPr="00DB1AEE" w:rsidRDefault="00DB1AEE" w:rsidP="00DB1AEE">
            <w:pPr>
              <w:jc w:val="center"/>
              <w:rPr>
                <w:rFonts w:ascii="Calibri" w:hAnsi="Calibri" w:cs="Calibri"/>
                <w:color w:val="231F20"/>
                <w:sz w:val="17"/>
                <w:szCs w:val="17"/>
              </w:rPr>
            </w:pPr>
            <w:r w:rsidRPr="00DB1AEE">
              <w:rPr>
                <w:rFonts w:ascii="Calibri" w:hAnsi="Calibri" w:cs="Calibri"/>
                <w:color w:val="231F20"/>
                <w:sz w:val="17"/>
                <w:szCs w:val="17"/>
              </w:rPr>
              <w:t>1</w:t>
            </w:r>
          </w:p>
        </w:tc>
        <w:tc>
          <w:tcPr>
            <w:tcW w:w="943" w:type="dxa"/>
            <w:tcBorders>
              <w:top w:val="nil"/>
              <w:left w:val="nil"/>
              <w:bottom w:val="single" w:sz="4" w:space="0" w:color="231F20"/>
              <w:right w:val="single" w:sz="4" w:space="0" w:color="231F20"/>
            </w:tcBorders>
            <w:noWrap/>
            <w:hideMark/>
          </w:tcPr>
          <w:p w14:paraId="1FA0E9F6" w14:textId="77777777" w:rsidR="00DB1AEE" w:rsidRPr="00DB1AEE" w:rsidRDefault="00DB1AEE" w:rsidP="00DB1AEE">
            <w:pPr>
              <w:jc w:val="center"/>
              <w:rPr>
                <w:rFonts w:ascii="Calibri" w:hAnsi="Calibri" w:cs="Calibri"/>
                <w:color w:val="231F20"/>
                <w:sz w:val="17"/>
                <w:szCs w:val="17"/>
              </w:rPr>
            </w:pPr>
            <w:r w:rsidRPr="00DB1AEE">
              <w:rPr>
                <w:rFonts w:ascii="Calibri" w:hAnsi="Calibri" w:cs="Calibri"/>
                <w:color w:val="231F20"/>
                <w:sz w:val="17"/>
                <w:szCs w:val="17"/>
              </w:rPr>
              <w:t>1</w:t>
            </w:r>
          </w:p>
        </w:tc>
      </w:tr>
      <w:tr w:rsidR="00DB1AEE" w:rsidRPr="00DB1AEE" w14:paraId="415057FB" w14:textId="77777777" w:rsidTr="00FC1832">
        <w:trPr>
          <w:trHeight w:val="297"/>
        </w:trPr>
        <w:tc>
          <w:tcPr>
            <w:tcW w:w="1705" w:type="dxa"/>
            <w:tcBorders>
              <w:top w:val="nil"/>
              <w:left w:val="single" w:sz="4" w:space="0" w:color="231F20"/>
              <w:bottom w:val="single" w:sz="4" w:space="0" w:color="231F20"/>
              <w:right w:val="single" w:sz="4" w:space="0" w:color="231F20"/>
            </w:tcBorders>
            <w:hideMark/>
          </w:tcPr>
          <w:p w14:paraId="50B967D4" w14:textId="77777777" w:rsidR="00DB1AEE" w:rsidRPr="00DB1AEE" w:rsidRDefault="00DB1AEE" w:rsidP="00DB1AEE">
            <w:pPr>
              <w:jc w:val="left"/>
              <w:rPr>
                <w:color w:val="000000"/>
                <w:sz w:val="20"/>
              </w:rPr>
            </w:pPr>
            <w:r w:rsidRPr="00DB1AEE">
              <w:rPr>
                <w:rFonts w:ascii="Calibri" w:hAnsi="Calibri" w:cs="Calibri"/>
                <w:color w:val="231F20"/>
                <w:sz w:val="17"/>
                <w:szCs w:val="17"/>
              </w:rPr>
              <w:t>R408.2.2(10)</w:t>
            </w:r>
            <w:r w:rsidRPr="00DB1AEE">
              <w:rPr>
                <w:rFonts w:ascii="Calibri" w:hAnsi="Calibri" w:cs="Calibri"/>
                <w:color w:val="231F20"/>
                <w:sz w:val="10"/>
                <w:szCs w:val="10"/>
                <w:vertAlign w:val="superscript"/>
              </w:rPr>
              <w:t>b</w:t>
            </w:r>
          </w:p>
        </w:tc>
        <w:tc>
          <w:tcPr>
            <w:tcW w:w="5115" w:type="dxa"/>
            <w:tcBorders>
              <w:top w:val="single" w:sz="4" w:space="0" w:color="231F20"/>
              <w:left w:val="nil"/>
              <w:bottom w:val="single" w:sz="4" w:space="0" w:color="231F20"/>
              <w:right w:val="single" w:sz="4" w:space="0" w:color="231F20"/>
            </w:tcBorders>
            <w:hideMark/>
          </w:tcPr>
          <w:p w14:paraId="73D113BE" w14:textId="77777777" w:rsidR="00DB1AEE" w:rsidRPr="00DB1AEE" w:rsidRDefault="00DB1AEE" w:rsidP="00DB1AEE">
            <w:pPr>
              <w:jc w:val="left"/>
              <w:rPr>
                <w:rFonts w:ascii="Calibri" w:hAnsi="Calibri" w:cs="Calibri"/>
                <w:sz w:val="17"/>
                <w:szCs w:val="17"/>
              </w:rPr>
            </w:pPr>
            <w:r w:rsidRPr="00DB1AEE">
              <w:rPr>
                <w:rFonts w:ascii="Calibri" w:hAnsi="Calibri" w:cs="Calibri"/>
                <w:color w:val="231F20"/>
                <w:sz w:val="17"/>
                <w:szCs w:val="17"/>
              </w:rPr>
              <w:t>High Performance Heat pump with electric resistance backup (Option 1)</w:t>
            </w:r>
          </w:p>
        </w:tc>
        <w:tc>
          <w:tcPr>
            <w:tcW w:w="1142" w:type="dxa"/>
            <w:tcBorders>
              <w:top w:val="nil"/>
              <w:left w:val="nil"/>
              <w:bottom w:val="single" w:sz="4" w:space="0" w:color="231F20"/>
              <w:right w:val="single" w:sz="4" w:space="0" w:color="231F20"/>
            </w:tcBorders>
            <w:noWrap/>
            <w:hideMark/>
          </w:tcPr>
          <w:p w14:paraId="36EF5729" w14:textId="77777777" w:rsidR="00DB1AEE" w:rsidRPr="00DB1AEE" w:rsidRDefault="00DB1AEE" w:rsidP="00DB1AEE">
            <w:pPr>
              <w:jc w:val="center"/>
              <w:rPr>
                <w:rFonts w:ascii="Calibri" w:hAnsi="Calibri" w:cs="Calibri"/>
                <w:color w:val="231F20"/>
                <w:sz w:val="17"/>
                <w:szCs w:val="17"/>
              </w:rPr>
            </w:pPr>
            <w:r w:rsidRPr="00DB1AEE">
              <w:rPr>
                <w:rFonts w:ascii="Calibri" w:hAnsi="Calibri" w:cs="Calibri"/>
                <w:color w:val="231F20"/>
                <w:sz w:val="17"/>
                <w:szCs w:val="17"/>
              </w:rPr>
              <w:t>12</w:t>
            </w:r>
          </w:p>
        </w:tc>
        <w:tc>
          <w:tcPr>
            <w:tcW w:w="943" w:type="dxa"/>
            <w:tcBorders>
              <w:top w:val="nil"/>
              <w:left w:val="nil"/>
              <w:bottom w:val="single" w:sz="4" w:space="0" w:color="231F20"/>
              <w:right w:val="single" w:sz="4" w:space="0" w:color="231F20"/>
            </w:tcBorders>
            <w:hideMark/>
          </w:tcPr>
          <w:p w14:paraId="16EF928B" w14:textId="77777777" w:rsidR="00DB1AEE" w:rsidRPr="00DB1AEE" w:rsidRDefault="00DB1AEE" w:rsidP="00DB1AEE">
            <w:pPr>
              <w:jc w:val="center"/>
              <w:rPr>
                <w:rFonts w:ascii="Calibri" w:hAnsi="Calibri" w:cs="Calibri"/>
                <w:sz w:val="17"/>
                <w:szCs w:val="17"/>
              </w:rPr>
            </w:pPr>
            <w:r w:rsidRPr="00DB1AEE">
              <w:rPr>
                <w:rFonts w:ascii="Calibri" w:hAnsi="Calibri" w:cs="Calibri"/>
                <w:color w:val="231F20"/>
                <w:sz w:val="17"/>
                <w:szCs w:val="17"/>
              </w:rPr>
              <w:t>NA</w:t>
            </w:r>
          </w:p>
        </w:tc>
        <w:tc>
          <w:tcPr>
            <w:tcW w:w="943" w:type="dxa"/>
            <w:tcBorders>
              <w:top w:val="nil"/>
              <w:left w:val="nil"/>
              <w:bottom w:val="single" w:sz="4" w:space="0" w:color="231F20"/>
              <w:right w:val="single" w:sz="4" w:space="0" w:color="231F20"/>
            </w:tcBorders>
            <w:hideMark/>
          </w:tcPr>
          <w:p w14:paraId="7FD59F61" w14:textId="77777777" w:rsidR="00DB1AEE" w:rsidRPr="00DB1AEE" w:rsidRDefault="00DB1AEE" w:rsidP="00DB1AEE">
            <w:pPr>
              <w:jc w:val="center"/>
              <w:rPr>
                <w:rFonts w:ascii="Calibri" w:hAnsi="Calibri" w:cs="Calibri"/>
                <w:sz w:val="17"/>
                <w:szCs w:val="17"/>
              </w:rPr>
            </w:pPr>
            <w:r w:rsidRPr="00DB1AEE">
              <w:rPr>
                <w:rFonts w:ascii="Calibri" w:hAnsi="Calibri" w:cs="Calibri"/>
                <w:color w:val="231F20"/>
                <w:sz w:val="17"/>
                <w:szCs w:val="17"/>
              </w:rPr>
              <w:t>NA</w:t>
            </w:r>
          </w:p>
        </w:tc>
      </w:tr>
      <w:tr w:rsidR="00DB1AEE" w:rsidRPr="00DB1AEE" w14:paraId="4EA393DD" w14:textId="77777777" w:rsidTr="00FC1832">
        <w:trPr>
          <w:trHeight w:val="297"/>
        </w:trPr>
        <w:tc>
          <w:tcPr>
            <w:tcW w:w="1705" w:type="dxa"/>
            <w:tcBorders>
              <w:top w:val="nil"/>
              <w:left w:val="single" w:sz="4" w:space="0" w:color="231F20"/>
              <w:bottom w:val="single" w:sz="4" w:space="0" w:color="231F20"/>
              <w:right w:val="single" w:sz="4" w:space="0" w:color="231F20"/>
            </w:tcBorders>
            <w:hideMark/>
          </w:tcPr>
          <w:p w14:paraId="424C08E2" w14:textId="77777777" w:rsidR="00DB1AEE" w:rsidRPr="00DB1AEE" w:rsidRDefault="00DB1AEE" w:rsidP="00DB1AEE">
            <w:pPr>
              <w:jc w:val="left"/>
              <w:rPr>
                <w:color w:val="000000"/>
                <w:sz w:val="20"/>
              </w:rPr>
            </w:pPr>
            <w:r w:rsidRPr="00DB1AEE">
              <w:rPr>
                <w:rFonts w:ascii="Calibri" w:hAnsi="Calibri" w:cs="Calibri"/>
                <w:color w:val="231F20"/>
                <w:sz w:val="17"/>
                <w:szCs w:val="17"/>
              </w:rPr>
              <w:t>R408.2.2(14)</w:t>
            </w:r>
            <w:r w:rsidRPr="00DB1AEE">
              <w:rPr>
                <w:rFonts w:ascii="Calibri" w:hAnsi="Calibri" w:cs="Calibri"/>
                <w:color w:val="231F20"/>
                <w:sz w:val="10"/>
                <w:szCs w:val="10"/>
                <w:vertAlign w:val="superscript"/>
              </w:rPr>
              <w:t>b</w:t>
            </w:r>
          </w:p>
        </w:tc>
        <w:tc>
          <w:tcPr>
            <w:tcW w:w="5115" w:type="dxa"/>
            <w:tcBorders>
              <w:top w:val="single" w:sz="4" w:space="0" w:color="231F20"/>
              <w:left w:val="nil"/>
              <w:bottom w:val="single" w:sz="4" w:space="0" w:color="231F20"/>
              <w:right w:val="single" w:sz="4" w:space="0" w:color="231F20"/>
            </w:tcBorders>
            <w:hideMark/>
          </w:tcPr>
          <w:p w14:paraId="79FD91A0" w14:textId="77777777" w:rsidR="00DB1AEE" w:rsidRPr="00DB1AEE" w:rsidRDefault="00DB1AEE" w:rsidP="00DB1AEE">
            <w:pPr>
              <w:jc w:val="left"/>
              <w:rPr>
                <w:rFonts w:ascii="Calibri" w:hAnsi="Calibri" w:cs="Calibri"/>
                <w:sz w:val="17"/>
                <w:szCs w:val="17"/>
              </w:rPr>
            </w:pPr>
            <w:r w:rsidRPr="00DB1AEE">
              <w:rPr>
                <w:rFonts w:ascii="Calibri" w:hAnsi="Calibri" w:cs="Calibri"/>
                <w:color w:val="231F20"/>
                <w:sz w:val="17"/>
                <w:szCs w:val="17"/>
              </w:rPr>
              <w:t>High Performance Heat pump with electric resistance backup (Option 2)</w:t>
            </w:r>
          </w:p>
        </w:tc>
        <w:tc>
          <w:tcPr>
            <w:tcW w:w="1142" w:type="dxa"/>
            <w:tcBorders>
              <w:top w:val="nil"/>
              <w:left w:val="nil"/>
              <w:bottom w:val="single" w:sz="4" w:space="0" w:color="231F20"/>
              <w:right w:val="single" w:sz="4" w:space="0" w:color="231F20"/>
            </w:tcBorders>
            <w:noWrap/>
            <w:hideMark/>
          </w:tcPr>
          <w:p w14:paraId="0FC8AAED" w14:textId="77777777" w:rsidR="00DB1AEE" w:rsidRPr="00DB1AEE" w:rsidRDefault="00DB1AEE" w:rsidP="00DB1AEE">
            <w:pPr>
              <w:jc w:val="center"/>
              <w:rPr>
                <w:rFonts w:ascii="Calibri" w:hAnsi="Calibri" w:cs="Calibri"/>
                <w:color w:val="231F20"/>
                <w:sz w:val="17"/>
                <w:szCs w:val="17"/>
              </w:rPr>
            </w:pPr>
            <w:r w:rsidRPr="00DB1AEE">
              <w:rPr>
                <w:rFonts w:ascii="Calibri" w:hAnsi="Calibri" w:cs="Calibri"/>
                <w:color w:val="231F20"/>
                <w:sz w:val="17"/>
                <w:szCs w:val="17"/>
              </w:rPr>
              <w:t>12</w:t>
            </w:r>
          </w:p>
        </w:tc>
        <w:tc>
          <w:tcPr>
            <w:tcW w:w="943" w:type="dxa"/>
            <w:tcBorders>
              <w:top w:val="nil"/>
              <w:left w:val="nil"/>
              <w:bottom w:val="single" w:sz="4" w:space="0" w:color="231F20"/>
              <w:right w:val="single" w:sz="4" w:space="0" w:color="231F20"/>
            </w:tcBorders>
            <w:noWrap/>
            <w:hideMark/>
          </w:tcPr>
          <w:p w14:paraId="20520D0F" w14:textId="77777777" w:rsidR="00DB1AEE" w:rsidRPr="00DB1AEE" w:rsidRDefault="00DB1AEE" w:rsidP="00DB1AEE">
            <w:pPr>
              <w:jc w:val="center"/>
              <w:rPr>
                <w:rFonts w:ascii="Calibri" w:hAnsi="Calibri" w:cs="Calibri"/>
                <w:color w:val="231F20"/>
                <w:sz w:val="17"/>
                <w:szCs w:val="17"/>
              </w:rPr>
            </w:pPr>
            <w:r w:rsidRPr="00DB1AEE">
              <w:rPr>
                <w:rFonts w:ascii="Calibri" w:hAnsi="Calibri" w:cs="Calibri"/>
                <w:color w:val="231F20"/>
                <w:sz w:val="17"/>
                <w:szCs w:val="17"/>
              </w:rPr>
              <w:t>12</w:t>
            </w:r>
          </w:p>
        </w:tc>
        <w:tc>
          <w:tcPr>
            <w:tcW w:w="943" w:type="dxa"/>
            <w:tcBorders>
              <w:top w:val="nil"/>
              <w:left w:val="nil"/>
              <w:bottom w:val="single" w:sz="4" w:space="0" w:color="231F20"/>
              <w:right w:val="single" w:sz="4" w:space="0" w:color="231F20"/>
            </w:tcBorders>
            <w:noWrap/>
            <w:hideMark/>
          </w:tcPr>
          <w:p w14:paraId="06CBAC74" w14:textId="77777777" w:rsidR="00DB1AEE" w:rsidRPr="00DB1AEE" w:rsidRDefault="00DB1AEE" w:rsidP="00DB1AEE">
            <w:pPr>
              <w:jc w:val="center"/>
              <w:rPr>
                <w:rFonts w:ascii="Calibri" w:hAnsi="Calibri" w:cs="Calibri"/>
                <w:color w:val="231F20"/>
                <w:sz w:val="17"/>
                <w:szCs w:val="17"/>
              </w:rPr>
            </w:pPr>
            <w:r w:rsidRPr="00DB1AEE">
              <w:rPr>
                <w:rFonts w:ascii="Calibri" w:hAnsi="Calibri" w:cs="Calibri"/>
                <w:color w:val="231F20"/>
                <w:sz w:val="17"/>
                <w:szCs w:val="17"/>
              </w:rPr>
              <w:t>13</w:t>
            </w:r>
          </w:p>
        </w:tc>
      </w:tr>
      <w:tr w:rsidR="00DB1AEE" w:rsidRPr="00DB1AEE" w14:paraId="2D36BF46" w14:textId="77777777" w:rsidTr="00FC1832">
        <w:trPr>
          <w:trHeight w:val="279"/>
        </w:trPr>
        <w:tc>
          <w:tcPr>
            <w:tcW w:w="1705" w:type="dxa"/>
            <w:tcBorders>
              <w:top w:val="nil"/>
              <w:left w:val="single" w:sz="4" w:space="0" w:color="231F20"/>
              <w:bottom w:val="single" w:sz="4" w:space="0" w:color="231F20"/>
              <w:right w:val="single" w:sz="4" w:space="0" w:color="231F20"/>
            </w:tcBorders>
            <w:hideMark/>
          </w:tcPr>
          <w:p w14:paraId="746C6830" w14:textId="77777777" w:rsidR="00DB1AEE" w:rsidRPr="00DB1AEE" w:rsidRDefault="00DB1AEE" w:rsidP="00DB1AEE">
            <w:pPr>
              <w:jc w:val="left"/>
              <w:rPr>
                <w:color w:val="000000"/>
                <w:sz w:val="20"/>
              </w:rPr>
            </w:pPr>
            <w:r w:rsidRPr="00DB1AEE">
              <w:rPr>
                <w:rFonts w:ascii="Calibri" w:hAnsi="Calibri" w:cs="Calibri"/>
                <w:color w:val="231F20"/>
                <w:sz w:val="17"/>
                <w:szCs w:val="17"/>
              </w:rPr>
              <w:t>R408.2.3(3)</w:t>
            </w:r>
            <w:r w:rsidRPr="00DB1AEE">
              <w:rPr>
                <w:rFonts w:ascii="Calibri" w:hAnsi="Calibri" w:cs="Calibri"/>
                <w:color w:val="231F20"/>
                <w:sz w:val="10"/>
                <w:szCs w:val="10"/>
                <w:vertAlign w:val="superscript"/>
              </w:rPr>
              <w:t>d</w:t>
            </w:r>
          </w:p>
        </w:tc>
        <w:tc>
          <w:tcPr>
            <w:tcW w:w="5115" w:type="dxa"/>
            <w:tcBorders>
              <w:top w:val="single" w:sz="4" w:space="0" w:color="231F20"/>
              <w:left w:val="nil"/>
              <w:bottom w:val="single" w:sz="4" w:space="0" w:color="231F20"/>
              <w:right w:val="single" w:sz="4" w:space="0" w:color="231F20"/>
            </w:tcBorders>
            <w:hideMark/>
          </w:tcPr>
          <w:p w14:paraId="7DE5F0A5" w14:textId="77777777" w:rsidR="00DB1AEE" w:rsidRPr="00DB1AEE" w:rsidRDefault="00DB1AEE" w:rsidP="00DB1AEE">
            <w:pPr>
              <w:jc w:val="left"/>
              <w:rPr>
                <w:rFonts w:ascii="Calibri" w:hAnsi="Calibri" w:cs="Calibri"/>
                <w:sz w:val="17"/>
                <w:szCs w:val="17"/>
              </w:rPr>
            </w:pPr>
            <w:r w:rsidRPr="00DB1AEE">
              <w:rPr>
                <w:rFonts w:ascii="Calibri" w:hAnsi="Calibri" w:cs="Calibri"/>
                <w:color w:val="231F20"/>
                <w:sz w:val="17"/>
                <w:szCs w:val="17"/>
              </w:rPr>
              <w:t>Electric water heaters (Option 1)</w:t>
            </w:r>
          </w:p>
        </w:tc>
        <w:tc>
          <w:tcPr>
            <w:tcW w:w="1142" w:type="dxa"/>
            <w:tcBorders>
              <w:top w:val="nil"/>
              <w:left w:val="nil"/>
              <w:bottom w:val="single" w:sz="4" w:space="0" w:color="231F20"/>
              <w:right w:val="single" w:sz="4" w:space="0" w:color="231F20"/>
            </w:tcBorders>
            <w:noWrap/>
            <w:hideMark/>
          </w:tcPr>
          <w:p w14:paraId="794DE9D7" w14:textId="77777777" w:rsidR="00DB1AEE" w:rsidRPr="00DB1AEE" w:rsidRDefault="00DB1AEE" w:rsidP="00DB1AEE">
            <w:pPr>
              <w:jc w:val="center"/>
              <w:rPr>
                <w:rFonts w:ascii="Calibri" w:hAnsi="Calibri" w:cs="Calibri"/>
                <w:color w:val="231F20"/>
                <w:sz w:val="17"/>
                <w:szCs w:val="17"/>
              </w:rPr>
            </w:pPr>
            <w:r w:rsidRPr="00DB1AEE">
              <w:rPr>
                <w:rFonts w:ascii="Calibri" w:hAnsi="Calibri" w:cs="Calibri"/>
                <w:color w:val="231F20"/>
                <w:sz w:val="17"/>
                <w:szCs w:val="17"/>
              </w:rPr>
              <w:t>7</w:t>
            </w:r>
          </w:p>
        </w:tc>
        <w:tc>
          <w:tcPr>
            <w:tcW w:w="943" w:type="dxa"/>
            <w:tcBorders>
              <w:top w:val="nil"/>
              <w:left w:val="nil"/>
              <w:bottom w:val="single" w:sz="4" w:space="0" w:color="231F20"/>
              <w:right w:val="single" w:sz="4" w:space="0" w:color="231F20"/>
            </w:tcBorders>
            <w:noWrap/>
            <w:hideMark/>
          </w:tcPr>
          <w:p w14:paraId="3D10DFB5" w14:textId="77777777" w:rsidR="00DB1AEE" w:rsidRPr="00DB1AEE" w:rsidRDefault="00DB1AEE" w:rsidP="00DB1AEE">
            <w:pPr>
              <w:jc w:val="center"/>
              <w:rPr>
                <w:rFonts w:ascii="Calibri" w:hAnsi="Calibri" w:cs="Calibri"/>
                <w:color w:val="231F20"/>
                <w:sz w:val="17"/>
                <w:szCs w:val="17"/>
              </w:rPr>
            </w:pPr>
            <w:r w:rsidRPr="00DB1AEE">
              <w:rPr>
                <w:rFonts w:ascii="Calibri" w:hAnsi="Calibri" w:cs="Calibri"/>
                <w:color w:val="231F20"/>
                <w:sz w:val="17"/>
                <w:szCs w:val="17"/>
              </w:rPr>
              <w:t>4</w:t>
            </w:r>
          </w:p>
        </w:tc>
        <w:tc>
          <w:tcPr>
            <w:tcW w:w="943" w:type="dxa"/>
            <w:tcBorders>
              <w:top w:val="nil"/>
              <w:left w:val="nil"/>
              <w:bottom w:val="single" w:sz="4" w:space="0" w:color="231F20"/>
              <w:right w:val="single" w:sz="4" w:space="0" w:color="231F20"/>
            </w:tcBorders>
            <w:noWrap/>
            <w:hideMark/>
          </w:tcPr>
          <w:p w14:paraId="4B62ED4F" w14:textId="77777777" w:rsidR="00DB1AEE" w:rsidRPr="00DB1AEE" w:rsidRDefault="00DB1AEE" w:rsidP="00DB1AEE">
            <w:pPr>
              <w:jc w:val="center"/>
              <w:rPr>
                <w:rFonts w:ascii="Calibri" w:hAnsi="Calibri" w:cs="Calibri"/>
                <w:color w:val="231F20"/>
                <w:sz w:val="17"/>
                <w:szCs w:val="17"/>
              </w:rPr>
            </w:pPr>
            <w:r w:rsidRPr="00DB1AEE">
              <w:rPr>
                <w:rFonts w:ascii="Calibri" w:hAnsi="Calibri" w:cs="Calibri"/>
                <w:color w:val="231F20"/>
                <w:sz w:val="17"/>
                <w:szCs w:val="17"/>
              </w:rPr>
              <w:t>3</w:t>
            </w:r>
          </w:p>
        </w:tc>
      </w:tr>
      <w:tr w:rsidR="00DB1AEE" w:rsidRPr="00DB1AEE" w14:paraId="688401A2" w14:textId="77777777" w:rsidTr="00FC1832">
        <w:trPr>
          <w:trHeight w:val="297"/>
        </w:trPr>
        <w:tc>
          <w:tcPr>
            <w:tcW w:w="1705" w:type="dxa"/>
            <w:tcBorders>
              <w:top w:val="nil"/>
              <w:left w:val="single" w:sz="4" w:space="0" w:color="231F20"/>
              <w:bottom w:val="single" w:sz="4" w:space="0" w:color="231F20"/>
              <w:right w:val="single" w:sz="4" w:space="0" w:color="231F20"/>
            </w:tcBorders>
            <w:hideMark/>
          </w:tcPr>
          <w:p w14:paraId="2854B686" w14:textId="77777777" w:rsidR="00DB1AEE" w:rsidRPr="00DB1AEE" w:rsidRDefault="00DB1AEE" w:rsidP="00DB1AEE">
            <w:pPr>
              <w:jc w:val="left"/>
              <w:rPr>
                <w:color w:val="000000"/>
                <w:sz w:val="20"/>
              </w:rPr>
            </w:pPr>
            <w:r w:rsidRPr="00DB1AEE">
              <w:rPr>
                <w:rFonts w:ascii="Calibri" w:hAnsi="Calibri" w:cs="Calibri"/>
                <w:color w:val="231F20"/>
                <w:sz w:val="17"/>
                <w:szCs w:val="17"/>
              </w:rPr>
              <w:t>R408.2.3(4)</w:t>
            </w:r>
            <w:r w:rsidRPr="00DB1AEE">
              <w:rPr>
                <w:rFonts w:ascii="Calibri" w:hAnsi="Calibri" w:cs="Calibri"/>
                <w:color w:val="231F20"/>
                <w:sz w:val="10"/>
                <w:szCs w:val="10"/>
                <w:vertAlign w:val="superscript"/>
              </w:rPr>
              <w:t>d</w:t>
            </w:r>
          </w:p>
        </w:tc>
        <w:tc>
          <w:tcPr>
            <w:tcW w:w="5115" w:type="dxa"/>
            <w:tcBorders>
              <w:top w:val="single" w:sz="4" w:space="0" w:color="231F20"/>
              <w:left w:val="nil"/>
              <w:bottom w:val="single" w:sz="4" w:space="0" w:color="231F20"/>
              <w:right w:val="single" w:sz="4" w:space="0" w:color="231F20"/>
            </w:tcBorders>
            <w:hideMark/>
          </w:tcPr>
          <w:p w14:paraId="54EB0134" w14:textId="77777777" w:rsidR="00DB1AEE" w:rsidRPr="00DB1AEE" w:rsidRDefault="00DB1AEE" w:rsidP="00DB1AEE">
            <w:pPr>
              <w:jc w:val="left"/>
              <w:rPr>
                <w:rFonts w:ascii="Calibri" w:hAnsi="Calibri" w:cs="Calibri"/>
                <w:sz w:val="17"/>
                <w:szCs w:val="17"/>
              </w:rPr>
            </w:pPr>
            <w:r w:rsidRPr="00DB1AEE">
              <w:rPr>
                <w:rFonts w:ascii="Calibri" w:hAnsi="Calibri" w:cs="Calibri"/>
                <w:color w:val="231F20"/>
                <w:sz w:val="17"/>
                <w:szCs w:val="17"/>
              </w:rPr>
              <w:t>Electric water heaters (Option 2)</w:t>
            </w:r>
          </w:p>
        </w:tc>
        <w:tc>
          <w:tcPr>
            <w:tcW w:w="1142" w:type="dxa"/>
            <w:tcBorders>
              <w:top w:val="nil"/>
              <w:left w:val="nil"/>
              <w:bottom w:val="single" w:sz="4" w:space="0" w:color="231F20"/>
              <w:right w:val="single" w:sz="4" w:space="0" w:color="231F20"/>
            </w:tcBorders>
            <w:noWrap/>
            <w:hideMark/>
          </w:tcPr>
          <w:p w14:paraId="569A0F84" w14:textId="77777777" w:rsidR="00DB1AEE" w:rsidRPr="00DB1AEE" w:rsidRDefault="00DB1AEE" w:rsidP="00DB1AEE">
            <w:pPr>
              <w:jc w:val="center"/>
              <w:rPr>
                <w:rFonts w:ascii="Calibri" w:hAnsi="Calibri" w:cs="Calibri"/>
                <w:color w:val="231F20"/>
                <w:sz w:val="17"/>
                <w:szCs w:val="17"/>
              </w:rPr>
            </w:pPr>
            <w:r w:rsidRPr="00DB1AEE">
              <w:rPr>
                <w:rFonts w:ascii="Calibri" w:hAnsi="Calibri" w:cs="Calibri"/>
                <w:color w:val="231F20"/>
                <w:sz w:val="17"/>
                <w:szCs w:val="17"/>
              </w:rPr>
              <w:t>6</w:t>
            </w:r>
          </w:p>
        </w:tc>
        <w:tc>
          <w:tcPr>
            <w:tcW w:w="943" w:type="dxa"/>
            <w:tcBorders>
              <w:top w:val="nil"/>
              <w:left w:val="nil"/>
              <w:bottom w:val="single" w:sz="4" w:space="0" w:color="231F20"/>
              <w:right w:val="single" w:sz="4" w:space="0" w:color="231F20"/>
            </w:tcBorders>
            <w:noWrap/>
            <w:hideMark/>
          </w:tcPr>
          <w:p w14:paraId="6F521CCF" w14:textId="77777777" w:rsidR="00DB1AEE" w:rsidRPr="00DB1AEE" w:rsidRDefault="00DB1AEE" w:rsidP="00DB1AEE">
            <w:pPr>
              <w:jc w:val="center"/>
              <w:rPr>
                <w:rFonts w:ascii="Calibri" w:hAnsi="Calibri" w:cs="Calibri"/>
                <w:color w:val="231F20"/>
                <w:sz w:val="17"/>
                <w:szCs w:val="17"/>
              </w:rPr>
            </w:pPr>
            <w:r w:rsidRPr="00DB1AEE">
              <w:rPr>
                <w:rFonts w:ascii="Calibri" w:hAnsi="Calibri" w:cs="Calibri"/>
                <w:color w:val="231F20"/>
                <w:sz w:val="17"/>
                <w:szCs w:val="17"/>
              </w:rPr>
              <w:t>4</w:t>
            </w:r>
          </w:p>
        </w:tc>
        <w:tc>
          <w:tcPr>
            <w:tcW w:w="943" w:type="dxa"/>
            <w:tcBorders>
              <w:top w:val="nil"/>
              <w:left w:val="nil"/>
              <w:bottom w:val="single" w:sz="4" w:space="0" w:color="231F20"/>
              <w:right w:val="single" w:sz="4" w:space="0" w:color="231F20"/>
            </w:tcBorders>
            <w:noWrap/>
            <w:hideMark/>
          </w:tcPr>
          <w:p w14:paraId="3C281395" w14:textId="77777777" w:rsidR="00DB1AEE" w:rsidRPr="00DB1AEE" w:rsidRDefault="00DB1AEE" w:rsidP="00DB1AEE">
            <w:pPr>
              <w:jc w:val="center"/>
              <w:rPr>
                <w:rFonts w:ascii="Calibri" w:hAnsi="Calibri" w:cs="Calibri"/>
                <w:color w:val="231F20"/>
                <w:sz w:val="17"/>
                <w:szCs w:val="17"/>
              </w:rPr>
            </w:pPr>
            <w:r w:rsidRPr="00DB1AEE">
              <w:rPr>
                <w:rFonts w:ascii="Calibri" w:hAnsi="Calibri" w:cs="Calibri"/>
                <w:color w:val="231F20"/>
                <w:sz w:val="17"/>
                <w:szCs w:val="17"/>
              </w:rPr>
              <w:t>3</w:t>
            </w:r>
          </w:p>
        </w:tc>
      </w:tr>
      <w:tr w:rsidR="00DB1AEE" w:rsidRPr="00DB1AEE" w14:paraId="2BB0EC9E" w14:textId="77777777" w:rsidTr="00FC1832">
        <w:trPr>
          <w:trHeight w:val="279"/>
        </w:trPr>
        <w:tc>
          <w:tcPr>
            <w:tcW w:w="1705" w:type="dxa"/>
            <w:tcBorders>
              <w:top w:val="nil"/>
              <w:left w:val="single" w:sz="4" w:space="0" w:color="231F20"/>
              <w:bottom w:val="single" w:sz="4" w:space="0" w:color="231F20"/>
              <w:right w:val="single" w:sz="4" w:space="0" w:color="231F20"/>
            </w:tcBorders>
            <w:hideMark/>
          </w:tcPr>
          <w:p w14:paraId="2B3FA122" w14:textId="77777777" w:rsidR="00DB1AEE" w:rsidRPr="00DB1AEE" w:rsidRDefault="00DB1AEE" w:rsidP="00DB1AEE">
            <w:pPr>
              <w:jc w:val="left"/>
              <w:rPr>
                <w:color w:val="000000"/>
                <w:sz w:val="20"/>
              </w:rPr>
            </w:pPr>
            <w:r w:rsidRPr="00DB1AEE">
              <w:rPr>
                <w:rFonts w:ascii="Calibri" w:hAnsi="Calibri" w:cs="Calibri"/>
                <w:color w:val="231F20"/>
                <w:sz w:val="17"/>
                <w:szCs w:val="17"/>
              </w:rPr>
              <w:t>R408.2.3(5)(a)</w:t>
            </w:r>
            <w:r w:rsidRPr="00DB1AEE">
              <w:rPr>
                <w:rFonts w:ascii="Calibri" w:hAnsi="Calibri" w:cs="Calibri"/>
                <w:color w:val="231F20"/>
                <w:sz w:val="10"/>
                <w:szCs w:val="10"/>
                <w:vertAlign w:val="superscript"/>
              </w:rPr>
              <w:t>d</w:t>
            </w:r>
          </w:p>
        </w:tc>
        <w:tc>
          <w:tcPr>
            <w:tcW w:w="5115" w:type="dxa"/>
            <w:tcBorders>
              <w:top w:val="single" w:sz="4" w:space="0" w:color="231F20"/>
              <w:left w:val="nil"/>
              <w:bottom w:val="single" w:sz="4" w:space="0" w:color="231F20"/>
              <w:right w:val="single" w:sz="4" w:space="0" w:color="231F20"/>
            </w:tcBorders>
            <w:hideMark/>
          </w:tcPr>
          <w:p w14:paraId="431563CD" w14:textId="77777777" w:rsidR="00DB1AEE" w:rsidRPr="00DB1AEE" w:rsidRDefault="00DB1AEE" w:rsidP="00DB1AEE">
            <w:pPr>
              <w:jc w:val="left"/>
              <w:rPr>
                <w:rFonts w:ascii="Calibri" w:hAnsi="Calibri" w:cs="Calibri"/>
                <w:sz w:val="17"/>
                <w:szCs w:val="17"/>
              </w:rPr>
            </w:pPr>
            <w:r w:rsidRPr="00DB1AEE">
              <w:rPr>
                <w:rFonts w:ascii="Calibri" w:hAnsi="Calibri" w:cs="Calibri"/>
                <w:color w:val="231F20"/>
                <w:sz w:val="17"/>
                <w:szCs w:val="17"/>
              </w:rPr>
              <w:t>Electric water heaters (Option 3)</w:t>
            </w:r>
          </w:p>
        </w:tc>
        <w:tc>
          <w:tcPr>
            <w:tcW w:w="1142" w:type="dxa"/>
            <w:tcBorders>
              <w:top w:val="nil"/>
              <w:left w:val="nil"/>
              <w:bottom w:val="single" w:sz="4" w:space="0" w:color="231F20"/>
              <w:right w:val="single" w:sz="4" w:space="0" w:color="231F20"/>
            </w:tcBorders>
            <w:noWrap/>
            <w:hideMark/>
          </w:tcPr>
          <w:p w14:paraId="26A29022" w14:textId="77777777" w:rsidR="00DB1AEE" w:rsidRPr="00DB1AEE" w:rsidRDefault="00DB1AEE" w:rsidP="00DB1AEE">
            <w:pPr>
              <w:jc w:val="center"/>
              <w:rPr>
                <w:rFonts w:ascii="Calibri" w:hAnsi="Calibri" w:cs="Calibri"/>
                <w:color w:val="231F20"/>
                <w:sz w:val="17"/>
                <w:szCs w:val="17"/>
              </w:rPr>
            </w:pPr>
            <w:r w:rsidRPr="00DB1AEE">
              <w:rPr>
                <w:rFonts w:ascii="Calibri" w:hAnsi="Calibri" w:cs="Calibri"/>
                <w:color w:val="231F20"/>
                <w:sz w:val="17"/>
                <w:szCs w:val="17"/>
              </w:rPr>
              <w:t>6</w:t>
            </w:r>
          </w:p>
        </w:tc>
        <w:tc>
          <w:tcPr>
            <w:tcW w:w="943" w:type="dxa"/>
            <w:tcBorders>
              <w:top w:val="nil"/>
              <w:left w:val="nil"/>
              <w:bottom w:val="single" w:sz="4" w:space="0" w:color="231F20"/>
              <w:right w:val="single" w:sz="4" w:space="0" w:color="231F20"/>
            </w:tcBorders>
            <w:noWrap/>
            <w:hideMark/>
          </w:tcPr>
          <w:p w14:paraId="458027F7" w14:textId="77777777" w:rsidR="00DB1AEE" w:rsidRPr="00DB1AEE" w:rsidRDefault="00DB1AEE" w:rsidP="00DB1AEE">
            <w:pPr>
              <w:jc w:val="center"/>
              <w:rPr>
                <w:rFonts w:ascii="Calibri" w:hAnsi="Calibri" w:cs="Calibri"/>
                <w:color w:val="231F20"/>
                <w:sz w:val="17"/>
                <w:szCs w:val="17"/>
              </w:rPr>
            </w:pPr>
            <w:r w:rsidRPr="00DB1AEE">
              <w:rPr>
                <w:rFonts w:ascii="Calibri" w:hAnsi="Calibri" w:cs="Calibri"/>
                <w:color w:val="231F20"/>
                <w:sz w:val="17"/>
                <w:szCs w:val="17"/>
              </w:rPr>
              <w:t>5</w:t>
            </w:r>
          </w:p>
        </w:tc>
        <w:tc>
          <w:tcPr>
            <w:tcW w:w="943" w:type="dxa"/>
            <w:tcBorders>
              <w:top w:val="nil"/>
              <w:left w:val="nil"/>
              <w:bottom w:val="single" w:sz="4" w:space="0" w:color="231F20"/>
              <w:right w:val="single" w:sz="4" w:space="0" w:color="231F20"/>
            </w:tcBorders>
            <w:noWrap/>
            <w:hideMark/>
          </w:tcPr>
          <w:p w14:paraId="608A10BC" w14:textId="77777777" w:rsidR="00DB1AEE" w:rsidRPr="00DB1AEE" w:rsidRDefault="00DB1AEE" w:rsidP="00DB1AEE">
            <w:pPr>
              <w:jc w:val="center"/>
              <w:rPr>
                <w:rFonts w:ascii="Calibri" w:hAnsi="Calibri" w:cs="Calibri"/>
                <w:color w:val="231F20"/>
                <w:sz w:val="17"/>
                <w:szCs w:val="17"/>
              </w:rPr>
            </w:pPr>
            <w:r w:rsidRPr="00DB1AEE">
              <w:rPr>
                <w:rFonts w:ascii="Calibri" w:hAnsi="Calibri" w:cs="Calibri"/>
                <w:color w:val="231F20"/>
                <w:sz w:val="17"/>
                <w:szCs w:val="17"/>
              </w:rPr>
              <w:t>4</w:t>
            </w:r>
          </w:p>
        </w:tc>
      </w:tr>
      <w:tr w:rsidR="00DB1AEE" w:rsidRPr="00DB1AEE" w14:paraId="7E948FFF" w14:textId="77777777" w:rsidTr="00FC1832">
        <w:trPr>
          <w:trHeight w:val="297"/>
        </w:trPr>
        <w:tc>
          <w:tcPr>
            <w:tcW w:w="1705" w:type="dxa"/>
            <w:tcBorders>
              <w:top w:val="nil"/>
              <w:left w:val="single" w:sz="4" w:space="0" w:color="231F20"/>
              <w:bottom w:val="single" w:sz="4" w:space="0" w:color="231F20"/>
              <w:right w:val="single" w:sz="4" w:space="0" w:color="231F20"/>
            </w:tcBorders>
            <w:hideMark/>
          </w:tcPr>
          <w:p w14:paraId="3D722797" w14:textId="77777777" w:rsidR="00DB1AEE" w:rsidRPr="00DB1AEE" w:rsidRDefault="00DB1AEE" w:rsidP="00DB1AEE">
            <w:pPr>
              <w:jc w:val="left"/>
              <w:rPr>
                <w:color w:val="000000"/>
                <w:sz w:val="20"/>
              </w:rPr>
            </w:pPr>
            <w:r w:rsidRPr="00DB1AEE">
              <w:rPr>
                <w:rFonts w:ascii="Calibri" w:hAnsi="Calibri" w:cs="Calibri"/>
                <w:color w:val="231F20"/>
                <w:sz w:val="17"/>
                <w:szCs w:val="17"/>
              </w:rPr>
              <w:t>R408.2.3(5)(b)</w:t>
            </w:r>
            <w:r w:rsidRPr="00DB1AEE">
              <w:rPr>
                <w:rFonts w:ascii="Calibri" w:hAnsi="Calibri" w:cs="Calibri"/>
                <w:color w:val="231F20"/>
                <w:sz w:val="10"/>
                <w:szCs w:val="10"/>
                <w:vertAlign w:val="superscript"/>
              </w:rPr>
              <w:t>d</w:t>
            </w:r>
          </w:p>
        </w:tc>
        <w:tc>
          <w:tcPr>
            <w:tcW w:w="5115" w:type="dxa"/>
            <w:tcBorders>
              <w:top w:val="single" w:sz="4" w:space="0" w:color="231F20"/>
              <w:left w:val="nil"/>
              <w:bottom w:val="single" w:sz="4" w:space="0" w:color="231F20"/>
              <w:right w:val="single" w:sz="4" w:space="0" w:color="231F20"/>
            </w:tcBorders>
            <w:hideMark/>
          </w:tcPr>
          <w:p w14:paraId="5F659C8D" w14:textId="77777777" w:rsidR="00DB1AEE" w:rsidRPr="00DB1AEE" w:rsidRDefault="00DB1AEE" w:rsidP="00DB1AEE">
            <w:pPr>
              <w:jc w:val="left"/>
              <w:rPr>
                <w:rFonts w:ascii="Calibri" w:hAnsi="Calibri" w:cs="Calibri"/>
                <w:sz w:val="17"/>
                <w:szCs w:val="17"/>
              </w:rPr>
            </w:pPr>
            <w:r w:rsidRPr="00DB1AEE">
              <w:rPr>
                <w:rFonts w:ascii="Calibri" w:hAnsi="Calibri" w:cs="Calibri"/>
                <w:color w:val="231F20"/>
                <w:sz w:val="17"/>
                <w:szCs w:val="17"/>
              </w:rPr>
              <w:t>Electric water heaters (Option 4)</w:t>
            </w:r>
          </w:p>
        </w:tc>
        <w:tc>
          <w:tcPr>
            <w:tcW w:w="1142" w:type="dxa"/>
            <w:tcBorders>
              <w:top w:val="nil"/>
              <w:left w:val="nil"/>
              <w:bottom w:val="single" w:sz="4" w:space="0" w:color="231F20"/>
              <w:right w:val="single" w:sz="4" w:space="0" w:color="231F20"/>
            </w:tcBorders>
            <w:noWrap/>
            <w:hideMark/>
          </w:tcPr>
          <w:p w14:paraId="5833BF1D" w14:textId="77777777" w:rsidR="00DB1AEE" w:rsidRPr="00DB1AEE" w:rsidRDefault="00DB1AEE" w:rsidP="00DB1AEE">
            <w:pPr>
              <w:jc w:val="center"/>
              <w:rPr>
                <w:rFonts w:ascii="Calibri" w:hAnsi="Calibri" w:cs="Calibri"/>
                <w:color w:val="231F20"/>
                <w:sz w:val="17"/>
                <w:szCs w:val="17"/>
              </w:rPr>
            </w:pPr>
            <w:r w:rsidRPr="00DB1AEE">
              <w:rPr>
                <w:rFonts w:ascii="Calibri" w:hAnsi="Calibri" w:cs="Calibri"/>
                <w:color w:val="231F20"/>
                <w:sz w:val="17"/>
                <w:szCs w:val="17"/>
              </w:rPr>
              <w:t>7</w:t>
            </w:r>
          </w:p>
        </w:tc>
        <w:tc>
          <w:tcPr>
            <w:tcW w:w="943" w:type="dxa"/>
            <w:tcBorders>
              <w:top w:val="nil"/>
              <w:left w:val="nil"/>
              <w:bottom w:val="single" w:sz="4" w:space="0" w:color="231F20"/>
              <w:right w:val="single" w:sz="4" w:space="0" w:color="231F20"/>
            </w:tcBorders>
            <w:noWrap/>
            <w:hideMark/>
          </w:tcPr>
          <w:p w14:paraId="543798F8" w14:textId="77777777" w:rsidR="00DB1AEE" w:rsidRPr="00DB1AEE" w:rsidRDefault="00DB1AEE" w:rsidP="00DB1AEE">
            <w:pPr>
              <w:jc w:val="center"/>
              <w:rPr>
                <w:rFonts w:ascii="Calibri" w:hAnsi="Calibri" w:cs="Calibri"/>
                <w:color w:val="231F20"/>
                <w:sz w:val="17"/>
                <w:szCs w:val="17"/>
              </w:rPr>
            </w:pPr>
            <w:r w:rsidRPr="00DB1AEE">
              <w:rPr>
                <w:rFonts w:ascii="Calibri" w:hAnsi="Calibri" w:cs="Calibri"/>
                <w:color w:val="231F20"/>
                <w:sz w:val="17"/>
                <w:szCs w:val="17"/>
              </w:rPr>
              <w:t>5</w:t>
            </w:r>
          </w:p>
        </w:tc>
        <w:tc>
          <w:tcPr>
            <w:tcW w:w="943" w:type="dxa"/>
            <w:tcBorders>
              <w:top w:val="nil"/>
              <w:left w:val="nil"/>
              <w:bottom w:val="single" w:sz="4" w:space="0" w:color="231F20"/>
              <w:right w:val="single" w:sz="4" w:space="0" w:color="231F20"/>
            </w:tcBorders>
            <w:noWrap/>
            <w:hideMark/>
          </w:tcPr>
          <w:p w14:paraId="73F44F56" w14:textId="77777777" w:rsidR="00DB1AEE" w:rsidRPr="00DB1AEE" w:rsidRDefault="00DB1AEE" w:rsidP="00DB1AEE">
            <w:pPr>
              <w:jc w:val="center"/>
              <w:rPr>
                <w:rFonts w:ascii="Calibri" w:hAnsi="Calibri" w:cs="Calibri"/>
                <w:color w:val="231F20"/>
                <w:sz w:val="17"/>
                <w:szCs w:val="17"/>
              </w:rPr>
            </w:pPr>
            <w:r w:rsidRPr="00DB1AEE">
              <w:rPr>
                <w:rFonts w:ascii="Calibri" w:hAnsi="Calibri" w:cs="Calibri"/>
                <w:color w:val="231F20"/>
                <w:sz w:val="17"/>
                <w:szCs w:val="17"/>
              </w:rPr>
              <w:t>5</w:t>
            </w:r>
          </w:p>
        </w:tc>
      </w:tr>
      <w:tr w:rsidR="00DB1AEE" w:rsidRPr="00DB1AEE" w14:paraId="39DAE65F" w14:textId="77777777" w:rsidTr="00FC1832">
        <w:trPr>
          <w:trHeight w:val="279"/>
        </w:trPr>
        <w:tc>
          <w:tcPr>
            <w:tcW w:w="1705" w:type="dxa"/>
            <w:tcBorders>
              <w:top w:val="nil"/>
              <w:left w:val="single" w:sz="4" w:space="0" w:color="231F20"/>
              <w:bottom w:val="single" w:sz="4" w:space="0" w:color="231F20"/>
              <w:right w:val="single" w:sz="4" w:space="0" w:color="231F20"/>
            </w:tcBorders>
            <w:hideMark/>
          </w:tcPr>
          <w:p w14:paraId="24653049" w14:textId="77777777" w:rsidR="00DB1AEE" w:rsidRPr="00DB1AEE" w:rsidRDefault="00DB1AEE" w:rsidP="00DB1AEE">
            <w:pPr>
              <w:jc w:val="left"/>
              <w:rPr>
                <w:color w:val="000000"/>
                <w:sz w:val="20"/>
              </w:rPr>
            </w:pPr>
            <w:r w:rsidRPr="00DB1AEE">
              <w:rPr>
                <w:rFonts w:ascii="Calibri" w:hAnsi="Calibri" w:cs="Calibri"/>
                <w:color w:val="231F20"/>
                <w:sz w:val="17"/>
                <w:szCs w:val="17"/>
              </w:rPr>
              <w:t>R408.2.3(6)</w:t>
            </w:r>
            <w:r w:rsidRPr="00DB1AEE">
              <w:rPr>
                <w:rFonts w:ascii="Calibri" w:hAnsi="Calibri" w:cs="Calibri"/>
                <w:color w:val="231F20"/>
                <w:sz w:val="10"/>
                <w:szCs w:val="10"/>
                <w:vertAlign w:val="superscript"/>
              </w:rPr>
              <w:t>d</w:t>
            </w:r>
          </w:p>
        </w:tc>
        <w:tc>
          <w:tcPr>
            <w:tcW w:w="5115" w:type="dxa"/>
            <w:tcBorders>
              <w:top w:val="single" w:sz="4" w:space="0" w:color="231F20"/>
              <w:left w:val="nil"/>
              <w:bottom w:val="single" w:sz="4" w:space="0" w:color="231F20"/>
              <w:right w:val="single" w:sz="4" w:space="0" w:color="231F20"/>
            </w:tcBorders>
            <w:hideMark/>
          </w:tcPr>
          <w:p w14:paraId="58FA23BB" w14:textId="77777777" w:rsidR="00DB1AEE" w:rsidRPr="00DB1AEE" w:rsidRDefault="00DB1AEE" w:rsidP="00DB1AEE">
            <w:pPr>
              <w:jc w:val="left"/>
              <w:rPr>
                <w:rFonts w:ascii="Calibri" w:hAnsi="Calibri" w:cs="Calibri"/>
                <w:sz w:val="17"/>
                <w:szCs w:val="17"/>
              </w:rPr>
            </w:pPr>
            <w:r w:rsidRPr="00DB1AEE">
              <w:rPr>
                <w:rFonts w:ascii="Calibri" w:hAnsi="Calibri" w:cs="Calibri"/>
                <w:color w:val="231F20"/>
                <w:sz w:val="17"/>
                <w:szCs w:val="17"/>
              </w:rPr>
              <w:t>Electric water heaters (Option 5)</w:t>
            </w:r>
          </w:p>
        </w:tc>
        <w:tc>
          <w:tcPr>
            <w:tcW w:w="1142" w:type="dxa"/>
            <w:tcBorders>
              <w:top w:val="nil"/>
              <w:left w:val="nil"/>
              <w:bottom w:val="single" w:sz="4" w:space="0" w:color="231F20"/>
              <w:right w:val="single" w:sz="4" w:space="0" w:color="231F20"/>
            </w:tcBorders>
            <w:noWrap/>
            <w:hideMark/>
          </w:tcPr>
          <w:p w14:paraId="0F399427" w14:textId="77777777" w:rsidR="00DB1AEE" w:rsidRPr="00DB1AEE" w:rsidRDefault="00DB1AEE" w:rsidP="00DB1AEE">
            <w:pPr>
              <w:jc w:val="center"/>
              <w:rPr>
                <w:rFonts w:ascii="Calibri" w:hAnsi="Calibri" w:cs="Calibri"/>
                <w:color w:val="231F20"/>
                <w:sz w:val="17"/>
                <w:szCs w:val="17"/>
              </w:rPr>
            </w:pPr>
            <w:r w:rsidRPr="00DB1AEE">
              <w:rPr>
                <w:rFonts w:ascii="Calibri" w:hAnsi="Calibri" w:cs="Calibri"/>
                <w:color w:val="231F20"/>
                <w:sz w:val="17"/>
                <w:szCs w:val="17"/>
              </w:rPr>
              <w:t>7</w:t>
            </w:r>
          </w:p>
        </w:tc>
        <w:tc>
          <w:tcPr>
            <w:tcW w:w="943" w:type="dxa"/>
            <w:tcBorders>
              <w:top w:val="nil"/>
              <w:left w:val="nil"/>
              <w:bottom w:val="single" w:sz="4" w:space="0" w:color="231F20"/>
              <w:right w:val="single" w:sz="4" w:space="0" w:color="231F20"/>
            </w:tcBorders>
            <w:noWrap/>
            <w:hideMark/>
          </w:tcPr>
          <w:p w14:paraId="2EF56021" w14:textId="77777777" w:rsidR="00DB1AEE" w:rsidRPr="00DB1AEE" w:rsidRDefault="00DB1AEE" w:rsidP="00DB1AEE">
            <w:pPr>
              <w:jc w:val="center"/>
              <w:rPr>
                <w:rFonts w:ascii="Calibri" w:hAnsi="Calibri" w:cs="Calibri"/>
                <w:color w:val="231F20"/>
                <w:sz w:val="17"/>
                <w:szCs w:val="17"/>
              </w:rPr>
            </w:pPr>
            <w:r w:rsidRPr="00DB1AEE">
              <w:rPr>
                <w:rFonts w:ascii="Calibri" w:hAnsi="Calibri" w:cs="Calibri"/>
                <w:color w:val="231F20"/>
                <w:sz w:val="17"/>
                <w:szCs w:val="17"/>
              </w:rPr>
              <w:t>4</w:t>
            </w:r>
          </w:p>
        </w:tc>
        <w:tc>
          <w:tcPr>
            <w:tcW w:w="943" w:type="dxa"/>
            <w:tcBorders>
              <w:top w:val="nil"/>
              <w:left w:val="nil"/>
              <w:bottom w:val="single" w:sz="4" w:space="0" w:color="231F20"/>
              <w:right w:val="single" w:sz="4" w:space="0" w:color="231F20"/>
            </w:tcBorders>
            <w:noWrap/>
            <w:hideMark/>
          </w:tcPr>
          <w:p w14:paraId="1675A22A" w14:textId="77777777" w:rsidR="00DB1AEE" w:rsidRPr="00DB1AEE" w:rsidRDefault="00DB1AEE" w:rsidP="00DB1AEE">
            <w:pPr>
              <w:jc w:val="center"/>
              <w:rPr>
                <w:rFonts w:ascii="Calibri" w:hAnsi="Calibri" w:cs="Calibri"/>
                <w:color w:val="231F20"/>
                <w:sz w:val="17"/>
                <w:szCs w:val="17"/>
              </w:rPr>
            </w:pPr>
            <w:r w:rsidRPr="00DB1AEE">
              <w:rPr>
                <w:rFonts w:ascii="Calibri" w:hAnsi="Calibri" w:cs="Calibri"/>
                <w:color w:val="231F20"/>
                <w:sz w:val="17"/>
                <w:szCs w:val="17"/>
              </w:rPr>
              <w:t>3</w:t>
            </w:r>
          </w:p>
        </w:tc>
      </w:tr>
      <w:tr w:rsidR="00DB1AEE" w:rsidRPr="00DB1AEE" w14:paraId="0CB78EB8" w14:textId="77777777" w:rsidTr="00FC1832">
        <w:trPr>
          <w:trHeight w:val="297"/>
        </w:trPr>
        <w:tc>
          <w:tcPr>
            <w:tcW w:w="1705" w:type="dxa"/>
            <w:tcBorders>
              <w:top w:val="nil"/>
              <w:left w:val="single" w:sz="4" w:space="0" w:color="231F20"/>
              <w:bottom w:val="single" w:sz="4" w:space="0" w:color="231F20"/>
              <w:right w:val="single" w:sz="4" w:space="0" w:color="231F20"/>
            </w:tcBorders>
            <w:hideMark/>
          </w:tcPr>
          <w:p w14:paraId="1DC49E6F" w14:textId="77777777" w:rsidR="00DB1AEE" w:rsidRPr="00DB1AEE" w:rsidRDefault="00DB1AEE" w:rsidP="00DB1AEE">
            <w:pPr>
              <w:jc w:val="left"/>
              <w:rPr>
                <w:color w:val="000000"/>
                <w:sz w:val="20"/>
              </w:rPr>
            </w:pPr>
            <w:r w:rsidRPr="00DB1AEE">
              <w:rPr>
                <w:rFonts w:ascii="Calibri" w:hAnsi="Calibri" w:cs="Calibri"/>
                <w:color w:val="231F20"/>
                <w:sz w:val="17"/>
                <w:szCs w:val="17"/>
              </w:rPr>
              <w:t>R408.2.3(7)(a)</w:t>
            </w:r>
            <w:r w:rsidRPr="00DB1AEE">
              <w:rPr>
                <w:rFonts w:ascii="Calibri" w:hAnsi="Calibri" w:cs="Calibri"/>
                <w:color w:val="231F20"/>
                <w:sz w:val="10"/>
                <w:szCs w:val="10"/>
                <w:vertAlign w:val="superscript"/>
              </w:rPr>
              <w:t>d</w:t>
            </w:r>
          </w:p>
        </w:tc>
        <w:tc>
          <w:tcPr>
            <w:tcW w:w="5115" w:type="dxa"/>
            <w:tcBorders>
              <w:top w:val="single" w:sz="4" w:space="0" w:color="231F20"/>
              <w:left w:val="nil"/>
              <w:bottom w:val="single" w:sz="4" w:space="0" w:color="231F20"/>
              <w:right w:val="single" w:sz="4" w:space="0" w:color="231F20"/>
            </w:tcBorders>
            <w:hideMark/>
          </w:tcPr>
          <w:p w14:paraId="1AFECC96" w14:textId="77777777" w:rsidR="00DB1AEE" w:rsidRPr="00DB1AEE" w:rsidRDefault="00DB1AEE" w:rsidP="00DB1AEE">
            <w:pPr>
              <w:jc w:val="left"/>
              <w:rPr>
                <w:rFonts w:ascii="Calibri" w:hAnsi="Calibri" w:cs="Calibri"/>
                <w:sz w:val="17"/>
                <w:szCs w:val="17"/>
              </w:rPr>
            </w:pPr>
            <w:r w:rsidRPr="00DB1AEE">
              <w:rPr>
                <w:rFonts w:ascii="Calibri" w:hAnsi="Calibri" w:cs="Calibri"/>
                <w:color w:val="231F20"/>
                <w:sz w:val="17"/>
                <w:szCs w:val="17"/>
              </w:rPr>
              <w:t>Solar hot water heating system (Option 1)</w:t>
            </w:r>
          </w:p>
        </w:tc>
        <w:tc>
          <w:tcPr>
            <w:tcW w:w="1142" w:type="dxa"/>
            <w:tcBorders>
              <w:top w:val="nil"/>
              <w:left w:val="nil"/>
              <w:bottom w:val="single" w:sz="4" w:space="0" w:color="231F20"/>
              <w:right w:val="single" w:sz="4" w:space="0" w:color="231F20"/>
            </w:tcBorders>
            <w:noWrap/>
            <w:hideMark/>
          </w:tcPr>
          <w:p w14:paraId="3BFB5C2D" w14:textId="77777777" w:rsidR="00DB1AEE" w:rsidRPr="00DB1AEE" w:rsidRDefault="00DB1AEE" w:rsidP="00DB1AEE">
            <w:pPr>
              <w:jc w:val="center"/>
              <w:rPr>
                <w:rFonts w:ascii="Calibri" w:hAnsi="Calibri" w:cs="Calibri"/>
                <w:color w:val="231F20"/>
                <w:sz w:val="17"/>
                <w:szCs w:val="17"/>
              </w:rPr>
            </w:pPr>
            <w:r w:rsidRPr="00DB1AEE">
              <w:rPr>
                <w:rFonts w:ascii="Calibri" w:hAnsi="Calibri" w:cs="Calibri"/>
                <w:color w:val="231F20"/>
                <w:sz w:val="17"/>
                <w:szCs w:val="17"/>
              </w:rPr>
              <w:t>9</w:t>
            </w:r>
          </w:p>
        </w:tc>
        <w:tc>
          <w:tcPr>
            <w:tcW w:w="943" w:type="dxa"/>
            <w:tcBorders>
              <w:top w:val="nil"/>
              <w:left w:val="nil"/>
              <w:bottom w:val="single" w:sz="4" w:space="0" w:color="231F20"/>
              <w:right w:val="single" w:sz="4" w:space="0" w:color="231F20"/>
            </w:tcBorders>
            <w:noWrap/>
            <w:hideMark/>
          </w:tcPr>
          <w:p w14:paraId="350C0157" w14:textId="77777777" w:rsidR="00DB1AEE" w:rsidRPr="00DB1AEE" w:rsidRDefault="00DB1AEE" w:rsidP="00DB1AEE">
            <w:pPr>
              <w:jc w:val="center"/>
              <w:rPr>
                <w:rFonts w:ascii="Calibri" w:hAnsi="Calibri" w:cs="Calibri"/>
                <w:color w:val="231F20"/>
                <w:sz w:val="17"/>
                <w:szCs w:val="17"/>
              </w:rPr>
            </w:pPr>
            <w:r w:rsidRPr="00DB1AEE">
              <w:rPr>
                <w:rFonts w:ascii="Calibri" w:hAnsi="Calibri" w:cs="Calibri"/>
                <w:color w:val="231F20"/>
                <w:sz w:val="17"/>
                <w:szCs w:val="17"/>
              </w:rPr>
              <w:t>5</w:t>
            </w:r>
          </w:p>
        </w:tc>
        <w:tc>
          <w:tcPr>
            <w:tcW w:w="943" w:type="dxa"/>
            <w:tcBorders>
              <w:top w:val="nil"/>
              <w:left w:val="nil"/>
              <w:bottom w:val="single" w:sz="4" w:space="0" w:color="231F20"/>
              <w:right w:val="single" w:sz="4" w:space="0" w:color="231F20"/>
            </w:tcBorders>
            <w:noWrap/>
            <w:hideMark/>
          </w:tcPr>
          <w:p w14:paraId="289C3C07" w14:textId="77777777" w:rsidR="00DB1AEE" w:rsidRPr="00DB1AEE" w:rsidRDefault="00DB1AEE" w:rsidP="00DB1AEE">
            <w:pPr>
              <w:jc w:val="center"/>
              <w:rPr>
                <w:rFonts w:ascii="Calibri" w:hAnsi="Calibri" w:cs="Calibri"/>
                <w:color w:val="231F20"/>
                <w:sz w:val="17"/>
                <w:szCs w:val="17"/>
              </w:rPr>
            </w:pPr>
            <w:r w:rsidRPr="00DB1AEE">
              <w:rPr>
                <w:rFonts w:ascii="Calibri" w:hAnsi="Calibri" w:cs="Calibri"/>
                <w:color w:val="231F20"/>
                <w:sz w:val="17"/>
                <w:szCs w:val="17"/>
              </w:rPr>
              <w:t>4</w:t>
            </w:r>
          </w:p>
        </w:tc>
      </w:tr>
      <w:tr w:rsidR="00DB1AEE" w:rsidRPr="00DB1AEE" w14:paraId="18541A80" w14:textId="77777777" w:rsidTr="00FC1832">
        <w:trPr>
          <w:trHeight w:val="279"/>
        </w:trPr>
        <w:tc>
          <w:tcPr>
            <w:tcW w:w="1705" w:type="dxa"/>
            <w:tcBorders>
              <w:top w:val="nil"/>
              <w:left w:val="single" w:sz="4" w:space="0" w:color="231F20"/>
              <w:bottom w:val="single" w:sz="4" w:space="0" w:color="231F20"/>
              <w:right w:val="single" w:sz="4" w:space="0" w:color="231F20"/>
            </w:tcBorders>
            <w:hideMark/>
          </w:tcPr>
          <w:p w14:paraId="78EAE8D4" w14:textId="77777777" w:rsidR="00DB1AEE" w:rsidRPr="00DB1AEE" w:rsidRDefault="00DB1AEE" w:rsidP="00DB1AEE">
            <w:pPr>
              <w:jc w:val="left"/>
              <w:rPr>
                <w:color w:val="000000"/>
                <w:sz w:val="20"/>
              </w:rPr>
            </w:pPr>
            <w:r w:rsidRPr="00DB1AEE">
              <w:rPr>
                <w:rFonts w:ascii="Calibri" w:hAnsi="Calibri" w:cs="Calibri"/>
                <w:color w:val="231F20"/>
                <w:sz w:val="17"/>
                <w:szCs w:val="17"/>
              </w:rPr>
              <w:t>R408.2.3(7)(b)</w:t>
            </w:r>
            <w:r w:rsidRPr="00DB1AEE">
              <w:rPr>
                <w:rFonts w:ascii="Calibri" w:hAnsi="Calibri" w:cs="Calibri"/>
                <w:color w:val="231F20"/>
                <w:sz w:val="10"/>
                <w:szCs w:val="10"/>
                <w:vertAlign w:val="superscript"/>
              </w:rPr>
              <w:t>d</w:t>
            </w:r>
          </w:p>
        </w:tc>
        <w:tc>
          <w:tcPr>
            <w:tcW w:w="5115" w:type="dxa"/>
            <w:tcBorders>
              <w:top w:val="single" w:sz="4" w:space="0" w:color="231F20"/>
              <w:left w:val="nil"/>
              <w:bottom w:val="single" w:sz="4" w:space="0" w:color="231F20"/>
              <w:right w:val="single" w:sz="4" w:space="0" w:color="231F20"/>
            </w:tcBorders>
            <w:hideMark/>
          </w:tcPr>
          <w:p w14:paraId="66F311DD" w14:textId="77777777" w:rsidR="00DB1AEE" w:rsidRPr="00DB1AEE" w:rsidRDefault="00DB1AEE" w:rsidP="00DB1AEE">
            <w:pPr>
              <w:jc w:val="left"/>
              <w:rPr>
                <w:rFonts w:ascii="Calibri" w:hAnsi="Calibri" w:cs="Calibri"/>
                <w:sz w:val="17"/>
                <w:szCs w:val="17"/>
              </w:rPr>
            </w:pPr>
            <w:r w:rsidRPr="00DB1AEE">
              <w:rPr>
                <w:rFonts w:ascii="Calibri" w:hAnsi="Calibri" w:cs="Calibri"/>
                <w:color w:val="231F20"/>
                <w:sz w:val="17"/>
                <w:szCs w:val="17"/>
              </w:rPr>
              <w:t>Solar hot water heating system (Option 2)</w:t>
            </w:r>
          </w:p>
        </w:tc>
        <w:tc>
          <w:tcPr>
            <w:tcW w:w="1142" w:type="dxa"/>
            <w:tcBorders>
              <w:top w:val="nil"/>
              <w:left w:val="nil"/>
              <w:bottom w:val="single" w:sz="4" w:space="0" w:color="231F20"/>
              <w:right w:val="single" w:sz="4" w:space="0" w:color="231F20"/>
            </w:tcBorders>
            <w:noWrap/>
            <w:hideMark/>
          </w:tcPr>
          <w:p w14:paraId="16012713" w14:textId="77777777" w:rsidR="00DB1AEE" w:rsidRPr="00DB1AEE" w:rsidRDefault="00DB1AEE" w:rsidP="00DB1AEE">
            <w:pPr>
              <w:jc w:val="center"/>
              <w:rPr>
                <w:rFonts w:ascii="Calibri" w:hAnsi="Calibri" w:cs="Calibri"/>
                <w:color w:val="231F20"/>
                <w:sz w:val="17"/>
                <w:szCs w:val="17"/>
              </w:rPr>
            </w:pPr>
            <w:r w:rsidRPr="00DB1AEE">
              <w:rPr>
                <w:rFonts w:ascii="Calibri" w:hAnsi="Calibri" w:cs="Calibri"/>
                <w:color w:val="231F20"/>
                <w:sz w:val="17"/>
                <w:szCs w:val="17"/>
              </w:rPr>
              <w:t>6</w:t>
            </w:r>
          </w:p>
        </w:tc>
        <w:tc>
          <w:tcPr>
            <w:tcW w:w="943" w:type="dxa"/>
            <w:tcBorders>
              <w:top w:val="nil"/>
              <w:left w:val="nil"/>
              <w:bottom w:val="single" w:sz="4" w:space="0" w:color="231F20"/>
              <w:right w:val="single" w:sz="4" w:space="0" w:color="231F20"/>
            </w:tcBorders>
            <w:noWrap/>
            <w:hideMark/>
          </w:tcPr>
          <w:p w14:paraId="4544CAEF" w14:textId="77777777" w:rsidR="00DB1AEE" w:rsidRPr="00DB1AEE" w:rsidRDefault="00DB1AEE" w:rsidP="00DB1AEE">
            <w:pPr>
              <w:jc w:val="center"/>
              <w:rPr>
                <w:rFonts w:ascii="Calibri" w:hAnsi="Calibri" w:cs="Calibri"/>
                <w:color w:val="231F20"/>
                <w:sz w:val="17"/>
                <w:szCs w:val="17"/>
              </w:rPr>
            </w:pPr>
            <w:r w:rsidRPr="00DB1AEE">
              <w:rPr>
                <w:rFonts w:ascii="Calibri" w:hAnsi="Calibri" w:cs="Calibri"/>
                <w:color w:val="231F20"/>
                <w:sz w:val="17"/>
                <w:szCs w:val="17"/>
              </w:rPr>
              <w:t>6</w:t>
            </w:r>
          </w:p>
        </w:tc>
        <w:tc>
          <w:tcPr>
            <w:tcW w:w="943" w:type="dxa"/>
            <w:tcBorders>
              <w:top w:val="nil"/>
              <w:left w:val="nil"/>
              <w:bottom w:val="single" w:sz="4" w:space="0" w:color="231F20"/>
              <w:right w:val="single" w:sz="4" w:space="0" w:color="231F20"/>
            </w:tcBorders>
            <w:noWrap/>
            <w:hideMark/>
          </w:tcPr>
          <w:p w14:paraId="7B2A1427" w14:textId="77777777" w:rsidR="00DB1AEE" w:rsidRPr="00DB1AEE" w:rsidRDefault="00DB1AEE" w:rsidP="00DB1AEE">
            <w:pPr>
              <w:jc w:val="center"/>
              <w:rPr>
                <w:rFonts w:ascii="Calibri" w:hAnsi="Calibri" w:cs="Calibri"/>
                <w:color w:val="231F20"/>
                <w:sz w:val="17"/>
                <w:szCs w:val="17"/>
              </w:rPr>
            </w:pPr>
            <w:r w:rsidRPr="00DB1AEE">
              <w:rPr>
                <w:rFonts w:ascii="Calibri" w:hAnsi="Calibri" w:cs="Calibri"/>
                <w:color w:val="231F20"/>
                <w:sz w:val="17"/>
                <w:szCs w:val="17"/>
              </w:rPr>
              <w:t>5</w:t>
            </w:r>
          </w:p>
        </w:tc>
      </w:tr>
      <w:tr w:rsidR="00DB1AEE" w:rsidRPr="00DB1AEE" w14:paraId="66D05FE1" w14:textId="77777777" w:rsidTr="00FC1832">
        <w:trPr>
          <w:trHeight w:val="279"/>
        </w:trPr>
        <w:tc>
          <w:tcPr>
            <w:tcW w:w="1705" w:type="dxa"/>
            <w:tcBorders>
              <w:top w:val="nil"/>
              <w:left w:val="single" w:sz="4" w:space="0" w:color="231F20"/>
              <w:bottom w:val="single" w:sz="4" w:space="0" w:color="231F20"/>
              <w:right w:val="single" w:sz="4" w:space="0" w:color="231F20"/>
            </w:tcBorders>
            <w:hideMark/>
          </w:tcPr>
          <w:p w14:paraId="6D895D90" w14:textId="77777777" w:rsidR="00DB1AEE" w:rsidRPr="00DB1AEE" w:rsidRDefault="00DB1AEE" w:rsidP="00DB1AEE">
            <w:pPr>
              <w:jc w:val="left"/>
              <w:rPr>
                <w:color w:val="000000"/>
                <w:sz w:val="20"/>
              </w:rPr>
            </w:pPr>
            <w:r w:rsidRPr="00DB1AEE">
              <w:rPr>
                <w:rFonts w:ascii="Calibri" w:hAnsi="Calibri" w:cs="Calibri"/>
                <w:color w:val="231F20"/>
                <w:sz w:val="17"/>
                <w:szCs w:val="17"/>
              </w:rPr>
              <w:t>R408.2.4(1)</w:t>
            </w:r>
            <w:r w:rsidRPr="00DB1AEE">
              <w:rPr>
                <w:rFonts w:ascii="Calibri" w:hAnsi="Calibri" w:cs="Calibri"/>
                <w:color w:val="231F20"/>
                <w:sz w:val="10"/>
                <w:szCs w:val="10"/>
                <w:vertAlign w:val="superscript"/>
              </w:rPr>
              <w:t>c</w:t>
            </w:r>
          </w:p>
        </w:tc>
        <w:tc>
          <w:tcPr>
            <w:tcW w:w="5115" w:type="dxa"/>
            <w:tcBorders>
              <w:top w:val="single" w:sz="4" w:space="0" w:color="231F20"/>
              <w:left w:val="nil"/>
              <w:bottom w:val="single" w:sz="4" w:space="0" w:color="231F20"/>
              <w:right w:val="single" w:sz="4" w:space="0" w:color="231F20"/>
            </w:tcBorders>
            <w:hideMark/>
          </w:tcPr>
          <w:p w14:paraId="49D75EF0" w14:textId="77777777" w:rsidR="00DB1AEE" w:rsidRPr="00DB1AEE" w:rsidRDefault="00DB1AEE" w:rsidP="00DB1AEE">
            <w:pPr>
              <w:jc w:val="left"/>
              <w:rPr>
                <w:rFonts w:ascii="Calibri" w:hAnsi="Calibri" w:cs="Calibri"/>
                <w:sz w:val="17"/>
                <w:szCs w:val="17"/>
              </w:rPr>
            </w:pPr>
            <w:r w:rsidRPr="00DB1AEE">
              <w:rPr>
                <w:rFonts w:ascii="Calibri" w:hAnsi="Calibri" w:cs="Calibri"/>
                <w:color w:val="231F20"/>
                <w:sz w:val="17"/>
                <w:szCs w:val="17"/>
              </w:rPr>
              <w:t>Ductless or hydronic thermal distribution</w:t>
            </w:r>
          </w:p>
        </w:tc>
        <w:tc>
          <w:tcPr>
            <w:tcW w:w="1142" w:type="dxa"/>
            <w:tcBorders>
              <w:top w:val="nil"/>
              <w:left w:val="nil"/>
              <w:bottom w:val="single" w:sz="4" w:space="0" w:color="231F20"/>
              <w:right w:val="single" w:sz="4" w:space="0" w:color="231F20"/>
            </w:tcBorders>
            <w:noWrap/>
            <w:hideMark/>
          </w:tcPr>
          <w:p w14:paraId="66620051" w14:textId="77777777" w:rsidR="00DB1AEE" w:rsidRPr="00DB1AEE" w:rsidRDefault="00DB1AEE" w:rsidP="00DB1AEE">
            <w:pPr>
              <w:jc w:val="center"/>
              <w:rPr>
                <w:rFonts w:ascii="Calibri" w:hAnsi="Calibri" w:cs="Calibri"/>
                <w:color w:val="231F20"/>
                <w:sz w:val="17"/>
                <w:szCs w:val="17"/>
              </w:rPr>
            </w:pPr>
            <w:r w:rsidRPr="00DB1AEE">
              <w:rPr>
                <w:rFonts w:ascii="Calibri" w:hAnsi="Calibri" w:cs="Calibri"/>
                <w:color w:val="231F20"/>
                <w:sz w:val="17"/>
                <w:szCs w:val="17"/>
              </w:rPr>
              <w:t>7</w:t>
            </w:r>
          </w:p>
        </w:tc>
        <w:tc>
          <w:tcPr>
            <w:tcW w:w="943" w:type="dxa"/>
            <w:tcBorders>
              <w:top w:val="nil"/>
              <w:left w:val="nil"/>
              <w:bottom w:val="single" w:sz="4" w:space="0" w:color="231F20"/>
              <w:right w:val="single" w:sz="4" w:space="0" w:color="231F20"/>
            </w:tcBorders>
            <w:noWrap/>
            <w:hideMark/>
          </w:tcPr>
          <w:p w14:paraId="58B3092D" w14:textId="77777777" w:rsidR="00DB1AEE" w:rsidRPr="00DB1AEE" w:rsidRDefault="00DB1AEE" w:rsidP="00DB1AEE">
            <w:pPr>
              <w:jc w:val="center"/>
              <w:rPr>
                <w:rFonts w:ascii="Calibri" w:hAnsi="Calibri" w:cs="Calibri"/>
                <w:color w:val="231F20"/>
                <w:sz w:val="17"/>
                <w:szCs w:val="17"/>
              </w:rPr>
            </w:pPr>
            <w:r w:rsidRPr="00DB1AEE">
              <w:rPr>
                <w:rFonts w:ascii="Calibri" w:hAnsi="Calibri" w:cs="Calibri"/>
                <w:color w:val="231F20"/>
                <w:sz w:val="17"/>
                <w:szCs w:val="17"/>
              </w:rPr>
              <w:t>10</w:t>
            </w:r>
          </w:p>
        </w:tc>
        <w:tc>
          <w:tcPr>
            <w:tcW w:w="943" w:type="dxa"/>
            <w:tcBorders>
              <w:top w:val="nil"/>
              <w:left w:val="nil"/>
              <w:bottom w:val="single" w:sz="4" w:space="0" w:color="231F20"/>
              <w:right w:val="single" w:sz="4" w:space="0" w:color="231F20"/>
            </w:tcBorders>
            <w:noWrap/>
            <w:hideMark/>
          </w:tcPr>
          <w:p w14:paraId="6773F6CF" w14:textId="77777777" w:rsidR="00DB1AEE" w:rsidRPr="00DB1AEE" w:rsidRDefault="00DB1AEE" w:rsidP="00DB1AEE">
            <w:pPr>
              <w:jc w:val="center"/>
              <w:rPr>
                <w:rFonts w:ascii="Calibri" w:hAnsi="Calibri" w:cs="Calibri"/>
                <w:color w:val="231F20"/>
                <w:sz w:val="17"/>
                <w:szCs w:val="17"/>
              </w:rPr>
            </w:pPr>
            <w:r w:rsidRPr="00DB1AEE">
              <w:rPr>
                <w:rFonts w:ascii="Calibri" w:hAnsi="Calibri" w:cs="Calibri"/>
                <w:color w:val="231F20"/>
                <w:sz w:val="17"/>
                <w:szCs w:val="17"/>
              </w:rPr>
              <w:t>10</w:t>
            </w:r>
          </w:p>
        </w:tc>
      </w:tr>
      <w:tr w:rsidR="00DB1AEE" w:rsidRPr="00DB1AEE" w14:paraId="26A4261F" w14:textId="77777777" w:rsidTr="00FC1832">
        <w:trPr>
          <w:trHeight w:val="297"/>
        </w:trPr>
        <w:tc>
          <w:tcPr>
            <w:tcW w:w="1705" w:type="dxa"/>
            <w:tcBorders>
              <w:top w:val="nil"/>
              <w:left w:val="single" w:sz="4" w:space="0" w:color="231F20"/>
              <w:bottom w:val="single" w:sz="4" w:space="0" w:color="231F20"/>
              <w:right w:val="single" w:sz="4" w:space="0" w:color="231F20"/>
            </w:tcBorders>
            <w:hideMark/>
          </w:tcPr>
          <w:p w14:paraId="62FB1E2B" w14:textId="77777777" w:rsidR="00DB1AEE" w:rsidRPr="00DB1AEE" w:rsidRDefault="00DB1AEE" w:rsidP="00DB1AEE">
            <w:pPr>
              <w:jc w:val="left"/>
              <w:rPr>
                <w:color w:val="000000"/>
                <w:sz w:val="20"/>
              </w:rPr>
            </w:pPr>
            <w:r w:rsidRPr="00DB1AEE">
              <w:rPr>
                <w:rFonts w:ascii="Calibri" w:hAnsi="Calibri" w:cs="Calibri"/>
                <w:color w:val="231F20"/>
                <w:sz w:val="17"/>
                <w:szCs w:val="17"/>
              </w:rPr>
              <w:t>R408.2.4(2)</w:t>
            </w:r>
            <w:r w:rsidRPr="00DB1AEE">
              <w:rPr>
                <w:rFonts w:ascii="Calibri" w:hAnsi="Calibri" w:cs="Calibri"/>
                <w:color w:val="231F20"/>
                <w:sz w:val="10"/>
                <w:szCs w:val="10"/>
                <w:vertAlign w:val="superscript"/>
              </w:rPr>
              <w:t>c</w:t>
            </w:r>
          </w:p>
        </w:tc>
        <w:tc>
          <w:tcPr>
            <w:tcW w:w="5115" w:type="dxa"/>
            <w:tcBorders>
              <w:top w:val="single" w:sz="4" w:space="0" w:color="231F20"/>
              <w:left w:val="nil"/>
              <w:bottom w:val="single" w:sz="4" w:space="0" w:color="231F20"/>
              <w:right w:val="single" w:sz="4" w:space="0" w:color="231F20"/>
            </w:tcBorders>
            <w:hideMark/>
          </w:tcPr>
          <w:p w14:paraId="56C132E2" w14:textId="77777777" w:rsidR="00DB1AEE" w:rsidRPr="00DB1AEE" w:rsidRDefault="00DB1AEE" w:rsidP="00DB1AEE">
            <w:pPr>
              <w:jc w:val="left"/>
              <w:rPr>
                <w:rFonts w:ascii="Calibri" w:hAnsi="Calibri" w:cs="Calibri"/>
                <w:sz w:val="17"/>
                <w:szCs w:val="17"/>
              </w:rPr>
            </w:pPr>
            <w:r w:rsidRPr="00DB1AEE">
              <w:rPr>
                <w:rFonts w:ascii="Calibri" w:hAnsi="Calibri" w:cs="Calibri"/>
                <w:color w:val="231F20"/>
                <w:sz w:val="17"/>
                <w:szCs w:val="17"/>
              </w:rPr>
              <w:t>100% of duct systems in conditioned space</w:t>
            </w:r>
          </w:p>
        </w:tc>
        <w:tc>
          <w:tcPr>
            <w:tcW w:w="1142" w:type="dxa"/>
            <w:tcBorders>
              <w:top w:val="nil"/>
              <w:left w:val="nil"/>
              <w:bottom w:val="single" w:sz="4" w:space="0" w:color="231F20"/>
              <w:right w:val="single" w:sz="4" w:space="0" w:color="231F20"/>
            </w:tcBorders>
            <w:noWrap/>
            <w:hideMark/>
          </w:tcPr>
          <w:p w14:paraId="4CC9EB15" w14:textId="77777777" w:rsidR="00DB1AEE" w:rsidRPr="00DB1AEE" w:rsidRDefault="00DB1AEE" w:rsidP="00DB1AEE">
            <w:pPr>
              <w:jc w:val="center"/>
              <w:rPr>
                <w:rFonts w:ascii="Calibri" w:hAnsi="Calibri" w:cs="Calibri"/>
                <w:color w:val="231F20"/>
                <w:sz w:val="17"/>
                <w:szCs w:val="17"/>
              </w:rPr>
            </w:pPr>
            <w:r w:rsidRPr="00DB1AEE">
              <w:rPr>
                <w:rFonts w:ascii="Calibri" w:hAnsi="Calibri" w:cs="Calibri"/>
                <w:color w:val="231F20"/>
                <w:sz w:val="17"/>
                <w:szCs w:val="17"/>
              </w:rPr>
              <w:t>6</w:t>
            </w:r>
          </w:p>
        </w:tc>
        <w:tc>
          <w:tcPr>
            <w:tcW w:w="943" w:type="dxa"/>
            <w:tcBorders>
              <w:top w:val="nil"/>
              <w:left w:val="nil"/>
              <w:bottom w:val="single" w:sz="4" w:space="0" w:color="231F20"/>
              <w:right w:val="single" w:sz="4" w:space="0" w:color="231F20"/>
            </w:tcBorders>
            <w:noWrap/>
            <w:hideMark/>
          </w:tcPr>
          <w:p w14:paraId="794C5C71" w14:textId="77777777" w:rsidR="00DB1AEE" w:rsidRPr="00DB1AEE" w:rsidRDefault="00DB1AEE" w:rsidP="00DB1AEE">
            <w:pPr>
              <w:jc w:val="center"/>
              <w:rPr>
                <w:rFonts w:ascii="Calibri" w:hAnsi="Calibri" w:cs="Calibri"/>
                <w:color w:val="231F20"/>
                <w:sz w:val="17"/>
                <w:szCs w:val="17"/>
              </w:rPr>
            </w:pPr>
            <w:r w:rsidRPr="00DB1AEE">
              <w:rPr>
                <w:rFonts w:ascii="Calibri" w:hAnsi="Calibri" w:cs="Calibri"/>
                <w:color w:val="231F20"/>
                <w:sz w:val="17"/>
                <w:szCs w:val="17"/>
              </w:rPr>
              <w:t>9</w:t>
            </w:r>
          </w:p>
        </w:tc>
        <w:tc>
          <w:tcPr>
            <w:tcW w:w="943" w:type="dxa"/>
            <w:tcBorders>
              <w:top w:val="nil"/>
              <w:left w:val="nil"/>
              <w:bottom w:val="single" w:sz="4" w:space="0" w:color="231F20"/>
              <w:right w:val="single" w:sz="4" w:space="0" w:color="231F20"/>
            </w:tcBorders>
            <w:noWrap/>
            <w:hideMark/>
          </w:tcPr>
          <w:p w14:paraId="018356C3" w14:textId="77777777" w:rsidR="00DB1AEE" w:rsidRPr="00DB1AEE" w:rsidRDefault="00DB1AEE" w:rsidP="00DB1AEE">
            <w:pPr>
              <w:jc w:val="center"/>
              <w:rPr>
                <w:rFonts w:ascii="Calibri" w:hAnsi="Calibri" w:cs="Calibri"/>
                <w:color w:val="231F20"/>
                <w:sz w:val="17"/>
                <w:szCs w:val="17"/>
              </w:rPr>
            </w:pPr>
            <w:r w:rsidRPr="00DB1AEE">
              <w:rPr>
                <w:rFonts w:ascii="Calibri" w:hAnsi="Calibri" w:cs="Calibri"/>
                <w:color w:val="231F20"/>
                <w:sz w:val="17"/>
                <w:szCs w:val="17"/>
              </w:rPr>
              <w:t>9</w:t>
            </w:r>
          </w:p>
        </w:tc>
      </w:tr>
      <w:tr w:rsidR="00DB1AEE" w:rsidRPr="00DB1AEE" w14:paraId="7086DC48" w14:textId="77777777" w:rsidTr="00FC1832">
        <w:trPr>
          <w:trHeight w:val="279"/>
        </w:trPr>
        <w:tc>
          <w:tcPr>
            <w:tcW w:w="1705" w:type="dxa"/>
            <w:tcBorders>
              <w:top w:val="nil"/>
              <w:left w:val="single" w:sz="4" w:space="0" w:color="231F20"/>
              <w:bottom w:val="single" w:sz="4" w:space="0" w:color="231F20"/>
              <w:right w:val="single" w:sz="4" w:space="0" w:color="231F20"/>
            </w:tcBorders>
            <w:hideMark/>
          </w:tcPr>
          <w:p w14:paraId="02573E58" w14:textId="77777777" w:rsidR="00DB1AEE" w:rsidRPr="00DB1AEE" w:rsidRDefault="00DB1AEE" w:rsidP="00DB1AEE">
            <w:pPr>
              <w:jc w:val="left"/>
              <w:rPr>
                <w:color w:val="000000"/>
                <w:sz w:val="20"/>
              </w:rPr>
            </w:pPr>
            <w:r w:rsidRPr="00DB1AEE">
              <w:rPr>
                <w:rFonts w:ascii="Calibri" w:hAnsi="Calibri" w:cs="Calibri"/>
                <w:color w:val="231F20"/>
                <w:sz w:val="17"/>
                <w:szCs w:val="17"/>
              </w:rPr>
              <w:t>R408.2.4(3)</w:t>
            </w:r>
            <w:r w:rsidRPr="00DB1AEE">
              <w:rPr>
                <w:rFonts w:ascii="Calibri" w:hAnsi="Calibri" w:cs="Calibri"/>
                <w:color w:val="231F20"/>
                <w:sz w:val="10"/>
                <w:szCs w:val="10"/>
                <w:vertAlign w:val="superscript"/>
              </w:rPr>
              <w:t>c</w:t>
            </w:r>
          </w:p>
        </w:tc>
        <w:tc>
          <w:tcPr>
            <w:tcW w:w="5115" w:type="dxa"/>
            <w:tcBorders>
              <w:top w:val="single" w:sz="4" w:space="0" w:color="231F20"/>
              <w:left w:val="nil"/>
              <w:bottom w:val="single" w:sz="4" w:space="0" w:color="231F20"/>
              <w:right w:val="single" w:sz="4" w:space="0" w:color="231F20"/>
            </w:tcBorders>
            <w:hideMark/>
          </w:tcPr>
          <w:p w14:paraId="67FF7518" w14:textId="77777777" w:rsidR="00DB1AEE" w:rsidRPr="00DB1AEE" w:rsidRDefault="00DB1AEE" w:rsidP="00DB1AEE">
            <w:pPr>
              <w:jc w:val="left"/>
              <w:rPr>
                <w:rFonts w:ascii="Calibri" w:hAnsi="Calibri" w:cs="Calibri"/>
                <w:sz w:val="17"/>
                <w:szCs w:val="17"/>
              </w:rPr>
            </w:pPr>
            <w:r w:rsidRPr="00DB1AEE">
              <w:rPr>
                <w:rFonts w:ascii="Calibri" w:hAnsi="Calibri" w:cs="Calibri"/>
                <w:color w:val="231F20"/>
                <w:sz w:val="17"/>
                <w:szCs w:val="17"/>
              </w:rPr>
              <w:t>≥ 80% of ductwork inside conditioned space</w:t>
            </w:r>
          </w:p>
        </w:tc>
        <w:tc>
          <w:tcPr>
            <w:tcW w:w="1142" w:type="dxa"/>
            <w:tcBorders>
              <w:top w:val="nil"/>
              <w:left w:val="nil"/>
              <w:bottom w:val="single" w:sz="4" w:space="0" w:color="231F20"/>
              <w:right w:val="single" w:sz="4" w:space="0" w:color="231F20"/>
            </w:tcBorders>
            <w:noWrap/>
            <w:hideMark/>
          </w:tcPr>
          <w:p w14:paraId="4E3C07FA" w14:textId="77777777" w:rsidR="00DB1AEE" w:rsidRPr="00DB1AEE" w:rsidRDefault="00DB1AEE" w:rsidP="00DB1AEE">
            <w:pPr>
              <w:jc w:val="center"/>
              <w:rPr>
                <w:rFonts w:ascii="Calibri" w:hAnsi="Calibri" w:cs="Calibri"/>
                <w:color w:val="231F20"/>
                <w:sz w:val="17"/>
                <w:szCs w:val="17"/>
              </w:rPr>
            </w:pPr>
            <w:r w:rsidRPr="00DB1AEE">
              <w:rPr>
                <w:rFonts w:ascii="Calibri" w:hAnsi="Calibri" w:cs="Calibri"/>
                <w:color w:val="231F20"/>
                <w:sz w:val="17"/>
                <w:szCs w:val="17"/>
              </w:rPr>
              <w:t>5</w:t>
            </w:r>
          </w:p>
        </w:tc>
        <w:tc>
          <w:tcPr>
            <w:tcW w:w="943" w:type="dxa"/>
            <w:tcBorders>
              <w:top w:val="nil"/>
              <w:left w:val="nil"/>
              <w:bottom w:val="single" w:sz="4" w:space="0" w:color="231F20"/>
              <w:right w:val="single" w:sz="4" w:space="0" w:color="231F20"/>
            </w:tcBorders>
            <w:noWrap/>
            <w:hideMark/>
          </w:tcPr>
          <w:p w14:paraId="700AEA58" w14:textId="77777777" w:rsidR="00DB1AEE" w:rsidRPr="00DB1AEE" w:rsidRDefault="00DB1AEE" w:rsidP="00DB1AEE">
            <w:pPr>
              <w:jc w:val="center"/>
              <w:rPr>
                <w:rFonts w:ascii="Calibri" w:hAnsi="Calibri" w:cs="Calibri"/>
                <w:color w:val="231F20"/>
                <w:sz w:val="17"/>
                <w:szCs w:val="17"/>
              </w:rPr>
            </w:pPr>
            <w:r w:rsidRPr="00DB1AEE">
              <w:rPr>
                <w:rFonts w:ascii="Calibri" w:hAnsi="Calibri" w:cs="Calibri"/>
                <w:color w:val="231F20"/>
                <w:sz w:val="17"/>
                <w:szCs w:val="17"/>
              </w:rPr>
              <w:t>7</w:t>
            </w:r>
          </w:p>
        </w:tc>
        <w:tc>
          <w:tcPr>
            <w:tcW w:w="943" w:type="dxa"/>
            <w:tcBorders>
              <w:top w:val="nil"/>
              <w:left w:val="nil"/>
              <w:bottom w:val="single" w:sz="4" w:space="0" w:color="231F20"/>
              <w:right w:val="single" w:sz="4" w:space="0" w:color="231F20"/>
            </w:tcBorders>
            <w:noWrap/>
            <w:hideMark/>
          </w:tcPr>
          <w:p w14:paraId="6DCD1AB7" w14:textId="77777777" w:rsidR="00DB1AEE" w:rsidRPr="00DB1AEE" w:rsidRDefault="00DB1AEE" w:rsidP="00DB1AEE">
            <w:pPr>
              <w:jc w:val="center"/>
              <w:rPr>
                <w:rFonts w:ascii="Calibri" w:hAnsi="Calibri" w:cs="Calibri"/>
                <w:color w:val="231F20"/>
                <w:sz w:val="17"/>
                <w:szCs w:val="17"/>
              </w:rPr>
            </w:pPr>
            <w:r w:rsidRPr="00DB1AEE">
              <w:rPr>
                <w:rFonts w:ascii="Calibri" w:hAnsi="Calibri" w:cs="Calibri"/>
                <w:color w:val="231F20"/>
                <w:sz w:val="17"/>
                <w:szCs w:val="17"/>
              </w:rPr>
              <w:t>7</w:t>
            </w:r>
          </w:p>
        </w:tc>
      </w:tr>
      <w:tr w:rsidR="00DB1AEE" w:rsidRPr="00DB1AEE" w14:paraId="6E7F8AEC" w14:textId="77777777" w:rsidTr="00FC1832">
        <w:trPr>
          <w:trHeight w:val="297"/>
        </w:trPr>
        <w:tc>
          <w:tcPr>
            <w:tcW w:w="1705" w:type="dxa"/>
            <w:tcBorders>
              <w:top w:val="nil"/>
              <w:left w:val="single" w:sz="4" w:space="0" w:color="231F20"/>
              <w:bottom w:val="single" w:sz="4" w:space="0" w:color="231F20"/>
              <w:right w:val="single" w:sz="4" w:space="0" w:color="231F20"/>
            </w:tcBorders>
            <w:hideMark/>
          </w:tcPr>
          <w:p w14:paraId="00BDB577" w14:textId="77777777" w:rsidR="00DB1AEE" w:rsidRPr="00DB1AEE" w:rsidRDefault="00DB1AEE" w:rsidP="00DB1AEE">
            <w:pPr>
              <w:jc w:val="left"/>
              <w:rPr>
                <w:color w:val="000000"/>
                <w:sz w:val="20"/>
              </w:rPr>
            </w:pPr>
            <w:r w:rsidRPr="00DB1AEE">
              <w:rPr>
                <w:rFonts w:ascii="Calibri" w:hAnsi="Calibri" w:cs="Calibri"/>
                <w:color w:val="231F20"/>
                <w:sz w:val="17"/>
                <w:szCs w:val="17"/>
              </w:rPr>
              <w:t>R408.2.4(4)</w:t>
            </w:r>
            <w:r w:rsidRPr="00DB1AEE">
              <w:rPr>
                <w:rFonts w:ascii="Calibri" w:hAnsi="Calibri" w:cs="Calibri"/>
                <w:color w:val="231F20"/>
                <w:sz w:val="10"/>
                <w:szCs w:val="10"/>
                <w:vertAlign w:val="superscript"/>
              </w:rPr>
              <w:t>c</w:t>
            </w:r>
          </w:p>
        </w:tc>
        <w:tc>
          <w:tcPr>
            <w:tcW w:w="5115" w:type="dxa"/>
            <w:tcBorders>
              <w:top w:val="single" w:sz="4" w:space="0" w:color="231F20"/>
              <w:left w:val="nil"/>
              <w:bottom w:val="single" w:sz="4" w:space="0" w:color="231F20"/>
              <w:right w:val="single" w:sz="4" w:space="0" w:color="231F20"/>
            </w:tcBorders>
            <w:hideMark/>
          </w:tcPr>
          <w:p w14:paraId="08E73AB9" w14:textId="77777777" w:rsidR="00DB1AEE" w:rsidRPr="00DB1AEE" w:rsidRDefault="00DB1AEE" w:rsidP="00DB1AEE">
            <w:pPr>
              <w:jc w:val="left"/>
              <w:rPr>
                <w:rFonts w:ascii="Calibri" w:hAnsi="Calibri" w:cs="Calibri"/>
                <w:sz w:val="17"/>
                <w:szCs w:val="17"/>
              </w:rPr>
            </w:pPr>
            <w:r w:rsidRPr="00DB1AEE">
              <w:rPr>
                <w:rFonts w:ascii="Calibri" w:hAnsi="Calibri" w:cs="Calibri"/>
                <w:color w:val="231F20"/>
                <w:sz w:val="17"/>
                <w:szCs w:val="17"/>
              </w:rPr>
              <w:t>Reduced total duct system leakage</w:t>
            </w:r>
          </w:p>
        </w:tc>
        <w:tc>
          <w:tcPr>
            <w:tcW w:w="1142" w:type="dxa"/>
            <w:tcBorders>
              <w:top w:val="nil"/>
              <w:left w:val="nil"/>
              <w:bottom w:val="single" w:sz="4" w:space="0" w:color="231F20"/>
              <w:right w:val="single" w:sz="4" w:space="0" w:color="231F20"/>
            </w:tcBorders>
            <w:noWrap/>
            <w:hideMark/>
          </w:tcPr>
          <w:p w14:paraId="29C4904B" w14:textId="77777777" w:rsidR="00DB1AEE" w:rsidRPr="00DB1AEE" w:rsidRDefault="00DB1AEE" w:rsidP="00DB1AEE">
            <w:pPr>
              <w:jc w:val="center"/>
              <w:rPr>
                <w:rFonts w:ascii="Calibri" w:hAnsi="Calibri" w:cs="Calibri"/>
                <w:color w:val="231F20"/>
                <w:sz w:val="17"/>
                <w:szCs w:val="17"/>
              </w:rPr>
            </w:pPr>
            <w:r w:rsidRPr="00DB1AEE">
              <w:rPr>
                <w:rFonts w:ascii="Calibri" w:hAnsi="Calibri" w:cs="Calibri"/>
                <w:color w:val="231F20"/>
                <w:sz w:val="17"/>
                <w:szCs w:val="17"/>
              </w:rPr>
              <w:t>1</w:t>
            </w:r>
          </w:p>
        </w:tc>
        <w:tc>
          <w:tcPr>
            <w:tcW w:w="943" w:type="dxa"/>
            <w:tcBorders>
              <w:top w:val="nil"/>
              <w:left w:val="nil"/>
              <w:bottom w:val="single" w:sz="4" w:space="0" w:color="231F20"/>
              <w:right w:val="single" w:sz="4" w:space="0" w:color="231F20"/>
            </w:tcBorders>
            <w:noWrap/>
            <w:hideMark/>
          </w:tcPr>
          <w:p w14:paraId="74E05E5A" w14:textId="77777777" w:rsidR="00DB1AEE" w:rsidRPr="00DB1AEE" w:rsidRDefault="00DB1AEE" w:rsidP="00DB1AEE">
            <w:pPr>
              <w:jc w:val="center"/>
              <w:rPr>
                <w:rFonts w:ascii="Calibri" w:hAnsi="Calibri" w:cs="Calibri"/>
                <w:color w:val="231F20"/>
                <w:sz w:val="17"/>
                <w:szCs w:val="17"/>
              </w:rPr>
            </w:pPr>
            <w:r w:rsidRPr="00DB1AEE">
              <w:rPr>
                <w:rFonts w:ascii="Calibri" w:hAnsi="Calibri" w:cs="Calibri"/>
                <w:color w:val="231F20"/>
                <w:sz w:val="17"/>
                <w:szCs w:val="17"/>
              </w:rPr>
              <w:t>1</w:t>
            </w:r>
          </w:p>
        </w:tc>
        <w:tc>
          <w:tcPr>
            <w:tcW w:w="943" w:type="dxa"/>
            <w:tcBorders>
              <w:top w:val="nil"/>
              <w:left w:val="nil"/>
              <w:bottom w:val="single" w:sz="4" w:space="0" w:color="231F20"/>
              <w:right w:val="single" w:sz="4" w:space="0" w:color="231F20"/>
            </w:tcBorders>
            <w:noWrap/>
            <w:hideMark/>
          </w:tcPr>
          <w:p w14:paraId="5E90A7BB" w14:textId="77777777" w:rsidR="00DB1AEE" w:rsidRPr="00DB1AEE" w:rsidRDefault="00DB1AEE" w:rsidP="00DB1AEE">
            <w:pPr>
              <w:jc w:val="center"/>
              <w:rPr>
                <w:rFonts w:ascii="Calibri" w:hAnsi="Calibri" w:cs="Calibri"/>
                <w:color w:val="231F20"/>
                <w:sz w:val="17"/>
                <w:szCs w:val="17"/>
              </w:rPr>
            </w:pPr>
            <w:r w:rsidRPr="00DB1AEE">
              <w:rPr>
                <w:rFonts w:ascii="Calibri" w:hAnsi="Calibri" w:cs="Calibri"/>
                <w:color w:val="231F20"/>
                <w:sz w:val="17"/>
                <w:szCs w:val="17"/>
              </w:rPr>
              <w:t>2</w:t>
            </w:r>
          </w:p>
        </w:tc>
      </w:tr>
      <w:tr w:rsidR="00DB1AEE" w:rsidRPr="00DB1AEE" w14:paraId="6E0FF5E4" w14:textId="77777777" w:rsidTr="00FC1832">
        <w:trPr>
          <w:trHeight w:val="476"/>
        </w:trPr>
        <w:tc>
          <w:tcPr>
            <w:tcW w:w="1705" w:type="dxa"/>
            <w:tcBorders>
              <w:top w:val="nil"/>
              <w:left w:val="single" w:sz="4" w:space="0" w:color="231F20"/>
              <w:bottom w:val="single" w:sz="4" w:space="0" w:color="231F20"/>
              <w:right w:val="single" w:sz="4" w:space="0" w:color="231F20"/>
            </w:tcBorders>
            <w:hideMark/>
          </w:tcPr>
          <w:p w14:paraId="2E015F58" w14:textId="77777777" w:rsidR="00DB1AEE" w:rsidRPr="00DB1AEE" w:rsidRDefault="00DB1AEE" w:rsidP="00DB1AEE">
            <w:pPr>
              <w:jc w:val="left"/>
              <w:rPr>
                <w:color w:val="000000"/>
                <w:sz w:val="20"/>
              </w:rPr>
            </w:pPr>
            <w:r w:rsidRPr="00DB1AEE">
              <w:rPr>
                <w:rFonts w:ascii="Calibri" w:hAnsi="Calibri" w:cs="Calibri"/>
                <w:color w:val="231F20"/>
                <w:sz w:val="17"/>
                <w:szCs w:val="17"/>
              </w:rPr>
              <w:t>R408.2.5(2)</w:t>
            </w:r>
            <w:r w:rsidRPr="00DB1AEE">
              <w:rPr>
                <w:rFonts w:ascii="Calibri" w:hAnsi="Calibri" w:cs="Calibri"/>
                <w:color w:val="231F20"/>
                <w:sz w:val="10"/>
                <w:szCs w:val="10"/>
                <w:vertAlign w:val="superscript"/>
              </w:rPr>
              <w:t>c</w:t>
            </w:r>
          </w:p>
        </w:tc>
        <w:tc>
          <w:tcPr>
            <w:tcW w:w="5115" w:type="dxa"/>
            <w:tcBorders>
              <w:top w:val="single" w:sz="4" w:space="0" w:color="231F20"/>
              <w:left w:val="nil"/>
              <w:bottom w:val="single" w:sz="4" w:space="0" w:color="231F20"/>
              <w:right w:val="single" w:sz="4" w:space="0" w:color="231F20"/>
            </w:tcBorders>
            <w:hideMark/>
          </w:tcPr>
          <w:p w14:paraId="05B3841F" w14:textId="77777777" w:rsidR="00DB1AEE" w:rsidRPr="00DB1AEE" w:rsidRDefault="00DB1AEE" w:rsidP="00DB1AEE">
            <w:pPr>
              <w:ind w:firstLineChars="100" w:firstLine="170"/>
              <w:jc w:val="left"/>
              <w:rPr>
                <w:rFonts w:ascii="Calibri" w:hAnsi="Calibri" w:cs="Calibri"/>
                <w:sz w:val="17"/>
                <w:szCs w:val="17"/>
              </w:rPr>
            </w:pPr>
            <w:r w:rsidRPr="00DB1AEE">
              <w:rPr>
                <w:rFonts w:ascii="Calibri" w:hAnsi="Calibri" w:cs="Calibri"/>
                <w:color w:val="231F20"/>
                <w:sz w:val="17"/>
                <w:szCs w:val="17"/>
              </w:rPr>
              <w:t>≤ 2.0 ACH50 with ERV or HRV installed</w:t>
            </w:r>
          </w:p>
        </w:tc>
        <w:tc>
          <w:tcPr>
            <w:tcW w:w="1142" w:type="dxa"/>
            <w:tcBorders>
              <w:top w:val="nil"/>
              <w:left w:val="nil"/>
              <w:bottom w:val="single" w:sz="4" w:space="0" w:color="231F20"/>
              <w:right w:val="single" w:sz="4" w:space="0" w:color="231F20"/>
            </w:tcBorders>
            <w:noWrap/>
            <w:hideMark/>
          </w:tcPr>
          <w:p w14:paraId="52E041DF" w14:textId="77777777" w:rsidR="00DB1AEE" w:rsidRPr="00DB1AEE" w:rsidRDefault="00DB1AEE" w:rsidP="00DB1AEE">
            <w:pPr>
              <w:jc w:val="center"/>
              <w:rPr>
                <w:rFonts w:ascii="Calibri" w:hAnsi="Calibri" w:cs="Calibri"/>
                <w:color w:val="231F20"/>
                <w:sz w:val="17"/>
                <w:szCs w:val="17"/>
              </w:rPr>
            </w:pPr>
            <w:r w:rsidRPr="00DB1AEE">
              <w:rPr>
                <w:rFonts w:ascii="Calibri" w:hAnsi="Calibri" w:cs="Calibri"/>
                <w:color w:val="231F20"/>
                <w:sz w:val="17"/>
                <w:szCs w:val="17"/>
              </w:rPr>
              <w:t>4</w:t>
            </w:r>
          </w:p>
        </w:tc>
        <w:tc>
          <w:tcPr>
            <w:tcW w:w="943" w:type="dxa"/>
            <w:tcBorders>
              <w:top w:val="nil"/>
              <w:left w:val="nil"/>
              <w:bottom w:val="single" w:sz="4" w:space="0" w:color="231F20"/>
              <w:right w:val="single" w:sz="4" w:space="0" w:color="231F20"/>
            </w:tcBorders>
            <w:noWrap/>
            <w:hideMark/>
          </w:tcPr>
          <w:p w14:paraId="004BF317" w14:textId="77777777" w:rsidR="00DB1AEE" w:rsidRPr="00DB1AEE" w:rsidRDefault="00DB1AEE" w:rsidP="00DB1AEE">
            <w:pPr>
              <w:jc w:val="center"/>
              <w:rPr>
                <w:rFonts w:ascii="Calibri" w:hAnsi="Calibri" w:cs="Calibri"/>
                <w:color w:val="231F20"/>
                <w:sz w:val="17"/>
                <w:szCs w:val="17"/>
              </w:rPr>
            </w:pPr>
            <w:r w:rsidRPr="00DB1AEE">
              <w:rPr>
                <w:rFonts w:ascii="Calibri" w:hAnsi="Calibri" w:cs="Calibri"/>
                <w:color w:val="231F20"/>
                <w:sz w:val="17"/>
                <w:szCs w:val="17"/>
              </w:rPr>
              <w:t>8</w:t>
            </w:r>
          </w:p>
        </w:tc>
        <w:tc>
          <w:tcPr>
            <w:tcW w:w="943" w:type="dxa"/>
            <w:tcBorders>
              <w:top w:val="nil"/>
              <w:left w:val="nil"/>
              <w:bottom w:val="single" w:sz="4" w:space="0" w:color="231F20"/>
              <w:right w:val="single" w:sz="4" w:space="0" w:color="231F20"/>
            </w:tcBorders>
            <w:noWrap/>
            <w:hideMark/>
          </w:tcPr>
          <w:p w14:paraId="7CB95C1E" w14:textId="77777777" w:rsidR="00DB1AEE" w:rsidRPr="00DB1AEE" w:rsidRDefault="00DB1AEE" w:rsidP="00DB1AEE">
            <w:pPr>
              <w:jc w:val="center"/>
              <w:rPr>
                <w:rFonts w:ascii="Calibri" w:hAnsi="Calibri" w:cs="Calibri"/>
                <w:color w:val="231F20"/>
                <w:sz w:val="17"/>
                <w:szCs w:val="17"/>
              </w:rPr>
            </w:pPr>
            <w:r w:rsidRPr="00DB1AEE">
              <w:rPr>
                <w:rFonts w:ascii="Calibri" w:hAnsi="Calibri" w:cs="Calibri"/>
                <w:color w:val="231F20"/>
                <w:sz w:val="17"/>
                <w:szCs w:val="17"/>
              </w:rPr>
              <w:t>5</w:t>
            </w:r>
          </w:p>
        </w:tc>
      </w:tr>
      <w:tr w:rsidR="00DB1AEE" w:rsidRPr="00DB1AEE" w14:paraId="7FE0366E" w14:textId="77777777" w:rsidTr="00FC1832">
        <w:trPr>
          <w:trHeight w:val="476"/>
        </w:trPr>
        <w:tc>
          <w:tcPr>
            <w:tcW w:w="1705" w:type="dxa"/>
            <w:tcBorders>
              <w:top w:val="nil"/>
              <w:left w:val="single" w:sz="4" w:space="0" w:color="231F20"/>
              <w:bottom w:val="single" w:sz="4" w:space="0" w:color="231F20"/>
              <w:right w:val="single" w:sz="4" w:space="0" w:color="231F20"/>
            </w:tcBorders>
            <w:hideMark/>
          </w:tcPr>
          <w:p w14:paraId="755911F4" w14:textId="77777777" w:rsidR="00DB1AEE" w:rsidRPr="00DB1AEE" w:rsidRDefault="00DB1AEE" w:rsidP="00DB1AEE">
            <w:pPr>
              <w:jc w:val="left"/>
              <w:rPr>
                <w:color w:val="000000"/>
                <w:sz w:val="20"/>
              </w:rPr>
            </w:pPr>
            <w:r w:rsidRPr="00DB1AEE">
              <w:rPr>
                <w:rFonts w:ascii="Calibri" w:hAnsi="Calibri" w:cs="Calibri"/>
                <w:color w:val="231F20"/>
                <w:sz w:val="17"/>
                <w:szCs w:val="17"/>
              </w:rPr>
              <w:t>R408.2.5(4)</w:t>
            </w:r>
            <w:r w:rsidRPr="00DB1AEE">
              <w:rPr>
                <w:rFonts w:ascii="Calibri" w:hAnsi="Calibri" w:cs="Calibri"/>
                <w:color w:val="231F20"/>
                <w:sz w:val="10"/>
                <w:szCs w:val="10"/>
                <w:vertAlign w:val="superscript"/>
              </w:rPr>
              <w:t>c</w:t>
            </w:r>
          </w:p>
        </w:tc>
        <w:tc>
          <w:tcPr>
            <w:tcW w:w="5115" w:type="dxa"/>
            <w:tcBorders>
              <w:top w:val="single" w:sz="4" w:space="0" w:color="231F20"/>
              <w:left w:val="nil"/>
              <w:bottom w:val="single" w:sz="4" w:space="0" w:color="231F20"/>
              <w:right w:val="single" w:sz="4" w:space="0" w:color="231F20"/>
            </w:tcBorders>
            <w:hideMark/>
          </w:tcPr>
          <w:p w14:paraId="7512ADA8" w14:textId="77777777" w:rsidR="00DB1AEE" w:rsidRPr="00DB1AEE" w:rsidRDefault="00DB1AEE" w:rsidP="00DB1AEE">
            <w:pPr>
              <w:ind w:firstLineChars="100" w:firstLine="170"/>
              <w:jc w:val="left"/>
              <w:rPr>
                <w:rFonts w:ascii="Calibri" w:hAnsi="Calibri" w:cs="Calibri"/>
                <w:sz w:val="17"/>
                <w:szCs w:val="17"/>
              </w:rPr>
            </w:pPr>
            <w:r w:rsidRPr="00DB1AEE">
              <w:rPr>
                <w:rFonts w:ascii="Calibri" w:hAnsi="Calibri" w:cs="Calibri"/>
                <w:color w:val="231F20"/>
                <w:sz w:val="17"/>
                <w:szCs w:val="17"/>
              </w:rPr>
              <w:t>≤ 1.5 ACH50 with ERV or HRV installed</w:t>
            </w:r>
          </w:p>
        </w:tc>
        <w:tc>
          <w:tcPr>
            <w:tcW w:w="1142" w:type="dxa"/>
            <w:tcBorders>
              <w:top w:val="nil"/>
              <w:left w:val="nil"/>
              <w:bottom w:val="single" w:sz="4" w:space="0" w:color="231F20"/>
              <w:right w:val="single" w:sz="4" w:space="0" w:color="231F20"/>
            </w:tcBorders>
            <w:noWrap/>
            <w:hideMark/>
          </w:tcPr>
          <w:p w14:paraId="689CF526" w14:textId="77777777" w:rsidR="00DB1AEE" w:rsidRPr="00DB1AEE" w:rsidRDefault="00DB1AEE" w:rsidP="00DB1AEE">
            <w:pPr>
              <w:jc w:val="center"/>
              <w:rPr>
                <w:rFonts w:ascii="Calibri" w:hAnsi="Calibri" w:cs="Calibri"/>
                <w:color w:val="231F20"/>
                <w:sz w:val="17"/>
                <w:szCs w:val="17"/>
              </w:rPr>
            </w:pPr>
            <w:r w:rsidRPr="00DB1AEE">
              <w:rPr>
                <w:rFonts w:ascii="Calibri" w:hAnsi="Calibri" w:cs="Calibri"/>
                <w:color w:val="231F20"/>
                <w:sz w:val="17"/>
                <w:szCs w:val="17"/>
              </w:rPr>
              <w:t>6</w:t>
            </w:r>
          </w:p>
        </w:tc>
        <w:tc>
          <w:tcPr>
            <w:tcW w:w="943" w:type="dxa"/>
            <w:tcBorders>
              <w:top w:val="nil"/>
              <w:left w:val="nil"/>
              <w:bottom w:val="single" w:sz="4" w:space="0" w:color="231F20"/>
              <w:right w:val="single" w:sz="4" w:space="0" w:color="231F20"/>
            </w:tcBorders>
            <w:noWrap/>
            <w:hideMark/>
          </w:tcPr>
          <w:p w14:paraId="68759B07" w14:textId="77777777" w:rsidR="00DB1AEE" w:rsidRPr="00DB1AEE" w:rsidRDefault="00DB1AEE" w:rsidP="00DB1AEE">
            <w:pPr>
              <w:jc w:val="center"/>
              <w:rPr>
                <w:rFonts w:ascii="Calibri" w:hAnsi="Calibri" w:cs="Calibri"/>
                <w:color w:val="231F20"/>
                <w:sz w:val="17"/>
                <w:szCs w:val="17"/>
              </w:rPr>
            </w:pPr>
            <w:r w:rsidRPr="00DB1AEE">
              <w:rPr>
                <w:rFonts w:ascii="Calibri" w:hAnsi="Calibri" w:cs="Calibri"/>
                <w:color w:val="231F20"/>
                <w:sz w:val="17"/>
                <w:szCs w:val="17"/>
              </w:rPr>
              <w:t>10</w:t>
            </w:r>
          </w:p>
        </w:tc>
        <w:tc>
          <w:tcPr>
            <w:tcW w:w="943" w:type="dxa"/>
            <w:tcBorders>
              <w:top w:val="nil"/>
              <w:left w:val="nil"/>
              <w:bottom w:val="single" w:sz="4" w:space="0" w:color="231F20"/>
              <w:right w:val="single" w:sz="4" w:space="0" w:color="231F20"/>
            </w:tcBorders>
            <w:noWrap/>
            <w:hideMark/>
          </w:tcPr>
          <w:p w14:paraId="02C94EC9" w14:textId="77777777" w:rsidR="00DB1AEE" w:rsidRPr="00DB1AEE" w:rsidRDefault="00DB1AEE" w:rsidP="00DB1AEE">
            <w:pPr>
              <w:jc w:val="center"/>
              <w:rPr>
                <w:rFonts w:ascii="Calibri" w:hAnsi="Calibri" w:cs="Calibri"/>
                <w:color w:val="231F20"/>
                <w:sz w:val="17"/>
                <w:szCs w:val="17"/>
              </w:rPr>
            </w:pPr>
            <w:r w:rsidRPr="00DB1AEE">
              <w:rPr>
                <w:rFonts w:ascii="Calibri" w:hAnsi="Calibri" w:cs="Calibri"/>
                <w:color w:val="231F20"/>
                <w:sz w:val="17"/>
                <w:szCs w:val="17"/>
              </w:rPr>
              <w:t>9</w:t>
            </w:r>
          </w:p>
        </w:tc>
      </w:tr>
      <w:tr w:rsidR="00DB1AEE" w:rsidRPr="00DB1AEE" w14:paraId="6E2FE706" w14:textId="77777777" w:rsidTr="00FC1832">
        <w:trPr>
          <w:trHeight w:val="279"/>
        </w:trPr>
        <w:tc>
          <w:tcPr>
            <w:tcW w:w="1705" w:type="dxa"/>
            <w:tcBorders>
              <w:top w:val="nil"/>
              <w:left w:val="single" w:sz="4" w:space="0" w:color="231F20"/>
              <w:bottom w:val="single" w:sz="4" w:space="0" w:color="231F20"/>
              <w:right w:val="single" w:sz="4" w:space="0" w:color="231F20"/>
            </w:tcBorders>
            <w:hideMark/>
          </w:tcPr>
          <w:p w14:paraId="579509C1" w14:textId="77777777" w:rsidR="00DB1AEE" w:rsidRPr="00DB1AEE" w:rsidRDefault="00DB1AEE" w:rsidP="00DB1AEE">
            <w:pPr>
              <w:jc w:val="left"/>
              <w:rPr>
                <w:color w:val="000000"/>
                <w:sz w:val="20"/>
              </w:rPr>
            </w:pPr>
            <w:r w:rsidRPr="00DB1AEE">
              <w:rPr>
                <w:rFonts w:ascii="Calibri" w:hAnsi="Calibri" w:cs="Calibri"/>
                <w:color w:val="231F20"/>
                <w:sz w:val="17"/>
                <w:szCs w:val="17"/>
              </w:rPr>
              <w:t>R408.2.5(5)</w:t>
            </w:r>
            <w:r w:rsidRPr="00DB1AEE">
              <w:rPr>
                <w:rFonts w:ascii="Calibri" w:hAnsi="Calibri" w:cs="Calibri"/>
                <w:color w:val="231F20"/>
                <w:sz w:val="10"/>
                <w:szCs w:val="10"/>
                <w:vertAlign w:val="superscript"/>
              </w:rPr>
              <w:t>c</w:t>
            </w:r>
          </w:p>
        </w:tc>
        <w:tc>
          <w:tcPr>
            <w:tcW w:w="5115" w:type="dxa"/>
            <w:tcBorders>
              <w:top w:val="single" w:sz="4" w:space="0" w:color="231F20"/>
              <w:left w:val="nil"/>
              <w:bottom w:val="single" w:sz="4" w:space="0" w:color="231F20"/>
              <w:right w:val="single" w:sz="4" w:space="0" w:color="231F20"/>
            </w:tcBorders>
            <w:hideMark/>
          </w:tcPr>
          <w:p w14:paraId="0BA42255" w14:textId="77777777" w:rsidR="00DB1AEE" w:rsidRPr="00DB1AEE" w:rsidRDefault="00DB1AEE" w:rsidP="00DB1AEE">
            <w:pPr>
              <w:ind w:firstLineChars="100" w:firstLine="170"/>
              <w:jc w:val="left"/>
              <w:rPr>
                <w:rFonts w:ascii="Calibri" w:hAnsi="Calibri" w:cs="Calibri"/>
                <w:sz w:val="17"/>
                <w:szCs w:val="17"/>
              </w:rPr>
            </w:pPr>
            <w:r w:rsidRPr="00DB1AEE">
              <w:rPr>
                <w:rFonts w:ascii="Calibri" w:hAnsi="Calibri" w:cs="Calibri"/>
                <w:color w:val="231F20"/>
                <w:sz w:val="17"/>
                <w:szCs w:val="17"/>
              </w:rPr>
              <w:t>≤ 1.0 ACH50 with ERV or HRV installed</w:t>
            </w:r>
          </w:p>
        </w:tc>
        <w:tc>
          <w:tcPr>
            <w:tcW w:w="1142" w:type="dxa"/>
            <w:tcBorders>
              <w:top w:val="nil"/>
              <w:left w:val="nil"/>
              <w:bottom w:val="single" w:sz="4" w:space="0" w:color="231F20"/>
              <w:right w:val="single" w:sz="4" w:space="0" w:color="231F20"/>
            </w:tcBorders>
            <w:noWrap/>
            <w:hideMark/>
          </w:tcPr>
          <w:p w14:paraId="32C5DBF7" w14:textId="77777777" w:rsidR="00DB1AEE" w:rsidRPr="00DB1AEE" w:rsidRDefault="00DB1AEE" w:rsidP="00DB1AEE">
            <w:pPr>
              <w:jc w:val="center"/>
              <w:rPr>
                <w:rFonts w:ascii="Calibri" w:hAnsi="Calibri" w:cs="Calibri"/>
                <w:color w:val="231F20"/>
                <w:sz w:val="17"/>
                <w:szCs w:val="17"/>
              </w:rPr>
            </w:pPr>
            <w:r w:rsidRPr="00DB1AEE">
              <w:rPr>
                <w:rFonts w:ascii="Calibri" w:hAnsi="Calibri" w:cs="Calibri"/>
                <w:color w:val="231F20"/>
                <w:sz w:val="17"/>
                <w:szCs w:val="17"/>
              </w:rPr>
              <w:t>7</w:t>
            </w:r>
          </w:p>
        </w:tc>
        <w:tc>
          <w:tcPr>
            <w:tcW w:w="943" w:type="dxa"/>
            <w:tcBorders>
              <w:top w:val="nil"/>
              <w:left w:val="nil"/>
              <w:bottom w:val="single" w:sz="4" w:space="0" w:color="231F20"/>
              <w:right w:val="single" w:sz="4" w:space="0" w:color="231F20"/>
            </w:tcBorders>
            <w:noWrap/>
            <w:hideMark/>
          </w:tcPr>
          <w:p w14:paraId="6B945856" w14:textId="77777777" w:rsidR="00DB1AEE" w:rsidRPr="00DB1AEE" w:rsidRDefault="00DB1AEE" w:rsidP="00DB1AEE">
            <w:pPr>
              <w:jc w:val="center"/>
              <w:rPr>
                <w:rFonts w:ascii="Calibri" w:hAnsi="Calibri" w:cs="Calibri"/>
                <w:color w:val="231F20"/>
                <w:sz w:val="17"/>
                <w:szCs w:val="17"/>
              </w:rPr>
            </w:pPr>
            <w:r w:rsidRPr="00DB1AEE">
              <w:rPr>
                <w:rFonts w:ascii="Calibri" w:hAnsi="Calibri" w:cs="Calibri"/>
                <w:color w:val="231F20"/>
                <w:sz w:val="17"/>
                <w:szCs w:val="17"/>
              </w:rPr>
              <w:t>12</w:t>
            </w:r>
          </w:p>
        </w:tc>
        <w:tc>
          <w:tcPr>
            <w:tcW w:w="943" w:type="dxa"/>
            <w:tcBorders>
              <w:top w:val="nil"/>
              <w:left w:val="nil"/>
              <w:bottom w:val="single" w:sz="4" w:space="0" w:color="231F20"/>
              <w:right w:val="single" w:sz="4" w:space="0" w:color="231F20"/>
            </w:tcBorders>
            <w:noWrap/>
            <w:hideMark/>
          </w:tcPr>
          <w:p w14:paraId="350DD1A1" w14:textId="77777777" w:rsidR="00DB1AEE" w:rsidRPr="00DB1AEE" w:rsidRDefault="00DB1AEE" w:rsidP="00DB1AEE">
            <w:pPr>
              <w:jc w:val="center"/>
              <w:rPr>
                <w:rFonts w:ascii="Calibri" w:hAnsi="Calibri" w:cs="Calibri"/>
                <w:color w:val="231F20"/>
                <w:sz w:val="17"/>
                <w:szCs w:val="17"/>
              </w:rPr>
            </w:pPr>
            <w:r w:rsidRPr="00DB1AEE">
              <w:rPr>
                <w:rFonts w:ascii="Calibri" w:hAnsi="Calibri" w:cs="Calibri"/>
                <w:color w:val="231F20"/>
                <w:sz w:val="17"/>
                <w:szCs w:val="17"/>
              </w:rPr>
              <w:t>12</w:t>
            </w:r>
          </w:p>
        </w:tc>
      </w:tr>
      <w:tr w:rsidR="00DB1AEE" w:rsidRPr="00DB1AEE" w14:paraId="1A0A6D71" w14:textId="77777777" w:rsidTr="00FC1832">
        <w:trPr>
          <w:trHeight w:val="297"/>
        </w:trPr>
        <w:tc>
          <w:tcPr>
            <w:tcW w:w="1705" w:type="dxa"/>
            <w:tcBorders>
              <w:top w:val="nil"/>
              <w:left w:val="single" w:sz="4" w:space="0" w:color="231F20"/>
              <w:bottom w:val="single" w:sz="4" w:space="0" w:color="231F20"/>
              <w:right w:val="single" w:sz="4" w:space="0" w:color="231F20"/>
            </w:tcBorders>
            <w:hideMark/>
          </w:tcPr>
          <w:p w14:paraId="3EBED3B5" w14:textId="77777777" w:rsidR="00DB1AEE" w:rsidRPr="00DB1AEE" w:rsidRDefault="00DB1AEE" w:rsidP="00DB1AEE">
            <w:pPr>
              <w:jc w:val="left"/>
              <w:rPr>
                <w:color w:val="000000"/>
                <w:sz w:val="20"/>
              </w:rPr>
            </w:pPr>
            <w:r w:rsidRPr="00DB1AEE">
              <w:rPr>
                <w:rFonts w:ascii="Calibri" w:hAnsi="Calibri" w:cs="Calibri"/>
                <w:color w:val="231F20"/>
                <w:sz w:val="17"/>
                <w:szCs w:val="17"/>
              </w:rPr>
              <w:t>R408.2.6</w:t>
            </w:r>
            <w:r w:rsidRPr="00DB1AEE">
              <w:rPr>
                <w:rFonts w:ascii="Calibri" w:hAnsi="Calibri" w:cs="Calibri"/>
                <w:color w:val="231F20"/>
                <w:sz w:val="10"/>
                <w:szCs w:val="10"/>
                <w:vertAlign w:val="superscript"/>
              </w:rPr>
              <w:t>a</w:t>
            </w:r>
          </w:p>
        </w:tc>
        <w:tc>
          <w:tcPr>
            <w:tcW w:w="5115" w:type="dxa"/>
            <w:tcBorders>
              <w:top w:val="single" w:sz="4" w:space="0" w:color="231F20"/>
              <w:left w:val="nil"/>
              <w:bottom w:val="single" w:sz="4" w:space="0" w:color="231F20"/>
              <w:right w:val="single" w:sz="4" w:space="0" w:color="231F20"/>
            </w:tcBorders>
            <w:hideMark/>
          </w:tcPr>
          <w:p w14:paraId="39CC8A6A" w14:textId="77777777" w:rsidR="00DB1AEE" w:rsidRPr="00DB1AEE" w:rsidRDefault="00DB1AEE" w:rsidP="00DB1AEE">
            <w:pPr>
              <w:jc w:val="left"/>
              <w:rPr>
                <w:rFonts w:ascii="Calibri" w:hAnsi="Calibri" w:cs="Calibri"/>
                <w:sz w:val="17"/>
                <w:szCs w:val="17"/>
              </w:rPr>
            </w:pPr>
            <w:r w:rsidRPr="00DB1AEE">
              <w:rPr>
                <w:rFonts w:ascii="Calibri" w:hAnsi="Calibri" w:cs="Calibri"/>
                <w:color w:val="231F20"/>
                <w:sz w:val="17"/>
                <w:szCs w:val="17"/>
              </w:rPr>
              <w:t>Embodied Carbon</w:t>
            </w:r>
          </w:p>
        </w:tc>
        <w:tc>
          <w:tcPr>
            <w:tcW w:w="1142" w:type="dxa"/>
            <w:tcBorders>
              <w:top w:val="nil"/>
              <w:left w:val="nil"/>
              <w:bottom w:val="single" w:sz="4" w:space="0" w:color="231F20"/>
              <w:right w:val="single" w:sz="4" w:space="0" w:color="231F20"/>
            </w:tcBorders>
            <w:noWrap/>
            <w:hideMark/>
          </w:tcPr>
          <w:p w14:paraId="76E6DF2B" w14:textId="77777777" w:rsidR="00DB1AEE" w:rsidRPr="00DB1AEE" w:rsidRDefault="00DB1AEE" w:rsidP="00DB1AEE">
            <w:pPr>
              <w:jc w:val="center"/>
              <w:rPr>
                <w:rFonts w:ascii="Calibri" w:hAnsi="Calibri" w:cs="Calibri"/>
                <w:color w:val="231F20"/>
                <w:sz w:val="17"/>
                <w:szCs w:val="17"/>
              </w:rPr>
            </w:pPr>
            <w:r w:rsidRPr="00DB1AEE">
              <w:rPr>
                <w:rFonts w:ascii="Calibri" w:hAnsi="Calibri" w:cs="Calibri"/>
                <w:color w:val="231F20"/>
                <w:sz w:val="17"/>
                <w:szCs w:val="17"/>
              </w:rPr>
              <w:t>1</w:t>
            </w:r>
          </w:p>
        </w:tc>
        <w:tc>
          <w:tcPr>
            <w:tcW w:w="943" w:type="dxa"/>
            <w:tcBorders>
              <w:top w:val="nil"/>
              <w:left w:val="nil"/>
              <w:bottom w:val="single" w:sz="4" w:space="0" w:color="231F20"/>
              <w:right w:val="single" w:sz="4" w:space="0" w:color="231F20"/>
            </w:tcBorders>
            <w:noWrap/>
            <w:hideMark/>
          </w:tcPr>
          <w:p w14:paraId="120C6C96" w14:textId="77777777" w:rsidR="00DB1AEE" w:rsidRPr="00DB1AEE" w:rsidRDefault="00DB1AEE" w:rsidP="00DB1AEE">
            <w:pPr>
              <w:jc w:val="center"/>
              <w:rPr>
                <w:rFonts w:ascii="Calibri" w:hAnsi="Calibri" w:cs="Calibri"/>
                <w:color w:val="231F20"/>
                <w:sz w:val="17"/>
                <w:szCs w:val="17"/>
              </w:rPr>
            </w:pPr>
            <w:r w:rsidRPr="00DB1AEE">
              <w:rPr>
                <w:rFonts w:ascii="Calibri" w:hAnsi="Calibri" w:cs="Calibri"/>
                <w:color w:val="231F20"/>
                <w:sz w:val="17"/>
                <w:szCs w:val="17"/>
              </w:rPr>
              <w:t>1</w:t>
            </w:r>
          </w:p>
        </w:tc>
        <w:tc>
          <w:tcPr>
            <w:tcW w:w="943" w:type="dxa"/>
            <w:tcBorders>
              <w:top w:val="nil"/>
              <w:left w:val="nil"/>
              <w:bottom w:val="single" w:sz="4" w:space="0" w:color="231F20"/>
              <w:right w:val="single" w:sz="4" w:space="0" w:color="231F20"/>
            </w:tcBorders>
            <w:noWrap/>
            <w:hideMark/>
          </w:tcPr>
          <w:p w14:paraId="01AE62A1" w14:textId="77777777" w:rsidR="00DB1AEE" w:rsidRPr="00DB1AEE" w:rsidRDefault="00DB1AEE" w:rsidP="00DB1AEE">
            <w:pPr>
              <w:jc w:val="center"/>
              <w:rPr>
                <w:rFonts w:ascii="Calibri" w:hAnsi="Calibri" w:cs="Calibri"/>
                <w:color w:val="231F20"/>
                <w:sz w:val="17"/>
                <w:szCs w:val="17"/>
              </w:rPr>
            </w:pPr>
            <w:r w:rsidRPr="00DB1AEE">
              <w:rPr>
                <w:rFonts w:ascii="Calibri" w:hAnsi="Calibri" w:cs="Calibri"/>
                <w:color w:val="231F20"/>
                <w:sz w:val="17"/>
                <w:szCs w:val="17"/>
              </w:rPr>
              <w:t>0</w:t>
            </w:r>
          </w:p>
        </w:tc>
      </w:tr>
      <w:tr w:rsidR="00DB1AEE" w:rsidRPr="00DB1AEE" w14:paraId="3AD47A91" w14:textId="77777777" w:rsidTr="00FC1832">
        <w:trPr>
          <w:trHeight w:val="279"/>
        </w:trPr>
        <w:tc>
          <w:tcPr>
            <w:tcW w:w="1705" w:type="dxa"/>
            <w:tcBorders>
              <w:top w:val="nil"/>
              <w:left w:val="single" w:sz="4" w:space="0" w:color="231F20"/>
              <w:bottom w:val="single" w:sz="4" w:space="0" w:color="231F20"/>
              <w:right w:val="single" w:sz="4" w:space="0" w:color="231F20"/>
            </w:tcBorders>
            <w:hideMark/>
          </w:tcPr>
          <w:p w14:paraId="1D154F50" w14:textId="77777777" w:rsidR="00DB1AEE" w:rsidRPr="00DB1AEE" w:rsidRDefault="00DB1AEE" w:rsidP="00DB1AEE">
            <w:pPr>
              <w:jc w:val="left"/>
              <w:rPr>
                <w:rFonts w:ascii="Calibri" w:hAnsi="Calibri" w:cs="Calibri"/>
                <w:sz w:val="17"/>
                <w:szCs w:val="17"/>
              </w:rPr>
            </w:pPr>
            <w:r w:rsidRPr="00DB1AEE">
              <w:rPr>
                <w:rFonts w:ascii="Calibri" w:hAnsi="Calibri" w:cs="Calibri"/>
                <w:color w:val="231F20"/>
                <w:sz w:val="17"/>
                <w:szCs w:val="17"/>
              </w:rPr>
              <w:t>R408.2.7</w:t>
            </w:r>
          </w:p>
        </w:tc>
        <w:tc>
          <w:tcPr>
            <w:tcW w:w="5115" w:type="dxa"/>
            <w:tcBorders>
              <w:top w:val="single" w:sz="4" w:space="0" w:color="231F20"/>
              <w:left w:val="nil"/>
              <w:bottom w:val="single" w:sz="4" w:space="0" w:color="231F20"/>
              <w:right w:val="single" w:sz="4" w:space="0" w:color="231F20"/>
            </w:tcBorders>
            <w:hideMark/>
          </w:tcPr>
          <w:p w14:paraId="55907093" w14:textId="77777777" w:rsidR="00DB1AEE" w:rsidRPr="00DB1AEE" w:rsidRDefault="00DB1AEE" w:rsidP="00DB1AEE">
            <w:pPr>
              <w:jc w:val="left"/>
              <w:rPr>
                <w:rFonts w:ascii="Calibri" w:hAnsi="Calibri" w:cs="Calibri"/>
                <w:sz w:val="17"/>
                <w:szCs w:val="17"/>
              </w:rPr>
            </w:pPr>
            <w:r w:rsidRPr="00DB1AEE">
              <w:rPr>
                <w:rFonts w:ascii="Calibri" w:hAnsi="Calibri" w:cs="Calibri"/>
                <w:color w:val="231F20"/>
                <w:sz w:val="17"/>
                <w:szCs w:val="17"/>
              </w:rPr>
              <w:t>On-site renewable energy measures</w:t>
            </w:r>
          </w:p>
        </w:tc>
        <w:tc>
          <w:tcPr>
            <w:tcW w:w="1142" w:type="dxa"/>
            <w:tcBorders>
              <w:top w:val="nil"/>
              <w:left w:val="nil"/>
              <w:bottom w:val="single" w:sz="4" w:space="0" w:color="231F20"/>
              <w:right w:val="single" w:sz="4" w:space="0" w:color="231F20"/>
            </w:tcBorders>
            <w:noWrap/>
            <w:hideMark/>
          </w:tcPr>
          <w:p w14:paraId="213BA04E" w14:textId="77777777" w:rsidR="00DB1AEE" w:rsidRPr="00DB1AEE" w:rsidRDefault="00DB1AEE" w:rsidP="00DB1AEE">
            <w:pPr>
              <w:jc w:val="center"/>
              <w:rPr>
                <w:rFonts w:ascii="Calibri" w:hAnsi="Calibri" w:cs="Calibri"/>
                <w:color w:val="231F20"/>
                <w:sz w:val="17"/>
                <w:szCs w:val="17"/>
              </w:rPr>
            </w:pPr>
            <w:r w:rsidRPr="00DB1AEE">
              <w:rPr>
                <w:rFonts w:ascii="Calibri" w:hAnsi="Calibri" w:cs="Calibri"/>
                <w:color w:val="231F20"/>
                <w:sz w:val="17"/>
                <w:szCs w:val="17"/>
              </w:rPr>
              <w:t>11</w:t>
            </w:r>
          </w:p>
        </w:tc>
        <w:tc>
          <w:tcPr>
            <w:tcW w:w="943" w:type="dxa"/>
            <w:tcBorders>
              <w:top w:val="nil"/>
              <w:left w:val="nil"/>
              <w:bottom w:val="single" w:sz="4" w:space="0" w:color="231F20"/>
              <w:right w:val="single" w:sz="4" w:space="0" w:color="231F20"/>
            </w:tcBorders>
            <w:noWrap/>
            <w:hideMark/>
          </w:tcPr>
          <w:p w14:paraId="07818F34" w14:textId="77777777" w:rsidR="00DB1AEE" w:rsidRPr="00DB1AEE" w:rsidRDefault="00DB1AEE" w:rsidP="00DB1AEE">
            <w:pPr>
              <w:jc w:val="center"/>
              <w:rPr>
                <w:rFonts w:ascii="Calibri" w:hAnsi="Calibri" w:cs="Calibri"/>
                <w:color w:val="231F20"/>
                <w:sz w:val="17"/>
                <w:szCs w:val="17"/>
              </w:rPr>
            </w:pPr>
            <w:r w:rsidRPr="00DB1AEE">
              <w:rPr>
                <w:rFonts w:ascii="Calibri" w:hAnsi="Calibri" w:cs="Calibri"/>
                <w:color w:val="231F20"/>
                <w:sz w:val="17"/>
                <w:szCs w:val="17"/>
              </w:rPr>
              <w:t>9</w:t>
            </w:r>
          </w:p>
        </w:tc>
        <w:tc>
          <w:tcPr>
            <w:tcW w:w="943" w:type="dxa"/>
            <w:tcBorders>
              <w:top w:val="nil"/>
              <w:left w:val="nil"/>
              <w:bottom w:val="single" w:sz="4" w:space="0" w:color="231F20"/>
              <w:right w:val="single" w:sz="4" w:space="0" w:color="231F20"/>
            </w:tcBorders>
            <w:noWrap/>
            <w:hideMark/>
          </w:tcPr>
          <w:p w14:paraId="105F8094" w14:textId="77777777" w:rsidR="00DB1AEE" w:rsidRPr="00DB1AEE" w:rsidRDefault="00DB1AEE" w:rsidP="00DB1AEE">
            <w:pPr>
              <w:jc w:val="center"/>
              <w:rPr>
                <w:rFonts w:ascii="Calibri" w:hAnsi="Calibri" w:cs="Calibri"/>
                <w:color w:val="231F20"/>
                <w:sz w:val="17"/>
                <w:szCs w:val="17"/>
              </w:rPr>
            </w:pPr>
            <w:r w:rsidRPr="00DB1AEE">
              <w:rPr>
                <w:rFonts w:ascii="Calibri" w:hAnsi="Calibri" w:cs="Calibri"/>
                <w:color w:val="231F20"/>
                <w:sz w:val="17"/>
                <w:szCs w:val="17"/>
              </w:rPr>
              <w:t>8</w:t>
            </w:r>
          </w:p>
        </w:tc>
      </w:tr>
      <w:tr w:rsidR="00DB1AEE" w:rsidRPr="00DB1AEE" w14:paraId="682E9B81" w14:textId="77777777" w:rsidTr="00FC1832">
        <w:trPr>
          <w:trHeight w:val="297"/>
        </w:trPr>
        <w:tc>
          <w:tcPr>
            <w:tcW w:w="1705" w:type="dxa"/>
            <w:tcBorders>
              <w:top w:val="nil"/>
              <w:left w:val="single" w:sz="4" w:space="0" w:color="231F20"/>
              <w:bottom w:val="single" w:sz="4" w:space="0" w:color="231F20"/>
              <w:right w:val="single" w:sz="4" w:space="0" w:color="231F20"/>
            </w:tcBorders>
            <w:hideMark/>
          </w:tcPr>
          <w:p w14:paraId="046EED7D" w14:textId="77777777" w:rsidR="00DB1AEE" w:rsidRPr="00DB1AEE" w:rsidRDefault="00DB1AEE" w:rsidP="00DB1AEE">
            <w:pPr>
              <w:jc w:val="left"/>
              <w:rPr>
                <w:color w:val="000000"/>
                <w:sz w:val="20"/>
              </w:rPr>
            </w:pPr>
            <w:r w:rsidRPr="00DB1AEE">
              <w:rPr>
                <w:rFonts w:ascii="Calibri" w:hAnsi="Calibri" w:cs="Calibri"/>
                <w:color w:val="231F20"/>
                <w:sz w:val="17"/>
                <w:szCs w:val="17"/>
              </w:rPr>
              <w:t>R408.2.8</w:t>
            </w:r>
            <w:r w:rsidRPr="00DB1AEE">
              <w:rPr>
                <w:rFonts w:ascii="Calibri" w:hAnsi="Calibri" w:cs="Calibri"/>
                <w:color w:val="231F20"/>
                <w:sz w:val="10"/>
                <w:szCs w:val="10"/>
                <w:vertAlign w:val="superscript"/>
              </w:rPr>
              <w:t>c</w:t>
            </w:r>
          </w:p>
        </w:tc>
        <w:tc>
          <w:tcPr>
            <w:tcW w:w="5115" w:type="dxa"/>
            <w:tcBorders>
              <w:top w:val="single" w:sz="4" w:space="0" w:color="231F20"/>
              <w:left w:val="nil"/>
              <w:bottom w:val="single" w:sz="4" w:space="0" w:color="231F20"/>
              <w:right w:val="single" w:sz="4" w:space="0" w:color="231F20"/>
            </w:tcBorders>
            <w:hideMark/>
          </w:tcPr>
          <w:p w14:paraId="2E997B99" w14:textId="77777777" w:rsidR="00DB1AEE" w:rsidRPr="00DB1AEE" w:rsidRDefault="00DB1AEE" w:rsidP="00DB1AEE">
            <w:pPr>
              <w:jc w:val="left"/>
              <w:rPr>
                <w:rFonts w:ascii="Calibri" w:hAnsi="Calibri" w:cs="Calibri"/>
                <w:sz w:val="17"/>
                <w:szCs w:val="17"/>
              </w:rPr>
            </w:pPr>
            <w:r w:rsidRPr="00DB1AEE">
              <w:rPr>
                <w:rFonts w:ascii="Calibri" w:hAnsi="Calibri" w:cs="Calibri"/>
                <w:color w:val="231F20"/>
                <w:sz w:val="17"/>
                <w:szCs w:val="17"/>
              </w:rPr>
              <w:t>Demand responsive thermostat</w:t>
            </w:r>
          </w:p>
        </w:tc>
        <w:tc>
          <w:tcPr>
            <w:tcW w:w="1142" w:type="dxa"/>
            <w:tcBorders>
              <w:top w:val="nil"/>
              <w:left w:val="nil"/>
              <w:bottom w:val="single" w:sz="4" w:space="0" w:color="231F20"/>
              <w:right w:val="single" w:sz="4" w:space="0" w:color="231F20"/>
            </w:tcBorders>
            <w:noWrap/>
            <w:hideMark/>
          </w:tcPr>
          <w:p w14:paraId="51277658" w14:textId="77777777" w:rsidR="00DB1AEE" w:rsidRPr="00DB1AEE" w:rsidRDefault="00DB1AEE" w:rsidP="00DB1AEE">
            <w:pPr>
              <w:jc w:val="center"/>
              <w:rPr>
                <w:rFonts w:ascii="Calibri" w:hAnsi="Calibri" w:cs="Calibri"/>
                <w:color w:val="231F20"/>
                <w:sz w:val="17"/>
                <w:szCs w:val="17"/>
              </w:rPr>
            </w:pPr>
            <w:r w:rsidRPr="00DB1AEE">
              <w:rPr>
                <w:rFonts w:ascii="Calibri" w:hAnsi="Calibri" w:cs="Calibri"/>
                <w:color w:val="231F20"/>
                <w:sz w:val="17"/>
                <w:szCs w:val="17"/>
              </w:rPr>
              <w:t>1</w:t>
            </w:r>
          </w:p>
        </w:tc>
        <w:tc>
          <w:tcPr>
            <w:tcW w:w="943" w:type="dxa"/>
            <w:tcBorders>
              <w:top w:val="nil"/>
              <w:left w:val="nil"/>
              <w:bottom w:val="single" w:sz="4" w:space="0" w:color="231F20"/>
              <w:right w:val="single" w:sz="4" w:space="0" w:color="231F20"/>
            </w:tcBorders>
            <w:noWrap/>
            <w:hideMark/>
          </w:tcPr>
          <w:p w14:paraId="71F3FF08" w14:textId="77777777" w:rsidR="00DB1AEE" w:rsidRPr="00DB1AEE" w:rsidRDefault="00DB1AEE" w:rsidP="00DB1AEE">
            <w:pPr>
              <w:jc w:val="center"/>
              <w:rPr>
                <w:rFonts w:ascii="Calibri" w:hAnsi="Calibri" w:cs="Calibri"/>
                <w:color w:val="231F20"/>
                <w:sz w:val="17"/>
                <w:szCs w:val="17"/>
              </w:rPr>
            </w:pPr>
            <w:r w:rsidRPr="00DB1AEE">
              <w:rPr>
                <w:rFonts w:ascii="Calibri" w:hAnsi="Calibri" w:cs="Calibri"/>
                <w:color w:val="231F20"/>
                <w:sz w:val="17"/>
                <w:szCs w:val="17"/>
              </w:rPr>
              <w:t>1</w:t>
            </w:r>
          </w:p>
        </w:tc>
        <w:tc>
          <w:tcPr>
            <w:tcW w:w="943" w:type="dxa"/>
            <w:tcBorders>
              <w:top w:val="nil"/>
              <w:left w:val="nil"/>
              <w:bottom w:val="single" w:sz="4" w:space="0" w:color="231F20"/>
              <w:right w:val="single" w:sz="4" w:space="0" w:color="231F20"/>
            </w:tcBorders>
            <w:noWrap/>
            <w:hideMark/>
          </w:tcPr>
          <w:p w14:paraId="388BD9C8" w14:textId="77777777" w:rsidR="00DB1AEE" w:rsidRPr="00DB1AEE" w:rsidRDefault="00DB1AEE" w:rsidP="00DB1AEE">
            <w:pPr>
              <w:jc w:val="center"/>
              <w:rPr>
                <w:rFonts w:ascii="Calibri" w:hAnsi="Calibri" w:cs="Calibri"/>
                <w:color w:val="231F20"/>
                <w:sz w:val="17"/>
                <w:szCs w:val="17"/>
              </w:rPr>
            </w:pPr>
            <w:r w:rsidRPr="00DB1AEE">
              <w:rPr>
                <w:rFonts w:ascii="Calibri" w:hAnsi="Calibri" w:cs="Calibri"/>
                <w:color w:val="231F20"/>
                <w:sz w:val="17"/>
                <w:szCs w:val="17"/>
              </w:rPr>
              <w:t>1</w:t>
            </w:r>
          </w:p>
        </w:tc>
      </w:tr>
    </w:tbl>
    <w:p w14:paraId="5F109980" w14:textId="77777777" w:rsidR="00DB1AEE" w:rsidRPr="00DB1AEE" w:rsidRDefault="00DB1AEE" w:rsidP="00DB1AEE">
      <w:pPr>
        <w:suppressAutoHyphens/>
        <w:spacing w:line="257" w:lineRule="auto"/>
        <w:jc w:val="left"/>
        <w:rPr>
          <w:szCs w:val="24"/>
          <w:u w:val="single"/>
        </w:rPr>
      </w:pPr>
      <w:r w:rsidRPr="00DB1AEE">
        <w:rPr>
          <w:szCs w:val="24"/>
          <w:u w:val="single"/>
        </w:rPr>
        <w:t>NA = Not Applicable.</w:t>
      </w:r>
    </w:p>
    <w:p w14:paraId="1ADDA416" w14:textId="77777777" w:rsidR="00DB1AEE" w:rsidRPr="00DB1AEE" w:rsidRDefault="00DB1AEE" w:rsidP="00DB1AEE">
      <w:pPr>
        <w:suppressAutoHyphens/>
        <w:spacing w:line="257" w:lineRule="auto"/>
        <w:jc w:val="left"/>
        <w:rPr>
          <w:szCs w:val="24"/>
          <w:u w:val="single"/>
        </w:rPr>
      </w:pPr>
      <w:r w:rsidRPr="00DB1AEE">
        <w:rPr>
          <w:szCs w:val="24"/>
          <w:u w:val="single"/>
        </w:rPr>
        <w:t>a.   Where the measure is selected, each dwelling unit, sleeping unit and common area where the measure is applicable must have the measure installed.</w:t>
      </w:r>
    </w:p>
    <w:p w14:paraId="43EC98A3" w14:textId="77777777" w:rsidR="00DB1AEE" w:rsidRPr="00DB1AEE" w:rsidRDefault="00DB1AEE" w:rsidP="00DB1AEE">
      <w:pPr>
        <w:suppressAutoHyphens/>
        <w:spacing w:line="257" w:lineRule="auto"/>
        <w:jc w:val="left"/>
        <w:rPr>
          <w:szCs w:val="24"/>
          <w:u w:val="single"/>
        </w:rPr>
      </w:pPr>
      <w:r w:rsidRPr="00DB1AEE">
        <w:rPr>
          <w:szCs w:val="24"/>
          <w:u w:val="single"/>
        </w:rPr>
        <w:t>b.  Where multiple heating or cooling systems are installed, credits shall be determined using a weighted average of the square footage served by each system.</w:t>
      </w:r>
    </w:p>
    <w:p w14:paraId="66A88B57" w14:textId="77777777" w:rsidR="00DB1AEE" w:rsidRPr="00DB1AEE" w:rsidRDefault="00DB1AEE" w:rsidP="00DB1AEE">
      <w:pPr>
        <w:suppressAutoHyphens/>
        <w:spacing w:line="257" w:lineRule="auto"/>
        <w:jc w:val="left"/>
        <w:rPr>
          <w:szCs w:val="24"/>
          <w:u w:val="single"/>
        </w:rPr>
      </w:pPr>
      <w:r w:rsidRPr="00DB1AEE">
        <w:rPr>
          <w:szCs w:val="24"/>
          <w:u w:val="single"/>
        </w:rPr>
        <w:t>c.   Where the measure is selected, each dwelling unit and sleeping unit must comply with the measure.</w:t>
      </w:r>
    </w:p>
    <w:p w14:paraId="6AF6788C" w14:textId="77777777" w:rsidR="00DB1AEE" w:rsidRPr="00DB1AEE" w:rsidRDefault="00DB1AEE" w:rsidP="00DB1AEE">
      <w:pPr>
        <w:suppressAutoHyphens/>
        <w:spacing w:line="257" w:lineRule="auto"/>
        <w:jc w:val="left"/>
        <w:rPr>
          <w:szCs w:val="24"/>
          <w:u w:val="single"/>
        </w:rPr>
      </w:pPr>
      <w:r w:rsidRPr="00DB1AEE">
        <w:rPr>
          <w:szCs w:val="24"/>
          <w:u w:val="single"/>
        </w:rPr>
        <w:t>d.  Where the measure is selected, each dwelling unit shall be served by a water heater meeting the applicable requirements. Where multiple service water heating systems are installed, credits shall be determined using a weighted average of the square footage served by each system.</w:t>
      </w:r>
    </w:p>
    <w:p w14:paraId="0C7B7AF0" w14:textId="77777777" w:rsidR="00DB1AEE" w:rsidRPr="00DB1AEE" w:rsidRDefault="00DB1AEE" w:rsidP="00DB1AEE">
      <w:pPr>
        <w:suppressAutoHyphens/>
        <w:spacing w:line="257" w:lineRule="auto"/>
        <w:jc w:val="left"/>
        <w:rPr>
          <w:szCs w:val="24"/>
          <w:u w:val="single"/>
        </w:rPr>
      </w:pPr>
      <w:r w:rsidRPr="00DB1AEE">
        <w:rPr>
          <w:szCs w:val="24"/>
          <w:u w:val="single"/>
        </w:rPr>
        <w:t>e.   Eleven credits are available for Climate Zone 4 where the following measure is used: gas furnace and heat pump (Option 3): greater than or equal to 95% AFUE fuel gas furnace and 7.8 HSPF2, 15.2 SEER2 and 10.0 EER2 air source heat pump.</w:t>
      </w:r>
    </w:p>
    <w:p w14:paraId="78280833" w14:textId="77777777" w:rsidR="00DB1AEE" w:rsidRPr="00DB1AEE" w:rsidRDefault="00DB1AEE" w:rsidP="00DB1AEE">
      <w:pPr>
        <w:suppressAutoHyphens/>
        <w:spacing w:line="257" w:lineRule="auto"/>
        <w:jc w:val="left"/>
        <w:rPr>
          <w:szCs w:val="24"/>
          <w:u w:val="single"/>
        </w:rPr>
      </w:pPr>
    </w:p>
    <w:p w14:paraId="32CF8384" w14:textId="77777777" w:rsidR="00DB1AEE" w:rsidRPr="00DB1AEE" w:rsidRDefault="00DB1AEE" w:rsidP="00DB1AEE">
      <w:pPr>
        <w:suppressAutoHyphens/>
        <w:spacing w:line="257" w:lineRule="auto"/>
        <w:jc w:val="left"/>
        <w:rPr>
          <w:szCs w:val="24"/>
          <w:u w:val="single"/>
        </w:rPr>
      </w:pPr>
    </w:p>
    <w:p w14:paraId="5DF52383" w14:textId="77777777" w:rsidR="00DB1AEE" w:rsidRPr="00DB1AEE" w:rsidRDefault="00DB1AEE" w:rsidP="00DB1AEE">
      <w:pPr>
        <w:suppressAutoHyphens/>
        <w:spacing w:before="130" w:after="130"/>
        <w:rPr>
          <w:rFonts w:eastAsia="MS Mincho"/>
          <w:u w:val="single"/>
        </w:rPr>
      </w:pPr>
      <w:r w:rsidRPr="00DB1AEE">
        <w:rPr>
          <w:rFonts w:eastAsia="MS Mincho"/>
          <w:b/>
          <w:bCs/>
          <w:u w:val="single"/>
        </w:rPr>
        <w:t>Section R408.2.1.3 Roof solar reflectance index.</w:t>
      </w:r>
      <w:r w:rsidRPr="00DB1AEE">
        <w:rPr>
          <w:rFonts w:eastAsia="MS Mincho"/>
          <w:u w:val="single"/>
        </w:rPr>
        <w:t> </w:t>
      </w:r>
    </w:p>
    <w:p w14:paraId="20603A26" w14:textId="77777777" w:rsidR="00DB1AEE" w:rsidRPr="00DB1AEE" w:rsidRDefault="00DB1AEE" w:rsidP="00DB1AEE">
      <w:pPr>
        <w:suppressAutoHyphens/>
        <w:spacing w:before="130" w:after="130"/>
        <w:rPr>
          <w:rFonts w:eastAsia="MS Mincho"/>
          <w:u w:val="single"/>
        </w:rPr>
      </w:pPr>
      <w:r w:rsidRPr="00DB1AEE">
        <w:rPr>
          <w:rFonts w:eastAsia="MS Mincho"/>
          <w:u w:val="single"/>
        </w:rPr>
        <w:t>Section R408.2.1.3 – Revise Section R408.2.1.3 to read as follows:</w:t>
      </w:r>
    </w:p>
    <w:p w14:paraId="26A38A50" w14:textId="77777777" w:rsidR="00DB1AEE" w:rsidRPr="00DB1AEE" w:rsidRDefault="00DB1AEE" w:rsidP="00DB1AEE">
      <w:pPr>
        <w:suppressAutoHyphens/>
        <w:spacing w:line="257" w:lineRule="auto"/>
        <w:jc w:val="left"/>
        <w:rPr>
          <w:rFonts w:eastAsia="MS Mincho"/>
          <w:u w:val="single"/>
        </w:rPr>
      </w:pPr>
      <w:r w:rsidRPr="00DB1AEE">
        <w:rPr>
          <w:rFonts w:eastAsia="MS Mincho"/>
          <w:b/>
          <w:bCs/>
          <w:u w:val="single"/>
        </w:rPr>
        <w:t xml:space="preserve">R408.2.1.3 Roof solar reflectance index. </w:t>
      </w:r>
      <w:r w:rsidRPr="00DB1AEE">
        <w:rPr>
          <w:rFonts w:eastAsia="MS Mincho"/>
          <w:u w:val="single"/>
        </w:rPr>
        <w:t>Reserved.</w:t>
      </w:r>
    </w:p>
    <w:p w14:paraId="6AFDF5FA" w14:textId="77777777" w:rsidR="00DB1AEE" w:rsidRPr="00DB1AEE" w:rsidRDefault="00DB1AEE" w:rsidP="00DB1AEE">
      <w:pPr>
        <w:suppressAutoHyphens/>
        <w:spacing w:line="257" w:lineRule="auto"/>
        <w:jc w:val="left"/>
        <w:rPr>
          <w:szCs w:val="24"/>
          <w:u w:val="single"/>
        </w:rPr>
      </w:pPr>
    </w:p>
    <w:p w14:paraId="2BD26CA3" w14:textId="77777777" w:rsidR="00DB1AEE" w:rsidRPr="00DB1AEE" w:rsidRDefault="00DB1AEE" w:rsidP="00DB1AEE">
      <w:pPr>
        <w:suppressAutoHyphens/>
        <w:spacing w:before="130" w:after="130"/>
        <w:rPr>
          <w:rFonts w:eastAsia="MS Mincho"/>
          <w:u w:val="single"/>
        </w:rPr>
      </w:pPr>
      <w:r w:rsidRPr="00DB1AEE">
        <w:rPr>
          <w:rFonts w:eastAsia="MS Mincho"/>
          <w:b/>
          <w:bCs/>
          <w:u w:val="single"/>
        </w:rPr>
        <w:t>Section R408.2.1.3.1 Aged solar reflectance..</w:t>
      </w:r>
      <w:r w:rsidRPr="00DB1AEE">
        <w:rPr>
          <w:rFonts w:eastAsia="MS Mincho"/>
          <w:u w:val="single"/>
        </w:rPr>
        <w:t> </w:t>
      </w:r>
    </w:p>
    <w:p w14:paraId="429E6396" w14:textId="77777777" w:rsidR="00DB1AEE" w:rsidRPr="00DB1AEE" w:rsidRDefault="00DB1AEE" w:rsidP="00DB1AEE">
      <w:pPr>
        <w:suppressAutoHyphens/>
        <w:spacing w:before="130" w:after="130"/>
        <w:rPr>
          <w:rFonts w:eastAsia="MS Mincho"/>
          <w:u w:val="single"/>
        </w:rPr>
      </w:pPr>
      <w:r w:rsidRPr="00DB1AEE">
        <w:rPr>
          <w:rFonts w:eastAsia="MS Mincho"/>
          <w:u w:val="single"/>
        </w:rPr>
        <w:t>Section R408.2.1.3.1 – Revise Section R408.2.1.3.1 to read as follows:</w:t>
      </w:r>
    </w:p>
    <w:p w14:paraId="515F3813" w14:textId="77777777" w:rsidR="00DB1AEE" w:rsidRPr="00DB1AEE" w:rsidRDefault="00DB1AEE" w:rsidP="00DB1AEE">
      <w:pPr>
        <w:suppressAutoHyphens/>
        <w:spacing w:line="257" w:lineRule="auto"/>
        <w:jc w:val="left"/>
        <w:rPr>
          <w:rFonts w:eastAsia="MS Mincho"/>
          <w:u w:val="single"/>
        </w:rPr>
      </w:pPr>
      <w:r w:rsidRPr="00DB1AEE">
        <w:rPr>
          <w:rFonts w:eastAsia="MS Mincho"/>
          <w:b/>
          <w:bCs/>
          <w:u w:val="single"/>
        </w:rPr>
        <w:t xml:space="preserve">R408.2.1.3.1 Aged solar reflectance. </w:t>
      </w:r>
      <w:r w:rsidRPr="00DB1AEE">
        <w:rPr>
          <w:rFonts w:eastAsia="MS Mincho"/>
          <w:u w:val="single"/>
        </w:rPr>
        <w:t>Reserved.</w:t>
      </w:r>
    </w:p>
    <w:p w14:paraId="4CF70EC9" w14:textId="77777777" w:rsidR="00DB1AEE" w:rsidRPr="00DB1AEE" w:rsidRDefault="00DB1AEE" w:rsidP="00DB1AEE">
      <w:pPr>
        <w:suppressAutoHyphens/>
        <w:spacing w:line="257" w:lineRule="auto"/>
        <w:jc w:val="left"/>
        <w:rPr>
          <w:szCs w:val="24"/>
          <w:u w:val="single"/>
        </w:rPr>
      </w:pPr>
    </w:p>
    <w:p w14:paraId="3CFF25B6" w14:textId="77777777" w:rsidR="00DB1AEE" w:rsidRPr="00DB1AEE" w:rsidRDefault="00DB1AEE" w:rsidP="00DB1AEE">
      <w:pPr>
        <w:suppressAutoHyphens/>
        <w:spacing w:before="130" w:after="130"/>
        <w:rPr>
          <w:rFonts w:eastAsia="MS Mincho"/>
          <w:u w:val="single"/>
        </w:rPr>
      </w:pPr>
      <w:r w:rsidRPr="00DB1AEE">
        <w:rPr>
          <w:rFonts w:eastAsia="MS Mincho"/>
          <w:b/>
          <w:bCs/>
          <w:u w:val="single"/>
        </w:rPr>
        <w:t>Section R408.2.2 More efficient HVAC equipment performance options.</w:t>
      </w:r>
      <w:r w:rsidRPr="00DB1AEE">
        <w:rPr>
          <w:rFonts w:eastAsia="MS Mincho"/>
          <w:u w:val="single"/>
        </w:rPr>
        <w:t> </w:t>
      </w:r>
    </w:p>
    <w:p w14:paraId="23569827" w14:textId="77777777" w:rsidR="00DB1AEE" w:rsidRPr="00DB1AEE" w:rsidRDefault="00DB1AEE" w:rsidP="00DB1AEE">
      <w:pPr>
        <w:suppressAutoHyphens/>
        <w:spacing w:before="130" w:after="130"/>
        <w:rPr>
          <w:rFonts w:eastAsia="MS Mincho"/>
          <w:u w:val="single"/>
        </w:rPr>
      </w:pPr>
      <w:r w:rsidRPr="00DB1AEE">
        <w:rPr>
          <w:rFonts w:eastAsia="MS Mincho"/>
          <w:u w:val="single"/>
        </w:rPr>
        <w:t>Section R408.2.2 – Revise Section R408.2.2 to read as follows:</w:t>
      </w:r>
    </w:p>
    <w:p w14:paraId="4C17CC43" w14:textId="77777777" w:rsidR="00DB1AEE" w:rsidRPr="00DB1AEE" w:rsidRDefault="00DB1AEE" w:rsidP="00DB1AEE">
      <w:pPr>
        <w:suppressAutoHyphens/>
        <w:spacing w:line="257" w:lineRule="auto"/>
        <w:jc w:val="left"/>
        <w:rPr>
          <w:szCs w:val="24"/>
          <w:u w:val="single"/>
        </w:rPr>
      </w:pPr>
      <w:r w:rsidRPr="00DB1AEE">
        <w:rPr>
          <w:b/>
          <w:bCs/>
          <w:szCs w:val="24"/>
          <w:u w:val="single"/>
        </w:rPr>
        <w:t>R408.2.2 More efficient HVAC equipment performance options.</w:t>
      </w:r>
      <w:r w:rsidRPr="00DB1AEE">
        <w:rPr>
          <w:szCs w:val="24"/>
          <w:u w:val="single"/>
        </w:rPr>
        <w:t xml:space="preserve"> Heating and cooling equipment shall meet one of the following measures as applicable for the climate zone where heating and cooling efficiencies are represented by Annual Fuel Utilization Efficiency (AFUE), Coefficient of Performance (COP), Energy Efficiency Ratio (EER and EER2), Heating Season Performance</w:t>
      </w:r>
    </w:p>
    <w:p w14:paraId="4803F3BE" w14:textId="77777777" w:rsidR="00DB1AEE" w:rsidRPr="00DB1AEE" w:rsidRDefault="00DB1AEE" w:rsidP="00DB1AEE">
      <w:pPr>
        <w:suppressAutoHyphens/>
        <w:spacing w:line="257" w:lineRule="auto"/>
        <w:jc w:val="left"/>
        <w:rPr>
          <w:szCs w:val="24"/>
          <w:u w:val="single"/>
        </w:rPr>
      </w:pPr>
      <w:r w:rsidRPr="00DB1AEE">
        <w:rPr>
          <w:szCs w:val="24"/>
          <w:u w:val="single"/>
        </w:rPr>
        <w:t>Factor (HSPF2) and Seasonal Energy Efficiency Ratio (SEER2). Where multiple heating or cooling systems are installed serving different zones, credits shall be earned based on the weighted average of square footage of the zone served by the system.</w:t>
      </w:r>
    </w:p>
    <w:p w14:paraId="5AAA8BD9" w14:textId="77777777" w:rsidR="00DB1AEE" w:rsidRPr="00DB1AEE" w:rsidRDefault="00DB1AEE" w:rsidP="00DB1AEE">
      <w:pPr>
        <w:suppressAutoHyphens/>
        <w:spacing w:line="257" w:lineRule="auto"/>
        <w:jc w:val="left"/>
        <w:rPr>
          <w:szCs w:val="24"/>
          <w:u w:val="single"/>
        </w:rPr>
      </w:pPr>
      <w:r w:rsidRPr="00DB1AEE">
        <w:rPr>
          <w:szCs w:val="24"/>
          <w:u w:val="single"/>
        </w:rPr>
        <w:t>HVAC options:</w:t>
      </w:r>
    </w:p>
    <w:p w14:paraId="5BC3FD24" w14:textId="77777777" w:rsidR="00DB1AEE" w:rsidRPr="00DB1AEE" w:rsidRDefault="00DB1AEE" w:rsidP="00DB1AEE">
      <w:pPr>
        <w:suppressAutoHyphens/>
        <w:spacing w:line="257" w:lineRule="auto"/>
        <w:jc w:val="left"/>
        <w:rPr>
          <w:szCs w:val="24"/>
          <w:u w:val="single"/>
        </w:rPr>
      </w:pPr>
      <w:r w:rsidRPr="00DB1AEE">
        <w:rPr>
          <w:szCs w:val="24"/>
          <w:u w:val="single"/>
        </w:rPr>
        <w:t>1. Ground source heat pump: Greater than or equal to 16.1 EER and 3.1 COP ground source heat pump.</w:t>
      </w:r>
    </w:p>
    <w:p w14:paraId="08D32AD8" w14:textId="77777777" w:rsidR="00DB1AEE" w:rsidRPr="00DB1AEE" w:rsidRDefault="00DB1AEE" w:rsidP="00DB1AEE">
      <w:pPr>
        <w:suppressAutoHyphens/>
        <w:spacing w:line="257" w:lineRule="auto"/>
        <w:jc w:val="left"/>
        <w:rPr>
          <w:szCs w:val="24"/>
          <w:u w:val="single"/>
        </w:rPr>
      </w:pPr>
      <w:r w:rsidRPr="00DB1AEE">
        <w:rPr>
          <w:szCs w:val="24"/>
          <w:u w:val="single"/>
        </w:rPr>
        <w:t>2. Cooling (Option 1): Greater than or equal to 15.2 SEER2 and 12.0 EER2 air conditioner.</w:t>
      </w:r>
    </w:p>
    <w:p w14:paraId="281F4F00" w14:textId="77777777" w:rsidR="00DB1AEE" w:rsidRPr="00DB1AEE" w:rsidRDefault="00DB1AEE" w:rsidP="00DB1AEE">
      <w:pPr>
        <w:suppressAutoHyphens/>
        <w:spacing w:line="257" w:lineRule="auto"/>
        <w:jc w:val="left"/>
        <w:rPr>
          <w:szCs w:val="24"/>
          <w:u w:val="single"/>
        </w:rPr>
      </w:pPr>
      <w:r w:rsidRPr="00DB1AEE">
        <w:rPr>
          <w:szCs w:val="24"/>
          <w:u w:val="single"/>
        </w:rPr>
        <w:t>3. Cooling (Option 2): Greater than or equal to 16.0 SEER2 and 12.0 EER2 air conditioner.</w:t>
      </w:r>
    </w:p>
    <w:p w14:paraId="5426851F" w14:textId="77777777" w:rsidR="00DB1AEE" w:rsidRPr="00DB1AEE" w:rsidRDefault="00DB1AEE" w:rsidP="00DB1AEE">
      <w:pPr>
        <w:suppressAutoHyphens/>
        <w:spacing w:line="257" w:lineRule="auto"/>
        <w:jc w:val="left"/>
        <w:rPr>
          <w:szCs w:val="24"/>
          <w:u w:val="single"/>
        </w:rPr>
      </w:pPr>
      <w:r w:rsidRPr="00DB1AEE">
        <w:rPr>
          <w:szCs w:val="24"/>
          <w:u w:val="single"/>
        </w:rPr>
        <w:t>4. Heat pump (Option 2): Greater than or equal to 8.1 HSPF2 and 15.2 SEER2 air source heat pump capable of meeting a capacity ratio ≥ 70 percent of heating capacity at 5°F (-15°C) versus rated heating capacity at 47°F (8.3°C).</w:t>
      </w:r>
    </w:p>
    <w:p w14:paraId="64CDD319" w14:textId="77777777" w:rsidR="00DB1AEE" w:rsidRPr="00DB1AEE" w:rsidRDefault="00DB1AEE" w:rsidP="00DB1AEE">
      <w:pPr>
        <w:suppressAutoHyphens/>
        <w:spacing w:line="257" w:lineRule="auto"/>
        <w:jc w:val="left"/>
        <w:rPr>
          <w:szCs w:val="24"/>
          <w:u w:val="single"/>
        </w:rPr>
      </w:pPr>
    </w:p>
    <w:p w14:paraId="472841F2" w14:textId="77777777" w:rsidR="00DB1AEE" w:rsidRPr="00DB1AEE" w:rsidRDefault="00DB1AEE" w:rsidP="00DB1AEE">
      <w:pPr>
        <w:suppressAutoHyphens/>
        <w:spacing w:before="130" w:after="130"/>
        <w:rPr>
          <w:rFonts w:eastAsia="MS Mincho"/>
          <w:u w:val="single"/>
        </w:rPr>
      </w:pPr>
      <w:r w:rsidRPr="00DB1AEE">
        <w:rPr>
          <w:rFonts w:eastAsia="MS Mincho"/>
          <w:b/>
          <w:bCs/>
          <w:u w:val="single"/>
        </w:rPr>
        <w:t>Section R408.2.2.1 More efficient HVAC equipment for Climate Zone 4.</w:t>
      </w:r>
      <w:r w:rsidRPr="00DB1AEE">
        <w:rPr>
          <w:rFonts w:eastAsia="MS Mincho"/>
          <w:u w:val="single"/>
        </w:rPr>
        <w:t> </w:t>
      </w:r>
    </w:p>
    <w:p w14:paraId="6E76AEE9" w14:textId="77777777" w:rsidR="00DB1AEE" w:rsidRPr="00DB1AEE" w:rsidRDefault="00DB1AEE" w:rsidP="00DB1AEE">
      <w:pPr>
        <w:suppressAutoHyphens/>
        <w:spacing w:before="130" w:after="130"/>
        <w:rPr>
          <w:rFonts w:eastAsia="MS Mincho"/>
          <w:u w:val="single"/>
        </w:rPr>
      </w:pPr>
      <w:r w:rsidRPr="00DB1AEE">
        <w:rPr>
          <w:rFonts w:eastAsia="MS Mincho"/>
          <w:u w:val="single"/>
        </w:rPr>
        <w:t>Section R408.2.2.1 – Revise Section R408.2.2.1 to read as follows:</w:t>
      </w:r>
    </w:p>
    <w:p w14:paraId="5A212438" w14:textId="77777777" w:rsidR="00DB1AEE" w:rsidRPr="00DB1AEE" w:rsidRDefault="00DB1AEE" w:rsidP="00DB1AEE">
      <w:pPr>
        <w:suppressAutoHyphens/>
        <w:spacing w:line="257" w:lineRule="auto"/>
        <w:jc w:val="left"/>
        <w:rPr>
          <w:szCs w:val="24"/>
          <w:u w:val="single"/>
        </w:rPr>
      </w:pPr>
      <w:r w:rsidRPr="00DB1AEE">
        <w:rPr>
          <w:b/>
          <w:bCs/>
          <w:szCs w:val="24"/>
          <w:u w:val="single"/>
        </w:rPr>
        <w:t>R408.2.2.1 More efficient HVAC equipment for Climate Zone 4</w:t>
      </w:r>
      <w:r w:rsidRPr="00DB1AEE">
        <w:rPr>
          <w:szCs w:val="24"/>
          <w:u w:val="single"/>
        </w:rPr>
        <w:t>. For Climate Zone 4, the following HVAC option shall also apply:</w:t>
      </w:r>
    </w:p>
    <w:p w14:paraId="447750AF" w14:textId="77777777" w:rsidR="00DB1AEE" w:rsidRPr="00DB1AEE" w:rsidRDefault="00DB1AEE" w:rsidP="00DB1AEE">
      <w:pPr>
        <w:suppressAutoHyphens/>
        <w:spacing w:line="257" w:lineRule="auto"/>
        <w:jc w:val="left"/>
        <w:rPr>
          <w:szCs w:val="24"/>
          <w:u w:val="single"/>
        </w:rPr>
      </w:pPr>
      <w:r w:rsidRPr="00DB1AEE">
        <w:rPr>
          <w:szCs w:val="24"/>
          <w:u w:val="single"/>
        </w:rPr>
        <w:t>1. Heat pump (Option 1): Greater than or equal to 7.8 HSPF2, 15.2 SEER2 and 11.7 EER2 air source heat pump.</w:t>
      </w:r>
    </w:p>
    <w:p w14:paraId="305F2955" w14:textId="77777777" w:rsidR="00DB1AEE" w:rsidRPr="00DB1AEE" w:rsidRDefault="00DB1AEE" w:rsidP="00DB1AEE">
      <w:pPr>
        <w:suppressAutoHyphens/>
        <w:spacing w:line="257" w:lineRule="auto"/>
        <w:jc w:val="left"/>
        <w:rPr>
          <w:szCs w:val="24"/>
          <w:u w:val="single"/>
        </w:rPr>
      </w:pPr>
    </w:p>
    <w:p w14:paraId="4DC180F6" w14:textId="77777777" w:rsidR="00DB1AEE" w:rsidRPr="00DB1AEE" w:rsidRDefault="00DB1AEE" w:rsidP="00DB1AEE">
      <w:pPr>
        <w:suppressAutoHyphens/>
        <w:spacing w:before="130" w:after="130"/>
        <w:rPr>
          <w:rFonts w:eastAsia="MS Mincho"/>
          <w:u w:val="single"/>
        </w:rPr>
      </w:pPr>
      <w:r w:rsidRPr="00DB1AEE">
        <w:rPr>
          <w:rFonts w:eastAsia="MS Mincho"/>
          <w:b/>
          <w:bCs/>
          <w:u w:val="single"/>
        </w:rPr>
        <w:t>Table R408.2.3 Additional energy efficiency credit requirements..</w:t>
      </w:r>
      <w:r w:rsidRPr="00DB1AEE">
        <w:rPr>
          <w:rFonts w:eastAsia="MS Mincho"/>
          <w:u w:val="single"/>
        </w:rPr>
        <w:t> </w:t>
      </w:r>
    </w:p>
    <w:p w14:paraId="137D4A77" w14:textId="77777777" w:rsidR="00DB1AEE" w:rsidRPr="00DB1AEE" w:rsidRDefault="00DB1AEE" w:rsidP="00DB1AEE">
      <w:pPr>
        <w:suppressAutoHyphens/>
        <w:spacing w:before="130" w:after="130"/>
        <w:rPr>
          <w:rFonts w:eastAsia="MS Mincho"/>
          <w:u w:val="single"/>
        </w:rPr>
      </w:pPr>
      <w:r w:rsidRPr="00DB1AEE">
        <w:rPr>
          <w:rFonts w:eastAsia="MS Mincho"/>
          <w:u w:val="single"/>
        </w:rPr>
        <w:t>Table R408.2.3 – Revise Table  R408.2.3 to read as follows:</w:t>
      </w:r>
    </w:p>
    <w:p w14:paraId="489E7CB0" w14:textId="77777777" w:rsidR="00DB1AEE" w:rsidRPr="00DB1AEE" w:rsidRDefault="00DB1AEE" w:rsidP="00DB1AEE">
      <w:pPr>
        <w:suppressAutoHyphens/>
        <w:spacing w:line="257" w:lineRule="auto"/>
        <w:jc w:val="left"/>
        <w:rPr>
          <w:szCs w:val="24"/>
          <w:u w:val="single"/>
        </w:rPr>
      </w:pPr>
    </w:p>
    <w:p w14:paraId="03225464" w14:textId="77777777" w:rsidR="00DB1AEE" w:rsidRPr="00DB1AEE" w:rsidRDefault="00DB1AEE" w:rsidP="00DB1AEE">
      <w:pPr>
        <w:suppressAutoHyphens/>
        <w:spacing w:line="257" w:lineRule="auto"/>
        <w:jc w:val="center"/>
        <w:rPr>
          <w:b/>
          <w:bCs/>
          <w:szCs w:val="24"/>
          <w:u w:val="single"/>
        </w:rPr>
      </w:pPr>
      <w:r w:rsidRPr="00DB1AEE">
        <w:rPr>
          <w:b/>
          <w:bCs/>
          <w:szCs w:val="24"/>
          <w:u w:val="single"/>
        </w:rPr>
        <w:t>TABLE R408.2.3—SERVICE WATER HEATING EFFICIENCIES</w:t>
      </w:r>
    </w:p>
    <w:tbl>
      <w:tblPr>
        <w:tblW w:w="9118" w:type="dxa"/>
        <w:tblInd w:w="113" w:type="dxa"/>
        <w:tblLook w:val="04A0" w:firstRow="1" w:lastRow="0" w:firstColumn="1" w:lastColumn="0" w:noHBand="0" w:noVBand="1"/>
      </w:tblPr>
      <w:tblGrid>
        <w:gridCol w:w="1561"/>
        <w:gridCol w:w="2342"/>
        <w:gridCol w:w="2093"/>
        <w:gridCol w:w="1561"/>
        <w:gridCol w:w="1561"/>
      </w:tblGrid>
      <w:tr w:rsidR="00DB1AEE" w:rsidRPr="00DB1AEE" w14:paraId="5C93150C" w14:textId="77777777" w:rsidTr="00FC1832">
        <w:trPr>
          <w:trHeight w:val="297"/>
        </w:trPr>
        <w:tc>
          <w:tcPr>
            <w:tcW w:w="1561" w:type="dxa"/>
            <w:tcBorders>
              <w:top w:val="single" w:sz="4" w:space="0" w:color="231F20"/>
              <w:left w:val="single" w:sz="4" w:space="0" w:color="231F20"/>
              <w:bottom w:val="single" w:sz="4" w:space="0" w:color="231F20"/>
              <w:right w:val="single" w:sz="4" w:space="0" w:color="231F20"/>
            </w:tcBorders>
            <w:shd w:val="clear" w:color="000000" w:fill="E7E8E9"/>
            <w:hideMark/>
          </w:tcPr>
          <w:p w14:paraId="570C3BBF" w14:textId="77777777" w:rsidR="00DB1AEE" w:rsidRPr="00DB1AEE" w:rsidRDefault="00DB1AEE" w:rsidP="00DB1AEE">
            <w:pPr>
              <w:ind w:firstLineChars="100" w:firstLine="170"/>
              <w:jc w:val="left"/>
              <w:rPr>
                <w:rFonts w:ascii="Calibri" w:hAnsi="Calibri" w:cs="Calibri"/>
                <w:b/>
                <w:bCs/>
                <w:sz w:val="17"/>
                <w:szCs w:val="17"/>
              </w:rPr>
            </w:pPr>
            <w:r w:rsidRPr="00DB1AEE">
              <w:rPr>
                <w:rFonts w:ascii="Calibri" w:hAnsi="Calibri" w:cs="Calibri"/>
                <w:b/>
                <w:bCs/>
                <w:color w:val="231F20"/>
                <w:sz w:val="17"/>
                <w:szCs w:val="17"/>
              </w:rPr>
              <w:t>MEASURE NUMBER</w:t>
            </w:r>
          </w:p>
        </w:tc>
        <w:tc>
          <w:tcPr>
            <w:tcW w:w="2342" w:type="dxa"/>
            <w:tcBorders>
              <w:top w:val="single" w:sz="4" w:space="0" w:color="231F20"/>
              <w:left w:val="nil"/>
              <w:bottom w:val="single" w:sz="4" w:space="0" w:color="231F20"/>
              <w:right w:val="single" w:sz="4" w:space="0" w:color="231F20"/>
            </w:tcBorders>
            <w:shd w:val="clear" w:color="000000" w:fill="E7E8E9"/>
            <w:hideMark/>
          </w:tcPr>
          <w:p w14:paraId="0B5CE9CE" w14:textId="77777777" w:rsidR="00DB1AEE" w:rsidRPr="00DB1AEE" w:rsidRDefault="00DB1AEE" w:rsidP="00DB1AEE">
            <w:pPr>
              <w:jc w:val="center"/>
              <w:rPr>
                <w:rFonts w:ascii="Calibri" w:hAnsi="Calibri" w:cs="Calibri"/>
                <w:b/>
                <w:bCs/>
                <w:sz w:val="17"/>
                <w:szCs w:val="17"/>
              </w:rPr>
            </w:pPr>
            <w:r w:rsidRPr="00DB1AEE">
              <w:rPr>
                <w:rFonts w:ascii="Calibri" w:hAnsi="Calibri" w:cs="Calibri"/>
                <w:b/>
                <w:bCs/>
                <w:color w:val="231F20"/>
                <w:sz w:val="17"/>
                <w:szCs w:val="17"/>
              </w:rPr>
              <w:t>WATER HEATER</w:t>
            </w:r>
          </w:p>
        </w:tc>
        <w:tc>
          <w:tcPr>
            <w:tcW w:w="2093" w:type="dxa"/>
            <w:tcBorders>
              <w:top w:val="single" w:sz="4" w:space="0" w:color="231F20"/>
              <w:left w:val="nil"/>
              <w:bottom w:val="single" w:sz="4" w:space="0" w:color="231F20"/>
              <w:right w:val="single" w:sz="4" w:space="0" w:color="231F20"/>
            </w:tcBorders>
            <w:shd w:val="clear" w:color="000000" w:fill="E7E8E9"/>
            <w:hideMark/>
          </w:tcPr>
          <w:p w14:paraId="06823F08" w14:textId="77777777" w:rsidR="00DB1AEE" w:rsidRPr="00DB1AEE" w:rsidRDefault="00DB1AEE" w:rsidP="00DB1AEE">
            <w:pPr>
              <w:jc w:val="center"/>
              <w:rPr>
                <w:rFonts w:ascii="Calibri" w:hAnsi="Calibri" w:cs="Calibri"/>
                <w:b/>
                <w:bCs/>
                <w:sz w:val="17"/>
                <w:szCs w:val="17"/>
              </w:rPr>
            </w:pPr>
            <w:r w:rsidRPr="00DB1AEE">
              <w:rPr>
                <w:rFonts w:ascii="Calibri" w:hAnsi="Calibri" w:cs="Calibri"/>
                <w:b/>
                <w:bCs/>
                <w:color w:val="231F20"/>
                <w:sz w:val="17"/>
                <w:szCs w:val="17"/>
              </w:rPr>
              <w:t>SIZE AND DRAW PATTERN</w:t>
            </w:r>
          </w:p>
        </w:tc>
        <w:tc>
          <w:tcPr>
            <w:tcW w:w="1561" w:type="dxa"/>
            <w:tcBorders>
              <w:top w:val="single" w:sz="4" w:space="0" w:color="231F20"/>
              <w:left w:val="nil"/>
              <w:bottom w:val="single" w:sz="4" w:space="0" w:color="231F20"/>
              <w:right w:val="single" w:sz="4" w:space="0" w:color="231F20"/>
            </w:tcBorders>
            <w:shd w:val="clear" w:color="000000" w:fill="E7E8E9"/>
            <w:hideMark/>
          </w:tcPr>
          <w:p w14:paraId="4DB8DC6A" w14:textId="77777777" w:rsidR="00DB1AEE" w:rsidRPr="00DB1AEE" w:rsidRDefault="00DB1AEE" w:rsidP="00DB1AEE">
            <w:pPr>
              <w:jc w:val="center"/>
              <w:rPr>
                <w:rFonts w:ascii="Calibri" w:hAnsi="Calibri" w:cs="Calibri"/>
                <w:b/>
                <w:bCs/>
                <w:sz w:val="17"/>
                <w:szCs w:val="17"/>
              </w:rPr>
            </w:pPr>
            <w:r w:rsidRPr="00DB1AEE">
              <w:rPr>
                <w:rFonts w:ascii="Calibri" w:hAnsi="Calibri" w:cs="Calibri"/>
                <w:b/>
                <w:bCs/>
                <w:color w:val="231F20"/>
                <w:sz w:val="17"/>
                <w:szCs w:val="17"/>
              </w:rPr>
              <w:t>TYPE</w:t>
            </w:r>
          </w:p>
        </w:tc>
        <w:tc>
          <w:tcPr>
            <w:tcW w:w="1561" w:type="dxa"/>
            <w:tcBorders>
              <w:top w:val="single" w:sz="4" w:space="0" w:color="231F20"/>
              <w:left w:val="nil"/>
              <w:bottom w:val="single" w:sz="4" w:space="0" w:color="231F20"/>
              <w:right w:val="single" w:sz="4" w:space="0" w:color="231F20"/>
            </w:tcBorders>
            <w:shd w:val="clear" w:color="000000" w:fill="E7E8E9"/>
            <w:hideMark/>
          </w:tcPr>
          <w:p w14:paraId="47ECA56D" w14:textId="77777777" w:rsidR="00DB1AEE" w:rsidRPr="00DB1AEE" w:rsidRDefault="00DB1AEE" w:rsidP="00DB1AEE">
            <w:pPr>
              <w:jc w:val="center"/>
              <w:rPr>
                <w:rFonts w:ascii="Calibri" w:hAnsi="Calibri" w:cs="Calibri"/>
                <w:b/>
                <w:bCs/>
                <w:sz w:val="17"/>
                <w:szCs w:val="17"/>
              </w:rPr>
            </w:pPr>
            <w:r w:rsidRPr="00DB1AEE">
              <w:rPr>
                <w:rFonts w:ascii="Calibri" w:hAnsi="Calibri" w:cs="Calibri"/>
                <w:b/>
                <w:bCs/>
                <w:color w:val="231F20"/>
                <w:sz w:val="17"/>
                <w:szCs w:val="17"/>
              </w:rPr>
              <w:t>EFFICIENCY</w:t>
            </w:r>
          </w:p>
        </w:tc>
      </w:tr>
      <w:tr w:rsidR="00DB1AEE" w:rsidRPr="00DB1AEE" w14:paraId="466A1BB5" w14:textId="77777777" w:rsidTr="00FC1832">
        <w:trPr>
          <w:trHeight w:val="480"/>
        </w:trPr>
        <w:tc>
          <w:tcPr>
            <w:tcW w:w="1561" w:type="dxa"/>
            <w:tcBorders>
              <w:top w:val="nil"/>
              <w:left w:val="single" w:sz="4" w:space="0" w:color="231F20"/>
              <w:bottom w:val="single" w:sz="4" w:space="0" w:color="231F20"/>
              <w:right w:val="single" w:sz="4" w:space="0" w:color="231F20"/>
            </w:tcBorders>
            <w:hideMark/>
          </w:tcPr>
          <w:p w14:paraId="119B4E05" w14:textId="77777777" w:rsidR="00DB1AEE" w:rsidRPr="00DB1AEE" w:rsidRDefault="00DB1AEE" w:rsidP="00DB1AEE">
            <w:pPr>
              <w:jc w:val="left"/>
              <w:rPr>
                <w:rFonts w:ascii="Calibri" w:hAnsi="Calibri" w:cs="Calibri"/>
                <w:sz w:val="17"/>
                <w:szCs w:val="17"/>
              </w:rPr>
            </w:pPr>
            <w:r w:rsidRPr="00DB1AEE">
              <w:rPr>
                <w:rFonts w:ascii="Calibri" w:hAnsi="Calibri" w:cs="Calibri"/>
                <w:color w:val="231F20"/>
                <w:sz w:val="17"/>
                <w:szCs w:val="17"/>
              </w:rPr>
              <w:t>R408.2.3(3)</w:t>
            </w:r>
          </w:p>
        </w:tc>
        <w:tc>
          <w:tcPr>
            <w:tcW w:w="2342" w:type="dxa"/>
            <w:tcBorders>
              <w:top w:val="nil"/>
              <w:left w:val="nil"/>
              <w:bottom w:val="single" w:sz="4" w:space="0" w:color="231F20"/>
              <w:right w:val="single" w:sz="4" w:space="0" w:color="231F20"/>
            </w:tcBorders>
            <w:hideMark/>
          </w:tcPr>
          <w:p w14:paraId="0E0CD56F" w14:textId="77777777" w:rsidR="00DB1AEE" w:rsidRPr="00DB1AEE" w:rsidRDefault="00DB1AEE" w:rsidP="00DB1AEE">
            <w:pPr>
              <w:jc w:val="center"/>
              <w:rPr>
                <w:rFonts w:ascii="Calibri" w:hAnsi="Calibri" w:cs="Calibri"/>
                <w:sz w:val="17"/>
                <w:szCs w:val="17"/>
              </w:rPr>
            </w:pPr>
            <w:r w:rsidRPr="00DB1AEE">
              <w:rPr>
                <w:rFonts w:ascii="Calibri" w:hAnsi="Calibri" w:cs="Calibri"/>
                <w:color w:val="231F20"/>
                <w:sz w:val="17"/>
                <w:szCs w:val="17"/>
              </w:rPr>
              <w:t>Electric water heaters (Option 1)</w:t>
            </w:r>
          </w:p>
        </w:tc>
        <w:tc>
          <w:tcPr>
            <w:tcW w:w="2093" w:type="dxa"/>
            <w:tcBorders>
              <w:top w:val="nil"/>
              <w:left w:val="nil"/>
              <w:bottom w:val="single" w:sz="4" w:space="0" w:color="231F20"/>
              <w:right w:val="single" w:sz="4" w:space="0" w:color="231F20"/>
            </w:tcBorders>
            <w:hideMark/>
          </w:tcPr>
          <w:p w14:paraId="1D64BEF8" w14:textId="77777777" w:rsidR="00DB1AEE" w:rsidRPr="00DB1AEE" w:rsidRDefault="00DB1AEE" w:rsidP="00DB1AEE">
            <w:pPr>
              <w:ind w:firstLineChars="200" w:firstLine="340"/>
              <w:jc w:val="left"/>
              <w:rPr>
                <w:rFonts w:ascii="Calibri" w:hAnsi="Calibri" w:cs="Calibri"/>
                <w:sz w:val="17"/>
                <w:szCs w:val="17"/>
              </w:rPr>
            </w:pPr>
            <w:r w:rsidRPr="00DB1AEE">
              <w:rPr>
                <w:rFonts w:ascii="Calibri" w:hAnsi="Calibri" w:cs="Calibri"/>
                <w:color w:val="231F20"/>
                <w:sz w:val="17"/>
                <w:szCs w:val="17"/>
              </w:rPr>
              <w:t>All storage volumes, low, medium, or high</w:t>
            </w:r>
          </w:p>
        </w:tc>
        <w:tc>
          <w:tcPr>
            <w:tcW w:w="1561" w:type="dxa"/>
            <w:tcBorders>
              <w:top w:val="nil"/>
              <w:left w:val="nil"/>
              <w:bottom w:val="single" w:sz="4" w:space="0" w:color="231F20"/>
              <w:right w:val="single" w:sz="4" w:space="0" w:color="231F20"/>
            </w:tcBorders>
            <w:hideMark/>
          </w:tcPr>
          <w:p w14:paraId="3CFEFA0C" w14:textId="77777777" w:rsidR="00DB1AEE" w:rsidRPr="00DB1AEE" w:rsidRDefault="00DB1AEE" w:rsidP="00DB1AEE">
            <w:pPr>
              <w:jc w:val="center"/>
              <w:rPr>
                <w:rFonts w:ascii="Calibri" w:hAnsi="Calibri" w:cs="Calibri"/>
                <w:sz w:val="17"/>
                <w:szCs w:val="17"/>
              </w:rPr>
            </w:pPr>
            <w:r w:rsidRPr="00DB1AEE">
              <w:rPr>
                <w:rFonts w:ascii="Calibri" w:hAnsi="Calibri" w:cs="Calibri"/>
                <w:color w:val="231F20"/>
                <w:sz w:val="17"/>
                <w:szCs w:val="17"/>
              </w:rPr>
              <w:t>Integrated HPWH</w:t>
            </w:r>
          </w:p>
        </w:tc>
        <w:tc>
          <w:tcPr>
            <w:tcW w:w="1561" w:type="dxa"/>
            <w:tcBorders>
              <w:top w:val="nil"/>
              <w:left w:val="nil"/>
              <w:bottom w:val="single" w:sz="4" w:space="0" w:color="231F20"/>
              <w:right w:val="single" w:sz="4" w:space="0" w:color="231F20"/>
            </w:tcBorders>
            <w:hideMark/>
          </w:tcPr>
          <w:p w14:paraId="1CCB82EA" w14:textId="77777777" w:rsidR="00DB1AEE" w:rsidRPr="00DB1AEE" w:rsidRDefault="00DB1AEE" w:rsidP="00DB1AEE">
            <w:pPr>
              <w:jc w:val="center"/>
              <w:rPr>
                <w:rFonts w:ascii="Calibri" w:hAnsi="Calibri" w:cs="Calibri"/>
                <w:sz w:val="17"/>
                <w:szCs w:val="17"/>
              </w:rPr>
            </w:pPr>
            <w:r w:rsidRPr="00DB1AEE">
              <w:rPr>
                <w:rFonts w:ascii="Calibri" w:hAnsi="Calibri" w:cs="Calibri"/>
                <w:color w:val="231F20"/>
                <w:sz w:val="17"/>
                <w:szCs w:val="17"/>
              </w:rPr>
              <w:t>UEF ≥ 3.30</w:t>
            </w:r>
          </w:p>
        </w:tc>
      </w:tr>
      <w:tr w:rsidR="00DB1AEE" w:rsidRPr="00DB1AEE" w14:paraId="3646AECC" w14:textId="77777777" w:rsidTr="00FC1832">
        <w:trPr>
          <w:trHeight w:val="476"/>
        </w:trPr>
        <w:tc>
          <w:tcPr>
            <w:tcW w:w="1561" w:type="dxa"/>
            <w:tcBorders>
              <w:top w:val="nil"/>
              <w:left w:val="single" w:sz="4" w:space="0" w:color="231F20"/>
              <w:bottom w:val="single" w:sz="4" w:space="0" w:color="231F20"/>
              <w:right w:val="single" w:sz="4" w:space="0" w:color="231F20"/>
            </w:tcBorders>
            <w:hideMark/>
          </w:tcPr>
          <w:p w14:paraId="6FB5BA47" w14:textId="77777777" w:rsidR="00DB1AEE" w:rsidRPr="00DB1AEE" w:rsidRDefault="00DB1AEE" w:rsidP="00DB1AEE">
            <w:pPr>
              <w:jc w:val="left"/>
              <w:rPr>
                <w:rFonts w:ascii="Calibri" w:hAnsi="Calibri" w:cs="Calibri"/>
                <w:sz w:val="17"/>
                <w:szCs w:val="17"/>
              </w:rPr>
            </w:pPr>
            <w:r w:rsidRPr="00DB1AEE">
              <w:rPr>
                <w:rFonts w:ascii="Calibri" w:hAnsi="Calibri" w:cs="Calibri"/>
                <w:color w:val="231F20"/>
                <w:sz w:val="17"/>
                <w:szCs w:val="17"/>
              </w:rPr>
              <w:t>R408.2.3(4)</w:t>
            </w:r>
          </w:p>
        </w:tc>
        <w:tc>
          <w:tcPr>
            <w:tcW w:w="2342" w:type="dxa"/>
            <w:tcBorders>
              <w:top w:val="nil"/>
              <w:left w:val="nil"/>
              <w:bottom w:val="single" w:sz="4" w:space="0" w:color="231F20"/>
              <w:right w:val="single" w:sz="4" w:space="0" w:color="231F20"/>
            </w:tcBorders>
            <w:hideMark/>
          </w:tcPr>
          <w:p w14:paraId="29B83998" w14:textId="77777777" w:rsidR="00DB1AEE" w:rsidRPr="00DB1AEE" w:rsidRDefault="00DB1AEE" w:rsidP="00DB1AEE">
            <w:pPr>
              <w:jc w:val="center"/>
              <w:rPr>
                <w:rFonts w:ascii="Calibri" w:hAnsi="Calibri" w:cs="Calibri"/>
                <w:sz w:val="17"/>
                <w:szCs w:val="17"/>
              </w:rPr>
            </w:pPr>
            <w:r w:rsidRPr="00DB1AEE">
              <w:rPr>
                <w:rFonts w:ascii="Calibri" w:hAnsi="Calibri" w:cs="Calibri"/>
                <w:color w:val="231F20"/>
                <w:sz w:val="17"/>
                <w:szCs w:val="17"/>
              </w:rPr>
              <w:t>Electric water heaters (Option 2)</w:t>
            </w:r>
          </w:p>
        </w:tc>
        <w:tc>
          <w:tcPr>
            <w:tcW w:w="2093" w:type="dxa"/>
            <w:tcBorders>
              <w:top w:val="nil"/>
              <w:left w:val="nil"/>
              <w:bottom w:val="single" w:sz="4" w:space="0" w:color="231F20"/>
              <w:right w:val="single" w:sz="4" w:space="0" w:color="231F20"/>
            </w:tcBorders>
            <w:hideMark/>
          </w:tcPr>
          <w:p w14:paraId="1B86432E" w14:textId="77777777" w:rsidR="00DB1AEE" w:rsidRPr="00DB1AEE" w:rsidRDefault="00DB1AEE" w:rsidP="00DB1AEE">
            <w:pPr>
              <w:ind w:firstLineChars="200" w:firstLine="340"/>
              <w:jc w:val="left"/>
              <w:rPr>
                <w:rFonts w:ascii="Calibri" w:hAnsi="Calibri" w:cs="Calibri"/>
                <w:sz w:val="17"/>
                <w:szCs w:val="17"/>
              </w:rPr>
            </w:pPr>
            <w:r w:rsidRPr="00DB1AEE">
              <w:rPr>
                <w:rFonts w:ascii="Calibri" w:hAnsi="Calibri" w:cs="Calibri"/>
                <w:color w:val="231F20"/>
                <w:sz w:val="17"/>
                <w:szCs w:val="17"/>
              </w:rPr>
              <w:t>All storage volumes, low, medium, or high</w:t>
            </w:r>
          </w:p>
        </w:tc>
        <w:tc>
          <w:tcPr>
            <w:tcW w:w="1561" w:type="dxa"/>
            <w:tcBorders>
              <w:top w:val="nil"/>
              <w:left w:val="nil"/>
              <w:bottom w:val="single" w:sz="4" w:space="0" w:color="231F20"/>
              <w:right w:val="single" w:sz="4" w:space="0" w:color="231F20"/>
            </w:tcBorders>
            <w:hideMark/>
          </w:tcPr>
          <w:p w14:paraId="08CBEFB7" w14:textId="77777777" w:rsidR="00DB1AEE" w:rsidRPr="00DB1AEE" w:rsidRDefault="00DB1AEE" w:rsidP="00DB1AEE">
            <w:pPr>
              <w:jc w:val="left"/>
              <w:rPr>
                <w:rFonts w:ascii="Calibri" w:hAnsi="Calibri" w:cs="Calibri"/>
                <w:sz w:val="17"/>
                <w:szCs w:val="17"/>
              </w:rPr>
            </w:pPr>
            <w:r w:rsidRPr="00DB1AEE">
              <w:rPr>
                <w:rFonts w:ascii="Calibri" w:hAnsi="Calibri" w:cs="Calibri"/>
                <w:color w:val="231F20"/>
                <w:sz w:val="17"/>
                <w:szCs w:val="17"/>
              </w:rPr>
              <w:t>Integrated HPWH, 120 volt/15 amp circuit</w:t>
            </w:r>
          </w:p>
        </w:tc>
        <w:tc>
          <w:tcPr>
            <w:tcW w:w="1561" w:type="dxa"/>
            <w:tcBorders>
              <w:top w:val="nil"/>
              <w:left w:val="nil"/>
              <w:bottom w:val="single" w:sz="4" w:space="0" w:color="231F20"/>
              <w:right w:val="single" w:sz="4" w:space="0" w:color="231F20"/>
            </w:tcBorders>
            <w:hideMark/>
          </w:tcPr>
          <w:p w14:paraId="12B7F535" w14:textId="77777777" w:rsidR="00DB1AEE" w:rsidRPr="00DB1AEE" w:rsidRDefault="00DB1AEE" w:rsidP="00DB1AEE">
            <w:pPr>
              <w:jc w:val="center"/>
              <w:rPr>
                <w:rFonts w:ascii="Calibri" w:hAnsi="Calibri" w:cs="Calibri"/>
                <w:sz w:val="17"/>
                <w:szCs w:val="17"/>
              </w:rPr>
            </w:pPr>
            <w:r w:rsidRPr="00DB1AEE">
              <w:rPr>
                <w:rFonts w:ascii="Calibri" w:hAnsi="Calibri" w:cs="Calibri"/>
                <w:color w:val="231F20"/>
                <w:sz w:val="17"/>
                <w:szCs w:val="17"/>
              </w:rPr>
              <w:t>UEF ≥ 2.20</w:t>
            </w:r>
          </w:p>
        </w:tc>
      </w:tr>
      <w:tr w:rsidR="00DB1AEE" w:rsidRPr="00DB1AEE" w14:paraId="2A571134" w14:textId="77777777" w:rsidTr="00FC1832">
        <w:trPr>
          <w:trHeight w:val="476"/>
        </w:trPr>
        <w:tc>
          <w:tcPr>
            <w:tcW w:w="1561" w:type="dxa"/>
            <w:tcBorders>
              <w:top w:val="nil"/>
              <w:left w:val="single" w:sz="4" w:space="0" w:color="231F20"/>
              <w:bottom w:val="single" w:sz="4" w:space="0" w:color="231F20"/>
              <w:right w:val="single" w:sz="4" w:space="0" w:color="231F20"/>
            </w:tcBorders>
            <w:hideMark/>
          </w:tcPr>
          <w:p w14:paraId="50AC98F5" w14:textId="77777777" w:rsidR="00DB1AEE" w:rsidRPr="00DB1AEE" w:rsidRDefault="00DB1AEE" w:rsidP="00DB1AEE">
            <w:pPr>
              <w:jc w:val="left"/>
              <w:rPr>
                <w:rFonts w:ascii="Calibri" w:hAnsi="Calibri" w:cs="Calibri"/>
                <w:sz w:val="17"/>
                <w:szCs w:val="17"/>
              </w:rPr>
            </w:pPr>
            <w:r w:rsidRPr="00DB1AEE">
              <w:rPr>
                <w:rFonts w:ascii="Calibri" w:hAnsi="Calibri" w:cs="Calibri"/>
                <w:color w:val="231F20"/>
                <w:sz w:val="17"/>
                <w:szCs w:val="17"/>
              </w:rPr>
              <w:t>R408.2.3(5)(a)</w:t>
            </w:r>
          </w:p>
        </w:tc>
        <w:tc>
          <w:tcPr>
            <w:tcW w:w="2342" w:type="dxa"/>
            <w:tcBorders>
              <w:top w:val="nil"/>
              <w:left w:val="nil"/>
              <w:bottom w:val="single" w:sz="4" w:space="0" w:color="231F20"/>
              <w:right w:val="single" w:sz="4" w:space="0" w:color="231F20"/>
            </w:tcBorders>
            <w:hideMark/>
          </w:tcPr>
          <w:p w14:paraId="0874C879" w14:textId="77777777" w:rsidR="00DB1AEE" w:rsidRPr="00DB1AEE" w:rsidRDefault="00DB1AEE" w:rsidP="00DB1AEE">
            <w:pPr>
              <w:jc w:val="center"/>
              <w:rPr>
                <w:rFonts w:ascii="Calibri" w:hAnsi="Calibri" w:cs="Calibri"/>
                <w:sz w:val="17"/>
                <w:szCs w:val="17"/>
              </w:rPr>
            </w:pPr>
            <w:r w:rsidRPr="00DB1AEE">
              <w:rPr>
                <w:rFonts w:ascii="Calibri" w:hAnsi="Calibri" w:cs="Calibri"/>
                <w:color w:val="231F20"/>
                <w:sz w:val="17"/>
                <w:szCs w:val="17"/>
              </w:rPr>
              <w:t>Electric water heaters (Option 3)</w:t>
            </w:r>
          </w:p>
        </w:tc>
        <w:tc>
          <w:tcPr>
            <w:tcW w:w="2093" w:type="dxa"/>
            <w:tcBorders>
              <w:top w:val="nil"/>
              <w:left w:val="nil"/>
              <w:bottom w:val="single" w:sz="4" w:space="0" w:color="231F20"/>
              <w:right w:val="single" w:sz="4" w:space="0" w:color="231F20"/>
            </w:tcBorders>
            <w:hideMark/>
          </w:tcPr>
          <w:p w14:paraId="033B78CB" w14:textId="77777777" w:rsidR="00DB1AEE" w:rsidRPr="00DB1AEE" w:rsidRDefault="00DB1AEE" w:rsidP="00DB1AEE">
            <w:pPr>
              <w:ind w:firstLineChars="200" w:firstLine="340"/>
              <w:jc w:val="left"/>
              <w:rPr>
                <w:rFonts w:ascii="Calibri" w:hAnsi="Calibri" w:cs="Calibri"/>
                <w:sz w:val="17"/>
                <w:szCs w:val="17"/>
              </w:rPr>
            </w:pPr>
            <w:r w:rsidRPr="00DB1AEE">
              <w:rPr>
                <w:rFonts w:ascii="Calibri" w:hAnsi="Calibri" w:cs="Calibri"/>
                <w:color w:val="231F20"/>
                <w:sz w:val="17"/>
                <w:szCs w:val="17"/>
              </w:rPr>
              <w:t>All storage volumes, low, medium, or high</w:t>
            </w:r>
          </w:p>
        </w:tc>
        <w:tc>
          <w:tcPr>
            <w:tcW w:w="1561" w:type="dxa"/>
            <w:tcBorders>
              <w:top w:val="nil"/>
              <w:left w:val="nil"/>
              <w:bottom w:val="single" w:sz="4" w:space="0" w:color="231F20"/>
              <w:right w:val="single" w:sz="4" w:space="0" w:color="231F20"/>
            </w:tcBorders>
            <w:hideMark/>
          </w:tcPr>
          <w:p w14:paraId="1B95A504" w14:textId="77777777" w:rsidR="00DB1AEE" w:rsidRPr="00DB1AEE" w:rsidRDefault="00DB1AEE" w:rsidP="00DB1AEE">
            <w:pPr>
              <w:jc w:val="center"/>
              <w:rPr>
                <w:rFonts w:ascii="Calibri" w:hAnsi="Calibri" w:cs="Calibri"/>
                <w:sz w:val="17"/>
                <w:szCs w:val="17"/>
              </w:rPr>
            </w:pPr>
            <w:r w:rsidRPr="00DB1AEE">
              <w:rPr>
                <w:rFonts w:ascii="Calibri" w:hAnsi="Calibri" w:cs="Calibri"/>
                <w:color w:val="231F20"/>
                <w:sz w:val="17"/>
                <w:szCs w:val="17"/>
              </w:rPr>
              <w:t>Split-system HPWH</w:t>
            </w:r>
          </w:p>
        </w:tc>
        <w:tc>
          <w:tcPr>
            <w:tcW w:w="1561" w:type="dxa"/>
            <w:tcBorders>
              <w:top w:val="nil"/>
              <w:left w:val="nil"/>
              <w:bottom w:val="single" w:sz="4" w:space="0" w:color="231F20"/>
              <w:right w:val="single" w:sz="4" w:space="0" w:color="231F20"/>
            </w:tcBorders>
            <w:hideMark/>
          </w:tcPr>
          <w:p w14:paraId="56E856CE" w14:textId="77777777" w:rsidR="00DB1AEE" w:rsidRPr="00DB1AEE" w:rsidRDefault="00DB1AEE" w:rsidP="00DB1AEE">
            <w:pPr>
              <w:jc w:val="center"/>
              <w:rPr>
                <w:rFonts w:ascii="Calibri" w:hAnsi="Calibri" w:cs="Calibri"/>
                <w:sz w:val="17"/>
                <w:szCs w:val="17"/>
              </w:rPr>
            </w:pPr>
            <w:r w:rsidRPr="00DB1AEE">
              <w:rPr>
                <w:rFonts w:ascii="Calibri" w:hAnsi="Calibri" w:cs="Calibri"/>
                <w:color w:val="231F20"/>
                <w:sz w:val="17"/>
                <w:szCs w:val="17"/>
              </w:rPr>
              <w:t>UEF ≥ 2.20</w:t>
            </w:r>
          </w:p>
        </w:tc>
      </w:tr>
      <w:tr w:rsidR="00DB1AEE" w:rsidRPr="00DB1AEE" w14:paraId="2D5065D2" w14:textId="77777777" w:rsidTr="00FC1832">
        <w:trPr>
          <w:trHeight w:val="476"/>
        </w:trPr>
        <w:tc>
          <w:tcPr>
            <w:tcW w:w="1561" w:type="dxa"/>
            <w:tcBorders>
              <w:top w:val="nil"/>
              <w:left w:val="single" w:sz="4" w:space="0" w:color="231F20"/>
              <w:bottom w:val="single" w:sz="4" w:space="0" w:color="231F20"/>
              <w:right w:val="single" w:sz="4" w:space="0" w:color="231F20"/>
            </w:tcBorders>
            <w:hideMark/>
          </w:tcPr>
          <w:p w14:paraId="693BAEBC" w14:textId="77777777" w:rsidR="00DB1AEE" w:rsidRPr="00DB1AEE" w:rsidRDefault="00DB1AEE" w:rsidP="00DB1AEE">
            <w:pPr>
              <w:jc w:val="left"/>
              <w:rPr>
                <w:rFonts w:ascii="Calibri" w:hAnsi="Calibri" w:cs="Calibri"/>
                <w:sz w:val="17"/>
                <w:szCs w:val="17"/>
              </w:rPr>
            </w:pPr>
            <w:r w:rsidRPr="00DB1AEE">
              <w:rPr>
                <w:rFonts w:ascii="Calibri" w:hAnsi="Calibri" w:cs="Calibri"/>
                <w:color w:val="231F20"/>
                <w:sz w:val="17"/>
                <w:szCs w:val="17"/>
              </w:rPr>
              <w:t>R408.2.3(5)(b)</w:t>
            </w:r>
          </w:p>
        </w:tc>
        <w:tc>
          <w:tcPr>
            <w:tcW w:w="2342" w:type="dxa"/>
            <w:tcBorders>
              <w:top w:val="nil"/>
              <w:left w:val="nil"/>
              <w:bottom w:val="single" w:sz="4" w:space="0" w:color="231F20"/>
              <w:right w:val="single" w:sz="4" w:space="0" w:color="231F20"/>
            </w:tcBorders>
            <w:hideMark/>
          </w:tcPr>
          <w:p w14:paraId="31AB6100" w14:textId="77777777" w:rsidR="00DB1AEE" w:rsidRPr="00DB1AEE" w:rsidRDefault="00DB1AEE" w:rsidP="00DB1AEE">
            <w:pPr>
              <w:jc w:val="center"/>
              <w:rPr>
                <w:rFonts w:ascii="Calibri" w:hAnsi="Calibri" w:cs="Calibri"/>
                <w:sz w:val="17"/>
                <w:szCs w:val="17"/>
              </w:rPr>
            </w:pPr>
            <w:r w:rsidRPr="00DB1AEE">
              <w:rPr>
                <w:rFonts w:ascii="Calibri" w:hAnsi="Calibri" w:cs="Calibri"/>
                <w:color w:val="231F20"/>
                <w:sz w:val="17"/>
                <w:szCs w:val="17"/>
              </w:rPr>
              <w:t>Electric water heaters (Option 4)</w:t>
            </w:r>
          </w:p>
        </w:tc>
        <w:tc>
          <w:tcPr>
            <w:tcW w:w="2093" w:type="dxa"/>
            <w:tcBorders>
              <w:top w:val="nil"/>
              <w:left w:val="nil"/>
              <w:bottom w:val="single" w:sz="4" w:space="0" w:color="231F20"/>
              <w:right w:val="single" w:sz="4" w:space="0" w:color="231F20"/>
            </w:tcBorders>
            <w:hideMark/>
          </w:tcPr>
          <w:p w14:paraId="16B51CC3" w14:textId="77777777" w:rsidR="00DB1AEE" w:rsidRPr="00DB1AEE" w:rsidRDefault="00DB1AEE" w:rsidP="00DB1AEE">
            <w:pPr>
              <w:ind w:firstLineChars="200" w:firstLine="340"/>
              <w:jc w:val="left"/>
              <w:rPr>
                <w:rFonts w:ascii="Calibri" w:hAnsi="Calibri" w:cs="Calibri"/>
                <w:sz w:val="17"/>
                <w:szCs w:val="17"/>
              </w:rPr>
            </w:pPr>
            <w:r w:rsidRPr="00DB1AEE">
              <w:rPr>
                <w:rFonts w:ascii="Calibri" w:hAnsi="Calibri" w:cs="Calibri"/>
                <w:color w:val="231F20"/>
                <w:sz w:val="17"/>
                <w:szCs w:val="17"/>
              </w:rPr>
              <w:t>All storage volumes, low, medium, or high</w:t>
            </w:r>
          </w:p>
        </w:tc>
        <w:tc>
          <w:tcPr>
            <w:tcW w:w="1561" w:type="dxa"/>
            <w:tcBorders>
              <w:top w:val="nil"/>
              <w:left w:val="nil"/>
              <w:bottom w:val="single" w:sz="4" w:space="0" w:color="231F20"/>
              <w:right w:val="single" w:sz="4" w:space="0" w:color="231F20"/>
            </w:tcBorders>
            <w:hideMark/>
          </w:tcPr>
          <w:p w14:paraId="3D1D1D90" w14:textId="77777777" w:rsidR="00DB1AEE" w:rsidRPr="00DB1AEE" w:rsidRDefault="00DB1AEE" w:rsidP="00DB1AEE">
            <w:pPr>
              <w:jc w:val="center"/>
              <w:rPr>
                <w:rFonts w:ascii="Calibri" w:hAnsi="Calibri" w:cs="Calibri"/>
                <w:sz w:val="17"/>
                <w:szCs w:val="17"/>
              </w:rPr>
            </w:pPr>
            <w:r w:rsidRPr="00DB1AEE">
              <w:rPr>
                <w:rFonts w:ascii="Calibri" w:hAnsi="Calibri" w:cs="Calibri"/>
                <w:color w:val="231F20"/>
                <w:sz w:val="17"/>
                <w:szCs w:val="17"/>
              </w:rPr>
              <w:t>Split-system HPWH</w:t>
            </w:r>
          </w:p>
        </w:tc>
        <w:tc>
          <w:tcPr>
            <w:tcW w:w="1561" w:type="dxa"/>
            <w:tcBorders>
              <w:top w:val="nil"/>
              <w:left w:val="nil"/>
              <w:bottom w:val="single" w:sz="4" w:space="0" w:color="231F20"/>
              <w:right w:val="single" w:sz="4" w:space="0" w:color="231F20"/>
            </w:tcBorders>
            <w:hideMark/>
          </w:tcPr>
          <w:p w14:paraId="2103E40C" w14:textId="77777777" w:rsidR="00DB1AEE" w:rsidRPr="00DB1AEE" w:rsidRDefault="00DB1AEE" w:rsidP="00DB1AEE">
            <w:pPr>
              <w:jc w:val="center"/>
              <w:rPr>
                <w:rFonts w:ascii="Calibri" w:hAnsi="Calibri" w:cs="Calibri"/>
                <w:sz w:val="17"/>
                <w:szCs w:val="17"/>
              </w:rPr>
            </w:pPr>
            <w:r w:rsidRPr="00DB1AEE">
              <w:rPr>
                <w:rFonts w:ascii="Calibri" w:hAnsi="Calibri" w:cs="Calibri"/>
                <w:color w:val="231F20"/>
                <w:sz w:val="17"/>
                <w:szCs w:val="17"/>
              </w:rPr>
              <w:t>UEF ≥ 3.75</w:t>
            </w:r>
          </w:p>
        </w:tc>
      </w:tr>
      <w:tr w:rsidR="00DB1AEE" w:rsidRPr="00DB1AEE" w14:paraId="0B3AA839" w14:textId="77777777" w:rsidTr="00FC1832">
        <w:trPr>
          <w:trHeight w:val="297"/>
        </w:trPr>
        <w:tc>
          <w:tcPr>
            <w:tcW w:w="1561" w:type="dxa"/>
            <w:tcBorders>
              <w:top w:val="nil"/>
              <w:left w:val="single" w:sz="4" w:space="0" w:color="231F20"/>
              <w:bottom w:val="single" w:sz="4" w:space="0" w:color="231F20"/>
              <w:right w:val="single" w:sz="4" w:space="0" w:color="231F20"/>
            </w:tcBorders>
            <w:hideMark/>
          </w:tcPr>
          <w:p w14:paraId="005EEB61" w14:textId="77777777" w:rsidR="00DB1AEE" w:rsidRPr="00DB1AEE" w:rsidRDefault="00DB1AEE" w:rsidP="00DB1AEE">
            <w:pPr>
              <w:jc w:val="left"/>
              <w:rPr>
                <w:rFonts w:ascii="Calibri" w:hAnsi="Calibri" w:cs="Calibri"/>
                <w:sz w:val="17"/>
                <w:szCs w:val="17"/>
              </w:rPr>
            </w:pPr>
            <w:r w:rsidRPr="00DB1AEE">
              <w:rPr>
                <w:rFonts w:ascii="Calibri" w:hAnsi="Calibri" w:cs="Calibri"/>
                <w:color w:val="231F20"/>
                <w:sz w:val="17"/>
                <w:szCs w:val="17"/>
              </w:rPr>
              <w:t>R408.2.3(6)</w:t>
            </w:r>
          </w:p>
        </w:tc>
        <w:tc>
          <w:tcPr>
            <w:tcW w:w="2342" w:type="dxa"/>
            <w:tcBorders>
              <w:top w:val="nil"/>
              <w:left w:val="nil"/>
              <w:bottom w:val="single" w:sz="4" w:space="0" w:color="231F20"/>
              <w:right w:val="single" w:sz="4" w:space="0" w:color="231F20"/>
            </w:tcBorders>
            <w:hideMark/>
          </w:tcPr>
          <w:p w14:paraId="5478A3A8" w14:textId="77777777" w:rsidR="00DB1AEE" w:rsidRPr="00DB1AEE" w:rsidRDefault="00DB1AEE" w:rsidP="00DB1AEE">
            <w:pPr>
              <w:jc w:val="center"/>
              <w:rPr>
                <w:rFonts w:ascii="Calibri" w:hAnsi="Calibri" w:cs="Calibri"/>
                <w:sz w:val="17"/>
                <w:szCs w:val="17"/>
              </w:rPr>
            </w:pPr>
            <w:r w:rsidRPr="00DB1AEE">
              <w:rPr>
                <w:rFonts w:ascii="Calibri" w:hAnsi="Calibri" w:cs="Calibri"/>
                <w:color w:val="231F20"/>
                <w:sz w:val="17"/>
                <w:szCs w:val="17"/>
              </w:rPr>
              <w:t>Electric water heaters (Option 5)</w:t>
            </w:r>
          </w:p>
        </w:tc>
        <w:tc>
          <w:tcPr>
            <w:tcW w:w="2093" w:type="dxa"/>
            <w:tcBorders>
              <w:top w:val="nil"/>
              <w:left w:val="nil"/>
              <w:bottom w:val="single" w:sz="4" w:space="0" w:color="231F20"/>
              <w:right w:val="single" w:sz="4" w:space="0" w:color="231F20"/>
            </w:tcBorders>
            <w:hideMark/>
          </w:tcPr>
          <w:p w14:paraId="332B3F72" w14:textId="77777777" w:rsidR="00DB1AEE" w:rsidRPr="00DB1AEE" w:rsidRDefault="00DB1AEE" w:rsidP="00DB1AEE">
            <w:pPr>
              <w:jc w:val="center"/>
              <w:rPr>
                <w:rFonts w:ascii="Calibri" w:hAnsi="Calibri" w:cs="Calibri"/>
                <w:sz w:val="17"/>
                <w:szCs w:val="17"/>
              </w:rPr>
            </w:pPr>
            <w:r w:rsidRPr="00DB1AEE">
              <w:rPr>
                <w:rFonts w:ascii="Calibri" w:hAnsi="Calibri" w:cs="Calibri"/>
                <w:color w:val="231F20"/>
                <w:sz w:val="17"/>
                <w:szCs w:val="17"/>
              </w:rPr>
              <w:t>Rated input capacity &gt; 12 kW</w:t>
            </w:r>
          </w:p>
        </w:tc>
        <w:tc>
          <w:tcPr>
            <w:tcW w:w="1561" w:type="dxa"/>
            <w:tcBorders>
              <w:top w:val="nil"/>
              <w:left w:val="nil"/>
              <w:bottom w:val="single" w:sz="4" w:space="0" w:color="231F20"/>
              <w:right w:val="single" w:sz="4" w:space="0" w:color="231F20"/>
            </w:tcBorders>
            <w:hideMark/>
          </w:tcPr>
          <w:p w14:paraId="1D2DD15B" w14:textId="77777777" w:rsidR="00DB1AEE" w:rsidRPr="00DB1AEE" w:rsidRDefault="00DB1AEE" w:rsidP="00DB1AEE">
            <w:pPr>
              <w:jc w:val="center"/>
              <w:rPr>
                <w:rFonts w:ascii="Calibri" w:hAnsi="Calibri" w:cs="Calibri"/>
                <w:sz w:val="17"/>
                <w:szCs w:val="17"/>
              </w:rPr>
            </w:pPr>
            <w:r w:rsidRPr="00DB1AEE">
              <w:rPr>
                <w:rFonts w:ascii="Calibri" w:hAnsi="Calibri" w:cs="Calibri"/>
                <w:color w:val="231F20"/>
                <w:sz w:val="17"/>
                <w:szCs w:val="17"/>
              </w:rPr>
              <w:t>—</w:t>
            </w:r>
          </w:p>
        </w:tc>
        <w:tc>
          <w:tcPr>
            <w:tcW w:w="1561" w:type="dxa"/>
            <w:tcBorders>
              <w:top w:val="nil"/>
              <w:left w:val="nil"/>
              <w:bottom w:val="single" w:sz="4" w:space="0" w:color="231F20"/>
              <w:right w:val="single" w:sz="4" w:space="0" w:color="231F20"/>
            </w:tcBorders>
            <w:hideMark/>
          </w:tcPr>
          <w:p w14:paraId="01C55AD7" w14:textId="77777777" w:rsidR="00DB1AEE" w:rsidRPr="00DB1AEE" w:rsidRDefault="00DB1AEE" w:rsidP="00DB1AEE">
            <w:pPr>
              <w:jc w:val="center"/>
              <w:rPr>
                <w:rFonts w:ascii="Calibri" w:hAnsi="Calibri" w:cs="Calibri"/>
                <w:sz w:val="17"/>
                <w:szCs w:val="17"/>
              </w:rPr>
            </w:pPr>
            <w:r w:rsidRPr="00DB1AEE">
              <w:rPr>
                <w:rFonts w:ascii="Calibri" w:hAnsi="Calibri" w:cs="Calibri"/>
                <w:color w:val="231F20"/>
                <w:sz w:val="17"/>
                <w:szCs w:val="17"/>
              </w:rPr>
              <w:t>COP ≥ 3.00</w:t>
            </w:r>
          </w:p>
        </w:tc>
      </w:tr>
      <w:tr w:rsidR="00DB1AEE" w:rsidRPr="00DB1AEE" w14:paraId="65529F03" w14:textId="77777777" w:rsidTr="00FC1832">
        <w:trPr>
          <w:trHeight w:val="476"/>
        </w:trPr>
        <w:tc>
          <w:tcPr>
            <w:tcW w:w="1561" w:type="dxa"/>
            <w:tcBorders>
              <w:top w:val="nil"/>
              <w:left w:val="single" w:sz="4" w:space="0" w:color="231F20"/>
              <w:bottom w:val="single" w:sz="4" w:space="0" w:color="231F20"/>
              <w:right w:val="single" w:sz="4" w:space="0" w:color="231F20"/>
            </w:tcBorders>
            <w:hideMark/>
          </w:tcPr>
          <w:p w14:paraId="64545C70" w14:textId="77777777" w:rsidR="00DB1AEE" w:rsidRPr="00DB1AEE" w:rsidRDefault="00DB1AEE" w:rsidP="00DB1AEE">
            <w:pPr>
              <w:jc w:val="left"/>
              <w:rPr>
                <w:rFonts w:ascii="Calibri" w:hAnsi="Calibri" w:cs="Calibri"/>
                <w:sz w:val="17"/>
                <w:szCs w:val="17"/>
              </w:rPr>
            </w:pPr>
            <w:r w:rsidRPr="00DB1AEE">
              <w:rPr>
                <w:rFonts w:ascii="Calibri" w:hAnsi="Calibri" w:cs="Calibri"/>
                <w:color w:val="231F20"/>
                <w:sz w:val="17"/>
                <w:szCs w:val="17"/>
              </w:rPr>
              <w:t>R408.2.3(7)(a)</w:t>
            </w:r>
          </w:p>
        </w:tc>
        <w:tc>
          <w:tcPr>
            <w:tcW w:w="2342" w:type="dxa"/>
            <w:tcBorders>
              <w:top w:val="nil"/>
              <w:left w:val="nil"/>
              <w:bottom w:val="single" w:sz="4" w:space="0" w:color="231F20"/>
              <w:right w:val="single" w:sz="4" w:space="0" w:color="231F20"/>
            </w:tcBorders>
            <w:hideMark/>
          </w:tcPr>
          <w:p w14:paraId="136B1B55" w14:textId="77777777" w:rsidR="00DB1AEE" w:rsidRPr="00DB1AEE" w:rsidRDefault="00DB1AEE" w:rsidP="00DB1AEE">
            <w:pPr>
              <w:jc w:val="center"/>
              <w:rPr>
                <w:rFonts w:ascii="Calibri" w:hAnsi="Calibri" w:cs="Calibri"/>
                <w:sz w:val="17"/>
                <w:szCs w:val="17"/>
              </w:rPr>
            </w:pPr>
            <w:r w:rsidRPr="00DB1AEE">
              <w:rPr>
                <w:rFonts w:ascii="Calibri" w:hAnsi="Calibri" w:cs="Calibri"/>
                <w:color w:val="231F20"/>
                <w:sz w:val="17"/>
                <w:szCs w:val="17"/>
              </w:rPr>
              <w:t>Solar water heaters (Option 1)</w:t>
            </w:r>
          </w:p>
        </w:tc>
        <w:tc>
          <w:tcPr>
            <w:tcW w:w="2093" w:type="dxa"/>
            <w:tcBorders>
              <w:top w:val="nil"/>
              <w:left w:val="nil"/>
              <w:bottom w:val="single" w:sz="4" w:space="0" w:color="231F20"/>
              <w:right w:val="single" w:sz="4" w:space="0" w:color="231F20"/>
            </w:tcBorders>
            <w:hideMark/>
          </w:tcPr>
          <w:p w14:paraId="0F045097" w14:textId="77777777" w:rsidR="00DB1AEE" w:rsidRPr="00DB1AEE" w:rsidRDefault="00DB1AEE" w:rsidP="00DB1AEE">
            <w:pPr>
              <w:ind w:firstLineChars="300" w:firstLine="510"/>
              <w:jc w:val="left"/>
              <w:rPr>
                <w:rFonts w:ascii="Calibri" w:hAnsi="Calibri" w:cs="Calibri"/>
                <w:sz w:val="17"/>
                <w:szCs w:val="17"/>
              </w:rPr>
            </w:pPr>
            <w:r w:rsidRPr="00DB1AEE">
              <w:rPr>
                <w:rFonts w:ascii="Calibri" w:hAnsi="Calibri" w:cs="Calibri"/>
                <w:color w:val="231F20"/>
                <w:sz w:val="17"/>
                <w:szCs w:val="17"/>
              </w:rPr>
              <w:t>All storage volumes, all draw patterns</w:t>
            </w:r>
          </w:p>
        </w:tc>
        <w:tc>
          <w:tcPr>
            <w:tcW w:w="1561" w:type="dxa"/>
            <w:tcBorders>
              <w:top w:val="nil"/>
              <w:left w:val="nil"/>
              <w:bottom w:val="single" w:sz="4" w:space="0" w:color="231F20"/>
              <w:right w:val="single" w:sz="4" w:space="0" w:color="231F20"/>
            </w:tcBorders>
            <w:hideMark/>
          </w:tcPr>
          <w:p w14:paraId="339479FD" w14:textId="77777777" w:rsidR="00DB1AEE" w:rsidRPr="00DB1AEE" w:rsidRDefault="00DB1AEE" w:rsidP="00DB1AEE">
            <w:pPr>
              <w:jc w:val="center"/>
              <w:rPr>
                <w:rFonts w:ascii="Calibri" w:hAnsi="Calibri" w:cs="Calibri"/>
                <w:sz w:val="17"/>
                <w:szCs w:val="17"/>
              </w:rPr>
            </w:pPr>
            <w:r w:rsidRPr="00DB1AEE">
              <w:rPr>
                <w:rFonts w:ascii="Calibri" w:hAnsi="Calibri" w:cs="Calibri"/>
                <w:color w:val="231F20"/>
                <w:sz w:val="17"/>
                <w:szCs w:val="17"/>
              </w:rPr>
              <w:t>Electric backup</w:t>
            </w:r>
          </w:p>
        </w:tc>
        <w:tc>
          <w:tcPr>
            <w:tcW w:w="1561" w:type="dxa"/>
            <w:tcBorders>
              <w:top w:val="nil"/>
              <w:left w:val="nil"/>
              <w:bottom w:val="single" w:sz="4" w:space="0" w:color="231F20"/>
              <w:right w:val="single" w:sz="4" w:space="0" w:color="231F20"/>
            </w:tcBorders>
            <w:hideMark/>
          </w:tcPr>
          <w:p w14:paraId="62189D2C" w14:textId="77777777" w:rsidR="00DB1AEE" w:rsidRPr="00DB1AEE" w:rsidRDefault="00DB1AEE" w:rsidP="00DB1AEE">
            <w:pPr>
              <w:jc w:val="center"/>
              <w:rPr>
                <w:rFonts w:ascii="Calibri" w:hAnsi="Calibri" w:cs="Calibri"/>
                <w:sz w:val="17"/>
                <w:szCs w:val="17"/>
              </w:rPr>
            </w:pPr>
            <w:r w:rsidRPr="00DB1AEE">
              <w:rPr>
                <w:rFonts w:ascii="Calibri" w:hAnsi="Calibri" w:cs="Calibri"/>
                <w:color w:val="231F20"/>
                <w:sz w:val="17"/>
                <w:szCs w:val="17"/>
              </w:rPr>
              <w:t>SUEF ≥ 3.00</w:t>
            </w:r>
          </w:p>
        </w:tc>
      </w:tr>
      <w:tr w:rsidR="00DB1AEE" w:rsidRPr="00DB1AEE" w14:paraId="40720174" w14:textId="77777777" w:rsidTr="00FC1832">
        <w:trPr>
          <w:trHeight w:val="476"/>
        </w:trPr>
        <w:tc>
          <w:tcPr>
            <w:tcW w:w="1561" w:type="dxa"/>
            <w:tcBorders>
              <w:top w:val="nil"/>
              <w:left w:val="single" w:sz="4" w:space="0" w:color="231F20"/>
              <w:bottom w:val="single" w:sz="4" w:space="0" w:color="231F20"/>
              <w:right w:val="single" w:sz="4" w:space="0" w:color="231F20"/>
            </w:tcBorders>
            <w:hideMark/>
          </w:tcPr>
          <w:p w14:paraId="2DAB23DC" w14:textId="77777777" w:rsidR="00DB1AEE" w:rsidRPr="00DB1AEE" w:rsidRDefault="00DB1AEE" w:rsidP="00DB1AEE">
            <w:pPr>
              <w:jc w:val="left"/>
              <w:rPr>
                <w:rFonts w:ascii="Calibri" w:hAnsi="Calibri" w:cs="Calibri"/>
                <w:sz w:val="17"/>
                <w:szCs w:val="17"/>
              </w:rPr>
            </w:pPr>
            <w:r w:rsidRPr="00DB1AEE">
              <w:rPr>
                <w:rFonts w:ascii="Calibri" w:hAnsi="Calibri" w:cs="Calibri"/>
                <w:color w:val="231F20"/>
                <w:sz w:val="17"/>
                <w:szCs w:val="17"/>
              </w:rPr>
              <w:t>R408.2.3(7)(b)</w:t>
            </w:r>
          </w:p>
        </w:tc>
        <w:tc>
          <w:tcPr>
            <w:tcW w:w="2342" w:type="dxa"/>
            <w:tcBorders>
              <w:top w:val="nil"/>
              <w:left w:val="nil"/>
              <w:bottom w:val="single" w:sz="4" w:space="0" w:color="231F20"/>
              <w:right w:val="single" w:sz="4" w:space="0" w:color="231F20"/>
            </w:tcBorders>
            <w:hideMark/>
          </w:tcPr>
          <w:p w14:paraId="198B8CBC" w14:textId="77777777" w:rsidR="00DB1AEE" w:rsidRPr="00DB1AEE" w:rsidRDefault="00DB1AEE" w:rsidP="00DB1AEE">
            <w:pPr>
              <w:jc w:val="center"/>
              <w:rPr>
                <w:rFonts w:ascii="Calibri" w:hAnsi="Calibri" w:cs="Calibri"/>
                <w:sz w:val="17"/>
                <w:szCs w:val="17"/>
              </w:rPr>
            </w:pPr>
            <w:r w:rsidRPr="00DB1AEE">
              <w:rPr>
                <w:rFonts w:ascii="Calibri" w:hAnsi="Calibri" w:cs="Calibri"/>
                <w:color w:val="231F20"/>
                <w:sz w:val="17"/>
                <w:szCs w:val="17"/>
              </w:rPr>
              <w:t>Solar water heaters (Option 2)</w:t>
            </w:r>
          </w:p>
        </w:tc>
        <w:tc>
          <w:tcPr>
            <w:tcW w:w="2093" w:type="dxa"/>
            <w:tcBorders>
              <w:top w:val="nil"/>
              <w:left w:val="nil"/>
              <w:bottom w:val="single" w:sz="4" w:space="0" w:color="231F20"/>
              <w:right w:val="single" w:sz="4" w:space="0" w:color="231F20"/>
            </w:tcBorders>
            <w:hideMark/>
          </w:tcPr>
          <w:p w14:paraId="19A2CBA9" w14:textId="77777777" w:rsidR="00DB1AEE" w:rsidRPr="00DB1AEE" w:rsidRDefault="00DB1AEE" w:rsidP="00DB1AEE">
            <w:pPr>
              <w:ind w:firstLineChars="300" w:firstLine="510"/>
              <w:jc w:val="left"/>
              <w:rPr>
                <w:rFonts w:ascii="Calibri" w:hAnsi="Calibri" w:cs="Calibri"/>
                <w:sz w:val="17"/>
                <w:szCs w:val="17"/>
              </w:rPr>
            </w:pPr>
            <w:r w:rsidRPr="00DB1AEE">
              <w:rPr>
                <w:rFonts w:ascii="Calibri" w:hAnsi="Calibri" w:cs="Calibri"/>
                <w:color w:val="231F20"/>
                <w:sz w:val="17"/>
                <w:szCs w:val="17"/>
              </w:rPr>
              <w:t>All storage volumes, all draw patterns</w:t>
            </w:r>
          </w:p>
        </w:tc>
        <w:tc>
          <w:tcPr>
            <w:tcW w:w="1561" w:type="dxa"/>
            <w:tcBorders>
              <w:top w:val="nil"/>
              <w:left w:val="nil"/>
              <w:bottom w:val="single" w:sz="4" w:space="0" w:color="231F20"/>
              <w:right w:val="single" w:sz="4" w:space="0" w:color="231F20"/>
            </w:tcBorders>
            <w:hideMark/>
          </w:tcPr>
          <w:p w14:paraId="156BD130" w14:textId="77777777" w:rsidR="00DB1AEE" w:rsidRPr="00DB1AEE" w:rsidRDefault="00DB1AEE" w:rsidP="00DB1AEE">
            <w:pPr>
              <w:jc w:val="center"/>
              <w:rPr>
                <w:rFonts w:ascii="Calibri" w:hAnsi="Calibri" w:cs="Calibri"/>
                <w:sz w:val="17"/>
                <w:szCs w:val="17"/>
              </w:rPr>
            </w:pPr>
            <w:r w:rsidRPr="00DB1AEE">
              <w:rPr>
                <w:rFonts w:ascii="Calibri" w:hAnsi="Calibri" w:cs="Calibri"/>
                <w:color w:val="231F20"/>
                <w:sz w:val="17"/>
                <w:szCs w:val="17"/>
              </w:rPr>
              <w:t>Gas backup</w:t>
            </w:r>
          </w:p>
        </w:tc>
        <w:tc>
          <w:tcPr>
            <w:tcW w:w="1561" w:type="dxa"/>
            <w:tcBorders>
              <w:top w:val="nil"/>
              <w:left w:val="nil"/>
              <w:bottom w:val="single" w:sz="4" w:space="0" w:color="231F20"/>
              <w:right w:val="single" w:sz="4" w:space="0" w:color="231F20"/>
            </w:tcBorders>
            <w:hideMark/>
          </w:tcPr>
          <w:p w14:paraId="6444DA27" w14:textId="77777777" w:rsidR="00DB1AEE" w:rsidRPr="00DB1AEE" w:rsidRDefault="00DB1AEE" w:rsidP="00DB1AEE">
            <w:pPr>
              <w:jc w:val="center"/>
              <w:rPr>
                <w:rFonts w:ascii="Calibri" w:hAnsi="Calibri" w:cs="Calibri"/>
                <w:sz w:val="17"/>
                <w:szCs w:val="17"/>
              </w:rPr>
            </w:pPr>
            <w:r w:rsidRPr="00DB1AEE">
              <w:rPr>
                <w:rFonts w:ascii="Calibri" w:hAnsi="Calibri" w:cs="Calibri"/>
                <w:color w:val="231F20"/>
                <w:sz w:val="17"/>
                <w:szCs w:val="17"/>
              </w:rPr>
              <w:t>SUEF ≥ 1.80</w:t>
            </w:r>
          </w:p>
        </w:tc>
      </w:tr>
    </w:tbl>
    <w:p w14:paraId="70AE9F92" w14:textId="77777777" w:rsidR="00DB1AEE" w:rsidRPr="00DB1AEE" w:rsidRDefault="00DB1AEE" w:rsidP="00DB1AEE">
      <w:pPr>
        <w:suppressAutoHyphens/>
        <w:spacing w:line="257" w:lineRule="auto"/>
        <w:jc w:val="left"/>
        <w:rPr>
          <w:szCs w:val="24"/>
          <w:u w:val="single"/>
        </w:rPr>
      </w:pPr>
      <w:r w:rsidRPr="00DB1AEE">
        <w:rPr>
          <w:szCs w:val="24"/>
          <w:u w:val="single"/>
        </w:rPr>
        <w:t>For SI: 1 British thermal unit per hour = 0.2931 W.</w:t>
      </w:r>
    </w:p>
    <w:p w14:paraId="762C9B79" w14:textId="77777777" w:rsidR="00DB1AEE" w:rsidRPr="00DB1AEE" w:rsidRDefault="00DB1AEE" w:rsidP="00DB1AEE">
      <w:pPr>
        <w:suppressAutoHyphens/>
        <w:spacing w:line="257" w:lineRule="auto"/>
        <w:jc w:val="left"/>
        <w:rPr>
          <w:szCs w:val="24"/>
          <w:u w:val="single"/>
        </w:rPr>
      </w:pPr>
      <w:r w:rsidRPr="00DB1AEE">
        <w:rPr>
          <w:szCs w:val="24"/>
          <w:u w:val="single"/>
        </w:rPr>
        <w:t>UEF = Uniform Energy Factor, Et = Thermal Efficiency, COP = Coefficient of Performance.</w:t>
      </w:r>
    </w:p>
    <w:p w14:paraId="28555F7A" w14:textId="77777777" w:rsidR="00DB1AEE" w:rsidRPr="00DB1AEE" w:rsidRDefault="00DB1AEE" w:rsidP="00DB1AEE">
      <w:pPr>
        <w:suppressAutoHyphens/>
        <w:spacing w:line="257" w:lineRule="auto"/>
        <w:jc w:val="left"/>
        <w:rPr>
          <w:szCs w:val="24"/>
          <w:u w:val="single"/>
        </w:rPr>
      </w:pPr>
    </w:p>
    <w:p w14:paraId="6E3CA229" w14:textId="77777777" w:rsidR="00DB1AEE" w:rsidRPr="00DB1AEE" w:rsidRDefault="00DB1AEE" w:rsidP="00DB1AEE">
      <w:pPr>
        <w:suppressAutoHyphens/>
        <w:spacing w:before="130" w:after="130"/>
        <w:rPr>
          <w:rFonts w:eastAsia="MS Mincho"/>
          <w:u w:val="single"/>
        </w:rPr>
      </w:pPr>
      <w:r w:rsidRPr="00DB1AEE">
        <w:rPr>
          <w:rFonts w:eastAsia="MS Mincho"/>
          <w:b/>
          <w:bCs/>
          <w:u w:val="single"/>
        </w:rPr>
        <w:t>Section R408.2.3.1 Compact hot water distribution system option.</w:t>
      </w:r>
      <w:r w:rsidRPr="00DB1AEE">
        <w:rPr>
          <w:rFonts w:eastAsia="MS Mincho"/>
          <w:u w:val="single"/>
        </w:rPr>
        <w:t> </w:t>
      </w:r>
    </w:p>
    <w:p w14:paraId="2725ECBE" w14:textId="77777777" w:rsidR="00DB1AEE" w:rsidRPr="00DB1AEE" w:rsidRDefault="00DB1AEE" w:rsidP="00DB1AEE">
      <w:pPr>
        <w:suppressAutoHyphens/>
        <w:spacing w:before="130" w:after="130"/>
        <w:rPr>
          <w:rFonts w:eastAsia="MS Mincho"/>
          <w:u w:val="single"/>
        </w:rPr>
      </w:pPr>
      <w:r w:rsidRPr="00DB1AEE">
        <w:rPr>
          <w:rFonts w:eastAsia="MS Mincho"/>
          <w:u w:val="single"/>
        </w:rPr>
        <w:t>Section R408.2.3.1 – Revise Section R408.2.3.1 to read as follows:</w:t>
      </w:r>
    </w:p>
    <w:p w14:paraId="74F7F396" w14:textId="77777777" w:rsidR="00DB1AEE" w:rsidRPr="00DB1AEE" w:rsidRDefault="00DB1AEE" w:rsidP="00DB1AEE">
      <w:pPr>
        <w:suppressAutoHyphens/>
        <w:spacing w:line="257" w:lineRule="auto"/>
        <w:jc w:val="left"/>
        <w:rPr>
          <w:rFonts w:eastAsia="MS Mincho"/>
          <w:u w:val="single"/>
        </w:rPr>
      </w:pPr>
      <w:r w:rsidRPr="00DB1AEE">
        <w:rPr>
          <w:rFonts w:eastAsia="MS Mincho"/>
          <w:b/>
          <w:bCs/>
          <w:u w:val="single"/>
        </w:rPr>
        <w:t xml:space="preserve">R408.2.3.1 Compact hot water distribution system option. </w:t>
      </w:r>
      <w:r w:rsidRPr="00DB1AEE">
        <w:rPr>
          <w:rFonts w:eastAsia="MS Mincho"/>
          <w:u w:val="single"/>
        </w:rPr>
        <w:t>Reserved.</w:t>
      </w:r>
    </w:p>
    <w:p w14:paraId="6748B508" w14:textId="77777777" w:rsidR="00DB1AEE" w:rsidRPr="00DB1AEE" w:rsidRDefault="00DB1AEE" w:rsidP="00DB1AEE">
      <w:pPr>
        <w:suppressAutoHyphens/>
        <w:spacing w:line="257" w:lineRule="auto"/>
        <w:jc w:val="left"/>
        <w:rPr>
          <w:szCs w:val="24"/>
          <w:u w:val="single"/>
        </w:rPr>
      </w:pPr>
    </w:p>
    <w:p w14:paraId="6B55D157" w14:textId="77777777" w:rsidR="00DB1AEE" w:rsidRPr="00DB1AEE" w:rsidRDefault="00DB1AEE" w:rsidP="00DB1AEE">
      <w:pPr>
        <w:suppressAutoHyphens/>
        <w:spacing w:before="130" w:after="130"/>
        <w:rPr>
          <w:rFonts w:eastAsia="MS Mincho"/>
          <w:u w:val="single"/>
        </w:rPr>
      </w:pPr>
      <w:r w:rsidRPr="00DB1AEE">
        <w:rPr>
          <w:rFonts w:eastAsia="MS Mincho"/>
          <w:b/>
          <w:bCs/>
          <w:u w:val="single"/>
        </w:rPr>
        <w:t>Section R408.2.3.1.1 Water volume determination.</w:t>
      </w:r>
      <w:r w:rsidRPr="00DB1AEE">
        <w:rPr>
          <w:rFonts w:eastAsia="MS Mincho"/>
          <w:u w:val="single"/>
        </w:rPr>
        <w:t> </w:t>
      </w:r>
    </w:p>
    <w:p w14:paraId="564CE3DA" w14:textId="77777777" w:rsidR="00DB1AEE" w:rsidRPr="00DB1AEE" w:rsidRDefault="00DB1AEE" w:rsidP="00DB1AEE">
      <w:pPr>
        <w:suppressAutoHyphens/>
        <w:spacing w:before="130" w:after="130"/>
        <w:rPr>
          <w:rFonts w:eastAsia="MS Mincho"/>
          <w:u w:val="single"/>
        </w:rPr>
      </w:pPr>
      <w:r w:rsidRPr="00DB1AEE">
        <w:rPr>
          <w:rFonts w:eastAsia="MS Mincho"/>
          <w:u w:val="single"/>
        </w:rPr>
        <w:t>Section R408.2.3.1.1 – Revise Section R408.2.3.1.1 to read as follows:</w:t>
      </w:r>
    </w:p>
    <w:p w14:paraId="5ECDF5BD" w14:textId="77777777" w:rsidR="00DB1AEE" w:rsidRPr="00DB1AEE" w:rsidRDefault="00DB1AEE" w:rsidP="00DB1AEE">
      <w:pPr>
        <w:suppressAutoHyphens/>
        <w:spacing w:line="257" w:lineRule="auto"/>
        <w:jc w:val="left"/>
        <w:rPr>
          <w:rFonts w:eastAsia="MS Mincho"/>
          <w:u w:val="single"/>
        </w:rPr>
      </w:pPr>
      <w:r w:rsidRPr="00DB1AEE">
        <w:rPr>
          <w:rFonts w:eastAsia="MS Mincho"/>
          <w:b/>
          <w:bCs/>
          <w:u w:val="single"/>
        </w:rPr>
        <w:t xml:space="preserve">R408.2.3.1.1 Water volume determination. </w:t>
      </w:r>
      <w:r w:rsidRPr="00DB1AEE">
        <w:rPr>
          <w:rFonts w:eastAsia="MS Mincho"/>
          <w:u w:val="single"/>
        </w:rPr>
        <w:t>Reserved.</w:t>
      </w:r>
    </w:p>
    <w:p w14:paraId="1E5941CF" w14:textId="77777777" w:rsidR="00DB1AEE" w:rsidRPr="00DB1AEE" w:rsidRDefault="00DB1AEE" w:rsidP="00DB1AEE">
      <w:pPr>
        <w:suppressAutoHyphens/>
        <w:spacing w:line="257" w:lineRule="auto"/>
        <w:jc w:val="left"/>
        <w:rPr>
          <w:szCs w:val="24"/>
          <w:u w:val="single"/>
        </w:rPr>
      </w:pPr>
    </w:p>
    <w:p w14:paraId="613E561F" w14:textId="77777777" w:rsidR="00DB1AEE" w:rsidRPr="00DB1AEE" w:rsidRDefault="00DB1AEE" w:rsidP="00DB1AEE">
      <w:pPr>
        <w:suppressAutoHyphens/>
        <w:spacing w:line="257" w:lineRule="auto"/>
        <w:jc w:val="left"/>
        <w:rPr>
          <w:szCs w:val="24"/>
          <w:u w:val="single"/>
        </w:rPr>
      </w:pPr>
    </w:p>
    <w:p w14:paraId="2F7ADEBF" w14:textId="77777777" w:rsidR="00DB1AEE" w:rsidRPr="00DB1AEE" w:rsidRDefault="00DB1AEE" w:rsidP="00DB1AEE">
      <w:pPr>
        <w:suppressAutoHyphens/>
        <w:spacing w:before="130" w:after="130"/>
        <w:rPr>
          <w:rFonts w:eastAsia="MS Mincho"/>
          <w:u w:val="single"/>
        </w:rPr>
      </w:pPr>
      <w:r w:rsidRPr="00DB1AEE">
        <w:rPr>
          <w:rFonts w:eastAsia="MS Mincho"/>
          <w:b/>
          <w:bCs/>
          <w:u w:val="single"/>
        </w:rPr>
        <w:t>Section R408.2.6 Energy efficient appliances.</w:t>
      </w:r>
      <w:r w:rsidRPr="00DB1AEE">
        <w:rPr>
          <w:rFonts w:eastAsia="MS Mincho"/>
          <w:u w:val="single"/>
        </w:rPr>
        <w:t> </w:t>
      </w:r>
    </w:p>
    <w:p w14:paraId="17C0060D" w14:textId="77777777" w:rsidR="00DB1AEE" w:rsidRPr="00DB1AEE" w:rsidRDefault="00DB1AEE" w:rsidP="00DB1AEE">
      <w:pPr>
        <w:suppressAutoHyphens/>
        <w:spacing w:before="130" w:after="130"/>
        <w:rPr>
          <w:rFonts w:eastAsia="MS Mincho"/>
          <w:u w:val="single"/>
        </w:rPr>
      </w:pPr>
      <w:r w:rsidRPr="00DB1AEE">
        <w:rPr>
          <w:rFonts w:eastAsia="MS Mincho"/>
          <w:u w:val="single"/>
        </w:rPr>
        <w:t>Section R408.2.6 – Revise Section R408.2.6 to read as follows:</w:t>
      </w:r>
    </w:p>
    <w:p w14:paraId="3CB4F132" w14:textId="77777777" w:rsidR="00DB1AEE" w:rsidRPr="00DB1AEE" w:rsidRDefault="00DB1AEE" w:rsidP="00DB1AEE">
      <w:pPr>
        <w:autoSpaceDE w:val="0"/>
        <w:autoSpaceDN w:val="0"/>
        <w:adjustRightInd w:val="0"/>
        <w:spacing w:before="130" w:after="130"/>
        <w:ind w:left="360"/>
        <w:rPr>
          <w:szCs w:val="24"/>
          <w:u w:val="single"/>
        </w:rPr>
      </w:pPr>
      <w:r w:rsidRPr="00DB1AEE">
        <w:rPr>
          <w:b/>
          <w:bCs/>
          <w:szCs w:val="24"/>
          <w:u w:val="single"/>
        </w:rPr>
        <w:t xml:space="preserve">R408.2.6 Embodied Energy/Carbon Tracking. </w:t>
      </w:r>
      <w:r w:rsidRPr="00DB1AEE">
        <w:rPr>
          <w:szCs w:val="24"/>
          <w:u w:val="single"/>
        </w:rPr>
        <w:t>Where the following building materials are used, the applicant shall provide documentation as described below in order to obtain a credit for additional energy efficiency;</w:t>
      </w:r>
    </w:p>
    <w:p w14:paraId="0495E827" w14:textId="77777777" w:rsidR="00DB1AEE" w:rsidRPr="00DB1AEE" w:rsidRDefault="00DB1AEE" w:rsidP="00DB1AEE">
      <w:pPr>
        <w:autoSpaceDE w:val="0"/>
        <w:autoSpaceDN w:val="0"/>
        <w:adjustRightInd w:val="0"/>
        <w:spacing w:before="130" w:after="130"/>
        <w:ind w:left="720" w:hanging="288"/>
        <w:rPr>
          <w:szCs w:val="24"/>
          <w:u w:val="single"/>
        </w:rPr>
      </w:pPr>
      <w:r w:rsidRPr="00DB1AEE">
        <w:rPr>
          <w:szCs w:val="24"/>
          <w:u w:val="single"/>
        </w:rPr>
        <w:t>1.</w:t>
      </w:r>
      <w:r w:rsidRPr="00DB1AEE">
        <w:rPr>
          <w:szCs w:val="24"/>
          <w:u w:val="single"/>
        </w:rPr>
        <w:tab/>
        <w:t>Concrete Masonry Units . To obtain a credit for Embodied Energy/Carbon Tracking for Concrete Masonry Units, the applicant shall include the following information as part of the Energy Analysis submitted with the construction documentation:</w:t>
      </w:r>
    </w:p>
    <w:p w14:paraId="05F7E39B" w14:textId="77777777" w:rsidR="00DB1AEE" w:rsidRPr="00DB1AEE" w:rsidRDefault="00DB1AEE" w:rsidP="00DB1AEE">
      <w:pPr>
        <w:autoSpaceDE w:val="0"/>
        <w:autoSpaceDN w:val="0"/>
        <w:adjustRightInd w:val="0"/>
        <w:spacing w:before="130" w:after="130"/>
        <w:ind w:left="864" w:hanging="288"/>
        <w:rPr>
          <w:szCs w:val="24"/>
          <w:u w:val="single"/>
        </w:rPr>
      </w:pPr>
      <w:r w:rsidRPr="00DB1AEE">
        <w:rPr>
          <w:szCs w:val="24"/>
          <w:u w:val="single"/>
        </w:rPr>
        <w:t>1.1</w:t>
      </w:r>
      <w:r w:rsidRPr="00DB1AEE">
        <w:rPr>
          <w:szCs w:val="24"/>
          <w:u w:val="single"/>
        </w:rPr>
        <w:tab/>
        <w:t>Environmental Product Declaration (EPD) for the proposed product showing the embodied carbon of the CMU product (Units: Units:  kgCO2e/m3)</w:t>
      </w:r>
    </w:p>
    <w:p w14:paraId="11E37712" w14:textId="77777777" w:rsidR="00DB1AEE" w:rsidRPr="00DB1AEE" w:rsidRDefault="00DB1AEE" w:rsidP="00DB1AEE">
      <w:pPr>
        <w:autoSpaceDE w:val="0"/>
        <w:autoSpaceDN w:val="0"/>
        <w:adjustRightInd w:val="0"/>
        <w:spacing w:before="130" w:after="130"/>
        <w:ind w:left="864" w:hanging="288"/>
        <w:rPr>
          <w:szCs w:val="24"/>
          <w:u w:val="single"/>
        </w:rPr>
      </w:pPr>
      <w:r w:rsidRPr="00DB1AEE">
        <w:rPr>
          <w:szCs w:val="24"/>
          <w:u w:val="single"/>
        </w:rPr>
        <w:t>1.2</w:t>
      </w:r>
      <w:r w:rsidRPr="00DB1AEE">
        <w:rPr>
          <w:szCs w:val="24"/>
          <w:u w:val="single"/>
        </w:rPr>
        <w:tab/>
        <w:t>The listed embodied carbon of the CMU product per the EPD (Units:  kgCO2e/m3);</w:t>
      </w:r>
    </w:p>
    <w:p w14:paraId="5E5BA522" w14:textId="77777777" w:rsidR="00DB1AEE" w:rsidRPr="00DB1AEE" w:rsidRDefault="00DB1AEE" w:rsidP="00DB1AEE">
      <w:pPr>
        <w:autoSpaceDE w:val="0"/>
        <w:autoSpaceDN w:val="0"/>
        <w:adjustRightInd w:val="0"/>
        <w:spacing w:before="130" w:after="130"/>
        <w:ind w:left="864" w:hanging="288"/>
        <w:rPr>
          <w:szCs w:val="24"/>
          <w:u w:val="single"/>
        </w:rPr>
      </w:pPr>
      <w:r w:rsidRPr="00DB1AEE">
        <w:rPr>
          <w:szCs w:val="24"/>
          <w:u w:val="single"/>
        </w:rPr>
        <w:t>1.3</w:t>
      </w:r>
      <w:r w:rsidRPr="00DB1AEE">
        <w:rPr>
          <w:szCs w:val="24"/>
          <w:u w:val="single"/>
        </w:rPr>
        <w:tab/>
        <w:t>The total quantity (Units: m3) of the CMU in the project;</w:t>
      </w:r>
    </w:p>
    <w:p w14:paraId="7CDB0102" w14:textId="77777777" w:rsidR="00DB1AEE" w:rsidRPr="00DB1AEE" w:rsidRDefault="00DB1AEE" w:rsidP="00DB1AEE">
      <w:pPr>
        <w:autoSpaceDE w:val="0"/>
        <w:autoSpaceDN w:val="0"/>
        <w:adjustRightInd w:val="0"/>
        <w:spacing w:before="130" w:after="130"/>
        <w:ind w:left="864" w:hanging="288"/>
        <w:rPr>
          <w:szCs w:val="24"/>
          <w:u w:val="single"/>
        </w:rPr>
      </w:pPr>
      <w:r w:rsidRPr="00DB1AEE">
        <w:rPr>
          <w:szCs w:val="24"/>
          <w:u w:val="single"/>
        </w:rPr>
        <w:t>1.4</w:t>
      </w:r>
      <w:r w:rsidRPr="00DB1AEE">
        <w:rPr>
          <w:szCs w:val="24"/>
          <w:u w:val="single"/>
        </w:rPr>
        <w:tab/>
        <w:t xml:space="preserve">The total embodied carbon of CMU (listed embodied carbon multiplied by quantity) in the project versus the baseline embodied carbon of CMU (industry wide baseline embodied carbon multiplied by quantity); </w:t>
      </w:r>
    </w:p>
    <w:p w14:paraId="78C2ACFF" w14:textId="77777777" w:rsidR="00DB1AEE" w:rsidRPr="00DB1AEE" w:rsidRDefault="00DB1AEE" w:rsidP="00DB1AEE">
      <w:pPr>
        <w:autoSpaceDE w:val="0"/>
        <w:autoSpaceDN w:val="0"/>
        <w:adjustRightInd w:val="0"/>
        <w:spacing w:before="130" w:after="130"/>
        <w:ind w:left="1152" w:hanging="288"/>
        <w:rPr>
          <w:szCs w:val="24"/>
          <w:u w:val="single"/>
        </w:rPr>
      </w:pPr>
      <w:r w:rsidRPr="00DB1AEE">
        <w:rPr>
          <w:szCs w:val="24"/>
          <w:u w:val="single"/>
        </w:rPr>
        <w:t>1.4.1 Industry Wide Baseline Embodied Carbon for Concrete Masonry Unit: 177 kgC02e/yr</w:t>
      </w:r>
    </w:p>
    <w:p w14:paraId="5F73BBD4" w14:textId="77777777" w:rsidR="00DB1AEE" w:rsidRPr="00DB1AEE" w:rsidRDefault="00DB1AEE" w:rsidP="00DB1AEE">
      <w:pPr>
        <w:autoSpaceDE w:val="0"/>
        <w:autoSpaceDN w:val="0"/>
        <w:adjustRightInd w:val="0"/>
        <w:spacing w:before="130" w:after="130"/>
        <w:ind w:left="864" w:hanging="288"/>
        <w:rPr>
          <w:szCs w:val="24"/>
          <w:u w:val="single"/>
        </w:rPr>
      </w:pPr>
      <w:r w:rsidRPr="00DB1AEE">
        <w:rPr>
          <w:szCs w:val="24"/>
          <w:u w:val="single"/>
        </w:rPr>
        <w:t>1.5</w:t>
      </w:r>
      <w:r w:rsidRPr="00DB1AEE">
        <w:rPr>
          <w:szCs w:val="24"/>
          <w:u w:val="single"/>
        </w:rPr>
        <w:tab/>
        <w:t>The application does NOT need to demonstrate a reduction in embodied carbon from the baseline in order to obtain the credit;</w:t>
      </w:r>
    </w:p>
    <w:p w14:paraId="75F9A455" w14:textId="77777777" w:rsidR="00DB1AEE" w:rsidRPr="00DB1AEE" w:rsidRDefault="00DB1AEE" w:rsidP="00DB1AEE">
      <w:pPr>
        <w:autoSpaceDE w:val="0"/>
        <w:autoSpaceDN w:val="0"/>
        <w:adjustRightInd w:val="0"/>
        <w:spacing w:before="130" w:after="130"/>
        <w:ind w:left="720" w:hanging="288"/>
        <w:rPr>
          <w:szCs w:val="24"/>
          <w:u w:val="single"/>
        </w:rPr>
      </w:pPr>
      <w:r w:rsidRPr="00DB1AEE">
        <w:rPr>
          <w:szCs w:val="24"/>
          <w:u w:val="single"/>
        </w:rPr>
        <w:t>2.</w:t>
      </w:r>
      <w:r w:rsidRPr="00DB1AEE">
        <w:rPr>
          <w:szCs w:val="24"/>
          <w:u w:val="single"/>
        </w:rPr>
        <w:tab/>
        <w:t xml:space="preserve"> Poured in Place Concrete: To obtain a credit for Embodied Energy/Carbon Tracking for Poured in Place Concrete, the applicant shall include the following information as part of the Energy Analysis submitted with the construction documentation:</w:t>
      </w:r>
    </w:p>
    <w:p w14:paraId="05223570" w14:textId="77777777" w:rsidR="00DB1AEE" w:rsidRPr="00DB1AEE" w:rsidRDefault="00DB1AEE" w:rsidP="00DB1AEE">
      <w:pPr>
        <w:autoSpaceDE w:val="0"/>
        <w:autoSpaceDN w:val="0"/>
        <w:adjustRightInd w:val="0"/>
        <w:spacing w:before="130" w:after="130"/>
        <w:ind w:left="864" w:hanging="288"/>
        <w:rPr>
          <w:szCs w:val="24"/>
          <w:u w:val="single"/>
        </w:rPr>
      </w:pPr>
      <w:r w:rsidRPr="00DB1AEE">
        <w:rPr>
          <w:szCs w:val="24"/>
          <w:u w:val="single"/>
        </w:rPr>
        <w:t>2.1</w:t>
      </w:r>
      <w:r w:rsidRPr="00DB1AEE">
        <w:rPr>
          <w:szCs w:val="24"/>
          <w:u w:val="single"/>
        </w:rPr>
        <w:tab/>
        <w:t>The type and specified compressive strength (psi) of the poured in place concrete</w:t>
      </w:r>
    </w:p>
    <w:p w14:paraId="0C68B42D" w14:textId="77777777" w:rsidR="00DB1AEE" w:rsidRPr="00DB1AEE" w:rsidRDefault="00DB1AEE" w:rsidP="00DB1AEE">
      <w:pPr>
        <w:autoSpaceDE w:val="0"/>
        <w:autoSpaceDN w:val="0"/>
        <w:adjustRightInd w:val="0"/>
        <w:spacing w:before="130" w:after="130"/>
        <w:ind w:left="864" w:hanging="288"/>
        <w:rPr>
          <w:szCs w:val="24"/>
          <w:u w:val="single"/>
        </w:rPr>
      </w:pPr>
      <w:r w:rsidRPr="00DB1AEE">
        <w:rPr>
          <w:szCs w:val="24"/>
          <w:u w:val="single"/>
        </w:rPr>
        <w:t>2.2</w:t>
      </w:r>
      <w:r w:rsidRPr="00DB1AEE">
        <w:rPr>
          <w:szCs w:val="24"/>
          <w:u w:val="single"/>
        </w:rPr>
        <w:tab/>
        <w:t>Environmental Product Declaration (EPD) for the proposed concrete showing the embodied carbon of the CMU product (Units: Units:  kgCO2e/m3)</w:t>
      </w:r>
    </w:p>
    <w:p w14:paraId="27D4D573" w14:textId="77777777" w:rsidR="00DB1AEE" w:rsidRPr="00DB1AEE" w:rsidRDefault="00DB1AEE" w:rsidP="00DB1AEE">
      <w:pPr>
        <w:autoSpaceDE w:val="0"/>
        <w:autoSpaceDN w:val="0"/>
        <w:adjustRightInd w:val="0"/>
        <w:spacing w:before="130" w:after="130"/>
        <w:ind w:left="864" w:hanging="288"/>
        <w:rPr>
          <w:szCs w:val="24"/>
          <w:u w:val="single"/>
        </w:rPr>
      </w:pPr>
      <w:r w:rsidRPr="00DB1AEE">
        <w:rPr>
          <w:szCs w:val="24"/>
          <w:u w:val="single"/>
        </w:rPr>
        <w:t>2.3</w:t>
      </w:r>
      <w:r w:rsidRPr="00DB1AEE">
        <w:rPr>
          <w:szCs w:val="24"/>
          <w:u w:val="single"/>
        </w:rPr>
        <w:tab/>
        <w:t>The listed embodied carbon of the poured in place concrete per the EPD (Units:  kgCO2e/m3);</w:t>
      </w:r>
    </w:p>
    <w:p w14:paraId="2B0D71F9" w14:textId="77777777" w:rsidR="00DB1AEE" w:rsidRPr="00DB1AEE" w:rsidRDefault="00DB1AEE" w:rsidP="00DB1AEE">
      <w:pPr>
        <w:autoSpaceDE w:val="0"/>
        <w:autoSpaceDN w:val="0"/>
        <w:adjustRightInd w:val="0"/>
        <w:spacing w:before="130" w:after="130"/>
        <w:ind w:left="864" w:hanging="288"/>
        <w:rPr>
          <w:szCs w:val="24"/>
          <w:u w:val="single"/>
        </w:rPr>
      </w:pPr>
      <w:r w:rsidRPr="00DB1AEE">
        <w:rPr>
          <w:szCs w:val="24"/>
          <w:u w:val="single"/>
        </w:rPr>
        <w:t>2.4 The total quantity (Units: y3) of the poured in place concrete in the project;</w:t>
      </w:r>
    </w:p>
    <w:p w14:paraId="3DDA2517" w14:textId="77777777" w:rsidR="00DB1AEE" w:rsidRPr="00DB1AEE" w:rsidRDefault="00DB1AEE" w:rsidP="00DB1AEE">
      <w:pPr>
        <w:autoSpaceDE w:val="0"/>
        <w:autoSpaceDN w:val="0"/>
        <w:adjustRightInd w:val="0"/>
        <w:spacing w:before="130" w:after="130"/>
        <w:ind w:left="864" w:hanging="288"/>
        <w:rPr>
          <w:szCs w:val="24"/>
          <w:u w:val="single"/>
        </w:rPr>
      </w:pPr>
      <w:r w:rsidRPr="00DB1AEE">
        <w:rPr>
          <w:szCs w:val="24"/>
          <w:u w:val="single"/>
        </w:rPr>
        <w:t>2.5 The total embodied carbon of poured in place concrete (listed embodied carbon multiplied by quantity) in the project versus the baseline embodied  carbon of poured in place concrete (industry wide baseline embodied carbon multiplied by quantity);</w:t>
      </w:r>
    </w:p>
    <w:p w14:paraId="74CDAFB4" w14:textId="77777777" w:rsidR="00DB1AEE" w:rsidRPr="00DB1AEE" w:rsidRDefault="00DB1AEE" w:rsidP="00DB1AEE">
      <w:pPr>
        <w:autoSpaceDE w:val="0"/>
        <w:autoSpaceDN w:val="0"/>
        <w:adjustRightInd w:val="0"/>
        <w:spacing w:before="130" w:after="130"/>
        <w:ind w:left="1152" w:hanging="288"/>
        <w:rPr>
          <w:szCs w:val="24"/>
          <w:u w:val="single"/>
        </w:rPr>
      </w:pPr>
      <w:r w:rsidRPr="00DB1AEE">
        <w:rPr>
          <w:szCs w:val="24"/>
          <w:u w:val="single"/>
        </w:rPr>
        <w:t>2.5.1</w:t>
      </w:r>
      <w:r w:rsidRPr="00DB1AEE">
        <w:rPr>
          <w:szCs w:val="24"/>
          <w:u w:val="single"/>
        </w:rPr>
        <w:tab/>
        <w:t>Industry Wide Baseline Embodied Carbon for Poured in Place Concrete (Ready Mix)</w:t>
      </w:r>
    </w:p>
    <w:p w14:paraId="11DA901E" w14:textId="77777777" w:rsidR="00DB1AEE" w:rsidRPr="00DB1AEE" w:rsidRDefault="00DB1AEE" w:rsidP="00DB1AEE">
      <w:pPr>
        <w:autoSpaceDE w:val="0"/>
        <w:autoSpaceDN w:val="0"/>
        <w:adjustRightInd w:val="0"/>
        <w:spacing w:before="130" w:after="130"/>
        <w:ind w:left="1152" w:hanging="288"/>
        <w:rPr>
          <w:szCs w:val="24"/>
          <w:u w:val="single"/>
        </w:rPr>
      </w:pPr>
      <w:r w:rsidRPr="00DB1AEE">
        <w:rPr>
          <w:szCs w:val="24"/>
          <w:u w:val="single"/>
        </w:rPr>
        <w:t>-</w:t>
      </w:r>
      <w:r w:rsidRPr="00DB1AEE">
        <w:rPr>
          <w:szCs w:val="24"/>
          <w:u w:val="single"/>
        </w:rPr>
        <w:tab/>
        <w:t>0-2500 psi: 175 kgCO2e/y3</w:t>
      </w:r>
    </w:p>
    <w:p w14:paraId="08D78EF7" w14:textId="77777777" w:rsidR="00DB1AEE" w:rsidRPr="00DB1AEE" w:rsidRDefault="00DB1AEE" w:rsidP="00DB1AEE">
      <w:pPr>
        <w:autoSpaceDE w:val="0"/>
        <w:autoSpaceDN w:val="0"/>
        <w:adjustRightInd w:val="0"/>
        <w:spacing w:before="130" w:after="130"/>
        <w:ind w:left="1152" w:hanging="288"/>
        <w:rPr>
          <w:szCs w:val="24"/>
          <w:u w:val="single"/>
        </w:rPr>
      </w:pPr>
      <w:r w:rsidRPr="00DB1AEE">
        <w:rPr>
          <w:szCs w:val="24"/>
          <w:u w:val="single"/>
        </w:rPr>
        <w:t>-</w:t>
      </w:r>
      <w:r w:rsidRPr="00DB1AEE">
        <w:rPr>
          <w:szCs w:val="24"/>
          <w:u w:val="single"/>
        </w:rPr>
        <w:tab/>
        <w:t>2501-3000 psi: 194 kgCO2e/y3</w:t>
      </w:r>
    </w:p>
    <w:p w14:paraId="509458D2" w14:textId="77777777" w:rsidR="00DB1AEE" w:rsidRPr="00DB1AEE" w:rsidRDefault="00DB1AEE" w:rsidP="00DB1AEE">
      <w:pPr>
        <w:autoSpaceDE w:val="0"/>
        <w:autoSpaceDN w:val="0"/>
        <w:adjustRightInd w:val="0"/>
        <w:spacing w:before="130" w:after="130"/>
        <w:ind w:left="1152" w:hanging="288"/>
        <w:rPr>
          <w:szCs w:val="24"/>
          <w:u w:val="single"/>
        </w:rPr>
      </w:pPr>
      <w:r w:rsidRPr="00DB1AEE">
        <w:rPr>
          <w:szCs w:val="24"/>
          <w:u w:val="single"/>
        </w:rPr>
        <w:t>-</w:t>
      </w:r>
      <w:r w:rsidRPr="00DB1AEE">
        <w:rPr>
          <w:szCs w:val="24"/>
          <w:u w:val="single"/>
        </w:rPr>
        <w:tab/>
        <w:t>3001-4000 psi:  238 kgCO2e/y3</w:t>
      </w:r>
    </w:p>
    <w:p w14:paraId="662047E1" w14:textId="77777777" w:rsidR="00DB1AEE" w:rsidRPr="00DB1AEE" w:rsidRDefault="00DB1AEE" w:rsidP="00DB1AEE">
      <w:pPr>
        <w:autoSpaceDE w:val="0"/>
        <w:autoSpaceDN w:val="0"/>
        <w:adjustRightInd w:val="0"/>
        <w:spacing w:before="130" w:after="130"/>
        <w:ind w:left="1152" w:hanging="288"/>
        <w:rPr>
          <w:szCs w:val="24"/>
          <w:u w:val="single"/>
        </w:rPr>
      </w:pPr>
      <w:r w:rsidRPr="00DB1AEE">
        <w:rPr>
          <w:szCs w:val="24"/>
          <w:u w:val="single"/>
        </w:rPr>
        <w:t>-</w:t>
      </w:r>
      <w:r w:rsidRPr="00DB1AEE">
        <w:rPr>
          <w:szCs w:val="24"/>
          <w:u w:val="single"/>
        </w:rPr>
        <w:tab/>
        <w:t>4001-5000 psi:  289 kgCO2e/y3</w:t>
      </w:r>
    </w:p>
    <w:p w14:paraId="7F726989" w14:textId="77777777" w:rsidR="00DB1AEE" w:rsidRPr="00DB1AEE" w:rsidRDefault="00DB1AEE" w:rsidP="00DB1AEE">
      <w:pPr>
        <w:autoSpaceDE w:val="0"/>
        <w:autoSpaceDN w:val="0"/>
        <w:adjustRightInd w:val="0"/>
        <w:spacing w:before="130" w:after="130"/>
        <w:ind w:left="1152" w:hanging="288"/>
        <w:rPr>
          <w:szCs w:val="24"/>
          <w:u w:val="single"/>
        </w:rPr>
      </w:pPr>
      <w:r w:rsidRPr="00DB1AEE">
        <w:rPr>
          <w:szCs w:val="24"/>
          <w:u w:val="single"/>
        </w:rPr>
        <w:t>-</w:t>
      </w:r>
      <w:r w:rsidRPr="00DB1AEE">
        <w:rPr>
          <w:szCs w:val="24"/>
          <w:u w:val="single"/>
        </w:rPr>
        <w:tab/>
        <w:t>5001-6000 psi: 304 kgCO2e/y3</w:t>
      </w:r>
    </w:p>
    <w:p w14:paraId="6347B510" w14:textId="77777777" w:rsidR="00DB1AEE" w:rsidRPr="00DB1AEE" w:rsidRDefault="00DB1AEE" w:rsidP="00DB1AEE">
      <w:pPr>
        <w:autoSpaceDE w:val="0"/>
        <w:autoSpaceDN w:val="0"/>
        <w:adjustRightInd w:val="0"/>
        <w:spacing w:before="130" w:after="130"/>
        <w:ind w:left="1152" w:hanging="288"/>
        <w:rPr>
          <w:szCs w:val="24"/>
          <w:u w:val="single"/>
        </w:rPr>
      </w:pPr>
      <w:r w:rsidRPr="00DB1AEE">
        <w:rPr>
          <w:szCs w:val="24"/>
          <w:u w:val="single"/>
        </w:rPr>
        <w:t>-</w:t>
      </w:r>
      <w:r w:rsidRPr="00DB1AEE">
        <w:rPr>
          <w:szCs w:val="24"/>
          <w:u w:val="single"/>
        </w:rPr>
        <w:tab/>
        <w:t>6001-8000 psi:  353kgCO2e/y3</w:t>
      </w:r>
    </w:p>
    <w:p w14:paraId="50FA103C" w14:textId="77777777" w:rsidR="00DB1AEE" w:rsidRPr="00DB1AEE" w:rsidRDefault="00DB1AEE" w:rsidP="00DB1AEE">
      <w:pPr>
        <w:autoSpaceDE w:val="0"/>
        <w:autoSpaceDN w:val="0"/>
        <w:adjustRightInd w:val="0"/>
        <w:spacing w:before="130" w:after="130"/>
        <w:ind w:left="1152" w:hanging="288"/>
        <w:rPr>
          <w:szCs w:val="24"/>
          <w:u w:val="single"/>
        </w:rPr>
      </w:pPr>
      <w:r w:rsidRPr="00DB1AEE">
        <w:rPr>
          <w:szCs w:val="24"/>
          <w:u w:val="single"/>
        </w:rPr>
        <w:t>2.5.2</w:t>
      </w:r>
      <w:r w:rsidRPr="00DB1AEE">
        <w:rPr>
          <w:szCs w:val="24"/>
          <w:u w:val="single"/>
        </w:rPr>
        <w:tab/>
        <w:t>Industry Wide Baseline Embodied Carbon for Poured in Place Concrete (Lightweight Concrete)</w:t>
      </w:r>
    </w:p>
    <w:p w14:paraId="244DBD71" w14:textId="77777777" w:rsidR="00DB1AEE" w:rsidRPr="00DB1AEE" w:rsidRDefault="00DB1AEE" w:rsidP="00DB1AEE">
      <w:pPr>
        <w:autoSpaceDE w:val="0"/>
        <w:autoSpaceDN w:val="0"/>
        <w:adjustRightInd w:val="0"/>
        <w:spacing w:before="130" w:after="130"/>
        <w:ind w:left="1152" w:hanging="288"/>
        <w:rPr>
          <w:szCs w:val="24"/>
          <w:u w:val="single"/>
        </w:rPr>
      </w:pPr>
      <w:r w:rsidRPr="00DB1AEE">
        <w:rPr>
          <w:szCs w:val="24"/>
          <w:u w:val="single"/>
        </w:rPr>
        <w:t>-</w:t>
      </w:r>
      <w:r w:rsidRPr="00DB1AEE">
        <w:rPr>
          <w:szCs w:val="24"/>
          <w:u w:val="single"/>
        </w:rPr>
        <w:tab/>
        <w:t>0-3000 psi: 365 kgCO2e/y3</w:t>
      </w:r>
    </w:p>
    <w:p w14:paraId="55696440" w14:textId="77777777" w:rsidR="00DB1AEE" w:rsidRPr="00DB1AEE" w:rsidRDefault="00DB1AEE" w:rsidP="00DB1AEE">
      <w:pPr>
        <w:autoSpaceDE w:val="0"/>
        <w:autoSpaceDN w:val="0"/>
        <w:adjustRightInd w:val="0"/>
        <w:spacing w:before="130" w:after="130"/>
        <w:ind w:left="1152" w:hanging="288"/>
        <w:rPr>
          <w:szCs w:val="24"/>
          <w:u w:val="single"/>
        </w:rPr>
      </w:pPr>
      <w:r w:rsidRPr="00DB1AEE">
        <w:rPr>
          <w:szCs w:val="24"/>
          <w:u w:val="single"/>
        </w:rPr>
        <w:t>-</w:t>
      </w:r>
      <w:r w:rsidRPr="00DB1AEE">
        <w:rPr>
          <w:szCs w:val="24"/>
          <w:u w:val="single"/>
        </w:rPr>
        <w:tab/>
        <w:t>3001-4000 psi: 417 kgCO2e/y3</w:t>
      </w:r>
    </w:p>
    <w:p w14:paraId="4737E10A" w14:textId="77777777" w:rsidR="00DB1AEE" w:rsidRPr="00DB1AEE" w:rsidRDefault="00DB1AEE" w:rsidP="00DB1AEE">
      <w:pPr>
        <w:autoSpaceDE w:val="0"/>
        <w:autoSpaceDN w:val="0"/>
        <w:adjustRightInd w:val="0"/>
        <w:spacing w:before="130" w:after="130"/>
        <w:ind w:left="1152" w:hanging="288"/>
        <w:rPr>
          <w:szCs w:val="24"/>
          <w:u w:val="single"/>
        </w:rPr>
      </w:pPr>
      <w:r w:rsidRPr="00DB1AEE">
        <w:rPr>
          <w:szCs w:val="24"/>
          <w:u w:val="single"/>
        </w:rPr>
        <w:t>-</w:t>
      </w:r>
      <w:r w:rsidRPr="00DB1AEE">
        <w:rPr>
          <w:szCs w:val="24"/>
          <w:u w:val="single"/>
        </w:rPr>
        <w:tab/>
        <w:t>4001-5000 psi:  461 kgCO2e/y3</w:t>
      </w:r>
    </w:p>
    <w:p w14:paraId="45C104CA" w14:textId="77777777" w:rsidR="00DB1AEE" w:rsidRPr="00DB1AEE" w:rsidRDefault="00DB1AEE" w:rsidP="00DB1AEE">
      <w:pPr>
        <w:autoSpaceDE w:val="0"/>
        <w:autoSpaceDN w:val="0"/>
        <w:adjustRightInd w:val="0"/>
        <w:spacing w:before="130" w:after="130"/>
        <w:ind w:left="864" w:hanging="288"/>
        <w:rPr>
          <w:szCs w:val="24"/>
          <w:u w:val="single"/>
        </w:rPr>
      </w:pPr>
      <w:r w:rsidRPr="00DB1AEE">
        <w:rPr>
          <w:szCs w:val="24"/>
          <w:u w:val="single"/>
        </w:rPr>
        <w:t>2.6</w:t>
      </w:r>
      <w:r w:rsidRPr="00DB1AEE">
        <w:rPr>
          <w:szCs w:val="24"/>
          <w:u w:val="single"/>
        </w:rPr>
        <w:tab/>
        <w:t>The application does NOT need to demonstrate a reduction in embodied carbon from the baseline in order to obtain the credit;</w:t>
      </w:r>
    </w:p>
    <w:p w14:paraId="18E19027" w14:textId="77777777" w:rsidR="00DB1AEE" w:rsidRPr="00DB1AEE" w:rsidRDefault="00DB1AEE" w:rsidP="00DB1AEE">
      <w:pPr>
        <w:suppressAutoHyphens/>
        <w:spacing w:before="130" w:after="130"/>
        <w:rPr>
          <w:rFonts w:eastAsia="MS Mincho"/>
          <w:u w:val="single"/>
        </w:rPr>
      </w:pPr>
      <w:r w:rsidRPr="00DB1AEE">
        <w:rPr>
          <w:rFonts w:eastAsia="MS Mincho"/>
          <w:b/>
          <w:bCs/>
          <w:u w:val="single"/>
        </w:rPr>
        <w:t>Table R408.2.6 Minimum Efficiency Requirements: Appliances.</w:t>
      </w:r>
      <w:r w:rsidRPr="00DB1AEE">
        <w:rPr>
          <w:rFonts w:eastAsia="MS Mincho"/>
          <w:u w:val="single"/>
        </w:rPr>
        <w:t> </w:t>
      </w:r>
    </w:p>
    <w:p w14:paraId="2063E8AF" w14:textId="77777777" w:rsidR="00DB1AEE" w:rsidRPr="00DB1AEE" w:rsidRDefault="00DB1AEE" w:rsidP="00DB1AEE">
      <w:pPr>
        <w:suppressAutoHyphens/>
        <w:spacing w:before="130" w:after="130"/>
        <w:rPr>
          <w:rFonts w:eastAsia="MS Mincho"/>
          <w:u w:val="single"/>
        </w:rPr>
      </w:pPr>
      <w:r w:rsidRPr="00DB1AEE">
        <w:rPr>
          <w:rFonts w:eastAsia="MS Mincho"/>
          <w:u w:val="single"/>
        </w:rPr>
        <w:t xml:space="preserve">Table R408.2.6 – Delete  Table  R408.2.6 in its entirety. </w:t>
      </w:r>
    </w:p>
    <w:p w14:paraId="33E2441D" w14:textId="77777777" w:rsidR="00DB1AEE" w:rsidRPr="00DB1AEE" w:rsidRDefault="00DB1AEE" w:rsidP="00DB1AEE">
      <w:pPr>
        <w:suppressAutoHyphens/>
        <w:spacing w:before="130" w:after="130"/>
        <w:rPr>
          <w:rFonts w:eastAsia="MS Mincho"/>
          <w:u w:val="single"/>
        </w:rPr>
      </w:pPr>
      <w:r w:rsidRPr="00DB1AEE">
        <w:rPr>
          <w:rFonts w:eastAsia="MS Mincho"/>
          <w:b/>
          <w:bCs/>
          <w:u w:val="single"/>
        </w:rPr>
        <w:t>Section R408.2.7 Renewable energy.</w:t>
      </w:r>
      <w:r w:rsidRPr="00DB1AEE">
        <w:rPr>
          <w:rFonts w:eastAsia="MS Mincho"/>
          <w:u w:val="single"/>
        </w:rPr>
        <w:t> </w:t>
      </w:r>
    </w:p>
    <w:p w14:paraId="0A5BCB67" w14:textId="77777777" w:rsidR="00DB1AEE" w:rsidRPr="00DB1AEE" w:rsidRDefault="00DB1AEE" w:rsidP="00DB1AEE">
      <w:pPr>
        <w:suppressAutoHyphens/>
        <w:spacing w:before="130" w:after="130"/>
        <w:rPr>
          <w:rFonts w:eastAsia="MS Mincho"/>
          <w:u w:val="single"/>
        </w:rPr>
      </w:pPr>
      <w:r w:rsidRPr="00DB1AEE">
        <w:rPr>
          <w:rFonts w:eastAsia="MS Mincho"/>
          <w:u w:val="single"/>
        </w:rPr>
        <w:t>Section R408.2.7 – Revise Section R408.2.7 to read as follows:</w:t>
      </w:r>
    </w:p>
    <w:p w14:paraId="7E96F11A" w14:textId="77777777" w:rsidR="00DB1AEE" w:rsidRPr="00DB1AEE" w:rsidRDefault="00DB1AEE" w:rsidP="00DB1AEE">
      <w:pPr>
        <w:autoSpaceDE w:val="0"/>
        <w:autoSpaceDN w:val="0"/>
        <w:adjustRightInd w:val="0"/>
        <w:spacing w:before="130" w:after="130" w:line="220" w:lineRule="atLeast"/>
        <w:rPr>
          <w:szCs w:val="24"/>
          <w:u w:val="single"/>
        </w:rPr>
      </w:pPr>
      <w:r w:rsidRPr="00DB1AEE">
        <w:rPr>
          <w:b/>
          <w:bCs/>
          <w:w w:val="0"/>
          <w:szCs w:val="24"/>
          <w:u w:val="single"/>
        </w:rPr>
        <w:t>R408.2.7 Renewable energy.</w:t>
      </w:r>
      <w:r w:rsidRPr="00DB1AEE">
        <w:rPr>
          <w:w w:val="0"/>
          <w:szCs w:val="24"/>
          <w:u w:val="single"/>
        </w:rPr>
        <w:t xml:space="preserve"> Renewable energy resources shall be permanently installed and have the rated capacity to produce not less than 1.0 watt of on-site renewable energy per square foot of conditioned floor area. To qualify for this option, renewable energy certificate (REC) documentation shall meet the requirements of Section R404.4.</w:t>
      </w:r>
      <w:r w:rsidRPr="00DB1AEE">
        <w:rPr>
          <w:color w:val="000000"/>
          <w:w w:val="0"/>
          <w:sz w:val="20"/>
        </w:rPr>
        <w:t xml:space="preserve"> </w:t>
      </w:r>
      <w:r w:rsidRPr="00DB1AEE">
        <w:rPr>
          <w:w w:val="0"/>
          <w:szCs w:val="24"/>
          <w:u w:val="single"/>
        </w:rPr>
        <w:t xml:space="preserve">This credit is only applicable for renewable energy infrastructure that exceeds the requirements of any current state or local law, rule or regulation.. </w:t>
      </w:r>
    </w:p>
    <w:p w14:paraId="7FAC659B" w14:textId="77777777" w:rsidR="00DB1AEE" w:rsidRPr="00DB1AEE" w:rsidRDefault="00DB1AEE" w:rsidP="00DB1AEE">
      <w:pPr>
        <w:suppressAutoHyphens/>
        <w:spacing w:before="130" w:after="130"/>
        <w:rPr>
          <w:rFonts w:eastAsia="MS Mincho"/>
          <w:u w:val="single"/>
        </w:rPr>
      </w:pPr>
      <w:r w:rsidRPr="00DB1AEE">
        <w:rPr>
          <w:rFonts w:eastAsia="MS Mincho"/>
          <w:b/>
          <w:bCs/>
          <w:u w:val="single"/>
        </w:rPr>
        <w:t>Section R408.2.7 Renewable energy.</w:t>
      </w:r>
      <w:r w:rsidRPr="00DB1AEE">
        <w:rPr>
          <w:rFonts w:eastAsia="MS Mincho"/>
          <w:u w:val="single"/>
        </w:rPr>
        <w:t> </w:t>
      </w:r>
    </w:p>
    <w:p w14:paraId="13C2F28F" w14:textId="77777777" w:rsidR="00DB1AEE" w:rsidRPr="00DB1AEE" w:rsidRDefault="00DB1AEE" w:rsidP="00DB1AEE">
      <w:pPr>
        <w:suppressAutoHyphens/>
        <w:spacing w:before="130" w:after="130"/>
        <w:rPr>
          <w:rFonts w:eastAsia="MS Mincho"/>
          <w:u w:val="single"/>
        </w:rPr>
      </w:pPr>
      <w:r w:rsidRPr="00DB1AEE">
        <w:rPr>
          <w:rFonts w:eastAsia="MS Mincho"/>
          <w:u w:val="single"/>
        </w:rPr>
        <w:t>Section R408.2.7 – Revise Section R408.2.7 to read as follows:</w:t>
      </w:r>
    </w:p>
    <w:p w14:paraId="38E0062E" w14:textId="77777777" w:rsidR="00DB1AEE" w:rsidRPr="00DB1AEE" w:rsidRDefault="00DB1AEE" w:rsidP="00DB1AEE">
      <w:pPr>
        <w:autoSpaceDE w:val="0"/>
        <w:autoSpaceDN w:val="0"/>
        <w:adjustRightInd w:val="0"/>
        <w:spacing w:before="130" w:after="130" w:line="220" w:lineRule="atLeast"/>
        <w:ind w:left="288" w:hanging="288"/>
        <w:rPr>
          <w:szCs w:val="24"/>
          <w:u w:val="single"/>
        </w:rPr>
      </w:pPr>
      <w:r w:rsidRPr="00DB1AEE">
        <w:rPr>
          <w:b/>
          <w:bCs/>
          <w:w w:val="0"/>
          <w:szCs w:val="24"/>
          <w:u w:val="single"/>
        </w:rPr>
        <w:t>R408.2.9 Opaque walls</w:t>
      </w:r>
      <w:r w:rsidRPr="00DB1AEE">
        <w:rPr>
          <w:w w:val="0"/>
          <w:szCs w:val="24"/>
          <w:u w:val="single"/>
        </w:rPr>
        <w:t>. Reserved.</w:t>
      </w:r>
    </w:p>
    <w:p w14:paraId="0559EF54" w14:textId="77777777" w:rsidR="00DB1AEE" w:rsidRPr="00DB1AEE" w:rsidRDefault="00DB1AEE" w:rsidP="00DB1AEE">
      <w:pPr>
        <w:autoSpaceDE w:val="0"/>
        <w:autoSpaceDN w:val="0"/>
        <w:adjustRightInd w:val="0"/>
        <w:jc w:val="center"/>
        <w:rPr>
          <w:rFonts w:ascii="Aptos Display" w:eastAsia="MS Mincho" w:hAnsi="Aptos Display" w:cs="Aptos Display"/>
          <w:b/>
          <w:bCs/>
          <w:szCs w:val="24"/>
          <w:u w:val="single"/>
        </w:rPr>
      </w:pPr>
    </w:p>
    <w:p w14:paraId="663F0A1C" w14:textId="77777777" w:rsidR="00DB1AEE" w:rsidRPr="00DB1AEE" w:rsidRDefault="00DB1AEE" w:rsidP="00DB1AEE">
      <w:pPr>
        <w:autoSpaceDE w:val="0"/>
        <w:autoSpaceDN w:val="0"/>
        <w:adjustRightInd w:val="0"/>
        <w:jc w:val="center"/>
        <w:rPr>
          <w:rFonts w:ascii="Aptos Display" w:eastAsia="MS Mincho" w:hAnsi="Aptos Display" w:cs="Aptos Display"/>
          <w:b/>
          <w:bCs/>
          <w:szCs w:val="24"/>
          <w:u w:val="single"/>
        </w:rPr>
      </w:pPr>
      <w:r w:rsidRPr="00DB1AEE">
        <w:rPr>
          <w:rFonts w:ascii="Aptos Display" w:eastAsia="MS Mincho" w:hAnsi="Aptos Display" w:cs="Aptos Display"/>
          <w:b/>
          <w:bCs/>
          <w:szCs w:val="24"/>
          <w:u w:val="single"/>
        </w:rPr>
        <w:t>CHAPTER R5</w:t>
      </w:r>
    </w:p>
    <w:p w14:paraId="1B73AE8A" w14:textId="77777777" w:rsidR="00DB1AEE" w:rsidRPr="00DB1AEE" w:rsidRDefault="00DB1AEE" w:rsidP="00DB1AEE">
      <w:pPr>
        <w:autoSpaceDE w:val="0"/>
        <w:autoSpaceDN w:val="0"/>
        <w:adjustRightInd w:val="0"/>
        <w:spacing w:before="130" w:after="130"/>
        <w:jc w:val="center"/>
        <w:rPr>
          <w:rFonts w:ascii="Aptos Display" w:eastAsia="MS Mincho" w:hAnsi="Aptos Display" w:cs="Aptos Display"/>
          <w:b/>
          <w:bCs/>
          <w:szCs w:val="24"/>
          <w:u w:val="single"/>
        </w:rPr>
      </w:pPr>
      <w:r w:rsidRPr="00DB1AEE">
        <w:rPr>
          <w:rFonts w:ascii="Aptos Display" w:eastAsia="MS Mincho" w:hAnsi="Aptos Display" w:cs="Aptos Display"/>
          <w:b/>
          <w:bCs/>
          <w:szCs w:val="24"/>
          <w:u w:val="single"/>
        </w:rPr>
        <w:t>EXISTING BUILDINGS</w:t>
      </w:r>
    </w:p>
    <w:p w14:paraId="3FFB99DB" w14:textId="77777777" w:rsidR="00DB1AEE" w:rsidRPr="00DB1AEE" w:rsidRDefault="00DB1AEE" w:rsidP="00DB1AEE">
      <w:pPr>
        <w:suppressAutoHyphens/>
        <w:spacing w:before="130" w:after="130"/>
        <w:jc w:val="center"/>
        <w:rPr>
          <w:rFonts w:ascii="Aptos Display" w:eastAsia="MS Mincho" w:hAnsi="Aptos Display" w:cs="Aptos Display"/>
          <w:b/>
          <w:bCs/>
          <w:szCs w:val="24"/>
          <w:u w:val="single"/>
        </w:rPr>
      </w:pPr>
      <w:r w:rsidRPr="00DB1AEE">
        <w:rPr>
          <w:rFonts w:ascii="Aptos Display" w:eastAsia="MS Mincho" w:hAnsi="Aptos Display" w:cs="Aptos Display"/>
          <w:b/>
          <w:bCs/>
          <w:szCs w:val="24"/>
          <w:u w:val="single"/>
        </w:rPr>
        <w:t>SECTION R501</w:t>
      </w:r>
    </w:p>
    <w:p w14:paraId="324A4977" w14:textId="77777777" w:rsidR="00DB1AEE" w:rsidRPr="00DB1AEE" w:rsidRDefault="00DB1AEE" w:rsidP="00DB1AEE">
      <w:pPr>
        <w:widowControl w:val="0"/>
        <w:suppressAutoHyphens/>
        <w:autoSpaceDE w:val="0"/>
        <w:autoSpaceDN w:val="0"/>
        <w:adjustRightInd w:val="0"/>
        <w:spacing w:before="130" w:after="130"/>
        <w:jc w:val="center"/>
        <w:rPr>
          <w:rFonts w:ascii="Aptos Display" w:eastAsia="MS Mincho" w:hAnsi="Aptos Display" w:cs="Aptos Display"/>
          <w:b/>
          <w:bCs/>
          <w:szCs w:val="24"/>
          <w:u w:val="single"/>
        </w:rPr>
      </w:pPr>
      <w:r w:rsidRPr="00DB1AEE">
        <w:rPr>
          <w:rFonts w:ascii="Aptos Display" w:eastAsia="MS Mincho" w:hAnsi="Aptos Display" w:cs="Aptos Display"/>
          <w:b/>
          <w:bCs/>
          <w:szCs w:val="24"/>
          <w:u w:val="single"/>
        </w:rPr>
        <w:t>GENERAL</w:t>
      </w:r>
    </w:p>
    <w:p w14:paraId="66F12B13" w14:textId="77777777" w:rsidR="00DB1AEE" w:rsidRPr="00DB1AEE" w:rsidRDefault="00DB1AEE" w:rsidP="00DB1AEE">
      <w:pPr>
        <w:suppressAutoHyphens/>
        <w:spacing w:before="130" w:after="130"/>
        <w:rPr>
          <w:rFonts w:eastAsia="MS Mincho"/>
          <w:u w:val="single"/>
        </w:rPr>
      </w:pPr>
      <w:r w:rsidRPr="00DB1AEE">
        <w:rPr>
          <w:rFonts w:eastAsia="MS Mincho"/>
          <w:b/>
          <w:bCs/>
          <w:u w:val="single"/>
        </w:rPr>
        <w:t>Section R501.1 Scope.</w:t>
      </w:r>
      <w:r w:rsidRPr="00DB1AEE">
        <w:rPr>
          <w:rFonts w:eastAsia="MS Mincho"/>
          <w:u w:val="single"/>
        </w:rPr>
        <w:t> </w:t>
      </w:r>
    </w:p>
    <w:p w14:paraId="4D0E77BB" w14:textId="77777777" w:rsidR="00DB1AEE" w:rsidRPr="00DB1AEE" w:rsidRDefault="00DB1AEE" w:rsidP="00DB1AEE">
      <w:pPr>
        <w:suppressAutoHyphens/>
        <w:spacing w:before="130" w:after="130"/>
        <w:rPr>
          <w:rFonts w:eastAsia="MS Mincho"/>
          <w:u w:val="single"/>
        </w:rPr>
      </w:pPr>
      <w:r w:rsidRPr="00DB1AEE">
        <w:rPr>
          <w:rFonts w:eastAsia="MS Mincho"/>
          <w:u w:val="single"/>
        </w:rPr>
        <w:t>Section R501.1 – Revise Section R501.1 to read as follows: </w:t>
      </w:r>
    </w:p>
    <w:p w14:paraId="3F141621" w14:textId="77777777" w:rsidR="00DB1AEE" w:rsidRPr="00DB1AEE" w:rsidRDefault="00DB1AEE" w:rsidP="00DB1AEE">
      <w:pPr>
        <w:widowControl w:val="0"/>
        <w:suppressAutoHyphens/>
        <w:autoSpaceDE w:val="0"/>
        <w:autoSpaceDN w:val="0"/>
        <w:adjustRightInd w:val="0"/>
        <w:spacing w:before="130" w:after="130"/>
        <w:ind w:left="360"/>
        <w:rPr>
          <w:b/>
          <w:u w:val="single"/>
        </w:rPr>
      </w:pPr>
      <w:r w:rsidRPr="00DB1AEE">
        <w:rPr>
          <w:rFonts w:eastAsia="MS Mincho"/>
          <w:b/>
          <w:bCs/>
          <w:u w:val="single"/>
        </w:rPr>
        <w:t xml:space="preserve">R501.1 Scope.  </w:t>
      </w:r>
      <w:r w:rsidRPr="00DB1AEE">
        <w:rPr>
          <w:rFonts w:eastAsia="MS Mincho"/>
          <w:u w:val="single"/>
        </w:rPr>
        <w:t>The provisions of this chapter shall control the alteration, repair, addition and change of occupancy of existing buildings and structures. This chapter shall not apply to alterations required to comply with new building provisions as determined by 28-101.4.5 of the New York City Administrative Code.</w:t>
      </w:r>
    </w:p>
    <w:p w14:paraId="00A1B7A0" w14:textId="77777777" w:rsidR="00DB1AEE" w:rsidRPr="00DB1AEE" w:rsidRDefault="00DB1AEE" w:rsidP="00DB1AEE">
      <w:pPr>
        <w:suppressAutoHyphens/>
        <w:spacing w:before="130" w:after="130"/>
        <w:rPr>
          <w:rFonts w:eastAsia="MS Mincho"/>
          <w:u w:val="single"/>
        </w:rPr>
      </w:pPr>
      <w:r w:rsidRPr="00DB1AEE">
        <w:rPr>
          <w:rFonts w:eastAsia="MS Mincho"/>
          <w:b/>
          <w:bCs/>
          <w:u w:val="single"/>
        </w:rPr>
        <w:t>Section R501.2 Compliance.</w:t>
      </w:r>
      <w:r w:rsidRPr="00DB1AEE">
        <w:rPr>
          <w:rFonts w:eastAsia="MS Mincho"/>
          <w:u w:val="single"/>
        </w:rPr>
        <w:t> </w:t>
      </w:r>
    </w:p>
    <w:p w14:paraId="570E1B1D" w14:textId="77777777" w:rsidR="00DB1AEE" w:rsidRPr="00DB1AEE" w:rsidRDefault="00DB1AEE" w:rsidP="00DB1AEE">
      <w:pPr>
        <w:suppressAutoHyphens/>
        <w:spacing w:before="130" w:after="130"/>
        <w:rPr>
          <w:rFonts w:eastAsia="MS Mincho"/>
          <w:u w:val="single"/>
        </w:rPr>
      </w:pPr>
      <w:r w:rsidRPr="00DB1AEE">
        <w:rPr>
          <w:rFonts w:eastAsia="MS Mincho"/>
          <w:u w:val="single"/>
        </w:rPr>
        <w:t>Section R501.2 – Revise Section R501.2 to read as follows: </w:t>
      </w:r>
    </w:p>
    <w:p w14:paraId="533304E5" w14:textId="77777777" w:rsidR="00DB1AEE" w:rsidRPr="00DB1AEE" w:rsidRDefault="00DB1AEE" w:rsidP="00DB1AEE">
      <w:pPr>
        <w:widowControl w:val="0"/>
        <w:suppressAutoHyphens/>
        <w:autoSpaceDE w:val="0"/>
        <w:autoSpaceDN w:val="0"/>
        <w:adjustRightInd w:val="0"/>
        <w:spacing w:before="130" w:after="130"/>
        <w:ind w:left="360"/>
        <w:rPr>
          <w:b/>
          <w:u w:val="single"/>
        </w:rPr>
      </w:pPr>
      <w:r w:rsidRPr="00DB1AEE">
        <w:rPr>
          <w:rFonts w:eastAsia="MS Mincho"/>
          <w:b/>
          <w:bCs/>
          <w:u w:val="single"/>
        </w:rPr>
        <w:t xml:space="preserve">R501.2 Compliance. </w:t>
      </w:r>
      <w:r w:rsidRPr="00DB1AEE">
        <w:rPr>
          <w:rFonts w:eastAsia="MS Mincho"/>
          <w:u w:val="single"/>
        </w:rPr>
        <w:t>Additions, alterations, repairs or changes of occupancy to, or relocation of, an existing building, building system or portion thereof shall comply with Section R502, R503, R504 or R505, respectively, in this code, and the provisions for alterations, repairs, additions and changes of occupancy or relocation, respectively, in the New York City Building Code, the New York City Fire Code, the New York City Fuel Gas Code, the New York City Mechanical Code, the New York City Plumbing Code, the Housing Maintenance Code and the New York City Electrical Code. as applicable. Changes where unconditioned space is changed to conditioned space shall comply with Section R501.6.</w:t>
      </w:r>
    </w:p>
    <w:p w14:paraId="674FB6EE" w14:textId="77777777" w:rsidR="00DB1AEE" w:rsidRPr="00DB1AEE" w:rsidRDefault="00DB1AEE" w:rsidP="00DB1AEE">
      <w:pPr>
        <w:suppressAutoHyphens/>
        <w:spacing w:before="130" w:after="130"/>
        <w:jc w:val="center"/>
        <w:rPr>
          <w:rFonts w:eastAsia="MS Mincho"/>
          <w:b/>
          <w:bCs/>
          <w:szCs w:val="24"/>
          <w:u w:val="single"/>
        </w:rPr>
      </w:pPr>
      <w:r w:rsidRPr="00DB1AEE">
        <w:rPr>
          <w:rFonts w:eastAsia="MS Mincho"/>
          <w:b/>
          <w:bCs/>
          <w:szCs w:val="24"/>
          <w:u w:val="single"/>
        </w:rPr>
        <w:t>SECTION R502</w:t>
      </w:r>
    </w:p>
    <w:p w14:paraId="7829BE52" w14:textId="77777777" w:rsidR="00DB1AEE" w:rsidRPr="00DB1AEE" w:rsidRDefault="00DB1AEE" w:rsidP="00DB1AEE">
      <w:pPr>
        <w:widowControl w:val="0"/>
        <w:suppressAutoHyphens/>
        <w:autoSpaceDE w:val="0"/>
        <w:autoSpaceDN w:val="0"/>
        <w:adjustRightInd w:val="0"/>
        <w:spacing w:before="130" w:after="130"/>
        <w:jc w:val="center"/>
        <w:rPr>
          <w:b/>
          <w:u w:val="single"/>
        </w:rPr>
      </w:pPr>
      <w:r w:rsidRPr="00DB1AEE">
        <w:rPr>
          <w:rFonts w:eastAsia="MS Mincho"/>
          <w:b/>
          <w:u w:val="single"/>
        </w:rPr>
        <w:t>ADDITIONS</w:t>
      </w:r>
    </w:p>
    <w:p w14:paraId="74774546" w14:textId="77777777" w:rsidR="00DB1AEE" w:rsidRPr="00DB1AEE" w:rsidRDefault="00DB1AEE" w:rsidP="00DB1AEE">
      <w:pPr>
        <w:suppressAutoHyphens/>
        <w:spacing w:before="130" w:after="130"/>
        <w:rPr>
          <w:rFonts w:eastAsia="MS Mincho"/>
          <w:u w:val="single"/>
        </w:rPr>
      </w:pPr>
      <w:r w:rsidRPr="00DB1AEE">
        <w:rPr>
          <w:rFonts w:eastAsia="MS Mincho"/>
          <w:b/>
          <w:bCs/>
          <w:u w:val="single"/>
        </w:rPr>
        <w:t>Section R502.1 General.</w:t>
      </w:r>
      <w:r w:rsidRPr="00DB1AEE">
        <w:rPr>
          <w:rFonts w:eastAsia="MS Mincho"/>
          <w:u w:val="single"/>
        </w:rPr>
        <w:t> </w:t>
      </w:r>
    </w:p>
    <w:p w14:paraId="1EA98771" w14:textId="77777777" w:rsidR="00DB1AEE" w:rsidRPr="00DB1AEE" w:rsidRDefault="00DB1AEE" w:rsidP="00DB1AEE">
      <w:pPr>
        <w:suppressAutoHyphens/>
        <w:spacing w:before="130" w:after="130"/>
        <w:rPr>
          <w:rFonts w:eastAsia="MS Mincho"/>
          <w:u w:val="single"/>
        </w:rPr>
      </w:pPr>
      <w:r w:rsidRPr="00DB1AEE">
        <w:rPr>
          <w:rFonts w:eastAsia="MS Mincho"/>
          <w:u w:val="single"/>
        </w:rPr>
        <w:t>Section R501.2 – Revise Section R501.2 to read as follows: </w:t>
      </w:r>
    </w:p>
    <w:p w14:paraId="68BDBB03" w14:textId="77777777" w:rsidR="00DB1AEE" w:rsidRPr="00DB1AEE" w:rsidRDefault="00DB1AEE" w:rsidP="00DB1AEE">
      <w:pPr>
        <w:widowControl w:val="0"/>
        <w:suppressAutoHyphens/>
        <w:autoSpaceDE w:val="0"/>
        <w:autoSpaceDN w:val="0"/>
        <w:adjustRightInd w:val="0"/>
        <w:spacing w:before="130" w:after="130"/>
        <w:ind w:left="360"/>
        <w:rPr>
          <w:b/>
          <w:u w:val="single"/>
        </w:rPr>
      </w:pPr>
      <w:r w:rsidRPr="00DB1AEE">
        <w:rPr>
          <w:b/>
          <w:u w:val="single"/>
        </w:rPr>
        <w:t>R502.1 General.  A</w:t>
      </w:r>
      <w:r w:rsidRPr="00DB1AEE">
        <w:rPr>
          <w:bCs/>
          <w:u w:val="single"/>
        </w:rPr>
        <w:t>dditions to an existing building, building system or portion thereof shall conform to the provisions of this code as those provisions relate to new construction Additions shall not create an unsafe or hazardous condition or overload existing building systems.  Altered portions of the building filed in conjunction with an addition shall comply with section R503.</w:t>
      </w:r>
    </w:p>
    <w:p w14:paraId="51BC4E6F" w14:textId="77777777" w:rsidR="00DB1AEE" w:rsidRPr="00DB1AEE" w:rsidRDefault="00DB1AEE" w:rsidP="00DB1AEE">
      <w:pPr>
        <w:suppressAutoHyphens/>
        <w:spacing w:before="130" w:after="130"/>
        <w:rPr>
          <w:rFonts w:eastAsia="MS Mincho"/>
          <w:u w:val="single"/>
        </w:rPr>
      </w:pPr>
      <w:r w:rsidRPr="00DB1AEE">
        <w:rPr>
          <w:rFonts w:eastAsia="MS Mincho"/>
          <w:b/>
          <w:bCs/>
          <w:u w:val="single"/>
        </w:rPr>
        <w:t>Section R502.2.1 Building thermal envelope.</w:t>
      </w:r>
      <w:r w:rsidRPr="00DB1AEE">
        <w:rPr>
          <w:rFonts w:eastAsia="MS Mincho"/>
          <w:u w:val="single"/>
        </w:rPr>
        <w:t> </w:t>
      </w:r>
    </w:p>
    <w:p w14:paraId="4019EB31" w14:textId="77777777" w:rsidR="00DB1AEE" w:rsidRPr="00DB1AEE" w:rsidRDefault="00DB1AEE" w:rsidP="00DB1AEE">
      <w:pPr>
        <w:suppressAutoHyphens/>
        <w:spacing w:before="130" w:after="130"/>
        <w:rPr>
          <w:rFonts w:eastAsia="MS Mincho"/>
          <w:u w:val="single"/>
        </w:rPr>
      </w:pPr>
      <w:r w:rsidRPr="00DB1AEE">
        <w:rPr>
          <w:rFonts w:eastAsia="MS Mincho"/>
          <w:u w:val="single"/>
        </w:rPr>
        <w:t>Section R502.2.1 – Revise Section R502.2.1 to read as follows: </w:t>
      </w:r>
    </w:p>
    <w:p w14:paraId="3D607BBC" w14:textId="77777777" w:rsidR="00DB1AEE" w:rsidRPr="00DB1AEE" w:rsidRDefault="00DB1AEE" w:rsidP="00DB1AEE">
      <w:pPr>
        <w:widowControl w:val="0"/>
        <w:suppressAutoHyphens/>
        <w:autoSpaceDE w:val="0"/>
        <w:autoSpaceDN w:val="0"/>
        <w:adjustRightInd w:val="0"/>
        <w:spacing w:before="130" w:after="130"/>
        <w:ind w:left="360"/>
        <w:rPr>
          <w:bCs/>
          <w:u w:val="single"/>
        </w:rPr>
      </w:pPr>
      <w:r w:rsidRPr="00DB1AEE">
        <w:rPr>
          <w:b/>
          <w:u w:val="single"/>
        </w:rPr>
        <w:t xml:space="preserve">R502.2.1 Building thermal envelope.  </w:t>
      </w:r>
      <w:r w:rsidRPr="00DB1AEE">
        <w:rPr>
          <w:bCs/>
          <w:u w:val="single"/>
        </w:rPr>
        <w:t>New building thermal envelope assemblies that are part of the addition shall comply with Sections R402.1, R402.2, R402.4.1 through R402.4.5, and R402.5.</w:t>
      </w:r>
    </w:p>
    <w:p w14:paraId="3977B955" w14:textId="77777777" w:rsidR="00DB1AEE" w:rsidRPr="00DB1AEE" w:rsidRDefault="00DB1AEE" w:rsidP="00DB1AEE">
      <w:pPr>
        <w:widowControl w:val="0"/>
        <w:suppressAutoHyphens/>
        <w:autoSpaceDE w:val="0"/>
        <w:autoSpaceDN w:val="0"/>
        <w:adjustRightInd w:val="0"/>
        <w:spacing w:before="130" w:after="130"/>
        <w:ind w:left="360"/>
        <w:rPr>
          <w:bCs/>
          <w:u w:val="single"/>
        </w:rPr>
      </w:pPr>
      <w:r w:rsidRPr="00DB1AEE">
        <w:rPr>
          <w:bCs/>
          <w:u w:val="single"/>
        </w:rPr>
        <w:t xml:space="preserve">Exceptions: </w:t>
      </w:r>
    </w:p>
    <w:p w14:paraId="410DCA25" w14:textId="77777777" w:rsidR="00DB1AEE" w:rsidRPr="00DB1AEE" w:rsidRDefault="00DB1AEE" w:rsidP="00DB1AEE">
      <w:pPr>
        <w:widowControl w:val="0"/>
        <w:suppressAutoHyphens/>
        <w:autoSpaceDE w:val="0"/>
        <w:autoSpaceDN w:val="0"/>
        <w:adjustRightInd w:val="0"/>
        <w:spacing w:before="130" w:after="130"/>
        <w:ind w:left="648" w:hanging="288"/>
        <w:rPr>
          <w:bCs/>
          <w:u w:val="single"/>
        </w:rPr>
      </w:pPr>
      <w:r w:rsidRPr="00DB1AEE">
        <w:rPr>
          <w:bCs/>
          <w:u w:val="single"/>
        </w:rPr>
        <w:t>1.Section R402.5.1.2 shall only require testing of the portion of the envelope that is part of the addition in accordance with the guarded test provisions of ANSI/RESNET/ICC 380.</w:t>
      </w:r>
    </w:p>
    <w:p w14:paraId="4910C63B" w14:textId="77777777" w:rsidR="00DB1AEE" w:rsidRPr="00DB1AEE" w:rsidRDefault="00DB1AEE" w:rsidP="00DB1AEE">
      <w:pPr>
        <w:widowControl w:val="0"/>
        <w:suppressAutoHyphens/>
        <w:autoSpaceDE w:val="0"/>
        <w:autoSpaceDN w:val="0"/>
        <w:adjustRightInd w:val="0"/>
        <w:spacing w:before="130" w:after="130"/>
        <w:ind w:left="648" w:hanging="288"/>
        <w:rPr>
          <w:bCs/>
          <w:u w:val="single"/>
        </w:rPr>
      </w:pPr>
      <w:r w:rsidRPr="00DB1AEE">
        <w:rPr>
          <w:bCs/>
          <w:u w:val="single"/>
        </w:rPr>
        <w:t>2. For additions less than 10 percent of the existing building conditioned area, the commissioner may waive the requirements of section R402.5.1.2 by having a Registered Design Professional submit an analysis indicating that such test would not significantly impact the energy performance of the addition.</w:t>
      </w:r>
    </w:p>
    <w:p w14:paraId="2391A8A4" w14:textId="77777777" w:rsidR="00DB1AEE" w:rsidRPr="00DB1AEE" w:rsidRDefault="00DB1AEE" w:rsidP="00DB1AEE">
      <w:pPr>
        <w:suppressAutoHyphens/>
        <w:spacing w:before="130" w:after="130"/>
        <w:rPr>
          <w:rFonts w:eastAsia="MS Mincho"/>
          <w:u w:val="single"/>
        </w:rPr>
      </w:pPr>
      <w:r w:rsidRPr="00DB1AEE">
        <w:rPr>
          <w:rFonts w:eastAsia="MS Mincho"/>
          <w:b/>
          <w:bCs/>
          <w:u w:val="single"/>
        </w:rPr>
        <w:t>Section R502.2.2 Heating and cooling systems.</w:t>
      </w:r>
      <w:r w:rsidRPr="00DB1AEE">
        <w:rPr>
          <w:rFonts w:eastAsia="MS Mincho"/>
          <w:u w:val="single"/>
        </w:rPr>
        <w:t> </w:t>
      </w:r>
    </w:p>
    <w:p w14:paraId="25FF61F0" w14:textId="77777777" w:rsidR="00DB1AEE" w:rsidRPr="00DB1AEE" w:rsidRDefault="00DB1AEE" w:rsidP="00DB1AEE">
      <w:pPr>
        <w:suppressAutoHyphens/>
        <w:spacing w:before="130" w:after="130"/>
        <w:rPr>
          <w:rFonts w:eastAsia="MS Mincho"/>
          <w:u w:val="single"/>
        </w:rPr>
      </w:pPr>
      <w:r w:rsidRPr="00DB1AEE">
        <w:rPr>
          <w:rFonts w:eastAsia="MS Mincho"/>
          <w:u w:val="single"/>
        </w:rPr>
        <w:t>Section R502.2.2 – Revise Section R502.2.2 to read as follows: </w:t>
      </w:r>
    </w:p>
    <w:p w14:paraId="515CFD2B" w14:textId="77777777" w:rsidR="00DB1AEE" w:rsidRPr="00DB1AEE" w:rsidRDefault="00DB1AEE" w:rsidP="00DB1AEE">
      <w:pPr>
        <w:spacing w:before="130" w:after="130"/>
        <w:ind w:left="360"/>
        <w:jc w:val="left"/>
        <w:rPr>
          <w:b/>
          <w:vanish/>
          <w:spacing w:val="4"/>
          <w:szCs w:val="24"/>
          <w:u w:val="single"/>
        </w:rPr>
      </w:pPr>
      <w:r w:rsidRPr="00DB1AEE">
        <w:rPr>
          <w:b/>
          <w:spacing w:val="4"/>
          <w:szCs w:val="24"/>
          <w:u w:val="single"/>
        </w:rPr>
        <w:t>R502.2.2 Heating and cooling systems</w:t>
      </w:r>
      <w:r w:rsidRPr="00DB1AEE">
        <w:rPr>
          <w:bCs/>
          <w:spacing w:val="4"/>
          <w:szCs w:val="24"/>
          <w:u w:val="single"/>
        </w:rPr>
        <w:t>.</w:t>
      </w:r>
      <w:r w:rsidRPr="00DB1AEE">
        <w:rPr>
          <w:b/>
          <w:spacing w:val="4"/>
          <w:szCs w:val="24"/>
          <w:u w:val="single"/>
        </w:rPr>
        <w:t xml:space="preserve"> </w:t>
      </w:r>
    </w:p>
    <w:p w14:paraId="7769314F" w14:textId="77777777" w:rsidR="00DB1AEE" w:rsidRPr="00DB1AEE" w:rsidRDefault="00DB1AEE" w:rsidP="00DB1AEE">
      <w:pPr>
        <w:autoSpaceDE w:val="0"/>
        <w:autoSpaceDN w:val="0"/>
        <w:adjustRightInd w:val="0"/>
        <w:spacing w:before="130" w:after="130"/>
        <w:ind w:left="360"/>
        <w:rPr>
          <w:szCs w:val="24"/>
          <w:u w:val="single"/>
        </w:rPr>
      </w:pPr>
      <w:r w:rsidRPr="00DB1AEE">
        <w:rPr>
          <w:b/>
          <w:bCs/>
          <w:strike/>
          <w:szCs w:val="24"/>
          <w:u w:val="single"/>
        </w:rPr>
        <w:t xml:space="preserve"> </w:t>
      </w:r>
      <w:r w:rsidRPr="00DB1AEE">
        <w:rPr>
          <w:szCs w:val="24"/>
          <w:u w:val="single"/>
        </w:rPr>
        <w:t xml:space="preserve">New heating, cooling, ventilation systems and ductwork that are part of an </w:t>
      </w:r>
      <w:r w:rsidRPr="00DB1AEE">
        <w:rPr>
          <w:i/>
          <w:iCs/>
          <w:szCs w:val="24"/>
          <w:u w:val="single"/>
        </w:rPr>
        <w:t>addition</w:t>
      </w:r>
      <w:r w:rsidRPr="00DB1AEE">
        <w:rPr>
          <w:szCs w:val="24"/>
          <w:u w:val="single"/>
        </w:rPr>
        <w:t xml:space="preserve"> shall comply with Section R403.</w:t>
      </w:r>
    </w:p>
    <w:p w14:paraId="1995A9F9" w14:textId="77777777" w:rsidR="00DB1AEE" w:rsidRPr="00DB1AEE" w:rsidRDefault="00DB1AEE" w:rsidP="00DB1AEE">
      <w:pPr>
        <w:autoSpaceDE w:val="0"/>
        <w:autoSpaceDN w:val="0"/>
        <w:adjustRightInd w:val="0"/>
        <w:spacing w:before="130" w:after="130"/>
        <w:ind w:left="720"/>
        <w:rPr>
          <w:szCs w:val="24"/>
          <w:u w:val="single"/>
        </w:rPr>
      </w:pPr>
      <w:r w:rsidRPr="00DB1AEE">
        <w:rPr>
          <w:b/>
          <w:bCs/>
          <w:szCs w:val="24"/>
          <w:u w:val="single"/>
        </w:rPr>
        <w:t>Exception:</w:t>
      </w:r>
      <w:r w:rsidRPr="00DB1AEE">
        <w:rPr>
          <w:szCs w:val="24"/>
          <w:u w:val="single"/>
        </w:rPr>
        <w:t xml:space="preserve"> Where ductwork from an existing heating and cooling system is extended to an </w:t>
      </w:r>
      <w:r w:rsidRPr="00DB1AEE">
        <w:rPr>
          <w:i/>
          <w:iCs/>
          <w:szCs w:val="24"/>
          <w:u w:val="single"/>
        </w:rPr>
        <w:t>additio</w:t>
      </w:r>
      <w:r w:rsidRPr="00DB1AEE">
        <w:rPr>
          <w:i/>
          <w:iCs/>
          <w:w w:val="0"/>
          <w:szCs w:val="24"/>
          <w:u w:val="single"/>
        </w:rPr>
        <w:t>n</w:t>
      </w:r>
      <w:r w:rsidRPr="00DB1AEE">
        <w:rPr>
          <w:szCs w:val="24"/>
          <w:u w:val="single"/>
        </w:rPr>
        <w:t>,</w:t>
      </w:r>
      <w:r w:rsidRPr="00DB1AEE">
        <w:rPr>
          <w:w w:val="0"/>
          <w:szCs w:val="24"/>
          <w:u w:val="single"/>
        </w:rPr>
        <w:t xml:space="preserve"> </w:t>
      </w:r>
      <w:r w:rsidRPr="00DB1AEE">
        <w:rPr>
          <w:szCs w:val="24"/>
          <w:u w:val="single"/>
        </w:rPr>
        <w:t>Sections R403.3.7 and R403.3.8 shall not be required</w:t>
      </w:r>
      <w:r w:rsidRPr="00DB1AEE">
        <w:rPr>
          <w:w w:val="0"/>
          <w:szCs w:val="24"/>
          <w:u w:val="single"/>
        </w:rPr>
        <w:t xml:space="preserve"> </w:t>
      </w:r>
      <w:r w:rsidRPr="00DB1AEE">
        <w:rPr>
          <w:szCs w:val="24"/>
          <w:u w:val="single"/>
        </w:rPr>
        <w:t>for those portions of the systems that have not been modified.</w:t>
      </w:r>
    </w:p>
    <w:p w14:paraId="1DA67C1E" w14:textId="77777777" w:rsidR="00DB1AEE" w:rsidRPr="00DB1AEE" w:rsidRDefault="00DB1AEE" w:rsidP="00DB1AEE">
      <w:pPr>
        <w:suppressAutoHyphens/>
        <w:spacing w:before="130" w:after="130"/>
        <w:rPr>
          <w:rFonts w:eastAsia="MS Mincho"/>
          <w:u w:val="single"/>
        </w:rPr>
      </w:pPr>
      <w:r w:rsidRPr="00DB1AEE">
        <w:rPr>
          <w:rFonts w:eastAsia="MS Mincho"/>
          <w:b/>
          <w:bCs/>
          <w:u w:val="single"/>
        </w:rPr>
        <w:t xml:space="preserve">Section R502.2.5 Additional energy efficiency credit requirements for additions.  </w:t>
      </w:r>
    </w:p>
    <w:p w14:paraId="16F44964" w14:textId="77777777" w:rsidR="00DB1AEE" w:rsidRPr="00DB1AEE" w:rsidRDefault="00DB1AEE" w:rsidP="00DB1AEE">
      <w:pPr>
        <w:suppressAutoHyphens/>
        <w:spacing w:before="130" w:after="130"/>
        <w:rPr>
          <w:rFonts w:eastAsia="MS Mincho"/>
          <w:u w:val="single"/>
        </w:rPr>
      </w:pPr>
      <w:r w:rsidRPr="00DB1AEE">
        <w:rPr>
          <w:rFonts w:eastAsia="MS Mincho"/>
          <w:u w:val="single"/>
        </w:rPr>
        <w:t xml:space="preserve">Section R502.2.5 – Delete Section R502.2.5 in its 2 in its entirety. </w:t>
      </w:r>
    </w:p>
    <w:p w14:paraId="34B04789" w14:textId="77777777" w:rsidR="00DB1AEE" w:rsidRPr="00DB1AEE" w:rsidRDefault="00DB1AEE" w:rsidP="00DB1AEE">
      <w:pPr>
        <w:suppressAutoHyphens/>
        <w:spacing w:before="130" w:after="130"/>
        <w:jc w:val="center"/>
        <w:rPr>
          <w:rFonts w:eastAsia="MS Mincho"/>
          <w:b/>
          <w:bCs/>
          <w:szCs w:val="24"/>
          <w:u w:val="single"/>
        </w:rPr>
      </w:pPr>
      <w:r w:rsidRPr="00DB1AEE">
        <w:rPr>
          <w:rFonts w:eastAsia="MS Mincho"/>
          <w:b/>
          <w:bCs/>
          <w:szCs w:val="24"/>
          <w:u w:val="single"/>
        </w:rPr>
        <w:t>SECTION R503</w:t>
      </w:r>
    </w:p>
    <w:p w14:paraId="69B5342D" w14:textId="77777777" w:rsidR="00DB1AEE" w:rsidRPr="00DB1AEE" w:rsidRDefault="00DB1AEE" w:rsidP="00DB1AEE">
      <w:pPr>
        <w:widowControl w:val="0"/>
        <w:suppressAutoHyphens/>
        <w:autoSpaceDE w:val="0"/>
        <w:autoSpaceDN w:val="0"/>
        <w:adjustRightInd w:val="0"/>
        <w:spacing w:before="130" w:after="130"/>
        <w:jc w:val="center"/>
        <w:rPr>
          <w:b/>
          <w:u w:val="single"/>
        </w:rPr>
      </w:pPr>
      <w:r w:rsidRPr="00DB1AEE">
        <w:rPr>
          <w:rFonts w:eastAsia="MS Mincho"/>
          <w:b/>
          <w:u w:val="single"/>
        </w:rPr>
        <w:t>ALTERATIONS</w:t>
      </w:r>
    </w:p>
    <w:p w14:paraId="679F8148" w14:textId="77777777" w:rsidR="00DB1AEE" w:rsidRPr="00DB1AEE" w:rsidRDefault="00DB1AEE" w:rsidP="00DB1AEE">
      <w:pPr>
        <w:suppressAutoHyphens/>
        <w:spacing w:before="130" w:after="130"/>
        <w:rPr>
          <w:rFonts w:eastAsia="MS Mincho"/>
          <w:u w:val="single"/>
        </w:rPr>
      </w:pPr>
      <w:r w:rsidRPr="00DB1AEE">
        <w:rPr>
          <w:rFonts w:eastAsia="MS Mincho"/>
          <w:b/>
          <w:bCs/>
          <w:u w:val="single"/>
        </w:rPr>
        <w:t xml:space="preserve">Section R503.1.1.3 Above-grade wall alterations.  </w:t>
      </w:r>
    </w:p>
    <w:p w14:paraId="6D2F8650" w14:textId="77777777" w:rsidR="00DB1AEE" w:rsidRPr="00DB1AEE" w:rsidRDefault="00DB1AEE" w:rsidP="00DB1AEE">
      <w:pPr>
        <w:suppressAutoHyphens/>
        <w:spacing w:before="130" w:after="130"/>
        <w:rPr>
          <w:rFonts w:eastAsia="MS Mincho"/>
          <w:u w:val="single"/>
        </w:rPr>
      </w:pPr>
      <w:r w:rsidRPr="00DB1AEE">
        <w:rPr>
          <w:rFonts w:eastAsia="MS Mincho"/>
          <w:u w:val="single"/>
        </w:rPr>
        <w:t>Section R503.1.1.3 – Revise Section R503.1.1.3 to read as follows: </w:t>
      </w:r>
    </w:p>
    <w:p w14:paraId="53409F20" w14:textId="77777777" w:rsidR="00DB1AEE" w:rsidRPr="00DB1AEE" w:rsidRDefault="00DB1AEE" w:rsidP="00DB1AEE">
      <w:pPr>
        <w:widowControl w:val="0"/>
        <w:suppressAutoHyphens/>
        <w:autoSpaceDE w:val="0"/>
        <w:autoSpaceDN w:val="0"/>
        <w:adjustRightInd w:val="0"/>
        <w:spacing w:before="130" w:after="130"/>
        <w:ind w:left="360"/>
        <w:rPr>
          <w:bCs/>
          <w:u w:val="single"/>
        </w:rPr>
      </w:pPr>
      <w:r w:rsidRPr="00DB1AEE">
        <w:rPr>
          <w:b/>
          <w:u w:val="single"/>
        </w:rPr>
        <w:t xml:space="preserve">R503.1.1.3 Above-grade wall alterations. </w:t>
      </w:r>
      <w:r w:rsidRPr="00DB1AEE">
        <w:rPr>
          <w:bCs/>
          <w:u w:val="single"/>
        </w:rPr>
        <w:t>Above-grade wall alterations shall comply with the following as applicable:</w:t>
      </w:r>
    </w:p>
    <w:p w14:paraId="71257666" w14:textId="77777777" w:rsidR="00DB1AEE" w:rsidRPr="00DB1AEE" w:rsidRDefault="00DB1AEE" w:rsidP="00DB1AEE">
      <w:pPr>
        <w:widowControl w:val="0"/>
        <w:suppressAutoHyphens/>
        <w:autoSpaceDE w:val="0"/>
        <w:autoSpaceDN w:val="0"/>
        <w:adjustRightInd w:val="0"/>
        <w:spacing w:before="130" w:after="130"/>
        <w:ind w:left="648" w:hanging="288"/>
        <w:rPr>
          <w:bCs/>
          <w:u w:val="single"/>
        </w:rPr>
      </w:pPr>
      <w:r w:rsidRPr="00DB1AEE">
        <w:rPr>
          <w:bCs/>
          <w:u w:val="single"/>
        </w:rPr>
        <w:t>1. Where wall cavities are exposed, the exposed cavities shall be insulated to full depth with new or existing insulation that complies with Section R303.1.4 and having a minimum nominal value of R-3.5   per inch. New cavities created shall be insulated in accordance with Section R402.1. An interior vapor retarder shall be provided where required in accordance with chapter 14 of the New York City Building Code.</w:t>
      </w:r>
      <w:r w:rsidRPr="00DB1AEE">
        <w:rPr>
          <w:bCs/>
          <w:u w:val="single"/>
        </w:rPr>
        <w:tab/>
      </w:r>
    </w:p>
    <w:p w14:paraId="453C16D9" w14:textId="77777777" w:rsidR="00DB1AEE" w:rsidRPr="00DB1AEE" w:rsidRDefault="00DB1AEE" w:rsidP="00DB1AEE">
      <w:pPr>
        <w:widowControl w:val="0"/>
        <w:suppressAutoHyphens/>
        <w:autoSpaceDE w:val="0"/>
        <w:autoSpaceDN w:val="0"/>
        <w:adjustRightInd w:val="0"/>
        <w:spacing w:before="130" w:after="130"/>
        <w:ind w:left="648" w:hanging="288"/>
        <w:rPr>
          <w:bCs/>
          <w:u w:val="single"/>
        </w:rPr>
      </w:pPr>
      <w:r w:rsidRPr="00DB1AEE">
        <w:rPr>
          <w:bCs/>
          <w:u w:val="single"/>
        </w:rPr>
        <w:t xml:space="preserve">2. Where exterior wall coverings, recladding   and fenestration are added or replaced for the full extent of any exterior facade of one or more elevations of the building , continuous insulation shall be provided where required in accordance with Section R402.1. Where specified, the continuous insulation requirement also shall comply with the requirements of chapter 14 of the New York City Building Code as applicable, and manufacturers’ instructions. </w:t>
      </w:r>
    </w:p>
    <w:p w14:paraId="2D455CF9" w14:textId="77777777" w:rsidR="00DB1AEE" w:rsidRPr="00DB1AEE" w:rsidRDefault="00DB1AEE" w:rsidP="00DB1AEE">
      <w:pPr>
        <w:widowControl w:val="0"/>
        <w:suppressAutoHyphens/>
        <w:autoSpaceDE w:val="0"/>
        <w:autoSpaceDN w:val="0"/>
        <w:adjustRightInd w:val="0"/>
        <w:spacing w:before="130" w:after="130"/>
        <w:ind w:left="648" w:hanging="288"/>
        <w:rPr>
          <w:bCs/>
          <w:u w:val="single"/>
        </w:rPr>
      </w:pPr>
      <w:r w:rsidRPr="00DB1AEE">
        <w:rPr>
          <w:bCs/>
          <w:u w:val="single"/>
        </w:rPr>
        <w:t>3. Where new interior finishes or exterior wall coverings are applied to the full extent of any exterior wall assembly of mass construction, insulation shall be provided in accordance with Section R402.1.</w:t>
      </w:r>
    </w:p>
    <w:p w14:paraId="590C83A3" w14:textId="77777777" w:rsidR="00DB1AEE" w:rsidRPr="00DB1AEE" w:rsidRDefault="00DB1AEE" w:rsidP="00DB1AEE">
      <w:pPr>
        <w:suppressAutoHyphens/>
        <w:spacing w:before="130" w:after="130"/>
        <w:rPr>
          <w:rFonts w:eastAsia="MS Mincho"/>
          <w:u w:val="single"/>
        </w:rPr>
      </w:pPr>
      <w:r w:rsidRPr="00DB1AEE">
        <w:rPr>
          <w:rFonts w:eastAsia="MS Mincho"/>
          <w:b/>
          <w:bCs/>
          <w:u w:val="single"/>
        </w:rPr>
        <w:t xml:space="preserve">Section R503.1.1.4 Floor alterations.  </w:t>
      </w:r>
    </w:p>
    <w:p w14:paraId="5022F37C" w14:textId="77777777" w:rsidR="00DB1AEE" w:rsidRPr="00DB1AEE" w:rsidRDefault="00DB1AEE" w:rsidP="00DB1AEE">
      <w:pPr>
        <w:suppressAutoHyphens/>
        <w:spacing w:before="130" w:after="130"/>
        <w:rPr>
          <w:rFonts w:eastAsia="MS Mincho"/>
          <w:u w:val="single"/>
        </w:rPr>
      </w:pPr>
      <w:r w:rsidRPr="00DB1AEE">
        <w:rPr>
          <w:rFonts w:eastAsia="MS Mincho"/>
          <w:u w:val="single"/>
        </w:rPr>
        <w:t>Section R503.1.1.3 – Revise Section R503.1.1.3 to read as follows: </w:t>
      </w:r>
    </w:p>
    <w:p w14:paraId="67E3ABC5" w14:textId="77777777" w:rsidR="00DB1AEE" w:rsidRPr="00DB1AEE" w:rsidRDefault="00DB1AEE" w:rsidP="00DB1AEE">
      <w:pPr>
        <w:widowControl w:val="0"/>
        <w:suppressAutoHyphens/>
        <w:autoSpaceDE w:val="0"/>
        <w:autoSpaceDN w:val="0"/>
        <w:adjustRightInd w:val="0"/>
        <w:spacing w:before="130" w:after="130"/>
        <w:ind w:left="360"/>
        <w:rPr>
          <w:b/>
          <w:u w:val="single"/>
        </w:rPr>
      </w:pPr>
      <w:r w:rsidRPr="00DB1AEE">
        <w:rPr>
          <w:b/>
          <w:u w:val="single"/>
        </w:rPr>
        <w:t xml:space="preserve">R503.1.1.4 Floor alterations.    </w:t>
      </w:r>
      <w:r w:rsidRPr="00DB1AEE">
        <w:rPr>
          <w:bCs/>
          <w:u w:val="single"/>
        </w:rPr>
        <w:t>Where cavities in a floor or floor overhang are exposed and the floor or floor overhang is part of the building thermal envelope, the cavities shall be insulated to full depth with new or existing insulation that complies with Section R303.1.4. and having a minimum nominal value of R-3.5   per inch. New cavities created in the floor or floor overhang shall comply with Section R402.1. Where an unconditioned below-grade space is changed to conditioned space, floors that are part of the building thermal envelope enclosing such space shall comply with Section R502.</w:t>
      </w:r>
    </w:p>
    <w:p w14:paraId="24418899" w14:textId="77777777" w:rsidR="00DB1AEE" w:rsidRPr="00DB1AEE" w:rsidRDefault="00DB1AEE" w:rsidP="00DB1AEE">
      <w:pPr>
        <w:suppressAutoHyphens/>
        <w:spacing w:before="130" w:after="130"/>
        <w:rPr>
          <w:rFonts w:eastAsia="MS Mincho"/>
          <w:u w:val="single"/>
        </w:rPr>
      </w:pPr>
      <w:r w:rsidRPr="00DB1AEE">
        <w:rPr>
          <w:rFonts w:eastAsia="MS Mincho"/>
          <w:b/>
          <w:bCs/>
          <w:u w:val="single"/>
        </w:rPr>
        <w:t xml:space="preserve">Section R503.1.1.6 Air barrier.  </w:t>
      </w:r>
    </w:p>
    <w:p w14:paraId="01221BDE" w14:textId="77777777" w:rsidR="00DB1AEE" w:rsidRPr="00DB1AEE" w:rsidRDefault="00DB1AEE" w:rsidP="00DB1AEE">
      <w:pPr>
        <w:suppressAutoHyphens/>
        <w:spacing w:before="130" w:after="130"/>
        <w:rPr>
          <w:rFonts w:eastAsia="MS Mincho"/>
          <w:u w:val="single"/>
        </w:rPr>
      </w:pPr>
      <w:r w:rsidRPr="00DB1AEE">
        <w:rPr>
          <w:rFonts w:eastAsia="MS Mincho"/>
          <w:u w:val="single"/>
        </w:rPr>
        <w:t>Section R503.1.1.6 – Revise Section R503.1.1.6 to read as follows: </w:t>
      </w:r>
    </w:p>
    <w:p w14:paraId="1493D5AA" w14:textId="77777777" w:rsidR="00DB1AEE" w:rsidRPr="00DB1AEE" w:rsidRDefault="00DB1AEE" w:rsidP="00DB1AEE">
      <w:pPr>
        <w:widowControl w:val="0"/>
        <w:suppressAutoHyphens/>
        <w:autoSpaceDE w:val="0"/>
        <w:autoSpaceDN w:val="0"/>
        <w:adjustRightInd w:val="0"/>
        <w:spacing w:before="130" w:after="130"/>
        <w:ind w:left="360"/>
        <w:rPr>
          <w:b/>
          <w:u w:val="single"/>
        </w:rPr>
      </w:pPr>
      <w:r w:rsidRPr="00DB1AEE">
        <w:rPr>
          <w:b/>
          <w:u w:val="single"/>
        </w:rPr>
        <w:t xml:space="preserve">R503.1.1.6 Air barrier. </w:t>
      </w:r>
      <w:r w:rsidRPr="00DB1AEE">
        <w:rPr>
          <w:bCs/>
          <w:u w:val="single"/>
        </w:rPr>
        <w:t>Altered building thermal envelope assemblies shall be provided with an air barrier in accordance with Section R402.5. The air barrier shall be made continuous with an existing air barrier where present in adjacent assemblies provided access is unobstructed. Testing requirements of Section R402.5.1.2 shall not be required.</w:t>
      </w:r>
    </w:p>
    <w:p w14:paraId="06788F36" w14:textId="77777777" w:rsidR="00DB1AEE" w:rsidRPr="00DB1AEE" w:rsidRDefault="00DB1AEE" w:rsidP="00DB1AEE">
      <w:pPr>
        <w:suppressAutoHyphens/>
        <w:spacing w:before="130" w:after="130"/>
        <w:rPr>
          <w:rFonts w:eastAsia="MS Mincho"/>
          <w:u w:val="single"/>
        </w:rPr>
      </w:pPr>
      <w:r w:rsidRPr="00DB1AEE">
        <w:rPr>
          <w:rFonts w:eastAsia="MS Mincho"/>
          <w:b/>
          <w:bCs/>
          <w:u w:val="single"/>
        </w:rPr>
        <w:t xml:space="preserve">Section R503.1.2 Heating and cooling systems.  </w:t>
      </w:r>
    </w:p>
    <w:p w14:paraId="5A1ACF4A" w14:textId="77777777" w:rsidR="00DB1AEE" w:rsidRPr="00DB1AEE" w:rsidRDefault="00DB1AEE" w:rsidP="00DB1AEE">
      <w:pPr>
        <w:suppressAutoHyphens/>
        <w:spacing w:before="130" w:after="130"/>
        <w:rPr>
          <w:rFonts w:eastAsia="MS Mincho"/>
          <w:u w:val="single"/>
        </w:rPr>
      </w:pPr>
      <w:r w:rsidRPr="00DB1AEE">
        <w:rPr>
          <w:rFonts w:eastAsia="MS Mincho"/>
          <w:u w:val="single"/>
        </w:rPr>
        <w:t>Section R503.1.2 – Revise Section R503.1.2 to read as follows: </w:t>
      </w:r>
    </w:p>
    <w:p w14:paraId="518F22B6" w14:textId="77777777" w:rsidR="00DB1AEE" w:rsidRPr="00DB1AEE" w:rsidRDefault="00DB1AEE" w:rsidP="00DB1AEE">
      <w:pPr>
        <w:spacing w:before="130" w:after="130"/>
        <w:ind w:left="432"/>
        <w:jc w:val="left"/>
        <w:rPr>
          <w:b/>
          <w:vanish/>
          <w:spacing w:val="4"/>
          <w:szCs w:val="24"/>
          <w:u w:val="single"/>
        </w:rPr>
      </w:pPr>
      <w:r w:rsidRPr="00DB1AEE">
        <w:rPr>
          <w:b/>
          <w:spacing w:val="4"/>
          <w:szCs w:val="24"/>
          <w:u w:val="single"/>
        </w:rPr>
        <w:t>R503.1.2 Heating and cooling systems</w:t>
      </w:r>
      <w:r w:rsidRPr="00DB1AEE">
        <w:rPr>
          <w:bCs/>
          <w:spacing w:val="4"/>
          <w:szCs w:val="24"/>
          <w:u w:val="single"/>
        </w:rPr>
        <w:t>.</w:t>
      </w:r>
      <w:r w:rsidRPr="00DB1AEE">
        <w:rPr>
          <w:b/>
          <w:spacing w:val="4"/>
          <w:szCs w:val="24"/>
          <w:u w:val="single"/>
        </w:rPr>
        <w:t xml:space="preserve"> </w:t>
      </w:r>
    </w:p>
    <w:p w14:paraId="7B337396" w14:textId="77777777" w:rsidR="00DB1AEE" w:rsidRPr="00DB1AEE" w:rsidRDefault="00DB1AEE" w:rsidP="00DB1AEE">
      <w:pPr>
        <w:autoSpaceDE w:val="0"/>
        <w:autoSpaceDN w:val="0"/>
        <w:adjustRightInd w:val="0"/>
        <w:spacing w:before="130" w:after="130" w:line="220" w:lineRule="atLeast"/>
        <w:ind w:left="360"/>
        <w:rPr>
          <w:szCs w:val="24"/>
          <w:u w:val="single"/>
        </w:rPr>
      </w:pPr>
      <w:r w:rsidRPr="00DB1AEE">
        <w:rPr>
          <w:szCs w:val="24"/>
          <w:u w:val="single"/>
        </w:rPr>
        <w:t xml:space="preserve"> New heating, cooling, ventilation systems and ductwork that are part of the alteration shall comply with Section R403</w:t>
      </w:r>
      <w:r w:rsidRPr="00DB1AEE">
        <w:rPr>
          <w:w w:val="0"/>
          <w:szCs w:val="24"/>
          <w:u w:val="single"/>
        </w:rPr>
        <w:t xml:space="preserve"> </w:t>
      </w:r>
      <w:r w:rsidRPr="00DB1AEE">
        <w:rPr>
          <w:szCs w:val="24"/>
          <w:u w:val="single"/>
        </w:rPr>
        <w:t>and this section. Alterations to existing heating and cooling systems and ductwork shall comply with this section.</w:t>
      </w:r>
    </w:p>
    <w:p w14:paraId="7FE628AA" w14:textId="77777777" w:rsidR="00DB1AEE" w:rsidRPr="00DB1AEE" w:rsidRDefault="00DB1AEE" w:rsidP="00DB1AEE">
      <w:pPr>
        <w:autoSpaceDE w:val="0"/>
        <w:autoSpaceDN w:val="0"/>
        <w:adjustRightInd w:val="0"/>
        <w:spacing w:before="130" w:after="130"/>
        <w:ind w:left="720"/>
        <w:rPr>
          <w:szCs w:val="24"/>
          <w:u w:val="single"/>
        </w:rPr>
      </w:pPr>
      <w:r w:rsidRPr="00DB1AEE">
        <w:rPr>
          <w:b/>
          <w:bCs/>
          <w:szCs w:val="24"/>
          <w:u w:val="single"/>
        </w:rPr>
        <w:t>Exception:</w:t>
      </w:r>
      <w:r w:rsidRPr="00DB1AEE">
        <w:rPr>
          <w:szCs w:val="24"/>
          <w:u w:val="single"/>
        </w:rPr>
        <w:t xml:space="preserve"> Where ductwork from an existing heating and cooling system is extended,</w:t>
      </w:r>
      <w:r w:rsidRPr="00DB1AEE">
        <w:rPr>
          <w:w w:val="0"/>
          <w:szCs w:val="24"/>
          <w:u w:val="single"/>
        </w:rPr>
        <w:t xml:space="preserve"> </w:t>
      </w:r>
      <w:r w:rsidRPr="00DB1AEE">
        <w:rPr>
          <w:szCs w:val="24"/>
          <w:u w:val="single"/>
        </w:rPr>
        <w:t>Sections R403.3.7 and R403.3.8 shall not be required</w:t>
      </w:r>
      <w:r w:rsidRPr="00DB1AEE">
        <w:rPr>
          <w:w w:val="0"/>
          <w:szCs w:val="24"/>
          <w:u w:val="single"/>
        </w:rPr>
        <w:t xml:space="preserve"> </w:t>
      </w:r>
      <w:r w:rsidRPr="00DB1AEE">
        <w:rPr>
          <w:szCs w:val="24"/>
          <w:u w:val="single"/>
        </w:rPr>
        <w:t>for those portions of the systems that have not been modified</w:t>
      </w:r>
    </w:p>
    <w:p w14:paraId="3BB3069B" w14:textId="77777777" w:rsidR="00DB1AEE" w:rsidRPr="00DB1AEE" w:rsidRDefault="00DB1AEE" w:rsidP="00DB1AEE">
      <w:pPr>
        <w:suppressAutoHyphens/>
        <w:spacing w:before="130" w:after="130"/>
        <w:rPr>
          <w:rFonts w:eastAsia="MS Mincho"/>
          <w:u w:val="single"/>
        </w:rPr>
      </w:pPr>
      <w:r w:rsidRPr="00DB1AEE">
        <w:rPr>
          <w:rFonts w:eastAsia="MS Mincho"/>
          <w:b/>
          <w:bCs/>
          <w:u w:val="single"/>
        </w:rPr>
        <w:t xml:space="preserve">Section R503.1.2.1 Ductwork.  </w:t>
      </w:r>
    </w:p>
    <w:p w14:paraId="5E114418" w14:textId="77777777" w:rsidR="00DB1AEE" w:rsidRPr="00DB1AEE" w:rsidRDefault="00DB1AEE" w:rsidP="00DB1AEE">
      <w:pPr>
        <w:suppressAutoHyphens/>
        <w:spacing w:before="130" w:after="130"/>
        <w:rPr>
          <w:rFonts w:eastAsia="MS Mincho"/>
          <w:u w:val="single"/>
        </w:rPr>
      </w:pPr>
      <w:r w:rsidRPr="00DB1AEE">
        <w:rPr>
          <w:rFonts w:eastAsia="MS Mincho"/>
          <w:u w:val="single"/>
        </w:rPr>
        <w:t>Section R503.1.2.1 – Revise Section R503.1.2.1 to read as follows: </w:t>
      </w:r>
    </w:p>
    <w:p w14:paraId="576E3A1D" w14:textId="77777777" w:rsidR="00DB1AEE" w:rsidRPr="00DB1AEE" w:rsidRDefault="00DB1AEE" w:rsidP="00DB1AEE">
      <w:pPr>
        <w:spacing w:before="130" w:after="130"/>
        <w:ind w:left="432"/>
        <w:jc w:val="left"/>
        <w:rPr>
          <w:b/>
          <w:vanish/>
          <w:spacing w:val="4"/>
          <w:szCs w:val="24"/>
          <w:u w:val="single"/>
        </w:rPr>
      </w:pPr>
      <w:r w:rsidRPr="00DB1AEE">
        <w:rPr>
          <w:b/>
          <w:bCs/>
          <w:spacing w:val="4"/>
          <w:szCs w:val="24"/>
          <w:u w:val="single"/>
        </w:rPr>
        <w:t>R503.1.2.1 Ductwork.</w:t>
      </w:r>
    </w:p>
    <w:p w14:paraId="3AB84BDE" w14:textId="77777777" w:rsidR="00DB1AEE" w:rsidRPr="00DB1AEE" w:rsidRDefault="00DB1AEE" w:rsidP="00DB1AEE">
      <w:pPr>
        <w:spacing w:before="130" w:after="130"/>
        <w:ind w:left="720"/>
        <w:jc w:val="left"/>
        <w:rPr>
          <w:bCs/>
          <w:szCs w:val="24"/>
          <w:u w:val="single"/>
        </w:rPr>
      </w:pPr>
      <w:r w:rsidRPr="00DB1AEE">
        <w:rPr>
          <w:b/>
          <w:szCs w:val="24"/>
          <w:u w:val="single"/>
        </w:rPr>
        <w:t xml:space="preserve"> </w:t>
      </w:r>
      <w:r w:rsidRPr="00DB1AEE">
        <w:rPr>
          <w:b/>
          <w:bCs/>
          <w:szCs w:val="24"/>
          <w:u w:val="single"/>
        </w:rPr>
        <w:t xml:space="preserve"> </w:t>
      </w:r>
      <w:r w:rsidRPr="00DB1AEE">
        <w:rPr>
          <w:bCs/>
          <w:szCs w:val="24"/>
          <w:u w:val="single"/>
        </w:rPr>
        <w:t xml:space="preserve">HVAC </w:t>
      </w:r>
      <w:r w:rsidRPr="00DB1AEE">
        <w:rPr>
          <w:bCs/>
          <w:i/>
          <w:iCs/>
          <w:szCs w:val="24"/>
          <w:u w:val="single"/>
        </w:rPr>
        <w:t xml:space="preserve">ductwork </w:t>
      </w:r>
      <w:r w:rsidRPr="00DB1AEE">
        <w:rPr>
          <w:bCs/>
          <w:szCs w:val="24"/>
          <w:u w:val="single"/>
        </w:rPr>
        <w:t xml:space="preserve">newly installed as part of an </w:t>
      </w:r>
      <w:r w:rsidRPr="00DB1AEE">
        <w:rPr>
          <w:bCs/>
          <w:i/>
          <w:iCs/>
          <w:szCs w:val="24"/>
          <w:u w:val="single"/>
        </w:rPr>
        <w:t xml:space="preserve">alteration </w:t>
      </w:r>
      <w:r w:rsidRPr="00DB1AEE">
        <w:rPr>
          <w:bCs/>
          <w:szCs w:val="24"/>
          <w:u w:val="single"/>
        </w:rPr>
        <w:t>shall comply with Section R403.</w:t>
      </w:r>
    </w:p>
    <w:p w14:paraId="4B435B9D" w14:textId="77777777" w:rsidR="00DB1AEE" w:rsidRPr="00DB1AEE" w:rsidRDefault="00DB1AEE" w:rsidP="00DB1AEE">
      <w:pPr>
        <w:spacing w:before="130" w:after="130"/>
        <w:ind w:left="720"/>
        <w:jc w:val="left"/>
        <w:rPr>
          <w:bCs/>
          <w:szCs w:val="24"/>
          <w:u w:val="single"/>
        </w:rPr>
      </w:pPr>
      <w:r w:rsidRPr="00DB1AEE">
        <w:rPr>
          <w:bCs/>
          <w:szCs w:val="24"/>
          <w:u w:val="single"/>
        </w:rPr>
        <w:t>Exception: Sections R403.3.7 and R403.3.8 shall not be required for those portions of the systems that have not been modified.</w:t>
      </w:r>
    </w:p>
    <w:p w14:paraId="721E7950" w14:textId="77777777" w:rsidR="00DB1AEE" w:rsidRPr="00DB1AEE" w:rsidRDefault="00DB1AEE" w:rsidP="00DB1AEE">
      <w:pPr>
        <w:suppressAutoHyphens/>
        <w:spacing w:before="130" w:after="130"/>
        <w:rPr>
          <w:rFonts w:eastAsia="MS Mincho"/>
          <w:u w:val="single"/>
        </w:rPr>
      </w:pPr>
      <w:r w:rsidRPr="00DB1AEE">
        <w:rPr>
          <w:rFonts w:eastAsia="MS Mincho"/>
          <w:b/>
          <w:bCs/>
          <w:u w:val="single"/>
        </w:rPr>
        <w:t xml:space="preserve">Section R503.1.3 Service hot water systems.  </w:t>
      </w:r>
    </w:p>
    <w:p w14:paraId="1620E5C1" w14:textId="77777777" w:rsidR="00DB1AEE" w:rsidRPr="00DB1AEE" w:rsidRDefault="00DB1AEE" w:rsidP="00DB1AEE">
      <w:pPr>
        <w:suppressAutoHyphens/>
        <w:spacing w:before="130" w:after="130"/>
        <w:rPr>
          <w:rFonts w:eastAsia="MS Mincho"/>
          <w:u w:val="single"/>
        </w:rPr>
      </w:pPr>
      <w:r w:rsidRPr="00DB1AEE">
        <w:rPr>
          <w:rFonts w:eastAsia="MS Mincho"/>
          <w:u w:val="single"/>
        </w:rPr>
        <w:t>Section R503.1.3 – Revise Section R503.1.3 to read as follows: </w:t>
      </w:r>
    </w:p>
    <w:p w14:paraId="071AE1FA" w14:textId="77777777" w:rsidR="00DB1AEE" w:rsidRPr="00DB1AEE" w:rsidRDefault="00DB1AEE" w:rsidP="00DB1AEE">
      <w:pPr>
        <w:widowControl w:val="0"/>
        <w:suppressAutoHyphens/>
        <w:autoSpaceDE w:val="0"/>
        <w:autoSpaceDN w:val="0"/>
        <w:adjustRightInd w:val="0"/>
        <w:spacing w:before="130" w:after="130"/>
        <w:ind w:left="360"/>
        <w:rPr>
          <w:bCs/>
          <w:u w:val="single"/>
        </w:rPr>
      </w:pPr>
      <w:r w:rsidRPr="00DB1AEE">
        <w:rPr>
          <w:b/>
          <w:u w:val="single"/>
        </w:rPr>
        <w:t xml:space="preserve">R503.1.3 Service hot water systems.  </w:t>
      </w:r>
      <w:r w:rsidRPr="00DB1AEE">
        <w:rPr>
          <w:bCs/>
          <w:u w:val="single"/>
        </w:rPr>
        <w:t xml:space="preserve">New service hot water systems that are part of the alteration shall comply with Section R403.5. </w:t>
      </w:r>
    </w:p>
    <w:p w14:paraId="2D5BE486" w14:textId="77777777" w:rsidR="00DB1AEE" w:rsidRPr="00DB1AEE" w:rsidRDefault="00DB1AEE" w:rsidP="00DB1AEE">
      <w:pPr>
        <w:widowControl w:val="0"/>
        <w:suppressAutoHyphens/>
        <w:autoSpaceDE w:val="0"/>
        <w:autoSpaceDN w:val="0"/>
        <w:adjustRightInd w:val="0"/>
        <w:spacing w:before="130" w:after="130"/>
        <w:ind w:left="360"/>
        <w:rPr>
          <w:bCs/>
          <w:u w:val="single"/>
        </w:rPr>
      </w:pPr>
      <w:r w:rsidRPr="00DB1AEE">
        <w:rPr>
          <w:b/>
          <w:u w:val="single"/>
        </w:rPr>
        <w:t>Exception:</w:t>
      </w:r>
      <w:r w:rsidRPr="00DB1AEE">
        <w:rPr>
          <w:bCs/>
          <w:u w:val="single"/>
        </w:rPr>
        <w:t xml:space="preserve"> Existing buildings complying with this section are exempt if the section requires altering existing systems withing the building.</w:t>
      </w:r>
    </w:p>
    <w:p w14:paraId="395AC511" w14:textId="77777777" w:rsidR="00DB1AEE" w:rsidRPr="00DB1AEE" w:rsidRDefault="00DB1AEE" w:rsidP="00DB1AEE">
      <w:pPr>
        <w:widowControl w:val="0"/>
        <w:suppressAutoHyphens/>
        <w:autoSpaceDE w:val="0"/>
        <w:autoSpaceDN w:val="0"/>
        <w:adjustRightInd w:val="0"/>
        <w:spacing w:before="130" w:after="130"/>
        <w:ind w:left="360"/>
        <w:rPr>
          <w:b/>
          <w:u w:val="single"/>
        </w:rPr>
      </w:pPr>
    </w:p>
    <w:p w14:paraId="6A46F597" w14:textId="77777777" w:rsidR="00DB1AEE" w:rsidRPr="00DB1AEE" w:rsidRDefault="00DB1AEE" w:rsidP="00DB1AEE">
      <w:pPr>
        <w:suppressAutoHyphens/>
        <w:spacing w:line="480" w:lineRule="auto"/>
        <w:ind w:firstLine="1440"/>
      </w:pPr>
    </w:p>
    <w:p w14:paraId="3F488895" w14:textId="77777777" w:rsidR="00DB1AEE" w:rsidRPr="00DB1AEE" w:rsidRDefault="00DB1AEE" w:rsidP="00DB1AEE">
      <w:pPr>
        <w:suppressAutoHyphens/>
        <w:spacing w:before="130" w:after="130"/>
        <w:ind w:left="360"/>
        <w:rPr>
          <w:b/>
          <w:szCs w:val="24"/>
          <w:u w:val="single"/>
        </w:rPr>
      </w:pPr>
      <w:r w:rsidRPr="00DB1AEE">
        <w:rPr>
          <w:b/>
          <w:szCs w:val="24"/>
          <w:u w:val="single"/>
        </w:rPr>
        <w:t xml:space="preserve">§ 28-1001.2.2  New York city amendments to </w:t>
      </w:r>
      <w:r w:rsidRPr="00DB1AEE">
        <w:rPr>
          <w:b/>
          <w:u w:val="single"/>
        </w:rPr>
        <w:t>the New York State-specific version of ASHRAE 90.1</w:t>
      </w:r>
      <w:r w:rsidRPr="00DB1AEE">
        <w:rPr>
          <w:b/>
          <w:szCs w:val="24"/>
          <w:u w:val="single"/>
        </w:rPr>
        <w:t>.</w:t>
      </w:r>
    </w:p>
    <w:p w14:paraId="5CAC9717" w14:textId="77777777" w:rsidR="00DB1AEE" w:rsidRPr="00DB1AEE" w:rsidRDefault="00DB1AEE" w:rsidP="00DB1AEE">
      <w:pPr>
        <w:widowControl w:val="0"/>
        <w:suppressAutoHyphens/>
        <w:spacing w:before="130" w:after="130"/>
        <w:ind w:left="360"/>
        <w:jc w:val="center"/>
        <w:rPr>
          <w:b/>
          <w:bCs/>
          <w:u w:val="single"/>
        </w:rPr>
      </w:pPr>
      <w:r w:rsidRPr="00DB1AEE">
        <w:rPr>
          <w:b/>
          <w:bCs/>
          <w:u w:val="single"/>
        </w:rPr>
        <w:t>2025 NYC ASHRAE 90.1</w:t>
      </w:r>
    </w:p>
    <w:p w14:paraId="642D3AD3" w14:textId="77777777" w:rsidR="00DB1AEE" w:rsidRPr="00DB1AEE" w:rsidRDefault="00DB1AEE" w:rsidP="00DB1AEE">
      <w:pPr>
        <w:widowControl w:val="0"/>
        <w:suppressAutoHyphens/>
        <w:spacing w:before="130" w:after="130"/>
        <w:rPr>
          <w:b/>
          <w:bCs/>
          <w:u w:val="single"/>
        </w:rPr>
      </w:pPr>
      <w:r w:rsidRPr="00DB1AEE">
        <w:rPr>
          <w:b/>
          <w:bCs/>
          <w:u w:val="single"/>
        </w:rPr>
        <w:t xml:space="preserve">Section 3.1.1 Occupancy.    </w:t>
      </w:r>
    </w:p>
    <w:p w14:paraId="363698F4" w14:textId="77777777" w:rsidR="00DB1AEE" w:rsidRPr="00DB1AEE" w:rsidRDefault="00DB1AEE" w:rsidP="00DB1AEE">
      <w:pPr>
        <w:widowControl w:val="0"/>
        <w:suppressAutoHyphens/>
        <w:spacing w:before="130" w:after="130"/>
        <w:rPr>
          <w:u w:val="single"/>
        </w:rPr>
      </w:pPr>
      <w:r w:rsidRPr="00DB1AEE">
        <w:rPr>
          <w:u w:val="single"/>
        </w:rPr>
        <w:t xml:space="preserve">Section 3.1.1 – Add new Section 3.1.1 </w:t>
      </w:r>
      <w:r w:rsidRPr="00DB1AEE">
        <w:rPr>
          <w:rFonts w:eastAsia="MS Mincho"/>
          <w:szCs w:val="24"/>
          <w:u w:val="single"/>
        </w:rPr>
        <w:t>to read as follows</w:t>
      </w:r>
      <w:r w:rsidRPr="00DB1AEE">
        <w:rPr>
          <w:u w:val="single"/>
        </w:rPr>
        <w:t>:</w:t>
      </w:r>
    </w:p>
    <w:p w14:paraId="67969C7C" w14:textId="77777777" w:rsidR="00DB1AEE" w:rsidRPr="00DB1AEE" w:rsidRDefault="00DB1AEE" w:rsidP="00DB1AEE">
      <w:pPr>
        <w:widowControl w:val="0"/>
        <w:suppressAutoHyphens/>
        <w:spacing w:before="130" w:after="130"/>
        <w:ind w:left="360"/>
        <w:jc w:val="left"/>
        <w:rPr>
          <w:b/>
          <w:bCs/>
          <w:u w:val="single"/>
        </w:rPr>
      </w:pPr>
      <w:r w:rsidRPr="00DB1AEE">
        <w:rPr>
          <w:b/>
          <w:bCs/>
          <w:u w:val="single"/>
        </w:rPr>
        <w:t xml:space="preserve">3.1.1 Occupancy. </w:t>
      </w:r>
      <w:r w:rsidRPr="00DB1AEE">
        <w:rPr>
          <w:u w:val="single"/>
        </w:rPr>
        <w:t>Occupancy classification and use shall be determined by Chapter 3 of the NYC Building Code</w:t>
      </w:r>
      <w:r w:rsidRPr="00DB1AEE">
        <w:rPr>
          <w:b/>
          <w:bCs/>
          <w:u w:val="single"/>
        </w:rPr>
        <w:t>.</w:t>
      </w:r>
    </w:p>
    <w:p w14:paraId="17FE24B4" w14:textId="77777777" w:rsidR="00DB1AEE" w:rsidRPr="00DB1AEE" w:rsidRDefault="00DB1AEE" w:rsidP="00DB1AEE">
      <w:pPr>
        <w:widowControl w:val="0"/>
        <w:suppressAutoHyphens/>
        <w:spacing w:before="130" w:after="130"/>
        <w:rPr>
          <w:b/>
          <w:bCs/>
          <w:u w:val="single"/>
        </w:rPr>
      </w:pPr>
      <w:r w:rsidRPr="00DB1AEE">
        <w:rPr>
          <w:b/>
          <w:bCs/>
          <w:u w:val="single"/>
        </w:rPr>
        <w:t xml:space="preserve">Section 3.2 Definitions.    </w:t>
      </w:r>
    </w:p>
    <w:p w14:paraId="0BD2D733" w14:textId="77777777" w:rsidR="00DB1AEE" w:rsidRPr="00DB1AEE" w:rsidRDefault="00DB1AEE" w:rsidP="00DB1AEE">
      <w:pPr>
        <w:widowControl w:val="0"/>
        <w:suppressAutoHyphens/>
        <w:spacing w:before="130" w:after="130"/>
        <w:jc w:val="left"/>
        <w:rPr>
          <w:u w:val="single"/>
        </w:rPr>
      </w:pPr>
      <w:r w:rsidRPr="00DB1AEE">
        <w:rPr>
          <w:u w:val="single"/>
        </w:rPr>
        <w:t xml:space="preserve">Section 3.2  – Delete the definition of  “authority having jurisdiction,” after the definition of “attic and other roofs.” . </w:t>
      </w:r>
    </w:p>
    <w:p w14:paraId="32966FC8" w14:textId="77777777" w:rsidR="00DB1AEE" w:rsidRPr="00DB1AEE" w:rsidRDefault="00DB1AEE" w:rsidP="00DB1AEE">
      <w:pPr>
        <w:widowControl w:val="0"/>
        <w:suppressAutoHyphens/>
        <w:spacing w:before="130" w:after="130"/>
        <w:jc w:val="left"/>
        <w:rPr>
          <w:u w:val="single"/>
        </w:rPr>
      </w:pPr>
      <w:r w:rsidRPr="00DB1AEE">
        <w:rPr>
          <w:u w:val="single"/>
        </w:rPr>
        <w:t>Section 3.2  – Add the definition of  “authority having jurisdiction,” after the definition of “attic and other roofs.” to read as follows:</w:t>
      </w:r>
    </w:p>
    <w:p w14:paraId="504B2498" w14:textId="77777777" w:rsidR="00DB1AEE" w:rsidRPr="00DB1AEE" w:rsidRDefault="00DB1AEE" w:rsidP="00DB1AEE">
      <w:pPr>
        <w:widowControl w:val="0"/>
        <w:suppressAutoHyphens/>
        <w:spacing w:before="130" w:after="130"/>
        <w:ind w:left="360"/>
        <w:jc w:val="left"/>
        <w:rPr>
          <w:b/>
          <w:bCs/>
          <w:u w:val="single"/>
        </w:rPr>
      </w:pPr>
      <w:r w:rsidRPr="00DB1AEE">
        <w:rPr>
          <w:b/>
          <w:bCs/>
          <w:u w:val="single"/>
        </w:rPr>
        <w:t xml:space="preserve">authority having jurisdiction: </w:t>
      </w:r>
      <w:r w:rsidRPr="00DB1AEE">
        <w:rPr>
          <w:u w:val="single"/>
        </w:rPr>
        <w:t>the commissioner or the commissioner's designee.</w:t>
      </w:r>
    </w:p>
    <w:p w14:paraId="6DC7CC5C" w14:textId="77777777" w:rsidR="00DB1AEE" w:rsidRPr="00DB1AEE" w:rsidRDefault="00DB1AEE" w:rsidP="00DB1AEE">
      <w:pPr>
        <w:widowControl w:val="0"/>
        <w:suppressAutoHyphens/>
        <w:spacing w:before="130" w:after="130"/>
        <w:jc w:val="left"/>
        <w:rPr>
          <w:u w:val="single"/>
        </w:rPr>
      </w:pPr>
      <w:r w:rsidRPr="00DB1AEE">
        <w:rPr>
          <w:u w:val="single"/>
        </w:rPr>
        <w:t>Section 3.2  – Add the definition of  “clear-field U-factor”     after the definition of “clear-field thermal bridge.” to read as follows:</w:t>
      </w:r>
    </w:p>
    <w:p w14:paraId="24F7C9E7" w14:textId="77777777" w:rsidR="00DB1AEE" w:rsidRPr="00DB1AEE" w:rsidRDefault="00DB1AEE" w:rsidP="00DB1AEE">
      <w:pPr>
        <w:widowControl w:val="0"/>
        <w:suppressAutoHyphens/>
        <w:spacing w:before="130" w:after="130"/>
        <w:ind w:left="360"/>
        <w:jc w:val="left"/>
        <w:rPr>
          <w:u w:val="single"/>
        </w:rPr>
      </w:pPr>
      <w:r w:rsidRPr="00DB1AEE">
        <w:rPr>
          <w:b/>
          <w:bCs/>
          <w:u w:val="single"/>
        </w:rPr>
        <w:t xml:space="preserve">clear-field U-factor. </w:t>
      </w:r>
      <w:r w:rsidRPr="00DB1AEE">
        <w:rPr>
          <w:u w:val="single"/>
        </w:rPr>
        <w:t xml:space="preserve">thermal performance factor that accounts for clear-field thermal bridges.  </w:t>
      </w:r>
    </w:p>
    <w:p w14:paraId="51096CB9" w14:textId="77777777" w:rsidR="00DB1AEE" w:rsidRPr="00DB1AEE" w:rsidRDefault="00DB1AEE" w:rsidP="00DB1AEE">
      <w:pPr>
        <w:widowControl w:val="0"/>
        <w:suppressAutoHyphens/>
        <w:spacing w:before="130" w:after="130"/>
        <w:jc w:val="left"/>
        <w:rPr>
          <w:u w:val="single"/>
        </w:rPr>
      </w:pPr>
      <w:r w:rsidRPr="00DB1AEE">
        <w:rPr>
          <w:u w:val="single"/>
        </w:rPr>
        <w:t>Section 3.2  – Add the definition of  “demand responsive control,”  “ demand response signal”  after the definition of “demand control ventilation (DCV).” to read as follows:</w:t>
      </w:r>
    </w:p>
    <w:p w14:paraId="719CCBD2" w14:textId="77777777" w:rsidR="00DB1AEE" w:rsidRPr="00DB1AEE" w:rsidRDefault="00DB1AEE" w:rsidP="00DB1AEE">
      <w:pPr>
        <w:widowControl w:val="0"/>
        <w:suppressAutoHyphens/>
        <w:spacing w:before="130" w:after="130"/>
        <w:ind w:left="360"/>
        <w:jc w:val="left"/>
        <w:rPr>
          <w:b/>
          <w:bCs/>
          <w:u w:val="single"/>
        </w:rPr>
      </w:pPr>
      <w:r w:rsidRPr="00DB1AEE">
        <w:rPr>
          <w:b/>
          <w:bCs/>
          <w:u w:val="single"/>
        </w:rPr>
        <w:t xml:space="preserve">demand responsive control: </w:t>
      </w:r>
      <w:r w:rsidRPr="00DB1AEE">
        <w:rPr>
          <w:u w:val="single"/>
        </w:rPr>
        <w:t>a control capable of receiving and automatically responding to a demand response signal.</w:t>
      </w:r>
    </w:p>
    <w:p w14:paraId="27443698" w14:textId="77777777" w:rsidR="00DB1AEE" w:rsidRPr="00DB1AEE" w:rsidRDefault="00DB1AEE" w:rsidP="00DB1AEE">
      <w:pPr>
        <w:widowControl w:val="0"/>
        <w:suppressAutoHyphens/>
        <w:spacing w:before="130" w:after="130"/>
        <w:ind w:left="360"/>
        <w:jc w:val="left"/>
        <w:rPr>
          <w:b/>
          <w:bCs/>
          <w:u w:val="single"/>
        </w:rPr>
      </w:pPr>
      <w:r w:rsidRPr="00DB1AEE">
        <w:rPr>
          <w:b/>
          <w:bCs/>
          <w:u w:val="single"/>
        </w:rPr>
        <w:t xml:space="preserve">demand response signal: </w:t>
      </w:r>
      <w:r w:rsidRPr="00DB1AEE">
        <w:rPr>
          <w:u w:val="single"/>
        </w:rPr>
        <w:t>a signal that indicates a price or a request to modify electricity consumption for a limited time period.</w:t>
      </w:r>
    </w:p>
    <w:p w14:paraId="7EEF3012" w14:textId="77777777" w:rsidR="00DB1AEE" w:rsidRPr="00DB1AEE" w:rsidRDefault="00DB1AEE" w:rsidP="00DB1AEE">
      <w:pPr>
        <w:widowControl w:val="0"/>
        <w:suppressAutoHyphens/>
        <w:spacing w:before="130" w:after="130"/>
        <w:jc w:val="left"/>
        <w:rPr>
          <w:u w:val="single"/>
        </w:rPr>
      </w:pPr>
      <w:r w:rsidRPr="00DB1AEE">
        <w:rPr>
          <w:u w:val="single"/>
        </w:rPr>
        <w:t xml:space="preserve">Section 3.2  – Delete the definition of  “labeled” after the definition of “kilowatt (kW)” . </w:t>
      </w:r>
    </w:p>
    <w:p w14:paraId="39140DFD" w14:textId="77777777" w:rsidR="00DB1AEE" w:rsidRPr="00DB1AEE" w:rsidRDefault="00DB1AEE" w:rsidP="00DB1AEE">
      <w:pPr>
        <w:widowControl w:val="0"/>
        <w:suppressAutoHyphens/>
        <w:spacing w:before="130" w:after="130"/>
        <w:jc w:val="left"/>
        <w:rPr>
          <w:u w:val="single"/>
        </w:rPr>
      </w:pPr>
      <w:r w:rsidRPr="00DB1AEE">
        <w:rPr>
          <w:u w:val="single"/>
        </w:rPr>
        <w:t>Section 3.2  – Add the definition of  “labeled” after the definition of “kilowatt (kW)” to read as follows:</w:t>
      </w:r>
    </w:p>
    <w:p w14:paraId="516968AB" w14:textId="77777777" w:rsidR="00DB1AEE" w:rsidRPr="00DB1AEE" w:rsidRDefault="00DB1AEE" w:rsidP="00DB1AEE">
      <w:pPr>
        <w:widowControl w:val="0"/>
        <w:suppressAutoHyphens/>
        <w:spacing w:before="130" w:after="130"/>
        <w:ind w:left="360"/>
        <w:jc w:val="left"/>
        <w:rPr>
          <w:b/>
          <w:bCs/>
          <w:u w:val="single"/>
        </w:rPr>
      </w:pPr>
      <w:r w:rsidRPr="00DB1AEE">
        <w:rPr>
          <w:b/>
          <w:bCs/>
          <w:u w:val="single"/>
        </w:rPr>
        <w:t xml:space="preserve">labeled: </w:t>
      </w:r>
      <w:r w:rsidRPr="00DB1AEE">
        <w:rPr>
          <w:u w:val="single"/>
        </w:rPr>
        <w:t>See Section 28-101.5 of the Administrative Code.</w:t>
      </w:r>
    </w:p>
    <w:p w14:paraId="53E14615" w14:textId="77777777" w:rsidR="00DB1AEE" w:rsidRPr="00DB1AEE" w:rsidRDefault="00DB1AEE" w:rsidP="00DB1AEE">
      <w:pPr>
        <w:widowControl w:val="0"/>
        <w:suppressAutoHyphens/>
        <w:autoSpaceDE w:val="0"/>
        <w:autoSpaceDN w:val="0"/>
        <w:adjustRightInd w:val="0"/>
        <w:spacing w:before="130" w:after="130"/>
        <w:rPr>
          <w:u w:val="single"/>
        </w:rPr>
      </w:pPr>
      <w:r w:rsidRPr="00DB1AEE">
        <w:rPr>
          <w:u w:val="single"/>
        </w:rPr>
        <w:t>Section 3.2 – Add the definitions of “Pre-Engineered Metal Building,”    after the definition of “primary sidelighted area” to read as follows:</w:t>
      </w:r>
    </w:p>
    <w:p w14:paraId="044A64EE" w14:textId="77777777" w:rsidR="00DB1AEE" w:rsidRPr="00DB1AEE" w:rsidRDefault="00DB1AEE" w:rsidP="00DB1AEE">
      <w:pPr>
        <w:widowControl w:val="0"/>
        <w:suppressAutoHyphens/>
        <w:spacing w:before="130" w:after="130"/>
        <w:rPr>
          <w:b/>
          <w:bCs/>
          <w:u w:val="single"/>
        </w:rPr>
      </w:pPr>
      <w:r w:rsidRPr="00DB1AEE">
        <w:rPr>
          <w:b/>
          <w:bCs/>
          <w:u w:val="single"/>
        </w:rPr>
        <w:t>PRE-ENGINEERED METAL BUILDING.</w:t>
      </w:r>
      <w:r w:rsidRPr="00DB1AEE">
        <w:t xml:space="preserve"> </w:t>
      </w:r>
      <w:r w:rsidRPr="00DB1AEE">
        <w:rPr>
          <w:u w:val="single"/>
        </w:rPr>
        <w:t>A pre-engineered metal building (PEMB) is a structure where the steel components—primary framing, secondary framing, and cladding—are designed and manufactured in a factory according to specific project requirements and then shipped to the construction site for assembly.</w:t>
      </w:r>
    </w:p>
    <w:p w14:paraId="350EB502" w14:textId="77777777" w:rsidR="00DB1AEE" w:rsidRPr="00DB1AEE" w:rsidRDefault="00DB1AEE" w:rsidP="00DB1AEE">
      <w:pPr>
        <w:widowControl w:val="0"/>
        <w:suppressAutoHyphens/>
        <w:spacing w:before="130" w:after="130"/>
        <w:ind w:left="360"/>
        <w:jc w:val="left"/>
        <w:rPr>
          <w:b/>
          <w:bCs/>
          <w:u w:val="single"/>
        </w:rPr>
      </w:pPr>
    </w:p>
    <w:p w14:paraId="1042F08F" w14:textId="77777777" w:rsidR="00DB1AEE" w:rsidRPr="00DB1AEE" w:rsidRDefault="00DB1AEE" w:rsidP="00DB1AEE">
      <w:pPr>
        <w:widowControl w:val="0"/>
        <w:suppressAutoHyphens/>
        <w:spacing w:before="130" w:after="130"/>
        <w:jc w:val="left"/>
        <w:rPr>
          <w:u w:val="single"/>
        </w:rPr>
      </w:pPr>
      <w:r w:rsidRPr="00DB1AEE">
        <w:rPr>
          <w:u w:val="single"/>
        </w:rPr>
        <w:t>Section 3.2  – Add the definition of  “spandrel panel” after the definition of “space conditioning category” to read as follows:</w:t>
      </w:r>
    </w:p>
    <w:p w14:paraId="731367D3" w14:textId="77777777" w:rsidR="00DB1AEE" w:rsidRPr="00DB1AEE" w:rsidRDefault="00DB1AEE" w:rsidP="00DB1AEE">
      <w:pPr>
        <w:widowControl w:val="0"/>
        <w:suppressAutoHyphens/>
        <w:spacing w:before="130" w:after="130"/>
        <w:ind w:left="360"/>
        <w:jc w:val="left"/>
        <w:rPr>
          <w:b/>
          <w:bCs/>
          <w:u w:val="single"/>
        </w:rPr>
      </w:pPr>
      <w:r w:rsidRPr="00DB1AEE">
        <w:rPr>
          <w:b/>
          <w:bCs/>
          <w:u w:val="single"/>
        </w:rPr>
        <w:t xml:space="preserve">spandrel panel:  </w:t>
      </w:r>
      <w:r w:rsidRPr="00DB1AEE">
        <w:rPr>
          <w:u w:val="single"/>
        </w:rPr>
        <w:t>an opaque assembly within a fenestration framing system in a wall that is part of the building thermal envelope. Such panels are considered to be a portion of the opaque thermal envelope assembly</w:t>
      </w:r>
      <w:r w:rsidRPr="00DB1AEE">
        <w:rPr>
          <w:b/>
          <w:bCs/>
          <w:u w:val="single"/>
        </w:rPr>
        <w:t>.</w:t>
      </w:r>
    </w:p>
    <w:p w14:paraId="4A830D9A" w14:textId="77777777" w:rsidR="00DB1AEE" w:rsidRPr="00DB1AEE" w:rsidRDefault="00DB1AEE" w:rsidP="00DB1AEE">
      <w:pPr>
        <w:widowControl w:val="0"/>
        <w:suppressAutoHyphens/>
        <w:spacing w:before="130" w:after="130"/>
        <w:jc w:val="left"/>
        <w:rPr>
          <w:b/>
          <w:bCs/>
          <w:u w:val="single"/>
        </w:rPr>
      </w:pPr>
      <w:r w:rsidRPr="00DB1AEE">
        <w:rPr>
          <w:b/>
          <w:bCs/>
          <w:u w:val="single"/>
        </w:rPr>
        <w:t xml:space="preserve">Section 4 - Administration and Enforcement   </w:t>
      </w:r>
    </w:p>
    <w:p w14:paraId="20ADA1D7" w14:textId="77777777" w:rsidR="00DB1AEE" w:rsidRPr="00DB1AEE" w:rsidRDefault="00DB1AEE" w:rsidP="00DB1AEE">
      <w:pPr>
        <w:widowControl w:val="0"/>
        <w:suppressAutoHyphens/>
        <w:spacing w:before="130" w:after="130"/>
        <w:jc w:val="left"/>
        <w:rPr>
          <w:b/>
          <w:bCs/>
          <w:u w:val="single"/>
        </w:rPr>
      </w:pPr>
      <w:r w:rsidRPr="00DB1AEE">
        <w:rPr>
          <w:b/>
          <w:bCs/>
          <w:u w:val="single"/>
        </w:rPr>
        <w:t>Section 4.2.1.1 New Buildings</w:t>
      </w:r>
    </w:p>
    <w:p w14:paraId="4026873A" w14:textId="77777777" w:rsidR="00DB1AEE" w:rsidRPr="00DB1AEE" w:rsidRDefault="00DB1AEE" w:rsidP="00DB1AEE">
      <w:pPr>
        <w:widowControl w:val="0"/>
        <w:suppressAutoHyphens/>
        <w:spacing w:before="130" w:after="130"/>
        <w:jc w:val="left"/>
        <w:rPr>
          <w:u w:val="single"/>
        </w:rPr>
      </w:pPr>
      <w:r w:rsidRPr="00DB1AEE">
        <w:rPr>
          <w:u w:val="single"/>
        </w:rPr>
        <w:t>Section 4.2.1.1 - Delete Section 4.2.1.1 in its entirety, and replace with a new Section 4.2.1.1 to read as follows:</w:t>
      </w:r>
    </w:p>
    <w:p w14:paraId="211E98E9" w14:textId="77777777" w:rsidR="00DB1AEE" w:rsidRPr="00DB1AEE" w:rsidRDefault="00DB1AEE" w:rsidP="00DB1AEE">
      <w:pPr>
        <w:tabs>
          <w:tab w:val="left" w:pos="2829"/>
        </w:tabs>
        <w:suppressAutoHyphens/>
        <w:spacing w:before="97"/>
        <w:ind w:left="360"/>
        <w:jc w:val="left"/>
        <w:rPr>
          <w:b/>
          <w:szCs w:val="24"/>
          <w:u w:val="single"/>
        </w:rPr>
      </w:pPr>
      <w:r w:rsidRPr="00DB1AEE">
        <w:rPr>
          <w:b/>
          <w:bCs/>
          <w:spacing w:val="-12"/>
          <w:szCs w:val="24"/>
          <w:u w:val="single"/>
        </w:rPr>
        <w:t xml:space="preserve">4.2.1.1 </w:t>
      </w:r>
      <w:r w:rsidRPr="00DB1AEE">
        <w:rPr>
          <w:b/>
          <w:szCs w:val="24"/>
          <w:u w:val="single"/>
        </w:rPr>
        <w:t>New Buildings</w:t>
      </w:r>
    </w:p>
    <w:p w14:paraId="2DDCD825" w14:textId="77777777" w:rsidR="00DB1AEE" w:rsidRPr="00DB1AEE" w:rsidRDefault="00DB1AEE" w:rsidP="00DB1AEE">
      <w:pPr>
        <w:suppressAutoHyphens/>
        <w:spacing w:before="58" w:after="120"/>
        <w:ind w:left="360"/>
        <w:rPr>
          <w:szCs w:val="24"/>
          <w:u w:val="single"/>
        </w:rPr>
      </w:pPr>
      <w:r w:rsidRPr="00DB1AEE">
        <w:rPr>
          <w:szCs w:val="24"/>
          <w:u w:val="single"/>
        </w:rPr>
        <w:t xml:space="preserve">New </w:t>
      </w:r>
      <w:r w:rsidRPr="00DB1AEE">
        <w:rPr>
          <w:i/>
          <w:szCs w:val="24"/>
          <w:u w:val="single"/>
        </w:rPr>
        <w:t xml:space="preserve">buildings </w:t>
      </w:r>
      <w:r w:rsidRPr="00DB1AEE">
        <w:rPr>
          <w:szCs w:val="24"/>
          <w:u w:val="single"/>
        </w:rPr>
        <w:t xml:space="preserve">shall comply with Sections </w:t>
      </w:r>
      <w:hyperlink w:anchor="_bookmark18" w:history="1">
        <w:r w:rsidRPr="00DB1AEE">
          <w:rPr>
            <w:szCs w:val="24"/>
            <w:u w:val="single"/>
          </w:rPr>
          <w:t>4.2.2</w:t>
        </w:r>
      </w:hyperlink>
      <w:r w:rsidRPr="00DB1AEE">
        <w:rPr>
          <w:szCs w:val="24"/>
          <w:u w:val="single"/>
        </w:rPr>
        <w:t xml:space="preserve"> through </w:t>
      </w:r>
      <w:hyperlink w:anchor="_bookmark24" w:history="1">
        <w:r w:rsidRPr="00DB1AEE">
          <w:rPr>
            <w:szCs w:val="24"/>
            <w:u w:val="single"/>
          </w:rPr>
          <w:t>4.2.5</w:t>
        </w:r>
      </w:hyperlink>
      <w:r w:rsidRPr="00DB1AEE">
        <w:rPr>
          <w:szCs w:val="24"/>
          <w:u w:val="single"/>
        </w:rPr>
        <w:t xml:space="preserve"> and either the provisions of</w:t>
      </w:r>
    </w:p>
    <w:p w14:paraId="0C5CD172" w14:textId="77777777" w:rsidR="00DB1AEE" w:rsidRPr="00DB1AEE" w:rsidRDefault="00DB1AEE" w:rsidP="00DB1AEE">
      <w:pPr>
        <w:tabs>
          <w:tab w:val="left" w:pos="3457"/>
        </w:tabs>
        <w:suppressAutoHyphens/>
        <w:spacing w:before="122"/>
        <w:ind w:left="648" w:right="597" w:hanging="288"/>
        <w:rPr>
          <w:szCs w:val="24"/>
          <w:u w:val="single"/>
        </w:rPr>
      </w:pPr>
      <w:r w:rsidRPr="00DB1AEE">
        <w:rPr>
          <w:spacing w:val="-1"/>
          <w:szCs w:val="24"/>
          <w:u w:val="single"/>
        </w:rPr>
        <w:t xml:space="preserve">a. </w:t>
      </w:r>
      <w:r w:rsidRPr="00DB1AEE">
        <w:rPr>
          <w:szCs w:val="24"/>
          <w:u w:val="single"/>
        </w:rPr>
        <w:t xml:space="preserve">Sections </w:t>
      </w:r>
      <w:hyperlink w:anchor="_bookmark37" w:history="1">
        <w:r w:rsidRPr="00DB1AEE">
          <w:rPr>
            <w:szCs w:val="24"/>
            <w:u w:val="single"/>
          </w:rPr>
          <w:t>5</w:t>
        </w:r>
      </w:hyperlink>
      <w:r w:rsidRPr="00DB1AEE">
        <w:rPr>
          <w:szCs w:val="24"/>
          <w:u w:val="single"/>
        </w:rPr>
        <w:t>, “</w:t>
      </w:r>
      <w:r w:rsidRPr="00DB1AEE">
        <w:rPr>
          <w:i/>
          <w:szCs w:val="24"/>
          <w:u w:val="single"/>
        </w:rPr>
        <w:t>Building Envelope</w:t>
      </w:r>
      <w:r w:rsidRPr="00DB1AEE">
        <w:rPr>
          <w:szCs w:val="24"/>
          <w:u w:val="single"/>
        </w:rPr>
        <w:t xml:space="preserve">”; </w:t>
      </w:r>
      <w:hyperlink w:anchor="_bookmark96" w:history="1">
        <w:r w:rsidRPr="00DB1AEE">
          <w:rPr>
            <w:szCs w:val="24"/>
            <w:u w:val="single"/>
          </w:rPr>
          <w:t>6</w:t>
        </w:r>
      </w:hyperlink>
      <w:r w:rsidRPr="00DB1AEE">
        <w:rPr>
          <w:szCs w:val="24"/>
          <w:u w:val="single"/>
        </w:rPr>
        <w:t xml:space="preserve">, “Heating, Ventilating, and Air Conditioning”; </w:t>
      </w:r>
      <w:hyperlink w:anchor="_bookmark217" w:history="1">
        <w:r w:rsidRPr="00DB1AEE">
          <w:rPr>
            <w:szCs w:val="24"/>
            <w:u w:val="single"/>
          </w:rPr>
          <w:t>7</w:t>
        </w:r>
      </w:hyperlink>
      <w:r w:rsidRPr="00DB1AEE">
        <w:rPr>
          <w:szCs w:val="24"/>
          <w:u w:val="single"/>
        </w:rPr>
        <w:t>, “</w:t>
      </w:r>
      <w:r w:rsidRPr="00DB1AEE">
        <w:rPr>
          <w:i/>
          <w:szCs w:val="24"/>
          <w:u w:val="single"/>
        </w:rPr>
        <w:t>Service Water Heating</w:t>
      </w:r>
      <w:r w:rsidRPr="00DB1AEE">
        <w:rPr>
          <w:szCs w:val="24"/>
          <w:u w:val="single"/>
        </w:rPr>
        <w:t xml:space="preserve">”; </w:t>
      </w:r>
      <w:hyperlink w:anchor="_bookmark240" w:history="1">
        <w:r w:rsidRPr="00DB1AEE">
          <w:rPr>
            <w:szCs w:val="24"/>
            <w:u w:val="single"/>
          </w:rPr>
          <w:t>8</w:t>
        </w:r>
      </w:hyperlink>
      <w:r w:rsidRPr="00DB1AEE">
        <w:rPr>
          <w:szCs w:val="24"/>
          <w:u w:val="single"/>
        </w:rPr>
        <w:t xml:space="preserve">, “Power”; </w:t>
      </w:r>
      <w:hyperlink w:anchor="_bookmark259" w:history="1">
        <w:r w:rsidRPr="00DB1AEE">
          <w:rPr>
            <w:szCs w:val="24"/>
            <w:u w:val="single"/>
          </w:rPr>
          <w:t>9</w:t>
        </w:r>
      </w:hyperlink>
      <w:r w:rsidRPr="00DB1AEE">
        <w:rPr>
          <w:szCs w:val="24"/>
          <w:u w:val="single"/>
        </w:rPr>
        <w:t xml:space="preserve">, “Lighting”; </w:t>
      </w:r>
      <w:hyperlink w:anchor="_bookmark313" w:history="1">
        <w:r w:rsidRPr="00DB1AEE">
          <w:rPr>
            <w:szCs w:val="24"/>
            <w:u w:val="single"/>
          </w:rPr>
          <w:t>10</w:t>
        </w:r>
      </w:hyperlink>
      <w:r w:rsidRPr="00DB1AEE">
        <w:rPr>
          <w:szCs w:val="24"/>
          <w:u w:val="single"/>
        </w:rPr>
        <w:t xml:space="preserve">, “Other </w:t>
      </w:r>
      <w:r w:rsidRPr="00DB1AEE">
        <w:rPr>
          <w:i/>
          <w:szCs w:val="24"/>
          <w:u w:val="single"/>
        </w:rPr>
        <w:t>Equipment</w:t>
      </w:r>
      <w:r w:rsidRPr="00DB1AEE">
        <w:rPr>
          <w:szCs w:val="24"/>
          <w:u w:val="single"/>
        </w:rPr>
        <w:t>,”</w:t>
      </w:r>
      <w:r w:rsidRPr="00DB1AEE">
        <w:rPr>
          <w:spacing w:val="-2"/>
          <w:szCs w:val="24"/>
          <w:u w:val="single"/>
        </w:rPr>
        <w:t xml:space="preserve"> </w:t>
      </w:r>
      <w:r w:rsidRPr="00DB1AEE">
        <w:rPr>
          <w:szCs w:val="24"/>
          <w:u w:val="single"/>
        </w:rPr>
        <w:t>and 11, “Additional Efficiency Requirements or</w:t>
      </w:r>
    </w:p>
    <w:p w14:paraId="5FDBB943" w14:textId="77777777" w:rsidR="00DB1AEE" w:rsidRPr="00DB1AEE" w:rsidRDefault="00DB1AEE" w:rsidP="00DB1AEE">
      <w:pPr>
        <w:tabs>
          <w:tab w:val="left" w:pos="3457"/>
        </w:tabs>
        <w:suppressAutoHyphens/>
        <w:spacing w:before="122"/>
        <w:ind w:left="648" w:right="597" w:hanging="288"/>
        <w:rPr>
          <w:szCs w:val="24"/>
          <w:u w:val="single"/>
        </w:rPr>
      </w:pPr>
      <w:r w:rsidRPr="00DB1AEE">
        <w:rPr>
          <w:szCs w:val="24"/>
          <w:u w:val="single"/>
        </w:rPr>
        <w:t>b. Section 12, “Energy Cost Budget Method,” or</w:t>
      </w:r>
    </w:p>
    <w:p w14:paraId="0B5F17AF" w14:textId="77777777" w:rsidR="00DB1AEE" w:rsidRPr="00DB1AEE" w:rsidRDefault="00DB1AEE" w:rsidP="00DB1AEE">
      <w:pPr>
        <w:tabs>
          <w:tab w:val="left" w:pos="3456"/>
        </w:tabs>
        <w:suppressAutoHyphens/>
        <w:spacing w:before="42"/>
        <w:ind w:left="648" w:right="576" w:hanging="288"/>
        <w:rPr>
          <w:strike/>
          <w:szCs w:val="24"/>
          <w:u w:val="single"/>
        </w:rPr>
      </w:pPr>
      <w:r w:rsidRPr="00DB1AEE">
        <w:rPr>
          <w:szCs w:val="24"/>
          <w:u w:val="single"/>
        </w:rPr>
        <w:t xml:space="preserve">c. </w:t>
      </w:r>
      <w:hyperlink w:anchor="_bookmark444" w:history="1">
        <w:r w:rsidRPr="00DB1AEE">
          <w:rPr>
            <w:szCs w:val="24"/>
            <w:u w:val="single"/>
          </w:rPr>
          <w:t>Normative Appendix G</w:t>
        </w:r>
      </w:hyperlink>
      <w:r w:rsidRPr="00DB1AEE">
        <w:rPr>
          <w:szCs w:val="24"/>
          <w:u w:val="single"/>
        </w:rPr>
        <w:t>, “</w:t>
      </w:r>
      <w:r w:rsidRPr="00DB1AEE">
        <w:rPr>
          <w:i/>
          <w:szCs w:val="24"/>
          <w:u w:val="single"/>
        </w:rPr>
        <w:t>Performance Rating</w:t>
      </w:r>
      <w:r w:rsidRPr="00DB1AEE">
        <w:rPr>
          <w:i/>
          <w:spacing w:val="-4"/>
          <w:szCs w:val="24"/>
          <w:u w:val="single"/>
        </w:rPr>
        <w:t xml:space="preserve"> </w:t>
      </w:r>
      <w:r w:rsidRPr="00DB1AEE">
        <w:rPr>
          <w:i/>
          <w:szCs w:val="24"/>
          <w:u w:val="single"/>
        </w:rPr>
        <w:t>Method</w:t>
      </w:r>
      <w:r w:rsidRPr="00DB1AEE">
        <w:rPr>
          <w:szCs w:val="24"/>
          <w:u w:val="single"/>
        </w:rPr>
        <w:t>.”</w:t>
      </w:r>
      <w:r w:rsidRPr="00DB1AEE">
        <w:rPr>
          <w:strike/>
          <w:szCs w:val="24"/>
          <w:u w:val="single"/>
        </w:rPr>
        <w:t xml:space="preserve"> </w:t>
      </w:r>
    </w:p>
    <w:p w14:paraId="5A1C4DF8" w14:textId="77777777" w:rsidR="00DB1AEE" w:rsidRPr="00DB1AEE" w:rsidRDefault="00DB1AEE" w:rsidP="00DB1AEE">
      <w:pPr>
        <w:suppressAutoHyphens/>
        <w:spacing w:before="125" w:line="254" w:lineRule="exact"/>
        <w:ind w:left="360" w:right="597" w:firstLine="266"/>
        <w:rPr>
          <w:szCs w:val="24"/>
          <w:u w:val="single"/>
        </w:rPr>
      </w:pPr>
      <w:r w:rsidRPr="00DB1AEE">
        <w:rPr>
          <w:szCs w:val="24"/>
          <w:u w:val="single"/>
        </w:rPr>
        <w:t>When</w:t>
      </w:r>
      <w:r w:rsidRPr="00DB1AEE">
        <w:rPr>
          <w:spacing w:val="-9"/>
          <w:szCs w:val="24"/>
          <w:u w:val="single"/>
        </w:rPr>
        <w:t xml:space="preserve"> </w:t>
      </w:r>
      <w:r w:rsidRPr="00DB1AEE">
        <w:rPr>
          <w:szCs w:val="24"/>
          <w:u w:val="single"/>
        </w:rPr>
        <w:t>using</w:t>
      </w:r>
      <w:r w:rsidRPr="00DB1AEE">
        <w:rPr>
          <w:spacing w:val="-10"/>
          <w:szCs w:val="24"/>
          <w:u w:val="single"/>
        </w:rPr>
        <w:t xml:space="preserve"> </w:t>
      </w:r>
      <w:hyperlink w:anchor="_bookmark444" w:history="1">
        <w:r w:rsidRPr="00DB1AEE">
          <w:rPr>
            <w:szCs w:val="24"/>
            <w:u w:val="single"/>
          </w:rPr>
          <w:t>Normative</w:t>
        </w:r>
        <w:r w:rsidRPr="00DB1AEE">
          <w:rPr>
            <w:spacing w:val="-9"/>
            <w:szCs w:val="24"/>
            <w:u w:val="single"/>
          </w:rPr>
          <w:t xml:space="preserve"> </w:t>
        </w:r>
        <w:r w:rsidRPr="00DB1AEE">
          <w:rPr>
            <w:szCs w:val="24"/>
            <w:u w:val="single"/>
          </w:rPr>
          <w:t>Appendix</w:t>
        </w:r>
        <w:r w:rsidRPr="00DB1AEE">
          <w:rPr>
            <w:spacing w:val="-9"/>
            <w:szCs w:val="24"/>
            <w:u w:val="single"/>
          </w:rPr>
          <w:t xml:space="preserve"> </w:t>
        </w:r>
        <w:r w:rsidRPr="00DB1AEE">
          <w:rPr>
            <w:szCs w:val="24"/>
            <w:u w:val="single"/>
          </w:rPr>
          <w:t>G</w:t>
        </w:r>
      </w:hyperlink>
      <w:r w:rsidRPr="00DB1AEE">
        <w:rPr>
          <w:szCs w:val="24"/>
          <w:u w:val="single"/>
        </w:rPr>
        <w:t>,</w:t>
      </w:r>
      <w:r w:rsidRPr="00DB1AEE">
        <w:rPr>
          <w:spacing w:val="-9"/>
          <w:szCs w:val="24"/>
          <w:u w:val="single"/>
        </w:rPr>
        <w:t xml:space="preserve"> </w:t>
      </w:r>
      <w:r w:rsidRPr="00DB1AEE">
        <w:rPr>
          <w:szCs w:val="24"/>
          <w:u w:val="single"/>
        </w:rPr>
        <w:t>of</w:t>
      </w:r>
      <w:r w:rsidRPr="00DB1AEE">
        <w:rPr>
          <w:spacing w:val="-9"/>
          <w:szCs w:val="24"/>
          <w:u w:val="single"/>
        </w:rPr>
        <w:t xml:space="preserve"> </w:t>
      </w:r>
      <w:r w:rsidRPr="00DB1AEE">
        <w:rPr>
          <w:szCs w:val="24"/>
          <w:u w:val="single"/>
        </w:rPr>
        <w:t>new</w:t>
      </w:r>
      <w:r w:rsidRPr="00DB1AEE">
        <w:rPr>
          <w:spacing w:val="-9"/>
          <w:szCs w:val="24"/>
          <w:u w:val="single"/>
        </w:rPr>
        <w:t xml:space="preserve"> </w:t>
      </w:r>
      <w:r w:rsidRPr="00DB1AEE">
        <w:rPr>
          <w:i/>
          <w:szCs w:val="24"/>
          <w:u w:val="single"/>
        </w:rPr>
        <w:t>buildings</w:t>
      </w:r>
      <w:r w:rsidRPr="00DB1AEE">
        <w:rPr>
          <w:szCs w:val="24"/>
          <w:u w:val="single"/>
        </w:rPr>
        <w:t xml:space="preserve">, </w:t>
      </w:r>
      <w:r w:rsidRPr="00DB1AEE">
        <w:rPr>
          <w:i/>
          <w:szCs w:val="24"/>
          <w:u w:val="single"/>
        </w:rPr>
        <w:t xml:space="preserve">additions </w:t>
      </w:r>
      <w:r w:rsidRPr="00DB1AEE">
        <w:rPr>
          <w:szCs w:val="24"/>
          <w:u w:val="single"/>
        </w:rPr>
        <w:t xml:space="preserve">to </w:t>
      </w:r>
      <w:r w:rsidRPr="00DB1AEE">
        <w:rPr>
          <w:i/>
          <w:szCs w:val="24"/>
          <w:u w:val="single"/>
        </w:rPr>
        <w:t>existing buildings</w:t>
      </w:r>
      <w:r w:rsidRPr="00DB1AEE">
        <w:rPr>
          <w:szCs w:val="24"/>
          <w:u w:val="single"/>
        </w:rPr>
        <w:t xml:space="preserve">, and/or </w:t>
      </w:r>
      <w:r w:rsidRPr="00DB1AEE">
        <w:rPr>
          <w:i/>
          <w:szCs w:val="24"/>
          <w:u w:val="single"/>
        </w:rPr>
        <w:t>alterations</w:t>
      </w:r>
      <w:r w:rsidRPr="00DB1AEE">
        <w:rPr>
          <w:i/>
          <w:strike/>
          <w:szCs w:val="24"/>
          <w:u w:val="single"/>
        </w:rPr>
        <w:t xml:space="preserve"> </w:t>
      </w:r>
      <w:r w:rsidRPr="00DB1AEE">
        <w:rPr>
          <w:szCs w:val="24"/>
          <w:u w:val="single"/>
        </w:rPr>
        <w:t>shall comply with Section 4.2.1.1.1 and Section 4.2.1.1.2. Alterations</w:t>
      </w:r>
      <w:r w:rsidRPr="00DB1AEE">
        <w:rPr>
          <w:i/>
          <w:szCs w:val="24"/>
          <w:u w:val="single"/>
        </w:rPr>
        <w:t xml:space="preserve"> </w:t>
      </w:r>
      <w:r w:rsidRPr="00DB1AEE">
        <w:rPr>
          <w:szCs w:val="24"/>
          <w:u w:val="single"/>
        </w:rPr>
        <w:t xml:space="preserve">to </w:t>
      </w:r>
      <w:r w:rsidRPr="00DB1AEE">
        <w:rPr>
          <w:i/>
          <w:szCs w:val="24"/>
          <w:u w:val="single"/>
        </w:rPr>
        <w:t xml:space="preserve">existing buildings </w:t>
      </w:r>
      <w:r w:rsidRPr="00DB1AEE">
        <w:rPr>
          <w:szCs w:val="24"/>
          <w:u w:val="single"/>
        </w:rPr>
        <w:t xml:space="preserve">shall comply with Section 4.2.1.1.1. </w:t>
      </w:r>
    </w:p>
    <w:p w14:paraId="0AE8022E" w14:textId="77777777" w:rsidR="00DB1AEE" w:rsidRPr="00DB1AEE" w:rsidRDefault="00DB1AEE" w:rsidP="00DB1AEE">
      <w:pPr>
        <w:widowControl w:val="0"/>
        <w:suppressAutoHyphens/>
        <w:spacing w:before="130" w:after="130"/>
        <w:ind w:left="360"/>
        <w:jc w:val="left"/>
        <w:rPr>
          <w:b/>
          <w:bCs/>
          <w:u w:val="single"/>
        </w:rPr>
      </w:pPr>
    </w:p>
    <w:p w14:paraId="01A86573" w14:textId="77777777" w:rsidR="00DB1AEE" w:rsidRPr="00DB1AEE" w:rsidRDefault="00DB1AEE" w:rsidP="00DB1AEE">
      <w:pPr>
        <w:widowControl w:val="0"/>
        <w:suppressAutoHyphens/>
        <w:spacing w:before="130" w:after="130"/>
        <w:jc w:val="left"/>
        <w:rPr>
          <w:b/>
          <w:bCs/>
          <w:u w:val="single"/>
        </w:rPr>
      </w:pPr>
      <w:r w:rsidRPr="00DB1AEE">
        <w:rPr>
          <w:b/>
          <w:bCs/>
          <w:u w:val="single"/>
        </w:rPr>
        <w:t xml:space="preserve">Section 5 - Building Envelope.   </w:t>
      </w:r>
    </w:p>
    <w:p w14:paraId="34488BE0" w14:textId="77777777" w:rsidR="00DB1AEE" w:rsidRPr="00DB1AEE" w:rsidRDefault="00DB1AEE" w:rsidP="00DB1AEE">
      <w:pPr>
        <w:widowControl w:val="0"/>
        <w:suppressAutoHyphens/>
        <w:spacing w:before="130" w:after="130"/>
        <w:jc w:val="left"/>
        <w:rPr>
          <w:b/>
          <w:bCs/>
          <w:u w:val="single"/>
        </w:rPr>
      </w:pPr>
      <w:r w:rsidRPr="00DB1AEE">
        <w:rPr>
          <w:b/>
          <w:bCs/>
          <w:u w:val="single"/>
        </w:rPr>
        <w:t xml:space="preserve">Section 5.4.3.1.1 </w:t>
      </w:r>
    </w:p>
    <w:p w14:paraId="5E2AD276" w14:textId="77777777" w:rsidR="00DB1AEE" w:rsidRPr="00DB1AEE" w:rsidRDefault="00DB1AEE" w:rsidP="00DB1AEE">
      <w:pPr>
        <w:widowControl w:val="0"/>
        <w:suppressAutoHyphens/>
        <w:spacing w:before="130" w:after="130"/>
        <w:jc w:val="left"/>
        <w:rPr>
          <w:u w:val="single"/>
        </w:rPr>
      </w:pPr>
      <w:r w:rsidRPr="00DB1AEE">
        <w:rPr>
          <w:u w:val="single"/>
        </w:rPr>
        <w:t>Section 5.4.3.1.2 - Delete Section 5.4.3.1.1 in its entirety, and replace with a new Section 5.4.3.1.1 to read as follows:</w:t>
      </w:r>
    </w:p>
    <w:p w14:paraId="2BD8E627" w14:textId="77777777" w:rsidR="00DB1AEE" w:rsidRPr="00DB1AEE" w:rsidRDefault="00DB1AEE" w:rsidP="00DB1AEE">
      <w:pPr>
        <w:widowControl w:val="0"/>
        <w:suppressAutoHyphens/>
        <w:spacing w:before="130" w:after="130"/>
        <w:ind w:left="360"/>
        <w:jc w:val="left"/>
        <w:rPr>
          <w:b/>
          <w:bCs/>
          <w:u w:val="single"/>
        </w:rPr>
      </w:pPr>
      <w:r w:rsidRPr="00DB1AEE">
        <w:rPr>
          <w:b/>
          <w:bCs/>
          <w:u w:val="single"/>
        </w:rPr>
        <w:t>5.4.3.1.1</w:t>
      </w:r>
    </w:p>
    <w:p w14:paraId="3B0229E7" w14:textId="77777777" w:rsidR="00DB1AEE" w:rsidRPr="00DB1AEE" w:rsidRDefault="00DB1AEE" w:rsidP="00DB1AEE">
      <w:pPr>
        <w:widowControl w:val="0"/>
        <w:suppressAutoHyphens/>
        <w:spacing w:before="130" w:after="130"/>
        <w:ind w:left="360"/>
        <w:jc w:val="left"/>
        <w:rPr>
          <w:b/>
          <w:bCs/>
          <w:u w:val="single"/>
        </w:rPr>
      </w:pPr>
      <w:r w:rsidRPr="00DB1AEE">
        <w:rPr>
          <w:u w:val="single"/>
        </w:rPr>
        <w:t>New buildings shall comply with measured air leakage requirements in Section 5.4.3.1.4 and continuous air barrier design and installation verification program performed in accordance with Section 5.9.1.2.</w:t>
      </w:r>
    </w:p>
    <w:p w14:paraId="5D0E648C" w14:textId="77777777" w:rsidR="00DB1AEE" w:rsidRPr="00DB1AEE" w:rsidRDefault="00DB1AEE" w:rsidP="00DB1AEE">
      <w:pPr>
        <w:widowControl w:val="0"/>
        <w:suppressAutoHyphens/>
        <w:spacing w:before="130" w:after="130"/>
        <w:jc w:val="left"/>
        <w:rPr>
          <w:b/>
          <w:bCs/>
          <w:u w:val="single"/>
        </w:rPr>
      </w:pPr>
      <w:r w:rsidRPr="00DB1AEE">
        <w:rPr>
          <w:b/>
          <w:bCs/>
          <w:u w:val="single"/>
        </w:rPr>
        <w:t xml:space="preserve">Section 5.4.3.1.2 </w:t>
      </w:r>
    </w:p>
    <w:p w14:paraId="0C3442B4" w14:textId="77777777" w:rsidR="00DB1AEE" w:rsidRPr="00DB1AEE" w:rsidRDefault="00DB1AEE" w:rsidP="00DB1AEE">
      <w:pPr>
        <w:widowControl w:val="0"/>
        <w:suppressAutoHyphens/>
        <w:spacing w:before="130" w:after="130"/>
        <w:jc w:val="left"/>
        <w:rPr>
          <w:u w:val="single"/>
        </w:rPr>
      </w:pPr>
      <w:r w:rsidRPr="00DB1AEE">
        <w:rPr>
          <w:u w:val="single"/>
        </w:rPr>
        <w:t>Section 5.4.3.1.2 - Delete Section 5.4.3.1.2 in its entirety, and replace with a new Section 5.4.3.1.2 to read as follows:</w:t>
      </w:r>
    </w:p>
    <w:p w14:paraId="4BEF9FD3" w14:textId="77777777" w:rsidR="00DB1AEE" w:rsidRPr="00DB1AEE" w:rsidRDefault="00DB1AEE" w:rsidP="00DB1AEE">
      <w:pPr>
        <w:widowControl w:val="0"/>
        <w:suppressAutoHyphens/>
        <w:spacing w:before="130" w:after="130"/>
        <w:ind w:left="360"/>
        <w:jc w:val="left"/>
        <w:rPr>
          <w:b/>
          <w:bCs/>
          <w:u w:val="single"/>
        </w:rPr>
      </w:pPr>
      <w:r w:rsidRPr="00DB1AEE">
        <w:rPr>
          <w:b/>
          <w:bCs/>
          <w:u w:val="single"/>
        </w:rPr>
        <w:t xml:space="preserve">5.4.3.1.2 </w:t>
      </w:r>
    </w:p>
    <w:p w14:paraId="42D3307A" w14:textId="77777777" w:rsidR="00DB1AEE" w:rsidRPr="00DB1AEE" w:rsidRDefault="00DB1AEE" w:rsidP="00DB1AEE">
      <w:pPr>
        <w:widowControl w:val="0"/>
        <w:suppressAutoHyphens/>
        <w:spacing w:before="130" w:after="130"/>
        <w:ind w:left="360"/>
        <w:jc w:val="left"/>
        <w:rPr>
          <w:u w:val="single"/>
        </w:rPr>
      </w:pPr>
      <w:r w:rsidRPr="00DB1AEE">
        <w:rPr>
          <w:u w:val="single"/>
        </w:rPr>
        <w:t>Reserved</w:t>
      </w:r>
    </w:p>
    <w:p w14:paraId="3AF79575" w14:textId="77777777" w:rsidR="00DB1AEE" w:rsidRPr="00DB1AEE" w:rsidRDefault="00DB1AEE" w:rsidP="00DB1AEE">
      <w:pPr>
        <w:widowControl w:val="0"/>
        <w:suppressAutoHyphens/>
        <w:spacing w:before="130" w:after="130"/>
        <w:jc w:val="left"/>
        <w:rPr>
          <w:b/>
          <w:bCs/>
          <w:u w:val="single"/>
        </w:rPr>
      </w:pPr>
      <w:r w:rsidRPr="00DB1AEE">
        <w:rPr>
          <w:b/>
          <w:bCs/>
          <w:u w:val="single"/>
        </w:rPr>
        <w:t xml:space="preserve">Section 5.4.3.1.4 Measured Air Leakage </w:t>
      </w:r>
    </w:p>
    <w:p w14:paraId="472D7AE0" w14:textId="77777777" w:rsidR="00DB1AEE" w:rsidRPr="00DB1AEE" w:rsidRDefault="00DB1AEE" w:rsidP="00DB1AEE">
      <w:pPr>
        <w:widowControl w:val="0"/>
        <w:suppressAutoHyphens/>
        <w:spacing w:before="130" w:after="130"/>
        <w:jc w:val="left"/>
        <w:rPr>
          <w:u w:val="single"/>
        </w:rPr>
      </w:pPr>
      <w:r w:rsidRPr="00DB1AEE">
        <w:rPr>
          <w:u w:val="single"/>
        </w:rPr>
        <w:t>Section 5.4.3.1.4 - Delete Section 5.4.3.1.4 in its entirety, and replace with a new Section 5.4.3.1.4 to read as follows:</w:t>
      </w:r>
    </w:p>
    <w:p w14:paraId="36CFC741" w14:textId="77777777" w:rsidR="00DB1AEE" w:rsidRPr="00DB1AEE" w:rsidRDefault="00DB1AEE" w:rsidP="00DB1AEE">
      <w:pPr>
        <w:suppressAutoHyphens/>
        <w:spacing w:before="60" w:after="120" w:line="251" w:lineRule="exact"/>
        <w:ind w:left="360"/>
        <w:jc w:val="left"/>
        <w:rPr>
          <w:b/>
          <w:bCs/>
          <w:u w:val="single"/>
        </w:rPr>
      </w:pPr>
      <w:r w:rsidRPr="00DB1AEE">
        <w:rPr>
          <w:b/>
          <w:bCs/>
          <w:u w:val="single"/>
        </w:rPr>
        <w:t xml:space="preserve">5.4.3.1.4 Measured Air Leakage. </w:t>
      </w:r>
    </w:p>
    <w:p w14:paraId="5C1BE752" w14:textId="77777777" w:rsidR="00DB1AEE" w:rsidRPr="00DB1AEE" w:rsidRDefault="00DB1AEE" w:rsidP="00DB1AEE">
      <w:pPr>
        <w:suppressAutoHyphens/>
        <w:spacing w:before="60" w:after="120" w:line="251" w:lineRule="exact"/>
        <w:ind w:left="360"/>
        <w:jc w:val="left"/>
        <w:rPr>
          <w:u w:val="single"/>
        </w:rPr>
      </w:pPr>
      <w:r w:rsidRPr="00DB1AEE">
        <w:rPr>
          <w:u w:val="single"/>
        </w:rPr>
        <w:t>Where measured air leakage is used for compliance, the rate of air leakage of the building envelope shall not exceed 0.35 cfm/ft</w:t>
      </w:r>
      <w:r w:rsidRPr="00DB1AEE">
        <w:rPr>
          <w:u w:val="single"/>
          <w:vertAlign w:val="superscript"/>
        </w:rPr>
        <w:t>2</w:t>
      </w:r>
      <w:r w:rsidRPr="00DB1AEE">
        <w:rPr>
          <w:u w:val="single"/>
        </w:rPr>
        <w:t xml:space="preserve"> (1 L/s/m</w:t>
      </w:r>
      <w:r w:rsidRPr="00DB1AEE">
        <w:rPr>
          <w:u w:val="single"/>
          <w:vertAlign w:val="superscript"/>
        </w:rPr>
        <w:t>2</w:t>
      </w:r>
      <w:r w:rsidRPr="00DB1AEE">
        <w:rPr>
          <w:u w:val="single"/>
        </w:rPr>
        <w:t>) under a pressure differential of 75 Pa (0.30 in. of water), with this air leakage rate normalized by the sum of the above-grade and below-grade building envelope areas of the conditioned space and semiheated space and in accordance with this section.</w:t>
      </w:r>
    </w:p>
    <w:p w14:paraId="35862568" w14:textId="77777777" w:rsidR="00DB1AEE" w:rsidRPr="00DB1AEE" w:rsidRDefault="00DB1AEE" w:rsidP="00DB1AEE">
      <w:pPr>
        <w:suppressAutoHyphens/>
        <w:spacing w:before="60" w:after="120" w:line="251" w:lineRule="exact"/>
        <w:ind w:left="1008" w:hanging="288"/>
        <w:jc w:val="left"/>
        <w:rPr>
          <w:u w:val="single"/>
        </w:rPr>
      </w:pPr>
      <w:r w:rsidRPr="00DB1AEE">
        <w:rPr>
          <w:u w:val="single"/>
        </w:rPr>
        <w:t>a. Whole-building pressurization testing shall be conducted in accordance with ASTM E3158, ASTM E779 or ASTM E1827. Air leakage shall be measured following a multi-point regression method and then averaged from depressurization and pressurization tests.</w:t>
      </w:r>
    </w:p>
    <w:p w14:paraId="7655E0D8" w14:textId="77777777" w:rsidR="00DB1AEE" w:rsidRPr="00DB1AEE" w:rsidRDefault="00DB1AEE" w:rsidP="00DB1AEE">
      <w:pPr>
        <w:suppressAutoHyphens/>
        <w:spacing w:before="60" w:after="120" w:line="251" w:lineRule="exact"/>
        <w:ind w:left="720"/>
        <w:jc w:val="left"/>
        <w:rPr>
          <w:u w:val="single"/>
        </w:rPr>
      </w:pPr>
      <w:r w:rsidRPr="00DB1AEE">
        <w:rPr>
          <w:u w:val="single"/>
        </w:rPr>
        <w:t xml:space="preserve">For buildings greater than 50,000 square feet (4,645 m2), portions of the building shall be permitted to be tested following the procedures for a guarded test in ASTM E3158 and the measured air leakage shall be area-weighted by the surface areas of the building thermal envelope in each portion. The weighted average tested air leakage shall not be greater than the whole building leakage limit. The following portions of the building shall be tested:  </w:t>
      </w:r>
    </w:p>
    <w:p w14:paraId="579FA50B" w14:textId="77777777" w:rsidR="00DB1AEE" w:rsidRPr="00DB1AEE" w:rsidRDefault="00DB1AEE" w:rsidP="00DB1AEE">
      <w:pPr>
        <w:suppressAutoHyphens/>
        <w:spacing w:before="60" w:after="120" w:line="251" w:lineRule="exact"/>
        <w:ind w:left="1584" w:hanging="288"/>
        <w:jc w:val="left"/>
        <w:rPr>
          <w:u w:val="single"/>
        </w:rPr>
      </w:pPr>
      <w:r w:rsidRPr="00DB1AEE">
        <w:rPr>
          <w:u w:val="single"/>
        </w:rPr>
        <w:t>1.1</w:t>
      </w:r>
      <w:r w:rsidRPr="00DB1AEE">
        <w:rPr>
          <w:u w:val="single"/>
        </w:rPr>
        <w:tab/>
        <w:t xml:space="preserve">The entire building thermal envelope area of stories that have any conditioned spaces directly under a roof.  </w:t>
      </w:r>
    </w:p>
    <w:p w14:paraId="228B8A76" w14:textId="77777777" w:rsidR="00DB1AEE" w:rsidRPr="00DB1AEE" w:rsidRDefault="00DB1AEE" w:rsidP="00DB1AEE">
      <w:pPr>
        <w:suppressAutoHyphens/>
        <w:spacing w:before="60" w:after="120" w:line="251" w:lineRule="exact"/>
        <w:ind w:left="1584" w:hanging="288"/>
        <w:jc w:val="left"/>
        <w:rPr>
          <w:u w:val="single"/>
        </w:rPr>
      </w:pPr>
      <w:r w:rsidRPr="00DB1AEE">
        <w:rPr>
          <w:u w:val="single"/>
        </w:rPr>
        <w:t>1.2</w:t>
      </w:r>
      <w:r w:rsidRPr="00DB1AEE">
        <w:rPr>
          <w:u w:val="single"/>
        </w:rPr>
        <w:tab/>
        <w:t xml:space="preserve">The entire building thermal envelope area of stories that have a building entrance, have a floor over unconditioned space, have a loading dock, or that are below grade. </w:t>
      </w:r>
    </w:p>
    <w:p w14:paraId="5E4BA72F" w14:textId="77777777" w:rsidR="00DB1AEE" w:rsidRPr="00DB1AEE" w:rsidRDefault="00DB1AEE" w:rsidP="00DB1AEE">
      <w:pPr>
        <w:suppressAutoHyphens/>
        <w:spacing w:before="60" w:after="120" w:line="251" w:lineRule="exact"/>
        <w:ind w:left="1584" w:hanging="288"/>
        <w:jc w:val="left"/>
        <w:rPr>
          <w:u w:val="single"/>
        </w:rPr>
      </w:pPr>
      <w:r w:rsidRPr="00DB1AEE">
        <w:rPr>
          <w:u w:val="single"/>
        </w:rPr>
        <w:t>1.3</w:t>
      </w:r>
      <w:r w:rsidRPr="00DB1AEE">
        <w:rPr>
          <w:u w:val="single"/>
        </w:rPr>
        <w:tab/>
        <w:t xml:space="preserve">Representative above-grade portions of the building totaling not less than 25 percent of the wall area enclosing the remaining conditioned space.  </w:t>
      </w:r>
    </w:p>
    <w:p w14:paraId="17599982" w14:textId="77777777" w:rsidR="00DB1AEE" w:rsidRPr="00DB1AEE" w:rsidRDefault="00DB1AEE" w:rsidP="00DB1AEE">
      <w:pPr>
        <w:suppressAutoHyphens/>
        <w:spacing w:before="60" w:after="120" w:line="251" w:lineRule="exact"/>
        <w:ind w:left="720"/>
        <w:jc w:val="left"/>
        <w:rPr>
          <w:b/>
          <w:bCs/>
          <w:u w:val="single"/>
        </w:rPr>
      </w:pPr>
      <w:r w:rsidRPr="00DB1AEE">
        <w:rPr>
          <w:b/>
          <w:bCs/>
          <w:u w:val="single"/>
        </w:rPr>
        <w:t>Exception to 5.4.3.1.4(a)</w:t>
      </w:r>
    </w:p>
    <w:p w14:paraId="6362C520" w14:textId="77777777" w:rsidR="00DB1AEE" w:rsidRPr="00DB1AEE" w:rsidRDefault="00DB1AEE" w:rsidP="00DB1AEE">
      <w:pPr>
        <w:suppressAutoHyphens/>
        <w:spacing w:before="60" w:after="120" w:line="251" w:lineRule="exact"/>
        <w:ind w:left="1008" w:hanging="288"/>
        <w:jc w:val="left"/>
        <w:rPr>
          <w:u w:val="single"/>
        </w:rPr>
      </w:pPr>
      <w:r w:rsidRPr="00DB1AEE">
        <w:rPr>
          <w:u w:val="single"/>
        </w:rPr>
        <w:t xml:space="preserve"> Hospital, Museums and other occupancies approved by the commissioner may be permitted to only perform pressurization test to comply with the requirements of this section.   </w:t>
      </w:r>
    </w:p>
    <w:p w14:paraId="5F313F9B" w14:textId="77777777" w:rsidR="00DB1AEE" w:rsidRPr="00DB1AEE" w:rsidRDefault="00DB1AEE" w:rsidP="00DB1AEE">
      <w:pPr>
        <w:suppressAutoHyphens/>
        <w:spacing w:before="60" w:after="120" w:line="251" w:lineRule="exact"/>
        <w:ind w:left="1008" w:hanging="288"/>
        <w:jc w:val="left"/>
        <w:rPr>
          <w:u w:val="single"/>
        </w:rPr>
      </w:pPr>
      <w:r w:rsidRPr="00DB1AEE">
        <w:rPr>
          <w:u w:val="single"/>
        </w:rPr>
        <w:t>b. Where a building contains both conditioned space and semiheated space, compliance shall be shown using one of the following as applicable:</w:t>
      </w:r>
    </w:p>
    <w:p w14:paraId="7F61F51F" w14:textId="77777777" w:rsidR="00DB1AEE" w:rsidRPr="00DB1AEE" w:rsidRDefault="00DB1AEE" w:rsidP="00DB1AEE">
      <w:pPr>
        <w:suppressAutoHyphens/>
        <w:spacing w:before="60" w:after="120" w:line="251" w:lineRule="exact"/>
        <w:ind w:left="1728" w:hanging="288"/>
        <w:jc w:val="left"/>
        <w:rPr>
          <w:u w:val="single"/>
        </w:rPr>
      </w:pPr>
      <w:r w:rsidRPr="00DB1AEE">
        <w:rPr>
          <w:u w:val="single"/>
        </w:rPr>
        <w:t>1. Separately for the conditioned space and for the semiheated space, with the air leakage rate for the conditioned space normalized by the exterior building envelope area of the conditioned space and the air leakage rate for the semiheated space normalized by the semiexterior building envelope area of the semiheated space</w:t>
      </w:r>
    </w:p>
    <w:p w14:paraId="6C05A1F7" w14:textId="77777777" w:rsidR="00DB1AEE" w:rsidRPr="00DB1AEE" w:rsidRDefault="00DB1AEE" w:rsidP="00DB1AEE">
      <w:pPr>
        <w:suppressAutoHyphens/>
        <w:spacing w:before="60" w:after="120" w:line="251" w:lineRule="exact"/>
        <w:ind w:left="1728" w:hanging="288"/>
        <w:jc w:val="left"/>
        <w:rPr>
          <w:u w:val="single"/>
        </w:rPr>
      </w:pPr>
      <w:r w:rsidRPr="00DB1AEE">
        <w:rPr>
          <w:u w:val="single"/>
        </w:rPr>
        <w:t>2. For the conditioned space and for the semiheated space together, with the air leakage rate for the overall space normalized by the sum of the exterior building envelope area and the semiexterior building envelope area minus the semiexterior building envelope area that separates the conditioned space from the semiheated space</w:t>
      </w:r>
    </w:p>
    <w:p w14:paraId="2F237CBD" w14:textId="77777777" w:rsidR="00DB1AEE" w:rsidRPr="00DB1AEE" w:rsidRDefault="00DB1AEE" w:rsidP="00DB1AEE">
      <w:pPr>
        <w:suppressAutoHyphens/>
        <w:spacing w:before="60" w:after="120" w:line="251" w:lineRule="exact"/>
        <w:ind w:left="720"/>
        <w:jc w:val="left"/>
        <w:rPr>
          <w:u w:val="single"/>
        </w:rPr>
      </w:pPr>
      <w:r w:rsidRPr="00DB1AEE">
        <w:rPr>
          <w:u w:val="single"/>
        </w:rPr>
        <w:t>c. Reporting shall be in compliance with Section 4.2.5.1.2.</w:t>
      </w:r>
    </w:p>
    <w:p w14:paraId="7F7529CF" w14:textId="77777777" w:rsidR="00DB1AEE" w:rsidRPr="00DB1AEE" w:rsidRDefault="00DB1AEE" w:rsidP="00DB1AEE">
      <w:pPr>
        <w:widowControl w:val="0"/>
        <w:suppressAutoHyphens/>
        <w:spacing w:before="130" w:after="130"/>
        <w:jc w:val="left"/>
        <w:rPr>
          <w:b/>
          <w:bCs/>
          <w:u w:val="single"/>
        </w:rPr>
      </w:pPr>
      <w:r w:rsidRPr="00DB1AEE">
        <w:rPr>
          <w:b/>
          <w:bCs/>
          <w:u w:val="single"/>
        </w:rPr>
        <w:t>Section 5.5.3</w:t>
      </w:r>
      <w:r w:rsidRPr="00DB1AEE">
        <w:rPr>
          <w:b/>
          <w:bCs/>
          <w:u w:val="single"/>
        </w:rPr>
        <w:tab/>
        <w:t>Opaque Elements.</w:t>
      </w:r>
    </w:p>
    <w:p w14:paraId="4CD1F185" w14:textId="77777777" w:rsidR="00DB1AEE" w:rsidRPr="00DB1AEE" w:rsidRDefault="00DB1AEE" w:rsidP="00DB1AEE">
      <w:pPr>
        <w:widowControl w:val="0"/>
        <w:suppressAutoHyphens/>
        <w:spacing w:before="130" w:after="130"/>
        <w:jc w:val="left"/>
        <w:rPr>
          <w:u w:val="single"/>
        </w:rPr>
      </w:pPr>
      <w:r w:rsidRPr="00DB1AEE">
        <w:rPr>
          <w:u w:val="single"/>
        </w:rPr>
        <w:t>Section 5.5.3 - Delete Section 5.5.3 in its entirety, and replace with a new Section 5.5.3 to read as follows:</w:t>
      </w:r>
    </w:p>
    <w:p w14:paraId="2D2B56F5" w14:textId="77777777" w:rsidR="00DB1AEE" w:rsidRPr="00DB1AEE" w:rsidRDefault="00DB1AEE" w:rsidP="00DB1AEE">
      <w:pPr>
        <w:tabs>
          <w:tab w:val="left" w:pos="2297"/>
        </w:tabs>
        <w:suppressAutoHyphens/>
        <w:spacing w:before="57"/>
        <w:ind w:left="360"/>
        <w:jc w:val="left"/>
        <w:rPr>
          <w:b/>
          <w:szCs w:val="24"/>
          <w:u w:val="single"/>
        </w:rPr>
      </w:pPr>
      <w:r w:rsidRPr="00DB1AEE">
        <w:rPr>
          <w:b/>
          <w:bCs/>
          <w:spacing w:val="-7"/>
          <w:szCs w:val="24"/>
        </w:rPr>
        <w:t>5</w:t>
      </w:r>
      <w:r w:rsidRPr="00DB1AEE">
        <w:rPr>
          <w:b/>
          <w:bCs/>
          <w:spacing w:val="-7"/>
          <w:szCs w:val="24"/>
          <w:u w:val="single"/>
        </w:rPr>
        <w:t xml:space="preserve">.5.3 </w:t>
      </w:r>
      <w:r w:rsidRPr="00DB1AEE">
        <w:rPr>
          <w:b/>
          <w:szCs w:val="24"/>
          <w:u w:val="single"/>
        </w:rPr>
        <w:t xml:space="preserve">Opaque Elements. </w:t>
      </w:r>
    </w:p>
    <w:p w14:paraId="72B3AE19" w14:textId="77777777" w:rsidR="00DB1AEE" w:rsidRPr="00DB1AEE" w:rsidRDefault="00DB1AEE" w:rsidP="00DB1AEE">
      <w:pPr>
        <w:suppressAutoHyphens/>
        <w:spacing w:before="56" w:after="120" w:line="238" w:lineRule="auto"/>
        <w:ind w:left="360"/>
        <w:rPr>
          <w:szCs w:val="24"/>
          <w:u w:val="single"/>
        </w:rPr>
      </w:pPr>
      <w:r w:rsidRPr="00DB1AEE">
        <w:rPr>
          <w:szCs w:val="24"/>
          <w:u w:val="single"/>
        </w:rPr>
        <w:t xml:space="preserve">For all </w:t>
      </w:r>
      <w:r w:rsidRPr="00DB1AEE">
        <w:rPr>
          <w:i/>
          <w:szCs w:val="24"/>
          <w:u w:val="single"/>
        </w:rPr>
        <w:t>opaque</w:t>
      </w:r>
      <w:r w:rsidRPr="00DB1AEE">
        <w:rPr>
          <w:strike/>
          <w:szCs w:val="24"/>
          <w:u w:val="single"/>
        </w:rPr>
        <w:t>,</w:t>
      </w:r>
      <w:r w:rsidRPr="00DB1AEE">
        <w:rPr>
          <w:szCs w:val="24"/>
          <w:u w:val="single"/>
        </w:rPr>
        <w:t xml:space="preserve"> elements compliance with Tables 5.5</w:t>
      </w:r>
      <w:r w:rsidRPr="00DB1AEE">
        <w:rPr>
          <w:strike/>
          <w:szCs w:val="24"/>
          <w:u w:val="single"/>
        </w:rPr>
        <w:t>-</w:t>
      </w:r>
      <w:r w:rsidRPr="00DB1AEE">
        <w:rPr>
          <w:szCs w:val="24"/>
          <w:u w:val="single"/>
        </w:rPr>
        <w:t>4 and  5.5-5 for each class of construction as described in Normative Appendix A, Sections A2 through A8 shall be demonstrated by one of the following two methods:</w:t>
      </w:r>
    </w:p>
    <w:p w14:paraId="722ADEA7" w14:textId="77777777" w:rsidR="00DB1AEE" w:rsidRPr="00DB1AEE" w:rsidRDefault="00DB1AEE" w:rsidP="00DB1AEE">
      <w:pPr>
        <w:tabs>
          <w:tab w:val="left" w:pos="3637"/>
        </w:tabs>
        <w:suppressAutoHyphens/>
        <w:spacing w:before="120" w:line="237" w:lineRule="auto"/>
        <w:ind w:left="648" w:right="417" w:hanging="288"/>
        <w:rPr>
          <w:szCs w:val="24"/>
          <w:u w:val="single"/>
        </w:rPr>
      </w:pPr>
      <w:r w:rsidRPr="00DB1AEE">
        <w:rPr>
          <w:spacing w:val="-8"/>
          <w:szCs w:val="24"/>
          <w:u w:val="single"/>
        </w:rPr>
        <w:t>a.</w:t>
      </w:r>
      <w:r w:rsidRPr="00DB1AEE">
        <w:rPr>
          <w:spacing w:val="-8"/>
          <w:szCs w:val="24"/>
          <w:u w:val="single"/>
        </w:rPr>
        <w:tab/>
        <w:t xml:space="preserve">Providing a </w:t>
      </w:r>
      <w:r w:rsidRPr="00DB1AEE">
        <w:rPr>
          <w:szCs w:val="24"/>
          <w:u w:val="single"/>
        </w:rPr>
        <w:t xml:space="preserve">minimum rated </w:t>
      </w:r>
      <w:r w:rsidRPr="00DB1AEE">
        <w:rPr>
          <w:i/>
          <w:szCs w:val="24"/>
          <w:u w:val="single"/>
        </w:rPr>
        <w:t xml:space="preserve">R-value </w:t>
      </w:r>
      <w:r w:rsidRPr="00DB1AEE">
        <w:rPr>
          <w:szCs w:val="24"/>
          <w:u w:val="single"/>
        </w:rPr>
        <w:t>of insulation added to the assembly equal to or greater than the insulation minimum R-value required of each insulation component.</w:t>
      </w:r>
    </w:p>
    <w:p w14:paraId="71ACAA52" w14:textId="77777777" w:rsidR="00DB1AEE" w:rsidRPr="00DB1AEE" w:rsidRDefault="00DB1AEE" w:rsidP="00DB1AEE">
      <w:pPr>
        <w:tabs>
          <w:tab w:val="left" w:pos="3636"/>
        </w:tabs>
        <w:suppressAutoHyphens/>
        <w:spacing w:before="1" w:line="237" w:lineRule="auto"/>
        <w:ind w:left="648" w:right="416" w:hanging="288"/>
        <w:rPr>
          <w:szCs w:val="24"/>
          <w:u w:val="single"/>
        </w:rPr>
      </w:pPr>
      <w:r w:rsidRPr="00DB1AEE">
        <w:rPr>
          <w:spacing w:val="-1"/>
          <w:szCs w:val="24"/>
          <w:u w:val="single"/>
        </w:rPr>
        <w:t>b.</w:t>
      </w:r>
      <w:r w:rsidRPr="00DB1AEE">
        <w:rPr>
          <w:spacing w:val="-1"/>
          <w:szCs w:val="24"/>
          <w:u w:val="single"/>
        </w:rPr>
        <w:tab/>
        <w:t>Providing insulation such that the m</w:t>
      </w:r>
      <w:r w:rsidRPr="00DB1AEE">
        <w:rPr>
          <w:szCs w:val="24"/>
          <w:u w:val="single"/>
        </w:rPr>
        <w:t>aximum</w:t>
      </w:r>
      <w:r w:rsidRPr="00DB1AEE">
        <w:rPr>
          <w:spacing w:val="-7"/>
          <w:szCs w:val="24"/>
          <w:u w:val="single"/>
        </w:rPr>
        <w:t xml:space="preserve"> </w:t>
      </w:r>
      <w:r w:rsidRPr="00DB1AEE">
        <w:rPr>
          <w:i/>
          <w:szCs w:val="24"/>
          <w:u w:val="single"/>
        </w:rPr>
        <w:t>U-factor</w:t>
      </w:r>
      <w:r w:rsidRPr="00DB1AEE">
        <w:rPr>
          <w:szCs w:val="24"/>
          <w:u w:val="single"/>
        </w:rPr>
        <w:t>,</w:t>
      </w:r>
      <w:r w:rsidRPr="00DB1AEE">
        <w:rPr>
          <w:spacing w:val="-6"/>
          <w:szCs w:val="24"/>
          <w:u w:val="single"/>
        </w:rPr>
        <w:t xml:space="preserve"> </w:t>
      </w:r>
      <w:r w:rsidRPr="00DB1AEE">
        <w:rPr>
          <w:i/>
          <w:szCs w:val="24"/>
          <w:u w:val="single"/>
        </w:rPr>
        <w:t>C-factor</w:t>
      </w:r>
      <w:r w:rsidRPr="00DB1AEE">
        <w:rPr>
          <w:szCs w:val="24"/>
          <w:u w:val="single"/>
        </w:rPr>
        <w:t>,</w:t>
      </w:r>
      <w:r w:rsidRPr="00DB1AEE">
        <w:rPr>
          <w:spacing w:val="-6"/>
          <w:szCs w:val="24"/>
          <w:u w:val="single"/>
        </w:rPr>
        <w:t xml:space="preserve"> </w:t>
      </w:r>
      <w:r w:rsidRPr="00DB1AEE">
        <w:rPr>
          <w:szCs w:val="24"/>
          <w:u w:val="single"/>
        </w:rPr>
        <w:t>or</w:t>
      </w:r>
      <w:r w:rsidRPr="00DB1AEE">
        <w:rPr>
          <w:spacing w:val="-6"/>
          <w:szCs w:val="24"/>
          <w:u w:val="single"/>
        </w:rPr>
        <w:t xml:space="preserve"> </w:t>
      </w:r>
      <w:r w:rsidRPr="00DB1AEE">
        <w:rPr>
          <w:i/>
          <w:szCs w:val="24"/>
          <w:u w:val="single"/>
        </w:rPr>
        <w:t>F-factor</w:t>
      </w:r>
      <w:r w:rsidRPr="00DB1AEE">
        <w:rPr>
          <w:i/>
          <w:spacing w:val="-7"/>
          <w:szCs w:val="24"/>
          <w:u w:val="single"/>
        </w:rPr>
        <w:t xml:space="preserve"> </w:t>
      </w:r>
      <w:r w:rsidRPr="00DB1AEE">
        <w:rPr>
          <w:szCs w:val="24"/>
          <w:u w:val="single"/>
        </w:rPr>
        <w:t>for</w:t>
      </w:r>
      <w:r w:rsidRPr="00DB1AEE">
        <w:rPr>
          <w:spacing w:val="-6"/>
          <w:szCs w:val="24"/>
          <w:u w:val="single"/>
        </w:rPr>
        <w:t xml:space="preserve"> </w:t>
      </w:r>
      <w:r w:rsidRPr="00DB1AEE">
        <w:rPr>
          <w:szCs w:val="24"/>
          <w:u w:val="single"/>
        </w:rPr>
        <w:t>the</w:t>
      </w:r>
      <w:r w:rsidRPr="00DB1AEE">
        <w:rPr>
          <w:spacing w:val="-6"/>
          <w:szCs w:val="24"/>
          <w:u w:val="single"/>
        </w:rPr>
        <w:t xml:space="preserve"> </w:t>
      </w:r>
      <w:r w:rsidRPr="00DB1AEE">
        <w:rPr>
          <w:szCs w:val="24"/>
          <w:u w:val="single"/>
        </w:rPr>
        <w:t>entire</w:t>
      </w:r>
      <w:r w:rsidRPr="00DB1AEE">
        <w:rPr>
          <w:spacing w:val="-6"/>
          <w:szCs w:val="24"/>
          <w:u w:val="single"/>
        </w:rPr>
        <w:t xml:space="preserve"> </w:t>
      </w:r>
      <w:r w:rsidRPr="00DB1AEE">
        <w:rPr>
          <w:szCs w:val="24"/>
          <w:u w:val="single"/>
        </w:rPr>
        <w:t>assembly</w:t>
      </w:r>
      <w:r w:rsidRPr="00DB1AEE">
        <w:rPr>
          <w:spacing w:val="-6"/>
          <w:szCs w:val="24"/>
          <w:u w:val="single"/>
        </w:rPr>
        <w:t xml:space="preserve"> </w:t>
      </w:r>
      <w:r w:rsidRPr="00DB1AEE">
        <w:rPr>
          <w:szCs w:val="24"/>
          <w:u w:val="single"/>
        </w:rPr>
        <w:t>is not exceeded as determined by one of the following:</w:t>
      </w:r>
    </w:p>
    <w:p w14:paraId="080EFD29" w14:textId="77777777" w:rsidR="00DB1AEE" w:rsidRPr="00DB1AEE" w:rsidRDefault="00DB1AEE" w:rsidP="00DB1AEE">
      <w:pPr>
        <w:tabs>
          <w:tab w:val="left" w:pos="3636"/>
        </w:tabs>
        <w:suppressAutoHyphens/>
        <w:spacing w:before="1" w:line="237" w:lineRule="auto"/>
        <w:ind w:left="648" w:right="416" w:hanging="288"/>
        <w:rPr>
          <w:spacing w:val="-1"/>
          <w:szCs w:val="24"/>
          <w:u w:val="single"/>
        </w:rPr>
      </w:pPr>
      <w:r w:rsidRPr="00DB1AEE">
        <w:rPr>
          <w:spacing w:val="-1"/>
          <w:szCs w:val="24"/>
          <w:u w:val="single"/>
        </w:rPr>
        <w:t>1. Precalculated values</w:t>
      </w:r>
      <w:r w:rsidRPr="00DB1AEE">
        <w:rPr>
          <w:szCs w:val="24"/>
          <w:u w:val="single"/>
        </w:rPr>
        <w:t xml:space="preserve"> </w:t>
      </w:r>
      <w:r w:rsidRPr="00DB1AEE">
        <w:rPr>
          <w:spacing w:val="-1"/>
          <w:szCs w:val="24"/>
          <w:u w:val="single"/>
        </w:rPr>
        <w:t>in accordance with Normative Appendix A, Section A1.1.</w:t>
      </w:r>
    </w:p>
    <w:p w14:paraId="4212BAA0" w14:textId="77777777" w:rsidR="00DB1AEE" w:rsidRPr="00DB1AEE" w:rsidRDefault="00DB1AEE" w:rsidP="00DB1AEE">
      <w:pPr>
        <w:tabs>
          <w:tab w:val="left" w:pos="3636"/>
        </w:tabs>
        <w:suppressAutoHyphens/>
        <w:spacing w:before="1" w:line="237" w:lineRule="auto"/>
        <w:ind w:left="648" w:right="416" w:hanging="288"/>
        <w:rPr>
          <w:spacing w:val="-1"/>
          <w:szCs w:val="24"/>
          <w:u w:val="single"/>
        </w:rPr>
      </w:pPr>
      <w:r w:rsidRPr="00DB1AEE">
        <w:rPr>
          <w:szCs w:val="24"/>
          <w:u w:val="single"/>
        </w:rPr>
        <w:t>2. Applicant-determined values in accordance with Normative Appendix A, Section A1.2 where such values are approved by the building official.</w:t>
      </w:r>
    </w:p>
    <w:p w14:paraId="638E76D2" w14:textId="77777777" w:rsidR="00DB1AEE" w:rsidRPr="00DB1AEE" w:rsidRDefault="00DB1AEE" w:rsidP="00DB1AEE">
      <w:pPr>
        <w:suppressAutoHyphens/>
        <w:spacing w:before="48"/>
        <w:ind w:left="382"/>
        <w:jc w:val="left"/>
        <w:rPr>
          <w:b/>
          <w:szCs w:val="24"/>
          <w:u w:val="single"/>
        </w:rPr>
      </w:pPr>
      <w:r w:rsidRPr="00DB1AEE">
        <w:rPr>
          <w:b/>
          <w:szCs w:val="24"/>
          <w:u w:val="single"/>
        </w:rPr>
        <w:t>Exceptions to 5.5.3</w:t>
      </w:r>
    </w:p>
    <w:p w14:paraId="6B71494D" w14:textId="77777777" w:rsidR="00DB1AEE" w:rsidRPr="00DB1AEE" w:rsidRDefault="00DB1AEE" w:rsidP="00DB1AEE">
      <w:pPr>
        <w:tabs>
          <w:tab w:val="left" w:pos="3924"/>
        </w:tabs>
        <w:suppressAutoHyphens/>
        <w:spacing w:before="131" w:line="254" w:lineRule="auto"/>
        <w:ind w:left="937" w:right="417" w:hanging="288"/>
        <w:rPr>
          <w:szCs w:val="24"/>
          <w:u w:val="single"/>
        </w:rPr>
      </w:pPr>
      <w:r w:rsidRPr="00DB1AEE">
        <w:rPr>
          <w:spacing w:val="-12"/>
          <w:szCs w:val="24"/>
          <w:u w:val="single"/>
        </w:rPr>
        <w:t>1.</w:t>
      </w:r>
      <w:r w:rsidRPr="00DB1AEE">
        <w:rPr>
          <w:spacing w:val="-12"/>
          <w:szCs w:val="24"/>
          <w:u w:val="single"/>
        </w:rPr>
        <w:tab/>
      </w:r>
      <w:r w:rsidRPr="00DB1AEE">
        <w:rPr>
          <w:szCs w:val="24"/>
          <w:u w:val="single"/>
        </w:rPr>
        <w:t>For opaque assemblies not complying with the classes of construction as described in Normative Appendix A, Sections A2 through A8, compliance with the maximum U-factors for the “attic and other” or “wood frame and other” opaque element conditions in Tables 5.5</w:t>
      </w:r>
      <w:r w:rsidRPr="00DB1AEE">
        <w:rPr>
          <w:strike/>
          <w:szCs w:val="24"/>
          <w:u w:val="single"/>
        </w:rPr>
        <w:t>-</w:t>
      </w:r>
      <w:r w:rsidRPr="00DB1AEE">
        <w:rPr>
          <w:szCs w:val="24"/>
          <w:u w:val="single"/>
        </w:rPr>
        <w:t xml:space="preserve">4 and Table 5.5-5 shall be demonstrated by testing or calculations in accordance with </w:t>
      </w:r>
      <w:hyperlink w:anchor="_bookmark358" w:history="1">
        <w:r w:rsidRPr="00DB1AEE">
          <w:rPr>
            <w:szCs w:val="24"/>
            <w:u w:val="single"/>
          </w:rPr>
          <w:t>Normative Appendix</w:t>
        </w:r>
        <w:r w:rsidRPr="00DB1AEE">
          <w:rPr>
            <w:spacing w:val="-23"/>
            <w:szCs w:val="24"/>
            <w:u w:val="single"/>
          </w:rPr>
          <w:t xml:space="preserve"> </w:t>
        </w:r>
        <w:r w:rsidRPr="00DB1AEE">
          <w:rPr>
            <w:szCs w:val="24"/>
            <w:u w:val="single"/>
          </w:rPr>
          <w:t>A</w:t>
        </w:r>
      </w:hyperlink>
      <w:r w:rsidRPr="00DB1AEE">
        <w:rPr>
          <w:szCs w:val="24"/>
          <w:u w:val="single"/>
        </w:rPr>
        <w:t>, Section A9.1 where approved by the building official.</w:t>
      </w:r>
    </w:p>
    <w:p w14:paraId="74160834" w14:textId="77777777" w:rsidR="00DB1AEE" w:rsidRPr="00DB1AEE" w:rsidRDefault="00DB1AEE" w:rsidP="00DB1AEE">
      <w:pPr>
        <w:tabs>
          <w:tab w:val="left" w:pos="3924"/>
        </w:tabs>
        <w:suppressAutoHyphens/>
        <w:spacing w:before="22" w:line="254" w:lineRule="auto"/>
        <w:ind w:left="937" w:right="417" w:hanging="288"/>
        <w:rPr>
          <w:szCs w:val="24"/>
          <w:u w:val="single"/>
        </w:rPr>
      </w:pPr>
      <w:r w:rsidRPr="00DB1AEE">
        <w:rPr>
          <w:spacing w:val="-12"/>
          <w:szCs w:val="24"/>
          <w:u w:val="single"/>
        </w:rPr>
        <w:t>2.</w:t>
      </w:r>
      <w:r w:rsidRPr="00DB1AEE">
        <w:rPr>
          <w:spacing w:val="-12"/>
          <w:szCs w:val="24"/>
          <w:u w:val="single"/>
        </w:rPr>
        <w:tab/>
      </w:r>
      <w:r w:rsidRPr="00DB1AEE">
        <w:rPr>
          <w:szCs w:val="24"/>
          <w:u w:val="single"/>
        </w:rPr>
        <w:t>For</w:t>
      </w:r>
      <w:r w:rsidRPr="00DB1AEE">
        <w:rPr>
          <w:spacing w:val="-12"/>
          <w:szCs w:val="24"/>
          <w:u w:val="single"/>
        </w:rPr>
        <w:t xml:space="preserve"> </w:t>
      </w:r>
      <w:r w:rsidRPr="00DB1AEE">
        <w:rPr>
          <w:szCs w:val="24"/>
          <w:u w:val="single"/>
        </w:rPr>
        <w:t>multiple</w:t>
      </w:r>
      <w:r w:rsidRPr="00DB1AEE">
        <w:rPr>
          <w:spacing w:val="-11"/>
          <w:szCs w:val="24"/>
          <w:u w:val="single"/>
        </w:rPr>
        <w:t xml:space="preserve"> </w:t>
      </w:r>
      <w:r w:rsidRPr="00DB1AEE">
        <w:rPr>
          <w:szCs w:val="24"/>
          <w:u w:val="single"/>
        </w:rPr>
        <w:t>assemblies</w:t>
      </w:r>
      <w:r w:rsidRPr="00DB1AEE">
        <w:rPr>
          <w:spacing w:val="-12"/>
          <w:szCs w:val="24"/>
          <w:u w:val="single"/>
        </w:rPr>
        <w:t xml:space="preserve"> </w:t>
      </w:r>
      <w:r w:rsidRPr="00DB1AEE">
        <w:rPr>
          <w:szCs w:val="24"/>
          <w:u w:val="single"/>
        </w:rPr>
        <w:t>within</w:t>
      </w:r>
      <w:r w:rsidRPr="00DB1AEE">
        <w:rPr>
          <w:spacing w:val="-11"/>
          <w:szCs w:val="24"/>
          <w:u w:val="single"/>
        </w:rPr>
        <w:t xml:space="preserve"> </w:t>
      </w:r>
      <w:r w:rsidRPr="00DB1AEE">
        <w:rPr>
          <w:szCs w:val="24"/>
          <w:u w:val="single"/>
        </w:rPr>
        <w:t>a</w:t>
      </w:r>
      <w:r w:rsidRPr="00DB1AEE">
        <w:rPr>
          <w:spacing w:val="-12"/>
          <w:szCs w:val="24"/>
          <w:u w:val="single"/>
        </w:rPr>
        <w:t xml:space="preserve"> </w:t>
      </w:r>
      <w:r w:rsidRPr="00DB1AEE">
        <w:rPr>
          <w:szCs w:val="24"/>
          <w:u w:val="single"/>
        </w:rPr>
        <w:t>single</w:t>
      </w:r>
      <w:r w:rsidRPr="00DB1AEE">
        <w:rPr>
          <w:spacing w:val="-11"/>
          <w:szCs w:val="24"/>
          <w:u w:val="single"/>
        </w:rPr>
        <w:t xml:space="preserve"> </w:t>
      </w:r>
      <w:r w:rsidRPr="00DB1AEE">
        <w:rPr>
          <w:i/>
          <w:szCs w:val="24"/>
          <w:u w:val="single"/>
        </w:rPr>
        <w:t>class</w:t>
      </w:r>
      <w:r w:rsidRPr="00DB1AEE">
        <w:rPr>
          <w:i/>
          <w:spacing w:val="-11"/>
          <w:szCs w:val="24"/>
          <w:u w:val="single"/>
        </w:rPr>
        <w:t xml:space="preserve"> </w:t>
      </w:r>
      <w:r w:rsidRPr="00DB1AEE">
        <w:rPr>
          <w:i/>
          <w:szCs w:val="24"/>
          <w:u w:val="single"/>
        </w:rPr>
        <w:t>of</w:t>
      </w:r>
      <w:r w:rsidRPr="00DB1AEE">
        <w:rPr>
          <w:i/>
          <w:spacing w:val="-12"/>
          <w:szCs w:val="24"/>
          <w:u w:val="single"/>
        </w:rPr>
        <w:t xml:space="preserve"> </w:t>
      </w:r>
      <w:r w:rsidRPr="00DB1AEE">
        <w:rPr>
          <w:i/>
          <w:szCs w:val="24"/>
          <w:u w:val="single"/>
        </w:rPr>
        <w:t>construction</w:t>
      </w:r>
      <w:r w:rsidRPr="00DB1AEE">
        <w:rPr>
          <w:i/>
          <w:spacing w:val="-11"/>
          <w:szCs w:val="24"/>
          <w:u w:val="single"/>
        </w:rPr>
        <w:t xml:space="preserve"> </w:t>
      </w:r>
      <w:r w:rsidRPr="00DB1AEE">
        <w:rPr>
          <w:szCs w:val="24"/>
          <w:u w:val="single"/>
        </w:rPr>
        <w:t>for</w:t>
      </w:r>
      <w:r w:rsidRPr="00DB1AEE">
        <w:rPr>
          <w:spacing w:val="-12"/>
          <w:szCs w:val="24"/>
          <w:u w:val="single"/>
        </w:rPr>
        <w:t xml:space="preserve"> </w:t>
      </w:r>
      <w:r w:rsidRPr="00DB1AEE">
        <w:rPr>
          <w:szCs w:val="24"/>
          <w:u w:val="single"/>
        </w:rPr>
        <w:t>a</w:t>
      </w:r>
      <w:r w:rsidRPr="00DB1AEE">
        <w:rPr>
          <w:spacing w:val="-11"/>
          <w:szCs w:val="24"/>
          <w:u w:val="single"/>
        </w:rPr>
        <w:t xml:space="preserve"> </w:t>
      </w:r>
      <w:r w:rsidRPr="00DB1AEE">
        <w:rPr>
          <w:szCs w:val="24"/>
          <w:u w:val="single"/>
        </w:rPr>
        <w:t>single</w:t>
      </w:r>
      <w:r w:rsidRPr="00DB1AEE">
        <w:rPr>
          <w:spacing w:val="-12"/>
          <w:szCs w:val="24"/>
          <w:u w:val="single"/>
        </w:rPr>
        <w:t xml:space="preserve"> </w:t>
      </w:r>
      <w:r w:rsidRPr="00DB1AEE">
        <w:rPr>
          <w:i/>
          <w:szCs w:val="24"/>
          <w:u w:val="single"/>
        </w:rPr>
        <w:t>space</w:t>
      </w:r>
      <w:r w:rsidRPr="00DB1AEE">
        <w:rPr>
          <w:i/>
          <w:spacing w:val="-11"/>
          <w:szCs w:val="24"/>
          <w:u w:val="single"/>
        </w:rPr>
        <w:t xml:space="preserve"> </w:t>
      </w:r>
      <w:r w:rsidRPr="00DB1AEE">
        <w:rPr>
          <w:i/>
          <w:szCs w:val="24"/>
          <w:u w:val="single"/>
        </w:rPr>
        <w:t>conditioning category</w:t>
      </w:r>
      <w:r w:rsidRPr="00DB1AEE">
        <w:rPr>
          <w:szCs w:val="24"/>
          <w:u w:val="single"/>
        </w:rPr>
        <w:t>,</w:t>
      </w:r>
      <w:r w:rsidRPr="00DB1AEE">
        <w:rPr>
          <w:spacing w:val="-11"/>
          <w:szCs w:val="24"/>
          <w:u w:val="single"/>
        </w:rPr>
        <w:t xml:space="preserve"> </w:t>
      </w:r>
      <w:r w:rsidRPr="00DB1AEE">
        <w:rPr>
          <w:szCs w:val="24"/>
          <w:u w:val="single"/>
        </w:rPr>
        <w:t>compliance</w:t>
      </w:r>
      <w:r w:rsidRPr="00DB1AEE">
        <w:rPr>
          <w:spacing w:val="-10"/>
          <w:szCs w:val="24"/>
          <w:u w:val="single"/>
        </w:rPr>
        <w:t xml:space="preserve"> </w:t>
      </w:r>
      <w:r w:rsidRPr="00DB1AEE">
        <w:rPr>
          <w:szCs w:val="24"/>
          <w:u w:val="single"/>
        </w:rPr>
        <w:t>shall</w:t>
      </w:r>
      <w:r w:rsidRPr="00DB1AEE">
        <w:rPr>
          <w:spacing w:val="-10"/>
          <w:szCs w:val="24"/>
          <w:u w:val="single"/>
        </w:rPr>
        <w:t xml:space="preserve"> </w:t>
      </w:r>
      <w:r w:rsidRPr="00DB1AEE">
        <w:rPr>
          <w:szCs w:val="24"/>
          <w:u w:val="single"/>
        </w:rPr>
        <w:t>be</w:t>
      </w:r>
      <w:r w:rsidRPr="00DB1AEE">
        <w:rPr>
          <w:spacing w:val="-10"/>
          <w:szCs w:val="24"/>
          <w:u w:val="single"/>
        </w:rPr>
        <w:t xml:space="preserve"> </w:t>
      </w:r>
      <w:r w:rsidRPr="00DB1AEE">
        <w:rPr>
          <w:szCs w:val="24"/>
          <w:u w:val="single"/>
        </w:rPr>
        <w:t>shown</w:t>
      </w:r>
      <w:r w:rsidRPr="00DB1AEE">
        <w:rPr>
          <w:spacing w:val="-10"/>
          <w:szCs w:val="24"/>
          <w:u w:val="single"/>
        </w:rPr>
        <w:t xml:space="preserve"> </w:t>
      </w:r>
      <w:r w:rsidRPr="00DB1AEE">
        <w:rPr>
          <w:szCs w:val="24"/>
          <w:u w:val="single"/>
        </w:rPr>
        <w:t>for</w:t>
      </w:r>
      <w:r w:rsidRPr="00DB1AEE">
        <w:rPr>
          <w:spacing w:val="-10"/>
          <w:szCs w:val="24"/>
          <w:u w:val="single"/>
        </w:rPr>
        <w:t xml:space="preserve"> </w:t>
      </w:r>
      <w:r w:rsidRPr="00DB1AEE">
        <w:rPr>
          <w:szCs w:val="24"/>
          <w:u w:val="single"/>
        </w:rPr>
        <w:t>either</w:t>
      </w:r>
      <w:r w:rsidRPr="00DB1AEE">
        <w:rPr>
          <w:spacing w:val="-10"/>
          <w:szCs w:val="24"/>
          <w:u w:val="single"/>
        </w:rPr>
        <w:t xml:space="preserve"> </w:t>
      </w:r>
      <w:r w:rsidRPr="00DB1AEE">
        <w:rPr>
          <w:szCs w:val="24"/>
          <w:u w:val="single"/>
        </w:rPr>
        <w:t>(a)</w:t>
      </w:r>
      <w:r w:rsidRPr="00DB1AEE">
        <w:rPr>
          <w:spacing w:val="-10"/>
          <w:szCs w:val="24"/>
          <w:u w:val="single"/>
        </w:rPr>
        <w:t xml:space="preserve"> </w:t>
      </w:r>
      <w:r w:rsidRPr="00DB1AEE">
        <w:rPr>
          <w:szCs w:val="24"/>
          <w:u w:val="single"/>
        </w:rPr>
        <w:t>the</w:t>
      </w:r>
      <w:r w:rsidRPr="00DB1AEE">
        <w:rPr>
          <w:spacing w:val="-10"/>
          <w:szCs w:val="24"/>
          <w:u w:val="single"/>
        </w:rPr>
        <w:t xml:space="preserve"> </w:t>
      </w:r>
      <w:r w:rsidRPr="00DB1AEE">
        <w:rPr>
          <w:szCs w:val="24"/>
          <w:u w:val="single"/>
        </w:rPr>
        <w:t>most</w:t>
      </w:r>
      <w:r w:rsidRPr="00DB1AEE">
        <w:rPr>
          <w:spacing w:val="-10"/>
          <w:szCs w:val="24"/>
          <w:u w:val="single"/>
        </w:rPr>
        <w:t xml:space="preserve"> </w:t>
      </w:r>
      <w:r w:rsidRPr="00DB1AEE">
        <w:rPr>
          <w:szCs w:val="24"/>
          <w:u w:val="single"/>
        </w:rPr>
        <w:t>restrictive</w:t>
      </w:r>
      <w:r w:rsidRPr="00DB1AEE">
        <w:rPr>
          <w:spacing w:val="-11"/>
          <w:szCs w:val="24"/>
          <w:u w:val="single"/>
        </w:rPr>
        <w:t xml:space="preserve"> </w:t>
      </w:r>
      <w:r w:rsidRPr="00DB1AEE">
        <w:rPr>
          <w:szCs w:val="24"/>
          <w:u w:val="single"/>
        </w:rPr>
        <w:t>requirement</w:t>
      </w:r>
      <w:r w:rsidRPr="00DB1AEE">
        <w:rPr>
          <w:spacing w:val="-10"/>
          <w:szCs w:val="24"/>
          <w:u w:val="single"/>
        </w:rPr>
        <w:t xml:space="preserve"> </w:t>
      </w:r>
      <w:r w:rsidRPr="00DB1AEE">
        <w:rPr>
          <w:szCs w:val="24"/>
          <w:u w:val="single"/>
        </w:rPr>
        <w:t>or</w:t>
      </w:r>
      <w:r w:rsidRPr="00DB1AEE">
        <w:rPr>
          <w:spacing w:val="-10"/>
          <w:szCs w:val="24"/>
          <w:u w:val="single"/>
        </w:rPr>
        <w:t xml:space="preserve"> </w:t>
      </w:r>
      <w:r w:rsidRPr="00DB1AEE">
        <w:rPr>
          <w:szCs w:val="24"/>
          <w:u w:val="single"/>
        </w:rPr>
        <w:t>(b)</w:t>
      </w:r>
      <w:r w:rsidRPr="00DB1AEE">
        <w:rPr>
          <w:spacing w:val="-10"/>
          <w:szCs w:val="24"/>
          <w:u w:val="single"/>
        </w:rPr>
        <w:t xml:space="preserve"> </w:t>
      </w:r>
      <w:r w:rsidRPr="00DB1AEE">
        <w:rPr>
          <w:szCs w:val="24"/>
          <w:u w:val="single"/>
        </w:rPr>
        <w:t xml:space="preserve">an area-weighted average </w:t>
      </w:r>
      <w:r w:rsidRPr="00DB1AEE">
        <w:rPr>
          <w:i/>
          <w:szCs w:val="24"/>
          <w:u w:val="single"/>
        </w:rPr>
        <w:t>U-factor</w:t>
      </w:r>
      <w:r w:rsidRPr="00DB1AEE">
        <w:rPr>
          <w:szCs w:val="24"/>
          <w:u w:val="single"/>
        </w:rPr>
        <w:t xml:space="preserve">, </w:t>
      </w:r>
      <w:r w:rsidRPr="00DB1AEE">
        <w:rPr>
          <w:i/>
          <w:szCs w:val="24"/>
          <w:u w:val="single"/>
        </w:rPr>
        <w:t>C-factor</w:t>
      </w:r>
      <w:r w:rsidRPr="00DB1AEE">
        <w:rPr>
          <w:szCs w:val="24"/>
          <w:u w:val="single"/>
        </w:rPr>
        <w:t>, or</w:t>
      </w:r>
      <w:r w:rsidRPr="00DB1AEE">
        <w:rPr>
          <w:spacing w:val="-15"/>
          <w:szCs w:val="24"/>
          <w:u w:val="single"/>
        </w:rPr>
        <w:t xml:space="preserve"> </w:t>
      </w:r>
      <w:r w:rsidRPr="00DB1AEE">
        <w:rPr>
          <w:i/>
          <w:szCs w:val="24"/>
          <w:u w:val="single"/>
        </w:rPr>
        <w:t>F-factor</w:t>
      </w:r>
      <w:r w:rsidRPr="00DB1AEE">
        <w:rPr>
          <w:szCs w:val="24"/>
          <w:u w:val="single"/>
        </w:rPr>
        <w:t>.</w:t>
      </w:r>
    </w:p>
    <w:p w14:paraId="0C45AF33" w14:textId="77777777" w:rsidR="00DB1AEE" w:rsidRPr="00DB1AEE" w:rsidRDefault="00DB1AEE" w:rsidP="00DB1AEE">
      <w:pPr>
        <w:tabs>
          <w:tab w:val="left" w:pos="3924"/>
        </w:tabs>
        <w:suppressAutoHyphens/>
        <w:spacing w:before="22" w:line="254" w:lineRule="auto"/>
        <w:ind w:left="937" w:right="417" w:hanging="288"/>
        <w:rPr>
          <w:szCs w:val="24"/>
          <w:u w:val="single"/>
        </w:rPr>
      </w:pPr>
      <w:r w:rsidRPr="00DB1AEE">
        <w:rPr>
          <w:szCs w:val="24"/>
          <w:u w:val="single"/>
        </w:rPr>
        <w:t>3.</w:t>
      </w:r>
      <w:r w:rsidRPr="00DB1AEE">
        <w:rPr>
          <w:szCs w:val="24"/>
          <w:u w:val="single"/>
        </w:rPr>
        <w:tab/>
        <w:t>When the total area of penetrations from through-the-wall equipment or equipment listed in Table 6.8.1-4 exceeds 1% of the opaque above-grade wall area, the mechanical equipment penetration area shall be calculated as a separate wall assembly with a default U-factor of 0.5, and compliance shall be shown with method b of this section. Where mechanical equipment has been tested in accordance with testing standards, approved by the authority having jurisdiction, the mechanical equipment penetration area may be calculated as a separate wall assembly with the U-factor as determined by such test.</w:t>
      </w:r>
    </w:p>
    <w:p w14:paraId="685EF830" w14:textId="77777777" w:rsidR="00DB1AEE" w:rsidRPr="00DB1AEE" w:rsidRDefault="00DB1AEE" w:rsidP="00DB1AEE">
      <w:pPr>
        <w:tabs>
          <w:tab w:val="left" w:pos="3924"/>
        </w:tabs>
        <w:suppressAutoHyphens/>
        <w:spacing w:before="22" w:line="254" w:lineRule="auto"/>
        <w:ind w:left="944" w:right="432" w:hanging="288"/>
        <w:rPr>
          <w:szCs w:val="24"/>
          <w:u w:val="single"/>
        </w:rPr>
      </w:pPr>
      <w:r w:rsidRPr="00DB1AEE">
        <w:rPr>
          <w:szCs w:val="24"/>
          <w:u w:val="single"/>
        </w:rPr>
        <w:t>4.</w:t>
      </w:r>
      <w:r w:rsidRPr="00DB1AEE">
        <w:rPr>
          <w:szCs w:val="24"/>
          <w:u w:val="single"/>
        </w:rPr>
        <w:tab/>
        <w:t xml:space="preserve">For opaque assemblies in curtain wall framing or other fenestration framing systems, compliance shall be shown using the effective U-factor values of Table 5.5.3  </w:t>
      </w:r>
    </w:p>
    <w:p w14:paraId="1E644047" w14:textId="77777777" w:rsidR="00DB1AEE" w:rsidRPr="00DB1AEE" w:rsidRDefault="00DB1AEE" w:rsidP="00DB1AEE">
      <w:pPr>
        <w:widowControl w:val="0"/>
        <w:suppressAutoHyphens/>
        <w:spacing w:before="130" w:after="130"/>
        <w:jc w:val="left"/>
        <w:rPr>
          <w:b/>
          <w:bCs/>
          <w:u w:val="single"/>
        </w:rPr>
      </w:pPr>
      <w:r w:rsidRPr="00DB1AEE">
        <w:rPr>
          <w:b/>
          <w:bCs/>
          <w:u w:val="single"/>
        </w:rPr>
        <w:t>Table 5.5.3 Effective U-factors for Spandrel Panels and Glass Curtain Walls</w:t>
      </w:r>
      <w:r w:rsidRPr="00DB1AEE">
        <w:rPr>
          <w:b/>
          <w:bCs/>
          <w:u w:val="single"/>
          <w:vertAlign w:val="superscript"/>
        </w:rPr>
        <w:t>a</w:t>
      </w:r>
      <w:r w:rsidRPr="00DB1AEE">
        <w:rPr>
          <w:b/>
          <w:bCs/>
          <w:u w:val="single"/>
        </w:rPr>
        <w:t>.</w:t>
      </w:r>
    </w:p>
    <w:p w14:paraId="07029A6B" w14:textId="77777777" w:rsidR="00DB1AEE" w:rsidRPr="00DB1AEE" w:rsidRDefault="00DB1AEE" w:rsidP="00DB1AEE">
      <w:pPr>
        <w:widowControl w:val="0"/>
        <w:suppressAutoHyphens/>
        <w:spacing w:before="130" w:after="130"/>
        <w:jc w:val="left"/>
        <w:rPr>
          <w:u w:val="single"/>
        </w:rPr>
      </w:pPr>
      <w:r w:rsidRPr="00DB1AEE">
        <w:rPr>
          <w:u w:val="single"/>
        </w:rPr>
        <w:t>Table 5.5.3 - Add a new Table 5.5.3 to read as follows:</w:t>
      </w:r>
    </w:p>
    <w:p w14:paraId="09EABE4F" w14:textId="77777777" w:rsidR="00DB1AEE" w:rsidRPr="00DB1AEE" w:rsidRDefault="00DB1AEE" w:rsidP="00DB1AEE">
      <w:pPr>
        <w:widowControl w:val="0"/>
        <w:suppressAutoHyphens/>
        <w:spacing w:before="130" w:after="130"/>
        <w:ind w:left="360"/>
        <w:jc w:val="left"/>
        <w:rPr>
          <w:b/>
          <w:bCs/>
          <w:u w:val="single"/>
        </w:rPr>
      </w:pPr>
      <w:r w:rsidRPr="00DB1AEE">
        <w:rPr>
          <w:b/>
          <w:bCs/>
          <w:u w:val="single"/>
        </w:rPr>
        <w:t>Table 5.5.3 Effective U-factors for Spandrel Panels and Glass Curtain Walls</w:t>
      </w:r>
      <w:r w:rsidRPr="00DB1AEE">
        <w:rPr>
          <w:b/>
          <w:bCs/>
          <w:u w:val="single"/>
          <w:vertAlign w:val="superscript"/>
        </w:rPr>
        <w:t>a</w:t>
      </w:r>
    </w:p>
    <w:tbl>
      <w:tblPr>
        <w:tblW w:w="10605"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35"/>
        <w:gridCol w:w="2070"/>
        <w:gridCol w:w="900"/>
        <w:gridCol w:w="900"/>
        <w:gridCol w:w="900"/>
        <w:gridCol w:w="900"/>
        <w:gridCol w:w="900"/>
        <w:gridCol w:w="900"/>
        <w:gridCol w:w="900"/>
        <w:gridCol w:w="900"/>
      </w:tblGrid>
      <w:tr w:rsidR="00DB1AEE" w:rsidRPr="00DB1AEE" w14:paraId="3D103114" w14:textId="77777777" w:rsidTr="00FC1832">
        <w:trPr>
          <w:trHeight w:val="435"/>
          <w:jc w:val="center"/>
        </w:trPr>
        <w:tc>
          <w:tcPr>
            <w:tcW w:w="3405" w:type="dxa"/>
            <w:gridSpan w:val="2"/>
            <w:tcBorders>
              <w:top w:val="single" w:sz="6" w:space="0" w:color="000000"/>
              <w:left w:val="single" w:sz="6" w:space="0" w:color="000000"/>
              <w:bottom w:val="single" w:sz="6" w:space="0" w:color="000000"/>
              <w:right w:val="single" w:sz="6" w:space="0" w:color="000000"/>
            </w:tcBorders>
            <w:vAlign w:val="center"/>
            <w:hideMark/>
          </w:tcPr>
          <w:p w14:paraId="0D93A276" w14:textId="77777777" w:rsidR="00DB1AEE" w:rsidRPr="00DB1AEE" w:rsidRDefault="00DB1AEE" w:rsidP="00DB1AEE">
            <w:pPr>
              <w:widowControl w:val="0"/>
              <w:suppressAutoHyphens/>
              <w:autoSpaceDE w:val="0"/>
              <w:autoSpaceDN w:val="0"/>
              <w:spacing w:before="179"/>
              <w:ind w:left="33"/>
              <w:jc w:val="center"/>
              <w:rPr>
                <w:b/>
                <w:bCs/>
                <w:szCs w:val="24"/>
                <w:lang w:bidi="en-US"/>
              </w:rPr>
            </w:pPr>
            <w:r w:rsidRPr="00DB1AEE">
              <w:rPr>
                <w:b/>
                <w:bCs/>
                <w:szCs w:val="24"/>
                <w:lang w:bidi="en-US"/>
              </w:rPr>
              <w:t xml:space="preserve">RATED </w:t>
            </w:r>
            <w:r w:rsidRPr="00DB1AEE">
              <w:rPr>
                <w:b/>
                <w:bCs/>
                <w:i/>
                <w:iCs/>
                <w:szCs w:val="24"/>
                <w:lang w:bidi="en-US"/>
              </w:rPr>
              <w:t>R</w:t>
            </w:r>
            <w:r w:rsidRPr="00DB1AEE">
              <w:rPr>
                <w:b/>
                <w:bCs/>
                <w:szCs w:val="24"/>
                <w:lang w:bidi="en-US"/>
              </w:rPr>
              <w:t>-VALUE OF INSULATION BETWEEN FRAMING MEMBERS</w:t>
            </w:r>
          </w:p>
        </w:tc>
        <w:tc>
          <w:tcPr>
            <w:tcW w:w="900" w:type="dxa"/>
            <w:tcBorders>
              <w:top w:val="single" w:sz="6" w:space="0" w:color="000000"/>
              <w:left w:val="single" w:sz="6" w:space="0" w:color="000000"/>
              <w:bottom w:val="single" w:sz="6" w:space="0" w:color="000000"/>
              <w:right w:val="single" w:sz="6" w:space="0" w:color="000000"/>
            </w:tcBorders>
            <w:hideMark/>
          </w:tcPr>
          <w:p w14:paraId="73CC4076" w14:textId="77777777" w:rsidR="00DB1AEE" w:rsidRPr="00DB1AEE" w:rsidRDefault="00DB1AEE" w:rsidP="00DB1AEE">
            <w:pPr>
              <w:widowControl w:val="0"/>
              <w:suppressAutoHyphens/>
              <w:autoSpaceDE w:val="0"/>
              <w:autoSpaceDN w:val="0"/>
              <w:spacing w:before="179"/>
              <w:ind w:left="33"/>
              <w:jc w:val="center"/>
              <w:rPr>
                <w:b/>
                <w:bCs/>
                <w:szCs w:val="24"/>
                <w:lang w:bidi="en-US"/>
              </w:rPr>
            </w:pPr>
            <w:r w:rsidRPr="00DB1AEE">
              <w:rPr>
                <w:b/>
                <w:bCs/>
                <w:szCs w:val="24"/>
                <w:lang w:bidi="en-US"/>
              </w:rPr>
              <w:t>None</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DD1E686" w14:textId="77777777" w:rsidR="00DB1AEE" w:rsidRPr="00DB1AEE" w:rsidRDefault="00DB1AEE" w:rsidP="00DB1AEE">
            <w:pPr>
              <w:widowControl w:val="0"/>
              <w:suppressAutoHyphens/>
              <w:autoSpaceDE w:val="0"/>
              <w:autoSpaceDN w:val="0"/>
              <w:spacing w:before="179"/>
              <w:ind w:left="33"/>
              <w:jc w:val="center"/>
              <w:rPr>
                <w:b/>
                <w:bCs/>
                <w:szCs w:val="24"/>
                <w:lang w:bidi="en-US"/>
              </w:rPr>
            </w:pPr>
            <w:r w:rsidRPr="00DB1AEE">
              <w:rPr>
                <w:b/>
                <w:bCs/>
                <w:szCs w:val="24"/>
                <w:lang w:bidi="en-US"/>
              </w:rPr>
              <w:t>R-4</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885A607" w14:textId="77777777" w:rsidR="00DB1AEE" w:rsidRPr="00DB1AEE" w:rsidRDefault="00DB1AEE" w:rsidP="00DB1AEE">
            <w:pPr>
              <w:widowControl w:val="0"/>
              <w:suppressAutoHyphens/>
              <w:autoSpaceDE w:val="0"/>
              <w:autoSpaceDN w:val="0"/>
              <w:spacing w:before="179"/>
              <w:ind w:left="33"/>
              <w:jc w:val="center"/>
              <w:rPr>
                <w:b/>
                <w:bCs/>
                <w:szCs w:val="24"/>
                <w:lang w:bidi="en-US"/>
              </w:rPr>
            </w:pPr>
            <w:r w:rsidRPr="00DB1AEE">
              <w:rPr>
                <w:b/>
                <w:bCs/>
                <w:szCs w:val="24"/>
                <w:lang w:bidi="en-US"/>
              </w:rPr>
              <w:t>R-7</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A3F446B" w14:textId="77777777" w:rsidR="00DB1AEE" w:rsidRPr="00DB1AEE" w:rsidRDefault="00DB1AEE" w:rsidP="00DB1AEE">
            <w:pPr>
              <w:widowControl w:val="0"/>
              <w:suppressAutoHyphens/>
              <w:autoSpaceDE w:val="0"/>
              <w:autoSpaceDN w:val="0"/>
              <w:spacing w:before="179"/>
              <w:ind w:left="33"/>
              <w:jc w:val="center"/>
              <w:rPr>
                <w:b/>
                <w:bCs/>
                <w:szCs w:val="24"/>
                <w:lang w:bidi="en-US"/>
              </w:rPr>
            </w:pPr>
            <w:r w:rsidRPr="00DB1AEE">
              <w:rPr>
                <w:b/>
                <w:bCs/>
                <w:szCs w:val="24"/>
                <w:lang w:bidi="en-US"/>
              </w:rPr>
              <w:t>R-10</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283089AD"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lang w:bidi="en-US"/>
              </w:rPr>
              <w:t>R-15</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691E6C4A"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lang w:bidi="en-US"/>
              </w:rPr>
              <w:t>R-20</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4F2D46CC"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lang w:bidi="en-US"/>
              </w:rPr>
              <w:t>R-25</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1701D9E0"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lang w:bidi="en-US"/>
              </w:rPr>
              <w:t>R-30</w:t>
            </w:r>
          </w:p>
        </w:tc>
      </w:tr>
      <w:tr w:rsidR="00DB1AEE" w:rsidRPr="00DB1AEE" w14:paraId="13E4EC11" w14:textId="77777777" w:rsidTr="00FC1832">
        <w:trPr>
          <w:trHeight w:val="300"/>
          <w:jc w:val="center"/>
        </w:trPr>
        <w:tc>
          <w:tcPr>
            <w:tcW w:w="1335" w:type="dxa"/>
            <w:tcBorders>
              <w:top w:val="single" w:sz="6" w:space="0" w:color="000000"/>
              <w:left w:val="single" w:sz="6" w:space="0" w:color="000000"/>
              <w:bottom w:val="single" w:sz="6" w:space="0" w:color="000000"/>
              <w:right w:val="single" w:sz="6" w:space="0" w:color="000000"/>
            </w:tcBorders>
            <w:vAlign w:val="center"/>
            <w:hideMark/>
          </w:tcPr>
          <w:p w14:paraId="3137A9C7" w14:textId="77777777" w:rsidR="00DB1AEE" w:rsidRPr="00DB1AEE" w:rsidRDefault="00DB1AEE" w:rsidP="00DB1AEE">
            <w:pPr>
              <w:widowControl w:val="0"/>
              <w:suppressAutoHyphens/>
              <w:autoSpaceDE w:val="0"/>
              <w:autoSpaceDN w:val="0"/>
              <w:spacing w:before="179"/>
              <w:ind w:left="33"/>
              <w:jc w:val="center"/>
              <w:rPr>
                <w:b/>
                <w:bCs/>
                <w:szCs w:val="24"/>
                <w:lang w:bidi="en-US"/>
              </w:rPr>
            </w:pPr>
            <w:r w:rsidRPr="00DB1AEE">
              <w:rPr>
                <w:b/>
                <w:bCs/>
                <w:szCs w:val="24"/>
                <w:lang w:bidi="en-US"/>
              </w:rPr>
              <w:t>Frame Type</w:t>
            </w:r>
          </w:p>
        </w:tc>
        <w:tc>
          <w:tcPr>
            <w:tcW w:w="2070" w:type="dxa"/>
            <w:tcBorders>
              <w:top w:val="single" w:sz="6" w:space="0" w:color="000000"/>
              <w:left w:val="single" w:sz="6" w:space="0" w:color="000000"/>
              <w:bottom w:val="single" w:sz="6" w:space="0" w:color="000000"/>
              <w:right w:val="single" w:sz="6" w:space="0" w:color="000000"/>
            </w:tcBorders>
            <w:vAlign w:val="center"/>
            <w:hideMark/>
          </w:tcPr>
          <w:p w14:paraId="3F790525" w14:textId="77777777" w:rsidR="00DB1AEE" w:rsidRPr="00DB1AEE" w:rsidRDefault="00DB1AEE" w:rsidP="00DB1AEE">
            <w:pPr>
              <w:widowControl w:val="0"/>
              <w:suppressAutoHyphens/>
              <w:autoSpaceDE w:val="0"/>
              <w:autoSpaceDN w:val="0"/>
              <w:spacing w:before="179"/>
              <w:ind w:left="33"/>
              <w:jc w:val="center"/>
              <w:rPr>
                <w:b/>
                <w:bCs/>
                <w:szCs w:val="24"/>
                <w:lang w:bidi="en-US"/>
              </w:rPr>
            </w:pPr>
            <w:r w:rsidRPr="00DB1AEE">
              <w:rPr>
                <w:b/>
                <w:bCs/>
                <w:szCs w:val="24"/>
                <w:lang w:bidi="en-US"/>
              </w:rPr>
              <w:t>Spandrel Panel</w:t>
            </w:r>
          </w:p>
        </w:tc>
        <w:tc>
          <w:tcPr>
            <w:tcW w:w="7200" w:type="dxa"/>
            <w:gridSpan w:val="8"/>
            <w:tcBorders>
              <w:top w:val="single" w:sz="6" w:space="0" w:color="000000"/>
              <w:left w:val="single" w:sz="6" w:space="0" w:color="000000"/>
              <w:bottom w:val="single" w:sz="6" w:space="0" w:color="000000"/>
              <w:right w:val="single" w:sz="6" w:space="0" w:color="000000"/>
            </w:tcBorders>
            <w:hideMark/>
          </w:tcPr>
          <w:p w14:paraId="20C72BB8" w14:textId="77777777" w:rsidR="00DB1AEE" w:rsidRPr="00DB1AEE" w:rsidRDefault="00DB1AEE" w:rsidP="00DB1AEE">
            <w:pPr>
              <w:widowControl w:val="0"/>
              <w:suppressAutoHyphens/>
              <w:autoSpaceDE w:val="0"/>
              <w:autoSpaceDN w:val="0"/>
              <w:spacing w:before="179"/>
              <w:ind w:left="33"/>
              <w:jc w:val="center"/>
              <w:rPr>
                <w:b/>
                <w:bCs/>
                <w:szCs w:val="24"/>
                <w:lang w:bidi="en-US"/>
              </w:rPr>
            </w:pPr>
            <w:r w:rsidRPr="00DB1AEE">
              <w:rPr>
                <w:b/>
                <w:bCs/>
                <w:szCs w:val="24"/>
                <w:u w:val="single"/>
                <w:lang w:bidi="en-US"/>
              </w:rPr>
              <w:t xml:space="preserve">Default </w:t>
            </w:r>
            <w:r w:rsidRPr="00DB1AEE">
              <w:rPr>
                <w:b/>
                <w:bCs/>
                <w:i/>
                <w:iCs/>
                <w:szCs w:val="24"/>
                <w:u w:val="single"/>
                <w:lang w:bidi="en-US"/>
              </w:rPr>
              <w:t>U</w:t>
            </w:r>
            <w:r w:rsidRPr="00DB1AEE">
              <w:rPr>
                <w:b/>
                <w:bCs/>
                <w:szCs w:val="24"/>
                <w:u w:val="single"/>
                <w:lang w:bidi="en-US"/>
              </w:rPr>
              <w:t>-factor</w:t>
            </w:r>
          </w:p>
        </w:tc>
      </w:tr>
      <w:tr w:rsidR="00DB1AEE" w:rsidRPr="00DB1AEE" w14:paraId="67A86961" w14:textId="77777777" w:rsidTr="00FC1832">
        <w:trPr>
          <w:trHeight w:val="300"/>
          <w:jc w:val="center"/>
        </w:trPr>
        <w:tc>
          <w:tcPr>
            <w:tcW w:w="1335" w:type="dxa"/>
            <w:vMerge w:val="restart"/>
            <w:tcBorders>
              <w:top w:val="single" w:sz="6" w:space="0" w:color="000000"/>
              <w:left w:val="single" w:sz="6" w:space="0" w:color="000000"/>
              <w:bottom w:val="single" w:sz="6" w:space="0" w:color="000000"/>
              <w:right w:val="single" w:sz="6" w:space="0" w:color="000000"/>
            </w:tcBorders>
            <w:vAlign w:val="center"/>
            <w:hideMark/>
          </w:tcPr>
          <w:p w14:paraId="504100D2"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lang w:bidi="en-US"/>
              </w:rPr>
              <w:t>Aluminum without thermal break</w:t>
            </w:r>
            <w:r w:rsidRPr="00DB1AEE">
              <w:rPr>
                <w:szCs w:val="24"/>
                <w:vertAlign w:val="superscript"/>
                <w:lang w:bidi="en-US"/>
              </w:rPr>
              <w:t>b</w:t>
            </w:r>
          </w:p>
        </w:tc>
        <w:tc>
          <w:tcPr>
            <w:tcW w:w="2070" w:type="dxa"/>
            <w:tcBorders>
              <w:top w:val="single" w:sz="6" w:space="0" w:color="000000"/>
              <w:left w:val="single" w:sz="6" w:space="0" w:color="000000"/>
              <w:bottom w:val="single" w:sz="6" w:space="0" w:color="000000"/>
              <w:right w:val="single" w:sz="6" w:space="0" w:color="000000"/>
            </w:tcBorders>
            <w:vAlign w:val="center"/>
            <w:hideMark/>
          </w:tcPr>
          <w:p w14:paraId="68C95E6A"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lang w:bidi="en-US"/>
              </w:rPr>
              <w:t>Single glass pane, stone, or metal panel</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1037F874"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u w:val="single"/>
                <w:lang w:bidi="en-US"/>
              </w:rPr>
              <w:t>U-0.445</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4E433BDA"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lang w:bidi="en-US"/>
              </w:rPr>
              <w:t>U-0.285</w:t>
            </w:r>
          </w:p>
          <w:p w14:paraId="045BFF81" w14:textId="77777777" w:rsidR="00DB1AEE" w:rsidRPr="00DB1AEE" w:rsidRDefault="00DB1AEE" w:rsidP="00DB1AEE">
            <w:pPr>
              <w:widowControl w:val="0"/>
              <w:suppressAutoHyphens/>
              <w:autoSpaceDE w:val="0"/>
              <w:autoSpaceDN w:val="0"/>
              <w:spacing w:before="179"/>
              <w:ind w:left="33"/>
              <w:jc w:val="center"/>
              <w:rPr>
                <w:szCs w:val="24"/>
                <w:lang w:bidi="en-US"/>
              </w:rPr>
            </w:pP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58659B27"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u w:val="single"/>
                <w:lang w:bidi="en-US"/>
              </w:rPr>
              <w:t>U-0.259</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4CFE1636"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u w:val="single"/>
                <w:lang w:bidi="en-US"/>
              </w:rPr>
              <w:t>U-0.247</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4AA6F6CD"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lang w:bidi="en-US"/>
              </w:rPr>
              <w:t>U-0.236</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0256E082"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u w:val="single"/>
                <w:lang w:bidi="en-US"/>
              </w:rPr>
              <w:t>U-0.230</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59EF7A05"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u w:val="single"/>
                <w:lang w:bidi="en-US"/>
              </w:rPr>
              <w:t>U-0.226</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532904C2"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u w:val="single"/>
                <w:lang w:bidi="en-US"/>
              </w:rPr>
              <w:t>U-0.224</w:t>
            </w:r>
          </w:p>
        </w:tc>
      </w:tr>
      <w:tr w:rsidR="00DB1AEE" w:rsidRPr="00DB1AEE" w14:paraId="7E37B8DB" w14:textId="77777777" w:rsidTr="00FC1832">
        <w:trPr>
          <w:trHeight w:val="30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2DFA573" w14:textId="77777777" w:rsidR="00DB1AEE" w:rsidRPr="00DB1AEE" w:rsidRDefault="00DB1AEE" w:rsidP="00DB1AEE">
            <w:pPr>
              <w:widowControl w:val="0"/>
              <w:suppressAutoHyphens/>
              <w:autoSpaceDE w:val="0"/>
              <w:autoSpaceDN w:val="0"/>
              <w:spacing w:before="179"/>
              <w:ind w:left="33"/>
              <w:jc w:val="center"/>
              <w:rPr>
                <w:szCs w:val="24"/>
                <w:lang w:bidi="en-US"/>
              </w:rPr>
            </w:pPr>
          </w:p>
        </w:tc>
        <w:tc>
          <w:tcPr>
            <w:tcW w:w="2070" w:type="dxa"/>
            <w:tcBorders>
              <w:top w:val="single" w:sz="6" w:space="0" w:color="000000"/>
              <w:left w:val="single" w:sz="6" w:space="0" w:color="000000"/>
              <w:bottom w:val="single" w:sz="6" w:space="0" w:color="000000"/>
              <w:right w:val="single" w:sz="6" w:space="0" w:color="000000"/>
            </w:tcBorders>
            <w:vAlign w:val="center"/>
            <w:hideMark/>
          </w:tcPr>
          <w:p w14:paraId="18DB063F"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lang w:bidi="en-US"/>
              </w:rPr>
              <w:t xml:space="preserve">Double </w:t>
            </w:r>
            <w:r w:rsidRPr="00DB1AEE">
              <w:rPr>
                <w:szCs w:val="24"/>
                <w:u w:val="single"/>
                <w:lang w:bidi="en-US"/>
              </w:rPr>
              <w:t>glazing</w:t>
            </w:r>
            <w:r w:rsidRPr="00DB1AEE">
              <w:rPr>
                <w:szCs w:val="24"/>
                <w:lang w:bidi="en-US"/>
              </w:rPr>
              <w:t xml:space="preserve"> with no low-e coatings</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258B4DB8"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u w:val="single"/>
                <w:lang w:bidi="en-US"/>
              </w:rPr>
              <w:t>U-0.356</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6C315379"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u w:val="single"/>
                <w:lang w:bidi="en-US"/>
              </w:rPr>
              <w:t>U-0.273</w:t>
            </w:r>
          </w:p>
          <w:p w14:paraId="3B5C3BAC" w14:textId="77777777" w:rsidR="00DB1AEE" w:rsidRPr="00DB1AEE" w:rsidRDefault="00DB1AEE" w:rsidP="00DB1AEE">
            <w:pPr>
              <w:widowControl w:val="0"/>
              <w:suppressAutoHyphens/>
              <w:autoSpaceDE w:val="0"/>
              <w:autoSpaceDN w:val="0"/>
              <w:spacing w:before="179"/>
              <w:ind w:left="33"/>
              <w:jc w:val="center"/>
              <w:rPr>
                <w:szCs w:val="24"/>
                <w:lang w:bidi="en-US"/>
              </w:rPr>
            </w:pP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5C6A12EB"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u w:val="single"/>
                <w:lang w:bidi="en-US"/>
              </w:rPr>
              <w:t>U-0.254</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6C64AE9D"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u w:val="single"/>
                <w:lang w:bidi="en-US"/>
              </w:rPr>
              <w:t>U-0.244</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6D8BB6CB"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u w:val="single"/>
                <w:lang w:bidi="en-US"/>
              </w:rPr>
              <w:t>U-0.234</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23F06A08"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u w:val="single"/>
                <w:lang w:bidi="en-US"/>
              </w:rPr>
              <w:t>U-0.229</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5920781E"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u w:val="single"/>
                <w:lang w:bidi="en-US"/>
              </w:rPr>
              <w:t>U-0.226</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4DACEE1D"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u w:val="single"/>
                <w:lang w:bidi="en-US"/>
              </w:rPr>
              <w:t>U-0.223</w:t>
            </w:r>
          </w:p>
        </w:tc>
      </w:tr>
      <w:tr w:rsidR="00DB1AEE" w:rsidRPr="00DB1AEE" w14:paraId="6DEE1DC4" w14:textId="77777777" w:rsidTr="00FC1832">
        <w:trPr>
          <w:trHeight w:val="30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ABBA019" w14:textId="77777777" w:rsidR="00DB1AEE" w:rsidRPr="00DB1AEE" w:rsidRDefault="00DB1AEE" w:rsidP="00DB1AEE">
            <w:pPr>
              <w:widowControl w:val="0"/>
              <w:suppressAutoHyphens/>
              <w:autoSpaceDE w:val="0"/>
              <w:autoSpaceDN w:val="0"/>
              <w:spacing w:before="179"/>
              <w:ind w:left="33"/>
              <w:jc w:val="center"/>
              <w:rPr>
                <w:szCs w:val="24"/>
                <w:lang w:bidi="en-US"/>
              </w:rPr>
            </w:pPr>
          </w:p>
        </w:tc>
        <w:tc>
          <w:tcPr>
            <w:tcW w:w="2070" w:type="dxa"/>
            <w:tcBorders>
              <w:top w:val="single" w:sz="6" w:space="0" w:color="000000"/>
              <w:left w:val="single" w:sz="6" w:space="0" w:color="000000"/>
              <w:bottom w:val="single" w:sz="6" w:space="0" w:color="000000"/>
              <w:right w:val="single" w:sz="6" w:space="0" w:color="000000"/>
            </w:tcBorders>
            <w:vAlign w:val="center"/>
            <w:hideMark/>
          </w:tcPr>
          <w:p w14:paraId="4AF9A058"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lang w:bidi="en-US"/>
              </w:rPr>
              <w:t xml:space="preserve">Triple </w:t>
            </w:r>
            <w:r w:rsidRPr="00DB1AEE">
              <w:rPr>
                <w:szCs w:val="24"/>
                <w:u w:val="single"/>
                <w:lang w:bidi="en-US"/>
              </w:rPr>
              <w:t>glazing</w:t>
            </w:r>
            <w:r w:rsidRPr="00DB1AEE">
              <w:rPr>
                <w:szCs w:val="24"/>
                <w:lang w:bidi="en-US"/>
              </w:rPr>
              <w:t xml:space="preserve"> or </w:t>
            </w:r>
            <w:r w:rsidRPr="00DB1AEE">
              <w:rPr>
                <w:szCs w:val="24"/>
                <w:u w:val="single"/>
                <w:lang w:bidi="en-US"/>
              </w:rPr>
              <w:t>double glazing with</w:t>
            </w:r>
            <w:r w:rsidRPr="00DB1AEE">
              <w:rPr>
                <w:szCs w:val="24"/>
                <w:lang w:bidi="en-US"/>
              </w:rPr>
              <w:t xml:space="preserve"> low-e glass</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658931D3"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u w:val="single"/>
                <w:lang w:bidi="en-US"/>
              </w:rPr>
              <w:t>U-0.313</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5B494E08"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u w:val="single"/>
                <w:lang w:bidi="en-US"/>
              </w:rPr>
              <w:t>U-0.263</w:t>
            </w:r>
          </w:p>
          <w:p w14:paraId="264375B4" w14:textId="77777777" w:rsidR="00DB1AEE" w:rsidRPr="00DB1AEE" w:rsidRDefault="00DB1AEE" w:rsidP="00DB1AEE">
            <w:pPr>
              <w:widowControl w:val="0"/>
              <w:suppressAutoHyphens/>
              <w:autoSpaceDE w:val="0"/>
              <w:autoSpaceDN w:val="0"/>
              <w:spacing w:before="179"/>
              <w:ind w:left="33"/>
              <w:jc w:val="center"/>
              <w:rPr>
                <w:szCs w:val="24"/>
                <w:lang w:bidi="en-US"/>
              </w:rPr>
            </w:pP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05074A58"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u w:val="single"/>
                <w:lang w:bidi="en-US"/>
              </w:rPr>
              <w:t>U-0.249</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03BBBE2E"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u w:val="single"/>
                <w:lang w:bidi="en-US"/>
              </w:rPr>
              <w:t>U-0.241</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547BA4A1"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u w:val="single"/>
                <w:lang w:bidi="en-US"/>
              </w:rPr>
              <w:t>U-0.233</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26679DFD"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u w:val="single"/>
                <w:lang w:bidi="en-US"/>
              </w:rPr>
              <w:t>U-0.228</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024C328"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u w:val="single"/>
                <w:lang w:bidi="en-US"/>
              </w:rPr>
              <w:t>U-0.225</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4D5FC3FA"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u w:val="single"/>
                <w:lang w:bidi="en-US"/>
              </w:rPr>
              <w:t>U-0.223</w:t>
            </w:r>
          </w:p>
        </w:tc>
      </w:tr>
      <w:tr w:rsidR="00DB1AEE" w:rsidRPr="00DB1AEE" w14:paraId="5173B771" w14:textId="77777777" w:rsidTr="00FC1832">
        <w:trPr>
          <w:trHeight w:val="300"/>
          <w:jc w:val="center"/>
        </w:trPr>
        <w:tc>
          <w:tcPr>
            <w:tcW w:w="1335" w:type="dxa"/>
            <w:vMerge w:val="restart"/>
            <w:tcBorders>
              <w:top w:val="single" w:sz="6" w:space="0" w:color="000000"/>
              <w:left w:val="single" w:sz="6" w:space="0" w:color="000000"/>
              <w:bottom w:val="single" w:sz="6" w:space="0" w:color="000000"/>
              <w:right w:val="single" w:sz="6" w:space="0" w:color="000000"/>
            </w:tcBorders>
            <w:vAlign w:val="center"/>
            <w:hideMark/>
          </w:tcPr>
          <w:p w14:paraId="62F8E123"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lang w:bidi="en-US"/>
              </w:rPr>
              <w:t>Aluminum with thermal break</w:t>
            </w:r>
            <w:r w:rsidRPr="00DB1AEE">
              <w:rPr>
                <w:szCs w:val="24"/>
                <w:vertAlign w:val="superscript"/>
                <w:lang w:bidi="en-US"/>
              </w:rPr>
              <w:t>c</w:t>
            </w:r>
          </w:p>
        </w:tc>
        <w:tc>
          <w:tcPr>
            <w:tcW w:w="2070" w:type="dxa"/>
            <w:tcBorders>
              <w:top w:val="single" w:sz="6" w:space="0" w:color="000000"/>
              <w:left w:val="single" w:sz="6" w:space="0" w:color="000000"/>
              <w:bottom w:val="single" w:sz="6" w:space="0" w:color="000000"/>
              <w:right w:val="single" w:sz="6" w:space="0" w:color="000000"/>
            </w:tcBorders>
            <w:vAlign w:val="center"/>
            <w:hideMark/>
          </w:tcPr>
          <w:p w14:paraId="00E1DC27"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lang w:bidi="en-US"/>
              </w:rPr>
              <w:t>Single glass pane, stone, or metal panel</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3C76EE0"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u w:val="single"/>
                <w:lang w:bidi="en-US"/>
              </w:rPr>
              <w:t>U-0.429</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44F575BF"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u w:val="single"/>
                <w:lang w:bidi="en-US"/>
              </w:rPr>
              <w:t>U-0.243</w:t>
            </w:r>
          </w:p>
          <w:p w14:paraId="17B2F4D5" w14:textId="77777777" w:rsidR="00DB1AEE" w:rsidRPr="00DB1AEE" w:rsidRDefault="00DB1AEE" w:rsidP="00DB1AEE">
            <w:pPr>
              <w:widowControl w:val="0"/>
              <w:suppressAutoHyphens/>
              <w:autoSpaceDE w:val="0"/>
              <w:autoSpaceDN w:val="0"/>
              <w:spacing w:before="179"/>
              <w:ind w:left="33"/>
              <w:jc w:val="center"/>
              <w:rPr>
                <w:szCs w:val="24"/>
                <w:lang w:bidi="en-US"/>
              </w:rPr>
            </w:pP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47675E0E"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u w:val="single"/>
                <w:lang w:bidi="en-US"/>
              </w:rPr>
              <w:t>U-0.212</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63900E49"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u w:val="single"/>
                <w:lang w:bidi="en-US"/>
              </w:rPr>
              <w:t>U-0.197</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2880E023"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u w:val="single"/>
                <w:lang w:bidi="en-US"/>
              </w:rPr>
              <w:t>U-0.184</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3235B7B"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u w:val="single"/>
                <w:lang w:bidi="en-US"/>
              </w:rPr>
              <w:t>U-0.176</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2E796370"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u w:val="single"/>
                <w:lang w:bidi="en-US"/>
              </w:rPr>
              <w:t>U-0.172</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01E88CF1"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u w:val="single"/>
                <w:lang w:bidi="en-US"/>
              </w:rPr>
              <w:t>U-0.169</w:t>
            </w:r>
          </w:p>
        </w:tc>
      </w:tr>
      <w:tr w:rsidR="00DB1AEE" w:rsidRPr="00DB1AEE" w14:paraId="5B9B9052" w14:textId="77777777" w:rsidTr="00FC1832">
        <w:trPr>
          <w:trHeight w:val="30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F51453D" w14:textId="77777777" w:rsidR="00DB1AEE" w:rsidRPr="00DB1AEE" w:rsidRDefault="00DB1AEE" w:rsidP="00DB1AEE">
            <w:pPr>
              <w:widowControl w:val="0"/>
              <w:suppressAutoHyphens/>
              <w:autoSpaceDE w:val="0"/>
              <w:autoSpaceDN w:val="0"/>
              <w:spacing w:before="179"/>
              <w:ind w:left="33"/>
              <w:jc w:val="center"/>
              <w:rPr>
                <w:szCs w:val="24"/>
                <w:lang w:bidi="en-US"/>
              </w:rPr>
            </w:pPr>
          </w:p>
        </w:tc>
        <w:tc>
          <w:tcPr>
            <w:tcW w:w="2070" w:type="dxa"/>
            <w:tcBorders>
              <w:top w:val="single" w:sz="6" w:space="0" w:color="000000"/>
              <w:left w:val="single" w:sz="6" w:space="0" w:color="000000"/>
              <w:bottom w:val="single" w:sz="6" w:space="0" w:color="000000"/>
              <w:right w:val="single" w:sz="6" w:space="0" w:color="000000"/>
            </w:tcBorders>
            <w:vAlign w:val="center"/>
            <w:hideMark/>
          </w:tcPr>
          <w:p w14:paraId="4BDA282D"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lang w:bidi="en-US"/>
              </w:rPr>
              <w:t xml:space="preserve">Double </w:t>
            </w:r>
            <w:r w:rsidRPr="00DB1AEE">
              <w:rPr>
                <w:szCs w:val="24"/>
                <w:u w:val="single"/>
                <w:lang w:bidi="en-US"/>
              </w:rPr>
              <w:t>glazing</w:t>
            </w:r>
            <w:r w:rsidRPr="00DB1AEE">
              <w:rPr>
                <w:szCs w:val="24"/>
                <w:lang w:bidi="en-US"/>
              </w:rPr>
              <w:t xml:space="preserve"> with no low-e coatings</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0B441939"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u w:val="single"/>
                <w:lang w:bidi="en-US"/>
              </w:rPr>
              <w:t>U-0.328</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4E884F23" w14:textId="77777777" w:rsidR="00DB1AEE" w:rsidRPr="00DB1AEE" w:rsidRDefault="00DB1AEE" w:rsidP="00DB1AEE">
            <w:pPr>
              <w:widowControl w:val="0"/>
              <w:suppressAutoHyphens/>
              <w:autoSpaceDE w:val="0"/>
              <w:autoSpaceDN w:val="0"/>
              <w:spacing w:before="179"/>
              <w:ind w:left="33"/>
              <w:jc w:val="center"/>
              <w:rPr>
                <w:szCs w:val="24"/>
                <w:lang w:bidi="en-US"/>
              </w:rPr>
            </w:pPr>
          </w:p>
          <w:p w14:paraId="5E50CABA"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u w:val="single"/>
                <w:lang w:bidi="en-US"/>
              </w:rPr>
              <w:t>U-0.228</w:t>
            </w:r>
          </w:p>
          <w:p w14:paraId="5C7E39AE" w14:textId="77777777" w:rsidR="00DB1AEE" w:rsidRPr="00DB1AEE" w:rsidRDefault="00DB1AEE" w:rsidP="00DB1AEE">
            <w:pPr>
              <w:widowControl w:val="0"/>
              <w:suppressAutoHyphens/>
              <w:autoSpaceDE w:val="0"/>
              <w:autoSpaceDN w:val="0"/>
              <w:spacing w:before="179"/>
              <w:ind w:left="33"/>
              <w:jc w:val="center"/>
              <w:rPr>
                <w:szCs w:val="24"/>
                <w:lang w:bidi="en-US"/>
              </w:rPr>
            </w:pP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177A891"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u w:val="single"/>
                <w:lang w:bidi="en-US"/>
              </w:rPr>
              <w:t>U-0.205</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168AB325"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u w:val="single"/>
                <w:lang w:bidi="en-US"/>
              </w:rPr>
              <w:t>U-0.193</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62075EA4"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u w:val="single"/>
                <w:lang w:bidi="en-US"/>
              </w:rPr>
              <w:t>U-0.182</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4FC6AF5D"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u w:val="single"/>
                <w:lang w:bidi="en-US"/>
              </w:rPr>
              <w:t>U-0.175</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1442714F"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u w:val="single"/>
                <w:lang w:bidi="en-US"/>
              </w:rPr>
              <w:t>U-0.171</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5401941A"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u w:val="single"/>
                <w:lang w:bidi="en-US"/>
              </w:rPr>
              <w:t>U-0.168</w:t>
            </w:r>
          </w:p>
        </w:tc>
      </w:tr>
      <w:tr w:rsidR="00DB1AEE" w:rsidRPr="00DB1AEE" w14:paraId="3DD8C93D" w14:textId="77777777" w:rsidTr="00FC1832">
        <w:trPr>
          <w:trHeight w:val="30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9FC82AF" w14:textId="77777777" w:rsidR="00DB1AEE" w:rsidRPr="00DB1AEE" w:rsidRDefault="00DB1AEE" w:rsidP="00DB1AEE">
            <w:pPr>
              <w:widowControl w:val="0"/>
              <w:suppressAutoHyphens/>
              <w:autoSpaceDE w:val="0"/>
              <w:autoSpaceDN w:val="0"/>
              <w:spacing w:before="179"/>
              <w:ind w:left="33"/>
              <w:jc w:val="center"/>
              <w:rPr>
                <w:szCs w:val="24"/>
                <w:lang w:bidi="en-US"/>
              </w:rPr>
            </w:pPr>
          </w:p>
        </w:tc>
        <w:tc>
          <w:tcPr>
            <w:tcW w:w="2070" w:type="dxa"/>
            <w:tcBorders>
              <w:top w:val="single" w:sz="6" w:space="0" w:color="000000"/>
              <w:left w:val="single" w:sz="6" w:space="0" w:color="000000"/>
              <w:bottom w:val="single" w:sz="6" w:space="0" w:color="000000"/>
              <w:right w:val="single" w:sz="6" w:space="0" w:color="000000"/>
            </w:tcBorders>
            <w:vAlign w:val="center"/>
            <w:hideMark/>
          </w:tcPr>
          <w:p w14:paraId="672E7F2A"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lang w:bidi="en-US"/>
              </w:rPr>
              <w:t xml:space="preserve">Triple </w:t>
            </w:r>
            <w:r w:rsidRPr="00DB1AEE">
              <w:rPr>
                <w:szCs w:val="24"/>
                <w:u w:val="single"/>
                <w:lang w:bidi="en-US"/>
              </w:rPr>
              <w:t>glazing</w:t>
            </w:r>
            <w:r w:rsidRPr="00DB1AEE">
              <w:rPr>
                <w:szCs w:val="24"/>
                <w:lang w:bidi="en-US"/>
              </w:rPr>
              <w:t xml:space="preserve"> or </w:t>
            </w:r>
            <w:r w:rsidRPr="00DB1AEE">
              <w:rPr>
                <w:szCs w:val="24"/>
                <w:u w:val="single"/>
                <w:lang w:bidi="en-US"/>
              </w:rPr>
              <w:t>double glazing with</w:t>
            </w:r>
            <w:r w:rsidRPr="00DB1AEE">
              <w:rPr>
                <w:szCs w:val="24"/>
                <w:lang w:bidi="en-US"/>
              </w:rPr>
              <w:t xml:space="preserve"> low-e glass</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DD15761"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u w:val="single"/>
                <w:lang w:bidi="en-US"/>
              </w:rPr>
              <w:t>U-0.277</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63121E5F" w14:textId="77777777" w:rsidR="00DB1AEE" w:rsidRPr="00DB1AEE" w:rsidRDefault="00DB1AEE" w:rsidP="00DB1AEE">
            <w:pPr>
              <w:widowControl w:val="0"/>
              <w:suppressAutoHyphens/>
              <w:autoSpaceDE w:val="0"/>
              <w:autoSpaceDN w:val="0"/>
              <w:spacing w:before="179"/>
              <w:ind w:left="33"/>
              <w:jc w:val="center"/>
              <w:rPr>
                <w:szCs w:val="24"/>
                <w:lang w:bidi="en-US"/>
              </w:rPr>
            </w:pPr>
          </w:p>
          <w:p w14:paraId="4923FF59"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u w:val="single"/>
                <w:lang w:bidi="en-US"/>
              </w:rPr>
              <w:t>U-0.217</w:t>
            </w:r>
          </w:p>
          <w:p w14:paraId="0507D533" w14:textId="77777777" w:rsidR="00DB1AEE" w:rsidRPr="00DB1AEE" w:rsidRDefault="00DB1AEE" w:rsidP="00DB1AEE">
            <w:pPr>
              <w:widowControl w:val="0"/>
              <w:suppressAutoHyphens/>
              <w:autoSpaceDE w:val="0"/>
              <w:autoSpaceDN w:val="0"/>
              <w:spacing w:before="179"/>
              <w:ind w:left="33"/>
              <w:jc w:val="center"/>
              <w:rPr>
                <w:szCs w:val="24"/>
                <w:lang w:bidi="en-US"/>
              </w:rPr>
            </w:pP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188AAD2B"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u w:val="single"/>
                <w:lang w:bidi="en-US"/>
              </w:rPr>
              <w:t>U-0.199</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1B220179"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u w:val="single"/>
                <w:lang w:bidi="en-US"/>
              </w:rPr>
              <w:t>U-0.189</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029F30F0"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u w:val="single"/>
                <w:lang w:bidi="en-US"/>
              </w:rPr>
              <w:t>U-0.180</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0252095"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u w:val="single"/>
                <w:lang w:bidi="en-US"/>
              </w:rPr>
              <w:t>U-0.174</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1B5FD338"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u w:val="single"/>
                <w:lang w:bidi="en-US"/>
              </w:rPr>
              <w:t>U-0.170</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4636C2B7"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u w:val="single"/>
                <w:lang w:bidi="en-US"/>
              </w:rPr>
              <w:t>U-0.167</w:t>
            </w:r>
          </w:p>
        </w:tc>
      </w:tr>
      <w:tr w:rsidR="00DB1AEE" w:rsidRPr="00DB1AEE" w14:paraId="5058DA9B" w14:textId="77777777" w:rsidTr="00FC1832">
        <w:trPr>
          <w:trHeight w:val="300"/>
          <w:jc w:val="center"/>
        </w:trPr>
        <w:tc>
          <w:tcPr>
            <w:tcW w:w="1335" w:type="dxa"/>
            <w:vMerge w:val="restart"/>
            <w:tcBorders>
              <w:top w:val="single" w:sz="6" w:space="0" w:color="000000"/>
              <w:left w:val="single" w:sz="6" w:space="0" w:color="000000"/>
              <w:bottom w:val="single" w:sz="6" w:space="0" w:color="000000"/>
              <w:right w:val="single" w:sz="6" w:space="0" w:color="000000"/>
            </w:tcBorders>
            <w:vAlign w:val="center"/>
            <w:hideMark/>
          </w:tcPr>
          <w:p w14:paraId="40ACEC12"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lang w:bidi="en-US"/>
              </w:rPr>
              <w:t>Structural glazing</w:t>
            </w:r>
            <w:r w:rsidRPr="00DB1AEE">
              <w:rPr>
                <w:szCs w:val="24"/>
                <w:vertAlign w:val="superscript"/>
                <w:lang w:bidi="en-US"/>
              </w:rPr>
              <w:t>d</w:t>
            </w:r>
          </w:p>
        </w:tc>
        <w:tc>
          <w:tcPr>
            <w:tcW w:w="2070" w:type="dxa"/>
            <w:tcBorders>
              <w:top w:val="single" w:sz="6" w:space="0" w:color="000000"/>
              <w:left w:val="single" w:sz="6" w:space="0" w:color="000000"/>
              <w:bottom w:val="single" w:sz="6" w:space="0" w:color="000000"/>
              <w:right w:val="single" w:sz="6" w:space="0" w:color="000000"/>
            </w:tcBorders>
            <w:vAlign w:val="center"/>
            <w:hideMark/>
          </w:tcPr>
          <w:p w14:paraId="44E9503F"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lang w:bidi="en-US"/>
              </w:rPr>
              <w:t>Single glass pane, stone, or metal panel</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45B85555"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u w:val="single"/>
                <w:lang w:bidi="en-US"/>
              </w:rPr>
              <w:t>U-0.428</w:t>
            </w:r>
          </w:p>
          <w:p w14:paraId="4BAE6C8E" w14:textId="77777777" w:rsidR="00DB1AEE" w:rsidRPr="00DB1AEE" w:rsidRDefault="00DB1AEE" w:rsidP="00DB1AEE">
            <w:pPr>
              <w:widowControl w:val="0"/>
              <w:suppressAutoHyphens/>
              <w:autoSpaceDE w:val="0"/>
              <w:autoSpaceDN w:val="0"/>
              <w:spacing w:before="179"/>
              <w:ind w:left="33"/>
              <w:jc w:val="center"/>
              <w:rPr>
                <w:szCs w:val="24"/>
                <w:lang w:bidi="en-US"/>
              </w:rPr>
            </w:pP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D8752C8"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u w:val="single"/>
                <w:lang w:bidi="en-US"/>
              </w:rPr>
              <w:t>U-0.217</w:t>
            </w:r>
          </w:p>
          <w:p w14:paraId="4B7FC2A2" w14:textId="77777777" w:rsidR="00DB1AEE" w:rsidRPr="00DB1AEE" w:rsidRDefault="00DB1AEE" w:rsidP="00DB1AEE">
            <w:pPr>
              <w:widowControl w:val="0"/>
              <w:suppressAutoHyphens/>
              <w:autoSpaceDE w:val="0"/>
              <w:autoSpaceDN w:val="0"/>
              <w:spacing w:before="179"/>
              <w:ind w:left="33"/>
              <w:jc w:val="center"/>
              <w:rPr>
                <w:szCs w:val="24"/>
                <w:lang w:bidi="en-US"/>
              </w:rPr>
            </w:pP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F5AA3FA"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u w:val="single"/>
                <w:lang w:bidi="en-US"/>
              </w:rPr>
              <w:t>U-0.180</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5351B9EF"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u w:val="single"/>
                <w:lang w:bidi="en-US"/>
              </w:rPr>
              <w:t>U-0.161</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0156F971"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u w:val="single"/>
                <w:lang w:bidi="en-US"/>
              </w:rPr>
              <w:t>U-0.145</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00AC21F2"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u w:val="single"/>
                <w:lang w:bidi="en-US"/>
              </w:rPr>
              <w:t>U-0.136</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669EF5BD"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u w:val="single"/>
                <w:lang w:bidi="en-US"/>
              </w:rPr>
              <w:t>U-0.130</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B463B2B"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u w:val="single"/>
                <w:lang w:bidi="en-US"/>
              </w:rPr>
              <w:t>U-0.126</w:t>
            </w:r>
          </w:p>
        </w:tc>
      </w:tr>
      <w:tr w:rsidR="00DB1AEE" w:rsidRPr="00DB1AEE" w14:paraId="514558C2" w14:textId="77777777" w:rsidTr="00FC1832">
        <w:trPr>
          <w:trHeight w:val="30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BC73B0E" w14:textId="77777777" w:rsidR="00DB1AEE" w:rsidRPr="00DB1AEE" w:rsidRDefault="00DB1AEE" w:rsidP="00DB1AEE">
            <w:pPr>
              <w:widowControl w:val="0"/>
              <w:suppressAutoHyphens/>
              <w:autoSpaceDE w:val="0"/>
              <w:autoSpaceDN w:val="0"/>
              <w:spacing w:before="179"/>
              <w:ind w:left="33"/>
              <w:jc w:val="center"/>
              <w:rPr>
                <w:szCs w:val="24"/>
                <w:lang w:bidi="en-US"/>
              </w:rPr>
            </w:pPr>
          </w:p>
        </w:tc>
        <w:tc>
          <w:tcPr>
            <w:tcW w:w="2070" w:type="dxa"/>
            <w:tcBorders>
              <w:top w:val="single" w:sz="6" w:space="0" w:color="000000"/>
              <w:left w:val="single" w:sz="6" w:space="0" w:color="000000"/>
              <w:bottom w:val="single" w:sz="6" w:space="0" w:color="000000"/>
              <w:right w:val="single" w:sz="6" w:space="0" w:color="000000"/>
            </w:tcBorders>
            <w:vAlign w:val="center"/>
            <w:hideMark/>
          </w:tcPr>
          <w:p w14:paraId="2531849E"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lang w:bidi="en-US"/>
              </w:rPr>
              <w:t xml:space="preserve">Double </w:t>
            </w:r>
            <w:r w:rsidRPr="00DB1AEE">
              <w:rPr>
                <w:szCs w:val="24"/>
                <w:u w:val="single"/>
                <w:lang w:bidi="en-US"/>
              </w:rPr>
              <w:t>glazing</w:t>
            </w:r>
            <w:r w:rsidRPr="00DB1AEE">
              <w:rPr>
                <w:szCs w:val="24"/>
                <w:lang w:bidi="en-US"/>
              </w:rPr>
              <w:t xml:space="preserve"> with no low-e coatings</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7B9770A"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u w:val="single"/>
                <w:lang w:bidi="en-US"/>
              </w:rPr>
              <w:t>U-0.316</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2118AC14"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u w:val="single"/>
                <w:lang w:bidi="en-US"/>
              </w:rPr>
              <w:t>U-0.199</w:t>
            </w:r>
          </w:p>
          <w:p w14:paraId="4A8E2F0A" w14:textId="77777777" w:rsidR="00DB1AEE" w:rsidRPr="00DB1AEE" w:rsidRDefault="00DB1AEE" w:rsidP="00DB1AEE">
            <w:pPr>
              <w:widowControl w:val="0"/>
              <w:suppressAutoHyphens/>
              <w:autoSpaceDE w:val="0"/>
              <w:autoSpaceDN w:val="0"/>
              <w:spacing w:before="179"/>
              <w:ind w:left="33"/>
              <w:jc w:val="center"/>
              <w:rPr>
                <w:szCs w:val="24"/>
                <w:lang w:bidi="en-US"/>
              </w:rPr>
            </w:pP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4BAF802D"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u w:val="single"/>
                <w:lang w:bidi="en-US"/>
              </w:rPr>
              <w:t>U-0.172</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26D52D9E"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u w:val="single"/>
                <w:lang w:bidi="en-US"/>
              </w:rPr>
              <w:t>U-0.157</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5B43D61F"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u w:val="single"/>
                <w:lang w:bidi="en-US"/>
              </w:rPr>
              <w:t>U-0.143</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547A474A"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u w:val="single"/>
                <w:lang w:bidi="en-US"/>
              </w:rPr>
              <w:t>U-0.135</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20DCE87"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u w:val="single"/>
                <w:lang w:bidi="en-US"/>
              </w:rPr>
              <w:t>U-0.129</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16B8F96C"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u w:val="single"/>
                <w:lang w:bidi="en-US"/>
              </w:rPr>
              <w:t>U-0.126</w:t>
            </w:r>
          </w:p>
        </w:tc>
      </w:tr>
      <w:tr w:rsidR="00DB1AEE" w:rsidRPr="00DB1AEE" w14:paraId="640D8126" w14:textId="77777777" w:rsidTr="00FC1832">
        <w:trPr>
          <w:trHeight w:val="30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C6AF0FA" w14:textId="77777777" w:rsidR="00DB1AEE" w:rsidRPr="00DB1AEE" w:rsidRDefault="00DB1AEE" w:rsidP="00DB1AEE">
            <w:pPr>
              <w:widowControl w:val="0"/>
              <w:suppressAutoHyphens/>
              <w:autoSpaceDE w:val="0"/>
              <w:autoSpaceDN w:val="0"/>
              <w:spacing w:before="179"/>
              <w:ind w:left="33"/>
              <w:jc w:val="center"/>
              <w:rPr>
                <w:szCs w:val="24"/>
                <w:lang w:bidi="en-US"/>
              </w:rPr>
            </w:pPr>
          </w:p>
        </w:tc>
        <w:tc>
          <w:tcPr>
            <w:tcW w:w="2070" w:type="dxa"/>
            <w:tcBorders>
              <w:top w:val="single" w:sz="6" w:space="0" w:color="000000"/>
              <w:left w:val="single" w:sz="6" w:space="0" w:color="000000"/>
              <w:bottom w:val="single" w:sz="6" w:space="0" w:color="000000"/>
              <w:right w:val="single" w:sz="6" w:space="0" w:color="000000"/>
            </w:tcBorders>
            <w:vAlign w:val="center"/>
            <w:hideMark/>
          </w:tcPr>
          <w:p w14:paraId="5DAB933D"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lang w:bidi="en-US"/>
              </w:rPr>
              <w:t xml:space="preserve">Triple </w:t>
            </w:r>
            <w:r w:rsidRPr="00DB1AEE">
              <w:rPr>
                <w:szCs w:val="24"/>
                <w:u w:val="single"/>
                <w:lang w:bidi="en-US"/>
              </w:rPr>
              <w:t>glazing</w:t>
            </w:r>
            <w:r w:rsidRPr="00DB1AEE">
              <w:rPr>
                <w:szCs w:val="24"/>
                <w:lang w:bidi="en-US"/>
              </w:rPr>
              <w:t xml:space="preserve"> or </w:t>
            </w:r>
            <w:r w:rsidRPr="00DB1AEE">
              <w:rPr>
                <w:szCs w:val="24"/>
                <w:u w:val="single"/>
                <w:lang w:bidi="en-US"/>
              </w:rPr>
              <w:t>double glazing with</w:t>
            </w:r>
            <w:r w:rsidRPr="00DB1AEE">
              <w:rPr>
                <w:szCs w:val="24"/>
                <w:lang w:bidi="en-US"/>
              </w:rPr>
              <w:t xml:space="preserve"> low-e glass</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1A3C8512"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u w:val="single"/>
                <w:lang w:bidi="en-US"/>
              </w:rPr>
              <w:t>U-0.257</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1EC9CB53"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u w:val="single"/>
                <w:lang w:bidi="en-US"/>
              </w:rPr>
              <w:t>U-0.186</w:t>
            </w:r>
          </w:p>
          <w:p w14:paraId="3E89E314" w14:textId="77777777" w:rsidR="00DB1AEE" w:rsidRPr="00DB1AEE" w:rsidRDefault="00DB1AEE" w:rsidP="00DB1AEE">
            <w:pPr>
              <w:widowControl w:val="0"/>
              <w:suppressAutoHyphens/>
              <w:autoSpaceDE w:val="0"/>
              <w:autoSpaceDN w:val="0"/>
              <w:spacing w:before="179"/>
              <w:ind w:left="33"/>
              <w:jc w:val="center"/>
              <w:rPr>
                <w:szCs w:val="24"/>
                <w:lang w:bidi="en-US"/>
              </w:rPr>
            </w:pP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4AD94B62"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u w:val="single"/>
                <w:lang w:bidi="en-US"/>
              </w:rPr>
              <w:t>U-0.165</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0D2DD5A2"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u w:val="single"/>
                <w:lang w:bidi="en-US"/>
              </w:rPr>
              <w:t>U-0.152</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26951F6"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u w:val="single"/>
                <w:lang w:bidi="en-US"/>
              </w:rPr>
              <w:t>U-0.140</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0D7A275B"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u w:val="single"/>
                <w:lang w:bidi="en-US"/>
              </w:rPr>
              <w:t>U-0.133</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2244917F"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u w:val="single"/>
                <w:lang w:bidi="en-US"/>
              </w:rPr>
              <w:t>U-0.128</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B8E7AE5"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u w:val="single"/>
                <w:lang w:bidi="en-US"/>
              </w:rPr>
              <w:t>U-0.125</w:t>
            </w:r>
          </w:p>
        </w:tc>
      </w:tr>
      <w:tr w:rsidR="00DB1AEE" w:rsidRPr="00DB1AEE" w14:paraId="121550E6" w14:textId="77777777" w:rsidTr="00FC1832">
        <w:trPr>
          <w:trHeight w:val="300"/>
          <w:jc w:val="center"/>
        </w:trPr>
        <w:tc>
          <w:tcPr>
            <w:tcW w:w="1335" w:type="dxa"/>
            <w:vMerge w:val="restart"/>
            <w:tcBorders>
              <w:top w:val="single" w:sz="6" w:space="0" w:color="000000"/>
              <w:left w:val="single" w:sz="6" w:space="0" w:color="000000"/>
              <w:bottom w:val="single" w:sz="6" w:space="0" w:color="000000"/>
              <w:right w:val="single" w:sz="6" w:space="0" w:color="000000"/>
            </w:tcBorders>
            <w:vAlign w:val="center"/>
            <w:hideMark/>
          </w:tcPr>
          <w:p w14:paraId="75208676"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lang w:bidi="en-US"/>
              </w:rPr>
              <w:t>No framing or insulation is continuous</w:t>
            </w:r>
            <w:r w:rsidRPr="00DB1AEE">
              <w:rPr>
                <w:szCs w:val="24"/>
                <w:vertAlign w:val="superscript"/>
                <w:lang w:bidi="en-US"/>
              </w:rPr>
              <w:t>e</w:t>
            </w:r>
          </w:p>
        </w:tc>
        <w:tc>
          <w:tcPr>
            <w:tcW w:w="2070" w:type="dxa"/>
            <w:tcBorders>
              <w:top w:val="single" w:sz="6" w:space="0" w:color="000000"/>
              <w:left w:val="single" w:sz="6" w:space="0" w:color="000000"/>
              <w:bottom w:val="single" w:sz="6" w:space="0" w:color="000000"/>
              <w:right w:val="single" w:sz="6" w:space="0" w:color="000000"/>
            </w:tcBorders>
            <w:vAlign w:val="center"/>
            <w:hideMark/>
          </w:tcPr>
          <w:p w14:paraId="7BD36023"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lang w:bidi="en-US"/>
              </w:rPr>
              <w:t>Single glass pane, stone, or metal panel</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71C27E8"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u w:val="single"/>
                <w:lang w:bidi="en-US"/>
              </w:rPr>
              <w:t>U-0.445</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0E33DF9A"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u w:val="single"/>
                <w:lang w:bidi="en-US"/>
              </w:rPr>
              <w:t>U-0.160</w:t>
            </w:r>
          </w:p>
          <w:p w14:paraId="7715D535" w14:textId="77777777" w:rsidR="00DB1AEE" w:rsidRPr="00DB1AEE" w:rsidRDefault="00DB1AEE" w:rsidP="00DB1AEE">
            <w:pPr>
              <w:widowControl w:val="0"/>
              <w:suppressAutoHyphens/>
              <w:autoSpaceDE w:val="0"/>
              <w:autoSpaceDN w:val="0"/>
              <w:spacing w:before="179"/>
              <w:ind w:left="33"/>
              <w:jc w:val="center"/>
              <w:rPr>
                <w:szCs w:val="24"/>
                <w:lang w:bidi="en-US"/>
              </w:rPr>
            </w:pP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1BA15049"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u w:val="single"/>
                <w:lang w:bidi="en-US"/>
              </w:rPr>
              <w:t>U-0.108</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1691C814"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u w:val="single"/>
                <w:lang w:bidi="en-US"/>
              </w:rPr>
              <w:t>U-0.082</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1B56CA6"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u w:val="single"/>
                <w:lang w:bidi="en-US"/>
              </w:rPr>
              <w:t>U-0.058</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5815FDC9"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u w:val="single"/>
                <w:lang w:bidi="en-US"/>
              </w:rPr>
              <w:t>U-0.045</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5EB5EDFF"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u w:val="single"/>
                <w:lang w:bidi="en-US"/>
              </w:rPr>
              <w:t>U-0.037</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047831A6"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u w:val="single"/>
                <w:lang w:bidi="en-US"/>
              </w:rPr>
              <w:t>U-0.031</w:t>
            </w:r>
          </w:p>
        </w:tc>
      </w:tr>
      <w:tr w:rsidR="00DB1AEE" w:rsidRPr="00DB1AEE" w14:paraId="0E299FE1" w14:textId="77777777" w:rsidTr="00FC1832">
        <w:trPr>
          <w:trHeight w:val="30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6CD45BE" w14:textId="77777777" w:rsidR="00DB1AEE" w:rsidRPr="00DB1AEE" w:rsidRDefault="00DB1AEE" w:rsidP="00DB1AEE">
            <w:pPr>
              <w:widowControl w:val="0"/>
              <w:suppressAutoHyphens/>
              <w:autoSpaceDE w:val="0"/>
              <w:autoSpaceDN w:val="0"/>
              <w:spacing w:before="179"/>
              <w:ind w:left="33"/>
              <w:jc w:val="center"/>
              <w:rPr>
                <w:szCs w:val="24"/>
                <w:lang w:bidi="en-US"/>
              </w:rPr>
            </w:pPr>
          </w:p>
        </w:tc>
        <w:tc>
          <w:tcPr>
            <w:tcW w:w="2070" w:type="dxa"/>
            <w:tcBorders>
              <w:top w:val="single" w:sz="6" w:space="0" w:color="000000"/>
              <w:left w:val="single" w:sz="6" w:space="0" w:color="000000"/>
              <w:bottom w:val="single" w:sz="6" w:space="0" w:color="000000"/>
              <w:right w:val="single" w:sz="6" w:space="0" w:color="000000"/>
            </w:tcBorders>
            <w:vAlign w:val="center"/>
            <w:hideMark/>
          </w:tcPr>
          <w:p w14:paraId="1BF98116"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lang w:bidi="en-US"/>
              </w:rPr>
              <w:t xml:space="preserve">Double </w:t>
            </w:r>
            <w:r w:rsidRPr="00DB1AEE">
              <w:rPr>
                <w:szCs w:val="24"/>
                <w:u w:val="single"/>
                <w:lang w:bidi="en-US"/>
              </w:rPr>
              <w:t>glazing</w:t>
            </w:r>
            <w:r w:rsidRPr="00DB1AEE">
              <w:rPr>
                <w:szCs w:val="24"/>
                <w:lang w:bidi="en-US"/>
              </w:rPr>
              <w:t xml:space="preserve"> with no low-e coatings</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4DD9F485"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u w:val="single"/>
                <w:lang w:bidi="en-US"/>
              </w:rPr>
              <w:t>U-0.356</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D866FC1"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u w:val="single"/>
                <w:lang w:bidi="en-US"/>
              </w:rPr>
              <w:t>U-0.147</w:t>
            </w:r>
          </w:p>
          <w:p w14:paraId="697A05FE" w14:textId="77777777" w:rsidR="00DB1AEE" w:rsidRPr="00DB1AEE" w:rsidRDefault="00DB1AEE" w:rsidP="00DB1AEE">
            <w:pPr>
              <w:widowControl w:val="0"/>
              <w:suppressAutoHyphens/>
              <w:autoSpaceDE w:val="0"/>
              <w:autoSpaceDN w:val="0"/>
              <w:spacing w:before="179"/>
              <w:ind w:left="33"/>
              <w:jc w:val="center"/>
              <w:rPr>
                <w:szCs w:val="24"/>
                <w:lang w:bidi="en-US"/>
              </w:rPr>
            </w:pP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0944DB09"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u w:val="single"/>
                <w:lang w:bidi="en-US"/>
              </w:rPr>
              <w:t>U-0.102</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193A21E"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u w:val="single"/>
                <w:lang w:bidi="en-US"/>
              </w:rPr>
              <w:t>U-0.078</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07BF1512"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u w:val="single"/>
                <w:lang w:bidi="en-US"/>
              </w:rPr>
              <w:t>U-0.056</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4898018B"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u w:val="single"/>
                <w:lang w:bidi="en-US"/>
              </w:rPr>
              <w:t>U-0.044</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0A801F92"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u w:val="single"/>
                <w:lang w:bidi="en-US"/>
              </w:rPr>
              <w:t>U-0.036</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047D0FE"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u w:val="single"/>
                <w:lang w:bidi="en-US"/>
              </w:rPr>
              <w:t>U-0.030</w:t>
            </w:r>
          </w:p>
        </w:tc>
      </w:tr>
      <w:tr w:rsidR="00DB1AEE" w:rsidRPr="00DB1AEE" w14:paraId="6EB82A8F" w14:textId="77777777" w:rsidTr="00FC1832">
        <w:trPr>
          <w:trHeight w:val="30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DE73B19" w14:textId="77777777" w:rsidR="00DB1AEE" w:rsidRPr="00DB1AEE" w:rsidRDefault="00DB1AEE" w:rsidP="00DB1AEE">
            <w:pPr>
              <w:widowControl w:val="0"/>
              <w:suppressAutoHyphens/>
              <w:autoSpaceDE w:val="0"/>
              <w:autoSpaceDN w:val="0"/>
              <w:spacing w:before="179"/>
              <w:ind w:left="33"/>
              <w:jc w:val="center"/>
              <w:rPr>
                <w:szCs w:val="24"/>
                <w:lang w:bidi="en-US"/>
              </w:rPr>
            </w:pPr>
          </w:p>
        </w:tc>
        <w:tc>
          <w:tcPr>
            <w:tcW w:w="2070" w:type="dxa"/>
            <w:tcBorders>
              <w:top w:val="single" w:sz="6" w:space="0" w:color="000000"/>
              <w:left w:val="single" w:sz="6" w:space="0" w:color="000000"/>
              <w:bottom w:val="single" w:sz="6" w:space="0" w:color="000000"/>
              <w:right w:val="single" w:sz="6" w:space="0" w:color="000000"/>
            </w:tcBorders>
            <w:vAlign w:val="center"/>
            <w:hideMark/>
          </w:tcPr>
          <w:p w14:paraId="5AD32F68"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lang w:bidi="en-US"/>
              </w:rPr>
              <w:t xml:space="preserve">Triple </w:t>
            </w:r>
            <w:r w:rsidRPr="00DB1AEE">
              <w:rPr>
                <w:szCs w:val="24"/>
                <w:u w:val="single"/>
                <w:lang w:bidi="en-US"/>
              </w:rPr>
              <w:t>glazing</w:t>
            </w:r>
            <w:r w:rsidRPr="00DB1AEE">
              <w:rPr>
                <w:szCs w:val="24"/>
                <w:lang w:bidi="en-US"/>
              </w:rPr>
              <w:t xml:space="preserve"> or </w:t>
            </w:r>
            <w:r w:rsidRPr="00DB1AEE">
              <w:rPr>
                <w:szCs w:val="24"/>
                <w:u w:val="single"/>
                <w:lang w:bidi="en-US"/>
              </w:rPr>
              <w:t>double glazing with</w:t>
            </w:r>
            <w:r w:rsidRPr="00DB1AEE">
              <w:rPr>
                <w:szCs w:val="24"/>
                <w:lang w:bidi="en-US"/>
              </w:rPr>
              <w:t xml:space="preserve"> low-e glass</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2CE9666"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u w:val="single"/>
                <w:lang w:bidi="en-US"/>
              </w:rPr>
              <w:t>U-0.313</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A6CBD4A"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u w:val="single"/>
                <w:lang w:bidi="en-US"/>
              </w:rPr>
              <w:t>U-0.139</w:t>
            </w:r>
          </w:p>
          <w:p w14:paraId="38A6B200" w14:textId="77777777" w:rsidR="00DB1AEE" w:rsidRPr="00DB1AEE" w:rsidRDefault="00DB1AEE" w:rsidP="00DB1AEE">
            <w:pPr>
              <w:widowControl w:val="0"/>
              <w:suppressAutoHyphens/>
              <w:autoSpaceDE w:val="0"/>
              <w:autoSpaceDN w:val="0"/>
              <w:spacing w:before="179"/>
              <w:ind w:left="33"/>
              <w:jc w:val="center"/>
              <w:rPr>
                <w:szCs w:val="24"/>
                <w:lang w:bidi="en-US"/>
              </w:rPr>
            </w:pP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6E07760D"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u w:val="single"/>
                <w:lang w:bidi="en-US"/>
              </w:rPr>
              <w:t>U-0.098</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2F48B893"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u w:val="single"/>
                <w:lang w:bidi="en-US"/>
              </w:rPr>
              <w:t>U-0.076</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13DDAFF4"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u w:val="single"/>
                <w:lang w:bidi="en-US"/>
              </w:rPr>
              <w:t>U-0.055</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AB3E13B"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u w:val="single"/>
                <w:lang w:bidi="en-US"/>
              </w:rPr>
              <w:t>U-0.043</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21D47A1D"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u w:val="single"/>
                <w:lang w:bidi="en-US"/>
              </w:rPr>
              <w:t>U-0.035</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6F5D70AA" w14:textId="77777777" w:rsidR="00DB1AEE" w:rsidRPr="00DB1AEE" w:rsidRDefault="00DB1AEE" w:rsidP="00DB1AEE">
            <w:pPr>
              <w:widowControl w:val="0"/>
              <w:suppressAutoHyphens/>
              <w:autoSpaceDE w:val="0"/>
              <w:autoSpaceDN w:val="0"/>
              <w:spacing w:before="179"/>
              <w:ind w:left="33"/>
              <w:jc w:val="center"/>
              <w:rPr>
                <w:szCs w:val="24"/>
                <w:lang w:bidi="en-US"/>
              </w:rPr>
            </w:pPr>
            <w:r w:rsidRPr="00DB1AEE">
              <w:rPr>
                <w:szCs w:val="24"/>
                <w:u w:val="single"/>
                <w:lang w:bidi="en-US"/>
              </w:rPr>
              <w:t>U-0.030</w:t>
            </w:r>
          </w:p>
        </w:tc>
      </w:tr>
    </w:tbl>
    <w:p w14:paraId="2A459315" w14:textId="77777777" w:rsidR="00DB1AEE" w:rsidRPr="00DB1AEE" w:rsidRDefault="00DB1AEE" w:rsidP="00DB1AEE">
      <w:pPr>
        <w:widowControl w:val="0"/>
        <w:suppressAutoHyphens/>
        <w:spacing w:before="130" w:after="130"/>
        <w:ind w:left="648" w:hanging="288"/>
        <w:jc w:val="left"/>
        <w:rPr>
          <w:u w:val="single"/>
        </w:rPr>
      </w:pPr>
      <w:r w:rsidRPr="00DB1AEE">
        <w:rPr>
          <w:u w:val="single"/>
        </w:rPr>
        <w:t>a .Extrapolation outside of the table and interpolation between values in the table shall not be permitted. Assemblies with distance between framing less than 30 inches (762 mm), or not included in the default table, shall have a U-factor determined by testing in compliance with ASTM C1363 or modeling in compliance with ANSI/NFRC 100. Spandrel panel assemblies in the table do not include metal backpans. For designs with metal backpans, multiply the U-factor by 1.20. U-factors for spandrel panels include a 3/4 in. air gap and 5/8 in. gypsum board with Rvalue of 0.56 for the interior finish. The gypsum board is assumed to span between the window sill and a channel at the floor.</w:t>
      </w:r>
    </w:p>
    <w:p w14:paraId="4A284C18" w14:textId="77777777" w:rsidR="00DB1AEE" w:rsidRPr="00DB1AEE" w:rsidRDefault="00DB1AEE" w:rsidP="00DB1AEE">
      <w:pPr>
        <w:widowControl w:val="0"/>
        <w:suppressAutoHyphens/>
        <w:spacing w:before="130" w:after="130"/>
        <w:ind w:left="648" w:hanging="288"/>
        <w:jc w:val="left"/>
        <w:rPr>
          <w:u w:val="single"/>
        </w:rPr>
      </w:pPr>
      <w:r w:rsidRPr="00DB1AEE">
        <w:rPr>
          <w:u w:val="single"/>
        </w:rPr>
        <w:t>b. This frame type shall be used for systems that do not contain a non-metallic element that separates the metal exposed to the exterior from the metal that is exposed to the interior condition.</w:t>
      </w:r>
    </w:p>
    <w:p w14:paraId="06FC08CB" w14:textId="77777777" w:rsidR="00DB1AEE" w:rsidRPr="00DB1AEE" w:rsidRDefault="00DB1AEE" w:rsidP="00DB1AEE">
      <w:pPr>
        <w:widowControl w:val="0"/>
        <w:suppressAutoHyphens/>
        <w:spacing w:before="130" w:after="130"/>
        <w:ind w:left="648" w:hanging="288"/>
        <w:jc w:val="left"/>
        <w:rPr>
          <w:u w:val="single"/>
        </w:rPr>
      </w:pPr>
      <w:r w:rsidRPr="00DB1AEE">
        <w:rPr>
          <w:u w:val="single"/>
        </w:rPr>
        <w:t>c. This frame type shall be used for systems where a urethane or other non-metallic element separates the metal exposed to the exterior from the metal that is exposed to the interior condition.</w:t>
      </w:r>
    </w:p>
    <w:p w14:paraId="0DE9FF95" w14:textId="77777777" w:rsidR="00DB1AEE" w:rsidRPr="00DB1AEE" w:rsidRDefault="00DB1AEE" w:rsidP="00DB1AEE">
      <w:pPr>
        <w:widowControl w:val="0"/>
        <w:suppressAutoHyphens/>
        <w:spacing w:before="130" w:after="130"/>
        <w:ind w:left="648" w:hanging="288"/>
        <w:jc w:val="left"/>
        <w:rPr>
          <w:u w:val="single"/>
        </w:rPr>
      </w:pPr>
      <w:r w:rsidRPr="00DB1AEE">
        <w:rPr>
          <w:u w:val="single"/>
        </w:rPr>
        <w:t>d. This frame type shall be used for systems that have no exposed mullion on the interior exterior.</w:t>
      </w:r>
    </w:p>
    <w:p w14:paraId="64FEB491" w14:textId="77777777" w:rsidR="00DB1AEE" w:rsidRPr="00DB1AEE" w:rsidRDefault="00DB1AEE" w:rsidP="00DB1AEE">
      <w:pPr>
        <w:widowControl w:val="0"/>
        <w:suppressAutoHyphens/>
        <w:spacing w:before="130" w:after="130"/>
        <w:ind w:left="648" w:hanging="288"/>
        <w:jc w:val="left"/>
        <w:rPr>
          <w:u w:val="single"/>
        </w:rPr>
      </w:pPr>
      <w:r w:rsidRPr="00DB1AEE">
        <w:rPr>
          <w:u w:val="single"/>
        </w:rPr>
        <w:t>e This frame type shall be used for systems where there is no framing, or the insulation is continuous across and uninterrupted by the framing (also known as mullion wrap).</w:t>
      </w:r>
    </w:p>
    <w:p w14:paraId="1A621CC8" w14:textId="77777777" w:rsidR="00DB1AEE" w:rsidRPr="00DB1AEE" w:rsidRDefault="00DB1AEE" w:rsidP="00DB1AEE">
      <w:pPr>
        <w:widowControl w:val="0"/>
        <w:suppressAutoHyphens/>
        <w:spacing w:before="130" w:after="130"/>
        <w:jc w:val="left"/>
        <w:rPr>
          <w:b/>
          <w:bCs/>
          <w:u w:val="single"/>
        </w:rPr>
      </w:pPr>
      <w:r w:rsidRPr="00DB1AEE">
        <w:rPr>
          <w:b/>
          <w:bCs/>
          <w:u w:val="single"/>
        </w:rPr>
        <w:t>Table 5.5-4 Building Envelope Requirements for Climate Zone 4 (A,B,C)*</w:t>
      </w:r>
    </w:p>
    <w:p w14:paraId="40F6F308" w14:textId="77777777" w:rsidR="00DB1AEE" w:rsidRPr="00DB1AEE" w:rsidRDefault="00DB1AEE" w:rsidP="00DB1AEE">
      <w:pPr>
        <w:widowControl w:val="0"/>
        <w:suppressAutoHyphens/>
        <w:spacing w:before="130" w:after="130"/>
        <w:jc w:val="left"/>
        <w:rPr>
          <w:u w:val="single"/>
        </w:rPr>
      </w:pPr>
      <w:r w:rsidRPr="00DB1AEE">
        <w:rPr>
          <w:u w:val="single"/>
        </w:rPr>
        <w:t>Table 5.5-4- Revise Table 5.5-4 to read as follows:</w:t>
      </w:r>
    </w:p>
    <w:p w14:paraId="5CD65398" w14:textId="77777777" w:rsidR="00DB1AEE" w:rsidRPr="00DB1AEE" w:rsidRDefault="00DB1AEE" w:rsidP="00DB1AEE">
      <w:pPr>
        <w:widowControl w:val="0"/>
        <w:suppressAutoHyphens/>
        <w:spacing w:before="130" w:after="130"/>
        <w:jc w:val="left"/>
        <w:rPr>
          <w:b/>
          <w:bCs/>
          <w:u w:val="single"/>
        </w:rPr>
      </w:pPr>
      <w:r w:rsidRPr="00DB1AEE">
        <w:rPr>
          <w:b/>
          <w:bCs/>
          <w:u w:val="single"/>
        </w:rPr>
        <w:t>Table 5.5-4 Building Envelope Requirements for Climate Zone 4 (A,B,C)*</w:t>
      </w:r>
    </w:p>
    <w:tbl>
      <w:tblPr>
        <w:tblW w:w="10215" w:type="dxa"/>
        <w:tblInd w:w="113" w:type="dxa"/>
        <w:tblLook w:val="04A0" w:firstRow="1" w:lastRow="0" w:firstColumn="1" w:lastColumn="0" w:noHBand="0" w:noVBand="1"/>
      </w:tblPr>
      <w:tblGrid>
        <w:gridCol w:w="1533"/>
        <w:gridCol w:w="936"/>
        <w:gridCol w:w="936"/>
        <w:gridCol w:w="997"/>
        <w:gridCol w:w="936"/>
        <w:gridCol w:w="936"/>
        <w:gridCol w:w="997"/>
        <w:gridCol w:w="936"/>
        <w:gridCol w:w="434"/>
        <w:gridCol w:w="502"/>
        <w:gridCol w:w="1072"/>
      </w:tblGrid>
      <w:tr w:rsidR="00DB1AEE" w:rsidRPr="00DB1AEE" w14:paraId="0F4D3B05" w14:textId="77777777" w:rsidTr="00FC1832">
        <w:trPr>
          <w:trHeight w:val="349"/>
        </w:trPr>
        <w:tc>
          <w:tcPr>
            <w:tcW w:w="1533" w:type="dxa"/>
            <w:tcBorders>
              <w:top w:val="single" w:sz="4" w:space="0" w:color="auto"/>
              <w:left w:val="single" w:sz="4" w:space="0" w:color="auto"/>
              <w:bottom w:val="single" w:sz="4" w:space="0" w:color="auto"/>
              <w:right w:val="single" w:sz="4" w:space="0" w:color="auto"/>
            </w:tcBorders>
            <w:vAlign w:val="center"/>
            <w:hideMark/>
          </w:tcPr>
          <w:p w14:paraId="2551D852" w14:textId="77777777" w:rsidR="00DB1AEE" w:rsidRPr="00DB1AEE" w:rsidRDefault="00DB1AEE" w:rsidP="00DB1AEE">
            <w:pPr>
              <w:jc w:val="center"/>
              <w:rPr>
                <w:b/>
                <w:bCs/>
                <w:color w:val="000000"/>
                <w:sz w:val="20"/>
              </w:rPr>
            </w:pPr>
          </w:p>
        </w:tc>
        <w:tc>
          <w:tcPr>
            <w:tcW w:w="2869" w:type="dxa"/>
            <w:gridSpan w:val="3"/>
            <w:tcBorders>
              <w:top w:val="single" w:sz="4" w:space="0" w:color="auto"/>
              <w:left w:val="single" w:sz="4" w:space="0" w:color="auto"/>
              <w:bottom w:val="single" w:sz="4" w:space="0" w:color="auto"/>
              <w:right w:val="single" w:sz="4" w:space="0" w:color="auto"/>
            </w:tcBorders>
            <w:vAlign w:val="center"/>
          </w:tcPr>
          <w:p w14:paraId="4FE47D0F" w14:textId="77777777" w:rsidR="00DB1AEE" w:rsidRPr="00DB1AEE" w:rsidRDefault="00DB1AEE" w:rsidP="00DB1AEE">
            <w:pPr>
              <w:jc w:val="center"/>
              <w:rPr>
                <w:b/>
                <w:bCs/>
                <w:sz w:val="18"/>
                <w:szCs w:val="18"/>
              </w:rPr>
            </w:pPr>
            <w:r w:rsidRPr="00DB1AEE">
              <w:rPr>
                <w:b/>
                <w:bCs/>
                <w:sz w:val="18"/>
                <w:szCs w:val="18"/>
              </w:rPr>
              <w:t>Nonresidential</w:t>
            </w:r>
          </w:p>
        </w:tc>
        <w:tc>
          <w:tcPr>
            <w:tcW w:w="2869" w:type="dxa"/>
            <w:gridSpan w:val="3"/>
            <w:tcBorders>
              <w:top w:val="single" w:sz="4" w:space="0" w:color="auto"/>
              <w:left w:val="single" w:sz="4" w:space="0" w:color="auto"/>
              <w:bottom w:val="single" w:sz="4" w:space="0" w:color="auto"/>
              <w:right w:val="single" w:sz="4" w:space="0" w:color="auto"/>
            </w:tcBorders>
            <w:vAlign w:val="center"/>
          </w:tcPr>
          <w:p w14:paraId="0B9E75EE" w14:textId="77777777" w:rsidR="00DB1AEE" w:rsidRPr="00DB1AEE" w:rsidRDefault="00DB1AEE" w:rsidP="00DB1AEE">
            <w:pPr>
              <w:jc w:val="center"/>
              <w:rPr>
                <w:b/>
                <w:bCs/>
                <w:color w:val="000000"/>
                <w:sz w:val="20"/>
              </w:rPr>
            </w:pPr>
            <w:r w:rsidRPr="00DB1AEE">
              <w:rPr>
                <w:b/>
                <w:bCs/>
                <w:sz w:val="18"/>
                <w:szCs w:val="18"/>
              </w:rPr>
              <w:t>Residential</w:t>
            </w:r>
          </w:p>
        </w:tc>
        <w:tc>
          <w:tcPr>
            <w:tcW w:w="2944" w:type="dxa"/>
            <w:gridSpan w:val="4"/>
            <w:tcBorders>
              <w:top w:val="single" w:sz="4" w:space="0" w:color="auto"/>
              <w:left w:val="single" w:sz="4" w:space="0" w:color="auto"/>
              <w:bottom w:val="single" w:sz="4" w:space="0" w:color="auto"/>
              <w:right w:val="single" w:sz="4" w:space="0" w:color="auto"/>
            </w:tcBorders>
            <w:vAlign w:val="center"/>
            <w:hideMark/>
          </w:tcPr>
          <w:p w14:paraId="591ED7E4" w14:textId="77777777" w:rsidR="00DB1AEE" w:rsidRPr="00DB1AEE" w:rsidRDefault="00DB1AEE" w:rsidP="00DB1AEE">
            <w:pPr>
              <w:jc w:val="center"/>
              <w:rPr>
                <w:b/>
                <w:bCs/>
                <w:sz w:val="18"/>
                <w:szCs w:val="18"/>
              </w:rPr>
            </w:pPr>
            <w:r w:rsidRPr="00DB1AEE">
              <w:rPr>
                <w:b/>
                <w:bCs/>
                <w:sz w:val="18"/>
                <w:szCs w:val="18"/>
              </w:rPr>
              <w:t>Semiheated</w:t>
            </w:r>
          </w:p>
        </w:tc>
      </w:tr>
      <w:tr w:rsidR="00DB1AEE" w:rsidRPr="00DB1AEE" w14:paraId="09FBDF59" w14:textId="77777777" w:rsidTr="00FC1832">
        <w:trPr>
          <w:trHeight w:val="552"/>
        </w:trPr>
        <w:tc>
          <w:tcPr>
            <w:tcW w:w="1533" w:type="dxa"/>
            <w:tcBorders>
              <w:top w:val="nil"/>
              <w:left w:val="single" w:sz="4" w:space="0" w:color="auto"/>
              <w:bottom w:val="single" w:sz="4" w:space="0" w:color="auto"/>
              <w:right w:val="single" w:sz="4" w:space="0" w:color="auto"/>
            </w:tcBorders>
            <w:vAlign w:val="center"/>
            <w:hideMark/>
          </w:tcPr>
          <w:p w14:paraId="20DDE597" w14:textId="77777777" w:rsidR="00DB1AEE" w:rsidRPr="00DB1AEE" w:rsidRDefault="00DB1AEE" w:rsidP="00DB1AEE">
            <w:pPr>
              <w:jc w:val="center"/>
              <w:rPr>
                <w:b/>
                <w:bCs/>
                <w:sz w:val="18"/>
                <w:szCs w:val="18"/>
              </w:rPr>
            </w:pPr>
            <w:r w:rsidRPr="00DB1AEE">
              <w:rPr>
                <w:b/>
                <w:bCs/>
                <w:sz w:val="18"/>
                <w:szCs w:val="18"/>
              </w:rPr>
              <w:t>Opaque Elements</w:t>
            </w:r>
          </w:p>
        </w:tc>
        <w:tc>
          <w:tcPr>
            <w:tcW w:w="1872" w:type="dxa"/>
            <w:gridSpan w:val="2"/>
            <w:tcBorders>
              <w:top w:val="nil"/>
              <w:left w:val="nil"/>
              <w:bottom w:val="single" w:sz="4" w:space="0" w:color="auto"/>
              <w:right w:val="single" w:sz="4" w:space="0" w:color="auto"/>
            </w:tcBorders>
            <w:hideMark/>
          </w:tcPr>
          <w:p w14:paraId="7BBDA339" w14:textId="77777777" w:rsidR="00DB1AEE" w:rsidRPr="00DB1AEE" w:rsidRDefault="00DB1AEE" w:rsidP="00DB1AEE">
            <w:pPr>
              <w:jc w:val="left"/>
              <w:rPr>
                <w:b/>
                <w:bCs/>
                <w:sz w:val="18"/>
                <w:szCs w:val="18"/>
              </w:rPr>
            </w:pPr>
            <w:r w:rsidRPr="00DB1AEE">
              <w:rPr>
                <w:b/>
                <w:bCs/>
                <w:sz w:val="18"/>
                <w:szCs w:val="18"/>
              </w:rPr>
              <w:t>Assembly Maximum</w:t>
            </w:r>
          </w:p>
        </w:tc>
        <w:tc>
          <w:tcPr>
            <w:tcW w:w="997" w:type="dxa"/>
            <w:tcBorders>
              <w:top w:val="single" w:sz="4" w:space="0" w:color="auto"/>
              <w:bottom w:val="single" w:sz="4" w:space="0" w:color="auto"/>
              <w:right w:val="single" w:sz="4" w:space="0" w:color="auto"/>
            </w:tcBorders>
          </w:tcPr>
          <w:p w14:paraId="352BCBF3" w14:textId="77777777" w:rsidR="00DB1AEE" w:rsidRPr="00DB1AEE" w:rsidRDefault="00DB1AEE" w:rsidP="00DB1AEE">
            <w:pPr>
              <w:jc w:val="left"/>
              <w:rPr>
                <w:b/>
                <w:bCs/>
                <w:sz w:val="18"/>
                <w:szCs w:val="18"/>
              </w:rPr>
            </w:pPr>
            <w:r w:rsidRPr="00DB1AEE">
              <w:rPr>
                <w:b/>
                <w:bCs/>
                <w:sz w:val="18"/>
                <w:szCs w:val="18"/>
              </w:rPr>
              <w:t xml:space="preserve">Insulation Min. R-Value            </w:t>
            </w:r>
          </w:p>
        </w:tc>
        <w:tc>
          <w:tcPr>
            <w:tcW w:w="1872" w:type="dxa"/>
            <w:gridSpan w:val="2"/>
            <w:tcBorders>
              <w:top w:val="single" w:sz="4" w:space="0" w:color="auto"/>
              <w:left w:val="single" w:sz="4" w:space="0" w:color="auto"/>
              <w:bottom w:val="single" w:sz="4" w:space="0" w:color="auto"/>
              <w:right w:val="single" w:sz="4" w:space="0" w:color="auto"/>
            </w:tcBorders>
          </w:tcPr>
          <w:p w14:paraId="6C3C080F" w14:textId="77777777" w:rsidR="00DB1AEE" w:rsidRPr="00DB1AEE" w:rsidRDefault="00DB1AEE" w:rsidP="00DB1AEE">
            <w:pPr>
              <w:jc w:val="left"/>
              <w:rPr>
                <w:b/>
                <w:bCs/>
                <w:sz w:val="18"/>
                <w:szCs w:val="18"/>
              </w:rPr>
            </w:pPr>
            <w:r w:rsidRPr="00DB1AEE">
              <w:rPr>
                <w:b/>
                <w:bCs/>
                <w:sz w:val="18"/>
                <w:szCs w:val="18"/>
              </w:rPr>
              <w:t>Assembly Maximum</w:t>
            </w:r>
          </w:p>
        </w:tc>
        <w:tc>
          <w:tcPr>
            <w:tcW w:w="997" w:type="dxa"/>
            <w:tcBorders>
              <w:top w:val="single" w:sz="4" w:space="0" w:color="auto"/>
              <w:left w:val="single" w:sz="4" w:space="0" w:color="auto"/>
              <w:bottom w:val="single" w:sz="4" w:space="0" w:color="auto"/>
              <w:right w:val="single" w:sz="4" w:space="0" w:color="auto"/>
            </w:tcBorders>
          </w:tcPr>
          <w:p w14:paraId="560E1F09" w14:textId="77777777" w:rsidR="00DB1AEE" w:rsidRPr="00DB1AEE" w:rsidRDefault="00DB1AEE" w:rsidP="00DB1AEE">
            <w:pPr>
              <w:jc w:val="left"/>
              <w:rPr>
                <w:b/>
                <w:bCs/>
                <w:sz w:val="18"/>
                <w:szCs w:val="18"/>
              </w:rPr>
            </w:pPr>
            <w:r w:rsidRPr="00DB1AEE">
              <w:rPr>
                <w:b/>
                <w:bCs/>
                <w:sz w:val="18"/>
                <w:szCs w:val="18"/>
              </w:rPr>
              <w:t>Insulation</w:t>
            </w:r>
          </w:p>
          <w:p w14:paraId="76C97236" w14:textId="77777777" w:rsidR="00DB1AEE" w:rsidRPr="00DB1AEE" w:rsidRDefault="00DB1AEE" w:rsidP="00DB1AEE">
            <w:pPr>
              <w:jc w:val="left"/>
              <w:rPr>
                <w:b/>
                <w:bCs/>
                <w:sz w:val="18"/>
                <w:szCs w:val="18"/>
              </w:rPr>
            </w:pPr>
            <w:r w:rsidRPr="00DB1AEE">
              <w:rPr>
                <w:sz w:val="18"/>
                <w:szCs w:val="18"/>
              </w:rPr>
              <w:t xml:space="preserve">Min. </w:t>
            </w:r>
            <w:r w:rsidRPr="00DB1AEE">
              <w:rPr>
                <w:b/>
                <w:bCs/>
                <w:sz w:val="18"/>
                <w:szCs w:val="18"/>
              </w:rPr>
              <w:t>R-Value</w:t>
            </w:r>
          </w:p>
        </w:tc>
        <w:tc>
          <w:tcPr>
            <w:tcW w:w="1370" w:type="dxa"/>
            <w:gridSpan w:val="2"/>
            <w:tcBorders>
              <w:top w:val="nil"/>
              <w:left w:val="single" w:sz="4" w:space="0" w:color="auto"/>
              <w:bottom w:val="single" w:sz="4" w:space="0" w:color="auto"/>
              <w:right w:val="single" w:sz="4" w:space="0" w:color="auto"/>
            </w:tcBorders>
            <w:hideMark/>
          </w:tcPr>
          <w:p w14:paraId="292F6892" w14:textId="77777777" w:rsidR="00DB1AEE" w:rsidRPr="00DB1AEE" w:rsidRDefault="00DB1AEE" w:rsidP="00DB1AEE">
            <w:pPr>
              <w:jc w:val="left"/>
              <w:rPr>
                <w:b/>
                <w:bCs/>
                <w:sz w:val="18"/>
                <w:szCs w:val="18"/>
              </w:rPr>
            </w:pPr>
            <w:r w:rsidRPr="00DB1AEE">
              <w:rPr>
                <w:b/>
                <w:bCs/>
                <w:sz w:val="18"/>
                <w:szCs w:val="18"/>
              </w:rPr>
              <w:t>Assembly Maximum</w:t>
            </w:r>
          </w:p>
        </w:tc>
        <w:tc>
          <w:tcPr>
            <w:tcW w:w="1574" w:type="dxa"/>
            <w:gridSpan w:val="2"/>
            <w:tcBorders>
              <w:top w:val="nil"/>
              <w:left w:val="nil"/>
              <w:bottom w:val="single" w:sz="4" w:space="0" w:color="auto"/>
              <w:right w:val="single" w:sz="4" w:space="0" w:color="auto"/>
            </w:tcBorders>
            <w:hideMark/>
          </w:tcPr>
          <w:p w14:paraId="1ACB72B2" w14:textId="77777777" w:rsidR="00DB1AEE" w:rsidRPr="00DB1AEE" w:rsidRDefault="00DB1AEE" w:rsidP="00DB1AEE">
            <w:pPr>
              <w:ind w:firstLineChars="300" w:firstLine="540"/>
              <w:jc w:val="left"/>
              <w:rPr>
                <w:b/>
                <w:bCs/>
                <w:sz w:val="18"/>
                <w:szCs w:val="18"/>
              </w:rPr>
            </w:pPr>
            <w:r w:rsidRPr="00DB1AEE">
              <w:rPr>
                <w:b/>
                <w:bCs/>
                <w:sz w:val="18"/>
                <w:szCs w:val="18"/>
              </w:rPr>
              <w:t>Insulation Min. R-Value</w:t>
            </w:r>
          </w:p>
        </w:tc>
      </w:tr>
      <w:tr w:rsidR="00DB1AEE" w:rsidRPr="00DB1AEE" w14:paraId="2F0CF7B0" w14:textId="77777777" w:rsidTr="00FC1832">
        <w:trPr>
          <w:trHeight w:val="330"/>
        </w:trPr>
        <w:tc>
          <w:tcPr>
            <w:tcW w:w="10215" w:type="dxa"/>
            <w:gridSpan w:val="11"/>
            <w:tcBorders>
              <w:top w:val="single" w:sz="4" w:space="0" w:color="auto"/>
              <w:left w:val="single" w:sz="4" w:space="0" w:color="auto"/>
              <w:bottom w:val="single" w:sz="4" w:space="0" w:color="auto"/>
              <w:right w:val="single" w:sz="4" w:space="0" w:color="auto"/>
            </w:tcBorders>
            <w:vAlign w:val="bottom"/>
            <w:hideMark/>
          </w:tcPr>
          <w:p w14:paraId="1EB41427" w14:textId="77777777" w:rsidR="00DB1AEE" w:rsidRPr="00DB1AEE" w:rsidRDefault="00DB1AEE" w:rsidP="00DB1AEE">
            <w:pPr>
              <w:jc w:val="center"/>
              <w:rPr>
                <w:color w:val="000000"/>
                <w:sz w:val="28"/>
                <w:szCs w:val="28"/>
              </w:rPr>
            </w:pPr>
            <w:r w:rsidRPr="00DB1AEE">
              <w:rPr>
                <w:i/>
                <w:iCs/>
                <w:sz w:val="20"/>
              </w:rPr>
              <w:t>Roofs</w:t>
            </w:r>
          </w:p>
          <w:p w14:paraId="7D75E632" w14:textId="77777777" w:rsidR="00DB1AEE" w:rsidRPr="00DB1AEE" w:rsidRDefault="00DB1AEE" w:rsidP="00DB1AEE">
            <w:pPr>
              <w:jc w:val="center"/>
              <w:rPr>
                <w:color w:val="000000"/>
                <w:sz w:val="20"/>
              </w:rPr>
            </w:pPr>
          </w:p>
        </w:tc>
      </w:tr>
      <w:tr w:rsidR="00DB1AEE" w:rsidRPr="00DB1AEE" w14:paraId="3D44C844" w14:textId="77777777" w:rsidTr="00FC1832">
        <w:trPr>
          <w:trHeight w:val="514"/>
        </w:trPr>
        <w:tc>
          <w:tcPr>
            <w:tcW w:w="1533" w:type="dxa"/>
            <w:tcBorders>
              <w:top w:val="single" w:sz="4" w:space="0" w:color="auto"/>
              <w:left w:val="single" w:sz="4" w:space="0" w:color="auto"/>
              <w:bottom w:val="single" w:sz="4" w:space="0" w:color="auto"/>
              <w:right w:val="single" w:sz="4" w:space="0" w:color="auto"/>
            </w:tcBorders>
            <w:hideMark/>
          </w:tcPr>
          <w:p w14:paraId="1F86E797" w14:textId="77777777" w:rsidR="00DB1AEE" w:rsidRPr="00DB1AEE" w:rsidRDefault="00DB1AEE" w:rsidP="00DB1AEE">
            <w:pPr>
              <w:ind w:firstLineChars="200" w:firstLine="360"/>
              <w:jc w:val="left"/>
              <w:rPr>
                <w:color w:val="000000"/>
                <w:sz w:val="20"/>
              </w:rPr>
            </w:pPr>
            <w:r w:rsidRPr="00DB1AEE">
              <w:rPr>
                <w:i/>
                <w:iCs/>
                <w:sz w:val="18"/>
                <w:szCs w:val="18"/>
              </w:rPr>
              <w:t>Insulation entirely above deck</w:t>
            </w:r>
          </w:p>
        </w:tc>
        <w:tc>
          <w:tcPr>
            <w:tcW w:w="1872" w:type="dxa"/>
            <w:gridSpan w:val="2"/>
            <w:tcBorders>
              <w:top w:val="single" w:sz="4" w:space="0" w:color="auto"/>
              <w:left w:val="nil"/>
              <w:bottom w:val="single" w:sz="4" w:space="0" w:color="auto"/>
              <w:right w:val="single" w:sz="4" w:space="0" w:color="auto"/>
            </w:tcBorders>
            <w:hideMark/>
          </w:tcPr>
          <w:p w14:paraId="156F5EBB" w14:textId="77777777" w:rsidR="00DB1AEE" w:rsidRPr="00DB1AEE" w:rsidRDefault="00DB1AEE" w:rsidP="00DB1AEE">
            <w:pPr>
              <w:jc w:val="center"/>
              <w:rPr>
                <w:sz w:val="18"/>
                <w:szCs w:val="18"/>
              </w:rPr>
            </w:pPr>
            <w:r w:rsidRPr="00DB1AEE">
              <w:rPr>
                <w:sz w:val="18"/>
                <w:szCs w:val="18"/>
              </w:rPr>
              <w:t>U-0.030</w:t>
            </w:r>
          </w:p>
        </w:tc>
        <w:tc>
          <w:tcPr>
            <w:tcW w:w="997" w:type="dxa"/>
            <w:tcBorders>
              <w:top w:val="single" w:sz="4" w:space="0" w:color="auto"/>
              <w:bottom w:val="single" w:sz="4" w:space="0" w:color="auto"/>
              <w:right w:val="single" w:sz="4" w:space="0" w:color="auto"/>
            </w:tcBorders>
          </w:tcPr>
          <w:p w14:paraId="6C91DB5C" w14:textId="77777777" w:rsidR="00DB1AEE" w:rsidRPr="00DB1AEE" w:rsidRDefault="00DB1AEE" w:rsidP="00DB1AEE">
            <w:pPr>
              <w:jc w:val="center"/>
              <w:rPr>
                <w:sz w:val="18"/>
                <w:szCs w:val="18"/>
              </w:rPr>
            </w:pPr>
            <w:r w:rsidRPr="00DB1AEE">
              <w:rPr>
                <w:sz w:val="18"/>
                <w:szCs w:val="18"/>
              </w:rPr>
              <w:t xml:space="preserve">R-33 </w:t>
            </w:r>
            <w:r w:rsidRPr="00DB1AEE">
              <w:rPr>
                <w:i/>
                <w:iCs/>
                <w:sz w:val="18"/>
                <w:szCs w:val="18"/>
              </w:rPr>
              <w:t>c.i</w:t>
            </w:r>
          </w:p>
        </w:tc>
        <w:tc>
          <w:tcPr>
            <w:tcW w:w="1872" w:type="dxa"/>
            <w:gridSpan w:val="2"/>
            <w:tcBorders>
              <w:top w:val="single" w:sz="4" w:space="0" w:color="auto"/>
              <w:left w:val="single" w:sz="4" w:space="0" w:color="auto"/>
              <w:bottom w:val="single" w:sz="4" w:space="0" w:color="auto"/>
              <w:right w:val="single" w:sz="4" w:space="0" w:color="auto"/>
            </w:tcBorders>
          </w:tcPr>
          <w:p w14:paraId="329957CD" w14:textId="77777777" w:rsidR="00DB1AEE" w:rsidRPr="00DB1AEE" w:rsidRDefault="00DB1AEE" w:rsidP="00DB1AEE">
            <w:pPr>
              <w:jc w:val="center"/>
              <w:rPr>
                <w:sz w:val="18"/>
                <w:szCs w:val="18"/>
              </w:rPr>
            </w:pPr>
            <w:r w:rsidRPr="00DB1AEE">
              <w:rPr>
                <w:sz w:val="18"/>
                <w:szCs w:val="18"/>
              </w:rPr>
              <w:t xml:space="preserve">U-0.030                 </w:t>
            </w:r>
          </w:p>
        </w:tc>
        <w:tc>
          <w:tcPr>
            <w:tcW w:w="997" w:type="dxa"/>
            <w:tcBorders>
              <w:top w:val="single" w:sz="4" w:space="0" w:color="auto"/>
              <w:left w:val="single" w:sz="4" w:space="0" w:color="auto"/>
              <w:bottom w:val="single" w:sz="4" w:space="0" w:color="auto"/>
              <w:right w:val="single" w:sz="4" w:space="0" w:color="auto"/>
            </w:tcBorders>
          </w:tcPr>
          <w:p w14:paraId="3FCA2538" w14:textId="77777777" w:rsidR="00DB1AEE" w:rsidRPr="00DB1AEE" w:rsidRDefault="00DB1AEE" w:rsidP="00DB1AEE">
            <w:pPr>
              <w:jc w:val="center"/>
              <w:rPr>
                <w:sz w:val="18"/>
                <w:szCs w:val="18"/>
              </w:rPr>
            </w:pPr>
            <w:r w:rsidRPr="00DB1AEE">
              <w:rPr>
                <w:sz w:val="18"/>
                <w:szCs w:val="18"/>
              </w:rPr>
              <w:t xml:space="preserve">R-33 </w:t>
            </w:r>
            <w:r w:rsidRPr="00DB1AEE">
              <w:rPr>
                <w:i/>
                <w:iCs/>
                <w:sz w:val="18"/>
                <w:szCs w:val="18"/>
              </w:rPr>
              <w:t>c.i.</w:t>
            </w:r>
          </w:p>
        </w:tc>
        <w:tc>
          <w:tcPr>
            <w:tcW w:w="1370" w:type="dxa"/>
            <w:gridSpan w:val="2"/>
            <w:tcBorders>
              <w:top w:val="single" w:sz="4" w:space="0" w:color="auto"/>
              <w:left w:val="single" w:sz="4" w:space="0" w:color="auto"/>
              <w:bottom w:val="single" w:sz="4" w:space="0" w:color="auto"/>
              <w:right w:val="single" w:sz="4" w:space="0" w:color="auto"/>
            </w:tcBorders>
            <w:hideMark/>
          </w:tcPr>
          <w:p w14:paraId="4902B5B4" w14:textId="77777777" w:rsidR="00DB1AEE" w:rsidRPr="00DB1AEE" w:rsidRDefault="00DB1AEE" w:rsidP="00DB1AEE">
            <w:pPr>
              <w:jc w:val="center"/>
              <w:rPr>
                <w:sz w:val="18"/>
                <w:szCs w:val="18"/>
              </w:rPr>
            </w:pPr>
            <w:r w:rsidRPr="00DB1AEE">
              <w:rPr>
                <w:sz w:val="18"/>
                <w:szCs w:val="18"/>
              </w:rPr>
              <w:t>U-0.093</w:t>
            </w:r>
          </w:p>
        </w:tc>
        <w:tc>
          <w:tcPr>
            <w:tcW w:w="1574" w:type="dxa"/>
            <w:gridSpan w:val="2"/>
            <w:tcBorders>
              <w:top w:val="single" w:sz="4" w:space="0" w:color="auto"/>
              <w:left w:val="nil"/>
              <w:bottom w:val="single" w:sz="4" w:space="0" w:color="auto"/>
              <w:right w:val="single" w:sz="4" w:space="0" w:color="auto"/>
            </w:tcBorders>
            <w:hideMark/>
          </w:tcPr>
          <w:p w14:paraId="08018480" w14:textId="77777777" w:rsidR="00DB1AEE" w:rsidRPr="00DB1AEE" w:rsidRDefault="00DB1AEE" w:rsidP="00DB1AEE">
            <w:pPr>
              <w:jc w:val="center"/>
              <w:rPr>
                <w:sz w:val="18"/>
                <w:szCs w:val="18"/>
              </w:rPr>
            </w:pPr>
            <w:r w:rsidRPr="00DB1AEE">
              <w:rPr>
                <w:sz w:val="18"/>
                <w:szCs w:val="18"/>
              </w:rPr>
              <w:t>R-10 c.i.</w:t>
            </w:r>
          </w:p>
        </w:tc>
      </w:tr>
      <w:tr w:rsidR="00DB1AEE" w:rsidRPr="00DB1AEE" w14:paraId="5102D904" w14:textId="77777777" w:rsidTr="00FC1832">
        <w:trPr>
          <w:trHeight w:val="525"/>
        </w:trPr>
        <w:tc>
          <w:tcPr>
            <w:tcW w:w="1533" w:type="dxa"/>
            <w:tcBorders>
              <w:top w:val="nil"/>
              <w:left w:val="single" w:sz="4" w:space="0" w:color="auto"/>
              <w:bottom w:val="single" w:sz="4" w:space="0" w:color="auto"/>
              <w:right w:val="single" w:sz="4" w:space="0" w:color="auto"/>
            </w:tcBorders>
            <w:hideMark/>
          </w:tcPr>
          <w:p w14:paraId="12C3A129" w14:textId="77777777" w:rsidR="00DB1AEE" w:rsidRPr="00DB1AEE" w:rsidRDefault="00DB1AEE" w:rsidP="00DB1AEE">
            <w:pPr>
              <w:jc w:val="center"/>
              <w:rPr>
                <w:color w:val="000000"/>
                <w:sz w:val="20"/>
              </w:rPr>
            </w:pPr>
            <w:r w:rsidRPr="00DB1AEE">
              <w:rPr>
                <w:i/>
                <w:iCs/>
                <w:sz w:val="18"/>
                <w:szCs w:val="18"/>
              </w:rPr>
              <w:t xml:space="preserve">Pre-Engineered Metal </w:t>
            </w:r>
            <w:r w:rsidRPr="00DB1AEE">
              <w:rPr>
                <w:sz w:val="18"/>
                <w:szCs w:val="18"/>
              </w:rPr>
              <w:t>building</w:t>
            </w:r>
            <w:r w:rsidRPr="00DB1AEE">
              <w:rPr>
                <w:sz w:val="18"/>
                <w:szCs w:val="18"/>
                <w:vertAlign w:val="superscript"/>
              </w:rPr>
              <w:t>a</w:t>
            </w:r>
          </w:p>
        </w:tc>
        <w:tc>
          <w:tcPr>
            <w:tcW w:w="1872" w:type="dxa"/>
            <w:gridSpan w:val="2"/>
            <w:tcBorders>
              <w:top w:val="nil"/>
              <w:left w:val="nil"/>
              <w:bottom w:val="single" w:sz="4" w:space="0" w:color="auto"/>
              <w:right w:val="single" w:sz="4" w:space="0" w:color="auto"/>
            </w:tcBorders>
            <w:hideMark/>
          </w:tcPr>
          <w:p w14:paraId="760A6E2B" w14:textId="77777777" w:rsidR="00DB1AEE" w:rsidRPr="00DB1AEE" w:rsidRDefault="00DB1AEE" w:rsidP="00DB1AEE">
            <w:pPr>
              <w:jc w:val="center"/>
              <w:rPr>
                <w:sz w:val="18"/>
                <w:szCs w:val="18"/>
              </w:rPr>
            </w:pPr>
            <w:r w:rsidRPr="00DB1AEE">
              <w:rPr>
                <w:sz w:val="18"/>
                <w:szCs w:val="18"/>
              </w:rPr>
              <w:t>U-0.035</w:t>
            </w:r>
          </w:p>
        </w:tc>
        <w:tc>
          <w:tcPr>
            <w:tcW w:w="997" w:type="dxa"/>
            <w:tcBorders>
              <w:top w:val="single" w:sz="4" w:space="0" w:color="auto"/>
              <w:bottom w:val="single" w:sz="4" w:space="0" w:color="auto"/>
              <w:right w:val="single" w:sz="4" w:space="0" w:color="auto"/>
            </w:tcBorders>
          </w:tcPr>
          <w:p w14:paraId="09316461" w14:textId="77777777" w:rsidR="00DB1AEE" w:rsidRPr="00DB1AEE" w:rsidRDefault="00DB1AEE" w:rsidP="00DB1AEE">
            <w:pPr>
              <w:jc w:val="center"/>
              <w:rPr>
                <w:sz w:val="18"/>
                <w:szCs w:val="18"/>
              </w:rPr>
            </w:pPr>
            <w:r w:rsidRPr="00DB1AEE">
              <w:rPr>
                <w:sz w:val="18"/>
                <w:szCs w:val="18"/>
              </w:rPr>
              <w:t xml:space="preserve">R-19 + R-11 </w:t>
            </w:r>
            <w:r w:rsidRPr="00DB1AEE">
              <w:rPr>
                <w:i/>
                <w:iCs/>
                <w:sz w:val="18"/>
                <w:szCs w:val="18"/>
              </w:rPr>
              <w:t xml:space="preserve">Ls </w:t>
            </w:r>
            <w:r w:rsidRPr="00DB1AEE">
              <w:rPr>
                <w:sz w:val="18"/>
                <w:szCs w:val="18"/>
              </w:rPr>
              <w:t xml:space="preserve">or or R-25 + R-8 </w:t>
            </w:r>
            <w:r w:rsidRPr="00DB1AEE">
              <w:rPr>
                <w:i/>
                <w:iCs/>
                <w:sz w:val="18"/>
                <w:szCs w:val="18"/>
              </w:rPr>
              <w:t>Ls</w:t>
            </w:r>
          </w:p>
        </w:tc>
        <w:tc>
          <w:tcPr>
            <w:tcW w:w="1872" w:type="dxa"/>
            <w:gridSpan w:val="2"/>
            <w:tcBorders>
              <w:top w:val="single" w:sz="4" w:space="0" w:color="auto"/>
              <w:left w:val="single" w:sz="4" w:space="0" w:color="auto"/>
              <w:bottom w:val="single" w:sz="4" w:space="0" w:color="auto"/>
              <w:right w:val="single" w:sz="4" w:space="0" w:color="auto"/>
            </w:tcBorders>
          </w:tcPr>
          <w:p w14:paraId="46E4A159" w14:textId="77777777" w:rsidR="00DB1AEE" w:rsidRPr="00DB1AEE" w:rsidRDefault="00DB1AEE" w:rsidP="00DB1AEE">
            <w:pPr>
              <w:jc w:val="center"/>
              <w:rPr>
                <w:sz w:val="18"/>
                <w:szCs w:val="18"/>
              </w:rPr>
            </w:pPr>
            <w:r w:rsidRPr="00DB1AEE">
              <w:rPr>
                <w:sz w:val="18"/>
                <w:szCs w:val="18"/>
              </w:rPr>
              <w:t xml:space="preserve">U-0.035          </w:t>
            </w:r>
          </w:p>
        </w:tc>
        <w:tc>
          <w:tcPr>
            <w:tcW w:w="997" w:type="dxa"/>
            <w:tcBorders>
              <w:top w:val="single" w:sz="4" w:space="0" w:color="auto"/>
              <w:left w:val="single" w:sz="4" w:space="0" w:color="auto"/>
              <w:bottom w:val="single" w:sz="4" w:space="0" w:color="auto"/>
              <w:right w:val="single" w:sz="4" w:space="0" w:color="auto"/>
            </w:tcBorders>
          </w:tcPr>
          <w:p w14:paraId="4C0EB171" w14:textId="77777777" w:rsidR="00DB1AEE" w:rsidRPr="00DB1AEE" w:rsidRDefault="00DB1AEE" w:rsidP="00DB1AEE">
            <w:pPr>
              <w:jc w:val="center"/>
              <w:rPr>
                <w:sz w:val="18"/>
                <w:szCs w:val="18"/>
              </w:rPr>
            </w:pPr>
            <w:r w:rsidRPr="00DB1AEE">
              <w:rPr>
                <w:sz w:val="18"/>
                <w:szCs w:val="18"/>
              </w:rPr>
              <w:t xml:space="preserve">R-19 + R-11 </w:t>
            </w:r>
            <w:r w:rsidRPr="00DB1AEE">
              <w:rPr>
                <w:i/>
                <w:iCs/>
                <w:sz w:val="18"/>
                <w:szCs w:val="18"/>
              </w:rPr>
              <w:t xml:space="preserve">Ls or </w:t>
            </w:r>
            <w:r w:rsidRPr="00DB1AEE">
              <w:rPr>
                <w:sz w:val="18"/>
                <w:szCs w:val="18"/>
              </w:rPr>
              <w:t>R-25 + R-8 Ls</w:t>
            </w:r>
          </w:p>
        </w:tc>
        <w:tc>
          <w:tcPr>
            <w:tcW w:w="1370" w:type="dxa"/>
            <w:gridSpan w:val="2"/>
            <w:tcBorders>
              <w:top w:val="nil"/>
              <w:left w:val="single" w:sz="4" w:space="0" w:color="auto"/>
              <w:bottom w:val="single" w:sz="4" w:space="0" w:color="auto"/>
              <w:right w:val="single" w:sz="4" w:space="0" w:color="auto"/>
            </w:tcBorders>
            <w:hideMark/>
          </w:tcPr>
          <w:p w14:paraId="6ABA1B48" w14:textId="77777777" w:rsidR="00DB1AEE" w:rsidRPr="00DB1AEE" w:rsidRDefault="00DB1AEE" w:rsidP="00DB1AEE">
            <w:pPr>
              <w:jc w:val="center"/>
              <w:rPr>
                <w:sz w:val="18"/>
                <w:szCs w:val="18"/>
              </w:rPr>
            </w:pPr>
            <w:r w:rsidRPr="00DB1AEE">
              <w:rPr>
                <w:sz w:val="18"/>
                <w:szCs w:val="18"/>
              </w:rPr>
              <w:t>U-0.082</w:t>
            </w:r>
          </w:p>
        </w:tc>
        <w:tc>
          <w:tcPr>
            <w:tcW w:w="1574" w:type="dxa"/>
            <w:gridSpan w:val="2"/>
            <w:tcBorders>
              <w:top w:val="nil"/>
              <w:left w:val="nil"/>
              <w:bottom w:val="single" w:sz="4" w:space="0" w:color="auto"/>
              <w:right w:val="single" w:sz="4" w:space="0" w:color="auto"/>
            </w:tcBorders>
            <w:hideMark/>
          </w:tcPr>
          <w:p w14:paraId="00B59431" w14:textId="77777777" w:rsidR="00DB1AEE" w:rsidRPr="00DB1AEE" w:rsidRDefault="00DB1AEE" w:rsidP="00DB1AEE">
            <w:pPr>
              <w:jc w:val="center"/>
              <w:rPr>
                <w:sz w:val="18"/>
                <w:szCs w:val="18"/>
              </w:rPr>
            </w:pPr>
            <w:r w:rsidRPr="00DB1AEE">
              <w:rPr>
                <w:sz w:val="18"/>
                <w:szCs w:val="18"/>
              </w:rPr>
              <w:t>R-19</w:t>
            </w:r>
          </w:p>
        </w:tc>
      </w:tr>
      <w:tr w:rsidR="00DB1AEE" w:rsidRPr="00DB1AEE" w14:paraId="5D8E31D5" w14:textId="77777777" w:rsidTr="00FC1832">
        <w:trPr>
          <w:trHeight w:val="364"/>
        </w:trPr>
        <w:tc>
          <w:tcPr>
            <w:tcW w:w="1533" w:type="dxa"/>
            <w:tcBorders>
              <w:top w:val="nil"/>
              <w:left w:val="single" w:sz="4" w:space="0" w:color="auto"/>
              <w:bottom w:val="single" w:sz="4" w:space="0" w:color="auto"/>
              <w:right w:val="single" w:sz="4" w:space="0" w:color="auto"/>
            </w:tcBorders>
            <w:hideMark/>
          </w:tcPr>
          <w:p w14:paraId="754C57A7" w14:textId="77777777" w:rsidR="00DB1AEE" w:rsidRPr="00DB1AEE" w:rsidRDefault="00DB1AEE" w:rsidP="00DB1AEE">
            <w:pPr>
              <w:jc w:val="center"/>
              <w:rPr>
                <w:i/>
                <w:iCs/>
                <w:sz w:val="18"/>
                <w:szCs w:val="18"/>
              </w:rPr>
            </w:pPr>
            <w:r w:rsidRPr="00DB1AEE">
              <w:rPr>
                <w:i/>
                <w:iCs/>
                <w:sz w:val="18"/>
                <w:szCs w:val="18"/>
              </w:rPr>
              <w:t>Attic and other</w:t>
            </w:r>
          </w:p>
        </w:tc>
        <w:tc>
          <w:tcPr>
            <w:tcW w:w="1872" w:type="dxa"/>
            <w:gridSpan w:val="2"/>
            <w:tcBorders>
              <w:top w:val="nil"/>
              <w:left w:val="nil"/>
              <w:bottom w:val="single" w:sz="4" w:space="0" w:color="auto"/>
              <w:right w:val="single" w:sz="4" w:space="0" w:color="auto"/>
            </w:tcBorders>
            <w:hideMark/>
          </w:tcPr>
          <w:p w14:paraId="0CCB87E0" w14:textId="77777777" w:rsidR="00DB1AEE" w:rsidRPr="00DB1AEE" w:rsidRDefault="00DB1AEE" w:rsidP="00DB1AEE">
            <w:pPr>
              <w:jc w:val="center"/>
              <w:rPr>
                <w:sz w:val="18"/>
                <w:szCs w:val="18"/>
              </w:rPr>
            </w:pPr>
            <w:r w:rsidRPr="00DB1AEE">
              <w:rPr>
                <w:sz w:val="18"/>
                <w:szCs w:val="18"/>
              </w:rPr>
              <w:t>U-0.020</w:t>
            </w:r>
          </w:p>
        </w:tc>
        <w:tc>
          <w:tcPr>
            <w:tcW w:w="997" w:type="dxa"/>
            <w:tcBorders>
              <w:top w:val="single" w:sz="4" w:space="0" w:color="auto"/>
              <w:bottom w:val="single" w:sz="4" w:space="0" w:color="auto"/>
              <w:right w:val="single" w:sz="4" w:space="0" w:color="auto"/>
            </w:tcBorders>
          </w:tcPr>
          <w:p w14:paraId="7728468E" w14:textId="77777777" w:rsidR="00DB1AEE" w:rsidRPr="00DB1AEE" w:rsidRDefault="00DB1AEE" w:rsidP="00DB1AEE">
            <w:pPr>
              <w:jc w:val="center"/>
              <w:rPr>
                <w:sz w:val="18"/>
                <w:szCs w:val="18"/>
              </w:rPr>
            </w:pPr>
            <w:r w:rsidRPr="00DB1AEE">
              <w:rPr>
                <w:sz w:val="18"/>
                <w:szCs w:val="18"/>
              </w:rPr>
              <w:t>R-49ca</w:t>
            </w:r>
          </w:p>
        </w:tc>
        <w:tc>
          <w:tcPr>
            <w:tcW w:w="1872" w:type="dxa"/>
            <w:gridSpan w:val="2"/>
            <w:tcBorders>
              <w:top w:val="single" w:sz="4" w:space="0" w:color="auto"/>
              <w:left w:val="single" w:sz="4" w:space="0" w:color="auto"/>
              <w:bottom w:val="single" w:sz="4" w:space="0" w:color="auto"/>
              <w:right w:val="single" w:sz="4" w:space="0" w:color="auto"/>
            </w:tcBorders>
          </w:tcPr>
          <w:p w14:paraId="5F27BFE7" w14:textId="77777777" w:rsidR="00DB1AEE" w:rsidRPr="00DB1AEE" w:rsidRDefault="00DB1AEE" w:rsidP="00DB1AEE">
            <w:pPr>
              <w:jc w:val="center"/>
              <w:rPr>
                <w:sz w:val="18"/>
                <w:szCs w:val="18"/>
              </w:rPr>
            </w:pPr>
            <w:r w:rsidRPr="00DB1AEE">
              <w:rPr>
                <w:sz w:val="18"/>
                <w:szCs w:val="18"/>
              </w:rPr>
              <w:t>U-0.020</w:t>
            </w:r>
          </w:p>
        </w:tc>
        <w:tc>
          <w:tcPr>
            <w:tcW w:w="997" w:type="dxa"/>
            <w:tcBorders>
              <w:top w:val="single" w:sz="4" w:space="0" w:color="auto"/>
              <w:left w:val="single" w:sz="4" w:space="0" w:color="auto"/>
              <w:bottom w:val="single" w:sz="4" w:space="0" w:color="auto"/>
              <w:right w:val="single" w:sz="4" w:space="0" w:color="auto"/>
            </w:tcBorders>
          </w:tcPr>
          <w:p w14:paraId="12F9E6C0" w14:textId="77777777" w:rsidR="00DB1AEE" w:rsidRPr="00DB1AEE" w:rsidRDefault="00DB1AEE" w:rsidP="00DB1AEE">
            <w:pPr>
              <w:jc w:val="center"/>
              <w:rPr>
                <w:sz w:val="18"/>
                <w:szCs w:val="18"/>
              </w:rPr>
            </w:pPr>
            <w:r w:rsidRPr="00DB1AEE">
              <w:rPr>
                <w:sz w:val="18"/>
                <w:szCs w:val="18"/>
              </w:rPr>
              <w:t>R-49ca</w:t>
            </w:r>
          </w:p>
        </w:tc>
        <w:tc>
          <w:tcPr>
            <w:tcW w:w="1370" w:type="dxa"/>
            <w:gridSpan w:val="2"/>
            <w:tcBorders>
              <w:top w:val="nil"/>
              <w:left w:val="single" w:sz="4" w:space="0" w:color="auto"/>
              <w:bottom w:val="single" w:sz="4" w:space="0" w:color="auto"/>
              <w:right w:val="single" w:sz="4" w:space="0" w:color="auto"/>
            </w:tcBorders>
            <w:hideMark/>
          </w:tcPr>
          <w:p w14:paraId="18160176" w14:textId="77777777" w:rsidR="00DB1AEE" w:rsidRPr="00DB1AEE" w:rsidRDefault="00DB1AEE" w:rsidP="00DB1AEE">
            <w:pPr>
              <w:jc w:val="center"/>
              <w:rPr>
                <w:sz w:val="18"/>
                <w:szCs w:val="18"/>
              </w:rPr>
            </w:pPr>
            <w:r w:rsidRPr="00DB1AEE">
              <w:rPr>
                <w:sz w:val="18"/>
                <w:szCs w:val="18"/>
              </w:rPr>
              <w:t>U-0.034</w:t>
            </w:r>
          </w:p>
        </w:tc>
        <w:tc>
          <w:tcPr>
            <w:tcW w:w="1574" w:type="dxa"/>
            <w:gridSpan w:val="2"/>
            <w:tcBorders>
              <w:top w:val="nil"/>
              <w:left w:val="nil"/>
              <w:bottom w:val="single" w:sz="4" w:space="0" w:color="auto"/>
              <w:right w:val="single" w:sz="4" w:space="0" w:color="auto"/>
            </w:tcBorders>
            <w:hideMark/>
          </w:tcPr>
          <w:p w14:paraId="1F42B7B4" w14:textId="77777777" w:rsidR="00DB1AEE" w:rsidRPr="00DB1AEE" w:rsidRDefault="00DB1AEE" w:rsidP="00DB1AEE">
            <w:pPr>
              <w:jc w:val="center"/>
              <w:rPr>
                <w:sz w:val="18"/>
                <w:szCs w:val="18"/>
              </w:rPr>
            </w:pPr>
            <w:r w:rsidRPr="00DB1AEE">
              <w:rPr>
                <w:sz w:val="18"/>
                <w:szCs w:val="18"/>
              </w:rPr>
              <w:t>R-30</w:t>
            </w:r>
          </w:p>
        </w:tc>
      </w:tr>
      <w:tr w:rsidR="00DB1AEE" w:rsidRPr="00DB1AEE" w14:paraId="33B91DE8" w14:textId="77777777" w:rsidTr="00FC1832">
        <w:trPr>
          <w:trHeight w:val="334"/>
        </w:trPr>
        <w:tc>
          <w:tcPr>
            <w:tcW w:w="10215" w:type="dxa"/>
            <w:gridSpan w:val="11"/>
            <w:tcBorders>
              <w:top w:val="nil"/>
              <w:left w:val="single" w:sz="4" w:space="0" w:color="auto"/>
              <w:bottom w:val="single" w:sz="4" w:space="0" w:color="auto"/>
              <w:right w:val="single" w:sz="4" w:space="0" w:color="auto"/>
            </w:tcBorders>
            <w:vAlign w:val="bottom"/>
            <w:hideMark/>
          </w:tcPr>
          <w:p w14:paraId="331A901F" w14:textId="77777777" w:rsidR="00DB1AEE" w:rsidRPr="00DB1AEE" w:rsidRDefault="00DB1AEE" w:rsidP="00DB1AEE">
            <w:pPr>
              <w:jc w:val="center"/>
              <w:rPr>
                <w:color w:val="000000"/>
                <w:sz w:val="20"/>
              </w:rPr>
            </w:pPr>
            <w:r w:rsidRPr="00DB1AEE">
              <w:rPr>
                <w:i/>
                <w:iCs/>
                <w:sz w:val="18"/>
                <w:szCs w:val="18"/>
              </w:rPr>
              <w:t>Walls, above Grade</w:t>
            </w:r>
          </w:p>
          <w:p w14:paraId="1D17C3A4" w14:textId="77777777" w:rsidR="00DB1AEE" w:rsidRPr="00DB1AEE" w:rsidRDefault="00DB1AEE" w:rsidP="00DB1AEE">
            <w:pPr>
              <w:jc w:val="center"/>
              <w:rPr>
                <w:color w:val="000000"/>
                <w:sz w:val="20"/>
              </w:rPr>
            </w:pPr>
          </w:p>
        </w:tc>
      </w:tr>
      <w:tr w:rsidR="00DB1AEE" w:rsidRPr="00DB1AEE" w14:paraId="28385E60" w14:textId="77777777" w:rsidTr="00FC1832">
        <w:trPr>
          <w:trHeight w:val="349"/>
        </w:trPr>
        <w:tc>
          <w:tcPr>
            <w:tcW w:w="1533" w:type="dxa"/>
            <w:tcBorders>
              <w:top w:val="nil"/>
              <w:left w:val="single" w:sz="4" w:space="0" w:color="auto"/>
              <w:bottom w:val="single" w:sz="4" w:space="0" w:color="auto"/>
              <w:right w:val="single" w:sz="4" w:space="0" w:color="auto"/>
            </w:tcBorders>
            <w:hideMark/>
          </w:tcPr>
          <w:p w14:paraId="5FBD1104" w14:textId="77777777" w:rsidR="00DB1AEE" w:rsidRPr="00DB1AEE" w:rsidRDefault="00DB1AEE" w:rsidP="00DB1AEE">
            <w:pPr>
              <w:jc w:val="center"/>
              <w:rPr>
                <w:i/>
                <w:iCs/>
                <w:sz w:val="18"/>
                <w:szCs w:val="18"/>
              </w:rPr>
            </w:pPr>
            <w:r w:rsidRPr="00DB1AEE">
              <w:rPr>
                <w:i/>
                <w:iCs/>
                <w:sz w:val="18"/>
                <w:szCs w:val="18"/>
              </w:rPr>
              <w:t>Mass</w:t>
            </w:r>
          </w:p>
        </w:tc>
        <w:tc>
          <w:tcPr>
            <w:tcW w:w="1872" w:type="dxa"/>
            <w:gridSpan w:val="2"/>
            <w:tcBorders>
              <w:top w:val="nil"/>
              <w:left w:val="nil"/>
              <w:bottom w:val="single" w:sz="4" w:space="0" w:color="auto"/>
              <w:right w:val="single" w:sz="4" w:space="0" w:color="auto"/>
            </w:tcBorders>
            <w:hideMark/>
          </w:tcPr>
          <w:p w14:paraId="7342A815" w14:textId="77777777" w:rsidR="00DB1AEE" w:rsidRPr="00DB1AEE" w:rsidRDefault="00DB1AEE" w:rsidP="00DB1AEE">
            <w:pPr>
              <w:jc w:val="center"/>
              <w:rPr>
                <w:sz w:val="18"/>
                <w:szCs w:val="18"/>
              </w:rPr>
            </w:pPr>
            <w:r w:rsidRPr="00DB1AEE">
              <w:rPr>
                <w:sz w:val="18"/>
                <w:szCs w:val="18"/>
              </w:rPr>
              <w:t>U-0.099</w:t>
            </w:r>
          </w:p>
        </w:tc>
        <w:tc>
          <w:tcPr>
            <w:tcW w:w="997" w:type="dxa"/>
            <w:tcBorders>
              <w:top w:val="single" w:sz="4" w:space="0" w:color="auto"/>
              <w:bottom w:val="single" w:sz="4" w:space="0" w:color="auto"/>
              <w:right w:val="single" w:sz="4" w:space="0" w:color="auto"/>
            </w:tcBorders>
          </w:tcPr>
          <w:p w14:paraId="5F372177" w14:textId="77777777" w:rsidR="00DB1AEE" w:rsidRPr="00DB1AEE" w:rsidRDefault="00DB1AEE" w:rsidP="00DB1AEE">
            <w:pPr>
              <w:jc w:val="center"/>
              <w:rPr>
                <w:sz w:val="18"/>
                <w:szCs w:val="18"/>
              </w:rPr>
            </w:pPr>
            <w:r w:rsidRPr="00DB1AEE">
              <w:rPr>
                <w:sz w:val="18"/>
                <w:szCs w:val="18"/>
              </w:rPr>
              <w:t>R-11.2 c.</w:t>
            </w:r>
            <w:r w:rsidRPr="00DB1AEE">
              <w:rPr>
                <w:i/>
                <w:iCs/>
                <w:sz w:val="18"/>
                <w:szCs w:val="18"/>
              </w:rPr>
              <w:t>i</w:t>
            </w:r>
          </w:p>
        </w:tc>
        <w:tc>
          <w:tcPr>
            <w:tcW w:w="1872" w:type="dxa"/>
            <w:gridSpan w:val="2"/>
            <w:tcBorders>
              <w:top w:val="single" w:sz="4" w:space="0" w:color="auto"/>
              <w:left w:val="single" w:sz="4" w:space="0" w:color="auto"/>
              <w:bottom w:val="single" w:sz="4" w:space="0" w:color="auto"/>
              <w:right w:val="single" w:sz="4" w:space="0" w:color="auto"/>
            </w:tcBorders>
          </w:tcPr>
          <w:p w14:paraId="610BCB8A" w14:textId="77777777" w:rsidR="00DB1AEE" w:rsidRPr="00DB1AEE" w:rsidRDefault="00DB1AEE" w:rsidP="00DB1AEE">
            <w:pPr>
              <w:jc w:val="center"/>
              <w:rPr>
                <w:sz w:val="18"/>
                <w:szCs w:val="18"/>
              </w:rPr>
            </w:pPr>
            <w:r w:rsidRPr="00DB1AEE">
              <w:rPr>
                <w:sz w:val="18"/>
                <w:szCs w:val="18"/>
              </w:rPr>
              <w:t>U-0.086</w:t>
            </w:r>
          </w:p>
        </w:tc>
        <w:tc>
          <w:tcPr>
            <w:tcW w:w="997" w:type="dxa"/>
            <w:tcBorders>
              <w:top w:val="single" w:sz="4" w:space="0" w:color="auto"/>
              <w:left w:val="single" w:sz="4" w:space="0" w:color="auto"/>
              <w:bottom w:val="single" w:sz="4" w:space="0" w:color="auto"/>
              <w:right w:val="single" w:sz="4" w:space="0" w:color="auto"/>
            </w:tcBorders>
          </w:tcPr>
          <w:p w14:paraId="1C8C49E6" w14:textId="77777777" w:rsidR="00DB1AEE" w:rsidRPr="00DB1AEE" w:rsidRDefault="00DB1AEE" w:rsidP="00DB1AEE">
            <w:pPr>
              <w:jc w:val="center"/>
              <w:rPr>
                <w:sz w:val="18"/>
                <w:szCs w:val="18"/>
              </w:rPr>
            </w:pPr>
            <w:r w:rsidRPr="00DB1AEE">
              <w:rPr>
                <w:sz w:val="18"/>
                <w:szCs w:val="18"/>
              </w:rPr>
              <w:t xml:space="preserve">R-13.25 </w:t>
            </w:r>
            <w:r w:rsidRPr="00DB1AEE">
              <w:rPr>
                <w:i/>
                <w:iCs/>
                <w:sz w:val="18"/>
                <w:szCs w:val="18"/>
              </w:rPr>
              <w:t>c.i.</w:t>
            </w:r>
          </w:p>
        </w:tc>
        <w:tc>
          <w:tcPr>
            <w:tcW w:w="1370" w:type="dxa"/>
            <w:gridSpan w:val="2"/>
            <w:tcBorders>
              <w:top w:val="nil"/>
              <w:left w:val="single" w:sz="4" w:space="0" w:color="auto"/>
              <w:bottom w:val="single" w:sz="4" w:space="0" w:color="auto"/>
              <w:right w:val="single" w:sz="4" w:space="0" w:color="auto"/>
            </w:tcBorders>
            <w:hideMark/>
          </w:tcPr>
          <w:p w14:paraId="4CFBAB16" w14:textId="77777777" w:rsidR="00DB1AEE" w:rsidRPr="00DB1AEE" w:rsidRDefault="00DB1AEE" w:rsidP="00DB1AEE">
            <w:pPr>
              <w:jc w:val="center"/>
              <w:rPr>
                <w:sz w:val="18"/>
                <w:szCs w:val="18"/>
              </w:rPr>
            </w:pPr>
            <w:r w:rsidRPr="00DB1AEE">
              <w:rPr>
                <w:sz w:val="18"/>
                <w:szCs w:val="18"/>
              </w:rPr>
              <w:t>U-0.580</w:t>
            </w:r>
          </w:p>
        </w:tc>
        <w:tc>
          <w:tcPr>
            <w:tcW w:w="1574" w:type="dxa"/>
            <w:gridSpan w:val="2"/>
            <w:tcBorders>
              <w:top w:val="nil"/>
              <w:left w:val="nil"/>
              <w:bottom w:val="single" w:sz="4" w:space="0" w:color="auto"/>
              <w:right w:val="single" w:sz="4" w:space="0" w:color="auto"/>
            </w:tcBorders>
            <w:hideMark/>
          </w:tcPr>
          <w:p w14:paraId="6DDF3D1C" w14:textId="77777777" w:rsidR="00DB1AEE" w:rsidRPr="00DB1AEE" w:rsidRDefault="00DB1AEE" w:rsidP="00DB1AEE">
            <w:pPr>
              <w:jc w:val="center"/>
              <w:rPr>
                <w:sz w:val="18"/>
                <w:szCs w:val="18"/>
              </w:rPr>
            </w:pPr>
            <w:r w:rsidRPr="00DB1AEE">
              <w:rPr>
                <w:sz w:val="18"/>
                <w:szCs w:val="18"/>
              </w:rPr>
              <w:t>NR</w:t>
            </w:r>
          </w:p>
        </w:tc>
      </w:tr>
      <w:tr w:rsidR="00DB1AEE" w:rsidRPr="00DB1AEE" w14:paraId="4488D0A3" w14:textId="77777777" w:rsidTr="00FC1832">
        <w:trPr>
          <w:trHeight w:val="349"/>
        </w:trPr>
        <w:tc>
          <w:tcPr>
            <w:tcW w:w="1533" w:type="dxa"/>
            <w:tcBorders>
              <w:top w:val="nil"/>
              <w:left w:val="single" w:sz="4" w:space="0" w:color="auto"/>
              <w:bottom w:val="single" w:sz="4" w:space="0" w:color="auto"/>
              <w:right w:val="single" w:sz="4" w:space="0" w:color="auto"/>
            </w:tcBorders>
            <w:hideMark/>
          </w:tcPr>
          <w:p w14:paraId="15893E74" w14:textId="77777777" w:rsidR="00DB1AEE" w:rsidRPr="00DB1AEE" w:rsidRDefault="00DB1AEE" w:rsidP="00DB1AEE">
            <w:pPr>
              <w:jc w:val="center"/>
              <w:rPr>
                <w:i/>
                <w:iCs/>
                <w:sz w:val="18"/>
                <w:szCs w:val="18"/>
              </w:rPr>
            </w:pPr>
            <w:r w:rsidRPr="00DB1AEE">
              <w:rPr>
                <w:i/>
                <w:iCs/>
                <w:sz w:val="18"/>
                <w:szCs w:val="18"/>
              </w:rPr>
              <w:t>Pre-Engineered Metal building</w:t>
            </w:r>
          </w:p>
        </w:tc>
        <w:tc>
          <w:tcPr>
            <w:tcW w:w="1872" w:type="dxa"/>
            <w:gridSpan w:val="2"/>
            <w:tcBorders>
              <w:top w:val="nil"/>
              <w:left w:val="nil"/>
              <w:bottom w:val="single" w:sz="4" w:space="0" w:color="auto"/>
              <w:right w:val="single" w:sz="4" w:space="0" w:color="auto"/>
            </w:tcBorders>
            <w:hideMark/>
          </w:tcPr>
          <w:p w14:paraId="4D2D96BF" w14:textId="77777777" w:rsidR="00DB1AEE" w:rsidRPr="00DB1AEE" w:rsidRDefault="00DB1AEE" w:rsidP="00DB1AEE">
            <w:pPr>
              <w:jc w:val="center"/>
              <w:rPr>
                <w:sz w:val="18"/>
                <w:szCs w:val="18"/>
              </w:rPr>
            </w:pPr>
            <w:r w:rsidRPr="00DB1AEE">
              <w:rPr>
                <w:sz w:val="18"/>
                <w:szCs w:val="18"/>
              </w:rPr>
              <w:t>U-0.048</w:t>
            </w:r>
          </w:p>
        </w:tc>
        <w:tc>
          <w:tcPr>
            <w:tcW w:w="997" w:type="dxa"/>
            <w:tcBorders>
              <w:top w:val="single" w:sz="4" w:space="0" w:color="auto"/>
              <w:bottom w:val="single" w:sz="4" w:space="0" w:color="auto"/>
              <w:right w:val="single" w:sz="4" w:space="0" w:color="auto"/>
            </w:tcBorders>
          </w:tcPr>
          <w:p w14:paraId="68FCF679" w14:textId="77777777" w:rsidR="00DB1AEE" w:rsidRPr="00DB1AEE" w:rsidRDefault="00DB1AEE" w:rsidP="00DB1AEE">
            <w:pPr>
              <w:jc w:val="center"/>
              <w:rPr>
                <w:sz w:val="18"/>
                <w:szCs w:val="18"/>
              </w:rPr>
            </w:pPr>
            <w:r w:rsidRPr="00DB1AEE">
              <w:rPr>
                <w:sz w:val="18"/>
                <w:szCs w:val="18"/>
              </w:rPr>
              <w:t xml:space="preserve">R-13ca + R-14.9 </w:t>
            </w:r>
            <w:r w:rsidRPr="00DB1AEE">
              <w:rPr>
                <w:i/>
                <w:iCs/>
                <w:sz w:val="18"/>
                <w:szCs w:val="18"/>
              </w:rPr>
              <w:t>c.i.</w:t>
            </w:r>
          </w:p>
        </w:tc>
        <w:tc>
          <w:tcPr>
            <w:tcW w:w="1872" w:type="dxa"/>
            <w:gridSpan w:val="2"/>
            <w:tcBorders>
              <w:top w:val="single" w:sz="4" w:space="0" w:color="auto"/>
              <w:left w:val="single" w:sz="4" w:space="0" w:color="auto"/>
              <w:bottom w:val="single" w:sz="4" w:space="0" w:color="auto"/>
              <w:right w:val="single" w:sz="4" w:space="0" w:color="auto"/>
            </w:tcBorders>
          </w:tcPr>
          <w:p w14:paraId="4B887F09" w14:textId="77777777" w:rsidR="00DB1AEE" w:rsidRPr="00DB1AEE" w:rsidRDefault="00DB1AEE" w:rsidP="00DB1AEE">
            <w:pPr>
              <w:jc w:val="center"/>
              <w:rPr>
                <w:sz w:val="18"/>
                <w:szCs w:val="18"/>
              </w:rPr>
            </w:pPr>
            <w:r w:rsidRPr="00DB1AEE">
              <w:rPr>
                <w:sz w:val="18"/>
                <w:szCs w:val="18"/>
              </w:rPr>
              <w:t>U-0.048</w:t>
            </w:r>
          </w:p>
        </w:tc>
        <w:tc>
          <w:tcPr>
            <w:tcW w:w="997" w:type="dxa"/>
            <w:tcBorders>
              <w:top w:val="single" w:sz="4" w:space="0" w:color="auto"/>
              <w:left w:val="single" w:sz="4" w:space="0" w:color="auto"/>
              <w:bottom w:val="single" w:sz="4" w:space="0" w:color="auto"/>
              <w:right w:val="single" w:sz="4" w:space="0" w:color="auto"/>
            </w:tcBorders>
          </w:tcPr>
          <w:p w14:paraId="4E7E5881" w14:textId="77777777" w:rsidR="00DB1AEE" w:rsidRPr="00DB1AEE" w:rsidRDefault="00DB1AEE" w:rsidP="00DB1AEE">
            <w:pPr>
              <w:jc w:val="center"/>
              <w:rPr>
                <w:sz w:val="18"/>
                <w:szCs w:val="18"/>
              </w:rPr>
            </w:pPr>
            <w:r w:rsidRPr="00DB1AEE">
              <w:rPr>
                <w:sz w:val="18"/>
                <w:szCs w:val="18"/>
              </w:rPr>
              <w:t>R-13ca + R-14.9 c.i.</w:t>
            </w:r>
          </w:p>
        </w:tc>
        <w:tc>
          <w:tcPr>
            <w:tcW w:w="1370" w:type="dxa"/>
            <w:gridSpan w:val="2"/>
            <w:tcBorders>
              <w:top w:val="nil"/>
              <w:left w:val="single" w:sz="4" w:space="0" w:color="auto"/>
              <w:bottom w:val="single" w:sz="4" w:space="0" w:color="auto"/>
              <w:right w:val="single" w:sz="4" w:space="0" w:color="auto"/>
            </w:tcBorders>
            <w:hideMark/>
          </w:tcPr>
          <w:p w14:paraId="60163DB4" w14:textId="77777777" w:rsidR="00DB1AEE" w:rsidRPr="00DB1AEE" w:rsidRDefault="00DB1AEE" w:rsidP="00DB1AEE">
            <w:pPr>
              <w:jc w:val="center"/>
              <w:rPr>
                <w:sz w:val="18"/>
                <w:szCs w:val="18"/>
              </w:rPr>
            </w:pPr>
            <w:r w:rsidRPr="00DB1AEE">
              <w:rPr>
                <w:sz w:val="18"/>
                <w:szCs w:val="18"/>
              </w:rPr>
              <w:t>U-0.162</w:t>
            </w:r>
          </w:p>
        </w:tc>
        <w:tc>
          <w:tcPr>
            <w:tcW w:w="1574" w:type="dxa"/>
            <w:gridSpan w:val="2"/>
            <w:tcBorders>
              <w:top w:val="nil"/>
              <w:left w:val="nil"/>
              <w:bottom w:val="single" w:sz="4" w:space="0" w:color="auto"/>
              <w:right w:val="single" w:sz="4" w:space="0" w:color="auto"/>
            </w:tcBorders>
            <w:hideMark/>
          </w:tcPr>
          <w:p w14:paraId="504A115C" w14:textId="77777777" w:rsidR="00DB1AEE" w:rsidRPr="00DB1AEE" w:rsidRDefault="00DB1AEE" w:rsidP="00DB1AEE">
            <w:pPr>
              <w:jc w:val="center"/>
              <w:rPr>
                <w:sz w:val="18"/>
                <w:szCs w:val="18"/>
              </w:rPr>
            </w:pPr>
            <w:r w:rsidRPr="00DB1AEE">
              <w:rPr>
                <w:sz w:val="18"/>
                <w:szCs w:val="18"/>
              </w:rPr>
              <w:t>R-13</w:t>
            </w:r>
          </w:p>
        </w:tc>
      </w:tr>
      <w:tr w:rsidR="00DB1AEE" w:rsidRPr="00DB1AEE" w14:paraId="7FD6EB31" w14:textId="77777777" w:rsidTr="00FC1832">
        <w:trPr>
          <w:trHeight w:val="349"/>
        </w:trPr>
        <w:tc>
          <w:tcPr>
            <w:tcW w:w="1533" w:type="dxa"/>
            <w:tcBorders>
              <w:top w:val="nil"/>
              <w:left w:val="single" w:sz="4" w:space="0" w:color="auto"/>
              <w:bottom w:val="single" w:sz="4" w:space="0" w:color="auto"/>
              <w:right w:val="single" w:sz="4" w:space="0" w:color="auto"/>
            </w:tcBorders>
            <w:hideMark/>
          </w:tcPr>
          <w:p w14:paraId="4FB8CB5D" w14:textId="77777777" w:rsidR="00DB1AEE" w:rsidRPr="00DB1AEE" w:rsidRDefault="00DB1AEE" w:rsidP="00DB1AEE">
            <w:pPr>
              <w:jc w:val="center"/>
              <w:rPr>
                <w:i/>
                <w:iCs/>
                <w:sz w:val="18"/>
                <w:szCs w:val="18"/>
              </w:rPr>
            </w:pPr>
            <w:r w:rsidRPr="00DB1AEE">
              <w:rPr>
                <w:i/>
                <w:iCs/>
                <w:sz w:val="18"/>
                <w:szCs w:val="18"/>
              </w:rPr>
              <w:t>Steel-framed</w:t>
            </w:r>
          </w:p>
        </w:tc>
        <w:tc>
          <w:tcPr>
            <w:tcW w:w="1872" w:type="dxa"/>
            <w:gridSpan w:val="2"/>
            <w:tcBorders>
              <w:top w:val="nil"/>
              <w:left w:val="nil"/>
              <w:bottom w:val="single" w:sz="4" w:space="0" w:color="auto"/>
              <w:right w:val="single" w:sz="4" w:space="0" w:color="auto"/>
            </w:tcBorders>
            <w:hideMark/>
          </w:tcPr>
          <w:p w14:paraId="7F5E99EE" w14:textId="77777777" w:rsidR="00DB1AEE" w:rsidRPr="00DB1AEE" w:rsidRDefault="00DB1AEE" w:rsidP="00DB1AEE">
            <w:pPr>
              <w:jc w:val="center"/>
              <w:rPr>
                <w:sz w:val="18"/>
                <w:szCs w:val="18"/>
              </w:rPr>
            </w:pPr>
            <w:r w:rsidRPr="00DB1AEE">
              <w:rPr>
                <w:sz w:val="18"/>
                <w:szCs w:val="18"/>
              </w:rPr>
              <w:t>U-0.061</w:t>
            </w:r>
          </w:p>
        </w:tc>
        <w:tc>
          <w:tcPr>
            <w:tcW w:w="997" w:type="dxa"/>
            <w:tcBorders>
              <w:top w:val="single" w:sz="4" w:space="0" w:color="auto"/>
              <w:bottom w:val="single" w:sz="4" w:space="0" w:color="auto"/>
              <w:right w:val="single" w:sz="4" w:space="0" w:color="auto"/>
            </w:tcBorders>
          </w:tcPr>
          <w:p w14:paraId="6B4435EC" w14:textId="77777777" w:rsidR="00DB1AEE" w:rsidRPr="00DB1AEE" w:rsidRDefault="00DB1AEE" w:rsidP="00DB1AEE">
            <w:pPr>
              <w:jc w:val="center"/>
              <w:rPr>
                <w:sz w:val="18"/>
                <w:szCs w:val="18"/>
              </w:rPr>
            </w:pPr>
            <w:r w:rsidRPr="00DB1AEE">
              <w:rPr>
                <w:sz w:val="18"/>
                <w:szCs w:val="18"/>
              </w:rPr>
              <w:t>R-13ca + R-8.5 c.i.</w:t>
            </w:r>
          </w:p>
        </w:tc>
        <w:tc>
          <w:tcPr>
            <w:tcW w:w="1872" w:type="dxa"/>
            <w:gridSpan w:val="2"/>
            <w:tcBorders>
              <w:top w:val="single" w:sz="4" w:space="0" w:color="auto"/>
              <w:left w:val="single" w:sz="4" w:space="0" w:color="auto"/>
              <w:bottom w:val="single" w:sz="4" w:space="0" w:color="auto"/>
              <w:right w:val="single" w:sz="4" w:space="0" w:color="auto"/>
            </w:tcBorders>
          </w:tcPr>
          <w:p w14:paraId="32D57F51" w14:textId="77777777" w:rsidR="00DB1AEE" w:rsidRPr="00DB1AEE" w:rsidRDefault="00DB1AEE" w:rsidP="00DB1AEE">
            <w:pPr>
              <w:jc w:val="center"/>
              <w:rPr>
                <w:sz w:val="18"/>
                <w:szCs w:val="18"/>
              </w:rPr>
            </w:pPr>
            <w:r w:rsidRPr="00DB1AEE">
              <w:rPr>
                <w:sz w:val="18"/>
                <w:szCs w:val="18"/>
              </w:rPr>
              <w:t>U-0.061</w:t>
            </w:r>
          </w:p>
        </w:tc>
        <w:tc>
          <w:tcPr>
            <w:tcW w:w="997" w:type="dxa"/>
            <w:tcBorders>
              <w:top w:val="single" w:sz="4" w:space="0" w:color="auto"/>
              <w:left w:val="single" w:sz="4" w:space="0" w:color="auto"/>
              <w:bottom w:val="single" w:sz="4" w:space="0" w:color="auto"/>
              <w:right w:val="single" w:sz="4" w:space="0" w:color="auto"/>
            </w:tcBorders>
          </w:tcPr>
          <w:p w14:paraId="43822583" w14:textId="77777777" w:rsidR="00DB1AEE" w:rsidRPr="00DB1AEE" w:rsidRDefault="00DB1AEE" w:rsidP="00DB1AEE">
            <w:pPr>
              <w:jc w:val="center"/>
              <w:rPr>
                <w:sz w:val="18"/>
                <w:szCs w:val="18"/>
              </w:rPr>
            </w:pPr>
            <w:r w:rsidRPr="00DB1AEE">
              <w:rPr>
                <w:sz w:val="18"/>
                <w:szCs w:val="18"/>
              </w:rPr>
              <w:t>R-13ca + R-8.5 c.i</w:t>
            </w:r>
          </w:p>
        </w:tc>
        <w:tc>
          <w:tcPr>
            <w:tcW w:w="1370" w:type="dxa"/>
            <w:gridSpan w:val="2"/>
            <w:tcBorders>
              <w:top w:val="nil"/>
              <w:left w:val="single" w:sz="4" w:space="0" w:color="auto"/>
              <w:bottom w:val="single" w:sz="4" w:space="0" w:color="auto"/>
              <w:right w:val="single" w:sz="4" w:space="0" w:color="auto"/>
            </w:tcBorders>
            <w:hideMark/>
          </w:tcPr>
          <w:p w14:paraId="72E5D952" w14:textId="77777777" w:rsidR="00DB1AEE" w:rsidRPr="00DB1AEE" w:rsidRDefault="00DB1AEE" w:rsidP="00DB1AEE">
            <w:pPr>
              <w:jc w:val="center"/>
              <w:rPr>
                <w:sz w:val="18"/>
                <w:szCs w:val="18"/>
              </w:rPr>
            </w:pPr>
            <w:r w:rsidRPr="00DB1AEE">
              <w:rPr>
                <w:sz w:val="18"/>
                <w:szCs w:val="18"/>
              </w:rPr>
              <w:t>U-0.124</w:t>
            </w:r>
          </w:p>
        </w:tc>
        <w:tc>
          <w:tcPr>
            <w:tcW w:w="1574" w:type="dxa"/>
            <w:gridSpan w:val="2"/>
            <w:tcBorders>
              <w:top w:val="nil"/>
              <w:left w:val="nil"/>
              <w:bottom w:val="single" w:sz="4" w:space="0" w:color="auto"/>
              <w:right w:val="single" w:sz="4" w:space="0" w:color="auto"/>
            </w:tcBorders>
            <w:hideMark/>
          </w:tcPr>
          <w:p w14:paraId="76CF0A9C" w14:textId="77777777" w:rsidR="00DB1AEE" w:rsidRPr="00DB1AEE" w:rsidRDefault="00DB1AEE" w:rsidP="00DB1AEE">
            <w:pPr>
              <w:jc w:val="center"/>
              <w:rPr>
                <w:sz w:val="18"/>
                <w:szCs w:val="18"/>
              </w:rPr>
            </w:pPr>
            <w:r w:rsidRPr="00DB1AEE">
              <w:rPr>
                <w:sz w:val="18"/>
                <w:szCs w:val="18"/>
              </w:rPr>
              <w:t>R-13</w:t>
            </w:r>
          </w:p>
        </w:tc>
      </w:tr>
      <w:tr w:rsidR="00DB1AEE" w:rsidRPr="00DB1AEE" w14:paraId="5A6F9B2B" w14:textId="77777777" w:rsidTr="00FC1832">
        <w:trPr>
          <w:trHeight w:val="364"/>
        </w:trPr>
        <w:tc>
          <w:tcPr>
            <w:tcW w:w="1533" w:type="dxa"/>
            <w:tcBorders>
              <w:top w:val="nil"/>
              <w:left w:val="single" w:sz="4" w:space="0" w:color="auto"/>
              <w:bottom w:val="single" w:sz="4" w:space="0" w:color="auto"/>
              <w:right w:val="single" w:sz="4" w:space="0" w:color="auto"/>
            </w:tcBorders>
            <w:hideMark/>
          </w:tcPr>
          <w:p w14:paraId="7309C5FC" w14:textId="77777777" w:rsidR="00DB1AEE" w:rsidRPr="00DB1AEE" w:rsidRDefault="00DB1AEE" w:rsidP="00DB1AEE">
            <w:pPr>
              <w:jc w:val="center"/>
              <w:rPr>
                <w:i/>
                <w:iCs/>
                <w:sz w:val="18"/>
                <w:szCs w:val="18"/>
              </w:rPr>
            </w:pPr>
            <w:r w:rsidRPr="00DB1AEE">
              <w:rPr>
                <w:i/>
                <w:iCs/>
                <w:sz w:val="18"/>
                <w:szCs w:val="18"/>
              </w:rPr>
              <w:t>Wood-framed and other</w:t>
            </w:r>
          </w:p>
        </w:tc>
        <w:tc>
          <w:tcPr>
            <w:tcW w:w="1872" w:type="dxa"/>
            <w:gridSpan w:val="2"/>
            <w:tcBorders>
              <w:top w:val="nil"/>
              <w:left w:val="nil"/>
              <w:bottom w:val="single" w:sz="4" w:space="0" w:color="auto"/>
              <w:right w:val="single" w:sz="4" w:space="0" w:color="auto"/>
            </w:tcBorders>
            <w:hideMark/>
          </w:tcPr>
          <w:p w14:paraId="58FD593E" w14:textId="77777777" w:rsidR="00DB1AEE" w:rsidRPr="00DB1AEE" w:rsidRDefault="00DB1AEE" w:rsidP="00DB1AEE">
            <w:pPr>
              <w:jc w:val="center"/>
              <w:rPr>
                <w:sz w:val="18"/>
                <w:szCs w:val="18"/>
              </w:rPr>
            </w:pPr>
            <w:r w:rsidRPr="00DB1AEE">
              <w:rPr>
                <w:sz w:val="18"/>
                <w:szCs w:val="18"/>
              </w:rPr>
              <w:t>U-0.061</w:t>
            </w:r>
          </w:p>
        </w:tc>
        <w:tc>
          <w:tcPr>
            <w:tcW w:w="997" w:type="dxa"/>
            <w:tcBorders>
              <w:top w:val="single" w:sz="4" w:space="0" w:color="auto"/>
              <w:bottom w:val="single" w:sz="4" w:space="0" w:color="auto"/>
              <w:right w:val="single" w:sz="4" w:space="0" w:color="auto"/>
            </w:tcBorders>
          </w:tcPr>
          <w:p w14:paraId="0A5593BE" w14:textId="77777777" w:rsidR="00DB1AEE" w:rsidRPr="00DB1AEE" w:rsidRDefault="00DB1AEE" w:rsidP="00DB1AEE">
            <w:pPr>
              <w:jc w:val="center"/>
              <w:rPr>
                <w:sz w:val="18"/>
                <w:szCs w:val="18"/>
              </w:rPr>
            </w:pPr>
            <w:r w:rsidRPr="00DB1AEE">
              <w:rPr>
                <w:sz w:val="18"/>
                <w:szCs w:val="18"/>
              </w:rPr>
              <w:t>R-13ca + R-4.5 c.</w:t>
            </w:r>
            <w:r w:rsidRPr="00DB1AEE">
              <w:rPr>
                <w:i/>
                <w:iCs/>
                <w:sz w:val="18"/>
                <w:szCs w:val="18"/>
              </w:rPr>
              <w:t xml:space="preserve">i. </w:t>
            </w:r>
            <w:r w:rsidRPr="00DB1AEE">
              <w:rPr>
                <w:sz w:val="18"/>
                <w:szCs w:val="18"/>
              </w:rPr>
              <w:t xml:space="preserve">or R-19ca+R-1.5ci    </w:t>
            </w:r>
          </w:p>
        </w:tc>
        <w:tc>
          <w:tcPr>
            <w:tcW w:w="1872" w:type="dxa"/>
            <w:gridSpan w:val="2"/>
            <w:tcBorders>
              <w:top w:val="single" w:sz="4" w:space="0" w:color="auto"/>
              <w:left w:val="single" w:sz="4" w:space="0" w:color="auto"/>
              <w:bottom w:val="single" w:sz="4" w:space="0" w:color="auto"/>
              <w:right w:val="single" w:sz="4" w:space="0" w:color="auto"/>
            </w:tcBorders>
          </w:tcPr>
          <w:p w14:paraId="101188F0" w14:textId="77777777" w:rsidR="00DB1AEE" w:rsidRPr="00DB1AEE" w:rsidRDefault="00DB1AEE" w:rsidP="00DB1AEE">
            <w:pPr>
              <w:jc w:val="center"/>
              <w:rPr>
                <w:sz w:val="18"/>
                <w:szCs w:val="18"/>
              </w:rPr>
            </w:pPr>
            <w:r w:rsidRPr="00DB1AEE">
              <w:rPr>
                <w:sz w:val="18"/>
                <w:szCs w:val="18"/>
              </w:rPr>
              <w:t xml:space="preserve">U-0.061    </w:t>
            </w:r>
          </w:p>
        </w:tc>
        <w:tc>
          <w:tcPr>
            <w:tcW w:w="997" w:type="dxa"/>
            <w:tcBorders>
              <w:top w:val="single" w:sz="4" w:space="0" w:color="auto"/>
              <w:left w:val="single" w:sz="4" w:space="0" w:color="auto"/>
              <w:bottom w:val="single" w:sz="4" w:space="0" w:color="auto"/>
              <w:right w:val="single" w:sz="4" w:space="0" w:color="auto"/>
            </w:tcBorders>
          </w:tcPr>
          <w:p w14:paraId="0BBF1969" w14:textId="77777777" w:rsidR="00DB1AEE" w:rsidRPr="00DB1AEE" w:rsidRDefault="00DB1AEE" w:rsidP="00DB1AEE">
            <w:pPr>
              <w:jc w:val="center"/>
              <w:rPr>
                <w:sz w:val="18"/>
                <w:szCs w:val="18"/>
              </w:rPr>
            </w:pPr>
            <w:r w:rsidRPr="00DB1AEE">
              <w:rPr>
                <w:sz w:val="18"/>
                <w:szCs w:val="18"/>
              </w:rPr>
              <w:t>R-13ca + R-4.5 c.</w:t>
            </w:r>
            <w:r w:rsidRPr="00DB1AEE">
              <w:rPr>
                <w:i/>
                <w:iCs/>
                <w:sz w:val="18"/>
                <w:szCs w:val="18"/>
              </w:rPr>
              <w:t xml:space="preserve">i. </w:t>
            </w:r>
            <w:r w:rsidRPr="00DB1AEE">
              <w:rPr>
                <w:sz w:val="18"/>
                <w:szCs w:val="18"/>
              </w:rPr>
              <w:t>or R-19ca+R-1.5ci</w:t>
            </w:r>
          </w:p>
        </w:tc>
        <w:tc>
          <w:tcPr>
            <w:tcW w:w="1370" w:type="dxa"/>
            <w:gridSpan w:val="2"/>
            <w:tcBorders>
              <w:top w:val="nil"/>
              <w:left w:val="single" w:sz="4" w:space="0" w:color="auto"/>
              <w:bottom w:val="single" w:sz="4" w:space="0" w:color="auto"/>
              <w:right w:val="single" w:sz="4" w:space="0" w:color="auto"/>
            </w:tcBorders>
            <w:hideMark/>
          </w:tcPr>
          <w:p w14:paraId="3D3E89CA" w14:textId="77777777" w:rsidR="00DB1AEE" w:rsidRPr="00DB1AEE" w:rsidRDefault="00DB1AEE" w:rsidP="00DB1AEE">
            <w:pPr>
              <w:jc w:val="center"/>
              <w:rPr>
                <w:sz w:val="18"/>
                <w:szCs w:val="18"/>
              </w:rPr>
            </w:pPr>
            <w:r w:rsidRPr="00DB1AEE">
              <w:rPr>
                <w:sz w:val="18"/>
                <w:szCs w:val="18"/>
              </w:rPr>
              <w:t>U-0.089</w:t>
            </w:r>
          </w:p>
        </w:tc>
        <w:tc>
          <w:tcPr>
            <w:tcW w:w="1574" w:type="dxa"/>
            <w:gridSpan w:val="2"/>
            <w:tcBorders>
              <w:top w:val="nil"/>
              <w:left w:val="nil"/>
              <w:bottom w:val="single" w:sz="4" w:space="0" w:color="auto"/>
              <w:right w:val="single" w:sz="4" w:space="0" w:color="auto"/>
            </w:tcBorders>
            <w:hideMark/>
          </w:tcPr>
          <w:p w14:paraId="2338F083" w14:textId="77777777" w:rsidR="00DB1AEE" w:rsidRPr="00DB1AEE" w:rsidRDefault="00DB1AEE" w:rsidP="00DB1AEE">
            <w:pPr>
              <w:jc w:val="center"/>
              <w:rPr>
                <w:sz w:val="18"/>
                <w:szCs w:val="18"/>
              </w:rPr>
            </w:pPr>
            <w:r w:rsidRPr="00DB1AEE">
              <w:rPr>
                <w:sz w:val="18"/>
                <w:szCs w:val="18"/>
              </w:rPr>
              <w:t>R-13</w:t>
            </w:r>
          </w:p>
        </w:tc>
      </w:tr>
      <w:tr w:rsidR="00DB1AEE" w:rsidRPr="00DB1AEE" w14:paraId="004388C1" w14:textId="77777777" w:rsidTr="00FC1832">
        <w:trPr>
          <w:trHeight w:val="334"/>
        </w:trPr>
        <w:tc>
          <w:tcPr>
            <w:tcW w:w="10215" w:type="dxa"/>
            <w:gridSpan w:val="11"/>
            <w:tcBorders>
              <w:top w:val="nil"/>
              <w:left w:val="single" w:sz="4" w:space="0" w:color="auto"/>
              <w:bottom w:val="single" w:sz="4" w:space="0" w:color="auto"/>
              <w:right w:val="single" w:sz="4" w:space="0" w:color="auto"/>
            </w:tcBorders>
            <w:vAlign w:val="bottom"/>
            <w:hideMark/>
          </w:tcPr>
          <w:p w14:paraId="06A0A8B3" w14:textId="77777777" w:rsidR="00DB1AEE" w:rsidRPr="00DB1AEE" w:rsidRDefault="00DB1AEE" w:rsidP="00DB1AEE">
            <w:pPr>
              <w:jc w:val="center"/>
              <w:rPr>
                <w:color w:val="000000"/>
                <w:sz w:val="20"/>
              </w:rPr>
            </w:pPr>
            <w:r w:rsidRPr="00DB1AEE">
              <w:rPr>
                <w:i/>
                <w:iCs/>
                <w:sz w:val="18"/>
                <w:szCs w:val="18"/>
              </w:rPr>
              <w:t>Wall, below Grade</w:t>
            </w:r>
          </w:p>
          <w:p w14:paraId="5C7499F7" w14:textId="77777777" w:rsidR="00DB1AEE" w:rsidRPr="00DB1AEE" w:rsidRDefault="00DB1AEE" w:rsidP="00DB1AEE">
            <w:pPr>
              <w:jc w:val="center"/>
              <w:rPr>
                <w:color w:val="000000"/>
                <w:sz w:val="20"/>
              </w:rPr>
            </w:pPr>
          </w:p>
        </w:tc>
      </w:tr>
      <w:tr w:rsidR="00DB1AEE" w:rsidRPr="00DB1AEE" w14:paraId="588BC69B" w14:textId="77777777" w:rsidTr="00FC1832">
        <w:trPr>
          <w:trHeight w:val="364"/>
        </w:trPr>
        <w:tc>
          <w:tcPr>
            <w:tcW w:w="1533" w:type="dxa"/>
            <w:tcBorders>
              <w:top w:val="nil"/>
              <w:left w:val="single" w:sz="4" w:space="0" w:color="auto"/>
              <w:bottom w:val="single" w:sz="4" w:space="0" w:color="auto"/>
              <w:right w:val="single" w:sz="4" w:space="0" w:color="auto"/>
            </w:tcBorders>
            <w:hideMark/>
          </w:tcPr>
          <w:p w14:paraId="39E1F66E" w14:textId="77777777" w:rsidR="00DB1AEE" w:rsidRPr="00DB1AEE" w:rsidRDefault="00DB1AEE" w:rsidP="00DB1AEE">
            <w:pPr>
              <w:jc w:val="center"/>
              <w:rPr>
                <w:i/>
                <w:iCs/>
                <w:sz w:val="18"/>
                <w:szCs w:val="18"/>
              </w:rPr>
            </w:pPr>
            <w:r w:rsidRPr="00DB1AEE">
              <w:rPr>
                <w:i/>
                <w:iCs/>
                <w:sz w:val="18"/>
                <w:szCs w:val="18"/>
              </w:rPr>
              <w:t>Below-grade wall</w:t>
            </w:r>
          </w:p>
        </w:tc>
        <w:tc>
          <w:tcPr>
            <w:tcW w:w="1872" w:type="dxa"/>
            <w:gridSpan w:val="2"/>
            <w:tcBorders>
              <w:top w:val="nil"/>
              <w:left w:val="nil"/>
              <w:bottom w:val="single" w:sz="4" w:space="0" w:color="auto"/>
              <w:right w:val="single" w:sz="4" w:space="0" w:color="auto"/>
            </w:tcBorders>
            <w:hideMark/>
          </w:tcPr>
          <w:p w14:paraId="2CB7BB25" w14:textId="77777777" w:rsidR="00DB1AEE" w:rsidRPr="00DB1AEE" w:rsidRDefault="00DB1AEE" w:rsidP="00DB1AEE">
            <w:pPr>
              <w:jc w:val="center"/>
              <w:rPr>
                <w:sz w:val="18"/>
                <w:szCs w:val="18"/>
              </w:rPr>
            </w:pPr>
            <w:r w:rsidRPr="00DB1AEE">
              <w:rPr>
                <w:sz w:val="18"/>
                <w:szCs w:val="18"/>
              </w:rPr>
              <w:t>C-0.119</w:t>
            </w:r>
          </w:p>
        </w:tc>
        <w:tc>
          <w:tcPr>
            <w:tcW w:w="997" w:type="dxa"/>
            <w:tcBorders>
              <w:top w:val="single" w:sz="4" w:space="0" w:color="auto"/>
              <w:bottom w:val="single" w:sz="4" w:space="0" w:color="auto"/>
              <w:right w:val="single" w:sz="4" w:space="0" w:color="auto"/>
            </w:tcBorders>
          </w:tcPr>
          <w:p w14:paraId="1F9352DC" w14:textId="77777777" w:rsidR="00DB1AEE" w:rsidRPr="00DB1AEE" w:rsidRDefault="00DB1AEE" w:rsidP="00DB1AEE">
            <w:pPr>
              <w:jc w:val="center"/>
              <w:rPr>
                <w:sz w:val="18"/>
                <w:szCs w:val="18"/>
              </w:rPr>
            </w:pPr>
            <w:r w:rsidRPr="00DB1AEE">
              <w:rPr>
                <w:sz w:val="18"/>
                <w:szCs w:val="18"/>
              </w:rPr>
              <w:t>R-7.5 c.</w:t>
            </w:r>
            <w:r w:rsidRPr="00DB1AEE">
              <w:rPr>
                <w:i/>
                <w:iCs/>
                <w:sz w:val="18"/>
                <w:szCs w:val="18"/>
              </w:rPr>
              <w:t>i.</w:t>
            </w:r>
          </w:p>
        </w:tc>
        <w:tc>
          <w:tcPr>
            <w:tcW w:w="1872" w:type="dxa"/>
            <w:gridSpan w:val="2"/>
            <w:tcBorders>
              <w:top w:val="single" w:sz="4" w:space="0" w:color="auto"/>
              <w:left w:val="single" w:sz="4" w:space="0" w:color="auto"/>
              <w:bottom w:val="single" w:sz="4" w:space="0" w:color="auto"/>
              <w:right w:val="single" w:sz="4" w:space="0" w:color="auto"/>
            </w:tcBorders>
          </w:tcPr>
          <w:p w14:paraId="71DE8248" w14:textId="77777777" w:rsidR="00DB1AEE" w:rsidRPr="00DB1AEE" w:rsidRDefault="00DB1AEE" w:rsidP="00DB1AEE">
            <w:pPr>
              <w:jc w:val="center"/>
              <w:rPr>
                <w:sz w:val="18"/>
                <w:szCs w:val="18"/>
              </w:rPr>
            </w:pPr>
            <w:r w:rsidRPr="00DB1AEE">
              <w:rPr>
                <w:sz w:val="18"/>
                <w:szCs w:val="18"/>
              </w:rPr>
              <w:t>C-0.092</w:t>
            </w:r>
          </w:p>
        </w:tc>
        <w:tc>
          <w:tcPr>
            <w:tcW w:w="997" w:type="dxa"/>
            <w:tcBorders>
              <w:top w:val="single" w:sz="4" w:space="0" w:color="auto"/>
              <w:left w:val="single" w:sz="4" w:space="0" w:color="auto"/>
              <w:bottom w:val="single" w:sz="4" w:space="0" w:color="auto"/>
              <w:right w:val="single" w:sz="4" w:space="0" w:color="auto"/>
            </w:tcBorders>
          </w:tcPr>
          <w:p w14:paraId="0039057D" w14:textId="77777777" w:rsidR="00DB1AEE" w:rsidRPr="00DB1AEE" w:rsidRDefault="00DB1AEE" w:rsidP="00DB1AEE">
            <w:pPr>
              <w:jc w:val="center"/>
              <w:rPr>
                <w:sz w:val="18"/>
                <w:szCs w:val="18"/>
              </w:rPr>
            </w:pPr>
            <w:r w:rsidRPr="00DB1AEE">
              <w:rPr>
                <w:sz w:val="18"/>
                <w:szCs w:val="18"/>
              </w:rPr>
              <w:t xml:space="preserve">R-10 </w:t>
            </w:r>
            <w:r w:rsidRPr="00DB1AEE">
              <w:rPr>
                <w:i/>
                <w:iCs/>
                <w:sz w:val="18"/>
                <w:szCs w:val="18"/>
              </w:rPr>
              <w:t>c.i.</w:t>
            </w:r>
          </w:p>
        </w:tc>
        <w:tc>
          <w:tcPr>
            <w:tcW w:w="1370" w:type="dxa"/>
            <w:gridSpan w:val="2"/>
            <w:tcBorders>
              <w:top w:val="nil"/>
              <w:left w:val="single" w:sz="4" w:space="0" w:color="auto"/>
              <w:bottom w:val="single" w:sz="4" w:space="0" w:color="auto"/>
              <w:right w:val="single" w:sz="4" w:space="0" w:color="auto"/>
            </w:tcBorders>
            <w:hideMark/>
          </w:tcPr>
          <w:p w14:paraId="26942D4E" w14:textId="77777777" w:rsidR="00DB1AEE" w:rsidRPr="00DB1AEE" w:rsidRDefault="00DB1AEE" w:rsidP="00DB1AEE">
            <w:pPr>
              <w:jc w:val="center"/>
              <w:rPr>
                <w:sz w:val="18"/>
                <w:szCs w:val="18"/>
              </w:rPr>
            </w:pPr>
            <w:r w:rsidRPr="00DB1AEE">
              <w:rPr>
                <w:sz w:val="18"/>
                <w:szCs w:val="18"/>
              </w:rPr>
              <w:t>C-1.140</w:t>
            </w:r>
          </w:p>
        </w:tc>
        <w:tc>
          <w:tcPr>
            <w:tcW w:w="1574" w:type="dxa"/>
            <w:gridSpan w:val="2"/>
            <w:tcBorders>
              <w:top w:val="nil"/>
              <w:left w:val="nil"/>
              <w:bottom w:val="single" w:sz="4" w:space="0" w:color="auto"/>
              <w:right w:val="single" w:sz="4" w:space="0" w:color="auto"/>
            </w:tcBorders>
            <w:hideMark/>
          </w:tcPr>
          <w:p w14:paraId="1D9AD937" w14:textId="77777777" w:rsidR="00DB1AEE" w:rsidRPr="00DB1AEE" w:rsidRDefault="00DB1AEE" w:rsidP="00DB1AEE">
            <w:pPr>
              <w:jc w:val="center"/>
              <w:rPr>
                <w:sz w:val="18"/>
                <w:szCs w:val="18"/>
              </w:rPr>
            </w:pPr>
            <w:r w:rsidRPr="00DB1AEE">
              <w:rPr>
                <w:sz w:val="18"/>
                <w:szCs w:val="18"/>
              </w:rPr>
              <w:t>NR</w:t>
            </w:r>
          </w:p>
        </w:tc>
      </w:tr>
      <w:tr w:rsidR="00DB1AEE" w:rsidRPr="00DB1AEE" w14:paraId="43EF9385" w14:textId="77777777" w:rsidTr="00FC1832">
        <w:trPr>
          <w:trHeight w:val="334"/>
        </w:trPr>
        <w:tc>
          <w:tcPr>
            <w:tcW w:w="10215" w:type="dxa"/>
            <w:gridSpan w:val="11"/>
            <w:tcBorders>
              <w:top w:val="nil"/>
              <w:left w:val="single" w:sz="4" w:space="0" w:color="auto"/>
              <w:bottom w:val="single" w:sz="4" w:space="0" w:color="auto"/>
              <w:right w:val="single" w:sz="4" w:space="0" w:color="auto"/>
            </w:tcBorders>
            <w:vAlign w:val="bottom"/>
            <w:hideMark/>
          </w:tcPr>
          <w:p w14:paraId="054F07EC" w14:textId="77777777" w:rsidR="00DB1AEE" w:rsidRPr="00DB1AEE" w:rsidRDefault="00DB1AEE" w:rsidP="00DB1AEE">
            <w:pPr>
              <w:jc w:val="center"/>
              <w:rPr>
                <w:color w:val="000000"/>
                <w:sz w:val="20"/>
              </w:rPr>
            </w:pPr>
            <w:r w:rsidRPr="00DB1AEE">
              <w:rPr>
                <w:i/>
                <w:iCs/>
                <w:sz w:val="18"/>
                <w:szCs w:val="18"/>
              </w:rPr>
              <w:t>Floors</w:t>
            </w:r>
            <w:r w:rsidRPr="00DB1AEE">
              <w:rPr>
                <w:color w:val="000000"/>
                <w:sz w:val="20"/>
              </w:rPr>
              <w:t> </w:t>
            </w:r>
          </w:p>
        </w:tc>
      </w:tr>
      <w:tr w:rsidR="00DB1AEE" w:rsidRPr="00DB1AEE" w14:paraId="223771D7" w14:textId="77777777" w:rsidTr="00FC1832">
        <w:trPr>
          <w:trHeight w:val="349"/>
        </w:trPr>
        <w:tc>
          <w:tcPr>
            <w:tcW w:w="1533" w:type="dxa"/>
            <w:tcBorders>
              <w:top w:val="nil"/>
              <w:left w:val="single" w:sz="4" w:space="0" w:color="auto"/>
              <w:bottom w:val="single" w:sz="4" w:space="0" w:color="auto"/>
              <w:right w:val="single" w:sz="4" w:space="0" w:color="auto"/>
            </w:tcBorders>
            <w:hideMark/>
          </w:tcPr>
          <w:p w14:paraId="58FB244A" w14:textId="77777777" w:rsidR="00DB1AEE" w:rsidRPr="00DB1AEE" w:rsidRDefault="00DB1AEE" w:rsidP="00DB1AEE">
            <w:pPr>
              <w:jc w:val="center"/>
              <w:rPr>
                <w:i/>
                <w:iCs/>
                <w:sz w:val="18"/>
                <w:szCs w:val="18"/>
              </w:rPr>
            </w:pPr>
            <w:r w:rsidRPr="00DB1AEE">
              <w:rPr>
                <w:i/>
                <w:iCs/>
                <w:sz w:val="18"/>
                <w:szCs w:val="18"/>
              </w:rPr>
              <w:t>Mass</w:t>
            </w:r>
          </w:p>
        </w:tc>
        <w:tc>
          <w:tcPr>
            <w:tcW w:w="1872" w:type="dxa"/>
            <w:gridSpan w:val="2"/>
            <w:tcBorders>
              <w:top w:val="nil"/>
              <w:left w:val="nil"/>
              <w:bottom w:val="single" w:sz="4" w:space="0" w:color="auto"/>
              <w:right w:val="single" w:sz="4" w:space="0" w:color="auto"/>
            </w:tcBorders>
            <w:hideMark/>
          </w:tcPr>
          <w:p w14:paraId="35AC15F5" w14:textId="77777777" w:rsidR="00DB1AEE" w:rsidRPr="00DB1AEE" w:rsidRDefault="00DB1AEE" w:rsidP="00DB1AEE">
            <w:pPr>
              <w:jc w:val="center"/>
              <w:rPr>
                <w:sz w:val="18"/>
                <w:szCs w:val="18"/>
              </w:rPr>
            </w:pPr>
            <w:r w:rsidRPr="00DB1AEE">
              <w:rPr>
                <w:sz w:val="18"/>
                <w:szCs w:val="18"/>
              </w:rPr>
              <w:t>U-0.057</w:t>
            </w:r>
          </w:p>
        </w:tc>
        <w:tc>
          <w:tcPr>
            <w:tcW w:w="997" w:type="dxa"/>
            <w:tcBorders>
              <w:top w:val="single" w:sz="4" w:space="0" w:color="auto"/>
              <w:bottom w:val="single" w:sz="4" w:space="0" w:color="auto"/>
              <w:right w:val="single" w:sz="4" w:space="0" w:color="auto"/>
            </w:tcBorders>
          </w:tcPr>
          <w:p w14:paraId="25D32123" w14:textId="77777777" w:rsidR="00DB1AEE" w:rsidRPr="00DB1AEE" w:rsidRDefault="00DB1AEE" w:rsidP="00DB1AEE">
            <w:pPr>
              <w:jc w:val="center"/>
              <w:rPr>
                <w:sz w:val="18"/>
                <w:szCs w:val="18"/>
              </w:rPr>
            </w:pPr>
            <w:r w:rsidRPr="00DB1AEE">
              <w:rPr>
                <w:sz w:val="18"/>
                <w:szCs w:val="18"/>
              </w:rPr>
              <w:t>R-14.6 c.i.</w:t>
            </w:r>
          </w:p>
        </w:tc>
        <w:tc>
          <w:tcPr>
            <w:tcW w:w="1872" w:type="dxa"/>
            <w:gridSpan w:val="2"/>
            <w:tcBorders>
              <w:top w:val="single" w:sz="4" w:space="0" w:color="auto"/>
              <w:left w:val="single" w:sz="4" w:space="0" w:color="auto"/>
              <w:bottom w:val="single" w:sz="4" w:space="0" w:color="auto"/>
              <w:right w:val="single" w:sz="4" w:space="0" w:color="auto"/>
            </w:tcBorders>
          </w:tcPr>
          <w:p w14:paraId="2FAAF9FB" w14:textId="77777777" w:rsidR="00DB1AEE" w:rsidRPr="00DB1AEE" w:rsidRDefault="00DB1AEE" w:rsidP="00DB1AEE">
            <w:pPr>
              <w:jc w:val="center"/>
              <w:rPr>
                <w:sz w:val="18"/>
                <w:szCs w:val="18"/>
              </w:rPr>
            </w:pPr>
            <w:r w:rsidRPr="00DB1AEE">
              <w:rPr>
                <w:sz w:val="18"/>
                <w:szCs w:val="18"/>
              </w:rPr>
              <w:t xml:space="preserve">U-0.051                </w:t>
            </w:r>
          </w:p>
        </w:tc>
        <w:tc>
          <w:tcPr>
            <w:tcW w:w="997" w:type="dxa"/>
            <w:tcBorders>
              <w:top w:val="single" w:sz="4" w:space="0" w:color="auto"/>
              <w:left w:val="single" w:sz="4" w:space="0" w:color="auto"/>
              <w:bottom w:val="single" w:sz="4" w:space="0" w:color="auto"/>
              <w:right w:val="single" w:sz="4" w:space="0" w:color="auto"/>
            </w:tcBorders>
          </w:tcPr>
          <w:p w14:paraId="4D44E9D9" w14:textId="77777777" w:rsidR="00DB1AEE" w:rsidRPr="00DB1AEE" w:rsidRDefault="00DB1AEE" w:rsidP="00DB1AEE">
            <w:pPr>
              <w:jc w:val="center"/>
              <w:rPr>
                <w:sz w:val="18"/>
                <w:szCs w:val="18"/>
              </w:rPr>
            </w:pPr>
            <w:r w:rsidRPr="00DB1AEE">
              <w:rPr>
                <w:sz w:val="18"/>
                <w:szCs w:val="18"/>
              </w:rPr>
              <w:t xml:space="preserve">R-16.7 </w:t>
            </w:r>
            <w:r w:rsidRPr="00DB1AEE">
              <w:rPr>
                <w:i/>
                <w:iCs/>
                <w:sz w:val="18"/>
                <w:szCs w:val="18"/>
              </w:rPr>
              <w:t>c.i.</w:t>
            </w:r>
          </w:p>
        </w:tc>
        <w:tc>
          <w:tcPr>
            <w:tcW w:w="1370" w:type="dxa"/>
            <w:gridSpan w:val="2"/>
            <w:tcBorders>
              <w:top w:val="nil"/>
              <w:left w:val="single" w:sz="4" w:space="0" w:color="auto"/>
              <w:bottom w:val="single" w:sz="4" w:space="0" w:color="auto"/>
              <w:right w:val="single" w:sz="4" w:space="0" w:color="auto"/>
            </w:tcBorders>
            <w:hideMark/>
          </w:tcPr>
          <w:p w14:paraId="67CC179A" w14:textId="77777777" w:rsidR="00DB1AEE" w:rsidRPr="00DB1AEE" w:rsidRDefault="00DB1AEE" w:rsidP="00DB1AEE">
            <w:pPr>
              <w:jc w:val="center"/>
              <w:rPr>
                <w:sz w:val="18"/>
                <w:szCs w:val="18"/>
              </w:rPr>
            </w:pPr>
            <w:r w:rsidRPr="00DB1AEE">
              <w:rPr>
                <w:sz w:val="18"/>
                <w:szCs w:val="18"/>
              </w:rPr>
              <w:t>U-0.107</w:t>
            </w:r>
          </w:p>
        </w:tc>
        <w:tc>
          <w:tcPr>
            <w:tcW w:w="1574" w:type="dxa"/>
            <w:gridSpan w:val="2"/>
            <w:tcBorders>
              <w:top w:val="nil"/>
              <w:left w:val="nil"/>
              <w:bottom w:val="single" w:sz="4" w:space="0" w:color="auto"/>
              <w:right w:val="single" w:sz="4" w:space="0" w:color="auto"/>
            </w:tcBorders>
            <w:hideMark/>
          </w:tcPr>
          <w:p w14:paraId="1BB24CC2" w14:textId="77777777" w:rsidR="00DB1AEE" w:rsidRPr="00DB1AEE" w:rsidRDefault="00DB1AEE" w:rsidP="00DB1AEE">
            <w:pPr>
              <w:jc w:val="center"/>
              <w:rPr>
                <w:sz w:val="18"/>
                <w:szCs w:val="18"/>
              </w:rPr>
            </w:pPr>
            <w:r w:rsidRPr="00DB1AEE">
              <w:rPr>
                <w:sz w:val="18"/>
                <w:szCs w:val="18"/>
              </w:rPr>
              <w:t>R-6.3 c.i.</w:t>
            </w:r>
          </w:p>
        </w:tc>
      </w:tr>
      <w:tr w:rsidR="00DB1AEE" w:rsidRPr="00DB1AEE" w14:paraId="50D45FCC" w14:textId="77777777" w:rsidTr="00FC1832">
        <w:trPr>
          <w:trHeight w:val="349"/>
        </w:trPr>
        <w:tc>
          <w:tcPr>
            <w:tcW w:w="1533" w:type="dxa"/>
            <w:tcBorders>
              <w:top w:val="nil"/>
              <w:left w:val="single" w:sz="4" w:space="0" w:color="auto"/>
              <w:bottom w:val="single" w:sz="4" w:space="0" w:color="auto"/>
              <w:right w:val="single" w:sz="4" w:space="0" w:color="auto"/>
            </w:tcBorders>
            <w:hideMark/>
          </w:tcPr>
          <w:p w14:paraId="441703E5" w14:textId="77777777" w:rsidR="00DB1AEE" w:rsidRPr="00DB1AEE" w:rsidRDefault="00DB1AEE" w:rsidP="00DB1AEE">
            <w:pPr>
              <w:jc w:val="center"/>
              <w:rPr>
                <w:i/>
                <w:iCs/>
                <w:sz w:val="18"/>
                <w:szCs w:val="18"/>
              </w:rPr>
            </w:pPr>
            <w:r w:rsidRPr="00DB1AEE">
              <w:rPr>
                <w:i/>
                <w:iCs/>
                <w:sz w:val="18"/>
                <w:szCs w:val="18"/>
              </w:rPr>
              <w:t>Steel joist</w:t>
            </w:r>
          </w:p>
        </w:tc>
        <w:tc>
          <w:tcPr>
            <w:tcW w:w="1872" w:type="dxa"/>
            <w:gridSpan w:val="2"/>
            <w:tcBorders>
              <w:top w:val="nil"/>
              <w:left w:val="nil"/>
              <w:bottom w:val="single" w:sz="4" w:space="0" w:color="auto"/>
              <w:right w:val="single" w:sz="4" w:space="0" w:color="auto"/>
            </w:tcBorders>
            <w:hideMark/>
          </w:tcPr>
          <w:p w14:paraId="41FD4A46" w14:textId="77777777" w:rsidR="00DB1AEE" w:rsidRPr="00DB1AEE" w:rsidRDefault="00DB1AEE" w:rsidP="00DB1AEE">
            <w:pPr>
              <w:jc w:val="center"/>
              <w:rPr>
                <w:sz w:val="18"/>
                <w:szCs w:val="18"/>
              </w:rPr>
            </w:pPr>
            <w:r w:rsidRPr="00DB1AEE">
              <w:rPr>
                <w:sz w:val="18"/>
                <w:szCs w:val="18"/>
              </w:rPr>
              <w:t>U-0.033</w:t>
            </w:r>
          </w:p>
        </w:tc>
        <w:tc>
          <w:tcPr>
            <w:tcW w:w="997" w:type="dxa"/>
            <w:tcBorders>
              <w:top w:val="single" w:sz="4" w:space="0" w:color="auto"/>
              <w:bottom w:val="single" w:sz="4" w:space="0" w:color="auto"/>
              <w:right w:val="single" w:sz="4" w:space="0" w:color="auto"/>
            </w:tcBorders>
          </w:tcPr>
          <w:p w14:paraId="2D17305B" w14:textId="77777777" w:rsidR="00DB1AEE" w:rsidRPr="00DB1AEE" w:rsidRDefault="00DB1AEE" w:rsidP="00DB1AEE">
            <w:pPr>
              <w:jc w:val="center"/>
              <w:rPr>
                <w:sz w:val="18"/>
                <w:szCs w:val="18"/>
              </w:rPr>
            </w:pPr>
            <w:r w:rsidRPr="00DB1AEE">
              <w:rPr>
                <w:sz w:val="18"/>
                <w:szCs w:val="18"/>
              </w:rPr>
              <w:t>R-38ca</w:t>
            </w:r>
          </w:p>
        </w:tc>
        <w:tc>
          <w:tcPr>
            <w:tcW w:w="1872" w:type="dxa"/>
            <w:gridSpan w:val="2"/>
            <w:tcBorders>
              <w:top w:val="single" w:sz="4" w:space="0" w:color="auto"/>
              <w:left w:val="single" w:sz="4" w:space="0" w:color="auto"/>
              <w:bottom w:val="single" w:sz="4" w:space="0" w:color="auto"/>
              <w:right w:val="single" w:sz="4" w:space="0" w:color="auto"/>
            </w:tcBorders>
          </w:tcPr>
          <w:p w14:paraId="6DA6CD20" w14:textId="77777777" w:rsidR="00DB1AEE" w:rsidRPr="00DB1AEE" w:rsidRDefault="00DB1AEE" w:rsidP="00DB1AEE">
            <w:pPr>
              <w:jc w:val="center"/>
              <w:rPr>
                <w:sz w:val="18"/>
                <w:szCs w:val="18"/>
              </w:rPr>
            </w:pPr>
            <w:r w:rsidRPr="00DB1AEE">
              <w:rPr>
                <w:sz w:val="18"/>
                <w:szCs w:val="18"/>
              </w:rPr>
              <w:t xml:space="preserve">U-0.033                    </w:t>
            </w:r>
          </w:p>
        </w:tc>
        <w:tc>
          <w:tcPr>
            <w:tcW w:w="997" w:type="dxa"/>
            <w:tcBorders>
              <w:top w:val="single" w:sz="4" w:space="0" w:color="auto"/>
              <w:left w:val="single" w:sz="4" w:space="0" w:color="auto"/>
              <w:bottom w:val="single" w:sz="4" w:space="0" w:color="auto"/>
              <w:right w:val="single" w:sz="4" w:space="0" w:color="auto"/>
            </w:tcBorders>
          </w:tcPr>
          <w:p w14:paraId="33183C10" w14:textId="77777777" w:rsidR="00DB1AEE" w:rsidRPr="00DB1AEE" w:rsidRDefault="00DB1AEE" w:rsidP="00DB1AEE">
            <w:pPr>
              <w:jc w:val="center"/>
              <w:rPr>
                <w:sz w:val="18"/>
                <w:szCs w:val="18"/>
              </w:rPr>
            </w:pPr>
            <w:r w:rsidRPr="00DB1AEE">
              <w:rPr>
                <w:sz w:val="18"/>
                <w:szCs w:val="18"/>
              </w:rPr>
              <w:t>R-38ca</w:t>
            </w:r>
          </w:p>
        </w:tc>
        <w:tc>
          <w:tcPr>
            <w:tcW w:w="1370" w:type="dxa"/>
            <w:gridSpan w:val="2"/>
            <w:tcBorders>
              <w:top w:val="nil"/>
              <w:left w:val="single" w:sz="4" w:space="0" w:color="auto"/>
              <w:bottom w:val="single" w:sz="4" w:space="0" w:color="auto"/>
              <w:right w:val="single" w:sz="4" w:space="0" w:color="auto"/>
            </w:tcBorders>
            <w:hideMark/>
          </w:tcPr>
          <w:p w14:paraId="43C4F9F8" w14:textId="77777777" w:rsidR="00DB1AEE" w:rsidRPr="00DB1AEE" w:rsidRDefault="00DB1AEE" w:rsidP="00DB1AEE">
            <w:pPr>
              <w:jc w:val="center"/>
              <w:rPr>
                <w:sz w:val="18"/>
                <w:szCs w:val="18"/>
              </w:rPr>
            </w:pPr>
            <w:r w:rsidRPr="00DB1AEE">
              <w:rPr>
                <w:sz w:val="18"/>
                <w:szCs w:val="18"/>
              </w:rPr>
              <w:t>U-0.052</w:t>
            </w:r>
          </w:p>
        </w:tc>
        <w:tc>
          <w:tcPr>
            <w:tcW w:w="1574" w:type="dxa"/>
            <w:gridSpan w:val="2"/>
            <w:tcBorders>
              <w:top w:val="nil"/>
              <w:left w:val="nil"/>
              <w:bottom w:val="single" w:sz="4" w:space="0" w:color="auto"/>
              <w:right w:val="single" w:sz="4" w:space="0" w:color="auto"/>
            </w:tcBorders>
            <w:hideMark/>
          </w:tcPr>
          <w:p w14:paraId="76B675DC" w14:textId="77777777" w:rsidR="00DB1AEE" w:rsidRPr="00DB1AEE" w:rsidRDefault="00DB1AEE" w:rsidP="00DB1AEE">
            <w:pPr>
              <w:jc w:val="center"/>
              <w:rPr>
                <w:sz w:val="18"/>
                <w:szCs w:val="18"/>
              </w:rPr>
            </w:pPr>
            <w:r w:rsidRPr="00DB1AEE">
              <w:rPr>
                <w:sz w:val="18"/>
                <w:szCs w:val="18"/>
              </w:rPr>
              <w:t>R-19</w:t>
            </w:r>
          </w:p>
        </w:tc>
      </w:tr>
      <w:tr w:rsidR="00DB1AEE" w:rsidRPr="00DB1AEE" w14:paraId="266636CF" w14:textId="77777777" w:rsidTr="00FC1832">
        <w:trPr>
          <w:trHeight w:val="364"/>
        </w:trPr>
        <w:tc>
          <w:tcPr>
            <w:tcW w:w="1533" w:type="dxa"/>
            <w:tcBorders>
              <w:top w:val="nil"/>
              <w:left w:val="single" w:sz="4" w:space="0" w:color="auto"/>
              <w:bottom w:val="single" w:sz="4" w:space="0" w:color="auto"/>
              <w:right w:val="single" w:sz="4" w:space="0" w:color="auto"/>
            </w:tcBorders>
            <w:hideMark/>
          </w:tcPr>
          <w:p w14:paraId="7E6BFE15" w14:textId="77777777" w:rsidR="00DB1AEE" w:rsidRPr="00DB1AEE" w:rsidRDefault="00DB1AEE" w:rsidP="00DB1AEE">
            <w:pPr>
              <w:jc w:val="center"/>
              <w:rPr>
                <w:i/>
                <w:iCs/>
                <w:sz w:val="18"/>
                <w:szCs w:val="18"/>
              </w:rPr>
            </w:pPr>
            <w:r w:rsidRPr="00DB1AEE">
              <w:rPr>
                <w:i/>
                <w:iCs/>
                <w:sz w:val="18"/>
                <w:szCs w:val="18"/>
              </w:rPr>
              <w:t>Wood-framed and other</w:t>
            </w:r>
          </w:p>
        </w:tc>
        <w:tc>
          <w:tcPr>
            <w:tcW w:w="1872" w:type="dxa"/>
            <w:gridSpan w:val="2"/>
            <w:tcBorders>
              <w:top w:val="nil"/>
              <w:left w:val="nil"/>
              <w:bottom w:val="single" w:sz="4" w:space="0" w:color="auto"/>
              <w:right w:val="single" w:sz="4" w:space="0" w:color="auto"/>
            </w:tcBorders>
            <w:hideMark/>
          </w:tcPr>
          <w:p w14:paraId="0FFF57D4" w14:textId="77777777" w:rsidR="00DB1AEE" w:rsidRPr="00DB1AEE" w:rsidRDefault="00DB1AEE" w:rsidP="00DB1AEE">
            <w:pPr>
              <w:jc w:val="center"/>
              <w:rPr>
                <w:sz w:val="18"/>
                <w:szCs w:val="18"/>
              </w:rPr>
            </w:pPr>
            <w:r w:rsidRPr="00DB1AEE">
              <w:rPr>
                <w:sz w:val="18"/>
                <w:szCs w:val="18"/>
              </w:rPr>
              <w:t>U-0.033</w:t>
            </w:r>
          </w:p>
        </w:tc>
        <w:tc>
          <w:tcPr>
            <w:tcW w:w="997" w:type="dxa"/>
            <w:tcBorders>
              <w:top w:val="single" w:sz="4" w:space="0" w:color="auto"/>
              <w:bottom w:val="single" w:sz="4" w:space="0" w:color="auto"/>
              <w:right w:val="single" w:sz="4" w:space="0" w:color="auto"/>
            </w:tcBorders>
          </w:tcPr>
          <w:p w14:paraId="51D91E94" w14:textId="77777777" w:rsidR="00DB1AEE" w:rsidRPr="00DB1AEE" w:rsidRDefault="00DB1AEE" w:rsidP="00DB1AEE">
            <w:pPr>
              <w:jc w:val="center"/>
              <w:rPr>
                <w:sz w:val="18"/>
                <w:szCs w:val="18"/>
              </w:rPr>
            </w:pPr>
            <w:r w:rsidRPr="00DB1AEE">
              <w:rPr>
                <w:sz w:val="18"/>
                <w:szCs w:val="18"/>
              </w:rPr>
              <w:t>R-30ca</w:t>
            </w:r>
          </w:p>
        </w:tc>
        <w:tc>
          <w:tcPr>
            <w:tcW w:w="1872" w:type="dxa"/>
            <w:gridSpan w:val="2"/>
            <w:tcBorders>
              <w:top w:val="single" w:sz="4" w:space="0" w:color="auto"/>
              <w:left w:val="single" w:sz="4" w:space="0" w:color="auto"/>
              <w:bottom w:val="single" w:sz="4" w:space="0" w:color="auto"/>
              <w:right w:val="single" w:sz="4" w:space="0" w:color="auto"/>
            </w:tcBorders>
          </w:tcPr>
          <w:p w14:paraId="1177074F" w14:textId="77777777" w:rsidR="00DB1AEE" w:rsidRPr="00DB1AEE" w:rsidRDefault="00DB1AEE" w:rsidP="00DB1AEE">
            <w:pPr>
              <w:jc w:val="center"/>
              <w:rPr>
                <w:sz w:val="18"/>
                <w:szCs w:val="18"/>
              </w:rPr>
            </w:pPr>
            <w:r w:rsidRPr="00DB1AEE">
              <w:rPr>
                <w:sz w:val="18"/>
                <w:szCs w:val="18"/>
              </w:rPr>
              <w:t xml:space="preserve">U-0.033                    </w:t>
            </w:r>
          </w:p>
        </w:tc>
        <w:tc>
          <w:tcPr>
            <w:tcW w:w="997" w:type="dxa"/>
            <w:tcBorders>
              <w:top w:val="single" w:sz="4" w:space="0" w:color="auto"/>
              <w:left w:val="single" w:sz="4" w:space="0" w:color="auto"/>
              <w:bottom w:val="single" w:sz="4" w:space="0" w:color="auto"/>
              <w:right w:val="single" w:sz="4" w:space="0" w:color="auto"/>
            </w:tcBorders>
          </w:tcPr>
          <w:p w14:paraId="1E6018A0" w14:textId="77777777" w:rsidR="00DB1AEE" w:rsidRPr="00DB1AEE" w:rsidRDefault="00DB1AEE" w:rsidP="00DB1AEE">
            <w:pPr>
              <w:jc w:val="center"/>
              <w:rPr>
                <w:sz w:val="18"/>
                <w:szCs w:val="18"/>
              </w:rPr>
            </w:pPr>
            <w:r w:rsidRPr="00DB1AEE">
              <w:rPr>
                <w:sz w:val="18"/>
                <w:szCs w:val="18"/>
              </w:rPr>
              <w:t>R-30ca</w:t>
            </w:r>
          </w:p>
        </w:tc>
        <w:tc>
          <w:tcPr>
            <w:tcW w:w="1370" w:type="dxa"/>
            <w:gridSpan w:val="2"/>
            <w:tcBorders>
              <w:top w:val="nil"/>
              <w:left w:val="single" w:sz="4" w:space="0" w:color="auto"/>
              <w:bottom w:val="single" w:sz="4" w:space="0" w:color="auto"/>
              <w:right w:val="single" w:sz="4" w:space="0" w:color="auto"/>
            </w:tcBorders>
            <w:hideMark/>
          </w:tcPr>
          <w:p w14:paraId="679D6B12" w14:textId="77777777" w:rsidR="00DB1AEE" w:rsidRPr="00DB1AEE" w:rsidRDefault="00DB1AEE" w:rsidP="00DB1AEE">
            <w:pPr>
              <w:jc w:val="center"/>
              <w:rPr>
                <w:sz w:val="18"/>
                <w:szCs w:val="18"/>
              </w:rPr>
            </w:pPr>
            <w:r w:rsidRPr="00DB1AEE">
              <w:rPr>
                <w:sz w:val="18"/>
                <w:szCs w:val="18"/>
              </w:rPr>
              <w:t>U-0.051</w:t>
            </w:r>
          </w:p>
        </w:tc>
        <w:tc>
          <w:tcPr>
            <w:tcW w:w="1574" w:type="dxa"/>
            <w:gridSpan w:val="2"/>
            <w:tcBorders>
              <w:top w:val="nil"/>
              <w:left w:val="nil"/>
              <w:bottom w:val="single" w:sz="4" w:space="0" w:color="auto"/>
              <w:right w:val="single" w:sz="4" w:space="0" w:color="auto"/>
            </w:tcBorders>
            <w:hideMark/>
          </w:tcPr>
          <w:p w14:paraId="1D216D2E" w14:textId="77777777" w:rsidR="00DB1AEE" w:rsidRPr="00DB1AEE" w:rsidRDefault="00DB1AEE" w:rsidP="00DB1AEE">
            <w:pPr>
              <w:jc w:val="center"/>
              <w:rPr>
                <w:sz w:val="18"/>
                <w:szCs w:val="18"/>
              </w:rPr>
            </w:pPr>
            <w:r w:rsidRPr="00DB1AEE">
              <w:rPr>
                <w:sz w:val="18"/>
                <w:szCs w:val="18"/>
              </w:rPr>
              <w:t>R-19</w:t>
            </w:r>
          </w:p>
        </w:tc>
      </w:tr>
      <w:tr w:rsidR="00DB1AEE" w:rsidRPr="00DB1AEE" w14:paraId="2E8530BF" w14:textId="77777777" w:rsidTr="00FC1832">
        <w:trPr>
          <w:trHeight w:val="334"/>
        </w:trPr>
        <w:tc>
          <w:tcPr>
            <w:tcW w:w="10215" w:type="dxa"/>
            <w:gridSpan w:val="11"/>
            <w:tcBorders>
              <w:top w:val="nil"/>
              <w:left w:val="single" w:sz="4" w:space="0" w:color="auto"/>
              <w:bottom w:val="single" w:sz="4" w:space="0" w:color="auto"/>
              <w:right w:val="single" w:sz="4" w:space="0" w:color="auto"/>
            </w:tcBorders>
            <w:vAlign w:val="bottom"/>
            <w:hideMark/>
          </w:tcPr>
          <w:p w14:paraId="3A516669" w14:textId="77777777" w:rsidR="00DB1AEE" w:rsidRPr="00DB1AEE" w:rsidRDefault="00DB1AEE" w:rsidP="00DB1AEE">
            <w:pPr>
              <w:jc w:val="center"/>
              <w:rPr>
                <w:color w:val="000000"/>
                <w:sz w:val="20"/>
              </w:rPr>
            </w:pPr>
            <w:r w:rsidRPr="00DB1AEE">
              <w:rPr>
                <w:i/>
                <w:iCs/>
                <w:sz w:val="18"/>
                <w:szCs w:val="18"/>
              </w:rPr>
              <w:t>Slab-on-Grade Floors</w:t>
            </w:r>
          </w:p>
          <w:p w14:paraId="5FD2A15C" w14:textId="77777777" w:rsidR="00DB1AEE" w:rsidRPr="00DB1AEE" w:rsidRDefault="00DB1AEE" w:rsidP="00DB1AEE">
            <w:pPr>
              <w:jc w:val="center"/>
              <w:rPr>
                <w:color w:val="000000"/>
                <w:sz w:val="20"/>
              </w:rPr>
            </w:pPr>
          </w:p>
        </w:tc>
      </w:tr>
      <w:tr w:rsidR="00DB1AEE" w:rsidRPr="00DB1AEE" w14:paraId="471D1215" w14:textId="77777777" w:rsidTr="00FC1832">
        <w:trPr>
          <w:trHeight w:val="349"/>
        </w:trPr>
        <w:tc>
          <w:tcPr>
            <w:tcW w:w="1533" w:type="dxa"/>
            <w:tcBorders>
              <w:top w:val="nil"/>
              <w:left w:val="single" w:sz="4" w:space="0" w:color="auto"/>
              <w:bottom w:val="single" w:sz="4" w:space="0" w:color="auto"/>
              <w:right w:val="single" w:sz="4" w:space="0" w:color="auto"/>
            </w:tcBorders>
            <w:hideMark/>
          </w:tcPr>
          <w:p w14:paraId="46ABDF8F" w14:textId="77777777" w:rsidR="00DB1AEE" w:rsidRPr="00DB1AEE" w:rsidRDefault="00DB1AEE" w:rsidP="00DB1AEE">
            <w:pPr>
              <w:jc w:val="center"/>
              <w:rPr>
                <w:i/>
                <w:iCs/>
                <w:sz w:val="18"/>
                <w:szCs w:val="18"/>
              </w:rPr>
            </w:pPr>
            <w:r w:rsidRPr="00DB1AEE">
              <w:rPr>
                <w:i/>
                <w:iCs/>
                <w:sz w:val="18"/>
                <w:szCs w:val="18"/>
              </w:rPr>
              <w:t>Unheated</w:t>
            </w:r>
          </w:p>
        </w:tc>
        <w:tc>
          <w:tcPr>
            <w:tcW w:w="1872" w:type="dxa"/>
            <w:gridSpan w:val="2"/>
            <w:tcBorders>
              <w:top w:val="nil"/>
              <w:left w:val="nil"/>
              <w:bottom w:val="single" w:sz="4" w:space="0" w:color="auto"/>
              <w:right w:val="single" w:sz="4" w:space="0" w:color="auto"/>
            </w:tcBorders>
            <w:hideMark/>
          </w:tcPr>
          <w:p w14:paraId="4AAC586D" w14:textId="77777777" w:rsidR="00DB1AEE" w:rsidRPr="00DB1AEE" w:rsidRDefault="00DB1AEE" w:rsidP="00DB1AEE">
            <w:pPr>
              <w:jc w:val="center"/>
              <w:rPr>
                <w:sz w:val="18"/>
                <w:szCs w:val="18"/>
              </w:rPr>
            </w:pPr>
            <w:r w:rsidRPr="00DB1AEE">
              <w:rPr>
                <w:sz w:val="18"/>
                <w:szCs w:val="18"/>
              </w:rPr>
              <w:t>F-0.520</w:t>
            </w:r>
          </w:p>
        </w:tc>
        <w:tc>
          <w:tcPr>
            <w:tcW w:w="997" w:type="dxa"/>
            <w:tcBorders>
              <w:top w:val="single" w:sz="4" w:space="0" w:color="auto"/>
              <w:bottom w:val="single" w:sz="4" w:space="0" w:color="auto"/>
              <w:right w:val="single" w:sz="4" w:space="0" w:color="auto"/>
            </w:tcBorders>
          </w:tcPr>
          <w:p w14:paraId="50C92184" w14:textId="77777777" w:rsidR="00DB1AEE" w:rsidRPr="00DB1AEE" w:rsidRDefault="00DB1AEE" w:rsidP="00DB1AEE">
            <w:pPr>
              <w:jc w:val="center"/>
              <w:rPr>
                <w:sz w:val="18"/>
                <w:szCs w:val="18"/>
              </w:rPr>
            </w:pPr>
            <w:r w:rsidRPr="00DB1AEE">
              <w:rPr>
                <w:sz w:val="18"/>
                <w:szCs w:val="18"/>
              </w:rPr>
              <w:t>R-15 for 24 in.</w:t>
            </w:r>
          </w:p>
        </w:tc>
        <w:tc>
          <w:tcPr>
            <w:tcW w:w="1872" w:type="dxa"/>
            <w:gridSpan w:val="2"/>
            <w:tcBorders>
              <w:top w:val="single" w:sz="4" w:space="0" w:color="auto"/>
              <w:left w:val="single" w:sz="4" w:space="0" w:color="auto"/>
              <w:bottom w:val="single" w:sz="4" w:space="0" w:color="auto"/>
              <w:right w:val="single" w:sz="4" w:space="0" w:color="auto"/>
            </w:tcBorders>
          </w:tcPr>
          <w:p w14:paraId="4F17AF93" w14:textId="77777777" w:rsidR="00DB1AEE" w:rsidRPr="00DB1AEE" w:rsidRDefault="00DB1AEE" w:rsidP="00DB1AEE">
            <w:pPr>
              <w:jc w:val="center"/>
              <w:rPr>
                <w:sz w:val="18"/>
                <w:szCs w:val="18"/>
              </w:rPr>
            </w:pPr>
            <w:r w:rsidRPr="00DB1AEE">
              <w:rPr>
                <w:sz w:val="18"/>
                <w:szCs w:val="18"/>
              </w:rPr>
              <w:t xml:space="preserve">F-0.520              </w:t>
            </w:r>
          </w:p>
        </w:tc>
        <w:tc>
          <w:tcPr>
            <w:tcW w:w="997" w:type="dxa"/>
            <w:tcBorders>
              <w:top w:val="single" w:sz="4" w:space="0" w:color="auto"/>
              <w:left w:val="single" w:sz="4" w:space="0" w:color="auto"/>
              <w:bottom w:val="single" w:sz="4" w:space="0" w:color="auto"/>
              <w:right w:val="single" w:sz="4" w:space="0" w:color="auto"/>
            </w:tcBorders>
          </w:tcPr>
          <w:p w14:paraId="5AB78673" w14:textId="77777777" w:rsidR="00DB1AEE" w:rsidRPr="00DB1AEE" w:rsidRDefault="00DB1AEE" w:rsidP="00DB1AEE">
            <w:pPr>
              <w:jc w:val="center"/>
              <w:rPr>
                <w:sz w:val="18"/>
                <w:szCs w:val="18"/>
              </w:rPr>
            </w:pPr>
            <w:r w:rsidRPr="00DB1AEE">
              <w:rPr>
                <w:sz w:val="18"/>
                <w:szCs w:val="18"/>
              </w:rPr>
              <w:t>R-15 for 24 in.</w:t>
            </w:r>
          </w:p>
        </w:tc>
        <w:tc>
          <w:tcPr>
            <w:tcW w:w="1370" w:type="dxa"/>
            <w:gridSpan w:val="2"/>
            <w:tcBorders>
              <w:top w:val="nil"/>
              <w:left w:val="single" w:sz="4" w:space="0" w:color="auto"/>
              <w:bottom w:val="single" w:sz="4" w:space="0" w:color="auto"/>
              <w:right w:val="single" w:sz="4" w:space="0" w:color="auto"/>
            </w:tcBorders>
            <w:hideMark/>
          </w:tcPr>
          <w:p w14:paraId="4DADC0C5" w14:textId="77777777" w:rsidR="00DB1AEE" w:rsidRPr="00DB1AEE" w:rsidRDefault="00DB1AEE" w:rsidP="00DB1AEE">
            <w:pPr>
              <w:jc w:val="center"/>
              <w:rPr>
                <w:sz w:val="18"/>
                <w:szCs w:val="18"/>
              </w:rPr>
            </w:pPr>
            <w:r w:rsidRPr="00DB1AEE">
              <w:rPr>
                <w:sz w:val="18"/>
                <w:szCs w:val="18"/>
              </w:rPr>
              <w:t>F-0.730</w:t>
            </w:r>
          </w:p>
        </w:tc>
        <w:tc>
          <w:tcPr>
            <w:tcW w:w="1574" w:type="dxa"/>
            <w:gridSpan w:val="2"/>
            <w:tcBorders>
              <w:top w:val="nil"/>
              <w:left w:val="nil"/>
              <w:bottom w:val="single" w:sz="4" w:space="0" w:color="auto"/>
              <w:right w:val="single" w:sz="4" w:space="0" w:color="auto"/>
            </w:tcBorders>
            <w:hideMark/>
          </w:tcPr>
          <w:p w14:paraId="1DC91AFD" w14:textId="77777777" w:rsidR="00DB1AEE" w:rsidRPr="00DB1AEE" w:rsidRDefault="00DB1AEE" w:rsidP="00DB1AEE">
            <w:pPr>
              <w:jc w:val="center"/>
              <w:rPr>
                <w:sz w:val="18"/>
                <w:szCs w:val="18"/>
              </w:rPr>
            </w:pPr>
            <w:r w:rsidRPr="00DB1AEE">
              <w:rPr>
                <w:sz w:val="18"/>
                <w:szCs w:val="18"/>
              </w:rPr>
              <w:t>NR</w:t>
            </w:r>
          </w:p>
        </w:tc>
      </w:tr>
      <w:tr w:rsidR="00DB1AEE" w:rsidRPr="00DB1AEE" w14:paraId="6FC84A68" w14:textId="77777777" w:rsidTr="00FC1832">
        <w:trPr>
          <w:trHeight w:val="364"/>
        </w:trPr>
        <w:tc>
          <w:tcPr>
            <w:tcW w:w="1533" w:type="dxa"/>
            <w:tcBorders>
              <w:top w:val="nil"/>
              <w:left w:val="single" w:sz="4" w:space="0" w:color="auto"/>
              <w:bottom w:val="single" w:sz="4" w:space="0" w:color="auto"/>
              <w:right w:val="single" w:sz="4" w:space="0" w:color="auto"/>
            </w:tcBorders>
            <w:hideMark/>
          </w:tcPr>
          <w:p w14:paraId="414B95FB" w14:textId="77777777" w:rsidR="00DB1AEE" w:rsidRPr="00DB1AEE" w:rsidRDefault="00DB1AEE" w:rsidP="00DB1AEE">
            <w:pPr>
              <w:jc w:val="center"/>
              <w:rPr>
                <w:i/>
                <w:iCs/>
                <w:sz w:val="18"/>
                <w:szCs w:val="18"/>
              </w:rPr>
            </w:pPr>
            <w:r w:rsidRPr="00DB1AEE">
              <w:rPr>
                <w:i/>
                <w:iCs/>
                <w:sz w:val="18"/>
                <w:szCs w:val="18"/>
              </w:rPr>
              <w:t>Heated</w:t>
            </w:r>
          </w:p>
        </w:tc>
        <w:tc>
          <w:tcPr>
            <w:tcW w:w="1872" w:type="dxa"/>
            <w:gridSpan w:val="2"/>
            <w:tcBorders>
              <w:top w:val="nil"/>
              <w:left w:val="nil"/>
              <w:bottom w:val="single" w:sz="4" w:space="0" w:color="auto"/>
              <w:right w:val="single" w:sz="4" w:space="0" w:color="auto"/>
            </w:tcBorders>
            <w:hideMark/>
          </w:tcPr>
          <w:p w14:paraId="0BC59CAC" w14:textId="77777777" w:rsidR="00DB1AEE" w:rsidRPr="00DB1AEE" w:rsidRDefault="00DB1AEE" w:rsidP="00DB1AEE">
            <w:pPr>
              <w:jc w:val="center"/>
              <w:rPr>
                <w:sz w:val="18"/>
                <w:szCs w:val="18"/>
              </w:rPr>
            </w:pPr>
            <w:r w:rsidRPr="00DB1AEE">
              <w:rPr>
                <w:sz w:val="18"/>
                <w:szCs w:val="18"/>
              </w:rPr>
              <w:t>F-0.843</w:t>
            </w:r>
          </w:p>
        </w:tc>
        <w:tc>
          <w:tcPr>
            <w:tcW w:w="997" w:type="dxa"/>
            <w:tcBorders>
              <w:top w:val="single" w:sz="4" w:space="0" w:color="auto"/>
              <w:bottom w:val="single" w:sz="4" w:space="0" w:color="auto"/>
              <w:right w:val="single" w:sz="4" w:space="0" w:color="auto"/>
            </w:tcBorders>
          </w:tcPr>
          <w:p w14:paraId="371827D6" w14:textId="77777777" w:rsidR="00DB1AEE" w:rsidRPr="00DB1AEE" w:rsidRDefault="00DB1AEE" w:rsidP="00DB1AEE">
            <w:pPr>
              <w:jc w:val="center"/>
              <w:rPr>
                <w:sz w:val="18"/>
                <w:szCs w:val="18"/>
              </w:rPr>
            </w:pPr>
            <w:r w:rsidRPr="00DB1AEE">
              <w:rPr>
                <w:sz w:val="18"/>
                <w:szCs w:val="18"/>
              </w:rPr>
              <w:t xml:space="preserve">R-20 for 48 in.  +%-5 full slab           </w:t>
            </w:r>
          </w:p>
        </w:tc>
        <w:tc>
          <w:tcPr>
            <w:tcW w:w="1872" w:type="dxa"/>
            <w:gridSpan w:val="2"/>
            <w:tcBorders>
              <w:top w:val="single" w:sz="4" w:space="0" w:color="auto"/>
              <w:left w:val="single" w:sz="4" w:space="0" w:color="auto"/>
              <w:bottom w:val="single" w:sz="4" w:space="0" w:color="auto"/>
              <w:right w:val="single" w:sz="4" w:space="0" w:color="auto"/>
            </w:tcBorders>
          </w:tcPr>
          <w:p w14:paraId="34BCFCCF" w14:textId="77777777" w:rsidR="00DB1AEE" w:rsidRPr="00DB1AEE" w:rsidRDefault="00DB1AEE" w:rsidP="00DB1AEE">
            <w:pPr>
              <w:jc w:val="center"/>
              <w:rPr>
                <w:sz w:val="18"/>
                <w:szCs w:val="18"/>
              </w:rPr>
            </w:pPr>
            <w:r w:rsidRPr="00DB1AEE">
              <w:rPr>
                <w:sz w:val="18"/>
                <w:szCs w:val="18"/>
              </w:rPr>
              <w:t xml:space="preserve">F-0.63              </w:t>
            </w:r>
          </w:p>
        </w:tc>
        <w:tc>
          <w:tcPr>
            <w:tcW w:w="997" w:type="dxa"/>
            <w:tcBorders>
              <w:top w:val="single" w:sz="4" w:space="0" w:color="auto"/>
              <w:left w:val="single" w:sz="4" w:space="0" w:color="auto"/>
              <w:bottom w:val="single" w:sz="4" w:space="0" w:color="auto"/>
              <w:right w:val="single" w:sz="4" w:space="0" w:color="auto"/>
            </w:tcBorders>
          </w:tcPr>
          <w:p w14:paraId="513B504A" w14:textId="77777777" w:rsidR="00DB1AEE" w:rsidRPr="00DB1AEE" w:rsidRDefault="00DB1AEE" w:rsidP="00DB1AEE">
            <w:pPr>
              <w:jc w:val="center"/>
              <w:rPr>
                <w:sz w:val="18"/>
                <w:szCs w:val="18"/>
              </w:rPr>
            </w:pPr>
            <w:r w:rsidRPr="00DB1AEE">
              <w:rPr>
                <w:sz w:val="18"/>
                <w:szCs w:val="18"/>
              </w:rPr>
              <w:t>R-20 for 48 in.+R-5 full slab</w:t>
            </w:r>
          </w:p>
        </w:tc>
        <w:tc>
          <w:tcPr>
            <w:tcW w:w="1370" w:type="dxa"/>
            <w:gridSpan w:val="2"/>
            <w:tcBorders>
              <w:top w:val="nil"/>
              <w:left w:val="single" w:sz="4" w:space="0" w:color="auto"/>
              <w:bottom w:val="single" w:sz="4" w:space="0" w:color="auto"/>
              <w:right w:val="single" w:sz="4" w:space="0" w:color="auto"/>
            </w:tcBorders>
            <w:hideMark/>
          </w:tcPr>
          <w:p w14:paraId="6B83FE79" w14:textId="77777777" w:rsidR="00DB1AEE" w:rsidRPr="00DB1AEE" w:rsidRDefault="00DB1AEE" w:rsidP="00DB1AEE">
            <w:pPr>
              <w:jc w:val="center"/>
              <w:rPr>
                <w:sz w:val="18"/>
                <w:szCs w:val="18"/>
              </w:rPr>
            </w:pPr>
            <w:r w:rsidRPr="00DB1AEE">
              <w:rPr>
                <w:sz w:val="18"/>
                <w:szCs w:val="18"/>
              </w:rPr>
              <w:t>F-0.900</w:t>
            </w:r>
          </w:p>
        </w:tc>
        <w:tc>
          <w:tcPr>
            <w:tcW w:w="1574" w:type="dxa"/>
            <w:gridSpan w:val="2"/>
            <w:tcBorders>
              <w:top w:val="nil"/>
              <w:left w:val="nil"/>
              <w:bottom w:val="single" w:sz="4" w:space="0" w:color="auto"/>
              <w:right w:val="single" w:sz="4" w:space="0" w:color="auto"/>
            </w:tcBorders>
            <w:hideMark/>
          </w:tcPr>
          <w:p w14:paraId="41C64EC2" w14:textId="77777777" w:rsidR="00DB1AEE" w:rsidRPr="00DB1AEE" w:rsidRDefault="00DB1AEE" w:rsidP="00DB1AEE">
            <w:pPr>
              <w:jc w:val="center"/>
              <w:rPr>
                <w:sz w:val="18"/>
                <w:szCs w:val="18"/>
              </w:rPr>
            </w:pPr>
            <w:r w:rsidRPr="00DB1AEE">
              <w:rPr>
                <w:sz w:val="18"/>
                <w:szCs w:val="18"/>
              </w:rPr>
              <w:t>R-10 for 24 in.</w:t>
            </w:r>
          </w:p>
        </w:tc>
      </w:tr>
      <w:tr w:rsidR="00DB1AEE" w:rsidRPr="00DB1AEE" w14:paraId="51E064E5" w14:textId="77777777" w:rsidTr="00FC1832">
        <w:trPr>
          <w:trHeight w:val="334"/>
        </w:trPr>
        <w:tc>
          <w:tcPr>
            <w:tcW w:w="10215" w:type="dxa"/>
            <w:gridSpan w:val="11"/>
            <w:tcBorders>
              <w:top w:val="single" w:sz="4" w:space="0" w:color="auto"/>
              <w:left w:val="single" w:sz="4" w:space="0" w:color="auto"/>
              <w:bottom w:val="single" w:sz="4" w:space="0" w:color="auto"/>
              <w:right w:val="single" w:sz="4" w:space="0" w:color="auto"/>
            </w:tcBorders>
            <w:vAlign w:val="bottom"/>
            <w:hideMark/>
          </w:tcPr>
          <w:p w14:paraId="71DB6121" w14:textId="77777777" w:rsidR="00DB1AEE" w:rsidRPr="00DB1AEE" w:rsidRDefault="00DB1AEE" w:rsidP="00DB1AEE">
            <w:pPr>
              <w:jc w:val="center"/>
              <w:rPr>
                <w:color w:val="000000"/>
                <w:sz w:val="20"/>
              </w:rPr>
            </w:pPr>
            <w:r w:rsidRPr="00DB1AEE">
              <w:rPr>
                <w:i/>
                <w:iCs/>
                <w:sz w:val="18"/>
                <w:szCs w:val="18"/>
              </w:rPr>
              <w:t>Opaque Doors</w:t>
            </w:r>
          </w:p>
          <w:p w14:paraId="082A17D1" w14:textId="77777777" w:rsidR="00DB1AEE" w:rsidRPr="00DB1AEE" w:rsidRDefault="00DB1AEE" w:rsidP="00DB1AEE">
            <w:pPr>
              <w:jc w:val="center"/>
              <w:rPr>
                <w:color w:val="000000"/>
                <w:sz w:val="20"/>
              </w:rPr>
            </w:pPr>
          </w:p>
        </w:tc>
      </w:tr>
      <w:tr w:rsidR="00DB1AEE" w:rsidRPr="00DB1AEE" w14:paraId="70132912" w14:textId="77777777" w:rsidTr="00FC1832">
        <w:trPr>
          <w:trHeight w:val="349"/>
        </w:trPr>
        <w:tc>
          <w:tcPr>
            <w:tcW w:w="1533" w:type="dxa"/>
            <w:tcBorders>
              <w:top w:val="single" w:sz="4" w:space="0" w:color="auto"/>
              <w:left w:val="single" w:sz="4" w:space="0" w:color="auto"/>
              <w:bottom w:val="single" w:sz="4" w:space="0" w:color="auto"/>
              <w:right w:val="single" w:sz="4" w:space="0" w:color="auto"/>
            </w:tcBorders>
            <w:hideMark/>
          </w:tcPr>
          <w:p w14:paraId="288B9955" w14:textId="77777777" w:rsidR="00DB1AEE" w:rsidRPr="00DB1AEE" w:rsidRDefault="00DB1AEE" w:rsidP="00DB1AEE">
            <w:pPr>
              <w:jc w:val="center"/>
              <w:rPr>
                <w:i/>
                <w:iCs/>
                <w:sz w:val="18"/>
                <w:szCs w:val="18"/>
              </w:rPr>
            </w:pPr>
            <w:r w:rsidRPr="00DB1AEE">
              <w:rPr>
                <w:i/>
                <w:iCs/>
                <w:sz w:val="18"/>
                <w:szCs w:val="18"/>
              </w:rPr>
              <w:t>Swinging</w:t>
            </w:r>
          </w:p>
        </w:tc>
        <w:tc>
          <w:tcPr>
            <w:tcW w:w="1872" w:type="dxa"/>
            <w:gridSpan w:val="2"/>
            <w:tcBorders>
              <w:top w:val="single" w:sz="4" w:space="0" w:color="auto"/>
              <w:left w:val="nil"/>
              <w:bottom w:val="single" w:sz="4" w:space="0" w:color="auto"/>
              <w:right w:val="single" w:sz="4" w:space="0" w:color="auto"/>
            </w:tcBorders>
            <w:hideMark/>
          </w:tcPr>
          <w:p w14:paraId="0E861A30" w14:textId="77777777" w:rsidR="00DB1AEE" w:rsidRPr="00DB1AEE" w:rsidRDefault="00DB1AEE" w:rsidP="00DB1AEE">
            <w:pPr>
              <w:jc w:val="center"/>
              <w:rPr>
                <w:sz w:val="18"/>
                <w:szCs w:val="18"/>
              </w:rPr>
            </w:pPr>
            <w:r w:rsidRPr="00DB1AEE">
              <w:rPr>
                <w:sz w:val="18"/>
                <w:szCs w:val="18"/>
              </w:rPr>
              <w:t>U-0.370</w:t>
            </w:r>
          </w:p>
        </w:tc>
        <w:tc>
          <w:tcPr>
            <w:tcW w:w="997" w:type="dxa"/>
            <w:tcBorders>
              <w:top w:val="single" w:sz="4" w:space="0" w:color="auto"/>
              <w:bottom w:val="single" w:sz="4" w:space="0" w:color="auto"/>
              <w:right w:val="single" w:sz="4" w:space="0" w:color="auto"/>
            </w:tcBorders>
          </w:tcPr>
          <w:p w14:paraId="49A761C7" w14:textId="77777777" w:rsidR="00DB1AEE" w:rsidRPr="00DB1AEE" w:rsidRDefault="00DB1AEE" w:rsidP="00DB1AEE">
            <w:pPr>
              <w:jc w:val="center"/>
              <w:rPr>
                <w:sz w:val="18"/>
                <w:szCs w:val="18"/>
              </w:rPr>
            </w:pPr>
          </w:p>
        </w:tc>
        <w:tc>
          <w:tcPr>
            <w:tcW w:w="1872" w:type="dxa"/>
            <w:gridSpan w:val="2"/>
            <w:tcBorders>
              <w:top w:val="single" w:sz="4" w:space="0" w:color="auto"/>
              <w:left w:val="single" w:sz="4" w:space="0" w:color="auto"/>
              <w:bottom w:val="single" w:sz="4" w:space="0" w:color="auto"/>
              <w:right w:val="single" w:sz="4" w:space="0" w:color="auto"/>
            </w:tcBorders>
          </w:tcPr>
          <w:p w14:paraId="355EEDEE" w14:textId="77777777" w:rsidR="00DB1AEE" w:rsidRPr="00DB1AEE" w:rsidRDefault="00DB1AEE" w:rsidP="00DB1AEE">
            <w:pPr>
              <w:jc w:val="center"/>
              <w:rPr>
                <w:sz w:val="18"/>
                <w:szCs w:val="18"/>
              </w:rPr>
            </w:pPr>
            <w:r w:rsidRPr="00DB1AEE">
              <w:rPr>
                <w:sz w:val="18"/>
                <w:szCs w:val="18"/>
              </w:rPr>
              <w:t>U-0.370</w:t>
            </w:r>
          </w:p>
        </w:tc>
        <w:tc>
          <w:tcPr>
            <w:tcW w:w="997" w:type="dxa"/>
            <w:tcBorders>
              <w:top w:val="single" w:sz="4" w:space="0" w:color="auto"/>
              <w:left w:val="single" w:sz="4" w:space="0" w:color="auto"/>
              <w:bottom w:val="single" w:sz="4" w:space="0" w:color="auto"/>
              <w:right w:val="single" w:sz="4" w:space="0" w:color="auto"/>
            </w:tcBorders>
          </w:tcPr>
          <w:p w14:paraId="15DA86C0" w14:textId="77777777" w:rsidR="00DB1AEE" w:rsidRPr="00DB1AEE" w:rsidRDefault="00DB1AEE" w:rsidP="00DB1AEE">
            <w:pPr>
              <w:jc w:val="center"/>
              <w:rPr>
                <w:sz w:val="18"/>
                <w:szCs w:val="18"/>
              </w:rPr>
            </w:pPr>
          </w:p>
        </w:tc>
        <w:tc>
          <w:tcPr>
            <w:tcW w:w="1370" w:type="dxa"/>
            <w:gridSpan w:val="2"/>
            <w:tcBorders>
              <w:top w:val="single" w:sz="4" w:space="0" w:color="auto"/>
              <w:left w:val="single" w:sz="4" w:space="0" w:color="auto"/>
              <w:bottom w:val="single" w:sz="4" w:space="0" w:color="auto"/>
              <w:right w:val="single" w:sz="4" w:space="0" w:color="auto"/>
            </w:tcBorders>
            <w:hideMark/>
          </w:tcPr>
          <w:p w14:paraId="7B702B91" w14:textId="77777777" w:rsidR="00DB1AEE" w:rsidRPr="00DB1AEE" w:rsidRDefault="00DB1AEE" w:rsidP="00DB1AEE">
            <w:pPr>
              <w:jc w:val="center"/>
              <w:rPr>
                <w:sz w:val="18"/>
                <w:szCs w:val="18"/>
              </w:rPr>
            </w:pPr>
            <w:r w:rsidRPr="00DB1AEE">
              <w:rPr>
                <w:sz w:val="18"/>
                <w:szCs w:val="18"/>
              </w:rPr>
              <w:t>U-0.370</w:t>
            </w:r>
          </w:p>
        </w:tc>
        <w:tc>
          <w:tcPr>
            <w:tcW w:w="1574" w:type="dxa"/>
            <w:gridSpan w:val="2"/>
            <w:tcBorders>
              <w:top w:val="nil"/>
              <w:left w:val="nil"/>
              <w:bottom w:val="single" w:sz="4" w:space="0" w:color="auto"/>
              <w:right w:val="single" w:sz="4" w:space="0" w:color="auto"/>
            </w:tcBorders>
            <w:vAlign w:val="bottom"/>
            <w:hideMark/>
          </w:tcPr>
          <w:p w14:paraId="1944663E" w14:textId="77777777" w:rsidR="00DB1AEE" w:rsidRPr="00DB1AEE" w:rsidRDefault="00DB1AEE" w:rsidP="00DB1AEE">
            <w:pPr>
              <w:jc w:val="left"/>
              <w:rPr>
                <w:color w:val="000000"/>
                <w:sz w:val="20"/>
              </w:rPr>
            </w:pPr>
            <w:r w:rsidRPr="00DB1AEE">
              <w:rPr>
                <w:color w:val="000000"/>
                <w:sz w:val="20"/>
              </w:rPr>
              <w:t> </w:t>
            </w:r>
          </w:p>
        </w:tc>
      </w:tr>
      <w:tr w:rsidR="00DB1AEE" w:rsidRPr="00DB1AEE" w14:paraId="185CC908" w14:textId="77777777" w:rsidTr="00FC1832">
        <w:trPr>
          <w:trHeight w:val="364"/>
        </w:trPr>
        <w:tc>
          <w:tcPr>
            <w:tcW w:w="1533" w:type="dxa"/>
            <w:tcBorders>
              <w:top w:val="nil"/>
              <w:left w:val="single" w:sz="4" w:space="0" w:color="auto"/>
              <w:bottom w:val="single" w:sz="24" w:space="0" w:color="auto"/>
              <w:right w:val="single" w:sz="4" w:space="0" w:color="auto"/>
            </w:tcBorders>
            <w:hideMark/>
          </w:tcPr>
          <w:p w14:paraId="2A1B7B7F" w14:textId="77777777" w:rsidR="00DB1AEE" w:rsidRPr="00DB1AEE" w:rsidRDefault="00DB1AEE" w:rsidP="00DB1AEE">
            <w:pPr>
              <w:jc w:val="center"/>
              <w:rPr>
                <w:i/>
                <w:iCs/>
                <w:sz w:val="18"/>
                <w:szCs w:val="18"/>
              </w:rPr>
            </w:pPr>
            <w:r w:rsidRPr="00DB1AEE">
              <w:rPr>
                <w:i/>
                <w:iCs/>
                <w:sz w:val="18"/>
                <w:szCs w:val="18"/>
              </w:rPr>
              <w:t>Nonswinging</w:t>
            </w:r>
          </w:p>
        </w:tc>
        <w:tc>
          <w:tcPr>
            <w:tcW w:w="1872" w:type="dxa"/>
            <w:gridSpan w:val="2"/>
            <w:tcBorders>
              <w:top w:val="single" w:sz="4" w:space="0" w:color="auto"/>
              <w:left w:val="nil"/>
              <w:bottom w:val="single" w:sz="24" w:space="0" w:color="auto"/>
              <w:right w:val="single" w:sz="4" w:space="0" w:color="auto"/>
            </w:tcBorders>
            <w:hideMark/>
          </w:tcPr>
          <w:p w14:paraId="7B5D7699" w14:textId="77777777" w:rsidR="00DB1AEE" w:rsidRPr="00DB1AEE" w:rsidRDefault="00DB1AEE" w:rsidP="00DB1AEE">
            <w:pPr>
              <w:jc w:val="center"/>
              <w:rPr>
                <w:sz w:val="18"/>
                <w:szCs w:val="18"/>
              </w:rPr>
            </w:pPr>
            <w:r w:rsidRPr="00DB1AEE">
              <w:rPr>
                <w:sz w:val="18"/>
                <w:szCs w:val="18"/>
              </w:rPr>
              <w:t>U-0.310</w:t>
            </w:r>
          </w:p>
        </w:tc>
        <w:tc>
          <w:tcPr>
            <w:tcW w:w="997" w:type="dxa"/>
            <w:tcBorders>
              <w:top w:val="single" w:sz="4" w:space="0" w:color="auto"/>
              <w:bottom w:val="single" w:sz="24" w:space="0" w:color="auto"/>
              <w:right w:val="single" w:sz="4" w:space="0" w:color="auto"/>
            </w:tcBorders>
          </w:tcPr>
          <w:p w14:paraId="4B9BC604" w14:textId="77777777" w:rsidR="00DB1AEE" w:rsidRPr="00DB1AEE" w:rsidRDefault="00DB1AEE" w:rsidP="00DB1AEE">
            <w:pPr>
              <w:jc w:val="center"/>
              <w:rPr>
                <w:sz w:val="18"/>
                <w:szCs w:val="18"/>
              </w:rPr>
            </w:pPr>
          </w:p>
        </w:tc>
        <w:tc>
          <w:tcPr>
            <w:tcW w:w="1872" w:type="dxa"/>
            <w:gridSpan w:val="2"/>
            <w:tcBorders>
              <w:top w:val="single" w:sz="4" w:space="0" w:color="auto"/>
              <w:left w:val="single" w:sz="4" w:space="0" w:color="auto"/>
              <w:bottom w:val="single" w:sz="24" w:space="0" w:color="auto"/>
              <w:right w:val="single" w:sz="4" w:space="0" w:color="auto"/>
            </w:tcBorders>
          </w:tcPr>
          <w:p w14:paraId="320859CD" w14:textId="77777777" w:rsidR="00DB1AEE" w:rsidRPr="00DB1AEE" w:rsidRDefault="00DB1AEE" w:rsidP="00DB1AEE">
            <w:pPr>
              <w:jc w:val="center"/>
              <w:rPr>
                <w:sz w:val="18"/>
                <w:szCs w:val="18"/>
              </w:rPr>
            </w:pPr>
            <w:r w:rsidRPr="00DB1AEE">
              <w:rPr>
                <w:sz w:val="18"/>
                <w:szCs w:val="18"/>
              </w:rPr>
              <w:t>U-0.310</w:t>
            </w:r>
          </w:p>
        </w:tc>
        <w:tc>
          <w:tcPr>
            <w:tcW w:w="997" w:type="dxa"/>
            <w:tcBorders>
              <w:top w:val="single" w:sz="4" w:space="0" w:color="auto"/>
              <w:left w:val="single" w:sz="4" w:space="0" w:color="auto"/>
              <w:bottom w:val="single" w:sz="24" w:space="0" w:color="auto"/>
              <w:right w:val="single" w:sz="4" w:space="0" w:color="auto"/>
            </w:tcBorders>
          </w:tcPr>
          <w:p w14:paraId="0569D8DB" w14:textId="77777777" w:rsidR="00DB1AEE" w:rsidRPr="00DB1AEE" w:rsidRDefault="00DB1AEE" w:rsidP="00DB1AEE">
            <w:pPr>
              <w:jc w:val="center"/>
              <w:rPr>
                <w:sz w:val="18"/>
                <w:szCs w:val="18"/>
              </w:rPr>
            </w:pPr>
          </w:p>
        </w:tc>
        <w:tc>
          <w:tcPr>
            <w:tcW w:w="1370" w:type="dxa"/>
            <w:gridSpan w:val="2"/>
            <w:tcBorders>
              <w:top w:val="single" w:sz="4" w:space="0" w:color="auto"/>
              <w:left w:val="single" w:sz="4" w:space="0" w:color="auto"/>
              <w:bottom w:val="single" w:sz="24" w:space="0" w:color="auto"/>
              <w:right w:val="single" w:sz="4" w:space="0" w:color="auto"/>
            </w:tcBorders>
            <w:hideMark/>
          </w:tcPr>
          <w:p w14:paraId="48B0F2B2" w14:textId="77777777" w:rsidR="00DB1AEE" w:rsidRPr="00DB1AEE" w:rsidRDefault="00DB1AEE" w:rsidP="00DB1AEE">
            <w:pPr>
              <w:jc w:val="center"/>
              <w:rPr>
                <w:sz w:val="18"/>
                <w:szCs w:val="18"/>
              </w:rPr>
            </w:pPr>
            <w:r w:rsidRPr="00DB1AEE">
              <w:rPr>
                <w:sz w:val="18"/>
                <w:szCs w:val="18"/>
              </w:rPr>
              <w:t>U-0.360</w:t>
            </w:r>
          </w:p>
        </w:tc>
        <w:tc>
          <w:tcPr>
            <w:tcW w:w="1574" w:type="dxa"/>
            <w:gridSpan w:val="2"/>
            <w:tcBorders>
              <w:top w:val="single" w:sz="4" w:space="0" w:color="auto"/>
              <w:left w:val="nil"/>
              <w:bottom w:val="single" w:sz="24" w:space="0" w:color="auto"/>
              <w:right w:val="single" w:sz="4" w:space="0" w:color="auto"/>
            </w:tcBorders>
            <w:vAlign w:val="bottom"/>
            <w:hideMark/>
          </w:tcPr>
          <w:p w14:paraId="475B65CA" w14:textId="77777777" w:rsidR="00DB1AEE" w:rsidRPr="00DB1AEE" w:rsidRDefault="00DB1AEE" w:rsidP="00DB1AEE">
            <w:pPr>
              <w:jc w:val="left"/>
              <w:rPr>
                <w:color w:val="000000"/>
                <w:sz w:val="20"/>
              </w:rPr>
            </w:pPr>
            <w:r w:rsidRPr="00DB1AEE">
              <w:rPr>
                <w:color w:val="000000"/>
                <w:sz w:val="20"/>
              </w:rPr>
              <w:t> </w:t>
            </w:r>
          </w:p>
        </w:tc>
      </w:tr>
      <w:tr w:rsidR="00DB1AEE" w:rsidRPr="00DB1AEE" w14:paraId="5F2BADAF" w14:textId="77777777" w:rsidTr="00FC1832">
        <w:trPr>
          <w:trHeight w:val="364"/>
        </w:trPr>
        <w:tc>
          <w:tcPr>
            <w:tcW w:w="1533" w:type="dxa"/>
            <w:tcBorders>
              <w:top w:val="single" w:sz="24" w:space="0" w:color="auto"/>
              <w:left w:val="single" w:sz="4" w:space="0" w:color="auto"/>
              <w:bottom w:val="single" w:sz="4" w:space="0" w:color="auto"/>
              <w:right w:val="single" w:sz="4" w:space="0" w:color="auto"/>
            </w:tcBorders>
            <w:vAlign w:val="center"/>
          </w:tcPr>
          <w:p w14:paraId="3A98F8CB" w14:textId="77777777" w:rsidR="00DB1AEE" w:rsidRPr="00DB1AEE" w:rsidRDefault="00DB1AEE" w:rsidP="00DB1AEE">
            <w:pPr>
              <w:jc w:val="center"/>
              <w:rPr>
                <w:i/>
                <w:iCs/>
                <w:sz w:val="18"/>
                <w:szCs w:val="18"/>
              </w:rPr>
            </w:pPr>
            <w:r w:rsidRPr="00DB1AEE">
              <w:rPr>
                <w:i/>
                <w:iCs/>
                <w:sz w:val="18"/>
                <w:szCs w:val="18"/>
              </w:rPr>
              <w:t>Fenestration</w:t>
            </w:r>
          </w:p>
        </w:tc>
        <w:tc>
          <w:tcPr>
            <w:tcW w:w="936" w:type="dxa"/>
            <w:tcBorders>
              <w:top w:val="single" w:sz="24" w:space="0" w:color="auto"/>
              <w:left w:val="nil"/>
              <w:bottom w:val="single" w:sz="4" w:space="0" w:color="auto"/>
              <w:right w:val="single" w:sz="4" w:space="0" w:color="auto"/>
            </w:tcBorders>
            <w:vAlign w:val="center"/>
          </w:tcPr>
          <w:p w14:paraId="198D6920" w14:textId="77777777" w:rsidR="00DB1AEE" w:rsidRPr="00DB1AEE" w:rsidRDefault="00DB1AEE" w:rsidP="00DB1AEE">
            <w:pPr>
              <w:jc w:val="center"/>
              <w:rPr>
                <w:sz w:val="18"/>
                <w:szCs w:val="18"/>
              </w:rPr>
            </w:pPr>
            <w:r w:rsidRPr="00DB1AEE">
              <w:rPr>
                <w:sz w:val="18"/>
                <w:szCs w:val="18"/>
              </w:rPr>
              <w:t>Assembly</w:t>
            </w:r>
          </w:p>
          <w:p w14:paraId="6106C13F" w14:textId="77777777" w:rsidR="00DB1AEE" w:rsidRPr="00DB1AEE" w:rsidRDefault="00DB1AEE" w:rsidP="00DB1AEE">
            <w:pPr>
              <w:jc w:val="center"/>
              <w:rPr>
                <w:sz w:val="18"/>
                <w:szCs w:val="18"/>
              </w:rPr>
            </w:pPr>
            <w:r w:rsidRPr="00DB1AEE">
              <w:rPr>
                <w:sz w:val="18"/>
                <w:szCs w:val="18"/>
              </w:rPr>
              <w:t>Max. U</w:t>
            </w:r>
          </w:p>
        </w:tc>
        <w:tc>
          <w:tcPr>
            <w:tcW w:w="936" w:type="dxa"/>
            <w:tcBorders>
              <w:top w:val="single" w:sz="24" w:space="0" w:color="auto"/>
              <w:left w:val="nil"/>
              <w:bottom w:val="single" w:sz="4" w:space="0" w:color="auto"/>
              <w:right w:val="single" w:sz="4" w:space="0" w:color="auto"/>
            </w:tcBorders>
            <w:vAlign w:val="center"/>
          </w:tcPr>
          <w:p w14:paraId="5B3078CF" w14:textId="77777777" w:rsidR="00DB1AEE" w:rsidRPr="00DB1AEE" w:rsidRDefault="00DB1AEE" w:rsidP="00DB1AEE">
            <w:pPr>
              <w:jc w:val="center"/>
              <w:rPr>
                <w:sz w:val="18"/>
                <w:szCs w:val="18"/>
              </w:rPr>
            </w:pPr>
            <w:r w:rsidRPr="00DB1AEE">
              <w:rPr>
                <w:sz w:val="18"/>
                <w:szCs w:val="18"/>
              </w:rPr>
              <w:t>Assembly</w:t>
            </w:r>
          </w:p>
          <w:p w14:paraId="6D977EC1" w14:textId="77777777" w:rsidR="00DB1AEE" w:rsidRPr="00DB1AEE" w:rsidRDefault="00DB1AEE" w:rsidP="00DB1AEE">
            <w:pPr>
              <w:jc w:val="center"/>
              <w:rPr>
                <w:sz w:val="18"/>
                <w:szCs w:val="18"/>
              </w:rPr>
            </w:pPr>
            <w:r w:rsidRPr="00DB1AEE">
              <w:rPr>
                <w:sz w:val="18"/>
                <w:szCs w:val="18"/>
              </w:rPr>
              <w:t>Max. SHGC</w:t>
            </w:r>
          </w:p>
        </w:tc>
        <w:tc>
          <w:tcPr>
            <w:tcW w:w="997" w:type="dxa"/>
            <w:tcBorders>
              <w:top w:val="single" w:sz="24" w:space="0" w:color="auto"/>
              <w:bottom w:val="single" w:sz="4" w:space="0" w:color="auto"/>
              <w:right w:val="single" w:sz="4" w:space="0" w:color="auto"/>
            </w:tcBorders>
            <w:vAlign w:val="center"/>
          </w:tcPr>
          <w:p w14:paraId="67E69EFB" w14:textId="77777777" w:rsidR="00DB1AEE" w:rsidRPr="00DB1AEE" w:rsidRDefault="00DB1AEE" w:rsidP="00DB1AEE">
            <w:pPr>
              <w:jc w:val="center"/>
              <w:rPr>
                <w:sz w:val="18"/>
                <w:szCs w:val="18"/>
              </w:rPr>
            </w:pPr>
            <w:r w:rsidRPr="00DB1AEE">
              <w:rPr>
                <w:sz w:val="18"/>
                <w:szCs w:val="18"/>
              </w:rPr>
              <w:t>Assembly</w:t>
            </w:r>
          </w:p>
          <w:p w14:paraId="156E008B" w14:textId="77777777" w:rsidR="00DB1AEE" w:rsidRPr="00DB1AEE" w:rsidRDefault="00DB1AEE" w:rsidP="00DB1AEE">
            <w:pPr>
              <w:jc w:val="center"/>
              <w:rPr>
                <w:sz w:val="18"/>
                <w:szCs w:val="18"/>
              </w:rPr>
            </w:pPr>
            <w:r w:rsidRPr="00DB1AEE">
              <w:rPr>
                <w:sz w:val="18"/>
                <w:szCs w:val="18"/>
              </w:rPr>
              <w:t>Min.</w:t>
            </w:r>
          </w:p>
          <w:p w14:paraId="3817838D" w14:textId="77777777" w:rsidR="00DB1AEE" w:rsidRPr="00DB1AEE" w:rsidRDefault="00DB1AEE" w:rsidP="00DB1AEE">
            <w:pPr>
              <w:jc w:val="center"/>
              <w:rPr>
                <w:sz w:val="18"/>
                <w:szCs w:val="18"/>
              </w:rPr>
            </w:pPr>
            <w:r w:rsidRPr="00DB1AEE">
              <w:rPr>
                <w:sz w:val="18"/>
                <w:szCs w:val="18"/>
              </w:rPr>
              <w:t>VT/SHGC</w:t>
            </w:r>
          </w:p>
        </w:tc>
        <w:tc>
          <w:tcPr>
            <w:tcW w:w="936" w:type="dxa"/>
            <w:tcBorders>
              <w:top w:val="single" w:sz="24" w:space="0" w:color="auto"/>
              <w:left w:val="single" w:sz="4" w:space="0" w:color="auto"/>
              <w:bottom w:val="single" w:sz="4" w:space="0" w:color="auto"/>
              <w:right w:val="single" w:sz="4" w:space="0" w:color="auto"/>
            </w:tcBorders>
            <w:vAlign w:val="center"/>
          </w:tcPr>
          <w:p w14:paraId="791E94C2" w14:textId="77777777" w:rsidR="00DB1AEE" w:rsidRPr="00DB1AEE" w:rsidRDefault="00DB1AEE" w:rsidP="00DB1AEE">
            <w:pPr>
              <w:jc w:val="center"/>
              <w:rPr>
                <w:sz w:val="18"/>
                <w:szCs w:val="18"/>
              </w:rPr>
            </w:pPr>
            <w:r w:rsidRPr="00DB1AEE">
              <w:rPr>
                <w:sz w:val="18"/>
                <w:szCs w:val="18"/>
              </w:rPr>
              <w:t>Assembly</w:t>
            </w:r>
          </w:p>
          <w:p w14:paraId="253DBCD5" w14:textId="77777777" w:rsidR="00DB1AEE" w:rsidRPr="00DB1AEE" w:rsidRDefault="00DB1AEE" w:rsidP="00DB1AEE">
            <w:pPr>
              <w:jc w:val="center"/>
              <w:rPr>
                <w:sz w:val="18"/>
                <w:szCs w:val="18"/>
              </w:rPr>
            </w:pPr>
            <w:r w:rsidRPr="00DB1AEE">
              <w:rPr>
                <w:sz w:val="18"/>
                <w:szCs w:val="18"/>
              </w:rPr>
              <w:t>Max. U</w:t>
            </w:r>
          </w:p>
        </w:tc>
        <w:tc>
          <w:tcPr>
            <w:tcW w:w="936" w:type="dxa"/>
            <w:tcBorders>
              <w:top w:val="single" w:sz="24" w:space="0" w:color="auto"/>
              <w:left w:val="single" w:sz="4" w:space="0" w:color="auto"/>
              <w:bottom w:val="single" w:sz="4" w:space="0" w:color="auto"/>
              <w:right w:val="single" w:sz="4" w:space="0" w:color="auto"/>
            </w:tcBorders>
            <w:vAlign w:val="center"/>
          </w:tcPr>
          <w:p w14:paraId="4C81EFA6" w14:textId="77777777" w:rsidR="00DB1AEE" w:rsidRPr="00DB1AEE" w:rsidRDefault="00DB1AEE" w:rsidP="00DB1AEE">
            <w:pPr>
              <w:jc w:val="center"/>
              <w:rPr>
                <w:sz w:val="18"/>
                <w:szCs w:val="18"/>
              </w:rPr>
            </w:pPr>
            <w:r w:rsidRPr="00DB1AEE">
              <w:rPr>
                <w:sz w:val="18"/>
                <w:szCs w:val="18"/>
              </w:rPr>
              <w:t>Assembly</w:t>
            </w:r>
          </w:p>
          <w:p w14:paraId="2FD39CF4" w14:textId="77777777" w:rsidR="00DB1AEE" w:rsidRPr="00DB1AEE" w:rsidRDefault="00DB1AEE" w:rsidP="00DB1AEE">
            <w:pPr>
              <w:jc w:val="center"/>
              <w:rPr>
                <w:sz w:val="18"/>
                <w:szCs w:val="18"/>
              </w:rPr>
            </w:pPr>
            <w:r w:rsidRPr="00DB1AEE">
              <w:rPr>
                <w:sz w:val="18"/>
                <w:szCs w:val="18"/>
              </w:rPr>
              <w:t>Max. SHGC</w:t>
            </w:r>
          </w:p>
        </w:tc>
        <w:tc>
          <w:tcPr>
            <w:tcW w:w="997" w:type="dxa"/>
            <w:tcBorders>
              <w:top w:val="single" w:sz="24" w:space="0" w:color="auto"/>
              <w:left w:val="single" w:sz="4" w:space="0" w:color="auto"/>
              <w:bottom w:val="single" w:sz="4" w:space="0" w:color="auto"/>
              <w:right w:val="single" w:sz="4" w:space="0" w:color="auto"/>
            </w:tcBorders>
            <w:vAlign w:val="center"/>
          </w:tcPr>
          <w:p w14:paraId="64391AD3" w14:textId="77777777" w:rsidR="00DB1AEE" w:rsidRPr="00DB1AEE" w:rsidRDefault="00DB1AEE" w:rsidP="00DB1AEE">
            <w:pPr>
              <w:jc w:val="center"/>
              <w:rPr>
                <w:sz w:val="18"/>
                <w:szCs w:val="18"/>
              </w:rPr>
            </w:pPr>
            <w:r w:rsidRPr="00DB1AEE">
              <w:rPr>
                <w:sz w:val="18"/>
                <w:szCs w:val="18"/>
              </w:rPr>
              <w:t>Assembly</w:t>
            </w:r>
          </w:p>
          <w:p w14:paraId="7DC6F6DA" w14:textId="77777777" w:rsidR="00DB1AEE" w:rsidRPr="00DB1AEE" w:rsidRDefault="00DB1AEE" w:rsidP="00DB1AEE">
            <w:pPr>
              <w:jc w:val="center"/>
              <w:rPr>
                <w:sz w:val="18"/>
                <w:szCs w:val="18"/>
              </w:rPr>
            </w:pPr>
            <w:r w:rsidRPr="00DB1AEE">
              <w:rPr>
                <w:sz w:val="18"/>
                <w:szCs w:val="18"/>
              </w:rPr>
              <w:t>Min.</w:t>
            </w:r>
          </w:p>
          <w:p w14:paraId="54F9001B" w14:textId="77777777" w:rsidR="00DB1AEE" w:rsidRPr="00DB1AEE" w:rsidRDefault="00DB1AEE" w:rsidP="00DB1AEE">
            <w:pPr>
              <w:jc w:val="center"/>
              <w:rPr>
                <w:sz w:val="18"/>
                <w:szCs w:val="18"/>
              </w:rPr>
            </w:pPr>
            <w:r w:rsidRPr="00DB1AEE">
              <w:rPr>
                <w:sz w:val="18"/>
                <w:szCs w:val="18"/>
              </w:rPr>
              <w:t>VT/SHGC</w:t>
            </w:r>
          </w:p>
        </w:tc>
        <w:tc>
          <w:tcPr>
            <w:tcW w:w="936" w:type="dxa"/>
            <w:tcBorders>
              <w:top w:val="single" w:sz="24" w:space="0" w:color="auto"/>
              <w:left w:val="single" w:sz="4" w:space="0" w:color="auto"/>
              <w:bottom w:val="single" w:sz="4" w:space="0" w:color="auto"/>
              <w:right w:val="single" w:sz="4" w:space="0" w:color="auto"/>
            </w:tcBorders>
            <w:vAlign w:val="center"/>
          </w:tcPr>
          <w:p w14:paraId="6F85EFD6" w14:textId="77777777" w:rsidR="00DB1AEE" w:rsidRPr="00DB1AEE" w:rsidRDefault="00DB1AEE" w:rsidP="00DB1AEE">
            <w:pPr>
              <w:jc w:val="center"/>
              <w:rPr>
                <w:sz w:val="18"/>
                <w:szCs w:val="18"/>
              </w:rPr>
            </w:pPr>
            <w:r w:rsidRPr="00DB1AEE">
              <w:rPr>
                <w:sz w:val="18"/>
                <w:szCs w:val="18"/>
              </w:rPr>
              <w:t>Assembly</w:t>
            </w:r>
          </w:p>
          <w:p w14:paraId="004ED164" w14:textId="77777777" w:rsidR="00DB1AEE" w:rsidRPr="00DB1AEE" w:rsidRDefault="00DB1AEE" w:rsidP="00DB1AEE">
            <w:pPr>
              <w:jc w:val="center"/>
              <w:rPr>
                <w:sz w:val="18"/>
                <w:szCs w:val="18"/>
              </w:rPr>
            </w:pPr>
            <w:r w:rsidRPr="00DB1AEE">
              <w:rPr>
                <w:sz w:val="18"/>
                <w:szCs w:val="18"/>
              </w:rPr>
              <w:t>Max. U</w:t>
            </w:r>
          </w:p>
        </w:tc>
        <w:tc>
          <w:tcPr>
            <w:tcW w:w="936" w:type="dxa"/>
            <w:gridSpan w:val="2"/>
            <w:tcBorders>
              <w:top w:val="single" w:sz="24" w:space="0" w:color="auto"/>
              <w:left w:val="single" w:sz="4" w:space="0" w:color="auto"/>
              <w:bottom w:val="single" w:sz="4" w:space="0" w:color="auto"/>
              <w:right w:val="single" w:sz="4" w:space="0" w:color="auto"/>
            </w:tcBorders>
            <w:vAlign w:val="center"/>
          </w:tcPr>
          <w:p w14:paraId="6AC3AB7D" w14:textId="77777777" w:rsidR="00DB1AEE" w:rsidRPr="00DB1AEE" w:rsidRDefault="00DB1AEE" w:rsidP="00DB1AEE">
            <w:pPr>
              <w:jc w:val="center"/>
              <w:rPr>
                <w:sz w:val="18"/>
                <w:szCs w:val="18"/>
              </w:rPr>
            </w:pPr>
            <w:r w:rsidRPr="00DB1AEE">
              <w:rPr>
                <w:sz w:val="18"/>
                <w:szCs w:val="18"/>
              </w:rPr>
              <w:t>Assembly</w:t>
            </w:r>
          </w:p>
          <w:p w14:paraId="6F96C329" w14:textId="77777777" w:rsidR="00DB1AEE" w:rsidRPr="00DB1AEE" w:rsidRDefault="00DB1AEE" w:rsidP="00DB1AEE">
            <w:pPr>
              <w:jc w:val="center"/>
              <w:rPr>
                <w:sz w:val="18"/>
                <w:szCs w:val="18"/>
              </w:rPr>
            </w:pPr>
            <w:r w:rsidRPr="00DB1AEE">
              <w:rPr>
                <w:sz w:val="18"/>
                <w:szCs w:val="18"/>
              </w:rPr>
              <w:t>Max.</w:t>
            </w:r>
          </w:p>
          <w:p w14:paraId="05C9E193" w14:textId="77777777" w:rsidR="00DB1AEE" w:rsidRPr="00DB1AEE" w:rsidRDefault="00DB1AEE" w:rsidP="00DB1AEE">
            <w:pPr>
              <w:jc w:val="center"/>
              <w:rPr>
                <w:sz w:val="18"/>
                <w:szCs w:val="18"/>
              </w:rPr>
            </w:pPr>
            <w:r w:rsidRPr="00DB1AEE">
              <w:rPr>
                <w:sz w:val="18"/>
                <w:szCs w:val="18"/>
              </w:rPr>
              <w:t>SHGC</w:t>
            </w:r>
          </w:p>
        </w:tc>
        <w:tc>
          <w:tcPr>
            <w:tcW w:w="1072" w:type="dxa"/>
            <w:tcBorders>
              <w:top w:val="single" w:sz="24" w:space="0" w:color="auto"/>
              <w:left w:val="nil"/>
              <w:bottom w:val="single" w:sz="4" w:space="0" w:color="auto"/>
              <w:right w:val="single" w:sz="4" w:space="0" w:color="auto"/>
            </w:tcBorders>
            <w:vAlign w:val="center"/>
          </w:tcPr>
          <w:p w14:paraId="2CDF8A9D" w14:textId="77777777" w:rsidR="00DB1AEE" w:rsidRPr="00DB1AEE" w:rsidRDefault="00DB1AEE" w:rsidP="00DB1AEE">
            <w:pPr>
              <w:jc w:val="center"/>
              <w:rPr>
                <w:color w:val="000000"/>
                <w:sz w:val="20"/>
              </w:rPr>
            </w:pPr>
            <w:r w:rsidRPr="00DB1AEE">
              <w:rPr>
                <w:color w:val="000000"/>
                <w:sz w:val="20"/>
              </w:rPr>
              <w:t>Assembly</w:t>
            </w:r>
          </w:p>
          <w:p w14:paraId="16D56415" w14:textId="77777777" w:rsidR="00DB1AEE" w:rsidRPr="00DB1AEE" w:rsidRDefault="00DB1AEE" w:rsidP="00DB1AEE">
            <w:pPr>
              <w:jc w:val="center"/>
              <w:rPr>
                <w:color w:val="000000"/>
                <w:sz w:val="20"/>
              </w:rPr>
            </w:pPr>
            <w:r w:rsidRPr="00DB1AEE">
              <w:rPr>
                <w:color w:val="000000"/>
                <w:sz w:val="20"/>
              </w:rPr>
              <w:t>Min.</w:t>
            </w:r>
          </w:p>
          <w:p w14:paraId="136D3234" w14:textId="77777777" w:rsidR="00DB1AEE" w:rsidRPr="00DB1AEE" w:rsidRDefault="00DB1AEE" w:rsidP="00DB1AEE">
            <w:pPr>
              <w:jc w:val="center"/>
              <w:rPr>
                <w:color w:val="000000"/>
                <w:sz w:val="20"/>
              </w:rPr>
            </w:pPr>
            <w:r w:rsidRPr="00DB1AEE">
              <w:rPr>
                <w:color w:val="000000"/>
                <w:sz w:val="20"/>
              </w:rPr>
              <w:t>VT/SHGC</w:t>
            </w:r>
          </w:p>
        </w:tc>
      </w:tr>
      <w:tr w:rsidR="00DB1AEE" w:rsidRPr="00DB1AEE" w14:paraId="541282EA" w14:textId="77777777" w:rsidTr="00FC1832">
        <w:trPr>
          <w:trHeight w:val="364"/>
        </w:trPr>
        <w:tc>
          <w:tcPr>
            <w:tcW w:w="10215" w:type="dxa"/>
            <w:gridSpan w:val="11"/>
            <w:tcBorders>
              <w:top w:val="single" w:sz="4" w:space="0" w:color="auto"/>
              <w:left w:val="single" w:sz="4" w:space="0" w:color="auto"/>
              <w:bottom w:val="single" w:sz="4" w:space="0" w:color="auto"/>
              <w:right w:val="single" w:sz="4" w:space="0" w:color="auto"/>
            </w:tcBorders>
          </w:tcPr>
          <w:p w14:paraId="29B306A4" w14:textId="77777777" w:rsidR="00DB1AEE" w:rsidRPr="00DB1AEE" w:rsidRDefault="00DB1AEE" w:rsidP="00DB1AEE">
            <w:pPr>
              <w:jc w:val="center"/>
              <w:rPr>
                <w:color w:val="000000"/>
                <w:sz w:val="20"/>
              </w:rPr>
            </w:pPr>
            <w:r w:rsidRPr="00DB1AEE">
              <w:rPr>
                <w:color w:val="000000"/>
                <w:sz w:val="20"/>
              </w:rPr>
              <w:t>Vertical Fenestration, 0% to 40% of Wall</w:t>
            </w:r>
          </w:p>
        </w:tc>
      </w:tr>
      <w:tr w:rsidR="00DB1AEE" w:rsidRPr="00DB1AEE" w14:paraId="5A3C881B" w14:textId="77777777" w:rsidTr="00FC1832">
        <w:trPr>
          <w:trHeight w:val="364"/>
        </w:trPr>
        <w:tc>
          <w:tcPr>
            <w:tcW w:w="1533" w:type="dxa"/>
            <w:tcBorders>
              <w:top w:val="single" w:sz="4" w:space="0" w:color="auto"/>
              <w:left w:val="single" w:sz="4" w:space="0" w:color="auto"/>
              <w:bottom w:val="single" w:sz="4" w:space="0" w:color="auto"/>
              <w:right w:val="single" w:sz="4" w:space="0" w:color="auto"/>
            </w:tcBorders>
          </w:tcPr>
          <w:p w14:paraId="653533D5" w14:textId="77777777" w:rsidR="00DB1AEE" w:rsidRPr="00DB1AEE" w:rsidRDefault="00DB1AEE" w:rsidP="00DB1AEE">
            <w:pPr>
              <w:jc w:val="center"/>
              <w:rPr>
                <w:i/>
                <w:iCs/>
                <w:sz w:val="18"/>
                <w:szCs w:val="18"/>
              </w:rPr>
            </w:pPr>
            <w:r w:rsidRPr="00DB1AEE">
              <w:rPr>
                <w:i/>
                <w:iCs/>
                <w:sz w:val="18"/>
                <w:szCs w:val="18"/>
              </w:rPr>
              <w:t>Nonmetal framing, all</w:t>
            </w:r>
          </w:p>
        </w:tc>
        <w:tc>
          <w:tcPr>
            <w:tcW w:w="936" w:type="dxa"/>
            <w:tcBorders>
              <w:top w:val="single" w:sz="4" w:space="0" w:color="auto"/>
              <w:left w:val="nil"/>
              <w:bottom w:val="single" w:sz="4" w:space="0" w:color="auto"/>
              <w:right w:val="single" w:sz="4" w:space="0" w:color="auto"/>
            </w:tcBorders>
          </w:tcPr>
          <w:p w14:paraId="451250A4" w14:textId="77777777" w:rsidR="00DB1AEE" w:rsidRPr="00DB1AEE" w:rsidRDefault="00DB1AEE" w:rsidP="00DB1AEE">
            <w:pPr>
              <w:jc w:val="center"/>
              <w:rPr>
                <w:sz w:val="18"/>
                <w:szCs w:val="18"/>
              </w:rPr>
            </w:pPr>
            <w:r w:rsidRPr="00DB1AEE">
              <w:rPr>
                <w:sz w:val="18"/>
                <w:szCs w:val="18"/>
              </w:rPr>
              <w:t>0.28</w:t>
            </w:r>
          </w:p>
        </w:tc>
        <w:tc>
          <w:tcPr>
            <w:tcW w:w="936" w:type="dxa"/>
            <w:tcBorders>
              <w:top w:val="single" w:sz="4" w:space="0" w:color="auto"/>
              <w:left w:val="nil"/>
              <w:bottom w:val="single" w:sz="4" w:space="0" w:color="auto"/>
              <w:right w:val="single" w:sz="4" w:space="0" w:color="auto"/>
            </w:tcBorders>
          </w:tcPr>
          <w:p w14:paraId="6AAC6A62" w14:textId="77777777" w:rsidR="00DB1AEE" w:rsidRPr="00DB1AEE" w:rsidRDefault="00DB1AEE" w:rsidP="00DB1AEE">
            <w:pPr>
              <w:jc w:val="center"/>
              <w:rPr>
                <w:sz w:val="18"/>
                <w:szCs w:val="18"/>
              </w:rPr>
            </w:pPr>
            <w:r w:rsidRPr="00DB1AEE">
              <w:rPr>
                <w:sz w:val="18"/>
                <w:szCs w:val="18"/>
              </w:rPr>
              <w:t>0.36</w:t>
            </w:r>
          </w:p>
        </w:tc>
        <w:tc>
          <w:tcPr>
            <w:tcW w:w="997" w:type="dxa"/>
            <w:vMerge w:val="restart"/>
            <w:tcBorders>
              <w:top w:val="single" w:sz="4" w:space="0" w:color="auto"/>
              <w:right w:val="single" w:sz="4" w:space="0" w:color="auto"/>
            </w:tcBorders>
          </w:tcPr>
          <w:p w14:paraId="737A2464" w14:textId="77777777" w:rsidR="00DB1AEE" w:rsidRPr="00DB1AEE" w:rsidRDefault="00DB1AEE" w:rsidP="00DB1AEE">
            <w:pPr>
              <w:jc w:val="center"/>
              <w:rPr>
                <w:sz w:val="18"/>
                <w:szCs w:val="18"/>
              </w:rPr>
            </w:pPr>
            <w:r w:rsidRPr="00DB1AEE">
              <w:rPr>
                <w:sz w:val="18"/>
                <w:szCs w:val="18"/>
              </w:rPr>
              <w:t>1.10</w:t>
            </w:r>
          </w:p>
          <w:p w14:paraId="2FD2F4A9" w14:textId="77777777" w:rsidR="00DB1AEE" w:rsidRPr="00DB1AEE" w:rsidRDefault="00DB1AEE" w:rsidP="00DB1AEE">
            <w:pPr>
              <w:jc w:val="center"/>
              <w:rPr>
                <w:sz w:val="18"/>
                <w:szCs w:val="18"/>
              </w:rPr>
            </w:pPr>
            <w:r w:rsidRPr="00DB1AEE">
              <w:rPr>
                <w:sz w:val="18"/>
                <w:szCs w:val="18"/>
              </w:rPr>
              <w:t>(for all types)</w:t>
            </w:r>
          </w:p>
          <w:p w14:paraId="4B00B343" w14:textId="77777777" w:rsidR="00DB1AEE" w:rsidRPr="00DB1AEE" w:rsidRDefault="00DB1AEE" w:rsidP="00DB1AEE">
            <w:pPr>
              <w:suppressAutoHyphens/>
              <w:jc w:val="center"/>
              <w:rPr>
                <w:sz w:val="18"/>
                <w:szCs w:val="18"/>
              </w:rPr>
            </w:pPr>
            <w:r w:rsidRPr="00DB1AEE">
              <w:rPr>
                <w:sz w:val="18"/>
                <w:szCs w:val="18"/>
              </w:rPr>
              <w:t> </w:t>
            </w:r>
          </w:p>
        </w:tc>
        <w:tc>
          <w:tcPr>
            <w:tcW w:w="936" w:type="dxa"/>
            <w:tcBorders>
              <w:top w:val="single" w:sz="4" w:space="0" w:color="auto"/>
              <w:left w:val="single" w:sz="4" w:space="0" w:color="auto"/>
              <w:bottom w:val="single" w:sz="4" w:space="0" w:color="auto"/>
              <w:right w:val="single" w:sz="4" w:space="0" w:color="auto"/>
            </w:tcBorders>
          </w:tcPr>
          <w:p w14:paraId="74E9F032" w14:textId="77777777" w:rsidR="00DB1AEE" w:rsidRPr="00DB1AEE" w:rsidRDefault="00DB1AEE" w:rsidP="00DB1AEE">
            <w:pPr>
              <w:jc w:val="center"/>
              <w:rPr>
                <w:sz w:val="18"/>
                <w:szCs w:val="18"/>
              </w:rPr>
            </w:pPr>
            <w:r w:rsidRPr="00DB1AEE">
              <w:rPr>
                <w:sz w:val="18"/>
                <w:szCs w:val="18"/>
              </w:rPr>
              <w:t>0.28</w:t>
            </w:r>
          </w:p>
        </w:tc>
        <w:tc>
          <w:tcPr>
            <w:tcW w:w="936" w:type="dxa"/>
            <w:tcBorders>
              <w:top w:val="single" w:sz="4" w:space="0" w:color="auto"/>
              <w:left w:val="single" w:sz="4" w:space="0" w:color="auto"/>
              <w:bottom w:val="single" w:sz="4" w:space="0" w:color="auto"/>
              <w:right w:val="single" w:sz="4" w:space="0" w:color="auto"/>
            </w:tcBorders>
          </w:tcPr>
          <w:p w14:paraId="4DB0ACB8" w14:textId="77777777" w:rsidR="00DB1AEE" w:rsidRPr="00DB1AEE" w:rsidRDefault="00DB1AEE" w:rsidP="00DB1AEE">
            <w:pPr>
              <w:jc w:val="center"/>
              <w:rPr>
                <w:sz w:val="18"/>
                <w:szCs w:val="18"/>
              </w:rPr>
            </w:pPr>
            <w:r w:rsidRPr="00DB1AEE">
              <w:rPr>
                <w:sz w:val="18"/>
                <w:szCs w:val="18"/>
              </w:rPr>
              <w:t>0.36</w:t>
            </w:r>
          </w:p>
        </w:tc>
        <w:tc>
          <w:tcPr>
            <w:tcW w:w="997" w:type="dxa"/>
            <w:vMerge w:val="restart"/>
            <w:tcBorders>
              <w:top w:val="single" w:sz="4" w:space="0" w:color="auto"/>
              <w:left w:val="single" w:sz="4" w:space="0" w:color="auto"/>
              <w:right w:val="single" w:sz="4" w:space="0" w:color="auto"/>
            </w:tcBorders>
          </w:tcPr>
          <w:p w14:paraId="0DDEE0BE" w14:textId="77777777" w:rsidR="00DB1AEE" w:rsidRPr="00DB1AEE" w:rsidRDefault="00DB1AEE" w:rsidP="00DB1AEE">
            <w:pPr>
              <w:jc w:val="center"/>
              <w:rPr>
                <w:sz w:val="18"/>
                <w:szCs w:val="18"/>
              </w:rPr>
            </w:pPr>
            <w:r w:rsidRPr="00DB1AEE">
              <w:rPr>
                <w:sz w:val="18"/>
                <w:szCs w:val="18"/>
              </w:rPr>
              <w:t>1.10</w:t>
            </w:r>
          </w:p>
          <w:p w14:paraId="3A60A0F5" w14:textId="77777777" w:rsidR="00DB1AEE" w:rsidRPr="00DB1AEE" w:rsidRDefault="00DB1AEE" w:rsidP="00DB1AEE">
            <w:pPr>
              <w:jc w:val="center"/>
              <w:rPr>
                <w:sz w:val="18"/>
                <w:szCs w:val="18"/>
              </w:rPr>
            </w:pPr>
            <w:r w:rsidRPr="00DB1AEE">
              <w:rPr>
                <w:sz w:val="18"/>
                <w:szCs w:val="18"/>
              </w:rPr>
              <w:t>(for all types)</w:t>
            </w:r>
          </w:p>
          <w:p w14:paraId="280B98DE" w14:textId="77777777" w:rsidR="00DB1AEE" w:rsidRPr="00DB1AEE" w:rsidRDefault="00DB1AEE" w:rsidP="00DB1AEE">
            <w:pPr>
              <w:suppressAutoHyphens/>
              <w:jc w:val="center"/>
              <w:rPr>
                <w:sz w:val="18"/>
                <w:szCs w:val="18"/>
              </w:rPr>
            </w:pPr>
            <w:r w:rsidRPr="00DB1AEE">
              <w:rPr>
                <w:sz w:val="18"/>
                <w:szCs w:val="18"/>
              </w:rPr>
              <w:t> </w:t>
            </w:r>
          </w:p>
        </w:tc>
        <w:tc>
          <w:tcPr>
            <w:tcW w:w="936" w:type="dxa"/>
            <w:tcBorders>
              <w:top w:val="single" w:sz="4" w:space="0" w:color="auto"/>
              <w:left w:val="single" w:sz="4" w:space="0" w:color="auto"/>
              <w:bottom w:val="single" w:sz="4" w:space="0" w:color="auto"/>
              <w:right w:val="single" w:sz="4" w:space="0" w:color="auto"/>
            </w:tcBorders>
          </w:tcPr>
          <w:p w14:paraId="5FF44986" w14:textId="77777777" w:rsidR="00DB1AEE" w:rsidRPr="00DB1AEE" w:rsidRDefault="00DB1AEE" w:rsidP="00DB1AEE">
            <w:pPr>
              <w:jc w:val="center"/>
              <w:rPr>
                <w:sz w:val="18"/>
                <w:szCs w:val="18"/>
              </w:rPr>
            </w:pPr>
            <w:r w:rsidRPr="00DB1AEE">
              <w:rPr>
                <w:sz w:val="18"/>
                <w:szCs w:val="18"/>
              </w:rPr>
              <w:t>0.50</w:t>
            </w:r>
          </w:p>
        </w:tc>
        <w:tc>
          <w:tcPr>
            <w:tcW w:w="936" w:type="dxa"/>
            <w:gridSpan w:val="2"/>
            <w:vMerge w:val="restart"/>
            <w:tcBorders>
              <w:top w:val="single" w:sz="4" w:space="0" w:color="auto"/>
              <w:left w:val="single" w:sz="4" w:space="0" w:color="auto"/>
              <w:right w:val="single" w:sz="4" w:space="0" w:color="auto"/>
            </w:tcBorders>
          </w:tcPr>
          <w:p w14:paraId="39B58175" w14:textId="77777777" w:rsidR="00DB1AEE" w:rsidRPr="00DB1AEE" w:rsidRDefault="00DB1AEE" w:rsidP="00DB1AEE">
            <w:pPr>
              <w:jc w:val="center"/>
              <w:rPr>
                <w:sz w:val="18"/>
                <w:szCs w:val="18"/>
              </w:rPr>
            </w:pPr>
            <w:r w:rsidRPr="00DB1AEE">
              <w:rPr>
                <w:sz w:val="18"/>
                <w:szCs w:val="18"/>
              </w:rPr>
              <w:t>NR</w:t>
            </w:r>
          </w:p>
          <w:p w14:paraId="03342EF0" w14:textId="77777777" w:rsidR="00DB1AEE" w:rsidRPr="00DB1AEE" w:rsidRDefault="00DB1AEE" w:rsidP="00DB1AEE">
            <w:pPr>
              <w:jc w:val="center"/>
              <w:rPr>
                <w:sz w:val="18"/>
                <w:szCs w:val="18"/>
              </w:rPr>
            </w:pPr>
            <w:r w:rsidRPr="00DB1AEE">
              <w:rPr>
                <w:sz w:val="18"/>
                <w:szCs w:val="18"/>
              </w:rPr>
              <w:t>(for all types)</w:t>
            </w:r>
          </w:p>
          <w:p w14:paraId="03F960F8" w14:textId="77777777" w:rsidR="00DB1AEE" w:rsidRPr="00DB1AEE" w:rsidRDefault="00DB1AEE" w:rsidP="00DB1AEE">
            <w:pPr>
              <w:suppressAutoHyphens/>
              <w:jc w:val="center"/>
              <w:rPr>
                <w:sz w:val="18"/>
                <w:szCs w:val="18"/>
              </w:rPr>
            </w:pPr>
            <w:r w:rsidRPr="00DB1AEE">
              <w:rPr>
                <w:sz w:val="18"/>
                <w:szCs w:val="18"/>
              </w:rPr>
              <w:t> </w:t>
            </w:r>
          </w:p>
        </w:tc>
        <w:tc>
          <w:tcPr>
            <w:tcW w:w="1072" w:type="dxa"/>
            <w:vMerge w:val="restart"/>
            <w:tcBorders>
              <w:top w:val="single" w:sz="4" w:space="0" w:color="auto"/>
              <w:left w:val="nil"/>
              <w:right w:val="single" w:sz="4" w:space="0" w:color="auto"/>
            </w:tcBorders>
          </w:tcPr>
          <w:p w14:paraId="1109AAEB" w14:textId="77777777" w:rsidR="00DB1AEE" w:rsidRPr="00DB1AEE" w:rsidRDefault="00DB1AEE" w:rsidP="00DB1AEE">
            <w:pPr>
              <w:jc w:val="center"/>
              <w:rPr>
                <w:color w:val="000000"/>
                <w:sz w:val="20"/>
              </w:rPr>
            </w:pPr>
            <w:r w:rsidRPr="00DB1AEE">
              <w:rPr>
                <w:color w:val="000000"/>
                <w:sz w:val="20"/>
              </w:rPr>
              <w:t>NR</w:t>
            </w:r>
          </w:p>
          <w:p w14:paraId="3AEEB2E8" w14:textId="77777777" w:rsidR="00DB1AEE" w:rsidRPr="00DB1AEE" w:rsidRDefault="00DB1AEE" w:rsidP="00DB1AEE">
            <w:pPr>
              <w:jc w:val="center"/>
              <w:rPr>
                <w:color w:val="000000"/>
                <w:sz w:val="20"/>
              </w:rPr>
            </w:pPr>
            <w:r w:rsidRPr="00DB1AEE">
              <w:rPr>
                <w:color w:val="000000"/>
                <w:sz w:val="20"/>
              </w:rPr>
              <w:t>(for all types)</w:t>
            </w:r>
          </w:p>
          <w:p w14:paraId="72524C0D" w14:textId="77777777" w:rsidR="00DB1AEE" w:rsidRPr="00DB1AEE" w:rsidRDefault="00DB1AEE" w:rsidP="00DB1AEE">
            <w:pPr>
              <w:suppressAutoHyphens/>
              <w:jc w:val="center"/>
              <w:rPr>
                <w:color w:val="000000"/>
                <w:sz w:val="20"/>
              </w:rPr>
            </w:pPr>
          </w:p>
        </w:tc>
      </w:tr>
      <w:tr w:rsidR="00DB1AEE" w:rsidRPr="00DB1AEE" w14:paraId="60EC6F3A" w14:textId="77777777" w:rsidTr="00FC1832">
        <w:trPr>
          <w:trHeight w:val="364"/>
        </w:trPr>
        <w:tc>
          <w:tcPr>
            <w:tcW w:w="1533" w:type="dxa"/>
            <w:tcBorders>
              <w:top w:val="single" w:sz="4" w:space="0" w:color="auto"/>
              <w:left w:val="single" w:sz="4" w:space="0" w:color="auto"/>
              <w:bottom w:val="single" w:sz="4" w:space="0" w:color="auto"/>
              <w:right w:val="single" w:sz="4" w:space="0" w:color="auto"/>
            </w:tcBorders>
          </w:tcPr>
          <w:p w14:paraId="5F3E5789" w14:textId="77777777" w:rsidR="00DB1AEE" w:rsidRPr="00DB1AEE" w:rsidRDefault="00DB1AEE" w:rsidP="00DB1AEE">
            <w:pPr>
              <w:jc w:val="center"/>
              <w:rPr>
                <w:i/>
                <w:iCs/>
                <w:sz w:val="18"/>
                <w:szCs w:val="18"/>
              </w:rPr>
            </w:pPr>
            <w:r w:rsidRPr="00DB1AEE">
              <w:rPr>
                <w:i/>
                <w:iCs/>
                <w:sz w:val="18"/>
                <w:szCs w:val="18"/>
              </w:rPr>
              <w:t>Metal framing, fixed, below 95 ft</w:t>
            </w:r>
            <w:r w:rsidRPr="00DB1AEE">
              <w:rPr>
                <w:i/>
                <w:iCs/>
                <w:sz w:val="18"/>
                <w:szCs w:val="18"/>
                <w:vertAlign w:val="superscript"/>
              </w:rPr>
              <w:t>c</w:t>
            </w:r>
          </w:p>
        </w:tc>
        <w:tc>
          <w:tcPr>
            <w:tcW w:w="936" w:type="dxa"/>
            <w:tcBorders>
              <w:top w:val="single" w:sz="4" w:space="0" w:color="auto"/>
              <w:left w:val="nil"/>
              <w:bottom w:val="single" w:sz="4" w:space="0" w:color="auto"/>
              <w:right w:val="single" w:sz="4" w:space="0" w:color="auto"/>
            </w:tcBorders>
          </w:tcPr>
          <w:p w14:paraId="75B119E7" w14:textId="77777777" w:rsidR="00DB1AEE" w:rsidRPr="00DB1AEE" w:rsidRDefault="00DB1AEE" w:rsidP="00DB1AEE">
            <w:pPr>
              <w:jc w:val="center"/>
              <w:rPr>
                <w:sz w:val="18"/>
                <w:szCs w:val="18"/>
              </w:rPr>
            </w:pPr>
            <w:r w:rsidRPr="00DB1AEE">
              <w:rPr>
                <w:sz w:val="18"/>
                <w:szCs w:val="18"/>
              </w:rPr>
              <w:t>0.30</w:t>
            </w:r>
          </w:p>
        </w:tc>
        <w:tc>
          <w:tcPr>
            <w:tcW w:w="936" w:type="dxa"/>
            <w:tcBorders>
              <w:top w:val="single" w:sz="4" w:space="0" w:color="auto"/>
              <w:left w:val="nil"/>
              <w:bottom w:val="single" w:sz="4" w:space="0" w:color="auto"/>
              <w:right w:val="single" w:sz="4" w:space="0" w:color="auto"/>
            </w:tcBorders>
          </w:tcPr>
          <w:p w14:paraId="263BABC7" w14:textId="77777777" w:rsidR="00DB1AEE" w:rsidRPr="00DB1AEE" w:rsidRDefault="00DB1AEE" w:rsidP="00DB1AEE">
            <w:pPr>
              <w:jc w:val="center"/>
              <w:rPr>
                <w:sz w:val="18"/>
                <w:szCs w:val="18"/>
              </w:rPr>
            </w:pPr>
            <w:r w:rsidRPr="00DB1AEE">
              <w:rPr>
                <w:sz w:val="18"/>
                <w:szCs w:val="18"/>
              </w:rPr>
              <w:t>0.36</w:t>
            </w:r>
          </w:p>
        </w:tc>
        <w:tc>
          <w:tcPr>
            <w:tcW w:w="997" w:type="dxa"/>
            <w:vMerge/>
            <w:tcBorders>
              <w:top w:val="single" w:sz="4" w:space="0" w:color="auto"/>
              <w:right w:val="single" w:sz="4" w:space="0" w:color="auto"/>
            </w:tcBorders>
          </w:tcPr>
          <w:p w14:paraId="5A39CAAE" w14:textId="77777777" w:rsidR="00DB1AEE" w:rsidRPr="00DB1AEE" w:rsidRDefault="00DB1AEE" w:rsidP="00DB1AEE">
            <w:pPr>
              <w:jc w:val="center"/>
              <w:rPr>
                <w:sz w:val="18"/>
                <w:szCs w:val="18"/>
              </w:rPr>
            </w:pPr>
          </w:p>
        </w:tc>
        <w:tc>
          <w:tcPr>
            <w:tcW w:w="936" w:type="dxa"/>
            <w:tcBorders>
              <w:top w:val="single" w:sz="4" w:space="0" w:color="auto"/>
              <w:left w:val="single" w:sz="4" w:space="0" w:color="auto"/>
              <w:bottom w:val="single" w:sz="4" w:space="0" w:color="auto"/>
              <w:right w:val="single" w:sz="4" w:space="0" w:color="auto"/>
            </w:tcBorders>
          </w:tcPr>
          <w:p w14:paraId="762169CC" w14:textId="77777777" w:rsidR="00DB1AEE" w:rsidRPr="00DB1AEE" w:rsidRDefault="00DB1AEE" w:rsidP="00DB1AEE">
            <w:pPr>
              <w:jc w:val="center"/>
              <w:rPr>
                <w:sz w:val="18"/>
                <w:szCs w:val="18"/>
              </w:rPr>
            </w:pPr>
            <w:r w:rsidRPr="00DB1AEE">
              <w:rPr>
                <w:sz w:val="18"/>
                <w:szCs w:val="18"/>
              </w:rPr>
              <w:t>0.30</w:t>
            </w:r>
          </w:p>
        </w:tc>
        <w:tc>
          <w:tcPr>
            <w:tcW w:w="936" w:type="dxa"/>
            <w:tcBorders>
              <w:top w:val="single" w:sz="4" w:space="0" w:color="auto"/>
              <w:left w:val="single" w:sz="4" w:space="0" w:color="auto"/>
              <w:bottom w:val="single" w:sz="4" w:space="0" w:color="auto"/>
              <w:right w:val="single" w:sz="4" w:space="0" w:color="auto"/>
            </w:tcBorders>
          </w:tcPr>
          <w:p w14:paraId="7AE4A939" w14:textId="77777777" w:rsidR="00DB1AEE" w:rsidRPr="00DB1AEE" w:rsidRDefault="00DB1AEE" w:rsidP="00DB1AEE">
            <w:pPr>
              <w:jc w:val="center"/>
              <w:rPr>
                <w:sz w:val="18"/>
                <w:szCs w:val="18"/>
              </w:rPr>
            </w:pPr>
            <w:r w:rsidRPr="00DB1AEE">
              <w:rPr>
                <w:sz w:val="18"/>
                <w:szCs w:val="18"/>
              </w:rPr>
              <w:t>0.36</w:t>
            </w:r>
          </w:p>
        </w:tc>
        <w:tc>
          <w:tcPr>
            <w:tcW w:w="997" w:type="dxa"/>
            <w:vMerge/>
            <w:tcBorders>
              <w:top w:val="single" w:sz="4" w:space="0" w:color="auto"/>
              <w:left w:val="single" w:sz="4" w:space="0" w:color="auto"/>
              <w:right w:val="single" w:sz="4" w:space="0" w:color="auto"/>
            </w:tcBorders>
          </w:tcPr>
          <w:p w14:paraId="313CE220" w14:textId="77777777" w:rsidR="00DB1AEE" w:rsidRPr="00DB1AEE" w:rsidRDefault="00DB1AEE" w:rsidP="00DB1AEE">
            <w:pPr>
              <w:jc w:val="center"/>
              <w:rPr>
                <w:sz w:val="18"/>
                <w:szCs w:val="18"/>
              </w:rPr>
            </w:pPr>
          </w:p>
        </w:tc>
        <w:tc>
          <w:tcPr>
            <w:tcW w:w="936" w:type="dxa"/>
            <w:tcBorders>
              <w:top w:val="single" w:sz="4" w:space="0" w:color="auto"/>
              <w:left w:val="single" w:sz="4" w:space="0" w:color="auto"/>
              <w:bottom w:val="single" w:sz="4" w:space="0" w:color="auto"/>
              <w:right w:val="single" w:sz="4" w:space="0" w:color="auto"/>
            </w:tcBorders>
          </w:tcPr>
          <w:p w14:paraId="07BBA731" w14:textId="77777777" w:rsidR="00DB1AEE" w:rsidRPr="00DB1AEE" w:rsidRDefault="00DB1AEE" w:rsidP="00DB1AEE">
            <w:pPr>
              <w:jc w:val="center"/>
              <w:rPr>
                <w:sz w:val="18"/>
                <w:szCs w:val="18"/>
              </w:rPr>
            </w:pPr>
            <w:r w:rsidRPr="00DB1AEE">
              <w:rPr>
                <w:sz w:val="18"/>
                <w:szCs w:val="18"/>
              </w:rPr>
              <w:t>0.50</w:t>
            </w:r>
          </w:p>
        </w:tc>
        <w:tc>
          <w:tcPr>
            <w:tcW w:w="936" w:type="dxa"/>
            <w:gridSpan w:val="2"/>
            <w:vMerge/>
            <w:tcBorders>
              <w:left w:val="single" w:sz="4" w:space="0" w:color="auto"/>
              <w:right w:val="single" w:sz="4" w:space="0" w:color="auto"/>
            </w:tcBorders>
          </w:tcPr>
          <w:p w14:paraId="4509B3CE" w14:textId="77777777" w:rsidR="00DB1AEE" w:rsidRPr="00DB1AEE" w:rsidRDefault="00DB1AEE" w:rsidP="00DB1AEE">
            <w:pPr>
              <w:suppressAutoHyphens/>
              <w:jc w:val="center"/>
              <w:rPr>
                <w:sz w:val="18"/>
                <w:szCs w:val="18"/>
              </w:rPr>
            </w:pPr>
          </w:p>
        </w:tc>
        <w:tc>
          <w:tcPr>
            <w:tcW w:w="1072" w:type="dxa"/>
            <w:vMerge/>
            <w:tcBorders>
              <w:left w:val="nil"/>
              <w:right w:val="single" w:sz="4" w:space="0" w:color="auto"/>
            </w:tcBorders>
            <w:vAlign w:val="bottom"/>
          </w:tcPr>
          <w:p w14:paraId="2043B7BC" w14:textId="77777777" w:rsidR="00DB1AEE" w:rsidRPr="00DB1AEE" w:rsidRDefault="00DB1AEE" w:rsidP="00DB1AEE">
            <w:pPr>
              <w:suppressAutoHyphens/>
              <w:jc w:val="left"/>
              <w:rPr>
                <w:color w:val="000000"/>
                <w:sz w:val="20"/>
              </w:rPr>
            </w:pPr>
          </w:p>
        </w:tc>
      </w:tr>
      <w:tr w:rsidR="00DB1AEE" w:rsidRPr="00DB1AEE" w14:paraId="50A83B95" w14:textId="77777777" w:rsidTr="00FC1832">
        <w:trPr>
          <w:trHeight w:val="364"/>
        </w:trPr>
        <w:tc>
          <w:tcPr>
            <w:tcW w:w="1533" w:type="dxa"/>
            <w:tcBorders>
              <w:top w:val="single" w:sz="4" w:space="0" w:color="auto"/>
              <w:left w:val="single" w:sz="4" w:space="0" w:color="auto"/>
              <w:bottom w:val="single" w:sz="4" w:space="0" w:color="auto"/>
              <w:right w:val="single" w:sz="4" w:space="0" w:color="auto"/>
            </w:tcBorders>
          </w:tcPr>
          <w:p w14:paraId="6973EC4B" w14:textId="77777777" w:rsidR="00DB1AEE" w:rsidRPr="00DB1AEE" w:rsidRDefault="00DB1AEE" w:rsidP="00DB1AEE">
            <w:pPr>
              <w:jc w:val="center"/>
              <w:rPr>
                <w:i/>
                <w:iCs/>
                <w:sz w:val="18"/>
                <w:szCs w:val="18"/>
              </w:rPr>
            </w:pPr>
            <w:r w:rsidRPr="00DB1AEE">
              <w:rPr>
                <w:i/>
                <w:iCs/>
                <w:sz w:val="18"/>
                <w:szCs w:val="18"/>
              </w:rPr>
              <w:t>Metal framing, fixed, above 95 ft</w:t>
            </w:r>
            <w:r w:rsidRPr="00DB1AEE">
              <w:rPr>
                <w:i/>
                <w:iCs/>
                <w:sz w:val="18"/>
                <w:szCs w:val="18"/>
                <w:vertAlign w:val="superscript"/>
              </w:rPr>
              <w:t>c</w:t>
            </w:r>
          </w:p>
        </w:tc>
        <w:tc>
          <w:tcPr>
            <w:tcW w:w="936" w:type="dxa"/>
            <w:tcBorders>
              <w:top w:val="single" w:sz="4" w:space="0" w:color="auto"/>
              <w:left w:val="nil"/>
              <w:bottom w:val="single" w:sz="4" w:space="0" w:color="auto"/>
              <w:right w:val="single" w:sz="4" w:space="0" w:color="auto"/>
            </w:tcBorders>
          </w:tcPr>
          <w:p w14:paraId="1F3CEC7D" w14:textId="77777777" w:rsidR="00DB1AEE" w:rsidRPr="00DB1AEE" w:rsidRDefault="00DB1AEE" w:rsidP="00DB1AEE">
            <w:pPr>
              <w:jc w:val="center"/>
              <w:rPr>
                <w:sz w:val="18"/>
                <w:szCs w:val="18"/>
              </w:rPr>
            </w:pPr>
            <w:r w:rsidRPr="00DB1AEE">
              <w:rPr>
                <w:sz w:val="18"/>
                <w:szCs w:val="18"/>
              </w:rPr>
              <w:t>0.36</w:t>
            </w:r>
          </w:p>
        </w:tc>
        <w:tc>
          <w:tcPr>
            <w:tcW w:w="936" w:type="dxa"/>
            <w:tcBorders>
              <w:top w:val="single" w:sz="4" w:space="0" w:color="auto"/>
              <w:left w:val="nil"/>
              <w:bottom w:val="single" w:sz="4" w:space="0" w:color="auto"/>
              <w:right w:val="single" w:sz="4" w:space="0" w:color="auto"/>
            </w:tcBorders>
          </w:tcPr>
          <w:p w14:paraId="7F4938D2" w14:textId="77777777" w:rsidR="00DB1AEE" w:rsidRPr="00DB1AEE" w:rsidRDefault="00DB1AEE" w:rsidP="00DB1AEE">
            <w:pPr>
              <w:jc w:val="center"/>
              <w:rPr>
                <w:sz w:val="18"/>
                <w:szCs w:val="18"/>
              </w:rPr>
            </w:pPr>
            <w:r w:rsidRPr="00DB1AEE">
              <w:rPr>
                <w:sz w:val="18"/>
                <w:szCs w:val="18"/>
              </w:rPr>
              <w:t>0.36</w:t>
            </w:r>
          </w:p>
        </w:tc>
        <w:tc>
          <w:tcPr>
            <w:tcW w:w="997" w:type="dxa"/>
            <w:vMerge/>
            <w:tcBorders>
              <w:right w:val="single" w:sz="4" w:space="0" w:color="auto"/>
            </w:tcBorders>
          </w:tcPr>
          <w:p w14:paraId="3715C015" w14:textId="77777777" w:rsidR="00DB1AEE" w:rsidRPr="00DB1AEE" w:rsidRDefault="00DB1AEE" w:rsidP="00DB1AEE">
            <w:pPr>
              <w:suppressAutoHyphens/>
              <w:jc w:val="center"/>
              <w:rPr>
                <w:sz w:val="18"/>
                <w:szCs w:val="18"/>
              </w:rPr>
            </w:pPr>
          </w:p>
        </w:tc>
        <w:tc>
          <w:tcPr>
            <w:tcW w:w="936" w:type="dxa"/>
            <w:tcBorders>
              <w:top w:val="single" w:sz="4" w:space="0" w:color="auto"/>
              <w:left w:val="single" w:sz="4" w:space="0" w:color="auto"/>
              <w:bottom w:val="single" w:sz="4" w:space="0" w:color="auto"/>
              <w:right w:val="single" w:sz="4" w:space="0" w:color="auto"/>
            </w:tcBorders>
          </w:tcPr>
          <w:p w14:paraId="5876BFC4" w14:textId="77777777" w:rsidR="00DB1AEE" w:rsidRPr="00DB1AEE" w:rsidRDefault="00DB1AEE" w:rsidP="00DB1AEE">
            <w:pPr>
              <w:jc w:val="center"/>
              <w:rPr>
                <w:sz w:val="18"/>
                <w:szCs w:val="18"/>
              </w:rPr>
            </w:pPr>
            <w:r w:rsidRPr="00DB1AEE">
              <w:rPr>
                <w:sz w:val="18"/>
                <w:szCs w:val="18"/>
              </w:rPr>
              <w:t>0.36</w:t>
            </w:r>
          </w:p>
        </w:tc>
        <w:tc>
          <w:tcPr>
            <w:tcW w:w="936" w:type="dxa"/>
            <w:tcBorders>
              <w:top w:val="single" w:sz="4" w:space="0" w:color="auto"/>
              <w:left w:val="single" w:sz="4" w:space="0" w:color="auto"/>
              <w:bottom w:val="single" w:sz="4" w:space="0" w:color="auto"/>
              <w:right w:val="single" w:sz="4" w:space="0" w:color="auto"/>
            </w:tcBorders>
          </w:tcPr>
          <w:p w14:paraId="5EA7AFBF" w14:textId="77777777" w:rsidR="00DB1AEE" w:rsidRPr="00DB1AEE" w:rsidRDefault="00DB1AEE" w:rsidP="00DB1AEE">
            <w:pPr>
              <w:jc w:val="center"/>
              <w:rPr>
                <w:sz w:val="18"/>
                <w:szCs w:val="18"/>
              </w:rPr>
            </w:pPr>
            <w:r w:rsidRPr="00DB1AEE">
              <w:rPr>
                <w:sz w:val="18"/>
                <w:szCs w:val="18"/>
              </w:rPr>
              <w:t>0.36</w:t>
            </w:r>
          </w:p>
        </w:tc>
        <w:tc>
          <w:tcPr>
            <w:tcW w:w="997" w:type="dxa"/>
            <w:vMerge/>
            <w:tcBorders>
              <w:left w:val="single" w:sz="4" w:space="0" w:color="auto"/>
              <w:right w:val="single" w:sz="4" w:space="0" w:color="auto"/>
            </w:tcBorders>
          </w:tcPr>
          <w:p w14:paraId="620E21A7" w14:textId="77777777" w:rsidR="00DB1AEE" w:rsidRPr="00DB1AEE" w:rsidRDefault="00DB1AEE" w:rsidP="00DB1AEE">
            <w:pPr>
              <w:suppressAutoHyphens/>
              <w:jc w:val="center"/>
              <w:rPr>
                <w:sz w:val="18"/>
                <w:szCs w:val="18"/>
              </w:rPr>
            </w:pPr>
          </w:p>
        </w:tc>
        <w:tc>
          <w:tcPr>
            <w:tcW w:w="936" w:type="dxa"/>
            <w:tcBorders>
              <w:top w:val="single" w:sz="4" w:space="0" w:color="auto"/>
              <w:left w:val="single" w:sz="4" w:space="0" w:color="auto"/>
              <w:bottom w:val="single" w:sz="4" w:space="0" w:color="auto"/>
              <w:right w:val="single" w:sz="4" w:space="0" w:color="auto"/>
            </w:tcBorders>
          </w:tcPr>
          <w:p w14:paraId="532DF9C1" w14:textId="77777777" w:rsidR="00DB1AEE" w:rsidRPr="00DB1AEE" w:rsidRDefault="00DB1AEE" w:rsidP="00DB1AEE">
            <w:pPr>
              <w:jc w:val="center"/>
              <w:rPr>
                <w:sz w:val="18"/>
                <w:szCs w:val="18"/>
              </w:rPr>
            </w:pPr>
            <w:r w:rsidRPr="00DB1AEE">
              <w:rPr>
                <w:sz w:val="18"/>
                <w:szCs w:val="18"/>
              </w:rPr>
              <w:t>0.50</w:t>
            </w:r>
          </w:p>
        </w:tc>
        <w:tc>
          <w:tcPr>
            <w:tcW w:w="936" w:type="dxa"/>
            <w:gridSpan w:val="2"/>
            <w:vMerge/>
            <w:tcBorders>
              <w:left w:val="single" w:sz="4" w:space="0" w:color="auto"/>
              <w:right w:val="single" w:sz="4" w:space="0" w:color="auto"/>
            </w:tcBorders>
          </w:tcPr>
          <w:p w14:paraId="25D34525" w14:textId="77777777" w:rsidR="00DB1AEE" w:rsidRPr="00DB1AEE" w:rsidRDefault="00DB1AEE" w:rsidP="00DB1AEE">
            <w:pPr>
              <w:suppressAutoHyphens/>
              <w:jc w:val="center"/>
              <w:rPr>
                <w:sz w:val="18"/>
                <w:szCs w:val="18"/>
              </w:rPr>
            </w:pPr>
          </w:p>
        </w:tc>
        <w:tc>
          <w:tcPr>
            <w:tcW w:w="1072" w:type="dxa"/>
            <w:vMerge/>
            <w:tcBorders>
              <w:left w:val="nil"/>
              <w:right w:val="single" w:sz="4" w:space="0" w:color="auto"/>
            </w:tcBorders>
            <w:vAlign w:val="bottom"/>
          </w:tcPr>
          <w:p w14:paraId="351062BA" w14:textId="77777777" w:rsidR="00DB1AEE" w:rsidRPr="00DB1AEE" w:rsidRDefault="00DB1AEE" w:rsidP="00DB1AEE">
            <w:pPr>
              <w:suppressAutoHyphens/>
              <w:jc w:val="left"/>
              <w:rPr>
                <w:color w:val="000000"/>
                <w:sz w:val="20"/>
              </w:rPr>
            </w:pPr>
          </w:p>
        </w:tc>
      </w:tr>
      <w:tr w:rsidR="00DB1AEE" w:rsidRPr="00DB1AEE" w14:paraId="5E0B9CB2" w14:textId="77777777" w:rsidTr="00FC1832">
        <w:trPr>
          <w:trHeight w:val="364"/>
        </w:trPr>
        <w:tc>
          <w:tcPr>
            <w:tcW w:w="1533" w:type="dxa"/>
            <w:tcBorders>
              <w:top w:val="single" w:sz="4" w:space="0" w:color="auto"/>
              <w:left w:val="single" w:sz="4" w:space="0" w:color="auto"/>
              <w:bottom w:val="single" w:sz="4" w:space="0" w:color="auto"/>
              <w:right w:val="single" w:sz="4" w:space="0" w:color="auto"/>
            </w:tcBorders>
          </w:tcPr>
          <w:p w14:paraId="61029DF1" w14:textId="77777777" w:rsidR="00DB1AEE" w:rsidRPr="00DB1AEE" w:rsidRDefault="00DB1AEE" w:rsidP="00DB1AEE">
            <w:pPr>
              <w:jc w:val="center"/>
              <w:rPr>
                <w:i/>
                <w:iCs/>
                <w:sz w:val="18"/>
                <w:szCs w:val="18"/>
              </w:rPr>
            </w:pPr>
            <w:r w:rsidRPr="00DB1AEE">
              <w:rPr>
                <w:i/>
                <w:iCs/>
                <w:sz w:val="18"/>
                <w:szCs w:val="18"/>
              </w:rPr>
              <w:t>Metal framing, operable, below 95 ft</w:t>
            </w:r>
            <w:r w:rsidRPr="00DB1AEE">
              <w:rPr>
                <w:i/>
                <w:iCs/>
                <w:sz w:val="18"/>
                <w:szCs w:val="18"/>
                <w:vertAlign w:val="superscript"/>
              </w:rPr>
              <w:t>c</w:t>
            </w:r>
          </w:p>
        </w:tc>
        <w:tc>
          <w:tcPr>
            <w:tcW w:w="936" w:type="dxa"/>
            <w:tcBorders>
              <w:top w:val="single" w:sz="4" w:space="0" w:color="auto"/>
              <w:left w:val="nil"/>
              <w:bottom w:val="single" w:sz="4" w:space="0" w:color="auto"/>
              <w:right w:val="single" w:sz="4" w:space="0" w:color="auto"/>
            </w:tcBorders>
          </w:tcPr>
          <w:p w14:paraId="3C720616" w14:textId="77777777" w:rsidR="00DB1AEE" w:rsidRPr="00DB1AEE" w:rsidRDefault="00DB1AEE" w:rsidP="00DB1AEE">
            <w:pPr>
              <w:jc w:val="center"/>
              <w:rPr>
                <w:sz w:val="18"/>
                <w:szCs w:val="18"/>
              </w:rPr>
            </w:pPr>
            <w:r w:rsidRPr="00DB1AEE">
              <w:rPr>
                <w:sz w:val="18"/>
                <w:szCs w:val="18"/>
              </w:rPr>
              <w:t>0.40</w:t>
            </w:r>
          </w:p>
        </w:tc>
        <w:tc>
          <w:tcPr>
            <w:tcW w:w="936" w:type="dxa"/>
            <w:tcBorders>
              <w:top w:val="single" w:sz="4" w:space="0" w:color="auto"/>
              <w:left w:val="nil"/>
              <w:bottom w:val="single" w:sz="4" w:space="0" w:color="auto"/>
              <w:right w:val="single" w:sz="4" w:space="0" w:color="auto"/>
            </w:tcBorders>
          </w:tcPr>
          <w:p w14:paraId="7D60442B" w14:textId="77777777" w:rsidR="00DB1AEE" w:rsidRPr="00DB1AEE" w:rsidRDefault="00DB1AEE" w:rsidP="00DB1AEE">
            <w:pPr>
              <w:jc w:val="center"/>
              <w:rPr>
                <w:sz w:val="18"/>
                <w:szCs w:val="18"/>
              </w:rPr>
            </w:pPr>
            <w:r w:rsidRPr="00DB1AEE">
              <w:rPr>
                <w:sz w:val="18"/>
                <w:szCs w:val="18"/>
              </w:rPr>
              <w:t>0.33</w:t>
            </w:r>
          </w:p>
        </w:tc>
        <w:tc>
          <w:tcPr>
            <w:tcW w:w="997" w:type="dxa"/>
            <w:vMerge/>
            <w:tcBorders>
              <w:right w:val="single" w:sz="4" w:space="0" w:color="auto"/>
            </w:tcBorders>
          </w:tcPr>
          <w:p w14:paraId="71241F14" w14:textId="77777777" w:rsidR="00DB1AEE" w:rsidRPr="00DB1AEE" w:rsidRDefault="00DB1AEE" w:rsidP="00DB1AEE">
            <w:pPr>
              <w:suppressAutoHyphens/>
              <w:jc w:val="center"/>
              <w:rPr>
                <w:sz w:val="18"/>
                <w:szCs w:val="18"/>
              </w:rPr>
            </w:pPr>
          </w:p>
        </w:tc>
        <w:tc>
          <w:tcPr>
            <w:tcW w:w="936" w:type="dxa"/>
            <w:tcBorders>
              <w:top w:val="single" w:sz="4" w:space="0" w:color="auto"/>
              <w:left w:val="single" w:sz="4" w:space="0" w:color="auto"/>
              <w:bottom w:val="single" w:sz="4" w:space="0" w:color="auto"/>
              <w:right w:val="single" w:sz="4" w:space="0" w:color="auto"/>
            </w:tcBorders>
          </w:tcPr>
          <w:p w14:paraId="11C92D0B" w14:textId="77777777" w:rsidR="00DB1AEE" w:rsidRPr="00DB1AEE" w:rsidRDefault="00DB1AEE" w:rsidP="00DB1AEE">
            <w:pPr>
              <w:jc w:val="center"/>
              <w:rPr>
                <w:sz w:val="18"/>
                <w:szCs w:val="18"/>
              </w:rPr>
            </w:pPr>
            <w:r w:rsidRPr="00DB1AEE">
              <w:rPr>
                <w:sz w:val="18"/>
                <w:szCs w:val="18"/>
              </w:rPr>
              <w:t>0.40</w:t>
            </w:r>
          </w:p>
        </w:tc>
        <w:tc>
          <w:tcPr>
            <w:tcW w:w="936" w:type="dxa"/>
            <w:tcBorders>
              <w:top w:val="single" w:sz="4" w:space="0" w:color="auto"/>
              <w:left w:val="single" w:sz="4" w:space="0" w:color="auto"/>
              <w:bottom w:val="single" w:sz="4" w:space="0" w:color="auto"/>
              <w:right w:val="single" w:sz="4" w:space="0" w:color="auto"/>
            </w:tcBorders>
          </w:tcPr>
          <w:p w14:paraId="6DD1AC53" w14:textId="77777777" w:rsidR="00DB1AEE" w:rsidRPr="00DB1AEE" w:rsidRDefault="00DB1AEE" w:rsidP="00DB1AEE">
            <w:pPr>
              <w:jc w:val="center"/>
              <w:rPr>
                <w:sz w:val="18"/>
                <w:szCs w:val="18"/>
              </w:rPr>
            </w:pPr>
            <w:r w:rsidRPr="00DB1AEE">
              <w:rPr>
                <w:sz w:val="18"/>
                <w:szCs w:val="18"/>
              </w:rPr>
              <w:t>0.33</w:t>
            </w:r>
          </w:p>
        </w:tc>
        <w:tc>
          <w:tcPr>
            <w:tcW w:w="997" w:type="dxa"/>
            <w:vMerge/>
            <w:tcBorders>
              <w:left w:val="single" w:sz="4" w:space="0" w:color="auto"/>
              <w:right w:val="single" w:sz="4" w:space="0" w:color="auto"/>
            </w:tcBorders>
          </w:tcPr>
          <w:p w14:paraId="1FCCE83C" w14:textId="77777777" w:rsidR="00DB1AEE" w:rsidRPr="00DB1AEE" w:rsidRDefault="00DB1AEE" w:rsidP="00DB1AEE">
            <w:pPr>
              <w:suppressAutoHyphens/>
              <w:jc w:val="center"/>
              <w:rPr>
                <w:sz w:val="18"/>
                <w:szCs w:val="18"/>
              </w:rPr>
            </w:pPr>
          </w:p>
        </w:tc>
        <w:tc>
          <w:tcPr>
            <w:tcW w:w="936" w:type="dxa"/>
            <w:tcBorders>
              <w:top w:val="single" w:sz="4" w:space="0" w:color="auto"/>
              <w:left w:val="single" w:sz="4" w:space="0" w:color="auto"/>
              <w:bottom w:val="single" w:sz="4" w:space="0" w:color="auto"/>
              <w:right w:val="single" w:sz="4" w:space="0" w:color="auto"/>
            </w:tcBorders>
          </w:tcPr>
          <w:p w14:paraId="12F617D9" w14:textId="77777777" w:rsidR="00DB1AEE" w:rsidRPr="00DB1AEE" w:rsidRDefault="00DB1AEE" w:rsidP="00DB1AEE">
            <w:pPr>
              <w:jc w:val="center"/>
              <w:rPr>
                <w:sz w:val="18"/>
                <w:szCs w:val="18"/>
              </w:rPr>
            </w:pPr>
            <w:r w:rsidRPr="00DB1AEE">
              <w:rPr>
                <w:sz w:val="18"/>
                <w:szCs w:val="18"/>
              </w:rPr>
              <w:t>0.65</w:t>
            </w:r>
          </w:p>
        </w:tc>
        <w:tc>
          <w:tcPr>
            <w:tcW w:w="936" w:type="dxa"/>
            <w:gridSpan w:val="2"/>
            <w:vMerge/>
            <w:tcBorders>
              <w:left w:val="single" w:sz="4" w:space="0" w:color="auto"/>
              <w:right w:val="single" w:sz="4" w:space="0" w:color="auto"/>
            </w:tcBorders>
          </w:tcPr>
          <w:p w14:paraId="05FD8F57" w14:textId="77777777" w:rsidR="00DB1AEE" w:rsidRPr="00DB1AEE" w:rsidRDefault="00DB1AEE" w:rsidP="00DB1AEE">
            <w:pPr>
              <w:jc w:val="center"/>
              <w:rPr>
                <w:sz w:val="18"/>
                <w:szCs w:val="18"/>
              </w:rPr>
            </w:pPr>
          </w:p>
        </w:tc>
        <w:tc>
          <w:tcPr>
            <w:tcW w:w="1072" w:type="dxa"/>
            <w:vMerge/>
            <w:tcBorders>
              <w:left w:val="nil"/>
              <w:right w:val="single" w:sz="4" w:space="0" w:color="auto"/>
            </w:tcBorders>
            <w:vAlign w:val="bottom"/>
          </w:tcPr>
          <w:p w14:paraId="6B70B639" w14:textId="77777777" w:rsidR="00DB1AEE" w:rsidRPr="00DB1AEE" w:rsidRDefault="00DB1AEE" w:rsidP="00DB1AEE">
            <w:pPr>
              <w:jc w:val="left"/>
              <w:rPr>
                <w:color w:val="000000"/>
                <w:sz w:val="20"/>
              </w:rPr>
            </w:pPr>
          </w:p>
        </w:tc>
      </w:tr>
      <w:tr w:rsidR="00DB1AEE" w:rsidRPr="00DB1AEE" w14:paraId="11CD3CE9" w14:textId="77777777" w:rsidTr="00FC1832">
        <w:trPr>
          <w:trHeight w:val="364"/>
        </w:trPr>
        <w:tc>
          <w:tcPr>
            <w:tcW w:w="1533" w:type="dxa"/>
            <w:tcBorders>
              <w:top w:val="single" w:sz="4" w:space="0" w:color="auto"/>
              <w:left w:val="single" w:sz="4" w:space="0" w:color="auto"/>
              <w:bottom w:val="single" w:sz="4" w:space="0" w:color="auto"/>
              <w:right w:val="single" w:sz="4" w:space="0" w:color="auto"/>
            </w:tcBorders>
          </w:tcPr>
          <w:p w14:paraId="7E873965" w14:textId="77777777" w:rsidR="00DB1AEE" w:rsidRPr="00DB1AEE" w:rsidRDefault="00DB1AEE" w:rsidP="00DB1AEE">
            <w:pPr>
              <w:jc w:val="center"/>
              <w:rPr>
                <w:i/>
                <w:iCs/>
                <w:sz w:val="18"/>
                <w:szCs w:val="18"/>
              </w:rPr>
            </w:pPr>
            <w:r w:rsidRPr="00DB1AEE">
              <w:rPr>
                <w:i/>
                <w:iCs/>
                <w:sz w:val="18"/>
                <w:szCs w:val="18"/>
              </w:rPr>
              <w:t>Metal framing, operable, above 95 ft</w:t>
            </w:r>
            <w:r w:rsidRPr="00DB1AEE">
              <w:rPr>
                <w:i/>
                <w:iCs/>
                <w:sz w:val="18"/>
                <w:szCs w:val="18"/>
                <w:vertAlign w:val="superscript"/>
              </w:rPr>
              <w:t>c</w:t>
            </w:r>
          </w:p>
        </w:tc>
        <w:tc>
          <w:tcPr>
            <w:tcW w:w="936" w:type="dxa"/>
            <w:tcBorders>
              <w:top w:val="single" w:sz="4" w:space="0" w:color="auto"/>
              <w:left w:val="nil"/>
              <w:bottom w:val="single" w:sz="4" w:space="0" w:color="auto"/>
              <w:right w:val="single" w:sz="4" w:space="0" w:color="auto"/>
            </w:tcBorders>
          </w:tcPr>
          <w:p w14:paraId="24B1C4A4" w14:textId="77777777" w:rsidR="00DB1AEE" w:rsidRPr="00DB1AEE" w:rsidRDefault="00DB1AEE" w:rsidP="00DB1AEE">
            <w:pPr>
              <w:jc w:val="center"/>
              <w:rPr>
                <w:sz w:val="18"/>
                <w:szCs w:val="18"/>
              </w:rPr>
            </w:pPr>
            <w:r w:rsidRPr="00DB1AEE">
              <w:rPr>
                <w:sz w:val="18"/>
                <w:szCs w:val="18"/>
              </w:rPr>
              <w:t>0.42</w:t>
            </w:r>
          </w:p>
        </w:tc>
        <w:tc>
          <w:tcPr>
            <w:tcW w:w="936" w:type="dxa"/>
            <w:tcBorders>
              <w:top w:val="single" w:sz="4" w:space="0" w:color="auto"/>
              <w:left w:val="nil"/>
              <w:bottom w:val="single" w:sz="4" w:space="0" w:color="auto"/>
              <w:right w:val="single" w:sz="4" w:space="0" w:color="auto"/>
            </w:tcBorders>
          </w:tcPr>
          <w:p w14:paraId="52D17F40" w14:textId="77777777" w:rsidR="00DB1AEE" w:rsidRPr="00DB1AEE" w:rsidRDefault="00DB1AEE" w:rsidP="00DB1AEE">
            <w:pPr>
              <w:jc w:val="center"/>
              <w:rPr>
                <w:sz w:val="18"/>
                <w:szCs w:val="18"/>
              </w:rPr>
            </w:pPr>
            <w:r w:rsidRPr="00DB1AEE">
              <w:rPr>
                <w:sz w:val="18"/>
                <w:szCs w:val="18"/>
              </w:rPr>
              <w:t>0.33</w:t>
            </w:r>
          </w:p>
        </w:tc>
        <w:tc>
          <w:tcPr>
            <w:tcW w:w="997" w:type="dxa"/>
            <w:vMerge/>
            <w:tcBorders>
              <w:right w:val="single" w:sz="4" w:space="0" w:color="auto"/>
            </w:tcBorders>
          </w:tcPr>
          <w:p w14:paraId="4A0B9284" w14:textId="77777777" w:rsidR="00DB1AEE" w:rsidRPr="00DB1AEE" w:rsidRDefault="00DB1AEE" w:rsidP="00DB1AEE">
            <w:pPr>
              <w:suppressAutoHyphens/>
              <w:jc w:val="center"/>
              <w:rPr>
                <w:sz w:val="18"/>
                <w:szCs w:val="18"/>
              </w:rPr>
            </w:pPr>
          </w:p>
        </w:tc>
        <w:tc>
          <w:tcPr>
            <w:tcW w:w="936" w:type="dxa"/>
            <w:tcBorders>
              <w:top w:val="single" w:sz="4" w:space="0" w:color="auto"/>
              <w:left w:val="single" w:sz="4" w:space="0" w:color="auto"/>
              <w:bottom w:val="single" w:sz="4" w:space="0" w:color="auto"/>
              <w:right w:val="single" w:sz="4" w:space="0" w:color="auto"/>
            </w:tcBorders>
          </w:tcPr>
          <w:p w14:paraId="3900AABE" w14:textId="77777777" w:rsidR="00DB1AEE" w:rsidRPr="00DB1AEE" w:rsidRDefault="00DB1AEE" w:rsidP="00DB1AEE">
            <w:pPr>
              <w:jc w:val="center"/>
              <w:rPr>
                <w:sz w:val="18"/>
                <w:szCs w:val="18"/>
              </w:rPr>
            </w:pPr>
            <w:r w:rsidRPr="00DB1AEE">
              <w:rPr>
                <w:sz w:val="18"/>
                <w:szCs w:val="18"/>
              </w:rPr>
              <w:t>0.42</w:t>
            </w:r>
          </w:p>
        </w:tc>
        <w:tc>
          <w:tcPr>
            <w:tcW w:w="936" w:type="dxa"/>
            <w:tcBorders>
              <w:top w:val="single" w:sz="4" w:space="0" w:color="auto"/>
              <w:left w:val="single" w:sz="4" w:space="0" w:color="auto"/>
              <w:bottom w:val="single" w:sz="4" w:space="0" w:color="auto"/>
              <w:right w:val="single" w:sz="4" w:space="0" w:color="auto"/>
            </w:tcBorders>
          </w:tcPr>
          <w:p w14:paraId="69A31E3A" w14:textId="77777777" w:rsidR="00DB1AEE" w:rsidRPr="00DB1AEE" w:rsidRDefault="00DB1AEE" w:rsidP="00DB1AEE">
            <w:pPr>
              <w:jc w:val="center"/>
              <w:rPr>
                <w:sz w:val="18"/>
                <w:szCs w:val="18"/>
              </w:rPr>
            </w:pPr>
            <w:r w:rsidRPr="00DB1AEE">
              <w:rPr>
                <w:sz w:val="18"/>
                <w:szCs w:val="18"/>
              </w:rPr>
              <w:t>0.33</w:t>
            </w:r>
          </w:p>
        </w:tc>
        <w:tc>
          <w:tcPr>
            <w:tcW w:w="997" w:type="dxa"/>
            <w:vMerge/>
            <w:tcBorders>
              <w:left w:val="single" w:sz="4" w:space="0" w:color="auto"/>
              <w:right w:val="single" w:sz="4" w:space="0" w:color="auto"/>
            </w:tcBorders>
          </w:tcPr>
          <w:p w14:paraId="31CB83CB" w14:textId="77777777" w:rsidR="00DB1AEE" w:rsidRPr="00DB1AEE" w:rsidRDefault="00DB1AEE" w:rsidP="00DB1AEE">
            <w:pPr>
              <w:suppressAutoHyphens/>
              <w:jc w:val="center"/>
              <w:rPr>
                <w:sz w:val="18"/>
                <w:szCs w:val="18"/>
              </w:rPr>
            </w:pPr>
          </w:p>
        </w:tc>
        <w:tc>
          <w:tcPr>
            <w:tcW w:w="936" w:type="dxa"/>
            <w:tcBorders>
              <w:top w:val="single" w:sz="4" w:space="0" w:color="auto"/>
              <w:left w:val="single" w:sz="4" w:space="0" w:color="auto"/>
              <w:bottom w:val="single" w:sz="4" w:space="0" w:color="auto"/>
              <w:right w:val="single" w:sz="4" w:space="0" w:color="auto"/>
            </w:tcBorders>
          </w:tcPr>
          <w:p w14:paraId="678BCBB9" w14:textId="77777777" w:rsidR="00DB1AEE" w:rsidRPr="00DB1AEE" w:rsidRDefault="00DB1AEE" w:rsidP="00DB1AEE">
            <w:pPr>
              <w:jc w:val="center"/>
              <w:rPr>
                <w:sz w:val="18"/>
                <w:szCs w:val="18"/>
              </w:rPr>
            </w:pPr>
            <w:r w:rsidRPr="00DB1AEE">
              <w:rPr>
                <w:sz w:val="18"/>
                <w:szCs w:val="18"/>
              </w:rPr>
              <w:t>0.65</w:t>
            </w:r>
          </w:p>
        </w:tc>
        <w:tc>
          <w:tcPr>
            <w:tcW w:w="936" w:type="dxa"/>
            <w:gridSpan w:val="2"/>
            <w:vMerge/>
            <w:tcBorders>
              <w:left w:val="single" w:sz="4" w:space="0" w:color="auto"/>
              <w:right w:val="single" w:sz="4" w:space="0" w:color="auto"/>
            </w:tcBorders>
          </w:tcPr>
          <w:p w14:paraId="79137542" w14:textId="77777777" w:rsidR="00DB1AEE" w:rsidRPr="00DB1AEE" w:rsidRDefault="00DB1AEE" w:rsidP="00DB1AEE">
            <w:pPr>
              <w:suppressAutoHyphens/>
              <w:jc w:val="center"/>
              <w:rPr>
                <w:sz w:val="18"/>
                <w:szCs w:val="18"/>
              </w:rPr>
            </w:pPr>
          </w:p>
        </w:tc>
        <w:tc>
          <w:tcPr>
            <w:tcW w:w="1072" w:type="dxa"/>
            <w:vMerge/>
            <w:tcBorders>
              <w:left w:val="nil"/>
              <w:right w:val="single" w:sz="4" w:space="0" w:color="auto"/>
            </w:tcBorders>
            <w:vAlign w:val="bottom"/>
          </w:tcPr>
          <w:p w14:paraId="7A866B3F" w14:textId="77777777" w:rsidR="00DB1AEE" w:rsidRPr="00DB1AEE" w:rsidRDefault="00DB1AEE" w:rsidP="00DB1AEE">
            <w:pPr>
              <w:suppressAutoHyphens/>
              <w:jc w:val="left"/>
              <w:rPr>
                <w:color w:val="000000"/>
                <w:sz w:val="20"/>
              </w:rPr>
            </w:pPr>
          </w:p>
        </w:tc>
      </w:tr>
      <w:tr w:rsidR="00DB1AEE" w:rsidRPr="00DB1AEE" w14:paraId="1DBA9355" w14:textId="77777777" w:rsidTr="00FC1832">
        <w:trPr>
          <w:trHeight w:val="364"/>
        </w:trPr>
        <w:tc>
          <w:tcPr>
            <w:tcW w:w="1533" w:type="dxa"/>
            <w:tcBorders>
              <w:top w:val="single" w:sz="4" w:space="0" w:color="auto"/>
              <w:left w:val="single" w:sz="4" w:space="0" w:color="auto"/>
              <w:bottom w:val="single" w:sz="4" w:space="0" w:color="auto"/>
              <w:right w:val="single" w:sz="4" w:space="0" w:color="auto"/>
            </w:tcBorders>
          </w:tcPr>
          <w:p w14:paraId="09A67537" w14:textId="77777777" w:rsidR="00DB1AEE" w:rsidRPr="00DB1AEE" w:rsidRDefault="00DB1AEE" w:rsidP="00DB1AEE">
            <w:pPr>
              <w:jc w:val="center"/>
              <w:rPr>
                <w:i/>
                <w:iCs/>
                <w:sz w:val="18"/>
                <w:szCs w:val="18"/>
              </w:rPr>
            </w:pPr>
            <w:r w:rsidRPr="00DB1AEE">
              <w:rPr>
                <w:i/>
                <w:iCs/>
                <w:sz w:val="18"/>
                <w:szCs w:val="18"/>
              </w:rPr>
              <w:t>Entrance door</w:t>
            </w:r>
          </w:p>
        </w:tc>
        <w:tc>
          <w:tcPr>
            <w:tcW w:w="936" w:type="dxa"/>
            <w:tcBorders>
              <w:top w:val="single" w:sz="4" w:space="0" w:color="auto"/>
              <w:left w:val="nil"/>
              <w:bottom w:val="single" w:sz="4" w:space="0" w:color="auto"/>
              <w:right w:val="single" w:sz="4" w:space="0" w:color="auto"/>
            </w:tcBorders>
          </w:tcPr>
          <w:p w14:paraId="51EB65CB" w14:textId="77777777" w:rsidR="00DB1AEE" w:rsidRPr="00DB1AEE" w:rsidRDefault="00DB1AEE" w:rsidP="00DB1AEE">
            <w:pPr>
              <w:jc w:val="center"/>
              <w:rPr>
                <w:sz w:val="18"/>
                <w:szCs w:val="18"/>
              </w:rPr>
            </w:pPr>
            <w:r w:rsidRPr="00DB1AEE">
              <w:rPr>
                <w:sz w:val="18"/>
                <w:szCs w:val="18"/>
              </w:rPr>
              <w:t>0.63</w:t>
            </w:r>
          </w:p>
        </w:tc>
        <w:tc>
          <w:tcPr>
            <w:tcW w:w="936" w:type="dxa"/>
            <w:tcBorders>
              <w:top w:val="single" w:sz="4" w:space="0" w:color="auto"/>
              <w:left w:val="nil"/>
              <w:bottom w:val="single" w:sz="4" w:space="0" w:color="auto"/>
              <w:right w:val="single" w:sz="4" w:space="0" w:color="auto"/>
            </w:tcBorders>
          </w:tcPr>
          <w:p w14:paraId="4EACFA08" w14:textId="77777777" w:rsidR="00DB1AEE" w:rsidRPr="00DB1AEE" w:rsidRDefault="00DB1AEE" w:rsidP="00DB1AEE">
            <w:pPr>
              <w:jc w:val="center"/>
              <w:rPr>
                <w:sz w:val="18"/>
                <w:szCs w:val="18"/>
              </w:rPr>
            </w:pPr>
            <w:r w:rsidRPr="00DB1AEE">
              <w:rPr>
                <w:sz w:val="18"/>
                <w:szCs w:val="18"/>
              </w:rPr>
              <w:t>0.33</w:t>
            </w:r>
          </w:p>
        </w:tc>
        <w:tc>
          <w:tcPr>
            <w:tcW w:w="997" w:type="dxa"/>
            <w:vMerge/>
            <w:tcBorders>
              <w:bottom w:val="single" w:sz="4" w:space="0" w:color="auto"/>
              <w:right w:val="single" w:sz="4" w:space="0" w:color="auto"/>
            </w:tcBorders>
          </w:tcPr>
          <w:p w14:paraId="5D00E437" w14:textId="77777777" w:rsidR="00DB1AEE" w:rsidRPr="00DB1AEE" w:rsidRDefault="00DB1AEE" w:rsidP="00DB1AEE">
            <w:pPr>
              <w:jc w:val="center"/>
              <w:rPr>
                <w:sz w:val="18"/>
                <w:szCs w:val="18"/>
              </w:rPr>
            </w:pPr>
          </w:p>
        </w:tc>
        <w:tc>
          <w:tcPr>
            <w:tcW w:w="936" w:type="dxa"/>
            <w:tcBorders>
              <w:top w:val="single" w:sz="4" w:space="0" w:color="auto"/>
              <w:left w:val="single" w:sz="4" w:space="0" w:color="auto"/>
              <w:bottom w:val="single" w:sz="4" w:space="0" w:color="auto"/>
              <w:right w:val="single" w:sz="4" w:space="0" w:color="auto"/>
            </w:tcBorders>
          </w:tcPr>
          <w:p w14:paraId="063FED9F" w14:textId="77777777" w:rsidR="00DB1AEE" w:rsidRPr="00DB1AEE" w:rsidRDefault="00DB1AEE" w:rsidP="00DB1AEE">
            <w:pPr>
              <w:jc w:val="center"/>
              <w:rPr>
                <w:sz w:val="18"/>
                <w:szCs w:val="18"/>
              </w:rPr>
            </w:pPr>
            <w:r w:rsidRPr="00DB1AEE">
              <w:rPr>
                <w:sz w:val="18"/>
                <w:szCs w:val="18"/>
              </w:rPr>
              <w:t>0.63</w:t>
            </w:r>
          </w:p>
        </w:tc>
        <w:tc>
          <w:tcPr>
            <w:tcW w:w="936" w:type="dxa"/>
            <w:tcBorders>
              <w:top w:val="single" w:sz="4" w:space="0" w:color="auto"/>
              <w:left w:val="single" w:sz="4" w:space="0" w:color="auto"/>
              <w:bottom w:val="single" w:sz="4" w:space="0" w:color="auto"/>
              <w:right w:val="single" w:sz="4" w:space="0" w:color="auto"/>
            </w:tcBorders>
          </w:tcPr>
          <w:p w14:paraId="5D8BA5DB" w14:textId="77777777" w:rsidR="00DB1AEE" w:rsidRPr="00DB1AEE" w:rsidRDefault="00DB1AEE" w:rsidP="00DB1AEE">
            <w:pPr>
              <w:jc w:val="center"/>
              <w:rPr>
                <w:sz w:val="18"/>
                <w:szCs w:val="18"/>
              </w:rPr>
            </w:pPr>
            <w:r w:rsidRPr="00DB1AEE">
              <w:rPr>
                <w:sz w:val="18"/>
                <w:szCs w:val="18"/>
              </w:rPr>
              <w:t>0.33</w:t>
            </w:r>
          </w:p>
        </w:tc>
        <w:tc>
          <w:tcPr>
            <w:tcW w:w="997" w:type="dxa"/>
            <w:vMerge/>
            <w:tcBorders>
              <w:left w:val="single" w:sz="4" w:space="0" w:color="auto"/>
              <w:bottom w:val="single" w:sz="4" w:space="0" w:color="auto"/>
              <w:right w:val="single" w:sz="4" w:space="0" w:color="auto"/>
            </w:tcBorders>
          </w:tcPr>
          <w:p w14:paraId="5166AC22" w14:textId="77777777" w:rsidR="00DB1AEE" w:rsidRPr="00DB1AEE" w:rsidRDefault="00DB1AEE" w:rsidP="00DB1AEE">
            <w:pPr>
              <w:jc w:val="center"/>
              <w:rPr>
                <w:sz w:val="18"/>
                <w:szCs w:val="18"/>
              </w:rPr>
            </w:pPr>
          </w:p>
        </w:tc>
        <w:tc>
          <w:tcPr>
            <w:tcW w:w="936" w:type="dxa"/>
            <w:tcBorders>
              <w:top w:val="single" w:sz="4" w:space="0" w:color="auto"/>
              <w:left w:val="single" w:sz="4" w:space="0" w:color="auto"/>
              <w:bottom w:val="single" w:sz="4" w:space="0" w:color="auto"/>
              <w:right w:val="single" w:sz="4" w:space="0" w:color="auto"/>
            </w:tcBorders>
          </w:tcPr>
          <w:p w14:paraId="6AE66B91" w14:textId="77777777" w:rsidR="00DB1AEE" w:rsidRPr="00DB1AEE" w:rsidRDefault="00DB1AEE" w:rsidP="00DB1AEE">
            <w:pPr>
              <w:jc w:val="center"/>
              <w:rPr>
                <w:sz w:val="18"/>
                <w:szCs w:val="18"/>
              </w:rPr>
            </w:pPr>
            <w:r w:rsidRPr="00DB1AEE">
              <w:rPr>
                <w:sz w:val="18"/>
                <w:szCs w:val="18"/>
              </w:rPr>
              <w:t>0.77</w:t>
            </w:r>
          </w:p>
        </w:tc>
        <w:tc>
          <w:tcPr>
            <w:tcW w:w="936" w:type="dxa"/>
            <w:gridSpan w:val="2"/>
            <w:vMerge/>
            <w:tcBorders>
              <w:left w:val="single" w:sz="4" w:space="0" w:color="auto"/>
              <w:bottom w:val="single" w:sz="4" w:space="0" w:color="auto"/>
              <w:right w:val="single" w:sz="4" w:space="0" w:color="auto"/>
            </w:tcBorders>
          </w:tcPr>
          <w:p w14:paraId="24B98400" w14:textId="77777777" w:rsidR="00DB1AEE" w:rsidRPr="00DB1AEE" w:rsidRDefault="00DB1AEE" w:rsidP="00DB1AEE">
            <w:pPr>
              <w:jc w:val="center"/>
              <w:rPr>
                <w:sz w:val="18"/>
                <w:szCs w:val="18"/>
              </w:rPr>
            </w:pPr>
          </w:p>
        </w:tc>
        <w:tc>
          <w:tcPr>
            <w:tcW w:w="1072" w:type="dxa"/>
            <w:vMerge/>
            <w:tcBorders>
              <w:left w:val="nil"/>
              <w:bottom w:val="single" w:sz="4" w:space="0" w:color="auto"/>
              <w:right w:val="single" w:sz="4" w:space="0" w:color="auto"/>
            </w:tcBorders>
            <w:vAlign w:val="bottom"/>
          </w:tcPr>
          <w:p w14:paraId="7C09C43F" w14:textId="77777777" w:rsidR="00DB1AEE" w:rsidRPr="00DB1AEE" w:rsidRDefault="00DB1AEE" w:rsidP="00DB1AEE">
            <w:pPr>
              <w:jc w:val="left"/>
              <w:rPr>
                <w:color w:val="000000"/>
                <w:sz w:val="20"/>
              </w:rPr>
            </w:pPr>
          </w:p>
        </w:tc>
      </w:tr>
      <w:tr w:rsidR="00DB1AEE" w:rsidRPr="00DB1AEE" w14:paraId="0140DE97" w14:textId="77777777" w:rsidTr="00FC1832">
        <w:trPr>
          <w:trHeight w:val="364"/>
        </w:trPr>
        <w:tc>
          <w:tcPr>
            <w:tcW w:w="10215" w:type="dxa"/>
            <w:gridSpan w:val="11"/>
            <w:tcBorders>
              <w:top w:val="single" w:sz="4" w:space="0" w:color="auto"/>
              <w:left w:val="single" w:sz="4" w:space="0" w:color="auto"/>
              <w:bottom w:val="single" w:sz="4" w:space="0" w:color="auto"/>
              <w:right w:val="single" w:sz="4" w:space="0" w:color="auto"/>
            </w:tcBorders>
          </w:tcPr>
          <w:p w14:paraId="19B2F3D4" w14:textId="77777777" w:rsidR="00DB1AEE" w:rsidRPr="00DB1AEE" w:rsidRDefault="00DB1AEE" w:rsidP="00DB1AEE">
            <w:pPr>
              <w:jc w:val="center"/>
              <w:rPr>
                <w:color w:val="000000"/>
                <w:sz w:val="20"/>
              </w:rPr>
            </w:pPr>
            <w:r w:rsidRPr="00DB1AEE">
              <w:rPr>
                <w:color w:val="000000"/>
                <w:sz w:val="20"/>
              </w:rPr>
              <w:t>Skylight, 0% to 3% of Roof</w:t>
            </w:r>
          </w:p>
        </w:tc>
      </w:tr>
      <w:tr w:rsidR="00DB1AEE" w:rsidRPr="00DB1AEE" w14:paraId="1E817091" w14:textId="77777777" w:rsidTr="00FC1832">
        <w:trPr>
          <w:trHeight w:val="364"/>
        </w:trPr>
        <w:tc>
          <w:tcPr>
            <w:tcW w:w="1533" w:type="dxa"/>
            <w:tcBorders>
              <w:top w:val="single" w:sz="4" w:space="0" w:color="auto"/>
              <w:left w:val="single" w:sz="4" w:space="0" w:color="auto"/>
              <w:bottom w:val="single" w:sz="4" w:space="0" w:color="auto"/>
              <w:right w:val="single" w:sz="4" w:space="0" w:color="auto"/>
            </w:tcBorders>
            <w:vAlign w:val="center"/>
          </w:tcPr>
          <w:p w14:paraId="30A800C7" w14:textId="77777777" w:rsidR="00DB1AEE" w:rsidRPr="00DB1AEE" w:rsidRDefault="00DB1AEE" w:rsidP="00DB1AEE">
            <w:pPr>
              <w:jc w:val="center"/>
              <w:rPr>
                <w:i/>
                <w:iCs/>
                <w:sz w:val="18"/>
                <w:szCs w:val="18"/>
              </w:rPr>
            </w:pPr>
            <w:r w:rsidRPr="00DB1AEE">
              <w:rPr>
                <w:i/>
                <w:iCs/>
                <w:sz w:val="18"/>
                <w:szCs w:val="18"/>
              </w:rPr>
              <w:t>All types</w:t>
            </w:r>
          </w:p>
        </w:tc>
        <w:tc>
          <w:tcPr>
            <w:tcW w:w="936" w:type="dxa"/>
            <w:tcBorders>
              <w:top w:val="single" w:sz="4" w:space="0" w:color="auto"/>
              <w:left w:val="nil"/>
              <w:bottom w:val="single" w:sz="4" w:space="0" w:color="auto"/>
              <w:right w:val="single" w:sz="4" w:space="0" w:color="auto"/>
            </w:tcBorders>
            <w:vAlign w:val="center"/>
          </w:tcPr>
          <w:p w14:paraId="3832956E" w14:textId="77777777" w:rsidR="00DB1AEE" w:rsidRPr="00DB1AEE" w:rsidRDefault="00DB1AEE" w:rsidP="00DB1AEE">
            <w:pPr>
              <w:jc w:val="center"/>
              <w:rPr>
                <w:sz w:val="18"/>
                <w:szCs w:val="18"/>
              </w:rPr>
            </w:pPr>
            <w:r w:rsidRPr="00DB1AEE">
              <w:rPr>
                <w:sz w:val="18"/>
                <w:szCs w:val="18"/>
              </w:rPr>
              <w:t>0.48</w:t>
            </w:r>
          </w:p>
        </w:tc>
        <w:tc>
          <w:tcPr>
            <w:tcW w:w="936" w:type="dxa"/>
            <w:tcBorders>
              <w:top w:val="single" w:sz="4" w:space="0" w:color="auto"/>
              <w:left w:val="nil"/>
              <w:bottom w:val="single" w:sz="4" w:space="0" w:color="auto"/>
              <w:right w:val="single" w:sz="4" w:space="0" w:color="auto"/>
            </w:tcBorders>
            <w:vAlign w:val="center"/>
          </w:tcPr>
          <w:p w14:paraId="079B78B7" w14:textId="77777777" w:rsidR="00DB1AEE" w:rsidRPr="00DB1AEE" w:rsidRDefault="00DB1AEE" w:rsidP="00DB1AEE">
            <w:pPr>
              <w:jc w:val="center"/>
              <w:rPr>
                <w:sz w:val="18"/>
                <w:szCs w:val="18"/>
              </w:rPr>
            </w:pPr>
            <w:r w:rsidRPr="00DB1AEE">
              <w:rPr>
                <w:sz w:val="18"/>
                <w:szCs w:val="18"/>
              </w:rPr>
              <w:t>0.38</w:t>
            </w:r>
          </w:p>
        </w:tc>
        <w:tc>
          <w:tcPr>
            <w:tcW w:w="997" w:type="dxa"/>
            <w:tcBorders>
              <w:top w:val="single" w:sz="4" w:space="0" w:color="auto"/>
              <w:bottom w:val="single" w:sz="4" w:space="0" w:color="auto"/>
              <w:right w:val="single" w:sz="4" w:space="0" w:color="auto"/>
            </w:tcBorders>
            <w:vAlign w:val="center"/>
          </w:tcPr>
          <w:p w14:paraId="7272B4E2" w14:textId="77777777" w:rsidR="00DB1AEE" w:rsidRPr="00DB1AEE" w:rsidRDefault="00DB1AEE" w:rsidP="00DB1AEE">
            <w:pPr>
              <w:jc w:val="center"/>
              <w:rPr>
                <w:sz w:val="18"/>
                <w:szCs w:val="18"/>
              </w:rPr>
            </w:pPr>
            <w:r w:rsidRPr="00DB1AEE">
              <w:rPr>
                <w:sz w:val="18"/>
                <w:szCs w:val="18"/>
              </w:rPr>
              <w:t>NR</w:t>
            </w:r>
          </w:p>
        </w:tc>
        <w:tc>
          <w:tcPr>
            <w:tcW w:w="936" w:type="dxa"/>
            <w:tcBorders>
              <w:top w:val="single" w:sz="4" w:space="0" w:color="auto"/>
              <w:left w:val="single" w:sz="4" w:space="0" w:color="auto"/>
              <w:bottom w:val="single" w:sz="4" w:space="0" w:color="auto"/>
              <w:right w:val="single" w:sz="4" w:space="0" w:color="auto"/>
            </w:tcBorders>
            <w:vAlign w:val="center"/>
          </w:tcPr>
          <w:p w14:paraId="359228FB" w14:textId="77777777" w:rsidR="00DB1AEE" w:rsidRPr="00DB1AEE" w:rsidRDefault="00DB1AEE" w:rsidP="00DB1AEE">
            <w:pPr>
              <w:jc w:val="center"/>
              <w:rPr>
                <w:sz w:val="18"/>
                <w:szCs w:val="18"/>
              </w:rPr>
            </w:pPr>
            <w:r w:rsidRPr="00DB1AEE">
              <w:rPr>
                <w:sz w:val="18"/>
                <w:szCs w:val="18"/>
              </w:rPr>
              <w:t>0.48</w:t>
            </w:r>
          </w:p>
        </w:tc>
        <w:tc>
          <w:tcPr>
            <w:tcW w:w="936" w:type="dxa"/>
            <w:tcBorders>
              <w:top w:val="single" w:sz="4" w:space="0" w:color="auto"/>
              <w:left w:val="single" w:sz="4" w:space="0" w:color="auto"/>
              <w:bottom w:val="single" w:sz="4" w:space="0" w:color="auto"/>
              <w:right w:val="single" w:sz="4" w:space="0" w:color="auto"/>
            </w:tcBorders>
            <w:vAlign w:val="center"/>
          </w:tcPr>
          <w:p w14:paraId="433AE7CC" w14:textId="77777777" w:rsidR="00DB1AEE" w:rsidRPr="00DB1AEE" w:rsidRDefault="00DB1AEE" w:rsidP="00DB1AEE">
            <w:pPr>
              <w:jc w:val="center"/>
              <w:rPr>
                <w:sz w:val="18"/>
                <w:szCs w:val="18"/>
              </w:rPr>
            </w:pPr>
            <w:r w:rsidRPr="00DB1AEE">
              <w:rPr>
                <w:sz w:val="18"/>
                <w:szCs w:val="18"/>
              </w:rPr>
              <w:t>0.38</w:t>
            </w:r>
          </w:p>
        </w:tc>
        <w:tc>
          <w:tcPr>
            <w:tcW w:w="997" w:type="dxa"/>
            <w:tcBorders>
              <w:top w:val="single" w:sz="4" w:space="0" w:color="auto"/>
              <w:left w:val="single" w:sz="4" w:space="0" w:color="auto"/>
              <w:bottom w:val="single" w:sz="4" w:space="0" w:color="auto"/>
              <w:right w:val="single" w:sz="4" w:space="0" w:color="auto"/>
            </w:tcBorders>
            <w:vAlign w:val="center"/>
          </w:tcPr>
          <w:p w14:paraId="45DB42F1" w14:textId="77777777" w:rsidR="00DB1AEE" w:rsidRPr="00DB1AEE" w:rsidRDefault="00DB1AEE" w:rsidP="00DB1AEE">
            <w:pPr>
              <w:jc w:val="center"/>
              <w:rPr>
                <w:sz w:val="18"/>
                <w:szCs w:val="18"/>
              </w:rPr>
            </w:pPr>
            <w:r w:rsidRPr="00DB1AEE">
              <w:rPr>
                <w:sz w:val="18"/>
                <w:szCs w:val="18"/>
              </w:rPr>
              <w:t>NR</w:t>
            </w:r>
          </w:p>
        </w:tc>
        <w:tc>
          <w:tcPr>
            <w:tcW w:w="936" w:type="dxa"/>
            <w:tcBorders>
              <w:top w:val="single" w:sz="4" w:space="0" w:color="auto"/>
              <w:left w:val="single" w:sz="4" w:space="0" w:color="auto"/>
              <w:bottom w:val="single" w:sz="4" w:space="0" w:color="auto"/>
              <w:right w:val="single" w:sz="4" w:space="0" w:color="auto"/>
            </w:tcBorders>
            <w:vAlign w:val="center"/>
          </w:tcPr>
          <w:p w14:paraId="07A3FC7C" w14:textId="77777777" w:rsidR="00DB1AEE" w:rsidRPr="00DB1AEE" w:rsidRDefault="00DB1AEE" w:rsidP="00DB1AEE">
            <w:pPr>
              <w:jc w:val="center"/>
              <w:rPr>
                <w:sz w:val="18"/>
                <w:szCs w:val="18"/>
              </w:rPr>
            </w:pPr>
            <w:r w:rsidRPr="00DB1AEE">
              <w:rPr>
                <w:sz w:val="18"/>
                <w:szCs w:val="18"/>
              </w:rPr>
              <w:t>0.75</w:t>
            </w:r>
          </w:p>
        </w:tc>
        <w:tc>
          <w:tcPr>
            <w:tcW w:w="936" w:type="dxa"/>
            <w:gridSpan w:val="2"/>
            <w:tcBorders>
              <w:top w:val="single" w:sz="4" w:space="0" w:color="auto"/>
              <w:left w:val="single" w:sz="4" w:space="0" w:color="auto"/>
              <w:bottom w:val="single" w:sz="4" w:space="0" w:color="auto"/>
              <w:right w:val="single" w:sz="4" w:space="0" w:color="auto"/>
            </w:tcBorders>
            <w:vAlign w:val="center"/>
          </w:tcPr>
          <w:p w14:paraId="3919C7DC" w14:textId="77777777" w:rsidR="00DB1AEE" w:rsidRPr="00DB1AEE" w:rsidRDefault="00DB1AEE" w:rsidP="00DB1AEE">
            <w:pPr>
              <w:jc w:val="center"/>
              <w:rPr>
                <w:sz w:val="18"/>
                <w:szCs w:val="18"/>
              </w:rPr>
            </w:pPr>
            <w:r w:rsidRPr="00DB1AEE">
              <w:rPr>
                <w:sz w:val="18"/>
                <w:szCs w:val="18"/>
              </w:rPr>
              <w:t>NR</w:t>
            </w:r>
          </w:p>
        </w:tc>
        <w:tc>
          <w:tcPr>
            <w:tcW w:w="1072" w:type="dxa"/>
            <w:tcBorders>
              <w:top w:val="single" w:sz="4" w:space="0" w:color="auto"/>
              <w:left w:val="nil"/>
              <w:bottom w:val="single" w:sz="4" w:space="0" w:color="auto"/>
              <w:right w:val="single" w:sz="4" w:space="0" w:color="auto"/>
            </w:tcBorders>
            <w:vAlign w:val="center"/>
          </w:tcPr>
          <w:p w14:paraId="2D152036" w14:textId="77777777" w:rsidR="00DB1AEE" w:rsidRPr="00DB1AEE" w:rsidRDefault="00DB1AEE" w:rsidP="00DB1AEE">
            <w:pPr>
              <w:jc w:val="center"/>
              <w:rPr>
                <w:color w:val="000000"/>
                <w:sz w:val="20"/>
              </w:rPr>
            </w:pPr>
            <w:r w:rsidRPr="00DB1AEE">
              <w:rPr>
                <w:color w:val="000000"/>
                <w:sz w:val="20"/>
              </w:rPr>
              <w:t>NR</w:t>
            </w:r>
          </w:p>
        </w:tc>
      </w:tr>
    </w:tbl>
    <w:p w14:paraId="66C81FF3" w14:textId="77777777" w:rsidR="00DB1AEE" w:rsidRPr="00DB1AEE" w:rsidRDefault="00DB1AEE" w:rsidP="00DB1AEE">
      <w:pPr>
        <w:widowControl w:val="0"/>
        <w:suppressAutoHyphens/>
        <w:spacing w:before="130" w:after="130"/>
        <w:jc w:val="left"/>
        <w:rPr>
          <w:u w:val="single"/>
        </w:rPr>
      </w:pPr>
      <w:r w:rsidRPr="00DB1AEE">
        <w:rPr>
          <w:u w:val="single"/>
        </w:rPr>
        <w:t>* The following definitions apply: c.i. = continuous insulation (see Section 3.2), ca= cavity insulation, FC = filled cavity (see Section A2.3.2.5), Ls = liner system (see Section A2.3.2.4); NR = no (insulation)requirement.</w:t>
      </w:r>
    </w:p>
    <w:p w14:paraId="267E8CBD" w14:textId="77777777" w:rsidR="00DB1AEE" w:rsidRPr="00DB1AEE" w:rsidRDefault="00DB1AEE" w:rsidP="00DB1AEE">
      <w:pPr>
        <w:widowControl w:val="0"/>
        <w:suppressAutoHyphens/>
        <w:spacing w:before="130" w:after="130"/>
        <w:jc w:val="left"/>
        <w:rPr>
          <w:u w:val="single"/>
        </w:rPr>
      </w:pPr>
      <w:r w:rsidRPr="00DB1AEE">
        <w:rPr>
          <w:u w:val="single"/>
        </w:rPr>
        <w:t>a. When using the R-value compliance method for metal building roofs, a thermal spacer block is required (see Section A2.3.2).</w:t>
      </w:r>
    </w:p>
    <w:p w14:paraId="5FE9F1DF" w14:textId="77777777" w:rsidR="00DB1AEE" w:rsidRPr="00DB1AEE" w:rsidRDefault="00DB1AEE" w:rsidP="00DB1AEE">
      <w:pPr>
        <w:widowControl w:val="0"/>
        <w:suppressAutoHyphens/>
        <w:spacing w:before="130" w:after="130"/>
        <w:jc w:val="left"/>
        <w:rPr>
          <w:u w:val="single"/>
        </w:rPr>
      </w:pPr>
      <w:r w:rsidRPr="00DB1AEE">
        <w:rPr>
          <w:u w:val="single"/>
        </w:rPr>
        <w:t xml:space="preserve">b. Exception to Section 5.5.3.2 applies for </w:t>
      </w:r>
      <w:r w:rsidRPr="00DB1AEE">
        <w:rPr>
          <w:i/>
          <w:iCs/>
          <w:u w:val="single"/>
        </w:rPr>
        <w:t xml:space="preserve">mass walls </w:t>
      </w:r>
      <w:r w:rsidRPr="00DB1AEE">
        <w:rPr>
          <w:u w:val="single"/>
        </w:rPr>
        <w:t xml:space="preserve">above </w:t>
      </w:r>
      <w:r w:rsidRPr="00DB1AEE">
        <w:rPr>
          <w:i/>
          <w:iCs/>
          <w:u w:val="single"/>
        </w:rPr>
        <w:t>grade</w:t>
      </w:r>
      <w:r w:rsidRPr="00DB1AEE">
        <w:rPr>
          <w:u w:val="single"/>
        </w:rPr>
        <w:t>.</w:t>
      </w:r>
    </w:p>
    <w:p w14:paraId="2CF0CF3B" w14:textId="77777777" w:rsidR="00DB1AEE" w:rsidRPr="00DB1AEE" w:rsidRDefault="00DB1AEE" w:rsidP="00DB1AEE">
      <w:pPr>
        <w:widowControl w:val="0"/>
        <w:suppressAutoHyphens/>
        <w:spacing w:before="130" w:after="130"/>
        <w:jc w:val="left"/>
        <w:rPr>
          <w:u w:val="single"/>
        </w:rPr>
      </w:pPr>
      <w:r w:rsidRPr="00DB1AEE">
        <w:rPr>
          <w:u w:val="single"/>
        </w:rPr>
        <w:t>c. Where any portion of the fenestration frame is installed at or above 95feetabove grade, the unit may meet the requirements for above 95 feet</w:t>
      </w:r>
    </w:p>
    <w:p w14:paraId="2D4ACE65" w14:textId="77777777" w:rsidR="00DB1AEE" w:rsidRPr="00DB1AEE" w:rsidRDefault="00DB1AEE" w:rsidP="00DB1AEE">
      <w:pPr>
        <w:widowControl w:val="0"/>
        <w:suppressAutoHyphens/>
        <w:spacing w:before="130" w:after="130"/>
        <w:jc w:val="left"/>
        <w:rPr>
          <w:b/>
          <w:bCs/>
          <w:u w:val="single"/>
        </w:rPr>
      </w:pPr>
      <w:r w:rsidRPr="00DB1AEE">
        <w:rPr>
          <w:b/>
          <w:bCs/>
          <w:u w:val="single"/>
        </w:rPr>
        <w:t>Section 5.5.4.2.1 Vertical Fenestration Area.</w:t>
      </w:r>
    </w:p>
    <w:p w14:paraId="29DCC8DE" w14:textId="77777777" w:rsidR="00DB1AEE" w:rsidRPr="00DB1AEE" w:rsidRDefault="00DB1AEE" w:rsidP="00DB1AEE">
      <w:pPr>
        <w:widowControl w:val="0"/>
        <w:suppressAutoHyphens/>
        <w:spacing w:before="130" w:after="130"/>
        <w:jc w:val="left"/>
        <w:rPr>
          <w:u w:val="single"/>
        </w:rPr>
      </w:pPr>
      <w:r w:rsidRPr="00DB1AEE">
        <w:rPr>
          <w:u w:val="single"/>
        </w:rPr>
        <w:t>Section 5.5.4.2.1 - Revise Section 5.5.4.2.1 to read as follows:</w:t>
      </w:r>
    </w:p>
    <w:p w14:paraId="1612ADC4" w14:textId="77777777" w:rsidR="00DB1AEE" w:rsidRPr="00DB1AEE" w:rsidRDefault="00DB1AEE" w:rsidP="00DB1AEE">
      <w:pPr>
        <w:widowControl w:val="0"/>
        <w:suppressAutoHyphens/>
        <w:spacing w:before="130" w:after="130"/>
        <w:ind w:left="360"/>
        <w:jc w:val="left"/>
        <w:rPr>
          <w:b/>
          <w:bCs/>
          <w:u w:val="single"/>
        </w:rPr>
      </w:pPr>
      <w:r w:rsidRPr="00DB1AEE">
        <w:rPr>
          <w:b/>
          <w:bCs/>
          <w:u w:val="single"/>
        </w:rPr>
        <w:t>5.5.4.2.1</w:t>
      </w:r>
      <w:r w:rsidRPr="00DB1AEE">
        <w:rPr>
          <w:b/>
          <w:bCs/>
          <w:u w:val="single"/>
        </w:rPr>
        <w:tab/>
        <w:t>Vertical Fenestration Area</w:t>
      </w:r>
    </w:p>
    <w:p w14:paraId="65A0E5C2" w14:textId="77777777" w:rsidR="00DB1AEE" w:rsidRPr="00DB1AEE" w:rsidRDefault="00DB1AEE" w:rsidP="00DB1AEE">
      <w:pPr>
        <w:widowControl w:val="0"/>
        <w:suppressAutoHyphens/>
        <w:ind w:left="360"/>
        <w:jc w:val="left"/>
        <w:rPr>
          <w:u w:val="single"/>
        </w:rPr>
      </w:pPr>
      <w:r w:rsidRPr="00DB1AEE">
        <w:rPr>
          <w:u w:val="single"/>
        </w:rPr>
        <w:t>The total vertical fenestration area shall not be greater than that specified in Table 5.5-4.</w:t>
      </w:r>
    </w:p>
    <w:p w14:paraId="689B2E19" w14:textId="77777777" w:rsidR="00DB1AEE" w:rsidRPr="00DB1AEE" w:rsidRDefault="00DB1AEE" w:rsidP="00DB1AEE">
      <w:pPr>
        <w:widowControl w:val="0"/>
        <w:suppressAutoHyphens/>
        <w:ind w:left="360"/>
        <w:jc w:val="left"/>
        <w:rPr>
          <w:b/>
          <w:bCs/>
          <w:u w:val="single"/>
        </w:rPr>
      </w:pPr>
      <w:r w:rsidRPr="00DB1AEE">
        <w:rPr>
          <w:b/>
          <w:bCs/>
          <w:u w:val="single"/>
        </w:rPr>
        <w:t>Exception to 5.5.4.2.1</w:t>
      </w:r>
    </w:p>
    <w:p w14:paraId="24446121" w14:textId="77777777" w:rsidR="00DB1AEE" w:rsidRPr="00DB1AEE" w:rsidRDefault="00DB1AEE" w:rsidP="00DB1AEE">
      <w:pPr>
        <w:widowControl w:val="0"/>
        <w:suppressAutoHyphens/>
        <w:ind w:left="360"/>
        <w:jc w:val="left"/>
        <w:rPr>
          <w:u w:val="single"/>
        </w:rPr>
      </w:pPr>
      <w:r w:rsidRPr="00DB1AEE">
        <w:rPr>
          <w:u w:val="single"/>
        </w:rPr>
        <w:t>Vertical fenestration complying with Section 5.5.4.4.1, Exception 3.</w:t>
      </w:r>
    </w:p>
    <w:p w14:paraId="6E4F05FA" w14:textId="77777777" w:rsidR="00DB1AEE" w:rsidRPr="00DB1AEE" w:rsidRDefault="00DB1AEE" w:rsidP="00DB1AEE">
      <w:pPr>
        <w:widowControl w:val="0"/>
        <w:suppressAutoHyphens/>
        <w:spacing w:before="130" w:after="130"/>
        <w:jc w:val="left"/>
        <w:rPr>
          <w:b/>
          <w:bCs/>
          <w:u w:val="single"/>
        </w:rPr>
      </w:pPr>
      <w:r w:rsidRPr="00DB1AEE">
        <w:rPr>
          <w:b/>
          <w:bCs/>
          <w:u w:val="single"/>
        </w:rPr>
        <w:t>Section 5.5.4.2.2 Maximum Skylight Fenestration Area.</w:t>
      </w:r>
    </w:p>
    <w:p w14:paraId="68A5439A" w14:textId="77777777" w:rsidR="00DB1AEE" w:rsidRPr="00DB1AEE" w:rsidRDefault="00DB1AEE" w:rsidP="00DB1AEE">
      <w:pPr>
        <w:widowControl w:val="0"/>
        <w:suppressAutoHyphens/>
        <w:spacing w:before="130" w:after="130"/>
        <w:jc w:val="left"/>
        <w:rPr>
          <w:u w:val="single"/>
        </w:rPr>
      </w:pPr>
      <w:r w:rsidRPr="00DB1AEE">
        <w:rPr>
          <w:u w:val="single"/>
        </w:rPr>
        <w:t>Section 5.5.4.2.2 - Revise Section 5.5.4.2.2 to read as follows:</w:t>
      </w:r>
    </w:p>
    <w:p w14:paraId="271F477C" w14:textId="77777777" w:rsidR="00DB1AEE" w:rsidRPr="00DB1AEE" w:rsidRDefault="00DB1AEE" w:rsidP="00DB1AEE">
      <w:pPr>
        <w:widowControl w:val="0"/>
        <w:suppressAutoHyphens/>
        <w:ind w:left="360"/>
        <w:jc w:val="left"/>
        <w:rPr>
          <w:b/>
          <w:bCs/>
          <w:u w:val="single"/>
        </w:rPr>
      </w:pPr>
      <w:r w:rsidRPr="00DB1AEE">
        <w:rPr>
          <w:b/>
          <w:bCs/>
          <w:u w:val="single"/>
        </w:rPr>
        <w:t>5.5.4.2.2</w:t>
      </w:r>
      <w:r w:rsidRPr="00DB1AEE">
        <w:rPr>
          <w:b/>
          <w:bCs/>
          <w:u w:val="single"/>
        </w:rPr>
        <w:tab/>
        <w:t>Maximum Skylight Fenestration Area</w:t>
      </w:r>
    </w:p>
    <w:p w14:paraId="76062008" w14:textId="77777777" w:rsidR="00DB1AEE" w:rsidRPr="00DB1AEE" w:rsidRDefault="00DB1AEE" w:rsidP="00DB1AEE">
      <w:pPr>
        <w:widowControl w:val="0"/>
        <w:suppressAutoHyphens/>
        <w:ind w:left="360"/>
        <w:jc w:val="left"/>
        <w:rPr>
          <w:u w:val="single"/>
        </w:rPr>
      </w:pPr>
      <w:r w:rsidRPr="00DB1AEE">
        <w:rPr>
          <w:u w:val="single"/>
        </w:rPr>
        <w:t>The total skylight area shall not be greater than that specified in Tables 5.5-4.</w:t>
      </w:r>
    </w:p>
    <w:p w14:paraId="6407D7C1" w14:textId="77777777" w:rsidR="00DB1AEE" w:rsidRPr="00DB1AEE" w:rsidRDefault="00DB1AEE" w:rsidP="00DB1AEE">
      <w:pPr>
        <w:widowControl w:val="0"/>
        <w:suppressAutoHyphens/>
        <w:ind w:left="360"/>
        <w:jc w:val="left"/>
        <w:rPr>
          <w:b/>
          <w:bCs/>
          <w:u w:val="single"/>
        </w:rPr>
      </w:pPr>
      <w:r w:rsidRPr="00DB1AEE">
        <w:rPr>
          <w:b/>
          <w:bCs/>
          <w:u w:val="single"/>
        </w:rPr>
        <w:t>Exception to 5.5.4.2.2</w:t>
      </w:r>
    </w:p>
    <w:p w14:paraId="1BECE2E7" w14:textId="77777777" w:rsidR="00DB1AEE" w:rsidRPr="00DB1AEE" w:rsidRDefault="00DB1AEE" w:rsidP="00DB1AEE">
      <w:pPr>
        <w:widowControl w:val="0"/>
        <w:suppressAutoHyphens/>
        <w:ind w:left="360"/>
        <w:jc w:val="left"/>
        <w:rPr>
          <w:u w:val="single"/>
        </w:rPr>
      </w:pPr>
      <w:r w:rsidRPr="00DB1AEE">
        <w:rPr>
          <w:u w:val="single"/>
        </w:rPr>
        <w:t>The total skylight area is permitted to be increased to no greater than 6% of the gross roof area, provided the skylights meet all of the criteria in to Section 5.5.4.4.2, Exception 1 and the total daylight area under skylights is a minimum of half the floor area of the space.</w:t>
      </w:r>
    </w:p>
    <w:p w14:paraId="69C97EF3" w14:textId="77777777" w:rsidR="00DB1AEE" w:rsidRPr="00DB1AEE" w:rsidRDefault="00DB1AEE" w:rsidP="00DB1AEE">
      <w:pPr>
        <w:widowControl w:val="0"/>
        <w:suppressAutoHyphens/>
        <w:spacing w:before="130" w:after="130"/>
        <w:jc w:val="left"/>
        <w:rPr>
          <w:b/>
          <w:bCs/>
          <w:u w:val="single"/>
        </w:rPr>
      </w:pPr>
      <w:r w:rsidRPr="00DB1AEE">
        <w:rPr>
          <w:b/>
          <w:bCs/>
          <w:u w:val="single"/>
        </w:rPr>
        <w:t>Section 5.5.4.3 Fenestration U-Factor.</w:t>
      </w:r>
    </w:p>
    <w:p w14:paraId="7218119B" w14:textId="77777777" w:rsidR="00DB1AEE" w:rsidRPr="00DB1AEE" w:rsidRDefault="00DB1AEE" w:rsidP="00DB1AEE">
      <w:pPr>
        <w:widowControl w:val="0"/>
        <w:suppressAutoHyphens/>
        <w:spacing w:before="130" w:after="130"/>
        <w:jc w:val="left"/>
        <w:rPr>
          <w:u w:val="single"/>
        </w:rPr>
      </w:pPr>
      <w:r w:rsidRPr="00DB1AEE">
        <w:rPr>
          <w:u w:val="single"/>
        </w:rPr>
        <w:t>Section 5.5.4.3 - Revise Section 5.5.4.3 to read as follows:</w:t>
      </w:r>
    </w:p>
    <w:p w14:paraId="206865A4" w14:textId="77777777" w:rsidR="00DB1AEE" w:rsidRPr="00DB1AEE" w:rsidRDefault="00DB1AEE" w:rsidP="00DB1AEE">
      <w:pPr>
        <w:widowControl w:val="0"/>
        <w:suppressAutoHyphens/>
        <w:ind w:left="360"/>
        <w:jc w:val="left"/>
        <w:rPr>
          <w:b/>
          <w:bCs/>
          <w:u w:val="single"/>
        </w:rPr>
      </w:pPr>
      <w:r w:rsidRPr="00DB1AEE">
        <w:rPr>
          <w:b/>
          <w:bCs/>
          <w:u w:val="single"/>
        </w:rPr>
        <w:t>5.5.4.3</w:t>
      </w:r>
      <w:r w:rsidRPr="00DB1AEE">
        <w:rPr>
          <w:b/>
          <w:bCs/>
          <w:u w:val="single"/>
        </w:rPr>
        <w:tab/>
        <w:t>Fenestration U-Factor</w:t>
      </w:r>
    </w:p>
    <w:p w14:paraId="601001A5" w14:textId="77777777" w:rsidR="00DB1AEE" w:rsidRPr="00DB1AEE" w:rsidRDefault="00DB1AEE" w:rsidP="00DB1AEE">
      <w:pPr>
        <w:widowControl w:val="0"/>
        <w:suppressAutoHyphens/>
        <w:ind w:left="360"/>
        <w:jc w:val="left"/>
        <w:rPr>
          <w:u w:val="single"/>
        </w:rPr>
      </w:pPr>
      <w:r w:rsidRPr="00DB1AEE">
        <w:rPr>
          <w:u w:val="single"/>
        </w:rPr>
        <w:t>Fenestration shall have a U-factor not greater than that specified in Tables 5.5-4.</w:t>
      </w:r>
    </w:p>
    <w:p w14:paraId="611BF234" w14:textId="77777777" w:rsidR="00DB1AEE" w:rsidRPr="00DB1AEE" w:rsidRDefault="00DB1AEE" w:rsidP="00DB1AEE">
      <w:pPr>
        <w:widowControl w:val="0"/>
        <w:suppressAutoHyphens/>
        <w:ind w:left="360"/>
        <w:jc w:val="left"/>
        <w:rPr>
          <w:b/>
          <w:bCs/>
          <w:u w:val="single"/>
        </w:rPr>
      </w:pPr>
      <w:r w:rsidRPr="00DB1AEE">
        <w:rPr>
          <w:b/>
          <w:bCs/>
          <w:u w:val="single"/>
        </w:rPr>
        <w:t>Exception to 5.5.4.3</w:t>
      </w:r>
    </w:p>
    <w:p w14:paraId="082797E0" w14:textId="77777777" w:rsidR="00DB1AEE" w:rsidRPr="00DB1AEE" w:rsidRDefault="00DB1AEE" w:rsidP="00DB1AEE">
      <w:pPr>
        <w:widowControl w:val="0"/>
        <w:suppressAutoHyphens/>
        <w:ind w:left="360"/>
        <w:jc w:val="left"/>
        <w:rPr>
          <w:b/>
          <w:bCs/>
          <w:u w:val="single"/>
        </w:rPr>
      </w:pPr>
      <w:r w:rsidRPr="00DB1AEE">
        <w:rPr>
          <w:u w:val="single"/>
        </w:rPr>
        <w:t>The U-factor for skylights is permitted to be increased to no greater than 0.90 Btu/h·ft</w:t>
      </w:r>
      <w:r w:rsidRPr="00DB1AEE">
        <w:rPr>
          <w:u w:val="single"/>
          <w:vertAlign w:val="superscript"/>
        </w:rPr>
        <w:t>2</w:t>
      </w:r>
      <w:r w:rsidRPr="00DB1AEE">
        <w:rPr>
          <w:u w:val="single"/>
        </w:rPr>
        <w:t>·°F in Climate Zones 0 through 3 and 0.75 Btu/h·ft</w:t>
      </w:r>
      <w:r w:rsidRPr="00DB1AEE">
        <w:rPr>
          <w:u w:val="single"/>
          <w:vertAlign w:val="superscript"/>
        </w:rPr>
        <w:t>2</w:t>
      </w:r>
      <w:r w:rsidRPr="00DB1AEE">
        <w:rPr>
          <w:u w:val="single"/>
        </w:rPr>
        <w:t>·°F in Climate Zones 4 through 8, provided the sky- lights meet all of the criteria in to Section 5.5.4.4.2, Exception 1</w:t>
      </w:r>
      <w:r w:rsidRPr="00DB1AEE">
        <w:rPr>
          <w:b/>
          <w:bCs/>
          <w:u w:val="single"/>
        </w:rPr>
        <w:t>.</w:t>
      </w:r>
    </w:p>
    <w:p w14:paraId="71FA1DD3" w14:textId="77777777" w:rsidR="00DB1AEE" w:rsidRPr="00DB1AEE" w:rsidRDefault="00DB1AEE" w:rsidP="00DB1AEE">
      <w:pPr>
        <w:widowControl w:val="0"/>
        <w:suppressAutoHyphens/>
        <w:spacing w:before="130" w:after="130"/>
        <w:jc w:val="left"/>
        <w:rPr>
          <w:b/>
          <w:bCs/>
          <w:u w:val="single"/>
        </w:rPr>
      </w:pPr>
      <w:r w:rsidRPr="00DB1AEE">
        <w:rPr>
          <w:b/>
          <w:bCs/>
          <w:u w:val="single"/>
        </w:rPr>
        <w:t>Section 5.5.4.4.1 SHGC of Vertical Fenestration.</w:t>
      </w:r>
    </w:p>
    <w:p w14:paraId="2357235C" w14:textId="77777777" w:rsidR="00DB1AEE" w:rsidRPr="00DB1AEE" w:rsidRDefault="00DB1AEE" w:rsidP="00DB1AEE">
      <w:pPr>
        <w:widowControl w:val="0"/>
        <w:suppressAutoHyphens/>
        <w:spacing w:before="130" w:after="130"/>
        <w:jc w:val="left"/>
        <w:rPr>
          <w:u w:val="single"/>
        </w:rPr>
      </w:pPr>
      <w:r w:rsidRPr="00DB1AEE">
        <w:rPr>
          <w:u w:val="single"/>
        </w:rPr>
        <w:t>Section 5.5.4.4.1 - Revise the first sentence of  Section 5.5.4.4.1 to read as follows:</w:t>
      </w:r>
    </w:p>
    <w:p w14:paraId="60F45610" w14:textId="77777777" w:rsidR="00DB1AEE" w:rsidRPr="00DB1AEE" w:rsidRDefault="00DB1AEE" w:rsidP="00DB1AEE">
      <w:pPr>
        <w:widowControl w:val="0"/>
        <w:suppressAutoHyphens/>
        <w:spacing w:before="130" w:after="130"/>
        <w:ind w:left="360"/>
        <w:jc w:val="left"/>
        <w:rPr>
          <w:u w:val="single"/>
        </w:rPr>
      </w:pPr>
      <w:r w:rsidRPr="00DB1AEE">
        <w:rPr>
          <w:u w:val="single"/>
        </w:rPr>
        <w:t>Vertical fenestration shall have an SHGC not greater than that specified in Table 5.5-4.</w:t>
      </w:r>
    </w:p>
    <w:p w14:paraId="18969542" w14:textId="77777777" w:rsidR="00DB1AEE" w:rsidRPr="00DB1AEE" w:rsidRDefault="00DB1AEE" w:rsidP="00DB1AEE">
      <w:pPr>
        <w:widowControl w:val="0"/>
        <w:suppressAutoHyphens/>
        <w:spacing w:before="130" w:after="130"/>
        <w:jc w:val="left"/>
        <w:rPr>
          <w:b/>
          <w:bCs/>
          <w:u w:val="single"/>
        </w:rPr>
      </w:pPr>
      <w:r w:rsidRPr="00DB1AEE">
        <w:rPr>
          <w:b/>
          <w:bCs/>
          <w:u w:val="single"/>
        </w:rPr>
        <w:t>Section 5.5.4.4.2 SHGC of Skylights.</w:t>
      </w:r>
    </w:p>
    <w:p w14:paraId="63E8B89A" w14:textId="77777777" w:rsidR="00DB1AEE" w:rsidRPr="00DB1AEE" w:rsidRDefault="00DB1AEE" w:rsidP="00DB1AEE">
      <w:pPr>
        <w:widowControl w:val="0"/>
        <w:suppressAutoHyphens/>
        <w:spacing w:before="130" w:after="130"/>
        <w:jc w:val="left"/>
        <w:rPr>
          <w:u w:val="single"/>
        </w:rPr>
      </w:pPr>
      <w:r w:rsidRPr="00DB1AEE">
        <w:rPr>
          <w:u w:val="single"/>
        </w:rPr>
        <w:t>Section 5.5.4.4.2 - Revise the first sentence of  Section 5.5.4.4.1 to read as follows:</w:t>
      </w:r>
    </w:p>
    <w:p w14:paraId="71FECB8D" w14:textId="77777777" w:rsidR="00DB1AEE" w:rsidRPr="00DB1AEE" w:rsidRDefault="00DB1AEE" w:rsidP="00DB1AEE">
      <w:pPr>
        <w:widowControl w:val="0"/>
        <w:suppressAutoHyphens/>
        <w:spacing w:before="130" w:after="130"/>
        <w:ind w:left="360"/>
        <w:jc w:val="left"/>
        <w:rPr>
          <w:u w:val="single"/>
        </w:rPr>
      </w:pPr>
      <w:r w:rsidRPr="00DB1AEE">
        <w:rPr>
          <w:u w:val="single"/>
        </w:rPr>
        <w:t>Skylights shall have an SHGC not greater than that specified in Table 5.5-4.</w:t>
      </w:r>
    </w:p>
    <w:p w14:paraId="56D3D7BB" w14:textId="77777777" w:rsidR="00DB1AEE" w:rsidRPr="00DB1AEE" w:rsidRDefault="00DB1AEE" w:rsidP="00DB1AEE">
      <w:pPr>
        <w:widowControl w:val="0"/>
        <w:suppressAutoHyphens/>
        <w:spacing w:before="130" w:after="130"/>
        <w:jc w:val="left"/>
        <w:rPr>
          <w:b/>
          <w:bCs/>
          <w:u w:val="single"/>
        </w:rPr>
      </w:pPr>
      <w:r w:rsidRPr="00DB1AEE">
        <w:rPr>
          <w:b/>
          <w:bCs/>
          <w:u w:val="single"/>
        </w:rPr>
        <w:t>Section 5.5.4.5 Fenestration Orientation.</w:t>
      </w:r>
    </w:p>
    <w:p w14:paraId="18081659" w14:textId="77777777" w:rsidR="00DB1AEE" w:rsidRPr="00DB1AEE" w:rsidRDefault="00DB1AEE" w:rsidP="00DB1AEE">
      <w:pPr>
        <w:widowControl w:val="0"/>
        <w:suppressAutoHyphens/>
        <w:spacing w:before="130" w:after="130"/>
        <w:jc w:val="left"/>
        <w:rPr>
          <w:u w:val="single"/>
        </w:rPr>
      </w:pPr>
      <w:r w:rsidRPr="00DB1AEE">
        <w:rPr>
          <w:u w:val="single"/>
        </w:rPr>
        <w:t>Section 5.5.4.5 - Revise Section 5.5.4.5 to read as follows:</w:t>
      </w:r>
    </w:p>
    <w:p w14:paraId="094E2003" w14:textId="77777777" w:rsidR="00DB1AEE" w:rsidRPr="00DB1AEE" w:rsidRDefault="00DB1AEE" w:rsidP="00DB1AEE">
      <w:pPr>
        <w:tabs>
          <w:tab w:val="left" w:pos="2902"/>
        </w:tabs>
        <w:suppressAutoHyphens/>
        <w:ind w:left="1152" w:hanging="792"/>
        <w:jc w:val="left"/>
        <w:rPr>
          <w:b/>
          <w:szCs w:val="24"/>
          <w:u w:val="single"/>
        </w:rPr>
      </w:pPr>
      <w:r w:rsidRPr="00DB1AEE">
        <w:rPr>
          <w:b/>
          <w:bCs/>
          <w:szCs w:val="24"/>
          <w:u w:val="single"/>
        </w:rPr>
        <w:t>5.5.4.5</w:t>
      </w:r>
      <w:r w:rsidRPr="00DB1AEE">
        <w:rPr>
          <w:b/>
          <w:bCs/>
          <w:szCs w:val="24"/>
          <w:u w:val="single"/>
        </w:rPr>
        <w:tab/>
      </w:r>
      <w:r w:rsidRPr="00DB1AEE">
        <w:rPr>
          <w:b/>
          <w:szCs w:val="24"/>
          <w:u w:val="single"/>
        </w:rPr>
        <w:t>Fenestration Orientation</w:t>
      </w:r>
    </w:p>
    <w:p w14:paraId="152ED81A" w14:textId="77777777" w:rsidR="00DB1AEE" w:rsidRPr="00DB1AEE" w:rsidRDefault="00DB1AEE" w:rsidP="00DB1AEE">
      <w:pPr>
        <w:suppressAutoHyphens/>
        <w:ind w:left="360"/>
        <w:jc w:val="left"/>
        <w:rPr>
          <w:szCs w:val="24"/>
          <w:u w:val="single"/>
        </w:rPr>
      </w:pPr>
      <w:r w:rsidRPr="00DB1AEE">
        <w:rPr>
          <w:szCs w:val="24"/>
          <w:u w:val="single"/>
        </w:rPr>
        <w:t xml:space="preserve">The </w:t>
      </w:r>
      <w:r w:rsidRPr="00DB1AEE">
        <w:rPr>
          <w:i/>
          <w:szCs w:val="24"/>
          <w:u w:val="single"/>
        </w:rPr>
        <w:t xml:space="preserve">vertical fenestration </w:t>
      </w:r>
      <w:r w:rsidRPr="00DB1AEE">
        <w:rPr>
          <w:szCs w:val="24"/>
          <w:u w:val="single"/>
        </w:rPr>
        <w:t>shall comply with either (a) or</w:t>
      </w:r>
      <w:r w:rsidRPr="00DB1AEE">
        <w:rPr>
          <w:spacing w:val="-11"/>
          <w:szCs w:val="24"/>
          <w:u w:val="single"/>
        </w:rPr>
        <w:t xml:space="preserve"> </w:t>
      </w:r>
      <w:r w:rsidRPr="00DB1AEE">
        <w:rPr>
          <w:szCs w:val="24"/>
          <w:u w:val="single"/>
        </w:rPr>
        <w:t>(b):</w:t>
      </w:r>
    </w:p>
    <w:p w14:paraId="41251C16" w14:textId="77777777" w:rsidR="00DB1AEE" w:rsidRPr="00DB1AEE" w:rsidRDefault="00DB1AEE" w:rsidP="00DB1AEE">
      <w:pPr>
        <w:tabs>
          <w:tab w:val="left" w:pos="3457"/>
        </w:tabs>
        <w:suppressAutoHyphens/>
        <w:ind w:left="650" w:hanging="290"/>
        <w:jc w:val="left"/>
        <w:rPr>
          <w:szCs w:val="24"/>
          <w:u w:val="single"/>
        </w:rPr>
      </w:pPr>
      <w:r w:rsidRPr="00DB1AEE">
        <w:rPr>
          <w:spacing w:val="-1"/>
          <w:szCs w:val="24"/>
          <w:u w:val="single"/>
        </w:rPr>
        <w:t>a.</w:t>
      </w:r>
      <w:r w:rsidRPr="00DB1AEE">
        <w:rPr>
          <w:spacing w:val="-1"/>
          <w:szCs w:val="24"/>
          <w:u w:val="single"/>
        </w:rPr>
        <w:tab/>
      </w:r>
      <w:r w:rsidRPr="00DB1AEE">
        <w:rPr>
          <w:szCs w:val="24"/>
          <w:u w:val="single"/>
        </w:rPr>
        <w:t>For Climate Zones 0 through</w:t>
      </w:r>
      <w:r w:rsidRPr="00DB1AEE">
        <w:rPr>
          <w:spacing w:val="-2"/>
          <w:szCs w:val="24"/>
          <w:u w:val="single"/>
        </w:rPr>
        <w:t xml:space="preserve"> </w:t>
      </w:r>
      <w:r w:rsidRPr="00DB1AEE">
        <w:rPr>
          <w:szCs w:val="24"/>
          <w:u w:val="single"/>
        </w:rPr>
        <w:t>8,</w:t>
      </w:r>
    </w:p>
    <w:p w14:paraId="47B34C23" w14:textId="77777777" w:rsidR="00DB1AEE" w:rsidRPr="00DB1AEE" w:rsidRDefault="00DB1AEE" w:rsidP="00DB1AEE">
      <w:pPr>
        <w:suppressAutoHyphens/>
        <w:ind w:left="650"/>
        <w:jc w:val="center"/>
        <w:rPr>
          <w:szCs w:val="24"/>
          <w:u w:val="single"/>
        </w:rPr>
      </w:pPr>
      <w:r w:rsidRPr="00DB1AEE">
        <w:rPr>
          <w:i/>
          <w:szCs w:val="24"/>
          <w:u w:val="single"/>
        </w:rPr>
        <w:t>A</w:t>
      </w:r>
      <w:r w:rsidRPr="00DB1AEE">
        <w:rPr>
          <w:i/>
          <w:position w:val="-5"/>
          <w:szCs w:val="24"/>
          <w:u w:val="single"/>
        </w:rPr>
        <w:t xml:space="preserve">W </w:t>
      </w:r>
      <w:r w:rsidRPr="00DB1AEE">
        <w:rPr>
          <w:szCs w:val="24"/>
          <w:u w:val="single"/>
        </w:rPr>
        <w:t>≤ (</w:t>
      </w:r>
      <w:r w:rsidRPr="00DB1AEE">
        <w:rPr>
          <w:i/>
          <w:szCs w:val="24"/>
          <w:u w:val="single"/>
        </w:rPr>
        <w:t>A</w:t>
      </w:r>
      <w:r w:rsidRPr="00DB1AEE">
        <w:rPr>
          <w:i/>
          <w:position w:val="-5"/>
          <w:szCs w:val="24"/>
          <w:u w:val="single"/>
        </w:rPr>
        <w:t>T</w:t>
      </w:r>
      <w:r w:rsidRPr="00DB1AEE">
        <w:rPr>
          <w:szCs w:val="24"/>
          <w:u w:val="single"/>
        </w:rPr>
        <w:t xml:space="preserve">)/4 and </w:t>
      </w:r>
      <w:r w:rsidRPr="00DB1AEE">
        <w:rPr>
          <w:i/>
          <w:szCs w:val="24"/>
          <w:u w:val="single"/>
        </w:rPr>
        <w:t>A</w:t>
      </w:r>
      <w:r w:rsidRPr="00DB1AEE">
        <w:rPr>
          <w:i/>
          <w:position w:val="-5"/>
          <w:szCs w:val="24"/>
          <w:u w:val="single"/>
        </w:rPr>
        <w:t xml:space="preserve">E </w:t>
      </w:r>
      <w:r w:rsidRPr="00DB1AEE">
        <w:rPr>
          <w:szCs w:val="24"/>
          <w:u w:val="single"/>
        </w:rPr>
        <w:t>≤ (</w:t>
      </w:r>
      <w:r w:rsidRPr="00DB1AEE">
        <w:rPr>
          <w:i/>
          <w:szCs w:val="24"/>
          <w:u w:val="single"/>
        </w:rPr>
        <w:t>A</w:t>
      </w:r>
      <w:r w:rsidRPr="00DB1AEE">
        <w:rPr>
          <w:i/>
          <w:position w:val="-5"/>
          <w:szCs w:val="24"/>
          <w:u w:val="single"/>
        </w:rPr>
        <w:t>T</w:t>
      </w:r>
      <w:r w:rsidRPr="00DB1AEE">
        <w:rPr>
          <w:szCs w:val="24"/>
          <w:u w:val="single"/>
        </w:rPr>
        <w:t>)/4</w:t>
      </w:r>
    </w:p>
    <w:p w14:paraId="447CB3E1" w14:textId="77777777" w:rsidR="00DB1AEE" w:rsidRPr="00DB1AEE" w:rsidRDefault="00DB1AEE" w:rsidP="00DB1AEE">
      <w:pPr>
        <w:tabs>
          <w:tab w:val="left" w:pos="3456"/>
        </w:tabs>
        <w:suppressAutoHyphens/>
        <w:ind w:left="650" w:hanging="289"/>
        <w:jc w:val="left"/>
        <w:rPr>
          <w:szCs w:val="24"/>
          <w:u w:val="single"/>
        </w:rPr>
      </w:pPr>
      <w:r w:rsidRPr="00DB1AEE">
        <w:rPr>
          <w:spacing w:val="-1"/>
          <w:szCs w:val="24"/>
          <w:u w:val="single"/>
        </w:rPr>
        <w:t>b.</w:t>
      </w:r>
      <w:r w:rsidRPr="00DB1AEE">
        <w:rPr>
          <w:spacing w:val="-1"/>
          <w:szCs w:val="24"/>
          <w:u w:val="single"/>
        </w:rPr>
        <w:tab/>
      </w:r>
      <w:r w:rsidRPr="00DB1AEE">
        <w:rPr>
          <w:szCs w:val="24"/>
          <w:u w:val="single"/>
        </w:rPr>
        <w:t>For Climate Zones 0 through</w:t>
      </w:r>
      <w:r w:rsidRPr="00DB1AEE">
        <w:rPr>
          <w:spacing w:val="-2"/>
          <w:szCs w:val="24"/>
          <w:u w:val="single"/>
        </w:rPr>
        <w:t xml:space="preserve"> </w:t>
      </w:r>
      <w:r w:rsidRPr="00DB1AEE">
        <w:rPr>
          <w:szCs w:val="24"/>
          <w:u w:val="single"/>
        </w:rPr>
        <w:t>3,</w:t>
      </w:r>
    </w:p>
    <w:p w14:paraId="7F0D9E6B" w14:textId="77777777" w:rsidR="00DB1AEE" w:rsidRPr="00DB1AEE" w:rsidRDefault="00DB1AEE" w:rsidP="00DB1AEE">
      <w:pPr>
        <w:suppressAutoHyphens/>
        <w:ind w:left="650"/>
        <w:jc w:val="center"/>
        <w:rPr>
          <w:szCs w:val="24"/>
          <w:u w:val="single"/>
        </w:rPr>
      </w:pPr>
      <w:r w:rsidRPr="00DB1AEE">
        <w:rPr>
          <w:i/>
          <w:szCs w:val="24"/>
          <w:u w:val="single"/>
        </w:rPr>
        <w:t>A</w:t>
      </w:r>
      <w:r w:rsidRPr="00DB1AEE">
        <w:rPr>
          <w:i/>
          <w:position w:val="-5"/>
          <w:szCs w:val="24"/>
          <w:u w:val="single"/>
        </w:rPr>
        <w:t xml:space="preserve">W </w:t>
      </w:r>
      <w:r w:rsidRPr="00DB1AEE">
        <w:rPr>
          <w:szCs w:val="24"/>
          <w:u w:val="single"/>
        </w:rPr>
        <w:t xml:space="preserve">× </w:t>
      </w:r>
      <w:r w:rsidRPr="00DB1AEE">
        <w:rPr>
          <w:i/>
          <w:szCs w:val="24"/>
          <w:u w:val="single"/>
        </w:rPr>
        <w:t>SHGC</w:t>
      </w:r>
      <w:r w:rsidRPr="00DB1AEE">
        <w:rPr>
          <w:i/>
          <w:position w:val="-5"/>
          <w:szCs w:val="24"/>
          <w:u w:val="single"/>
        </w:rPr>
        <w:t xml:space="preserve">W </w:t>
      </w:r>
      <w:r w:rsidRPr="00DB1AEE">
        <w:rPr>
          <w:szCs w:val="24"/>
          <w:u w:val="single"/>
        </w:rPr>
        <w:t>≤ (</w:t>
      </w:r>
      <w:r w:rsidRPr="00DB1AEE">
        <w:rPr>
          <w:i/>
          <w:szCs w:val="24"/>
          <w:u w:val="single"/>
        </w:rPr>
        <w:t>A</w:t>
      </w:r>
      <w:r w:rsidRPr="00DB1AEE">
        <w:rPr>
          <w:i/>
          <w:position w:val="-5"/>
          <w:szCs w:val="24"/>
          <w:u w:val="single"/>
        </w:rPr>
        <w:t xml:space="preserve">T </w:t>
      </w:r>
      <w:r w:rsidRPr="00DB1AEE">
        <w:rPr>
          <w:szCs w:val="24"/>
          <w:u w:val="single"/>
        </w:rPr>
        <w:t xml:space="preserve">× </w:t>
      </w:r>
      <w:r w:rsidRPr="00DB1AEE">
        <w:rPr>
          <w:i/>
          <w:szCs w:val="24"/>
          <w:u w:val="single"/>
        </w:rPr>
        <w:t>SHGC</w:t>
      </w:r>
      <w:r w:rsidRPr="00DB1AEE">
        <w:rPr>
          <w:i/>
          <w:position w:val="-5"/>
          <w:szCs w:val="24"/>
          <w:u w:val="single"/>
        </w:rPr>
        <w:t>C</w:t>
      </w:r>
      <w:r w:rsidRPr="00DB1AEE">
        <w:rPr>
          <w:szCs w:val="24"/>
          <w:u w:val="single"/>
        </w:rPr>
        <w:t>)/4 and</w:t>
      </w:r>
    </w:p>
    <w:p w14:paraId="48836D5A" w14:textId="77777777" w:rsidR="00DB1AEE" w:rsidRPr="00DB1AEE" w:rsidRDefault="00DB1AEE" w:rsidP="00DB1AEE">
      <w:pPr>
        <w:suppressAutoHyphens/>
        <w:ind w:left="650"/>
        <w:jc w:val="center"/>
        <w:rPr>
          <w:szCs w:val="24"/>
          <w:u w:val="single"/>
        </w:rPr>
      </w:pPr>
      <w:r w:rsidRPr="00DB1AEE">
        <w:rPr>
          <w:i/>
          <w:szCs w:val="24"/>
          <w:u w:val="single"/>
        </w:rPr>
        <w:t>A</w:t>
      </w:r>
      <w:r w:rsidRPr="00DB1AEE">
        <w:rPr>
          <w:i/>
          <w:position w:val="-4"/>
          <w:szCs w:val="24"/>
          <w:u w:val="single"/>
        </w:rPr>
        <w:t xml:space="preserve">E </w:t>
      </w:r>
      <w:r w:rsidRPr="00DB1AEE">
        <w:rPr>
          <w:szCs w:val="24"/>
          <w:u w:val="single"/>
        </w:rPr>
        <w:t xml:space="preserve">× </w:t>
      </w:r>
      <w:r w:rsidRPr="00DB1AEE">
        <w:rPr>
          <w:i/>
          <w:szCs w:val="24"/>
          <w:u w:val="single"/>
        </w:rPr>
        <w:t>SHGC</w:t>
      </w:r>
      <w:r w:rsidRPr="00DB1AEE">
        <w:rPr>
          <w:i/>
          <w:position w:val="-4"/>
          <w:szCs w:val="24"/>
          <w:u w:val="single"/>
        </w:rPr>
        <w:t xml:space="preserve">E </w:t>
      </w:r>
      <w:r w:rsidRPr="00DB1AEE">
        <w:rPr>
          <w:szCs w:val="24"/>
          <w:u w:val="single"/>
        </w:rPr>
        <w:t>≤ (</w:t>
      </w:r>
      <w:r w:rsidRPr="00DB1AEE">
        <w:rPr>
          <w:i/>
          <w:szCs w:val="24"/>
          <w:u w:val="single"/>
        </w:rPr>
        <w:t>A</w:t>
      </w:r>
      <w:r w:rsidRPr="00DB1AEE">
        <w:rPr>
          <w:i/>
          <w:position w:val="-4"/>
          <w:szCs w:val="24"/>
          <w:u w:val="single"/>
        </w:rPr>
        <w:t xml:space="preserve">T </w:t>
      </w:r>
      <w:r w:rsidRPr="00DB1AEE">
        <w:rPr>
          <w:szCs w:val="24"/>
          <w:u w:val="single"/>
        </w:rPr>
        <w:t xml:space="preserve">× </w:t>
      </w:r>
      <w:r w:rsidRPr="00DB1AEE">
        <w:rPr>
          <w:i/>
          <w:szCs w:val="24"/>
          <w:u w:val="single"/>
        </w:rPr>
        <w:t>SHGC</w:t>
      </w:r>
      <w:r w:rsidRPr="00DB1AEE">
        <w:rPr>
          <w:i/>
          <w:position w:val="-4"/>
          <w:szCs w:val="24"/>
          <w:u w:val="single"/>
        </w:rPr>
        <w:t>C</w:t>
      </w:r>
      <w:r w:rsidRPr="00DB1AEE">
        <w:rPr>
          <w:szCs w:val="24"/>
          <w:u w:val="single"/>
        </w:rPr>
        <w:t>)/4</w:t>
      </w:r>
    </w:p>
    <w:p w14:paraId="7506E08C" w14:textId="77777777" w:rsidR="00DB1AEE" w:rsidRPr="00DB1AEE" w:rsidRDefault="00DB1AEE" w:rsidP="00DB1AEE">
      <w:pPr>
        <w:suppressAutoHyphens/>
        <w:ind w:left="650"/>
        <w:jc w:val="left"/>
        <w:rPr>
          <w:szCs w:val="24"/>
          <w:u w:val="single"/>
        </w:rPr>
      </w:pPr>
      <w:r w:rsidRPr="00DB1AEE">
        <w:rPr>
          <w:szCs w:val="24"/>
          <w:u w:val="single"/>
        </w:rPr>
        <w:t>For Climate Zones 4 through 8,</w:t>
      </w:r>
    </w:p>
    <w:p w14:paraId="23E1464F" w14:textId="77777777" w:rsidR="00DB1AEE" w:rsidRPr="00DB1AEE" w:rsidRDefault="00DB1AEE" w:rsidP="00DB1AEE">
      <w:pPr>
        <w:suppressAutoHyphens/>
        <w:ind w:left="650"/>
        <w:jc w:val="center"/>
        <w:rPr>
          <w:szCs w:val="24"/>
          <w:u w:val="single"/>
        </w:rPr>
      </w:pPr>
      <w:r w:rsidRPr="00DB1AEE">
        <w:rPr>
          <w:i/>
          <w:szCs w:val="24"/>
          <w:u w:val="single"/>
        </w:rPr>
        <w:t>A</w:t>
      </w:r>
      <w:r w:rsidRPr="00DB1AEE">
        <w:rPr>
          <w:i/>
          <w:position w:val="-5"/>
          <w:szCs w:val="24"/>
          <w:u w:val="single"/>
        </w:rPr>
        <w:t xml:space="preserve">W </w:t>
      </w:r>
      <w:r w:rsidRPr="00DB1AEE">
        <w:rPr>
          <w:szCs w:val="24"/>
          <w:u w:val="single"/>
        </w:rPr>
        <w:t xml:space="preserve">× </w:t>
      </w:r>
      <w:r w:rsidRPr="00DB1AEE">
        <w:rPr>
          <w:i/>
          <w:szCs w:val="24"/>
          <w:u w:val="single"/>
        </w:rPr>
        <w:t>SHGC</w:t>
      </w:r>
      <w:r w:rsidRPr="00DB1AEE">
        <w:rPr>
          <w:i/>
          <w:position w:val="-5"/>
          <w:szCs w:val="24"/>
          <w:u w:val="single"/>
        </w:rPr>
        <w:t xml:space="preserve">W </w:t>
      </w:r>
      <w:r w:rsidRPr="00DB1AEE">
        <w:rPr>
          <w:szCs w:val="24"/>
          <w:u w:val="single"/>
        </w:rPr>
        <w:t>≤ (</w:t>
      </w:r>
      <w:r w:rsidRPr="00DB1AEE">
        <w:rPr>
          <w:i/>
          <w:szCs w:val="24"/>
          <w:u w:val="single"/>
        </w:rPr>
        <w:t>A</w:t>
      </w:r>
      <w:r w:rsidRPr="00DB1AEE">
        <w:rPr>
          <w:i/>
          <w:position w:val="-5"/>
          <w:szCs w:val="24"/>
          <w:u w:val="single"/>
        </w:rPr>
        <w:t xml:space="preserve">T </w:t>
      </w:r>
      <w:r w:rsidRPr="00DB1AEE">
        <w:rPr>
          <w:szCs w:val="24"/>
          <w:u w:val="single"/>
        </w:rPr>
        <w:t xml:space="preserve">× </w:t>
      </w:r>
      <w:r w:rsidRPr="00DB1AEE">
        <w:rPr>
          <w:i/>
          <w:szCs w:val="24"/>
          <w:u w:val="single"/>
        </w:rPr>
        <w:t>SHGC</w:t>
      </w:r>
      <w:r w:rsidRPr="00DB1AEE">
        <w:rPr>
          <w:i/>
          <w:position w:val="-5"/>
          <w:szCs w:val="24"/>
          <w:u w:val="single"/>
        </w:rPr>
        <w:t>C</w:t>
      </w:r>
      <w:r w:rsidRPr="00DB1AEE">
        <w:rPr>
          <w:szCs w:val="24"/>
          <w:u w:val="single"/>
        </w:rPr>
        <w:t>)/5 and</w:t>
      </w:r>
    </w:p>
    <w:p w14:paraId="14530A76" w14:textId="77777777" w:rsidR="00DB1AEE" w:rsidRPr="00DB1AEE" w:rsidRDefault="00DB1AEE" w:rsidP="00DB1AEE">
      <w:pPr>
        <w:suppressAutoHyphens/>
        <w:ind w:left="650"/>
        <w:jc w:val="center"/>
        <w:rPr>
          <w:szCs w:val="24"/>
          <w:u w:val="single"/>
        </w:rPr>
      </w:pPr>
      <w:r w:rsidRPr="00DB1AEE">
        <w:rPr>
          <w:i/>
          <w:szCs w:val="24"/>
          <w:u w:val="single"/>
        </w:rPr>
        <w:t>A</w:t>
      </w:r>
      <w:r w:rsidRPr="00DB1AEE">
        <w:rPr>
          <w:i/>
          <w:position w:val="-4"/>
          <w:szCs w:val="24"/>
          <w:u w:val="single"/>
        </w:rPr>
        <w:t xml:space="preserve">E </w:t>
      </w:r>
      <w:r w:rsidRPr="00DB1AEE">
        <w:rPr>
          <w:szCs w:val="24"/>
          <w:u w:val="single"/>
        </w:rPr>
        <w:t xml:space="preserve">× </w:t>
      </w:r>
      <w:r w:rsidRPr="00DB1AEE">
        <w:rPr>
          <w:i/>
          <w:szCs w:val="24"/>
          <w:u w:val="single"/>
        </w:rPr>
        <w:t>SHGC</w:t>
      </w:r>
      <w:r w:rsidRPr="00DB1AEE">
        <w:rPr>
          <w:i/>
          <w:position w:val="-4"/>
          <w:szCs w:val="24"/>
          <w:u w:val="single"/>
        </w:rPr>
        <w:t xml:space="preserve">E </w:t>
      </w:r>
      <w:r w:rsidRPr="00DB1AEE">
        <w:rPr>
          <w:szCs w:val="24"/>
          <w:u w:val="single"/>
        </w:rPr>
        <w:t>≤ (</w:t>
      </w:r>
      <w:r w:rsidRPr="00DB1AEE">
        <w:rPr>
          <w:i/>
          <w:szCs w:val="24"/>
          <w:u w:val="single"/>
        </w:rPr>
        <w:t>A</w:t>
      </w:r>
      <w:r w:rsidRPr="00DB1AEE">
        <w:rPr>
          <w:i/>
          <w:position w:val="-4"/>
          <w:szCs w:val="24"/>
          <w:u w:val="single"/>
        </w:rPr>
        <w:t xml:space="preserve">T </w:t>
      </w:r>
      <w:r w:rsidRPr="00DB1AEE">
        <w:rPr>
          <w:szCs w:val="24"/>
          <w:u w:val="single"/>
        </w:rPr>
        <w:t xml:space="preserve">× </w:t>
      </w:r>
      <w:r w:rsidRPr="00DB1AEE">
        <w:rPr>
          <w:i/>
          <w:szCs w:val="24"/>
          <w:u w:val="single"/>
        </w:rPr>
        <w:t>SHGC</w:t>
      </w:r>
      <w:r w:rsidRPr="00DB1AEE">
        <w:rPr>
          <w:i/>
          <w:position w:val="-4"/>
          <w:szCs w:val="24"/>
          <w:u w:val="single"/>
        </w:rPr>
        <w:t>C</w:t>
      </w:r>
      <w:r w:rsidRPr="00DB1AEE">
        <w:rPr>
          <w:szCs w:val="24"/>
          <w:u w:val="single"/>
        </w:rPr>
        <w:t>)/5</w:t>
      </w:r>
    </w:p>
    <w:p w14:paraId="50C50877" w14:textId="77777777" w:rsidR="00DB1AEE" w:rsidRPr="00DB1AEE" w:rsidRDefault="00DB1AEE" w:rsidP="00DB1AEE">
      <w:pPr>
        <w:suppressAutoHyphens/>
        <w:ind w:left="650"/>
        <w:jc w:val="left"/>
        <w:rPr>
          <w:szCs w:val="24"/>
          <w:u w:val="single"/>
        </w:rPr>
      </w:pPr>
      <w:r w:rsidRPr="00DB1AEE">
        <w:rPr>
          <w:szCs w:val="24"/>
          <w:u w:val="single"/>
        </w:rPr>
        <w:t>where</w:t>
      </w:r>
    </w:p>
    <w:p w14:paraId="31E28E87" w14:textId="77777777" w:rsidR="00DB1AEE" w:rsidRPr="00DB1AEE" w:rsidRDefault="00DB1AEE" w:rsidP="00DB1AEE">
      <w:pPr>
        <w:tabs>
          <w:tab w:val="left" w:pos="3815"/>
        </w:tabs>
        <w:suppressAutoHyphens/>
        <w:ind w:left="1853" w:hanging="720"/>
        <w:rPr>
          <w:szCs w:val="24"/>
          <w:u w:val="single"/>
        </w:rPr>
      </w:pPr>
      <w:r w:rsidRPr="00DB1AEE">
        <w:rPr>
          <w:i/>
          <w:szCs w:val="24"/>
          <w:u w:val="single"/>
        </w:rPr>
        <w:t>A</w:t>
      </w:r>
      <w:r w:rsidRPr="00DB1AEE">
        <w:rPr>
          <w:i/>
          <w:position w:val="-5"/>
          <w:szCs w:val="24"/>
          <w:u w:val="single"/>
        </w:rPr>
        <w:t xml:space="preserve">w </w:t>
      </w:r>
      <w:r w:rsidRPr="00DB1AEE">
        <w:rPr>
          <w:szCs w:val="24"/>
          <w:u w:val="single"/>
        </w:rPr>
        <w:t>=</w:t>
      </w:r>
      <w:r w:rsidRPr="00DB1AEE">
        <w:rPr>
          <w:spacing w:val="42"/>
          <w:szCs w:val="24"/>
          <w:u w:val="single"/>
        </w:rPr>
        <w:t xml:space="preserve"> </w:t>
      </w:r>
      <w:r w:rsidRPr="00DB1AEE">
        <w:rPr>
          <w:szCs w:val="24"/>
          <w:u w:val="single"/>
        </w:rPr>
        <w:t>west-oriented</w:t>
      </w:r>
      <w:r w:rsidRPr="00DB1AEE">
        <w:rPr>
          <w:spacing w:val="-18"/>
          <w:szCs w:val="24"/>
          <w:u w:val="single"/>
        </w:rPr>
        <w:t xml:space="preserve"> </w:t>
      </w:r>
      <w:r w:rsidRPr="00DB1AEE">
        <w:rPr>
          <w:i/>
          <w:szCs w:val="24"/>
          <w:u w:val="single"/>
        </w:rPr>
        <w:t>vertical</w:t>
      </w:r>
      <w:r w:rsidRPr="00DB1AEE">
        <w:rPr>
          <w:i/>
          <w:spacing w:val="-19"/>
          <w:szCs w:val="24"/>
          <w:u w:val="single"/>
        </w:rPr>
        <w:t xml:space="preserve"> </w:t>
      </w:r>
      <w:r w:rsidRPr="00DB1AEE">
        <w:rPr>
          <w:i/>
          <w:szCs w:val="24"/>
          <w:u w:val="single"/>
        </w:rPr>
        <w:t>fenestration</w:t>
      </w:r>
      <w:r w:rsidRPr="00DB1AEE">
        <w:rPr>
          <w:i/>
          <w:spacing w:val="-19"/>
          <w:szCs w:val="24"/>
          <w:u w:val="single"/>
        </w:rPr>
        <w:t xml:space="preserve"> </w:t>
      </w:r>
      <w:r w:rsidRPr="00DB1AEE">
        <w:rPr>
          <w:i/>
          <w:szCs w:val="24"/>
          <w:u w:val="single"/>
        </w:rPr>
        <w:t>area</w:t>
      </w:r>
      <w:r w:rsidRPr="00DB1AEE">
        <w:rPr>
          <w:i/>
          <w:spacing w:val="-20"/>
          <w:szCs w:val="24"/>
          <w:u w:val="single"/>
        </w:rPr>
        <w:t xml:space="preserve"> </w:t>
      </w:r>
    </w:p>
    <w:p w14:paraId="5B82ADF4" w14:textId="77777777" w:rsidR="00DB1AEE" w:rsidRPr="00DB1AEE" w:rsidRDefault="00DB1AEE" w:rsidP="00DB1AEE">
      <w:pPr>
        <w:tabs>
          <w:tab w:val="left" w:pos="3815"/>
        </w:tabs>
        <w:suppressAutoHyphens/>
        <w:ind w:left="1853" w:hanging="720"/>
        <w:rPr>
          <w:i/>
          <w:szCs w:val="24"/>
          <w:u w:val="single"/>
        </w:rPr>
      </w:pPr>
      <w:r w:rsidRPr="00DB1AEE">
        <w:rPr>
          <w:i/>
          <w:szCs w:val="24"/>
          <w:u w:val="single"/>
        </w:rPr>
        <w:t>A</w:t>
      </w:r>
      <w:r w:rsidRPr="00DB1AEE">
        <w:rPr>
          <w:i/>
          <w:position w:val="-5"/>
          <w:szCs w:val="24"/>
          <w:u w:val="single"/>
        </w:rPr>
        <w:t xml:space="preserve">e </w:t>
      </w:r>
      <w:r w:rsidRPr="00DB1AEE">
        <w:rPr>
          <w:szCs w:val="24"/>
          <w:u w:val="single"/>
        </w:rPr>
        <w:t xml:space="preserve">= east-oriented </w:t>
      </w:r>
      <w:r w:rsidRPr="00DB1AEE">
        <w:rPr>
          <w:i/>
          <w:szCs w:val="24"/>
          <w:u w:val="single"/>
        </w:rPr>
        <w:t xml:space="preserve">vertical fenestration area </w:t>
      </w:r>
    </w:p>
    <w:p w14:paraId="3F584C79" w14:textId="77777777" w:rsidR="00DB1AEE" w:rsidRPr="00DB1AEE" w:rsidRDefault="00DB1AEE" w:rsidP="00DB1AEE">
      <w:pPr>
        <w:tabs>
          <w:tab w:val="left" w:pos="3815"/>
        </w:tabs>
        <w:suppressAutoHyphens/>
        <w:ind w:left="1853" w:hanging="720"/>
        <w:rPr>
          <w:i/>
          <w:szCs w:val="24"/>
          <w:u w:val="single"/>
        </w:rPr>
      </w:pPr>
      <w:r w:rsidRPr="00DB1AEE">
        <w:rPr>
          <w:i/>
          <w:szCs w:val="24"/>
          <w:u w:val="single"/>
        </w:rPr>
        <w:t>A</w:t>
      </w:r>
      <w:r w:rsidRPr="00DB1AEE">
        <w:rPr>
          <w:i/>
          <w:position w:val="-5"/>
          <w:szCs w:val="24"/>
          <w:u w:val="single"/>
        </w:rPr>
        <w:t xml:space="preserve">T </w:t>
      </w:r>
      <w:r w:rsidRPr="00DB1AEE">
        <w:rPr>
          <w:szCs w:val="24"/>
          <w:u w:val="single"/>
        </w:rPr>
        <w:t xml:space="preserve">= total </w:t>
      </w:r>
      <w:r w:rsidRPr="00DB1AEE">
        <w:rPr>
          <w:i/>
          <w:szCs w:val="24"/>
          <w:u w:val="single"/>
        </w:rPr>
        <w:t>vertical fenestration</w:t>
      </w:r>
      <w:r w:rsidRPr="00DB1AEE">
        <w:rPr>
          <w:i/>
          <w:spacing w:val="-3"/>
          <w:szCs w:val="24"/>
          <w:u w:val="single"/>
        </w:rPr>
        <w:t xml:space="preserve"> </w:t>
      </w:r>
      <w:r w:rsidRPr="00DB1AEE">
        <w:rPr>
          <w:i/>
          <w:szCs w:val="24"/>
          <w:u w:val="single"/>
        </w:rPr>
        <w:t>area</w:t>
      </w:r>
    </w:p>
    <w:p w14:paraId="397A87D6" w14:textId="77777777" w:rsidR="00DB1AEE" w:rsidRPr="00DB1AEE" w:rsidRDefault="00DB1AEE" w:rsidP="00DB1AEE">
      <w:pPr>
        <w:tabs>
          <w:tab w:val="left" w:pos="3815"/>
        </w:tabs>
        <w:suppressAutoHyphens/>
        <w:ind w:left="1853" w:hanging="720"/>
        <w:rPr>
          <w:szCs w:val="24"/>
          <w:u w:val="single"/>
        </w:rPr>
      </w:pPr>
      <w:r w:rsidRPr="00DB1AEE">
        <w:rPr>
          <w:i/>
          <w:szCs w:val="24"/>
          <w:u w:val="single"/>
        </w:rPr>
        <w:t>SHGC</w:t>
      </w:r>
      <w:r w:rsidRPr="00DB1AEE">
        <w:rPr>
          <w:i/>
          <w:position w:val="-4"/>
          <w:szCs w:val="24"/>
          <w:u w:val="single"/>
        </w:rPr>
        <w:t xml:space="preserve">C </w:t>
      </w:r>
      <w:r w:rsidRPr="00DB1AEE">
        <w:rPr>
          <w:szCs w:val="24"/>
          <w:u w:val="single"/>
        </w:rPr>
        <w:t xml:space="preserve">=  </w:t>
      </w:r>
      <w:r w:rsidRPr="00DB1AEE">
        <w:rPr>
          <w:i/>
          <w:szCs w:val="24"/>
          <w:u w:val="single"/>
        </w:rPr>
        <w:t xml:space="preserve">SHGC </w:t>
      </w:r>
      <w:r w:rsidRPr="00DB1AEE">
        <w:rPr>
          <w:szCs w:val="24"/>
          <w:u w:val="single"/>
        </w:rPr>
        <w:t xml:space="preserve">criteria in Tables 5.5-4 for each climate zone </w:t>
      </w:r>
    </w:p>
    <w:p w14:paraId="2CB9FA54" w14:textId="77777777" w:rsidR="00DB1AEE" w:rsidRPr="00DB1AEE" w:rsidRDefault="00DB1AEE" w:rsidP="00DB1AEE">
      <w:pPr>
        <w:tabs>
          <w:tab w:val="left" w:pos="3815"/>
        </w:tabs>
        <w:suppressAutoHyphens/>
        <w:ind w:left="1853" w:hanging="720"/>
        <w:rPr>
          <w:szCs w:val="24"/>
          <w:u w:val="single"/>
        </w:rPr>
      </w:pPr>
      <w:r w:rsidRPr="00DB1AEE">
        <w:rPr>
          <w:i/>
          <w:szCs w:val="24"/>
          <w:u w:val="single"/>
        </w:rPr>
        <w:t>SHGC</w:t>
      </w:r>
      <w:r w:rsidRPr="00DB1AEE">
        <w:rPr>
          <w:i/>
          <w:position w:val="-4"/>
          <w:szCs w:val="24"/>
          <w:u w:val="single"/>
        </w:rPr>
        <w:t xml:space="preserve">E </w:t>
      </w:r>
      <w:r w:rsidRPr="00DB1AEE">
        <w:rPr>
          <w:szCs w:val="24"/>
          <w:u w:val="single"/>
        </w:rPr>
        <w:t xml:space="preserve">= </w:t>
      </w:r>
      <w:r w:rsidRPr="00DB1AEE">
        <w:rPr>
          <w:i/>
          <w:szCs w:val="24"/>
          <w:u w:val="single"/>
        </w:rPr>
        <w:t xml:space="preserve">SHGC </w:t>
      </w:r>
      <w:r w:rsidRPr="00DB1AEE">
        <w:rPr>
          <w:szCs w:val="24"/>
          <w:u w:val="single"/>
        </w:rPr>
        <w:t xml:space="preserve">for east-oriented </w:t>
      </w:r>
      <w:r w:rsidRPr="00DB1AEE">
        <w:rPr>
          <w:i/>
          <w:szCs w:val="24"/>
          <w:u w:val="single"/>
        </w:rPr>
        <w:t xml:space="preserve">fenestration </w:t>
      </w:r>
      <w:r w:rsidRPr="00DB1AEE">
        <w:rPr>
          <w:szCs w:val="24"/>
          <w:u w:val="single"/>
        </w:rPr>
        <w:t>that complies with Section 5.5.4.4.1</w:t>
      </w:r>
    </w:p>
    <w:p w14:paraId="75C53D55" w14:textId="77777777" w:rsidR="00DB1AEE" w:rsidRPr="00DB1AEE" w:rsidRDefault="00DB1AEE" w:rsidP="00DB1AEE">
      <w:pPr>
        <w:tabs>
          <w:tab w:val="left" w:pos="3815"/>
        </w:tabs>
        <w:suppressAutoHyphens/>
        <w:ind w:left="1853" w:hanging="720"/>
        <w:rPr>
          <w:szCs w:val="24"/>
          <w:u w:val="single"/>
        </w:rPr>
      </w:pPr>
      <w:r w:rsidRPr="00DB1AEE">
        <w:rPr>
          <w:i/>
          <w:szCs w:val="24"/>
          <w:u w:val="single"/>
        </w:rPr>
        <w:t>SHGC</w:t>
      </w:r>
      <w:r w:rsidRPr="00DB1AEE">
        <w:rPr>
          <w:i/>
          <w:position w:val="-4"/>
          <w:szCs w:val="24"/>
          <w:u w:val="single"/>
        </w:rPr>
        <w:t xml:space="preserve">W </w:t>
      </w:r>
      <w:r w:rsidRPr="00DB1AEE">
        <w:rPr>
          <w:szCs w:val="24"/>
          <w:u w:val="single"/>
        </w:rPr>
        <w:t xml:space="preserve">= </w:t>
      </w:r>
      <w:r w:rsidRPr="00DB1AEE">
        <w:rPr>
          <w:i/>
          <w:szCs w:val="24"/>
          <w:u w:val="single"/>
        </w:rPr>
        <w:t xml:space="preserve">SHGC </w:t>
      </w:r>
      <w:r w:rsidRPr="00DB1AEE">
        <w:rPr>
          <w:szCs w:val="24"/>
          <w:u w:val="single"/>
        </w:rPr>
        <w:t xml:space="preserve">for west-oriented </w:t>
      </w:r>
      <w:r w:rsidRPr="00DB1AEE">
        <w:rPr>
          <w:i/>
          <w:szCs w:val="24"/>
          <w:u w:val="single"/>
        </w:rPr>
        <w:t xml:space="preserve">fenestration </w:t>
      </w:r>
      <w:r w:rsidRPr="00DB1AEE">
        <w:rPr>
          <w:szCs w:val="24"/>
          <w:u w:val="single"/>
        </w:rPr>
        <w:t>that complies with Section</w:t>
      </w:r>
      <w:r w:rsidRPr="00DB1AEE">
        <w:rPr>
          <w:spacing w:val="2"/>
          <w:szCs w:val="24"/>
          <w:u w:val="single"/>
        </w:rPr>
        <w:t xml:space="preserve"> </w:t>
      </w:r>
      <w:r w:rsidRPr="00DB1AEE">
        <w:rPr>
          <w:szCs w:val="24"/>
          <w:u w:val="single"/>
        </w:rPr>
        <w:t>5.5.4.4.1</w:t>
      </w:r>
    </w:p>
    <w:p w14:paraId="2ACED766" w14:textId="77777777" w:rsidR="00DB1AEE" w:rsidRPr="00DB1AEE" w:rsidRDefault="00DB1AEE" w:rsidP="00DB1AEE">
      <w:pPr>
        <w:suppressAutoHyphens/>
        <w:ind w:left="650"/>
        <w:jc w:val="left"/>
        <w:rPr>
          <w:b/>
          <w:szCs w:val="24"/>
          <w:u w:val="single"/>
        </w:rPr>
      </w:pPr>
      <w:r w:rsidRPr="00DB1AEE">
        <w:rPr>
          <w:b/>
          <w:szCs w:val="24"/>
          <w:u w:val="single"/>
        </w:rPr>
        <w:t>Exceptions to Section 5.5.4.5</w:t>
      </w:r>
    </w:p>
    <w:p w14:paraId="5C2A1EB9" w14:textId="77777777" w:rsidR="00DB1AEE" w:rsidRPr="00DB1AEE" w:rsidRDefault="00DB1AEE" w:rsidP="00DB1AEE">
      <w:pPr>
        <w:tabs>
          <w:tab w:val="left" w:pos="3744"/>
        </w:tabs>
        <w:suppressAutoHyphens/>
        <w:ind w:left="938" w:hanging="288"/>
        <w:jc w:val="left"/>
        <w:rPr>
          <w:szCs w:val="24"/>
          <w:u w:val="single"/>
        </w:rPr>
      </w:pPr>
      <w:r w:rsidRPr="00DB1AEE">
        <w:rPr>
          <w:spacing w:val="-12"/>
          <w:szCs w:val="24"/>
          <w:u w:val="single"/>
        </w:rPr>
        <w:t>1.</w:t>
      </w:r>
      <w:r w:rsidRPr="00DB1AEE">
        <w:rPr>
          <w:spacing w:val="-12"/>
          <w:szCs w:val="24"/>
          <w:u w:val="single"/>
        </w:rPr>
        <w:tab/>
      </w:r>
      <w:r w:rsidRPr="00DB1AEE">
        <w:rPr>
          <w:i/>
          <w:szCs w:val="24"/>
          <w:u w:val="single"/>
        </w:rPr>
        <w:t xml:space="preserve">Vertical fenestration </w:t>
      </w:r>
      <w:r w:rsidRPr="00DB1AEE">
        <w:rPr>
          <w:szCs w:val="24"/>
          <w:u w:val="single"/>
        </w:rPr>
        <w:t xml:space="preserve">that complies with Section </w:t>
      </w:r>
      <w:hyperlink w:anchor="_bookmark66" w:history="1">
        <w:r w:rsidRPr="00DB1AEE">
          <w:rPr>
            <w:szCs w:val="24"/>
            <w:u w:val="single"/>
          </w:rPr>
          <w:t>5.5.4.4.1</w:t>
        </w:r>
      </w:hyperlink>
      <w:r w:rsidRPr="00DB1AEE">
        <w:rPr>
          <w:szCs w:val="24"/>
          <w:u w:val="single"/>
        </w:rPr>
        <w:t>, Exception</w:t>
      </w:r>
      <w:r w:rsidRPr="00DB1AEE">
        <w:rPr>
          <w:spacing w:val="-4"/>
          <w:szCs w:val="24"/>
          <w:u w:val="single"/>
        </w:rPr>
        <w:t xml:space="preserve"> </w:t>
      </w:r>
      <w:r w:rsidRPr="00DB1AEE">
        <w:rPr>
          <w:szCs w:val="24"/>
          <w:u w:val="single"/>
        </w:rPr>
        <w:t>(3).</w:t>
      </w:r>
    </w:p>
    <w:p w14:paraId="56E981A9" w14:textId="77777777" w:rsidR="00DB1AEE" w:rsidRPr="00DB1AEE" w:rsidRDefault="00DB1AEE" w:rsidP="00DB1AEE">
      <w:pPr>
        <w:tabs>
          <w:tab w:val="left" w:pos="3744"/>
        </w:tabs>
        <w:suppressAutoHyphens/>
        <w:ind w:left="938" w:hanging="288"/>
        <w:jc w:val="left"/>
        <w:rPr>
          <w:i/>
          <w:szCs w:val="24"/>
          <w:u w:val="single"/>
        </w:rPr>
      </w:pPr>
      <w:r w:rsidRPr="00DB1AEE">
        <w:rPr>
          <w:i/>
          <w:spacing w:val="-12"/>
          <w:szCs w:val="24"/>
          <w:u w:val="single"/>
        </w:rPr>
        <w:t>2.</w:t>
      </w:r>
      <w:r w:rsidRPr="00DB1AEE">
        <w:rPr>
          <w:i/>
          <w:spacing w:val="-12"/>
          <w:szCs w:val="24"/>
          <w:u w:val="single"/>
        </w:rPr>
        <w:tab/>
      </w:r>
      <w:r w:rsidRPr="00DB1AEE">
        <w:rPr>
          <w:i/>
          <w:szCs w:val="24"/>
          <w:u w:val="single"/>
        </w:rPr>
        <w:t>Buildings</w:t>
      </w:r>
      <w:r w:rsidRPr="00DB1AEE">
        <w:rPr>
          <w:i/>
          <w:spacing w:val="25"/>
          <w:szCs w:val="24"/>
          <w:u w:val="single"/>
        </w:rPr>
        <w:t xml:space="preserve"> </w:t>
      </w:r>
      <w:r w:rsidRPr="00DB1AEE">
        <w:rPr>
          <w:szCs w:val="24"/>
          <w:u w:val="single"/>
        </w:rPr>
        <w:t>with</w:t>
      </w:r>
      <w:r w:rsidRPr="00DB1AEE">
        <w:rPr>
          <w:spacing w:val="25"/>
          <w:szCs w:val="24"/>
          <w:u w:val="single"/>
        </w:rPr>
        <w:t xml:space="preserve"> </w:t>
      </w:r>
      <w:r w:rsidRPr="00DB1AEE">
        <w:rPr>
          <w:szCs w:val="24"/>
          <w:u w:val="single"/>
        </w:rPr>
        <w:t>shade</w:t>
      </w:r>
      <w:r w:rsidRPr="00DB1AEE">
        <w:rPr>
          <w:spacing w:val="25"/>
          <w:szCs w:val="24"/>
          <w:u w:val="single"/>
        </w:rPr>
        <w:t xml:space="preserve"> </w:t>
      </w:r>
      <w:r w:rsidRPr="00DB1AEE">
        <w:rPr>
          <w:szCs w:val="24"/>
          <w:u w:val="single"/>
        </w:rPr>
        <w:t>on</w:t>
      </w:r>
      <w:r w:rsidRPr="00DB1AEE">
        <w:rPr>
          <w:spacing w:val="25"/>
          <w:szCs w:val="24"/>
          <w:u w:val="single"/>
        </w:rPr>
        <w:t xml:space="preserve"> </w:t>
      </w:r>
      <w:r w:rsidRPr="00DB1AEE">
        <w:rPr>
          <w:szCs w:val="24"/>
          <w:u w:val="single"/>
        </w:rPr>
        <w:t>75%</w:t>
      </w:r>
      <w:r w:rsidRPr="00DB1AEE">
        <w:rPr>
          <w:spacing w:val="25"/>
          <w:szCs w:val="24"/>
          <w:u w:val="single"/>
        </w:rPr>
        <w:t xml:space="preserve"> </w:t>
      </w:r>
      <w:r w:rsidRPr="00DB1AEE">
        <w:rPr>
          <w:szCs w:val="24"/>
          <w:u w:val="single"/>
        </w:rPr>
        <w:t>of</w:t>
      </w:r>
      <w:r w:rsidRPr="00DB1AEE">
        <w:rPr>
          <w:spacing w:val="25"/>
          <w:szCs w:val="24"/>
          <w:u w:val="single"/>
        </w:rPr>
        <w:t xml:space="preserve"> </w:t>
      </w:r>
      <w:r w:rsidRPr="00DB1AEE">
        <w:rPr>
          <w:szCs w:val="24"/>
          <w:u w:val="single"/>
        </w:rPr>
        <w:t>the</w:t>
      </w:r>
      <w:r w:rsidRPr="00DB1AEE">
        <w:rPr>
          <w:spacing w:val="25"/>
          <w:szCs w:val="24"/>
          <w:u w:val="single"/>
        </w:rPr>
        <w:t xml:space="preserve"> </w:t>
      </w:r>
      <w:r w:rsidRPr="00DB1AEE">
        <w:rPr>
          <w:szCs w:val="24"/>
          <w:u w:val="single"/>
        </w:rPr>
        <w:t>east-</w:t>
      </w:r>
      <w:r w:rsidRPr="00DB1AEE">
        <w:rPr>
          <w:spacing w:val="25"/>
          <w:szCs w:val="24"/>
          <w:u w:val="single"/>
        </w:rPr>
        <w:t xml:space="preserve"> </w:t>
      </w:r>
      <w:r w:rsidRPr="00DB1AEE">
        <w:rPr>
          <w:szCs w:val="24"/>
          <w:u w:val="single"/>
        </w:rPr>
        <w:t>and</w:t>
      </w:r>
      <w:r w:rsidRPr="00DB1AEE">
        <w:rPr>
          <w:spacing w:val="25"/>
          <w:szCs w:val="24"/>
          <w:u w:val="single"/>
        </w:rPr>
        <w:t xml:space="preserve"> </w:t>
      </w:r>
      <w:r w:rsidRPr="00DB1AEE">
        <w:rPr>
          <w:szCs w:val="24"/>
          <w:u w:val="single"/>
        </w:rPr>
        <w:t>west-oriented</w:t>
      </w:r>
      <w:r w:rsidRPr="00DB1AEE">
        <w:rPr>
          <w:spacing w:val="26"/>
          <w:szCs w:val="24"/>
          <w:u w:val="single"/>
        </w:rPr>
        <w:t xml:space="preserve"> </w:t>
      </w:r>
      <w:r w:rsidRPr="00DB1AEE">
        <w:rPr>
          <w:i/>
          <w:szCs w:val="24"/>
          <w:u w:val="single"/>
        </w:rPr>
        <w:t>vertical</w:t>
      </w:r>
      <w:r w:rsidRPr="00DB1AEE">
        <w:rPr>
          <w:i/>
          <w:spacing w:val="25"/>
          <w:szCs w:val="24"/>
          <w:u w:val="single"/>
        </w:rPr>
        <w:t xml:space="preserve"> </w:t>
      </w:r>
      <w:r w:rsidRPr="00DB1AEE">
        <w:rPr>
          <w:i/>
          <w:szCs w:val="24"/>
          <w:u w:val="single"/>
        </w:rPr>
        <w:t>fenestration</w:t>
      </w:r>
      <w:r w:rsidRPr="00DB1AEE">
        <w:rPr>
          <w:i/>
          <w:spacing w:val="25"/>
          <w:szCs w:val="24"/>
          <w:u w:val="single"/>
        </w:rPr>
        <w:t xml:space="preserve"> </w:t>
      </w:r>
      <w:r w:rsidRPr="00DB1AEE">
        <w:rPr>
          <w:i/>
          <w:szCs w:val="24"/>
          <w:u w:val="single"/>
        </w:rPr>
        <w:t>areas</w:t>
      </w:r>
    </w:p>
    <w:p w14:paraId="57202428" w14:textId="77777777" w:rsidR="00DB1AEE" w:rsidRPr="00DB1AEE" w:rsidRDefault="00DB1AEE" w:rsidP="00DB1AEE">
      <w:pPr>
        <w:suppressAutoHyphens/>
        <w:ind w:left="938"/>
        <w:jc w:val="left"/>
        <w:rPr>
          <w:szCs w:val="24"/>
          <w:u w:val="single"/>
        </w:rPr>
      </w:pPr>
      <w:r w:rsidRPr="00DB1AEE">
        <w:rPr>
          <w:szCs w:val="24"/>
          <w:u w:val="single"/>
        </w:rPr>
        <w:t xml:space="preserve">from permanent projections, </w:t>
      </w:r>
      <w:r w:rsidRPr="00DB1AEE">
        <w:rPr>
          <w:i/>
          <w:szCs w:val="24"/>
          <w:u w:val="single"/>
        </w:rPr>
        <w:t>existing buildings</w:t>
      </w:r>
      <w:r w:rsidRPr="00DB1AEE">
        <w:rPr>
          <w:szCs w:val="24"/>
          <w:u w:val="single"/>
        </w:rPr>
        <w:t>, existing permanent infrastructure, or</w:t>
      </w:r>
    </w:p>
    <w:p w14:paraId="071804BA" w14:textId="77777777" w:rsidR="00DB1AEE" w:rsidRPr="00DB1AEE" w:rsidRDefault="00DB1AEE" w:rsidP="00DB1AEE">
      <w:pPr>
        <w:suppressAutoHyphens/>
        <w:ind w:left="938"/>
        <w:rPr>
          <w:szCs w:val="24"/>
          <w:u w:val="single"/>
        </w:rPr>
      </w:pPr>
      <w:r w:rsidRPr="00DB1AEE">
        <w:rPr>
          <w:szCs w:val="24"/>
          <w:u w:val="single"/>
        </w:rPr>
        <w:t>topography</w:t>
      </w:r>
      <w:r w:rsidRPr="00DB1AEE">
        <w:rPr>
          <w:spacing w:val="-7"/>
          <w:szCs w:val="24"/>
          <w:u w:val="single"/>
        </w:rPr>
        <w:t xml:space="preserve"> </w:t>
      </w:r>
      <w:r w:rsidRPr="00DB1AEE">
        <w:rPr>
          <w:szCs w:val="24"/>
          <w:u w:val="single"/>
        </w:rPr>
        <w:t>at</w:t>
      </w:r>
      <w:r w:rsidRPr="00DB1AEE">
        <w:rPr>
          <w:spacing w:val="-7"/>
          <w:szCs w:val="24"/>
          <w:u w:val="single"/>
        </w:rPr>
        <w:t xml:space="preserve"> </w:t>
      </w:r>
      <w:r w:rsidRPr="00DB1AEE">
        <w:rPr>
          <w:szCs w:val="24"/>
          <w:u w:val="single"/>
        </w:rPr>
        <w:t>9</w:t>
      </w:r>
      <w:r w:rsidRPr="00DB1AEE">
        <w:rPr>
          <w:spacing w:val="-7"/>
          <w:szCs w:val="24"/>
          <w:u w:val="single"/>
        </w:rPr>
        <w:t xml:space="preserve"> </w:t>
      </w:r>
      <w:r w:rsidRPr="00DB1AEE">
        <w:rPr>
          <w:szCs w:val="24"/>
          <w:u w:val="single"/>
        </w:rPr>
        <w:t>a.m.</w:t>
      </w:r>
      <w:r w:rsidRPr="00DB1AEE">
        <w:rPr>
          <w:spacing w:val="-6"/>
          <w:szCs w:val="24"/>
          <w:u w:val="single"/>
        </w:rPr>
        <w:t xml:space="preserve"> </w:t>
      </w:r>
      <w:r w:rsidRPr="00DB1AEE">
        <w:rPr>
          <w:szCs w:val="24"/>
          <w:u w:val="single"/>
        </w:rPr>
        <w:t>and</w:t>
      </w:r>
      <w:r w:rsidRPr="00DB1AEE">
        <w:rPr>
          <w:spacing w:val="-7"/>
          <w:szCs w:val="24"/>
          <w:u w:val="single"/>
        </w:rPr>
        <w:t xml:space="preserve"> </w:t>
      </w:r>
      <w:r w:rsidRPr="00DB1AEE">
        <w:rPr>
          <w:szCs w:val="24"/>
          <w:u w:val="single"/>
        </w:rPr>
        <w:t>3</w:t>
      </w:r>
      <w:r w:rsidRPr="00DB1AEE">
        <w:rPr>
          <w:spacing w:val="-7"/>
          <w:szCs w:val="24"/>
          <w:u w:val="single"/>
        </w:rPr>
        <w:t xml:space="preserve"> </w:t>
      </w:r>
      <w:r w:rsidRPr="00DB1AEE">
        <w:rPr>
          <w:szCs w:val="24"/>
          <w:u w:val="single"/>
        </w:rPr>
        <w:t>p.m.,</w:t>
      </w:r>
      <w:r w:rsidRPr="00DB1AEE">
        <w:rPr>
          <w:spacing w:val="-7"/>
          <w:szCs w:val="24"/>
          <w:u w:val="single"/>
        </w:rPr>
        <w:t xml:space="preserve"> </w:t>
      </w:r>
      <w:r w:rsidRPr="00DB1AEE">
        <w:rPr>
          <w:szCs w:val="24"/>
          <w:u w:val="single"/>
        </w:rPr>
        <w:t>respectively,</w:t>
      </w:r>
      <w:r w:rsidRPr="00DB1AEE">
        <w:rPr>
          <w:spacing w:val="-6"/>
          <w:szCs w:val="24"/>
          <w:u w:val="single"/>
        </w:rPr>
        <w:t xml:space="preserve"> </w:t>
      </w:r>
      <w:r w:rsidRPr="00DB1AEE">
        <w:rPr>
          <w:szCs w:val="24"/>
          <w:u w:val="single"/>
        </w:rPr>
        <w:t>on</w:t>
      </w:r>
      <w:r w:rsidRPr="00DB1AEE">
        <w:rPr>
          <w:spacing w:val="-7"/>
          <w:szCs w:val="24"/>
          <w:u w:val="single"/>
        </w:rPr>
        <w:t xml:space="preserve"> </w:t>
      </w:r>
      <w:r w:rsidRPr="00DB1AEE">
        <w:rPr>
          <w:szCs w:val="24"/>
          <w:u w:val="single"/>
        </w:rPr>
        <w:t>the</w:t>
      </w:r>
      <w:r w:rsidRPr="00DB1AEE">
        <w:rPr>
          <w:spacing w:val="-7"/>
          <w:szCs w:val="24"/>
          <w:u w:val="single"/>
        </w:rPr>
        <w:t xml:space="preserve"> </w:t>
      </w:r>
      <w:r w:rsidRPr="00DB1AEE">
        <w:rPr>
          <w:szCs w:val="24"/>
          <w:u w:val="single"/>
        </w:rPr>
        <w:t>summer</w:t>
      </w:r>
      <w:r w:rsidRPr="00DB1AEE">
        <w:rPr>
          <w:spacing w:val="-6"/>
          <w:szCs w:val="24"/>
          <w:u w:val="single"/>
        </w:rPr>
        <w:t xml:space="preserve"> </w:t>
      </w:r>
      <w:r w:rsidRPr="00DB1AEE">
        <w:rPr>
          <w:szCs w:val="24"/>
          <w:u w:val="single"/>
        </w:rPr>
        <w:t>solstice</w:t>
      </w:r>
      <w:r w:rsidRPr="00DB1AEE">
        <w:rPr>
          <w:spacing w:val="-7"/>
          <w:szCs w:val="24"/>
          <w:u w:val="single"/>
        </w:rPr>
        <w:t xml:space="preserve"> </w:t>
      </w:r>
      <w:r w:rsidRPr="00DB1AEE">
        <w:rPr>
          <w:szCs w:val="24"/>
          <w:u w:val="single"/>
        </w:rPr>
        <w:t>(June</w:t>
      </w:r>
      <w:r w:rsidRPr="00DB1AEE">
        <w:rPr>
          <w:spacing w:val="-7"/>
          <w:szCs w:val="24"/>
          <w:u w:val="single"/>
        </w:rPr>
        <w:t xml:space="preserve"> </w:t>
      </w:r>
      <w:r w:rsidRPr="00DB1AEE">
        <w:rPr>
          <w:szCs w:val="24"/>
          <w:u w:val="single"/>
        </w:rPr>
        <w:t>21</w:t>
      </w:r>
      <w:r w:rsidRPr="00DB1AEE">
        <w:rPr>
          <w:spacing w:val="-7"/>
          <w:szCs w:val="24"/>
          <w:u w:val="single"/>
        </w:rPr>
        <w:t xml:space="preserve"> </w:t>
      </w:r>
      <w:r w:rsidRPr="00DB1AEE">
        <w:rPr>
          <w:szCs w:val="24"/>
          <w:u w:val="single"/>
        </w:rPr>
        <w:t>in</w:t>
      </w:r>
      <w:r w:rsidRPr="00DB1AEE">
        <w:rPr>
          <w:spacing w:val="-6"/>
          <w:szCs w:val="24"/>
          <w:u w:val="single"/>
        </w:rPr>
        <w:t xml:space="preserve"> </w:t>
      </w:r>
      <w:r w:rsidRPr="00DB1AEE">
        <w:rPr>
          <w:szCs w:val="24"/>
          <w:u w:val="single"/>
        </w:rPr>
        <w:t>the</w:t>
      </w:r>
      <w:r w:rsidRPr="00DB1AEE">
        <w:rPr>
          <w:spacing w:val="-7"/>
          <w:szCs w:val="24"/>
          <w:u w:val="single"/>
        </w:rPr>
        <w:t xml:space="preserve"> </w:t>
      </w:r>
      <w:r w:rsidRPr="00DB1AEE">
        <w:rPr>
          <w:szCs w:val="24"/>
          <w:u w:val="single"/>
        </w:rPr>
        <w:t>north- ern hemisphere).</w:t>
      </w:r>
    </w:p>
    <w:p w14:paraId="3F7A0027" w14:textId="77777777" w:rsidR="00DB1AEE" w:rsidRPr="00DB1AEE" w:rsidRDefault="00DB1AEE" w:rsidP="00DB1AEE">
      <w:pPr>
        <w:tabs>
          <w:tab w:val="left" w:pos="3924"/>
        </w:tabs>
        <w:suppressAutoHyphens/>
        <w:ind w:left="938" w:hanging="289"/>
        <w:rPr>
          <w:szCs w:val="24"/>
          <w:u w:val="single"/>
        </w:rPr>
      </w:pPr>
      <w:r w:rsidRPr="00DB1AEE">
        <w:rPr>
          <w:spacing w:val="-12"/>
          <w:szCs w:val="24"/>
          <w:u w:val="single"/>
        </w:rPr>
        <w:t>3.</w:t>
      </w:r>
      <w:r w:rsidRPr="00DB1AEE">
        <w:rPr>
          <w:spacing w:val="-12"/>
          <w:szCs w:val="24"/>
          <w:u w:val="single"/>
        </w:rPr>
        <w:tab/>
      </w:r>
      <w:r w:rsidRPr="00DB1AEE">
        <w:rPr>
          <w:i/>
          <w:szCs w:val="24"/>
          <w:u w:val="single"/>
        </w:rPr>
        <w:t xml:space="preserve">Alterations </w:t>
      </w:r>
      <w:r w:rsidRPr="00DB1AEE">
        <w:rPr>
          <w:szCs w:val="24"/>
          <w:u w:val="single"/>
        </w:rPr>
        <w:t xml:space="preserve">and additions with no increase in </w:t>
      </w:r>
      <w:r w:rsidRPr="00DB1AEE">
        <w:rPr>
          <w:i/>
          <w:szCs w:val="24"/>
          <w:u w:val="single"/>
        </w:rPr>
        <w:t>vertical fenestration</w:t>
      </w:r>
      <w:r w:rsidRPr="00DB1AEE">
        <w:rPr>
          <w:i/>
          <w:spacing w:val="-4"/>
          <w:szCs w:val="24"/>
          <w:u w:val="single"/>
        </w:rPr>
        <w:t xml:space="preserve"> </w:t>
      </w:r>
      <w:r w:rsidRPr="00DB1AEE">
        <w:rPr>
          <w:i/>
          <w:szCs w:val="24"/>
          <w:u w:val="single"/>
        </w:rPr>
        <w:t>area</w:t>
      </w:r>
      <w:r w:rsidRPr="00DB1AEE">
        <w:rPr>
          <w:szCs w:val="24"/>
          <w:u w:val="single"/>
        </w:rPr>
        <w:t>.</w:t>
      </w:r>
    </w:p>
    <w:p w14:paraId="4664B4EE" w14:textId="77777777" w:rsidR="00DB1AEE" w:rsidRPr="00DB1AEE" w:rsidRDefault="00DB1AEE" w:rsidP="00DB1AEE">
      <w:pPr>
        <w:tabs>
          <w:tab w:val="left" w:pos="3924"/>
        </w:tabs>
        <w:suppressAutoHyphens/>
        <w:ind w:left="938" w:hanging="288"/>
        <w:rPr>
          <w:szCs w:val="24"/>
          <w:u w:val="single"/>
        </w:rPr>
      </w:pPr>
      <w:r w:rsidRPr="00DB1AEE">
        <w:rPr>
          <w:spacing w:val="-12"/>
          <w:szCs w:val="24"/>
          <w:u w:val="single"/>
        </w:rPr>
        <w:t>4.</w:t>
      </w:r>
      <w:r w:rsidRPr="00DB1AEE">
        <w:rPr>
          <w:spacing w:val="-12"/>
          <w:szCs w:val="24"/>
          <w:u w:val="single"/>
        </w:rPr>
        <w:tab/>
      </w:r>
      <w:r w:rsidRPr="00DB1AEE">
        <w:rPr>
          <w:i/>
          <w:szCs w:val="24"/>
          <w:u w:val="single"/>
        </w:rPr>
        <w:t>Buildings</w:t>
      </w:r>
      <w:r w:rsidRPr="00DB1AEE">
        <w:rPr>
          <w:i/>
          <w:spacing w:val="-15"/>
          <w:szCs w:val="24"/>
          <w:u w:val="single"/>
        </w:rPr>
        <w:t xml:space="preserve"> </w:t>
      </w:r>
      <w:r w:rsidRPr="00DB1AEE">
        <w:rPr>
          <w:szCs w:val="24"/>
          <w:u w:val="single"/>
        </w:rPr>
        <w:t>where</w:t>
      </w:r>
      <w:r w:rsidRPr="00DB1AEE">
        <w:rPr>
          <w:spacing w:val="-15"/>
          <w:szCs w:val="24"/>
          <w:u w:val="single"/>
        </w:rPr>
        <w:t xml:space="preserve"> </w:t>
      </w:r>
      <w:r w:rsidRPr="00DB1AEE">
        <w:rPr>
          <w:szCs w:val="24"/>
          <w:u w:val="single"/>
        </w:rPr>
        <w:t>the</w:t>
      </w:r>
      <w:r w:rsidRPr="00DB1AEE">
        <w:rPr>
          <w:spacing w:val="-14"/>
          <w:szCs w:val="24"/>
          <w:u w:val="single"/>
        </w:rPr>
        <w:t xml:space="preserve"> </w:t>
      </w:r>
      <w:r w:rsidRPr="00DB1AEE">
        <w:rPr>
          <w:szCs w:val="24"/>
          <w:u w:val="single"/>
        </w:rPr>
        <w:t>west-oriented</w:t>
      </w:r>
      <w:r w:rsidRPr="00DB1AEE">
        <w:rPr>
          <w:spacing w:val="-15"/>
          <w:szCs w:val="24"/>
          <w:u w:val="single"/>
        </w:rPr>
        <w:t xml:space="preserve"> </w:t>
      </w:r>
      <w:r w:rsidRPr="00DB1AEE">
        <w:rPr>
          <w:szCs w:val="24"/>
          <w:u w:val="single"/>
        </w:rPr>
        <w:t>and</w:t>
      </w:r>
      <w:r w:rsidRPr="00DB1AEE">
        <w:rPr>
          <w:spacing w:val="-14"/>
          <w:szCs w:val="24"/>
          <w:u w:val="single"/>
        </w:rPr>
        <w:t xml:space="preserve"> </w:t>
      </w:r>
      <w:r w:rsidRPr="00DB1AEE">
        <w:rPr>
          <w:szCs w:val="24"/>
          <w:u w:val="single"/>
        </w:rPr>
        <w:t>east-oriented</w:t>
      </w:r>
      <w:r w:rsidRPr="00DB1AEE">
        <w:rPr>
          <w:spacing w:val="-15"/>
          <w:szCs w:val="24"/>
          <w:u w:val="single"/>
        </w:rPr>
        <w:t xml:space="preserve"> </w:t>
      </w:r>
      <w:r w:rsidRPr="00DB1AEE">
        <w:rPr>
          <w:i/>
          <w:szCs w:val="24"/>
          <w:u w:val="single"/>
        </w:rPr>
        <w:t>vertical</w:t>
      </w:r>
      <w:r w:rsidRPr="00DB1AEE">
        <w:rPr>
          <w:i/>
          <w:spacing w:val="-15"/>
          <w:szCs w:val="24"/>
          <w:u w:val="single"/>
        </w:rPr>
        <w:t xml:space="preserve"> </w:t>
      </w:r>
      <w:r w:rsidRPr="00DB1AEE">
        <w:rPr>
          <w:i/>
          <w:szCs w:val="24"/>
          <w:u w:val="single"/>
        </w:rPr>
        <w:t>fenestration</w:t>
      </w:r>
      <w:r w:rsidRPr="00DB1AEE">
        <w:rPr>
          <w:i/>
          <w:spacing w:val="-14"/>
          <w:szCs w:val="24"/>
          <w:u w:val="single"/>
        </w:rPr>
        <w:t xml:space="preserve"> </w:t>
      </w:r>
      <w:r w:rsidRPr="00DB1AEE">
        <w:rPr>
          <w:i/>
          <w:szCs w:val="24"/>
          <w:u w:val="single"/>
        </w:rPr>
        <w:t>area</w:t>
      </w:r>
      <w:r w:rsidRPr="00DB1AEE">
        <w:rPr>
          <w:i/>
          <w:spacing w:val="-16"/>
          <w:szCs w:val="24"/>
          <w:u w:val="single"/>
        </w:rPr>
        <w:t xml:space="preserve"> </w:t>
      </w:r>
      <w:r w:rsidRPr="00DB1AEE">
        <w:rPr>
          <w:szCs w:val="24"/>
          <w:u w:val="single"/>
        </w:rPr>
        <w:t>(as</w:t>
      </w:r>
      <w:r w:rsidRPr="00DB1AEE">
        <w:rPr>
          <w:spacing w:val="-15"/>
          <w:szCs w:val="24"/>
          <w:u w:val="single"/>
        </w:rPr>
        <w:t xml:space="preserve"> </w:t>
      </w:r>
      <w:r w:rsidRPr="00DB1AEE">
        <w:rPr>
          <w:szCs w:val="24"/>
          <w:u w:val="single"/>
        </w:rPr>
        <w:t>defined</w:t>
      </w:r>
      <w:r w:rsidRPr="00DB1AEE">
        <w:rPr>
          <w:spacing w:val="-15"/>
          <w:szCs w:val="24"/>
          <w:u w:val="single"/>
        </w:rPr>
        <w:t xml:space="preserve"> </w:t>
      </w:r>
      <w:r w:rsidRPr="00DB1AEE">
        <w:rPr>
          <w:szCs w:val="24"/>
          <w:u w:val="single"/>
        </w:rPr>
        <w:t xml:space="preserve">in Section </w:t>
      </w:r>
      <w:hyperlink w:anchor="_bookmark68" w:history="1">
        <w:r w:rsidRPr="00DB1AEE">
          <w:rPr>
            <w:szCs w:val="24"/>
            <w:u w:val="single"/>
          </w:rPr>
          <w:t>5.5.4.5</w:t>
        </w:r>
      </w:hyperlink>
      <w:r w:rsidRPr="00DB1AEE">
        <w:rPr>
          <w:szCs w:val="24"/>
          <w:u w:val="single"/>
        </w:rPr>
        <w:t xml:space="preserve">) does not exceed 20% of the </w:t>
      </w:r>
      <w:r w:rsidRPr="00DB1AEE">
        <w:rPr>
          <w:i/>
          <w:szCs w:val="24"/>
          <w:u w:val="single"/>
        </w:rPr>
        <w:t xml:space="preserve">gross wall area </w:t>
      </w:r>
      <w:r w:rsidRPr="00DB1AEE">
        <w:rPr>
          <w:szCs w:val="24"/>
          <w:u w:val="single"/>
        </w:rPr>
        <w:t>for each of those façades,</w:t>
      </w:r>
      <w:r w:rsidRPr="00DB1AEE">
        <w:rPr>
          <w:spacing w:val="-22"/>
          <w:szCs w:val="24"/>
          <w:u w:val="single"/>
        </w:rPr>
        <w:t xml:space="preserve"> </w:t>
      </w:r>
      <w:r w:rsidRPr="00DB1AEE">
        <w:rPr>
          <w:szCs w:val="24"/>
          <w:u w:val="single"/>
        </w:rPr>
        <w:t xml:space="preserve">and </w:t>
      </w:r>
      <w:r w:rsidRPr="00DB1AEE">
        <w:rPr>
          <w:i/>
          <w:szCs w:val="24"/>
          <w:u w:val="single"/>
        </w:rPr>
        <w:t>SHGC</w:t>
      </w:r>
      <w:r w:rsidRPr="00DB1AEE">
        <w:rPr>
          <w:i/>
          <w:spacing w:val="-6"/>
          <w:szCs w:val="24"/>
          <w:u w:val="single"/>
        </w:rPr>
        <w:t xml:space="preserve"> </w:t>
      </w:r>
      <w:r w:rsidRPr="00DB1AEE">
        <w:rPr>
          <w:szCs w:val="24"/>
          <w:u w:val="single"/>
        </w:rPr>
        <w:t>on</w:t>
      </w:r>
      <w:r w:rsidRPr="00DB1AEE">
        <w:rPr>
          <w:spacing w:val="-5"/>
          <w:szCs w:val="24"/>
          <w:u w:val="single"/>
        </w:rPr>
        <w:t xml:space="preserve"> </w:t>
      </w:r>
      <w:r w:rsidRPr="00DB1AEE">
        <w:rPr>
          <w:szCs w:val="24"/>
          <w:u w:val="single"/>
        </w:rPr>
        <w:t>those</w:t>
      </w:r>
      <w:r w:rsidRPr="00DB1AEE">
        <w:rPr>
          <w:spacing w:val="-5"/>
          <w:szCs w:val="24"/>
          <w:u w:val="single"/>
        </w:rPr>
        <w:t xml:space="preserve"> </w:t>
      </w:r>
      <w:r w:rsidRPr="00DB1AEE">
        <w:rPr>
          <w:szCs w:val="24"/>
          <w:u w:val="single"/>
        </w:rPr>
        <w:t>facades</w:t>
      </w:r>
      <w:r w:rsidRPr="00DB1AEE">
        <w:rPr>
          <w:spacing w:val="-5"/>
          <w:szCs w:val="24"/>
          <w:u w:val="single"/>
        </w:rPr>
        <w:t xml:space="preserve"> </w:t>
      </w:r>
      <w:r w:rsidRPr="00DB1AEE">
        <w:rPr>
          <w:szCs w:val="24"/>
          <w:u w:val="single"/>
        </w:rPr>
        <w:t>is</w:t>
      </w:r>
      <w:r w:rsidRPr="00DB1AEE">
        <w:rPr>
          <w:spacing w:val="-5"/>
          <w:szCs w:val="24"/>
          <w:u w:val="single"/>
        </w:rPr>
        <w:t xml:space="preserve"> </w:t>
      </w:r>
      <w:r w:rsidRPr="00DB1AEE">
        <w:rPr>
          <w:szCs w:val="24"/>
          <w:u w:val="single"/>
        </w:rPr>
        <w:t>no</w:t>
      </w:r>
      <w:r w:rsidRPr="00DB1AEE">
        <w:rPr>
          <w:spacing w:val="-6"/>
          <w:szCs w:val="24"/>
          <w:u w:val="single"/>
        </w:rPr>
        <w:t xml:space="preserve"> </w:t>
      </w:r>
      <w:r w:rsidRPr="00DB1AEE">
        <w:rPr>
          <w:szCs w:val="24"/>
          <w:u w:val="single"/>
        </w:rPr>
        <w:t>greater</w:t>
      </w:r>
      <w:r w:rsidRPr="00DB1AEE">
        <w:rPr>
          <w:spacing w:val="-5"/>
          <w:szCs w:val="24"/>
          <w:u w:val="single"/>
        </w:rPr>
        <w:t xml:space="preserve"> </w:t>
      </w:r>
      <w:r w:rsidRPr="00DB1AEE">
        <w:rPr>
          <w:szCs w:val="24"/>
          <w:u w:val="single"/>
        </w:rPr>
        <w:t>than</w:t>
      </w:r>
      <w:r w:rsidRPr="00DB1AEE">
        <w:rPr>
          <w:spacing w:val="-5"/>
          <w:szCs w:val="24"/>
          <w:u w:val="single"/>
        </w:rPr>
        <w:t xml:space="preserve"> </w:t>
      </w:r>
      <w:r w:rsidRPr="00DB1AEE">
        <w:rPr>
          <w:szCs w:val="24"/>
          <w:u w:val="single"/>
        </w:rPr>
        <w:t>90%</w:t>
      </w:r>
      <w:r w:rsidRPr="00DB1AEE">
        <w:rPr>
          <w:spacing w:val="-5"/>
          <w:szCs w:val="24"/>
          <w:u w:val="single"/>
        </w:rPr>
        <w:t xml:space="preserve"> </w:t>
      </w:r>
      <w:r w:rsidRPr="00DB1AEE">
        <w:rPr>
          <w:szCs w:val="24"/>
          <w:u w:val="single"/>
        </w:rPr>
        <w:t>of</w:t>
      </w:r>
      <w:r w:rsidRPr="00DB1AEE">
        <w:rPr>
          <w:spacing w:val="-5"/>
          <w:szCs w:val="24"/>
          <w:u w:val="single"/>
        </w:rPr>
        <w:t xml:space="preserve"> </w:t>
      </w:r>
      <w:r w:rsidRPr="00DB1AEE">
        <w:rPr>
          <w:szCs w:val="24"/>
          <w:u w:val="single"/>
        </w:rPr>
        <w:t>the</w:t>
      </w:r>
      <w:r w:rsidRPr="00DB1AEE">
        <w:rPr>
          <w:spacing w:val="-6"/>
          <w:szCs w:val="24"/>
          <w:u w:val="single"/>
        </w:rPr>
        <w:t xml:space="preserve"> </w:t>
      </w:r>
      <w:r w:rsidRPr="00DB1AEE">
        <w:rPr>
          <w:szCs w:val="24"/>
          <w:u w:val="single"/>
        </w:rPr>
        <w:t>criteria</w:t>
      </w:r>
      <w:r w:rsidRPr="00DB1AEE">
        <w:rPr>
          <w:spacing w:val="-5"/>
          <w:szCs w:val="24"/>
          <w:u w:val="single"/>
        </w:rPr>
        <w:t xml:space="preserve"> </w:t>
      </w:r>
      <w:r w:rsidRPr="00DB1AEE">
        <w:rPr>
          <w:szCs w:val="24"/>
          <w:u w:val="single"/>
        </w:rPr>
        <w:t>in</w:t>
      </w:r>
      <w:r w:rsidRPr="00DB1AEE">
        <w:rPr>
          <w:spacing w:val="-6"/>
          <w:szCs w:val="24"/>
          <w:u w:val="single"/>
        </w:rPr>
        <w:t xml:space="preserve"> </w:t>
      </w:r>
      <w:r w:rsidRPr="00DB1AEE">
        <w:rPr>
          <w:szCs w:val="24"/>
          <w:u w:val="single"/>
        </w:rPr>
        <w:t>Table 5.5-4</w:t>
      </w:r>
      <w:r w:rsidRPr="00DB1AEE">
        <w:rPr>
          <w:spacing w:val="-3"/>
          <w:szCs w:val="24"/>
          <w:u w:val="single"/>
        </w:rPr>
        <w:t>.</w:t>
      </w:r>
    </w:p>
    <w:p w14:paraId="207DE35B" w14:textId="77777777" w:rsidR="00DB1AEE" w:rsidRPr="00DB1AEE" w:rsidRDefault="00DB1AEE" w:rsidP="00DB1AEE">
      <w:pPr>
        <w:tabs>
          <w:tab w:val="left" w:pos="3924"/>
        </w:tabs>
        <w:suppressAutoHyphens/>
        <w:ind w:left="938" w:hanging="288"/>
        <w:rPr>
          <w:szCs w:val="24"/>
          <w:u w:val="single"/>
        </w:rPr>
      </w:pPr>
      <w:r w:rsidRPr="00DB1AEE">
        <w:rPr>
          <w:spacing w:val="-12"/>
          <w:szCs w:val="24"/>
          <w:u w:val="single"/>
        </w:rPr>
        <w:t>5.</w:t>
      </w:r>
      <w:r w:rsidRPr="00DB1AEE">
        <w:rPr>
          <w:spacing w:val="-12"/>
          <w:szCs w:val="24"/>
          <w:u w:val="single"/>
        </w:rPr>
        <w:tab/>
      </w:r>
      <w:r w:rsidRPr="00DB1AEE">
        <w:rPr>
          <w:i/>
          <w:szCs w:val="24"/>
          <w:u w:val="single"/>
        </w:rPr>
        <w:t xml:space="preserve">Buildings </w:t>
      </w:r>
      <w:r w:rsidRPr="00DB1AEE">
        <w:rPr>
          <w:szCs w:val="24"/>
          <w:u w:val="single"/>
        </w:rPr>
        <w:t>in Climate Zone</w:t>
      </w:r>
      <w:r w:rsidRPr="00DB1AEE">
        <w:rPr>
          <w:spacing w:val="-1"/>
          <w:szCs w:val="24"/>
          <w:u w:val="single"/>
        </w:rPr>
        <w:t xml:space="preserve"> </w:t>
      </w:r>
      <w:r w:rsidRPr="00DB1AEE">
        <w:rPr>
          <w:szCs w:val="24"/>
          <w:u w:val="single"/>
        </w:rPr>
        <w:t>8.</w:t>
      </w:r>
    </w:p>
    <w:p w14:paraId="1887EC2F" w14:textId="77777777" w:rsidR="00DB1AEE" w:rsidRPr="00DB1AEE" w:rsidRDefault="00DB1AEE" w:rsidP="00DB1AEE">
      <w:pPr>
        <w:widowControl w:val="0"/>
        <w:suppressAutoHyphens/>
        <w:spacing w:before="130" w:after="130"/>
        <w:jc w:val="left"/>
        <w:rPr>
          <w:b/>
          <w:bCs/>
          <w:u w:val="single"/>
        </w:rPr>
      </w:pPr>
      <w:r w:rsidRPr="00DB1AEE">
        <w:rPr>
          <w:b/>
          <w:bCs/>
          <w:u w:val="single"/>
        </w:rPr>
        <w:t>Section 5.5.4.6 Visible Transmittance/SHGC Ratio.</w:t>
      </w:r>
    </w:p>
    <w:p w14:paraId="317C7D8C" w14:textId="77777777" w:rsidR="00DB1AEE" w:rsidRPr="00DB1AEE" w:rsidRDefault="00DB1AEE" w:rsidP="00DB1AEE">
      <w:pPr>
        <w:widowControl w:val="0"/>
        <w:suppressAutoHyphens/>
        <w:spacing w:before="130" w:after="130"/>
        <w:jc w:val="left"/>
        <w:rPr>
          <w:u w:val="single"/>
        </w:rPr>
      </w:pPr>
      <w:r w:rsidRPr="00DB1AEE">
        <w:rPr>
          <w:u w:val="single"/>
        </w:rPr>
        <w:t>Section 5.5.4.6 - Revise the first sentence of  Section 5.5.4.6 to read as follows:</w:t>
      </w:r>
    </w:p>
    <w:p w14:paraId="0FE93FBA" w14:textId="77777777" w:rsidR="00DB1AEE" w:rsidRPr="00DB1AEE" w:rsidRDefault="00DB1AEE" w:rsidP="00DB1AEE">
      <w:pPr>
        <w:widowControl w:val="0"/>
        <w:suppressAutoHyphens/>
        <w:ind w:left="360"/>
        <w:jc w:val="left"/>
        <w:rPr>
          <w:u w:val="single"/>
        </w:rPr>
      </w:pPr>
      <w:r w:rsidRPr="00DB1AEE">
        <w:rPr>
          <w:u w:val="single"/>
        </w:rPr>
        <w:t>Where automatic daylighting controls are required in accordance with Section 9.4.1.1(e) or (f), fenestration shall have a ratio of VT divided by SHGC not less than that specified in Table 5.5-4 for the appropriate fenestration area.</w:t>
      </w:r>
    </w:p>
    <w:p w14:paraId="023E6A36" w14:textId="77777777" w:rsidR="00DB1AEE" w:rsidRPr="00DB1AEE" w:rsidRDefault="00DB1AEE" w:rsidP="00DB1AEE">
      <w:pPr>
        <w:widowControl w:val="0"/>
        <w:suppressAutoHyphens/>
        <w:spacing w:before="130" w:after="130"/>
        <w:jc w:val="left"/>
        <w:rPr>
          <w:b/>
          <w:bCs/>
          <w:u w:val="single"/>
        </w:rPr>
      </w:pPr>
      <w:r w:rsidRPr="00DB1AEE">
        <w:rPr>
          <w:b/>
          <w:bCs/>
          <w:u w:val="single"/>
        </w:rPr>
        <w:t>Section 5.5.5 Linear Thermal Bridges and Point Thermal Bridges.</w:t>
      </w:r>
    </w:p>
    <w:p w14:paraId="2F7D5077" w14:textId="77777777" w:rsidR="00DB1AEE" w:rsidRPr="00DB1AEE" w:rsidRDefault="00DB1AEE" w:rsidP="00DB1AEE">
      <w:pPr>
        <w:widowControl w:val="0"/>
        <w:suppressAutoHyphens/>
        <w:spacing w:before="130" w:after="130"/>
        <w:jc w:val="left"/>
        <w:rPr>
          <w:u w:val="single"/>
        </w:rPr>
      </w:pPr>
      <w:r w:rsidRPr="00DB1AEE">
        <w:rPr>
          <w:u w:val="single"/>
        </w:rPr>
        <w:t>Section 5.5.5 - Revise Section 5.5.5 to read as follows:</w:t>
      </w:r>
    </w:p>
    <w:p w14:paraId="7584BD92" w14:textId="77777777" w:rsidR="00DB1AEE" w:rsidRPr="00DB1AEE" w:rsidRDefault="00DB1AEE" w:rsidP="00DB1AEE">
      <w:pPr>
        <w:widowControl w:val="0"/>
        <w:suppressAutoHyphens/>
        <w:spacing w:before="130" w:after="130"/>
        <w:ind w:left="360"/>
        <w:jc w:val="left"/>
        <w:rPr>
          <w:b/>
          <w:bCs/>
          <w:u w:val="single"/>
        </w:rPr>
      </w:pPr>
      <w:r w:rsidRPr="00DB1AEE">
        <w:rPr>
          <w:b/>
          <w:bCs/>
          <w:u w:val="single"/>
        </w:rPr>
        <w:t>5.5.5 Linear Thermal Bridges and Point Thermal Bridges.</w:t>
      </w:r>
    </w:p>
    <w:p w14:paraId="006980CE" w14:textId="77777777" w:rsidR="00DB1AEE" w:rsidRPr="00DB1AEE" w:rsidRDefault="00DB1AEE" w:rsidP="00DB1AEE">
      <w:pPr>
        <w:widowControl w:val="0"/>
        <w:suppressAutoHyphens/>
        <w:spacing w:before="130" w:after="130"/>
        <w:ind w:left="360"/>
        <w:jc w:val="left"/>
        <w:rPr>
          <w:u w:val="single"/>
        </w:rPr>
      </w:pPr>
      <w:r w:rsidRPr="00DB1AEE">
        <w:rPr>
          <w:u w:val="single"/>
        </w:rPr>
        <w:t>Where linear thermal bridges and point thermal bridges occur as described in Sections 5.5.5.1 through 5.5.5.5, they shall</w:t>
      </w:r>
    </w:p>
    <w:p w14:paraId="6A7F0E90" w14:textId="77777777" w:rsidR="00DB1AEE" w:rsidRPr="00DB1AEE" w:rsidRDefault="00DB1AEE" w:rsidP="00DB1AEE">
      <w:pPr>
        <w:widowControl w:val="0"/>
        <w:suppressAutoHyphens/>
        <w:spacing w:before="130" w:after="130"/>
        <w:ind w:left="360"/>
        <w:jc w:val="left"/>
        <w:rPr>
          <w:u w:val="single"/>
        </w:rPr>
      </w:pPr>
      <w:r w:rsidRPr="00DB1AEE">
        <w:rPr>
          <w:u w:val="single"/>
        </w:rPr>
        <w:t>a. comply with the applicable requirements of Sections 5.5.5.1 through 5.5.5.5 or</w:t>
      </w:r>
    </w:p>
    <w:p w14:paraId="275E9F34" w14:textId="77777777" w:rsidR="00DB1AEE" w:rsidRPr="00DB1AEE" w:rsidRDefault="00DB1AEE" w:rsidP="00DB1AEE">
      <w:pPr>
        <w:widowControl w:val="0"/>
        <w:suppressAutoHyphens/>
        <w:spacing w:before="130" w:after="130"/>
        <w:ind w:left="360"/>
        <w:jc w:val="left"/>
        <w:rPr>
          <w:u w:val="single"/>
        </w:rPr>
      </w:pPr>
      <w:r w:rsidRPr="00DB1AEE">
        <w:rPr>
          <w:u w:val="single"/>
        </w:rPr>
        <w:t>b. not exceed the mitigated psi-factors and chi-factors in Table A10.1, where the psi-factors and chi-factors for the thermal bridges are determined in accordance with Normative Appendix A, Section A10.</w:t>
      </w:r>
    </w:p>
    <w:p w14:paraId="740E5D89" w14:textId="77777777" w:rsidR="00DB1AEE" w:rsidRPr="00DB1AEE" w:rsidRDefault="00DB1AEE" w:rsidP="00DB1AEE">
      <w:pPr>
        <w:widowControl w:val="0"/>
        <w:suppressAutoHyphens/>
        <w:spacing w:before="130" w:after="130"/>
        <w:ind w:left="360" w:firstLine="288"/>
        <w:jc w:val="left"/>
        <w:rPr>
          <w:u w:val="single"/>
        </w:rPr>
      </w:pPr>
      <w:r w:rsidRPr="00DB1AEE">
        <w:rPr>
          <w:u w:val="single"/>
        </w:rPr>
        <w:t xml:space="preserve">For the purposes of Section 5.5.5, linear elements that are connected to the building structure by a series of point connections shall be permitted to be characterized as linear thermal bridges or as individual point thermal bridges. </w:t>
      </w:r>
    </w:p>
    <w:p w14:paraId="66275431" w14:textId="77777777" w:rsidR="00DB1AEE" w:rsidRPr="00DB1AEE" w:rsidRDefault="00DB1AEE" w:rsidP="00DB1AEE">
      <w:pPr>
        <w:widowControl w:val="0"/>
        <w:suppressAutoHyphens/>
        <w:spacing w:before="130" w:after="130"/>
        <w:ind w:left="360"/>
        <w:jc w:val="left"/>
        <w:rPr>
          <w:u w:val="single"/>
        </w:rPr>
      </w:pPr>
      <w:r w:rsidRPr="00DB1AEE">
        <w:rPr>
          <w:u w:val="single"/>
        </w:rPr>
        <w:t>Exceptions to 5.5.5:</w:t>
      </w:r>
    </w:p>
    <w:p w14:paraId="0DD5CCB9" w14:textId="77777777" w:rsidR="00DB1AEE" w:rsidRPr="00DB1AEE" w:rsidRDefault="00DB1AEE" w:rsidP="00DB1AEE">
      <w:pPr>
        <w:widowControl w:val="0"/>
        <w:suppressAutoHyphens/>
        <w:spacing w:before="130" w:after="130"/>
        <w:ind w:left="360"/>
        <w:jc w:val="left"/>
        <w:rPr>
          <w:u w:val="single"/>
        </w:rPr>
      </w:pPr>
      <w:r w:rsidRPr="00DB1AEE">
        <w:rPr>
          <w:u w:val="single"/>
        </w:rPr>
        <w:t>1. Reserved</w:t>
      </w:r>
    </w:p>
    <w:p w14:paraId="5E1B7E6B" w14:textId="77777777" w:rsidR="00DB1AEE" w:rsidRPr="00DB1AEE" w:rsidRDefault="00DB1AEE" w:rsidP="00DB1AEE">
      <w:pPr>
        <w:widowControl w:val="0"/>
        <w:suppressAutoHyphens/>
        <w:spacing w:before="130" w:after="130"/>
        <w:ind w:left="360"/>
        <w:jc w:val="left"/>
        <w:rPr>
          <w:u w:val="single"/>
        </w:rPr>
      </w:pPr>
      <w:r w:rsidRPr="00DB1AEE">
        <w:rPr>
          <w:u w:val="single"/>
        </w:rPr>
        <w:t>2. Semiheated spaces.</w:t>
      </w:r>
    </w:p>
    <w:p w14:paraId="5FCDA4F6" w14:textId="77777777" w:rsidR="00DB1AEE" w:rsidRPr="00DB1AEE" w:rsidRDefault="00DB1AEE" w:rsidP="00DB1AEE">
      <w:pPr>
        <w:widowControl w:val="0"/>
        <w:suppressAutoHyphens/>
        <w:spacing w:before="130" w:after="130"/>
        <w:ind w:left="360"/>
        <w:jc w:val="left"/>
        <w:rPr>
          <w:u w:val="single"/>
        </w:rPr>
      </w:pPr>
      <w:r w:rsidRPr="00DB1AEE">
        <w:rPr>
          <w:u w:val="single"/>
        </w:rPr>
        <w:t>3. Clear-field thermal bridges.</w:t>
      </w:r>
    </w:p>
    <w:p w14:paraId="6F3E6641" w14:textId="77777777" w:rsidR="00DB1AEE" w:rsidRPr="00DB1AEE" w:rsidRDefault="00DB1AEE" w:rsidP="00DB1AEE">
      <w:pPr>
        <w:widowControl w:val="0"/>
        <w:suppressAutoHyphens/>
        <w:spacing w:before="130" w:after="130"/>
        <w:ind w:left="360"/>
        <w:jc w:val="left"/>
        <w:rPr>
          <w:u w:val="single"/>
        </w:rPr>
      </w:pPr>
      <w:r w:rsidRPr="00DB1AEE">
        <w:rPr>
          <w:u w:val="single"/>
        </w:rPr>
        <w:t>4. Thermal bridges in uninsulated assemblies.</w:t>
      </w:r>
    </w:p>
    <w:p w14:paraId="47E5B33D" w14:textId="77777777" w:rsidR="00DB1AEE" w:rsidRPr="00DB1AEE" w:rsidRDefault="00DB1AEE" w:rsidP="00DB1AEE">
      <w:pPr>
        <w:widowControl w:val="0"/>
        <w:suppressAutoHyphens/>
        <w:spacing w:before="130" w:after="130"/>
        <w:ind w:left="648" w:hanging="288"/>
        <w:jc w:val="left"/>
        <w:rPr>
          <w:u w:val="single"/>
        </w:rPr>
      </w:pPr>
      <w:r w:rsidRPr="00DB1AEE">
        <w:rPr>
          <w:u w:val="single"/>
        </w:rPr>
        <w:t>5. Linear and point thermal bridges that have a material thermal conductivity less than 3.0 Btu·in/h·ft2·°F.</w:t>
      </w:r>
    </w:p>
    <w:p w14:paraId="521A0D17" w14:textId="77777777" w:rsidR="00DB1AEE" w:rsidRPr="00DB1AEE" w:rsidRDefault="00DB1AEE" w:rsidP="00DB1AEE">
      <w:pPr>
        <w:widowControl w:val="0"/>
        <w:suppressAutoHyphens/>
        <w:spacing w:before="130" w:after="130"/>
        <w:ind w:left="360"/>
        <w:jc w:val="left"/>
        <w:rPr>
          <w:u w:val="single"/>
        </w:rPr>
      </w:pPr>
      <w:r w:rsidRPr="00DB1AEE">
        <w:rPr>
          <w:u w:val="single"/>
        </w:rPr>
        <w:t>6. Alterations to existing buildings other than additions.</w:t>
      </w:r>
    </w:p>
    <w:p w14:paraId="4C7514B4" w14:textId="77777777" w:rsidR="00DB1AEE" w:rsidRPr="00DB1AEE" w:rsidRDefault="00DB1AEE" w:rsidP="00DB1AEE">
      <w:pPr>
        <w:widowControl w:val="0"/>
        <w:suppressAutoHyphens/>
        <w:spacing w:before="130" w:after="130"/>
        <w:ind w:left="360"/>
        <w:jc w:val="left"/>
        <w:rPr>
          <w:u w:val="single"/>
        </w:rPr>
      </w:pPr>
      <w:r w:rsidRPr="00DB1AEE">
        <w:rPr>
          <w:u w:val="single"/>
        </w:rPr>
        <w:t>7. Roofs that project over exterior walls.</w:t>
      </w:r>
    </w:p>
    <w:p w14:paraId="42A82611" w14:textId="77777777" w:rsidR="00DB1AEE" w:rsidRPr="00DB1AEE" w:rsidRDefault="00DB1AEE" w:rsidP="00DB1AEE">
      <w:pPr>
        <w:widowControl w:val="0"/>
        <w:suppressAutoHyphens/>
        <w:spacing w:before="130" w:after="130"/>
        <w:ind w:left="360"/>
        <w:jc w:val="left"/>
        <w:rPr>
          <w:u w:val="single"/>
        </w:rPr>
      </w:pPr>
      <w:r w:rsidRPr="00DB1AEE">
        <w:rPr>
          <w:u w:val="single"/>
        </w:rPr>
        <w:t>Informative Note: For linear thermal bridges and point thermal bridges that fall under the provisions of Section 4.2 and cannot comply prescriptively with the provisions of Sections 5.5.5.1 through 5.5.5.4, projects can use Section 5.5.5.5, Normative Appendix C, or Normative Appendix G.</w:t>
      </w:r>
    </w:p>
    <w:p w14:paraId="47C92A80" w14:textId="77777777" w:rsidR="00DB1AEE" w:rsidRPr="00DB1AEE" w:rsidRDefault="00DB1AEE" w:rsidP="00DB1AEE">
      <w:pPr>
        <w:widowControl w:val="0"/>
        <w:suppressAutoHyphens/>
        <w:spacing w:before="130" w:after="130"/>
        <w:jc w:val="left"/>
        <w:rPr>
          <w:b/>
          <w:bCs/>
          <w:u w:val="single"/>
        </w:rPr>
      </w:pPr>
      <w:r w:rsidRPr="00DB1AEE">
        <w:rPr>
          <w:b/>
          <w:bCs/>
          <w:u w:val="single"/>
        </w:rPr>
        <w:t>Section 5.5.5.1.1 Roof Edges.</w:t>
      </w:r>
    </w:p>
    <w:p w14:paraId="0B703F8E" w14:textId="77777777" w:rsidR="00DB1AEE" w:rsidRPr="00DB1AEE" w:rsidRDefault="00DB1AEE" w:rsidP="00DB1AEE">
      <w:pPr>
        <w:widowControl w:val="0"/>
        <w:suppressAutoHyphens/>
        <w:spacing w:before="130" w:after="130"/>
        <w:jc w:val="left"/>
        <w:rPr>
          <w:u w:val="single"/>
        </w:rPr>
      </w:pPr>
      <w:r w:rsidRPr="00DB1AEE">
        <w:rPr>
          <w:u w:val="single"/>
        </w:rPr>
        <w:t>Section 5.5.5.1.1 - Revise Section 5.5.5.1.1 to read as follows:</w:t>
      </w:r>
    </w:p>
    <w:p w14:paraId="6C42CFE6" w14:textId="77777777" w:rsidR="00DB1AEE" w:rsidRPr="00DB1AEE" w:rsidRDefault="00DB1AEE" w:rsidP="00DB1AEE">
      <w:pPr>
        <w:widowControl w:val="0"/>
        <w:suppressAutoHyphens/>
        <w:spacing w:before="130" w:after="130"/>
        <w:ind w:left="360"/>
        <w:jc w:val="left"/>
        <w:rPr>
          <w:b/>
          <w:bCs/>
          <w:u w:val="single"/>
        </w:rPr>
      </w:pPr>
      <w:r w:rsidRPr="00DB1AEE">
        <w:rPr>
          <w:b/>
          <w:bCs/>
          <w:u w:val="single"/>
        </w:rPr>
        <w:t xml:space="preserve">5.5.5.1.1 Roof Edges. </w:t>
      </w:r>
    </w:p>
    <w:p w14:paraId="5A2E95ED" w14:textId="77777777" w:rsidR="00DB1AEE" w:rsidRPr="00DB1AEE" w:rsidRDefault="00DB1AEE" w:rsidP="00DB1AEE">
      <w:pPr>
        <w:widowControl w:val="0"/>
        <w:suppressAutoHyphens/>
        <w:spacing w:before="130" w:after="130"/>
        <w:ind w:left="360"/>
        <w:jc w:val="left"/>
        <w:rPr>
          <w:u w:val="single"/>
        </w:rPr>
      </w:pPr>
      <w:r w:rsidRPr="00DB1AEE">
        <w:rPr>
          <w:u w:val="single"/>
        </w:rPr>
        <w:t>At roof edges without parapets or overhangs, the roof insulation and the wall insulation shall comply with the following, as applicable to the location of the insulation:</w:t>
      </w:r>
    </w:p>
    <w:p w14:paraId="483A8A2D" w14:textId="77777777" w:rsidR="00DB1AEE" w:rsidRPr="00DB1AEE" w:rsidRDefault="00DB1AEE" w:rsidP="00DB1AEE">
      <w:pPr>
        <w:widowControl w:val="0"/>
        <w:suppressAutoHyphens/>
        <w:ind w:left="720" w:hanging="288"/>
        <w:jc w:val="left"/>
        <w:rPr>
          <w:u w:val="single"/>
        </w:rPr>
      </w:pPr>
      <w:r w:rsidRPr="00DB1AEE">
        <w:rPr>
          <w:u w:val="single"/>
        </w:rPr>
        <w:t>a. Where a wall has exterior continuous insulation, the roof insulation shall extend to the exterior of the wall insulation and the wall insulation shall extend to the roof insulation.</w:t>
      </w:r>
    </w:p>
    <w:p w14:paraId="08D3BB77" w14:textId="77777777" w:rsidR="00DB1AEE" w:rsidRPr="00DB1AEE" w:rsidRDefault="00DB1AEE" w:rsidP="00DB1AEE">
      <w:pPr>
        <w:widowControl w:val="0"/>
        <w:suppressAutoHyphens/>
        <w:ind w:left="720" w:hanging="288"/>
        <w:jc w:val="left"/>
        <w:rPr>
          <w:u w:val="single"/>
        </w:rPr>
      </w:pPr>
      <w:r w:rsidRPr="00DB1AEE">
        <w:rPr>
          <w:u w:val="single"/>
        </w:rPr>
        <w:t>b. Where a wall has cavity or integral insulation that represents more than 50% of the total wall insulation R-value, the roof-to-wall insulation shall comply with one of the following:</w:t>
      </w:r>
    </w:p>
    <w:p w14:paraId="3DCB72E9" w14:textId="77777777" w:rsidR="00DB1AEE" w:rsidRPr="00DB1AEE" w:rsidRDefault="00DB1AEE" w:rsidP="00DB1AEE">
      <w:pPr>
        <w:widowControl w:val="0"/>
        <w:suppressAutoHyphens/>
        <w:ind w:left="1440" w:hanging="288"/>
        <w:jc w:val="left"/>
        <w:rPr>
          <w:u w:val="single"/>
        </w:rPr>
      </w:pPr>
      <w:r w:rsidRPr="00DB1AEE">
        <w:rPr>
          <w:u w:val="single"/>
        </w:rPr>
        <w:t>1. The cavity or integral insulation shall extend to the underside of the roof insulation.</w:t>
      </w:r>
    </w:p>
    <w:p w14:paraId="410434B4" w14:textId="77777777" w:rsidR="00DB1AEE" w:rsidRPr="00DB1AEE" w:rsidRDefault="00DB1AEE" w:rsidP="00DB1AEE">
      <w:pPr>
        <w:widowControl w:val="0"/>
        <w:suppressAutoHyphens/>
        <w:ind w:left="1440" w:hanging="288"/>
        <w:jc w:val="left"/>
        <w:rPr>
          <w:u w:val="single"/>
        </w:rPr>
      </w:pPr>
      <w:r w:rsidRPr="00DB1AEE">
        <w:rPr>
          <w:u w:val="single"/>
        </w:rPr>
        <w:t>2. The cavity or integral insulation shall extend to the underside of the roof deck, and the roof insulation shall extend to the exterior face of the wall. The wall insulation shall be permitted to be interrupted by roof framing members.</w:t>
      </w:r>
    </w:p>
    <w:p w14:paraId="5966B1FC" w14:textId="77777777" w:rsidR="00DB1AEE" w:rsidRPr="00DB1AEE" w:rsidRDefault="00DB1AEE" w:rsidP="00DB1AEE">
      <w:pPr>
        <w:widowControl w:val="0"/>
        <w:suppressAutoHyphens/>
        <w:ind w:left="1440" w:hanging="288"/>
        <w:jc w:val="left"/>
        <w:rPr>
          <w:u w:val="single"/>
        </w:rPr>
      </w:pPr>
      <w:r w:rsidRPr="00DB1AEE">
        <w:rPr>
          <w:u w:val="single"/>
        </w:rPr>
        <w:t>3. Additional insulation having a rated R-value of insulation not less than R-5 shall extend inward on the underside of the roof deck for not less than 2 ft and be permitted to be interrupted by roof framing members.</w:t>
      </w:r>
    </w:p>
    <w:p w14:paraId="53C6ED28" w14:textId="77777777" w:rsidR="00DB1AEE" w:rsidRPr="00DB1AEE" w:rsidRDefault="00DB1AEE" w:rsidP="00DB1AEE">
      <w:pPr>
        <w:widowControl w:val="0"/>
        <w:suppressAutoHyphens/>
        <w:ind w:left="1440" w:hanging="288"/>
        <w:jc w:val="left"/>
        <w:rPr>
          <w:u w:val="single"/>
        </w:rPr>
      </w:pPr>
      <w:r w:rsidRPr="00DB1AEE">
        <w:rPr>
          <w:u w:val="single"/>
        </w:rPr>
        <w:t>4. Insulation having a rated R-value of insulation not less than R-5 shall be placed at the exterior of the roof edge and be located between the bottom plane of the roof insulation and the plane of the bottom of the roof deck.</w:t>
      </w:r>
    </w:p>
    <w:p w14:paraId="118504DB" w14:textId="77777777" w:rsidR="00DB1AEE" w:rsidRPr="00DB1AEE" w:rsidRDefault="00DB1AEE" w:rsidP="00DB1AEE">
      <w:pPr>
        <w:widowControl w:val="0"/>
        <w:suppressAutoHyphens/>
        <w:ind w:left="1440" w:hanging="288"/>
        <w:jc w:val="left"/>
        <w:rPr>
          <w:u w:val="single"/>
        </w:rPr>
      </w:pPr>
      <w:r w:rsidRPr="00DB1AEE">
        <w:rPr>
          <w:u w:val="single"/>
        </w:rPr>
        <w:t>5. The wall insulation values in Tables 5.5-4 shall be adjusted in accordance with Table 5.5.5.1.1-1.6. The roof insulation values in Tables 5.5-4 shall be adjusted in accordance with Table 5.5.5.1.1-2.</w:t>
      </w:r>
    </w:p>
    <w:p w14:paraId="3717F98F" w14:textId="77777777" w:rsidR="00DB1AEE" w:rsidRPr="00DB1AEE" w:rsidRDefault="00DB1AEE" w:rsidP="00DB1AEE">
      <w:pPr>
        <w:widowControl w:val="0"/>
        <w:suppressAutoHyphens/>
        <w:ind w:left="720" w:hanging="288"/>
        <w:jc w:val="left"/>
        <w:rPr>
          <w:u w:val="single"/>
        </w:rPr>
      </w:pPr>
      <w:r w:rsidRPr="00DB1AEE">
        <w:rPr>
          <w:u w:val="single"/>
        </w:rPr>
        <w:t>c. Where a mass wall has interior insulation that represents more than 50% of the total wall insulation R- value, the interior insulation shall extend to the underside of the roof deck, shall be permitted to be interrupted by framing members, and shall comply with one of the following:</w:t>
      </w:r>
    </w:p>
    <w:p w14:paraId="2DCDBF0A" w14:textId="77777777" w:rsidR="00DB1AEE" w:rsidRPr="00DB1AEE" w:rsidRDefault="00DB1AEE" w:rsidP="00DB1AEE">
      <w:pPr>
        <w:widowControl w:val="0"/>
        <w:suppressAutoHyphens/>
        <w:ind w:left="1440" w:hanging="288"/>
        <w:jc w:val="left"/>
        <w:rPr>
          <w:u w:val="single"/>
        </w:rPr>
      </w:pPr>
      <w:r w:rsidRPr="00DB1AEE">
        <w:rPr>
          <w:u w:val="single"/>
        </w:rPr>
        <w:t>1. Additional insulation having a rated R-value of insulation not less than R-5 shall extend inward on the underside of the roof deck for not less than 2 ft and be permitted to be interrupted by roof framing members.</w:t>
      </w:r>
    </w:p>
    <w:p w14:paraId="49269F2D" w14:textId="77777777" w:rsidR="00DB1AEE" w:rsidRPr="00DB1AEE" w:rsidRDefault="00DB1AEE" w:rsidP="00DB1AEE">
      <w:pPr>
        <w:widowControl w:val="0"/>
        <w:suppressAutoHyphens/>
        <w:ind w:left="1440" w:hanging="288"/>
        <w:jc w:val="left"/>
        <w:rPr>
          <w:u w:val="single"/>
        </w:rPr>
      </w:pPr>
      <w:r w:rsidRPr="00DB1AEE">
        <w:rPr>
          <w:u w:val="single"/>
        </w:rPr>
        <w:t>2. Additional insulation having a rated R-value of insulation not less than R-5 shall be placed at the exterior of the roof edge and be located between the bottom plane of the roof insulation and the plane of the bottom of the roof assembly in contact with the exterior wall.</w:t>
      </w:r>
    </w:p>
    <w:p w14:paraId="69B55231" w14:textId="77777777" w:rsidR="00DB1AEE" w:rsidRPr="00DB1AEE" w:rsidRDefault="00DB1AEE" w:rsidP="00DB1AEE">
      <w:pPr>
        <w:widowControl w:val="0"/>
        <w:suppressAutoHyphens/>
        <w:ind w:left="1440" w:hanging="288"/>
        <w:jc w:val="left"/>
        <w:rPr>
          <w:u w:val="single"/>
        </w:rPr>
      </w:pPr>
      <w:r w:rsidRPr="00DB1AEE">
        <w:rPr>
          <w:u w:val="single"/>
        </w:rPr>
        <w:t>3. The wall insulation values in Tables 5.5-4 shall be adjusted in accordance with Table 5.5.5.1.1-1.</w:t>
      </w:r>
    </w:p>
    <w:p w14:paraId="6C1F21A0" w14:textId="77777777" w:rsidR="00DB1AEE" w:rsidRPr="00DB1AEE" w:rsidRDefault="00DB1AEE" w:rsidP="00DB1AEE">
      <w:pPr>
        <w:widowControl w:val="0"/>
        <w:suppressAutoHyphens/>
        <w:ind w:left="1440" w:hanging="288"/>
        <w:jc w:val="left"/>
        <w:rPr>
          <w:u w:val="single"/>
        </w:rPr>
      </w:pPr>
      <w:r w:rsidRPr="00DB1AEE">
        <w:rPr>
          <w:u w:val="single"/>
        </w:rPr>
        <w:t>4. The roof insulation values in Tables 5.5-4 shall be adjusted in accordance with Table 5.5.5.1.1-2.</w:t>
      </w:r>
    </w:p>
    <w:p w14:paraId="0159F2B0" w14:textId="77777777" w:rsidR="00DB1AEE" w:rsidRPr="00DB1AEE" w:rsidRDefault="00DB1AEE" w:rsidP="00DB1AEE">
      <w:pPr>
        <w:widowControl w:val="0"/>
        <w:suppressAutoHyphens/>
        <w:spacing w:before="130" w:after="130"/>
        <w:ind w:left="720"/>
        <w:jc w:val="left"/>
        <w:rPr>
          <w:u w:val="single"/>
        </w:rPr>
      </w:pPr>
      <w:r w:rsidRPr="00DB1AEE">
        <w:rPr>
          <w:u w:val="single"/>
        </w:rPr>
        <w:t>Informative Note: See Informative Appendix K, Figure K-1.</w:t>
      </w:r>
    </w:p>
    <w:p w14:paraId="72BFEB47" w14:textId="77777777" w:rsidR="00DB1AEE" w:rsidRPr="00DB1AEE" w:rsidRDefault="00DB1AEE" w:rsidP="00DB1AEE">
      <w:pPr>
        <w:widowControl w:val="0"/>
        <w:suppressAutoHyphens/>
        <w:spacing w:before="130" w:after="130"/>
        <w:jc w:val="left"/>
        <w:rPr>
          <w:b/>
          <w:bCs/>
          <w:u w:val="single"/>
        </w:rPr>
      </w:pPr>
      <w:r w:rsidRPr="00DB1AEE">
        <w:rPr>
          <w:b/>
          <w:bCs/>
          <w:u w:val="single"/>
        </w:rPr>
        <w:t>Section 5.5.5.1.2 Parapets.</w:t>
      </w:r>
    </w:p>
    <w:p w14:paraId="47B1FC7A" w14:textId="77777777" w:rsidR="00DB1AEE" w:rsidRPr="00DB1AEE" w:rsidRDefault="00DB1AEE" w:rsidP="00DB1AEE">
      <w:pPr>
        <w:widowControl w:val="0"/>
        <w:suppressAutoHyphens/>
        <w:spacing w:before="130" w:after="130"/>
        <w:jc w:val="left"/>
        <w:rPr>
          <w:u w:val="single"/>
        </w:rPr>
      </w:pPr>
      <w:r w:rsidRPr="00DB1AEE">
        <w:rPr>
          <w:u w:val="single"/>
        </w:rPr>
        <w:t>Section 5.5.5.1.2 - Revise Section 5.5.5.1.2 to read as follows:</w:t>
      </w:r>
    </w:p>
    <w:p w14:paraId="122FB91A" w14:textId="77777777" w:rsidR="00DB1AEE" w:rsidRPr="00DB1AEE" w:rsidRDefault="00DB1AEE" w:rsidP="00DB1AEE">
      <w:pPr>
        <w:widowControl w:val="0"/>
        <w:suppressAutoHyphens/>
        <w:spacing w:before="130" w:after="130"/>
        <w:ind w:left="360"/>
        <w:jc w:val="left"/>
        <w:rPr>
          <w:b/>
          <w:bCs/>
          <w:u w:val="single"/>
        </w:rPr>
      </w:pPr>
      <w:r w:rsidRPr="00DB1AEE">
        <w:rPr>
          <w:b/>
          <w:bCs/>
          <w:u w:val="single"/>
        </w:rPr>
        <w:t xml:space="preserve">5.5.5.1.2 Parapets. </w:t>
      </w:r>
    </w:p>
    <w:p w14:paraId="4BDCD9AF" w14:textId="77777777" w:rsidR="00DB1AEE" w:rsidRPr="00DB1AEE" w:rsidRDefault="00DB1AEE" w:rsidP="00DB1AEE">
      <w:pPr>
        <w:widowControl w:val="0"/>
        <w:suppressAutoHyphens/>
        <w:ind w:left="360"/>
        <w:jc w:val="left"/>
        <w:rPr>
          <w:u w:val="single"/>
        </w:rPr>
      </w:pPr>
      <w:r w:rsidRPr="00DB1AEE">
        <w:rPr>
          <w:u w:val="single"/>
        </w:rPr>
        <w:t>At roof edges with parapets, the exterior wall insulation shall comply with one or more of the following as applicable to the location of the insulation and wall assembly:</w:t>
      </w:r>
    </w:p>
    <w:p w14:paraId="7297F419" w14:textId="77777777" w:rsidR="00DB1AEE" w:rsidRPr="00DB1AEE" w:rsidRDefault="00DB1AEE" w:rsidP="00DB1AEE">
      <w:pPr>
        <w:widowControl w:val="0"/>
        <w:suppressAutoHyphens/>
        <w:ind w:left="720" w:hanging="288"/>
        <w:jc w:val="left"/>
        <w:rPr>
          <w:u w:val="single"/>
        </w:rPr>
      </w:pPr>
      <w:r w:rsidRPr="00DB1AEE">
        <w:rPr>
          <w:u w:val="single"/>
        </w:rPr>
        <w:t>a. Where a wall has exterior continuous insulation, such insulation shall be applied to both vertical sides of the parapet.</w:t>
      </w:r>
    </w:p>
    <w:p w14:paraId="4A7C6801" w14:textId="77777777" w:rsidR="00DB1AEE" w:rsidRPr="00DB1AEE" w:rsidRDefault="00DB1AEE" w:rsidP="00DB1AEE">
      <w:pPr>
        <w:widowControl w:val="0"/>
        <w:suppressAutoHyphens/>
        <w:ind w:left="720" w:hanging="288"/>
        <w:jc w:val="left"/>
        <w:rPr>
          <w:u w:val="single"/>
        </w:rPr>
      </w:pPr>
      <w:r w:rsidRPr="00DB1AEE">
        <w:rPr>
          <w:u w:val="single"/>
        </w:rPr>
        <w:t>Informative Note: See Informative Appendix K, Figure K-2(a).</w:t>
      </w:r>
    </w:p>
    <w:p w14:paraId="21AED132" w14:textId="77777777" w:rsidR="00DB1AEE" w:rsidRPr="00DB1AEE" w:rsidRDefault="00DB1AEE" w:rsidP="00DB1AEE">
      <w:pPr>
        <w:widowControl w:val="0"/>
        <w:suppressAutoHyphens/>
        <w:ind w:left="720" w:hanging="288"/>
        <w:jc w:val="left"/>
        <w:rPr>
          <w:u w:val="single"/>
        </w:rPr>
      </w:pPr>
      <w:r w:rsidRPr="00DB1AEE">
        <w:rPr>
          <w:u w:val="single"/>
        </w:rPr>
        <w:t>b. Where a wall has cavity or integral insulation that represents more than 50% of the total wall insulation R-value, the roof to wall intersections at parapets shall comply with one of the following:</w:t>
      </w:r>
    </w:p>
    <w:p w14:paraId="4A9C350B" w14:textId="77777777" w:rsidR="00DB1AEE" w:rsidRPr="00DB1AEE" w:rsidRDefault="00DB1AEE" w:rsidP="00DB1AEE">
      <w:pPr>
        <w:widowControl w:val="0"/>
        <w:suppressAutoHyphens/>
        <w:ind w:left="1440" w:hanging="288"/>
        <w:jc w:val="left"/>
        <w:rPr>
          <w:u w:val="single"/>
        </w:rPr>
      </w:pPr>
      <w:r w:rsidRPr="00DB1AEE">
        <w:rPr>
          <w:u w:val="single"/>
        </w:rPr>
        <w:t>1. The wall insulation shall extend within the cavity of the parapet not less than the height of the top of the roof insulation. The wall insulation shall be permitted to be interrupted by roof framing members.</w:t>
      </w:r>
    </w:p>
    <w:p w14:paraId="65ABC494" w14:textId="77777777" w:rsidR="00DB1AEE" w:rsidRPr="00DB1AEE" w:rsidRDefault="00DB1AEE" w:rsidP="00DB1AEE">
      <w:pPr>
        <w:widowControl w:val="0"/>
        <w:suppressAutoHyphens/>
        <w:ind w:left="1440" w:hanging="288"/>
        <w:jc w:val="left"/>
        <w:rPr>
          <w:u w:val="single"/>
        </w:rPr>
      </w:pPr>
      <w:r w:rsidRPr="00DB1AEE">
        <w:rPr>
          <w:u w:val="single"/>
        </w:rPr>
        <w:t>2. Additional insulation having a rated R-value of insulation not less than R-5 shall extend inward on the underside of the roof deck for not less than 2 ft and be permitted to be interrupted by roof framing members.</w:t>
      </w:r>
    </w:p>
    <w:p w14:paraId="09A15CF4" w14:textId="77777777" w:rsidR="00DB1AEE" w:rsidRPr="00DB1AEE" w:rsidRDefault="00DB1AEE" w:rsidP="00DB1AEE">
      <w:pPr>
        <w:widowControl w:val="0"/>
        <w:suppressAutoHyphens/>
        <w:ind w:left="1440" w:hanging="288"/>
        <w:jc w:val="left"/>
        <w:rPr>
          <w:u w:val="single"/>
        </w:rPr>
      </w:pPr>
      <w:r w:rsidRPr="00DB1AEE">
        <w:rPr>
          <w:u w:val="single"/>
        </w:rPr>
        <w:t>3. Insulation having a rated R-value of insulation not less than R-5 shall be placed at the exterior of the roof edge and be located between the bottom plane of the roof insulation and the plane of the bottom of the roof deck.</w:t>
      </w:r>
    </w:p>
    <w:p w14:paraId="0E77A16F" w14:textId="77777777" w:rsidR="00DB1AEE" w:rsidRPr="00DB1AEE" w:rsidRDefault="00DB1AEE" w:rsidP="00DB1AEE">
      <w:pPr>
        <w:widowControl w:val="0"/>
        <w:suppressAutoHyphens/>
        <w:ind w:left="1440" w:hanging="288"/>
        <w:jc w:val="left"/>
        <w:rPr>
          <w:u w:val="single"/>
        </w:rPr>
      </w:pPr>
      <w:r w:rsidRPr="00DB1AEE">
        <w:rPr>
          <w:u w:val="single"/>
        </w:rPr>
        <w:t>4. The wall insulation values in Table 5.5-4 shall be adjusted in accordance with Table 5.5.5.1.1-1.</w:t>
      </w:r>
    </w:p>
    <w:p w14:paraId="1E78D9EC" w14:textId="77777777" w:rsidR="00DB1AEE" w:rsidRPr="00DB1AEE" w:rsidRDefault="00DB1AEE" w:rsidP="00DB1AEE">
      <w:pPr>
        <w:widowControl w:val="0"/>
        <w:suppressAutoHyphens/>
        <w:ind w:left="1440" w:hanging="288"/>
        <w:jc w:val="left"/>
        <w:rPr>
          <w:u w:val="single"/>
        </w:rPr>
      </w:pPr>
      <w:r w:rsidRPr="00DB1AEE">
        <w:rPr>
          <w:u w:val="single"/>
        </w:rPr>
        <w:t>5. The roof insulation values in Table 5.5-4 shall be adjusted in accordance with Table 5.5.5.1.1-2.</w:t>
      </w:r>
    </w:p>
    <w:p w14:paraId="1D4CE7DC" w14:textId="77777777" w:rsidR="00DB1AEE" w:rsidRPr="00DB1AEE" w:rsidRDefault="00DB1AEE" w:rsidP="00DB1AEE">
      <w:pPr>
        <w:widowControl w:val="0"/>
        <w:suppressAutoHyphens/>
        <w:ind w:left="720" w:hanging="288"/>
        <w:jc w:val="left"/>
        <w:rPr>
          <w:u w:val="single"/>
        </w:rPr>
      </w:pPr>
      <w:r w:rsidRPr="00DB1AEE">
        <w:rPr>
          <w:u w:val="single"/>
        </w:rPr>
        <w:t>Informative Note: See Informative Appendix K, Figure K-2(b).</w:t>
      </w:r>
    </w:p>
    <w:p w14:paraId="2A67B472" w14:textId="77777777" w:rsidR="00DB1AEE" w:rsidRPr="00DB1AEE" w:rsidRDefault="00DB1AEE" w:rsidP="00DB1AEE">
      <w:pPr>
        <w:widowControl w:val="0"/>
        <w:suppressAutoHyphens/>
        <w:ind w:left="720" w:hanging="288"/>
        <w:jc w:val="left"/>
        <w:rPr>
          <w:u w:val="single"/>
        </w:rPr>
      </w:pPr>
      <w:r w:rsidRPr="00DB1AEE">
        <w:rPr>
          <w:u w:val="single"/>
        </w:rPr>
        <w:t>c. Where a mass wall has interior insulation that represents more than 50% of the total wall insulation R- value, the interior insulation shall extend to the underside of the roof deck, shall be permitted to be interrupted by framing members, and shall comply with one of the following:</w:t>
      </w:r>
    </w:p>
    <w:p w14:paraId="678244DD" w14:textId="77777777" w:rsidR="00DB1AEE" w:rsidRPr="00DB1AEE" w:rsidRDefault="00DB1AEE" w:rsidP="00DB1AEE">
      <w:pPr>
        <w:widowControl w:val="0"/>
        <w:suppressAutoHyphens/>
        <w:ind w:left="1440" w:hanging="288"/>
        <w:jc w:val="left"/>
        <w:rPr>
          <w:u w:val="single"/>
        </w:rPr>
      </w:pPr>
      <w:r w:rsidRPr="00DB1AEE">
        <w:rPr>
          <w:u w:val="single"/>
        </w:rPr>
        <w:t>1. Additional insulation having a rated R-value of insulation not less than R-5 shall extend inward on the underside of the roof deck for not less than 2 ft and be permitted to be interrupted by roof framing members.</w:t>
      </w:r>
    </w:p>
    <w:p w14:paraId="0B98CF1F" w14:textId="77777777" w:rsidR="00DB1AEE" w:rsidRPr="00DB1AEE" w:rsidRDefault="00DB1AEE" w:rsidP="00DB1AEE">
      <w:pPr>
        <w:widowControl w:val="0"/>
        <w:suppressAutoHyphens/>
        <w:ind w:left="1440" w:hanging="288"/>
        <w:jc w:val="left"/>
        <w:rPr>
          <w:u w:val="single"/>
        </w:rPr>
      </w:pPr>
      <w:r w:rsidRPr="00DB1AEE">
        <w:rPr>
          <w:u w:val="single"/>
        </w:rPr>
        <w:t>2. Additional insulation having a rated R-value of insulation not less than R-5 shall be placed at the exterior of the roof edge and be located between the bottom plane of the roof insulation and the plane of the bottom of the roof assembly in contact with the exterior wall.</w:t>
      </w:r>
    </w:p>
    <w:p w14:paraId="004E7CE8" w14:textId="77777777" w:rsidR="00DB1AEE" w:rsidRPr="00DB1AEE" w:rsidRDefault="00DB1AEE" w:rsidP="00DB1AEE">
      <w:pPr>
        <w:widowControl w:val="0"/>
        <w:suppressAutoHyphens/>
        <w:ind w:left="1440" w:hanging="288"/>
        <w:jc w:val="left"/>
        <w:rPr>
          <w:u w:val="single"/>
        </w:rPr>
      </w:pPr>
      <w:r w:rsidRPr="00DB1AEE">
        <w:rPr>
          <w:u w:val="single"/>
        </w:rPr>
        <w:t>3. The wall insulation values in Table 5.5-4 shall be adjusted in accordance with Table 5.5.5.1.1-1.</w:t>
      </w:r>
    </w:p>
    <w:p w14:paraId="5E1A7CF0" w14:textId="77777777" w:rsidR="00DB1AEE" w:rsidRPr="00DB1AEE" w:rsidRDefault="00DB1AEE" w:rsidP="00DB1AEE">
      <w:pPr>
        <w:widowControl w:val="0"/>
        <w:suppressAutoHyphens/>
        <w:ind w:left="1440" w:hanging="288"/>
        <w:jc w:val="left"/>
        <w:rPr>
          <w:u w:val="single"/>
        </w:rPr>
      </w:pPr>
      <w:r w:rsidRPr="00DB1AEE">
        <w:rPr>
          <w:u w:val="single"/>
        </w:rPr>
        <w:t>4. The roof insulation values in Table 5.5-4 shall be adjusted in accordance with Table 5.5.5.1.1-2.</w:t>
      </w:r>
    </w:p>
    <w:p w14:paraId="3937E6EB" w14:textId="77777777" w:rsidR="00DB1AEE" w:rsidRPr="00DB1AEE" w:rsidRDefault="00DB1AEE" w:rsidP="00DB1AEE">
      <w:pPr>
        <w:widowControl w:val="0"/>
        <w:suppressAutoHyphens/>
        <w:ind w:left="360" w:hanging="288"/>
        <w:jc w:val="left"/>
        <w:rPr>
          <w:u w:val="single"/>
        </w:rPr>
      </w:pPr>
      <w:r w:rsidRPr="00DB1AEE">
        <w:rPr>
          <w:u w:val="single"/>
        </w:rPr>
        <w:t>Informative Note: See Informative Appendix K, Figures K-2(c) and K-2(d).</w:t>
      </w:r>
    </w:p>
    <w:p w14:paraId="30A2A488" w14:textId="77777777" w:rsidR="00DB1AEE" w:rsidRPr="00DB1AEE" w:rsidRDefault="00DB1AEE" w:rsidP="00DB1AEE">
      <w:pPr>
        <w:widowControl w:val="0"/>
        <w:suppressAutoHyphens/>
        <w:spacing w:before="130" w:after="130"/>
        <w:jc w:val="left"/>
        <w:rPr>
          <w:b/>
          <w:bCs/>
          <w:u w:val="single"/>
        </w:rPr>
      </w:pPr>
      <w:r w:rsidRPr="00DB1AEE">
        <w:rPr>
          <w:b/>
          <w:bCs/>
          <w:u w:val="single"/>
        </w:rPr>
        <w:t>Section 5.5.5.2.1.</w:t>
      </w:r>
    </w:p>
    <w:p w14:paraId="6A8EC31B" w14:textId="77777777" w:rsidR="00DB1AEE" w:rsidRPr="00DB1AEE" w:rsidRDefault="00DB1AEE" w:rsidP="00DB1AEE">
      <w:pPr>
        <w:widowControl w:val="0"/>
        <w:suppressAutoHyphens/>
        <w:spacing w:before="130" w:after="130"/>
        <w:jc w:val="left"/>
        <w:rPr>
          <w:u w:val="single"/>
        </w:rPr>
      </w:pPr>
      <w:r w:rsidRPr="00DB1AEE">
        <w:rPr>
          <w:u w:val="single"/>
        </w:rPr>
        <w:t>Section 5.5.5.2.1- Revise Section 5.5.5.2.1 to read as follows:</w:t>
      </w:r>
    </w:p>
    <w:p w14:paraId="01DFCA83" w14:textId="77777777" w:rsidR="00DB1AEE" w:rsidRPr="00DB1AEE" w:rsidRDefault="00DB1AEE" w:rsidP="00DB1AEE">
      <w:pPr>
        <w:widowControl w:val="0"/>
        <w:suppressAutoHyphens/>
        <w:spacing w:before="130" w:after="130"/>
        <w:ind w:left="360"/>
        <w:jc w:val="left"/>
        <w:rPr>
          <w:b/>
          <w:bCs/>
          <w:u w:val="single"/>
        </w:rPr>
      </w:pPr>
      <w:r w:rsidRPr="00DB1AEE">
        <w:rPr>
          <w:b/>
          <w:bCs/>
          <w:u w:val="single"/>
        </w:rPr>
        <w:t xml:space="preserve">5.5.5.2.1 </w:t>
      </w:r>
    </w:p>
    <w:p w14:paraId="0168C60E" w14:textId="77777777" w:rsidR="00DB1AEE" w:rsidRPr="00DB1AEE" w:rsidRDefault="00DB1AEE" w:rsidP="00DB1AEE">
      <w:pPr>
        <w:widowControl w:val="0"/>
        <w:suppressAutoHyphens/>
        <w:ind w:left="360"/>
        <w:jc w:val="left"/>
        <w:rPr>
          <w:u w:val="single"/>
        </w:rPr>
      </w:pPr>
      <w:r w:rsidRPr="00DB1AEE">
        <w:rPr>
          <w:u w:val="single"/>
        </w:rPr>
        <w:t>Intermediate floor edges that do not serve as balconies or floor overhangs shall comply with the following as applicable:</w:t>
      </w:r>
    </w:p>
    <w:p w14:paraId="2B82BEFD" w14:textId="77777777" w:rsidR="00DB1AEE" w:rsidRPr="00DB1AEE" w:rsidRDefault="00DB1AEE" w:rsidP="00DB1AEE">
      <w:pPr>
        <w:widowControl w:val="0"/>
        <w:suppressAutoHyphens/>
        <w:ind w:left="720" w:hanging="288"/>
        <w:jc w:val="left"/>
        <w:rPr>
          <w:u w:val="single"/>
        </w:rPr>
      </w:pPr>
      <w:r w:rsidRPr="00DB1AEE">
        <w:rPr>
          <w:u w:val="single"/>
        </w:rPr>
        <w:t>a. Where a wall has exterior continuous insulation, such insulation shall extend continuously past the floor edge.</w:t>
      </w:r>
    </w:p>
    <w:p w14:paraId="51E5A75A" w14:textId="77777777" w:rsidR="00DB1AEE" w:rsidRPr="00DB1AEE" w:rsidRDefault="00DB1AEE" w:rsidP="00DB1AEE">
      <w:pPr>
        <w:widowControl w:val="0"/>
        <w:suppressAutoHyphens/>
        <w:ind w:left="720" w:hanging="288"/>
        <w:jc w:val="left"/>
        <w:rPr>
          <w:u w:val="single"/>
        </w:rPr>
      </w:pPr>
      <w:r w:rsidRPr="00DB1AEE">
        <w:rPr>
          <w:u w:val="single"/>
        </w:rPr>
        <w:t>b. Where a wall has cavity insulation that represents more than 50% of the total wall insulation R-value, the cavity insulation shall extend to the underside of the floor deck and shall be permitted to be interrupted by floor framing members and wall top and bottom plates or tracks. (Informative Note: See Informative Appendix K, Figures K-4[a] and K-4[b].)</w:t>
      </w:r>
    </w:p>
    <w:p w14:paraId="7251FE46" w14:textId="77777777" w:rsidR="00DB1AEE" w:rsidRPr="00DB1AEE" w:rsidRDefault="00DB1AEE" w:rsidP="00DB1AEE">
      <w:pPr>
        <w:widowControl w:val="0"/>
        <w:suppressAutoHyphens/>
        <w:ind w:left="720" w:hanging="288"/>
        <w:jc w:val="left"/>
        <w:rPr>
          <w:u w:val="single"/>
        </w:rPr>
      </w:pPr>
      <w:r w:rsidRPr="00DB1AEE">
        <w:rPr>
          <w:u w:val="single"/>
        </w:rPr>
        <w:t>c. Where a mass wall has integral insulation that represents more than 50% of the total wall insulation R- value, the intermediate floor intersection shall comply with one of the following:</w:t>
      </w:r>
    </w:p>
    <w:p w14:paraId="4E94AC07" w14:textId="77777777" w:rsidR="00DB1AEE" w:rsidRPr="00DB1AEE" w:rsidRDefault="00DB1AEE" w:rsidP="00DB1AEE">
      <w:pPr>
        <w:widowControl w:val="0"/>
        <w:suppressAutoHyphens/>
        <w:ind w:left="1440" w:hanging="288"/>
        <w:jc w:val="left"/>
        <w:rPr>
          <w:u w:val="single"/>
        </w:rPr>
      </w:pPr>
      <w:r w:rsidRPr="00DB1AEE">
        <w:rPr>
          <w:u w:val="single"/>
        </w:rPr>
        <w:t>1. The full thickness of integral insulation shall extend past the floor edge.</w:t>
      </w:r>
    </w:p>
    <w:p w14:paraId="38987843" w14:textId="77777777" w:rsidR="00DB1AEE" w:rsidRPr="00DB1AEE" w:rsidRDefault="00DB1AEE" w:rsidP="00DB1AEE">
      <w:pPr>
        <w:widowControl w:val="0"/>
        <w:suppressAutoHyphens/>
        <w:ind w:left="1440" w:hanging="288"/>
        <w:jc w:val="left"/>
        <w:rPr>
          <w:u w:val="single"/>
        </w:rPr>
      </w:pPr>
      <w:r w:rsidRPr="00DB1AEE">
        <w:rPr>
          <w:u w:val="single"/>
        </w:rPr>
        <w:t>2. Where the intermediate floor deck extends through the integral insulation, insulation having a rated R-value of insulation not less than R-5 shall be maintained to the full depth of the floor edge on the exterior side of the floor edge.</w:t>
      </w:r>
    </w:p>
    <w:p w14:paraId="4C4A7583" w14:textId="77777777" w:rsidR="00DB1AEE" w:rsidRPr="00DB1AEE" w:rsidRDefault="00DB1AEE" w:rsidP="00DB1AEE">
      <w:pPr>
        <w:widowControl w:val="0"/>
        <w:suppressAutoHyphens/>
        <w:ind w:left="720" w:hanging="288"/>
        <w:jc w:val="left"/>
        <w:rPr>
          <w:u w:val="single"/>
        </w:rPr>
      </w:pPr>
      <w:r w:rsidRPr="00DB1AEE">
        <w:rPr>
          <w:u w:val="single"/>
        </w:rPr>
        <w:t>See Informative Appendix K, Figures K-4(c) and K-4(d).</w:t>
      </w:r>
    </w:p>
    <w:p w14:paraId="5F8AEDE4" w14:textId="77777777" w:rsidR="00DB1AEE" w:rsidRPr="00DB1AEE" w:rsidRDefault="00DB1AEE" w:rsidP="00DB1AEE">
      <w:pPr>
        <w:widowControl w:val="0"/>
        <w:suppressAutoHyphens/>
        <w:ind w:left="720" w:hanging="288"/>
        <w:jc w:val="left"/>
        <w:rPr>
          <w:u w:val="single"/>
        </w:rPr>
      </w:pPr>
      <w:r w:rsidRPr="00DB1AEE">
        <w:rPr>
          <w:u w:val="single"/>
        </w:rPr>
        <w:t>d. Where a mass wall has interior insulation that represents more than 50% of the total wall insulation R- value, the interior insulation shall extend to the underside of the floor deck, shall be permitted to be interrupted by framing members, and shall comply with one of the following:</w:t>
      </w:r>
    </w:p>
    <w:p w14:paraId="6FD532B8" w14:textId="77777777" w:rsidR="00DB1AEE" w:rsidRPr="00DB1AEE" w:rsidRDefault="00DB1AEE" w:rsidP="00DB1AEE">
      <w:pPr>
        <w:widowControl w:val="0"/>
        <w:suppressAutoHyphens/>
        <w:ind w:left="1440" w:hanging="288"/>
        <w:jc w:val="left"/>
        <w:rPr>
          <w:u w:val="single"/>
        </w:rPr>
      </w:pPr>
      <w:r w:rsidRPr="00DB1AEE">
        <w:rPr>
          <w:u w:val="single"/>
        </w:rPr>
        <w:t>1. Additional interior insulation having a rated R-value of insulation not less than R-5 shall cover the full depth of the floor edge. Such insulation shall be permitted to be interrupted by floor framing members. Fire safing applied to the full depth of the floor edge meets this requirement.</w:t>
      </w:r>
    </w:p>
    <w:p w14:paraId="6107B673" w14:textId="77777777" w:rsidR="00DB1AEE" w:rsidRPr="00DB1AEE" w:rsidRDefault="00DB1AEE" w:rsidP="00DB1AEE">
      <w:pPr>
        <w:widowControl w:val="0"/>
        <w:suppressAutoHyphens/>
        <w:ind w:left="1440" w:hanging="288"/>
        <w:jc w:val="left"/>
        <w:rPr>
          <w:u w:val="single"/>
        </w:rPr>
      </w:pPr>
      <w:r w:rsidRPr="00DB1AEE">
        <w:rPr>
          <w:u w:val="single"/>
        </w:rPr>
        <w:t>2. Additional insulation having a rated R-value of insulation not less than R-5 shall cover the full depth of the floor edge on the exterior side of the wall.</w:t>
      </w:r>
    </w:p>
    <w:p w14:paraId="7FEF527C" w14:textId="77777777" w:rsidR="00DB1AEE" w:rsidRPr="00DB1AEE" w:rsidRDefault="00DB1AEE" w:rsidP="00DB1AEE">
      <w:pPr>
        <w:widowControl w:val="0"/>
        <w:suppressAutoHyphens/>
        <w:ind w:left="1440" w:hanging="288"/>
        <w:jc w:val="left"/>
        <w:rPr>
          <w:u w:val="single"/>
        </w:rPr>
      </w:pPr>
      <w:r w:rsidRPr="00DB1AEE">
        <w:rPr>
          <w:u w:val="single"/>
        </w:rPr>
        <w:t>3. The wall insulation values in Table 5.5-4 shall be adjusted in accordance with Table 5.5.5.2.1.</w:t>
      </w:r>
    </w:p>
    <w:p w14:paraId="1B3C50CA" w14:textId="77777777" w:rsidR="00DB1AEE" w:rsidRPr="00DB1AEE" w:rsidRDefault="00DB1AEE" w:rsidP="00DB1AEE">
      <w:pPr>
        <w:widowControl w:val="0"/>
        <w:suppressAutoHyphens/>
        <w:ind w:left="720" w:hanging="288"/>
        <w:jc w:val="left"/>
        <w:rPr>
          <w:u w:val="single"/>
        </w:rPr>
      </w:pPr>
      <w:r w:rsidRPr="00DB1AEE">
        <w:rPr>
          <w:u w:val="single"/>
        </w:rPr>
        <w:t>Informative Note: See Informative Appendix K, Figures K-4(e) and K-4(f).</w:t>
      </w:r>
    </w:p>
    <w:p w14:paraId="73F42507" w14:textId="77777777" w:rsidR="00DB1AEE" w:rsidRPr="00DB1AEE" w:rsidRDefault="00DB1AEE" w:rsidP="00DB1AEE">
      <w:pPr>
        <w:widowControl w:val="0"/>
        <w:suppressAutoHyphens/>
        <w:ind w:left="720" w:hanging="288"/>
        <w:jc w:val="left"/>
        <w:rPr>
          <w:u w:val="single"/>
        </w:rPr>
      </w:pPr>
      <w:r w:rsidRPr="00DB1AEE">
        <w:rPr>
          <w:u w:val="single"/>
        </w:rPr>
        <w:t>e. Where mass walls have not less than 50% of the rated R-value of insulation on the exterior side of the wall and the remainder on the interior side, the insulation on the interior side of the wall shall be permitted to be interrupted by an intermediate floor. (Informative Note: See Informative Appendix K, Figure K-4[g].)</w:t>
      </w:r>
    </w:p>
    <w:p w14:paraId="783D80F7" w14:textId="77777777" w:rsidR="00DB1AEE" w:rsidRPr="00DB1AEE" w:rsidRDefault="00DB1AEE" w:rsidP="00DB1AEE">
      <w:pPr>
        <w:widowControl w:val="0"/>
        <w:suppressAutoHyphens/>
        <w:spacing w:before="130" w:after="130"/>
        <w:jc w:val="left"/>
        <w:rPr>
          <w:b/>
          <w:bCs/>
          <w:u w:val="single"/>
        </w:rPr>
      </w:pPr>
    </w:p>
    <w:p w14:paraId="6A8974A5" w14:textId="77777777" w:rsidR="00DB1AEE" w:rsidRPr="00DB1AEE" w:rsidRDefault="00DB1AEE" w:rsidP="00DB1AEE">
      <w:pPr>
        <w:widowControl w:val="0"/>
        <w:suppressAutoHyphens/>
        <w:spacing w:before="130" w:after="130"/>
        <w:jc w:val="left"/>
        <w:rPr>
          <w:b/>
          <w:bCs/>
          <w:u w:val="single"/>
        </w:rPr>
      </w:pPr>
      <w:r w:rsidRPr="00DB1AEE">
        <w:rPr>
          <w:b/>
          <w:bCs/>
          <w:u w:val="single"/>
        </w:rPr>
        <w:t>Section 5.7.2 Permit Application Documentation.</w:t>
      </w:r>
    </w:p>
    <w:p w14:paraId="364CD3F4" w14:textId="77777777" w:rsidR="00DB1AEE" w:rsidRPr="00DB1AEE" w:rsidRDefault="00DB1AEE" w:rsidP="00DB1AEE">
      <w:pPr>
        <w:widowControl w:val="0"/>
        <w:suppressAutoHyphens/>
        <w:spacing w:before="130" w:after="130"/>
        <w:jc w:val="left"/>
        <w:rPr>
          <w:u w:val="single"/>
        </w:rPr>
      </w:pPr>
      <w:r w:rsidRPr="00DB1AEE">
        <w:rPr>
          <w:u w:val="single"/>
        </w:rPr>
        <w:t>Section 5.7.2- Revise item “c” from Section 5.7.2 to read as follows:</w:t>
      </w:r>
    </w:p>
    <w:p w14:paraId="3C6C14B4" w14:textId="77777777" w:rsidR="00DB1AEE" w:rsidRPr="00DB1AEE" w:rsidRDefault="00DB1AEE" w:rsidP="00DB1AEE">
      <w:pPr>
        <w:widowControl w:val="0"/>
        <w:suppressAutoHyphens/>
        <w:spacing w:before="130" w:after="130"/>
        <w:jc w:val="left"/>
        <w:rPr>
          <w:u w:val="single"/>
        </w:rPr>
      </w:pPr>
      <w:r w:rsidRPr="00DB1AEE">
        <w:rPr>
          <w:u w:val="single"/>
        </w:rPr>
        <w:t>c. Identify air leakage compliance. Continuous air barrier compliance with whole-building pressurization testing in accordance with Section 5.4.3.1.4 shall be clearly indicated on the construction documents.</w:t>
      </w:r>
    </w:p>
    <w:p w14:paraId="196307CC" w14:textId="77777777" w:rsidR="00DB1AEE" w:rsidRPr="00DB1AEE" w:rsidRDefault="00DB1AEE" w:rsidP="00DB1AEE">
      <w:pPr>
        <w:widowControl w:val="0"/>
        <w:suppressAutoHyphens/>
        <w:spacing w:before="130" w:after="130"/>
        <w:jc w:val="left"/>
        <w:rPr>
          <w:b/>
          <w:bCs/>
          <w:u w:val="single"/>
        </w:rPr>
      </w:pPr>
      <w:r w:rsidRPr="00DB1AEE">
        <w:rPr>
          <w:b/>
          <w:bCs/>
          <w:u w:val="single"/>
        </w:rPr>
        <w:t>Section 5.7.3.1 Permit Application Documentation.</w:t>
      </w:r>
    </w:p>
    <w:p w14:paraId="072EDEC0" w14:textId="77777777" w:rsidR="00DB1AEE" w:rsidRPr="00DB1AEE" w:rsidRDefault="00DB1AEE" w:rsidP="00DB1AEE">
      <w:pPr>
        <w:widowControl w:val="0"/>
        <w:suppressAutoHyphens/>
        <w:spacing w:before="130" w:after="130"/>
        <w:jc w:val="left"/>
        <w:rPr>
          <w:u w:val="single"/>
        </w:rPr>
      </w:pPr>
      <w:r w:rsidRPr="00DB1AEE">
        <w:rPr>
          <w:u w:val="single"/>
        </w:rPr>
        <w:t>Section 5.7.3.1- Revise Section 5.7.3.1 to read as follows:</w:t>
      </w:r>
    </w:p>
    <w:p w14:paraId="2C2423B9" w14:textId="77777777" w:rsidR="00DB1AEE" w:rsidRPr="00DB1AEE" w:rsidRDefault="00DB1AEE" w:rsidP="00DB1AEE">
      <w:pPr>
        <w:widowControl w:val="0"/>
        <w:suppressAutoHyphens/>
        <w:spacing w:before="130" w:after="130"/>
        <w:jc w:val="left"/>
        <w:rPr>
          <w:u w:val="single"/>
        </w:rPr>
      </w:pPr>
      <w:r w:rsidRPr="00DB1AEE">
        <w:rPr>
          <w:b/>
          <w:bCs/>
          <w:u w:val="single"/>
        </w:rPr>
        <w:t xml:space="preserve">5.7.3.1 Record Documents. </w:t>
      </w:r>
      <w:r w:rsidRPr="00DB1AEE">
        <w:rPr>
          <w:u w:val="single"/>
        </w:rPr>
        <w:t>Construction documents shall require that, within 90 days after the date of building envelope acceptance, record documents be provided to the building owner or the designated representative of the building owner. For new buildings or additions that are 10,000 square feet and greater, these documents will be required prior to passing final inspection.  Record documents shall include, as a minimum, those items listed in Section 5.7.2, and the following:</w:t>
      </w:r>
    </w:p>
    <w:p w14:paraId="017B3DFD" w14:textId="77777777" w:rsidR="00DB1AEE" w:rsidRPr="00DB1AEE" w:rsidRDefault="00DB1AEE" w:rsidP="00DB1AEE">
      <w:pPr>
        <w:widowControl w:val="0"/>
        <w:suppressAutoHyphens/>
        <w:spacing w:before="130" w:after="130"/>
        <w:jc w:val="left"/>
        <w:rPr>
          <w:u w:val="single"/>
        </w:rPr>
      </w:pPr>
      <w:r w:rsidRPr="00DB1AEE">
        <w:rPr>
          <w:u w:val="single"/>
        </w:rPr>
        <w:t>a. A report complying with Section 4.2.5.1.2 providing the results of continuous air barrier compliance with whole-building pressurization testing in accordance with Section 5.4.3.1.4 and verification of the building envelope in accordance with Section 5.9.1.2.</w:t>
      </w:r>
    </w:p>
    <w:p w14:paraId="7005B4DA" w14:textId="77777777" w:rsidR="00DB1AEE" w:rsidRPr="00DB1AEE" w:rsidRDefault="00DB1AEE" w:rsidP="00DB1AEE">
      <w:pPr>
        <w:widowControl w:val="0"/>
        <w:suppressAutoHyphens/>
        <w:spacing w:before="130" w:after="130"/>
        <w:jc w:val="left"/>
        <w:rPr>
          <w:u w:val="single"/>
        </w:rPr>
      </w:pPr>
      <w:r w:rsidRPr="00DB1AEE">
        <w:rPr>
          <w:u w:val="single"/>
        </w:rPr>
        <w:t>b. Insulation documentation in accordance with Section 5.8.1.11.</w:t>
      </w:r>
    </w:p>
    <w:p w14:paraId="25F7F3E7" w14:textId="77777777" w:rsidR="00DB1AEE" w:rsidRPr="00DB1AEE" w:rsidRDefault="00DB1AEE" w:rsidP="00DB1AEE">
      <w:pPr>
        <w:widowControl w:val="0"/>
        <w:suppressAutoHyphens/>
        <w:spacing w:before="130" w:after="130"/>
        <w:jc w:val="left"/>
        <w:rPr>
          <w:u w:val="single"/>
        </w:rPr>
      </w:pPr>
      <w:r w:rsidRPr="00DB1AEE">
        <w:rPr>
          <w:u w:val="single"/>
        </w:rPr>
        <w:t>c. Field inspections reports of project construction showing compliance with continuous air barrier requirements including proper material handling and storage, use of approved materials and material substitutes, proper material and surface preparation, and air barrier continuity.</w:t>
      </w:r>
      <w:r w:rsidRPr="00DB1AEE">
        <w:t xml:space="preserve"> </w:t>
      </w:r>
      <w:r w:rsidRPr="00DB1AEE">
        <w:rPr>
          <w:u w:val="single"/>
        </w:rPr>
        <w:t>Air barrier continuity shall be determined by testing or inspecting each type of unique air barrier joint or seam in the building envelope for continuity and defects.</w:t>
      </w:r>
    </w:p>
    <w:p w14:paraId="3454A8BB" w14:textId="77777777" w:rsidR="00DB1AEE" w:rsidRPr="00DB1AEE" w:rsidRDefault="00DB1AEE" w:rsidP="00DB1AEE">
      <w:pPr>
        <w:widowControl w:val="0"/>
        <w:suppressAutoHyphens/>
        <w:spacing w:before="130" w:after="130"/>
        <w:jc w:val="left"/>
        <w:rPr>
          <w:b/>
          <w:bCs/>
          <w:u w:val="single"/>
        </w:rPr>
      </w:pPr>
    </w:p>
    <w:p w14:paraId="2ED9D02C" w14:textId="77777777" w:rsidR="00DB1AEE" w:rsidRPr="00DB1AEE" w:rsidRDefault="00DB1AEE" w:rsidP="00DB1AEE">
      <w:pPr>
        <w:widowControl w:val="0"/>
        <w:suppressAutoHyphens/>
        <w:spacing w:before="130" w:after="130"/>
        <w:jc w:val="left"/>
        <w:rPr>
          <w:b/>
          <w:bCs/>
          <w:u w:val="single"/>
        </w:rPr>
      </w:pPr>
      <w:r w:rsidRPr="00DB1AEE">
        <w:rPr>
          <w:b/>
          <w:bCs/>
          <w:u w:val="single"/>
        </w:rPr>
        <w:t>Section 5.8.2.2 Labeling of Fenestration and Door Products.</w:t>
      </w:r>
    </w:p>
    <w:p w14:paraId="7513F156" w14:textId="77777777" w:rsidR="00DB1AEE" w:rsidRPr="00DB1AEE" w:rsidRDefault="00DB1AEE" w:rsidP="00DB1AEE">
      <w:pPr>
        <w:widowControl w:val="0"/>
        <w:suppressAutoHyphens/>
        <w:spacing w:before="130" w:after="130"/>
        <w:jc w:val="left"/>
        <w:rPr>
          <w:u w:val="single"/>
        </w:rPr>
      </w:pPr>
      <w:r w:rsidRPr="00DB1AEE">
        <w:rPr>
          <w:u w:val="single"/>
        </w:rPr>
        <w:t>Section 5.8.2.2 - Revise Section 5.8.2.2 to read as follows:</w:t>
      </w:r>
    </w:p>
    <w:p w14:paraId="191E69C7" w14:textId="77777777" w:rsidR="00DB1AEE" w:rsidRPr="00DB1AEE" w:rsidRDefault="00DB1AEE" w:rsidP="00DB1AEE">
      <w:pPr>
        <w:widowControl w:val="0"/>
        <w:suppressAutoHyphens/>
        <w:ind w:left="360" w:hanging="288"/>
        <w:jc w:val="left"/>
        <w:rPr>
          <w:b/>
          <w:bCs/>
          <w:u w:val="single"/>
        </w:rPr>
      </w:pPr>
      <w:r w:rsidRPr="00DB1AEE">
        <w:rPr>
          <w:b/>
          <w:bCs/>
          <w:u w:val="single"/>
        </w:rPr>
        <w:t>5.8.2.2 Labeling of Fenestration and Door Products.</w:t>
      </w:r>
    </w:p>
    <w:p w14:paraId="3ECCC2BF" w14:textId="77777777" w:rsidR="00DB1AEE" w:rsidRPr="00DB1AEE" w:rsidRDefault="00DB1AEE" w:rsidP="00DB1AEE">
      <w:pPr>
        <w:widowControl w:val="0"/>
        <w:suppressAutoHyphens/>
        <w:ind w:left="72"/>
        <w:jc w:val="left"/>
        <w:rPr>
          <w:u w:val="single"/>
        </w:rPr>
      </w:pPr>
      <w:r w:rsidRPr="00DB1AEE">
        <w:rPr>
          <w:u w:val="single"/>
        </w:rPr>
        <w:t>All manufactured and site-built fenestration and door products shall demonstrate compliance with U-value and SHGC requirements through a 3rd party labeling program recognized by ANSI, ILACor MiRA and acceptable to the commissioner , or a signed and dated certificate showing compliance through modeling performed using Lawrence Berkley National Labs WINDOW/THERM software at the sizes and Boundary conditions prescribed in NFRC -100/200. The simulation shall be provided by a third-party recognized by ANSI, ILAC,MiRa or an NFRC certified simulator. Air infiltration rate shall be demonstrated by testing to ASTM E283, the test shall be conducted at an independent third-party laboratory recognized by ANSI, ILAC or MiRa, and shall be less than 5 years old.</w:t>
      </w:r>
    </w:p>
    <w:p w14:paraId="5057EFDA" w14:textId="77777777" w:rsidR="00DB1AEE" w:rsidRPr="00DB1AEE" w:rsidRDefault="00DB1AEE" w:rsidP="00DB1AEE">
      <w:pPr>
        <w:widowControl w:val="0"/>
        <w:suppressAutoHyphens/>
        <w:ind w:left="720" w:hanging="288"/>
        <w:jc w:val="left"/>
        <w:rPr>
          <w:u w:val="single"/>
        </w:rPr>
      </w:pPr>
    </w:p>
    <w:p w14:paraId="58996F90" w14:textId="77777777" w:rsidR="00DB1AEE" w:rsidRPr="00DB1AEE" w:rsidRDefault="00DB1AEE" w:rsidP="00DB1AEE">
      <w:pPr>
        <w:widowControl w:val="0"/>
        <w:suppressAutoHyphens/>
        <w:spacing w:before="130" w:after="130"/>
        <w:jc w:val="left"/>
        <w:rPr>
          <w:b/>
          <w:bCs/>
          <w:u w:val="single"/>
        </w:rPr>
      </w:pPr>
      <w:r w:rsidRPr="00DB1AEE">
        <w:rPr>
          <w:b/>
          <w:bCs/>
          <w:u w:val="single"/>
        </w:rPr>
        <w:t xml:space="preserve">Section 6 - Heating, Ventilating, and Air Conditioning.   </w:t>
      </w:r>
    </w:p>
    <w:p w14:paraId="1159BA56" w14:textId="77777777" w:rsidR="00DB1AEE" w:rsidRPr="00DB1AEE" w:rsidRDefault="00DB1AEE" w:rsidP="00DB1AEE">
      <w:pPr>
        <w:widowControl w:val="0"/>
        <w:suppressAutoHyphens/>
        <w:spacing w:before="130" w:after="130"/>
        <w:jc w:val="left"/>
        <w:rPr>
          <w:b/>
          <w:bCs/>
          <w:u w:val="single"/>
        </w:rPr>
      </w:pPr>
      <w:r w:rsidRPr="00DB1AEE">
        <w:rPr>
          <w:b/>
          <w:bCs/>
          <w:u w:val="single"/>
        </w:rPr>
        <w:t>Section 6.1.4.1.1.</w:t>
      </w:r>
    </w:p>
    <w:p w14:paraId="3A4E329C" w14:textId="77777777" w:rsidR="00DB1AEE" w:rsidRPr="00DB1AEE" w:rsidRDefault="00DB1AEE" w:rsidP="00DB1AEE">
      <w:pPr>
        <w:widowControl w:val="0"/>
        <w:suppressAutoHyphens/>
        <w:spacing w:before="130" w:after="130"/>
        <w:jc w:val="left"/>
        <w:rPr>
          <w:u w:val="single"/>
        </w:rPr>
      </w:pPr>
      <w:r w:rsidRPr="00DB1AEE">
        <w:rPr>
          <w:u w:val="single"/>
        </w:rPr>
        <w:t>Section 6.1.4.1.1 – Add new Section 6.1.4.1.1 to read as follows:</w:t>
      </w:r>
    </w:p>
    <w:p w14:paraId="64F85B71" w14:textId="77777777" w:rsidR="00DB1AEE" w:rsidRPr="00DB1AEE" w:rsidRDefault="00DB1AEE" w:rsidP="00DB1AEE">
      <w:pPr>
        <w:widowControl w:val="0"/>
        <w:suppressAutoHyphens/>
        <w:spacing w:before="130" w:after="130"/>
        <w:jc w:val="left"/>
        <w:rPr>
          <w:u w:val="single"/>
        </w:rPr>
      </w:pPr>
      <w:r w:rsidRPr="00DB1AEE">
        <w:rPr>
          <w:b/>
          <w:bCs/>
          <w:u w:val="single"/>
        </w:rPr>
        <w:t xml:space="preserve">6.1.4.1.1 </w:t>
      </w:r>
      <w:r w:rsidRPr="00DB1AEE">
        <w:rPr>
          <w:u w:val="single"/>
        </w:rPr>
        <w:t>Where controls are altered for more than 50% of the terminal distribution elements of a space heating or cooling system, the controls for all commonly served terminals and the associated, immediately upstream equipment shall comply with the controls requirements of sections 6.4 and 6.5 as new. Controls for HVAC zones that are altered based on reconfiguration of the associated space notwithstanding alterations to the HVAC system shall comply with sections 6.4 and 6.5.</w:t>
      </w:r>
    </w:p>
    <w:p w14:paraId="26D8F6E9" w14:textId="77777777" w:rsidR="00DB1AEE" w:rsidRPr="00DB1AEE" w:rsidRDefault="00DB1AEE" w:rsidP="00DB1AEE">
      <w:pPr>
        <w:widowControl w:val="0"/>
        <w:suppressAutoHyphens/>
        <w:spacing w:before="130" w:after="130"/>
        <w:ind w:left="288" w:hanging="288"/>
        <w:jc w:val="left"/>
        <w:rPr>
          <w:u w:val="single"/>
        </w:rPr>
      </w:pPr>
      <w:r w:rsidRPr="00DB1AEE">
        <w:rPr>
          <w:u w:val="single"/>
        </w:rPr>
        <w:t>Exceptions:</w:t>
      </w:r>
    </w:p>
    <w:p w14:paraId="6C8521F5" w14:textId="77777777" w:rsidR="00DB1AEE" w:rsidRPr="00DB1AEE" w:rsidRDefault="00DB1AEE" w:rsidP="00DB1AEE">
      <w:pPr>
        <w:widowControl w:val="0"/>
        <w:suppressAutoHyphens/>
        <w:spacing w:before="130" w:after="130"/>
        <w:ind w:left="288" w:hanging="288"/>
        <w:jc w:val="left"/>
        <w:rPr>
          <w:u w:val="single"/>
        </w:rPr>
      </w:pPr>
      <w:r w:rsidRPr="00DB1AEE">
        <w:rPr>
          <w:u w:val="single"/>
        </w:rPr>
        <w:t>1. Controls for terminals located in a space occupied by a different tenant than the altered space.</w:t>
      </w:r>
    </w:p>
    <w:p w14:paraId="4A74A1A0" w14:textId="77777777" w:rsidR="00DB1AEE" w:rsidRPr="00DB1AEE" w:rsidRDefault="00DB1AEE" w:rsidP="00DB1AEE">
      <w:pPr>
        <w:widowControl w:val="0"/>
        <w:suppressAutoHyphens/>
        <w:spacing w:before="130" w:after="130"/>
        <w:ind w:left="288" w:hanging="288"/>
        <w:jc w:val="left"/>
        <w:rPr>
          <w:u w:val="single"/>
        </w:rPr>
      </w:pPr>
      <w:r w:rsidRPr="00DB1AEE">
        <w:rPr>
          <w:u w:val="single"/>
        </w:rPr>
        <w:t>2. Control provisions of sections 6.4 and 6.5 which are impossible to achieve without an alteration of otherwise unaltered non-control elements of the associated plant equipment.</w:t>
      </w:r>
    </w:p>
    <w:p w14:paraId="77694712" w14:textId="77777777" w:rsidR="00DB1AEE" w:rsidRPr="00DB1AEE" w:rsidRDefault="00DB1AEE" w:rsidP="00DB1AEE">
      <w:pPr>
        <w:widowControl w:val="0"/>
        <w:suppressAutoHyphens/>
        <w:spacing w:before="130" w:after="130"/>
        <w:ind w:left="288" w:hanging="288"/>
        <w:jc w:val="left"/>
        <w:rPr>
          <w:u w:val="single"/>
        </w:rPr>
      </w:pPr>
      <w:r w:rsidRPr="00DB1AEE">
        <w:rPr>
          <w:u w:val="single"/>
        </w:rPr>
        <w:t>3. Alterations of controls limited to relocation of control devices within a HVAC zone where there is no reconfiguration of space.</w:t>
      </w:r>
    </w:p>
    <w:p w14:paraId="1CD8767A" w14:textId="77777777" w:rsidR="00DB1AEE" w:rsidRPr="00DB1AEE" w:rsidRDefault="00DB1AEE" w:rsidP="00DB1AEE">
      <w:pPr>
        <w:widowControl w:val="0"/>
        <w:suppressAutoHyphens/>
        <w:spacing w:before="130" w:after="130"/>
        <w:jc w:val="left"/>
        <w:rPr>
          <w:b/>
          <w:bCs/>
          <w:u w:val="single"/>
        </w:rPr>
      </w:pPr>
      <w:r w:rsidRPr="00DB1AEE">
        <w:rPr>
          <w:b/>
          <w:bCs/>
          <w:u w:val="single"/>
        </w:rPr>
        <w:t>Section 6.1.4.2.</w:t>
      </w:r>
    </w:p>
    <w:p w14:paraId="3745E064" w14:textId="77777777" w:rsidR="00DB1AEE" w:rsidRPr="00DB1AEE" w:rsidRDefault="00DB1AEE" w:rsidP="00DB1AEE">
      <w:pPr>
        <w:widowControl w:val="0"/>
        <w:suppressAutoHyphens/>
        <w:spacing w:before="130" w:after="130"/>
        <w:jc w:val="left"/>
        <w:rPr>
          <w:u w:val="single"/>
        </w:rPr>
      </w:pPr>
      <w:r w:rsidRPr="00DB1AEE">
        <w:rPr>
          <w:u w:val="single"/>
        </w:rPr>
        <w:t>Section 6.1.4.2- Revise Section 6.1.4.2  to read as follows:</w:t>
      </w:r>
    </w:p>
    <w:p w14:paraId="0EBE2D67" w14:textId="77777777" w:rsidR="00DB1AEE" w:rsidRPr="00DB1AEE" w:rsidRDefault="00DB1AEE" w:rsidP="00DB1AEE">
      <w:pPr>
        <w:widowControl w:val="0"/>
        <w:suppressAutoHyphens/>
        <w:spacing w:before="130" w:after="130"/>
        <w:ind w:left="360"/>
        <w:jc w:val="left"/>
        <w:rPr>
          <w:b/>
          <w:bCs/>
          <w:u w:val="single"/>
        </w:rPr>
      </w:pPr>
      <w:r w:rsidRPr="00DB1AEE">
        <w:rPr>
          <w:b/>
          <w:bCs/>
          <w:u w:val="single"/>
        </w:rPr>
        <w:t xml:space="preserve">6.1.4.2  </w:t>
      </w:r>
    </w:p>
    <w:p w14:paraId="30E0906D" w14:textId="77777777" w:rsidR="00DB1AEE" w:rsidRPr="00DB1AEE" w:rsidRDefault="00DB1AEE" w:rsidP="00DB1AEE">
      <w:pPr>
        <w:widowControl w:val="0"/>
        <w:suppressAutoHyphens/>
        <w:spacing w:before="130" w:after="130"/>
        <w:ind w:left="360"/>
        <w:jc w:val="left"/>
        <w:rPr>
          <w:u w:val="single"/>
        </w:rPr>
      </w:pPr>
      <w:r w:rsidRPr="00DB1AEE">
        <w:rPr>
          <w:u w:val="single"/>
        </w:rPr>
        <w:t>New cooling systems installed to serve previously uncooled spaces and new heating systems installed to serve previously unheated spaces shall comply with this section as described in Section 6.2.</w:t>
      </w:r>
    </w:p>
    <w:p w14:paraId="32116E6E" w14:textId="77777777" w:rsidR="00DB1AEE" w:rsidRPr="00DB1AEE" w:rsidRDefault="00DB1AEE" w:rsidP="00DB1AEE">
      <w:pPr>
        <w:widowControl w:val="0"/>
        <w:suppressAutoHyphens/>
        <w:spacing w:before="130" w:after="130"/>
        <w:jc w:val="left"/>
        <w:rPr>
          <w:b/>
          <w:bCs/>
          <w:u w:val="single"/>
        </w:rPr>
      </w:pPr>
      <w:r w:rsidRPr="00DB1AEE">
        <w:rPr>
          <w:b/>
          <w:bCs/>
          <w:u w:val="single"/>
        </w:rPr>
        <w:t>Section 6.3.2</w:t>
      </w:r>
      <w:r w:rsidRPr="00DB1AEE">
        <w:rPr>
          <w:b/>
          <w:bCs/>
          <w:u w:val="single"/>
        </w:rPr>
        <w:tab/>
        <w:t>Criteria.</w:t>
      </w:r>
    </w:p>
    <w:p w14:paraId="61C63AB7" w14:textId="77777777" w:rsidR="00DB1AEE" w:rsidRPr="00DB1AEE" w:rsidRDefault="00DB1AEE" w:rsidP="00DB1AEE">
      <w:pPr>
        <w:widowControl w:val="0"/>
        <w:suppressAutoHyphens/>
        <w:spacing w:before="130" w:after="130"/>
        <w:jc w:val="left"/>
        <w:rPr>
          <w:u w:val="single"/>
        </w:rPr>
      </w:pPr>
      <w:r w:rsidRPr="00DB1AEE">
        <w:rPr>
          <w:u w:val="single"/>
        </w:rPr>
        <w:t>Section 6.3.2- Revise Item “e” from Section 6.3.2to read as follows:</w:t>
      </w:r>
    </w:p>
    <w:p w14:paraId="0CC766A2" w14:textId="77777777" w:rsidR="00DB1AEE" w:rsidRPr="00DB1AEE" w:rsidRDefault="00DB1AEE" w:rsidP="00DB1AEE">
      <w:pPr>
        <w:widowControl w:val="0"/>
        <w:suppressAutoHyphens/>
        <w:spacing w:before="130" w:after="130"/>
        <w:ind w:left="648" w:hanging="288"/>
        <w:jc w:val="left"/>
        <w:rPr>
          <w:u w:val="single"/>
        </w:rPr>
      </w:pPr>
      <w:r w:rsidRPr="00DB1AEE">
        <w:rPr>
          <w:u w:val="single"/>
        </w:rPr>
        <w:t>e.</w:t>
      </w:r>
      <w:r w:rsidRPr="00DB1AEE">
        <w:rPr>
          <w:u w:val="single"/>
        </w:rPr>
        <w:tab/>
        <w:t>Heating (if any) shall be provided by a unitary packaged or split-system heat pump that meets the applicable efficiency requirements shown in Table 6.8.1-2 (heat pumps) or Table 6.8.1-4 (packaged terminal and room air conditioners and heat pumps), a fuel- fired furnace that meets the applicable efficiency requirements shown in Table 6.8.1-5 (furnaces, duct furnaces, and unit heaters), , or a baseboard system connected to a boiler that meets the applicable efficiency requirements shown in Table 6.8.1-6 (boilers) and Section 6.4.1.6 (Buildings With High Efficiency Space Heating Gas Boiler Systems). Heating equipment shall also comply with Section 6.4.14.</w:t>
      </w:r>
    </w:p>
    <w:p w14:paraId="58B91AC2" w14:textId="77777777" w:rsidR="00DB1AEE" w:rsidRPr="00DB1AEE" w:rsidRDefault="00DB1AEE" w:rsidP="00DB1AEE">
      <w:pPr>
        <w:widowControl w:val="0"/>
        <w:suppressAutoHyphens/>
        <w:spacing w:before="130" w:after="130"/>
        <w:jc w:val="left"/>
        <w:rPr>
          <w:u w:val="single"/>
        </w:rPr>
      </w:pPr>
      <w:r w:rsidRPr="00DB1AEE">
        <w:rPr>
          <w:u w:val="single"/>
        </w:rPr>
        <w:t>Revise Item “h” from Section 6.3.2 to read as follows:</w:t>
      </w:r>
    </w:p>
    <w:p w14:paraId="5044705F" w14:textId="77777777" w:rsidR="00DB1AEE" w:rsidRPr="00DB1AEE" w:rsidRDefault="00DB1AEE" w:rsidP="00DB1AEE">
      <w:pPr>
        <w:widowControl w:val="0"/>
        <w:suppressAutoHyphens/>
        <w:spacing w:before="130" w:after="130"/>
        <w:ind w:left="648" w:hanging="288"/>
        <w:jc w:val="left"/>
        <w:rPr>
          <w:u w:val="single"/>
        </w:rPr>
      </w:pPr>
      <w:r w:rsidRPr="00DB1AEE">
        <w:rPr>
          <w:u w:val="single"/>
        </w:rPr>
        <w:t>h.</w:t>
      </w:r>
      <w:r w:rsidRPr="00DB1AEE">
        <w:rPr>
          <w:u w:val="single"/>
        </w:rPr>
        <w:tab/>
        <w:t>If a heat pump equipped with auxiliary internal electric resistance heaters is installed, controls shall be provided that prevent supplemental heater operation when the heat- ing load can be met by the heat pump alone during both steady-state operation and setback recovery. Supplemental heater operation is permitted during outdoor coil defrost cycles. The heat pump must be controlled by either (1) a digital or electronic thermostat designed for heat pump use that energizes auxiliary heat only when the heat pump has insufficient capacity to maintain set point or to warm up the space at a sufficient rate or (2) a multistage space thermostat and an outdoor air thermostat wired to energize auxiliary heat only on the last stage of the space thermostat and when outdoor air temperature is less than 17 °F.</w:t>
      </w:r>
    </w:p>
    <w:p w14:paraId="6C97DBED" w14:textId="77777777" w:rsidR="00DB1AEE" w:rsidRPr="00DB1AEE" w:rsidRDefault="00DB1AEE" w:rsidP="00DB1AEE">
      <w:pPr>
        <w:widowControl w:val="0"/>
        <w:suppressAutoHyphens/>
        <w:spacing w:before="130" w:after="130"/>
        <w:ind w:left="648"/>
        <w:jc w:val="left"/>
        <w:rPr>
          <w:u w:val="single"/>
        </w:rPr>
      </w:pPr>
      <w:r w:rsidRPr="00DB1AEE">
        <w:rPr>
          <w:u w:val="single"/>
        </w:rPr>
        <w:t>Exception to 6.3.2(h)</w:t>
      </w:r>
    </w:p>
    <w:p w14:paraId="18DD1720" w14:textId="77777777" w:rsidR="00DB1AEE" w:rsidRPr="00DB1AEE" w:rsidRDefault="00DB1AEE" w:rsidP="00DB1AEE">
      <w:pPr>
        <w:widowControl w:val="0"/>
        <w:suppressAutoHyphens/>
        <w:spacing w:before="130" w:after="130"/>
        <w:ind w:left="648"/>
        <w:jc w:val="left"/>
        <w:rPr>
          <w:u w:val="single"/>
        </w:rPr>
      </w:pPr>
      <w:r w:rsidRPr="00DB1AEE">
        <w:rPr>
          <w:u w:val="single"/>
        </w:rPr>
        <w:t>Heat pumps that comply with the following:</w:t>
      </w:r>
    </w:p>
    <w:p w14:paraId="74CCDC32" w14:textId="77777777" w:rsidR="00DB1AEE" w:rsidRPr="00DB1AEE" w:rsidRDefault="00DB1AEE" w:rsidP="00DB1AEE">
      <w:pPr>
        <w:widowControl w:val="0"/>
        <w:suppressAutoHyphens/>
        <w:spacing w:before="130" w:after="130"/>
        <w:ind w:left="648"/>
        <w:jc w:val="left"/>
        <w:rPr>
          <w:u w:val="single"/>
        </w:rPr>
      </w:pPr>
      <w:r w:rsidRPr="00DB1AEE">
        <w:rPr>
          <w:u w:val="single"/>
        </w:rPr>
        <w:t>1. Have a minimum efficiency regulated by NAECA.</w:t>
      </w:r>
    </w:p>
    <w:p w14:paraId="7228657E" w14:textId="77777777" w:rsidR="00DB1AEE" w:rsidRPr="00DB1AEE" w:rsidRDefault="00DB1AEE" w:rsidP="00DB1AEE">
      <w:pPr>
        <w:widowControl w:val="0"/>
        <w:suppressAutoHyphens/>
        <w:spacing w:before="130" w:after="130"/>
        <w:ind w:left="648"/>
        <w:jc w:val="left"/>
        <w:rPr>
          <w:u w:val="single"/>
        </w:rPr>
      </w:pPr>
      <w:r w:rsidRPr="00DB1AEE">
        <w:rPr>
          <w:u w:val="single"/>
        </w:rPr>
        <w:t>2. Meet the requirements in Table 6.8.1-2.</w:t>
      </w:r>
    </w:p>
    <w:p w14:paraId="12CA9261" w14:textId="77777777" w:rsidR="00DB1AEE" w:rsidRPr="00DB1AEE" w:rsidRDefault="00DB1AEE" w:rsidP="00DB1AEE">
      <w:pPr>
        <w:widowControl w:val="0"/>
        <w:suppressAutoHyphens/>
        <w:spacing w:before="130" w:after="130"/>
        <w:ind w:left="648"/>
        <w:jc w:val="left"/>
        <w:rPr>
          <w:u w:val="single"/>
        </w:rPr>
      </w:pPr>
      <w:r w:rsidRPr="00DB1AEE">
        <w:rPr>
          <w:u w:val="single"/>
        </w:rPr>
        <w:t>3. Include all usage of internal electric resistance heating.</w:t>
      </w:r>
    </w:p>
    <w:p w14:paraId="005E539B" w14:textId="77777777" w:rsidR="00DB1AEE" w:rsidRPr="00DB1AEE" w:rsidRDefault="00DB1AEE" w:rsidP="00DB1AEE">
      <w:pPr>
        <w:widowControl w:val="0"/>
        <w:suppressAutoHyphens/>
        <w:spacing w:before="130" w:after="130"/>
        <w:jc w:val="left"/>
        <w:rPr>
          <w:b/>
          <w:bCs/>
          <w:u w:val="single"/>
        </w:rPr>
      </w:pPr>
      <w:r w:rsidRPr="00DB1AEE">
        <w:rPr>
          <w:b/>
          <w:bCs/>
          <w:u w:val="single"/>
        </w:rPr>
        <w:t>Section 6.4.1.6</w:t>
      </w:r>
      <w:r w:rsidRPr="00DB1AEE">
        <w:t xml:space="preserve"> </w:t>
      </w:r>
      <w:r w:rsidRPr="00DB1AEE">
        <w:rPr>
          <w:b/>
          <w:bCs/>
          <w:u w:val="single"/>
        </w:rPr>
        <w:t>Buildings With High Efficiency Space Heating Gas Boiler Systems.</w:t>
      </w:r>
    </w:p>
    <w:p w14:paraId="3DBA15E9" w14:textId="77777777" w:rsidR="00DB1AEE" w:rsidRPr="00DB1AEE" w:rsidRDefault="00DB1AEE" w:rsidP="00DB1AEE">
      <w:pPr>
        <w:widowControl w:val="0"/>
        <w:suppressAutoHyphens/>
        <w:spacing w:before="130" w:after="130"/>
        <w:jc w:val="left"/>
        <w:rPr>
          <w:u w:val="single"/>
        </w:rPr>
      </w:pPr>
      <w:r w:rsidRPr="00DB1AEE">
        <w:rPr>
          <w:u w:val="single"/>
        </w:rPr>
        <w:t>Section 6.4.1.6 - Add new Section 6.4.1.6 to read as follows:</w:t>
      </w:r>
    </w:p>
    <w:p w14:paraId="26E752C1" w14:textId="77777777" w:rsidR="00DB1AEE" w:rsidRPr="00DB1AEE" w:rsidRDefault="00DB1AEE" w:rsidP="00DB1AEE">
      <w:pPr>
        <w:widowControl w:val="0"/>
        <w:suppressAutoHyphens/>
        <w:spacing w:before="130" w:after="130"/>
        <w:ind w:left="360"/>
        <w:jc w:val="left"/>
        <w:rPr>
          <w:b/>
          <w:bCs/>
          <w:u w:val="single"/>
        </w:rPr>
      </w:pPr>
      <w:r w:rsidRPr="00DB1AEE">
        <w:rPr>
          <w:b/>
          <w:bCs/>
          <w:u w:val="single"/>
        </w:rPr>
        <w:t>6.4.1.6 Buildings With High Efficiency Space Heating Gas Boiler Systems</w:t>
      </w:r>
    </w:p>
    <w:p w14:paraId="135E8671" w14:textId="77777777" w:rsidR="00DB1AEE" w:rsidRPr="00DB1AEE" w:rsidRDefault="00DB1AEE" w:rsidP="00DB1AEE">
      <w:pPr>
        <w:widowControl w:val="0"/>
        <w:suppressAutoHyphens/>
        <w:spacing w:before="130" w:after="130"/>
        <w:ind w:left="360"/>
        <w:jc w:val="left"/>
        <w:rPr>
          <w:u w:val="single"/>
        </w:rPr>
      </w:pPr>
      <w:r w:rsidRPr="00DB1AEE">
        <w:rPr>
          <w:u w:val="single"/>
        </w:rPr>
        <w:t>New buildings where space heating is served by one or more gas hot water boilers with a minimum thermal efficiency (Et) of 90% when rated in accordance with the test procedures in Table 6.5.4.1 shall comply with this section, unless otherwise approved by the authority having jurisdiction. The hot water distribution system shall be designed so that the coils and other heat exchangers are selected such that at outdoor design conditions, the hot water return temperature entering the boilers is120°F, or less when the boiler is firing.</w:t>
      </w:r>
    </w:p>
    <w:p w14:paraId="2C5845BD" w14:textId="77777777" w:rsidR="00DB1AEE" w:rsidRPr="00DB1AEE" w:rsidRDefault="00DB1AEE" w:rsidP="00DB1AEE">
      <w:pPr>
        <w:widowControl w:val="0"/>
        <w:suppressAutoHyphens/>
        <w:spacing w:before="130" w:after="130"/>
        <w:jc w:val="left"/>
        <w:rPr>
          <w:b/>
          <w:bCs/>
          <w:u w:val="single"/>
        </w:rPr>
      </w:pPr>
      <w:r w:rsidRPr="00DB1AEE">
        <w:rPr>
          <w:b/>
          <w:bCs/>
          <w:u w:val="single"/>
        </w:rPr>
        <w:t>Section 6.4.4.1.3</w:t>
      </w:r>
      <w:r w:rsidRPr="00DB1AEE">
        <w:rPr>
          <w:b/>
          <w:bCs/>
          <w:u w:val="single"/>
        </w:rPr>
        <w:tab/>
        <w:t>Piping Insulation.</w:t>
      </w:r>
    </w:p>
    <w:p w14:paraId="51782F56" w14:textId="77777777" w:rsidR="00DB1AEE" w:rsidRPr="00DB1AEE" w:rsidRDefault="00DB1AEE" w:rsidP="00DB1AEE">
      <w:pPr>
        <w:widowControl w:val="0"/>
        <w:suppressAutoHyphens/>
        <w:spacing w:before="130" w:after="130"/>
        <w:jc w:val="left"/>
        <w:rPr>
          <w:u w:val="single"/>
        </w:rPr>
      </w:pPr>
      <w:r w:rsidRPr="00DB1AEE">
        <w:rPr>
          <w:u w:val="single"/>
        </w:rPr>
        <w:t>Section 6.4.4.1.3- Remove exception 3 from Section 6.4.4.1.3.</w:t>
      </w:r>
    </w:p>
    <w:p w14:paraId="0ABCE19E" w14:textId="77777777" w:rsidR="00DB1AEE" w:rsidRPr="00DB1AEE" w:rsidRDefault="00DB1AEE" w:rsidP="00DB1AEE">
      <w:pPr>
        <w:widowControl w:val="0"/>
        <w:suppressAutoHyphens/>
        <w:spacing w:before="130" w:after="130"/>
        <w:jc w:val="left"/>
        <w:rPr>
          <w:b/>
          <w:bCs/>
          <w:u w:val="single"/>
        </w:rPr>
      </w:pPr>
      <w:r w:rsidRPr="00DB1AEE">
        <w:rPr>
          <w:b/>
          <w:bCs/>
          <w:u w:val="single"/>
        </w:rPr>
        <w:t>Section 6.5.6.1.2 Spaces Other than Nontransient Dwelling Units.</w:t>
      </w:r>
    </w:p>
    <w:p w14:paraId="0B28290B" w14:textId="77777777" w:rsidR="00DB1AEE" w:rsidRPr="00DB1AEE" w:rsidRDefault="00DB1AEE" w:rsidP="00DB1AEE">
      <w:pPr>
        <w:widowControl w:val="0"/>
        <w:suppressAutoHyphens/>
        <w:spacing w:before="130" w:after="130"/>
        <w:jc w:val="left"/>
        <w:rPr>
          <w:u w:val="single"/>
        </w:rPr>
      </w:pPr>
      <w:r w:rsidRPr="00DB1AEE">
        <w:rPr>
          <w:u w:val="single"/>
        </w:rPr>
        <w:t>Section 6.5.6.1.2 - Revise  Section 6.5.6.1.2 to read as follows:</w:t>
      </w:r>
    </w:p>
    <w:p w14:paraId="1EBB38C8" w14:textId="77777777" w:rsidR="00DB1AEE" w:rsidRPr="00DB1AEE" w:rsidRDefault="00DB1AEE" w:rsidP="00DB1AEE">
      <w:pPr>
        <w:widowControl w:val="0"/>
        <w:suppressAutoHyphens/>
        <w:ind w:left="360"/>
        <w:jc w:val="left"/>
        <w:rPr>
          <w:b/>
          <w:bCs/>
          <w:u w:val="single"/>
        </w:rPr>
      </w:pPr>
      <w:r w:rsidRPr="00DB1AEE">
        <w:rPr>
          <w:b/>
          <w:bCs/>
          <w:u w:val="single"/>
        </w:rPr>
        <w:t>6.5.6.1.2</w:t>
      </w:r>
      <w:r w:rsidRPr="00DB1AEE">
        <w:rPr>
          <w:b/>
          <w:bCs/>
          <w:u w:val="single"/>
        </w:rPr>
        <w:tab/>
        <w:t xml:space="preserve">Spaces Other than Nontransient Dwelling Units </w:t>
      </w:r>
    </w:p>
    <w:p w14:paraId="0F7E0376" w14:textId="77777777" w:rsidR="00DB1AEE" w:rsidRPr="00DB1AEE" w:rsidRDefault="00DB1AEE" w:rsidP="00DB1AEE">
      <w:pPr>
        <w:widowControl w:val="0"/>
        <w:suppressAutoHyphens/>
        <w:ind w:left="360"/>
        <w:jc w:val="left"/>
        <w:rPr>
          <w:u w:val="single"/>
        </w:rPr>
      </w:pPr>
      <w:r w:rsidRPr="00DB1AEE">
        <w:rPr>
          <w:u w:val="single"/>
        </w:rPr>
        <w:t>Each fan system serving spaces other than nontransient dwelling units shall have a energy recovery system where the design supply fan airflow rate exceeds the value listed in Tables 6.5.6.1.2-1 and 6.5.6.1.2-2, based on the climate zone and percentage of outdoor air at design airflow conditions. Table 6.5.6.1.2-1 shall be used for all ventilation systems that operate less than 8000 hours per year, and Table 6.5.6.1.2-1 shall be used for all ventilation systems that operate 8000 or more hours per year.</w:t>
      </w:r>
    </w:p>
    <w:p w14:paraId="70577F2F" w14:textId="77777777" w:rsidR="00DB1AEE" w:rsidRPr="00DB1AEE" w:rsidRDefault="00DB1AEE" w:rsidP="00DB1AEE">
      <w:pPr>
        <w:widowControl w:val="0"/>
        <w:suppressAutoHyphens/>
        <w:ind w:left="360"/>
        <w:jc w:val="left"/>
        <w:rPr>
          <w:u w:val="single"/>
        </w:rPr>
      </w:pPr>
      <w:r w:rsidRPr="00DB1AEE">
        <w:rPr>
          <w:u w:val="single"/>
        </w:rPr>
        <w:t>Exceptions to 6.5.6.1.2</w:t>
      </w:r>
    </w:p>
    <w:p w14:paraId="67B72C8D" w14:textId="77777777" w:rsidR="00DB1AEE" w:rsidRPr="00DB1AEE" w:rsidRDefault="00DB1AEE" w:rsidP="00DB1AEE">
      <w:pPr>
        <w:widowControl w:val="0"/>
        <w:suppressAutoHyphens/>
        <w:ind w:left="720" w:hanging="288"/>
        <w:jc w:val="left"/>
        <w:rPr>
          <w:u w:val="single"/>
        </w:rPr>
      </w:pPr>
      <w:r w:rsidRPr="00DB1AEE">
        <w:rPr>
          <w:u w:val="single"/>
        </w:rPr>
        <w:t>1.</w:t>
      </w:r>
      <w:r w:rsidRPr="00DB1AEE">
        <w:rPr>
          <w:u w:val="single"/>
        </w:rPr>
        <w:tab/>
        <w:t>Laboratory systems meeting Section 6.5.7.3.</w:t>
      </w:r>
    </w:p>
    <w:p w14:paraId="79350E70" w14:textId="77777777" w:rsidR="00DB1AEE" w:rsidRPr="00DB1AEE" w:rsidRDefault="00DB1AEE" w:rsidP="00DB1AEE">
      <w:pPr>
        <w:widowControl w:val="0"/>
        <w:suppressAutoHyphens/>
        <w:ind w:left="720" w:hanging="288"/>
        <w:jc w:val="left"/>
        <w:rPr>
          <w:u w:val="single"/>
        </w:rPr>
      </w:pPr>
      <w:r w:rsidRPr="00DB1AEE">
        <w:rPr>
          <w:u w:val="single"/>
        </w:rPr>
        <w:t>2.</w:t>
      </w:r>
      <w:r w:rsidRPr="00DB1AEE">
        <w:rPr>
          <w:u w:val="single"/>
        </w:rPr>
        <w:tab/>
        <w:t>Systems serving spaces that are not cooled and that are heated to less than 60°F.</w:t>
      </w:r>
    </w:p>
    <w:p w14:paraId="0377CA24" w14:textId="77777777" w:rsidR="00DB1AEE" w:rsidRPr="00DB1AEE" w:rsidRDefault="00DB1AEE" w:rsidP="00DB1AEE">
      <w:pPr>
        <w:widowControl w:val="0"/>
        <w:suppressAutoHyphens/>
        <w:ind w:left="720" w:hanging="288"/>
        <w:jc w:val="left"/>
        <w:rPr>
          <w:u w:val="single"/>
        </w:rPr>
      </w:pPr>
      <w:r w:rsidRPr="00DB1AEE">
        <w:rPr>
          <w:u w:val="single"/>
        </w:rPr>
        <w:t>3.</w:t>
      </w:r>
      <w:r w:rsidRPr="00DB1AEE">
        <w:rPr>
          <w:u w:val="single"/>
        </w:rPr>
        <w:tab/>
        <w:t>Heating energy recovery where more than 60% of the outdoor air heating energy is pro- vided from site-recovered energy or on- site- energy in Climate Zones 5 and 6.</w:t>
      </w:r>
    </w:p>
    <w:p w14:paraId="2592667A" w14:textId="77777777" w:rsidR="00DB1AEE" w:rsidRPr="00DB1AEE" w:rsidRDefault="00DB1AEE" w:rsidP="00DB1AEE">
      <w:pPr>
        <w:widowControl w:val="0"/>
        <w:suppressAutoHyphens/>
        <w:ind w:left="720" w:hanging="288"/>
        <w:jc w:val="left"/>
        <w:rPr>
          <w:u w:val="single"/>
        </w:rPr>
      </w:pPr>
      <w:r w:rsidRPr="00DB1AEE">
        <w:rPr>
          <w:u w:val="single"/>
        </w:rPr>
        <w:t>4.</w:t>
      </w:r>
      <w:r w:rsidRPr="00DB1AEE">
        <w:rPr>
          <w:u w:val="single"/>
        </w:rPr>
        <w:tab/>
        <w:t xml:space="preserve"> (Reserved)</w:t>
      </w:r>
    </w:p>
    <w:p w14:paraId="7C720DEA" w14:textId="77777777" w:rsidR="00DB1AEE" w:rsidRPr="00DB1AEE" w:rsidRDefault="00DB1AEE" w:rsidP="00DB1AEE">
      <w:pPr>
        <w:widowControl w:val="0"/>
        <w:suppressAutoHyphens/>
        <w:ind w:left="720" w:hanging="288"/>
        <w:jc w:val="left"/>
        <w:rPr>
          <w:u w:val="single"/>
        </w:rPr>
      </w:pPr>
      <w:r w:rsidRPr="00DB1AEE">
        <w:rPr>
          <w:u w:val="single"/>
        </w:rPr>
        <w:t>5.</w:t>
      </w:r>
      <w:r w:rsidRPr="00DB1AEE">
        <w:rPr>
          <w:u w:val="single"/>
        </w:rPr>
        <w:tab/>
        <w:t xml:space="preserve"> (Reserved)</w:t>
      </w:r>
    </w:p>
    <w:p w14:paraId="3E8CC1AB" w14:textId="77777777" w:rsidR="00DB1AEE" w:rsidRPr="00DB1AEE" w:rsidRDefault="00DB1AEE" w:rsidP="00DB1AEE">
      <w:pPr>
        <w:widowControl w:val="0"/>
        <w:suppressAutoHyphens/>
        <w:ind w:left="720" w:hanging="288"/>
        <w:jc w:val="left"/>
        <w:rPr>
          <w:u w:val="single"/>
        </w:rPr>
      </w:pPr>
      <w:r w:rsidRPr="00DB1AEE">
        <w:rPr>
          <w:u w:val="single"/>
        </w:rPr>
        <w:t>6.</w:t>
      </w:r>
      <w:r w:rsidRPr="00DB1AEE">
        <w:rPr>
          <w:u w:val="single"/>
        </w:rPr>
        <w:tab/>
        <w:t>Where the sum of the airflow rates exhausted and relieved within 20 ft of each other is less than 75% of the design ventilation outdoor airflow rate, excluding exhaust air that is any of the following:</w:t>
      </w:r>
    </w:p>
    <w:p w14:paraId="38EE9A1C" w14:textId="77777777" w:rsidR="00DB1AEE" w:rsidRPr="00DB1AEE" w:rsidRDefault="00DB1AEE" w:rsidP="00DB1AEE">
      <w:pPr>
        <w:widowControl w:val="0"/>
        <w:suppressAutoHyphens/>
        <w:ind w:left="1440" w:hanging="288"/>
        <w:jc w:val="left"/>
        <w:rPr>
          <w:u w:val="single"/>
        </w:rPr>
      </w:pPr>
      <w:r w:rsidRPr="00DB1AEE">
        <w:rPr>
          <w:u w:val="single"/>
        </w:rPr>
        <w:t>a.</w:t>
      </w:r>
      <w:r w:rsidRPr="00DB1AEE">
        <w:rPr>
          <w:u w:val="single"/>
        </w:rPr>
        <w:tab/>
        <w:t>used for another energy recovery system,</w:t>
      </w:r>
    </w:p>
    <w:p w14:paraId="349AE79C" w14:textId="77777777" w:rsidR="00DB1AEE" w:rsidRPr="00DB1AEE" w:rsidRDefault="00DB1AEE" w:rsidP="00DB1AEE">
      <w:pPr>
        <w:widowControl w:val="0"/>
        <w:suppressAutoHyphens/>
        <w:ind w:left="1440" w:hanging="288"/>
        <w:jc w:val="left"/>
        <w:rPr>
          <w:u w:val="single"/>
        </w:rPr>
      </w:pPr>
      <w:r w:rsidRPr="00DB1AEE">
        <w:rPr>
          <w:u w:val="single"/>
        </w:rPr>
        <w:t>b.</w:t>
      </w:r>
      <w:r w:rsidRPr="00DB1AEE">
        <w:rPr>
          <w:u w:val="single"/>
        </w:rPr>
        <w:tab/>
        <w:t>not allowed by ASHRAE/ASHE Standard 170 for use in energy recovery systems with leakage potential, or</w:t>
      </w:r>
    </w:p>
    <w:p w14:paraId="35B4116E" w14:textId="77777777" w:rsidR="00DB1AEE" w:rsidRPr="00DB1AEE" w:rsidRDefault="00DB1AEE" w:rsidP="00DB1AEE">
      <w:pPr>
        <w:widowControl w:val="0"/>
        <w:suppressAutoHyphens/>
        <w:ind w:left="1440" w:hanging="288"/>
        <w:jc w:val="left"/>
        <w:rPr>
          <w:u w:val="single"/>
        </w:rPr>
      </w:pPr>
      <w:r w:rsidRPr="00DB1AEE">
        <w:rPr>
          <w:u w:val="single"/>
        </w:rPr>
        <w:t>c.</w:t>
      </w:r>
      <w:r w:rsidRPr="00DB1AEE">
        <w:rPr>
          <w:u w:val="single"/>
        </w:rPr>
        <w:tab/>
        <w:t>prohibited by the New York City Mechanical Code, or</w:t>
      </w:r>
    </w:p>
    <w:p w14:paraId="580D86EB" w14:textId="77777777" w:rsidR="00DB1AEE" w:rsidRPr="00DB1AEE" w:rsidRDefault="00DB1AEE" w:rsidP="00DB1AEE">
      <w:pPr>
        <w:widowControl w:val="0"/>
        <w:suppressAutoHyphens/>
        <w:ind w:left="1440" w:hanging="288"/>
        <w:jc w:val="left"/>
        <w:rPr>
          <w:u w:val="single"/>
        </w:rPr>
      </w:pPr>
      <w:r w:rsidRPr="00DB1AEE">
        <w:rPr>
          <w:u w:val="single"/>
        </w:rPr>
        <w:t>d.</w:t>
      </w:r>
      <w:r w:rsidRPr="00DB1AEE">
        <w:rPr>
          <w:u w:val="single"/>
        </w:rPr>
        <w:tab/>
        <w:t>of Class 4 as defined in ASHRAE Standard 62.1.</w:t>
      </w:r>
    </w:p>
    <w:p w14:paraId="19FDDD09" w14:textId="77777777" w:rsidR="00DB1AEE" w:rsidRPr="00DB1AEE" w:rsidRDefault="00DB1AEE" w:rsidP="00DB1AEE">
      <w:pPr>
        <w:widowControl w:val="0"/>
        <w:suppressAutoHyphens/>
        <w:ind w:left="720" w:hanging="288"/>
        <w:jc w:val="left"/>
        <w:rPr>
          <w:u w:val="single"/>
        </w:rPr>
      </w:pPr>
      <w:r w:rsidRPr="00DB1AEE">
        <w:rPr>
          <w:u w:val="single"/>
        </w:rPr>
        <w:t>7.</w:t>
      </w:r>
      <w:r w:rsidRPr="00DB1AEE">
        <w:rPr>
          <w:u w:val="single"/>
        </w:rPr>
        <w:tab/>
        <w:t>Systems in Climate Zone 4 requiring dehumidification during heating mode that employ energy recovery and have a minimum SERR of 0.40.</w:t>
      </w:r>
    </w:p>
    <w:p w14:paraId="3B1558D1" w14:textId="77777777" w:rsidR="00DB1AEE" w:rsidRPr="00DB1AEE" w:rsidRDefault="00DB1AEE" w:rsidP="00DB1AEE">
      <w:pPr>
        <w:widowControl w:val="0"/>
        <w:suppressAutoHyphens/>
        <w:ind w:left="720" w:hanging="288"/>
        <w:jc w:val="left"/>
        <w:rPr>
          <w:u w:val="single"/>
        </w:rPr>
      </w:pPr>
      <w:r w:rsidRPr="00DB1AEE">
        <w:rPr>
          <w:u w:val="single"/>
        </w:rPr>
        <w:t>8.</w:t>
      </w:r>
      <w:r w:rsidRPr="00DB1AEE">
        <w:rPr>
          <w:u w:val="single"/>
        </w:rPr>
        <w:tab/>
        <w:t>Systems expected to operate less than 20 hours per week at the outdoor air percentage covered by Table 6.5.6.1.2-1.</w:t>
      </w:r>
    </w:p>
    <w:p w14:paraId="3CFD2CC2" w14:textId="77777777" w:rsidR="00DB1AEE" w:rsidRPr="00DB1AEE" w:rsidRDefault="00DB1AEE" w:rsidP="00DB1AEE">
      <w:pPr>
        <w:widowControl w:val="0"/>
        <w:suppressAutoHyphens/>
        <w:ind w:left="720" w:hanging="288"/>
        <w:jc w:val="left"/>
        <w:rPr>
          <w:u w:val="single"/>
        </w:rPr>
      </w:pPr>
      <w:r w:rsidRPr="00DB1AEE">
        <w:rPr>
          <w:u w:val="single"/>
        </w:rPr>
        <w:t>9.</w:t>
      </w:r>
      <w:r w:rsidRPr="00DB1AEE">
        <w:rPr>
          <w:u w:val="single"/>
        </w:rPr>
        <w:tab/>
        <w:t>Indoor pool dehumidifiers meeting Section 6.5.6.4.</w:t>
      </w:r>
    </w:p>
    <w:p w14:paraId="57AAD85B" w14:textId="77777777" w:rsidR="00DB1AEE" w:rsidRPr="00DB1AEE" w:rsidRDefault="00DB1AEE" w:rsidP="00DB1AEE">
      <w:pPr>
        <w:widowControl w:val="0"/>
        <w:suppressAutoHyphens/>
        <w:spacing w:before="130" w:after="130"/>
        <w:jc w:val="left"/>
        <w:rPr>
          <w:b/>
          <w:bCs/>
          <w:u w:val="single"/>
        </w:rPr>
      </w:pPr>
      <w:r w:rsidRPr="00DB1AEE">
        <w:rPr>
          <w:b/>
          <w:bCs/>
          <w:u w:val="single"/>
        </w:rPr>
        <w:t>Section 6.6.2.2 Criteria.</w:t>
      </w:r>
    </w:p>
    <w:p w14:paraId="503AF8A5" w14:textId="77777777" w:rsidR="00DB1AEE" w:rsidRPr="00DB1AEE" w:rsidRDefault="00DB1AEE" w:rsidP="00DB1AEE">
      <w:pPr>
        <w:widowControl w:val="0"/>
        <w:suppressAutoHyphens/>
        <w:spacing w:before="130" w:after="130"/>
        <w:jc w:val="left"/>
        <w:rPr>
          <w:u w:val="single"/>
        </w:rPr>
      </w:pPr>
      <w:r w:rsidRPr="00DB1AEE">
        <w:rPr>
          <w:u w:val="single"/>
        </w:rPr>
        <w:t>Section 6.6.2.2 -Revise  Section 6.6.2.2 to read as follows:</w:t>
      </w:r>
    </w:p>
    <w:p w14:paraId="0161A6C4" w14:textId="77777777" w:rsidR="00DB1AEE" w:rsidRPr="00DB1AEE" w:rsidRDefault="00DB1AEE" w:rsidP="00DB1AEE">
      <w:pPr>
        <w:widowControl w:val="0"/>
        <w:suppressAutoHyphens/>
        <w:spacing w:before="130" w:after="130"/>
        <w:jc w:val="left"/>
        <w:rPr>
          <w:b/>
          <w:bCs/>
          <w:u w:val="single"/>
        </w:rPr>
      </w:pPr>
      <w:r w:rsidRPr="00DB1AEE">
        <w:rPr>
          <w:b/>
          <w:bCs/>
          <w:u w:val="single"/>
        </w:rPr>
        <w:t>Section 6.7.3.4 System Balancing.</w:t>
      </w:r>
    </w:p>
    <w:p w14:paraId="1A4751FF" w14:textId="77777777" w:rsidR="00DB1AEE" w:rsidRPr="00DB1AEE" w:rsidRDefault="00DB1AEE" w:rsidP="00DB1AEE">
      <w:pPr>
        <w:widowControl w:val="0"/>
        <w:suppressAutoHyphens/>
        <w:spacing w:before="130" w:after="130"/>
        <w:jc w:val="left"/>
        <w:rPr>
          <w:u w:val="single"/>
        </w:rPr>
      </w:pPr>
      <w:r w:rsidRPr="00DB1AEE">
        <w:rPr>
          <w:u w:val="single"/>
        </w:rPr>
        <w:t>Section 6.7.3.4 - Delete Section 6.7.3.3, Section 6.7.3.3.1, Section 6.7.3.3.2, Section 6.7.3.3.3 and add new Section 6.7.3.3, Section 6.7.3.3.1, Section 6.7.3.4, Section 6.7.3.4.1, Section 6.7.3.4.2, Section 6.7.3.4.3, Section 6.7.3.5, Section 6.7.3.5.1, Section 6.7.3.5.2, Section 6.7.3.5.3, Section 6.7.3.5.4, Section 6.7.3.5.4.1, Section 6.7.3.5.4.2, Section 6.7.3.5.5, Section 6.7.3.5.5.1, Section 6.7.3.5.5.2, Section 6.7.3.5.5.3, and Section 6.7.3.5.5.4 in their entirety.</w:t>
      </w:r>
    </w:p>
    <w:p w14:paraId="3D215E3B" w14:textId="77777777" w:rsidR="00DB1AEE" w:rsidRPr="00DB1AEE" w:rsidRDefault="00DB1AEE" w:rsidP="00DB1AEE">
      <w:pPr>
        <w:suppressAutoHyphens/>
        <w:ind w:left="360" w:right="432"/>
        <w:jc w:val="left"/>
        <w:rPr>
          <w:b/>
          <w:vanish/>
          <w:szCs w:val="24"/>
          <w:u w:val="single"/>
        </w:rPr>
      </w:pPr>
      <w:r w:rsidRPr="00DB1AEE">
        <w:rPr>
          <w:b/>
          <w:szCs w:val="24"/>
          <w:u w:val="single"/>
        </w:rPr>
        <w:t xml:space="preserve">6.7.3.3 Mechanical, renewable energy, and service water heating systems commissioning and completion requirements. </w:t>
      </w:r>
    </w:p>
    <w:p w14:paraId="4428E46C" w14:textId="77777777" w:rsidR="00DB1AEE" w:rsidRPr="00DB1AEE" w:rsidRDefault="00DB1AEE" w:rsidP="00DB1AEE">
      <w:pPr>
        <w:suppressAutoHyphens/>
        <w:ind w:left="360" w:right="432"/>
        <w:jc w:val="left"/>
        <w:rPr>
          <w:b/>
          <w:bCs/>
          <w:strike/>
          <w:szCs w:val="24"/>
          <w:u w:val="single"/>
        </w:rPr>
      </w:pPr>
      <w:r w:rsidRPr="00DB1AEE">
        <w:rPr>
          <w:szCs w:val="24"/>
          <w:u w:val="single"/>
        </w:rPr>
        <w:t xml:space="preserve"> </w:t>
      </w:r>
    </w:p>
    <w:p w14:paraId="6FCFE371" w14:textId="77777777" w:rsidR="00DB1AEE" w:rsidRPr="00DB1AEE" w:rsidRDefault="00DB1AEE" w:rsidP="00DB1AEE">
      <w:pPr>
        <w:suppressAutoHyphens/>
        <w:ind w:left="360" w:right="432"/>
        <w:jc w:val="left"/>
        <w:rPr>
          <w:szCs w:val="24"/>
          <w:u w:val="single"/>
        </w:rPr>
      </w:pPr>
      <w:r w:rsidRPr="00DB1AEE">
        <w:rPr>
          <w:szCs w:val="24"/>
          <w:u w:val="single"/>
        </w:rPr>
        <w:t xml:space="preserve">Prior to passing the final mechanical and plumbing inspections, the approved agency shall provide evidence of mechanical systems commissioning and completion in accordance with the provisions of this section. </w:t>
      </w:r>
    </w:p>
    <w:p w14:paraId="15554896" w14:textId="77777777" w:rsidR="00DB1AEE" w:rsidRPr="00DB1AEE" w:rsidRDefault="00DB1AEE" w:rsidP="00DB1AEE">
      <w:pPr>
        <w:suppressAutoHyphens/>
        <w:ind w:left="360" w:firstLine="144"/>
        <w:jc w:val="left"/>
        <w:rPr>
          <w:szCs w:val="24"/>
          <w:u w:val="single"/>
        </w:rPr>
      </w:pPr>
      <w:r w:rsidRPr="00DB1AEE">
        <w:rPr>
          <w:szCs w:val="24"/>
          <w:u w:val="single"/>
        </w:rPr>
        <w:t>Construction document notes shall clearly indicate provisions for commissioning and completion requirements in accordance with this section and are permitted to refer to specifications for further requirements. Copies of all documentation shall be given to the owner or owner’s authorized agent and made available to the building official upon request in accordance with Sections 6.7.3.5.4 and 6.7.3.5.5.</w:t>
      </w:r>
    </w:p>
    <w:p w14:paraId="03CE5094" w14:textId="77777777" w:rsidR="00DB1AEE" w:rsidRPr="00DB1AEE" w:rsidRDefault="00DB1AEE" w:rsidP="00DB1AEE">
      <w:pPr>
        <w:suppressAutoHyphens/>
        <w:ind w:left="360" w:right="432" w:firstLine="144"/>
        <w:jc w:val="left"/>
        <w:rPr>
          <w:szCs w:val="24"/>
          <w:u w:val="single"/>
        </w:rPr>
      </w:pPr>
      <w:r w:rsidRPr="00DB1AEE">
        <w:rPr>
          <w:szCs w:val="24"/>
          <w:u w:val="single"/>
        </w:rPr>
        <w:t>Mechanical systems, renewable energy, and service water heating systems shall include but are not limited to, at a minimum, the following heating, ventilating, air conditioning, service water heating, indoor air quality and refrigeration systems (mechanical and/or passive) and associated controls:</w:t>
      </w:r>
    </w:p>
    <w:p w14:paraId="1CF5E614" w14:textId="77777777" w:rsidR="00DB1AEE" w:rsidRPr="00DB1AEE" w:rsidRDefault="00DB1AEE" w:rsidP="00DB1AEE">
      <w:pPr>
        <w:suppressAutoHyphens/>
        <w:ind w:left="1080" w:right="432" w:hanging="360"/>
        <w:jc w:val="left"/>
        <w:rPr>
          <w:szCs w:val="24"/>
          <w:u w:val="single"/>
        </w:rPr>
      </w:pPr>
      <w:r w:rsidRPr="00DB1AEE">
        <w:rPr>
          <w:szCs w:val="24"/>
          <w:u w:val="single"/>
        </w:rPr>
        <w:t>a.</w:t>
      </w:r>
      <w:r w:rsidRPr="00DB1AEE">
        <w:rPr>
          <w:szCs w:val="24"/>
          <w:u w:val="single"/>
        </w:rPr>
        <w:tab/>
        <w:t>Heating, cooling, air handling and distribution, ventilation, and exhaust systems, and their related air quality monitoring systems.</w:t>
      </w:r>
    </w:p>
    <w:p w14:paraId="20885C78" w14:textId="77777777" w:rsidR="00DB1AEE" w:rsidRPr="00DB1AEE" w:rsidRDefault="00DB1AEE" w:rsidP="00DB1AEE">
      <w:pPr>
        <w:suppressAutoHyphens/>
        <w:ind w:left="1080" w:right="432" w:hanging="360"/>
        <w:jc w:val="left"/>
        <w:rPr>
          <w:szCs w:val="24"/>
          <w:u w:val="single"/>
        </w:rPr>
      </w:pPr>
      <w:r w:rsidRPr="00DB1AEE">
        <w:rPr>
          <w:szCs w:val="24"/>
          <w:u w:val="single"/>
        </w:rPr>
        <w:t>b.</w:t>
      </w:r>
      <w:r w:rsidRPr="00DB1AEE">
        <w:rPr>
          <w:szCs w:val="24"/>
          <w:u w:val="single"/>
        </w:rPr>
        <w:tab/>
        <w:t>Air, water, and other energy recovery systems..</w:t>
      </w:r>
    </w:p>
    <w:p w14:paraId="2A501AD9" w14:textId="77777777" w:rsidR="00DB1AEE" w:rsidRPr="00DB1AEE" w:rsidRDefault="00DB1AEE" w:rsidP="00DB1AEE">
      <w:pPr>
        <w:suppressAutoHyphens/>
        <w:ind w:left="1080" w:right="432" w:hanging="360"/>
        <w:jc w:val="left"/>
        <w:rPr>
          <w:szCs w:val="24"/>
          <w:u w:val="single"/>
        </w:rPr>
      </w:pPr>
      <w:r w:rsidRPr="00DB1AEE">
        <w:rPr>
          <w:szCs w:val="24"/>
          <w:u w:val="single"/>
        </w:rPr>
        <w:t>c.</w:t>
      </w:r>
      <w:r w:rsidRPr="00DB1AEE">
        <w:rPr>
          <w:szCs w:val="24"/>
          <w:u w:val="single"/>
        </w:rPr>
        <w:tab/>
        <w:t>Manual or automatic controls, whether local or remote, on energy using systems including but not limited to temperature controls, setback sequences, and occupancy based control, including energy management functions of the building management system.</w:t>
      </w:r>
    </w:p>
    <w:p w14:paraId="5E22B399" w14:textId="77777777" w:rsidR="00DB1AEE" w:rsidRPr="00DB1AEE" w:rsidRDefault="00DB1AEE" w:rsidP="00DB1AEE">
      <w:pPr>
        <w:suppressAutoHyphens/>
        <w:ind w:left="1080" w:right="432" w:hanging="360"/>
        <w:jc w:val="left"/>
        <w:rPr>
          <w:szCs w:val="24"/>
          <w:u w:val="single"/>
        </w:rPr>
      </w:pPr>
      <w:r w:rsidRPr="00DB1AEE">
        <w:rPr>
          <w:szCs w:val="24"/>
          <w:u w:val="single"/>
        </w:rPr>
        <w:t>d.</w:t>
      </w:r>
      <w:r w:rsidRPr="00DB1AEE">
        <w:rPr>
          <w:szCs w:val="24"/>
          <w:u w:val="single"/>
        </w:rPr>
        <w:tab/>
        <w:t>Plumbing, including insulation of piping and associated valves, domestic and process water pumping, and mixing systems.</w:t>
      </w:r>
    </w:p>
    <w:p w14:paraId="7450DA55" w14:textId="77777777" w:rsidR="00DB1AEE" w:rsidRPr="00DB1AEE" w:rsidRDefault="00DB1AEE" w:rsidP="00DB1AEE">
      <w:pPr>
        <w:suppressAutoHyphens/>
        <w:ind w:left="1080" w:right="432" w:hanging="360"/>
        <w:jc w:val="left"/>
        <w:rPr>
          <w:szCs w:val="24"/>
          <w:u w:val="single"/>
        </w:rPr>
      </w:pPr>
      <w:r w:rsidRPr="00DB1AEE">
        <w:rPr>
          <w:szCs w:val="24"/>
          <w:u w:val="single"/>
        </w:rPr>
        <w:t>e.</w:t>
      </w:r>
      <w:r w:rsidRPr="00DB1AEE">
        <w:rPr>
          <w:szCs w:val="24"/>
          <w:u w:val="single"/>
        </w:rPr>
        <w:tab/>
        <w:t xml:space="preserve">Mechanical heating systems and service water heating systems.    </w:t>
      </w:r>
    </w:p>
    <w:p w14:paraId="5CD4E258" w14:textId="77777777" w:rsidR="00DB1AEE" w:rsidRPr="00DB1AEE" w:rsidRDefault="00DB1AEE" w:rsidP="00DB1AEE">
      <w:pPr>
        <w:suppressAutoHyphens/>
        <w:ind w:left="1080" w:right="432" w:hanging="360"/>
        <w:jc w:val="left"/>
        <w:rPr>
          <w:szCs w:val="24"/>
          <w:u w:val="single"/>
        </w:rPr>
      </w:pPr>
      <w:r w:rsidRPr="00DB1AEE">
        <w:rPr>
          <w:szCs w:val="24"/>
          <w:u w:val="single"/>
        </w:rPr>
        <w:t>f.</w:t>
      </w:r>
      <w:r w:rsidRPr="00DB1AEE">
        <w:rPr>
          <w:szCs w:val="24"/>
          <w:u w:val="single"/>
        </w:rPr>
        <w:tab/>
        <w:t>Refrigeration systems</w:t>
      </w:r>
    </w:p>
    <w:p w14:paraId="6DFC205C" w14:textId="77777777" w:rsidR="00DB1AEE" w:rsidRPr="00DB1AEE" w:rsidRDefault="00DB1AEE" w:rsidP="00DB1AEE">
      <w:pPr>
        <w:suppressAutoHyphens/>
        <w:ind w:left="1080" w:right="432" w:hanging="360"/>
        <w:jc w:val="left"/>
        <w:rPr>
          <w:szCs w:val="24"/>
          <w:u w:val="single"/>
        </w:rPr>
      </w:pPr>
      <w:r w:rsidRPr="00DB1AEE">
        <w:rPr>
          <w:szCs w:val="24"/>
          <w:u w:val="single"/>
        </w:rPr>
        <w:t>g.</w:t>
      </w:r>
      <w:r w:rsidRPr="00DB1AEE">
        <w:rPr>
          <w:szCs w:val="24"/>
          <w:u w:val="single"/>
        </w:rPr>
        <w:tab/>
        <w:t>Renewable energy and energy storage systems.</w:t>
      </w:r>
    </w:p>
    <w:p w14:paraId="7C7253D1" w14:textId="77777777" w:rsidR="00DB1AEE" w:rsidRPr="00DB1AEE" w:rsidRDefault="00DB1AEE" w:rsidP="00DB1AEE">
      <w:pPr>
        <w:suppressAutoHyphens/>
        <w:ind w:left="1080" w:right="432" w:hanging="360"/>
        <w:jc w:val="left"/>
        <w:rPr>
          <w:szCs w:val="24"/>
          <w:u w:val="single"/>
        </w:rPr>
      </w:pPr>
      <w:r w:rsidRPr="00DB1AEE">
        <w:rPr>
          <w:szCs w:val="24"/>
          <w:u w:val="single"/>
        </w:rPr>
        <w:t>h.   Other systems, equipment and components that are used for heating, cooling or ventilation and that affect energy use.</w:t>
      </w:r>
    </w:p>
    <w:p w14:paraId="4906766E" w14:textId="77777777" w:rsidR="00DB1AEE" w:rsidRPr="00DB1AEE" w:rsidRDefault="00DB1AEE" w:rsidP="00DB1AEE">
      <w:pPr>
        <w:suppressAutoHyphens/>
        <w:ind w:left="576" w:firstLine="360"/>
        <w:jc w:val="left"/>
        <w:rPr>
          <w:b/>
          <w:szCs w:val="24"/>
          <w:u w:val="single"/>
        </w:rPr>
      </w:pPr>
      <w:r w:rsidRPr="00DB1AEE">
        <w:rPr>
          <w:b/>
          <w:szCs w:val="24"/>
          <w:u w:val="single"/>
        </w:rPr>
        <w:t>Exceptions to 6.7.3.3</w:t>
      </w:r>
    </w:p>
    <w:p w14:paraId="17FA3D65" w14:textId="77777777" w:rsidR="00DB1AEE" w:rsidRPr="00DB1AEE" w:rsidRDefault="00DB1AEE" w:rsidP="00DB1AEE">
      <w:pPr>
        <w:suppressAutoHyphens/>
        <w:ind w:left="1656" w:right="432" w:hanging="360"/>
        <w:jc w:val="left"/>
        <w:rPr>
          <w:szCs w:val="24"/>
          <w:u w:val="single"/>
        </w:rPr>
      </w:pPr>
      <w:r w:rsidRPr="00DB1AEE">
        <w:rPr>
          <w:szCs w:val="24"/>
          <w:u w:val="single"/>
        </w:rPr>
        <w:t>1.</w:t>
      </w:r>
      <w:r w:rsidRPr="00DB1AEE">
        <w:rPr>
          <w:szCs w:val="24"/>
          <w:u w:val="single"/>
        </w:rPr>
        <w:tab/>
        <w:t>Mechanical systems and service hot water systems in new buildings, additions, or alterations where either the total mechanical equipment capacity being installed or the total mechanical equipment connected load serving the alteration space is less than 480,000 Btu/h (140.7 kW) cooling capacity and 600,000 Btu/h (175.8 kW) combined service water-heating and space-heating capacity.</w:t>
      </w:r>
    </w:p>
    <w:p w14:paraId="76120096" w14:textId="77777777" w:rsidR="00DB1AEE" w:rsidRPr="00DB1AEE" w:rsidRDefault="00DB1AEE" w:rsidP="00DB1AEE">
      <w:pPr>
        <w:suppressAutoHyphens/>
        <w:ind w:left="1656" w:right="432" w:hanging="360"/>
        <w:jc w:val="left"/>
        <w:rPr>
          <w:szCs w:val="24"/>
          <w:u w:val="single"/>
        </w:rPr>
      </w:pPr>
      <w:r w:rsidRPr="00DB1AEE">
        <w:rPr>
          <w:szCs w:val="24"/>
          <w:u w:val="single"/>
        </w:rPr>
        <w:t>2.</w:t>
      </w:r>
      <w:r w:rsidRPr="00DB1AEE">
        <w:rPr>
          <w:szCs w:val="24"/>
          <w:u w:val="single"/>
        </w:rPr>
        <w:tab/>
        <w:t xml:space="preserve">Renewable energy systems being installed with a generating capacity of less than 25kW. </w:t>
      </w:r>
    </w:p>
    <w:p w14:paraId="2BAD83D6" w14:textId="77777777" w:rsidR="00DB1AEE" w:rsidRPr="00DB1AEE" w:rsidRDefault="00DB1AEE" w:rsidP="00DB1AEE">
      <w:pPr>
        <w:suppressAutoHyphens/>
        <w:ind w:left="360" w:right="432"/>
        <w:jc w:val="left"/>
        <w:rPr>
          <w:b/>
          <w:vanish/>
          <w:szCs w:val="24"/>
          <w:u w:val="single"/>
        </w:rPr>
      </w:pPr>
      <w:r w:rsidRPr="00DB1AEE">
        <w:rPr>
          <w:b/>
          <w:szCs w:val="24"/>
          <w:u w:val="single"/>
        </w:rPr>
        <w:t xml:space="preserve">6.7.3.3.1 Commissioning Plan </w:t>
      </w:r>
    </w:p>
    <w:p w14:paraId="3AA780A2" w14:textId="77777777" w:rsidR="00DB1AEE" w:rsidRPr="00DB1AEE" w:rsidRDefault="00DB1AEE" w:rsidP="00DB1AEE">
      <w:pPr>
        <w:suppressAutoHyphens/>
        <w:ind w:left="360" w:right="432"/>
        <w:jc w:val="left"/>
        <w:rPr>
          <w:b/>
          <w:bCs/>
          <w:strike/>
          <w:szCs w:val="24"/>
          <w:u w:val="single"/>
        </w:rPr>
      </w:pPr>
      <w:r w:rsidRPr="00DB1AEE">
        <w:rPr>
          <w:szCs w:val="24"/>
          <w:u w:val="single"/>
        </w:rPr>
        <w:t xml:space="preserve"> </w:t>
      </w:r>
    </w:p>
    <w:p w14:paraId="46FEA32A" w14:textId="77777777" w:rsidR="00DB1AEE" w:rsidRPr="00DB1AEE" w:rsidRDefault="00DB1AEE" w:rsidP="00DB1AEE">
      <w:pPr>
        <w:suppressAutoHyphens/>
        <w:ind w:left="360" w:right="432"/>
        <w:jc w:val="left"/>
        <w:rPr>
          <w:szCs w:val="24"/>
          <w:u w:val="single"/>
        </w:rPr>
      </w:pPr>
      <w:r w:rsidRPr="00DB1AEE">
        <w:rPr>
          <w:szCs w:val="24"/>
          <w:u w:val="single"/>
        </w:rPr>
        <w:t>A commissioning plan shall be developed by an approved agency and shall include the following items:</w:t>
      </w:r>
    </w:p>
    <w:p w14:paraId="31C653B5" w14:textId="77777777" w:rsidR="00DB1AEE" w:rsidRPr="00DB1AEE" w:rsidRDefault="00DB1AEE" w:rsidP="00DB1AEE">
      <w:pPr>
        <w:suppressAutoHyphens/>
        <w:ind w:left="1080" w:hanging="360"/>
        <w:jc w:val="left"/>
        <w:rPr>
          <w:szCs w:val="24"/>
          <w:u w:val="single"/>
        </w:rPr>
      </w:pPr>
      <w:r w:rsidRPr="00DB1AEE">
        <w:rPr>
          <w:szCs w:val="24"/>
          <w:u w:val="single"/>
        </w:rPr>
        <w:t>a.</w:t>
      </w:r>
      <w:r w:rsidRPr="00DB1AEE">
        <w:rPr>
          <w:szCs w:val="24"/>
          <w:u w:val="single"/>
        </w:rPr>
        <w:tab/>
        <w:t>A narrative description of the activities that will be accomplished during each phase of commissioning, including the personnel intended to accomplish each of the activities.</w:t>
      </w:r>
    </w:p>
    <w:p w14:paraId="20860B3E" w14:textId="77777777" w:rsidR="00DB1AEE" w:rsidRPr="00DB1AEE" w:rsidRDefault="00DB1AEE" w:rsidP="00DB1AEE">
      <w:pPr>
        <w:suppressAutoHyphens/>
        <w:ind w:left="1080" w:hanging="360"/>
        <w:jc w:val="left"/>
        <w:rPr>
          <w:szCs w:val="24"/>
          <w:u w:val="single"/>
        </w:rPr>
      </w:pPr>
      <w:r w:rsidRPr="00DB1AEE">
        <w:rPr>
          <w:szCs w:val="24"/>
          <w:u w:val="single"/>
        </w:rPr>
        <w:t>b.</w:t>
      </w:r>
      <w:r w:rsidRPr="00DB1AEE">
        <w:rPr>
          <w:szCs w:val="24"/>
          <w:u w:val="single"/>
        </w:rPr>
        <w:tab/>
        <w:t>A listing of the specific equipment, appliances or systems to be tested, their full sequences of operation, and a description of the tests to be performed, including prerequisite activities and reference to specific checklists or worksheets which are necessary or required by the department.</w:t>
      </w:r>
    </w:p>
    <w:p w14:paraId="5169FDBF" w14:textId="77777777" w:rsidR="00DB1AEE" w:rsidRPr="00DB1AEE" w:rsidRDefault="00DB1AEE" w:rsidP="00DB1AEE">
      <w:pPr>
        <w:suppressAutoHyphens/>
        <w:ind w:left="1080" w:hanging="360"/>
        <w:jc w:val="left"/>
        <w:rPr>
          <w:szCs w:val="24"/>
          <w:u w:val="single"/>
        </w:rPr>
      </w:pPr>
      <w:r w:rsidRPr="00DB1AEE">
        <w:rPr>
          <w:szCs w:val="24"/>
          <w:u w:val="single"/>
        </w:rPr>
        <w:t>c.</w:t>
      </w:r>
      <w:r w:rsidRPr="00DB1AEE">
        <w:rPr>
          <w:szCs w:val="24"/>
          <w:u w:val="single"/>
        </w:rPr>
        <w:tab/>
        <w:t>Functions to be tested including, but not limited to, calibrations and economizer controls.</w:t>
      </w:r>
    </w:p>
    <w:p w14:paraId="6A387960" w14:textId="77777777" w:rsidR="00DB1AEE" w:rsidRPr="00DB1AEE" w:rsidRDefault="00DB1AEE" w:rsidP="00DB1AEE">
      <w:pPr>
        <w:suppressAutoHyphens/>
        <w:ind w:left="1080" w:hanging="360"/>
        <w:jc w:val="left"/>
        <w:rPr>
          <w:szCs w:val="24"/>
          <w:u w:val="single"/>
        </w:rPr>
      </w:pPr>
      <w:r w:rsidRPr="00DB1AEE">
        <w:rPr>
          <w:szCs w:val="24"/>
          <w:u w:val="single"/>
        </w:rPr>
        <w:t>d.</w:t>
      </w:r>
      <w:r w:rsidRPr="00DB1AEE">
        <w:rPr>
          <w:szCs w:val="24"/>
          <w:u w:val="single"/>
        </w:rPr>
        <w:tab/>
        <w:t>Conditions under which the test will be performed. Testing shall affirm winter and summer design conditions and full outside air conditions.</w:t>
      </w:r>
    </w:p>
    <w:p w14:paraId="139554C9" w14:textId="77777777" w:rsidR="00DB1AEE" w:rsidRPr="00DB1AEE" w:rsidRDefault="00DB1AEE" w:rsidP="00DB1AEE">
      <w:pPr>
        <w:suppressAutoHyphens/>
        <w:ind w:left="1080" w:hanging="360"/>
        <w:jc w:val="left"/>
        <w:rPr>
          <w:szCs w:val="24"/>
          <w:u w:val="single"/>
        </w:rPr>
      </w:pPr>
      <w:r w:rsidRPr="00DB1AEE">
        <w:rPr>
          <w:szCs w:val="24"/>
          <w:u w:val="single"/>
        </w:rPr>
        <w:t>e.</w:t>
      </w:r>
      <w:r w:rsidRPr="00DB1AEE">
        <w:rPr>
          <w:szCs w:val="24"/>
          <w:u w:val="single"/>
        </w:rPr>
        <w:tab/>
        <w:t xml:space="preserve">Measurable criteria for performance. </w:t>
      </w:r>
    </w:p>
    <w:p w14:paraId="62E24EA0" w14:textId="77777777" w:rsidR="00DB1AEE" w:rsidRPr="00DB1AEE" w:rsidRDefault="00DB1AEE" w:rsidP="00DB1AEE">
      <w:pPr>
        <w:tabs>
          <w:tab w:val="left" w:pos="2903"/>
        </w:tabs>
        <w:suppressAutoHyphens/>
        <w:ind w:left="360" w:right="432"/>
        <w:jc w:val="left"/>
        <w:rPr>
          <w:b/>
          <w:szCs w:val="24"/>
          <w:u w:val="single"/>
        </w:rPr>
      </w:pPr>
      <w:r w:rsidRPr="00DB1AEE">
        <w:rPr>
          <w:b/>
          <w:bCs/>
          <w:szCs w:val="24"/>
          <w:u w:val="single"/>
        </w:rPr>
        <w:t xml:space="preserve">6.7.3.4 </w:t>
      </w:r>
      <w:r w:rsidRPr="00DB1AEE">
        <w:rPr>
          <w:b/>
          <w:szCs w:val="24"/>
          <w:u w:val="single"/>
        </w:rPr>
        <w:t>System Balancing</w:t>
      </w:r>
    </w:p>
    <w:p w14:paraId="1EEF4564" w14:textId="77777777" w:rsidR="00DB1AEE" w:rsidRPr="00DB1AEE" w:rsidRDefault="00DB1AEE" w:rsidP="00DB1AEE">
      <w:pPr>
        <w:tabs>
          <w:tab w:val="left" w:pos="951"/>
        </w:tabs>
        <w:suppressAutoHyphens/>
        <w:ind w:left="360" w:right="432"/>
        <w:jc w:val="left"/>
        <w:rPr>
          <w:b/>
          <w:vanish/>
          <w:szCs w:val="24"/>
          <w:u w:val="single"/>
        </w:rPr>
      </w:pPr>
      <w:r w:rsidRPr="00DB1AEE">
        <w:rPr>
          <w:b/>
          <w:bCs/>
          <w:szCs w:val="24"/>
          <w:u w:val="single"/>
        </w:rPr>
        <w:t xml:space="preserve">6.7.3.4.1 Systems Adjusting and Balancing </w:t>
      </w:r>
    </w:p>
    <w:p w14:paraId="5C45CB11" w14:textId="77777777" w:rsidR="00DB1AEE" w:rsidRPr="00DB1AEE" w:rsidRDefault="00DB1AEE" w:rsidP="00DB1AEE">
      <w:pPr>
        <w:suppressAutoHyphens/>
        <w:ind w:left="360" w:right="597"/>
        <w:jc w:val="left"/>
        <w:rPr>
          <w:strike/>
          <w:szCs w:val="24"/>
          <w:u w:val="single"/>
        </w:rPr>
      </w:pPr>
      <w:r w:rsidRPr="00DB1AEE">
        <w:rPr>
          <w:i/>
          <w:szCs w:val="24"/>
          <w:u w:val="single"/>
        </w:rPr>
        <w:t xml:space="preserve"> </w:t>
      </w:r>
    </w:p>
    <w:p w14:paraId="7C8C3EC9" w14:textId="77777777" w:rsidR="00DB1AEE" w:rsidRPr="00DB1AEE" w:rsidRDefault="00DB1AEE" w:rsidP="00DB1AEE">
      <w:pPr>
        <w:suppressAutoHyphens/>
        <w:ind w:left="360" w:right="597"/>
        <w:jc w:val="left"/>
        <w:rPr>
          <w:szCs w:val="24"/>
          <w:u w:val="single"/>
        </w:rPr>
      </w:pPr>
      <w:r w:rsidRPr="00DB1AEE">
        <w:rPr>
          <w:i/>
          <w:szCs w:val="24"/>
          <w:u w:val="single"/>
        </w:rPr>
        <w:t>HVAC</w:t>
      </w:r>
      <w:r w:rsidRPr="00DB1AEE">
        <w:rPr>
          <w:i/>
          <w:spacing w:val="-6"/>
          <w:szCs w:val="24"/>
          <w:u w:val="single"/>
        </w:rPr>
        <w:t xml:space="preserve"> </w:t>
      </w:r>
      <w:r w:rsidRPr="00DB1AEE">
        <w:rPr>
          <w:i/>
          <w:szCs w:val="24"/>
          <w:u w:val="single"/>
        </w:rPr>
        <w:t>systems</w:t>
      </w:r>
      <w:r w:rsidRPr="00DB1AEE">
        <w:rPr>
          <w:i/>
          <w:spacing w:val="-5"/>
          <w:szCs w:val="24"/>
          <w:u w:val="single"/>
        </w:rPr>
        <w:t xml:space="preserve"> </w:t>
      </w:r>
      <w:r w:rsidRPr="00DB1AEE">
        <w:rPr>
          <w:szCs w:val="24"/>
          <w:u w:val="single"/>
        </w:rPr>
        <w:t>be</w:t>
      </w:r>
      <w:r w:rsidRPr="00DB1AEE">
        <w:rPr>
          <w:spacing w:val="-6"/>
          <w:szCs w:val="24"/>
          <w:u w:val="single"/>
        </w:rPr>
        <w:t xml:space="preserve"> </w:t>
      </w:r>
      <w:r w:rsidRPr="00DB1AEE">
        <w:rPr>
          <w:szCs w:val="24"/>
          <w:u w:val="single"/>
        </w:rPr>
        <w:t>balanced</w:t>
      </w:r>
      <w:r w:rsidRPr="00DB1AEE">
        <w:rPr>
          <w:spacing w:val="-5"/>
          <w:szCs w:val="24"/>
          <w:u w:val="single"/>
        </w:rPr>
        <w:t xml:space="preserve"> </w:t>
      </w:r>
      <w:r w:rsidRPr="00DB1AEE">
        <w:rPr>
          <w:szCs w:val="24"/>
          <w:u w:val="single"/>
        </w:rPr>
        <w:t>in</w:t>
      </w:r>
      <w:r w:rsidRPr="00DB1AEE">
        <w:rPr>
          <w:spacing w:val="-6"/>
          <w:szCs w:val="24"/>
          <w:u w:val="single"/>
        </w:rPr>
        <w:t xml:space="preserve"> </w:t>
      </w:r>
      <w:r w:rsidRPr="00DB1AEE">
        <w:rPr>
          <w:szCs w:val="24"/>
          <w:u w:val="single"/>
        </w:rPr>
        <w:t>accordance</w:t>
      </w:r>
      <w:r w:rsidRPr="00DB1AEE">
        <w:rPr>
          <w:spacing w:val="-5"/>
          <w:szCs w:val="24"/>
          <w:u w:val="single"/>
        </w:rPr>
        <w:t xml:space="preserve"> </w:t>
      </w:r>
      <w:r w:rsidRPr="00DB1AEE">
        <w:rPr>
          <w:szCs w:val="24"/>
          <w:u w:val="single"/>
        </w:rPr>
        <w:t xml:space="preserve">with ASHRAE 111, “Testing, Adjusting, and Balancing of Building HVAC Systems” or other </w:t>
      </w:r>
      <w:r w:rsidRPr="00DB1AEE">
        <w:rPr>
          <w:i/>
          <w:szCs w:val="24"/>
          <w:u w:val="single"/>
        </w:rPr>
        <w:t>accepted engineering standards</w:t>
      </w:r>
      <w:r w:rsidRPr="00DB1AEE">
        <w:rPr>
          <w:szCs w:val="24"/>
          <w:u w:val="single"/>
        </w:rPr>
        <w:t xml:space="preserve"> </w:t>
      </w:r>
      <w:r w:rsidRPr="00DB1AEE">
        <w:rPr>
          <w:iCs/>
          <w:szCs w:val="24"/>
          <w:u w:val="single"/>
        </w:rPr>
        <w:t xml:space="preserve">as approved by the department. Air and water flow rates </w:t>
      </w:r>
      <w:r w:rsidRPr="00DB1AEE">
        <w:rPr>
          <w:szCs w:val="24"/>
          <w:u w:val="single"/>
        </w:rPr>
        <w:t>shall be measured and adjusted to deliver final flow rates within the tolerances provided in the</w:t>
      </w:r>
      <w:r w:rsidRPr="00DB1AEE">
        <w:rPr>
          <w:spacing w:val="-8"/>
          <w:szCs w:val="24"/>
          <w:u w:val="single"/>
        </w:rPr>
        <w:t xml:space="preserve"> product specifications. Test and balance activities shall include air system and hydronic system balancing.</w:t>
      </w:r>
    </w:p>
    <w:p w14:paraId="2B51AFA3" w14:textId="77777777" w:rsidR="00DB1AEE" w:rsidRPr="00DB1AEE" w:rsidRDefault="00DB1AEE" w:rsidP="00DB1AEE">
      <w:pPr>
        <w:tabs>
          <w:tab w:val="left" w:pos="3853"/>
        </w:tabs>
        <w:suppressAutoHyphens/>
        <w:ind w:left="1310" w:hanging="950"/>
        <w:jc w:val="left"/>
        <w:rPr>
          <w:b/>
          <w:vanish/>
          <w:szCs w:val="24"/>
          <w:u w:val="single"/>
        </w:rPr>
      </w:pPr>
      <w:r w:rsidRPr="00DB1AEE">
        <w:rPr>
          <w:b/>
          <w:bCs/>
          <w:szCs w:val="24"/>
          <w:u w:val="single"/>
        </w:rPr>
        <w:t>6.7.3.4.2</w:t>
      </w:r>
      <w:r w:rsidRPr="00DB1AEE">
        <w:rPr>
          <w:b/>
          <w:bCs/>
          <w:szCs w:val="24"/>
          <w:u w:val="single"/>
        </w:rPr>
        <w:tab/>
      </w:r>
      <w:r w:rsidRPr="00DB1AEE">
        <w:rPr>
          <w:b/>
          <w:szCs w:val="24"/>
          <w:u w:val="single"/>
        </w:rPr>
        <w:t xml:space="preserve">Air Systems Balancing </w:t>
      </w:r>
    </w:p>
    <w:p w14:paraId="77CBDB8D" w14:textId="77777777" w:rsidR="00DB1AEE" w:rsidRPr="00DB1AEE" w:rsidRDefault="00DB1AEE" w:rsidP="00DB1AEE">
      <w:pPr>
        <w:suppressAutoHyphens/>
        <w:ind w:left="360" w:right="595"/>
        <w:jc w:val="left"/>
        <w:rPr>
          <w:szCs w:val="24"/>
          <w:u w:val="single"/>
        </w:rPr>
      </w:pPr>
      <w:r w:rsidRPr="00DB1AEE">
        <w:rPr>
          <w:szCs w:val="24"/>
          <w:u w:val="single"/>
        </w:rPr>
        <w:t xml:space="preserve"> </w:t>
      </w:r>
    </w:p>
    <w:p w14:paraId="62B29A2B" w14:textId="77777777" w:rsidR="00DB1AEE" w:rsidRPr="00DB1AEE" w:rsidRDefault="00DB1AEE" w:rsidP="00DB1AEE">
      <w:pPr>
        <w:suppressAutoHyphens/>
        <w:ind w:left="360" w:right="595"/>
        <w:jc w:val="left"/>
        <w:rPr>
          <w:szCs w:val="24"/>
          <w:u w:val="single"/>
        </w:rPr>
      </w:pPr>
      <w:r w:rsidRPr="00DB1AEE">
        <w:rPr>
          <w:szCs w:val="24"/>
          <w:u w:val="single"/>
        </w:rPr>
        <w:t>Each supply air outlet and zone terminal device shall be equipped with means for air balancing in accordance with the requirements of Chapter 6 of the New York City Mechanical Code. Discharge dampers used for air-system balancing are prohibited on constant-volume fans and variable-volume fans with motors 10 hp and larger. Air systems shall be balanced in a manner to first minimize throttling losses then, for fans with system power of greater than 1 hp, fan speed shall be adjusted to meet design flow conditions.</w:t>
      </w:r>
    </w:p>
    <w:p w14:paraId="78D15DD3" w14:textId="77777777" w:rsidR="00DB1AEE" w:rsidRPr="00DB1AEE" w:rsidRDefault="00DB1AEE" w:rsidP="00DB1AEE">
      <w:pPr>
        <w:tabs>
          <w:tab w:val="left" w:pos="3853"/>
        </w:tabs>
        <w:suppressAutoHyphens/>
        <w:ind w:left="360"/>
        <w:jc w:val="left"/>
        <w:rPr>
          <w:b/>
          <w:vanish/>
          <w:szCs w:val="24"/>
          <w:u w:val="single"/>
        </w:rPr>
      </w:pPr>
      <w:r w:rsidRPr="00DB1AEE">
        <w:rPr>
          <w:b/>
          <w:bCs/>
          <w:szCs w:val="24"/>
          <w:u w:val="single"/>
        </w:rPr>
        <w:t>6.7.3.4.3</w:t>
      </w:r>
      <w:r w:rsidRPr="00DB1AEE">
        <w:rPr>
          <w:b/>
          <w:szCs w:val="24"/>
          <w:u w:val="single"/>
        </w:rPr>
        <w:t xml:space="preserve">Hydronic Systems Balancing </w:t>
      </w:r>
    </w:p>
    <w:p w14:paraId="130971AC" w14:textId="77777777" w:rsidR="00DB1AEE" w:rsidRPr="00DB1AEE" w:rsidRDefault="00DB1AEE" w:rsidP="00DB1AEE">
      <w:pPr>
        <w:suppressAutoHyphens/>
        <w:ind w:left="360" w:right="596"/>
        <w:jc w:val="left"/>
        <w:rPr>
          <w:b/>
          <w:bCs/>
          <w:strike/>
          <w:szCs w:val="24"/>
          <w:u w:val="single"/>
        </w:rPr>
      </w:pPr>
      <w:r w:rsidRPr="00DB1AEE">
        <w:rPr>
          <w:szCs w:val="24"/>
          <w:u w:val="single"/>
        </w:rPr>
        <w:t xml:space="preserve"> </w:t>
      </w:r>
    </w:p>
    <w:p w14:paraId="6C5A9D70" w14:textId="77777777" w:rsidR="00DB1AEE" w:rsidRPr="00DB1AEE" w:rsidRDefault="00DB1AEE" w:rsidP="00DB1AEE">
      <w:pPr>
        <w:tabs>
          <w:tab w:val="left" w:pos="3924"/>
        </w:tabs>
        <w:suppressAutoHyphens/>
        <w:ind w:left="360" w:right="432"/>
        <w:jc w:val="left"/>
        <w:rPr>
          <w:szCs w:val="24"/>
          <w:u w:val="single"/>
        </w:rPr>
      </w:pPr>
      <w:r w:rsidRPr="00DB1AEE">
        <w:rPr>
          <w:szCs w:val="24"/>
          <w:u w:val="single"/>
        </w:rPr>
        <w:t>Individual hydronic heating and cooling coils shall be equipped with means for balancing and measuring flow. Hydronic systems shall be proportionately balanced in a manner to first minimize throttling losses, then the pump impeller shall be trimmed or pump speed shall be adjusted to meet design flow conditions. Each hydronic system shall have either the capability to measure pressure across the pump, or test ports at each side of each pump.</w:t>
      </w:r>
    </w:p>
    <w:p w14:paraId="6B56B63D" w14:textId="77777777" w:rsidR="00DB1AEE" w:rsidRPr="00DB1AEE" w:rsidRDefault="00DB1AEE" w:rsidP="00DB1AEE">
      <w:pPr>
        <w:tabs>
          <w:tab w:val="left" w:pos="3924"/>
        </w:tabs>
        <w:suppressAutoHyphens/>
        <w:ind w:left="648" w:right="418" w:hanging="288"/>
        <w:jc w:val="left"/>
        <w:rPr>
          <w:b/>
          <w:bCs/>
          <w:szCs w:val="24"/>
          <w:u w:val="single"/>
        </w:rPr>
      </w:pPr>
      <w:r w:rsidRPr="00DB1AEE">
        <w:rPr>
          <w:b/>
          <w:bCs/>
          <w:szCs w:val="24"/>
          <w:u w:val="single"/>
        </w:rPr>
        <w:t>Exceptions to 6.7.3.3.3</w:t>
      </w:r>
    </w:p>
    <w:p w14:paraId="789A395E" w14:textId="77777777" w:rsidR="00DB1AEE" w:rsidRPr="00DB1AEE" w:rsidRDefault="00DB1AEE" w:rsidP="00DB1AEE">
      <w:pPr>
        <w:tabs>
          <w:tab w:val="left" w:pos="3924"/>
        </w:tabs>
        <w:suppressAutoHyphens/>
        <w:ind w:left="360" w:right="432"/>
        <w:jc w:val="left"/>
        <w:rPr>
          <w:szCs w:val="24"/>
          <w:u w:val="single"/>
        </w:rPr>
      </w:pPr>
      <w:r w:rsidRPr="00DB1AEE">
        <w:rPr>
          <w:szCs w:val="24"/>
          <w:u w:val="single"/>
        </w:rPr>
        <w:t>The following equipment is not required to be equipped with a means for balancing or measuring flow:</w:t>
      </w:r>
    </w:p>
    <w:p w14:paraId="4F97CB0D" w14:textId="77777777" w:rsidR="00DB1AEE" w:rsidRPr="00DB1AEE" w:rsidRDefault="00DB1AEE" w:rsidP="00DB1AEE">
      <w:pPr>
        <w:tabs>
          <w:tab w:val="left" w:pos="3924"/>
        </w:tabs>
        <w:suppressAutoHyphens/>
        <w:ind w:left="1080" w:right="432" w:hanging="360"/>
        <w:jc w:val="left"/>
        <w:rPr>
          <w:szCs w:val="24"/>
          <w:u w:val="single"/>
        </w:rPr>
      </w:pPr>
      <w:r w:rsidRPr="00DB1AEE">
        <w:rPr>
          <w:szCs w:val="24"/>
          <w:u w:val="single"/>
        </w:rPr>
        <w:t>a.</w:t>
      </w:r>
      <w:r w:rsidRPr="00DB1AEE">
        <w:rPr>
          <w:szCs w:val="24"/>
          <w:u w:val="single"/>
        </w:rPr>
        <w:tab/>
        <w:t>Pumps with pump motors of 5 hp or less.</w:t>
      </w:r>
    </w:p>
    <w:p w14:paraId="0D558DF6" w14:textId="77777777" w:rsidR="00DB1AEE" w:rsidRPr="00DB1AEE" w:rsidRDefault="00DB1AEE" w:rsidP="00DB1AEE">
      <w:pPr>
        <w:tabs>
          <w:tab w:val="left" w:pos="3924"/>
        </w:tabs>
        <w:suppressAutoHyphens/>
        <w:ind w:left="1080" w:right="432" w:hanging="360"/>
        <w:jc w:val="left"/>
        <w:rPr>
          <w:szCs w:val="24"/>
          <w:u w:val="single"/>
        </w:rPr>
      </w:pPr>
      <w:r w:rsidRPr="00DB1AEE">
        <w:rPr>
          <w:szCs w:val="24"/>
          <w:u w:val="single"/>
        </w:rPr>
        <w:t>b.</w:t>
      </w:r>
      <w:r w:rsidRPr="00DB1AEE">
        <w:rPr>
          <w:szCs w:val="24"/>
          <w:u w:val="single"/>
        </w:rPr>
        <w:tab/>
        <w:t>Where throttling results in no greater than 5 % of the nameplate horsepower draw above that required if the impeller were trimmed.</w:t>
      </w:r>
    </w:p>
    <w:p w14:paraId="2633E0D9" w14:textId="77777777" w:rsidR="00DB1AEE" w:rsidRPr="00DB1AEE" w:rsidRDefault="00DB1AEE" w:rsidP="00DB1AEE">
      <w:pPr>
        <w:suppressAutoHyphens/>
        <w:ind w:left="360"/>
        <w:jc w:val="left"/>
        <w:rPr>
          <w:b/>
          <w:vanish/>
          <w:szCs w:val="24"/>
          <w:u w:val="single"/>
        </w:rPr>
      </w:pPr>
      <w:r w:rsidRPr="00DB1AEE">
        <w:rPr>
          <w:b/>
          <w:szCs w:val="24"/>
          <w:u w:val="single"/>
        </w:rPr>
        <w:t xml:space="preserve">6.7.3.5 Functional Performance Testing </w:t>
      </w:r>
    </w:p>
    <w:p w14:paraId="2F45AD70" w14:textId="77777777" w:rsidR="00DB1AEE" w:rsidRPr="00DB1AEE" w:rsidRDefault="00DB1AEE" w:rsidP="00DB1AEE">
      <w:pPr>
        <w:suppressAutoHyphens/>
        <w:ind w:left="360" w:right="432"/>
        <w:jc w:val="left"/>
        <w:rPr>
          <w:b/>
          <w:bCs/>
          <w:strike/>
          <w:szCs w:val="24"/>
          <w:u w:val="single"/>
        </w:rPr>
      </w:pPr>
      <w:r w:rsidRPr="00DB1AEE">
        <w:rPr>
          <w:szCs w:val="24"/>
          <w:u w:val="single"/>
        </w:rPr>
        <w:t xml:space="preserve"> </w:t>
      </w:r>
    </w:p>
    <w:p w14:paraId="1F1B7BE7" w14:textId="77777777" w:rsidR="00DB1AEE" w:rsidRPr="00DB1AEE" w:rsidRDefault="00DB1AEE" w:rsidP="00DB1AEE">
      <w:pPr>
        <w:suppressAutoHyphens/>
        <w:ind w:left="360" w:right="432"/>
        <w:jc w:val="left"/>
        <w:rPr>
          <w:szCs w:val="24"/>
          <w:u w:val="single"/>
        </w:rPr>
      </w:pPr>
      <w:r w:rsidRPr="00DB1AEE">
        <w:rPr>
          <w:szCs w:val="24"/>
          <w:u w:val="single"/>
        </w:rPr>
        <w:t xml:space="preserve">Functional performance testing specified in Sections 6.7.3.5.1 through 6.7.3.5.3 shall be conducted. </w:t>
      </w:r>
    </w:p>
    <w:p w14:paraId="7C6D1B11" w14:textId="77777777" w:rsidR="00DB1AEE" w:rsidRPr="00DB1AEE" w:rsidRDefault="00DB1AEE" w:rsidP="00DB1AEE">
      <w:pPr>
        <w:tabs>
          <w:tab w:val="left" w:pos="3924"/>
        </w:tabs>
        <w:suppressAutoHyphens/>
        <w:ind w:left="360" w:right="432"/>
        <w:jc w:val="left"/>
        <w:rPr>
          <w:vanish/>
          <w:szCs w:val="24"/>
          <w:u w:val="single"/>
        </w:rPr>
      </w:pPr>
      <w:r w:rsidRPr="00DB1AEE">
        <w:rPr>
          <w:b/>
          <w:bCs/>
          <w:szCs w:val="24"/>
          <w:u w:val="single"/>
        </w:rPr>
        <w:t>6.7.3.5.1</w:t>
      </w:r>
      <w:r w:rsidRPr="00DB1AEE">
        <w:rPr>
          <w:szCs w:val="24"/>
          <w:u w:val="single"/>
        </w:rPr>
        <w:t xml:space="preserve"> </w:t>
      </w:r>
      <w:r w:rsidRPr="00DB1AEE">
        <w:rPr>
          <w:b/>
          <w:bCs/>
          <w:szCs w:val="24"/>
          <w:u w:val="single"/>
        </w:rPr>
        <w:t>Equipment</w:t>
      </w:r>
      <w:r w:rsidRPr="00DB1AEE">
        <w:rPr>
          <w:szCs w:val="24"/>
          <w:u w:val="single"/>
        </w:rPr>
        <w:t xml:space="preserve"> </w:t>
      </w:r>
    </w:p>
    <w:p w14:paraId="00B44654" w14:textId="77777777" w:rsidR="00DB1AEE" w:rsidRPr="00DB1AEE" w:rsidRDefault="00DB1AEE" w:rsidP="00DB1AEE">
      <w:pPr>
        <w:tabs>
          <w:tab w:val="left" w:pos="3924"/>
        </w:tabs>
        <w:suppressAutoHyphens/>
        <w:ind w:left="360" w:right="419" w:hanging="288"/>
        <w:jc w:val="left"/>
        <w:rPr>
          <w:b/>
          <w:bCs/>
          <w:strike/>
          <w:szCs w:val="24"/>
          <w:u w:val="single"/>
        </w:rPr>
      </w:pPr>
      <w:r w:rsidRPr="00DB1AEE">
        <w:rPr>
          <w:szCs w:val="24"/>
          <w:u w:val="single"/>
        </w:rPr>
        <w:t xml:space="preserve"> </w:t>
      </w:r>
    </w:p>
    <w:p w14:paraId="1EFAAE67" w14:textId="77777777" w:rsidR="00DB1AEE" w:rsidRPr="00DB1AEE" w:rsidRDefault="00DB1AEE" w:rsidP="00DB1AEE">
      <w:pPr>
        <w:tabs>
          <w:tab w:val="left" w:pos="3924"/>
        </w:tabs>
        <w:suppressAutoHyphens/>
        <w:ind w:left="360" w:right="432"/>
        <w:jc w:val="left"/>
        <w:rPr>
          <w:szCs w:val="24"/>
          <w:u w:val="single"/>
        </w:rPr>
      </w:pPr>
      <w:r w:rsidRPr="00DB1AEE">
        <w:rPr>
          <w:szCs w:val="24"/>
          <w:u w:val="single"/>
        </w:rPr>
        <w:t>Equipment functional performance testing shall demonstrate the installation and operation of components, systems, and system-to-system interfacing relationships in accordance with approved plans and specifications such that operation, function, and maintenance serviceability for each of the commissioned systems is confirmed. Testing shall include all modes and sequence of operation, including under full-load, part-load and the following emergency conditions:</w:t>
      </w:r>
    </w:p>
    <w:p w14:paraId="12016D81" w14:textId="77777777" w:rsidR="00DB1AEE" w:rsidRPr="00DB1AEE" w:rsidRDefault="00DB1AEE" w:rsidP="00DB1AEE">
      <w:pPr>
        <w:tabs>
          <w:tab w:val="left" w:pos="3924"/>
        </w:tabs>
        <w:suppressAutoHyphens/>
        <w:ind w:left="1296" w:right="418" w:hanging="288"/>
        <w:jc w:val="left"/>
        <w:rPr>
          <w:szCs w:val="24"/>
          <w:u w:val="single"/>
        </w:rPr>
      </w:pPr>
      <w:r w:rsidRPr="00DB1AEE">
        <w:rPr>
          <w:szCs w:val="24"/>
          <w:u w:val="single"/>
        </w:rPr>
        <w:t>a.</w:t>
      </w:r>
      <w:r w:rsidRPr="00DB1AEE">
        <w:rPr>
          <w:szCs w:val="24"/>
          <w:u w:val="single"/>
        </w:rPr>
        <w:tab/>
        <w:t>All modes as described in the sequence of operation.</w:t>
      </w:r>
    </w:p>
    <w:p w14:paraId="5BD2A2CC" w14:textId="77777777" w:rsidR="00DB1AEE" w:rsidRPr="00DB1AEE" w:rsidRDefault="00DB1AEE" w:rsidP="00DB1AEE">
      <w:pPr>
        <w:tabs>
          <w:tab w:val="left" w:pos="3924"/>
        </w:tabs>
        <w:suppressAutoHyphens/>
        <w:ind w:left="1296" w:right="418" w:hanging="288"/>
        <w:jc w:val="left"/>
        <w:rPr>
          <w:szCs w:val="24"/>
          <w:u w:val="single"/>
        </w:rPr>
      </w:pPr>
      <w:r w:rsidRPr="00DB1AEE">
        <w:rPr>
          <w:szCs w:val="24"/>
          <w:u w:val="single"/>
        </w:rPr>
        <w:t>b.</w:t>
      </w:r>
      <w:r w:rsidRPr="00DB1AEE">
        <w:rPr>
          <w:szCs w:val="24"/>
          <w:u w:val="single"/>
        </w:rPr>
        <w:tab/>
        <w:t>Redundant or automatic back-up mode.</w:t>
      </w:r>
    </w:p>
    <w:p w14:paraId="3ABC65C2" w14:textId="77777777" w:rsidR="00DB1AEE" w:rsidRPr="00DB1AEE" w:rsidRDefault="00DB1AEE" w:rsidP="00DB1AEE">
      <w:pPr>
        <w:tabs>
          <w:tab w:val="left" w:pos="3924"/>
        </w:tabs>
        <w:suppressAutoHyphens/>
        <w:ind w:left="1296" w:right="418" w:hanging="288"/>
        <w:jc w:val="left"/>
        <w:rPr>
          <w:szCs w:val="24"/>
          <w:u w:val="single"/>
        </w:rPr>
      </w:pPr>
      <w:r w:rsidRPr="00DB1AEE">
        <w:rPr>
          <w:szCs w:val="24"/>
          <w:u w:val="single"/>
        </w:rPr>
        <w:t>c.</w:t>
      </w:r>
      <w:r w:rsidRPr="00DB1AEE">
        <w:rPr>
          <w:szCs w:val="24"/>
          <w:u w:val="single"/>
        </w:rPr>
        <w:tab/>
        <w:t>Performance of alarms.</w:t>
      </w:r>
    </w:p>
    <w:p w14:paraId="68988603" w14:textId="77777777" w:rsidR="00DB1AEE" w:rsidRPr="00DB1AEE" w:rsidRDefault="00DB1AEE" w:rsidP="00DB1AEE">
      <w:pPr>
        <w:tabs>
          <w:tab w:val="left" w:pos="3924"/>
        </w:tabs>
        <w:suppressAutoHyphens/>
        <w:ind w:left="1296" w:right="418" w:hanging="288"/>
        <w:jc w:val="left"/>
        <w:rPr>
          <w:szCs w:val="24"/>
          <w:u w:val="single"/>
        </w:rPr>
      </w:pPr>
      <w:r w:rsidRPr="00DB1AEE">
        <w:rPr>
          <w:szCs w:val="24"/>
          <w:u w:val="single"/>
        </w:rPr>
        <w:t>d.</w:t>
      </w:r>
      <w:r w:rsidRPr="00DB1AEE">
        <w:rPr>
          <w:szCs w:val="24"/>
          <w:u w:val="single"/>
        </w:rPr>
        <w:tab/>
        <w:t>Mode of operation upon a loss of power and restoration of power.</w:t>
      </w:r>
    </w:p>
    <w:p w14:paraId="3E5A0652" w14:textId="77777777" w:rsidR="00DB1AEE" w:rsidRPr="00DB1AEE" w:rsidRDefault="00DB1AEE" w:rsidP="00DB1AEE">
      <w:pPr>
        <w:tabs>
          <w:tab w:val="left" w:pos="3924"/>
        </w:tabs>
        <w:suppressAutoHyphens/>
        <w:ind w:left="389" w:right="432"/>
        <w:jc w:val="left"/>
        <w:rPr>
          <w:b/>
          <w:bCs/>
          <w:szCs w:val="24"/>
          <w:u w:val="single"/>
        </w:rPr>
      </w:pPr>
      <w:r w:rsidRPr="00DB1AEE">
        <w:rPr>
          <w:b/>
          <w:bCs/>
          <w:szCs w:val="24"/>
          <w:u w:val="single"/>
        </w:rPr>
        <w:t xml:space="preserve">Exception to 6.7.3.5.1  </w:t>
      </w:r>
    </w:p>
    <w:p w14:paraId="1EB13A7A" w14:textId="77777777" w:rsidR="00DB1AEE" w:rsidRPr="00DB1AEE" w:rsidRDefault="00DB1AEE" w:rsidP="00DB1AEE">
      <w:pPr>
        <w:tabs>
          <w:tab w:val="left" w:pos="3924"/>
        </w:tabs>
        <w:suppressAutoHyphens/>
        <w:ind w:left="389" w:right="432"/>
        <w:jc w:val="left"/>
        <w:rPr>
          <w:szCs w:val="24"/>
          <w:u w:val="single"/>
        </w:rPr>
      </w:pPr>
      <w:r w:rsidRPr="00DB1AEE">
        <w:rPr>
          <w:szCs w:val="24"/>
          <w:u w:val="single"/>
        </w:rPr>
        <w:t>Unitary or packaged HVAC equipment listed in Tables 6.8.1-1, 6.8.1-2, or 6.8.1-4 that do not require supply air economizers shall only be required to demonstrate functioning under full-load and part-load conditions.</w:t>
      </w:r>
    </w:p>
    <w:p w14:paraId="101D2720" w14:textId="77777777" w:rsidR="00DB1AEE" w:rsidRPr="00DB1AEE" w:rsidRDefault="00DB1AEE" w:rsidP="00DB1AEE">
      <w:pPr>
        <w:tabs>
          <w:tab w:val="left" w:pos="3924"/>
        </w:tabs>
        <w:suppressAutoHyphens/>
        <w:ind w:left="360" w:right="432"/>
        <w:jc w:val="left"/>
        <w:rPr>
          <w:vanish/>
          <w:szCs w:val="24"/>
          <w:u w:val="single"/>
        </w:rPr>
      </w:pPr>
      <w:r w:rsidRPr="00DB1AEE">
        <w:rPr>
          <w:b/>
          <w:bCs/>
          <w:szCs w:val="24"/>
          <w:u w:val="single"/>
        </w:rPr>
        <w:t>6.7.3.5.2</w:t>
      </w:r>
      <w:r w:rsidRPr="00DB1AEE">
        <w:rPr>
          <w:szCs w:val="24"/>
          <w:u w:val="single"/>
        </w:rPr>
        <w:t xml:space="preserve"> </w:t>
      </w:r>
      <w:r w:rsidRPr="00DB1AEE">
        <w:rPr>
          <w:b/>
          <w:bCs/>
          <w:szCs w:val="24"/>
          <w:u w:val="single"/>
        </w:rPr>
        <w:t>Controls</w:t>
      </w:r>
    </w:p>
    <w:p w14:paraId="4972B112" w14:textId="77777777" w:rsidR="00DB1AEE" w:rsidRPr="00DB1AEE" w:rsidRDefault="00DB1AEE" w:rsidP="00DB1AEE">
      <w:pPr>
        <w:tabs>
          <w:tab w:val="left" w:pos="3924"/>
        </w:tabs>
        <w:suppressAutoHyphens/>
        <w:ind w:left="360" w:right="432"/>
        <w:jc w:val="left"/>
        <w:rPr>
          <w:b/>
          <w:bCs/>
          <w:strike/>
          <w:szCs w:val="24"/>
          <w:u w:val="single"/>
        </w:rPr>
      </w:pPr>
      <w:r w:rsidRPr="00DB1AEE">
        <w:rPr>
          <w:szCs w:val="24"/>
          <w:u w:val="single"/>
        </w:rPr>
        <w:t xml:space="preserve"> </w:t>
      </w:r>
    </w:p>
    <w:p w14:paraId="4FFFCD17" w14:textId="77777777" w:rsidR="00DB1AEE" w:rsidRPr="00DB1AEE" w:rsidRDefault="00DB1AEE" w:rsidP="00DB1AEE">
      <w:pPr>
        <w:tabs>
          <w:tab w:val="left" w:pos="3924"/>
        </w:tabs>
        <w:suppressAutoHyphens/>
        <w:ind w:left="360" w:right="432"/>
        <w:jc w:val="left"/>
        <w:rPr>
          <w:szCs w:val="24"/>
          <w:u w:val="single"/>
        </w:rPr>
      </w:pPr>
      <w:r w:rsidRPr="00DB1AEE">
        <w:rPr>
          <w:szCs w:val="24"/>
          <w:u w:val="single"/>
        </w:rPr>
        <w:t>HVAC and service water-heating control systems shall be tested to document that control devices, components, equipment and systems are calibrated and adjusted and operate in accordance with approved plans and specifications. Sequences of operation shall be functionally tested to document they operate in accordance with approved plans and specifications.</w:t>
      </w:r>
    </w:p>
    <w:p w14:paraId="236BC51F" w14:textId="77777777" w:rsidR="00DB1AEE" w:rsidRPr="00DB1AEE" w:rsidRDefault="00DB1AEE" w:rsidP="00DB1AEE">
      <w:pPr>
        <w:suppressAutoHyphens/>
        <w:ind w:left="360"/>
        <w:jc w:val="left"/>
        <w:rPr>
          <w:b/>
          <w:vanish/>
          <w:szCs w:val="24"/>
          <w:u w:val="single"/>
        </w:rPr>
      </w:pPr>
      <w:r w:rsidRPr="00DB1AEE">
        <w:rPr>
          <w:b/>
          <w:szCs w:val="24"/>
          <w:u w:val="single"/>
        </w:rPr>
        <w:t>6.7.3.5.3 Economizers</w:t>
      </w:r>
    </w:p>
    <w:p w14:paraId="787600F6" w14:textId="77777777" w:rsidR="00DB1AEE" w:rsidRPr="00DB1AEE" w:rsidRDefault="00DB1AEE" w:rsidP="00DB1AEE">
      <w:pPr>
        <w:suppressAutoHyphens/>
        <w:ind w:left="360" w:right="432"/>
        <w:jc w:val="left"/>
        <w:rPr>
          <w:b/>
          <w:bCs/>
          <w:strike/>
          <w:szCs w:val="24"/>
          <w:u w:val="single"/>
        </w:rPr>
      </w:pPr>
      <w:r w:rsidRPr="00DB1AEE">
        <w:rPr>
          <w:szCs w:val="24"/>
          <w:u w:val="single"/>
        </w:rPr>
        <w:t xml:space="preserve"> </w:t>
      </w:r>
    </w:p>
    <w:p w14:paraId="620FE13D" w14:textId="77777777" w:rsidR="00DB1AEE" w:rsidRPr="00DB1AEE" w:rsidRDefault="00DB1AEE" w:rsidP="00DB1AEE">
      <w:pPr>
        <w:suppressAutoHyphens/>
        <w:ind w:left="360" w:right="432"/>
        <w:jc w:val="left"/>
        <w:rPr>
          <w:szCs w:val="24"/>
          <w:u w:val="single"/>
        </w:rPr>
      </w:pPr>
      <w:r w:rsidRPr="00DB1AEE">
        <w:rPr>
          <w:szCs w:val="24"/>
          <w:u w:val="single"/>
        </w:rPr>
        <w:t xml:space="preserve">Air economizers shall undergo a functional test to determine that they operate in accordance with manufacturer’s specifications. </w:t>
      </w:r>
    </w:p>
    <w:p w14:paraId="1640D560" w14:textId="77777777" w:rsidR="00DB1AEE" w:rsidRPr="00DB1AEE" w:rsidRDefault="00DB1AEE" w:rsidP="00DB1AEE">
      <w:pPr>
        <w:suppressAutoHyphens/>
        <w:ind w:left="360"/>
        <w:jc w:val="left"/>
        <w:rPr>
          <w:b/>
          <w:vanish/>
          <w:szCs w:val="24"/>
          <w:u w:val="single"/>
        </w:rPr>
      </w:pPr>
      <w:r w:rsidRPr="00DB1AEE">
        <w:rPr>
          <w:b/>
          <w:szCs w:val="24"/>
          <w:u w:val="single"/>
        </w:rPr>
        <w:t>6.7.3.5.4 Preliminary Commissioning Report</w:t>
      </w:r>
    </w:p>
    <w:p w14:paraId="50469326" w14:textId="77777777" w:rsidR="00DB1AEE" w:rsidRPr="00DB1AEE" w:rsidRDefault="00DB1AEE" w:rsidP="00DB1AEE">
      <w:pPr>
        <w:suppressAutoHyphens/>
        <w:ind w:left="360" w:right="432"/>
        <w:jc w:val="left"/>
        <w:rPr>
          <w:b/>
          <w:bCs/>
          <w:strike/>
          <w:szCs w:val="24"/>
          <w:u w:val="single"/>
        </w:rPr>
      </w:pPr>
      <w:r w:rsidRPr="00DB1AEE">
        <w:rPr>
          <w:szCs w:val="24"/>
          <w:u w:val="single"/>
        </w:rPr>
        <w:t xml:space="preserve"> </w:t>
      </w:r>
    </w:p>
    <w:p w14:paraId="3E87F963" w14:textId="77777777" w:rsidR="00DB1AEE" w:rsidRPr="00DB1AEE" w:rsidRDefault="00DB1AEE" w:rsidP="00DB1AEE">
      <w:pPr>
        <w:suppressAutoHyphens/>
        <w:ind w:left="360" w:right="432"/>
        <w:jc w:val="left"/>
        <w:rPr>
          <w:szCs w:val="24"/>
          <w:u w:val="single"/>
        </w:rPr>
      </w:pPr>
      <w:r w:rsidRPr="00DB1AEE">
        <w:rPr>
          <w:szCs w:val="24"/>
          <w:u w:val="single"/>
        </w:rPr>
        <w:t>A preliminary report of commissioning test procedures and results shall be completed and certified by the approved agency and provided to the building owner or owner’s authorized agent. The report shall be organized with mechanical and service hot water findings in separate sections to allow independent review. The report shall be identified as “Preliminary Commissioning Report” and shall include the completed Commissioning Compliance Checklist, and shall identify:</w:t>
      </w:r>
    </w:p>
    <w:p w14:paraId="017729FA" w14:textId="77777777" w:rsidR="00DB1AEE" w:rsidRPr="00DB1AEE" w:rsidRDefault="00DB1AEE" w:rsidP="00DB1AEE">
      <w:pPr>
        <w:suppressAutoHyphens/>
        <w:ind w:left="720" w:hanging="360"/>
        <w:jc w:val="left"/>
        <w:rPr>
          <w:szCs w:val="24"/>
          <w:u w:val="single"/>
        </w:rPr>
      </w:pPr>
      <w:r w:rsidRPr="00DB1AEE">
        <w:rPr>
          <w:szCs w:val="24"/>
          <w:u w:val="single"/>
        </w:rPr>
        <w:t>a.</w:t>
      </w:r>
      <w:r w:rsidRPr="00DB1AEE">
        <w:rPr>
          <w:szCs w:val="24"/>
          <w:u w:val="single"/>
        </w:rPr>
        <w:tab/>
        <w:t>Itemization of deficiencies found during testing required by this section that have not been corrected at the time of report preparation.</w:t>
      </w:r>
    </w:p>
    <w:p w14:paraId="53921B95" w14:textId="77777777" w:rsidR="00DB1AEE" w:rsidRPr="00DB1AEE" w:rsidRDefault="00DB1AEE" w:rsidP="00DB1AEE">
      <w:pPr>
        <w:suppressAutoHyphens/>
        <w:ind w:left="720" w:hanging="360"/>
        <w:jc w:val="left"/>
        <w:rPr>
          <w:szCs w:val="24"/>
          <w:u w:val="single"/>
        </w:rPr>
      </w:pPr>
      <w:r w:rsidRPr="00DB1AEE">
        <w:rPr>
          <w:szCs w:val="24"/>
          <w:u w:val="single"/>
        </w:rPr>
        <w:t>b.</w:t>
      </w:r>
      <w:r w:rsidRPr="00DB1AEE">
        <w:rPr>
          <w:szCs w:val="24"/>
          <w:u w:val="single"/>
        </w:rPr>
        <w:tab/>
        <w:t>Deferred tests that cannot be performed at the time of report preparation because of climatic conditions.</w:t>
      </w:r>
    </w:p>
    <w:p w14:paraId="27391313" w14:textId="77777777" w:rsidR="00DB1AEE" w:rsidRPr="00DB1AEE" w:rsidRDefault="00DB1AEE" w:rsidP="00DB1AEE">
      <w:pPr>
        <w:suppressAutoHyphens/>
        <w:ind w:left="720" w:hanging="360"/>
        <w:jc w:val="left"/>
        <w:rPr>
          <w:szCs w:val="24"/>
          <w:u w:val="single"/>
        </w:rPr>
      </w:pPr>
      <w:r w:rsidRPr="00DB1AEE">
        <w:rPr>
          <w:szCs w:val="24"/>
          <w:u w:val="single"/>
        </w:rPr>
        <w:t>c.</w:t>
      </w:r>
      <w:r w:rsidRPr="00DB1AEE">
        <w:rPr>
          <w:szCs w:val="24"/>
          <w:u w:val="single"/>
        </w:rPr>
        <w:tab/>
        <w:t>Climatic conditions required for performance of the deferred tests.</w:t>
      </w:r>
    </w:p>
    <w:p w14:paraId="539D8D14" w14:textId="77777777" w:rsidR="00DB1AEE" w:rsidRPr="00DB1AEE" w:rsidRDefault="00DB1AEE" w:rsidP="00DB1AEE">
      <w:pPr>
        <w:suppressAutoHyphens/>
        <w:ind w:left="720" w:hanging="360"/>
        <w:jc w:val="left"/>
        <w:rPr>
          <w:szCs w:val="24"/>
          <w:u w:val="single"/>
        </w:rPr>
      </w:pPr>
      <w:r w:rsidRPr="00DB1AEE">
        <w:rPr>
          <w:szCs w:val="24"/>
          <w:u w:val="single"/>
        </w:rPr>
        <w:t>d.</w:t>
      </w:r>
      <w:r w:rsidRPr="00DB1AEE">
        <w:rPr>
          <w:szCs w:val="24"/>
          <w:u w:val="single"/>
        </w:rPr>
        <w:tab/>
        <w:t>Results of functional performance tests.</w:t>
      </w:r>
    </w:p>
    <w:p w14:paraId="5E3A158D" w14:textId="77777777" w:rsidR="00DB1AEE" w:rsidRPr="00DB1AEE" w:rsidRDefault="00DB1AEE" w:rsidP="00DB1AEE">
      <w:pPr>
        <w:suppressAutoHyphens/>
        <w:ind w:left="720" w:hanging="360"/>
        <w:jc w:val="left"/>
        <w:rPr>
          <w:szCs w:val="24"/>
          <w:u w:val="single"/>
        </w:rPr>
      </w:pPr>
      <w:r w:rsidRPr="00DB1AEE">
        <w:rPr>
          <w:szCs w:val="24"/>
          <w:u w:val="single"/>
        </w:rPr>
        <w:t>e.</w:t>
      </w:r>
      <w:r w:rsidRPr="00DB1AEE">
        <w:rPr>
          <w:szCs w:val="24"/>
          <w:u w:val="single"/>
        </w:rPr>
        <w:tab/>
        <w:t xml:space="preserve">Functional performance test procedures used during the commissioning process, including measurable criteria for test acceptance. </w:t>
      </w:r>
    </w:p>
    <w:p w14:paraId="7559A187" w14:textId="77777777" w:rsidR="00DB1AEE" w:rsidRPr="00DB1AEE" w:rsidRDefault="00DB1AEE" w:rsidP="00DB1AEE">
      <w:pPr>
        <w:suppressAutoHyphens/>
        <w:ind w:left="360"/>
        <w:jc w:val="left"/>
        <w:rPr>
          <w:vanish/>
          <w:szCs w:val="24"/>
          <w:u w:val="single"/>
        </w:rPr>
      </w:pPr>
      <w:r w:rsidRPr="00DB1AEE">
        <w:rPr>
          <w:b/>
          <w:bCs/>
          <w:szCs w:val="24"/>
          <w:u w:val="single"/>
        </w:rPr>
        <w:t>6.7.3.5.4.1</w:t>
      </w:r>
      <w:r w:rsidRPr="00DB1AEE">
        <w:rPr>
          <w:szCs w:val="24"/>
          <w:u w:val="single"/>
        </w:rPr>
        <w:t xml:space="preserve"> </w:t>
      </w:r>
      <w:r w:rsidRPr="00DB1AEE">
        <w:rPr>
          <w:b/>
          <w:bCs/>
          <w:szCs w:val="24"/>
          <w:u w:val="single"/>
        </w:rPr>
        <w:t>Acceptance of Report</w:t>
      </w:r>
      <w:r w:rsidRPr="00DB1AEE">
        <w:rPr>
          <w:szCs w:val="24"/>
          <w:u w:val="single"/>
        </w:rPr>
        <w:t xml:space="preserve"> </w:t>
      </w:r>
    </w:p>
    <w:p w14:paraId="0A96BA0C" w14:textId="77777777" w:rsidR="00DB1AEE" w:rsidRPr="00DB1AEE" w:rsidRDefault="00DB1AEE" w:rsidP="00DB1AEE">
      <w:pPr>
        <w:suppressAutoHyphens/>
        <w:ind w:left="360" w:hanging="360"/>
        <w:jc w:val="left"/>
        <w:rPr>
          <w:b/>
          <w:bCs/>
          <w:strike/>
          <w:szCs w:val="24"/>
          <w:u w:val="single"/>
        </w:rPr>
      </w:pPr>
      <w:r w:rsidRPr="00DB1AEE">
        <w:rPr>
          <w:szCs w:val="24"/>
          <w:u w:val="single"/>
        </w:rPr>
        <w:t xml:space="preserve"> </w:t>
      </w:r>
    </w:p>
    <w:p w14:paraId="536C1787" w14:textId="77777777" w:rsidR="00DB1AEE" w:rsidRPr="00DB1AEE" w:rsidRDefault="00DB1AEE" w:rsidP="00DB1AEE">
      <w:pPr>
        <w:suppressAutoHyphens/>
        <w:ind w:left="360"/>
        <w:jc w:val="left"/>
        <w:rPr>
          <w:szCs w:val="24"/>
          <w:u w:val="single"/>
        </w:rPr>
      </w:pPr>
      <w:r w:rsidRPr="00DB1AEE">
        <w:rPr>
          <w:szCs w:val="24"/>
          <w:u w:val="single"/>
        </w:rPr>
        <w:t>Buildings, or portions thereof, shall not be considered acceptable for a final inspection pursuant to Article 116 of Chapter 1 of Title 28 of the Administrative Code until the building official has received a letter of transmittal from the building owner acknowledging that the building owner or owner’s authorized agent has received the Preliminary Commissioning Report.</w:t>
      </w:r>
    </w:p>
    <w:p w14:paraId="74CF8695" w14:textId="77777777" w:rsidR="00DB1AEE" w:rsidRPr="00DB1AEE" w:rsidRDefault="00DB1AEE" w:rsidP="00DB1AEE">
      <w:pPr>
        <w:suppressAutoHyphens/>
        <w:ind w:left="360"/>
        <w:jc w:val="left"/>
        <w:rPr>
          <w:b/>
          <w:bCs/>
          <w:vanish/>
          <w:szCs w:val="24"/>
          <w:u w:val="single"/>
        </w:rPr>
      </w:pPr>
      <w:r w:rsidRPr="00DB1AEE">
        <w:rPr>
          <w:b/>
          <w:bCs/>
          <w:szCs w:val="24"/>
          <w:u w:val="single"/>
        </w:rPr>
        <w:t xml:space="preserve">6.7. 3.5.4.2 Copy of Report </w:t>
      </w:r>
    </w:p>
    <w:p w14:paraId="586AFB96" w14:textId="77777777" w:rsidR="00DB1AEE" w:rsidRPr="00DB1AEE" w:rsidRDefault="00DB1AEE" w:rsidP="00DB1AEE">
      <w:pPr>
        <w:suppressAutoHyphens/>
        <w:ind w:left="360"/>
        <w:jc w:val="left"/>
        <w:rPr>
          <w:b/>
          <w:bCs/>
          <w:strike/>
          <w:szCs w:val="24"/>
          <w:u w:val="single"/>
        </w:rPr>
      </w:pPr>
      <w:r w:rsidRPr="00DB1AEE">
        <w:rPr>
          <w:szCs w:val="24"/>
          <w:u w:val="single"/>
        </w:rPr>
        <w:t xml:space="preserve"> </w:t>
      </w:r>
    </w:p>
    <w:p w14:paraId="1B429444" w14:textId="77777777" w:rsidR="00DB1AEE" w:rsidRPr="00DB1AEE" w:rsidRDefault="00DB1AEE" w:rsidP="00DB1AEE">
      <w:pPr>
        <w:suppressAutoHyphens/>
        <w:ind w:left="360"/>
        <w:jc w:val="left"/>
        <w:rPr>
          <w:szCs w:val="24"/>
          <w:u w:val="single"/>
        </w:rPr>
      </w:pPr>
      <w:r w:rsidRPr="00DB1AEE">
        <w:rPr>
          <w:szCs w:val="24"/>
          <w:u w:val="single"/>
        </w:rPr>
        <w:t>The building official shall be permitted to require that a copy of the Preliminary Commissioning Report be made available for review by the building official.</w:t>
      </w:r>
    </w:p>
    <w:p w14:paraId="643EC852" w14:textId="77777777" w:rsidR="00DB1AEE" w:rsidRPr="00DB1AEE" w:rsidRDefault="00DB1AEE" w:rsidP="00DB1AEE">
      <w:pPr>
        <w:suppressAutoHyphens/>
        <w:ind w:left="360"/>
        <w:jc w:val="left"/>
        <w:rPr>
          <w:b/>
          <w:bCs/>
          <w:vanish/>
          <w:szCs w:val="24"/>
          <w:u w:val="single"/>
        </w:rPr>
      </w:pPr>
      <w:r w:rsidRPr="00DB1AEE">
        <w:rPr>
          <w:b/>
          <w:bCs/>
          <w:szCs w:val="24"/>
          <w:u w:val="single"/>
        </w:rPr>
        <w:t>6.7.3.5.5 Documentation Requirements</w:t>
      </w:r>
    </w:p>
    <w:p w14:paraId="5797E6E7" w14:textId="77777777" w:rsidR="00DB1AEE" w:rsidRPr="00DB1AEE" w:rsidRDefault="00DB1AEE" w:rsidP="00DB1AEE">
      <w:pPr>
        <w:suppressAutoHyphens/>
        <w:ind w:left="360"/>
        <w:jc w:val="left"/>
        <w:rPr>
          <w:b/>
          <w:bCs/>
          <w:strike/>
          <w:szCs w:val="24"/>
          <w:u w:val="single"/>
        </w:rPr>
      </w:pPr>
      <w:r w:rsidRPr="00DB1AEE">
        <w:rPr>
          <w:szCs w:val="24"/>
          <w:u w:val="single"/>
        </w:rPr>
        <w:t xml:space="preserve"> </w:t>
      </w:r>
    </w:p>
    <w:p w14:paraId="79820215" w14:textId="77777777" w:rsidR="00DB1AEE" w:rsidRPr="00DB1AEE" w:rsidRDefault="00DB1AEE" w:rsidP="00DB1AEE">
      <w:pPr>
        <w:suppressAutoHyphens/>
        <w:ind w:left="360"/>
        <w:jc w:val="left"/>
        <w:rPr>
          <w:szCs w:val="24"/>
          <w:u w:val="single"/>
        </w:rPr>
      </w:pPr>
      <w:r w:rsidRPr="00DB1AEE">
        <w:rPr>
          <w:szCs w:val="24"/>
          <w:u w:val="single"/>
        </w:rPr>
        <w:t>The construction documents shall specify that the documents described in Sections 6.7.3.5.5.1 through 6.7.2.3.5.3 be provided to the building owner or owner’s authorized agent within 90 days of the date of receipt of the certificate of occupancy. The construction documents shall also specify that the Final Commissioning Report be provided to the building owner or owner’s authorized agent in accordance with the requirements of Section 6.7.3.5.5.4.</w:t>
      </w:r>
    </w:p>
    <w:p w14:paraId="0B96DB7D" w14:textId="77777777" w:rsidR="00DB1AEE" w:rsidRPr="00DB1AEE" w:rsidRDefault="00DB1AEE" w:rsidP="00DB1AEE">
      <w:pPr>
        <w:suppressAutoHyphens/>
        <w:ind w:left="360"/>
        <w:jc w:val="left"/>
        <w:rPr>
          <w:b/>
          <w:bCs/>
          <w:vanish/>
          <w:szCs w:val="24"/>
          <w:u w:val="single"/>
        </w:rPr>
      </w:pPr>
      <w:r w:rsidRPr="00DB1AEE">
        <w:rPr>
          <w:b/>
          <w:bCs/>
          <w:szCs w:val="24"/>
          <w:u w:val="single"/>
        </w:rPr>
        <w:t xml:space="preserve">6.7.3.5.5.1 Drawings </w:t>
      </w:r>
    </w:p>
    <w:p w14:paraId="356F07A1" w14:textId="77777777" w:rsidR="00DB1AEE" w:rsidRPr="00DB1AEE" w:rsidRDefault="00DB1AEE" w:rsidP="00DB1AEE">
      <w:pPr>
        <w:suppressAutoHyphens/>
        <w:ind w:left="360"/>
        <w:jc w:val="left"/>
        <w:rPr>
          <w:b/>
          <w:bCs/>
          <w:strike/>
          <w:szCs w:val="24"/>
          <w:u w:val="single"/>
        </w:rPr>
      </w:pPr>
      <w:r w:rsidRPr="00DB1AEE">
        <w:rPr>
          <w:szCs w:val="24"/>
          <w:u w:val="single"/>
        </w:rPr>
        <w:t xml:space="preserve"> </w:t>
      </w:r>
    </w:p>
    <w:p w14:paraId="7F846E52" w14:textId="77777777" w:rsidR="00DB1AEE" w:rsidRPr="00DB1AEE" w:rsidRDefault="00DB1AEE" w:rsidP="00DB1AEE">
      <w:pPr>
        <w:suppressAutoHyphens/>
        <w:ind w:left="360"/>
        <w:jc w:val="left"/>
        <w:rPr>
          <w:szCs w:val="24"/>
          <w:u w:val="single"/>
        </w:rPr>
      </w:pPr>
      <w:r w:rsidRPr="00DB1AEE">
        <w:rPr>
          <w:szCs w:val="24"/>
          <w:u w:val="single"/>
        </w:rPr>
        <w:t>Construction documents shall include the location and performance data on each piece of equipment.</w:t>
      </w:r>
    </w:p>
    <w:p w14:paraId="168940E5" w14:textId="77777777" w:rsidR="00DB1AEE" w:rsidRPr="00DB1AEE" w:rsidRDefault="00DB1AEE" w:rsidP="00DB1AEE">
      <w:pPr>
        <w:tabs>
          <w:tab w:val="left" w:pos="3924"/>
        </w:tabs>
        <w:suppressAutoHyphens/>
        <w:ind w:left="360" w:right="432"/>
        <w:jc w:val="left"/>
        <w:rPr>
          <w:b/>
          <w:bCs/>
          <w:vanish/>
          <w:szCs w:val="24"/>
          <w:u w:val="single"/>
        </w:rPr>
      </w:pPr>
      <w:r w:rsidRPr="00DB1AEE">
        <w:rPr>
          <w:b/>
          <w:bCs/>
          <w:szCs w:val="24"/>
          <w:u w:val="single"/>
        </w:rPr>
        <w:t xml:space="preserve">6.7.3.5.5.2 Manuals </w:t>
      </w:r>
    </w:p>
    <w:p w14:paraId="2A8B4378" w14:textId="77777777" w:rsidR="00DB1AEE" w:rsidRPr="00DB1AEE" w:rsidRDefault="00DB1AEE" w:rsidP="00DB1AEE">
      <w:pPr>
        <w:tabs>
          <w:tab w:val="left" w:pos="3924"/>
        </w:tabs>
        <w:suppressAutoHyphens/>
        <w:ind w:left="360" w:right="432"/>
        <w:jc w:val="left"/>
        <w:rPr>
          <w:b/>
          <w:bCs/>
          <w:strike/>
          <w:szCs w:val="24"/>
          <w:u w:val="single"/>
        </w:rPr>
      </w:pPr>
      <w:r w:rsidRPr="00DB1AEE">
        <w:rPr>
          <w:b/>
          <w:bCs/>
          <w:strike/>
          <w:szCs w:val="24"/>
          <w:u w:val="single"/>
        </w:rPr>
        <w:t xml:space="preserve"> </w:t>
      </w:r>
    </w:p>
    <w:p w14:paraId="3BA827DD" w14:textId="77777777" w:rsidR="00DB1AEE" w:rsidRPr="00DB1AEE" w:rsidRDefault="00DB1AEE" w:rsidP="00DB1AEE">
      <w:pPr>
        <w:tabs>
          <w:tab w:val="left" w:pos="3924"/>
        </w:tabs>
        <w:suppressAutoHyphens/>
        <w:ind w:left="360" w:right="432"/>
        <w:jc w:val="left"/>
        <w:rPr>
          <w:szCs w:val="24"/>
          <w:u w:val="single"/>
        </w:rPr>
      </w:pPr>
      <w:r w:rsidRPr="00DB1AEE">
        <w:rPr>
          <w:szCs w:val="24"/>
          <w:u w:val="single"/>
        </w:rPr>
        <w:t>An operating and maintenance manual shall be provided and include all of the following:</w:t>
      </w:r>
    </w:p>
    <w:p w14:paraId="3D0E17E3" w14:textId="77777777" w:rsidR="00DB1AEE" w:rsidRPr="00DB1AEE" w:rsidRDefault="00DB1AEE" w:rsidP="00DB1AEE">
      <w:pPr>
        <w:tabs>
          <w:tab w:val="left" w:pos="3924"/>
        </w:tabs>
        <w:suppressAutoHyphens/>
        <w:ind w:left="1080" w:right="432" w:hanging="360"/>
        <w:jc w:val="left"/>
        <w:rPr>
          <w:szCs w:val="24"/>
          <w:u w:val="single"/>
        </w:rPr>
      </w:pPr>
      <w:r w:rsidRPr="00DB1AEE">
        <w:rPr>
          <w:szCs w:val="24"/>
          <w:u w:val="single"/>
        </w:rPr>
        <w:t>a.</w:t>
      </w:r>
      <w:r w:rsidRPr="00DB1AEE">
        <w:rPr>
          <w:szCs w:val="24"/>
          <w:u w:val="single"/>
        </w:rPr>
        <w:tab/>
        <w:t>Submittal data stating equipment size and selected options for each piece of equipment requiring maintenance.</w:t>
      </w:r>
    </w:p>
    <w:p w14:paraId="60B727B2" w14:textId="77777777" w:rsidR="00DB1AEE" w:rsidRPr="00DB1AEE" w:rsidRDefault="00DB1AEE" w:rsidP="00DB1AEE">
      <w:pPr>
        <w:tabs>
          <w:tab w:val="left" w:pos="3924"/>
        </w:tabs>
        <w:suppressAutoHyphens/>
        <w:ind w:left="1080" w:right="432" w:hanging="360"/>
        <w:jc w:val="left"/>
        <w:rPr>
          <w:szCs w:val="24"/>
          <w:u w:val="single"/>
        </w:rPr>
      </w:pPr>
      <w:r w:rsidRPr="00DB1AEE">
        <w:rPr>
          <w:szCs w:val="24"/>
          <w:u w:val="single"/>
        </w:rPr>
        <w:t>b.</w:t>
      </w:r>
      <w:r w:rsidRPr="00DB1AEE">
        <w:rPr>
          <w:szCs w:val="24"/>
          <w:u w:val="single"/>
        </w:rPr>
        <w:tab/>
        <w:t>Manufacturer’s operation manuals and maintenance manuals for each piece of equipment requiring maintenance, except equipment not furnished as part of the project. Required routine maintenance actions shall be clearly identified.</w:t>
      </w:r>
    </w:p>
    <w:p w14:paraId="6D7AB566" w14:textId="77777777" w:rsidR="00DB1AEE" w:rsidRPr="00DB1AEE" w:rsidRDefault="00DB1AEE" w:rsidP="00DB1AEE">
      <w:pPr>
        <w:tabs>
          <w:tab w:val="left" w:pos="3924"/>
        </w:tabs>
        <w:suppressAutoHyphens/>
        <w:ind w:left="1080" w:right="432" w:hanging="360"/>
        <w:jc w:val="left"/>
        <w:rPr>
          <w:szCs w:val="24"/>
          <w:u w:val="single"/>
        </w:rPr>
      </w:pPr>
      <w:r w:rsidRPr="00DB1AEE">
        <w:rPr>
          <w:szCs w:val="24"/>
          <w:u w:val="single"/>
        </w:rPr>
        <w:t>c.</w:t>
      </w:r>
      <w:r w:rsidRPr="00DB1AEE">
        <w:rPr>
          <w:szCs w:val="24"/>
          <w:u w:val="single"/>
        </w:rPr>
        <w:tab/>
        <w:t>Name and address of at least one service agency.</w:t>
      </w:r>
    </w:p>
    <w:p w14:paraId="178DECD0" w14:textId="77777777" w:rsidR="00DB1AEE" w:rsidRPr="00DB1AEE" w:rsidRDefault="00DB1AEE" w:rsidP="00DB1AEE">
      <w:pPr>
        <w:tabs>
          <w:tab w:val="left" w:pos="3924"/>
        </w:tabs>
        <w:suppressAutoHyphens/>
        <w:ind w:left="1080" w:right="432" w:hanging="360"/>
        <w:jc w:val="left"/>
        <w:rPr>
          <w:szCs w:val="24"/>
          <w:u w:val="single"/>
        </w:rPr>
      </w:pPr>
      <w:r w:rsidRPr="00DB1AEE">
        <w:rPr>
          <w:szCs w:val="24"/>
          <w:u w:val="single"/>
        </w:rPr>
        <w:t>d.</w:t>
      </w:r>
      <w:r w:rsidRPr="00DB1AEE">
        <w:rPr>
          <w:szCs w:val="24"/>
          <w:u w:val="single"/>
        </w:rPr>
        <w:tab/>
        <w:t>HVAC and service hot water controls system maintenance and calibration information, including wiring diagrams, schematics and control sequence descriptions. Desired or field-determined set points shall be permanently recorded on control drawings at control devices or, for digital control systems, in system programming instructions.</w:t>
      </w:r>
    </w:p>
    <w:p w14:paraId="3AC2AAA0" w14:textId="77777777" w:rsidR="00DB1AEE" w:rsidRPr="00DB1AEE" w:rsidRDefault="00DB1AEE" w:rsidP="00DB1AEE">
      <w:pPr>
        <w:tabs>
          <w:tab w:val="left" w:pos="3924"/>
        </w:tabs>
        <w:suppressAutoHyphens/>
        <w:ind w:left="360" w:right="432"/>
        <w:jc w:val="left"/>
        <w:rPr>
          <w:vanish/>
          <w:szCs w:val="24"/>
          <w:u w:val="single"/>
        </w:rPr>
      </w:pPr>
      <w:r w:rsidRPr="00DB1AEE">
        <w:rPr>
          <w:b/>
          <w:bCs/>
          <w:szCs w:val="24"/>
          <w:u w:val="single"/>
        </w:rPr>
        <w:t>6.7.3.5.5.3</w:t>
      </w:r>
      <w:r w:rsidRPr="00DB1AEE">
        <w:rPr>
          <w:szCs w:val="24"/>
          <w:u w:val="single"/>
        </w:rPr>
        <w:t xml:space="preserve"> </w:t>
      </w:r>
      <w:r w:rsidRPr="00DB1AEE">
        <w:rPr>
          <w:b/>
          <w:bCs/>
          <w:szCs w:val="24"/>
          <w:u w:val="single"/>
        </w:rPr>
        <w:t>System Balancing Report</w:t>
      </w:r>
      <w:r w:rsidRPr="00DB1AEE">
        <w:rPr>
          <w:szCs w:val="24"/>
          <w:u w:val="single"/>
        </w:rPr>
        <w:t xml:space="preserve"> </w:t>
      </w:r>
    </w:p>
    <w:p w14:paraId="59188567" w14:textId="77777777" w:rsidR="00DB1AEE" w:rsidRPr="00DB1AEE" w:rsidRDefault="00DB1AEE" w:rsidP="00DB1AEE">
      <w:pPr>
        <w:tabs>
          <w:tab w:val="left" w:pos="3924"/>
        </w:tabs>
        <w:suppressAutoHyphens/>
        <w:ind w:left="360" w:right="432" w:hanging="360"/>
        <w:jc w:val="left"/>
        <w:rPr>
          <w:b/>
          <w:bCs/>
          <w:strike/>
          <w:szCs w:val="24"/>
          <w:u w:val="single"/>
        </w:rPr>
      </w:pPr>
      <w:r w:rsidRPr="00DB1AEE">
        <w:rPr>
          <w:szCs w:val="24"/>
          <w:u w:val="single"/>
        </w:rPr>
        <w:t xml:space="preserve"> </w:t>
      </w:r>
    </w:p>
    <w:p w14:paraId="1CC2B2FC" w14:textId="77777777" w:rsidR="00DB1AEE" w:rsidRPr="00DB1AEE" w:rsidRDefault="00DB1AEE" w:rsidP="00DB1AEE">
      <w:pPr>
        <w:tabs>
          <w:tab w:val="left" w:pos="3924"/>
        </w:tabs>
        <w:suppressAutoHyphens/>
        <w:ind w:left="360" w:right="432"/>
        <w:jc w:val="left"/>
        <w:rPr>
          <w:szCs w:val="24"/>
          <w:u w:val="single"/>
        </w:rPr>
      </w:pPr>
      <w:r w:rsidRPr="00DB1AEE">
        <w:rPr>
          <w:szCs w:val="24"/>
          <w:u w:val="single"/>
        </w:rPr>
        <w:t>A written report describing the activities and measurements completed in accordance with Section 6.7.2.3.2.</w:t>
      </w:r>
    </w:p>
    <w:p w14:paraId="74593CF8" w14:textId="77777777" w:rsidR="00DB1AEE" w:rsidRPr="00DB1AEE" w:rsidRDefault="00DB1AEE" w:rsidP="00DB1AEE">
      <w:pPr>
        <w:tabs>
          <w:tab w:val="left" w:pos="3924"/>
        </w:tabs>
        <w:suppressAutoHyphens/>
        <w:ind w:left="360" w:right="432"/>
        <w:jc w:val="left"/>
        <w:rPr>
          <w:b/>
          <w:bCs/>
          <w:vanish/>
          <w:szCs w:val="24"/>
          <w:u w:val="single"/>
        </w:rPr>
      </w:pPr>
      <w:r w:rsidRPr="00DB1AEE">
        <w:rPr>
          <w:b/>
          <w:bCs/>
          <w:szCs w:val="24"/>
          <w:u w:val="single"/>
        </w:rPr>
        <w:t xml:space="preserve">6.7.3.5.5.4 Final Commissioning Report </w:t>
      </w:r>
    </w:p>
    <w:p w14:paraId="1E84E49E" w14:textId="77777777" w:rsidR="00DB1AEE" w:rsidRPr="00DB1AEE" w:rsidRDefault="00DB1AEE" w:rsidP="00DB1AEE">
      <w:pPr>
        <w:tabs>
          <w:tab w:val="left" w:pos="3924"/>
        </w:tabs>
        <w:suppressAutoHyphens/>
        <w:ind w:left="360" w:right="432"/>
        <w:jc w:val="left"/>
        <w:rPr>
          <w:b/>
          <w:bCs/>
          <w:strike/>
          <w:szCs w:val="24"/>
          <w:u w:val="single"/>
        </w:rPr>
      </w:pPr>
      <w:r w:rsidRPr="00DB1AEE">
        <w:rPr>
          <w:b/>
          <w:bCs/>
          <w:szCs w:val="24"/>
          <w:u w:val="single"/>
        </w:rPr>
        <w:t xml:space="preserve"> </w:t>
      </w:r>
    </w:p>
    <w:p w14:paraId="6B4331E0" w14:textId="77777777" w:rsidR="00DB1AEE" w:rsidRPr="00DB1AEE" w:rsidRDefault="00DB1AEE" w:rsidP="00DB1AEE">
      <w:pPr>
        <w:tabs>
          <w:tab w:val="left" w:pos="3924"/>
        </w:tabs>
        <w:suppressAutoHyphens/>
        <w:ind w:left="360" w:right="432"/>
        <w:jc w:val="left"/>
        <w:rPr>
          <w:szCs w:val="24"/>
          <w:u w:val="single"/>
        </w:rPr>
      </w:pPr>
      <w:r w:rsidRPr="00DB1AEE">
        <w:rPr>
          <w:szCs w:val="24"/>
          <w:u w:val="single"/>
        </w:rPr>
        <w:t>Within 30 months for new buildings 500,000 gross square feet or greater, excluding R-2 occupancies, or within 18 months for R-2 occupancies and all other buildings, of the issuance of the certificate of occupancy or letter of completion, an approved agency shall prepare a report of test procedures and results, including test procedures and results performed after occupancy, identified as the “Final Commissioning Report”, provide such report to the building owner, and submit a certification to the department with applicable fees in accordance with department rules. The owner of a building 500,000 gross square feet or greater may apply for an extension of time to the building official based on good cause, in accordance with department rules. Such report shall include the following:</w:t>
      </w:r>
    </w:p>
    <w:p w14:paraId="0BDD4C39" w14:textId="77777777" w:rsidR="00DB1AEE" w:rsidRPr="00DB1AEE" w:rsidRDefault="00DB1AEE" w:rsidP="00DB1AEE">
      <w:pPr>
        <w:tabs>
          <w:tab w:val="left" w:pos="3924"/>
        </w:tabs>
        <w:suppressAutoHyphens/>
        <w:ind w:left="1080" w:right="432" w:hanging="360"/>
        <w:jc w:val="left"/>
        <w:rPr>
          <w:szCs w:val="24"/>
          <w:u w:val="single"/>
        </w:rPr>
      </w:pPr>
      <w:r w:rsidRPr="00DB1AEE">
        <w:rPr>
          <w:szCs w:val="24"/>
          <w:u w:val="single"/>
        </w:rPr>
        <w:t>a.</w:t>
      </w:r>
      <w:r w:rsidRPr="00DB1AEE">
        <w:rPr>
          <w:szCs w:val="24"/>
          <w:u w:val="single"/>
        </w:rPr>
        <w:tab/>
        <w:t>Results of functional performance tests.</w:t>
      </w:r>
    </w:p>
    <w:p w14:paraId="43C1E546" w14:textId="77777777" w:rsidR="00DB1AEE" w:rsidRPr="00DB1AEE" w:rsidRDefault="00DB1AEE" w:rsidP="00DB1AEE">
      <w:pPr>
        <w:tabs>
          <w:tab w:val="left" w:pos="3924"/>
        </w:tabs>
        <w:suppressAutoHyphens/>
        <w:ind w:left="1080" w:right="432" w:hanging="360"/>
        <w:jc w:val="left"/>
        <w:rPr>
          <w:szCs w:val="24"/>
          <w:u w:val="single"/>
        </w:rPr>
      </w:pPr>
      <w:r w:rsidRPr="00DB1AEE">
        <w:rPr>
          <w:szCs w:val="24"/>
          <w:u w:val="single"/>
        </w:rPr>
        <w:t>b.</w:t>
      </w:r>
      <w:r w:rsidRPr="00DB1AEE">
        <w:rPr>
          <w:szCs w:val="24"/>
          <w:u w:val="single"/>
        </w:rPr>
        <w:tab/>
        <w:t>Disposition of deficiencies found during testing, including details of corrective measures used or proposed.</w:t>
      </w:r>
    </w:p>
    <w:p w14:paraId="00857B9C" w14:textId="77777777" w:rsidR="00DB1AEE" w:rsidRPr="00DB1AEE" w:rsidRDefault="00DB1AEE" w:rsidP="00DB1AEE">
      <w:pPr>
        <w:tabs>
          <w:tab w:val="left" w:pos="3924"/>
        </w:tabs>
        <w:suppressAutoHyphens/>
        <w:ind w:left="1080" w:right="432" w:hanging="360"/>
        <w:jc w:val="left"/>
        <w:rPr>
          <w:szCs w:val="24"/>
          <w:u w:val="single"/>
        </w:rPr>
      </w:pPr>
      <w:r w:rsidRPr="00DB1AEE">
        <w:rPr>
          <w:szCs w:val="24"/>
          <w:u w:val="single"/>
        </w:rPr>
        <w:t>c.</w:t>
      </w:r>
      <w:r w:rsidRPr="00DB1AEE">
        <w:rPr>
          <w:szCs w:val="24"/>
          <w:u w:val="single"/>
        </w:rPr>
        <w:tab/>
        <w:t>Functional performance test procedures used during the commissioning process including measurable criteria for test acceptance, provided herein for repeatability.</w:t>
      </w:r>
    </w:p>
    <w:p w14:paraId="1BE3C699" w14:textId="77777777" w:rsidR="00DB1AEE" w:rsidRPr="00DB1AEE" w:rsidRDefault="00DB1AEE" w:rsidP="00DB1AEE">
      <w:pPr>
        <w:tabs>
          <w:tab w:val="left" w:pos="3924"/>
        </w:tabs>
        <w:suppressAutoHyphens/>
        <w:ind w:left="360" w:right="432"/>
        <w:jc w:val="left"/>
        <w:rPr>
          <w:b/>
          <w:bCs/>
          <w:szCs w:val="24"/>
          <w:u w:val="single"/>
        </w:rPr>
      </w:pPr>
      <w:r w:rsidRPr="00DB1AEE">
        <w:rPr>
          <w:b/>
          <w:bCs/>
          <w:szCs w:val="24"/>
          <w:u w:val="single"/>
        </w:rPr>
        <w:t>Exception to 6.7.3.5.5.4</w:t>
      </w:r>
    </w:p>
    <w:p w14:paraId="0C469488" w14:textId="77777777" w:rsidR="00DB1AEE" w:rsidRPr="00DB1AEE" w:rsidRDefault="00DB1AEE" w:rsidP="00DB1AEE">
      <w:pPr>
        <w:tabs>
          <w:tab w:val="left" w:pos="3924"/>
        </w:tabs>
        <w:suppressAutoHyphens/>
        <w:ind w:left="360" w:right="432"/>
        <w:jc w:val="left"/>
        <w:rPr>
          <w:szCs w:val="24"/>
          <w:u w:val="single"/>
        </w:rPr>
      </w:pPr>
      <w:r w:rsidRPr="00DB1AEE">
        <w:rPr>
          <w:szCs w:val="24"/>
          <w:u w:val="single"/>
        </w:rPr>
        <w:t>Deferred tests that cannot be performed at the time of report preparation due to climatic conditions.</w:t>
      </w:r>
    </w:p>
    <w:p w14:paraId="0ABCE62F" w14:textId="77777777" w:rsidR="00DB1AEE" w:rsidRPr="00DB1AEE" w:rsidRDefault="00DB1AEE" w:rsidP="00DB1AEE">
      <w:pPr>
        <w:widowControl w:val="0"/>
        <w:suppressAutoHyphens/>
        <w:spacing w:before="130" w:after="130"/>
        <w:jc w:val="left"/>
        <w:rPr>
          <w:b/>
          <w:bCs/>
          <w:u w:val="single"/>
        </w:rPr>
      </w:pPr>
      <w:r w:rsidRPr="00DB1AEE">
        <w:rPr>
          <w:b/>
          <w:bCs/>
          <w:u w:val="single"/>
        </w:rPr>
        <w:t xml:space="preserve">Section 7 - Service Water Heating.   </w:t>
      </w:r>
    </w:p>
    <w:p w14:paraId="0BD760D2" w14:textId="77777777" w:rsidR="00DB1AEE" w:rsidRPr="00DB1AEE" w:rsidRDefault="00DB1AEE" w:rsidP="00DB1AEE">
      <w:pPr>
        <w:widowControl w:val="0"/>
        <w:suppressAutoHyphens/>
        <w:spacing w:before="130" w:after="130"/>
        <w:jc w:val="left"/>
        <w:rPr>
          <w:b/>
          <w:bCs/>
          <w:u w:val="single"/>
        </w:rPr>
      </w:pPr>
      <w:r w:rsidRPr="00DB1AEE">
        <w:rPr>
          <w:b/>
          <w:bCs/>
          <w:u w:val="single"/>
        </w:rPr>
        <w:t>Section 7.2.1</w:t>
      </w:r>
      <w:r w:rsidRPr="00DB1AEE">
        <w:rPr>
          <w:b/>
          <w:bCs/>
          <w:u w:val="single"/>
        </w:rPr>
        <w:tab/>
        <w:t>Requirements for All Compliance Paths.</w:t>
      </w:r>
    </w:p>
    <w:p w14:paraId="60AA1BE9" w14:textId="77777777" w:rsidR="00DB1AEE" w:rsidRPr="00DB1AEE" w:rsidRDefault="00DB1AEE" w:rsidP="00DB1AEE">
      <w:pPr>
        <w:widowControl w:val="0"/>
        <w:suppressAutoHyphens/>
        <w:spacing w:before="130" w:after="130"/>
        <w:jc w:val="left"/>
        <w:rPr>
          <w:u w:val="single"/>
        </w:rPr>
      </w:pPr>
      <w:r w:rsidRPr="00DB1AEE">
        <w:rPr>
          <w:u w:val="single"/>
        </w:rPr>
        <w:t>Section 7.2.1- Revise Section 7.2.1 to read as follows:</w:t>
      </w:r>
    </w:p>
    <w:p w14:paraId="78FDA401" w14:textId="77777777" w:rsidR="00DB1AEE" w:rsidRPr="00DB1AEE" w:rsidRDefault="00DB1AEE" w:rsidP="00DB1AEE">
      <w:pPr>
        <w:widowControl w:val="0"/>
        <w:suppressAutoHyphens/>
        <w:spacing w:before="130" w:after="130"/>
        <w:ind w:left="360"/>
        <w:jc w:val="left"/>
        <w:rPr>
          <w:b/>
          <w:bCs/>
          <w:u w:val="single"/>
        </w:rPr>
      </w:pPr>
      <w:r w:rsidRPr="00DB1AEE">
        <w:rPr>
          <w:b/>
          <w:bCs/>
          <w:u w:val="single"/>
        </w:rPr>
        <w:t>7.2.1</w:t>
      </w:r>
      <w:r w:rsidRPr="00DB1AEE">
        <w:rPr>
          <w:b/>
          <w:bCs/>
          <w:u w:val="single"/>
        </w:rPr>
        <w:tab/>
        <w:t>Requirements for All Compliance Paths</w:t>
      </w:r>
    </w:p>
    <w:p w14:paraId="3589A12A" w14:textId="77777777" w:rsidR="00DB1AEE" w:rsidRPr="00DB1AEE" w:rsidRDefault="00DB1AEE" w:rsidP="00DB1AEE">
      <w:pPr>
        <w:widowControl w:val="0"/>
        <w:suppressAutoHyphens/>
        <w:spacing w:before="130" w:after="130"/>
        <w:ind w:left="360"/>
        <w:jc w:val="left"/>
        <w:rPr>
          <w:u w:val="single"/>
        </w:rPr>
      </w:pPr>
      <w:r w:rsidRPr="00DB1AEE">
        <w:rPr>
          <w:u w:val="single"/>
        </w:rPr>
        <w:t>Service water heating systems and equipment shall comply with Sections 7.1, “General”; 7.4, “Mandatory Provisions”; 7.7, “Submittals”; Section 6.7.3.3, “Mechanical, renewable energy, and service water heating systems commissioning and completion requirements”; and 7.8, “Product Information.”</w:t>
      </w:r>
    </w:p>
    <w:p w14:paraId="7BF8AA30" w14:textId="77777777" w:rsidR="00DB1AEE" w:rsidRPr="00DB1AEE" w:rsidRDefault="00DB1AEE" w:rsidP="00DB1AEE">
      <w:pPr>
        <w:widowControl w:val="0"/>
        <w:suppressAutoHyphens/>
        <w:spacing w:before="130" w:after="130"/>
        <w:jc w:val="left"/>
        <w:rPr>
          <w:b/>
          <w:bCs/>
          <w:u w:val="single"/>
        </w:rPr>
      </w:pPr>
      <w:r w:rsidRPr="00DB1AEE">
        <w:rPr>
          <w:b/>
          <w:bCs/>
          <w:u w:val="single"/>
        </w:rPr>
        <w:t>Section 7.4.7 Demand responsive water heating.</w:t>
      </w:r>
    </w:p>
    <w:p w14:paraId="0DA5DCCA" w14:textId="77777777" w:rsidR="00DB1AEE" w:rsidRPr="00DB1AEE" w:rsidRDefault="00DB1AEE" w:rsidP="00DB1AEE">
      <w:pPr>
        <w:widowControl w:val="0"/>
        <w:suppressAutoHyphens/>
        <w:spacing w:before="130" w:after="130"/>
        <w:jc w:val="left"/>
        <w:rPr>
          <w:u w:val="single"/>
        </w:rPr>
      </w:pPr>
      <w:r w:rsidRPr="00DB1AEE">
        <w:rPr>
          <w:u w:val="single"/>
        </w:rPr>
        <w:t>Section 7.4.7 – Add new Section 7.4.7 to read as follows:</w:t>
      </w:r>
    </w:p>
    <w:p w14:paraId="2F13F3D8" w14:textId="77777777" w:rsidR="00DB1AEE" w:rsidRPr="00DB1AEE" w:rsidRDefault="00DB1AEE" w:rsidP="00DB1AEE">
      <w:pPr>
        <w:widowControl w:val="0"/>
        <w:suppressAutoHyphens/>
        <w:spacing w:before="130" w:after="130"/>
        <w:ind w:left="360"/>
        <w:jc w:val="left"/>
        <w:rPr>
          <w:b/>
          <w:bCs/>
          <w:u w:val="single"/>
        </w:rPr>
      </w:pPr>
      <w:r w:rsidRPr="00DB1AEE">
        <w:rPr>
          <w:b/>
          <w:bCs/>
          <w:u w:val="single"/>
        </w:rPr>
        <w:t xml:space="preserve">7.4.7 Demand responsive water heating. </w:t>
      </w:r>
    </w:p>
    <w:p w14:paraId="2B7E83BB" w14:textId="77777777" w:rsidR="00DB1AEE" w:rsidRPr="00DB1AEE" w:rsidRDefault="00DB1AEE" w:rsidP="00DB1AEE">
      <w:pPr>
        <w:widowControl w:val="0"/>
        <w:suppressAutoHyphens/>
        <w:spacing w:before="130" w:after="130"/>
        <w:ind w:left="360"/>
        <w:jc w:val="left"/>
        <w:rPr>
          <w:u w:val="single"/>
        </w:rPr>
      </w:pPr>
      <w:r w:rsidRPr="00DB1AEE">
        <w:rPr>
          <w:u w:val="single"/>
        </w:rPr>
        <w:t>Electric storage water heaters with a rated water storage volume of 40 gallons (150L) to 120 gallons (450L) and a nameplate input rating equal to or less than 12kW shall be provided with demand responsive controls in accordance with Table 7.4-3.</w:t>
      </w:r>
    </w:p>
    <w:p w14:paraId="2F9063BE" w14:textId="77777777" w:rsidR="00DB1AEE" w:rsidRPr="00DB1AEE" w:rsidRDefault="00DB1AEE" w:rsidP="00DB1AEE">
      <w:pPr>
        <w:widowControl w:val="0"/>
        <w:suppressAutoHyphens/>
        <w:spacing w:before="130" w:after="130"/>
        <w:ind w:left="360"/>
        <w:jc w:val="left"/>
        <w:rPr>
          <w:u w:val="single"/>
        </w:rPr>
      </w:pPr>
      <w:r w:rsidRPr="00DB1AEE">
        <w:rPr>
          <w:u w:val="single"/>
        </w:rPr>
        <w:t>Exceptions:</w:t>
      </w:r>
    </w:p>
    <w:p w14:paraId="514F3C73" w14:textId="77777777" w:rsidR="00DB1AEE" w:rsidRPr="00DB1AEE" w:rsidRDefault="00DB1AEE" w:rsidP="00DB1AEE">
      <w:pPr>
        <w:widowControl w:val="0"/>
        <w:suppressAutoHyphens/>
        <w:spacing w:before="130" w:after="130"/>
        <w:ind w:left="360"/>
        <w:jc w:val="left"/>
        <w:rPr>
          <w:u w:val="single"/>
        </w:rPr>
      </w:pPr>
      <w:r w:rsidRPr="00DB1AEE">
        <w:rPr>
          <w:u w:val="single"/>
        </w:rPr>
        <w:t>1.</w:t>
      </w:r>
      <w:r w:rsidRPr="00DB1AEE">
        <w:rPr>
          <w:u w:val="single"/>
        </w:rPr>
        <w:tab/>
        <w:t>Water heaters that provide a hot water delivery temperature of 180°F (82°C) or greater.</w:t>
      </w:r>
    </w:p>
    <w:p w14:paraId="67CEEC1B" w14:textId="77777777" w:rsidR="00DB1AEE" w:rsidRPr="00DB1AEE" w:rsidRDefault="00DB1AEE" w:rsidP="00DB1AEE">
      <w:pPr>
        <w:widowControl w:val="0"/>
        <w:suppressAutoHyphens/>
        <w:spacing w:before="130" w:after="130"/>
        <w:ind w:left="360"/>
        <w:jc w:val="left"/>
        <w:rPr>
          <w:u w:val="single"/>
        </w:rPr>
      </w:pPr>
      <w:r w:rsidRPr="00DB1AEE">
        <w:rPr>
          <w:u w:val="single"/>
        </w:rPr>
        <w:t>2.</w:t>
      </w:r>
      <w:r w:rsidRPr="00DB1AEE">
        <w:rPr>
          <w:u w:val="single"/>
        </w:rPr>
        <w:tab/>
        <w:t>Water heaters that comply with Section IV, Part HLW or Section X of the ASME Boiler and Pressure Vessel Code.</w:t>
      </w:r>
    </w:p>
    <w:p w14:paraId="0844A9F8" w14:textId="77777777" w:rsidR="00DB1AEE" w:rsidRPr="00DB1AEE" w:rsidRDefault="00DB1AEE" w:rsidP="00DB1AEE">
      <w:pPr>
        <w:widowControl w:val="0"/>
        <w:suppressAutoHyphens/>
        <w:spacing w:before="130" w:after="130"/>
        <w:ind w:left="360"/>
        <w:jc w:val="left"/>
        <w:rPr>
          <w:u w:val="single"/>
        </w:rPr>
      </w:pPr>
      <w:r w:rsidRPr="00DB1AEE">
        <w:rPr>
          <w:u w:val="single"/>
        </w:rPr>
        <w:t>3.</w:t>
      </w:r>
      <w:r w:rsidRPr="00DB1AEE">
        <w:rPr>
          <w:u w:val="single"/>
        </w:rPr>
        <w:tab/>
        <w:t>Water heaters that use 3-phase electric power.</w:t>
      </w:r>
    </w:p>
    <w:p w14:paraId="4D39409F" w14:textId="77777777" w:rsidR="00DB1AEE" w:rsidRPr="00DB1AEE" w:rsidRDefault="00DB1AEE" w:rsidP="00DB1AEE">
      <w:pPr>
        <w:widowControl w:val="0"/>
        <w:suppressAutoHyphens/>
        <w:spacing w:before="130" w:after="130"/>
        <w:jc w:val="left"/>
        <w:rPr>
          <w:b/>
          <w:bCs/>
          <w:u w:val="single"/>
        </w:rPr>
      </w:pPr>
      <w:r w:rsidRPr="00DB1AEE">
        <w:rPr>
          <w:b/>
          <w:bCs/>
          <w:u w:val="single"/>
        </w:rPr>
        <w:t>Table 7.4-3 Demand Responsive Controls for Water Heating.</w:t>
      </w:r>
    </w:p>
    <w:p w14:paraId="2870F013" w14:textId="77777777" w:rsidR="00DB1AEE" w:rsidRPr="00DB1AEE" w:rsidRDefault="00DB1AEE" w:rsidP="00DB1AEE">
      <w:pPr>
        <w:widowControl w:val="0"/>
        <w:suppressAutoHyphens/>
        <w:spacing w:before="130" w:after="130"/>
        <w:jc w:val="left"/>
        <w:rPr>
          <w:u w:val="single"/>
        </w:rPr>
      </w:pPr>
      <w:r w:rsidRPr="00DB1AEE">
        <w:rPr>
          <w:u w:val="single"/>
        </w:rPr>
        <w:t>Table 7.4-3 – Add new Table 7.4-3 to read as follows:</w:t>
      </w:r>
    </w:p>
    <w:p w14:paraId="0FB6DA5A" w14:textId="77777777" w:rsidR="00DB1AEE" w:rsidRPr="00DB1AEE" w:rsidRDefault="00DB1AEE" w:rsidP="00DB1AEE">
      <w:pPr>
        <w:suppressAutoHyphens/>
        <w:spacing w:before="72" w:after="120" w:line="247" w:lineRule="auto"/>
        <w:ind w:left="3081" w:right="155"/>
        <w:rPr>
          <w:color w:val="0000FF"/>
          <w:u w:val="single"/>
        </w:rPr>
      </w:pPr>
    </w:p>
    <w:p w14:paraId="74E3732D" w14:textId="77777777" w:rsidR="00DB1AEE" w:rsidRPr="00DB1AEE" w:rsidRDefault="00DB1AEE" w:rsidP="00DB1AEE">
      <w:pPr>
        <w:suppressAutoHyphens/>
        <w:jc w:val="center"/>
        <w:rPr>
          <w:b/>
          <w:bCs/>
          <w:szCs w:val="24"/>
          <w:u w:val="single"/>
        </w:rPr>
      </w:pPr>
      <w:r w:rsidRPr="00DB1AEE">
        <w:rPr>
          <w:b/>
          <w:bCs/>
          <w:szCs w:val="24"/>
          <w:u w:val="single"/>
        </w:rPr>
        <w:t>Table 7.4-3 Demand Responsive Controls for Water Heating</w:t>
      </w:r>
    </w:p>
    <w:tbl>
      <w:tblPr>
        <w:tblW w:w="103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63"/>
        <w:gridCol w:w="4881"/>
        <w:gridCol w:w="2981"/>
      </w:tblGrid>
      <w:tr w:rsidR="00DB1AEE" w:rsidRPr="00DB1AEE" w14:paraId="2A42845C" w14:textId="77777777" w:rsidTr="00FC1832">
        <w:trPr>
          <w:trHeight w:val="280"/>
          <w:jc w:val="center"/>
        </w:trPr>
        <w:tc>
          <w:tcPr>
            <w:tcW w:w="2463" w:type="dxa"/>
            <w:vMerge w:val="restart"/>
          </w:tcPr>
          <w:p w14:paraId="54C6864C" w14:textId="77777777" w:rsidR="00DB1AEE" w:rsidRPr="00DB1AEE" w:rsidRDefault="00DB1AEE" w:rsidP="00DB1AEE">
            <w:pPr>
              <w:widowControl w:val="0"/>
              <w:autoSpaceDE w:val="0"/>
              <w:autoSpaceDN w:val="0"/>
              <w:jc w:val="center"/>
              <w:rPr>
                <w:rFonts w:eastAsia="Calibri"/>
                <w:b/>
                <w:bCs/>
                <w:szCs w:val="24"/>
                <w:u w:val="single"/>
              </w:rPr>
            </w:pPr>
            <w:r w:rsidRPr="00DB1AEE">
              <w:rPr>
                <w:rFonts w:eastAsia="Calibri"/>
                <w:b/>
                <w:bCs/>
                <w:w w:val="95"/>
                <w:szCs w:val="24"/>
                <w:u w:val="single"/>
              </w:rPr>
              <w:t xml:space="preserve">Equipment </w:t>
            </w:r>
            <w:r w:rsidRPr="00DB1AEE">
              <w:rPr>
                <w:rFonts w:eastAsia="Calibri"/>
                <w:b/>
                <w:bCs/>
                <w:szCs w:val="24"/>
                <w:u w:val="single"/>
              </w:rPr>
              <w:t>Type</w:t>
            </w:r>
          </w:p>
        </w:tc>
        <w:tc>
          <w:tcPr>
            <w:tcW w:w="7862" w:type="dxa"/>
            <w:gridSpan w:val="2"/>
          </w:tcPr>
          <w:p w14:paraId="5F1B02AD" w14:textId="77777777" w:rsidR="00DB1AEE" w:rsidRPr="00DB1AEE" w:rsidRDefault="00DB1AEE" w:rsidP="00DB1AEE">
            <w:pPr>
              <w:widowControl w:val="0"/>
              <w:autoSpaceDE w:val="0"/>
              <w:autoSpaceDN w:val="0"/>
              <w:jc w:val="center"/>
              <w:rPr>
                <w:rFonts w:eastAsia="Calibri"/>
                <w:b/>
                <w:bCs/>
                <w:szCs w:val="24"/>
                <w:u w:val="single"/>
              </w:rPr>
            </w:pPr>
            <w:r w:rsidRPr="00DB1AEE">
              <w:rPr>
                <w:rFonts w:eastAsia="Calibri"/>
                <w:b/>
                <w:bCs/>
                <w:szCs w:val="24"/>
                <w:u w:val="single"/>
              </w:rPr>
              <w:t>Controls</w:t>
            </w:r>
          </w:p>
        </w:tc>
      </w:tr>
      <w:tr w:rsidR="00DB1AEE" w:rsidRPr="00DB1AEE" w14:paraId="152F6778" w14:textId="77777777" w:rsidTr="00FC1832">
        <w:trPr>
          <w:trHeight w:val="315"/>
          <w:jc w:val="center"/>
        </w:trPr>
        <w:tc>
          <w:tcPr>
            <w:tcW w:w="2463" w:type="dxa"/>
            <w:vMerge/>
          </w:tcPr>
          <w:p w14:paraId="54DC8B45" w14:textId="77777777" w:rsidR="00DB1AEE" w:rsidRPr="00DB1AEE" w:rsidRDefault="00DB1AEE" w:rsidP="00DB1AEE">
            <w:pPr>
              <w:widowControl w:val="0"/>
              <w:suppressAutoHyphens/>
              <w:autoSpaceDE w:val="0"/>
              <w:autoSpaceDN w:val="0"/>
              <w:jc w:val="left"/>
              <w:rPr>
                <w:rFonts w:eastAsia="Calibri"/>
                <w:b/>
                <w:bCs/>
                <w:sz w:val="22"/>
                <w:szCs w:val="24"/>
                <w:u w:val="single"/>
              </w:rPr>
            </w:pPr>
          </w:p>
        </w:tc>
        <w:tc>
          <w:tcPr>
            <w:tcW w:w="4881" w:type="dxa"/>
          </w:tcPr>
          <w:p w14:paraId="2BD7CBB5" w14:textId="77777777" w:rsidR="00DB1AEE" w:rsidRPr="00DB1AEE" w:rsidRDefault="00DB1AEE" w:rsidP="00DB1AEE">
            <w:pPr>
              <w:widowControl w:val="0"/>
              <w:autoSpaceDE w:val="0"/>
              <w:autoSpaceDN w:val="0"/>
              <w:jc w:val="center"/>
              <w:rPr>
                <w:rFonts w:eastAsia="Calibri"/>
                <w:b/>
                <w:szCs w:val="24"/>
                <w:u w:val="single"/>
              </w:rPr>
            </w:pPr>
            <w:r w:rsidRPr="00DB1AEE">
              <w:rPr>
                <w:rFonts w:eastAsia="Calibri"/>
                <w:b/>
                <w:szCs w:val="24"/>
                <w:u w:val="single"/>
              </w:rPr>
              <w:t>Manufactured before 7/1/2025</w:t>
            </w:r>
          </w:p>
        </w:tc>
        <w:tc>
          <w:tcPr>
            <w:tcW w:w="2981" w:type="dxa"/>
          </w:tcPr>
          <w:p w14:paraId="10AE98FA" w14:textId="77777777" w:rsidR="00DB1AEE" w:rsidRPr="00DB1AEE" w:rsidRDefault="00DB1AEE" w:rsidP="00DB1AEE">
            <w:pPr>
              <w:widowControl w:val="0"/>
              <w:autoSpaceDE w:val="0"/>
              <w:autoSpaceDN w:val="0"/>
              <w:jc w:val="center"/>
              <w:rPr>
                <w:rFonts w:eastAsia="Calibri"/>
                <w:b/>
                <w:bCs/>
                <w:szCs w:val="24"/>
                <w:u w:val="single"/>
              </w:rPr>
            </w:pPr>
            <w:r w:rsidRPr="00DB1AEE">
              <w:rPr>
                <w:rFonts w:eastAsia="Calibri"/>
                <w:b/>
                <w:bCs/>
                <w:szCs w:val="24"/>
                <w:u w:val="single"/>
              </w:rPr>
              <w:t>Manufactured on or after 7/1/2025</w:t>
            </w:r>
          </w:p>
        </w:tc>
      </w:tr>
      <w:tr w:rsidR="00DB1AEE" w:rsidRPr="00DB1AEE" w14:paraId="556A2F48" w14:textId="77777777" w:rsidTr="00FC1832">
        <w:trPr>
          <w:trHeight w:val="590"/>
          <w:jc w:val="center"/>
        </w:trPr>
        <w:tc>
          <w:tcPr>
            <w:tcW w:w="2463" w:type="dxa"/>
            <w:tcBorders>
              <w:top w:val="double" w:sz="4" w:space="0" w:color="BFBFBF"/>
            </w:tcBorders>
          </w:tcPr>
          <w:p w14:paraId="56A1265B" w14:textId="77777777" w:rsidR="00DB1AEE" w:rsidRPr="00DB1AEE" w:rsidRDefault="00DB1AEE" w:rsidP="00DB1AEE">
            <w:pPr>
              <w:widowControl w:val="0"/>
              <w:autoSpaceDE w:val="0"/>
              <w:autoSpaceDN w:val="0"/>
              <w:ind w:hanging="52"/>
              <w:jc w:val="center"/>
              <w:rPr>
                <w:rFonts w:eastAsia="Calibri"/>
                <w:b/>
                <w:bCs/>
                <w:szCs w:val="24"/>
                <w:u w:val="single"/>
              </w:rPr>
            </w:pPr>
            <w:r w:rsidRPr="00DB1AEE">
              <w:rPr>
                <w:rFonts w:eastAsia="Calibri"/>
                <w:w w:val="105"/>
                <w:szCs w:val="24"/>
                <w:u w:val="single"/>
              </w:rPr>
              <w:t>Electric storage Water heaters</w:t>
            </w:r>
          </w:p>
        </w:tc>
        <w:tc>
          <w:tcPr>
            <w:tcW w:w="4881" w:type="dxa"/>
            <w:tcBorders>
              <w:top w:val="double" w:sz="4" w:space="0" w:color="BFBFBF"/>
            </w:tcBorders>
          </w:tcPr>
          <w:p w14:paraId="7F4960FF" w14:textId="77777777" w:rsidR="00DB1AEE" w:rsidRPr="00DB1AEE" w:rsidRDefault="00DB1AEE" w:rsidP="00DB1AEE">
            <w:pPr>
              <w:widowControl w:val="0"/>
              <w:autoSpaceDE w:val="0"/>
              <w:autoSpaceDN w:val="0"/>
              <w:ind w:firstLine="2"/>
              <w:jc w:val="center"/>
              <w:rPr>
                <w:rFonts w:eastAsia="Calibri"/>
                <w:b/>
                <w:bCs/>
                <w:szCs w:val="24"/>
                <w:u w:val="single"/>
              </w:rPr>
            </w:pPr>
            <w:r w:rsidRPr="00DB1AEE">
              <w:rPr>
                <w:rFonts w:eastAsia="Calibri"/>
                <w:szCs w:val="24"/>
                <w:u w:val="single"/>
              </w:rPr>
              <w:t xml:space="preserve">AHRI Standard 1430 or ANSI/CTA-2045-B Level 1 and also capable of initiating water heating to meet the temperature set point in response to a </w:t>
            </w:r>
            <w:r w:rsidRPr="00DB1AEE">
              <w:rPr>
                <w:rFonts w:eastAsia="Calibri"/>
                <w:i/>
                <w:szCs w:val="24"/>
                <w:u w:val="single"/>
              </w:rPr>
              <w:t>demand response signal</w:t>
            </w:r>
            <w:r w:rsidRPr="00DB1AEE">
              <w:rPr>
                <w:rFonts w:eastAsia="Calibri"/>
                <w:szCs w:val="24"/>
                <w:u w:val="single"/>
              </w:rPr>
              <w:t>.</w:t>
            </w:r>
          </w:p>
        </w:tc>
        <w:tc>
          <w:tcPr>
            <w:tcW w:w="2981" w:type="dxa"/>
            <w:tcBorders>
              <w:top w:val="double" w:sz="4" w:space="0" w:color="BFBFBF"/>
            </w:tcBorders>
          </w:tcPr>
          <w:p w14:paraId="3D1B2513" w14:textId="77777777" w:rsidR="00DB1AEE" w:rsidRPr="00DB1AEE" w:rsidRDefault="00DB1AEE" w:rsidP="00DB1AEE">
            <w:pPr>
              <w:widowControl w:val="0"/>
              <w:autoSpaceDE w:val="0"/>
              <w:autoSpaceDN w:val="0"/>
              <w:jc w:val="center"/>
              <w:rPr>
                <w:rFonts w:eastAsia="Calibri"/>
                <w:b/>
                <w:bCs/>
                <w:szCs w:val="24"/>
                <w:u w:val="single"/>
              </w:rPr>
            </w:pPr>
            <w:r w:rsidRPr="00DB1AEE">
              <w:rPr>
                <w:rFonts w:eastAsia="Calibri"/>
                <w:szCs w:val="24"/>
                <w:u w:val="single"/>
              </w:rPr>
              <w:t>AHRI Standard 1430</w:t>
            </w:r>
          </w:p>
        </w:tc>
      </w:tr>
    </w:tbl>
    <w:p w14:paraId="65A4ADC7" w14:textId="77777777" w:rsidR="00DB1AEE" w:rsidRPr="00DB1AEE" w:rsidRDefault="00DB1AEE" w:rsidP="00DB1AEE">
      <w:pPr>
        <w:suppressAutoHyphens/>
        <w:jc w:val="left"/>
        <w:rPr>
          <w:b/>
          <w:bCs/>
        </w:rPr>
      </w:pPr>
    </w:p>
    <w:p w14:paraId="79AB9636" w14:textId="77777777" w:rsidR="00DB1AEE" w:rsidRPr="00DB1AEE" w:rsidRDefault="00DB1AEE" w:rsidP="00DB1AEE">
      <w:pPr>
        <w:widowControl w:val="0"/>
        <w:suppressAutoHyphens/>
        <w:spacing w:before="130" w:after="130"/>
        <w:jc w:val="left"/>
        <w:rPr>
          <w:b/>
          <w:bCs/>
          <w:u w:val="single"/>
        </w:rPr>
      </w:pPr>
      <w:r w:rsidRPr="00DB1AEE">
        <w:rPr>
          <w:b/>
          <w:bCs/>
          <w:u w:val="single"/>
        </w:rPr>
        <w:t xml:space="preserve">Section 8 - Power.   </w:t>
      </w:r>
    </w:p>
    <w:p w14:paraId="46AE9D89" w14:textId="77777777" w:rsidR="00DB1AEE" w:rsidRPr="00DB1AEE" w:rsidRDefault="00DB1AEE" w:rsidP="00DB1AEE">
      <w:pPr>
        <w:widowControl w:val="0"/>
        <w:suppressAutoHyphens/>
        <w:spacing w:before="130" w:after="130"/>
        <w:jc w:val="left"/>
        <w:rPr>
          <w:b/>
          <w:bCs/>
          <w:u w:val="single"/>
        </w:rPr>
      </w:pPr>
      <w:r w:rsidRPr="00DB1AEE">
        <w:rPr>
          <w:b/>
          <w:bCs/>
          <w:u w:val="single"/>
        </w:rPr>
        <w:t>Section 8.4.3.1 Monitoring.</w:t>
      </w:r>
    </w:p>
    <w:p w14:paraId="33DE7DCB" w14:textId="77777777" w:rsidR="00DB1AEE" w:rsidRPr="00DB1AEE" w:rsidRDefault="00DB1AEE" w:rsidP="00DB1AEE">
      <w:pPr>
        <w:widowControl w:val="0"/>
        <w:suppressAutoHyphens/>
        <w:spacing w:before="130" w:after="130"/>
        <w:jc w:val="left"/>
        <w:rPr>
          <w:u w:val="single"/>
        </w:rPr>
      </w:pPr>
      <w:r w:rsidRPr="00DB1AEE">
        <w:rPr>
          <w:u w:val="single"/>
        </w:rPr>
        <w:t>Section 8.4.3.1 – Revise Section 8.4.3.1 to read as follows:</w:t>
      </w:r>
    </w:p>
    <w:p w14:paraId="798C933C" w14:textId="77777777" w:rsidR="00DB1AEE" w:rsidRPr="00DB1AEE" w:rsidRDefault="00DB1AEE" w:rsidP="00DB1AEE">
      <w:pPr>
        <w:widowControl w:val="0"/>
        <w:suppressAutoHyphens/>
        <w:spacing w:before="130" w:after="130"/>
        <w:ind w:left="360"/>
        <w:jc w:val="left"/>
        <w:rPr>
          <w:b/>
          <w:bCs/>
          <w:u w:val="single"/>
        </w:rPr>
      </w:pPr>
      <w:r w:rsidRPr="00DB1AEE">
        <w:rPr>
          <w:b/>
          <w:bCs/>
          <w:u w:val="single"/>
        </w:rPr>
        <w:t>8.4.3.1</w:t>
      </w:r>
      <w:r w:rsidRPr="00DB1AEE">
        <w:rPr>
          <w:b/>
          <w:bCs/>
          <w:u w:val="single"/>
        </w:rPr>
        <w:tab/>
        <w:t>Monitoring</w:t>
      </w:r>
    </w:p>
    <w:p w14:paraId="20F9515F" w14:textId="77777777" w:rsidR="00DB1AEE" w:rsidRPr="00DB1AEE" w:rsidRDefault="00DB1AEE" w:rsidP="00DB1AEE">
      <w:pPr>
        <w:widowControl w:val="0"/>
        <w:suppressAutoHyphens/>
        <w:spacing w:before="130" w:after="130"/>
        <w:ind w:left="360"/>
        <w:jc w:val="left"/>
        <w:rPr>
          <w:u w:val="single"/>
        </w:rPr>
      </w:pPr>
      <w:r w:rsidRPr="00DB1AEE">
        <w:rPr>
          <w:u w:val="single"/>
        </w:rPr>
        <w:t>Measurement devices shall be installed in new buildings to monitor the electrical energy use for each of the following separately:</w:t>
      </w:r>
    </w:p>
    <w:p w14:paraId="17B364A2" w14:textId="77777777" w:rsidR="00DB1AEE" w:rsidRPr="00DB1AEE" w:rsidRDefault="00DB1AEE" w:rsidP="00DB1AEE">
      <w:pPr>
        <w:widowControl w:val="0"/>
        <w:suppressAutoHyphens/>
        <w:spacing w:before="130" w:after="130"/>
        <w:ind w:left="360"/>
        <w:jc w:val="left"/>
        <w:rPr>
          <w:u w:val="single"/>
        </w:rPr>
      </w:pPr>
      <w:r w:rsidRPr="00DB1AEE">
        <w:rPr>
          <w:u w:val="single"/>
        </w:rPr>
        <w:t>a.</w:t>
      </w:r>
      <w:r w:rsidRPr="00DB1AEE">
        <w:rPr>
          <w:u w:val="single"/>
        </w:rPr>
        <w:tab/>
        <w:t>Total electrical energy</w:t>
      </w:r>
    </w:p>
    <w:p w14:paraId="58285A64" w14:textId="77777777" w:rsidR="00DB1AEE" w:rsidRPr="00DB1AEE" w:rsidRDefault="00DB1AEE" w:rsidP="00DB1AEE">
      <w:pPr>
        <w:widowControl w:val="0"/>
        <w:suppressAutoHyphens/>
        <w:spacing w:before="130" w:after="130"/>
        <w:ind w:left="360"/>
        <w:jc w:val="left"/>
        <w:rPr>
          <w:u w:val="single"/>
        </w:rPr>
      </w:pPr>
      <w:r w:rsidRPr="00DB1AEE">
        <w:rPr>
          <w:u w:val="single"/>
        </w:rPr>
        <w:t>b.</w:t>
      </w:r>
      <w:r w:rsidRPr="00DB1AEE">
        <w:rPr>
          <w:u w:val="single"/>
        </w:rPr>
        <w:tab/>
        <w:t>HVAC systems</w:t>
      </w:r>
    </w:p>
    <w:p w14:paraId="1F20895E" w14:textId="77777777" w:rsidR="00DB1AEE" w:rsidRPr="00DB1AEE" w:rsidRDefault="00DB1AEE" w:rsidP="00DB1AEE">
      <w:pPr>
        <w:widowControl w:val="0"/>
        <w:suppressAutoHyphens/>
        <w:spacing w:before="130" w:after="130"/>
        <w:ind w:left="360"/>
        <w:jc w:val="left"/>
        <w:rPr>
          <w:u w:val="single"/>
        </w:rPr>
      </w:pPr>
      <w:r w:rsidRPr="00DB1AEE">
        <w:rPr>
          <w:u w:val="single"/>
        </w:rPr>
        <w:t>c.</w:t>
      </w:r>
      <w:r w:rsidRPr="00DB1AEE">
        <w:rPr>
          <w:u w:val="single"/>
        </w:rPr>
        <w:tab/>
        <w:t>Interior lighting</w:t>
      </w:r>
    </w:p>
    <w:p w14:paraId="3E42A939" w14:textId="77777777" w:rsidR="00DB1AEE" w:rsidRPr="00DB1AEE" w:rsidRDefault="00DB1AEE" w:rsidP="00DB1AEE">
      <w:pPr>
        <w:widowControl w:val="0"/>
        <w:suppressAutoHyphens/>
        <w:spacing w:before="130" w:after="130"/>
        <w:ind w:left="360"/>
        <w:jc w:val="left"/>
        <w:rPr>
          <w:u w:val="single"/>
        </w:rPr>
      </w:pPr>
      <w:r w:rsidRPr="00DB1AEE">
        <w:rPr>
          <w:u w:val="single"/>
        </w:rPr>
        <w:t>d.</w:t>
      </w:r>
      <w:r w:rsidRPr="00DB1AEE">
        <w:rPr>
          <w:u w:val="single"/>
        </w:rPr>
        <w:tab/>
        <w:t>Exterior lighting</w:t>
      </w:r>
    </w:p>
    <w:p w14:paraId="1E62D3E3" w14:textId="77777777" w:rsidR="00DB1AEE" w:rsidRPr="00DB1AEE" w:rsidRDefault="00DB1AEE" w:rsidP="00DB1AEE">
      <w:pPr>
        <w:widowControl w:val="0"/>
        <w:suppressAutoHyphens/>
        <w:spacing w:before="130" w:after="130"/>
        <w:ind w:left="360"/>
        <w:jc w:val="left"/>
        <w:rPr>
          <w:u w:val="single"/>
        </w:rPr>
      </w:pPr>
      <w:r w:rsidRPr="00DB1AEE">
        <w:rPr>
          <w:u w:val="single"/>
        </w:rPr>
        <w:t>e.</w:t>
      </w:r>
      <w:r w:rsidRPr="00DB1AEE">
        <w:rPr>
          <w:u w:val="single"/>
        </w:rPr>
        <w:tab/>
        <w:t>Receptacle circuits</w:t>
      </w:r>
    </w:p>
    <w:p w14:paraId="50677FAF" w14:textId="77777777" w:rsidR="00DB1AEE" w:rsidRPr="00DB1AEE" w:rsidRDefault="00DB1AEE" w:rsidP="00DB1AEE">
      <w:pPr>
        <w:widowControl w:val="0"/>
        <w:suppressAutoHyphens/>
        <w:spacing w:before="130" w:after="130"/>
        <w:ind w:left="360"/>
        <w:jc w:val="left"/>
        <w:rPr>
          <w:u w:val="single"/>
        </w:rPr>
      </w:pPr>
      <w:r w:rsidRPr="00DB1AEE">
        <w:rPr>
          <w:u w:val="single"/>
        </w:rPr>
        <w:t>f.  Refrigeration systems</w:t>
      </w:r>
    </w:p>
    <w:p w14:paraId="2D9A3CB5" w14:textId="77777777" w:rsidR="00DB1AEE" w:rsidRPr="00DB1AEE" w:rsidRDefault="00DB1AEE" w:rsidP="00DB1AEE">
      <w:pPr>
        <w:widowControl w:val="0"/>
        <w:suppressAutoHyphens/>
        <w:spacing w:before="130" w:after="130"/>
        <w:ind w:left="360"/>
        <w:jc w:val="left"/>
        <w:rPr>
          <w:u w:val="single"/>
        </w:rPr>
      </w:pPr>
      <w:r w:rsidRPr="00DB1AEE">
        <w:rPr>
          <w:u w:val="single"/>
        </w:rPr>
        <w:t>g. Electric vehicle charging</w:t>
      </w:r>
    </w:p>
    <w:p w14:paraId="1117C752" w14:textId="77777777" w:rsidR="00DB1AEE" w:rsidRPr="00DB1AEE" w:rsidRDefault="00DB1AEE" w:rsidP="00DB1AEE">
      <w:pPr>
        <w:widowControl w:val="0"/>
        <w:suppressAutoHyphens/>
        <w:spacing w:before="130" w:after="130"/>
        <w:ind w:left="360"/>
        <w:jc w:val="left"/>
        <w:rPr>
          <w:u w:val="single"/>
        </w:rPr>
      </w:pPr>
      <w:r w:rsidRPr="00DB1AEE">
        <w:rPr>
          <w:u w:val="single"/>
        </w:rPr>
        <w:t>For buildings with tenants, these systems shall be separately monitored for the total build- ing and (excluding shared systems) for each individual tenant.</w:t>
      </w:r>
    </w:p>
    <w:p w14:paraId="584646EA" w14:textId="77777777" w:rsidR="00DB1AEE" w:rsidRPr="00DB1AEE" w:rsidRDefault="00DB1AEE" w:rsidP="00DB1AEE">
      <w:pPr>
        <w:widowControl w:val="0"/>
        <w:suppressAutoHyphens/>
        <w:spacing w:before="130" w:after="130"/>
        <w:ind w:left="360"/>
        <w:jc w:val="left"/>
        <w:rPr>
          <w:u w:val="single"/>
        </w:rPr>
      </w:pPr>
      <w:r w:rsidRPr="00DB1AEE">
        <w:rPr>
          <w:u w:val="single"/>
        </w:rPr>
        <w:t>Exception to 8.4.3.1</w:t>
      </w:r>
    </w:p>
    <w:p w14:paraId="1B1B6CB5" w14:textId="77777777" w:rsidR="00DB1AEE" w:rsidRPr="00DB1AEE" w:rsidRDefault="00DB1AEE" w:rsidP="00DB1AEE">
      <w:pPr>
        <w:widowControl w:val="0"/>
        <w:suppressAutoHyphens/>
        <w:spacing w:before="130" w:after="130"/>
        <w:ind w:left="360"/>
        <w:jc w:val="left"/>
        <w:rPr>
          <w:u w:val="single"/>
        </w:rPr>
      </w:pPr>
      <w:r w:rsidRPr="00DB1AEE">
        <w:rPr>
          <w:u w:val="single"/>
        </w:rPr>
        <w:t xml:space="preserve"> Where the design load for each of any of the categories (b) through (f) are less than 10% of the whole-building load, these categories shall be allowed to be loads combined with other categories.</w:t>
      </w:r>
    </w:p>
    <w:p w14:paraId="06260C3D" w14:textId="77777777" w:rsidR="00DB1AEE" w:rsidRPr="00DB1AEE" w:rsidRDefault="00DB1AEE" w:rsidP="00DB1AEE">
      <w:pPr>
        <w:widowControl w:val="0"/>
        <w:suppressAutoHyphens/>
        <w:spacing w:before="130" w:after="130"/>
        <w:jc w:val="left"/>
        <w:rPr>
          <w:b/>
          <w:bCs/>
          <w:u w:val="single"/>
        </w:rPr>
      </w:pPr>
      <w:r w:rsidRPr="00DB1AEE">
        <w:rPr>
          <w:b/>
          <w:bCs/>
          <w:u w:val="single"/>
        </w:rPr>
        <w:t>Section 8.4.3.2 Recording and Reporting.</w:t>
      </w:r>
    </w:p>
    <w:p w14:paraId="7CB02146" w14:textId="77777777" w:rsidR="00DB1AEE" w:rsidRPr="00DB1AEE" w:rsidRDefault="00DB1AEE" w:rsidP="00DB1AEE">
      <w:pPr>
        <w:widowControl w:val="0"/>
        <w:suppressAutoHyphens/>
        <w:spacing w:before="130" w:after="130"/>
        <w:jc w:val="left"/>
        <w:rPr>
          <w:u w:val="single"/>
        </w:rPr>
      </w:pPr>
      <w:r w:rsidRPr="00DB1AEE">
        <w:rPr>
          <w:u w:val="single"/>
        </w:rPr>
        <w:t>Section 8.4.3.2 – Revise the exceptions from Section 8.4.3.2 to read as follows:</w:t>
      </w:r>
    </w:p>
    <w:p w14:paraId="0BF98593" w14:textId="77777777" w:rsidR="00DB1AEE" w:rsidRPr="00DB1AEE" w:rsidRDefault="00DB1AEE" w:rsidP="00DB1AEE">
      <w:pPr>
        <w:widowControl w:val="0"/>
        <w:suppressAutoHyphens/>
        <w:ind w:left="360"/>
        <w:jc w:val="left"/>
        <w:rPr>
          <w:b/>
          <w:bCs/>
          <w:u w:val="single"/>
        </w:rPr>
      </w:pPr>
      <w:r w:rsidRPr="00DB1AEE">
        <w:rPr>
          <w:b/>
          <w:bCs/>
          <w:u w:val="single"/>
        </w:rPr>
        <w:t>Exceptions to Sections 8.4.3.1 and 8.4.3.2</w:t>
      </w:r>
    </w:p>
    <w:p w14:paraId="7E8617B7" w14:textId="77777777" w:rsidR="00DB1AEE" w:rsidRPr="00DB1AEE" w:rsidRDefault="00DB1AEE" w:rsidP="00DB1AEE">
      <w:pPr>
        <w:widowControl w:val="0"/>
        <w:suppressAutoHyphens/>
        <w:ind w:left="360"/>
        <w:jc w:val="left"/>
        <w:rPr>
          <w:u w:val="single"/>
        </w:rPr>
      </w:pPr>
      <w:r w:rsidRPr="00DB1AEE">
        <w:rPr>
          <w:u w:val="single"/>
        </w:rPr>
        <w:t>1.</w:t>
      </w:r>
      <w:r w:rsidRPr="00DB1AEE">
        <w:rPr>
          <w:u w:val="single"/>
        </w:rPr>
        <w:tab/>
        <w:t>Building less than 10,000 ft</w:t>
      </w:r>
      <w:r w:rsidRPr="00DB1AEE">
        <w:rPr>
          <w:u w:val="single"/>
          <w:vertAlign w:val="superscript"/>
        </w:rPr>
        <w:t>2</w:t>
      </w:r>
      <w:r w:rsidRPr="00DB1AEE">
        <w:rPr>
          <w:u w:val="single"/>
        </w:rPr>
        <w:t>.</w:t>
      </w:r>
    </w:p>
    <w:p w14:paraId="7948B3F9" w14:textId="77777777" w:rsidR="00DB1AEE" w:rsidRPr="00DB1AEE" w:rsidRDefault="00DB1AEE" w:rsidP="00DB1AEE">
      <w:pPr>
        <w:widowControl w:val="0"/>
        <w:suppressAutoHyphens/>
        <w:ind w:left="360"/>
        <w:jc w:val="left"/>
        <w:rPr>
          <w:u w:val="single"/>
        </w:rPr>
      </w:pPr>
      <w:r w:rsidRPr="00DB1AEE">
        <w:rPr>
          <w:u w:val="single"/>
        </w:rPr>
        <w:t>2.</w:t>
      </w:r>
      <w:r w:rsidRPr="00DB1AEE">
        <w:rPr>
          <w:u w:val="single"/>
        </w:rPr>
        <w:tab/>
        <w:t>Individual tenant spaces less than 5,000 ft</w:t>
      </w:r>
      <w:r w:rsidRPr="00DB1AEE">
        <w:rPr>
          <w:u w:val="single"/>
          <w:vertAlign w:val="superscript"/>
        </w:rPr>
        <w:t>2</w:t>
      </w:r>
      <w:r w:rsidRPr="00DB1AEE">
        <w:rPr>
          <w:u w:val="single"/>
        </w:rPr>
        <w:t>.</w:t>
      </w:r>
    </w:p>
    <w:p w14:paraId="752D5841" w14:textId="77777777" w:rsidR="00DB1AEE" w:rsidRPr="00DB1AEE" w:rsidRDefault="00DB1AEE" w:rsidP="00DB1AEE">
      <w:pPr>
        <w:widowControl w:val="0"/>
        <w:suppressAutoHyphens/>
        <w:ind w:left="360"/>
        <w:jc w:val="left"/>
        <w:rPr>
          <w:u w:val="single"/>
        </w:rPr>
      </w:pPr>
      <w:r w:rsidRPr="00DB1AEE">
        <w:rPr>
          <w:u w:val="single"/>
        </w:rPr>
        <w:t>3.</w:t>
      </w:r>
      <w:r w:rsidRPr="00DB1AEE">
        <w:rPr>
          <w:u w:val="single"/>
        </w:rPr>
        <w:tab/>
        <w:t>Dwelling units.</w:t>
      </w:r>
    </w:p>
    <w:p w14:paraId="679FBF1B" w14:textId="77777777" w:rsidR="00DB1AEE" w:rsidRPr="00DB1AEE" w:rsidRDefault="00DB1AEE" w:rsidP="00DB1AEE">
      <w:pPr>
        <w:widowControl w:val="0"/>
        <w:suppressAutoHyphens/>
        <w:ind w:left="360"/>
        <w:jc w:val="left"/>
        <w:rPr>
          <w:u w:val="single"/>
        </w:rPr>
      </w:pPr>
      <w:r w:rsidRPr="00DB1AEE">
        <w:rPr>
          <w:u w:val="single"/>
        </w:rPr>
        <w:t>4.</w:t>
      </w:r>
      <w:r w:rsidRPr="00DB1AEE">
        <w:rPr>
          <w:u w:val="single"/>
        </w:rPr>
        <w:tab/>
        <w:t>Residential buildings with less than 10,000 ft</w:t>
      </w:r>
      <w:r w:rsidRPr="00DB1AEE">
        <w:rPr>
          <w:u w:val="single"/>
          <w:vertAlign w:val="superscript"/>
        </w:rPr>
        <w:t>2</w:t>
      </w:r>
      <w:r w:rsidRPr="00DB1AEE">
        <w:rPr>
          <w:u w:val="single"/>
        </w:rPr>
        <w:t xml:space="preserve"> of common area.</w:t>
      </w:r>
    </w:p>
    <w:p w14:paraId="767354A2" w14:textId="77777777" w:rsidR="00DB1AEE" w:rsidRPr="00DB1AEE" w:rsidRDefault="00DB1AEE" w:rsidP="00DB1AEE">
      <w:pPr>
        <w:widowControl w:val="0"/>
        <w:suppressAutoHyphens/>
        <w:ind w:left="360"/>
        <w:jc w:val="left"/>
        <w:rPr>
          <w:u w:val="single"/>
        </w:rPr>
      </w:pPr>
      <w:r w:rsidRPr="00DB1AEE">
        <w:rPr>
          <w:u w:val="single"/>
        </w:rPr>
        <w:t>5.</w:t>
      </w:r>
      <w:r w:rsidRPr="00DB1AEE">
        <w:rPr>
          <w:u w:val="single"/>
        </w:rPr>
        <w:tab/>
        <w:t>Critical equipment and life-safety branches of NFPA 70 Article 517.</w:t>
      </w:r>
    </w:p>
    <w:p w14:paraId="4182C549" w14:textId="77777777" w:rsidR="00DB1AEE" w:rsidRPr="00DB1AEE" w:rsidRDefault="00DB1AEE" w:rsidP="00DB1AEE">
      <w:pPr>
        <w:widowControl w:val="0"/>
        <w:suppressAutoHyphens/>
        <w:spacing w:before="130" w:after="130"/>
        <w:jc w:val="left"/>
        <w:rPr>
          <w:b/>
          <w:bCs/>
          <w:u w:val="single"/>
        </w:rPr>
      </w:pPr>
      <w:r w:rsidRPr="00DB1AEE">
        <w:rPr>
          <w:b/>
          <w:bCs/>
          <w:u w:val="single"/>
        </w:rPr>
        <w:t>Section 8.4.5</w:t>
      </w:r>
      <w:r w:rsidRPr="00DB1AEE">
        <w:t xml:space="preserve"> </w:t>
      </w:r>
      <w:r w:rsidRPr="00DB1AEE">
        <w:rPr>
          <w:b/>
          <w:bCs/>
          <w:u w:val="single"/>
        </w:rPr>
        <w:t>Electrification Ready</w:t>
      </w:r>
    </w:p>
    <w:p w14:paraId="50D753DD" w14:textId="77777777" w:rsidR="00DB1AEE" w:rsidRPr="00DB1AEE" w:rsidRDefault="00DB1AEE" w:rsidP="00DB1AEE">
      <w:pPr>
        <w:widowControl w:val="0"/>
        <w:suppressAutoHyphens/>
        <w:spacing w:before="130" w:after="130"/>
        <w:jc w:val="left"/>
        <w:rPr>
          <w:b/>
          <w:bCs/>
          <w:u w:val="single"/>
        </w:rPr>
      </w:pPr>
      <w:r w:rsidRPr="00DB1AEE">
        <w:rPr>
          <w:b/>
          <w:bCs/>
          <w:u w:val="single"/>
        </w:rPr>
        <w:t>Section 8.4.5 – Delete  Section 8.4.5 .</w:t>
      </w:r>
    </w:p>
    <w:p w14:paraId="6FB93706" w14:textId="77777777" w:rsidR="00DB1AEE" w:rsidRPr="00DB1AEE" w:rsidRDefault="00DB1AEE" w:rsidP="00DB1AEE">
      <w:pPr>
        <w:widowControl w:val="0"/>
        <w:suppressAutoHyphens/>
        <w:spacing w:before="130" w:after="130"/>
        <w:jc w:val="left"/>
        <w:rPr>
          <w:b/>
          <w:bCs/>
          <w:u w:val="single"/>
        </w:rPr>
      </w:pPr>
      <w:r w:rsidRPr="00DB1AEE">
        <w:rPr>
          <w:b/>
          <w:bCs/>
          <w:u w:val="single"/>
        </w:rPr>
        <w:t>Section 8.4.5 Measurement of electrical consumption of tenant spaces in covered buildings.</w:t>
      </w:r>
    </w:p>
    <w:p w14:paraId="2F80D70B" w14:textId="77777777" w:rsidR="00DB1AEE" w:rsidRPr="00DB1AEE" w:rsidRDefault="00DB1AEE" w:rsidP="00DB1AEE">
      <w:pPr>
        <w:widowControl w:val="0"/>
        <w:suppressAutoHyphens/>
        <w:spacing w:before="130" w:after="130"/>
        <w:jc w:val="left"/>
        <w:rPr>
          <w:u w:val="single"/>
        </w:rPr>
      </w:pPr>
      <w:r w:rsidRPr="00DB1AEE">
        <w:rPr>
          <w:u w:val="single"/>
        </w:rPr>
        <w:t>Section 8.4.5 – Add new  Section 8.4.5 to read as follows:</w:t>
      </w:r>
    </w:p>
    <w:p w14:paraId="7CC69031" w14:textId="77777777" w:rsidR="00DB1AEE" w:rsidRPr="00DB1AEE" w:rsidRDefault="00DB1AEE" w:rsidP="00DB1AEE">
      <w:pPr>
        <w:widowControl w:val="0"/>
        <w:suppressAutoHyphens/>
        <w:spacing w:before="130" w:after="130"/>
        <w:ind w:left="360"/>
        <w:jc w:val="left"/>
        <w:rPr>
          <w:b/>
          <w:bCs/>
          <w:u w:val="single"/>
        </w:rPr>
      </w:pPr>
      <w:r w:rsidRPr="00DB1AEE">
        <w:rPr>
          <w:b/>
          <w:bCs/>
          <w:u w:val="single"/>
        </w:rPr>
        <w:t>8.4.5 Measurement of electrical consumption of tenant spaces in covered buildings</w:t>
      </w:r>
    </w:p>
    <w:p w14:paraId="6896A7C7" w14:textId="77777777" w:rsidR="00DB1AEE" w:rsidRPr="00DB1AEE" w:rsidRDefault="00DB1AEE" w:rsidP="00DB1AEE">
      <w:pPr>
        <w:widowControl w:val="0"/>
        <w:suppressAutoHyphens/>
        <w:spacing w:before="130" w:after="130"/>
        <w:ind w:left="360"/>
        <w:jc w:val="left"/>
        <w:rPr>
          <w:u w:val="single"/>
        </w:rPr>
      </w:pPr>
      <w:r w:rsidRPr="00DB1AEE">
        <w:rPr>
          <w:u w:val="single"/>
        </w:rPr>
        <w:t xml:space="preserve">Each covered tenant space in a new building shall be equipped with a separate meter or sub-meter to measure the electrical consumption of such space when let or sublet. The terms covered building, meter, sub-meter, tenant space and covered tenant space shall have the same meanings as defined in Section 28-311.2 of the NYC Administrative Code.  </w:t>
      </w:r>
    </w:p>
    <w:p w14:paraId="76AF606C" w14:textId="77777777" w:rsidR="00DB1AEE" w:rsidRPr="00DB1AEE" w:rsidRDefault="00DB1AEE" w:rsidP="00DB1AEE">
      <w:pPr>
        <w:widowControl w:val="0"/>
        <w:suppressAutoHyphens/>
        <w:spacing w:before="130" w:after="130"/>
        <w:jc w:val="left"/>
        <w:rPr>
          <w:b/>
          <w:bCs/>
          <w:u w:val="single"/>
        </w:rPr>
      </w:pPr>
      <w:r w:rsidRPr="00DB1AEE">
        <w:rPr>
          <w:b/>
          <w:bCs/>
          <w:u w:val="single"/>
        </w:rPr>
        <w:t>Section 8.4.6  Dwelling unit metering.</w:t>
      </w:r>
    </w:p>
    <w:p w14:paraId="4112F4FD" w14:textId="77777777" w:rsidR="00DB1AEE" w:rsidRPr="00DB1AEE" w:rsidRDefault="00DB1AEE" w:rsidP="00DB1AEE">
      <w:pPr>
        <w:widowControl w:val="0"/>
        <w:suppressAutoHyphens/>
        <w:spacing w:before="130" w:after="130"/>
        <w:jc w:val="left"/>
        <w:rPr>
          <w:u w:val="single"/>
        </w:rPr>
      </w:pPr>
      <w:r w:rsidRPr="00DB1AEE">
        <w:rPr>
          <w:u w:val="single"/>
        </w:rPr>
        <w:t>Section 8.4.6 – Add new  Section 8.4.6 to read as follows:</w:t>
      </w:r>
    </w:p>
    <w:p w14:paraId="0F4D5B2A" w14:textId="77777777" w:rsidR="00DB1AEE" w:rsidRPr="00DB1AEE" w:rsidRDefault="00DB1AEE" w:rsidP="00DB1AEE">
      <w:pPr>
        <w:widowControl w:val="0"/>
        <w:suppressAutoHyphens/>
        <w:spacing w:before="130" w:after="130"/>
        <w:ind w:left="360"/>
        <w:jc w:val="left"/>
        <w:rPr>
          <w:b/>
          <w:bCs/>
          <w:u w:val="single"/>
        </w:rPr>
      </w:pPr>
      <w:r w:rsidRPr="00DB1AEE">
        <w:rPr>
          <w:b/>
          <w:bCs/>
          <w:u w:val="single"/>
        </w:rPr>
        <w:t xml:space="preserve">8.4.6 Dwelling unit metering. </w:t>
      </w:r>
    </w:p>
    <w:p w14:paraId="25AF1827" w14:textId="77777777" w:rsidR="00DB1AEE" w:rsidRPr="00DB1AEE" w:rsidRDefault="00DB1AEE" w:rsidP="00DB1AEE">
      <w:pPr>
        <w:widowControl w:val="0"/>
        <w:suppressAutoHyphens/>
        <w:spacing w:before="130" w:after="130"/>
        <w:ind w:left="360"/>
        <w:jc w:val="left"/>
        <w:rPr>
          <w:u w:val="single"/>
        </w:rPr>
      </w:pPr>
      <w:r w:rsidRPr="00DB1AEE">
        <w:rPr>
          <w:u w:val="single"/>
        </w:rPr>
        <w:t xml:space="preserve">Each dwelling unit located in a Group R-2 building shall have a separate electrical meter.  </w:t>
      </w:r>
    </w:p>
    <w:p w14:paraId="493E44FE" w14:textId="77777777" w:rsidR="00DB1AEE" w:rsidRPr="00DB1AEE" w:rsidRDefault="00DB1AEE" w:rsidP="00DB1AEE">
      <w:pPr>
        <w:widowControl w:val="0"/>
        <w:suppressAutoHyphens/>
        <w:spacing w:before="130" w:after="130"/>
        <w:jc w:val="left"/>
        <w:rPr>
          <w:b/>
          <w:bCs/>
          <w:u w:val="single"/>
        </w:rPr>
      </w:pPr>
      <w:r w:rsidRPr="00DB1AEE">
        <w:rPr>
          <w:b/>
          <w:bCs/>
          <w:u w:val="single"/>
        </w:rPr>
        <w:t xml:space="preserve">Section 9 - Lighting.   </w:t>
      </w:r>
    </w:p>
    <w:p w14:paraId="74E9A048" w14:textId="77777777" w:rsidR="00DB1AEE" w:rsidRPr="00DB1AEE" w:rsidRDefault="00DB1AEE" w:rsidP="00DB1AEE">
      <w:pPr>
        <w:widowControl w:val="0"/>
        <w:suppressAutoHyphens/>
        <w:spacing w:before="130" w:after="130"/>
        <w:jc w:val="left"/>
        <w:rPr>
          <w:b/>
          <w:bCs/>
          <w:u w:val="single"/>
        </w:rPr>
      </w:pPr>
      <w:r w:rsidRPr="00DB1AEE">
        <w:rPr>
          <w:b/>
          <w:bCs/>
          <w:u w:val="single"/>
        </w:rPr>
        <w:t>Section 9.4.1.1 Interior Lighting Controls.</w:t>
      </w:r>
    </w:p>
    <w:p w14:paraId="41B6EC75" w14:textId="77777777" w:rsidR="00DB1AEE" w:rsidRPr="00DB1AEE" w:rsidRDefault="00DB1AEE" w:rsidP="00DB1AEE">
      <w:pPr>
        <w:widowControl w:val="0"/>
        <w:suppressAutoHyphens/>
        <w:spacing w:before="130" w:after="130"/>
        <w:jc w:val="left"/>
        <w:rPr>
          <w:u w:val="single"/>
        </w:rPr>
      </w:pPr>
      <w:r w:rsidRPr="00DB1AEE">
        <w:rPr>
          <w:u w:val="single"/>
        </w:rPr>
        <w:t>Section 9.4.1.1 – Revise item “g” from  Section 9.4.1.1   to read as follows:</w:t>
      </w:r>
    </w:p>
    <w:p w14:paraId="219A198D" w14:textId="77777777" w:rsidR="00DB1AEE" w:rsidRPr="00DB1AEE" w:rsidRDefault="00DB1AEE" w:rsidP="00DB1AEE">
      <w:pPr>
        <w:widowControl w:val="0"/>
        <w:suppressAutoHyphens/>
        <w:spacing w:before="130" w:after="130"/>
        <w:ind w:left="648" w:hanging="288"/>
        <w:jc w:val="left"/>
        <w:rPr>
          <w:u w:val="single"/>
        </w:rPr>
      </w:pPr>
      <w:r w:rsidRPr="00DB1AEE">
        <w:rPr>
          <w:u w:val="single"/>
        </w:rPr>
        <w:t>g.</w:t>
      </w:r>
      <w:r w:rsidRPr="00DB1AEE">
        <w:rPr>
          <w:u w:val="single"/>
        </w:rPr>
        <w:tab/>
        <w:t>Automatic reduction control (full OFF complies): The general lighting power in the space shall be automatically reduced by at least 50% within 15 minutes of all occupants leaving the space. The controls in open plan offices, cafeteria dining areas, and fast food dining areas, 300 ft</w:t>
      </w:r>
      <w:r w:rsidRPr="00DB1AEE">
        <w:rPr>
          <w:u w:val="single"/>
          <w:vertAlign w:val="superscript"/>
        </w:rPr>
        <w:t xml:space="preserve">2 </w:t>
      </w:r>
      <w:r w:rsidRPr="00DB1AEE">
        <w:rPr>
          <w:u w:val="single"/>
        </w:rPr>
        <w:t>and greater in area, shall be configured so that general lighting power in each control zone is reduced by not less than 80% of the full zone general lighting power in a reasonably uniform illumination pattern within 15 minutes of all occupants leaving that control zone. Control functions that switch control zone lights completely off when the zone is vacant meet this requirement.</w:t>
      </w:r>
    </w:p>
    <w:p w14:paraId="2FD2EFEB" w14:textId="77777777" w:rsidR="00DB1AEE" w:rsidRPr="00DB1AEE" w:rsidRDefault="00DB1AEE" w:rsidP="00DB1AEE">
      <w:pPr>
        <w:widowControl w:val="0"/>
        <w:suppressAutoHyphens/>
        <w:spacing w:before="130" w:after="130"/>
        <w:ind w:left="648" w:hanging="288"/>
        <w:jc w:val="left"/>
        <w:rPr>
          <w:u w:val="single"/>
        </w:rPr>
      </w:pPr>
      <w:r w:rsidRPr="00DB1AEE">
        <w:rPr>
          <w:u w:val="single"/>
        </w:rPr>
        <w:t>In offices greater than300 ft</w:t>
      </w:r>
      <w:r w:rsidRPr="00DB1AEE">
        <w:rPr>
          <w:u w:val="single"/>
          <w:vertAlign w:val="superscript"/>
        </w:rPr>
        <w:t>2</w:t>
      </w:r>
      <w:r w:rsidRPr="00DB1AEE">
        <w:rPr>
          <w:u w:val="single"/>
        </w:rPr>
        <w:t>, control zones for general lighting shall</w:t>
      </w:r>
    </w:p>
    <w:p w14:paraId="4A4ADEF7" w14:textId="77777777" w:rsidR="00DB1AEE" w:rsidRPr="00DB1AEE" w:rsidRDefault="00DB1AEE" w:rsidP="00DB1AEE">
      <w:pPr>
        <w:widowControl w:val="0"/>
        <w:suppressAutoHyphens/>
        <w:spacing w:before="130" w:after="130"/>
        <w:ind w:left="648" w:hanging="288"/>
        <w:jc w:val="left"/>
        <w:rPr>
          <w:u w:val="single"/>
        </w:rPr>
      </w:pPr>
      <w:r w:rsidRPr="00DB1AEE">
        <w:rPr>
          <w:u w:val="single"/>
        </w:rPr>
        <w:t>1. be limited to 600 ft2 and</w:t>
      </w:r>
    </w:p>
    <w:p w14:paraId="35588658" w14:textId="77777777" w:rsidR="00DB1AEE" w:rsidRPr="00DB1AEE" w:rsidRDefault="00DB1AEE" w:rsidP="00DB1AEE">
      <w:pPr>
        <w:widowControl w:val="0"/>
        <w:suppressAutoHyphens/>
        <w:spacing w:before="130" w:after="130"/>
        <w:ind w:left="648" w:hanging="288"/>
        <w:jc w:val="left"/>
        <w:rPr>
          <w:u w:val="single"/>
        </w:rPr>
      </w:pPr>
      <w:r w:rsidRPr="00DB1AEE">
        <w:rPr>
          <w:u w:val="single"/>
        </w:rPr>
        <w:t>2. automatically reduce general lighting by at least 80% of full power within 15 minutes of all occupants leaving a control zone.</w:t>
      </w:r>
    </w:p>
    <w:p w14:paraId="2026A4EE" w14:textId="77777777" w:rsidR="00DB1AEE" w:rsidRPr="00DB1AEE" w:rsidRDefault="00DB1AEE" w:rsidP="00DB1AEE">
      <w:pPr>
        <w:widowControl w:val="0"/>
        <w:suppressAutoHyphens/>
        <w:spacing w:before="130" w:after="130"/>
        <w:jc w:val="left"/>
        <w:rPr>
          <w:u w:val="single"/>
        </w:rPr>
      </w:pPr>
      <w:r w:rsidRPr="00DB1AEE">
        <w:rPr>
          <w:u w:val="single"/>
        </w:rPr>
        <w:t>Section 9.4.1.1 – Revise item “h” from  Section 9.4.1.1   to read as follows:</w:t>
      </w:r>
    </w:p>
    <w:p w14:paraId="0591F277" w14:textId="77777777" w:rsidR="00DB1AEE" w:rsidRPr="00DB1AEE" w:rsidRDefault="00DB1AEE" w:rsidP="00DB1AEE">
      <w:pPr>
        <w:widowControl w:val="0"/>
        <w:suppressAutoHyphens/>
        <w:spacing w:before="130" w:after="130"/>
        <w:ind w:left="360"/>
        <w:jc w:val="left"/>
        <w:rPr>
          <w:u w:val="single"/>
        </w:rPr>
      </w:pPr>
      <w:r w:rsidRPr="00DB1AEE">
        <w:rPr>
          <w:u w:val="single"/>
        </w:rPr>
        <w:t>h.</w:t>
      </w:r>
      <w:r w:rsidRPr="00DB1AEE">
        <w:rPr>
          <w:u w:val="single"/>
        </w:rPr>
        <w:tab/>
        <w:t>Automatic full OFF control: All lighting in the space, including lighting connected to emergency circuits, shall be automatically shut off within 15  minutes of all occupants leaving the space. A control device meeting this requirement shall control no more than 5000 ft2 , provided that for open plan office spaces or dining spaces a control device meeting this requirement shall control not greater than 600 ft</w:t>
      </w:r>
      <w:r w:rsidRPr="00DB1AEE">
        <w:rPr>
          <w:u w:val="single"/>
          <w:vertAlign w:val="superscript"/>
        </w:rPr>
        <w:t>2</w:t>
      </w:r>
      <w:r w:rsidRPr="00DB1AEE">
        <w:rPr>
          <w:u w:val="single"/>
        </w:rPr>
        <w:t>.</w:t>
      </w:r>
    </w:p>
    <w:p w14:paraId="4B0F74F4" w14:textId="77777777" w:rsidR="00DB1AEE" w:rsidRPr="00DB1AEE" w:rsidRDefault="00DB1AEE" w:rsidP="00DB1AEE">
      <w:pPr>
        <w:widowControl w:val="0"/>
        <w:suppressAutoHyphens/>
        <w:spacing w:before="130" w:after="130"/>
        <w:ind w:left="360"/>
        <w:jc w:val="left"/>
        <w:rPr>
          <w:u w:val="single"/>
        </w:rPr>
      </w:pPr>
      <w:r w:rsidRPr="00DB1AEE">
        <w:rPr>
          <w:u w:val="single"/>
        </w:rPr>
        <w:t>Exception to 9.4.1.1(h)</w:t>
      </w:r>
    </w:p>
    <w:p w14:paraId="2B06978C" w14:textId="77777777" w:rsidR="00DB1AEE" w:rsidRPr="00DB1AEE" w:rsidRDefault="00DB1AEE" w:rsidP="00DB1AEE">
      <w:pPr>
        <w:widowControl w:val="0"/>
        <w:suppressAutoHyphens/>
        <w:spacing w:before="130" w:after="130"/>
        <w:ind w:left="360"/>
        <w:jc w:val="left"/>
        <w:rPr>
          <w:u w:val="single"/>
        </w:rPr>
      </w:pPr>
      <w:r w:rsidRPr="00DB1AEE">
        <w:rPr>
          <w:u w:val="single"/>
        </w:rPr>
        <w:t>The following lighting is not required to be automatically shut off:</w:t>
      </w:r>
    </w:p>
    <w:p w14:paraId="36F0A6B5" w14:textId="77777777" w:rsidR="00DB1AEE" w:rsidRPr="00DB1AEE" w:rsidRDefault="00DB1AEE" w:rsidP="00DB1AEE">
      <w:pPr>
        <w:widowControl w:val="0"/>
        <w:suppressAutoHyphens/>
        <w:spacing w:before="130" w:after="130"/>
        <w:ind w:left="648" w:hanging="288"/>
        <w:jc w:val="left"/>
        <w:rPr>
          <w:u w:val="single"/>
        </w:rPr>
      </w:pPr>
      <w:r w:rsidRPr="00DB1AEE">
        <w:rPr>
          <w:u w:val="single"/>
        </w:rPr>
        <w:t>1.  Lighting required for 24/7 operation.</w:t>
      </w:r>
    </w:p>
    <w:p w14:paraId="49384738" w14:textId="77777777" w:rsidR="00DB1AEE" w:rsidRPr="00DB1AEE" w:rsidRDefault="00DB1AEE" w:rsidP="00DB1AEE">
      <w:pPr>
        <w:widowControl w:val="0"/>
        <w:suppressAutoHyphens/>
        <w:spacing w:before="130" w:after="130"/>
        <w:ind w:left="648" w:hanging="288"/>
        <w:jc w:val="left"/>
        <w:rPr>
          <w:u w:val="single"/>
        </w:rPr>
      </w:pPr>
      <w:r w:rsidRPr="00DB1AEE">
        <w:rPr>
          <w:u w:val="single"/>
        </w:rPr>
        <w:t>2. Lighting in spaces where patient care is rendered.</w:t>
      </w:r>
    </w:p>
    <w:p w14:paraId="0F11048A" w14:textId="77777777" w:rsidR="00DB1AEE" w:rsidRPr="00DB1AEE" w:rsidRDefault="00DB1AEE" w:rsidP="00DB1AEE">
      <w:pPr>
        <w:widowControl w:val="0"/>
        <w:suppressAutoHyphens/>
        <w:spacing w:before="130" w:after="130"/>
        <w:ind w:left="648" w:hanging="288"/>
        <w:jc w:val="left"/>
        <w:rPr>
          <w:u w:val="single"/>
        </w:rPr>
      </w:pPr>
      <w:r w:rsidRPr="00DB1AEE">
        <w:rPr>
          <w:u w:val="single"/>
        </w:rPr>
        <w:t xml:space="preserve">3. </w:t>
      </w:r>
      <w:r w:rsidRPr="00DB1AEE">
        <w:rPr>
          <w:u w:val="single"/>
        </w:rPr>
        <w:tab/>
        <w:t>General lighting and task lighting in spaces where automatic shutoff would endanger the safety or security of the room or building occupants.</w:t>
      </w:r>
    </w:p>
    <w:p w14:paraId="1AE7E9C4" w14:textId="77777777" w:rsidR="00DB1AEE" w:rsidRPr="00DB1AEE" w:rsidRDefault="00DB1AEE" w:rsidP="00DB1AEE">
      <w:pPr>
        <w:widowControl w:val="0"/>
        <w:suppressAutoHyphens/>
        <w:spacing w:before="130" w:after="130"/>
        <w:ind w:left="648" w:hanging="288"/>
        <w:jc w:val="left"/>
        <w:rPr>
          <w:u w:val="single"/>
        </w:rPr>
      </w:pPr>
      <w:r w:rsidRPr="00DB1AEE">
        <w:rPr>
          <w:u w:val="single"/>
        </w:rPr>
        <w:t>4.</w:t>
      </w:r>
      <w:r w:rsidRPr="00DB1AEE">
        <w:rPr>
          <w:u w:val="single"/>
        </w:rPr>
        <w:tab/>
        <w:t>Lighting load exceeding 0.02 W/ft</w:t>
      </w:r>
      <w:r w:rsidRPr="00DB1AEE">
        <w:rPr>
          <w:u w:val="single"/>
          <w:vertAlign w:val="superscript"/>
        </w:rPr>
        <w:t>2</w:t>
      </w:r>
      <w:r w:rsidRPr="00DB1AEE">
        <w:rPr>
          <w:u w:val="single"/>
        </w:rPr>
        <w:t xml:space="preserve"> multiplied by the gross lighted floor area of the building.</w:t>
      </w:r>
    </w:p>
    <w:p w14:paraId="4DFFD08E" w14:textId="77777777" w:rsidR="00DB1AEE" w:rsidRPr="00DB1AEE" w:rsidRDefault="00DB1AEE" w:rsidP="00DB1AEE">
      <w:pPr>
        <w:widowControl w:val="0"/>
        <w:suppressAutoHyphens/>
        <w:spacing w:before="130" w:after="130"/>
        <w:jc w:val="left"/>
        <w:rPr>
          <w:b/>
          <w:bCs/>
          <w:u w:val="single"/>
        </w:rPr>
      </w:pPr>
      <w:r w:rsidRPr="00DB1AEE">
        <w:rPr>
          <w:b/>
          <w:bCs/>
          <w:u w:val="single"/>
        </w:rPr>
        <w:t>Section 9.4.1.5 Demand responsive lighting controls.</w:t>
      </w:r>
    </w:p>
    <w:p w14:paraId="69F0B4F2" w14:textId="77777777" w:rsidR="00DB1AEE" w:rsidRPr="00DB1AEE" w:rsidRDefault="00DB1AEE" w:rsidP="00DB1AEE">
      <w:pPr>
        <w:widowControl w:val="0"/>
        <w:suppressAutoHyphens/>
        <w:spacing w:before="130" w:after="130"/>
        <w:jc w:val="left"/>
        <w:rPr>
          <w:b/>
          <w:bCs/>
          <w:u w:val="single"/>
        </w:rPr>
      </w:pPr>
      <w:r w:rsidRPr="00DB1AEE">
        <w:rPr>
          <w:b/>
          <w:bCs/>
          <w:u w:val="single"/>
        </w:rPr>
        <w:t>Section 9.4.1.5 – Add new  Section 9.4.1.5 to read as follows:</w:t>
      </w:r>
    </w:p>
    <w:p w14:paraId="525A8E31" w14:textId="77777777" w:rsidR="00DB1AEE" w:rsidRPr="00DB1AEE" w:rsidRDefault="00DB1AEE" w:rsidP="00DB1AEE">
      <w:pPr>
        <w:widowControl w:val="0"/>
        <w:suppressAutoHyphens/>
        <w:spacing w:before="130" w:after="130"/>
        <w:ind w:left="360"/>
        <w:jc w:val="left"/>
        <w:rPr>
          <w:u w:val="single"/>
        </w:rPr>
      </w:pPr>
      <w:r w:rsidRPr="00DB1AEE">
        <w:rPr>
          <w:b/>
          <w:bCs/>
          <w:u w:val="single"/>
        </w:rPr>
        <w:t xml:space="preserve">9.4.1.5 Demand responsive lighting controls. </w:t>
      </w:r>
      <w:r w:rsidRPr="00DB1AEE">
        <w:rPr>
          <w:u w:val="single"/>
        </w:rPr>
        <w:t xml:space="preserve">Interior general lighting in Group B, E, M, and S occupancies shall have </w:t>
      </w:r>
      <w:r w:rsidRPr="00DB1AEE">
        <w:rPr>
          <w:i/>
          <w:iCs/>
          <w:u w:val="single"/>
        </w:rPr>
        <w:t xml:space="preserve">demand responsive controls </w:t>
      </w:r>
      <w:r w:rsidRPr="00DB1AEE">
        <w:rPr>
          <w:u w:val="single"/>
        </w:rPr>
        <w:t>complying with Section 9.4.1.5.1 in not less than 75 percent of the interior floor area. </w:t>
      </w:r>
    </w:p>
    <w:p w14:paraId="770DC550" w14:textId="77777777" w:rsidR="00DB1AEE" w:rsidRPr="00DB1AEE" w:rsidRDefault="00DB1AEE" w:rsidP="00DB1AEE">
      <w:pPr>
        <w:widowControl w:val="0"/>
        <w:suppressAutoHyphens/>
        <w:spacing w:before="130" w:after="130"/>
        <w:ind w:left="360"/>
        <w:jc w:val="left"/>
        <w:rPr>
          <w:u w:val="single"/>
        </w:rPr>
      </w:pPr>
      <w:r w:rsidRPr="00DB1AEE">
        <w:rPr>
          <w:u w:val="single"/>
        </w:rPr>
        <w:t>Exceptions: </w:t>
      </w:r>
    </w:p>
    <w:p w14:paraId="66579442" w14:textId="77777777" w:rsidR="00DB1AEE" w:rsidRPr="00DB1AEE" w:rsidRDefault="00DB1AEE" w:rsidP="00DB1AEE">
      <w:pPr>
        <w:widowControl w:val="0"/>
        <w:numPr>
          <w:ilvl w:val="0"/>
          <w:numId w:val="85"/>
        </w:numPr>
        <w:suppressAutoHyphens/>
        <w:spacing w:before="130" w:after="130"/>
        <w:jc w:val="left"/>
        <w:rPr>
          <w:u w:val="single"/>
        </w:rPr>
      </w:pPr>
      <w:r w:rsidRPr="00DB1AEE">
        <w:rPr>
          <w:u w:val="single"/>
        </w:rPr>
        <w:t>Where the combined interior floor area of Group B, E, M, and S occupancies is less than 10,000 square feet. </w:t>
      </w:r>
    </w:p>
    <w:p w14:paraId="48DF8E1B" w14:textId="77777777" w:rsidR="00DB1AEE" w:rsidRPr="00DB1AEE" w:rsidRDefault="00DB1AEE" w:rsidP="00DB1AEE">
      <w:pPr>
        <w:widowControl w:val="0"/>
        <w:numPr>
          <w:ilvl w:val="0"/>
          <w:numId w:val="86"/>
        </w:numPr>
        <w:suppressAutoHyphens/>
        <w:spacing w:before="130" w:after="130"/>
        <w:jc w:val="left"/>
        <w:rPr>
          <w:u w:val="single"/>
        </w:rPr>
      </w:pPr>
      <w:r w:rsidRPr="00DB1AEE">
        <w:rPr>
          <w:i/>
          <w:iCs/>
          <w:u w:val="single"/>
        </w:rPr>
        <w:t xml:space="preserve">Buildings </w:t>
      </w:r>
      <w:r w:rsidRPr="00DB1AEE">
        <w:rPr>
          <w:u w:val="single"/>
        </w:rPr>
        <w:t>where a demand response signal is not available from a controlling entity other than the owner. </w:t>
      </w:r>
    </w:p>
    <w:p w14:paraId="435B6B63" w14:textId="77777777" w:rsidR="00DB1AEE" w:rsidRPr="00DB1AEE" w:rsidRDefault="00DB1AEE" w:rsidP="00DB1AEE">
      <w:pPr>
        <w:widowControl w:val="0"/>
        <w:numPr>
          <w:ilvl w:val="0"/>
          <w:numId w:val="87"/>
        </w:numPr>
        <w:suppressAutoHyphens/>
        <w:spacing w:before="130" w:after="130"/>
        <w:jc w:val="left"/>
        <w:rPr>
          <w:u w:val="single"/>
        </w:rPr>
      </w:pPr>
      <w:r w:rsidRPr="00DB1AEE">
        <w:rPr>
          <w:u w:val="single"/>
        </w:rPr>
        <w:t>Parking garages. </w:t>
      </w:r>
    </w:p>
    <w:p w14:paraId="25339D0B" w14:textId="77777777" w:rsidR="00DB1AEE" w:rsidRPr="00DB1AEE" w:rsidRDefault="00DB1AEE" w:rsidP="00DB1AEE">
      <w:pPr>
        <w:widowControl w:val="0"/>
        <w:numPr>
          <w:ilvl w:val="0"/>
          <w:numId w:val="88"/>
        </w:numPr>
        <w:suppressAutoHyphens/>
        <w:spacing w:before="130" w:after="130"/>
        <w:jc w:val="left"/>
        <w:rPr>
          <w:u w:val="single"/>
        </w:rPr>
      </w:pPr>
      <w:r w:rsidRPr="00DB1AEE">
        <w:rPr>
          <w:u w:val="single"/>
        </w:rPr>
        <w:t>Ambulatory care facilities. </w:t>
      </w:r>
    </w:p>
    <w:p w14:paraId="481C6DF0" w14:textId="77777777" w:rsidR="00DB1AEE" w:rsidRPr="00DB1AEE" w:rsidRDefault="00DB1AEE" w:rsidP="00DB1AEE">
      <w:pPr>
        <w:widowControl w:val="0"/>
        <w:numPr>
          <w:ilvl w:val="0"/>
          <w:numId w:val="89"/>
        </w:numPr>
        <w:suppressAutoHyphens/>
        <w:spacing w:before="130" w:after="130"/>
        <w:jc w:val="left"/>
        <w:rPr>
          <w:u w:val="single"/>
        </w:rPr>
      </w:pPr>
      <w:r w:rsidRPr="00DB1AEE">
        <w:rPr>
          <w:u w:val="single"/>
        </w:rPr>
        <w:t>Outpatient clinics. </w:t>
      </w:r>
    </w:p>
    <w:p w14:paraId="05B259D9" w14:textId="77777777" w:rsidR="00DB1AEE" w:rsidRPr="00DB1AEE" w:rsidRDefault="00DB1AEE" w:rsidP="00DB1AEE">
      <w:pPr>
        <w:widowControl w:val="0"/>
        <w:numPr>
          <w:ilvl w:val="0"/>
          <w:numId w:val="90"/>
        </w:numPr>
        <w:suppressAutoHyphens/>
        <w:spacing w:before="130" w:after="130"/>
        <w:jc w:val="left"/>
        <w:rPr>
          <w:u w:val="single"/>
        </w:rPr>
      </w:pPr>
      <w:r w:rsidRPr="00DB1AEE">
        <w:rPr>
          <w:u w:val="single"/>
        </w:rPr>
        <w:t>Physician or dental offices. </w:t>
      </w:r>
    </w:p>
    <w:p w14:paraId="262D7C27" w14:textId="77777777" w:rsidR="00DB1AEE" w:rsidRPr="00DB1AEE" w:rsidRDefault="00DB1AEE" w:rsidP="00DB1AEE">
      <w:pPr>
        <w:widowControl w:val="0"/>
        <w:suppressAutoHyphens/>
        <w:spacing w:before="130" w:after="130"/>
        <w:jc w:val="left"/>
        <w:rPr>
          <w:b/>
          <w:bCs/>
          <w:u w:val="single"/>
        </w:rPr>
      </w:pPr>
      <w:r w:rsidRPr="00DB1AEE">
        <w:rPr>
          <w:b/>
          <w:bCs/>
          <w:u w:val="single"/>
        </w:rPr>
        <w:t>Section 9.4.1.5.1 Demand responsive lighting controls function.</w:t>
      </w:r>
    </w:p>
    <w:p w14:paraId="3A009EFD" w14:textId="77777777" w:rsidR="00DB1AEE" w:rsidRPr="00DB1AEE" w:rsidRDefault="00DB1AEE" w:rsidP="00DB1AEE">
      <w:pPr>
        <w:widowControl w:val="0"/>
        <w:suppressAutoHyphens/>
        <w:spacing w:before="130" w:after="130"/>
        <w:jc w:val="left"/>
        <w:rPr>
          <w:u w:val="single"/>
        </w:rPr>
      </w:pPr>
      <w:r w:rsidRPr="00DB1AEE">
        <w:rPr>
          <w:u w:val="single"/>
        </w:rPr>
        <w:t>Section 9.4.1.5.1 – Add new  Section 9.4.1.5.1 to read as follows:</w:t>
      </w:r>
    </w:p>
    <w:p w14:paraId="44E019F0" w14:textId="77777777" w:rsidR="00DB1AEE" w:rsidRPr="00DB1AEE" w:rsidRDefault="00DB1AEE" w:rsidP="00DB1AEE">
      <w:pPr>
        <w:widowControl w:val="0"/>
        <w:suppressAutoHyphens/>
        <w:spacing w:before="130" w:after="130"/>
        <w:ind w:left="360"/>
        <w:jc w:val="left"/>
        <w:rPr>
          <w:u w:val="single"/>
        </w:rPr>
      </w:pPr>
      <w:r w:rsidRPr="00DB1AEE">
        <w:rPr>
          <w:b/>
          <w:bCs/>
          <w:u w:val="single"/>
        </w:rPr>
        <w:t xml:space="preserve">9.4.1.5.1 Demand responsive lighting controls function. </w:t>
      </w:r>
      <w:r w:rsidRPr="00DB1AEE">
        <w:rPr>
          <w:i/>
          <w:iCs/>
          <w:u w:val="single"/>
        </w:rPr>
        <w:t xml:space="preserve">Demand responsive controls </w:t>
      </w:r>
      <w:r w:rsidRPr="00DB1AEE">
        <w:rPr>
          <w:u w:val="single"/>
        </w:rPr>
        <w:t>for lighting shall be capable of the following: </w:t>
      </w:r>
    </w:p>
    <w:p w14:paraId="644FF7B5" w14:textId="77777777" w:rsidR="00DB1AEE" w:rsidRPr="00DB1AEE" w:rsidRDefault="00DB1AEE" w:rsidP="00DB1AEE">
      <w:pPr>
        <w:widowControl w:val="0"/>
        <w:numPr>
          <w:ilvl w:val="0"/>
          <w:numId w:val="91"/>
        </w:numPr>
        <w:suppressAutoHyphens/>
        <w:spacing w:before="130" w:after="130"/>
        <w:jc w:val="left"/>
        <w:rPr>
          <w:u w:val="single"/>
        </w:rPr>
      </w:pPr>
      <w:r w:rsidRPr="00DB1AEE">
        <w:rPr>
          <w:u w:val="single"/>
        </w:rPr>
        <w:t xml:space="preserve">Automatically reducing the output of controlled lighting to 80 percent or less of full power or light output upon receipt of a </w:t>
      </w:r>
      <w:r w:rsidRPr="00DB1AEE">
        <w:rPr>
          <w:i/>
          <w:iCs/>
          <w:u w:val="single"/>
        </w:rPr>
        <w:t>demand response signal</w:t>
      </w:r>
      <w:r w:rsidRPr="00DB1AEE">
        <w:rPr>
          <w:u w:val="single"/>
        </w:rPr>
        <w:t>. </w:t>
      </w:r>
    </w:p>
    <w:p w14:paraId="6ADECDB1" w14:textId="77777777" w:rsidR="00DB1AEE" w:rsidRPr="00DB1AEE" w:rsidRDefault="00DB1AEE" w:rsidP="00DB1AEE">
      <w:pPr>
        <w:widowControl w:val="0"/>
        <w:numPr>
          <w:ilvl w:val="0"/>
          <w:numId w:val="92"/>
        </w:numPr>
        <w:suppressAutoHyphens/>
        <w:spacing w:before="130" w:after="130"/>
        <w:jc w:val="left"/>
        <w:rPr>
          <w:u w:val="single"/>
        </w:rPr>
      </w:pPr>
      <w:r w:rsidRPr="00DB1AEE">
        <w:rPr>
          <w:u w:val="single"/>
        </w:rPr>
        <w:t xml:space="preserve">Where </w:t>
      </w:r>
      <w:r w:rsidRPr="00DB1AEE">
        <w:rPr>
          <w:i/>
          <w:iCs/>
          <w:u w:val="single"/>
        </w:rPr>
        <w:t xml:space="preserve">high-end trim </w:t>
      </w:r>
      <w:r w:rsidRPr="00DB1AEE">
        <w:rPr>
          <w:u w:val="single"/>
        </w:rPr>
        <w:t xml:space="preserve">has been set, automatically reducing the output of controlled lighting to 80 percent or less of the </w:t>
      </w:r>
      <w:r w:rsidRPr="00DB1AEE">
        <w:rPr>
          <w:i/>
          <w:iCs/>
          <w:u w:val="single"/>
        </w:rPr>
        <w:t xml:space="preserve">high-end trim </w:t>
      </w:r>
      <w:r w:rsidRPr="00DB1AEE">
        <w:rPr>
          <w:u w:val="single"/>
        </w:rPr>
        <w:t xml:space="preserve">setpoint upon receipt of a </w:t>
      </w:r>
      <w:r w:rsidRPr="00DB1AEE">
        <w:rPr>
          <w:i/>
          <w:iCs/>
          <w:u w:val="single"/>
        </w:rPr>
        <w:t>demand response signal</w:t>
      </w:r>
      <w:r w:rsidRPr="00DB1AEE">
        <w:rPr>
          <w:u w:val="single"/>
        </w:rPr>
        <w:t>. </w:t>
      </w:r>
    </w:p>
    <w:p w14:paraId="0085F192" w14:textId="77777777" w:rsidR="00DB1AEE" w:rsidRPr="00DB1AEE" w:rsidRDefault="00DB1AEE" w:rsidP="00DB1AEE">
      <w:pPr>
        <w:widowControl w:val="0"/>
        <w:numPr>
          <w:ilvl w:val="0"/>
          <w:numId w:val="93"/>
        </w:numPr>
        <w:suppressAutoHyphens/>
        <w:spacing w:before="130" w:after="130"/>
        <w:jc w:val="left"/>
        <w:rPr>
          <w:u w:val="single"/>
        </w:rPr>
      </w:pPr>
      <w:r w:rsidRPr="00DB1AEE">
        <w:rPr>
          <w:u w:val="single"/>
        </w:rPr>
        <w:t>Dimming controlled lights gradually and continuously over a period of not longer than 15 minutes to achieve their demand response setpoint. </w:t>
      </w:r>
    </w:p>
    <w:p w14:paraId="2D9121AB" w14:textId="77777777" w:rsidR="00DB1AEE" w:rsidRPr="00DB1AEE" w:rsidRDefault="00DB1AEE" w:rsidP="00DB1AEE">
      <w:pPr>
        <w:widowControl w:val="0"/>
        <w:numPr>
          <w:ilvl w:val="0"/>
          <w:numId w:val="94"/>
        </w:numPr>
        <w:suppressAutoHyphens/>
        <w:spacing w:before="130" w:after="130"/>
        <w:jc w:val="left"/>
        <w:rPr>
          <w:u w:val="single"/>
        </w:rPr>
      </w:pPr>
      <w:r w:rsidRPr="00DB1AEE">
        <w:rPr>
          <w:u w:val="single"/>
        </w:rPr>
        <w:t>Returning controlled lighting to its normal operational settings at the end of the demand response period. </w:t>
      </w:r>
    </w:p>
    <w:p w14:paraId="33C5565E" w14:textId="77777777" w:rsidR="00DB1AEE" w:rsidRPr="00DB1AEE" w:rsidRDefault="00DB1AEE" w:rsidP="00DB1AEE">
      <w:pPr>
        <w:widowControl w:val="0"/>
        <w:suppressAutoHyphens/>
        <w:spacing w:before="130" w:after="130"/>
        <w:ind w:left="360"/>
        <w:jc w:val="left"/>
        <w:rPr>
          <w:u w:val="single"/>
        </w:rPr>
      </w:pPr>
      <w:r w:rsidRPr="00DB1AEE">
        <w:rPr>
          <w:u w:val="single"/>
        </w:rPr>
        <w:t>Exception: Storage rooms and warehouse storage areas shall be permitted to switch off  25  percent or more of general lighting power rather than dimming. </w:t>
      </w:r>
    </w:p>
    <w:p w14:paraId="348F30CC" w14:textId="77777777" w:rsidR="00DB1AEE" w:rsidRPr="00DB1AEE" w:rsidRDefault="00DB1AEE" w:rsidP="00DB1AEE">
      <w:pPr>
        <w:widowControl w:val="0"/>
        <w:suppressAutoHyphens/>
        <w:spacing w:before="130" w:after="130"/>
        <w:jc w:val="left"/>
        <w:rPr>
          <w:b/>
          <w:bCs/>
          <w:u w:val="single"/>
        </w:rPr>
      </w:pPr>
      <w:r w:rsidRPr="00DB1AEE">
        <w:rPr>
          <w:b/>
          <w:bCs/>
          <w:u w:val="single"/>
        </w:rPr>
        <w:t>Section 9.4.3.1 Lamp and Luminaire Efficacy.</w:t>
      </w:r>
    </w:p>
    <w:p w14:paraId="744FDFBB" w14:textId="77777777" w:rsidR="00DB1AEE" w:rsidRPr="00DB1AEE" w:rsidRDefault="00DB1AEE" w:rsidP="00DB1AEE">
      <w:pPr>
        <w:widowControl w:val="0"/>
        <w:suppressAutoHyphens/>
        <w:spacing w:before="130" w:after="130"/>
        <w:jc w:val="left"/>
        <w:rPr>
          <w:b/>
          <w:bCs/>
          <w:u w:val="single"/>
        </w:rPr>
      </w:pPr>
      <w:r w:rsidRPr="00DB1AEE">
        <w:rPr>
          <w:u w:val="single"/>
        </w:rPr>
        <w:t>Section 9.4.3.1 – Revise  Section 9.4.3.1 to read as follows:</w:t>
      </w:r>
    </w:p>
    <w:p w14:paraId="3746F46B" w14:textId="77777777" w:rsidR="00DB1AEE" w:rsidRPr="00DB1AEE" w:rsidRDefault="00DB1AEE" w:rsidP="00DB1AEE">
      <w:pPr>
        <w:widowControl w:val="0"/>
        <w:suppressAutoHyphens/>
        <w:spacing w:before="130" w:after="130"/>
        <w:ind w:left="360"/>
        <w:jc w:val="left"/>
        <w:rPr>
          <w:b/>
          <w:bCs/>
          <w:u w:val="single"/>
        </w:rPr>
      </w:pPr>
      <w:r w:rsidRPr="00DB1AEE">
        <w:rPr>
          <w:b/>
          <w:bCs/>
          <w:u w:val="single"/>
        </w:rPr>
        <w:t>9.4.3.1 Lamp and Luminaire Efficacy.</w:t>
      </w:r>
      <w:r w:rsidRPr="00DB1AEE">
        <w:rPr>
          <w:b/>
          <w:bCs/>
          <w:u w:val="single"/>
        </w:rPr>
        <w:tab/>
        <w:t xml:space="preserve"> </w:t>
      </w:r>
    </w:p>
    <w:p w14:paraId="381B8942" w14:textId="77777777" w:rsidR="00DB1AEE" w:rsidRPr="00DB1AEE" w:rsidRDefault="00DB1AEE" w:rsidP="00DB1AEE">
      <w:pPr>
        <w:widowControl w:val="0"/>
        <w:suppressAutoHyphens/>
        <w:spacing w:before="130" w:after="130"/>
        <w:ind w:left="360"/>
        <w:jc w:val="left"/>
        <w:rPr>
          <w:u w:val="single"/>
        </w:rPr>
      </w:pPr>
      <w:r w:rsidRPr="00DB1AEE">
        <w:rPr>
          <w:u w:val="single"/>
        </w:rPr>
        <w:t xml:space="preserve">At least 90% of the permanently installed luminaires shall use lamps with an efficacy of at least  75  lm/W or have a total luminaire efficacy of at least  50 lm/W. </w:t>
      </w:r>
    </w:p>
    <w:p w14:paraId="136D8165" w14:textId="77777777" w:rsidR="00DB1AEE" w:rsidRPr="00DB1AEE" w:rsidRDefault="00DB1AEE" w:rsidP="00DB1AEE">
      <w:pPr>
        <w:widowControl w:val="0"/>
        <w:suppressAutoHyphens/>
        <w:spacing w:before="130" w:after="130"/>
        <w:jc w:val="left"/>
        <w:rPr>
          <w:b/>
          <w:bCs/>
          <w:u w:val="single"/>
        </w:rPr>
      </w:pPr>
      <w:r w:rsidRPr="00DB1AEE">
        <w:rPr>
          <w:b/>
          <w:bCs/>
          <w:u w:val="single"/>
        </w:rPr>
        <w:t>Section 9.4.4 Horticultural Lighting.</w:t>
      </w:r>
    </w:p>
    <w:p w14:paraId="6B09C00D" w14:textId="77777777" w:rsidR="00DB1AEE" w:rsidRPr="00DB1AEE" w:rsidRDefault="00DB1AEE" w:rsidP="00DB1AEE">
      <w:pPr>
        <w:widowControl w:val="0"/>
        <w:suppressAutoHyphens/>
        <w:spacing w:before="130" w:after="130"/>
        <w:jc w:val="left"/>
        <w:rPr>
          <w:b/>
          <w:bCs/>
          <w:u w:val="single"/>
        </w:rPr>
      </w:pPr>
      <w:r w:rsidRPr="00DB1AEE">
        <w:rPr>
          <w:u w:val="single"/>
        </w:rPr>
        <w:t>Section 9.4.4 – Delete Section 9.4.4, Section  9.4.4.1 and 9.4.4.2 and add new Section 9.4.4   to read as follows:</w:t>
      </w:r>
    </w:p>
    <w:p w14:paraId="7019B40C" w14:textId="77777777" w:rsidR="00DB1AEE" w:rsidRPr="00DB1AEE" w:rsidRDefault="00DB1AEE" w:rsidP="00DB1AEE">
      <w:pPr>
        <w:widowControl w:val="0"/>
        <w:suppressAutoHyphens/>
        <w:spacing w:before="130" w:after="130"/>
        <w:ind w:left="360"/>
        <w:jc w:val="left"/>
        <w:rPr>
          <w:b/>
          <w:bCs/>
          <w:u w:val="single"/>
        </w:rPr>
      </w:pPr>
      <w:r w:rsidRPr="00DB1AEE">
        <w:rPr>
          <w:b/>
          <w:bCs/>
          <w:u w:val="single"/>
        </w:rPr>
        <w:t xml:space="preserve">9.4.4 Horticultural Lighting. </w:t>
      </w:r>
    </w:p>
    <w:p w14:paraId="251D1DFB" w14:textId="77777777" w:rsidR="00DB1AEE" w:rsidRPr="00DB1AEE" w:rsidRDefault="00DB1AEE" w:rsidP="00DB1AEE">
      <w:pPr>
        <w:widowControl w:val="0"/>
        <w:suppressAutoHyphens/>
        <w:spacing w:before="130" w:after="130"/>
        <w:ind w:left="360"/>
        <w:jc w:val="left"/>
        <w:rPr>
          <w:b/>
          <w:bCs/>
          <w:u w:val="single"/>
        </w:rPr>
      </w:pPr>
      <w:r w:rsidRPr="00DB1AEE">
        <w:rPr>
          <w:u w:val="single"/>
        </w:rPr>
        <w:t>Luminaires in indoor grow spaces and greenhouse buildings used for horticultural lighting shall have a photosynthetic photon efficacy (PPE) of at least 2.1 μmol/J. Horticultural lighting in greenhouse spaces and indoor grow spaces shall be controlled by a device that automatically turns off the horticultural lighting at specific programmed times</w:t>
      </w:r>
      <w:r w:rsidRPr="00DB1AEE">
        <w:rPr>
          <w:b/>
          <w:bCs/>
          <w:u w:val="single"/>
        </w:rPr>
        <w:t>.</w:t>
      </w:r>
    </w:p>
    <w:p w14:paraId="6913F621" w14:textId="77777777" w:rsidR="00DB1AEE" w:rsidRPr="00DB1AEE" w:rsidRDefault="00DB1AEE" w:rsidP="00DB1AEE">
      <w:pPr>
        <w:widowControl w:val="0"/>
        <w:suppressAutoHyphens/>
        <w:spacing w:before="130" w:after="130"/>
        <w:jc w:val="left"/>
        <w:rPr>
          <w:b/>
          <w:bCs/>
          <w:u w:val="single"/>
        </w:rPr>
      </w:pPr>
      <w:r w:rsidRPr="00DB1AEE">
        <w:rPr>
          <w:b/>
          <w:bCs/>
          <w:u w:val="single"/>
        </w:rPr>
        <w:t>Table 9.5.1 Lighting Power Density Allowances Using the Building Area Method.</w:t>
      </w:r>
    </w:p>
    <w:p w14:paraId="3DD648EC" w14:textId="77777777" w:rsidR="00DB1AEE" w:rsidRPr="00DB1AEE" w:rsidRDefault="00DB1AEE" w:rsidP="00DB1AEE">
      <w:pPr>
        <w:widowControl w:val="0"/>
        <w:suppressAutoHyphens/>
        <w:spacing w:before="130" w:after="130"/>
        <w:jc w:val="left"/>
        <w:rPr>
          <w:b/>
          <w:bCs/>
          <w:u w:val="single"/>
        </w:rPr>
      </w:pPr>
      <w:r w:rsidRPr="00DB1AEE">
        <w:rPr>
          <w:u w:val="single"/>
        </w:rPr>
        <w:t>Table 9.5.1 – Delete Table 9.5.1and add new Table 9.5.1 to read as follows:</w:t>
      </w:r>
    </w:p>
    <w:p w14:paraId="60B86604" w14:textId="77777777" w:rsidR="00DB1AEE" w:rsidRPr="00DB1AEE" w:rsidRDefault="00DB1AEE" w:rsidP="00DB1AEE">
      <w:pPr>
        <w:suppressAutoHyphens/>
        <w:jc w:val="left"/>
        <w:rPr>
          <w:b/>
          <w:szCs w:val="24"/>
          <w:u w:val="single"/>
        </w:rPr>
      </w:pPr>
      <w:r w:rsidRPr="00DB1AEE">
        <w:rPr>
          <w:b/>
          <w:szCs w:val="24"/>
          <w:u w:val="single"/>
        </w:rPr>
        <w:t xml:space="preserve">Table 9.5.1 </w:t>
      </w:r>
      <w:r w:rsidRPr="00DB1AEE">
        <w:rPr>
          <w:b/>
          <w:i/>
          <w:szCs w:val="24"/>
          <w:u w:val="single"/>
        </w:rPr>
        <w:t xml:space="preserve">Lighting Power Density </w:t>
      </w:r>
      <w:r w:rsidRPr="00DB1AEE">
        <w:rPr>
          <w:b/>
          <w:szCs w:val="24"/>
          <w:u w:val="single"/>
        </w:rPr>
        <w:t>Allowances Using the</w:t>
      </w:r>
    </w:p>
    <w:p w14:paraId="1D2E90F4" w14:textId="77777777" w:rsidR="00DB1AEE" w:rsidRPr="00DB1AEE" w:rsidRDefault="00DB1AEE" w:rsidP="00DB1AEE">
      <w:pPr>
        <w:suppressAutoHyphens/>
        <w:jc w:val="left"/>
        <w:rPr>
          <w:b/>
          <w:szCs w:val="24"/>
          <w:u w:val="single"/>
        </w:rPr>
      </w:pPr>
      <w:r w:rsidRPr="00DB1AEE">
        <w:rPr>
          <w:b/>
          <w:i/>
          <w:szCs w:val="24"/>
          <w:u w:val="single"/>
        </w:rPr>
        <w:t xml:space="preserve">Building </w:t>
      </w:r>
      <w:r w:rsidRPr="00DB1AEE">
        <w:rPr>
          <w:b/>
          <w:szCs w:val="24"/>
          <w:u w:val="single"/>
        </w:rPr>
        <w:t>Area Method</w:t>
      </w:r>
    </w:p>
    <w:p w14:paraId="1E7BB0E4" w14:textId="77777777" w:rsidR="00DB1AEE" w:rsidRPr="00DB1AEE" w:rsidRDefault="00DB1AEE" w:rsidP="00DB1AEE">
      <w:pPr>
        <w:suppressAutoHyphens/>
        <w:jc w:val="left"/>
        <w:rPr>
          <w:b/>
          <w:szCs w:val="24"/>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33"/>
        <w:gridCol w:w="3228"/>
      </w:tblGrid>
      <w:tr w:rsidR="00DB1AEE" w:rsidRPr="00DB1AEE" w14:paraId="6980DE0C" w14:textId="77777777" w:rsidTr="00FC1832">
        <w:trPr>
          <w:trHeight w:val="290"/>
          <w:jc w:val="center"/>
        </w:trPr>
        <w:tc>
          <w:tcPr>
            <w:tcW w:w="2533" w:type="dxa"/>
          </w:tcPr>
          <w:p w14:paraId="0A3DE2EA" w14:textId="77777777" w:rsidR="00DB1AEE" w:rsidRPr="00DB1AEE" w:rsidRDefault="00DB1AEE" w:rsidP="00DB1AEE">
            <w:pPr>
              <w:widowControl w:val="0"/>
              <w:autoSpaceDE w:val="0"/>
              <w:autoSpaceDN w:val="0"/>
              <w:jc w:val="center"/>
              <w:rPr>
                <w:rFonts w:eastAsia="Calibri"/>
                <w:b/>
                <w:bCs/>
                <w:szCs w:val="24"/>
                <w:u w:val="single"/>
              </w:rPr>
            </w:pPr>
            <w:r w:rsidRPr="00DB1AEE">
              <w:rPr>
                <w:rFonts w:eastAsia="Calibri"/>
                <w:b/>
                <w:bCs/>
                <w:i/>
                <w:szCs w:val="24"/>
                <w:u w:val="single"/>
              </w:rPr>
              <w:t xml:space="preserve">Building </w:t>
            </w:r>
            <w:r w:rsidRPr="00DB1AEE">
              <w:rPr>
                <w:rFonts w:eastAsia="Calibri"/>
                <w:b/>
                <w:bCs/>
                <w:szCs w:val="24"/>
                <w:u w:val="single"/>
              </w:rPr>
              <w:t>Area Type</w:t>
            </w:r>
            <w:r w:rsidRPr="00DB1AEE">
              <w:rPr>
                <w:rFonts w:eastAsia="Calibri"/>
                <w:b/>
                <w:bCs/>
                <w:position w:val="6"/>
                <w:szCs w:val="24"/>
                <w:u w:val="single"/>
              </w:rPr>
              <w:t>a</w:t>
            </w:r>
          </w:p>
        </w:tc>
        <w:tc>
          <w:tcPr>
            <w:tcW w:w="3228" w:type="dxa"/>
          </w:tcPr>
          <w:p w14:paraId="0336D472" w14:textId="77777777" w:rsidR="00DB1AEE" w:rsidRPr="00DB1AEE" w:rsidRDefault="00DB1AEE" w:rsidP="00DB1AEE">
            <w:pPr>
              <w:widowControl w:val="0"/>
              <w:autoSpaceDE w:val="0"/>
              <w:autoSpaceDN w:val="0"/>
              <w:jc w:val="center"/>
              <w:rPr>
                <w:rFonts w:eastAsia="Calibri"/>
                <w:b/>
                <w:bCs/>
                <w:szCs w:val="24"/>
                <w:u w:val="single"/>
              </w:rPr>
            </w:pPr>
            <w:r w:rsidRPr="00DB1AEE">
              <w:rPr>
                <w:rFonts w:eastAsia="Calibri"/>
                <w:b/>
                <w:bCs/>
                <w:i/>
                <w:szCs w:val="24"/>
                <w:u w:val="single"/>
              </w:rPr>
              <w:t>LPD</w:t>
            </w:r>
            <w:r w:rsidRPr="00DB1AEE">
              <w:rPr>
                <w:rFonts w:eastAsia="Calibri"/>
                <w:b/>
                <w:bCs/>
                <w:szCs w:val="24"/>
                <w:u w:val="single"/>
              </w:rPr>
              <w:t>, W/ft</w:t>
            </w:r>
            <w:r w:rsidRPr="00DB1AEE">
              <w:rPr>
                <w:rFonts w:eastAsia="Calibri"/>
                <w:b/>
                <w:bCs/>
                <w:position w:val="6"/>
                <w:szCs w:val="24"/>
                <w:u w:val="single"/>
              </w:rPr>
              <w:t>2</w:t>
            </w:r>
          </w:p>
        </w:tc>
      </w:tr>
      <w:tr w:rsidR="00DB1AEE" w:rsidRPr="00DB1AEE" w14:paraId="0C6592CA" w14:textId="77777777" w:rsidTr="00FC1832">
        <w:trPr>
          <w:trHeight w:val="340"/>
          <w:jc w:val="center"/>
        </w:trPr>
        <w:tc>
          <w:tcPr>
            <w:tcW w:w="2533" w:type="dxa"/>
            <w:shd w:val="clear" w:color="auto" w:fill="F2F2F2"/>
          </w:tcPr>
          <w:p w14:paraId="0FD35AE4" w14:textId="77777777" w:rsidR="00DB1AEE" w:rsidRPr="00DB1AEE" w:rsidRDefault="00DB1AEE" w:rsidP="00DB1AEE">
            <w:pPr>
              <w:widowControl w:val="0"/>
              <w:autoSpaceDE w:val="0"/>
              <w:autoSpaceDN w:val="0"/>
              <w:jc w:val="center"/>
              <w:rPr>
                <w:rFonts w:eastAsia="Calibri"/>
                <w:b/>
                <w:bCs/>
                <w:szCs w:val="24"/>
                <w:u w:val="single"/>
              </w:rPr>
            </w:pPr>
            <w:r w:rsidRPr="00DB1AEE">
              <w:rPr>
                <w:rFonts w:eastAsia="Calibri"/>
                <w:b/>
                <w:bCs/>
                <w:szCs w:val="24"/>
                <w:u w:val="single"/>
              </w:rPr>
              <w:t>Automotive facility</w:t>
            </w:r>
          </w:p>
        </w:tc>
        <w:tc>
          <w:tcPr>
            <w:tcW w:w="3228" w:type="dxa"/>
            <w:shd w:val="clear" w:color="auto" w:fill="F2F2F2"/>
          </w:tcPr>
          <w:p w14:paraId="3A528FDB" w14:textId="77777777" w:rsidR="00DB1AEE" w:rsidRPr="00DB1AEE" w:rsidRDefault="00DB1AEE" w:rsidP="00DB1AEE">
            <w:pPr>
              <w:widowControl w:val="0"/>
              <w:autoSpaceDE w:val="0"/>
              <w:autoSpaceDN w:val="0"/>
              <w:jc w:val="center"/>
              <w:rPr>
                <w:rFonts w:eastAsia="Calibri"/>
                <w:b/>
                <w:bCs/>
                <w:szCs w:val="24"/>
                <w:u w:val="single"/>
              </w:rPr>
            </w:pPr>
            <w:r w:rsidRPr="00DB1AEE">
              <w:rPr>
                <w:rFonts w:eastAsia="Calibri"/>
                <w:b/>
                <w:bCs/>
                <w:szCs w:val="24"/>
                <w:u w:val="single"/>
              </w:rPr>
              <w:t>0.64</w:t>
            </w:r>
          </w:p>
        </w:tc>
      </w:tr>
      <w:tr w:rsidR="00DB1AEE" w:rsidRPr="00DB1AEE" w14:paraId="4EC6742A" w14:textId="77777777" w:rsidTr="00FC1832">
        <w:trPr>
          <w:trHeight w:val="340"/>
          <w:jc w:val="center"/>
        </w:trPr>
        <w:tc>
          <w:tcPr>
            <w:tcW w:w="2533" w:type="dxa"/>
          </w:tcPr>
          <w:p w14:paraId="2FBCF4C6" w14:textId="77777777" w:rsidR="00DB1AEE" w:rsidRPr="00DB1AEE" w:rsidRDefault="00DB1AEE" w:rsidP="00DB1AEE">
            <w:pPr>
              <w:widowControl w:val="0"/>
              <w:autoSpaceDE w:val="0"/>
              <w:autoSpaceDN w:val="0"/>
              <w:jc w:val="center"/>
              <w:rPr>
                <w:rFonts w:eastAsia="Calibri"/>
                <w:b/>
                <w:bCs/>
                <w:szCs w:val="24"/>
                <w:u w:val="single"/>
              </w:rPr>
            </w:pPr>
            <w:r w:rsidRPr="00DB1AEE">
              <w:rPr>
                <w:rFonts w:eastAsia="Calibri"/>
                <w:b/>
                <w:bCs/>
                <w:szCs w:val="24"/>
                <w:u w:val="single"/>
              </w:rPr>
              <w:t>Convention center</w:t>
            </w:r>
          </w:p>
        </w:tc>
        <w:tc>
          <w:tcPr>
            <w:tcW w:w="3228" w:type="dxa"/>
          </w:tcPr>
          <w:p w14:paraId="7F071BE7" w14:textId="77777777" w:rsidR="00DB1AEE" w:rsidRPr="00DB1AEE" w:rsidRDefault="00DB1AEE" w:rsidP="00DB1AEE">
            <w:pPr>
              <w:widowControl w:val="0"/>
              <w:autoSpaceDE w:val="0"/>
              <w:autoSpaceDN w:val="0"/>
              <w:jc w:val="center"/>
              <w:rPr>
                <w:rFonts w:eastAsia="Calibri"/>
                <w:b/>
                <w:bCs/>
                <w:szCs w:val="24"/>
                <w:u w:val="single"/>
              </w:rPr>
            </w:pPr>
            <w:r w:rsidRPr="00DB1AEE">
              <w:rPr>
                <w:rFonts w:eastAsia="Calibri"/>
                <w:b/>
                <w:bCs/>
                <w:szCs w:val="24"/>
                <w:u w:val="single"/>
              </w:rPr>
              <w:t xml:space="preserve">0.64 </w:t>
            </w:r>
          </w:p>
        </w:tc>
      </w:tr>
      <w:tr w:rsidR="00DB1AEE" w:rsidRPr="00DB1AEE" w14:paraId="6E267227" w14:textId="77777777" w:rsidTr="00FC1832">
        <w:trPr>
          <w:trHeight w:val="340"/>
          <w:jc w:val="center"/>
        </w:trPr>
        <w:tc>
          <w:tcPr>
            <w:tcW w:w="2533" w:type="dxa"/>
            <w:shd w:val="clear" w:color="auto" w:fill="F2F2F2"/>
          </w:tcPr>
          <w:p w14:paraId="2E6343DA" w14:textId="77777777" w:rsidR="00DB1AEE" w:rsidRPr="00DB1AEE" w:rsidRDefault="00DB1AEE" w:rsidP="00DB1AEE">
            <w:pPr>
              <w:widowControl w:val="0"/>
              <w:autoSpaceDE w:val="0"/>
              <w:autoSpaceDN w:val="0"/>
              <w:jc w:val="center"/>
              <w:rPr>
                <w:rFonts w:eastAsia="Calibri"/>
                <w:b/>
                <w:bCs/>
                <w:szCs w:val="24"/>
                <w:u w:val="single"/>
              </w:rPr>
            </w:pPr>
            <w:r w:rsidRPr="00DB1AEE">
              <w:rPr>
                <w:rFonts w:eastAsia="Calibri"/>
                <w:b/>
                <w:bCs/>
                <w:szCs w:val="24"/>
                <w:u w:val="single"/>
              </w:rPr>
              <w:t>Courthouse</w:t>
            </w:r>
          </w:p>
        </w:tc>
        <w:tc>
          <w:tcPr>
            <w:tcW w:w="3228" w:type="dxa"/>
            <w:shd w:val="clear" w:color="auto" w:fill="F2F2F2"/>
          </w:tcPr>
          <w:p w14:paraId="312EDECF" w14:textId="77777777" w:rsidR="00DB1AEE" w:rsidRPr="00DB1AEE" w:rsidRDefault="00DB1AEE" w:rsidP="00DB1AEE">
            <w:pPr>
              <w:widowControl w:val="0"/>
              <w:autoSpaceDE w:val="0"/>
              <w:autoSpaceDN w:val="0"/>
              <w:jc w:val="center"/>
              <w:rPr>
                <w:rFonts w:eastAsia="Calibri"/>
                <w:b/>
                <w:bCs/>
                <w:szCs w:val="24"/>
                <w:u w:val="single"/>
              </w:rPr>
            </w:pPr>
            <w:r w:rsidRPr="00DB1AEE">
              <w:rPr>
                <w:rFonts w:eastAsia="Calibri"/>
                <w:b/>
                <w:bCs/>
                <w:szCs w:val="24"/>
                <w:u w:val="single"/>
              </w:rPr>
              <w:t>0.74</w:t>
            </w:r>
          </w:p>
        </w:tc>
      </w:tr>
      <w:tr w:rsidR="00DB1AEE" w:rsidRPr="00DB1AEE" w14:paraId="75027170" w14:textId="77777777" w:rsidTr="00FC1832">
        <w:trPr>
          <w:trHeight w:val="340"/>
          <w:jc w:val="center"/>
        </w:trPr>
        <w:tc>
          <w:tcPr>
            <w:tcW w:w="2533" w:type="dxa"/>
          </w:tcPr>
          <w:p w14:paraId="53F642E5" w14:textId="77777777" w:rsidR="00DB1AEE" w:rsidRPr="00DB1AEE" w:rsidRDefault="00DB1AEE" w:rsidP="00DB1AEE">
            <w:pPr>
              <w:widowControl w:val="0"/>
              <w:autoSpaceDE w:val="0"/>
              <w:autoSpaceDN w:val="0"/>
              <w:jc w:val="center"/>
              <w:rPr>
                <w:rFonts w:eastAsia="Calibri"/>
                <w:b/>
                <w:bCs/>
                <w:szCs w:val="24"/>
                <w:u w:val="single"/>
              </w:rPr>
            </w:pPr>
            <w:r w:rsidRPr="00DB1AEE">
              <w:rPr>
                <w:rFonts w:eastAsia="Calibri"/>
                <w:b/>
                <w:bCs/>
                <w:szCs w:val="24"/>
                <w:u w:val="single"/>
              </w:rPr>
              <w:t>Dining: Bar lounge/leisure</w:t>
            </w:r>
          </w:p>
        </w:tc>
        <w:tc>
          <w:tcPr>
            <w:tcW w:w="3228" w:type="dxa"/>
          </w:tcPr>
          <w:p w14:paraId="2971276E" w14:textId="77777777" w:rsidR="00DB1AEE" w:rsidRPr="00DB1AEE" w:rsidRDefault="00DB1AEE" w:rsidP="00DB1AEE">
            <w:pPr>
              <w:widowControl w:val="0"/>
              <w:autoSpaceDE w:val="0"/>
              <w:autoSpaceDN w:val="0"/>
              <w:jc w:val="center"/>
              <w:rPr>
                <w:rFonts w:eastAsia="Calibri"/>
                <w:b/>
                <w:bCs/>
                <w:szCs w:val="24"/>
                <w:u w:val="single"/>
              </w:rPr>
            </w:pPr>
            <w:r w:rsidRPr="00DB1AEE">
              <w:rPr>
                <w:rFonts w:eastAsia="Calibri"/>
                <w:b/>
                <w:bCs/>
                <w:szCs w:val="24"/>
                <w:u w:val="single"/>
              </w:rPr>
              <w:t>0.69</w:t>
            </w:r>
          </w:p>
        </w:tc>
      </w:tr>
      <w:tr w:rsidR="00DB1AEE" w:rsidRPr="00DB1AEE" w14:paraId="34B78DFC" w14:textId="77777777" w:rsidTr="00FC1832">
        <w:trPr>
          <w:trHeight w:val="340"/>
          <w:jc w:val="center"/>
        </w:trPr>
        <w:tc>
          <w:tcPr>
            <w:tcW w:w="2533" w:type="dxa"/>
            <w:shd w:val="clear" w:color="auto" w:fill="F2F2F2"/>
          </w:tcPr>
          <w:p w14:paraId="79C6C4A7" w14:textId="77777777" w:rsidR="00DB1AEE" w:rsidRPr="00DB1AEE" w:rsidRDefault="00DB1AEE" w:rsidP="00DB1AEE">
            <w:pPr>
              <w:widowControl w:val="0"/>
              <w:autoSpaceDE w:val="0"/>
              <w:autoSpaceDN w:val="0"/>
              <w:jc w:val="center"/>
              <w:rPr>
                <w:rFonts w:eastAsia="Calibri"/>
                <w:b/>
                <w:bCs/>
                <w:szCs w:val="24"/>
                <w:u w:val="single"/>
              </w:rPr>
            </w:pPr>
            <w:r w:rsidRPr="00DB1AEE">
              <w:rPr>
                <w:rFonts w:eastAsia="Calibri"/>
                <w:b/>
                <w:bCs/>
                <w:szCs w:val="24"/>
                <w:u w:val="single"/>
              </w:rPr>
              <w:t>Dining: Cafeteria/fast food</w:t>
            </w:r>
          </w:p>
        </w:tc>
        <w:tc>
          <w:tcPr>
            <w:tcW w:w="3228" w:type="dxa"/>
            <w:shd w:val="clear" w:color="auto" w:fill="F2F2F2"/>
          </w:tcPr>
          <w:p w14:paraId="59733B52" w14:textId="77777777" w:rsidR="00DB1AEE" w:rsidRPr="00DB1AEE" w:rsidRDefault="00DB1AEE" w:rsidP="00DB1AEE">
            <w:pPr>
              <w:widowControl w:val="0"/>
              <w:autoSpaceDE w:val="0"/>
              <w:autoSpaceDN w:val="0"/>
              <w:jc w:val="center"/>
              <w:rPr>
                <w:rFonts w:eastAsia="Calibri"/>
                <w:b/>
                <w:bCs/>
                <w:szCs w:val="24"/>
                <w:u w:val="single"/>
              </w:rPr>
            </w:pPr>
            <w:r w:rsidRPr="00DB1AEE">
              <w:rPr>
                <w:rFonts w:eastAsia="Calibri"/>
                <w:b/>
                <w:bCs/>
                <w:szCs w:val="24"/>
                <w:u w:val="single"/>
              </w:rPr>
              <w:t>0.66</w:t>
            </w:r>
          </w:p>
        </w:tc>
      </w:tr>
      <w:tr w:rsidR="00DB1AEE" w:rsidRPr="00DB1AEE" w14:paraId="6288742C" w14:textId="77777777" w:rsidTr="00FC1832">
        <w:trPr>
          <w:trHeight w:val="340"/>
          <w:jc w:val="center"/>
        </w:trPr>
        <w:tc>
          <w:tcPr>
            <w:tcW w:w="2533" w:type="dxa"/>
          </w:tcPr>
          <w:p w14:paraId="00CEC42F" w14:textId="77777777" w:rsidR="00DB1AEE" w:rsidRPr="00DB1AEE" w:rsidRDefault="00DB1AEE" w:rsidP="00DB1AEE">
            <w:pPr>
              <w:widowControl w:val="0"/>
              <w:autoSpaceDE w:val="0"/>
              <w:autoSpaceDN w:val="0"/>
              <w:jc w:val="center"/>
              <w:rPr>
                <w:rFonts w:eastAsia="Calibri"/>
                <w:b/>
                <w:bCs/>
                <w:szCs w:val="24"/>
                <w:u w:val="single"/>
              </w:rPr>
            </w:pPr>
            <w:r w:rsidRPr="00DB1AEE">
              <w:rPr>
                <w:rFonts w:eastAsia="Calibri"/>
                <w:b/>
                <w:bCs/>
                <w:szCs w:val="24"/>
                <w:u w:val="single"/>
              </w:rPr>
              <w:t>Dining: Family</w:t>
            </w:r>
          </w:p>
        </w:tc>
        <w:tc>
          <w:tcPr>
            <w:tcW w:w="3228" w:type="dxa"/>
          </w:tcPr>
          <w:p w14:paraId="1748E511" w14:textId="77777777" w:rsidR="00DB1AEE" w:rsidRPr="00DB1AEE" w:rsidRDefault="00DB1AEE" w:rsidP="00DB1AEE">
            <w:pPr>
              <w:widowControl w:val="0"/>
              <w:autoSpaceDE w:val="0"/>
              <w:autoSpaceDN w:val="0"/>
              <w:jc w:val="center"/>
              <w:rPr>
                <w:rFonts w:eastAsia="Calibri"/>
                <w:b/>
                <w:bCs/>
                <w:szCs w:val="24"/>
                <w:u w:val="single"/>
              </w:rPr>
            </w:pPr>
            <w:r w:rsidRPr="00DB1AEE">
              <w:rPr>
                <w:rFonts w:eastAsia="Calibri"/>
                <w:b/>
                <w:bCs/>
                <w:szCs w:val="24"/>
                <w:u w:val="single"/>
              </w:rPr>
              <w:t>0.61</w:t>
            </w:r>
          </w:p>
        </w:tc>
      </w:tr>
      <w:tr w:rsidR="00DB1AEE" w:rsidRPr="00DB1AEE" w14:paraId="42BB8E8B" w14:textId="77777777" w:rsidTr="00FC1832">
        <w:trPr>
          <w:trHeight w:val="340"/>
          <w:jc w:val="center"/>
        </w:trPr>
        <w:tc>
          <w:tcPr>
            <w:tcW w:w="2533" w:type="dxa"/>
            <w:shd w:val="clear" w:color="auto" w:fill="F2F2F2"/>
          </w:tcPr>
          <w:p w14:paraId="27DDADC4" w14:textId="77777777" w:rsidR="00DB1AEE" w:rsidRPr="00DB1AEE" w:rsidRDefault="00DB1AEE" w:rsidP="00DB1AEE">
            <w:pPr>
              <w:widowControl w:val="0"/>
              <w:autoSpaceDE w:val="0"/>
              <w:autoSpaceDN w:val="0"/>
              <w:jc w:val="center"/>
              <w:rPr>
                <w:rFonts w:eastAsia="Calibri"/>
                <w:b/>
                <w:bCs/>
                <w:szCs w:val="24"/>
                <w:u w:val="single"/>
              </w:rPr>
            </w:pPr>
            <w:r w:rsidRPr="00DB1AEE">
              <w:rPr>
                <w:rFonts w:eastAsia="Calibri"/>
                <w:b/>
                <w:bCs/>
                <w:szCs w:val="24"/>
                <w:u w:val="single"/>
              </w:rPr>
              <w:t>Dormitory</w:t>
            </w:r>
          </w:p>
        </w:tc>
        <w:tc>
          <w:tcPr>
            <w:tcW w:w="3228" w:type="dxa"/>
            <w:shd w:val="clear" w:color="auto" w:fill="F2F2F2"/>
          </w:tcPr>
          <w:p w14:paraId="7E5FF80A" w14:textId="77777777" w:rsidR="00DB1AEE" w:rsidRPr="00DB1AEE" w:rsidRDefault="00DB1AEE" w:rsidP="00DB1AEE">
            <w:pPr>
              <w:widowControl w:val="0"/>
              <w:autoSpaceDE w:val="0"/>
              <w:autoSpaceDN w:val="0"/>
              <w:jc w:val="center"/>
              <w:rPr>
                <w:rFonts w:eastAsia="Calibri"/>
                <w:b/>
                <w:bCs/>
                <w:szCs w:val="24"/>
                <w:u w:val="single"/>
              </w:rPr>
            </w:pPr>
            <w:r w:rsidRPr="00DB1AEE">
              <w:rPr>
                <w:rFonts w:eastAsia="Calibri"/>
                <w:b/>
                <w:bCs/>
                <w:szCs w:val="24"/>
                <w:u w:val="single"/>
              </w:rPr>
              <w:t xml:space="preserve">0.52 </w:t>
            </w:r>
          </w:p>
        </w:tc>
      </w:tr>
      <w:tr w:rsidR="00DB1AEE" w:rsidRPr="00DB1AEE" w14:paraId="3527F387" w14:textId="77777777" w:rsidTr="00FC1832">
        <w:trPr>
          <w:trHeight w:val="340"/>
          <w:jc w:val="center"/>
        </w:trPr>
        <w:tc>
          <w:tcPr>
            <w:tcW w:w="2533" w:type="dxa"/>
          </w:tcPr>
          <w:p w14:paraId="30584E87" w14:textId="77777777" w:rsidR="00DB1AEE" w:rsidRPr="00DB1AEE" w:rsidRDefault="00DB1AEE" w:rsidP="00DB1AEE">
            <w:pPr>
              <w:widowControl w:val="0"/>
              <w:autoSpaceDE w:val="0"/>
              <w:autoSpaceDN w:val="0"/>
              <w:jc w:val="center"/>
              <w:rPr>
                <w:rFonts w:eastAsia="Calibri"/>
                <w:b/>
                <w:bCs/>
                <w:szCs w:val="24"/>
                <w:u w:val="single"/>
              </w:rPr>
            </w:pPr>
            <w:r w:rsidRPr="00DB1AEE">
              <w:rPr>
                <w:rFonts w:eastAsia="Calibri"/>
                <w:b/>
                <w:bCs/>
                <w:szCs w:val="24"/>
                <w:u w:val="single"/>
              </w:rPr>
              <w:t>Exercise center</w:t>
            </w:r>
          </w:p>
        </w:tc>
        <w:tc>
          <w:tcPr>
            <w:tcW w:w="3228" w:type="dxa"/>
          </w:tcPr>
          <w:p w14:paraId="46C95753" w14:textId="77777777" w:rsidR="00DB1AEE" w:rsidRPr="00DB1AEE" w:rsidRDefault="00DB1AEE" w:rsidP="00DB1AEE">
            <w:pPr>
              <w:widowControl w:val="0"/>
              <w:autoSpaceDE w:val="0"/>
              <w:autoSpaceDN w:val="0"/>
              <w:jc w:val="center"/>
              <w:rPr>
                <w:rFonts w:eastAsia="Calibri"/>
                <w:b/>
                <w:bCs/>
                <w:szCs w:val="24"/>
                <w:u w:val="single"/>
              </w:rPr>
            </w:pPr>
            <w:r w:rsidRPr="00DB1AEE">
              <w:rPr>
                <w:rFonts w:eastAsia="Calibri"/>
                <w:b/>
                <w:bCs/>
                <w:szCs w:val="24"/>
                <w:u w:val="single"/>
              </w:rPr>
              <w:t>0.65</w:t>
            </w:r>
          </w:p>
        </w:tc>
      </w:tr>
      <w:tr w:rsidR="00DB1AEE" w:rsidRPr="00DB1AEE" w14:paraId="3009EBE6" w14:textId="77777777" w:rsidTr="00FC1832">
        <w:trPr>
          <w:trHeight w:val="340"/>
          <w:jc w:val="center"/>
        </w:trPr>
        <w:tc>
          <w:tcPr>
            <w:tcW w:w="2533" w:type="dxa"/>
            <w:shd w:val="clear" w:color="auto" w:fill="F2F2F2"/>
          </w:tcPr>
          <w:p w14:paraId="58B65CDB" w14:textId="77777777" w:rsidR="00DB1AEE" w:rsidRPr="00DB1AEE" w:rsidRDefault="00DB1AEE" w:rsidP="00DB1AEE">
            <w:pPr>
              <w:widowControl w:val="0"/>
              <w:autoSpaceDE w:val="0"/>
              <w:autoSpaceDN w:val="0"/>
              <w:jc w:val="center"/>
              <w:rPr>
                <w:rFonts w:eastAsia="Calibri"/>
                <w:b/>
                <w:bCs/>
                <w:szCs w:val="24"/>
                <w:u w:val="single"/>
              </w:rPr>
            </w:pPr>
            <w:r w:rsidRPr="00DB1AEE">
              <w:rPr>
                <w:rFonts w:eastAsia="Calibri"/>
                <w:b/>
                <w:bCs/>
                <w:szCs w:val="24"/>
                <w:u w:val="single"/>
              </w:rPr>
              <w:t>Fire station</w:t>
            </w:r>
          </w:p>
        </w:tc>
        <w:tc>
          <w:tcPr>
            <w:tcW w:w="3228" w:type="dxa"/>
            <w:shd w:val="clear" w:color="auto" w:fill="F2F2F2"/>
          </w:tcPr>
          <w:p w14:paraId="67151D17" w14:textId="77777777" w:rsidR="00DB1AEE" w:rsidRPr="00DB1AEE" w:rsidRDefault="00DB1AEE" w:rsidP="00DB1AEE">
            <w:pPr>
              <w:widowControl w:val="0"/>
              <w:autoSpaceDE w:val="0"/>
              <w:autoSpaceDN w:val="0"/>
              <w:jc w:val="center"/>
              <w:rPr>
                <w:rFonts w:eastAsia="Calibri"/>
                <w:b/>
                <w:bCs/>
                <w:szCs w:val="24"/>
                <w:u w:val="single"/>
              </w:rPr>
            </w:pPr>
            <w:r w:rsidRPr="00DB1AEE">
              <w:rPr>
                <w:rFonts w:eastAsia="Calibri"/>
                <w:b/>
                <w:bCs/>
                <w:szCs w:val="24"/>
                <w:u w:val="single"/>
              </w:rPr>
              <w:t>0.50</w:t>
            </w:r>
          </w:p>
        </w:tc>
      </w:tr>
      <w:tr w:rsidR="00DB1AEE" w:rsidRPr="00DB1AEE" w14:paraId="6C766303" w14:textId="77777777" w:rsidTr="00FC1832">
        <w:trPr>
          <w:trHeight w:val="340"/>
          <w:jc w:val="center"/>
        </w:trPr>
        <w:tc>
          <w:tcPr>
            <w:tcW w:w="2533" w:type="dxa"/>
          </w:tcPr>
          <w:p w14:paraId="07ABA9A7" w14:textId="77777777" w:rsidR="00DB1AEE" w:rsidRPr="00DB1AEE" w:rsidRDefault="00DB1AEE" w:rsidP="00DB1AEE">
            <w:pPr>
              <w:widowControl w:val="0"/>
              <w:autoSpaceDE w:val="0"/>
              <w:autoSpaceDN w:val="0"/>
              <w:jc w:val="center"/>
              <w:rPr>
                <w:rFonts w:eastAsia="Calibri"/>
                <w:b/>
                <w:bCs/>
                <w:szCs w:val="24"/>
                <w:u w:val="single"/>
              </w:rPr>
            </w:pPr>
            <w:r w:rsidRPr="00DB1AEE">
              <w:rPr>
                <w:rFonts w:eastAsia="Calibri"/>
                <w:b/>
                <w:bCs/>
                <w:szCs w:val="24"/>
                <w:u w:val="single"/>
              </w:rPr>
              <w:t>Gymnasium</w:t>
            </w:r>
          </w:p>
        </w:tc>
        <w:tc>
          <w:tcPr>
            <w:tcW w:w="3228" w:type="dxa"/>
          </w:tcPr>
          <w:p w14:paraId="5F983000" w14:textId="77777777" w:rsidR="00DB1AEE" w:rsidRPr="00DB1AEE" w:rsidRDefault="00DB1AEE" w:rsidP="00DB1AEE">
            <w:pPr>
              <w:widowControl w:val="0"/>
              <w:autoSpaceDE w:val="0"/>
              <w:autoSpaceDN w:val="0"/>
              <w:jc w:val="center"/>
              <w:rPr>
                <w:rFonts w:eastAsia="Calibri"/>
                <w:b/>
                <w:bCs/>
                <w:szCs w:val="24"/>
                <w:u w:val="single"/>
              </w:rPr>
            </w:pPr>
            <w:r w:rsidRPr="00DB1AEE">
              <w:rPr>
                <w:rFonts w:eastAsia="Calibri"/>
                <w:b/>
                <w:bCs/>
                <w:szCs w:val="24"/>
                <w:u w:val="single"/>
              </w:rPr>
              <w:t>0.67</w:t>
            </w:r>
          </w:p>
        </w:tc>
      </w:tr>
      <w:tr w:rsidR="00DB1AEE" w:rsidRPr="00DB1AEE" w14:paraId="2290A8AC" w14:textId="77777777" w:rsidTr="00FC1832">
        <w:trPr>
          <w:trHeight w:val="340"/>
          <w:jc w:val="center"/>
        </w:trPr>
        <w:tc>
          <w:tcPr>
            <w:tcW w:w="2533" w:type="dxa"/>
            <w:shd w:val="clear" w:color="auto" w:fill="F2F2F2"/>
          </w:tcPr>
          <w:p w14:paraId="14C16354" w14:textId="77777777" w:rsidR="00DB1AEE" w:rsidRPr="00DB1AEE" w:rsidRDefault="00DB1AEE" w:rsidP="00DB1AEE">
            <w:pPr>
              <w:widowControl w:val="0"/>
              <w:autoSpaceDE w:val="0"/>
              <w:autoSpaceDN w:val="0"/>
              <w:jc w:val="center"/>
              <w:rPr>
                <w:rFonts w:eastAsia="Calibri"/>
                <w:b/>
                <w:bCs/>
                <w:szCs w:val="24"/>
                <w:u w:val="single"/>
              </w:rPr>
            </w:pPr>
            <w:r w:rsidRPr="00DB1AEE">
              <w:rPr>
                <w:rFonts w:eastAsia="Calibri"/>
                <w:b/>
                <w:bCs/>
                <w:szCs w:val="24"/>
                <w:u w:val="single"/>
              </w:rPr>
              <w:t>Health-care clinic</w:t>
            </w:r>
          </w:p>
        </w:tc>
        <w:tc>
          <w:tcPr>
            <w:tcW w:w="3228" w:type="dxa"/>
            <w:shd w:val="clear" w:color="auto" w:fill="F2F2F2"/>
          </w:tcPr>
          <w:p w14:paraId="5A0C3D18" w14:textId="77777777" w:rsidR="00DB1AEE" w:rsidRPr="00DB1AEE" w:rsidRDefault="00DB1AEE" w:rsidP="00DB1AEE">
            <w:pPr>
              <w:widowControl w:val="0"/>
              <w:autoSpaceDE w:val="0"/>
              <w:autoSpaceDN w:val="0"/>
              <w:jc w:val="center"/>
              <w:rPr>
                <w:rFonts w:eastAsia="Calibri"/>
                <w:b/>
                <w:bCs/>
                <w:szCs w:val="24"/>
                <w:u w:val="single"/>
              </w:rPr>
            </w:pPr>
            <w:r w:rsidRPr="00DB1AEE">
              <w:rPr>
                <w:rFonts w:eastAsia="Calibri"/>
                <w:b/>
                <w:bCs/>
                <w:szCs w:val="24"/>
                <w:u w:val="single"/>
              </w:rPr>
              <w:t>0.68</w:t>
            </w:r>
          </w:p>
        </w:tc>
      </w:tr>
      <w:tr w:rsidR="00DB1AEE" w:rsidRPr="00DB1AEE" w14:paraId="288FD0E1" w14:textId="77777777" w:rsidTr="00FC1832">
        <w:trPr>
          <w:trHeight w:val="340"/>
          <w:jc w:val="center"/>
        </w:trPr>
        <w:tc>
          <w:tcPr>
            <w:tcW w:w="2533" w:type="dxa"/>
          </w:tcPr>
          <w:p w14:paraId="22A397FE" w14:textId="77777777" w:rsidR="00DB1AEE" w:rsidRPr="00DB1AEE" w:rsidRDefault="00DB1AEE" w:rsidP="00DB1AEE">
            <w:pPr>
              <w:widowControl w:val="0"/>
              <w:autoSpaceDE w:val="0"/>
              <w:autoSpaceDN w:val="0"/>
              <w:jc w:val="center"/>
              <w:rPr>
                <w:rFonts w:eastAsia="Calibri"/>
                <w:b/>
                <w:bCs/>
                <w:szCs w:val="24"/>
                <w:u w:val="single"/>
              </w:rPr>
            </w:pPr>
            <w:r w:rsidRPr="00DB1AEE">
              <w:rPr>
                <w:rFonts w:eastAsia="Calibri"/>
                <w:b/>
                <w:bCs/>
                <w:szCs w:val="24"/>
                <w:u w:val="single"/>
              </w:rPr>
              <w:t>Hospital</w:t>
            </w:r>
          </w:p>
        </w:tc>
        <w:tc>
          <w:tcPr>
            <w:tcW w:w="3228" w:type="dxa"/>
          </w:tcPr>
          <w:p w14:paraId="790AA604" w14:textId="77777777" w:rsidR="00DB1AEE" w:rsidRPr="00DB1AEE" w:rsidRDefault="00DB1AEE" w:rsidP="00DB1AEE">
            <w:pPr>
              <w:widowControl w:val="0"/>
              <w:autoSpaceDE w:val="0"/>
              <w:autoSpaceDN w:val="0"/>
              <w:jc w:val="center"/>
              <w:rPr>
                <w:rFonts w:eastAsia="Calibri"/>
                <w:b/>
                <w:bCs/>
                <w:szCs w:val="24"/>
                <w:u w:val="single"/>
              </w:rPr>
            </w:pPr>
            <w:r w:rsidRPr="00DB1AEE">
              <w:rPr>
                <w:rFonts w:eastAsia="Calibri"/>
                <w:b/>
                <w:bCs/>
                <w:szCs w:val="24"/>
                <w:u w:val="single"/>
              </w:rPr>
              <w:t>0.86</w:t>
            </w:r>
          </w:p>
        </w:tc>
      </w:tr>
      <w:tr w:rsidR="00DB1AEE" w:rsidRPr="00DB1AEE" w14:paraId="61172E21" w14:textId="77777777" w:rsidTr="00FC1832">
        <w:trPr>
          <w:trHeight w:val="340"/>
          <w:jc w:val="center"/>
        </w:trPr>
        <w:tc>
          <w:tcPr>
            <w:tcW w:w="2533" w:type="dxa"/>
            <w:shd w:val="clear" w:color="auto" w:fill="F2F2F2"/>
          </w:tcPr>
          <w:p w14:paraId="304D1118" w14:textId="77777777" w:rsidR="00DB1AEE" w:rsidRPr="00DB1AEE" w:rsidRDefault="00DB1AEE" w:rsidP="00DB1AEE">
            <w:pPr>
              <w:widowControl w:val="0"/>
              <w:autoSpaceDE w:val="0"/>
              <w:autoSpaceDN w:val="0"/>
              <w:jc w:val="center"/>
              <w:rPr>
                <w:rFonts w:eastAsia="Calibri"/>
                <w:b/>
                <w:bCs/>
                <w:szCs w:val="24"/>
                <w:u w:val="single"/>
              </w:rPr>
            </w:pPr>
            <w:r w:rsidRPr="00DB1AEE">
              <w:rPr>
                <w:rFonts w:eastAsia="Calibri"/>
                <w:b/>
                <w:bCs/>
                <w:szCs w:val="24"/>
                <w:u w:val="single"/>
              </w:rPr>
              <w:t>Hotel/motel</w:t>
            </w:r>
          </w:p>
        </w:tc>
        <w:tc>
          <w:tcPr>
            <w:tcW w:w="3228" w:type="dxa"/>
            <w:shd w:val="clear" w:color="auto" w:fill="F2F2F2"/>
          </w:tcPr>
          <w:p w14:paraId="179598E4" w14:textId="77777777" w:rsidR="00DB1AEE" w:rsidRPr="00DB1AEE" w:rsidRDefault="00DB1AEE" w:rsidP="00DB1AEE">
            <w:pPr>
              <w:widowControl w:val="0"/>
              <w:autoSpaceDE w:val="0"/>
              <w:autoSpaceDN w:val="0"/>
              <w:jc w:val="center"/>
              <w:rPr>
                <w:rFonts w:eastAsia="Calibri"/>
                <w:b/>
                <w:bCs/>
                <w:szCs w:val="24"/>
                <w:u w:val="single"/>
              </w:rPr>
            </w:pPr>
            <w:r w:rsidRPr="00DB1AEE">
              <w:rPr>
                <w:rFonts w:eastAsia="Calibri"/>
                <w:b/>
                <w:bCs/>
                <w:szCs w:val="24"/>
                <w:u w:val="single"/>
              </w:rPr>
              <w:t xml:space="preserve">0.53 </w:t>
            </w:r>
          </w:p>
        </w:tc>
      </w:tr>
      <w:tr w:rsidR="00DB1AEE" w:rsidRPr="00DB1AEE" w14:paraId="68233B9A" w14:textId="77777777" w:rsidTr="00FC1832">
        <w:trPr>
          <w:trHeight w:val="340"/>
          <w:jc w:val="center"/>
        </w:trPr>
        <w:tc>
          <w:tcPr>
            <w:tcW w:w="2533" w:type="dxa"/>
          </w:tcPr>
          <w:p w14:paraId="515196E2" w14:textId="77777777" w:rsidR="00DB1AEE" w:rsidRPr="00DB1AEE" w:rsidRDefault="00DB1AEE" w:rsidP="00DB1AEE">
            <w:pPr>
              <w:widowControl w:val="0"/>
              <w:autoSpaceDE w:val="0"/>
              <w:autoSpaceDN w:val="0"/>
              <w:jc w:val="center"/>
              <w:rPr>
                <w:rFonts w:eastAsia="Calibri"/>
                <w:b/>
                <w:bCs/>
                <w:szCs w:val="24"/>
                <w:u w:val="single"/>
              </w:rPr>
            </w:pPr>
            <w:r w:rsidRPr="00DB1AEE">
              <w:rPr>
                <w:rFonts w:eastAsia="Calibri"/>
                <w:b/>
                <w:bCs/>
                <w:szCs w:val="24"/>
                <w:u w:val="single"/>
              </w:rPr>
              <w:t>Library</w:t>
            </w:r>
          </w:p>
        </w:tc>
        <w:tc>
          <w:tcPr>
            <w:tcW w:w="3228" w:type="dxa"/>
          </w:tcPr>
          <w:p w14:paraId="42162F59" w14:textId="77777777" w:rsidR="00DB1AEE" w:rsidRPr="00DB1AEE" w:rsidRDefault="00DB1AEE" w:rsidP="00DB1AEE">
            <w:pPr>
              <w:widowControl w:val="0"/>
              <w:autoSpaceDE w:val="0"/>
              <w:autoSpaceDN w:val="0"/>
              <w:jc w:val="center"/>
              <w:rPr>
                <w:rFonts w:eastAsia="Calibri"/>
                <w:b/>
                <w:bCs/>
                <w:szCs w:val="24"/>
                <w:u w:val="single"/>
              </w:rPr>
            </w:pPr>
            <w:r w:rsidRPr="00DB1AEE">
              <w:rPr>
                <w:rFonts w:eastAsia="Calibri"/>
                <w:b/>
                <w:bCs/>
                <w:szCs w:val="24"/>
                <w:u w:val="single"/>
              </w:rPr>
              <w:t>0.78</w:t>
            </w:r>
          </w:p>
        </w:tc>
      </w:tr>
      <w:tr w:rsidR="00DB1AEE" w:rsidRPr="00DB1AEE" w14:paraId="0B8046FC" w14:textId="77777777" w:rsidTr="00FC1832">
        <w:trPr>
          <w:trHeight w:val="340"/>
          <w:jc w:val="center"/>
        </w:trPr>
        <w:tc>
          <w:tcPr>
            <w:tcW w:w="2533" w:type="dxa"/>
            <w:shd w:val="clear" w:color="auto" w:fill="F2F2F2"/>
          </w:tcPr>
          <w:p w14:paraId="2AB26DB8" w14:textId="77777777" w:rsidR="00DB1AEE" w:rsidRPr="00DB1AEE" w:rsidRDefault="00DB1AEE" w:rsidP="00DB1AEE">
            <w:pPr>
              <w:widowControl w:val="0"/>
              <w:autoSpaceDE w:val="0"/>
              <w:autoSpaceDN w:val="0"/>
              <w:jc w:val="center"/>
              <w:rPr>
                <w:rFonts w:eastAsia="Calibri"/>
                <w:b/>
                <w:bCs/>
                <w:szCs w:val="24"/>
                <w:u w:val="single"/>
              </w:rPr>
            </w:pPr>
            <w:r w:rsidRPr="00DB1AEE">
              <w:rPr>
                <w:rFonts w:eastAsia="Calibri"/>
                <w:b/>
                <w:bCs/>
                <w:szCs w:val="24"/>
                <w:u w:val="single"/>
              </w:rPr>
              <w:t>Manufacturing facility</w:t>
            </w:r>
          </w:p>
        </w:tc>
        <w:tc>
          <w:tcPr>
            <w:tcW w:w="3228" w:type="dxa"/>
            <w:shd w:val="clear" w:color="auto" w:fill="F2F2F2"/>
          </w:tcPr>
          <w:p w14:paraId="1A27FF77" w14:textId="77777777" w:rsidR="00DB1AEE" w:rsidRPr="00DB1AEE" w:rsidRDefault="00DB1AEE" w:rsidP="00DB1AEE">
            <w:pPr>
              <w:widowControl w:val="0"/>
              <w:autoSpaceDE w:val="0"/>
              <w:autoSpaceDN w:val="0"/>
              <w:jc w:val="center"/>
              <w:rPr>
                <w:rFonts w:eastAsia="Calibri"/>
                <w:b/>
                <w:bCs/>
                <w:szCs w:val="24"/>
                <w:u w:val="single"/>
              </w:rPr>
            </w:pPr>
            <w:r w:rsidRPr="00DB1AEE">
              <w:rPr>
                <w:rFonts w:eastAsia="Calibri"/>
                <w:b/>
                <w:bCs/>
                <w:szCs w:val="24"/>
                <w:u w:val="single"/>
              </w:rPr>
              <w:t>0.60</w:t>
            </w:r>
          </w:p>
        </w:tc>
      </w:tr>
      <w:tr w:rsidR="00DB1AEE" w:rsidRPr="00DB1AEE" w14:paraId="648487F1" w14:textId="77777777" w:rsidTr="00FC1832">
        <w:trPr>
          <w:trHeight w:val="340"/>
          <w:jc w:val="center"/>
        </w:trPr>
        <w:tc>
          <w:tcPr>
            <w:tcW w:w="2533" w:type="dxa"/>
          </w:tcPr>
          <w:p w14:paraId="532FE15A" w14:textId="77777777" w:rsidR="00DB1AEE" w:rsidRPr="00DB1AEE" w:rsidRDefault="00DB1AEE" w:rsidP="00DB1AEE">
            <w:pPr>
              <w:widowControl w:val="0"/>
              <w:autoSpaceDE w:val="0"/>
              <w:autoSpaceDN w:val="0"/>
              <w:jc w:val="center"/>
              <w:rPr>
                <w:rFonts w:eastAsia="Calibri"/>
                <w:b/>
                <w:bCs/>
                <w:szCs w:val="24"/>
                <w:u w:val="single"/>
              </w:rPr>
            </w:pPr>
            <w:r w:rsidRPr="00DB1AEE">
              <w:rPr>
                <w:rFonts w:eastAsia="Calibri"/>
                <w:b/>
                <w:bCs/>
                <w:szCs w:val="24"/>
                <w:u w:val="single"/>
              </w:rPr>
              <w:t>Motion picture theater</w:t>
            </w:r>
          </w:p>
        </w:tc>
        <w:tc>
          <w:tcPr>
            <w:tcW w:w="3228" w:type="dxa"/>
          </w:tcPr>
          <w:p w14:paraId="6EE50F30" w14:textId="77777777" w:rsidR="00DB1AEE" w:rsidRPr="00DB1AEE" w:rsidRDefault="00DB1AEE" w:rsidP="00DB1AEE">
            <w:pPr>
              <w:widowControl w:val="0"/>
              <w:autoSpaceDE w:val="0"/>
              <w:autoSpaceDN w:val="0"/>
              <w:jc w:val="center"/>
              <w:rPr>
                <w:rFonts w:eastAsia="Calibri"/>
                <w:b/>
                <w:bCs/>
                <w:szCs w:val="24"/>
                <w:u w:val="single"/>
              </w:rPr>
            </w:pPr>
            <w:r w:rsidRPr="00DB1AEE">
              <w:rPr>
                <w:rFonts w:eastAsia="Calibri"/>
                <w:b/>
                <w:bCs/>
                <w:szCs w:val="24"/>
                <w:u w:val="single"/>
              </w:rPr>
              <w:t xml:space="preserve">0.43 </w:t>
            </w:r>
          </w:p>
        </w:tc>
      </w:tr>
      <w:tr w:rsidR="00DB1AEE" w:rsidRPr="00DB1AEE" w14:paraId="61649524" w14:textId="77777777" w:rsidTr="00FC1832">
        <w:trPr>
          <w:trHeight w:val="340"/>
          <w:jc w:val="center"/>
        </w:trPr>
        <w:tc>
          <w:tcPr>
            <w:tcW w:w="2533" w:type="dxa"/>
            <w:shd w:val="clear" w:color="auto" w:fill="F2F2F2"/>
          </w:tcPr>
          <w:p w14:paraId="4B600AC8" w14:textId="77777777" w:rsidR="00DB1AEE" w:rsidRPr="00DB1AEE" w:rsidRDefault="00DB1AEE" w:rsidP="00DB1AEE">
            <w:pPr>
              <w:widowControl w:val="0"/>
              <w:autoSpaceDE w:val="0"/>
              <w:autoSpaceDN w:val="0"/>
              <w:jc w:val="center"/>
              <w:rPr>
                <w:rFonts w:eastAsia="Calibri"/>
                <w:b/>
                <w:bCs/>
                <w:szCs w:val="24"/>
                <w:u w:val="single"/>
              </w:rPr>
            </w:pPr>
            <w:r w:rsidRPr="00DB1AEE">
              <w:rPr>
                <w:rFonts w:eastAsia="Calibri"/>
                <w:b/>
                <w:bCs/>
                <w:szCs w:val="24"/>
                <w:u w:val="single"/>
              </w:rPr>
              <w:t>Multifamily</w:t>
            </w:r>
          </w:p>
        </w:tc>
        <w:tc>
          <w:tcPr>
            <w:tcW w:w="3228" w:type="dxa"/>
            <w:shd w:val="clear" w:color="auto" w:fill="F2F2F2"/>
          </w:tcPr>
          <w:p w14:paraId="3E8A7984" w14:textId="77777777" w:rsidR="00DB1AEE" w:rsidRPr="00DB1AEE" w:rsidRDefault="00DB1AEE" w:rsidP="00DB1AEE">
            <w:pPr>
              <w:widowControl w:val="0"/>
              <w:autoSpaceDE w:val="0"/>
              <w:autoSpaceDN w:val="0"/>
              <w:jc w:val="center"/>
              <w:rPr>
                <w:rFonts w:eastAsia="Calibri"/>
                <w:b/>
                <w:bCs/>
                <w:szCs w:val="24"/>
                <w:u w:val="single"/>
              </w:rPr>
            </w:pPr>
            <w:r w:rsidRPr="00DB1AEE">
              <w:rPr>
                <w:rFonts w:eastAsia="Calibri"/>
                <w:b/>
                <w:bCs/>
                <w:szCs w:val="24"/>
                <w:u w:val="single"/>
              </w:rPr>
              <w:t xml:space="preserve">0.46 </w:t>
            </w:r>
          </w:p>
        </w:tc>
      </w:tr>
      <w:tr w:rsidR="00DB1AEE" w:rsidRPr="00DB1AEE" w14:paraId="57B4E11A" w14:textId="77777777" w:rsidTr="00FC1832">
        <w:trPr>
          <w:trHeight w:val="340"/>
          <w:jc w:val="center"/>
        </w:trPr>
        <w:tc>
          <w:tcPr>
            <w:tcW w:w="2533" w:type="dxa"/>
          </w:tcPr>
          <w:p w14:paraId="6ABA7E43" w14:textId="77777777" w:rsidR="00DB1AEE" w:rsidRPr="00DB1AEE" w:rsidRDefault="00DB1AEE" w:rsidP="00DB1AEE">
            <w:pPr>
              <w:widowControl w:val="0"/>
              <w:autoSpaceDE w:val="0"/>
              <w:autoSpaceDN w:val="0"/>
              <w:jc w:val="center"/>
              <w:rPr>
                <w:rFonts w:eastAsia="Calibri"/>
                <w:b/>
                <w:bCs/>
                <w:szCs w:val="24"/>
                <w:u w:val="single"/>
              </w:rPr>
            </w:pPr>
            <w:r w:rsidRPr="00DB1AEE">
              <w:rPr>
                <w:rFonts w:eastAsia="Calibri"/>
                <w:b/>
                <w:bCs/>
                <w:szCs w:val="24"/>
                <w:u w:val="single"/>
              </w:rPr>
              <w:t>Museum</w:t>
            </w:r>
          </w:p>
        </w:tc>
        <w:tc>
          <w:tcPr>
            <w:tcW w:w="3228" w:type="dxa"/>
          </w:tcPr>
          <w:p w14:paraId="0F8AB7AB" w14:textId="77777777" w:rsidR="00DB1AEE" w:rsidRPr="00DB1AEE" w:rsidRDefault="00DB1AEE" w:rsidP="00DB1AEE">
            <w:pPr>
              <w:widowControl w:val="0"/>
              <w:autoSpaceDE w:val="0"/>
              <w:autoSpaceDN w:val="0"/>
              <w:jc w:val="center"/>
              <w:rPr>
                <w:rFonts w:eastAsia="Calibri"/>
                <w:b/>
                <w:bCs/>
                <w:szCs w:val="24"/>
                <w:u w:val="single"/>
              </w:rPr>
            </w:pPr>
            <w:r w:rsidRPr="00DB1AEE">
              <w:rPr>
                <w:rFonts w:eastAsia="Calibri"/>
                <w:b/>
                <w:bCs/>
                <w:szCs w:val="24"/>
                <w:u w:val="single"/>
              </w:rPr>
              <w:t xml:space="preserve">0.56 </w:t>
            </w:r>
          </w:p>
        </w:tc>
      </w:tr>
      <w:tr w:rsidR="00DB1AEE" w:rsidRPr="00DB1AEE" w14:paraId="70D92EAB" w14:textId="77777777" w:rsidTr="00FC1832">
        <w:trPr>
          <w:trHeight w:val="340"/>
          <w:jc w:val="center"/>
        </w:trPr>
        <w:tc>
          <w:tcPr>
            <w:tcW w:w="2533" w:type="dxa"/>
            <w:shd w:val="clear" w:color="auto" w:fill="F2F2F2"/>
          </w:tcPr>
          <w:p w14:paraId="512C954F" w14:textId="77777777" w:rsidR="00DB1AEE" w:rsidRPr="00DB1AEE" w:rsidRDefault="00DB1AEE" w:rsidP="00DB1AEE">
            <w:pPr>
              <w:widowControl w:val="0"/>
              <w:autoSpaceDE w:val="0"/>
              <w:autoSpaceDN w:val="0"/>
              <w:jc w:val="center"/>
              <w:rPr>
                <w:rFonts w:eastAsia="Calibri"/>
                <w:b/>
                <w:bCs/>
                <w:szCs w:val="24"/>
                <w:u w:val="single"/>
              </w:rPr>
            </w:pPr>
            <w:r w:rsidRPr="00DB1AEE">
              <w:rPr>
                <w:rFonts w:eastAsia="Calibri"/>
                <w:b/>
                <w:bCs/>
                <w:szCs w:val="24"/>
                <w:u w:val="single"/>
              </w:rPr>
              <w:t>Office</w:t>
            </w:r>
          </w:p>
        </w:tc>
        <w:tc>
          <w:tcPr>
            <w:tcW w:w="3228" w:type="dxa"/>
            <w:shd w:val="clear" w:color="auto" w:fill="F2F2F2"/>
          </w:tcPr>
          <w:p w14:paraId="3668E2FF" w14:textId="77777777" w:rsidR="00DB1AEE" w:rsidRPr="00DB1AEE" w:rsidRDefault="00DB1AEE" w:rsidP="00DB1AEE">
            <w:pPr>
              <w:widowControl w:val="0"/>
              <w:autoSpaceDE w:val="0"/>
              <w:autoSpaceDN w:val="0"/>
              <w:jc w:val="center"/>
              <w:rPr>
                <w:rFonts w:eastAsia="Calibri"/>
                <w:b/>
                <w:bCs/>
                <w:szCs w:val="24"/>
                <w:u w:val="single"/>
              </w:rPr>
            </w:pPr>
            <w:r w:rsidRPr="00DB1AEE">
              <w:rPr>
                <w:rFonts w:eastAsia="Calibri"/>
                <w:b/>
                <w:bCs/>
                <w:szCs w:val="24"/>
                <w:u w:val="single"/>
              </w:rPr>
              <w:t xml:space="preserve">0.62 </w:t>
            </w:r>
          </w:p>
        </w:tc>
      </w:tr>
      <w:tr w:rsidR="00DB1AEE" w:rsidRPr="00DB1AEE" w14:paraId="26DFAB15" w14:textId="77777777" w:rsidTr="00FC1832">
        <w:trPr>
          <w:trHeight w:val="340"/>
          <w:jc w:val="center"/>
        </w:trPr>
        <w:tc>
          <w:tcPr>
            <w:tcW w:w="2533" w:type="dxa"/>
          </w:tcPr>
          <w:p w14:paraId="56E054C0" w14:textId="77777777" w:rsidR="00DB1AEE" w:rsidRPr="00DB1AEE" w:rsidRDefault="00DB1AEE" w:rsidP="00DB1AEE">
            <w:pPr>
              <w:widowControl w:val="0"/>
              <w:autoSpaceDE w:val="0"/>
              <w:autoSpaceDN w:val="0"/>
              <w:jc w:val="center"/>
              <w:rPr>
                <w:rFonts w:eastAsia="Calibri"/>
                <w:b/>
                <w:bCs/>
                <w:szCs w:val="24"/>
                <w:u w:val="single"/>
              </w:rPr>
            </w:pPr>
            <w:r w:rsidRPr="00DB1AEE">
              <w:rPr>
                <w:rFonts w:eastAsia="Calibri"/>
                <w:b/>
                <w:bCs/>
                <w:szCs w:val="24"/>
                <w:u w:val="single"/>
              </w:rPr>
              <w:t>Parking garage</w:t>
            </w:r>
          </w:p>
        </w:tc>
        <w:tc>
          <w:tcPr>
            <w:tcW w:w="3228" w:type="dxa"/>
          </w:tcPr>
          <w:p w14:paraId="772022B0" w14:textId="77777777" w:rsidR="00DB1AEE" w:rsidRPr="00DB1AEE" w:rsidRDefault="00DB1AEE" w:rsidP="00DB1AEE">
            <w:pPr>
              <w:widowControl w:val="0"/>
              <w:autoSpaceDE w:val="0"/>
              <w:autoSpaceDN w:val="0"/>
              <w:jc w:val="center"/>
              <w:rPr>
                <w:rFonts w:eastAsia="Calibri"/>
                <w:b/>
                <w:bCs/>
                <w:szCs w:val="24"/>
                <w:u w:val="single"/>
              </w:rPr>
            </w:pPr>
            <w:r w:rsidRPr="00DB1AEE">
              <w:rPr>
                <w:rFonts w:eastAsia="Calibri"/>
                <w:b/>
                <w:bCs/>
                <w:szCs w:val="24"/>
                <w:u w:val="single"/>
              </w:rPr>
              <w:t>0.12</w:t>
            </w:r>
          </w:p>
        </w:tc>
      </w:tr>
      <w:tr w:rsidR="00DB1AEE" w:rsidRPr="00DB1AEE" w14:paraId="4345D97B" w14:textId="77777777" w:rsidTr="00FC1832">
        <w:trPr>
          <w:trHeight w:val="340"/>
          <w:jc w:val="center"/>
        </w:trPr>
        <w:tc>
          <w:tcPr>
            <w:tcW w:w="2533" w:type="dxa"/>
            <w:shd w:val="clear" w:color="auto" w:fill="F2F2F2"/>
          </w:tcPr>
          <w:p w14:paraId="6DB302E4" w14:textId="77777777" w:rsidR="00DB1AEE" w:rsidRPr="00DB1AEE" w:rsidRDefault="00DB1AEE" w:rsidP="00DB1AEE">
            <w:pPr>
              <w:widowControl w:val="0"/>
              <w:autoSpaceDE w:val="0"/>
              <w:autoSpaceDN w:val="0"/>
              <w:jc w:val="center"/>
              <w:rPr>
                <w:rFonts w:eastAsia="Calibri"/>
                <w:b/>
                <w:bCs/>
                <w:szCs w:val="24"/>
                <w:u w:val="single"/>
              </w:rPr>
            </w:pPr>
            <w:r w:rsidRPr="00DB1AEE">
              <w:rPr>
                <w:rFonts w:eastAsia="Calibri"/>
                <w:b/>
                <w:bCs/>
                <w:szCs w:val="24"/>
                <w:u w:val="single"/>
              </w:rPr>
              <w:t>Penitentiary</w:t>
            </w:r>
          </w:p>
        </w:tc>
        <w:tc>
          <w:tcPr>
            <w:tcW w:w="3228" w:type="dxa"/>
            <w:shd w:val="clear" w:color="auto" w:fill="F2F2F2"/>
          </w:tcPr>
          <w:p w14:paraId="0782E2DC" w14:textId="77777777" w:rsidR="00DB1AEE" w:rsidRPr="00DB1AEE" w:rsidRDefault="00DB1AEE" w:rsidP="00DB1AEE">
            <w:pPr>
              <w:widowControl w:val="0"/>
              <w:autoSpaceDE w:val="0"/>
              <w:autoSpaceDN w:val="0"/>
              <w:jc w:val="center"/>
              <w:rPr>
                <w:rFonts w:eastAsia="Calibri"/>
                <w:b/>
                <w:bCs/>
                <w:szCs w:val="24"/>
                <w:u w:val="single"/>
              </w:rPr>
            </w:pPr>
            <w:r w:rsidRPr="00DB1AEE">
              <w:rPr>
                <w:rFonts w:eastAsia="Calibri"/>
                <w:b/>
                <w:bCs/>
                <w:szCs w:val="24"/>
                <w:u w:val="single"/>
              </w:rPr>
              <w:t xml:space="preserve">0.65 </w:t>
            </w:r>
          </w:p>
        </w:tc>
      </w:tr>
      <w:tr w:rsidR="00DB1AEE" w:rsidRPr="00DB1AEE" w14:paraId="17B7BCF0" w14:textId="77777777" w:rsidTr="00FC1832">
        <w:trPr>
          <w:trHeight w:val="340"/>
          <w:jc w:val="center"/>
        </w:trPr>
        <w:tc>
          <w:tcPr>
            <w:tcW w:w="2533" w:type="dxa"/>
          </w:tcPr>
          <w:p w14:paraId="69B50911" w14:textId="77777777" w:rsidR="00DB1AEE" w:rsidRPr="00DB1AEE" w:rsidRDefault="00DB1AEE" w:rsidP="00DB1AEE">
            <w:pPr>
              <w:widowControl w:val="0"/>
              <w:autoSpaceDE w:val="0"/>
              <w:autoSpaceDN w:val="0"/>
              <w:jc w:val="center"/>
              <w:rPr>
                <w:rFonts w:eastAsia="Calibri"/>
                <w:b/>
                <w:bCs/>
                <w:szCs w:val="24"/>
                <w:u w:val="single"/>
              </w:rPr>
            </w:pPr>
            <w:r w:rsidRPr="00DB1AEE">
              <w:rPr>
                <w:rFonts w:eastAsia="Calibri"/>
                <w:b/>
                <w:bCs/>
                <w:szCs w:val="24"/>
                <w:u w:val="single"/>
              </w:rPr>
              <w:t>Performing arts theater</w:t>
            </w:r>
          </w:p>
        </w:tc>
        <w:tc>
          <w:tcPr>
            <w:tcW w:w="3228" w:type="dxa"/>
          </w:tcPr>
          <w:p w14:paraId="6129B2A8" w14:textId="77777777" w:rsidR="00DB1AEE" w:rsidRPr="00DB1AEE" w:rsidRDefault="00DB1AEE" w:rsidP="00DB1AEE">
            <w:pPr>
              <w:widowControl w:val="0"/>
              <w:autoSpaceDE w:val="0"/>
              <w:autoSpaceDN w:val="0"/>
              <w:jc w:val="center"/>
              <w:rPr>
                <w:rFonts w:eastAsia="Calibri"/>
                <w:b/>
                <w:bCs/>
                <w:szCs w:val="24"/>
                <w:u w:val="single"/>
              </w:rPr>
            </w:pPr>
            <w:r w:rsidRPr="00DB1AEE">
              <w:rPr>
                <w:rFonts w:eastAsia="Calibri"/>
                <w:b/>
                <w:bCs/>
                <w:szCs w:val="24"/>
                <w:u w:val="single"/>
              </w:rPr>
              <w:t xml:space="preserve">0.82 </w:t>
            </w:r>
          </w:p>
        </w:tc>
      </w:tr>
      <w:tr w:rsidR="00DB1AEE" w:rsidRPr="00DB1AEE" w14:paraId="1DBD58C1" w14:textId="77777777" w:rsidTr="00FC1832">
        <w:trPr>
          <w:trHeight w:val="340"/>
          <w:jc w:val="center"/>
        </w:trPr>
        <w:tc>
          <w:tcPr>
            <w:tcW w:w="2533" w:type="dxa"/>
            <w:shd w:val="clear" w:color="auto" w:fill="F2F2F2"/>
          </w:tcPr>
          <w:p w14:paraId="7ED7F7DC" w14:textId="77777777" w:rsidR="00DB1AEE" w:rsidRPr="00DB1AEE" w:rsidRDefault="00DB1AEE" w:rsidP="00DB1AEE">
            <w:pPr>
              <w:widowControl w:val="0"/>
              <w:autoSpaceDE w:val="0"/>
              <w:autoSpaceDN w:val="0"/>
              <w:jc w:val="center"/>
              <w:rPr>
                <w:rFonts w:eastAsia="Calibri"/>
                <w:b/>
                <w:bCs/>
                <w:szCs w:val="24"/>
                <w:u w:val="single"/>
              </w:rPr>
            </w:pPr>
            <w:r w:rsidRPr="00DB1AEE">
              <w:rPr>
                <w:rFonts w:eastAsia="Calibri"/>
                <w:b/>
                <w:bCs/>
                <w:szCs w:val="24"/>
                <w:u w:val="single"/>
              </w:rPr>
              <w:t>Police station</w:t>
            </w:r>
          </w:p>
        </w:tc>
        <w:tc>
          <w:tcPr>
            <w:tcW w:w="3228" w:type="dxa"/>
            <w:shd w:val="clear" w:color="auto" w:fill="F2F2F2"/>
          </w:tcPr>
          <w:p w14:paraId="3E4CA75C" w14:textId="77777777" w:rsidR="00DB1AEE" w:rsidRPr="00DB1AEE" w:rsidRDefault="00DB1AEE" w:rsidP="00DB1AEE">
            <w:pPr>
              <w:widowControl w:val="0"/>
              <w:autoSpaceDE w:val="0"/>
              <w:autoSpaceDN w:val="0"/>
              <w:jc w:val="center"/>
              <w:rPr>
                <w:rFonts w:eastAsia="Calibri"/>
                <w:b/>
                <w:bCs/>
                <w:szCs w:val="24"/>
                <w:u w:val="single"/>
              </w:rPr>
            </w:pPr>
            <w:r w:rsidRPr="00DB1AEE">
              <w:rPr>
                <w:rFonts w:eastAsia="Calibri"/>
                <w:b/>
                <w:bCs/>
                <w:szCs w:val="24"/>
                <w:u w:val="single"/>
              </w:rPr>
              <w:t xml:space="preserve">0.62 </w:t>
            </w:r>
          </w:p>
        </w:tc>
      </w:tr>
      <w:tr w:rsidR="00DB1AEE" w:rsidRPr="00DB1AEE" w14:paraId="42F8F74C" w14:textId="77777777" w:rsidTr="00FC1832">
        <w:trPr>
          <w:trHeight w:val="340"/>
          <w:jc w:val="center"/>
        </w:trPr>
        <w:tc>
          <w:tcPr>
            <w:tcW w:w="2533" w:type="dxa"/>
          </w:tcPr>
          <w:p w14:paraId="04029FE9" w14:textId="77777777" w:rsidR="00DB1AEE" w:rsidRPr="00DB1AEE" w:rsidRDefault="00DB1AEE" w:rsidP="00DB1AEE">
            <w:pPr>
              <w:widowControl w:val="0"/>
              <w:autoSpaceDE w:val="0"/>
              <w:autoSpaceDN w:val="0"/>
              <w:jc w:val="center"/>
              <w:rPr>
                <w:rFonts w:eastAsia="Calibri"/>
                <w:b/>
                <w:bCs/>
                <w:szCs w:val="24"/>
                <w:u w:val="single"/>
              </w:rPr>
            </w:pPr>
            <w:r w:rsidRPr="00DB1AEE">
              <w:rPr>
                <w:rFonts w:eastAsia="Calibri"/>
                <w:b/>
                <w:bCs/>
                <w:szCs w:val="24"/>
                <w:u w:val="single"/>
              </w:rPr>
              <w:t>Post office</w:t>
            </w:r>
          </w:p>
        </w:tc>
        <w:tc>
          <w:tcPr>
            <w:tcW w:w="3228" w:type="dxa"/>
          </w:tcPr>
          <w:p w14:paraId="73BD5F2B" w14:textId="77777777" w:rsidR="00DB1AEE" w:rsidRPr="00DB1AEE" w:rsidRDefault="00DB1AEE" w:rsidP="00DB1AEE">
            <w:pPr>
              <w:widowControl w:val="0"/>
              <w:autoSpaceDE w:val="0"/>
              <w:autoSpaceDN w:val="0"/>
              <w:jc w:val="center"/>
              <w:rPr>
                <w:rFonts w:eastAsia="Calibri"/>
                <w:b/>
                <w:bCs/>
                <w:szCs w:val="24"/>
                <w:u w:val="single"/>
              </w:rPr>
            </w:pPr>
            <w:r w:rsidRPr="00DB1AEE">
              <w:rPr>
                <w:rFonts w:eastAsia="Calibri"/>
                <w:b/>
                <w:bCs/>
                <w:szCs w:val="24"/>
                <w:u w:val="single"/>
              </w:rPr>
              <w:t>0.62</w:t>
            </w:r>
          </w:p>
        </w:tc>
      </w:tr>
      <w:tr w:rsidR="00DB1AEE" w:rsidRPr="00DB1AEE" w14:paraId="3F0E326A" w14:textId="77777777" w:rsidTr="00FC1832">
        <w:trPr>
          <w:trHeight w:val="340"/>
          <w:jc w:val="center"/>
        </w:trPr>
        <w:tc>
          <w:tcPr>
            <w:tcW w:w="2533" w:type="dxa"/>
            <w:shd w:val="clear" w:color="auto" w:fill="F2F2F2"/>
          </w:tcPr>
          <w:p w14:paraId="6433F00E" w14:textId="77777777" w:rsidR="00DB1AEE" w:rsidRPr="00DB1AEE" w:rsidRDefault="00DB1AEE" w:rsidP="00DB1AEE">
            <w:pPr>
              <w:widowControl w:val="0"/>
              <w:autoSpaceDE w:val="0"/>
              <w:autoSpaceDN w:val="0"/>
              <w:jc w:val="center"/>
              <w:rPr>
                <w:rFonts w:eastAsia="Calibri"/>
                <w:b/>
                <w:bCs/>
                <w:szCs w:val="24"/>
                <w:u w:val="single"/>
              </w:rPr>
            </w:pPr>
            <w:r w:rsidRPr="00DB1AEE">
              <w:rPr>
                <w:rFonts w:eastAsia="Calibri"/>
                <w:b/>
                <w:bCs/>
                <w:szCs w:val="24"/>
                <w:u w:val="single"/>
              </w:rPr>
              <w:t>Religious facility</w:t>
            </w:r>
          </w:p>
        </w:tc>
        <w:tc>
          <w:tcPr>
            <w:tcW w:w="3228" w:type="dxa"/>
            <w:shd w:val="clear" w:color="auto" w:fill="F2F2F2"/>
          </w:tcPr>
          <w:p w14:paraId="378D33EF" w14:textId="77777777" w:rsidR="00DB1AEE" w:rsidRPr="00DB1AEE" w:rsidRDefault="00DB1AEE" w:rsidP="00DB1AEE">
            <w:pPr>
              <w:widowControl w:val="0"/>
              <w:autoSpaceDE w:val="0"/>
              <w:autoSpaceDN w:val="0"/>
              <w:jc w:val="center"/>
              <w:rPr>
                <w:rFonts w:eastAsia="Calibri"/>
                <w:b/>
                <w:bCs/>
                <w:szCs w:val="24"/>
                <w:u w:val="single"/>
              </w:rPr>
            </w:pPr>
            <w:r w:rsidRPr="00DB1AEE">
              <w:rPr>
                <w:rFonts w:eastAsia="Calibri"/>
                <w:b/>
                <w:bCs/>
                <w:szCs w:val="24"/>
                <w:u w:val="single"/>
              </w:rPr>
              <w:t xml:space="preserve">0.66 </w:t>
            </w:r>
          </w:p>
        </w:tc>
      </w:tr>
      <w:tr w:rsidR="00DB1AEE" w:rsidRPr="00DB1AEE" w14:paraId="305A25F3" w14:textId="77777777" w:rsidTr="00FC1832">
        <w:trPr>
          <w:trHeight w:val="340"/>
          <w:jc w:val="center"/>
        </w:trPr>
        <w:tc>
          <w:tcPr>
            <w:tcW w:w="2533" w:type="dxa"/>
          </w:tcPr>
          <w:p w14:paraId="1EB0D724" w14:textId="77777777" w:rsidR="00DB1AEE" w:rsidRPr="00DB1AEE" w:rsidRDefault="00DB1AEE" w:rsidP="00DB1AEE">
            <w:pPr>
              <w:widowControl w:val="0"/>
              <w:autoSpaceDE w:val="0"/>
              <w:autoSpaceDN w:val="0"/>
              <w:jc w:val="center"/>
              <w:rPr>
                <w:rFonts w:eastAsia="Calibri"/>
                <w:b/>
                <w:bCs/>
                <w:szCs w:val="24"/>
                <w:u w:val="single"/>
              </w:rPr>
            </w:pPr>
            <w:r w:rsidRPr="00DB1AEE">
              <w:rPr>
                <w:rFonts w:eastAsia="Calibri"/>
                <w:b/>
                <w:bCs/>
                <w:szCs w:val="24"/>
                <w:u w:val="single"/>
              </w:rPr>
              <w:t>Retail</w:t>
            </w:r>
          </w:p>
        </w:tc>
        <w:tc>
          <w:tcPr>
            <w:tcW w:w="3228" w:type="dxa"/>
          </w:tcPr>
          <w:p w14:paraId="013A3043" w14:textId="77777777" w:rsidR="00DB1AEE" w:rsidRPr="00DB1AEE" w:rsidRDefault="00DB1AEE" w:rsidP="00DB1AEE">
            <w:pPr>
              <w:widowControl w:val="0"/>
              <w:autoSpaceDE w:val="0"/>
              <w:autoSpaceDN w:val="0"/>
              <w:jc w:val="center"/>
              <w:rPr>
                <w:rFonts w:eastAsia="Calibri"/>
                <w:b/>
                <w:bCs/>
                <w:szCs w:val="24"/>
                <w:u w:val="single"/>
              </w:rPr>
            </w:pPr>
            <w:r w:rsidRPr="00DB1AEE">
              <w:rPr>
                <w:rFonts w:eastAsia="Calibri"/>
                <w:b/>
                <w:bCs/>
                <w:szCs w:val="24"/>
                <w:u w:val="single"/>
              </w:rPr>
              <w:t xml:space="preserve">0.78 </w:t>
            </w:r>
          </w:p>
        </w:tc>
      </w:tr>
      <w:tr w:rsidR="00DB1AEE" w:rsidRPr="00DB1AEE" w14:paraId="726ABF8A" w14:textId="77777777" w:rsidTr="00FC1832">
        <w:trPr>
          <w:trHeight w:val="340"/>
          <w:jc w:val="center"/>
        </w:trPr>
        <w:tc>
          <w:tcPr>
            <w:tcW w:w="2533" w:type="dxa"/>
            <w:shd w:val="clear" w:color="auto" w:fill="F2F2F2"/>
          </w:tcPr>
          <w:p w14:paraId="0D6EAA2E" w14:textId="77777777" w:rsidR="00DB1AEE" w:rsidRPr="00DB1AEE" w:rsidRDefault="00DB1AEE" w:rsidP="00DB1AEE">
            <w:pPr>
              <w:widowControl w:val="0"/>
              <w:autoSpaceDE w:val="0"/>
              <w:autoSpaceDN w:val="0"/>
              <w:jc w:val="center"/>
              <w:rPr>
                <w:rFonts w:eastAsia="Calibri"/>
                <w:b/>
                <w:bCs/>
                <w:szCs w:val="24"/>
                <w:u w:val="single"/>
              </w:rPr>
            </w:pPr>
            <w:r w:rsidRPr="00DB1AEE">
              <w:rPr>
                <w:rFonts w:eastAsia="Calibri"/>
                <w:b/>
                <w:bCs/>
                <w:szCs w:val="24"/>
                <w:u w:val="single"/>
              </w:rPr>
              <w:t>School/university</w:t>
            </w:r>
          </w:p>
        </w:tc>
        <w:tc>
          <w:tcPr>
            <w:tcW w:w="3228" w:type="dxa"/>
            <w:shd w:val="clear" w:color="auto" w:fill="F2F2F2"/>
          </w:tcPr>
          <w:p w14:paraId="69836FF3" w14:textId="77777777" w:rsidR="00DB1AEE" w:rsidRPr="00DB1AEE" w:rsidRDefault="00DB1AEE" w:rsidP="00DB1AEE">
            <w:pPr>
              <w:widowControl w:val="0"/>
              <w:autoSpaceDE w:val="0"/>
              <w:autoSpaceDN w:val="0"/>
              <w:jc w:val="center"/>
              <w:rPr>
                <w:rFonts w:eastAsia="Calibri"/>
                <w:b/>
                <w:bCs/>
                <w:szCs w:val="24"/>
                <w:u w:val="single"/>
              </w:rPr>
            </w:pPr>
            <w:r w:rsidRPr="00DB1AEE">
              <w:rPr>
                <w:rFonts w:eastAsia="Calibri"/>
                <w:b/>
                <w:bCs/>
                <w:szCs w:val="24"/>
                <w:u w:val="single"/>
              </w:rPr>
              <w:t>0.67</w:t>
            </w:r>
          </w:p>
        </w:tc>
      </w:tr>
      <w:tr w:rsidR="00DB1AEE" w:rsidRPr="00DB1AEE" w14:paraId="3881D986" w14:textId="77777777" w:rsidTr="00FC1832">
        <w:trPr>
          <w:trHeight w:val="340"/>
          <w:jc w:val="center"/>
        </w:trPr>
        <w:tc>
          <w:tcPr>
            <w:tcW w:w="2533" w:type="dxa"/>
          </w:tcPr>
          <w:p w14:paraId="0442F5D7" w14:textId="77777777" w:rsidR="00DB1AEE" w:rsidRPr="00DB1AEE" w:rsidRDefault="00DB1AEE" w:rsidP="00DB1AEE">
            <w:pPr>
              <w:widowControl w:val="0"/>
              <w:autoSpaceDE w:val="0"/>
              <w:autoSpaceDN w:val="0"/>
              <w:jc w:val="center"/>
              <w:rPr>
                <w:rFonts w:eastAsia="Calibri"/>
                <w:b/>
                <w:bCs/>
                <w:szCs w:val="24"/>
                <w:u w:val="single"/>
              </w:rPr>
            </w:pPr>
            <w:r w:rsidRPr="00DB1AEE">
              <w:rPr>
                <w:rFonts w:eastAsia="Calibri"/>
                <w:b/>
                <w:bCs/>
                <w:szCs w:val="24"/>
                <w:u w:val="single"/>
              </w:rPr>
              <w:t>Sports arena</w:t>
            </w:r>
          </w:p>
        </w:tc>
        <w:tc>
          <w:tcPr>
            <w:tcW w:w="3228" w:type="dxa"/>
          </w:tcPr>
          <w:p w14:paraId="17DDF161" w14:textId="77777777" w:rsidR="00DB1AEE" w:rsidRPr="00DB1AEE" w:rsidRDefault="00DB1AEE" w:rsidP="00DB1AEE">
            <w:pPr>
              <w:widowControl w:val="0"/>
              <w:autoSpaceDE w:val="0"/>
              <w:autoSpaceDN w:val="0"/>
              <w:jc w:val="center"/>
              <w:rPr>
                <w:rFonts w:eastAsia="Calibri"/>
                <w:b/>
                <w:bCs/>
                <w:szCs w:val="24"/>
                <w:u w:val="single"/>
              </w:rPr>
            </w:pPr>
            <w:r w:rsidRPr="00DB1AEE">
              <w:rPr>
                <w:rFonts w:eastAsia="Calibri"/>
                <w:b/>
                <w:bCs/>
                <w:szCs w:val="24"/>
                <w:u w:val="single"/>
              </w:rPr>
              <w:t xml:space="preserve">0.73 </w:t>
            </w:r>
          </w:p>
        </w:tc>
      </w:tr>
      <w:tr w:rsidR="00DB1AEE" w:rsidRPr="00DB1AEE" w14:paraId="64083EF5" w14:textId="77777777" w:rsidTr="00FC1832">
        <w:trPr>
          <w:trHeight w:val="340"/>
          <w:jc w:val="center"/>
        </w:trPr>
        <w:tc>
          <w:tcPr>
            <w:tcW w:w="2533" w:type="dxa"/>
            <w:shd w:val="clear" w:color="auto" w:fill="F2F2F2"/>
          </w:tcPr>
          <w:p w14:paraId="6882C7DD" w14:textId="77777777" w:rsidR="00DB1AEE" w:rsidRPr="00DB1AEE" w:rsidRDefault="00DB1AEE" w:rsidP="00DB1AEE">
            <w:pPr>
              <w:widowControl w:val="0"/>
              <w:autoSpaceDE w:val="0"/>
              <w:autoSpaceDN w:val="0"/>
              <w:jc w:val="center"/>
              <w:rPr>
                <w:rFonts w:eastAsia="Calibri"/>
                <w:b/>
                <w:bCs/>
                <w:szCs w:val="24"/>
                <w:u w:val="single"/>
              </w:rPr>
            </w:pPr>
            <w:r w:rsidRPr="00DB1AEE">
              <w:rPr>
                <w:rFonts w:eastAsia="Calibri"/>
                <w:b/>
                <w:bCs/>
                <w:szCs w:val="24"/>
                <w:u w:val="single"/>
              </w:rPr>
              <w:t>Town hall</w:t>
            </w:r>
          </w:p>
        </w:tc>
        <w:tc>
          <w:tcPr>
            <w:tcW w:w="3228" w:type="dxa"/>
            <w:shd w:val="clear" w:color="auto" w:fill="F2F2F2"/>
          </w:tcPr>
          <w:p w14:paraId="7C3A4F7C" w14:textId="77777777" w:rsidR="00DB1AEE" w:rsidRPr="00DB1AEE" w:rsidRDefault="00DB1AEE" w:rsidP="00DB1AEE">
            <w:pPr>
              <w:widowControl w:val="0"/>
              <w:autoSpaceDE w:val="0"/>
              <w:autoSpaceDN w:val="0"/>
              <w:jc w:val="center"/>
              <w:rPr>
                <w:rFonts w:eastAsia="Calibri"/>
                <w:b/>
                <w:bCs/>
                <w:szCs w:val="24"/>
                <w:u w:val="single"/>
              </w:rPr>
            </w:pPr>
            <w:r w:rsidRPr="00DB1AEE">
              <w:rPr>
                <w:rFonts w:eastAsia="Calibri"/>
                <w:b/>
                <w:bCs/>
                <w:szCs w:val="24"/>
                <w:u w:val="single"/>
              </w:rPr>
              <w:t xml:space="preserve">0.67 </w:t>
            </w:r>
          </w:p>
        </w:tc>
      </w:tr>
      <w:tr w:rsidR="00DB1AEE" w:rsidRPr="00DB1AEE" w14:paraId="24D8359A" w14:textId="77777777" w:rsidTr="00FC1832">
        <w:trPr>
          <w:trHeight w:val="340"/>
          <w:jc w:val="center"/>
        </w:trPr>
        <w:tc>
          <w:tcPr>
            <w:tcW w:w="2533" w:type="dxa"/>
          </w:tcPr>
          <w:p w14:paraId="2B642109" w14:textId="77777777" w:rsidR="00DB1AEE" w:rsidRPr="00DB1AEE" w:rsidRDefault="00DB1AEE" w:rsidP="00DB1AEE">
            <w:pPr>
              <w:widowControl w:val="0"/>
              <w:autoSpaceDE w:val="0"/>
              <w:autoSpaceDN w:val="0"/>
              <w:jc w:val="center"/>
              <w:rPr>
                <w:rFonts w:eastAsia="Calibri"/>
                <w:b/>
                <w:bCs/>
                <w:szCs w:val="24"/>
                <w:u w:val="single"/>
              </w:rPr>
            </w:pPr>
            <w:r w:rsidRPr="00DB1AEE">
              <w:rPr>
                <w:rFonts w:eastAsia="Calibri"/>
                <w:b/>
                <w:bCs/>
                <w:szCs w:val="24"/>
                <w:u w:val="single"/>
              </w:rPr>
              <w:t>Transportation</w:t>
            </w:r>
          </w:p>
        </w:tc>
        <w:tc>
          <w:tcPr>
            <w:tcW w:w="3228" w:type="dxa"/>
          </w:tcPr>
          <w:p w14:paraId="3B541C8E" w14:textId="77777777" w:rsidR="00DB1AEE" w:rsidRPr="00DB1AEE" w:rsidRDefault="00DB1AEE" w:rsidP="00DB1AEE">
            <w:pPr>
              <w:widowControl w:val="0"/>
              <w:autoSpaceDE w:val="0"/>
              <w:autoSpaceDN w:val="0"/>
              <w:jc w:val="center"/>
              <w:rPr>
                <w:rFonts w:eastAsia="Calibri"/>
                <w:b/>
                <w:bCs/>
                <w:szCs w:val="24"/>
                <w:u w:val="single"/>
              </w:rPr>
            </w:pPr>
            <w:r w:rsidRPr="00DB1AEE">
              <w:rPr>
                <w:rFonts w:eastAsia="Calibri"/>
                <w:b/>
                <w:bCs/>
                <w:szCs w:val="24"/>
                <w:u w:val="single"/>
              </w:rPr>
              <w:t>0.51</w:t>
            </w:r>
          </w:p>
        </w:tc>
      </w:tr>
      <w:tr w:rsidR="00DB1AEE" w:rsidRPr="00DB1AEE" w14:paraId="5EEF463F" w14:textId="77777777" w:rsidTr="00FC1832">
        <w:trPr>
          <w:trHeight w:val="340"/>
          <w:jc w:val="center"/>
        </w:trPr>
        <w:tc>
          <w:tcPr>
            <w:tcW w:w="2533" w:type="dxa"/>
            <w:shd w:val="clear" w:color="auto" w:fill="F2F2F2"/>
          </w:tcPr>
          <w:p w14:paraId="158D0966" w14:textId="77777777" w:rsidR="00DB1AEE" w:rsidRPr="00DB1AEE" w:rsidRDefault="00DB1AEE" w:rsidP="00DB1AEE">
            <w:pPr>
              <w:widowControl w:val="0"/>
              <w:autoSpaceDE w:val="0"/>
              <w:autoSpaceDN w:val="0"/>
              <w:jc w:val="center"/>
              <w:rPr>
                <w:rFonts w:eastAsia="Calibri"/>
                <w:b/>
                <w:bCs/>
                <w:szCs w:val="24"/>
                <w:u w:val="single"/>
              </w:rPr>
            </w:pPr>
            <w:r w:rsidRPr="00DB1AEE">
              <w:rPr>
                <w:rFonts w:eastAsia="Calibri"/>
                <w:b/>
                <w:bCs/>
                <w:szCs w:val="24"/>
                <w:u w:val="single"/>
              </w:rPr>
              <w:t>Warehouse</w:t>
            </w:r>
          </w:p>
        </w:tc>
        <w:tc>
          <w:tcPr>
            <w:tcW w:w="3228" w:type="dxa"/>
            <w:shd w:val="clear" w:color="auto" w:fill="F2F2F2"/>
          </w:tcPr>
          <w:p w14:paraId="5EAE4739" w14:textId="77777777" w:rsidR="00DB1AEE" w:rsidRPr="00DB1AEE" w:rsidRDefault="00DB1AEE" w:rsidP="00DB1AEE">
            <w:pPr>
              <w:widowControl w:val="0"/>
              <w:autoSpaceDE w:val="0"/>
              <w:autoSpaceDN w:val="0"/>
              <w:jc w:val="center"/>
              <w:rPr>
                <w:rFonts w:eastAsia="Calibri"/>
                <w:b/>
                <w:bCs/>
                <w:szCs w:val="24"/>
                <w:u w:val="single"/>
              </w:rPr>
            </w:pPr>
            <w:r w:rsidRPr="00DB1AEE">
              <w:rPr>
                <w:rFonts w:eastAsia="Calibri"/>
                <w:b/>
                <w:bCs/>
                <w:szCs w:val="24"/>
                <w:u w:val="single"/>
              </w:rPr>
              <w:t>0.41</w:t>
            </w:r>
          </w:p>
        </w:tc>
      </w:tr>
      <w:tr w:rsidR="00DB1AEE" w:rsidRPr="00DB1AEE" w14:paraId="35B576C6" w14:textId="77777777" w:rsidTr="00FC1832">
        <w:trPr>
          <w:trHeight w:val="340"/>
          <w:jc w:val="center"/>
        </w:trPr>
        <w:tc>
          <w:tcPr>
            <w:tcW w:w="2533" w:type="dxa"/>
            <w:tcBorders>
              <w:top w:val="double" w:sz="4" w:space="0" w:color="BFBFBF"/>
            </w:tcBorders>
          </w:tcPr>
          <w:p w14:paraId="1C66D859" w14:textId="77777777" w:rsidR="00DB1AEE" w:rsidRPr="00DB1AEE" w:rsidRDefault="00DB1AEE" w:rsidP="00DB1AEE">
            <w:pPr>
              <w:widowControl w:val="0"/>
              <w:autoSpaceDE w:val="0"/>
              <w:autoSpaceDN w:val="0"/>
              <w:jc w:val="center"/>
              <w:rPr>
                <w:rFonts w:eastAsia="Calibri"/>
                <w:b/>
                <w:bCs/>
                <w:szCs w:val="24"/>
                <w:u w:val="single"/>
              </w:rPr>
            </w:pPr>
            <w:r w:rsidRPr="00DB1AEE">
              <w:rPr>
                <w:rFonts w:eastAsia="Calibri"/>
                <w:b/>
                <w:bCs/>
                <w:szCs w:val="24"/>
                <w:u w:val="single"/>
              </w:rPr>
              <w:t>Workshop</w:t>
            </w:r>
          </w:p>
        </w:tc>
        <w:tc>
          <w:tcPr>
            <w:tcW w:w="3228" w:type="dxa"/>
            <w:tcBorders>
              <w:top w:val="double" w:sz="4" w:space="0" w:color="BFBFBF"/>
            </w:tcBorders>
          </w:tcPr>
          <w:p w14:paraId="308692AB" w14:textId="77777777" w:rsidR="00DB1AEE" w:rsidRPr="00DB1AEE" w:rsidRDefault="00DB1AEE" w:rsidP="00DB1AEE">
            <w:pPr>
              <w:widowControl w:val="0"/>
              <w:autoSpaceDE w:val="0"/>
              <w:autoSpaceDN w:val="0"/>
              <w:jc w:val="center"/>
              <w:rPr>
                <w:rFonts w:eastAsia="Calibri"/>
                <w:b/>
                <w:bCs/>
                <w:szCs w:val="24"/>
                <w:u w:val="single"/>
              </w:rPr>
            </w:pPr>
            <w:r w:rsidRPr="00DB1AEE">
              <w:rPr>
                <w:rFonts w:eastAsia="Calibri"/>
                <w:b/>
                <w:bCs/>
                <w:szCs w:val="24"/>
                <w:u w:val="single"/>
              </w:rPr>
              <w:t>0.83</w:t>
            </w:r>
          </w:p>
        </w:tc>
      </w:tr>
    </w:tbl>
    <w:p w14:paraId="0D9A5CCE" w14:textId="77777777" w:rsidR="00DB1AEE" w:rsidRPr="00DB1AEE" w:rsidRDefault="00DB1AEE" w:rsidP="00DB1AEE">
      <w:pPr>
        <w:suppressAutoHyphens/>
        <w:ind w:hanging="159"/>
        <w:jc w:val="left"/>
        <w:rPr>
          <w:szCs w:val="24"/>
        </w:rPr>
      </w:pPr>
      <w:r w:rsidRPr="00DB1AEE">
        <w:rPr>
          <w:szCs w:val="24"/>
          <w:u w:val="single"/>
        </w:rPr>
        <w:t>a.</w:t>
      </w:r>
      <w:r w:rsidRPr="00DB1AEE">
        <w:rPr>
          <w:spacing w:val="-3"/>
          <w:szCs w:val="24"/>
          <w:u w:val="single"/>
        </w:rPr>
        <w:t xml:space="preserve"> </w:t>
      </w:r>
      <w:r w:rsidRPr="00DB1AEE">
        <w:rPr>
          <w:szCs w:val="24"/>
          <w:u w:val="single"/>
        </w:rPr>
        <w:t>In</w:t>
      </w:r>
      <w:r w:rsidRPr="00DB1AEE">
        <w:rPr>
          <w:spacing w:val="-14"/>
          <w:szCs w:val="24"/>
          <w:u w:val="single"/>
        </w:rPr>
        <w:t xml:space="preserve"> </w:t>
      </w:r>
      <w:r w:rsidRPr="00DB1AEE">
        <w:rPr>
          <w:szCs w:val="24"/>
          <w:u w:val="single"/>
        </w:rPr>
        <w:t>cases</w:t>
      </w:r>
      <w:r w:rsidRPr="00DB1AEE">
        <w:rPr>
          <w:spacing w:val="-13"/>
          <w:szCs w:val="24"/>
          <w:u w:val="single"/>
        </w:rPr>
        <w:t xml:space="preserve"> </w:t>
      </w:r>
      <w:r w:rsidRPr="00DB1AEE">
        <w:rPr>
          <w:szCs w:val="24"/>
          <w:u w:val="single"/>
        </w:rPr>
        <w:t>where</w:t>
      </w:r>
      <w:r w:rsidRPr="00DB1AEE">
        <w:rPr>
          <w:spacing w:val="-14"/>
          <w:szCs w:val="24"/>
          <w:u w:val="single"/>
        </w:rPr>
        <w:t xml:space="preserve"> </w:t>
      </w:r>
      <w:r w:rsidRPr="00DB1AEE">
        <w:rPr>
          <w:szCs w:val="24"/>
          <w:u w:val="single"/>
        </w:rPr>
        <w:t>both</w:t>
      </w:r>
      <w:r w:rsidRPr="00DB1AEE">
        <w:rPr>
          <w:spacing w:val="-14"/>
          <w:szCs w:val="24"/>
          <w:u w:val="single"/>
        </w:rPr>
        <w:t xml:space="preserve"> </w:t>
      </w:r>
      <w:r w:rsidRPr="00DB1AEE">
        <w:rPr>
          <w:szCs w:val="24"/>
          <w:u w:val="single"/>
        </w:rPr>
        <w:t>a</w:t>
      </w:r>
      <w:r w:rsidRPr="00DB1AEE">
        <w:rPr>
          <w:spacing w:val="-14"/>
          <w:szCs w:val="24"/>
          <w:u w:val="single"/>
        </w:rPr>
        <w:t xml:space="preserve"> </w:t>
      </w:r>
      <w:r w:rsidRPr="00DB1AEE">
        <w:rPr>
          <w:szCs w:val="24"/>
          <w:u w:val="single"/>
        </w:rPr>
        <w:t>general</w:t>
      </w:r>
      <w:r w:rsidRPr="00DB1AEE">
        <w:rPr>
          <w:spacing w:val="-13"/>
          <w:szCs w:val="24"/>
          <w:u w:val="single"/>
        </w:rPr>
        <w:t xml:space="preserve"> </w:t>
      </w:r>
      <w:r w:rsidRPr="00DB1AEE">
        <w:rPr>
          <w:i/>
          <w:szCs w:val="24"/>
          <w:u w:val="single"/>
        </w:rPr>
        <w:t>building</w:t>
      </w:r>
      <w:r w:rsidRPr="00DB1AEE">
        <w:rPr>
          <w:i/>
          <w:spacing w:val="-14"/>
          <w:szCs w:val="24"/>
          <w:u w:val="single"/>
        </w:rPr>
        <w:t xml:space="preserve"> </w:t>
      </w:r>
      <w:r w:rsidRPr="00DB1AEE">
        <w:rPr>
          <w:szCs w:val="24"/>
          <w:u w:val="single"/>
        </w:rPr>
        <w:t>area</w:t>
      </w:r>
      <w:r w:rsidRPr="00DB1AEE">
        <w:rPr>
          <w:spacing w:val="-14"/>
          <w:szCs w:val="24"/>
          <w:u w:val="single"/>
        </w:rPr>
        <w:t xml:space="preserve"> </w:t>
      </w:r>
      <w:r w:rsidRPr="00DB1AEE">
        <w:rPr>
          <w:szCs w:val="24"/>
          <w:u w:val="single"/>
        </w:rPr>
        <w:t>type</w:t>
      </w:r>
      <w:r w:rsidRPr="00DB1AEE">
        <w:rPr>
          <w:spacing w:val="-14"/>
          <w:szCs w:val="24"/>
          <w:u w:val="single"/>
        </w:rPr>
        <w:t xml:space="preserve"> </w:t>
      </w:r>
      <w:r w:rsidRPr="00DB1AEE">
        <w:rPr>
          <w:szCs w:val="24"/>
          <w:u w:val="single"/>
        </w:rPr>
        <w:t>and</w:t>
      </w:r>
      <w:r w:rsidRPr="00DB1AEE">
        <w:rPr>
          <w:spacing w:val="-13"/>
          <w:szCs w:val="24"/>
          <w:u w:val="single"/>
        </w:rPr>
        <w:t xml:space="preserve"> </w:t>
      </w:r>
      <w:r w:rsidRPr="00DB1AEE">
        <w:rPr>
          <w:szCs w:val="24"/>
          <w:u w:val="single"/>
        </w:rPr>
        <w:t>a</w:t>
      </w:r>
      <w:r w:rsidRPr="00DB1AEE">
        <w:rPr>
          <w:spacing w:val="-14"/>
          <w:szCs w:val="24"/>
          <w:u w:val="single"/>
        </w:rPr>
        <w:t xml:space="preserve"> </w:t>
      </w:r>
      <w:r w:rsidRPr="00DB1AEE">
        <w:rPr>
          <w:szCs w:val="24"/>
          <w:u w:val="single"/>
        </w:rPr>
        <w:t>specific</w:t>
      </w:r>
      <w:r w:rsidRPr="00DB1AEE">
        <w:rPr>
          <w:spacing w:val="-14"/>
          <w:szCs w:val="24"/>
          <w:u w:val="single"/>
        </w:rPr>
        <w:t xml:space="preserve"> </w:t>
      </w:r>
      <w:r w:rsidRPr="00DB1AEE">
        <w:rPr>
          <w:i/>
          <w:szCs w:val="24"/>
          <w:u w:val="single"/>
        </w:rPr>
        <w:t>building</w:t>
      </w:r>
      <w:r w:rsidRPr="00DB1AEE">
        <w:rPr>
          <w:i/>
          <w:spacing w:val="-13"/>
          <w:szCs w:val="24"/>
          <w:u w:val="single"/>
        </w:rPr>
        <w:t xml:space="preserve"> </w:t>
      </w:r>
      <w:r w:rsidRPr="00DB1AEE">
        <w:rPr>
          <w:szCs w:val="24"/>
          <w:u w:val="single"/>
        </w:rPr>
        <w:t>area</w:t>
      </w:r>
      <w:r w:rsidRPr="00DB1AEE">
        <w:rPr>
          <w:spacing w:val="-14"/>
          <w:szCs w:val="24"/>
          <w:u w:val="single"/>
        </w:rPr>
        <w:t xml:space="preserve"> </w:t>
      </w:r>
      <w:r w:rsidRPr="00DB1AEE">
        <w:rPr>
          <w:szCs w:val="24"/>
          <w:u w:val="single"/>
        </w:rPr>
        <w:t>type</w:t>
      </w:r>
      <w:r w:rsidRPr="00DB1AEE">
        <w:rPr>
          <w:spacing w:val="-13"/>
          <w:szCs w:val="24"/>
          <w:u w:val="single"/>
        </w:rPr>
        <w:t xml:space="preserve"> </w:t>
      </w:r>
      <w:r w:rsidRPr="00DB1AEE">
        <w:rPr>
          <w:szCs w:val="24"/>
          <w:u w:val="single"/>
        </w:rPr>
        <w:t>are</w:t>
      </w:r>
      <w:r w:rsidRPr="00DB1AEE">
        <w:rPr>
          <w:spacing w:val="-14"/>
          <w:szCs w:val="24"/>
          <w:u w:val="single"/>
        </w:rPr>
        <w:t xml:space="preserve"> </w:t>
      </w:r>
      <w:r w:rsidRPr="00DB1AEE">
        <w:rPr>
          <w:szCs w:val="24"/>
          <w:u w:val="single"/>
        </w:rPr>
        <w:t xml:space="preserve">listed, the specific </w:t>
      </w:r>
      <w:r w:rsidRPr="00DB1AEE">
        <w:rPr>
          <w:i/>
          <w:szCs w:val="24"/>
          <w:u w:val="single"/>
        </w:rPr>
        <w:t xml:space="preserve">building </w:t>
      </w:r>
      <w:r w:rsidRPr="00DB1AEE">
        <w:rPr>
          <w:szCs w:val="24"/>
          <w:u w:val="single"/>
        </w:rPr>
        <w:t>area type shall</w:t>
      </w:r>
      <w:r w:rsidRPr="00DB1AEE">
        <w:rPr>
          <w:spacing w:val="-7"/>
          <w:szCs w:val="24"/>
          <w:u w:val="single"/>
        </w:rPr>
        <w:t xml:space="preserve"> </w:t>
      </w:r>
      <w:r w:rsidRPr="00DB1AEE">
        <w:rPr>
          <w:szCs w:val="24"/>
          <w:u w:val="single"/>
        </w:rPr>
        <w:t>apply</w:t>
      </w:r>
      <w:r w:rsidRPr="00DB1AEE">
        <w:rPr>
          <w:szCs w:val="24"/>
        </w:rPr>
        <w:t>.</w:t>
      </w:r>
    </w:p>
    <w:p w14:paraId="75E6FA43" w14:textId="77777777" w:rsidR="00DB1AEE" w:rsidRPr="00DB1AEE" w:rsidRDefault="00DB1AEE" w:rsidP="00DB1AEE">
      <w:pPr>
        <w:suppressAutoHyphens/>
        <w:ind w:hanging="159"/>
        <w:jc w:val="left"/>
        <w:rPr>
          <w:szCs w:val="24"/>
          <w:u w:val="single"/>
        </w:rPr>
      </w:pPr>
      <w:r w:rsidRPr="00DB1AEE">
        <w:rPr>
          <w:szCs w:val="24"/>
          <w:u w:val="single"/>
        </w:rPr>
        <w:t>b.</w:t>
      </w:r>
      <w:r w:rsidRPr="00DB1AEE">
        <w:rPr>
          <w:szCs w:val="24"/>
          <w:u w:val="single"/>
        </w:rPr>
        <w:tab/>
        <w:t>Neither the area of the dwelling units nor the wattage of lighting in the dwelling units is counted</w:t>
      </w:r>
    </w:p>
    <w:p w14:paraId="391BDBB8" w14:textId="77777777" w:rsidR="00DB1AEE" w:rsidRPr="00DB1AEE" w:rsidRDefault="00DB1AEE" w:rsidP="00DB1AEE">
      <w:pPr>
        <w:widowControl w:val="0"/>
        <w:suppressAutoHyphens/>
        <w:spacing w:before="130" w:after="130"/>
        <w:jc w:val="left"/>
        <w:rPr>
          <w:b/>
          <w:bCs/>
          <w:u w:val="single"/>
        </w:rPr>
      </w:pPr>
      <w:r w:rsidRPr="00DB1AEE">
        <w:rPr>
          <w:b/>
          <w:bCs/>
          <w:u w:val="single"/>
        </w:rPr>
        <w:t>Section 9.5.2.1 Space-by-Space Method of Calculating Interior Lighting Power Allowance.</w:t>
      </w:r>
    </w:p>
    <w:p w14:paraId="7CC8F396" w14:textId="77777777" w:rsidR="00DB1AEE" w:rsidRPr="00DB1AEE" w:rsidRDefault="00DB1AEE" w:rsidP="00DB1AEE">
      <w:pPr>
        <w:widowControl w:val="0"/>
        <w:suppressAutoHyphens/>
        <w:spacing w:before="130" w:after="130"/>
        <w:jc w:val="left"/>
        <w:rPr>
          <w:b/>
          <w:bCs/>
          <w:u w:val="single"/>
        </w:rPr>
      </w:pPr>
      <w:r w:rsidRPr="00DB1AEE">
        <w:rPr>
          <w:u w:val="single"/>
        </w:rPr>
        <w:t>Section 9.5.2.1 – Revise Item “c”  from Section 9.5.2.1 to read as follows:</w:t>
      </w:r>
    </w:p>
    <w:p w14:paraId="4435C837" w14:textId="77777777" w:rsidR="00DB1AEE" w:rsidRPr="00DB1AEE" w:rsidRDefault="00DB1AEE" w:rsidP="00DB1AEE">
      <w:pPr>
        <w:widowControl w:val="0"/>
        <w:suppressAutoHyphens/>
        <w:spacing w:before="130" w:after="130"/>
        <w:ind w:left="648" w:hanging="288"/>
        <w:jc w:val="left"/>
        <w:rPr>
          <w:u w:val="single"/>
        </w:rPr>
      </w:pPr>
      <w:r w:rsidRPr="00DB1AEE">
        <w:rPr>
          <w:u w:val="single"/>
        </w:rPr>
        <w:t>c. Based on the space type selected for each space or subspace, determine the lighting power allowance of each space or subspace by multiplying the calculated area of the space or subspace by the appropriate LPD allowance determined in Section 9.6.1(a). For space types not listed, selection of a reasonable equivalent category shall be permitted. Where a building has unfinished spaces, the lighting power allowance for the unfinished spaces shall be the total connected lighting power for those spaces, or 0.2 watts per square foot, whichever is less.</w:t>
      </w:r>
    </w:p>
    <w:p w14:paraId="5E4EB03C" w14:textId="77777777" w:rsidR="00DB1AEE" w:rsidRPr="00DB1AEE" w:rsidRDefault="00DB1AEE" w:rsidP="00DB1AEE">
      <w:pPr>
        <w:widowControl w:val="0"/>
        <w:suppressAutoHyphens/>
        <w:spacing w:before="130" w:after="130"/>
        <w:jc w:val="left"/>
        <w:rPr>
          <w:b/>
          <w:bCs/>
          <w:u w:val="single"/>
        </w:rPr>
      </w:pPr>
      <w:r w:rsidRPr="00DB1AEE">
        <w:rPr>
          <w:b/>
          <w:bCs/>
          <w:u w:val="single"/>
        </w:rPr>
        <w:t>Table 9.5.2.1-1 Space-by-Space Lighting Power Density Allowances and Minimum Control Requirements Using Either Method.</w:t>
      </w:r>
    </w:p>
    <w:p w14:paraId="0BCBC7DD" w14:textId="77777777" w:rsidR="00DB1AEE" w:rsidRPr="00DB1AEE" w:rsidRDefault="00DB1AEE" w:rsidP="00DB1AEE">
      <w:pPr>
        <w:widowControl w:val="0"/>
        <w:suppressAutoHyphens/>
        <w:spacing w:before="130" w:after="130"/>
        <w:jc w:val="left"/>
        <w:rPr>
          <w:u w:val="single"/>
        </w:rPr>
      </w:pPr>
      <w:r w:rsidRPr="00DB1AEE">
        <w:rPr>
          <w:u w:val="single"/>
        </w:rPr>
        <w:t>Table 9.5.2.1-1 – Revise Table 9.5.2.1-1 to read as follows:</w:t>
      </w:r>
    </w:p>
    <w:p w14:paraId="23BF2980" w14:textId="77777777" w:rsidR="00DB1AEE" w:rsidRPr="00DB1AEE" w:rsidRDefault="00DB1AEE" w:rsidP="00DB1AEE">
      <w:pPr>
        <w:widowControl w:val="0"/>
        <w:suppressAutoHyphens/>
        <w:spacing w:before="130" w:after="130"/>
        <w:jc w:val="left"/>
        <w:rPr>
          <w:b/>
          <w:bCs/>
          <w:u w:val="single"/>
        </w:rPr>
      </w:pPr>
    </w:p>
    <w:p w14:paraId="77A7E086" w14:textId="77777777" w:rsidR="00DB1AEE" w:rsidRPr="00DB1AEE" w:rsidRDefault="00DB1AEE" w:rsidP="00DB1AEE">
      <w:pPr>
        <w:jc w:val="left"/>
        <w:rPr>
          <w:b/>
          <w:bCs/>
          <w:u w:val="single"/>
        </w:rPr>
        <w:sectPr w:rsidR="00DB1AEE" w:rsidRPr="00DB1AEE" w:rsidSect="00DB1AEE">
          <w:footerReference w:type="default" r:id="rId97"/>
          <w:footerReference w:type="first" r:id="rId98"/>
          <w:type w:val="continuous"/>
          <w:pgSz w:w="12240" w:h="15840" w:code="1"/>
          <w:pgMar w:top="1440" w:right="1440" w:bottom="965" w:left="1440" w:header="1440" w:footer="965" w:gutter="0"/>
          <w:lnNumType w:countBy="1"/>
          <w:cols w:space="720"/>
          <w:noEndnote/>
          <w:titlePg/>
          <w:docGrid w:linePitch="326"/>
        </w:sectPr>
      </w:pPr>
      <w:r w:rsidRPr="00DB1AEE">
        <w:rPr>
          <w:b/>
          <w:bCs/>
          <w:u w:val="single"/>
        </w:rPr>
        <w:t>Table 9.5.2.1-1 Space-by-Space Lighting Power Density Allowances and Minimum Control Requirements Using Either Method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9"/>
        <w:gridCol w:w="548"/>
        <w:gridCol w:w="548"/>
        <w:gridCol w:w="966"/>
        <w:gridCol w:w="885"/>
        <w:gridCol w:w="894"/>
        <w:gridCol w:w="875"/>
        <w:gridCol w:w="956"/>
        <w:gridCol w:w="1089"/>
        <w:gridCol w:w="1042"/>
        <w:gridCol w:w="966"/>
        <w:gridCol w:w="951"/>
        <w:gridCol w:w="966"/>
      </w:tblGrid>
      <w:tr w:rsidR="00DB1AEE" w:rsidRPr="00DB1AEE" w14:paraId="0ACB8B66" w14:textId="77777777" w:rsidTr="00FC1832">
        <w:trPr>
          <w:trHeight w:val="1039"/>
          <w:jc w:val="center"/>
        </w:trPr>
        <w:tc>
          <w:tcPr>
            <w:tcW w:w="0" w:type="auto"/>
            <w:gridSpan w:val="4"/>
            <w:vAlign w:val="center"/>
            <w:hideMark/>
          </w:tcPr>
          <w:p w14:paraId="7E5D6A63" w14:textId="77777777" w:rsidR="00DB1AEE" w:rsidRPr="00DB1AEE" w:rsidRDefault="00DB1AEE" w:rsidP="00DB1AEE">
            <w:pPr>
              <w:suppressAutoHyphens/>
              <w:jc w:val="center"/>
              <w:rPr>
                <w:b/>
                <w:bCs/>
                <w:sz w:val="18"/>
                <w:szCs w:val="18"/>
                <w:u w:val="single"/>
              </w:rPr>
            </w:pPr>
            <w:r w:rsidRPr="00DB1AEE">
              <w:rPr>
                <w:b/>
                <w:bCs/>
                <w:i/>
                <w:iCs/>
                <w:sz w:val="18"/>
                <w:szCs w:val="18"/>
                <w:u w:val="single"/>
              </w:rPr>
              <w:t xml:space="preserve">Informative Note: </w:t>
            </w:r>
            <w:r w:rsidRPr="00DB1AEE">
              <w:rPr>
                <w:b/>
                <w:bCs/>
                <w:sz w:val="18"/>
                <w:szCs w:val="18"/>
                <w:u w:val="single"/>
              </w:rPr>
              <w:t xml:space="preserve">This table is divided into two sections; this first section covers </w:t>
            </w:r>
            <w:r w:rsidRPr="00DB1AEE">
              <w:rPr>
                <w:b/>
                <w:bCs/>
                <w:i/>
                <w:iCs/>
                <w:sz w:val="18"/>
                <w:szCs w:val="18"/>
                <w:u w:val="single"/>
              </w:rPr>
              <w:t xml:space="preserve">space </w:t>
            </w:r>
            <w:r w:rsidRPr="00DB1AEE">
              <w:rPr>
                <w:b/>
                <w:bCs/>
                <w:sz w:val="18"/>
                <w:szCs w:val="18"/>
                <w:u w:val="single"/>
              </w:rPr>
              <w:t xml:space="preserve">types that can be commonly found in multiple </w:t>
            </w:r>
            <w:r w:rsidRPr="00DB1AEE">
              <w:rPr>
                <w:b/>
                <w:bCs/>
                <w:i/>
                <w:iCs/>
                <w:sz w:val="18"/>
                <w:szCs w:val="18"/>
                <w:u w:val="single"/>
              </w:rPr>
              <w:t xml:space="preserve">building </w:t>
            </w:r>
            <w:r w:rsidRPr="00DB1AEE">
              <w:rPr>
                <w:b/>
                <w:bCs/>
                <w:sz w:val="18"/>
                <w:szCs w:val="18"/>
                <w:u w:val="single"/>
              </w:rPr>
              <w:t xml:space="preserve">types. The second part of this table covers </w:t>
            </w:r>
            <w:r w:rsidRPr="00DB1AEE">
              <w:rPr>
                <w:b/>
                <w:bCs/>
                <w:i/>
                <w:iCs/>
                <w:sz w:val="18"/>
                <w:szCs w:val="18"/>
                <w:u w:val="single"/>
              </w:rPr>
              <w:t xml:space="preserve">space </w:t>
            </w:r>
            <w:r w:rsidRPr="00DB1AEE">
              <w:rPr>
                <w:b/>
                <w:bCs/>
                <w:sz w:val="18"/>
                <w:szCs w:val="18"/>
                <w:u w:val="single"/>
              </w:rPr>
              <w:t xml:space="preserve">types that are typically found in a single </w:t>
            </w:r>
            <w:r w:rsidRPr="00DB1AEE">
              <w:rPr>
                <w:b/>
                <w:bCs/>
                <w:i/>
                <w:iCs/>
                <w:sz w:val="18"/>
                <w:szCs w:val="18"/>
                <w:u w:val="single"/>
              </w:rPr>
              <w:t xml:space="preserve">building </w:t>
            </w:r>
            <w:r w:rsidRPr="00DB1AEE">
              <w:rPr>
                <w:b/>
                <w:bCs/>
                <w:sz w:val="18"/>
                <w:szCs w:val="18"/>
                <w:u w:val="single"/>
              </w:rPr>
              <w:t>type.</w:t>
            </w:r>
          </w:p>
          <w:p w14:paraId="60C765F4" w14:textId="77777777" w:rsidR="00DB1AEE" w:rsidRPr="00DB1AEE" w:rsidRDefault="00DB1AEE" w:rsidP="00DB1AEE">
            <w:pPr>
              <w:suppressAutoHyphens/>
              <w:jc w:val="center"/>
              <w:rPr>
                <w:sz w:val="18"/>
                <w:szCs w:val="18"/>
                <w:u w:val="single"/>
              </w:rPr>
            </w:pPr>
          </w:p>
          <w:p w14:paraId="5C9F2392" w14:textId="77777777" w:rsidR="00DB1AEE" w:rsidRPr="00DB1AEE" w:rsidRDefault="00DB1AEE" w:rsidP="00DB1AEE">
            <w:pPr>
              <w:suppressAutoHyphens/>
              <w:jc w:val="center"/>
              <w:rPr>
                <w:sz w:val="18"/>
                <w:szCs w:val="18"/>
                <w:u w:val="single"/>
              </w:rPr>
            </w:pPr>
          </w:p>
          <w:p w14:paraId="60248163" w14:textId="77777777" w:rsidR="00DB1AEE" w:rsidRPr="00DB1AEE" w:rsidRDefault="00DB1AEE" w:rsidP="00DB1AEE">
            <w:pPr>
              <w:suppressAutoHyphens/>
              <w:jc w:val="center"/>
              <w:rPr>
                <w:sz w:val="18"/>
                <w:szCs w:val="18"/>
                <w:u w:val="single"/>
              </w:rPr>
            </w:pPr>
          </w:p>
        </w:tc>
        <w:tc>
          <w:tcPr>
            <w:tcW w:w="0" w:type="auto"/>
            <w:gridSpan w:val="9"/>
            <w:vAlign w:val="center"/>
            <w:hideMark/>
          </w:tcPr>
          <w:p w14:paraId="73849BA3" w14:textId="77777777" w:rsidR="00DB1AEE" w:rsidRPr="00DB1AEE" w:rsidRDefault="00DB1AEE" w:rsidP="00DB1AEE">
            <w:pPr>
              <w:suppressAutoHyphens/>
              <w:jc w:val="center"/>
              <w:rPr>
                <w:sz w:val="18"/>
                <w:szCs w:val="18"/>
                <w:u w:val="single"/>
              </w:rPr>
            </w:pPr>
            <w:r w:rsidRPr="00DB1AEE">
              <w:rPr>
                <w:b/>
                <w:bCs/>
                <w:sz w:val="18"/>
                <w:szCs w:val="18"/>
                <w:u w:val="single"/>
              </w:rPr>
              <w:t xml:space="preserve">The </w:t>
            </w:r>
            <w:r w:rsidRPr="00DB1AEE">
              <w:rPr>
                <w:b/>
                <w:bCs/>
                <w:i/>
                <w:iCs/>
                <w:sz w:val="18"/>
                <w:szCs w:val="18"/>
                <w:u w:val="single"/>
              </w:rPr>
              <w:t xml:space="preserve">control </w:t>
            </w:r>
            <w:r w:rsidRPr="00DB1AEE">
              <w:rPr>
                <w:b/>
                <w:bCs/>
                <w:sz w:val="18"/>
                <w:szCs w:val="18"/>
                <w:u w:val="single"/>
              </w:rPr>
              <w:t xml:space="preserve">functions below shall be implemented in accordance with the descriptions found in the referenced paragraphs within Section 9.4.1.1. For each </w:t>
            </w:r>
            <w:r w:rsidRPr="00DB1AEE">
              <w:rPr>
                <w:b/>
                <w:bCs/>
                <w:i/>
                <w:iCs/>
                <w:sz w:val="18"/>
                <w:szCs w:val="18"/>
                <w:u w:val="single"/>
              </w:rPr>
              <w:t xml:space="preserve">space </w:t>
            </w:r>
            <w:r w:rsidRPr="00DB1AEE">
              <w:rPr>
                <w:b/>
                <w:bCs/>
                <w:sz w:val="18"/>
                <w:szCs w:val="18"/>
                <w:u w:val="single"/>
              </w:rPr>
              <w:t>type:</w:t>
            </w:r>
            <w:r w:rsidRPr="00DB1AEE">
              <w:rPr>
                <w:b/>
                <w:bCs/>
                <w:sz w:val="18"/>
                <w:szCs w:val="18"/>
                <w:u w:val="single"/>
              </w:rPr>
              <w:br/>
              <w:t>(1) All REQs shall be implemented.</w:t>
            </w:r>
            <w:r w:rsidRPr="00DB1AEE">
              <w:rPr>
                <w:b/>
                <w:bCs/>
                <w:sz w:val="18"/>
                <w:szCs w:val="18"/>
                <w:u w:val="single"/>
              </w:rPr>
              <w:br/>
              <w:t>(2) At least one ADD1 (when present) shall be implemented.</w:t>
            </w:r>
            <w:r w:rsidRPr="00DB1AEE">
              <w:rPr>
                <w:b/>
                <w:bCs/>
                <w:sz w:val="18"/>
                <w:szCs w:val="18"/>
                <w:u w:val="single"/>
              </w:rPr>
              <w:br/>
              <w:t>(3) At least one ADD2 (when present) shall be implemented.</w:t>
            </w:r>
          </w:p>
          <w:p w14:paraId="4153B2E7" w14:textId="77777777" w:rsidR="00DB1AEE" w:rsidRPr="00DB1AEE" w:rsidRDefault="00DB1AEE" w:rsidP="00DB1AEE">
            <w:pPr>
              <w:suppressAutoHyphens/>
              <w:jc w:val="center"/>
              <w:rPr>
                <w:sz w:val="18"/>
                <w:szCs w:val="18"/>
                <w:u w:val="single"/>
              </w:rPr>
            </w:pPr>
          </w:p>
          <w:p w14:paraId="430316F8" w14:textId="77777777" w:rsidR="00DB1AEE" w:rsidRPr="00DB1AEE" w:rsidRDefault="00DB1AEE" w:rsidP="00DB1AEE">
            <w:pPr>
              <w:suppressAutoHyphens/>
              <w:jc w:val="center"/>
              <w:rPr>
                <w:sz w:val="18"/>
                <w:szCs w:val="18"/>
                <w:u w:val="single"/>
              </w:rPr>
            </w:pPr>
          </w:p>
          <w:p w14:paraId="6894F3C5" w14:textId="77777777" w:rsidR="00DB1AEE" w:rsidRPr="00DB1AEE" w:rsidRDefault="00DB1AEE" w:rsidP="00DB1AEE">
            <w:pPr>
              <w:suppressAutoHyphens/>
              <w:jc w:val="center"/>
              <w:rPr>
                <w:sz w:val="18"/>
                <w:szCs w:val="18"/>
                <w:u w:val="single"/>
              </w:rPr>
            </w:pPr>
          </w:p>
          <w:p w14:paraId="3558B7F1" w14:textId="77777777" w:rsidR="00DB1AEE" w:rsidRPr="00DB1AEE" w:rsidRDefault="00DB1AEE" w:rsidP="00DB1AEE">
            <w:pPr>
              <w:suppressAutoHyphens/>
              <w:jc w:val="center"/>
              <w:rPr>
                <w:sz w:val="18"/>
                <w:szCs w:val="18"/>
                <w:u w:val="single"/>
              </w:rPr>
            </w:pPr>
          </w:p>
          <w:p w14:paraId="27955731" w14:textId="77777777" w:rsidR="00DB1AEE" w:rsidRPr="00DB1AEE" w:rsidRDefault="00DB1AEE" w:rsidP="00DB1AEE">
            <w:pPr>
              <w:suppressAutoHyphens/>
              <w:jc w:val="center"/>
              <w:rPr>
                <w:sz w:val="18"/>
                <w:szCs w:val="18"/>
                <w:u w:val="single"/>
              </w:rPr>
            </w:pPr>
          </w:p>
          <w:p w14:paraId="273EC6F2" w14:textId="77777777" w:rsidR="00DB1AEE" w:rsidRPr="00DB1AEE" w:rsidRDefault="00DB1AEE" w:rsidP="00DB1AEE">
            <w:pPr>
              <w:suppressAutoHyphens/>
              <w:jc w:val="center"/>
              <w:rPr>
                <w:sz w:val="18"/>
                <w:szCs w:val="18"/>
                <w:u w:val="single"/>
              </w:rPr>
            </w:pPr>
          </w:p>
          <w:p w14:paraId="2E630B15" w14:textId="77777777" w:rsidR="00DB1AEE" w:rsidRPr="00DB1AEE" w:rsidRDefault="00DB1AEE" w:rsidP="00DB1AEE">
            <w:pPr>
              <w:suppressAutoHyphens/>
              <w:jc w:val="center"/>
              <w:rPr>
                <w:sz w:val="18"/>
                <w:szCs w:val="18"/>
                <w:u w:val="single"/>
              </w:rPr>
            </w:pPr>
          </w:p>
          <w:p w14:paraId="28ACDDF3" w14:textId="77777777" w:rsidR="00DB1AEE" w:rsidRPr="00DB1AEE" w:rsidRDefault="00DB1AEE" w:rsidP="00DB1AEE">
            <w:pPr>
              <w:suppressAutoHyphens/>
              <w:jc w:val="center"/>
              <w:rPr>
                <w:sz w:val="18"/>
                <w:szCs w:val="18"/>
                <w:u w:val="single"/>
              </w:rPr>
            </w:pPr>
          </w:p>
        </w:tc>
      </w:tr>
      <w:tr w:rsidR="00DB1AEE" w:rsidRPr="00DB1AEE" w14:paraId="58A302C3" w14:textId="77777777" w:rsidTr="00FC1832">
        <w:trPr>
          <w:trHeight w:val="1542"/>
          <w:jc w:val="center"/>
        </w:trPr>
        <w:tc>
          <w:tcPr>
            <w:tcW w:w="0" w:type="auto"/>
            <w:gridSpan w:val="4"/>
            <w:vAlign w:val="center"/>
            <w:hideMark/>
          </w:tcPr>
          <w:p w14:paraId="3DAF6C8C" w14:textId="77777777" w:rsidR="00DB1AEE" w:rsidRPr="00DB1AEE" w:rsidRDefault="00DB1AEE" w:rsidP="00DB1AEE">
            <w:pPr>
              <w:suppressAutoHyphens/>
              <w:jc w:val="center"/>
              <w:rPr>
                <w:sz w:val="18"/>
                <w:szCs w:val="18"/>
                <w:u w:val="single"/>
              </w:rPr>
            </w:pPr>
          </w:p>
          <w:p w14:paraId="0DE3FBF2" w14:textId="77777777" w:rsidR="00DB1AEE" w:rsidRPr="00DB1AEE" w:rsidRDefault="00DB1AEE" w:rsidP="00DB1AEE">
            <w:pPr>
              <w:suppressAutoHyphens/>
              <w:jc w:val="center"/>
              <w:rPr>
                <w:sz w:val="18"/>
                <w:szCs w:val="18"/>
                <w:u w:val="single"/>
              </w:rPr>
            </w:pPr>
          </w:p>
          <w:p w14:paraId="7E453885" w14:textId="77777777" w:rsidR="00DB1AEE" w:rsidRPr="00DB1AEE" w:rsidRDefault="00DB1AEE" w:rsidP="00DB1AEE">
            <w:pPr>
              <w:suppressAutoHyphens/>
              <w:jc w:val="center"/>
              <w:rPr>
                <w:sz w:val="18"/>
                <w:szCs w:val="18"/>
                <w:u w:val="single"/>
              </w:rPr>
            </w:pPr>
          </w:p>
          <w:p w14:paraId="40963CB4" w14:textId="77777777" w:rsidR="00DB1AEE" w:rsidRPr="00DB1AEE" w:rsidRDefault="00DB1AEE" w:rsidP="00DB1AEE">
            <w:pPr>
              <w:suppressAutoHyphens/>
              <w:jc w:val="center"/>
              <w:rPr>
                <w:sz w:val="18"/>
                <w:szCs w:val="18"/>
                <w:u w:val="single"/>
              </w:rPr>
            </w:pPr>
          </w:p>
        </w:tc>
        <w:tc>
          <w:tcPr>
            <w:tcW w:w="0" w:type="auto"/>
            <w:vAlign w:val="center"/>
            <w:hideMark/>
          </w:tcPr>
          <w:p w14:paraId="5EA39EEE" w14:textId="77777777" w:rsidR="00DB1AEE" w:rsidRPr="00DB1AEE" w:rsidRDefault="00DB1AEE" w:rsidP="00DB1AEE">
            <w:pPr>
              <w:suppressAutoHyphens/>
              <w:jc w:val="center"/>
              <w:rPr>
                <w:b/>
                <w:bCs/>
                <w:sz w:val="18"/>
                <w:szCs w:val="18"/>
                <w:u w:val="single"/>
              </w:rPr>
            </w:pPr>
            <w:r w:rsidRPr="00DB1AEE">
              <w:rPr>
                <w:b/>
                <w:bCs/>
                <w:sz w:val="18"/>
                <w:szCs w:val="18"/>
                <w:u w:val="single"/>
              </w:rPr>
              <w:t xml:space="preserve">Local </w:t>
            </w:r>
            <w:r w:rsidRPr="00DB1AEE">
              <w:rPr>
                <w:b/>
                <w:bCs/>
                <w:i/>
                <w:iCs/>
                <w:sz w:val="18"/>
                <w:szCs w:val="18"/>
                <w:u w:val="single"/>
              </w:rPr>
              <w:t>Control</w:t>
            </w:r>
          </w:p>
        </w:tc>
        <w:tc>
          <w:tcPr>
            <w:tcW w:w="0" w:type="auto"/>
            <w:vAlign w:val="center"/>
            <w:hideMark/>
          </w:tcPr>
          <w:p w14:paraId="4614EC9F" w14:textId="77777777" w:rsidR="00DB1AEE" w:rsidRPr="00DB1AEE" w:rsidRDefault="00DB1AEE" w:rsidP="00DB1AEE">
            <w:pPr>
              <w:suppressAutoHyphens/>
              <w:jc w:val="center"/>
              <w:rPr>
                <w:b/>
                <w:bCs/>
                <w:sz w:val="18"/>
                <w:szCs w:val="18"/>
                <w:u w:val="single"/>
              </w:rPr>
            </w:pPr>
            <w:r w:rsidRPr="00DB1AEE">
              <w:rPr>
                <w:b/>
                <w:bCs/>
                <w:i/>
                <w:iCs/>
                <w:sz w:val="18"/>
                <w:szCs w:val="18"/>
                <w:u w:val="single"/>
              </w:rPr>
              <w:t xml:space="preserve">Manual </w:t>
            </w:r>
            <w:r w:rsidRPr="00DB1AEE">
              <w:rPr>
                <w:b/>
                <w:bCs/>
                <w:sz w:val="18"/>
                <w:szCs w:val="18"/>
                <w:u w:val="single"/>
              </w:rPr>
              <w:t>ON</w:t>
            </w:r>
          </w:p>
        </w:tc>
        <w:tc>
          <w:tcPr>
            <w:tcW w:w="0" w:type="auto"/>
            <w:vAlign w:val="center"/>
            <w:hideMark/>
          </w:tcPr>
          <w:p w14:paraId="2BC679A3" w14:textId="77777777" w:rsidR="00DB1AEE" w:rsidRPr="00DB1AEE" w:rsidRDefault="00DB1AEE" w:rsidP="00DB1AEE">
            <w:pPr>
              <w:suppressAutoHyphens/>
              <w:jc w:val="center"/>
              <w:rPr>
                <w:b/>
                <w:bCs/>
                <w:sz w:val="18"/>
                <w:szCs w:val="18"/>
                <w:u w:val="single"/>
              </w:rPr>
            </w:pPr>
            <w:r w:rsidRPr="00DB1AEE">
              <w:rPr>
                <w:b/>
                <w:bCs/>
                <w:sz w:val="18"/>
                <w:szCs w:val="18"/>
                <w:u w:val="single"/>
              </w:rPr>
              <w:t>Partial ON</w:t>
            </w:r>
          </w:p>
        </w:tc>
        <w:tc>
          <w:tcPr>
            <w:tcW w:w="0" w:type="auto"/>
            <w:vAlign w:val="center"/>
            <w:hideMark/>
          </w:tcPr>
          <w:p w14:paraId="78352EF0" w14:textId="77777777" w:rsidR="00DB1AEE" w:rsidRPr="00DB1AEE" w:rsidRDefault="00DB1AEE" w:rsidP="00DB1AEE">
            <w:pPr>
              <w:suppressAutoHyphens/>
              <w:jc w:val="center"/>
              <w:rPr>
                <w:b/>
                <w:bCs/>
                <w:sz w:val="18"/>
                <w:szCs w:val="18"/>
                <w:u w:val="single"/>
              </w:rPr>
            </w:pPr>
            <w:r w:rsidRPr="00DB1AEE">
              <w:rPr>
                <w:b/>
                <w:bCs/>
                <w:sz w:val="18"/>
                <w:szCs w:val="18"/>
                <w:u w:val="single"/>
              </w:rPr>
              <w:t xml:space="preserve">Multilevel Lighting </w:t>
            </w:r>
            <w:r w:rsidRPr="00DB1AEE">
              <w:rPr>
                <w:b/>
                <w:bCs/>
                <w:i/>
                <w:iCs/>
                <w:sz w:val="18"/>
                <w:szCs w:val="18"/>
                <w:u w:val="single"/>
              </w:rPr>
              <w:t>Control</w:t>
            </w:r>
          </w:p>
        </w:tc>
        <w:tc>
          <w:tcPr>
            <w:tcW w:w="0" w:type="auto"/>
            <w:vAlign w:val="center"/>
            <w:hideMark/>
          </w:tcPr>
          <w:p w14:paraId="2B56AD64" w14:textId="77777777" w:rsidR="00DB1AEE" w:rsidRPr="00DB1AEE" w:rsidRDefault="00DB1AEE" w:rsidP="00DB1AEE">
            <w:pPr>
              <w:suppressAutoHyphens/>
              <w:jc w:val="center"/>
              <w:rPr>
                <w:b/>
                <w:bCs/>
                <w:sz w:val="18"/>
                <w:szCs w:val="18"/>
                <w:u w:val="single"/>
              </w:rPr>
            </w:pPr>
            <w:r w:rsidRPr="00DB1AEE">
              <w:rPr>
                <w:b/>
                <w:bCs/>
                <w:sz w:val="18"/>
                <w:szCs w:val="18"/>
                <w:u w:val="single"/>
              </w:rPr>
              <w:t>Daylight</w:t>
            </w:r>
          </w:p>
          <w:p w14:paraId="3746A713" w14:textId="77777777" w:rsidR="00DB1AEE" w:rsidRPr="00DB1AEE" w:rsidRDefault="00DB1AEE" w:rsidP="00DB1AEE">
            <w:pPr>
              <w:suppressAutoHyphens/>
              <w:jc w:val="center"/>
              <w:rPr>
                <w:b/>
                <w:bCs/>
                <w:sz w:val="18"/>
                <w:szCs w:val="18"/>
                <w:u w:val="single"/>
              </w:rPr>
            </w:pPr>
            <w:r w:rsidRPr="00DB1AEE">
              <w:rPr>
                <w:b/>
                <w:bCs/>
                <w:sz w:val="18"/>
                <w:szCs w:val="18"/>
                <w:u w:val="single"/>
              </w:rPr>
              <w:t>Response Sidelighting</w:t>
            </w:r>
          </w:p>
        </w:tc>
        <w:tc>
          <w:tcPr>
            <w:tcW w:w="0" w:type="auto"/>
            <w:vAlign w:val="center"/>
            <w:hideMark/>
          </w:tcPr>
          <w:p w14:paraId="2C846443" w14:textId="77777777" w:rsidR="00DB1AEE" w:rsidRPr="00DB1AEE" w:rsidRDefault="00DB1AEE" w:rsidP="00DB1AEE">
            <w:pPr>
              <w:suppressAutoHyphens/>
              <w:jc w:val="center"/>
              <w:rPr>
                <w:b/>
                <w:bCs/>
                <w:sz w:val="18"/>
                <w:szCs w:val="18"/>
                <w:u w:val="single"/>
              </w:rPr>
            </w:pPr>
            <w:r w:rsidRPr="00DB1AEE">
              <w:rPr>
                <w:b/>
                <w:bCs/>
                <w:sz w:val="18"/>
                <w:szCs w:val="18"/>
                <w:u w:val="single"/>
              </w:rPr>
              <w:t>Daylight</w:t>
            </w:r>
          </w:p>
          <w:p w14:paraId="6E072871" w14:textId="77777777" w:rsidR="00DB1AEE" w:rsidRPr="00DB1AEE" w:rsidRDefault="00DB1AEE" w:rsidP="00DB1AEE">
            <w:pPr>
              <w:suppressAutoHyphens/>
              <w:jc w:val="center"/>
              <w:rPr>
                <w:b/>
                <w:bCs/>
                <w:sz w:val="18"/>
                <w:szCs w:val="18"/>
                <w:u w:val="single"/>
              </w:rPr>
            </w:pPr>
            <w:r w:rsidRPr="00DB1AEE">
              <w:rPr>
                <w:b/>
                <w:bCs/>
                <w:sz w:val="18"/>
                <w:szCs w:val="18"/>
                <w:u w:val="single"/>
              </w:rPr>
              <w:t xml:space="preserve">Response </w:t>
            </w:r>
            <w:r w:rsidRPr="00DB1AEE">
              <w:rPr>
                <w:b/>
                <w:bCs/>
                <w:i/>
                <w:iCs/>
                <w:sz w:val="18"/>
                <w:szCs w:val="18"/>
                <w:u w:val="single"/>
              </w:rPr>
              <w:t>Toplighting</w:t>
            </w:r>
          </w:p>
        </w:tc>
        <w:tc>
          <w:tcPr>
            <w:tcW w:w="0" w:type="auto"/>
            <w:vAlign w:val="center"/>
            <w:hideMark/>
          </w:tcPr>
          <w:p w14:paraId="23A7698B" w14:textId="77777777" w:rsidR="00DB1AEE" w:rsidRPr="00DB1AEE" w:rsidRDefault="00DB1AEE" w:rsidP="00DB1AEE">
            <w:pPr>
              <w:suppressAutoHyphens/>
              <w:jc w:val="center"/>
              <w:rPr>
                <w:b/>
                <w:bCs/>
                <w:sz w:val="18"/>
                <w:szCs w:val="18"/>
                <w:u w:val="single"/>
              </w:rPr>
            </w:pPr>
            <w:r w:rsidRPr="00DB1AEE">
              <w:rPr>
                <w:b/>
                <w:bCs/>
                <w:sz w:val="18"/>
                <w:szCs w:val="18"/>
                <w:u w:val="single"/>
              </w:rPr>
              <w:t>Auto Reduction</w:t>
            </w:r>
          </w:p>
        </w:tc>
        <w:tc>
          <w:tcPr>
            <w:tcW w:w="0" w:type="auto"/>
            <w:vAlign w:val="center"/>
            <w:hideMark/>
          </w:tcPr>
          <w:p w14:paraId="6888C1F3" w14:textId="77777777" w:rsidR="00DB1AEE" w:rsidRPr="00DB1AEE" w:rsidRDefault="00DB1AEE" w:rsidP="00DB1AEE">
            <w:pPr>
              <w:suppressAutoHyphens/>
              <w:jc w:val="center"/>
              <w:rPr>
                <w:b/>
                <w:bCs/>
                <w:sz w:val="18"/>
                <w:szCs w:val="18"/>
                <w:u w:val="single"/>
              </w:rPr>
            </w:pPr>
            <w:r w:rsidRPr="00DB1AEE">
              <w:rPr>
                <w:b/>
                <w:bCs/>
                <w:i/>
                <w:iCs/>
                <w:sz w:val="18"/>
                <w:szCs w:val="18"/>
                <w:u w:val="single"/>
              </w:rPr>
              <w:t xml:space="preserve">Auto </w:t>
            </w:r>
            <w:r w:rsidRPr="00DB1AEE">
              <w:rPr>
                <w:b/>
                <w:bCs/>
                <w:sz w:val="18"/>
                <w:szCs w:val="18"/>
                <w:u w:val="single"/>
              </w:rPr>
              <w:t>Full OFF</w:t>
            </w:r>
          </w:p>
        </w:tc>
        <w:tc>
          <w:tcPr>
            <w:tcW w:w="0" w:type="auto"/>
            <w:vAlign w:val="center"/>
            <w:hideMark/>
          </w:tcPr>
          <w:p w14:paraId="618579EA" w14:textId="77777777" w:rsidR="00DB1AEE" w:rsidRPr="00DB1AEE" w:rsidRDefault="00DB1AEE" w:rsidP="00DB1AEE">
            <w:pPr>
              <w:suppressAutoHyphens/>
              <w:jc w:val="center"/>
              <w:rPr>
                <w:b/>
                <w:bCs/>
                <w:sz w:val="18"/>
                <w:szCs w:val="18"/>
                <w:u w:val="single"/>
              </w:rPr>
            </w:pPr>
            <w:r w:rsidRPr="00DB1AEE">
              <w:rPr>
                <w:b/>
                <w:bCs/>
                <w:sz w:val="18"/>
                <w:szCs w:val="18"/>
                <w:u w:val="single"/>
              </w:rPr>
              <w:t>Scheduled Shutoff</w:t>
            </w:r>
          </w:p>
        </w:tc>
      </w:tr>
      <w:tr w:rsidR="00DB1AEE" w:rsidRPr="00DB1AEE" w14:paraId="7CF4C6C0" w14:textId="77777777" w:rsidTr="00FC1832">
        <w:trPr>
          <w:trHeight w:val="990"/>
          <w:jc w:val="center"/>
        </w:trPr>
        <w:tc>
          <w:tcPr>
            <w:tcW w:w="0" w:type="auto"/>
            <w:vAlign w:val="center"/>
            <w:hideMark/>
          </w:tcPr>
          <w:p w14:paraId="00ADDD3E" w14:textId="77777777" w:rsidR="00DB1AEE" w:rsidRPr="00DB1AEE" w:rsidRDefault="00DB1AEE" w:rsidP="00DB1AEE">
            <w:pPr>
              <w:suppressAutoHyphens/>
              <w:jc w:val="center"/>
              <w:rPr>
                <w:sz w:val="18"/>
                <w:szCs w:val="18"/>
                <w:u w:val="single"/>
              </w:rPr>
            </w:pPr>
            <w:r w:rsidRPr="00DB1AEE">
              <w:rPr>
                <w:b/>
                <w:bCs/>
                <w:sz w:val="18"/>
                <w:szCs w:val="18"/>
                <w:u w:val="single"/>
              </w:rPr>
              <w:t xml:space="preserve">Common </w:t>
            </w:r>
            <w:r w:rsidRPr="00DB1AEE">
              <w:rPr>
                <w:b/>
                <w:bCs/>
                <w:i/>
                <w:iCs/>
                <w:sz w:val="18"/>
                <w:szCs w:val="18"/>
                <w:u w:val="single"/>
              </w:rPr>
              <w:t xml:space="preserve">Space </w:t>
            </w:r>
            <w:r w:rsidRPr="00DB1AEE">
              <w:rPr>
                <w:b/>
                <w:bCs/>
                <w:sz w:val="18"/>
                <w:szCs w:val="18"/>
                <w:u w:val="single"/>
              </w:rPr>
              <w:t>Types</w:t>
            </w:r>
            <w:r w:rsidRPr="00DB1AEE">
              <w:rPr>
                <w:b/>
                <w:bCs/>
                <w:sz w:val="18"/>
                <w:szCs w:val="18"/>
                <w:u w:val="single"/>
                <w:vertAlign w:val="superscript"/>
              </w:rPr>
              <w:t>1</w:t>
            </w:r>
          </w:p>
        </w:tc>
        <w:tc>
          <w:tcPr>
            <w:tcW w:w="0" w:type="auto"/>
            <w:gridSpan w:val="2"/>
            <w:vAlign w:val="center"/>
            <w:hideMark/>
          </w:tcPr>
          <w:p w14:paraId="290D444E" w14:textId="77777777" w:rsidR="00DB1AEE" w:rsidRPr="00DB1AEE" w:rsidRDefault="00DB1AEE" w:rsidP="00DB1AEE">
            <w:pPr>
              <w:suppressAutoHyphens/>
              <w:jc w:val="center"/>
              <w:rPr>
                <w:sz w:val="18"/>
                <w:szCs w:val="18"/>
                <w:u w:val="single"/>
              </w:rPr>
            </w:pPr>
            <w:r w:rsidRPr="00DB1AEE">
              <w:rPr>
                <w:b/>
                <w:bCs/>
                <w:i/>
                <w:iCs/>
                <w:sz w:val="18"/>
                <w:szCs w:val="18"/>
                <w:u w:val="single"/>
              </w:rPr>
              <w:t xml:space="preserve">LPD </w:t>
            </w:r>
            <w:r w:rsidRPr="00DB1AEE">
              <w:rPr>
                <w:b/>
                <w:bCs/>
                <w:sz w:val="18"/>
                <w:szCs w:val="18"/>
                <w:u w:val="single"/>
              </w:rPr>
              <w:t>Allowances, W/ft</w:t>
            </w:r>
            <w:r w:rsidRPr="00DB1AEE">
              <w:rPr>
                <w:b/>
                <w:bCs/>
                <w:sz w:val="18"/>
                <w:szCs w:val="18"/>
                <w:u w:val="single"/>
                <w:vertAlign w:val="superscript"/>
              </w:rPr>
              <w:t>2</w:t>
            </w:r>
          </w:p>
          <w:p w14:paraId="7D022153" w14:textId="77777777" w:rsidR="00DB1AEE" w:rsidRPr="00DB1AEE" w:rsidRDefault="00DB1AEE" w:rsidP="00DB1AEE">
            <w:pPr>
              <w:suppressAutoHyphens/>
              <w:jc w:val="center"/>
              <w:rPr>
                <w:sz w:val="18"/>
                <w:szCs w:val="18"/>
                <w:u w:val="single"/>
              </w:rPr>
            </w:pPr>
          </w:p>
        </w:tc>
        <w:tc>
          <w:tcPr>
            <w:tcW w:w="0" w:type="auto"/>
            <w:vAlign w:val="center"/>
            <w:hideMark/>
          </w:tcPr>
          <w:p w14:paraId="55C5734F" w14:textId="77777777" w:rsidR="00DB1AEE" w:rsidRPr="00DB1AEE" w:rsidRDefault="00DB1AEE" w:rsidP="00DB1AEE">
            <w:pPr>
              <w:suppressAutoHyphens/>
              <w:jc w:val="center"/>
              <w:rPr>
                <w:sz w:val="18"/>
                <w:szCs w:val="18"/>
                <w:u w:val="single"/>
              </w:rPr>
            </w:pPr>
            <w:r w:rsidRPr="00DB1AEE">
              <w:rPr>
                <w:b/>
                <w:bCs/>
                <w:i/>
                <w:iCs/>
                <w:sz w:val="18"/>
                <w:szCs w:val="18"/>
                <w:u w:val="single"/>
              </w:rPr>
              <w:t>RCR</w:t>
            </w:r>
            <w:r w:rsidRPr="00DB1AEE">
              <w:rPr>
                <w:b/>
                <w:bCs/>
                <w:i/>
                <w:iCs/>
                <w:sz w:val="18"/>
                <w:szCs w:val="18"/>
                <w:u w:val="single"/>
              </w:rPr>
              <w:br/>
            </w:r>
            <w:r w:rsidRPr="00DB1AEE">
              <w:rPr>
                <w:b/>
                <w:bCs/>
                <w:sz w:val="18"/>
                <w:szCs w:val="18"/>
                <w:u w:val="single"/>
              </w:rPr>
              <w:t>Threshold</w:t>
            </w:r>
          </w:p>
        </w:tc>
        <w:tc>
          <w:tcPr>
            <w:tcW w:w="0" w:type="auto"/>
            <w:vAlign w:val="center"/>
            <w:hideMark/>
          </w:tcPr>
          <w:p w14:paraId="12E59391" w14:textId="77777777" w:rsidR="00DB1AEE" w:rsidRPr="00DB1AEE" w:rsidRDefault="00DB1AEE" w:rsidP="00DB1AEE">
            <w:pPr>
              <w:suppressAutoHyphens/>
              <w:jc w:val="center"/>
              <w:rPr>
                <w:b/>
                <w:bCs/>
                <w:sz w:val="18"/>
                <w:szCs w:val="18"/>
                <w:u w:val="single"/>
              </w:rPr>
            </w:pPr>
            <w:r w:rsidRPr="00DB1AEE">
              <w:rPr>
                <w:b/>
                <w:bCs/>
                <w:sz w:val="18"/>
                <w:szCs w:val="18"/>
                <w:u w:val="single"/>
              </w:rPr>
              <w:t>9.4.1.1[a]</w:t>
            </w:r>
          </w:p>
        </w:tc>
        <w:tc>
          <w:tcPr>
            <w:tcW w:w="0" w:type="auto"/>
            <w:vAlign w:val="center"/>
            <w:hideMark/>
          </w:tcPr>
          <w:p w14:paraId="0C5ACA71" w14:textId="77777777" w:rsidR="00DB1AEE" w:rsidRPr="00DB1AEE" w:rsidRDefault="00DB1AEE" w:rsidP="00DB1AEE">
            <w:pPr>
              <w:suppressAutoHyphens/>
              <w:jc w:val="center"/>
              <w:rPr>
                <w:b/>
                <w:bCs/>
                <w:sz w:val="18"/>
                <w:szCs w:val="18"/>
                <w:u w:val="single"/>
              </w:rPr>
            </w:pPr>
            <w:r w:rsidRPr="00DB1AEE">
              <w:rPr>
                <w:b/>
                <w:bCs/>
                <w:sz w:val="18"/>
                <w:szCs w:val="18"/>
                <w:u w:val="single"/>
              </w:rPr>
              <w:t>9.4.1.1[b]</w:t>
            </w:r>
          </w:p>
        </w:tc>
        <w:tc>
          <w:tcPr>
            <w:tcW w:w="0" w:type="auto"/>
            <w:vAlign w:val="center"/>
            <w:hideMark/>
          </w:tcPr>
          <w:p w14:paraId="1214FD56" w14:textId="77777777" w:rsidR="00DB1AEE" w:rsidRPr="00DB1AEE" w:rsidRDefault="00DB1AEE" w:rsidP="00DB1AEE">
            <w:pPr>
              <w:suppressAutoHyphens/>
              <w:jc w:val="center"/>
              <w:rPr>
                <w:b/>
                <w:bCs/>
                <w:sz w:val="18"/>
                <w:szCs w:val="18"/>
                <w:u w:val="single"/>
              </w:rPr>
            </w:pPr>
            <w:r w:rsidRPr="00DB1AEE">
              <w:rPr>
                <w:b/>
                <w:bCs/>
                <w:sz w:val="18"/>
                <w:szCs w:val="18"/>
                <w:u w:val="single"/>
              </w:rPr>
              <w:t>9.4.1.1[c]</w:t>
            </w:r>
          </w:p>
        </w:tc>
        <w:tc>
          <w:tcPr>
            <w:tcW w:w="0" w:type="auto"/>
            <w:vAlign w:val="center"/>
            <w:hideMark/>
          </w:tcPr>
          <w:p w14:paraId="4A478D21" w14:textId="77777777" w:rsidR="00DB1AEE" w:rsidRPr="00DB1AEE" w:rsidRDefault="00DB1AEE" w:rsidP="00DB1AEE">
            <w:pPr>
              <w:suppressAutoHyphens/>
              <w:jc w:val="center"/>
              <w:rPr>
                <w:b/>
                <w:bCs/>
                <w:sz w:val="18"/>
                <w:szCs w:val="18"/>
                <w:u w:val="single"/>
              </w:rPr>
            </w:pPr>
            <w:r w:rsidRPr="00DB1AEE">
              <w:rPr>
                <w:b/>
                <w:bCs/>
                <w:sz w:val="18"/>
                <w:szCs w:val="18"/>
                <w:u w:val="single"/>
              </w:rPr>
              <w:t>9.4.1.1[d]</w:t>
            </w:r>
          </w:p>
        </w:tc>
        <w:tc>
          <w:tcPr>
            <w:tcW w:w="0" w:type="auto"/>
            <w:vAlign w:val="center"/>
            <w:hideMark/>
          </w:tcPr>
          <w:p w14:paraId="35FE105E" w14:textId="77777777" w:rsidR="00DB1AEE" w:rsidRPr="00DB1AEE" w:rsidRDefault="00DB1AEE" w:rsidP="00DB1AEE">
            <w:pPr>
              <w:suppressAutoHyphens/>
              <w:jc w:val="center"/>
              <w:rPr>
                <w:b/>
                <w:bCs/>
                <w:sz w:val="18"/>
                <w:szCs w:val="18"/>
                <w:u w:val="single"/>
              </w:rPr>
            </w:pPr>
            <w:r w:rsidRPr="00DB1AEE">
              <w:rPr>
                <w:b/>
                <w:bCs/>
                <w:sz w:val="18"/>
                <w:szCs w:val="18"/>
                <w:u w:val="single"/>
              </w:rPr>
              <w:t>9.4.1.1[e]</w:t>
            </w:r>
          </w:p>
        </w:tc>
        <w:tc>
          <w:tcPr>
            <w:tcW w:w="0" w:type="auto"/>
            <w:vAlign w:val="center"/>
            <w:hideMark/>
          </w:tcPr>
          <w:p w14:paraId="6EC6B6C5" w14:textId="77777777" w:rsidR="00DB1AEE" w:rsidRPr="00DB1AEE" w:rsidRDefault="00DB1AEE" w:rsidP="00DB1AEE">
            <w:pPr>
              <w:suppressAutoHyphens/>
              <w:jc w:val="center"/>
              <w:rPr>
                <w:b/>
                <w:bCs/>
                <w:sz w:val="18"/>
                <w:szCs w:val="18"/>
                <w:u w:val="single"/>
              </w:rPr>
            </w:pPr>
            <w:r w:rsidRPr="00DB1AEE">
              <w:rPr>
                <w:b/>
                <w:bCs/>
                <w:sz w:val="18"/>
                <w:szCs w:val="18"/>
                <w:u w:val="single"/>
              </w:rPr>
              <w:t>9.4.1.1[f]</w:t>
            </w:r>
          </w:p>
        </w:tc>
        <w:tc>
          <w:tcPr>
            <w:tcW w:w="0" w:type="auto"/>
            <w:vAlign w:val="center"/>
            <w:hideMark/>
          </w:tcPr>
          <w:p w14:paraId="585E8E7D" w14:textId="77777777" w:rsidR="00DB1AEE" w:rsidRPr="00DB1AEE" w:rsidRDefault="00DB1AEE" w:rsidP="00DB1AEE">
            <w:pPr>
              <w:suppressAutoHyphens/>
              <w:jc w:val="center"/>
              <w:rPr>
                <w:b/>
                <w:bCs/>
                <w:sz w:val="18"/>
                <w:szCs w:val="18"/>
                <w:u w:val="single"/>
              </w:rPr>
            </w:pPr>
            <w:r w:rsidRPr="00DB1AEE">
              <w:rPr>
                <w:b/>
                <w:bCs/>
                <w:sz w:val="18"/>
                <w:szCs w:val="18"/>
                <w:u w:val="single"/>
              </w:rPr>
              <w:t>9.4.1.1[g]</w:t>
            </w:r>
          </w:p>
        </w:tc>
        <w:tc>
          <w:tcPr>
            <w:tcW w:w="0" w:type="auto"/>
            <w:vAlign w:val="center"/>
            <w:hideMark/>
          </w:tcPr>
          <w:p w14:paraId="3E8D330B" w14:textId="77777777" w:rsidR="00DB1AEE" w:rsidRPr="00DB1AEE" w:rsidRDefault="00DB1AEE" w:rsidP="00DB1AEE">
            <w:pPr>
              <w:suppressAutoHyphens/>
              <w:jc w:val="center"/>
              <w:rPr>
                <w:b/>
                <w:bCs/>
                <w:sz w:val="18"/>
                <w:szCs w:val="18"/>
                <w:u w:val="single"/>
              </w:rPr>
            </w:pPr>
            <w:r w:rsidRPr="00DB1AEE">
              <w:rPr>
                <w:b/>
                <w:bCs/>
                <w:sz w:val="18"/>
                <w:szCs w:val="18"/>
                <w:u w:val="single"/>
              </w:rPr>
              <w:t>9.4.1.1[h])</w:t>
            </w:r>
          </w:p>
        </w:tc>
        <w:tc>
          <w:tcPr>
            <w:tcW w:w="0" w:type="auto"/>
            <w:vAlign w:val="center"/>
            <w:hideMark/>
          </w:tcPr>
          <w:p w14:paraId="49EBFA79" w14:textId="77777777" w:rsidR="00DB1AEE" w:rsidRPr="00DB1AEE" w:rsidRDefault="00DB1AEE" w:rsidP="00DB1AEE">
            <w:pPr>
              <w:suppressAutoHyphens/>
              <w:jc w:val="center"/>
              <w:rPr>
                <w:b/>
                <w:bCs/>
                <w:sz w:val="18"/>
                <w:szCs w:val="18"/>
                <w:u w:val="single"/>
              </w:rPr>
            </w:pPr>
            <w:r w:rsidRPr="00DB1AEE">
              <w:rPr>
                <w:b/>
                <w:bCs/>
                <w:sz w:val="18"/>
                <w:szCs w:val="18"/>
                <w:u w:val="single"/>
              </w:rPr>
              <w:t>9.4.1.1[i])</w:t>
            </w:r>
          </w:p>
        </w:tc>
      </w:tr>
      <w:tr w:rsidR="00DB1AEE" w:rsidRPr="00DB1AEE" w14:paraId="3752DC53" w14:textId="77777777" w:rsidTr="00FC1832">
        <w:trPr>
          <w:gridAfter w:val="12"/>
          <w:trHeight w:val="278"/>
          <w:jc w:val="center"/>
        </w:trPr>
        <w:tc>
          <w:tcPr>
            <w:tcW w:w="0" w:type="auto"/>
            <w:shd w:val="clear" w:color="000000" w:fill="FFFFFF"/>
            <w:vAlign w:val="center"/>
            <w:hideMark/>
          </w:tcPr>
          <w:p w14:paraId="5579A8F0" w14:textId="77777777" w:rsidR="00DB1AEE" w:rsidRPr="00DB1AEE" w:rsidRDefault="00DB1AEE" w:rsidP="00DB1AEE">
            <w:pPr>
              <w:suppressAutoHyphens/>
              <w:jc w:val="center"/>
              <w:rPr>
                <w:sz w:val="18"/>
                <w:szCs w:val="18"/>
                <w:u w:val="single"/>
              </w:rPr>
            </w:pPr>
            <w:r w:rsidRPr="00DB1AEE">
              <w:rPr>
                <w:sz w:val="18"/>
                <w:szCs w:val="18"/>
                <w:u w:val="single"/>
              </w:rPr>
              <w:t>Atrium</w:t>
            </w:r>
          </w:p>
        </w:tc>
      </w:tr>
      <w:tr w:rsidR="00DB1AEE" w:rsidRPr="00DB1AEE" w14:paraId="668FA1AB" w14:textId="77777777" w:rsidTr="00FC1832">
        <w:trPr>
          <w:trHeight w:val="300"/>
          <w:jc w:val="center"/>
        </w:trPr>
        <w:tc>
          <w:tcPr>
            <w:tcW w:w="0" w:type="auto"/>
            <w:shd w:val="clear" w:color="000000" w:fill="FFFFFF"/>
            <w:vAlign w:val="center"/>
            <w:hideMark/>
          </w:tcPr>
          <w:p w14:paraId="00DB2D87" w14:textId="77777777" w:rsidR="00DB1AEE" w:rsidRPr="00DB1AEE" w:rsidRDefault="00DB1AEE" w:rsidP="00DB1AEE">
            <w:pPr>
              <w:suppressAutoHyphens/>
              <w:jc w:val="center"/>
              <w:rPr>
                <w:sz w:val="18"/>
                <w:szCs w:val="18"/>
                <w:u w:val="single"/>
              </w:rPr>
            </w:pPr>
            <w:r w:rsidRPr="00DB1AEE">
              <w:rPr>
                <w:sz w:val="18"/>
                <w:szCs w:val="18"/>
                <w:u w:val="single"/>
              </w:rPr>
              <w:t>&lt;20 ft in height</w:t>
            </w:r>
          </w:p>
        </w:tc>
        <w:tc>
          <w:tcPr>
            <w:tcW w:w="0" w:type="auto"/>
            <w:gridSpan w:val="2"/>
            <w:shd w:val="clear" w:color="000000" w:fill="FFFFFF"/>
            <w:vAlign w:val="center"/>
            <w:hideMark/>
          </w:tcPr>
          <w:p w14:paraId="736E518E" w14:textId="77777777" w:rsidR="00DB1AEE" w:rsidRPr="00DB1AEE" w:rsidRDefault="00DB1AEE" w:rsidP="00DB1AEE">
            <w:pPr>
              <w:suppressAutoHyphens/>
              <w:jc w:val="center"/>
              <w:rPr>
                <w:sz w:val="18"/>
                <w:szCs w:val="18"/>
                <w:u w:val="single"/>
              </w:rPr>
            </w:pPr>
            <w:r w:rsidRPr="00DB1AEE">
              <w:rPr>
                <w:sz w:val="18"/>
                <w:szCs w:val="18"/>
                <w:u w:val="single"/>
              </w:rPr>
              <w:t>0.32</w:t>
            </w:r>
          </w:p>
        </w:tc>
        <w:tc>
          <w:tcPr>
            <w:tcW w:w="0" w:type="auto"/>
            <w:shd w:val="clear" w:color="000000" w:fill="FFFFFF"/>
            <w:vAlign w:val="center"/>
            <w:hideMark/>
          </w:tcPr>
          <w:p w14:paraId="6A3BB9A8" w14:textId="77777777" w:rsidR="00DB1AEE" w:rsidRPr="00DB1AEE" w:rsidRDefault="00DB1AEE" w:rsidP="00DB1AEE">
            <w:pPr>
              <w:suppressAutoHyphens/>
              <w:jc w:val="center"/>
              <w:rPr>
                <w:sz w:val="18"/>
                <w:szCs w:val="18"/>
                <w:u w:val="single"/>
              </w:rPr>
            </w:pPr>
            <w:r w:rsidRPr="00DB1AEE">
              <w:rPr>
                <w:sz w:val="18"/>
                <w:szCs w:val="18"/>
                <w:u w:val="single"/>
              </w:rPr>
              <w:t>NA</w:t>
            </w:r>
          </w:p>
        </w:tc>
        <w:tc>
          <w:tcPr>
            <w:tcW w:w="0" w:type="auto"/>
            <w:shd w:val="clear" w:color="000000" w:fill="FFFFFF"/>
            <w:vAlign w:val="center"/>
            <w:hideMark/>
          </w:tcPr>
          <w:p w14:paraId="104E5E31"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29803074"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0" w:type="auto"/>
            <w:shd w:val="clear" w:color="000000" w:fill="FFFFFF"/>
            <w:vAlign w:val="center"/>
            <w:hideMark/>
          </w:tcPr>
          <w:p w14:paraId="35CFA3E3"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0" w:type="auto"/>
            <w:shd w:val="clear" w:color="000000" w:fill="FFFFFF"/>
            <w:vAlign w:val="center"/>
            <w:hideMark/>
          </w:tcPr>
          <w:p w14:paraId="79CF1BD2"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196B37C2"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4146D9AE"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5619B7A2"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33A6B05F" w14:textId="77777777" w:rsidR="00DB1AEE" w:rsidRPr="00DB1AEE" w:rsidRDefault="00DB1AEE" w:rsidP="00DB1AEE">
            <w:pPr>
              <w:suppressAutoHyphens/>
              <w:jc w:val="center"/>
              <w:rPr>
                <w:sz w:val="18"/>
                <w:szCs w:val="18"/>
                <w:u w:val="single"/>
              </w:rPr>
            </w:pPr>
            <w:r w:rsidRPr="00DB1AEE">
              <w:rPr>
                <w:sz w:val="18"/>
                <w:szCs w:val="18"/>
                <w:u w:val="single"/>
              </w:rPr>
              <w:t>ADD2</w:t>
            </w:r>
          </w:p>
        </w:tc>
        <w:tc>
          <w:tcPr>
            <w:tcW w:w="0" w:type="auto"/>
            <w:vAlign w:val="center"/>
            <w:hideMark/>
          </w:tcPr>
          <w:p w14:paraId="1CC90348" w14:textId="77777777" w:rsidR="00DB1AEE" w:rsidRPr="00DB1AEE" w:rsidRDefault="00DB1AEE" w:rsidP="00DB1AEE">
            <w:pPr>
              <w:suppressAutoHyphens/>
              <w:jc w:val="center"/>
              <w:rPr>
                <w:sz w:val="18"/>
                <w:szCs w:val="18"/>
                <w:u w:val="single"/>
              </w:rPr>
            </w:pPr>
            <w:r w:rsidRPr="00DB1AEE">
              <w:rPr>
                <w:sz w:val="18"/>
                <w:szCs w:val="18"/>
                <w:u w:val="single"/>
              </w:rPr>
              <w:t>ADD2</w:t>
            </w:r>
          </w:p>
        </w:tc>
      </w:tr>
      <w:tr w:rsidR="00DB1AEE" w:rsidRPr="00DB1AEE" w14:paraId="76A92DAF" w14:textId="77777777" w:rsidTr="00FC1832">
        <w:trPr>
          <w:trHeight w:val="600"/>
          <w:jc w:val="center"/>
        </w:trPr>
        <w:tc>
          <w:tcPr>
            <w:tcW w:w="0" w:type="auto"/>
            <w:shd w:val="clear" w:color="000000" w:fill="FFFFFF"/>
            <w:vAlign w:val="center"/>
            <w:hideMark/>
          </w:tcPr>
          <w:p w14:paraId="2F3A0606" w14:textId="77777777" w:rsidR="00DB1AEE" w:rsidRPr="00DB1AEE" w:rsidRDefault="00DB1AEE" w:rsidP="00DB1AEE">
            <w:pPr>
              <w:suppressAutoHyphens/>
              <w:jc w:val="center"/>
              <w:rPr>
                <w:sz w:val="18"/>
                <w:szCs w:val="18"/>
                <w:u w:val="single"/>
              </w:rPr>
            </w:pPr>
            <w:r w:rsidRPr="00DB1AEE">
              <w:rPr>
                <w:sz w:val="18"/>
                <w:szCs w:val="18"/>
                <w:u w:val="single"/>
              </w:rPr>
              <w:br/>
              <w:t>≥20 ft and ≤40 ft in height</w:t>
            </w:r>
          </w:p>
        </w:tc>
        <w:tc>
          <w:tcPr>
            <w:tcW w:w="0" w:type="auto"/>
            <w:gridSpan w:val="2"/>
            <w:shd w:val="clear" w:color="000000" w:fill="FFFFFF"/>
            <w:vAlign w:val="center"/>
            <w:hideMark/>
          </w:tcPr>
          <w:p w14:paraId="6005D30B" w14:textId="77777777" w:rsidR="00DB1AEE" w:rsidRPr="00DB1AEE" w:rsidRDefault="00DB1AEE" w:rsidP="00DB1AEE">
            <w:pPr>
              <w:suppressAutoHyphens/>
              <w:jc w:val="center"/>
              <w:rPr>
                <w:sz w:val="18"/>
                <w:szCs w:val="18"/>
                <w:u w:val="single"/>
              </w:rPr>
            </w:pPr>
            <w:r w:rsidRPr="00DB1AEE">
              <w:rPr>
                <w:sz w:val="18"/>
                <w:szCs w:val="18"/>
                <w:u w:val="single"/>
              </w:rPr>
              <w:br/>
            </w:r>
          </w:p>
          <w:p w14:paraId="5A7E360B" w14:textId="77777777" w:rsidR="00DB1AEE" w:rsidRPr="00DB1AEE" w:rsidRDefault="00DB1AEE" w:rsidP="00DB1AEE">
            <w:pPr>
              <w:suppressAutoHyphens/>
              <w:jc w:val="center"/>
              <w:rPr>
                <w:sz w:val="18"/>
                <w:szCs w:val="18"/>
                <w:u w:val="single"/>
              </w:rPr>
            </w:pPr>
            <w:r w:rsidRPr="00DB1AEE">
              <w:rPr>
                <w:sz w:val="18"/>
                <w:szCs w:val="18"/>
                <w:u w:val="single"/>
              </w:rPr>
              <w:t>0.41</w:t>
            </w:r>
          </w:p>
        </w:tc>
        <w:tc>
          <w:tcPr>
            <w:tcW w:w="0" w:type="auto"/>
            <w:shd w:val="clear" w:color="000000" w:fill="FFFFFF"/>
            <w:vAlign w:val="center"/>
            <w:hideMark/>
          </w:tcPr>
          <w:p w14:paraId="36EC3729" w14:textId="77777777" w:rsidR="00DB1AEE" w:rsidRPr="00DB1AEE" w:rsidRDefault="00DB1AEE" w:rsidP="00DB1AEE">
            <w:pPr>
              <w:suppressAutoHyphens/>
              <w:jc w:val="center"/>
              <w:rPr>
                <w:sz w:val="18"/>
                <w:szCs w:val="18"/>
                <w:u w:val="single"/>
              </w:rPr>
            </w:pPr>
            <w:r w:rsidRPr="00DB1AEE">
              <w:rPr>
                <w:sz w:val="18"/>
                <w:szCs w:val="18"/>
                <w:u w:val="single"/>
              </w:rPr>
              <w:t>NA</w:t>
            </w:r>
          </w:p>
        </w:tc>
        <w:tc>
          <w:tcPr>
            <w:tcW w:w="0" w:type="auto"/>
            <w:shd w:val="clear" w:color="000000" w:fill="FFFFFF"/>
            <w:vAlign w:val="center"/>
            <w:hideMark/>
          </w:tcPr>
          <w:p w14:paraId="1F0D00B4"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50E0C6F1"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0" w:type="auto"/>
            <w:shd w:val="clear" w:color="000000" w:fill="FFFFFF"/>
            <w:vAlign w:val="center"/>
            <w:hideMark/>
          </w:tcPr>
          <w:p w14:paraId="5A3CE550"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0" w:type="auto"/>
            <w:shd w:val="clear" w:color="000000" w:fill="FFFFFF"/>
            <w:vAlign w:val="center"/>
            <w:hideMark/>
          </w:tcPr>
          <w:p w14:paraId="6D361F20" w14:textId="77777777" w:rsidR="00DB1AEE" w:rsidRPr="00DB1AEE" w:rsidRDefault="00DB1AEE" w:rsidP="00DB1AEE">
            <w:pPr>
              <w:suppressAutoHyphens/>
              <w:jc w:val="center"/>
              <w:rPr>
                <w:sz w:val="18"/>
                <w:szCs w:val="18"/>
                <w:u w:val="single"/>
              </w:rPr>
            </w:pPr>
            <w:r w:rsidRPr="00DB1AEE">
              <w:rPr>
                <w:strike/>
                <w:sz w:val="18"/>
                <w:szCs w:val="18"/>
                <w:u w:val="single"/>
              </w:rPr>
              <w:t>REQ</w:t>
            </w:r>
          </w:p>
        </w:tc>
        <w:tc>
          <w:tcPr>
            <w:tcW w:w="0" w:type="auto"/>
            <w:shd w:val="clear" w:color="000000" w:fill="FFFFFF"/>
            <w:vAlign w:val="center"/>
            <w:hideMark/>
          </w:tcPr>
          <w:p w14:paraId="50551280"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6AB38659"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0435F9F9"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25C37FAE" w14:textId="77777777" w:rsidR="00DB1AEE" w:rsidRPr="00DB1AEE" w:rsidRDefault="00DB1AEE" w:rsidP="00DB1AEE">
            <w:pPr>
              <w:suppressAutoHyphens/>
              <w:jc w:val="center"/>
              <w:rPr>
                <w:sz w:val="18"/>
                <w:szCs w:val="18"/>
                <w:u w:val="single"/>
              </w:rPr>
            </w:pPr>
            <w:r w:rsidRPr="00DB1AEE">
              <w:rPr>
                <w:sz w:val="18"/>
                <w:szCs w:val="18"/>
                <w:u w:val="single"/>
              </w:rPr>
              <w:t>ADD2</w:t>
            </w:r>
          </w:p>
        </w:tc>
        <w:tc>
          <w:tcPr>
            <w:tcW w:w="0" w:type="auto"/>
            <w:shd w:val="clear" w:color="000000" w:fill="FFFFFF"/>
            <w:vAlign w:val="center"/>
            <w:hideMark/>
          </w:tcPr>
          <w:p w14:paraId="5805EEDB" w14:textId="77777777" w:rsidR="00DB1AEE" w:rsidRPr="00DB1AEE" w:rsidRDefault="00DB1AEE" w:rsidP="00DB1AEE">
            <w:pPr>
              <w:suppressAutoHyphens/>
              <w:jc w:val="center"/>
              <w:rPr>
                <w:sz w:val="18"/>
                <w:szCs w:val="18"/>
                <w:u w:val="single"/>
              </w:rPr>
            </w:pPr>
            <w:r w:rsidRPr="00DB1AEE">
              <w:rPr>
                <w:sz w:val="18"/>
                <w:szCs w:val="18"/>
                <w:u w:val="single"/>
              </w:rPr>
              <w:t>ADD2</w:t>
            </w:r>
          </w:p>
        </w:tc>
      </w:tr>
      <w:tr w:rsidR="00DB1AEE" w:rsidRPr="00DB1AEE" w14:paraId="455E4EB6" w14:textId="77777777" w:rsidTr="00FC1832">
        <w:trPr>
          <w:trHeight w:val="885"/>
          <w:jc w:val="center"/>
        </w:trPr>
        <w:tc>
          <w:tcPr>
            <w:tcW w:w="0" w:type="auto"/>
            <w:shd w:val="clear" w:color="000000" w:fill="FFFFFF"/>
            <w:vAlign w:val="center"/>
            <w:hideMark/>
          </w:tcPr>
          <w:p w14:paraId="534A8284" w14:textId="77777777" w:rsidR="00DB1AEE" w:rsidRPr="00DB1AEE" w:rsidRDefault="00DB1AEE" w:rsidP="00DB1AEE">
            <w:pPr>
              <w:suppressAutoHyphens/>
              <w:jc w:val="center"/>
              <w:rPr>
                <w:sz w:val="18"/>
                <w:szCs w:val="18"/>
                <w:u w:val="single"/>
              </w:rPr>
            </w:pPr>
            <w:r w:rsidRPr="00DB1AEE">
              <w:rPr>
                <w:sz w:val="18"/>
                <w:szCs w:val="18"/>
                <w:u w:val="single"/>
              </w:rPr>
              <w:t>&gt;40 ft in height</w:t>
            </w:r>
          </w:p>
        </w:tc>
        <w:tc>
          <w:tcPr>
            <w:tcW w:w="0" w:type="auto"/>
            <w:gridSpan w:val="2"/>
            <w:shd w:val="clear" w:color="000000" w:fill="FFFFFF"/>
            <w:vAlign w:val="center"/>
            <w:hideMark/>
          </w:tcPr>
          <w:p w14:paraId="6C7DEA2D" w14:textId="77777777" w:rsidR="00DB1AEE" w:rsidRPr="00DB1AEE" w:rsidRDefault="00DB1AEE" w:rsidP="00DB1AEE">
            <w:pPr>
              <w:suppressAutoHyphens/>
              <w:jc w:val="center"/>
              <w:rPr>
                <w:sz w:val="18"/>
                <w:szCs w:val="18"/>
                <w:u w:val="single"/>
              </w:rPr>
            </w:pPr>
            <w:r w:rsidRPr="00DB1AEE">
              <w:rPr>
                <w:sz w:val="18"/>
                <w:szCs w:val="18"/>
                <w:u w:val="single"/>
              </w:rPr>
              <w:t>0.51</w:t>
            </w:r>
          </w:p>
        </w:tc>
        <w:tc>
          <w:tcPr>
            <w:tcW w:w="0" w:type="auto"/>
            <w:shd w:val="clear" w:color="000000" w:fill="FFFFFF"/>
            <w:vAlign w:val="center"/>
            <w:hideMark/>
          </w:tcPr>
          <w:p w14:paraId="358DB397" w14:textId="77777777" w:rsidR="00DB1AEE" w:rsidRPr="00DB1AEE" w:rsidRDefault="00DB1AEE" w:rsidP="00DB1AEE">
            <w:pPr>
              <w:suppressAutoHyphens/>
              <w:jc w:val="center"/>
              <w:rPr>
                <w:sz w:val="18"/>
                <w:szCs w:val="18"/>
                <w:u w:val="single"/>
              </w:rPr>
            </w:pPr>
            <w:r w:rsidRPr="00DB1AEE">
              <w:rPr>
                <w:strike/>
                <w:sz w:val="18"/>
                <w:szCs w:val="18"/>
                <w:u w:val="single"/>
              </w:rPr>
              <w:t>NA</w:t>
            </w:r>
            <w:r w:rsidRPr="00DB1AEE">
              <w:rPr>
                <w:sz w:val="18"/>
                <w:szCs w:val="18"/>
                <w:u w:val="single"/>
              </w:rPr>
              <w:t xml:space="preserve"> 11</w:t>
            </w:r>
          </w:p>
        </w:tc>
        <w:tc>
          <w:tcPr>
            <w:tcW w:w="0" w:type="auto"/>
            <w:shd w:val="clear" w:color="000000" w:fill="FFFFFF"/>
            <w:vAlign w:val="center"/>
            <w:hideMark/>
          </w:tcPr>
          <w:p w14:paraId="182F696C"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6DEC053C"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0" w:type="auto"/>
            <w:shd w:val="clear" w:color="000000" w:fill="FFFFFF"/>
            <w:vAlign w:val="center"/>
            <w:hideMark/>
          </w:tcPr>
          <w:p w14:paraId="1291C70F"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0" w:type="auto"/>
            <w:shd w:val="clear" w:color="000000" w:fill="FFFFFF"/>
            <w:vAlign w:val="center"/>
            <w:hideMark/>
          </w:tcPr>
          <w:p w14:paraId="7D8E5274" w14:textId="77777777" w:rsidR="00DB1AEE" w:rsidRPr="00DB1AEE" w:rsidRDefault="00DB1AEE" w:rsidP="00DB1AEE">
            <w:pPr>
              <w:suppressAutoHyphens/>
              <w:jc w:val="center"/>
              <w:rPr>
                <w:sz w:val="18"/>
                <w:szCs w:val="18"/>
                <w:u w:val="single"/>
              </w:rPr>
            </w:pPr>
            <w:r w:rsidRPr="00DB1AEE">
              <w:rPr>
                <w:strike/>
                <w:sz w:val="18"/>
                <w:szCs w:val="18"/>
                <w:u w:val="single"/>
              </w:rPr>
              <w:t>REQ</w:t>
            </w:r>
          </w:p>
        </w:tc>
        <w:tc>
          <w:tcPr>
            <w:tcW w:w="0" w:type="auto"/>
            <w:shd w:val="clear" w:color="000000" w:fill="FFFFFF"/>
            <w:vAlign w:val="center"/>
            <w:hideMark/>
          </w:tcPr>
          <w:p w14:paraId="57FE1B55"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4A6B7AFF"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185A70CA"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60A5BB4A" w14:textId="77777777" w:rsidR="00DB1AEE" w:rsidRPr="00DB1AEE" w:rsidRDefault="00DB1AEE" w:rsidP="00DB1AEE">
            <w:pPr>
              <w:suppressAutoHyphens/>
              <w:jc w:val="center"/>
              <w:rPr>
                <w:sz w:val="18"/>
                <w:szCs w:val="18"/>
                <w:u w:val="single"/>
              </w:rPr>
            </w:pPr>
            <w:r w:rsidRPr="00DB1AEE">
              <w:rPr>
                <w:sz w:val="18"/>
                <w:szCs w:val="18"/>
                <w:u w:val="single"/>
              </w:rPr>
              <w:t>ADD2</w:t>
            </w:r>
          </w:p>
        </w:tc>
        <w:tc>
          <w:tcPr>
            <w:tcW w:w="0" w:type="auto"/>
            <w:shd w:val="clear" w:color="000000" w:fill="FFFFFF"/>
            <w:vAlign w:val="center"/>
            <w:hideMark/>
          </w:tcPr>
          <w:p w14:paraId="510EF1C7" w14:textId="77777777" w:rsidR="00DB1AEE" w:rsidRPr="00DB1AEE" w:rsidRDefault="00DB1AEE" w:rsidP="00DB1AEE">
            <w:pPr>
              <w:suppressAutoHyphens/>
              <w:jc w:val="center"/>
              <w:rPr>
                <w:sz w:val="18"/>
                <w:szCs w:val="18"/>
                <w:u w:val="single"/>
              </w:rPr>
            </w:pPr>
            <w:r w:rsidRPr="00DB1AEE">
              <w:rPr>
                <w:sz w:val="18"/>
                <w:szCs w:val="18"/>
                <w:u w:val="single"/>
              </w:rPr>
              <w:t>ADD2</w:t>
            </w:r>
          </w:p>
        </w:tc>
      </w:tr>
      <w:tr w:rsidR="00DB1AEE" w:rsidRPr="00DB1AEE" w14:paraId="3692A315" w14:textId="77777777" w:rsidTr="00FC1832">
        <w:trPr>
          <w:gridAfter w:val="12"/>
          <w:trHeight w:val="282"/>
          <w:jc w:val="center"/>
        </w:trPr>
        <w:tc>
          <w:tcPr>
            <w:tcW w:w="0" w:type="auto"/>
            <w:shd w:val="clear" w:color="000000" w:fill="FFFFFF"/>
            <w:vAlign w:val="center"/>
            <w:hideMark/>
          </w:tcPr>
          <w:p w14:paraId="4DFE79C7" w14:textId="77777777" w:rsidR="00DB1AEE" w:rsidRPr="00DB1AEE" w:rsidRDefault="00DB1AEE" w:rsidP="00DB1AEE">
            <w:pPr>
              <w:suppressAutoHyphens/>
              <w:jc w:val="center"/>
              <w:rPr>
                <w:sz w:val="18"/>
                <w:szCs w:val="18"/>
                <w:u w:val="single"/>
              </w:rPr>
            </w:pPr>
            <w:r w:rsidRPr="00DB1AEE">
              <w:rPr>
                <w:sz w:val="18"/>
                <w:szCs w:val="18"/>
                <w:u w:val="single"/>
              </w:rPr>
              <w:t>Audience Seating Area</w:t>
            </w:r>
          </w:p>
        </w:tc>
      </w:tr>
      <w:tr w:rsidR="00DB1AEE" w:rsidRPr="00DB1AEE" w14:paraId="0964CD91" w14:textId="77777777" w:rsidTr="00FC1832">
        <w:trPr>
          <w:trHeight w:val="282"/>
          <w:jc w:val="center"/>
        </w:trPr>
        <w:tc>
          <w:tcPr>
            <w:tcW w:w="0" w:type="auto"/>
            <w:shd w:val="clear" w:color="000000" w:fill="FFFFFF"/>
            <w:vAlign w:val="center"/>
            <w:hideMark/>
          </w:tcPr>
          <w:p w14:paraId="328723A9" w14:textId="77777777" w:rsidR="00DB1AEE" w:rsidRPr="00DB1AEE" w:rsidRDefault="00DB1AEE" w:rsidP="00DB1AEE">
            <w:pPr>
              <w:suppressAutoHyphens/>
              <w:jc w:val="center"/>
              <w:rPr>
                <w:sz w:val="18"/>
                <w:szCs w:val="18"/>
                <w:u w:val="single"/>
              </w:rPr>
            </w:pPr>
            <w:r w:rsidRPr="00DB1AEE">
              <w:rPr>
                <w:sz w:val="18"/>
                <w:szCs w:val="18"/>
                <w:u w:val="single"/>
              </w:rPr>
              <w:t>Auditorium</w:t>
            </w:r>
          </w:p>
        </w:tc>
        <w:tc>
          <w:tcPr>
            <w:tcW w:w="0" w:type="auto"/>
            <w:gridSpan w:val="2"/>
            <w:shd w:val="clear" w:color="000000" w:fill="FFFFFF"/>
            <w:vAlign w:val="center"/>
            <w:hideMark/>
          </w:tcPr>
          <w:p w14:paraId="056FEBBB" w14:textId="77777777" w:rsidR="00DB1AEE" w:rsidRPr="00DB1AEE" w:rsidRDefault="00DB1AEE" w:rsidP="00DB1AEE">
            <w:pPr>
              <w:suppressAutoHyphens/>
              <w:jc w:val="center"/>
              <w:rPr>
                <w:sz w:val="18"/>
                <w:szCs w:val="18"/>
                <w:u w:val="single"/>
              </w:rPr>
            </w:pPr>
            <w:r w:rsidRPr="00DB1AEE">
              <w:rPr>
                <w:sz w:val="18"/>
                <w:szCs w:val="18"/>
                <w:u w:val="single"/>
              </w:rPr>
              <w:t>0.57</w:t>
            </w:r>
          </w:p>
        </w:tc>
        <w:tc>
          <w:tcPr>
            <w:tcW w:w="0" w:type="auto"/>
            <w:shd w:val="clear" w:color="000000" w:fill="FFFFFF"/>
            <w:vAlign w:val="center"/>
            <w:hideMark/>
          </w:tcPr>
          <w:p w14:paraId="31B3168A" w14:textId="77777777" w:rsidR="00DB1AEE" w:rsidRPr="00DB1AEE" w:rsidRDefault="00DB1AEE" w:rsidP="00DB1AEE">
            <w:pPr>
              <w:suppressAutoHyphens/>
              <w:jc w:val="center"/>
              <w:rPr>
                <w:sz w:val="18"/>
                <w:szCs w:val="18"/>
                <w:u w:val="single"/>
              </w:rPr>
            </w:pPr>
            <w:r w:rsidRPr="00DB1AEE">
              <w:rPr>
                <w:sz w:val="18"/>
                <w:szCs w:val="18"/>
                <w:u w:val="single"/>
              </w:rPr>
              <w:t>6</w:t>
            </w:r>
          </w:p>
        </w:tc>
        <w:tc>
          <w:tcPr>
            <w:tcW w:w="0" w:type="auto"/>
            <w:shd w:val="clear" w:color="000000" w:fill="FFFFFF"/>
            <w:vAlign w:val="center"/>
            <w:hideMark/>
          </w:tcPr>
          <w:p w14:paraId="3E74690D"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12EEE50D"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0" w:type="auto"/>
            <w:shd w:val="clear" w:color="000000" w:fill="FFFFFF"/>
            <w:vAlign w:val="center"/>
            <w:hideMark/>
          </w:tcPr>
          <w:p w14:paraId="71D5E894"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0" w:type="auto"/>
            <w:shd w:val="clear" w:color="000000" w:fill="FFFFFF"/>
            <w:vAlign w:val="center"/>
            <w:hideMark/>
          </w:tcPr>
          <w:p w14:paraId="36487332"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147821B4"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5FB1B661" w14:textId="77777777" w:rsidR="00DB1AEE" w:rsidRPr="00DB1AEE" w:rsidRDefault="00DB1AEE" w:rsidP="00DB1AEE">
            <w:pPr>
              <w:suppressAutoHyphens/>
              <w:jc w:val="center"/>
              <w:rPr>
                <w:sz w:val="18"/>
                <w:szCs w:val="18"/>
                <w:u w:val="single"/>
              </w:rPr>
            </w:pPr>
            <w:r w:rsidRPr="00DB1AEE">
              <w:rPr>
                <w:strike/>
                <w:sz w:val="18"/>
                <w:szCs w:val="18"/>
                <w:u w:val="single"/>
              </w:rPr>
              <w:t>REQ</w:t>
            </w:r>
          </w:p>
        </w:tc>
        <w:tc>
          <w:tcPr>
            <w:tcW w:w="0" w:type="auto"/>
            <w:shd w:val="clear" w:color="000000" w:fill="FFFFFF"/>
            <w:vAlign w:val="center"/>
            <w:hideMark/>
          </w:tcPr>
          <w:p w14:paraId="3FAE85B9"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254CE5EC" w14:textId="77777777" w:rsidR="00DB1AEE" w:rsidRPr="00DB1AEE" w:rsidRDefault="00DB1AEE" w:rsidP="00DB1AEE">
            <w:pPr>
              <w:suppressAutoHyphens/>
              <w:jc w:val="center"/>
              <w:rPr>
                <w:sz w:val="18"/>
                <w:szCs w:val="18"/>
                <w:u w:val="single"/>
              </w:rPr>
            </w:pPr>
            <w:r w:rsidRPr="00DB1AEE">
              <w:rPr>
                <w:sz w:val="18"/>
                <w:szCs w:val="18"/>
                <w:u w:val="single"/>
              </w:rPr>
              <w:t>ADD2</w:t>
            </w:r>
          </w:p>
        </w:tc>
        <w:tc>
          <w:tcPr>
            <w:tcW w:w="0" w:type="auto"/>
            <w:shd w:val="clear" w:color="000000" w:fill="FFFFFF"/>
            <w:vAlign w:val="center"/>
            <w:hideMark/>
          </w:tcPr>
          <w:p w14:paraId="121D4ECD" w14:textId="77777777" w:rsidR="00DB1AEE" w:rsidRPr="00DB1AEE" w:rsidRDefault="00DB1AEE" w:rsidP="00DB1AEE">
            <w:pPr>
              <w:suppressAutoHyphens/>
              <w:jc w:val="center"/>
              <w:rPr>
                <w:sz w:val="18"/>
                <w:szCs w:val="18"/>
                <w:u w:val="single"/>
              </w:rPr>
            </w:pPr>
            <w:r w:rsidRPr="00DB1AEE">
              <w:rPr>
                <w:sz w:val="18"/>
                <w:szCs w:val="18"/>
                <w:u w:val="single"/>
              </w:rPr>
              <w:t>ADD2</w:t>
            </w:r>
          </w:p>
        </w:tc>
      </w:tr>
      <w:tr w:rsidR="00DB1AEE" w:rsidRPr="00DB1AEE" w14:paraId="565E5C13" w14:textId="77777777" w:rsidTr="00FC1832">
        <w:trPr>
          <w:trHeight w:val="259"/>
          <w:jc w:val="center"/>
        </w:trPr>
        <w:tc>
          <w:tcPr>
            <w:tcW w:w="0" w:type="auto"/>
            <w:shd w:val="clear" w:color="000000" w:fill="FFFFFF"/>
            <w:vAlign w:val="center"/>
            <w:hideMark/>
          </w:tcPr>
          <w:p w14:paraId="7B2EE4E6" w14:textId="77777777" w:rsidR="00DB1AEE" w:rsidRPr="00DB1AEE" w:rsidRDefault="00DB1AEE" w:rsidP="00DB1AEE">
            <w:pPr>
              <w:suppressAutoHyphens/>
              <w:jc w:val="center"/>
              <w:rPr>
                <w:sz w:val="18"/>
                <w:szCs w:val="18"/>
                <w:u w:val="single"/>
              </w:rPr>
            </w:pPr>
            <w:r w:rsidRPr="00DB1AEE">
              <w:rPr>
                <w:sz w:val="18"/>
                <w:szCs w:val="18"/>
                <w:u w:val="single"/>
              </w:rPr>
              <w:t>Gymnasium</w:t>
            </w:r>
          </w:p>
        </w:tc>
        <w:tc>
          <w:tcPr>
            <w:tcW w:w="0" w:type="auto"/>
            <w:gridSpan w:val="2"/>
            <w:shd w:val="clear" w:color="000000" w:fill="FFFFFF"/>
            <w:vAlign w:val="center"/>
            <w:hideMark/>
          </w:tcPr>
          <w:p w14:paraId="511058B8" w14:textId="77777777" w:rsidR="00DB1AEE" w:rsidRPr="00DB1AEE" w:rsidRDefault="00DB1AEE" w:rsidP="00DB1AEE">
            <w:pPr>
              <w:suppressAutoHyphens/>
              <w:jc w:val="center"/>
              <w:rPr>
                <w:sz w:val="18"/>
                <w:szCs w:val="18"/>
                <w:u w:val="single"/>
              </w:rPr>
            </w:pPr>
            <w:r w:rsidRPr="00DB1AEE">
              <w:rPr>
                <w:sz w:val="18"/>
                <w:szCs w:val="18"/>
                <w:u w:val="single"/>
              </w:rPr>
              <w:t>0.23</w:t>
            </w:r>
          </w:p>
        </w:tc>
        <w:tc>
          <w:tcPr>
            <w:tcW w:w="0" w:type="auto"/>
            <w:shd w:val="clear" w:color="000000" w:fill="FFFFFF"/>
            <w:vAlign w:val="center"/>
            <w:hideMark/>
          </w:tcPr>
          <w:p w14:paraId="7B286CC6" w14:textId="77777777" w:rsidR="00DB1AEE" w:rsidRPr="00DB1AEE" w:rsidRDefault="00DB1AEE" w:rsidP="00DB1AEE">
            <w:pPr>
              <w:suppressAutoHyphens/>
              <w:jc w:val="center"/>
              <w:rPr>
                <w:sz w:val="18"/>
                <w:szCs w:val="18"/>
                <w:u w:val="single"/>
              </w:rPr>
            </w:pPr>
            <w:r w:rsidRPr="00DB1AEE">
              <w:rPr>
                <w:sz w:val="18"/>
                <w:szCs w:val="18"/>
                <w:u w:val="single"/>
              </w:rPr>
              <w:t>6</w:t>
            </w:r>
          </w:p>
        </w:tc>
        <w:tc>
          <w:tcPr>
            <w:tcW w:w="0" w:type="auto"/>
            <w:shd w:val="clear" w:color="000000" w:fill="FFFFFF"/>
            <w:vAlign w:val="center"/>
            <w:hideMark/>
          </w:tcPr>
          <w:p w14:paraId="58E1D147"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6A26799E"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0" w:type="auto"/>
            <w:shd w:val="clear" w:color="000000" w:fill="FFFFFF"/>
            <w:vAlign w:val="center"/>
            <w:hideMark/>
          </w:tcPr>
          <w:p w14:paraId="611480A8"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0" w:type="auto"/>
            <w:shd w:val="clear" w:color="000000" w:fill="FFFFFF"/>
            <w:vAlign w:val="center"/>
            <w:hideMark/>
          </w:tcPr>
          <w:p w14:paraId="6A989A33"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7B608950"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4180CCC1"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053BEA59"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669A10D3" w14:textId="77777777" w:rsidR="00DB1AEE" w:rsidRPr="00DB1AEE" w:rsidRDefault="00DB1AEE" w:rsidP="00DB1AEE">
            <w:pPr>
              <w:suppressAutoHyphens/>
              <w:jc w:val="center"/>
              <w:rPr>
                <w:sz w:val="18"/>
                <w:szCs w:val="18"/>
                <w:u w:val="single"/>
              </w:rPr>
            </w:pPr>
            <w:r w:rsidRPr="00DB1AEE">
              <w:rPr>
                <w:sz w:val="18"/>
                <w:szCs w:val="18"/>
                <w:u w:val="single"/>
              </w:rPr>
              <w:t>ADD2</w:t>
            </w:r>
          </w:p>
        </w:tc>
        <w:tc>
          <w:tcPr>
            <w:tcW w:w="0" w:type="auto"/>
            <w:shd w:val="clear" w:color="000000" w:fill="FFFFFF"/>
            <w:vAlign w:val="center"/>
            <w:hideMark/>
          </w:tcPr>
          <w:p w14:paraId="3F846D35" w14:textId="77777777" w:rsidR="00DB1AEE" w:rsidRPr="00DB1AEE" w:rsidRDefault="00DB1AEE" w:rsidP="00DB1AEE">
            <w:pPr>
              <w:suppressAutoHyphens/>
              <w:jc w:val="center"/>
              <w:rPr>
                <w:sz w:val="18"/>
                <w:szCs w:val="18"/>
                <w:u w:val="single"/>
              </w:rPr>
            </w:pPr>
            <w:r w:rsidRPr="00DB1AEE">
              <w:rPr>
                <w:sz w:val="18"/>
                <w:szCs w:val="18"/>
                <w:u w:val="single"/>
              </w:rPr>
              <w:t>ADD2</w:t>
            </w:r>
          </w:p>
        </w:tc>
      </w:tr>
      <w:tr w:rsidR="00DB1AEE" w:rsidRPr="00DB1AEE" w14:paraId="73919B13" w14:textId="77777777" w:rsidTr="00FC1832">
        <w:trPr>
          <w:trHeight w:val="282"/>
          <w:jc w:val="center"/>
        </w:trPr>
        <w:tc>
          <w:tcPr>
            <w:tcW w:w="0" w:type="auto"/>
            <w:shd w:val="clear" w:color="000000" w:fill="FFFFFF"/>
            <w:vAlign w:val="center"/>
            <w:hideMark/>
          </w:tcPr>
          <w:p w14:paraId="7CFF2C3A" w14:textId="77777777" w:rsidR="00DB1AEE" w:rsidRPr="00DB1AEE" w:rsidRDefault="00DB1AEE" w:rsidP="00DB1AEE">
            <w:pPr>
              <w:suppressAutoHyphens/>
              <w:jc w:val="center"/>
              <w:rPr>
                <w:sz w:val="18"/>
                <w:szCs w:val="18"/>
                <w:u w:val="single"/>
              </w:rPr>
            </w:pPr>
            <w:r w:rsidRPr="00DB1AEE">
              <w:rPr>
                <w:sz w:val="18"/>
                <w:szCs w:val="18"/>
                <w:u w:val="single"/>
              </w:rPr>
              <w:t>Motion picture theater</w:t>
            </w:r>
          </w:p>
        </w:tc>
        <w:tc>
          <w:tcPr>
            <w:tcW w:w="0" w:type="auto"/>
            <w:gridSpan w:val="2"/>
            <w:shd w:val="clear" w:color="000000" w:fill="FFFFFF"/>
            <w:vAlign w:val="center"/>
            <w:hideMark/>
          </w:tcPr>
          <w:p w14:paraId="6450996A" w14:textId="77777777" w:rsidR="00DB1AEE" w:rsidRPr="00DB1AEE" w:rsidRDefault="00DB1AEE" w:rsidP="00DB1AEE">
            <w:pPr>
              <w:suppressAutoHyphens/>
              <w:jc w:val="center"/>
              <w:rPr>
                <w:sz w:val="18"/>
                <w:szCs w:val="18"/>
                <w:u w:val="single"/>
              </w:rPr>
            </w:pPr>
            <w:r w:rsidRPr="00DB1AEE">
              <w:rPr>
                <w:sz w:val="18"/>
                <w:szCs w:val="18"/>
                <w:u w:val="single"/>
              </w:rPr>
              <w:t>0.27</w:t>
            </w:r>
          </w:p>
        </w:tc>
        <w:tc>
          <w:tcPr>
            <w:tcW w:w="0" w:type="auto"/>
            <w:shd w:val="clear" w:color="000000" w:fill="FFFFFF"/>
            <w:vAlign w:val="center"/>
            <w:hideMark/>
          </w:tcPr>
          <w:p w14:paraId="031A6A87" w14:textId="77777777" w:rsidR="00DB1AEE" w:rsidRPr="00DB1AEE" w:rsidRDefault="00DB1AEE" w:rsidP="00DB1AEE">
            <w:pPr>
              <w:suppressAutoHyphens/>
              <w:jc w:val="center"/>
              <w:rPr>
                <w:sz w:val="18"/>
                <w:szCs w:val="18"/>
                <w:u w:val="single"/>
              </w:rPr>
            </w:pPr>
            <w:r w:rsidRPr="00DB1AEE">
              <w:rPr>
                <w:sz w:val="18"/>
                <w:szCs w:val="18"/>
                <w:u w:val="single"/>
              </w:rPr>
              <w:t>4</w:t>
            </w:r>
          </w:p>
        </w:tc>
        <w:tc>
          <w:tcPr>
            <w:tcW w:w="0" w:type="auto"/>
            <w:shd w:val="clear" w:color="000000" w:fill="FFFFFF"/>
            <w:vAlign w:val="center"/>
            <w:hideMark/>
          </w:tcPr>
          <w:p w14:paraId="2775698D"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5E5F1C04"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0" w:type="auto"/>
            <w:shd w:val="clear" w:color="000000" w:fill="FFFFFF"/>
            <w:vAlign w:val="center"/>
            <w:hideMark/>
          </w:tcPr>
          <w:p w14:paraId="01C2B57A"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0" w:type="auto"/>
            <w:shd w:val="clear" w:color="000000" w:fill="FFFFFF"/>
            <w:vAlign w:val="center"/>
            <w:hideMark/>
          </w:tcPr>
          <w:p w14:paraId="25B8ABA4"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389D6D66"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0A7AC317" w14:textId="77777777" w:rsidR="00DB1AEE" w:rsidRPr="00DB1AEE" w:rsidRDefault="00DB1AEE" w:rsidP="00DB1AEE">
            <w:pPr>
              <w:suppressAutoHyphens/>
              <w:jc w:val="center"/>
              <w:rPr>
                <w:sz w:val="18"/>
                <w:szCs w:val="18"/>
                <w:u w:val="single"/>
              </w:rPr>
            </w:pPr>
            <w:r w:rsidRPr="00DB1AEE">
              <w:rPr>
                <w:strike/>
                <w:sz w:val="18"/>
                <w:szCs w:val="18"/>
                <w:u w:val="single"/>
              </w:rPr>
              <w:t>REQ</w:t>
            </w:r>
          </w:p>
        </w:tc>
        <w:tc>
          <w:tcPr>
            <w:tcW w:w="0" w:type="auto"/>
            <w:shd w:val="clear" w:color="000000" w:fill="FFFFFF"/>
            <w:vAlign w:val="center"/>
            <w:hideMark/>
          </w:tcPr>
          <w:p w14:paraId="229B0573"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302CDA2E" w14:textId="77777777" w:rsidR="00DB1AEE" w:rsidRPr="00DB1AEE" w:rsidRDefault="00DB1AEE" w:rsidP="00DB1AEE">
            <w:pPr>
              <w:suppressAutoHyphens/>
              <w:jc w:val="center"/>
              <w:rPr>
                <w:sz w:val="18"/>
                <w:szCs w:val="18"/>
                <w:u w:val="single"/>
              </w:rPr>
            </w:pPr>
            <w:r w:rsidRPr="00DB1AEE">
              <w:rPr>
                <w:sz w:val="18"/>
                <w:szCs w:val="18"/>
                <w:u w:val="single"/>
              </w:rPr>
              <w:t>ADD2</w:t>
            </w:r>
          </w:p>
        </w:tc>
        <w:tc>
          <w:tcPr>
            <w:tcW w:w="0" w:type="auto"/>
            <w:shd w:val="clear" w:color="000000" w:fill="FFFFFF"/>
            <w:vAlign w:val="center"/>
            <w:hideMark/>
          </w:tcPr>
          <w:p w14:paraId="43BAE28A" w14:textId="77777777" w:rsidR="00DB1AEE" w:rsidRPr="00DB1AEE" w:rsidRDefault="00DB1AEE" w:rsidP="00DB1AEE">
            <w:pPr>
              <w:suppressAutoHyphens/>
              <w:jc w:val="center"/>
              <w:rPr>
                <w:sz w:val="18"/>
                <w:szCs w:val="18"/>
                <w:u w:val="single"/>
              </w:rPr>
            </w:pPr>
            <w:r w:rsidRPr="00DB1AEE">
              <w:rPr>
                <w:sz w:val="18"/>
                <w:szCs w:val="18"/>
                <w:u w:val="single"/>
              </w:rPr>
              <w:t>ADD2</w:t>
            </w:r>
          </w:p>
        </w:tc>
      </w:tr>
      <w:tr w:rsidR="00DB1AEE" w:rsidRPr="00DB1AEE" w14:paraId="263FEC36" w14:textId="77777777" w:rsidTr="00FC1832">
        <w:trPr>
          <w:trHeight w:val="259"/>
          <w:jc w:val="center"/>
        </w:trPr>
        <w:tc>
          <w:tcPr>
            <w:tcW w:w="0" w:type="auto"/>
            <w:shd w:val="clear" w:color="000000" w:fill="FFFFFF"/>
            <w:vAlign w:val="center"/>
            <w:hideMark/>
          </w:tcPr>
          <w:p w14:paraId="33F72B07" w14:textId="77777777" w:rsidR="00DB1AEE" w:rsidRPr="00DB1AEE" w:rsidRDefault="00DB1AEE" w:rsidP="00DB1AEE">
            <w:pPr>
              <w:suppressAutoHyphens/>
              <w:jc w:val="center"/>
              <w:rPr>
                <w:sz w:val="18"/>
                <w:szCs w:val="18"/>
                <w:u w:val="single"/>
              </w:rPr>
            </w:pPr>
            <w:r w:rsidRPr="00DB1AEE">
              <w:rPr>
                <w:sz w:val="18"/>
                <w:szCs w:val="18"/>
                <w:u w:val="single"/>
              </w:rPr>
              <w:t>Performing arts theater</w:t>
            </w:r>
          </w:p>
        </w:tc>
        <w:tc>
          <w:tcPr>
            <w:tcW w:w="0" w:type="auto"/>
            <w:gridSpan w:val="2"/>
            <w:shd w:val="clear" w:color="000000" w:fill="FFFFFF"/>
            <w:vAlign w:val="center"/>
            <w:hideMark/>
          </w:tcPr>
          <w:p w14:paraId="2C3A8097" w14:textId="77777777" w:rsidR="00DB1AEE" w:rsidRPr="00DB1AEE" w:rsidRDefault="00DB1AEE" w:rsidP="00DB1AEE">
            <w:pPr>
              <w:suppressAutoHyphens/>
              <w:jc w:val="center"/>
              <w:rPr>
                <w:sz w:val="18"/>
                <w:szCs w:val="18"/>
                <w:u w:val="single"/>
              </w:rPr>
            </w:pPr>
            <w:r w:rsidRPr="00DB1AEE">
              <w:rPr>
                <w:sz w:val="18"/>
                <w:szCs w:val="18"/>
                <w:u w:val="single"/>
              </w:rPr>
              <w:t>1.10</w:t>
            </w:r>
          </w:p>
        </w:tc>
        <w:tc>
          <w:tcPr>
            <w:tcW w:w="0" w:type="auto"/>
            <w:shd w:val="clear" w:color="000000" w:fill="FFFFFF"/>
            <w:vAlign w:val="center"/>
            <w:hideMark/>
          </w:tcPr>
          <w:p w14:paraId="5B63DA8D" w14:textId="77777777" w:rsidR="00DB1AEE" w:rsidRPr="00DB1AEE" w:rsidRDefault="00DB1AEE" w:rsidP="00DB1AEE">
            <w:pPr>
              <w:suppressAutoHyphens/>
              <w:jc w:val="center"/>
              <w:rPr>
                <w:sz w:val="18"/>
                <w:szCs w:val="18"/>
                <w:u w:val="single"/>
              </w:rPr>
            </w:pPr>
            <w:r w:rsidRPr="00DB1AEE">
              <w:rPr>
                <w:sz w:val="18"/>
                <w:szCs w:val="18"/>
                <w:u w:val="single"/>
              </w:rPr>
              <w:t>8</w:t>
            </w:r>
          </w:p>
        </w:tc>
        <w:tc>
          <w:tcPr>
            <w:tcW w:w="0" w:type="auto"/>
            <w:shd w:val="clear" w:color="000000" w:fill="FFFFFF"/>
            <w:vAlign w:val="center"/>
            <w:hideMark/>
          </w:tcPr>
          <w:p w14:paraId="20C427D2"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2038598A"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0" w:type="auto"/>
            <w:shd w:val="clear" w:color="000000" w:fill="FFFFFF"/>
            <w:vAlign w:val="center"/>
            <w:hideMark/>
          </w:tcPr>
          <w:p w14:paraId="2CCFCA17"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0" w:type="auto"/>
            <w:shd w:val="clear" w:color="000000" w:fill="FFFFFF"/>
            <w:vAlign w:val="center"/>
            <w:hideMark/>
          </w:tcPr>
          <w:p w14:paraId="3A88AEB8"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28A3A4EF"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28FB215E" w14:textId="77777777" w:rsidR="00DB1AEE" w:rsidRPr="00DB1AEE" w:rsidRDefault="00DB1AEE" w:rsidP="00DB1AEE">
            <w:pPr>
              <w:suppressAutoHyphens/>
              <w:jc w:val="center"/>
              <w:rPr>
                <w:sz w:val="18"/>
                <w:szCs w:val="18"/>
                <w:u w:val="single"/>
              </w:rPr>
            </w:pPr>
            <w:r w:rsidRPr="00DB1AEE">
              <w:rPr>
                <w:strike/>
                <w:sz w:val="18"/>
                <w:szCs w:val="18"/>
                <w:u w:val="single"/>
              </w:rPr>
              <w:t>REQ</w:t>
            </w:r>
          </w:p>
        </w:tc>
        <w:tc>
          <w:tcPr>
            <w:tcW w:w="0" w:type="auto"/>
            <w:shd w:val="clear" w:color="000000" w:fill="FFFFFF"/>
            <w:vAlign w:val="center"/>
            <w:hideMark/>
          </w:tcPr>
          <w:p w14:paraId="453BE3FF"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25A6871A" w14:textId="77777777" w:rsidR="00DB1AEE" w:rsidRPr="00DB1AEE" w:rsidRDefault="00DB1AEE" w:rsidP="00DB1AEE">
            <w:pPr>
              <w:suppressAutoHyphens/>
              <w:jc w:val="center"/>
              <w:rPr>
                <w:sz w:val="18"/>
                <w:szCs w:val="18"/>
                <w:u w:val="single"/>
              </w:rPr>
            </w:pPr>
            <w:r w:rsidRPr="00DB1AEE">
              <w:rPr>
                <w:sz w:val="18"/>
                <w:szCs w:val="18"/>
                <w:u w:val="single"/>
              </w:rPr>
              <w:t>ADD2</w:t>
            </w:r>
          </w:p>
        </w:tc>
        <w:tc>
          <w:tcPr>
            <w:tcW w:w="0" w:type="auto"/>
            <w:shd w:val="clear" w:color="000000" w:fill="FFFFFF"/>
            <w:vAlign w:val="center"/>
            <w:hideMark/>
          </w:tcPr>
          <w:p w14:paraId="0099C5A5" w14:textId="77777777" w:rsidR="00DB1AEE" w:rsidRPr="00DB1AEE" w:rsidRDefault="00DB1AEE" w:rsidP="00DB1AEE">
            <w:pPr>
              <w:suppressAutoHyphens/>
              <w:jc w:val="center"/>
              <w:rPr>
                <w:sz w:val="18"/>
                <w:szCs w:val="18"/>
                <w:u w:val="single"/>
              </w:rPr>
            </w:pPr>
            <w:r w:rsidRPr="00DB1AEE">
              <w:rPr>
                <w:sz w:val="18"/>
                <w:szCs w:val="18"/>
                <w:u w:val="single"/>
              </w:rPr>
              <w:t>ADD2</w:t>
            </w:r>
          </w:p>
        </w:tc>
      </w:tr>
      <w:tr w:rsidR="00DB1AEE" w:rsidRPr="00DB1AEE" w14:paraId="738A0A6E" w14:textId="77777777" w:rsidTr="00FC1832">
        <w:trPr>
          <w:trHeight w:val="319"/>
          <w:jc w:val="center"/>
        </w:trPr>
        <w:tc>
          <w:tcPr>
            <w:tcW w:w="0" w:type="auto"/>
            <w:shd w:val="clear" w:color="000000" w:fill="FFFFFF"/>
            <w:vAlign w:val="center"/>
            <w:hideMark/>
          </w:tcPr>
          <w:p w14:paraId="7D559FF8" w14:textId="77777777" w:rsidR="00DB1AEE" w:rsidRPr="00DB1AEE" w:rsidRDefault="00DB1AEE" w:rsidP="00DB1AEE">
            <w:pPr>
              <w:suppressAutoHyphens/>
              <w:jc w:val="center"/>
              <w:rPr>
                <w:sz w:val="18"/>
                <w:szCs w:val="18"/>
                <w:u w:val="single"/>
              </w:rPr>
            </w:pPr>
            <w:r w:rsidRPr="00DB1AEE">
              <w:rPr>
                <w:sz w:val="18"/>
                <w:szCs w:val="18"/>
                <w:u w:val="single"/>
              </w:rPr>
              <w:t>Sports arena</w:t>
            </w:r>
          </w:p>
        </w:tc>
        <w:tc>
          <w:tcPr>
            <w:tcW w:w="0" w:type="auto"/>
            <w:gridSpan w:val="2"/>
            <w:shd w:val="clear" w:color="000000" w:fill="FFFFFF"/>
            <w:vAlign w:val="center"/>
            <w:hideMark/>
          </w:tcPr>
          <w:p w14:paraId="58E6D5F4" w14:textId="77777777" w:rsidR="00DB1AEE" w:rsidRPr="00DB1AEE" w:rsidRDefault="00DB1AEE" w:rsidP="00DB1AEE">
            <w:pPr>
              <w:suppressAutoHyphens/>
              <w:jc w:val="center"/>
              <w:rPr>
                <w:sz w:val="18"/>
                <w:szCs w:val="18"/>
                <w:u w:val="single"/>
              </w:rPr>
            </w:pPr>
            <w:r w:rsidRPr="00DB1AEE">
              <w:rPr>
                <w:sz w:val="18"/>
                <w:szCs w:val="18"/>
                <w:u w:val="single"/>
              </w:rPr>
              <w:t>0.27</w:t>
            </w:r>
          </w:p>
        </w:tc>
        <w:tc>
          <w:tcPr>
            <w:tcW w:w="0" w:type="auto"/>
            <w:shd w:val="clear" w:color="000000" w:fill="FFFFFF"/>
            <w:vAlign w:val="center"/>
            <w:hideMark/>
          </w:tcPr>
          <w:p w14:paraId="2AAAE69B" w14:textId="77777777" w:rsidR="00DB1AEE" w:rsidRPr="00DB1AEE" w:rsidRDefault="00DB1AEE" w:rsidP="00DB1AEE">
            <w:pPr>
              <w:suppressAutoHyphens/>
              <w:jc w:val="center"/>
              <w:rPr>
                <w:sz w:val="18"/>
                <w:szCs w:val="18"/>
                <w:u w:val="single"/>
              </w:rPr>
            </w:pPr>
            <w:r w:rsidRPr="00DB1AEE">
              <w:rPr>
                <w:sz w:val="18"/>
                <w:szCs w:val="18"/>
                <w:u w:val="single"/>
              </w:rPr>
              <w:t>4</w:t>
            </w:r>
          </w:p>
        </w:tc>
        <w:tc>
          <w:tcPr>
            <w:tcW w:w="0" w:type="auto"/>
            <w:shd w:val="clear" w:color="000000" w:fill="FFFFFF"/>
            <w:vAlign w:val="center"/>
            <w:hideMark/>
          </w:tcPr>
          <w:p w14:paraId="795D9089"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157EDBDF"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0" w:type="auto"/>
            <w:shd w:val="clear" w:color="000000" w:fill="FFFFFF"/>
            <w:vAlign w:val="center"/>
            <w:hideMark/>
          </w:tcPr>
          <w:p w14:paraId="3EC5B67B"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0" w:type="auto"/>
            <w:shd w:val="clear" w:color="000000" w:fill="FFFFFF"/>
            <w:vAlign w:val="center"/>
            <w:hideMark/>
          </w:tcPr>
          <w:p w14:paraId="41F65690"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2263AFE6"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655FDF5F"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2A093108"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3DAABA80" w14:textId="77777777" w:rsidR="00DB1AEE" w:rsidRPr="00DB1AEE" w:rsidRDefault="00DB1AEE" w:rsidP="00DB1AEE">
            <w:pPr>
              <w:suppressAutoHyphens/>
              <w:jc w:val="center"/>
              <w:rPr>
                <w:sz w:val="18"/>
                <w:szCs w:val="18"/>
                <w:u w:val="single"/>
              </w:rPr>
            </w:pPr>
            <w:r w:rsidRPr="00DB1AEE">
              <w:rPr>
                <w:sz w:val="18"/>
                <w:szCs w:val="18"/>
                <w:u w:val="single"/>
              </w:rPr>
              <w:t>ADD2</w:t>
            </w:r>
          </w:p>
        </w:tc>
        <w:tc>
          <w:tcPr>
            <w:tcW w:w="0" w:type="auto"/>
            <w:shd w:val="clear" w:color="000000" w:fill="FFFFFF"/>
            <w:vAlign w:val="center"/>
            <w:hideMark/>
          </w:tcPr>
          <w:p w14:paraId="59C19BFC" w14:textId="77777777" w:rsidR="00DB1AEE" w:rsidRPr="00DB1AEE" w:rsidRDefault="00DB1AEE" w:rsidP="00DB1AEE">
            <w:pPr>
              <w:suppressAutoHyphens/>
              <w:jc w:val="center"/>
              <w:rPr>
                <w:sz w:val="18"/>
                <w:szCs w:val="18"/>
                <w:u w:val="single"/>
              </w:rPr>
            </w:pPr>
            <w:r w:rsidRPr="00DB1AEE">
              <w:rPr>
                <w:sz w:val="18"/>
                <w:szCs w:val="18"/>
                <w:u w:val="single"/>
              </w:rPr>
              <w:t>ADD2</w:t>
            </w:r>
          </w:p>
        </w:tc>
      </w:tr>
      <w:tr w:rsidR="00DB1AEE" w:rsidRPr="00DB1AEE" w14:paraId="0569A51B" w14:textId="77777777" w:rsidTr="00FC1832">
        <w:trPr>
          <w:trHeight w:val="495"/>
          <w:jc w:val="center"/>
        </w:trPr>
        <w:tc>
          <w:tcPr>
            <w:tcW w:w="0" w:type="auto"/>
            <w:shd w:val="clear" w:color="000000" w:fill="FFFFFF"/>
            <w:vAlign w:val="center"/>
            <w:hideMark/>
          </w:tcPr>
          <w:p w14:paraId="11BF0FC8" w14:textId="77777777" w:rsidR="00DB1AEE" w:rsidRPr="00DB1AEE" w:rsidRDefault="00DB1AEE" w:rsidP="00DB1AEE">
            <w:pPr>
              <w:suppressAutoHyphens/>
              <w:jc w:val="center"/>
              <w:rPr>
                <w:sz w:val="18"/>
                <w:szCs w:val="18"/>
                <w:u w:val="single"/>
              </w:rPr>
            </w:pPr>
            <w:r w:rsidRPr="00DB1AEE">
              <w:rPr>
                <w:sz w:val="18"/>
                <w:szCs w:val="18"/>
                <w:u w:val="single"/>
              </w:rPr>
              <w:t>All other audience seating areas</w:t>
            </w:r>
          </w:p>
        </w:tc>
        <w:tc>
          <w:tcPr>
            <w:tcW w:w="0" w:type="auto"/>
            <w:gridSpan w:val="2"/>
            <w:shd w:val="clear" w:color="000000" w:fill="FFFFFF"/>
            <w:noWrap/>
            <w:vAlign w:val="center"/>
            <w:hideMark/>
          </w:tcPr>
          <w:p w14:paraId="69CD1BD5" w14:textId="77777777" w:rsidR="00DB1AEE" w:rsidRPr="00DB1AEE" w:rsidRDefault="00DB1AEE" w:rsidP="00DB1AEE">
            <w:pPr>
              <w:suppressAutoHyphens/>
              <w:jc w:val="center"/>
              <w:rPr>
                <w:sz w:val="18"/>
                <w:szCs w:val="18"/>
                <w:u w:val="single"/>
              </w:rPr>
            </w:pPr>
            <w:r w:rsidRPr="00DB1AEE">
              <w:rPr>
                <w:sz w:val="18"/>
                <w:szCs w:val="18"/>
                <w:u w:val="single"/>
              </w:rPr>
              <w:t>0.23</w:t>
            </w:r>
          </w:p>
        </w:tc>
        <w:tc>
          <w:tcPr>
            <w:tcW w:w="0" w:type="auto"/>
            <w:shd w:val="clear" w:color="000000" w:fill="FFFFFF"/>
            <w:noWrap/>
            <w:vAlign w:val="center"/>
            <w:hideMark/>
          </w:tcPr>
          <w:p w14:paraId="7CB1B2B6" w14:textId="77777777" w:rsidR="00DB1AEE" w:rsidRPr="00DB1AEE" w:rsidRDefault="00DB1AEE" w:rsidP="00DB1AEE">
            <w:pPr>
              <w:suppressAutoHyphens/>
              <w:jc w:val="center"/>
              <w:rPr>
                <w:sz w:val="18"/>
                <w:szCs w:val="18"/>
                <w:u w:val="single"/>
              </w:rPr>
            </w:pPr>
            <w:r w:rsidRPr="00DB1AEE">
              <w:rPr>
                <w:sz w:val="18"/>
                <w:szCs w:val="18"/>
                <w:u w:val="single"/>
              </w:rPr>
              <w:t>4</w:t>
            </w:r>
          </w:p>
        </w:tc>
        <w:tc>
          <w:tcPr>
            <w:tcW w:w="0" w:type="auto"/>
            <w:shd w:val="clear" w:color="000000" w:fill="FFFFFF"/>
            <w:vAlign w:val="center"/>
            <w:hideMark/>
          </w:tcPr>
          <w:p w14:paraId="4821E561"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57699E6B"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0" w:type="auto"/>
            <w:shd w:val="clear" w:color="000000" w:fill="FFFFFF"/>
            <w:vAlign w:val="center"/>
            <w:hideMark/>
          </w:tcPr>
          <w:p w14:paraId="09EF4318"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0" w:type="auto"/>
            <w:shd w:val="clear" w:color="000000" w:fill="FFFFFF"/>
            <w:vAlign w:val="center"/>
            <w:hideMark/>
          </w:tcPr>
          <w:p w14:paraId="3AEDA97D"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4A8BFBF9"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774E57F2"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1390CC9D"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35065384" w14:textId="77777777" w:rsidR="00DB1AEE" w:rsidRPr="00DB1AEE" w:rsidRDefault="00DB1AEE" w:rsidP="00DB1AEE">
            <w:pPr>
              <w:suppressAutoHyphens/>
              <w:jc w:val="center"/>
              <w:rPr>
                <w:sz w:val="18"/>
                <w:szCs w:val="18"/>
                <w:u w:val="single"/>
              </w:rPr>
            </w:pPr>
            <w:r w:rsidRPr="00DB1AEE">
              <w:rPr>
                <w:sz w:val="18"/>
                <w:szCs w:val="18"/>
                <w:u w:val="single"/>
              </w:rPr>
              <w:t>ADD2</w:t>
            </w:r>
          </w:p>
        </w:tc>
        <w:tc>
          <w:tcPr>
            <w:tcW w:w="0" w:type="auto"/>
            <w:shd w:val="clear" w:color="000000" w:fill="FFFFFF"/>
            <w:vAlign w:val="center"/>
            <w:hideMark/>
          </w:tcPr>
          <w:p w14:paraId="4EBEB66F" w14:textId="77777777" w:rsidR="00DB1AEE" w:rsidRPr="00DB1AEE" w:rsidRDefault="00DB1AEE" w:rsidP="00DB1AEE">
            <w:pPr>
              <w:suppressAutoHyphens/>
              <w:jc w:val="center"/>
              <w:rPr>
                <w:sz w:val="18"/>
                <w:szCs w:val="18"/>
                <w:u w:val="single"/>
              </w:rPr>
            </w:pPr>
            <w:r w:rsidRPr="00DB1AEE">
              <w:rPr>
                <w:sz w:val="18"/>
                <w:szCs w:val="18"/>
                <w:u w:val="single"/>
              </w:rPr>
              <w:t>ADD2</w:t>
            </w:r>
          </w:p>
        </w:tc>
      </w:tr>
      <w:tr w:rsidR="00DB1AEE" w:rsidRPr="00DB1AEE" w14:paraId="5BF8F8FD" w14:textId="77777777" w:rsidTr="00FC1832">
        <w:trPr>
          <w:trHeight w:val="282"/>
          <w:jc w:val="center"/>
        </w:trPr>
        <w:tc>
          <w:tcPr>
            <w:tcW w:w="0" w:type="auto"/>
            <w:shd w:val="clear" w:color="000000" w:fill="FFFFFF"/>
            <w:vAlign w:val="center"/>
            <w:hideMark/>
          </w:tcPr>
          <w:p w14:paraId="40EFBC0C" w14:textId="77777777" w:rsidR="00DB1AEE" w:rsidRPr="00DB1AEE" w:rsidRDefault="00DB1AEE" w:rsidP="00DB1AEE">
            <w:pPr>
              <w:suppressAutoHyphens/>
              <w:jc w:val="center"/>
              <w:rPr>
                <w:sz w:val="18"/>
                <w:szCs w:val="18"/>
                <w:u w:val="single"/>
              </w:rPr>
            </w:pPr>
            <w:r w:rsidRPr="00DB1AEE">
              <w:rPr>
                <w:sz w:val="18"/>
                <w:szCs w:val="18"/>
                <w:u w:val="single"/>
              </w:rPr>
              <w:t>Banking Activity Area</w:t>
            </w:r>
          </w:p>
        </w:tc>
        <w:tc>
          <w:tcPr>
            <w:tcW w:w="0" w:type="auto"/>
            <w:gridSpan w:val="2"/>
            <w:shd w:val="clear" w:color="000000" w:fill="FFFFFF"/>
            <w:noWrap/>
            <w:vAlign w:val="center"/>
            <w:hideMark/>
          </w:tcPr>
          <w:p w14:paraId="480DFDE3" w14:textId="77777777" w:rsidR="00DB1AEE" w:rsidRPr="00DB1AEE" w:rsidRDefault="00DB1AEE" w:rsidP="00DB1AEE">
            <w:pPr>
              <w:suppressAutoHyphens/>
              <w:jc w:val="center"/>
              <w:rPr>
                <w:sz w:val="18"/>
                <w:szCs w:val="18"/>
                <w:u w:val="single"/>
              </w:rPr>
            </w:pPr>
            <w:r w:rsidRPr="00DB1AEE">
              <w:rPr>
                <w:sz w:val="18"/>
                <w:szCs w:val="18"/>
                <w:u w:val="single"/>
              </w:rPr>
              <w:t>0.56</w:t>
            </w:r>
          </w:p>
        </w:tc>
        <w:tc>
          <w:tcPr>
            <w:tcW w:w="0" w:type="auto"/>
            <w:shd w:val="clear" w:color="000000" w:fill="FFFFFF"/>
            <w:noWrap/>
            <w:vAlign w:val="center"/>
            <w:hideMark/>
          </w:tcPr>
          <w:p w14:paraId="5BD1CC06" w14:textId="77777777" w:rsidR="00DB1AEE" w:rsidRPr="00DB1AEE" w:rsidRDefault="00DB1AEE" w:rsidP="00DB1AEE">
            <w:pPr>
              <w:suppressAutoHyphens/>
              <w:jc w:val="center"/>
              <w:rPr>
                <w:sz w:val="18"/>
                <w:szCs w:val="18"/>
                <w:u w:val="single"/>
              </w:rPr>
            </w:pPr>
            <w:r w:rsidRPr="00DB1AEE">
              <w:rPr>
                <w:sz w:val="18"/>
                <w:szCs w:val="18"/>
                <w:u w:val="single"/>
              </w:rPr>
              <w:t>6</w:t>
            </w:r>
          </w:p>
        </w:tc>
        <w:tc>
          <w:tcPr>
            <w:tcW w:w="0" w:type="auto"/>
            <w:shd w:val="clear" w:color="000000" w:fill="FFFFFF"/>
            <w:vAlign w:val="center"/>
            <w:hideMark/>
          </w:tcPr>
          <w:p w14:paraId="1A8CE4DD"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2A34AE3B"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0" w:type="auto"/>
            <w:shd w:val="clear" w:color="000000" w:fill="FFFFFF"/>
            <w:vAlign w:val="center"/>
            <w:hideMark/>
          </w:tcPr>
          <w:p w14:paraId="420CCCE6"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0" w:type="auto"/>
            <w:shd w:val="clear" w:color="000000" w:fill="FFFFFF"/>
            <w:vAlign w:val="center"/>
            <w:hideMark/>
          </w:tcPr>
          <w:p w14:paraId="001D67A1"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031D3753"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12E02899"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3C823556"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6A44EDEF" w14:textId="77777777" w:rsidR="00DB1AEE" w:rsidRPr="00DB1AEE" w:rsidRDefault="00DB1AEE" w:rsidP="00DB1AEE">
            <w:pPr>
              <w:suppressAutoHyphens/>
              <w:jc w:val="center"/>
              <w:rPr>
                <w:sz w:val="18"/>
                <w:szCs w:val="18"/>
                <w:u w:val="single"/>
              </w:rPr>
            </w:pPr>
            <w:r w:rsidRPr="00DB1AEE">
              <w:rPr>
                <w:sz w:val="18"/>
                <w:szCs w:val="18"/>
                <w:u w:val="single"/>
              </w:rPr>
              <w:t>ADD2</w:t>
            </w:r>
          </w:p>
        </w:tc>
        <w:tc>
          <w:tcPr>
            <w:tcW w:w="0" w:type="auto"/>
            <w:shd w:val="clear" w:color="000000" w:fill="FFFFFF"/>
            <w:vAlign w:val="center"/>
            <w:hideMark/>
          </w:tcPr>
          <w:p w14:paraId="7168C921" w14:textId="77777777" w:rsidR="00DB1AEE" w:rsidRPr="00DB1AEE" w:rsidRDefault="00DB1AEE" w:rsidP="00DB1AEE">
            <w:pPr>
              <w:suppressAutoHyphens/>
              <w:jc w:val="center"/>
              <w:rPr>
                <w:sz w:val="18"/>
                <w:szCs w:val="18"/>
                <w:u w:val="single"/>
              </w:rPr>
            </w:pPr>
            <w:r w:rsidRPr="00DB1AEE">
              <w:rPr>
                <w:sz w:val="18"/>
                <w:szCs w:val="18"/>
                <w:u w:val="single"/>
              </w:rPr>
              <w:t>ADD2</w:t>
            </w:r>
          </w:p>
        </w:tc>
      </w:tr>
      <w:tr w:rsidR="00DB1AEE" w:rsidRPr="00DB1AEE" w14:paraId="69F94676" w14:textId="77777777" w:rsidTr="00FC1832">
        <w:trPr>
          <w:trHeight w:val="557"/>
          <w:jc w:val="center"/>
        </w:trPr>
        <w:tc>
          <w:tcPr>
            <w:tcW w:w="0" w:type="auto"/>
            <w:shd w:val="clear" w:color="000000" w:fill="FFFFFF"/>
            <w:vAlign w:val="center"/>
            <w:hideMark/>
          </w:tcPr>
          <w:p w14:paraId="7974E171" w14:textId="77777777" w:rsidR="00DB1AEE" w:rsidRPr="00DB1AEE" w:rsidRDefault="00DB1AEE" w:rsidP="00DB1AEE">
            <w:pPr>
              <w:suppressAutoHyphens/>
              <w:jc w:val="center"/>
              <w:rPr>
                <w:sz w:val="18"/>
                <w:szCs w:val="18"/>
                <w:u w:val="single"/>
              </w:rPr>
            </w:pPr>
            <w:r w:rsidRPr="00DB1AEE">
              <w:rPr>
                <w:sz w:val="18"/>
                <w:szCs w:val="18"/>
                <w:u w:val="single"/>
              </w:rPr>
              <w:t>Classroom/Lecture Hall/Training Room</w:t>
            </w:r>
          </w:p>
        </w:tc>
        <w:tc>
          <w:tcPr>
            <w:tcW w:w="0" w:type="auto"/>
            <w:gridSpan w:val="12"/>
            <w:shd w:val="clear" w:color="000000" w:fill="FFFFFF"/>
            <w:vAlign w:val="center"/>
            <w:hideMark/>
          </w:tcPr>
          <w:p w14:paraId="13F99C99" w14:textId="77777777" w:rsidR="00DB1AEE" w:rsidRPr="00DB1AEE" w:rsidRDefault="00DB1AEE" w:rsidP="00DB1AEE">
            <w:pPr>
              <w:suppressAutoHyphens/>
              <w:jc w:val="center"/>
              <w:rPr>
                <w:sz w:val="18"/>
                <w:szCs w:val="18"/>
                <w:u w:val="single"/>
              </w:rPr>
            </w:pPr>
          </w:p>
        </w:tc>
      </w:tr>
      <w:tr w:rsidR="00DB1AEE" w:rsidRPr="00DB1AEE" w14:paraId="49219BA1" w14:textId="77777777" w:rsidTr="00FC1832">
        <w:trPr>
          <w:trHeight w:val="360"/>
          <w:jc w:val="center"/>
        </w:trPr>
        <w:tc>
          <w:tcPr>
            <w:tcW w:w="0" w:type="auto"/>
            <w:shd w:val="clear" w:color="000000" w:fill="FFFFFF"/>
            <w:vAlign w:val="center"/>
            <w:hideMark/>
          </w:tcPr>
          <w:p w14:paraId="1B111581" w14:textId="77777777" w:rsidR="00DB1AEE" w:rsidRPr="00DB1AEE" w:rsidRDefault="00DB1AEE" w:rsidP="00DB1AEE">
            <w:pPr>
              <w:suppressAutoHyphens/>
              <w:jc w:val="center"/>
              <w:rPr>
                <w:sz w:val="18"/>
                <w:szCs w:val="18"/>
                <w:u w:val="single"/>
              </w:rPr>
            </w:pPr>
            <w:r w:rsidRPr="00DB1AEE">
              <w:rPr>
                <w:sz w:val="18"/>
                <w:szCs w:val="18"/>
                <w:u w:val="single"/>
              </w:rPr>
              <w:t>Shop classroom</w:t>
            </w:r>
          </w:p>
        </w:tc>
        <w:tc>
          <w:tcPr>
            <w:tcW w:w="0" w:type="auto"/>
            <w:gridSpan w:val="2"/>
            <w:shd w:val="clear" w:color="000000" w:fill="FFFFFF"/>
            <w:vAlign w:val="center"/>
            <w:hideMark/>
          </w:tcPr>
          <w:p w14:paraId="7972BA45" w14:textId="77777777" w:rsidR="00DB1AEE" w:rsidRPr="00DB1AEE" w:rsidRDefault="00DB1AEE" w:rsidP="00DB1AEE">
            <w:pPr>
              <w:suppressAutoHyphens/>
              <w:jc w:val="center"/>
              <w:rPr>
                <w:sz w:val="18"/>
                <w:szCs w:val="18"/>
                <w:u w:val="single"/>
              </w:rPr>
            </w:pPr>
            <w:r w:rsidRPr="00DB1AEE">
              <w:rPr>
                <w:sz w:val="18"/>
                <w:szCs w:val="18"/>
                <w:u w:val="single"/>
              </w:rPr>
              <w:t>1.17</w:t>
            </w:r>
          </w:p>
        </w:tc>
        <w:tc>
          <w:tcPr>
            <w:tcW w:w="0" w:type="auto"/>
            <w:shd w:val="clear" w:color="000000" w:fill="FFFFFF"/>
            <w:noWrap/>
            <w:vAlign w:val="center"/>
            <w:hideMark/>
          </w:tcPr>
          <w:p w14:paraId="4160E30D" w14:textId="77777777" w:rsidR="00DB1AEE" w:rsidRPr="00DB1AEE" w:rsidRDefault="00DB1AEE" w:rsidP="00DB1AEE">
            <w:pPr>
              <w:suppressAutoHyphens/>
              <w:jc w:val="center"/>
              <w:rPr>
                <w:sz w:val="18"/>
                <w:szCs w:val="18"/>
                <w:u w:val="single"/>
              </w:rPr>
            </w:pPr>
            <w:r w:rsidRPr="00DB1AEE">
              <w:rPr>
                <w:sz w:val="18"/>
                <w:szCs w:val="18"/>
                <w:u w:val="single"/>
              </w:rPr>
              <w:t>6</w:t>
            </w:r>
          </w:p>
        </w:tc>
        <w:tc>
          <w:tcPr>
            <w:tcW w:w="0" w:type="auto"/>
            <w:shd w:val="clear" w:color="000000" w:fill="FFFFFF"/>
            <w:vAlign w:val="center"/>
            <w:hideMark/>
          </w:tcPr>
          <w:p w14:paraId="3CF33879"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59CA5020"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0" w:type="auto"/>
            <w:shd w:val="clear" w:color="000000" w:fill="FFFFFF"/>
            <w:vAlign w:val="center"/>
            <w:hideMark/>
          </w:tcPr>
          <w:p w14:paraId="4170B11E"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0" w:type="auto"/>
            <w:shd w:val="clear" w:color="000000" w:fill="FFFFFF"/>
            <w:vAlign w:val="center"/>
            <w:hideMark/>
          </w:tcPr>
          <w:p w14:paraId="1B47AF68"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2820E4A7"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10F0932B"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784A8A72"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5EAE2F99" w14:textId="77777777" w:rsidR="00DB1AEE" w:rsidRPr="00DB1AEE" w:rsidRDefault="00DB1AEE" w:rsidP="00DB1AEE">
            <w:pPr>
              <w:suppressAutoHyphens/>
              <w:jc w:val="center"/>
              <w:rPr>
                <w:sz w:val="18"/>
                <w:szCs w:val="18"/>
                <w:u w:val="single"/>
              </w:rPr>
            </w:pPr>
          </w:p>
        </w:tc>
        <w:tc>
          <w:tcPr>
            <w:tcW w:w="0" w:type="auto"/>
            <w:vAlign w:val="center"/>
            <w:hideMark/>
          </w:tcPr>
          <w:p w14:paraId="5B64E7E8" w14:textId="77777777" w:rsidR="00DB1AEE" w:rsidRPr="00DB1AEE" w:rsidRDefault="00DB1AEE" w:rsidP="00DB1AEE">
            <w:pPr>
              <w:suppressAutoHyphens/>
              <w:jc w:val="center"/>
              <w:rPr>
                <w:sz w:val="18"/>
                <w:szCs w:val="18"/>
                <w:u w:val="single"/>
              </w:rPr>
            </w:pPr>
            <w:r w:rsidRPr="00DB1AEE">
              <w:rPr>
                <w:sz w:val="18"/>
                <w:szCs w:val="18"/>
                <w:u w:val="single"/>
              </w:rPr>
              <w:t>REQ</w:t>
            </w:r>
          </w:p>
        </w:tc>
      </w:tr>
      <w:tr w:rsidR="00DB1AEE" w:rsidRPr="00DB1AEE" w14:paraId="1C51AC07" w14:textId="77777777" w:rsidTr="00FC1832">
        <w:trPr>
          <w:trHeight w:val="379"/>
          <w:jc w:val="center"/>
        </w:trPr>
        <w:tc>
          <w:tcPr>
            <w:tcW w:w="0" w:type="auto"/>
            <w:shd w:val="clear" w:color="000000" w:fill="FFFFFF"/>
            <w:vAlign w:val="center"/>
            <w:hideMark/>
          </w:tcPr>
          <w:p w14:paraId="295C3BFE" w14:textId="77777777" w:rsidR="00DB1AEE" w:rsidRPr="00DB1AEE" w:rsidRDefault="00DB1AEE" w:rsidP="00DB1AEE">
            <w:pPr>
              <w:suppressAutoHyphens/>
              <w:jc w:val="center"/>
              <w:rPr>
                <w:sz w:val="18"/>
                <w:szCs w:val="18"/>
                <w:u w:val="single"/>
              </w:rPr>
            </w:pPr>
            <w:r w:rsidRPr="00DB1AEE">
              <w:rPr>
                <w:sz w:val="18"/>
                <w:szCs w:val="18"/>
                <w:u w:val="single"/>
              </w:rPr>
              <w:t>All other classrooms/lecture halls/training rooms</w:t>
            </w:r>
          </w:p>
        </w:tc>
        <w:tc>
          <w:tcPr>
            <w:tcW w:w="0" w:type="auto"/>
            <w:gridSpan w:val="2"/>
            <w:shd w:val="clear" w:color="000000" w:fill="FFFFFF"/>
            <w:noWrap/>
            <w:vAlign w:val="center"/>
            <w:hideMark/>
          </w:tcPr>
          <w:p w14:paraId="52764435" w14:textId="77777777" w:rsidR="00DB1AEE" w:rsidRPr="00DB1AEE" w:rsidRDefault="00DB1AEE" w:rsidP="00DB1AEE">
            <w:pPr>
              <w:suppressAutoHyphens/>
              <w:jc w:val="center"/>
              <w:rPr>
                <w:sz w:val="18"/>
                <w:szCs w:val="18"/>
                <w:u w:val="single"/>
              </w:rPr>
            </w:pPr>
            <w:r w:rsidRPr="00DB1AEE">
              <w:rPr>
                <w:sz w:val="18"/>
                <w:szCs w:val="18"/>
                <w:u w:val="single"/>
              </w:rPr>
              <w:t>0.72</w:t>
            </w:r>
          </w:p>
        </w:tc>
        <w:tc>
          <w:tcPr>
            <w:tcW w:w="0" w:type="auto"/>
            <w:shd w:val="clear" w:color="000000" w:fill="FFFFFF"/>
            <w:noWrap/>
            <w:vAlign w:val="center"/>
            <w:hideMark/>
          </w:tcPr>
          <w:p w14:paraId="1E23834B" w14:textId="77777777" w:rsidR="00DB1AEE" w:rsidRPr="00DB1AEE" w:rsidRDefault="00DB1AEE" w:rsidP="00DB1AEE">
            <w:pPr>
              <w:suppressAutoHyphens/>
              <w:jc w:val="center"/>
              <w:rPr>
                <w:sz w:val="18"/>
                <w:szCs w:val="18"/>
                <w:u w:val="single"/>
              </w:rPr>
            </w:pPr>
            <w:r w:rsidRPr="00DB1AEE">
              <w:rPr>
                <w:sz w:val="18"/>
                <w:szCs w:val="18"/>
                <w:u w:val="single"/>
              </w:rPr>
              <w:t>4</w:t>
            </w:r>
          </w:p>
        </w:tc>
        <w:tc>
          <w:tcPr>
            <w:tcW w:w="0" w:type="auto"/>
            <w:shd w:val="clear" w:color="000000" w:fill="FFFFFF"/>
            <w:vAlign w:val="center"/>
            <w:hideMark/>
          </w:tcPr>
          <w:p w14:paraId="53708626"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1ED73899"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41A3026D"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0" w:type="auto"/>
            <w:shd w:val="clear" w:color="000000" w:fill="FFFFFF"/>
            <w:vAlign w:val="center"/>
            <w:hideMark/>
          </w:tcPr>
          <w:p w14:paraId="25A0D5F5"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263CE0FC"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088FFA3E"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167FD612"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41443732"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71065E04" w14:textId="77777777" w:rsidR="00DB1AEE" w:rsidRPr="00DB1AEE" w:rsidRDefault="00DB1AEE" w:rsidP="00DB1AEE">
            <w:pPr>
              <w:suppressAutoHyphens/>
              <w:jc w:val="center"/>
              <w:rPr>
                <w:sz w:val="18"/>
                <w:szCs w:val="18"/>
                <w:u w:val="single"/>
              </w:rPr>
            </w:pPr>
          </w:p>
        </w:tc>
      </w:tr>
      <w:tr w:rsidR="00DB1AEE" w:rsidRPr="00DB1AEE" w14:paraId="34CEE7F9" w14:textId="77777777" w:rsidTr="00FC1832">
        <w:trPr>
          <w:trHeight w:val="379"/>
          <w:jc w:val="center"/>
        </w:trPr>
        <w:tc>
          <w:tcPr>
            <w:tcW w:w="0" w:type="auto"/>
            <w:shd w:val="clear" w:color="000000" w:fill="FFFFFF"/>
            <w:vAlign w:val="center"/>
            <w:hideMark/>
          </w:tcPr>
          <w:p w14:paraId="044143AA" w14:textId="77777777" w:rsidR="00DB1AEE" w:rsidRPr="00DB1AEE" w:rsidRDefault="00DB1AEE" w:rsidP="00DB1AEE">
            <w:pPr>
              <w:suppressAutoHyphens/>
              <w:jc w:val="center"/>
              <w:rPr>
                <w:sz w:val="18"/>
                <w:szCs w:val="18"/>
                <w:u w:val="single"/>
              </w:rPr>
            </w:pPr>
            <w:r w:rsidRPr="00DB1AEE">
              <w:rPr>
                <w:sz w:val="18"/>
                <w:szCs w:val="18"/>
                <w:u w:val="single"/>
              </w:rPr>
              <w:t>Computer Room</w:t>
            </w:r>
          </w:p>
        </w:tc>
        <w:tc>
          <w:tcPr>
            <w:tcW w:w="0" w:type="auto"/>
            <w:gridSpan w:val="2"/>
            <w:shd w:val="clear" w:color="000000" w:fill="FFFFFF"/>
            <w:noWrap/>
            <w:vAlign w:val="center"/>
            <w:hideMark/>
          </w:tcPr>
          <w:p w14:paraId="56CD904C" w14:textId="77777777" w:rsidR="00DB1AEE" w:rsidRPr="00DB1AEE" w:rsidRDefault="00DB1AEE" w:rsidP="00DB1AEE">
            <w:pPr>
              <w:suppressAutoHyphens/>
              <w:jc w:val="center"/>
              <w:rPr>
                <w:sz w:val="18"/>
                <w:szCs w:val="18"/>
                <w:u w:val="single"/>
              </w:rPr>
            </w:pPr>
            <w:r w:rsidRPr="00DB1AEE">
              <w:rPr>
                <w:sz w:val="18"/>
                <w:szCs w:val="18"/>
                <w:u w:val="single"/>
              </w:rPr>
              <w:t>0.75</w:t>
            </w:r>
          </w:p>
        </w:tc>
        <w:tc>
          <w:tcPr>
            <w:tcW w:w="0" w:type="auto"/>
            <w:shd w:val="clear" w:color="000000" w:fill="FFFFFF"/>
            <w:noWrap/>
            <w:vAlign w:val="center"/>
            <w:hideMark/>
          </w:tcPr>
          <w:p w14:paraId="27258EA6" w14:textId="77777777" w:rsidR="00DB1AEE" w:rsidRPr="00DB1AEE" w:rsidRDefault="00DB1AEE" w:rsidP="00DB1AEE">
            <w:pPr>
              <w:suppressAutoHyphens/>
              <w:jc w:val="center"/>
              <w:rPr>
                <w:sz w:val="18"/>
                <w:szCs w:val="18"/>
                <w:u w:val="single"/>
              </w:rPr>
            </w:pPr>
            <w:r w:rsidRPr="00DB1AEE">
              <w:rPr>
                <w:sz w:val="18"/>
                <w:szCs w:val="18"/>
                <w:u w:val="single"/>
              </w:rPr>
              <w:t>4</w:t>
            </w:r>
          </w:p>
        </w:tc>
        <w:tc>
          <w:tcPr>
            <w:tcW w:w="0" w:type="auto"/>
            <w:shd w:val="clear" w:color="000000" w:fill="FFFFFF"/>
            <w:vAlign w:val="center"/>
            <w:hideMark/>
          </w:tcPr>
          <w:p w14:paraId="66DE4461"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77F2216A"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0" w:type="auto"/>
            <w:shd w:val="clear" w:color="000000" w:fill="FFFFFF"/>
            <w:vAlign w:val="center"/>
            <w:hideMark/>
          </w:tcPr>
          <w:p w14:paraId="1EF8DA18"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0" w:type="auto"/>
            <w:shd w:val="clear" w:color="000000" w:fill="FFFFFF"/>
            <w:vAlign w:val="center"/>
            <w:hideMark/>
          </w:tcPr>
          <w:p w14:paraId="4BD3847D"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0C8E8AFA"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53764AF2"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7C26139B"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5BCB1E83" w14:textId="77777777" w:rsidR="00DB1AEE" w:rsidRPr="00DB1AEE" w:rsidRDefault="00DB1AEE" w:rsidP="00DB1AEE">
            <w:pPr>
              <w:suppressAutoHyphens/>
              <w:jc w:val="center"/>
              <w:rPr>
                <w:sz w:val="18"/>
                <w:szCs w:val="18"/>
                <w:u w:val="single"/>
              </w:rPr>
            </w:pPr>
            <w:r w:rsidRPr="00DB1AEE">
              <w:rPr>
                <w:sz w:val="18"/>
                <w:szCs w:val="18"/>
                <w:u w:val="single"/>
              </w:rPr>
              <w:t>ADD2</w:t>
            </w:r>
          </w:p>
        </w:tc>
        <w:tc>
          <w:tcPr>
            <w:tcW w:w="0" w:type="auto"/>
            <w:shd w:val="clear" w:color="000000" w:fill="FFFFFF"/>
            <w:vAlign w:val="center"/>
            <w:hideMark/>
          </w:tcPr>
          <w:p w14:paraId="1A5E7583" w14:textId="77777777" w:rsidR="00DB1AEE" w:rsidRPr="00DB1AEE" w:rsidRDefault="00DB1AEE" w:rsidP="00DB1AEE">
            <w:pPr>
              <w:suppressAutoHyphens/>
              <w:jc w:val="center"/>
              <w:rPr>
                <w:sz w:val="18"/>
                <w:szCs w:val="18"/>
                <w:u w:val="single"/>
              </w:rPr>
            </w:pPr>
            <w:r w:rsidRPr="00DB1AEE">
              <w:rPr>
                <w:sz w:val="18"/>
                <w:szCs w:val="18"/>
                <w:u w:val="single"/>
              </w:rPr>
              <w:t>ADD2</w:t>
            </w:r>
          </w:p>
        </w:tc>
      </w:tr>
      <w:tr w:rsidR="00DB1AEE" w:rsidRPr="00DB1AEE" w14:paraId="5D51AC21" w14:textId="77777777" w:rsidTr="00FC1832">
        <w:trPr>
          <w:trHeight w:val="630"/>
          <w:jc w:val="center"/>
        </w:trPr>
        <w:tc>
          <w:tcPr>
            <w:tcW w:w="0" w:type="auto"/>
            <w:shd w:val="clear" w:color="000000" w:fill="FFFFFF"/>
            <w:vAlign w:val="center"/>
            <w:hideMark/>
          </w:tcPr>
          <w:p w14:paraId="00A61CF1" w14:textId="77777777" w:rsidR="00DB1AEE" w:rsidRPr="00DB1AEE" w:rsidRDefault="00DB1AEE" w:rsidP="00DB1AEE">
            <w:pPr>
              <w:suppressAutoHyphens/>
              <w:jc w:val="center"/>
              <w:rPr>
                <w:sz w:val="18"/>
                <w:szCs w:val="18"/>
                <w:u w:val="single"/>
              </w:rPr>
            </w:pPr>
            <w:r w:rsidRPr="00DB1AEE">
              <w:rPr>
                <w:b/>
                <w:bCs/>
                <w:sz w:val="18"/>
                <w:szCs w:val="18"/>
                <w:u w:val="single"/>
              </w:rPr>
              <w:t>Conference/Meeting/Multipurpose Rooms</w:t>
            </w:r>
          </w:p>
        </w:tc>
        <w:tc>
          <w:tcPr>
            <w:tcW w:w="0" w:type="auto"/>
            <w:gridSpan w:val="2"/>
            <w:shd w:val="clear" w:color="000000" w:fill="FFFFFF"/>
            <w:vAlign w:val="center"/>
            <w:hideMark/>
          </w:tcPr>
          <w:p w14:paraId="7FB10916" w14:textId="77777777" w:rsidR="00DB1AEE" w:rsidRPr="00DB1AEE" w:rsidRDefault="00DB1AEE" w:rsidP="00DB1AEE">
            <w:pPr>
              <w:suppressAutoHyphens/>
              <w:jc w:val="center"/>
              <w:rPr>
                <w:sz w:val="18"/>
                <w:szCs w:val="18"/>
                <w:u w:val="single"/>
              </w:rPr>
            </w:pPr>
            <w:r w:rsidRPr="00DB1AEE">
              <w:rPr>
                <w:sz w:val="18"/>
                <w:szCs w:val="18"/>
                <w:u w:val="single"/>
              </w:rPr>
              <w:t>0.88</w:t>
            </w:r>
          </w:p>
        </w:tc>
        <w:tc>
          <w:tcPr>
            <w:tcW w:w="0" w:type="auto"/>
            <w:shd w:val="clear" w:color="000000" w:fill="FFFFFF"/>
            <w:vAlign w:val="center"/>
            <w:hideMark/>
          </w:tcPr>
          <w:p w14:paraId="45B69265" w14:textId="77777777" w:rsidR="00DB1AEE" w:rsidRPr="00DB1AEE" w:rsidRDefault="00DB1AEE" w:rsidP="00DB1AEE">
            <w:pPr>
              <w:suppressAutoHyphens/>
              <w:jc w:val="center"/>
              <w:rPr>
                <w:sz w:val="18"/>
                <w:szCs w:val="18"/>
                <w:u w:val="single"/>
              </w:rPr>
            </w:pPr>
            <w:r w:rsidRPr="00DB1AEE">
              <w:rPr>
                <w:sz w:val="18"/>
                <w:szCs w:val="18"/>
                <w:u w:val="single"/>
              </w:rPr>
              <w:t>6</w:t>
            </w:r>
          </w:p>
        </w:tc>
        <w:tc>
          <w:tcPr>
            <w:tcW w:w="0" w:type="auto"/>
            <w:shd w:val="clear" w:color="000000" w:fill="FFFFFF"/>
            <w:vAlign w:val="center"/>
            <w:hideMark/>
          </w:tcPr>
          <w:p w14:paraId="081B0662"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0FD0A157" w14:textId="77777777" w:rsidR="00DB1AEE" w:rsidRPr="00DB1AEE" w:rsidRDefault="00DB1AEE" w:rsidP="00DB1AEE">
            <w:pPr>
              <w:suppressAutoHyphens/>
              <w:jc w:val="center"/>
              <w:rPr>
                <w:sz w:val="18"/>
                <w:szCs w:val="18"/>
                <w:u w:val="single"/>
              </w:rPr>
            </w:pPr>
            <w:r w:rsidRPr="00DB1AEE">
              <w:rPr>
                <w:strike/>
                <w:sz w:val="18"/>
                <w:szCs w:val="18"/>
                <w:u w:val="single"/>
              </w:rPr>
              <w:t>REQ</w:t>
            </w:r>
            <w:r w:rsidRPr="00DB1AEE">
              <w:rPr>
                <w:sz w:val="18"/>
                <w:szCs w:val="18"/>
                <w:u w:val="single"/>
              </w:rPr>
              <w:t xml:space="preserve"> ADD1</w:t>
            </w:r>
          </w:p>
        </w:tc>
        <w:tc>
          <w:tcPr>
            <w:tcW w:w="0" w:type="auto"/>
            <w:shd w:val="clear" w:color="000000" w:fill="FFFFFF"/>
            <w:vAlign w:val="center"/>
            <w:hideMark/>
          </w:tcPr>
          <w:p w14:paraId="51CA41DF"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0" w:type="auto"/>
            <w:shd w:val="clear" w:color="000000" w:fill="FFFFFF"/>
            <w:vAlign w:val="center"/>
            <w:hideMark/>
          </w:tcPr>
          <w:p w14:paraId="574DFBDA"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65C3ACFD"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1ED05B1A"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3A43AB38"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510C54B7"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611AD45C" w14:textId="77777777" w:rsidR="00DB1AEE" w:rsidRPr="00DB1AEE" w:rsidRDefault="00DB1AEE" w:rsidP="00DB1AEE">
            <w:pPr>
              <w:suppressAutoHyphens/>
              <w:jc w:val="center"/>
              <w:rPr>
                <w:sz w:val="18"/>
                <w:szCs w:val="18"/>
                <w:u w:val="single"/>
              </w:rPr>
            </w:pPr>
          </w:p>
        </w:tc>
      </w:tr>
      <w:tr w:rsidR="00DB1AEE" w:rsidRPr="00DB1AEE" w14:paraId="49E92D45" w14:textId="77777777" w:rsidTr="00FC1832">
        <w:trPr>
          <w:trHeight w:val="420"/>
          <w:jc w:val="center"/>
        </w:trPr>
        <w:tc>
          <w:tcPr>
            <w:tcW w:w="0" w:type="auto"/>
            <w:shd w:val="clear" w:color="000000" w:fill="FFFFFF"/>
            <w:vAlign w:val="center"/>
            <w:hideMark/>
          </w:tcPr>
          <w:p w14:paraId="21455E9C" w14:textId="77777777" w:rsidR="00DB1AEE" w:rsidRPr="00DB1AEE" w:rsidRDefault="00DB1AEE" w:rsidP="00DB1AEE">
            <w:pPr>
              <w:suppressAutoHyphens/>
              <w:jc w:val="center"/>
              <w:rPr>
                <w:sz w:val="18"/>
                <w:szCs w:val="18"/>
                <w:u w:val="single"/>
              </w:rPr>
            </w:pPr>
            <w:r w:rsidRPr="00DB1AEE">
              <w:rPr>
                <w:b/>
                <w:bCs/>
                <w:sz w:val="18"/>
                <w:szCs w:val="18"/>
                <w:u w:val="single"/>
              </w:rPr>
              <w:t>Control/(Editing Room or Booth)</w:t>
            </w:r>
          </w:p>
        </w:tc>
        <w:tc>
          <w:tcPr>
            <w:tcW w:w="0" w:type="auto"/>
            <w:gridSpan w:val="2"/>
            <w:shd w:val="clear" w:color="000000" w:fill="FFFFFF"/>
            <w:vAlign w:val="center"/>
            <w:hideMark/>
          </w:tcPr>
          <w:p w14:paraId="7D4B3A5E" w14:textId="77777777" w:rsidR="00DB1AEE" w:rsidRPr="00DB1AEE" w:rsidRDefault="00DB1AEE" w:rsidP="00DB1AEE">
            <w:pPr>
              <w:suppressAutoHyphens/>
              <w:jc w:val="center"/>
              <w:rPr>
                <w:sz w:val="18"/>
                <w:szCs w:val="18"/>
                <w:u w:val="single"/>
              </w:rPr>
            </w:pPr>
            <w:r w:rsidRPr="00DB1AEE">
              <w:rPr>
                <w:sz w:val="18"/>
                <w:szCs w:val="18"/>
                <w:u w:val="single"/>
              </w:rPr>
              <w:t>0.73</w:t>
            </w:r>
          </w:p>
        </w:tc>
        <w:tc>
          <w:tcPr>
            <w:tcW w:w="0" w:type="auto"/>
            <w:shd w:val="clear" w:color="000000" w:fill="FFFFFF"/>
            <w:noWrap/>
            <w:vAlign w:val="center"/>
            <w:hideMark/>
          </w:tcPr>
          <w:p w14:paraId="4A0B3517" w14:textId="77777777" w:rsidR="00DB1AEE" w:rsidRPr="00DB1AEE" w:rsidRDefault="00DB1AEE" w:rsidP="00DB1AEE">
            <w:pPr>
              <w:suppressAutoHyphens/>
              <w:jc w:val="center"/>
              <w:rPr>
                <w:sz w:val="18"/>
                <w:szCs w:val="18"/>
                <w:u w:val="single"/>
              </w:rPr>
            </w:pPr>
            <w:r w:rsidRPr="00DB1AEE">
              <w:rPr>
                <w:sz w:val="18"/>
                <w:szCs w:val="18"/>
                <w:u w:val="single"/>
              </w:rPr>
              <w:t>6</w:t>
            </w:r>
          </w:p>
        </w:tc>
        <w:tc>
          <w:tcPr>
            <w:tcW w:w="0" w:type="auto"/>
            <w:shd w:val="clear" w:color="000000" w:fill="FFFFFF"/>
            <w:vAlign w:val="center"/>
            <w:hideMark/>
          </w:tcPr>
          <w:p w14:paraId="2B008075"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4D4CDED2"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0" w:type="auto"/>
            <w:shd w:val="clear" w:color="000000" w:fill="FFFFFF"/>
            <w:vAlign w:val="center"/>
            <w:hideMark/>
          </w:tcPr>
          <w:p w14:paraId="190D01B9"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0" w:type="auto"/>
            <w:shd w:val="clear" w:color="000000" w:fill="FFFFFF"/>
            <w:vAlign w:val="center"/>
            <w:hideMark/>
          </w:tcPr>
          <w:p w14:paraId="2307CB1C"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7D07ADC9"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2AA2F633"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48CBD7DF"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4F255B94" w14:textId="77777777" w:rsidR="00DB1AEE" w:rsidRPr="00DB1AEE" w:rsidRDefault="00DB1AEE" w:rsidP="00DB1AEE">
            <w:pPr>
              <w:suppressAutoHyphens/>
              <w:jc w:val="center"/>
              <w:rPr>
                <w:sz w:val="18"/>
                <w:szCs w:val="18"/>
                <w:u w:val="single"/>
              </w:rPr>
            </w:pPr>
            <w:r w:rsidRPr="00DB1AEE">
              <w:rPr>
                <w:sz w:val="18"/>
                <w:szCs w:val="18"/>
                <w:u w:val="single"/>
              </w:rPr>
              <w:t>ADD2</w:t>
            </w:r>
          </w:p>
        </w:tc>
        <w:tc>
          <w:tcPr>
            <w:tcW w:w="0" w:type="auto"/>
            <w:vAlign w:val="center"/>
            <w:hideMark/>
          </w:tcPr>
          <w:p w14:paraId="6737273D" w14:textId="77777777" w:rsidR="00DB1AEE" w:rsidRPr="00DB1AEE" w:rsidRDefault="00DB1AEE" w:rsidP="00DB1AEE">
            <w:pPr>
              <w:suppressAutoHyphens/>
              <w:jc w:val="center"/>
              <w:rPr>
                <w:sz w:val="18"/>
                <w:szCs w:val="18"/>
                <w:u w:val="single"/>
              </w:rPr>
            </w:pPr>
            <w:r w:rsidRPr="00DB1AEE">
              <w:rPr>
                <w:sz w:val="18"/>
                <w:szCs w:val="18"/>
                <w:u w:val="single"/>
              </w:rPr>
              <w:t>ADD2</w:t>
            </w:r>
          </w:p>
        </w:tc>
      </w:tr>
      <w:tr w:rsidR="00DB1AEE" w:rsidRPr="00DB1AEE" w14:paraId="60A2EAC3" w14:textId="77777777" w:rsidTr="00FC1832">
        <w:trPr>
          <w:trHeight w:val="300"/>
          <w:jc w:val="center"/>
        </w:trPr>
        <w:tc>
          <w:tcPr>
            <w:tcW w:w="0" w:type="auto"/>
            <w:shd w:val="clear" w:color="000000" w:fill="FFFFFF"/>
            <w:vAlign w:val="center"/>
            <w:hideMark/>
          </w:tcPr>
          <w:p w14:paraId="117A8F4E" w14:textId="77777777" w:rsidR="00DB1AEE" w:rsidRPr="00DB1AEE" w:rsidRDefault="00DB1AEE" w:rsidP="00DB1AEE">
            <w:pPr>
              <w:suppressAutoHyphens/>
              <w:jc w:val="center"/>
              <w:rPr>
                <w:sz w:val="18"/>
                <w:szCs w:val="18"/>
                <w:u w:val="single"/>
              </w:rPr>
            </w:pPr>
            <w:r w:rsidRPr="00DB1AEE">
              <w:rPr>
                <w:sz w:val="18"/>
                <w:szCs w:val="18"/>
                <w:u w:val="single"/>
              </w:rPr>
              <w:t>Copy/Print Room</w:t>
            </w:r>
          </w:p>
        </w:tc>
        <w:tc>
          <w:tcPr>
            <w:tcW w:w="0" w:type="auto"/>
            <w:gridSpan w:val="2"/>
            <w:shd w:val="clear" w:color="000000" w:fill="FFFFFF"/>
            <w:noWrap/>
            <w:vAlign w:val="center"/>
            <w:hideMark/>
          </w:tcPr>
          <w:p w14:paraId="25D851A5" w14:textId="77777777" w:rsidR="00DB1AEE" w:rsidRPr="00DB1AEE" w:rsidRDefault="00DB1AEE" w:rsidP="00DB1AEE">
            <w:pPr>
              <w:suppressAutoHyphens/>
              <w:jc w:val="center"/>
              <w:rPr>
                <w:sz w:val="18"/>
                <w:szCs w:val="18"/>
                <w:u w:val="single"/>
              </w:rPr>
            </w:pPr>
            <w:r w:rsidRPr="00DB1AEE">
              <w:rPr>
                <w:sz w:val="18"/>
                <w:szCs w:val="18"/>
                <w:u w:val="single"/>
              </w:rPr>
              <w:t>0.5</w:t>
            </w:r>
          </w:p>
        </w:tc>
        <w:tc>
          <w:tcPr>
            <w:tcW w:w="0" w:type="auto"/>
            <w:shd w:val="clear" w:color="000000" w:fill="FFFFFF"/>
            <w:noWrap/>
            <w:vAlign w:val="center"/>
            <w:hideMark/>
          </w:tcPr>
          <w:p w14:paraId="76C0E428" w14:textId="77777777" w:rsidR="00DB1AEE" w:rsidRPr="00DB1AEE" w:rsidRDefault="00DB1AEE" w:rsidP="00DB1AEE">
            <w:pPr>
              <w:suppressAutoHyphens/>
              <w:jc w:val="center"/>
              <w:rPr>
                <w:sz w:val="18"/>
                <w:szCs w:val="18"/>
                <w:u w:val="single"/>
              </w:rPr>
            </w:pPr>
            <w:r w:rsidRPr="00DB1AEE">
              <w:rPr>
                <w:sz w:val="18"/>
                <w:szCs w:val="18"/>
                <w:u w:val="single"/>
              </w:rPr>
              <w:t>6</w:t>
            </w:r>
          </w:p>
        </w:tc>
        <w:tc>
          <w:tcPr>
            <w:tcW w:w="0" w:type="auto"/>
            <w:shd w:val="clear" w:color="000000" w:fill="FFFFFF"/>
            <w:vAlign w:val="center"/>
            <w:hideMark/>
          </w:tcPr>
          <w:p w14:paraId="60FDBBBB"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0117CFAD"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0" w:type="auto"/>
            <w:shd w:val="clear" w:color="000000" w:fill="FFFFFF"/>
            <w:vAlign w:val="center"/>
            <w:hideMark/>
          </w:tcPr>
          <w:p w14:paraId="0986D20E"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0" w:type="auto"/>
            <w:shd w:val="clear" w:color="000000" w:fill="FFFFFF"/>
            <w:vAlign w:val="center"/>
            <w:hideMark/>
          </w:tcPr>
          <w:p w14:paraId="14350B07"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51F4C367"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35F91CEC"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30D76B71"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5341A27E"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1803B0D0" w14:textId="77777777" w:rsidR="00DB1AEE" w:rsidRPr="00DB1AEE" w:rsidRDefault="00DB1AEE" w:rsidP="00DB1AEE">
            <w:pPr>
              <w:suppressAutoHyphens/>
              <w:jc w:val="center"/>
              <w:rPr>
                <w:sz w:val="18"/>
                <w:szCs w:val="18"/>
                <w:u w:val="single"/>
              </w:rPr>
            </w:pPr>
          </w:p>
        </w:tc>
      </w:tr>
      <w:tr w:rsidR="00DB1AEE" w:rsidRPr="00DB1AEE" w14:paraId="723299C3" w14:textId="77777777" w:rsidTr="00FC1832">
        <w:trPr>
          <w:trHeight w:val="300"/>
          <w:jc w:val="center"/>
        </w:trPr>
        <w:tc>
          <w:tcPr>
            <w:tcW w:w="0" w:type="auto"/>
            <w:shd w:val="clear" w:color="000000" w:fill="FFFFFF"/>
            <w:vAlign w:val="center"/>
            <w:hideMark/>
          </w:tcPr>
          <w:p w14:paraId="65151474" w14:textId="77777777" w:rsidR="00DB1AEE" w:rsidRPr="00DB1AEE" w:rsidRDefault="00DB1AEE" w:rsidP="00DB1AEE">
            <w:pPr>
              <w:suppressAutoHyphens/>
              <w:jc w:val="center"/>
              <w:rPr>
                <w:sz w:val="18"/>
                <w:szCs w:val="18"/>
                <w:u w:val="single"/>
              </w:rPr>
            </w:pPr>
            <w:r w:rsidRPr="00DB1AEE">
              <w:rPr>
                <w:b/>
                <w:bCs/>
                <w:sz w:val="18"/>
                <w:szCs w:val="18"/>
                <w:u w:val="single"/>
              </w:rPr>
              <w:t>Corridor</w:t>
            </w:r>
          </w:p>
        </w:tc>
        <w:tc>
          <w:tcPr>
            <w:tcW w:w="0" w:type="auto"/>
            <w:gridSpan w:val="2"/>
            <w:shd w:val="clear" w:color="000000" w:fill="FFFFFF"/>
            <w:noWrap/>
            <w:vAlign w:val="center"/>
            <w:hideMark/>
          </w:tcPr>
          <w:p w14:paraId="74BE8945" w14:textId="77777777" w:rsidR="00DB1AEE" w:rsidRPr="00DB1AEE" w:rsidRDefault="00DB1AEE" w:rsidP="00DB1AEE">
            <w:pPr>
              <w:suppressAutoHyphens/>
              <w:jc w:val="center"/>
              <w:rPr>
                <w:sz w:val="18"/>
                <w:szCs w:val="18"/>
                <w:u w:val="single"/>
              </w:rPr>
            </w:pPr>
            <w:r w:rsidRPr="00DB1AEE">
              <w:rPr>
                <w:sz w:val="18"/>
                <w:szCs w:val="18"/>
                <w:u w:val="single"/>
              </w:rPr>
              <w:t>0.44</w:t>
            </w:r>
          </w:p>
        </w:tc>
        <w:tc>
          <w:tcPr>
            <w:tcW w:w="0" w:type="auto"/>
            <w:shd w:val="clear" w:color="000000" w:fill="FFFFFF"/>
            <w:vAlign w:val="center"/>
            <w:hideMark/>
          </w:tcPr>
          <w:p w14:paraId="4CA501D2" w14:textId="77777777" w:rsidR="00DB1AEE" w:rsidRPr="00DB1AEE" w:rsidRDefault="00DB1AEE" w:rsidP="00DB1AEE">
            <w:pPr>
              <w:suppressAutoHyphens/>
              <w:jc w:val="center"/>
              <w:rPr>
                <w:sz w:val="18"/>
                <w:szCs w:val="18"/>
                <w:u w:val="single"/>
              </w:rPr>
            </w:pPr>
            <w:r w:rsidRPr="00DB1AEE">
              <w:rPr>
                <w:sz w:val="18"/>
                <w:szCs w:val="18"/>
                <w:u w:val="single"/>
              </w:rPr>
              <w:t>width  8 ft</w:t>
            </w:r>
          </w:p>
        </w:tc>
        <w:tc>
          <w:tcPr>
            <w:tcW w:w="0" w:type="auto"/>
            <w:shd w:val="clear" w:color="000000" w:fill="FFFFFF"/>
            <w:vAlign w:val="center"/>
            <w:hideMark/>
          </w:tcPr>
          <w:p w14:paraId="7143A28A"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4ABF6C63"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2CADED4E"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27758CEC"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63AC0D6D"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5A8C0AAD"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49828742"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2F8BC4D9" w14:textId="77777777" w:rsidR="00DB1AEE" w:rsidRPr="00DB1AEE" w:rsidRDefault="00DB1AEE" w:rsidP="00DB1AEE">
            <w:pPr>
              <w:suppressAutoHyphens/>
              <w:jc w:val="center"/>
              <w:rPr>
                <w:sz w:val="18"/>
                <w:szCs w:val="18"/>
                <w:u w:val="single"/>
              </w:rPr>
            </w:pPr>
            <w:r w:rsidRPr="00DB1AEE">
              <w:rPr>
                <w:sz w:val="18"/>
                <w:szCs w:val="18"/>
                <w:u w:val="single"/>
              </w:rPr>
              <w:t>ADD2</w:t>
            </w:r>
          </w:p>
        </w:tc>
        <w:tc>
          <w:tcPr>
            <w:tcW w:w="0" w:type="auto"/>
            <w:vAlign w:val="center"/>
            <w:hideMark/>
          </w:tcPr>
          <w:p w14:paraId="200B7274" w14:textId="77777777" w:rsidR="00DB1AEE" w:rsidRPr="00DB1AEE" w:rsidRDefault="00DB1AEE" w:rsidP="00DB1AEE">
            <w:pPr>
              <w:suppressAutoHyphens/>
              <w:jc w:val="center"/>
              <w:rPr>
                <w:sz w:val="18"/>
                <w:szCs w:val="18"/>
                <w:u w:val="single"/>
              </w:rPr>
            </w:pPr>
            <w:r w:rsidRPr="00DB1AEE">
              <w:rPr>
                <w:sz w:val="18"/>
                <w:szCs w:val="18"/>
                <w:u w:val="single"/>
              </w:rPr>
              <w:t>ADD2</w:t>
            </w:r>
          </w:p>
        </w:tc>
      </w:tr>
      <w:tr w:rsidR="00DB1AEE" w:rsidRPr="00DB1AEE" w14:paraId="18C5CB09" w14:textId="77777777" w:rsidTr="00FC1832">
        <w:trPr>
          <w:trHeight w:val="255"/>
          <w:jc w:val="center"/>
        </w:trPr>
        <w:tc>
          <w:tcPr>
            <w:tcW w:w="0" w:type="auto"/>
            <w:shd w:val="clear" w:color="000000" w:fill="FFFFFF"/>
            <w:vAlign w:val="center"/>
            <w:hideMark/>
          </w:tcPr>
          <w:p w14:paraId="1A41D4F0" w14:textId="77777777" w:rsidR="00DB1AEE" w:rsidRPr="00DB1AEE" w:rsidRDefault="00DB1AEE" w:rsidP="00DB1AEE">
            <w:pPr>
              <w:suppressAutoHyphens/>
              <w:jc w:val="center"/>
              <w:rPr>
                <w:sz w:val="18"/>
                <w:szCs w:val="18"/>
                <w:u w:val="single"/>
              </w:rPr>
            </w:pPr>
            <w:r w:rsidRPr="00DB1AEE">
              <w:rPr>
                <w:sz w:val="18"/>
                <w:szCs w:val="18"/>
                <w:u w:val="single"/>
              </w:rPr>
              <w:t>Courtroom</w:t>
            </w:r>
          </w:p>
        </w:tc>
        <w:tc>
          <w:tcPr>
            <w:tcW w:w="0" w:type="auto"/>
            <w:gridSpan w:val="2"/>
            <w:shd w:val="clear" w:color="000000" w:fill="FFFFFF"/>
            <w:noWrap/>
            <w:vAlign w:val="center"/>
            <w:hideMark/>
          </w:tcPr>
          <w:p w14:paraId="6A92C1D8" w14:textId="77777777" w:rsidR="00DB1AEE" w:rsidRPr="00DB1AEE" w:rsidRDefault="00DB1AEE" w:rsidP="00DB1AEE">
            <w:pPr>
              <w:suppressAutoHyphens/>
              <w:jc w:val="center"/>
              <w:rPr>
                <w:sz w:val="18"/>
                <w:szCs w:val="18"/>
                <w:u w:val="single"/>
              </w:rPr>
            </w:pPr>
            <w:r w:rsidRPr="00DB1AEE">
              <w:rPr>
                <w:sz w:val="18"/>
                <w:szCs w:val="18"/>
                <w:u w:val="single"/>
              </w:rPr>
              <w:t>1.06</w:t>
            </w:r>
          </w:p>
        </w:tc>
        <w:tc>
          <w:tcPr>
            <w:tcW w:w="0" w:type="auto"/>
            <w:shd w:val="clear" w:color="000000" w:fill="FFFFFF"/>
            <w:noWrap/>
            <w:vAlign w:val="center"/>
            <w:hideMark/>
          </w:tcPr>
          <w:p w14:paraId="1B236053" w14:textId="77777777" w:rsidR="00DB1AEE" w:rsidRPr="00DB1AEE" w:rsidRDefault="00DB1AEE" w:rsidP="00DB1AEE">
            <w:pPr>
              <w:suppressAutoHyphens/>
              <w:jc w:val="center"/>
              <w:rPr>
                <w:sz w:val="18"/>
                <w:szCs w:val="18"/>
                <w:u w:val="single"/>
              </w:rPr>
            </w:pPr>
            <w:r w:rsidRPr="00DB1AEE">
              <w:rPr>
                <w:sz w:val="18"/>
                <w:szCs w:val="18"/>
                <w:u w:val="single"/>
              </w:rPr>
              <w:t>6</w:t>
            </w:r>
          </w:p>
        </w:tc>
        <w:tc>
          <w:tcPr>
            <w:tcW w:w="0" w:type="auto"/>
            <w:shd w:val="clear" w:color="000000" w:fill="FFFFFF"/>
            <w:vAlign w:val="center"/>
            <w:hideMark/>
          </w:tcPr>
          <w:p w14:paraId="3733165C"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3DEDA8D4"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0" w:type="auto"/>
            <w:shd w:val="clear" w:color="000000" w:fill="FFFFFF"/>
            <w:vAlign w:val="center"/>
            <w:hideMark/>
          </w:tcPr>
          <w:p w14:paraId="6172ABF3"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0" w:type="auto"/>
            <w:shd w:val="clear" w:color="000000" w:fill="FFFFFF"/>
            <w:vAlign w:val="center"/>
            <w:hideMark/>
          </w:tcPr>
          <w:p w14:paraId="073B6871"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0D225E64"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7A8BE3AA"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63A9D995"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060D0778" w14:textId="77777777" w:rsidR="00DB1AEE" w:rsidRPr="00DB1AEE" w:rsidRDefault="00DB1AEE" w:rsidP="00DB1AEE">
            <w:pPr>
              <w:suppressAutoHyphens/>
              <w:jc w:val="center"/>
              <w:rPr>
                <w:sz w:val="18"/>
                <w:szCs w:val="18"/>
                <w:u w:val="single"/>
              </w:rPr>
            </w:pPr>
            <w:r w:rsidRPr="00DB1AEE">
              <w:rPr>
                <w:sz w:val="18"/>
                <w:szCs w:val="18"/>
                <w:u w:val="single"/>
              </w:rPr>
              <w:t>ADD2</w:t>
            </w:r>
          </w:p>
        </w:tc>
        <w:tc>
          <w:tcPr>
            <w:tcW w:w="0" w:type="auto"/>
            <w:shd w:val="clear" w:color="000000" w:fill="FFFFFF"/>
            <w:vAlign w:val="center"/>
            <w:hideMark/>
          </w:tcPr>
          <w:p w14:paraId="3CE42E02" w14:textId="77777777" w:rsidR="00DB1AEE" w:rsidRPr="00DB1AEE" w:rsidRDefault="00DB1AEE" w:rsidP="00DB1AEE">
            <w:pPr>
              <w:suppressAutoHyphens/>
              <w:jc w:val="center"/>
              <w:rPr>
                <w:sz w:val="18"/>
                <w:szCs w:val="18"/>
                <w:u w:val="single"/>
              </w:rPr>
            </w:pPr>
            <w:r w:rsidRPr="00DB1AEE">
              <w:rPr>
                <w:sz w:val="18"/>
                <w:szCs w:val="18"/>
                <w:u w:val="single"/>
              </w:rPr>
              <w:t>ADD2</w:t>
            </w:r>
          </w:p>
        </w:tc>
      </w:tr>
      <w:tr w:rsidR="00DB1AEE" w:rsidRPr="00DB1AEE" w14:paraId="324C8CF5" w14:textId="77777777" w:rsidTr="00FC1832">
        <w:trPr>
          <w:trHeight w:val="255"/>
          <w:jc w:val="center"/>
        </w:trPr>
        <w:tc>
          <w:tcPr>
            <w:tcW w:w="0" w:type="auto"/>
            <w:shd w:val="clear" w:color="000000" w:fill="FFFFFF"/>
            <w:vAlign w:val="center"/>
            <w:hideMark/>
          </w:tcPr>
          <w:p w14:paraId="770AD69B" w14:textId="77777777" w:rsidR="00DB1AEE" w:rsidRPr="00DB1AEE" w:rsidRDefault="00DB1AEE" w:rsidP="00DB1AEE">
            <w:pPr>
              <w:suppressAutoHyphens/>
              <w:jc w:val="center"/>
              <w:rPr>
                <w:sz w:val="18"/>
                <w:szCs w:val="18"/>
                <w:u w:val="single"/>
              </w:rPr>
            </w:pPr>
            <w:r w:rsidRPr="00DB1AEE">
              <w:rPr>
                <w:sz w:val="18"/>
                <w:szCs w:val="18"/>
                <w:u w:val="single"/>
              </w:rPr>
              <w:t>Dining Areas</w:t>
            </w:r>
          </w:p>
        </w:tc>
        <w:tc>
          <w:tcPr>
            <w:tcW w:w="0" w:type="auto"/>
            <w:shd w:val="clear" w:color="000000" w:fill="FFFFFF"/>
            <w:vAlign w:val="center"/>
            <w:hideMark/>
          </w:tcPr>
          <w:p w14:paraId="75D7FD4E"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7A1D830E"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5939BBAD"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16E1C4FA"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6E4E5839"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4E9B85C2"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3F67317A"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74E1F287"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1B2223C0"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07C23639"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40A6E865"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5E2E53AA" w14:textId="77777777" w:rsidR="00DB1AEE" w:rsidRPr="00DB1AEE" w:rsidRDefault="00DB1AEE" w:rsidP="00DB1AEE">
            <w:pPr>
              <w:suppressAutoHyphens/>
              <w:jc w:val="center"/>
              <w:rPr>
                <w:sz w:val="18"/>
                <w:szCs w:val="18"/>
                <w:u w:val="single"/>
              </w:rPr>
            </w:pPr>
          </w:p>
        </w:tc>
      </w:tr>
      <w:tr w:rsidR="00DB1AEE" w:rsidRPr="00DB1AEE" w14:paraId="668B4B40" w14:textId="77777777" w:rsidTr="00FC1832">
        <w:trPr>
          <w:trHeight w:val="255"/>
          <w:jc w:val="center"/>
        </w:trPr>
        <w:tc>
          <w:tcPr>
            <w:tcW w:w="0" w:type="auto"/>
            <w:shd w:val="clear" w:color="000000" w:fill="FFFFFF"/>
            <w:vAlign w:val="center"/>
            <w:hideMark/>
          </w:tcPr>
          <w:p w14:paraId="3DC85192" w14:textId="77777777" w:rsidR="00DB1AEE" w:rsidRPr="00DB1AEE" w:rsidRDefault="00DB1AEE" w:rsidP="00DB1AEE">
            <w:pPr>
              <w:suppressAutoHyphens/>
              <w:jc w:val="center"/>
              <w:rPr>
                <w:sz w:val="18"/>
                <w:szCs w:val="18"/>
                <w:u w:val="single"/>
              </w:rPr>
            </w:pPr>
            <w:r w:rsidRPr="00DB1AEE">
              <w:rPr>
                <w:sz w:val="18"/>
                <w:szCs w:val="18"/>
                <w:u w:val="single"/>
              </w:rPr>
              <w:t>Bar/lounge or leisure dining</w:t>
            </w:r>
          </w:p>
        </w:tc>
        <w:tc>
          <w:tcPr>
            <w:tcW w:w="0" w:type="auto"/>
            <w:gridSpan w:val="2"/>
            <w:shd w:val="clear" w:color="000000" w:fill="FFFFFF"/>
            <w:noWrap/>
            <w:vAlign w:val="center"/>
            <w:hideMark/>
          </w:tcPr>
          <w:p w14:paraId="48EE1B37" w14:textId="77777777" w:rsidR="00DB1AEE" w:rsidRPr="00DB1AEE" w:rsidRDefault="00DB1AEE" w:rsidP="00DB1AEE">
            <w:pPr>
              <w:suppressAutoHyphens/>
              <w:jc w:val="center"/>
              <w:rPr>
                <w:sz w:val="18"/>
                <w:szCs w:val="18"/>
                <w:u w:val="single"/>
              </w:rPr>
            </w:pPr>
            <w:r w:rsidRPr="00DB1AEE">
              <w:rPr>
                <w:sz w:val="18"/>
                <w:szCs w:val="18"/>
                <w:u w:val="single"/>
              </w:rPr>
              <w:t>0.62</w:t>
            </w:r>
          </w:p>
        </w:tc>
        <w:tc>
          <w:tcPr>
            <w:tcW w:w="0" w:type="auto"/>
            <w:shd w:val="clear" w:color="000000" w:fill="FFFFFF"/>
            <w:noWrap/>
            <w:vAlign w:val="center"/>
            <w:hideMark/>
          </w:tcPr>
          <w:p w14:paraId="7196EA43" w14:textId="77777777" w:rsidR="00DB1AEE" w:rsidRPr="00DB1AEE" w:rsidRDefault="00DB1AEE" w:rsidP="00DB1AEE">
            <w:pPr>
              <w:suppressAutoHyphens/>
              <w:jc w:val="center"/>
              <w:rPr>
                <w:sz w:val="18"/>
                <w:szCs w:val="18"/>
                <w:u w:val="single"/>
              </w:rPr>
            </w:pPr>
            <w:r w:rsidRPr="00DB1AEE">
              <w:rPr>
                <w:sz w:val="18"/>
                <w:szCs w:val="18"/>
                <w:u w:val="single"/>
              </w:rPr>
              <w:t>4</w:t>
            </w:r>
          </w:p>
        </w:tc>
        <w:tc>
          <w:tcPr>
            <w:tcW w:w="0" w:type="auto"/>
            <w:shd w:val="clear" w:color="000000" w:fill="FFFFFF"/>
            <w:vAlign w:val="center"/>
            <w:hideMark/>
          </w:tcPr>
          <w:p w14:paraId="45A61203"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0F0DD8BB"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0" w:type="auto"/>
            <w:shd w:val="clear" w:color="000000" w:fill="FFFFFF"/>
            <w:vAlign w:val="center"/>
            <w:hideMark/>
          </w:tcPr>
          <w:p w14:paraId="21403708"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0" w:type="auto"/>
            <w:shd w:val="clear" w:color="000000" w:fill="FFFFFF"/>
            <w:vAlign w:val="center"/>
            <w:hideMark/>
          </w:tcPr>
          <w:p w14:paraId="378BF11E"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0EADE31E"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3FEEB9DC"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445CFD18"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3E666932" w14:textId="77777777" w:rsidR="00DB1AEE" w:rsidRPr="00DB1AEE" w:rsidRDefault="00DB1AEE" w:rsidP="00DB1AEE">
            <w:pPr>
              <w:suppressAutoHyphens/>
              <w:jc w:val="center"/>
              <w:rPr>
                <w:sz w:val="18"/>
                <w:szCs w:val="18"/>
                <w:u w:val="single"/>
              </w:rPr>
            </w:pPr>
            <w:r w:rsidRPr="00DB1AEE">
              <w:rPr>
                <w:sz w:val="18"/>
                <w:szCs w:val="18"/>
                <w:u w:val="single"/>
              </w:rPr>
              <w:t>ADD2</w:t>
            </w:r>
          </w:p>
        </w:tc>
        <w:tc>
          <w:tcPr>
            <w:tcW w:w="0" w:type="auto"/>
            <w:shd w:val="clear" w:color="000000" w:fill="FFFFFF"/>
            <w:vAlign w:val="center"/>
            <w:hideMark/>
          </w:tcPr>
          <w:p w14:paraId="79DE7715" w14:textId="77777777" w:rsidR="00DB1AEE" w:rsidRPr="00DB1AEE" w:rsidRDefault="00DB1AEE" w:rsidP="00DB1AEE">
            <w:pPr>
              <w:suppressAutoHyphens/>
              <w:jc w:val="center"/>
              <w:rPr>
                <w:sz w:val="18"/>
                <w:szCs w:val="18"/>
                <w:u w:val="single"/>
              </w:rPr>
            </w:pPr>
            <w:r w:rsidRPr="00DB1AEE">
              <w:rPr>
                <w:sz w:val="18"/>
                <w:szCs w:val="18"/>
                <w:u w:val="single"/>
              </w:rPr>
              <w:t>ADD2</w:t>
            </w:r>
          </w:p>
        </w:tc>
      </w:tr>
      <w:tr w:rsidR="00DB1AEE" w:rsidRPr="00DB1AEE" w14:paraId="56F80D9F" w14:textId="77777777" w:rsidTr="00FC1832">
        <w:trPr>
          <w:trHeight w:val="255"/>
          <w:jc w:val="center"/>
        </w:trPr>
        <w:tc>
          <w:tcPr>
            <w:tcW w:w="0" w:type="auto"/>
            <w:shd w:val="clear" w:color="000000" w:fill="FFFFFF"/>
            <w:vAlign w:val="center"/>
            <w:hideMark/>
          </w:tcPr>
          <w:p w14:paraId="08D2C260" w14:textId="77777777" w:rsidR="00DB1AEE" w:rsidRPr="00DB1AEE" w:rsidRDefault="00DB1AEE" w:rsidP="00DB1AEE">
            <w:pPr>
              <w:suppressAutoHyphens/>
              <w:jc w:val="center"/>
              <w:rPr>
                <w:sz w:val="18"/>
                <w:szCs w:val="18"/>
                <w:u w:val="single"/>
              </w:rPr>
            </w:pPr>
            <w:r w:rsidRPr="00DB1AEE">
              <w:rPr>
                <w:sz w:val="18"/>
                <w:szCs w:val="18"/>
                <w:u w:val="single"/>
              </w:rPr>
              <w:t>Cafeteria or fast-food dining</w:t>
            </w:r>
          </w:p>
        </w:tc>
        <w:tc>
          <w:tcPr>
            <w:tcW w:w="0" w:type="auto"/>
            <w:gridSpan w:val="2"/>
            <w:shd w:val="clear" w:color="000000" w:fill="FFFFFF"/>
            <w:noWrap/>
            <w:vAlign w:val="center"/>
            <w:hideMark/>
          </w:tcPr>
          <w:p w14:paraId="18779479" w14:textId="77777777" w:rsidR="00DB1AEE" w:rsidRPr="00DB1AEE" w:rsidRDefault="00DB1AEE" w:rsidP="00DB1AEE">
            <w:pPr>
              <w:suppressAutoHyphens/>
              <w:jc w:val="center"/>
              <w:rPr>
                <w:sz w:val="18"/>
                <w:szCs w:val="18"/>
                <w:u w:val="single"/>
              </w:rPr>
            </w:pPr>
            <w:r w:rsidRPr="00DB1AEE">
              <w:rPr>
                <w:sz w:val="18"/>
                <w:szCs w:val="18"/>
                <w:u w:val="single"/>
              </w:rPr>
              <w:t>0.36</w:t>
            </w:r>
          </w:p>
        </w:tc>
        <w:tc>
          <w:tcPr>
            <w:tcW w:w="0" w:type="auto"/>
            <w:shd w:val="clear" w:color="000000" w:fill="FFFFFF"/>
            <w:noWrap/>
            <w:vAlign w:val="center"/>
            <w:hideMark/>
          </w:tcPr>
          <w:p w14:paraId="3E87B741"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778E1585"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20DC9883"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0" w:type="auto"/>
            <w:shd w:val="clear" w:color="000000" w:fill="FFFFFF"/>
            <w:vAlign w:val="center"/>
            <w:hideMark/>
          </w:tcPr>
          <w:p w14:paraId="49D3A38B"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0" w:type="auto"/>
            <w:shd w:val="clear" w:color="000000" w:fill="FFFFFF"/>
            <w:vAlign w:val="center"/>
            <w:hideMark/>
          </w:tcPr>
          <w:p w14:paraId="5735F00C"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4B46F36C"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7BF541C2"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0AE8B347"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1C3271C1" w14:textId="77777777" w:rsidR="00DB1AEE" w:rsidRPr="00DB1AEE" w:rsidRDefault="00DB1AEE" w:rsidP="00DB1AEE">
            <w:pPr>
              <w:suppressAutoHyphens/>
              <w:jc w:val="center"/>
              <w:rPr>
                <w:sz w:val="18"/>
                <w:szCs w:val="18"/>
                <w:u w:val="single"/>
              </w:rPr>
            </w:pPr>
            <w:r w:rsidRPr="00DB1AEE">
              <w:rPr>
                <w:sz w:val="18"/>
                <w:szCs w:val="18"/>
                <w:u w:val="single"/>
              </w:rPr>
              <w:t>ADD2</w:t>
            </w:r>
          </w:p>
        </w:tc>
        <w:tc>
          <w:tcPr>
            <w:tcW w:w="0" w:type="auto"/>
            <w:vAlign w:val="center"/>
            <w:hideMark/>
          </w:tcPr>
          <w:p w14:paraId="5642AD1D" w14:textId="77777777" w:rsidR="00DB1AEE" w:rsidRPr="00DB1AEE" w:rsidRDefault="00DB1AEE" w:rsidP="00DB1AEE">
            <w:pPr>
              <w:suppressAutoHyphens/>
              <w:jc w:val="center"/>
              <w:rPr>
                <w:sz w:val="18"/>
                <w:szCs w:val="18"/>
                <w:u w:val="single"/>
              </w:rPr>
            </w:pPr>
            <w:r w:rsidRPr="00DB1AEE">
              <w:rPr>
                <w:sz w:val="18"/>
                <w:szCs w:val="18"/>
                <w:u w:val="single"/>
              </w:rPr>
              <w:t>ADD2</w:t>
            </w:r>
          </w:p>
        </w:tc>
      </w:tr>
      <w:tr w:rsidR="00DB1AEE" w:rsidRPr="00DB1AEE" w14:paraId="34DBF693" w14:textId="77777777" w:rsidTr="00FC1832">
        <w:trPr>
          <w:trHeight w:val="255"/>
          <w:jc w:val="center"/>
        </w:trPr>
        <w:tc>
          <w:tcPr>
            <w:tcW w:w="0" w:type="auto"/>
            <w:shd w:val="clear" w:color="000000" w:fill="FFFFFF"/>
            <w:vAlign w:val="center"/>
            <w:hideMark/>
          </w:tcPr>
          <w:p w14:paraId="052F6FAC" w14:textId="77777777" w:rsidR="00DB1AEE" w:rsidRPr="00DB1AEE" w:rsidRDefault="00DB1AEE" w:rsidP="00DB1AEE">
            <w:pPr>
              <w:suppressAutoHyphens/>
              <w:jc w:val="center"/>
              <w:rPr>
                <w:sz w:val="18"/>
                <w:szCs w:val="18"/>
                <w:u w:val="single"/>
              </w:rPr>
            </w:pPr>
            <w:r w:rsidRPr="00DB1AEE">
              <w:rPr>
                <w:sz w:val="18"/>
                <w:szCs w:val="18"/>
                <w:u w:val="single"/>
              </w:rPr>
              <w:t>Family dining</w:t>
            </w:r>
          </w:p>
        </w:tc>
        <w:tc>
          <w:tcPr>
            <w:tcW w:w="0" w:type="auto"/>
            <w:gridSpan w:val="2"/>
            <w:shd w:val="clear" w:color="000000" w:fill="FFFFFF"/>
            <w:noWrap/>
            <w:vAlign w:val="center"/>
            <w:hideMark/>
          </w:tcPr>
          <w:p w14:paraId="07DBC3F9" w14:textId="77777777" w:rsidR="00DB1AEE" w:rsidRPr="00DB1AEE" w:rsidRDefault="00DB1AEE" w:rsidP="00DB1AEE">
            <w:pPr>
              <w:suppressAutoHyphens/>
              <w:jc w:val="center"/>
              <w:rPr>
                <w:sz w:val="18"/>
                <w:szCs w:val="18"/>
                <w:u w:val="single"/>
              </w:rPr>
            </w:pPr>
            <w:r w:rsidRPr="00DB1AEE">
              <w:rPr>
                <w:sz w:val="18"/>
                <w:szCs w:val="18"/>
                <w:u w:val="single"/>
              </w:rPr>
              <w:t>0.52</w:t>
            </w:r>
          </w:p>
        </w:tc>
        <w:tc>
          <w:tcPr>
            <w:tcW w:w="0" w:type="auto"/>
            <w:shd w:val="clear" w:color="000000" w:fill="FFFFFF"/>
            <w:noWrap/>
            <w:vAlign w:val="center"/>
            <w:hideMark/>
          </w:tcPr>
          <w:p w14:paraId="14F9DA90" w14:textId="77777777" w:rsidR="00DB1AEE" w:rsidRPr="00DB1AEE" w:rsidRDefault="00DB1AEE" w:rsidP="00DB1AEE">
            <w:pPr>
              <w:suppressAutoHyphens/>
              <w:jc w:val="center"/>
              <w:rPr>
                <w:sz w:val="18"/>
                <w:szCs w:val="18"/>
                <w:u w:val="single"/>
              </w:rPr>
            </w:pPr>
            <w:r w:rsidRPr="00DB1AEE">
              <w:rPr>
                <w:sz w:val="18"/>
                <w:szCs w:val="18"/>
                <w:u w:val="single"/>
              </w:rPr>
              <w:t>4</w:t>
            </w:r>
          </w:p>
        </w:tc>
        <w:tc>
          <w:tcPr>
            <w:tcW w:w="0" w:type="auto"/>
            <w:shd w:val="clear" w:color="000000" w:fill="FFFFFF"/>
            <w:vAlign w:val="center"/>
            <w:hideMark/>
          </w:tcPr>
          <w:p w14:paraId="50427524"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2094D413"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0" w:type="auto"/>
            <w:shd w:val="clear" w:color="000000" w:fill="FFFFFF"/>
            <w:vAlign w:val="center"/>
            <w:hideMark/>
          </w:tcPr>
          <w:p w14:paraId="0898A942"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0" w:type="auto"/>
            <w:shd w:val="clear" w:color="000000" w:fill="FFFFFF"/>
            <w:vAlign w:val="center"/>
            <w:hideMark/>
          </w:tcPr>
          <w:p w14:paraId="63A1FFF9"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58E5D9BC"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04DED8D1"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74308365"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042D9FBF" w14:textId="77777777" w:rsidR="00DB1AEE" w:rsidRPr="00DB1AEE" w:rsidRDefault="00DB1AEE" w:rsidP="00DB1AEE">
            <w:pPr>
              <w:suppressAutoHyphens/>
              <w:jc w:val="center"/>
              <w:rPr>
                <w:sz w:val="18"/>
                <w:szCs w:val="18"/>
                <w:u w:val="single"/>
              </w:rPr>
            </w:pPr>
            <w:r w:rsidRPr="00DB1AEE">
              <w:rPr>
                <w:sz w:val="18"/>
                <w:szCs w:val="18"/>
                <w:u w:val="single"/>
              </w:rPr>
              <w:t>ADD2</w:t>
            </w:r>
          </w:p>
        </w:tc>
        <w:tc>
          <w:tcPr>
            <w:tcW w:w="0" w:type="auto"/>
            <w:vAlign w:val="center"/>
            <w:hideMark/>
          </w:tcPr>
          <w:p w14:paraId="65562525" w14:textId="77777777" w:rsidR="00DB1AEE" w:rsidRPr="00DB1AEE" w:rsidRDefault="00DB1AEE" w:rsidP="00DB1AEE">
            <w:pPr>
              <w:suppressAutoHyphens/>
              <w:jc w:val="center"/>
              <w:rPr>
                <w:sz w:val="18"/>
                <w:szCs w:val="18"/>
                <w:u w:val="single"/>
              </w:rPr>
            </w:pPr>
            <w:r w:rsidRPr="00DB1AEE">
              <w:rPr>
                <w:sz w:val="18"/>
                <w:szCs w:val="18"/>
                <w:u w:val="single"/>
              </w:rPr>
              <w:t>ADD2</w:t>
            </w:r>
          </w:p>
        </w:tc>
      </w:tr>
      <w:tr w:rsidR="00DB1AEE" w:rsidRPr="00DB1AEE" w14:paraId="22E14D22" w14:textId="77777777" w:rsidTr="00FC1832">
        <w:trPr>
          <w:trHeight w:val="255"/>
          <w:jc w:val="center"/>
        </w:trPr>
        <w:tc>
          <w:tcPr>
            <w:tcW w:w="0" w:type="auto"/>
            <w:shd w:val="clear" w:color="000000" w:fill="FFFFFF"/>
            <w:vAlign w:val="center"/>
            <w:hideMark/>
          </w:tcPr>
          <w:p w14:paraId="758F4216" w14:textId="77777777" w:rsidR="00DB1AEE" w:rsidRPr="00DB1AEE" w:rsidRDefault="00DB1AEE" w:rsidP="00DB1AEE">
            <w:pPr>
              <w:suppressAutoHyphens/>
              <w:jc w:val="center"/>
              <w:rPr>
                <w:sz w:val="18"/>
                <w:szCs w:val="18"/>
                <w:u w:val="single"/>
              </w:rPr>
            </w:pPr>
            <w:r w:rsidRPr="00DB1AEE">
              <w:rPr>
                <w:sz w:val="18"/>
                <w:szCs w:val="18"/>
                <w:u w:val="single"/>
              </w:rPr>
              <w:t>All other dining areas</w:t>
            </w:r>
          </w:p>
        </w:tc>
        <w:tc>
          <w:tcPr>
            <w:tcW w:w="0" w:type="auto"/>
            <w:gridSpan w:val="2"/>
            <w:shd w:val="clear" w:color="000000" w:fill="FFFFFF"/>
            <w:noWrap/>
            <w:vAlign w:val="center"/>
            <w:hideMark/>
          </w:tcPr>
          <w:p w14:paraId="13E73A49" w14:textId="77777777" w:rsidR="00DB1AEE" w:rsidRPr="00DB1AEE" w:rsidRDefault="00DB1AEE" w:rsidP="00DB1AEE">
            <w:pPr>
              <w:suppressAutoHyphens/>
              <w:jc w:val="center"/>
              <w:rPr>
                <w:sz w:val="18"/>
                <w:szCs w:val="18"/>
                <w:u w:val="single"/>
              </w:rPr>
            </w:pPr>
            <w:r w:rsidRPr="00DB1AEE">
              <w:rPr>
                <w:sz w:val="18"/>
                <w:szCs w:val="18"/>
                <w:u w:val="single"/>
              </w:rPr>
              <w:t>0.42</w:t>
            </w:r>
          </w:p>
        </w:tc>
        <w:tc>
          <w:tcPr>
            <w:tcW w:w="0" w:type="auto"/>
            <w:shd w:val="clear" w:color="000000" w:fill="FFFFFF"/>
            <w:noWrap/>
            <w:vAlign w:val="center"/>
            <w:hideMark/>
          </w:tcPr>
          <w:p w14:paraId="28B3B267" w14:textId="77777777" w:rsidR="00DB1AEE" w:rsidRPr="00DB1AEE" w:rsidRDefault="00DB1AEE" w:rsidP="00DB1AEE">
            <w:pPr>
              <w:suppressAutoHyphens/>
              <w:jc w:val="center"/>
              <w:rPr>
                <w:sz w:val="18"/>
                <w:szCs w:val="18"/>
                <w:u w:val="single"/>
              </w:rPr>
            </w:pPr>
            <w:r w:rsidRPr="00DB1AEE">
              <w:rPr>
                <w:sz w:val="18"/>
                <w:szCs w:val="18"/>
                <w:u w:val="single"/>
              </w:rPr>
              <w:t>4</w:t>
            </w:r>
          </w:p>
        </w:tc>
        <w:tc>
          <w:tcPr>
            <w:tcW w:w="0" w:type="auto"/>
            <w:shd w:val="clear" w:color="000000" w:fill="FFFFFF"/>
            <w:vAlign w:val="center"/>
            <w:hideMark/>
          </w:tcPr>
          <w:p w14:paraId="10CFCF85"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0F58DA57"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0" w:type="auto"/>
            <w:shd w:val="clear" w:color="000000" w:fill="FFFFFF"/>
            <w:vAlign w:val="center"/>
            <w:hideMark/>
          </w:tcPr>
          <w:p w14:paraId="5EBCF7D9"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0" w:type="auto"/>
            <w:shd w:val="clear" w:color="000000" w:fill="FFFFFF"/>
            <w:vAlign w:val="center"/>
            <w:hideMark/>
          </w:tcPr>
          <w:p w14:paraId="127D1B2C"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64882A91"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56D5F6BC"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69676003"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3DDB4B80" w14:textId="77777777" w:rsidR="00DB1AEE" w:rsidRPr="00DB1AEE" w:rsidRDefault="00DB1AEE" w:rsidP="00DB1AEE">
            <w:pPr>
              <w:suppressAutoHyphens/>
              <w:jc w:val="center"/>
              <w:rPr>
                <w:sz w:val="18"/>
                <w:szCs w:val="18"/>
                <w:u w:val="single"/>
              </w:rPr>
            </w:pPr>
            <w:r w:rsidRPr="00DB1AEE">
              <w:rPr>
                <w:sz w:val="18"/>
                <w:szCs w:val="18"/>
                <w:u w:val="single"/>
              </w:rPr>
              <w:t>ADD2</w:t>
            </w:r>
          </w:p>
        </w:tc>
        <w:tc>
          <w:tcPr>
            <w:tcW w:w="0" w:type="auto"/>
            <w:shd w:val="clear" w:color="000000" w:fill="FFFFFF"/>
            <w:vAlign w:val="center"/>
            <w:hideMark/>
          </w:tcPr>
          <w:p w14:paraId="20EC435F" w14:textId="77777777" w:rsidR="00DB1AEE" w:rsidRPr="00DB1AEE" w:rsidRDefault="00DB1AEE" w:rsidP="00DB1AEE">
            <w:pPr>
              <w:suppressAutoHyphens/>
              <w:jc w:val="center"/>
              <w:rPr>
                <w:sz w:val="18"/>
                <w:szCs w:val="18"/>
                <w:u w:val="single"/>
              </w:rPr>
            </w:pPr>
            <w:r w:rsidRPr="00DB1AEE">
              <w:rPr>
                <w:sz w:val="18"/>
                <w:szCs w:val="18"/>
                <w:u w:val="single"/>
              </w:rPr>
              <w:t>ADD2</w:t>
            </w:r>
          </w:p>
        </w:tc>
      </w:tr>
      <w:tr w:rsidR="00DB1AEE" w:rsidRPr="00DB1AEE" w14:paraId="09683D20" w14:textId="77777777" w:rsidTr="00FC1832">
        <w:trPr>
          <w:trHeight w:val="390"/>
          <w:jc w:val="center"/>
        </w:trPr>
        <w:tc>
          <w:tcPr>
            <w:tcW w:w="0" w:type="auto"/>
            <w:shd w:val="clear" w:color="000000" w:fill="FFFFFF"/>
            <w:vAlign w:val="center"/>
            <w:hideMark/>
          </w:tcPr>
          <w:p w14:paraId="3858DEFA" w14:textId="77777777" w:rsidR="00DB1AEE" w:rsidRPr="00DB1AEE" w:rsidRDefault="00DB1AEE" w:rsidP="00DB1AEE">
            <w:pPr>
              <w:suppressAutoHyphens/>
              <w:jc w:val="center"/>
              <w:rPr>
                <w:sz w:val="18"/>
                <w:szCs w:val="18"/>
                <w:u w:val="single"/>
              </w:rPr>
            </w:pPr>
            <w:r w:rsidRPr="00DB1AEE">
              <w:rPr>
                <w:sz w:val="18"/>
                <w:szCs w:val="18"/>
                <w:u w:val="single"/>
              </w:rPr>
              <w:t>Electrical/Mechanical Room</w:t>
            </w:r>
            <w:r w:rsidRPr="00DB1AEE">
              <w:rPr>
                <w:strike/>
                <w:sz w:val="18"/>
                <w:szCs w:val="18"/>
                <w:u w:val="single"/>
                <w:vertAlign w:val="superscript"/>
              </w:rPr>
              <w:t>7</w:t>
            </w:r>
          </w:p>
        </w:tc>
        <w:tc>
          <w:tcPr>
            <w:tcW w:w="0" w:type="auto"/>
            <w:gridSpan w:val="2"/>
            <w:shd w:val="clear" w:color="000000" w:fill="FFFFFF"/>
            <w:noWrap/>
            <w:vAlign w:val="center"/>
            <w:hideMark/>
          </w:tcPr>
          <w:p w14:paraId="446EFD8E" w14:textId="77777777" w:rsidR="00DB1AEE" w:rsidRPr="00DB1AEE" w:rsidRDefault="00DB1AEE" w:rsidP="00DB1AEE">
            <w:pPr>
              <w:suppressAutoHyphens/>
              <w:jc w:val="center"/>
              <w:rPr>
                <w:sz w:val="18"/>
                <w:szCs w:val="18"/>
                <w:u w:val="single"/>
              </w:rPr>
            </w:pPr>
            <w:r w:rsidRPr="00DB1AEE">
              <w:rPr>
                <w:sz w:val="18"/>
                <w:szCs w:val="18"/>
                <w:u w:val="single"/>
              </w:rPr>
              <w:t>0.39</w:t>
            </w:r>
          </w:p>
        </w:tc>
        <w:tc>
          <w:tcPr>
            <w:tcW w:w="0" w:type="auto"/>
            <w:shd w:val="clear" w:color="000000" w:fill="FFFFFF"/>
            <w:noWrap/>
            <w:vAlign w:val="center"/>
            <w:hideMark/>
          </w:tcPr>
          <w:p w14:paraId="7101F72A" w14:textId="77777777" w:rsidR="00DB1AEE" w:rsidRPr="00DB1AEE" w:rsidRDefault="00DB1AEE" w:rsidP="00DB1AEE">
            <w:pPr>
              <w:suppressAutoHyphens/>
              <w:jc w:val="center"/>
              <w:rPr>
                <w:sz w:val="18"/>
                <w:szCs w:val="18"/>
                <w:u w:val="single"/>
              </w:rPr>
            </w:pPr>
            <w:r w:rsidRPr="00DB1AEE">
              <w:rPr>
                <w:sz w:val="18"/>
                <w:szCs w:val="18"/>
                <w:u w:val="single"/>
              </w:rPr>
              <w:t>6</w:t>
            </w:r>
          </w:p>
        </w:tc>
        <w:tc>
          <w:tcPr>
            <w:tcW w:w="0" w:type="auto"/>
            <w:shd w:val="clear" w:color="000000" w:fill="FFFFFF"/>
            <w:vAlign w:val="center"/>
            <w:hideMark/>
          </w:tcPr>
          <w:p w14:paraId="73740A81"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45C3E7A1"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0799F391"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3821C09E"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01E7370F"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1E37DCC5"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601D2C63"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5A3CB2FF"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65ABC317" w14:textId="77777777" w:rsidR="00DB1AEE" w:rsidRPr="00DB1AEE" w:rsidRDefault="00DB1AEE" w:rsidP="00DB1AEE">
            <w:pPr>
              <w:suppressAutoHyphens/>
              <w:jc w:val="center"/>
              <w:rPr>
                <w:sz w:val="18"/>
                <w:szCs w:val="18"/>
                <w:u w:val="single"/>
              </w:rPr>
            </w:pPr>
          </w:p>
        </w:tc>
      </w:tr>
      <w:tr w:rsidR="00DB1AEE" w:rsidRPr="00DB1AEE" w14:paraId="45796644" w14:textId="77777777" w:rsidTr="00FC1832">
        <w:trPr>
          <w:trHeight w:val="255"/>
          <w:jc w:val="center"/>
        </w:trPr>
        <w:tc>
          <w:tcPr>
            <w:tcW w:w="0" w:type="auto"/>
            <w:shd w:val="clear" w:color="000000" w:fill="FFFFFF"/>
            <w:vAlign w:val="center"/>
            <w:hideMark/>
          </w:tcPr>
          <w:p w14:paraId="7EFD9A16" w14:textId="77777777" w:rsidR="00DB1AEE" w:rsidRPr="00DB1AEE" w:rsidRDefault="00DB1AEE" w:rsidP="00DB1AEE">
            <w:pPr>
              <w:suppressAutoHyphens/>
              <w:jc w:val="center"/>
              <w:rPr>
                <w:sz w:val="18"/>
                <w:szCs w:val="18"/>
                <w:u w:val="single"/>
              </w:rPr>
            </w:pPr>
            <w:r w:rsidRPr="00DB1AEE">
              <w:rPr>
                <w:sz w:val="18"/>
                <w:szCs w:val="18"/>
                <w:u w:val="single"/>
              </w:rPr>
              <w:t>Emergency Vehicle Garage</w:t>
            </w:r>
          </w:p>
        </w:tc>
        <w:tc>
          <w:tcPr>
            <w:tcW w:w="0" w:type="auto"/>
            <w:gridSpan w:val="2"/>
            <w:shd w:val="clear" w:color="000000" w:fill="FFFFFF"/>
            <w:noWrap/>
            <w:vAlign w:val="center"/>
            <w:hideMark/>
          </w:tcPr>
          <w:p w14:paraId="620D374D" w14:textId="77777777" w:rsidR="00DB1AEE" w:rsidRPr="00DB1AEE" w:rsidRDefault="00DB1AEE" w:rsidP="00DB1AEE">
            <w:pPr>
              <w:suppressAutoHyphens/>
              <w:jc w:val="center"/>
              <w:rPr>
                <w:sz w:val="18"/>
                <w:szCs w:val="18"/>
                <w:u w:val="single"/>
              </w:rPr>
            </w:pPr>
            <w:r w:rsidRPr="00DB1AEE">
              <w:rPr>
                <w:sz w:val="18"/>
                <w:szCs w:val="18"/>
                <w:u w:val="single"/>
              </w:rPr>
              <w:t>0.41</w:t>
            </w:r>
          </w:p>
        </w:tc>
        <w:tc>
          <w:tcPr>
            <w:tcW w:w="0" w:type="auto"/>
            <w:shd w:val="clear" w:color="000000" w:fill="FFFFFF"/>
            <w:noWrap/>
            <w:vAlign w:val="center"/>
            <w:hideMark/>
          </w:tcPr>
          <w:p w14:paraId="300F61CF" w14:textId="77777777" w:rsidR="00DB1AEE" w:rsidRPr="00DB1AEE" w:rsidRDefault="00DB1AEE" w:rsidP="00DB1AEE">
            <w:pPr>
              <w:suppressAutoHyphens/>
              <w:jc w:val="center"/>
              <w:rPr>
                <w:sz w:val="18"/>
                <w:szCs w:val="18"/>
                <w:u w:val="single"/>
              </w:rPr>
            </w:pPr>
            <w:r w:rsidRPr="00DB1AEE">
              <w:rPr>
                <w:sz w:val="18"/>
                <w:szCs w:val="18"/>
                <w:u w:val="single"/>
              </w:rPr>
              <w:t>4</w:t>
            </w:r>
          </w:p>
        </w:tc>
        <w:tc>
          <w:tcPr>
            <w:tcW w:w="0" w:type="auto"/>
            <w:shd w:val="clear" w:color="000000" w:fill="FFFFFF"/>
            <w:vAlign w:val="center"/>
            <w:hideMark/>
          </w:tcPr>
          <w:p w14:paraId="59281E0F"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731619CF"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0" w:type="auto"/>
            <w:shd w:val="clear" w:color="000000" w:fill="FFFFFF"/>
            <w:vAlign w:val="center"/>
            <w:hideMark/>
          </w:tcPr>
          <w:p w14:paraId="31E91DC6"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0" w:type="auto"/>
            <w:shd w:val="clear" w:color="000000" w:fill="FFFFFF"/>
            <w:vAlign w:val="center"/>
            <w:hideMark/>
          </w:tcPr>
          <w:p w14:paraId="57280D45"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3691EFD3"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17AA50BD"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7BE82964"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1488CD27" w14:textId="77777777" w:rsidR="00DB1AEE" w:rsidRPr="00DB1AEE" w:rsidRDefault="00DB1AEE" w:rsidP="00DB1AEE">
            <w:pPr>
              <w:suppressAutoHyphens/>
              <w:jc w:val="center"/>
              <w:rPr>
                <w:sz w:val="18"/>
                <w:szCs w:val="18"/>
                <w:u w:val="single"/>
              </w:rPr>
            </w:pPr>
            <w:r w:rsidRPr="00DB1AEE">
              <w:rPr>
                <w:sz w:val="18"/>
                <w:szCs w:val="18"/>
                <w:u w:val="single"/>
              </w:rPr>
              <w:t>ADD2</w:t>
            </w:r>
          </w:p>
        </w:tc>
        <w:tc>
          <w:tcPr>
            <w:tcW w:w="0" w:type="auto"/>
            <w:shd w:val="clear" w:color="000000" w:fill="FFFFFF"/>
            <w:vAlign w:val="center"/>
            <w:hideMark/>
          </w:tcPr>
          <w:p w14:paraId="5F331354" w14:textId="77777777" w:rsidR="00DB1AEE" w:rsidRPr="00DB1AEE" w:rsidRDefault="00DB1AEE" w:rsidP="00DB1AEE">
            <w:pPr>
              <w:suppressAutoHyphens/>
              <w:jc w:val="center"/>
              <w:rPr>
                <w:sz w:val="18"/>
                <w:szCs w:val="18"/>
                <w:u w:val="single"/>
              </w:rPr>
            </w:pPr>
            <w:r w:rsidRPr="00DB1AEE">
              <w:rPr>
                <w:sz w:val="18"/>
                <w:szCs w:val="18"/>
                <w:u w:val="single"/>
              </w:rPr>
              <w:t>ADD2</w:t>
            </w:r>
          </w:p>
        </w:tc>
      </w:tr>
      <w:tr w:rsidR="00DB1AEE" w:rsidRPr="00DB1AEE" w14:paraId="068D9ED9" w14:textId="77777777" w:rsidTr="00FC1832">
        <w:trPr>
          <w:trHeight w:val="255"/>
          <w:jc w:val="center"/>
        </w:trPr>
        <w:tc>
          <w:tcPr>
            <w:tcW w:w="0" w:type="auto"/>
            <w:shd w:val="clear" w:color="000000" w:fill="FFFFFF"/>
            <w:vAlign w:val="center"/>
            <w:hideMark/>
          </w:tcPr>
          <w:p w14:paraId="5D5515FE" w14:textId="77777777" w:rsidR="00DB1AEE" w:rsidRPr="00DB1AEE" w:rsidRDefault="00DB1AEE" w:rsidP="00DB1AEE">
            <w:pPr>
              <w:suppressAutoHyphens/>
              <w:jc w:val="center"/>
              <w:rPr>
                <w:sz w:val="18"/>
                <w:szCs w:val="18"/>
                <w:u w:val="single"/>
              </w:rPr>
            </w:pPr>
            <w:r w:rsidRPr="00DB1AEE">
              <w:rPr>
                <w:b/>
                <w:bCs/>
                <w:sz w:val="18"/>
                <w:szCs w:val="18"/>
                <w:u w:val="single"/>
              </w:rPr>
              <w:t>Equipment Room</w:t>
            </w:r>
          </w:p>
        </w:tc>
        <w:tc>
          <w:tcPr>
            <w:tcW w:w="0" w:type="auto"/>
            <w:gridSpan w:val="2"/>
            <w:shd w:val="clear" w:color="000000" w:fill="FFFFFF"/>
            <w:noWrap/>
            <w:vAlign w:val="center"/>
            <w:hideMark/>
          </w:tcPr>
          <w:p w14:paraId="2439A291" w14:textId="77777777" w:rsidR="00DB1AEE" w:rsidRPr="00DB1AEE" w:rsidRDefault="00DB1AEE" w:rsidP="00DB1AEE">
            <w:pPr>
              <w:suppressAutoHyphens/>
              <w:jc w:val="center"/>
              <w:rPr>
                <w:sz w:val="18"/>
                <w:szCs w:val="18"/>
                <w:u w:val="single"/>
              </w:rPr>
            </w:pPr>
            <w:r w:rsidRPr="00DB1AEE">
              <w:rPr>
                <w:sz w:val="18"/>
                <w:szCs w:val="18"/>
                <w:u w:val="single"/>
              </w:rPr>
              <w:t>0.73</w:t>
            </w:r>
          </w:p>
        </w:tc>
        <w:tc>
          <w:tcPr>
            <w:tcW w:w="0" w:type="auto"/>
            <w:shd w:val="clear" w:color="000000" w:fill="FFFFFF"/>
            <w:noWrap/>
            <w:vAlign w:val="center"/>
            <w:hideMark/>
          </w:tcPr>
          <w:p w14:paraId="521E60BA"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7271A76B"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0D30AAA3"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0" w:type="auto"/>
            <w:shd w:val="clear" w:color="000000" w:fill="FFFFFF"/>
            <w:vAlign w:val="center"/>
            <w:hideMark/>
          </w:tcPr>
          <w:p w14:paraId="1F0EDEF2"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0" w:type="auto"/>
            <w:shd w:val="clear" w:color="000000" w:fill="FFFFFF"/>
            <w:vAlign w:val="center"/>
            <w:hideMark/>
          </w:tcPr>
          <w:p w14:paraId="188BB871"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432F8850"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118D46EC"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73E687C0"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6DF2BD8B" w14:textId="77777777" w:rsidR="00DB1AEE" w:rsidRPr="00DB1AEE" w:rsidRDefault="00DB1AEE" w:rsidP="00DB1AEE">
            <w:pPr>
              <w:suppressAutoHyphens/>
              <w:jc w:val="center"/>
              <w:rPr>
                <w:sz w:val="18"/>
                <w:szCs w:val="18"/>
                <w:u w:val="single"/>
              </w:rPr>
            </w:pPr>
            <w:r w:rsidRPr="00DB1AEE">
              <w:rPr>
                <w:sz w:val="18"/>
                <w:szCs w:val="18"/>
                <w:u w:val="single"/>
              </w:rPr>
              <w:t>ADD2</w:t>
            </w:r>
          </w:p>
        </w:tc>
        <w:tc>
          <w:tcPr>
            <w:tcW w:w="0" w:type="auto"/>
            <w:shd w:val="clear" w:color="000000" w:fill="FFFFFF"/>
            <w:vAlign w:val="center"/>
            <w:hideMark/>
          </w:tcPr>
          <w:p w14:paraId="145E73D0" w14:textId="77777777" w:rsidR="00DB1AEE" w:rsidRPr="00DB1AEE" w:rsidRDefault="00DB1AEE" w:rsidP="00DB1AEE">
            <w:pPr>
              <w:suppressAutoHyphens/>
              <w:jc w:val="center"/>
              <w:rPr>
                <w:sz w:val="18"/>
                <w:szCs w:val="18"/>
                <w:u w:val="single"/>
              </w:rPr>
            </w:pPr>
          </w:p>
        </w:tc>
      </w:tr>
      <w:tr w:rsidR="00DB1AEE" w:rsidRPr="00DB1AEE" w14:paraId="220AB175" w14:textId="77777777" w:rsidTr="00FC1832">
        <w:trPr>
          <w:trHeight w:val="255"/>
          <w:jc w:val="center"/>
        </w:trPr>
        <w:tc>
          <w:tcPr>
            <w:tcW w:w="0" w:type="auto"/>
            <w:shd w:val="clear" w:color="000000" w:fill="FFFFFF"/>
            <w:vAlign w:val="center"/>
            <w:hideMark/>
          </w:tcPr>
          <w:p w14:paraId="0213ABB9" w14:textId="77777777" w:rsidR="00DB1AEE" w:rsidRPr="00DB1AEE" w:rsidRDefault="00DB1AEE" w:rsidP="00DB1AEE">
            <w:pPr>
              <w:suppressAutoHyphens/>
              <w:jc w:val="center"/>
              <w:rPr>
                <w:sz w:val="18"/>
                <w:szCs w:val="18"/>
                <w:u w:val="single"/>
              </w:rPr>
            </w:pPr>
            <w:r w:rsidRPr="00DB1AEE">
              <w:rPr>
                <w:sz w:val="18"/>
                <w:szCs w:val="18"/>
                <w:u w:val="single"/>
              </w:rPr>
              <w:t>Food Preparation Area</w:t>
            </w:r>
          </w:p>
        </w:tc>
        <w:tc>
          <w:tcPr>
            <w:tcW w:w="0" w:type="auto"/>
            <w:gridSpan w:val="2"/>
            <w:shd w:val="clear" w:color="000000" w:fill="FFFFFF"/>
            <w:noWrap/>
            <w:vAlign w:val="center"/>
            <w:hideMark/>
          </w:tcPr>
          <w:p w14:paraId="47AF9739" w14:textId="77777777" w:rsidR="00DB1AEE" w:rsidRPr="00DB1AEE" w:rsidRDefault="00DB1AEE" w:rsidP="00DB1AEE">
            <w:pPr>
              <w:suppressAutoHyphens/>
              <w:jc w:val="center"/>
              <w:rPr>
                <w:sz w:val="18"/>
                <w:szCs w:val="18"/>
                <w:u w:val="single"/>
              </w:rPr>
            </w:pPr>
            <w:r w:rsidRPr="00DB1AEE">
              <w:rPr>
                <w:sz w:val="18"/>
                <w:szCs w:val="18"/>
                <w:u w:val="single"/>
              </w:rPr>
              <w:t>0.92</w:t>
            </w:r>
          </w:p>
        </w:tc>
        <w:tc>
          <w:tcPr>
            <w:tcW w:w="0" w:type="auto"/>
            <w:shd w:val="clear" w:color="000000" w:fill="FFFFFF"/>
            <w:noWrap/>
            <w:vAlign w:val="center"/>
            <w:hideMark/>
          </w:tcPr>
          <w:p w14:paraId="36493655" w14:textId="77777777" w:rsidR="00DB1AEE" w:rsidRPr="00DB1AEE" w:rsidRDefault="00DB1AEE" w:rsidP="00DB1AEE">
            <w:pPr>
              <w:suppressAutoHyphens/>
              <w:jc w:val="center"/>
              <w:rPr>
                <w:sz w:val="18"/>
                <w:szCs w:val="18"/>
                <w:u w:val="single"/>
              </w:rPr>
            </w:pPr>
            <w:r w:rsidRPr="00DB1AEE">
              <w:rPr>
                <w:sz w:val="18"/>
                <w:szCs w:val="18"/>
                <w:u w:val="single"/>
              </w:rPr>
              <w:t>6</w:t>
            </w:r>
          </w:p>
        </w:tc>
        <w:tc>
          <w:tcPr>
            <w:tcW w:w="0" w:type="auto"/>
            <w:shd w:val="clear" w:color="000000" w:fill="FFFFFF"/>
            <w:vAlign w:val="center"/>
            <w:hideMark/>
          </w:tcPr>
          <w:p w14:paraId="31B63671"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3653658B"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0" w:type="auto"/>
            <w:shd w:val="clear" w:color="000000" w:fill="FFFFFF"/>
            <w:vAlign w:val="center"/>
            <w:hideMark/>
          </w:tcPr>
          <w:p w14:paraId="386B4CD4"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0" w:type="auto"/>
            <w:shd w:val="clear" w:color="000000" w:fill="FFFFFF"/>
            <w:vAlign w:val="center"/>
            <w:hideMark/>
          </w:tcPr>
          <w:p w14:paraId="076F37DC"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50BEBA67"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4001E632"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23E8F1C5"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3A8FD1BB" w14:textId="77777777" w:rsidR="00DB1AEE" w:rsidRPr="00DB1AEE" w:rsidRDefault="00DB1AEE" w:rsidP="00DB1AEE">
            <w:pPr>
              <w:suppressAutoHyphens/>
              <w:jc w:val="center"/>
              <w:rPr>
                <w:sz w:val="18"/>
                <w:szCs w:val="18"/>
                <w:u w:val="single"/>
              </w:rPr>
            </w:pPr>
            <w:r w:rsidRPr="00DB1AEE">
              <w:rPr>
                <w:sz w:val="18"/>
                <w:szCs w:val="18"/>
                <w:u w:val="single"/>
              </w:rPr>
              <w:t>ADD2</w:t>
            </w:r>
          </w:p>
        </w:tc>
        <w:tc>
          <w:tcPr>
            <w:tcW w:w="0" w:type="auto"/>
            <w:shd w:val="clear" w:color="000000" w:fill="FFFFFF"/>
            <w:vAlign w:val="center"/>
            <w:hideMark/>
          </w:tcPr>
          <w:p w14:paraId="3A6DD17E" w14:textId="77777777" w:rsidR="00DB1AEE" w:rsidRPr="00DB1AEE" w:rsidRDefault="00DB1AEE" w:rsidP="00DB1AEE">
            <w:pPr>
              <w:suppressAutoHyphens/>
              <w:jc w:val="center"/>
              <w:rPr>
                <w:sz w:val="18"/>
                <w:szCs w:val="18"/>
                <w:u w:val="single"/>
              </w:rPr>
            </w:pPr>
            <w:r w:rsidRPr="00DB1AEE">
              <w:rPr>
                <w:sz w:val="18"/>
                <w:szCs w:val="18"/>
                <w:u w:val="single"/>
              </w:rPr>
              <w:t>ADD2</w:t>
            </w:r>
          </w:p>
        </w:tc>
      </w:tr>
      <w:tr w:rsidR="00DB1AEE" w:rsidRPr="00DB1AEE" w14:paraId="0BE63151" w14:textId="77777777" w:rsidTr="00FC1832">
        <w:trPr>
          <w:trHeight w:val="276"/>
          <w:jc w:val="center"/>
        </w:trPr>
        <w:tc>
          <w:tcPr>
            <w:tcW w:w="0" w:type="auto"/>
            <w:shd w:val="clear" w:color="000000" w:fill="FFFFFF"/>
            <w:vAlign w:val="center"/>
            <w:hideMark/>
          </w:tcPr>
          <w:p w14:paraId="0F469173" w14:textId="77777777" w:rsidR="00DB1AEE" w:rsidRPr="00DB1AEE" w:rsidRDefault="00DB1AEE" w:rsidP="00DB1AEE">
            <w:pPr>
              <w:suppressAutoHyphens/>
              <w:jc w:val="center"/>
              <w:rPr>
                <w:sz w:val="18"/>
                <w:szCs w:val="18"/>
                <w:u w:val="single"/>
              </w:rPr>
            </w:pPr>
            <w:r w:rsidRPr="00DB1AEE">
              <w:rPr>
                <w:sz w:val="18"/>
                <w:szCs w:val="18"/>
                <w:u w:val="single"/>
              </w:rPr>
              <w:t>Guest Room</w:t>
            </w:r>
          </w:p>
        </w:tc>
        <w:tc>
          <w:tcPr>
            <w:tcW w:w="0" w:type="auto"/>
            <w:gridSpan w:val="2"/>
            <w:shd w:val="clear" w:color="000000" w:fill="FFFFFF"/>
            <w:noWrap/>
            <w:vAlign w:val="center"/>
            <w:hideMark/>
          </w:tcPr>
          <w:p w14:paraId="2146A83E" w14:textId="77777777" w:rsidR="00DB1AEE" w:rsidRPr="00DB1AEE" w:rsidRDefault="00DB1AEE" w:rsidP="00DB1AEE">
            <w:pPr>
              <w:suppressAutoHyphens/>
              <w:jc w:val="center"/>
              <w:rPr>
                <w:sz w:val="18"/>
                <w:szCs w:val="18"/>
                <w:u w:val="single"/>
              </w:rPr>
            </w:pPr>
            <w:r w:rsidRPr="00DB1AEE">
              <w:rPr>
                <w:sz w:val="18"/>
                <w:szCs w:val="18"/>
                <w:u w:val="single"/>
              </w:rPr>
              <w:t>0.41</w:t>
            </w:r>
          </w:p>
        </w:tc>
        <w:tc>
          <w:tcPr>
            <w:tcW w:w="0" w:type="auto"/>
            <w:shd w:val="clear" w:color="000000" w:fill="FFFFFF"/>
            <w:noWrap/>
            <w:vAlign w:val="center"/>
            <w:hideMark/>
          </w:tcPr>
          <w:p w14:paraId="2EB12698" w14:textId="77777777" w:rsidR="00DB1AEE" w:rsidRPr="00DB1AEE" w:rsidRDefault="00DB1AEE" w:rsidP="00DB1AEE">
            <w:pPr>
              <w:suppressAutoHyphens/>
              <w:jc w:val="center"/>
              <w:rPr>
                <w:sz w:val="18"/>
                <w:szCs w:val="18"/>
                <w:u w:val="single"/>
              </w:rPr>
            </w:pPr>
            <w:r w:rsidRPr="00DB1AEE">
              <w:rPr>
                <w:sz w:val="18"/>
                <w:szCs w:val="18"/>
                <w:u w:val="single"/>
              </w:rPr>
              <w:t>6</w:t>
            </w:r>
          </w:p>
        </w:tc>
        <w:tc>
          <w:tcPr>
            <w:tcW w:w="0" w:type="auto"/>
            <w:gridSpan w:val="9"/>
            <w:shd w:val="clear" w:color="000000" w:fill="FFFFFF"/>
            <w:vAlign w:val="center"/>
            <w:hideMark/>
          </w:tcPr>
          <w:p w14:paraId="5D22676A" w14:textId="77777777" w:rsidR="00DB1AEE" w:rsidRPr="00DB1AEE" w:rsidRDefault="00DB1AEE" w:rsidP="00DB1AEE">
            <w:pPr>
              <w:suppressAutoHyphens/>
              <w:jc w:val="center"/>
              <w:rPr>
                <w:sz w:val="18"/>
                <w:szCs w:val="18"/>
                <w:u w:val="single"/>
              </w:rPr>
            </w:pPr>
            <w:r w:rsidRPr="00DB1AEE">
              <w:rPr>
                <w:sz w:val="18"/>
                <w:szCs w:val="18"/>
                <w:u w:val="single"/>
              </w:rPr>
              <w:t>See Section 9.4.1.3(b).</w:t>
            </w:r>
          </w:p>
        </w:tc>
      </w:tr>
      <w:tr w:rsidR="00DB1AEE" w:rsidRPr="00DB1AEE" w14:paraId="3540D8A2" w14:textId="77777777" w:rsidTr="00FC1832">
        <w:trPr>
          <w:trHeight w:val="161"/>
          <w:jc w:val="center"/>
        </w:trPr>
        <w:tc>
          <w:tcPr>
            <w:tcW w:w="0" w:type="auto"/>
            <w:shd w:val="clear" w:color="000000" w:fill="FFFFFF"/>
            <w:vAlign w:val="center"/>
            <w:hideMark/>
          </w:tcPr>
          <w:p w14:paraId="18FEA1CE" w14:textId="77777777" w:rsidR="00DB1AEE" w:rsidRPr="00DB1AEE" w:rsidRDefault="00DB1AEE" w:rsidP="00DB1AEE">
            <w:pPr>
              <w:suppressAutoHyphens/>
              <w:jc w:val="center"/>
              <w:rPr>
                <w:sz w:val="18"/>
                <w:szCs w:val="18"/>
                <w:u w:val="single"/>
              </w:rPr>
            </w:pPr>
            <w:r w:rsidRPr="00DB1AEE">
              <w:rPr>
                <w:sz w:val="18"/>
                <w:szCs w:val="18"/>
                <w:u w:val="single"/>
              </w:rPr>
              <w:t>Laboratory</w:t>
            </w:r>
          </w:p>
        </w:tc>
        <w:tc>
          <w:tcPr>
            <w:tcW w:w="0" w:type="auto"/>
            <w:shd w:val="clear" w:color="000000" w:fill="FFFFFF"/>
            <w:vAlign w:val="center"/>
            <w:hideMark/>
          </w:tcPr>
          <w:p w14:paraId="7B922A35" w14:textId="77777777" w:rsidR="00DB1AEE" w:rsidRPr="00DB1AEE" w:rsidRDefault="00DB1AEE" w:rsidP="00DB1AEE">
            <w:pPr>
              <w:suppressAutoHyphens/>
              <w:jc w:val="center"/>
              <w:rPr>
                <w:sz w:val="18"/>
                <w:szCs w:val="18"/>
                <w:u w:val="single"/>
              </w:rPr>
            </w:pPr>
          </w:p>
        </w:tc>
        <w:tc>
          <w:tcPr>
            <w:tcW w:w="0" w:type="auto"/>
            <w:shd w:val="clear" w:color="000000" w:fill="FFFFFF"/>
            <w:noWrap/>
            <w:vAlign w:val="center"/>
            <w:hideMark/>
          </w:tcPr>
          <w:p w14:paraId="316A334F"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523F2182"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5AF560D3"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12906E60"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49E705AF"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3ED1D5E1"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1306E146"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09FCE751"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4642BA55"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08F339A8"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75F78F49" w14:textId="77777777" w:rsidR="00DB1AEE" w:rsidRPr="00DB1AEE" w:rsidRDefault="00DB1AEE" w:rsidP="00DB1AEE">
            <w:pPr>
              <w:suppressAutoHyphens/>
              <w:jc w:val="center"/>
              <w:rPr>
                <w:sz w:val="18"/>
                <w:szCs w:val="18"/>
                <w:u w:val="single"/>
              </w:rPr>
            </w:pPr>
          </w:p>
        </w:tc>
      </w:tr>
      <w:tr w:rsidR="00DB1AEE" w:rsidRPr="00DB1AEE" w14:paraId="7DF0F51A" w14:textId="77777777" w:rsidTr="00FC1832">
        <w:trPr>
          <w:trHeight w:val="255"/>
          <w:jc w:val="center"/>
        </w:trPr>
        <w:tc>
          <w:tcPr>
            <w:tcW w:w="0" w:type="auto"/>
            <w:shd w:val="clear" w:color="000000" w:fill="FFFFFF"/>
            <w:vAlign w:val="center"/>
            <w:hideMark/>
          </w:tcPr>
          <w:p w14:paraId="13C39519" w14:textId="77777777" w:rsidR="00DB1AEE" w:rsidRPr="00DB1AEE" w:rsidRDefault="00DB1AEE" w:rsidP="00DB1AEE">
            <w:pPr>
              <w:suppressAutoHyphens/>
              <w:jc w:val="center"/>
              <w:rPr>
                <w:sz w:val="18"/>
                <w:szCs w:val="18"/>
                <w:u w:val="single"/>
              </w:rPr>
            </w:pPr>
            <w:r w:rsidRPr="00DB1AEE">
              <w:rPr>
                <w:sz w:val="18"/>
                <w:szCs w:val="18"/>
                <w:u w:val="single"/>
              </w:rPr>
              <w:t>In or as a classroom</w:t>
            </w:r>
          </w:p>
        </w:tc>
        <w:tc>
          <w:tcPr>
            <w:tcW w:w="0" w:type="auto"/>
            <w:gridSpan w:val="2"/>
            <w:shd w:val="clear" w:color="000000" w:fill="FFFFFF"/>
            <w:noWrap/>
            <w:vAlign w:val="center"/>
            <w:hideMark/>
          </w:tcPr>
          <w:p w14:paraId="513B962E" w14:textId="77777777" w:rsidR="00DB1AEE" w:rsidRPr="00DB1AEE" w:rsidRDefault="00DB1AEE" w:rsidP="00DB1AEE">
            <w:pPr>
              <w:suppressAutoHyphens/>
              <w:jc w:val="center"/>
              <w:rPr>
                <w:sz w:val="18"/>
                <w:szCs w:val="18"/>
                <w:u w:val="single"/>
              </w:rPr>
            </w:pPr>
            <w:r w:rsidRPr="00DB1AEE">
              <w:rPr>
                <w:sz w:val="18"/>
                <w:szCs w:val="18"/>
                <w:u w:val="single"/>
              </w:rPr>
              <w:t>1.04</w:t>
            </w:r>
          </w:p>
        </w:tc>
        <w:tc>
          <w:tcPr>
            <w:tcW w:w="0" w:type="auto"/>
            <w:shd w:val="clear" w:color="000000" w:fill="FFFFFF"/>
            <w:noWrap/>
            <w:vAlign w:val="center"/>
            <w:hideMark/>
          </w:tcPr>
          <w:p w14:paraId="75FD4217" w14:textId="77777777" w:rsidR="00DB1AEE" w:rsidRPr="00DB1AEE" w:rsidRDefault="00DB1AEE" w:rsidP="00DB1AEE">
            <w:pPr>
              <w:suppressAutoHyphens/>
              <w:jc w:val="center"/>
              <w:rPr>
                <w:sz w:val="18"/>
                <w:szCs w:val="18"/>
                <w:u w:val="single"/>
              </w:rPr>
            </w:pPr>
            <w:r w:rsidRPr="00DB1AEE">
              <w:rPr>
                <w:sz w:val="18"/>
                <w:szCs w:val="18"/>
                <w:u w:val="single"/>
              </w:rPr>
              <w:t>6</w:t>
            </w:r>
          </w:p>
        </w:tc>
        <w:tc>
          <w:tcPr>
            <w:tcW w:w="0" w:type="auto"/>
            <w:shd w:val="clear" w:color="000000" w:fill="FFFFFF"/>
            <w:vAlign w:val="center"/>
            <w:hideMark/>
          </w:tcPr>
          <w:p w14:paraId="0FDD7554"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3DEACC7E"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0" w:type="auto"/>
            <w:shd w:val="clear" w:color="000000" w:fill="FFFFFF"/>
            <w:vAlign w:val="center"/>
            <w:hideMark/>
          </w:tcPr>
          <w:p w14:paraId="73B3C15B"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0" w:type="auto"/>
            <w:shd w:val="clear" w:color="000000" w:fill="FFFFFF"/>
            <w:vAlign w:val="center"/>
            <w:hideMark/>
          </w:tcPr>
          <w:p w14:paraId="520DBA1E"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73A9E6B0"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5803ED50"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29B40E2D"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7B908E57" w14:textId="77777777" w:rsidR="00DB1AEE" w:rsidRPr="00DB1AEE" w:rsidRDefault="00DB1AEE" w:rsidP="00DB1AEE">
            <w:pPr>
              <w:suppressAutoHyphens/>
              <w:jc w:val="center"/>
              <w:rPr>
                <w:sz w:val="18"/>
                <w:szCs w:val="18"/>
                <w:u w:val="single"/>
              </w:rPr>
            </w:pPr>
            <w:r w:rsidRPr="00DB1AEE">
              <w:rPr>
                <w:sz w:val="18"/>
                <w:szCs w:val="18"/>
                <w:u w:val="single"/>
              </w:rPr>
              <w:t>ADD2</w:t>
            </w:r>
          </w:p>
        </w:tc>
        <w:tc>
          <w:tcPr>
            <w:tcW w:w="0" w:type="auto"/>
            <w:shd w:val="clear" w:color="000000" w:fill="FFFFFF"/>
            <w:vAlign w:val="center"/>
            <w:hideMark/>
          </w:tcPr>
          <w:p w14:paraId="73B19012" w14:textId="77777777" w:rsidR="00DB1AEE" w:rsidRPr="00DB1AEE" w:rsidRDefault="00DB1AEE" w:rsidP="00DB1AEE">
            <w:pPr>
              <w:suppressAutoHyphens/>
              <w:jc w:val="center"/>
              <w:rPr>
                <w:sz w:val="18"/>
                <w:szCs w:val="18"/>
                <w:u w:val="single"/>
              </w:rPr>
            </w:pPr>
            <w:r w:rsidRPr="00DB1AEE">
              <w:rPr>
                <w:sz w:val="18"/>
                <w:szCs w:val="18"/>
                <w:u w:val="single"/>
              </w:rPr>
              <w:t>ADD2</w:t>
            </w:r>
          </w:p>
        </w:tc>
      </w:tr>
      <w:tr w:rsidR="00DB1AEE" w:rsidRPr="00DB1AEE" w14:paraId="13D57405" w14:textId="77777777" w:rsidTr="00FC1832">
        <w:trPr>
          <w:trHeight w:val="255"/>
          <w:jc w:val="center"/>
        </w:trPr>
        <w:tc>
          <w:tcPr>
            <w:tcW w:w="0" w:type="auto"/>
            <w:shd w:val="clear" w:color="000000" w:fill="FFFFFF"/>
            <w:vAlign w:val="center"/>
            <w:hideMark/>
          </w:tcPr>
          <w:p w14:paraId="1FF7DC4F" w14:textId="77777777" w:rsidR="00DB1AEE" w:rsidRPr="00DB1AEE" w:rsidRDefault="00DB1AEE" w:rsidP="00DB1AEE">
            <w:pPr>
              <w:suppressAutoHyphens/>
              <w:jc w:val="center"/>
              <w:rPr>
                <w:sz w:val="18"/>
                <w:szCs w:val="18"/>
                <w:u w:val="single"/>
              </w:rPr>
            </w:pPr>
            <w:r w:rsidRPr="00DB1AEE">
              <w:rPr>
                <w:sz w:val="18"/>
                <w:szCs w:val="18"/>
                <w:u w:val="single"/>
              </w:rPr>
              <w:t>All other laboratories</w:t>
            </w:r>
          </w:p>
        </w:tc>
        <w:tc>
          <w:tcPr>
            <w:tcW w:w="0" w:type="auto"/>
            <w:gridSpan w:val="2"/>
            <w:shd w:val="clear" w:color="000000" w:fill="FFFFFF"/>
            <w:noWrap/>
            <w:vAlign w:val="center"/>
            <w:hideMark/>
          </w:tcPr>
          <w:p w14:paraId="02CB91E7" w14:textId="77777777" w:rsidR="00DB1AEE" w:rsidRPr="00DB1AEE" w:rsidRDefault="00DB1AEE" w:rsidP="00DB1AEE">
            <w:pPr>
              <w:suppressAutoHyphens/>
              <w:jc w:val="center"/>
              <w:rPr>
                <w:sz w:val="18"/>
                <w:szCs w:val="18"/>
                <w:u w:val="single"/>
              </w:rPr>
            </w:pPr>
            <w:r w:rsidRPr="00DB1AEE">
              <w:rPr>
                <w:sz w:val="18"/>
                <w:szCs w:val="18"/>
                <w:u w:val="single"/>
              </w:rPr>
              <w:t>1.21</w:t>
            </w:r>
          </w:p>
        </w:tc>
        <w:tc>
          <w:tcPr>
            <w:tcW w:w="0" w:type="auto"/>
            <w:shd w:val="clear" w:color="000000" w:fill="FFFFFF"/>
            <w:noWrap/>
            <w:vAlign w:val="center"/>
            <w:hideMark/>
          </w:tcPr>
          <w:p w14:paraId="56A8FE2B" w14:textId="77777777" w:rsidR="00DB1AEE" w:rsidRPr="00DB1AEE" w:rsidRDefault="00DB1AEE" w:rsidP="00DB1AEE">
            <w:pPr>
              <w:suppressAutoHyphens/>
              <w:jc w:val="center"/>
              <w:rPr>
                <w:sz w:val="18"/>
                <w:szCs w:val="18"/>
                <w:u w:val="single"/>
              </w:rPr>
            </w:pPr>
            <w:r w:rsidRPr="00DB1AEE">
              <w:rPr>
                <w:sz w:val="18"/>
                <w:szCs w:val="18"/>
                <w:u w:val="single"/>
              </w:rPr>
              <w:t>6</w:t>
            </w:r>
          </w:p>
        </w:tc>
        <w:tc>
          <w:tcPr>
            <w:tcW w:w="0" w:type="auto"/>
            <w:shd w:val="clear" w:color="000000" w:fill="FFFFFF"/>
            <w:vAlign w:val="center"/>
            <w:hideMark/>
          </w:tcPr>
          <w:p w14:paraId="2C2B9AC1"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1FDCB482"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0" w:type="auto"/>
            <w:shd w:val="clear" w:color="000000" w:fill="FFFFFF"/>
            <w:vAlign w:val="center"/>
            <w:hideMark/>
          </w:tcPr>
          <w:p w14:paraId="7105A342"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0" w:type="auto"/>
            <w:shd w:val="clear" w:color="000000" w:fill="FFFFFF"/>
            <w:vAlign w:val="center"/>
            <w:hideMark/>
          </w:tcPr>
          <w:p w14:paraId="0055187C"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5B990A1D"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1925D5CD"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5B87E479"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0754EF58" w14:textId="77777777" w:rsidR="00DB1AEE" w:rsidRPr="00DB1AEE" w:rsidRDefault="00DB1AEE" w:rsidP="00DB1AEE">
            <w:pPr>
              <w:suppressAutoHyphens/>
              <w:jc w:val="center"/>
              <w:rPr>
                <w:sz w:val="18"/>
                <w:szCs w:val="18"/>
                <w:u w:val="single"/>
              </w:rPr>
            </w:pPr>
            <w:r w:rsidRPr="00DB1AEE">
              <w:rPr>
                <w:sz w:val="18"/>
                <w:szCs w:val="18"/>
                <w:u w:val="single"/>
              </w:rPr>
              <w:t>ADD2</w:t>
            </w:r>
          </w:p>
        </w:tc>
        <w:tc>
          <w:tcPr>
            <w:tcW w:w="0" w:type="auto"/>
            <w:shd w:val="clear" w:color="000000" w:fill="FFFFFF"/>
            <w:vAlign w:val="center"/>
            <w:hideMark/>
          </w:tcPr>
          <w:p w14:paraId="606EC055" w14:textId="77777777" w:rsidR="00DB1AEE" w:rsidRPr="00DB1AEE" w:rsidRDefault="00DB1AEE" w:rsidP="00DB1AEE">
            <w:pPr>
              <w:suppressAutoHyphens/>
              <w:jc w:val="center"/>
              <w:rPr>
                <w:sz w:val="18"/>
                <w:szCs w:val="18"/>
                <w:u w:val="single"/>
              </w:rPr>
            </w:pPr>
            <w:r w:rsidRPr="00DB1AEE">
              <w:rPr>
                <w:sz w:val="18"/>
                <w:szCs w:val="18"/>
                <w:u w:val="single"/>
              </w:rPr>
              <w:t>ADD2</w:t>
            </w:r>
          </w:p>
        </w:tc>
      </w:tr>
      <w:tr w:rsidR="00DB1AEE" w:rsidRPr="00DB1AEE" w14:paraId="3AC02B77" w14:textId="77777777" w:rsidTr="00FC1832">
        <w:trPr>
          <w:trHeight w:val="540"/>
          <w:jc w:val="center"/>
        </w:trPr>
        <w:tc>
          <w:tcPr>
            <w:tcW w:w="0" w:type="auto"/>
            <w:shd w:val="clear" w:color="000000" w:fill="FFFFFF"/>
            <w:vAlign w:val="center"/>
            <w:hideMark/>
          </w:tcPr>
          <w:p w14:paraId="7ED08FF2" w14:textId="77777777" w:rsidR="00DB1AEE" w:rsidRPr="00DB1AEE" w:rsidRDefault="00DB1AEE" w:rsidP="00DB1AEE">
            <w:pPr>
              <w:suppressAutoHyphens/>
              <w:jc w:val="center"/>
              <w:rPr>
                <w:sz w:val="18"/>
                <w:szCs w:val="18"/>
                <w:u w:val="single"/>
              </w:rPr>
            </w:pPr>
            <w:r w:rsidRPr="00DB1AEE">
              <w:rPr>
                <w:sz w:val="18"/>
                <w:szCs w:val="18"/>
                <w:u w:val="single"/>
              </w:rPr>
              <w:t>Laundry/Washing Area</w:t>
            </w:r>
          </w:p>
        </w:tc>
        <w:tc>
          <w:tcPr>
            <w:tcW w:w="0" w:type="auto"/>
            <w:gridSpan w:val="2"/>
            <w:shd w:val="clear" w:color="000000" w:fill="FFFFFF"/>
            <w:noWrap/>
            <w:vAlign w:val="center"/>
            <w:hideMark/>
          </w:tcPr>
          <w:p w14:paraId="222F3698" w14:textId="77777777" w:rsidR="00DB1AEE" w:rsidRPr="00DB1AEE" w:rsidRDefault="00DB1AEE" w:rsidP="00DB1AEE">
            <w:pPr>
              <w:suppressAutoHyphens/>
              <w:jc w:val="center"/>
              <w:rPr>
                <w:sz w:val="18"/>
                <w:szCs w:val="18"/>
                <w:u w:val="single"/>
              </w:rPr>
            </w:pPr>
            <w:r w:rsidRPr="00DB1AEE">
              <w:rPr>
                <w:sz w:val="18"/>
                <w:szCs w:val="18"/>
                <w:u w:val="single"/>
              </w:rPr>
              <w:t>0.43</w:t>
            </w:r>
          </w:p>
        </w:tc>
        <w:tc>
          <w:tcPr>
            <w:tcW w:w="0" w:type="auto"/>
            <w:shd w:val="clear" w:color="000000" w:fill="FFFFFF"/>
            <w:noWrap/>
            <w:vAlign w:val="center"/>
            <w:hideMark/>
          </w:tcPr>
          <w:p w14:paraId="084E2C7B" w14:textId="77777777" w:rsidR="00DB1AEE" w:rsidRPr="00DB1AEE" w:rsidRDefault="00DB1AEE" w:rsidP="00DB1AEE">
            <w:pPr>
              <w:suppressAutoHyphens/>
              <w:jc w:val="center"/>
              <w:rPr>
                <w:sz w:val="18"/>
                <w:szCs w:val="18"/>
                <w:u w:val="single"/>
              </w:rPr>
            </w:pPr>
            <w:r w:rsidRPr="00DB1AEE">
              <w:rPr>
                <w:sz w:val="18"/>
                <w:szCs w:val="18"/>
                <w:u w:val="single"/>
              </w:rPr>
              <w:t>4</w:t>
            </w:r>
          </w:p>
        </w:tc>
        <w:tc>
          <w:tcPr>
            <w:tcW w:w="0" w:type="auto"/>
            <w:shd w:val="clear" w:color="000000" w:fill="FFFFFF"/>
            <w:vAlign w:val="center"/>
            <w:hideMark/>
          </w:tcPr>
          <w:p w14:paraId="3A0D1432"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22CC8DC5"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0" w:type="auto"/>
            <w:shd w:val="clear" w:color="000000" w:fill="FFFFFF"/>
            <w:vAlign w:val="center"/>
            <w:hideMark/>
          </w:tcPr>
          <w:p w14:paraId="1C677C9C"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0" w:type="auto"/>
            <w:shd w:val="clear" w:color="000000" w:fill="FFFFFF"/>
            <w:vAlign w:val="center"/>
            <w:hideMark/>
          </w:tcPr>
          <w:p w14:paraId="49242F6F"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0C3C8919"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09643A69"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652175B4"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4FAD76FF" w14:textId="77777777" w:rsidR="00DB1AEE" w:rsidRPr="00DB1AEE" w:rsidRDefault="00DB1AEE" w:rsidP="00DB1AEE">
            <w:pPr>
              <w:suppressAutoHyphens/>
              <w:jc w:val="center"/>
              <w:rPr>
                <w:sz w:val="18"/>
                <w:szCs w:val="18"/>
                <w:u w:val="single"/>
              </w:rPr>
            </w:pPr>
            <w:r w:rsidRPr="00DB1AEE">
              <w:rPr>
                <w:strike/>
                <w:sz w:val="18"/>
                <w:szCs w:val="18"/>
                <w:u w:val="single"/>
              </w:rPr>
              <w:t>ADD2</w:t>
            </w:r>
            <w:r w:rsidRPr="00DB1AEE">
              <w:rPr>
                <w:sz w:val="18"/>
                <w:szCs w:val="18"/>
                <w:u w:val="single"/>
              </w:rPr>
              <w:t xml:space="preserve"> REQ</w:t>
            </w:r>
          </w:p>
        </w:tc>
        <w:tc>
          <w:tcPr>
            <w:tcW w:w="0" w:type="auto"/>
            <w:shd w:val="clear" w:color="000000" w:fill="FFFFFF"/>
            <w:vAlign w:val="center"/>
            <w:hideMark/>
          </w:tcPr>
          <w:p w14:paraId="4CBAF119" w14:textId="77777777" w:rsidR="00DB1AEE" w:rsidRPr="00DB1AEE" w:rsidRDefault="00DB1AEE" w:rsidP="00DB1AEE">
            <w:pPr>
              <w:suppressAutoHyphens/>
              <w:jc w:val="center"/>
              <w:rPr>
                <w:sz w:val="18"/>
                <w:szCs w:val="18"/>
                <w:u w:val="single"/>
              </w:rPr>
            </w:pPr>
            <w:r w:rsidRPr="00DB1AEE">
              <w:rPr>
                <w:sz w:val="18"/>
                <w:szCs w:val="18"/>
                <w:u w:val="single"/>
              </w:rPr>
              <w:t>ADD2</w:t>
            </w:r>
          </w:p>
        </w:tc>
      </w:tr>
      <w:tr w:rsidR="00DB1AEE" w:rsidRPr="00DB1AEE" w14:paraId="4088CAE8" w14:textId="77777777" w:rsidTr="00FC1832">
        <w:trPr>
          <w:trHeight w:val="255"/>
          <w:jc w:val="center"/>
        </w:trPr>
        <w:tc>
          <w:tcPr>
            <w:tcW w:w="0" w:type="auto"/>
            <w:shd w:val="clear" w:color="000000" w:fill="FFFFFF"/>
            <w:vAlign w:val="center"/>
            <w:hideMark/>
          </w:tcPr>
          <w:p w14:paraId="795056D5" w14:textId="77777777" w:rsidR="00DB1AEE" w:rsidRPr="00DB1AEE" w:rsidRDefault="00DB1AEE" w:rsidP="00DB1AEE">
            <w:pPr>
              <w:suppressAutoHyphens/>
              <w:jc w:val="center"/>
              <w:rPr>
                <w:sz w:val="18"/>
                <w:szCs w:val="18"/>
                <w:u w:val="single"/>
              </w:rPr>
            </w:pPr>
            <w:r w:rsidRPr="00DB1AEE">
              <w:rPr>
                <w:sz w:val="18"/>
                <w:szCs w:val="18"/>
                <w:u w:val="single"/>
              </w:rPr>
              <w:t>Loading Dock, Interior</w:t>
            </w:r>
          </w:p>
        </w:tc>
        <w:tc>
          <w:tcPr>
            <w:tcW w:w="0" w:type="auto"/>
            <w:gridSpan w:val="2"/>
            <w:shd w:val="clear" w:color="000000" w:fill="FFFFFF"/>
            <w:noWrap/>
            <w:vAlign w:val="center"/>
            <w:hideMark/>
          </w:tcPr>
          <w:p w14:paraId="1A202B15" w14:textId="77777777" w:rsidR="00DB1AEE" w:rsidRPr="00DB1AEE" w:rsidRDefault="00DB1AEE" w:rsidP="00DB1AEE">
            <w:pPr>
              <w:suppressAutoHyphens/>
              <w:jc w:val="center"/>
              <w:rPr>
                <w:sz w:val="18"/>
                <w:szCs w:val="18"/>
                <w:u w:val="single"/>
              </w:rPr>
            </w:pPr>
            <w:r w:rsidRPr="00DB1AEE">
              <w:rPr>
                <w:sz w:val="18"/>
                <w:szCs w:val="18"/>
                <w:u w:val="single"/>
              </w:rPr>
              <w:t>0.51</w:t>
            </w:r>
          </w:p>
        </w:tc>
        <w:tc>
          <w:tcPr>
            <w:tcW w:w="0" w:type="auto"/>
            <w:shd w:val="clear" w:color="000000" w:fill="FFFFFF"/>
            <w:noWrap/>
            <w:vAlign w:val="center"/>
            <w:hideMark/>
          </w:tcPr>
          <w:p w14:paraId="5F21884A" w14:textId="77777777" w:rsidR="00DB1AEE" w:rsidRPr="00DB1AEE" w:rsidRDefault="00DB1AEE" w:rsidP="00DB1AEE">
            <w:pPr>
              <w:suppressAutoHyphens/>
              <w:jc w:val="center"/>
              <w:rPr>
                <w:sz w:val="18"/>
                <w:szCs w:val="18"/>
                <w:u w:val="single"/>
              </w:rPr>
            </w:pPr>
            <w:r w:rsidRPr="00DB1AEE">
              <w:rPr>
                <w:sz w:val="18"/>
                <w:szCs w:val="18"/>
                <w:u w:val="single"/>
              </w:rPr>
              <w:t>6</w:t>
            </w:r>
          </w:p>
        </w:tc>
        <w:tc>
          <w:tcPr>
            <w:tcW w:w="0" w:type="auto"/>
            <w:shd w:val="clear" w:color="000000" w:fill="FFFFFF"/>
            <w:vAlign w:val="center"/>
            <w:hideMark/>
          </w:tcPr>
          <w:p w14:paraId="2476598C"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6B562174"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0" w:type="auto"/>
            <w:shd w:val="clear" w:color="000000" w:fill="FFFFFF"/>
            <w:vAlign w:val="center"/>
            <w:hideMark/>
          </w:tcPr>
          <w:p w14:paraId="624E57EC"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0" w:type="auto"/>
            <w:shd w:val="clear" w:color="000000" w:fill="FFFFFF"/>
            <w:vAlign w:val="center"/>
            <w:hideMark/>
          </w:tcPr>
          <w:p w14:paraId="728FF171"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172E6DCB"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6B36D464"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317F03C1"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70BFCDAA" w14:textId="77777777" w:rsidR="00DB1AEE" w:rsidRPr="00DB1AEE" w:rsidRDefault="00DB1AEE" w:rsidP="00DB1AEE">
            <w:pPr>
              <w:suppressAutoHyphens/>
              <w:jc w:val="center"/>
              <w:rPr>
                <w:sz w:val="18"/>
                <w:szCs w:val="18"/>
                <w:u w:val="single"/>
              </w:rPr>
            </w:pPr>
            <w:r w:rsidRPr="00DB1AEE">
              <w:rPr>
                <w:sz w:val="18"/>
                <w:szCs w:val="18"/>
                <w:u w:val="single"/>
              </w:rPr>
              <w:t>ADD2</w:t>
            </w:r>
          </w:p>
        </w:tc>
        <w:tc>
          <w:tcPr>
            <w:tcW w:w="0" w:type="auto"/>
            <w:shd w:val="clear" w:color="000000" w:fill="FFFFFF"/>
            <w:vAlign w:val="center"/>
            <w:hideMark/>
          </w:tcPr>
          <w:p w14:paraId="0941E8B3" w14:textId="77777777" w:rsidR="00DB1AEE" w:rsidRPr="00DB1AEE" w:rsidRDefault="00DB1AEE" w:rsidP="00DB1AEE">
            <w:pPr>
              <w:suppressAutoHyphens/>
              <w:jc w:val="center"/>
              <w:rPr>
                <w:sz w:val="18"/>
                <w:szCs w:val="18"/>
                <w:u w:val="single"/>
              </w:rPr>
            </w:pPr>
            <w:r w:rsidRPr="00DB1AEE">
              <w:rPr>
                <w:sz w:val="18"/>
                <w:szCs w:val="18"/>
                <w:u w:val="single"/>
              </w:rPr>
              <w:t>ADD2</w:t>
            </w:r>
          </w:p>
        </w:tc>
      </w:tr>
      <w:tr w:rsidR="00DB1AEE" w:rsidRPr="00DB1AEE" w14:paraId="04750E54" w14:textId="77777777" w:rsidTr="00FC1832">
        <w:trPr>
          <w:trHeight w:val="251"/>
          <w:jc w:val="center"/>
        </w:trPr>
        <w:tc>
          <w:tcPr>
            <w:tcW w:w="0" w:type="auto"/>
            <w:shd w:val="clear" w:color="000000" w:fill="FFFFFF"/>
            <w:vAlign w:val="center"/>
            <w:hideMark/>
          </w:tcPr>
          <w:p w14:paraId="5ADD02BE" w14:textId="77777777" w:rsidR="00DB1AEE" w:rsidRPr="00DB1AEE" w:rsidRDefault="00DB1AEE" w:rsidP="00DB1AEE">
            <w:pPr>
              <w:suppressAutoHyphens/>
              <w:jc w:val="center"/>
              <w:rPr>
                <w:sz w:val="18"/>
                <w:szCs w:val="18"/>
                <w:u w:val="single"/>
              </w:rPr>
            </w:pPr>
            <w:r w:rsidRPr="00DB1AEE">
              <w:rPr>
                <w:sz w:val="18"/>
                <w:szCs w:val="18"/>
                <w:u w:val="single"/>
              </w:rPr>
              <w:t>Lobby</w:t>
            </w:r>
          </w:p>
        </w:tc>
        <w:tc>
          <w:tcPr>
            <w:tcW w:w="0" w:type="auto"/>
            <w:shd w:val="clear" w:color="000000" w:fill="FFFFFF"/>
            <w:vAlign w:val="center"/>
            <w:hideMark/>
          </w:tcPr>
          <w:p w14:paraId="6BBF1268" w14:textId="77777777" w:rsidR="00DB1AEE" w:rsidRPr="00DB1AEE" w:rsidRDefault="00DB1AEE" w:rsidP="00DB1AEE">
            <w:pPr>
              <w:suppressAutoHyphens/>
              <w:jc w:val="center"/>
              <w:rPr>
                <w:sz w:val="18"/>
                <w:szCs w:val="18"/>
                <w:u w:val="single"/>
              </w:rPr>
            </w:pPr>
          </w:p>
        </w:tc>
        <w:tc>
          <w:tcPr>
            <w:tcW w:w="0" w:type="auto"/>
            <w:shd w:val="clear" w:color="000000" w:fill="FFFFFF"/>
            <w:noWrap/>
            <w:vAlign w:val="center"/>
            <w:hideMark/>
          </w:tcPr>
          <w:p w14:paraId="1C320264"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45926B4D"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1D2B52EC"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2218FB6E"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337280AE"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4ABF6542"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2B9C6AD9"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2ABBC074"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7FD2EFC3"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5A4512EF"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26F447D9" w14:textId="77777777" w:rsidR="00DB1AEE" w:rsidRPr="00DB1AEE" w:rsidRDefault="00DB1AEE" w:rsidP="00DB1AEE">
            <w:pPr>
              <w:suppressAutoHyphens/>
              <w:jc w:val="center"/>
              <w:rPr>
                <w:sz w:val="18"/>
                <w:szCs w:val="18"/>
                <w:u w:val="single"/>
              </w:rPr>
            </w:pPr>
          </w:p>
        </w:tc>
      </w:tr>
      <w:tr w:rsidR="00DB1AEE" w:rsidRPr="00DB1AEE" w14:paraId="7A7B1613" w14:textId="77777777" w:rsidTr="00FC1832">
        <w:trPr>
          <w:trHeight w:val="255"/>
          <w:jc w:val="center"/>
        </w:trPr>
        <w:tc>
          <w:tcPr>
            <w:tcW w:w="0" w:type="auto"/>
            <w:shd w:val="clear" w:color="000000" w:fill="FFFFFF"/>
            <w:vAlign w:val="center"/>
            <w:hideMark/>
          </w:tcPr>
          <w:p w14:paraId="19B34C5D" w14:textId="77777777" w:rsidR="00DB1AEE" w:rsidRPr="00DB1AEE" w:rsidRDefault="00DB1AEE" w:rsidP="00DB1AEE">
            <w:pPr>
              <w:suppressAutoHyphens/>
              <w:jc w:val="center"/>
              <w:rPr>
                <w:sz w:val="18"/>
                <w:szCs w:val="18"/>
                <w:u w:val="single"/>
              </w:rPr>
            </w:pPr>
            <w:r w:rsidRPr="00DB1AEE">
              <w:rPr>
                <w:sz w:val="18"/>
                <w:szCs w:val="18"/>
                <w:u w:val="single"/>
              </w:rPr>
              <w:t>Elevator</w:t>
            </w:r>
          </w:p>
        </w:tc>
        <w:tc>
          <w:tcPr>
            <w:tcW w:w="0" w:type="auto"/>
            <w:gridSpan w:val="2"/>
            <w:shd w:val="clear" w:color="000000" w:fill="FFFFFF"/>
            <w:noWrap/>
            <w:vAlign w:val="center"/>
            <w:hideMark/>
          </w:tcPr>
          <w:p w14:paraId="0E8546D5" w14:textId="77777777" w:rsidR="00DB1AEE" w:rsidRPr="00DB1AEE" w:rsidRDefault="00DB1AEE" w:rsidP="00DB1AEE">
            <w:pPr>
              <w:suppressAutoHyphens/>
              <w:jc w:val="center"/>
              <w:rPr>
                <w:sz w:val="18"/>
                <w:szCs w:val="18"/>
                <w:u w:val="single"/>
              </w:rPr>
            </w:pPr>
            <w:r w:rsidRPr="00DB1AEE">
              <w:rPr>
                <w:sz w:val="18"/>
                <w:szCs w:val="18"/>
                <w:u w:val="single"/>
              </w:rPr>
              <w:t>0.52</w:t>
            </w:r>
          </w:p>
        </w:tc>
        <w:tc>
          <w:tcPr>
            <w:tcW w:w="0" w:type="auto"/>
            <w:shd w:val="clear" w:color="000000" w:fill="FFFFFF"/>
            <w:noWrap/>
            <w:vAlign w:val="center"/>
            <w:hideMark/>
          </w:tcPr>
          <w:p w14:paraId="29FB11F4" w14:textId="77777777" w:rsidR="00DB1AEE" w:rsidRPr="00DB1AEE" w:rsidRDefault="00DB1AEE" w:rsidP="00DB1AEE">
            <w:pPr>
              <w:suppressAutoHyphens/>
              <w:jc w:val="center"/>
              <w:rPr>
                <w:sz w:val="18"/>
                <w:szCs w:val="18"/>
                <w:u w:val="single"/>
              </w:rPr>
            </w:pPr>
            <w:r w:rsidRPr="00DB1AEE">
              <w:rPr>
                <w:sz w:val="18"/>
                <w:szCs w:val="18"/>
                <w:u w:val="single"/>
              </w:rPr>
              <w:t>6</w:t>
            </w:r>
          </w:p>
        </w:tc>
        <w:tc>
          <w:tcPr>
            <w:tcW w:w="0" w:type="auto"/>
            <w:shd w:val="clear" w:color="000000" w:fill="FFFFFF"/>
            <w:vAlign w:val="center"/>
            <w:hideMark/>
          </w:tcPr>
          <w:p w14:paraId="1FEC7670"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4D887463"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06E5E1AB"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3C0F1F95"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2B3B7564"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23134423"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3529BF25"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1D96AC69" w14:textId="77777777" w:rsidR="00DB1AEE" w:rsidRPr="00DB1AEE" w:rsidRDefault="00DB1AEE" w:rsidP="00DB1AEE">
            <w:pPr>
              <w:suppressAutoHyphens/>
              <w:jc w:val="center"/>
              <w:rPr>
                <w:sz w:val="18"/>
                <w:szCs w:val="18"/>
                <w:u w:val="single"/>
              </w:rPr>
            </w:pPr>
            <w:r w:rsidRPr="00DB1AEE">
              <w:rPr>
                <w:sz w:val="18"/>
                <w:szCs w:val="18"/>
                <w:u w:val="single"/>
              </w:rPr>
              <w:t>ADD2</w:t>
            </w:r>
          </w:p>
        </w:tc>
        <w:tc>
          <w:tcPr>
            <w:tcW w:w="0" w:type="auto"/>
            <w:shd w:val="clear" w:color="000000" w:fill="FFFFFF"/>
            <w:vAlign w:val="center"/>
            <w:hideMark/>
          </w:tcPr>
          <w:p w14:paraId="3860F3F0" w14:textId="77777777" w:rsidR="00DB1AEE" w:rsidRPr="00DB1AEE" w:rsidRDefault="00DB1AEE" w:rsidP="00DB1AEE">
            <w:pPr>
              <w:suppressAutoHyphens/>
              <w:jc w:val="center"/>
              <w:rPr>
                <w:sz w:val="18"/>
                <w:szCs w:val="18"/>
                <w:u w:val="single"/>
              </w:rPr>
            </w:pPr>
            <w:r w:rsidRPr="00DB1AEE">
              <w:rPr>
                <w:sz w:val="18"/>
                <w:szCs w:val="18"/>
                <w:u w:val="single"/>
              </w:rPr>
              <w:t>ADD2</w:t>
            </w:r>
          </w:p>
        </w:tc>
      </w:tr>
      <w:tr w:rsidR="00DB1AEE" w:rsidRPr="00DB1AEE" w14:paraId="6293F338" w14:textId="77777777" w:rsidTr="00FC1832">
        <w:trPr>
          <w:trHeight w:val="255"/>
          <w:jc w:val="center"/>
        </w:trPr>
        <w:tc>
          <w:tcPr>
            <w:tcW w:w="0" w:type="auto"/>
            <w:shd w:val="clear" w:color="000000" w:fill="FFFFFF"/>
            <w:vAlign w:val="center"/>
            <w:hideMark/>
          </w:tcPr>
          <w:p w14:paraId="5F0AD993" w14:textId="77777777" w:rsidR="00DB1AEE" w:rsidRPr="00DB1AEE" w:rsidRDefault="00DB1AEE" w:rsidP="00DB1AEE">
            <w:pPr>
              <w:suppressAutoHyphens/>
              <w:jc w:val="center"/>
              <w:rPr>
                <w:sz w:val="18"/>
                <w:szCs w:val="18"/>
                <w:u w:val="single"/>
              </w:rPr>
            </w:pPr>
            <w:r w:rsidRPr="00DB1AEE">
              <w:rPr>
                <w:sz w:val="18"/>
                <w:szCs w:val="18"/>
                <w:u w:val="single"/>
              </w:rPr>
              <w:t>Hotel</w:t>
            </w:r>
          </w:p>
        </w:tc>
        <w:tc>
          <w:tcPr>
            <w:tcW w:w="0" w:type="auto"/>
            <w:gridSpan w:val="2"/>
            <w:shd w:val="clear" w:color="000000" w:fill="FFFFFF"/>
            <w:noWrap/>
            <w:vAlign w:val="center"/>
            <w:hideMark/>
          </w:tcPr>
          <w:p w14:paraId="3E49D437" w14:textId="77777777" w:rsidR="00DB1AEE" w:rsidRPr="00DB1AEE" w:rsidRDefault="00DB1AEE" w:rsidP="00DB1AEE">
            <w:pPr>
              <w:suppressAutoHyphens/>
              <w:jc w:val="center"/>
              <w:rPr>
                <w:sz w:val="18"/>
                <w:szCs w:val="18"/>
                <w:u w:val="single"/>
              </w:rPr>
            </w:pPr>
            <w:r w:rsidRPr="00DB1AEE">
              <w:rPr>
                <w:sz w:val="18"/>
                <w:szCs w:val="18"/>
                <w:u w:val="single"/>
              </w:rPr>
              <w:t>0.48</w:t>
            </w:r>
          </w:p>
        </w:tc>
        <w:tc>
          <w:tcPr>
            <w:tcW w:w="0" w:type="auto"/>
            <w:shd w:val="clear" w:color="000000" w:fill="FFFFFF"/>
            <w:noWrap/>
            <w:vAlign w:val="center"/>
            <w:hideMark/>
          </w:tcPr>
          <w:p w14:paraId="315F0677" w14:textId="77777777" w:rsidR="00DB1AEE" w:rsidRPr="00DB1AEE" w:rsidRDefault="00DB1AEE" w:rsidP="00DB1AEE">
            <w:pPr>
              <w:suppressAutoHyphens/>
              <w:jc w:val="center"/>
              <w:rPr>
                <w:sz w:val="18"/>
                <w:szCs w:val="18"/>
                <w:u w:val="single"/>
              </w:rPr>
            </w:pPr>
            <w:r w:rsidRPr="00DB1AEE">
              <w:rPr>
                <w:sz w:val="18"/>
                <w:szCs w:val="18"/>
                <w:u w:val="single"/>
              </w:rPr>
              <w:t>4</w:t>
            </w:r>
          </w:p>
        </w:tc>
        <w:tc>
          <w:tcPr>
            <w:tcW w:w="0" w:type="auto"/>
            <w:shd w:val="clear" w:color="000000" w:fill="FFFFFF"/>
            <w:vAlign w:val="center"/>
            <w:hideMark/>
          </w:tcPr>
          <w:p w14:paraId="2587DDD2"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68558BEA"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34E58CEA"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655BBEFA"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0BBA7216"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0AB773BD"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3ADFC08C"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34EA9F1D" w14:textId="77777777" w:rsidR="00DB1AEE" w:rsidRPr="00DB1AEE" w:rsidRDefault="00DB1AEE" w:rsidP="00DB1AEE">
            <w:pPr>
              <w:suppressAutoHyphens/>
              <w:jc w:val="center"/>
              <w:rPr>
                <w:sz w:val="18"/>
                <w:szCs w:val="18"/>
                <w:u w:val="single"/>
              </w:rPr>
            </w:pPr>
            <w:r w:rsidRPr="00DB1AEE">
              <w:rPr>
                <w:sz w:val="18"/>
                <w:szCs w:val="18"/>
                <w:u w:val="single"/>
              </w:rPr>
              <w:t>ADD2</w:t>
            </w:r>
          </w:p>
        </w:tc>
        <w:tc>
          <w:tcPr>
            <w:tcW w:w="0" w:type="auto"/>
            <w:shd w:val="clear" w:color="000000" w:fill="FFFFFF"/>
            <w:vAlign w:val="center"/>
            <w:hideMark/>
          </w:tcPr>
          <w:p w14:paraId="27E6F6BA" w14:textId="77777777" w:rsidR="00DB1AEE" w:rsidRPr="00DB1AEE" w:rsidRDefault="00DB1AEE" w:rsidP="00DB1AEE">
            <w:pPr>
              <w:suppressAutoHyphens/>
              <w:jc w:val="center"/>
              <w:rPr>
                <w:sz w:val="18"/>
                <w:szCs w:val="18"/>
                <w:u w:val="single"/>
              </w:rPr>
            </w:pPr>
            <w:r w:rsidRPr="00DB1AEE">
              <w:rPr>
                <w:sz w:val="18"/>
                <w:szCs w:val="18"/>
                <w:u w:val="single"/>
              </w:rPr>
              <w:t>ADD2</w:t>
            </w:r>
          </w:p>
        </w:tc>
      </w:tr>
      <w:tr w:rsidR="00DB1AEE" w:rsidRPr="00DB1AEE" w14:paraId="530D3595" w14:textId="77777777" w:rsidTr="00FC1832">
        <w:trPr>
          <w:trHeight w:val="255"/>
          <w:jc w:val="center"/>
        </w:trPr>
        <w:tc>
          <w:tcPr>
            <w:tcW w:w="0" w:type="auto"/>
            <w:shd w:val="clear" w:color="000000" w:fill="FFFFFF"/>
            <w:vAlign w:val="center"/>
            <w:hideMark/>
          </w:tcPr>
          <w:p w14:paraId="60E68747" w14:textId="77777777" w:rsidR="00DB1AEE" w:rsidRPr="00DB1AEE" w:rsidRDefault="00DB1AEE" w:rsidP="00DB1AEE">
            <w:pPr>
              <w:suppressAutoHyphens/>
              <w:jc w:val="center"/>
              <w:rPr>
                <w:sz w:val="18"/>
                <w:szCs w:val="18"/>
                <w:u w:val="single"/>
              </w:rPr>
            </w:pPr>
            <w:r w:rsidRPr="00DB1AEE">
              <w:rPr>
                <w:sz w:val="18"/>
                <w:szCs w:val="18"/>
                <w:u w:val="single"/>
              </w:rPr>
              <w:t>Motion picture theater</w:t>
            </w:r>
          </w:p>
        </w:tc>
        <w:tc>
          <w:tcPr>
            <w:tcW w:w="0" w:type="auto"/>
            <w:gridSpan w:val="2"/>
            <w:shd w:val="clear" w:color="000000" w:fill="FFFFFF"/>
            <w:noWrap/>
            <w:vAlign w:val="center"/>
            <w:hideMark/>
          </w:tcPr>
          <w:p w14:paraId="06E0AA21" w14:textId="77777777" w:rsidR="00DB1AEE" w:rsidRPr="00DB1AEE" w:rsidRDefault="00DB1AEE" w:rsidP="00DB1AEE">
            <w:pPr>
              <w:suppressAutoHyphens/>
              <w:jc w:val="center"/>
              <w:rPr>
                <w:sz w:val="18"/>
                <w:szCs w:val="18"/>
                <w:u w:val="single"/>
              </w:rPr>
            </w:pPr>
            <w:r w:rsidRPr="00DB1AEE">
              <w:rPr>
                <w:sz w:val="18"/>
                <w:szCs w:val="18"/>
                <w:u w:val="single"/>
              </w:rPr>
              <w:t>0.20</w:t>
            </w:r>
          </w:p>
        </w:tc>
        <w:tc>
          <w:tcPr>
            <w:tcW w:w="0" w:type="auto"/>
            <w:shd w:val="clear" w:color="000000" w:fill="FFFFFF"/>
            <w:noWrap/>
            <w:vAlign w:val="center"/>
            <w:hideMark/>
          </w:tcPr>
          <w:p w14:paraId="73EB66B6" w14:textId="77777777" w:rsidR="00DB1AEE" w:rsidRPr="00DB1AEE" w:rsidRDefault="00DB1AEE" w:rsidP="00DB1AEE">
            <w:pPr>
              <w:suppressAutoHyphens/>
              <w:jc w:val="center"/>
              <w:rPr>
                <w:sz w:val="18"/>
                <w:szCs w:val="18"/>
                <w:u w:val="single"/>
              </w:rPr>
            </w:pPr>
            <w:r w:rsidRPr="00DB1AEE">
              <w:rPr>
                <w:sz w:val="18"/>
                <w:szCs w:val="18"/>
                <w:u w:val="single"/>
              </w:rPr>
              <w:t>4</w:t>
            </w:r>
          </w:p>
        </w:tc>
        <w:tc>
          <w:tcPr>
            <w:tcW w:w="0" w:type="auto"/>
            <w:shd w:val="clear" w:color="000000" w:fill="FFFFFF"/>
            <w:vAlign w:val="center"/>
            <w:hideMark/>
          </w:tcPr>
          <w:p w14:paraId="28D05333"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5B148166"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3CB516E6"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0A3C3E2A"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4429851C"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07E45153"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5D10A1EF"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62214449" w14:textId="77777777" w:rsidR="00DB1AEE" w:rsidRPr="00DB1AEE" w:rsidRDefault="00DB1AEE" w:rsidP="00DB1AEE">
            <w:pPr>
              <w:suppressAutoHyphens/>
              <w:jc w:val="center"/>
              <w:rPr>
                <w:sz w:val="18"/>
                <w:szCs w:val="18"/>
                <w:u w:val="single"/>
              </w:rPr>
            </w:pPr>
            <w:r w:rsidRPr="00DB1AEE">
              <w:rPr>
                <w:sz w:val="18"/>
                <w:szCs w:val="18"/>
                <w:u w:val="single"/>
              </w:rPr>
              <w:t>ADD2</w:t>
            </w:r>
          </w:p>
        </w:tc>
        <w:tc>
          <w:tcPr>
            <w:tcW w:w="0" w:type="auto"/>
            <w:shd w:val="clear" w:color="000000" w:fill="FFFFFF"/>
            <w:vAlign w:val="center"/>
            <w:hideMark/>
          </w:tcPr>
          <w:p w14:paraId="31458507" w14:textId="77777777" w:rsidR="00DB1AEE" w:rsidRPr="00DB1AEE" w:rsidRDefault="00DB1AEE" w:rsidP="00DB1AEE">
            <w:pPr>
              <w:suppressAutoHyphens/>
              <w:jc w:val="center"/>
              <w:rPr>
                <w:sz w:val="18"/>
                <w:szCs w:val="18"/>
                <w:u w:val="single"/>
              </w:rPr>
            </w:pPr>
            <w:r w:rsidRPr="00DB1AEE">
              <w:rPr>
                <w:sz w:val="18"/>
                <w:szCs w:val="18"/>
                <w:u w:val="single"/>
              </w:rPr>
              <w:t>ADD2</w:t>
            </w:r>
          </w:p>
        </w:tc>
      </w:tr>
      <w:tr w:rsidR="00DB1AEE" w:rsidRPr="00DB1AEE" w14:paraId="2400C217" w14:textId="77777777" w:rsidTr="00FC1832">
        <w:trPr>
          <w:trHeight w:val="255"/>
          <w:jc w:val="center"/>
        </w:trPr>
        <w:tc>
          <w:tcPr>
            <w:tcW w:w="0" w:type="auto"/>
            <w:shd w:val="clear" w:color="000000" w:fill="FFFFFF"/>
            <w:vAlign w:val="center"/>
            <w:hideMark/>
          </w:tcPr>
          <w:p w14:paraId="3CCD7F61" w14:textId="77777777" w:rsidR="00DB1AEE" w:rsidRPr="00DB1AEE" w:rsidRDefault="00DB1AEE" w:rsidP="00DB1AEE">
            <w:pPr>
              <w:suppressAutoHyphens/>
              <w:jc w:val="center"/>
              <w:rPr>
                <w:sz w:val="18"/>
                <w:szCs w:val="18"/>
                <w:u w:val="single"/>
              </w:rPr>
            </w:pPr>
            <w:r w:rsidRPr="00DB1AEE">
              <w:rPr>
                <w:sz w:val="18"/>
                <w:szCs w:val="18"/>
                <w:u w:val="single"/>
              </w:rPr>
              <w:t>Performing arts theater</w:t>
            </w:r>
          </w:p>
        </w:tc>
        <w:tc>
          <w:tcPr>
            <w:tcW w:w="0" w:type="auto"/>
            <w:gridSpan w:val="2"/>
            <w:shd w:val="clear" w:color="000000" w:fill="FFFFFF"/>
            <w:noWrap/>
            <w:vAlign w:val="center"/>
            <w:hideMark/>
          </w:tcPr>
          <w:p w14:paraId="329C7572" w14:textId="77777777" w:rsidR="00DB1AEE" w:rsidRPr="00DB1AEE" w:rsidRDefault="00DB1AEE" w:rsidP="00DB1AEE">
            <w:pPr>
              <w:suppressAutoHyphens/>
              <w:jc w:val="center"/>
              <w:rPr>
                <w:sz w:val="18"/>
                <w:szCs w:val="18"/>
                <w:u w:val="single"/>
              </w:rPr>
            </w:pPr>
            <w:r w:rsidRPr="00DB1AEE">
              <w:rPr>
                <w:sz w:val="18"/>
                <w:szCs w:val="18"/>
                <w:u w:val="single"/>
              </w:rPr>
              <w:t>0.82</w:t>
            </w:r>
          </w:p>
        </w:tc>
        <w:tc>
          <w:tcPr>
            <w:tcW w:w="0" w:type="auto"/>
            <w:shd w:val="clear" w:color="000000" w:fill="FFFFFF"/>
            <w:noWrap/>
            <w:vAlign w:val="center"/>
            <w:hideMark/>
          </w:tcPr>
          <w:p w14:paraId="37525BA6" w14:textId="77777777" w:rsidR="00DB1AEE" w:rsidRPr="00DB1AEE" w:rsidRDefault="00DB1AEE" w:rsidP="00DB1AEE">
            <w:pPr>
              <w:suppressAutoHyphens/>
              <w:jc w:val="center"/>
              <w:rPr>
                <w:sz w:val="18"/>
                <w:szCs w:val="18"/>
                <w:u w:val="single"/>
              </w:rPr>
            </w:pPr>
            <w:r w:rsidRPr="00DB1AEE">
              <w:rPr>
                <w:sz w:val="18"/>
                <w:szCs w:val="18"/>
                <w:u w:val="single"/>
              </w:rPr>
              <w:t>6</w:t>
            </w:r>
          </w:p>
        </w:tc>
        <w:tc>
          <w:tcPr>
            <w:tcW w:w="0" w:type="auto"/>
            <w:shd w:val="clear" w:color="000000" w:fill="FFFFFF"/>
            <w:vAlign w:val="center"/>
            <w:hideMark/>
          </w:tcPr>
          <w:p w14:paraId="6D92C2D9"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3249ECFA"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59150D42"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17AA8009"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02FE91B2"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7B280485"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49425EA0"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1234F7B8" w14:textId="77777777" w:rsidR="00DB1AEE" w:rsidRPr="00DB1AEE" w:rsidRDefault="00DB1AEE" w:rsidP="00DB1AEE">
            <w:pPr>
              <w:suppressAutoHyphens/>
              <w:jc w:val="center"/>
              <w:rPr>
                <w:sz w:val="18"/>
                <w:szCs w:val="18"/>
                <w:u w:val="single"/>
              </w:rPr>
            </w:pPr>
            <w:r w:rsidRPr="00DB1AEE">
              <w:rPr>
                <w:sz w:val="18"/>
                <w:szCs w:val="18"/>
                <w:u w:val="single"/>
              </w:rPr>
              <w:t>ADD2</w:t>
            </w:r>
          </w:p>
        </w:tc>
        <w:tc>
          <w:tcPr>
            <w:tcW w:w="0" w:type="auto"/>
            <w:shd w:val="clear" w:color="000000" w:fill="FFFFFF"/>
            <w:vAlign w:val="center"/>
            <w:hideMark/>
          </w:tcPr>
          <w:p w14:paraId="15100E49" w14:textId="77777777" w:rsidR="00DB1AEE" w:rsidRPr="00DB1AEE" w:rsidRDefault="00DB1AEE" w:rsidP="00DB1AEE">
            <w:pPr>
              <w:suppressAutoHyphens/>
              <w:jc w:val="center"/>
              <w:rPr>
                <w:sz w:val="18"/>
                <w:szCs w:val="18"/>
                <w:u w:val="single"/>
              </w:rPr>
            </w:pPr>
            <w:r w:rsidRPr="00DB1AEE">
              <w:rPr>
                <w:sz w:val="18"/>
                <w:szCs w:val="18"/>
                <w:u w:val="single"/>
              </w:rPr>
              <w:t>ADD2</w:t>
            </w:r>
          </w:p>
        </w:tc>
      </w:tr>
      <w:tr w:rsidR="00DB1AEE" w:rsidRPr="00DB1AEE" w14:paraId="7BFBB268" w14:textId="77777777" w:rsidTr="00FC1832">
        <w:trPr>
          <w:trHeight w:val="255"/>
          <w:jc w:val="center"/>
        </w:trPr>
        <w:tc>
          <w:tcPr>
            <w:tcW w:w="0" w:type="auto"/>
            <w:shd w:val="clear" w:color="000000" w:fill="FFFFFF"/>
            <w:vAlign w:val="center"/>
            <w:hideMark/>
          </w:tcPr>
          <w:p w14:paraId="4C22AF57" w14:textId="77777777" w:rsidR="00DB1AEE" w:rsidRPr="00DB1AEE" w:rsidRDefault="00DB1AEE" w:rsidP="00DB1AEE">
            <w:pPr>
              <w:suppressAutoHyphens/>
              <w:jc w:val="center"/>
              <w:rPr>
                <w:sz w:val="18"/>
                <w:szCs w:val="18"/>
                <w:u w:val="single"/>
              </w:rPr>
            </w:pPr>
            <w:r w:rsidRPr="00DB1AEE">
              <w:rPr>
                <w:sz w:val="18"/>
                <w:szCs w:val="18"/>
                <w:u w:val="single"/>
              </w:rPr>
              <w:t>All other lobbies</w:t>
            </w:r>
          </w:p>
        </w:tc>
        <w:tc>
          <w:tcPr>
            <w:tcW w:w="0" w:type="auto"/>
            <w:gridSpan w:val="2"/>
            <w:shd w:val="clear" w:color="000000" w:fill="FFFFFF"/>
            <w:noWrap/>
            <w:vAlign w:val="center"/>
            <w:hideMark/>
          </w:tcPr>
          <w:p w14:paraId="69AD8547" w14:textId="77777777" w:rsidR="00DB1AEE" w:rsidRPr="00DB1AEE" w:rsidRDefault="00DB1AEE" w:rsidP="00DB1AEE">
            <w:pPr>
              <w:suppressAutoHyphens/>
              <w:jc w:val="center"/>
              <w:rPr>
                <w:sz w:val="18"/>
                <w:szCs w:val="18"/>
                <w:u w:val="single"/>
              </w:rPr>
            </w:pPr>
            <w:r w:rsidRPr="00DB1AEE">
              <w:rPr>
                <w:sz w:val="18"/>
                <w:szCs w:val="18"/>
                <w:u w:val="single"/>
              </w:rPr>
              <w:t>0.80</w:t>
            </w:r>
          </w:p>
        </w:tc>
        <w:tc>
          <w:tcPr>
            <w:tcW w:w="0" w:type="auto"/>
            <w:shd w:val="clear" w:color="000000" w:fill="FFFFFF"/>
            <w:noWrap/>
            <w:vAlign w:val="center"/>
            <w:hideMark/>
          </w:tcPr>
          <w:p w14:paraId="40DEEB7B" w14:textId="77777777" w:rsidR="00DB1AEE" w:rsidRPr="00DB1AEE" w:rsidRDefault="00DB1AEE" w:rsidP="00DB1AEE">
            <w:pPr>
              <w:suppressAutoHyphens/>
              <w:jc w:val="center"/>
              <w:rPr>
                <w:sz w:val="18"/>
                <w:szCs w:val="18"/>
                <w:u w:val="single"/>
              </w:rPr>
            </w:pPr>
            <w:r w:rsidRPr="00DB1AEE">
              <w:rPr>
                <w:sz w:val="18"/>
                <w:szCs w:val="18"/>
                <w:u w:val="single"/>
              </w:rPr>
              <w:t>4</w:t>
            </w:r>
          </w:p>
        </w:tc>
        <w:tc>
          <w:tcPr>
            <w:tcW w:w="0" w:type="auto"/>
            <w:shd w:val="clear" w:color="000000" w:fill="FFFFFF"/>
            <w:vAlign w:val="center"/>
            <w:hideMark/>
          </w:tcPr>
          <w:p w14:paraId="42FC9CBC"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7015A3F9"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094072D5"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08821419"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0149B7D6"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041E3B6D"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16DA7E4C"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572BE356" w14:textId="77777777" w:rsidR="00DB1AEE" w:rsidRPr="00DB1AEE" w:rsidRDefault="00DB1AEE" w:rsidP="00DB1AEE">
            <w:pPr>
              <w:suppressAutoHyphens/>
              <w:jc w:val="center"/>
              <w:rPr>
                <w:sz w:val="18"/>
                <w:szCs w:val="18"/>
                <w:u w:val="single"/>
              </w:rPr>
            </w:pPr>
            <w:r w:rsidRPr="00DB1AEE">
              <w:rPr>
                <w:sz w:val="18"/>
                <w:szCs w:val="18"/>
                <w:u w:val="single"/>
              </w:rPr>
              <w:t>ADD2</w:t>
            </w:r>
          </w:p>
        </w:tc>
        <w:tc>
          <w:tcPr>
            <w:tcW w:w="0" w:type="auto"/>
            <w:shd w:val="clear" w:color="000000" w:fill="FFFFFF"/>
            <w:vAlign w:val="center"/>
            <w:hideMark/>
          </w:tcPr>
          <w:p w14:paraId="49BD3DE1" w14:textId="77777777" w:rsidR="00DB1AEE" w:rsidRPr="00DB1AEE" w:rsidRDefault="00DB1AEE" w:rsidP="00DB1AEE">
            <w:pPr>
              <w:suppressAutoHyphens/>
              <w:jc w:val="center"/>
              <w:rPr>
                <w:sz w:val="18"/>
                <w:szCs w:val="18"/>
                <w:u w:val="single"/>
              </w:rPr>
            </w:pPr>
            <w:r w:rsidRPr="00DB1AEE">
              <w:rPr>
                <w:sz w:val="18"/>
                <w:szCs w:val="18"/>
                <w:u w:val="single"/>
              </w:rPr>
              <w:t>ADD2</w:t>
            </w:r>
          </w:p>
        </w:tc>
      </w:tr>
      <w:tr w:rsidR="00DB1AEE" w:rsidRPr="00DB1AEE" w14:paraId="3777DF82" w14:textId="77777777" w:rsidTr="00FC1832">
        <w:trPr>
          <w:trHeight w:val="255"/>
          <w:jc w:val="center"/>
        </w:trPr>
        <w:tc>
          <w:tcPr>
            <w:tcW w:w="0" w:type="auto"/>
            <w:shd w:val="clear" w:color="000000" w:fill="FFFFFF"/>
            <w:vAlign w:val="center"/>
            <w:hideMark/>
          </w:tcPr>
          <w:p w14:paraId="01F83F8A" w14:textId="77777777" w:rsidR="00DB1AEE" w:rsidRPr="00DB1AEE" w:rsidRDefault="00DB1AEE" w:rsidP="00DB1AEE">
            <w:pPr>
              <w:suppressAutoHyphens/>
              <w:jc w:val="center"/>
              <w:rPr>
                <w:sz w:val="18"/>
                <w:szCs w:val="18"/>
                <w:u w:val="single"/>
              </w:rPr>
            </w:pPr>
            <w:r w:rsidRPr="00DB1AEE">
              <w:rPr>
                <w:sz w:val="18"/>
                <w:szCs w:val="18"/>
                <w:u w:val="single"/>
              </w:rPr>
              <w:t>Locker Room</w:t>
            </w:r>
          </w:p>
        </w:tc>
        <w:tc>
          <w:tcPr>
            <w:tcW w:w="0" w:type="auto"/>
            <w:gridSpan w:val="2"/>
            <w:shd w:val="clear" w:color="000000" w:fill="FFFFFF"/>
            <w:noWrap/>
            <w:vAlign w:val="center"/>
            <w:hideMark/>
          </w:tcPr>
          <w:p w14:paraId="2BAA3912" w14:textId="77777777" w:rsidR="00DB1AEE" w:rsidRPr="00DB1AEE" w:rsidRDefault="00DB1AEE" w:rsidP="00DB1AEE">
            <w:pPr>
              <w:suppressAutoHyphens/>
              <w:jc w:val="center"/>
              <w:rPr>
                <w:sz w:val="18"/>
                <w:szCs w:val="18"/>
                <w:u w:val="single"/>
              </w:rPr>
            </w:pPr>
            <w:r w:rsidRPr="00DB1AEE">
              <w:rPr>
                <w:sz w:val="18"/>
                <w:szCs w:val="18"/>
                <w:u w:val="single"/>
              </w:rPr>
              <w:t>0.43</w:t>
            </w:r>
          </w:p>
        </w:tc>
        <w:tc>
          <w:tcPr>
            <w:tcW w:w="0" w:type="auto"/>
            <w:shd w:val="clear" w:color="000000" w:fill="FFFFFF"/>
            <w:noWrap/>
            <w:vAlign w:val="center"/>
            <w:hideMark/>
          </w:tcPr>
          <w:p w14:paraId="3C5C3A43" w14:textId="77777777" w:rsidR="00DB1AEE" w:rsidRPr="00DB1AEE" w:rsidRDefault="00DB1AEE" w:rsidP="00DB1AEE">
            <w:pPr>
              <w:suppressAutoHyphens/>
              <w:jc w:val="center"/>
              <w:rPr>
                <w:sz w:val="18"/>
                <w:szCs w:val="18"/>
                <w:u w:val="single"/>
              </w:rPr>
            </w:pPr>
            <w:r w:rsidRPr="00DB1AEE">
              <w:rPr>
                <w:sz w:val="18"/>
                <w:szCs w:val="18"/>
                <w:u w:val="single"/>
              </w:rPr>
              <w:t>6</w:t>
            </w:r>
          </w:p>
        </w:tc>
        <w:tc>
          <w:tcPr>
            <w:tcW w:w="0" w:type="auto"/>
            <w:shd w:val="clear" w:color="000000" w:fill="FFFFFF"/>
            <w:vAlign w:val="center"/>
            <w:hideMark/>
          </w:tcPr>
          <w:p w14:paraId="3933FB33"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1A38ABB8"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0" w:type="auto"/>
            <w:shd w:val="clear" w:color="000000" w:fill="FFFFFF"/>
            <w:vAlign w:val="center"/>
            <w:hideMark/>
          </w:tcPr>
          <w:p w14:paraId="0B2083AB"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0" w:type="auto"/>
            <w:shd w:val="clear" w:color="000000" w:fill="FFFFFF"/>
            <w:vAlign w:val="center"/>
            <w:hideMark/>
          </w:tcPr>
          <w:p w14:paraId="7967F815"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24A529FA"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6F482878"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3E457CD4"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0AD2A6F6"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4E5BEBF4" w14:textId="77777777" w:rsidR="00DB1AEE" w:rsidRPr="00DB1AEE" w:rsidRDefault="00DB1AEE" w:rsidP="00DB1AEE">
            <w:pPr>
              <w:suppressAutoHyphens/>
              <w:jc w:val="center"/>
              <w:rPr>
                <w:sz w:val="18"/>
                <w:szCs w:val="18"/>
                <w:u w:val="single"/>
              </w:rPr>
            </w:pPr>
          </w:p>
        </w:tc>
      </w:tr>
      <w:tr w:rsidR="00DB1AEE" w:rsidRPr="00DB1AEE" w14:paraId="5A0ED6CE" w14:textId="77777777" w:rsidTr="00FC1832">
        <w:trPr>
          <w:trHeight w:val="332"/>
          <w:jc w:val="center"/>
        </w:trPr>
        <w:tc>
          <w:tcPr>
            <w:tcW w:w="0" w:type="auto"/>
            <w:shd w:val="clear" w:color="000000" w:fill="FFFFFF"/>
            <w:vAlign w:val="center"/>
            <w:hideMark/>
          </w:tcPr>
          <w:p w14:paraId="0CC65F56" w14:textId="77777777" w:rsidR="00DB1AEE" w:rsidRPr="00DB1AEE" w:rsidRDefault="00DB1AEE" w:rsidP="00DB1AEE">
            <w:pPr>
              <w:suppressAutoHyphens/>
              <w:jc w:val="center"/>
              <w:rPr>
                <w:sz w:val="18"/>
                <w:szCs w:val="18"/>
                <w:u w:val="single"/>
              </w:rPr>
            </w:pPr>
            <w:r w:rsidRPr="00DB1AEE">
              <w:rPr>
                <w:sz w:val="18"/>
                <w:szCs w:val="18"/>
                <w:u w:val="single"/>
              </w:rPr>
              <w:t>Lounge/Breakroom</w:t>
            </w:r>
            <w:r w:rsidRPr="00DB1AEE">
              <w:rPr>
                <w:strike/>
                <w:sz w:val="18"/>
                <w:szCs w:val="18"/>
                <w:u w:val="single"/>
                <w:vertAlign w:val="superscript"/>
              </w:rPr>
              <w:t>9,</w:t>
            </w:r>
            <w:r w:rsidRPr="00DB1AEE">
              <w:rPr>
                <w:strike/>
                <w:sz w:val="18"/>
                <w:szCs w:val="18"/>
                <w:u w:val="single"/>
              </w:rPr>
              <w:t xml:space="preserve"> </w:t>
            </w:r>
            <w:r w:rsidRPr="00DB1AEE">
              <w:rPr>
                <w:strike/>
                <w:sz w:val="18"/>
                <w:szCs w:val="18"/>
                <w:u w:val="single"/>
                <w:vertAlign w:val="superscript"/>
              </w:rPr>
              <w:t>10</w:t>
            </w:r>
          </w:p>
        </w:tc>
        <w:tc>
          <w:tcPr>
            <w:tcW w:w="0" w:type="auto"/>
            <w:shd w:val="clear" w:color="000000" w:fill="FFFFFF"/>
            <w:vAlign w:val="center"/>
            <w:hideMark/>
          </w:tcPr>
          <w:p w14:paraId="3144294E" w14:textId="77777777" w:rsidR="00DB1AEE" w:rsidRPr="00DB1AEE" w:rsidRDefault="00DB1AEE" w:rsidP="00DB1AEE">
            <w:pPr>
              <w:suppressAutoHyphens/>
              <w:jc w:val="center"/>
              <w:rPr>
                <w:sz w:val="18"/>
                <w:szCs w:val="18"/>
                <w:u w:val="single"/>
              </w:rPr>
            </w:pPr>
          </w:p>
        </w:tc>
        <w:tc>
          <w:tcPr>
            <w:tcW w:w="0" w:type="auto"/>
            <w:shd w:val="clear" w:color="000000" w:fill="FFFFFF"/>
            <w:noWrap/>
            <w:vAlign w:val="center"/>
            <w:hideMark/>
          </w:tcPr>
          <w:p w14:paraId="1EF15E9E"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2CC79F9A"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0142A660"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74F552AA"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027140E5"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4DD336E1"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3AED3D98"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3A60B142"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2A7CFDEE"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18265BD8"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129E32C8" w14:textId="77777777" w:rsidR="00DB1AEE" w:rsidRPr="00DB1AEE" w:rsidRDefault="00DB1AEE" w:rsidP="00DB1AEE">
            <w:pPr>
              <w:suppressAutoHyphens/>
              <w:jc w:val="center"/>
              <w:rPr>
                <w:sz w:val="18"/>
                <w:szCs w:val="18"/>
                <w:u w:val="single"/>
              </w:rPr>
            </w:pPr>
          </w:p>
        </w:tc>
      </w:tr>
      <w:tr w:rsidR="00DB1AEE" w:rsidRPr="00DB1AEE" w14:paraId="108D5035" w14:textId="77777777" w:rsidTr="00FC1832">
        <w:trPr>
          <w:trHeight w:val="255"/>
          <w:jc w:val="center"/>
        </w:trPr>
        <w:tc>
          <w:tcPr>
            <w:tcW w:w="0" w:type="auto"/>
            <w:shd w:val="clear" w:color="000000" w:fill="FFFFFF"/>
            <w:vAlign w:val="center"/>
            <w:hideMark/>
          </w:tcPr>
          <w:p w14:paraId="065386DD" w14:textId="77777777" w:rsidR="00DB1AEE" w:rsidRPr="00DB1AEE" w:rsidRDefault="00DB1AEE" w:rsidP="00DB1AEE">
            <w:pPr>
              <w:suppressAutoHyphens/>
              <w:jc w:val="center"/>
              <w:rPr>
                <w:sz w:val="18"/>
                <w:szCs w:val="18"/>
                <w:u w:val="single"/>
              </w:rPr>
            </w:pPr>
            <w:r w:rsidRPr="00DB1AEE">
              <w:rPr>
                <w:sz w:val="18"/>
                <w:szCs w:val="18"/>
                <w:u w:val="single"/>
              </w:rPr>
              <w:t>Mother's/wellness room</w:t>
            </w:r>
          </w:p>
        </w:tc>
        <w:tc>
          <w:tcPr>
            <w:tcW w:w="0" w:type="auto"/>
            <w:gridSpan w:val="2"/>
            <w:shd w:val="clear" w:color="000000" w:fill="FFFFFF"/>
            <w:vAlign w:val="center"/>
            <w:hideMark/>
          </w:tcPr>
          <w:p w14:paraId="4D698096" w14:textId="77777777" w:rsidR="00DB1AEE" w:rsidRPr="00DB1AEE" w:rsidRDefault="00DB1AEE" w:rsidP="00DB1AEE">
            <w:pPr>
              <w:suppressAutoHyphens/>
              <w:jc w:val="center"/>
              <w:rPr>
                <w:sz w:val="18"/>
                <w:szCs w:val="18"/>
                <w:u w:val="single"/>
              </w:rPr>
            </w:pPr>
            <w:r w:rsidRPr="00DB1AEE">
              <w:rPr>
                <w:sz w:val="18"/>
                <w:szCs w:val="18"/>
                <w:u w:val="single"/>
              </w:rPr>
              <w:t>0.68</w:t>
            </w:r>
          </w:p>
        </w:tc>
        <w:tc>
          <w:tcPr>
            <w:tcW w:w="0" w:type="auto"/>
            <w:shd w:val="clear" w:color="000000" w:fill="FFFFFF"/>
            <w:noWrap/>
            <w:vAlign w:val="center"/>
            <w:hideMark/>
          </w:tcPr>
          <w:p w14:paraId="6376CC16" w14:textId="77777777" w:rsidR="00DB1AEE" w:rsidRPr="00DB1AEE" w:rsidRDefault="00DB1AEE" w:rsidP="00DB1AEE">
            <w:pPr>
              <w:suppressAutoHyphens/>
              <w:jc w:val="center"/>
              <w:rPr>
                <w:sz w:val="18"/>
                <w:szCs w:val="18"/>
                <w:u w:val="single"/>
              </w:rPr>
            </w:pPr>
            <w:r w:rsidRPr="00DB1AEE">
              <w:rPr>
                <w:sz w:val="18"/>
                <w:szCs w:val="18"/>
                <w:u w:val="single"/>
              </w:rPr>
              <w:t>6</w:t>
            </w:r>
          </w:p>
        </w:tc>
        <w:tc>
          <w:tcPr>
            <w:tcW w:w="0" w:type="auto"/>
            <w:shd w:val="clear" w:color="000000" w:fill="FFFFFF"/>
            <w:vAlign w:val="center"/>
            <w:hideMark/>
          </w:tcPr>
          <w:p w14:paraId="5F8060C6"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5B0D84A3"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0" w:type="auto"/>
            <w:shd w:val="clear" w:color="000000" w:fill="FFFFFF"/>
            <w:vAlign w:val="center"/>
            <w:hideMark/>
          </w:tcPr>
          <w:p w14:paraId="30A652F5"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0" w:type="auto"/>
            <w:shd w:val="clear" w:color="000000" w:fill="FFFFFF"/>
            <w:vAlign w:val="center"/>
            <w:hideMark/>
          </w:tcPr>
          <w:p w14:paraId="77C95080"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012233FE"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1831438F"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34F985D7"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6390539F"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32E4DA09" w14:textId="77777777" w:rsidR="00DB1AEE" w:rsidRPr="00DB1AEE" w:rsidRDefault="00DB1AEE" w:rsidP="00DB1AEE">
            <w:pPr>
              <w:suppressAutoHyphens/>
              <w:jc w:val="center"/>
              <w:rPr>
                <w:sz w:val="18"/>
                <w:szCs w:val="18"/>
                <w:u w:val="single"/>
              </w:rPr>
            </w:pPr>
          </w:p>
        </w:tc>
      </w:tr>
      <w:tr w:rsidR="00DB1AEE" w:rsidRPr="00DB1AEE" w14:paraId="38DA03AF" w14:textId="77777777" w:rsidTr="00FC1832">
        <w:trPr>
          <w:trHeight w:val="480"/>
          <w:jc w:val="center"/>
        </w:trPr>
        <w:tc>
          <w:tcPr>
            <w:tcW w:w="0" w:type="auto"/>
            <w:shd w:val="clear" w:color="000000" w:fill="FFFFFF"/>
            <w:vAlign w:val="center"/>
            <w:hideMark/>
          </w:tcPr>
          <w:p w14:paraId="184AB8EE" w14:textId="77777777" w:rsidR="00DB1AEE" w:rsidRPr="00DB1AEE" w:rsidRDefault="00DB1AEE" w:rsidP="00DB1AEE">
            <w:pPr>
              <w:suppressAutoHyphens/>
              <w:jc w:val="center"/>
              <w:rPr>
                <w:sz w:val="18"/>
                <w:szCs w:val="18"/>
                <w:u w:val="single"/>
              </w:rPr>
            </w:pPr>
            <w:r w:rsidRPr="00DB1AEE">
              <w:rPr>
                <w:sz w:val="18"/>
                <w:szCs w:val="18"/>
                <w:u w:val="single"/>
              </w:rPr>
              <w:t>All other lounges/breakrooms</w:t>
            </w:r>
          </w:p>
        </w:tc>
        <w:tc>
          <w:tcPr>
            <w:tcW w:w="0" w:type="auto"/>
            <w:gridSpan w:val="2"/>
            <w:shd w:val="clear" w:color="000000" w:fill="FFFFFF"/>
            <w:noWrap/>
            <w:vAlign w:val="center"/>
            <w:hideMark/>
          </w:tcPr>
          <w:p w14:paraId="05A5345E" w14:textId="77777777" w:rsidR="00DB1AEE" w:rsidRPr="00DB1AEE" w:rsidRDefault="00DB1AEE" w:rsidP="00DB1AEE">
            <w:pPr>
              <w:suppressAutoHyphens/>
              <w:jc w:val="center"/>
              <w:rPr>
                <w:sz w:val="18"/>
                <w:szCs w:val="18"/>
                <w:u w:val="single"/>
              </w:rPr>
            </w:pPr>
            <w:r w:rsidRPr="00DB1AEE">
              <w:rPr>
                <w:sz w:val="18"/>
                <w:szCs w:val="18"/>
                <w:u w:val="single"/>
              </w:rPr>
              <w:t>0.44</w:t>
            </w:r>
          </w:p>
        </w:tc>
        <w:tc>
          <w:tcPr>
            <w:tcW w:w="0" w:type="auto"/>
            <w:shd w:val="clear" w:color="000000" w:fill="FFFFFF"/>
            <w:noWrap/>
            <w:vAlign w:val="center"/>
            <w:hideMark/>
          </w:tcPr>
          <w:p w14:paraId="2DD6AC94" w14:textId="77777777" w:rsidR="00DB1AEE" w:rsidRPr="00DB1AEE" w:rsidRDefault="00DB1AEE" w:rsidP="00DB1AEE">
            <w:pPr>
              <w:suppressAutoHyphens/>
              <w:jc w:val="center"/>
              <w:rPr>
                <w:sz w:val="18"/>
                <w:szCs w:val="18"/>
                <w:u w:val="single"/>
              </w:rPr>
            </w:pPr>
            <w:r w:rsidRPr="00DB1AEE">
              <w:rPr>
                <w:sz w:val="18"/>
                <w:szCs w:val="18"/>
                <w:u w:val="single"/>
              </w:rPr>
              <w:t>4</w:t>
            </w:r>
          </w:p>
        </w:tc>
        <w:tc>
          <w:tcPr>
            <w:tcW w:w="0" w:type="auto"/>
            <w:shd w:val="clear" w:color="000000" w:fill="FFFFFF"/>
            <w:vAlign w:val="center"/>
            <w:hideMark/>
          </w:tcPr>
          <w:p w14:paraId="1FA7669C"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74183507" w14:textId="77777777" w:rsidR="00DB1AEE" w:rsidRPr="00DB1AEE" w:rsidRDefault="00DB1AEE" w:rsidP="00DB1AEE">
            <w:pPr>
              <w:suppressAutoHyphens/>
              <w:jc w:val="center"/>
              <w:rPr>
                <w:sz w:val="18"/>
                <w:szCs w:val="18"/>
                <w:u w:val="single"/>
              </w:rPr>
            </w:pPr>
            <w:r w:rsidRPr="00DB1AEE">
              <w:rPr>
                <w:strike/>
                <w:sz w:val="18"/>
                <w:szCs w:val="18"/>
                <w:u w:val="single"/>
              </w:rPr>
              <w:t>REQ</w:t>
            </w:r>
            <w:r w:rsidRPr="00DB1AEE">
              <w:rPr>
                <w:sz w:val="18"/>
                <w:szCs w:val="18"/>
                <w:u w:val="single"/>
              </w:rPr>
              <w:t xml:space="preserve"> ADD1</w:t>
            </w:r>
          </w:p>
        </w:tc>
        <w:tc>
          <w:tcPr>
            <w:tcW w:w="0" w:type="auto"/>
            <w:shd w:val="clear" w:color="000000" w:fill="FFFFFF"/>
            <w:vAlign w:val="center"/>
            <w:hideMark/>
          </w:tcPr>
          <w:p w14:paraId="5FB73CE3"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0" w:type="auto"/>
            <w:shd w:val="clear" w:color="000000" w:fill="FFFFFF"/>
            <w:vAlign w:val="center"/>
            <w:hideMark/>
          </w:tcPr>
          <w:p w14:paraId="13A7A74F"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21CA492F"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68664E7D"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37DDF704"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595A139E"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6FAF72F5" w14:textId="77777777" w:rsidR="00DB1AEE" w:rsidRPr="00DB1AEE" w:rsidRDefault="00DB1AEE" w:rsidP="00DB1AEE">
            <w:pPr>
              <w:suppressAutoHyphens/>
              <w:jc w:val="center"/>
              <w:rPr>
                <w:sz w:val="18"/>
                <w:szCs w:val="18"/>
                <w:u w:val="single"/>
              </w:rPr>
            </w:pPr>
          </w:p>
        </w:tc>
      </w:tr>
      <w:tr w:rsidR="00DB1AEE" w:rsidRPr="00DB1AEE" w14:paraId="18C9D68F" w14:textId="77777777" w:rsidTr="00FC1832">
        <w:trPr>
          <w:trHeight w:val="480"/>
          <w:jc w:val="center"/>
        </w:trPr>
        <w:tc>
          <w:tcPr>
            <w:tcW w:w="0" w:type="auto"/>
            <w:shd w:val="clear" w:color="000000" w:fill="FFFFFF"/>
            <w:vAlign w:val="center"/>
            <w:hideMark/>
          </w:tcPr>
          <w:p w14:paraId="1ECC32F5" w14:textId="77777777" w:rsidR="00DB1AEE" w:rsidRPr="00DB1AEE" w:rsidRDefault="00DB1AEE" w:rsidP="00DB1AEE">
            <w:pPr>
              <w:suppressAutoHyphens/>
              <w:jc w:val="center"/>
              <w:rPr>
                <w:sz w:val="18"/>
                <w:szCs w:val="18"/>
                <w:u w:val="single"/>
              </w:rPr>
            </w:pPr>
            <w:r w:rsidRPr="00DB1AEE">
              <w:rPr>
                <w:sz w:val="18"/>
                <w:szCs w:val="18"/>
                <w:u w:val="single"/>
              </w:rPr>
              <w:t>Office</w:t>
            </w:r>
          </w:p>
        </w:tc>
        <w:tc>
          <w:tcPr>
            <w:tcW w:w="0" w:type="auto"/>
            <w:shd w:val="clear" w:color="000000" w:fill="FFFFFF"/>
            <w:vAlign w:val="center"/>
            <w:hideMark/>
          </w:tcPr>
          <w:p w14:paraId="1ACBA770" w14:textId="77777777" w:rsidR="00DB1AEE" w:rsidRPr="00DB1AEE" w:rsidRDefault="00DB1AEE" w:rsidP="00DB1AEE">
            <w:pPr>
              <w:suppressAutoHyphens/>
              <w:jc w:val="center"/>
              <w:rPr>
                <w:sz w:val="18"/>
                <w:szCs w:val="18"/>
                <w:u w:val="single"/>
              </w:rPr>
            </w:pPr>
          </w:p>
        </w:tc>
        <w:tc>
          <w:tcPr>
            <w:tcW w:w="0" w:type="auto"/>
            <w:shd w:val="clear" w:color="000000" w:fill="FFFFFF"/>
            <w:noWrap/>
            <w:vAlign w:val="center"/>
            <w:hideMark/>
          </w:tcPr>
          <w:p w14:paraId="11E343A4"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56A696C9"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4FF37D4D"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4B1ADC79"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6088DE34"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7DC15F55"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7E73360A"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24ED08B5"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3473D0F6"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5A24329A"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39B6117E" w14:textId="77777777" w:rsidR="00DB1AEE" w:rsidRPr="00DB1AEE" w:rsidRDefault="00DB1AEE" w:rsidP="00DB1AEE">
            <w:pPr>
              <w:suppressAutoHyphens/>
              <w:jc w:val="center"/>
              <w:rPr>
                <w:sz w:val="18"/>
                <w:szCs w:val="18"/>
                <w:u w:val="single"/>
              </w:rPr>
            </w:pPr>
          </w:p>
        </w:tc>
      </w:tr>
      <w:tr w:rsidR="00DB1AEE" w:rsidRPr="00DB1AEE" w14:paraId="0C12279C" w14:textId="77777777" w:rsidTr="00FC1832">
        <w:trPr>
          <w:trHeight w:val="255"/>
          <w:jc w:val="center"/>
        </w:trPr>
        <w:tc>
          <w:tcPr>
            <w:tcW w:w="0" w:type="auto"/>
            <w:shd w:val="clear" w:color="000000" w:fill="FFFFFF"/>
            <w:vAlign w:val="center"/>
            <w:hideMark/>
          </w:tcPr>
          <w:p w14:paraId="1238DFE1" w14:textId="77777777" w:rsidR="00DB1AEE" w:rsidRPr="00DB1AEE" w:rsidRDefault="00DB1AEE" w:rsidP="00DB1AEE">
            <w:pPr>
              <w:suppressAutoHyphens/>
              <w:jc w:val="center"/>
              <w:rPr>
                <w:sz w:val="18"/>
                <w:szCs w:val="18"/>
                <w:u w:val="single"/>
              </w:rPr>
            </w:pPr>
            <w:r w:rsidRPr="00DB1AEE">
              <w:rPr>
                <w:sz w:val="18"/>
                <w:szCs w:val="18"/>
                <w:u w:val="single"/>
              </w:rPr>
              <w:t>Office≤150 ft2</w:t>
            </w:r>
          </w:p>
        </w:tc>
        <w:tc>
          <w:tcPr>
            <w:tcW w:w="0" w:type="auto"/>
            <w:gridSpan w:val="2"/>
            <w:shd w:val="clear" w:color="000000" w:fill="FFFFFF"/>
            <w:noWrap/>
            <w:vAlign w:val="center"/>
            <w:hideMark/>
          </w:tcPr>
          <w:p w14:paraId="2AF1697F" w14:textId="77777777" w:rsidR="00DB1AEE" w:rsidRPr="00DB1AEE" w:rsidRDefault="00DB1AEE" w:rsidP="00DB1AEE">
            <w:pPr>
              <w:suppressAutoHyphens/>
              <w:jc w:val="center"/>
              <w:rPr>
                <w:sz w:val="18"/>
                <w:szCs w:val="18"/>
                <w:u w:val="single"/>
              </w:rPr>
            </w:pPr>
            <w:r w:rsidRPr="00DB1AEE">
              <w:rPr>
                <w:sz w:val="18"/>
                <w:szCs w:val="18"/>
                <w:u w:val="single"/>
              </w:rPr>
              <w:t>0.73</w:t>
            </w:r>
          </w:p>
        </w:tc>
        <w:tc>
          <w:tcPr>
            <w:tcW w:w="0" w:type="auto"/>
            <w:shd w:val="clear" w:color="000000" w:fill="FFFFFF"/>
            <w:noWrap/>
            <w:vAlign w:val="center"/>
            <w:hideMark/>
          </w:tcPr>
          <w:p w14:paraId="0A68EDCE" w14:textId="77777777" w:rsidR="00DB1AEE" w:rsidRPr="00DB1AEE" w:rsidRDefault="00DB1AEE" w:rsidP="00DB1AEE">
            <w:pPr>
              <w:suppressAutoHyphens/>
              <w:jc w:val="center"/>
              <w:rPr>
                <w:sz w:val="18"/>
                <w:szCs w:val="18"/>
                <w:u w:val="single"/>
              </w:rPr>
            </w:pPr>
            <w:r w:rsidRPr="00DB1AEE">
              <w:rPr>
                <w:sz w:val="18"/>
                <w:szCs w:val="18"/>
                <w:u w:val="single"/>
              </w:rPr>
              <w:t>8</w:t>
            </w:r>
          </w:p>
        </w:tc>
        <w:tc>
          <w:tcPr>
            <w:tcW w:w="0" w:type="auto"/>
            <w:shd w:val="clear" w:color="000000" w:fill="FFFFFF"/>
            <w:vAlign w:val="center"/>
            <w:hideMark/>
          </w:tcPr>
          <w:p w14:paraId="7677A1F1"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668C9DE6"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0" w:type="auto"/>
            <w:shd w:val="clear" w:color="000000" w:fill="FFFFFF"/>
            <w:vAlign w:val="center"/>
            <w:hideMark/>
          </w:tcPr>
          <w:p w14:paraId="3B926A6E"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0" w:type="auto"/>
            <w:shd w:val="clear" w:color="000000" w:fill="FFFFFF"/>
            <w:vAlign w:val="center"/>
            <w:hideMark/>
          </w:tcPr>
          <w:p w14:paraId="7B09CAAF"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41B19BC7"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55B1F30A"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26C5A6FE"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07A42862"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3FADDD5E" w14:textId="77777777" w:rsidR="00DB1AEE" w:rsidRPr="00DB1AEE" w:rsidRDefault="00DB1AEE" w:rsidP="00DB1AEE">
            <w:pPr>
              <w:suppressAutoHyphens/>
              <w:jc w:val="center"/>
              <w:rPr>
                <w:sz w:val="18"/>
                <w:szCs w:val="18"/>
                <w:u w:val="single"/>
              </w:rPr>
            </w:pPr>
          </w:p>
        </w:tc>
      </w:tr>
      <w:tr w:rsidR="00DB1AEE" w:rsidRPr="00DB1AEE" w14:paraId="71483230" w14:textId="77777777" w:rsidTr="00FC1832">
        <w:trPr>
          <w:trHeight w:val="270"/>
          <w:jc w:val="center"/>
        </w:trPr>
        <w:tc>
          <w:tcPr>
            <w:tcW w:w="0" w:type="auto"/>
            <w:shd w:val="clear" w:color="000000" w:fill="FFFFFF"/>
            <w:vAlign w:val="center"/>
            <w:hideMark/>
          </w:tcPr>
          <w:p w14:paraId="2F863196" w14:textId="77777777" w:rsidR="00DB1AEE" w:rsidRPr="00DB1AEE" w:rsidRDefault="00DB1AEE" w:rsidP="00DB1AEE">
            <w:pPr>
              <w:suppressAutoHyphens/>
              <w:jc w:val="center"/>
              <w:rPr>
                <w:sz w:val="18"/>
                <w:szCs w:val="18"/>
                <w:u w:val="single"/>
              </w:rPr>
            </w:pPr>
            <w:r w:rsidRPr="00DB1AEE">
              <w:rPr>
                <w:sz w:val="18"/>
                <w:szCs w:val="18"/>
                <w:u w:val="single"/>
              </w:rPr>
              <w:t>Office &gt;150 and ≤300 ft</w:t>
            </w:r>
            <w:r w:rsidRPr="00DB1AEE">
              <w:rPr>
                <w:sz w:val="18"/>
                <w:szCs w:val="18"/>
                <w:u w:val="single"/>
                <w:vertAlign w:val="superscript"/>
              </w:rPr>
              <w:t>2</w:t>
            </w:r>
          </w:p>
        </w:tc>
        <w:tc>
          <w:tcPr>
            <w:tcW w:w="0" w:type="auto"/>
            <w:gridSpan w:val="2"/>
            <w:shd w:val="clear" w:color="000000" w:fill="FFFFFF"/>
            <w:noWrap/>
            <w:vAlign w:val="center"/>
            <w:hideMark/>
          </w:tcPr>
          <w:p w14:paraId="4A291DE2" w14:textId="77777777" w:rsidR="00DB1AEE" w:rsidRPr="00DB1AEE" w:rsidRDefault="00DB1AEE" w:rsidP="00DB1AEE">
            <w:pPr>
              <w:suppressAutoHyphens/>
              <w:jc w:val="center"/>
              <w:rPr>
                <w:sz w:val="18"/>
                <w:szCs w:val="18"/>
                <w:u w:val="single"/>
              </w:rPr>
            </w:pPr>
            <w:r w:rsidRPr="00DB1AEE">
              <w:rPr>
                <w:sz w:val="18"/>
                <w:szCs w:val="18"/>
                <w:u w:val="single"/>
              </w:rPr>
              <w:t>0.66</w:t>
            </w:r>
          </w:p>
        </w:tc>
        <w:tc>
          <w:tcPr>
            <w:tcW w:w="0" w:type="auto"/>
            <w:shd w:val="clear" w:color="000000" w:fill="FFFFFF"/>
            <w:noWrap/>
            <w:vAlign w:val="center"/>
            <w:hideMark/>
          </w:tcPr>
          <w:p w14:paraId="266C5180" w14:textId="77777777" w:rsidR="00DB1AEE" w:rsidRPr="00DB1AEE" w:rsidRDefault="00DB1AEE" w:rsidP="00DB1AEE">
            <w:pPr>
              <w:suppressAutoHyphens/>
              <w:jc w:val="center"/>
              <w:rPr>
                <w:sz w:val="18"/>
                <w:szCs w:val="18"/>
                <w:u w:val="single"/>
              </w:rPr>
            </w:pPr>
            <w:r w:rsidRPr="00DB1AEE">
              <w:rPr>
                <w:sz w:val="18"/>
                <w:szCs w:val="18"/>
                <w:u w:val="single"/>
              </w:rPr>
              <w:t>8</w:t>
            </w:r>
          </w:p>
        </w:tc>
        <w:tc>
          <w:tcPr>
            <w:tcW w:w="0" w:type="auto"/>
            <w:shd w:val="clear" w:color="000000" w:fill="FFFFFF"/>
            <w:vAlign w:val="center"/>
            <w:hideMark/>
          </w:tcPr>
          <w:p w14:paraId="247F72A5"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485DE0EF"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0" w:type="auto"/>
            <w:shd w:val="clear" w:color="000000" w:fill="FFFFFF"/>
            <w:vAlign w:val="center"/>
            <w:hideMark/>
          </w:tcPr>
          <w:p w14:paraId="548B051E"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0" w:type="auto"/>
            <w:shd w:val="clear" w:color="000000" w:fill="FFFFFF"/>
            <w:vAlign w:val="center"/>
            <w:hideMark/>
          </w:tcPr>
          <w:p w14:paraId="745036FF"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445AD271"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6B4811FD"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46E7080D"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282CBF5A"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57B5B75C" w14:textId="77777777" w:rsidR="00DB1AEE" w:rsidRPr="00DB1AEE" w:rsidRDefault="00DB1AEE" w:rsidP="00DB1AEE">
            <w:pPr>
              <w:suppressAutoHyphens/>
              <w:jc w:val="center"/>
              <w:rPr>
                <w:sz w:val="18"/>
                <w:szCs w:val="18"/>
                <w:u w:val="single"/>
              </w:rPr>
            </w:pPr>
          </w:p>
        </w:tc>
      </w:tr>
      <w:tr w:rsidR="00DB1AEE" w:rsidRPr="00DB1AEE" w14:paraId="307EFD2F" w14:textId="77777777" w:rsidTr="00FC1832">
        <w:trPr>
          <w:trHeight w:val="270"/>
          <w:jc w:val="center"/>
        </w:trPr>
        <w:tc>
          <w:tcPr>
            <w:tcW w:w="0" w:type="auto"/>
            <w:shd w:val="clear" w:color="000000" w:fill="FFFFFF"/>
            <w:noWrap/>
            <w:vAlign w:val="center"/>
            <w:hideMark/>
          </w:tcPr>
          <w:p w14:paraId="79BA5F9C" w14:textId="77777777" w:rsidR="00DB1AEE" w:rsidRPr="00DB1AEE" w:rsidRDefault="00DB1AEE" w:rsidP="00DB1AEE">
            <w:pPr>
              <w:suppressAutoHyphens/>
              <w:jc w:val="center"/>
              <w:rPr>
                <w:sz w:val="18"/>
                <w:szCs w:val="18"/>
                <w:u w:val="single"/>
              </w:rPr>
            </w:pPr>
            <w:r w:rsidRPr="00DB1AEE">
              <w:rPr>
                <w:sz w:val="18"/>
                <w:szCs w:val="18"/>
                <w:u w:val="single"/>
              </w:rPr>
              <w:t>Offices &gt;300 ft</w:t>
            </w:r>
            <w:r w:rsidRPr="00DB1AEE">
              <w:rPr>
                <w:sz w:val="18"/>
                <w:szCs w:val="18"/>
                <w:u w:val="single"/>
                <w:vertAlign w:val="superscript"/>
              </w:rPr>
              <w:t>2</w:t>
            </w:r>
          </w:p>
        </w:tc>
        <w:tc>
          <w:tcPr>
            <w:tcW w:w="0" w:type="auto"/>
            <w:gridSpan w:val="2"/>
            <w:shd w:val="clear" w:color="000000" w:fill="FFFFFF"/>
            <w:noWrap/>
            <w:vAlign w:val="center"/>
            <w:hideMark/>
          </w:tcPr>
          <w:p w14:paraId="7DF2CD64" w14:textId="77777777" w:rsidR="00DB1AEE" w:rsidRPr="00DB1AEE" w:rsidRDefault="00DB1AEE" w:rsidP="00DB1AEE">
            <w:pPr>
              <w:suppressAutoHyphens/>
              <w:jc w:val="center"/>
              <w:rPr>
                <w:sz w:val="18"/>
                <w:szCs w:val="18"/>
                <w:u w:val="single"/>
              </w:rPr>
            </w:pPr>
            <w:r w:rsidRPr="00DB1AEE">
              <w:rPr>
                <w:sz w:val="18"/>
                <w:szCs w:val="18"/>
                <w:u w:val="single"/>
              </w:rPr>
              <w:t>0.56</w:t>
            </w:r>
          </w:p>
        </w:tc>
        <w:tc>
          <w:tcPr>
            <w:tcW w:w="0" w:type="auto"/>
            <w:shd w:val="clear" w:color="000000" w:fill="FFFFFF"/>
            <w:noWrap/>
            <w:vAlign w:val="center"/>
            <w:hideMark/>
          </w:tcPr>
          <w:p w14:paraId="66BE80EB" w14:textId="77777777" w:rsidR="00DB1AEE" w:rsidRPr="00DB1AEE" w:rsidRDefault="00DB1AEE" w:rsidP="00DB1AEE">
            <w:pPr>
              <w:suppressAutoHyphens/>
              <w:jc w:val="center"/>
              <w:rPr>
                <w:sz w:val="18"/>
                <w:szCs w:val="18"/>
                <w:u w:val="single"/>
              </w:rPr>
            </w:pPr>
            <w:r w:rsidRPr="00DB1AEE">
              <w:rPr>
                <w:sz w:val="18"/>
                <w:szCs w:val="18"/>
                <w:u w:val="single"/>
              </w:rPr>
              <w:t>4</w:t>
            </w:r>
          </w:p>
        </w:tc>
        <w:tc>
          <w:tcPr>
            <w:tcW w:w="0" w:type="auto"/>
            <w:shd w:val="clear" w:color="000000" w:fill="FFFFFF"/>
            <w:vAlign w:val="center"/>
            <w:hideMark/>
          </w:tcPr>
          <w:p w14:paraId="3564A07F"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706DFBE7"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0" w:type="auto"/>
            <w:shd w:val="clear" w:color="000000" w:fill="FFFFFF"/>
            <w:vAlign w:val="center"/>
            <w:hideMark/>
          </w:tcPr>
          <w:p w14:paraId="4665CFF8"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0" w:type="auto"/>
            <w:shd w:val="clear" w:color="000000" w:fill="FFFFFF"/>
            <w:vAlign w:val="center"/>
            <w:hideMark/>
          </w:tcPr>
          <w:p w14:paraId="4AE82B18"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47CA14EE"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2E91C6CE"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2984863C"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5C1E6484"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noWrap/>
            <w:vAlign w:val="center"/>
            <w:hideMark/>
          </w:tcPr>
          <w:p w14:paraId="1503090D" w14:textId="77777777" w:rsidR="00DB1AEE" w:rsidRPr="00DB1AEE" w:rsidRDefault="00DB1AEE" w:rsidP="00DB1AEE">
            <w:pPr>
              <w:suppressAutoHyphens/>
              <w:jc w:val="center"/>
              <w:rPr>
                <w:sz w:val="18"/>
                <w:szCs w:val="18"/>
                <w:u w:val="single"/>
              </w:rPr>
            </w:pPr>
          </w:p>
        </w:tc>
      </w:tr>
      <w:tr w:rsidR="00DB1AEE" w:rsidRPr="00DB1AEE" w14:paraId="01FE6A9B" w14:textId="77777777" w:rsidTr="00FC1832">
        <w:trPr>
          <w:trHeight w:val="255"/>
          <w:jc w:val="center"/>
        </w:trPr>
        <w:tc>
          <w:tcPr>
            <w:tcW w:w="0" w:type="auto"/>
            <w:shd w:val="clear" w:color="000000" w:fill="FFFFFF"/>
            <w:noWrap/>
            <w:vAlign w:val="center"/>
            <w:hideMark/>
          </w:tcPr>
          <w:p w14:paraId="12C3B62A" w14:textId="77777777" w:rsidR="00DB1AEE" w:rsidRPr="00DB1AEE" w:rsidRDefault="00DB1AEE" w:rsidP="00DB1AEE">
            <w:pPr>
              <w:suppressAutoHyphens/>
              <w:jc w:val="center"/>
              <w:rPr>
                <w:sz w:val="18"/>
                <w:szCs w:val="18"/>
                <w:u w:val="single"/>
              </w:rPr>
            </w:pPr>
            <w:r w:rsidRPr="00DB1AEE">
              <w:rPr>
                <w:b/>
                <w:bCs/>
                <w:sz w:val="18"/>
                <w:szCs w:val="18"/>
                <w:u w:val="single"/>
              </w:rPr>
              <w:t>Parking Garage</w:t>
            </w:r>
          </w:p>
        </w:tc>
        <w:tc>
          <w:tcPr>
            <w:tcW w:w="0" w:type="auto"/>
            <w:shd w:val="clear" w:color="000000" w:fill="FFFFFF"/>
            <w:noWrap/>
            <w:vAlign w:val="center"/>
            <w:hideMark/>
          </w:tcPr>
          <w:p w14:paraId="793024AC"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46FBDC43"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473DC0E5" w14:textId="77777777" w:rsidR="00DB1AEE" w:rsidRPr="00DB1AEE" w:rsidRDefault="00DB1AEE" w:rsidP="00DB1AEE">
            <w:pPr>
              <w:suppressAutoHyphens/>
              <w:jc w:val="center"/>
              <w:rPr>
                <w:sz w:val="18"/>
                <w:szCs w:val="18"/>
                <w:u w:val="single"/>
              </w:rPr>
            </w:pPr>
          </w:p>
        </w:tc>
        <w:tc>
          <w:tcPr>
            <w:tcW w:w="0" w:type="auto"/>
            <w:shd w:val="clear" w:color="000000" w:fill="FFFFFF"/>
            <w:noWrap/>
            <w:vAlign w:val="center"/>
            <w:hideMark/>
          </w:tcPr>
          <w:p w14:paraId="271DE0C4" w14:textId="77777777" w:rsidR="00DB1AEE" w:rsidRPr="00DB1AEE" w:rsidRDefault="00DB1AEE" w:rsidP="00DB1AEE">
            <w:pPr>
              <w:suppressAutoHyphens/>
              <w:jc w:val="center"/>
              <w:rPr>
                <w:sz w:val="18"/>
                <w:szCs w:val="18"/>
                <w:u w:val="single"/>
              </w:rPr>
            </w:pPr>
          </w:p>
        </w:tc>
        <w:tc>
          <w:tcPr>
            <w:tcW w:w="0" w:type="auto"/>
            <w:shd w:val="clear" w:color="000000" w:fill="FFFFFF"/>
            <w:noWrap/>
            <w:vAlign w:val="center"/>
            <w:hideMark/>
          </w:tcPr>
          <w:p w14:paraId="4044954C" w14:textId="77777777" w:rsidR="00DB1AEE" w:rsidRPr="00DB1AEE" w:rsidRDefault="00DB1AEE" w:rsidP="00DB1AEE">
            <w:pPr>
              <w:suppressAutoHyphens/>
              <w:jc w:val="center"/>
              <w:rPr>
                <w:sz w:val="18"/>
                <w:szCs w:val="18"/>
                <w:u w:val="single"/>
              </w:rPr>
            </w:pPr>
          </w:p>
        </w:tc>
        <w:tc>
          <w:tcPr>
            <w:tcW w:w="0" w:type="auto"/>
            <w:shd w:val="clear" w:color="000000" w:fill="FFFFFF"/>
            <w:noWrap/>
            <w:vAlign w:val="center"/>
            <w:hideMark/>
          </w:tcPr>
          <w:p w14:paraId="22205323"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4D2226FA" w14:textId="77777777" w:rsidR="00DB1AEE" w:rsidRPr="00DB1AEE" w:rsidRDefault="00DB1AEE" w:rsidP="00DB1AEE">
            <w:pPr>
              <w:suppressAutoHyphens/>
              <w:jc w:val="center"/>
              <w:rPr>
                <w:sz w:val="18"/>
                <w:szCs w:val="18"/>
                <w:u w:val="single"/>
              </w:rPr>
            </w:pPr>
          </w:p>
        </w:tc>
        <w:tc>
          <w:tcPr>
            <w:tcW w:w="0" w:type="auto"/>
            <w:shd w:val="clear" w:color="000000" w:fill="FFFFFF"/>
            <w:noWrap/>
            <w:vAlign w:val="center"/>
            <w:hideMark/>
          </w:tcPr>
          <w:p w14:paraId="323E26AE" w14:textId="77777777" w:rsidR="00DB1AEE" w:rsidRPr="00DB1AEE" w:rsidRDefault="00DB1AEE" w:rsidP="00DB1AEE">
            <w:pPr>
              <w:suppressAutoHyphens/>
              <w:jc w:val="center"/>
              <w:rPr>
                <w:sz w:val="18"/>
                <w:szCs w:val="18"/>
                <w:u w:val="single"/>
              </w:rPr>
            </w:pPr>
          </w:p>
        </w:tc>
        <w:tc>
          <w:tcPr>
            <w:tcW w:w="0" w:type="auto"/>
            <w:shd w:val="clear" w:color="000000" w:fill="FFFFFF"/>
            <w:noWrap/>
            <w:vAlign w:val="center"/>
            <w:hideMark/>
          </w:tcPr>
          <w:p w14:paraId="155E9D3B" w14:textId="77777777" w:rsidR="00DB1AEE" w:rsidRPr="00DB1AEE" w:rsidRDefault="00DB1AEE" w:rsidP="00DB1AEE">
            <w:pPr>
              <w:suppressAutoHyphens/>
              <w:jc w:val="center"/>
              <w:rPr>
                <w:sz w:val="18"/>
                <w:szCs w:val="18"/>
                <w:u w:val="single"/>
              </w:rPr>
            </w:pPr>
          </w:p>
        </w:tc>
        <w:tc>
          <w:tcPr>
            <w:tcW w:w="0" w:type="auto"/>
            <w:shd w:val="clear" w:color="000000" w:fill="FFFFFF"/>
            <w:noWrap/>
            <w:vAlign w:val="center"/>
            <w:hideMark/>
          </w:tcPr>
          <w:p w14:paraId="69C2A6DD" w14:textId="77777777" w:rsidR="00DB1AEE" w:rsidRPr="00DB1AEE" w:rsidRDefault="00DB1AEE" w:rsidP="00DB1AEE">
            <w:pPr>
              <w:suppressAutoHyphens/>
              <w:jc w:val="center"/>
              <w:rPr>
                <w:sz w:val="18"/>
                <w:szCs w:val="18"/>
                <w:u w:val="single"/>
              </w:rPr>
            </w:pPr>
          </w:p>
        </w:tc>
        <w:tc>
          <w:tcPr>
            <w:tcW w:w="0" w:type="auto"/>
            <w:shd w:val="clear" w:color="000000" w:fill="FFFFFF"/>
            <w:noWrap/>
            <w:vAlign w:val="center"/>
            <w:hideMark/>
          </w:tcPr>
          <w:p w14:paraId="6B886298" w14:textId="77777777" w:rsidR="00DB1AEE" w:rsidRPr="00DB1AEE" w:rsidRDefault="00DB1AEE" w:rsidP="00DB1AEE">
            <w:pPr>
              <w:suppressAutoHyphens/>
              <w:jc w:val="center"/>
              <w:rPr>
                <w:sz w:val="18"/>
                <w:szCs w:val="18"/>
                <w:u w:val="single"/>
              </w:rPr>
            </w:pPr>
          </w:p>
        </w:tc>
        <w:tc>
          <w:tcPr>
            <w:tcW w:w="0" w:type="auto"/>
            <w:shd w:val="clear" w:color="000000" w:fill="FFFFFF"/>
            <w:noWrap/>
            <w:vAlign w:val="center"/>
            <w:hideMark/>
          </w:tcPr>
          <w:p w14:paraId="6A3B5A27" w14:textId="77777777" w:rsidR="00DB1AEE" w:rsidRPr="00DB1AEE" w:rsidRDefault="00DB1AEE" w:rsidP="00DB1AEE">
            <w:pPr>
              <w:suppressAutoHyphens/>
              <w:jc w:val="center"/>
              <w:rPr>
                <w:sz w:val="18"/>
                <w:szCs w:val="18"/>
                <w:u w:val="single"/>
              </w:rPr>
            </w:pPr>
          </w:p>
        </w:tc>
      </w:tr>
      <w:tr w:rsidR="00DB1AEE" w:rsidRPr="00DB1AEE" w14:paraId="458FFAE1" w14:textId="77777777" w:rsidTr="00FC1832">
        <w:trPr>
          <w:trHeight w:val="255"/>
          <w:jc w:val="center"/>
        </w:trPr>
        <w:tc>
          <w:tcPr>
            <w:tcW w:w="0" w:type="auto"/>
            <w:shd w:val="clear" w:color="000000" w:fill="FFFFFF"/>
            <w:noWrap/>
            <w:vAlign w:val="center"/>
            <w:hideMark/>
          </w:tcPr>
          <w:p w14:paraId="184C6705" w14:textId="77777777" w:rsidR="00DB1AEE" w:rsidRPr="00DB1AEE" w:rsidRDefault="00DB1AEE" w:rsidP="00DB1AEE">
            <w:pPr>
              <w:suppressAutoHyphens/>
              <w:jc w:val="center"/>
              <w:rPr>
                <w:sz w:val="18"/>
                <w:szCs w:val="18"/>
                <w:u w:val="single"/>
              </w:rPr>
            </w:pPr>
            <w:r w:rsidRPr="00DB1AEE">
              <w:rPr>
                <w:sz w:val="18"/>
                <w:szCs w:val="18"/>
                <w:u w:val="single"/>
              </w:rPr>
              <w:t>Daylight transition ]one</w:t>
            </w:r>
          </w:p>
        </w:tc>
        <w:tc>
          <w:tcPr>
            <w:tcW w:w="0" w:type="auto"/>
            <w:gridSpan w:val="2"/>
            <w:shd w:val="clear" w:color="000000" w:fill="FFFFFF"/>
            <w:noWrap/>
            <w:vAlign w:val="center"/>
            <w:hideMark/>
          </w:tcPr>
          <w:p w14:paraId="4618F2D3" w14:textId="77777777" w:rsidR="00DB1AEE" w:rsidRPr="00DB1AEE" w:rsidRDefault="00DB1AEE" w:rsidP="00DB1AEE">
            <w:pPr>
              <w:suppressAutoHyphens/>
              <w:jc w:val="center"/>
              <w:rPr>
                <w:sz w:val="18"/>
                <w:szCs w:val="18"/>
                <w:u w:val="single"/>
              </w:rPr>
            </w:pPr>
            <w:r w:rsidRPr="00DB1AEE">
              <w:rPr>
                <w:sz w:val="18"/>
                <w:szCs w:val="18"/>
                <w:u w:val="single"/>
              </w:rPr>
              <w:t>1.06</w:t>
            </w:r>
          </w:p>
        </w:tc>
        <w:tc>
          <w:tcPr>
            <w:tcW w:w="0" w:type="auto"/>
            <w:shd w:val="clear" w:color="000000" w:fill="FFFFFF"/>
            <w:noWrap/>
            <w:vAlign w:val="center"/>
            <w:hideMark/>
          </w:tcPr>
          <w:p w14:paraId="4628687C" w14:textId="77777777" w:rsidR="00DB1AEE" w:rsidRPr="00DB1AEE" w:rsidRDefault="00DB1AEE" w:rsidP="00DB1AEE">
            <w:pPr>
              <w:suppressAutoHyphens/>
              <w:jc w:val="center"/>
              <w:rPr>
                <w:sz w:val="18"/>
                <w:szCs w:val="18"/>
                <w:u w:val="single"/>
              </w:rPr>
            </w:pPr>
            <w:r w:rsidRPr="00DB1AEE">
              <w:rPr>
                <w:sz w:val="18"/>
                <w:szCs w:val="18"/>
                <w:u w:val="single"/>
              </w:rPr>
              <w:t>4</w:t>
            </w:r>
          </w:p>
        </w:tc>
        <w:tc>
          <w:tcPr>
            <w:tcW w:w="0" w:type="auto"/>
            <w:shd w:val="clear" w:color="000000" w:fill="FFFFFF"/>
            <w:noWrap/>
            <w:vAlign w:val="center"/>
            <w:hideMark/>
          </w:tcPr>
          <w:p w14:paraId="173D431A" w14:textId="77777777" w:rsidR="00DB1AEE" w:rsidRPr="00DB1AEE" w:rsidRDefault="00DB1AEE" w:rsidP="00DB1AEE">
            <w:pPr>
              <w:suppressAutoHyphens/>
              <w:jc w:val="center"/>
              <w:rPr>
                <w:sz w:val="18"/>
                <w:szCs w:val="18"/>
                <w:u w:val="single"/>
              </w:rPr>
            </w:pPr>
          </w:p>
        </w:tc>
        <w:tc>
          <w:tcPr>
            <w:tcW w:w="0" w:type="auto"/>
            <w:shd w:val="clear" w:color="000000" w:fill="FFFFFF"/>
            <w:noWrap/>
            <w:vAlign w:val="center"/>
            <w:hideMark/>
          </w:tcPr>
          <w:p w14:paraId="2443FF0F" w14:textId="77777777" w:rsidR="00DB1AEE" w:rsidRPr="00DB1AEE" w:rsidRDefault="00DB1AEE" w:rsidP="00DB1AEE">
            <w:pPr>
              <w:suppressAutoHyphens/>
              <w:jc w:val="center"/>
              <w:rPr>
                <w:sz w:val="18"/>
                <w:szCs w:val="18"/>
                <w:u w:val="single"/>
              </w:rPr>
            </w:pPr>
          </w:p>
        </w:tc>
        <w:tc>
          <w:tcPr>
            <w:tcW w:w="0" w:type="auto"/>
            <w:shd w:val="clear" w:color="000000" w:fill="FFFFFF"/>
            <w:noWrap/>
            <w:vAlign w:val="center"/>
            <w:hideMark/>
          </w:tcPr>
          <w:p w14:paraId="5F9CA848"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17F0B716" w14:textId="77777777" w:rsidR="00DB1AEE" w:rsidRPr="00DB1AEE" w:rsidRDefault="00DB1AEE" w:rsidP="00DB1AEE">
            <w:pPr>
              <w:suppressAutoHyphens/>
              <w:jc w:val="center"/>
              <w:rPr>
                <w:sz w:val="18"/>
                <w:szCs w:val="18"/>
                <w:u w:val="single"/>
              </w:rPr>
            </w:pPr>
            <w:r w:rsidRPr="00DB1AEE">
              <w:rPr>
                <w:sz w:val="18"/>
                <w:szCs w:val="18"/>
                <w:u w:val="single"/>
              </w:rPr>
              <w:t>See Section 9.4.1.2.</w:t>
            </w:r>
          </w:p>
        </w:tc>
        <w:tc>
          <w:tcPr>
            <w:tcW w:w="0" w:type="auto"/>
            <w:shd w:val="clear" w:color="000000" w:fill="FFFFFF"/>
            <w:noWrap/>
            <w:vAlign w:val="center"/>
            <w:hideMark/>
          </w:tcPr>
          <w:p w14:paraId="08AC942C" w14:textId="77777777" w:rsidR="00DB1AEE" w:rsidRPr="00DB1AEE" w:rsidRDefault="00DB1AEE" w:rsidP="00DB1AEE">
            <w:pPr>
              <w:suppressAutoHyphens/>
              <w:jc w:val="center"/>
              <w:rPr>
                <w:sz w:val="18"/>
                <w:szCs w:val="18"/>
                <w:u w:val="single"/>
              </w:rPr>
            </w:pPr>
          </w:p>
        </w:tc>
        <w:tc>
          <w:tcPr>
            <w:tcW w:w="0" w:type="auto"/>
            <w:shd w:val="clear" w:color="000000" w:fill="FFFFFF"/>
            <w:noWrap/>
            <w:vAlign w:val="center"/>
            <w:hideMark/>
          </w:tcPr>
          <w:p w14:paraId="5FBD12E8" w14:textId="77777777" w:rsidR="00DB1AEE" w:rsidRPr="00DB1AEE" w:rsidRDefault="00DB1AEE" w:rsidP="00DB1AEE">
            <w:pPr>
              <w:suppressAutoHyphens/>
              <w:jc w:val="center"/>
              <w:rPr>
                <w:sz w:val="18"/>
                <w:szCs w:val="18"/>
                <w:u w:val="single"/>
              </w:rPr>
            </w:pPr>
          </w:p>
        </w:tc>
        <w:tc>
          <w:tcPr>
            <w:tcW w:w="0" w:type="auto"/>
            <w:shd w:val="clear" w:color="000000" w:fill="FFFFFF"/>
            <w:noWrap/>
            <w:vAlign w:val="center"/>
            <w:hideMark/>
          </w:tcPr>
          <w:p w14:paraId="738B2D96" w14:textId="77777777" w:rsidR="00DB1AEE" w:rsidRPr="00DB1AEE" w:rsidRDefault="00DB1AEE" w:rsidP="00DB1AEE">
            <w:pPr>
              <w:suppressAutoHyphens/>
              <w:jc w:val="center"/>
              <w:rPr>
                <w:sz w:val="18"/>
                <w:szCs w:val="18"/>
                <w:u w:val="single"/>
              </w:rPr>
            </w:pPr>
          </w:p>
        </w:tc>
        <w:tc>
          <w:tcPr>
            <w:tcW w:w="0" w:type="auto"/>
            <w:shd w:val="clear" w:color="000000" w:fill="FFFFFF"/>
            <w:noWrap/>
            <w:vAlign w:val="center"/>
            <w:hideMark/>
          </w:tcPr>
          <w:p w14:paraId="3D60D57E" w14:textId="77777777" w:rsidR="00DB1AEE" w:rsidRPr="00DB1AEE" w:rsidRDefault="00DB1AEE" w:rsidP="00DB1AEE">
            <w:pPr>
              <w:suppressAutoHyphens/>
              <w:jc w:val="center"/>
              <w:rPr>
                <w:sz w:val="18"/>
                <w:szCs w:val="18"/>
                <w:u w:val="single"/>
              </w:rPr>
            </w:pPr>
          </w:p>
        </w:tc>
        <w:tc>
          <w:tcPr>
            <w:tcW w:w="0" w:type="auto"/>
            <w:shd w:val="clear" w:color="000000" w:fill="FFFFFF"/>
            <w:noWrap/>
            <w:vAlign w:val="center"/>
            <w:hideMark/>
          </w:tcPr>
          <w:p w14:paraId="46EB224F" w14:textId="77777777" w:rsidR="00DB1AEE" w:rsidRPr="00DB1AEE" w:rsidRDefault="00DB1AEE" w:rsidP="00DB1AEE">
            <w:pPr>
              <w:suppressAutoHyphens/>
              <w:jc w:val="center"/>
              <w:rPr>
                <w:sz w:val="18"/>
                <w:szCs w:val="18"/>
                <w:u w:val="single"/>
              </w:rPr>
            </w:pPr>
          </w:p>
        </w:tc>
      </w:tr>
      <w:tr w:rsidR="00DB1AEE" w:rsidRPr="00DB1AEE" w14:paraId="70BE67A4" w14:textId="77777777" w:rsidTr="00FC1832">
        <w:trPr>
          <w:trHeight w:val="255"/>
          <w:jc w:val="center"/>
        </w:trPr>
        <w:tc>
          <w:tcPr>
            <w:tcW w:w="0" w:type="auto"/>
            <w:shd w:val="clear" w:color="000000" w:fill="FFFFFF"/>
            <w:noWrap/>
            <w:vAlign w:val="center"/>
            <w:hideMark/>
          </w:tcPr>
          <w:p w14:paraId="3F985CD6" w14:textId="77777777" w:rsidR="00DB1AEE" w:rsidRPr="00DB1AEE" w:rsidRDefault="00DB1AEE" w:rsidP="00DB1AEE">
            <w:pPr>
              <w:suppressAutoHyphens/>
              <w:jc w:val="center"/>
              <w:rPr>
                <w:sz w:val="18"/>
                <w:szCs w:val="18"/>
                <w:u w:val="single"/>
              </w:rPr>
            </w:pPr>
            <w:r w:rsidRPr="00DB1AEE">
              <w:rPr>
                <w:sz w:val="18"/>
                <w:szCs w:val="18"/>
                <w:u w:val="single"/>
              </w:rPr>
              <w:t>All other parking and drive areas</w:t>
            </w:r>
          </w:p>
        </w:tc>
        <w:tc>
          <w:tcPr>
            <w:tcW w:w="0" w:type="auto"/>
            <w:gridSpan w:val="2"/>
            <w:shd w:val="clear" w:color="000000" w:fill="FFFFFF"/>
            <w:noWrap/>
            <w:vAlign w:val="center"/>
            <w:hideMark/>
          </w:tcPr>
          <w:p w14:paraId="532E4213" w14:textId="77777777" w:rsidR="00DB1AEE" w:rsidRPr="00DB1AEE" w:rsidRDefault="00DB1AEE" w:rsidP="00DB1AEE">
            <w:pPr>
              <w:suppressAutoHyphens/>
              <w:jc w:val="center"/>
              <w:rPr>
                <w:sz w:val="18"/>
                <w:szCs w:val="18"/>
                <w:u w:val="single"/>
              </w:rPr>
            </w:pPr>
            <w:r w:rsidRPr="00DB1AEE">
              <w:rPr>
                <w:sz w:val="18"/>
                <w:szCs w:val="18"/>
                <w:u w:val="single"/>
              </w:rPr>
              <w:t>0.11</w:t>
            </w:r>
          </w:p>
        </w:tc>
        <w:tc>
          <w:tcPr>
            <w:tcW w:w="0" w:type="auto"/>
            <w:shd w:val="clear" w:color="000000" w:fill="FFFFFF"/>
            <w:noWrap/>
            <w:vAlign w:val="center"/>
            <w:hideMark/>
          </w:tcPr>
          <w:p w14:paraId="30A9C5EB" w14:textId="77777777" w:rsidR="00DB1AEE" w:rsidRPr="00DB1AEE" w:rsidRDefault="00DB1AEE" w:rsidP="00DB1AEE">
            <w:pPr>
              <w:suppressAutoHyphens/>
              <w:jc w:val="center"/>
              <w:rPr>
                <w:sz w:val="18"/>
                <w:szCs w:val="18"/>
                <w:u w:val="single"/>
              </w:rPr>
            </w:pPr>
            <w:r w:rsidRPr="00DB1AEE">
              <w:rPr>
                <w:sz w:val="18"/>
                <w:szCs w:val="18"/>
                <w:u w:val="single"/>
              </w:rPr>
              <w:t>4</w:t>
            </w:r>
          </w:p>
        </w:tc>
        <w:tc>
          <w:tcPr>
            <w:tcW w:w="0" w:type="auto"/>
            <w:shd w:val="clear" w:color="000000" w:fill="FFFFFF"/>
            <w:noWrap/>
            <w:vAlign w:val="center"/>
            <w:hideMark/>
          </w:tcPr>
          <w:p w14:paraId="7C1A9B3D" w14:textId="77777777" w:rsidR="00DB1AEE" w:rsidRPr="00DB1AEE" w:rsidRDefault="00DB1AEE" w:rsidP="00DB1AEE">
            <w:pPr>
              <w:suppressAutoHyphens/>
              <w:jc w:val="center"/>
              <w:rPr>
                <w:sz w:val="18"/>
                <w:szCs w:val="18"/>
                <w:u w:val="single"/>
              </w:rPr>
            </w:pPr>
          </w:p>
        </w:tc>
        <w:tc>
          <w:tcPr>
            <w:tcW w:w="0" w:type="auto"/>
            <w:shd w:val="clear" w:color="000000" w:fill="FFFFFF"/>
            <w:noWrap/>
            <w:vAlign w:val="center"/>
            <w:hideMark/>
          </w:tcPr>
          <w:p w14:paraId="23C26F52" w14:textId="77777777" w:rsidR="00DB1AEE" w:rsidRPr="00DB1AEE" w:rsidRDefault="00DB1AEE" w:rsidP="00DB1AEE">
            <w:pPr>
              <w:suppressAutoHyphens/>
              <w:jc w:val="center"/>
              <w:rPr>
                <w:sz w:val="18"/>
                <w:szCs w:val="18"/>
                <w:u w:val="single"/>
              </w:rPr>
            </w:pPr>
          </w:p>
        </w:tc>
        <w:tc>
          <w:tcPr>
            <w:tcW w:w="0" w:type="auto"/>
            <w:shd w:val="clear" w:color="000000" w:fill="FFFFFF"/>
            <w:noWrap/>
            <w:vAlign w:val="center"/>
            <w:hideMark/>
          </w:tcPr>
          <w:p w14:paraId="75354F83"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193853AC" w14:textId="77777777" w:rsidR="00DB1AEE" w:rsidRPr="00DB1AEE" w:rsidRDefault="00DB1AEE" w:rsidP="00DB1AEE">
            <w:pPr>
              <w:suppressAutoHyphens/>
              <w:jc w:val="center"/>
              <w:rPr>
                <w:sz w:val="18"/>
                <w:szCs w:val="18"/>
                <w:u w:val="single"/>
              </w:rPr>
            </w:pPr>
            <w:r w:rsidRPr="00DB1AEE">
              <w:rPr>
                <w:sz w:val="18"/>
                <w:szCs w:val="18"/>
                <w:u w:val="single"/>
              </w:rPr>
              <w:t>See Section 9.4.1.2.</w:t>
            </w:r>
          </w:p>
        </w:tc>
        <w:tc>
          <w:tcPr>
            <w:tcW w:w="0" w:type="auto"/>
            <w:shd w:val="clear" w:color="000000" w:fill="FFFFFF"/>
            <w:noWrap/>
            <w:vAlign w:val="center"/>
            <w:hideMark/>
          </w:tcPr>
          <w:p w14:paraId="20EEA35C" w14:textId="77777777" w:rsidR="00DB1AEE" w:rsidRPr="00DB1AEE" w:rsidRDefault="00DB1AEE" w:rsidP="00DB1AEE">
            <w:pPr>
              <w:suppressAutoHyphens/>
              <w:jc w:val="center"/>
              <w:rPr>
                <w:sz w:val="18"/>
                <w:szCs w:val="18"/>
                <w:u w:val="single"/>
              </w:rPr>
            </w:pPr>
          </w:p>
        </w:tc>
        <w:tc>
          <w:tcPr>
            <w:tcW w:w="0" w:type="auto"/>
            <w:shd w:val="clear" w:color="000000" w:fill="FFFFFF"/>
            <w:noWrap/>
            <w:vAlign w:val="center"/>
            <w:hideMark/>
          </w:tcPr>
          <w:p w14:paraId="7DFDCAE6" w14:textId="77777777" w:rsidR="00DB1AEE" w:rsidRPr="00DB1AEE" w:rsidRDefault="00DB1AEE" w:rsidP="00DB1AEE">
            <w:pPr>
              <w:suppressAutoHyphens/>
              <w:jc w:val="center"/>
              <w:rPr>
                <w:sz w:val="18"/>
                <w:szCs w:val="18"/>
                <w:u w:val="single"/>
              </w:rPr>
            </w:pPr>
          </w:p>
        </w:tc>
        <w:tc>
          <w:tcPr>
            <w:tcW w:w="0" w:type="auto"/>
            <w:shd w:val="clear" w:color="000000" w:fill="FFFFFF"/>
            <w:noWrap/>
            <w:vAlign w:val="center"/>
            <w:hideMark/>
          </w:tcPr>
          <w:p w14:paraId="0C5DC887" w14:textId="77777777" w:rsidR="00DB1AEE" w:rsidRPr="00DB1AEE" w:rsidRDefault="00DB1AEE" w:rsidP="00DB1AEE">
            <w:pPr>
              <w:suppressAutoHyphens/>
              <w:jc w:val="center"/>
              <w:rPr>
                <w:sz w:val="18"/>
                <w:szCs w:val="18"/>
                <w:u w:val="single"/>
              </w:rPr>
            </w:pPr>
          </w:p>
        </w:tc>
        <w:tc>
          <w:tcPr>
            <w:tcW w:w="0" w:type="auto"/>
            <w:shd w:val="clear" w:color="000000" w:fill="FFFFFF"/>
            <w:noWrap/>
            <w:vAlign w:val="center"/>
            <w:hideMark/>
          </w:tcPr>
          <w:p w14:paraId="04E296F9" w14:textId="77777777" w:rsidR="00DB1AEE" w:rsidRPr="00DB1AEE" w:rsidRDefault="00DB1AEE" w:rsidP="00DB1AEE">
            <w:pPr>
              <w:suppressAutoHyphens/>
              <w:jc w:val="center"/>
              <w:rPr>
                <w:sz w:val="18"/>
                <w:szCs w:val="18"/>
                <w:u w:val="single"/>
              </w:rPr>
            </w:pPr>
          </w:p>
        </w:tc>
        <w:tc>
          <w:tcPr>
            <w:tcW w:w="0" w:type="auto"/>
            <w:shd w:val="clear" w:color="000000" w:fill="FFFFFF"/>
            <w:noWrap/>
            <w:vAlign w:val="center"/>
            <w:hideMark/>
          </w:tcPr>
          <w:p w14:paraId="03C67D37" w14:textId="77777777" w:rsidR="00DB1AEE" w:rsidRPr="00DB1AEE" w:rsidRDefault="00DB1AEE" w:rsidP="00DB1AEE">
            <w:pPr>
              <w:suppressAutoHyphens/>
              <w:jc w:val="center"/>
              <w:rPr>
                <w:sz w:val="18"/>
                <w:szCs w:val="18"/>
                <w:u w:val="single"/>
              </w:rPr>
            </w:pPr>
          </w:p>
        </w:tc>
      </w:tr>
      <w:tr w:rsidR="00DB1AEE" w:rsidRPr="00DB1AEE" w14:paraId="6391BE25" w14:textId="77777777" w:rsidTr="00FC1832">
        <w:trPr>
          <w:trHeight w:val="255"/>
          <w:jc w:val="center"/>
        </w:trPr>
        <w:tc>
          <w:tcPr>
            <w:tcW w:w="0" w:type="auto"/>
            <w:shd w:val="clear" w:color="000000" w:fill="FFFFFF"/>
            <w:vAlign w:val="center"/>
            <w:hideMark/>
          </w:tcPr>
          <w:p w14:paraId="539AF56A" w14:textId="77777777" w:rsidR="00DB1AEE" w:rsidRPr="00DB1AEE" w:rsidRDefault="00DB1AEE" w:rsidP="00DB1AEE">
            <w:pPr>
              <w:suppressAutoHyphens/>
              <w:jc w:val="center"/>
              <w:rPr>
                <w:sz w:val="18"/>
                <w:szCs w:val="18"/>
                <w:u w:val="single"/>
              </w:rPr>
            </w:pPr>
            <w:r w:rsidRPr="00DB1AEE">
              <w:rPr>
                <w:sz w:val="18"/>
                <w:szCs w:val="18"/>
                <w:u w:val="single"/>
              </w:rPr>
              <w:t>Pharmacy Area</w:t>
            </w:r>
          </w:p>
        </w:tc>
        <w:tc>
          <w:tcPr>
            <w:tcW w:w="0" w:type="auto"/>
            <w:gridSpan w:val="2"/>
            <w:shd w:val="clear" w:color="000000" w:fill="FFFFFF"/>
            <w:noWrap/>
            <w:vAlign w:val="center"/>
            <w:hideMark/>
          </w:tcPr>
          <w:p w14:paraId="7AC5C0A4" w14:textId="77777777" w:rsidR="00DB1AEE" w:rsidRPr="00DB1AEE" w:rsidRDefault="00DB1AEE" w:rsidP="00DB1AEE">
            <w:pPr>
              <w:suppressAutoHyphens/>
              <w:jc w:val="center"/>
              <w:rPr>
                <w:sz w:val="18"/>
                <w:szCs w:val="18"/>
                <w:u w:val="single"/>
              </w:rPr>
            </w:pPr>
            <w:r w:rsidRPr="00DB1AEE">
              <w:rPr>
                <w:sz w:val="18"/>
                <w:szCs w:val="18"/>
                <w:u w:val="single"/>
              </w:rPr>
              <w:t>1.23</w:t>
            </w:r>
          </w:p>
        </w:tc>
        <w:tc>
          <w:tcPr>
            <w:tcW w:w="0" w:type="auto"/>
            <w:shd w:val="clear" w:color="000000" w:fill="FFFFFF"/>
            <w:noWrap/>
            <w:vAlign w:val="center"/>
            <w:hideMark/>
          </w:tcPr>
          <w:p w14:paraId="0F7C4B51" w14:textId="77777777" w:rsidR="00DB1AEE" w:rsidRPr="00DB1AEE" w:rsidRDefault="00DB1AEE" w:rsidP="00DB1AEE">
            <w:pPr>
              <w:suppressAutoHyphens/>
              <w:jc w:val="center"/>
              <w:rPr>
                <w:sz w:val="18"/>
                <w:szCs w:val="18"/>
                <w:u w:val="single"/>
              </w:rPr>
            </w:pPr>
            <w:r w:rsidRPr="00DB1AEE">
              <w:rPr>
                <w:sz w:val="18"/>
                <w:szCs w:val="18"/>
                <w:u w:val="single"/>
              </w:rPr>
              <w:t>6</w:t>
            </w:r>
          </w:p>
        </w:tc>
        <w:tc>
          <w:tcPr>
            <w:tcW w:w="0" w:type="auto"/>
            <w:shd w:val="clear" w:color="000000" w:fill="FFFFFF"/>
            <w:vAlign w:val="center"/>
            <w:hideMark/>
          </w:tcPr>
          <w:p w14:paraId="2E622018"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0575FF01"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0" w:type="auto"/>
            <w:shd w:val="clear" w:color="000000" w:fill="FFFFFF"/>
            <w:vAlign w:val="center"/>
            <w:hideMark/>
          </w:tcPr>
          <w:p w14:paraId="1AC48B61"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0" w:type="auto"/>
            <w:shd w:val="clear" w:color="000000" w:fill="FFFFFF"/>
            <w:vAlign w:val="center"/>
            <w:hideMark/>
          </w:tcPr>
          <w:p w14:paraId="0123BCB1"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530A8B78"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56956B23"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3D3BFC46"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4149EC1C" w14:textId="77777777" w:rsidR="00DB1AEE" w:rsidRPr="00DB1AEE" w:rsidRDefault="00DB1AEE" w:rsidP="00DB1AEE">
            <w:pPr>
              <w:suppressAutoHyphens/>
              <w:jc w:val="center"/>
              <w:rPr>
                <w:sz w:val="18"/>
                <w:szCs w:val="18"/>
                <w:u w:val="single"/>
              </w:rPr>
            </w:pPr>
            <w:r w:rsidRPr="00DB1AEE">
              <w:rPr>
                <w:sz w:val="18"/>
                <w:szCs w:val="18"/>
                <w:u w:val="single"/>
              </w:rPr>
              <w:t>ADD2</w:t>
            </w:r>
          </w:p>
        </w:tc>
        <w:tc>
          <w:tcPr>
            <w:tcW w:w="0" w:type="auto"/>
            <w:shd w:val="clear" w:color="000000" w:fill="FFFFFF"/>
            <w:vAlign w:val="center"/>
            <w:hideMark/>
          </w:tcPr>
          <w:p w14:paraId="4BF3D07A" w14:textId="77777777" w:rsidR="00DB1AEE" w:rsidRPr="00DB1AEE" w:rsidRDefault="00DB1AEE" w:rsidP="00DB1AEE">
            <w:pPr>
              <w:suppressAutoHyphens/>
              <w:jc w:val="center"/>
              <w:rPr>
                <w:sz w:val="18"/>
                <w:szCs w:val="18"/>
                <w:u w:val="single"/>
              </w:rPr>
            </w:pPr>
            <w:r w:rsidRPr="00DB1AEE">
              <w:rPr>
                <w:sz w:val="18"/>
                <w:szCs w:val="18"/>
                <w:u w:val="single"/>
              </w:rPr>
              <w:t>ADD2</w:t>
            </w:r>
          </w:p>
        </w:tc>
      </w:tr>
      <w:tr w:rsidR="00DB1AEE" w:rsidRPr="00DB1AEE" w14:paraId="05B76C04" w14:textId="77777777" w:rsidTr="00FC1832">
        <w:trPr>
          <w:trHeight w:val="255"/>
          <w:jc w:val="center"/>
        </w:trPr>
        <w:tc>
          <w:tcPr>
            <w:tcW w:w="0" w:type="auto"/>
            <w:shd w:val="clear" w:color="000000" w:fill="FFFFFF"/>
            <w:vAlign w:val="center"/>
            <w:hideMark/>
          </w:tcPr>
          <w:p w14:paraId="69388BDF" w14:textId="77777777" w:rsidR="00DB1AEE" w:rsidRPr="00DB1AEE" w:rsidRDefault="00DB1AEE" w:rsidP="00DB1AEE">
            <w:pPr>
              <w:suppressAutoHyphens/>
              <w:jc w:val="center"/>
              <w:rPr>
                <w:sz w:val="18"/>
                <w:szCs w:val="18"/>
                <w:u w:val="single"/>
              </w:rPr>
            </w:pPr>
            <w:r w:rsidRPr="00DB1AEE">
              <w:rPr>
                <w:sz w:val="18"/>
                <w:szCs w:val="18"/>
                <w:u w:val="single"/>
              </w:rPr>
              <w:t>Restroom</w:t>
            </w:r>
            <w:r w:rsidRPr="00DB1AEE">
              <w:rPr>
                <w:strike/>
                <w:sz w:val="18"/>
                <w:szCs w:val="18"/>
                <w:u w:val="single"/>
              </w:rPr>
              <w:t>s</w:t>
            </w:r>
          </w:p>
        </w:tc>
        <w:tc>
          <w:tcPr>
            <w:tcW w:w="0" w:type="auto"/>
            <w:gridSpan w:val="2"/>
            <w:shd w:val="clear" w:color="000000" w:fill="FFFFFF"/>
            <w:noWrap/>
            <w:vAlign w:val="center"/>
            <w:hideMark/>
          </w:tcPr>
          <w:p w14:paraId="395AE292" w14:textId="77777777" w:rsidR="00DB1AEE" w:rsidRPr="00DB1AEE" w:rsidRDefault="00DB1AEE" w:rsidP="00DB1AEE">
            <w:pPr>
              <w:suppressAutoHyphens/>
              <w:jc w:val="center"/>
              <w:rPr>
                <w:sz w:val="18"/>
                <w:szCs w:val="18"/>
                <w:u w:val="single"/>
              </w:rPr>
            </w:pPr>
            <w:r w:rsidRPr="00DB1AEE">
              <w:rPr>
                <w:sz w:val="18"/>
                <w:szCs w:val="18"/>
                <w:u w:val="single"/>
              </w:rPr>
              <w:t>0.74</w:t>
            </w:r>
          </w:p>
        </w:tc>
        <w:tc>
          <w:tcPr>
            <w:tcW w:w="0" w:type="auto"/>
            <w:shd w:val="clear" w:color="000000" w:fill="FFFFFF"/>
            <w:noWrap/>
            <w:vAlign w:val="center"/>
            <w:hideMark/>
          </w:tcPr>
          <w:p w14:paraId="6EB2DED7" w14:textId="77777777" w:rsidR="00DB1AEE" w:rsidRPr="00DB1AEE" w:rsidRDefault="00DB1AEE" w:rsidP="00DB1AEE">
            <w:pPr>
              <w:suppressAutoHyphens/>
              <w:jc w:val="center"/>
              <w:rPr>
                <w:sz w:val="18"/>
                <w:szCs w:val="18"/>
                <w:u w:val="single"/>
              </w:rPr>
            </w:pPr>
            <w:r w:rsidRPr="00DB1AEE">
              <w:rPr>
                <w:sz w:val="18"/>
                <w:szCs w:val="18"/>
                <w:u w:val="single"/>
              </w:rPr>
              <w:t>8</w:t>
            </w:r>
          </w:p>
        </w:tc>
        <w:tc>
          <w:tcPr>
            <w:tcW w:w="0" w:type="auto"/>
            <w:shd w:val="clear" w:color="000000" w:fill="FFFFFF"/>
            <w:vAlign w:val="center"/>
            <w:hideMark/>
          </w:tcPr>
          <w:p w14:paraId="5F1BDC35"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4ADBD211"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0" w:type="auto"/>
            <w:shd w:val="clear" w:color="000000" w:fill="FFFFFF"/>
            <w:vAlign w:val="center"/>
            <w:hideMark/>
          </w:tcPr>
          <w:p w14:paraId="6E16B6D5"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0" w:type="auto"/>
            <w:shd w:val="clear" w:color="000000" w:fill="FFFFFF"/>
            <w:vAlign w:val="center"/>
            <w:hideMark/>
          </w:tcPr>
          <w:p w14:paraId="7870EF5A"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1F9B5824"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25912E14"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4DA1764E"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46445B4A"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476EEE43" w14:textId="77777777" w:rsidR="00DB1AEE" w:rsidRPr="00DB1AEE" w:rsidRDefault="00DB1AEE" w:rsidP="00DB1AEE">
            <w:pPr>
              <w:suppressAutoHyphens/>
              <w:jc w:val="center"/>
              <w:rPr>
                <w:sz w:val="18"/>
                <w:szCs w:val="18"/>
                <w:u w:val="single"/>
              </w:rPr>
            </w:pPr>
          </w:p>
        </w:tc>
      </w:tr>
      <w:tr w:rsidR="00DB1AEE" w:rsidRPr="00DB1AEE" w14:paraId="1C260BD3" w14:textId="77777777" w:rsidTr="00FC1832">
        <w:trPr>
          <w:trHeight w:val="480"/>
          <w:jc w:val="center"/>
        </w:trPr>
        <w:tc>
          <w:tcPr>
            <w:tcW w:w="0" w:type="auto"/>
            <w:shd w:val="clear" w:color="000000" w:fill="FFFFFF"/>
            <w:vAlign w:val="center"/>
            <w:hideMark/>
          </w:tcPr>
          <w:p w14:paraId="68B7899A" w14:textId="77777777" w:rsidR="00DB1AEE" w:rsidRPr="00DB1AEE" w:rsidRDefault="00DB1AEE" w:rsidP="00DB1AEE">
            <w:pPr>
              <w:suppressAutoHyphens/>
              <w:jc w:val="center"/>
              <w:rPr>
                <w:sz w:val="18"/>
                <w:szCs w:val="18"/>
                <w:u w:val="single"/>
              </w:rPr>
            </w:pPr>
            <w:r w:rsidRPr="00DB1AEE">
              <w:rPr>
                <w:sz w:val="18"/>
                <w:szCs w:val="18"/>
                <w:u w:val="single"/>
              </w:rPr>
              <w:t>Sales Area</w:t>
            </w:r>
            <w:r w:rsidRPr="00DB1AEE">
              <w:rPr>
                <w:strike/>
                <w:sz w:val="18"/>
                <w:szCs w:val="18"/>
                <w:u w:val="single"/>
                <w:vertAlign w:val="superscript"/>
              </w:rPr>
              <w:t>4</w:t>
            </w:r>
            <w:r w:rsidRPr="00DB1AEE">
              <w:rPr>
                <w:sz w:val="18"/>
                <w:szCs w:val="18"/>
                <w:u w:val="single"/>
                <w:vertAlign w:val="superscript"/>
              </w:rPr>
              <w:t xml:space="preserve"> </w:t>
            </w:r>
            <w:r w:rsidRPr="00DB1AEE">
              <w:rPr>
                <w:sz w:val="18"/>
                <w:szCs w:val="18"/>
                <w:u w:val="single"/>
              </w:rPr>
              <w:t>(For accent lighting, see Section 9.5.2.2[b].)</w:t>
            </w:r>
          </w:p>
        </w:tc>
        <w:tc>
          <w:tcPr>
            <w:tcW w:w="0" w:type="auto"/>
            <w:gridSpan w:val="2"/>
            <w:shd w:val="clear" w:color="000000" w:fill="FFFFFF"/>
            <w:noWrap/>
            <w:vAlign w:val="center"/>
            <w:hideMark/>
          </w:tcPr>
          <w:p w14:paraId="6426C2F8" w14:textId="77777777" w:rsidR="00DB1AEE" w:rsidRPr="00DB1AEE" w:rsidRDefault="00DB1AEE" w:rsidP="00DB1AEE">
            <w:pPr>
              <w:suppressAutoHyphens/>
              <w:jc w:val="center"/>
              <w:rPr>
                <w:sz w:val="18"/>
                <w:szCs w:val="18"/>
                <w:u w:val="single"/>
              </w:rPr>
            </w:pPr>
            <w:r w:rsidRPr="00DB1AEE">
              <w:rPr>
                <w:sz w:val="18"/>
                <w:szCs w:val="18"/>
                <w:u w:val="single"/>
              </w:rPr>
              <w:t>0.85</w:t>
            </w:r>
          </w:p>
        </w:tc>
        <w:tc>
          <w:tcPr>
            <w:tcW w:w="0" w:type="auto"/>
            <w:shd w:val="clear" w:color="000000" w:fill="FFFFFF"/>
            <w:noWrap/>
            <w:vAlign w:val="center"/>
            <w:hideMark/>
          </w:tcPr>
          <w:p w14:paraId="3E127EC2" w14:textId="77777777" w:rsidR="00DB1AEE" w:rsidRPr="00DB1AEE" w:rsidRDefault="00DB1AEE" w:rsidP="00DB1AEE">
            <w:pPr>
              <w:suppressAutoHyphens/>
              <w:jc w:val="center"/>
              <w:rPr>
                <w:sz w:val="18"/>
                <w:szCs w:val="18"/>
                <w:u w:val="single"/>
              </w:rPr>
            </w:pPr>
            <w:r w:rsidRPr="00DB1AEE">
              <w:rPr>
                <w:sz w:val="18"/>
                <w:szCs w:val="18"/>
                <w:u w:val="single"/>
              </w:rPr>
              <w:t>6</w:t>
            </w:r>
          </w:p>
        </w:tc>
        <w:tc>
          <w:tcPr>
            <w:tcW w:w="0" w:type="auto"/>
            <w:shd w:val="clear" w:color="000000" w:fill="FFFFFF"/>
            <w:vAlign w:val="center"/>
            <w:hideMark/>
          </w:tcPr>
          <w:p w14:paraId="6695AA12"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16AA6D54"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0" w:type="auto"/>
            <w:shd w:val="clear" w:color="000000" w:fill="FFFFFF"/>
            <w:vAlign w:val="center"/>
            <w:hideMark/>
          </w:tcPr>
          <w:p w14:paraId="2330DB80"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0" w:type="auto"/>
            <w:shd w:val="clear" w:color="000000" w:fill="FFFFFF"/>
            <w:vAlign w:val="center"/>
            <w:hideMark/>
          </w:tcPr>
          <w:p w14:paraId="246188E1"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4CCCEF3D"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6D02C648"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1E7DB12B"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57027F95" w14:textId="77777777" w:rsidR="00DB1AEE" w:rsidRPr="00DB1AEE" w:rsidRDefault="00DB1AEE" w:rsidP="00DB1AEE">
            <w:pPr>
              <w:suppressAutoHyphens/>
              <w:jc w:val="center"/>
              <w:rPr>
                <w:sz w:val="18"/>
                <w:szCs w:val="18"/>
                <w:u w:val="single"/>
              </w:rPr>
            </w:pPr>
            <w:r w:rsidRPr="00DB1AEE">
              <w:rPr>
                <w:sz w:val="18"/>
                <w:szCs w:val="18"/>
                <w:u w:val="single"/>
              </w:rPr>
              <w:t>ADD2</w:t>
            </w:r>
          </w:p>
        </w:tc>
        <w:tc>
          <w:tcPr>
            <w:tcW w:w="0" w:type="auto"/>
            <w:shd w:val="clear" w:color="000000" w:fill="FFFFFF"/>
            <w:vAlign w:val="center"/>
            <w:hideMark/>
          </w:tcPr>
          <w:p w14:paraId="15E5637A" w14:textId="77777777" w:rsidR="00DB1AEE" w:rsidRPr="00DB1AEE" w:rsidRDefault="00DB1AEE" w:rsidP="00DB1AEE">
            <w:pPr>
              <w:suppressAutoHyphens/>
              <w:jc w:val="center"/>
              <w:rPr>
                <w:sz w:val="18"/>
                <w:szCs w:val="18"/>
                <w:u w:val="single"/>
              </w:rPr>
            </w:pPr>
            <w:r w:rsidRPr="00DB1AEE">
              <w:rPr>
                <w:sz w:val="18"/>
                <w:szCs w:val="18"/>
                <w:u w:val="single"/>
              </w:rPr>
              <w:t>ADD2</w:t>
            </w:r>
          </w:p>
        </w:tc>
      </w:tr>
      <w:tr w:rsidR="00DB1AEE" w:rsidRPr="00DB1AEE" w14:paraId="10CDDD5F" w14:textId="77777777" w:rsidTr="00FC1832">
        <w:trPr>
          <w:trHeight w:val="255"/>
          <w:jc w:val="center"/>
        </w:trPr>
        <w:tc>
          <w:tcPr>
            <w:tcW w:w="0" w:type="auto"/>
            <w:shd w:val="clear" w:color="000000" w:fill="FFFFFF"/>
            <w:vAlign w:val="center"/>
            <w:hideMark/>
          </w:tcPr>
          <w:p w14:paraId="7AA06295" w14:textId="77777777" w:rsidR="00DB1AEE" w:rsidRPr="00DB1AEE" w:rsidRDefault="00DB1AEE" w:rsidP="00DB1AEE">
            <w:pPr>
              <w:suppressAutoHyphens/>
              <w:jc w:val="center"/>
              <w:rPr>
                <w:sz w:val="18"/>
                <w:szCs w:val="18"/>
                <w:u w:val="single"/>
              </w:rPr>
            </w:pPr>
            <w:r w:rsidRPr="00DB1AEE">
              <w:rPr>
                <w:sz w:val="18"/>
                <w:szCs w:val="18"/>
                <w:u w:val="single"/>
              </w:rPr>
              <w:t>Seating Area, General</w:t>
            </w:r>
          </w:p>
        </w:tc>
        <w:tc>
          <w:tcPr>
            <w:tcW w:w="0" w:type="auto"/>
            <w:gridSpan w:val="2"/>
            <w:shd w:val="clear" w:color="000000" w:fill="FFFFFF"/>
            <w:noWrap/>
            <w:vAlign w:val="center"/>
            <w:hideMark/>
          </w:tcPr>
          <w:p w14:paraId="75F2F286" w14:textId="77777777" w:rsidR="00DB1AEE" w:rsidRPr="00DB1AEE" w:rsidRDefault="00DB1AEE" w:rsidP="00DB1AEE">
            <w:pPr>
              <w:suppressAutoHyphens/>
              <w:jc w:val="center"/>
              <w:rPr>
                <w:sz w:val="18"/>
                <w:szCs w:val="18"/>
                <w:u w:val="single"/>
              </w:rPr>
            </w:pPr>
            <w:r w:rsidRPr="00DB1AEE">
              <w:rPr>
                <w:sz w:val="18"/>
                <w:szCs w:val="18"/>
                <w:u w:val="single"/>
              </w:rPr>
              <w:t>0.21</w:t>
            </w:r>
          </w:p>
        </w:tc>
        <w:tc>
          <w:tcPr>
            <w:tcW w:w="0" w:type="auto"/>
            <w:shd w:val="clear" w:color="000000" w:fill="FFFFFF"/>
            <w:noWrap/>
            <w:vAlign w:val="center"/>
            <w:hideMark/>
          </w:tcPr>
          <w:p w14:paraId="044EFD63" w14:textId="77777777" w:rsidR="00DB1AEE" w:rsidRPr="00DB1AEE" w:rsidRDefault="00DB1AEE" w:rsidP="00DB1AEE">
            <w:pPr>
              <w:suppressAutoHyphens/>
              <w:jc w:val="center"/>
              <w:rPr>
                <w:sz w:val="18"/>
                <w:szCs w:val="18"/>
                <w:u w:val="single"/>
              </w:rPr>
            </w:pPr>
            <w:r w:rsidRPr="00DB1AEE">
              <w:rPr>
                <w:sz w:val="18"/>
                <w:szCs w:val="18"/>
                <w:u w:val="single"/>
              </w:rPr>
              <w:t>4</w:t>
            </w:r>
          </w:p>
        </w:tc>
        <w:tc>
          <w:tcPr>
            <w:tcW w:w="0" w:type="auto"/>
            <w:shd w:val="clear" w:color="000000" w:fill="FFFFFF"/>
            <w:vAlign w:val="center"/>
            <w:hideMark/>
          </w:tcPr>
          <w:p w14:paraId="655B786F"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01282061"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0" w:type="auto"/>
            <w:shd w:val="clear" w:color="000000" w:fill="FFFFFF"/>
            <w:vAlign w:val="center"/>
            <w:hideMark/>
          </w:tcPr>
          <w:p w14:paraId="7B6EEBD9"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0" w:type="auto"/>
            <w:shd w:val="clear" w:color="000000" w:fill="FFFFFF"/>
            <w:vAlign w:val="center"/>
            <w:hideMark/>
          </w:tcPr>
          <w:p w14:paraId="695AD007"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5BEB8D02"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768D7837"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2C49C4CD"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250FB8D4" w14:textId="77777777" w:rsidR="00DB1AEE" w:rsidRPr="00DB1AEE" w:rsidRDefault="00DB1AEE" w:rsidP="00DB1AEE">
            <w:pPr>
              <w:suppressAutoHyphens/>
              <w:jc w:val="center"/>
              <w:rPr>
                <w:sz w:val="18"/>
                <w:szCs w:val="18"/>
                <w:u w:val="single"/>
              </w:rPr>
            </w:pPr>
            <w:r w:rsidRPr="00DB1AEE">
              <w:rPr>
                <w:sz w:val="18"/>
                <w:szCs w:val="18"/>
                <w:u w:val="single"/>
              </w:rPr>
              <w:t>ADD2</w:t>
            </w:r>
          </w:p>
        </w:tc>
        <w:tc>
          <w:tcPr>
            <w:tcW w:w="0" w:type="auto"/>
            <w:shd w:val="clear" w:color="000000" w:fill="FFFFFF"/>
            <w:vAlign w:val="center"/>
            <w:hideMark/>
          </w:tcPr>
          <w:p w14:paraId="67325403" w14:textId="77777777" w:rsidR="00DB1AEE" w:rsidRPr="00DB1AEE" w:rsidRDefault="00DB1AEE" w:rsidP="00DB1AEE">
            <w:pPr>
              <w:suppressAutoHyphens/>
              <w:jc w:val="center"/>
              <w:rPr>
                <w:sz w:val="18"/>
                <w:szCs w:val="18"/>
                <w:u w:val="single"/>
              </w:rPr>
            </w:pPr>
            <w:r w:rsidRPr="00DB1AEE">
              <w:rPr>
                <w:sz w:val="18"/>
                <w:szCs w:val="18"/>
                <w:u w:val="single"/>
              </w:rPr>
              <w:t>ADD2</w:t>
            </w:r>
          </w:p>
        </w:tc>
      </w:tr>
      <w:tr w:rsidR="00DB1AEE" w:rsidRPr="00DB1AEE" w14:paraId="419BE87B" w14:textId="77777777" w:rsidTr="00FC1832">
        <w:trPr>
          <w:trHeight w:val="255"/>
          <w:jc w:val="center"/>
        </w:trPr>
        <w:tc>
          <w:tcPr>
            <w:tcW w:w="0" w:type="auto"/>
            <w:shd w:val="clear" w:color="000000" w:fill="FFFFFF"/>
            <w:vAlign w:val="center"/>
            <w:hideMark/>
          </w:tcPr>
          <w:p w14:paraId="44B236AA" w14:textId="77777777" w:rsidR="00DB1AEE" w:rsidRPr="00DB1AEE" w:rsidRDefault="00DB1AEE" w:rsidP="00DB1AEE">
            <w:pPr>
              <w:suppressAutoHyphens/>
              <w:jc w:val="center"/>
              <w:rPr>
                <w:sz w:val="18"/>
                <w:szCs w:val="18"/>
                <w:u w:val="single"/>
              </w:rPr>
            </w:pPr>
            <w:r w:rsidRPr="00DB1AEE">
              <w:rPr>
                <w:b/>
                <w:bCs/>
                <w:sz w:val="18"/>
                <w:szCs w:val="18"/>
                <w:u w:val="single"/>
              </w:rPr>
              <w:t>Security Screening</w:t>
            </w:r>
          </w:p>
        </w:tc>
        <w:tc>
          <w:tcPr>
            <w:tcW w:w="0" w:type="auto"/>
            <w:shd w:val="clear" w:color="000000" w:fill="FFFFFF"/>
            <w:noWrap/>
            <w:vAlign w:val="center"/>
            <w:hideMark/>
          </w:tcPr>
          <w:p w14:paraId="03E7F798"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751241E8" w14:textId="77777777" w:rsidR="00DB1AEE" w:rsidRPr="00DB1AEE" w:rsidRDefault="00DB1AEE" w:rsidP="00DB1AEE">
            <w:pPr>
              <w:suppressAutoHyphens/>
              <w:jc w:val="center"/>
              <w:rPr>
                <w:sz w:val="18"/>
                <w:szCs w:val="18"/>
                <w:u w:val="single"/>
              </w:rPr>
            </w:pPr>
          </w:p>
        </w:tc>
        <w:tc>
          <w:tcPr>
            <w:tcW w:w="0" w:type="auto"/>
            <w:shd w:val="clear" w:color="000000" w:fill="FFFFFF"/>
            <w:noWrap/>
            <w:vAlign w:val="center"/>
            <w:hideMark/>
          </w:tcPr>
          <w:p w14:paraId="58774A41"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73688BE2"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0CCB4900"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6DBC4E0D"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6C0B4CBE"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088C1754"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0167A033"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7F797E38"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72EC254D"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685FE332" w14:textId="77777777" w:rsidR="00DB1AEE" w:rsidRPr="00DB1AEE" w:rsidRDefault="00DB1AEE" w:rsidP="00DB1AEE">
            <w:pPr>
              <w:suppressAutoHyphens/>
              <w:jc w:val="center"/>
              <w:rPr>
                <w:sz w:val="18"/>
                <w:szCs w:val="18"/>
                <w:u w:val="single"/>
              </w:rPr>
            </w:pPr>
          </w:p>
        </w:tc>
      </w:tr>
      <w:tr w:rsidR="00DB1AEE" w:rsidRPr="00DB1AEE" w14:paraId="66312412" w14:textId="77777777" w:rsidTr="00FC1832">
        <w:trPr>
          <w:trHeight w:val="255"/>
          <w:jc w:val="center"/>
        </w:trPr>
        <w:tc>
          <w:tcPr>
            <w:tcW w:w="0" w:type="auto"/>
            <w:shd w:val="clear" w:color="000000" w:fill="FFFFFF"/>
            <w:vAlign w:val="center"/>
            <w:hideMark/>
          </w:tcPr>
          <w:p w14:paraId="15327F11" w14:textId="77777777" w:rsidR="00DB1AEE" w:rsidRPr="00DB1AEE" w:rsidRDefault="00DB1AEE" w:rsidP="00DB1AEE">
            <w:pPr>
              <w:suppressAutoHyphens/>
              <w:jc w:val="center"/>
              <w:rPr>
                <w:sz w:val="18"/>
                <w:szCs w:val="18"/>
                <w:u w:val="single"/>
              </w:rPr>
            </w:pPr>
            <w:r w:rsidRPr="00DB1AEE">
              <w:rPr>
                <w:sz w:val="18"/>
                <w:szCs w:val="18"/>
                <w:u w:val="single"/>
              </w:rPr>
              <w:t>Airport bus ship train transportation screening</w:t>
            </w:r>
          </w:p>
        </w:tc>
        <w:tc>
          <w:tcPr>
            <w:tcW w:w="0" w:type="auto"/>
            <w:gridSpan w:val="2"/>
            <w:shd w:val="clear" w:color="000000" w:fill="FFFFFF"/>
            <w:noWrap/>
            <w:vAlign w:val="center"/>
            <w:hideMark/>
          </w:tcPr>
          <w:p w14:paraId="4D41747C" w14:textId="77777777" w:rsidR="00DB1AEE" w:rsidRPr="00DB1AEE" w:rsidRDefault="00DB1AEE" w:rsidP="00DB1AEE">
            <w:pPr>
              <w:suppressAutoHyphens/>
              <w:jc w:val="center"/>
              <w:rPr>
                <w:sz w:val="18"/>
                <w:szCs w:val="18"/>
                <w:u w:val="single"/>
              </w:rPr>
            </w:pPr>
            <w:r w:rsidRPr="00DB1AEE">
              <w:rPr>
                <w:sz w:val="18"/>
                <w:szCs w:val="18"/>
                <w:u w:val="single"/>
              </w:rPr>
              <w:t>0.93</w:t>
            </w:r>
          </w:p>
        </w:tc>
        <w:tc>
          <w:tcPr>
            <w:tcW w:w="0" w:type="auto"/>
            <w:shd w:val="clear" w:color="000000" w:fill="FFFFFF"/>
            <w:noWrap/>
            <w:vAlign w:val="center"/>
            <w:hideMark/>
          </w:tcPr>
          <w:p w14:paraId="631E938F" w14:textId="77777777" w:rsidR="00DB1AEE" w:rsidRPr="00DB1AEE" w:rsidRDefault="00DB1AEE" w:rsidP="00DB1AEE">
            <w:pPr>
              <w:suppressAutoHyphens/>
              <w:jc w:val="center"/>
              <w:rPr>
                <w:sz w:val="18"/>
                <w:szCs w:val="18"/>
                <w:u w:val="single"/>
              </w:rPr>
            </w:pPr>
            <w:r w:rsidRPr="00DB1AEE">
              <w:rPr>
                <w:sz w:val="18"/>
                <w:szCs w:val="18"/>
                <w:u w:val="single"/>
              </w:rPr>
              <w:t>6</w:t>
            </w:r>
          </w:p>
        </w:tc>
        <w:tc>
          <w:tcPr>
            <w:tcW w:w="0" w:type="auto"/>
            <w:shd w:val="clear" w:color="000000" w:fill="FFFFFF"/>
            <w:vAlign w:val="center"/>
            <w:hideMark/>
          </w:tcPr>
          <w:p w14:paraId="270FBEF9"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221E311F"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7B4F43DB"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2AEB2158"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196AFF51"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38D191CE"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5AD35B55"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7963C15D" w14:textId="77777777" w:rsidR="00DB1AEE" w:rsidRPr="00DB1AEE" w:rsidRDefault="00DB1AEE" w:rsidP="00DB1AEE">
            <w:pPr>
              <w:suppressAutoHyphens/>
              <w:jc w:val="center"/>
              <w:rPr>
                <w:sz w:val="18"/>
                <w:szCs w:val="18"/>
                <w:u w:val="single"/>
              </w:rPr>
            </w:pPr>
            <w:r w:rsidRPr="00DB1AEE">
              <w:rPr>
                <w:sz w:val="18"/>
                <w:szCs w:val="18"/>
                <w:u w:val="single"/>
              </w:rPr>
              <w:t>ADD2</w:t>
            </w:r>
          </w:p>
        </w:tc>
        <w:tc>
          <w:tcPr>
            <w:tcW w:w="0" w:type="auto"/>
            <w:shd w:val="clear" w:color="000000" w:fill="FFFFFF"/>
            <w:vAlign w:val="center"/>
            <w:hideMark/>
          </w:tcPr>
          <w:p w14:paraId="02FE05CC" w14:textId="77777777" w:rsidR="00DB1AEE" w:rsidRPr="00DB1AEE" w:rsidRDefault="00DB1AEE" w:rsidP="00DB1AEE">
            <w:pPr>
              <w:suppressAutoHyphens/>
              <w:jc w:val="center"/>
              <w:rPr>
                <w:sz w:val="18"/>
                <w:szCs w:val="18"/>
                <w:u w:val="single"/>
              </w:rPr>
            </w:pPr>
          </w:p>
        </w:tc>
      </w:tr>
      <w:tr w:rsidR="00DB1AEE" w:rsidRPr="00DB1AEE" w14:paraId="6561AA8D" w14:textId="77777777" w:rsidTr="00FC1832">
        <w:trPr>
          <w:trHeight w:val="255"/>
          <w:jc w:val="center"/>
        </w:trPr>
        <w:tc>
          <w:tcPr>
            <w:tcW w:w="0" w:type="auto"/>
            <w:shd w:val="clear" w:color="000000" w:fill="FFFFFF"/>
            <w:vAlign w:val="center"/>
            <w:hideMark/>
          </w:tcPr>
          <w:p w14:paraId="0641B2E4" w14:textId="77777777" w:rsidR="00DB1AEE" w:rsidRPr="00DB1AEE" w:rsidRDefault="00DB1AEE" w:rsidP="00DB1AEE">
            <w:pPr>
              <w:suppressAutoHyphens/>
              <w:jc w:val="center"/>
              <w:rPr>
                <w:sz w:val="18"/>
                <w:szCs w:val="18"/>
                <w:u w:val="single"/>
              </w:rPr>
            </w:pPr>
            <w:r w:rsidRPr="00DB1AEE">
              <w:rPr>
                <w:sz w:val="18"/>
                <w:szCs w:val="18"/>
                <w:u w:val="single"/>
              </w:rPr>
              <w:t>Airport bus ship train transportation screening queue</w:t>
            </w:r>
          </w:p>
        </w:tc>
        <w:tc>
          <w:tcPr>
            <w:tcW w:w="0" w:type="auto"/>
            <w:gridSpan w:val="2"/>
            <w:shd w:val="clear" w:color="000000" w:fill="FFFFFF"/>
            <w:noWrap/>
            <w:vAlign w:val="center"/>
            <w:hideMark/>
          </w:tcPr>
          <w:p w14:paraId="217891F9" w14:textId="77777777" w:rsidR="00DB1AEE" w:rsidRPr="00DB1AEE" w:rsidRDefault="00DB1AEE" w:rsidP="00DB1AEE">
            <w:pPr>
              <w:suppressAutoHyphens/>
              <w:jc w:val="center"/>
              <w:rPr>
                <w:sz w:val="18"/>
                <w:szCs w:val="18"/>
                <w:u w:val="single"/>
              </w:rPr>
            </w:pPr>
            <w:r w:rsidRPr="00DB1AEE">
              <w:rPr>
                <w:sz w:val="18"/>
                <w:szCs w:val="18"/>
                <w:u w:val="single"/>
              </w:rPr>
              <w:t>0.56</w:t>
            </w:r>
          </w:p>
        </w:tc>
        <w:tc>
          <w:tcPr>
            <w:tcW w:w="0" w:type="auto"/>
            <w:shd w:val="clear" w:color="000000" w:fill="FFFFFF"/>
            <w:noWrap/>
            <w:vAlign w:val="center"/>
            <w:hideMark/>
          </w:tcPr>
          <w:p w14:paraId="2984B954" w14:textId="77777777" w:rsidR="00DB1AEE" w:rsidRPr="00DB1AEE" w:rsidRDefault="00DB1AEE" w:rsidP="00DB1AEE">
            <w:pPr>
              <w:suppressAutoHyphens/>
              <w:jc w:val="center"/>
              <w:rPr>
                <w:sz w:val="18"/>
                <w:szCs w:val="18"/>
                <w:u w:val="single"/>
              </w:rPr>
            </w:pPr>
            <w:r w:rsidRPr="00DB1AEE">
              <w:rPr>
                <w:sz w:val="18"/>
                <w:szCs w:val="18"/>
                <w:u w:val="single"/>
              </w:rPr>
              <w:t>6</w:t>
            </w:r>
          </w:p>
        </w:tc>
        <w:tc>
          <w:tcPr>
            <w:tcW w:w="0" w:type="auto"/>
            <w:shd w:val="clear" w:color="000000" w:fill="FFFFFF"/>
            <w:vAlign w:val="center"/>
            <w:hideMark/>
          </w:tcPr>
          <w:p w14:paraId="63C68402"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51C33F48"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4A5F7EFA"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4C972425"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5D528BC9"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42C990E2"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49C81966"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1C833C18" w14:textId="77777777" w:rsidR="00DB1AEE" w:rsidRPr="00DB1AEE" w:rsidRDefault="00DB1AEE" w:rsidP="00DB1AEE">
            <w:pPr>
              <w:suppressAutoHyphens/>
              <w:jc w:val="center"/>
              <w:rPr>
                <w:sz w:val="18"/>
                <w:szCs w:val="18"/>
                <w:u w:val="single"/>
              </w:rPr>
            </w:pPr>
            <w:r w:rsidRPr="00DB1AEE">
              <w:rPr>
                <w:sz w:val="18"/>
                <w:szCs w:val="18"/>
                <w:u w:val="single"/>
              </w:rPr>
              <w:t>ADD2</w:t>
            </w:r>
          </w:p>
        </w:tc>
        <w:tc>
          <w:tcPr>
            <w:tcW w:w="0" w:type="auto"/>
            <w:shd w:val="clear" w:color="000000" w:fill="FFFFFF"/>
            <w:vAlign w:val="center"/>
            <w:hideMark/>
          </w:tcPr>
          <w:p w14:paraId="71A5169E" w14:textId="77777777" w:rsidR="00DB1AEE" w:rsidRPr="00DB1AEE" w:rsidRDefault="00DB1AEE" w:rsidP="00DB1AEE">
            <w:pPr>
              <w:suppressAutoHyphens/>
              <w:jc w:val="center"/>
              <w:rPr>
                <w:sz w:val="18"/>
                <w:szCs w:val="18"/>
                <w:u w:val="single"/>
              </w:rPr>
            </w:pPr>
          </w:p>
        </w:tc>
      </w:tr>
      <w:tr w:rsidR="00DB1AEE" w:rsidRPr="00DB1AEE" w14:paraId="4F474962" w14:textId="77777777" w:rsidTr="00FC1832">
        <w:trPr>
          <w:trHeight w:val="269"/>
          <w:jc w:val="center"/>
        </w:trPr>
        <w:tc>
          <w:tcPr>
            <w:tcW w:w="0" w:type="auto"/>
            <w:shd w:val="clear" w:color="000000" w:fill="FFFFFF"/>
            <w:vAlign w:val="center"/>
            <w:hideMark/>
          </w:tcPr>
          <w:p w14:paraId="6ED8C680" w14:textId="77777777" w:rsidR="00DB1AEE" w:rsidRPr="00DB1AEE" w:rsidRDefault="00DB1AEE" w:rsidP="00DB1AEE">
            <w:pPr>
              <w:suppressAutoHyphens/>
              <w:jc w:val="center"/>
              <w:rPr>
                <w:sz w:val="18"/>
                <w:szCs w:val="18"/>
                <w:u w:val="single"/>
              </w:rPr>
            </w:pPr>
            <w:r w:rsidRPr="00DB1AEE">
              <w:rPr>
                <w:sz w:val="18"/>
                <w:szCs w:val="18"/>
                <w:u w:val="single"/>
              </w:rPr>
              <w:t>General security screening</w:t>
            </w:r>
          </w:p>
        </w:tc>
        <w:tc>
          <w:tcPr>
            <w:tcW w:w="0" w:type="auto"/>
            <w:gridSpan w:val="2"/>
            <w:shd w:val="clear" w:color="000000" w:fill="FFFFFF"/>
            <w:noWrap/>
            <w:vAlign w:val="center"/>
            <w:hideMark/>
          </w:tcPr>
          <w:p w14:paraId="0D441031" w14:textId="77777777" w:rsidR="00DB1AEE" w:rsidRPr="00DB1AEE" w:rsidRDefault="00DB1AEE" w:rsidP="00DB1AEE">
            <w:pPr>
              <w:suppressAutoHyphens/>
              <w:jc w:val="center"/>
              <w:rPr>
                <w:sz w:val="18"/>
                <w:szCs w:val="18"/>
                <w:u w:val="single"/>
              </w:rPr>
            </w:pPr>
            <w:r w:rsidRPr="00DB1AEE">
              <w:rPr>
                <w:sz w:val="18"/>
                <w:szCs w:val="18"/>
                <w:u w:val="single"/>
              </w:rPr>
              <w:t>0.64</w:t>
            </w:r>
          </w:p>
        </w:tc>
        <w:tc>
          <w:tcPr>
            <w:tcW w:w="0" w:type="auto"/>
            <w:shd w:val="clear" w:color="000000" w:fill="FFFFFF"/>
            <w:noWrap/>
            <w:vAlign w:val="center"/>
            <w:hideMark/>
          </w:tcPr>
          <w:p w14:paraId="072DECAA" w14:textId="77777777" w:rsidR="00DB1AEE" w:rsidRPr="00DB1AEE" w:rsidRDefault="00DB1AEE" w:rsidP="00DB1AEE">
            <w:pPr>
              <w:suppressAutoHyphens/>
              <w:jc w:val="center"/>
              <w:rPr>
                <w:sz w:val="18"/>
                <w:szCs w:val="18"/>
                <w:u w:val="single"/>
              </w:rPr>
            </w:pPr>
            <w:r w:rsidRPr="00DB1AEE">
              <w:rPr>
                <w:sz w:val="18"/>
                <w:szCs w:val="18"/>
                <w:u w:val="single"/>
              </w:rPr>
              <w:t>6</w:t>
            </w:r>
          </w:p>
        </w:tc>
        <w:tc>
          <w:tcPr>
            <w:tcW w:w="0" w:type="auto"/>
            <w:shd w:val="clear" w:color="000000" w:fill="FFFFFF"/>
            <w:vAlign w:val="center"/>
            <w:hideMark/>
          </w:tcPr>
          <w:p w14:paraId="07DCE677"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40821941"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5A0FAB07"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26211246"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5DC6BC07"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2C284604"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2012C964"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0BC4D52D" w14:textId="77777777" w:rsidR="00DB1AEE" w:rsidRPr="00DB1AEE" w:rsidRDefault="00DB1AEE" w:rsidP="00DB1AEE">
            <w:pPr>
              <w:suppressAutoHyphens/>
              <w:jc w:val="center"/>
              <w:rPr>
                <w:sz w:val="18"/>
                <w:szCs w:val="18"/>
                <w:u w:val="single"/>
              </w:rPr>
            </w:pPr>
            <w:r w:rsidRPr="00DB1AEE">
              <w:rPr>
                <w:sz w:val="18"/>
                <w:szCs w:val="18"/>
                <w:u w:val="single"/>
              </w:rPr>
              <w:t>ADD2</w:t>
            </w:r>
          </w:p>
        </w:tc>
        <w:tc>
          <w:tcPr>
            <w:tcW w:w="0" w:type="auto"/>
            <w:shd w:val="clear" w:color="000000" w:fill="FFFFFF"/>
            <w:vAlign w:val="center"/>
            <w:hideMark/>
          </w:tcPr>
          <w:p w14:paraId="1932DCA4" w14:textId="77777777" w:rsidR="00DB1AEE" w:rsidRPr="00DB1AEE" w:rsidRDefault="00DB1AEE" w:rsidP="00DB1AEE">
            <w:pPr>
              <w:suppressAutoHyphens/>
              <w:jc w:val="center"/>
              <w:rPr>
                <w:sz w:val="18"/>
                <w:szCs w:val="18"/>
                <w:u w:val="single"/>
              </w:rPr>
            </w:pPr>
          </w:p>
        </w:tc>
      </w:tr>
      <w:tr w:rsidR="00DB1AEE" w:rsidRPr="00DB1AEE" w14:paraId="3D9E3927" w14:textId="77777777" w:rsidTr="00FC1832">
        <w:trPr>
          <w:trHeight w:val="255"/>
          <w:jc w:val="center"/>
        </w:trPr>
        <w:tc>
          <w:tcPr>
            <w:tcW w:w="0" w:type="auto"/>
            <w:shd w:val="clear" w:color="000000" w:fill="FFFFFF"/>
            <w:vAlign w:val="center"/>
            <w:hideMark/>
          </w:tcPr>
          <w:p w14:paraId="7CD70B37" w14:textId="77777777" w:rsidR="00DB1AEE" w:rsidRPr="00DB1AEE" w:rsidRDefault="00DB1AEE" w:rsidP="00DB1AEE">
            <w:pPr>
              <w:suppressAutoHyphens/>
              <w:jc w:val="center"/>
              <w:rPr>
                <w:sz w:val="18"/>
                <w:szCs w:val="18"/>
                <w:u w:val="single"/>
              </w:rPr>
            </w:pPr>
            <w:r w:rsidRPr="00DB1AEE">
              <w:rPr>
                <w:sz w:val="18"/>
                <w:szCs w:val="18"/>
                <w:u w:val="single"/>
              </w:rPr>
              <w:t xml:space="preserve">Stairway The </w:t>
            </w:r>
            <w:r w:rsidRPr="00DB1AEE">
              <w:rPr>
                <w:i/>
                <w:iCs/>
                <w:sz w:val="18"/>
                <w:szCs w:val="18"/>
                <w:u w:val="single"/>
              </w:rPr>
              <w:t xml:space="preserve">space </w:t>
            </w:r>
            <w:r w:rsidRPr="00DB1AEE">
              <w:rPr>
                <w:sz w:val="18"/>
                <w:szCs w:val="18"/>
                <w:u w:val="single"/>
              </w:rPr>
              <w:t xml:space="preserve">containing the stairway shall determine the </w:t>
            </w:r>
            <w:r w:rsidRPr="00DB1AEE">
              <w:rPr>
                <w:i/>
                <w:iCs/>
                <w:sz w:val="18"/>
                <w:szCs w:val="18"/>
                <w:u w:val="single"/>
              </w:rPr>
              <w:t xml:space="preserve">LPD </w:t>
            </w:r>
            <w:r w:rsidRPr="00DB1AEE">
              <w:rPr>
                <w:sz w:val="18"/>
                <w:szCs w:val="18"/>
                <w:u w:val="single"/>
              </w:rPr>
              <w:t>and control requirements for the stairway.</w:t>
            </w:r>
          </w:p>
        </w:tc>
        <w:tc>
          <w:tcPr>
            <w:tcW w:w="0" w:type="auto"/>
            <w:gridSpan w:val="2"/>
            <w:shd w:val="clear" w:color="000000" w:fill="FFFFFF"/>
            <w:vAlign w:val="center"/>
            <w:hideMark/>
          </w:tcPr>
          <w:p w14:paraId="60D63C48"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15D38760"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6EFD32F5"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0298CCFB"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3AFC62EB"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7F6BB1E1"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6193F3C8"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03FC20FE"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7A8A61DF"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29D9B1A8"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1F81476F" w14:textId="77777777" w:rsidR="00DB1AEE" w:rsidRPr="00DB1AEE" w:rsidRDefault="00DB1AEE" w:rsidP="00DB1AEE">
            <w:pPr>
              <w:suppressAutoHyphens/>
              <w:jc w:val="center"/>
              <w:rPr>
                <w:sz w:val="18"/>
                <w:szCs w:val="18"/>
                <w:u w:val="single"/>
              </w:rPr>
            </w:pPr>
          </w:p>
        </w:tc>
      </w:tr>
      <w:tr w:rsidR="00DB1AEE" w:rsidRPr="00DB1AEE" w14:paraId="398F3D16" w14:textId="77777777" w:rsidTr="00FC1832">
        <w:trPr>
          <w:trHeight w:val="255"/>
          <w:jc w:val="center"/>
        </w:trPr>
        <w:tc>
          <w:tcPr>
            <w:tcW w:w="0" w:type="auto"/>
            <w:shd w:val="clear" w:color="000000" w:fill="FFFFFF"/>
            <w:vAlign w:val="center"/>
            <w:hideMark/>
          </w:tcPr>
          <w:p w14:paraId="7A03601C" w14:textId="77777777" w:rsidR="00DB1AEE" w:rsidRPr="00DB1AEE" w:rsidRDefault="00DB1AEE" w:rsidP="00DB1AEE">
            <w:pPr>
              <w:suppressAutoHyphens/>
              <w:jc w:val="center"/>
              <w:rPr>
                <w:sz w:val="18"/>
                <w:szCs w:val="18"/>
                <w:u w:val="single"/>
              </w:rPr>
            </w:pPr>
            <w:r w:rsidRPr="00DB1AEE">
              <w:rPr>
                <w:sz w:val="18"/>
                <w:szCs w:val="18"/>
                <w:u w:val="single"/>
              </w:rPr>
              <w:t>Stairwell</w:t>
            </w:r>
          </w:p>
        </w:tc>
        <w:tc>
          <w:tcPr>
            <w:tcW w:w="0" w:type="auto"/>
            <w:gridSpan w:val="2"/>
            <w:shd w:val="clear" w:color="000000" w:fill="FFFFFF"/>
            <w:noWrap/>
            <w:vAlign w:val="center"/>
            <w:hideMark/>
          </w:tcPr>
          <w:p w14:paraId="6E8B154B" w14:textId="77777777" w:rsidR="00DB1AEE" w:rsidRPr="00DB1AEE" w:rsidRDefault="00DB1AEE" w:rsidP="00DB1AEE">
            <w:pPr>
              <w:suppressAutoHyphens/>
              <w:jc w:val="center"/>
              <w:rPr>
                <w:sz w:val="18"/>
                <w:szCs w:val="18"/>
                <w:u w:val="single"/>
              </w:rPr>
            </w:pPr>
            <w:r w:rsidRPr="00DB1AEE">
              <w:rPr>
                <w:sz w:val="18"/>
                <w:szCs w:val="18"/>
                <w:u w:val="single"/>
              </w:rPr>
              <w:t>0.47</w:t>
            </w:r>
          </w:p>
        </w:tc>
        <w:tc>
          <w:tcPr>
            <w:tcW w:w="0" w:type="auto"/>
            <w:shd w:val="clear" w:color="000000" w:fill="FFFFFF"/>
            <w:noWrap/>
            <w:vAlign w:val="center"/>
            <w:hideMark/>
          </w:tcPr>
          <w:p w14:paraId="68BCD9A7" w14:textId="77777777" w:rsidR="00DB1AEE" w:rsidRPr="00DB1AEE" w:rsidRDefault="00DB1AEE" w:rsidP="00DB1AEE">
            <w:pPr>
              <w:suppressAutoHyphens/>
              <w:jc w:val="center"/>
              <w:rPr>
                <w:sz w:val="18"/>
                <w:szCs w:val="18"/>
                <w:u w:val="single"/>
              </w:rPr>
            </w:pPr>
            <w:r w:rsidRPr="00DB1AEE">
              <w:rPr>
                <w:sz w:val="18"/>
                <w:szCs w:val="18"/>
                <w:u w:val="single"/>
              </w:rPr>
              <w:t>10</w:t>
            </w:r>
          </w:p>
        </w:tc>
        <w:tc>
          <w:tcPr>
            <w:tcW w:w="0" w:type="auto"/>
            <w:shd w:val="clear" w:color="000000" w:fill="FFFFFF"/>
            <w:vAlign w:val="center"/>
            <w:hideMark/>
          </w:tcPr>
          <w:p w14:paraId="2FF6BBCD"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278F8309"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47A2C8C2"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4AFCA82C"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59CC76D3"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13F76A80"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15BD6EEB"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1F54EC9D" w14:textId="77777777" w:rsidR="00DB1AEE" w:rsidRPr="00DB1AEE" w:rsidRDefault="00DB1AEE" w:rsidP="00DB1AEE">
            <w:pPr>
              <w:suppressAutoHyphens/>
              <w:jc w:val="center"/>
              <w:rPr>
                <w:sz w:val="18"/>
                <w:szCs w:val="18"/>
                <w:u w:val="single"/>
              </w:rPr>
            </w:pPr>
            <w:r w:rsidRPr="00DB1AEE">
              <w:rPr>
                <w:sz w:val="18"/>
                <w:szCs w:val="18"/>
                <w:u w:val="single"/>
              </w:rPr>
              <w:t>ADD2</w:t>
            </w:r>
          </w:p>
        </w:tc>
        <w:tc>
          <w:tcPr>
            <w:tcW w:w="0" w:type="auto"/>
            <w:shd w:val="clear" w:color="000000" w:fill="FFFFFF"/>
            <w:vAlign w:val="center"/>
            <w:hideMark/>
          </w:tcPr>
          <w:p w14:paraId="18060234" w14:textId="77777777" w:rsidR="00DB1AEE" w:rsidRPr="00DB1AEE" w:rsidRDefault="00DB1AEE" w:rsidP="00DB1AEE">
            <w:pPr>
              <w:suppressAutoHyphens/>
              <w:jc w:val="center"/>
              <w:rPr>
                <w:sz w:val="18"/>
                <w:szCs w:val="18"/>
                <w:u w:val="single"/>
              </w:rPr>
            </w:pPr>
            <w:r w:rsidRPr="00DB1AEE">
              <w:rPr>
                <w:sz w:val="18"/>
                <w:szCs w:val="18"/>
                <w:u w:val="single"/>
              </w:rPr>
              <w:t>ADD2</w:t>
            </w:r>
          </w:p>
        </w:tc>
      </w:tr>
      <w:tr w:rsidR="00DB1AEE" w:rsidRPr="00DB1AEE" w14:paraId="654CC488" w14:textId="77777777" w:rsidTr="00FC1832">
        <w:trPr>
          <w:trHeight w:val="260"/>
          <w:jc w:val="center"/>
        </w:trPr>
        <w:tc>
          <w:tcPr>
            <w:tcW w:w="0" w:type="auto"/>
            <w:shd w:val="clear" w:color="000000" w:fill="FFFFFF"/>
            <w:vAlign w:val="center"/>
            <w:hideMark/>
          </w:tcPr>
          <w:p w14:paraId="472757AC" w14:textId="77777777" w:rsidR="00DB1AEE" w:rsidRPr="00DB1AEE" w:rsidRDefault="00DB1AEE" w:rsidP="00DB1AEE">
            <w:pPr>
              <w:suppressAutoHyphens/>
              <w:jc w:val="center"/>
              <w:rPr>
                <w:sz w:val="18"/>
                <w:szCs w:val="18"/>
                <w:u w:val="single"/>
              </w:rPr>
            </w:pPr>
            <w:r w:rsidRPr="00DB1AEE">
              <w:rPr>
                <w:sz w:val="18"/>
                <w:szCs w:val="18"/>
                <w:u w:val="single"/>
              </w:rPr>
              <w:t>Storage Room</w:t>
            </w:r>
          </w:p>
        </w:tc>
        <w:tc>
          <w:tcPr>
            <w:tcW w:w="0" w:type="auto"/>
            <w:shd w:val="clear" w:color="000000" w:fill="FFFFFF"/>
            <w:vAlign w:val="center"/>
            <w:hideMark/>
          </w:tcPr>
          <w:p w14:paraId="4B5B43CA" w14:textId="77777777" w:rsidR="00DB1AEE" w:rsidRPr="00DB1AEE" w:rsidRDefault="00DB1AEE" w:rsidP="00DB1AEE">
            <w:pPr>
              <w:suppressAutoHyphens/>
              <w:jc w:val="center"/>
              <w:rPr>
                <w:sz w:val="18"/>
                <w:szCs w:val="18"/>
                <w:u w:val="single"/>
              </w:rPr>
            </w:pPr>
          </w:p>
        </w:tc>
        <w:tc>
          <w:tcPr>
            <w:tcW w:w="0" w:type="auto"/>
            <w:shd w:val="clear" w:color="000000" w:fill="FFFFFF"/>
            <w:noWrap/>
            <w:vAlign w:val="center"/>
            <w:hideMark/>
          </w:tcPr>
          <w:p w14:paraId="07448237"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6A4425AF"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5366A322"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238D3328"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7AF05D45"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723714CD"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4625FCAD"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3A5B4A98"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5B498993"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2F2FBCDF"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556D8323" w14:textId="77777777" w:rsidR="00DB1AEE" w:rsidRPr="00DB1AEE" w:rsidRDefault="00DB1AEE" w:rsidP="00DB1AEE">
            <w:pPr>
              <w:suppressAutoHyphens/>
              <w:jc w:val="center"/>
              <w:rPr>
                <w:sz w:val="18"/>
                <w:szCs w:val="18"/>
                <w:u w:val="single"/>
              </w:rPr>
            </w:pPr>
          </w:p>
        </w:tc>
      </w:tr>
      <w:tr w:rsidR="00DB1AEE" w:rsidRPr="00DB1AEE" w14:paraId="0A998E59" w14:textId="77777777" w:rsidTr="00FC1832">
        <w:trPr>
          <w:trHeight w:val="270"/>
          <w:jc w:val="center"/>
        </w:trPr>
        <w:tc>
          <w:tcPr>
            <w:tcW w:w="0" w:type="auto"/>
            <w:shd w:val="clear" w:color="000000" w:fill="FFFFFF"/>
            <w:vAlign w:val="center"/>
            <w:hideMark/>
          </w:tcPr>
          <w:p w14:paraId="4D1C880C" w14:textId="77777777" w:rsidR="00DB1AEE" w:rsidRPr="00DB1AEE" w:rsidRDefault="00DB1AEE" w:rsidP="00DB1AEE">
            <w:pPr>
              <w:suppressAutoHyphens/>
              <w:jc w:val="center"/>
              <w:rPr>
                <w:sz w:val="18"/>
                <w:szCs w:val="18"/>
                <w:u w:val="single"/>
              </w:rPr>
            </w:pPr>
            <w:r w:rsidRPr="00DB1AEE">
              <w:rPr>
                <w:sz w:val="18"/>
                <w:szCs w:val="18"/>
                <w:u w:val="single"/>
              </w:rPr>
              <w:t>&lt; 50 ft</w:t>
            </w:r>
            <w:r w:rsidRPr="00DB1AEE">
              <w:rPr>
                <w:sz w:val="18"/>
                <w:szCs w:val="18"/>
                <w:u w:val="single"/>
                <w:vertAlign w:val="superscript"/>
              </w:rPr>
              <w:t>2</w:t>
            </w:r>
          </w:p>
        </w:tc>
        <w:tc>
          <w:tcPr>
            <w:tcW w:w="0" w:type="auto"/>
            <w:gridSpan w:val="2"/>
            <w:shd w:val="clear" w:color="000000" w:fill="FFFFFF"/>
            <w:noWrap/>
            <w:vAlign w:val="center"/>
            <w:hideMark/>
          </w:tcPr>
          <w:p w14:paraId="5A9C0AC0" w14:textId="77777777" w:rsidR="00DB1AEE" w:rsidRPr="00DB1AEE" w:rsidRDefault="00DB1AEE" w:rsidP="00DB1AEE">
            <w:pPr>
              <w:suppressAutoHyphens/>
              <w:jc w:val="center"/>
              <w:rPr>
                <w:sz w:val="18"/>
                <w:szCs w:val="18"/>
                <w:u w:val="single"/>
              </w:rPr>
            </w:pPr>
            <w:r w:rsidRPr="00DB1AEE">
              <w:rPr>
                <w:sz w:val="18"/>
                <w:szCs w:val="18"/>
                <w:u w:val="single"/>
              </w:rPr>
              <w:t>0.43</w:t>
            </w:r>
          </w:p>
        </w:tc>
        <w:tc>
          <w:tcPr>
            <w:tcW w:w="0" w:type="auto"/>
            <w:shd w:val="clear" w:color="000000" w:fill="FFFFFF"/>
            <w:noWrap/>
            <w:vAlign w:val="center"/>
            <w:hideMark/>
          </w:tcPr>
          <w:p w14:paraId="2F555226" w14:textId="77777777" w:rsidR="00DB1AEE" w:rsidRPr="00DB1AEE" w:rsidRDefault="00DB1AEE" w:rsidP="00DB1AEE">
            <w:pPr>
              <w:suppressAutoHyphens/>
              <w:jc w:val="center"/>
              <w:rPr>
                <w:sz w:val="18"/>
                <w:szCs w:val="18"/>
                <w:u w:val="single"/>
              </w:rPr>
            </w:pPr>
            <w:r w:rsidRPr="00DB1AEE">
              <w:rPr>
                <w:sz w:val="18"/>
                <w:szCs w:val="18"/>
                <w:u w:val="single"/>
              </w:rPr>
              <w:t>9</w:t>
            </w:r>
          </w:p>
        </w:tc>
        <w:tc>
          <w:tcPr>
            <w:tcW w:w="0" w:type="auto"/>
            <w:shd w:val="clear" w:color="000000" w:fill="FFFFFF"/>
            <w:vAlign w:val="center"/>
            <w:hideMark/>
          </w:tcPr>
          <w:p w14:paraId="773D52F1"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06A3F146"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5A6BB882"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71924843"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13EB27E8"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3F66A29C"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5F78FE68"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3FC4BD6A" w14:textId="77777777" w:rsidR="00DB1AEE" w:rsidRPr="00DB1AEE" w:rsidRDefault="00DB1AEE" w:rsidP="00DB1AEE">
            <w:pPr>
              <w:suppressAutoHyphens/>
              <w:jc w:val="center"/>
              <w:rPr>
                <w:sz w:val="18"/>
                <w:szCs w:val="18"/>
                <w:u w:val="single"/>
              </w:rPr>
            </w:pPr>
            <w:r w:rsidRPr="00DB1AEE">
              <w:rPr>
                <w:sz w:val="18"/>
                <w:szCs w:val="18"/>
                <w:u w:val="single"/>
              </w:rPr>
              <w:t>ADD2</w:t>
            </w:r>
          </w:p>
        </w:tc>
        <w:tc>
          <w:tcPr>
            <w:tcW w:w="0" w:type="auto"/>
            <w:shd w:val="clear" w:color="000000" w:fill="FFFFFF"/>
            <w:vAlign w:val="center"/>
            <w:hideMark/>
          </w:tcPr>
          <w:p w14:paraId="79A358FB" w14:textId="77777777" w:rsidR="00DB1AEE" w:rsidRPr="00DB1AEE" w:rsidRDefault="00DB1AEE" w:rsidP="00DB1AEE">
            <w:pPr>
              <w:suppressAutoHyphens/>
              <w:jc w:val="center"/>
              <w:rPr>
                <w:sz w:val="18"/>
                <w:szCs w:val="18"/>
                <w:u w:val="single"/>
              </w:rPr>
            </w:pPr>
            <w:r w:rsidRPr="00DB1AEE">
              <w:rPr>
                <w:sz w:val="18"/>
                <w:szCs w:val="18"/>
                <w:u w:val="single"/>
              </w:rPr>
              <w:t>ADD2</w:t>
            </w:r>
          </w:p>
        </w:tc>
      </w:tr>
      <w:tr w:rsidR="00DB1AEE" w:rsidRPr="00DB1AEE" w14:paraId="42F137D7" w14:textId="77777777" w:rsidTr="00FC1832">
        <w:trPr>
          <w:trHeight w:val="270"/>
          <w:jc w:val="center"/>
        </w:trPr>
        <w:tc>
          <w:tcPr>
            <w:tcW w:w="0" w:type="auto"/>
            <w:shd w:val="clear" w:color="000000" w:fill="FFFFFF"/>
            <w:vAlign w:val="center"/>
            <w:hideMark/>
          </w:tcPr>
          <w:p w14:paraId="3FF694DE" w14:textId="77777777" w:rsidR="00DB1AEE" w:rsidRPr="00DB1AEE" w:rsidRDefault="00DB1AEE" w:rsidP="00DB1AEE">
            <w:pPr>
              <w:suppressAutoHyphens/>
              <w:jc w:val="center"/>
              <w:rPr>
                <w:sz w:val="18"/>
                <w:szCs w:val="18"/>
                <w:u w:val="single"/>
              </w:rPr>
            </w:pPr>
            <w:r w:rsidRPr="00DB1AEE">
              <w:rPr>
                <w:sz w:val="18"/>
                <w:szCs w:val="18"/>
                <w:u w:val="single"/>
              </w:rPr>
              <w:t>≥ 50 ft</w:t>
            </w:r>
            <w:r w:rsidRPr="00DB1AEE">
              <w:rPr>
                <w:sz w:val="18"/>
                <w:szCs w:val="18"/>
                <w:u w:val="single"/>
                <w:vertAlign w:val="superscript"/>
              </w:rPr>
              <w:t>2</w:t>
            </w:r>
          </w:p>
        </w:tc>
        <w:tc>
          <w:tcPr>
            <w:tcW w:w="0" w:type="auto"/>
            <w:gridSpan w:val="2"/>
            <w:shd w:val="clear" w:color="000000" w:fill="FFFFFF"/>
            <w:noWrap/>
            <w:vAlign w:val="center"/>
            <w:hideMark/>
          </w:tcPr>
          <w:p w14:paraId="71B9ECC0" w14:textId="77777777" w:rsidR="00DB1AEE" w:rsidRPr="00DB1AEE" w:rsidRDefault="00DB1AEE" w:rsidP="00DB1AEE">
            <w:pPr>
              <w:suppressAutoHyphens/>
              <w:jc w:val="center"/>
              <w:rPr>
                <w:sz w:val="18"/>
                <w:szCs w:val="18"/>
                <w:u w:val="single"/>
              </w:rPr>
            </w:pPr>
            <w:r w:rsidRPr="00DB1AEE">
              <w:rPr>
                <w:sz w:val="18"/>
                <w:szCs w:val="18"/>
                <w:u w:val="single"/>
              </w:rPr>
              <w:t>0.35</w:t>
            </w:r>
          </w:p>
        </w:tc>
        <w:tc>
          <w:tcPr>
            <w:tcW w:w="0" w:type="auto"/>
            <w:shd w:val="clear" w:color="000000" w:fill="FFFFFF"/>
            <w:noWrap/>
            <w:vAlign w:val="center"/>
            <w:hideMark/>
          </w:tcPr>
          <w:p w14:paraId="04BC755E" w14:textId="77777777" w:rsidR="00DB1AEE" w:rsidRPr="00DB1AEE" w:rsidRDefault="00DB1AEE" w:rsidP="00DB1AEE">
            <w:pPr>
              <w:suppressAutoHyphens/>
              <w:jc w:val="center"/>
              <w:rPr>
                <w:sz w:val="18"/>
                <w:szCs w:val="18"/>
                <w:u w:val="single"/>
              </w:rPr>
            </w:pPr>
            <w:r w:rsidRPr="00DB1AEE">
              <w:rPr>
                <w:sz w:val="18"/>
                <w:szCs w:val="18"/>
                <w:u w:val="single"/>
              </w:rPr>
              <w:t>6</w:t>
            </w:r>
          </w:p>
        </w:tc>
        <w:tc>
          <w:tcPr>
            <w:tcW w:w="0" w:type="auto"/>
            <w:shd w:val="clear" w:color="000000" w:fill="FFFFFF"/>
            <w:vAlign w:val="center"/>
            <w:hideMark/>
          </w:tcPr>
          <w:p w14:paraId="4CEF551D"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14A11BB2"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0" w:type="auto"/>
            <w:shd w:val="clear" w:color="000000" w:fill="FFFFFF"/>
            <w:vAlign w:val="center"/>
            <w:hideMark/>
          </w:tcPr>
          <w:p w14:paraId="03B02D32"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0" w:type="auto"/>
            <w:shd w:val="clear" w:color="000000" w:fill="FFFFFF"/>
            <w:vAlign w:val="center"/>
            <w:hideMark/>
          </w:tcPr>
          <w:p w14:paraId="18C28D1D"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7AAC62FB"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425E2208"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304C67A5"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7E30FD81"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387A3287" w14:textId="77777777" w:rsidR="00DB1AEE" w:rsidRPr="00DB1AEE" w:rsidRDefault="00DB1AEE" w:rsidP="00DB1AEE">
            <w:pPr>
              <w:suppressAutoHyphens/>
              <w:jc w:val="center"/>
              <w:rPr>
                <w:sz w:val="18"/>
                <w:szCs w:val="18"/>
                <w:u w:val="single"/>
              </w:rPr>
            </w:pPr>
          </w:p>
        </w:tc>
      </w:tr>
      <w:tr w:rsidR="00DB1AEE" w:rsidRPr="00DB1AEE" w14:paraId="3AC44471" w14:textId="77777777" w:rsidTr="00FC1832">
        <w:trPr>
          <w:trHeight w:val="255"/>
          <w:jc w:val="center"/>
        </w:trPr>
        <w:tc>
          <w:tcPr>
            <w:tcW w:w="0" w:type="auto"/>
            <w:shd w:val="clear" w:color="000000" w:fill="FFFFFF"/>
            <w:vAlign w:val="center"/>
            <w:hideMark/>
          </w:tcPr>
          <w:p w14:paraId="3AF801EE" w14:textId="77777777" w:rsidR="00DB1AEE" w:rsidRPr="00DB1AEE" w:rsidRDefault="00DB1AEE" w:rsidP="00DB1AEE">
            <w:pPr>
              <w:suppressAutoHyphens/>
              <w:jc w:val="center"/>
              <w:rPr>
                <w:sz w:val="18"/>
                <w:szCs w:val="18"/>
                <w:u w:val="single"/>
              </w:rPr>
            </w:pPr>
            <w:r w:rsidRPr="00DB1AEE">
              <w:rPr>
                <w:sz w:val="18"/>
                <w:szCs w:val="18"/>
                <w:u w:val="single"/>
              </w:rPr>
              <w:t>Vehicular Maintenance Area</w:t>
            </w:r>
          </w:p>
        </w:tc>
        <w:tc>
          <w:tcPr>
            <w:tcW w:w="0" w:type="auto"/>
            <w:gridSpan w:val="2"/>
            <w:shd w:val="clear" w:color="000000" w:fill="FFFFFF"/>
            <w:noWrap/>
            <w:vAlign w:val="center"/>
            <w:hideMark/>
          </w:tcPr>
          <w:p w14:paraId="576EE498" w14:textId="77777777" w:rsidR="00DB1AEE" w:rsidRPr="00DB1AEE" w:rsidRDefault="00DB1AEE" w:rsidP="00DB1AEE">
            <w:pPr>
              <w:suppressAutoHyphens/>
              <w:jc w:val="center"/>
              <w:rPr>
                <w:sz w:val="18"/>
                <w:szCs w:val="18"/>
                <w:u w:val="single"/>
              </w:rPr>
            </w:pPr>
            <w:r w:rsidRPr="00DB1AEE">
              <w:rPr>
                <w:sz w:val="18"/>
                <w:szCs w:val="18"/>
                <w:u w:val="single"/>
              </w:rPr>
              <w:t>0.53</w:t>
            </w:r>
          </w:p>
        </w:tc>
        <w:tc>
          <w:tcPr>
            <w:tcW w:w="0" w:type="auto"/>
            <w:shd w:val="clear" w:color="000000" w:fill="FFFFFF"/>
            <w:noWrap/>
            <w:vAlign w:val="center"/>
            <w:hideMark/>
          </w:tcPr>
          <w:p w14:paraId="544492F4" w14:textId="77777777" w:rsidR="00DB1AEE" w:rsidRPr="00DB1AEE" w:rsidRDefault="00DB1AEE" w:rsidP="00DB1AEE">
            <w:pPr>
              <w:suppressAutoHyphens/>
              <w:jc w:val="center"/>
              <w:rPr>
                <w:sz w:val="18"/>
                <w:szCs w:val="18"/>
                <w:u w:val="single"/>
              </w:rPr>
            </w:pPr>
            <w:r w:rsidRPr="00DB1AEE">
              <w:rPr>
                <w:sz w:val="18"/>
                <w:szCs w:val="18"/>
                <w:u w:val="single"/>
              </w:rPr>
              <w:t>4</w:t>
            </w:r>
          </w:p>
        </w:tc>
        <w:tc>
          <w:tcPr>
            <w:tcW w:w="0" w:type="auto"/>
            <w:shd w:val="clear" w:color="000000" w:fill="FFFFFF"/>
            <w:vAlign w:val="center"/>
            <w:hideMark/>
          </w:tcPr>
          <w:p w14:paraId="65C67E85"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0AF09308"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0" w:type="auto"/>
            <w:shd w:val="clear" w:color="000000" w:fill="FFFFFF"/>
            <w:vAlign w:val="center"/>
            <w:hideMark/>
          </w:tcPr>
          <w:p w14:paraId="4A453DCC"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0" w:type="auto"/>
            <w:shd w:val="clear" w:color="000000" w:fill="FFFFFF"/>
            <w:vAlign w:val="center"/>
            <w:hideMark/>
          </w:tcPr>
          <w:p w14:paraId="5D60952C"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5D479F8F"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1FC12457"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4F9BECF4"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2BDE3431" w14:textId="77777777" w:rsidR="00DB1AEE" w:rsidRPr="00DB1AEE" w:rsidRDefault="00DB1AEE" w:rsidP="00DB1AEE">
            <w:pPr>
              <w:suppressAutoHyphens/>
              <w:jc w:val="center"/>
              <w:rPr>
                <w:sz w:val="18"/>
                <w:szCs w:val="18"/>
                <w:u w:val="single"/>
              </w:rPr>
            </w:pPr>
            <w:r w:rsidRPr="00DB1AEE">
              <w:rPr>
                <w:sz w:val="18"/>
                <w:szCs w:val="18"/>
                <w:u w:val="single"/>
              </w:rPr>
              <w:t>ADD2</w:t>
            </w:r>
          </w:p>
        </w:tc>
        <w:tc>
          <w:tcPr>
            <w:tcW w:w="0" w:type="auto"/>
            <w:shd w:val="clear" w:color="000000" w:fill="FFFFFF"/>
            <w:vAlign w:val="center"/>
            <w:hideMark/>
          </w:tcPr>
          <w:p w14:paraId="068516B1" w14:textId="77777777" w:rsidR="00DB1AEE" w:rsidRPr="00DB1AEE" w:rsidRDefault="00DB1AEE" w:rsidP="00DB1AEE">
            <w:pPr>
              <w:suppressAutoHyphens/>
              <w:jc w:val="center"/>
              <w:rPr>
                <w:sz w:val="18"/>
                <w:szCs w:val="18"/>
                <w:u w:val="single"/>
              </w:rPr>
            </w:pPr>
            <w:r w:rsidRPr="00DB1AEE">
              <w:rPr>
                <w:sz w:val="18"/>
                <w:szCs w:val="18"/>
                <w:u w:val="single"/>
              </w:rPr>
              <w:t>ADD2</w:t>
            </w:r>
          </w:p>
        </w:tc>
      </w:tr>
      <w:tr w:rsidR="00DB1AEE" w:rsidRPr="00DB1AEE" w14:paraId="05B21E8F" w14:textId="77777777" w:rsidTr="00FC1832">
        <w:trPr>
          <w:trHeight w:val="255"/>
          <w:jc w:val="center"/>
        </w:trPr>
        <w:tc>
          <w:tcPr>
            <w:tcW w:w="0" w:type="auto"/>
            <w:shd w:val="clear" w:color="000000" w:fill="FFFFFF"/>
            <w:vAlign w:val="center"/>
            <w:hideMark/>
          </w:tcPr>
          <w:p w14:paraId="1682691D" w14:textId="77777777" w:rsidR="00DB1AEE" w:rsidRPr="00DB1AEE" w:rsidRDefault="00DB1AEE" w:rsidP="00DB1AEE">
            <w:pPr>
              <w:suppressAutoHyphens/>
              <w:jc w:val="center"/>
              <w:rPr>
                <w:sz w:val="18"/>
                <w:szCs w:val="18"/>
                <w:u w:val="single"/>
              </w:rPr>
            </w:pPr>
            <w:r w:rsidRPr="00DB1AEE">
              <w:rPr>
                <w:sz w:val="18"/>
                <w:szCs w:val="18"/>
                <w:u w:val="single"/>
              </w:rPr>
              <w:t xml:space="preserve">Workshop </w:t>
            </w:r>
            <w:r w:rsidRPr="00DB1AEE">
              <w:rPr>
                <w:b/>
                <w:bCs/>
                <w:sz w:val="18"/>
                <w:szCs w:val="18"/>
                <w:u w:val="single"/>
              </w:rPr>
              <w:t>(including workshop classrooms)</w:t>
            </w:r>
          </w:p>
        </w:tc>
        <w:tc>
          <w:tcPr>
            <w:tcW w:w="0" w:type="auto"/>
            <w:gridSpan w:val="2"/>
            <w:shd w:val="clear" w:color="000000" w:fill="FFFFFF"/>
            <w:noWrap/>
            <w:vAlign w:val="center"/>
            <w:hideMark/>
          </w:tcPr>
          <w:p w14:paraId="24072AA5" w14:textId="77777777" w:rsidR="00DB1AEE" w:rsidRPr="00DB1AEE" w:rsidRDefault="00DB1AEE" w:rsidP="00DB1AEE">
            <w:pPr>
              <w:suppressAutoHyphens/>
              <w:jc w:val="center"/>
              <w:rPr>
                <w:sz w:val="18"/>
                <w:szCs w:val="18"/>
                <w:u w:val="single"/>
              </w:rPr>
            </w:pPr>
            <w:r w:rsidRPr="00DB1AEE">
              <w:rPr>
                <w:sz w:val="18"/>
                <w:szCs w:val="18"/>
                <w:u w:val="single"/>
              </w:rPr>
              <w:t>1.09</w:t>
            </w:r>
          </w:p>
        </w:tc>
        <w:tc>
          <w:tcPr>
            <w:tcW w:w="0" w:type="auto"/>
            <w:shd w:val="clear" w:color="000000" w:fill="FFFFFF"/>
            <w:noWrap/>
            <w:vAlign w:val="center"/>
            <w:hideMark/>
          </w:tcPr>
          <w:p w14:paraId="41FBBCC1" w14:textId="77777777" w:rsidR="00DB1AEE" w:rsidRPr="00DB1AEE" w:rsidRDefault="00DB1AEE" w:rsidP="00DB1AEE">
            <w:pPr>
              <w:suppressAutoHyphens/>
              <w:jc w:val="center"/>
              <w:rPr>
                <w:sz w:val="18"/>
                <w:szCs w:val="18"/>
                <w:u w:val="single"/>
              </w:rPr>
            </w:pPr>
            <w:r w:rsidRPr="00DB1AEE">
              <w:rPr>
                <w:sz w:val="18"/>
                <w:szCs w:val="18"/>
                <w:u w:val="single"/>
              </w:rPr>
              <w:t>6</w:t>
            </w:r>
          </w:p>
        </w:tc>
        <w:tc>
          <w:tcPr>
            <w:tcW w:w="0" w:type="auto"/>
            <w:shd w:val="clear" w:color="000000" w:fill="FFFFFF"/>
            <w:vAlign w:val="center"/>
            <w:hideMark/>
          </w:tcPr>
          <w:p w14:paraId="71851685"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19BDE76D"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0" w:type="auto"/>
            <w:shd w:val="clear" w:color="000000" w:fill="FFFFFF"/>
            <w:vAlign w:val="center"/>
            <w:hideMark/>
          </w:tcPr>
          <w:p w14:paraId="256404DC"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0" w:type="auto"/>
            <w:shd w:val="clear" w:color="000000" w:fill="FFFFFF"/>
            <w:vAlign w:val="center"/>
            <w:hideMark/>
          </w:tcPr>
          <w:p w14:paraId="091B319C"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734ADE4C"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1A3F0565"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0" w:type="auto"/>
            <w:shd w:val="clear" w:color="000000" w:fill="FFFFFF"/>
            <w:vAlign w:val="center"/>
            <w:hideMark/>
          </w:tcPr>
          <w:p w14:paraId="7EBEA9DC" w14:textId="77777777" w:rsidR="00DB1AEE" w:rsidRPr="00DB1AEE" w:rsidRDefault="00DB1AEE" w:rsidP="00DB1AEE">
            <w:pPr>
              <w:suppressAutoHyphens/>
              <w:jc w:val="center"/>
              <w:rPr>
                <w:sz w:val="18"/>
                <w:szCs w:val="18"/>
                <w:u w:val="single"/>
              </w:rPr>
            </w:pPr>
          </w:p>
        </w:tc>
        <w:tc>
          <w:tcPr>
            <w:tcW w:w="0" w:type="auto"/>
            <w:shd w:val="clear" w:color="000000" w:fill="FFFFFF"/>
            <w:vAlign w:val="center"/>
            <w:hideMark/>
          </w:tcPr>
          <w:p w14:paraId="738769A2" w14:textId="77777777" w:rsidR="00DB1AEE" w:rsidRPr="00DB1AEE" w:rsidRDefault="00DB1AEE" w:rsidP="00DB1AEE">
            <w:pPr>
              <w:suppressAutoHyphens/>
              <w:jc w:val="center"/>
              <w:rPr>
                <w:sz w:val="18"/>
                <w:szCs w:val="18"/>
                <w:u w:val="single"/>
              </w:rPr>
            </w:pPr>
            <w:r w:rsidRPr="00DB1AEE">
              <w:rPr>
                <w:sz w:val="18"/>
                <w:szCs w:val="18"/>
                <w:u w:val="single"/>
              </w:rPr>
              <w:t>ADD2</w:t>
            </w:r>
          </w:p>
        </w:tc>
        <w:tc>
          <w:tcPr>
            <w:tcW w:w="0" w:type="auto"/>
            <w:shd w:val="clear" w:color="000000" w:fill="FFFFFF"/>
            <w:vAlign w:val="center"/>
            <w:hideMark/>
          </w:tcPr>
          <w:p w14:paraId="2CEC70DA" w14:textId="77777777" w:rsidR="00DB1AEE" w:rsidRPr="00DB1AEE" w:rsidRDefault="00DB1AEE" w:rsidP="00DB1AEE">
            <w:pPr>
              <w:suppressAutoHyphens/>
              <w:jc w:val="center"/>
              <w:rPr>
                <w:sz w:val="18"/>
                <w:szCs w:val="18"/>
                <w:u w:val="single"/>
              </w:rPr>
            </w:pPr>
            <w:r w:rsidRPr="00DB1AEE">
              <w:rPr>
                <w:sz w:val="18"/>
                <w:szCs w:val="18"/>
                <w:u w:val="single"/>
              </w:rPr>
              <w:t>ADD2</w:t>
            </w:r>
          </w:p>
        </w:tc>
      </w:tr>
    </w:tbl>
    <w:p w14:paraId="1D4B12BE" w14:textId="77777777" w:rsidR="00DB1AEE" w:rsidRPr="00DB1AEE" w:rsidRDefault="00DB1AEE" w:rsidP="00DB1AEE">
      <w:pPr>
        <w:suppressAutoHyphens/>
        <w:spacing w:before="4" w:after="1"/>
        <w:ind w:left="720"/>
        <w:jc w:val="left"/>
        <w:rPr>
          <w:i/>
          <w:iCs/>
          <w:szCs w:val="28"/>
          <w:u w:val="single"/>
        </w:rPr>
      </w:pPr>
      <w:r w:rsidRPr="00DB1AEE">
        <w:rPr>
          <w:szCs w:val="28"/>
          <w:u w:val="single"/>
        </w:rPr>
        <w:t xml:space="preserve">a. Where both a common </w:t>
      </w:r>
      <w:r w:rsidRPr="00DB1AEE">
        <w:rPr>
          <w:i/>
          <w:iCs/>
          <w:szCs w:val="28"/>
          <w:u w:val="single"/>
        </w:rPr>
        <w:t xml:space="preserve">space </w:t>
      </w:r>
      <w:r w:rsidRPr="00DB1AEE">
        <w:rPr>
          <w:szCs w:val="28"/>
          <w:u w:val="single"/>
        </w:rPr>
        <w:t xml:space="preserve">type and a </w:t>
      </w:r>
      <w:r w:rsidRPr="00DB1AEE">
        <w:rPr>
          <w:i/>
          <w:iCs/>
          <w:szCs w:val="28"/>
          <w:u w:val="single"/>
        </w:rPr>
        <w:t>building</w:t>
      </w:r>
      <w:r w:rsidRPr="00DB1AEE">
        <w:rPr>
          <w:szCs w:val="28"/>
          <w:u w:val="single"/>
        </w:rPr>
        <w:t xml:space="preserve">-specific </w:t>
      </w:r>
      <w:r w:rsidRPr="00DB1AEE">
        <w:rPr>
          <w:i/>
          <w:iCs/>
          <w:szCs w:val="28"/>
          <w:u w:val="single"/>
        </w:rPr>
        <w:t xml:space="preserve">space </w:t>
      </w:r>
      <w:r w:rsidRPr="00DB1AEE">
        <w:rPr>
          <w:szCs w:val="28"/>
          <w:u w:val="single"/>
        </w:rPr>
        <w:t xml:space="preserve">type are listed, the </w:t>
      </w:r>
      <w:r w:rsidRPr="00DB1AEE">
        <w:rPr>
          <w:i/>
          <w:iCs/>
          <w:szCs w:val="28"/>
          <w:u w:val="single"/>
        </w:rPr>
        <w:t xml:space="preserve">building </w:t>
      </w:r>
      <w:r w:rsidRPr="00DB1AEE">
        <w:rPr>
          <w:szCs w:val="28"/>
          <w:u w:val="single"/>
        </w:rPr>
        <w:t xml:space="preserve">specific </w:t>
      </w:r>
      <w:r w:rsidRPr="00DB1AEE">
        <w:rPr>
          <w:i/>
          <w:iCs/>
          <w:szCs w:val="28"/>
          <w:u w:val="single"/>
        </w:rPr>
        <w:t xml:space="preserve">space </w:t>
      </w:r>
      <w:r w:rsidRPr="00DB1AEE">
        <w:rPr>
          <w:szCs w:val="28"/>
          <w:u w:val="single"/>
        </w:rPr>
        <w:t xml:space="preserve">type shall apply (see Table 9.5.2.1-2 for </w:t>
      </w:r>
      <w:r w:rsidRPr="00DB1AEE">
        <w:rPr>
          <w:i/>
          <w:iCs/>
          <w:szCs w:val="28"/>
          <w:u w:val="single"/>
        </w:rPr>
        <w:t>building</w:t>
      </w:r>
      <w:r w:rsidRPr="00DB1AEE">
        <w:rPr>
          <w:szCs w:val="28"/>
          <w:u w:val="single"/>
        </w:rPr>
        <w:t xml:space="preserve">-specific </w:t>
      </w:r>
      <w:r w:rsidRPr="00DB1AEE">
        <w:rPr>
          <w:i/>
          <w:iCs/>
          <w:szCs w:val="28"/>
          <w:u w:val="single"/>
        </w:rPr>
        <w:t xml:space="preserve">space </w:t>
      </w:r>
      <w:r w:rsidRPr="00DB1AEE">
        <w:rPr>
          <w:szCs w:val="28"/>
          <w:u w:val="single"/>
        </w:rPr>
        <w:t>types)</w:t>
      </w:r>
      <w:r w:rsidRPr="00DB1AEE">
        <w:rPr>
          <w:i/>
          <w:iCs/>
          <w:szCs w:val="28"/>
          <w:u w:val="single"/>
        </w:rPr>
        <w:t>.</w:t>
      </w:r>
    </w:p>
    <w:p w14:paraId="641ABEBD" w14:textId="77777777" w:rsidR="00DB1AEE" w:rsidRPr="00DB1AEE" w:rsidRDefault="00DB1AEE" w:rsidP="00DB1AEE">
      <w:pPr>
        <w:suppressAutoHyphens/>
        <w:spacing w:before="4" w:after="1"/>
        <w:ind w:left="720"/>
        <w:jc w:val="left"/>
        <w:rPr>
          <w:szCs w:val="28"/>
          <w:u w:val="single"/>
        </w:rPr>
      </w:pPr>
      <w:r w:rsidRPr="00DB1AEE">
        <w:rPr>
          <w:szCs w:val="28"/>
          <w:u w:val="single"/>
        </w:rPr>
        <w:t xml:space="preserve">b. </w:t>
      </w:r>
      <w:r w:rsidRPr="00DB1AEE">
        <w:rPr>
          <w:i/>
          <w:iCs/>
          <w:szCs w:val="28"/>
          <w:u w:val="single"/>
        </w:rPr>
        <w:t xml:space="preserve">Automatic </w:t>
      </w:r>
      <w:r w:rsidRPr="00DB1AEE">
        <w:rPr>
          <w:szCs w:val="28"/>
          <w:u w:val="single"/>
        </w:rPr>
        <w:t xml:space="preserve">daylight responsive controls are mandatory only if the </w:t>
      </w:r>
      <w:r w:rsidRPr="00DB1AEE">
        <w:rPr>
          <w:i/>
          <w:iCs/>
          <w:szCs w:val="28"/>
          <w:u w:val="single"/>
        </w:rPr>
        <w:t xml:space="preserve">space </w:t>
      </w:r>
      <w:r w:rsidRPr="00DB1AEE">
        <w:rPr>
          <w:szCs w:val="28"/>
          <w:u w:val="single"/>
        </w:rPr>
        <w:t>meets the requirements of the specified sections.</w:t>
      </w:r>
    </w:p>
    <w:p w14:paraId="71144FF1" w14:textId="77777777" w:rsidR="00DB1AEE" w:rsidRPr="00DB1AEE" w:rsidRDefault="00DB1AEE" w:rsidP="00DB1AEE">
      <w:pPr>
        <w:jc w:val="left"/>
        <w:rPr>
          <w:b/>
          <w:bCs/>
          <w:u w:val="single"/>
        </w:rPr>
      </w:pPr>
    </w:p>
    <w:p w14:paraId="334BD759" w14:textId="77777777" w:rsidR="00DB1AEE" w:rsidRPr="00DB1AEE" w:rsidRDefault="00DB1AEE" w:rsidP="00DB1AEE">
      <w:pPr>
        <w:widowControl w:val="0"/>
        <w:suppressAutoHyphens/>
        <w:spacing w:before="130" w:after="130"/>
        <w:jc w:val="left"/>
        <w:rPr>
          <w:b/>
          <w:bCs/>
          <w:u w:val="single"/>
        </w:rPr>
      </w:pPr>
    </w:p>
    <w:p w14:paraId="7F91427A" w14:textId="77777777" w:rsidR="00DB1AEE" w:rsidRPr="00DB1AEE" w:rsidRDefault="00DB1AEE" w:rsidP="00DB1AEE">
      <w:pPr>
        <w:widowControl w:val="0"/>
        <w:suppressAutoHyphens/>
        <w:spacing w:before="130" w:after="130"/>
        <w:jc w:val="left"/>
        <w:rPr>
          <w:b/>
          <w:bCs/>
          <w:u w:val="single"/>
        </w:rPr>
      </w:pPr>
      <w:r w:rsidRPr="00DB1AEE">
        <w:rPr>
          <w:b/>
          <w:bCs/>
          <w:u w:val="single"/>
        </w:rPr>
        <w:t>Table 9.5.2.1-2 Space-by-Space Lighting Power Density Allowances and Minimum Control Requirements Using Either Method.</w:t>
      </w:r>
    </w:p>
    <w:p w14:paraId="02B037A9" w14:textId="77777777" w:rsidR="00DB1AEE" w:rsidRPr="00DB1AEE" w:rsidRDefault="00DB1AEE" w:rsidP="00DB1AEE">
      <w:pPr>
        <w:widowControl w:val="0"/>
        <w:suppressAutoHyphens/>
        <w:spacing w:before="130" w:after="130"/>
        <w:jc w:val="left"/>
        <w:rPr>
          <w:b/>
          <w:bCs/>
          <w:u w:val="single"/>
        </w:rPr>
      </w:pPr>
      <w:r w:rsidRPr="00DB1AEE">
        <w:rPr>
          <w:b/>
          <w:bCs/>
          <w:u w:val="single"/>
        </w:rPr>
        <w:t>Table 9.5.2.1-2 – Revise Table 9.5.2.1-2 to read as follows:</w:t>
      </w:r>
    </w:p>
    <w:p w14:paraId="3D541341" w14:textId="77777777" w:rsidR="00DB1AEE" w:rsidRPr="00DB1AEE" w:rsidRDefault="00DB1AEE" w:rsidP="00DB1AEE">
      <w:pPr>
        <w:suppressAutoHyphens/>
        <w:spacing w:before="7" w:after="1"/>
        <w:ind w:left="1440"/>
        <w:jc w:val="left"/>
        <w:rPr>
          <w:u w:val="single"/>
        </w:rPr>
      </w:pPr>
      <w:r w:rsidRPr="00DB1AEE">
        <w:rPr>
          <w:b/>
          <w:bCs/>
          <w:u w:val="single"/>
        </w:rPr>
        <w:t>Table 9.5.2.1-2 Space-by-Space Lighting Power Density Allowances and Minimum Control Requirements Using Either Method</w:t>
      </w:r>
    </w:p>
    <w:tbl>
      <w:tblPr>
        <w:tblW w:w="5000" w:type="pct"/>
        <w:tblLook w:val="04A0" w:firstRow="1" w:lastRow="0" w:firstColumn="1" w:lastColumn="0" w:noHBand="0" w:noVBand="1"/>
      </w:tblPr>
      <w:tblGrid>
        <w:gridCol w:w="2410"/>
        <w:gridCol w:w="1117"/>
        <w:gridCol w:w="216"/>
        <w:gridCol w:w="706"/>
        <w:gridCol w:w="216"/>
        <w:gridCol w:w="758"/>
        <w:gridCol w:w="216"/>
        <w:gridCol w:w="723"/>
        <w:gridCol w:w="216"/>
        <w:gridCol w:w="674"/>
        <w:gridCol w:w="216"/>
        <w:gridCol w:w="768"/>
        <w:gridCol w:w="216"/>
        <w:gridCol w:w="925"/>
        <w:gridCol w:w="216"/>
        <w:gridCol w:w="860"/>
        <w:gridCol w:w="978"/>
        <w:gridCol w:w="216"/>
        <w:gridCol w:w="781"/>
        <w:gridCol w:w="216"/>
        <w:gridCol w:w="781"/>
      </w:tblGrid>
      <w:tr w:rsidR="00DB1AEE" w:rsidRPr="00DB1AEE" w14:paraId="4DBF1823" w14:textId="77777777" w:rsidTr="00FC1832">
        <w:trPr>
          <w:trHeight w:val="990"/>
        </w:trPr>
        <w:tc>
          <w:tcPr>
            <w:tcW w:w="2714" w:type="pct"/>
            <w:gridSpan w:val="11"/>
            <w:tcBorders>
              <w:top w:val="single" w:sz="4" w:space="0" w:color="auto"/>
              <w:left w:val="single" w:sz="4" w:space="0" w:color="auto"/>
              <w:bottom w:val="single" w:sz="4" w:space="0" w:color="auto"/>
              <w:right w:val="single" w:sz="4" w:space="0" w:color="auto"/>
            </w:tcBorders>
            <w:vAlign w:val="center"/>
          </w:tcPr>
          <w:p w14:paraId="5D737BAE" w14:textId="77777777" w:rsidR="00DB1AEE" w:rsidRPr="00DB1AEE" w:rsidRDefault="00DB1AEE" w:rsidP="00DB1AEE">
            <w:pPr>
              <w:suppressAutoHyphens/>
              <w:jc w:val="left"/>
              <w:rPr>
                <w:b/>
                <w:bCs/>
                <w:i/>
                <w:iCs/>
                <w:sz w:val="18"/>
                <w:szCs w:val="18"/>
                <w:u w:val="single"/>
              </w:rPr>
            </w:pPr>
            <w:r w:rsidRPr="00DB1AEE">
              <w:rPr>
                <w:b/>
                <w:bCs/>
                <w:i/>
                <w:iCs/>
                <w:sz w:val="18"/>
                <w:szCs w:val="18"/>
                <w:u w:val="single"/>
              </w:rPr>
              <w:t>Informative Note: This table covers building-specific space types typically foundin a single building type. Table 9.5.2.1-1 covers common space types typicallyfound in multiple building types.</w:t>
            </w:r>
          </w:p>
        </w:tc>
        <w:tc>
          <w:tcPr>
            <w:tcW w:w="2286" w:type="pct"/>
            <w:gridSpan w:val="10"/>
            <w:tcBorders>
              <w:top w:val="single" w:sz="4" w:space="0" w:color="auto"/>
              <w:left w:val="single" w:sz="4" w:space="0" w:color="auto"/>
              <w:bottom w:val="single" w:sz="4" w:space="0" w:color="auto"/>
              <w:right w:val="single" w:sz="4" w:space="0" w:color="auto"/>
            </w:tcBorders>
            <w:vAlign w:val="center"/>
          </w:tcPr>
          <w:p w14:paraId="325CB59A" w14:textId="77777777" w:rsidR="00DB1AEE" w:rsidRPr="00DB1AEE" w:rsidRDefault="00DB1AEE" w:rsidP="00DB1AEE">
            <w:pPr>
              <w:suppressAutoHyphens/>
              <w:jc w:val="left"/>
              <w:rPr>
                <w:b/>
                <w:bCs/>
                <w:sz w:val="18"/>
                <w:szCs w:val="18"/>
                <w:u w:val="single"/>
              </w:rPr>
            </w:pPr>
            <w:r w:rsidRPr="00DB1AEE">
              <w:rPr>
                <w:b/>
                <w:bCs/>
                <w:sz w:val="18"/>
                <w:szCs w:val="18"/>
                <w:u w:val="single"/>
              </w:rPr>
              <w:t>The control functions below shall be implemented in accordance with the descriptions found within Section 9.4.1.1. For</w:t>
            </w:r>
          </w:p>
          <w:p w14:paraId="29AFA44C" w14:textId="77777777" w:rsidR="00DB1AEE" w:rsidRPr="00DB1AEE" w:rsidRDefault="00DB1AEE" w:rsidP="00DB1AEE">
            <w:pPr>
              <w:suppressAutoHyphens/>
              <w:jc w:val="left"/>
              <w:rPr>
                <w:b/>
                <w:bCs/>
                <w:sz w:val="18"/>
                <w:szCs w:val="18"/>
                <w:u w:val="single"/>
              </w:rPr>
            </w:pPr>
            <w:r w:rsidRPr="00DB1AEE">
              <w:rPr>
                <w:b/>
                <w:bCs/>
                <w:sz w:val="18"/>
                <w:szCs w:val="18"/>
                <w:u w:val="single"/>
              </w:rPr>
              <w:t xml:space="preserve">each </w:t>
            </w:r>
            <w:r w:rsidRPr="00DB1AEE">
              <w:rPr>
                <w:b/>
                <w:bCs/>
                <w:i/>
                <w:iCs/>
                <w:sz w:val="18"/>
                <w:szCs w:val="18"/>
                <w:u w:val="single"/>
              </w:rPr>
              <w:t xml:space="preserve">space </w:t>
            </w:r>
            <w:r w:rsidRPr="00DB1AEE">
              <w:rPr>
                <w:b/>
                <w:bCs/>
                <w:sz w:val="18"/>
                <w:szCs w:val="18"/>
                <w:u w:val="single"/>
              </w:rPr>
              <w:t>type:</w:t>
            </w:r>
          </w:p>
          <w:p w14:paraId="523EB8CC" w14:textId="77777777" w:rsidR="00DB1AEE" w:rsidRPr="00DB1AEE" w:rsidRDefault="00DB1AEE" w:rsidP="00DB1AEE">
            <w:pPr>
              <w:suppressAutoHyphens/>
              <w:jc w:val="left"/>
              <w:rPr>
                <w:b/>
                <w:bCs/>
                <w:sz w:val="18"/>
                <w:szCs w:val="18"/>
                <w:u w:val="single"/>
              </w:rPr>
            </w:pPr>
            <w:r w:rsidRPr="00DB1AEE">
              <w:rPr>
                <w:b/>
                <w:bCs/>
                <w:sz w:val="18"/>
                <w:szCs w:val="18"/>
                <w:u w:val="single"/>
              </w:rPr>
              <w:t>(1) All REQs shall be implemented.</w:t>
            </w:r>
          </w:p>
          <w:p w14:paraId="4B4444FF" w14:textId="77777777" w:rsidR="00DB1AEE" w:rsidRPr="00DB1AEE" w:rsidRDefault="00DB1AEE" w:rsidP="00DB1AEE">
            <w:pPr>
              <w:suppressAutoHyphens/>
              <w:jc w:val="left"/>
              <w:rPr>
                <w:b/>
                <w:bCs/>
                <w:sz w:val="18"/>
                <w:szCs w:val="18"/>
                <w:u w:val="single"/>
              </w:rPr>
            </w:pPr>
            <w:r w:rsidRPr="00DB1AEE">
              <w:rPr>
                <w:b/>
                <w:bCs/>
                <w:sz w:val="18"/>
                <w:szCs w:val="18"/>
                <w:u w:val="single"/>
              </w:rPr>
              <w:t>(2) At least one ADD1 (when present) shall be implemented.</w:t>
            </w:r>
          </w:p>
          <w:p w14:paraId="1517D124" w14:textId="77777777" w:rsidR="00DB1AEE" w:rsidRPr="00DB1AEE" w:rsidRDefault="00DB1AEE" w:rsidP="00DB1AEE">
            <w:pPr>
              <w:suppressAutoHyphens/>
              <w:jc w:val="left"/>
              <w:rPr>
                <w:b/>
                <w:bCs/>
                <w:sz w:val="18"/>
                <w:szCs w:val="18"/>
                <w:u w:val="single"/>
              </w:rPr>
            </w:pPr>
            <w:r w:rsidRPr="00DB1AEE">
              <w:rPr>
                <w:b/>
                <w:bCs/>
                <w:sz w:val="18"/>
                <w:szCs w:val="18"/>
                <w:u w:val="single"/>
              </w:rPr>
              <w:t>(3) At least one ADD2 (when present) shall be implemented.</w:t>
            </w:r>
          </w:p>
        </w:tc>
      </w:tr>
      <w:tr w:rsidR="00DB1AEE" w:rsidRPr="00DB1AEE" w14:paraId="3295CC7F" w14:textId="77777777" w:rsidTr="00FC1832">
        <w:trPr>
          <w:trHeight w:val="990"/>
        </w:trPr>
        <w:tc>
          <w:tcPr>
            <w:tcW w:w="896" w:type="pct"/>
            <w:tcBorders>
              <w:top w:val="nil"/>
              <w:left w:val="single" w:sz="4" w:space="0" w:color="auto"/>
              <w:bottom w:val="single" w:sz="4" w:space="0" w:color="auto"/>
              <w:right w:val="single" w:sz="4" w:space="0" w:color="auto"/>
            </w:tcBorders>
            <w:vAlign w:val="center"/>
          </w:tcPr>
          <w:p w14:paraId="370DCA30" w14:textId="77777777" w:rsidR="00DB1AEE" w:rsidRPr="00DB1AEE" w:rsidRDefault="00DB1AEE" w:rsidP="00DB1AEE">
            <w:pPr>
              <w:suppressAutoHyphens/>
              <w:jc w:val="left"/>
              <w:rPr>
                <w:b/>
                <w:bCs/>
                <w:sz w:val="18"/>
                <w:szCs w:val="18"/>
                <w:u w:val="single"/>
              </w:rPr>
            </w:pPr>
          </w:p>
        </w:tc>
        <w:tc>
          <w:tcPr>
            <w:tcW w:w="418" w:type="pct"/>
            <w:tcBorders>
              <w:top w:val="single" w:sz="4" w:space="0" w:color="auto"/>
              <w:left w:val="nil"/>
              <w:bottom w:val="single" w:sz="4" w:space="0" w:color="auto"/>
              <w:right w:val="single" w:sz="4" w:space="0" w:color="000000"/>
            </w:tcBorders>
          </w:tcPr>
          <w:p w14:paraId="27125441" w14:textId="77777777" w:rsidR="00DB1AEE" w:rsidRPr="00DB1AEE" w:rsidRDefault="00DB1AEE" w:rsidP="00DB1AEE">
            <w:pPr>
              <w:suppressAutoHyphens/>
              <w:jc w:val="center"/>
              <w:rPr>
                <w:b/>
                <w:bCs/>
                <w:i/>
                <w:iCs/>
                <w:sz w:val="18"/>
                <w:szCs w:val="18"/>
                <w:u w:val="single"/>
              </w:rPr>
            </w:pPr>
          </w:p>
        </w:tc>
        <w:tc>
          <w:tcPr>
            <w:tcW w:w="370" w:type="pct"/>
            <w:gridSpan w:val="3"/>
            <w:tcBorders>
              <w:top w:val="single" w:sz="4" w:space="0" w:color="auto"/>
              <w:left w:val="nil"/>
              <w:bottom w:val="single" w:sz="4" w:space="0" w:color="auto"/>
              <w:right w:val="single" w:sz="4" w:space="0" w:color="000000"/>
            </w:tcBorders>
          </w:tcPr>
          <w:p w14:paraId="0536F9AA" w14:textId="77777777" w:rsidR="00DB1AEE" w:rsidRPr="00DB1AEE" w:rsidRDefault="00DB1AEE" w:rsidP="00DB1AEE">
            <w:pPr>
              <w:suppressAutoHyphens/>
              <w:jc w:val="center"/>
              <w:rPr>
                <w:b/>
                <w:bCs/>
                <w:i/>
                <w:iCs/>
                <w:sz w:val="18"/>
                <w:szCs w:val="18"/>
                <w:u w:val="single"/>
              </w:rPr>
            </w:pPr>
          </w:p>
        </w:tc>
        <w:tc>
          <w:tcPr>
            <w:tcW w:w="338" w:type="pct"/>
            <w:gridSpan w:val="2"/>
            <w:tcBorders>
              <w:top w:val="nil"/>
              <w:left w:val="nil"/>
              <w:bottom w:val="single" w:sz="4" w:space="0" w:color="auto"/>
              <w:right w:val="single" w:sz="4" w:space="0" w:color="auto"/>
            </w:tcBorders>
            <w:vAlign w:val="center"/>
          </w:tcPr>
          <w:p w14:paraId="29149D24" w14:textId="77777777" w:rsidR="00DB1AEE" w:rsidRPr="00DB1AEE" w:rsidRDefault="00DB1AEE" w:rsidP="00DB1AEE">
            <w:pPr>
              <w:suppressAutoHyphens/>
              <w:jc w:val="center"/>
              <w:rPr>
                <w:b/>
                <w:bCs/>
                <w:sz w:val="18"/>
                <w:szCs w:val="18"/>
                <w:u w:val="single"/>
              </w:rPr>
            </w:pPr>
            <w:r w:rsidRPr="00DB1AEE">
              <w:rPr>
                <w:b/>
                <w:bCs/>
                <w:sz w:val="18"/>
                <w:szCs w:val="18"/>
                <w:u w:val="single"/>
              </w:rPr>
              <w:t xml:space="preserve">Local </w:t>
            </w:r>
            <w:r w:rsidRPr="00DB1AEE">
              <w:rPr>
                <w:b/>
                <w:bCs/>
                <w:i/>
                <w:iCs/>
                <w:sz w:val="18"/>
                <w:szCs w:val="18"/>
                <w:u w:val="single"/>
              </w:rPr>
              <w:t xml:space="preserve">Control </w:t>
            </w:r>
          </w:p>
        </w:tc>
        <w:tc>
          <w:tcPr>
            <w:tcW w:w="346" w:type="pct"/>
            <w:tcBorders>
              <w:top w:val="nil"/>
              <w:left w:val="nil"/>
              <w:bottom w:val="single" w:sz="4" w:space="0" w:color="auto"/>
              <w:right w:val="single" w:sz="4" w:space="0" w:color="auto"/>
            </w:tcBorders>
            <w:vAlign w:val="center"/>
          </w:tcPr>
          <w:p w14:paraId="16DD3244" w14:textId="77777777" w:rsidR="00DB1AEE" w:rsidRPr="00DB1AEE" w:rsidRDefault="00DB1AEE" w:rsidP="00DB1AEE">
            <w:pPr>
              <w:suppressAutoHyphens/>
              <w:jc w:val="left"/>
              <w:rPr>
                <w:b/>
                <w:bCs/>
                <w:sz w:val="18"/>
                <w:szCs w:val="18"/>
                <w:u w:val="single"/>
              </w:rPr>
            </w:pPr>
            <w:r w:rsidRPr="00DB1AEE">
              <w:rPr>
                <w:b/>
                <w:bCs/>
                <w:i/>
                <w:iCs/>
                <w:sz w:val="18"/>
                <w:szCs w:val="18"/>
                <w:u w:val="single"/>
              </w:rPr>
              <w:t xml:space="preserve">Manual </w:t>
            </w:r>
            <w:r w:rsidRPr="00DB1AEE">
              <w:rPr>
                <w:b/>
                <w:bCs/>
                <w:sz w:val="18"/>
                <w:szCs w:val="18"/>
                <w:u w:val="single"/>
              </w:rPr>
              <w:t xml:space="preserve">ON </w:t>
            </w:r>
          </w:p>
        </w:tc>
        <w:tc>
          <w:tcPr>
            <w:tcW w:w="346" w:type="pct"/>
            <w:gridSpan w:val="3"/>
            <w:tcBorders>
              <w:top w:val="nil"/>
              <w:left w:val="nil"/>
              <w:bottom w:val="single" w:sz="4" w:space="0" w:color="auto"/>
              <w:right w:val="single" w:sz="4" w:space="0" w:color="auto"/>
            </w:tcBorders>
          </w:tcPr>
          <w:p w14:paraId="3EDE196B" w14:textId="77777777" w:rsidR="00DB1AEE" w:rsidRPr="00DB1AEE" w:rsidRDefault="00DB1AEE" w:rsidP="00DB1AEE">
            <w:pPr>
              <w:suppressAutoHyphens/>
              <w:jc w:val="center"/>
              <w:rPr>
                <w:b/>
                <w:bCs/>
                <w:sz w:val="18"/>
                <w:szCs w:val="18"/>
                <w:u w:val="single"/>
              </w:rPr>
            </w:pPr>
            <w:r w:rsidRPr="00DB1AEE">
              <w:rPr>
                <w:b/>
                <w:bCs/>
                <w:strike/>
                <w:sz w:val="18"/>
                <w:szCs w:val="18"/>
                <w:u w:val="single"/>
              </w:rPr>
              <w:br/>
            </w:r>
            <w:r w:rsidRPr="00DB1AEE">
              <w:rPr>
                <w:b/>
                <w:bCs/>
                <w:sz w:val="18"/>
                <w:szCs w:val="18"/>
                <w:u w:val="single"/>
              </w:rPr>
              <w:t xml:space="preserve">Partial </w:t>
            </w:r>
            <w:r w:rsidRPr="00DB1AEE">
              <w:rPr>
                <w:b/>
                <w:bCs/>
                <w:i/>
                <w:iCs/>
                <w:sz w:val="18"/>
                <w:szCs w:val="18"/>
                <w:u w:val="single"/>
              </w:rPr>
              <w:t xml:space="preserve">Auto </w:t>
            </w:r>
            <w:r w:rsidRPr="00DB1AEE">
              <w:rPr>
                <w:b/>
                <w:bCs/>
                <w:sz w:val="18"/>
                <w:szCs w:val="18"/>
                <w:u w:val="single"/>
              </w:rPr>
              <w:t xml:space="preserve">ON </w:t>
            </w:r>
          </w:p>
        </w:tc>
        <w:tc>
          <w:tcPr>
            <w:tcW w:w="365" w:type="pct"/>
            <w:gridSpan w:val="2"/>
            <w:tcBorders>
              <w:top w:val="nil"/>
              <w:left w:val="nil"/>
              <w:bottom w:val="single" w:sz="4" w:space="0" w:color="auto"/>
              <w:right w:val="single" w:sz="4" w:space="0" w:color="auto"/>
            </w:tcBorders>
          </w:tcPr>
          <w:p w14:paraId="6981F8FB" w14:textId="77777777" w:rsidR="00DB1AEE" w:rsidRPr="00DB1AEE" w:rsidRDefault="00DB1AEE" w:rsidP="00DB1AEE">
            <w:pPr>
              <w:suppressAutoHyphens/>
              <w:jc w:val="left"/>
              <w:rPr>
                <w:b/>
                <w:bCs/>
                <w:sz w:val="18"/>
                <w:szCs w:val="18"/>
                <w:u w:val="single"/>
              </w:rPr>
            </w:pPr>
            <w:r w:rsidRPr="00DB1AEE">
              <w:rPr>
                <w:b/>
                <w:bCs/>
                <w:strike/>
                <w:sz w:val="18"/>
                <w:szCs w:val="18"/>
                <w:u w:val="single"/>
              </w:rPr>
              <w:t>Bilevel</w:t>
            </w:r>
            <w:r w:rsidRPr="00DB1AEE">
              <w:rPr>
                <w:b/>
                <w:bCs/>
                <w:sz w:val="18"/>
                <w:szCs w:val="18"/>
                <w:u w:val="single"/>
              </w:rPr>
              <w:t xml:space="preserve"> Multilevel Lighting </w:t>
            </w:r>
            <w:r w:rsidRPr="00DB1AEE">
              <w:rPr>
                <w:b/>
                <w:bCs/>
                <w:i/>
                <w:iCs/>
                <w:sz w:val="18"/>
                <w:szCs w:val="18"/>
                <w:u w:val="single"/>
              </w:rPr>
              <w:t xml:space="preserve">Control </w:t>
            </w:r>
          </w:p>
        </w:tc>
        <w:tc>
          <w:tcPr>
            <w:tcW w:w="417" w:type="pct"/>
            <w:tcBorders>
              <w:top w:val="nil"/>
              <w:left w:val="nil"/>
              <w:bottom w:val="single" w:sz="4" w:space="0" w:color="auto"/>
              <w:right w:val="single" w:sz="4" w:space="0" w:color="auto"/>
            </w:tcBorders>
          </w:tcPr>
          <w:p w14:paraId="3A39B097" w14:textId="77777777" w:rsidR="00DB1AEE" w:rsidRPr="00DB1AEE" w:rsidRDefault="00DB1AEE" w:rsidP="00DB1AEE">
            <w:pPr>
              <w:suppressAutoHyphens/>
              <w:jc w:val="center"/>
              <w:rPr>
                <w:b/>
                <w:bCs/>
                <w:sz w:val="18"/>
                <w:szCs w:val="18"/>
                <w:u w:val="single"/>
              </w:rPr>
            </w:pPr>
            <w:r w:rsidRPr="00DB1AEE">
              <w:rPr>
                <w:b/>
                <w:bCs/>
                <w:sz w:val="18"/>
                <w:szCs w:val="18"/>
                <w:u w:val="single"/>
              </w:rPr>
              <w:t xml:space="preserve">Daylight </w:t>
            </w:r>
          </w:p>
          <w:p w14:paraId="523870EA" w14:textId="77777777" w:rsidR="00DB1AEE" w:rsidRPr="00DB1AEE" w:rsidRDefault="00DB1AEE" w:rsidP="00DB1AEE">
            <w:pPr>
              <w:suppressAutoHyphens/>
              <w:jc w:val="center"/>
              <w:rPr>
                <w:b/>
                <w:bCs/>
                <w:sz w:val="18"/>
                <w:szCs w:val="18"/>
                <w:u w:val="single"/>
              </w:rPr>
            </w:pPr>
            <w:r w:rsidRPr="00DB1AEE">
              <w:rPr>
                <w:b/>
                <w:bCs/>
                <w:sz w:val="18"/>
                <w:szCs w:val="18"/>
                <w:u w:val="single"/>
              </w:rPr>
              <w:t xml:space="preserve">Response Sidelighting </w:t>
            </w:r>
          </w:p>
        </w:tc>
        <w:tc>
          <w:tcPr>
            <w:tcW w:w="399" w:type="pct"/>
            <w:gridSpan w:val="2"/>
            <w:tcBorders>
              <w:top w:val="nil"/>
              <w:left w:val="nil"/>
              <w:bottom w:val="single" w:sz="4" w:space="0" w:color="auto"/>
              <w:right w:val="single" w:sz="4" w:space="0" w:color="auto"/>
            </w:tcBorders>
          </w:tcPr>
          <w:p w14:paraId="5A50959A" w14:textId="77777777" w:rsidR="00DB1AEE" w:rsidRPr="00DB1AEE" w:rsidRDefault="00DB1AEE" w:rsidP="00DB1AEE">
            <w:pPr>
              <w:suppressAutoHyphens/>
              <w:jc w:val="center"/>
              <w:rPr>
                <w:b/>
                <w:bCs/>
                <w:sz w:val="18"/>
                <w:szCs w:val="18"/>
                <w:u w:val="single"/>
              </w:rPr>
            </w:pPr>
            <w:r w:rsidRPr="00DB1AEE">
              <w:rPr>
                <w:b/>
                <w:bCs/>
                <w:sz w:val="18"/>
                <w:szCs w:val="18"/>
                <w:u w:val="single"/>
              </w:rPr>
              <w:t xml:space="preserve">Daylight </w:t>
            </w:r>
          </w:p>
          <w:p w14:paraId="6088118E" w14:textId="77777777" w:rsidR="00DB1AEE" w:rsidRPr="00DB1AEE" w:rsidRDefault="00DB1AEE" w:rsidP="00DB1AEE">
            <w:pPr>
              <w:suppressAutoHyphens/>
              <w:jc w:val="center"/>
              <w:rPr>
                <w:b/>
                <w:bCs/>
                <w:sz w:val="18"/>
                <w:szCs w:val="18"/>
                <w:u w:val="single"/>
              </w:rPr>
            </w:pPr>
            <w:r w:rsidRPr="00DB1AEE">
              <w:rPr>
                <w:b/>
                <w:bCs/>
                <w:sz w:val="18"/>
                <w:szCs w:val="18"/>
                <w:u w:val="single"/>
              </w:rPr>
              <w:t xml:space="preserve">Response </w:t>
            </w:r>
            <w:r w:rsidRPr="00DB1AEE">
              <w:rPr>
                <w:b/>
                <w:bCs/>
                <w:i/>
                <w:iCs/>
                <w:sz w:val="18"/>
                <w:szCs w:val="18"/>
                <w:u w:val="single"/>
              </w:rPr>
              <w:t xml:space="preserve">Toplighting </w:t>
            </w:r>
          </w:p>
        </w:tc>
        <w:tc>
          <w:tcPr>
            <w:tcW w:w="369" w:type="pct"/>
            <w:gridSpan w:val="2"/>
            <w:tcBorders>
              <w:top w:val="nil"/>
              <w:left w:val="nil"/>
              <w:bottom w:val="single" w:sz="4" w:space="0" w:color="auto"/>
              <w:right w:val="single" w:sz="4" w:space="0" w:color="auto"/>
            </w:tcBorders>
          </w:tcPr>
          <w:p w14:paraId="5F1661E8" w14:textId="77777777" w:rsidR="00DB1AEE" w:rsidRPr="00DB1AEE" w:rsidRDefault="00DB1AEE" w:rsidP="00DB1AEE">
            <w:pPr>
              <w:suppressAutoHyphens/>
              <w:jc w:val="center"/>
              <w:rPr>
                <w:b/>
                <w:bCs/>
                <w:sz w:val="18"/>
                <w:szCs w:val="18"/>
                <w:u w:val="single"/>
              </w:rPr>
            </w:pPr>
          </w:p>
          <w:p w14:paraId="78B6DBA4" w14:textId="77777777" w:rsidR="00DB1AEE" w:rsidRPr="00DB1AEE" w:rsidRDefault="00DB1AEE" w:rsidP="00DB1AEE">
            <w:pPr>
              <w:suppressAutoHyphens/>
              <w:jc w:val="left"/>
              <w:rPr>
                <w:b/>
                <w:bCs/>
                <w:sz w:val="18"/>
                <w:szCs w:val="18"/>
                <w:u w:val="single"/>
              </w:rPr>
            </w:pPr>
            <w:r w:rsidRPr="00DB1AEE">
              <w:rPr>
                <w:b/>
                <w:bCs/>
                <w:sz w:val="18"/>
                <w:szCs w:val="18"/>
                <w:u w:val="single"/>
              </w:rPr>
              <w:t>Auto Reduction</w:t>
            </w:r>
          </w:p>
        </w:tc>
        <w:tc>
          <w:tcPr>
            <w:tcW w:w="363" w:type="pct"/>
            <w:tcBorders>
              <w:top w:val="nil"/>
              <w:left w:val="nil"/>
              <w:bottom w:val="single" w:sz="4" w:space="0" w:color="auto"/>
              <w:right w:val="single" w:sz="4" w:space="0" w:color="auto"/>
            </w:tcBorders>
            <w:vAlign w:val="center"/>
          </w:tcPr>
          <w:p w14:paraId="1A152508" w14:textId="77777777" w:rsidR="00DB1AEE" w:rsidRPr="00DB1AEE" w:rsidRDefault="00DB1AEE" w:rsidP="00DB1AEE">
            <w:pPr>
              <w:suppressAutoHyphens/>
              <w:jc w:val="left"/>
              <w:rPr>
                <w:b/>
                <w:bCs/>
                <w:sz w:val="18"/>
                <w:szCs w:val="18"/>
                <w:u w:val="single"/>
              </w:rPr>
            </w:pPr>
            <w:r w:rsidRPr="00DB1AEE">
              <w:rPr>
                <w:b/>
                <w:bCs/>
                <w:i/>
                <w:iCs/>
                <w:sz w:val="18"/>
                <w:szCs w:val="18"/>
                <w:u w:val="single"/>
              </w:rPr>
              <w:t xml:space="preserve">Auto </w:t>
            </w:r>
            <w:r w:rsidRPr="00DB1AEE">
              <w:rPr>
                <w:b/>
                <w:bCs/>
                <w:sz w:val="18"/>
                <w:szCs w:val="18"/>
                <w:u w:val="single"/>
              </w:rPr>
              <w:t xml:space="preserve">Full OFF </w:t>
            </w:r>
          </w:p>
        </w:tc>
        <w:tc>
          <w:tcPr>
            <w:tcW w:w="373" w:type="pct"/>
            <w:gridSpan w:val="2"/>
            <w:tcBorders>
              <w:top w:val="nil"/>
              <w:left w:val="nil"/>
              <w:bottom w:val="single" w:sz="4" w:space="0" w:color="auto"/>
              <w:right w:val="single" w:sz="4" w:space="0" w:color="auto"/>
            </w:tcBorders>
            <w:vAlign w:val="center"/>
          </w:tcPr>
          <w:p w14:paraId="383A6086" w14:textId="77777777" w:rsidR="00DB1AEE" w:rsidRPr="00DB1AEE" w:rsidRDefault="00DB1AEE" w:rsidP="00DB1AEE">
            <w:pPr>
              <w:suppressAutoHyphens/>
              <w:jc w:val="left"/>
              <w:rPr>
                <w:b/>
                <w:bCs/>
                <w:sz w:val="18"/>
                <w:szCs w:val="18"/>
                <w:u w:val="single"/>
              </w:rPr>
            </w:pPr>
            <w:r w:rsidRPr="00DB1AEE">
              <w:rPr>
                <w:b/>
                <w:bCs/>
                <w:sz w:val="18"/>
                <w:szCs w:val="18"/>
                <w:u w:val="single"/>
              </w:rPr>
              <w:t xml:space="preserve">Scheduled Shutoff </w:t>
            </w:r>
          </w:p>
        </w:tc>
      </w:tr>
      <w:tr w:rsidR="00DB1AEE" w:rsidRPr="00DB1AEE" w14:paraId="15F528BB" w14:textId="77777777" w:rsidTr="00FC1832">
        <w:trPr>
          <w:trHeight w:val="990"/>
        </w:trPr>
        <w:tc>
          <w:tcPr>
            <w:tcW w:w="896" w:type="pct"/>
            <w:tcBorders>
              <w:top w:val="nil"/>
              <w:left w:val="single" w:sz="4" w:space="0" w:color="auto"/>
              <w:bottom w:val="single" w:sz="4" w:space="0" w:color="auto"/>
              <w:right w:val="single" w:sz="4" w:space="0" w:color="auto"/>
            </w:tcBorders>
            <w:vAlign w:val="center"/>
            <w:hideMark/>
          </w:tcPr>
          <w:p w14:paraId="37D2F97B" w14:textId="77777777" w:rsidR="00DB1AEE" w:rsidRPr="00DB1AEE" w:rsidRDefault="00DB1AEE" w:rsidP="00DB1AEE">
            <w:pPr>
              <w:suppressAutoHyphens/>
              <w:jc w:val="left"/>
              <w:rPr>
                <w:sz w:val="18"/>
                <w:szCs w:val="18"/>
                <w:u w:val="single"/>
              </w:rPr>
            </w:pPr>
            <w:r w:rsidRPr="00DB1AEE">
              <w:rPr>
                <w:b/>
                <w:bCs/>
                <w:sz w:val="18"/>
                <w:szCs w:val="18"/>
                <w:u w:val="single"/>
              </w:rPr>
              <w:t>Building-Specific Space Types</w:t>
            </w:r>
            <w:r w:rsidRPr="00DB1AEE">
              <w:rPr>
                <w:b/>
                <w:bCs/>
                <w:sz w:val="18"/>
                <w:szCs w:val="18"/>
                <w:u w:val="single"/>
                <w:vertAlign w:val="superscript"/>
              </w:rPr>
              <w:t>a</w:t>
            </w:r>
          </w:p>
        </w:tc>
        <w:tc>
          <w:tcPr>
            <w:tcW w:w="418" w:type="pct"/>
            <w:tcBorders>
              <w:top w:val="single" w:sz="4" w:space="0" w:color="auto"/>
              <w:left w:val="nil"/>
              <w:bottom w:val="single" w:sz="4" w:space="0" w:color="auto"/>
              <w:right w:val="single" w:sz="4" w:space="0" w:color="000000"/>
            </w:tcBorders>
            <w:hideMark/>
          </w:tcPr>
          <w:p w14:paraId="33B9B941" w14:textId="77777777" w:rsidR="00DB1AEE" w:rsidRPr="00DB1AEE" w:rsidRDefault="00DB1AEE" w:rsidP="00DB1AEE">
            <w:pPr>
              <w:suppressAutoHyphens/>
              <w:jc w:val="center"/>
              <w:rPr>
                <w:sz w:val="18"/>
                <w:szCs w:val="18"/>
                <w:u w:val="single"/>
              </w:rPr>
            </w:pPr>
            <w:r w:rsidRPr="00DB1AEE">
              <w:rPr>
                <w:b/>
                <w:bCs/>
                <w:i/>
                <w:iCs/>
                <w:sz w:val="18"/>
                <w:szCs w:val="18"/>
                <w:u w:val="single"/>
              </w:rPr>
              <w:t xml:space="preserve">LPD </w:t>
            </w:r>
            <w:r w:rsidRPr="00DB1AEE">
              <w:rPr>
                <w:b/>
                <w:bCs/>
                <w:sz w:val="18"/>
                <w:szCs w:val="18"/>
                <w:u w:val="single"/>
              </w:rPr>
              <w:t>Allowances, W/ft</w:t>
            </w:r>
            <w:r w:rsidRPr="00DB1AEE">
              <w:rPr>
                <w:b/>
                <w:bCs/>
                <w:sz w:val="18"/>
                <w:szCs w:val="18"/>
                <w:u w:val="single"/>
                <w:vertAlign w:val="superscript"/>
              </w:rPr>
              <w:t>2</w:t>
            </w:r>
          </w:p>
        </w:tc>
        <w:tc>
          <w:tcPr>
            <w:tcW w:w="370" w:type="pct"/>
            <w:gridSpan w:val="3"/>
            <w:tcBorders>
              <w:top w:val="single" w:sz="4" w:space="0" w:color="auto"/>
              <w:left w:val="nil"/>
              <w:bottom w:val="single" w:sz="4" w:space="0" w:color="auto"/>
              <w:right w:val="single" w:sz="4" w:space="0" w:color="000000"/>
            </w:tcBorders>
          </w:tcPr>
          <w:p w14:paraId="7704B6B8" w14:textId="77777777" w:rsidR="00DB1AEE" w:rsidRPr="00DB1AEE" w:rsidRDefault="00DB1AEE" w:rsidP="00DB1AEE">
            <w:pPr>
              <w:suppressAutoHyphens/>
              <w:jc w:val="center"/>
              <w:rPr>
                <w:sz w:val="18"/>
                <w:szCs w:val="18"/>
                <w:u w:val="single"/>
              </w:rPr>
            </w:pPr>
            <w:r w:rsidRPr="00DB1AEE">
              <w:rPr>
                <w:b/>
                <w:bCs/>
                <w:i/>
                <w:iCs/>
                <w:sz w:val="18"/>
                <w:szCs w:val="18"/>
                <w:u w:val="single"/>
              </w:rPr>
              <w:t>RCR</w:t>
            </w:r>
            <w:r w:rsidRPr="00DB1AEE">
              <w:rPr>
                <w:b/>
                <w:bCs/>
                <w:i/>
                <w:iCs/>
                <w:sz w:val="18"/>
                <w:szCs w:val="18"/>
                <w:u w:val="single"/>
              </w:rPr>
              <w:br/>
            </w:r>
            <w:r w:rsidRPr="00DB1AEE">
              <w:rPr>
                <w:b/>
                <w:bCs/>
                <w:sz w:val="18"/>
                <w:szCs w:val="18"/>
                <w:u w:val="single"/>
              </w:rPr>
              <w:t>Threshold</w:t>
            </w:r>
          </w:p>
        </w:tc>
        <w:tc>
          <w:tcPr>
            <w:tcW w:w="338" w:type="pct"/>
            <w:gridSpan w:val="2"/>
            <w:tcBorders>
              <w:top w:val="nil"/>
              <w:left w:val="nil"/>
              <w:bottom w:val="single" w:sz="4" w:space="0" w:color="auto"/>
              <w:right w:val="single" w:sz="4" w:space="0" w:color="auto"/>
            </w:tcBorders>
            <w:vAlign w:val="center"/>
            <w:hideMark/>
          </w:tcPr>
          <w:p w14:paraId="0AE2B552" w14:textId="77777777" w:rsidR="00DB1AEE" w:rsidRPr="00DB1AEE" w:rsidRDefault="00DB1AEE" w:rsidP="00DB1AEE">
            <w:pPr>
              <w:suppressAutoHyphens/>
              <w:jc w:val="center"/>
              <w:rPr>
                <w:b/>
                <w:bCs/>
                <w:sz w:val="18"/>
                <w:szCs w:val="18"/>
                <w:u w:val="single"/>
              </w:rPr>
            </w:pPr>
            <w:r w:rsidRPr="00DB1AEE">
              <w:rPr>
                <w:b/>
                <w:bCs/>
                <w:sz w:val="18"/>
                <w:szCs w:val="18"/>
                <w:u w:val="single"/>
              </w:rPr>
              <w:t>9.4.1.1[a]</w:t>
            </w:r>
          </w:p>
        </w:tc>
        <w:tc>
          <w:tcPr>
            <w:tcW w:w="346" w:type="pct"/>
            <w:tcBorders>
              <w:top w:val="nil"/>
              <w:left w:val="nil"/>
              <w:bottom w:val="single" w:sz="4" w:space="0" w:color="auto"/>
              <w:right w:val="single" w:sz="4" w:space="0" w:color="auto"/>
            </w:tcBorders>
            <w:vAlign w:val="center"/>
            <w:hideMark/>
          </w:tcPr>
          <w:p w14:paraId="3652C3A9" w14:textId="77777777" w:rsidR="00DB1AEE" w:rsidRPr="00DB1AEE" w:rsidRDefault="00DB1AEE" w:rsidP="00DB1AEE">
            <w:pPr>
              <w:suppressAutoHyphens/>
              <w:jc w:val="left"/>
              <w:rPr>
                <w:b/>
                <w:bCs/>
                <w:sz w:val="18"/>
                <w:szCs w:val="18"/>
                <w:u w:val="single"/>
              </w:rPr>
            </w:pPr>
            <w:r w:rsidRPr="00DB1AEE">
              <w:rPr>
                <w:b/>
                <w:bCs/>
                <w:sz w:val="18"/>
                <w:szCs w:val="18"/>
                <w:u w:val="single"/>
              </w:rPr>
              <w:t>9.4.1.1[b]</w:t>
            </w:r>
          </w:p>
        </w:tc>
        <w:tc>
          <w:tcPr>
            <w:tcW w:w="346" w:type="pct"/>
            <w:gridSpan w:val="3"/>
            <w:tcBorders>
              <w:top w:val="nil"/>
              <w:left w:val="nil"/>
              <w:bottom w:val="single" w:sz="4" w:space="0" w:color="auto"/>
              <w:right w:val="single" w:sz="4" w:space="0" w:color="auto"/>
            </w:tcBorders>
            <w:vAlign w:val="center"/>
            <w:hideMark/>
          </w:tcPr>
          <w:p w14:paraId="2028FF11" w14:textId="77777777" w:rsidR="00DB1AEE" w:rsidRPr="00DB1AEE" w:rsidRDefault="00DB1AEE" w:rsidP="00DB1AEE">
            <w:pPr>
              <w:suppressAutoHyphens/>
              <w:jc w:val="center"/>
              <w:rPr>
                <w:b/>
                <w:bCs/>
                <w:sz w:val="18"/>
                <w:szCs w:val="18"/>
                <w:u w:val="single"/>
              </w:rPr>
            </w:pPr>
            <w:r w:rsidRPr="00DB1AEE">
              <w:rPr>
                <w:b/>
                <w:bCs/>
                <w:sz w:val="18"/>
                <w:szCs w:val="18"/>
                <w:u w:val="single"/>
              </w:rPr>
              <w:t>9.4.1.1[c]</w:t>
            </w:r>
          </w:p>
        </w:tc>
        <w:tc>
          <w:tcPr>
            <w:tcW w:w="365" w:type="pct"/>
            <w:gridSpan w:val="2"/>
            <w:tcBorders>
              <w:top w:val="nil"/>
              <w:left w:val="nil"/>
              <w:bottom w:val="single" w:sz="4" w:space="0" w:color="auto"/>
              <w:right w:val="single" w:sz="4" w:space="0" w:color="auto"/>
            </w:tcBorders>
            <w:vAlign w:val="center"/>
            <w:hideMark/>
          </w:tcPr>
          <w:p w14:paraId="5FCDEC64" w14:textId="77777777" w:rsidR="00DB1AEE" w:rsidRPr="00DB1AEE" w:rsidRDefault="00DB1AEE" w:rsidP="00DB1AEE">
            <w:pPr>
              <w:suppressAutoHyphens/>
              <w:jc w:val="left"/>
              <w:rPr>
                <w:b/>
                <w:bCs/>
                <w:sz w:val="18"/>
                <w:szCs w:val="18"/>
                <w:u w:val="single"/>
              </w:rPr>
            </w:pPr>
            <w:r w:rsidRPr="00DB1AEE">
              <w:rPr>
                <w:b/>
                <w:bCs/>
                <w:sz w:val="18"/>
                <w:szCs w:val="18"/>
                <w:u w:val="single"/>
              </w:rPr>
              <w:t>9.4.1.1[d]</w:t>
            </w:r>
          </w:p>
        </w:tc>
        <w:tc>
          <w:tcPr>
            <w:tcW w:w="417" w:type="pct"/>
            <w:tcBorders>
              <w:top w:val="nil"/>
              <w:left w:val="nil"/>
              <w:bottom w:val="single" w:sz="4" w:space="0" w:color="auto"/>
              <w:right w:val="single" w:sz="4" w:space="0" w:color="auto"/>
            </w:tcBorders>
            <w:vAlign w:val="center"/>
            <w:hideMark/>
          </w:tcPr>
          <w:p w14:paraId="79F2A186" w14:textId="77777777" w:rsidR="00DB1AEE" w:rsidRPr="00DB1AEE" w:rsidRDefault="00DB1AEE" w:rsidP="00DB1AEE">
            <w:pPr>
              <w:suppressAutoHyphens/>
              <w:jc w:val="center"/>
              <w:rPr>
                <w:b/>
                <w:bCs/>
                <w:sz w:val="18"/>
                <w:szCs w:val="18"/>
                <w:u w:val="single"/>
              </w:rPr>
            </w:pPr>
            <w:r w:rsidRPr="00DB1AEE">
              <w:rPr>
                <w:b/>
                <w:bCs/>
                <w:sz w:val="18"/>
                <w:szCs w:val="18"/>
                <w:u w:val="single"/>
              </w:rPr>
              <w:t>9.4.1.1[e]</w:t>
            </w:r>
          </w:p>
        </w:tc>
        <w:tc>
          <w:tcPr>
            <w:tcW w:w="399" w:type="pct"/>
            <w:gridSpan w:val="2"/>
            <w:tcBorders>
              <w:top w:val="nil"/>
              <w:left w:val="nil"/>
              <w:bottom w:val="single" w:sz="4" w:space="0" w:color="auto"/>
              <w:right w:val="single" w:sz="4" w:space="0" w:color="auto"/>
            </w:tcBorders>
            <w:vAlign w:val="center"/>
            <w:hideMark/>
          </w:tcPr>
          <w:p w14:paraId="6C2B92C7" w14:textId="77777777" w:rsidR="00DB1AEE" w:rsidRPr="00DB1AEE" w:rsidRDefault="00DB1AEE" w:rsidP="00DB1AEE">
            <w:pPr>
              <w:suppressAutoHyphens/>
              <w:jc w:val="center"/>
              <w:rPr>
                <w:b/>
                <w:bCs/>
                <w:sz w:val="18"/>
                <w:szCs w:val="18"/>
                <w:u w:val="single"/>
              </w:rPr>
            </w:pPr>
            <w:r w:rsidRPr="00DB1AEE">
              <w:rPr>
                <w:b/>
                <w:bCs/>
                <w:sz w:val="18"/>
                <w:szCs w:val="18"/>
                <w:u w:val="single"/>
              </w:rPr>
              <w:t>9.4.1.1[f]</w:t>
            </w:r>
          </w:p>
        </w:tc>
        <w:tc>
          <w:tcPr>
            <w:tcW w:w="369" w:type="pct"/>
            <w:gridSpan w:val="2"/>
            <w:tcBorders>
              <w:top w:val="nil"/>
              <w:left w:val="nil"/>
              <w:bottom w:val="single" w:sz="4" w:space="0" w:color="auto"/>
              <w:right w:val="single" w:sz="4" w:space="0" w:color="auto"/>
            </w:tcBorders>
            <w:vAlign w:val="center"/>
            <w:hideMark/>
          </w:tcPr>
          <w:p w14:paraId="5EAADB4B" w14:textId="77777777" w:rsidR="00DB1AEE" w:rsidRPr="00DB1AEE" w:rsidRDefault="00DB1AEE" w:rsidP="00DB1AEE">
            <w:pPr>
              <w:suppressAutoHyphens/>
              <w:jc w:val="left"/>
              <w:rPr>
                <w:b/>
                <w:bCs/>
                <w:sz w:val="18"/>
                <w:szCs w:val="18"/>
                <w:u w:val="single"/>
              </w:rPr>
            </w:pPr>
            <w:r w:rsidRPr="00DB1AEE">
              <w:rPr>
                <w:b/>
                <w:bCs/>
                <w:sz w:val="18"/>
                <w:szCs w:val="18"/>
                <w:u w:val="single"/>
              </w:rPr>
              <w:t>9.4.1.1[g]</w:t>
            </w:r>
          </w:p>
        </w:tc>
        <w:tc>
          <w:tcPr>
            <w:tcW w:w="363" w:type="pct"/>
            <w:tcBorders>
              <w:top w:val="nil"/>
              <w:left w:val="nil"/>
              <w:bottom w:val="single" w:sz="4" w:space="0" w:color="auto"/>
              <w:right w:val="single" w:sz="4" w:space="0" w:color="auto"/>
            </w:tcBorders>
            <w:vAlign w:val="center"/>
            <w:hideMark/>
          </w:tcPr>
          <w:p w14:paraId="5BABC7F4" w14:textId="77777777" w:rsidR="00DB1AEE" w:rsidRPr="00DB1AEE" w:rsidRDefault="00DB1AEE" w:rsidP="00DB1AEE">
            <w:pPr>
              <w:suppressAutoHyphens/>
              <w:jc w:val="left"/>
              <w:rPr>
                <w:b/>
                <w:bCs/>
                <w:sz w:val="18"/>
                <w:szCs w:val="18"/>
                <w:u w:val="single"/>
              </w:rPr>
            </w:pPr>
            <w:r w:rsidRPr="00DB1AEE">
              <w:rPr>
                <w:b/>
                <w:bCs/>
                <w:sz w:val="18"/>
                <w:szCs w:val="18"/>
                <w:u w:val="single"/>
              </w:rPr>
              <w:t>9.4.1.1[h])</w:t>
            </w:r>
          </w:p>
        </w:tc>
        <w:tc>
          <w:tcPr>
            <w:tcW w:w="373" w:type="pct"/>
            <w:gridSpan w:val="2"/>
            <w:tcBorders>
              <w:top w:val="nil"/>
              <w:left w:val="nil"/>
              <w:bottom w:val="single" w:sz="4" w:space="0" w:color="auto"/>
              <w:right w:val="single" w:sz="4" w:space="0" w:color="auto"/>
            </w:tcBorders>
            <w:vAlign w:val="center"/>
            <w:hideMark/>
          </w:tcPr>
          <w:p w14:paraId="6822B135" w14:textId="77777777" w:rsidR="00DB1AEE" w:rsidRPr="00DB1AEE" w:rsidRDefault="00DB1AEE" w:rsidP="00DB1AEE">
            <w:pPr>
              <w:suppressAutoHyphens/>
              <w:jc w:val="left"/>
              <w:rPr>
                <w:b/>
                <w:bCs/>
                <w:sz w:val="18"/>
                <w:szCs w:val="18"/>
                <w:u w:val="single"/>
              </w:rPr>
            </w:pPr>
            <w:r w:rsidRPr="00DB1AEE">
              <w:rPr>
                <w:b/>
                <w:bCs/>
                <w:sz w:val="18"/>
                <w:szCs w:val="18"/>
                <w:u w:val="single"/>
              </w:rPr>
              <w:t>9.4.1.1[i])</w:t>
            </w:r>
          </w:p>
        </w:tc>
      </w:tr>
      <w:tr w:rsidR="00DB1AEE" w:rsidRPr="00DB1AEE" w14:paraId="1A86A3EA" w14:textId="77777777" w:rsidTr="00FC1832">
        <w:trPr>
          <w:trHeight w:val="510"/>
        </w:trPr>
        <w:tc>
          <w:tcPr>
            <w:tcW w:w="896" w:type="pct"/>
            <w:tcBorders>
              <w:top w:val="nil"/>
              <w:left w:val="single" w:sz="4" w:space="0" w:color="auto"/>
              <w:bottom w:val="single" w:sz="4" w:space="0" w:color="auto"/>
              <w:right w:val="single" w:sz="4" w:space="0" w:color="auto"/>
            </w:tcBorders>
            <w:hideMark/>
          </w:tcPr>
          <w:p w14:paraId="792845AD" w14:textId="77777777" w:rsidR="00DB1AEE" w:rsidRPr="00DB1AEE" w:rsidRDefault="00DB1AEE" w:rsidP="00DB1AEE">
            <w:pPr>
              <w:suppressAutoHyphens/>
              <w:jc w:val="left"/>
              <w:rPr>
                <w:b/>
                <w:bCs/>
                <w:sz w:val="18"/>
                <w:szCs w:val="18"/>
                <w:u w:val="single"/>
              </w:rPr>
            </w:pPr>
            <w:r w:rsidRPr="00DB1AEE">
              <w:rPr>
                <w:b/>
                <w:bCs/>
                <w:sz w:val="18"/>
                <w:szCs w:val="18"/>
                <w:u w:val="single"/>
              </w:rPr>
              <w:t>Casino-Gaming Area</w:t>
            </w:r>
          </w:p>
        </w:tc>
        <w:tc>
          <w:tcPr>
            <w:tcW w:w="429" w:type="pct"/>
            <w:gridSpan w:val="2"/>
            <w:tcBorders>
              <w:top w:val="nil"/>
              <w:left w:val="nil"/>
              <w:bottom w:val="single" w:sz="4" w:space="0" w:color="auto"/>
              <w:right w:val="single" w:sz="4" w:space="0" w:color="auto"/>
            </w:tcBorders>
            <w:hideMark/>
          </w:tcPr>
          <w:p w14:paraId="19060373" w14:textId="77777777" w:rsidR="00DB1AEE" w:rsidRPr="00DB1AEE" w:rsidRDefault="00DB1AEE" w:rsidP="00DB1AEE">
            <w:pPr>
              <w:suppressAutoHyphens/>
              <w:jc w:val="center"/>
              <w:rPr>
                <w:b/>
                <w:bCs/>
                <w:sz w:val="18"/>
                <w:szCs w:val="18"/>
                <w:u w:val="single"/>
              </w:rPr>
            </w:pPr>
            <w:r w:rsidRPr="00DB1AEE">
              <w:rPr>
                <w:b/>
                <w:bCs/>
                <w:sz w:val="18"/>
                <w:szCs w:val="18"/>
                <w:u w:val="single"/>
              </w:rPr>
              <w:t> </w:t>
            </w:r>
          </w:p>
          <w:p w14:paraId="16BF0129"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330" w:type="pct"/>
            <w:tcBorders>
              <w:top w:val="nil"/>
              <w:left w:val="nil"/>
              <w:bottom w:val="single" w:sz="4" w:space="0" w:color="auto"/>
              <w:right w:val="single" w:sz="4" w:space="0" w:color="auto"/>
            </w:tcBorders>
            <w:vAlign w:val="bottom"/>
            <w:hideMark/>
          </w:tcPr>
          <w:p w14:paraId="389C4614"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361" w:type="pct"/>
            <w:gridSpan w:val="2"/>
            <w:tcBorders>
              <w:top w:val="nil"/>
              <w:left w:val="nil"/>
              <w:bottom w:val="single" w:sz="4" w:space="0" w:color="auto"/>
              <w:right w:val="single" w:sz="4" w:space="0" w:color="auto"/>
            </w:tcBorders>
            <w:hideMark/>
          </w:tcPr>
          <w:p w14:paraId="5E395258" w14:textId="77777777" w:rsidR="00DB1AEE" w:rsidRPr="00DB1AEE" w:rsidRDefault="00DB1AEE" w:rsidP="00DB1AEE">
            <w:pPr>
              <w:suppressAutoHyphens/>
              <w:jc w:val="center"/>
              <w:rPr>
                <w:b/>
                <w:bCs/>
                <w:sz w:val="18"/>
                <w:szCs w:val="18"/>
                <w:u w:val="single"/>
              </w:rPr>
            </w:pPr>
            <w:r w:rsidRPr="00DB1AEE">
              <w:rPr>
                <w:b/>
                <w:bCs/>
                <w:sz w:val="18"/>
                <w:szCs w:val="18"/>
                <w:u w:val="single"/>
              </w:rPr>
              <w:t> </w:t>
            </w:r>
          </w:p>
        </w:tc>
        <w:tc>
          <w:tcPr>
            <w:tcW w:w="363" w:type="pct"/>
            <w:gridSpan w:val="3"/>
            <w:tcBorders>
              <w:top w:val="nil"/>
              <w:left w:val="nil"/>
              <w:bottom w:val="single" w:sz="4" w:space="0" w:color="auto"/>
              <w:right w:val="single" w:sz="4" w:space="0" w:color="auto"/>
            </w:tcBorders>
            <w:hideMark/>
          </w:tcPr>
          <w:p w14:paraId="5818D515" w14:textId="77777777" w:rsidR="00DB1AEE" w:rsidRPr="00DB1AEE" w:rsidRDefault="00DB1AEE" w:rsidP="00DB1AEE">
            <w:pPr>
              <w:suppressAutoHyphens/>
              <w:jc w:val="center"/>
              <w:rPr>
                <w:b/>
                <w:bCs/>
                <w:sz w:val="18"/>
                <w:szCs w:val="18"/>
                <w:u w:val="single"/>
              </w:rPr>
            </w:pPr>
            <w:r w:rsidRPr="00DB1AEE">
              <w:rPr>
                <w:b/>
                <w:bCs/>
                <w:sz w:val="18"/>
                <w:szCs w:val="18"/>
                <w:u w:val="single"/>
              </w:rPr>
              <w:t> </w:t>
            </w:r>
          </w:p>
        </w:tc>
        <w:tc>
          <w:tcPr>
            <w:tcW w:w="330" w:type="pct"/>
            <w:tcBorders>
              <w:top w:val="nil"/>
              <w:left w:val="nil"/>
              <w:bottom w:val="single" w:sz="4" w:space="0" w:color="auto"/>
              <w:right w:val="single" w:sz="4" w:space="0" w:color="auto"/>
            </w:tcBorders>
            <w:hideMark/>
          </w:tcPr>
          <w:p w14:paraId="4BB35BAC" w14:textId="77777777" w:rsidR="00DB1AEE" w:rsidRPr="00DB1AEE" w:rsidRDefault="00DB1AEE" w:rsidP="00DB1AEE">
            <w:pPr>
              <w:suppressAutoHyphens/>
              <w:jc w:val="center"/>
              <w:rPr>
                <w:b/>
                <w:bCs/>
                <w:sz w:val="18"/>
                <w:szCs w:val="18"/>
                <w:u w:val="single"/>
              </w:rPr>
            </w:pPr>
            <w:r w:rsidRPr="00DB1AEE">
              <w:rPr>
                <w:b/>
                <w:bCs/>
                <w:sz w:val="18"/>
                <w:szCs w:val="18"/>
                <w:u w:val="single"/>
              </w:rPr>
              <w:t> </w:t>
            </w:r>
          </w:p>
        </w:tc>
        <w:tc>
          <w:tcPr>
            <w:tcW w:w="364" w:type="pct"/>
            <w:gridSpan w:val="2"/>
            <w:tcBorders>
              <w:top w:val="nil"/>
              <w:left w:val="nil"/>
              <w:bottom w:val="single" w:sz="4" w:space="0" w:color="auto"/>
              <w:right w:val="single" w:sz="4" w:space="0" w:color="auto"/>
            </w:tcBorders>
            <w:hideMark/>
          </w:tcPr>
          <w:p w14:paraId="3AD0B58B" w14:textId="77777777" w:rsidR="00DB1AEE" w:rsidRPr="00DB1AEE" w:rsidRDefault="00DB1AEE" w:rsidP="00DB1AEE">
            <w:pPr>
              <w:suppressAutoHyphens/>
              <w:jc w:val="center"/>
              <w:rPr>
                <w:b/>
                <w:bCs/>
                <w:sz w:val="18"/>
                <w:szCs w:val="18"/>
                <w:u w:val="single"/>
              </w:rPr>
            </w:pPr>
            <w:r w:rsidRPr="00DB1AEE">
              <w:rPr>
                <w:b/>
                <w:bCs/>
                <w:sz w:val="18"/>
                <w:szCs w:val="18"/>
                <w:u w:val="single"/>
              </w:rPr>
              <w:t> </w:t>
            </w:r>
          </w:p>
        </w:tc>
        <w:tc>
          <w:tcPr>
            <w:tcW w:w="427" w:type="pct"/>
            <w:gridSpan w:val="3"/>
            <w:tcBorders>
              <w:top w:val="nil"/>
              <w:left w:val="nil"/>
              <w:bottom w:val="single" w:sz="4" w:space="0" w:color="auto"/>
              <w:right w:val="single" w:sz="4" w:space="0" w:color="auto"/>
            </w:tcBorders>
            <w:hideMark/>
          </w:tcPr>
          <w:p w14:paraId="73D16A16" w14:textId="77777777" w:rsidR="00DB1AEE" w:rsidRPr="00DB1AEE" w:rsidRDefault="00DB1AEE" w:rsidP="00DB1AEE">
            <w:pPr>
              <w:suppressAutoHyphens/>
              <w:jc w:val="center"/>
              <w:rPr>
                <w:b/>
                <w:bCs/>
                <w:sz w:val="18"/>
                <w:szCs w:val="18"/>
                <w:u w:val="single"/>
              </w:rPr>
            </w:pPr>
            <w:r w:rsidRPr="00DB1AEE">
              <w:rPr>
                <w:b/>
                <w:bCs/>
                <w:sz w:val="18"/>
                <w:szCs w:val="18"/>
                <w:u w:val="single"/>
              </w:rPr>
              <w:t> </w:t>
            </w:r>
          </w:p>
        </w:tc>
        <w:tc>
          <w:tcPr>
            <w:tcW w:w="397" w:type="pct"/>
            <w:tcBorders>
              <w:top w:val="nil"/>
              <w:left w:val="nil"/>
              <w:bottom w:val="single" w:sz="4" w:space="0" w:color="auto"/>
              <w:right w:val="single" w:sz="4" w:space="0" w:color="auto"/>
            </w:tcBorders>
            <w:hideMark/>
          </w:tcPr>
          <w:p w14:paraId="43DFD0F8" w14:textId="77777777" w:rsidR="00DB1AEE" w:rsidRPr="00DB1AEE" w:rsidRDefault="00DB1AEE" w:rsidP="00DB1AEE">
            <w:pPr>
              <w:suppressAutoHyphens/>
              <w:jc w:val="center"/>
              <w:rPr>
                <w:b/>
                <w:bCs/>
                <w:sz w:val="18"/>
                <w:szCs w:val="18"/>
                <w:u w:val="single"/>
              </w:rPr>
            </w:pPr>
            <w:r w:rsidRPr="00DB1AEE">
              <w:rPr>
                <w:b/>
                <w:bCs/>
                <w:sz w:val="18"/>
                <w:szCs w:val="18"/>
                <w:u w:val="single"/>
              </w:rPr>
              <w:t> </w:t>
            </w:r>
          </w:p>
        </w:tc>
        <w:tc>
          <w:tcPr>
            <w:tcW w:w="363" w:type="pct"/>
            <w:tcBorders>
              <w:top w:val="nil"/>
              <w:left w:val="nil"/>
              <w:bottom w:val="single" w:sz="4" w:space="0" w:color="auto"/>
              <w:right w:val="single" w:sz="4" w:space="0" w:color="auto"/>
            </w:tcBorders>
            <w:hideMark/>
          </w:tcPr>
          <w:p w14:paraId="7C60810C" w14:textId="77777777" w:rsidR="00DB1AEE" w:rsidRPr="00DB1AEE" w:rsidRDefault="00DB1AEE" w:rsidP="00DB1AEE">
            <w:pPr>
              <w:suppressAutoHyphens/>
              <w:jc w:val="center"/>
              <w:rPr>
                <w:b/>
                <w:bCs/>
                <w:sz w:val="18"/>
                <w:szCs w:val="18"/>
                <w:u w:val="single"/>
              </w:rPr>
            </w:pPr>
            <w:r w:rsidRPr="00DB1AEE">
              <w:rPr>
                <w:b/>
                <w:bCs/>
                <w:sz w:val="18"/>
                <w:szCs w:val="18"/>
                <w:u w:val="single"/>
              </w:rPr>
              <w:t> </w:t>
            </w:r>
          </w:p>
        </w:tc>
        <w:tc>
          <w:tcPr>
            <w:tcW w:w="418" w:type="pct"/>
            <w:gridSpan w:val="3"/>
            <w:tcBorders>
              <w:top w:val="nil"/>
              <w:left w:val="nil"/>
              <w:bottom w:val="single" w:sz="4" w:space="0" w:color="auto"/>
              <w:right w:val="single" w:sz="4" w:space="0" w:color="auto"/>
            </w:tcBorders>
            <w:hideMark/>
          </w:tcPr>
          <w:p w14:paraId="1D43AA17" w14:textId="77777777" w:rsidR="00DB1AEE" w:rsidRPr="00DB1AEE" w:rsidRDefault="00DB1AEE" w:rsidP="00DB1AEE">
            <w:pPr>
              <w:suppressAutoHyphens/>
              <w:jc w:val="center"/>
              <w:rPr>
                <w:b/>
                <w:bCs/>
                <w:sz w:val="18"/>
                <w:szCs w:val="18"/>
                <w:u w:val="single"/>
              </w:rPr>
            </w:pPr>
            <w:r w:rsidRPr="00DB1AEE">
              <w:rPr>
                <w:b/>
                <w:bCs/>
                <w:sz w:val="18"/>
                <w:szCs w:val="18"/>
                <w:u w:val="single"/>
              </w:rPr>
              <w:t> </w:t>
            </w:r>
          </w:p>
        </w:tc>
        <w:tc>
          <w:tcPr>
            <w:tcW w:w="323" w:type="pct"/>
            <w:tcBorders>
              <w:top w:val="nil"/>
              <w:left w:val="nil"/>
              <w:bottom w:val="single" w:sz="4" w:space="0" w:color="auto"/>
              <w:right w:val="single" w:sz="4" w:space="0" w:color="auto"/>
            </w:tcBorders>
            <w:hideMark/>
          </w:tcPr>
          <w:p w14:paraId="47E0EA3B" w14:textId="77777777" w:rsidR="00DB1AEE" w:rsidRPr="00DB1AEE" w:rsidRDefault="00DB1AEE" w:rsidP="00DB1AEE">
            <w:pPr>
              <w:suppressAutoHyphens/>
              <w:jc w:val="center"/>
              <w:rPr>
                <w:b/>
                <w:bCs/>
                <w:sz w:val="18"/>
                <w:szCs w:val="18"/>
                <w:u w:val="single"/>
              </w:rPr>
            </w:pPr>
            <w:r w:rsidRPr="00DB1AEE">
              <w:rPr>
                <w:b/>
                <w:bCs/>
                <w:sz w:val="18"/>
                <w:szCs w:val="18"/>
                <w:u w:val="single"/>
              </w:rPr>
              <w:t> </w:t>
            </w:r>
          </w:p>
        </w:tc>
      </w:tr>
      <w:tr w:rsidR="00DB1AEE" w:rsidRPr="00DB1AEE" w14:paraId="161CA389" w14:textId="77777777" w:rsidTr="00FC1832">
        <w:trPr>
          <w:trHeight w:val="510"/>
        </w:trPr>
        <w:tc>
          <w:tcPr>
            <w:tcW w:w="896" w:type="pct"/>
            <w:tcBorders>
              <w:top w:val="nil"/>
              <w:left w:val="single" w:sz="4" w:space="0" w:color="auto"/>
              <w:bottom w:val="single" w:sz="4" w:space="0" w:color="auto"/>
              <w:right w:val="single" w:sz="4" w:space="0" w:color="auto"/>
            </w:tcBorders>
            <w:hideMark/>
          </w:tcPr>
          <w:p w14:paraId="3A4B109D" w14:textId="77777777" w:rsidR="00DB1AEE" w:rsidRPr="00DB1AEE" w:rsidRDefault="00DB1AEE" w:rsidP="00DB1AEE">
            <w:pPr>
              <w:suppressAutoHyphens/>
              <w:jc w:val="left"/>
              <w:rPr>
                <w:sz w:val="18"/>
                <w:szCs w:val="18"/>
                <w:u w:val="single"/>
              </w:rPr>
            </w:pPr>
            <w:r w:rsidRPr="00DB1AEE">
              <w:rPr>
                <w:sz w:val="18"/>
                <w:szCs w:val="18"/>
                <w:u w:val="single"/>
              </w:rPr>
              <w:t>Betting/sportsbook/keno/bingo area</w:t>
            </w:r>
          </w:p>
        </w:tc>
        <w:tc>
          <w:tcPr>
            <w:tcW w:w="429" w:type="pct"/>
            <w:gridSpan w:val="2"/>
            <w:tcBorders>
              <w:top w:val="nil"/>
              <w:left w:val="nil"/>
              <w:bottom w:val="single" w:sz="4" w:space="0" w:color="auto"/>
              <w:right w:val="single" w:sz="4" w:space="0" w:color="auto"/>
            </w:tcBorders>
            <w:hideMark/>
          </w:tcPr>
          <w:p w14:paraId="6CC9313F" w14:textId="77777777" w:rsidR="00DB1AEE" w:rsidRPr="00DB1AEE" w:rsidRDefault="00DB1AEE" w:rsidP="00DB1AEE">
            <w:pPr>
              <w:suppressAutoHyphens/>
              <w:jc w:val="center"/>
              <w:rPr>
                <w:b/>
                <w:bCs/>
                <w:sz w:val="18"/>
                <w:szCs w:val="18"/>
                <w:u w:val="single"/>
              </w:rPr>
            </w:pPr>
            <w:r w:rsidRPr="00DB1AEE">
              <w:rPr>
                <w:b/>
                <w:bCs/>
                <w:sz w:val="18"/>
                <w:szCs w:val="18"/>
                <w:u w:val="single"/>
              </w:rPr>
              <w:t> </w:t>
            </w:r>
          </w:p>
          <w:p w14:paraId="7D733266" w14:textId="77777777" w:rsidR="00DB1AEE" w:rsidRPr="00DB1AEE" w:rsidRDefault="00DB1AEE" w:rsidP="00DB1AEE">
            <w:pPr>
              <w:suppressAutoHyphens/>
              <w:ind w:firstLineChars="100" w:firstLine="180"/>
              <w:jc w:val="right"/>
              <w:rPr>
                <w:sz w:val="18"/>
                <w:szCs w:val="18"/>
                <w:u w:val="single"/>
              </w:rPr>
            </w:pPr>
            <w:r w:rsidRPr="00DB1AEE">
              <w:rPr>
                <w:sz w:val="18"/>
                <w:szCs w:val="18"/>
                <w:u w:val="single"/>
              </w:rPr>
              <w:t>0.82</w:t>
            </w:r>
          </w:p>
        </w:tc>
        <w:tc>
          <w:tcPr>
            <w:tcW w:w="330" w:type="pct"/>
            <w:tcBorders>
              <w:top w:val="nil"/>
              <w:left w:val="nil"/>
              <w:bottom w:val="single" w:sz="4" w:space="0" w:color="auto"/>
              <w:right w:val="single" w:sz="4" w:space="0" w:color="auto"/>
            </w:tcBorders>
            <w:noWrap/>
            <w:hideMark/>
          </w:tcPr>
          <w:p w14:paraId="47615E47" w14:textId="77777777" w:rsidR="00DB1AEE" w:rsidRPr="00DB1AEE" w:rsidRDefault="00DB1AEE" w:rsidP="00DB1AEE">
            <w:pPr>
              <w:suppressAutoHyphens/>
              <w:jc w:val="center"/>
              <w:rPr>
                <w:sz w:val="18"/>
                <w:szCs w:val="18"/>
                <w:u w:val="single"/>
              </w:rPr>
            </w:pPr>
            <w:r w:rsidRPr="00DB1AEE">
              <w:rPr>
                <w:sz w:val="18"/>
                <w:szCs w:val="18"/>
                <w:u w:val="single"/>
              </w:rPr>
              <w:t>5</w:t>
            </w:r>
          </w:p>
        </w:tc>
        <w:tc>
          <w:tcPr>
            <w:tcW w:w="361" w:type="pct"/>
            <w:gridSpan w:val="2"/>
            <w:tcBorders>
              <w:top w:val="nil"/>
              <w:left w:val="nil"/>
              <w:bottom w:val="single" w:sz="4" w:space="0" w:color="auto"/>
              <w:right w:val="single" w:sz="4" w:space="0" w:color="auto"/>
            </w:tcBorders>
            <w:hideMark/>
          </w:tcPr>
          <w:p w14:paraId="7D6AA0EE" w14:textId="77777777" w:rsidR="00DB1AEE" w:rsidRPr="00DB1AEE" w:rsidRDefault="00DB1AEE" w:rsidP="00DB1AEE">
            <w:pPr>
              <w:suppressAutoHyphens/>
              <w:jc w:val="center"/>
              <w:rPr>
                <w:b/>
                <w:bCs/>
                <w:sz w:val="18"/>
                <w:szCs w:val="18"/>
                <w:u w:val="single"/>
              </w:rPr>
            </w:pPr>
            <w:r w:rsidRPr="00DB1AEE">
              <w:rPr>
                <w:b/>
                <w:bCs/>
                <w:sz w:val="18"/>
                <w:szCs w:val="18"/>
                <w:u w:val="single"/>
              </w:rPr>
              <w:t> </w:t>
            </w:r>
          </w:p>
        </w:tc>
        <w:tc>
          <w:tcPr>
            <w:tcW w:w="363" w:type="pct"/>
            <w:gridSpan w:val="3"/>
            <w:tcBorders>
              <w:top w:val="nil"/>
              <w:left w:val="nil"/>
              <w:bottom w:val="single" w:sz="4" w:space="0" w:color="auto"/>
              <w:right w:val="single" w:sz="4" w:space="0" w:color="auto"/>
            </w:tcBorders>
            <w:hideMark/>
          </w:tcPr>
          <w:p w14:paraId="7EACD42D" w14:textId="77777777" w:rsidR="00DB1AEE" w:rsidRPr="00DB1AEE" w:rsidRDefault="00DB1AEE" w:rsidP="00DB1AEE">
            <w:pPr>
              <w:suppressAutoHyphens/>
              <w:jc w:val="center"/>
              <w:rPr>
                <w:b/>
                <w:bCs/>
                <w:sz w:val="18"/>
                <w:szCs w:val="18"/>
                <w:u w:val="single"/>
              </w:rPr>
            </w:pPr>
            <w:r w:rsidRPr="00DB1AEE">
              <w:rPr>
                <w:b/>
                <w:bCs/>
                <w:sz w:val="18"/>
                <w:szCs w:val="18"/>
                <w:u w:val="single"/>
              </w:rPr>
              <w:t> </w:t>
            </w:r>
          </w:p>
        </w:tc>
        <w:tc>
          <w:tcPr>
            <w:tcW w:w="330" w:type="pct"/>
            <w:tcBorders>
              <w:top w:val="nil"/>
              <w:left w:val="nil"/>
              <w:bottom w:val="single" w:sz="4" w:space="0" w:color="auto"/>
              <w:right w:val="single" w:sz="4" w:space="0" w:color="auto"/>
            </w:tcBorders>
            <w:hideMark/>
          </w:tcPr>
          <w:p w14:paraId="4754BD28" w14:textId="77777777" w:rsidR="00DB1AEE" w:rsidRPr="00DB1AEE" w:rsidRDefault="00DB1AEE" w:rsidP="00DB1AEE">
            <w:pPr>
              <w:suppressAutoHyphens/>
              <w:jc w:val="center"/>
              <w:rPr>
                <w:b/>
                <w:bCs/>
                <w:sz w:val="18"/>
                <w:szCs w:val="18"/>
                <w:u w:val="single"/>
              </w:rPr>
            </w:pPr>
            <w:r w:rsidRPr="00DB1AEE">
              <w:rPr>
                <w:b/>
                <w:bCs/>
                <w:sz w:val="18"/>
                <w:szCs w:val="18"/>
                <w:u w:val="single"/>
              </w:rPr>
              <w:t> </w:t>
            </w:r>
          </w:p>
        </w:tc>
        <w:tc>
          <w:tcPr>
            <w:tcW w:w="364" w:type="pct"/>
            <w:gridSpan w:val="2"/>
            <w:tcBorders>
              <w:top w:val="nil"/>
              <w:left w:val="nil"/>
              <w:bottom w:val="single" w:sz="4" w:space="0" w:color="auto"/>
              <w:right w:val="single" w:sz="4" w:space="0" w:color="auto"/>
            </w:tcBorders>
            <w:hideMark/>
          </w:tcPr>
          <w:p w14:paraId="18E97649"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427" w:type="pct"/>
            <w:gridSpan w:val="3"/>
            <w:tcBorders>
              <w:top w:val="nil"/>
              <w:left w:val="nil"/>
              <w:bottom w:val="single" w:sz="4" w:space="0" w:color="auto"/>
              <w:right w:val="single" w:sz="4" w:space="0" w:color="auto"/>
            </w:tcBorders>
            <w:hideMark/>
          </w:tcPr>
          <w:p w14:paraId="4F6B7E53" w14:textId="77777777" w:rsidR="00DB1AEE" w:rsidRPr="00DB1AEE" w:rsidRDefault="00DB1AEE" w:rsidP="00DB1AEE">
            <w:pPr>
              <w:suppressAutoHyphens/>
              <w:jc w:val="center"/>
              <w:rPr>
                <w:b/>
                <w:bCs/>
                <w:sz w:val="18"/>
                <w:szCs w:val="18"/>
                <w:u w:val="single"/>
              </w:rPr>
            </w:pPr>
            <w:r w:rsidRPr="00DB1AEE">
              <w:rPr>
                <w:b/>
                <w:bCs/>
                <w:sz w:val="18"/>
                <w:szCs w:val="18"/>
                <w:u w:val="single"/>
              </w:rPr>
              <w:t> </w:t>
            </w:r>
          </w:p>
        </w:tc>
        <w:tc>
          <w:tcPr>
            <w:tcW w:w="397" w:type="pct"/>
            <w:tcBorders>
              <w:top w:val="nil"/>
              <w:left w:val="nil"/>
              <w:bottom w:val="single" w:sz="4" w:space="0" w:color="auto"/>
              <w:right w:val="single" w:sz="4" w:space="0" w:color="auto"/>
            </w:tcBorders>
            <w:hideMark/>
          </w:tcPr>
          <w:p w14:paraId="69DA0BA5" w14:textId="77777777" w:rsidR="00DB1AEE" w:rsidRPr="00DB1AEE" w:rsidRDefault="00DB1AEE" w:rsidP="00DB1AEE">
            <w:pPr>
              <w:suppressAutoHyphens/>
              <w:jc w:val="center"/>
              <w:rPr>
                <w:b/>
                <w:bCs/>
                <w:sz w:val="18"/>
                <w:szCs w:val="18"/>
                <w:u w:val="single"/>
              </w:rPr>
            </w:pPr>
            <w:r w:rsidRPr="00DB1AEE">
              <w:rPr>
                <w:b/>
                <w:bCs/>
                <w:sz w:val="18"/>
                <w:szCs w:val="18"/>
                <w:u w:val="single"/>
              </w:rPr>
              <w:t> </w:t>
            </w:r>
          </w:p>
        </w:tc>
        <w:tc>
          <w:tcPr>
            <w:tcW w:w="363" w:type="pct"/>
            <w:tcBorders>
              <w:top w:val="nil"/>
              <w:left w:val="nil"/>
              <w:bottom w:val="single" w:sz="4" w:space="0" w:color="auto"/>
              <w:right w:val="single" w:sz="4" w:space="0" w:color="auto"/>
            </w:tcBorders>
            <w:hideMark/>
          </w:tcPr>
          <w:p w14:paraId="6CFD9C72" w14:textId="77777777" w:rsidR="00DB1AEE" w:rsidRPr="00DB1AEE" w:rsidRDefault="00DB1AEE" w:rsidP="00DB1AEE">
            <w:pPr>
              <w:suppressAutoHyphens/>
              <w:jc w:val="center"/>
              <w:rPr>
                <w:b/>
                <w:bCs/>
                <w:sz w:val="18"/>
                <w:szCs w:val="18"/>
                <w:u w:val="single"/>
              </w:rPr>
            </w:pPr>
            <w:r w:rsidRPr="00DB1AEE">
              <w:rPr>
                <w:b/>
                <w:bCs/>
                <w:sz w:val="18"/>
                <w:szCs w:val="18"/>
                <w:u w:val="single"/>
              </w:rPr>
              <w:t> </w:t>
            </w:r>
          </w:p>
        </w:tc>
        <w:tc>
          <w:tcPr>
            <w:tcW w:w="418" w:type="pct"/>
            <w:gridSpan w:val="3"/>
            <w:tcBorders>
              <w:top w:val="nil"/>
              <w:left w:val="nil"/>
              <w:bottom w:val="single" w:sz="4" w:space="0" w:color="auto"/>
              <w:right w:val="single" w:sz="4" w:space="0" w:color="auto"/>
            </w:tcBorders>
            <w:hideMark/>
          </w:tcPr>
          <w:p w14:paraId="5867A3A5" w14:textId="77777777" w:rsidR="00DB1AEE" w:rsidRPr="00DB1AEE" w:rsidRDefault="00DB1AEE" w:rsidP="00DB1AEE">
            <w:pPr>
              <w:suppressAutoHyphens/>
              <w:jc w:val="center"/>
              <w:rPr>
                <w:sz w:val="18"/>
                <w:szCs w:val="18"/>
                <w:u w:val="single"/>
              </w:rPr>
            </w:pPr>
            <w:r w:rsidRPr="00DB1AEE">
              <w:rPr>
                <w:sz w:val="18"/>
                <w:szCs w:val="18"/>
                <w:u w:val="single"/>
              </w:rPr>
              <w:t>ADD2</w:t>
            </w:r>
          </w:p>
        </w:tc>
        <w:tc>
          <w:tcPr>
            <w:tcW w:w="323" w:type="pct"/>
            <w:tcBorders>
              <w:top w:val="nil"/>
              <w:left w:val="nil"/>
              <w:bottom w:val="single" w:sz="4" w:space="0" w:color="auto"/>
              <w:right w:val="single" w:sz="4" w:space="0" w:color="auto"/>
            </w:tcBorders>
            <w:hideMark/>
          </w:tcPr>
          <w:p w14:paraId="1AFDCFE1" w14:textId="77777777" w:rsidR="00DB1AEE" w:rsidRPr="00DB1AEE" w:rsidRDefault="00DB1AEE" w:rsidP="00DB1AEE">
            <w:pPr>
              <w:suppressAutoHyphens/>
              <w:jc w:val="center"/>
              <w:rPr>
                <w:sz w:val="18"/>
                <w:szCs w:val="18"/>
                <w:u w:val="single"/>
              </w:rPr>
            </w:pPr>
            <w:r w:rsidRPr="00DB1AEE">
              <w:rPr>
                <w:sz w:val="18"/>
                <w:szCs w:val="18"/>
                <w:u w:val="single"/>
              </w:rPr>
              <w:t>ADD2</w:t>
            </w:r>
          </w:p>
        </w:tc>
      </w:tr>
      <w:tr w:rsidR="00DB1AEE" w:rsidRPr="00DB1AEE" w14:paraId="0F4E41FD" w14:textId="77777777" w:rsidTr="00FC1832">
        <w:trPr>
          <w:trHeight w:val="510"/>
        </w:trPr>
        <w:tc>
          <w:tcPr>
            <w:tcW w:w="896" w:type="pct"/>
            <w:tcBorders>
              <w:top w:val="nil"/>
              <w:left w:val="single" w:sz="4" w:space="0" w:color="auto"/>
              <w:bottom w:val="single" w:sz="4" w:space="0" w:color="auto"/>
              <w:right w:val="single" w:sz="4" w:space="0" w:color="auto"/>
            </w:tcBorders>
            <w:hideMark/>
          </w:tcPr>
          <w:p w14:paraId="63BA8C78" w14:textId="77777777" w:rsidR="00DB1AEE" w:rsidRPr="00DB1AEE" w:rsidRDefault="00DB1AEE" w:rsidP="00DB1AEE">
            <w:pPr>
              <w:suppressAutoHyphens/>
              <w:jc w:val="left"/>
              <w:rPr>
                <w:sz w:val="18"/>
                <w:szCs w:val="18"/>
                <w:u w:val="single"/>
              </w:rPr>
            </w:pPr>
            <w:r w:rsidRPr="00DB1AEE">
              <w:rPr>
                <w:sz w:val="18"/>
                <w:szCs w:val="18"/>
                <w:u w:val="single"/>
              </w:rPr>
              <w:t>High-limit game area</w:t>
            </w:r>
          </w:p>
        </w:tc>
        <w:tc>
          <w:tcPr>
            <w:tcW w:w="429" w:type="pct"/>
            <w:gridSpan w:val="2"/>
            <w:tcBorders>
              <w:top w:val="nil"/>
              <w:left w:val="nil"/>
              <w:bottom w:val="single" w:sz="4" w:space="0" w:color="auto"/>
              <w:right w:val="single" w:sz="4" w:space="0" w:color="auto"/>
            </w:tcBorders>
            <w:hideMark/>
          </w:tcPr>
          <w:p w14:paraId="06ABBF4C" w14:textId="77777777" w:rsidR="00DB1AEE" w:rsidRPr="00DB1AEE" w:rsidRDefault="00DB1AEE" w:rsidP="00DB1AEE">
            <w:pPr>
              <w:suppressAutoHyphens/>
              <w:jc w:val="center"/>
              <w:rPr>
                <w:b/>
                <w:bCs/>
                <w:sz w:val="18"/>
                <w:szCs w:val="18"/>
                <w:u w:val="single"/>
              </w:rPr>
            </w:pPr>
            <w:r w:rsidRPr="00DB1AEE">
              <w:rPr>
                <w:b/>
                <w:bCs/>
                <w:sz w:val="18"/>
                <w:szCs w:val="18"/>
                <w:u w:val="single"/>
              </w:rPr>
              <w:t> </w:t>
            </w:r>
          </w:p>
          <w:p w14:paraId="05D68913" w14:textId="77777777" w:rsidR="00DB1AEE" w:rsidRPr="00DB1AEE" w:rsidRDefault="00DB1AEE" w:rsidP="00DB1AEE">
            <w:pPr>
              <w:suppressAutoHyphens/>
              <w:ind w:firstLineChars="100" w:firstLine="180"/>
              <w:jc w:val="right"/>
              <w:rPr>
                <w:sz w:val="18"/>
                <w:szCs w:val="18"/>
                <w:u w:val="single"/>
              </w:rPr>
            </w:pPr>
            <w:r w:rsidRPr="00DB1AEE">
              <w:rPr>
                <w:sz w:val="18"/>
                <w:szCs w:val="18"/>
                <w:u w:val="single"/>
              </w:rPr>
              <w:t>1.68</w:t>
            </w:r>
          </w:p>
        </w:tc>
        <w:tc>
          <w:tcPr>
            <w:tcW w:w="330" w:type="pct"/>
            <w:tcBorders>
              <w:top w:val="nil"/>
              <w:left w:val="nil"/>
              <w:bottom w:val="single" w:sz="4" w:space="0" w:color="auto"/>
              <w:right w:val="single" w:sz="4" w:space="0" w:color="auto"/>
            </w:tcBorders>
            <w:noWrap/>
            <w:hideMark/>
          </w:tcPr>
          <w:p w14:paraId="125555CD" w14:textId="77777777" w:rsidR="00DB1AEE" w:rsidRPr="00DB1AEE" w:rsidRDefault="00DB1AEE" w:rsidP="00DB1AEE">
            <w:pPr>
              <w:suppressAutoHyphens/>
              <w:jc w:val="center"/>
              <w:rPr>
                <w:sz w:val="18"/>
                <w:szCs w:val="18"/>
                <w:u w:val="single"/>
              </w:rPr>
            </w:pPr>
            <w:r w:rsidRPr="00DB1AEE">
              <w:rPr>
                <w:sz w:val="18"/>
                <w:szCs w:val="18"/>
                <w:u w:val="single"/>
              </w:rPr>
              <w:t>4</w:t>
            </w:r>
          </w:p>
        </w:tc>
        <w:tc>
          <w:tcPr>
            <w:tcW w:w="361" w:type="pct"/>
            <w:gridSpan w:val="2"/>
            <w:tcBorders>
              <w:top w:val="nil"/>
              <w:left w:val="nil"/>
              <w:bottom w:val="single" w:sz="4" w:space="0" w:color="auto"/>
              <w:right w:val="single" w:sz="4" w:space="0" w:color="auto"/>
            </w:tcBorders>
            <w:hideMark/>
          </w:tcPr>
          <w:p w14:paraId="6EC96047" w14:textId="77777777" w:rsidR="00DB1AEE" w:rsidRPr="00DB1AEE" w:rsidRDefault="00DB1AEE" w:rsidP="00DB1AEE">
            <w:pPr>
              <w:suppressAutoHyphens/>
              <w:jc w:val="center"/>
              <w:rPr>
                <w:b/>
                <w:bCs/>
                <w:sz w:val="18"/>
                <w:szCs w:val="18"/>
                <w:u w:val="single"/>
              </w:rPr>
            </w:pPr>
            <w:r w:rsidRPr="00DB1AEE">
              <w:rPr>
                <w:b/>
                <w:bCs/>
                <w:sz w:val="18"/>
                <w:szCs w:val="18"/>
                <w:u w:val="single"/>
              </w:rPr>
              <w:t> </w:t>
            </w:r>
          </w:p>
        </w:tc>
        <w:tc>
          <w:tcPr>
            <w:tcW w:w="363" w:type="pct"/>
            <w:gridSpan w:val="3"/>
            <w:tcBorders>
              <w:top w:val="nil"/>
              <w:left w:val="nil"/>
              <w:bottom w:val="single" w:sz="4" w:space="0" w:color="auto"/>
              <w:right w:val="single" w:sz="4" w:space="0" w:color="auto"/>
            </w:tcBorders>
            <w:hideMark/>
          </w:tcPr>
          <w:p w14:paraId="3E7F7695" w14:textId="77777777" w:rsidR="00DB1AEE" w:rsidRPr="00DB1AEE" w:rsidRDefault="00DB1AEE" w:rsidP="00DB1AEE">
            <w:pPr>
              <w:suppressAutoHyphens/>
              <w:jc w:val="center"/>
              <w:rPr>
                <w:b/>
                <w:bCs/>
                <w:sz w:val="18"/>
                <w:szCs w:val="18"/>
                <w:u w:val="single"/>
              </w:rPr>
            </w:pPr>
            <w:r w:rsidRPr="00DB1AEE">
              <w:rPr>
                <w:b/>
                <w:bCs/>
                <w:sz w:val="18"/>
                <w:szCs w:val="18"/>
                <w:u w:val="single"/>
              </w:rPr>
              <w:t> </w:t>
            </w:r>
          </w:p>
        </w:tc>
        <w:tc>
          <w:tcPr>
            <w:tcW w:w="330" w:type="pct"/>
            <w:tcBorders>
              <w:top w:val="nil"/>
              <w:left w:val="nil"/>
              <w:bottom w:val="single" w:sz="4" w:space="0" w:color="auto"/>
              <w:right w:val="single" w:sz="4" w:space="0" w:color="auto"/>
            </w:tcBorders>
            <w:hideMark/>
          </w:tcPr>
          <w:p w14:paraId="3AF51675" w14:textId="77777777" w:rsidR="00DB1AEE" w:rsidRPr="00DB1AEE" w:rsidRDefault="00DB1AEE" w:rsidP="00DB1AEE">
            <w:pPr>
              <w:suppressAutoHyphens/>
              <w:jc w:val="center"/>
              <w:rPr>
                <w:b/>
                <w:bCs/>
                <w:sz w:val="18"/>
                <w:szCs w:val="18"/>
                <w:u w:val="single"/>
              </w:rPr>
            </w:pPr>
            <w:r w:rsidRPr="00DB1AEE">
              <w:rPr>
                <w:b/>
                <w:bCs/>
                <w:sz w:val="18"/>
                <w:szCs w:val="18"/>
                <w:u w:val="single"/>
              </w:rPr>
              <w:t> </w:t>
            </w:r>
          </w:p>
        </w:tc>
        <w:tc>
          <w:tcPr>
            <w:tcW w:w="364" w:type="pct"/>
            <w:gridSpan w:val="2"/>
            <w:tcBorders>
              <w:top w:val="nil"/>
              <w:left w:val="nil"/>
              <w:bottom w:val="single" w:sz="4" w:space="0" w:color="auto"/>
              <w:right w:val="single" w:sz="4" w:space="0" w:color="auto"/>
            </w:tcBorders>
            <w:hideMark/>
          </w:tcPr>
          <w:p w14:paraId="676B68A8"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427" w:type="pct"/>
            <w:gridSpan w:val="3"/>
            <w:tcBorders>
              <w:top w:val="nil"/>
              <w:left w:val="nil"/>
              <w:bottom w:val="single" w:sz="4" w:space="0" w:color="auto"/>
              <w:right w:val="single" w:sz="4" w:space="0" w:color="auto"/>
            </w:tcBorders>
            <w:hideMark/>
          </w:tcPr>
          <w:p w14:paraId="1E9AF34A" w14:textId="77777777" w:rsidR="00DB1AEE" w:rsidRPr="00DB1AEE" w:rsidRDefault="00DB1AEE" w:rsidP="00DB1AEE">
            <w:pPr>
              <w:suppressAutoHyphens/>
              <w:jc w:val="center"/>
              <w:rPr>
                <w:b/>
                <w:bCs/>
                <w:sz w:val="18"/>
                <w:szCs w:val="18"/>
                <w:u w:val="single"/>
              </w:rPr>
            </w:pPr>
            <w:r w:rsidRPr="00DB1AEE">
              <w:rPr>
                <w:b/>
                <w:bCs/>
                <w:sz w:val="18"/>
                <w:szCs w:val="18"/>
                <w:u w:val="single"/>
              </w:rPr>
              <w:t> </w:t>
            </w:r>
          </w:p>
        </w:tc>
        <w:tc>
          <w:tcPr>
            <w:tcW w:w="397" w:type="pct"/>
            <w:tcBorders>
              <w:top w:val="nil"/>
              <w:left w:val="nil"/>
              <w:bottom w:val="single" w:sz="4" w:space="0" w:color="auto"/>
              <w:right w:val="single" w:sz="4" w:space="0" w:color="auto"/>
            </w:tcBorders>
            <w:hideMark/>
          </w:tcPr>
          <w:p w14:paraId="397413D5" w14:textId="77777777" w:rsidR="00DB1AEE" w:rsidRPr="00DB1AEE" w:rsidRDefault="00DB1AEE" w:rsidP="00DB1AEE">
            <w:pPr>
              <w:suppressAutoHyphens/>
              <w:jc w:val="center"/>
              <w:rPr>
                <w:b/>
                <w:bCs/>
                <w:sz w:val="18"/>
                <w:szCs w:val="18"/>
                <w:u w:val="single"/>
              </w:rPr>
            </w:pPr>
            <w:r w:rsidRPr="00DB1AEE">
              <w:rPr>
                <w:b/>
                <w:bCs/>
                <w:sz w:val="18"/>
                <w:szCs w:val="18"/>
                <w:u w:val="single"/>
              </w:rPr>
              <w:t> </w:t>
            </w:r>
          </w:p>
        </w:tc>
        <w:tc>
          <w:tcPr>
            <w:tcW w:w="363" w:type="pct"/>
            <w:tcBorders>
              <w:top w:val="nil"/>
              <w:left w:val="nil"/>
              <w:bottom w:val="single" w:sz="4" w:space="0" w:color="auto"/>
              <w:right w:val="single" w:sz="4" w:space="0" w:color="auto"/>
            </w:tcBorders>
            <w:hideMark/>
          </w:tcPr>
          <w:p w14:paraId="3529A3D4" w14:textId="77777777" w:rsidR="00DB1AEE" w:rsidRPr="00DB1AEE" w:rsidRDefault="00DB1AEE" w:rsidP="00DB1AEE">
            <w:pPr>
              <w:suppressAutoHyphens/>
              <w:jc w:val="center"/>
              <w:rPr>
                <w:b/>
                <w:bCs/>
                <w:sz w:val="18"/>
                <w:szCs w:val="18"/>
                <w:u w:val="single"/>
              </w:rPr>
            </w:pPr>
            <w:r w:rsidRPr="00DB1AEE">
              <w:rPr>
                <w:b/>
                <w:bCs/>
                <w:sz w:val="18"/>
                <w:szCs w:val="18"/>
                <w:u w:val="single"/>
              </w:rPr>
              <w:t> </w:t>
            </w:r>
          </w:p>
        </w:tc>
        <w:tc>
          <w:tcPr>
            <w:tcW w:w="418" w:type="pct"/>
            <w:gridSpan w:val="3"/>
            <w:tcBorders>
              <w:top w:val="nil"/>
              <w:left w:val="nil"/>
              <w:bottom w:val="single" w:sz="4" w:space="0" w:color="auto"/>
              <w:right w:val="single" w:sz="4" w:space="0" w:color="auto"/>
            </w:tcBorders>
            <w:hideMark/>
          </w:tcPr>
          <w:p w14:paraId="197EC081" w14:textId="77777777" w:rsidR="00DB1AEE" w:rsidRPr="00DB1AEE" w:rsidRDefault="00DB1AEE" w:rsidP="00DB1AEE">
            <w:pPr>
              <w:suppressAutoHyphens/>
              <w:jc w:val="center"/>
              <w:rPr>
                <w:sz w:val="18"/>
                <w:szCs w:val="18"/>
                <w:u w:val="single"/>
              </w:rPr>
            </w:pPr>
            <w:r w:rsidRPr="00DB1AEE">
              <w:rPr>
                <w:sz w:val="18"/>
                <w:szCs w:val="18"/>
                <w:u w:val="single"/>
              </w:rPr>
              <w:t>ADD2</w:t>
            </w:r>
          </w:p>
        </w:tc>
        <w:tc>
          <w:tcPr>
            <w:tcW w:w="323" w:type="pct"/>
            <w:tcBorders>
              <w:top w:val="nil"/>
              <w:left w:val="nil"/>
              <w:bottom w:val="single" w:sz="4" w:space="0" w:color="auto"/>
              <w:right w:val="single" w:sz="4" w:space="0" w:color="auto"/>
            </w:tcBorders>
            <w:hideMark/>
          </w:tcPr>
          <w:p w14:paraId="2EABC917" w14:textId="77777777" w:rsidR="00DB1AEE" w:rsidRPr="00DB1AEE" w:rsidRDefault="00DB1AEE" w:rsidP="00DB1AEE">
            <w:pPr>
              <w:suppressAutoHyphens/>
              <w:jc w:val="center"/>
              <w:rPr>
                <w:sz w:val="18"/>
                <w:szCs w:val="18"/>
                <w:u w:val="single"/>
              </w:rPr>
            </w:pPr>
            <w:r w:rsidRPr="00DB1AEE">
              <w:rPr>
                <w:sz w:val="18"/>
                <w:szCs w:val="18"/>
                <w:u w:val="single"/>
              </w:rPr>
              <w:t>ADD2</w:t>
            </w:r>
          </w:p>
        </w:tc>
      </w:tr>
      <w:tr w:rsidR="00DB1AEE" w:rsidRPr="00DB1AEE" w14:paraId="3A58102F" w14:textId="77777777" w:rsidTr="00FC1832">
        <w:trPr>
          <w:trHeight w:val="510"/>
        </w:trPr>
        <w:tc>
          <w:tcPr>
            <w:tcW w:w="896" w:type="pct"/>
            <w:tcBorders>
              <w:top w:val="nil"/>
              <w:left w:val="single" w:sz="4" w:space="0" w:color="auto"/>
              <w:bottom w:val="single" w:sz="4" w:space="0" w:color="auto"/>
              <w:right w:val="single" w:sz="4" w:space="0" w:color="auto"/>
            </w:tcBorders>
            <w:hideMark/>
          </w:tcPr>
          <w:p w14:paraId="48463717" w14:textId="77777777" w:rsidR="00DB1AEE" w:rsidRPr="00DB1AEE" w:rsidRDefault="00DB1AEE" w:rsidP="00DB1AEE">
            <w:pPr>
              <w:suppressAutoHyphens/>
              <w:jc w:val="left"/>
              <w:rPr>
                <w:sz w:val="18"/>
                <w:szCs w:val="18"/>
                <w:u w:val="single"/>
              </w:rPr>
            </w:pPr>
            <w:r w:rsidRPr="00DB1AEE">
              <w:rPr>
                <w:sz w:val="18"/>
                <w:szCs w:val="18"/>
                <w:u w:val="single"/>
              </w:rPr>
              <w:t>Slot machine/digital gaming area</w:t>
            </w:r>
          </w:p>
        </w:tc>
        <w:tc>
          <w:tcPr>
            <w:tcW w:w="429" w:type="pct"/>
            <w:gridSpan w:val="2"/>
            <w:tcBorders>
              <w:top w:val="nil"/>
              <w:left w:val="nil"/>
              <w:bottom w:val="single" w:sz="4" w:space="0" w:color="auto"/>
              <w:right w:val="single" w:sz="4" w:space="0" w:color="auto"/>
            </w:tcBorders>
            <w:hideMark/>
          </w:tcPr>
          <w:p w14:paraId="48BC3F54" w14:textId="77777777" w:rsidR="00DB1AEE" w:rsidRPr="00DB1AEE" w:rsidRDefault="00DB1AEE" w:rsidP="00DB1AEE">
            <w:pPr>
              <w:suppressAutoHyphens/>
              <w:jc w:val="center"/>
              <w:rPr>
                <w:b/>
                <w:bCs/>
                <w:sz w:val="18"/>
                <w:szCs w:val="18"/>
                <w:u w:val="single"/>
              </w:rPr>
            </w:pPr>
            <w:r w:rsidRPr="00DB1AEE">
              <w:rPr>
                <w:b/>
                <w:bCs/>
                <w:sz w:val="18"/>
                <w:szCs w:val="18"/>
                <w:u w:val="single"/>
              </w:rPr>
              <w:t> </w:t>
            </w:r>
          </w:p>
          <w:p w14:paraId="78D64869" w14:textId="77777777" w:rsidR="00DB1AEE" w:rsidRPr="00DB1AEE" w:rsidRDefault="00DB1AEE" w:rsidP="00DB1AEE">
            <w:pPr>
              <w:suppressAutoHyphens/>
              <w:ind w:firstLineChars="100" w:firstLine="180"/>
              <w:jc w:val="right"/>
              <w:rPr>
                <w:sz w:val="18"/>
                <w:szCs w:val="18"/>
                <w:u w:val="single"/>
              </w:rPr>
            </w:pPr>
            <w:r w:rsidRPr="00DB1AEE">
              <w:rPr>
                <w:sz w:val="18"/>
                <w:szCs w:val="18"/>
                <w:u w:val="single"/>
              </w:rPr>
              <w:t>0.54</w:t>
            </w:r>
          </w:p>
        </w:tc>
        <w:tc>
          <w:tcPr>
            <w:tcW w:w="330" w:type="pct"/>
            <w:tcBorders>
              <w:top w:val="nil"/>
              <w:left w:val="nil"/>
              <w:bottom w:val="single" w:sz="4" w:space="0" w:color="auto"/>
              <w:right w:val="single" w:sz="4" w:space="0" w:color="auto"/>
            </w:tcBorders>
            <w:noWrap/>
            <w:hideMark/>
          </w:tcPr>
          <w:p w14:paraId="4FA4EE9D" w14:textId="77777777" w:rsidR="00DB1AEE" w:rsidRPr="00DB1AEE" w:rsidRDefault="00DB1AEE" w:rsidP="00DB1AEE">
            <w:pPr>
              <w:suppressAutoHyphens/>
              <w:jc w:val="center"/>
              <w:rPr>
                <w:sz w:val="18"/>
                <w:szCs w:val="18"/>
                <w:u w:val="single"/>
              </w:rPr>
            </w:pPr>
            <w:r w:rsidRPr="00DB1AEE">
              <w:rPr>
                <w:sz w:val="18"/>
                <w:szCs w:val="18"/>
                <w:u w:val="single"/>
              </w:rPr>
              <w:t>5</w:t>
            </w:r>
          </w:p>
        </w:tc>
        <w:tc>
          <w:tcPr>
            <w:tcW w:w="361" w:type="pct"/>
            <w:gridSpan w:val="2"/>
            <w:tcBorders>
              <w:top w:val="nil"/>
              <w:left w:val="nil"/>
              <w:bottom w:val="single" w:sz="4" w:space="0" w:color="auto"/>
              <w:right w:val="single" w:sz="4" w:space="0" w:color="auto"/>
            </w:tcBorders>
            <w:hideMark/>
          </w:tcPr>
          <w:p w14:paraId="0562CA4A" w14:textId="77777777" w:rsidR="00DB1AEE" w:rsidRPr="00DB1AEE" w:rsidRDefault="00DB1AEE" w:rsidP="00DB1AEE">
            <w:pPr>
              <w:suppressAutoHyphens/>
              <w:jc w:val="center"/>
              <w:rPr>
                <w:b/>
                <w:bCs/>
                <w:sz w:val="18"/>
                <w:szCs w:val="18"/>
                <w:u w:val="single"/>
              </w:rPr>
            </w:pPr>
            <w:r w:rsidRPr="00DB1AEE">
              <w:rPr>
                <w:b/>
                <w:bCs/>
                <w:sz w:val="18"/>
                <w:szCs w:val="18"/>
                <w:u w:val="single"/>
              </w:rPr>
              <w:t> </w:t>
            </w:r>
          </w:p>
        </w:tc>
        <w:tc>
          <w:tcPr>
            <w:tcW w:w="363" w:type="pct"/>
            <w:gridSpan w:val="3"/>
            <w:tcBorders>
              <w:top w:val="nil"/>
              <w:left w:val="nil"/>
              <w:bottom w:val="single" w:sz="4" w:space="0" w:color="auto"/>
              <w:right w:val="single" w:sz="4" w:space="0" w:color="auto"/>
            </w:tcBorders>
            <w:hideMark/>
          </w:tcPr>
          <w:p w14:paraId="39F736C6" w14:textId="77777777" w:rsidR="00DB1AEE" w:rsidRPr="00DB1AEE" w:rsidRDefault="00DB1AEE" w:rsidP="00DB1AEE">
            <w:pPr>
              <w:suppressAutoHyphens/>
              <w:jc w:val="center"/>
              <w:rPr>
                <w:b/>
                <w:bCs/>
                <w:sz w:val="18"/>
                <w:szCs w:val="18"/>
                <w:u w:val="single"/>
              </w:rPr>
            </w:pPr>
            <w:r w:rsidRPr="00DB1AEE">
              <w:rPr>
                <w:b/>
                <w:bCs/>
                <w:sz w:val="18"/>
                <w:szCs w:val="18"/>
                <w:u w:val="single"/>
              </w:rPr>
              <w:t> </w:t>
            </w:r>
          </w:p>
        </w:tc>
        <w:tc>
          <w:tcPr>
            <w:tcW w:w="330" w:type="pct"/>
            <w:tcBorders>
              <w:top w:val="nil"/>
              <w:left w:val="nil"/>
              <w:bottom w:val="single" w:sz="4" w:space="0" w:color="auto"/>
              <w:right w:val="single" w:sz="4" w:space="0" w:color="auto"/>
            </w:tcBorders>
            <w:hideMark/>
          </w:tcPr>
          <w:p w14:paraId="5BFD251E" w14:textId="77777777" w:rsidR="00DB1AEE" w:rsidRPr="00DB1AEE" w:rsidRDefault="00DB1AEE" w:rsidP="00DB1AEE">
            <w:pPr>
              <w:suppressAutoHyphens/>
              <w:jc w:val="center"/>
              <w:rPr>
                <w:b/>
                <w:bCs/>
                <w:sz w:val="18"/>
                <w:szCs w:val="18"/>
                <w:u w:val="single"/>
              </w:rPr>
            </w:pPr>
            <w:r w:rsidRPr="00DB1AEE">
              <w:rPr>
                <w:b/>
                <w:bCs/>
                <w:sz w:val="18"/>
                <w:szCs w:val="18"/>
                <w:u w:val="single"/>
              </w:rPr>
              <w:t> </w:t>
            </w:r>
          </w:p>
        </w:tc>
        <w:tc>
          <w:tcPr>
            <w:tcW w:w="364" w:type="pct"/>
            <w:gridSpan w:val="2"/>
            <w:tcBorders>
              <w:top w:val="nil"/>
              <w:left w:val="nil"/>
              <w:bottom w:val="single" w:sz="4" w:space="0" w:color="auto"/>
              <w:right w:val="single" w:sz="4" w:space="0" w:color="auto"/>
            </w:tcBorders>
            <w:hideMark/>
          </w:tcPr>
          <w:p w14:paraId="1985CBEA"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427" w:type="pct"/>
            <w:gridSpan w:val="3"/>
            <w:tcBorders>
              <w:top w:val="nil"/>
              <w:left w:val="nil"/>
              <w:bottom w:val="single" w:sz="4" w:space="0" w:color="auto"/>
              <w:right w:val="single" w:sz="4" w:space="0" w:color="auto"/>
            </w:tcBorders>
            <w:hideMark/>
          </w:tcPr>
          <w:p w14:paraId="3CEC8595" w14:textId="77777777" w:rsidR="00DB1AEE" w:rsidRPr="00DB1AEE" w:rsidRDefault="00DB1AEE" w:rsidP="00DB1AEE">
            <w:pPr>
              <w:suppressAutoHyphens/>
              <w:jc w:val="center"/>
              <w:rPr>
                <w:b/>
                <w:bCs/>
                <w:sz w:val="18"/>
                <w:szCs w:val="18"/>
                <w:u w:val="single"/>
              </w:rPr>
            </w:pPr>
            <w:r w:rsidRPr="00DB1AEE">
              <w:rPr>
                <w:b/>
                <w:bCs/>
                <w:sz w:val="18"/>
                <w:szCs w:val="18"/>
                <w:u w:val="single"/>
              </w:rPr>
              <w:t> </w:t>
            </w:r>
          </w:p>
        </w:tc>
        <w:tc>
          <w:tcPr>
            <w:tcW w:w="397" w:type="pct"/>
            <w:tcBorders>
              <w:top w:val="nil"/>
              <w:left w:val="nil"/>
              <w:bottom w:val="single" w:sz="4" w:space="0" w:color="auto"/>
              <w:right w:val="single" w:sz="4" w:space="0" w:color="auto"/>
            </w:tcBorders>
            <w:hideMark/>
          </w:tcPr>
          <w:p w14:paraId="58CD7A19" w14:textId="77777777" w:rsidR="00DB1AEE" w:rsidRPr="00DB1AEE" w:rsidRDefault="00DB1AEE" w:rsidP="00DB1AEE">
            <w:pPr>
              <w:suppressAutoHyphens/>
              <w:jc w:val="center"/>
              <w:rPr>
                <w:b/>
                <w:bCs/>
                <w:sz w:val="18"/>
                <w:szCs w:val="18"/>
                <w:u w:val="single"/>
              </w:rPr>
            </w:pPr>
            <w:r w:rsidRPr="00DB1AEE">
              <w:rPr>
                <w:b/>
                <w:bCs/>
                <w:sz w:val="18"/>
                <w:szCs w:val="18"/>
                <w:u w:val="single"/>
              </w:rPr>
              <w:t> </w:t>
            </w:r>
          </w:p>
        </w:tc>
        <w:tc>
          <w:tcPr>
            <w:tcW w:w="363" w:type="pct"/>
            <w:tcBorders>
              <w:top w:val="nil"/>
              <w:left w:val="nil"/>
              <w:bottom w:val="single" w:sz="4" w:space="0" w:color="auto"/>
              <w:right w:val="single" w:sz="4" w:space="0" w:color="auto"/>
            </w:tcBorders>
            <w:hideMark/>
          </w:tcPr>
          <w:p w14:paraId="5DD1EA2C" w14:textId="77777777" w:rsidR="00DB1AEE" w:rsidRPr="00DB1AEE" w:rsidRDefault="00DB1AEE" w:rsidP="00DB1AEE">
            <w:pPr>
              <w:suppressAutoHyphens/>
              <w:jc w:val="center"/>
              <w:rPr>
                <w:b/>
                <w:bCs/>
                <w:sz w:val="18"/>
                <w:szCs w:val="18"/>
                <w:u w:val="single"/>
              </w:rPr>
            </w:pPr>
            <w:r w:rsidRPr="00DB1AEE">
              <w:rPr>
                <w:b/>
                <w:bCs/>
                <w:sz w:val="18"/>
                <w:szCs w:val="18"/>
                <w:u w:val="single"/>
              </w:rPr>
              <w:t> </w:t>
            </w:r>
          </w:p>
        </w:tc>
        <w:tc>
          <w:tcPr>
            <w:tcW w:w="418" w:type="pct"/>
            <w:gridSpan w:val="3"/>
            <w:tcBorders>
              <w:top w:val="nil"/>
              <w:left w:val="nil"/>
              <w:bottom w:val="single" w:sz="4" w:space="0" w:color="auto"/>
              <w:right w:val="single" w:sz="4" w:space="0" w:color="auto"/>
            </w:tcBorders>
            <w:hideMark/>
          </w:tcPr>
          <w:p w14:paraId="591172B3" w14:textId="77777777" w:rsidR="00DB1AEE" w:rsidRPr="00DB1AEE" w:rsidRDefault="00DB1AEE" w:rsidP="00DB1AEE">
            <w:pPr>
              <w:suppressAutoHyphens/>
              <w:jc w:val="center"/>
              <w:rPr>
                <w:sz w:val="18"/>
                <w:szCs w:val="18"/>
                <w:u w:val="single"/>
              </w:rPr>
            </w:pPr>
            <w:r w:rsidRPr="00DB1AEE">
              <w:rPr>
                <w:sz w:val="18"/>
                <w:szCs w:val="18"/>
                <w:u w:val="single"/>
              </w:rPr>
              <w:t>ADD2</w:t>
            </w:r>
          </w:p>
        </w:tc>
        <w:tc>
          <w:tcPr>
            <w:tcW w:w="323" w:type="pct"/>
            <w:tcBorders>
              <w:top w:val="nil"/>
              <w:left w:val="nil"/>
              <w:bottom w:val="single" w:sz="4" w:space="0" w:color="auto"/>
              <w:right w:val="single" w:sz="4" w:space="0" w:color="auto"/>
            </w:tcBorders>
            <w:hideMark/>
          </w:tcPr>
          <w:p w14:paraId="0D6A1944" w14:textId="77777777" w:rsidR="00DB1AEE" w:rsidRPr="00DB1AEE" w:rsidRDefault="00DB1AEE" w:rsidP="00DB1AEE">
            <w:pPr>
              <w:suppressAutoHyphens/>
              <w:jc w:val="center"/>
              <w:rPr>
                <w:sz w:val="18"/>
                <w:szCs w:val="18"/>
                <w:u w:val="single"/>
              </w:rPr>
            </w:pPr>
            <w:r w:rsidRPr="00DB1AEE">
              <w:rPr>
                <w:sz w:val="18"/>
                <w:szCs w:val="18"/>
                <w:u w:val="single"/>
              </w:rPr>
              <w:t>ADD2</w:t>
            </w:r>
          </w:p>
        </w:tc>
      </w:tr>
      <w:tr w:rsidR="00DB1AEE" w:rsidRPr="00DB1AEE" w14:paraId="2405550C" w14:textId="77777777" w:rsidTr="00FC1832">
        <w:trPr>
          <w:trHeight w:val="510"/>
        </w:trPr>
        <w:tc>
          <w:tcPr>
            <w:tcW w:w="896" w:type="pct"/>
            <w:tcBorders>
              <w:top w:val="nil"/>
              <w:left w:val="single" w:sz="4" w:space="0" w:color="auto"/>
              <w:bottom w:val="single" w:sz="4" w:space="0" w:color="auto"/>
              <w:right w:val="single" w:sz="4" w:space="0" w:color="auto"/>
            </w:tcBorders>
            <w:hideMark/>
          </w:tcPr>
          <w:p w14:paraId="5F71A3AE" w14:textId="77777777" w:rsidR="00DB1AEE" w:rsidRPr="00DB1AEE" w:rsidRDefault="00DB1AEE" w:rsidP="00DB1AEE">
            <w:pPr>
              <w:suppressAutoHyphens/>
              <w:jc w:val="left"/>
              <w:rPr>
                <w:sz w:val="18"/>
                <w:szCs w:val="18"/>
                <w:u w:val="single"/>
              </w:rPr>
            </w:pPr>
            <w:r w:rsidRPr="00DB1AEE">
              <w:rPr>
                <w:sz w:val="18"/>
                <w:szCs w:val="18"/>
                <w:u w:val="single"/>
              </w:rPr>
              <w:t>Table games area</w:t>
            </w:r>
          </w:p>
        </w:tc>
        <w:tc>
          <w:tcPr>
            <w:tcW w:w="429" w:type="pct"/>
            <w:gridSpan w:val="2"/>
            <w:tcBorders>
              <w:top w:val="nil"/>
              <w:left w:val="nil"/>
              <w:bottom w:val="single" w:sz="4" w:space="0" w:color="auto"/>
              <w:right w:val="single" w:sz="4" w:space="0" w:color="auto"/>
            </w:tcBorders>
            <w:hideMark/>
          </w:tcPr>
          <w:p w14:paraId="25A1246D" w14:textId="77777777" w:rsidR="00DB1AEE" w:rsidRPr="00DB1AEE" w:rsidRDefault="00DB1AEE" w:rsidP="00DB1AEE">
            <w:pPr>
              <w:suppressAutoHyphens/>
              <w:jc w:val="center"/>
              <w:rPr>
                <w:b/>
                <w:bCs/>
                <w:sz w:val="18"/>
                <w:szCs w:val="18"/>
                <w:u w:val="single"/>
              </w:rPr>
            </w:pPr>
            <w:r w:rsidRPr="00DB1AEE">
              <w:rPr>
                <w:b/>
                <w:bCs/>
                <w:sz w:val="18"/>
                <w:szCs w:val="18"/>
                <w:u w:val="single"/>
              </w:rPr>
              <w:t> </w:t>
            </w:r>
          </w:p>
          <w:p w14:paraId="31FF37C0" w14:textId="77777777" w:rsidR="00DB1AEE" w:rsidRPr="00DB1AEE" w:rsidRDefault="00DB1AEE" w:rsidP="00DB1AEE">
            <w:pPr>
              <w:suppressAutoHyphens/>
              <w:ind w:firstLineChars="100" w:firstLine="180"/>
              <w:jc w:val="right"/>
              <w:rPr>
                <w:sz w:val="18"/>
                <w:szCs w:val="18"/>
                <w:u w:val="single"/>
              </w:rPr>
            </w:pPr>
            <w:r w:rsidRPr="00DB1AEE">
              <w:rPr>
                <w:sz w:val="18"/>
                <w:szCs w:val="18"/>
                <w:u w:val="single"/>
              </w:rPr>
              <w:t>1.09</w:t>
            </w:r>
          </w:p>
        </w:tc>
        <w:tc>
          <w:tcPr>
            <w:tcW w:w="330" w:type="pct"/>
            <w:tcBorders>
              <w:top w:val="nil"/>
              <w:left w:val="nil"/>
              <w:bottom w:val="single" w:sz="4" w:space="0" w:color="auto"/>
              <w:right w:val="single" w:sz="4" w:space="0" w:color="auto"/>
            </w:tcBorders>
            <w:noWrap/>
            <w:hideMark/>
          </w:tcPr>
          <w:p w14:paraId="270A8589" w14:textId="77777777" w:rsidR="00DB1AEE" w:rsidRPr="00DB1AEE" w:rsidRDefault="00DB1AEE" w:rsidP="00DB1AEE">
            <w:pPr>
              <w:suppressAutoHyphens/>
              <w:jc w:val="center"/>
              <w:rPr>
                <w:sz w:val="18"/>
                <w:szCs w:val="18"/>
                <w:u w:val="single"/>
              </w:rPr>
            </w:pPr>
            <w:r w:rsidRPr="00DB1AEE">
              <w:rPr>
                <w:sz w:val="18"/>
                <w:szCs w:val="18"/>
                <w:u w:val="single"/>
              </w:rPr>
              <w:t>5</w:t>
            </w:r>
          </w:p>
        </w:tc>
        <w:tc>
          <w:tcPr>
            <w:tcW w:w="361" w:type="pct"/>
            <w:gridSpan w:val="2"/>
            <w:tcBorders>
              <w:top w:val="nil"/>
              <w:left w:val="nil"/>
              <w:bottom w:val="single" w:sz="4" w:space="0" w:color="auto"/>
              <w:right w:val="single" w:sz="4" w:space="0" w:color="auto"/>
            </w:tcBorders>
            <w:hideMark/>
          </w:tcPr>
          <w:p w14:paraId="59B1A8DE" w14:textId="77777777" w:rsidR="00DB1AEE" w:rsidRPr="00DB1AEE" w:rsidRDefault="00DB1AEE" w:rsidP="00DB1AEE">
            <w:pPr>
              <w:suppressAutoHyphens/>
              <w:jc w:val="center"/>
              <w:rPr>
                <w:b/>
                <w:bCs/>
                <w:sz w:val="18"/>
                <w:szCs w:val="18"/>
                <w:u w:val="single"/>
              </w:rPr>
            </w:pPr>
            <w:r w:rsidRPr="00DB1AEE">
              <w:rPr>
                <w:b/>
                <w:bCs/>
                <w:sz w:val="18"/>
                <w:szCs w:val="18"/>
                <w:u w:val="single"/>
              </w:rPr>
              <w:t> </w:t>
            </w:r>
          </w:p>
        </w:tc>
        <w:tc>
          <w:tcPr>
            <w:tcW w:w="363" w:type="pct"/>
            <w:gridSpan w:val="3"/>
            <w:tcBorders>
              <w:top w:val="nil"/>
              <w:left w:val="nil"/>
              <w:bottom w:val="single" w:sz="4" w:space="0" w:color="auto"/>
              <w:right w:val="single" w:sz="4" w:space="0" w:color="auto"/>
            </w:tcBorders>
            <w:hideMark/>
          </w:tcPr>
          <w:p w14:paraId="0FA82D29" w14:textId="77777777" w:rsidR="00DB1AEE" w:rsidRPr="00DB1AEE" w:rsidRDefault="00DB1AEE" w:rsidP="00DB1AEE">
            <w:pPr>
              <w:suppressAutoHyphens/>
              <w:jc w:val="center"/>
              <w:rPr>
                <w:b/>
                <w:bCs/>
                <w:sz w:val="18"/>
                <w:szCs w:val="18"/>
                <w:u w:val="single"/>
              </w:rPr>
            </w:pPr>
            <w:r w:rsidRPr="00DB1AEE">
              <w:rPr>
                <w:b/>
                <w:bCs/>
                <w:sz w:val="18"/>
                <w:szCs w:val="18"/>
                <w:u w:val="single"/>
              </w:rPr>
              <w:t> </w:t>
            </w:r>
          </w:p>
        </w:tc>
        <w:tc>
          <w:tcPr>
            <w:tcW w:w="330" w:type="pct"/>
            <w:tcBorders>
              <w:top w:val="nil"/>
              <w:left w:val="nil"/>
              <w:bottom w:val="single" w:sz="4" w:space="0" w:color="auto"/>
              <w:right w:val="single" w:sz="4" w:space="0" w:color="auto"/>
            </w:tcBorders>
            <w:hideMark/>
          </w:tcPr>
          <w:p w14:paraId="41D92F92" w14:textId="77777777" w:rsidR="00DB1AEE" w:rsidRPr="00DB1AEE" w:rsidRDefault="00DB1AEE" w:rsidP="00DB1AEE">
            <w:pPr>
              <w:suppressAutoHyphens/>
              <w:jc w:val="center"/>
              <w:rPr>
                <w:b/>
                <w:bCs/>
                <w:sz w:val="18"/>
                <w:szCs w:val="18"/>
                <w:u w:val="single"/>
              </w:rPr>
            </w:pPr>
            <w:r w:rsidRPr="00DB1AEE">
              <w:rPr>
                <w:b/>
                <w:bCs/>
                <w:sz w:val="18"/>
                <w:szCs w:val="18"/>
                <w:u w:val="single"/>
              </w:rPr>
              <w:t> </w:t>
            </w:r>
          </w:p>
        </w:tc>
        <w:tc>
          <w:tcPr>
            <w:tcW w:w="364" w:type="pct"/>
            <w:gridSpan w:val="2"/>
            <w:tcBorders>
              <w:top w:val="nil"/>
              <w:left w:val="nil"/>
              <w:bottom w:val="single" w:sz="4" w:space="0" w:color="auto"/>
              <w:right w:val="single" w:sz="4" w:space="0" w:color="auto"/>
            </w:tcBorders>
            <w:hideMark/>
          </w:tcPr>
          <w:p w14:paraId="4402DE4A"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427" w:type="pct"/>
            <w:gridSpan w:val="3"/>
            <w:tcBorders>
              <w:top w:val="nil"/>
              <w:left w:val="nil"/>
              <w:bottom w:val="single" w:sz="4" w:space="0" w:color="auto"/>
              <w:right w:val="single" w:sz="4" w:space="0" w:color="auto"/>
            </w:tcBorders>
            <w:hideMark/>
          </w:tcPr>
          <w:p w14:paraId="3D168617" w14:textId="77777777" w:rsidR="00DB1AEE" w:rsidRPr="00DB1AEE" w:rsidRDefault="00DB1AEE" w:rsidP="00DB1AEE">
            <w:pPr>
              <w:suppressAutoHyphens/>
              <w:jc w:val="center"/>
              <w:rPr>
                <w:b/>
                <w:bCs/>
                <w:sz w:val="18"/>
                <w:szCs w:val="18"/>
                <w:u w:val="single"/>
              </w:rPr>
            </w:pPr>
            <w:r w:rsidRPr="00DB1AEE">
              <w:rPr>
                <w:b/>
                <w:bCs/>
                <w:sz w:val="18"/>
                <w:szCs w:val="18"/>
                <w:u w:val="single"/>
              </w:rPr>
              <w:t> </w:t>
            </w:r>
          </w:p>
        </w:tc>
        <w:tc>
          <w:tcPr>
            <w:tcW w:w="397" w:type="pct"/>
            <w:tcBorders>
              <w:top w:val="nil"/>
              <w:left w:val="nil"/>
              <w:bottom w:val="single" w:sz="4" w:space="0" w:color="auto"/>
              <w:right w:val="single" w:sz="4" w:space="0" w:color="auto"/>
            </w:tcBorders>
            <w:hideMark/>
          </w:tcPr>
          <w:p w14:paraId="2422E597" w14:textId="77777777" w:rsidR="00DB1AEE" w:rsidRPr="00DB1AEE" w:rsidRDefault="00DB1AEE" w:rsidP="00DB1AEE">
            <w:pPr>
              <w:suppressAutoHyphens/>
              <w:jc w:val="center"/>
              <w:rPr>
                <w:b/>
                <w:bCs/>
                <w:sz w:val="18"/>
                <w:szCs w:val="18"/>
                <w:u w:val="single"/>
              </w:rPr>
            </w:pPr>
            <w:r w:rsidRPr="00DB1AEE">
              <w:rPr>
                <w:b/>
                <w:bCs/>
                <w:sz w:val="18"/>
                <w:szCs w:val="18"/>
                <w:u w:val="single"/>
              </w:rPr>
              <w:t> </w:t>
            </w:r>
          </w:p>
        </w:tc>
        <w:tc>
          <w:tcPr>
            <w:tcW w:w="363" w:type="pct"/>
            <w:tcBorders>
              <w:top w:val="nil"/>
              <w:left w:val="nil"/>
              <w:bottom w:val="single" w:sz="4" w:space="0" w:color="auto"/>
              <w:right w:val="single" w:sz="4" w:space="0" w:color="auto"/>
            </w:tcBorders>
            <w:hideMark/>
          </w:tcPr>
          <w:p w14:paraId="69CEA566" w14:textId="77777777" w:rsidR="00DB1AEE" w:rsidRPr="00DB1AEE" w:rsidRDefault="00DB1AEE" w:rsidP="00DB1AEE">
            <w:pPr>
              <w:suppressAutoHyphens/>
              <w:jc w:val="center"/>
              <w:rPr>
                <w:b/>
                <w:bCs/>
                <w:sz w:val="18"/>
                <w:szCs w:val="18"/>
                <w:u w:val="single"/>
              </w:rPr>
            </w:pPr>
            <w:r w:rsidRPr="00DB1AEE">
              <w:rPr>
                <w:b/>
                <w:bCs/>
                <w:sz w:val="18"/>
                <w:szCs w:val="18"/>
                <w:u w:val="single"/>
              </w:rPr>
              <w:t> </w:t>
            </w:r>
          </w:p>
        </w:tc>
        <w:tc>
          <w:tcPr>
            <w:tcW w:w="418" w:type="pct"/>
            <w:gridSpan w:val="3"/>
            <w:tcBorders>
              <w:top w:val="nil"/>
              <w:left w:val="nil"/>
              <w:bottom w:val="single" w:sz="4" w:space="0" w:color="auto"/>
              <w:right w:val="single" w:sz="4" w:space="0" w:color="auto"/>
            </w:tcBorders>
            <w:hideMark/>
          </w:tcPr>
          <w:p w14:paraId="37AC2833" w14:textId="77777777" w:rsidR="00DB1AEE" w:rsidRPr="00DB1AEE" w:rsidRDefault="00DB1AEE" w:rsidP="00DB1AEE">
            <w:pPr>
              <w:suppressAutoHyphens/>
              <w:jc w:val="center"/>
              <w:rPr>
                <w:sz w:val="18"/>
                <w:szCs w:val="18"/>
                <w:u w:val="single"/>
              </w:rPr>
            </w:pPr>
            <w:r w:rsidRPr="00DB1AEE">
              <w:rPr>
                <w:sz w:val="18"/>
                <w:szCs w:val="18"/>
                <w:u w:val="single"/>
              </w:rPr>
              <w:t>ADD2</w:t>
            </w:r>
          </w:p>
        </w:tc>
        <w:tc>
          <w:tcPr>
            <w:tcW w:w="323" w:type="pct"/>
            <w:tcBorders>
              <w:top w:val="nil"/>
              <w:left w:val="nil"/>
              <w:bottom w:val="single" w:sz="4" w:space="0" w:color="auto"/>
              <w:right w:val="single" w:sz="4" w:space="0" w:color="auto"/>
            </w:tcBorders>
            <w:hideMark/>
          </w:tcPr>
          <w:p w14:paraId="628F06D0" w14:textId="77777777" w:rsidR="00DB1AEE" w:rsidRPr="00DB1AEE" w:rsidRDefault="00DB1AEE" w:rsidP="00DB1AEE">
            <w:pPr>
              <w:suppressAutoHyphens/>
              <w:jc w:val="center"/>
              <w:rPr>
                <w:sz w:val="18"/>
                <w:szCs w:val="18"/>
                <w:u w:val="single"/>
              </w:rPr>
            </w:pPr>
            <w:r w:rsidRPr="00DB1AEE">
              <w:rPr>
                <w:sz w:val="18"/>
                <w:szCs w:val="18"/>
                <w:u w:val="single"/>
              </w:rPr>
              <w:t>ADD2</w:t>
            </w:r>
          </w:p>
        </w:tc>
      </w:tr>
      <w:tr w:rsidR="00DB1AEE" w:rsidRPr="00DB1AEE" w14:paraId="3310EE6E" w14:textId="77777777" w:rsidTr="00FC1832">
        <w:trPr>
          <w:trHeight w:val="585"/>
        </w:trPr>
        <w:tc>
          <w:tcPr>
            <w:tcW w:w="896" w:type="pct"/>
            <w:tcBorders>
              <w:top w:val="nil"/>
              <w:left w:val="single" w:sz="4" w:space="0" w:color="auto"/>
              <w:bottom w:val="nil"/>
              <w:right w:val="single" w:sz="4" w:space="0" w:color="auto"/>
            </w:tcBorders>
            <w:hideMark/>
          </w:tcPr>
          <w:p w14:paraId="7B9C6E05" w14:textId="77777777" w:rsidR="00DB1AEE" w:rsidRPr="00DB1AEE" w:rsidRDefault="00DB1AEE" w:rsidP="00DB1AEE">
            <w:pPr>
              <w:suppressAutoHyphens/>
              <w:spacing w:after="240"/>
              <w:jc w:val="left"/>
              <w:rPr>
                <w:sz w:val="18"/>
                <w:szCs w:val="18"/>
                <w:u w:val="single"/>
              </w:rPr>
            </w:pPr>
            <w:r w:rsidRPr="00DB1AEE">
              <w:rPr>
                <w:sz w:val="18"/>
                <w:szCs w:val="18"/>
                <w:u w:val="single"/>
              </w:rPr>
              <w:t xml:space="preserve">Convention Center—Exhibit </w:t>
            </w:r>
            <w:r w:rsidRPr="00DB1AEE">
              <w:rPr>
                <w:i/>
                <w:iCs/>
                <w:sz w:val="18"/>
                <w:szCs w:val="18"/>
                <w:u w:val="single"/>
              </w:rPr>
              <w:t>Space</w:t>
            </w:r>
          </w:p>
        </w:tc>
        <w:tc>
          <w:tcPr>
            <w:tcW w:w="429" w:type="pct"/>
            <w:gridSpan w:val="2"/>
            <w:tcBorders>
              <w:top w:val="nil"/>
              <w:left w:val="nil"/>
              <w:bottom w:val="single" w:sz="4" w:space="0" w:color="auto"/>
              <w:right w:val="single" w:sz="4" w:space="0" w:color="auto"/>
            </w:tcBorders>
            <w:noWrap/>
            <w:hideMark/>
          </w:tcPr>
          <w:p w14:paraId="3B35ACA7" w14:textId="77777777" w:rsidR="00DB1AEE" w:rsidRPr="00DB1AEE" w:rsidRDefault="00DB1AEE" w:rsidP="00DB1AEE">
            <w:pPr>
              <w:suppressAutoHyphens/>
              <w:ind w:firstLineChars="100" w:firstLine="180"/>
              <w:jc w:val="right"/>
              <w:rPr>
                <w:sz w:val="18"/>
                <w:szCs w:val="18"/>
                <w:u w:val="single"/>
              </w:rPr>
            </w:pPr>
            <w:r w:rsidRPr="00DB1AEE">
              <w:rPr>
                <w:sz w:val="18"/>
                <w:szCs w:val="18"/>
                <w:u w:val="single"/>
              </w:rPr>
              <w:t>0.5</w:t>
            </w:r>
          </w:p>
        </w:tc>
        <w:tc>
          <w:tcPr>
            <w:tcW w:w="330" w:type="pct"/>
            <w:tcBorders>
              <w:top w:val="nil"/>
              <w:left w:val="nil"/>
              <w:bottom w:val="single" w:sz="4" w:space="0" w:color="auto"/>
              <w:right w:val="single" w:sz="4" w:space="0" w:color="auto"/>
            </w:tcBorders>
            <w:noWrap/>
            <w:hideMark/>
          </w:tcPr>
          <w:p w14:paraId="152D5FCF" w14:textId="77777777" w:rsidR="00DB1AEE" w:rsidRPr="00DB1AEE" w:rsidRDefault="00DB1AEE" w:rsidP="00DB1AEE">
            <w:pPr>
              <w:suppressAutoHyphens/>
              <w:jc w:val="center"/>
              <w:rPr>
                <w:sz w:val="18"/>
                <w:szCs w:val="18"/>
                <w:u w:val="single"/>
              </w:rPr>
            </w:pPr>
            <w:r w:rsidRPr="00DB1AEE">
              <w:rPr>
                <w:sz w:val="18"/>
                <w:szCs w:val="18"/>
                <w:u w:val="single"/>
              </w:rPr>
              <w:t>4</w:t>
            </w:r>
          </w:p>
        </w:tc>
        <w:tc>
          <w:tcPr>
            <w:tcW w:w="361" w:type="pct"/>
            <w:gridSpan w:val="2"/>
            <w:tcBorders>
              <w:top w:val="nil"/>
              <w:left w:val="nil"/>
              <w:bottom w:val="single" w:sz="4" w:space="0" w:color="auto"/>
              <w:right w:val="single" w:sz="4" w:space="0" w:color="auto"/>
            </w:tcBorders>
            <w:hideMark/>
          </w:tcPr>
          <w:p w14:paraId="08C13336"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63" w:type="pct"/>
            <w:gridSpan w:val="3"/>
            <w:tcBorders>
              <w:top w:val="nil"/>
              <w:left w:val="nil"/>
              <w:bottom w:val="single" w:sz="4" w:space="0" w:color="auto"/>
              <w:right w:val="single" w:sz="4" w:space="0" w:color="auto"/>
            </w:tcBorders>
            <w:hideMark/>
          </w:tcPr>
          <w:p w14:paraId="76D65C21" w14:textId="77777777" w:rsidR="00DB1AEE" w:rsidRPr="00DB1AEE" w:rsidRDefault="00DB1AEE" w:rsidP="00DB1AEE">
            <w:pPr>
              <w:suppressAutoHyphens/>
              <w:jc w:val="left"/>
              <w:rPr>
                <w:sz w:val="18"/>
                <w:szCs w:val="18"/>
                <w:u w:val="single"/>
              </w:rPr>
            </w:pPr>
            <w:r w:rsidRPr="00DB1AEE">
              <w:rPr>
                <w:sz w:val="18"/>
                <w:szCs w:val="18"/>
                <w:u w:val="single"/>
              </w:rPr>
              <w:t>ADD1</w:t>
            </w:r>
          </w:p>
        </w:tc>
        <w:tc>
          <w:tcPr>
            <w:tcW w:w="330" w:type="pct"/>
            <w:tcBorders>
              <w:top w:val="nil"/>
              <w:left w:val="nil"/>
              <w:bottom w:val="single" w:sz="4" w:space="0" w:color="auto"/>
              <w:right w:val="single" w:sz="4" w:space="0" w:color="auto"/>
            </w:tcBorders>
            <w:hideMark/>
          </w:tcPr>
          <w:p w14:paraId="18996310"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364" w:type="pct"/>
            <w:gridSpan w:val="2"/>
            <w:tcBorders>
              <w:top w:val="nil"/>
              <w:left w:val="nil"/>
              <w:bottom w:val="single" w:sz="4" w:space="0" w:color="auto"/>
              <w:right w:val="single" w:sz="4" w:space="0" w:color="auto"/>
            </w:tcBorders>
            <w:hideMark/>
          </w:tcPr>
          <w:p w14:paraId="4F7A2711" w14:textId="77777777" w:rsidR="00DB1AEE" w:rsidRPr="00DB1AEE" w:rsidRDefault="00DB1AEE" w:rsidP="00DB1AEE">
            <w:pPr>
              <w:suppressAutoHyphens/>
              <w:jc w:val="left"/>
              <w:rPr>
                <w:sz w:val="18"/>
                <w:szCs w:val="18"/>
                <w:u w:val="single"/>
              </w:rPr>
            </w:pPr>
            <w:r w:rsidRPr="00DB1AEE">
              <w:rPr>
                <w:sz w:val="18"/>
                <w:szCs w:val="18"/>
                <w:u w:val="single"/>
              </w:rPr>
              <w:t>REQ</w:t>
            </w:r>
          </w:p>
        </w:tc>
        <w:tc>
          <w:tcPr>
            <w:tcW w:w="427" w:type="pct"/>
            <w:gridSpan w:val="3"/>
            <w:tcBorders>
              <w:top w:val="nil"/>
              <w:left w:val="nil"/>
              <w:bottom w:val="single" w:sz="4" w:space="0" w:color="auto"/>
              <w:right w:val="single" w:sz="4" w:space="0" w:color="auto"/>
            </w:tcBorders>
            <w:hideMark/>
          </w:tcPr>
          <w:p w14:paraId="1C39913E"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97" w:type="pct"/>
            <w:tcBorders>
              <w:top w:val="nil"/>
              <w:left w:val="nil"/>
              <w:bottom w:val="single" w:sz="4" w:space="0" w:color="auto"/>
              <w:right w:val="single" w:sz="4" w:space="0" w:color="auto"/>
            </w:tcBorders>
            <w:hideMark/>
          </w:tcPr>
          <w:p w14:paraId="6785B7BC"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63" w:type="pct"/>
            <w:tcBorders>
              <w:top w:val="nil"/>
              <w:left w:val="nil"/>
              <w:bottom w:val="single" w:sz="4" w:space="0" w:color="auto"/>
              <w:right w:val="single" w:sz="4" w:space="0" w:color="auto"/>
            </w:tcBorders>
            <w:vAlign w:val="bottom"/>
            <w:hideMark/>
          </w:tcPr>
          <w:p w14:paraId="0FE69AB1"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418" w:type="pct"/>
            <w:gridSpan w:val="3"/>
            <w:tcBorders>
              <w:top w:val="nil"/>
              <w:left w:val="nil"/>
              <w:bottom w:val="single" w:sz="4" w:space="0" w:color="auto"/>
              <w:right w:val="single" w:sz="4" w:space="0" w:color="auto"/>
            </w:tcBorders>
            <w:hideMark/>
          </w:tcPr>
          <w:p w14:paraId="1CC9214A" w14:textId="77777777" w:rsidR="00DB1AEE" w:rsidRPr="00DB1AEE" w:rsidRDefault="00DB1AEE" w:rsidP="00DB1AEE">
            <w:pPr>
              <w:suppressAutoHyphens/>
              <w:jc w:val="left"/>
              <w:rPr>
                <w:sz w:val="18"/>
                <w:szCs w:val="18"/>
                <w:u w:val="single"/>
              </w:rPr>
            </w:pPr>
          </w:p>
        </w:tc>
        <w:tc>
          <w:tcPr>
            <w:tcW w:w="323" w:type="pct"/>
            <w:tcBorders>
              <w:top w:val="nil"/>
              <w:left w:val="nil"/>
              <w:bottom w:val="single" w:sz="4" w:space="0" w:color="auto"/>
              <w:right w:val="single" w:sz="4" w:space="0" w:color="auto"/>
            </w:tcBorders>
            <w:hideMark/>
          </w:tcPr>
          <w:p w14:paraId="6B0ED511" w14:textId="77777777" w:rsidR="00DB1AEE" w:rsidRPr="00DB1AEE" w:rsidRDefault="00DB1AEE" w:rsidP="00DB1AEE">
            <w:pPr>
              <w:suppressAutoHyphens/>
              <w:jc w:val="left"/>
              <w:rPr>
                <w:sz w:val="18"/>
                <w:szCs w:val="18"/>
                <w:u w:val="single"/>
              </w:rPr>
            </w:pPr>
            <w:r w:rsidRPr="00DB1AEE">
              <w:rPr>
                <w:sz w:val="18"/>
                <w:szCs w:val="18"/>
                <w:u w:val="single"/>
              </w:rPr>
              <w:t>REQ</w:t>
            </w:r>
          </w:p>
        </w:tc>
      </w:tr>
      <w:tr w:rsidR="00DB1AEE" w:rsidRPr="00DB1AEE" w14:paraId="0D56504C" w14:textId="77777777" w:rsidTr="00FC1832">
        <w:trPr>
          <w:trHeight w:val="510"/>
        </w:trPr>
        <w:tc>
          <w:tcPr>
            <w:tcW w:w="896" w:type="pct"/>
            <w:tcBorders>
              <w:top w:val="single" w:sz="4" w:space="0" w:color="auto"/>
              <w:left w:val="single" w:sz="4" w:space="0" w:color="auto"/>
              <w:bottom w:val="single" w:sz="4" w:space="0" w:color="auto"/>
              <w:right w:val="single" w:sz="4" w:space="0" w:color="auto"/>
            </w:tcBorders>
            <w:hideMark/>
          </w:tcPr>
          <w:p w14:paraId="2B97B22D" w14:textId="77777777" w:rsidR="00DB1AEE" w:rsidRPr="00DB1AEE" w:rsidRDefault="00DB1AEE" w:rsidP="00DB1AEE">
            <w:pPr>
              <w:suppressAutoHyphens/>
              <w:jc w:val="left"/>
              <w:rPr>
                <w:b/>
                <w:bCs/>
                <w:sz w:val="18"/>
                <w:szCs w:val="18"/>
                <w:u w:val="single"/>
              </w:rPr>
            </w:pPr>
            <w:r w:rsidRPr="00DB1AEE">
              <w:rPr>
                <w:b/>
                <w:bCs/>
                <w:sz w:val="18"/>
                <w:szCs w:val="18"/>
                <w:u w:val="single"/>
              </w:rPr>
              <w:t>Correctional Facilities</w:t>
            </w:r>
          </w:p>
        </w:tc>
        <w:tc>
          <w:tcPr>
            <w:tcW w:w="429" w:type="pct"/>
            <w:gridSpan w:val="2"/>
            <w:tcBorders>
              <w:top w:val="nil"/>
              <w:left w:val="nil"/>
              <w:bottom w:val="single" w:sz="4" w:space="0" w:color="auto"/>
              <w:right w:val="single" w:sz="4" w:space="0" w:color="auto"/>
            </w:tcBorders>
            <w:hideMark/>
          </w:tcPr>
          <w:p w14:paraId="759B355F" w14:textId="77777777" w:rsidR="00DB1AEE" w:rsidRPr="00DB1AEE" w:rsidRDefault="00DB1AEE" w:rsidP="00DB1AEE">
            <w:pPr>
              <w:suppressAutoHyphens/>
              <w:jc w:val="center"/>
              <w:rPr>
                <w:b/>
                <w:bCs/>
                <w:sz w:val="18"/>
                <w:szCs w:val="18"/>
                <w:u w:val="single"/>
              </w:rPr>
            </w:pPr>
            <w:r w:rsidRPr="00DB1AEE">
              <w:rPr>
                <w:b/>
                <w:bCs/>
                <w:sz w:val="18"/>
                <w:szCs w:val="18"/>
                <w:u w:val="single"/>
              </w:rPr>
              <w:t> </w:t>
            </w:r>
          </w:p>
          <w:p w14:paraId="5E5B7339"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330" w:type="pct"/>
            <w:tcBorders>
              <w:top w:val="nil"/>
              <w:left w:val="nil"/>
              <w:bottom w:val="single" w:sz="4" w:space="0" w:color="auto"/>
              <w:right w:val="single" w:sz="4" w:space="0" w:color="auto"/>
            </w:tcBorders>
            <w:vAlign w:val="bottom"/>
            <w:hideMark/>
          </w:tcPr>
          <w:p w14:paraId="75603954"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361" w:type="pct"/>
            <w:gridSpan w:val="2"/>
            <w:tcBorders>
              <w:top w:val="nil"/>
              <w:left w:val="nil"/>
              <w:bottom w:val="single" w:sz="4" w:space="0" w:color="auto"/>
              <w:right w:val="single" w:sz="4" w:space="0" w:color="auto"/>
            </w:tcBorders>
            <w:hideMark/>
          </w:tcPr>
          <w:p w14:paraId="078453BD" w14:textId="77777777" w:rsidR="00DB1AEE" w:rsidRPr="00DB1AEE" w:rsidRDefault="00DB1AEE" w:rsidP="00DB1AEE">
            <w:pPr>
              <w:suppressAutoHyphens/>
              <w:jc w:val="center"/>
              <w:rPr>
                <w:b/>
                <w:bCs/>
                <w:sz w:val="18"/>
                <w:szCs w:val="18"/>
                <w:u w:val="single"/>
              </w:rPr>
            </w:pPr>
            <w:r w:rsidRPr="00DB1AEE">
              <w:rPr>
                <w:b/>
                <w:bCs/>
                <w:sz w:val="18"/>
                <w:szCs w:val="18"/>
                <w:u w:val="single"/>
              </w:rPr>
              <w:t> </w:t>
            </w:r>
          </w:p>
        </w:tc>
        <w:tc>
          <w:tcPr>
            <w:tcW w:w="363" w:type="pct"/>
            <w:gridSpan w:val="3"/>
            <w:tcBorders>
              <w:top w:val="nil"/>
              <w:left w:val="nil"/>
              <w:bottom w:val="single" w:sz="4" w:space="0" w:color="auto"/>
              <w:right w:val="single" w:sz="4" w:space="0" w:color="auto"/>
            </w:tcBorders>
            <w:hideMark/>
          </w:tcPr>
          <w:p w14:paraId="7A8D35D3" w14:textId="77777777" w:rsidR="00DB1AEE" w:rsidRPr="00DB1AEE" w:rsidRDefault="00DB1AEE" w:rsidP="00DB1AEE">
            <w:pPr>
              <w:suppressAutoHyphens/>
              <w:jc w:val="center"/>
              <w:rPr>
                <w:b/>
                <w:bCs/>
                <w:sz w:val="18"/>
                <w:szCs w:val="18"/>
                <w:u w:val="single"/>
              </w:rPr>
            </w:pPr>
            <w:r w:rsidRPr="00DB1AEE">
              <w:rPr>
                <w:b/>
                <w:bCs/>
                <w:sz w:val="18"/>
                <w:szCs w:val="18"/>
                <w:u w:val="single"/>
              </w:rPr>
              <w:t> </w:t>
            </w:r>
          </w:p>
        </w:tc>
        <w:tc>
          <w:tcPr>
            <w:tcW w:w="330" w:type="pct"/>
            <w:tcBorders>
              <w:top w:val="nil"/>
              <w:left w:val="nil"/>
              <w:bottom w:val="single" w:sz="4" w:space="0" w:color="auto"/>
              <w:right w:val="single" w:sz="4" w:space="0" w:color="auto"/>
            </w:tcBorders>
            <w:hideMark/>
          </w:tcPr>
          <w:p w14:paraId="1656DA63" w14:textId="77777777" w:rsidR="00DB1AEE" w:rsidRPr="00DB1AEE" w:rsidRDefault="00DB1AEE" w:rsidP="00DB1AEE">
            <w:pPr>
              <w:suppressAutoHyphens/>
              <w:jc w:val="center"/>
              <w:rPr>
                <w:b/>
                <w:bCs/>
                <w:sz w:val="18"/>
                <w:szCs w:val="18"/>
                <w:u w:val="single"/>
              </w:rPr>
            </w:pPr>
            <w:r w:rsidRPr="00DB1AEE">
              <w:rPr>
                <w:b/>
                <w:bCs/>
                <w:sz w:val="18"/>
                <w:szCs w:val="18"/>
                <w:u w:val="single"/>
              </w:rPr>
              <w:t> </w:t>
            </w:r>
          </w:p>
        </w:tc>
        <w:tc>
          <w:tcPr>
            <w:tcW w:w="364" w:type="pct"/>
            <w:gridSpan w:val="2"/>
            <w:tcBorders>
              <w:top w:val="nil"/>
              <w:left w:val="nil"/>
              <w:bottom w:val="single" w:sz="4" w:space="0" w:color="auto"/>
              <w:right w:val="single" w:sz="4" w:space="0" w:color="auto"/>
            </w:tcBorders>
            <w:hideMark/>
          </w:tcPr>
          <w:p w14:paraId="1D04CFD3" w14:textId="77777777" w:rsidR="00DB1AEE" w:rsidRPr="00DB1AEE" w:rsidRDefault="00DB1AEE" w:rsidP="00DB1AEE">
            <w:pPr>
              <w:suppressAutoHyphens/>
              <w:jc w:val="center"/>
              <w:rPr>
                <w:b/>
                <w:bCs/>
                <w:sz w:val="18"/>
                <w:szCs w:val="18"/>
                <w:u w:val="single"/>
              </w:rPr>
            </w:pPr>
            <w:r w:rsidRPr="00DB1AEE">
              <w:rPr>
                <w:b/>
                <w:bCs/>
                <w:sz w:val="18"/>
                <w:szCs w:val="18"/>
                <w:u w:val="single"/>
              </w:rPr>
              <w:t> </w:t>
            </w:r>
          </w:p>
        </w:tc>
        <w:tc>
          <w:tcPr>
            <w:tcW w:w="427" w:type="pct"/>
            <w:gridSpan w:val="3"/>
            <w:tcBorders>
              <w:top w:val="nil"/>
              <w:left w:val="nil"/>
              <w:bottom w:val="single" w:sz="4" w:space="0" w:color="auto"/>
              <w:right w:val="single" w:sz="4" w:space="0" w:color="auto"/>
            </w:tcBorders>
            <w:hideMark/>
          </w:tcPr>
          <w:p w14:paraId="5CA58C8B" w14:textId="77777777" w:rsidR="00DB1AEE" w:rsidRPr="00DB1AEE" w:rsidRDefault="00DB1AEE" w:rsidP="00DB1AEE">
            <w:pPr>
              <w:suppressAutoHyphens/>
              <w:jc w:val="center"/>
              <w:rPr>
                <w:b/>
                <w:bCs/>
                <w:sz w:val="18"/>
                <w:szCs w:val="18"/>
                <w:u w:val="single"/>
              </w:rPr>
            </w:pPr>
            <w:r w:rsidRPr="00DB1AEE">
              <w:rPr>
                <w:b/>
                <w:bCs/>
                <w:sz w:val="18"/>
                <w:szCs w:val="18"/>
                <w:u w:val="single"/>
              </w:rPr>
              <w:t> </w:t>
            </w:r>
          </w:p>
        </w:tc>
        <w:tc>
          <w:tcPr>
            <w:tcW w:w="397" w:type="pct"/>
            <w:tcBorders>
              <w:top w:val="nil"/>
              <w:left w:val="nil"/>
              <w:bottom w:val="single" w:sz="4" w:space="0" w:color="auto"/>
              <w:right w:val="single" w:sz="4" w:space="0" w:color="auto"/>
            </w:tcBorders>
            <w:hideMark/>
          </w:tcPr>
          <w:p w14:paraId="560DA7DB" w14:textId="77777777" w:rsidR="00DB1AEE" w:rsidRPr="00DB1AEE" w:rsidRDefault="00DB1AEE" w:rsidP="00DB1AEE">
            <w:pPr>
              <w:suppressAutoHyphens/>
              <w:jc w:val="center"/>
              <w:rPr>
                <w:b/>
                <w:bCs/>
                <w:sz w:val="18"/>
                <w:szCs w:val="18"/>
                <w:u w:val="single"/>
              </w:rPr>
            </w:pPr>
            <w:r w:rsidRPr="00DB1AEE">
              <w:rPr>
                <w:b/>
                <w:bCs/>
                <w:sz w:val="18"/>
                <w:szCs w:val="18"/>
                <w:u w:val="single"/>
              </w:rPr>
              <w:t> </w:t>
            </w:r>
          </w:p>
        </w:tc>
        <w:tc>
          <w:tcPr>
            <w:tcW w:w="363" w:type="pct"/>
            <w:tcBorders>
              <w:top w:val="nil"/>
              <w:left w:val="nil"/>
              <w:bottom w:val="single" w:sz="4" w:space="0" w:color="auto"/>
              <w:right w:val="single" w:sz="4" w:space="0" w:color="auto"/>
            </w:tcBorders>
            <w:hideMark/>
          </w:tcPr>
          <w:p w14:paraId="64ED63F5" w14:textId="77777777" w:rsidR="00DB1AEE" w:rsidRPr="00DB1AEE" w:rsidRDefault="00DB1AEE" w:rsidP="00DB1AEE">
            <w:pPr>
              <w:suppressAutoHyphens/>
              <w:jc w:val="center"/>
              <w:rPr>
                <w:b/>
                <w:bCs/>
                <w:sz w:val="18"/>
                <w:szCs w:val="18"/>
                <w:u w:val="single"/>
              </w:rPr>
            </w:pPr>
            <w:r w:rsidRPr="00DB1AEE">
              <w:rPr>
                <w:b/>
                <w:bCs/>
                <w:sz w:val="18"/>
                <w:szCs w:val="18"/>
                <w:u w:val="single"/>
              </w:rPr>
              <w:t> </w:t>
            </w:r>
          </w:p>
        </w:tc>
        <w:tc>
          <w:tcPr>
            <w:tcW w:w="418" w:type="pct"/>
            <w:gridSpan w:val="3"/>
            <w:tcBorders>
              <w:top w:val="nil"/>
              <w:left w:val="nil"/>
              <w:bottom w:val="single" w:sz="4" w:space="0" w:color="auto"/>
              <w:right w:val="single" w:sz="4" w:space="0" w:color="auto"/>
            </w:tcBorders>
            <w:hideMark/>
          </w:tcPr>
          <w:p w14:paraId="0220A153" w14:textId="77777777" w:rsidR="00DB1AEE" w:rsidRPr="00DB1AEE" w:rsidRDefault="00DB1AEE" w:rsidP="00DB1AEE">
            <w:pPr>
              <w:suppressAutoHyphens/>
              <w:jc w:val="center"/>
              <w:rPr>
                <w:b/>
                <w:bCs/>
                <w:sz w:val="18"/>
                <w:szCs w:val="18"/>
                <w:u w:val="single"/>
              </w:rPr>
            </w:pPr>
            <w:r w:rsidRPr="00DB1AEE">
              <w:rPr>
                <w:b/>
                <w:bCs/>
                <w:sz w:val="18"/>
                <w:szCs w:val="18"/>
                <w:u w:val="single"/>
              </w:rPr>
              <w:t> </w:t>
            </w:r>
          </w:p>
        </w:tc>
        <w:tc>
          <w:tcPr>
            <w:tcW w:w="323" w:type="pct"/>
            <w:tcBorders>
              <w:top w:val="nil"/>
              <w:left w:val="nil"/>
              <w:bottom w:val="single" w:sz="4" w:space="0" w:color="auto"/>
              <w:right w:val="single" w:sz="4" w:space="0" w:color="auto"/>
            </w:tcBorders>
            <w:hideMark/>
          </w:tcPr>
          <w:p w14:paraId="38D98F2C" w14:textId="77777777" w:rsidR="00DB1AEE" w:rsidRPr="00DB1AEE" w:rsidRDefault="00DB1AEE" w:rsidP="00DB1AEE">
            <w:pPr>
              <w:suppressAutoHyphens/>
              <w:jc w:val="center"/>
              <w:rPr>
                <w:b/>
                <w:bCs/>
                <w:sz w:val="18"/>
                <w:szCs w:val="18"/>
                <w:u w:val="single"/>
              </w:rPr>
            </w:pPr>
            <w:r w:rsidRPr="00DB1AEE">
              <w:rPr>
                <w:b/>
                <w:bCs/>
                <w:sz w:val="18"/>
                <w:szCs w:val="18"/>
                <w:u w:val="single"/>
              </w:rPr>
              <w:t> </w:t>
            </w:r>
          </w:p>
        </w:tc>
      </w:tr>
      <w:tr w:rsidR="00DB1AEE" w:rsidRPr="00DB1AEE" w14:paraId="0A884B76" w14:textId="77777777" w:rsidTr="00FC1832">
        <w:trPr>
          <w:trHeight w:val="510"/>
        </w:trPr>
        <w:tc>
          <w:tcPr>
            <w:tcW w:w="896" w:type="pct"/>
            <w:tcBorders>
              <w:top w:val="nil"/>
              <w:left w:val="single" w:sz="4" w:space="0" w:color="auto"/>
              <w:bottom w:val="single" w:sz="4" w:space="0" w:color="auto"/>
              <w:right w:val="single" w:sz="4" w:space="0" w:color="auto"/>
            </w:tcBorders>
            <w:hideMark/>
          </w:tcPr>
          <w:p w14:paraId="43533EC3" w14:textId="77777777" w:rsidR="00DB1AEE" w:rsidRPr="00DB1AEE" w:rsidRDefault="00DB1AEE" w:rsidP="00DB1AEE">
            <w:pPr>
              <w:suppressAutoHyphens/>
              <w:jc w:val="left"/>
              <w:rPr>
                <w:sz w:val="18"/>
                <w:szCs w:val="18"/>
                <w:u w:val="single"/>
              </w:rPr>
            </w:pPr>
            <w:r w:rsidRPr="00DB1AEE">
              <w:rPr>
                <w:sz w:val="18"/>
                <w:szCs w:val="18"/>
                <w:u w:val="single"/>
              </w:rPr>
              <w:t>Audience seating area</w:t>
            </w:r>
          </w:p>
        </w:tc>
        <w:tc>
          <w:tcPr>
            <w:tcW w:w="429" w:type="pct"/>
            <w:gridSpan w:val="2"/>
            <w:tcBorders>
              <w:top w:val="nil"/>
              <w:left w:val="nil"/>
              <w:bottom w:val="single" w:sz="4" w:space="0" w:color="auto"/>
              <w:right w:val="single" w:sz="4" w:space="0" w:color="auto"/>
            </w:tcBorders>
            <w:hideMark/>
          </w:tcPr>
          <w:p w14:paraId="6B9B9FCB" w14:textId="77777777" w:rsidR="00DB1AEE" w:rsidRPr="00DB1AEE" w:rsidRDefault="00DB1AEE" w:rsidP="00DB1AEE">
            <w:pPr>
              <w:suppressAutoHyphens/>
              <w:jc w:val="center"/>
              <w:rPr>
                <w:b/>
                <w:bCs/>
                <w:sz w:val="18"/>
                <w:szCs w:val="18"/>
                <w:u w:val="single"/>
              </w:rPr>
            </w:pPr>
            <w:r w:rsidRPr="00DB1AEE">
              <w:rPr>
                <w:b/>
                <w:bCs/>
                <w:sz w:val="18"/>
                <w:szCs w:val="18"/>
                <w:u w:val="single"/>
              </w:rPr>
              <w:t> </w:t>
            </w:r>
          </w:p>
          <w:p w14:paraId="4C4E3099" w14:textId="77777777" w:rsidR="00DB1AEE" w:rsidRPr="00DB1AEE" w:rsidRDefault="00DB1AEE" w:rsidP="00DB1AEE">
            <w:pPr>
              <w:suppressAutoHyphens/>
              <w:ind w:firstLineChars="100" w:firstLine="180"/>
              <w:jc w:val="right"/>
              <w:rPr>
                <w:sz w:val="18"/>
                <w:szCs w:val="18"/>
                <w:u w:val="single"/>
              </w:rPr>
            </w:pPr>
            <w:r w:rsidRPr="00DB1AEE">
              <w:rPr>
                <w:sz w:val="18"/>
                <w:szCs w:val="18"/>
                <w:u w:val="single"/>
              </w:rPr>
              <w:t>0.56</w:t>
            </w:r>
          </w:p>
        </w:tc>
        <w:tc>
          <w:tcPr>
            <w:tcW w:w="330" w:type="pct"/>
            <w:tcBorders>
              <w:top w:val="nil"/>
              <w:left w:val="nil"/>
              <w:bottom w:val="single" w:sz="4" w:space="0" w:color="auto"/>
              <w:right w:val="single" w:sz="4" w:space="0" w:color="auto"/>
            </w:tcBorders>
            <w:noWrap/>
            <w:hideMark/>
          </w:tcPr>
          <w:p w14:paraId="6EAB2F2D" w14:textId="77777777" w:rsidR="00DB1AEE" w:rsidRPr="00DB1AEE" w:rsidRDefault="00DB1AEE" w:rsidP="00DB1AEE">
            <w:pPr>
              <w:suppressAutoHyphens/>
              <w:jc w:val="center"/>
              <w:rPr>
                <w:sz w:val="18"/>
                <w:szCs w:val="18"/>
                <w:u w:val="single"/>
              </w:rPr>
            </w:pPr>
            <w:r w:rsidRPr="00DB1AEE">
              <w:rPr>
                <w:sz w:val="18"/>
                <w:szCs w:val="18"/>
                <w:u w:val="single"/>
              </w:rPr>
              <w:t>4</w:t>
            </w:r>
          </w:p>
        </w:tc>
        <w:tc>
          <w:tcPr>
            <w:tcW w:w="361" w:type="pct"/>
            <w:gridSpan w:val="2"/>
            <w:tcBorders>
              <w:top w:val="nil"/>
              <w:left w:val="nil"/>
              <w:bottom w:val="single" w:sz="4" w:space="0" w:color="auto"/>
              <w:right w:val="single" w:sz="4" w:space="0" w:color="auto"/>
            </w:tcBorders>
            <w:hideMark/>
          </w:tcPr>
          <w:p w14:paraId="383DCA22"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63" w:type="pct"/>
            <w:gridSpan w:val="3"/>
            <w:tcBorders>
              <w:top w:val="nil"/>
              <w:left w:val="nil"/>
              <w:bottom w:val="single" w:sz="4" w:space="0" w:color="auto"/>
              <w:right w:val="single" w:sz="4" w:space="0" w:color="auto"/>
            </w:tcBorders>
            <w:hideMark/>
          </w:tcPr>
          <w:p w14:paraId="35804CB3"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330" w:type="pct"/>
            <w:tcBorders>
              <w:top w:val="nil"/>
              <w:left w:val="nil"/>
              <w:bottom w:val="single" w:sz="4" w:space="0" w:color="auto"/>
              <w:right w:val="single" w:sz="4" w:space="0" w:color="auto"/>
            </w:tcBorders>
            <w:hideMark/>
          </w:tcPr>
          <w:p w14:paraId="160B3A68"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364" w:type="pct"/>
            <w:gridSpan w:val="2"/>
            <w:tcBorders>
              <w:top w:val="nil"/>
              <w:left w:val="nil"/>
              <w:bottom w:val="single" w:sz="4" w:space="0" w:color="auto"/>
              <w:right w:val="single" w:sz="4" w:space="0" w:color="auto"/>
            </w:tcBorders>
            <w:hideMark/>
          </w:tcPr>
          <w:p w14:paraId="47CC7748" w14:textId="77777777" w:rsidR="00DB1AEE" w:rsidRPr="00DB1AEE" w:rsidRDefault="00DB1AEE" w:rsidP="00DB1AEE">
            <w:pPr>
              <w:suppressAutoHyphens/>
              <w:jc w:val="center"/>
              <w:rPr>
                <w:b/>
                <w:bCs/>
                <w:sz w:val="18"/>
                <w:szCs w:val="18"/>
                <w:u w:val="single"/>
              </w:rPr>
            </w:pPr>
            <w:r w:rsidRPr="00DB1AEE">
              <w:rPr>
                <w:b/>
                <w:bCs/>
                <w:sz w:val="18"/>
                <w:szCs w:val="18"/>
                <w:u w:val="single"/>
              </w:rPr>
              <w:t> </w:t>
            </w:r>
          </w:p>
        </w:tc>
        <w:tc>
          <w:tcPr>
            <w:tcW w:w="427" w:type="pct"/>
            <w:gridSpan w:val="3"/>
            <w:tcBorders>
              <w:top w:val="nil"/>
              <w:left w:val="nil"/>
              <w:bottom w:val="single" w:sz="4" w:space="0" w:color="auto"/>
              <w:right w:val="single" w:sz="4" w:space="0" w:color="auto"/>
            </w:tcBorders>
            <w:hideMark/>
          </w:tcPr>
          <w:p w14:paraId="0A08D449"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97" w:type="pct"/>
            <w:tcBorders>
              <w:top w:val="nil"/>
              <w:left w:val="nil"/>
              <w:bottom w:val="single" w:sz="4" w:space="0" w:color="auto"/>
              <w:right w:val="single" w:sz="4" w:space="0" w:color="auto"/>
            </w:tcBorders>
            <w:hideMark/>
          </w:tcPr>
          <w:p w14:paraId="0FC4A0CE"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63" w:type="pct"/>
            <w:tcBorders>
              <w:top w:val="nil"/>
              <w:left w:val="nil"/>
              <w:bottom w:val="single" w:sz="4" w:space="0" w:color="auto"/>
              <w:right w:val="single" w:sz="4" w:space="0" w:color="auto"/>
            </w:tcBorders>
            <w:hideMark/>
          </w:tcPr>
          <w:p w14:paraId="0559BFBA" w14:textId="77777777" w:rsidR="00DB1AEE" w:rsidRPr="00DB1AEE" w:rsidRDefault="00DB1AEE" w:rsidP="00DB1AEE">
            <w:pPr>
              <w:suppressAutoHyphens/>
              <w:jc w:val="center"/>
              <w:rPr>
                <w:b/>
                <w:bCs/>
                <w:sz w:val="18"/>
                <w:szCs w:val="18"/>
                <w:u w:val="single"/>
              </w:rPr>
            </w:pPr>
            <w:r w:rsidRPr="00DB1AEE">
              <w:rPr>
                <w:b/>
                <w:bCs/>
                <w:sz w:val="18"/>
                <w:szCs w:val="18"/>
                <w:u w:val="single"/>
              </w:rPr>
              <w:t> </w:t>
            </w:r>
          </w:p>
        </w:tc>
        <w:tc>
          <w:tcPr>
            <w:tcW w:w="418" w:type="pct"/>
            <w:gridSpan w:val="3"/>
            <w:tcBorders>
              <w:top w:val="nil"/>
              <w:left w:val="nil"/>
              <w:bottom w:val="single" w:sz="4" w:space="0" w:color="auto"/>
              <w:right w:val="single" w:sz="4" w:space="0" w:color="auto"/>
            </w:tcBorders>
            <w:hideMark/>
          </w:tcPr>
          <w:p w14:paraId="5F1D0195" w14:textId="77777777" w:rsidR="00DB1AEE" w:rsidRPr="00DB1AEE" w:rsidRDefault="00DB1AEE" w:rsidP="00DB1AEE">
            <w:pPr>
              <w:suppressAutoHyphens/>
              <w:jc w:val="center"/>
              <w:rPr>
                <w:sz w:val="18"/>
                <w:szCs w:val="18"/>
                <w:u w:val="single"/>
              </w:rPr>
            </w:pPr>
            <w:r w:rsidRPr="00DB1AEE">
              <w:rPr>
                <w:sz w:val="18"/>
                <w:szCs w:val="18"/>
                <w:u w:val="single"/>
              </w:rPr>
              <w:t>ADD2</w:t>
            </w:r>
          </w:p>
        </w:tc>
        <w:tc>
          <w:tcPr>
            <w:tcW w:w="323" w:type="pct"/>
            <w:tcBorders>
              <w:top w:val="nil"/>
              <w:left w:val="nil"/>
              <w:bottom w:val="single" w:sz="4" w:space="0" w:color="auto"/>
              <w:right w:val="single" w:sz="4" w:space="0" w:color="auto"/>
            </w:tcBorders>
            <w:hideMark/>
          </w:tcPr>
          <w:p w14:paraId="76D2A81D" w14:textId="77777777" w:rsidR="00DB1AEE" w:rsidRPr="00DB1AEE" w:rsidRDefault="00DB1AEE" w:rsidP="00DB1AEE">
            <w:pPr>
              <w:suppressAutoHyphens/>
              <w:jc w:val="center"/>
              <w:rPr>
                <w:sz w:val="18"/>
                <w:szCs w:val="18"/>
                <w:u w:val="single"/>
              </w:rPr>
            </w:pPr>
            <w:r w:rsidRPr="00DB1AEE">
              <w:rPr>
                <w:sz w:val="18"/>
                <w:szCs w:val="18"/>
                <w:u w:val="single"/>
              </w:rPr>
              <w:t>ADD2</w:t>
            </w:r>
          </w:p>
        </w:tc>
      </w:tr>
      <w:tr w:rsidR="00DB1AEE" w:rsidRPr="00DB1AEE" w14:paraId="1280A73C" w14:textId="77777777" w:rsidTr="00FC1832">
        <w:trPr>
          <w:trHeight w:val="510"/>
        </w:trPr>
        <w:tc>
          <w:tcPr>
            <w:tcW w:w="896" w:type="pct"/>
            <w:tcBorders>
              <w:top w:val="nil"/>
              <w:left w:val="single" w:sz="4" w:space="0" w:color="auto"/>
              <w:bottom w:val="single" w:sz="4" w:space="0" w:color="auto"/>
              <w:right w:val="single" w:sz="4" w:space="0" w:color="auto"/>
            </w:tcBorders>
            <w:hideMark/>
          </w:tcPr>
          <w:p w14:paraId="29C3A923" w14:textId="77777777" w:rsidR="00DB1AEE" w:rsidRPr="00DB1AEE" w:rsidRDefault="00DB1AEE" w:rsidP="00DB1AEE">
            <w:pPr>
              <w:suppressAutoHyphens/>
              <w:jc w:val="left"/>
              <w:rPr>
                <w:sz w:val="18"/>
                <w:szCs w:val="18"/>
                <w:u w:val="single"/>
              </w:rPr>
            </w:pPr>
            <w:r w:rsidRPr="00DB1AEE">
              <w:rPr>
                <w:sz w:val="18"/>
                <w:szCs w:val="18"/>
                <w:u w:val="single"/>
              </w:rPr>
              <w:t>Classroom/lecture hall/training room</w:t>
            </w:r>
          </w:p>
        </w:tc>
        <w:tc>
          <w:tcPr>
            <w:tcW w:w="429" w:type="pct"/>
            <w:gridSpan w:val="2"/>
            <w:tcBorders>
              <w:top w:val="nil"/>
              <w:left w:val="nil"/>
              <w:bottom w:val="single" w:sz="4" w:space="0" w:color="auto"/>
              <w:right w:val="single" w:sz="4" w:space="0" w:color="auto"/>
            </w:tcBorders>
            <w:hideMark/>
          </w:tcPr>
          <w:p w14:paraId="523C7131" w14:textId="77777777" w:rsidR="00DB1AEE" w:rsidRPr="00DB1AEE" w:rsidRDefault="00DB1AEE" w:rsidP="00DB1AEE">
            <w:pPr>
              <w:suppressAutoHyphens/>
              <w:jc w:val="center"/>
              <w:rPr>
                <w:b/>
                <w:bCs/>
                <w:sz w:val="18"/>
                <w:szCs w:val="18"/>
                <w:u w:val="single"/>
              </w:rPr>
            </w:pPr>
            <w:r w:rsidRPr="00DB1AEE">
              <w:rPr>
                <w:b/>
                <w:bCs/>
                <w:sz w:val="18"/>
                <w:szCs w:val="18"/>
                <w:u w:val="single"/>
              </w:rPr>
              <w:t> </w:t>
            </w:r>
          </w:p>
          <w:p w14:paraId="73CF3798" w14:textId="77777777" w:rsidR="00DB1AEE" w:rsidRPr="00DB1AEE" w:rsidRDefault="00DB1AEE" w:rsidP="00DB1AEE">
            <w:pPr>
              <w:suppressAutoHyphens/>
              <w:ind w:firstLineChars="100" w:firstLine="180"/>
              <w:jc w:val="right"/>
              <w:rPr>
                <w:sz w:val="18"/>
                <w:szCs w:val="18"/>
                <w:u w:val="single"/>
              </w:rPr>
            </w:pPr>
            <w:r w:rsidRPr="00DB1AEE">
              <w:rPr>
                <w:sz w:val="18"/>
                <w:szCs w:val="18"/>
                <w:u w:val="single"/>
              </w:rPr>
              <w:t>0.74</w:t>
            </w:r>
          </w:p>
        </w:tc>
        <w:tc>
          <w:tcPr>
            <w:tcW w:w="330" w:type="pct"/>
            <w:tcBorders>
              <w:top w:val="nil"/>
              <w:left w:val="nil"/>
              <w:bottom w:val="single" w:sz="4" w:space="0" w:color="auto"/>
              <w:right w:val="single" w:sz="4" w:space="0" w:color="auto"/>
            </w:tcBorders>
            <w:noWrap/>
            <w:hideMark/>
          </w:tcPr>
          <w:p w14:paraId="6F94B767" w14:textId="77777777" w:rsidR="00DB1AEE" w:rsidRPr="00DB1AEE" w:rsidRDefault="00DB1AEE" w:rsidP="00DB1AEE">
            <w:pPr>
              <w:suppressAutoHyphens/>
              <w:jc w:val="center"/>
              <w:rPr>
                <w:sz w:val="18"/>
                <w:szCs w:val="18"/>
                <w:u w:val="single"/>
              </w:rPr>
            </w:pPr>
            <w:r w:rsidRPr="00DB1AEE">
              <w:rPr>
                <w:sz w:val="18"/>
                <w:szCs w:val="18"/>
                <w:u w:val="single"/>
              </w:rPr>
              <w:t>4</w:t>
            </w:r>
          </w:p>
        </w:tc>
        <w:tc>
          <w:tcPr>
            <w:tcW w:w="361" w:type="pct"/>
            <w:gridSpan w:val="2"/>
            <w:tcBorders>
              <w:top w:val="nil"/>
              <w:left w:val="nil"/>
              <w:bottom w:val="single" w:sz="4" w:space="0" w:color="auto"/>
              <w:right w:val="single" w:sz="4" w:space="0" w:color="auto"/>
            </w:tcBorders>
            <w:hideMark/>
          </w:tcPr>
          <w:p w14:paraId="374CEDEB"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63" w:type="pct"/>
            <w:gridSpan w:val="3"/>
            <w:tcBorders>
              <w:top w:val="nil"/>
              <w:left w:val="nil"/>
              <w:bottom w:val="single" w:sz="4" w:space="0" w:color="auto"/>
              <w:right w:val="single" w:sz="4" w:space="0" w:color="auto"/>
            </w:tcBorders>
            <w:hideMark/>
          </w:tcPr>
          <w:p w14:paraId="1D5021D2"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330" w:type="pct"/>
            <w:tcBorders>
              <w:top w:val="nil"/>
              <w:left w:val="nil"/>
              <w:bottom w:val="single" w:sz="4" w:space="0" w:color="auto"/>
              <w:right w:val="single" w:sz="4" w:space="0" w:color="auto"/>
            </w:tcBorders>
            <w:hideMark/>
          </w:tcPr>
          <w:p w14:paraId="262E39C7"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364" w:type="pct"/>
            <w:gridSpan w:val="2"/>
            <w:tcBorders>
              <w:top w:val="nil"/>
              <w:left w:val="nil"/>
              <w:bottom w:val="single" w:sz="4" w:space="0" w:color="auto"/>
              <w:right w:val="single" w:sz="4" w:space="0" w:color="auto"/>
            </w:tcBorders>
            <w:hideMark/>
          </w:tcPr>
          <w:p w14:paraId="566B3B84"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427" w:type="pct"/>
            <w:gridSpan w:val="3"/>
            <w:tcBorders>
              <w:top w:val="nil"/>
              <w:left w:val="nil"/>
              <w:bottom w:val="single" w:sz="4" w:space="0" w:color="auto"/>
              <w:right w:val="single" w:sz="4" w:space="0" w:color="auto"/>
            </w:tcBorders>
            <w:hideMark/>
          </w:tcPr>
          <w:p w14:paraId="6AD727F1"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97" w:type="pct"/>
            <w:tcBorders>
              <w:top w:val="nil"/>
              <w:left w:val="nil"/>
              <w:bottom w:val="single" w:sz="4" w:space="0" w:color="auto"/>
              <w:right w:val="single" w:sz="4" w:space="0" w:color="auto"/>
            </w:tcBorders>
            <w:hideMark/>
          </w:tcPr>
          <w:p w14:paraId="5B244574"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63" w:type="pct"/>
            <w:tcBorders>
              <w:top w:val="nil"/>
              <w:left w:val="nil"/>
              <w:bottom w:val="single" w:sz="4" w:space="0" w:color="auto"/>
              <w:right w:val="single" w:sz="4" w:space="0" w:color="auto"/>
            </w:tcBorders>
            <w:hideMark/>
          </w:tcPr>
          <w:p w14:paraId="19896B8E" w14:textId="77777777" w:rsidR="00DB1AEE" w:rsidRPr="00DB1AEE" w:rsidRDefault="00DB1AEE" w:rsidP="00DB1AEE">
            <w:pPr>
              <w:suppressAutoHyphens/>
              <w:jc w:val="center"/>
              <w:rPr>
                <w:b/>
                <w:bCs/>
                <w:sz w:val="18"/>
                <w:szCs w:val="18"/>
                <w:u w:val="single"/>
              </w:rPr>
            </w:pPr>
            <w:r w:rsidRPr="00DB1AEE">
              <w:rPr>
                <w:b/>
                <w:bCs/>
                <w:sz w:val="18"/>
                <w:szCs w:val="18"/>
                <w:u w:val="single"/>
              </w:rPr>
              <w:t> </w:t>
            </w:r>
          </w:p>
        </w:tc>
        <w:tc>
          <w:tcPr>
            <w:tcW w:w="418" w:type="pct"/>
            <w:gridSpan w:val="3"/>
            <w:tcBorders>
              <w:top w:val="nil"/>
              <w:left w:val="nil"/>
              <w:bottom w:val="single" w:sz="4" w:space="0" w:color="auto"/>
              <w:right w:val="single" w:sz="4" w:space="0" w:color="auto"/>
            </w:tcBorders>
            <w:vAlign w:val="center"/>
            <w:hideMark/>
          </w:tcPr>
          <w:p w14:paraId="47EFD617"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323" w:type="pct"/>
            <w:tcBorders>
              <w:top w:val="nil"/>
              <w:left w:val="nil"/>
              <w:bottom w:val="single" w:sz="4" w:space="0" w:color="auto"/>
              <w:right w:val="single" w:sz="4" w:space="0" w:color="auto"/>
            </w:tcBorders>
            <w:vAlign w:val="center"/>
            <w:hideMark/>
          </w:tcPr>
          <w:p w14:paraId="56F51056" w14:textId="77777777" w:rsidR="00DB1AEE" w:rsidRPr="00DB1AEE" w:rsidRDefault="00DB1AEE" w:rsidP="00DB1AEE">
            <w:pPr>
              <w:suppressAutoHyphens/>
              <w:jc w:val="left"/>
              <w:rPr>
                <w:sz w:val="18"/>
                <w:szCs w:val="18"/>
                <w:u w:val="single"/>
              </w:rPr>
            </w:pPr>
            <w:r w:rsidRPr="00DB1AEE">
              <w:rPr>
                <w:sz w:val="18"/>
                <w:szCs w:val="18"/>
                <w:u w:val="single"/>
              </w:rPr>
              <w:t> </w:t>
            </w:r>
          </w:p>
        </w:tc>
      </w:tr>
      <w:tr w:rsidR="00DB1AEE" w:rsidRPr="00DB1AEE" w14:paraId="51801BE3" w14:textId="77777777" w:rsidTr="00FC1832">
        <w:trPr>
          <w:trHeight w:val="510"/>
        </w:trPr>
        <w:tc>
          <w:tcPr>
            <w:tcW w:w="896" w:type="pct"/>
            <w:tcBorders>
              <w:top w:val="nil"/>
              <w:left w:val="single" w:sz="4" w:space="0" w:color="auto"/>
              <w:bottom w:val="single" w:sz="4" w:space="0" w:color="auto"/>
              <w:right w:val="single" w:sz="4" w:space="0" w:color="auto"/>
            </w:tcBorders>
            <w:hideMark/>
          </w:tcPr>
          <w:p w14:paraId="6C9C632A" w14:textId="77777777" w:rsidR="00DB1AEE" w:rsidRPr="00DB1AEE" w:rsidRDefault="00DB1AEE" w:rsidP="00DB1AEE">
            <w:pPr>
              <w:suppressAutoHyphens/>
              <w:jc w:val="left"/>
              <w:rPr>
                <w:sz w:val="18"/>
                <w:szCs w:val="18"/>
                <w:u w:val="single"/>
              </w:rPr>
            </w:pPr>
            <w:r w:rsidRPr="00DB1AEE">
              <w:rPr>
                <w:sz w:val="18"/>
                <w:szCs w:val="18"/>
                <w:u w:val="single"/>
              </w:rPr>
              <w:t>Confinement cells</w:t>
            </w:r>
          </w:p>
        </w:tc>
        <w:tc>
          <w:tcPr>
            <w:tcW w:w="429" w:type="pct"/>
            <w:gridSpan w:val="2"/>
            <w:tcBorders>
              <w:top w:val="nil"/>
              <w:left w:val="nil"/>
              <w:bottom w:val="single" w:sz="4" w:space="0" w:color="auto"/>
              <w:right w:val="single" w:sz="4" w:space="0" w:color="auto"/>
            </w:tcBorders>
            <w:hideMark/>
          </w:tcPr>
          <w:p w14:paraId="46952F34" w14:textId="77777777" w:rsidR="00DB1AEE" w:rsidRPr="00DB1AEE" w:rsidRDefault="00DB1AEE" w:rsidP="00DB1AEE">
            <w:pPr>
              <w:suppressAutoHyphens/>
              <w:jc w:val="center"/>
              <w:rPr>
                <w:b/>
                <w:bCs/>
                <w:sz w:val="18"/>
                <w:szCs w:val="18"/>
                <w:u w:val="single"/>
              </w:rPr>
            </w:pPr>
            <w:r w:rsidRPr="00DB1AEE">
              <w:rPr>
                <w:b/>
                <w:bCs/>
                <w:sz w:val="18"/>
                <w:szCs w:val="18"/>
                <w:u w:val="single"/>
              </w:rPr>
              <w:t> </w:t>
            </w:r>
          </w:p>
          <w:p w14:paraId="6440BBEC" w14:textId="77777777" w:rsidR="00DB1AEE" w:rsidRPr="00DB1AEE" w:rsidRDefault="00DB1AEE" w:rsidP="00DB1AEE">
            <w:pPr>
              <w:suppressAutoHyphens/>
              <w:ind w:firstLineChars="100" w:firstLine="180"/>
              <w:jc w:val="right"/>
              <w:rPr>
                <w:sz w:val="18"/>
                <w:szCs w:val="18"/>
                <w:u w:val="single"/>
              </w:rPr>
            </w:pPr>
            <w:r w:rsidRPr="00DB1AEE">
              <w:rPr>
                <w:sz w:val="18"/>
                <w:szCs w:val="18"/>
                <w:u w:val="single"/>
              </w:rPr>
              <w:t>0.6</w:t>
            </w:r>
          </w:p>
        </w:tc>
        <w:tc>
          <w:tcPr>
            <w:tcW w:w="330" w:type="pct"/>
            <w:tcBorders>
              <w:top w:val="nil"/>
              <w:left w:val="nil"/>
              <w:bottom w:val="single" w:sz="4" w:space="0" w:color="auto"/>
              <w:right w:val="single" w:sz="4" w:space="0" w:color="auto"/>
            </w:tcBorders>
            <w:noWrap/>
            <w:hideMark/>
          </w:tcPr>
          <w:p w14:paraId="22764B5E" w14:textId="77777777" w:rsidR="00DB1AEE" w:rsidRPr="00DB1AEE" w:rsidRDefault="00DB1AEE" w:rsidP="00DB1AEE">
            <w:pPr>
              <w:suppressAutoHyphens/>
              <w:jc w:val="center"/>
              <w:rPr>
                <w:sz w:val="18"/>
                <w:szCs w:val="18"/>
                <w:u w:val="single"/>
              </w:rPr>
            </w:pPr>
            <w:r w:rsidRPr="00DB1AEE">
              <w:rPr>
                <w:sz w:val="18"/>
                <w:szCs w:val="18"/>
                <w:u w:val="single"/>
              </w:rPr>
              <w:t>6</w:t>
            </w:r>
          </w:p>
        </w:tc>
        <w:tc>
          <w:tcPr>
            <w:tcW w:w="361" w:type="pct"/>
            <w:gridSpan w:val="2"/>
            <w:tcBorders>
              <w:top w:val="nil"/>
              <w:left w:val="nil"/>
              <w:bottom w:val="single" w:sz="4" w:space="0" w:color="auto"/>
              <w:right w:val="single" w:sz="4" w:space="0" w:color="auto"/>
            </w:tcBorders>
            <w:hideMark/>
          </w:tcPr>
          <w:p w14:paraId="2F360794"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63" w:type="pct"/>
            <w:gridSpan w:val="3"/>
            <w:tcBorders>
              <w:top w:val="nil"/>
              <w:left w:val="nil"/>
              <w:bottom w:val="single" w:sz="4" w:space="0" w:color="auto"/>
              <w:right w:val="single" w:sz="4" w:space="0" w:color="auto"/>
            </w:tcBorders>
            <w:vAlign w:val="bottom"/>
            <w:hideMark/>
          </w:tcPr>
          <w:p w14:paraId="46CD759B"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330" w:type="pct"/>
            <w:tcBorders>
              <w:top w:val="nil"/>
              <w:left w:val="nil"/>
              <w:bottom w:val="single" w:sz="4" w:space="0" w:color="auto"/>
              <w:right w:val="single" w:sz="4" w:space="0" w:color="auto"/>
            </w:tcBorders>
            <w:vAlign w:val="bottom"/>
            <w:hideMark/>
          </w:tcPr>
          <w:p w14:paraId="5325A807" w14:textId="77777777" w:rsidR="00DB1AEE" w:rsidRPr="00DB1AEE" w:rsidRDefault="00DB1AEE" w:rsidP="00DB1AEE">
            <w:pPr>
              <w:suppressAutoHyphens/>
              <w:jc w:val="center"/>
              <w:rPr>
                <w:sz w:val="18"/>
                <w:szCs w:val="18"/>
                <w:u w:val="single"/>
              </w:rPr>
            </w:pPr>
            <w:r w:rsidRPr="00DB1AEE">
              <w:rPr>
                <w:sz w:val="18"/>
                <w:szCs w:val="18"/>
                <w:u w:val="single"/>
              </w:rPr>
              <w:t> </w:t>
            </w:r>
          </w:p>
        </w:tc>
        <w:tc>
          <w:tcPr>
            <w:tcW w:w="364" w:type="pct"/>
            <w:gridSpan w:val="2"/>
            <w:tcBorders>
              <w:top w:val="nil"/>
              <w:left w:val="nil"/>
              <w:bottom w:val="single" w:sz="4" w:space="0" w:color="auto"/>
              <w:right w:val="single" w:sz="4" w:space="0" w:color="auto"/>
            </w:tcBorders>
            <w:vAlign w:val="bottom"/>
            <w:hideMark/>
          </w:tcPr>
          <w:p w14:paraId="66AC03E2"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427" w:type="pct"/>
            <w:gridSpan w:val="3"/>
            <w:tcBorders>
              <w:top w:val="nil"/>
              <w:left w:val="nil"/>
              <w:bottom w:val="single" w:sz="4" w:space="0" w:color="auto"/>
              <w:right w:val="single" w:sz="4" w:space="0" w:color="auto"/>
            </w:tcBorders>
            <w:vAlign w:val="bottom"/>
            <w:hideMark/>
          </w:tcPr>
          <w:p w14:paraId="701DF227" w14:textId="77777777" w:rsidR="00DB1AEE" w:rsidRPr="00DB1AEE" w:rsidRDefault="00DB1AEE" w:rsidP="00DB1AEE">
            <w:pPr>
              <w:suppressAutoHyphens/>
              <w:jc w:val="center"/>
              <w:rPr>
                <w:sz w:val="18"/>
                <w:szCs w:val="18"/>
                <w:u w:val="single"/>
              </w:rPr>
            </w:pPr>
            <w:r w:rsidRPr="00DB1AEE">
              <w:rPr>
                <w:sz w:val="18"/>
                <w:szCs w:val="18"/>
                <w:u w:val="single"/>
              </w:rPr>
              <w:t> </w:t>
            </w:r>
          </w:p>
        </w:tc>
        <w:tc>
          <w:tcPr>
            <w:tcW w:w="397" w:type="pct"/>
            <w:tcBorders>
              <w:top w:val="nil"/>
              <w:left w:val="nil"/>
              <w:bottom w:val="single" w:sz="4" w:space="0" w:color="auto"/>
              <w:right w:val="single" w:sz="4" w:space="0" w:color="auto"/>
            </w:tcBorders>
            <w:vAlign w:val="bottom"/>
            <w:hideMark/>
          </w:tcPr>
          <w:p w14:paraId="47DFC870" w14:textId="77777777" w:rsidR="00DB1AEE" w:rsidRPr="00DB1AEE" w:rsidRDefault="00DB1AEE" w:rsidP="00DB1AEE">
            <w:pPr>
              <w:suppressAutoHyphens/>
              <w:jc w:val="center"/>
              <w:rPr>
                <w:sz w:val="18"/>
                <w:szCs w:val="18"/>
                <w:u w:val="single"/>
              </w:rPr>
            </w:pPr>
            <w:r w:rsidRPr="00DB1AEE">
              <w:rPr>
                <w:sz w:val="18"/>
                <w:szCs w:val="18"/>
                <w:u w:val="single"/>
              </w:rPr>
              <w:t> </w:t>
            </w:r>
          </w:p>
        </w:tc>
        <w:tc>
          <w:tcPr>
            <w:tcW w:w="363" w:type="pct"/>
            <w:tcBorders>
              <w:top w:val="nil"/>
              <w:left w:val="nil"/>
              <w:bottom w:val="single" w:sz="4" w:space="0" w:color="auto"/>
              <w:right w:val="single" w:sz="4" w:space="0" w:color="auto"/>
            </w:tcBorders>
            <w:hideMark/>
          </w:tcPr>
          <w:p w14:paraId="6F195DB5" w14:textId="77777777" w:rsidR="00DB1AEE" w:rsidRPr="00DB1AEE" w:rsidRDefault="00DB1AEE" w:rsidP="00DB1AEE">
            <w:pPr>
              <w:suppressAutoHyphens/>
              <w:jc w:val="center"/>
              <w:rPr>
                <w:b/>
                <w:bCs/>
                <w:sz w:val="18"/>
                <w:szCs w:val="18"/>
                <w:u w:val="single"/>
              </w:rPr>
            </w:pPr>
            <w:r w:rsidRPr="00DB1AEE">
              <w:rPr>
                <w:b/>
                <w:bCs/>
                <w:sz w:val="18"/>
                <w:szCs w:val="18"/>
                <w:u w:val="single"/>
              </w:rPr>
              <w:t> </w:t>
            </w:r>
          </w:p>
        </w:tc>
        <w:tc>
          <w:tcPr>
            <w:tcW w:w="418" w:type="pct"/>
            <w:gridSpan w:val="3"/>
            <w:tcBorders>
              <w:top w:val="nil"/>
              <w:left w:val="nil"/>
              <w:bottom w:val="single" w:sz="4" w:space="0" w:color="auto"/>
              <w:right w:val="single" w:sz="4" w:space="0" w:color="auto"/>
            </w:tcBorders>
            <w:vAlign w:val="bottom"/>
            <w:hideMark/>
          </w:tcPr>
          <w:p w14:paraId="3B2CCD9C"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323" w:type="pct"/>
            <w:tcBorders>
              <w:top w:val="nil"/>
              <w:left w:val="nil"/>
              <w:bottom w:val="single" w:sz="4" w:space="0" w:color="auto"/>
              <w:right w:val="single" w:sz="4" w:space="0" w:color="auto"/>
            </w:tcBorders>
            <w:hideMark/>
          </w:tcPr>
          <w:p w14:paraId="40D8A008" w14:textId="77777777" w:rsidR="00DB1AEE" w:rsidRPr="00DB1AEE" w:rsidRDefault="00DB1AEE" w:rsidP="00DB1AEE">
            <w:pPr>
              <w:suppressAutoHyphens/>
              <w:jc w:val="center"/>
              <w:rPr>
                <w:sz w:val="18"/>
                <w:szCs w:val="18"/>
                <w:u w:val="single"/>
              </w:rPr>
            </w:pPr>
            <w:r w:rsidRPr="00DB1AEE">
              <w:rPr>
                <w:sz w:val="18"/>
                <w:szCs w:val="18"/>
                <w:u w:val="single"/>
              </w:rPr>
              <w:t>REQ</w:t>
            </w:r>
          </w:p>
        </w:tc>
      </w:tr>
      <w:tr w:rsidR="00DB1AEE" w:rsidRPr="00DB1AEE" w14:paraId="29967009" w14:textId="77777777" w:rsidTr="00FC1832">
        <w:trPr>
          <w:trHeight w:val="510"/>
        </w:trPr>
        <w:tc>
          <w:tcPr>
            <w:tcW w:w="896" w:type="pct"/>
            <w:tcBorders>
              <w:top w:val="nil"/>
              <w:left w:val="single" w:sz="4" w:space="0" w:color="auto"/>
              <w:bottom w:val="single" w:sz="4" w:space="0" w:color="auto"/>
              <w:right w:val="single" w:sz="4" w:space="0" w:color="auto"/>
            </w:tcBorders>
            <w:hideMark/>
          </w:tcPr>
          <w:p w14:paraId="3ABAAA28" w14:textId="77777777" w:rsidR="00DB1AEE" w:rsidRPr="00DB1AEE" w:rsidRDefault="00DB1AEE" w:rsidP="00DB1AEE">
            <w:pPr>
              <w:suppressAutoHyphens/>
              <w:jc w:val="left"/>
              <w:rPr>
                <w:sz w:val="18"/>
                <w:szCs w:val="18"/>
                <w:u w:val="single"/>
              </w:rPr>
            </w:pPr>
            <w:r w:rsidRPr="00DB1AEE">
              <w:rPr>
                <w:sz w:val="18"/>
                <w:szCs w:val="18"/>
                <w:u w:val="single"/>
              </w:rPr>
              <w:t>Dining area</w:t>
            </w:r>
          </w:p>
        </w:tc>
        <w:tc>
          <w:tcPr>
            <w:tcW w:w="429" w:type="pct"/>
            <w:gridSpan w:val="2"/>
            <w:tcBorders>
              <w:top w:val="nil"/>
              <w:left w:val="nil"/>
              <w:bottom w:val="single" w:sz="4" w:space="0" w:color="auto"/>
              <w:right w:val="single" w:sz="4" w:space="0" w:color="auto"/>
            </w:tcBorders>
            <w:hideMark/>
          </w:tcPr>
          <w:p w14:paraId="261EA071" w14:textId="77777777" w:rsidR="00DB1AEE" w:rsidRPr="00DB1AEE" w:rsidRDefault="00DB1AEE" w:rsidP="00DB1AEE">
            <w:pPr>
              <w:suppressAutoHyphens/>
              <w:jc w:val="center"/>
              <w:rPr>
                <w:b/>
                <w:bCs/>
                <w:sz w:val="18"/>
                <w:szCs w:val="18"/>
                <w:u w:val="single"/>
              </w:rPr>
            </w:pPr>
            <w:r w:rsidRPr="00DB1AEE">
              <w:rPr>
                <w:b/>
                <w:bCs/>
                <w:sz w:val="18"/>
                <w:szCs w:val="18"/>
                <w:u w:val="single"/>
              </w:rPr>
              <w:t> </w:t>
            </w:r>
          </w:p>
          <w:p w14:paraId="7FFDD5B4" w14:textId="77777777" w:rsidR="00DB1AEE" w:rsidRPr="00DB1AEE" w:rsidRDefault="00DB1AEE" w:rsidP="00DB1AEE">
            <w:pPr>
              <w:suppressAutoHyphens/>
              <w:ind w:firstLineChars="100" w:firstLine="180"/>
              <w:jc w:val="right"/>
              <w:rPr>
                <w:sz w:val="18"/>
                <w:szCs w:val="18"/>
                <w:u w:val="single"/>
              </w:rPr>
            </w:pPr>
            <w:r w:rsidRPr="00DB1AEE">
              <w:rPr>
                <w:sz w:val="18"/>
                <w:szCs w:val="18"/>
                <w:u w:val="single"/>
              </w:rPr>
              <w:t>0.35</w:t>
            </w:r>
          </w:p>
        </w:tc>
        <w:tc>
          <w:tcPr>
            <w:tcW w:w="330" w:type="pct"/>
            <w:tcBorders>
              <w:top w:val="nil"/>
              <w:left w:val="nil"/>
              <w:bottom w:val="single" w:sz="4" w:space="0" w:color="auto"/>
              <w:right w:val="single" w:sz="4" w:space="0" w:color="auto"/>
            </w:tcBorders>
            <w:noWrap/>
            <w:hideMark/>
          </w:tcPr>
          <w:p w14:paraId="47FC659B" w14:textId="77777777" w:rsidR="00DB1AEE" w:rsidRPr="00DB1AEE" w:rsidRDefault="00DB1AEE" w:rsidP="00DB1AEE">
            <w:pPr>
              <w:suppressAutoHyphens/>
              <w:jc w:val="center"/>
              <w:rPr>
                <w:sz w:val="18"/>
                <w:szCs w:val="18"/>
                <w:u w:val="single"/>
              </w:rPr>
            </w:pPr>
            <w:r w:rsidRPr="00DB1AEE">
              <w:rPr>
                <w:sz w:val="18"/>
                <w:szCs w:val="18"/>
                <w:u w:val="single"/>
              </w:rPr>
              <w:t>6</w:t>
            </w:r>
          </w:p>
        </w:tc>
        <w:tc>
          <w:tcPr>
            <w:tcW w:w="361" w:type="pct"/>
            <w:gridSpan w:val="2"/>
            <w:tcBorders>
              <w:top w:val="nil"/>
              <w:left w:val="nil"/>
              <w:bottom w:val="single" w:sz="4" w:space="0" w:color="auto"/>
              <w:right w:val="single" w:sz="4" w:space="0" w:color="auto"/>
            </w:tcBorders>
            <w:hideMark/>
          </w:tcPr>
          <w:p w14:paraId="38D2D808"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63" w:type="pct"/>
            <w:gridSpan w:val="3"/>
            <w:tcBorders>
              <w:top w:val="nil"/>
              <w:left w:val="nil"/>
              <w:bottom w:val="single" w:sz="4" w:space="0" w:color="auto"/>
              <w:right w:val="single" w:sz="4" w:space="0" w:color="auto"/>
            </w:tcBorders>
            <w:hideMark/>
          </w:tcPr>
          <w:p w14:paraId="0BB673E4"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330" w:type="pct"/>
            <w:tcBorders>
              <w:top w:val="nil"/>
              <w:left w:val="nil"/>
              <w:bottom w:val="single" w:sz="4" w:space="0" w:color="auto"/>
              <w:right w:val="single" w:sz="4" w:space="0" w:color="auto"/>
            </w:tcBorders>
            <w:hideMark/>
          </w:tcPr>
          <w:p w14:paraId="7188A227"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364" w:type="pct"/>
            <w:gridSpan w:val="2"/>
            <w:tcBorders>
              <w:top w:val="nil"/>
              <w:left w:val="nil"/>
              <w:bottom w:val="single" w:sz="4" w:space="0" w:color="auto"/>
              <w:right w:val="single" w:sz="4" w:space="0" w:color="auto"/>
            </w:tcBorders>
            <w:hideMark/>
          </w:tcPr>
          <w:p w14:paraId="21C1B871"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427" w:type="pct"/>
            <w:gridSpan w:val="3"/>
            <w:tcBorders>
              <w:top w:val="nil"/>
              <w:left w:val="nil"/>
              <w:bottom w:val="single" w:sz="4" w:space="0" w:color="auto"/>
              <w:right w:val="single" w:sz="4" w:space="0" w:color="auto"/>
            </w:tcBorders>
            <w:hideMark/>
          </w:tcPr>
          <w:p w14:paraId="1FCD8DB6"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97" w:type="pct"/>
            <w:tcBorders>
              <w:top w:val="nil"/>
              <w:left w:val="nil"/>
              <w:bottom w:val="single" w:sz="4" w:space="0" w:color="auto"/>
              <w:right w:val="single" w:sz="4" w:space="0" w:color="auto"/>
            </w:tcBorders>
            <w:hideMark/>
          </w:tcPr>
          <w:p w14:paraId="2BC23D9C"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63" w:type="pct"/>
            <w:tcBorders>
              <w:top w:val="nil"/>
              <w:left w:val="nil"/>
              <w:bottom w:val="single" w:sz="4" w:space="0" w:color="auto"/>
              <w:right w:val="single" w:sz="4" w:space="0" w:color="auto"/>
            </w:tcBorders>
            <w:hideMark/>
          </w:tcPr>
          <w:p w14:paraId="55C24FE1" w14:textId="77777777" w:rsidR="00DB1AEE" w:rsidRPr="00DB1AEE" w:rsidRDefault="00DB1AEE" w:rsidP="00DB1AEE">
            <w:pPr>
              <w:suppressAutoHyphens/>
              <w:jc w:val="center"/>
              <w:rPr>
                <w:b/>
                <w:bCs/>
                <w:sz w:val="18"/>
                <w:szCs w:val="18"/>
                <w:u w:val="single"/>
              </w:rPr>
            </w:pPr>
            <w:r w:rsidRPr="00DB1AEE">
              <w:rPr>
                <w:b/>
                <w:bCs/>
                <w:sz w:val="18"/>
                <w:szCs w:val="18"/>
                <w:u w:val="single"/>
              </w:rPr>
              <w:t> </w:t>
            </w:r>
          </w:p>
        </w:tc>
        <w:tc>
          <w:tcPr>
            <w:tcW w:w="418" w:type="pct"/>
            <w:gridSpan w:val="3"/>
            <w:tcBorders>
              <w:top w:val="nil"/>
              <w:left w:val="nil"/>
              <w:bottom w:val="single" w:sz="4" w:space="0" w:color="auto"/>
              <w:right w:val="single" w:sz="4" w:space="0" w:color="auto"/>
            </w:tcBorders>
            <w:hideMark/>
          </w:tcPr>
          <w:p w14:paraId="1A7F4C26" w14:textId="77777777" w:rsidR="00DB1AEE" w:rsidRPr="00DB1AEE" w:rsidRDefault="00DB1AEE" w:rsidP="00DB1AEE">
            <w:pPr>
              <w:suppressAutoHyphens/>
              <w:jc w:val="center"/>
              <w:rPr>
                <w:sz w:val="18"/>
                <w:szCs w:val="18"/>
                <w:u w:val="single"/>
              </w:rPr>
            </w:pPr>
            <w:r w:rsidRPr="00DB1AEE">
              <w:rPr>
                <w:sz w:val="18"/>
                <w:szCs w:val="18"/>
                <w:u w:val="single"/>
              </w:rPr>
              <w:t>ADD2</w:t>
            </w:r>
          </w:p>
        </w:tc>
        <w:tc>
          <w:tcPr>
            <w:tcW w:w="323" w:type="pct"/>
            <w:tcBorders>
              <w:top w:val="nil"/>
              <w:left w:val="nil"/>
              <w:bottom w:val="single" w:sz="4" w:space="0" w:color="auto"/>
              <w:right w:val="single" w:sz="4" w:space="0" w:color="auto"/>
            </w:tcBorders>
            <w:hideMark/>
          </w:tcPr>
          <w:p w14:paraId="20990661" w14:textId="77777777" w:rsidR="00DB1AEE" w:rsidRPr="00DB1AEE" w:rsidRDefault="00DB1AEE" w:rsidP="00DB1AEE">
            <w:pPr>
              <w:suppressAutoHyphens/>
              <w:jc w:val="center"/>
              <w:rPr>
                <w:sz w:val="18"/>
                <w:szCs w:val="18"/>
                <w:u w:val="single"/>
              </w:rPr>
            </w:pPr>
            <w:r w:rsidRPr="00DB1AEE">
              <w:rPr>
                <w:sz w:val="18"/>
                <w:szCs w:val="18"/>
                <w:u w:val="single"/>
              </w:rPr>
              <w:t>ADD2</w:t>
            </w:r>
          </w:p>
        </w:tc>
      </w:tr>
      <w:tr w:rsidR="00DB1AEE" w:rsidRPr="00DB1AEE" w14:paraId="31EBAB97" w14:textId="77777777" w:rsidTr="00FC1832">
        <w:trPr>
          <w:trHeight w:val="300"/>
        </w:trPr>
        <w:tc>
          <w:tcPr>
            <w:tcW w:w="896" w:type="pct"/>
            <w:tcBorders>
              <w:top w:val="nil"/>
              <w:left w:val="single" w:sz="4" w:space="0" w:color="auto"/>
              <w:bottom w:val="single" w:sz="4" w:space="0" w:color="auto"/>
              <w:right w:val="single" w:sz="4" w:space="0" w:color="auto"/>
            </w:tcBorders>
            <w:hideMark/>
          </w:tcPr>
          <w:p w14:paraId="0B54D6F9" w14:textId="77777777" w:rsidR="00DB1AEE" w:rsidRPr="00DB1AEE" w:rsidRDefault="00DB1AEE" w:rsidP="00DB1AEE">
            <w:pPr>
              <w:suppressAutoHyphens/>
              <w:jc w:val="left"/>
              <w:rPr>
                <w:sz w:val="18"/>
                <w:szCs w:val="18"/>
                <w:u w:val="single"/>
              </w:rPr>
            </w:pPr>
            <w:r w:rsidRPr="00DB1AEE">
              <w:rPr>
                <w:sz w:val="18"/>
                <w:szCs w:val="18"/>
                <w:u w:val="single"/>
              </w:rPr>
              <w:t>Dormitory—Living Quarters</w:t>
            </w:r>
          </w:p>
        </w:tc>
        <w:tc>
          <w:tcPr>
            <w:tcW w:w="429" w:type="pct"/>
            <w:gridSpan w:val="2"/>
            <w:tcBorders>
              <w:top w:val="nil"/>
              <w:left w:val="nil"/>
              <w:bottom w:val="single" w:sz="4" w:space="0" w:color="auto"/>
              <w:right w:val="single" w:sz="4" w:space="0" w:color="auto"/>
            </w:tcBorders>
            <w:noWrap/>
            <w:hideMark/>
          </w:tcPr>
          <w:p w14:paraId="50C7CFCB" w14:textId="77777777" w:rsidR="00DB1AEE" w:rsidRPr="00DB1AEE" w:rsidRDefault="00DB1AEE" w:rsidP="00DB1AEE">
            <w:pPr>
              <w:suppressAutoHyphens/>
              <w:ind w:firstLineChars="100" w:firstLine="180"/>
              <w:jc w:val="right"/>
              <w:rPr>
                <w:strike/>
                <w:sz w:val="18"/>
                <w:szCs w:val="18"/>
                <w:u w:val="single"/>
              </w:rPr>
            </w:pPr>
            <w:r w:rsidRPr="00DB1AEE">
              <w:rPr>
                <w:sz w:val="18"/>
                <w:szCs w:val="18"/>
                <w:u w:val="single"/>
              </w:rPr>
              <w:t>0.46</w:t>
            </w:r>
          </w:p>
        </w:tc>
        <w:tc>
          <w:tcPr>
            <w:tcW w:w="330" w:type="pct"/>
            <w:tcBorders>
              <w:top w:val="nil"/>
              <w:left w:val="nil"/>
              <w:bottom w:val="single" w:sz="4" w:space="0" w:color="auto"/>
              <w:right w:val="single" w:sz="4" w:space="0" w:color="auto"/>
            </w:tcBorders>
            <w:noWrap/>
            <w:hideMark/>
          </w:tcPr>
          <w:p w14:paraId="1C7B8793" w14:textId="77777777" w:rsidR="00DB1AEE" w:rsidRPr="00DB1AEE" w:rsidRDefault="00DB1AEE" w:rsidP="00DB1AEE">
            <w:pPr>
              <w:suppressAutoHyphens/>
              <w:jc w:val="center"/>
              <w:rPr>
                <w:sz w:val="18"/>
                <w:szCs w:val="18"/>
                <w:u w:val="single"/>
              </w:rPr>
            </w:pPr>
            <w:r w:rsidRPr="00DB1AEE">
              <w:rPr>
                <w:sz w:val="18"/>
                <w:szCs w:val="18"/>
                <w:u w:val="single"/>
              </w:rPr>
              <w:t>8</w:t>
            </w:r>
          </w:p>
        </w:tc>
        <w:tc>
          <w:tcPr>
            <w:tcW w:w="361" w:type="pct"/>
            <w:gridSpan w:val="2"/>
            <w:tcBorders>
              <w:top w:val="nil"/>
              <w:left w:val="nil"/>
              <w:bottom w:val="single" w:sz="4" w:space="0" w:color="auto"/>
              <w:right w:val="single" w:sz="4" w:space="0" w:color="auto"/>
            </w:tcBorders>
            <w:hideMark/>
          </w:tcPr>
          <w:p w14:paraId="4A0CCA4C"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63" w:type="pct"/>
            <w:gridSpan w:val="3"/>
            <w:tcBorders>
              <w:top w:val="nil"/>
              <w:left w:val="nil"/>
              <w:bottom w:val="single" w:sz="4" w:space="0" w:color="auto"/>
              <w:right w:val="single" w:sz="4" w:space="0" w:color="auto"/>
            </w:tcBorders>
            <w:vAlign w:val="center"/>
            <w:hideMark/>
          </w:tcPr>
          <w:p w14:paraId="67B9B2C7"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330" w:type="pct"/>
            <w:tcBorders>
              <w:top w:val="nil"/>
              <w:left w:val="nil"/>
              <w:bottom w:val="single" w:sz="4" w:space="0" w:color="auto"/>
              <w:right w:val="single" w:sz="4" w:space="0" w:color="auto"/>
            </w:tcBorders>
            <w:vAlign w:val="center"/>
            <w:hideMark/>
          </w:tcPr>
          <w:p w14:paraId="5A0C6F15" w14:textId="77777777" w:rsidR="00DB1AEE" w:rsidRPr="00DB1AEE" w:rsidRDefault="00DB1AEE" w:rsidP="00DB1AEE">
            <w:pPr>
              <w:suppressAutoHyphens/>
              <w:jc w:val="center"/>
              <w:rPr>
                <w:sz w:val="18"/>
                <w:szCs w:val="18"/>
                <w:u w:val="single"/>
              </w:rPr>
            </w:pPr>
            <w:r w:rsidRPr="00DB1AEE">
              <w:rPr>
                <w:sz w:val="18"/>
                <w:szCs w:val="18"/>
                <w:u w:val="single"/>
              </w:rPr>
              <w:t> </w:t>
            </w:r>
          </w:p>
        </w:tc>
        <w:tc>
          <w:tcPr>
            <w:tcW w:w="364" w:type="pct"/>
            <w:gridSpan w:val="2"/>
            <w:tcBorders>
              <w:top w:val="nil"/>
              <w:left w:val="nil"/>
              <w:bottom w:val="single" w:sz="4" w:space="0" w:color="auto"/>
              <w:right w:val="single" w:sz="4" w:space="0" w:color="auto"/>
            </w:tcBorders>
            <w:vAlign w:val="center"/>
            <w:hideMark/>
          </w:tcPr>
          <w:p w14:paraId="2A0E5CF6"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427" w:type="pct"/>
            <w:gridSpan w:val="3"/>
            <w:tcBorders>
              <w:top w:val="nil"/>
              <w:left w:val="nil"/>
              <w:bottom w:val="single" w:sz="4" w:space="0" w:color="auto"/>
              <w:right w:val="single" w:sz="4" w:space="0" w:color="auto"/>
            </w:tcBorders>
            <w:vAlign w:val="center"/>
            <w:hideMark/>
          </w:tcPr>
          <w:p w14:paraId="0411052A" w14:textId="77777777" w:rsidR="00DB1AEE" w:rsidRPr="00DB1AEE" w:rsidRDefault="00DB1AEE" w:rsidP="00DB1AEE">
            <w:pPr>
              <w:suppressAutoHyphens/>
              <w:jc w:val="center"/>
              <w:rPr>
                <w:sz w:val="18"/>
                <w:szCs w:val="18"/>
                <w:u w:val="single"/>
              </w:rPr>
            </w:pPr>
            <w:r w:rsidRPr="00DB1AEE">
              <w:rPr>
                <w:sz w:val="18"/>
                <w:szCs w:val="18"/>
                <w:u w:val="single"/>
              </w:rPr>
              <w:t> </w:t>
            </w:r>
          </w:p>
        </w:tc>
        <w:tc>
          <w:tcPr>
            <w:tcW w:w="397" w:type="pct"/>
            <w:tcBorders>
              <w:top w:val="nil"/>
              <w:left w:val="nil"/>
              <w:bottom w:val="single" w:sz="4" w:space="0" w:color="auto"/>
              <w:right w:val="single" w:sz="4" w:space="0" w:color="auto"/>
            </w:tcBorders>
            <w:vAlign w:val="center"/>
            <w:hideMark/>
          </w:tcPr>
          <w:p w14:paraId="1BFFCDCA" w14:textId="77777777" w:rsidR="00DB1AEE" w:rsidRPr="00DB1AEE" w:rsidRDefault="00DB1AEE" w:rsidP="00DB1AEE">
            <w:pPr>
              <w:suppressAutoHyphens/>
              <w:jc w:val="center"/>
              <w:rPr>
                <w:sz w:val="18"/>
                <w:szCs w:val="18"/>
                <w:u w:val="single"/>
              </w:rPr>
            </w:pPr>
            <w:r w:rsidRPr="00DB1AEE">
              <w:rPr>
                <w:sz w:val="18"/>
                <w:szCs w:val="18"/>
                <w:u w:val="single"/>
              </w:rPr>
              <w:t> </w:t>
            </w:r>
          </w:p>
        </w:tc>
        <w:tc>
          <w:tcPr>
            <w:tcW w:w="363" w:type="pct"/>
            <w:tcBorders>
              <w:top w:val="nil"/>
              <w:left w:val="nil"/>
              <w:bottom w:val="single" w:sz="4" w:space="0" w:color="auto"/>
              <w:right w:val="single" w:sz="4" w:space="0" w:color="auto"/>
            </w:tcBorders>
            <w:vAlign w:val="center"/>
            <w:hideMark/>
          </w:tcPr>
          <w:p w14:paraId="3F867455"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418" w:type="pct"/>
            <w:gridSpan w:val="3"/>
            <w:tcBorders>
              <w:top w:val="nil"/>
              <w:left w:val="nil"/>
              <w:bottom w:val="single" w:sz="4" w:space="0" w:color="auto"/>
              <w:right w:val="single" w:sz="4" w:space="0" w:color="auto"/>
            </w:tcBorders>
            <w:vAlign w:val="center"/>
            <w:hideMark/>
          </w:tcPr>
          <w:p w14:paraId="2429B254"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323" w:type="pct"/>
            <w:tcBorders>
              <w:top w:val="nil"/>
              <w:left w:val="nil"/>
              <w:bottom w:val="single" w:sz="4" w:space="0" w:color="auto"/>
              <w:right w:val="single" w:sz="4" w:space="0" w:color="auto"/>
            </w:tcBorders>
            <w:vAlign w:val="center"/>
            <w:hideMark/>
          </w:tcPr>
          <w:p w14:paraId="6EAB04FF" w14:textId="77777777" w:rsidR="00DB1AEE" w:rsidRPr="00DB1AEE" w:rsidRDefault="00DB1AEE" w:rsidP="00DB1AEE">
            <w:pPr>
              <w:suppressAutoHyphens/>
              <w:jc w:val="left"/>
              <w:rPr>
                <w:sz w:val="18"/>
                <w:szCs w:val="18"/>
                <w:u w:val="single"/>
              </w:rPr>
            </w:pPr>
            <w:r w:rsidRPr="00DB1AEE">
              <w:rPr>
                <w:sz w:val="18"/>
                <w:szCs w:val="18"/>
                <w:u w:val="single"/>
              </w:rPr>
              <w:t> </w:t>
            </w:r>
          </w:p>
        </w:tc>
      </w:tr>
      <w:tr w:rsidR="00DB1AEE" w:rsidRPr="00DB1AEE" w14:paraId="6A2B9AA9" w14:textId="77777777" w:rsidTr="00FC1832">
        <w:trPr>
          <w:trHeight w:val="1785"/>
        </w:trPr>
        <w:tc>
          <w:tcPr>
            <w:tcW w:w="896" w:type="pct"/>
            <w:tcBorders>
              <w:top w:val="nil"/>
              <w:left w:val="single" w:sz="4" w:space="0" w:color="auto"/>
              <w:bottom w:val="single" w:sz="4" w:space="0" w:color="auto"/>
              <w:right w:val="single" w:sz="4" w:space="0" w:color="auto"/>
            </w:tcBorders>
            <w:hideMark/>
          </w:tcPr>
          <w:p w14:paraId="39228A8F" w14:textId="77777777" w:rsidR="00DB1AEE" w:rsidRPr="00DB1AEE" w:rsidRDefault="00DB1AEE" w:rsidP="00DB1AEE">
            <w:pPr>
              <w:suppressAutoHyphens/>
              <w:jc w:val="left"/>
              <w:rPr>
                <w:sz w:val="18"/>
                <w:szCs w:val="18"/>
                <w:u w:val="single"/>
              </w:rPr>
            </w:pPr>
            <w:r w:rsidRPr="00DB1AEE">
              <w:rPr>
                <w:sz w:val="18"/>
                <w:szCs w:val="18"/>
                <w:u w:val="single"/>
              </w:rPr>
              <w:t>Facility for the Visually Impaired</w:t>
            </w:r>
            <w:r w:rsidRPr="00DB1AEE">
              <w:rPr>
                <w:strike/>
                <w:sz w:val="18"/>
                <w:szCs w:val="18"/>
                <w:u w:val="single"/>
                <w:vertAlign w:val="superscript"/>
              </w:rPr>
              <w:t>3</w:t>
            </w:r>
            <w:r w:rsidRPr="00DB1AEE">
              <w:rPr>
                <w:sz w:val="18"/>
                <w:szCs w:val="18"/>
                <w:u w:val="single"/>
              </w:rPr>
              <w:br/>
              <w:t>(A facility for the visually impaired is a facility that can be documented as being designed to comply with the light levels in ANS,/,ES R3-28 and that is or will be licensed by local/state authorities for senior long-term care, adult daycare, senior support, and/or people with special visual needs.)</w:t>
            </w:r>
          </w:p>
        </w:tc>
        <w:tc>
          <w:tcPr>
            <w:tcW w:w="429" w:type="pct"/>
            <w:gridSpan w:val="2"/>
            <w:tcBorders>
              <w:top w:val="single" w:sz="4" w:space="0" w:color="auto"/>
              <w:left w:val="single" w:sz="4" w:space="0" w:color="auto"/>
              <w:bottom w:val="single" w:sz="4" w:space="0" w:color="auto"/>
              <w:right w:val="single" w:sz="4" w:space="0" w:color="auto"/>
            </w:tcBorders>
            <w:hideMark/>
          </w:tcPr>
          <w:p w14:paraId="7D2A6D75" w14:textId="77777777" w:rsidR="00DB1AEE" w:rsidRPr="00DB1AEE" w:rsidRDefault="00DB1AEE" w:rsidP="00DB1AEE">
            <w:pPr>
              <w:suppressAutoHyphens/>
              <w:jc w:val="left"/>
              <w:rPr>
                <w:sz w:val="18"/>
                <w:szCs w:val="18"/>
                <w:u w:val="single"/>
              </w:rPr>
            </w:pPr>
            <w:r w:rsidRPr="00DB1AEE">
              <w:rPr>
                <w:sz w:val="18"/>
                <w:szCs w:val="18"/>
                <w:u w:val="single"/>
              </w:rPr>
              <w:t> </w:t>
            </w:r>
          </w:p>
          <w:p w14:paraId="5FB615B7"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330" w:type="pct"/>
            <w:tcBorders>
              <w:top w:val="nil"/>
              <w:left w:val="single" w:sz="4" w:space="0" w:color="auto"/>
              <w:bottom w:val="single" w:sz="4" w:space="0" w:color="auto"/>
              <w:right w:val="single" w:sz="4" w:space="0" w:color="auto"/>
            </w:tcBorders>
            <w:hideMark/>
          </w:tcPr>
          <w:p w14:paraId="676C0331"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361" w:type="pct"/>
            <w:gridSpan w:val="2"/>
            <w:tcBorders>
              <w:top w:val="nil"/>
              <w:left w:val="nil"/>
              <w:bottom w:val="single" w:sz="4" w:space="0" w:color="auto"/>
              <w:right w:val="nil"/>
            </w:tcBorders>
            <w:hideMark/>
          </w:tcPr>
          <w:p w14:paraId="35C3565A" w14:textId="77777777" w:rsidR="00DB1AEE" w:rsidRPr="00DB1AEE" w:rsidRDefault="00DB1AEE" w:rsidP="00DB1AEE">
            <w:pPr>
              <w:suppressAutoHyphens/>
              <w:jc w:val="center"/>
              <w:rPr>
                <w:sz w:val="18"/>
                <w:szCs w:val="18"/>
                <w:u w:val="single"/>
              </w:rPr>
            </w:pPr>
            <w:r w:rsidRPr="00DB1AEE">
              <w:rPr>
                <w:sz w:val="18"/>
                <w:szCs w:val="18"/>
                <w:u w:val="single"/>
              </w:rPr>
              <w:t> </w:t>
            </w:r>
          </w:p>
        </w:tc>
        <w:tc>
          <w:tcPr>
            <w:tcW w:w="363" w:type="pct"/>
            <w:gridSpan w:val="3"/>
            <w:tcBorders>
              <w:top w:val="nil"/>
              <w:left w:val="nil"/>
              <w:bottom w:val="single" w:sz="4" w:space="0" w:color="auto"/>
              <w:right w:val="nil"/>
            </w:tcBorders>
            <w:hideMark/>
          </w:tcPr>
          <w:p w14:paraId="21D49596"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330" w:type="pct"/>
            <w:tcBorders>
              <w:top w:val="nil"/>
              <w:left w:val="nil"/>
              <w:bottom w:val="single" w:sz="4" w:space="0" w:color="auto"/>
              <w:right w:val="nil"/>
            </w:tcBorders>
            <w:hideMark/>
          </w:tcPr>
          <w:p w14:paraId="737B5BA1" w14:textId="77777777" w:rsidR="00DB1AEE" w:rsidRPr="00DB1AEE" w:rsidRDefault="00DB1AEE" w:rsidP="00DB1AEE">
            <w:pPr>
              <w:suppressAutoHyphens/>
              <w:jc w:val="center"/>
              <w:rPr>
                <w:sz w:val="18"/>
                <w:szCs w:val="18"/>
                <w:u w:val="single"/>
              </w:rPr>
            </w:pPr>
            <w:r w:rsidRPr="00DB1AEE">
              <w:rPr>
                <w:sz w:val="18"/>
                <w:szCs w:val="18"/>
                <w:u w:val="single"/>
              </w:rPr>
              <w:t> </w:t>
            </w:r>
          </w:p>
        </w:tc>
        <w:tc>
          <w:tcPr>
            <w:tcW w:w="364" w:type="pct"/>
            <w:gridSpan w:val="2"/>
            <w:tcBorders>
              <w:top w:val="nil"/>
              <w:left w:val="nil"/>
              <w:bottom w:val="single" w:sz="4" w:space="0" w:color="auto"/>
              <w:right w:val="nil"/>
            </w:tcBorders>
            <w:hideMark/>
          </w:tcPr>
          <w:p w14:paraId="5E771BE8"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427" w:type="pct"/>
            <w:gridSpan w:val="3"/>
            <w:tcBorders>
              <w:top w:val="nil"/>
              <w:left w:val="nil"/>
              <w:bottom w:val="single" w:sz="4" w:space="0" w:color="auto"/>
              <w:right w:val="nil"/>
            </w:tcBorders>
            <w:hideMark/>
          </w:tcPr>
          <w:p w14:paraId="1A768D31" w14:textId="77777777" w:rsidR="00DB1AEE" w:rsidRPr="00DB1AEE" w:rsidRDefault="00DB1AEE" w:rsidP="00DB1AEE">
            <w:pPr>
              <w:suppressAutoHyphens/>
              <w:jc w:val="center"/>
              <w:rPr>
                <w:sz w:val="18"/>
                <w:szCs w:val="18"/>
                <w:u w:val="single"/>
              </w:rPr>
            </w:pPr>
            <w:r w:rsidRPr="00DB1AEE">
              <w:rPr>
                <w:sz w:val="18"/>
                <w:szCs w:val="18"/>
                <w:u w:val="single"/>
              </w:rPr>
              <w:t> </w:t>
            </w:r>
          </w:p>
        </w:tc>
        <w:tc>
          <w:tcPr>
            <w:tcW w:w="397" w:type="pct"/>
            <w:tcBorders>
              <w:top w:val="nil"/>
              <w:left w:val="nil"/>
              <w:bottom w:val="single" w:sz="4" w:space="0" w:color="auto"/>
              <w:right w:val="nil"/>
            </w:tcBorders>
            <w:hideMark/>
          </w:tcPr>
          <w:p w14:paraId="51135895" w14:textId="77777777" w:rsidR="00DB1AEE" w:rsidRPr="00DB1AEE" w:rsidRDefault="00DB1AEE" w:rsidP="00DB1AEE">
            <w:pPr>
              <w:suppressAutoHyphens/>
              <w:jc w:val="center"/>
              <w:rPr>
                <w:sz w:val="18"/>
                <w:szCs w:val="18"/>
                <w:u w:val="single"/>
              </w:rPr>
            </w:pPr>
            <w:r w:rsidRPr="00DB1AEE">
              <w:rPr>
                <w:sz w:val="18"/>
                <w:szCs w:val="18"/>
                <w:u w:val="single"/>
              </w:rPr>
              <w:t> </w:t>
            </w:r>
          </w:p>
        </w:tc>
        <w:tc>
          <w:tcPr>
            <w:tcW w:w="363" w:type="pct"/>
            <w:tcBorders>
              <w:top w:val="nil"/>
              <w:left w:val="nil"/>
              <w:bottom w:val="single" w:sz="4" w:space="0" w:color="auto"/>
              <w:right w:val="nil"/>
            </w:tcBorders>
            <w:hideMark/>
          </w:tcPr>
          <w:p w14:paraId="6E3A266A"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418" w:type="pct"/>
            <w:gridSpan w:val="3"/>
            <w:tcBorders>
              <w:top w:val="nil"/>
              <w:left w:val="nil"/>
              <w:bottom w:val="single" w:sz="4" w:space="0" w:color="auto"/>
              <w:right w:val="nil"/>
            </w:tcBorders>
            <w:hideMark/>
          </w:tcPr>
          <w:p w14:paraId="47E0ABFD"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323" w:type="pct"/>
            <w:tcBorders>
              <w:top w:val="nil"/>
              <w:left w:val="nil"/>
              <w:bottom w:val="single" w:sz="4" w:space="0" w:color="auto"/>
              <w:right w:val="single" w:sz="4" w:space="0" w:color="auto"/>
            </w:tcBorders>
            <w:hideMark/>
          </w:tcPr>
          <w:p w14:paraId="1132EFF1" w14:textId="77777777" w:rsidR="00DB1AEE" w:rsidRPr="00DB1AEE" w:rsidRDefault="00DB1AEE" w:rsidP="00DB1AEE">
            <w:pPr>
              <w:suppressAutoHyphens/>
              <w:jc w:val="left"/>
              <w:rPr>
                <w:sz w:val="18"/>
                <w:szCs w:val="18"/>
                <w:u w:val="single"/>
              </w:rPr>
            </w:pPr>
            <w:r w:rsidRPr="00DB1AEE">
              <w:rPr>
                <w:sz w:val="18"/>
                <w:szCs w:val="18"/>
                <w:u w:val="single"/>
              </w:rPr>
              <w:t> </w:t>
            </w:r>
          </w:p>
        </w:tc>
      </w:tr>
      <w:tr w:rsidR="00DB1AEE" w:rsidRPr="00DB1AEE" w14:paraId="71BB7A11" w14:textId="77777777" w:rsidTr="00FC1832">
        <w:trPr>
          <w:trHeight w:val="300"/>
        </w:trPr>
        <w:tc>
          <w:tcPr>
            <w:tcW w:w="896" w:type="pct"/>
            <w:tcBorders>
              <w:top w:val="nil"/>
              <w:left w:val="single" w:sz="4" w:space="0" w:color="auto"/>
              <w:bottom w:val="single" w:sz="4" w:space="0" w:color="auto"/>
              <w:right w:val="single" w:sz="4" w:space="0" w:color="auto"/>
            </w:tcBorders>
            <w:hideMark/>
          </w:tcPr>
          <w:p w14:paraId="25D92262" w14:textId="77777777" w:rsidR="00DB1AEE" w:rsidRPr="00DB1AEE" w:rsidRDefault="00DB1AEE" w:rsidP="00DB1AEE">
            <w:pPr>
              <w:suppressAutoHyphens/>
              <w:jc w:val="left"/>
              <w:rPr>
                <w:sz w:val="18"/>
                <w:szCs w:val="18"/>
                <w:u w:val="single"/>
              </w:rPr>
            </w:pPr>
            <w:r w:rsidRPr="00DB1AEE">
              <w:rPr>
                <w:sz w:val="18"/>
                <w:szCs w:val="18"/>
                <w:u w:val="single"/>
              </w:rPr>
              <w:t>Chapel (used primarily by residents)</w:t>
            </w:r>
          </w:p>
        </w:tc>
        <w:tc>
          <w:tcPr>
            <w:tcW w:w="429" w:type="pct"/>
            <w:gridSpan w:val="2"/>
            <w:tcBorders>
              <w:top w:val="nil"/>
              <w:left w:val="nil"/>
              <w:bottom w:val="single" w:sz="4" w:space="0" w:color="auto"/>
              <w:right w:val="single" w:sz="4" w:space="0" w:color="auto"/>
            </w:tcBorders>
            <w:noWrap/>
            <w:hideMark/>
          </w:tcPr>
          <w:p w14:paraId="1608CD0A" w14:textId="77777777" w:rsidR="00DB1AEE" w:rsidRPr="00DB1AEE" w:rsidRDefault="00DB1AEE" w:rsidP="00DB1AEE">
            <w:pPr>
              <w:suppressAutoHyphens/>
              <w:ind w:firstLineChars="100" w:firstLine="180"/>
              <w:jc w:val="right"/>
              <w:rPr>
                <w:sz w:val="18"/>
                <w:szCs w:val="18"/>
                <w:u w:val="single"/>
              </w:rPr>
            </w:pPr>
            <w:r w:rsidRPr="00DB1AEE">
              <w:rPr>
                <w:sz w:val="18"/>
                <w:szCs w:val="18"/>
                <w:u w:val="single"/>
              </w:rPr>
              <w:t>0.58</w:t>
            </w:r>
          </w:p>
        </w:tc>
        <w:tc>
          <w:tcPr>
            <w:tcW w:w="330" w:type="pct"/>
            <w:tcBorders>
              <w:top w:val="nil"/>
              <w:left w:val="nil"/>
              <w:bottom w:val="single" w:sz="4" w:space="0" w:color="auto"/>
              <w:right w:val="single" w:sz="4" w:space="0" w:color="auto"/>
            </w:tcBorders>
            <w:noWrap/>
            <w:hideMark/>
          </w:tcPr>
          <w:p w14:paraId="6AAEBE64" w14:textId="77777777" w:rsidR="00DB1AEE" w:rsidRPr="00DB1AEE" w:rsidRDefault="00DB1AEE" w:rsidP="00DB1AEE">
            <w:pPr>
              <w:suppressAutoHyphens/>
              <w:jc w:val="center"/>
              <w:rPr>
                <w:sz w:val="18"/>
                <w:szCs w:val="18"/>
                <w:u w:val="single"/>
              </w:rPr>
            </w:pPr>
            <w:r w:rsidRPr="00DB1AEE">
              <w:rPr>
                <w:sz w:val="18"/>
                <w:szCs w:val="18"/>
                <w:u w:val="single"/>
              </w:rPr>
              <w:t>4</w:t>
            </w:r>
          </w:p>
        </w:tc>
        <w:tc>
          <w:tcPr>
            <w:tcW w:w="361" w:type="pct"/>
            <w:gridSpan w:val="2"/>
            <w:tcBorders>
              <w:top w:val="nil"/>
              <w:left w:val="nil"/>
              <w:bottom w:val="single" w:sz="4" w:space="0" w:color="auto"/>
              <w:right w:val="single" w:sz="4" w:space="0" w:color="auto"/>
            </w:tcBorders>
            <w:hideMark/>
          </w:tcPr>
          <w:p w14:paraId="4CCAE04A"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63" w:type="pct"/>
            <w:gridSpan w:val="3"/>
            <w:tcBorders>
              <w:top w:val="nil"/>
              <w:left w:val="nil"/>
              <w:bottom w:val="single" w:sz="4" w:space="0" w:color="auto"/>
              <w:right w:val="single" w:sz="4" w:space="0" w:color="auto"/>
            </w:tcBorders>
            <w:hideMark/>
          </w:tcPr>
          <w:p w14:paraId="1E0B482F" w14:textId="77777777" w:rsidR="00DB1AEE" w:rsidRPr="00DB1AEE" w:rsidRDefault="00DB1AEE" w:rsidP="00DB1AEE">
            <w:pPr>
              <w:suppressAutoHyphens/>
              <w:jc w:val="left"/>
              <w:rPr>
                <w:sz w:val="18"/>
                <w:szCs w:val="18"/>
                <w:u w:val="single"/>
              </w:rPr>
            </w:pPr>
            <w:r w:rsidRPr="00DB1AEE">
              <w:rPr>
                <w:sz w:val="18"/>
                <w:szCs w:val="18"/>
                <w:u w:val="single"/>
              </w:rPr>
              <w:t>ADD1</w:t>
            </w:r>
          </w:p>
        </w:tc>
        <w:tc>
          <w:tcPr>
            <w:tcW w:w="330" w:type="pct"/>
            <w:tcBorders>
              <w:top w:val="nil"/>
              <w:left w:val="nil"/>
              <w:bottom w:val="single" w:sz="4" w:space="0" w:color="auto"/>
              <w:right w:val="single" w:sz="4" w:space="0" w:color="auto"/>
            </w:tcBorders>
            <w:hideMark/>
          </w:tcPr>
          <w:p w14:paraId="31DCE9A0"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364" w:type="pct"/>
            <w:gridSpan w:val="2"/>
            <w:tcBorders>
              <w:top w:val="nil"/>
              <w:left w:val="nil"/>
              <w:bottom w:val="single" w:sz="4" w:space="0" w:color="auto"/>
              <w:right w:val="single" w:sz="4" w:space="0" w:color="auto"/>
            </w:tcBorders>
            <w:hideMark/>
          </w:tcPr>
          <w:p w14:paraId="02FB5B99" w14:textId="77777777" w:rsidR="00DB1AEE" w:rsidRPr="00DB1AEE" w:rsidRDefault="00DB1AEE" w:rsidP="00DB1AEE">
            <w:pPr>
              <w:suppressAutoHyphens/>
              <w:jc w:val="left"/>
              <w:rPr>
                <w:sz w:val="18"/>
                <w:szCs w:val="18"/>
                <w:u w:val="single"/>
              </w:rPr>
            </w:pPr>
            <w:r w:rsidRPr="00DB1AEE">
              <w:rPr>
                <w:sz w:val="18"/>
                <w:szCs w:val="18"/>
                <w:u w:val="single"/>
              </w:rPr>
              <w:t>REQ</w:t>
            </w:r>
          </w:p>
        </w:tc>
        <w:tc>
          <w:tcPr>
            <w:tcW w:w="427" w:type="pct"/>
            <w:gridSpan w:val="3"/>
            <w:tcBorders>
              <w:top w:val="nil"/>
              <w:left w:val="nil"/>
              <w:bottom w:val="single" w:sz="4" w:space="0" w:color="auto"/>
              <w:right w:val="single" w:sz="4" w:space="0" w:color="auto"/>
            </w:tcBorders>
            <w:hideMark/>
          </w:tcPr>
          <w:p w14:paraId="7FF5A018"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97" w:type="pct"/>
            <w:tcBorders>
              <w:top w:val="nil"/>
              <w:left w:val="nil"/>
              <w:bottom w:val="single" w:sz="4" w:space="0" w:color="auto"/>
              <w:right w:val="single" w:sz="4" w:space="0" w:color="auto"/>
            </w:tcBorders>
            <w:hideMark/>
          </w:tcPr>
          <w:p w14:paraId="0D0BBCAC"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63" w:type="pct"/>
            <w:tcBorders>
              <w:top w:val="nil"/>
              <w:left w:val="nil"/>
              <w:bottom w:val="single" w:sz="4" w:space="0" w:color="auto"/>
              <w:right w:val="single" w:sz="4" w:space="0" w:color="auto"/>
            </w:tcBorders>
            <w:vAlign w:val="center"/>
            <w:hideMark/>
          </w:tcPr>
          <w:p w14:paraId="1651D7F2"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418" w:type="pct"/>
            <w:gridSpan w:val="3"/>
            <w:tcBorders>
              <w:top w:val="nil"/>
              <w:left w:val="nil"/>
              <w:bottom w:val="single" w:sz="4" w:space="0" w:color="auto"/>
              <w:right w:val="single" w:sz="4" w:space="0" w:color="auto"/>
            </w:tcBorders>
            <w:hideMark/>
          </w:tcPr>
          <w:p w14:paraId="5CD62100" w14:textId="77777777" w:rsidR="00DB1AEE" w:rsidRPr="00DB1AEE" w:rsidRDefault="00DB1AEE" w:rsidP="00DB1AEE">
            <w:pPr>
              <w:suppressAutoHyphens/>
              <w:jc w:val="left"/>
              <w:rPr>
                <w:sz w:val="18"/>
                <w:szCs w:val="18"/>
                <w:u w:val="single"/>
              </w:rPr>
            </w:pPr>
            <w:r w:rsidRPr="00DB1AEE">
              <w:rPr>
                <w:sz w:val="18"/>
                <w:szCs w:val="18"/>
                <w:u w:val="single"/>
              </w:rPr>
              <w:t>ADD2</w:t>
            </w:r>
          </w:p>
        </w:tc>
        <w:tc>
          <w:tcPr>
            <w:tcW w:w="323" w:type="pct"/>
            <w:tcBorders>
              <w:top w:val="nil"/>
              <w:left w:val="nil"/>
              <w:bottom w:val="single" w:sz="4" w:space="0" w:color="auto"/>
              <w:right w:val="single" w:sz="4" w:space="0" w:color="auto"/>
            </w:tcBorders>
            <w:hideMark/>
          </w:tcPr>
          <w:p w14:paraId="1DBCDEC9" w14:textId="77777777" w:rsidR="00DB1AEE" w:rsidRPr="00DB1AEE" w:rsidRDefault="00DB1AEE" w:rsidP="00DB1AEE">
            <w:pPr>
              <w:suppressAutoHyphens/>
              <w:jc w:val="left"/>
              <w:rPr>
                <w:sz w:val="18"/>
                <w:szCs w:val="18"/>
                <w:u w:val="single"/>
              </w:rPr>
            </w:pPr>
            <w:r w:rsidRPr="00DB1AEE">
              <w:rPr>
                <w:sz w:val="18"/>
                <w:szCs w:val="18"/>
                <w:u w:val="single"/>
              </w:rPr>
              <w:t>ADD2</w:t>
            </w:r>
          </w:p>
        </w:tc>
      </w:tr>
      <w:tr w:rsidR="00DB1AEE" w:rsidRPr="00DB1AEE" w14:paraId="3F9583DD" w14:textId="77777777" w:rsidTr="00FC1832">
        <w:trPr>
          <w:trHeight w:val="300"/>
        </w:trPr>
        <w:tc>
          <w:tcPr>
            <w:tcW w:w="896" w:type="pct"/>
            <w:tcBorders>
              <w:top w:val="nil"/>
              <w:left w:val="single" w:sz="4" w:space="0" w:color="auto"/>
              <w:bottom w:val="single" w:sz="4" w:space="0" w:color="auto"/>
              <w:right w:val="single" w:sz="4" w:space="0" w:color="auto"/>
            </w:tcBorders>
            <w:hideMark/>
          </w:tcPr>
          <w:p w14:paraId="4046CF18" w14:textId="77777777" w:rsidR="00DB1AEE" w:rsidRPr="00DB1AEE" w:rsidRDefault="00DB1AEE" w:rsidP="00DB1AEE">
            <w:pPr>
              <w:suppressAutoHyphens/>
              <w:jc w:val="left"/>
              <w:rPr>
                <w:sz w:val="18"/>
                <w:szCs w:val="18"/>
                <w:u w:val="single"/>
              </w:rPr>
            </w:pPr>
            <w:r w:rsidRPr="00DB1AEE">
              <w:rPr>
                <w:sz w:val="18"/>
                <w:szCs w:val="18"/>
                <w:u w:val="single"/>
              </w:rPr>
              <w:t>Corridor (used primarily by residents)</w:t>
            </w:r>
          </w:p>
        </w:tc>
        <w:tc>
          <w:tcPr>
            <w:tcW w:w="429" w:type="pct"/>
            <w:gridSpan w:val="2"/>
            <w:tcBorders>
              <w:top w:val="nil"/>
              <w:left w:val="nil"/>
              <w:bottom w:val="single" w:sz="4" w:space="0" w:color="auto"/>
              <w:right w:val="single" w:sz="4" w:space="0" w:color="auto"/>
            </w:tcBorders>
            <w:noWrap/>
            <w:hideMark/>
          </w:tcPr>
          <w:p w14:paraId="77839B5D" w14:textId="77777777" w:rsidR="00DB1AEE" w:rsidRPr="00DB1AEE" w:rsidRDefault="00DB1AEE" w:rsidP="00DB1AEE">
            <w:pPr>
              <w:suppressAutoHyphens/>
              <w:jc w:val="left"/>
              <w:rPr>
                <w:sz w:val="18"/>
                <w:szCs w:val="18"/>
                <w:u w:val="single"/>
              </w:rPr>
            </w:pPr>
            <w:r w:rsidRPr="00DB1AEE">
              <w:rPr>
                <w:sz w:val="18"/>
                <w:szCs w:val="18"/>
                <w:u w:val="single"/>
              </w:rPr>
              <w:t> </w:t>
            </w:r>
          </w:p>
          <w:p w14:paraId="0EEC4236" w14:textId="77777777" w:rsidR="00DB1AEE" w:rsidRPr="00DB1AEE" w:rsidRDefault="00DB1AEE" w:rsidP="00DB1AEE">
            <w:pPr>
              <w:suppressAutoHyphens/>
              <w:ind w:firstLineChars="100" w:firstLine="180"/>
              <w:jc w:val="right"/>
              <w:rPr>
                <w:sz w:val="18"/>
                <w:szCs w:val="18"/>
                <w:u w:val="single"/>
              </w:rPr>
            </w:pPr>
            <w:r w:rsidRPr="00DB1AEE">
              <w:rPr>
                <w:sz w:val="18"/>
                <w:szCs w:val="18"/>
                <w:u w:val="single"/>
              </w:rPr>
              <w:t>0.71</w:t>
            </w:r>
          </w:p>
        </w:tc>
        <w:tc>
          <w:tcPr>
            <w:tcW w:w="330" w:type="pct"/>
            <w:tcBorders>
              <w:top w:val="nil"/>
              <w:left w:val="nil"/>
              <w:bottom w:val="single" w:sz="4" w:space="0" w:color="auto"/>
              <w:right w:val="single" w:sz="4" w:space="0" w:color="auto"/>
            </w:tcBorders>
            <w:hideMark/>
          </w:tcPr>
          <w:p w14:paraId="18B4DC2C" w14:textId="77777777" w:rsidR="00DB1AEE" w:rsidRPr="00DB1AEE" w:rsidRDefault="00DB1AEE" w:rsidP="00DB1AEE">
            <w:pPr>
              <w:suppressAutoHyphens/>
              <w:jc w:val="center"/>
              <w:rPr>
                <w:sz w:val="18"/>
                <w:szCs w:val="18"/>
                <w:u w:val="single"/>
              </w:rPr>
            </w:pPr>
            <w:r w:rsidRPr="00DB1AEE">
              <w:rPr>
                <w:sz w:val="18"/>
                <w:szCs w:val="18"/>
                <w:u w:val="single"/>
              </w:rPr>
              <w:t>width  8 ft</w:t>
            </w:r>
          </w:p>
        </w:tc>
        <w:tc>
          <w:tcPr>
            <w:tcW w:w="361" w:type="pct"/>
            <w:gridSpan w:val="2"/>
            <w:tcBorders>
              <w:top w:val="nil"/>
              <w:left w:val="nil"/>
              <w:bottom w:val="single" w:sz="4" w:space="0" w:color="auto"/>
              <w:right w:val="single" w:sz="4" w:space="0" w:color="auto"/>
            </w:tcBorders>
            <w:hideMark/>
          </w:tcPr>
          <w:p w14:paraId="6D6F538E"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63" w:type="pct"/>
            <w:gridSpan w:val="3"/>
            <w:tcBorders>
              <w:top w:val="nil"/>
              <w:left w:val="nil"/>
              <w:bottom w:val="single" w:sz="4" w:space="0" w:color="auto"/>
              <w:right w:val="single" w:sz="4" w:space="0" w:color="auto"/>
            </w:tcBorders>
            <w:hideMark/>
          </w:tcPr>
          <w:p w14:paraId="62E56B0A"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330" w:type="pct"/>
            <w:tcBorders>
              <w:top w:val="nil"/>
              <w:left w:val="nil"/>
              <w:bottom w:val="single" w:sz="4" w:space="0" w:color="auto"/>
              <w:right w:val="single" w:sz="4" w:space="0" w:color="auto"/>
            </w:tcBorders>
            <w:hideMark/>
          </w:tcPr>
          <w:p w14:paraId="16485399" w14:textId="77777777" w:rsidR="00DB1AEE" w:rsidRPr="00DB1AEE" w:rsidRDefault="00DB1AEE" w:rsidP="00DB1AEE">
            <w:pPr>
              <w:suppressAutoHyphens/>
              <w:jc w:val="center"/>
              <w:rPr>
                <w:sz w:val="18"/>
                <w:szCs w:val="18"/>
                <w:u w:val="single"/>
              </w:rPr>
            </w:pPr>
            <w:r w:rsidRPr="00DB1AEE">
              <w:rPr>
                <w:sz w:val="18"/>
                <w:szCs w:val="18"/>
                <w:u w:val="single"/>
              </w:rPr>
              <w:t> </w:t>
            </w:r>
          </w:p>
        </w:tc>
        <w:tc>
          <w:tcPr>
            <w:tcW w:w="364" w:type="pct"/>
            <w:gridSpan w:val="2"/>
            <w:tcBorders>
              <w:top w:val="nil"/>
              <w:left w:val="nil"/>
              <w:bottom w:val="single" w:sz="4" w:space="0" w:color="auto"/>
              <w:right w:val="single" w:sz="4" w:space="0" w:color="auto"/>
            </w:tcBorders>
            <w:hideMark/>
          </w:tcPr>
          <w:p w14:paraId="6FBBDCCF"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427" w:type="pct"/>
            <w:gridSpan w:val="3"/>
            <w:tcBorders>
              <w:top w:val="nil"/>
              <w:left w:val="nil"/>
              <w:bottom w:val="single" w:sz="4" w:space="0" w:color="auto"/>
              <w:right w:val="single" w:sz="4" w:space="0" w:color="auto"/>
            </w:tcBorders>
            <w:hideMark/>
          </w:tcPr>
          <w:p w14:paraId="1512F54D"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97" w:type="pct"/>
            <w:tcBorders>
              <w:top w:val="nil"/>
              <w:left w:val="nil"/>
              <w:bottom w:val="single" w:sz="4" w:space="0" w:color="auto"/>
              <w:right w:val="single" w:sz="4" w:space="0" w:color="auto"/>
            </w:tcBorders>
            <w:hideMark/>
          </w:tcPr>
          <w:p w14:paraId="13594771"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63" w:type="pct"/>
            <w:tcBorders>
              <w:top w:val="nil"/>
              <w:left w:val="nil"/>
              <w:bottom w:val="single" w:sz="4" w:space="0" w:color="auto"/>
              <w:right w:val="single" w:sz="4" w:space="0" w:color="auto"/>
            </w:tcBorders>
            <w:hideMark/>
          </w:tcPr>
          <w:p w14:paraId="631683EE"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418" w:type="pct"/>
            <w:gridSpan w:val="3"/>
            <w:tcBorders>
              <w:top w:val="nil"/>
              <w:left w:val="nil"/>
              <w:bottom w:val="single" w:sz="4" w:space="0" w:color="auto"/>
              <w:right w:val="single" w:sz="4" w:space="0" w:color="auto"/>
            </w:tcBorders>
            <w:hideMark/>
          </w:tcPr>
          <w:p w14:paraId="71D01F0B" w14:textId="77777777" w:rsidR="00DB1AEE" w:rsidRPr="00DB1AEE" w:rsidRDefault="00DB1AEE" w:rsidP="00DB1AEE">
            <w:pPr>
              <w:suppressAutoHyphens/>
              <w:jc w:val="center"/>
              <w:rPr>
                <w:sz w:val="18"/>
                <w:szCs w:val="18"/>
                <w:u w:val="single"/>
              </w:rPr>
            </w:pPr>
            <w:r w:rsidRPr="00DB1AEE">
              <w:rPr>
                <w:sz w:val="18"/>
                <w:szCs w:val="18"/>
                <w:u w:val="single"/>
              </w:rPr>
              <w:t>ADD2</w:t>
            </w:r>
          </w:p>
        </w:tc>
        <w:tc>
          <w:tcPr>
            <w:tcW w:w="323" w:type="pct"/>
            <w:tcBorders>
              <w:top w:val="nil"/>
              <w:left w:val="nil"/>
              <w:bottom w:val="single" w:sz="4" w:space="0" w:color="auto"/>
              <w:right w:val="single" w:sz="4" w:space="0" w:color="auto"/>
            </w:tcBorders>
            <w:hideMark/>
          </w:tcPr>
          <w:p w14:paraId="5843E42D" w14:textId="77777777" w:rsidR="00DB1AEE" w:rsidRPr="00DB1AEE" w:rsidRDefault="00DB1AEE" w:rsidP="00DB1AEE">
            <w:pPr>
              <w:suppressAutoHyphens/>
              <w:jc w:val="center"/>
              <w:rPr>
                <w:sz w:val="18"/>
                <w:szCs w:val="18"/>
                <w:u w:val="single"/>
              </w:rPr>
            </w:pPr>
            <w:r w:rsidRPr="00DB1AEE">
              <w:rPr>
                <w:sz w:val="18"/>
                <w:szCs w:val="18"/>
                <w:u w:val="single"/>
              </w:rPr>
              <w:t>ADD2</w:t>
            </w:r>
          </w:p>
        </w:tc>
      </w:tr>
      <w:tr w:rsidR="00DB1AEE" w:rsidRPr="00DB1AEE" w14:paraId="1C44C900" w14:textId="77777777" w:rsidTr="00FC1832">
        <w:trPr>
          <w:trHeight w:val="300"/>
        </w:trPr>
        <w:tc>
          <w:tcPr>
            <w:tcW w:w="896" w:type="pct"/>
            <w:tcBorders>
              <w:top w:val="nil"/>
              <w:left w:val="single" w:sz="4" w:space="0" w:color="auto"/>
              <w:bottom w:val="single" w:sz="4" w:space="0" w:color="auto"/>
              <w:right w:val="single" w:sz="4" w:space="0" w:color="auto"/>
            </w:tcBorders>
            <w:hideMark/>
          </w:tcPr>
          <w:p w14:paraId="65F0963E" w14:textId="77777777" w:rsidR="00DB1AEE" w:rsidRPr="00DB1AEE" w:rsidRDefault="00DB1AEE" w:rsidP="00DB1AEE">
            <w:pPr>
              <w:suppressAutoHyphens/>
              <w:jc w:val="left"/>
              <w:rPr>
                <w:sz w:val="18"/>
                <w:szCs w:val="18"/>
                <w:u w:val="single"/>
              </w:rPr>
            </w:pPr>
            <w:r w:rsidRPr="00DB1AEE">
              <w:rPr>
                <w:sz w:val="18"/>
                <w:szCs w:val="18"/>
                <w:u w:val="single"/>
              </w:rPr>
              <w:t>Dining (used primarily by residents)</w:t>
            </w:r>
          </w:p>
        </w:tc>
        <w:tc>
          <w:tcPr>
            <w:tcW w:w="429" w:type="pct"/>
            <w:gridSpan w:val="2"/>
            <w:tcBorders>
              <w:top w:val="nil"/>
              <w:left w:val="nil"/>
              <w:bottom w:val="single" w:sz="4" w:space="0" w:color="auto"/>
              <w:right w:val="single" w:sz="4" w:space="0" w:color="auto"/>
            </w:tcBorders>
            <w:noWrap/>
            <w:hideMark/>
          </w:tcPr>
          <w:p w14:paraId="59C0A402" w14:textId="77777777" w:rsidR="00DB1AEE" w:rsidRPr="00DB1AEE" w:rsidRDefault="00DB1AEE" w:rsidP="00DB1AEE">
            <w:pPr>
              <w:suppressAutoHyphens/>
              <w:jc w:val="left"/>
              <w:rPr>
                <w:sz w:val="18"/>
                <w:szCs w:val="18"/>
                <w:u w:val="single"/>
              </w:rPr>
            </w:pPr>
            <w:r w:rsidRPr="00DB1AEE">
              <w:rPr>
                <w:sz w:val="18"/>
                <w:szCs w:val="18"/>
                <w:u w:val="single"/>
              </w:rPr>
              <w:t> </w:t>
            </w:r>
          </w:p>
          <w:p w14:paraId="4E60D89C" w14:textId="77777777" w:rsidR="00DB1AEE" w:rsidRPr="00DB1AEE" w:rsidRDefault="00DB1AEE" w:rsidP="00DB1AEE">
            <w:pPr>
              <w:suppressAutoHyphens/>
              <w:ind w:firstLineChars="100" w:firstLine="180"/>
              <w:jc w:val="right"/>
              <w:rPr>
                <w:sz w:val="18"/>
                <w:szCs w:val="18"/>
                <w:u w:val="single"/>
              </w:rPr>
            </w:pPr>
            <w:r w:rsidRPr="00DB1AEE">
              <w:rPr>
                <w:sz w:val="18"/>
                <w:szCs w:val="18"/>
                <w:u w:val="single"/>
              </w:rPr>
              <w:t>1.22</w:t>
            </w:r>
          </w:p>
        </w:tc>
        <w:tc>
          <w:tcPr>
            <w:tcW w:w="330" w:type="pct"/>
            <w:tcBorders>
              <w:top w:val="nil"/>
              <w:left w:val="nil"/>
              <w:bottom w:val="single" w:sz="4" w:space="0" w:color="auto"/>
              <w:right w:val="single" w:sz="4" w:space="0" w:color="auto"/>
            </w:tcBorders>
            <w:noWrap/>
            <w:hideMark/>
          </w:tcPr>
          <w:p w14:paraId="7462CA7C" w14:textId="77777777" w:rsidR="00DB1AEE" w:rsidRPr="00DB1AEE" w:rsidRDefault="00DB1AEE" w:rsidP="00DB1AEE">
            <w:pPr>
              <w:suppressAutoHyphens/>
              <w:jc w:val="center"/>
              <w:rPr>
                <w:sz w:val="18"/>
                <w:szCs w:val="18"/>
                <w:u w:val="single"/>
              </w:rPr>
            </w:pPr>
            <w:r w:rsidRPr="00DB1AEE">
              <w:rPr>
                <w:sz w:val="18"/>
                <w:szCs w:val="18"/>
                <w:u w:val="single"/>
              </w:rPr>
              <w:t>4</w:t>
            </w:r>
          </w:p>
        </w:tc>
        <w:tc>
          <w:tcPr>
            <w:tcW w:w="361" w:type="pct"/>
            <w:gridSpan w:val="2"/>
            <w:tcBorders>
              <w:top w:val="nil"/>
              <w:left w:val="nil"/>
              <w:bottom w:val="single" w:sz="4" w:space="0" w:color="auto"/>
              <w:right w:val="single" w:sz="4" w:space="0" w:color="auto"/>
            </w:tcBorders>
            <w:hideMark/>
          </w:tcPr>
          <w:p w14:paraId="0CFEF3E2"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63" w:type="pct"/>
            <w:gridSpan w:val="3"/>
            <w:tcBorders>
              <w:top w:val="nil"/>
              <w:left w:val="nil"/>
              <w:bottom w:val="single" w:sz="4" w:space="0" w:color="auto"/>
              <w:right w:val="single" w:sz="4" w:space="0" w:color="auto"/>
            </w:tcBorders>
            <w:hideMark/>
          </w:tcPr>
          <w:p w14:paraId="2BDEC9E5"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330" w:type="pct"/>
            <w:tcBorders>
              <w:top w:val="nil"/>
              <w:left w:val="nil"/>
              <w:bottom w:val="single" w:sz="4" w:space="0" w:color="auto"/>
              <w:right w:val="single" w:sz="4" w:space="0" w:color="auto"/>
            </w:tcBorders>
            <w:hideMark/>
          </w:tcPr>
          <w:p w14:paraId="1CF410CA"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364" w:type="pct"/>
            <w:gridSpan w:val="2"/>
            <w:tcBorders>
              <w:top w:val="nil"/>
              <w:left w:val="nil"/>
              <w:bottom w:val="single" w:sz="4" w:space="0" w:color="auto"/>
              <w:right w:val="single" w:sz="4" w:space="0" w:color="auto"/>
            </w:tcBorders>
            <w:hideMark/>
          </w:tcPr>
          <w:p w14:paraId="5A34CA81"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427" w:type="pct"/>
            <w:gridSpan w:val="3"/>
            <w:tcBorders>
              <w:top w:val="nil"/>
              <w:left w:val="nil"/>
              <w:bottom w:val="single" w:sz="4" w:space="0" w:color="auto"/>
              <w:right w:val="single" w:sz="4" w:space="0" w:color="auto"/>
            </w:tcBorders>
            <w:hideMark/>
          </w:tcPr>
          <w:p w14:paraId="3649AEC0"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97" w:type="pct"/>
            <w:tcBorders>
              <w:top w:val="nil"/>
              <w:left w:val="nil"/>
              <w:bottom w:val="single" w:sz="4" w:space="0" w:color="auto"/>
              <w:right w:val="single" w:sz="4" w:space="0" w:color="auto"/>
            </w:tcBorders>
            <w:hideMark/>
          </w:tcPr>
          <w:p w14:paraId="43C1C734"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63" w:type="pct"/>
            <w:tcBorders>
              <w:top w:val="nil"/>
              <w:left w:val="nil"/>
              <w:bottom w:val="single" w:sz="4" w:space="0" w:color="auto"/>
              <w:right w:val="single" w:sz="4" w:space="0" w:color="auto"/>
            </w:tcBorders>
            <w:vAlign w:val="bottom"/>
            <w:hideMark/>
          </w:tcPr>
          <w:p w14:paraId="7C03EC5B"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418" w:type="pct"/>
            <w:gridSpan w:val="3"/>
            <w:tcBorders>
              <w:top w:val="nil"/>
              <w:left w:val="nil"/>
              <w:bottom w:val="single" w:sz="4" w:space="0" w:color="auto"/>
              <w:right w:val="single" w:sz="4" w:space="0" w:color="auto"/>
            </w:tcBorders>
            <w:hideMark/>
          </w:tcPr>
          <w:p w14:paraId="3D8F506D" w14:textId="77777777" w:rsidR="00DB1AEE" w:rsidRPr="00DB1AEE" w:rsidRDefault="00DB1AEE" w:rsidP="00DB1AEE">
            <w:pPr>
              <w:suppressAutoHyphens/>
              <w:jc w:val="center"/>
              <w:rPr>
                <w:sz w:val="18"/>
                <w:szCs w:val="18"/>
                <w:u w:val="single"/>
              </w:rPr>
            </w:pPr>
            <w:r w:rsidRPr="00DB1AEE">
              <w:rPr>
                <w:sz w:val="18"/>
                <w:szCs w:val="18"/>
                <w:u w:val="single"/>
              </w:rPr>
              <w:t>ADD2</w:t>
            </w:r>
          </w:p>
        </w:tc>
        <w:tc>
          <w:tcPr>
            <w:tcW w:w="323" w:type="pct"/>
            <w:tcBorders>
              <w:top w:val="nil"/>
              <w:left w:val="nil"/>
              <w:bottom w:val="single" w:sz="4" w:space="0" w:color="auto"/>
              <w:right w:val="single" w:sz="4" w:space="0" w:color="auto"/>
            </w:tcBorders>
            <w:hideMark/>
          </w:tcPr>
          <w:p w14:paraId="3E0D38B2" w14:textId="77777777" w:rsidR="00DB1AEE" w:rsidRPr="00DB1AEE" w:rsidRDefault="00DB1AEE" w:rsidP="00DB1AEE">
            <w:pPr>
              <w:suppressAutoHyphens/>
              <w:jc w:val="center"/>
              <w:rPr>
                <w:sz w:val="18"/>
                <w:szCs w:val="18"/>
                <w:u w:val="single"/>
              </w:rPr>
            </w:pPr>
            <w:r w:rsidRPr="00DB1AEE">
              <w:rPr>
                <w:sz w:val="18"/>
                <w:szCs w:val="18"/>
                <w:u w:val="single"/>
              </w:rPr>
              <w:t>ADD2</w:t>
            </w:r>
          </w:p>
        </w:tc>
      </w:tr>
      <w:tr w:rsidR="00DB1AEE" w:rsidRPr="00DB1AEE" w14:paraId="3091354B" w14:textId="77777777" w:rsidTr="00FC1832">
        <w:trPr>
          <w:trHeight w:val="300"/>
        </w:trPr>
        <w:tc>
          <w:tcPr>
            <w:tcW w:w="896" w:type="pct"/>
            <w:tcBorders>
              <w:top w:val="nil"/>
              <w:left w:val="single" w:sz="4" w:space="0" w:color="auto"/>
              <w:bottom w:val="single" w:sz="4" w:space="0" w:color="auto"/>
              <w:right w:val="single" w:sz="4" w:space="0" w:color="auto"/>
            </w:tcBorders>
            <w:hideMark/>
          </w:tcPr>
          <w:p w14:paraId="15DFD1A8" w14:textId="77777777" w:rsidR="00DB1AEE" w:rsidRPr="00DB1AEE" w:rsidRDefault="00DB1AEE" w:rsidP="00DB1AEE">
            <w:pPr>
              <w:suppressAutoHyphens/>
              <w:jc w:val="left"/>
              <w:rPr>
                <w:sz w:val="18"/>
                <w:szCs w:val="18"/>
                <w:u w:val="single"/>
              </w:rPr>
            </w:pPr>
            <w:r w:rsidRPr="00DB1AEE">
              <w:rPr>
                <w:sz w:val="18"/>
                <w:szCs w:val="18"/>
                <w:u w:val="single"/>
              </w:rPr>
              <w:t>Lobby</w:t>
            </w:r>
          </w:p>
        </w:tc>
        <w:tc>
          <w:tcPr>
            <w:tcW w:w="429" w:type="pct"/>
            <w:gridSpan w:val="2"/>
            <w:tcBorders>
              <w:top w:val="nil"/>
              <w:left w:val="nil"/>
              <w:bottom w:val="single" w:sz="4" w:space="0" w:color="auto"/>
              <w:right w:val="single" w:sz="4" w:space="0" w:color="auto"/>
            </w:tcBorders>
            <w:noWrap/>
            <w:hideMark/>
          </w:tcPr>
          <w:p w14:paraId="467AC68A" w14:textId="77777777" w:rsidR="00DB1AEE" w:rsidRPr="00DB1AEE" w:rsidRDefault="00DB1AEE" w:rsidP="00DB1AEE">
            <w:pPr>
              <w:suppressAutoHyphens/>
              <w:jc w:val="left"/>
              <w:rPr>
                <w:sz w:val="18"/>
                <w:szCs w:val="18"/>
                <w:u w:val="single"/>
              </w:rPr>
            </w:pPr>
            <w:r w:rsidRPr="00DB1AEE">
              <w:rPr>
                <w:sz w:val="18"/>
                <w:szCs w:val="18"/>
                <w:u w:val="single"/>
              </w:rPr>
              <w:t> </w:t>
            </w:r>
          </w:p>
          <w:p w14:paraId="6F1F71EC" w14:textId="77777777" w:rsidR="00DB1AEE" w:rsidRPr="00DB1AEE" w:rsidRDefault="00DB1AEE" w:rsidP="00DB1AEE">
            <w:pPr>
              <w:suppressAutoHyphens/>
              <w:ind w:firstLineChars="100" w:firstLine="180"/>
              <w:jc w:val="right"/>
              <w:rPr>
                <w:sz w:val="18"/>
                <w:szCs w:val="18"/>
                <w:u w:val="single"/>
              </w:rPr>
            </w:pPr>
            <w:r w:rsidRPr="00DB1AEE">
              <w:rPr>
                <w:sz w:val="18"/>
                <w:szCs w:val="18"/>
                <w:u w:val="single"/>
              </w:rPr>
              <w:t>1.44</w:t>
            </w:r>
          </w:p>
        </w:tc>
        <w:tc>
          <w:tcPr>
            <w:tcW w:w="330" w:type="pct"/>
            <w:tcBorders>
              <w:top w:val="nil"/>
              <w:left w:val="nil"/>
              <w:bottom w:val="single" w:sz="4" w:space="0" w:color="auto"/>
              <w:right w:val="single" w:sz="4" w:space="0" w:color="auto"/>
            </w:tcBorders>
            <w:noWrap/>
            <w:hideMark/>
          </w:tcPr>
          <w:p w14:paraId="24626A1D" w14:textId="77777777" w:rsidR="00DB1AEE" w:rsidRPr="00DB1AEE" w:rsidRDefault="00DB1AEE" w:rsidP="00DB1AEE">
            <w:pPr>
              <w:suppressAutoHyphens/>
              <w:jc w:val="center"/>
              <w:rPr>
                <w:sz w:val="18"/>
                <w:szCs w:val="18"/>
                <w:u w:val="single"/>
              </w:rPr>
            </w:pPr>
            <w:r w:rsidRPr="00DB1AEE">
              <w:rPr>
                <w:sz w:val="18"/>
                <w:szCs w:val="18"/>
                <w:u w:val="single"/>
              </w:rPr>
              <w:t>4</w:t>
            </w:r>
          </w:p>
        </w:tc>
        <w:tc>
          <w:tcPr>
            <w:tcW w:w="361" w:type="pct"/>
            <w:gridSpan w:val="2"/>
            <w:tcBorders>
              <w:top w:val="nil"/>
              <w:left w:val="nil"/>
              <w:bottom w:val="single" w:sz="4" w:space="0" w:color="auto"/>
              <w:right w:val="single" w:sz="4" w:space="0" w:color="auto"/>
            </w:tcBorders>
            <w:hideMark/>
          </w:tcPr>
          <w:p w14:paraId="6E8DAC48"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63" w:type="pct"/>
            <w:gridSpan w:val="3"/>
            <w:tcBorders>
              <w:top w:val="nil"/>
              <w:left w:val="nil"/>
              <w:bottom w:val="single" w:sz="4" w:space="0" w:color="auto"/>
              <w:right w:val="single" w:sz="4" w:space="0" w:color="auto"/>
            </w:tcBorders>
            <w:hideMark/>
          </w:tcPr>
          <w:p w14:paraId="4C172683"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330" w:type="pct"/>
            <w:tcBorders>
              <w:top w:val="nil"/>
              <w:left w:val="nil"/>
              <w:bottom w:val="single" w:sz="4" w:space="0" w:color="auto"/>
              <w:right w:val="single" w:sz="4" w:space="0" w:color="auto"/>
            </w:tcBorders>
            <w:hideMark/>
          </w:tcPr>
          <w:p w14:paraId="2F2D6035" w14:textId="77777777" w:rsidR="00DB1AEE" w:rsidRPr="00DB1AEE" w:rsidRDefault="00DB1AEE" w:rsidP="00DB1AEE">
            <w:pPr>
              <w:suppressAutoHyphens/>
              <w:jc w:val="center"/>
              <w:rPr>
                <w:sz w:val="18"/>
                <w:szCs w:val="18"/>
                <w:u w:val="single"/>
              </w:rPr>
            </w:pPr>
            <w:r w:rsidRPr="00DB1AEE">
              <w:rPr>
                <w:sz w:val="18"/>
                <w:szCs w:val="18"/>
                <w:u w:val="single"/>
              </w:rPr>
              <w:t> </w:t>
            </w:r>
          </w:p>
        </w:tc>
        <w:tc>
          <w:tcPr>
            <w:tcW w:w="364" w:type="pct"/>
            <w:gridSpan w:val="2"/>
            <w:tcBorders>
              <w:top w:val="nil"/>
              <w:left w:val="nil"/>
              <w:bottom w:val="single" w:sz="4" w:space="0" w:color="auto"/>
              <w:right w:val="single" w:sz="4" w:space="0" w:color="auto"/>
            </w:tcBorders>
            <w:hideMark/>
          </w:tcPr>
          <w:p w14:paraId="7AD0AB50"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427" w:type="pct"/>
            <w:gridSpan w:val="3"/>
            <w:tcBorders>
              <w:top w:val="nil"/>
              <w:left w:val="nil"/>
              <w:bottom w:val="single" w:sz="4" w:space="0" w:color="auto"/>
              <w:right w:val="single" w:sz="4" w:space="0" w:color="auto"/>
            </w:tcBorders>
            <w:hideMark/>
          </w:tcPr>
          <w:p w14:paraId="32492901"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97" w:type="pct"/>
            <w:tcBorders>
              <w:top w:val="nil"/>
              <w:left w:val="nil"/>
              <w:bottom w:val="single" w:sz="4" w:space="0" w:color="auto"/>
              <w:right w:val="single" w:sz="4" w:space="0" w:color="auto"/>
            </w:tcBorders>
            <w:hideMark/>
          </w:tcPr>
          <w:p w14:paraId="3BB6D877"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63" w:type="pct"/>
            <w:tcBorders>
              <w:top w:val="nil"/>
              <w:left w:val="nil"/>
              <w:bottom w:val="single" w:sz="4" w:space="0" w:color="auto"/>
              <w:right w:val="single" w:sz="4" w:space="0" w:color="auto"/>
            </w:tcBorders>
            <w:hideMark/>
          </w:tcPr>
          <w:p w14:paraId="709B238C"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418" w:type="pct"/>
            <w:gridSpan w:val="3"/>
            <w:tcBorders>
              <w:top w:val="nil"/>
              <w:left w:val="nil"/>
              <w:bottom w:val="single" w:sz="4" w:space="0" w:color="auto"/>
              <w:right w:val="single" w:sz="4" w:space="0" w:color="auto"/>
            </w:tcBorders>
            <w:hideMark/>
          </w:tcPr>
          <w:p w14:paraId="0AAF954B" w14:textId="77777777" w:rsidR="00DB1AEE" w:rsidRPr="00DB1AEE" w:rsidRDefault="00DB1AEE" w:rsidP="00DB1AEE">
            <w:pPr>
              <w:suppressAutoHyphens/>
              <w:jc w:val="center"/>
              <w:rPr>
                <w:sz w:val="18"/>
                <w:szCs w:val="18"/>
                <w:u w:val="single"/>
              </w:rPr>
            </w:pPr>
            <w:r w:rsidRPr="00DB1AEE">
              <w:rPr>
                <w:sz w:val="18"/>
                <w:szCs w:val="18"/>
                <w:u w:val="single"/>
              </w:rPr>
              <w:t>ADD2</w:t>
            </w:r>
          </w:p>
        </w:tc>
        <w:tc>
          <w:tcPr>
            <w:tcW w:w="323" w:type="pct"/>
            <w:tcBorders>
              <w:top w:val="nil"/>
              <w:left w:val="nil"/>
              <w:bottom w:val="single" w:sz="4" w:space="0" w:color="auto"/>
              <w:right w:val="single" w:sz="4" w:space="0" w:color="auto"/>
            </w:tcBorders>
            <w:hideMark/>
          </w:tcPr>
          <w:p w14:paraId="0CFF1339" w14:textId="77777777" w:rsidR="00DB1AEE" w:rsidRPr="00DB1AEE" w:rsidRDefault="00DB1AEE" w:rsidP="00DB1AEE">
            <w:pPr>
              <w:suppressAutoHyphens/>
              <w:jc w:val="center"/>
              <w:rPr>
                <w:sz w:val="18"/>
                <w:szCs w:val="18"/>
                <w:u w:val="single"/>
              </w:rPr>
            </w:pPr>
            <w:r w:rsidRPr="00DB1AEE">
              <w:rPr>
                <w:sz w:val="18"/>
                <w:szCs w:val="18"/>
                <w:u w:val="single"/>
              </w:rPr>
              <w:t>ADD2</w:t>
            </w:r>
          </w:p>
        </w:tc>
      </w:tr>
      <w:tr w:rsidR="00DB1AEE" w:rsidRPr="00DB1AEE" w14:paraId="1F848C43" w14:textId="77777777" w:rsidTr="00FC1832">
        <w:trPr>
          <w:trHeight w:val="585"/>
        </w:trPr>
        <w:tc>
          <w:tcPr>
            <w:tcW w:w="896" w:type="pct"/>
            <w:tcBorders>
              <w:top w:val="nil"/>
              <w:left w:val="single" w:sz="4" w:space="0" w:color="auto"/>
              <w:bottom w:val="single" w:sz="4" w:space="0" w:color="auto"/>
              <w:right w:val="single" w:sz="4" w:space="0" w:color="auto"/>
            </w:tcBorders>
            <w:hideMark/>
          </w:tcPr>
          <w:p w14:paraId="4DB651F1" w14:textId="77777777" w:rsidR="00DB1AEE" w:rsidRPr="00DB1AEE" w:rsidRDefault="00DB1AEE" w:rsidP="00DB1AEE">
            <w:pPr>
              <w:suppressAutoHyphens/>
              <w:jc w:val="left"/>
              <w:rPr>
                <w:sz w:val="18"/>
                <w:szCs w:val="18"/>
                <w:u w:val="single"/>
              </w:rPr>
            </w:pPr>
            <w:r w:rsidRPr="00DB1AEE">
              <w:rPr>
                <w:sz w:val="18"/>
                <w:szCs w:val="18"/>
                <w:u w:val="single"/>
              </w:rPr>
              <w:t>Recreation room/common living room (used primarily by residents)</w:t>
            </w:r>
          </w:p>
        </w:tc>
        <w:tc>
          <w:tcPr>
            <w:tcW w:w="429" w:type="pct"/>
            <w:gridSpan w:val="2"/>
            <w:tcBorders>
              <w:top w:val="nil"/>
              <w:left w:val="nil"/>
              <w:bottom w:val="single" w:sz="4" w:space="0" w:color="auto"/>
              <w:right w:val="single" w:sz="4" w:space="0" w:color="auto"/>
            </w:tcBorders>
            <w:noWrap/>
            <w:hideMark/>
          </w:tcPr>
          <w:p w14:paraId="66726044" w14:textId="77777777" w:rsidR="00DB1AEE" w:rsidRPr="00DB1AEE" w:rsidRDefault="00DB1AEE" w:rsidP="00DB1AEE">
            <w:pPr>
              <w:suppressAutoHyphens/>
              <w:ind w:firstLineChars="100" w:firstLine="180"/>
              <w:jc w:val="right"/>
              <w:rPr>
                <w:sz w:val="18"/>
                <w:szCs w:val="18"/>
                <w:u w:val="single"/>
              </w:rPr>
            </w:pPr>
            <w:r w:rsidRPr="00DB1AEE">
              <w:rPr>
                <w:sz w:val="18"/>
                <w:szCs w:val="18"/>
                <w:u w:val="single"/>
              </w:rPr>
              <w:t>1.2</w:t>
            </w:r>
          </w:p>
        </w:tc>
        <w:tc>
          <w:tcPr>
            <w:tcW w:w="330" w:type="pct"/>
            <w:tcBorders>
              <w:top w:val="nil"/>
              <w:left w:val="nil"/>
              <w:bottom w:val="single" w:sz="4" w:space="0" w:color="auto"/>
              <w:right w:val="single" w:sz="4" w:space="0" w:color="auto"/>
            </w:tcBorders>
            <w:noWrap/>
            <w:hideMark/>
          </w:tcPr>
          <w:p w14:paraId="4CE4091D" w14:textId="77777777" w:rsidR="00DB1AEE" w:rsidRPr="00DB1AEE" w:rsidRDefault="00DB1AEE" w:rsidP="00DB1AEE">
            <w:pPr>
              <w:suppressAutoHyphens/>
              <w:jc w:val="center"/>
              <w:rPr>
                <w:sz w:val="18"/>
                <w:szCs w:val="18"/>
                <w:u w:val="single"/>
              </w:rPr>
            </w:pPr>
            <w:r w:rsidRPr="00DB1AEE">
              <w:rPr>
                <w:sz w:val="18"/>
                <w:szCs w:val="18"/>
                <w:u w:val="single"/>
              </w:rPr>
              <w:t>6</w:t>
            </w:r>
          </w:p>
        </w:tc>
        <w:tc>
          <w:tcPr>
            <w:tcW w:w="361" w:type="pct"/>
            <w:gridSpan w:val="2"/>
            <w:tcBorders>
              <w:top w:val="nil"/>
              <w:left w:val="nil"/>
              <w:bottom w:val="single" w:sz="4" w:space="0" w:color="auto"/>
              <w:right w:val="single" w:sz="4" w:space="0" w:color="auto"/>
            </w:tcBorders>
            <w:hideMark/>
          </w:tcPr>
          <w:p w14:paraId="633E7367"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63" w:type="pct"/>
            <w:gridSpan w:val="3"/>
            <w:tcBorders>
              <w:top w:val="nil"/>
              <w:left w:val="nil"/>
              <w:bottom w:val="single" w:sz="4" w:space="0" w:color="auto"/>
              <w:right w:val="single" w:sz="4" w:space="0" w:color="auto"/>
            </w:tcBorders>
            <w:hideMark/>
          </w:tcPr>
          <w:p w14:paraId="6DDE1666" w14:textId="77777777" w:rsidR="00DB1AEE" w:rsidRPr="00DB1AEE" w:rsidRDefault="00DB1AEE" w:rsidP="00DB1AEE">
            <w:pPr>
              <w:suppressAutoHyphens/>
              <w:jc w:val="left"/>
              <w:rPr>
                <w:sz w:val="18"/>
                <w:szCs w:val="18"/>
                <w:u w:val="single"/>
              </w:rPr>
            </w:pPr>
            <w:r w:rsidRPr="00DB1AEE">
              <w:rPr>
                <w:sz w:val="18"/>
                <w:szCs w:val="18"/>
                <w:u w:val="single"/>
              </w:rPr>
              <w:t>ADD1</w:t>
            </w:r>
          </w:p>
        </w:tc>
        <w:tc>
          <w:tcPr>
            <w:tcW w:w="330" w:type="pct"/>
            <w:tcBorders>
              <w:top w:val="nil"/>
              <w:left w:val="nil"/>
              <w:bottom w:val="single" w:sz="4" w:space="0" w:color="auto"/>
              <w:right w:val="single" w:sz="4" w:space="0" w:color="auto"/>
            </w:tcBorders>
            <w:hideMark/>
          </w:tcPr>
          <w:p w14:paraId="7C0E3B0A"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364" w:type="pct"/>
            <w:gridSpan w:val="2"/>
            <w:tcBorders>
              <w:top w:val="nil"/>
              <w:left w:val="nil"/>
              <w:bottom w:val="single" w:sz="4" w:space="0" w:color="auto"/>
              <w:right w:val="single" w:sz="4" w:space="0" w:color="auto"/>
            </w:tcBorders>
            <w:hideMark/>
          </w:tcPr>
          <w:p w14:paraId="48FBF5BA" w14:textId="77777777" w:rsidR="00DB1AEE" w:rsidRPr="00DB1AEE" w:rsidRDefault="00DB1AEE" w:rsidP="00DB1AEE">
            <w:pPr>
              <w:suppressAutoHyphens/>
              <w:jc w:val="left"/>
              <w:rPr>
                <w:sz w:val="18"/>
                <w:szCs w:val="18"/>
                <w:u w:val="single"/>
              </w:rPr>
            </w:pPr>
            <w:r w:rsidRPr="00DB1AEE">
              <w:rPr>
                <w:sz w:val="18"/>
                <w:szCs w:val="18"/>
                <w:u w:val="single"/>
              </w:rPr>
              <w:t>REQ</w:t>
            </w:r>
          </w:p>
        </w:tc>
        <w:tc>
          <w:tcPr>
            <w:tcW w:w="427" w:type="pct"/>
            <w:gridSpan w:val="3"/>
            <w:tcBorders>
              <w:top w:val="nil"/>
              <w:left w:val="nil"/>
              <w:bottom w:val="single" w:sz="4" w:space="0" w:color="auto"/>
              <w:right w:val="single" w:sz="4" w:space="0" w:color="auto"/>
            </w:tcBorders>
            <w:hideMark/>
          </w:tcPr>
          <w:p w14:paraId="050ECD98"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97" w:type="pct"/>
            <w:tcBorders>
              <w:top w:val="nil"/>
              <w:left w:val="nil"/>
              <w:bottom w:val="single" w:sz="4" w:space="0" w:color="auto"/>
              <w:right w:val="single" w:sz="4" w:space="0" w:color="auto"/>
            </w:tcBorders>
            <w:hideMark/>
          </w:tcPr>
          <w:p w14:paraId="23F1FEB6"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63" w:type="pct"/>
            <w:tcBorders>
              <w:top w:val="nil"/>
              <w:left w:val="nil"/>
              <w:bottom w:val="single" w:sz="4" w:space="0" w:color="auto"/>
              <w:right w:val="single" w:sz="4" w:space="0" w:color="auto"/>
            </w:tcBorders>
            <w:vAlign w:val="center"/>
            <w:hideMark/>
          </w:tcPr>
          <w:p w14:paraId="15C55254"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418" w:type="pct"/>
            <w:gridSpan w:val="3"/>
            <w:tcBorders>
              <w:top w:val="nil"/>
              <w:left w:val="nil"/>
              <w:bottom w:val="single" w:sz="4" w:space="0" w:color="auto"/>
              <w:right w:val="single" w:sz="4" w:space="0" w:color="auto"/>
            </w:tcBorders>
            <w:hideMark/>
          </w:tcPr>
          <w:p w14:paraId="4DF41B8F" w14:textId="77777777" w:rsidR="00DB1AEE" w:rsidRPr="00DB1AEE" w:rsidRDefault="00DB1AEE" w:rsidP="00DB1AEE">
            <w:pPr>
              <w:suppressAutoHyphens/>
              <w:jc w:val="left"/>
              <w:rPr>
                <w:sz w:val="18"/>
                <w:szCs w:val="18"/>
                <w:u w:val="single"/>
              </w:rPr>
            </w:pPr>
            <w:r w:rsidRPr="00DB1AEE">
              <w:rPr>
                <w:sz w:val="18"/>
                <w:szCs w:val="18"/>
                <w:u w:val="single"/>
              </w:rPr>
              <w:t>ADD2</w:t>
            </w:r>
          </w:p>
        </w:tc>
        <w:tc>
          <w:tcPr>
            <w:tcW w:w="323" w:type="pct"/>
            <w:tcBorders>
              <w:top w:val="nil"/>
              <w:left w:val="nil"/>
              <w:bottom w:val="single" w:sz="4" w:space="0" w:color="auto"/>
              <w:right w:val="single" w:sz="4" w:space="0" w:color="auto"/>
            </w:tcBorders>
            <w:hideMark/>
          </w:tcPr>
          <w:p w14:paraId="28D21BE3" w14:textId="77777777" w:rsidR="00DB1AEE" w:rsidRPr="00DB1AEE" w:rsidRDefault="00DB1AEE" w:rsidP="00DB1AEE">
            <w:pPr>
              <w:suppressAutoHyphens/>
              <w:jc w:val="left"/>
              <w:rPr>
                <w:sz w:val="18"/>
                <w:szCs w:val="18"/>
                <w:u w:val="single"/>
              </w:rPr>
            </w:pPr>
            <w:r w:rsidRPr="00DB1AEE">
              <w:rPr>
                <w:sz w:val="18"/>
                <w:szCs w:val="18"/>
                <w:u w:val="single"/>
              </w:rPr>
              <w:t>ADD2</w:t>
            </w:r>
          </w:p>
        </w:tc>
      </w:tr>
      <w:tr w:rsidR="00DB1AEE" w:rsidRPr="00DB1AEE" w14:paraId="5BCCFF1C" w14:textId="77777777" w:rsidTr="00FC1832">
        <w:trPr>
          <w:trHeight w:val="300"/>
        </w:trPr>
        <w:tc>
          <w:tcPr>
            <w:tcW w:w="896" w:type="pct"/>
            <w:tcBorders>
              <w:top w:val="nil"/>
              <w:left w:val="single" w:sz="4" w:space="0" w:color="auto"/>
              <w:bottom w:val="single" w:sz="4" w:space="0" w:color="auto"/>
              <w:right w:val="single" w:sz="4" w:space="0" w:color="auto"/>
            </w:tcBorders>
            <w:hideMark/>
          </w:tcPr>
          <w:p w14:paraId="3B05B40B" w14:textId="77777777" w:rsidR="00DB1AEE" w:rsidRPr="00DB1AEE" w:rsidRDefault="00DB1AEE" w:rsidP="00DB1AEE">
            <w:pPr>
              <w:suppressAutoHyphens/>
              <w:jc w:val="left"/>
              <w:rPr>
                <w:sz w:val="18"/>
                <w:szCs w:val="18"/>
                <w:u w:val="single"/>
              </w:rPr>
            </w:pPr>
            <w:r w:rsidRPr="00DB1AEE">
              <w:rPr>
                <w:sz w:val="18"/>
                <w:szCs w:val="18"/>
                <w:u w:val="single"/>
              </w:rPr>
              <w:t>Restroom (used primarily by residents)</w:t>
            </w:r>
          </w:p>
        </w:tc>
        <w:tc>
          <w:tcPr>
            <w:tcW w:w="429" w:type="pct"/>
            <w:gridSpan w:val="2"/>
            <w:tcBorders>
              <w:top w:val="nil"/>
              <w:left w:val="nil"/>
              <w:bottom w:val="single" w:sz="4" w:space="0" w:color="auto"/>
              <w:right w:val="single" w:sz="4" w:space="0" w:color="auto"/>
            </w:tcBorders>
            <w:noWrap/>
            <w:hideMark/>
          </w:tcPr>
          <w:p w14:paraId="64D8CB55" w14:textId="77777777" w:rsidR="00DB1AEE" w:rsidRPr="00DB1AEE" w:rsidRDefault="00DB1AEE" w:rsidP="00DB1AEE">
            <w:pPr>
              <w:suppressAutoHyphens/>
              <w:jc w:val="left"/>
              <w:rPr>
                <w:sz w:val="18"/>
                <w:szCs w:val="18"/>
                <w:u w:val="single"/>
              </w:rPr>
            </w:pPr>
            <w:r w:rsidRPr="00DB1AEE">
              <w:rPr>
                <w:sz w:val="18"/>
                <w:szCs w:val="18"/>
                <w:u w:val="single"/>
              </w:rPr>
              <w:t> </w:t>
            </w:r>
          </w:p>
          <w:p w14:paraId="6BFD64B4" w14:textId="77777777" w:rsidR="00DB1AEE" w:rsidRPr="00DB1AEE" w:rsidRDefault="00DB1AEE" w:rsidP="00DB1AEE">
            <w:pPr>
              <w:suppressAutoHyphens/>
              <w:ind w:firstLineChars="100" w:firstLine="180"/>
              <w:jc w:val="right"/>
              <w:rPr>
                <w:sz w:val="18"/>
                <w:szCs w:val="18"/>
                <w:u w:val="single"/>
              </w:rPr>
            </w:pPr>
            <w:r w:rsidRPr="00DB1AEE">
              <w:rPr>
                <w:sz w:val="18"/>
                <w:szCs w:val="18"/>
                <w:u w:val="single"/>
              </w:rPr>
              <w:t>0.96</w:t>
            </w:r>
          </w:p>
        </w:tc>
        <w:tc>
          <w:tcPr>
            <w:tcW w:w="330" w:type="pct"/>
            <w:tcBorders>
              <w:top w:val="nil"/>
              <w:left w:val="single" w:sz="4" w:space="0" w:color="auto"/>
              <w:bottom w:val="single" w:sz="4" w:space="0" w:color="auto"/>
              <w:right w:val="single" w:sz="4" w:space="0" w:color="auto"/>
            </w:tcBorders>
            <w:noWrap/>
            <w:hideMark/>
          </w:tcPr>
          <w:p w14:paraId="730D2BA6" w14:textId="77777777" w:rsidR="00DB1AEE" w:rsidRPr="00DB1AEE" w:rsidRDefault="00DB1AEE" w:rsidP="00DB1AEE">
            <w:pPr>
              <w:suppressAutoHyphens/>
              <w:jc w:val="center"/>
              <w:rPr>
                <w:sz w:val="18"/>
                <w:szCs w:val="18"/>
                <w:u w:val="single"/>
              </w:rPr>
            </w:pPr>
            <w:r w:rsidRPr="00DB1AEE">
              <w:rPr>
                <w:sz w:val="18"/>
                <w:szCs w:val="18"/>
                <w:u w:val="single"/>
              </w:rPr>
              <w:t>8</w:t>
            </w:r>
          </w:p>
        </w:tc>
        <w:tc>
          <w:tcPr>
            <w:tcW w:w="361" w:type="pct"/>
            <w:gridSpan w:val="2"/>
            <w:tcBorders>
              <w:top w:val="nil"/>
              <w:left w:val="nil"/>
              <w:bottom w:val="single" w:sz="4" w:space="0" w:color="auto"/>
              <w:right w:val="nil"/>
            </w:tcBorders>
            <w:hideMark/>
          </w:tcPr>
          <w:p w14:paraId="5B506CA0" w14:textId="77777777" w:rsidR="00DB1AEE" w:rsidRPr="00DB1AEE" w:rsidRDefault="00DB1AEE" w:rsidP="00DB1AEE">
            <w:pPr>
              <w:suppressAutoHyphens/>
              <w:jc w:val="center"/>
              <w:rPr>
                <w:sz w:val="18"/>
                <w:szCs w:val="18"/>
                <w:u w:val="single"/>
              </w:rPr>
            </w:pPr>
            <w:r w:rsidRPr="00DB1AEE">
              <w:rPr>
                <w:sz w:val="18"/>
                <w:szCs w:val="18"/>
                <w:u w:val="single"/>
              </w:rPr>
              <w:t> </w:t>
            </w:r>
          </w:p>
        </w:tc>
        <w:tc>
          <w:tcPr>
            <w:tcW w:w="363" w:type="pct"/>
            <w:gridSpan w:val="3"/>
            <w:tcBorders>
              <w:top w:val="nil"/>
              <w:left w:val="nil"/>
              <w:bottom w:val="single" w:sz="4" w:space="0" w:color="auto"/>
              <w:right w:val="nil"/>
            </w:tcBorders>
            <w:hideMark/>
          </w:tcPr>
          <w:p w14:paraId="37641090"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330" w:type="pct"/>
            <w:tcBorders>
              <w:top w:val="nil"/>
              <w:left w:val="nil"/>
              <w:bottom w:val="single" w:sz="4" w:space="0" w:color="auto"/>
              <w:right w:val="nil"/>
            </w:tcBorders>
            <w:hideMark/>
          </w:tcPr>
          <w:p w14:paraId="14DC475F" w14:textId="77777777" w:rsidR="00DB1AEE" w:rsidRPr="00DB1AEE" w:rsidRDefault="00DB1AEE" w:rsidP="00DB1AEE">
            <w:pPr>
              <w:suppressAutoHyphens/>
              <w:jc w:val="center"/>
              <w:rPr>
                <w:sz w:val="18"/>
                <w:szCs w:val="18"/>
                <w:u w:val="single"/>
              </w:rPr>
            </w:pPr>
            <w:r w:rsidRPr="00DB1AEE">
              <w:rPr>
                <w:sz w:val="18"/>
                <w:szCs w:val="18"/>
                <w:u w:val="single"/>
              </w:rPr>
              <w:t> </w:t>
            </w:r>
          </w:p>
        </w:tc>
        <w:tc>
          <w:tcPr>
            <w:tcW w:w="364" w:type="pct"/>
            <w:gridSpan w:val="2"/>
            <w:tcBorders>
              <w:top w:val="nil"/>
              <w:left w:val="nil"/>
              <w:bottom w:val="single" w:sz="4" w:space="0" w:color="auto"/>
              <w:right w:val="nil"/>
            </w:tcBorders>
            <w:hideMark/>
          </w:tcPr>
          <w:p w14:paraId="61AABFEE"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427" w:type="pct"/>
            <w:gridSpan w:val="3"/>
            <w:tcBorders>
              <w:top w:val="nil"/>
              <w:left w:val="single" w:sz="4" w:space="0" w:color="auto"/>
              <w:bottom w:val="single" w:sz="4" w:space="0" w:color="auto"/>
              <w:right w:val="single" w:sz="4" w:space="0" w:color="auto"/>
            </w:tcBorders>
            <w:hideMark/>
          </w:tcPr>
          <w:p w14:paraId="6E92050B"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97" w:type="pct"/>
            <w:tcBorders>
              <w:top w:val="nil"/>
              <w:left w:val="nil"/>
              <w:bottom w:val="single" w:sz="4" w:space="0" w:color="auto"/>
              <w:right w:val="single" w:sz="4" w:space="0" w:color="auto"/>
            </w:tcBorders>
            <w:hideMark/>
          </w:tcPr>
          <w:p w14:paraId="72D8734D"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63" w:type="pct"/>
            <w:tcBorders>
              <w:top w:val="nil"/>
              <w:left w:val="nil"/>
              <w:bottom w:val="single" w:sz="4" w:space="0" w:color="auto"/>
              <w:right w:val="nil"/>
            </w:tcBorders>
            <w:vAlign w:val="center"/>
            <w:hideMark/>
          </w:tcPr>
          <w:p w14:paraId="74CC37FF"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418" w:type="pct"/>
            <w:gridSpan w:val="3"/>
            <w:tcBorders>
              <w:top w:val="nil"/>
              <w:left w:val="single" w:sz="4" w:space="0" w:color="auto"/>
              <w:bottom w:val="single" w:sz="4" w:space="0" w:color="auto"/>
              <w:right w:val="single" w:sz="4" w:space="0" w:color="auto"/>
            </w:tcBorders>
            <w:hideMark/>
          </w:tcPr>
          <w:p w14:paraId="598D288C"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23" w:type="pct"/>
            <w:tcBorders>
              <w:top w:val="nil"/>
              <w:left w:val="nil"/>
              <w:bottom w:val="single" w:sz="4" w:space="0" w:color="auto"/>
              <w:right w:val="single" w:sz="4" w:space="0" w:color="auto"/>
            </w:tcBorders>
            <w:hideMark/>
          </w:tcPr>
          <w:p w14:paraId="175966E4" w14:textId="77777777" w:rsidR="00DB1AEE" w:rsidRPr="00DB1AEE" w:rsidRDefault="00DB1AEE" w:rsidP="00DB1AEE">
            <w:pPr>
              <w:suppressAutoHyphens/>
              <w:jc w:val="left"/>
              <w:rPr>
                <w:sz w:val="18"/>
                <w:szCs w:val="18"/>
                <w:u w:val="single"/>
              </w:rPr>
            </w:pPr>
            <w:r w:rsidRPr="00DB1AEE">
              <w:rPr>
                <w:sz w:val="18"/>
                <w:szCs w:val="18"/>
                <w:u w:val="single"/>
              </w:rPr>
              <w:t> </w:t>
            </w:r>
          </w:p>
        </w:tc>
      </w:tr>
      <w:tr w:rsidR="00DB1AEE" w:rsidRPr="00DB1AEE" w14:paraId="64337858" w14:textId="77777777" w:rsidTr="00FC1832">
        <w:trPr>
          <w:trHeight w:val="300"/>
        </w:trPr>
        <w:tc>
          <w:tcPr>
            <w:tcW w:w="896" w:type="pct"/>
            <w:tcBorders>
              <w:top w:val="nil"/>
              <w:left w:val="single" w:sz="4" w:space="0" w:color="auto"/>
              <w:bottom w:val="single" w:sz="4" w:space="0" w:color="auto"/>
              <w:right w:val="single" w:sz="4" w:space="0" w:color="auto"/>
            </w:tcBorders>
            <w:hideMark/>
          </w:tcPr>
          <w:p w14:paraId="6263BD8C" w14:textId="77777777" w:rsidR="00DB1AEE" w:rsidRPr="00DB1AEE" w:rsidRDefault="00DB1AEE" w:rsidP="00DB1AEE">
            <w:pPr>
              <w:suppressAutoHyphens/>
              <w:jc w:val="left"/>
              <w:rPr>
                <w:sz w:val="18"/>
                <w:szCs w:val="18"/>
                <w:u w:val="single"/>
              </w:rPr>
            </w:pPr>
            <w:r w:rsidRPr="00DB1AEE">
              <w:rPr>
                <w:sz w:val="18"/>
                <w:szCs w:val="18"/>
                <w:u w:val="single"/>
              </w:rPr>
              <w:t>Fire Station—Sleeping Quarters</w:t>
            </w:r>
          </w:p>
        </w:tc>
        <w:tc>
          <w:tcPr>
            <w:tcW w:w="429" w:type="pct"/>
            <w:gridSpan w:val="2"/>
            <w:tcBorders>
              <w:top w:val="nil"/>
              <w:left w:val="nil"/>
              <w:bottom w:val="single" w:sz="4" w:space="0" w:color="auto"/>
              <w:right w:val="single" w:sz="4" w:space="0" w:color="auto"/>
            </w:tcBorders>
            <w:noWrap/>
            <w:hideMark/>
          </w:tcPr>
          <w:p w14:paraId="276B7EAD" w14:textId="77777777" w:rsidR="00DB1AEE" w:rsidRPr="00DB1AEE" w:rsidRDefault="00DB1AEE" w:rsidP="00DB1AEE">
            <w:pPr>
              <w:suppressAutoHyphens/>
              <w:ind w:firstLineChars="100" w:firstLine="180"/>
              <w:jc w:val="right"/>
              <w:rPr>
                <w:strike/>
                <w:sz w:val="18"/>
                <w:szCs w:val="18"/>
                <w:u w:val="single"/>
              </w:rPr>
            </w:pPr>
            <w:r w:rsidRPr="00DB1AEE">
              <w:rPr>
                <w:sz w:val="18"/>
                <w:szCs w:val="18"/>
                <w:u w:val="single"/>
              </w:rPr>
              <w:t>0.19</w:t>
            </w:r>
          </w:p>
        </w:tc>
        <w:tc>
          <w:tcPr>
            <w:tcW w:w="330" w:type="pct"/>
            <w:tcBorders>
              <w:top w:val="nil"/>
              <w:left w:val="nil"/>
              <w:bottom w:val="single" w:sz="4" w:space="0" w:color="auto"/>
              <w:right w:val="single" w:sz="4" w:space="0" w:color="auto"/>
            </w:tcBorders>
            <w:noWrap/>
            <w:hideMark/>
          </w:tcPr>
          <w:p w14:paraId="61E76C04" w14:textId="77777777" w:rsidR="00DB1AEE" w:rsidRPr="00DB1AEE" w:rsidRDefault="00DB1AEE" w:rsidP="00DB1AEE">
            <w:pPr>
              <w:suppressAutoHyphens/>
              <w:jc w:val="center"/>
              <w:rPr>
                <w:sz w:val="18"/>
                <w:szCs w:val="18"/>
                <w:u w:val="single"/>
              </w:rPr>
            </w:pPr>
            <w:r w:rsidRPr="00DB1AEE">
              <w:rPr>
                <w:sz w:val="18"/>
                <w:szCs w:val="18"/>
                <w:u w:val="single"/>
              </w:rPr>
              <w:t>6</w:t>
            </w:r>
          </w:p>
        </w:tc>
        <w:tc>
          <w:tcPr>
            <w:tcW w:w="361" w:type="pct"/>
            <w:gridSpan w:val="2"/>
            <w:tcBorders>
              <w:top w:val="nil"/>
              <w:left w:val="nil"/>
              <w:bottom w:val="single" w:sz="4" w:space="0" w:color="auto"/>
              <w:right w:val="single" w:sz="4" w:space="0" w:color="auto"/>
            </w:tcBorders>
            <w:hideMark/>
          </w:tcPr>
          <w:p w14:paraId="0627C600"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63" w:type="pct"/>
            <w:gridSpan w:val="3"/>
            <w:tcBorders>
              <w:top w:val="nil"/>
              <w:left w:val="nil"/>
              <w:bottom w:val="single" w:sz="4" w:space="0" w:color="auto"/>
              <w:right w:val="single" w:sz="4" w:space="0" w:color="auto"/>
            </w:tcBorders>
            <w:vAlign w:val="bottom"/>
            <w:hideMark/>
          </w:tcPr>
          <w:p w14:paraId="3EE39ABC"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330" w:type="pct"/>
            <w:tcBorders>
              <w:top w:val="nil"/>
              <w:left w:val="nil"/>
              <w:bottom w:val="single" w:sz="4" w:space="0" w:color="auto"/>
              <w:right w:val="single" w:sz="4" w:space="0" w:color="auto"/>
            </w:tcBorders>
            <w:vAlign w:val="bottom"/>
            <w:hideMark/>
          </w:tcPr>
          <w:p w14:paraId="3CB3E2A2" w14:textId="77777777" w:rsidR="00DB1AEE" w:rsidRPr="00DB1AEE" w:rsidRDefault="00DB1AEE" w:rsidP="00DB1AEE">
            <w:pPr>
              <w:suppressAutoHyphens/>
              <w:jc w:val="center"/>
              <w:rPr>
                <w:sz w:val="18"/>
                <w:szCs w:val="18"/>
                <w:u w:val="single"/>
              </w:rPr>
            </w:pPr>
            <w:r w:rsidRPr="00DB1AEE">
              <w:rPr>
                <w:sz w:val="18"/>
                <w:szCs w:val="18"/>
                <w:u w:val="single"/>
              </w:rPr>
              <w:t> </w:t>
            </w:r>
          </w:p>
        </w:tc>
        <w:tc>
          <w:tcPr>
            <w:tcW w:w="364" w:type="pct"/>
            <w:gridSpan w:val="2"/>
            <w:tcBorders>
              <w:top w:val="nil"/>
              <w:left w:val="nil"/>
              <w:bottom w:val="single" w:sz="4" w:space="0" w:color="auto"/>
              <w:right w:val="single" w:sz="4" w:space="0" w:color="auto"/>
            </w:tcBorders>
            <w:vAlign w:val="bottom"/>
            <w:hideMark/>
          </w:tcPr>
          <w:p w14:paraId="5C0A2D80"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427" w:type="pct"/>
            <w:gridSpan w:val="3"/>
            <w:tcBorders>
              <w:top w:val="nil"/>
              <w:left w:val="nil"/>
              <w:bottom w:val="single" w:sz="4" w:space="0" w:color="auto"/>
              <w:right w:val="single" w:sz="4" w:space="0" w:color="auto"/>
            </w:tcBorders>
            <w:vAlign w:val="bottom"/>
            <w:hideMark/>
          </w:tcPr>
          <w:p w14:paraId="0D8080BD" w14:textId="77777777" w:rsidR="00DB1AEE" w:rsidRPr="00DB1AEE" w:rsidRDefault="00DB1AEE" w:rsidP="00DB1AEE">
            <w:pPr>
              <w:suppressAutoHyphens/>
              <w:jc w:val="center"/>
              <w:rPr>
                <w:sz w:val="18"/>
                <w:szCs w:val="18"/>
                <w:u w:val="single"/>
              </w:rPr>
            </w:pPr>
            <w:r w:rsidRPr="00DB1AEE">
              <w:rPr>
                <w:sz w:val="18"/>
                <w:szCs w:val="18"/>
                <w:u w:val="single"/>
              </w:rPr>
              <w:t> </w:t>
            </w:r>
          </w:p>
        </w:tc>
        <w:tc>
          <w:tcPr>
            <w:tcW w:w="397" w:type="pct"/>
            <w:tcBorders>
              <w:top w:val="nil"/>
              <w:left w:val="nil"/>
              <w:bottom w:val="single" w:sz="4" w:space="0" w:color="auto"/>
              <w:right w:val="single" w:sz="4" w:space="0" w:color="auto"/>
            </w:tcBorders>
            <w:vAlign w:val="bottom"/>
            <w:hideMark/>
          </w:tcPr>
          <w:p w14:paraId="15D78218" w14:textId="77777777" w:rsidR="00DB1AEE" w:rsidRPr="00DB1AEE" w:rsidRDefault="00DB1AEE" w:rsidP="00DB1AEE">
            <w:pPr>
              <w:suppressAutoHyphens/>
              <w:jc w:val="center"/>
              <w:rPr>
                <w:sz w:val="18"/>
                <w:szCs w:val="18"/>
                <w:u w:val="single"/>
              </w:rPr>
            </w:pPr>
            <w:r w:rsidRPr="00DB1AEE">
              <w:rPr>
                <w:sz w:val="18"/>
                <w:szCs w:val="18"/>
                <w:u w:val="single"/>
              </w:rPr>
              <w:t> </w:t>
            </w:r>
          </w:p>
        </w:tc>
        <w:tc>
          <w:tcPr>
            <w:tcW w:w="363" w:type="pct"/>
            <w:tcBorders>
              <w:top w:val="nil"/>
              <w:left w:val="nil"/>
              <w:bottom w:val="single" w:sz="4" w:space="0" w:color="auto"/>
              <w:right w:val="single" w:sz="4" w:space="0" w:color="auto"/>
            </w:tcBorders>
            <w:vAlign w:val="bottom"/>
            <w:hideMark/>
          </w:tcPr>
          <w:p w14:paraId="07A68560"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418" w:type="pct"/>
            <w:gridSpan w:val="3"/>
            <w:tcBorders>
              <w:top w:val="nil"/>
              <w:left w:val="nil"/>
              <w:bottom w:val="single" w:sz="4" w:space="0" w:color="auto"/>
              <w:right w:val="single" w:sz="4" w:space="0" w:color="auto"/>
            </w:tcBorders>
            <w:vAlign w:val="bottom"/>
            <w:hideMark/>
          </w:tcPr>
          <w:p w14:paraId="1A575F43"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323" w:type="pct"/>
            <w:tcBorders>
              <w:top w:val="nil"/>
              <w:left w:val="nil"/>
              <w:bottom w:val="single" w:sz="4" w:space="0" w:color="auto"/>
              <w:right w:val="single" w:sz="4" w:space="0" w:color="auto"/>
            </w:tcBorders>
            <w:vAlign w:val="bottom"/>
            <w:hideMark/>
          </w:tcPr>
          <w:p w14:paraId="24EE4756" w14:textId="77777777" w:rsidR="00DB1AEE" w:rsidRPr="00DB1AEE" w:rsidRDefault="00DB1AEE" w:rsidP="00DB1AEE">
            <w:pPr>
              <w:suppressAutoHyphens/>
              <w:jc w:val="left"/>
              <w:rPr>
                <w:sz w:val="18"/>
                <w:szCs w:val="18"/>
                <w:u w:val="single"/>
              </w:rPr>
            </w:pPr>
            <w:r w:rsidRPr="00DB1AEE">
              <w:rPr>
                <w:sz w:val="18"/>
                <w:szCs w:val="18"/>
                <w:u w:val="single"/>
              </w:rPr>
              <w:t> </w:t>
            </w:r>
          </w:p>
        </w:tc>
      </w:tr>
      <w:tr w:rsidR="00DB1AEE" w:rsidRPr="00DB1AEE" w14:paraId="7690861C" w14:textId="77777777" w:rsidTr="00FC1832">
        <w:trPr>
          <w:trHeight w:val="300"/>
        </w:trPr>
        <w:tc>
          <w:tcPr>
            <w:tcW w:w="896" w:type="pct"/>
            <w:tcBorders>
              <w:top w:val="nil"/>
              <w:left w:val="single" w:sz="4" w:space="0" w:color="auto"/>
              <w:bottom w:val="single" w:sz="4" w:space="0" w:color="auto"/>
              <w:right w:val="nil"/>
            </w:tcBorders>
            <w:hideMark/>
          </w:tcPr>
          <w:p w14:paraId="259CBA76" w14:textId="77777777" w:rsidR="00DB1AEE" w:rsidRPr="00DB1AEE" w:rsidRDefault="00DB1AEE" w:rsidP="00DB1AEE">
            <w:pPr>
              <w:suppressAutoHyphens/>
              <w:jc w:val="left"/>
              <w:rPr>
                <w:sz w:val="18"/>
                <w:szCs w:val="18"/>
                <w:u w:val="single"/>
              </w:rPr>
            </w:pPr>
            <w:r w:rsidRPr="00DB1AEE">
              <w:rPr>
                <w:sz w:val="18"/>
                <w:szCs w:val="18"/>
                <w:u w:val="single"/>
              </w:rPr>
              <w:t>Gymnasium/Fitness Center</w:t>
            </w:r>
          </w:p>
        </w:tc>
        <w:tc>
          <w:tcPr>
            <w:tcW w:w="429" w:type="pct"/>
            <w:gridSpan w:val="2"/>
            <w:tcBorders>
              <w:top w:val="nil"/>
              <w:left w:val="nil"/>
              <w:bottom w:val="single" w:sz="4" w:space="0" w:color="auto"/>
              <w:right w:val="single" w:sz="4" w:space="0" w:color="auto"/>
            </w:tcBorders>
            <w:hideMark/>
          </w:tcPr>
          <w:p w14:paraId="08AA0954" w14:textId="77777777" w:rsidR="00DB1AEE" w:rsidRPr="00DB1AEE" w:rsidRDefault="00DB1AEE" w:rsidP="00DB1AEE">
            <w:pPr>
              <w:suppressAutoHyphens/>
              <w:jc w:val="left"/>
              <w:rPr>
                <w:sz w:val="18"/>
                <w:szCs w:val="18"/>
                <w:u w:val="single"/>
              </w:rPr>
            </w:pPr>
            <w:r w:rsidRPr="00DB1AEE">
              <w:rPr>
                <w:sz w:val="18"/>
                <w:szCs w:val="18"/>
                <w:u w:val="single"/>
              </w:rPr>
              <w:t> </w:t>
            </w:r>
          </w:p>
          <w:p w14:paraId="7E34816D"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330" w:type="pct"/>
            <w:tcBorders>
              <w:top w:val="nil"/>
              <w:left w:val="single" w:sz="4" w:space="0" w:color="auto"/>
              <w:bottom w:val="single" w:sz="4" w:space="0" w:color="auto"/>
              <w:right w:val="single" w:sz="4" w:space="0" w:color="auto"/>
            </w:tcBorders>
            <w:vAlign w:val="bottom"/>
            <w:hideMark/>
          </w:tcPr>
          <w:p w14:paraId="3F562F5B"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361" w:type="pct"/>
            <w:gridSpan w:val="2"/>
            <w:tcBorders>
              <w:top w:val="nil"/>
              <w:left w:val="nil"/>
              <w:bottom w:val="single" w:sz="4" w:space="0" w:color="auto"/>
              <w:right w:val="nil"/>
            </w:tcBorders>
            <w:hideMark/>
          </w:tcPr>
          <w:p w14:paraId="68637A2B" w14:textId="77777777" w:rsidR="00DB1AEE" w:rsidRPr="00DB1AEE" w:rsidRDefault="00DB1AEE" w:rsidP="00DB1AEE">
            <w:pPr>
              <w:suppressAutoHyphens/>
              <w:jc w:val="center"/>
              <w:rPr>
                <w:sz w:val="18"/>
                <w:szCs w:val="18"/>
                <w:u w:val="single"/>
              </w:rPr>
            </w:pPr>
            <w:r w:rsidRPr="00DB1AEE">
              <w:rPr>
                <w:sz w:val="18"/>
                <w:szCs w:val="18"/>
                <w:u w:val="single"/>
              </w:rPr>
              <w:t> </w:t>
            </w:r>
          </w:p>
        </w:tc>
        <w:tc>
          <w:tcPr>
            <w:tcW w:w="363" w:type="pct"/>
            <w:gridSpan w:val="3"/>
            <w:tcBorders>
              <w:top w:val="nil"/>
              <w:left w:val="nil"/>
              <w:bottom w:val="single" w:sz="4" w:space="0" w:color="auto"/>
              <w:right w:val="nil"/>
            </w:tcBorders>
            <w:hideMark/>
          </w:tcPr>
          <w:p w14:paraId="4B52A1BB"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330" w:type="pct"/>
            <w:tcBorders>
              <w:top w:val="nil"/>
              <w:left w:val="nil"/>
              <w:bottom w:val="single" w:sz="4" w:space="0" w:color="auto"/>
              <w:right w:val="nil"/>
            </w:tcBorders>
            <w:hideMark/>
          </w:tcPr>
          <w:p w14:paraId="3C13622B" w14:textId="77777777" w:rsidR="00DB1AEE" w:rsidRPr="00DB1AEE" w:rsidRDefault="00DB1AEE" w:rsidP="00DB1AEE">
            <w:pPr>
              <w:suppressAutoHyphens/>
              <w:jc w:val="center"/>
              <w:rPr>
                <w:sz w:val="18"/>
                <w:szCs w:val="18"/>
                <w:u w:val="single"/>
              </w:rPr>
            </w:pPr>
            <w:r w:rsidRPr="00DB1AEE">
              <w:rPr>
                <w:sz w:val="18"/>
                <w:szCs w:val="18"/>
                <w:u w:val="single"/>
              </w:rPr>
              <w:t> </w:t>
            </w:r>
          </w:p>
        </w:tc>
        <w:tc>
          <w:tcPr>
            <w:tcW w:w="364" w:type="pct"/>
            <w:gridSpan w:val="2"/>
            <w:tcBorders>
              <w:top w:val="nil"/>
              <w:left w:val="nil"/>
              <w:bottom w:val="single" w:sz="4" w:space="0" w:color="auto"/>
              <w:right w:val="nil"/>
            </w:tcBorders>
            <w:hideMark/>
          </w:tcPr>
          <w:p w14:paraId="4EA9E04A"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427" w:type="pct"/>
            <w:gridSpan w:val="3"/>
            <w:tcBorders>
              <w:top w:val="nil"/>
              <w:left w:val="nil"/>
              <w:bottom w:val="single" w:sz="4" w:space="0" w:color="auto"/>
              <w:right w:val="nil"/>
            </w:tcBorders>
            <w:hideMark/>
          </w:tcPr>
          <w:p w14:paraId="660E5A76" w14:textId="77777777" w:rsidR="00DB1AEE" w:rsidRPr="00DB1AEE" w:rsidRDefault="00DB1AEE" w:rsidP="00DB1AEE">
            <w:pPr>
              <w:suppressAutoHyphens/>
              <w:jc w:val="center"/>
              <w:rPr>
                <w:sz w:val="18"/>
                <w:szCs w:val="18"/>
                <w:u w:val="single"/>
              </w:rPr>
            </w:pPr>
            <w:r w:rsidRPr="00DB1AEE">
              <w:rPr>
                <w:sz w:val="18"/>
                <w:szCs w:val="18"/>
                <w:u w:val="single"/>
              </w:rPr>
              <w:t> </w:t>
            </w:r>
          </w:p>
        </w:tc>
        <w:tc>
          <w:tcPr>
            <w:tcW w:w="397" w:type="pct"/>
            <w:tcBorders>
              <w:top w:val="nil"/>
              <w:left w:val="nil"/>
              <w:bottom w:val="single" w:sz="4" w:space="0" w:color="auto"/>
              <w:right w:val="nil"/>
            </w:tcBorders>
            <w:hideMark/>
          </w:tcPr>
          <w:p w14:paraId="4FB14A11" w14:textId="77777777" w:rsidR="00DB1AEE" w:rsidRPr="00DB1AEE" w:rsidRDefault="00DB1AEE" w:rsidP="00DB1AEE">
            <w:pPr>
              <w:suppressAutoHyphens/>
              <w:jc w:val="center"/>
              <w:rPr>
                <w:sz w:val="18"/>
                <w:szCs w:val="18"/>
                <w:u w:val="single"/>
              </w:rPr>
            </w:pPr>
            <w:r w:rsidRPr="00DB1AEE">
              <w:rPr>
                <w:sz w:val="18"/>
                <w:szCs w:val="18"/>
                <w:u w:val="single"/>
              </w:rPr>
              <w:t> </w:t>
            </w:r>
          </w:p>
        </w:tc>
        <w:tc>
          <w:tcPr>
            <w:tcW w:w="363" w:type="pct"/>
            <w:tcBorders>
              <w:top w:val="nil"/>
              <w:left w:val="nil"/>
              <w:bottom w:val="single" w:sz="4" w:space="0" w:color="auto"/>
              <w:right w:val="nil"/>
            </w:tcBorders>
            <w:hideMark/>
          </w:tcPr>
          <w:p w14:paraId="5F7348EA"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418" w:type="pct"/>
            <w:gridSpan w:val="3"/>
            <w:tcBorders>
              <w:top w:val="nil"/>
              <w:left w:val="nil"/>
              <w:bottom w:val="single" w:sz="4" w:space="0" w:color="auto"/>
              <w:right w:val="nil"/>
            </w:tcBorders>
            <w:hideMark/>
          </w:tcPr>
          <w:p w14:paraId="64C11192"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323" w:type="pct"/>
            <w:tcBorders>
              <w:top w:val="nil"/>
              <w:left w:val="nil"/>
              <w:bottom w:val="single" w:sz="4" w:space="0" w:color="auto"/>
              <w:right w:val="single" w:sz="4" w:space="0" w:color="auto"/>
            </w:tcBorders>
            <w:hideMark/>
          </w:tcPr>
          <w:p w14:paraId="5DCC02B3" w14:textId="77777777" w:rsidR="00DB1AEE" w:rsidRPr="00DB1AEE" w:rsidRDefault="00DB1AEE" w:rsidP="00DB1AEE">
            <w:pPr>
              <w:suppressAutoHyphens/>
              <w:jc w:val="left"/>
              <w:rPr>
                <w:sz w:val="18"/>
                <w:szCs w:val="18"/>
                <w:u w:val="single"/>
              </w:rPr>
            </w:pPr>
            <w:r w:rsidRPr="00DB1AEE">
              <w:rPr>
                <w:sz w:val="18"/>
                <w:szCs w:val="18"/>
                <w:u w:val="single"/>
              </w:rPr>
              <w:t> </w:t>
            </w:r>
          </w:p>
        </w:tc>
      </w:tr>
      <w:tr w:rsidR="00DB1AEE" w:rsidRPr="00DB1AEE" w14:paraId="4E9E801B" w14:textId="77777777" w:rsidTr="00FC1832">
        <w:trPr>
          <w:trHeight w:val="300"/>
        </w:trPr>
        <w:tc>
          <w:tcPr>
            <w:tcW w:w="896" w:type="pct"/>
            <w:tcBorders>
              <w:top w:val="nil"/>
              <w:left w:val="single" w:sz="4" w:space="0" w:color="auto"/>
              <w:bottom w:val="single" w:sz="4" w:space="0" w:color="auto"/>
              <w:right w:val="single" w:sz="4" w:space="0" w:color="auto"/>
            </w:tcBorders>
            <w:hideMark/>
          </w:tcPr>
          <w:p w14:paraId="2175CE65" w14:textId="77777777" w:rsidR="00DB1AEE" w:rsidRPr="00DB1AEE" w:rsidRDefault="00DB1AEE" w:rsidP="00DB1AEE">
            <w:pPr>
              <w:suppressAutoHyphens/>
              <w:jc w:val="left"/>
              <w:rPr>
                <w:sz w:val="18"/>
                <w:szCs w:val="18"/>
                <w:u w:val="single"/>
              </w:rPr>
            </w:pPr>
            <w:r w:rsidRPr="00DB1AEE">
              <w:rPr>
                <w:sz w:val="18"/>
                <w:szCs w:val="18"/>
                <w:u w:val="single"/>
              </w:rPr>
              <w:t>Exercise area</w:t>
            </w:r>
          </w:p>
        </w:tc>
        <w:tc>
          <w:tcPr>
            <w:tcW w:w="429" w:type="pct"/>
            <w:gridSpan w:val="2"/>
            <w:tcBorders>
              <w:top w:val="nil"/>
              <w:left w:val="nil"/>
              <w:bottom w:val="single" w:sz="4" w:space="0" w:color="auto"/>
              <w:right w:val="single" w:sz="4" w:space="0" w:color="auto"/>
            </w:tcBorders>
            <w:noWrap/>
            <w:hideMark/>
          </w:tcPr>
          <w:p w14:paraId="3F7BB3A9" w14:textId="77777777" w:rsidR="00DB1AEE" w:rsidRPr="00DB1AEE" w:rsidRDefault="00DB1AEE" w:rsidP="00DB1AEE">
            <w:pPr>
              <w:suppressAutoHyphens/>
              <w:jc w:val="left"/>
              <w:rPr>
                <w:strike/>
                <w:sz w:val="18"/>
                <w:szCs w:val="18"/>
                <w:u w:val="single"/>
              </w:rPr>
            </w:pPr>
            <w:r w:rsidRPr="00DB1AEE">
              <w:rPr>
                <w:sz w:val="18"/>
                <w:szCs w:val="18"/>
                <w:u w:val="single"/>
              </w:rPr>
              <w:t>0.50</w:t>
            </w:r>
          </w:p>
        </w:tc>
        <w:tc>
          <w:tcPr>
            <w:tcW w:w="330" w:type="pct"/>
            <w:tcBorders>
              <w:top w:val="nil"/>
              <w:left w:val="nil"/>
              <w:bottom w:val="single" w:sz="4" w:space="0" w:color="auto"/>
              <w:right w:val="single" w:sz="4" w:space="0" w:color="auto"/>
            </w:tcBorders>
            <w:noWrap/>
            <w:hideMark/>
          </w:tcPr>
          <w:p w14:paraId="07A8325D" w14:textId="77777777" w:rsidR="00DB1AEE" w:rsidRPr="00DB1AEE" w:rsidRDefault="00DB1AEE" w:rsidP="00DB1AEE">
            <w:pPr>
              <w:suppressAutoHyphens/>
              <w:jc w:val="center"/>
              <w:rPr>
                <w:sz w:val="18"/>
                <w:szCs w:val="18"/>
                <w:u w:val="single"/>
              </w:rPr>
            </w:pPr>
            <w:r w:rsidRPr="00DB1AEE">
              <w:rPr>
                <w:sz w:val="18"/>
                <w:szCs w:val="18"/>
                <w:u w:val="single"/>
              </w:rPr>
              <w:t>4</w:t>
            </w:r>
          </w:p>
        </w:tc>
        <w:tc>
          <w:tcPr>
            <w:tcW w:w="361" w:type="pct"/>
            <w:gridSpan w:val="2"/>
            <w:tcBorders>
              <w:top w:val="nil"/>
              <w:left w:val="nil"/>
              <w:bottom w:val="single" w:sz="4" w:space="0" w:color="auto"/>
              <w:right w:val="single" w:sz="4" w:space="0" w:color="auto"/>
            </w:tcBorders>
            <w:hideMark/>
          </w:tcPr>
          <w:p w14:paraId="5AA0D6B3"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63" w:type="pct"/>
            <w:gridSpan w:val="3"/>
            <w:tcBorders>
              <w:top w:val="nil"/>
              <w:left w:val="nil"/>
              <w:bottom w:val="single" w:sz="4" w:space="0" w:color="auto"/>
              <w:right w:val="single" w:sz="4" w:space="0" w:color="auto"/>
            </w:tcBorders>
            <w:hideMark/>
          </w:tcPr>
          <w:p w14:paraId="675984B7" w14:textId="77777777" w:rsidR="00DB1AEE" w:rsidRPr="00DB1AEE" w:rsidRDefault="00DB1AEE" w:rsidP="00DB1AEE">
            <w:pPr>
              <w:suppressAutoHyphens/>
              <w:jc w:val="left"/>
              <w:rPr>
                <w:sz w:val="18"/>
                <w:szCs w:val="18"/>
                <w:u w:val="single"/>
              </w:rPr>
            </w:pPr>
            <w:r w:rsidRPr="00DB1AEE">
              <w:rPr>
                <w:sz w:val="18"/>
                <w:szCs w:val="18"/>
                <w:u w:val="single"/>
              </w:rPr>
              <w:t>ADD1</w:t>
            </w:r>
          </w:p>
        </w:tc>
        <w:tc>
          <w:tcPr>
            <w:tcW w:w="330" w:type="pct"/>
            <w:tcBorders>
              <w:top w:val="nil"/>
              <w:left w:val="nil"/>
              <w:bottom w:val="single" w:sz="4" w:space="0" w:color="auto"/>
              <w:right w:val="single" w:sz="4" w:space="0" w:color="auto"/>
            </w:tcBorders>
            <w:hideMark/>
          </w:tcPr>
          <w:p w14:paraId="70454BB3"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364" w:type="pct"/>
            <w:gridSpan w:val="2"/>
            <w:tcBorders>
              <w:top w:val="nil"/>
              <w:left w:val="nil"/>
              <w:bottom w:val="single" w:sz="4" w:space="0" w:color="auto"/>
              <w:right w:val="single" w:sz="4" w:space="0" w:color="auto"/>
            </w:tcBorders>
            <w:hideMark/>
          </w:tcPr>
          <w:p w14:paraId="2D760F75" w14:textId="77777777" w:rsidR="00DB1AEE" w:rsidRPr="00DB1AEE" w:rsidRDefault="00DB1AEE" w:rsidP="00DB1AEE">
            <w:pPr>
              <w:suppressAutoHyphens/>
              <w:jc w:val="left"/>
              <w:rPr>
                <w:sz w:val="18"/>
                <w:szCs w:val="18"/>
                <w:u w:val="single"/>
              </w:rPr>
            </w:pPr>
            <w:r w:rsidRPr="00DB1AEE">
              <w:rPr>
                <w:sz w:val="18"/>
                <w:szCs w:val="18"/>
                <w:u w:val="single"/>
              </w:rPr>
              <w:t>REQ</w:t>
            </w:r>
          </w:p>
        </w:tc>
        <w:tc>
          <w:tcPr>
            <w:tcW w:w="427" w:type="pct"/>
            <w:gridSpan w:val="3"/>
            <w:tcBorders>
              <w:top w:val="nil"/>
              <w:left w:val="nil"/>
              <w:bottom w:val="single" w:sz="4" w:space="0" w:color="auto"/>
              <w:right w:val="single" w:sz="4" w:space="0" w:color="auto"/>
            </w:tcBorders>
            <w:hideMark/>
          </w:tcPr>
          <w:p w14:paraId="253BD80B"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97" w:type="pct"/>
            <w:tcBorders>
              <w:top w:val="nil"/>
              <w:left w:val="nil"/>
              <w:bottom w:val="single" w:sz="4" w:space="0" w:color="auto"/>
              <w:right w:val="single" w:sz="4" w:space="0" w:color="auto"/>
            </w:tcBorders>
            <w:hideMark/>
          </w:tcPr>
          <w:p w14:paraId="03DBDDFD"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63" w:type="pct"/>
            <w:tcBorders>
              <w:top w:val="nil"/>
              <w:left w:val="nil"/>
              <w:bottom w:val="single" w:sz="4" w:space="0" w:color="auto"/>
              <w:right w:val="single" w:sz="4" w:space="0" w:color="auto"/>
            </w:tcBorders>
            <w:vAlign w:val="center"/>
            <w:hideMark/>
          </w:tcPr>
          <w:p w14:paraId="24DFEB09"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418" w:type="pct"/>
            <w:gridSpan w:val="3"/>
            <w:tcBorders>
              <w:top w:val="nil"/>
              <w:left w:val="nil"/>
              <w:bottom w:val="single" w:sz="4" w:space="0" w:color="auto"/>
              <w:right w:val="single" w:sz="4" w:space="0" w:color="auto"/>
            </w:tcBorders>
            <w:hideMark/>
          </w:tcPr>
          <w:p w14:paraId="3D486D9E" w14:textId="77777777" w:rsidR="00DB1AEE" w:rsidRPr="00DB1AEE" w:rsidRDefault="00DB1AEE" w:rsidP="00DB1AEE">
            <w:pPr>
              <w:suppressAutoHyphens/>
              <w:jc w:val="left"/>
              <w:rPr>
                <w:sz w:val="18"/>
                <w:szCs w:val="18"/>
                <w:u w:val="single"/>
              </w:rPr>
            </w:pPr>
            <w:r w:rsidRPr="00DB1AEE">
              <w:rPr>
                <w:sz w:val="18"/>
                <w:szCs w:val="18"/>
                <w:u w:val="single"/>
              </w:rPr>
              <w:t>ADD2</w:t>
            </w:r>
          </w:p>
        </w:tc>
        <w:tc>
          <w:tcPr>
            <w:tcW w:w="323" w:type="pct"/>
            <w:tcBorders>
              <w:top w:val="nil"/>
              <w:left w:val="nil"/>
              <w:bottom w:val="single" w:sz="4" w:space="0" w:color="auto"/>
              <w:right w:val="single" w:sz="4" w:space="0" w:color="auto"/>
            </w:tcBorders>
            <w:hideMark/>
          </w:tcPr>
          <w:p w14:paraId="1EA22CD4" w14:textId="77777777" w:rsidR="00DB1AEE" w:rsidRPr="00DB1AEE" w:rsidRDefault="00DB1AEE" w:rsidP="00DB1AEE">
            <w:pPr>
              <w:suppressAutoHyphens/>
              <w:jc w:val="left"/>
              <w:rPr>
                <w:sz w:val="18"/>
                <w:szCs w:val="18"/>
                <w:u w:val="single"/>
              </w:rPr>
            </w:pPr>
            <w:r w:rsidRPr="00DB1AEE">
              <w:rPr>
                <w:sz w:val="18"/>
                <w:szCs w:val="18"/>
                <w:u w:val="single"/>
              </w:rPr>
              <w:t>ADD2</w:t>
            </w:r>
          </w:p>
        </w:tc>
      </w:tr>
      <w:tr w:rsidR="00DB1AEE" w:rsidRPr="00DB1AEE" w14:paraId="3A935435" w14:textId="77777777" w:rsidTr="00FC1832">
        <w:trPr>
          <w:trHeight w:val="300"/>
        </w:trPr>
        <w:tc>
          <w:tcPr>
            <w:tcW w:w="896" w:type="pct"/>
            <w:tcBorders>
              <w:top w:val="nil"/>
              <w:left w:val="single" w:sz="4" w:space="0" w:color="auto"/>
              <w:bottom w:val="single" w:sz="4" w:space="0" w:color="auto"/>
              <w:right w:val="single" w:sz="4" w:space="0" w:color="auto"/>
            </w:tcBorders>
            <w:hideMark/>
          </w:tcPr>
          <w:p w14:paraId="31A56367" w14:textId="77777777" w:rsidR="00DB1AEE" w:rsidRPr="00DB1AEE" w:rsidRDefault="00DB1AEE" w:rsidP="00DB1AEE">
            <w:pPr>
              <w:suppressAutoHyphens/>
              <w:jc w:val="left"/>
              <w:rPr>
                <w:sz w:val="18"/>
                <w:szCs w:val="18"/>
                <w:u w:val="single"/>
              </w:rPr>
            </w:pPr>
            <w:r w:rsidRPr="00DB1AEE">
              <w:rPr>
                <w:sz w:val="18"/>
                <w:szCs w:val="18"/>
                <w:u w:val="single"/>
              </w:rPr>
              <w:t>Playing area</w:t>
            </w:r>
          </w:p>
        </w:tc>
        <w:tc>
          <w:tcPr>
            <w:tcW w:w="429" w:type="pct"/>
            <w:gridSpan w:val="2"/>
            <w:tcBorders>
              <w:top w:val="nil"/>
              <w:left w:val="nil"/>
              <w:bottom w:val="single" w:sz="4" w:space="0" w:color="auto"/>
              <w:right w:val="single" w:sz="4" w:space="0" w:color="auto"/>
            </w:tcBorders>
            <w:noWrap/>
            <w:hideMark/>
          </w:tcPr>
          <w:p w14:paraId="30E326DC" w14:textId="77777777" w:rsidR="00DB1AEE" w:rsidRPr="00DB1AEE" w:rsidRDefault="00DB1AEE" w:rsidP="00DB1AEE">
            <w:pPr>
              <w:suppressAutoHyphens/>
              <w:jc w:val="left"/>
              <w:rPr>
                <w:strike/>
                <w:sz w:val="18"/>
                <w:szCs w:val="18"/>
                <w:u w:val="single"/>
              </w:rPr>
            </w:pPr>
            <w:r w:rsidRPr="00DB1AEE">
              <w:rPr>
                <w:sz w:val="18"/>
                <w:szCs w:val="18"/>
                <w:u w:val="single"/>
              </w:rPr>
              <w:t>0.75</w:t>
            </w:r>
          </w:p>
        </w:tc>
        <w:tc>
          <w:tcPr>
            <w:tcW w:w="330" w:type="pct"/>
            <w:tcBorders>
              <w:top w:val="nil"/>
              <w:left w:val="nil"/>
              <w:bottom w:val="single" w:sz="4" w:space="0" w:color="auto"/>
              <w:right w:val="single" w:sz="4" w:space="0" w:color="auto"/>
            </w:tcBorders>
            <w:noWrap/>
            <w:hideMark/>
          </w:tcPr>
          <w:p w14:paraId="1556817E" w14:textId="77777777" w:rsidR="00DB1AEE" w:rsidRPr="00DB1AEE" w:rsidRDefault="00DB1AEE" w:rsidP="00DB1AEE">
            <w:pPr>
              <w:suppressAutoHyphens/>
              <w:jc w:val="center"/>
              <w:rPr>
                <w:sz w:val="18"/>
                <w:szCs w:val="18"/>
                <w:u w:val="single"/>
              </w:rPr>
            </w:pPr>
            <w:r w:rsidRPr="00DB1AEE">
              <w:rPr>
                <w:sz w:val="18"/>
                <w:szCs w:val="18"/>
                <w:u w:val="single"/>
              </w:rPr>
              <w:t>4</w:t>
            </w:r>
          </w:p>
        </w:tc>
        <w:tc>
          <w:tcPr>
            <w:tcW w:w="361" w:type="pct"/>
            <w:gridSpan w:val="2"/>
            <w:tcBorders>
              <w:top w:val="nil"/>
              <w:left w:val="nil"/>
              <w:bottom w:val="single" w:sz="4" w:space="0" w:color="auto"/>
              <w:right w:val="single" w:sz="4" w:space="0" w:color="auto"/>
            </w:tcBorders>
            <w:hideMark/>
          </w:tcPr>
          <w:p w14:paraId="32B281C3"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63" w:type="pct"/>
            <w:gridSpan w:val="3"/>
            <w:tcBorders>
              <w:top w:val="nil"/>
              <w:left w:val="nil"/>
              <w:bottom w:val="single" w:sz="4" w:space="0" w:color="auto"/>
              <w:right w:val="single" w:sz="4" w:space="0" w:color="auto"/>
            </w:tcBorders>
            <w:hideMark/>
          </w:tcPr>
          <w:p w14:paraId="0528D828" w14:textId="77777777" w:rsidR="00DB1AEE" w:rsidRPr="00DB1AEE" w:rsidRDefault="00DB1AEE" w:rsidP="00DB1AEE">
            <w:pPr>
              <w:suppressAutoHyphens/>
              <w:jc w:val="left"/>
              <w:rPr>
                <w:sz w:val="18"/>
                <w:szCs w:val="18"/>
                <w:u w:val="single"/>
              </w:rPr>
            </w:pPr>
            <w:r w:rsidRPr="00DB1AEE">
              <w:rPr>
                <w:sz w:val="18"/>
                <w:szCs w:val="18"/>
                <w:u w:val="single"/>
              </w:rPr>
              <w:t>ADD1</w:t>
            </w:r>
          </w:p>
        </w:tc>
        <w:tc>
          <w:tcPr>
            <w:tcW w:w="330" w:type="pct"/>
            <w:tcBorders>
              <w:top w:val="nil"/>
              <w:left w:val="nil"/>
              <w:bottom w:val="single" w:sz="4" w:space="0" w:color="auto"/>
              <w:right w:val="single" w:sz="4" w:space="0" w:color="auto"/>
            </w:tcBorders>
            <w:hideMark/>
          </w:tcPr>
          <w:p w14:paraId="0AF9207F"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364" w:type="pct"/>
            <w:gridSpan w:val="2"/>
            <w:tcBorders>
              <w:top w:val="nil"/>
              <w:left w:val="nil"/>
              <w:bottom w:val="single" w:sz="4" w:space="0" w:color="auto"/>
              <w:right w:val="single" w:sz="4" w:space="0" w:color="auto"/>
            </w:tcBorders>
            <w:hideMark/>
          </w:tcPr>
          <w:p w14:paraId="126050D3" w14:textId="77777777" w:rsidR="00DB1AEE" w:rsidRPr="00DB1AEE" w:rsidRDefault="00DB1AEE" w:rsidP="00DB1AEE">
            <w:pPr>
              <w:suppressAutoHyphens/>
              <w:jc w:val="left"/>
              <w:rPr>
                <w:sz w:val="18"/>
                <w:szCs w:val="18"/>
                <w:u w:val="single"/>
              </w:rPr>
            </w:pPr>
            <w:r w:rsidRPr="00DB1AEE">
              <w:rPr>
                <w:sz w:val="18"/>
                <w:szCs w:val="18"/>
                <w:u w:val="single"/>
              </w:rPr>
              <w:t>REQ</w:t>
            </w:r>
          </w:p>
        </w:tc>
        <w:tc>
          <w:tcPr>
            <w:tcW w:w="427" w:type="pct"/>
            <w:gridSpan w:val="3"/>
            <w:tcBorders>
              <w:top w:val="nil"/>
              <w:left w:val="nil"/>
              <w:bottom w:val="single" w:sz="4" w:space="0" w:color="auto"/>
              <w:right w:val="single" w:sz="4" w:space="0" w:color="auto"/>
            </w:tcBorders>
            <w:hideMark/>
          </w:tcPr>
          <w:p w14:paraId="14097A55"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97" w:type="pct"/>
            <w:tcBorders>
              <w:top w:val="nil"/>
              <w:left w:val="nil"/>
              <w:bottom w:val="single" w:sz="4" w:space="0" w:color="auto"/>
              <w:right w:val="single" w:sz="4" w:space="0" w:color="auto"/>
            </w:tcBorders>
            <w:hideMark/>
          </w:tcPr>
          <w:p w14:paraId="4AA6D3E3"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63" w:type="pct"/>
            <w:tcBorders>
              <w:top w:val="nil"/>
              <w:left w:val="nil"/>
              <w:bottom w:val="single" w:sz="4" w:space="0" w:color="auto"/>
              <w:right w:val="single" w:sz="4" w:space="0" w:color="auto"/>
            </w:tcBorders>
            <w:vAlign w:val="bottom"/>
            <w:hideMark/>
          </w:tcPr>
          <w:p w14:paraId="7D1B9077"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418" w:type="pct"/>
            <w:gridSpan w:val="3"/>
            <w:tcBorders>
              <w:top w:val="nil"/>
              <w:left w:val="nil"/>
              <w:bottom w:val="single" w:sz="4" w:space="0" w:color="auto"/>
              <w:right w:val="single" w:sz="4" w:space="0" w:color="auto"/>
            </w:tcBorders>
            <w:hideMark/>
          </w:tcPr>
          <w:p w14:paraId="25821FBD" w14:textId="77777777" w:rsidR="00DB1AEE" w:rsidRPr="00DB1AEE" w:rsidRDefault="00DB1AEE" w:rsidP="00DB1AEE">
            <w:pPr>
              <w:suppressAutoHyphens/>
              <w:jc w:val="left"/>
              <w:rPr>
                <w:sz w:val="18"/>
                <w:szCs w:val="18"/>
                <w:u w:val="single"/>
              </w:rPr>
            </w:pPr>
            <w:r w:rsidRPr="00DB1AEE">
              <w:rPr>
                <w:sz w:val="18"/>
                <w:szCs w:val="18"/>
                <w:u w:val="single"/>
              </w:rPr>
              <w:t>ADD2</w:t>
            </w:r>
          </w:p>
        </w:tc>
        <w:tc>
          <w:tcPr>
            <w:tcW w:w="323" w:type="pct"/>
            <w:tcBorders>
              <w:top w:val="nil"/>
              <w:left w:val="nil"/>
              <w:bottom w:val="single" w:sz="4" w:space="0" w:color="auto"/>
              <w:right w:val="single" w:sz="4" w:space="0" w:color="auto"/>
            </w:tcBorders>
            <w:hideMark/>
          </w:tcPr>
          <w:p w14:paraId="0C086EE7" w14:textId="77777777" w:rsidR="00DB1AEE" w:rsidRPr="00DB1AEE" w:rsidRDefault="00DB1AEE" w:rsidP="00DB1AEE">
            <w:pPr>
              <w:suppressAutoHyphens/>
              <w:jc w:val="left"/>
              <w:rPr>
                <w:sz w:val="18"/>
                <w:szCs w:val="18"/>
                <w:u w:val="single"/>
              </w:rPr>
            </w:pPr>
            <w:r w:rsidRPr="00DB1AEE">
              <w:rPr>
                <w:sz w:val="18"/>
                <w:szCs w:val="18"/>
                <w:u w:val="single"/>
              </w:rPr>
              <w:t>ADD2</w:t>
            </w:r>
          </w:p>
        </w:tc>
      </w:tr>
      <w:tr w:rsidR="00DB1AEE" w:rsidRPr="00DB1AEE" w14:paraId="5D64C548" w14:textId="77777777" w:rsidTr="00FC1832">
        <w:trPr>
          <w:trHeight w:val="300"/>
        </w:trPr>
        <w:tc>
          <w:tcPr>
            <w:tcW w:w="896" w:type="pct"/>
            <w:tcBorders>
              <w:top w:val="nil"/>
              <w:left w:val="single" w:sz="4" w:space="0" w:color="auto"/>
              <w:bottom w:val="single" w:sz="4" w:space="0" w:color="auto"/>
              <w:right w:val="nil"/>
            </w:tcBorders>
            <w:hideMark/>
          </w:tcPr>
          <w:p w14:paraId="41124940" w14:textId="77777777" w:rsidR="00DB1AEE" w:rsidRPr="00DB1AEE" w:rsidRDefault="00DB1AEE" w:rsidP="00DB1AEE">
            <w:pPr>
              <w:suppressAutoHyphens/>
              <w:jc w:val="left"/>
              <w:rPr>
                <w:sz w:val="18"/>
                <w:szCs w:val="18"/>
                <w:u w:val="single"/>
              </w:rPr>
            </w:pPr>
            <w:r w:rsidRPr="00DB1AEE">
              <w:rPr>
                <w:sz w:val="18"/>
                <w:szCs w:val="18"/>
                <w:u w:val="single"/>
              </w:rPr>
              <w:t>Healthcare Facility</w:t>
            </w:r>
          </w:p>
        </w:tc>
        <w:tc>
          <w:tcPr>
            <w:tcW w:w="429" w:type="pct"/>
            <w:gridSpan w:val="2"/>
            <w:tcBorders>
              <w:top w:val="nil"/>
              <w:left w:val="nil"/>
              <w:bottom w:val="single" w:sz="4" w:space="0" w:color="auto"/>
              <w:right w:val="single" w:sz="4" w:space="0" w:color="auto"/>
            </w:tcBorders>
            <w:hideMark/>
          </w:tcPr>
          <w:p w14:paraId="7590E77A"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330" w:type="pct"/>
            <w:tcBorders>
              <w:top w:val="nil"/>
              <w:left w:val="single" w:sz="4" w:space="0" w:color="auto"/>
              <w:bottom w:val="single" w:sz="4" w:space="0" w:color="auto"/>
              <w:right w:val="single" w:sz="4" w:space="0" w:color="auto"/>
            </w:tcBorders>
            <w:vAlign w:val="bottom"/>
            <w:hideMark/>
          </w:tcPr>
          <w:p w14:paraId="530D1B3F"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361" w:type="pct"/>
            <w:gridSpan w:val="2"/>
            <w:tcBorders>
              <w:top w:val="nil"/>
              <w:left w:val="nil"/>
              <w:bottom w:val="single" w:sz="4" w:space="0" w:color="auto"/>
              <w:right w:val="nil"/>
            </w:tcBorders>
            <w:hideMark/>
          </w:tcPr>
          <w:p w14:paraId="38DB1754" w14:textId="77777777" w:rsidR="00DB1AEE" w:rsidRPr="00DB1AEE" w:rsidRDefault="00DB1AEE" w:rsidP="00DB1AEE">
            <w:pPr>
              <w:suppressAutoHyphens/>
              <w:jc w:val="center"/>
              <w:rPr>
                <w:sz w:val="18"/>
                <w:szCs w:val="18"/>
                <w:u w:val="single"/>
              </w:rPr>
            </w:pPr>
            <w:r w:rsidRPr="00DB1AEE">
              <w:rPr>
                <w:sz w:val="18"/>
                <w:szCs w:val="18"/>
                <w:u w:val="single"/>
              </w:rPr>
              <w:t> </w:t>
            </w:r>
          </w:p>
        </w:tc>
        <w:tc>
          <w:tcPr>
            <w:tcW w:w="363" w:type="pct"/>
            <w:gridSpan w:val="3"/>
            <w:tcBorders>
              <w:top w:val="nil"/>
              <w:left w:val="nil"/>
              <w:bottom w:val="single" w:sz="4" w:space="0" w:color="auto"/>
              <w:right w:val="nil"/>
            </w:tcBorders>
            <w:hideMark/>
          </w:tcPr>
          <w:p w14:paraId="481ACA61"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330" w:type="pct"/>
            <w:tcBorders>
              <w:top w:val="nil"/>
              <w:left w:val="nil"/>
              <w:bottom w:val="single" w:sz="4" w:space="0" w:color="auto"/>
              <w:right w:val="nil"/>
            </w:tcBorders>
            <w:hideMark/>
          </w:tcPr>
          <w:p w14:paraId="46D2D569" w14:textId="77777777" w:rsidR="00DB1AEE" w:rsidRPr="00DB1AEE" w:rsidRDefault="00DB1AEE" w:rsidP="00DB1AEE">
            <w:pPr>
              <w:suppressAutoHyphens/>
              <w:jc w:val="center"/>
              <w:rPr>
                <w:sz w:val="18"/>
                <w:szCs w:val="18"/>
                <w:u w:val="single"/>
              </w:rPr>
            </w:pPr>
            <w:r w:rsidRPr="00DB1AEE">
              <w:rPr>
                <w:sz w:val="18"/>
                <w:szCs w:val="18"/>
                <w:u w:val="single"/>
              </w:rPr>
              <w:t> </w:t>
            </w:r>
          </w:p>
        </w:tc>
        <w:tc>
          <w:tcPr>
            <w:tcW w:w="364" w:type="pct"/>
            <w:gridSpan w:val="2"/>
            <w:tcBorders>
              <w:top w:val="nil"/>
              <w:left w:val="nil"/>
              <w:bottom w:val="single" w:sz="4" w:space="0" w:color="auto"/>
              <w:right w:val="nil"/>
            </w:tcBorders>
            <w:hideMark/>
          </w:tcPr>
          <w:p w14:paraId="215205BF"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427" w:type="pct"/>
            <w:gridSpan w:val="3"/>
            <w:tcBorders>
              <w:top w:val="nil"/>
              <w:left w:val="nil"/>
              <w:bottom w:val="single" w:sz="4" w:space="0" w:color="auto"/>
              <w:right w:val="nil"/>
            </w:tcBorders>
            <w:hideMark/>
          </w:tcPr>
          <w:p w14:paraId="62B339BD" w14:textId="77777777" w:rsidR="00DB1AEE" w:rsidRPr="00DB1AEE" w:rsidRDefault="00DB1AEE" w:rsidP="00DB1AEE">
            <w:pPr>
              <w:suppressAutoHyphens/>
              <w:jc w:val="center"/>
              <w:rPr>
                <w:sz w:val="18"/>
                <w:szCs w:val="18"/>
                <w:u w:val="single"/>
              </w:rPr>
            </w:pPr>
            <w:r w:rsidRPr="00DB1AEE">
              <w:rPr>
                <w:sz w:val="18"/>
                <w:szCs w:val="18"/>
                <w:u w:val="single"/>
              </w:rPr>
              <w:t> </w:t>
            </w:r>
          </w:p>
        </w:tc>
        <w:tc>
          <w:tcPr>
            <w:tcW w:w="397" w:type="pct"/>
            <w:tcBorders>
              <w:top w:val="nil"/>
              <w:left w:val="nil"/>
              <w:bottom w:val="single" w:sz="4" w:space="0" w:color="auto"/>
              <w:right w:val="nil"/>
            </w:tcBorders>
            <w:hideMark/>
          </w:tcPr>
          <w:p w14:paraId="10BB0132" w14:textId="77777777" w:rsidR="00DB1AEE" w:rsidRPr="00DB1AEE" w:rsidRDefault="00DB1AEE" w:rsidP="00DB1AEE">
            <w:pPr>
              <w:suppressAutoHyphens/>
              <w:jc w:val="center"/>
              <w:rPr>
                <w:sz w:val="18"/>
                <w:szCs w:val="18"/>
                <w:u w:val="single"/>
              </w:rPr>
            </w:pPr>
            <w:r w:rsidRPr="00DB1AEE">
              <w:rPr>
                <w:sz w:val="18"/>
                <w:szCs w:val="18"/>
                <w:u w:val="single"/>
              </w:rPr>
              <w:t> </w:t>
            </w:r>
          </w:p>
        </w:tc>
        <w:tc>
          <w:tcPr>
            <w:tcW w:w="363" w:type="pct"/>
            <w:tcBorders>
              <w:top w:val="nil"/>
              <w:left w:val="nil"/>
              <w:bottom w:val="single" w:sz="4" w:space="0" w:color="auto"/>
              <w:right w:val="nil"/>
            </w:tcBorders>
            <w:hideMark/>
          </w:tcPr>
          <w:p w14:paraId="7129A677"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418" w:type="pct"/>
            <w:gridSpan w:val="3"/>
            <w:tcBorders>
              <w:top w:val="nil"/>
              <w:left w:val="nil"/>
              <w:bottom w:val="single" w:sz="4" w:space="0" w:color="auto"/>
              <w:right w:val="nil"/>
            </w:tcBorders>
            <w:hideMark/>
          </w:tcPr>
          <w:p w14:paraId="65E4121F"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323" w:type="pct"/>
            <w:tcBorders>
              <w:top w:val="nil"/>
              <w:left w:val="nil"/>
              <w:bottom w:val="single" w:sz="4" w:space="0" w:color="auto"/>
              <w:right w:val="single" w:sz="4" w:space="0" w:color="auto"/>
            </w:tcBorders>
            <w:hideMark/>
          </w:tcPr>
          <w:p w14:paraId="799828DE" w14:textId="77777777" w:rsidR="00DB1AEE" w:rsidRPr="00DB1AEE" w:rsidRDefault="00DB1AEE" w:rsidP="00DB1AEE">
            <w:pPr>
              <w:suppressAutoHyphens/>
              <w:jc w:val="left"/>
              <w:rPr>
                <w:sz w:val="18"/>
                <w:szCs w:val="18"/>
                <w:u w:val="single"/>
              </w:rPr>
            </w:pPr>
            <w:r w:rsidRPr="00DB1AEE">
              <w:rPr>
                <w:sz w:val="18"/>
                <w:szCs w:val="18"/>
                <w:u w:val="single"/>
              </w:rPr>
              <w:t> </w:t>
            </w:r>
          </w:p>
        </w:tc>
      </w:tr>
      <w:tr w:rsidR="00DB1AEE" w:rsidRPr="00DB1AEE" w14:paraId="0954D46B" w14:textId="77777777" w:rsidTr="00FC1832">
        <w:trPr>
          <w:trHeight w:val="300"/>
        </w:trPr>
        <w:tc>
          <w:tcPr>
            <w:tcW w:w="896" w:type="pct"/>
            <w:tcBorders>
              <w:top w:val="nil"/>
              <w:left w:val="single" w:sz="4" w:space="0" w:color="auto"/>
              <w:bottom w:val="single" w:sz="4" w:space="0" w:color="auto"/>
              <w:right w:val="single" w:sz="4" w:space="0" w:color="auto"/>
            </w:tcBorders>
            <w:hideMark/>
          </w:tcPr>
          <w:p w14:paraId="7DF14613" w14:textId="77777777" w:rsidR="00DB1AEE" w:rsidRPr="00DB1AEE" w:rsidRDefault="00DB1AEE" w:rsidP="00DB1AEE">
            <w:pPr>
              <w:suppressAutoHyphens/>
              <w:jc w:val="left"/>
              <w:rPr>
                <w:sz w:val="18"/>
                <w:szCs w:val="18"/>
                <w:u w:val="single"/>
              </w:rPr>
            </w:pPr>
            <w:r w:rsidRPr="00DB1AEE">
              <w:rPr>
                <w:sz w:val="18"/>
                <w:szCs w:val="18"/>
                <w:u w:val="single"/>
              </w:rPr>
              <w:t>Control room (MRT/CT/radiology/PET)</w:t>
            </w:r>
          </w:p>
        </w:tc>
        <w:tc>
          <w:tcPr>
            <w:tcW w:w="429" w:type="pct"/>
            <w:gridSpan w:val="2"/>
            <w:tcBorders>
              <w:top w:val="nil"/>
              <w:left w:val="nil"/>
              <w:bottom w:val="single" w:sz="4" w:space="0" w:color="auto"/>
              <w:right w:val="single" w:sz="4" w:space="0" w:color="auto"/>
            </w:tcBorders>
            <w:hideMark/>
          </w:tcPr>
          <w:p w14:paraId="2C1A4ED3" w14:textId="77777777" w:rsidR="00DB1AEE" w:rsidRPr="00DB1AEE" w:rsidRDefault="00DB1AEE" w:rsidP="00DB1AEE">
            <w:pPr>
              <w:suppressAutoHyphens/>
              <w:jc w:val="left"/>
              <w:rPr>
                <w:sz w:val="18"/>
                <w:szCs w:val="18"/>
                <w:u w:val="single"/>
              </w:rPr>
            </w:pPr>
            <w:r w:rsidRPr="00DB1AEE">
              <w:rPr>
                <w:sz w:val="18"/>
                <w:szCs w:val="18"/>
                <w:u w:val="single"/>
              </w:rPr>
              <w:t> </w:t>
            </w:r>
          </w:p>
          <w:p w14:paraId="084EBB50" w14:textId="77777777" w:rsidR="00DB1AEE" w:rsidRPr="00DB1AEE" w:rsidRDefault="00DB1AEE" w:rsidP="00DB1AEE">
            <w:pPr>
              <w:suppressAutoHyphens/>
              <w:jc w:val="left"/>
              <w:rPr>
                <w:sz w:val="18"/>
                <w:szCs w:val="18"/>
                <w:u w:val="single"/>
              </w:rPr>
            </w:pPr>
            <w:r w:rsidRPr="00DB1AEE">
              <w:rPr>
                <w:sz w:val="18"/>
                <w:szCs w:val="18"/>
                <w:u w:val="single"/>
              </w:rPr>
              <w:t>0.78</w:t>
            </w:r>
          </w:p>
        </w:tc>
        <w:tc>
          <w:tcPr>
            <w:tcW w:w="330" w:type="pct"/>
            <w:tcBorders>
              <w:top w:val="nil"/>
              <w:left w:val="single" w:sz="4" w:space="0" w:color="auto"/>
              <w:bottom w:val="single" w:sz="4" w:space="0" w:color="auto"/>
              <w:right w:val="single" w:sz="4" w:space="0" w:color="auto"/>
            </w:tcBorders>
            <w:noWrap/>
            <w:hideMark/>
          </w:tcPr>
          <w:p w14:paraId="4F74AA8D" w14:textId="77777777" w:rsidR="00DB1AEE" w:rsidRPr="00DB1AEE" w:rsidRDefault="00DB1AEE" w:rsidP="00DB1AEE">
            <w:pPr>
              <w:suppressAutoHyphens/>
              <w:jc w:val="center"/>
              <w:rPr>
                <w:sz w:val="18"/>
                <w:szCs w:val="18"/>
                <w:u w:val="single"/>
              </w:rPr>
            </w:pPr>
            <w:r w:rsidRPr="00DB1AEE">
              <w:rPr>
                <w:sz w:val="18"/>
                <w:szCs w:val="18"/>
                <w:u w:val="single"/>
              </w:rPr>
              <w:t>8</w:t>
            </w:r>
          </w:p>
        </w:tc>
        <w:tc>
          <w:tcPr>
            <w:tcW w:w="361" w:type="pct"/>
            <w:gridSpan w:val="2"/>
            <w:tcBorders>
              <w:top w:val="nil"/>
              <w:left w:val="nil"/>
              <w:bottom w:val="single" w:sz="4" w:space="0" w:color="auto"/>
              <w:right w:val="single" w:sz="4" w:space="0" w:color="auto"/>
            </w:tcBorders>
            <w:hideMark/>
          </w:tcPr>
          <w:p w14:paraId="49BFCFCB"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63" w:type="pct"/>
            <w:gridSpan w:val="3"/>
            <w:tcBorders>
              <w:top w:val="nil"/>
              <w:left w:val="nil"/>
              <w:bottom w:val="single" w:sz="4" w:space="0" w:color="auto"/>
              <w:right w:val="single" w:sz="4" w:space="0" w:color="auto"/>
            </w:tcBorders>
            <w:hideMark/>
          </w:tcPr>
          <w:p w14:paraId="5E938027"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30" w:type="pct"/>
            <w:tcBorders>
              <w:top w:val="nil"/>
              <w:left w:val="nil"/>
              <w:bottom w:val="single" w:sz="4" w:space="0" w:color="auto"/>
              <w:right w:val="nil"/>
            </w:tcBorders>
            <w:hideMark/>
          </w:tcPr>
          <w:p w14:paraId="5BA8371A" w14:textId="77777777" w:rsidR="00DB1AEE" w:rsidRPr="00DB1AEE" w:rsidRDefault="00DB1AEE" w:rsidP="00DB1AEE">
            <w:pPr>
              <w:suppressAutoHyphens/>
              <w:jc w:val="center"/>
              <w:rPr>
                <w:sz w:val="18"/>
                <w:szCs w:val="18"/>
                <w:u w:val="single"/>
              </w:rPr>
            </w:pPr>
            <w:r w:rsidRPr="00DB1AEE">
              <w:rPr>
                <w:sz w:val="18"/>
                <w:szCs w:val="18"/>
                <w:u w:val="single"/>
              </w:rPr>
              <w:t> </w:t>
            </w:r>
          </w:p>
        </w:tc>
        <w:tc>
          <w:tcPr>
            <w:tcW w:w="364" w:type="pct"/>
            <w:gridSpan w:val="2"/>
            <w:tcBorders>
              <w:top w:val="nil"/>
              <w:left w:val="single" w:sz="4" w:space="0" w:color="auto"/>
              <w:bottom w:val="single" w:sz="4" w:space="0" w:color="auto"/>
              <w:right w:val="single" w:sz="4" w:space="0" w:color="auto"/>
            </w:tcBorders>
            <w:hideMark/>
          </w:tcPr>
          <w:p w14:paraId="5F56BF9A"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427" w:type="pct"/>
            <w:gridSpan w:val="3"/>
            <w:tcBorders>
              <w:top w:val="nil"/>
              <w:left w:val="nil"/>
              <w:bottom w:val="single" w:sz="4" w:space="0" w:color="auto"/>
              <w:right w:val="nil"/>
            </w:tcBorders>
            <w:hideMark/>
          </w:tcPr>
          <w:p w14:paraId="1E016B03" w14:textId="77777777" w:rsidR="00DB1AEE" w:rsidRPr="00DB1AEE" w:rsidRDefault="00DB1AEE" w:rsidP="00DB1AEE">
            <w:pPr>
              <w:suppressAutoHyphens/>
              <w:jc w:val="center"/>
              <w:rPr>
                <w:sz w:val="18"/>
                <w:szCs w:val="18"/>
                <w:u w:val="single"/>
              </w:rPr>
            </w:pPr>
            <w:r w:rsidRPr="00DB1AEE">
              <w:rPr>
                <w:sz w:val="18"/>
                <w:szCs w:val="18"/>
                <w:u w:val="single"/>
              </w:rPr>
              <w:t> </w:t>
            </w:r>
          </w:p>
        </w:tc>
        <w:tc>
          <w:tcPr>
            <w:tcW w:w="397" w:type="pct"/>
            <w:tcBorders>
              <w:top w:val="nil"/>
              <w:left w:val="nil"/>
              <w:bottom w:val="single" w:sz="4" w:space="0" w:color="auto"/>
              <w:right w:val="nil"/>
            </w:tcBorders>
            <w:hideMark/>
          </w:tcPr>
          <w:p w14:paraId="3773136E" w14:textId="77777777" w:rsidR="00DB1AEE" w:rsidRPr="00DB1AEE" w:rsidRDefault="00DB1AEE" w:rsidP="00DB1AEE">
            <w:pPr>
              <w:suppressAutoHyphens/>
              <w:jc w:val="center"/>
              <w:rPr>
                <w:sz w:val="18"/>
                <w:szCs w:val="18"/>
                <w:u w:val="single"/>
              </w:rPr>
            </w:pPr>
            <w:r w:rsidRPr="00DB1AEE">
              <w:rPr>
                <w:sz w:val="18"/>
                <w:szCs w:val="18"/>
                <w:u w:val="single"/>
              </w:rPr>
              <w:t> </w:t>
            </w:r>
          </w:p>
        </w:tc>
        <w:tc>
          <w:tcPr>
            <w:tcW w:w="363" w:type="pct"/>
            <w:tcBorders>
              <w:top w:val="nil"/>
              <w:left w:val="nil"/>
              <w:bottom w:val="single" w:sz="4" w:space="0" w:color="auto"/>
              <w:right w:val="nil"/>
            </w:tcBorders>
            <w:hideMark/>
          </w:tcPr>
          <w:p w14:paraId="54BD256C"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418" w:type="pct"/>
            <w:gridSpan w:val="3"/>
            <w:tcBorders>
              <w:top w:val="nil"/>
              <w:left w:val="single" w:sz="4" w:space="0" w:color="auto"/>
              <w:bottom w:val="single" w:sz="4" w:space="0" w:color="auto"/>
              <w:right w:val="single" w:sz="4" w:space="0" w:color="auto"/>
            </w:tcBorders>
            <w:hideMark/>
          </w:tcPr>
          <w:p w14:paraId="77517E7E"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23" w:type="pct"/>
            <w:tcBorders>
              <w:top w:val="nil"/>
              <w:left w:val="nil"/>
              <w:bottom w:val="single" w:sz="4" w:space="0" w:color="auto"/>
              <w:right w:val="single" w:sz="4" w:space="0" w:color="auto"/>
            </w:tcBorders>
            <w:hideMark/>
          </w:tcPr>
          <w:p w14:paraId="0C6E94F3" w14:textId="77777777" w:rsidR="00DB1AEE" w:rsidRPr="00DB1AEE" w:rsidRDefault="00DB1AEE" w:rsidP="00DB1AEE">
            <w:pPr>
              <w:suppressAutoHyphens/>
              <w:jc w:val="left"/>
              <w:rPr>
                <w:sz w:val="18"/>
                <w:szCs w:val="18"/>
                <w:u w:val="single"/>
              </w:rPr>
            </w:pPr>
            <w:r w:rsidRPr="00DB1AEE">
              <w:rPr>
                <w:sz w:val="18"/>
                <w:szCs w:val="18"/>
                <w:u w:val="single"/>
              </w:rPr>
              <w:t> </w:t>
            </w:r>
          </w:p>
        </w:tc>
      </w:tr>
      <w:tr w:rsidR="00DB1AEE" w:rsidRPr="00DB1AEE" w14:paraId="25005647" w14:textId="77777777" w:rsidTr="00FC1832">
        <w:trPr>
          <w:trHeight w:val="300"/>
        </w:trPr>
        <w:tc>
          <w:tcPr>
            <w:tcW w:w="896" w:type="pct"/>
            <w:tcBorders>
              <w:top w:val="nil"/>
              <w:left w:val="single" w:sz="4" w:space="0" w:color="auto"/>
              <w:bottom w:val="single" w:sz="4" w:space="0" w:color="auto"/>
              <w:right w:val="single" w:sz="4" w:space="0" w:color="auto"/>
            </w:tcBorders>
            <w:hideMark/>
          </w:tcPr>
          <w:p w14:paraId="1665D1CF" w14:textId="77777777" w:rsidR="00DB1AEE" w:rsidRPr="00DB1AEE" w:rsidRDefault="00DB1AEE" w:rsidP="00DB1AEE">
            <w:pPr>
              <w:suppressAutoHyphens/>
              <w:jc w:val="left"/>
              <w:rPr>
                <w:sz w:val="18"/>
                <w:szCs w:val="18"/>
                <w:u w:val="single"/>
              </w:rPr>
            </w:pPr>
            <w:r w:rsidRPr="00DB1AEE">
              <w:rPr>
                <w:sz w:val="18"/>
                <w:szCs w:val="18"/>
                <w:u w:val="single"/>
              </w:rPr>
              <w:t>Exam/treatment room</w:t>
            </w:r>
          </w:p>
        </w:tc>
        <w:tc>
          <w:tcPr>
            <w:tcW w:w="429" w:type="pct"/>
            <w:gridSpan w:val="2"/>
            <w:tcBorders>
              <w:top w:val="nil"/>
              <w:left w:val="nil"/>
              <w:bottom w:val="single" w:sz="4" w:space="0" w:color="auto"/>
              <w:right w:val="single" w:sz="4" w:space="0" w:color="auto"/>
            </w:tcBorders>
            <w:noWrap/>
            <w:hideMark/>
          </w:tcPr>
          <w:p w14:paraId="5B2EA9DF" w14:textId="77777777" w:rsidR="00DB1AEE" w:rsidRPr="00DB1AEE" w:rsidRDefault="00DB1AEE" w:rsidP="00DB1AEE">
            <w:pPr>
              <w:suppressAutoHyphens/>
              <w:jc w:val="left"/>
              <w:rPr>
                <w:strike/>
                <w:sz w:val="18"/>
                <w:szCs w:val="18"/>
                <w:u w:val="single"/>
              </w:rPr>
            </w:pPr>
            <w:r w:rsidRPr="00DB1AEE">
              <w:rPr>
                <w:sz w:val="18"/>
                <w:szCs w:val="18"/>
                <w:u w:val="single"/>
              </w:rPr>
              <w:t>1.16</w:t>
            </w:r>
          </w:p>
        </w:tc>
        <w:tc>
          <w:tcPr>
            <w:tcW w:w="330" w:type="pct"/>
            <w:tcBorders>
              <w:top w:val="nil"/>
              <w:left w:val="nil"/>
              <w:bottom w:val="single" w:sz="4" w:space="0" w:color="auto"/>
              <w:right w:val="single" w:sz="4" w:space="0" w:color="auto"/>
            </w:tcBorders>
            <w:noWrap/>
            <w:hideMark/>
          </w:tcPr>
          <w:p w14:paraId="2837A847" w14:textId="77777777" w:rsidR="00DB1AEE" w:rsidRPr="00DB1AEE" w:rsidRDefault="00DB1AEE" w:rsidP="00DB1AEE">
            <w:pPr>
              <w:suppressAutoHyphens/>
              <w:jc w:val="center"/>
              <w:rPr>
                <w:sz w:val="18"/>
                <w:szCs w:val="18"/>
                <w:u w:val="single"/>
              </w:rPr>
            </w:pPr>
            <w:r w:rsidRPr="00DB1AEE">
              <w:rPr>
                <w:sz w:val="18"/>
                <w:szCs w:val="18"/>
                <w:u w:val="single"/>
              </w:rPr>
              <w:t>8</w:t>
            </w:r>
          </w:p>
        </w:tc>
        <w:tc>
          <w:tcPr>
            <w:tcW w:w="361" w:type="pct"/>
            <w:gridSpan w:val="2"/>
            <w:tcBorders>
              <w:top w:val="nil"/>
              <w:left w:val="nil"/>
              <w:bottom w:val="single" w:sz="4" w:space="0" w:color="auto"/>
              <w:right w:val="single" w:sz="4" w:space="0" w:color="auto"/>
            </w:tcBorders>
            <w:hideMark/>
          </w:tcPr>
          <w:p w14:paraId="7A3F8494"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63" w:type="pct"/>
            <w:gridSpan w:val="3"/>
            <w:tcBorders>
              <w:top w:val="nil"/>
              <w:left w:val="nil"/>
              <w:bottom w:val="single" w:sz="4" w:space="0" w:color="auto"/>
              <w:right w:val="single" w:sz="4" w:space="0" w:color="auto"/>
            </w:tcBorders>
            <w:vAlign w:val="center"/>
            <w:hideMark/>
          </w:tcPr>
          <w:p w14:paraId="71CE2B55"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330" w:type="pct"/>
            <w:tcBorders>
              <w:top w:val="nil"/>
              <w:left w:val="nil"/>
              <w:bottom w:val="single" w:sz="4" w:space="0" w:color="auto"/>
              <w:right w:val="single" w:sz="4" w:space="0" w:color="auto"/>
            </w:tcBorders>
            <w:vAlign w:val="center"/>
            <w:hideMark/>
          </w:tcPr>
          <w:p w14:paraId="0D61489A" w14:textId="77777777" w:rsidR="00DB1AEE" w:rsidRPr="00DB1AEE" w:rsidRDefault="00DB1AEE" w:rsidP="00DB1AEE">
            <w:pPr>
              <w:suppressAutoHyphens/>
              <w:jc w:val="center"/>
              <w:rPr>
                <w:sz w:val="18"/>
                <w:szCs w:val="18"/>
                <w:u w:val="single"/>
              </w:rPr>
            </w:pPr>
            <w:r w:rsidRPr="00DB1AEE">
              <w:rPr>
                <w:sz w:val="18"/>
                <w:szCs w:val="18"/>
                <w:u w:val="single"/>
              </w:rPr>
              <w:t> </w:t>
            </w:r>
          </w:p>
        </w:tc>
        <w:tc>
          <w:tcPr>
            <w:tcW w:w="364" w:type="pct"/>
            <w:gridSpan w:val="2"/>
            <w:tcBorders>
              <w:top w:val="nil"/>
              <w:left w:val="nil"/>
              <w:bottom w:val="single" w:sz="4" w:space="0" w:color="auto"/>
              <w:right w:val="single" w:sz="4" w:space="0" w:color="auto"/>
            </w:tcBorders>
            <w:hideMark/>
          </w:tcPr>
          <w:p w14:paraId="682B0500" w14:textId="77777777" w:rsidR="00DB1AEE" w:rsidRPr="00DB1AEE" w:rsidRDefault="00DB1AEE" w:rsidP="00DB1AEE">
            <w:pPr>
              <w:suppressAutoHyphens/>
              <w:jc w:val="left"/>
              <w:rPr>
                <w:sz w:val="18"/>
                <w:szCs w:val="18"/>
                <w:u w:val="single"/>
              </w:rPr>
            </w:pPr>
            <w:r w:rsidRPr="00DB1AEE">
              <w:rPr>
                <w:sz w:val="18"/>
                <w:szCs w:val="18"/>
                <w:u w:val="single"/>
              </w:rPr>
              <w:t>REQ</w:t>
            </w:r>
          </w:p>
        </w:tc>
        <w:tc>
          <w:tcPr>
            <w:tcW w:w="427" w:type="pct"/>
            <w:gridSpan w:val="3"/>
            <w:tcBorders>
              <w:top w:val="nil"/>
              <w:left w:val="nil"/>
              <w:bottom w:val="single" w:sz="4" w:space="0" w:color="auto"/>
              <w:right w:val="single" w:sz="4" w:space="0" w:color="auto"/>
            </w:tcBorders>
            <w:hideMark/>
          </w:tcPr>
          <w:p w14:paraId="556BAEA9"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97" w:type="pct"/>
            <w:tcBorders>
              <w:top w:val="nil"/>
              <w:left w:val="nil"/>
              <w:bottom w:val="single" w:sz="4" w:space="0" w:color="auto"/>
              <w:right w:val="single" w:sz="4" w:space="0" w:color="auto"/>
            </w:tcBorders>
            <w:hideMark/>
          </w:tcPr>
          <w:p w14:paraId="1F18652F"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63" w:type="pct"/>
            <w:tcBorders>
              <w:top w:val="nil"/>
              <w:left w:val="nil"/>
              <w:bottom w:val="single" w:sz="4" w:space="0" w:color="auto"/>
              <w:right w:val="single" w:sz="4" w:space="0" w:color="auto"/>
            </w:tcBorders>
            <w:hideMark/>
          </w:tcPr>
          <w:p w14:paraId="05EE831C"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418" w:type="pct"/>
            <w:gridSpan w:val="3"/>
            <w:tcBorders>
              <w:top w:val="nil"/>
              <w:left w:val="nil"/>
              <w:bottom w:val="single" w:sz="4" w:space="0" w:color="auto"/>
              <w:right w:val="single" w:sz="4" w:space="0" w:color="auto"/>
            </w:tcBorders>
            <w:hideMark/>
          </w:tcPr>
          <w:p w14:paraId="2A288424" w14:textId="77777777" w:rsidR="00DB1AEE" w:rsidRPr="00DB1AEE" w:rsidRDefault="00DB1AEE" w:rsidP="00DB1AEE">
            <w:pPr>
              <w:suppressAutoHyphens/>
              <w:jc w:val="left"/>
              <w:rPr>
                <w:sz w:val="18"/>
                <w:szCs w:val="18"/>
                <w:u w:val="single"/>
              </w:rPr>
            </w:pPr>
            <w:r w:rsidRPr="00DB1AEE">
              <w:rPr>
                <w:sz w:val="18"/>
                <w:szCs w:val="18"/>
                <w:u w:val="single"/>
              </w:rPr>
              <w:t>ADD2</w:t>
            </w:r>
          </w:p>
        </w:tc>
        <w:tc>
          <w:tcPr>
            <w:tcW w:w="323" w:type="pct"/>
            <w:tcBorders>
              <w:top w:val="nil"/>
              <w:left w:val="nil"/>
              <w:bottom w:val="single" w:sz="4" w:space="0" w:color="auto"/>
              <w:right w:val="single" w:sz="4" w:space="0" w:color="auto"/>
            </w:tcBorders>
            <w:hideMark/>
          </w:tcPr>
          <w:p w14:paraId="6F62310B" w14:textId="77777777" w:rsidR="00DB1AEE" w:rsidRPr="00DB1AEE" w:rsidRDefault="00DB1AEE" w:rsidP="00DB1AEE">
            <w:pPr>
              <w:suppressAutoHyphens/>
              <w:jc w:val="left"/>
              <w:rPr>
                <w:sz w:val="18"/>
                <w:szCs w:val="18"/>
                <w:u w:val="single"/>
              </w:rPr>
            </w:pPr>
            <w:r w:rsidRPr="00DB1AEE">
              <w:rPr>
                <w:sz w:val="18"/>
                <w:szCs w:val="18"/>
                <w:u w:val="single"/>
              </w:rPr>
              <w:t>ADD2</w:t>
            </w:r>
          </w:p>
        </w:tc>
      </w:tr>
      <w:tr w:rsidR="00DB1AEE" w:rsidRPr="00DB1AEE" w14:paraId="1066E35B" w14:textId="77777777" w:rsidTr="00FC1832">
        <w:trPr>
          <w:trHeight w:val="300"/>
        </w:trPr>
        <w:tc>
          <w:tcPr>
            <w:tcW w:w="896" w:type="pct"/>
            <w:tcBorders>
              <w:top w:val="nil"/>
              <w:left w:val="single" w:sz="4" w:space="0" w:color="auto"/>
              <w:bottom w:val="single" w:sz="4" w:space="0" w:color="auto"/>
              <w:right w:val="single" w:sz="4" w:space="0" w:color="auto"/>
            </w:tcBorders>
            <w:hideMark/>
          </w:tcPr>
          <w:p w14:paraId="18FAAF32" w14:textId="77777777" w:rsidR="00DB1AEE" w:rsidRPr="00DB1AEE" w:rsidRDefault="00DB1AEE" w:rsidP="00DB1AEE">
            <w:pPr>
              <w:suppressAutoHyphens/>
              <w:jc w:val="left"/>
              <w:rPr>
                <w:sz w:val="18"/>
                <w:szCs w:val="18"/>
                <w:u w:val="single"/>
              </w:rPr>
            </w:pPr>
            <w:r w:rsidRPr="00DB1AEE">
              <w:rPr>
                <w:sz w:val="18"/>
                <w:szCs w:val="18"/>
                <w:u w:val="single"/>
              </w:rPr>
              <w:t>Hospital corridor</w:t>
            </w:r>
          </w:p>
        </w:tc>
        <w:tc>
          <w:tcPr>
            <w:tcW w:w="429" w:type="pct"/>
            <w:gridSpan w:val="2"/>
            <w:tcBorders>
              <w:top w:val="nil"/>
              <w:left w:val="nil"/>
              <w:bottom w:val="single" w:sz="4" w:space="0" w:color="auto"/>
              <w:right w:val="single" w:sz="4" w:space="0" w:color="auto"/>
            </w:tcBorders>
            <w:noWrap/>
            <w:hideMark/>
          </w:tcPr>
          <w:p w14:paraId="641FDCFD" w14:textId="77777777" w:rsidR="00DB1AEE" w:rsidRPr="00DB1AEE" w:rsidRDefault="00DB1AEE" w:rsidP="00DB1AEE">
            <w:pPr>
              <w:suppressAutoHyphens/>
              <w:jc w:val="left"/>
              <w:rPr>
                <w:sz w:val="18"/>
                <w:szCs w:val="18"/>
                <w:u w:val="single"/>
              </w:rPr>
            </w:pPr>
            <w:r w:rsidRPr="00DB1AEE">
              <w:rPr>
                <w:sz w:val="18"/>
                <w:szCs w:val="18"/>
                <w:u w:val="single"/>
              </w:rPr>
              <w:t> </w:t>
            </w:r>
          </w:p>
          <w:p w14:paraId="356DCF38" w14:textId="77777777" w:rsidR="00DB1AEE" w:rsidRPr="00DB1AEE" w:rsidRDefault="00DB1AEE" w:rsidP="00DB1AEE">
            <w:pPr>
              <w:suppressAutoHyphens/>
              <w:jc w:val="left"/>
              <w:rPr>
                <w:sz w:val="18"/>
                <w:szCs w:val="18"/>
                <w:u w:val="single"/>
              </w:rPr>
            </w:pPr>
            <w:r w:rsidRPr="00DB1AEE">
              <w:rPr>
                <w:sz w:val="18"/>
                <w:szCs w:val="18"/>
                <w:u w:val="single"/>
              </w:rPr>
              <w:t>0.61</w:t>
            </w:r>
          </w:p>
        </w:tc>
        <w:tc>
          <w:tcPr>
            <w:tcW w:w="330" w:type="pct"/>
            <w:tcBorders>
              <w:top w:val="nil"/>
              <w:left w:val="nil"/>
              <w:bottom w:val="single" w:sz="4" w:space="0" w:color="auto"/>
              <w:right w:val="single" w:sz="4" w:space="0" w:color="auto"/>
            </w:tcBorders>
            <w:hideMark/>
          </w:tcPr>
          <w:p w14:paraId="50B3741B" w14:textId="77777777" w:rsidR="00DB1AEE" w:rsidRPr="00DB1AEE" w:rsidRDefault="00DB1AEE" w:rsidP="00DB1AEE">
            <w:pPr>
              <w:suppressAutoHyphens/>
              <w:jc w:val="center"/>
              <w:rPr>
                <w:sz w:val="18"/>
                <w:szCs w:val="18"/>
                <w:u w:val="single"/>
              </w:rPr>
            </w:pPr>
            <w:r w:rsidRPr="00DB1AEE">
              <w:rPr>
                <w:sz w:val="18"/>
                <w:szCs w:val="18"/>
                <w:u w:val="single"/>
              </w:rPr>
              <w:t>width  8 ft</w:t>
            </w:r>
          </w:p>
        </w:tc>
        <w:tc>
          <w:tcPr>
            <w:tcW w:w="361" w:type="pct"/>
            <w:gridSpan w:val="2"/>
            <w:tcBorders>
              <w:top w:val="nil"/>
              <w:left w:val="nil"/>
              <w:bottom w:val="single" w:sz="4" w:space="0" w:color="auto"/>
              <w:right w:val="single" w:sz="4" w:space="0" w:color="auto"/>
            </w:tcBorders>
            <w:hideMark/>
          </w:tcPr>
          <w:p w14:paraId="0F7A04B5"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63" w:type="pct"/>
            <w:gridSpan w:val="3"/>
            <w:tcBorders>
              <w:top w:val="nil"/>
              <w:left w:val="nil"/>
              <w:bottom w:val="single" w:sz="4" w:space="0" w:color="auto"/>
              <w:right w:val="single" w:sz="4" w:space="0" w:color="auto"/>
            </w:tcBorders>
            <w:vAlign w:val="center"/>
            <w:hideMark/>
          </w:tcPr>
          <w:p w14:paraId="57133F83"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330" w:type="pct"/>
            <w:tcBorders>
              <w:top w:val="nil"/>
              <w:left w:val="nil"/>
              <w:bottom w:val="single" w:sz="4" w:space="0" w:color="auto"/>
              <w:right w:val="single" w:sz="4" w:space="0" w:color="auto"/>
            </w:tcBorders>
            <w:vAlign w:val="center"/>
            <w:hideMark/>
          </w:tcPr>
          <w:p w14:paraId="1878616E" w14:textId="77777777" w:rsidR="00DB1AEE" w:rsidRPr="00DB1AEE" w:rsidRDefault="00DB1AEE" w:rsidP="00DB1AEE">
            <w:pPr>
              <w:suppressAutoHyphens/>
              <w:jc w:val="center"/>
              <w:rPr>
                <w:sz w:val="18"/>
                <w:szCs w:val="18"/>
                <w:u w:val="single"/>
              </w:rPr>
            </w:pPr>
            <w:r w:rsidRPr="00DB1AEE">
              <w:rPr>
                <w:sz w:val="18"/>
                <w:szCs w:val="18"/>
                <w:u w:val="single"/>
              </w:rPr>
              <w:t> </w:t>
            </w:r>
          </w:p>
        </w:tc>
        <w:tc>
          <w:tcPr>
            <w:tcW w:w="364" w:type="pct"/>
            <w:gridSpan w:val="2"/>
            <w:tcBorders>
              <w:top w:val="nil"/>
              <w:left w:val="nil"/>
              <w:bottom w:val="single" w:sz="4" w:space="0" w:color="auto"/>
              <w:right w:val="single" w:sz="4" w:space="0" w:color="auto"/>
            </w:tcBorders>
            <w:hideMark/>
          </w:tcPr>
          <w:p w14:paraId="5D3E6E75"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427" w:type="pct"/>
            <w:gridSpan w:val="3"/>
            <w:tcBorders>
              <w:top w:val="nil"/>
              <w:left w:val="nil"/>
              <w:bottom w:val="single" w:sz="4" w:space="0" w:color="auto"/>
              <w:right w:val="single" w:sz="4" w:space="0" w:color="auto"/>
            </w:tcBorders>
            <w:hideMark/>
          </w:tcPr>
          <w:p w14:paraId="3F2072DE"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97" w:type="pct"/>
            <w:tcBorders>
              <w:top w:val="nil"/>
              <w:left w:val="nil"/>
              <w:bottom w:val="single" w:sz="4" w:space="0" w:color="auto"/>
              <w:right w:val="single" w:sz="4" w:space="0" w:color="auto"/>
            </w:tcBorders>
            <w:hideMark/>
          </w:tcPr>
          <w:p w14:paraId="5AE38BDC"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63" w:type="pct"/>
            <w:tcBorders>
              <w:top w:val="nil"/>
              <w:left w:val="nil"/>
              <w:bottom w:val="single" w:sz="4" w:space="0" w:color="auto"/>
              <w:right w:val="single" w:sz="4" w:space="0" w:color="auto"/>
            </w:tcBorders>
            <w:hideMark/>
          </w:tcPr>
          <w:p w14:paraId="66794F43" w14:textId="77777777" w:rsidR="00DB1AEE" w:rsidRPr="00DB1AEE" w:rsidRDefault="00DB1AEE" w:rsidP="00DB1AEE">
            <w:pPr>
              <w:suppressAutoHyphens/>
              <w:jc w:val="center"/>
              <w:rPr>
                <w:sz w:val="18"/>
                <w:szCs w:val="18"/>
                <w:u w:val="single"/>
              </w:rPr>
            </w:pPr>
            <w:r w:rsidRPr="00DB1AEE">
              <w:rPr>
                <w:sz w:val="18"/>
                <w:szCs w:val="18"/>
                <w:u w:val="single"/>
              </w:rPr>
              <w:t>ADD2</w:t>
            </w:r>
          </w:p>
        </w:tc>
        <w:tc>
          <w:tcPr>
            <w:tcW w:w="418" w:type="pct"/>
            <w:gridSpan w:val="3"/>
            <w:tcBorders>
              <w:top w:val="nil"/>
              <w:left w:val="nil"/>
              <w:bottom w:val="single" w:sz="4" w:space="0" w:color="auto"/>
              <w:right w:val="single" w:sz="4" w:space="0" w:color="auto"/>
            </w:tcBorders>
            <w:hideMark/>
          </w:tcPr>
          <w:p w14:paraId="56E29D19" w14:textId="77777777" w:rsidR="00DB1AEE" w:rsidRPr="00DB1AEE" w:rsidRDefault="00DB1AEE" w:rsidP="00DB1AEE">
            <w:pPr>
              <w:suppressAutoHyphens/>
              <w:jc w:val="center"/>
              <w:rPr>
                <w:sz w:val="18"/>
                <w:szCs w:val="18"/>
                <w:u w:val="single"/>
              </w:rPr>
            </w:pPr>
            <w:r w:rsidRPr="00DB1AEE">
              <w:rPr>
                <w:sz w:val="18"/>
                <w:szCs w:val="18"/>
                <w:u w:val="single"/>
              </w:rPr>
              <w:t>ADD2</w:t>
            </w:r>
          </w:p>
        </w:tc>
        <w:tc>
          <w:tcPr>
            <w:tcW w:w="323" w:type="pct"/>
            <w:tcBorders>
              <w:top w:val="nil"/>
              <w:left w:val="nil"/>
              <w:bottom w:val="single" w:sz="4" w:space="0" w:color="auto"/>
              <w:right w:val="single" w:sz="4" w:space="0" w:color="auto"/>
            </w:tcBorders>
            <w:hideMark/>
          </w:tcPr>
          <w:p w14:paraId="4EB1A72A" w14:textId="77777777" w:rsidR="00DB1AEE" w:rsidRPr="00DB1AEE" w:rsidRDefault="00DB1AEE" w:rsidP="00DB1AEE">
            <w:pPr>
              <w:suppressAutoHyphens/>
              <w:jc w:val="center"/>
              <w:rPr>
                <w:sz w:val="18"/>
                <w:szCs w:val="18"/>
                <w:u w:val="single"/>
              </w:rPr>
            </w:pPr>
            <w:r w:rsidRPr="00DB1AEE">
              <w:rPr>
                <w:sz w:val="18"/>
                <w:szCs w:val="18"/>
                <w:u w:val="single"/>
              </w:rPr>
              <w:t>ADD2</w:t>
            </w:r>
          </w:p>
        </w:tc>
      </w:tr>
      <w:tr w:rsidR="00DB1AEE" w:rsidRPr="00DB1AEE" w14:paraId="43052339" w14:textId="77777777" w:rsidTr="00FC1832">
        <w:trPr>
          <w:trHeight w:val="300"/>
        </w:trPr>
        <w:tc>
          <w:tcPr>
            <w:tcW w:w="896" w:type="pct"/>
            <w:tcBorders>
              <w:top w:val="nil"/>
              <w:left w:val="single" w:sz="4" w:space="0" w:color="auto"/>
              <w:bottom w:val="single" w:sz="4" w:space="0" w:color="auto"/>
              <w:right w:val="single" w:sz="4" w:space="0" w:color="auto"/>
            </w:tcBorders>
            <w:hideMark/>
          </w:tcPr>
          <w:p w14:paraId="562CDF84" w14:textId="77777777" w:rsidR="00DB1AEE" w:rsidRPr="00DB1AEE" w:rsidRDefault="00DB1AEE" w:rsidP="00DB1AEE">
            <w:pPr>
              <w:suppressAutoHyphens/>
              <w:jc w:val="left"/>
              <w:rPr>
                <w:sz w:val="18"/>
                <w:szCs w:val="18"/>
                <w:u w:val="single"/>
              </w:rPr>
            </w:pPr>
            <w:r w:rsidRPr="00DB1AEE">
              <w:rPr>
                <w:sz w:val="18"/>
                <w:szCs w:val="18"/>
                <w:u w:val="single"/>
              </w:rPr>
              <w:t>Imaging room</w:t>
            </w:r>
          </w:p>
        </w:tc>
        <w:tc>
          <w:tcPr>
            <w:tcW w:w="429" w:type="pct"/>
            <w:gridSpan w:val="2"/>
            <w:tcBorders>
              <w:top w:val="nil"/>
              <w:left w:val="nil"/>
              <w:bottom w:val="single" w:sz="4" w:space="0" w:color="auto"/>
              <w:right w:val="single" w:sz="4" w:space="0" w:color="auto"/>
            </w:tcBorders>
            <w:noWrap/>
            <w:hideMark/>
          </w:tcPr>
          <w:p w14:paraId="1287B368" w14:textId="77777777" w:rsidR="00DB1AEE" w:rsidRPr="00DB1AEE" w:rsidRDefault="00DB1AEE" w:rsidP="00DB1AEE">
            <w:pPr>
              <w:suppressAutoHyphens/>
              <w:jc w:val="left"/>
              <w:rPr>
                <w:sz w:val="18"/>
                <w:szCs w:val="18"/>
                <w:u w:val="single"/>
              </w:rPr>
            </w:pPr>
            <w:r w:rsidRPr="00DB1AEE">
              <w:rPr>
                <w:sz w:val="18"/>
                <w:szCs w:val="18"/>
                <w:u w:val="single"/>
              </w:rPr>
              <w:t>0.94</w:t>
            </w:r>
          </w:p>
        </w:tc>
        <w:tc>
          <w:tcPr>
            <w:tcW w:w="330" w:type="pct"/>
            <w:tcBorders>
              <w:top w:val="nil"/>
              <w:left w:val="nil"/>
              <w:bottom w:val="single" w:sz="4" w:space="0" w:color="auto"/>
              <w:right w:val="single" w:sz="4" w:space="0" w:color="auto"/>
            </w:tcBorders>
            <w:noWrap/>
            <w:hideMark/>
          </w:tcPr>
          <w:p w14:paraId="7AFA5832" w14:textId="77777777" w:rsidR="00DB1AEE" w:rsidRPr="00DB1AEE" w:rsidRDefault="00DB1AEE" w:rsidP="00DB1AEE">
            <w:pPr>
              <w:suppressAutoHyphens/>
              <w:jc w:val="center"/>
              <w:rPr>
                <w:sz w:val="18"/>
                <w:szCs w:val="18"/>
                <w:u w:val="single"/>
              </w:rPr>
            </w:pPr>
            <w:r w:rsidRPr="00DB1AEE">
              <w:rPr>
                <w:sz w:val="18"/>
                <w:szCs w:val="18"/>
                <w:u w:val="single"/>
              </w:rPr>
              <w:t>6</w:t>
            </w:r>
          </w:p>
        </w:tc>
        <w:tc>
          <w:tcPr>
            <w:tcW w:w="361" w:type="pct"/>
            <w:gridSpan w:val="2"/>
            <w:tcBorders>
              <w:top w:val="nil"/>
              <w:left w:val="nil"/>
              <w:bottom w:val="single" w:sz="4" w:space="0" w:color="auto"/>
              <w:right w:val="single" w:sz="4" w:space="0" w:color="auto"/>
            </w:tcBorders>
            <w:hideMark/>
          </w:tcPr>
          <w:p w14:paraId="711677F0"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63" w:type="pct"/>
            <w:gridSpan w:val="3"/>
            <w:tcBorders>
              <w:top w:val="nil"/>
              <w:left w:val="nil"/>
              <w:bottom w:val="single" w:sz="4" w:space="0" w:color="auto"/>
              <w:right w:val="single" w:sz="4" w:space="0" w:color="auto"/>
            </w:tcBorders>
            <w:vAlign w:val="center"/>
            <w:hideMark/>
          </w:tcPr>
          <w:p w14:paraId="0604231C"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330" w:type="pct"/>
            <w:tcBorders>
              <w:top w:val="nil"/>
              <w:left w:val="nil"/>
              <w:bottom w:val="single" w:sz="4" w:space="0" w:color="auto"/>
              <w:right w:val="single" w:sz="4" w:space="0" w:color="auto"/>
            </w:tcBorders>
            <w:vAlign w:val="center"/>
            <w:hideMark/>
          </w:tcPr>
          <w:p w14:paraId="67C39275" w14:textId="77777777" w:rsidR="00DB1AEE" w:rsidRPr="00DB1AEE" w:rsidRDefault="00DB1AEE" w:rsidP="00DB1AEE">
            <w:pPr>
              <w:suppressAutoHyphens/>
              <w:jc w:val="center"/>
              <w:rPr>
                <w:sz w:val="18"/>
                <w:szCs w:val="18"/>
                <w:u w:val="single"/>
              </w:rPr>
            </w:pPr>
            <w:r w:rsidRPr="00DB1AEE">
              <w:rPr>
                <w:sz w:val="18"/>
                <w:szCs w:val="18"/>
                <w:u w:val="single"/>
              </w:rPr>
              <w:t> </w:t>
            </w:r>
          </w:p>
        </w:tc>
        <w:tc>
          <w:tcPr>
            <w:tcW w:w="364" w:type="pct"/>
            <w:gridSpan w:val="2"/>
            <w:tcBorders>
              <w:top w:val="nil"/>
              <w:left w:val="nil"/>
              <w:bottom w:val="single" w:sz="4" w:space="0" w:color="auto"/>
              <w:right w:val="single" w:sz="4" w:space="0" w:color="auto"/>
            </w:tcBorders>
            <w:hideMark/>
          </w:tcPr>
          <w:p w14:paraId="54D66F90" w14:textId="77777777" w:rsidR="00DB1AEE" w:rsidRPr="00DB1AEE" w:rsidRDefault="00DB1AEE" w:rsidP="00DB1AEE">
            <w:pPr>
              <w:suppressAutoHyphens/>
              <w:jc w:val="left"/>
              <w:rPr>
                <w:sz w:val="18"/>
                <w:szCs w:val="18"/>
                <w:u w:val="single"/>
              </w:rPr>
            </w:pPr>
            <w:r w:rsidRPr="00DB1AEE">
              <w:rPr>
                <w:sz w:val="18"/>
                <w:szCs w:val="18"/>
                <w:u w:val="single"/>
              </w:rPr>
              <w:t>REQ</w:t>
            </w:r>
          </w:p>
        </w:tc>
        <w:tc>
          <w:tcPr>
            <w:tcW w:w="427" w:type="pct"/>
            <w:gridSpan w:val="3"/>
            <w:tcBorders>
              <w:top w:val="nil"/>
              <w:left w:val="nil"/>
              <w:bottom w:val="single" w:sz="4" w:space="0" w:color="auto"/>
              <w:right w:val="single" w:sz="4" w:space="0" w:color="auto"/>
            </w:tcBorders>
            <w:vAlign w:val="bottom"/>
            <w:hideMark/>
          </w:tcPr>
          <w:p w14:paraId="4182D814" w14:textId="77777777" w:rsidR="00DB1AEE" w:rsidRPr="00DB1AEE" w:rsidRDefault="00DB1AEE" w:rsidP="00DB1AEE">
            <w:pPr>
              <w:suppressAutoHyphens/>
              <w:jc w:val="center"/>
              <w:rPr>
                <w:sz w:val="18"/>
                <w:szCs w:val="18"/>
                <w:u w:val="single"/>
              </w:rPr>
            </w:pPr>
            <w:r w:rsidRPr="00DB1AEE">
              <w:rPr>
                <w:sz w:val="18"/>
                <w:szCs w:val="18"/>
                <w:u w:val="single"/>
              </w:rPr>
              <w:t> </w:t>
            </w:r>
          </w:p>
        </w:tc>
        <w:tc>
          <w:tcPr>
            <w:tcW w:w="397" w:type="pct"/>
            <w:tcBorders>
              <w:top w:val="nil"/>
              <w:left w:val="nil"/>
              <w:bottom w:val="single" w:sz="4" w:space="0" w:color="auto"/>
              <w:right w:val="single" w:sz="4" w:space="0" w:color="auto"/>
            </w:tcBorders>
            <w:vAlign w:val="bottom"/>
            <w:hideMark/>
          </w:tcPr>
          <w:p w14:paraId="53A85F44" w14:textId="77777777" w:rsidR="00DB1AEE" w:rsidRPr="00DB1AEE" w:rsidRDefault="00DB1AEE" w:rsidP="00DB1AEE">
            <w:pPr>
              <w:suppressAutoHyphens/>
              <w:jc w:val="center"/>
              <w:rPr>
                <w:sz w:val="18"/>
                <w:szCs w:val="18"/>
                <w:u w:val="single"/>
              </w:rPr>
            </w:pPr>
            <w:r w:rsidRPr="00DB1AEE">
              <w:rPr>
                <w:sz w:val="18"/>
                <w:szCs w:val="18"/>
                <w:u w:val="single"/>
              </w:rPr>
              <w:t> </w:t>
            </w:r>
          </w:p>
        </w:tc>
        <w:tc>
          <w:tcPr>
            <w:tcW w:w="363" w:type="pct"/>
            <w:tcBorders>
              <w:top w:val="nil"/>
              <w:left w:val="nil"/>
              <w:bottom w:val="single" w:sz="4" w:space="0" w:color="auto"/>
              <w:right w:val="single" w:sz="4" w:space="0" w:color="auto"/>
            </w:tcBorders>
            <w:hideMark/>
          </w:tcPr>
          <w:p w14:paraId="7D5B9209"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418" w:type="pct"/>
            <w:gridSpan w:val="3"/>
            <w:tcBorders>
              <w:top w:val="nil"/>
              <w:left w:val="nil"/>
              <w:bottom w:val="single" w:sz="4" w:space="0" w:color="auto"/>
              <w:right w:val="single" w:sz="4" w:space="0" w:color="auto"/>
            </w:tcBorders>
            <w:hideMark/>
          </w:tcPr>
          <w:p w14:paraId="3CFE5769" w14:textId="77777777" w:rsidR="00DB1AEE" w:rsidRPr="00DB1AEE" w:rsidRDefault="00DB1AEE" w:rsidP="00DB1AEE">
            <w:pPr>
              <w:suppressAutoHyphens/>
              <w:jc w:val="left"/>
              <w:rPr>
                <w:sz w:val="18"/>
                <w:szCs w:val="18"/>
                <w:u w:val="single"/>
              </w:rPr>
            </w:pPr>
            <w:r w:rsidRPr="00DB1AEE">
              <w:rPr>
                <w:sz w:val="18"/>
                <w:szCs w:val="18"/>
                <w:u w:val="single"/>
              </w:rPr>
              <w:t>ADD2</w:t>
            </w:r>
          </w:p>
        </w:tc>
        <w:tc>
          <w:tcPr>
            <w:tcW w:w="323" w:type="pct"/>
            <w:tcBorders>
              <w:top w:val="nil"/>
              <w:left w:val="nil"/>
              <w:bottom w:val="single" w:sz="4" w:space="0" w:color="auto"/>
              <w:right w:val="single" w:sz="4" w:space="0" w:color="auto"/>
            </w:tcBorders>
            <w:hideMark/>
          </w:tcPr>
          <w:p w14:paraId="046C1F9B" w14:textId="77777777" w:rsidR="00DB1AEE" w:rsidRPr="00DB1AEE" w:rsidRDefault="00DB1AEE" w:rsidP="00DB1AEE">
            <w:pPr>
              <w:suppressAutoHyphens/>
              <w:jc w:val="left"/>
              <w:rPr>
                <w:sz w:val="18"/>
                <w:szCs w:val="18"/>
                <w:u w:val="single"/>
              </w:rPr>
            </w:pPr>
            <w:r w:rsidRPr="00DB1AEE">
              <w:rPr>
                <w:sz w:val="18"/>
                <w:szCs w:val="18"/>
                <w:u w:val="single"/>
              </w:rPr>
              <w:t>ADD2</w:t>
            </w:r>
          </w:p>
        </w:tc>
      </w:tr>
      <w:tr w:rsidR="00DB1AEE" w:rsidRPr="00DB1AEE" w14:paraId="39A3902B" w14:textId="77777777" w:rsidTr="00FC1832">
        <w:trPr>
          <w:trHeight w:val="300"/>
        </w:trPr>
        <w:tc>
          <w:tcPr>
            <w:tcW w:w="896" w:type="pct"/>
            <w:tcBorders>
              <w:top w:val="nil"/>
              <w:left w:val="single" w:sz="4" w:space="0" w:color="auto"/>
              <w:bottom w:val="single" w:sz="4" w:space="0" w:color="auto"/>
              <w:right w:val="single" w:sz="4" w:space="0" w:color="auto"/>
            </w:tcBorders>
            <w:hideMark/>
          </w:tcPr>
          <w:p w14:paraId="3725181A" w14:textId="77777777" w:rsidR="00DB1AEE" w:rsidRPr="00DB1AEE" w:rsidRDefault="00DB1AEE" w:rsidP="00DB1AEE">
            <w:pPr>
              <w:suppressAutoHyphens/>
              <w:jc w:val="left"/>
              <w:rPr>
                <w:sz w:val="18"/>
                <w:szCs w:val="18"/>
                <w:u w:val="single"/>
              </w:rPr>
            </w:pPr>
            <w:r w:rsidRPr="00DB1AEE">
              <w:rPr>
                <w:sz w:val="18"/>
                <w:szCs w:val="18"/>
                <w:u w:val="single"/>
              </w:rPr>
              <w:t>Lounge</w:t>
            </w:r>
          </w:p>
        </w:tc>
        <w:tc>
          <w:tcPr>
            <w:tcW w:w="429" w:type="pct"/>
            <w:gridSpan w:val="2"/>
            <w:tcBorders>
              <w:top w:val="nil"/>
              <w:left w:val="nil"/>
              <w:bottom w:val="single" w:sz="4" w:space="0" w:color="auto"/>
              <w:right w:val="single" w:sz="4" w:space="0" w:color="auto"/>
            </w:tcBorders>
            <w:noWrap/>
            <w:hideMark/>
          </w:tcPr>
          <w:p w14:paraId="251A617B" w14:textId="77777777" w:rsidR="00DB1AEE" w:rsidRPr="00DB1AEE" w:rsidRDefault="00DB1AEE" w:rsidP="00DB1AEE">
            <w:pPr>
              <w:suppressAutoHyphens/>
              <w:jc w:val="left"/>
              <w:rPr>
                <w:sz w:val="18"/>
                <w:szCs w:val="18"/>
                <w:u w:val="single"/>
              </w:rPr>
            </w:pPr>
            <w:r w:rsidRPr="00DB1AEE">
              <w:rPr>
                <w:sz w:val="18"/>
                <w:szCs w:val="18"/>
                <w:u w:val="single"/>
              </w:rPr>
              <w:t> </w:t>
            </w:r>
          </w:p>
          <w:p w14:paraId="001A82D4" w14:textId="77777777" w:rsidR="00DB1AEE" w:rsidRPr="00DB1AEE" w:rsidRDefault="00DB1AEE" w:rsidP="00DB1AEE">
            <w:pPr>
              <w:suppressAutoHyphens/>
              <w:jc w:val="left"/>
              <w:rPr>
                <w:sz w:val="18"/>
                <w:szCs w:val="18"/>
                <w:u w:val="single"/>
              </w:rPr>
            </w:pPr>
            <w:r w:rsidRPr="00DB1AEE">
              <w:rPr>
                <w:sz w:val="18"/>
                <w:szCs w:val="18"/>
                <w:u w:val="single"/>
              </w:rPr>
              <w:t>0.77</w:t>
            </w:r>
          </w:p>
        </w:tc>
        <w:tc>
          <w:tcPr>
            <w:tcW w:w="330" w:type="pct"/>
            <w:tcBorders>
              <w:top w:val="nil"/>
              <w:left w:val="nil"/>
              <w:bottom w:val="single" w:sz="4" w:space="0" w:color="auto"/>
              <w:right w:val="single" w:sz="4" w:space="0" w:color="auto"/>
            </w:tcBorders>
            <w:noWrap/>
            <w:hideMark/>
          </w:tcPr>
          <w:p w14:paraId="1419BC03" w14:textId="77777777" w:rsidR="00DB1AEE" w:rsidRPr="00DB1AEE" w:rsidRDefault="00DB1AEE" w:rsidP="00DB1AEE">
            <w:pPr>
              <w:suppressAutoHyphens/>
              <w:jc w:val="center"/>
              <w:rPr>
                <w:sz w:val="18"/>
                <w:szCs w:val="18"/>
                <w:u w:val="single"/>
              </w:rPr>
            </w:pPr>
            <w:r w:rsidRPr="00DB1AEE">
              <w:rPr>
                <w:sz w:val="18"/>
                <w:szCs w:val="18"/>
                <w:u w:val="single"/>
              </w:rPr>
              <w:t>6</w:t>
            </w:r>
          </w:p>
        </w:tc>
        <w:tc>
          <w:tcPr>
            <w:tcW w:w="361" w:type="pct"/>
            <w:gridSpan w:val="2"/>
            <w:tcBorders>
              <w:top w:val="nil"/>
              <w:left w:val="nil"/>
              <w:bottom w:val="single" w:sz="4" w:space="0" w:color="auto"/>
              <w:right w:val="single" w:sz="4" w:space="0" w:color="auto"/>
            </w:tcBorders>
            <w:hideMark/>
          </w:tcPr>
          <w:p w14:paraId="3A4E6D06"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63" w:type="pct"/>
            <w:gridSpan w:val="3"/>
            <w:tcBorders>
              <w:top w:val="nil"/>
              <w:left w:val="nil"/>
              <w:bottom w:val="single" w:sz="4" w:space="0" w:color="auto"/>
              <w:right w:val="single" w:sz="4" w:space="0" w:color="auto"/>
            </w:tcBorders>
            <w:hideMark/>
          </w:tcPr>
          <w:p w14:paraId="6DB94E48"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330" w:type="pct"/>
            <w:tcBorders>
              <w:top w:val="nil"/>
              <w:left w:val="nil"/>
              <w:bottom w:val="single" w:sz="4" w:space="0" w:color="auto"/>
              <w:right w:val="single" w:sz="4" w:space="0" w:color="auto"/>
            </w:tcBorders>
            <w:hideMark/>
          </w:tcPr>
          <w:p w14:paraId="78FD2108"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364" w:type="pct"/>
            <w:gridSpan w:val="2"/>
            <w:tcBorders>
              <w:top w:val="nil"/>
              <w:left w:val="nil"/>
              <w:bottom w:val="single" w:sz="4" w:space="0" w:color="auto"/>
              <w:right w:val="single" w:sz="4" w:space="0" w:color="auto"/>
            </w:tcBorders>
            <w:hideMark/>
          </w:tcPr>
          <w:p w14:paraId="21E919EF"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427" w:type="pct"/>
            <w:gridSpan w:val="3"/>
            <w:tcBorders>
              <w:top w:val="nil"/>
              <w:left w:val="nil"/>
              <w:bottom w:val="single" w:sz="4" w:space="0" w:color="auto"/>
              <w:right w:val="single" w:sz="4" w:space="0" w:color="auto"/>
            </w:tcBorders>
            <w:hideMark/>
          </w:tcPr>
          <w:p w14:paraId="06949A34"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97" w:type="pct"/>
            <w:tcBorders>
              <w:top w:val="nil"/>
              <w:left w:val="nil"/>
              <w:bottom w:val="single" w:sz="4" w:space="0" w:color="auto"/>
              <w:right w:val="single" w:sz="4" w:space="0" w:color="auto"/>
            </w:tcBorders>
            <w:hideMark/>
          </w:tcPr>
          <w:p w14:paraId="0DEC6F19"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63" w:type="pct"/>
            <w:tcBorders>
              <w:top w:val="nil"/>
              <w:left w:val="nil"/>
              <w:bottom w:val="single" w:sz="4" w:space="0" w:color="auto"/>
              <w:right w:val="single" w:sz="4" w:space="0" w:color="auto"/>
            </w:tcBorders>
            <w:hideMark/>
          </w:tcPr>
          <w:p w14:paraId="426EBA05"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418" w:type="pct"/>
            <w:gridSpan w:val="3"/>
            <w:tcBorders>
              <w:top w:val="nil"/>
              <w:left w:val="nil"/>
              <w:bottom w:val="single" w:sz="4" w:space="0" w:color="auto"/>
              <w:right w:val="single" w:sz="4" w:space="0" w:color="auto"/>
            </w:tcBorders>
            <w:hideMark/>
          </w:tcPr>
          <w:p w14:paraId="2CE3248A"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23" w:type="pct"/>
            <w:tcBorders>
              <w:top w:val="nil"/>
              <w:left w:val="nil"/>
              <w:bottom w:val="single" w:sz="4" w:space="0" w:color="auto"/>
              <w:right w:val="single" w:sz="4" w:space="0" w:color="auto"/>
            </w:tcBorders>
            <w:hideMark/>
          </w:tcPr>
          <w:p w14:paraId="20FD89FE" w14:textId="77777777" w:rsidR="00DB1AEE" w:rsidRPr="00DB1AEE" w:rsidRDefault="00DB1AEE" w:rsidP="00DB1AEE">
            <w:pPr>
              <w:suppressAutoHyphens/>
              <w:jc w:val="left"/>
              <w:rPr>
                <w:sz w:val="18"/>
                <w:szCs w:val="18"/>
                <w:u w:val="single"/>
              </w:rPr>
            </w:pPr>
            <w:r w:rsidRPr="00DB1AEE">
              <w:rPr>
                <w:sz w:val="18"/>
                <w:szCs w:val="18"/>
                <w:u w:val="single"/>
              </w:rPr>
              <w:t> </w:t>
            </w:r>
          </w:p>
        </w:tc>
      </w:tr>
      <w:tr w:rsidR="00DB1AEE" w:rsidRPr="00DB1AEE" w14:paraId="7865C4E6" w14:textId="77777777" w:rsidTr="00FC1832">
        <w:trPr>
          <w:trHeight w:val="1635"/>
        </w:trPr>
        <w:tc>
          <w:tcPr>
            <w:tcW w:w="896" w:type="pct"/>
            <w:tcBorders>
              <w:top w:val="nil"/>
              <w:left w:val="single" w:sz="4" w:space="0" w:color="auto"/>
              <w:bottom w:val="single" w:sz="4" w:space="0" w:color="auto"/>
              <w:right w:val="single" w:sz="4" w:space="0" w:color="auto"/>
            </w:tcBorders>
            <w:hideMark/>
          </w:tcPr>
          <w:p w14:paraId="52DE929E" w14:textId="77777777" w:rsidR="00DB1AEE" w:rsidRPr="00DB1AEE" w:rsidRDefault="00DB1AEE" w:rsidP="00DB1AEE">
            <w:pPr>
              <w:suppressAutoHyphens/>
              <w:jc w:val="left"/>
              <w:rPr>
                <w:sz w:val="18"/>
                <w:szCs w:val="18"/>
                <w:u w:val="single"/>
              </w:rPr>
            </w:pPr>
            <w:r w:rsidRPr="00DB1AEE">
              <w:rPr>
                <w:sz w:val="18"/>
                <w:szCs w:val="18"/>
                <w:u w:val="single"/>
              </w:rPr>
              <w:t>Medical supply room</w:t>
            </w:r>
          </w:p>
        </w:tc>
        <w:tc>
          <w:tcPr>
            <w:tcW w:w="429" w:type="pct"/>
            <w:gridSpan w:val="2"/>
            <w:tcBorders>
              <w:top w:val="nil"/>
              <w:left w:val="nil"/>
              <w:bottom w:val="single" w:sz="4" w:space="0" w:color="auto"/>
              <w:right w:val="single" w:sz="4" w:space="0" w:color="auto"/>
            </w:tcBorders>
            <w:noWrap/>
            <w:hideMark/>
          </w:tcPr>
          <w:p w14:paraId="3FAB9ECD" w14:textId="77777777" w:rsidR="00DB1AEE" w:rsidRPr="00DB1AEE" w:rsidRDefault="00DB1AEE" w:rsidP="00DB1AEE">
            <w:pPr>
              <w:suppressAutoHyphens/>
              <w:jc w:val="left"/>
              <w:rPr>
                <w:strike/>
                <w:sz w:val="18"/>
                <w:szCs w:val="18"/>
                <w:u w:val="single"/>
              </w:rPr>
            </w:pPr>
            <w:r w:rsidRPr="00DB1AEE">
              <w:rPr>
                <w:sz w:val="18"/>
                <w:szCs w:val="18"/>
                <w:u w:val="single"/>
              </w:rPr>
              <w:t>0.54</w:t>
            </w:r>
          </w:p>
        </w:tc>
        <w:tc>
          <w:tcPr>
            <w:tcW w:w="330" w:type="pct"/>
            <w:tcBorders>
              <w:top w:val="nil"/>
              <w:left w:val="nil"/>
              <w:bottom w:val="single" w:sz="4" w:space="0" w:color="auto"/>
              <w:right w:val="single" w:sz="4" w:space="0" w:color="auto"/>
            </w:tcBorders>
            <w:noWrap/>
            <w:hideMark/>
          </w:tcPr>
          <w:p w14:paraId="35F7EB6D" w14:textId="77777777" w:rsidR="00DB1AEE" w:rsidRPr="00DB1AEE" w:rsidRDefault="00DB1AEE" w:rsidP="00DB1AEE">
            <w:pPr>
              <w:suppressAutoHyphens/>
              <w:jc w:val="center"/>
              <w:rPr>
                <w:sz w:val="18"/>
                <w:szCs w:val="18"/>
                <w:u w:val="single"/>
              </w:rPr>
            </w:pPr>
            <w:r w:rsidRPr="00DB1AEE">
              <w:rPr>
                <w:sz w:val="18"/>
                <w:szCs w:val="18"/>
                <w:u w:val="single"/>
              </w:rPr>
              <w:t>6</w:t>
            </w:r>
          </w:p>
        </w:tc>
        <w:tc>
          <w:tcPr>
            <w:tcW w:w="361" w:type="pct"/>
            <w:gridSpan w:val="2"/>
            <w:tcBorders>
              <w:top w:val="nil"/>
              <w:left w:val="nil"/>
              <w:bottom w:val="single" w:sz="4" w:space="0" w:color="auto"/>
              <w:right w:val="nil"/>
            </w:tcBorders>
            <w:hideMark/>
          </w:tcPr>
          <w:p w14:paraId="030F7CFC"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63" w:type="pct"/>
            <w:gridSpan w:val="3"/>
            <w:tcBorders>
              <w:top w:val="nil"/>
              <w:left w:val="single" w:sz="4" w:space="0" w:color="auto"/>
              <w:bottom w:val="single" w:sz="4" w:space="0" w:color="auto"/>
              <w:right w:val="single" w:sz="4" w:space="0" w:color="auto"/>
            </w:tcBorders>
            <w:hideMark/>
          </w:tcPr>
          <w:p w14:paraId="043A6E7F"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330" w:type="pct"/>
            <w:tcBorders>
              <w:top w:val="nil"/>
              <w:left w:val="nil"/>
              <w:bottom w:val="single" w:sz="4" w:space="0" w:color="auto"/>
              <w:right w:val="single" w:sz="4" w:space="0" w:color="auto"/>
            </w:tcBorders>
            <w:hideMark/>
          </w:tcPr>
          <w:p w14:paraId="50ADB24A"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364" w:type="pct"/>
            <w:gridSpan w:val="2"/>
            <w:tcBorders>
              <w:top w:val="nil"/>
              <w:left w:val="nil"/>
              <w:bottom w:val="single" w:sz="4" w:space="0" w:color="auto"/>
              <w:right w:val="nil"/>
            </w:tcBorders>
            <w:hideMark/>
          </w:tcPr>
          <w:p w14:paraId="329D9B8A"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427" w:type="pct"/>
            <w:gridSpan w:val="3"/>
            <w:tcBorders>
              <w:top w:val="nil"/>
              <w:left w:val="single" w:sz="4" w:space="0" w:color="auto"/>
              <w:bottom w:val="single" w:sz="4" w:space="0" w:color="auto"/>
              <w:right w:val="single" w:sz="4" w:space="0" w:color="auto"/>
            </w:tcBorders>
            <w:vAlign w:val="bottom"/>
            <w:hideMark/>
          </w:tcPr>
          <w:p w14:paraId="6364BF71" w14:textId="77777777" w:rsidR="00DB1AEE" w:rsidRPr="00DB1AEE" w:rsidRDefault="00DB1AEE" w:rsidP="00DB1AEE">
            <w:pPr>
              <w:suppressAutoHyphens/>
              <w:jc w:val="center"/>
              <w:rPr>
                <w:sz w:val="18"/>
                <w:szCs w:val="18"/>
                <w:u w:val="single"/>
              </w:rPr>
            </w:pPr>
            <w:r w:rsidRPr="00DB1AEE">
              <w:rPr>
                <w:sz w:val="18"/>
                <w:szCs w:val="18"/>
                <w:u w:val="single"/>
              </w:rPr>
              <w:t> </w:t>
            </w:r>
          </w:p>
        </w:tc>
        <w:tc>
          <w:tcPr>
            <w:tcW w:w="397" w:type="pct"/>
            <w:tcBorders>
              <w:top w:val="nil"/>
              <w:left w:val="nil"/>
              <w:bottom w:val="single" w:sz="4" w:space="0" w:color="auto"/>
              <w:right w:val="single" w:sz="4" w:space="0" w:color="auto"/>
            </w:tcBorders>
            <w:hideMark/>
          </w:tcPr>
          <w:p w14:paraId="2B1148BD" w14:textId="77777777" w:rsidR="00DB1AEE" w:rsidRPr="00DB1AEE" w:rsidRDefault="00DB1AEE" w:rsidP="00DB1AEE">
            <w:pPr>
              <w:suppressAutoHyphens/>
              <w:jc w:val="center"/>
              <w:rPr>
                <w:sz w:val="18"/>
                <w:szCs w:val="18"/>
                <w:u w:val="single"/>
              </w:rPr>
            </w:pPr>
            <w:r w:rsidRPr="00DB1AEE">
              <w:rPr>
                <w:sz w:val="18"/>
                <w:szCs w:val="18"/>
                <w:u w:val="single"/>
              </w:rPr>
              <w:t> </w:t>
            </w:r>
          </w:p>
        </w:tc>
        <w:tc>
          <w:tcPr>
            <w:tcW w:w="363" w:type="pct"/>
            <w:tcBorders>
              <w:top w:val="nil"/>
              <w:left w:val="nil"/>
              <w:bottom w:val="single" w:sz="4" w:space="0" w:color="auto"/>
              <w:right w:val="single" w:sz="4" w:space="0" w:color="auto"/>
            </w:tcBorders>
            <w:hideMark/>
          </w:tcPr>
          <w:p w14:paraId="512049B5"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418" w:type="pct"/>
            <w:gridSpan w:val="3"/>
            <w:tcBorders>
              <w:top w:val="nil"/>
              <w:left w:val="nil"/>
              <w:bottom w:val="single" w:sz="4" w:space="0" w:color="auto"/>
              <w:right w:val="single" w:sz="4" w:space="0" w:color="auto"/>
            </w:tcBorders>
            <w:hideMark/>
          </w:tcPr>
          <w:p w14:paraId="5EB896CB"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23" w:type="pct"/>
            <w:tcBorders>
              <w:top w:val="nil"/>
              <w:left w:val="nil"/>
              <w:bottom w:val="single" w:sz="4" w:space="0" w:color="auto"/>
              <w:right w:val="single" w:sz="4" w:space="0" w:color="auto"/>
            </w:tcBorders>
            <w:vAlign w:val="bottom"/>
            <w:hideMark/>
          </w:tcPr>
          <w:p w14:paraId="6A7DD51E" w14:textId="77777777" w:rsidR="00DB1AEE" w:rsidRPr="00DB1AEE" w:rsidRDefault="00DB1AEE" w:rsidP="00DB1AEE">
            <w:pPr>
              <w:suppressAutoHyphens/>
              <w:jc w:val="left"/>
              <w:rPr>
                <w:sz w:val="18"/>
                <w:szCs w:val="18"/>
                <w:u w:val="single"/>
              </w:rPr>
            </w:pPr>
            <w:r w:rsidRPr="00DB1AEE">
              <w:rPr>
                <w:sz w:val="18"/>
                <w:szCs w:val="18"/>
                <w:u w:val="single"/>
              </w:rPr>
              <w:t> </w:t>
            </w:r>
          </w:p>
        </w:tc>
      </w:tr>
      <w:tr w:rsidR="00DB1AEE" w:rsidRPr="00DB1AEE" w14:paraId="0EF7F606" w14:textId="77777777" w:rsidTr="00FC1832">
        <w:trPr>
          <w:trHeight w:val="300"/>
        </w:trPr>
        <w:tc>
          <w:tcPr>
            <w:tcW w:w="896" w:type="pct"/>
            <w:tcBorders>
              <w:top w:val="nil"/>
              <w:left w:val="single" w:sz="4" w:space="0" w:color="auto"/>
              <w:bottom w:val="single" w:sz="4" w:space="0" w:color="auto"/>
              <w:right w:val="single" w:sz="4" w:space="0" w:color="auto"/>
            </w:tcBorders>
            <w:hideMark/>
          </w:tcPr>
          <w:p w14:paraId="733FA60F" w14:textId="77777777" w:rsidR="00DB1AEE" w:rsidRPr="00DB1AEE" w:rsidRDefault="00DB1AEE" w:rsidP="00DB1AEE">
            <w:pPr>
              <w:suppressAutoHyphens/>
              <w:jc w:val="left"/>
              <w:rPr>
                <w:sz w:val="18"/>
                <w:szCs w:val="18"/>
                <w:u w:val="single"/>
              </w:rPr>
            </w:pPr>
            <w:r w:rsidRPr="00DB1AEE">
              <w:rPr>
                <w:sz w:val="18"/>
                <w:szCs w:val="18"/>
                <w:u w:val="single"/>
              </w:rPr>
              <w:t>Nursery</w:t>
            </w:r>
          </w:p>
        </w:tc>
        <w:tc>
          <w:tcPr>
            <w:tcW w:w="429" w:type="pct"/>
            <w:gridSpan w:val="2"/>
            <w:tcBorders>
              <w:top w:val="nil"/>
              <w:left w:val="nil"/>
              <w:bottom w:val="single" w:sz="4" w:space="0" w:color="auto"/>
              <w:right w:val="single" w:sz="4" w:space="0" w:color="auto"/>
            </w:tcBorders>
            <w:noWrap/>
            <w:hideMark/>
          </w:tcPr>
          <w:p w14:paraId="6BD28D0D" w14:textId="77777777" w:rsidR="00DB1AEE" w:rsidRPr="00DB1AEE" w:rsidRDefault="00DB1AEE" w:rsidP="00DB1AEE">
            <w:pPr>
              <w:suppressAutoHyphens/>
              <w:jc w:val="left"/>
              <w:rPr>
                <w:sz w:val="18"/>
                <w:szCs w:val="18"/>
                <w:u w:val="single"/>
              </w:rPr>
            </w:pPr>
            <w:r w:rsidRPr="00DB1AEE">
              <w:rPr>
                <w:sz w:val="18"/>
                <w:szCs w:val="18"/>
                <w:u w:val="single"/>
              </w:rPr>
              <w:t>0.87</w:t>
            </w:r>
          </w:p>
        </w:tc>
        <w:tc>
          <w:tcPr>
            <w:tcW w:w="330" w:type="pct"/>
            <w:tcBorders>
              <w:top w:val="nil"/>
              <w:left w:val="nil"/>
              <w:bottom w:val="single" w:sz="4" w:space="0" w:color="auto"/>
              <w:right w:val="single" w:sz="4" w:space="0" w:color="auto"/>
            </w:tcBorders>
            <w:noWrap/>
            <w:hideMark/>
          </w:tcPr>
          <w:p w14:paraId="077A1274" w14:textId="77777777" w:rsidR="00DB1AEE" w:rsidRPr="00DB1AEE" w:rsidRDefault="00DB1AEE" w:rsidP="00DB1AEE">
            <w:pPr>
              <w:suppressAutoHyphens/>
              <w:jc w:val="center"/>
              <w:rPr>
                <w:sz w:val="18"/>
                <w:szCs w:val="18"/>
                <w:u w:val="single"/>
              </w:rPr>
            </w:pPr>
            <w:r w:rsidRPr="00DB1AEE">
              <w:rPr>
                <w:sz w:val="18"/>
                <w:szCs w:val="18"/>
                <w:u w:val="single"/>
              </w:rPr>
              <w:t>6</w:t>
            </w:r>
          </w:p>
        </w:tc>
        <w:tc>
          <w:tcPr>
            <w:tcW w:w="361" w:type="pct"/>
            <w:gridSpan w:val="2"/>
            <w:tcBorders>
              <w:top w:val="nil"/>
              <w:left w:val="nil"/>
              <w:bottom w:val="single" w:sz="4" w:space="0" w:color="auto"/>
              <w:right w:val="single" w:sz="4" w:space="0" w:color="auto"/>
            </w:tcBorders>
            <w:hideMark/>
          </w:tcPr>
          <w:p w14:paraId="7122A0D0"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63" w:type="pct"/>
            <w:gridSpan w:val="3"/>
            <w:tcBorders>
              <w:top w:val="nil"/>
              <w:left w:val="nil"/>
              <w:bottom w:val="single" w:sz="4" w:space="0" w:color="auto"/>
              <w:right w:val="single" w:sz="4" w:space="0" w:color="auto"/>
            </w:tcBorders>
            <w:vAlign w:val="center"/>
            <w:hideMark/>
          </w:tcPr>
          <w:p w14:paraId="58804000"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330" w:type="pct"/>
            <w:tcBorders>
              <w:top w:val="nil"/>
              <w:left w:val="nil"/>
              <w:bottom w:val="single" w:sz="4" w:space="0" w:color="auto"/>
              <w:right w:val="single" w:sz="4" w:space="0" w:color="auto"/>
            </w:tcBorders>
            <w:vAlign w:val="center"/>
            <w:hideMark/>
          </w:tcPr>
          <w:p w14:paraId="4B242454" w14:textId="77777777" w:rsidR="00DB1AEE" w:rsidRPr="00DB1AEE" w:rsidRDefault="00DB1AEE" w:rsidP="00DB1AEE">
            <w:pPr>
              <w:suppressAutoHyphens/>
              <w:jc w:val="center"/>
              <w:rPr>
                <w:sz w:val="18"/>
                <w:szCs w:val="18"/>
                <w:u w:val="single"/>
              </w:rPr>
            </w:pPr>
            <w:r w:rsidRPr="00DB1AEE">
              <w:rPr>
                <w:sz w:val="18"/>
                <w:szCs w:val="18"/>
                <w:u w:val="single"/>
              </w:rPr>
              <w:t> </w:t>
            </w:r>
          </w:p>
        </w:tc>
        <w:tc>
          <w:tcPr>
            <w:tcW w:w="364" w:type="pct"/>
            <w:gridSpan w:val="2"/>
            <w:tcBorders>
              <w:top w:val="nil"/>
              <w:left w:val="nil"/>
              <w:bottom w:val="single" w:sz="4" w:space="0" w:color="auto"/>
              <w:right w:val="single" w:sz="4" w:space="0" w:color="auto"/>
            </w:tcBorders>
            <w:hideMark/>
          </w:tcPr>
          <w:p w14:paraId="44928CAC" w14:textId="77777777" w:rsidR="00DB1AEE" w:rsidRPr="00DB1AEE" w:rsidRDefault="00DB1AEE" w:rsidP="00DB1AEE">
            <w:pPr>
              <w:suppressAutoHyphens/>
              <w:jc w:val="left"/>
              <w:rPr>
                <w:sz w:val="18"/>
                <w:szCs w:val="18"/>
                <w:u w:val="single"/>
              </w:rPr>
            </w:pPr>
            <w:r w:rsidRPr="00DB1AEE">
              <w:rPr>
                <w:sz w:val="18"/>
                <w:szCs w:val="18"/>
                <w:u w:val="single"/>
              </w:rPr>
              <w:t>REQ</w:t>
            </w:r>
          </w:p>
        </w:tc>
        <w:tc>
          <w:tcPr>
            <w:tcW w:w="427" w:type="pct"/>
            <w:gridSpan w:val="3"/>
            <w:tcBorders>
              <w:top w:val="nil"/>
              <w:left w:val="nil"/>
              <w:bottom w:val="single" w:sz="4" w:space="0" w:color="auto"/>
              <w:right w:val="single" w:sz="4" w:space="0" w:color="auto"/>
            </w:tcBorders>
            <w:hideMark/>
          </w:tcPr>
          <w:p w14:paraId="452B7A60"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97" w:type="pct"/>
            <w:tcBorders>
              <w:top w:val="nil"/>
              <w:left w:val="nil"/>
              <w:bottom w:val="single" w:sz="4" w:space="0" w:color="auto"/>
              <w:right w:val="single" w:sz="4" w:space="0" w:color="auto"/>
            </w:tcBorders>
            <w:hideMark/>
          </w:tcPr>
          <w:p w14:paraId="30029130"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63" w:type="pct"/>
            <w:tcBorders>
              <w:top w:val="nil"/>
              <w:left w:val="nil"/>
              <w:bottom w:val="single" w:sz="4" w:space="0" w:color="auto"/>
              <w:right w:val="single" w:sz="4" w:space="0" w:color="auto"/>
            </w:tcBorders>
            <w:hideMark/>
          </w:tcPr>
          <w:p w14:paraId="6D88AFE2"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418" w:type="pct"/>
            <w:gridSpan w:val="3"/>
            <w:tcBorders>
              <w:top w:val="nil"/>
              <w:left w:val="nil"/>
              <w:bottom w:val="single" w:sz="4" w:space="0" w:color="auto"/>
              <w:right w:val="single" w:sz="4" w:space="0" w:color="auto"/>
            </w:tcBorders>
            <w:hideMark/>
          </w:tcPr>
          <w:p w14:paraId="2FD05BF3" w14:textId="77777777" w:rsidR="00DB1AEE" w:rsidRPr="00DB1AEE" w:rsidRDefault="00DB1AEE" w:rsidP="00DB1AEE">
            <w:pPr>
              <w:suppressAutoHyphens/>
              <w:jc w:val="left"/>
              <w:rPr>
                <w:sz w:val="18"/>
                <w:szCs w:val="18"/>
                <w:u w:val="single"/>
              </w:rPr>
            </w:pPr>
            <w:r w:rsidRPr="00DB1AEE">
              <w:rPr>
                <w:sz w:val="18"/>
                <w:szCs w:val="18"/>
                <w:u w:val="single"/>
              </w:rPr>
              <w:t>ADD2</w:t>
            </w:r>
          </w:p>
        </w:tc>
        <w:tc>
          <w:tcPr>
            <w:tcW w:w="323" w:type="pct"/>
            <w:tcBorders>
              <w:top w:val="nil"/>
              <w:left w:val="nil"/>
              <w:bottom w:val="single" w:sz="4" w:space="0" w:color="auto"/>
              <w:right w:val="single" w:sz="4" w:space="0" w:color="auto"/>
            </w:tcBorders>
            <w:hideMark/>
          </w:tcPr>
          <w:p w14:paraId="67645403" w14:textId="77777777" w:rsidR="00DB1AEE" w:rsidRPr="00DB1AEE" w:rsidRDefault="00DB1AEE" w:rsidP="00DB1AEE">
            <w:pPr>
              <w:suppressAutoHyphens/>
              <w:jc w:val="left"/>
              <w:rPr>
                <w:sz w:val="18"/>
                <w:szCs w:val="18"/>
                <w:u w:val="single"/>
              </w:rPr>
            </w:pPr>
            <w:r w:rsidRPr="00DB1AEE">
              <w:rPr>
                <w:sz w:val="18"/>
                <w:szCs w:val="18"/>
                <w:u w:val="single"/>
              </w:rPr>
              <w:t>ADD2</w:t>
            </w:r>
          </w:p>
        </w:tc>
      </w:tr>
      <w:tr w:rsidR="00DB1AEE" w:rsidRPr="00DB1AEE" w14:paraId="4286E81F" w14:textId="77777777" w:rsidTr="00FC1832">
        <w:trPr>
          <w:trHeight w:val="300"/>
        </w:trPr>
        <w:tc>
          <w:tcPr>
            <w:tcW w:w="896" w:type="pct"/>
            <w:tcBorders>
              <w:top w:val="nil"/>
              <w:left w:val="single" w:sz="4" w:space="0" w:color="auto"/>
              <w:bottom w:val="single" w:sz="4" w:space="0" w:color="auto"/>
              <w:right w:val="single" w:sz="4" w:space="0" w:color="auto"/>
            </w:tcBorders>
            <w:hideMark/>
          </w:tcPr>
          <w:p w14:paraId="59A5EC1D" w14:textId="77777777" w:rsidR="00DB1AEE" w:rsidRPr="00DB1AEE" w:rsidRDefault="00DB1AEE" w:rsidP="00DB1AEE">
            <w:pPr>
              <w:suppressAutoHyphens/>
              <w:jc w:val="left"/>
              <w:rPr>
                <w:sz w:val="18"/>
                <w:szCs w:val="18"/>
                <w:u w:val="single"/>
              </w:rPr>
            </w:pPr>
            <w:r w:rsidRPr="00DB1AEE">
              <w:rPr>
                <w:sz w:val="18"/>
                <w:szCs w:val="18"/>
                <w:u w:val="single"/>
              </w:rPr>
              <w:t>Nurse’s station</w:t>
            </w:r>
          </w:p>
        </w:tc>
        <w:tc>
          <w:tcPr>
            <w:tcW w:w="429" w:type="pct"/>
            <w:gridSpan w:val="2"/>
            <w:tcBorders>
              <w:top w:val="nil"/>
              <w:left w:val="nil"/>
              <w:bottom w:val="single" w:sz="4" w:space="0" w:color="auto"/>
              <w:right w:val="single" w:sz="4" w:space="0" w:color="auto"/>
            </w:tcBorders>
            <w:noWrap/>
            <w:hideMark/>
          </w:tcPr>
          <w:p w14:paraId="4D600D9E" w14:textId="77777777" w:rsidR="00DB1AEE" w:rsidRPr="00DB1AEE" w:rsidRDefault="00DB1AEE" w:rsidP="00DB1AEE">
            <w:pPr>
              <w:suppressAutoHyphens/>
              <w:jc w:val="left"/>
              <w:rPr>
                <w:strike/>
                <w:sz w:val="18"/>
                <w:szCs w:val="18"/>
                <w:u w:val="single"/>
              </w:rPr>
            </w:pPr>
            <w:r w:rsidRPr="00DB1AEE">
              <w:rPr>
                <w:sz w:val="18"/>
                <w:szCs w:val="18"/>
                <w:u w:val="single"/>
              </w:rPr>
              <w:t>0.75</w:t>
            </w:r>
          </w:p>
        </w:tc>
        <w:tc>
          <w:tcPr>
            <w:tcW w:w="330" w:type="pct"/>
            <w:tcBorders>
              <w:top w:val="nil"/>
              <w:left w:val="nil"/>
              <w:bottom w:val="single" w:sz="4" w:space="0" w:color="auto"/>
              <w:right w:val="single" w:sz="4" w:space="0" w:color="auto"/>
            </w:tcBorders>
            <w:noWrap/>
            <w:hideMark/>
          </w:tcPr>
          <w:p w14:paraId="78F7549D" w14:textId="77777777" w:rsidR="00DB1AEE" w:rsidRPr="00DB1AEE" w:rsidRDefault="00DB1AEE" w:rsidP="00DB1AEE">
            <w:pPr>
              <w:suppressAutoHyphens/>
              <w:jc w:val="center"/>
              <w:rPr>
                <w:sz w:val="18"/>
                <w:szCs w:val="18"/>
                <w:u w:val="single"/>
              </w:rPr>
            </w:pPr>
            <w:r w:rsidRPr="00DB1AEE">
              <w:rPr>
                <w:sz w:val="18"/>
                <w:szCs w:val="18"/>
                <w:u w:val="single"/>
              </w:rPr>
              <w:t>6</w:t>
            </w:r>
          </w:p>
        </w:tc>
        <w:tc>
          <w:tcPr>
            <w:tcW w:w="361" w:type="pct"/>
            <w:gridSpan w:val="2"/>
            <w:tcBorders>
              <w:top w:val="nil"/>
              <w:left w:val="nil"/>
              <w:bottom w:val="single" w:sz="4" w:space="0" w:color="auto"/>
              <w:right w:val="single" w:sz="4" w:space="0" w:color="auto"/>
            </w:tcBorders>
            <w:hideMark/>
          </w:tcPr>
          <w:p w14:paraId="437612A8"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63" w:type="pct"/>
            <w:gridSpan w:val="3"/>
            <w:tcBorders>
              <w:top w:val="nil"/>
              <w:left w:val="nil"/>
              <w:bottom w:val="single" w:sz="4" w:space="0" w:color="auto"/>
              <w:right w:val="single" w:sz="4" w:space="0" w:color="auto"/>
            </w:tcBorders>
            <w:vAlign w:val="center"/>
            <w:hideMark/>
          </w:tcPr>
          <w:p w14:paraId="23B6882E"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330" w:type="pct"/>
            <w:tcBorders>
              <w:top w:val="nil"/>
              <w:left w:val="nil"/>
              <w:bottom w:val="single" w:sz="4" w:space="0" w:color="auto"/>
              <w:right w:val="single" w:sz="4" w:space="0" w:color="auto"/>
            </w:tcBorders>
            <w:vAlign w:val="center"/>
            <w:hideMark/>
          </w:tcPr>
          <w:p w14:paraId="2C931BB0" w14:textId="77777777" w:rsidR="00DB1AEE" w:rsidRPr="00DB1AEE" w:rsidRDefault="00DB1AEE" w:rsidP="00DB1AEE">
            <w:pPr>
              <w:suppressAutoHyphens/>
              <w:jc w:val="center"/>
              <w:rPr>
                <w:sz w:val="18"/>
                <w:szCs w:val="18"/>
                <w:u w:val="single"/>
              </w:rPr>
            </w:pPr>
            <w:r w:rsidRPr="00DB1AEE">
              <w:rPr>
                <w:sz w:val="18"/>
                <w:szCs w:val="18"/>
                <w:u w:val="single"/>
              </w:rPr>
              <w:t> </w:t>
            </w:r>
          </w:p>
        </w:tc>
        <w:tc>
          <w:tcPr>
            <w:tcW w:w="364" w:type="pct"/>
            <w:gridSpan w:val="2"/>
            <w:tcBorders>
              <w:top w:val="nil"/>
              <w:left w:val="nil"/>
              <w:bottom w:val="single" w:sz="4" w:space="0" w:color="auto"/>
              <w:right w:val="single" w:sz="4" w:space="0" w:color="auto"/>
            </w:tcBorders>
            <w:hideMark/>
          </w:tcPr>
          <w:p w14:paraId="2299F3A6" w14:textId="77777777" w:rsidR="00DB1AEE" w:rsidRPr="00DB1AEE" w:rsidRDefault="00DB1AEE" w:rsidP="00DB1AEE">
            <w:pPr>
              <w:suppressAutoHyphens/>
              <w:jc w:val="left"/>
              <w:rPr>
                <w:sz w:val="18"/>
                <w:szCs w:val="18"/>
                <w:u w:val="single"/>
              </w:rPr>
            </w:pPr>
            <w:r w:rsidRPr="00DB1AEE">
              <w:rPr>
                <w:sz w:val="18"/>
                <w:szCs w:val="18"/>
                <w:u w:val="single"/>
              </w:rPr>
              <w:t>REQ</w:t>
            </w:r>
          </w:p>
        </w:tc>
        <w:tc>
          <w:tcPr>
            <w:tcW w:w="427" w:type="pct"/>
            <w:gridSpan w:val="3"/>
            <w:tcBorders>
              <w:top w:val="nil"/>
              <w:left w:val="nil"/>
              <w:bottom w:val="single" w:sz="4" w:space="0" w:color="auto"/>
              <w:right w:val="single" w:sz="4" w:space="0" w:color="auto"/>
            </w:tcBorders>
            <w:hideMark/>
          </w:tcPr>
          <w:p w14:paraId="0724F070"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97" w:type="pct"/>
            <w:tcBorders>
              <w:top w:val="nil"/>
              <w:left w:val="nil"/>
              <w:bottom w:val="single" w:sz="4" w:space="0" w:color="auto"/>
              <w:right w:val="single" w:sz="4" w:space="0" w:color="auto"/>
            </w:tcBorders>
            <w:hideMark/>
          </w:tcPr>
          <w:p w14:paraId="2F28B6F4"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63" w:type="pct"/>
            <w:tcBorders>
              <w:top w:val="nil"/>
              <w:left w:val="nil"/>
              <w:bottom w:val="single" w:sz="4" w:space="0" w:color="auto"/>
              <w:right w:val="single" w:sz="4" w:space="0" w:color="auto"/>
            </w:tcBorders>
            <w:hideMark/>
          </w:tcPr>
          <w:p w14:paraId="47FF864E"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418" w:type="pct"/>
            <w:gridSpan w:val="3"/>
            <w:tcBorders>
              <w:top w:val="nil"/>
              <w:left w:val="nil"/>
              <w:bottom w:val="single" w:sz="4" w:space="0" w:color="auto"/>
              <w:right w:val="single" w:sz="4" w:space="0" w:color="auto"/>
            </w:tcBorders>
            <w:hideMark/>
          </w:tcPr>
          <w:p w14:paraId="30D04C1B" w14:textId="77777777" w:rsidR="00DB1AEE" w:rsidRPr="00DB1AEE" w:rsidRDefault="00DB1AEE" w:rsidP="00DB1AEE">
            <w:pPr>
              <w:suppressAutoHyphens/>
              <w:jc w:val="left"/>
              <w:rPr>
                <w:sz w:val="18"/>
                <w:szCs w:val="18"/>
                <w:u w:val="single"/>
              </w:rPr>
            </w:pPr>
            <w:r w:rsidRPr="00DB1AEE">
              <w:rPr>
                <w:sz w:val="18"/>
                <w:szCs w:val="18"/>
                <w:u w:val="single"/>
              </w:rPr>
              <w:t>ADD2</w:t>
            </w:r>
          </w:p>
        </w:tc>
        <w:tc>
          <w:tcPr>
            <w:tcW w:w="323" w:type="pct"/>
            <w:tcBorders>
              <w:top w:val="nil"/>
              <w:left w:val="nil"/>
              <w:bottom w:val="single" w:sz="4" w:space="0" w:color="auto"/>
              <w:right w:val="single" w:sz="4" w:space="0" w:color="auto"/>
            </w:tcBorders>
            <w:hideMark/>
          </w:tcPr>
          <w:p w14:paraId="4204859E" w14:textId="77777777" w:rsidR="00DB1AEE" w:rsidRPr="00DB1AEE" w:rsidRDefault="00DB1AEE" w:rsidP="00DB1AEE">
            <w:pPr>
              <w:suppressAutoHyphens/>
              <w:jc w:val="left"/>
              <w:rPr>
                <w:sz w:val="18"/>
                <w:szCs w:val="18"/>
                <w:u w:val="single"/>
              </w:rPr>
            </w:pPr>
            <w:r w:rsidRPr="00DB1AEE">
              <w:rPr>
                <w:sz w:val="18"/>
                <w:szCs w:val="18"/>
                <w:u w:val="single"/>
              </w:rPr>
              <w:t>ADD2</w:t>
            </w:r>
          </w:p>
        </w:tc>
      </w:tr>
      <w:tr w:rsidR="00DB1AEE" w:rsidRPr="00DB1AEE" w14:paraId="0C2EE544" w14:textId="77777777" w:rsidTr="00FC1832">
        <w:trPr>
          <w:trHeight w:val="300"/>
        </w:trPr>
        <w:tc>
          <w:tcPr>
            <w:tcW w:w="896" w:type="pct"/>
            <w:tcBorders>
              <w:top w:val="nil"/>
              <w:left w:val="single" w:sz="4" w:space="0" w:color="auto"/>
              <w:bottom w:val="single" w:sz="4" w:space="0" w:color="auto"/>
              <w:right w:val="single" w:sz="4" w:space="0" w:color="auto"/>
            </w:tcBorders>
            <w:hideMark/>
          </w:tcPr>
          <w:p w14:paraId="4C83D26A" w14:textId="77777777" w:rsidR="00DB1AEE" w:rsidRPr="00DB1AEE" w:rsidRDefault="00DB1AEE" w:rsidP="00DB1AEE">
            <w:pPr>
              <w:suppressAutoHyphens/>
              <w:jc w:val="left"/>
              <w:rPr>
                <w:sz w:val="18"/>
                <w:szCs w:val="18"/>
                <w:u w:val="single"/>
              </w:rPr>
            </w:pPr>
            <w:r w:rsidRPr="00DB1AEE">
              <w:rPr>
                <w:sz w:val="18"/>
                <w:szCs w:val="18"/>
                <w:u w:val="single"/>
              </w:rPr>
              <w:t>Operating room</w:t>
            </w:r>
          </w:p>
        </w:tc>
        <w:tc>
          <w:tcPr>
            <w:tcW w:w="429" w:type="pct"/>
            <w:gridSpan w:val="2"/>
            <w:tcBorders>
              <w:top w:val="nil"/>
              <w:left w:val="nil"/>
              <w:bottom w:val="single" w:sz="4" w:space="0" w:color="auto"/>
              <w:right w:val="single" w:sz="4" w:space="0" w:color="auto"/>
            </w:tcBorders>
            <w:noWrap/>
            <w:hideMark/>
          </w:tcPr>
          <w:p w14:paraId="782C0E96" w14:textId="77777777" w:rsidR="00DB1AEE" w:rsidRPr="00DB1AEE" w:rsidRDefault="00DB1AEE" w:rsidP="00DB1AEE">
            <w:pPr>
              <w:suppressAutoHyphens/>
              <w:jc w:val="left"/>
              <w:rPr>
                <w:strike/>
                <w:sz w:val="18"/>
                <w:szCs w:val="18"/>
                <w:u w:val="single"/>
              </w:rPr>
            </w:pPr>
            <w:r w:rsidRPr="00DB1AEE">
              <w:rPr>
                <w:sz w:val="18"/>
                <w:szCs w:val="18"/>
                <w:u w:val="single"/>
              </w:rPr>
              <w:t>1.87</w:t>
            </w:r>
          </w:p>
        </w:tc>
        <w:tc>
          <w:tcPr>
            <w:tcW w:w="330" w:type="pct"/>
            <w:tcBorders>
              <w:top w:val="nil"/>
              <w:left w:val="nil"/>
              <w:bottom w:val="single" w:sz="4" w:space="0" w:color="auto"/>
              <w:right w:val="single" w:sz="4" w:space="0" w:color="auto"/>
            </w:tcBorders>
            <w:noWrap/>
            <w:hideMark/>
          </w:tcPr>
          <w:p w14:paraId="4D3887C7" w14:textId="77777777" w:rsidR="00DB1AEE" w:rsidRPr="00DB1AEE" w:rsidRDefault="00DB1AEE" w:rsidP="00DB1AEE">
            <w:pPr>
              <w:suppressAutoHyphens/>
              <w:jc w:val="center"/>
              <w:rPr>
                <w:sz w:val="18"/>
                <w:szCs w:val="18"/>
                <w:u w:val="single"/>
              </w:rPr>
            </w:pPr>
            <w:r w:rsidRPr="00DB1AEE">
              <w:rPr>
                <w:sz w:val="18"/>
                <w:szCs w:val="18"/>
                <w:u w:val="single"/>
              </w:rPr>
              <w:t>6</w:t>
            </w:r>
          </w:p>
        </w:tc>
        <w:tc>
          <w:tcPr>
            <w:tcW w:w="361" w:type="pct"/>
            <w:gridSpan w:val="2"/>
            <w:tcBorders>
              <w:top w:val="nil"/>
              <w:left w:val="nil"/>
              <w:bottom w:val="single" w:sz="4" w:space="0" w:color="auto"/>
              <w:right w:val="single" w:sz="4" w:space="0" w:color="auto"/>
            </w:tcBorders>
            <w:hideMark/>
          </w:tcPr>
          <w:p w14:paraId="0CBDBDBB"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63" w:type="pct"/>
            <w:gridSpan w:val="3"/>
            <w:tcBorders>
              <w:top w:val="nil"/>
              <w:left w:val="nil"/>
              <w:bottom w:val="single" w:sz="4" w:space="0" w:color="auto"/>
              <w:right w:val="single" w:sz="4" w:space="0" w:color="auto"/>
            </w:tcBorders>
            <w:vAlign w:val="bottom"/>
            <w:hideMark/>
          </w:tcPr>
          <w:p w14:paraId="662459A4"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330" w:type="pct"/>
            <w:tcBorders>
              <w:top w:val="nil"/>
              <w:left w:val="nil"/>
              <w:bottom w:val="single" w:sz="4" w:space="0" w:color="auto"/>
              <w:right w:val="single" w:sz="4" w:space="0" w:color="auto"/>
            </w:tcBorders>
            <w:vAlign w:val="bottom"/>
            <w:hideMark/>
          </w:tcPr>
          <w:p w14:paraId="1B8FD6F3" w14:textId="77777777" w:rsidR="00DB1AEE" w:rsidRPr="00DB1AEE" w:rsidRDefault="00DB1AEE" w:rsidP="00DB1AEE">
            <w:pPr>
              <w:suppressAutoHyphens/>
              <w:jc w:val="center"/>
              <w:rPr>
                <w:sz w:val="18"/>
                <w:szCs w:val="18"/>
                <w:u w:val="single"/>
              </w:rPr>
            </w:pPr>
            <w:r w:rsidRPr="00DB1AEE">
              <w:rPr>
                <w:sz w:val="18"/>
                <w:szCs w:val="18"/>
                <w:u w:val="single"/>
              </w:rPr>
              <w:t> </w:t>
            </w:r>
          </w:p>
        </w:tc>
        <w:tc>
          <w:tcPr>
            <w:tcW w:w="364" w:type="pct"/>
            <w:gridSpan w:val="2"/>
            <w:tcBorders>
              <w:top w:val="nil"/>
              <w:left w:val="nil"/>
              <w:bottom w:val="single" w:sz="4" w:space="0" w:color="auto"/>
              <w:right w:val="single" w:sz="4" w:space="0" w:color="auto"/>
            </w:tcBorders>
            <w:hideMark/>
          </w:tcPr>
          <w:p w14:paraId="7835F11B" w14:textId="77777777" w:rsidR="00DB1AEE" w:rsidRPr="00DB1AEE" w:rsidRDefault="00DB1AEE" w:rsidP="00DB1AEE">
            <w:pPr>
              <w:suppressAutoHyphens/>
              <w:jc w:val="left"/>
              <w:rPr>
                <w:sz w:val="18"/>
                <w:szCs w:val="18"/>
                <w:u w:val="single"/>
              </w:rPr>
            </w:pPr>
            <w:r w:rsidRPr="00DB1AEE">
              <w:rPr>
                <w:sz w:val="18"/>
                <w:szCs w:val="18"/>
                <w:u w:val="single"/>
              </w:rPr>
              <w:t>REQ</w:t>
            </w:r>
          </w:p>
        </w:tc>
        <w:tc>
          <w:tcPr>
            <w:tcW w:w="427" w:type="pct"/>
            <w:gridSpan w:val="3"/>
            <w:tcBorders>
              <w:top w:val="nil"/>
              <w:left w:val="nil"/>
              <w:bottom w:val="single" w:sz="4" w:space="0" w:color="auto"/>
              <w:right w:val="single" w:sz="4" w:space="0" w:color="auto"/>
            </w:tcBorders>
            <w:vAlign w:val="bottom"/>
            <w:hideMark/>
          </w:tcPr>
          <w:p w14:paraId="486F87ED" w14:textId="77777777" w:rsidR="00DB1AEE" w:rsidRPr="00DB1AEE" w:rsidRDefault="00DB1AEE" w:rsidP="00DB1AEE">
            <w:pPr>
              <w:suppressAutoHyphens/>
              <w:jc w:val="center"/>
              <w:rPr>
                <w:sz w:val="18"/>
                <w:szCs w:val="18"/>
                <w:u w:val="single"/>
              </w:rPr>
            </w:pPr>
            <w:r w:rsidRPr="00DB1AEE">
              <w:rPr>
                <w:sz w:val="18"/>
                <w:szCs w:val="18"/>
                <w:u w:val="single"/>
              </w:rPr>
              <w:t> </w:t>
            </w:r>
          </w:p>
        </w:tc>
        <w:tc>
          <w:tcPr>
            <w:tcW w:w="397" w:type="pct"/>
            <w:tcBorders>
              <w:top w:val="nil"/>
              <w:left w:val="nil"/>
              <w:bottom w:val="single" w:sz="4" w:space="0" w:color="auto"/>
              <w:right w:val="single" w:sz="4" w:space="0" w:color="auto"/>
            </w:tcBorders>
            <w:vAlign w:val="bottom"/>
            <w:hideMark/>
          </w:tcPr>
          <w:p w14:paraId="79BE7752" w14:textId="77777777" w:rsidR="00DB1AEE" w:rsidRPr="00DB1AEE" w:rsidRDefault="00DB1AEE" w:rsidP="00DB1AEE">
            <w:pPr>
              <w:suppressAutoHyphens/>
              <w:jc w:val="center"/>
              <w:rPr>
                <w:sz w:val="18"/>
                <w:szCs w:val="18"/>
                <w:u w:val="single"/>
              </w:rPr>
            </w:pPr>
            <w:r w:rsidRPr="00DB1AEE">
              <w:rPr>
                <w:sz w:val="18"/>
                <w:szCs w:val="18"/>
                <w:u w:val="single"/>
              </w:rPr>
              <w:t> </w:t>
            </w:r>
          </w:p>
        </w:tc>
        <w:tc>
          <w:tcPr>
            <w:tcW w:w="363" w:type="pct"/>
            <w:tcBorders>
              <w:top w:val="nil"/>
              <w:left w:val="nil"/>
              <w:bottom w:val="single" w:sz="4" w:space="0" w:color="auto"/>
              <w:right w:val="single" w:sz="4" w:space="0" w:color="auto"/>
            </w:tcBorders>
            <w:vAlign w:val="bottom"/>
            <w:hideMark/>
          </w:tcPr>
          <w:p w14:paraId="1AF47808"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418" w:type="pct"/>
            <w:gridSpan w:val="3"/>
            <w:tcBorders>
              <w:top w:val="nil"/>
              <w:left w:val="nil"/>
              <w:bottom w:val="single" w:sz="4" w:space="0" w:color="auto"/>
              <w:right w:val="single" w:sz="4" w:space="0" w:color="auto"/>
            </w:tcBorders>
          </w:tcPr>
          <w:p w14:paraId="2FAD8C78" w14:textId="77777777" w:rsidR="00DB1AEE" w:rsidRPr="00DB1AEE" w:rsidRDefault="00DB1AEE" w:rsidP="00DB1AEE">
            <w:pPr>
              <w:suppressAutoHyphens/>
              <w:jc w:val="left"/>
              <w:rPr>
                <w:sz w:val="18"/>
                <w:szCs w:val="18"/>
                <w:u w:val="single"/>
              </w:rPr>
            </w:pPr>
          </w:p>
        </w:tc>
        <w:tc>
          <w:tcPr>
            <w:tcW w:w="323" w:type="pct"/>
            <w:tcBorders>
              <w:top w:val="nil"/>
              <w:left w:val="nil"/>
              <w:bottom w:val="single" w:sz="4" w:space="0" w:color="auto"/>
              <w:right w:val="single" w:sz="4" w:space="0" w:color="auto"/>
            </w:tcBorders>
          </w:tcPr>
          <w:p w14:paraId="2FF2AEF6" w14:textId="77777777" w:rsidR="00DB1AEE" w:rsidRPr="00DB1AEE" w:rsidRDefault="00DB1AEE" w:rsidP="00DB1AEE">
            <w:pPr>
              <w:suppressAutoHyphens/>
              <w:jc w:val="left"/>
              <w:rPr>
                <w:sz w:val="18"/>
                <w:szCs w:val="18"/>
                <w:u w:val="single"/>
              </w:rPr>
            </w:pPr>
          </w:p>
        </w:tc>
      </w:tr>
      <w:tr w:rsidR="00DB1AEE" w:rsidRPr="00DB1AEE" w14:paraId="5AE1020F" w14:textId="77777777" w:rsidTr="00FC1832">
        <w:trPr>
          <w:trHeight w:val="300"/>
        </w:trPr>
        <w:tc>
          <w:tcPr>
            <w:tcW w:w="896" w:type="pct"/>
            <w:tcBorders>
              <w:top w:val="nil"/>
              <w:left w:val="single" w:sz="4" w:space="0" w:color="auto"/>
              <w:bottom w:val="single" w:sz="4" w:space="0" w:color="auto"/>
              <w:right w:val="single" w:sz="4" w:space="0" w:color="auto"/>
            </w:tcBorders>
            <w:hideMark/>
          </w:tcPr>
          <w:p w14:paraId="7E1E29A1" w14:textId="77777777" w:rsidR="00DB1AEE" w:rsidRPr="00DB1AEE" w:rsidRDefault="00DB1AEE" w:rsidP="00DB1AEE">
            <w:pPr>
              <w:suppressAutoHyphens/>
              <w:jc w:val="left"/>
              <w:rPr>
                <w:sz w:val="18"/>
                <w:szCs w:val="18"/>
                <w:u w:val="single"/>
              </w:rPr>
            </w:pPr>
            <w:r w:rsidRPr="00DB1AEE">
              <w:rPr>
                <w:sz w:val="18"/>
                <w:szCs w:val="18"/>
                <w:u w:val="single"/>
              </w:rPr>
              <w:t>Patient room</w:t>
            </w:r>
          </w:p>
        </w:tc>
        <w:tc>
          <w:tcPr>
            <w:tcW w:w="429" w:type="pct"/>
            <w:gridSpan w:val="2"/>
            <w:tcBorders>
              <w:top w:val="nil"/>
              <w:left w:val="nil"/>
              <w:bottom w:val="single" w:sz="4" w:space="0" w:color="auto"/>
              <w:right w:val="single" w:sz="4" w:space="0" w:color="auto"/>
            </w:tcBorders>
            <w:noWrap/>
            <w:hideMark/>
          </w:tcPr>
          <w:p w14:paraId="66301413" w14:textId="77777777" w:rsidR="00DB1AEE" w:rsidRPr="00DB1AEE" w:rsidRDefault="00DB1AEE" w:rsidP="00DB1AEE">
            <w:pPr>
              <w:suppressAutoHyphens/>
              <w:jc w:val="left"/>
              <w:rPr>
                <w:strike/>
                <w:sz w:val="18"/>
                <w:szCs w:val="18"/>
                <w:u w:val="single"/>
              </w:rPr>
            </w:pPr>
            <w:r w:rsidRPr="00DB1AEE">
              <w:rPr>
                <w:sz w:val="18"/>
                <w:szCs w:val="18"/>
                <w:u w:val="single"/>
              </w:rPr>
              <w:t>0.45</w:t>
            </w:r>
          </w:p>
        </w:tc>
        <w:tc>
          <w:tcPr>
            <w:tcW w:w="330" w:type="pct"/>
            <w:tcBorders>
              <w:top w:val="nil"/>
              <w:left w:val="nil"/>
              <w:bottom w:val="single" w:sz="4" w:space="0" w:color="auto"/>
              <w:right w:val="single" w:sz="4" w:space="0" w:color="auto"/>
            </w:tcBorders>
            <w:noWrap/>
            <w:hideMark/>
          </w:tcPr>
          <w:p w14:paraId="5D7F1037" w14:textId="77777777" w:rsidR="00DB1AEE" w:rsidRPr="00DB1AEE" w:rsidRDefault="00DB1AEE" w:rsidP="00DB1AEE">
            <w:pPr>
              <w:suppressAutoHyphens/>
              <w:jc w:val="center"/>
              <w:rPr>
                <w:sz w:val="18"/>
                <w:szCs w:val="18"/>
                <w:u w:val="single"/>
              </w:rPr>
            </w:pPr>
            <w:r w:rsidRPr="00DB1AEE">
              <w:rPr>
                <w:sz w:val="18"/>
                <w:szCs w:val="18"/>
                <w:u w:val="single"/>
              </w:rPr>
              <w:t>6</w:t>
            </w:r>
          </w:p>
        </w:tc>
        <w:tc>
          <w:tcPr>
            <w:tcW w:w="361" w:type="pct"/>
            <w:gridSpan w:val="2"/>
            <w:tcBorders>
              <w:top w:val="nil"/>
              <w:left w:val="nil"/>
              <w:bottom w:val="single" w:sz="4" w:space="0" w:color="auto"/>
              <w:right w:val="single" w:sz="4" w:space="0" w:color="auto"/>
            </w:tcBorders>
            <w:hideMark/>
          </w:tcPr>
          <w:p w14:paraId="6E9DFCB9"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63" w:type="pct"/>
            <w:gridSpan w:val="3"/>
            <w:tcBorders>
              <w:top w:val="nil"/>
              <w:left w:val="nil"/>
              <w:bottom w:val="single" w:sz="4" w:space="0" w:color="auto"/>
              <w:right w:val="single" w:sz="4" w:space="0" w:color="auto"/>
            </w:tcBorders>
            <w:hideMark/>
          </w:tcPr>
          <w:p w14:paraId="3DF530E1"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330" w:type="pct"/>
            <w:tcBorders>
              <w:top w:val="nil"/>
              <w:left w:val="nil"/>
              <w:bottom w:val="single" w:sz="4" w:space="0" w:color="auto"/>
              <w:right w:val="single" w:sz="4" w:space="0" w:color="auto"/>
            </w:tcBorders>
            <w:hideMark/>
          </w:tcPr>
          <w:p w14:paraId="02610255" w14:textId="77777777" w:rsidR="00DB1AEE" w:rsidRPr="00DB1AEE" w:rsidRDefault="00DB1AEE" w:rsidP="00DB1AEE">
            <w:pPr>
              <w:suppressAutoHyphens/>
              <w:jc w:val="center"/>
              <w:rPr>
                <w:sz w:val="18"/>
                <w:szCs w:val="18"/>
                <w:u w:val="single"/>
              </w:rPr>
            </w:pPr>
            <w:r w:rsidRPr="00DB1AEE">
              <w:rPr>
                <w:sz w:val="18"/>
                <w:szCs w:val="18"/>
                <w:u w:val="single"/>
              </w:rPr>
              <w:t> </w:t>
            </w:r>
          </w:p>
        </w:tc>
        <w:tc>
          <w:tcPr>
            <w:tcW w:w="364" w:type="pct"/>
            <w:gridSpan w:val="2"/>
            <w:tcBorders>
              <w:top w:val="nil"/>
              <w:left w:val="nil"/>
              <w:bottom w:val="single" w:sz="4" w:space="0" w:color="auto"/>
              <w:right w:val="single" w:sz="4" w:space="0" w:color="auto"/>
            </w:tcBorders>
            <w:hideMark/>
          </w:tcPr>
          <w:p w14:paraId="5EA31B25" w14:textId="77777777" w:rsidR="00DB1AEE" w:rsidRPr="00DB1AEE" w:rsidRDefault="00DB1AEE" w:rsidP="00DB1AEE">
            <w:pPr>
              <w:suppressAutoHyphens/>
              <w:jc w:val="left"/>
              <w:rPr>
                <w:sz w:val="18"/>
                <w:szCs w:val="18"/>
                <w:u w:val="single"/>
              </w:rPr>
            </w:pPr>
            <w:r w:rsidRPr="00DB1AEE">
              <w:rPr>
                <w:sz w:val="18"/>
                <w:szCs w:val="18"/>
                <w:u w:val="single"/>
              </w:rPr>
              <w:t>REQ</w:t>
            </w:r>
          </w:p>
        </w:tc>
        <w:tc>
          <w:tcPr>
            <w:tcW w:w="427" w:type="pct"/>
            <w:gridSpan w:val="3"/>
            <w:tcBorders>
              <w:top w:val="nil"/>
              <w:left w:val="nil"/>
              <w:bottom w:val="single" w:sz="4" w:space="0" w:color="auto"/>
              <w:right w:val="single" w:sz="4" w:space="0" w:color="auto"/>
            </w:tcBorders>
          </w:tcPr>
          <w:p w14:paraId="325530FD" w14:textId="77777777" w:rsidR="00DB1AEE" w:rsidRPr="00DB1AEE" w:rsidRDefault="00DB1AEE" w:rsidP="00DB1AEE">
            <w:pPr>
              <w:suppressAutoHyphens/>
              <w:jc w:val="center"/>
              <w:rPr>
                <w:sz w:val="18"/>
                <w:szCs w:val="18"/>
                <w:u w:val="single"/>
              </w:rPr>
            </w:pPr>
          </w:p>
        </w:tc>
        <w:tc>
          <w:tcPr>
            <w:tcW w:w="397" w:type="pct"/>
            <w:tcBorders>
              <w:top w:val="nil"/>
              <w:left w:val="nil"/>
              <w:bottom w:val="single" w:sz="4" w:space="0" w:color="auto"/>
              <w:right w:val="single" w:sz="4" w:space="0" w:color="auto"/>
            </w:tcBorders>
          </w:tcPr>
          <w:p w14:paraId="09451C86" w14:textId="77777777" w:rsidR="00DB1AEE" w:rsidRPr="00DB1AEE" w:rsidRDefault="00DB1AEE" w:rsidP="00DB1AEE">
            <w:pPr>
              <w:suppressAutoHyphens/>
              <w:jc w:val="center"/>
              <w:rPr>
                <w:sz w:val="18"/>
                <w:szCs w:val="18"/>
                <w:u w:val="single"/>
              </w:rPr>
            </w:pPr>
          </w:p>
        </w:tc>
        <w:tc>
          <w:tcPr>
            <w:tcW w:w="363" w:type="pct"/>
            <w:tcBorders>
              <w:top w:val="nil"/>
              <w:left w:val="nil"/>
              <w:bottom w:val="single" w:sz="4" w:space="0" w:color="auto"/>
              <w:right w:val="single" w:sz="4" w:space="0" w:color="auto"/>
            </w:tcBorders>
            <w:hideMark/>
          </w:tcPr>
          <w:p w14:paraId="3B640683"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418" w:type="pct"/>
            <w:gridSpan w:val="3"/>
            <w:tcBorders>
              <w:top w:val="nil"/>
              <w:left w:val="nil"/>
              <w:bottom w:val="single" w:sz="4" w:space="0" w:color="auto"/>
              <w:right w:val="single" w:sz="4" w:space="0" w:color="auto"/>
            </w:tcBorders>
          </w:tcPr>
          <w:p w14:paraId="075AB486" w14:textId="77777777" w:rsidR="00DB1AEE" w:rsidRPr="00DB1AEE" w:rsidRDefault="00DB1AEE" w:rsidP="00DB1AEE">
            <w:pPr>
              <w:suppressAutoHyphens/>
              <w:jc w:val="left"/>
              <w:rPr>
                <w:sz w:val="18"/>
                <w:szCs w:val="18"/>
                <w:u w:val="single"/>
              </w:rPr>
            </w:pPr>
          </w:p>
        </w:tc>
        <w:tc>
          <w:tcPr>
            <w:tcW w:w="323" w:type="pct"/>
            <w:tcBorders>
              <w:top w:val="nil"/>
              <w:left w:val="nil"/>
              <w:bottom w:val="single" w:sz="4" w:space="0" w:color="auto"/>
              <w:right w:val="single" w:sz="4" w:space="0" w:color="auto"/>
            </w:tcBorders>
          </w:tcPr>
          <w:p w14:paraId="3DCC1F7E" w14:textId="77777777" w:rsidR="00DB1AEE" w:rsidRPr="00DB1AEE" w:rsidRDefault="00DB1AEE" w:rsidP="00DB1AEE">
            <w:pPr>
              <w:suppressAutoHyphens/>
              <w:jc w:val="left"/>
              <w:rPr>
                <w:sz w:val="18"/>
                <w:szCs w:val="18"/>
                <w:u w:val="single"/>
              </w:rPr>
            </w:pPr>
          </w:p>
        </w:tc>
      </w:tr>
      <w:tr w:rsidR="00DB1AEE" w:rsidRPr="00DB1AEE" w14:paraId="4C544F90" w14:textId="77777777" w:rsidTr="00FC1832">
        <w:trPr>
          <w:trHeight w:val="300"/>
        </w:trPr>
        <w:tc>
          <w:tcPr>
            <w:tcW w:w="896" w:type="pct"/>
            <w:tcBorders>
              <w:top w:val="nil"/>
              <w:left w:val="single" w:sz="4" w:space="0" w:color="auto"/>
              <w:bottom w:val="single" w:sz="4" w:space="0" w:color="auto"/>
              <w:right w:val="single" w:sz="4" w:space="0" w:color="auto"/>
            </w:tcBorders>
            <w:hideMark/>
          </w:tcPr>
          <w:p w14:paraId="0518D8C3" w14:textId="77777777" w:rsidR="00DB1AEE" w:rsidRPr="00DB1AEE" w:rsidRDefault="00DB1AEE" w:rsidP="00DB1AEE">
            <w:pPr>
              <w:suppressAutoHyphens/>
              <w:jc w:val="left"/>
              <w:rPr>
                <w:sz w:val="18"/>
                <w:szCs w:val="18"/>
                <w:u w:val="single"/>
              </w:rPr>
            </w:pPr>
            <w:r w:rsidRPr="00DB1AEE">
              <w:rPr>
                <w:sz w:val="18"/>
                <w:szCs w:val="18"/>
                <w:u w:val="single"/>
              </w:rPr>
              <w:t>Physical therapy room</w:t>
            </w:r>
          </w:p>
        </w:tc>
        <w:tc>
          <w:tcPr>
            <w:tcW w:w="429" w:type="pct"/>
            <w:gridSpan w:val="2"/>
            <w:tcBorders>
              <w:top w:val="nil"/>
              <w:left w:val="nil"/>
              <w:bottom w:val="single" w:sz="4" w:space="0" w:color="auto"/>
              <w:right w:val="single" w:sz="4" w:space="0" w:color="auto"/>
            </w:tcBorders>
            <w:noWrap/>
            <w:hideMark/>
          </w:tcPr>
          <w:p w14:paraId="2540661E" w14:textId="77777777" w:rsidR="00DB1AEE" w:rsidRPr="00DB1AEE" w:rsidRDefault="00DB1AEE" w:rsidP="00DB1AEE">
            <w:pPr>
              <w:suppressAutoHyphens/>
              <w:jc w:val="left"/>
              <w:rPr>
                <w:sz w:val="18"/>
                <w:szCs w:val="18"/>
                <w:u w:val="single"/>
              </w:rPr>
            </w:pPr>
            <w:r w:rsidRPr="00DB1AEE">
              <w:rPr>
                <w:sz w:val="18"/>
                <w:szCs w:val="18"/>
                <w:u w:val="single"/>
              </w:rPr>
              <w:t>0.82</w:t>
            </w:r>
          </w:p>
        </w:tc>
        <w:tc>
          <w:tcPr>
            <w:tcW w:w="330" w:type="pct"/>
            <w:tcBorders>
              <w:top w:val="nil"/>
              <w:left w:val="nil"/>
              <w:bottom w:val="single" w:sz="4" w:space="0" w:color="auto"/>
              <w:right w:val="single" w:sz="4" w:space="0" w:color="auto"/>
            </w:tcBorders>
            <w:noWrap/>
            <w:hideMark/>
          </w:tcPr>
          <w:p w14:paraId="329A45FF" w14:textId="77777777" w:rsidR="00DB1AEE" w:rsidRPr="00DB1AEE" w:rsidRDefault="00DB1AEE" w:rsidP="00DB1AEE">
            <w:pPr>
              <w:suppressAutoHyphens/>
              <w:jc w:val="center"/>
              <w:rPr>
                <w:sz w:val="18"/>
                <w:szCs w:val="18"/>
                <w:u w:val="single"/>
              </w:rPr>
            </w:pPr>
            <w:r w:rsidRPr="00DB1AEE">
              <w:rPr>
                <w:sz w:val="18"/>
                <w:szCs w:val="18"/>
                <w:u w:val="single"/>
              </w:rPr>
              <w:t>6</w:t>
            </w:r>
          </w:p>
        </w:tc>
        <w:tc>
          <w:tcPr>
            <w:tcW w:w="361" w:type="pct"/>
            <w:gridSpan w:val="2"/>
            <w:tcBorders>
              <w:top w:val="nil"/>
              <w:left w:val="nil"/>
              <w:bottom w:val="single" w:sz="4" w:space="0" w:color="auto"/>
              <w:right w:val="single" w:sz="4" w:space="0" w:color="auto"/>
            </w:tcBorders>
            <w:hideMark/>
          </w:tcPr>
          <w:p w14:paraId="637C0AD8"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63" w:type="pct"/>
            <w:gridSpan w:val="3"/>
            <w:tcBorders>
              <w:top w:val="nil"/>
              <w:left w:val="nil"/>
              <w:bottom w:val="single" w:sz="4" w:space="0" w:color="auto"/>
              <w:right w:val="single" w:sz="4" w:space="0" w:color="auto"/>
            </w:tcBorders>
            <w:hideMark/>
          </w:tcPr>
          <w:p w14:paraId="28B8FE0D"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330" w:type="pct"/>
            <w:tcBorders>
              <w:top w:val="nil"/>
              <w:left w:val="nil"/>
              <w:bottom w:val="single" w:sz="4" w:space="0" w:color="auto"/>
              <w:right w:val="single" w:sz="4" w:space="0" w:color="auto"/>
            </w:tcBorders>
            <w:hideMark/>
          </w:tcPr>
          <w:p w14:paraId="5BF6FCAE" w14:textId="77777777" w:rsidR="00DB1AEE" w:rsidRPr="00DB1AEE" w:rsidRDefault="00DB1AEE" w:rsidP="00DB1AEE">
            <w:pPr>
              <w:suppressAutoHyphens/>
              <w:jc w:val="center"/>
              <w:rPr>
                <w:sz w:val="18"/>
                <w:szCs w:val="18"/>
                <w:u w:val="single"/>
              </w:rPr>
            </w:pPr>
            <w:r w:rsidRPr="00DB1AEE">
              <w:rPr>
                <w:sz w:val="18"/>
                <w:szCs w:val="18"/>
                <w:u w:val="single"/>
              </w:rPr>
              <w:t> </w:t>
            </w:r>
          </w:p>
        </w:tc>
        <w:tc>
          <w:tcPr>
            <w:tcW w:w="364" w:type="pct"/>
            <w:gridSpan w:val="2"/>
            <w:tcBorders>
              <w:top w:val="nil"/>
              <w:left w:val="nil"/>
              <w:bottom w:val="single" w:sz="4" w:space="0" w:color="auto"/>
              <w:right w:val="single" w:sz="4" w:space="0" w:color="auto"/>
            </w:tcBorders>
            <w:hideMark/>
          </w:tcPr>
          <w:p w14:paraId="2D4895C0" w14:textId="77777777" w:rsidR="00DB1AEE" w:rsidRPr="00DB1AEE" w:rsidRDefault="00DB1AEE" w:rsidP="00DB1AEE">
            <w:pPr>
              <w:suppressAutoHyphens/>
              <w:jc w:val="left"/>
              <w:rPr>
                <w:sz w:val="18"/>
                <w:szCs w:val="18"/>
                <w:u w:val="single"/>
              </w:rPr>
            </w:pPr>
            <w:r w:rsidRPr="00DB1AEE">
              <w:rPr>
                <w:sz w:val="18"/>
                <w:szCs w:val="18"/>
                <w:u w:val="single"/>
              </w:rPr>
              <w:t>REQ</w:t>
            </w:r>
          </w:p>
        </w:tc>
        <w:tc>
          <w:tcPr>
            <w:tcW w:w="427" w:type="pct"/>
            <w:gridSpan w:val="3"/>
            <w:tcBorders>
              <w:top w:val="nil"/>
              <w:left w:val="nil"/>
              <w:bottom w:val="single" w:sz="4" w:space="0" w:color="auto"/>
              <w:right w:val="single" w:sz="4" w:space="0" w:color="auto"/>
            </w:tcBorders>
            <w:hideMark/>
          </w:tcPr>
          <w:p w14:paraId="54A5A7DD"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97" w:type="pct"/>
            <w:tcBorders>
              <w:top w:val="nil"/>
              <w:left w:val="nil"/>
              <w:bottom w:val="single" w:sz="4" w:space="0" w:color="auto"/>
              <w:right w:val="single" w:sz="4" w:space="0" w:color="auto"/>
            </w:tcBorders>
            <w:hideMark/>
          </w:tcPr>
          <w:p w14:paraId="72259D34"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63" w:type="pct"/>
            <w:tcBorders>
              <w:top w:val="nil"/>
              <w:left w:val="nil"/>
              <w:bottom w:val="single" w:sz="4" w:space="0" w:color="auto"/>
              <w:right w:val="single" w:sz="4" w:space="0" w:color="auto"/>
            </w:tcBorders>
            <w:hideMark/>
          </w:tcPr>
          <w:p w14:paraId="280CBE84"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418" w:type="pct"/>
            <w:gridSpan w:val="3"/>
            <w:tcBorders>
              <w:top w:val="nil"/>
              <w:left w:val="nil"/>
              <w:bottom w:val="single" w:sz="4" w:space="0" w:color="auto"/>
              <w:right w:val="single" w:sz="4" w:space="0" w:color="auto"/>
            </w:tcBorders>
            <w:hideMark/>
          </w:tcPr>
          <w:p w14:paraId="0BF593B7" w14:textId="77777777" w:rsidR="00DB1AEE" w:rsidRPr="00DB1AEE" w:rsidRDefault="00DB1AEE" w:rsidP="00DB1AEE">
            <w:pPr>
              <w:suppressAutoHyphens/>
              <w:jc w:val="left"/>
              <w:rPr>
                <w:sz w:val="18"/>
                <w:szCs w:val="18"/>
                <w:u w:val="single"/>
              </w:rPr>
            </w:pPr>
            <w:r w:rsidRPr="00DB1AEE">
              <w:rPr>
                <w:sz w:val="18"/>
                <w:szCs w:val="18"/>
                <w:u w:val="single"/>
              </w:rPr>
              <w:t>ADD2</w:t>
            </w:r>
          </w:p>
        </w:tc>
        <w:tc>
          <w:tcPr>
            <w:tcW w:w="323" w:type="pct"/>
            <w:tcBorders>
              <w:top w:val="nil"/>
              <w:left w:val="nil"/>
              <w:bottom w:val="single" w:sz="4" w:space="0" w:color="auto"/>
              <w:right w:val="single" w:sz="4" w:space="0" w:color="auto"/>
            </w:tcBorders>
            <w:hideMark/>
          </w:tcPr>
          <w:p w14:paraId="67308B13" w14:textId="77777777" w:rsidR="00DB1AEE" w:rsidRPr="00DB1AEE" w:rsidRDefault="00DB1AEE" w:rsidP="00DB1AEE">
            <w:pPr>
              <w:suppressAutoHyphens/>
              <w:jc w:val="left"/>
              <w:rPr>
                <w:sz w:val="18"/>
                <w:szCs w:val="18"/>
                <w:u w:val="single"/>
              </w:rPr>
            </w:pPr>
            <w:r w:rsidRPr="00DB1AEE">
              <w:rPr>
                <w:sz w:val="18"/>
                <w:szCs w:val="18"/>
                <w:u w:val="single"/>
              </w:rPr>
              <w:t>ADD2</w:t>
            </w:r>
          </w:p>
        </w:tc>
      </w:tr>
      <w:tr w:rsidR="00DB1AEE" w:rsidRPr="00DB1AEE" w14:paraId="570DC1D0" w14:textId="77777777" w:rsidTr="00FC1832">
        <w:trPr>
          <w:trHeight w:val="300"/>
        </w:trPr>
        <w:tc>
          <w:tcPr>
            <w:tcW w:w="896" w:type="pct"/>
            <w:tcBorders>
              <w:top w:val="nil"/>
              <w:left w:val="single" w:sz="4" w:space="0" w:color="auto"/>
              <w:bottom w:val="single" w:sz="4" w:space="0" w:color="auto"/>
              <w:right w:val="single" w:sz="4" w:space="0" w:color="auto"/>
            </w:tcBorders>
            <w:hideMark/>
          </w:tcPr>
          <w:p w14:paraId="597D2439" w14:textId="77777777" w:rsidR="00DB1AEE" w:rsidRPr="00DB1AEE" w:rsidRDefault="00DB1AEE" w:rsidP="00DB1AEE">
            <w:pPr>
              <w:suppressAutoHyphens/>
              <w:jc w:val="left"/>
              <w:rPr>
                <w:sz w:val="18"/>
                <w:szCs w:val="18"/>
                <w:u w:val="single"/>
              </w:rPr>
            </w:pPr>
            <w:r w:rsidRPr="00DB1AEE">
              <w:rPr>
                <w:sz w:val="18"/>
                <w:szCs w:val="18"/>
                <w:u w:val="single"/>
              </w:rPr>
              <w:t>Recovery room</w:t>
            </w:r>
          </w:p>
        </w:tc>
        <w:tc>
          <w:tcPr>
            <w:tcW w:w="429" w:type="pct"/>
            <w:gridSpan w:val="2"/>
            <w:tcBorders>
              <w:top w:val="nil"/>
              <w:left w:val="nil"/>
              <w:bottom w:val="single" w:sz="4" w:space="0" w:color="auto"/>
              <w:right w:val="single" w:sz="4" w:space="0" w:color="auto"/>
            </w:tcBorders>
            <w:noWrap/>
            <w:hideMark/>
          </w:tcPr>
          <w:p w14:paraId="30E3818A" w14:textId="77777777" w:rsidR="00DB1AEE" w:rsidRPr="00DB1AEE" w:rsidRDefault="00DB1AEE" w:rsidP="00DB1AEE">
            <w:pPr>
              <w:suppressAutoHyphens/>
              <w:jc w:val="left"/>
              <w:rPr>
                <w:strike/>
                <w:sz w:val="18"/>
                <w:szCs w:val="18"/>
                <w:u w:val="single"/>
              </w:rPr>
            </w:pPr>
            <w:r w:rsidRPr="00DB1AEE">
              <w:rPr>
                <w:sz w:val="18"/>
                <w:szCs w:val="18"/>
                <w:u w:val="single"/>
              </w:rPr>
              <w:t>0.89</w:t>
            </w:r>
          </w:p>
        </w:tc>
        <w:tc>
          <w:tcPr>
            <w:tcW w:w="330" w:type="pct"/>
            <w:tcBorders>
              <w:top w:val="nil"/>
              <w:left w:val="nil"/>
              <w:bottom w:val="single" w:sz="4" w:space="0" w:color="auto"/>
              <w:right w:val="single" w:sz="4" w:space="0" w:color="auto"/>
            </w:tcBorders>
            <w:noWrap/>
            <w:hideMark/>
          </w:tcPr>
          <w:p w14:paraId="22ED5504" w14:textId="77777777" w:rsidR="00DB1AEE" w:rsidRPr="00DB1AEE" w:rsidRDefault="00DB1AEE" w:rsidP="00DB1AEE">
            <w:pPr>
              <w:suppressAutoHyphens/>
              <w:jc w:val="center"/>
              <w:rPr>
                <w:sz w:val="18"/>
                <w:szCs w:val="18"/>
                <w:u w:val="single"/>
              </w:rPr>
            </w:pPr>
            <w:r w:rsidRPr="00DB1AEE">
              <w:rPr>
                <w:sz w:val="18"/>
                <w:szCs w:val="18"/>
                <w:u w:val="single"/>
              </w:rPr>
              <w:t>6</w:t>
            </w:r>
          </w:p>
        </w:tc>
        <w:tc>
          <w:tcPr>
            <w:tcW w:w="361" w:type="pct"/>
            <w:gridSpan w:val="2"/>
            <w:tcBorders>
              <w:top w:val="nil"/>
              <w:left w:val="nil"/>
              <w:bottom w:val="single" w:sz="4" w:space="0" w:color="auto"/>
              <w:right w:val="single" w:sz="4" w:space="0" w:color="auto"/>
            </w:tcBorders>
            <w:hideMark/>
          </w:tcPr>
          <w:p w14:paraId="05E331AE"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63" w:type="pct"/>
            <w:gridSpan w:val="3"/>
            <w:tcBorders>
              <w:top w:val="nil"/>
              <w:left w:val="nil"/>
              <w:bottom w:val="single" w:sz="4" w:space="0" w:color="auto"/>
              <w:right w:val="single" w:sz="4" w:space="0" w:color="auto"/>
            </w:tcBorders>
            <w:vAlign w:val="bottom"/>
            <w:hideMark/>
          </w:tcPr>
          <w:p w14:paraId="77F58EAA"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330" w:type="pct"/>
            <w:tcBorders>
              <w:top w:val="nil"/>
              <w:left w:val="nil"/>
              <w:bottom w:val="single" w:sz="4" w:space="0" w:color="auto"/>
              <w:right w:val="single" w:sz="4" w:space="0" w:color="auto"/>
            </w:tcBorders>
            <w:vAlign w:val="bottom"/>
            <w:hideMark/>
          </w:tcPr>
          <w:p w14:paraId="226F0147" w14:textId="77777777" w:rsidR="00DB1AEE" w:rsidRPr="00DB1AEE" w:rsidRDefault="00DB1AEE" w:rsidP="00DB1AEE">
            <w:pPr>
              <w:suppressAutoHyphens/>
              <w:jc w:val="center"/>
              <w:rPr>
                <w:sz w:val="18"/>
                <w:szCs w:val="18"/>
                <w:u w:val="single"/>
              </w:rPr>
            </w:pPr>
            <w:r w:rsidRPr="00DB1AEE">
              <w:rPr>
                <w:sz w:val="18"/>
                <w:szCs w:val="18"/>
                <w:u w:val="single"/>
              </w:rPr>
              <w:t> </w:t>
            </w:r>
          </w:p>
        </w:tc>
        <w:tc>
          <w:tcPr>
            <w:tcW w:w="364" w:type="pct"/>
            <w:gridSpan w:val="2"/>
            <w:tcBorders>
              <w:top w:val="nil"/>
              <w:left w:val="nil"/>
              <w:bottom w:val="single" w:sz="4" w:space="0" w:color="auto"/>
              <w:right w:val="single" w:sz="4" w:space="0" w:color="auto"/>
            </w:tcBorders>
            <w:hideMark/>
          </w:tcPr>
          <w:p w14:paraId="1790BB77" w14:textId="77777777" w:rsidR="00DB1AEE" w:rsidRPr="00DB1AEE" w:rsidRDefault="00DB1AEE" w:rsidP="00DB1AEE">
            <w:pPr>
              <w:suppressAutoHyphens/>
              <w:jc w:val="left"/>
              <w:rPr>
                <w:sz w:val="18"/>
                <w:szCs w:val="18"/>
                <w:u w:val="single"/>
              </w:rPr>
            </w:pPr>
            <w:r w:rsidRPr="00DB1AEE">
              <w:rPr>
                <w:sz w:val="18"/>
                <w:szCs w:val="18"/>
                <w:u w:val="single"/>
              </w:rPr>
              <w:t>REQ</w:t>
            </w:r>
          </w:p>
        </w:tc>
        <w:tc>
          <w:tcPr>
            <w:tcW w:w="427" w:type="pct"/>
            <w:gridSpan w:val="3"/>
            <w:tcBorders>
              <w:top w:val="nil"/>
              <w:left w:val="nil"/>
              <w:bottom w:val="single" w:sz="4" w:space="0" w:color="auto"/>
              <w:right w:val="single" w:sz="4" w:space="0" w:color="auto"/>
            </w:tcBorders>
          </w:tcPr>
          <w:p w14:paraId="26748053" w14:textId="77777777" w:rsidR="00DB1AEE" w:rsidRPr="00DB1AEE" w:rsidRDefault="00DB1AEE" w:rsidP="00DB1AEE">
            <w:pPr>
              <w:suppressAutoHyphens/>
              <w:jc w:val="center"/>
              <w:rPr>
                <w:sz w:val="18"/>
                <w:szCs w:val="18"/>
                <w:u w:val="single"/>
              </w:rPr>
            </w:pPr>
          </w:p>
        </w:tc>
        <w:tc>
          <w:tcPr>
            <w:tcW w:w="397" w:type="pct"/>
            <w:tcBorders>
              <w:top w:val="nil"/>
              <w:left w:val="nil"/>
              <w:bottom w:val="single" w:sz="4" w:space="0" w:color="auto"/>
              <w:right w:val="single" w:sz="4" w:space="0" w:color="auto"/>
            </w:tcBorders>
          </w:tcPr>
          <w:p w14:paraId="5E6BBD8D" w14:textId="77777777" w:rsidR="00DB1AEE" w:rsidRPr="00DB1AEE" w:rsidRDefault="00DB1AEE" w:rsidP="00DB1AEE">
            <w:pPr>
              <w:suppressAutoHyphens/>
              <w:jc w:val="center"/>
              <w:rPr>
                <w:sz w:val="18"/>
                <w:szCs w:val="18"/>
                <w:u w:val="single"/>
              </w:rPr>
            </w:pPr>
          </w:p>
        </w:tc>
        <w:tc>
          <w:tcPr>
            <w:tcW w:w="363" w:type="pct"/>
            <w:tcBorders>
              <w:top w:val="nil"/>
              <w:left w:val="nil"/>
              <w:bottom w:val="single" w:sz="4" w:space="0" w:color="auto"/>
              <w:right w:val="single" w:sz="4" w:space="0" w:color="auto"/>
            </w:tcBorders>
            <w:vAlign w:val="bottom"/>
            <w:hideMark/>
          </w:tcPr>
          <w:p w14:paraId="6653BC69"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418" w:type="pct"/>
            <w:gridSpan w:val="3"/>
            <w:tcBorders>
              <w:top w:val="nil"/>
              <w:left w:val="nil"/>
              <w:bottom w:val="single" w:sz="4" w:space="0" w:color="auto"/>
              <w:right w:val="single" w:sz="4" w:space="0" w:color="auto"/>
            </w:tcBorders>
            <w:hideMark/>
          </w:tcPr>
          <w:p w14:paraId="35700174" w14:textId="77777777" w:rsidR="00DB1AEE" w:rsidRPr="00DB1AEE" w:rsidRDefault="00DB1AEE" w:rsidP="00DB1AEE">
            <w:pPr>
              <w:suppressAutoHyphens/>
              <w:jc w:val="left"/>
              <w:rPr>
                <w:sz w:val="18"/>
                <w:szCs w:val="18"/>
                <w:u w:val="single"/>
              </w:rPr>
            </w:pPr>
            <w:r w:rsidRPr="00DB1AEE">
              <w:rPr>
                <w:sz w:val="18"/>
                <w:szCs w:val="18"/>
                <w:u w:val="single"/>
              </w:rPr>
              <w:t>ADD2</w:t>
            </w:r>
          </w:p>
        </w:tc>
        <w:tc>
          <w:tcPr>
            <w:tcW w:w="323" w:type="pct"/>
            <w:tcBorders>
              <w:top w:val="nil"/>
              <w:left w:val="nil"/>
              <w:bottom w:val="single" w:sz="4" w:space="0" w:color="auto"/>
              <w:right w:val="single" w:sz="4" w:space="0" w:color="auto"/>
            </w:tcBorders>
            <w:hideMark/>
          </w:tcPr>
          <w:p w14:paraId="24F49BE7" w14:textId="77777777" w:rsidR="00DB1AEE" w:rsidRPr="00DB1AEE" w:rsidRDefault="00DB1AEE" w:rsidP="00DB1AEE">
            <w:pPr>
              <w:suppressAutoHyphens/>
              <w:jc w:val="left"/>
              <w:rPr>
                <w:sz w:val="18"/>
                <w:szCs w:val="18"/>
                <w:u w:val="single"/>
              </w:rPr>
            </w:pPr>
            <w:r w:rsidRPr="00DB1AEE">
              <w:rPr>
                <w:sz w:val="18"/>
                <w:szCs w:val="18"/>
                <w:u w:val="single"/>
              </w:rPr>
              <w:t>ADD2</w:t>
            </w:r>
          </w:p>
        </w:tc>
      </w:tr>
      <w:tr w:rsidR="00DB1AEE" w:rsidRPr="00DB1AEE" w14:paraId="19BE75EA" w14:textId="77777777" w:rsidTr="00FC1832">
        <w:trPr>
          <w:trHeight w:val="300"/>
        </w:trPr>
        <w:tc>
          <w:tcPr>
            <w:tcW w:w="896" w:type="pct"/>
            <w:tcBorders>
              <w:top w:val="nil"/>
              <w:left w:val="single" w:sz="4" w:space="0" w:color="auto"/>
              <w:bottom w:val="single" w:sz="4" w:space="0" w:color="auto"/>
              <w:right w:val="single" w:sz="4" w:space="0" w:color="auto"/>
            </w:tcBorders>
            <w:hideMark/>
          </w:tcPr>
          <w:p w14:paraId="45D11AAF" w14:textId="77777777" w:rsidR="00DB1AEE" w:rsidRPr="00DB1AEE" w:rsidRDefault="00DB1AEE" w:rsidP="00DB1AEE">
            <w:pPr>
              <w:suppressAutoHyphens/>
              <w:jc w:val="left"/>
              <w:rPr>
                <w:sz w:val="18"/>
                <w:szCs w:val="18"/>
                <w:u w:val="single"/>
              </w:rPr>
            </w:pPr>
            <w:r w:rsidRPr="00DB1AEE">
              <w:rPr>
                <w:sz w:val="18"/>
                <w:szCs w:val="18"/>
                <w:u w:val="single"/>
              </w:rPr>
              <w:t>Telemedicine</w:t>
            </w:r>
          </w:p>
        </w:tc>
        <w:tc>
          <w:tcPr>
            <w:tcW w:w="429" w:type="pct"/>
            <w:gridSpan w:val="2"/>
            <w:tcBorders>
              <w:top w:val="nil"/>
              <w:left w:val="nil"/>
              <w:bottom w:val="single" w:sz="4" w:space="0" w:color="auto"/>
              <w:right w:val="single" w:sz="4" w:space="0" w:color="auto"/>
            </w:tcBorders>
            <w:noWrap/>
            <w:hideMark/>
          </w:tcPr>
          <w:p w14:paraId="01F9886A" w14:textId="77777777" w:rsidR="00DB1AEE" w:rsidRPr="00DB1AEE" w:rsidRDefault="00DB1AEE" w:rsidP="00DB1AEE">
            <w:pPr>
              <w:suppressAutoHyphens/>
              <w:jc w:val="left"/>
              <w:rPr>
                <w:sz w:val="18"/>
                <w:szCs w:val="18"/>
                <w:u w:val="single"/>
              </w:rPr>
            </w:pPr>
            <w:r w:rsidRPr="00DB1AEE">
              <w:rPr>
                <w:sz w:val="18"/>
                <w:szCs w:val="18"/>
                <w:u w:val="single"/>
              </w:rPr>
              <w:t> </w:t>
            </w:r>
          </w:p>
          <w:p w14:paraId="5CF30001" w14:textId="77777777" w:rsidR="00DB1AEE" w:rsidRPr="00DB1AEE" w:rsidRDefault="00DB1AEE" w:rsidP="00DB1AEE">
            <w:pPr>
              <w:suppressAutoHyphens/>
              <w:jc w:val="left"/>
              <w:rPr>
                <w:sz w:val="18"/>
                <w:szCs w:val="18"/>
                <w:u w:val="single"/>
              </w:rPr>
            </w:pPr>
            <w:r w:rsidRPr="00DB1AEE">
              <w:rPr>
                <w:sz w:val="18"/>
                <w:szCs w:val="18"/>
                <w:u w:val="single"/>
              </w:rPr>
              <w:t>1.44</w:t>
            </w:r>
          </w:p>
        </w:tc>
        <w:tc>
          <w:tcPr>
            <w:tcW w:w="330" w:type="pct"/>
            <w:tcBorders>
              <w:top w:val="nil"/>
              <w:left w:val="single" w:sz="4" w:space="0" w:color="auto"/>
              <w:bottom w:val="single" w:sz="4" w:space="0" w:color="auto"/>
              <w:right w:val="single" w:sz="4" w:space="0" w:color="auto"/>
            </w:tcBorders>
            <w:noWrap/>
            <w:hideMark/>
          </w:tcPr>
          <w:p w14:paraId="71541ABA" w14:textId="77777777" w:rsidR="00DB1AEE" w:rsidRPr="00DB1AEE" w:rsidRDefault="00DB1AEE" w:rsidP="00DB1AEE">
            <w:pPr>
              <w:suppressAutoHyphens/>
              <w:jc w:val="center"/>
              <w:rPr>
                <w:sz w:val="18"/>
                <w:szCs w:val="18"/>
                <w:u w:val="single"/>
              </w:rPr>
            </w:pPr>
            <w:r w:rsidRPr="00DB1AEE">
              <w:rPr>
                <w:sz w:val="18"/>
                <w:szCs w:val="18"/>
                <w:u w:val="single"/>
              </w:rPr>
              <w:t>8</w:t>
            </w:r>
          </w:p>
        </w:tc>
        <w:tc>
          <w:tcPr>
            <w:tcW w:w="361" w:type="pct"/>
            <w:gridSpan w:val="2"/>
            <w:tcBorders>
              <w:top w:val="nil"/>
              <w:left w:val="nil"/>
              <w:bottom w:val="single" w:sz="4" w:space="0" w:color="auto"/>
              <w:right w:val="nil"/>
            </w:tcBorders>
            <w:hideMark/>
          </w:tcPr>
          <w:p w14:paraId="429245C9" w14:textId="77777777" w:rsidR="00DB1AEE" w:rsidRPr="00DB1AEE" w:rsidRDefault="00DB1AEE" w:rsidP="00DB1AEE">
            <w:pPr>
              <w:suppressAutoHyphens/>
              <w:jc w:val="center"/>
              <w:rPr>
                <w:sz w:val="18"/>
                <w:szCs w:val="18"/>
                <w:u w:val="single"/>
              </w:rPr>
            </w:pPr>
            <w:r w:rsidRPr="00DB1AEE">
              <w:rPr>
                <w:sz w:val="18"/>
                <w:szCs w:val="18"/>
                <w:u w:val="single"/>
              </w:rPr>
              <w:t> </w:t>
            </w:r>
          </w:p>
        </w:tc>
        <w:tc>
          <w:tcPr>
            <w:tcW w:w="363" w:type="pct"/>
            <w:gridSpan w:val="3"/>
            <w:tcBorders>
              <w:top w:val="nil"/>
              <w:left w:val="single" w:sz="4" w:space="0" w:color="auto"/>
              <w:bottom w:val="single" w:sz="4" w:space="0" w:color="auto"/>
              <w:right w:val="single" w:sz="4" w:space="0" w:color="auto"/>
            </w:tcBorders>
            <w:hideMark/>
          </w:tcPr>
          <w:p w14:paraId="008BFF5F"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330" w:type="pct"/>
            <w:tcBorders>
              <w:top w:val="nil"/>
              <w:left w:val="nil"/>
              <w:bottom w:val="single" w:sz="4" w:space="0" w:color="auto"/>
              <w:right w:val="single" w:sz="4" w:space="0" w:color="auto"/>
            </w:tcBorders>
            <w:hideMark/>
          </w:tcPr>
          <w:p w14:paraId="15D0A0B4"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364" w:type="pct"/>
            <w:gridSpan w:val="2"/>
            <w:tcBorders>
              <w:top w:val="nil"/>
              <w:left w:val="nil"/>
              <w:bottom w:val="single" w:sz="4" w:space="0" w:color="auto"/>
              <w:right w:val="single" w:sz="4" w:space="0" w:color="auto"/>
            </w:tcBorders>
            <w:hideMark/>
          </w:tcPr>
          <w:p w14:paraId="7FB1CDEA"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427" w:type="pct"/>
            <w:gridSpan w:val="3"/>
            <w:tcBorders>
              <w:top w:val="nil"/>
              <w:left w:val="nil"/>
              <w:bottom w:val="single" w:sz="4" w:space="0" w:color="auto"/>
              <w:right w:val="single" w:sz="4" w:space="0" w:color="auto"/>
            </w:tcBorders>
            <w:hideMark/>
          </w:tcPr>
          <w:p w14:paraId="63357C02"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97" w:type="pct"/>
            <w:tcBorders>
              <w:top w:val="nil"/>
              <w:left w:val="nil"/>
              <w:bottom w:val="single" w:sz="4" w:space="0" w:color="auto"/>
              <w:right w:val="single" w:sz="4" w:space="0" w:color="auto"/>
            </w:tcBorders>
            <w:hideMark/>
          </w:tcPr>
          <w:p w14:paraId="15E353D6"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63" w:type="pct"/>
            <w:tcBorders>
              <w:top w:val="nil"/>
              <w:left w:val="nil"/>
              <w:bottom w:val="single" w:sz="4" w:space="0" w:color="auto"/>
              <w:right w:val="nil"/>
            </w:tcBorders>
            <w:vAlign w:val="bottom"/>
            <w:hideMark/>
          </w:tcPr>
          <w:p w14:paraId="4D13FCED"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418" w:type="pct"/>
            <w:gridSpan w:val="3"/>
            <w:tcBorders>
              <w:top w:val="nil"/>
              <w:left w:val="single" w:sz="4" w:space="0" w:color="auto"/>
              <w:bottom w:val="single" w:sz="4" w:space="0" w:color="auto"/>
              <w:right w:val="single" w:sz="4" w:space="0" w:color="auto"/>
            </w:tcBorders>
            <w:hideMark/>
          </w:tcPr>
          <w:p w14:paraId="12DAF52E"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23" w:type="pct"/>
            <w:tcBorders>
              <w:top w:val="nil"/>
              <w:left w:val="nil"/>
              <w:bottom w:val="single" w:sz="4" w:space="0" w:color="auto"/>
              <w:right w:val="single" w:sz="4" w:space="0" w:color="auto"/>
            </w:tcBorders>
            <w:hideMark/>
          </w:tcPr>
          <w:p w14:paraId="74FC9A75" w14:textId="77777777" w:rsidR="00DB1AEE" w:rsidRPr="00DB1AEE" w:rsidRDefault="00DB1AEE" w:rsidP="00DB1AEE">
            <w:pPr>
              <w:suppressAutoHyphens/>
              <w:jc w:val="left"/>
              <w:rPr>
                <w:sz w:val="18"/>
                <w:szCs w:val="18"/>
                <w:u w:val="single"/>
              </w:rPr>
            </w:pPr>
            <w:r w:rsidRPr="00DB1AEE">
              <w:rPr>
                <w:sz w:val="18"/>
                <w:szCs w:val="18"/>
                <w:u w:val="single"/>
              </w:rPr>
              <w:t> </w:t>
            </w:r>
          </w:p>
        </w:tc>
      </w:tr>
      <w:tr w:rsidR="00DB1AEE" w:rsidRPr="00DB1AEE" w14:paraId="73607F89" w14:textId="77777777" w:rsidTr="00FC1832">
        <w:trPr>
          <w:trHeight w:val="300"/>
        </w:trPr>
        <w:tc>
          <w:tcPr>
            <w:tcW w:w="896" w:type="pct"/>
            <w:tcBorders>
              <w:top w:val="nil"/>
              <w:left w:val="single" w:sz="4" w:space="0" w:color="auto"/>
              <w:bottom w:val="single" w:sz="4" w:space="0" w:color="auto"/>
              <w:right w:val="single" w:sz="4" w:space="0" w:color="auto"/>
            </w:tcBorders>
            <w:hideMark/>
          </w:tcPr>
          <w:p w14:paraId="3ABE4BC7" w14:textId="77777777" w:rsidR="00DB1AEE" w:rsidRPr="00DB1AEE" w:rsidRDefault="00DB1AEE" w:rsidP="00DB1AEE">
            <w:pPr>
              <w:suppressAutoHyphens/>
              <w:jc w:val="left"/>
              <w:rPr>
                <w:sz w:val="18"/>
                <w:szCs w:val="18"/>
                <w:u w:val="single"/>
              </w:rPr>
            </w:pPr>
            <w:r w:rsidRPr="00DB1AEE">
              <w:rPr>
                <w:sz w:val="18"/>
                <w:szCs w:val="18"/>
                <w:u w:val="single"/>
              </w:rPr>
              <w:t>Library</w:t>
            </w:r>
          </w:p>
        </w:tc>
        <w:tc>
          <w:tcPr>
            <w:tcW w:w="429" w:type="pct"/>
            <w:gridSpan w:val="2"/>
            <w:tcBorders>
              <w:top w:val="single" w:sz="4" w:space="0" w:color="auto"/>
              <w:left w:val="single" w:sz="4" w:space="0" w:color="auto"/>
              <w:bottom w:val="single" w:sz="4" w:space="0" w:color="auto"/>
              <w:right w:val="single" w:sz="4" w:space="0" w:color="auto"/>
            </w:tcBorders>
            <w:hideMark/>
          </w:tcPr>
          <w:p w14:paraId="316DECDB"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330" w:type="pct"/>
            <w:tcBorders>
              <w:top w:val="single" w:sz="4" w:space="0" w:color="auto"/>
              <w:left w:val="single" w:sz="4" w:space="0" w:color="auto"/>
              <w:bottom w:val="single" w:sz="4" w:space="0" w:color="auto"/>
              <w:right w:val="single" w:sz="4" w:space="0" w:color="auto"/>
            </w:tcBorders>
            <w:vAlign w:val="bottom"/>
            <w:hideMark/>
          </w:tcPr>
          <w:p w14:paraId="6124660C" w14:textId="77777777" w:rsidR="00DB1AEE" w:rsidRPr="00DB1AEE" w:rsidRDefault="00DB1AEE" w:rsidP="00DB1AEE">
            <w:pPr>
              <w:suppressAutoHyphens/>
              <w:jc w:val="left"/>
              <w:rPr>
                <w:sz w:val="18"/>
                <w:szCs w:val="18"/>
                <w:u w:val="single"/>
              </w:rPr>
            </w:pPr>
            <w:r w:rsidRPr="00DB1AEE">
              <w:rPr>
                <w:sz w:val="18"/>
                <w:szCs w:val="18"/>
                <w:u w:val="single"/>
              </w:rPr>
              <w:t> </w:t>
            </w:r>
          </w:p>
          <w:p w14:paraId="4C6BC80E"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361" w:type="pct"/>
            <w:gridSpan w:val="2"/>
            <w:tcBorders>
              <w:top w:val="nil"/>
              <w:left w:val="nil"/>
              <w:bottom w:val="single" w:sz="4" w:space="0" w:color="auto"/>
              <w:right w:val="nil"/>
            </w:tcBorders>
            <w:hideMark/>
          </w:tcPr>
          <w:p w14:paraId="5DE697ED" w14:textId="77777777" w:rsidR="00DB1AEE" w:rsidRPr="00DB1AEE" w:rsidRDefault="00DB1AEE" w:rsidP="00DB1AEE">
            <w:pPr>
              <w:suppressAutoHyphens/>
              <w:jc w:val="center"/>
              <w:rPr>
                <w:sz w:val="18"/>
                <w:szCs w:val="18"/>
                <w:u w:val="single"/>
              </w:rPr>
            </w:pPr>
            <w:r w:rsidRPr="00DB1AEE">
              <w:rPr>
                <w:sz w:val="18"/>
                <w:szCs w:val="18"/>
                <w:u w:val="single"/>
              </w:rPr>
              <w:t> </w:t>
            </w:r>
          </w:p>
        </w:tc>
        <w:tc>
          <w:tcPr>
            <w:tcW w:w="363" w:type="pct"/>
            <w:gridSpan w:val="3"/>
            <w:tcBorders>
              <w:top w:val="nil"/>
              <w:left w:val="nil"/>
              <w:bottom w:val="single" w:sz="4" w:space="0" w:color="auto"/>
              <w:right w:val="nil"/>
            </w:tcBorders>
            <w:hideMark/>
          </w:tcPr>
          <w:p w14:paraId="725F4CF1"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330" w:type="pct"/>
            <w:tcBorders>
              <w:top w:val="nil"/>
              <w:left w:val="nil"/>
              <w:bottom w:val="single" w:sz="4" w:space="0" w:color="auto"/>
              <w:right w:val="nil"/>
            </w:tcBorders>
            <w:hideMark/>
          </w:tcPr>
          <w:p w14:paraId="4D179E54" w14:textId="77777777" w:rsidR="00DB1AEE" w:rsidRPr="00DB1AEE" w:rsidRDefault="00DB1AEE" w:rsidP="00DB1AEE">
            <w:pPr>
              <w:suppressAutoHyphens/>
              <w:jc w:val="center"/>
              <w:rPr>
                <w:sz w:val="18"/>
                <w:szCs w:val="18"/>
                <w:u w:val="single"/>
              </w:rPr>
            </w:pPr>
            <w:r w:rsidRPr="00DB1AEE">
              <w:rPr>
                <w:sz w:val="18"/>
                <w:szCs w:val="18"/>
                <w:u w:val="single"/>
              </w:rPr>
              <w:t> </w:t>
            </w:r>
          </w:p>
        </w:tc>
        <w:tc>
          <w:tcPr>
            <w:tcW w:w="364" w:type="pct"/>
            <w:gridSpan w:val="2"/>
            <w:tcBorders>
              <w:top w:val="nil"/>
              <w:left w:val="nil"/>
              <w:bottom w:val="single" w:sz="4" w:space="0" w:color="auto"/>
              <w:right w:val="nil"/>
            </w:tcBorders>
            <w:hideMark/>
          </w:tcPr>
          <w:p w14:paraId="1E21E232"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427" w:type="pct"/>
            <w:gridSpan w:val="3"/>
            <w:tcBorders>
              <w:top w:val="nil"/>
              <w:left w:val="nil"/>
              <w:bottom w:val="single" w:sz="4" w:space="0" w:color="auto"/>
              <w:right w:val="nil"/>
            </w:tcBorders>
            <w:hideMark/>
          </w:tcPr>
          <w:p w14:paraId="14EF5E4D" w14:textId="77777777" w:rsidR="00DB1AEE" w:rsidRPr="00DB1AEE" w:rsidRDefault="00DB1AEE" w:rsidP="00DB1AEE">
            <w:pPr>
              <w:suppressAutoHyphens/>
              <w:jc w:val="center"/>
              <w:rPr>
                <w:sz w:val="18"/>
                <w:szCs w:val="18"/>
                <w:u w:val="single"/>
              </w:rPr>
            </w:pPr>
            <w:r w:rsidRPr="00DB1AEE">
              <w:rPr>
                <w:sz w:val="18"/>
                <w:szCs w:val="18"/>
                <w:u w:val="single"/>
              </w:rPr>
              <w:t> </w:t>
            </w:r>
          </w:p>
        </w:tc>
        <w:tc>
          <w:tcPr>
            <w:tcW w:w="397" w:type="pct"/>
            <w:tcBorders>
              <w:top w:val="nil"/>
              <w:left w:val="nil"/>
              <w:bottom w:val="single" w:sz="4" w:space="0" w:color="auto"/>
              <w:right w:val="nil"/>
            </w:tcBorders>
            <w:hideMark/>
          </w:tcPr>
          <w:p w14:paraId="3E01640C" w14:textId="77777777" w:rsidR="00DB1AEE" w:rsidRPr="00DB1AEE" w:rsidRDefault="00DB1AEE" w:rsidP="00DB1AEE">
            <w:pPr>
              <w:suppressAutoHyphens/>
              <w:jc w:val="center"/>
              <w:rPr>
                <w:sz w:val="18"/>
                <w:szCs w:val="18"/>
                <w:u w:val="single"/>
              </w:rPr>
            </w:pPr>
            <w:r w:rsidRPr="00DB1AEE">
              <w:rPr>
                <w:sz w:val="18"/>
                <w:szCs w:val="18"/>
                <w:u w:val="single"/>
              </w:rPr>
              <w:t> </w:t>
            </w:r>
          </w:p>
        </w:tc>
        <w:tc>
          <w:tcPr>
            <w:tcW w:w="363" w:type="pct"/>
            <w:tcBorders>
              <w:top w:val="nil"/>
              <w:left w:val="nil"/>
              <w:bottom w:val="single" w:sz="4" w:space="0" w:color="auto"/>
              <w:right w:val="nil"/>
            </w:tcBorders>
            <w:hideMark/>
          </w:tcPr>
          <w:p w14:paraId="5668036A"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418" w:type="pct"/>
            <w:gridSpan w:val="3"/>
            <w:tcBorders>
              <w:top w:val="nil"/>
              <w:left w:val="nil"/>
              <w:bottom w:val="single" w:sz="4" w:space="0" w:color="auto"/>
              <w:right w:val="nil"/>
            </w:tcBorders>
            <w:hideMark/>
          </w:tcPr>
          <w:p w14:paraId="6F57D84A"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323" w:type="pct"/>
            <w:tcBorders>
              <w:top w:val="nil"/>
              <w:left w:val="nil"/>
              <w:bottom w:val="single" w:sz="4" w:space="0" w:color="auto"/>
              <w:right w:val="single" w:sz="4" w:space="0" w:color="auto"/>
            </w:tcBorders>
            <w:hideMark/>
          </w:tcPr>
          <w:p w14:paraId="18118679" w14:textId="77777777" w:rsidR="00DB1AEE" w:rsidRPr="00DB1AEE" w:rsidRDefault="00DB1AEE" w:rsidP="00DB1AEE">
            <w:pPr>
              <w:suppressAutoHyphens/>
              <w:jc w:val="left"/>
              <w:rPr>
                <w:sz w:val="18"/>
                <w:szCs w:val="18"/>
                <w:u w:val="single"/>
              </w:rPr>
            </w:pPr>
            <w:r w:rsidRPr="00DB1AEE">
              <w:rPr>
                <w:sz w:val="18"/>
                <w:szCs w:val="18"/>
                <w:u w:val="single"/>
              </w:rPr>
              <w:t> </w:t>
            </w:r>
          </w:p>
        </w:tc>
      </w:tr>
      <w:tr w:rsidR="00DB1AEE" w:rsidRPr="00DB1AEE" w14:paraId="784BA8DB" w14:textId="77777777" w:rsidTr="00FC1832">
        <w:trPr>
          <w:trHeight w:val="300"/>
        </w:trPr>
        <w:tc>
          <w:tcPr>
            <w:tcW w:w="896" w:type="pct"/>
            <w:tcBorders>
              <w:top w:val="nil"/>
              <w:left w:val="single" w:sz="4" w:space="0" w:color="auto"/>
              <w:bottom w:val="single" w:sz="4" w:space="0" w:color="auto"/>
              <w:right w:val="single" w:sz="4" w:space="0" w:color="auto"/>
            </w:tcBorders>
            <w:hideMark/>
          </w:tcPr>
          <w:p w14:paraId="580991B8" w14:textId="77777777" w:rsidR="00DB1AEE" w:rsidRPr="00DB1AEE" w:rsidRDefault="00DB1AEE" w:rsidP="00DB1AEE">
            <w:pPr>
              <w:suppressAutoHyphens/>
              <w:jc w:val="left"/>
              <w:rPr>
                <w:sz w:val="18"/>
                <w:szCs w:val="18"/>
                <w:u w:val="single"/>
              </w:rPr>
            </w:pPr>
            <w:r w:rsidRPr="00DB1AEE">
              <w:rPr>
                <w:sz w:val="18"/>
                <w:szCs w:val="18"/>
                <w:u w:val="single"/>
              </w:rPr>
              <w:t>Reading area</w:t>
            </w:r>
          </w:p>
        </w:tc>
        <w:tc>
          <w:tcPr>
            <w:tcW w:w="429" w:type="pct"/>
            <w:gridSpan w:val="2"/>
            <w:tcBorders>
              <w:top w:val="nil"/>
              <w:left w:val="nil"/>
              <w:bottom w:val="single" w:sz="4" w:space="0" w:color="auto"/>
              <w:right w:val="single" w:sz="4" w:space="0" w:color="auto"/>
            </w:tcBorders>
            <w:noWrap/>
            <w:hideMark/>
          </w:tcPr>
          <w:p w14:paraId="02282FDE" w14:textId="77777777" w:rsidR="00DB1AEE" w:rsidRPr="00DB1AEE" w:rsidRDefault="00DB1AEE" w:rsidP="00DB1AEE">
            <w:pPr>
              <w:suppressAutoHyphens/>
              <w:jc w:val="left"/>
              <w:rPr>
                <w:strike/>
                <w:sz w:val="18"/>
                <w:szCs w:val="18"/>
                <w:u w:val="single"/>
              </w:rPr>
            </w:pPr>
            <w:r w:rsidRPr="00DB1AEE">
              <w:rPr>
                <w:sz w:val="18"/>
                <w:szCs w:val="18"/>
                <w:u w:val="single"/>
              </w:rPr>
              <w:t>0.77</w:t>
            </w:r>
          </w:p>
        </w:tc>
        <w:tc>
          <w:tcPr>
            <w:tcW w:w="330" w:type="pct"/>
            <w:tcBorders>
              <w:top w:val="nil"/>
              <w:left w:val="nil"/>
              <w:bottom w:val="single" w:sz="4" w:space="0" w:color="auto"/>
              <w:right w:val="single" w:sz="4" w:space="0" w:color="auto"/>
            </w:tcBorders>
            <w:noWrap/>
            <w:hideMark/>
          </w:tcPr>
          <w:p w14:paraId="5AC0F9F7" w14:textId="77777777" w:rsidR="00DB1AEE" w:rsidRPr="00DB1AEE" w:rsidRDefault="00DB1AEE" w:rsidP="00DB1AEE">
            <w:pPr>
              <w:suppressAutoHyphens/>
              <w:jc w:val="center"/>
              <w:rPr>
                <w:sz w:val="18"/>
                <w:szCs w:val="18"/>
                <w:u w:val="single"/>
              </w:rPr>
            </w:pPr>
            <w:r w:rsidRPr="00DB1AEE">
              <w:rPr>
                <w:sz w:val="18"/>
                <w:szCs w:val="18"/>
                <w:u w:val="single"/>
              </w:rPr>
              <w:t>4</w:t>
            </w:r>
          </w:p>
        </w:tc>
        <w:tc>
          <w:tcPr>
            <w:tcW w:w="361" w:type="pct"/>
            <w:gridSpan w:val="2"/>
            <w:tcBorders>
              <w:top w:val="nil"/>
              <w:left w:val="nil"/>
              <w:bottom w:val="single" w:sz="4" w:space="0" w:color="auto"/>
              <w:right w:val="single" w:sz="4" w:space="0" w:color="auto"/>
            </w:tcBorders>
            <w:hideMark/>
          </w:tcPr>
          <w:p w14:paraId="384259EA"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63" w:type="pct"/>
            <w:gridSpan w:val="3"/>
            <w:tcBorders>
              <w:top w:val="nil"/>
              <w:left w:val="nil"/>
              <w:bottom w:val="single" w:sz="4" w:space="0" w:color="auto"/>
              <w:right w:val="single" w:sz="4" w:space="0" w:color="auto"/>
            </w:tcBorders>
            <w:hideMark/>
          </w:tcPr>
          <w:p w14:paraId="6480470A" w14:textId="77777777" w:rsidR="00DB1AEE" w:rsidRPr="00DB1AEE" w:rsidRDefault="00DB1AEE" w:rsidP="00DB1AEE">
            <w:pPr>
              <w:suppressAutoHyphens/>
              <w:jc w:val="left"/>
              <w:rPr>
                <w:sz w:val="18"/>
                <w:szCs w:val="18"/>
                <w:u w:val="single"/>
              </w:rPr>
            </w:pPr>
            <w:r w:rsidRPr="00DB1AEE">
              <w:rPr>
                <w:sz w:val="18"/>
                <w:szCs w:val="18"/>
                <w:u w:val="single"/>
              </w:rPr>
              <w:t>ADD1</w:t>
            </w:r>
          </w:p>
        </w:tc>
        <w:tc>
          <w:tcPr>
            <w:tcW w:w="330" w:type="pct"/>
            <w:tcBorders>
              <w:top w:val="nil"/>
              <w:left w:val="nil"/>
              <w:bottom w:val="single" w:sz="4" w:space="0" w:color="auto"/>
              <w:right w:val="single" w:sz="4" w:space="0" w:color="auto"/>
            </w:tcBorders>
            <w:hideMark/>
          </w:tcPr>
          <w:p w14:paraId="28322D17"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364" w:type="pct"/>
            <w:gridSpan w:val="2"/>
            <w:tcBorders>
              <w:top w:val="nil"/>
              <w:left w:val="nil"/>
              <w:bottom w:val="single" w:sz="4" w:space="0" w:color="auto"/>
              <w:right w:val="single" w:sz="4" w:space="0" w:color="auto"/>
            </w:tcBorders>
            <w:hideMark/>
          </w:tcPr>
          <w:p w14:paraId="27F898C2" w14:textId="77777777" w:rsidR="00DB1AEE" w:rsidRPr="00DB1AEE" w:rsidRDefault="00DB1AEE" w:rsidP="00DB1AEE">
            <w:pPr>
              <w:suppressAutoHyphens/>
              <w:jc w:val="left"/>
              <w:rPr>
                <w:sz w:val="18"/>
                <w:szCs w:val="18"/>
                <w:u w:val="single"/>
              </w:rPr>
            </w:pPr>
            <w:r w:rsidRPr="00DB1AEE">
              <w:rPr>
                <w:sz w:val="18"/>
                <w:szCs w:val="18"/>
                <w:u w:val="single"/>
              </w:rPr>
              <w:t>REQ</w:t>
            </w:r>
          </w:p>
        </w:tc>
        <w:tc>
          <w:tcPr>
            <w:tcW w:w="427" w:type="pct"/>
            <w:gridSpan w:val="3"/>
            <w:tcBorders>
              <w:top w:val="nil"/>
              <w:left w:val="nil"/>
              <w:bottom w:val="single" w:sz="4" w:space="0" w:color="auto"/>
              <w:right w:val="single" w:sz="4" w:space="0" w:color="auto"/>
            </w:tcBorders>
            <w:hideMark/>
          </w:tcPr>
          <w:p w14:paraId="0709164F"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97" w:type="pct"/>
            <w:tcBorders>
              <w:top w:val="nil"/>
              <w:left w:val="nil"/>
              <w:bottom w:val="single" w:sz="4" w:space="0" w:color="auto"/>
              <w:right w:val="single" w:sz="4" w:space="0" w:color="auto"/>
            </w:tcBorders>
            <w:hideMark/>
          </w:tcPr>
          <w:p w14:paraId="02A98149"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63" w:type="pct"/>
            <w:tcBorders>
              <w:top w:val="nil"/>
              <w:left w:val="nil"/>
              <w:bottom w:val="single" w:sz="4" w:space="0" w:color="auto"/>
              <w:right w:val="single" w:sz="4" w:space="0" w:color="auto"/>
            </w:tcBorders>
            <w:vAlign w:val="center"/>
            <w:hideMark/>
          </w:tcPr>
          <w:p w14:paraId="3BD183EB"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418" w:type="pct"/>
            <w:gridSpan w:val="3"/>
            <w:tcBorders>
              <w:top w:val="nil"/>
              <w:left w:val="nil"/>
              <w:bottom w:val="single" w:sz="4" w:space="0" w:color="auto"/>
              <w:right w:val="single" w:sz="4" w:space="0" w:color="auto"/>
            </w:tcBorders>
            <w:hideMark/>
          </w:tcPr>
          <w:p w14:paraId="6FBEA344" w14:textId="77777777" w:rsidR="00DB1AEE" w:rsidRPr="00DB1AEE" w:rsidRDefault="00DB1AEE" w:rsidP="00DB1AEE">
            <w:pPr>
              <w:suppressAutoHyphens/>
              <w:jc w:val="left"/>
              <w:rPr>
                <w:sz w:val="18"/>
                <w:szCs w:val="18"/>
                <w:u w:val="single"/>
              </w:rPr>
            </w:pPr>
            <w:r w:rsidRPr="00DB1AEE">
              <w:rPr>
                <w:sz w:val="18"/>
                <w:szCs w:val="18"/>
                <w:u w:val="single"/>
              </w:rPr>
              <w:t>ADD2</w:t>
            </w:r>
          </w:p>
        </w:tc>
        <w:tc>
          <w:tcPr>
            <w:tcW w:w="323" w:type="pct"/>
            <w:tcBorders>
              <w:top w:val="nil"/>
              <w:left w:val="nil"/>
              <w:bottom w:val="single" w:sz="4" w:space="0" w:color="auto"/>
              <w:right w:val="single" w:sz="4" w:space="0" w:color="auto"/>
            </w:tcBorders>
            <w:hideMark/>
          </w:tcPr>
          <w:p w14:paraId="7F8A50D3" w14:textId="77777777" w:rsidR="00DB1AEE" w:rsidRPr="00DB1AEE" w:rsidRDefault="00DB1AEE" w:rsidP="00DB1AEE">
            <w:pPr>
              <w:suppressAutoHyphens/>
              <w:jc w:val="left"/>
              <w:rPr>
                <w:sz w:val="18"/>
                <w:szCs w:val="18"/>
                <w:u w:val="single"/>
              </w:rPr>
            </w:pPr>
            <w:r w:rsidRPr="00DB1AEE">
              <w:rPr>
                <w:sz w:val="18"/>
                <w:szCs w:val="18"/>
                <w:u w:val="single"/>
              </w:rPr>
              <w:t>ADD2</w:t>
            </w:r>
          </w:p>
        </w:tc>
      </w:tr>
      <w:tr w:rsidR="00DB1AEE" w:rsidRPr="00DB1AEE" w14:paraId="6F5459AD" w14:textId="77777777" w:rsidTr="00FC1832">
        <w:trPr>
          <w:trHeight w:val="300"/>
        </w:trPr>
        <w:tc>
          <w:tcPr>
            <w:tcW w:w="896" w:type="pct"/>
            <w:tcBorders>
              <w:top w:val="nil"/>
              <w:left w:val="single" w:sz="4" w:space="0" w:color="auto"/>
              <w:bottom w:val="single" w:sz="4" w:space="0" w:color="auto"/>
              <w:right w:val="single" w:sz="4" w:space="0" w:color="auto"/>
            </w:tcBorders>
            <w:hideMark/>
          </w:tcPr>
          <w:p w14:paraId="0999E3A8" w14:textId="77777777" w:rsidR="00DB1AEE" w:rsidRPr="00DB1AEE" w:rsidRDefault="00DB1AEE" w:rsidP="00DB1AEE">
            <w:pPr>
              <w:suppressAutoHyphens/>
              <w:jc w:val="left"/>
              <w:rPr>
                <w:sz w:val="18"/>
                <w:szCs w:val="18"/>
                <w:u w:val="single"/>
              </w:rPr>
            </w:pPr>
            <w:r w:rsidRPr="00DB1AEE">
              <w:rPr>
                <w:sz w:val="18"/>
                <w:szCs w:val="18"/>
                <w:u w:val="single"/>
              </w:rPr>
              <w:t>Stacks</w:t>
            </w:r>
          </w:p>
        </w:tc>
        <w:tc>
          <w:tcPr>
            <w:tcW w:w="429" w:type="pct"/>
            <w:gridSpan w:val="2"/>
            <w:tcBorders>
              <w:top w:val="nil"/>
              <w:left w:val="nil"/>
              <w:bottom w:val="single" w:sz="4" w:space="0" w:color="auto"/>
              <w:right w:val="single" w:sz="4" w:space="0" w:color="auto"/>
            </w:tcBorders>
            <w:noWrap/>
            <w:hideMark/>
          </w:tcPr>
          <w:p w14:paraId="6FBF4E83" w14:textId="77777777" w:rsidR="00DB1AEE" w:rsidRPr="00DB1AEE" w:rsidRDefault="00DB1AEE" w:rsidP="00DB1AEE">
            <w:pPr>
              <w:suppressAutoHyphens/>
              <w:jc w:val="left"/>
              <w:rPr>
                <w:sz w:val="18"/>
                <w:szCs w:val="18"/>
                <w:u w:val="single"/>
              </w:rPr>
            </w:pPr>
            <w:r w:rsidRPr="00DB1AEE">
              <w:rPr>
                <w:sz w:val="18"/>
                <w:szCs w:val="18"/>
                <w:u w:val="single"/>
              </w:rPr>
              <w:t>1.18</w:t>
            </w:r>
          </w:p>
        </w:tc>
        <w:tc>
          <w:tcPr>
            <w:tcW w:w="330" w:type="pct"/>
            <w:tcBorders>
              <w:top w:val="nil"/>
              <w:left w:val="nil"/>
              <w:bottom w:val="single" w:sz="4" w:space="0" w:color="auto"/>
              <w:right w:val="single" w:sz="4" w:space="0" w:color="auto"/>
            </w:tcBorders>
            <w:noWrap/>
            <w:hideMark/>
          </w:tcPr>
          <w:p w14:paraId="1933F76C" w14:textId="77777777" w:rsidR="00DB1AEE" w:rsidRPr="00DB1AEE" w:rsidRDefault="00DB1AEE" w:rsidP="00DB1AEE">
            <w:pPr>
              <w:suppressAutoHyphens/>
              <w:jc w:val="center"/>
              <w:rPr>
                <w:sz w:val="18"/>
                <w:szCs w:val="18"/>
                <w:u w:val="single"/>
              </w:rPr>
            </w:pPr>
            <w:r w:rsidRPr="00DB1AEE">
              <w:rPr>
                <w:sz w:val="18"/>
                <w:szCs w:val="18"/>
                <w:u w:val="single"/>
              </w:rPr>
              <w:t>4</w:t>
            </w:r>
          </w:p>
        </w:tc>
        <w:tc>
          <w:tcPr>
            <w:tcW w:w="361" w:type="pct"/>
            <w:gridSpan w:val="2"/>
            <w:tcBorders>
              <w:top w:val="nil"/>
              <w:left w:val="nil"/>
              <w:bottom w:val="single" w:sz="4" w:space="0" w:color="auto"/>
              <w:right w:val="single" w:sz="4" w:space="0" w:color="auto"/>
            </w:tcBorders>
            <w:hideMark/>
          </w:tcPr>
          <w:p w14:paraId="79A79936"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63" w:type="pct"/>
            <w:gridSpan w:val="3"/>
            <w:tcBorders>
              <w:top w:val="nil"/>
              <w:left w:val="nil"/>
              <w:bottom w:val="single" w:sz="4" w:space="0" w:color="auto"/>
              <w:right w:val="single" w:sz="4" w:space="0" w:color="auto"/>
            </w:tcBorders>
            <w:hideMark/>
          </w:tcPr>
          <w:p w14:paraId="2DADA88D" w14:textId="77777777" w:rsidR="00DB1AEE" w:rsidRPr="00DB1AEE" w:rsidRDefault="00DB1AEE" w:rsidP="00DB1AEE">
            <w:pPr>
              <w:suppressAutoHyphens/>
              <w:jc w:val="left"/>
              <w:rPr>
                <w:sz w:val="18"/>
                <w:szCs w:val="18"/>
                <w:u w:val="single"/>
              </w:rPr>
            </w:pPr>
            <w:r w:rsidRPr="00DB1AEE">
              <w:rPr>
                <w:sz w:val="18"/>
                <w:szCs w:val="18"/>
                <w:u w:val="single"/>
              </w:rPr>
              <w:t>ADD1</w:t>
            </w:r>
          </w:p>
        </w:tc>
        <w:tc>
          <w:tcPr>
            <w:tcW w:w="330" w:type="pct"/>
            <w:tcBorders>
              <w:top w:val="nil"/>
              <w:left w:val="nil"/>
              <w:bottom w:val="single" w:sz="4" w:space="0" w:color="auto"/>
              <w:right w:val="single" w:sz="4" w:space="0" w:color="auto"/>
            </w:tcBorders>
            <w:hideMark/>
          </w:tcPr>
          <w:p w14:paraId="7A27ED7B"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364" w:type="pct"/>
            <w:gridSpan w:val="2"/>
            <w:tcBorders>
              <w:top w:val="nil"/>
              <w:left w:val="nil"/>
              <w:bottom w:val="single" w:sz="4" w:space="0" w:color="auto"/>
              <w:right w:val="single" w:sz="4" w:space="0" w:color="auto"/>
            </w:tcBorders>
            <w:hideMark/>
          </w:tcPr>
          <w:p w14:paraId="68CE73BA" w14:textId="77777777" w:rsidR="00DB1AEE" w:rsidRPr="00DB1AEE" w:rsidRDefault="00DB1AEE" w:rsidP="00DB1AEE">
            <w:pPr>
              <w:suppressAutoHyphens/>
              <w:jc w:val="left"/>
              <w:rPr>
                <w:sz w:val="18"/>
                <w:szCs w:val="18"/>
                <w:u w:val="single"/>
              </w:rPr>
            </w:pPr>
          </w:p>
        </w:tc>
        <w:tc>
          <w:tcPr>
            <w:tcW w:w="427" w:type="pct"/>
            <w:gridSpan w:val="3"/>
            <w:tcBorders>
              <w:top w:val="nil"/>
              <w:left w:val="nil"/>
              <w:bottom w:val="single" w:sz="4" w:space="0" w:color="auto"/>
              <w:right w:val="single" w:sz="4" w:space="0" w:color="auto"/>
            </w:tcBorders>
          </w:tcPr>
          <w:p w14:paraId="533AA413" w14:textId="77777777" w:rsidR="00DB1AEE" w:rsidRPr="00DB1AEE" w:rsidRDefault="00DB1AEE" w:rsidP="00DB1AEE">
            <w:pPr>
              <w:suppressAutoHyphens/>
              <w:jc w:val="center"/>
              <w:rPr>
                <w:sz w:val="18"/>
                <w:szCs w:val="18"/>
                <w:u w:val="single"/>
              </w:rPr>
            </w:pPr>
          </w:p>
        </w:tc>
        <w:tc>
          <w:tcPr>
            <w:tcW w:w="397" w:type="pct"/>
            <w:tcBorders>
              <w:top w:val="nil"/>
              <w:left w:val="nil"/>
              <w:bottom w:val="single" w:sz="4" w:space="0" w:color="auto"/>
              <w:right w:val="single" w:sz="4" w:space="0" w:color="auto"/>
            </w:tcBorders>
          </w:tcPr>
          <w:p w14:paraId="0BB55043" w14:textId="77777777" w:rsidR="00DB1AEE" w:rsidRPr="00DB1AEE" w:rsidRDefault="00DB1AEE" w:rsidP="00DB1AEE">
            <w:pPr>
              <w:suppressAutoHyphens/>
              <w:jc w:val="center"/>
              <w:rPr>
                <w:sz w:val="18"/>
                <w:szCs w:val="18"/>
                <w:u w:val="single"/>
              </w:rPr>
            </w:pPr>
          </w:p>
        </w:tc>
        <w:tc>
          <w:tcPr>
            <w:tcW w:w="363" w:type="pct"/>
            <w:tcBorders>
              <w:top w:val="nil"/>
              <w:left w:val="nil"/>
              <w:bottom w:val="single" w:sz="4" w:space="0" w:color="auto"/>
              <w:right w:val="single" w:sz="4" w:space="0" w:color="auto"/>
            </w:tcBorders>
            <w:hideMark/>
          </w:tcPr>
          <w:p w14:paraId="45D4C845" w14:textId="77777777" w:rsidR="00DB1AEE" w:rsidRPr="00DB1AEE" w:rsidRDefault="00DB1AEE" w:rsidP="00DB1AEE">
            <w:pPr>
              <w:suppressAutoHyphens/>
              <w:jc w:val="left"/>
              <w:rPr>
                <w:sz w:val="18"/>
                <w:szCs w:val="18"/>
                <w:u w:val="single"/>
              </w:rPr>
            </w:pPr>
            <w:r w:rsidRPr="00DB1AEE">
              <w:rPr>
                <w:sz w:val="18"/>
                <w:szCs w:val="18"/>
                <w:u w:val="single"/>
              </w:rPr>
              <w:t>REQ</w:t>
            </w:r>
          </w:p>
        </w:tc>
        <w:tc>
          <w:tcPr>
            <w:tcW w:w="418" w:type="pct"/>
            <w:gridSpan w:val="3"/>
            <w:tcBorders>
              <w:top w:val="nil"/>
              <w:left w:val="nil"/>
              <w:bottom w:val="single" w:sz="4" w:space="0" w:color="auto"/>
              <w:right w:val="single" w:sz="4" w:space="0" w:color="auto"/>
            </w:tcBorders>
            <w:hideMark/>
          </w:tcPr>
          <w:p w14:paraId="0F13E62C" w14:textId="77777777" w:rsidR="00DB1AEE" w:rsidRPr="00DB1AEE" w:rsidRDefault="00DB1AEE" w:rsidP="00DB1AEE">
            <w:pPr>
              <w:suppressAutoHyphens/>
              <w:jc w:val="left"/>
              <w:rPr>
                <w:sz w:val="18"/>
                <w:szCs w:val="18"/>
                <w:u w:val="single"/>
              </w:rPr>
            </w:pPr>
            <w:r w:rsidRPr="00DB1AEE">
              <w:rPr>
                <w:sz w:val="18"/>
                <w:szCs w:val="18"/>
                <w:u w:val="single"/>
              </w:rPr>
              <w:t>ADD2</w:t>
            </w:r>
          </w:p>
        </w:tc>
        <w:tc>
          <w:tcPr>
            <w:tcW w:w="323" w:type="pct"/>
            <w:tcBorders>
              <w:top w:val="nil"/>
              <w:left w:val="nil"/>
              <w:bottom w:val="single" w:sz="4" w:space="0" w:color="auto"/>
              <w:right w:val="single" w:sz="4" w:space="0" w:color="auto"/>
            </w:tcBorders>
            <w:hideMark/>
          </w:tcPr>
          <w:p w14:paraId="0971D711" w14:textId="77777777" w:rsidR="00DB1AEE" w:rsidRPr="00DB1AEE" w:rsidRDefault="00DB1AEE" w:rsidP="00DB1AEE">
            <w:pPr>
              <w:suppressAutoHyphens/>
              <w:jc w:val="left"/>
              <w:rPr>
                <w:sz w:val="18"/>
                <w:szCs w:val="18"/>
                <w:u w:val="single"/>
              </w:rPr>
            </w:pPr>
            <w:r w:rsidRPr="00DB1AEE">
              <w:rPr>
                <w:sz w:val="18"/>
                <w:szCs w:val="18"/>
                <w:u w:val="single"/>
              </w:rPr>
              <w:t>ADD2</w:t>
            </w:r>
          </w:p>
        </w:tc>
      </w:tr>
      <w:tr w:rsidR="00DB1AEE" w:rsidRPr="00DB1AEE" w14:paraId="607514BF" w14:textId="77777777" w:rsidTr="00FC1832">
        <w:trPr>
          <w:trHeight w:val="300"/>
        </w:trPr>
        <w:tc>
          <w:tcPr>
            <w:tcW w:w="896" w:type="pct"/>
            <w:tcBorders>
              <w:top w:val="nil"/>
              <w:left w:val="single" w:sz="4" w:space="0" w:color="auto"/>
              <w:bottom w:val="single" w:sz="4" w:space="0" w:color="auto"/>
              <w:right w:val="single" w:sz="4" w:space="0" w:color="auto"/>
            </w:tcBorders>
            <w:hideMark/>
          </w:tcPr>
          <w:p w14:paraId="12012C06" w14:textId="77777777" w:rsidR="00DB1AEE" w:rsidRPr="00DB1AEE" w:rsidRDefault="00DB1AEE" w:rsidP="00DB1AEE">
            <w:pPr>
              <w:suppressAutoHyphens/>
              <w:jc w:val="left"/>
              <w:rPr>
                <w:sz w:val="18"/>
                <w:szCs w:val="18"/>
                <w:u w:val="single"/>
              </w:rPr>
            </w:pPr>
            <w:r w:rsidRPr="00DB1AEE">
              <w:rPr>
                <w:sz w:val="18"/>
                <w:szCs w:val="18"/>
                <w:u w:val="single"/>
              </w:rPr>
              <w:t>Manufacturing Facility</w:t>
            </w:r>
          </w:p>
        </w:tc>
        <w:tc>
          <w:tcPr>
            <w:tcW w:w="429" w:type="pct"/>
            <w:gridSpan w:val="2"/>
            <w:tcBorders>
              <w:top w:val="single" w:sz="4" w:space="0" w:color="auto"/>
              <w:left w:val="single" w:sz="4" w:space="0" w:color="auto"/>
              <w:bottom w:val="single" w:sz="4" w:space="0" w:color="auto"/>
              <w:right w:val="single" w:sz="4" w:space="0" w:color="auto"/>
            </w:tcBorders>
            <w:hideMark/>
          </w:tcPr>
          <w:p w14:paraId="5202A47E"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330" w:type="pct"/>
            <w:tcBorders>
              <w:top w:val="single" w:sz="4" w:space="0" w:color="auto"/>
              <w:left w:val="single" w:sz="4" w:space="0" w:color="auto"/>
              <w:bottom w:val="single" w:sz="4" w:space="0" w:color="auto"/>
              <w:right w:val="single" w:sz="4" w:space="0" w:color="auto"/>
            </w:tcBorders>
            <w:vAlign w:val="bottom"/>
            <w:hideMark/>
          </w:tcPr>
          <w:p w14:paraId="4A6D4619" w14:textId="77777777" w:rsidR="00DB1AEE" w:rsidRPr="00DB1AEE" w:rsidRDefault="00DB1AEE" w:rsidP="00DB1AEE">
            <w:pPr>
              <w:suppressAutoHyphens/>
              <w:jc w:val="left"/>
              <w:rPr>
                <w:sz w:val="18"/>
                <w:szCs w:val="18"/>
                <w:u w:val="single"/>
              </w:rPr>
            </w:pPr>
            <w:r w:rsidRPr="00DB1AEE">
              <w:rPr>
                <w:sz w:val="18"/>
                <w:szCs w:val="18"/>
                <w:u w:val="single"/>
              </w:rPr>
              <w:t> </w:t>
            </w:r>
          </w:p>
          <w:p w14:paraId="5D26FC21"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361" w:type="pct"/>
            <w:gridSpan w:val="2"/>
            <w:tcBorders>
              <w:top w:val="nil"/>
              <w:left w:val="nil"/>
              <w:bottom w:val="single" w:sz="4" w:space="0" w:color="auto"/>
              <w:right w:val="nil"/>
            </w:tcBorders>
            <w:hideMark/>
          </w:tcPr>
          <w:p w14:paraId="3BA37008" w14:textId="77777777" w:rsidR="00DB1AEE" w:rsidRPr="00DB1AEE" w:rsidRDefault="00DB1AEE" w:rsidP="00DB1AEE">
            <w:pPr>
              <w:suppressAutoHyphens/>
              <w:jc w:val="center"/>
              <w:rPr>
                <w:sz w:val="18"/>
                <w:szCs w:val="18"/>
                <w:u w:val="single"/>
              </w:rPr>
            </w:pPr>
            <w:r w:rsidRPr="00DB1AEE">
              <w:rPr>
                <w:sz w:val="18"/>
                <w:szCs w:val="18"/>
                <w:u w:val="single"/>
              </w:rPr>
              <w:t> </w:t>
            </w:r>
          </w:p>
        </w:tc>
        <w:tc>
          <w:tcPr>
            <w:tcW w:w="363" w:type="pct"/>
            <w:gridSpan w:val="3"/>
            <w:tcBorders>
              <w:top w:val="nil"/>
              <w:left w:val="nil"/>
              <w:bottom w:val="single" w:sz="4" w:space="0" w:color="auto"/>
              <w:right w:val="nil"/>
            </w:tcBorders>
            <w:hideMark/>
          </w:tcPr>
          <w:p w14:paraId="080DA7EB"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330" w:type="pct"/>
            <w:tcBorders>
              <w:top w:val="nil"/>
              <w:left w:val="nil"/>
              <w:bottom w:val="single" w:sz="4" w:space="0" w:color="auto"/>
              <w:right w:val="nil"/>
            </w:tcBorders>
            <w:hideMark/>
          </w:tcPr>
          <w:p w14:paraId="0EEFA104" w14:textId="77777777" w:rsidR="00DB1AEE" w:rsidRPr="00DB1AEE" w:rsidRDefault="00DB1AEE" w:rsidP="00DB1AEE">
            <w:pPr>
              <w:suppressAutoHyphens/>
              <w:jc w:val="center"/>
              <w:rPr>
                <w:sz w:val="18"/>
                <w:szCs w:val="18"/>
                <w:u w:val="single"/>
              </w:rPr>
            </w:pPr>
            <w:r w:rsidRPr="00DB1AEE">
              <w:rPr>
                <w:sz w:val="18"/>
                <w:szCs w:val="18"/>
                <w:u w:val="single"/>
              </w:rPr>
              <w:t> </w:t>
            </w:r>
          </w:p>
        </w:tc>
        <w:tc>
          <w:tcPr>
            <w:tcW w:w="364" w:type="pct"/>
            <w:gridSpan w:val="2"/>
            <w:tcBorders>
              <w:top w:val="nil"/>
              <w:left w:val="nil"/>
              <w:bottom w:val="single" w:sz="4" w:space="0" w:color="auto"/>
              <w:right w:val="nil"/>
            </w:tcBorders>
            <w:hideMark/>
          </w:tcPr>
          <w:p w14:paraId="1A00C43D" w14:textId="77777777" w:rsidR="00DB1AEE" w:rsidRPr="00DB1AEE" w:rsidRDefault="00DB1AEE" w:rsidP="00DB1AEE">
            <w:pPr>
              <w:suppressAutoHyphens/>
              <w:jc w:val="left"/>
              <w:rPr>
                <w:sz w:val="18"/>
                <w:szCs w:val="18"/>
                <w:u w:val="single"/>
              </w:rPr>
            </w:pPr>
            <w:r w:rsidRPr="00DB1AEE">
              <w:rPr>
                <w:strike/>
                <w:sz w:val="18"/>
                <w:szCs w:val="18"/>
                <w:u w:val="single"/>
              </w:rPr>
              <w:t> </w:t>
            </w:r>
          </w:p>
        </w:tc>
        <w:tc>
          <w:tcPr>
            <w:tcW w:w="427" w:type="pct"/>
            <w:gridSpan w:val="3"/>
            <w:tcBorders>
              <w:top w:val="nil"/>
              <w:left w:val="nil"/>
              <w:bottom w:val="single" w:sz="4" w:space="0" w:color="auto"/>
              <w:right w:val="nil"/>
            </w:tcBorders>
            <w:hideMark/>
          </w:tcPr>
          <w:p w14:paraId="2A750AF7" w14:textId="77777777" w:rsidR="00DB1AEE" w:rsidRPr="00DB1AEE" w:rsidRDefault="00DB1AEE" w:rsidP="00DB1AEE">
            <w:pPr>
              <w:suppressAutoHyphens/>
              <w:jc w:val="center"/>
              <w:rPr>
                <w:sz w:val="18"/>
                <w:szCs w:val="18"/>
                <w:u w:val="single"/>
              </w:rPr>
            </w:pPr>
            <w:r w:rsidRPr="00DB1AEE">
              <w:rPr>
                <w:sz w:val="18"/>
                <w:szCs w:val="18"/>
                <w:u w:val="single"/>
              </w:rPr>
              <w:t> </w:t>
            </w:r>
          </w:p>
        </w:tc>
        <w:tc>
          <w:tcPr>
            <w:tcW w:w="397" w:type="pct"/>
            <w:tcBorders>
              <w:top w:val="nil"/>
              <w:left w:val="nil"/>
              <w:bottom w:val="single" w:sz="4" w:space="0" w:color="auto"/>
              <w:right w:val="nil"/>
            </w:tcBorders>
            <w:hideMark/>
          </w:tcPr>
          <w:p w14:paraId="67325F0C" w14:textId="77777777" w:rsidR="00DB1AEE" w:rsidRPr="00DB1AEE" w:rsidRDefault="00DB1AEE" w:rsidP="00DB1AEE">
            <w:pPr>
              <w:suppressAutoHyphens/>
              <w:jc w:val="center"/>
              <w:rPr>
                <w:sz w:val="18"/>
                <w:szCs w:val="18"/>
                <w:u w:val="single"/>
              </w:rPr>
            </w:pPr>
            <w:r w:rsidRPr="00DB1AEE">
              <w:rPr>
                <w:sz w:val="18"/>
                <w:szCs w:val="18"/>
                <w:u w:val="single"/>
              </w:rPr>
              <w:t> </w:t>
            </w:r>
          </w:p>
        </w:tc>
        <w:tc>
          <w:tcPr>
            <w:tcW w:w="363" w:type="pct"/>
            <w:tcBorders>
              <w:top w:val="nil"/>
              <w:left w:val="nil"/>
              <w:bottom w:val="single" w:sz="4" w:space="0" w:color="auto"/>
              <w:right w:val="nil"/>
            </w:tcBorders>
            <w:hideMark/>
          </w:tcPr>
          <w:p w14:paraId="12754DD7"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418" w:type="pct"/>
            <w:gridSpan w:val="3"/>
            <w:tcBorders>
              <w:top w:val="nil"/>
              <w:left w:val="nil"/>
              <w:bottom w:val="single" w:sz="4" w:space="0" w:color="auto"/>
              <w:right w:val="nil"/>
            </w:tcBorders>
            <w:hideMark/>
          </w:tcPr>
          <w:p w14:paraId="3937FBF6"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323" w:type="pct"/>
            <w:tcBorders>
              <w:top w:val="nil"/>
              <w:left w:val="nil"/>
              <w:bottom w:val="single" w:sz="4" w:space="0" w:color="auto"/>
              <w:right w:val="single" w:sz="4" w:space="0" w:color="auto"/>
            </w:tcBorders>
            <w:hideMark/>
          </w:tcPr>
          <w:p w14:paraId="33C9D174" w14:textId="77777777" w:rsidR="00DB1AEE" w:rsidRPr="00DB1AEE" w:rsidRDefault="00DB1AEE" w:rsidP="00DB1AEE">
            <w:pPr>
              <w:suppressAutoHyphens/>
              <w:jc w:val="left"/>
              <w:rPr>
                <w:sz w:val="18"/>
                <w:szCs w:val="18"/>
                <w:u w:val="single"/>
              </w:rPr>
            </w:pPr>
            <w:r w:rsidRPr="00DB1AEE">
              <w:rPr>
                <w:sz w:val="18"/>
                <w:szCs w:val="18"/>
                <w:u w:val="single"/>
              </w:rPr>
              <w:t> </w:t>
            </w:r>
          </w:p>
        </w:tc>
      </w:tr>
      <w:tr w:rsidR="00DB1AEE" w:rsidRPr="00DB1AEE" w14:paraId="40566A72" w14:textId="77777777" w:rsidTr="00FC1832">
        <w:trPr>
          <w:trHeight w:val="300"/>
        </w:trPr>
        <w:tc>
          <w:tcPr>
            <w:tcW w:w="896" w:type="pct"/>
            <w:tcBorders>
              <w:top w:val="nil"/>
              <w:left w:val="single" w:sz="4" w:space="0" w:color="auto"/>
              <w:bottom w:val="single" w:sz="4" w:space="0" w:color="auto"/>
              <w:right w:val="single" w:sz="4" w:space="0" w:color="auto"/>
            </w:tcBorders>
            <w:hideMark/>
          </w:tcPr>
          <w:p w14:paraId="06A9D9C7" w14:textId="77777777" w:rsidR="00DB1AEE" w:rsidRPr="00DB1AEE" w:rsidRDefault="00DB1AEE" w:rsidP="00DB1AEE">
            <w:pPr>
              <w:suppressAutoHyphens/>
              <w:jc w:val="left"/>
              <w:rPr>
                <w:sz w:val="18"/>
                <w:szCs w:val="18"/>
                <w:u w:val="single"/>
              </w:rPr>
            </w:pPr>
            <w:r w:rsidRPr="00DB1AEE">
              <w:rPr>
                <w:sz w:val="18"/>
                <w:szCs w:val="18"/>
                <w:u w:val="single"/>
              </w:rPr>
              <w:t>Detailed manufacturing area</w:t>
            </w:r>
          </w:p>
        </w:tc>
        <w:tc>
          <w:tcPr>
            <w:tcW w:w="429" w:type="pct"/>
            <w:gridSpan w:val="2"/>
            <w:tcBorders>
              <w:top w:val="nil"/>
              <w:left w:val="nil"/>
              <w:bottom w:val="single" w:sz="4" w:space="0" w:color="auto"/>
              <w:right w:val="single" w:sz="4" w:space="0" w:color="auto"/>
            </w:tcBorders>
            <w:noWrap/>
            <w:hideMark/>
          </w:tcPr>
          <w:p w14:paraId="3D145A78" w14:textId="77777777" w:rsidR="00DB1AEE" w:rsidRPr="00DB1AEE" w:rsidRDefault="00DB1AEE" w:rsidP="00DB1AEE">
            <w:pPr>
              <w:suppressAutoHyphens/>
              <w:jc w:val="left"/>
              <w:rPr>
                <w:sz w:val="18"/>
                <w:szCs w:val="18"/>
                <w:u w:val="single"/>
              </w:rPr>
            </w:pPr>
            <w:r w:rsidRPr="00DB1AEE">
              <w:rPr>
                <w:sz w:val="18"/>
                <w:szCs w:val="18"/>
                <w:u w:val="single"/>
              </w:rPr>
              <w:t>0.75</w:t>
            </w:r>
          </w:p>
        </w:tc>
        <w:tc>
          <w:tcPr>
            <w:tcW w:w="330" w:type="pct"/>
            <w:tcBorders>
              <w:top w:val="nil"/>
              <w:left w:val="nil"/>
              <w:bottom w:val="single" w:sz="4" w:space="0" w:color="auto"/>
              <w:right w:val="single" w:sz="4" w:space="0" w:color="auto"/>
            </w:tcBorders>
            <w:noWrap/>
            <w:hideMark/>
          </w:tcPr>
          <w:p w14:paraId="50DF89C1" w14:textId="77777777" w:rsidR="00DB1AEE" w:rsidRPr="00DB1AEE" w:rsidRDefault="00DB1AEE" w:rsidP="00DB1AEE">
            <w:pPr>
              <w:suppressAutoHyphens/>
              <w:jc w:val="center"/>
              <w:rPr>
                <w:sz w:val="18"/>
                <w:szCs w:val="18"/>
                <w:u w:val="single"/>
              </w:rPr>
            </w:pPr>
            <w:r w:rsidRPr="00DB1AEE">
              <w:rPr>
                <w:sz w:val="18"/>
                <w:szCs w:val="18"/>
                <w:u w:val="single"/>
              </w:rPr>
              <w:t>4</w:t>
            </w:r>
          </w:p>
        </w:tc>
        <w:tc>
          <w:tcPr>
            <w:tcW w:w="361" w:type="pct"/>
            <w:gridSpan w:val="2"/>
            <w:tcBorders>
              <w:top w:val="nil"/>
              <w:left w:val="nil"/>
              <w:bottom w:val="single" w:sz="4" w:space="0" w:color="auto"/>
              <w:right w:val="single" w:sz="4" w:space="0" w:color="auto"/>
            </w:tcBorders>
            <w:hideMark/>
          </w:tcPr>
          <w:p w14:paraId="2AB49AFD"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63" w:type="pct"/>
            <w:gridSpan w:val="3"/>
            <w:tcBorders>
              <w:top w:val="nil"/>
              <w:left w:val="nil"/>
              <w:bottom w:val="single" w:sz="4" w:space="0" w:color="auto"/>
              <w:right w:val="single" w:sz="4" w:space="0" w:color="auto"/>
            </w:tcBorders>
            <w:hideMark/>
          </w:tcPr>
          <w:p w14:paraId="6DAAA8A2" w14:textId="77777777" w:rsidR="00DB1AEE" w:rsidRPr="00DB1AEE" w:rsidRDefault="00DB1AEE" w:rsidP="00DB1AEE">
            <w:pPr>
              <w:suppressAutoHyphens/>
              <w:jc w:val="left"/>
              <w:rPr>
                <w:sz w:val="18"/>
                <w:szCs w:val="18"/>
                <w:u w:val="single"/>
              </w:rPr>
            </w:pPr>
            <w:r w:rsidRPr="00DB1AEE">
              <w:rPr>
                <w:sz w:val="18"/>
                <w:szCs w:val="18"/>
                <w:u w:val="single"/>
              </w:rPr>
              <w:t>ADD1</w:t>
            </w:r>
          </w:p>
        </w:tc>
        <w:tc>
          <w:tcPr>
            <w:tcW w:w="330" w:type="pct"/>
            <w:tcBorders>
              <w:top w:val="nil"/>
              <w:left w:val="nil"/>
              <w:bottom w:val="single" w:sz="4" w:space="0" w:color="auto"/>
              <w:right w:val="single" w:sz="4" w:space="0" w:color="auto"/>
            </w:tcBorders>
            <w:hideMark/>
          </w:tcPr>
          <w:p w14:paraId="47144F0E"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364" w:type="pct"/>
            <w:gridSpan w:val="2"/>
            <w:tcBorders>
              <w:top w:val="nil"/>
              <w:left w:val="nil"/>
              <w:bottom w:val="single" w:sz="4" w:space="0" w:color="auto"/>
              <w:right w:val="single" w:sz="4" w:space="0" w:color="auto"/>
            </w:tcBorders>
          </w:tcPr>
          <w:p w14:paraId="71299DD4" w14:textId="77777777" w:rsidR="00DB1AEE" w:rsidRPr="00DB1AEE" w:rsidRDefault="00DB1AEE" w:rsidP="00DB1AEE">
            <w:pPr>
              <w:suppressAutoHyphens/>
              <w:jc w:val="left"/>
              <w:rPr>
                <w:sz w:val="18"/>
                <w:szCs w:val="18"/>
                <w:u w:val="single"/>
              </w:rPr>
            </w:pPr>
          </w:p>
        </w:tc>
        <w:tc>
          <w:tcPr>
            <w:tcW w:w="427" w:type="pct"/>
            <w:gridSpan w:val="3"/>
            <w:tcBorders>
              <w:top w:val="nil"/>
              <w:left w:val="nil"/>
              <w:bottom w:val="single" w:sz="4" w:space="0" w:color="auto"/>
              <w:right w:val="single" w:sz="4" w:space="0" w:color="auto"/>
            </w:tcBorders>
            <w:hideMark/>
          </w:tcPr>
          <w:p w14:paraId="6498D4BC"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97" w:type="pct"/>
            <w:tcBorders>
              <w:top w:val="nil"/>
              <w:left w:val="nil"/>
              <w:bottom w:val="single" w:sz="4" w:space="0" w:color="auto"/>
              <w:right w:val="single" w:sz="4" w:space="0" w:color="auto"/>
            </w:tcBorders>
            <w:hideMark/>
          </w:tcPr>
          <w:p w14:paraId="562620EA"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63" w:type="pct"/>
            <w:tcBorders>
              <w:top w:val="nil"/>
              <w:left w:val="nil"/>
              <w:bottom w:val="single" w:sz="4" w:space="0" w:color="auto"/>
              <w:right w:val="single" w:sz="4" w:space="0" w:color="auto"/>
            </w:tcBorders>
            <w:hideMark/>
          </w:tcPr>
          <w:p w14:paraId="0FC98B13"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418" w:type="pct"/>
            <w:gridSpan w:val="3"/>
            <w:tcBorders>
              <w:top w:val="nil"/>
              <w:left w:val="nil"/>
              <w:bottom w:val="single" w:sz="4" w:space="0" w:color="auto"/>
              <w:right w:val="single" w:sz="4" w:space="0" w:color="auto"/>
            </w:tcBorders>
            <w:hideMark/>
          </w:tcPr>
          <w:p w14:paraId="41E9181E" w14:textId="77777777" w:rsidR="00DB1AEE" w:rsidRPr="00DB1AEE" w:rsidRDefault="00DB1AEE" w:rsidP="00DB1AEE">
            <w:pPr>
              <w:suppressAutoHyphens/>
              <w:jc w:val="left"/>
              <w:rPr>
                <w:sz w:val="18"/>
                <w:szCs w:val="18"/>
                <w:u w:val="single"/>
              </w:rPr>
            </w:pPr>
            <w:r w:rsidRPr="00DB1AEE">
              <w:rPr>
                <w:sz w:val="18"/>
                <w:szCs w:val="18"/>
                <w:u w:val="single"/>
              </w:rPr>
              <w:t>ADD2</w:t>
            </w:r>
          </w:p>
        </w:tc>
        <w:tc>
          <w:tcPr>
            <w:tcW w:w="323" w:type="pct"/>
            <w:tcBorders>
              <w:top w:val="nil"/>
              <w:left w:val="nil"/>
              <w:bottom w:val="single" w:sz="4" w:space="0" w:color="auto"/>
              <w:right w:val="single" w:sz="4" w:space="0" w:color="auto"/>
            </w:tcBorders>
            <w:hideMark/>
          </w:tcPr>
          <w:p w14:paraId="264F03ED" w14:textId="77777777" w:rsidR="00DB1AEE" w:rsidRPr="00DB1AEE" w:rsidRDefault="00DB1AEE" w:rsidP="00DB1AEE">
            <w:pPr>
              <w:suppressAutoHyphens/>
              <w:jc w:val="left"/>
              <w:rPr>
                <w:sz w:val="18"/>
                <w:szCs w:val="18"/>
                <w:u w:val="single"/>
              </w:rPr>
            </w:pPr>
            <w:r w:rsidRPr="00DB1AEE">
              <w:rPr>
                <w:sz w:val="18"/>
                <w:szCs w:val="18"/>
                <w:u w:val="single"/>
              </w:rPr>
              <w:t>ADD2</w:t>
            </w:r>
          </w:p>
        </w:tc>
      </w:tr>
      <w:tr w:rsidR="00DB1AEE" w:rsidRPr="00DB1AEE" w14:paraId="400B7E10" w14:textId="77777777" w:rsidTr="00FC1832">
        <w:trPr>
          <w:trHeight w:val="450"/>
        </w:trPr>
        <w:tc>
          <w:tcPr>
            <w:tcW w:w="896" w:type="pct"/>
            <w:tcBorders>
              <w:top w:val="nil"/>
              <w:left w:val="single" w:sz="4" w:space="0" w:color="auto"/>
              <w:bottom w:val="single" w:sz="4" w:space="0" w:color="auto"/>
              <w:right w:val="single" w:sz="4" w:space="0" w:color="auto"/>
            </w:tcBorders>
            <w:hideMark/>
          </w:tcPr>
          <w:p w14:paraId="4E3E7EF7" w14:textId="77777777" w:rsidR="00DB1AEE" w:rsidRPr="00DB1AEE" w:rsidRDefault="00DB1AEE" w:rsidP="00DB1AEE">
            <w:pPr>
              <w:suppressAutoHyphens/>
              <w:jc w:val="left"/>
              <w:rPr>
                <w:sz w:val="18"/>
                <w:szCs w:val="18"/>
                <w:u w:val="single"/>
              </w:rPr>
            </w:pPr>
            <w:r w:rsidRPr="00DB1AEE">
              <w:rPr>
                <w:sz w:val="18"/>
                <w:szCs w:val="18"/>
                <w:u w:val="single"/>
              </w:rPr>
              <w:t xml:space="preserve">Extra-high bay area (&gt;50 ft </w:t>
            </w:r>
            <w:r w:rsidRPr="00DB1AEE">
              <w:rPr>
                <w:i/>
                <w:iCs/>
                <w:sz w:val="18"/>
                <w:szCs w:val="18"/>
                <w:u w:val="single"/>
              </w:rPr>
              <w:t>floor</w:t>
            </w:r>
            <w:r w:rsidRPr="00DB1AEE">
              <w:rPr>
                <w:sz w:val="18"/>
                <w:szCs w:val="18"/>
                <w:u w:val="single"/>
              </w:rPr>
              <w:t>-to-ceiling height)</w:t>
            </w:r>
          </w:p>
        </w:tc>
        <w:tc>
          <w:tcPr>
            <w:tcW w:w="429" w:type="pct"/>
            <w:gridSpan w:val="2"/>
            <w:tcBorders>
              <w:top w:val="nil"/>
              <w:left w:val="nil"/>
              <w:bottom w:val="single" w:sz="4" w:space="0" w:color="auto"/>
              <w:right w:val="single" w:sz="4" w:space="0" w:color="auto"/>
            </w:tcBorders>
            <w:noWrap/>
            <w:hideMark/>
          </w:tcPr>
          <w:p w14:paraId="4E99A49E" w14:textId="77777777" w:rsidR="00DB1AEE" w:rsidRPr="00DB1AEE" w:rsidRDefault="00DB1AEE" w:rsidP="00DB1AEE">
            <w:pPr>
              <w:suppressAutoHyphens/>
              <w:jc w:val="left"/>
              <w:rPr>
                <w:strike/>
                <w:sz w:val="18"/>
                <w:szCs w:val="18"/>
                <w:u w:val="single"/>
              </w:rPr>
            </w:pPr>
            <w:r w:rsidRPr="00DB1AEE">
              <w:rPr>
                <w:sz w:val="18"/>
                <w:szCs w:val="18"/>
                <w:u w:val="single"/>
              </w:rPr>
              <w:t>0.73</w:t>
            </w:r>
          </w:p>
        </w:tc>
        <w:tc>
          <w:tcPr>
            <w:tcW w:w="330" w:type="pct"/>
            <w:tcBorders>
              <w:top w:val="nil"/>
              <w:left w:val="nil"/>
              <w:bottom w:val="single" w:sz="4" w:space="0" w:color="auto"/>
              <w:right w:val="single" w:sz="4" w:space="0" w:color="auto"/>
            </w:tcBorders>
            <w:noWrap/>
            <w:hideMark/>
          </w:tcPr>
          <w:p w14:paraId="774D27E6" w14:textId="77777777" w:rsidR="00DB1AEE" w:rsidRPr="00DB1AEE" w:rsidRDefault="00DB1AEE" w:rsidP="00DB1AEE">
            <w:pPr>
              <w:suppressAutoHyphens/>
              <w:jc w:val="center"/>
              <w:rPr>
                <w:sz w:val="18"/>
                <w:szCs w:val="18"/>
                <w:u w:val="single"/>
              </w:rPr>
            </w:pPr>
            <w:r w:rsidRPr="00DB1AEE">
              <w:rPr>
                <w:sz w:val="18"/>
                <w:szCs w:val="18"/>
                <w:u w:val="single"/>
              </w:rPr>
              <w:t>8</w:t>
            </w:r>
          </w:p>
        </w:tc>
        <w:tc>
          <w:tcPr>
            <w:tcW w:w="361" w:type="pct"/>
            <w:gridSpan w:val="2"/>
            <w:tcBorders>
              <w:top w:val="nil"/>
              <w:left w:val="nil"/>
              <w:bottom w:val="single" w:sz="4" w:space="0" w:color="auto"/>
              <w:right w:val="single" w:sz="4" w:space="0" w:color="auto"/>
            </w:tcBorders>
            <w:hideMark/>
          </w:tcPr>
          <w:p w14:paraId="66008EF9"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63" w:type="pct"/>
            <w:gridSpan w:val="3"/>
            <w:tcBorders>
              <w:top w:val="nil"/>
              <w:left w:val="nil"/>
              <w:bottom w:val="single" w:sz="4" w:space="0" w:color="auto"/>
              <w:right w:val="single" w:sz="4" w:space="0" w:color="auto"/>
            </w:tcBorders>
            <w:hideMark/>
          </w:tcPr>
          <w:p w14:paraId="3E79E05E" w14:textId="77777777" w:rsidR="00DB1AEE" w:rsidRPr="00DB1AEE" w:rsidRDefault="00DB1AEE" w:rsidP="00DB1AEE">
            <w:pPr>
              <w:suppressAutoHyphens/>
              <w:jc w:val="left"/>
              <w:rPr>
                <w:sz w:val="18"/>
                <w:szCs w:val="18"/>
                <w:u w:val="single"/>
              </w:rPr>
            </w:pPr>
            <w:r w:rsidRPr="00DB1AEE">
              <w:rPr>
                <w:sz w:val="18"/>
                <w:szCs w:val="18"/>
                <w:u w:val="single"/>
              </w:rPr>
              <w:t>ADD1</w:t>
            </w:r>
          </w:p>
        </w:tc>
        <w:tc>
          <w:tcPr>
            <w:tcW w:w="330" w:type="pct"/>
            <w:tcBorders>
              <w:top w:val="nil"/>
              <w:left w:val="nil"/>
              <w:bottom w:val="single" w:sz="4" w:space="0" w:color="auto"/>
              <w:right w:val="single" w:sz="4" w:space="0" w:color="auto"/>
            </w:tcBorders>
            <w:hideMark/>
          </w:tcPr>
          <w:p w14:paraId="64A13DEE"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364" w:type="pct"/>
            <w:gridSpan w:val="2"/>
            <w:tcBorders>
              <w:top w:val="nil"/>
              <w:left w:val="nil"/>
              <w:bottom w:val="single" w:sz="4" w:space="0" w:color="auto"/>
              <w:right w:val="single" w:sz="4" w:space="0" w:color="auto"/>
            </w:tcBorders>
          </w:tcPr>
          <w:p w14:paraId="18D1ADC1" w14:textId="77777777" w:rsidR="00DB1AEE" w:rsidRPr="00DB1AEE" w:rsidRDefault="00DB1AEE" w:rsidP="00DB1AEE">
            <w:pPr>
              <w:suppressAutoHyphens/>
              <w:jc w:val="left"/>
              <w:rPr>
                <w:sz w:val="18"/>
                <w:szCs w:val="18"/>
                <w:u w:val="single"/>
              </w:rPr>
            </w:pPr>
          </w:p>
        </w:tc>
        <w:tc>
          <w:tcPr>
            <w:tcW w:w="427" w:type="pct"/>
            <w:gridSpan w:val="3"/>
            <w:tcBorders>
              <w:top w:val="nil"/>
              <w:left w:val="nil"/>
              <w:bottom w:val="single" w:sz="4" w:space="0" w:color="auto"/>
              <w:right w:val="single" w:sz="4" w:space="0" w:color="auto"/>
            </w:tcBorders>
            <w:hideMark/>
          </w:tcPr>
          <w:p w14:paraId="3F0373DE"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97" w:type="pct"/>
            <w:tcBorders>
              <w:top w:val="nil"/>
              <w:left w:val="nil"/>
              <w:bottom w:val="single" w:sz="4" w:space="0" w:color="auto"/>
              <w:right w:val="single" w:sz="4" w:space="0" w:color="auto"/>
            </w:tcBorders>
            <w:hideMark/>
          </w:tcPr>
          <w:p w14:paraId="0280F2AE"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63" w:type="pct"/>
            <w:tcBorders>
              <w:top w:val="nil"/>
              <w:left w:val="nil"/>
              <w:bottom w:val="single" w:sz="4" w:space="0" w:color="auto"/>
              <w:right w:val="single" w:sz="4" w:space="0" w:color="auto"/>
            </w:tcBorders>
            <w:hideMark/>
          </w:tcPr>
          <w:p w14:paraId="27EAA753"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418" w:type="pct"/>
            <w:gridSpan w:val="3"/>
            <w:tcBorders>
              <w:top w:val="nil"/>
              <w:left w:val="nil"/>
              <w:bottom w:val="single" w:sz="4" w:space="0" w:color="auto"/>
              <w:right w:val="single" w:sz="4" w:space="0" w:color="auto"/>
            </w:tcBorders>
            <w:hideMark/>
          </w:tcPr>
          <w:p w14:paraId="7021D1C6" w14:textId="77777777" w:rsidR="00DB1AEE" w:rsidRPr="00DB1AEE" w:rsidRDefault="00DB1AEE" w:rsidP="00DB1AEE">
            <w:pPr>
              <w:suppressAutoHyphens/>
              <w:jc w:val="left"/>
              <w:rPr>
                <w:sz w:val="18"/>
                <w:szCs w:val="18"/>
                <w:u w:val="single"/>
              </w:rPr>
            </w:pPr>
            <w:r w:rsidRPr="00DB1AEE">
              <w:rPr>
                <w:sz w:val="18"/>
                <w:szCs w:val="18"/>
                <w:u w:val="single"/>
              </w:rPr>
              <w:t>ADD2</w:t>
            </w:r>
          </w:p>
        </w:tc>
        <w:tc>
          <w:tcPr>
            <w:tcW w:w="323" w:type="pct"/>
            <w:tcBorders>
              <w:top w:val="nil"/>
              <w:left w:val="nil"/>
              <w:bottom w:val="single" w:sz="4" w:space="0" w:color="auto"/>
              <w:right w:val="single" w:sz="4" w:space="0" w:color="auto"/>
            </w:tcBorders>
            <w:hideMark/>
          </w:tcPr>
          <w:p w14:paraId="5C7999BB" w14:textId="77777777" w:rsidR="00DB1AEE" w:rsidRPr="00DB1AEE" w:rsidRDefault="00DB1AEE" w:rsidP="00DB1AEE">
            <w:pPr>
              <w:suppressAutoHyphens/>
              <w:jc w:val="left"/>
              <w:rPr>
                <w:sz w:val="18"/>
                <w:szCs w:val="18"/>
                <w:u w:val="single"/>
              </w:rPr>
            </w:pPr>
            <w:r w:rsidRPr="00DB1AEE">
              <w:rPr>
                <w:sz w:val="18"/>
                <w:szCs w:val="18"/>
                <w:u w:val="single"/>
              </w:rPr>
              <w:t>ADD2</w:t>
            </w:r>
          </w:p>
        </w:tc>
      </w:tr>
      <w:tr w:rsidR="00DB1AEE" w:rsidRPr="00DB1AEE" w14:paraId="7D96D791" w14:textId="77777777" w:rsidTr="00FC1832">
        <w:trPr>
          <w:trHeight w:val="450"/>
        </w:trPr>
        <w:tc>
          <w:tcPr>
            <w:tcW w:w="896" w:type="pct"/>
            <w:tcBorders>
              <w:top w:val="nil"/>
              <w:left w:val="single" w:sz="4" w:space="0" w:color="auto"/>
              <w:bottom w:val="single" w:sz="4" w:space="0" w:color="auto"/>
              <w:right w:val="single" w:sz="4" w:space="0" w:color="auto"/>
            </w:tcBorders>
            <w:hideMark/>
          </w:tcPr>
          <w:p w14:paraId="13F01191" w14:textId="77777777" w:rsidR="00DB1AEE" w:rsidRPr="00DB1AEE" w:rsidRDefault="00DB1AEE" w:rsidP="00DB1AEE">
            <w:pPr>
              <w:suppressAutoHyphens/>
              <w:jc w:val="left"/>
              <w:rPr>
                <w:sz w:val="18"/>
                <w:szCs w:val="18"/>
                <w:u w:val="single"/>
              </w:rPr>
            </w:pPr>
            <w:r w:rsidRPr="00DB1AEE">
              <w:rPr>
                <w:sz w:val="18"/>
                <w:szCs w:val="18"/>
                <w:u w:val="single"/>
              </w:rPr>
              <w:t xml:space="preserve">High bay area (25 to 50 ft </w:t>
            </w:r>
            <w:r w:rsidRPr="00DB1AEE">
              <w:rPr>
                <w:i/>
                <w:iCs/>
                <w:sz w:val="18"/>
                <w:szCs w:val="18"/>
                <w:u w:val="single"/>
              </w:rPr>
              <w:t>floor-to-ceiling height</w:t>
            </w:r>
            <w:r w:rsidRPr="00DB1AEE">
              <w:rPr>
                <w:sz w:val="18"/>
                <w:szCs w:val="18"/>
                <w:u w:val="single"/>
              </w:rPr>
              <w:t>)</w:t>
            </w:r>
          </w:p>
        </w:tc>
        <w:tc>
          <w:tcPr>
            <w:tcW w:w="429" w:type="pct"/>
            <w:gridSpan w:val="2"/>
            <w:tcBorders>
              <w:top w:val="nil"/>
              <w:left w:val="nil"/>
              <w:bottom w:val="single" w:sz="4" w:space="0" w:color="auto"/>
              <w:right w:val="single" w:sz="4" w:space="0" w:color="auto"/>
            </w:tcBorders>
            <w:noWrap/>
            <w:hideMark/>
          </w:tcPr>
          <w:p w14:paraId="7BDEB4C6" w14:textId="77777777" w:rsidR="00DB1AEE" w:rsidRPr="00DB1AEE" w:rsidRDefault="00DB1AEE" w:rsidP="00DB1AEE">
            <w:pPr>
              <w:suppressAutoHyphens/>
              <w:jc w:val="left"/>
              <w:rPr>
                <w:strike/>
                <w:sz w:val="18"/>
                <w:szCs w:val="18"/>
                <w:u w:val="single"/>
              </w:rPr>
            </w:pPr>
            <w:r w:rsidRPr="00DB1AEE">
              <w:rPr>
                <w:sz w:val="18"/>
                <w:szCs w:val="18"/>
                <w:u w:val="single"/>
              </w:rPr>
              <w:t>0.58</w:t>
            </w:r>
          </w:p>
        </w:tc>
        <w:tc>
          <w:tcPr>
            <w:tcW w:w="330" w:type="pct"/>
            <w:tcBorders>
              <w:top w:val="nil"/>
              <w:left w:val="nil"/>
              <w:bottom w:val="single" w:sz="4" w:space="0" w:color="auto"/>
              <w:right w:val="single" w:sz="4" w:space="0" w:color="auto"/>
            </w:tcBorders>
            <w:noWrap/>
            <w:hideMark/>
          </w:tcPr>
          <w:p w14:paraId="29CA0C9D" w14:textId="77777777" w:rsidR="00DB1AEE" w:rsidRPr="00DB1AEE" w:rsidRDefault="00DB1AEE" w:rsidP="00DB1AEE">
            <w:pPr>
              <w:suppressAutoHyphens/>
              <w:jc w:val="center"/>
              <w:rPr>
                <w:sz w:val="18"/>
                <w:szCs w:val="18"/>
                <w:u w:val="single"/>
              </w:rPr>
            </w:pPr>
            <w:r w:rsidRPr="00DB1AEE">
              <w:rPr>
                <w:sz w:val="18"/>
                <w:szCs w:val="18"/>
                <w:u w:val="single"/>
              </w:rPr>
              <w:t>6</w:t>
            </w:r>
          </w:p>
        </w:tc>
        <w:tc>
          <w:tcPr>
            <w:tcW w:w="361" w:type="pct"/>
            <w:gridSpan w:val="2"/>
            <w:tcBorders>
              <w:top w:val="nil"/>
              <w:left w:val="nil"/>
              <w:bottom w:val="single" w:sz="4" w:space="0" w:color="auto"/>
              <w:right w:val="single" w:sz="4" w:space="0" w:color="auto"/>
            </w:tcBorders>
            <w:hideMark/>
          </w:tcPr>
          <w:p w14:paraId="4752A01A"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63" w:type="pct"/>
            <w:gridSpan w:val="3"/>
            <w:tcBorders>
              <w:top w:val="nil"/>
              <w:left w:val="nil"/>
              <w:bottom w:val="single" w:sz="4" w:space="0" w:color="auto"/>
              <w:right w:val="single" w:sz="4" w:space="0" w:color="auto"/>
            </w:tcBorders>
            <w:hideMark/>
          </w:tcPr>
          <w:p w14:paraId="47D4E0B5" w14:textId="77777777" w:rsidR="00DB1AEE" w:rsidRPr="00DB1AEE" w:rsidRDefault="00DB1AEE" w:rsidP="00DB1AEE">
            <w:pPr>
              <w:suppressAutoHyphens/>
              <w:jc w:val="left"/>
              <w:rPr>
                <w:sz w:val="18"/>
                <w:szCs w:val="18"/>
                <w:u w:val="single"/>
              </w:rPr>
            </w:pPr>
            <w:r w:rsidRPr="00DB1AEE">
              <w:rPr>
                <w:sz w:val="18"/>
                <w:szCs w:val="18"/>
                <w:u w:val="single"/>
              </w:rPr>
              <w:t>ADD1</w:t>
            </w:r>
          </w:p>
        </w:tc>
        <w:tc>
          <w:tcPr>
            <w:tcW w:w="330" w:type="pct"/>
            <w:tcBorders>
              <w:top w:val="nil"/>
              <w:left w:val="nil"/>
              <w:bottom w:val="single" w:sz="4" w:space="0" w:color="auto"/>
              <w:right w:val="single" w:sz="4" w:space="0" w:color="auto"/>
            </w:tcBorders>
            <w:hideMark/>
          </w:tcPr>
          <w:p w14:paraId="4CBD62BC"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364" w:type="pct"/>
            <w:gridSpan w:val="2"/>
            <w:tcBorders>
              <w:top w:val="nil"/>
              <w:left w:val="nil"/>
              <w:bottom w:val="single" w:sz="4" w:space="0" w:color="auto"/>
              <w:right w:val="single" w:sz="4" w:space="0" w:color="auto"/>
            </w:tcBorders>
          </w:tcPr>
          <w:p w14:paraId="18819E1E" w14:textId="77777777" w:rsidR="00DB1AEE" w:rsidRPr="00DB1AEE" w:rsidRDefault="00DB1AEE" w:rsidP="00DB1AEE">
            <w:pPr>
              <w:suppressAutoHyphens/>
              <w:jc w:val="left"/>
              <w:rPr>
                <w:sz w:val="18"/>
                <w:szCs w:val="18"/>
                <w:u w:val="single"/>
              </w:rPr>
            </w:pPr>
          </w:p>
        </w:tc>
        <w:tc>
          <w:tcPr>
            <w:tcW w:w="427" w:type="pct"/>
            <w:gridSpan w:val="3"/>
            <w:tcBorders>
              <w:top w:val="nil"/>
              <w:left w:val="nil"/>
              <w:bottom w:val="single" w:sz="4" w:space="0" w:color="auto"/>
              <w:right w:val="single" w:sz="4" w:space="0" w:color="auto"/>
            </w:tcBorders>
            <w:hideMark/>
          </w:tcPr>
          <w:p w14:paraId="3F9B93E1"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97" w:type="pct"/>
            <w:tcBorders>
              <w:top w:val="nil"/>
              <w:left w:val="nil"/>
              <w:bottom w:val="single" w:sz="4" w:space="0" w:color="auto"/>
              <w:right w:val="single" w:sz="4" w:space="0" w:color="auto"/>
            </w:tcBorders>
            <w:hideMark/>
          </w:tcPr>
          <w:p w14:paraId="4E84F44E"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63" w:type="pct"/>
            <w:tcBorders>
              <w:top w:val="nil"/>
              <w:left w:val="nil"/>
              <w:bottom w:val="single" w:sz="4" w:space="0" w:color="auto"/>
              <w:right w:val="single" w:sz="4" w:space="0" w:color="auto"/>
            </w:tcBorders>
            <w:hideMark/>
          </w:tcPr>
          <w:p w14:paraId="5D9D3ECF"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418" w:type="pct"/>
            <w:gridSpan w:val="3"/>
            <w:tcBorders>
              <w:top w:val="nil"/>
              <w:left w:val="nil"/>
              <w:bottom w:val="single" w:sz="4" w:space="0" w:color="auto"/>
              <w:right w:val="single" w:sz="4" w:space="0" w:color="auto"/>
            </w:tcBorders>
            <w:hideMark/>
          </w:tcPr>
          <w:p w14:paraId="747F694E" w14:textId="77777777" w:rsidR="00DB1AEE" w:rsidRPr="00DB1AEE" w:rsidRDefault="00DB1AEE" w:rsidP="00DB1AEE">
            <w:pPr>
              <w:suppressAutoHyphens/>
              <w:jc w:val="left"/>
              <w:rPr>
                <w:sz w:val="18"/>
                <w:szCs w:val="18"/>
                <w:u w:val="single"/>
              </w:rPr>
            </w:pPr>
            <w:r w:rsidRPr="00DB1AEE">
              <w:rPr>
                <w:sz w:val="18"/>
                <w:szCs w:val="18"/>
                <w:u w:val="single"/>
              </w:rPr>
              <w:t>ADD2</w:t>
            </w:r>
          </w:p>
        </w:tc>
        <w:tc>
          <w:tcPr>
            <w:tcW w:w="323" w:type="pct"/>
            <w:tcBorders>
              <w:top w:val="nil"/>
              <w:left w:val="nil"/>
              <w:bottom w:val="single" w:sz="4" w:space="0" w:color="auto"/>
              <w:right w:val="single" w:sz="4" w:space="0" w:color="auto"/>
            </w:tcBorders>
            <w:hideMark/>
          </w:tcPr>
          <w:p w14:paraId="56F7DAEF" w14:textId="77777777" w:rsidR="00DB1AEE" w:rsidRPr="00DB1AEE" w:rsidRDefault="00DB1AEE" w:rsidP="00DB1AEE">
            <w:pPr>
              <w:suppressAutoHyphens/>
              <w:jc w:val="left"/>
              <w:rPr>
                <w:sz w:val="18"/>
                <w:szCs w:val="18"/>
                <w:u w:val="single"/>
              </w:rPr>
            </w:pPr>
            <w:r w:rsidRPr="00DB1AEE">
              <w:rPr>
                <w:sz w:val="18"/>
                <w:szCs w:val="18"/>
                <w:u w:val="single"/>
              </w:rPr>
              <w:t>ADD2</w:t>
            </w:r>
          </w:p>
        </w:tc>
      </w:tr>
      <w:tr w:rsidR="00DB1AEE" w:rsidRPr="00DB1AEE" w14:paraId="142B7822" w14:textId="77777777" w:rsidTr="00FC1832">
        <w:trPr>
          <w:trHeight w:val="450"/>
        </w:trPr>
        <w:tc>
          <w:tcPr>
            <w:tcW w:w="896" w:type="pct"/>
            <w:tcBorders>
              <w:top w:val="nil"/>
              <w:left w:val="single" w:sz="4" w:space="0" w:color="auto"/>
              <w:bottom w:val="single" w:sz="4" w:space="0" w:color="auto"/>
              <w:right w:val="single" w:sz="4" w:space="0" w:color="auto"/>
            </w:tcBorders>
            <w:hideMark/>
          </w:tcPr>
          <w:p w14:paraId="1ED8C03A" w14:textId="77777777" w:rsidR="00DB1AEE" w:rsidRPr="00DB1AEE" w:rsidRDefault="00DB1AEE" w:rsidP="00DB1AEE">
            <w:pPr>
              <w:suppressAutoHyphens/>
              <w:jc w:val="left"/>
              <w:rPr>
                <w:sz w:val="18"/>
                <w:szCs w:val="18"/>
                <w:u w:val="single"/>
              </w:rPr>
            </w:pPr>
            <w:r w:rsidRPr="00DB1AEE">
              <w:rPr>
                <w:sz w:val="18"/>
                <w:szCs w:val="18"/>
                <w:u w:val="single"/>
              </w:rPr>
              <w:t xml:space="preserve">Low bay area ( 25 ft </w:t>
            </w:r>
            <w:r w:rsidRPr="00DB1AEE">
              <w:rPr>
                <w:i/>
                <w:iCs/>
                <w:sz w:val="18"/>
                <w:szCs w:val="18"/>
                <w:u w:val="single"/>
              </w:rPr>
              <w:t>floor-to-ceiling height</w:t>
            </w:r>
            <w:r w:rsidRPr="00DB1AEE">
              <w:rPr>
                <w:sz w:val="18"/>
                <w:szCs w:val="18"/>
                <w:u w:val="single"/>
              </w:rPr>
              <w:t>)</w:t>
            </w:r>
          </w:p>
        </w:tc>
        <w:tc>
          <w:tcPr>
            <w:tcW w:w="429" w:type="pct"/>
            <w:gridSpan w:val="2"/>
            <w:tcBorders>
              <w:top w:val="nil"/>
              <w:left w:val="nil"/>
              <w:bottom w:val="single" w:sz="4" w:space="0" w:color="auto"/>
              <w:right w:val="single" w:sz="4" w:space="0" w:color="auto"/>
            </w:tcBorders>
            <w:noWrap/>
            <w:hideMark/>
          </w:tcPr>
          <w:p w14:paraId="7C532FEF" w14:textId="77777777" w:rsidR="00DB1AEE" w:rsidRPr="00DB1AEE" w:rsidRDefault="00DB1AEE" w:rsidP="00DB1AEE">
            <w:pPr>
              <w:suppressAutoHyphens/>
              <w:jc w:val="left"/>
              <w:rPr>
                <w:sz w:val="18"/>
                <w:szCs w:val="18"/>
                <w:u w:val="single"/>
              </w:rPr>
            </w:pPr>
            <w:r w:rsidRPr="00DB1AEE">
              <w:rPr>
                <w:sz w:val="18"/>
                <w:szCs w:val="18"/>
                <w:u w:val="single"/>
              </w:rPr>
              <w:t>0. 5</w:t>
            </w:r>
          </w:p>
        </w:tc>
        <w:tc>
          <w:tcPr>
            <w:tcW w:w="330" w:type="pct"/>
            <w:tcBorders>
              <w:top w:val="nil"/>
              <w:left w:val="nil"/>
              <w:bottom w:val="single" w:sz="4" w:space="0" w:color="auto"/>
              <w:right w:val="single" w:sz="4" w:space="0" w:color="auto"/>
            </w:tcBorders>
            <w:noWrap/>
            <w:hideMark/>
          </w:tcPr>
          <w:p w14:paraId="1E62CCE0" w14:textId="77777777" w:rsidR="00DB1AEE" w:rsidRPr="00DB1AEE" w:rsidRDefault="00DB1AEE" w:rsidP="00DB1AEE">
            <w:pPr>
              <w:suppressAutoHyphens/>
              <w:jc w:val="center"/>
              <w:rPr>
                <w:sz w:val="18"/>
                <w:szCs w:val="18"/>
                <w:u w:val="single"/>
              </w:rPr>
            </w:pPr>
            <w:r w:rsidRPr="00DB1AEE">
              <w:rPr>
                <w:sz w:val="18"/>
                <w:szCs w:val="18"/>
                <w:u w:val="single"/>
              </w:rPr>
              <w:t xml:space="preserve">  3</w:t>
            </w:r>
          </w:p>
        </w:tc>
        <w:tc>
          <w:tcPr>
            <w:tcW w:w="361" w:type="pct"/>
            <w:gridSpan w:val="2"/>
            <w:tcBorders>
              <w:top w:val="nil"/>
              <w:left w:val="nil"/>
              <w:bottom w:val="single" w:sz="4" w:space="0" w:color="auto"/>
              <w:right w:val="single" w:sz="4" w:space="0" w:color="auto"/>
            </w:tcBorders>
            <w:hideMark/>
          </w:tcPr>
          <w:p w14:paraId="4F5A7A53"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63" w:type="pct"/>
            <w:gridSpan w:val="3"/>
            <w:tcBorders>
              <w:top w:val="nil"/>
              <w:left w:val="nil"/>
              <w:bottom w:val="single" w:sz="4" w:space="0" w:color="auto"/>
              <w:right w:val="single" w:sz="4" w:space="0" w:color="auto"/>
            </w:tcBorders>
            <w:hideMark/>
          </w:tcPr>
          <w:p w14:paraId="5D13B0E5" w14:textId="77777777" w:rsidR="00DB1AEE" w:rsidRPr="00DB1AEE" w:rsidRDefault="00DB1AEE" w:rsidP="00DB1AEE">
            <w:pPr>
              <w:suppressAutoHyphens/>
              <w:jc w:val="left"/>
              <w:rPr>
                <w:sz w:val="18"/>
                <w:szCs w:val="18"/>
                <w:u w:val="single"/>
              </w:rPr>
            </w:pPr>
            <w:r w:rsidRPr="00DB1AEE">
              <w:rPr>
                <w:sz w:val="18"/>
                <w:szCs w:val="18"/>
                <w:u w:val="single"/>
              </w:rPr>
              <w:t>ADD1</w:t>
            </w:r>
          </w:p>
        </w:tc>
        <w:tc>
          <w:tcPr>
            <w:tcW w:w="330" w:type="pct"/>
            <w:tcBorders>
              <w:top w:val="nil"/>
              <w:left w:val="nil"/>
              <w:bottom w:val="single" w:sz="4" w:space="0" w:color="auto"/>
              <w:right w:val="single" w:sz="4" w:space="0" w:color="auto"/>
            </w:tcBorders>
            <w:hideMark/>
          </w:tcPr>
          <w:p w14:paraId="57762CDD"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364" w:type="pct"/>
            <w:gridSpan w:val="2"/>
            <w:tcBorders>
              <w:top w:val="nil"/>
              <w:left w:val="nil"/>
              <w:bottom w:val="single" w:sz="4" w:space="0" w:color="auto"/>
              <w:right w:val="single" w:sz="4" w:space="0" w:color="auto"/>
            </w:tcBorders>
          </w:tcPr>
          <w:p w14:paraId="6BA3F4CC" w14:textId="77777777" w:rsidR="00DB1AEE" w:rsidRPr="00DB1AEE" w:rsidRDefault="00DB1AEE" w:rsidP="00DB1AEE">
            <w:pPr>
              <w:suppressAutoHyphens/>
              <w:jc w:val="left"/>
              <w:rPr>
                <w:sz w:val="18"/>
                <w:szCs w:val="18"/>
                <w:u w:val="single"/>
              </w:rPr>
            </w:pPr>
          </w:p>
        </w:tc>
        <w:tc>
          <w:tcPr>
            <w:tcW w:w="427" w:type="pct"/>
            <w:gridSpan w:val="3"/>
            <w:tcBorders>
              <w:top w:val="nil"/>
              <w:left w:val="nil"/>
              <w:bottom w:val="single" w:sz="4" w:space="0" w:color="auto"/>
              <w:right w:val="single" w:sz="4" w:space="0" w:color="auto"/>
            </w:tcBorders>
            <w:hideMark/>
          </w:tcPr>
          <w:p w14:paraId="0BF32023"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97" w:type="pct"/>
            <w:tcBorders>
              <w:top w:val="nil"/>
              <w:left w:val="nil"/>
              <w:bottom w:val="single" w:sz="4" w:space="0" w:color="auto"/>
              <w:right w:val="single" w:sz="4" w:space="0" w:color="auto"/>
            </w:tcBorders>
            <w:hideMark/>
          </w:tcPr>
          <w:p w14:paraId="09249318"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63" w:type="pct"/>
            <w:tcBorders>
              <w:top w:val="nil"/>
              <w:left w:val="nil"/>
              <w:bottom w:val="single" w:sz="4" w:space="0" w:color="auto"/>
              <w:right w:val="single" w:sz="4" w:space="0" w:color="auto"/>
            </w:tcBorders>
            <w:vAlign w:val="center"/>
            <w:hideMark/>
          </w:tcPr>
          <w:p w14:paraId="5B2BB1EB"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418" w:type="pct"/>
            <w:gridSpan w:val="3"/>
            <w:tcBorders>
              <w:top w:val="nil"/>
              <w:left w:val="nil"/>
              <w:bottom w:val="single" w:sz="4" w:space="0" w:color="auto"/>
              <w:right w:val="single" w:sz="4" w:space="0" w:color="auto"/>
            </w:tcBorders>
            <w:hideMark/>
          </w:tcPr>
          <w:p w14:paraId="36557909" w14:textId="77777777" w:rsidR="00DB1AEE" w:rsidRPr="00DB1AEE" w:rsidRDefault="00DB1AEE" w:rsidP="00DB1AEE">
            <w:pPr>
              <w:suppressAutoHyphens/>
              <w:jc w:val="left"/>
              <w:rPr>
                <w:sz w:val="18"/>
                <w:szCs w:val="18"/>
                <w:u w:val="single"/>
              </w:rPr>
            </w:pPr>
            <w:r w:rsidRPr="00DB1AEE">
              <w:rPr>
                <w:sz w:val="18"/>
                <w:szCs w:val="18"/>
                <w:u w:val="single"/>
              </w:rPr>
              <w:t>ADD2</w:t>
            </w:r>
          </w:p>
        </w:tc>
        <w:tc>
          <w:tcPr>
            <w:tcW w:w="323" w:type="pct"/>
            <w:tcBorders>
              <w:top w:val="nil"/>
              <w:left w:val="nil"/>
              <w:bottom w:val="single" w:sz="4" w:space="0" w:color="auto"/>
              <w:right w:val="single" w:sz="4" w:space="0" w:color="auto"/>
            </w:tcBorders>
            <w:hideMark/>
          </w:tcPr>
          <w:p w14:paraId="081120FE" w14:textId="77777777" w:rsidR="00DB1AEE" w:rsidRPr="00DB1AEE" w:rsidRDefault="00DB1AEE" w:rsidP="00DB1AEE">
            <w:pPr>
              <w:suppressAutoHyphens/>
              <w:jc w:val="left"/>
              <w:rPr>
                <w:sz w:val="18"/>
                <w:szCs w:val="18"/>
                <w:u w:val="single"/>
              </w:rPr>
            </w:pPr>
            <w:r w:rsidRPr="00DB1AEE">
              <w:rPr>
                <w:sz w:val="18"/>
                <w:szCs w:val="18"/>
                <w:u w:val="single"/>
              </w:rPr>
              <w:t>ADD2</w:t>
            </w:r>
          </w:p>
        </w:tc>
      </w:tr>
      <w:tr w:rsidR="00DB1AEE" w:rsidRPr="00DB1AEE" w14:paraId="3E396683" w14:textId="77777777" w:rsidTr="00FC1832">
        <w:trPr>
          <w:trHeight w:val="300"/>
        </w:trPr>
        <w:tc>
          <w:tcPr>
            <w:tcW w:w="896" w:type="pct"/>
            <w:tcBorders>
              <w:top w:val="nil"/>
              <w:left w:val="single" w:sz="4" w:space="0" w:color="auto"/>
              <w:bottom w:val="single" w:sz="4" w:space="0" w:color="auto"/>
              <w:right w:val="nil"/>
            </w:tcBorders>
            <w:hideMark/>
          </w:tcPr>
          <w:p w14:paraId="62AC6B3E" w14:textId="77777777" w:rsidR="00DB1AEE" w:rsidRPr="00DB1AEE" w:rsidRDefault="00DB1AEE" w:rsidP="00DB1AEE">
            <w:pPr>
              <w:suppressAutoHyphens/>
              <w:jc w:val="left"/>
              <w:rPr>
                <w:sz w:val="18"/>
                <w:szCs w:val="18"/>
                <w:u w:val="single"/>
              </w:rPr>
            </w:pPr>
            <w:r w:rsidRPr="00DB1AEE">
              <w:rPr>
                <w:sz w:val="18"/>
                <w:szCs w:val="18"/>
                <w:u w:val="single"/>
              </w:rPr>
              <w:t>Museum</w:t>
            </w:r>
          </w:p>
        </w:tc>
        <w:tc>
          <w:tcPr>
            <w:tcW w:w="429" w:type="pct"/>
            <w:gridSpan w:val="2"/>
            <w:tcBorders>
              <w:top w:val="nil"/>
              <w:left w:val="nil"/>
              <w:bottom w:val="single" w:sz="4" w:space="0" w:color="auto"/>
              <w:right w:val="single" w:sz="4" w:space="0" w:color="auto"/>
            </w:tcBorders>
            <w:hideMark/>
          </w:tcPr>
          <w:p w14:paraId="0B9B20E3"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330" w:type="pct"/>
            <w:tcBorders>
              <w:top w:val="single" w:sz="4" w:space="0" w:color="auto"/>
              <w:left w:val="single" w:sz="4" w:space="0" w:color="auto"/>
              <w:bottom w:val="single" w:sz="4" w:space="0" w:color="auto"/>
              <w:right w:val="single" w:sz="4" w:space="0" w:color="auto"/>
            </w:tcBorders>
            <w:vAlign w:val="bottom"/>
            <w:hideMark/>
          </w:tcPr>
          <w:p w14:paraId="59496580" w14:textId="77777777" w:rsidR="00DB1AEE" w:rsidRPr="00DB1AEE" w:rsidRDefault="00DB1AEE" w:rsidP="00DB1AEE">
            <w:pPr>
              <w:suppressAutoHyphens/>
              <w:jc w:val="left"/>
              <w:rPr>
                <w:sz w:val="18"/>
                <w:szCs w:val="18"/>
                <w:u w:val="single"/>
              </w:rPr>
            </w:pPr>
            <w:r w:rsidRPr="00DB1AEE">
              <w:rPr>
                <w:sz w:val="18"/>
                <w:szCs w:val="18"/>
                <w:u w:val="single"/>
              </w:rPr>
              <w:t> </w:t>
            </w:r>
          </w:p>
          <w:p w14:paraId="6FC7D2D0"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361" w:type="pct"/>
            <w:gridSpan w:val="2"/>
            <w:tcBorders>
              <w:top w:val="nil"/>
              <w:left w:val="nil"/>
              <w:bottom w:val="single" w:sz="4" w:space="0" w:color="auto"/>
              <w:right w:val="nil"/>
            </w:tcBorders>
            <w:hideMark/>
          </w:tcPr>
          <w:p w14:paraId="5FEF644E" w14:textId="77777777" w:rsidR="00DB1AEE" w:rsidRPr="00DB1AEE" w:rsidRDefault="00DB1AEE" w:rsidP="00DB1AEE">
            <w:pPr>
              <w:suppressAutoHyphens/>
              <w:jc w:val="center"/>
              <w:rPr>
                <w:sz w:val="18"/>
                <w:szCs w:val="18"/>
                <w:u w:val="single"/>
              </w:rPr>
            </w:pPr>
            <w:r w:rsidRPr="00DB1AEE">
              <w:rPr>
                <w:sz w:val="18"/>
                <w:szCs w:val="18"/>
                <w:u w:val="single"/>
              </w:rPr>
              <w:t> </w:t>
            </w:r>
          </w:p>
        </w:tc>
        <w:tc>
          <w:tcPr>
            <w:tcW w:w="363" w:type="pct"/>
            <w:gridSpan w:val="3"/>
            <w:tcBorders>
              <w:top w:val="nil"/>
              <w:left w:val="nil"/>
              <w:bottom w:val="single" w:sz="4" w:space="0" w:color="auto"/>
              <w:right w:val="nil"/>
            </w:tcBorders>
            <w:hideMark/>
          </w:tcPr>
          <w:p w14:paraId="7DE7F027"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330" w:type="pct"/>
            <w:tcBorders>
              <w:top w:val="nil"/>
              <w:left w:val="nil"/>
              <w:bottom w:val="single" w:sz="4" w:space="0" w:color="auto"/>
              <w:right w:val="nil"/>
            </w:tcBorders>
            <w:hideMark/>
          </w:tcPr>
          <w:p w14:paraId="45F516FB" w14:textId="77777777" w:rsidR="00DB1AEE" w:rsidRPr="00DB1AEE" w:rsidRDefault="00DB1AEE" w:rsidP="00DB1AEE">
            <w:pPr>
              <w:suppressAutoHyphens/>
              <w:jc w:val="center"/>
              <w:rPr>
                <w:sz w:val="18"/>
                <w:szCs w:val="18"/>
                <w:u w:val="single"/>
              </w:rPr>
            </w:pPr>
            <w:r w:rsidRPr="00DB1AEE">
              <w:rPr>
                <w:sz w:val="18"/>
                <w:szCs w:val="18"/>
                <w:u w:val="single"/>
              </w:rPr>
              <w:t> </w:t>
            </w:r>
          </w:p>
        </w:tc>
        <w:tc>
          <w:tcPr>
            <w:tcW w:w="364" w:type="pct"/>
            <w:gridSpan w:val="2"/>
            <w:tcBorders>
              <w:top w:val="nil"/>
              <w:left w:val="nil"/>
              <w:bottom w:val="single" w:sz="4" w:space="0" w:color="auto"/>
              <w:right w:val="nil"/>
            </w:tcBorders>
            <w:hideMark/>
          </w:tcPr>
          <w:p w14:paraId="667F7D1D"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427" w:type="pct"/>
            <w:gridSpan w:val="3"/>
            <w:tcBorders>
              <w:top w:val="nil"/>
              <w:left w:val="nil"/>
              <w:bottom w:val="single" w:sz="4" w:space="0" w:color="auto"/>
              <w:right w:val="nil"/>
            </w:tcBorders>
            <w:hideMark/>
          </w:tcPr>
          <w:p w14:paraId="43EFAAE2" w14:textId="77777777" w:rsidR="00DB1AEE" w:rsidRPr="00DB1AEE" w:rsidRDefault="00DB1AEE" w:rsidP="00DB1AEE">
            <w:pPr>
              <w:suppressAutoHyphens/>
              <w:jc w:val="center"/>
              <w:rPr>
                <w:sz w:val="18"/>
                <w:szCs w:val="18"/>
                <w:u w:val="single"/>
              </w:rPr>
            </w:pPr>
            <w:r w:rsidRPr="00DB1AEE">
              <w:rPr>
                <w:sz w:val="18"/>
                <w:szCs w:val="18"/>
                <w:u w:val="single"/>
              </w:rPr>
              <w:t> </w:t>
            </w:r>
          </w:p>
        </w:tc>
        <w:tc>
          <w:tcPr>
            <w:tcW w:w="397" w:type="pct"/>
            <w:tcBorders>
              <w:top w:val="nil"/>
              <w:left w:val="nil"/>
              <w:bottom w:val="single" w:sz="4" w:space="0" w:color="auto"/>
              <w:right w:val="nil"/>
            </w:tcBorders>
            <w:hideMark/>
          </w:tcPr>
          <w:p w14:paraId="5C7B88C6" w14:textId="77777777" w:rsidR="00DB1AEE" w:rsidRPr="00DB1AEE" w:rsidRDefault="00DB1AEE" w:rsidP="00DB1AEE">
            <w:pPr>
              <w:suppressAutoHyphens/>
              <w:jc w:val="center"/>
              <w:rPr>
                <w:sz w:val="18"/>
                <w:szCs w:val="18"/>
                <w:u w:val="single"/>
              </w:rPr>
            </w:pPr>
            <w:r w:rsidRPr="00DB1AEE">
              <w:rPr>
                <w:sz w:val="18"/>
                <w:szCs w:val="18"/>
                <w:u w:val="single"/>
              </w:rPr>
              <w:t> </w:t>
            </w:r>
          </w:p>
        </w:tc>
        <w:tc>
          <w:tcPr>
            <w:tcW w:w="363" w:type="pct"/>
            <w:tcBorders>
              <w:top w:val="nil"/>
              <w:left w:val="nil"/>
              <w:bottom w:val="single" w:sz="4" w:space="0" w:color="auto"/>
              <w:right w:val="nil"/>
            </w:tcBorders>
            <w:hideMark/>
          </w:tcPr>
          <w:p w14:paraId="0A3B0A9F"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418" w:type="pct"/>
            <w:gridSpan w:val="3"/>
            <w:tcBorders>
              <w:top w:val="nil"/>
              <w:left w:val="nil"/>
              <w:bottom w:val="single" w:sz="4" w:space="0" w:color="auto"/>
              <w:right w:val="nil"/>
            </w:tcBorders>
            <w:hideMark/>
          </w:tcPr>
          <w:p w14:paraId="16131E73"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323" w:type="pct"/>
            <w:tcBorders>
              <w:top w:val="nil"/>
              <w:left w:val="nil"/>
              <w:bottom w:val="single" w:sz="4" w:space="0" w:color="auto"/>
              <w:right w:val="single" w:sz="4" w:space="0" w:color="auto"/>
            </w:tcBorders>
            <w:hideMark/>
          </w:tcPr>
          <w:p w14:paraId="7683ED74" w14:textId="77777777" w:rsidR="00DB1AEE" w:rsidRPr="00DB1AEE" w:rsidRDefault="00DB1AEE" w:rsidP="00DB1AEE">
            <w:pPr>
              <w:suppressAutoHyphens/>
              <w:jc w:val="left"/>
              <w:rPr>
                <w:sz w:val="18"/>
                <w:szCs w:val="18"/>
                <w:u w:val="single"/>
              </w:rPr>
            </w:pPr>
            <w:r w:rsidRPr="00DB1AEE">
              <w:rPr>
                <w:sz w:val="18"/>
                <w:szCs w:val="18"/>
                <w:u w:val="single"/>
              </w:rPr>
              <w:t> </w:t>
            </w:r>
          </w:p>
        </w:tc>
      </w:tr>
      <w:tr w:rsidR="00DB1AEE" w:rsidRPr="00DB1AEE" w14:paraId="05F04F3E" w14:textId="77777777" w:rsidTr="00FC1832">
        <w:trPr>
          <w:trHeight w:val="300"/>
        </w:trPr>
        <w:tc>
          <w:tcPr>
            <w:tcW w:w="896" w:type="pct"/>
            <w:tcBorders>
              <w:top w:val="nil"/>
              <w:left w:val="single" w:sz="4" w:space="0" w:color="auto"/>
              <w:bottom w:val="single" w:sz="4" w:space="0" w:color="auto"/>
              <w:right w:val="single" w:sz="4" w:space="0" w:color="auto"/>
            </w:tcBorders>
            <w:hideMark/>
          </w:tcPr>
          <w:p w14:paraId="3B1E94AB" w14:textId="77777777" w:rsidR="00DB1AEE" w:rsidRPr="00DB1AEE" w:rsidRDefault="00DB1AEE" w:rsidP="00DB1AEE">
            <w:pPr>
              <w:suppressAutoHyphens/>
              <w:jc w:val="left"/>
              <w:rPr>
                <w:sz w:val="18"/>
                <w:szCs w:val="18"/>
                <w:u w:val="single"/>
              </w:rPr>
            </w:pPr>
            <w:r w:rsidRPr="00DB1AEE">
              <w:rPr>
                <w:sz w:val="18"/>
                <w:szCs w:val="18"/>
                <w:u w:val="single"/>
              </w:rPr>
              <w:t>General exhibition area</w:t>
            </w:r>
          </w:p>
        </w:tc>
        <w:tc>
          <w:tcPr>
            <w:tcW w:w="429" w:type="pct"/>
            <w:gridSpan w:val="2"/>
            <w:tcBorders>
              <w:top w:val="nil"/>
              <w:left w:val="nil"/>
              <w:bottom w:val="single" w:sz="4" w:space="0" w:color="auto"/>
              <w:right w:val="single" w:sz="4" w:space="0" w:color="auto"/>
            </w:tcBorders>
            <w:noWrap/>
            <w:hideMark/>
          </w:tcPr>
          <w:p w14:paraId="1F3A3F3C" w14:textId="77777777" w:rsidR="00DB1AEE" w:rsidRPr="00DB1AEE" w:rsidRDefault="00DB1AEE" w:rsidP="00DB1AEE">
            <w:pPr>
              <w:suppressAutoHyphens/>
              <w:jc w:val="left"/>
              <w:rPr>
                <w:sz w:val="18"/>
                <w:szCs w:val="18"/>
                <w:u w:val="single"/>
              </w:rPr>
            </w:pPr>
            <w:r w:rsidRPr="00DB1AEE">
              <w:rPr>
                <w:sz w:val="18"/>
                <w:szCs w:val="18"/>
                <w:u w:val="single"/>
              </w:rPr>
              <w:t>0.31</w:t>
            </w:r>
          </w:p>
        </w:tc>
        <w:tc>
          <w:tcPr>
            <w:tcW w:w="330" w:type="pct"/>
            <w:tcBorders>
              <w:top w:val="nil"/>
              <w:left w:val="nil"/>
              <w:bottom w:val="single" w:sz="4" w:space="0" w:color="auto"/>
              <w:right w:val="single" w:sz="4" w:space="0" w:color="auto"/>
            </w:tcBorders>
            <w:noWrap/>
            <w:hideMark/>
          </w:tcPr>
          <w:p w14:paraId="1898B5D8" w14:textId="77777777" w:rsidR="00DB1AEE" w:rsidRPr="00DB1AEE" w:rsidRDefault="00DB1AEE" w:rsidP="00DB1AEE">
            <w:pPr>
              <w:suppressAutoHyphens/>
              <w:jc w:val="center"/>
              <w:rPr>
                <w:sz w:val="18"/>
                <w:szCs w:val="18"/>
                <w:u w:val="single"/>
              </w:rPr>
            </w:pPr>
            <w:r w:rsidRPr="00DB1AEE">
              <w:rPr>
                <w:sz w:val="18"/>
                <w:szCs w:val="18"/>
                <w:u w:val="single"/>
              </w:rPr>
              <w:t>6</w:t>
            </w:r>
          </w:p>
        </w:tc>
        <w:tc>
          <w:tcPr>
            <w:tcW w:w="361" w:type="pct"/>
            <w:gridSpan w:val="2"/>
            <w:tcBorders>
              <w:top w:val="nil"/>
              <w:left w:val="nil"/>
              <w:bottom w:val="single" w:sz="4" w:space="0" w:color="auto"/>
              <w:right w:val="single" w:sz="4" w:space="0" w:color="auto"/>
            </w:tcBorders>
            <w:hideMark/>
          </w:tcPr>
          <w:p w14:paraId="3584D92A"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63" w:type="pct"/>
            <w:gridSpan w:val="3"/>
            <w:tcBorders>
              <w:top w:val="nil"/>
              <w:left w:val="nil"/>
              <w:bottom w:val="single" w:sz="4" w:space="0" w:color="auto"/>
              <w:right w:val="single" w:sz="4" w:space="0" w:color="auto"/>
            </w:tcBorders>
            <w:hideMark/>
          </w:tcPr>
          <w:p w14:paraId="448BF4DA" w14:textId="77777777" w:rsidR="00DB1AEE" w:rsidRPr="00DB1AEE" w:rsidRDefault="00DB1AEE" w:rsidP="00DB1AEE">
            <w:pPr>
              <w:suppressAutoHyphens/>
              <w:jc w:val="left"/>
              <w:rPr>
                <w:sz w:val="18"/>
                <w:szCs w:val="18"/>
                <w:u w:val="single"/>
              </w:rPr>
            </w:pPr>
            <w:r w:rsidRPr="00DB1AEE">
              <w:rPr>
                <w:sz w:val="18"/>
                <w:szCs w:val="18"/>
                <w:u w:val="single"/>
              </w:rPr>
              <w:t>ADD1</w:t>
            </w:r>
          </w:p>
        </w:tc>
        <w:tc>
          <w:tcPr>
            <w:tcW w:w="330" w:type="pct"/>
            <w:tcBorders>
              <w:top w:val="nil"/>
              <w:left w:val="nil"/>
              <w:bottom w:val="single" w:sz="4" w:space="0" w:color="auto"/>
              <w:right w:val="single" w:sz="4" w:space="0" w:color="auto"/>
            </w:tcBorders>
            <w:hideMark/>
          </w:tcPr>
          <w:p w14:paraId="483D2BCE"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364" w:type="pct"/>
            <w:gridSpan w:val="2"/>
            <w:tcBorders>
              <w:top w:val="nil"/>
              <w:left w:val="nil"/>
              <w:bottom w:val="single" w:sz="4" w:space="0" w:color="auto"/>
              <w:right w:val="single" w:sz="4" w:space="0" w:color="auto"/>
            </w:tcBorders>
            <w:hideMark/>
          </w:tcPr>
          <w:p w14:paraId="6DC66B27" w14:textId="77777777" w:rsidR="00DB1AEE" w:rsidRPr="00DB1AEE" w:rsidRDefault="00DB1AEE" w:rsidP="00DB1AEE">
            <w:pPr>
              <w:suppressAutoHyphens/>
              <w:jc w:val="left"/>
              <w:rPr>
                <w:sz w:val="18"/>
                <w:szCs w:val="18"/>
                <w:u w:val="single"/>
              </w:rPr>
            </w:pPr>
            <w:r w:rsidRPr="00DB1AEE">
              <w:rPr>
                <w:sz w:val="18"/>
                <w:szCs w:val="18"/>
                <w:u w:val="single"/>
              </w:rPr>
              <w:t>REQ</w:t>
            </w:r>
          </w:p>
        </w:tc>
        <w:tc>
          <w:tcPr>
            <w:tcW w:w="427" w:type="pct"/>
            <w:gridSpan w:val="3"/>
            <w:tcBorders>
              <w:top w:val="nil"/>
              <w:left w:val="nil"/>
              <w:bottom w:val="single" w:sz="4" w:space="0" w:color="auto"/>
              <w:right w:val="single" w:sz="4" w:space="0" w:color="auto"/>
            </w:tcBorders>
            <w:hideMark/>
          </w:tcPr>
          <w:p w14:paraId="7009B7E4"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97" w:type="pct"/>
            <w:tcBorders>
              <w:top w:val="nil"/>
              <w:left w:val="nil"/>
              <w:bottom w:val="single" w:sz="4" w:space="0" w:color="auto"/>
              <w:right w:val="single" w:sz="4" w:space="0" w:color="auto"/>
            </w:tcBorders>
            <w:hideMark/>
          </w:tcPr>
          <w:p w14:paraId="3FE0A86E"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63" w:type="pct"/>
            <w:tcBorders>
              <w:top w:val="nil"/>
              <w:left w:val="nil"/>
              <w:bottom w:val="single" w:sz="4" w:space="0" w:color="auto"/>
              <w:right w:val="single" w:sz="4" w:space="0" w:color="auto"/>
            </w:tcBorders>
            <w:vAlign w:val="center"/>
            <w:hideMark/>
          </w:tcPr>
          <w:p w14:paraId="28AA4E84"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418" w:type="pct"/>
            <w:gridSpan w:val="3"/>
            <w:tcBorders>
              <w:top w:val="nil"/>
              <w:left w:val="nil"/>
              <w:bottom w:val="single" w:sz="4" w:space="0" w:color="auto"/>
              <w:right w:val="single" w:sz="4" w:space="0" w:color="auto"/>
            </w:tcBorders>
            <w:hideMark/>
          </w:tcPr>
          <w:p w14:paraId="2892ED87" w14:textId="77777777" w:rsidR="00DB1AEE" w:rsidRPr="00DB1AEE" w:rsidRDefault="00DB1AEE" w:rsidP="00DB1AEE">
            <w:pPr>
              <w:suppressAutoHyphens/>
              <w:jc w:val="left"/>
              <w:rPr>
                <w:sz w:val="18"/>
                <w:szCs w:val="18"/>
                <w:u w:val="single"/>
              </w:rPr>
            </w:pPr>
            <w:r w:rsidRPr="00DB1AEE">
              <w:rPr>
                <w:sz w:val="18"/>
                <w:szCs w:val="18"/>
                <w:u w:val="single"/>
              </w:rPr>
              <w:t>ADD2</w:t>
            </w:r>
          </w:p>
        </w:tc>
        <w:tc>
          <w:tcPr>
            <w:tcW w:w="323" w:type="pct"/>
            <w:tcBorders>
              <w:top w:val="nil"/>
              <w:left w:val="nil"/>
              <w:bottom w:val="single" w:sz="4" w:space="0" w:color="auto"/>
              <w:right w:val="single" w:sz="4" w:space="0" w:color="auto"/>
            </w:tcBorders>
            <w:hideMark/>
          </w:tcPr>
          <w:p w14:paraId="27AF2A23" w14:textId="77777777" w:rsidR="00DB1AEE" w:rsidRPr="00DB1AEE" w:rsidRDefault="00DB1AEE" w:rsidP="00DB1AEE">
            <w:pPr>
              <w:suppressAutoHyphens/>
              <w:jc w:val="left"/>
              <w:rPr>
                <w:sz w:val="18"/>
                <w:szCs w:val="18"/>
                <w:u w:val="single"/>
              </w:rPr>
            </w:pPr>
            <w:r w:rsidRPr="00DB1AEE">
              <w:rPr>
                <w:sz w:val="18"/>
                <w:szCs w:val="18"/>
                <w:u w:val="single"/>
              </w:rPr>
              <w:t>ADD2</w:t>
            </w:r>
          </w:p>
        </w:tc>
      </w:tr>
      <w:tr w:rsidR="00DB1AEE" w:rsidRPr="00DB1AEE" w14:paraId="3581AC1C" w14:textId="77777777" w:rsidTr="00FC1832">
        <w:trPr>
          <w:trHeight w:val="300"/>
        </w:trPr>
        <w:tc>
          <w:tcPr>
            <w:tcW w:w="896" w:type="pct"/>
            <w:tcBorders>
              <w:top w:val="nil"/>
              <w:left w:val="single" w:sz="4" w:space="0" w:color="auto"/>
              <w:bottom w:val="single" w:sz="4" w:space="0" w:color="auto"/>
              <w:right w:val="single" w:sz="4" w:space="0" w:color="auto"/>
            </w:tcBorders>
            <w:hideMark/>
          </w:tcPr>
          <w:p w14:paraId="6F1CBEC9" w14:textId="77777777" w:rsidR="00DB1AEE" w:rsidRPr="00DB1AEE" w:rsidRDefault="00DB1AEE" w:rsidP="00DB1AEE">
            <w:pPr>
              <w:suppressAutoHyphens/>
              <w:jc w:val="left"/>
              <w:rPr>
                <w:sz w:val="18"/>
                <w:szCs w:val="18"/>
                <w:u w:val="single"/>
              </w:rPr>
            </w:pPr>
            <w:r w:rsidRPr="00DB1AEE">
              <w:rPr>
                <w:sz w:val="18"/>
                <w:szCs w:val="18"/>
                <w:u w:val="single"/>
              </w:rPr>
              <w:t>Restoration room</w:t>
            </w:r>
          </w:p>
        </w:tc>
        <w:tc>
          <w:tcPr>
            <w:tcW w:w="429" w:type="pct"/>
            <w:gridSpan w:val="2"/>
            <w:tcBorders>
              <w:top w:val="nil"/>
              <w:left w:val="nil"/>
              <w:bottom w:val="single" w:sz="4" w:space="0" w:color="auto"/>
              <w:right w:val="single" w:sz="4" w:space="0" w:color="auto"/>
            </w:tcBorders>
            <w:noWrap/>
            <w:hideMark/>
          </w:tcPr>
          <w:p w14:paraId="3CD006E0" w14:textId="77777777" w:rsidR="00DB1AEE" w:rsidRPr="00DB1AEE" w:rsidRDefault="00DB1AEE" w:rsidP="00DB1AEE">
            <w:pPr>
              <w:suppressAutoHyphens/>
              <w:jc w:val="left"/>
              <w:rPr>
                <w:strike/>
                <w:sz w:val="18"/>
                <w:szCs w:val="18"/>
                <w:u w:val="single"/>
              </w:rPr>
            </w:pPr>
            <w:r w:rsidRPr="00DB1AEE">
              <w:rPr>
                <w:sz w:val="18"/>
                <w:szCs w:val="18"/>
                <w:u w:val="single"/>
              </w:rPr>
              <w:t>0.77</w:t>
            </w:r>
          </w:p>
        </w:tc>
        <w:tc>
          <w:tcPr>
            <w:tcW w:w="330" w:type="pct"/>
            <w:tcBorders>
              <w:top w:val="nil"/>
              <w:left w:val="nil"/>
              <w:bottom w:val="single" w:sz="4" w:space="0" w:color="auto"/>
              <w:right w:val="single" w:sz="4" w:space="0" w:color="auto"/>
            </w:tcBorders>
            <w:noWrap/>
            <w:hideMark/>
          </w:tcPr>
          <w:p w14:paraId="13A4A1E9" w14:textId="77777777" w:rsidR="00DB1AEE" w:rsidRPr="00DB1AEE" w:rsidRDefault="00DB1AEE" w:rsidP="00DB1AEE">
            <w:pPr>
              <w:suppressAutoHyphens/>
              <w:jc w:val="center"/>
              <w:rPr>
                <w:sz w:val="18"/>
                <w:szCs w:val="18"/>
                <w:u w:val="single"/>
              </w:rPr>
            </w:pPr>
            <w:r w:rsidRPr="00DB1AEE">
              <w:rPr>
                <w:sz w:val="18"/>
                <w:szCs w:val="18"/>
                <w:u w:val="single"/>
              </w:rPr>
              <w:t>4</w:t>
            </w:r>
          </w:p>
        </w:tc>
        <w:tc>
          <w:tcPr>
            <w:tcW w:w="361" w:type="pct"/>
            <w:gridSpan w:val="2"/>
            <w:tcBorders>
              <w:top w:val="nil"/>
              <w:left w:val="nil"/>
              <w:bottom w:val="single" w:sz="4" w:space="0" w:color="auto"/>
              <w:right w:val="single" w:sz="4" w:space="0" w:color="auto"/>
            </w:tcBorders>
            <w:hideMark/>
          </w:tcPr>
          <w:p w14:paraId="2DE415A7"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63" w:type="pct"/>
            <w:gridSpan w:val="3"/>
            <w:tcBorders>
              <w:top w:val="nil"/>
              <w:left w:val="nil"/>
              <w:bottom w:val="single" w:sz="4" w:space="0" w:color="auto"/>
              <w:right w:val="single" w:sz="4" w:space="0" w:color="auto"/>
            </w:tcBorders>
            <w:hideMark/>
          </w:tcPr>
          <w:p w14:paraId="221F6F60" w14:textId="77777777" w:rsidR="00DB1AEE" w:rsidRPr="00DB1AEE" w:rsidRDefault="00DB1AEE" w:rsidP="00DB1AEE">
            <w:pPr>
              <w:suppressAutoHyphens/>
              <w:jc w:val="left"/>
              <w:rPr>
                <w:sz w:val="18"/>
                <w:szCs w:val="18"/>
                <w:u w:val="single"/>
              </w:rPr>
            </w:pPr>
            <w:r w:rsidRPr="00DB1AEE">
              <w:rPr>
                <w:sz w:val="18"/>
                <w:szCs w:val="18"/>
                <w:u w:val="single"/>
              </w:rPr>
              <w:t>ADD1</w:t>
            </w:r>
          </w:p>
        </w:tc>
        <w:tc>
          <w:tcPr>
            <w:tcW w:w="330" w:type="pct"/>
            <w:tcBorders>
              <w:top w:val="nil"/>
              <w:left w:val="nil"/>
              <w:bottom w:val="single" w:sz="4" w:space="0" w:color="auto"/>
              <w:right w:val="single" w:sz="4" w:space="0" w:color="auto"/>
            </w:tcBorders>
            <w:hideMark/>
          </w:tcPr>
          <w:p w14:paraId="2B008932"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364" w:type="pct"/>
            <w:gridSpan w:val="2"/>
            <w:tcBorders>
              <w:top w:val="nil"/>
              <w:left w:val="nil"/>
              <w:bottom w:val="single" w:sz="4" w:space="0" w:color="auto"/>
              <w:right w:val="single" w:sz="4" w:space="0" w:color="auto"/>
            </w:tcBorders>
            <w:hideMark/>
          </w:tcPr>
          <w:p w14:paraId="4E9C1C67" w14:textId="77777777" w:rsidR="00DB1AEE" w:rsidRPr="00DB1AEE" w:rsidRDefault="00DB1AEE" w:rsidP="00DB1AEE">
            <w:pPr>
              <w:suppressAutoHyphens/>
              <w:jc w:val="left"/>
              <w:rPr>
                <w:sz w:val="18"/>
                <w:szCs w:val="18"/>
                <w:u w:val="single"/>
              </w:rPr>
            </w:pPr>
            <w:r w:rsidRPr="00DB1AEE">
              <w:rPr>
                <w:sz w:val="18"/>
                <w:szCs w:val="18"/>
                <w:u w:val="single"/>
              </w:rPr>
              <w:t>REQ</w:t>
            </w:r>
          </w:p>
        </w:tc>
        <w:tc>
          <w:tcPr>
            <w:tcW w:w="427" w:type="pct"/>
            <w:gridSpan w:val="3"/>
            <w:tcBorders>
              <w:top w:val="nil"/>
              <w:left w:val="nil"/>
              <w:bottom w:val="single" w:sz="4" w:space="0" w:color="auto"/>
              <w:right w:val="single" w:sz="4" w:space="0" w:color="auto"/>
            </w:tcBorders>
            <w:hideMark/>
          </w:tcPr>
          <w:p w14:paraId="55FA8212"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97" w:type="pct"/>
            <w:tcBorders>
              <w:top w:val="nil"/>
              <w:left w:val="nil"/>
              <w:bottom w:val="single" w:sz="4" w:space="0" w:color="auto"/>
              <w:right w:val="single" w:sz="4" w:space="0" w:color="auto"/>
            </w:tcBorders>
            <w:hideMark/>
          </w:tcPr>
          <w:p w14:paraId="065CC08A"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63" w:type="pct"/>
            <w:tcBorders>
              <w:top w:val="nil"/>
              <w:left w:val="nil"/>
              <w:bottom w:val="single" w:sz="4" w:space="0" w:color="auto"/>
              <w:right w:val="single" w:sz="4" w:space="0" w:color="auto"/>
            </w:tcBorders>
            <w:vAlign w:val="bottom"/>
            <w:hideMark/>
          </w:tcPr>
          <w:p w14:paraId="2F531300"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418" w:type="pct"/>
            <w:gridSpan w:val="3"/>
            <w:tcBorders>
              <w:top w:val="nil"/>
              <w:left w:val="nil"/>
              <w:bottom w:val="single" w:sz="4" w:space="0" w:color="auto"/>
              <w:right w:val="single" w:sz="4" w:space="0" w:color="auto"/>
            </w:tcBorders>
            <w:hideMark/>
          </w:tcPr>
          <w:p w14:paraId="210CA891" w14:textId="77777777" w:rsidR="00DB1AEE" w:rsidRPr="00DB1AEE" w:rsidRDefault="00DB1AEE" w:rsidP="00DB1AEE">
            <w:pPr>
              <w:suppressAutoHyphens/>
              <w:jc w:val="left"/>
              <w:rPr>
                <w:sz w:val="18"/>
                <w:szCs w:val="18"/>
                <w:u w:val="single"/>
              </w:rPr>
            </w:pPr>
            <w:r w:rsidRPr="00DB1AEE">
              <w:rPr>
                <w:sz w:val="18"/>
                <w:szCs w:val="18"/>
                <w:u w:val="single"/>
              </w:rPr>
              <w:t>ADD2</w:t>
            </w:r>
          </w:p>
        </w:tc>
        <w:tc>
          <w:tcPr>
            <w:tcW w:w="323" w:type="pct"/>
            <w:tcBorders>
              <w:top w:val="nil"/>
              <w:left w:val="nil"/>
              <w:bottom w:val="single" w:sz="4" w:space="0" w:color="auto"/>
              <w:right w:val="single" w:sz="4" w:space="0" w:color="auto"/>
            </w:tcBorders>
            <w:hideMark/>
          </w:tcPr>
          <w:p w14:paraId="7DAB73AD" w14:textId="77777777" w:rsidR="00DB1AEE" w:rsidRPr="00DB1AEE" w:rsidRDefault="00DB1AEE" w:rsidP="00DB1AEE">
            <w:pPr>
              <w:suppressAutoHyphens/>
              <w:jc w:val="left"/>
              <w:rPr>
                <w:sz w:val="18"/>
                <w:szCs w:val="18"/>
                <w:u w:val="single"/>
              </w:rPr>
            </w:pPr>
            <w:r w:rsidRPr="00DB1AEE">
              <w:rPr>
                <w:sz w:val="18"/>
                <w:szCs w:val="18"/>
                <w:u w:val="single"/>
              </w:rPr>
              <w:t>ADD2</w:t>
            </w:r>
          </w:p>
        </w:tc>
      </w:tr>
      <w:tr w:rsidR="00DB1AEE" w:rsidRPr="00DB1AEE" w14:paraId="4918C68E" w14:textId="77777777" w:rsidTr="00FC1832">
        <w:trPr>
          <w:trHeight w:val="255"/>
        </w:trPr>
        <w:tc>
          <w:tcPr>
            <w:tcW w:w="896" w:type="pct"/>
            <w:tcBorders>
              <w:top w:val="nil"/>
              <w:left w:val="single" w:sz="4" w:space="0" w:color="auto"/>
              <w:bottom w:val="nil"/>
              <w:right w:val="single" w:sz="4" w:space="0" w:color="auto"/>
            </w:tcBorders>
            <w:hideMark/>
          </w:tcPr>
          <w:p w14:paraId="4AB4762D" w14:textId="77777777" w:rsidR="00DB1AEE" w:rsidRPr="00DB1AEE" w:rsidRDefault="00DB1AEE" w:rsidP="00DB1AEE">
            <w:pPr>
              <w:suppressAutoHyphens/>
              <w:jc w:val="left"/>
              <w:rPr>
                <w:sz w:val="18"/>
                <w:szCs w:val="18"/>
                <w:u w:val="single"/>
              </w:rPr>
            </w:pPr>
            <w:r w:rsidRPr="00DB1AEE">
              <w:rPr>
                <w:sz w:val="18"/>
                <w:szCs w:val="18"/>
                <w:u w:val="single"/>
              </w:rPr>
              <w:t>Performing Arts Theater—Dressing Room</w:t>
            </w:r>
          </w:p>
        </w:tc>
        <w:tc>
          <w:tcPr>
            <w:tcW w:w="429" w:type="pct"/>
            <w:gridSpan w:val="2"/>
            <w:tcBorders>
              <w:top w:val="nil"/>
              <w:left w:val="nil"/>
              <w:bottom w:val="single" w:sz="4" w:space="0" w:color="auto"/>
              <w:right w:val="single" w:sz="4" w:space="0" w:color="auto"/>
            </w:tcBorders>
            <w:noWrap/>
            <w:hideMark/>
          </w:tcPr>
          <w:p w14:paraId="08268B8C" w14:textId="77777777" w:rsidR="00DB1AEE" w:rsidRPr="00DB1AEE" w:rsidRDefault="00DB1AEE" w:rsidP="00DB1AEE">
            <w:pPr>
              <w:suppressAutoHyphens/>
              <w:jc w:val="left"/>
              <w:rPr>
                <w:strike/>
                <w:sz w:val="18"/>
                <w:szCs w:val="18"/>
                <w:u w:val="single"/>
              </w:rPr>
            </w:pPr>
            <w:r w:rsidRPr="00DB1AEE">
              <w:rPr>
                <w:sz w:val="18"/>
                <w:szCs w:val="18"/>
                <w:u w:val="single"/>
              </w:rPr>
              <w:t>0.35</w:t>
            </w:r>
          </w:p>
        </w:tc>
        <w:tc>
          <w:tcPr>
            <w:tcW w:w="330" w:type="pct"/>
            <w:tcBorders>
              <w:top w:val="nil"/>
              <w:left w:val="nil"/>
              <w:bottom w:val="single" w:sz="4" w:space="0" w:color="auto"/>
              <w:right w:val="single" w:sz="4" w:space="0" w:color="auto"/>
            </w:tcBorders>
            <w:noWrap/>
            <w:hideMark/>
          </w:tcPr>
          <w:p w14:paraId="49C41C40" w14:textId="77777777" w:rsidR="00DB1AEE" w:rsidRPr="00DB1AEE" w:rsidRDefault="00DB1AEE" w:rsidP="00DB1AEE">
            <w:pPr>
              <w:suppressAutoHyphens/>
              <w:jc w:val="center"/>
              <w:rPr>
                <w:sz w:val="18"/>
                <w:szCs w:val="18"/>
                <w:u w:val="single"/>
              </w:rPr>
            </w:pPr>
            <w:r w:rsidRPr="00DB1AEE">
              <w:rPr>
                <w:sz w:val="18"/>
                <w:szCs w:val="18"/>
                <w:u w:val="single"/>
              </w:rPr>
              <w:t>6</w:t>
            </w:r>
          </w:p>
        </w:tc>
        <w:tc>
          <w:tcPr>
            <w:tcW w:w="361" w:type="pct"/>
            <w:gridSpan w:val="2"/>
            <w:tcBorders>
              <w:top w:val="nil"/>
              <w:left w:val="nil"/>
              <w:bottom w:val="single" w:sz="4" w:space="0" w:color="auto"/>
              <w:right w:val="single" w:sz="4" w:space="0" w:color="auto"/>
            </w:tcBorders>
            <w:hideMark/>
          </w:tcPr>
          <w:p w14:paraId="037CAB68"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63" w:type="pct"/>
            <w:gridSpan w:val="3"/>
            <w:tcBorders>
              <w:top w:val="nil"/>
              <w:left w:val="nil"/>
              <w:bottom w:val="single" w:sz="4" w:space="0" w:color="auto"/>
              <w:right w:val="single" w:sz="4" w:space="0" w:color="auto"/>
            </w:tcBorders>
            <w:hideMark/>
          </w:tcPr>
          <w:p w14:paraId="60C85453" w14:textId="77777777" w:rsidR="00DB1AEE" w:rsidRPr="00DB1AEE" w:rsidRDefault="00DB1AEE" w:rsidP="00DB1AEE">
            <w:pPr>
              <w:suppressAutoHyphens/>
              <w:jc w:val="left"/>
              <w:rPr>
                <w:sz w:val="18"/>
                <w:szCs w:val="18"/>
                <w:u w:val="single"/>
              </w:rPr>
            </w:pPr>
            <w:r w:rsidRPr="00DB1AEE">
              <w:rPr>
                <w:sz w:val="18"/>
                <w:szCs w:val="18"/>
                <w:u w:val="single"/>
              </w:rPr>
              <w:t>ADD1</w:t>
            </w:r>
          </w:p>
        </w:tc>
        <w:tc>
          <w:tcPr>
            <w:tcW w:w="330" w:type="pct"/>
            <w:tcBorders>
              <w:top w:val="nil"/>
              <w:left w:val="nil"/>
              <w:bottom w:val="single" w:sz="4" w:space="0" w:color="auto"/>
              <w:right w:val="single" w:sz="4" w:space="0" w:color="auto"/>
            </w:tcBorders>
            <w:hideMark/>
          </w:tcPr>
          <w:p w14:paraId="0057E00E"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364" w:type="pct"/>
            <w:gridSpan w:val="2"/>
            <w:tcBorders>
              <w:top w:val="nil"/>
              <w:left w:val="nil"/>
              <w:bottom w:val="single" w:sz="4" w:space="0" w:color="auto"/>
              <w:right w:val="single" w:sz="4" w:space="0" w:color="auto"/>
            </w:tcBorders>
            <w:hideMark/>
          </w:tcPr>
          <w:p w14:paraId="463B1BC7" w14:textId="77777777" w:rsidR="00DB1AEE" w:rsidRPr="00DB1AEE" w:rsidRDefault="00DB1AEE" w:rsidP="00DB1AEE">
            <w:pPr>
              <w:suppressAutoHyphens/>
              <w:jc w:val="left"/>
              <w:rPr>
                <w:sz w:val="18"/>
                <w:szCs w:val="18"/>
                <w:u w:val="single"/>
              </w:rPr>
            </w:pPr>
            <w:r w:rsidRPr="00DB1AEE">
              <w:rPr>
                <w:sz w:val="18"/>
                <w:szCs w:val="18"/>
                <w:u w:val="single"/>
              </w:rPr>
              <w:t>REQ</w:t>
            </w:r>
          </w:p>
        </w:tc>
        <w:tc>
          <w:tcPr>
            <w:tcW w:w="427" w:type="pct"/>
            <w:gridSpan w:val="3"/>
            <w:tcBorders>
              <w:top w:val="nil"/>
              <w:left w:val="nil"/>
              <w:bottom w:val="single" w:sz="4" w:space="0" w:color="auto"/>
              <w:right w:val="single" w:sz="4" w:space="0" w:color="auto"/>
            </w:tcBorders>
            <w:hideMark/>
          </w:tcPr>
          <w:p w14:paraId="64A57EF4" w14:textId="77777777" w:rsidR="00DB1AEE" w:rsidRPr="00DB1AEE" w:rsidRDefault="00DB1AEE" w:rsidP="00DB1AEE">
            <w:pPr>
              <w:suppressAutoHyphens/>
              <w:jc w:val="center"/>
              <w:rPr>
                <w:sz w:val="18"/>
                <w:szCs w:val="18"/>
                <w:u w:val="single"/>
              </w:rPr>
            </w:pPr>
            <w:r w:rsidRPr="00DB1AEE">
              <w:rPr>
                <w:strike/>
                <w:sz w:val="18"/>
                <w:szCs w:val="18"/>
                <w:u w:val="single"/>
              </w:rPr>
              <w:t>REQ</w:t>
            </w:r>
          </w:p>
        </w:tc>
        <w:tc>
          <w:tcPr>
            <w:tcW w:w="397" w:type="pct"/>
            <w:tcBorders>
              <w:top w:val="nil"/>
              <w:left w:val="nil"/>
              <w:bottom w:val="single" w:sz="4" w:space="0" w:color="auto"/>
              <w:right w:val="single" w:sz="4" w:space="0" w:color="auto"/>
            </w:tcBorders>
            <w:hideMark/>
          </w:tcPr>
          <w:p w14:paraId="3C0440D1" w14:textId="77777777" w:rsidR="00DB1AEE" w:rsidRPr="00DB1AEE" w:rsidRDefault="00DB1AEE" w:rsidP="00DB1AEE">
            <w:pPr>
              <w:suppressAutoHyphens/>
              <w:jc w:val="center"/>
              <w:rPr>
                <w:sz w:val="18"/>
                <w:szCs w:val="18"/>
                <w:u w:val="single"/>
              </w:rPr>
            </w:pPr>
            <w:r w:rsidRPr="00DB1AEE">
              <w:rPr>
                <w:strike/>
                <w:sz w:val="18"/>
                <w:szCs w:val="18"/>
                <w:u w:val="single"/>
              </w:rPr>
              <w:t>REQ</w:t>
            </w:r>
          </w:p>
        </w:tc>
        <w:tc>
          <w:tcPr>
            <w:tcW w:w="363" w:type="pct"/>
            <w:tcBorders>
              <w:top w:val="nil"/>
              <w:left w:val="nil"/>
              <w:bottom w:val="single" w:sz="4" w:space="0" w:color="auto"/>
              <w:right w:val="single" w:sz="4" w:space="0" w:color="auto"/>
            </w:tcBorders>
            <w:vAlign w:val="center"/>
            <w:hideMark/>
          </w:tcPr>
          <w:p w14:paraId="0A37542A"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418" w:type="pct"/>
            <w:gridSpan w:val="3"/>
            <w:tcBorders>
              <w:top w:val="nil"/>
              <w:left w:val="nil"/>
              <w:bottom w:val="single" w:sz="4" w:space="0" w:color="auto"/>
              <w:right w:val="single" w:sz="4" w:space="0" w:color="auto"/>
            </w:tcBorders>
            <w:hideMark/>
          </w:tcPr>
          <w:p w14:paraId="07A4989E" w14:textId="77777777" w:rsidR="00DB1AEE" w:rsidRPr="00DB1AEE" w:rsidRDefault="00DB1AEE" w:rsidP="00DB1AEE">
            <w:pPr>
              <w:suppressAutoHyphens/>
              <w:jc w:val="left"/>
              <w:rPr>
                <w:sz w:val="18"/>
                <w:szCs w:val="18"/>
                <w:u w:val="single"/>
              </w:rPr>
            </w:pPr>
            <w:r w:rsidRPr="00DB1AEE">
              <w:rPr>
                <w:sz w:val="18"/>
                <w:szCs w:val="18"/>
                <w:u w:val="single"/>
              </w:rPr>
              <w:t>REQ</w:t>
            </w:r>
          </w:p>
        </w:tc>
        <w:tc>
          <w:tcPr>
            <w:tcW w:w="323" w:type="pct"/>
            <w:tcBorders>
              <w:top w:val="nil"/>
              <w:left w:val="nil"/>
              <w:bottom w:val="single" w:sz="4" w:space="0" w:color="auto"/>
              <w:right w:val="single" w:sz="4" w:space="0" w:color="auto"/>
            </w:tcBorders>
            <w:vAlign w:val="center"/>
            <w:hideMark/>
          </w:tcPr>
          <w:p w14:paraId="507F9234" w14:textId="77777777" w:rsidR="00DB1AEE" w:rsidRPr="00DB1AEE" w:rsidRDefault="00DB1AEE" w:rsidP="00DB1AEE">
            <w:pPr>
              <w:suppressAutoHyphens/>
              <w:jc w:val="left"/>
              <w:rPr>
                <w:sz w:val="18"/>
                <w:szCs w:val="18"/>
                <w:u w:val="single"/>
              </w:rPr>
            </w:pPr>
            <w:r w:rsidRPr="00DB1AEE">
              <w:rPr>
                <w:sz w:val="18"/>
                <w:szCs w:val="18"/>
                <w:u w:val="single"/>
              </w:rPr>
              <w:t> </w:t>
            </w:r>
          </w:p>
        </w:tc>
      </w:tr>
      <w:tr w:rsidR="00DB1AEE" w:rsidRPr="00DB1AEE" w14:paraId="6D3A9FBF" w14:textId="77777777" w:rsidTr="00FC1832">
        <w:trPr>
          <w:trHeight w:val="300"/>
        </w:trPr>
        <w:tc>
          <w:tcPr>
            <w:tcW w:w="896" w:type="pct"/>
            <w:tcBorders>
              <w:top w:val="single" w:sz="4" w:space="0" w:color="auto"/>
              <w:left w:val="single" w:sz="4" w:space="0" w:color="auto"/>
              <w:bottom w:val="single" w:sz="4" w:space="0" w:color="auto"/>
              <w:right w:val="single" w:sz="4" w:space="0" w:color="auto"/>
            </w:tcBorders>
            <w:hideMark/>
          </w:tcPr>
          <w:p w14:paraId="5686247B" w14:textId="77777777" w:rsidR="00DB1AEE" w:rsidRPr="00DB1AEE" w:rsidRDefault="00DB1AEE" w:rsidP="00DB1AEE">
            <w:pPr>
              <w:suppressAutoHyphens/>
              <w:jc w:val="left"/>
              <w:rPr>
                <w:sz w:val="18"/>
                <w:szCs w:val="18"/>
                <w:u w:val="single"/>
              </w:rPr>
            </w:pPr>
            <w:r w:rsidRPr="00DB1AEE">
              <w:rPr>
                <w:sz w:val="18"/>
                <w:szCs w:val="18"/>
                <w:u w:val="single"/>
              </w:rPr>
              <w:t>Post Office—Sorting Area</w:t>
            </w:r>
          </w:p>
        </w:tc>
        <w:tc>
          <w:tcPr>
            <w:tcW w:w="429" w:type="pct"/>
            <w:gridSpan w:val="2"/>
            <w:tcBorders>
              <w:top w:val="nil"/>
              <w:left w:val="nil"/>
              <w:bottom w:val="single" w:sz="4" w:space="0" w:color="auto"/>
              <w:right w:val="single" w:sz="4" w:space="0" w:color="auto"/>
            </w:tcBorders>
            <w:noWrap/>
            <w:hideMark/>
          </w:tcPr>
          <w:p w14:paraId="733255ED" w14:textId="77777777" w:rsidR="00DB1AEE" w:rsidRPr="00DB1AEE" w:rsidRDefault="00DB1AEE" w:rsidP="00DB1AEE">
            <w:pPr>
              <w:suppressAutoHyphens/>
              <w:jc w:val="left"/>
              <w:rPr>
                <w:sz w:val="18"/>
                <w:szCs w:val="18"/>
                <w:u w:val="single"/>
              </w:rPr>
            </w:pPr>
            <w:r w:rsidRPr="00DB1AEE">
              <w:rPr>
                <w:sz w:val="18"/>
                <w:szCs w:val="18"/>
                <w:u w:val="single"/>
              </w:rPr>
              <w:t>0. 1</w:t>
            </w:r>
          </w:p>
        </w:tc>
        <w:tc>
          <w:tcPr>
            <w:tcW w:w="330" w:type="pct"/>
            <w:tcBorders>
              <w:top w:val="nil"/>
              <w:left w:val="nil"/>
              <w:bottom w:val="single" w:sz="4" w:space="0" w:color="auto"/>
              <w:right w:val="single" w:sz="4" w:space="0" w:color="auto"/>
            </w:tcBorders>
            <w:noWrap/>
            <w:hideMark/>
          </w:tcPr>
          <w:p w14:paraId="6D175DBB" w14:textId="77777777" w:rsidR="00DB1AEE" w:rsidRPr="00DB1AEE" w:rsidRDefault="00DB1AEE" w:rsidP="00DB1AEE">
            <w:pPr>
              <w:suppressAutoHyphens/>
              <w:jc w:val="center"/>
              <w:rPr>
                <w:sz w:val="18"/>
                <w:szCs w:val="18"/>
                <w:u w:val="single"/>
              </w:rPr>
            </w:pPr>
            <w:r w:rsidRPr="00DB1AEE">
              <w:rPr>
                <w:sz w:val="18"/>
                <w:szCs w:val="18"/>
                <w:u w:val="single"/>
              </w:rPr>
              <w:t>4</w:t>
            </w:r>
          </w:p>
        </w:tc>
        <w:tc>
          <w:tcPr>
            <w:tcW w:w="361" w:type="pct"/>
            <w:gridSpan w:val="2"/>
            <w:tcBorders>
              <w:top w:val="nil"/>
              <w:left w:val="nil"/>
              <w:bottom w:val="single" w:sz="4" w:space="0" w:color="auto"/>
              <w:right w:val="single" w:sz="4" w:space="0" w:color="auto"/>
            </w:tcBorders>
            <w:hideMark/>
          </w:tcPr>
          <w:p w14:paraId="3473B9DB"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63" w:type="pct"/>
            <w:gridSpan w:val="3"/>
            <w:tcBorders>
              <w:top w:val="nil"/>
              <w:left w:val="nil"/>
              <w:bottom w:val="single" w:sz="4" w:space="0" w:color="auto"/>
              <w:right w:val="single" w:sz="4" w:space="0" w:color="auto"/>
            </w:tcBorders>
            <w:hideMark/>
          </w:tcPr>
          <w:p w14:paraId="56ADE830" w14:textId="77777777" w:rsidR="00DB1AEE" w:rsidRPr="00DB1AEE" w:rsidRDefault="00DB1AEE" w:rsidP="00DB1AEE">
            <w:pPr>
              <w:suppressAutoHyphens/>
              <w:jc w:val="left"/>
              <w:rPr>
                <w:sz w:val="18"/>
                <w:szCs w:val="18"/>
                <w:u w:val="single"/>
              </w:rPr>
            </w:pPr>
            <w:r w:rsidRPr="00DB1AEE">
              <w:rPr>
                <w:sz w:val="18"/>
                <w:szCs w:val="18"/>
                <w:u w:val="single"/>
              </w:rPr>
              <w:t>ADD1</w:t>
            </w:r>
          </w:p>
        </w:tc>
        <w:tc>
          <w:tcPr>
            <w:tcW w:w="330" w:type="pct"/>
            <w:tcBorders>
              <w:top w:val="nil"/>
              <w:left w:val="nil"/>
              <w:bottom w:val="single" w:sz="4" w:space="0" w:color="auto"/>
              <w:right w:val="single" w:sz="4" w:space="0" w:color="auto"/>
            </w:tcBorders>
            <w:hideMark/>
          </w:tcPr>
          <w:p w14:paraId="68B16D46"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364" w:type="pct"/>
            <w:gridSpan w:val="2"/>
            <w:tcBorders>
              <w:top w:val="nil"/>
              <w:left w:val="nil"/>
              <w:bottom w:val="single" w:sz="4" w:space="0" w:color="auto"/>
              <w:right w:val="single" w:sz="4" w:space="0" w:color="auto"/>
            </w:tcBorders>
            <w:hideMark/>
          </w:tcPr>
          <w:p w14:paraId="79BA0F96" w14:textId="77777777" w:rsidR="00DB1AEE" w:rsidRPr="00DB1AEE" w:rsidRDefault="00DB1AEE" w:rsidP="00DB1AEE">
            <w:pPr>
              <w:suppressAutoHyphens/>
              <w:jc w:val="left"/>
              <w:rPr>
                <w:sz w:val="18"/>
                <w:szCs w:val="18"/>
                <w:u w:val="single"/>
              </w:rPr>
            </w:pPr>
          </w:p>
        </w:tc>
        <w:tc>
          <w:tcPr>
            <w:tcW w:w="427" w:type="pct"/>
            <w:gridSpan w:val="3"/>
            <w:tcBorders>
              <w:top w:val="nil"/>
              <w:left w:val="nil"/>
              <w:bottom w:val="single" w:sz="4" w:space="0" w:color="auto"/>
              <w:right w:val="single" w:sz="4" w:space="0" w:color="auto"/>
            </w:tcBorders>
            <w:hideMark/>
          </w:tcPr>
          <w:p w14:paraId="71F4E2AD"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97" w:type="pct"/>
            <w:tcBorders>
              <w:top w:val="nil"/>
              <w:left w:val="nil"/>
              <w:bottom w:val="single" w:sz="4" w:space="0" w:color="auto"/>
              <w:right w:val="single" w:sz="4" w:space="0" w:color="auto"/>
            </w:tcBorders>
            <w:hideMark/>
          </w:tcPr>
          <w:p w14:paraId="5AA90A58"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63" w:type="pct"/>
            <w:tcBorders>
              <w:top w:val="nil"/>
              <w:left w:val="nil"/>
              <w:bottom w:val="single" w:sz="4" w:space="0" w:color="auto"/>
              <w:right w:val="single" w:sz="4" w:space="0" w:color="auto"/>
            </w:tcBorders>
            <w:hideMark/>
          </w:tcPr>
          <w:p w14:paraId="21FEC9C8" w14:textId="77777777" w:rsidR="00DB1AEE" w:rsidRPr="00DB1AEE" w:rsidRDefault="00DB1AEE" w:rsidP="00DB1AEE">
            <w:pPr>
              <w:suppressAutoHyphens/>
              <w:jc w:val="left"/>
              <w:rPr>
                <w:sz w:val="18"/>
                <w:szCs w:val="18"/>
                <w:u w:val="single"/>
              </w:rPr>
            </w:pPr>
            <w:r w:rsidRPr="00DB1AEE">
              <w:rPr>
                <w:sz w:val="18"/>
                <w:szCs w:val="18"/>
                <w:u w:val="single"/>
              </w:rPr>
              <w:t>REQ</w:t>
            </w:r>
          </w:p>
        </w:tc>
        <w:tc>
          <w:tcPr>
            <w:tcW w:w="418" w:type="pct"/>
            <w:gridSpan w:val="3"/>
            <w:tcBorders>
              <w:top w:val="nil"/>
              <w:left w:val="nil"/>
              <w:bottom w:val="single" w:sz="4" w:space="0" w:color="auto"/>
              <w:right w:val="single" w:sz="4" w:space="0" w:color="auto"/>
            </w:tcBorders>
            <w:hideMark/>
          </w:tcPr>
          <w:p w14:paraId="468FC224" w14:textId="77777777" w:rsidR="00DB1AEE" w:rsidRPr="00DB1AEE" w:rsidRDefault="00DB1AEE" w:rsidP="00DB1AEE">
            <w:pPr>
              <w:suppressAutoHyphens/>
              <w:jc w:val="left"/>
              <w:rPr>
                <w:sz w:val="18"/>
                <w:szCs w:val="18"/>
                <w:u w:val="single"/>
              </w:rPr>
            </w:pPr>
            <w:r w:rsidRPr="00DB1AEE">
              <w:rPr>
                <w:sz w:val="18"/>
                <w:szCs w:val="18"/>
                <w:u w:val="single"/>
              </w:rPr>
              <w:t>ADD2</w:t>
            </w:r>
          </w:p>
        </w:tc>
        <w:tc>
          <w:tcPr>
            <w:tcW w:w="323" w:type="pct"/>
            <w:tcBorders>
              <w:top w:val="nil"/>
              <w:left w:val="nil"/>
              <w:bottom w:val="single" w:sz="4" w:space="0" w:color="auto"/>
              <w:right w:val="single" w:sz="4" w:space="0" w:color="auto"/>
            </w:tcBorders>
            <w:hideMark/>
          </w:tcPr>
          <w:p w14:paraId="1417B9AB" w14:textId="77777777" w:rsidR="00DB1AEE" w:rsidRPr="00DB1AEE" w:rsidRDefault="00DB1AEE" w:rsidP="00DB1AEE">
            <w:pPr>
              <w:suppressAutoHyphens/>
              <w:jc w:val="left"/>
              <w:rPr>
                <w:sz w:val="18"/>
                <w:szCs w:val="18"/>
                <w:u w:val="single"/>
              </w:rPr>
            </w:pPr>
            <w:r w:rsidRPr="00DB1AEE">
              <w:rPr>
                <w:sz w:val="18"/>
                <w:szCs w:val="18"/>
                <w:u w:val="single"/>
              </w:rPr>
              <w:t>ADD2</w:t>
            </w:r>
          </w:p>
        </w:tc>
      </w:tr>
      <w:tr w:rsidR="00DB1AEE" w:rsidRPr="00DB1AEE" w14:paraId="7659AD83" w14:textId="77777777" w:rsidTr="00FC1832">
        <w:trPr>
          <w:trHeight w:val="300"/>
        </w:trPr>
        <w:tc>
          <w:tcPr>
            <w:tcW w:w="896" w:type="pct"/>
            <w:tcBorders>
              <w:top w:val="nil"/>
              <w:left w:val="single" w:sz="4" w:space="0" w:color="auto"/>
              <w:bottom w:val="single" w:sz="4" w:space="0" w:color="auto"/>
              <w:right w:val="nil"/>
            </w:tcBorders>
            <w:hideMark/>
          </w:tcPr>
          <w:p w14:paraId="7D0F5F4A" w14:textId="77777777" w:rsidR="00DB1AEE" w:rsidRPr="00DB1AEE" w:rsidRDefault="00DB1AEE" w:rsidP="00DB1AEE">
            <w:pPr>
              <w:suppressAutoHyphens/>
              <w:jc w:val="left"/>
              <w:rPr>
                <w:sz w:val="18"/>
                <w:szCs w:val="18"/>
                <w:u w:val="single"/>
              </w:rPr>
            </w:pPr>
            <w:r w:rsidRPr="00DB1AEE">
              <w:rPr>
                <w:sz w:val="18"/>
                <w:szCs w:val="18"/>
                <w:u w:val="single"/>
              </w:rPr>
              <w:t>Religious Facility</w:t>
            </w:r>
          </w:p>
        </w:tc>
        <w:tc>
          <w:tcPr>
            <w:tcW w:w="429" w:type="pct"/>
            <w:gridSpan w:val="2"/>
            <w:tcBorders>
              <w:top w:val="nil"/>
              <w:left w:val="nil"/>
              <w:bottom w:val="single" w:sz="4" w:space="0" w:color="auto"/>
              <w:right w:val="single" w:sz="4" w:space="0" w:color="auto"/>
            </w:tcBorders>
            <w:hideMark/>
          </w:tcPr>
          <w:p w14:paraId="51C7924B" w14:textId="77777777" w:rsidR="00DB1AEE" w:rsidRPr="00DB1AEE" w:rsidRDefault="00DB1AEE" w:rsidP="00DB1AEE">
            <w:pPr>
              <w:suppressAutoHyphens/>
              <w:jc w:val="left"/>
              <w:rPr>
                <w:strike/>
                <w:sz w:val="18"/>
                <w:szCs w:val="18"/>
                <w:u w:val="single"/>
              </w:rPr>
            </w:pPr>
            <w:r w:rsidRPr="00DB1AEE">
              <w:rPr>
                <w:strike/>
                <w:sz w:val="18"/>
                <w:szCs w:val="18"/>
                <w:u w:val="single"/>
              </w:rPr>
              <w:t> </w:t>
            </w:r>
          </w:p>
          <w:p w14:paraId="70441D30"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330" w:type="pct"/>
            <w:tcBorders>
              <w:top w:val="nil"/>
              <w:left w:val="single" w:sz="4" w:space="0" w:color="auto"/>
              <w:bottom w:val="single" w:sz="4" w:space="0" w:color="auto"/>
              <w:right w:val="single" w:sz="4" w:space="0" w:color="auto"/>
            </w:tcBorders>
            <w:vAlign w:val="bottom"/>
            <w:hideMark/>
          </w:tcPr>
          <w:p w14:paraId="0020A165"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361" w:type="pct"/>
            <w:gridSpan w:val="2"/>
            <w:tcBorders>
              <w:top w:val="nil"/>
              <w:left w:val="nil"/>
              <w:bottom w:val="single" w:sz="4" w:space="0" w:color="auto"/>
              <w:right w:val="nil"/>
            </w:tcBorders>
            <w:hideMark/>
          </w:tcPr>
          <w:p w14:paraId="7EDC42FB" w14:textId="77777777" w:rsidR="00DB1AEE" w:rsidRPr="00DB1AEE" w:rsidRDefault="00DB1AEE" w:rsidP="00DB1AEE">
            <w:pPr>
              <w:suppressAutoHyphens/>
              <w:jc w:val="center"/>
              <w:rPr>
                <w:sz w:val="18"/>
                <w:szCs w:val="18"/>
                <w:u w:val="single"/>
              </w:rPr>
            </w:pPr>
            <w:r w:rsidRPr="00DB1AEE">
              <w:rPr>
                <w:sz w:val="18"/>
                <w:szCs w:val="18"/>
                <w:u w:val="single"/>
              </w:rPr>
              <w:t> </w:t>
            </w:r>
          </w:p>
        </w:tc>
        <w:tc>
          <w:tcPr>
            <w:tcW w:w="363" w:type="pct"/>
            <w:gridSpan w:val="3"/>
            <w:tcBorders>
              <w:top w:val="nil"/>
              <w:left w:val="nil"/>
              <w:bottom w:val="single" w:sz="4" w:space="0" w:color="auto"/>
              <w:right w:val="nil"/>
            </w:tcBorders>
            <w:hideMark/>
          </w:tcPr>
          <w:p w14:paraId="6302863A"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330" w:type="pct"/>
            <w:tcBorders>
              <w:top w:val="nil"/>
              <w:left w:val="nil"/>
              <w:bottom w:val="single" w:sz="4" w:space="0" w:color="auto"/>
              <w:right w:val="nil"/>
            </w:tcBorders>
            <w:hideMark/>
          </w:tcPr>
          <w:p w14:paraId="72E44EA3" w14:textId="77777777" w:rsidR="00DB1AEE" w:rsidRPr="00DB1AEE" w:rsidRDefault="00DB1AEE" w:rsidP="00DB1AEE">
            <w:pPr>
              <w:suppressAutoHyphens/>
              <w:jc w:val="center"/>
              <w:rPr>
                <w:sz w:val="18"/>
                <w:szCs w:val="18"/>
                <w:u w:val="single"/>
              </w:rPr>
            </w:pPr>
            <w:r w:rsidRPr="00DB1AEE">
              <w:rPr>
                <w:sz w:val="18"/>
                <w:szCs w:val="18"/>
                <w:u w:val="single"/>
              </w:rPr>
              <w:t> </w:t>
            </w:r>
          </w:p>
        </w:tc>
        <w:tc>
          <w:tcPr>
            <w:tcW w:w="364" w:type="pct"/>
            <w:gridSpan w:val="2"/>
            <w:tcBorders>
              <w:top w:val="nil"/>
              <w:left w:val="nil"/>
              <w:bottom w:val="single" w:sz="4" w:space="0" w:color="auto"/>
              <w:right w:val="nil"/>
            </w:tcBorders>
            <w:hideMark/>
          </w:tcPr>
          <w:p w14:paraId="3BA9AED0"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427" w:type="pct"/>
            <w:gridSpan w:val="3"/>
            <w:tcBorders>
              <w:top w:val="nil"/>
              <w:left w:val="nil"/>
              <w:bottom w:val="single" w:sz="4" w:space="0" w:color="auto"/>
              <w:right w:val="nil"/>
            </w:tcBorders>
            <w:hideMark/>
          </w:tcPr>
          <w:p w14:paraId="77A4351B" w14:textId="77777777" w:rsidR="00DB1AEE" w:rsidRPr="00DB1AEE" w:rsidRDefault="00DB1AEE" w:rsidP="00DB1AEE">
            <w:pPr>
              <w:suppressAutoHyphens/>
              <w:jc w:val="center"/>
              <w:rPr>
                <w:sz w:val="18"/>
                <w:szCs w:val="18"/>
                <w:u w:val="single"/>
              </w:rPr>
            </w:pPr>
            <w:r w:rsidRPr="00DB1AEE">
              <w:rPr>
                <w:sz w:val="18"/>
                <w:szCs w:val="18"/>
                <w:u w:val="single"/>
              </w:rPr>
              <w:t> </w:t>
            </w:r>
          </w:p>
        </w:tc>
        <w:tc>
          <w:tcPr>
            <w:tcW w:w="397" w:type="pct"/>
            <w:tcBorders>
              <w:top w:val="nil"/>
              <w:left w:val="nil"/>
              <w:bottom w:val="single" w:sz="4" w:space="0" w:color="auto"/>
              <w:right w:val="nil"/>
            </w:tcBorders>
            <w:hideMark/>
          </w:tcPr>
          <w:p w14:paraId="71963AF3" w14:textId="77777777" w:rsidR="00DB1AEE" w:rsidRPr="00DB1AEE" w:rsidRDefault="00DB1AEE" w:rsidP="00DB1AEE">
            <w:pPr>
              <w:suppressAutoHyphens/>
              <w:jc w:val="center"/>
              <w:rPr>
                <w:sz w:val="18"/>
                <w:szCs w:val="18"/>
                <w:u w:val="single"/>
              </w:rPr>
            </w:pPr>
            <w:r w:rsidRPr="00DB1AEE">
              <w:rPr>
                <w:sz w:val="18"/>
                <w:szCs w:val="18"/>
                <w:u w:val="single"/>
              </w:rPr>
              <w:t> </w:t>
            </w:r>
          </w:p>
        </w:tc>
        <w:tc>
          <w:tcPr>
            <w:tcW w:w="363" w:type="pct"/>
            <w:tcBorders>
              <w:top w:val="nil"/>
              <w:left w:val="nil"/>
              <w:bottom w:val="single" w:sz="4" w:space="0" w:color="auto"/>
              <w:right w:val="nil"/>
            </w:tcBorders>
            <w:hideMark/>
          </w:tcPr>
          <w:p w14:paraId="2B607D15"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418" w:type="pct"/>
            <w:gridSpan w:val="3"/>
            <w:tcBorders>
              <w:top w:val="nil"/>
              <w:left w:val="nil"/>
              <w:bottom w:val="single" w:sz="4" w:space="0" w:color="auto"/>
              <w:right w:val="nil"/>
            </w:tcBorders>
            <w:hideMark/>
          </w:tcPr>
          <w:p w14:paraId="2FAB4B66"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323" w:type="pct"/>
            <w:tcBorders>
              <w:top w:val="nil"/>
              <w:left w:val="nil"/>
              <w:bottom w:val="single" w:sz="4" w:space="0" w:color="auto"/>
              <w:right w:val="single" w:sz="4" w:space="0" w:color="auto"/>
            </w:tcBorders>
            <w:hideMark/>
          </w:tcPr>
          <w:p w14:paraId="59784771" w14:textId="77777777" w:rsidR="00DB1AEE" w:rsidRPr="00DB1AEE" w:rsidRDefault="00DB1AEE" w:rsidP="00DB1AEE">
            <w:pPr>
              <w:suppressAutoHyphens/>
              <w:jc w:val="left"/>
              <w:rPr>
                <w:sz w:val="18"/>
                <w:szCs w:val="18"/>
                <w:u w:val="single"/>
              </w:rPr>
            </w:pPr>
            <w:r w:rsidRPr="00DB1AEE">
              <w:rPr>
                <w:sz w:val="18"/>
                <w:szCs w:val="18"/>
                <w:u w:val="single"/>
              </w:rPr>
              <w:t> </w:t>
            </w:r>
          </w:p>
        </w:tc>
      </w:tr>
      <w:tr w:rsidR="00DB1AEE" w:rsidRPr="00DB1AEE" w14:paraId="074A9570" w14:textId="77777777" w:rsidTr="00FC1832">
        <w:trPr>
          <w:trHeight w:val="300"/>
        </w:trPr>
        <w:tc>
          <w:tcPr>
            <w:tcW w:w="896" w:type="pct"/>
            <w:tcBorders>
              <w:top w:val="nil"/>
              <w:left w:val="single" w:sz="4" w:space="0" w:color="auto"/>
              <w:bottom w:val="single" w:sz="4" w:space="0" w:color="auto"/>
              <w:right w:val="single" w:sz="4" w:space="0" w:color="auto"/>
            </w:tcBorders>
            <w:hideMark/>
          </w:tcPr>
          <w:p w14:paraId="69627745" w14:textId="77777777" w:rsidR="00DB1AEE" w:rsidRPr="00DB1AEE" w:rsidRDefault="00DB1AEE" w:rsidP="00DB1AEE">
            <w:pPr>
              <w:suppressAutoHyphens/>
              <w:jc w:val="left"/>
              <w:rPr>
                <w:sz w:val="18"/>
                <w:szCs w:val="18"/>
                <w:u w:val="single"/>
              </w:rPr>
            </w:pPr>
            <w:r w:rsidRPr="00DB1AEE">
              <w:rPr>
                <w:sz w:val="18"/>
                <w:szCs w:val="18"/>
                <w:u w:val="single"/>
              </w:rPr>
              <w:t>Audience seating area</w:t>
            </w:r>
          </w:p>
        </w:tc>
        <w:tc>
          <w:tcPr>
            <w:tcW w:w="429" w:type="pct"/>
            <w:gridSpan w:val="2"/>
            <w:tcBorders>
              <w:top w:val="nil"/>
              <w:left w:val="nil"/>
              <w:bottom w:val="single" w:sz="4" w:space="0" w:color="auto"/>
              <w:right w:val="single" w:sz="4" w:space="0" w:color="auto"/>
            </w:tcBorders>
            <w:hideMark/>
          </w:tcPr>
          <w:p w14:paraId="01867580" w14:textId="77777777" w:rsidR="00DB1AEE" w:rsidRPr="00DB1AEE" w:rsidRDefault="00DB1AEE" w:rsidP="00DB1AEE">
            <w:pPr>
              <w:suppressAutoHyphens/>
              <w:jc w:val="left"/>
              <w:rPr>
                <w:strike/>
                <w:sz w:val="18"/>
                <w:szCs w:val="18"/>
                <w:u w:val="single"/>
              </w:rPr>
            </w:pPr>
            <w:r w:rsidRPr="00DB1AEE">
              <w:rPr>
                <w:strike/>
                <w:sz w:val="18"/>
                <w:szCs w:val="18"/>
                <w:u w:val="single"/>
              </w:rPr>
              <w:t> </w:t>
            </w:r>
          </w:p>
          <w:p w14:paraId="1E566467" w14:textId="77777777" w:rsidR="00DB1AEE" w:rsidRPr="00DB1AEE" w:rsidRDefault="00DB1AEE" w:rsidP="00DB1AEE">
            <w:pPr>
              <w:suppressAutoHyphens/>
              <w:jc w:val="left"/>
              <w:rPr>
                <w:sz w:val="18"/>
                <w:szCs w:val="18"/>
                <w:u w:val="single"/>
              </w:rPr>
            </w:pPr>
            <w:r w:rsidRPr="00DB1AEE">
              <w:rPr>
                <w:sz w:val="18"/>
                <w:szCs w:val="18"/>
                <w:u w:val="single"/>
              </w:rPr>
              <w:t>0. 2</w:t>
            </w:r>
          </w:p>
        </w:tc>
        <w:tc>
          <w:tcPr>
            <w:tcW w:w="330" w:type="pct"/>
            <w:tcBorders>
              <w:top w:val="nil"/>
              <w:left w:val="single" w:sz="4" w:space="0" w:color="auto"/>
              <w:bottom w:val="single" w:sz="4" w:space="0" w:color="auto"/>
              <w:right w:val="single" w:sz="4" w:space="0" w:color="auto"/>
            </w:tcBorders>
            <w:noWrap/>
            <w:hideMark/>
          </w:tcPr>
          <w:p w14:paraId="73568009" w14:textId="77777777" w:rsidR="00DB1AEE" w:rsidRPr="00DB1AEE" w:rsidRDefault="00DB1AEE" w:rsidP="00DB1AEE">
            <w:pPr>
              <w:suppressAutoHyphens/>
              <w:jc w:val="center"/>
              <w:rPr>
                <w:sz w:val="18"/>
                <w:szCs w:val="18"/>
                <w:u w:val="single"/>
              </w:rPr>
            </w:pPr>
            <w:r w:rsidRPr="00DB1AEE">
              <w:rPr>
                <w:sz w:val="18"/>
                <w:szCs w:val="18"/>
                <w:u w:val="single"/>
              </w:rPr>
              <w:t>4</w:t>
            </w:r>
          </w:p>
        </w:tc>
        <w:tc>
          <w:tcPr>
            <w:tcW w:w="361" w:type="pct"/>
            <w:gridSpan w:val="2"/>
            <w:tcBorders>
              <w:top w:val="nil"/>
              <w:left w:val="nil"/>
              <w:bottom w:val="single" w:sz="4" w:space="0" w:color="auto"/>
              <w:right w:val="single" w:sz="4" w:space="0" w:color="auto"/>
            </w:tcBorders>
            <w:hideMark/>
          </w:tcPr>
          <w:p w14:paraId="587ABC96"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63" w:type="pct"/>
            <w:gridSpan w:val="3"/>
            <w:tcBorders>
              <w:top w:val="nil"/>
              <w:left w:val="nil"/>
              <w:bottom w:val="single" w:sz="4" w:space="0" w:color="auto"/>
              <w:right w:val="nil"/>
            </w:tcBorders>
            <w:hideMark/>
          </w:tcPr>
          <w:p w14:paraId="77A1AA85"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330" w:type="pct"/>
            <w:tcBorders>
              <w:top w:val="nil"/>
              <w:left w:val="nil"/>
              <w:bottom w:val="single" w:sz="4" w:space="0" w:color="auto"/>
              <w:right w:val="nil"/>
            </w:tcBorders>
            <w:hideMark/>
          </w:tcPr>
          <w:p w14:paraId="10179CF7" w14:textId="77777777" w:rsidR="00DB1AEE" w:rsidRPr="00DB1AEE" w:rsidRDefault="00DB1AEE" w:rsidP="00DB1AEE">
            <w:pPr>
              <w:suppressAutoHyphens/>
              <w:jc w:val="center"/>
              <w:rPr>
                <w:sz w:val="18"/>
                <w:szCs w:val="18"/>
                <w:u w:val="single"/>
              </w:rPr>
            </w:pPr>
            <w:r w:rsidRPr="00DB1AEE">
              <w:rPr>
                <w:sz w:val="18"/>
                <w:szCs w:val="18"/>
                <w:u w:val="single"/>
              </w:rPr>
              <w:t> </w:t>
            </w:r>
          </w:p>
        </w:tc>
        <w:tc>
          <w:tcPr>
            <w:tcW w:w="364" w:type="pct"/>
            <w:gridSpan w:val="2"/>
            <w:tcBorders>
              <w:top w:val="nil"/>
              <w:left w:val="single" w:sz="4" w:space="0" w:color="auto"/>
              <w:bottom w:val="single" w:sz="4" w:space="0" w:color="auto"/>
              <w:right w:val="single" w:sz="4" w:space="0" w:color="auto"/>
            </w:tcBorders>
            <w:hideMark/>
          </w:tcPr>
          <w:p w14:paraId="74ED71E4"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427" w:type="pct"/>
            <w:gridSpan w:val="3"/>
            <w:tcBorders>
              <w:top w:val="nil"/>
              <w:left w:val="nil"/>
              <w:bottom w:val="single" w:sz="4" w:space="0" w:color="auto"/>
              <w:right w:val="single" w:sz="4" w:space="0" w:color="auto"/>
            </w:tcBorders>
            <w:hideMark/>
          </w:tcPr>
          <w:p w14:paraId="54372094"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97" w:type="pct"/>
            <w:tcBorders>
              <w:top w:val="nil"/>
              <w:left w:val="nil"/>
              <w:bottom w:val="single" w:sz="4" w:space="0" w:color="auto"/>
              <w:right w:val="single" w:sz="4" w:space="0" w:color="auto"/>
            </w:tcBorders>
            <w:hideMark/>
          </w:tcPr>
          <w:p w14:paraId="61E9A535"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63" w:type="pct"/>
            <w:tcBorders>
              <w:top w:val="nil"/>
              <w:left w:val="nil"/>
              <w:bottom w:val="single" w:sz="4" w:space="0" w:color="auto"/>
              <w:right w:val="nil"/>
            </w:tcBorders>
            <w:hideMark/>
          </w:tcPr>
          <w:p w14:paraId="5B73BB1E"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418" w:type="pct"/>
            <w:gridSpan w:val="3"/>
            <w:tcBorders>
              <w:top w:val="nil"/>
              <w:left w:val="single" w:sz="4" w:space="0" w:color="auto"/>
              <w:bottom w:val="single" w:sz="4" w:space="0" w:color="auto"/>
              <w:right w:val="single" w:sz="4" w:space="0" w:color="auto"/>
            </w:tcBorders>
            <w:hideMark/>
          </w:tcPr>
          <w:p w14:paraId="01DE5813" w14:textId="77777777" w:rsidR="00DB1AEE" w:rsidRPr="00DB1AEE" w:rsidRDefault="00DB1AEE" w:rsidP="00DB1AEE">
            <w:pPr>
              <w:suppressAutoHyphens/>
              <w:jc w:val="center"/>
              <w:rPr>
                <w:sz w:val="18"/>
                <w:szCs w:val="18"/>
                <w:u w:val="single"/>
              </w:rPr>
            </w:pPr>
            <w:r w:rsidRPr="00DB1AEE">
              <w:rPr>
                <w:sz w:val="18"/>
                <w:szCs w:val="18"/>
                <w:u w:val="single"/>
              </w:rPr>
              <w:t>ADD2</w:t>
            </w:r>
          </w:p>
        </w:tc>
        <w:tc>
          <w:tcPr>
            <w:tcW w:w="323" w:type="pct"/>
            <w:tcBorders>
              <w:top w:val="nil"/>
              <w:left w:val="nil"/>
              <w:bottom w:val="single" w:sz="4" w:space="0" w:color="auto"/>
              <w:right w:val="single" w:sz="4" w:space="0" w:color="auto"/>
            </w:tcBorders>
            <w:hideMark/>
          </w:tcPr>
          <w:p w14:paraId="49E59324" w14:textId="77777777" w:rsidR="00DB1AEE" w:rsidRPr="00DB1AEE" w:rsidRDefault="00DB1AEE" w:rsidP="00DB1AEE">
            <w:pPr>
              <w:suppressAutoHyphens/>
              <w:jc w:val="center"/>
              <w:rPr>
                <w:sz w:val="18"/>
                <w:szCs w:val="18"/>
                <w:u w:val="single"/>
              </w:rPr>
            </w:pPr>
            <w:r w:rsidRPr="00DB1AEE">
              <w:rPr>
                <w:sz w:val="18"/>
                <w:szCs w:val="18"/>
                <w:u w:val="single"/>
              </w:rPr>
              <w:t>ADD2</w:t>
            </w:r>
          </w:p>
        </w:tc>
      </w:tr>
      <w:tr w:rsidR="00DB1AEE" w:rsidRPr="00DB1AEE" w14:paraId="63346694" w14:textId="77777777" w:rsidTr="00FC1832">
        <w:trPr>
          <w:trHeight w:val="300"/>
        </w:trPr>
        <w:tc>
          <w:tcPr>
            <w:tcW w:w="896" w:type="pct"/>
            <w:tcBorders>
              <w:top w:val="nil"/>
              <w:left w:val="single" w:sz="4" w:space="0" w:color="auto"/>
              <w:bottom w:val="single" w:sz="4" w:space="0" w:color="auto"/>
              <w:right w:val="single" w:sz="4" w:space="0" w:color="auto"/>
            </w:tcBorders>
            <w:hideMark/>
          </w:tcPr>
          <w:p w14:paraId="5353AD7F" w14:textId="77777777" w:rsidR="00DB1AEE" w:rsidRPr="00DB1AEE" w:rsidRDefault="00DB1AEE" w:rsidP="00DB1AEE">
            <w:pPr>
              <w:suppressAutoHyphens/>
              <w:jc w:val="left"/>
              <w:rPr>
                <w:sz w:val="18"/>
                <w:szCs w:val="18"/>
                <w:u w:val="single"/>
              </w:rPr>
            </w:pPr>
            <w:r w:rsidRPr="00DB1AEE">
              <w:rPr>
                <w:sz w:val="18"/>
                <w:szCs w:val="18"/>
                <w:u w:val="single"/>
              </w:rPr>
              <w:t>Fellowship hall</w:t>
            </w:r>
          </w:p>
        </w:tc>
        <w:tc>
          <w:tcPr>
            <w:tcW w:w="429" w:type="pct"/>
            <w:gridSpan w:val="2"/>
            <w:tcBorders>
              <w:top w:val="nil"/>
              <w:left w:val="nil"/>
              <w:bottom w:val="single" w:sz="4" w:space="0" w:color="auto"/>
              <w:right w:val="single" w:sz="4" w:space="0" w:color="auto"/>
            </w:tcBorders>
            <w:noWrap/>
            <w:hideMark/>
          </w:tcPr>
          <w:p w14:paraId="4C33C9BC" w14:textId="77777777" w:rsidR="00DB1AEE" w:rsidRPr="00DB1AEE" w:rsidRDefault="00DB1AEE" w:rsidP="00DB1AEE">
            <w:pPr>
              <w:suppressAutoHyphens/>
              <w:jc w:val="left"/>
              <w:rPr>
                <w:sz w:val="18"/>
                <w:szCs w:val="18"/>
                <w:u w:val="single"/>
              </w:rPr>
            </w:pPr>
            <w:r w:rsidRPr="00DB1AEE">
              <w:rPr>
                <w:sz w:val="18"/>
                <w:szCs w:val="18"/>
                <w:u w:val="single"/>
              </w:rPr>
              <w:t>0.5</w:t>
            </w:r>
          </w:p>
        </w:tc>
        <w:tc>
          <w:tcPr>
            <w:tcW w:w="330" w:type="pct"/>
            <w:tcBorders>
              <w:top w:val="nil"/>
              <w:left w:val="nil"/>
              <w:bottom w:val="single" w:sz="4" w:space="0" w:color="auto"/>
              <w:right w:val="single" w:sz="4" w:space="0" w:color="auto"/>
            </w:tcBorders>
            <w:noWrap/>
            <w:hideMark/>
          </w:tcPr>
          <w:p w14:paraId="79CF2103" w14:textId="77777777" w:rsidR="00DB1AEE" w:rsidRPr="00DB1AEE" w:rsidRDefault="00DB1AEE" w:rsidP="00DB1AEE">
            <w:pPr>
              <w:suppressAutoHyphens/>
              <w:jc w:val="center"/>
              <w:rPr>
                <w:sz w:val="18"/>
                <w:szCs w:val="18"/>
                <w:u w:val="single"/>
              </w:rPr>
            </w:pPr>
            <w:r w:rsidRPr="00DB1AEE">
              <w:rPr>
                <w:sz w:val="18"/>
                <w:szCs w:val="18"/>
                <w:u w:val="single"/>
              </w:rPr>
              <w:t>4</w:t>
            </w:r>
          </w:p>
        </w:tc>
        <w:tc>
          <w:tcPr>
            <w:tcW w:w="361" w:type="pct"/>
            <w:gridSpan w:val="2"/>
            <w:tcBorders>
              <w:top w:val="nil"/>
              <w:left w:val="nil"/>
              <w:bottom w:val="single" w:sz="4" w:space="0" w:color="auto"/>
              <w:right w:val="single" w:sz="4" w:space="0" w:color="auto"/>
            </w:tcBorders>
            <w:hideMark/>
          </w:tcPr>
          <w:p w14:paraId="1A3269A0"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63" w:type="pct"/>
            <w:gridSpan w:val="3"/>
            <w:tcBorders>
              <w:top w:val="nil"/>
              <w:left w:val="nil"/>
              <w:bottom w:val="single" w:sz="4" w:space="0" w:color="auto"/>
              <w:right w:val="single" w:sz="4" w:space="0" w:color="auto"/>
            </w:tcBorders>
            <w:hideMark/>
          </w:tcPr>
          <w:p w14:paraId="1B0AEA95" w14:textId="77777777" w:rsidR="00DB1AEE" w:rsidRPr="00DB1AEE" w:rsidRDefault="00DB1AEE" w:rsidP="00DB1AEE">
            <w:pPr>
              <w:suppressAutoHyphens/>
              <w:jc w:val="left"/>
              <w:rPr>
                <w:sz w:val="18"/>
                <w:szCs w:val="18"/>
                <w:u w:val="single"/>
              </w:rPr>
            </w:pPr>
            <w:r w:rsidRPr="00DB1AEE">
              <w:rPr>
                <w:sz w:val="18"/>
                <w:szCs w:val="18"/>
                <w:u w:val="single"/>
              </w:rPr>
              <w:t>ADD1</w:t>
            </w:r>
          </w:p>
        </w:tc>
        <w:tc>
          <w:tcPr>
            <w:tcW w:w="330" w:type="pct"/>
            <w:tcBorders>
              <w:top w:val="nil"/>
              <w:left w:val="nil"/>
              <w:bottom w:val="single" w:sz="4" w:space="0" w:color="auto"/>
              <w:right w:val="single" w:sz="4" w:space="0" w:color="auto"/>
            </w:tcBorders>
            <w:hideMark/>
          </w:tcPr>
          <w:p w14:paraId="0CD6063C"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364" w:type="pct"/>
            <w:gridSpan w:val="2"/>
            <w:tcBorders>
              <w:top w:val="nil"/>
              <w:left w:val="nil"/>
              <w:bottom w:val="single" w:sz="4" w:space="0" w:color="auto"/>
              <w:right w:val="single" w:sz="4" w:space="0" w:color="auto"/>
            </w:tcBorders>
            <w:hideMark/>
          </w:tcPr>
          <w:p w14:paraId="09B9F6CE" w14:textId="77777777" w:rsidR="00DB1AEE" w:rsidRPr="00DB1AEE" w:rsidRDefault="00DB1AEE" w:rsidP="00DB1AEE">
            <w:pPr>
              <w:suppressAutoHyphens/>
              <w:jc w:val="left"/>
              <w:rPr>
                <w:sz w:val="18"/>
                <w:szCs w:val="18"/>
                <w:u w:val="single"/>
              </w:rPr>
            </w:pPr>
            <w:r w:rsidRPr="00DB1AEE">
              <w:rPr>
                <w:sz w:val="18"/>
                <w:szCs w:val="18"/>
                <w:u w:val="single"/>
              </w:rPr>
              <w:t>REQ</w:t>
            </w:r>
          </w:p>
        </w:tc>
        <w:tc>
          <w:tcPr>
            <w:tcW w:w="427" w:type="pct"/>
            <w:gridSpan w:val="3"/>
            <w:tcBorders>
              <w:top w:val="nil"/>
              <w:left w:val="nil"/>
              <w:bottom w:val="single" w:sz="4" w:space="0" w:color="auto"/>
              <w:right w:val="single" w:sz="4" w:space="0" w:color="auto"/>
            </w:tcBorders>
            <w:hideMark/>
          </w:tcPr>
          <w:p w14:paraId="3E3DE97E"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97" w:type="pct"/>
            <w:tcBorders>
              <w:top w:val="nil"/>
              <w:left w:val="nil"/>
              <w:bottom w:val="single" w:sz="4" w:space="0" w:color="auto"/>
              <w:right w:val="single" w:sz="4" w:space="0" w:color="auto"/>
            </w:tcBorders>
            <w:hideMark/>
          </w:tcPr>
          <w:p w14:paraId="68336A80"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63" w:type="pct"/>
            <w:tcBorders>
              <w:top w:val="nil"/>
              <w:left w:val="nil"/>
              <w:bottom w:val="single" w:sz="4" w:space="0" w:color="auto"/>
              <w:right w:val="single" w:sz="4" w:space="0" w:color="auto"/>
            </w:tcBorders>
            <w:vAlign w:val="center"/>
            <w:hideMark/>
          </w:tcPr>
          <w:p w14:paraId="1789A7A4"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418" w:type="pct"/>
            <w:gridSpan w:val="3"/>
            <w:tcBorders>
              <w:top w:val="nil"/>
              <w:left w:val="nil"/>
              <w:bottom w:val="single" w:sz="4" w:space="0" w:color="auto"/>
              <w:right w:val="single" w:sz="4" w:space="0" w:color="auto"/>
            </w:tcBorders>
            <w:hideMark/>
          </w:tcPr>
          <w:p w14:paraId="16F0EAB7" w14:textId="77777777" w:rsidR="00DB1AEE" w:rsidRPr="00DB1AEE" w:rsidRDefault="00DB1AEE" w:rsidP="00DB1AEE">
            <w:pPr>
              <w:suppressAutoHyphens/>
              <w:jc w:val="left"/>
              <w:rPr>
                <w:sz w:val="18"/>
                <w:szCs w:val="18"/>
                <w:u w:val="single"/>
              </w:rPr>
            </w:pPr>
            <w:r w:rsidRPr="00DB1AEE">
              <w:rPr>
                <w:sz w:val="18"/>
                <w:szCs w:val="18"/>
                <w:u w:val="single"/>
              </w:rPr>
              <w:t>ADD2</w:t>
            </w:r>
          </w:p>
        </w:tc>
        <w:tc>
          <w:tcPr>
            <w:tcW w:w="323" w:type="pct"/>
            <w:tcBorders>
              <w:top w:val="nil"/>
              <w:left w:val="nil"/>
              <w:bottom w:val="single" w:sz="4" w:space="0" w:color="auto"/>
              <w:right w:val="single" w:sz="4" w:space="0" w:color="auto"/>
            </w:tcBorders>
            <w:hideMark/>
          </w:tcPr>
          <w:p w14:paraId="3369216F" w14:textId="77777777" w:rsidR="00DB1AEE" w:rsidRPr="00DB1AEE" w:rsidRDefault="00DB1AEE" w:rsidP="00DB1AEE">
            <w:pPr>
              <w:suppressAutoHyphens/>
              <w:jc w:val="left"/>
              <w:rPr>
                <w:sz w:val="18"/>
                <w:szCs w:val="18"/>
                <w:u w:val="single"/>
              </w:rPr>
            </w:pPr>
            <w:r w:rsidRPr="00DB1AEE">
              <w:rPr>
                <w:sz w:val="18"/>
                <w:szCs w:val="18"/>
                <w:u w:val="single"/>
              </w:rPr>
              <w:t>ADD2</w:t>
            </w:r>
          </w:p>
        </w:tc>
      </w:tr>
      <w:tr w:rsidR="00DB1AEE" w:rsidRPr="00DB1AEE" w14:paraId="12A61E69" w14:textId="77777777" w:rsidTr="00FC1832">
        <w:trPr>
          <w:trHeight w:val="300"/>
        </w:trPr>
        <w:tc>
          <w:tcPr>
            <w:tcW w:w="896" w:type="pct"/>
            <w:tcBorders>
              <w:top w:val="nil"/>
              <w:left w:val="single" w:sz="4" w:space="0" w:color="auto"/>
              <w:bottom w:val="single" w:sz="4" w:space="0" w:color="auto"/>
              <w:right w:val="single" w:sz="4" w:space="0" w:color="auto"/>
            </w:tcBorders>
            <w:hideMark/>
          </w:tcPr>
          <w:p w14:paraId="6C503200" w14:textId="77777777" w:rsidR="00DB1AEE" w:rsidRPr="00DB1AEE" w:rsidRDefault="00DB1AEE" w:rsidP="00DB1AEE">
            <w:pPr>
              <w:suppressAutoHyphens/>
              <w:jc w:val="left"/>
              <w:rPr>
                <w:sz w:val="18"/>
                <w:szCs w:val="18"/>
                <w:u w:val="single"/>
              </w:rPr>
            </w:pPr>
            <w:r w:rsidRPr="00DB1AEE">
              <w:rPr>
                <w:sz w:val="18"/>
                <w:szCs w:val="18"/>
                <w:u w:val="single"/>
              </w:rPr>
              <w:t>Worship/pulpit/choir area</w:t>
            </w:r>
          </w:p>
        </w:tc>
        <w:tc>
          <w:tcPr>
            <w:tcW w:w="429" w:type="pct"/>
            <w:gridSpan w:val="2"/>
            <w:tcBorders>
              <w:top w:val="nil"/>
              <w:left w:val="nil"/>
              <w:bottom w:val="single" w:sz="4" w:space="0" w:color="auto"/>
              <w:right w:val="single" w:sz="4" w:space="0" w:color="auto"/>
            </w:tcBorders>
            <w:noWrap/>
            <w:hideMark/>
          </w:tcPr>
          <w:p w14:paraId="5B9B1BF7" w14:textId="77777777" w:rsidR="00DB1AEE" w:rsidRPr="00DB1AEE" w:rsidRDefault="00DB1AEE" w:rsidP="00DB1AEE">
            <w:pPr>
              <w:suppressAutoHyphens/>
              <w:jc w:val="left"/>
              <w:rPr>
                <w:sz w:val="18"/>
                <w:szCs w:val="18"/>
                <w:u w:val="single"/>
              </w:rPr>
            </w:pPr>
            <w:r w:rsidRPr="00DB1AEE">
              <w:rPr>
                <w:sz w:val="18"/>
                <w:szCs w:val="18"/>
                <w:u w:val="single"/>
              </w:rPr>
              <w:t>0. 5</w:t>
            </w:r>
          </w:p>
        </w:tc>
        <w:tc>
          <w:tcPr>
            <w:tcW w:w="330" w:type="pct"/>
            <w:tcBorders>
              <w:top w:val="nil"/>
              <w:left w:val="nil"/>
              <w:bottom w:val="single" w:sz="4" w:space="0" w:color="auto"/>
              <w:right w:val="single" w:sz="4" w:space="0" w:color="auto"/>
            </w:tcBorders>
            <w:noWrap/>
            <w:hideMark/>
          </w:tcPr>
          <w:p w14:paraId="688CB735" w14:textId="77777777" w:rsidR="00DB1AEE" w:rsidRPr="00DB1AEE" w:rsidRDefault="00DB1AEE" w:rsidP="00DB1AEE">
            <w:pPr>
              <w:suppressAutoHyphens/>
              <w:jc w:val="center"/>
              <w:rPr>
                <w:sz w:val="18"/>
                <w:szCs w:val="18"/>
                <w:u w:val="single"/>
              </w:rPr>
            </w:pPr>
            <w:r w:rsidRPr="00DB1AEE">
              <w:rPr>
                <w:sz w:val="18"/>
                <w:szCs w:val="18"/>
                <w:u w:val="single"/>
              </w:rPr>
              <w:t>4</w:t>
            </w:r>
          </w:p>
        </w:tc>
        <w:tc>
          <w:tcPr>
            <w:tcW w:w="361" w:type="pct"/>
            <w:gridSpan w:val="2"/>
            <w:tcBorders>
              <w:top w:val="nil"/>
              <w:left w:val="nil"/>
              <w:bottom w:val="single" w:sz="4" w:space="0" w:color="auto"/>
              <w:right w:val="single" w:sz="4" w:space="0" w:color="auto"/>
            </w:tcBorders>
            <w:hideMark/>
          </w:tcPr>
          <w:p w14:paraId="795D5C58"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63" w:type="pct"/>
            <w:gridSpan w:val="3"/>
            <w:tcBorders>
              <w:top w:val="nil"/>
              <w:left w:val="nil"/>
              <w:bottom w:val="single" w:sz="4" w:space="0" w:color="auto"/>
              <w:right w:val="single" w:sz="4" w:space="0" w:color="auto"/>
            </w:tcBorders>
            <w:hideMark/>
          </w:tcPr>
          <w:p w14:paraId="0DAC91FC" w14:textId="77777777" w:rsidR="00DB1AEE" w:rsidRPr="00DB1AEE" w:rsidRDefault="00DB1AEE" w:rsidP="00DB1AEE">
            <w:pPr>
              <w:suppressAutoHyphens/>
              <w:jc w:val="left"/>
              <w:rPr>
                <w:sz w:val="18"/>
                <w:szCs w:val="18"/>
                <w:u w:val="single"/>
              </w:rPr>
            </w:pPr>
            <w:r w:rsidRPr="00DB1AEE">
              <w:rPr>
                <w:sz w:val="18"/>
                <w:szCs w:val="18"/>
                <w:u w:val="single"/>
              </w:rPr>
              <w:t>ADD1</w:t>
            </w:r>
          </w:p>
        </w:tc>
        <w:tc>
          <w:tcPr>
            <w:tcW w:w="330" w:type="pct"/>
            <w:tcBorders>
              <w:top w:val="nil"/>
              <w:left w:val="nil"/>
              <w:bottom w:val="single" w:sz="4" w:space="0" w:color="auto"/>
              <w:right w:val="single" w:sz="4" w:space="0" w:color="auto"/>
            </w:tcBorders>
            <w:hideMark/>
          </w:tcPr>
          <w:p w14:paraId="30692752"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364" w:type="pct"/>
            <w:gridSpan w:val="2"/>
            <w:tcBorders>
              <w:top w:val="nil"/>
              <w:left w:val="nil"/>
              <w:bottom w:val="single" w:sz="4" w:space="0" w:color="auto"/>
              <w:right w:val="single" w:sz="4" w:space="0" w:color="auto"/>
            </w:tcBorders>
            <w:hideMark/>
          </w:tcPr>
          <w:p w14:paraId="4D164629" w14:textId="77777777" w:rsidR="00DB1AEE" w:rsidRPr="00DB1AEE" w:rsidRDefault="00DB1AEE" w:rsidP="00DB1AEE">
            <w:pPr>
              <w:suppressAutoHyphens/>
              <w:jc w:val="left"/>
              <w:rPr>
                <w:sz w:val="18"/>
                <w:szCs w:val="18"/>
                <w:u w:val="single"/>
              </w:rPr>
            </w:pPr>
            <w:r w:rsidRPr="00DB1AEE">
              <w:rPr>
                <w:sz w:val="18"/>
                <w:szCs w:val="18"/>
                <w:u w:val="single"/>
              </w:rPr>
              <w:t>REQ</w:t>
            </w:r>
          </w:p>
        </w:tc>
        <w:tc>
          <w:tcPr>
            <w:tcW w:w="427" w:type="pct"/>
            <w:gridSpan w:val="3"/>
            <w:tcBorders>
              <w:top w:val="nil"/>
              <w:left w:val="nil"/>
              <w:bottom w:val="single" w:sz="4" w:space="0" w:color="auto"/>
              <w:right w:val="single" w:sz="4" w:space="0" w:color="auto"/>
            </w:tcBorders>
            <w:hideMark/>
          </w:tcPr>
          <w:p w14:paraId="6A8E76C6"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97" w:type="pct"/>
            <w:tcBorders>
              <w:top w:val="nil"/>
              <w:left w:val="nil"/>
              <w:bottom w:val="single" w:sz="4" w:space="0" w:color="auto"/>
              <w:right w:val="single" w:sz="4" w:space="0" w:color="auto"/>
            </w:tcBorders>
            <w:hideMark/>
          </w:tcPr>
          <w:p w14:paraId="766F68A3"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63" w:type="pct"/>
            <w:tcBorders>
              <w:top w:val="nil"/>
              <w:left w:val="nil"/>
              <w:bottom w:val="single" w:sz="4" w:space="0" w:color="auto"/>
              <w:right w:val="single" w:sz="4" w:space="0" w:color="auto"/>
            </w:tcBorders>
            <w:vAlign w:val="bottom"/>
            <w:hideMark/>
          </w:tcPr>
          <w:p w14:paraId="2B0E25D5"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418" w:type="pct"/>
            <w:gridSpan w:val="3"/>
            <w:tcBorders>
              <w:top w:val="nil"/>
              <w:left w:val="nil"/>
              <w:bottom w:val="single" w:sz="4" w:space="0" w:color="auto"/>
              <w:right w:val="single" w:sz="4" w:space="0" w:color="auto"/>
            </w:tcBorders>
            <w:hideMark/>
          </w:tcPr>
          <w:p w14:paraId="58CE3684" w14:textId="77777777" w:rsidR="00DB1AEE" w:rsidRPr="00DB1AEE" w:rsidRDefault="00DB1AEE" w:rsidP="00DB1AEE">
            <w:pPr>
              <w:suppressAutoHyphens/>
              <w:jc w:val="left"/>
              <w:rPr>
                <w:sz w:val="18"/>
                <w:szCs w:val="18"/>
                <w:u w:val="single"/>
              </w:rPr>
            </w:pPr>
            <w:r w:rsidRPr="00DB1AEE">
              <w:rPr>
                <w:sz w:val="18"/>
                <w:szCs w:val="18"/>
                <w:u w:val="single"/>
              </w:rPr>
              <w:t>ADD2</w:t>
            </w:r>
          </w:p>
        </w:tc>
        <w:tc>
          <w:tcPr>
            <w:tcW w:w="323" w:type="pct"/>
            <w:tcBorders>
              <w:top w:val="nil"/>
              <w:left w:val="nil"/>
              <w:bottom w:val="single" w:sz="4" w:space="0" w:color="auto"/>
              <w:right w:val="single" w:sz="4" w:space="0" w:color="auto"/>
            </w:tcBorders>
            <w:hideMark/>
          </w:tcPr>
          <w:p w14:paraId="7A0E537F" w14:textId="77777777" w:rsidR="00DB1AEE" w:rsidRPr="00DB1AEE" w:rsidRDefault="00DB1AEE" w:rsidP="00DB1AEE">
            <w:pPr>
              <w:suppressAutoHyphens/>
              <w:jc w:val="left"/>
              <w:rPr>
                <w:sz w:val="18"/>
                <w:szCs w:val="18"/>
                <w:u w:val="single"/>
              </w:rPr>
            </w:pPr>
            <w:r w:rsidRPr="00DB1AEE">
              <w:rPr>
                <w:sz w:val="18"/>
                <w:szCs w:val="18"/>
                <w:u w:val="single"/>
              </w:rPr>
              <w:t>ADD2</w:t>
            </w:r>
          </w:p>
        </w:tc>
      </w:tr>
      <w:tr w:rsidR="00DB1AEE" w:rsidRPr="00DB1AEE" w14:paraId="4D9CBF92" w14:textId="77777777" w:rsidTr="00FC1832">
        <w:trPr>
          <w:trHeight w:val="300"/>
        </w:trPr>
        <w:tc>
          <w:tcPr>
            <w:tcW w:w="896" w:type="pct"/>
            <w:tcBorders>
              <w:top w:val="nil"/>
              <w:left w:val="single" w:sz="4" w:space="0" w:color="auto"/>
              <w:bottom w:val="single" w:sz="4" w:space="0" w:color="auto"/>
              <w:right w:val="nil"/>
            </w:tcBorders>
            <w:hideMark/>
          </w:tcPr>
          <w:p w14:paraId="09E94B95" w14:textId="77777777" w:rsidR="00DB1AEE" w:rsidRPr="00DB1AEE" w:rsidRDefault="00DB1AEE" w:rsidP="00DB1AEE">
            <w:pPr>
              <w:suppressAutoHyphens/>
              <w:jc w:val="left"/>
              <w:rPr>
                <w:sz w:val="18"/>
                <w:szCs w:val="18"/>
                <w:u w:val="single"/>
              </w:rPr>
            </w:pPr>
            <w:r w:rsidRPr="00DB1AEE">
              <w:rPr>
                <w:sz w:val="18"/>
                <w:szCs w:val="18"/>
                <w:u w:val="single"/>
              </w:rPr>
              <w:t>Retail Facilities</w:t>
            </w:r>
          </w:p>
        </w:tc>
        <w:tc>
          <w:tcPr>
            <w:tcW w:w="429" w:type="pct"/>
            <w:gridSpan w:val="2"/>
            <w:tcBorders>
              <w:top w:val="nil"/>
              <w:left w:val="nil"/>
              <w:bottom w:val="single" w:sz="4" w:space="0" w:color="auto"/>
              <w:right w:val="single" w:sz="4" w:space="0" w:color="auto"/>
            </w:tcBorders>
            <w:hideMark/>
          </w:tcPr>
          <w:p w14:paraId="560557C3" w14:textId="77777777" w:rsidR="00DB1AEE" w:rsidRPr="00DB1AEE" w:rsidRDefault="00DB1AEE" w:rsidP="00DB1AEE">
            <w:pPr>
              <w:suppressAutoHyphens/>
              <w:jc w:val="left"/>
              <w:rPr>
                <w:sz w:val="18"/>
                <w:szCs w:val="18"/>
                <w:u w:val="single"/>
              </w:rPr>
            </w:pPr>
            <w:r w:rsidRPr="00DB1AEE">
              <w:rPr>
                <w:sz w:val="18"/>
                <w:szCs w:val="18"/>
                <w:u w:val="single"/>
              </w:rPr>
              <w:t> </w:t>
            </w:r>
          </w:p>
          <w:p w14:paraId="2604BC5E"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330" w:type="pct"/>
            <w:tcBorders>
              <w:top w:val="nil"/>
              <w:left w:val="single" w:sz="4" w:space="0" w:color="auto"/>
              <w:bottom w:val="single" w:sz="4" w:space="0" w:color="auto"/>
              <w:right w:val="single" w:sz="4" w:space="0" w:color="auto"/>
            </w:tcBorders>
            <w:vAlign w:val="bottom"/>
            <w:hideMark/>
          </w:tcPr>
          <w:p w14:paraId="1EBB248A"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361" w:type="pct"/>
            <w:gridSpan w:val="2"/>
            <w:tcBorders>
              <w:top w:val="nil"/>
              <w:left w:val="nil"/>
              <w:bottom w:val="single" w:sz="4" w:space="0" w:color="auto"/>
              <w:right w:val="nil"/>
            </w:tcBorders>
            <w:hideMark/>
          </w:tcPr>
          <w:p w14:paraId="0C757311" w14:textId="77777777" w:rsidR="00DB1AEE" w:rsidRPr="00DB1AEE" w:rsidRDefault="00DB1AEE" w:rsidP="00DB1AEE">
            <w:pPr>
              <w:suppressAutoHyphens/>
              <w:jc w:val="center"/>
              <w:rPr>
                <w:sz w:val="18"/>
                <w:szCs w:val="18"/>
                <w:u w:val="single"/>
              </w:rPr>
            </w:pPr>
            <w:r w:rsidRPr="00DB1AEE">
              <w:rPr>
                <w:sz w:val="18"/>
                <w:szCs w:val="18"/>
                <w:u w:val="single"/>
              </w:rPr>
              <w:t> </w:t>
            </w:r>
          </w:p>
        </w:tc>
        <w:tc>
          <w:tcPr>
            <w:tcW w:w="363" w:type="pct"/>
            <w:gridSpan w:val="3"/>
            <w:tcBorders>
              <w:top w:val="nil"/>
              <w:left w:val="nil"/>
              <w:bottom w:val="single" w:sz="4" w:space="0" w:color="auto"/>
              <w:right w:val="nil"/>
            </w:tcBorders>
            <w:hideMark/>
          </w:tcPr>
          <w:p w14:paraId="10CBF7BE"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330" w:type="pct"/>
            <w:tcBorders>
              <w:top w:val="nil"/>
              <w:left w:val="nil"/>
              <w:bottom w:val="single" w:sz="4" w:space="0" w:color="auto"/>
              <w:right w:val="nil"/>
            </w:tcBorders>
            <w:hideMark/>
          </w:tcPr>
          <w:p w14:paraId="7BEC0013" w14:textId="77777777" w:rsidR="00DB1AEE" w:rsidRPr="00DB1AEE" w:rsidRDefault="00DB1AEE" w:rsidP="00DB1AEE">
            <w:pPr>
              <w:suppressAutoHyphens/>
              <w:jc w:val="center"/>
              <w:rPr>
                <w:sz w:val="18"/>
                <w:szCs w:val="18"/>
                <w:u w:val="single"/>
              </w:rPr>
            </w:pPr>
            <w:r w:rsidRPr="00DB1AEE">
              <w:rPr>
                <w:sz w:val="18"/>
                <w:szCs w:val="18"/>
                <w:u w:val="single"/>
              </w:rPr>
              <w:t> </w:t>
            </w:r>
          </w:p>
        </w:tc>
        <w:tc>
          <w:tcPr>
            <w:tcW w:w="364" w:type="pct"/>
            <w:gridSpan w:val="2"/>
            <w:tcBorders>
              <w:top w:val="nil"/>
              <w:left w:val="nil"/>
              <w:bottom w:val="single" w:sz="4" w:space="0" w:color="auto"/>
              <w:right w:val="nil"/>
            </w:tcBorders>
            <w:hideMark/>
          </w:tcPr>
          <w:p w14:paraId="27CBC0C1"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427" w:type="pct"/>
            <w:gridSpan w:val="3"/>
            <w:tcBorders>
              <w:top w:val="nil"/>
              <w:left w:val="nil"/>
              <w:bottom w:val="single" w:sz="4" w:space="0" w:color="auto"/>
              <w:right w:val="nil"/>
            </w:tcBorders>
            <w:hideMark/>
          </w:tcPr>
          <w:p w14:paraId="4EAE7CA9" w14:textId="77777777" w:rsidR="00DB1AEE" w:rsidRPr="00DB1AEE" w:rsidRDefault="00DB1AEE" w:rsidP="00DB1AEE">
            <w:pPr>
              <w:suppressAutoHyphens/>
              <w:jc w:val="center"/>
              <w:rPr>
                <w:sz w:val="18"/>
                <w:szCs w:val="18"/>
                <w:u w:val="single"/>
              </w:rPr>
            </w:pPr>
            <w:r w:rsidRPr="00DB1AEE">
              <w:rPr>
                <w:sz w:val="18"/>
                <w:szCs w:val="18"/>
                <w:u w:val="single"/>
              </w:rPr>
              <w:t> </w:t>
            </w:r>
          </w:p>
        </w:tc>
        <w:tc>
          <w:tcPr>
            <w:tcW w:w="397" w:type="pct"/>
            <w:tcBorders>
              <w:top w:val="nil"/>
              <w:left w:val="nil"/>
              <w:bottom w:val="single" w:sz="4" w:space="0" w:color="auto"/>
              <w:right w:val="nil"/>
            </w:tcBorders>
            <w:hideMark/>
          </w:tcPr>
          <w:p w14:paraId="16F1435A" w14:textId="77777777" w:rsidR="00DB1AEE" w:rsidRPr="00DB1AEE" w:rsidRDefault="00DB1AEE" w:rsidP="00DB1AEE">
            <w:pPr>
              <w:suppressAutoHyphens/>
              <w:jc w:val="center"/>
              <w:rPr>
                <w:sz w:val="18"/>
                <w:szCs w:val="18"/>
                <w:u w:val="single"/>
              </w:rPr>
            </w:pPr>
            <w:r w:rsidRPr="00DB1AEE">
              <w:rPr>
                <w:sz w:val="18"/>
                <w:szCs w:val="18"/>
                <w:u w:val="single"/>
              </w:rPr>
              <w:t> </w:t>
            </w:r>
          </w:p>
        </w:tc>
        <w:tc>
          <w:tcPr>
            <w:tcW w:w="363" w:type="pct"/>
            <w:tcBorders>
              <w:top w:val="nil"/>
              <w:left w:val="nil"/>
              <w:bottom w:val="single" w:sz="4" w:space="0" w:color="auto"/>
              <w:right w:val="nil"/>
            </w:tcBorders>
            <w:hideMark/>
          </w:tcPr>
          <w:p w14:paraId="40B19303"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418" w:type="pct"/>
            <w:gridSpan w:val="3"/>
            <w:tcBorders>
              <w:top w:val="nil"/>
              <w:left w:val="nil"/>
              <w:bottom w:val="single" w:sz="4" w:space="0" w:color="auto"/>
              <w:right w:val="nil"/>
            </w:tcBorders>
            <w:hideMark/>
          </w:tcPr>
          <w:p w14:paraId="7761A038"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323" w:type="pct"/>
            <w:tcBorders>
              <w:top w:val="nil"/>
              <w:left w:val="nil"/>
              <w:bottom w:val="single" w:sz="4" w:space="0" w:color="auto"/>
              <w:right w:val="single" w:sz="4" w:space="0" w:color="auto"/>
            </w:tcBorders>
            <w:hideMark/>
          </w:tcPr>
          <w:p w14:paraId="774C8524" w14:textId="77777777" w:rsidR="00DB1AEE" w:rsidRPr="00DB1AEE" w:rsidRDefault="00DB1AEE" w:rsidP="00DB1AEE">
            <w:pPr>
              <w:suppressAutoHyphens/>
              <w:jc w:val="left"/>
              <w:rPr>
                <w:sz w:val="18"/>
                <w:szCs w:val="18"/>
                <w:u w:val="single"/>
              </w:rPr>
            </w:pPr>
            <w:r w:rsidRPr="00DB1AEE">
              <w:rPr>
                <w:sz w:val="18"/>
                <w:szCs w:val="18"/>
                <w:u w:val="single"/>
              </w:rPr>
              <w:t> </w:t>
            </w:r>
          </w:p>
        </w:tc>
      </w:tr>
      <w:tr w:rsidR="00DB1AEE" w:rsidRPr="00DB1AEE" w14:paraId="2E67C2E9" w14:textId="77777777" w:rsidTr="00FC1832">
        <w:trPr>
          <w:trHeight w:val="300"/>
        </w:trPr>
        <w:tc>
          <w:tcPr>
            <w:tcW w:w="896" w:type="pct"/>
            <w:tcBorders>
              <w:top w:val="nil"/>
              <w:left w:val="single" w:sz="4" w:space="0" w:color="auto"/>
              <w:bottom w:val="single" w:sz="4" w:space="0" w:color="auto"/>
              <w:right w:val="single" w:sz="4" w:space="0" w:color="auto"/>
            </w:tcBorders>
            <w:hideMark/>
          </w:tcPr>
          <w:p w14:paraId="116E29DF" w14:textId="77777777" w:rsidR="00DB1AEE" w:rsidRPr="00DB1AEE" w:rsidRDefault="00DB1AEE" w:rsidP="00DB1AEE">
            <w:pPr>
              <w:suppressAutoHyphens/>
              <w:jc w:val="left"/>
              <w:rPr>
                <w:sz w:val="18"/>
                <w:szCs w:val="18"/>
                <w:u w:val="single"/>
              </w:rPr>
            </w:pPr>
            <w:r w:rsidRPr="00DB1AEE">
              <w:rPr>
                <w:sz w:val="18"/>
                <w:szCs w:val="18"/>
                <w:u w:val="single"/>
              </w:rPr>
              <w:t>Dressing/fitting room</w:t>
            </w:r>
          </w:p>
        </w:tc>
        <w:tc>
          <w:tcPr>
            <w:tcW w:w="429" w:type="pct"/>
            <w:gridSpan w:val="2"/>
            <w:tcBorders>
              <w:top w:val="nil"/>
              <w:left w:val="nil"/>
              <w:bottom w:val="single" w:sz="4" w:space="0" w:color="auto"/>
              <w:right w:val="single" w:sz="4" w:space="0" w:color="auto"/>
            </w:tcBorders>
            <w:noWrap/>
            <w:hideMark/>
          </w:tcPr>
          <w:p w14:paraId="4A48FDB8" w14:textId="77777777" w:rsidR="00DB1AEE" w:rsidRPr="00DB1AEE" w:rsidRDefault="00DB1AEE" w:rsidP="00DB1AEE">
            <w:pPr>
              <w:suppressAutoHyphens/>
              <w:jc w:val="center"/>
              <w:rPr>
                <w:sz w:val="18"/>
                <w:szCs w:val="18"/>
                <w:u w:val="single"/>
              </w:rPr>
            </w:pPr>
            <w:r w:rsidRPr="00DB1AEE">
              <w:rPr>
                <w:sz w:val="18"/>
                <w:szCs w:val="18"/>
                <w:u w:val="single"/>
              </w:rPr>
              <w:t>0.45</w:t>
            </w:r>
          </w:p>
        </w:tc>
        <w:tc>
          <w:tcPr>
            <w:tcW w:w="330" w:type="pct"/>
            <w:tcBorders>
              <w:top w:val="nil"/>
              <w:left w:val="nil"/>
              <w:bottom w:val="single" w:sz="4" w:space="0" w:color="auto"/>
              <w:right w:val="single" w:sz="4" w:space="0" w:color="auto"/>
            </w:tcBorders>
            <w:hideMark/>
          </w:tcPr>
          <w:p w14:paraId="6D3A4E0A" w14:textId="77777777" w:rsidR="00DB1AEE" w:rsidRPr="00DB1AEE" w:rsidRDefault="00DB1AEE" w:rsidP="00DB1AEE">
            <w:pPr>
              <w:suppressAutoHyphens/>
              <w:jc w:val="center"/>
              <w:rPr>
                <w:strike/>
                <w:sz w:val="18"/>
                <w:szCs w:val="18"/>
                <w:u w:val="single"/>
              </w:rPr>
            </w:pPr>
          </w:p>
        </w:tc>
        <w:tc>
          <w:tcPr>
            <w:tcW w:w="361" w:type="pct"/>
            <w:gridSpan w:val="2"/>
            <w:tcBorders>
              <w:top w:val="nil"/>
              <w:left w:val="nil"/>
              <w:bottom w:val="single" w:sz="4" w:space="0" w:color="auto"/>
              <w:right w:val="single" w:sz="4" w:space="0" w:color="auto"/>
            </w:tcBorders>
            <w:hideMark/>
          </w:tcPr>
          <w:p w14:paraId="70D0B96F"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63" w:type="pct"/>
            <w:gridSpan w:val="3"/>
            <w:tcBorders>
              <w:top w:val="nil"/>
              <w:left w:val="nil"/>
              <w:bottom w:val="single" w:sz="4" w:space="0" w:color="auto"/>
              <w:right w:val="single" w:sz="4" w:space="0" w:color="auto"/>
            </w:tcBorders>
            <w:hideMark/>
          </w:tcPr>
          <w:p w14:paraId="1266D56F" w14:textId="77777777" w:rsidR="00DB1AEE" w:rsidRPr="00DB1AEE" w:rsidRDefault="00DB1AEE" w:rsidP="00DB1AEE">
            <w:pPr>
              <w:suppressAutoHyphens/>
              <w:jc w:val="left"/>
              <w:rPr>
                <w:sz w:val="18"/>
                <w:szCs w:val="18"/>
                <w:u w:val="single"/>
              </w:rPr>
            </w:pPr>
            <w:r w:rsidRPr="00DB1AEE">
              <w:rPr>
                <w:sz w:val="18"/>
                <w:szCs w:val="18"/>
                <w:u w:val="single"/>
              </w:rPr>
              <w:t>ADD1</w:t>
            </w:r>
          </w:p>
        </w:tc>
        <w:tc>
          <w:tcPr>
            <w:tcW w:w="330" w:type="pct"/>
            <w:tcBorders>
              <w:top w:val="nil"/>
              <w:left w:val="nil"/>
              <w:bottom w:val="single" w:sz="4" w:space="0" w:color="auto"/>
              <w:right w:val="single" w:sz="4" w:space="0" w:color="auto"/>
            </w:tcBorders>
            <w:hideMark/>
          </w:tcPr>
          <w:p w14:paraId="0E16AB6A" w14:textId="77777777" w:rsidR="00DB1AEE" w:rsidRPr="00DB1AEE" w:rsidRDefault="00DB1AEE" w:rsidP="00DB1AEE">
            <w:pPr>
              <w:suppressAutoHyphens/>
              <w:jc w:val="center"/>
              <w:rPr>
                <w:sz w:val="18"/>
                <w:szCs w:val="18"/>
                <w:u w:val="single"/>
              </w:rPr>
            </w:pPr>
            <w:r w:rsidRPr="00DB1AEE">
              <w:rPr>
                <w:strike/>
                <w:sz w:val="18"/>
                <w:szCs w:val="18"/>
                <w:u w:val="single"/>
              </w:rPr>
              <w:t>ADD1</w:t>
            </w:r>
          </w:p>
        </w:tc>
        <w:tc>
          <w:tcPr>
            <w:tcW w:w="364" w:type="pct"/>
            <w:gridSpan w:val="2"/>
            <w:tcBorders>
              <w:top w:val="nil"/>
              <w:left w:val="nil"/>
              <w:bottom w:val="single" w:sz="4" w:space="0" w:color="auto"/>
              <w:right w:val="single" w:sz="4" w:space="0" w:color="auto"/>
            </w:tcBorders>
            <w:hideMark/>
          </w:tcPr>
          <w:p w14:paraId="16BABBCE" w14:textId="77777777" w:rsidR="00DB1AEE" w:rsidRPr="00DB1AEE" w:rsidRDefault="00DB1AEE" w:rsidP="00DB1AEE">
            <w:pPr>
              <w:suppressAutoHyphens/>
              <w:jc w:val="left"/>
              <w:rPr>
                <w:sz w:val="18"/>
                <w:szCs w:val="18"/>
                <w:u w:val="single"/>
              </w:rPr>
            </w:pPr>
            <w:r w:rsidRPr="00DB1AEE">
              <w:rPr>
                <w:strike/>
                <w:sz w:val="18"/>
                <w:szCs w:val="18"/>
                <w:u w:val="single"/>
              </w:rPr>
              <w:t>REQ</w:t>
            </w:r>
          </w:p>
        </w:tc>
        <w:tc>
          <w:tcPr>
            <w:tcW w:w="427" w:type="pct"/>
            <w:gridSpan w:val="3"/>
            <w:tcBorders>
              <w:top w:val="nil"/>
              <w:left w:val="nil"/>
              <w:bottom w:val="single" w:sz="4" w:space="0" w:color="auto"/>
              <w:right w:val="single" w:sz="4" w:space="0" w:color="auto"/>
            </w:tcBorders>
            <w:vAlign w:val="center"/>
            <w:hideMark/>
          </w:tcPr>
          <w:p w14:paraId="14C38D74" w14:textId="77777777" w:rsidR="00DB1AEE" w:rsidRPr="00DB1AEE" w:rsidRDefault="00DB1AEE" w:rsidP="00DB1AEE">
            <w:pPr>
              <w:suppressAutoHyphens/>
              <w:jc w:val="center"/>
              <w:rPr>
                <w:sz w:val="18"/>
                <w:szCs w:val="18"/>
                <w:u w:val="single"/>
              </w:rPr>
            </w:pPr>
            <w:r w:rsidRPr="00DB1AEE">
              <w:rPr>
                <w:sz w:val="18"/>
                <w:szCs w:val="18"/>
                <w:u w:val="single"/>
              </w:rPr>
              <w:t> </w:t>
            </w:r>
          </w:p>
        </w:tc>
        <w:tc>
          <w:tcPr>
            <w:tcW w:w="397" w:type="pct"/>
            <w:tcBorders>
              <w:top w:val="nil"/>
              <w:left w:val="nil"/>
              <w:bottom w:val="single" w:sz="4" w:space="0" w:color="auto"/>
              <w:right w:val="single" w:sz="4" w:space="0" w:color="auto"/>
            </w:tcBorders>
            <w:hideMark/>
          </w:tcPr>
          <w:p w14:paraId="2D1656C9" w14:textId="77777777" w:rsidR="00DB1AEE" w:rsidRPr="00DB1AEE" w:rsidRDefault="00DB1AEE" w:rsidP="00DB1AEE">
            <w:pPr>
              <w:suppressAutoHyphens/>
              <w:jc w:val="center"/>
              <w:rPr>
                <w:sz w:val="18"/>
                <w:szCs w:val="18"/>
                <w:u w:val="single"/>
              </w:rPr>
            </w:pPr>
            <w:r w:rsidRPr="00DB1AEE">
              <w:rPr>
                <w:strike/>
                <w:sz w:val="18"/>
                <w:szCs w:val="18"/>
                <w:u w:val="single"/>
              </w:rPr>
              <w:t>REQ</w:t>
            </w:r>
          </w:p>
        </w:tc>
        <w:tc>
          <w:tcPr>
            <w:tcW w:w="363" w:type="pct"/>
            <w:tcBorders>
              <w:top w:val="nil"/>
              <w:left w:val="nil"/>
              <w:bottom w:val="single" w:sz="4" w:space="0" w:color="auto"/>
              <w:right w:val="single" w:sz="4" w:space="0" w:color="auto"/>
            </w:tcBorders>
            <w:vAlign w:val="center"/>
            <w:hideMark/>
          </w:tcPr>
          <w:p w14:paraId="4D0C26F9"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418" w:type="pct"/>
            <w:gridSpan w:val="3"/>
            <w:tcBorders>
              <w:top w:val="nil"/>
              <w:left w:val="nil"/>
              <w:bottom w:val="single" w:sz="4" w:space="0" w:color="auto"/>
              <w:right w:val="single" w:sz="4" w:space="0" w:color="auto"/>
            </w:tcBorders>
            <w:hideMark/>
          </w:tcPr>
          <w:p w14:paraId="66400302" w14:textId="77777777" w:rsidR="00DB1AEE" w:rsidRPr="00DB1AEE" w:rsidRDefault="00DB1AEE" w:rsidP="00DB1AEE">
            <w:pPr>
              <w:suppressAutoHyphens/>
              <w:jc w:val="left"/>
              <w:rPr>
                <w:sz w:val="18"/>
                <w:szCs w:val="18"/>
                <w:u w:val="single"/>
              </w:rPr>
            </w:pPr>
            <w:r w:rsidRPr="00DB1AEE">
              <w:rPr>
                <w:sz w:val="18"/>
                <w:szCs w:val="18"/>
                <w:u w:val="single"/>
              </w:rPr>
              <w:t>REQ</w:t>
            </w:r>
          </w:p>
        </w:tc>
        <w:tc>
          <w:tcPr>
            <w:tcW w:w="323" w:type="pct"/>
            <w:tcBorders>
              <w:top w:val="nil"/>
              <w:left w:val="nil"/>
              <w:bottom w:val="single" w:sz="4" w:space="0" w:color="auto"/>
              <w:right w:val="single" w:sz="4" w:space="0" w:color="auto"/>
            </w:tcBorders>
            <w:hideMark/>
          </w:tcPr>
          <w:p w14:paraId="40C05ACA" w14:textId="77777777" w:rsidR="00DB1AEE" w:rsidRPr="00DB1AEE" w:rsidRDefault="00DB1AEE" w:rsidP="00DB1AEE">
            <w:pPr>
              <w:suppressAutoHyphens/>
              <w:jc w:val="center"/>
              <w:rPr>
                <w:sz w:val="18"/>
                <w:szCs w:val="18"/>
                <w:u w:val="single"/>
              </w:rPr>
            </w:pPr>
            <w:r w:rsidRPr="00DB1AEE">
              <w:rPr>
                <w:sz w:val="18"/>
                <w:szCs w:val="18"/>
                <w:u w:val="single"/>
              </w:rPr>
              <w:t>ADD2</w:t>
            </w:r>
          </w:p>
        </w:tc>
      </w:tr>
      <w:tr w:rsidR="00DB1AEE" w:rsidRPr="00DB1AEE" w14:paraId="1118572D" w14:textId="77777777" w:rsidTr="00FC1832">
        <w:trPr>
          <w:trHeight w:val="300"/>
        </w:trPr>
        <w:tc>
          <w:tcPr>
            <w:tcW w:w="896" w:type="pct"/>
            <w:tcBorders>
              <w:top w:val="nil"/>
              <w:left w:val="single" w:sz="4" w:space="0" w:color="auto"/>
              <w:bottom w:val="single" w:sz="4" w:space="0" w:color="auto"/>
              <w:right w:val="single" w:sz="4" w:space="0" w:color="auto"/>
            </w:tcBorders>
            <w:hideMark/>
          </w:tcPr>
          <w:p w14:paraId="5DAD4214" w14:textId="77777777" w:rsidR="00DB1AEE" w:rsidRPr="00DB1AEE" w:rsidRDefault="00DB1AEE" w:rsidP="00DB1AEE">
            <w:pPr>
              <w:suppressAutoHyphens/>
              <w:jc w:val="left"/>
              <w:rPr>
                <w:sz w:val="18"/>
                <w:szCs w:val="18"/>
                <w:u w:val="single"/>
              </w:rPr>
            </w:pPr>
            <w:r w:rsidRPr="00DB1AEE">
              <w:rPr>
                <w:sz w:val="18"/>
                <w:szCs w:val="18"/>
                <w:u w:val="single"/>
              </w:rPr>
              <w:t>Hair care</w:t>
            </w:r>
          </w:p>
        </w:tc>
        <w:tc>
          <w:tcPr>
            <w:tcW w:w="429" w:type="pct"/>
            <w:gridSpan w:val="2"/>
            <w:tcBorders>
              <w:top w:val="nil"/>
              <w:left w:val="nil"/>
              <w:bottom w:val="single" w:sz="4" w:space="0" w:color="auto"/>
              <w:right w:val="single" w:sz="4" w:space="0" w:color="auto"/>
            </w:tcBorders>
            <w:noWrap/>
            <w:hideMark/>
          </w:tcPr>
          <w:p w14:paraId="5ACCE682" w14:textId="77777777" w:rsidR="00DB1AEE" w:rsidRPr="00DB1AEE" w:rsidRDefault="00DB1AEE" w:rsidP="00DB1AEE">
            <w:pPr>
              <w:suppressAutoHyphens/>
              <w:jc w:val="left"/>
              <w:rPr>
                <w:sz w:val="18"/>
                <w:szCs w:val="18"/>
                <w:u w:val="single"/>
              </w:rPr>
            </w:pPr>
            <w:r w:rsidRPr="00DB1AEE">
              <w:rPr>
                <w:sz w:val="18"/>
                <w:szCs w:val="18"/>
                <w:u w:val="single"/>
              </w:rPr>
              <w:t> </w:t>
            </w:r>
          </w:p>
          <w:p w14:paraId="01B402FD" w14:textId="77777777" w:rsidR="00DB1AEE" w:rsidRPr="00DB1AEE" w:rsidRDefault="00DB1AEE" w:rsidP="00DB1AEE">
            <w:pPr>
              <w:suppressAutoHyphens/>
              <w:jc w:val="center"/>
              <w:rPr>
                <w:sz w:val="18"/>
                <w:szCs w:val="18"/>
                <w:u w:val="single"/>
              </w:rPr>
            </w:pPr>
            <w:r w:rsidRPr="00DB1AEE">
              <w:rPr>
                <w:sz w:val="18"/>
                <w:szCs w:val="18"/>
                <w:u w:val="single"/>
              </w:rPr>
              <w:t>0.65</w:t>
            </w:r>
          </w:p>
        </w:tc>
        <w:tc>
          <w:tcPr>
            <w:tcW w:w="330" w:type="pct"/>
            <w:tcBorders>
              <w:top w:val="nil"/>
              <w:left w:val="nil"/>
              <w:bottom w:val="single" w:sz="4" w:space="0" w:color="auto"/>
              <w:right w:val="single" w:sz="4" w:space="0" w:color="auto"/>
            </w:tcBorders>
            <w:noWrap/>
            <w:hideMark/>
          </w:tcPr>
          <w:p w14:paraId="71E35DC1" w14:textId="77777777" w:rsidR="00DB1AEE" w:rsidRPr="00DB1AEE" w:rsidRDefault="00DB1AEE" w:rsidP="00DB1AEE">
            <w:pPr>
              <w:suppressAutoHyphens/>
              <w:jc w:val="center"/>
              <w:rPr>
                <w:sz w:val="18"/>
                <w:szCs w:val="18"/>
                <w:u w:val="single"/>
              </w:rPr>
            </w:pPr>
            <w:r w:rsidRPr="00DB1AEE">
              <w:rPr>
                <w:sz w:val="18"/>
                <w:szCs w:val="18"/>
                <w:u w:val="single"/>
              </w:rPr>
              <w:t>6</w:t>
            </w:r>
          </w:p>
        </w:tc>
        <w:tc>
          <w:tcPr>
            <w:tcW w:w="361" w:type="pct"/>
            <w:gridSpan w:val="2"/>
            <w:tcBorders>
              <w:top w:val="nil"/>
              <w:left w:val="nil"/>
              <w:bottom w:val="single" w:sz="4" w:space="0" w:color="auto"/>
              <w:right w:val="single" w:sz="4" w:space="0" w:color="auto"/>
            </w:tcBorders>
            <w:hideMark/>
          </w:tcPr>
          <w:p w14:paraId="3A9097A6"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63" w:type="pct"/>
            <w:gridSpan w:val="3"/>
            <w:tcBorders>
              <w:top w:val="nil"/>
              <w:left w:val="nil"/>
              <w:bottom w:val="single" w:sz="4" w:space="0" w:color="auto"/>
              <w:right w:val="single" w:sz="4" w:space="0" w:color="auto"/>
            </w:tcBorders>
            <w:hideMark/>
          </w:tcPr>
          <w:p w14:paraId="58168050"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330" w:type="pct"/>
            <w:tcBorders>
              <w:top w:val="nil"/>
              <w:left w:val="nil"/>
              <w:bottom w:val="single" w:sz="4" w:space="0" w:color="auto"/>
              <w:right w:val="single" w:sz="4" w:space="0" w:color="auto"/>
            </w:tcBorders>
            <w:hideMark/>
          </w:tcPr>
          <w:p w14:paraId="72456210" w14:textId="77777777" w:rsidR="00DB1AEE" w:rsidRPr="00DB1AEE" w:rsidRDefault="00DB1AEE" w:rsidP="00DB1AEE">
            <w:pPr>
              <w:suppressAutoHyphens/>
              <w:jc w:val="center"/>
              <w:rPr>
                <w:sz w:val="18"/>
                <w:szCs w:val="18"/>
                <w:u w:val="single"/>
              </w:rPr>
            </w:pPr>
            <w:r w:rsidRPr="00DB1AEE">
              <w:rPr>
                <w:sz w:val="18"/>
                <w:szCs w:val="18"/>
                <w:u w:val="single"/>
              </w:rPr>
              <w:t> </w:t>
            </w:r>
          </w:p>
        </w:tc>
        <w:tc>
          <w:tcPr>
            <w:tcW w:w="364" w:type="pct"/>
            <w:gridSpan w:val="2"/>
            <w:tcBorders>
              <w:top w:val="nil"/>
              <w:left w:val="nil"/>
              <w:bottom w:val="single" w:sz="4" w:space="0" w:color="auto"/>
              <w:right w:val="single" w:sz="4" w:space="0" w:color="auto"/>
            </w:tcBorders>
            <w:hideMark/>
          </w:tcPr>
          <w:p w14:paraId="6ACFFA51"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427" w:type="pct"/>
            <w:gridSpan w:val="3"/>
            <w:tcBorders>
              <w:top w:val="nil"/>
              <w:left w:val="nil"/>
              <w:bottom w:val="single" w:sz="4" w:space="0" w:color="auto"/>
              <w:right w:val="single" w:sz="4" w:space="0" w:color="auto"/>
            </w:tcBorders>
            <w:vAlign w:val="center"/>
            <w:hideMark/>
          </w:tcPr>
          <w:p w14:paraId="47C2F507" w14:textId="77777777" w:rsidR="00DB1AEE" w:rsidRPr="00DB1AEE" w:rsidRDefault="00DB1AEE" w:rsidP="00DB1AEE">
            <w:pPr>
              <w:suppressAutoHyphens/>
              <w:jc w:val="center"/>
              <w:rPr>
                <w:sz w:val="18"/>
                <w:szCs w:val="18"/>
                <w:u w:val="single"/>
              </w:rPr>
            </w:pPr>
            <w:r w:rsidRPr="00DB1AEE">
              <w:rPr>
                <w:sz w:val="18"/>
                <w:szCs w:val="18"/>
                <w:u w:val="single"/>
              </w:rPr>
              <w:t> </w:t>
            </w:r>
          </w:p>
        </w:tc>
        <w:tc>
          <w:tcPr>
            <w:tcW w:w="397" w:type="pct"/>
            <w:tcBorders>
              <w:top w:val="nil"/>
              <w:left w:val="nil"/>
              <w:bottom w:val="single" w:sz="4" w:space="0" w:color="auto"/>
              <w:right w:val="single" w:sz="4" w:space="0" w:color="auto"/>
            </w:tcBorders>
            <w:hideMark/>
          </w:tcPr>
          <w:p w14:paraId="1D3EF446" w14:textId="77777777" w:rsidR="00DB1AEE" w:rsidRPr="00DB1AEE" w:rsidRDefault="00DB1AEE" w:rsidP="00DB1AEE">
            <w:pPr>
              <w:suppressAutoHyphens/>
              <w:jc w:val="center"/>
              <w:rPr>
                <w:sz w:val="18"/>
                <w:szCs w:val="18"/>
                <w:u w:val="single"/>
              </w:rPr>
            </w:pPr>
            <w:r w:rsidRPr="00DB1AEE">
              <w:rPr>
                <w:sz w:val="18"/>
                <w:szCs w:val="18"/>
                <w:u w:val="single"/>
              </w:rPr>
              <w:t> </w:t>
            </w:r>
          </w:p>
        </w:tc>
        <w:tc>
          <w:tcPr>
            <w:tcW w:w="363" w:type="pct"/>
            <w:tcBorders>
              <w:top w:val="nil"/>
              <w:left w:val="nil"/>
              <w:bottom w:val="single" w:sz="4" w:space="0" w:color="auto"/>
              <w:right w:val="single" w:sz="4" w:space="0" w:color="auto"/>
            </w:tcBorders>
            <w:vAlign w:val="center"/>
            <w:hideMark/>
          </w:tcPr>
          <w:p w14:paraId="132DD608"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418" w:type="pct"/>
            <w:gridSpan w:val="3"/>
            <w:tcBorders>
              <w:top w:val="nil"/>
              <w:left w:val="nil"/>
              <w:bottom w:val="single" w:sz="4" w:space="0" w:color="auto"/>
              <w:right w:val="single" w:sz="4" w:space="0" w:color="auto"/>
            </w:tcBorders>
            <w:hideMark/>
          </w:tcPr>
          <w:p w14:paraId="6078B803" w14:textId="77777777" w:rsidR="00DB1AEE" w:rsidRPr="00DB1AEE" w:rsidRDefault="00DB1AEE" w:rsidP="00DB1AEE">
            <w:pPr>
              <w:suppressAutoHyphens/>
              <w:jc w:val="center"/>
              <w:rPr>
                <w:sz w:val="18"/>
                <w:szCs w:val="18"/>
                <w:u w:val="single"/>
              </w:rPr>
            </w:pPr>
            <w:r w:rsidRPr="00DB1AEE">
              <w:rPr>
                <w:sz w:val="18"/>
                <w:szCs w:val="18"/>
                <w:u w:val="single"/>
              </w:rPr>
              <w:t>ADD2</w:t>
            </w:r>
          </w:p>
        </w:tc>
        <w:tc>
          <w:tcPr>
            <w:tcW w:w="323" w:type="pct"/>
            <w:tcBorders>
              <w:top w:val="nil"/>
              <w:left w:val="nil"/>
              <w:bottom w:val="single" w:sz="4" w:space="0" w:color="auto"/>
              <w:right w:val="single" w:sz="4" w:space="0" w:color="auto"/>
            </w:tcBorders>
            <w:hideMark/>
          </w:tcPr>
          <w:p w14:paraId="12383365" w14:textId="77777777" w:rsidR="00DB1AEE" w:rsidRPr="00DB1AEE" w:rsidRDefault="00DB1AEE" w:rsidP="00DB1AEE">
            <w:pPr>
              <w:suppressAutoHyphens/>
              <w:jc w:val="center"/>
              <w:rPr>
                <w:sz w:val="18"/>
                <w:szCs w:val="18"/>
                <w:u w:val="single"/>
              </w:rPr>
            </w:pPr>
            <w:r w:rsidRPr="00DB1AEE">
              <w:rPr>
                <w:sz w:val="18"/>
                <w:szCs w:val="18"/>
                <w:u w:val="single"/>
              </w:rPr>
              <w:t>ADD2</w:t>
            </w:r>
          </w:p>
        </w:tc>
      </w:tr>
      <w:tr w:rsidR="00DB1AEE" w:rsidRPr="00DB1AEE" w14:paraId="3F9DC333" w14:textId="77777777" w:rsidTr="00FC1832">
        <w:trPr>
          <w:trHeight w:val="300"/>
        </w:trPr>
        <w:tc>
          <w:tcPr>
            <w:tcW w:w="896" w:type="pct"/>
            <w:tcBorders>
              <w:top w:val="nil"/>
              <w:left w:val="single" w:sz="4" w:space="0" w:color="auto"/>
              <w:bottom w:val="single" w:sz="4" w:space="0" w:color="auto"/>
              <w:right w:val="single" w:sz="4" w:space="0" w:color="auto"/>
            </w:tcBorders>
            <w:hideMark/>
          </w:tcPr>
          <w:p w14:paraId="6DD516A3" w14:textId="77777777" w:rsidR="00DB1AEE" w:rsidRPr="00DB1AEE" w:rsidRDefault="00DB1AEE" w:rsidP="00DB1AEE">
            <w:pPr>
              <w:suppressAutoHyphens/>
              <w:jc w:val="left"/>
              <w:rPr>
                <w:sz w:val="18"/>
                <w:szCs w:val="18"/>
                <w:u w:val="single"/>
              </w:rPr>
            </w:pPr>
            <w:r w:rsidRPr="00DB1AEE">
              <w:rPr>
                <w:sz w:val="18"/>
                <w:szCs w:val="18"/>
                <w:u w:val="single"/>
              </w:rPr>
              <w:t>Mall concourse</w:t>
            </w:r>
          </w:p>
        </w:tc>
        <w:tc>
          <w:tcPr>
            <w:tcW w:w="429" w:type="pct"/>
            <w:gridSpan w:val="2"/>
            <w:tcBorders>
              <w:top w:val="nil"/>
              <w:left w:val="nil"/>
              <w:bottom w:val="single" w:sz="4" w:space="0" w:color="auto"/>
              <w:right w:val="single" w:sz="4" w:space="0" w:color="auto"/>
            </w:tcBorders>
            <w:noWrap/>
            <w:hideMark/>
          </w:tcPr>
          <w:p w14:paraId="22D25B62" w14:textId="77777777" w:rsidR="00DB1AEE" w:rsidRPr="00DB1AEE" w:rsidRDefault="00DB1AEE" w:rsidP="00DB1AEE">
            <w:pPr>
              <w:suppressAutoHyphens/>
              <w:jc w:val="center"/>
              <w:rPr>
                <w:sz w:val="18"/>
                <w:szCs w:val="18"/>
                <w:u w:val="single"/>
              </w:rPr>
            </w:pPr>
            <w:r w:rsidRPr="00DB1AEE">
              <w:rPr>
                <w:sz w:val="18"/>
                <w:szCs w:val="18"/>
                <w:u w:val="single"/>
              </w:rPr>
              <w:t>0.5</w:t>
            </w:r>
          </w:p>
        </w:tc>
        <w:tc>
          <w:tcPr>
            <w:tcW w:w="330" w:type="pct"/>
            <w:tcBorders>
              <w:top w:val="nil"/>
              <w:left w:val="nil"/>
              <w:bottom w:val="single" w:sz="4" w:space="0" w:color="auto"/>
              <w:right w:val="single" w:sz="4" w:space="0" w:color="auto"/>
            </w:tcBorders>
            <w:noWrap/>
            <w:hideMark/>
          </w:tcPr>
          <w:p w14:paraId="7B08954A" w14:textId="77777777" w:rsidR="00DB1AEE" w:rsidRPr="00DB1AEE" w:rsidRDefault="00DB1AEE" w:rsidP="00DB1AEE">
            <w:pPr>
              <w:suppressAutoHyphens/>
              <w:jc w:val="center"/>
              <w:rPr>
                <w:sz w:val="18"/>
                <w:szCs w:val="18"/>
                <w:u w:val="single"/>
              </w:rPr>
            </w:pPr>
            <w:r w:rsidRPr="00DB1AEE">
              <w:rPr>
                <w:sz w:val="18"/>
                <w:szCs w:val="18"/>
                <w:u w:val="single"/>
              </w:rPr>
              <w:t>4</w:t>
            </w:r>
          </w:p>
        </w:tc>
        <w:tc>
          <w:tcPr>
            <w:tcW w:w="361" w:type="pct"/>
            <w:gridSpan w:val="2"/>
            <w:tcBorders>
              <w:top w:val="nil"/>
              <w:left w:val="nil"/>
              <w:bottom w:val="single" w:sz="4" w:space="0" w:color="auto"/>
              <w:right w:val="single" w:sz="4" w:space="0" w:color="auto"/>
            </w:tcBorders>
            <w:hideMark/>
          </w:tcPr>
          <w:p w14:paraId="13543E28"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63" w:type="pct"/>
            <w:gridSpan w:val="3"/>
            <w:tcBorders>
              <w:top w:val="nil"/>
              <w:left w:val="nil"/>
              <w:bottom w:val="single" w:sz="4" w:space="0" w:color="auto"/>
              <w:right w:val="single" w:sz="4" w:space="0" w:color="auto"/>
            </w:tcBorders>
            <w:hideMark/>
          </w:tcPr>
          <w:p w14:paraId="21E14B31" w14:textId="77777777" w:rsidR="00DB1AEE" w:rsidRPr="00DB1AEE" w:rsidRDefault="00DB1AEE" w:rsidP="00DB1AEE">
            <w:pPr>
              <w:suppressAutoHyphens/>
              <w:jc w:val="left"/>
              <w:rPr>
                <w:sz w:val="18"/>
                <w:szCs w:val="18"/>
                <w:u w:val="single"/>
              </w:rPr>
            </w:pPr>
            <w:r w:rsidRPr="00DB1AEE">
              <w:rPr>
                <w:sz w:val="18"/>
                <w:szCs w:val="18"/>
                <w:u w:val="single"/>
              </w:rPr>
              <w:t>ADD1</w:t>
            </w:r>
          </w:p>
        </w:tc>
        <w:tc>
          <w:tcPr>
            <w:tcW w:w="330" w:type="pct"/>
            <w:tcBorders>
              <w:top w:val="nil"/>
              <w:left w:val="nil"/>
              <w:bottom w:val="single" w:sz="4" w:space="0" w:color="auto"/>
              <w:right w:val="single" w:sz="4" w:space="0" w:color="auto"/>
            </w:tcBorders>
            <w:hideMark/>
          </w:tcPr>
          <w:p w14:paraId="5B0E554A"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364" w:type="pct"/>
            <w:gridSpan w:val="2"/>
            <w:tcBorders>
              <w:top w:val="nil"/>
              <w:left w:val="nil"/>
              <w:bottom w:val="single" w:sz="4" w:space="0" w:color="auto"/>
              <w:right w:val="single" w:sz="4" w:space="0" w:color="auto"/>
            </w:tcBorders>
            <w:hideMark/>
          </w:tcPr>
          <w:p w14:paraId="4FEAE474" w14:textId="77777777" w:rsidR="00DB1AEE" w:rsidRPr="00DB1AEE" w:rsidRDefault="00DB1AEE" w:rsidP="00DB1AEE">
            <w:pPr>
              <w:suppressAutoHyphens/>
              <w:jc w:val="left"/>
              <w:rPr>
                <w:sz w:val="18"/>
                <w:szCs w:val="18"/>
                <w:u w:val="single"/>
              </w:rPr>
            </w:pPr>
            <w:r w:rsidRPr="00DB1AEE">
              <w:rPr>
                <w:sz w:val="18"/>
                <w:szCs w:val="18"/>
                <w:u w:val="single"/>
              </w:rPr>
              <w:t>REQ</w:t>
            </w:r>
          </w:p>
        </w:tc>
        <w:tc>
          <w:tcPr>
            <w:tcW w:w="427" w:type="pct"/>
            <w:gridSpan w:val="3"/>
            <w:tcBorders>
              <w:top w:val="nil"/>
              <w:left w:val="nil"/>
              <w:bottom w:val="single" w:sz="4" w:space="0" w:color="auto"/>
              <w:right w:val="single" w:sz="4" w:space="0" w:color="auto"/>
            </w:tcBorders>
            <w:hideMark/>
          </w:tcPr>
          <w:p w14:paraId="014B178D" w14:textId="77777777" w:rsidR="00DB1AEE" w:rsidRPr="00DB1AEE" w:rsidRDefault="00DB1AEE" w:rsidP="00DB1AEE">
            <w:pPr>
              <w:suppressAutoHyphens/>
              <w:jc w:val="center"/>
              <w:rPr>
                <w:sz w:val="18"/>
                <w:szCs w:val="18"/>
                <w:u w:val="single"/>
              </w:rPr>
            </w:pPr>
          </w:p>
        </w:tc>
        <w:tc>
          <w:tcPr>
            <w:tcW w:w="397" w:type="pct"/>
            <w:tcBorders>
              <w:top w:val="nil"/>
              <w:left w:val="nil"/>
              <w:bottom w:val="single" w:sz="4" w:space="0" w:color="auto"/>
              <w:right w:val="single" w:sz="4" w:space="0" w:color="auto"/>
            </w:tcBorders>
            <w:hideMark/>
          </w:tcPr>
          <w:p w14:paraId="38D334CB"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63" w:type="pct"/>
            <w:tcBorders>
              <w:top w:val="nil"/>
              <w:left w:val="nil"/>
              <w:bottom w:val="single" w:sz="4" w:space="0" w:color="auto"/>
              <w:right w:val="single" w:sz="4" w:space="0" w:color="auto"/>
            </w:tcBorders>
            <w:vAlign w:val="bottom"/>
            <w:hideMark/>
          </w:tcPr>
          <w:p w14:paraId="199D2EE9"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418" w:type="pct"/>
            <w:gridSpan w:val="3"/>
            <w:tcBorders>
              <w:top w:val="nil"/>
              <w:left w:val="nil"/>
              <w:bottom w:val="single" w:sz="4" w:space="0" w:color="auto"/>
              <w:right w:val="single" w:sz="4" w:space="0" w:color="auto"/>
            </w:tcBorders>
            <w:hideMark/>
          </w:tcPr>
          <w:p w14:paraId="3E1D5372" w14:textId="77777777" w:rsidR="00DB1AEE" w:rsidRPr="00DB1AEE" w:rsidRDefault="00DB1AEE" w:rsidP="00DB1AEE">
            <w:pPr>
              <w:suppressAutoHyphens/>
              <w:jc w:val="left"/>
              <w:rPr>
                <w:sz w:val="18"/>
                <w:szCs w:val="18"/>
                <w:u w:val="single"/>
              </w:rPr>
            </w:pPr>
            <w:r w:rsidRPr="00DB1AEE">
              <w:rPr>
                <w:sz w:val="18"/>
                <w:szCs w:val="18"/>
                <w:u w:val="single"/>
              </w:rPr>
              <w:t>ADD2</w:t>
            </w:r>
          </w:p>
        </w:tc>
        <w:tc>
          <w:tcPr>
            <w:tcW w:w="323" w:type="pct"/>
            <w:tcBorders>
              <w:top w:val="nil"/>
              <w:left w:val="nil"/>
              <w:bottom w:val="single" w:sz="4" w:space="0" w:color="auto"/>
              <w:right w:val="single" w:sz="4" w:space="0" w:color="auto"/>
            </w:tcBorders>
            <w:hideMark/>
          </w:tcPr>
          <w:p w14:paraId="06171C1A" w14:textId="77777777" w:rsidR="00DB1AEE" w:rsidRPr="00DB1AEE" w:rsidRDefault="00DB1AEE" w:rsidP="00DB1AEE">
            <w:pPr>
              <w:suppressAutoHyphens/>
              <w:jc w:val="left"/>
              <w:rPr>
                <w:sz w:val="18"/>
                <w:szCs w:val="18"/>
                <w:u w:val="single"/>
              </w:rPr>
            </w:pPr>
            <w:r w:rsidRPr="00DB1AEE">
              <w:rPr>
                <w:sz w:val="18"/>
                <w:szCs w:val="18"/>
                <w:u w:val="single"/>
              </w:rPr>
              <w:t>ADD2</w:t>
            </w:r>
          </w:p>
        </w:tc>
      </w:tr>
      <w:tr w:rsidR="00DB1AEE" w:rsidRPr="00DB1AEE" w14:paraId="06600074" w14:textId="77777777" w:rsidTr="00FC1832">
        <w:trPr>
          <w:trHeight w:val="300"/>
        </w:trPr>
        <w:tc>
          <w:tcPr>
            <w:tcW w:w="896" w:type="pct"/>
            <w:tcBorders>
              <w:top w:val="nil"/>
              <w:left w:val="single" w:sz="4" w:space="0" w:color="auto"/>
              <w:bottom w:val="single" w:sz="4" w:space="0" w:color="auto"/>
              <w:right w:val="single" w:sz="4" w:space="0" w:color="auto"/>
            </w:tcBorders>
            <w:hideMark/>
          </w:tcPr>
          <w:p w14:paraId="22564662" w14:textId="77777777" w:rsidR="00DB1AEE" w:rsidRPr="00DB1AEE" w:rsidRDefault="00DB1AEE" w:rsidP="00DB1AEE">
            <w:pPr>
              <w:suppressAutoHyphens/>
              <w:jc w:val="left"/>
              <w:rPr>
                <w:sz w:val="18"/>
                <w:szCs w:val="18"/>
                <w:u w:val="single"/>
              </w:rPr>
            </w:pPr>
            <w:r w:rsidRPr="00DB1AEE">
              <w:rPr>
                <w:sz w:val="18"/>
                <w:szCs w:val="18"/>
                <w:u w:val="single"/>
              </w:rPr>
              <w:t>Massage</w:t>
            </w:r>
          </w:p>
        </w:tc>
        <w:tc>
          <w:tcPr>
            <w:tcW w:w="429" w:type="pct"/>
            <w:gridSpan w:val="2"/>
            <w:tcBorders>
              <w:top w:val="nil"/>
              <w:left w:val="nil"/>
              <w:bottom w:val="single" w:sz="4" w:space="0" w:color="auto"/>
              <w:right w:val="single" w:sz="4" w:space="0" w:color="auto"/>
            </w:tcBorders>
            <w:noWrap/>
            <w:hideMark/>
          </w:tcPr>
          <w:p w14:paraId="62D6E2AF" w14:textId="77777777" w:rsidR="00DB1AEE" w:rsidRPr="00DB1AEE" w:rsidRDefault="00DB1AEE" w:rsidP="00DB1AEE">
            <w:pPr>
              <w:suppressAutoHyphens/>
              <w:jc w:val="left"/>
              <w:rPr>
                <w:sz w:val="18"/>
                <w:szCs w:val="18"/>
                <w:u w:val="single"/>
              </w:rPr>
            </w:pPr>
            <w:r w:rsidRPr="00DB1AEE">
              <w:rPr>
                <w:sz w:val="18"/>
                <w:szCs w:val="18"/>
                <w:u w:val="single"/>
              </w:rPr>
              <w:t> </w:t>
            </w:r>
          </w:p>
          <w:p w14:paraId="68C33F8B" w14:textId="77777777" w:rsidR="00DB1AEE" w:rsidRPr="00DB1AEE" w:rsidRDefault="00DB1AEE" w:rsidP="00DB1AEE">
            <w:pPr>
              <w:suppressAutoHyphens/>
              <w:jc w:val="center"/>
              <w:rPr>
                <w:sz w:val="18"/>
                <w:szCs w:val="18"/>
                <w:u w:val="single"/>
              </w:rPr>
            </w:pPr>
            <w:r w:rsidRPr="00DB1AEE">
              <w:rPr>
                <w:sz w:val="18"/>
                <w:szCs w:val="18"/>
                <w:u w:val="single"/>
              </w:rPr>
              <w:t>0. 1</w:t>
            </w:r>
          </w:p>
        </w:tc>
        <w:tc>
          <w:tcPr>
            <w:tcW w:w="330" w:type="pct"/>
            <w:tcBorders>
              <w:top w:val="nil"/>
              <w:left w:val="single" w:sz="4" w:space="0" w:color="auto"/>
              <w:bottom w:val="single" w:sz="4" w:space="0" w:color="auto"/>
              <w:right w:val="single" w:sz="4" w:space="0" w:color="auto"/>
            </w:tcBorders>
            <w:hideMark/>
          </w:tcPr>
          <w:p w14:paraId="2569ADE2" w14:textId="77777777" w:rsidR="00DB1AEE" w:rsidRPr="00DB1AEE" w:rsidRDefault="00DB1AEE" w:rsidP="00DB1AEE">
            <w:pPr>
              <w:suppressAutoHyphens/>
              <w:jc w:val="center"/>
              <w:rPr>
                <w:sz w:val="18"/>
                <w:szCs w:val="18"/>
                <w:u w:val="single"/>
              </w:rPr>
            </w:pPr>
            <w:r w:rsidRPr="00DB1AEE">
              <w:rPr>
                <w:sz w:val="18"/>
                <w:szCs w:val="18"/>
                <w:u w:val="single"/>
              </w:rPr>
              <w:t xml:space="preserve"> </w:t>
            </w:r>
          </w:p>
        </w:tc>
        <w:tc>
          <w:tcPr>
            <w:tcW w:w="361" w:type="pct"/>
            <w:gridSpan w:val="2"/>
            <w:tcBorders>
              <w:top w:val="nil"/>
              <w:left w:val="nil"/>
              <w:bottom w:val="single" w:sz="4" w:space="0" w:color="auto"/>
              <w:right w:val="single" w:sz="4" w:space="0" w:color="auto"/>
            </w:tcBorders>
            <w:hideMark/>
          </w:tcPr>
          <w:p w14:paraId="624090A4"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63" w:type="pct"/>
            <w:gridSpan w:val="3"/>
            <w:tcBorders>
              <w:top w:val="nil"/>
              <w:left w:val="nil"/>
              <w:bottom w:val="single" w:sz="4" w:space="0" w:color="auto"/>
              <w:right w:val="single" w:sz="4" w:space="0" w:color="auto"/>
            </w:tcBorders>
            <w:hideMark/>
          </w:tcPr>
          <w:p w14:paraId="61F9BFBD"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330" w:type="pct"/>
            <w:tcBorders>
              <w:top w:val="nil"/>
              <w:left w:val="nil"/>
              <w:bottom w:val="single" w:sz="4" w:space="0" w:color="auto"/>
              <w:right w:val="single" w:sz="4" w:space="0" w:color="auto"/>
            </w:tcBorders>
            <w:hideMark/>
          </w:tcPr>
          <w:p w14:paraId="453D9F89"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364" w:type="pct"/>
            <w:gridSpan w:val="2"/>
            <w:tcBorders>
              <w:top w:val="nil"/>
              <w:left w:val="nil"/>
              <w:bottom w:val="single" w:sz="4" w:space="0" w:color="auto"/>
              <w:right w:val="single" w:sz="4" w:space="0" w:color="auto"/>
            </w:tcBorders>
            <w:hideMark/>
          </w:tcPr>
          <w:p w14:paraId="681E177E"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427" w:type="pct"/>
            <w:gridSpan w:val="3"/>
            <w:tcBorders>
              <w:top w:val="nil"/>
              <w:left w:val="nil"/>
              <w:bottom w:val="single" w:sz="4" w:space="0" w:color="auto"/>
              <w:right w:val="nil"/>
            </w:tcBorders>
            <w:hideMark/>
          </w:tcPr>
          <w:p w14:paraId="65783CF9" w14:textId="77777777" w:rsidR="00DB1AEE" w:rsidRPr="00DB1AEE" w:rsidRDefault="00DB1AEE" w:rsidP="00DB1AEE">
            <w:pPr>
              <w:suppressAutoHyphens/>
              <w:jc w:val="center"/>
              <w:rPr>
                <w:sz w:val="18"/>
                <w:szCs w:val="18"/>
                <w:u w:val="single"/>
              </w:rPr>
            </w:pPr>
            <w:r w:rsidRPr="00DB1AEE">
              <w:rPr>
                <w:sz w:val="18"/>
                <w:szCs w:val="18"/>
                <w:u w:val="single"/>
              </w:rPr>
              <w:t> </w:t>
            </w:r>
          </w:p>
        </w:tc>
        <w:tc>
          <w:tcPr>
            <w:tcW w:w="397" w:type="pct"/>
            <w:tcBorders>
              <w:top w:val="nil"/>
              <w:left w:val="nil"/>
              <w:bottom w:val="single" w:sz="4" w:space="0" w:color="auto"/>
              <w:right w:val="nil"/>
            </w:tcBorders>
            <w:hideMark/>
          </w:tcPr>
          <w:p w14:paraId="50C8147E" w14:textId="77777777" w:rsidR="00DB1AEE" w:rsidRPr="00DB1AEE" w:rsidRDefault="00DB1AEE" w:rsidP="00DB1AEE">
            <w:pPr>
              <w:suppressAutoHyphens/>
              <w:jc w:val="center"/>
              <w:rPr>
                <w:sz w:val="18"/>
                <w:szCs w:val="18"/>
                <w:u w:val="single"/>
              </w:rPr>
            </w:pPr>
            <w:r w:rsidRPr="00DB1AEE">
              <w:rPr>
                <w:sz w:val="18"/>
                <w:szCs w:val="18"/>
                <w:u w:val="single"/>
              </w:rPr>
              <w:t> </w:t>
            </w:r>
          </w:p>
        </w:tc>
        <w:tc>
          <w:tcPr>
            <w:tcW w:w="363" w:type="pct"/>
            <w:tcBorders>
              <w:top w:val="nil"/>
              <w:left w:val="nil"/>
              <w:bottom w:val="single" w:sz="4" w:space="0" w:color="auto"/>
              <w:right w:val="nil"/>
            </w:tcBorders>
            <w:vAlign w:val="bottom"/>
            <w:hideMark/>
          </w:tcPr>
          <w:p w14:paraId="26C6FF2A"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418" w:type="pct"/>
            <w:gridSpan w:val="3"/>
            <w:tcBorders>
              <w:top w:val="nil"/>
              <w:left w:val="single" w:sz="4" w:space="0" w:color="auto"/>
              <w:bottom w:val="single" w:sz="4" w:space="0" w:color="auto"/>
              <w:right w:val="single" w:sz="4" w:space="0" w:color="auto"/>
            </w:tcBorders>
            <w:hideMark/>
          </w:tcPr>
          <w:p w14:paraId="3B37BC7C" w14:textId="77777777" w:rsidR="00DB1AEE" w:rsidRPr="00DB1AEE" w:rsidRDefault="00DB1AEE" w:rsidP="00DB1AEE">
            <w:pPr>
              <w:suppressAutoHyphens/>
              <w:jc w:val="center"/>
              <w:rPr>
                <w:sz w:val="18"/>
                <w:szCs w:val="18"/>
                <w:u w:val="single"/>
              </w:rPr>
            </w:pPr>
            <w:r w:rsidRPr="00DB1AEE">
              <w:rPr>
                <w:sz w:val="18"/>
                <w:szCs w:val="18"/>
                <w:u w:val="single"/>
              </w:rPr>
              <w:t>ADD2</w:t>
            </w:r>
          </w:p>
        </w:tc>
        <w:tc>
          <w:tcPr>
            <w:tcW w:w="323" w:type="pct"/>
            <w:tcBorders>
              <w:top w:val="nil"/>
              <w:left w:val="nil"/>
              <w:bottom w:val="single" w:sz="4" w:space="0" w:color="auto"/>
              <w:right w:val="single" w:sz="4" w:space="0" w:color="auto"/>
            </w:tcBorders>
            <w:hideMark/>
          </w:tcPr>
          <w:p w14:paraId="6446ACCC" w14:textId="77777777" w:rsidR="00DB1AEE" w:rsidRPr="00DB1AEE" w:rsidRDefault="00DB1AEE" w:rsidP="00DB1AEE">
            <w:pPr>
              <w:suppressAutoHyphens/>
              <w:jc w:val="center"/>
              <w:rPr>
                <w:sz w:val="18"/>
                <w:szCs w:val="18"/>
                <w:u w:val="single"/>
              </w:rPr>
            </w:pPr>
            <w:r w:rsidRPr="00DB1AEE">
              <w:rPr>
                <w:sz w:val="18"/>
                <w:szCs w:val="18"/>
                <w:u w:val="single"/>
              </w:rPr>
              <w:t>ADD2</w:t>
            </w:r>
          </w:p>
        </w:tc>
      </w:tr>
      <w:tr w:rsidR="00DB1AEE" w:rsidRPr="00DB1AEE" w14:paraId="5B6DA13E" w14:textId="77777777" w:rsidTr="00FC1832">
        <w:trPr>
          <w:trHeight w:val="300"/>
        </w:trPr>
        <w:tc>
          <w:tcPr>
            <w:tcW w:w="896" w:type="pct"/>
            <w:tcBorders>
              <w:top w:val="nil"/>
              <w:left w:val="single" w:sz="4" w:space="0" w:color="auto"/>
              <w:bottom w:val="single" w:sz="4" w:space="0" w:color="auto"/>
              <w:right w:val="single" w:sz="4" w:space="0" w:color="auto"/>
            </w:tcBorders>
            <w:hideMark/>
          </w:tcPr>
          <w:p w14:paraId="2BFE1CA9" w14:textId="77777777" w:rsidR="00DB1AEE" w:rsidRPr="00DB1AEE" w:rsidRDefault="00DB1AEE" w:rsidP="00DB1AEE">
            <w:pPr>
              <w:suppressAutoHyphens/>
              <w:jc w:val="left"/>
              <w:rPr>
                <w:sz w:val="18"/>
                <w:szCs w:val="18"/>
                <w:u w:val="single"/>
              </w:rPr>
            </w:pPr>
            <w:r w:rsidRPr="00DB1AEE">
              <w:rPr>
                <w:sz w:val="18"/>
                <w:szCs w:val="18"/>
                <w:u w:val="single"/>
              </w:rPr>
              <w:t>Nail care</w:t>
            </w:r>
          </w:p>
        </w:tc>
        <w:tc>
          <w:tcPr>
            <w:tcW w:w="429" w:type="pct"/>
            <w:gridSpan w:val="2"/>
            <w:tcBorders>
              <w:top w:val="nil"/>
              <w:left w:val="nil"/>
              <w:bottom w:val="single" w:sz="4" w:space="0" w:color="auto"/>
              <w:right w:val="single" w:sz="4" w:space="0" w:color="auto"/>
            </w:tcBorders>
            <w:noWrap/>
            <w:hideMark/>
          </w:tcPr>
          <w:p w14:paraId="4E9E53EA" w14:textId="77777777" w:rsidR="00DB1AEE" w:rsidRPr="00DB1AEE" w:rsidRDefault="00DB1AEE" w:rsidP="00DB1AEE">
            <w:pPr>
              <w:suppressAutoHyphens/>
              <w:jc w:val="left"/>
              <w:rPr>
                <w:sz w:val="18"/>
                <w:szCs w:val="18"/>
                <w:u w:val="single"/>
              </w:rPr>
            </w:pPr>
            <w:r w:rsidRPr="00DB1AEE">
              <w:rPr>
                <w:sz w:val="18"/>
                <w:szCs w:val="18"/>
                <w:u w:val="single"/>
              </w:rPr>
              <w:t> </w:t>
            </w:r>
          </w:p>
          <w:p w14:paraId="2B060DA7" w14:textId="77777777" w:rsidR="00DB1AEE" w:rsidRPr="00DB1AEE" w:rsidRDefault="00DB1AEE" w:rsidP="00DB1AEE">
            <w:pPr>
              <w:suppressAutoHyphens/>
              <w:jc w:val="center"/>
              <w:rPr>
                <w:sz w:val="18"/>
                <w:szCs w:val="18"/>
                <w:u w:val="single"/>
              </w:rPr>
            </w:pPr>
            <w:r w:rsidRPr="00DB1AEE">
              <w:rPr>
                <w:sz w:val="18"/>
                <w:szCs w:val="18"/>
                <w:u w:val="single"/>
              </w:rPr>
              <w:t>0. 5</w:t>
            </w:r>
          </w:p>
        </w:tc>
        <w:tc>
          <w:tcPr>
            <w:tcW w:w="330" w:type="pct"/>
            <w:tcBorders>
              <w:top w:val="nil"/>
              <w:left w:val="single" w:sz="4" w:space="0" w:color="auto"/>
              <w:bottom w:val="single" w:sz="4" w:space="0" w:color="auto"/>
              <w:right w:val="single" w:sz="4" w:space="0" w:color="auto"/>
            </w:tcBorders>
            <w:noWrap/>
            <w:hideMark/>
          </w:tcPr>
          <w:p w14:paraId="22468AC0" w14:textId="77777777" w:rsidR="00DB1AEE" w:rsidRPr="00DB1AEE" w:rsidRDefault="00DB1AEE" w:rsidP="00DB1AEE">
            <w:pPr>
              <w:suppressAutoHyphens/>
              <w:jc w:val="center"/>
              <w:rPr>
                <w:sz w:val="18"/>
                <w:szCs w:val="18"/>
                <w:u w:val="single"/>
              </w:rPr>
            </w:pPr>
            <w:r w:rsidRPr="00DB1AEE">
              <w:rPr>
                <w:sz w:val="18"/>
                <w:szCs w:val="18"/>
                <w:u w:val="single"/>
              </w:rPr>
              <w:t>6</w:t>
            </w:r>
          </w:p>
        </w:tc>
        <w:tc>
          <w:tcPr>
            <w:tcW w:w="361" w:type="pct"/>
            <w:gridSpan w:val="2"/>
            <w:tcBorders>
              <w:top w:val="nil"/>
              <w:left w:val="nil"/>
              <w:bottom w:val="single" w:sz="4" w:space="0" w:color="auto"/>
              <w:right w:val="single" w:sz="4" w:space="0" w:color="auto"/>
            </w:tcBorders>
            <w:hideMark/>
          </w:tcPr>
          <w:p w14:paraId="07459B61"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63" w:type="pct"/>
            <w:gridSpan w:val="3"/>
            <w:tcBorders>
              <w:top w:val="nil"/>
              <w:left w:val="nil"/>
              <w:bottom w:val="single" w:sz="4" w:space="0" w:color="auto"/>
              <w:right w:val="single" w:sz="4" w:space="0" w:color="auto"/>
            </w:tcBorders>
            <w:hideMark/>
          </w:tcPr>
          <w:p w14:paraId="1466917D"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330" w:type="pct"/>
            <w:tcBorders>
              <w:top w:val="nil"/>
              <w:left w:val="nil"/>
              <w:bottom w:val="single" w:sz="4" w:space="0" w:color="auto"/>
              <w:right w:val="single" w:sz="4" w:space="0" w:color="auto"/>
            </w:tcBorders>
            <w:hideMark/>
          </w:tcPr>
          <w:p w14:paraId="3DE81332"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364" w:type="pct"/>
            <w:gridSpan w:val="2"/>
            <w:tcBorders>
              <w:top w:val="nil"/>
              <w:left w:val="nil"/>
              <w:bottom w:val="single" w:sz="4" w:space="0" w:color="auto"/>
              <w:right w:val="nil"/>
            </w:tcBorders>
            <w:hideMark/>
          </w:tcPr>
          <w:p w14:paraId="0B353424"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427" w:type="pct"/>
            <w:gridSpan w:val="3"/>
            <w:tcBorders>
              <w:top w:val="nil"/>
              <w:left w:val="nil"/>
              <w:bottom w:val="single" w:sz="4" w:space="0" w:color="auto"/>
              <w:right w:val="nil"/>
            </w:tcBorders>
            <w:hideMark/>
          </w:tcPr>
          <w:p w14:paraId="131E0DCA" w14:textId="77777777" w:rsidR="00DB1AEE" w:rsidRPr="00DB1AEE" w:rsidRDefault="00DB1AEE" w:rsidP="00DB1AEE">
            <w:pPr>
              <w:suppressAutoHyphens/>
              <w:jc w:val="center"/>
              <w:rPr>
                <w:sz w:val="18"/>
                <w:szCs w:val="18"/>
                <w:u w:val="single"/>
              </w:rPr>
            </w:pPr>
            <w:r w:rsidRPr="00DB1AEE">
              <w:rPr>
                <w:sz w:val="18"/>
                <w:szCs w:val="18"/>
                <w:u w:val="single"/>
              </w:rPr>
              <w:t> </w:t>
            </w:r>
          </w:p>
        </w:tc>
        <w:tc>
          <w:tcPr>
            <w:tcW w:w="397" w:type="pct"/>
            <w:tcBorders>
              <w:top w:val="nil"/>
              <w:left w:val="nil"/>
              <w:bottom w:val="single" w:sz="4" w:space="0" w:color="auto"/>
              <w:right w:val="nil"/>
            </w:tcBorders>
            <w:hideMark/>
          </w:tcPr>
          <w:p w14:paraId="0303C784" w14:textId="77777777" w:rsidR="00DB1AEE" w:rsidRPr="00DB1AEE" w:rsidRDefault="00DB1AEE" w:rsidP="00DB1AEE">
            <w:pPr>
              <w:suppressAutoHyphens/>
              <w:jc w:val="center"/>
              <w:rPr>
                <w:sz w:val="18"/>
                <w:szCs w:val="18"/>
                <w:u w:val="single"/>
              </w:rPr>
            </w:pPr>
            <w:r w:rsidRPr="00DB1AEE">
              <w:rPr>
                <w:sz w:val="18"/>
                <w:szCs w:val="18"/>
                <w:u w:val="single"/>
              </w:rPr>
              <w:t> </w:t>
            </w:r>
          </w:p>
        </w:tc>
        <w:tc>
          <w:tcPr>
            <w:tcW w:w="363" w:type="pct"/>
            <w:tcBorders>
              <w:top w:val="nil"/>
              <w:left w:val="nil"/>
              <w:bottom w:val="single" w:sz="4" w:space="0" w:color="auto"/>
              <w:right w:val="nil"/>
            </w:tcBorders>
            <w:vAlign w:val="bottom"/>
            <w:hideMark/>
          </w:tcPr>
          <w:p w14:paraId="4309D138"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418" w:type="pct"/>
            <w:gridSpan w:val="3"/>
            <w:tcBorders>
              <w:top w:val="nil"/>
              <w:left w:val="single" w:sz="4" w:space="0" w:color="auto"/>
              <w:bottom w:val="single" w:sz="4" w:space="0" w:color="auto"/>
              <w:right w:val="single" w:sz="4" w:space="0" w:color="auto"/>
            </w:tcBorders>
            <w:hideMark/>
          </w:tcPr>
          <w:p w14:paraId="6AAC2903" w14:textId="77777777" w:rsidR="00DB1AEE" w:rsidRPr="00DB1AEE" w:rsidRDefault="00DB1AEE" w:rsidP="00DB1AEE">
            <w:pPr>
              <w:suppressAutoHyphens/>
              <w:jc w:val="center"/>
              <w:rPr>
                <w:sz w:val="18"/>
                <w:szCs w:val="18"/>
                <w:u w:val="single"/>
              </w:rPr>
            </w:pPr>
            <w:r w:rsidRPr="00DB1AEE">
              <w:rPr>
                <w:sz w:val="18"/>
                <w:szCs w:val="18"/>
                <w:u w:val="single"/>
              </w:rPr>
              <w:t>ADD2</w:t>
            </w:r>
          </w:p>
        </w:tc>
        <w:tc>
          <w:tcPr>
            <w:tcW w:w="323" w:type="pct"/>
            <w:tcBorders>
              <w:top w:val="nil"/>
              <w:left w:val="nil"/>
              <w:bottom w:val="single" w:sz="4" w:space="0" w:color="auto"/>
              <w:right w:val="single" w:sz="4" w:space="0" w:color="auto"/>
            </w:tcBorders>
            <w:hideMark/>
          </w:tcPr>
          <w:p w14:paraId="69AE367F" w14:textId="77777777" w:rsidR="00DB1AEE" w:rsidRPr="00DB1AEE" w:rsidRDefault="00DB1AEE" w:rsidP="00DB1AEE">
            <w:pPr>
              <w:suppressAutoHyphens/>
              <w:jc w:val="center"/>
              <w:rPr>
                <w:sz w:val="18"/>
                <w:szCs w:val="18"/>
                <w:u w:val="single"/>
              </w:rPr>
            </w:pPr>
            <w:r w:rsidRPr="00DB1AEE">
              <w:rPr>
                <w:sz w:val="18"/>
                <w:szCs w:val="18"/>
                <w:u w:val="single"/>
              </w:rPr>
              <w:t>ADD2</w:t>
            </w:r>
          </w:p>
        </w:tc>
      </w:tr>
      <w:tr w:rsidR="00DB1AEE" w:rsidRPr="00DB1AEE" w14:paraId="4B8C8460" w14:textId="77777777" w:rsidTr="00FC1832">
        <w:trPr>
          <w:trHeight w:val="615"/>
        </w:trPr>
        <w:tc>
          <w:tcPr>
            <w:tcW w:w="896" w:type="pct"/>
            <w:tcBorders>
              <w:top w:val="nil"/>
              <w:left w:val="single" w:sz="4" w:space="0" w:color="auto"/>
              <w:bottom w:val="single" w:sz="4" w:space="0" w:color="auto"/>
              <w:right w:val="single" w:sz="4" w:space="0" w:color="auto"/>
            </w:tcBorders>
            <w:hideMark/>
          </w:tcPr>
          <w:p w14:paraId="17CFB213" w14:textId="77777777" w:rsidR="00DB1AEE" w:rsidRPr="00DB1AEE" w:rsidRDefault="00DB1AEE" w:rsidP="00DB1AEE">
            <w:pPr>
              <w:suppressAutoHyphens/>
              <w:jc w:val="left"/>
              <w:rPr>
                <w:sz w:val="18"/>
                <w:szCs w:val="18"/>
                <w:u w:val="single"/>
              </w:rPr>
            </w:pPr>
            <w:r w:rsidRPr="00DB1AEE">
              <w:rPr>
                <w:sz w:val="18"/>
                <w:szCs w:val="18"/>
                <w:u w:val="single"/>
              </w:rPr>
              <w:t>Sports Arena—Playing Area</w:t>
            </w:r>
            <w:r w:rsidRPr="00DB1AEE">
              <w:rPr>
                <w:strike/>
                <w:sz w:val="18"/>
                <w:szCs w:val="18"/>
                <w:u w:val="single"/>
                <w:vertAlign w:val="superscript"/>
              </w:rPr>
              <w:t>8</w:t>
            </w:r>
            <w:r w:rsidRPr="00DB1AEE">
              <w:rPr>
                <w:sz w:val="18"/>
                <w:szCs w:val="18"/>
                <w:u w:val="single"/>
              </w:rPr>
              <w:br/>
              <w:t xml:space="preserve"> (Class of play as defined by ANSI/IES RP-6)</w:t>
            </w:r>
          </w:p>
        </w:tc>
        <w:tc>
          <w:tcPr>
            <w:tcW w:w="429" w:type="pct"/>
            <w:gridSpan w:val="2"/>
            <w:tcBorders>
              <w:top w:val="single" w:sz="4" w:space="0" w:color="auto"/>
              <w:left w:val="single" w:sz="4" w:space="0" w:color="auto"/>
              <w:bottom w:val="single" w:sz="4" w:space="0" w:color="auto"/>
              <w:right w:val="single" w:sz="4" w:space="0" w:color="auto"/>
            </w:tcBorders>
            <w:hideMark/>
          </w:tcPr>
          <w:p w14:paraId="15EF419F" w14:textId="77777777" w:rsidR="00DB1AEE" w:rsidRPr="00DB1AEE" w:rsidRDefault="00DB1AEE" w:rsidP="00DB1AEE">
            <w:pPr>
              <w:suppressAutoHyphens/>
              <w:jc w:val="left"/>
              <w:rPr>
                <w:sz w:val="18"/>
                <w:szCs w:val="18"/>
                <w:u w:val="single"/>
              </w:rPr>
            </w:pPr>
            <w:r w:rsidRPr="00DB1AEE">
              <w:rPr>
                <w:sz w:val="18"/>
                <w:szCs w:val="18"/>
                <w:u w:val="single"/>
              </w:rPr>
              <w:t> </w:t>
            </w:r>
          </w:p>
          <w:p w14:paraId="16B52584" w14:textId="77777777" w:rsidR="00DB1AEE" w:rsidRPr="00DB1AEE" w:rsidRDefault="00DB1AEE" w:rsidP="00DB1AEE">
            <w:pPr>
              <w:suppressAutoHyphens/>
              <w:jc w:val="left"/>
              <w:rPr>
                <w:b/>
                <w:bCs/>
                <w:sz w:val="18"/>
                <w:szCs w:val="18"/>
                <w:u w:val="single"/>
              </w:rPr>
            </w:pPr>
            <w:r w:rsidRPr="00DB1AEE">
              <w:rPr>
                <w:b/>
                <w:bCs/>
                <w:sz w:val="18"/>
                <w:szCs w:val="18"/>
                <w:u w:val="single"/>
              </w:rPr>
              <w:t> </w:t>
            </w:r>
          </w:p>
        </w:tc>
        <w:tc>
          <w:tcPr>
            <w:tcW w:w="330" w:type="pct"/>
            <w:tcBorders>
              <w:top w:val="single" w:sz="4" w:space="0" w:color="auto"/>
              <w:left w:val="single" w:sz="4" w:space="0" w:color="auto"/>
              <w:bottom w:val="single" w:sz="4" w:space="0" w:color="auto"/>
              <w:right w:val="single" w:sz="4" w:space="0" w:color="auto"/>
            </w:tcBorders>
            <w:hideMark/>
          </w:tcPr>
          <w:p w14:paraId="3E6CE7A2" w14:textId="77777777" w:rsidR="00DB1AEE" w:rsidRPr="00DB1AEE" w:rsidRDefault="00DB1AEE" w:rsidP="00DB1AEE">
            <w:pPr>
              <w:suppressAutoHyphens/>
              <w:jc w:val="left"/>
              <w:rPr>
                <w:b/>
                <w:bCs/>
                <w:sz w:val="18"/>
                <w:szCs w:val="18"/>
                <w:u w:val="single"/>
              </w:rPr>
            </w:pPr>
            <w:r w:rsidRPr="00DB1AEE">
              <w:rPr>
                <w:b/>
                <w:bCs/>
                <w:sz w:val="18"/>
                <w:szCs w:val="18"/>
                <w:u w:val="single"/>
              </w:rPr>
              <w:t> </w:t>
            </w:r>
          </w:p>
        </w:tc>
        <w:tc>
          <w:tcPr>
            <w:tcW w:w="361" w:type="pct"/>
            <w:gridSpan w:val="2"/>
            <w:tcBorders>
              <w:top w:val="nil"/>
              <w:left w:val="nil"/>
              <w:bottom w:val="single" w:sz="4" w:space="0" w:color="auto"/>
              <w:right w:val="nil"/>
            </w:tcBorders>
            <w:hideMark/>
          </w:tcPr>
          <w:p w14:paraId="72FF11E8" w14:textId="77777777" w:rsidR="00DB1AEE" w:rsidRPr="00DB1AEE" w:rsidRDefault="00DB1AEE" w:rsidP="00DB1AEE">
            <w:pPr>
              <w:suppressAutoHyphens/>
              <w:jc w:val="center"/>
              <w:rPr>
                <w:sz w:val="18"/>
                <w:szCs w:val="18"/>
                <w:u w:val="single"/>
              </w:rPr>
            </w:pPr>
            <w:r w:rsidRPr="00DB1AEE">
              <w:rPr>
                <w:sz w:val="18"/>
                <w:szCs w:val="18"/>
                <w:u w:val="single"/>
              </w:rPr>
              <w:t> </w:t>
            </w:r>
          </w:p>
        </w:tc>
        <w:tc>
          <w:tcPr>
            <w:tcW w:w="363" w:type="pct"/>
            <w:gridSpan w:val="3"/>
            <w:tcBorders>
              <w:top w:val="nil"/>
              <w:left w:val="nil"/>
              <w:bottom w:val="single" w:sz="4" w:space="0" w:color="auto"/>
              <w:right w:val="nil"/>
            </w:tcBorders>
            <w:hideMark/>
          </w:tcPr>
          <w:p w14:paraId="3E5EEC3D"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330" w:type="pct"/>
            <w:tcBorders>
              <w:top w:val="nil"/>
              <w:left w:val="nil"/>
              <w:bottom w:val="single" w:sz="4" w:space="0" w:color="auto"/>
              <w:right w:val="nil"/>
            </w:tcBorders>
            <w:hideMark/>
          </w:tcPr>
          <w:p w14:paraId="5A99BCD8" w14:textId="77777777" w:rsidR="00DB1AEE" w:rsidRPr="00DB1AEE" w:rsidRDefault="00DB1AEE" w:rsidP="00DB1AEE">
            <w:pPr>
              <w:suppressAutoHyphens/>
              <w:jc w:val="center"/>
              <w:rPr>
                <w:sz w:val="18"/>
                <w:szCs w:val="18"/>
                <w:u w:val="single"/>
              </w:rPr>
            </w:pPr>
            <w:r w:rsidRPr="00DB1AEE">
              <w:rPr>
                <w:sz w:val="18"/>
                <w:szCs w:val="18"/>
                <w:u w:val="single"/>
              </w:rPr>
              <w:t> </w:t>
            </w:r>
          </w:p>
        </w:tc>
        <w:tc>
          <w:tcPr>
            <w:tcW w:w="364" w:type="pct"/>
            <w:gridSpan w:val="2"/>
            <w:tcBorders>
              <w:top w:val="nil"/>
              <w:left w:val="nil"/>
              <w:bottom w:val="single" w:sz="4" w:space="0" w:color="auto"/>
              <w:right w:val="nil"/>
            </w:tcBorders>
            <w:hideMark/>
          </w:tcPr>
          <w:p w14:paraId="56EE9EC2"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427" w:type="pct"/>
            <w:gridSpan w:val="3"/>
            <w:tcBorders>
              <w:top w:val="nil"/>
              <w:left w:val="nil"/>
              <w:bottom w:val="single" w:sz="4" w:space="0" w:color="auto"/>
              <w:right w:val="nil"/>
            </w:tcBorders>
            <w:hideMark/>
          </w:tcPr>
          <w:p w14:paraId="1B4D4EB9" w14:textId="77777777" w:rsidR="00DB1AEE" w:rsidRPr="00DB1AEE" w:rsidRDefault="00DB1AEE" w:rsidP="00DB1AEE">
            <w:pPr>
              <w:suppressAutoHyphens/>
              <w:jc w:val="center"/>
              <w:rPr>
                <w:sz w:val="18"/>
                <w:szCs w:val="18"/>
                <w:u w:val="single"/>
              </w:rPr>
            </w:pPr>
            <w:r w:rsidRPr="00DB1AEE">
              <w:rPr>
                <w:sz w:val="18"/>
                <w:szCs w:val="18"/>
                <w:u w:val="single"/>
              </w:rPr>
              <w:t> </w:t>
            </w:r>
          </w:p>
        </w:tc>
        <w:tc>
          <w:tcPr>
            <w:tcW w:w="397" w:type="pct"/>
            <w:tcBorders>
              <w:top w:val="nil"/>
              <w:left w:val="nil"/>
              <w:bottom w:val="single" w:sz="4" w:space="0" w:color="auto"/>
              <w:right w:val="nil"/>
            </w:tcBorders>
            <w:hideMark/>
          </w:tcPr>
          <w:p w14:paraId="7FD1C54D" w14:textId="77777777" w:rsidR="00DB1AEE" w:rsidRPr="00DB1AEE" w:rsidRDefault="00DB1AEE" w:rsidP="00DB1AEE">
            <w:pPr>
              <w:suppressAutoHyphens/>
              <w:jc w:val="center"/>
              <w:rPr>
                <w:sz w:val="18"/>
                <w:szCs w:val="18"/>
                <w:u w:val="single"/>
              </w:rPr>
            </w:pPr>
            <w:r w:rsidRPr="00DB1AEE">
              <w:rPr>
                <w:sz w:val="18"/>
                <w:szCs w:val="18"/>
                <w:u w:val="single"/>
              </w:rPr>
              <w:t> </w:t>
            </w:r>
          </w:p>
        </w:tc>
        <w:tc>
          <w:tcPr>
            <w:tcW w:w="363" w:type="pct"/>
            <w:tcBorders>
              <w:top w:val="nil"/>
              <w:left w:val="nil"/>
              <w:bottom w:val="single" w:sz="4" w:space="0" w:color="auto"/>
              <w:right w:val="nil"/>
            </w:tcBorders>
            <w:hideMark/>
          </w:tcPr>
          <w:p w14:paraId="2D8B20B9"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418" w:type="pct"/>
            <w:gridSpan w:val="3"/>
            <w:tcBorders>
              <w:top w:val="nil"/>
              <w:left w:val="nil"/>
              <w:bottom w:val="single" w:sz="4" w:space="0" w:color="auto"/>
              <w:right w:val="nil"/>
            </w:tcBorders>
            <w:hideMark/>
          </w:tcPr>
          <w:p w14:paraId="4D731586"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323" w:type="pct"/>
            <w:tcBorders>
              <w:top w:val="nil"/>
              <w:left w:val="nil"/>
              <w:bottom w:val="single" w:sz="4" w:space="0" w:color="auto"/>
              <w:right w:val="single" w:sz="4" w:space="0" w:color="auto"/>
            </w:tcBorders>
            <w:hideMark/>
          </w:tcPr>
          <w:p w14:paraId="530D97FC" w14:textId="77777777" w:rsidR="00DB1AEE" w:rsidRPr="00DB1AEE" w:rsidRDefault="00DB1AEE" w:rsidP="00DB1AEE">
            <w:pPr>
              <w:suppressAutoHyphens/>
              <w:jc w:val="left"/>
              <w:rPr>
                <w:sz w:val="18"/>
                <w:szCs w:val="18"/>
                <w:u w:val="single"/>
              </w:rPr>
            </w:pPr>
            <w:r w:rsidRPr="00DB1AEE">
              <w:rPr>
                <w:sz w:val="18"/>
                <w:szCs w:val="18"/>
                <w:u w:val="single"/>
              </w:rPr>
              <w:t> </w:t>
            </w:r>
          </w:p>
        </w:tc>
      </w:tr>
      <w:tr w:rsidR="00DB1AEE" w:rsidRPr="00DB1AEE" w14:paraId="3180037F" w14:textId="77777777" w:rsidTr="00FC1832">
        <w:trPr>
          <w:trHeight w:val="300"/>
        </w:trPr>
        <w:tc>
          <w:tcPr>
            <w:tcW w:w="896" w:type="pct"/>
            <w:tcBorders>
              <w:top w:val="nil"/>
              <w:left w:val="single" w:sz="4" w:space="0" w:color="auto"/>
              <w:bottom w:val="single" w:sz="4" w:space="0" w:color="auto"/>
              <w:right w:val="single" w:sz="4" w:space="0" w:color="auto"/>
            </w:tcBorders>
            <w:hideMark/>
          </w:tcPr>
          <w:p w14:paraId="68BF2AF1" w14:textId="77777777" w:rsidR="00DB1AEE" w:rsidRPr="00DB1AEE" w:rsidRDefault="00DB1AEE" w:rsidP="00DB1AEE">
            <w:pPr>
              <w:suppressAutoHyphens/>
              <w:jc w:val="left"/>
              <w:rPr>
                <w:sz w:val="18"/>
                <w:szCs w:val="18"/>
                <w:u w:val="single"/>
              </w:rPr>
            </w:pPr>
            <w:r w:rsidRPr="00DB1AEE">
              <w:rPr>
                <w:sz w:val="18"/>
                <w:szCs w:val="18"/>
                <w:u w:val="single"/>
              </w:rPr>
              <w:t>Class I facility</w:t>
            </w:r>
          </w:p>
        </w:tc>
        <w:tc>
          <w:tcPr>
            <w:tcW w:w="429" w:type="pct"/>
            <w:gridSpan w:val="2"/>
            <w:tcBorders>
              <w:top w:val="nil"/>
              <w:left w:val="nil"/>
              <w:bottom w:val="single" w:sz="4" w:space="0" w:color="auto"/>
              <w:right w:val="single" w:sz="4" w:space="0" w:color="auto"/>
            </w:tcBorders>
            <w:noWrap/>
            <w:hideMark/>
          </w:tcPr>
          <w:p w14:paraId="08DF581D" w14:textId="77777777" w:rsidR="00DB1AEE" w:rsidRPr="00DB1AEE" w:rsidRDefault="00DB1AEE" w:rsidP="00DB1AEE">
            <w:pPr>
              <w:suppressAutoHyphens/>
              <w:jc w:val="center"/>
              <w:rPr>
                <w:sz w:val="18"/>
                <w:szCs w:val="18"/>
                <w:u w:val="single"/>
              </w:rPr>
            </w:pPr>
            <w:r w:rsidRPr="00DB1AEE">
              <w:rPr>
                <w:sz w:val="18"/>
                <w:szCs w:val="18"/>
                <w:u w:val="single"/>
              </w:rPr>
              <w:t>2.26</w:t>
            </w:r>
          </w:p>
        </w:tc>
        <w:tc>
          <w:tcPr>
            <w:tcW w:w="330" w:type="pct"/>
            <w:tcBorders>
              <w:top w:val="nil"/>
              <w:left w:val="nil"/>
              <w:bottom w:val="single" w:sz="4" w:space="0" w:color="auto"/>
              <w:right w:val="single" w:sz="4" w:space="0" w:color="auto"/>
            </w:tcBorders>
            <w:noWrap/>
            <w:hideMark/>
          </w:tcPr>
          <w:p w14:paraId="7B440DF9" w14:textId="77777777" w:rsidR="00DB1AEE" w:rsidRPr="00DB1AEE" w:rsidRDefault="00DB1AEE" w:rsidP="00DB1AEE">
            <w:pPr>
              <w:suppressAutoHyphens/>
              <w:jc w:val="center"/>
              <w:rPr>
                <w:sz w:val="18"/>
                <w:szCs w:val="18"/>
                <w:u w:val="single"/>
              </w:rPr>
            </w:pPr>
            <w:r w:rsidRPr="00DB1AEE">
              <w:rPr>
                <w:sz w:val="18"/>
                <w:szCs w:val="18"/>
                <w:u w:val="single"/>
              </w:rPr>
              <w:t>4</w:t>
            </w:r>
          </w:p>
        </w:tc>
        <w:tc>
          <w:tcPr>
            <w:tcW w:w="361" w:type="pct"/>
            <w:gridSpan w:val="2"/>
            <w:tcBorders>
              <w:top w:val="nil"/>
              <w:left w:val="nil"/>
              <w:bottom w:val="single" w:sz="4" w:space="0" w:color="auto"/>
              <w:right w:val="single" w:sz="4" w:space="0" w:color="auto"/>
            </w:tcBorders>
            <w:hideMark/>
          </w:tcPr>
          <w:p w14:paraId="7CD9078F"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63" w:type="pct"/>
            <w:gridSpan w:val="3"/>
            <w:tcBorders>
              <w:top w:val="nil"/>
              <w:left w:val="nil"/>
              <w:bottom w:val="single" w:sz="4" w:space="0" w:color="auto"/>
              <w:right w:val="single" w:sz="4" w:space="0" w:color="auto"/>
            </w:tcBorders>
            <w:hideMark/>
          </w:tcPr>
          <w:p w14:paraId="2D03EDC4" w14:textId="77777777" w:rsidR="00DB1AEE" w:rsidRPr="00DB1AEE" w:rsidRDefault="00DB1AEE" w:rsidP="00DB1AEE">
            <w:pPr>
              <w:suppressAutoHyphens/>
              <w:jc w:val="left"/>
              <w:rPr>
                <w:sz w:val="18"/>
                <w:szCs w:val="18"/>
                <w:u w:val="single"/>
              </w:rPr>
            </w:pPr>
            <w:r w:rsidRPr="00DB1AEE">
              <w:rPr>
                <w:sz w:val="18"/>
                <w:szCs w:val="18"/>
                <w:u w:val="single"/>
              </w:rPr>
              <w:t xml:space="preserve">  REQ</w:t>
            </w:r>
          </w:p>
        </w:tc>
        <w:tc>
          <w:tcPr>
            <w:tcW w:w="330" w:type="pct"/>
            <w:tcBorders>
              <w:top w:val="nil"/>
              <w:left w:val="nil"/>
              <w:bottom w:val="single" w:sz="4" w:space="0" w:color="auto"/>
              <w:right w:val="single" w:sz="4" w:space="0" w:color="auto"/>
            </w:tcBorders>
          </w:tcPr>
          <w:p w14:paraId="0AC53293" w14:textId="77777777" w:rsidR="00DB1AEE" w:rsidRPr="00DB1AEE" w:rsidRDefault="00DB1AEE" w:rsidP="00DB1AEE">
            <w:pPr>
              <w:suppressAutoHyphens/>
              <w:jc w:val="center"/>
              <w:rPr>
                <w:sz w:val="18"/>
                <w:szCs w:val="18"/>
                <w:u w:val="single"/>
              </w:rPr>
            </w:pPr>
          </w:p>
        </w:tc>
        <w:tc>
          <w:tcPr>
            <w:tcW w:w="364" w:type="pct"/>
            <w:gridSpan w:val="2"/>
            <w:tcBorders>
              <w:top w:val="nil"/>
              <w:left w:val="nil"/>
              <w:bottom w:val="single" w:sz="4" w:space="0" w:color="auto"/>
              <w:right w:val="single" w:sz="4" w:space="0" w:color="auto"/>
            </w:tcBorders>
          </w:tcPr>
          <w:p w14:paraId="4A31F7FC" w14:textId="77777777" w:rsidR="00DB1AEE" w:rsidRPr="00DB1AEE" w:rsidRDefault="00DB1AEE" w:rsidP="00DB1AEE">
            <w:pPr>
              <w:suppressAutoHyphens/>
              <w:jc w:val="left"/>
              <w:rPr>
                <w:sz w:val="18"/>
                <w:szCs w:val="18"/>
                <w:u w:val="single"/>
              </w:rPr>
            </w:pPr>
          </w:p>
        </w:tc>
        <w:tc>
          <w:tcPr>
            <w:tcW w:w="427" w:type="pct"/>
            <w:gridSpan w:val="3"/>
            <w:tcBorders>
              <w:top w:val="nil"/>
              <w:left w:val="nil"/>
              <w:bottom w:val="single" w:sz="4" w:space="0" w:color="auto"/>
              <w:right w:val="single" w:sz="4" w:space="0" w:color="auto"/>
            </w:tcBorders>
            <w:hideMark/>
          </w:tcPr>
          <w:p w14:paraId="7A035C6E"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97" w:type="pct"/>
            <w:tcBorders>
              <w:top w:val="nil"/>
              <w:left w:val="nil"/>
              <w:bottom w:val="single" w:sz="4" w:space="0" w:color="auto"/>
              <w:right w:val="single" w:sz="4" w:space="0" w:color="auto"/>
            </w:tcBorders>
            <w:hideMark/>
          </w:tcPr>
          <w:p w14:paraId="6DFDD8A7"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63" w:type="pct"/>
            <w:tcBorders>
              <w:top w:val="nil"/>
              <w:left w:val="nil"/>
              <w:bottom w:val="single" w:sz="4" w:space="0" w:color="auto"/>
              <w:right w:val="single" w:sz="4" w:space="0" w:color="auto"/>
            </w:tcBorders>
            <w:hideMark/>
          </w:tcPr>
          <w:p w14:paraId="3E6D5FB3"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418" w:type="pct"/>
            <w:gridSpan w:val="3"/>
            <w:tcBorders>
              <w:top w:val="nil"/>
              <w:left w:val="nil"/>
              <w:bottom w:val="single" w:sz="4" w:space="0" w:color="auto"/>
              <w:right w:val="single" w:sz="4" w:space="0" w:color="auto"/>
            </w:tcBorders>
          </w:tcPr>
          <w:p w14:paraId="04FD3890" w14:textId="77777777" w:rsidR="00DB1AEE" w:rsidRPr="00DB1AEE" w:rsidRDefault="00DB1AEE" w:rsidP="00DB1AEE">
            <w:pPr>
              <w:suppressAutoHyphens/>
              <w:jc w:val="left"/>
              <w:rPr>
                <w:sz w:val="18"/>
                <w:szCs w:val="18"/>
                <w:u w:val="single"/>
              </w:rPr>
            </w:pPr>
          </w:p>
        </w:tc>
        <w:tc>
          <w:tcPr>
            <w:tcW w:w="323" w:type="pct"/>
            <w:tcBorders>
              <w:top w:val="nil"/>
              <w:left w:val="nil"/>
              <w:bottom w:val="single" w:sz="4" w:space="0" w:color="auto"/>
              <w:right w:val="single" w:sz="4" w:space="0" w:color="auto"/>
            </w:tcBorders>
            <w:hideMark/>
          </w:tcPr>
          <w:p w14:paraId="016F9A53" w14:textId="77777777" w:rsidR="00DB1AEE" w:rsidRPr="00DB1AEE" w:rsidRDefault="00DB1AEE" w:rsidP="00DB1AEE">
            <w:pPr>
              <w:suppressAutoHyphens/>
              <w:jc w:val="left"/>
              <w:rPr>
                <w:sz w:val="18"/>
                <w:szCs w:val="18"/>
                <w:u w:val="single"/>
              </w:rPr>
            </w:pPr>
            <w:r w:rsidRPr="00DB1AEE">
              <w:rPr>
                <w:sz w:val="18"/>
                <w:szCs w:val="18"/>
                <w:u w:val="single"/>
              </w:rPr>
              <w:t>REQ</w:t>
            </w:r>
          </w:p>
        </w:tc>
      </w:tr>
      <w:tr w:rsidR="00DB1AEE" w:rsidRPr="00DB1AEE" w14:paraId="3DB9F55E" w14:textId="77777777" w:rsidTr="00FC1832">
        <w:trPr>
          <w:trHeight w:val="300"/>
        </w:trPr>
        <w:tc>
          <w:tcPr>
            <w:tcW w:w="896" w:type="pct"/>
            <w:tcBorders>
              <w:top w:val="nil"/>
              <w:left w:val="single" w:sz="4" w:space="0" w:color="auto"/>
              <w:bottom w:val="single" w:sz="4" w:space="0" w:color="auto"/>
              <w:right w:val="single" w:sz="4" w:space="0" w:color="auto"/>
            </w:tcBorders>
            <w:hideMark/>
          </w:tcPr>
          <w:p w14:paraId="1712F276" w14:textId="77777777" w:rsidR="00DB1AEE" w:rsidRPr="00DB1AEE" w:rsidRDefault="00DB1AEE" w:rsidP="00DB1AEE">
            <w:pPr>
              <w:suppressAutoHyphens/>
              <w:jc w:val="left"/>
              <w:rPr>
                <w:sz w:val="18"/>
                <w:szCs w:val="18"/>
                <w:u w:val="single"/>
              </w:rPr>
            </w:pPr>
            <w:r w:rsidRPr="00DB1AEE">
              <w:rPr>
                <w:sz w:val="18"/>
                <w:szCs w:val="18"/>
                <w:u w:val="single"/>
              </w:rPr>
              <w:t>Class II facility</w:t>
            </w:r>
          </w:p>
        </w:tc>
        <w:tc>
          <w:tcPr>
            <w:tcW w:w="429" w:type="pct"/>
            <w:gridSpan w:val="2"/>
            <w:tcBorders>
              <w:top w:val="nil"/>
              <w:left w:val="nil"/>
              <w:bottom w:val="single" w:sz="4" w:space="0" w:color="auto"/>
              <w:right w:val="single" w:sz="4" w:space="0" w:color="auto"/>
            </w:tcBorders>
            <w:noWrap/>
            <w:hideMark/>
          </w:tcPr>
          <w:p w14:paraId="4CEC573F" w14:textId="77777777" w:rsidR="00DB1AEE" w:rsidRPr="00DB1AEE" w:rsidRDefault="00DB1AEE" w:rsidP="00DB1AEE">
            <w:pPr>
              <w:suppressAutoHyphens/>
              <w:jc w:val="center"/>
              <w:rPr>
                <w:sz w:val="18"/>
                <w:szCs w:val="18"/>
                <w:u w:val="single"/>
              </w:rPr>
            </w:pPr>
            <w:r w:rsidRPr="00DB1AEE">
              <w:rPr>
                <w:sz w:val="18"/>
                <w:szCs w:val="18"/>
                <w:u w:val="single"/>
              </w:rPr>
              <w:t>1.45</w:t>
            </w:r>
          </w:p>
        </w:tc>
        <w:tc>
          <w:tcPr>
            <w:tcW w:w="330" w:type="pct"/>
            <w:tcBorders>
              <w:top w:val="nil"/>
              <w:left w:val="nil"/>
              <w:bottom w:val="single" w:sz="4" w:space="0" w:color="auto"/>
              <w:right w:val="single" w:sz="4" w:space="0" w:color="auto"/>
            </w:tcBorders>
            <w:noWrap/>
            <w:hideMark/>
          </w:tcPr>
          <w:p w14:paraId="21DBDAD3" w14:textId="77777777" w:rsidR="00DB1AEE" w:rsidRPr="00DB1AEE" w:rsidRDefault="00DB1AEE" w:rsidP="00DB1AEE">
            <w:pPr>
              <w:suppressAutoHyphens/>
              <w:jc w:val="center"/>
              <w:rPr>
                <w:sz w:val="18"/>
                <w:szCs w:val="18"/>
                <w:u w:val="single"/>
              </w:rPr>
            </w:pPr>
            <w:r w:rsidRPr="00DB1AEE">
              <w:rPr>
                <w:sz w:val="18"/>
                <w:szCs w:val="18"/>
                <w:u w:val="single"/>
              </w:rPr>
              <w:t>4</w:t>
            </w:r>
          </w:p>
        </w:tc>
        <w:tc>
          <w:tcPr>
            <w:tcW w:w="361" w:type="pct"/>
            <w:gridSpan w:val="2"/>
            <w:tcBorders>
              <w:top w:val="nil"/>
              <w:left w:val="nil"/>
              <w:bottom w:val="single" w:sz="4" w:space="0" w:color="auto"/>
              <w:right w:val="single" w:sz="4" w:space="0" w:color="auto"/>
            </w:tcBorders>
            <w:hideMark/>
          </w:tcPr>
          <w:p w14:paraId="0A66A506"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63" w:type="pct"/>
            <w:gridSpan w:val="3"/>
            <w:tcBorders>
              <w:top w:val="nil"/>
              <w:left w:val="nil"/>
              <w:bottom w:val="single" w:sz="4" w:space="0" w:color="auto"/>
              <w:right w:val="single" w:sz="4" w:space="0" w:color="auto"/>
            </w:tcBorders>
            <w:hideMark/>
          </w:tcPr>
          <w:p w14:paraId="1ED59EE3" w14:textId="77777777" w:rsidR="00DB1AEE" w:rsidRPr="00DB1AEE" w:rsidRDefault="00DB1AEE" w:rsidP="00DB1AEE">
            <w:pPr>
              <w:suppressAutoHyphens/>
              <w:jc w:val="left"/>
              <w:rPr>
                <w:sz w:val="18"/>
                <w:szCs w:val="18"/>
                <w:u w:val="single"/>
              </w:rPr>
            </w:pPr>
            <w:r w:rsidRPr="00DB1AEE">
              <w:rPr>
                <w:sz w:val="18"/>
                <w:szCs w:val="18"/>
                <w:u w:val="single"/>
              </w:rPr>
              <w:t xml:space="preserve">  REQ</w:t>
            </w:r>
          </w:p>
        </w:tc>
        <w:tc>
          <w:tcPr>
            <w:tcW w:w="330" w:type="pct"/>
            <w:tcBorders>
              <w:top w:val="nil"/>
              <w:left w:val="nil"/>
              <w:bottom w:val="single" w:sz="4" w:space="0" w:color="auto"/>
              <w:right w:val="single" w:sz="4" w:space="0" w:color="auto"/>
            </w:tcBorders>
          </w:tcPr>
          <w:p w14:paraId="043D3DCA" w14:textId="77777777" w:rsidR="00DB1AEE" w:rsidRPr="00DB1AEE" w:rsidRDefault="00DB1AEE" w:rsidP="00DB1AEE">
            <w:pPr>
              <w:suppressAutoHyphens/>
              <w:jc w:val="center"/>
              <w:rPr>
                <w:sz w:val="18"/>
                <w:szCs w:val="18"/>
                <w:u w:val="single"/>
              </w:rPr>
            </w:pPr>
          </w:p>
        </w:tc>
        <w:tc>
          <w:tcPr>
            <w:tcW w:w="364" w:type="pct"/>
            <w:gridSpan w:val="2"/>
            <w:tcBorders>
              <w:top w:val="nil"/>
              <w:left w:val="nil"/>
              <w:bottom w:val="single" w:sz="4" w:space="0" w:color="auto"/>
              <w:right w:val="single" w:sz="4" w:space="0" w:color="auto"/>
            </w:tcBorders>
          </w:tcPr>
          <w:p w14:paraId="3C782142" w14:textId="77777777" w:rsidR="00DB1AEE" w:rsidRPr="00DB1AEE" w:rsidRDefault="00DB1AEE" w:rsidP="00DB1AEE">
            <w:pPr>
              <w:suppressAutoHyphens/>
              <w:jc w:val="left"/>
              <w:rPr>
                <w:sz w:val="18"/>
                <w:szCs w:val="18"/>
                <w:u w:val="single"/>
              </w:rPr>
            </w:pPr>
          </w:p>
        </w:tc>
        <w:tc>
          <w:tcPr>
            <w:tcW w:w="427" w:type="pct"/>
            <w:gridSpan w:val="3"/>
            <w:tcBorders>
              <w:top w:val="nil"/>
              <w:left w:val="nil"/>
              <w:bottom w:val="single" w:sz="4" w:space="0" w:color="auto"/>
              <w:right w:val="single" w:sz="4" w:space="0" w:color="auto"/>
            </w:tcBorders>
            <w:hideMark/>
          </w:tcPr>
          <w:p w14:paraId="67A0C7A0"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97" w:type="pct"/>
            <w:tcBorders>
              <w:top w:val="nil"/>
              <w:left w:val="nil"/>
              <w:bottom w:val="single" w:sz="4" w:space="0" w:color="auto"/>
              <w:right w:val="single" w:sz="4" w:space="0" w:color="auto"/>
            </w:tcBorders>
            <w:hideMark/>
          </w:tcPr>
          <w:p w14:paraId="1E173F7C"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63" w:type="pct"/>
            <w:tcBorders>
              <w:top w:val="nil"/>
              <w:left w:val="nil"/>
              <w:bottom w:val="single" w:sz="4" w:space="0" w:color="auto"/>
              <w:right w:val="single" w:sz="4" w:space="0" w:color="auto"/>
            </w:tcBorders>
            <w:hideMark/>
          </w:tcPr>
          <w:p w14:paraId="7CEB4346"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418" w:type="pct"/>
            <w:gridSpan w:val="3"/>
            <w:tcBorders>
              <w:top w:val="nil"/>
              <w:left w:val="nil"/>
              <w:bottom w:val="single" w:sz="4" w:space="0" w:color="auto"/>
              <w:right w:val="single" w:sz="4" w:space="0" w:color="auto"/>
            </w:tcBorders>
          </w:tcPr>
          <w:p w14:paraId="6880BC5A" w14:textId="77777777" w:rsidR="00DB1AEE" w:rsidRPr="00DB1AEE" w:rsidRDefault="00DB1AEE" w:rsidP="00DB1AEE">
            <w:pPr>
              <w:suppressAutoHyphens/>
              <w:jc w:val="left"/>
              <w:rPr>
                <w:sz w:val="18"/>
                <w:szCs w:val="18"/>
                <w:u w:val="single"/>
              </w:rPr>
            </w:pPr>
          </w:p>
        </w:tc>
        <w:tc>
          <w:tcPr>
            <w:tcW w:w="323" w:type="pct"/>
            <w:tcBorders>
              <w:top w:val="nil"/>
              <w:left w:val="nil"/>
              <w:bottom w:val="single" w:sz="4" w:space="0" w:color="auto"/>
              <w:right w:val="single" w:sz="4" w:space="0" w:color="auto"/>
            </w:tcBorders>
            <w:hideMark/>
          </w:tcPr>
          <w:p w14:paraId="2DC6C680" w14:textId="77777777" w:rsidR="00DB1AEE" w:rsidRPr="00DB1AEE" w:rsidRDefault="00DB1AEE" w:rsidP="00DB1AEE">
            <w:pPr>
              <w:suppressAutoHyphens/>
              <w:jc w:val="left"/>
              <w:rPr>
                <w:sz w:val="18"/>
                <w:szCs w:val="18"/>
                <w:u w:val="single"/>
              </w:rPr>
            </w:pPr>
            <w:r w:rsidRPr="00DB1AEE">
              <w:rPr>
                <w:sz w:val="18"/>
                <w:szCs w:val="18"/>
                <w:u w:val="single"/>
              </w:rPr>
              <w:t>REQ</w:t>
            </w:r>
          </w:p>
        </w:tc>
      </w:tr>
      <w:tr w:rsidR="00DB1AEE" w:rsidRPr="00DB1AEE" w14:paraId="2CF2E4B4" w14:textId="77777777" w:rsidTr="00FC1832">
        <w:trPr>
          <w:trHeight w:val="300"/>
        </w:trPr>
        <w:tc>
          <w:tcPr>
            <w:tcW w:w="896" w:type="pct"/>
            <w:tcBorders>
              <w:top w:val="nil"/>
              <w:left w:val="single" w:sz="4" w:space="0" w:color="auto"/>
              <w:bottom w:val="single" w:sz="4" w:space="0" w:color="auto"/>
              <w:right w:val="single" w:sz="4" w:space="0" w:color="auto"/>
            </w:tcBorders>
            <w:hideMark/>
          </w:tcPr>
          <w:p w14:paraId="2206DAF6" w14:textId="77777777" w:rsidR="00DB1AEE" w:rsidRPr="00DB1AEE" w:rsidRDefault="00DB1AEE" w:rsidP="00DB1AEE">
            <w:pPr>
              <w:suppressAutoHyphens/>
              <w:jc w:val="left"/>
              <w:rPr>
                <w:sz w:val="18"/>
                <w:szCs w:val="18"/>
                <w:u w:val="single"/>
              </w:rPr>
            </w:pPr>
            <w:r w:rsidRPr="00DB1AEE">
              <w:rPr>
                <w:sz w:val="18"/>
                <w:szCs w:val="18"/>
                <w:u w:val="single"/>
              </w:rPr>
              <w:t>Class III facility</w:t>
            </w:r>
          </w:p>
        </w:tc>
        <w:tc>
          <w:tcPr>
            <w:tcW w:w="429" w:type="pct"/>
            <w:gridSpan w:val="2"/>
            <w:tcBorders>
              <w:top w:val="nil"/>
              <w:left w:val="nil"/>
              <w:bottom w:val="single" w:sz="4" w:space="0" w:color="auto"/>
              <w:right w:val="single" w:sz="4" w:space="0" w:color="auto"/>
            </w:tcBorders>
            <w:noWrap/>
            <w:hideMark/>
          </w:tcPr>
          <w:p w14:paraId="7C0AD19A" w14:textId="77777777" w:rsidR="00DB1AEE" w:rsidRPr="00DB1AEE" w:rsidRDefault="00DB1AEE" w:rsidP="00DB1AEE">
            <w:pPr>
              <w:suppressAutoHyphens/>
              <w:jc w:val="center"/>
              <w:rPr>
                <w:sz w:val="18"/>
                <w:szCs w:val="18"/>
                <w:u w:val="single"/>
              </w:rPr>
            </w:pPr>
            <w:r w:rsidRPr="00DB1AEE">
              <w:rPr>
                <w:sz w:val="18"/>
                <w:szCs w:val="18"/>
                <w:u w:val="single"/>
              </w:rPr>
              <w:t>1.08</w:t>
            </w:r>
          </w:p>
        </w:tc>
        <w:tc>
          <w:tcPr>
            <w:tcW w:w="330" w:type="pct"/>
            <w:tcBorders>
              <w:top w:val="nil"/>
              <w:left w:val="nil"/>
              <w:bottom w:val="single" w:sz="4" w:space="0" w:color="auto"/>
              <w:right w:val="single" w:sz="4" w:space="0" w:color="auto"/>
            </w:tcBorders>
            <w:noWrap/>
            <w:hideMark/>
          </w:tcPr>
          <w:p w14:paraId="4617F0AA" w14:textId="77777777" w:rsidR="00DB1AEE" w:rsidRPr="00DB1AEE" w:rsidRDefault="00DB1AEE" w:rsidP="00DB1AEE">
            <w:pPr>
              <w:suppressAutoHyphens/>
              <w:jc w:val="center"/>
              <w:rPr>
                <w:sz w:val="18"/>
                <w:szCs w:val="18"/>
                <w:u w:val="single"/>
              </w:rPr>
            </w:pPr>
            <w:r w:rsidRPr="00DB1AEE">
              <w:rPr>
                <w:sz w:val="18"/>
                <w:szCs w:val="18"/>
                <w:u w:val="single"/>
              </w:rPr>
              <w:t>4</w:t>
            </w:r>
          </w:p>
        </w:tc>
        <w:tc>
          <w:tcPr>
            <w:tcW w:w="361" w:type="pct"/>
            <w:gridSpan w:val="2"/>
            <w:tcBorders>
              <w:top w:val="nil"/>
              <w:left w:val="nil"/>
              <w:bottom w:val="single" w:sz="4" w:space="0" w:color="auto"/>
              <w:right w:val="single" w:sz="4" w:space="0" w:color="auto"/>
            </w:tcBorders>
            <w:hideMark/>
          </w:tcPr>
          <w:p w14:paraId="1F787D01"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63" w:type="pct"/>
            <w:gridSpan w:val="3"/>
            <w:tcBorders>
              <w:top w:val="nil"/>
              <w:left w:val="nil"/>
              <w:bottom w:val="single" w:sz="4" w:space="0" w:color="auto"/>
              <w:right w:val="single" w:sz="4" w:space="0" w:color="auto"/>
            </w:tcBorders>
            <w:hideMark/>
          </w:tcPr>
          <w:p w14:paraId="6C6061A2" w14:textId="77777777" w:rsidR="00DB1AEE" w:rsidRPr="00DB1AEE" w:rsidRDefault="00DB1AEE" w:rsidP="00DB1AEE">
            <w:pPr>
              <w:suppressAutoHyphens/>
              <w:jc w:val="left"/>
              <w:rPr>
                <w:sz w:val="18"/>
                <w:szCs w:val="18"/>
                <w:u w:val="single"/>
              </w:rPr>
            </w:pPr>
            <w:r w:rsidRPr="00DB1AEE">
              <w:rPr>
                <w:sz w:val="18"/>
                <w:szCs w:val="18"/>
                <w:u w:val="single"/>
              </w:rPr>
              <w:t xml:space="preserve">  REQ</w:t>
            </w:r>
          </w:p>
        </w:tc>
        <w:tc>
          <w:tcPr>
            <w:tcW w:w="330" w:type="pct"/>
            <w:tcBorders>
              <w:top w:val="nil"/>
              <w:left w:val="nil"/>
              <w:bottom w:val="single" w:sz="4" w:space="0" w:color="auto"/>
              <w:right w:val="single" w:sz="4" w:space="0" w:color="auto"/>
            </w:tcBorders>
          </w:tcPr>
          <w:p w14:paraId="488E6EA0" w14:textId="77777777" w:rsidR="00DB1AEE" w:rsidRPr="00DB1AEE" w:rsidRDefault="00DB1AEE" w:rsidP="00DB1AEE">
            <w:pPr>
              <w:suppressAutoHyphens/>
              <w:jc w:val="center"/>
              <w:rPr>
                <w:sz w:val="18"/>
                <w:szCs w:val="18"/>
                <w:u w:val="single"/>
              </w:rPr>
            </w:pPr>
          </w:p>
        </w:tc>
        <w:tc>
          <w:tcPr>
            <w:tcW w:w="364" w:type="pct"/>
            <w:gridSpan w:val="2"/>
            <w:tcBorders>
              <w:top w:val="nil"/>
              <w:left w:val="nil"/>
              <w:bottom w:val="single" w:sz="4" w:space="0" w:color="auto"/>
              <w:right w:val="single" w:sz="4" w:space="0" w:color="auto"/>
            </w:tcBorders>
          </w:tcPr>
          <w:p w14:paraId="1B36C3D3" w14:textId="77777777" w:rsidR="00DB1AEE" w:rsidRPr="00DB1AEE" w:rsidRDefault="00DB1AEE" w:rsidP="00DB1AEE">
            <w:pPr>
              <w:suppressAutoHyphens/>
              <w:jc w:val="left"/>
              <w:rPr>
                <w:sz w:val="18"/>
                <w:szCs w:val="18"/>
                <w:u w:val="single"/>
              </w:rPr>
            </w:pPr>
          </w:p>
        </w:tc>
        <w:tc>
          <w:tcPr>
            <w:tcW w:w="427" w:type="pct"/>
            <w:gridSpan w:val="3"/>
            <w:tcBorders>
              <w:top w:val="nil"/>
              <w:left w:val="nil"/>
              <w:bottom w:val="single" w:sz="4" w:space="0" w:color="auto"/>
              <w:right w:val="single" w:sz="4" w:space="0" w:color="auto"/>
            </w:tcBorders>
            <w:hideMark/>
          </w:tcPr>
          <w:p w14:paraId="1F032502"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97" w:type="pct"/>
            <w:tcBorders>
              <w:top w:val="nil"/>
              <w:left w:val="nil"/>
              <w:bottom w:val="single" w:sz="4" w:space="0" w:color="auto"/>
              <w:right w:val="single" w:sz="4" w:space="0" w:color="auto"/>
            </w:tcBorders>
            <w:hideMark/>
          </w:tcPr>
          <w:p w14:paraId="56AF8FC6"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63" w:type="pct"/>
            <w:tcBorders>
              <w:top w:val="nil"/>
              <w:left w:val="nil"/>
              <w:bottom w:val="single" w:sz="4" w:space="0" w:color="auto"/>
              <w:right w:val="single" w:sz="4" w:space="0" w:color="auto"/>
            </w:tcBorders>
            <w:hideMark/>
          </w:tcPr>
          <w:p w14:paraId="282B74CD"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418" w:type="pct"/>
            <w:gridSpan w:val="3"/>
            <w:tcBorders>
              <w:top w:val="nil"/>
              <w:left w:val="nil"/>
              <w:bottom w:val="single" w:sz="4" w:space="0" w:color="auto"/>
              <w:right w:val="single" w:sz="4" w:space="0" w:color="auto"/>
            </w:tcBorders>
          </w:tcPr>
          <w:p w14:paraId="262C9618" w14:textId="77777777" w:rsidR="00DB1AEE" w:rsidRPr="00DB1AEE" w:rsidRDefault="00DB1AEE" w:rsidP="00DB1AEE">
            <w:pPr>
              <w:suppressAutoHyphens/>
              <w:jc w:val="left"/>
              <w:rPr>
                <w:sz w:val="18"/>
                <w:szCs w:val="18"/>
                <w:u w:val="single"/>
              </w:rPr>
            </w:pPr>
          </w:p>
        </w:tc>
        <w:tc>
          <w:tcPr>
            <w:tcW w:w="323" w:type="pct"/>
            <w:tcBorders>
              <w:top w:val="nil"/>
              <w:left w:val="nil"/>
              <w:bottom w:val="single" w:sz="4" w:space="0" w:color="auto"/>
              <w:right w:val="single" w:sz="4" w:space="0" w:color="auto"/>
            </w:tcBorders>
            <w:hideMark/>
          </w:tcPr>
          <w:p w14:paraId="1786E459" w14:textId="77777777" w:rsidR="00DB1AEE" w:rsidRPr="00DB1AEE" w:rsidRDefault="00DB1AEE" w:rsidP="00DB1AEE">
            <w:pPr>
              <w:suppressAutoHyphens/>
              <w:jc w:val="left"/>
              <w:rPr>
                <w:sz w:val="18"/>
                <w:szCs w:val="18"/>
                <w:u w:val="single"/>
              </w:rPr>
            </w:pPr>
            <w:r w:rsidRPr="00DB1AEE">
              <w:rPr>
                <w:sz w:val="18"/>
                <w:szCs w:val="18"/>
                <w:u w:val="single"/>
              </w:rPr>
              <w:t>REQ</w:t>
            </w:r>
          </w:p>
        </w:tc>
      </w:tr>
      <w:tr w:rsidR="00DB1AEE" w:rsidRPr="00DB1AEE" w14:paraId="60D46465" w14:textId="77777777" w:rsidTr="00FC1832">
        <w:trPr>
          <w:trHeight w:val="300"/>
        </w:trPr>
        <w:tc>
          <w:tcPr>
            <w:tcW w:w="896" w:type="pct"/>
            <w:tcBorders>
              <w:top w:val="nil"/>
              <w:left w:val="single" w:sz="4" w:space="0" w:color="auto"/>
              <w:bottom w:val="single" w:sz="4" w:space="0" w:color="auto"/>
              <w:right w:val="single" w:sz="4" w:space="0" w:color="auto"/>
            </w:tcBorders>
            <w:hideMark/>
          </w:tcPr>
          <w:p w14:paraId="7D3C93F8" w14:textId="77777777" w:rsidR="00DB1AEE" w:rsidRPr="00DB1AEE" w:rsidRDefault="00DB1AEE" w:rsidP="00DB1AEE">
            <w:pPr>
              <w:suppressAutoHyphens/>
              <w:jc w:val="left"/>
              <w:rPr>
                <w:sz w:val="18"/>
                <w:szCs w:val="18"/>
                <w:u w:val="single"/>
              </w:rPr>
            </w:pPr>
            <w:r w:rsidRPr="00DB1AEE">
              <w:rPr>
                <w:sz w:val="18"/>
                <w:szCs w:val="18"/>
                <w:u w:val="single"/>
              </w:rPr>
              <w:t>Class IV facility</w:t>
            </w:r>
          </w:p>
        </w:tc>
        <w:tc>
          <w:tcPr>
            <w:tcW w:w="429" w:type="pct"/>
            <w:gridSpan w:val="2"/>
            <w:tcBorders>
              <w:top w:val="nil"/>
              <w:left w:val="nil"/>
              <w:bottom w:val="single" w:sz="4" w:space="0" w:color="auto"/>
              <w:right w:val="single" w:sz="4" w:space="0" w:color="auto"/>
            </w:tcBorders>
            <w:noWrap/>
            <w:hideMark/>
          </w:tcPr>
          <w:p w14:paraId="18059558" w14:textId="77777777" w:rsidR="00DB1AEE" w:rsidRPr="00DB1AEE" w:rsidRDefault="00DB1AEE" w:rsidP="00DB1AEE">
            <w:pPr>
              <w:suppressAutoHyphens/>
              <w:jc w:val="center"/>
              <w:rPr>
                <w:sz w:val="18"/>
                <w:szCs w:val="18"/>
                <w:u w:val="single"/>
              </w:rPr>
            </w:pPr>
            <w:r w:rsidRPr="00DB1AEE">
              <w:rPr>
                <w:sz w:val="18"/>
                <w:szCs w:val="18"/>
                <w:u w:val="single"/>
              </w:rPr>
              <w:t>0. 5</w:t>
            </w:r>
          </w:p>
        </w:tc>
        <w:tc>
          <w:tcPr>
            <w:tcW w:w="330" w:type="pct"/>
            <w:tcBorders>
              <w:top w:val="nil"/>
              <w:left w:val="nil"/>
              <w:bottom w:val="single" w:sz="4" w:space="0" w:color="auto"/>
              <w:right w:val="single" w:sz="4" w:space="0" w:color="auto"/>
            </w:tcBorders>
            <w:noWrap/>
            <w:hideMark/>
          </w:tcPr>
          <w:p w14:paraId="293F1B60" w14:textId="77777777" w:rsidR="00DB1AEE" w:rsidRPr="00DB1AEE" w:rsidRDefault="00DB1AEE" w:rsidP="00DB1AEE">
            <w:pPr>
              <w:suppressAutoHyphens/>
              <w:jc w:val="center"/>
              <w:rPr>
                <w:sz w:val="18"/>
                <w:szCs w:val="18"/>
                <w:u w:val="single"/>
              </w:rPr>
            </w:pPr>
            <w:r w:rsidRPr="00DB1AEE">
              <w:rPr>
                <w:sz w:val="18"/>
                <w:szCs w:val="18"/>
                <w:u w:val="single"/>
              </w:rPr>
              <w:t>4</w:t>
            </w:r>
          </w:p>
        </w:tc>
        <w:tc>
          <w:tcPr>
            <w:tcW w:w="361" w:type="pct"/>
            <w:gridSpan w:val="2"/>
            <w:tcBorders>
              <w:top w:val="nil"/>
              <w:left w:val="nil"/>
              <w:bottom w:val="single" w:sz="4" w:space="0" w:color="auto"/>
              <w:right w:val="single" w:sz="4" w:space="0" w:color="auto"/>
            </w:tcBorders>
            <w:hideMark/>
          </w:tcPr>
          <w:p w14:paraId="7509F382"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63" w:type="pct"/>
            <w:gridSpan w:val="3"/>
            <w:tcBorders>
              <w:top w:val="nil"/>
              <w:left w:val="nil"/>
              <w:bottom w:val="single" w:sz="4" w:space="0" w:color="auto"/>
              <w:right w:val="single" w:sz="4" w:space="0" w:color="auto"/>
            </w:tcBorders>
            <w:hideMark/>
          </w:tcPr>
          <w:p w14:paraId="19CFC6ED" w14:textId="77777777" w:rsidR="00DB1AEE" w:rsidRPr="00DB1AEE" w:rsidRDefault="00DB1AEE" w:rsidP="00DB1AEE">
            <w:pPr>
              <w:suppressAutoHyphens/>
              <w:jc w:val="left"/>
              <w:rPr>
                <w:sz w:val="18"/>
                <w:szCs w:val="18"/>
                <w:u w:val="single"/>
              </w:rPr>
            </w:pPr>
            <w:r w:rsidRPr="00DB1AEE">
              <w:rPr>
                <w:sz w:val="18"/>
                <w:szCs w:val="18"/>
                <w:u w:val="single"/>
              </w:rPr>
              <w:t>ADD1</w:t>
            </w:r>
          </w:p>
        </w:tc>
        <w:tc>
          <w:tcPr>
            <w:tcW w:w="330" w:type="pct"/>
            <w:tcBorders>
              <w:top w:val="nil"/>
              <w:left w:val="nil"/>
              <w:bottom w:val="single" w:sz="4" w:space="0" w:color="auto"/>
              <w:right w:val="single" w:sz="4" w:space="0" w:color="auto"/>
            </w:tcBorders>
            <w:hideMark/>
          </w:tcPr>
          <w:p w14:paraId="530F3FF3" w14:textId="77777777" w:rsidR="00DB1AEE" w:rsidRPr="00DB1AEE" w:rsidRDefault="00DB1AEE" w:rsidP="00DB1AEE">
            <w:pPr>
              <w:suppressAutoHyphens/>
              <w:jc w:val="center"/>
              <w:rPr>
                <w:sz w:val="18"/>
                <w:szCs w:val="18"/>
                <w:u w:val="single"/>
              </w:rPr>
            </w:pPr>
            <w:r w:rsidRPr="00DB1AEE">
              <w:rPr>
                <w:sz w:val="18"/>
                <w:szCs w:val="18"/>
                <w:u w:val="single"/>
              </w:rPr>
              <w:t>ADD1</w:t>
            </w:r>
          </w:p>
        </w:tc>
        <w:tc>
          <w:tcPr>
            <w:tcW w:w="364" w:type="pct"/>
            <w:gridSpan w:val="2"/>
            <w:tcBorders>
              <w:top w:val="nil"/>
              <w:left w:val="nil"/>
              <w:bottom w:val="single" w:sz="4" w:space="0" w:color="auto"/>
              <w:right w:val="single" w:sz="4" w:space="0" w:color="auto"/>
            </w:tcBorders>
            <w:hideMark/>
          </w:tcPr>
          <w:p w14:paraId="0B151C8E" w14:textId="77777777" w:rsidR="00DB1AEE" w:rsidRPr="00DB1AEE" w:rsidRDefault="00DB1AEE" w:rsidP="00DB1AEE">
            <w:pPr>
              <w:suppressAutoHyphens/>
              <w:jc w:val="left"/>
              <w:rPr>
                <w:sz w:val="18"/>
                <w:szCs w:val="18"/>
                <w:u w:val="single"/>
              </w:rPr>
            </w:pPr>
          </w:p>
        </w:tc>
        <w:tc>
          <w:tcPr>
            <w:tcW w:w="427" w:type="pct"/>
            <w:gridSpan w:val="3"/>
            <w:tcBorders>
              <w:top w:val="nil"/>
              <w:left w:val="nil"/>
              <w:bottom w:val="single" w:sz="4" w:space="0" w:color="auto"/>
              <w:right w:val="single" w:sz="4" w:space="0" w:color="auto"/>
            </w:tcBorders>
            <w:hideMark/>
          </w:tcPr>
          <w:p w14:paraId="43F52DCE"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97" w:type="pct"/>
            <w:tcBorders>
              <w:top w:val="nil"/>
              <w:left w:val="nil"/>
              <w:bottom w:val="single" w:sz="4" w:space="0" w:color="auto"/>
              <w:right w:val="single" w:sz="4" w:space="0" w:color="auto"/>
            </w:tcBorders>
            <w:hideMark/>
          </w:tcPr>
          <w:p w14:paraId="2FEB16D9" w14:textId="77777777" w:rsidR="00DB1AEE" w:rsidRPr="00DB1AEE" w:rsidRDefault="00DB1AEE" w:rsidP="00DB1AEE">
            <w:pPr>
              <w:suppressAutoHyphens/>
              <w:jc w:val="center"/>
              <w:rPr>
                <w:sz w:val="18"/>
                <w:szCs w:val="18"/>
                <w:u w:val="single"/>
              </w:rPr>
            </w:pPr>
            <w:r w:rsidRPr="00DB1AEE">
              <w:rPr>
                <w:sz w:val="18"/>
                <w:szCs w:val="18"/>
                <w:u w:val="single"/>
              </w:rPr>
              <w:t>REQ</w:t>
            </w:r>
          </w:p>
        </w:tc>
        <w:tc>
          <w:tcPr>
            <w:tcW w:w="363" w:type="pct"/>
            <w:tcBorders>
              <w:top w:val="nil"/>
              <w:left w:val="nil"/>
              <w:bottom w:val="single" w:sz="4" w:space="0" w:color="auto"/>
              <w:right w:val="single" w:sz="4" w:space="0" w:color="auto"/>
            </w:tcBorders>
            <w:vAlign w:val="bottom"/>
            <w:hideMark/>
          </w:tcPr>
          <w:p w14:paraId="68D84298" w14:textId="77777777" w:rsidR="00DB1AEE" w:rsidRPr="00DB1AEE" w:rsidRDefault="00DB1AEE" w:rsidP="00DB1AEE">
            <w:pPr>
              <w:suppressAutoHyphens/>
              <w:jc w:val="left"/>
              <w:rPr>
                <w:sz w:val="18"/>
                <w:szCs w:val="18"/>
                <w:u w:val="single"/>
              </w:rPr>
            </w:pPr>
            <w:r w:rsidRPr="00DB1AEE">
              <w:rPr>
                <w:sz w:val="18"/>
                <w:szCs w:val="18"/>
                <w:u w:val="single"/>
              </w:rPr>
              <w:t> </w:t>
            </w:r>
          </w:p>
        </w:tc>
        <w:tc>
          <w:tcPr>
            <w:tcW w:w="418" w:type="pct"/>
            <w:gridSpan w:val="3"/>
            <w:tcBorders>
              <w:top w:val="nil"/>
              <w:left w:val="nil"/>
              <w:bottom w:val="single" w:sz="4" w:space="0" w:color="auto"/>
              <w:right w:val="single" w:sz="4" w:space="0" w:color="auto"/>
            </w:tcBorders>
            <w:hideMark/>
          </w:tcPr>
          <w:p w14:paraId="4B7FB129" w14:textId="77777777" w:rsidR="00DB1AEE" w:rsidRPr="00DB1AEE" w:rsidRDefault="00DB1AEE" w:rsidP="00DB1AEE">
            <w:pPr>
              <w:suppressAutoHyphens/>
              <w:jc w:val="left"/>
              <w:rPr>
                <w:sz w:val="18"/>
                <w:szCs w:val="18"/>
                <w:u w:val="single"/>
              </w:rPr>
            </w:pPr>
            <w:r w:rsidRPr="00DB1AEE">
              <w:rPr>
                <w:sz w:val="18"/>
                <w:szCs w:val="18"/>
                <w:u w:val="single"/>
              </w:rPr>
              <w:t>ADD2</w:t>
            </w:r>
          </w:p>
        </w:tc>
        <w:tc>
          <w:tcPr>
            <w:tcW w:w="323" w:type="pct"/>
            <w:tcBorders>
              <w:top w:val="nil"/>
              <w:left w:val="nil"/>
              <w:bottom w:val="single" w:sz="4" w:space="0" w:color="auto"/>
              <w:right w:val="single" w:sz="4" w:space="0" w:color="auto"/>
            </w:tcBorders>
            <w:hideMark/>
          </w:tcPr>
          <w:p w14:paraId="7CBC59F7" w14:textId="77777777" w:rsidR="00DB1AEE" w:rsidRPr="00DB1AEE" w:rsidRDefault="00DB1AEE" w:rsidP="00DB1AEE">
            <w:pPr>
              <w:suppressAutoHyphens/>
              <w:jc w:val="left"/>
              <w:rPr>
                <w:sz w:val="18"/>
                <w:szCs w:val="18"/>
                <w:u w:val="single"/>
              </w:rPr>
            </w:pPr>
            <w:r w:rsidRPr="00DB1AEE">
              <w:rPr>
                <w:sz w:val="18"/>
                <w:szCs w:val="18"/>
                <w:u w:val="single"/>
              </w:rPr>
              <w:t>ADD2</w:t>
            </w:r>
          </w:p>
        </w:tc>
      </w:tr>
    </w:tbl>
    <w:p w14:paraId="4F1C66B5" w14:textId="77777777" w:rsidR="00DB1AEE" w:rsidRPr="00DB1AEE" w:rsidRDefault="00DB1AEE" w:rsidP="00DB1AEE">
      <w:pPr>
        <w:widowControl w:val="0"/>
        <w:suppressAutoHyphens/>
        <w:spacing w:before="130" w:after="130"/>
        <w:ind w:left="360"/>
        <w:jc w:val="left"/>
        <w:rPr>
          <w:u w:val="single"/>
        </w:rPr>
      </w:pPr>
      <w:r w:rsidRPr="00DB1AEE">
        <w:rPr>
          <w:u w:val="single"/>
        </w:rPr>
        <w:t>a. Where both a common space type and a building-specific space type are listed, the building specific space type shall apply (see Table 9.5.2.1-1 for common space types).</w:t>
      </w:r>
    </w:p>
    <w:p w14:paraId="0F9D1CCD" w14:textId="77777777" w:rsidR="00DB1AEE" w:rsidRPr="00DB1AEE" w:rsidRDefault="00DB1AEE" w:rsidP="00DB1AEE">
      <w:pPr>
        <w:widowControl w:val="0"/>
        <w:suppressAutoHyphens/>
        <w:spacing w:before="130" w:after="130"/>
        <w:ind w:left="360"/>
        <w:jc w:val="left"/>
        <w:rPr>
          <w:u w:val="single"/>
        </w:rPr>
      </w:pPr>
      <w:r w:rsidRPr="00DB1AEE">
        <w:rPr>
          <w:u w:val="single"/>
        </w:rPr>
        <w:t>b. Automatic daylight responsive controls are mandatory only if the space meets the requirements of the specified sections.</w:t>
      </w:r>
    </w:p>
    <w:p w14:paraId="19669F4B" w14:textId="77777777" w:rsidR="00DB1AEE" w:rsidRPr="00DB1AEE" w:rsidRDefault="00DB1AEE" w:rsidP="00DB1AEE">
      <w:pPr>
        <w:jc w:val="left"/>
        <w:rPr>
          <w:b/>
          <w:bCs/>
          <w:u w:val="single"/>
        </w:rPr>
        <w:sectPr w:rsidR="00DB1AEE" w:rsidRPr="00DB1AEE" w:rsidSect="00DB1AEE">
          <w:pgSz w:w="15840" w:h="12240" w:orient="landscape" w:code="1"/>
          <w:pgMar w:top="1440" w:right="1440" w:bottom="1440" w:left="965" w:header="1440" w:footer="965" w:gutter="0"/>
          <w:lnNumType w:countBy="1"/>
          <w:cols w:space="720"/>
          <w:noEndnote/>
          <w:docGrid w:linePitch="326"/>
        </w:sectPr>
      </w:pPr>
    </w:p>
    <w:p w14:paraId="10F9CA47" w14:textId="77777777" w:rsidR="00DB1AEE" w:rsidRPr="00DB1AEE" w:rsidRDefault="00DB1AEE" w:rsidP="00DB1AEE">
      <w:pPr>
        <w:widowControl w:val="0"/>
        <w:suppressAutoHyphens/>
        <w:spacing w:before="130" w:after="130"/>
        <w:jc w:val="left"/>
        <w:rPr>
          <w:b/>
          <w:bCs/>
          <w:u w:val="single"/>
        </w:rPr>
      </w:pPr>
      <w:r w:rsidRPr="00DB1AEE">
        <w:rPr>
          <w:b/>
          <w:bCs/>
          <w:u w:val="single"/>
        </w:rPr>
        <w:t>Section 9.9.1</w:t>
      </w:r>
      <w:r w:rsidRPr="00DB1AEE">
        <w:rPr>
          <w:b/>
          <w:bCs/>
          <w:u w:val="single"/>
        </w:rPr>
        <w:tab/>
        <w:t>Verification and Testing.</w:t>
      </w:r>
    </w:p>
    <w:p w14:paraId="59D1CAF3" w14:textId="77777777" w:rsidR="00DB1AEE" w:rsidRPr="00DB1AEE" w:rsidRDefault="00DB1AEE" w:rsidP="00DB1AEE">
      <w:pPr>
        <w:widowControl w:val="0"/>
        <w:suppressAutoHyphens/>
        <w:spacing w:before="130" w:after="130"/>
        <w:jc w:val="left"/>
        <w:rPr>
          <w:b/>
          <w:bCs/>
          <w:u w:val="single"/>
        </w:rPr>
      </w:pPr>
      <w:r w:rsidRPr="00DB1AEE">
        <w:rPr>
          <w:u w:val="single"/>
        </w:rPr>
        <w:t>Section 9.9.1– Revise Item “b”  from Section 9.9.1to read as follows:</w:t>
      </w:r>
    </w:p>
    <w:p w14:paraId="6063BF37" w14:textId="77777777" w:rsidR="00DB1AEE" w:rsidRPr="00DB1AEE" w:rsidRDefault="00DB1AEE" w:rsidP="00DB1AEE">
      <w:pPr>
        <w:widowControl w:val="0"/>
        <w:suppressAutoHyphens/>
        <w:ind w:left="648" w:hanging="288"/>
        <w:jc w:val="left"/>
        <w:rPr>
          <w:u w:val="single"/>
        </w:rPr>
      </w:pPr>
      <w:r w:rsidRPr="00DB1AEE">
        <w:rPr>
          <w:u w:val="single"/>
        </w:rPr>
        <w:t>b.</w:t>
      </w:r>
      <w:r w:rsidRPr="00DB1AEE">
        <w:rPr>
          <w:u w:val="single"/>
        </w:rPr>
        <w:tab/>
        <w:t>Automatic Time Switches</w:t>
      </w:r>
    </w:p>
    <w:p w14:paraId="6DAB933E" w14:textId="77777777" w:rsidR="00DB1AEE" w:rsidRPr="00DB1AEE" w:rsidRDefault="00DB1AEE" w:rsidP="00DB1AEE">
      <w:pPr>
        <w:widowControl w:val="0"/>
        <w:suppressAutoHyphens/>
        <w:ind w:left="648" w:hanging="288"/>
        <w:jc w:val="left"/>
        <w:rPr>
          <w:u w:val="single"/>
        </w:rPr>
      </w:pPr>
      <w:r w:rsidRPr="00DB1AEE">
        <w:rPr>
          <w:u w:val="single"/>
        </w:rPr>
        <w:t>1.</w:t>
      </w:r>
      <w:r w:rsidRPr="00DB1AEE">
        <w:rPr>
          <w:u w:val="single"/>
        </w:rPr>
        <w:tab/>
        <w:t>Confirm that the automatic time-switch control is programmed with accurate weekday, weekend, and holiday (as applicable) schedules.</w:t>
      </w:r>
    </w:p>
    <w:p w14:paraId="6A3CB1CC" w14:textId="77777777" w:rsidR="00DB1AEE" w:rsidRPr="00DB1AEE" w:rsidRDefault="00DB1AEE" w:rsidP="00DB1AEE">
      <w:pPr>
        <w:widowControl w:val="0"/>
        <w:suppressAutoHyphens/>
        <w:ind w:left="648" w:hanging="288"/>
        <w:jc w:val="left"/>
        <w:rPr>
          <w:u w:val="single"/>
        </w:rPr>
      </w:pPr>
      <w:r w:rsidRPr="00DB1AEE">
        <w:rPr>
          <w:u w:val="single"/>
        </w:rPr>
        <w:t>2.</w:t>
      </w:r>
      <w:r w:rsidRPr="00DB1AEE">
        <w:rPr>
          <w:u w:val="single"/>
        </w:rPr>
        <w:tab/>
        <w:t>Document for the owner automatic time-switch control programming, including weekday, weekend, and holiday schedules, as well as all setup and preference program settings.</w:t>
      </w:r>
    </w:p>
    <w:p w14:paraId="357DDE1D" w14:textId="77777777" w:rsidR="00DB1AEE" w:rsidRPr="00DB1AEE" w:rsidRDefault="00DB1AEE" w:rsidP="00DB1AEE">
      <w:pPr>
        <w:widowControl w:val="0"/>
        <w:suppressAutoHyphens/>
        <w:ind w:left="648" w:hanging="288"/>
        <w:jc w:val="left"/>
        <w:rPr>
          <w:u w:val="single"/>
        </w:rPr>
      </w:pPr>
      <w:r w:rsidRPr="00DB1AEE">
        <w:rPr>
          <w:u w:val="single"/>
        </w:rPr>
        <w:t>3.</w:t>
      </w:r>
      <w:r w:rsidRPr="00DB1AEE">
        <w:rPr>
          <w:u w:val="single"/>
        </w:rPr>
        <w:tab/>
        <w:t>Verify that correct time and date are properly set in the time switch.</w:t>
      </w:r>
    </w:p>
    <w:p w14:paraId="38BED3CE" w14:textId="77777777" w:rsidR="00DB1AEE" w:rsidRPr="00DB1AEE" w:rsidRDefault="00DB1AEE" w:rsidP="00DB1AEE">
      <w:pPr>
        <w:widowControl w:val="0"/>
        <w:suppressAutoHyphens/>
        <w:ind w:left="648" w:hanging="288"/>
        <w:jc w:val="left"/>
        <w:rPr>
          <w:u w:val="single"/>
        </w:rPr>
      </w:pPr>
      <w:r w:rsidRPr="00DB1AEE">
        <w:rPr>
          <w:u w:val="single"/>
        </w:rPr>
        <w:t>4.</w:t>
      </w:r>
      <w:r w:rsidRPr="00DB1AEE">
        <w:rPr>
          <w:u w:val="single"/>
        </w:rPr>
        <w:tab/>
        <w:t>Verify that any battery backup (as applicable) is installed and energized.</w:t>
      </w:r>
    </w:p>
    <w:p w14:paraId="0BD05470" w14:textId="77777777" w:rsidR="00DB1AEE" w:rsidRPr="00DB1AEE" w:rsidRDefault="00DB1AEE" w:rsidP="00DB1AEE">
      <w:pPr>
        <w:widowControl w:val="0"/>
        <w:suppressAutoHyphens/>
        <w:ind w:left="648" w:hanging="288"/>
        <w:jc w:val="left"/>
        <w:rPr>
          <w:u w:val="single"/>
        </w:rPr>
      </w:pPr>
      <w:r w:rsidRPr="00DB1AEE">
        <w:rPr>
          <w:u w:val="single"/>
        </w:rPr>
        <w:t>5.</w:t>
      </w:r>
      <w:r w:rsidRPr="00DB1AEE">
        <w:rPr>
          <w:u w:val="single"/>
        </w:rPr>
        <w:tab/>
        <w:t>Verify that the override time limit is set to no more than two (2) hours.</w:t>
      </w:r>
    </w:p>
    <w:p w14:paraId="524414EB" w14:textId="77777777" w:rsidR="00DB1AEE" w:rsidRPr="00DB1AEE" w:rsidRDefault="00DB1AEE" w:rsidP="00DB1AEE">
      <w:pPr>
        <w:widowControl w:val="0"/>
        <w:suppressAutoHyphens/>
        <w:ind w:left="648" w:hanging="288"/>
        <w:jc w:val="left"/>
        <w:rPr>
          <w:u w:val="single"/>
        </w:rPr>
      </w:pPr>
      <w:r w:rsidRPr="00DB1AEE">
        <w:rPr>
          <w:u w:val="single"/>
        </w:rPr>
        <w:t>6.</w:t>
      </w:r>
      <w:r w:rsidRPr="00DB1AEE">
        <w:rPr>
          <w:u w:val="single"/>
        </w:rPr>
        <w:tab/>
        <w:t>Simulate occupied condition. Verify and document the following:</w:t>
      </w:r>
    </w:p>
    <w:p w14:paraId="18E3591C" w14:textId="77777777" w:rsidR="00DB1AEE" w:rsidRPr="00DB1AEE" w:rsidRDefault="00DB1AEE" w:rsidP="00DB1AEE">
      <w:pPr>
        <w:widowControl w:val="0"/>
        <w:suppressAutoHyphens/>
        <w:ind w:left="648" w:hanging="288"/>
        <w:jc w:val="left"/>
        <w:rPr>
          <w:u w:val="single"/>
        </w:rPr>
      </w:pPr>
      <w:r w:rsidRPr="00DB1AEE">
        <w:rPr>
          <w:u w:val="single"/>
        </w:rPr>
        <w:t xml:space="preserve">1. </w:t>
      </w:r>
      <w:r w:rsidRPr="00DB1AEE">
        <w:rPr>
          <w:u w:val="single"/>
        </w:rPr>
        <w:tab/>
        <w:t>All lights can be turned on and off by their respective area control switch.</w:t>
      </w:r>
    </w:p>
    <w:p w14:paraId="64DE4390" w14:textId="77777777" w:rsidR="00DB1AEE" w:rsidRPr="00DB1AEE" w:rsidRDefault="00DB1AEE" w:rsidP="00DB1AEE">
      <w:pPr>
        <w:widowControl w:val="0"/>
        <w:suppressAutoHyphens/>
        <w:ind w:left="648" w:hanging="288"/>
        <w:jc w:val="left"/>
        <w:rPr>
          <w:u w:val="single"/>
        </w:rPr>
      </w:pPr>
      <w:r w:rsidRPr="00DB1AEE">
        <w:rPr>
          <w:u w:val="single"/>
        </w:rPr>
        <w:t xml:space="preserve">2. </w:t>
      </w:r>
      <w:r w:rsidRPr="00DB1AEE">
        <w:rPr>
          <w:u w:val="single"/>
        </w:rPr>
        <w:tab/>
        <w:t>The switch only operates lighting in the enclosed space in which the switch is located.</w:t>
      </w:r>
    </w:p>
    <w:p w14:paraId="3DD2D496" w14:textId="77777777" w:rsidR="00DB1AEE" w:rsidRPr="00DB1AEE" w:rsidRDefault="00DB1AEE" w:rsidP="00DB1AEE">
      <w:pPr>
        <w:widowControl w:val="0"/>
        <w:suppressAutoHyphens/>
        <w:ind w:left="648" w:hanging="288"/>
        <w:jc w:val="left"/>
        <w:rPr>
          <w:u w:val="single"/>
        </w:rPr>
      </w:pPr>
      <w:r w:rsidRPr="00DB1AEE">
        <w:rPr>
          <w:u w:val="single"/>
        </w:rPr>
        <w:t>7.</w:t>
      </w:r>
      <w:r w:rsidRPr="00DB1AEE">
        <w:rPr>
          <w:u w:val="single"/>
        </w:rPr>
        <w:tab/>
        <w:t>Simulate unoccupied condition. Verify and document the following:</w:t>
      </w:r>
    </w:p>
    <w:p w14:paraId="5C326033" w14:textId="77777777" w:rsidR="00DB1AEE" w:rsidRPr="00DB1AEE" w:rsidRDefault="00DB1AEE" w:rsidP="00DB1AEE">
      <w:pPr>
        <w:widowControl w:val="0"/>
        <w:suppressAutoHyphens/>
        <w:ind w:left="648" w:hanging="288"/>
        <w:jc w:val="left"/>
        <w:rPr>
          <w:u w:val="single"/>
        </w:rPr>
      </w:pPr>
      <w:r w:rsidRPr="00DB1AEE">
        <w:rPr>
          <w:u w:val="single"/>
        </w:rPr>
        <w:t>i All nonexempt lighting turns off.</w:t>
      </w:r>
    </w:p>
    <w:p w14:paraId="13A158F9" w14:textId="77777777" w:rsidR="00DB1AEE" w:rsidRPr="00DB1AEE" w:rsidRDefault="00DB1AEE" w:rsidP="00DB1AEE">
      <w:pPr>
        <w:widowControl w:val="0"/>
        <w:suppressAutoHyphens/>
        <w:ind w:left="648" w:hanging="288"/>
        <w:jc w:val="left"/>
        <w:rPr>
          <w:u w:val="single"/>
        </w:rPr>
      </w:pPr>
      <w:r w:rsidRPr="00DB1AEE">
        <w:rPr>
          <w:u w:val="single"/>
        </w:rPr>
        <w:t xml:space="preserve">ii </w:t>
      </w:r>
      <w:r w:rsidRPr="00DB1AEE">
        <w:rPr>
          <w:u w:val="single"/>
        </w:rPr>
        <w:tab/>
        <w:t>Manual override switch allows only the lights in the enclosed space where the override switch is located to turn on or remain on until the next scheduled shut off occurs.</w:t>
      </w:r>
    </w:p>
    <w:p w14:paraId="2FDF1722" w14:textId="77777777" w:rsidR="00DB1AEE" w:rsidRPr="00DB1AEE" w:rsidRDefault="00DB1AEE" w:rsidP="00DB1AEE">
      <w:pPr>
        <w:widowControl w:val="0"/>
        <w:suppressAutoHyphens/>
        <w:ind w:left="648" w:hanging="288"/>
        <w:jc w:val="left"/>
        <w:rPr>
          <w:u w:val="single"/>
        </w:rPr>
      </w:pPr>
      <w:r w:rsidRPr="00DB1AEE">
        <w:rPr>
          <w:u w:val="single"/>
        </w:rPr>
        <w:t>8.  Additional testing as specified by the registered design professional.</w:t>
      </w:r>
    </w:p>
    <w:p w14:paraId="1C87428E" w14:textId="77777777" w:rsidR="00DB1AEE" w:rsidRPr="00DB1AEE" w:rsidRDefault="00DB1AEE" w:rsidP="00DB1AEE">
      <w:pPr>
        <w:widowControl w:val="0"/>
        <w:suppressAutoHyphens/>
        <w:spacing w:before="130" w:after="130"/>
        <w:jc w:val="left"/>
        <w:rPr>
          <w:b/>
          <w:bCs/>
          <w:u w:val="single"/>
        </w:rPr>
      </w:pPr>
      <w:r w:rsidRPr="00DB1AEE">
        <w:rPr>
          <w:b/>
          <w:bCs/>
          <w:u w:val="single"/>
        </w:rPr>
        <w:t>Section 9.9.1.1</w:t>
      </w:r>
      <w:r w:rsidRPr="00DB1AEE">
        <w:t xml:space="preserve"> </w:t>
      </w:r>
      <w:r w:rsidRPr="00DB1AEE">
        <w:rPr>
          <w:b/>
          <w:bCs/>
          <w:u w:val="single"/>
        </w:rPr>
        <w:t>Documentation Requirements.</w:t>
      </w:r>
    </w:p>
    <w:p w14:paraId="0C10F4D7" w14:textId="77777777" w:rsidR="00DB1AEE" w:rsidRPr="00DB1AEE" w:rsidRDefault="00DB1AEE" w:rsidP="00DB1AEE">
      <w:pPr>
        <w:widowControl w:val="0"/>
        <w:suppressAutoHyphens/>
        <w:spacing w:before="130" w:after="130"/>
        <w:jc w:val="left"/>
        <w:rPr>
          <w:b/>
          <w:bCs/>
          <w:u w:val="single"/>
        </w:rPr>
      </w:pPr>
      <w:r w:rsidRPr="00DB1AEE">
        <w:rPr>
          <w:u w:val="single"/>
        </w:rPr>
        <w:t>Section 9.9.1.1 – Add new Section 9.9.1.1 to read as follows:</w:t>
      </w:r>
    </w:p>
    <w:p w14:paraId="018D98E0" w14:textId="77777777" w:rsidR="00DB1AEE" w:rsidRPr="00DB1AEE" w:rsidRDefault="00DB1AEE" w:rsidP="00DB1AEE">
      <w:pPr>
        <w:widowControl w:val="0"/>
        <w:suppressAutoHyphens/>
        <w:spacing w:before="130" w:after="130"/>
        <w:ind w:left="360"/>
        <w:jc w:val="left"/>
        <w:rPr>
          <w:b/>
          <w:bCs/>
          <w:u w:val="single"/>
        </w:rPr>
      </w:pPr>
      <w:r w:rsidRPr="00DB1AEE">
        <w:rPr>
          <w:b/>
          <w:bCs/>
          <w:u w:val="single"/>
        </w:rPr>
        <w:t>9.9.1.1 Documentation Requirements</w:t>
      </w:r>
    </w:p>
    <w:p w14:paraId="302E88C4" w14:textId="77777777" w:rsidR="00DB1AEE" w:rsidRPr="00DB1AEE" w:rsidRDefault="00DB1AEE" w:rsidP="00DB1AEE">
      <w:pPr>
        <w:widowControl w:val="0"/>
        <w:suppressAutoHyphens/>
        <w:spacing w:before="130" w:after="130"/>
        <w:ind w:left="360"/>
        <w:jc w:val="left"/>
        <w:rPr>
          <w:u w:val="single"/>
        </w:rPr>
      </w:pPr>
      <w:r w:rsidRPr="00DB1AEE">
        <w:rPr>
          <w:u w:val="single"/>
        </w:rPr>
        <w:t>The construction documents shall specify that the documents described in this section be provided to the building owner or owner’s authorized agent within 90 days of the date of receipt of the certificate of occupancy.</w:t>
      </w:r>
    </w:p>
    <w:p w14:paraId="0441944F" w14:textId="77777777" w:rsidR="00DB1AEE" w:rsidRPr="00DB1AEE" w:rsidRDefault="00DB1AEE" w:rsidP="00DB1AEE">
      <w:pPr>
        <w:widowControl w:val="0"/>
        <w:suppressAutoHyphens/>
        <w:spacing w:before="130" w:after="130"/>
        <w:jc w:val="left"/>
        <w:rPr>
          <w:b/>
          <w:bCs/>
          <w:u w:val="single"/>
        </w:rPr>
      </w:pPr>
      <w:r w:rsidRPr="00DB1AEE">
        <w:rPr>
          <w:b/>
          <w:bCs/>
          <w:u w:val="single"/>
        </w:rPr>
        <w:t>Section 9.9.1.1.1</w:t>
      </w:r>
      <w:r w:rsidRPr="00DB1AEE">
        <w:t xml:space="preserve"> </w:t>
      </w:r>
      <w:r w:rsidRPr="00DB1AEE">
        <w:rPr>
          <w:b/>
          <w:bCs/>
          <w:u w:val="single"/>
        </w:rPr>
        <w:t>Drawings.</w:t>
      </w:r>
    </w:p>
    <w:p w14:paraId="62E35627" w14:textId="77777777" w:rsidR="00DB1AEE" w:rsidRPr="00DB1AEE" w:rsidRDefault="00DB1AEE" w:rsidP="00DB1AEE">
      <w:pPr>
        <w:widowControl w:val="0"/>
        <w:suppressAutoHyphens/>
        <w:spacing w:before="130" w:after="130"/>
        <w:jc w:val="left"/>
        <w:rPr>
          <w:b/>
          <w:bCs/>
          <w:u w:val="single"/>
        </w:rPr>
      </w:pPr>
      <w:r w:rsidRPr="00DB1AEE">
        <w:rPr>
          <w:u w:val="single"/>
        </w:rPr>
        <w:t>Section 9.9.1.1.1 – Add new Section 9.9.1.1.1 to read as follows:</w:t>
      </w:r>
    </w:p>
    <w:p w14:paraId="466D083F" w14:textId="77777777" w:rsidR="00DB1AEE" w:rsidRPr="00DB1AEE" w:rsidRDefault="00DB1AEE" w:rsidP="00DB1AEE">
      <w:pPr>
        <w:widowControl w:val="0"/>
        <w:suppressAutoHyphens/>
        <w:spacing w:before="130" w:after="130"/>
        <w:ind w:left="360"/>
        <w:jc w:val="left"/>
        <w:rPr>
          <w:b/>
          <w:bCs/>
          <w:u w:val="single"/>
        </w:rPr>
      </w:pPr>
      <w:r w:rsidRPr="00DB1AEE">
        <w:rPr>
          <w:b/>
          <w:bCs/>
          <w:u w:val="single"/>
        </w:rPr>
        <w:t>9.9.1.1.1 Drawings</w:t>
      </w:r>
    </w:p>
    <w:p w14:paraId="5FE23499" w14:textId="77777777" w:rsidR="00DB1AEE" w:rsidRPr="00DB1AEE" w:rsidRDefault="00DB1AEE" w:rsidP="00DB1AEE">
      <w:pPr>
        <w:widowControl w:val="0"/>
        <w:suppressAutoHyphens/>
        <w:spacing w:before="130" w:after="130"/>
        <w:ind w:left="360"/>
        <w:jc w:val="left"/>
        <w:rPr>
          <w:u w:val="single"/>
        </w:rPr>
      </w:pPr>
      <w:r w:rsidRPr="00DB1AEE">
        <w:rPr>
          <w:u w:val="single"/>
        </w:rPr>
        <w:t>Construction documents shall include the location and catalogue number of each piece of equipment.</w:t>
      </w:r>
    </w:p>
    <w:p w14:paraId="0408B803" w14:textId="77777777" w:rsidR="00DB1AEE" w:rsidRPr="00DB1AEE" w:rsidRDefault="00DB1AEE" w:rsidP="00DB1AEE">
      <w:pPr>
        <w:widowControl w:val="0"/>
        <w:suppressAutoHyphens/>
        <w:spacing w:before="130" w:after="130"/>
        <w:jc w:val="left"/>
        <w:rPr>
          <w:b/>
          <w:bCs/>
          <w:u w:val="single"/>
        </w:rPr>
      </w:pPr>
      <w:r w:rsidRPr="00DB1AEE">
        <w:rPr>
          <w:b/>
          <w:bCs/>
          <w:u w:val="single"/>
        </w:rPr>
        <w:t>Section 9.9.1.1.2</w:t>
      </w:r>
      <w:r w:rsidRPr="00DB1AEE">
        <w:t xml:space="preserve"> </w:t>
      </w:r>
      <w:r w:rsidRPr="00DB1AEE">
        <w:rPr>
          <w:b/>
          <w:bCs/>
          <w:u w:val="single"/>
        </w:rPr>
        <w:t>Manuals.</w:t>
      </w:r>
    </w:p>
    <w:p w14:paraId="5D880A2E" w14:textId="77777777" w:rsidR="00DB1AEE" w:rsidRPr="00DB1AEE" w:rsidRDefault="00DB1AEE" w:rsidP="00DB1AEE">
      <w:pPr>
        <w:widowControl w:val="0"/>
        <w:suppressAutoHyphens/>
        <w:spacing w:before="130" w:after="130"/>
        <w:jc w:val="left"/>
        <w:rPr>
          <w:b/>
          <w:bCs/>
          <w:u w:val="single"/>
        </w:rPr>
      </w:pPr>
      <w:r w:rsidRPr="00DB1AEE">
        <w:rPr>
          <w:u w:val="single"/>
        </w:rPr>
        <w:t>Section 9.9.1.1.2 – Add new Section 9.9.1.1.2 to read as follows:</w:t>
      </w:r>
    </w:p>
    <w:p w14:paraId="46FB5E4D" w14:textId="77777777" w:rsidR="00DB1AEE" w:rsidRPr="00DB1AEE" w:rsidRDefault="00DB1AEE" w:rsidP="00DB1AEE">
      <w:pPr>
        <w:widowControl w:val="0"/>
        <w:suppressAutoHyphens/>
        <w:spacing w:before="130" w:after="130"/>
        <w:ind w:left="360"/>
        <w:jc w:val="left"/>
        <w:rPr>
          <w:b/>
          <w:bCs/>
          <w:u w:val="single"/>
        </w:rPr>
      </w:pPr>
      <w:r w:rsidRPr="00DB1AEE">
        <w:rPr>
          <w:b/>
          <w:bCs/>
          <w:u w:val="single"/>
        </w:rPr>
        <w:t xml:space="preserve">9.9.1.1.2 Manuals </w:t>
      </w:r>
    </w:p>
    <w:p w14:paraId="345D96C6" w14:textId="77777777" w:rsidR="00DB1AEE" w:rsidRPr="00DB1AEE" w:rsidRDefault="00DB1AEE" w:rsidP="00DB1AEE">
      <w:pPr>
        <w:widowControl w:val="0"/>
        <w:suppressAutoHyphens/>
        <w:ind w:left="648" w:hanging="288"/>
        <w:jc w:val="left"/>
        <w:rPr>
          <w:u w:val="single"/>
        </w:rPr>
      </w:pPr>
      <w:r w:rsidRPr="00DB1AEE">
        <w:rPr>
          <w:u w:val="single"/>
        </w:rPr>
        <w:t>An operating and maintenance manual shall be provided and include the following:</w:t>
      </w:r>
    </w:p>
    <w:p w14:paraId="056E0BDD" w14:textId="77777777" w:rsidR="00DB1AEE" w:rsidRPr="00DB1AEE" w:rsidRDefault="00DB1AEE" w:rsidP="00DB1AEE">
      <w:pPr>
        <w:widowControl w:val="0"/>
        <w:suppressAutoHyphens/>
        <w:ind w:left="648" w:hanging="288"/>
        <w:jc w:val="left"/>
        <w:rPr>
          <w:u w:val="single"/>
        </w:rPr>
      </w:pPr>
      <w:r w:rsidRPr="00DB1AEE">
        <w:rPr>
          <w:u w:val="single"/>
        </w:rPr>
        <w:t>a. Name and address of not less than one service agency for installed equipment.</w:t>
      </w:r>
    </w:p>
    <w:p w14:paraId="69C9E045" w14:textId="77777777" w:rsidR="00DB1AEE" w:rsidRPr="00DB1AEE" w:rsidRDefault="00DB1AEE" w:rsidP="00DB1AEE">
      <w:pPr>
        <w:widowControl w:val="0"/>
        <w:suppressAutoHyphens/>
        <w:ind w:left="648" w:hanging="288"/>
        <w:jc w:val="left"/>
        <w:rPr>
          <w:u w:val="single"/>
        </w:rPr>
      </w:pPr>
      <w:r w:rsidRPr="00DB1AEE">
        <w:rPr>
          <w:u w:val="single"/>
        </w:rPr>
        <w:t>b. A narrative of how each system is intended to operate, including recommended setpoints.</w:t>
      </w:r>
    </w:p>
    <w:p w14:paraId="00AD9FBF" w14:textId="77777777" w:rsidR="00DB1AEE" w:rsidRPr="00DB1AEE" w:rsidRDefault="00DB1AEE" w:rsidP="00DB1AEE">
      <w:pPr>
        <w:widowControl w:val="0"/>
        <w:suppressAutoHyphens/>
        <w:ind w:left="648" w:hanging="288"/>
        <w:jc w:val="left"/>
        <w:rPr>
          <w:u w:val="single"/>
        </w:rPr>
      </w:pPr>
      <w:r w:rsidRPr="00DB1AEE">
        <w:rPr>
          <w:u w:val="single"/>
        </w:rPr>
        <w:t>c. Submittal data indicating all selected options for each piece of lighting equipment and lighting controls.</w:t>
      </w:r>
    </w:p>
    <w:p w14:paraId="1FD60C59" w14:textId="77777777" w:rsidR="00DB1AEE" w:rsidRPr="00DB1AEE" w:rsidRDefault="00DB1AEE" w:rsidP="00DB1AEE">
      <w:pPr>
        <w:widowControl w:val="0"/>
        <w:suppressAutoHyphens/>
        <w:ind w:left="648" w:hanging="288"/>
        <w:jc w:val="left"/>
        <w:rPr>
          <w:u w:val="single"/>
        </w:rPr>
      </w:pPr>
      <w:r w:rsidRPr="00DB1AEE">
        <w:rPr>
          <w:u w:val="single"/>
        </w:rPr>
        <w:t>d. Operation and maintenance manuals for each piece of lighting equipment. Required routine maintenance actions, cleaning and recommended relamping shall be clearly identified.</w:t>
      </w:r>
    </w:p>
    <w:p w14:paraId="71A48161" w14:textId="77777777" w:rsidR="00DB1AEE" w:rsidRPr="00DB1AEE" w:rsidRDefault="00DB1AEE" w:rsidP="00DB1AEE">
      <w:pPr>
        <w:widowControl w:val="0"/>
        <w:suppressAutoHyphens/>
        <w:ind w:left="648" w:hanging="288"/>
        <w:jc w:val="left"/>
        <w:rPr>
          <w:u w:val="single"/>
        </w:rPr>
      </w:pPr>
      <w:r w:rsidRPr="00DB1AEE">
        <w:rPr>
          <w:u w:val="single"/>
        </w:rPr>
        <w:t>e. A schedule for inspecting and recalibrating all lighting controls.</w:t>
      </w:r>
    </w:p>
    <w:p w14:paraId="4F0463C8" w14:textId="77777777" w:rsidR="00DB1AEE" w:rsidRPr="00DB1AEE" w:rsidRDefault="00DB1AEE" w:rsidP="00DB1AEE">
      <w:pPr>
        <w:widowControl w:val="0"/>
        <w:suppressAutoHyphens/>
        <w:spacing w:before="130" w:after="130"/>
        <w:jc w:val="left"/>
        <w:rPr>
          <w:b/>
          <w:bCs/>
          <w:u w:val="single"/>
        </w:rPr>
      </w:pPr>
      <w:r w:rsidRPr="00DB1AEE">
        <w:rPr>
          <w:b/>
          <w:bCs/>
          <w:u w:val="single"/>
        </w:rPr>
        <w:t>Section 9.9.1.1.3</w:t>
      </w:r>
      <w:r w:rsidRPr="00DB1AEE">
        <w:t xml:space="preserve"> </w:t>
      </w:r>
      <w:r w:rsidRPr="00DB1AEE">
        <w:rPr>
          <w:b/>
          <w:bCs/>
          <w:u w:val="single"/>
        </w:rPr>
        <w:t>Report.</w:t>
      </w:r>
    </w:p>
    <w:p w14:paraId="7674C359" w14:textId="77777777" w:rsidR="00DB1AEE" w:rsidRPr="00DB1AEE" w:rsidRDefault="00DB1AEE" w:rsidP="00DB1AEE">
      <w:pPr>
        <w:widowControl w:val="0"/>
        <w:suppressAutoHyphens/>
        <w:spacing w:before="130" w:after="130"/>
        <w:jc w:val="left"/>
        <w:rPr>
          <w:b/>
          <w:bCs/>
          <w:u w:val="single"/>
        </w:rPr>
      </w:pPr>
      <w:r w:rsidRPr="00DB1AEE">
        <w:rPr>
          <w:u w:val="single"/>
        </w:rPr>
        <w:t>Section 9.9.1.1.3 – Add new Section 9.9.1.1.3 to read as follows:</w:t>
      </w:r>
    </w:p>
    <w:p w14:paraId="78772969" w14:textId="77777777" w:rsidR="00DB1AEE" w:rsidRPr="00DB1AEE" w:rsidRDefault="00DB1AEE" w:rsidP="00DB1AEE">
      <w:pPr>
        <w:widowControl w:val="0"/>
        <w:suppressAutoHyphens/>
        <w:spacing w:before="130" w:after="130"/>
        <w:ind w:left="360"/>
        <w:jc w:val="left"/>
        <w:rPr>
          <w:b/>
          <w:bCs/>
          <w:u w:val="single"/>
        </w:rPr>
      </w:pPr>
      <w:r w:rsidRPr="00DB1AEE">
        <w:rPr>
          <w:b/>
          <w:bCs/>
          <w:u w:val="single"/>
        </w:rPr>
        <w:t xml:space="preserve">9.9.1.1.3 Report </w:t>
      </w:r>
    </w:p>
    <w:p w14:paraId="0E7C998F" w14:textId="77777777" w:rsidR="00DB1AEE" w:rsidRPr="00DB1AEE" w:rsidRDefault="00DB1AEE" w:rsidP="00DB1AEE">
      <w:pPr>
        <w:widowControl w:val="0"/>
        <w:suppressAutoHyphens/>
        <w:ind w:left="648" w:hanging="288"/>
        <w:jc w:val="left"/>
        <w:rPr>
          <w:u w:val="single"/>
        </w:rPr>
      </w:pPr>
      <w:r w:rsidRPr="00DB1AEE">
        <w:rPr>
          <w:u w:val="single"/>
        </w:rPr>
        <w:t xml:space="preserve">A report of test results shall be provided and include the following: </w:t>
      </w:r>
    </w:p>
    <w:p w14:paraId="5D1BB287" w14:textId="77777777" w:rsidR="00DB1AEE" w:rsidRPr="00DB1AEE" w:rsidRDefault="00DB1AEE" w:rsidP="00DB1AEE">
      <w:pPr>
        <w:widowControl w:val="0"/>
        <w:suppressAutoHyphens/>
        <w:ind w:left="648" w:hanging="288"/>
        <w:jc w:val="left"/>
        <w:rPr>
          <w:u w:val="single"/>
        </w:rPr>
      </w:pPr>
      <w:r w:rsidRPr="00DB1AEE">
        <w:rPr>
          <w:u w:val="single"/>
        </w:rPr>
        <w:t>a. Results of functional performance tests.</w:t>
      </w:r>
    </w:p>
    <w:p w14:paraId="0A9CCBFF" w14:textId="77777777" w:rsidR="00DB1AEE" w:rsidRPr="00DB1AEE" w:rsidRDefault="00DB1AEE" w:rsidP="00DB1AEE">
      <w:pPr>
        <w:widowControl w:val="0"/>
        <w:suppressAutoHyphens/>
        <w:ind w:left="648" w:hanging="288"/>
        <w:jc w:val="left"/>
        <w:rPr>
          <w:u w:val="single"/>
        </w:rPr>
      </w:pPr>
      <w:r w:rsidRPr="00DB1AEE">
        <w:rPr>
          <w:u w:val="single"/>
        </w:rPr>
        <w:t>b. Disposition of deficiencies found during testing, including details of corrective measures used or proposed.</w:t>
      </w:r>
    </w:p>
    <w:p w14:paraId="3C4ABF24" w14:textId="77777777" w:rsidR="00DB1AEE" w:rsidRPr="00DB1AEE" w:rsidRDefault="00DB1AEE" w:rsidP="00DB1AEE">
      <w:pPr>
        <w:widowControl w:val="0"/>
        <w:suppressAutoHyphens/>
        <w:spacing w:before="130" w:after="130"/>
        <w:jc w:val="left"/>
        <w:rPr>
          <w:b/>
          <w:bCs/>
          <w:u w:val="single"/>
        </w:rPr>
      </w:pPr>
      <w:r w:rsidRPr="00DB1AEE">
        <w:rPr>
          <w:b/>
          <w:bCs/>
          <w:u w:val="single"/>
        </w:rPr>
        <w:t xml:space="preserve">Section 10- Other Equipment.   </w:t>
      </w:r>
    </w:p>
    <w:p w14:paraId="1A93A930" w14:textId="77777777" w:rsidR="00DB1AEE" w:rsidRPr="00DB1AEE" w:rsidRDefault="00DB1AEE" w:rsidP="00DB1AEE">
      <w:pPr>
        <w:widowControl w:val="0"/>
        <w:suppressAutoHyphens/>
        <w:spacing w:before="130" w:after="130"/>
        <w:jc w:val="left"/>
        <w:rPr>
          <w:b/>
          <w:bCs/>
          <w:u w:val="single"/>
        </w:rPr>
      </w:pPr>
      <w:r w:rsidRPr="00DB1AEE">
        <w:rPr>
          <w:b/>
          <w:bCs/>
          <w:u w:val="single"/>
        </w:rPr>
        <w:t>Section 10.4.3.5.1 Motor.</w:t>
      </w:r>
    </w:p>
    <w:p w14:paraId="2DCE5980" w14:textId="77777777" w:rsidR="00DB1AEE" w:rsidRPr="00DB1AEE" w:rsidRDefault="00DB1AEE" w:rsidP="00DB1AEE">
      <w:pPr>
        <w:widowControl w:val="0"/>
        <w:suppressAutoHyphens/>
        <w:spacing w:before="130" w:after="130"/>
        <w:jc w:val="left"/>
        <w:rPr>
          <w:b/>
          <w:bCs/>
          <w:u w:val="single"/>
        </w:rPr>
      </w:pPr>
      <w:r w:rsidRPr="00DB1AEE">
        <w:rPr>
          <w:u w:val="single"/>
        </w:rPr>
        <w:t>Section 10.4.3.5.1 – Add new Section 10.4.3.5.1 to read as follows:</w:t>
      </w:r>
    </w:p>
    <w:p w14:paraId="604C4CC7" w14:textId="77777777" w:rsidR="00DB1AEE" w:rsidRPr="00DB1AEE" w:rsidRDefault="00DB1AEE" w:rsidP="00DB1AEE">
      <w:pPr>
        <w:widowControl w:val="0"/>
        <w:suppressAutoHyphens/>
        <w:spacing w:before="130" w:after="130"/>
        <w:jc w:val="left"/>
        <w:rPr>
          <w:b/>
          <w:bCs/>
          <w:u w:val="single"/>
        </w:rPr>
      </w:pPr>
      <w:r w:rsidRPr="00DB1AEE">
        <w:rPr>
          <w:b/>
          <w:bCs/>
          <w:u w:val="single"/>
        </w:rPr>
        <w:t>10.4.3.5.1 Motor</w:t>
      </w:r>
    </w:p>
    <w:p w14:paraId="6A2A60DB" w14:textId="77777777" w:rsidR="00DB1AEE" w:rsidRPr="00DB1AEE" w:rsidRDefault="00DB1AEE" w:rsidP="00DB1AEE">
      <w:pPr>
        <w:widowControl w:val="0"/>
        <w:suppressAutoHyphens/>
        <w:spacing w:before="130" w:after="130"/>
        <w:jc w:val="left"/>
        <w:rPr>
          <w:u w:val="single"/>
        </w:rPr>
      </w:pPr>
      <w:r w:rsidRPr="00DB1AEE">
        <w:rPr>
          <w:u w:val="single"/>
        </w:rPr>
        <w:t>Induction motors with a Class IE2 efficiency ratings, as defined by IEC EN 60034-30, or alternative technologies, such as permanent magnet synchronous motors that have equal or better efficiency, shall be used.</w:t>
      </w:r>
    </w:p>
    <w:p w14:paraId="76D2A758" w14:textId="77777777" w:rsidR="00DB1AEE" w:rsidRPr="00DB1AEE" w:rsidRDefault="00DB1AEE" w:rsidP="00DB1AEE">
      <w:pPr>
        <w:widowControl w:val="0"/>
        <w:suppressAutoHyphens/>
        <w:spacing w:before="130" w:after="130"/>
        <w:jc w:val="left"/>
        <w:rPr>
          <w:b/>
          <w:bCs/>
          <w:u w:val="single"/>
        </w:rPr>
      </w:pPr>
      <w:r w:rsidRPr="00DB1AEE">
        <w:rPr>
          <w:b/>
          <w:bCs/>
          <w:u w:val="single"/>
        </w:rPr>
        <w:t>Section 10.4.3.5.2 Transmission.</w:t>
      </w:r>
    </w:p>
    <w:p w14:paraId="0A6AC97E" w14:textId="77777777" w:rsidR="00DB1AEE" w:rsidRPr="00DB1AEE" w:rsidRDefault="00DB1AEE" w:rsidP="00DB1AEE">
      <w:pPr>
        <w:widowControl w:val="0"/>
        <w:suppressAutoHyphens/>
        <w:spacing w:before="130" w:after="130"/>
        <w:jc w:val="left"/>
        <w:rPr>
          <w:b/>
          <w:bCs/>
          <w:u w:val="single"/>
        </w:rPr>
      </w:pPr>
      <w:r w:rsidRPr="00DB1AEE">
        <w:rPr>
          <w:u w:val="single"/>
        </w:rPr>
        <w:t>Section 10.4.3.5.2 – Add new Section 10.4.3.5.2 to read as follows:</w:t>
      </w:r>
    </w:p>
    <w:p w14:paraId="3DC09741" w14:textId="77777777" w:rsidR="00DB1AEE" w:rsidRPr="00DB1AEE" w:rsidRDefault="00DB1AEE" w:rsidP="00DB1AEE">
      <w:pPr>
        <w:widowControl w:val="0"/>
        <w:suppressAutoHyphens/>
        <w:spacing w:before="130" w:after="130"/>
        <w:jc w:val="left"/>
        <w:rPr>
          <w:b/>
          <w:bCs/>
          <w:u w:val="single"/>
        </w:rPr>
      </w:pPr>
      <w:r w:rsidRPr="00DB1AEE">
        <w:rPr>
          <w:b/>
          <w:bCs/>
          <w:u w:val="single"/>
        </w:rPr>
        <w:t>10.4.3.5.2 Transmission</w:t>
      </w:r>
    </w:p>
    <w:p w14:paraId="20776019" w14:textId="77777777" w:rsidR="00DB1AEE" w:rsidRPr="00DB1AEE" w:rsidRDefault="00DB1AEE" w:rsidP="00DB1AEE">
      <w:pPr>
        <w:widowControl w:val="0"/>
        <w:suppressAutoHyphens/>
        <w:spacing w:before="130" w:after="130"/>
        <w:jc w:val="left"/>
        <w:rPr>
          <w:u w:val="single"/>
        </w:rPr>
      </w:pPr>
      <w:r w:rsidRPr="00DB1AEE">
        <w:rPr>
          <w:u w:val="single"/>
        </w:rPr>
        <w:t>Transmissions shall not reduce the efficiency of the combined motor/transmission for the Class IE2 motor for elevators with capacities below 4,000 lbs. Gearless machines shall be assumed to have a 100% transmission efficiency.</w:t>
      </w:r>
    </w:p>
    <w:p w14:paraId="1EAE5D80" w14:textId="77777777" w:rsidR="00DB1AEE" w:rsidRPr="00DB1AEE" w:rsidRDefault="00DB1AEE" w:rsidP="00DB1AEE">
      <w:pPr>
        <w:widowControl w:val="0"/>
        <w:suppressAutoHyphens/>
        <w:spacing w:before="130" w:after="130"/>
        <w:jc w:val="left"/>
        <w:rPr>
          <w:b/>
          <w:bCs/>
          <w:u w:val="single"/>
        </w:rPr>
      </w:pPr>
      <w:r w:rsidRPr="00DB1AEE">
        <w:rPr>
          <w:b/>
          <w:bCs/>
          <w:u w:val="single"/>
        </w:rPr>
        <w:t>Section 10.4.3.5.3 Drive.</w:t>
      </w:r>
    </w:p>
    <w:p w14:paraId="2245B6BE" w14:textId="77777777" w:rsidR="00DB1AEE" w:rsidRPr="00DB1AEE" w:rsidRDefault="00DB1AEE" w:rsidP="00DB1AEE">
      <w:pPr>
        <w:widowControl w:val="0"/>
        <w:suppressAutoHyphens/>
        <w:spacing w:before="130" w:after="130"/>
        <w:jc w:val="left"/>
        <w:rPr>
          <w:b/>
          <w:bCs/>
          <w:u w:val="single"/>
        </w:rPr>
      </w:pPr>
      <w:r w:rsidRPr="00DB1AEE">
        <w:rPr>
          <w:u w:val="single"/>
        </w:rPr>
        <w:t>Section 10.4.3.5.3 – Add new Section 10.4.3.5.3 to read as follows:</w:t>
      </w:r>
    </w:p>
    <w:p w14:paraId="67805630" w14:textId="77777777" w:rsidR="00DB1AEE" w:rsidRPr="00DB1AEE" w:rsidRDefault="00DB1AEE" w:rsidP="00DB1AEE">
      <w:pPr>
        <w:widowControl w:val="0"/>
        <w:suppressAutoHyphens/>
        <w:spacing w:before="130" w:after="130"/>
        <w:jc w:val="left"/>
        <w:rPr>
          <w:b/>
          <w:bCs/>
          <w:u w:val="single"/>
        </w:rPr>
      </w:pPr>
      <w:r w:rsidRPr="00DB1AEE">
        <w:rPr>
          <w:b/>
          <w:bCs/>
          <w:u w:val="single"/>
        </w:rPr>
        <w:t>10.4.3.5.3 Drive</w:t>
      </w:r>
    </w:p>
    <w:p w14:paraId="41774DFF" w14:textId="77777777" w:rsidR="00DB1AEE" w:rsidRPr="00DB1AEE" w:rsidRDefault="00DB1AEE" w:rsidP="00DB1AEE">
      <w:pPr>
        <w:widowControl w:val="0"/>
        <w:suppressAutoHyphens/>
        <w:spacing w:before="130" w:after="130"/>
        <w:jc w:val="left"/>
        <w:rPr>
          <w:u w:val="single"/>
        </w:rPr>
      </w:pPr>
      <w:r w:rsidRPr="00DB1AEE">
        <w:rPr>
          <w:u w:val="single"/>
        </w:rPr>
        <w:t>Potential energy released during motion shall be recovered with a regenerative drive that supplies electrical energy to the building electrical system.</w:t>
      </w:r>
    </w:p>
    <w:p w14:paraId="18F81252" w14:textId="77777777" w:rsidR="00DB1AEE" w:rsidRPr="00DB1AEE" w:rsidRDefault="00DB1AEE" w:rsidP="00DB1AEE">
      <w:pPr>
        <w:widowControl w:val="0"/>
        <w:suppressAutoHyphens/>
        <w:spacing w:before="130" w:after="130"/>
        <w:jc w:val="left"/>
        <w:rPr>
          <w:b/>
          <w:bCs/>
          <w:u w:val="single"/>
        </w:rPr>
      </w:pPr>
    </w:p>
    <w:p w14:paraId="7FE38FBA" w14:textId="77777777" w:rsidR="00DB1AEE" w:rsidRPr="00DB1AEE" w:rsidRDefault="00DB1AEE" w:rsidP="00DB1AEE">
      <w:pPr>
        <w:widowControl w:val="0"/>
        <w:suppressAutoHyphens/>
        <w:spacing w:before="130" w:after="130"/>
        <w:jc w:val="left"/>
        <w:rPr>
          <w:b/>
          <w:bCs/>
          <w:u w:val="single"/>
        </w:rPr>
      </w:pPr>
      <w:r w:rsidRPr="00DB1AEE">
        <w:rPr>
          <w:b/>
          <w:bCs/>
          <w:u w:val="single"/>
        </w:rPr>
        <w:t>Section 10.4.4.1.1 Regenerative Drive.</w:t>
      </w:r>
    </w:p>
    <w:p w14:paraId="580DDEC3" w14:textId="77777777" w:rsidR="00DB1AEE" w:rsidRPr="00DB1AEE" w:rsidRDefault="00DB1AEE" w:rsidP="00DB1AEE">
      <w:pPr>
        <w:widowControl w:val="0"/>
        <w:suppressAutoHyphens/>
        <w:spacing w:before="130" w:after="130"/>
        <w:jc w:val="left"/>
        <w:rPr>
          <w:b/>
          <w:bCs/>
          <w:u w:val="single"/>
        </w:rPr>
      </w:pPr>
      <w:r w:rsidRPr="00DB1AEE">
        <w:rPr>
          <w:u w:val="single"/>
        </w:rPr>
        <w:t>Section 10.4.4.1.1 – Add new Section 10.4.4.1.1 to read as follows:</w:t>
      </w:r>
    </w:p>
    <w:p w14:paraId="2727B2FC" w14:textId="77777777" w:rsidR="00DB1AEE" w:rsidRPr="00DB1AEE" w:rsidRDefault="00DB1AEE" w:rsidP="00DB1AEE">
      <w:pPr>
        <w:widowControl w:val="0"/>
        <w:suppressAutoHyphens/>
        <w:spacing w:before="130" w:after="130"/>
        <w:ind w:left="360"/>
        <w:jc w:val="left"/>
        <w:rPr>
          <w:b/>
          <w:bCs/>
          <w:u w:val="single"/>
        </w:rPr>
      </w:pPr>
      <w:r w:rsidRPr="00DB1AEE">
        <w:rPr>
          <w:b/>
          <w:bCs/>
          <w:u w:val="single"/>
        </w:rPr>
        <w:t>10.4.4.1.1 Regenerative Drive</w:t>
      </w:r>
    </w:p>
    <w:p w14:paraId="390A46B6" w14:textId="77777777" w:rsidR="00DB1AEE" w:rsidRPr="00DB1AEE" w:rsidRDefault="00DB1AEE" w:rsidP="00DB1AEE">
      <w:pPr>
        <w:widowControl w:val="0"/>
        <w:suppressAutoHyphens/>
        <w:spacing w:before="130" w:after="130"/>
        <w:ind w:left="360"/>
        <w:jc w:val="left"/>
        <w:rPr>
          <w:u w:val="single"/>
        </w:rPr>
      </w:pPr>
      <w:r w:rsidRPr="00DB1AEE">
        <w:rPr>
          <w:u w:val="single"/>
        </w:rPr>
        <w:t>An escalator designed either for one-way down operation only or for reversible operation shall have a variable frequency regenerative drive that supplies electrical energy to the building electrical system when the escalator is loaded with passengers whose combined weight exceeds 750 pounds.</w:t>
      </w:r>
    </w:p>
    <w:p w14:paraId="5A4793CD" w14:textId="77777777" w:rsidR="00DB1AEE" w:rsidRPr="00DB1AEE" w:rsidRDefault="00DB1AEE" w:rsidP="00DB1AEE">
      <w:pPr>
        <w:widowControl w:val="0"/>
        <w:suppressAutoHyphens/>
        <w:spacing w:before="130" w:after="130"/>
        <w:jc w:val="left"/>
        <w:rPr>
          <w:b/>
          <w:bCs/>
          <w:u w:val="single"/>
        </w:rPr>
      </w:pPr>
      <w:r w:rsidRPr="00DB1AEE">
        <w:rPr>
          <w:b/>
          <w:bCs/>
          <w:u w:val="single"/>
        </w:rPr>
        <w:t>Section 10.4.7.2</w:t>
      </w:r>
      <w:r w:rsidRPr="00DB1AEE">
        <w:rPr>
          <w:b/>
          <w:bCs/>
          <w:u w:val="single"/>
        </w:rPr>
        <w:tab/>
        <w:t>Recording and Reporting.</w:t>
      </w:r>
    </w:p>
    <w:p w14:paraId="06FDF798" w14:textId="77777777" w:rsidR="00DB1AEE" w:rsidRPr="00DB1AEE" w:rsidRDefault="00DB1AEE" w:rsidP="00DB1AEE">
      <w:pPr>
        <w:widowControl w:val="0"/>
        <w:suppressAutoHyphens/>
        <w:spacing w:before="130" w:after="130"/>
        <w:jc w:val="left"/>
        <w:rPr>
          <w:b/>
          <w:bCs/>
          <w:u w:val="single"/>
        </w:rPr>
      </w:pPr>
      <w:r w:rsidRPr="00DB1AEE">
        <w:rPr>
          <w:u w:val="single"/>
        </w:rPr>
        <w:t>Section 10.4.7.2– Revise the exceptions to Section 10.4.7.2 to read as follows:</w:t>
      </w:r>
    </w:p>
    <w:p w14:paraId="581026B5" w14:textId="77777777" w:rsidR="00DB1AEE" w:rsidRPr="00DB1AEE" w:rsidRDefault="00DB1AEE" w:rsidP="00DB1AEE">
      <w:pPr>
        <w:widowControl w:val="0"/>
        <w:suppressAutoHyphens/>
        <w:spacing w:before="130" w:after="130"/>
        <w:ind w:left="360"/>
        <w:jc w:val="left"/>
        <w:rPr>
          <w:b/>
          <w:bCs/>
          <w:u w:val="single"/>
        </w:rPr>
      </w:pPr>
      <w:r w:rsidRPr="00DB1AEE">
        <w:rPr>
          <w:b/>
          <w:bCs/>
          <w:u w:val="single"/>
        </w:rPr>
        <w:t>Exceptions to 10.4.7.1 and 10.4.7.2</w:t>
      </w:r>
    </w:p>
    <w:p w14:paraId="7EA9D933" w14:textId="77777777" w:rsidR="00DB1AEE" w:rsidRPr="00DB1AEE" w:rsidRDefault="00DB1AEE" w:rsidP="00DB1AEE">
      <w:pPr>
        <w:widowControl w:val="0"/>
        <w:suppressAutoHyphens/>
        <w:spacing w:before="130" w:after="130"/>
        <w:ind w:left="360"/>
        <w:jc w:val="left"/>
        <w:rPr>
          <w:u w:val="single"/>
        </w:rPr>
      </w:pPr>
      <w:r w:rsidRPr="00DB1AEE">
        <w:rPr>
          <w:u w:val="single"/>
        </w:rPr>
        <w:t>1.</w:t>
      </w:r>
      <w:r w:rsidRPr="00DB1AEE">
        <w:rPr>
          <w:u w:val="single"/>
        </w:rPr>
        <w:tab/>
        <w:t>Buildings or additions less than 10,000 ft</w:t>
      </w:r>
      <w:r w:rsidRPr="00DB1AEE">
        <w:rPr>
          <w:u w:val="single"/>
          <w:vertAlign w:val="superscript"/>
        </w:rPr>
        <w:t>2</w:t>
      </w:r>
      <w:r w:rsidRPr="00DB1AEE">
        <w:rPr>
          <w:u w:val="single"/>
        </w:rPr>
        <w:t>.</w:t>
      </w:r>
    </w:p>
    <w:p w14:paraId="54FE6580" w14:textId="77777777" w:rsidR="00DB1AEE" w:rsidRPr="00DB1AEE" w:rsidRDefault="00DB1AEE" w:rsidP="00DB1AEE">
      <w:pPr>
        <w:widowControl w:val="0"/>
        <w:suppressAutoHyphens/>
        <w:spacing w:before="130" w:after="130"/>
        <w:ind w:left="360"/>
        <w:jc w:val="left"/>
        <w:rPr>
          <w:u w:val="single"/>
        </w:rPr>
      </w:pPr>
      <w:r w:rsidRPr="00DB1AEE">
        <w:rPr>
          <w:u w:val="single"/>
        </w:rPr>
        <w:t>2.</w:t>
      </w:r>
      <w:r w:rsidRPr="00DB1AEE">
        <w:rPr>
          <w:u w:val="single"/>
        </w:rPr>
        <w:tab/>
        <w:t>Individual tenant spaces less than 5,000 ft</w:t>
      </w:r>
      <w:r w:rsidRPr="00DB1AEE">
        <w:rPr>
          <w:u w:val="single"/>
          <w:vertAlign w:val="superscript"/>
        </w:rPr>
        <w:t>2</w:t>
      </w:r>
      <w:r w:rsidRPr="00DB1AEE">
        <w:rPr>
          <w:u w:val="single"/>
        </w:rPr>
        <w:t>.</w:t>
      </w:r>
    </w:p>
    <w:p w14:paraId="3E88AF99" w14:textId="77777777" w:rsidR="00DB1AEE" w:rsidRPr="00DB1AEE" w:rsidRDefault="00DB1AEE" w:rsidP="00DB1AEE">
      <w:pPr>
        <w:widowControl w:val="0"/>
        <w:suppressAutoHyphens/>
        <w:spacing w:before="130" w:after="130"/>
        <w:ind w:left="360"/>
        <w:jc w:val="left"/>
        <w:rPr>
          <w:u w:val="single"/>
        </w:rPr>
      </w:pPr>
      <w:r w:rsidRPr="00DB1AEE">
        <w:rPr>
          <w:u w:val="single"/>
        </w:rPr>
        <w:t>3.</w:t>
      </w:r>
      <w:r w:rsidRPr="00DB1AEE">
        <w:rPr>
          <w:u w:val="single"/>
        </w:rPr>
        <w:tab/>
        <w:t>Dwelling units.</w:t>
      </w:r>
    </w:p>
    <w:p w14:paraId="1CC56118" w14:textId="77777777" w:rsidR="00DB1AEE" w:rsidRPr="00DB1AEE" w:rsidRDefault="00DB1AEE" w:rsidP="00DB1AEE">
      <w:pPr>
        <w:widowControl w:val="0"/>
        <w:suppressAutoHyphens/>
        <w:spacing w:before="130" w:after="130"/>
        <w:ind w:left="360"/>
        <w:jc w:val="left"/>
        <w:rPr>
          <w:u w:val="single"/>
        </w:rPr>
      </w:pPr>
      <w:r w:rsidRPr="00DB1AEE">
        <w:rPr>
          <w:u w:val="single"/>
        </w:rPr>
        <w:t>4.</w:t>
      </w:r>
      <w:r w:rsidRPr="00DB1AEE">
        <w:rPr>
          <w:u w:val="single"/>
        </w:rPr>
        <w:tab/>
        <w:t>Residential buildings with less than 10,000 ft</w:t>
      </w:r>
      <w:r w:rsidRPr="00DB1AEE">
        <w:rPr>
          <w:u w:val="single"/>
          <w:vertAlign w:val="superscript"/>
        </w:rPr>
        <w:t>2</w:t>
      </w:r>
      <w:r w:rsidRPr="00DB1AEE">
        <w:rPr>
          <w:u w:val="single"/>
        </w:rPr>
        <w:t xml:space="preserve"> of common area.</w:t>
      </w:r>
    </w:p>
    <w:p w14:paraId="5B2A8765" w14:textId="77777777" w:rsidR="00DB1AEE" w:rsidRPr="00DB1AEE" w:rsidRDefault="00DB1AEE" w:rsidP="00DB1AEE">
      <w:pPr>
        <w:widowControl w:val="0"/>
        <w:suppressAutoHyphens/>
        <w:spacing w:before="130" w:after="130"/>
        <w:ind w:left="360"/>
        <w:jc w:val="left"/>
        <w:rPr>
          <w:u w:val="single"/>
        </w:rPr>
      </w:pPr>
      <w:r w:rsidRPr="00DB1AEE">
        <w:rPr>
          <w:u w:val="single"/>
        </w:rPr>
        <w:t>5.</w:t>
      </w:r>
      <w:r w:rsidRPr="00DB1AEE">
        <w:rPr>
          <w:u w:val="single"/>
        </w:rPr>
        <w:tab/>
        <w:t>Fuel used for on-site emergency equipment.</w:t>
      </w:r>
    </w:p>
    <w:p w14:paraId="099917F2" w14:textId="77777777" w:rsidR="00DB1AEE" w:rsidRPr="00DB1AEE" w:rsidRDefault="00DB1AEE" w:rsidP="00DB1AEE">
      <w:pPr>
        <w:widowControl w:val="0"/>
        <w:suppressAutoHyphens/>
        <w:spacing w:before="130" w:after="130"/>
        <w:jc w:val="left"/>
        <w:rPr>
          <w:b/>
          <w:bCs/>
          <w:u w:val="single"/>
        </w:rPr>
      </w:pPr>
      <w:r w:rsidRPr="00DB1AEE">
        <w:rPr>
          <w:b/>
          <w:bCs/>
          <w:u w:val="single"/>
        </w:rPr>
        <w:t>Section 10.4.11 Commercial Kitchen Equipment.</w:t>
      </w:r>
    </w:p>
    <w:p w14:paraId="513841C1" w14:textId="77777777" w:rsidR="00DB1AEE" w:rsidRPr="00DB1AEE" w:rsidRDefault="00DB1AEE" w:rsidP="00DB1AEE">
      <w:pPr>
        <w:widowControl w:val="0"/>
        <w:suppressAutoHyphens/>
        <w:spacing w:before="130" w:after="130"/>
        <w:jc w:val="left"/>
        <w:rPr>
          <w:b/>
          <w:bCs/>
          <w:u w:val="single"/>
        </w:rPr>
      </w:pPr>
      <w:r w:rsidRPr="00DB1AEE">
        <w:rPr>
          <w:u w:val="single"/>
        </w:rPr>
        <w:t>Section 10.4.11 – Add new Section 10.4.11 to read as follows:</w:t>
      </w:r>
    </w:p>
    <w:p w14:paraId="763F74B5" w14:textId="77777777" w:rsidR="00DB1AEE" w:rsidRPr="00DB1AEE" w:rsidRDefault="00DB1AEE" w:rsidP="00DB1AEE">
      <w:pPr>
        <w:tabs>
          <w:tab w:val="left" w:pos="3030"/>
        </w:tabs>
        <w:suppressAutoHyphens/>
        <w:ind w:left="360"/>
        <w:jc w:val="left"/>
        <w:rPr>
          <w:b/>
          <w:bCs/>
          <w:spacing w:val="-3"/>
          <w:szCs w:val="24"/>
          <w:u w:val="single"/>
        </w:rPr>
      </w:pPr>
      <w:r w:rsidRPr="00DB1AEE">
        <w:rPr>
          <w:b/>
          <w:bCs/>
          <w:spacing w:val="-3"/>
          <w:szCs w:val="24"/>
          <w:u w:val="single"/>
        </w:rPr>
        <w:t>10.4.11 Commercial Kitchen Equipment</w:t>
      </w:r>
    </w:p>
    <w:p w14:paraId="7B6D3DA9" w14:textId="77777777" w:rsidR="00DB1AEE" w:rsidRPr="00DB1AEE" w:rsidRDefault="00DB1AEE" w:rsidP="00DB1AEE">
      <w:pPr>
        <w:suppressAutoHyphens/>
        <w:ind w:left="360"/>
        <w:rPr>
          <w:szCs w:val="24"/>
          <w:u w:val="single"/>
        </w:rPr>
      </w:pPr>
      <w:r w:rsidRPr="00DB1AEE">
        <w:rPr>
          <w:szCs w:val="24"/>
          <w:u w:val="single"/>
        </w:rPr>
        <w:t>Commercial kitchen equipment shall comply with the minimum efficiency requirements of Tables 10.4.11-1 through 10.4.11-5.</w:t>
      </w:r>
    </w:p>
    <w:p w14:paraId="28E36A9E" w14:textId="77777777" w:rsidR="00DB1AEE" w:rsidRPr="00DB1AEE" w:rsidRDefault="00DB1AEE" w:rsidP="00DB1AEE">
      <w:pPr>
        <w:suppressAutoHyphens/>
        <w:jc w:val="center"/>
        <w:rPr>
          <w:b/>
          <w:bCs/>
          <w:szCs w:val="24"/>
          <w:u w:val="single"/>
        </w:rPr>
      </w:pPr>
      <w:r w:rsidRPr="00DB1AEE">
        <w:rPr>
          <w:b/>
          <w:bCs/>
          <w:szCs w:val="24"/>
          <w:u w:val="single"/>
        </w:rPr>
        <w:t>Table 10.4.11-1 Minimum Efficiency Requirements: Commercial Fryers</w:t>
      </w:r>
    </w:p>
    <w:p w14:paraId="377DEA5E" w14:textId="77777777" w:rsidR="00DB1AEE" w:rsidRPr="00DB1AEE" w:rsidRDefault="00DB1AEE" w:rsidP="00DB1AEE">
      <w:pPr>
        <w:suppressAutoHyphens/>
        <w:jc w:val="center"/>
        <w:rPr>
          <w:b/>
          <w:bCs/>
          <w:szCs w:val="24"/>
          <w:u w:val="single"/>
        </w:rPr>
      </w:pPr>
      <w:r w:rsidRPr="00DB1AEE">
        <w:rPr>
          <w:b/>
          <w:bCs/>
          <w:szCs w:val="24"/>
          <w:u w:val="single"/>
        </w:rPr>
        <w:t>(This table is intended to be a restatement of the legally binding provisions found in Title 10 CFR Part 431 included here as a convenience to the users of this code)</w:t>
      </w:r>
    </w:p>
    <w:tbl>
      <w:tblPr>
        <w:tblW w:w="8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0"/>
        <w:gridCol w:w="1980"/>
        <w:gridCol w:w="2400"/>
        <w:gridCol w:w="1560"/>
      </w:tblGrid>
      <w:tr w:rsidR="00DB1AEE" w:rsidRPr="00DB1AEE" w14:paraId="79FC0AE9" w14:textId="77777777" w:rsidTr="00FC1832">
        <w:trPr>
          <w:trHeight w:val="499"/>
          <w:jc w:val="center"/>
        </w:trPr>
        <w:tc>
          <w:tcPr>
            <w:tcW w:w="2400" w:type="dxa"/>
            <w:shd w:val="clear" w:color="000000" w:fill="FFFFFF"/>
            <w:vAlign w:val="center"/>
            <w:hideMark/>
          </w:tcPr>
          <w:p w14:paraId="7494F01D" w14:textId="77777777" w:rsidR="00DB1AEE" w:rsidRPr="00DB1AEE" w:rsidRDefault="00DB1AEE" w:rsidP="00DB1AEE">
            <w:pPr>
              <w:suppressAutoHyphens/>
              <w:jc w:val="left"/>
              <w:rPr>
                <w:szCs w:val="24"/>
                <w:u w:val="single"/>
              </w:rPr>
            </w:pPr>
            <w:r w:rsidRPr="00DB1AEE">
              <w:rPr>
                <w:szCs w:val="24"/>
                <w:u w:val="single"/>
              </w:rPr>
              <w:t> </w:t>
            </w:r>
          </w:p>
        </w:tc>
        <w:tc>
          <w:tcPr>
            <w:tcW w:w="1980" w:type="dxa"/>
            <w:shd w:val="clear" w:color="000000" w:fill="FFFFFF"/>
            <w:hideMark/>
          </w:tcPr>
          <w:p w14:paraId="10CC6BD1" w14:textId="77777777" w:rsidR="00DB1AEE" w:rsidRPr="00DB1AEE" w:rsidRDefault="00DB1AEE" w:rsidP="00DB1AEE">
            <w:pPr>
              <w:suppressAutoHyphens/>
              <w:ind w:firstLineChars="100" w:firstLine="240"/>
              <w:jc w:val="left"/>
              <w:rPr>
                <w:b/>
                <w:bCs/>
                <w:szCs w:val="24"/>
                <w:u w:val="single"/>
              </w:rPr>
            </w:pPr>
            <w:r w:rsidRPr="00DB1AEE">
              <w:rPr>
                <w:b/>
                <w:bCs/>
                <w:szCs w:val="24"/>
                <w:u w:val="single"/>
              </w:rPr>
              <w:t>Heavy-Load Cooking Energy Efficiency</w:t>
            </w:r>
          </w:p>
        </w:tc>
        <w:tc>
          <w:tcPr>
            <w:tcW w:w="2400" w:type="dxa"/>
            <w:shd w:val="clear" w:color="000000" w:fill="FFFFFF"/>
            <w:hideMark/>
          </w:tcPr>
          <w:p w14:paraId="0D50FE55" w14:textId="77777777" w:rsidR="00DB1AEE" w:rsidRPr="00DB1AEE" w:rsidRDefault="00DB1AEE" w:rsidP="00DB1AEE">
            <w:pPr>
              <w:suppressAutoHyphens/>
              <w:jc w:val="center"/>
              <w:rPr>
                <w:b/>
                <w:bCs/>
                <w:szCs w:val="24"/>
                <w:u w:val="single"/>
              </w:rPr>
            </w:pPr>
            <w:r w:rsidRPr="00DB1AEE">
              <w:rPr>
                <w:b/>
                <w:bCs/>
                <w:szCs w:val="24"/>
                <w:u w:val="single"/>
              </w:rPr>
              <w:t>Idle Energy Rate</w:t>
            </w:r>
          </w:p>
        </w:tc>
        <w:tc>
          <w:tcPr>
            <w:tcW w:w="1560" w:type="dxa"/>
            <w:shd w:val="clear" w:color="000000" w:fill="FFFFFF"/>
            <w:hideMark/>
          </w:tcPr>
          <w:p w14:paraId="7739A857" w14:textId="77777777" w:rsidR="00DB1AEE" w:rsidRPr="00DB1AEE" w:rsidRDefault="00DB1AEE" w:rsidP="00DB1AEE">
            <w:pPr>
              <w:suppressAutoHyphens/>
              <w:jc w:val="center"/>
              <w:rPr>
                <w:b/>
                <w:bCs/>
                <w:szCs w:val="24"/>
                <w:u w:val="single"/>
              </w:rPr>
            </w:pPr>
            <w:r w:rsidRPr="00DB1AEE">
              <w:rPr>
                <w:b/>
                <w:bCs/>
                <w:szCs w:val="24"/>
                <w:u w:val="single"/>
              </w:rPr>
              <w:t>Test Procedure</w:t>
            </w:r>
          </w:p>
        </w:tc>
      </w:tr>
      <w:tr w:rsidR="00DB1AEE" w:rsidRPr="00DB1AEE" w14:paraId="1F5A05CF" w14:textId="77777777" w:rsidTr="00FC1832">
        <w:trPr>
          <w:trHeight w:val="582"/>
          <w:jc w:val="center"/>
        </w:trPr>
        <w:tc>
          <w:tcPr>
            <w:tcW w:w="2400" w:type="dxa"/>
            <w:shd w:val="clear" w:color="000000" w:fill="FFFFFF"/>
            <w:hideMark/>
          </w:tcPr>
          <w:p w14:paraId="553B8FD8" w14:textId="77777777" w:rsidR="00DB1AEE" w:rsidRPr="00DB1AEE" w:rsidRDefault="00DB1AEE" w:rsidP="00DB1AEE">
            <w:pPr>
              <w:suppressAutoHyphens/>
              <w:ind w:firstLineChars="100" w:firstLine="240"/>
              <w:jc w:val="left"/>
              <w:rPr>
                <w:szCs w:val="24"/>
                <w:u w:val="single"/>
              </w:rPr>
            </w:pPr>
            <w:r w:rsidRPr="00DB1AEE">
              <w:rPr>
                <w:szCs w:val="24"/>
                <w:u w:val="single"/>
              </w:rPr>
              <w:t>Standard Open Deep-Fat</w:t>
            </w:r>
          </w:p>
          <w:p w14:paraId="690A2D67" w14:textId="77777777" w:rsidR="00DB1AEE" w:rsidRPr="00DB1AEE" w:rsidRDefault="00DB1AEE" w:rsidP="00DB1AEE">
            <w:pPr>
              <w:suppressAutoHyphens/>
              <w:ind w:firstLineChars="100" w:firstLine="240"/>
              <w:jc w:val="left"/>
              <w:rPr>
                <w:szCs w:val="24"/>
                <w:u w:val="single"/>
              </w:rPr>
            </w:pPr>
            <w:r w:rsidRPr="00DB1AEE">
              <w:rPr>
                <w:szCs w:val="24"/>
                <w:u w:val="single"/>
              </w:rPr>
              <w:t>Gas Fryers</w:t>
            </w:r>
          </w:p>
        </w:tc>
        <w:tc>
          <w:tcPr>
            <w:tcW w:w="1980" w:type="dxa"/>
            <w:shd w:val="clear" w:color="000000" w:fill="FFFFFF"/>
            <w:hideMark/>
          </w:tcPr>
          <w:p w14:paraId="467CC3C0" w14:textId="77777777" w:rsidR="00DB1AEE" w:rsidRPr="00DB1AEE" w:rsidRDefault="00DB1AEE" w:rsidP="00DB1AEE">
            <w:pPr>
              <w:suppressAutoHyphens/>
              <w:jc w:val="center"/>
              <w:rPr>
                <w:szCs w:val="24"/>
                <w:u w:val="single"/>
              </w:rPr>
            </w:pPr>
            <w:r w:rsidRPr="00DB1AEE">
              <w:rPr>
                <w:szCs w:val="24"/>
                <w:u w:val="single"/>
              </w:rPr>
              <w:t>≥ 50%</w:t>
            </w:r>
          </w:p>
          <w:p w14:paraId="3B6E75D7" w14:textId="77777777" w:rsidR="00DB1AEE" w:rsidRPr="00DB1AEE" w:rsidRDefault="00DB1AEE" w:rsidP="00DB1AEE">
            <w:pPr>
              <w:suppressAutoHyphens/>
              <w:jc w:val="left"/>
              <w:rPr>
                <w:szCs w:val="24"/>
                <w:u w:val="single"/>
              </w:rPr>
            </w:pPr>
            <w:r w:rsidRPr="00DB1AEE">
              <w:rPr>
                <w:szCs w:val="24"/>
                <w:u w:val="single"/>
              </w:rPr>
              <w:t> </w:t>
            </w:r>
          </w:p>
        </w:tc>
        <w:tc>
          <w:tcPr>
            <w:tcW w:w="2400" w:type="dxa"/>
            <w:shd w:val="clear" w:color="000000" w:fill="FFFFFF"/>
            <w:hideMark/>
          </w:tcPr>
          <w:p w14:paraId="17AB91D3" w14:textId="77777777" w:rsidR="00DB1AEE" w:rsidRPr="00DB1AEE" w:rsidRDefault="00DB1AEE" w:rsidP="00DB1AEE">
            <w:pPr>
              <w:suppressAutoHyphens/>
              <w:ind w:firstLineChars="400" w:firstLine="960"/>
              <w:jc w:val="left"/>
              <w:rPr>
                <w:szCs w:val="24"/>
                <w:u w:val="single"/>
              </w:rPr>
            </w:pPr>
            <w:r w:rsidRPr="00DB1AEE">
              <w:rPr>
                <w:szCs w:val="24"/>
                <w:u w:val="single"/>
              </w:rPr>
              <w:t>≤ 9,000 Btu/hr</w:t>
            </w:r>
          </w:p>
        </w:tc>
        <w:tc>
          <w:tcPr>
            <w:tcW w:w="1560" w:type="dxa"/>
            <w:vMerge w:val="restart"/>
            <w:shd w:val="clear" w:color="000000" w:fill="FFFFFF"/>
            <w:vAlign w:val="center"/>
            <w:hideMark/>
          </w:tcPr>
          <w:p w14:paraId="2C060187" w14:textId="77777777" w:rsidR="00DB1AEE" w:rsidRPr="00DB1AEE" w:rsidRDefault="00DB1AEE" w:rsidP="00DB1AEE">
            <w:pPr>
              <w:suppressAutoHyphens/>
              <w:ind w:firstLineChars="100" w:firstLine="240"/>
              <w:jc w:val="left"/>
              <w:rPr>
                <w:szCs w:val="24"/>
                <w:u w:val="single"/>
              </w:rPr>
            </w:pPr>
            <w:r w:rsidRPr="00DB1AEE">
              <w:rPr>
                <w:szCs w:val="24"/>
                <w:u w:val="single"/>
              </w:rPr>
              <w:t>ASTM Standard</w:t>
            </w:r>
          </w:p>
          <w:p w14:paraId="7D756285" w14:textId="77777777" w:rsidR="00DB1AEE" w:rsidRPr="00DB1AEE" w:rsidRDefault="00DB1AEE" w:rsidP="00DB1AEE">
            <w:pPr>
              <w:suppressAutoHyphens/>
              <w:jc w:val="center"/>
              <w:rPr>
                <w:szCs w:val="24"/>
                <w:u w:val="single"/>
              </w:rPr>
            </w:pPr>
            <w:r w:rsidRPr="00DB1AEE">
              <w:rPr>
                <w:szCs w:val="24"/>
                <w:u w:val="single"/>
              </w:rPr>
              <w:t>F1361-17</w:t>
            </w:r>
          </w:p>
          <w:p w14:paraId="1B51774A" w14:textId="77777777" w:rsidR="00DB1AEE" w:rsidRPr="00DB1AEE" w:rsidRDefault="00DB1AEE" w:rsidP="00DB1AEE">
            <w:pPr>
              <w:suppressAutoHyphens/>
              <w:jc w:val="left"/>
              <w:rPr>
                <w:szCs w:val="24"/>
                <w:u w:val="single"/>
              </w:rPr>
            </w:pPr>
            <w:r w:rsidRPr="00DB1AEE">
              <w:rPr>
                <w:szCs w:val="24"/>
                <w:u w:val="single"/>
              </w:rPr>
              <w:t> </w:t>
            </w:r>
          </w:p>
        </w:tc>
      </w:tr>
      <w:tr w:rsidR="00DB1AEE" w:rsidRPr="00DB1AEE" w14:paraId="2D572612" w14:textId="77777777" w:rsidTr="00FC1832">
        <w:trPr>
          <w:trHeight w:val="509"/>
          <w:jc w:val="center"/>
        </w:trPr>
        <w:tc>
          <w:tcPr>
            <w:tcW w:w="2400" w:type="dxa"/>
            <w:tcBorders>
              <w:bottom w:val="single" w:sz="4" w:space="0" w:color="auto"/>
            </w:tcBorders>
            <w:shd w:val="clear" w:color="000000" w:fill="FFFFFF"/>
            <w:hideMark/>
          </w:tcPr>
          <w:p w14:paraId="5B9DAB51" w14:textId="77777777" w:rsidR="00DB1AEE" w:rsidRPr="00DB1AEE" w:rsidRDefault="00DB1AEE" w:rsidP="00DB1AEE">
            <w:pPr>
              <w:suppressAutoHyphens/>
              <w:ind w:firstLineChars="100" w:firstLine="240"/>
              <w:jc w:val="left"/>
              <w:rPr>
                <w:szCs w:val="24"/>
                <w:u w:val="single"/>
              </w:rPr>
            </w:pPr>
            <w:r w:rsidRPr="00DB1AEE">
              <w:rPr>
                <w:szCs w:val="24"/>
                <w:u w:val="single"/>
              </w:rPr>
              <w:t>Large Vat Open Deep-Fat</w:t>
            </w:r>
          </w:p>
          <w:p w14:paraId="4AC22974" w14:textId="77777777" w:rsidR="00DB1AEE" w:rsidRPr="00DB1AEE" w:rsidRDefault="00DB1AEE" w:rsidP="00DB1AEE">
            <w:pPr>
              <w:suppressAutoHyphens/>
              <w:ind w:firstLineChars="100" w:firstLine="240"/>
              <w:jc w:val="left"/>
              <w:rPr>
                <w:szCs w:val="24"/>
                <w:u w:val="single"/>
              </w:rPr>
            </w:pPr>
            <w:r w:rsidRPr="00DB1AEE">
              <w:rPr>
                <w:szCs w:val="24"/>
                <w:u w:val="single"/>
              </w:rPr>
              <w:t>Gas Fryers</w:t>
            </w:r>
          </w:p>
        </w:tc>
        <w:tc>
          <w:tcPr>
            <w:tcW w:w="1980" w:type="dxa"/>
            <w:tcBorders>
              <w:bottom w:val="single" w:sz="4" w:space="0" w:color="auto"/>
            </w:tcBorders>
            <w:shd w:val="clear" w:color="000000" w:fill="FFFFFF"/>
            <w:hideMark/>
          </w:tcPr>
          <w:p w14:paraId="15BD179E" w14:textId="77777777" w:rsidR="00DB1AEE" w:rsidRPr="00DB1AEE" w:rsidRDefault="00DB1AEE" w:rsidP="00DB1AEE">
            <w:pPr>
              <w:suppressAutoHyphens/>
              <w:jc w:val="center"/>
              <w:rPr>
                <w:szCs w:val="24"/>
                <w:u w:val="single"/>
              </w:rPr>
            </w:pPr>
            <w:r w:rsidRPr="00DB1AEE">
              <w:rPr>
                <w:szCs w:val="24"/>
                <w:u w:val="single"/>
              </w:rPr>
              <w:t>≥ 50%</w:t>
            </w:r>
          </w:p>
          <w:p w14:paraId="123FBF06" w14:textId="77777777" w:rsidR="00DB1AEE" w:rsidRPr="00DB1AEE" w:rsidRDefault="00DB1AEE" w:rsidP="00DB1AEE">
            <w:pPr>
              <w:suppressAutoHyphens/>
              <w:jc w:val="left"/>
              <w:rPr>
                <w:szCs w:val="24"/>
                <w:u w:val="single"/>
              </w:rPr>
            </w:pPr>
            <w:r w:rsidRPr="00DB1AEE">
              <w:rPr>
                <w:szCs w:val="24"/>
                <w:u w:val="single"/>
              </w:rPr>
              <w:t> </w:t>
            </w:r>
          </w:p>
        </w:tc>
        <w:tc>
          <w:tcPr>
            <w:tcW w:w="2400" w:type="dxa"/>
            <w:tcBorders>
              <w:bottom w:val="single" w:sz="4" w:space="0" w:color="auto"/>
            </w:tcBorders>
            <w:shd w:val="clear" w:color="000000" w:fill="FFFFFF"/>
            <w:hideMark/>
          </w:tcPr>
          <w:p w14:paraId="32900C9E" w14:textId="77777777" w:rsidR="00DB1AEE" w:rsidRPr="00DB1AEE" w:rsidRDefault="00DB1AEE" w:rsidP="00DB1AEE">
            <w:pPr>
              <w:suppressAutoHyphens/>
              <w:jc w:val="center"/>
              <w:rPr>
                <w:szCs w:val="24"/>
                <w:u w:val="single"/>
              </w:rPr>
            </w:pPr>
            <w:r w:rsidRPr="00DB1AEE">
              <w:rPr>
                <w:szCs w:val="24"/>
                <w:u w:val="single"/>
              </w:rPr>
              <w:t>≤ 12,000 Btu/hr</w:t>
            </w:r>
          </w:p>
          <w:p w14:paraId="5B40CF28" w14:textId="77777777" w:rsidR="00DB1AEE" w:rsidRPr="00DB1AEE" w:rsidRDefault="00DB1AEE" w:rsidP="00DB1AEE">
            <w:pPr>
              <w:suppressAutoHyphens/>
              <w:jc w:val="left"/>
              <w:rPr>
                <w:szCs w:val="24"/>
                <w:u w:val="single"/>
              </w:rPr>
            </w:pPr>
            <w:r w:rsidRPr="00DB1AEE">
              <w:rPr>
                <w:szCs w:val="24"/>
                <w:u w:val="single"/>
              </w:rPr>
              <w:t> </w:t>
            </w:r>
          </w:p>
        </w:tc>
        <w:tc>
          <w:tcPr>
            <w:tcW w:w="1560" w:type="dxa"/>
            <w:vMerge/>
            <w:tcBorders>
              <w:bottom w:val="single" w:sz="4" w:space="0" w:color="auto"/>
            </w:tcBorders>
            <w:shd w:val="clear" w:color="000000" w:fill="FFFFFF"/>
            <w:hideMark/>
          </w:tcPr>
          <w:p w14:paraId="60580F7D" w14:textId="77777777" w:rsidR="00DB1AEE" w:rsidRPr="00DB1AEE" w:rsidRDefault="00DB1AEE" w:rsidP="00DB1AEE">
            <w:pPr>
              <w:suppressAutoHyphens/>
              <w:jc w:val="left"/>
              <w:rPr>
                <w:szCs w:val="24"/>
                <w:u w:val="single"/>
              </w:rPr>
            </w:pPr>
          </w:p>
        </w:tc>
      </w:tr>
      <w:tr w:rsidR="00DB1AEE" w:rsidRPr="00DB1AEE" w14:paraId="090100F6" w14:textId="77777777" w:rsidTr="00FC1832">
        <w:trPr>
          <w:trHeight w:val="540"/>
          <w:jc w:val="center"/>
        </w:trPr>
        <w:tc>
          <w:tcPr>
            <w:tcW w:w="2400" w:type="dxa"/>
            <w:shd w:val="clear" w:color="000000" w:fill="FFFFFF"/>
            <w:hideMark/>
          </w:tcPr>
          <w:p w14:paraId="035C5D74" w14:textId="77777777" w:rsidR="00DB1AEE" w:rsidRPr="00DB1AEE" w:rsidRDefault="00DB1AEE" w:rsidP="00DB1AEE">
            <w:pPr>
              <w:suppressAutoHyphens/>
              <w:ind w:firstLineChars="100" w:firstLine="240"/>
              <w:jc w:val="left"/>
              <w:rPr>
                <w:szCs w:val="24"/>
                <w:u w:val="single"/>
              </w:rPr>
            </w:pPr>
            <w:r w:rsidRPr="00DB1AEE">
              <w:rPr>
                <w:szCs w:val="24"/>
                <w:u w:val="single"/>
              </w:rPr>
              <w:t>Standard Open Deep-Fat</w:t>
            </w:r>
          </w:p>
          <w:p w14:paraId="0979E79D" w14:textId="77777777" w:rsidR="00DB1AEE" w:rsidRPr="00DB1AEE" w:rsidRDefault="00DB1AEE" w:rsidP="00DB1AEE">
            <w:pPr>
              <w:suppressAutoHyphens/>
              <w:ind w:firstLineChars="100" w:firstLine="240"/>
              <w:jc w:val="left"/>
              <w:rPr>
                <w:szCs w:val="24"/>
                <w:u w:val="single"/>
              </w:rPr>
            </w:pPr>
            <w:r w:rsidRPr="00DB1AEE">
              <w:rPr>
                <w:szCs w:val="24"/>
                <w:u w:val="single"/>
              </w:rPr>
              <w:t>Electric Fryers</w:t>
            </w:r>
          </w:p>
        </w:tc>
        <w:tc>
          <w:tcPr>
            <w:tcW w:w="1980" w:type="dxa"/>
            <w:shd w:val="clear" w:color="000000" w:fill="FFFFFF"/>
            <w:hideMark/>
          </w:tcPr>
          <w:p w14:paraId="24B7158E" w14:textId="77777777" w:rsidR="00DB1AEE" w:rsidRPr="00DB1AEE" w:rsidRDefault="00DB1AEE" w:rsidP="00DB1AEE">
            <w:pPr>
              <w:suppressAutoHyphens/>
              <w:jc w:val="center"/>
              <w:rPr>
                <w:szCs w:val="24"/>
                <w:u w:val="single"/>
              </w:rPr>
            </w:pPr>
            <w:r w:rsidRPr="00DB1AEE">
              <w:rPr>
                <w:szCs w:val="24"/>
                <w:u w:val="single"/>
              </w:rPr>
              <w:t>≥ 83%</w:t>
            </w:r>
          </w:p>
          <w:p w14:paraId="1EC29FCF" w14:textId="77777777" w:rsidR="00DB1AEE" w:rsidRPr="00DB1AEE" w:rsidRDefault="00DB1AEE" w:rsidP="00DB1AEE">
            <w:pPr>
              <w:suppressAutoHyphens/>
              <w:jc w:val="left"/>
              <w:rPr>
                <w:szCs w:val="24"/>
                <w:u w:val="single"/>
              </w:rPr>
            </w:pPr>
            <w:r w:rsidRPr="00DB1AEE">
              <w:rPr>
                <w:szCs w:val="24"/>
                <w:u w:val="single"/>
              </w:rPr>
              <w:t> </w:t>
            </w:r>
          </w:p>
        </w:tc>
        <w:tc>
          <w:tcPr>
            <w:tcW w:w="2400" w:type="dxa"/>
            <w:shd w:val="clear" w:color="000000" w:fill="FFFFFF"/>
            <w:hideMark/>
          </w:tcPr>
          <w:p w14:paraId="2B799D05" w14:textId="77777777" w:rsidR="00DB1AEE" w:rsidRPr="00DB1AEE" w:rsidRDefault="00DB1AEE" w:rsidP="00DB1AEE">
            <w:pPr>
              <w:suppressAutoHyphens/>
              <w:ind w:firstLineChars="500" w:firstLine="1200"/>
              <w:jc w:val="left"/>
              <w:rPr>
                <w:szCs w:val="24"/>
                <w:u w:val="single"/>
              </w:rPr>
            </w:pPr>
            <w:r w:rsidRPr="00DB1AEE">
              <w:rPr>
                <w:szCs w:val="24"/>
                <w:u w:val="single"/>
              </w:rPr>
              <w:t>≤ 800 watts</w:t>
            </w:r>
          </w:p>
        </w:tc>
        <w:tc>
          <w:tcPr>
            <w:tcW w:w="1560" w:type="dxa"/>
            <w:vMerge w:val="restart"/>
            <w:shd w:val="clear" w:color="000000" w:fill="FFFFFF"/>
            <w:vAlign w:val="center"/>
            <w:hideMark/>
          </w:tcPr>
          <w:p w14:paraId="738993F7" w14:textId="77777777" w:rsidR="00DB1AEE" w:rsidRPr="00DB1AEE" w:rsidRDefault="00DB1AEE" w:rsidP="00DB1AEE">
            <w:pPr>
              <w:suppressAutoHyphens/>
              <w:ind w:firstLineChars="100" w:firstLine="240"/>
              <w:jc w:val="left"/>
              <w:rPr>
                <w:szCs w:val="24"/>
                <w:u w:val="single"/>
              </w:rPr>
            </w:pPr>
            <w:r w:rsidRPr="00DB1AEE">
              <w:rPr>
                <w:szCs w:val="24"/>
                <w:u w:val="single"/>
              </w:rPr>
              <w:t>ASTM Standard</w:t>
            </w:r>
          </w:p>
          <w:p w14:paraId="7FFE720C" w14:textId="77777777" w:rsidR="00DB1AEE" w:rsidRPr="00DB1AEE" w:rsidRDefault="00DB1AEE" w:rsidP="00DB1AEE">
            <w:pPr>
              <w:suppressAutoHyphens/>
              <w:jc w:val="center"/>
              <w:rPr>
                <w:szCs w:val="24"/>
                <w:u w:val="single"/>
              </w:rPr>
            </w:pPr>
            <w:r w:rsidRPr="00DB1AEE">
              <w:rPr>
                <w:szCs w:val="24"/>
                <w:u w:val="single"/>
              </w:rPr>
              <w:t>F2144-17</w:t>
            </w:r>
          </w:p>
          <w:p w14:paraId="5F6A385C" w14:textId="77777777" w:rsidR="00DB1AEE" w:rsidRPr="00DB1AEE" w:rsidRDefault="00DB1AEE" w:rsidP="00DB1AEE">
            <w:pPr>
              <w:suppressAutoHyphens/>
              <w:jc w:val="left"/>
              <w:rPr>
                <w:szCs w:val="24"/>
                <w:u w:val="single"/>
              </w:rPr>
            </w:pPr>
            <w:r w:rsidRPr="00DB1AEE">
              <w:rPr>
                <w:szCs w:val="24"/>
                <w:u w:val="single"/>
              </w:rPr>
              <w:t> </w:t>
            </w:r>
          </w:p>
        </w:tc>
      </w:tr>
      <w:tr w:rsidR="00DB1AEE" w:rsidRPr="00DB1AEE" w14:paraId="21D4DA67" w14:textId="77777777" w:rsidTr="00FC1832">
        <w:trPr>
          <w:trHeight w:val="505"/>
          <w:jc w:val="center"/>
        </w:trPr>
        <w:tc>
          <w:tcPr>
            <w:tcW w:w="2400" w:type="dxa"/>
            <w:tcBorders>
              <w:bottom w:val="single" w:sz="4" w:space="0" w:color="auto"/>
            </w:tcBorders>
            <w:shd w:val="clear" w:color="000000" w:fill="FFFFFF"/>
            <w:hideMark/>
          </w:tcPr>
          <w:p w14:paraId="068E8130" w14:textId="77777777" w:rsidR="00DB1AEE" w:rsidRPr="00DB1AEE" w:rsidRDefault="00DB1AEE" w:rsidP="00DB1AEE">
            <w:pPr>
              <w:suppressAutoHyphens/>
              <w:ind w:firstLineChars="100" w:firstLine="240"/>
              <w:jc w:val="left"/>
              <w:rPr>
                <w:szCs w:val="24"/>
                <w:u w:val="single"/>
              </w:rPr>
            </w:pPr>
            <w:r w:rsidRPr="00DB1AEE">
              <w:rPr>
                <w:szCs w:val="24"/>
                <w:u w:val="single"/>
              </w:rPr>
              <w:t>Large Vat Open Deep-Fat</w:t>
            </w:r>
          </w:p>
          <w:p w14:paraId="23FEBB2C" w14:textId="77777777" w:rsidR="00DB1AEE" w:rsidRPr="00DB1AEE" w:rsidRDefault="00DB1AEE" w:rsidP="00DB1AEE">
            <w:pPr>
              <w:suppressAutoHyphens/>
              <w:ind w:firstLineChars="100" w:firstLine="240"/>
              <w:jc w:val="left"/>
              <w:rPr>
                <w:szCs w:val="24"/>
                <w:u w:val="single"/>
              </w:rPr>
            </w:pPr>
            <w:r w:rsidRPr="00DB1AEE">
              <w:rPr>
                <w:szCs w:val="24"/>
                <w:u w:val="single"/>
              </w:rPr>
              <w:t>Electric Fryers</w:t>
            </w:r>
          </w:p>
        </w:tc>
        <w:tc>
          <w:tcPr>
            <w:tcW w:w="1980" w:type="dxa"/>
            <w:tcBorders>
              <w:bottom w:val="single" w:sz="4" w:space="0" w:color="auto"/>
            </w:tcBorders>
            <w:shd w:val="clear" w:color="000000" w:fill="FFFFFF"/>
            <w:hideMark/>
          </w:tcPr>
          <w:p w14:paraId="7E5F4B51" w14:textId="77777777" w:rsidR="00DB1AEE" w:rsidRPr="00DB1AEE" w:rsidRDefault="00DB1AEE" w:rsidP="00DB1AEE">
            <w:pPr>
              <w:suppressAutoHyphens/>
              <w:jc w:val="center"/>
              <w:rPr>
                <w:szCs w:val="24"/>
                <w:u w:val="single"/>
              </w:rPr>
            </w:pPr>
            <w:r w:rsidRPr="00DB1AEE">
              <w:rPr>
                <w:szCs w:val="24"/>
                <w:u w:val="single"/>
              </w:rPr>
              <w:t>≥ 80%</w:t>
            </w:r>
          </w:p>
          <w:p w14:paraId="28D95571" w14:textId="77777777" w:rsidR="00DB1AEE" w:rsidRPr="00DB1AEE" w:rsidRDefault="00DB1AEE" w:rsidP="00DB1AEE">
            <w:pPr>
              <w:suppressAutoHyphens/>
              <w:jc w:val="left"/>
              <w:rPr>
                <w:szCs w:val="24"/>
                <w:u w:val="single"/>
              </w:rPr>
            </w:pPr>
            <w:r w:rsidRPr="00DB1AEE">
              <w:rPr>
                <w:szCs w:val="24"/>
                <w:u w:val="single"/>
              </w:rPr>
              <w:t> </w:t>
            </w:r>
          </w:p>
        </w:tc>
        <w:tc>
          <w:tcPr>
            <w:tcW w:w="2400" w:type="dxa"/>
            <w:tcBorders>
              <w:bottom w:val="single" w:sz="4" w:space="0" w:color="auto"/>
            </w:tcBorders>
            <w:shd w:val="clear" w:color="000000" w:fill="FFFFFF"/>
            <w:hideMark/>
          </w:tcPr>
          <w:p w14:paraId="34AFA2FF" w14:textId="77777777" w:rsidR="00DB1AEE" w:rsidRPr="00DB1AEE" w:rsidRDefault="00DB1AEE" w:rsidP="00DB1AEE">
            <w:pPr>
              <w:suppressAutoHyphens/>
              <w:jc w:val="center"/>
              <w:rPr>
                <w:szCs w:val="24"/>
                <w:u w:val="single"/>
              </w:rPr>
            </w:pPr>
            <w:r w:rsidRPr="00DB1AEE">
              <w:rPr>
                <w:szCs w:val="24"/>
                <w:u w:val="single"/>
              </w:rPr>
              <w:t>≤ 1,100 watts</w:t>
            </w:r>
          </w:p>
          <w:p w14:paraId="510CED66" w14:textId="77777777" w:rsidR="00DB1AEE" w:rsidRPr="00DB1AEE" w:rsidRDefault="00DB1AEE" w:rsidP="00DB1AEE">
            <w:pPr>
              <w:suppressAutoHyphens/>
              <w:jc w:val="left"/>
              <w:rPr>
                <w:szCs w:val="24"/>
                <w:u w:val="single"/>
              </w:rPr>
            </w:pPr>
            <w:r w:rsidRPr="00DB1AEE">
              <w:rPr>
                <w:szCs w:val="24"/>
                <w:u w:val="single"/>
              </w:rPr>
              <w:t> </w:t>
            </w:r>
          </w:p>
        </w:tc>
        <w:tc>
          <w:tcPr>
            <w:tcW w:w="1560" w:type="dxa"/>
            <w:vMerge/>
            <w:tcBorders>
              <w:bottom w:val="single" w:sz="4" w:space="0" w:color="auto"/>
            </w:tcBorders>
            <w:shd w:val="clear" w:color="000000" w:fill="FFFFFF"/>
            <w:hideMark/>
          </w:tcPr>
          <w:p w14:paraId="77FC36F2" w14:textId="77777777" w:rsidR="00DB1AEE" w:rsidRPr="00DB1AEE" w:rsidRDefault="00DB1AEE" w:rsidP="00DB1AEE">
            <w:pPr>
              <w:suppressAutoHyphens/>
              <w:jc w:val="left"/>
              <w:rPr>
                <w:szCs w:val="24"/>
                <w:u w:val="single"/>
              </w:rPr>
            </w:pPr>
          </w:p>
        </w:tc>
      </w:tr>
    </w:tbl>
    <w:p w14:paraId="7DCB57E3" w14:textId="77777777" w:rsidR="00DB1AEE" w:rsidRPr="00DB1AEE" w:rsidRDefault="00DB1AEE" w:rsidP="00DB1AEE">
      <w:pPr>
        <w:suppressAutoHyphens/>
        <w:spacing w:before="72" w:line="249" w:lineRule="auto"/>
        <w:ind w:left="3189" w:right="335"/>
        <w:rPr>
          <w:b/>
          <w:bCs/>
          <w:szCs w:val="24"/>
          <w:u w:val="single"/>
        </w:rPr>
      </w:pPr>
    </w:p>
    <w:p w14:paraId="7CF7A1B0" w14:textId="77777777" w:rsidR="00DB1AEE" w:rsidRPr="00DB1AEE" w:rsidRDefault="00DB1AEE" w:rsidP="00DB1AEE">
      <w:pPr>
        <w:suppressAutoHyphens/>
        <w:jc w:val="center"/>
        <w:rPr>
          <w:b/>
          <w:bCs/>
          <w:szCs w:val="24"/>
          <w:u w:val="single"/>
        </w:rPr>
      </w:pPr>
      <w:r w:rsidRPr="00DB1AEE">
        <w:rPr>
          <w:b/>
          <w:bCs/>
          <w:szCs w:val="24"/>
          <w:u w:val="single"/>
        </w:rPr>
        <w:t>Table 10.4.11-2 Minimum Efficiency Requirements: Commercial Hot Food Holding Cabinets</w:t>
      </w:r>
    </w:p>
    <w:p w14:paraId="4302D173" w14:textId="77777777" w:rsidR="00DB1AEE" w:rsidRPr="00DB1AEE" w:rsidRDefault="00DB1AEE" w:rsidP="00DB1AEE">
      <w:pPr>
        <w:suppressAutoHyphens/>
        <w:jc w:val="center"/>
        <w:rPr>
          <w:b/>
          <w:bCs/>
          <w:szCs w:val="24"/>
          <w:u w:val="single"/>
        </w:rPr>
      </w:pPr>
      <w:r w:rsidRPr="00DB1AEE">
        <w:rPr>
          <w:b/>
          <w:bCs/>
          <w:szCs w:val="24"/>
          <w:u w:val="single"/>
        </w:rPr>
        <w:t>(This table is intended to be a restatement of the legally binding provisions found in Title 10 CFR Part 431 included here as a convenience to the users of this code)</w:t>
      </w:r>
    </w:p>
    <w:p w14:paraId="5E2A1400" w14:textId="77777777" w:rsidR="00DB1AEE" w:rsidRPr="00DB1AEE" w:rsidRDefault="00DB1AEE" w:rsidP="00DB1AEE">
      <w:pPr>
        <w:suppressAutoHyphens/>
        <w:jc w:val="center"/>
        <w:rPr>
          <w:b/>
          <w:bCs/>
          <w:szCs w:val="24"/>
          <w:u w:val="single"/>
        </w:rPr>
      </w:pPr>
    </w:p>
    <w:tbl>
      <w:tblPr>
        <w:tblW w:w="6800" w:type="dxa"/>
        <w:jc w:val="center"/>
        <w:tblLook w:val="04A0" w:firstRow="1" w:lastRow="0" w:firstColumn="1" w:lastColumn="0" w:noHBand="0" w:noVBand="1"/>
      </w:tblPr>
      <w:tblGrid>
        <w:gridCol w:w="2300"/>
        <w:gridCol w:w="2100"/>
        <w:gridCol w:w="2400"/>
      </w:tblGrid>
      <w:tr w:rsidR="00DB1AEE" w:rsidRPr="00DB1AEE" w14:paraId="5C31314C" w14:textId="77777777" w:rsidTr="00FC1832">
        <w:trPr>
          <w:trHeight w:val="1185"/>
          <w:jc w:val="center"/>
        </w:trPr>
        <w:tc>
          <w:tcPr>
            <w:tcW w:w="2300" w:type="dxa"/>
            <w:tcBorders>
              <w:top w:val="single" w:sz="4" w:space="0" w:color="auto"/>
              <w:left w:val="single" w:sz="4" w:space="0" w:color="auto"/>
              <w:bottom w:val="single" w:sz="4" w:space="0" w:color="auto"/>
              <w:right w:val="single" w:sz="4" w:space="0" w:color="auto"/>
            </w:tcBorders>
            <w:shd w:val="clear" w:color="000000" w:fill="FFFFFF"/>
            <w:hideMark/>
          </w:tcPr>
          <w:p w14:paraId="0F4E1B12" w14:textId="77777777" w:rsidR="00DB1AEE" w:rsidRPr="00DB1AEE" w:rsidRDefault="00DB1AEE" w:rsidP="00DB1AEE">
            <w:pPr>
              <w:suppressAutoHyphens/>
              <w:ind w:firstLineChars="100" w:firstLine="240"/>
              <w:jc w:val="left"/>
              <w:rPr>
                <w:b/>
                <w:bCs/>
                <w:szCs w:val="24"/>
                <w:u w:val="single"/>
              </w:rPr>
            </w:pPr>
            <w:r w:rsidRPr="00DB1AEE">
              <w:rPr>
                <w:b/>
                <w:bCs/>
                <w:szCs w:val="24"/>
                <w:u w:val="single"/>
              </w:rPr>
              <w:t>Product Interior Volume (Cubic Feet)</w:t>
            </w:r>
          </w:p>
        </w:tc>
        <w:tc>
          <w:tcPr>
            <w:tcW w:w="2100" w:type="dxa"/>
            <w:tcBorders>
              <w:top w:val="single" w:sz="4" w:space="0" w:color="auto"/>
              <w:left w:val="nil"/>
              <w:bottom w:val="single" w:sz="4" w:space="0" w:color="auto"/>
              <w:right w:val="single" w:sz="4" w:space="0" w:color="auto"/>
            </w:tcBorders>
            <w:shd w:val="clear" w:color="000000" w:fill="FFFFFF"/>
            <w:hideMark/>
          </w:tcPr>
          <w:p w14:paraId="42713790" w14:textId="77777777" w:rsidR="00DB1AEE" w:rsidRPr="00DB1AEE" w:rsidRDefault="00DB1AEE" w:rsidP="00DB1AEE">
            <w:pPr>
              <w:suppressAutoHyphens/>
              <w:jc w:val="center"/>
              <w:rPr>
                <w:b/>
                <w:bCs/>
                <w:szCs w:val="24"/>
                <w:u w:val="single"/>
              </w:rPr>
            </w:pPr>
            <w:r w:rsidRPr="00DB1AEE">
              <w:rPr>
                <w:b/>
                <w:bCs/>
                <w:szCs w:val="24"/>
                <w:u w:val="single"/>
              </w:rPr>
              <w:t>Maximum Idle Energy Consumption Rate (Watts)</w:t>
            </w:r>
          </w:p>
        </w:tc>
        <w:tc>
          <w:tcPr>
            <w:tcW w:w="2400" w:type="dxa"/>
            <w:tcBorders>
              <w:top w:val="single" w:sz="4" w:space="0" w:color="auto"/>
              <w:left w:val="nil"/>
              <w:bottom w:val="single" w:sz="4" w:space="0" w:color="auto"/>
              <w:right w:val="single" w:sz="4" w:space="0" w:color="auto"/>
            </w:tcBorders>
            <w:shd w:val="clear" w:color="000000" w:fill="FFFFFF"/>
            <w:vAlign w:val="center"/>
            <w:hideMark/>
          </w:tcPr>
          <w:p w14:paraId="0C6D67BB" w14:textId="77777777" w:rsidR="00DB1AEE" w:rsidRPr="00DB1AEE" w:rsidRDefault="00DB1AEE" w:rsidP="00DB1AEE">
            <w:pPr>
              <w:suppressAutoHyphens/>
              <w:ind w:firstLineChars="300" w:firstLine="720"/>
              <w:jc w:val="left"/>
              <w:rPr>
                <w:b/>
                <w:bCs/>
                <w:szCs w:val="24"/>
                <w:u w:val="single"/>
              </w:rPr>
            </w:pPr>
            <w:r w:rsidRPr="00DB1AEE">
              <w:rPr>
                <w:b/>
                <w:bCs/>
                <w:szCs w:val="24"/>
                <w:u w:val="single"/>
              </w:rPr>
              <w:t>Test Procedure</w:t>
            </w:r>
          </w:p>
        </w:tc>
      </w:tr>
      <w:tr w:rsidR="00DB1AEE" w:rsidRPr="00DB1AEE" w14:paraId="37C9FAE3" w14:textId="77777777" w:rsidTr="00FC1832">
        <w:trPr>
          <w:trHeight w:val="300"/>
          <w:jc w:val="center"/>
        </w:trPr>
        <w:tc>
          <w:tcPr>
            <w:tcW w:w="2300" w:type="dxa"/>
            <w:tcBorders>
              <w:top w:val="nil"/>
              <w:left w:val="single" w:sz="4" w:space="0" w:color="auto"/>
              <w:bottom w:val="single" w:sz="4" w:space="0" w:color="auto"/>
              <w:right w:val="single" w:sz="4" w:space="0" w:color="auto"/>
            </w:tcBorders>
            <w:shd w:val="clear" w:color="000000" w:fill="FFFFFF"/>
            <w:hideMark/>
          </w:tcPr>
          <w:p w14:paraId="663D0B92" w14:textId="77777777" w:rsidR="00DB1AEE" w:rsidRPr="00DB1AEE" w:rsidRDefault="00DB1AEE" w:rsidP="00DB1AEE">
            <w:pPr>
              <w:suppressAutoHyphens/>
              <w:ind w:firstLineChars="100" w:firstLine="240"/>
              <w:jc w:val="left"/>
              <w:rPr>
                <w:szCs w:val="24"/>
                <w:u w:val="single"/>
              </w:rPr>
            </w:pPr>
            <w:r w:rsidRPr="00DB1AEE">
              <w:rPr>
                <w:szCs w:val="24"/>
                <w:u w:val="single"/>
              </w:rPr>
              <w:t>0 &lt; V &lt; 13</w:t>
            </w:r>
          </w:p>
        </w:tc>
        <w:tc>
          <w:tcPr>
            <w:tcW w:w="2100" w:type="dxa"/>
            <w:tcBorders>
              <w:top w:val="nil"/>
              <w:left w:val="nil"/>
              <w:bottom w:val="single" w:sz="4" w:space="0" w:color="auto"/>
              <w:right w:val="single" w:sz="4" w:space="0" w:color="auto"/>
            </w:tcBorders>
            <w:shd w:val="clear" w:color="000000" w:fill="FFFFFF"/>
            <w:hideMark/>
          </w:tcPr>
          <w:p w14:paraId="4EF1CD82" w14:textId="77777777" w:rsidR="00DB1AEE" w:rsidRPr="00DB1AEE" w:rsidRDefault="00DB1AEE" w:rsidP="00DB1AEE">
            <w:pPr>
              <w:suppressAutoHyphens/>
              <w:jc w:val="center"/>
              <w:rPr>
                <w:szCs w:val="24"/>
                <w:u w:val="single"/>
              </w:rPr>
            </w:pPr>
            <w:r w:rsidRPr="00DB1AEE">
              <w:rPr>
                <w:szCs w:val="24"/>
                <w:u w:val="single"/>
              </w:rPr>
              <w:t>≤ 21.5 V</w:t>
            </w:r>
          </w:p>
        </w:tc>
        <w:tc>
          <w:tcPr>
            <w:tcW w:w="2400" w:type="dxa"/>
            <w:vMerge w:val="restart"/>
            <w:tcBorders>
              <w:top w:val="nil"/>
              <w:left w:val="single" w:sz="4" w:space="0" w:color="auto"/>
              <w:bottom w:val="single" w:sz="4" w:space="0" w:color="auto"/>
              <w:right w:val="single" w:sz="4" w:space="0" w:color="auto"/>
            </w:tcBorders>
            <w:shd w:val="clear" w:color="000000" w:fill="FFFFFF"/>
            <w:hideMark/>
          </w:tcPr>
          <w:p w14:paraId="2D65DC87" w14:textId="77777777" w:rsidR="00DB1AEE" w:rsidRPr="00DB1AEE" w:rsidRDefault="00DB1AEE" w:rsidP="00DB1AEE">
            <w:pPr>
              <w:suppressAutoHyphens/>
              <w:ind w:firstLineChars="100" w:firstLine="240"/>
              <w:jc w:val="left"/>
              <w:rPr>
                <w:szCs w:val="24"/>
                <w:u w:val="single"/>
              </w:rPr>
            </w:pPr>
            <w:r w:rsidRPr="00DB1AEE">
              <w:rPr>
                <w:szCs w:val="24"/>
                <w:u w:val="single"/>
              </w:rPr>
              <w:t>ASTM Standard F2140-11</w:t>
            </w:r>
          </w:p>
        </w:tc>
      </w:tr>
      <w:tr w:rsidR="00DB1AEE" w:rsidRPr="00DB1AEE" w14:paraId="1D96A7B0" w14:textId="77777777" w:rsidTr="00FC1832">
        <w:trPr>
          <w:trHeight w:val="282"/>
          <w:jc w:val="center"/>
        </w:trPr>
        <w:tc>
          <w:tcPr>
            <w:tcW w:w="2300" w:type="dxa"/>
            <w:tcBorders>
              <w:top w:val="nil"/>
              <w:left w:val="single" w:sz="4" w:space="0" w:color="auto"/>
              <w:bottom w:val="single" w:sz="4" w:space="0" w:color="auto"/>
              <w:right w:val="single" w:sz="4" w:space="0" w:color="auto"/>
            </w:tcBorders>
            <w:shd w:val="clear" w:color="000000" w:fill="FFFFFF"/>
            <w:hideMark/>
          </w:tcPr>
          <w:p w14:paraId="5AAABA1E" w14:textId="77777777" w:rsidR="00DB1AEE" w:rsidRPr="00DB1AEE" w:rsidRDefault="00DB1AEE" w:rsidP="00DB1AEE">
            <w:pPr>
              <w:suppressAutoHyphens/>
              <w:ind w:firstLineChars="100" w:firstLine="240"/>
              <w:jc w:val="left"/>
              <w:rPr>
                <w:szCs w:val="24"/>
                <w:u w:val="single"/>
              </w:rPr>
            </w:pPr>
            <w:r w:rsidRPr="00DB1AEE">
              <w:rPr>
                <w:szCs w:val="24"/>
                <w:u w:val="single"/>
              </w:rPr>
              <w:t>13 ≤ V &lt; 28</w:t>
            </w:r>
          </w:p>
        </w:tc>
        <w:tc>
          <w:tcPr>
            <w:tcW w:w="2100" w:type="dxa"/>
            <w:tcBorders>
              <w:top w:val="nil"/>
              <w:left w:val="nil"/>
              <w:bottom w:val="single" w:sz="4" w:space="0" w:color="auto"/>
              <w:right w:val="single" w:sz="4" w:space="0" w:color="auto"/>
            </w:tcBorders>
            <w:shd w:val="clear" w:color="000000" w:fill="FFFFFF"/>
            <w:hideMark/>
          </w:tcPr>
          <w:p w14:paraId="62B30110" w14:textId="77777777" w:rsidR="00DB1AEE" w:rsidRPr="00DB1AEE" w:rsidRDefault="00DB1AEE" w:rsidP="00DB1AEE">
            <w:pPr>
              <w:suppressAutoHyphens/>
              <w:jc w:val="center"/>
              <w:rPr>
                <w:szCs w:val="24"/>
                <w:u w:val="single"/>
              </w:rPr>
            </w:pPr>
            <w:r w:rsidRPr="00DB1AEE">
              <w:rPr>
                <w:szCs w:val="24"/>
                <w:u w:val="single"/>
              </w:rPr>
              <w:t>≤ 2.0 V + 254.0</w:t>
            </w:r>
          </w:p>
        </w:tc>
        <w:tc>
          <w:tcPr>
            <w:tcW w:w="2400" w:type="dxa"/>
            <w:vMerge/>
            <w:tcBorders>
              <w:top w:val="nil"/>
              <w:left w:val="single" w:sz="4" w:space="0" w:color="auto"/>
              <w:bottom w:val="single" w:sz="4" w:space="0" w:color="auto"/>
              <w:right w:val="single" w:sz="4" w:space="0" w:color="auto"/>
            </w:tcBorders>
            <w:vAlign w:val="center"/>
            <w:hideMark/>
          </w:tcPr>
          <w:p w14:paraId="083CBFCC" w14:textId="77777777" w:rsidR="00DB1AEE" w:rsidRPr="00DB1AEE" w:rsidRDefault="00DB1AEE" w:rsidP="00DB1AEE">
            <w:pPr>
              <w:suppressAutoHyphens/>
              <w:jc w:val="left"/>
              <w:rPr>
                <w:szCs w:val="24"/>
                <w:u w:val="single"/>
              </w:rPr>
            </w:pPr>
          </w:p>
        </w:tc>
      </w:tr>
      <w:tr w:rsidR="00DB1AEE" w:rsidRPr="00DB1AEE" w14:paraId="045E32BC" w14:textId="77777777" w:rsidTr="00FC1832">
        <w:trPr>
          <w:trHeight w:val="312"/>
          <w:jc w:val="center"/>
        </w:trPr>
        <w:tc>
          <w:tcPr>
            <w:tcW w:w="2300" w:type="dxa"/>
            <w:tcBorders>
              <w:top w:val="nil"/>
              <w:left w:val="single" w:sz="4" w:space="0" w:color="auto"/>
              <w:bottom w:val="single" w:sz="4" w:space="0" w:color="auto"/>
              <w:right w:val="single" w:sz="4" w:space="0" w:color="auto"/>
            </w:tcBorders>
            <w:shd w:val="clear" w:color="000000" w:fill="FFFFFF"/>
            <w:hideMark/>
          </w:tcPr>
          <w:p w14:paraId="37ABD5B7" w14:textId="77777777" w:rsidR="00DB1AEE" w:rsidRPr="00DB1AEE" w:rsidRDefault="00DB1AEE" w:rsidP="00DB1AEE">
            <w:pPr>
              <w:suppressAutoHyphens/>
              <w:ind w:firstLineChars="100" w:firstLine="240"/>
              <w:jc w:val="left"/>
              <w:rPr>
                <w:szCs w:val="24"/>
                <w:u w:val="single"/>
              </w:rPr>
            </w:pPr>
            <w:r w:rsidRPr="00DB1AEE">
              <w:rPr>
                <w:szCs w:val="24"/>
                <w:u w:val="single"/>
              </w:rPr>
              <w:t>28 ≤ V</w:t>
            </w:r>
          </w:p>
        </w:tc>
        <w:tc>
          <w:tcPr>
            <w:tcW w:w="2100" w:type="dxa"/>
            <w:tcBorders>
              <w:top w:val="nil"/>
              <w:left w:val="nil"/>
              <w:bottom w:val="single" w:sz="4" w:space="0" w:color="auto"/>
              <w:right w:val="single" w:sz="4" w:space="0" w:color="auto"/>
            </w:tcBorders>
            <w:shd w:val="clear" w:color="000000" w:fill="FFFFFF"/>
            <w:hideMark/>
          </w:tcPr>
          <w:p w14:paraId="5632B1F5" w14:textId="77777777" w:rsidR="00DB1AEE" w:rsidRPr="00DB1AEE" w:rsidRDefault="00DB1AEE" w:rsidP="00DB1AEE">
            <w:pPr>
              <w:suppressAutoHyphens/>
              <w:jc w:val="center"/>
              <w:rPr>
                <w:szCs w:val="24"/>
                <w:u w:val="single"/>
              </w:rPr>
            </w:pPr>
            <w:r w:rsidRPr="00DB1AEE">
              <w:rPr>
                <w:szCs w:val="24"/>
                <w:u w:val="single"/>
              </w:rPr>
              <w:t>≤ 3.8 V + 203.5</w:t>
            </w:r>
          </w:p>
        </w:tc>
        <w:tc>
          <w:tcPr>
            <w:tcW w:w="2400" w:type="dxa"/>
            <w:vMerge/>
            <w:tcBorders>
              <w:top w:val="nil"/>
              <w:left w:val="single" w:sz="4" w:space="0" w:color="auto"/>
              <w:bottom w:val="single" w:sz="4" w:space="0" w:color="auto"/>
              <w:right w:val="single" w:sz="4" w:space="0" w:color="auto"/>
            </w:tcBorders>
            <w:vAlign w:val="center"/>
            <w:hideMark/>
          </w:tcPr>
          <w:p w14:paraId="71E1F418" w14:textId="77777777" w:rsidR="00DB1AEE" w:rsidRPr="00DB1AEE" w:rsidRDefault="00DB1AEE" w:rsidP="00DB1AEE">
            <w:pPr>
              <w:suppressAutoHyphens/>
              <w:jc w:val="left"/>
              <w:rPr>
                <w:szCs w:val="24"/>
                <w:u w:val="single"/>
              </w:rPr>
            </w:pPr>
          </w:p>
        </w:tc>
      </w:tr>
    </w:tbl>
    <w:p w14:paraId="2CCD0D12" w14:textId="77777777" w:rsidR="00DB1AEE" w:rsidRPr="00DB1AEE" w:rsidRDefault="00DB1AEE" w:rsidP="00DB1AEE">
      <w:pPr>
        <w:suppressAutoHyphens/>
        <w:spacing w:before="72" w:line="249" w:lineRule="auto"/>
        <w:ind w:left="3189" w:right="335"/>
        <w:rPr>
          <w:b/>
          <w:bCs/>
          <w:szCs w:val="24"/>
          <w:u w:val="single"/>
        </w:rPr>
      </w:pPr>
    </w:p>
    <w:p w14:paraId="517B3CE9" w14:textId="77777777" w:rsidR="00DB1AEE" w:rsidRPr="00DB1AEE" w:rsidRDefault="00DB1AEE" w:rsidP="00DB1AEE">
      <w:pPr>
        <w:suppressAutoHyphens/>
        <w:jc w:val="center"/>
        <w:rPr>
          <w:b/>
          <w:bCs/>
          <w:szCs w:val="24"/>
          <w:u w:val="single"/>
        </w:rPr>
      </w:pPr>
      <w:r w:rsidRPr="00DB1AEE">
        <w:rPr>
          <w:b/>
          <w:bCs/>
          <w:szCs w:val="24"/>
          <w:u w:val="single"/>
        </w:rPr>
        <w:t>Table 10.4.11-3 Minimum Efficiency Requirements: Commercial Steam Cookers</w:t>
      </w:r>
    </w:p>
    <w:p w14:paraId="7FDC9A85" w14:textId="77777777" w:rsidR="00DB1AEE" w:rsidRPr="00DB1AEE" w:rsidRDefault="00DB1AEE" w:rsidP="00DB1AEE">
      <w:pPr>
        <w:suppressAutoHyphens/>
        <w:jc w:val="center"/>
        <w:rPr>
          <w:b/>
          <w:bCs/>
          <w:szCs w:val="24"/>
          <w:u w:val="single"/>
        </w:rPr>
      </w:pPr>
      <w:r w:rsidRPr="00DB1AEE">
        <w:rPr>
          <w:b/>
          <w:bCs/>
          <w:szCs w:val="24"/>
          <w:u w:val="single"/>
        </w:rPr>
        <w:t>(This table is intended to be a restatement of the legally binding provisions found in Title 10 CFR Part 431 included here as a convenience to the users of this code)</w:t>
      </w:r>
    </w:p>
    <w:p w14:paraId="4D20E563" w14:textId="77777777" w:rsidR="00DB1AEE" w:rsidRPr="00DB1AEE" w:rsidRDefault="00DB1AEE" w:rsidP="00DB1AEE">
      <w:pPr>
        <w:suppressAutoHyphens/>
        <w:jc w:val="center"/>
        <w:rPr>
          <w:b/>
          <w:bCs/>
          <w:szCs w:val="24"/>
          <w:u w:val="single"/>
        </w:rPr>
      </w:pPr>
    </w:p>
    <w:tbl>
      <w:tblPr>
        <w:tblW w:w="9620" w:type="dxa"/>
        <w:jc w:val="center"/>
        <w:tblLook w:val="04A0" w:firstRow="1" w:lastRow="0" w:firstColumn="1" w:lastColumn="0" w:noHBand="0" w:noVBand="1"/>
      </w:tblPr>
      <w:tblGrid>
        <w:gridCol w:w="1980"/>
        <w:gridCol w:w="2100"/>
        <w:gridCol w:w="1980"/>
        <w:gridCol w:w="1880"/>
        <w:gridCol w:w="1680"/>
      </w:tblGrid>
      <w:tr w:rsidR="00DB1AEE" w:rsidRPr="00DB1AEE" w14:paraId="0A43CBB6" w14:textId="77777777" w:rsidTr="00FC1832">
        <w:trPr>
          <w:trHeight w:val="480"/>
          <w:jc w:val="center"/>
        </w:trPr>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020CF796" w14:textId="77777777" w:rsidR="00DB1AEE" w:rsidRPr="00DB1AEE" w:rsidRDefault="00DB1AEE" w:rsidP="00DB1AEE">
            <w:pPr>
              <w:suppressAutoHyphens/>
              <w:ind w:firstLineChars="400" w:firstLine="960"/>
              <w:jc w:val="left"/>
              <w:rPr>
                <w:b/>
                <w:bCs/>
                <w:szCs w:val="24"/>
                <w:u w:val="single"/>
              </w:rPr>
            </w:pPr>
            <w:r w:rsidRPr="00DB1AEE">
              <w:rPr>
                <w:b/>
                <w:bCs/>
                <w:szCs w:val="24"/>
                <w:u w:val="single"/>
              </w:rPr>
              <w:t>Fuel Type</w:t>
            </w:r>
          </w:p>
        </w:tc>
        <w:tc>
          <w:tcPr>
            <w:tcW w:w="2100" w:type="dxa"/>
            <w:tcBorders>
              <w:top w:val="single" w:sz="4" w:space="0" w:color="auto"/>
              <w:left w:val="nil"/>
              <w:bottom w:val="single" w:sz="4" w:space="0" w:color="auto"/>
              <w:right w:val="single" w:sz="4" w:space="0" w:color="auto"/>
            </w:tcBorders>
            <w:shd w:val="clear" w:color="000000" w:fill="FFFFFF"/>
            <w:hideMark/>
          </w:tcPr>
          <w:p w14:paraId="4682E931" w14:textId="77777777" w:rsidR="00DB1AEE" w:rsidRPr="00DB1AEE" w:rsidRDefault="00DB1AEE" w:rsidP="00DB1AEE">
            <w:pPr>
              <w:suppressAutoHyphens/>
              <w:jc w:val="center"/>
              <w:rPr>
                <w:b/>
                <w:bCs/>
                <w:szCs w:val="24"/>
                <w:u w:val="single"/>
              </w:rPr>
            </w:pPr>
            <w:r w:rsidRPr="00DB1AEE">
              <w:rPr>
                <w:b/>
                <w:bCs/>
                <w:szCs w:val="24"/>
                <w:u w:val="single"/>
              </w:rPr>
              <w:t>Pan Capacity</w:t>
            </w:r>
          </w:p>
        </w:tc>
        <w:tc>
          <w:tcPr>
            <w:tcW w:w="1980" w:type="dxa"/>
            <w:tcBorders>
              <w:top w:val="single" w:sz="4" w:space="0" w:color="auto"/>
              <w:left w:val="nil"/>
              <w:bottom w:val="single" w:sz="4" w:space="0" w:color="auto"/>
              <w:right w:val="single" w:sz="4" w:space="0" w:color="auto"/>
            </w:tcBorders>
            <w:shd w:val="clear" w:color="000000" w:fill="FFFFFF"/>
            <w:hideMark/>
          </w:tcPr>
          <w:p w14:paraId="2738E362" w14:textId="77777777" w:rsidR="00DB1AEE" w:rsidRPr="00DB1AEE" w:rsidRDefault="00DB1AEE" w:rsidP="00DB1AEE">
            <w:pPr>
              <w:suppressAutoHyphens/>
              <w:ind w:firstLineChars="200" w:firstLine="480"/>
              <w:jc w:val="left"/>
              <w:rPr>
                <w:b/>
                <w:bCs/>
                <w:szCs w:val="24"/>
                <w:u w:val="single"/>
              </w:rPr>
            </w:pPr>
            <w:r w:rsidRPr="00DB1AEE">
              <w:rPr>
                <w:b/>
                <w:bCs/>
                <w:szCs w:val="24"/>
                <w:u w:val="single"/>
              </w:rPr>
              <w:t>Cooking Energy Efficiency</w:t>
            </w:r>
            <w:r w:rsidRPr="00DB1AEE">
              <w:rPr>
                <w:b/>
                <w:bCs/>
                <w:szCs w:val="24"/>
                <w:u w:val="single"/>
                <w:vertAlign w:val="superscript"/>
              </w:rPr>
              <w:t>a</w:t>
            </w:r>
          </w:p>
        </w:tc>
        <w:tc>
          <w:tcPr>
            <w:tcW w:w="1880" w:type="dxa"/>
            <w:tcBorders>
              <w:top w:val="single" w:sz="4" w:space="0" w:color="auto"/>
              <w:left w:val="nil"/>
              <w:bottom w:val="single" w:sz="4" w:space="0" w:color="auto"/>
              <w:right w:val="single" w:sz="4" w:space="0" w:color="auto"/>
            </w:tcBorders>
            <w:shd w:val="clear" w:color="000000" w:fill="FFFFFF"/>
            <w:hideMark/>
          </w:tcPr>
          <w:p w14:paraId="4C77E444" w14:textId="77777777" w:rsidR="00DB1AEE" w:rsidRPr="00DB1AEE" w:rsidRDefault="00DB1AEE" w:rsidP="00DB1AEE">
            <w:pPr>
              <w:suppressAutoHyphens/>
              <w:jc w:val="center"/>
              <w:rPr>
                <w:b/>
                <w:bCs/>
                <w:szCs w:val="24"/>
                <w:u w:val="single"/>
              </w:rPr>
            </w:pPr>
            <w:r w:rsidRPr="00DB1AEE">
              <w:rPr>
                <w:b/>
                <w:bCs/>
                <w:szCs w:val="24"/>
                <w:u w:val="single"/>
              </w:rPr>
              <w:t>Idle Rate</w:t>
            </w:r>
          </w:p>
        </w:tc>
        <w:tc>
          <w:tcPr>
            <w:tcW w:w="1680" w:type="dxa"/>
            <w:tcBorders>
              <w:top w:val="single" w:sz="4" w:space="0" w:color="auto"/>
              <w:left w:val="nil"/>
              <w:bottom w:val="single" w:sz="4" w:space="0" w:color="auto"/>
              <w:right w:val="single" w:sz="4" w:space="0" w:color="auto"/>
            </w:tcBorders>
            <w:shd w:val="clear" w:color="000000" w:fill="FFFFFF"/>
            <w:hideMark/>
          </w:tcPr>
          <w:p w14:paraId="2E7CF15A" w14:textId="77777777" w:rsidR="00DB1AEE" w:rsidRPr="00DB1AEE" w:rsidRDefault="00DB1AEE" w:rsidP="00DB1AEE">
            <w:pPr>
              <w:suppressAutoHyphens/>
              <w:jc w:val="center"/>
              <w:rPr>
                <w:b/>
                <w:bCs/>
                <w:szCs w:val="24"/>
                <w:u w:val="single"/>
              </w:rPr>
            </w:pPr>
            <w:r w:rsidRPr="00DB1AEE">
              <w:rPr>
                <w:b/>
                <w:bCs/>
                <w:szCs w:val="24"/>
                <w:u w:val="single"/>
              </w:rPr>
              <w:t>Test Procedure</w:t>
            </w:r>
          </w:p>
        </w:tc>
      </w:tr>
      <w:tr w:rsidR="00DB1AEE" w:rsidRPr="00DB1AEE" w14:paraId="30499329" w14:textId="77777777" w:rsidTr="00FC1832">
        <w:trPr>
          <w:trHeight w:val="342"/>
          <w:jc w:val="center"/>
        </w:trPr>
        <w:tc>
          <w:tcPr>
            <w:tcW w:w="198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5EAB991" w14:textId="77777777" w:rsidR="00DB1AEE" w:rsidRPr="00DB1AEE" w:rsidRDefault="00DB1AEE" w:rsidP="00DB1AEE">
            <w:pPr>
              <w:suppressAutoHyphens/>
              <w:jc w:val="center"/>
              <w:rPr>
                <w:szCs w:val="24"/>
                <w:u w:val="single"/>
              </w:rPr>
            </w:pPr>
            <w:r w:rsidRPr="00DB1AEE">
              <w:rPr>
                <w:szCs w:val="24"/>
                <w:u w:val="single"/>
              </w:rPr>
              <w:t>Electric Steam</w:t>
            </w:r>
          </w:p>
        </w:tc>
        <w:tc>
          <w:tcPr>
            <w:tcW w:w="2100" w:type="dxa"/>
            <w:tcBorders>
              <w:top w:val="nil"/>
              <w:left w:val="nil"/>
              <w:bottom w:val="single" w:sz="4" w:space="0" w:color="auto"/>
              <w:right w:val="single" w:sz="4" w:space="0" w:color="auto"/>
            </w:tcBorders>
            <w:shd w:val="clear" w:color="000000" w:fill="FFFFFF"/>
            <w:hideMark/>
          </w:tcPr>
          <w:p w14:paraId="78DDCF35" w14:textId="77777777" w:rsidR="00DB1AEE" w:rsidRPr="00DB1AEE" w:rsidRDefault="00DB1AEE" w:rsidP="00DB1AEE">
            <w:pPr>
              <w:suppressAutoHyphens/>
              <w:jc w:val="center"/>
              <w:rPr>
                <w:szCs w:val="24"/>
                <w:u w:val="single"/>
              </w:rPr>
            </w:pPr>
            <w:r w:rsidRPr="00DB1AEE">
              <w:rPr>
                <w:szCs w:val="24"/>
                <w:u w:val="single"/>
              </w:rPr>
              <w:t>3-pan</w:t>
            </w:r>
          </w:p>
        </w:tc>
        <w:tc>
          <w:tcPr>
            <w:tcW w:w="1980" w:type="dxa"/>
            <w:tcBorders>
              <w:top w:val="nil"/>
              <w:left w:val="nil"/>
              <w:bottom w:val="single" w:sz="4" w:space="0" w:color="auto"/>
              <w:right w:val="single" w:sz="4" w:space="0" w:color="auto"/>
            </w:tcBorders>
            <w:shd w:val="clear" w:color="000000" w:fill="FFFFFF"/>
            <w:noWrap/>
            <w:hideMark/>
          </w:tcPr>
          <w:p w14:paraId="706314CB" w14:textId="77777777" w:rsidR="00DB1AEE" w:rsidRPr="00DB1AEE" w:rsidRDefault="00DB1AEE" w:rsidP="00DB1AEE">
            <w:pPr>
              <w:suppressAutoHyphens/>
              <w:jc w:val="center"/>
              <w:rPr>
                <w:szCs w:val="24"/>
                <w:u w:val="single"/>
              </w:rPr>
            </w:pPr>
            <w:r w:rsidRPr="00DB1AEE">
              <w:rPr>
                <w:szCs w:val="24"/>
                <w:u w:val="single"/>
              </w:rPr>
              <w:t>50%</w:t>
            </w:r>
          </w:p>
        </w:tc>
        <w:tc>
          <w:tcPr>
            <w:tcW w:w="1880" w:type="dxa"/>
            <w:tcBorders>
              <w:top w:val="nil"/>
              <w:left w:val="nil"/>
              <w:bottom w:val="single" w:sz="4" w:space="0" w:color="auto"/>
              <w:right w:val="single" w:sz="4" w:space="0" w:color="auto"/>
            </w:tcBorders>
            <w:shd w:val="clear" w:color="000000" w:fill="FFFFFF"/>
            <w:hideMark/>
          </w:tcPr>
          <w:p w14:paraId="2421A95B" w14:textId="77777777" w:rsidR="00DB1AEE" w:rsidRPr="00DB1AEE" w:rsidRDefault="00DB1AEE" w:rsidP="00DB1AEE">
            <w:pPr>
              <w:suppressAutoHyphens/>
              <w:jc w:val="center"/>
              <w:rPr>
                <w:szCs w:val="24"/>
                <w:u w:val="single"/>
              </w:rPr>
            </w:pPr>
            <w:r w:rsidRPr="00DB1AEE">
              <w:rPr>
                <w:szCs w:val="24"/>
                <w:u w:val="single"/>
              </w:rPr>
              <w:t>400 watts</w:t>
            </w:r>
          </w:p>
        </w:tc>
        <w:tc>
          <w:tcPr>
            <w:tcW w:w="168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A6ADA68" w14:textId="77777777" w:rsidR="00DB1AEE" w:rsidRPr="00DB1AEE" w:rsidRDefault="00DB1AEE" w:rsidP="00DB1AEE">
            <w:pPr>
              <w:suppressAutoHyphens/>
              <w:jc w:val="center"/>
              <w:rPr>
                <w:szCs w:val="24"/>
                <w:u w:val="single"/>
              </w:rPr>
            </w:pPr>
            <w:r w:rsidRPr="00DB1AEE">
              <w:rPr>
                <w:szCs w:val="24"/>
                <w:u w:val="single"/>
              </w:rPr>
              <w:t>ASTM Standard F1484-18</w:t>
            </w:r>
          </w:p>
        </w:tc>
      </w:tr>
      <w:tr w:rsidR="00DB1AEE" w:rsidRPr="00DB1AEE" w14:paraId="1750E2B5" w14:textId="77777777" w:rsidTr="00FC1832">
        <w:trPr>
          <w:trHeight w:val="600"/>
          <w:jc w:val="center"/>
        </w:trPr>
        <w:tc>
          <w:tcPr>
            <w:tcW w:w="1980" w:type="dxa"/>
            <w:vMerge/>
            <w:tcBorders>
              <w:top w:val="nil"/>
              <w:left w:val="single" w:sz="4" w:space="0" w:color="auto"/>
              <w:bottom w:val="single" w:sz="4" w:space="0" w:color="000000"/>
              <w:right w:val="single" w:sz="4" w:space="0" w:color="auto"/>
            </w:tcBorders>
            <w:vAlign w:val="center"/>
            <w:hideMark/>
          </w:tcPr>
          <w:p w14:paraId="119F5B66" w14:textId="77777777" w:rsidR="00DB1AEE" w:rsidRPr="00DB1AEE" w:rsidRDefault="00DB1AEE" w:rsidP="00DB1AEE">
            <w:pPr>
              <w:suppressAutoHyphens/>
              <w:jc w:val="left"/>
              <w:rPr>
                <w:szCs w:val="24"/>
                <w:u w:val="single"/>
              </w:rPr>
            </w:pPr>
          </w:p>
        </w:tc>
        <w:tc>
          <w:tcPr>
            <w:tcW w:w="2100" w:type="dxa"/>
            <w:tcBorders>
              <w:top w:val="nil"/>
              <w:left w:val="nil"/>
              <w:bottom w:val="single" w:sz="4" w:space="0" w:color="auto"/>
              <w:right w:val="single" w:sz="4" w:space="0" w:color="auto"/>
            </w:tcBorders>
            <w:shd w:val="clear" w:color="000000" w:fill="FFFFFF"/>
            <w:hideMark/>
          </w:tcPr>
          <w:p w14:paraId="298200D1" w14:textId="77777777" w:rsidR="00DB1AEE" w:rsidRPr="00DB1AEE" w:rsidRDefault="00DB1AEE" w:rsidP="00DB1AEE">
            <w:pPr>
              <w:suppressAutoHyphens/>
              <w:jc w:val="center"/>
              <w:rPr>
                <w:szCs w:val="24"/>
                <w:u w:val="single"/>
              </w:rPr>
            </w:pPr>
            <w:r w:rsidRPr="00DB1AEE">
              <w:rPr>
                <w:szCs w:val="24"/>
                <w:u w:val="single"/>
              </w:rPr>
              <w:t>4-pan</w:t>
            </w:r>
            <w:r w:rsidRPr="00DB1AEE">
              <w:rPr>
                <w:szCs w:val="24"/>
                <w:u w:val="single"/>
              </w:rPr>
              <w:br/>
              <w:t>5-pan</w:t>
            </w:r>
          </w:p>
        </w:tc>
        <w:tc>
          <w:tcPr>
            <w:tcW w:w="1980" w:type="dxa"/>
            <w:tcBorders>
              <w:top w:val="nil"/>
              <w:left w:val="nil"/>
              <w:bottom w:val="single" w:sz="4" w:space="0" w:color="auto"/>
              <w:right w:val="single" w:sz="4" w:space="0" w:color="auto"/>
            </w:tcBorders>
            <w:shd w:val="clear" w:color="000000" w:fill="FFFFFF"/>
            <w:hideMark/>
          </w:tcPr>
          <w:p w14:paraId="7B662492" w14:textId="77777777" w:rsidR="00DB1AEE" w:rsidRPr="00DB1AEE" w:rsidRDefault="00DB1AEE" w:rsidP="00DB1AEE">
            <w:pPr>
              <w:suppressAutoHyphens/>
              <w:jc w:val="center"/>
              <w:rPr>
                <w:szCs w:val="24"/>
                <w:u w:val="single"/>
              </w:rPr>
            </w:pPr>
            <w:r w:rsidRPr="00DB1AEE">
              <w:rPr>
                <w:szCs w:val="24"/>
                <w:u w:val="single"/>
              </w:rPr>
              <w:t>50%</w:t>
            </w:r>
            <w:r w:rsidRPr="00DB1AEE">
              <w:rPr>
                <w:szCs w:val="24"/>
                <w:u w:val="single"/>
              </w:rPr>
              <w:br/>
              <w:t>50%</w:t>
            </w:r>
          </w:p>
        </w:tc>
        <w:tc>
          <w:tcPr>
            <w:tcW w:w="1880" w:type="dxa"/>
            <w:tcBorders>
              <w:top w:val="nil"/>
              <w:left w:val="nil"/>
              <w:bottom w:val="single" w:sz="4" w:space="0" w:color="auto"/>
              <w:right w:val="single" w:sz="4" w:space="0" w:color="auto"/>
            </w:tcBorders>
            <w:shd w:val="clear" w:color="000000" w:fill="FFFFFF"/>
            <w:hideMark/>
          </w:tcPr>
          <w:p w14:paraId="1895DC4B" w14:textId="77777777" w:rsidR="00DB1AEE" w:rsidRPr="00DB1AEE" w:rsidRDefault="00DB1AEE" w:rsidP="00DB1AEE">
            <w:pPr>
              <w:suppressAutoHyphens/>
              <w:ind w:firstLineChars="300" w:firstLine="720"/>
              <w:jc w:val="left"/>
              <w:rPr>
                <w:szCs w:val="24"/>
                <w:u w:val="single"/>
              </w:rPr>
            </w:pPr>
            <w:r w:rsidRPr="00DB1AEE">
              <w:rPr>
                <w:szCs w:val="24"/>
                <w:u w:val="single"/>
              </w:rPr>
              <w:t>530 watts</w:t>
            </w:r>
            <w:r w:rsidRPr="00DB1AEE">
              <w:rPr>
                <w:szCs w:val="24"/>
                <w:u w:val="single"/>
              </w:rPr>
              <w:br/>
              <w:t>670 watts</w:t>
            </w:r>
          </w:p>
        </w:tc>
        <w:tc>
          <w:tcPr>
            <w:tcW w:w="1680" w:type="dxa"/>
            <w:vMerge/>
            <w:tcBorders>
              <w:top w:val="nil"/>
              <w:left w:val="single" w:sz="4" w:space="0" w:color="auto"/>
              <w:bottom w:val="single" w:sz="4" w:space="0" w:color="000000"/>
              <w:right w:val="single" w:sz="4" w:space="0" w:color="auto"/>
            </w:tcBorders>
            <w:vAlign w:val="center"/>
            <w:hideMark/>
          </w:tcPr>
          <w:p w14:paraId="4830E869" w14:textId="77777777" w:rsidR="00DB1AEE" w:rsidRPr="00DB1AEE" w:rsidRDefault="00DB1AEE" w:rsidP="00DB1AEE">
            <w:pPr>
              <w:suppressAutoHyphens/>
              <w:jc w:val="left"/>
              <w:rPr>
                <w:szCs w:val="24"/>
                <w:u w:val="single"/>
              </w:rPr>
            </w:pPr>
          </w:p>
        </w:tc>
      </w:tr>
      <w:tr w:rsidR="00DB1AEE" w:rsidRPr="00DB1AEE" w14:paraId="151CBF97" w14:textId="77777777" w:rsidTr="00FC1832">
        <w:trPr>
          <w:trHeight w:val="300"/>
          <w:jc w:val="center"/>
        </w:trPr>
        <w:tc>
          <w:tcPr>
            <w:tcW w:w="1980" w:type="dxa"/>
            <w:vMerge/>
            <w:tcBorders>
              <w:top w:val="nil"/>
              <w:left w:val="single" w:sz="4" w:space="0" w:color="auto"/>
              <w:bottom w:val="single" w:sz="4" w:space="0" w:color="000000"/>
              <w:right w:val="single" w:sz="4" w:space="0" w:color="auto"/>
            </w:tcBorders>
            <w:vAlign w:val="center"/>
            <w:hideMark/>
          </w:tcPr>
          <w:p w14:paraId="1515F613" w14:textId="77777777" w:rsidR="00DB1AEE" w:rsidRPr="00DB1AEE" w:rsidRDefault="00DB1AEE" w:rsidP="00DB1AEE">
            <w:pPr>
              <w:suppressAutoHyphens/>
              <w:jc w:val="left"/>
              <w:rPr>
                <w:szCs w:val="24"/>
                <w:u w:val="single"/>
              </w:rPr>
            </w:pPr>
          </w:p>
        </w:tc>
        <w:tc>
          <w:tcPr>
            <w:tcW w:w="2100" w:type="dxa"/>
            <w:tcBorders>
              <w:top w:val="nil"/>
              <w:left w:val="nil"/>
              <w:bottom w:val="single" w:sz="4" w:space="0" w:color="auto"/>
              <w:right w:val="single" w:sz="4" w:space="0" w:color="auto"/>
            </w:tcBorders>
            <w:shd w:val="clear" w:color="000000" w:fill="FFFFFF"/>
            <w:hideMark/>
          </w:tcPr>
          <w:p w14:paraId="068DF2D9" w14:textId="77777777" w:rsidR="00DB1AEE" w:rsidRPr="00DB1AEE" w:rsidRDefault="00DB1AEE" w:rsidP="00DB1AEE">
            <w:pPr>
              <w:suppressAutoHyphens/>
              <w:jc w:val="center"/>
              <w:rPr>
                <w:szCs w:val="24"/>
                <w:u w:val="single"/>
              </w:rPr>
            </w:pPr>
            <w:r w:rsidRPr="00DB1AEE">
              <w:rPr>
                <w:szCs w:val="24"/>
                <w:u w:val="single"/>
              </w:rPr>
              <w:t>6-pan and larger</w:t>
            </w:r>
          </w:p>
        </w:tc>
        <w:tc>
          <w:tcPr>
            <w:tcW w:w="1980" w:type="dxa"/>
            <w:tcBorders>
              <w:top w:val="nil"/>
              <w:left w:val="nil"/>
              <w:bottom w:val="single" w:sz="4" w:space="0" w:color="auto"/>
              <w:right w:val="single" w:sz="4" w:space="0" w:color="auto"/>
            </w:tcBorders>
            <w:shd w:val="clear" w:color="000000" w:fill="FFFFFF"/>
            <w:noWrap/>
            <w:hideMark/>
          </w:tcPr>
          <w:p w14:paraId="0EAA2E4D" w14:textId="77777777" w:rsidR="00DB1AEE" w:rsidRPr="00DB1AEE" w:rsidRDefault="00DB1AEE" w:rsidP="00DB1AEE">
            <w:pPr>
              <w:suppressAutoHyphens/>
              <w:jc w:val="center"/>
              <w:rPr>
                <w:szCs w:val="24"/>
                <w:u w:val="single"/>
              </w:rPr>
            </w:pPr>
            <w:r w:rsidRPr="00DB1AEE">
              <w:rPr>
                <w:szCs w:val="24"/>
                <w:u w:val="single"/>
              </w:rPr>
              <w:t>50%</w:t>
            </w:r>
          </w:p>
        </w:tc>
        <w:tc>
          <w:tcPr>
            <w:tcW w:w="1880" w:type="dxa"/>
            <w:tcBorders>
              <w:top w:val="nil"/>
              <w:left w:val="nil"/>
              <w:bottom w:val="single" w:sz="4" w:space="0" w:color="auto"/>
              <w:right w:val="single" w:sz="4" w:space="0" w:color="auto"/>
            </w:tcBorders>
            <w:shd w:val="clear" w:color="000000" w:fill="FFFFFF"/>
            <w:hideMark/>
          </w:tcPr>
          <w:p w14:paraId="31BEEDAE" w14:textId="77777777" w:rsidR="00DB1AEE" w:rsidRPr="00DB1AEE" w:rsidRDefault="00DB1AEE" w:rsidP="00DB1AEE">
            <w:pPr>
              <w:suppressAutoHyphens/>
              <w:jc w:val="center"/>
              <w:rPr>
                <w:szCs w:val="24"/>
                <w:u w:val="single"/>
              </w:rPr>
            </w:pPr>
            <w:r w:rsidRPr="00DB1AEE">
              <w:rPr>
                <w:szCs w:val="24"/>
                <w:u w:val="single"/>
              </w:rPr>
              <w:t>800 watts</w:t>
            </w:r>
          </w:p>
        </w:tc>
        <w:tc>
          <w:tcPr>
            <w:tcW w:w="1680" w:type="dxa"/>
            <w:vMerge/>
            <w:tcBorders>
              <w:top w:val="nil"/>
              <w:left w:val="single" w:sz="4" w:space="0" w:color="auto"/>
              <w:bottom w:val="single" w:sz="4" w:space="0" w:color="000000"/>
              <w:right w:val="single" w:sz="4" w:space="0" w:color="auto"/>
            </w:tcBorders>
            <w:vAlign w:val="center"/>
            <w:hideMark/>
          </w:tcPr>
          <w:p w14:paraId="04B0FE69" w14:textId="77777777" w:rsidR="00DB1AEE" w:rsidRPr="00DB1AEE" w:rsidRDefault="00DB1AEE" w:rsidP="00DB1AEE">
            <w:pPr>
              <w:suppressAutoHyphens/>
              <w:jc w:val="left"/>
              <w:rPr>
                <w:szCs w:val="24"/>
                <w:u w:val="single"/>
              </w:rPr>
            </w:pPr>
          </w:p>
        </w:tc>
      </w:tr>
      <w:tr w:rsidR="00DB1AEE" w:rsidRPr="00DB1AEE" w14:paraId="1406E59B" w14:textId="77777777" w:rsidTr="00FC1832">
        <w:trPr>
          <w:trHeight w:val="319"/>
          <w:jc w:val="center"/>
        </w:trPr>
        <w:tc>
          <w:tcPr>
            <w:tcW w:w="198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AEEB53D" w14:textId="77777777" w:rsidR="00DB1AEE" w:rsidRPr="00DB1AEE" w:rsidRDefault="00DB1AEE" w:rsidP="00DB1AEE">
            <w:pPr>
              <w:suppressAutoHyphens/>
              <w:jc w:val="center"/>
              <w:rPr>
                <w:szCs w:val="24"/>
                <w:u w:val="single"/>
              </w:rPr>
            </w:pPr>
            <w:r w:rsidRPr="00DB1AEE">
              <w:rPr>
                <w:szCs w:val="24"/>
                <w:u w:val="single"/>
              </w:rPr>
              <w:t>Gas Steam</w:t>
            </w:r>
          </w:p>
        </w:tc>
        <w:tc>
          <w:tcPr>
            <w:tcW w:w="2100" w:type="dxa"/>
            <w:tcBorders>
              <w:top w:val="nil"/>
              <w:left w:val="nil"/>
              <w:bottom w:val="single" w:sz="4" w:space="0" w:color="auto"/>
              <w:right w:val="single" w:sz="4" w:space="0" w:color="auto"/>
            </w:tcBorders>
            <w:shd w:val="clear" w:color="000000" w:fill="FFFFFF"/>
            <w:hideMark/>
          </w:tcPr>
          <w:p w14:paraId="02AB8D2D" w14:textId="77777777" w:rsidR="00DB1AEE" w:rsidRPr="00DB1AEE" w:rsidRDefault="00DB1AEE" w:rsidP="00DB1AEE">
            <w:pPr>
              <w:suppressAutoHyphens/>
              <w:jc w:val="center"/>
              <w:rPr>
                <w:szCs w:val="24"/>
                <w:u w:val="single"/>
              </w:rPr>
            </w:pPr>
            <w:r w:rsidRPr="00DB1AEE">
              <w:rPr>
                <w:szCs w:val="24"/>
                <w:u w:val="single"/>
              </w:rPr>
              <w:t>3-pan</w:t>
            </w:r>
          </w:p>
        </w:tc>
        <w:tc>
          <w:tcPr>
            <w:tcW w:w="1980" w:type="dxa"/>
            <w:tcBorders>
              <w:top w:val="nil"/>
              <w:left w:val="nil"/>
              <w:bottom w:val="single" w:sz="4" w:space="0" w:color="auto"/>
              <w:right w:val="single" w:sz="4" w:space="0" w:color="auto"/>
            </w:tcBorders>
            <w:shd w:val="clear" w:color="000000" w:fill="FFFFFF"/>
            <w:noWrap/>
            <w:hideMark/>
          </w:tcPr>
          <w:p w14:paraId="0A53AAAD" w14:textId="77777777" w:rsidR="00DB1AEE" w:rsidRPr="00DB1AEE" w:rsidRDefault="00DB1AEE" w:rsidP="00DB1AEE">
            <w:pPr>
              <w:suppressAutoHyphens/>
              <w:jc w:val="center"/>
              <w:rPr>
                <w:szCs w:val="24"/>
                <w:u w:val="single"/>
              </w:rPr>
            </w:pPr>
            <w:r w:rsidRPr="00DB1AEE">
              <w:rPr>
                <w:szCs w:val="24"/>
                <w:u w:val="single"/>
              </w:rPr>
              <w:t>38%</w:t>
            </w:r>
          </w:p>
        </w:tc>
        <w:tc>
          <w:tcPr>
            <w:tcW w:w="1880" w:type="dxa"/>
            <w:tcBorders>
              <w:top w:val="nil"/>
              <w:left w:val="nil"/>
              <w:bottom w:val="single" w:sz="4" w:space="0" w:color="auto"/>
              <w:right w:val="single" w:sz="4" w:space="0" w:color="auto"/>
            </w:tcBorders>
            <w:shd w:val="clear" w:color="000000" w:fill="FFFFFF"/>
            <w:hideMark/>
          </w:tcPr>
          <w:p w14:paraId="46C77296" w14:textId="77777777" w:rsidR="00DB1AEE" w:rsidRPr="00DB1AEE" w:rsidRDefault="00DB1AEE" w:rsidP="00DB1AEE">
            <w:pPr>
              <w:suppressAutoHyphens/>
              <w:jc w:val="center"/>
              <w:rPr>
                <w:szCs w:val="24"/>
                <w:u w:val="single"/>
              </w:rPr>
            </w:pPr>
            <w:r w:rsidRPr="00DB1AEE">
              <w:rPr>
                <w:szCs w:val="24"/>
                <w:u w:val="single"/>
              </w:rPr>
              <w:t>6,250 Btu/h</w:t>
            </w:r>
          </w:p>
        </w:tc>
        <w:tc>
          <w:tcPr>
            <w:tcW w:w="1680" w:type="dxa"/>
            <w:vMerge/>
            <w:tcBorders>
              <w:top w:val="nil"/>
              <w:left w:val="single" w:sz="4" w:space="0" w:color="auto"/>
              <w:bottom w:val="single" w:sz="4" w:space="0" w:color="000000"/>
              <w:right w:val="single" w:sz="4" w:space="0" w:color="auto"/>
            </w:tcBorders>
            <w:vAlign w:val="center"/>
            <w:hideMark/>
          </w:tcPr>
          <w:p w14:paraId="6C83B6C0" w14:textId="77777777" w:rsidR="00DB1AEE" w:rsidRPr="00DB1AEE" w:rsidRDefault="00DB1AEE" w:rsidP="00DB1AEE">
            <w:pPr>
              <w:suppressAutoHyphens/>
              <w:jc w:val="left"/>
              <w:rPr>
                <w:szCs w:val="24"/>
                <w:u w:val="single"/>
              </w:rPr>
            </w:pPr>
          </w:p>
        </w:tc>
      </w:tr>
      <w:tr w:rsidR="00DB1AEE" w:rsidRPr="00DB1AEE" w14:paraId="61EEBB44" w14:textId="77777777" w:rsidTr="00FC1832">
        <w:trPr>
          <w:trHeight w:val="319"/>
          <w:jc w:val="center"/>
        </w:trPr>
        <w:tc>
          <w:tcPr>
            <w:tcW w:w="1980" w:type="dxa"/>
            <w:vMerge/>
            <w:tcBorders>
              <w:top w:val="nil"/>
              <w:left w:val="single" w:sz="4" w:space="0" w:color="auto"/>
              <w:bottom w:val="single" w:sz="4" w:space="0" w:color="000000"/>
              <w:right w:val="single" w:sz="4" w:space="0" w:color="auto"/>
            </w:tcBorders>
            <w:vAlign w:val="center"/>
            <w:hideMark/>
          </w:tcPr>
          <w:p w14:paraId="67A3168A" w14:textId="77777777" w:rsidR="00DB1AEE" w:rsidRPr="00DB1AEE" w:rsidRDefault="00DB1AEE" w:rsidP="00DB1AEE">
            <w:pPr>
              <w:suppressAutoHyphens/>
              <w:jc w:val="left"/>
              <w:rPr>
                <w:szCs w:val="24"/>
                <w:u w:val="single"/>
              </w:rPr>
            </w:pPr>
          </w:p>
        </w:tc>
        <w:tc>
          <w:tcPr>
            <w:tcW w:w="2100" w:type="dxa"/>
            <w:tcBorders>
              <w:top w:val="nil"/>
              <w:left w:val="nil"/>
              <w:bottom w:val="single" w:sz="4" w:space="0" w:color="auto"/>
              <w:right w:val="single" w:sz="4" w:space="0" w:color="auto"/>
            </w:tcBorders>
            <w:shd w:val="clear" w:color="000000" w:fill="FFFFFF"/>
            <w:hideMark/>
          </w:tcPr>
          <w:p w14:paraId="76A4A4EA" w14:textId="77777777" w:rsidR="00DB1AEE" w:rsidRPr="00DB1AEE" w:rsidRDefault="00DB1AEE" w:rsidP="00DB1AEE">
            <w:pPr>
              <w:suppressAutoHyphens/>
              <w:jc w:val="center"/>
              <w:rPr>
                <w:szCs w:val="24"/>
                <w:u w:val="single"/>
              </w:rPr>
            </w:pPr>
            <w:r w:rsidRPr="00DB1AEE">
              <w:rPr>
                <w:szCs w:val="24"/>
                <w:u w:val="single"/>
              </w:rPr>
              <w:t>4-pan</w:t>
            </w:r>
          </w:p>
        </w:tc>
        <w:tc>
          <w:tcPr>
            <w:tcW w:w="1980" w:type="dxa"/>
            <w:tcBorders>
              <w:top w:val="nil"/>
              <w:left w:val="nil"/>
              <w:bottom w:val="single" w:sz="4" w:space="0" w:color="auto"/>
              <w:right w:val="single" w:sz="4" w:space="0" w:color="auto"/>
            </w:tcBorders>
            <w:shd w:val="clear" w:color="000000" w:fill="FFFFFF"/>
            <w:noWrap/>
            <w:hideMark/>
          </w:tcPr>
          <w:p w14:paraId="25579DB8" w14:textId="77777777" w:rsidR="00DB1AEE" w:rsidRPr="00DB1AEE" w:rsidRDefault="00DB1AEE" w:rsidP="00DB1AEE">
            <w:pPr>
              <w:suppressAutoHyphens/>
              <w:jc w:val="center"/>
              <w:rPr>
                <w:szCs w:val="24"/>
                <w:u w:val="single"/>
              </w:rPr>
            </w:pPr>
            <w:r w:rsidRPr="00DB1AEE">
              <w:rPr>
                <w:szCs w:val="24"/>
                <w:u w:val="single"/>
              </w:rPr>
              <w:t>38%</w:t>
            </w:r>
          </w:p>
        </w:tc>
        <w:tc>
          <w:tcPr>
            <w:tcW w:w="1880" w:type="dxa"/>
            <w:tcBorders>
              <w:top w:val="nil"/>
              <w:left w:val="nil"/>
              <w:bottom w:val="single" w:sz="4" w:space="0" w:color="auto"/>
              <w:right w:val="single" w:sz="4" w:space="0" w:color="auto"/>
            </w:tcBorders>
            <w:shd w:val="clear" w:color="000000" w:fill="FFFFFF"/>
            <w:hideMark/>
          </w:tcPr>
          <w:p w14:paraId="2D4A674C" w14:textId="77777777" w:rsidR="00DB1AEE" w:rsidRPr="00DB1AEE" w:rsidRDefault="00DB1AEE" w:rsidP="00DB1AEE">
            <w:pPr>
              <w:suppressAutoHyphens/>
              <w:jc w:val="center"/>
              <w:rPr>
                <w:szCs w:val="24"/>
                <w:u w:val="single"/>
              </w:rPr>
            </w:pPr>
            <w:r w:rsidRPr="00DB1AEE">
              <w:rPr>
                <w:szCs w:val="24"/>
                <w:u w:val="single"/>
              </w:rPr>
              <w:t>8,350 Btu/h</w:t>
            </w:r>
          </w:p>
        </w:tc>
        <w:tc>
          <w:tcPr>
            <w:tcW w:w="1680" w:type="dxa"/>
            <w:vMerge/>
            <w:tcBorders>
              <w:top w:val="nil"/>
              <w:left w:val="single" w:sz="4" w:space="0" w:color="auto"/>
              <w:bottom w:val="single" w:sz="4" w:space="0" w:color="000000"/>
              <w:right w:val="single" w:sz="4" w:space="0" w:color="auto"/>
            </w:tcBorders>
            <w:vAlign w:val="center"/>
            <w:hideMark/>
          </w:tcPr>
          <w:p w14:paraId="1A69A514" w14:textId="77777777" w:rsidR="00DB1AEE" w:rsidRPr="00DB1AEE" w:rsidRDefault="00DB1AEE" w:rsidP="00DB1AEE">
            <w:pPr>
              <w:suppressAutoHyphens/>
              <w:jc w:val="left"/>
              <w:rPr>
                <w:szCs w:val="24"/>
                <w:u w:val="single"/>
              </w:rPr>
            </w:pPr>
          </w:p>
        </w:tc>
      </w:tr>
      <w:tr w:rsidR="00DB1AEE" w:rsidRPr="00DB1AEE" w14:paraId="1255164E" w14:textId="77777777" w:rsidTr="00FC1832">
        <w:trPr>
          <w:trHeight w:val="619"/>
          <w:jc w:val="center"/>
        </w:trPr>
        <w:tc>
          <w:tcPr>
            <w:tcW w:w="1980" w:type="dxa"/>
            <w:vMerge/>
            <w:tcBorders>
              <w:top w:val="nil"/>
              <w:left w:val="single" w:sz="4" w:space="0" w:color="auto"/>
              <w:bottom w:val="single" w:sz="4" w:space="0" w:color="000000"/>
              <w:right w:val="single" w:sz="4" w:space="0" w:color="auto"/>
            </w:tcBorders>
            <w:vAlign w:val="center"/>
            <w:hideMark/>
          </w:tcPr>
          <w:p w14:paraId="1E931917" w14:textId="77777777" w:rsidR="00DB1AEE" w:rsidRPr="00DB1AEE" w:rsidRDefault="00DB1AEE" w:rsidP="00DB1AEE">
            <w:pPr>
              <w:suppressAutoHyphens/>
              <w:jc w:val="left"/>
              <w:rPr>
                <w:szCs w:val="24"/>
                <w:u w:val="single"/>
              </w:rPr>
            </w:pPr>
          </w:p>
        </w:tc>
        <w:tc>
          <w:tcPr>
            <w:tcW w:w="2100" w:type="dxa"/>
            <w:tcBorders>
              <w:top w:val="nil"/>
              <w:left w:val="nil"/>
              <w:bottom w:val="single" w:sz="4" w:space="0" w:color="auto"/>
              <w:right w:val="single" w:sz="4" w:space="0" w:color="auto"/>
            </w:tcBorders>
            <w:shd w:val="clear" w:color="000000" w:fill="FFFFFF"/>
            <w:hideMark/>
          </w:tcPr>
          <w:p w14:paraId="0C3644BA" w14:textId="77777777" w:rsidR="00DB1AEE" w:rsidRPr="00DB1AEE" w:rsidRDefault="00DB1AEE" w:rsidP="00DB1AEE">
            <w:pPr>
              <w:suppressAutoHyphens/>
              <w:jc w:val="center"/>
              <w:rPr>
                <w:szCs w:val="24"/>
                <w:u w:val="single"/>
              </w:rPr>
            </w:pPr>
            <w:r w:rsidRPr="00DB1AEE">
              <w:rPr>
                <w:szCs w:val="24"/>
                <w:u w:val="single"/>
              </w:rPr>
              <w:br/>
              <w:t>5-pan</w:t>
            </w:r>
          </w:p>
        </w:tc>
        <w:tc>
          <w:tcPr>
            <w:tcW w:w="1980" w:type="dxa"/>
            <w:tcBorders>
              <w:top w:val="nil"/>
              <w:left w:val="nil"/>
              <w:bottom w:val="single" w:sz="4" w:space="0" w:color="auto"/>
              <w:right w:val="single" w:sz="4" w:space="0" w:color="auto"/>
            </w:tcBorders>
            <w:shd w:val="clear" w:color="000000" w:fill="FFFFFF"/>
            <w:hideMark/>
          </w:tcPr>
          <w:p w14:paraId="18F73DFC" w14:textId="77777777" w:rsidR="00DB1AEE" w:rsidRPr="00DB1AEE" w:rsidRDefault="00DB1AEE" w:rsidP="00DB1AEE">
            <w:pPr>
              <w:suppressAutoHyphens/>
              <w:jc w:val="center"/>
              <w:rPr>
                <w:szCs w:val="24"/>
                <w:u w:val="single"/>
              </w:rPr>
            </w:pPr>
            <w:r w:rsidRPr="00DB1AEE">
              <w:rPr>
                <w:szCs w:val="24"/>
                <w:u w:val="single"/>
              </w:rPr>
              <w:br/>
              <w:t>38%</w:t>
            </w:r>
          </w:p>
        </w:tc>
        <w:tc>
          <w:tcPr>
            <w:tcW w:w="1880" w:type="dxa"/>
            <w:tcBorders>
              <w:top w:val="nil"/>
              <w:left w:val="nil"/>
              <w:bottom w:val="single" w:sz="4" w:space="0" w:color="auto"/>
              <w:right w:val="single" w:sz="4" w:space="0" w:color="auto"/>
            </w:tcBorders>
            <w:shd w:val="clear" w:color="000000" w:fill="FFFFFF"/>
            <w:hideMark/>
          </w:tcPr>
          <w:p w14:paraId="601198AE" w14:textId="77777777" w:rsidR="00DB1AEE" w:rsidRPr="00DB1AEE" w:rsidRDefault="00DB1AEE" w:rsidP="00DB1AEE">
            <w:pPr>
              <w:suppressAutoHyphens/>
              <w:ind w:firstLineChars="200" w:firstLine="480"/>
              <w:jc w:val="left"/>
              <w:rPr>
                <w:szCs w:val="24"/>
                <w:u w:val="single"/>
              </w:rPr>
            </w:pPr>
            <w:r w:rsidRPr="00DB1AEE">
              <w:rPr>
                <w:szCs w:val="24"/>
                <w:u w:val="single"/>
              </w:rPr>
              <w:br/>
              <w:t>10,400 Btu/h</w:t>
            </w:r>
          </w:p>
        </w:tc>
        <w:tc>
          <w:tcPr>
            <w:tcW w:w="1680" w:type="dxa"/>
            <w:vMerge/>
            <w:tcBorders>
              <w:top w:val="nil"/>
              <w:left w:val="single" w:sz="4" w:space="0" w:color="auto"/>
              <w:bottom w:val="single" w:sz="4" w:space="0" w:color="000000"/>
              <w:right w:val="single" w:sz="4" w:space="0" w:color="auto"/>
            </w:tcBorders>
            <w:vAlign w:val="center"/>
            <w:hideMark/>
          </w:tcPr>
          <w:p w14:paraId="1E1B2487" w14:textId="77777777" w:rsidR="00DB1AEE" w:rsidRPr="00DB1AEE" w:rsidRDefault="00DB1AEE" w:rsidP="00DB1AEE">
            <w:pPr>
              <w:suppressAutoHyphens/>
              <w:jc w:val="left"/>
              <w:rPr>
                <w:szCs w:val="24"/>
                <w:u w:val="single"/>
              </w:rPr>
            </w:pPr>
          </w:p>
        </w:tc>
      </w:tr>
      <w:tr w:rsidR="00DB1AEE" w:rsidRPr="00DB1AEE" w14:paraId="40AB8003" w14:textId="77777777" w:rsidTr="00FC1832">
        <w:trPr>
          <w:trHeight w:val="304"/>
          <w:jc w:val="center"/>
        </w:trPr>
        <w:tc>
          <w:tcPr>
            <w:tcW w:w="1980" w:type="dxa"/>
            <w:vMerge/>
            <w:tcBorders>
              <w:top w:val="nil"/>
              <w:left w:val="single" w:sz="4" w:space="0" w:color="auto"/>
              <w:bottom w:val="single" w:sz="4" w:space="0" w:color="000000"/>
              <w:right w:val="single" w:sz="4" w:space="0" w:color="auto"/>
            </w:tcBorders>
            <w:vAlign w:val="center"/>
            <w:hideMark/>
          </w:tcPr>
          <w:p w14:paraId="654557D8" w14:textId="77777777" w:rsidR="00DB1AEE" w:rsidRPr="00DB1AEE" w:rsidRDefault="00DB1AEE" w:rsidP="00DB1AEE">
            <w:pPr>
              <w:suppressAutoHyphens/>
              <w:jc w:val="left"/>
              <w:rPr>
                <w:szCs w:val="24"/>
                <w:u w:val="single"/>
              </w:rPr>
            </w:pPr>
          </w:p>
        </w:tc>
        <w:tc>
          <w:tcPr>
            <w:tcW w:w="2100" w:type="dxa"/>
            <w:tcBorders>
              <w:top w:val="nil"/>
              <w:left w:val="nil"/>
              <w:bottom w:val="single" w:sz="4" w:space="0" w:color="auto"/>
              <w:right w:val="single" w:sz="4" w:space="0" w:color="auto"/>
            </w:tcBorders>
            <w:shd w:val="clear" w:color="000000" w:fill="FFFFFF"/>
            <w:hideMark/>
          </w:tcPr>
          <w:p w14:paraId="3047EB70" w14:textId="77777777" w:rsidR="00DB1AEE" w:rsidRPr="00DB1AEE" w:rsidRDefault="00DB1AEE" w:rsidP="00DB1AEE">
            <w:pPr>
              <w:suppressAutoHyphens/>
              <w:jc w:val="center"/>
              <w:rPr>
                <w:szCs w:val="24"/>
                <w:u w:val="single"/>
              </w:rPr>
            </w:pPr>
            <w:r w:rsidRPr="00DB1AEE">
              <w:rPr>
                <w:szCs w:val="24"/>
                <w:u w:val="single"/>
              </w:rPr>
              <w:t>6-pan and larger</w:t>
            </w:r>
          </w:p>
        </w:tc>
        <w:tc>
          <w:tcPr>
            <w:tcW w:w="1980" w:type="dxa"/>
            <w:tcBorders>
              <w:top w:val="nil"/>
              <w:left w:val="nil"/>
              <w:bottom w:val="single" w:sz="4" w:space="0" w:color="auto"/>
              <w:right w:val="single" w:sz="4" w:space="0" w:color="auto"/>
            </w:tcBorders>
            <w:shd w:val="clear" w:color="000000" w:fill="FFFFFF"/>
            <w:noWrap/>
            <w:hideMark/>
          </w:tcPr>
          <w:p w14:paraId="521FE5BA" w14:textId="77777777" w:rsidR="00DB1AEE" w:rsidRPr="00DB1AEE" w:rsidRDefault="00DB1AEE" w:rsidP="00DB1AEE">
            <w:pPr>
              <w:suppressAutoHyphens/>
              <w:jc w:val="center"/>
              <w:rPr>
                <w:szCs w:val="24"/>
                <w:u w:val="single"/>
              </w:rPr>
            </w:pPr>
            <w:r w:rsidRPr="00DB1AEE">
              <w:rPr>
                <w:szCs w:val="24"/>
                <w:u w:val="single"/>
              </w:rPr>
              <w:t>38%</w:t>
            </w:r>
          </w:p>
        </w:tc>
        <w:tc>
          <w:tcPr>
            <w:tcW w:w="1880" w:type="dxa"/>
            <w:tcBorders>
              <w:top w:val="nil"/>
              <w:left w:val="nil"/>
              <w:bottom w:val="single" w:sz="4" w:space="0" w:color="auto"/>
              <w:right w:val="single" w:sz="4" w:space="0" w:color="auto"/>
            </w:tcBorders>
            <w:shd w:val="clear" w:color="000000" w:fill="FFFFFF"/>
            <w:hideMark/>
          </w:tcPr>
          <w:p w14:paraId="2CBCF9B2" w14:textId="77777777" w:rsidR="00DB1AEE" w:rsidRPr="00DB1AEE" w:rsidRDefault="00DB1AEE" w:rsidP="00DB1AEE">
            <w:pPr>
              <w:suppressAutoHyphens/>
              <w:jc w:val="center"/>
              <w:rPr>
                <w:szCs w:val="24"/>
                <w:u w:val="single"/>
              </w:rPr>
            </w:pPr>
            <w:r w:rsidRPr="00DB1AEE">
              <w:rPr>
                <w:szCs w:val="24"/>
                <w:u w:val="single"/>
              </w:rPr>
              <w:t>12,500 Btu/h</w:t>
            </w:r>
          </w:p>
        </w:tc>
        <w:tc>
          <w:tcPr>
            <w:tcW w:w="1680" w:type="dxa"/>
            <w:vMerge/>
            <w:tcBorders>
              <w:top w:val="nil"/>
              <w:left w:val="single" w:sz="4" w:space="0" w:color="auto"/>
              <w:bottom w:val="single" w:sz="4" w:space="0" w:color="000000"/>
              <w:right w:val="single" w:sz="4" w:space="0" w:color="auto"/>
            </w:tcBorders>
            <w:vAlign w:val="center"/>
            <w:hideMark/>
          </w:tcPr>
          <w:p w14:paraId="68C3F56F" w14:textId="77777777" w:rsidR="00DB1AEE" w:rsidRPr="00DB1AEE" w:rsidRDefault="00DB1AEE" w:rsidP="00DB1AEE">
            <w:pPr>
              <w:suppressAutoHyphens/>
              <w:jc w:val="left"/>
              <w:rPr>
                <w:szCs w:val="24"/>
                <w:u w:val="single"/>
              </w:rPr>
            </w:pPr>
          </w:p>
        </w:tc>
      </w:tr>
    </w:tbl>
    <w:p w14:paraId="0E5AC105" w14:textId="77777777" w:rsidR="00DB1AEE" w:rsidRPr="00DB1AEE" w:rsidRDefault="00DB1AEE" w:rsidP="00DB1AEE">
      <w:pPr>
        <w:suppressAutoHyphens/>
        <w:jc w:val="center"/>
        <w:rPr>
          <w:b/>
          <w:bCs/>
          <w:szCs w:val="24"/>
          <w:u w:val="single"/>
        </w:rPr>
      </w:pPr>
      <w:r w:rsidRPr="00DB1AEE">
        <w:rPr>
          <w:b/>
          <w:bCs/>
          <w:szCs w:val="24"/>
          <w:u w:val="single"/>
        </w:rPr>
        <w:t>Table 10.4.11-4 Minimum Efficiency Requirements: Commercial Dishwashers</w:t>
      </w:r>
    </w:p>
    <w:p w14:paraId="4AAB8CB2" w14:textId="77777777" w:rsidR="00DB1AEE" w:rsidRPr="00DB1AEE" w:rsidRDefault="00DB1AEE" w:rsidP="00DB1AEE">
      <w:pPr>
        <w:suppressAutoHyphens/>
        <w:jc w:val="center"/>
        <w:rPr>
          <w:b/>
          <w:bCs/>
          <w:szCs w:val="24"/>
          <w:u w:val="single"/>
        </w:rPr>
      </w:pPr>
      <w:r w:rsidRPr="00DB1AEE">
        <w:rPr>
          <w:b/>
          <w:bCs/>
          <w:szCs w:val="24"/>
          <w:u w:val="single"/>
        </w:rPr>
        <w:t>(This table is intended to be a restatement of the legally binding provisions found in Title 10 CFR Part 431 included here as a convenience to the users of this code)</w:t>
      </w:r>
    </w:p>
    <w:p w14:paraId="32416520" w14:textId="77777777" w:rsidR="00DB1AEE" w:rsidRPr="00DB1AEE" w:rsidRDefault="00DB1AEE" w:rsidP="00DB1AEE">
      <w:pPr>
        <w:suppressAutoHyphens/>
        <w:jc w:val="center"/>
        <w:rPr>
          <w:b/>
          <w:bCs/>
          <w:szCs w:val="24"/>
          <w:u w:val="single"/>
        </w:rPr>
      </w:pPr>
    </w:p>
    <w:tbl>
      <w:tblPr>
        <w:tblW w:w="10705" w:type="dxa"/>
        <w:jc w:val="center"/>
        <w:tblLook w:val="04A0" w:firstRow="1" w:lastRow="0" w:firstColumn="1" w:lastColumn="0" w:noHBand="0" w:noVBand="1"/>
      </w:tblPr>
      <w:tblGrid>
        <w:gridCol w:w="2515"/>
        <w:gridCol w:w="1350"/>
        <w:gridCol w:w="1800"/>
        <w:gridCol w:w="1980"/>
        <w:gridCol w:w="2070"/>
        <w:gridCol w:w="990"/>
      </w:tblGrid>
      <w:tr w:rsidR="00DB1AEE" w:rsidRPr="00DB1AEE" w14:paraId="162AE738" w14:textId="77777777" w:rsidTr="00FC1832">
        <w:trPr>
          <w:trHeight w:val="506"/>
          <w:jc w:val="center"/>
        </w:trPr>
        <w:tc>
          <w:tcPr>
            <w:tcW w:w="5665"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11D15C03" w14:textId="77777777" w:rsidR="00DB1AEE" w:rsidRPr="00DB1AEE" w:rsidRDefault="00DB1AEE" w:rsidP="00DB1AEE">
            <w:pPr>
              <w:suppressAutoHyphens/>
              <w:jc w:val="left"/>
              <w:rPr>
                <w:b/>
                <w:bCs/>
                <w:szCs w:val="24"/>
                <w:u w:val="single"/>
              </w:rPr>
            </w:pPr>
            <w:r w:rsidRPr="00DB1AEE">
              <w:rPr>
                <w:b/>
                <w:bCs/>
                <w:szCs w:val="24"/>
                <w:u w:val="single"/>
              </w:rPr>
              <w:t>High Temperature Efficiency Requirements</w:t>
            </w:r>
            <w:r w:rsidRPr="00DB1AEE">
              <w:rPr>
                <w:b/>
                <w:bCs/>
                <w:szCs w:val="24"/>
                <w:u w:val="single"/>
              </w:rPr>
              <w:br/>
              <w:t>Machine Type</w:t>
            </w:r>
          </w:p>
        </w:tc>
        <w:tc>
          <w:tcPr>
            <w:tcW w:w="5040" w:type="dxa"/>
            <w:gridSpan w:val="3"/>
            <w:tcBorders>
              <w:top w:val="single" w:sz="4" w:space="0" w:color="auto"/>
              <w:left w:val="nil"/>
              <w:bottom w:val="single" w:sz="4" w:space="0" w:color="auto"/>
              <w:right w:val="single" w:sz="4" w:space="0" w:color="auto"/>
            </w:tcBorders>
            <w:shd w:val="clear" w:color="000000" w:fill="FFFFFF"/>
            <w:hideMark/>
          </w:tcPr>
          <w:p w14:paraId="27C39B56" w14:textId="77777777" w:rsidR="00DB1AEE" w:rsidRPr="00DB1AEE" w:rsidRDefault="00DB1AEE" w:rsidP="00DB1AEE">
            <w:pPr>
              <w:suppressAutoHyphens/>
              <w:ind w:firstLineChars="100" w:firstLine="240"/>
              <w:jc w:val="left"/>
              <w:rPr>
                <w:b/>
                <w:bCs/>
                <w:szCs w:val="24"/>
                <w:u w:val="single"/>
              </w:rPr>
            </w:pPr>
            <w:r w:rsidRPr="00DB1AEE">
              <w:rPr>
                <w:b/>
                <w:bCs/>
                <w:szCs w:val="24"/>
                <w:u w:val="single"/>
              </w:rPr>
              <w:t>Low Temperature Efficiency Requirements</w:t>
            </w:r>
            <w:r w:rsidRPr="00DB1AEE">
              <w:rPr>
                <w:b/>
                <w:bCs/>
                <w:szCs w:val="24"/>
                <w:u w:val="single"/>
              </w:rPr>
              <w:br/>
              <w:t>Test Procedure</w:t>
            </w:r>
          </w:p>
        </w:tc>
      </w:tr>
      <w:tr w:rsidR="00DB1AEE" w:rsidRPr="00DB1AEE" w14:paraId="4F668F96" w14:textId="77777777" w:rsidTr="00FC1832">
        <w:trPr>
          <w:trHeight w:val="870"/>
          <w:jc w:val="center"/>
        </w:trPr>
        <w:tc>
          <w:tcPr>
            <w:tcW w:w="2515" w:type="dxa"/>
            <w:tcBorders>
              <w:top w:val="nil"/>
              <w:left w:val="single" w:sz="4" w:space="0" w:color="auto"/>
              <w:bottom w:val="single" w:sz="4" w:space="0" w:color="auto"/>
              <w:right w:val="single" w:sz="4" w:space="0" w:color="auto"/>
            </w:tcBorders>
            <w:shd w:val="clear" w:color="000000" w:fill="FFFFFF"/>
            <w:vAlign w:val="center"/>
            <w:hideMark/>
          </w:tcPr>
          <w:p w14:paraId="06F512EF" w14:textId="77777777" w:rsidR="00DB1AEE" w:rsidRPr="00DB1AEE" w:rsidRDefault="00DB1AEE" w:rsidP="00DB1AEE">
            <w:pPr>
              <w:suppressAutoHyphens/>
              <w:jc w:val="left"/>
              <w:rPr>
                <w:szCs w:val="24"/>
                <w:u w:val="single"/>
              </w:rPr>
            </w:pPr>
            <w:r w:rsidRPr="00DB1AEE">
              <w:rPr>
                <w:szCs w:val="24"/>
                <w:u w:val="single"/>
              </w:rPr>
              <w:t> </w:t>
            </w:r>
          </w:p>
        </w:tc>
        <w:tc>
          <w:tcPr>
            <w:tcW w:w="1350" w:type="dxa"/>
            <w:tcBorders>
              <w:top w:val="nil"/>
              <w:left w:val="nil"/>
              <w:bottom w:val="single" w:sz="4" w:space="0" w:color="auto"/>
              <w:right w:val="single" w:sz="4" w:space="0" w:color="auto"/>
            </w:tcBorders>
            <w:shd w:val="clear" w:color="000000" w:fill="FFFFFF"/>
            <w:hideMark/>
          </w:tcPr>
          <w:p w14:paraId="02E40829" w14:textId="77777777" w:rsidR="00DB1AEE" w:rsidRPr="00DB1AEE" w:rsidRDefault="00DB1AEE" w:rsidP="00DB1AEE">
            <w:pPr>
              <w:suppressAutoHyphens/>
              <w:jc w:val="center"/>
              <w:rPr>
                <w:szCs w:val="24"/>
                <w:u w:val="single"/>
              </w:rPr>
            </w:pPr>
            <w:r w:rsidRPr="00DB1AEE">
              <w:rPr>
                <w:b/>
                <w:bCs/>
                <w:szCs w:val="24"/>
                <w:u w:val="single"/>
              </w:rPr>
              <w:t>Idle Energy</w:t>
            </w:r>
            <w:r w:rsidRPr="00DB1AEE">
              <w:rPr>
                <w:b/>
                <w:bCs/>
                <w:szCs w:val="24"/>
                <w:u w:val="single"/>
              </w:rPr>
              <w:br/>
              <w:t>Rate</w:t>
            </w:r>
            <w:r w:rsidRPr="00DB1AEE">
              <w:rPr>
                <w:b/>
                <w:bCs/>
                <w:szCs w:val="24"/>
                <w:u w:val="single"/>
                <w:vertAlign w:val="superscript"/>
              </w:rPr>
              <w:t>a</w:t>
            </w:r>
          </w:p>
        </w:tc>
        <w:tc>
          <w:tcPr>
            <w:tcW w:w="1800" w:type="dxa"/>
            <w:tcBorders>
              <w:top w:val="nil"/>
              <w:left w:val="nil"/>
              <w:bottom w:val="single" w:sz="4" w:space="0" w:color="auto"/>
              <w:right w:val="single" w:sz="4" w:space="0" w:color="auto"/>
            </w:tcBorders>
            <w:shd w:val="clear" w:color="000000" w:fill="FFFFFF"/>
            <w:hideMark/>
          </w:tcPr>
          <w:p w14:paraId="0119BC41" w14:textId="77777777" w:rsidR="00DB1AEE" w:rsidRPr="00DB1AEE" w:rsidRDefault="00DB1AEE" w:rsidP="00DB1AEE">
            <w:pPr>
              <w:suppressAutoHyphens/>
              <w:jc w:val="center"/>
              <w:rPr>
                <w:szCs w:val="24"/>
                <w:u w:val="single"/>
              </w:rPr>
            </w:pPr>
            <w:r w:rsidRPr="00DB1AEE">
              <w:rPr>
                <w:b/>
                <w:bCs/>
                <w:szCs w:val="24"/>
                <w:u w:val="single"/>
              </w:rPr>
              <w:t>Water</w:t>
            </w:r>
            <w:r w:rsidRPr="00DB1AEE">
              <w:rPr>
                <w:b/>
                <w:bCs/>
                <w:szCs w:val="24"/>
                <w:u w:val="single"/>
              </w:rPr>
              <w:br/>
              <w:t>Consumption</w:t>
            </w:r>
            <w:r w:rsidRPr="00DB1AEE">
              <w:rPr>
                <w:b/>
                <w:bCs/>
                <w:szCs w:val="24"/>
                <w:u w:val="single"/>
                <w:vertAlign w:val="superscript"/>
              </w:rPr>
              <w:t>b</w:t>
            </w:r>
          </w:p>
        </w:tc>
        <w:tc>
          <w:tcPr>
            <w:tcW w:w="1980" w:type="dxa"/>
            <w:tcBorders>
              <w:top w:val="nil"/>
              <w:left w:val="nil"/>
              <w:bottom w:val="single" w:sz="4" w:space="0" w:color="auto"/>
              <w:right w:val="single" w:sz="4" w:space="0" w:color="auto"/>
            </w:tcBorders>
            <w:shd w:val="clear" w:color="000000" w:fill="FFFFFF"/>
            <w:hideMark/>
          </w:tcPr>
          <w:p w14:paraId="5357B54C" w14:textId="77777777" w:rsidR="00DB1AEE" w:rsidRPr="00DB1AEE" w:rsidRDefault="00DB1AEE" w:rsidP="00DB1AEE">
            <w:pPr>
              <w:suppressAutoHyphens/>
              <w:jc w:val="center"/>
              <w:rPr>
                <w:szCs w:val="24"/>
                <w:u w:val="single"/>
              </w:rPr>
            </w:pPr>
            <w:r w:rsidRPr="00DB1AEE">
              <w:rPr>
                <w:b/>
                <w:bCs/>
                <w:szCs w:val="24"/>
                <w:u w:val="single"/>
              </w:rPr>
              <w:t>Idle Energy</w:t>
            </w:r>
            <w:r w:rsidRPr="00DB1AEE">
              <w:rPr>
                <w:b/>
                <w:bCs/>
                <w:szCs w:val="24"/>
                <w:u w:val="single"/>
              </w:rPr>
              <w:br/>
              <w:t>Rate</w:t>
            </w:r>
            <w:r w:rsidRPr="00DB1AEE">
              <w:rPr>
                <w:b/>
                <w:bCs/>
                <w:szCs w:val="24"/>
                <w:u w:val="single"/>
                <w:vertAlign w:val="superscript"/>
              </w:rPr>
              <w:t>a</w:t>
            </w:r>
          </w:p>
        </w:tc>
        <w:tc>
          <w:tcPr>
            <w:tcW w:w="2070" w:type="dxa"/>
            <w:tcBorders>
              <w:top w:val="nil"/>
              <w:left w:val="nil"/>
              <w:bottom w:val="single" w:sz="4" w:space="0" w:color="auto"/>
              <w:right w:val="single" w:sz="4" w:space="0" w:color="auto"/>
            </w:tcBorders>
            <w:shd w:val="clear" w:color="000000" w:fill="FFFFFF"/>
            <w:hideMark/>
          </w:tcPr>
          <w:p w14:paraId="66D31179" w14:textId="77777777" w:rsidR="00DB1AEE" w:rsidRPr="00DB1AEE" w:rsidRDefault="00DB1AEE" w:rsidP="00DB1AEE">
            <w:pPr>
              <w:suppressAutoHyphens/>
              <w:jc w:val="center"/>
              <w:rPr>
                <w:szCs w:val="24"/>
                <w:u w:val="single"/>
              </w:rPr>
            </w:pPr>
            <w:r w:rsidRPr="00DB1AEE">
              <w:rPr>
                <w:b/>
                <w:bCs/>
                <w:szCs w:val="24"/>
                <w:u w:val="single"/>
              </w:rPr>
              <w:t>Water</w:t>
            </w:r>
            <w:r w:rsidRPr="00DB1AEE">
              <w:rPr>
                <w:b/>
                <w:bCs/>
                <w:szCs w:val="24"/>
                <w:u w:val="single"/>
              </w:rPr>
              <w:br/>
              <w:t>Consumption</w:t>
            </w:r>
            <w:r w:rsidRPr="00DB1AEE">
              <w:rPr>
                <w:b/>
                <w:bCs/>
                <w:szCs w:val="24"/>
                <w:u w:val="single"/>
                <w:vertAlign w:val="superscript"/>
              </w:rPr>
              <w:t>b</w:t>
            </w:r>
          </w:p>
        </w:tc>
        <w:tc>
          <w:tcPr>
            <w:tcW w:w="990" w:type="dxa"/>
            <w:tcBorders>
              <w:top w:val="nil"/>
              <w:left w:val="nil"/>
              <w:bottom w:val="single" w:sz="4" w:space="0" w:color="auto"/>
              <w:right w:val="single" w:sz="4" w:space="0" w:color="auto"/>
            </w:tcBorders>
            <w:shd w:val="clear" w:color="000000" w:fill="FFFFFF"/>
            <w:vAlign w:val="center"/>
            <w:hideMark/>
          </w:tcPr>
          <w:p w14:paraId="4A523921" w14:textId="77777777" w:rsidR="00DB1AEE" w:rsidRPr="00DB1AEE" w:rsidRDefault="00DB1AEE" w:rsidP="00DB1AEE">
            <w:pPr>
              <w:suppressAutoHyphens/>
              <w:jc w:val="left"/>
              <w:rPr>
                <w:szCs w:val="24"/>
                <w:u w:val="single"/>
              </w:rPr>
            </w:pPr>
            <w:r w:rsidRPr="00DB1AEE">
              <w:rPr>
                <w:szCs w:val="24"/>
                <w:u w:val="single"/>
              </w:rPr>
              <w:t> </w:t>
            </w:r>
          </w:p>
        </w:tc>
      </w:tr>
      <w:tr w:rsidR="00DB1AEE" w:rsidRPr="00DB1AEE" w14:paraId="23768CDA" w14:textId="77777777" w:rsidTr="00FC1832">
        <w:trPr>
          <w:trHeight w:val="271"/>
          <w:jc w:val="center"/>
        </w:trPr>
        <w:tc>
          <w:tcPr>
            <w:tcW w:w="2515" w:type="dxa"/>
            <w:tcBorders>
              <w:top w:val="nil"/>
              <w:left w:val="single" w:sz="4" w:space="0" w:color="auto"/>
              <w:bottom w:val="single" w:sz="4" w:space="0" w:color="auto"/>
              <w:right w:val="single" w:sz="4" w:space="0" w:color="auto"/>
            </w:tcBorders>
            <w:shd w:val="clear" w:color="000000" w:fill="FFFFFF"/>
            <w:hideMark/>
          </w:tcPr>
          <w:p w14:paraId="2C9F5D36" w14:textId="77777777" w:rsidR="00DB1AEE" w:rsidRPr="00DB1AEE" w:rsidRDefault="00DB1AEE" w:rsidP="00DB1AEE">
            <w:pPr>
              <w:suppressAutoHyphens/>
              <w:jc w:val="left"/>
              <w:rPr>
                <w:szCs w:val="24"/>
                <w:u w:val="single"/>
              </w:rPr>
            </w:pPr>
            <w:r w:rsidRPr="00DB1AEE">
              <w:rPr>
                <w:szCs w:val="24"/>
                <w:u w:val="single"/>
              </w:rPr>
              <w:t>Under Counter</w:t>
            </w:r>
          </w:p>
        </w:tc>
        <w:tc>
          <w:tcPr>
            <w:tcW w:w="1350" w:type="dxa"/>
            <w:tcBorders>
              <w:top w:val="nil"/>
              <w:left w:val="nil"/>
              <w:bottom w:val="single" w:sz="4" w:space="0" w:color="auto"/>
              <w:right w:val="single" w:sz="4" w:space="0" w:color="auto"/>
            </w:tcBorders>
            <w:shd w:val="clear" w:color="000000" w:fill="FFFFFF"/>
            <w:hideMark/>
          </w:tcPr>
          <w:p w14:paraId="78C7B3C9" w14:textId="77777777" w:rsidR="00DB1AEE" w:rsidRPr="00DB1AEE" w:rsidRDefault="00DB1AEE" w:rsidP="00DB1AEE">
            <w:pPr>
              <w:suppressAutoHyphens/>
              <w:jc w:val="center"/>
              <w:rPr>
                <w:szCs w:val="24"/>
                <w:u w:val="single"/>
              </w:rPr>
            </w:pPr>
            <w:r w:rsidRPr="00DB1AEE">
              <w:rPr>
                <w:szCs w:val="24"/>
                <w:u w:val="single"/>
              </w:rPr>
              <w:t>≤ 0.50 kW</w:t>
            </w:r>
          </w:p>
        </w:tc>
        <w:tc>
          <w:tcPr>
            <w:tcW w:w="1800" w:type="dxa"/>
            <w:tcBorders>
              <w:top w:val="nil"/>
              <w:left w:val="nil"/>
              <w:bottom w:val="single" w:sz="4" w:space="0" w:color="auto"/>
              <w:right w:val="single" w:sz="4" w:space="0" w:color="auto"/>
            </w:tcBorders>
            <w:shd w:val="clear" w:color="000000" w:fill="FFFFFF"/>
            <w:hideMark/>
          </w:tcPr>
          <w:p w14:paraId="204917B0" w14:textId="77777777" w:rsidR="00DB1AEE" w:rsidRPr="00DB1AEE" w:rsidRDefault="00DB1AEE" w:rsidP="00DB1AEE">
            <w:pPr>
              <w:suppressAutoHyphens/>
              <w:jc w:val="center"/>
              <w:rPr>
                <w:szCs w:val="24"/>
                <w:u w:val="single"/>
              </w:rPr>
            </w:pPr>
            <w:r w:rsidRPr="00DB1AEE">
              <w:rPr>
                <w:szCs w:val="24"/>
                <w:u w:val="single"/>
              </w:rPr>
              <w:t>≤ 0.86 GPR</w:t>
            </w:r>
          </w:p>
        </w:tc>
        <w:tc>
          <w:tcPr>
            <w:tcW w:w="1980" w:type="dxa"/>
            <w:tcBorders>
              <w:top w:val="nil"/>
              <w:left w:val="nil"/>
              <w:bottom w:val="single" w:sz="4" w:space="0" w:color="auto"/>
              <w:right w:val="single" w:sz="4" w:space="0" w:color="auto"/>
            </w:tcBorders>
            <w:shd w:val="clear" w:color="000000" w:fill="FFFFFF"/>
            <w:hideMark/>
          </w:tcPr>
          <w:p w14:paraId="2F1E838B" w14:textId="77777777" w:rsidR="00DB1AEE" w:rsidRPr="00DB1AEE" w:rsidRDefault="00DB1AEE" w:rsidP="00DB1AEE">
            <w:pPr>
              <w:suppressAutoHyphens/>
              <w:jc w:val="center"/>
              <w:rPr>
                <w:szCs w:val="24"/>
                <w:u w:val="single"/>
              </w:rPr>
            </w:pPr>
            <w:r w:rsidRPr="00DB1AEE">
              <w:rPr>
                <w:szCs w:val="24"/>
                <w:u w:val="single"/>
              </w:rPr>
              <w:t>≤ 0.50 kW</w:t>
            </w:r>
          </w:p>
        </w:tc>
        <w:tc>
          <w:tcPr>
            <w:tcW w:w="2070" w:type="dxa"/>
            <w:tcBorders>
              <w:top w:val="nil"/>
              <w:left w:val="nil"/>
              <w:bottom w:val="single" w:sz="4" w:space="0" w:color="auto"/>
              <w:right w:val="single" w:sz="4" w:space="0" w:color="auto"/>
            </w:tcBorders>
            <w:shd w:val="clear" w:color="000000" w:fill="FFFFFF"/>
            <w:hideMark/>
          </w:tcPr>
          <w:p w14:paraId="40A945B6" w14:textId="77777777" w:rsidR="00DB1AEE" w:rsidRPr="00DB1AEE" w:rsidRDefault="00DB1AEE" w:rsidP="00DB1AEE">
            <w:pPr>
              <w:suppressAutoHyphens/>
              <w:jc w:val="center"/>
              <w:rPr>
                <w:szCs w:val="24"/>
                <w:u w:val="single"/>
              </w:rPr>
            </w:pPr>
            <w:r w:rsidRPr="00DB1AEE">
              <w:rPr>
                <w:szCs w:val="24"/>
                <w:u w:val="single"/>
              </w:rPr>
              <w:t>≤ 1.19 GPR</w:t>
            </w:r>
          </w:p>
        </w:tc>
        <w:tc>
          <w:tcPr>
            <w:tcW w:w="990" w:type="dxa"/>
            <w:tcBorders>
              <w:top w:val="nil"/>
              <w:left w:val="nil"/>
              <w:bottom w:val="single" w:sz="4" w:space="0" w:color="auto"/>
              <w:right w:val="single" w:sz="4" w:space="0" w:color="auto"/>
            </w:tcBorders>
            <w:shd w:val="clear" w:color="000000" w:fill="FFFFFF"/>
            <w:hideMark/>
          </w:tcPr>
          <w:p w14:paraId="38E42545" w14:textId="77777777" w:rsidR="00DB1AEE" w:rsidRPr="00DB1AEE" w:rsidRDefault="00DB1AEE" w:rsidP="00DB1AEE">
            <w:pPr>
              <w:suppressAutoHyphens/>
              <w:jc w:val="left"/>
              <w:rPr>
                <w:szCs w:val="24"/>
                <w:u w:val="single"/>
              </w:rPr>
            </w:pPr>
            <w:r w:rsidRPr="00DB1AEE">
              <w:rPr>
                <w:szCs w:val="24"/>
                <w:u w:val="single"/>
              </w:rPr>
              <w:t> </w:t>
            </w:r>
          </w:p>
        </w:tc>
      </w:tr>
      <w:tr w:rsidR="00DB1AEE" w:rsidRPr="00DB1AEE" w14:paraId="16701DEB" w14:textId="77777777" w:rsidTr="00FC1832">
        <w:trPr>
          <w:trHeight w:val="615"/>
          <w:jc w:val="center"/>
        </w:trPr>
        <w:tc>
          <w:tcPr>
            <w:tcW w:w="2515" w:type="dxa"/>
            <w:tcBorders>
              <w:top w:val="nil"/>
              <w:left w:val="single" w:sz="4" w:space="0" w:color="auto"/>
              <w:bottom w:val="single" w:sz="4" w:space="0" w:color="auto"/>
              <w:right w:val="single" w:sz="4" w:space="0" w:color="auto"/>
            </w:tcBorders>
            <w:shd w:val="clear" w:color="000000" w:fill="FFFFFF"/>
            <w:hideMark/>
          </w:tcPr>
          <w:p w14:paraId="1606574C" w14:textId="77777777" w:rsidR="00DB1AEE" w:rsidRPr="00DB1AEE" w:rsidRDefault="00DB1AEE" w:rsidP="00DB1AEE">
            <w:pPr>
              <w:suppressAutoHyphens/>
              <w:jc w:val="left"/>
              <w:rPr>
                <w:szCs w:val="24"/>
                <w:u w:val="single"/>
              </w:rPr>
            </w:pPr>
            <w:r w:rsidRPr="00DB1AEE">
              <w:rPr>
                <w:szCs w:val="24"/>
                <w:u w:val="single"/>
              </w:rPr>
              <w:t>Stationary Single Tank Door</w:t>
            </w:r>
          </w:p>
        </w:tc>
        <w:tc>
          <w:tcPr>
            <w:tcW w:w="1350" w:type="dxa"/>
            <w:tcBorders>
              <w:top w:val="nil"/>
              <w:left w:val="nil"/>
              <w:bottom w:val="single" w:sz="4" w:space="0" w:color="auto"/>
              <w:right w:val="single" w:sz="4" w:space="0" w:color="auto"/>
            </w:tcBorders>
            <w:shd w:val="clear" w:color="000000" w:fill="FFFFFF"/>
            <w:vAlign w:val="center"/>
            <w:hideMark/>
          </w:tcPr>
          <w:p w14:paraId="0C4FB8C2" w14:textId="77777777" w:rsidR="00DB1AEE" w:rsidRPr="00DB1AEE" w:rsidRDefault="00DB1AEE" w:rsidP="00DB1AEE">
            <w:pPr>
              <w:suppressAutoHyphens/>
              <w:jc w:val="center"/>
              <w:rPr>
                <w:szCs w:val="24"/>
                <w:u w:val="single"/>
              </w:rPr>
            </w:pPr>
            <w:r w:rsidRPr="00DB1AEE">
              <w:rPr>
                <w:szCs w:val="24"/>
                <w:u w:val="single"/>
              </w:rPr>
              <w:t>≤ 0.70 kW</w:t>
            </w:r>
          </w:p>
        </w:tc>
        <w:tc>
          <w:tcPr>
            <w:tcW w:w="1800" w:type="dxa"/>
            <w:tcBorders>
              <w:top w:val="nil"/>
              <w:left w:val="nil"/>
              <w:bottom w:val="single" w:sz="4" w:space="0" w:color="auto"/>
              <w:right w:val="single" w:sz="4" w:space="0" w:color="auto"/>
            </w:tcBorders>
            <w:shd w:val="clear" w:color="000000" w:fill="FFFFFF"/>
            <w:vAlign w:val="center"/>
            <w:hideMark/>
          </w:tcPr>
          <w:p w14:paraId="696F9C27" w14:textId="77777777" w:rsidR="00DB1AEE" w:rsidRPr="00DB1AEE" w:rsidRDefault="00DB1AEE" w:rsidP="00DB1AEE">
            <w:pPr>
              <w:suppressAutoHyphens/>
              <w:jc w:val="center"/>
              <w:rPr>
                <w:szCs w:val="24"/>
                <w:u w:val="single"/>
              </w:rPr>
            </w:pPr>
            <w:r w:rsidRPr="00DB1AEE">
              <w:rPr>
                <w:szCs w:val="24"/>
                <w:u w:val="single"/>
              </w:rPr>
              <w:t>≤ 0.89 GPR</w:t>
            </w:r>
          </w:p>
        </w:tc>
        <w:tc>
          <w:tcPr>
            <w:tcW w:w="1980" w:type="dxa"/>
            <w:tcBorders>
              <w:top w:val="nil"/>
              <w:left w:val="nil"/>
              <w:bottom w:val="single" w:sz="4" w:space="0" w:color="auto"/>
              <w:right w:val="single" w:sz="4" w:space="0" w:color="auto"/>
            </w:tcBorders>
            <w:shd w:val="clear" w:color="000000" w:fill="FFFFFF"/>
            <w:vAlign w:val="center"/>
            <w:hideMark/>
          </w:tcPr>
          <w:p w14:paraId="79C66E6A" w14:textId="77777777" w:rsidR="00DB1AEE" w:rsidRPr="00DB1AEE" w:rsidRDefault="00DB1AEE" w:rsidP="00DB1AEE">
            <w:pPr>
              <w:suppressAutoHyphens/>
              <w:jc w:val="center"/>
              <w:rPr>
                <w:szCs w:val="24"/>
                <w:u w:val="single"/>
              </w:rPr>
            </w:pPr>
            <w:r w:rsidRPr="00DB1AEE">
              <w:rPr>
                <w:szCs w:val="24"/>
                <w:u w:val="single"/>
              </w:rPr>
              <w:t>≤ 0.60 kW</w:t>
            </w:r>
          </w:p>
        </w:tc>
        <w:tc>
          <w:tcPr>
            <w:tcW w:w="2070" w:type="dxa"/>
            <w:tcBorders>
              <w:top w:val="nil"/>
              <w:left w:val="nil"/>
              <w:bottom w:val="single" w:sz="4" w:space="0" w:color="auto"/>
              <w:right w:val="single" w:sz="4" w:space="0" w:color="auto"/>
            </w:tcBorders>
            <w:shd w:val="clear" w:color="000000" w:fill="FFFFFF"/>
            <w:vAlign w:val="center"/>
            <w:hideMark/>
          </w:tcPr>
          <w:p w14:paraId="4C86C813" w14:textId="77777777" w:rsidR="00DB1AEE" w:rsidRPr="00DB1AEE" w:rsidRDefault="00DB1AEE" w:rsidP="00DB1AEE">
            <w:pPr>
              <w:suppressAutoHyphens/>
              <w:jc w:val="center"/>
              <w:rPr>
                <w:szCs w:val="24"/>
                <w:u w:val="single"/>
              </w:rPr>
            </w:pPr>
            <w:r w:rsidRPr="00DB1AEE">
              <w:rPr>
                <w:szCs w:val="24"/>
                <w:u w:val="single"/>
              </w:rPr>
              <w:t>≤ 1.18 GPR</w:t>
            </w:r>
          </w:p>
        </w:tc>
        <w:tc>
          <w:tcPr>
            <w:tcW w:w="990" w:type="dxa"/>
            <w:vMerge w:val="restart"/>
            <w:tcBorders>
              <w:top w:val="nil"/>
              <w:left w:val="single" w:sz="4" w:space="0" w:color="auto"/>
              <w:bottom w:val="single" w:sz="4" w:space="0" w:color="auto"/>
              <w:right w:val="single" w:sz="4" w:space="0" w:color="auto"/>
            </w:tcBorders>
            <w:shd w:val="clear" w:color="000000" w:fill="FFFFFF"/>
            <w:hideMark/>
          </w:tcPr>
          <w:p w14:paraId="69B66C92" w14:textId="77777777" w:rsidR="00DB1AEE" w:rsidRPr="00DB1AEE" w:rsidRDefault="00DB1AEE" w:rsidP="00DB1AEE">
            <w:pPr>
              <w:suppressAutoHyphens/>
              <w:jc w:val="left"/>
              <w:rPr>
                <w:szCs w:val="24"/>
                <w:u w:val="single"/>
              </w:rPr>
            </w:pPr>
            <w:r w:rsidRPr="00DB1AEE">
              <w:rPr>
                <w:szCs w:val="24"/>
                <w:u w:val="single"/>
              </w:rPr>
              <w:t>ASTM F1696-18</w:t>
            </w:r>
          </w:p>
        </w:tc>
      </w:tr>
      <w:tr w:rsidR="00DB1AEE" w:rsidRPr="00DB1AEE" w14:paraId="7AB5C9CC" w14:textId="77777777" w:rsidTr="00FC1832">
        <w:trPr>
          <w:trHeight w:val="451"/>
          <w:jc w:val="center"/>
        </w:trPr>
        <w:tc>
          <w:tcPr>
            <w:tcW w:w="2515" w:type="dxa"/>
            <w:tcBorders>
              <w:top w:val="nil"/>
              <w:left w:val="single" w:sz="4" w:space="0" w:color="auto"/>
              <w:bottom w:val="single" w:sz="4" w:space="0" w:color="auto"/>
              <w:right w:val="single" w:sz="4" w:space="0" w:color="auto"/>
            </w:tcBorders>
            <w:shd w:val="clear" w:color="000000" w:fill="FFFFFF"/>
            <w:hideMark/>
          </w:tcPr>
          <w:p w14:paraId="66388408" w14:textId="77777777" w:rsidR="00DB1AEE" w:rsidRPr="00DB1AEE" w:rsidRDefault="00DB1AEE" w:rsidP="00DB1AEE">
            <w:pPr>
              <w:suppressAutoHyphens/>
              <w:jc w:val="left"/>
              <w:rPr>
                <w:szCs w:val="24"/>
                <w:u w:val="single"/>
              </w:rPr>
            </w:pPr>
            <w:r w:rsidRPr="00DB1AEE">
              <w:rPr>
                <w:szCs w:val="24"/>
                <w:u w:val="single"/>
              </w:rPr>
              <w:t>Pot, Pan , and Utensil</w:t>
            </w:r>
          </w:p>
        </w:tc>
        <w:tc>
          <w:tcPr>
            <w:tcW w:w="1350" w:type="dxa"/>
            <w:tcBorders>
              <w:top w:val="nil"/>
              <w:left w:val="nil"/>
              <w:bottom w:val="single" w:sz="4" w:space="0" w:color="auto"/>
              <w:right w:val="single" w:sz="4" w:space="0" w:color="auto"/>
            </w:tcBorders>
            <w:shd w:val="clear" w:color="000000" w:fill="FFFFFF"/>
            <w:hideMark/>
          </w:tcPr>
          <w:p w14:paraId="212E0192" w14:textId="77777777" w:rsidR="00DB1AEE" w:rsidRPr="00DB1AEE" w:rsidRDefault="00DB1AEE" w:rsidP="00DB1AEE">
            <w:pPr>
              <w:suppressAutoHyphens/>
              <w:jc w:val="center"/>
              <w:rPr>
                <w:szCs w:val="24"/>
                <w:u w:val="single"/>
              </w:rPr>
            </w:pPr>
            <w:r w:rsidRPr="00DB1AEE">
              <w:rPr>
                <w:szCs w:val="24"/>
                <w:u w:val="single"/>
              </w:rPr>
              <w:t>≤ 1.20 kW</w:t>
            </w:r>
          </w:p>
        </w:tc>
        <w:tc>
          <w:tcPr>
            <w:tcW w:w="1800" w:type="dxa"/>
            <w:tcBorders>
              <w:top w:val="nil"/>
              <w:left w:val="nil"/>
              <w:bottom w:val="single" w:sz="4" w:space="0" w:color="auto"/>
              <w:right w:val="single" w:sz="4" w:space="0" w:color="auto"/>
            </w:tcBorders>
            <w:shd w:val="clear" w:color="000000" w:fill="FFFFFF"/>
            <w:hideMark/>
          </w:tcPr>
          <w:p w14:paraId="7CFF0FA2" w14:textId="77777777" w:rsidR="00DB1AEE" w:rsidRPr="00DB1AEE" w:rsidRDefault="00DB1AEE" w:rsidP="00DB1AEE">
            <w:pPr>
              <w:suppressAutoHyphens/>
              <w:jc w:val="center"/>
              <w:rPr>
                <w:szCs w:val="24"/>
                <w:u w:val="single"/>
              </w:rPr>
            </w:pPr>
            <w:r w:rsidRPr="00DB1AEE">
              <w:rPr>
                <w:szCs w:val="24"/>
                <w:u w:val="single"/>
              </w:rPr>
              <w:t>≤ 0.58 GPSF</w:t>
            </w:r>
          </w:p>
        </w:tc>
        <w:tc>
          <w:tcPr>
            <w:tcW w:w="1980" w:type="dxa"/>
            <w:tcBorders>
              <w:top w:val="nil"/>
              <w:left w:val="nil"/>
              <w:bottom w:val="single" w:sz="4" w:space="0" w:color="auto"/>
              <w:right w:val="single" w:sz="4" w:space="0" w:color="auto"/>
            </w:tcBorders>
            <w:shd w:val="clear" w:color="000000" w:fill="FFFFFF"/>
            <w:hideMark/>
          </w:tcPr>
          <w:p w14:paraId="6007B2A2" w14:textId="77777777" w:rsidR="00DB1AEE" w:rsidRPr="00DB1AEE" w:rsidRDefault="00DB1AEE" w:rsidP="00DB1AEE">
            <w:pPr>
              <w:suppressAutoHyphens/>
              <w:jc w:val="center"/>
              <w:rPr>
                <w:szCs w:val="24"/>
                <w:u w:val="single"/>
              </w:rPr>
            </w:pPr>
            <w:r w:rsidRPr="00DB1AEE">
              <w:rPr>
                <w:szCs w:val="24"/>
                <w:u w:val="single"/>
              </w:rPr>
              <w:t>≤ 1.00 kW</w:t>
            </w:r>
          </w:p>
        </w:tc>
        <w:tc>
          <w:tcPr>
            <w:tcW w:w="2070" w:type="dxa"/>
            <w:tcBorders>
              <w:top w:val="nil"/>
              <w:left w:val="nil"/>
              <w:bottom w:val="single" w:sz="4" w:space="0" w:color="auto"/>
              <w:right w:val="single" w:sz="4" w:space="0" w:color="auto"/>
            </w:tcBorders>
            <w:shd w:val="clear" w:color="000000" w:fill="FFFFFF"/>
            <w:hideMark/>
          </w:tcPr>
          <w:p w14:paraId="225CE990" w14:textId="77777777" w:rsidR="00DB1AEE" w:rsidRPr="00DB1AEE" w:rsidRDefault="00DB1AEE" w:rsidP="00DB1AEE">
            <w:pPr>
              <w:suppressAutoHyphens/>
              <w:jc w:val="center"/>
              <w:rPr>
                <w:szCs w:val="24"/>
                <w:u w:val="single"/>
              </w:rPr>
            </w:pPr>
            <w:r w:rsidRPr="00DB1AEE">
              <w:rPr>
                <w:szCs w:val="24"/>
                <w:u w:val="single"/>
              </w:rPr>
              <w:t>≤ 0.58 GPSF</w:t>
            </w:r>
          </w:p>
        </w:tc>
        <w:tc>
          <w:tcPr>
            <w:tcW w:w="990" w:type="dxa"/>
            <w:vMerge/>
            <w:tcBorders>
              <w:top w:val="nil"/>
              <w:left w:val="single" w:sz="4" w:space="0" w:color="auto"/>
              <w:bottom w:val="single" w:sz="4" w:space="0" w:color="auto"/>
              <w:right w:val="single" w:sz="4" w:space="0" w:color="auto"/>
            </w:tcBorders>
            <w:vAlign w:val="center"/>
            <w:hideMark/>
          </w:tcPr>
          <w:p w14:paraId="617904B0" w14:textId="77777777" w:rsidR="00DB1AEE" w:rsidRPr="00DB1AEE" w:rsidRDefault="00DB1AEE" w:rsidP="00DB1AEE">
            <w:pPr>
              <w:suppressAutoHyphens/>
              <w:jc w:val="left"/>
              <w:rPr>
                <w:szCs w:val="24"/>
                <w:u w:val="single"/>
              </w:rPr>
            </w:pPr>
          </w:p>
        </w:tc>
      </w:tr>
      <w:tr w:rsidR="00DB1AEE" w:rsidRPr="00DB1AEE" w14:paraId="6D771960" w14:textId="77777777" w:rsidTr="00FC1832">
        <w:trPr>
          <w:trHeight w:val="451"/>
          <w:jc w:val="center"/>
        </w:trPr>
        <w:tc>
          <w:tcPr>
            <w:tcW w:w="2515" w:type="dxa"/>
            <w:tcBorders>
              <w:top w:val="nil"/>
              <w:left w:val="single" w:sz="4" w:space="0" w:color="auto"/>
              <w:bottom w:val="single" w:sz="4" w:space="0" w:color="auto"/>
              <w:right w:val="single" w:sz="4" w:space="0" w:color="auto"/>
            </w:tcBorders>
            <w:shd w:val="clear" w:color="000000" w:fill="FFFFFF"/>
            <w:hideMark/>
          </w:tcPr>
          <w:p w14:paraId="2B0B8C99" w14:textId="77777777" w:rsidR="00DB1AEE" w:rsidRPr="00DB1AEE" w:rsidRDefault="00DB1AEE" w:rsidP="00DB1AEE">
            <w:pPr>
              <w:suppressAutoHyphens/>
              <w:jc w:val="left"/>
              <w:rPr>
                <w:szCs w:val="24"/>
                <w:u w:val="single"/>
              </w:rPr>
            </w:pPr>
            <w:r w:rsidRPr="00DB1AEE">
              <w:rPr>
                <w:szCs w:val="24"/>
                <w:u w:val="single"/>
              </w:rPr>
              <w:t>Single Tank Conveyor</w:t>
            </w:r>
          </w:p>
        </w:tc>
        <w:tc>
          <w:tcPr>
            <w:tcW w:w="1350" w:type="dxa"/>
            <w:tcBorders>
              <w:top w:val="nil"/>
              <w:left w:val="nil"/>
              <w:bottom w:val="single" w:sz="4" w:space="0" w:color="auto"/>
              <w:right w:val="single" w:sz="4" w:space="0" w:color="auto"/>
            </w:tcBorders>
            <w:shd w:val="clear" w:color="000000" w:fill="FFFFFF"/>
            <w:hideMark/>
          </w:tcPr>
          <w:p w14:paraId="751D9C3A" w14:textId="77777777" w:rsidR="00DB1AEE" w:rsidRPr="00DB1AEE" w:rsidRDefault="00DB1AEE" w:rsidP="00DB1AEE">
            <w:pPr>
              <w:suppressAutoHyphens/>
              <w:jc w:val="center"/>
              <w:rPr>
                <w:szCs w:val="24"/>
                <w:u w:val="single"/>
              </w:rPr>
            </w:pPr>
            <w:r w:rsidRPr="00DB1AEE">
              <w:rPr>
                <w:szCs w:val="24"/>
                <w:u w:val="single"/>
              </w:rPr>
              <w:t>≤ 1.50 kW</w:t>
            </w:r>
          </w:p>
        </w:tc>
        <w:tc>
          <w:tcPr>
            <w:tcW w:w="1800" w:type="dxa"/>
            <w:tcBorders>
              <w:top w:val="nil"/>
              <w:left w:val="nil"/>
              <w:bottom w:val="single" w:sz="4" w:space="0" w:color="auto"/>
              <w:right w:val="single" w:sz="4" w:space="0" w:color="auto"/>
            </w:tcBorders>
            <w:shd w:val="clear" w:color="000000" w:fill="FFFFFF"/>
            <w:hideMark/>
          </w:tcPr>
          <w:p w14:paraId="0BFF4453" w14:textId="77777777" w:rsidR="00DB1AEE" w:rsidRPr="00DB1AEE" w:rsidRDefault="00DB1AEE" w:rsidP="00DB1AEE">
            <w:pPr>
              <w:suppressAutoHyphens/>
              <w:jc w:val="center"/>
              <w:rPr>
                <w:szCs w:val="24"/>
                <w:u w:val="single"/>
              </w:rPr>
            </w:pPr>
            <w:r w:rsidRPr="00DB1AEE">
              <w:rPr>
                <w:szCs w:val="24"/>
                <w:u w:val="single"/>
              </w:rPr>
              <w:t>≤ 0.70 GPR</w:t>
            </w:r>
          </w:p>
        </w:tc>
        <w:tc>
          <w:tcPr>
            <w:tcW w:w="1980" w:type="dxa"/>
            <w:tcBorders>
              <w:top w:val="nil"/>
              <w:left w:val="nil"/>
              <w:bottom w:val="single" w:sz="4" w:space="0" w:color="auto"/>
              <w:right w:val="single" w:sz="4" w:space="0" w:color="auto"/>
            </w:tcBorders>
            <w:shd w:val="clear" w:color="000000" w:fill="FFFFFF"/>
            <w:hideMark/>
          </w:tcPr>
          <w:p w14:paraId="5AECE351" w14:textId="77777777" w:rsidR="00DB1AEE" w:rsidRPr="00DB1AEE" w:rsidRDefault="00DB1AEE" w:rsidP="00DB1AEE">
            <w:pPr>
              <w:suppressAutoHyphens/>
              <w:jc w:val="center"/>
              <w:rPr>
                <w:szCs w:val="24"/>
                <w:u w:val="single"/>
              </w:rPr>
            </w:pPr>
            <w:r w:rsidRPr="00DB1AEE">
              <w:rPr>
                <w:szCs w:val="24"/>
                <w:u w:val="single"/>
              </w:rPr>
              <w:t>≤ 1.50 kW</w:t>
            </w:r>
          </w:p>
        </w:tc>
        <w:tc>
          <w:tcPr>
            <w:tcW w:w="2070" w:type="dxa"/>
            <w:tcBorders>
              <w:top w:val="nil"/>
              <w:left w:val="nil"/>
              <w:bottom w:val="single" w:sz="4" w:space="0" w:color="auto"/>
              <w:right w:val="single" w:sz="4" w:space="0" w:color="auto"/>
            </w:tcBorders>
            <w:shd w:val="clear" w:color="000000" w:fill="FFFFFF"/>
            <w:hideMark/>
          </w:tcPr>
          <w:p w14:paraId="4CD978FC" w14:textId="77777777" w:rsidR="00DB1AEE" w:rsidRPr="00DB1AEE" w:rsidRDefault="00DB1AEE" w:rsidP="00DB1AEE">
            <w:pPr>
              <w:suppressAutoHyphens/>
              <w:jc w:val="center"/>
              <w:rPr>
                <w:szCs w:val="24"/>
                <w:u w:val="single"/>
              </w:rPr>
            </w:pPr>
            <w:r w:rsidRPr="00DB1AEE">
              <w:rPr>
                <w:szCs w:val="24"/>
                <w:u w:val="single"/>
              </w:rPr>
              <w:t>≤ 0.79 GPR</w:t>
            </w:r>
          </w:p>
        </w:tc>
        <w:tc>
          <w:tcPr>
            <w:tcW w:w="99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E033E3A" w14:textId="77777777" w:rsidR="00DB1AEE" w:rsidRPr="00DB1AEE" w:rsidRDefault="00DB1AEE" w:rsidP="00DB1AEE">
            <w:pPr>
              <w:suppressAutoHyphens/>
              <w:jc w:val="center"/>
              <w:rPr>
                <w:szCs w:val="24"/>
                <w:u w:val="single"/>
              </w:rPr>
            </w:pPr>
            <w:r w:rsidRPr="00DB1AEE">
              <w:rPr>
                <w:szCs w:val="24"/>
                <w:u w:val="single"/>
              </w:rPr>
              <w:t>ASTM F1920-15</w:t>
            </w:r>
          </w:p>
        </w:tc>
      </w:tr>
      <w:tr w:rsidR="00DB1AEE" w:rsidRPr="00DB1AEE" w14:paraId="42BE0EBD" w14:textId="77777777" w:rsidTr="00FC1832">
        <w:trPr>
          <w:trHeight w:val="451"/>
          <w:jc w:val="center"/>
        </w:trPr>
        <w:tc>
          <w:tcPr>
            <w:tcW w:w="2515" w:type="dxa"/>
            <w:tcBorders>
              <w:top w:val="nil"/>
              <w:left w:val="single" w:sz="4" w:space="0" w:color="auto"/>
              <w:bottom w:val="single" w:sz="4" w:space="0" w:color="auto"/>
              <w:right w:val="single" w:sz="4" w:space="0" w:color="auto"/>
            </w:tcBorders>
            <w:shd w:val="clear" w:color="000000" w:fill="FFFFFF"/>
            <w:hideMark/>
          </w:tcPr>
          <w:p w14:paraId="0D155DB5" w14:textId="77777777" w:rsidR="00DB1AEE" w:rsidRPr="00DB1AEE" w:rsidRDefault="00DB1AEE" w:rsidP="00DB1AEE">
            <w:pPr>
              <w:suppressAutoHyphens/>
              <w:jc w:val="left"/>
              <w:rPr>
                <w:szCs w:val="24"/>
                <w:u w:val="single"/>
              </w:rPr>
            </w:pPr>
            <w:r w:rsidRPr="00DB1AEE">
              <w:rPr>
                <w:szCs w:val="24"/>
                <w:u w:val="single"/>
              </w:rPr>
              <w:t>Multiple Tank Conveyor</w:t>
            </w:r>
          </w:p>
        </w:tc>
        <w:tc>
          <w:tcPr>
            <w:tcW w:w="1350" w:type="dxa"/>
            <w:tcBorders>
              <w:top w:val="nil"/>
              <w:left w:val="nil"/>
              <w:bottom w:val="single" w:sz="4" w:space="0" w:color="auto"/>
              <w:right w:val="single" w:sz="4" w:space="0" w:color="auto"/>
            </w:tcBorders>
            <w:shd w:val="clear" w:color="000000" w:fill="FFFFFF"/>
            <w:hideMark/>
          </w:tcPr>
          <w:p w14:paraId="07B8968A" w14:textId="77777777" w:rsidR="00DB1AEE" w:rsidRPr="00DB1AEE" w:rsidRDefault="00DB1AEE" w:rsidP="00DB1AEE">
            <w:pPr>
              <w:suppressAutoHyphens/>
              <w:jc w:val="center"/>
              <w:rPr>
                <w:szCs w:val="24"/>
                <w:u w:val="single"/>
              </w:rPr>
            </w:pPr>
            <w:r w:rsidRPr="00DB1AEE">
              <w:rPr>
                <w:szCs w:val="24"/>
                <w:u w:val="single"/>
              </w:rPr>
              <w:t>≤ 2.25 kW</w:t>
            </w:r>
          </w:p>
        </w:tc>
        <w:tc>
          <w:tcPr>
            <w:tcW w:w="1800" w:type="dxa"/>
            <w:tcBorders>
              <w:top w:val="nil"/>
              <w:left w:val="nil"/>
              <w:bottom w:val="single" w:sz="4" w:space="0" w:color="auto"/>
              <w:right w:val="single" w:sz="4" w:space="0" w:color="auto"/>
            </w:tcBorders>
            <w:shd w:val="clear" w:color="000000" w:fill="FFFFFF"/>
            <w:hideMark/>
          </w:tcPr>
          <w:p w14:paraId="4F73DEEF" w14:textId="77777777" w:rsidR="00DB1AEE" w:rsidRPr="00DB1AEE" w:rsidRDefault="00DB1AEE" w:rsidP="00DB1AEE">
            <w:pPr>
              <w:suppressAutoHyphens/>
              <w:jc w:val="center"/>
              <w:rPr>
                <w:szCs w:val="24"/>
                <w:u w:val="single"/>
              </w:rPr>
            </w:pPr>
            <w:r w:rsidRPr="00DB1AEE">
              <w:rPr>
                <w:szCs w:val="24"/>
                <w:u w:val="single"/>
              </w:rPr>
              <w:t>≤ 0.54 GPR</w:t>
            </w:r>
          </w:p>
        </w:tc>
        <w:tc>
          <w:tcPr>
            <w:tcW w:w="1980" w:type="dxa"/>
            <w:tcBorders>
              <w:top w:val="nil"/>
              <w:left w:val="nil"/>
              <w:bottom w:val="single" w:sz="4" w:space="0" w:color="auto"/>
              <w:right w:val="single" w:sz="4" w:space="0" w:color="auto"/>
            </w:tcBorders>
            <w:shd w:val="clear" w:color="000000" w:fill="FFFFFF"/>
            <w:hideMark/>
          </w:tcPr>
          <w:p w14:paraId="2B3C5682" w14:textId="77777777" w:rsidR="00DB1AEE" w:rsidRPr="00DB1AEE" w:rsidRDefault="00DB1AEE" w:rsidP="00DB1AEE">
            <w:pPr>
              <w:suppressAutoHyphens/>
              <w:jc w:val="center"/>
              <w:rPr>
                <w:szCs w:val="24"/>
                <w:u w:val="single"/>
              </w:rPr>
            </w:pPr>
            <w:r w:rsidRPr="00DB1AEE">
              <w:rPr>
                <w:szCs w:val="24"/>
                <w:u w:val="single"/>
              </w:rPr>
              <w:t>≤ 2.00 kW</w:t>
            </w:r>
          </w:p>
        </w:tc>
        <w:tc>
          <w:tcPr>
            <w:tcW w:w="2070" w:type="dxa"/>
            <w:tcBorders>
              <w:top w:val="nil"/>
              <w:left w:val="nil"/>
              <w:bottom w:val="single" w:sz="4" w:space="0" w:color="auto"/>
              <w:right w:val="single" w:sz="4" w:space="0" w:color="auto"/>
            </w:tcBorders>
            <w:shd w:val="clear" w:color="000000" w:fill="FFFFFF"/>
            <w:hideMark/>
          </w:tcPr>
          <w:p w14:paraId="44CF9158" w14:textId="77777777" w:rsidR="00DB1AEE" w:rsidRPr="00DB1AEE" w:rsidRDefault="00DB1AEE" w:rsidP="00DB1AEE">
            <w:pPr>
              <w:suppressAutoHyphens/>
              <w:jc w:val="center"/>
              <w:rPr>
                <w:szCs w:val="24"/>
                <w:u w:val="single"/>
              </w:rPr>
            </w:pPr>
            <w:r w:rsidRPr="00DB1AEE">
              <w:rPr>
                <w:szCs w:val="24"/>
                <w:u w:val="single"/>
              </w:rPr>
              <w:t>≤ 0.54 GPR</w:t>
            </w:r>
          </w:p>
        </w:tc>
        <w:tc>
          <w:tcPr>
            <w:tcW w:w="990" w:type="dxa"/>
            <w:vMerge/>
            <w:tcBorders>
              <w:top w:val="nil"/>
              <w:left w:val="single" w:sz="4" w:space="0" w:color="auto"/>
              <w:bottom w:val="single" w:sz="4" w:space="0" w:color="000000"/>
              <w:right w:val="single" w:sz="4" w:space="0" w:color="auto"/>
            </w:tcBorders>
            <w:vAlign w:val="center"/>
            <w:hideMark/>
          </w:tcPr>
          <w:p w14:paraId="6A07A7D2" w14:textId="77777777" w:rsidR="00DB1AEE" w:rsidRPr="00DB1AEE" w:rsidRDefault="00DB1AEE" w:rsidP="00DB1AEE">
            <w:pPr>
              <w:suppressAutoHyphens/>
              <w:jc w:val="left"/>
              <w:rPr>
                <w:szCs w:val="24"/>
                <w:u w:val="single"/>
              </w:rPr>
            </w:pPr>
          </w:p>
        </w:tc>
      </w:tr>
      <w:tr w:rsidR="00DB1AEE" w:rsidRPr="00DB1AEE" w14:paraId="3589BCEA" w14:textId="77777777" w:rsidTr="00FC1832">
        <w:trPr>
          <w:trHeight w:val="652"/>
          <w:jc w:val="center"/>
        </w:trPr>
        <w:tc>
          <w:tcPr>
            <w:tcW w:w="2515" w:type="dxa"/>
            <w:tcBorders>
              <w:top w:val="nil"/>
              <w:left w:val="single" w:sz="4" w:space="0" w:color="auto"/>
              <w:bottom w:val="single" w:sz="4" w:space="0" w:color="auto"/>
              <w:right w:val="single" w:sz="4" w:space="0" w:color="auto"/>
            </w:tcBorders>
            <w:shd w:val="clear" w:color="000000" w:fill="FFFFFF"/>
            <w:hideMark/>
          </w:tcPr>
          <w:p w14:paraId="10482E46" w14:textId="77777777" w:rsidR="00DB1AEE" w:rsidRPr="00DB1AEE" w:rsidRDefault="00DB1AEE" w:rsidP="00DB1AEE">
            <w:pPr>
              <w:suppressAutoHyphens/>
              <w:jc w:val="left"/>
              <w:rPr>
                <w:szCs w:val="24"/>
                <w:u w:val="single"/>
              </w:rPr>
            </w:pPr>
            <w:r w:rsidRPr="00DB1AEE">
              <w:rPr>
                <w:szCs w:val="24"/>
                <w:u w:val="single"/>
              </w:rPr>
              <w:t>Single Tank Flight Type</w:t>
            </w:r>
          </w:p>
        </w:tc>
        <w:tc>
          <w:tcPr>
            <w:tcW w:w="1350" w:type="dxa"/>
            <w:tcBorders>
              <w:top w:val="nil"/>
              <w:left w:val="nil"/>
              <w:bottom w:val="single" w:sz="4" w:space="0" w:color="auto"/>
              <w:right w:val="single" w:sz="4" w:space="0" w:color="auto"/>
            </w:tcBorders>
            <w:shd w:val="clear" w:color="000000" w:fill="FFFFFF"/>
            <w:hideMark/>
          </w:tcPr>
          <w:p w14:paraId="3C23DD17" w14:textId="77777777" w:rsidR="00DB1AEE" w:rsidRPr="00DB1AEE" w:rsidRDefault="00DB1AEE" w:rsidP="00DB1AEE">
            <w:pPr>
              <w:suppressAutoHyphens/>
              <w:jc w:val="center"/>
              <w:rPr>
                <w:szCs w:val="24"/>
                <w:u w:val="single"/>
              </w:rPr>
            </w:pPr>
            <w:r w:rsidRPr="00DB1AEE">
              <w:rPr>
                <w:szCs w:val="24"/>
                <w:u w:val="single"/>
              </w:rPr>
              <w:t>Reported</w:t>
            </w:r>
          </w:p>
        </w:tc>
        <w:tc>
          <w:tcPr>
            <w:tcW w:w="1800" w:type="dxa"/>
            <w:tcBorders>
              <w:top w:val="nil"/>
              <w:left w:val="nil"/>
              <w:bottom w:val="single" w:sz="4" w:space="0" w:color="auto"/>
              <w:right w:val="single" w:sz="4" w:space="0" w:color="auto"/>
            </w:tcBorders>
            <w:shd w:val="clear" w:color="000000" w:fill="FFFFFF"/>
            <w:hideMark/>
          </w:tcPr>
          <w:p w14:paraId="46E594E5" w14:textId="77777777" w:rsidR="00DB1AEE" w:rsidRPr="00DB1AEE" w:rsidRDefault="00DB1AEE" w:rsidP="00DB1AEE">
            <w:pPr>
              <w:suppressAutoHyphens/>
              <w:jc w:val="center"/>
              <w:rPr>
                <w:szCs w:val="24"/>
                <w:u w:val="single"/>
              </w:rPr>
            </w:pPr>
            <w:r w:rsidRPr="00DB1AEE">
              <w:rPr>
                <w:szCs w:val="24"/>
                <w:u w:val="single"/>
              </w:rPr>
              <w:t>GPH ≤ 2.975x</w:t>
            </w:r>
            <w:r w:rsidRPr="00DB1AEE">
              <w:rPr>
                <w:szCs w:val="24"/>
                <w:u w:val="single"/>
              </w:rPr>
              <w:br/>
              <w:t>+ 55.00</w:t>
            </w:r>
          </w:p>
        </w:tc>
        <w:tc>
          <w:tcPr>
            <w:tcW w:w="1980" w:type="dxa"/>
            <w:tcBorders>
              <w:top w:val="nil"/>
              <w:left w:val="nil"/>
              <w:bottom w:val="single" w:sz="4" w:space="0" w:color="auto"/>
              <w:right w:val="single" w:sz="4" w:space="0" w:color="auto"/>
            </w:tcBorders>
            <w:shd w:val="clear" w:color="000000" w:fill="FFFFFF"/>
            <w:hideMark/>
          </w:tcPr>
          <w:p w14:paraId="708DF15A" w14:textId="77777777" w:rsidR="00DB1AEE" w:rsidRPr="00DB1AEE" w:rsidRDefault="00DB1AEE" w:rsidP="00DB1AEE">
            <w:pPr>
              <w:suppressAutoHyphens/>
              <w:jc w:val="center"/>
              <w:rPr>
                <w:szCs w:val="24"/>
                <w:u w:val="single"/>
              </w:rPr>
            </w:pPr>
            <w:r w:rsidRPr="00DB1AEE">
              <w:rPr>
                <w:szCs w:val="24"/>
                <w:u w:val="single"/>
              </w:rPr>
              <w:t>Reported</w:t>
            </w:r>
          </w:p>
        </w:tc>
        <w:tc>
          <w:tcPr>
            <w:tcW w:w="2070" w:type="dxa"/>
            <w:tcBorders>
              <w:top w:val="nil"/>
              <w:left w:val="nil"/>
              <w:bottom w:val="single" w:sz="4" w:space="0" w:color="auto"/>
              <w:right w:val="single" w:sz="4" w:space="0" w:color="auto"/>
            </w:tcBorders>
            <w:shd w:val="clear" w:color="000000" w:fill="FFFFFF"/>
            <w:hideMark/>
          </w:tcPr>
          <w:p w14:paraId="1070F392" w14:textId="77777777" w:rsidR="00DB1AEE" w:rsidRPr="00DB1AEE" w:rsidRDefault="00DB1AEE" w:rsidP="00DB1AEE">
            <w:pPr>
              <w:suppressAutoHyphens/>
              <w:jc w:val="center"/>
              <w:rPr>
                <w:szCs w:val="24"/>
                <w:u w:val="single"/>
              </w:rPr>
            </w:pPr>
            <w:r w:rsidRPr="00DB1AEE">
              <w:rPr>
                <w:szCs w:val="24"/>
                <w:u w:val="single"/>
              </w:rPr>
              <w:t>GPH ≤ 2.975x</w:t>
            </w:r>
            <w:r w:rsidRPr="00DB1AEE">
              <w:rPr>
                <w:szCs w:val="24"/>
                <w:u w:val="single"/>
              </w:rPr>
              <w:br/>
              <w:t>+ 55.00</w:t>
            </w:r>
          </w:p>
        </w:tc>
        <w:tc>
          <w:tcPr>
            <w:tcW w:w="990" w:type="dxa"/>
            <w:vMerge/>
            <w:tcBorders>
              <w:top w:val="nil"/>
              <w:left w:val="single" w:sz="4" w:space="0" w:color="auto"/>
              <w:bottom w:val="single" w:sz="4" w:space="0" w:color="000000"/>
              <w:right w:val="single" w:sz="4" w:space="0" w:color="auto"/>
            </w:tcBorders>
            <w:vAlign w:val="center"/>
            <w:hideMark/>
          </w:tcPr>
          <w:p w14:paraId="583CF4D7" w14:textId="77777777" w:rsidR="00DB1AEE" w:rsidRPr="00DB1AEE" w:rsidRDefault="00DB1AEE" w:rsidP="00DB1AEE">
            <w:pPr>
              <w:suppressAutoHyphens/>
              <w:jc w:val="left"/>
              <w:rPr>
                <w:szCs w:val="24"/>
                <w:u w:val="single"/>
              </w:rPr>
            </w:pPr>
          </w:p>
        </w:tc>
      </w:tr>
      <w:tr w:rsidR="00DB1AEE" w:rsidRPr="00DB1AEE" w14:paraId="1F54B15A" w14:textId="77777777" w:rsidTr="00FC1832">
        <w:trPr>
          <w:trHeight w:val="465"/>
          <w:jc w:val="center"/>
        </w:trPr>
        <w:tc>
          <w:tcPr>
            <w:tcW w:w="2515" w:type="dxa"/>
            <w:tcBorders>
              <w:top w:val="nil"/>
              <w:left w:val="single" w:sz="4" w:space="0" w:color="auto"/>
              <w:bottom w:val="single" w:sz="4" w:space="0" w:color="auto"/>
              <w:right w:val="single" w:sz="4" w:space="0" w:color="auto"/>
            </w:tcBorders>
            <w:shd w:val="clear" w:color="000000" w:fill="F1F1F2"/>
            <w:hideMark/>
          </w:tcPr>
          <w:p w14:paraId="00212A90" w14:textId="77777777" w:rsidR="00DB1AEE" w:rsidRPr="00DB1AEE" w:rsidRDefault="00DB1AEE" w:rsidP="00DB1AEE">
            <w:pPr>
              <w:suppressAutoHyphens/>
              <w:jc w:val="left"/>
              <w:rPr>
                <w:szCs w:val="24"/>
                <w:u w:val="single"/>
              </w:rPr>
            </w:pPr>
            <w:r w:rsidRPr="00DB1AEE">
              <w:rPr>
                <w:szCs w:val="24"/>
                <w:u w:val="single"/>
              </w:rPr>
              <w:t>Multiple Tank Flight Type</w:t>
            </w:r>
          </w:p>
        </w:tc>
        <w:tc>
          <w:tcPr>
            <w:tcW w:w="1350" w:type="dxa"/>
            <w:tcBorders>
              <w:top w:val="nil"/>
              <w:left w:val="nil"/>
              <w:bottom w:val="single" w:sz="4" w:space="0" w:color="auto"/>
              <w:right w:val="single" w:sz="4" w:space="0" w:color="auto"/>
            </w:tcBorders>
            <w:shd w:val="clear" w:color="000000" w:fill="F1F1F2"/>
            <w:hideMark/>
          </w:tcPr>
          <w:p w14:paraId="136A89B7" w14:textId="77777777" w:rsidR="00DB1AEE" w:rsidRPr="00DB1AEE" w:rsidRDefault="00DB1AEE" w:rsidP="00DB1AEE">
            <w:pPr>
              <w:suppressAutoHyphens/>
              <w:jc w:val="center"/>
              <w:rPr>
                <w:szCs w:val="24"/>
                <w:u w:val="single"/>
              </w:rPr>
            </w:pPr>
            <w:r w:rsidRPr="00DB1AEE">
              <w:rPr>
                <w:szCs w:val="24"/>
                <w:u w:val="single"/>
              </w:rPr>
              <w:t>Reported</w:t>
            </w:r>
          </w:p>
        </w:tc>
        <w:tc>
          <w:tcPr>
            <w:tcW w:w="1800" w:type="dxa"/>
            <w:tcBorders>
              <w:top w:val="nil"/>
              <w:left w:val="nil"/>
              <w:bottom w:val="single" w:sz="4" w:space="0" w:color="auto"/>
              <w:right w:val="single" w:sz="4" w:space="0" w:color="auto"/>
            </w:tcBorders>
            <w:shd w:val="clear" w:color="000000" w:fill="F1F1F2"/>
            <w:hideMark/>
          </w:tcPr>
          <w:p w14:paraId="7931FC2F" w14:textId="77777777" w:rsidR="00DB1AEE" w:rsidRPr="00DB1AEE" w:rsidRDefault="00DB1AEE" w:rsidP="00DB1AEE">
            <w:pPr>
              <w:suppressAutoHyphens/>
              <w:jc w:val="center"/>
              <w:rPr>
                <w:szCs w:val="24"/>
                <w:u w:val="single"/>
              </w:rPr>
            </w:pPr>
            <w:r w:rsidRPr="00DB1AEE">
              <w:rPr>
                <w:szCs w:val="24"/>
                <w:u w:val="single"/>
              </w:rPr>
              <w:t>GPH ≤ 4.96x +</w:t>
            </w:r>
            <w:r w:rsidRPr="00DB1AEE">
              <w:rPr>
                <w:szCs w:val="24"/>
                <w:u w:val="single"/>
              </w:rPr>
              <w:br/>
              <w:t>17.00</w:t>
            </w:r>
          </w:p>
        </w:tc>
        <w:tc>
          <w:tcPr>
            <w:tcW w:w="1980" w:type="dxa"/>
            <w:tcBorders>
              <w:top w:val="nil"/>
              <w:left w:val="nil"/>
              <w:bottom w:val="single" w:sz="4" w:space="0" w:color="auto"/>
              <w:right w:val="single" w:sz="4" w:space="0" w:color="auto"/>
            </w:tcBorders>
            <w:shd w:val="clear" w:color="000000" w:fill="F1F1F2"/>
            <w:hideMark/>
          </w:tcPr>
          <w:p w14:paraId="0DA482F5" w14:textId="77777777" w:rsidR="00DB1AEE" w:rsidRPr="00DB1AEE" w:rsidRDefault="00DB1AEE" w:rsidP="00DB1AEE">
            <w:pPr>
              <w:suppressAutoHyphens/>
              <w:jc w:val="center"/>
              <w:rPr>
                <w:szCs w:val="24"/>
                <w:u w:val="single"/>
              </w:rPr>
            </w:pPr>
            <w:r w:rsidRPr="00DB1AEE">
              <w:rPr>
                <w:szCs w:val="24"/>
                <w:u w:val="single"/>
              </w:rPr>
              <w:t>Reported</w:t>
            </w:r>
          </w:p>
        </w:tc>
        <w:tc>
          <w:tcPr>
            <w:tcW w:w="2070" w:type="dxa"/>
            <w:tcBorders>
              <w:top w:val="nil"/>
              <w:left w:val="nil"/>
              <w:bottom w:val="single" w:sz="4" w:space="0" w:color="auto"/>
              <w:right w:val="single" w:sz="4" w:space="0" w:color="auto"/>
            </w:tcBorders>
            <w:shd w:val="clear" w:color="000000" w:fill="F1F1F2"/>
            <w:hideMark/>
          </w:tcPr>
          <w:p w14:paraId="7B409BA3" w14:textId="77777777" w:rsidR="00DB1AEE" w:rsidRPr="00DB1AEE" w:rsidRDefault="00DB1AEE" w:rsidP="00DB1AEE">
            <w:pPr>
              <w:suppressAutoHyphens/>
              <w:jc w:val="center"/>
              <w:rPr>
                <w:szCs w:val="24"/>
                <w:u w:val="single"/>
              </w:rPr>
            </w:pPr>
            <w:r w:rsidRPr="00DB1AEE">
              <w:rPr>
                <w:szCs w:val="24"/>
                <w:u w:val="single"/>
              </w:rPr>
              <w:t>GPH ≤ 4.96x +</w:t>
            </w:r>
            <w:r w:rsidRPr="00DB1AEE">
              <w:rPr>
                <w:szCs w:val="24"/>
                <w:u w:val="single"/>
              </w:rPr>
              <w:br/>
              <w:t>17.00</w:t>
            </w:r>
          </w:p>
        </w:tc>
        <w:tc>
          <w:tcPr>
            <w:tcW w:w="990" w:type="dxa"/>
            <w:vMerge/>
            <w:tcBorders>
              <w:top w:val="nil"/>
              <w:left w:val="single" w:sz="4" w:space="0" w:color="auto"/>
              <w:bottom w:val="single" w:sz="4" w:space="0" w:color="000000"/>
              <w:right w:val="single" w:sz="4" w:space="0" w:color="auto"/>
            </w:tcBorders>
            <w:vAlign w:val="center"/>
            <w:hideMark/>
          </w:tcPr>
          <w:p w14:paraId="789FA39D" w14:textId="77777777" w:rsidR="00DB1AEE" w:rsidRPr="00DB1AEE" w:rsidRDefault="00DB1AEE" w:rsidP="00DB1AEE">
            <w:pPr>
              <w:suppressAutoHyphens/>
              <w:jc w:val="left"/>
              <w:rPr>
                <w:szCs w:val="24"/>
                <w:u w:val="single"/>
              </w:rPr>
            </w:pPr>
          </w:p>
        </w:tc>
      </w:tr>
    </w:tbl>
    <w:p w14:paraId="0F249227" w14:textId="77777777" w:rsidR="00DB1AEE" w:rsidRPr="00DB1AEE" w:rsidRDefault="00DB1AEE" w:rsidP="00DB1AEE">
      <w:pPr>
        <w:suppressAutoHyphens/>
        <w:spacing w:before="72" w:line="250" w:lineRule="auto"/>
        <w:ind w:left="1008" w:right="331" w:hanging="288"/>
        <w:rPr>
          <w:szCs w:val="24"/>
          <w:u w:val="single"/>
        </w:rPr>
      </w:pPr>
      <w:r w:rsidRPr="00DB1AEE">
        <w:rPr>
          <w:szCs w:val="24"/>
          <w:u w:val="single"/>
        </w:rPr>
        <w:t>a. Idle results shall be measured with the door closed and represent the total idle energy consumed by the machine including all tank heater(s) and controls. Booster heater (internal or external) energy consumption should not be part of this measurement unless it cannot be separately monitored per US EPA Energy Star Commercial Dishwasher Specification Version 2.0.</w:t>
      </w:r>
    </w:p>
    <w:p w14:paraId="0907AE73" w14:textId="77777777" w:rsidR="00DB1AEE" w:rsidRPr="00DB1AEE" w:rsidRDefault="00DB1AEE" w:rsidP="00DB1AEE">
      <w:pPr>
        <w:suppressAutoHyphens/>
        <w:spacing w:before="72" w:line="250" w:lineRule="auto"/>
        <w:ind w:left="1008" w:right="331" w:hanging="288"/>
        <w:rPr>
          <w:szCs w:val="24"/>
          <w:u w:val="single"/>
        </w:rPr>
      </w:pPr>
      <w:r w:rsidRPr="00DB1AEE">
        <w:rPr>
          <w:szCs w:val="24"/>
          <w:u w:val="single"/>
        </w:rPr>
        <w:t>b. GPR = gallons per rack; GPSF = gallons per square foot of rack; GPH = gallons per hour; x = sf of conveyer belt (i.e., W*L/min (maximum conveyor speed).</w:t>
      </w:r>
    </w:p>
    <w:p w14:paraId="06BC21CF" w14:textId="77777777" w:rsidR="00DB1AEE" w:rsidRPr="00DB1AEE" w:rsidRDefault="00DB1AEE" w:rsidP="00DB1AEE">
      <w:pPr>
        <w:suppressAutoHyphens/>
        <w:spacing w:before="72" w:line="249" w:lineRule="auto"/>
        <w:ind w:left="720" w:right="335"/>
        <w:rPr>
          <w:b/>
          <w:bCs/>
          <w:szCs w:val="24"/>
          <w:u w:val="single"/>
        </w:rPr>
      </w:pPr>
    </w:p>
    <w:p w14:paraId="7A69C63B" w14:textId="77777777" w:rsidR="00DB1AEE" w:rsidRPr="00DB1AEE" w:rsidRDefault="00DB1AEE" w:rsidP="00DB1AEE">
      <w:pPr>
        <w:suppressAutoHyphens/>
        <w:spacing w:before="72" w:line="249" w:lineRule="auto"/>
        <w:ind w:left="720" w:right="335"/>
        <w:jc w:val="center"/>
        <w:rPr>
          <w:b/>
          <w:bCs/>
          <w:szCs w:val="24"/>
          <w:u w:val="single"/>
        </w:rPr>
      </w:pPr>
      <w:r w:rsidRPr="00DB1AEE">
        <w:rPr>
          <w:b/>
          <w:bCs/>
          <w:szCs w:val="24"/>
          <w:u w:val="single"/>
        </w:rPr>
        <w:t>Table 10.4.11-5</w:t>
      </w:r>
      <w:r w:rsidRPr="00DB1AEE">
        <w:rPr>
          <w:szCs w:val="24"/>
          <w:u w:val="single"/>
        </w:rPr>
        <w:t xml:space="preserve"> </w:t>
      </w:r>
      <w:r w:rsidRPr="00DB1AEE">
        <w:rPr>
          <w:b/>
          <w:bCs/>
          <w:szCs w:val="24"/>
          <w:u w:val="single"/>
        </w:rPr>
        <w:t>Minimum Efficiency Requirements: Commercial Ovens</w:t>
      </w:r>
    </w:p>
    <w:p w14:paraId="46E6C2F0" w14:textId="77777777" w:rsidR="00DB1AEE" w:rsidRPr="00DB1AEE" w:rsidRDefault="00DB1AEE" w:rsidP="00DB1AEE">
      <w:pPr>
        <w:suppressAutoHyphens/>
        <w:jc w:val="center"/>
        <w:rPr>
          <w:b/>
          <w:bCs/>
          <w:szCs w:val="24"/>
          <w:u w:val="single"/>
        </w:rPr>
      </w:pPr>
      <w:r w:rsidRPr="00DB1AEE">
        <w:rPr>
          <w:b/>
          <w:bCs/>
          <w:szCs w:val="24"/>
          <w:u w:val="single"/>
        </w:rPr>
        <w:t>(This table is intended to be a restatement of the legally binding provisions found in Title 10 CFR Part 431 included here as a convenience to the users of this code)</w:t>
      </w:r>
    </w:p>
    <w:p w14:paraId="1DD1549F" w14:textId="77777777" w:rsidR="00DB1AEE" w:rsidRPr="00DB1AEE" w:rsidRDefault="00DB1AEE" w:rsidP="00DB1AEE">
      <w:pPr>
        <w:suppressAutoHyphens/>
        <w:spacing w:before="72" w:line="249" w:lineRule="auto"/>
        <w:ind w:left="720" w:right="335"/>
        <w:jc w:val="center"/>
        <w:rPr>
          <w:szCs w:val="24"/>
          <w:u w:val="single"/>
        </w:rPr>
      </w:pPr>
    </w:p>
    <w:tbl>
      <w:tblPr>
        <w:tblW w:w="10320" w:type="dxa"/>
        <w:jc w:val="center"/>
        <w:tblLook w:val="04A0" w:firstRow="1" w:lastRow="0" w:firstColumn="1" w:lastColumn="0" w:noHBand="0" w:noVBand="1"/>
      </w:tblPr>
      <w:tblGrid>
        <w:gridCol w:w="1460"/>
        <w:gridCol w:w="1680"/>
        <w:gridCol w:w="3100"/>
        <w:gridCol w:w="1880"/>
        <w:gridCol w:w="2200"/>
      </w:tblGrid>
      <w:tr w:rsidR="00DB1AEE" w:rsidRPr="00DB1AEE" w14:paraId="6BE33AF1" w14:textId="77777777" w:rsidTr="00FC1832">
        <w:trPr>
          <w:trHeight w:val="559"/>
          <w:jc w:val="center"/>
        </w:trPr>
        <w:tc>
          <w:tcPr>
            <w:tcW w:w="1460" w:type="dxa"/>
            <w:tcBorders>
              <w:top w:val="single" w:sz="4" w:space="0" w:color="auto"/>
              <w:left w:val="single" w:sz="4" w:space="0" w:color="auto"/>
              <w:bottom w:val="single" w:sz="4" w:space="0" w:color="auto"/>
              <w:right w:val="single" w:sz="4" w:space="0" w:color="auto"/>
            </w:tcBorders>
            <w:shd w:val="clear" w:color="000000" w:fill="FFFFFF"/>
            <w:hideMark/>
          </w:tcPr>
          <w:p w14:paraId="02A80CAA" w14:textId="77777777" w:rsidR="00DB1AEE" w:rsidRPr="00DB1AEE" w:rsidRDefault="00DB1AEE" w:rsidP="00DB1AEE">
            <w:pPr>
              <w:suppressAutoHyphens/>
              <w:jc w:val="left"/>
              <w:rPr>
                <w:b/>
                <w:bCs/>
                <w:szCs w:val="24"/>
                <w:u w:val="single"/>
              </w:rPr>
            </w:pPr>
            <w:r w:rsidRPr="00DB1AEE">
              <w:rPr>
                <w:b/>
                <w:bCs/>
                <w:szCs w:val="24"/>
                <w:u w:val="single"/>
              </w:rPr>
              <w:t>Fuel Type</w:t>
            </w:r>
          </w:p>
        </w:tc>
        <w:tc>
          <w:tcPr>
            <w:tcW w:w="1680" w:type="dxa"/>
            <w:tcBorders>
              <w:top w:val="single" w:sz="4" w:space="0" w:color="auto"/>
              <w:left w:val="nil"/>
              <w:bottom w:val="single" w:sz="4" w:space="0" w:color="auto"/>
              <w:right w:val="single" w:sz="4" w:space="0" w:color="auto"/>
            </w:tcBorders>
            <w:shd w:val="clear" w:color="000000" w:fill="FFFFFF"/>
            <w:hideMark/>
          </w:tcPr>
          <w:p w14:paraId="03FA9261" w14:textId="77777777" w:rsidR="00DB1AEE" w:rsidRPr="00DB1AEE" w:rsidRDefault="00DB1AEE" w:rsidP="00DB1AEE">
            <w:pPr>
              <w:suppressAutoHyphens/>
              <w:jc w:val="center"/>
              <w:rPr>
                <w:b/>
                <w:bCs/>
                <w:szCs w:val="24"/>
                <w:u w:val="single"/>
              </w:rPr>
            </w:pPr>
            <w:r w:rsidRPr="00DB1AEE">
              <w:rPr>
                <w:b/>
                <w:bCs/>
                <w:szCs w:val="24"/>
                <w:u w:val="single"/>
              </w:rPr>
              <w:t>Classification</w:t>
            </w:r>
          </w:p>
        </w:tc>
        <w:tc>
          <w:tcPr>
            <w:tcW w:w="3100" w:type="dxa"/>
            <w:tcBorders>
              <w:top w:val="single" w:sz="4" w:space="0" w:color="auto"/>
              <w:left w:val="nil"/>
              <w:bottom w:val="single" w:sz="4" w:space="0" w:color="auto"/>
              <w:right w:val="single" w:sz="4" w:space="0" w:color="auto"/>
            </w:tcBorders>
            <w:shd w:val="clear" w:color="000000" w:fill="FFFFFF"/>
            <w:hideMark/>
          </w:tcPr>
          <w:p w14:paraId="3ECE44B2" w14:textId="77777777" w:rsidR="00DB1AEE" w:rsidRPr="00DB1AEE" w:rsidRDefault="00DB1AEE" w:rsidP="00DB1AEE">
            <w:pPr>
              <w:suppressAutoHyphens/>
              <w:jc w:val="center"/>
              <w:rPr>
                <w:b/>
                <w:bCs/>
                <w:szCs w:val="24"/>
                <w:u w:val="single"/>
              </w:rPr>
            </w:pPr>
            <w:r w:rsidRPr="00DB1AEE">
              <w:rPr>
                <w:b/>
                <w:bCs/>
                <w:szCs w:val="24"/>
                <w:u w:val="single"/>
              </w:rPr>
              <w:t>Idle Rate</w:t>
            </w:r>
          </w:p>
        </w:tc>
        <w:tc>
          <w:tcPr>
            <w:tcW w:w="1880" w:type="dxa"/>
            <w:tcBorders>
              <w:top w:val="single" w:sz="4" w:space="0" w:color="auto"/>
              <w:left w:val="nil"/>
              <w:bottom w:val="single" w:sz="4" w:space="0" w:color="auto"/>
              <w:right w:val="single" w:sz="4" w:space="0" w:color="auto"/>
            </w:tcBorders>
            <w:shd w:val="clear" w:color="000000" w:fill="FFFFFF"/>
            <w:hideMark/>
          </w:tcPr>
          <w:p w14:paraId="0A2E26A4" w14:textId="77777777" w:rsidR="00DB1AEE" w:rsidRPr="00DB1AEE" w:rsidRDefault="00DB1AEE" w:rsidP="00DB1AEE">
            <w:pPr>
              <w:suppressAutoHyphens/>
              <w:jc w:val="left"/>
              <w:rPr>
                <w:b/>
                <w:bCs/>
                <w:szCs w:val="24"/>
                <w:u w:val="single"/>
              </w:rPr>
            </w:pPr>
            <w:r w:rsidRPr="00DB1AEE">
              <w:rPr>
                <w:b/>
                <w:bCs/>
                <w:szCs w:val="24"/>
                <w:u w:val="single"/>
              </w:rPr>
              <w:t>Cooking-Energy Efficiency, %</w:t>
            </w:r>
          </w:p>
        </w:tc>
        <w:tc>
          <w:tcPr>
            <w:tcW w:w="2200" w:type="dxa"/>
            <w:tcBorders>
              <w:top w:val="single" w:sz="4" w:space="0" w:color="auto"/>
              <w:left w:val="nil"/>
              <w:bottom w:val="single" w:sz="4" w:space="0" w:color="auto"/>
              <w:right w:val="single" w:sz="4" w:space="0" w:color="auto"/>
            </w:tcBorders>
            <w:shd w:val="clear" w:color="000000" w:fill="FFFFFF"/>
            <w:hideMark/>
          </w:tcPr>
          <w:p w14:paraId="278D1ECC" w14:textId="77777777" w:rsidR="00DB1AEE" w:rsidRPr="00DB1AEE" w:rsidRDefault="00DB1AEE" w:rsidP="00DB1AEE">
            <w:pPr>
              <w:suppressAutoHyphens/>
              <w:jc w:val="center"/>
              <w:rPr>
                <w:b/>
                <w:bCs/>
                <w:szCs w:val="24"/>
                <w:u w:val="single"/>
              </w:rPr>
            </w:pPr>
            <w:r w:rsidRPr="00DB1AEE">
              <w:rPr>
                <w:b/>
                <w:bCs/>
                <w:szCs w:val="24"/>
                <w:u w:val="single"/>
              </w:rPr>
              <w:t>Test Procedure</w:t>
            </w:r>
          </w:p>
        </w:tc>
      </w:tr>
      <w:tr w:rsidR="00DB1AEE" w:rsidRPr="00DB1AEE" w14:paraId="03AC4F50" w14:textId="77777777" w:rsidTr="00FC1832">
        <w:trPr>
          <w:trHeight w:val="360"/>
          <w:jc w:val="center"/>
        </w:trPr>
        <w:tc>
          <w:tcPr>
            <w:tcW w:w="10320"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075930A8" w14:textId="77777777" w:rsidR="00DB1AEE" w:rsidRPr="00DB1AEE" w:rsidRDefault="00DB1AEE" w:rsidP="00DB1AEE">
            <w:pPr>
              <w:suppressAutoHyphens/>
              <w:jc w:val="center"/>
              <w:rPr>
                <w:b/>
                <w:bCs/>
                <w:szCs w:val="24"/>
                <w:u w:val="single"/>
              </w:rPr>
            </w:pPr>
            <w:r w:rsidRPr="00DB1AEE">
              <w:rPr>
                <w:b/>
                <w:bCs/>
                <w:szCs w:val="24"/>
                <w:u w:val="single"/>
              </w:rPr>
              <w:t>Convection Ovens</w:t>
            </w:r>
          </w:p>
        </w:tc>
      </w:tr>
      <w:tr w:rsidR="00DB1AEE" w:rsidRPr="00DB1AEE" w14:paraId="434E8278" w14:textId="77777777" w:rsidTr="00FC1832">
        <w:trPr>
          <w:trHeight w:val="282"/>
          <w:jc w:val="center"/>
        </w:trPr>
        <w:tc>
          <w:tcPr>
            <w:tcW w:w="1460" w:type="dxa"/>
            <w:tcBorders>
              <w:top w:val="nil"/>
              <w:left w:val="single" w:sz="4" w:space="0" w:color="auto"/>
              <w:bottom w:val="single" w:sz="4" w:space="0" w:color="auto"/>
              <w:right w:val="single" w:sz="4" w:space="0" w:color="auto"/>
            </w:tcBorders>
            <w:shd w:val="clear" w:color="000000" w:fill="FFFFFF"/>
            <w:hideMark/>
          </w:tcPr>
          <w:p w14:paraId="046B5EF9" w14:textId="77777777" w:rsidR="00DB1AEE" w:rsidRPr="00DB1AEE" w:rsidRDefault="00DB1AEE" w:rsidP="00DB1AEE">
            <w:pPr>
              <w:suppressAutoHyphens/>
              <w:jc w:val="center"/>
              <w:rPr>
                <w:szCs w:val="24"/>
                <w:u w:val="single"/>
              </w:rPr>
            </w:pPr>
            <w:r w:rsidRPr="00DB1AEE">
              <w:rPr>
                <w:szCs w:val="24"/>
                <w:u w:val="single"/>
              </w:rPr>
              <w:t>Gas</w:t>
            </w:r>
          </w:p>
        </w:tc>
        <w:tc>
          <w:tcPr>
            <w:tcW w:w="1680" w:type="dxa"/>
            <w:tcBorders>
              <w:top w:val="nil"/>
              <w:left w:val="nil"/>
              <w:bottom w:val="single" w:sz="4" w:space="0" w:color="auto"/>
              <w:right w:val="single" w:sz="4" w:space="0" w:color="auto"/>
            </w:tcBorders>
            <w:shd w:val="clear" w:color="000000" w:fill="FFFFFF"/>
            <w:hideMark/>
          </w:tcPr>
          <w:p w14:paraId="26271EB2" w14:textId="77777777" w:rsidR="00DB1AEE" w:rsidRPr="00DB1AEE" w:rsidRDefault="00DB1AEE" w:rsidP="00DB1AEE">
            <w:pPr>
              <w:suppressAutoHyphens/>
              <w:jc w:val="center"/>
              <w:rPr>
                <w:szCs w:val="24"/>
                <w:u w:val="single"/>
              </w:rPr>
            </w:pPr>
            <w:r w:rsidRPr="00DB1AEE">
              <w:rPr>
                <w:szCs w:val="24"/>
                <w:u w:val="single"/>
              </w:rPr>
              <w:t>Full-Size</w:t>
            </w:r>
          </w:p>
        </w:tc>
        <w:tc>
          <w:tcPr>
            <w:tcW w:w="3100" w:type="dxa"/>
            <w:tcBorders>
              <w:top w:val="nil"/>
              <w:left w:val="nil"/>
              <w:bottom w:val="single" w:sz="4" w:space="0" w:color="auto"/>
              <w:right w:val="single" w:sz="4" w:space="0" w:color="auto"/>
            </w:tcBorders>
            <w:shd w:val="clear" w:color="000000" w:fill="FFFFFF"/>
            <w:hideMark/>
          </w:tcPr>
          <w:p w14:paraId="45D15AE5" w14:textId="77777777" w:rsidR="00DB1AEE" w:rsidRPr="00DB1AEE" w:rsidRDefault="00DB1AEE" w:rsidP="00DB1AEE">
            <w:pPr>
              <w:suppressAutoHyphens/>
              <w:jc w:val="center"/>
              <w:rPr>
                <w:szCs w:val="24"/>
                <w:u w:val="single"/>
              </w:rPr>
            </w:pPr>
            <w:r w:rsidRPr="00DB1AEE">
              <w:rPr>
                <w:szCs w:val="24"/>
                <w:u w:val="single"/>
              </w:rPr>
              <w:t>≤ 12,000 Btu/h</w:t>
            </w:r>
          </w:p>
        </w:tc>
        <w:tc>
          <w:tcPr>
            <w:tcW w:w="1880" w:type="dxa"/>
            <w:tcBorders>
              <w:top w:val="nil"/>
              <w:left w:val="nil"/>
              <w:bottom w:val="single" w:sz="4" w:space="0" w:color="auto"/>
              <w:right w:val="single" w:sz="4" w:space="0" w:color="auto"/>
            </w:tcBorders>
            <w:shd w:val="clear" w:color="000000" w:fill="FFFFFF"/>
            <w:hideMark/>
          </w:tcPr>
          <w:p w14:paraId="0B98E0EE" w14:textId="77777777" w:rsidR="00DB1AEE" w:rsidRPr="00DB1AEE" w:rsidRDefault="00DB1AEE" w:rsidP="00DB1AEE">
            <w:pPr>
              <w:suppressAutoHyphens/>
              <w:jc w:val="center"/>
              <w:rPr>
                <w:szCs w:val="24"/>
                <w:u w:val="single"/>
              </w:rPr>
            </w:pPr>
            <w:r w:rsidRPr="00DB1AEE">
              <w:rPr>
                <w:szCs w:val="24"/>
                <w:u w:val="single"/>
              </w:rPr>
              <w:t>≥ 46</w:t>
            </w:r>
          </w:p>
        </w:tc>
        <w:tc>
          <w:tcPr>
            <w:tcW w:w="2200" w:type="dxa"/>
            <w:vMerge w:val="restart"/>
            <w:tcBorders>
              <w:top w:val="nil"/>
              <w:left w:val="single" w:sz="4" w:space="0" w:color="auto"/>
              <w:bottom w:val="single" w:sz="4" w:space="0" w:color="000000"/>
              <w:right w:val="single" w:sz="4" w:space="0" w:color="auto"/>
            </w:tcBorders>
            <w:shd w:val="clear" w:color="000000" w:fill="FFFFFF"/>
            <w:hideMark/>
          </w:tcPr>
          <w:p w14:paraId="02F9C6DB" w14:textId="77777777" w:rsidR="00DB1AEE" w:rsidRPr="00DB1AEE" w:rsidRDefault="00DB1AEE" w:rsidP="00DB1AEE">
            <w:pPr>
              <w:suppressAutoHyphens/>
              <w:jc w:val="center"/>
              <w:rPr>
                <w:szCs w:val="24"/>
                <w:u w:val="single"/>
              </w:rPr>
            </w:pPr>
            <w:r w:rsidRPr="00DB1AEE">
              <w:rPr>
                <w:szCs w:val="24"/>
                <w:u w:val="single"/>
              </w:rPr>
              <w:t>ASTM F1496 - 13</w:t>
            </w:r>
          </w:p>
        </w:tc>
      </w:tr>
      <w:tr w:rsidR="00DB1AEE" w:rsidRPr="00DB1AEE" w14:paraId="69357A4C" w14:textId="77777777" w:rsidTr="00FC1832">
        <w:trPr>
          <w:trHeight w:val="282"/>
          <w:jc w:val="center"/>
        </w:trPr>
        <w:tc>
          <w:tcPr>
            <w:tcW w:w="14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5F0174E" w14:textId="77777777" w:rsidR="00DB1AEE" w:rsidRPr="00DB1AEE" w:rsidRDefault="00DB1AEE" w:rsidP="00DB1AEE">
            <w:pPr>
              <w:suppressAutoHyphens/>
              <w:jc w:val="center"/>
              <w:rPr>
                <w:szCs w:val="24"/>
                <w:u w:val="single"/>
              </w:rPr>
            </w:pPr>
            <w:r w:rsidRPr="00DB1AEE">
              <w:rPr>
                <w:szCs w:val="24"/>
                <w:u w:val="single"/>
              </w:rPr>
              <w:t>Electric</w:t>
            </w:r>
          </w:p>
        </w:tc>
        <w:tc>
          <w:tcPr>
            <w:tcW w:w="1680" w:type="dxa"/>
            <w:tcBorders>
              <w:top w:val="nil"/>
              <w:left w:val="nil"/>
              <w:bottom w:val="single" w:sz="4" w:space="0" w:color="auto"/>
              <w:right w:val="single" w:sz="4" w:space="0" w:color="auto"/>
            </w:tcBorders>
            <w:shd w:val="clear" w:color="000000" w:fill="FFFFFF"/>
            <w:hideMark/>
          </w:tcPr>
          <w:p w14:paraId="56BAD06B" w14:textId="77777777" w:rsidR="00DB1AEE" w:rsidRPr="00DB1AEE" w:rsidRDefault="00DB1AEE" w:rsidP="00DB1AEE">
            <w:pPr>
              <w:suppressAutoHyphens/>
              <w:jc w:val="center"/>
              <w:rPr>
                <w:szCs w:val="24"/>
                <w:u w:val="single"/>
              </w:rPr>
            </w:pPr>
            <w:r w:rsidRPr="00DB1AEE">
              <w:rPr>
                <w:szCs w:val="24"/>
                <w:u w:val="single"/>
              </w:rPr>
              <w:t>Half-Size</w:t>
            </w:r>
          </w:p>
        </w:tc>
        <w:tc>
          <w:tcPr>
            <w:tcW w:w="3100" w:type="dxa"/>
            <w:tcBorders>
              <w:top w:val="nil"/>
              <w:left w:val="nil"/>
              <w:bottom w:val="single" w:sz="4" w:space="0" w:color="auto"/>
              <w:right w:val="single" w:sz="4" w:space="0" w:color="auto"/>
            </w:tcBorders>
            <w:shd w:val="clear" w:color="000000" w:fill="FFFFFF"/>
            <w:hideMark/>
          </w:tcPr>
          <w:p w14:paraId="57DA84D7" w14:textId="77777777" w:rsidR="00DB1AEE" w:rsidRPr="00DB1AEE" w:rsidRDefault="00DB1AEE" w:rsidP="00DB1AEE">
            <w:pPr>
              <w:suppressAutoHyphens/>
              <w:jc w:val="center"/>
              <w:rPr>
                <w:szCs w:val="24"/>
                <w:u w:val="single"/>
              </w:rPr>
            </w:pPr>
            <w:r w:rsidRPr="00DB1AEE">
              <w:rPr>
                <w:szCs w:val="24"/>
                <w:u w:val="single"/>
              </w:rPr>
              <w:t>≤ 1.0 Btu/h</w:t>
            </w:r>
          </w:p>
        </w:tc>
        <w:tc>
          <w:tcPr>
            <w:tcW w:w="188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527227D" w14:textId="77777777" w:rsidR="00DB1AEE" w:rsidRPr="00DB1AEE" w:rsidRDefault="00DB1AEE" w:rsidP="00DB1AEE">
            <w:pPr>
              <w:suppressAutoHyphens/>
              <w:jc w:val="center"/>
              <w:rPr>
                <w:szCs w:val="24"/>
                <w:u w:val="single"/>
              </w:rPr>
            </w:pPr>
            <w:r w:rsidRPr="00DB1AEE">
              <w:rPr>
                <w:szCs w:val="24"/>
                <w:u w:val="single"/>
              </w:rPr>
              <w:t>≥ 71</w:t>
            </w:r>
          </w:p>
        </w:tc>
        <w:tc>
          <w:tcPr>
            <w:tcW w:w="2200" w:type="dxa"/>
            <w:vMerge/>
            <w:tcBorders>
              <w:top w:val="nil"/>
              <w:left w:val="single" w:sz="4" w:space="0" w:color="auto"/>
              <w:bottom w:val="single" w:sz="4" w:space="0" w:color="000000"/>
              <w:right w:val="single" w:sz="4" w:space="0" w:color="auto"/>
            </w:tcBorders>
            <w:vAlign w:val="center"/>
            <w:hideMark/>
          </w:tcPr>
          <w:p w14:paraId="7963154F" w14:textId="77777777" w:rsidR="00DB1AEE" w:rsidRPr="00DB1AEE" w:rsidRDefault="00DB1AEE" w:rsidP="00DB1AEE">
            <w:pPr>
              <w:suppressAutoHyphens/>
              <w:jc w:val="center"/>
              <w:rPr>
                <w:szCs w:val="24"/>
                <w:u w:val="single"/>
              </w:rPr>
            </w:pPr>
          </w:p>
        </w:tc>
      </w:tr>
      <w:tr w:rsidR="00DB1AEE" w:rsidRPr="00DB1AEE" w14:paraId="6D78B5BA" w14:textId="77777777" w:rsidTr="00FC1832">
        <w:trPr>
          <w:trHeight w:val="600"/>
          <w:jc w:val="center"/>
        </w:trPr>
        <w:tc>
          <w:tcPr>
            <w:tcW w:w="1460" w:type="dxa"/>
            <w:vMerge/>
            <w:tcBorders>
              <w:top w:val="nil"/>
              <w:left w:val="single" w:sz="4" w:space="0" w:color="auto"/>
              <w:bottom w:val="single" w:sz="4" w:space="0" w:color="000000"/>
              <w:right w:val="single" w:sz="4" w:space="0" w:color="auto"/>
            </w:tcBorders>
            <w:vAlign w:val="center"/>
            <w:hideMark/>
          </w:tcPr>
          <w:p w14:paraId="43A1A687" w14:textId="77777777" w:rsidR="00DB1AEE" w:rsidRPr="00DB1AEE" w:rsidRDefault="00DB1AEE" w:rsidP="00DB1AEE">
            <w:pPr>
              <w:suppressAutoHyphens/>
              <w:jc w:val="center"/>
              <w:rPr>
                <w:szCs w:val="24"/>
                <w:u w:val="single"/>
              </w:rPr>
            </w:pPr>
          </w:p>
        </w:tc>
        <w:tc>
          <w:tcPr>
            <w:tcW w:w="1680" w:type="dxa"/>
            <w:tcBorders>
              <w:top w:val="nil"/>
              <w:left w:val="nil"/>
              <w:bottom w:val="single" w:sz="4" w:space="0" w:color="auto"/>
              <w:right w:val="single" w:sz="4" w:space="0" w:color="auto"/>
            </w:tcBorders>
            <w:shd w:val="clear" w:color="000000" w:fill="FFFFFF"/>
            <w:hideMark/>
          </w:tcPr>
          <w:p w14:paraId="2B7E589E" w14:textId="77777777" w:rsidR="00DB1AEE" w:rsidRPr="00DB1AEE" w:rsidRDefault="00DB1AEE" w:rsidP="00DB1AEE">
            <w:pPr>
              <w:suppressAutoHyphens/>
              <w:ind w:firstLineChars="300" w:firstLine="720"/>
              <w:jc w:val="center"/>
              <w:rPr>
                <w:szCs w:val="24"/>
                <w:u w:val="single"/>
              </w:rPr>
            </w:pPr>
            <w:r w:rsidRPr="00DB1AEE">
              <w:rPr>
                <w:szCs w:val="24"/>
                <w:u w:val="single"/>
              </w:rPr>
              <w:br/>
              <w:t>Full-Size</w:t>
            </w:r>
          </w:p>
        </w:tc>
        <w:tc>
          <w:tcPr>
            <w:tcW w:w="3100" w:type="dxa"/>
            <w:tcBorders>
              <w:top w:val="nil"/>
              <w:left w:val="nil"/>
              <w:bottom w:val="single" w:sz="4" w:space="0" w:color="auto"/>
              <w:right w:val="single" w:sz="4" w:space="0" w:color="auto"/>
            </w:tcBorders>
            <w:shd w:val="clear" w:color="000000" w:fill="FFFFFF"/>
            <w:hideMark/>
          </w:tcPr>
          <w:p w14:paraId="291A7B7E" w14:textId="77777777" w:rsidR="00DB1AEE" w:rsidRPr="00DB1AEE" w:rsidRDefault="00DB1AEE" w:rsidP="00DB1AEE">
            <w:pPr>
              <w:suppressAutoHyphens/>
              <w:ind w:firstLineChars="200" w:firstLine="480"/>
              <w:jc w:val="center"/>
              <w:rPr>
                <w:szCs w:val="24"/>
                <w:u w:val="single"/>
              </w:rPr>
            </w:pPr>
            <w:r w:rsidRPr="00DB1AEE">
              <w:rPr>
                <w:szCs w:val="24"/>
                <w:u w:val="single"/>
              </w:rPr>
              <w:t>≤ 1.60 Btu/h</w:t>
            </w:r>
          </w:p>
        </w:tc>
        <w:tc>
          <w:tcPr>
            <w:tcW w:w="1880" w:type="dxa"/>
            <w:vMerge/>
            <w:tcBorders>
              <w:top w:val="nil"/>
              <w:left w:val="single" w:sz="4" w:space="0" w:color="auto"/>
              <w:bottom w:val="single" w:sz="4" w:space="0" w:color="000000"/>
              <w:right w:val="single" w:sz="4" w:space="0" w:color="auto"/>
            </w:tcBorders>
            <w:vAlign w:val="center"/>
            <w:hideMark/>
          </w:tcPr>
          <w:p w14:paraId="78005F4C" w14:textId="77777777" w:rsidR="00DB1AEE" w:rsidRPr="00DB1AEE" w:rsidRDefault="00DB1AEE" w:rsidP="00DB1AEE">
            <w:pPr>
              <w:suppressAutoHyphens/>
              <w:jc w:val="center"/>
              <w:rPr>
                <w:szCs w:val="24"/>
                <w:u w:val="single"/>
              </w:rPr>
            </w:pPr>
          </w:p>
        </w:tc>
        <w:tc>
          <w:tcPr>
            <w:tcW w:w="2200" w:type="dxa"/>
            <w:vMerge/>
            <w:tcBorders>
              <w:top w:val="nil"/>
              <w:left w:val="single" w:sz="4" w:space="0" w:color="auto"/>
              <w:bottom w:val="single" w:sz="4" w:space="0" w:color="000000"/>
              <w:right w:val="single" w:sz="4" w:space="0" w:color="auto"/>
            </w:tcBorders>
            <w:vAlign w:val="center"/>
            <w:hideMark/>
          </w:tcPr>
          <w:p w14:paraId="4154CE3C" w14:textId="77777777" w:rsidR="00DB1AEE" w:rsidRPr="00DB1AEE" w:rsidRDefault="00DB1AEE" w:rsidP="00DB1AEE">
            <w:pPr>
              <w:suppressAutoHyphens/>
              <w:jc w:val="center"/>
              <w:rPr>
                <w:szCs w:val="24"/>
                <w:u w:val="single"/>
              </w:rPr>
            </w:pPr>
          </w:p>
        </w:tc>
      </w:tr>
      <w:tr w:rsidR="00DB1AEE" w:rsidRPr="00DB1AEE" w14:paraId="2317E533" w14:textId="77777777" w:rsidTr="00FC1832">
        <w:trPr>
          <w:trHeight w:val="379"/>
          <w:jc w:val="center"/>
        </w:trPr>
        <w:tc>
          <w:tcPr>
            <w:tcW w:w="10320"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4AE089EB" w14:textId="77777777" w:rsidR="00DB1AEE" w:rsidRPr="00DB1AEE" w:rsidRDefault="00DB1AEE" w:rsidP="00DB1AEE">
            <w:pPr>
              <w:suppressAutoHyphens/>
              <w:jc w:val="center"/>
              <w:rPr>
                <w:b/>
                <w:bCs/>
                <w:szCs w:val="24"/>
                <w:u w:val="single"/>
              </w:rPr>
            </w:pPr>
            <w:r w:rsidRPr="00DB1AEE">
              <w:rPr>
                <w:b/>
                <w:bCs/>
                <w:szCs w:val="24"/>
                <w:u w:val="single"/>
              </w:rPr>
              <w:t>Combination Ovens</w:t>
            </w:r>
          </w:p>
        </w:tc>
      </w:tr>
      <w:tr w:rsidR="00DB1AEE" w:rsidRPr="00DB1AEE" w14:paraId="7176F28F" w14:textId="77777777" w:rsidTr="00FC1832">
        <w:trPr>
          <w:trHeight w:val="379"/>
          <w:jc w:val="center"/>
        </w:trPr>
        <w:tc>
          <w:tcPr>
            <w:tcW w:w="14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6C08D6C" w14:textId="77777777" w:rsidR="00DB1AEE" w:rsidRPr="00DB1AEE" w:rsidRDefault="00DB1AEE" w:rsidP="00DB1AEE">
            <w:pPr>
              <w:suppressAutoHyphens/>
              <w:jc w:val="center"/>
              <w:rPr>
                <w:szCs w:val="24"/>
                <w:u w:val="single"/>
              </w:rPr>
            </w:pPr>
            <w:r w:rsidRPr="00DB1AEE">
              <w:rPr>
                <w:szCs w:val="24"/>
                <w:u w:val="single"/>
              </w:rPr>
              <w:t>Gas</w:t>
            </w:r>
          </w:p>
        </w:tc>
        <w:tc>
          <w:tcPr>
            <w:tcW w:w="1680" w:type="dxa"/>
            <w:tcBorders>
              <w:top w:val="nil"/>
              <w:left w:val="nil"/>
              <w:bottom w:val="single" w:sz="4" w:space="0" w:color="auto"/>
              <w:right w:val="single" w:sz="4" w:space="0" w:color="auto"/>
            </w:tcBorders>
            <w:shd w:val="clear" w:color="000000" w:fill="FFFFFF"/>
            <w:hideMark/>
          </w:tcPr>
          <w:p w14:paraId="03FE5569" w14:textId="77777777" w:rsidR="00DB1AEE" w:rsidRPr="00DB1AEE" w:rsidRDefault="00DB1AEE" w:rsidP="00DB1AEE">
            <w:pPr>
              <w:suppressAutoHyphens/>
              <w:jc w:val="center"/>
              <w:rPr>
                <w:szCs w:val="24"/>
                <w:u w:val="single"/>
              </w:rPr>
            </w:pPr>
            <w:r w:rsidRPr="00DB1AEE">
              <w:rPr>
                <w:szCs w:val="24"/>
                <w:u w:val="single"/>
              </w:rPr>
              <w:t>Steam Mode</w:t>
            </w:r>
          </w:p>
        </w:tc>
        <w:tc>
          <w:tcPr>
            <w:tcW w:w="3100" w:type="dxa"/>
            <w:tcBorders>
              <w:top w:val="nil"/>
              <w:left w:val="nil"/>
              <w:bottom w:val="single" w:sz="4" w:space="0" w:color="auto"/>
              <w:right w:val="single" w:sz="4" w:space="0" w:color="auto"/>
            </w:tcBorders>
            <w:shd w:val="clear" w:color="000000" w:fill="FFFFFF"/>
            <w:hideMark/>
          </w:tcPr>
          <w:p w14:paraId="4F1F4335" w14:textId="77777777" w:rsidR="00DB1AEE" w:rsidRPr="00DB1AEE" w:rsidRDefault="00DB1AEE" w:rsidP="00DB1AEE">
            <w:pPr>
              <w:suppressAutoHyphens/>
              <w:jc w:val="center"/>
              <w:rPr>
                <w:szCs w:val="24"/>
                <w:u w:val="single"/>
              </w:rPr>
            </w:pPr>
            <w:r w:rsidRPr="00DB1AEE">
              <w:rPr>
                <w:szCs w:val="24"/>
                <w:u w:val="single"/>
              </w:rPr>
              <w:t>≤ 200Pa + 6,511</w:t>
            </w:r>
            <w:r w:rsidRPr="00DB1AEE">
              <w:rPr>
                <w:szCs w:val="24"/>
                <w:u w:val="single"/>
              </w:rPr>
              <w:br/>
              <w:t>Btu/h</w:t>
            </w:r>
          </w:p>
        </w:tc>
        <w:tc>
          <w:tcPr>
            <w:tcW w:w="1880" w:type="dxa"/>
            <w:tcBorders>
              <w:top w:val="nil"/>
              <w:left w:val="nil"/>
              <w:bottom w:val="single" w:sz="4" w:space="0" w:color="auto"/>
              <w:right w:val="single" w:sz="4" w:space="0" w:color="auto"/>
            </w:tcBorders>
            <w:shd w:val="clear" w:color="000000" w:fill="FFFFFF"/>
            <w:hideMark/>
          </w:tcPr>
          <w:p w14:paraId="7D622C94" w14:textId="77777777" w:rsidR="00DB1AEE" w:rsidRPr="00DB1AEE" w:rsidRDefault="00DB1AEE" w:rsidP="00DB1AEE">
            <w:pPr>
              <w:suppressAutoHyphens/>
              <w:jc w:val="center"/>
              <w:rPr>
                <w:szCs w:val="24"/>
                <w:u w:val="single"/>
              </w:rPr>
            </w:pPr>
            <w:r w:rsidRPr="00DB1AEE">
              <w:rPr>
                <w:szCs w:val="24"/>
                <w:u w:val="single"/>
              </w:rPr>
              <w:t>≥ 41</w:t>
            </w:r>
          </w:p>
        </w:tc>
        <w:tc>
          <w:tcPr>
            <w:tcW w:w="220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A553249" w14:textId="77777777" w:rsidR="00DB1AEE" w:rsidRPr="00DB1AEE" w:rsidRDefault="00DB1AEE" w:rsidP="00DB1AEE">
            <w:pPr>
              <w:suppressAutoHyphens/>
              <w:jc w:val="center"/>
              <w:rPr>
                <w:szCs w:val="24"/>
                <w:u w:val="single"/>
              </w:rPr>
            </w:pPr>
            <w:r w:rsidRPr="00DB1AEE">
              <w:rPr>
                <w:szCs w:val="24"/>
                <w:u w:val="single"/>
              </w:rPr>
              <w:t>ASTM F2861 - 17</w:t>
            </w:r>
          </w:p>
        </w:tc>
      </w:tr>
      <w:tr w:rsidR="00DB1AEE" w:rsidRPr="00DB1AEE" w14:paraId="3163A077" w14:textId="77777777" w:rsidTr="00FC1832">
        <w:trPr>
          <w:trHeight w:val="1002"/>
          <w:jc w:val="center"/>
        </w:trPr>
        <w:tc>
          <w:tcPr>
            <w:tcW w:w="1460" w:type="dxa"/>
            <w:vMerge/>
            <w:tcBorders>
              <w:top w:val="nil"/>
              <w:left w:val="single" w:sz="4" w:space="0" w:color="auto"/>
              <w:bottom w:val="single" w:sz="4" w:space="0" w:color="000000"/>
              <w:right w:val="single" w:sz="4" w:space="0" w:color="auto"/>
            </w:tcBorders>
            <w:vAlign w:val="center"/>
            <w:hideMark/>
          </w:tcPr>
          <w:p w14:paraId="7B444232" w14:textId="77777777" w:rsidR="00DB1AEE" w:rsidRPr="00DB1AEE" w:rsidRDefault="00DB1AEE" w:rsidP="00DB1AEE">
            <w:pPr>
              <w:suppressAutoHyphens/>
              <w:jc w:val="center"/>
              <w:rPr>
                <w:szCs w:val="24"/>
                <w:u w:val="single"/>
              </w:rPr>
            </w:pPr>
          </w:p>
        </w:tc>
        <w:tc>
          <w:tcPr>
            <w:tcW w:w="1680" w:type="dxa"/>
            <w:tcBorders>
              <w:top w:val="nil"/>
              <w:left w:val="nil"/>
              <w:bottom w:val="single" w:sz="4" w:space="0" w:color="auto"/>
              <w:right w:val="single" w:sz="4" w:space="0" w:color="auto"/>
            </w:tcBorders>
            <w:shd w:val="clear" w:color="000000" w:fill="FFFFFF"/>
            <w:hideMark/>
          </w:tcPr>
          <w:p w14:paraId="04AC67E3" w14:textId="77777777" w:rsidR="00DB1AEE" w:rsidRPr="00DB1AEE" w:rsidRDefault="00DB1AEE" w:rsidP="00DB1AEE">
            <w:pPr>
              <w:suppressAutoHyphens/>
              <w:jc w:val="center"/>
              <w:rPr>
                <w:szCs w:val="24"/>
                <w:u w:val="single"/>
              </w:rPr>
            </w:pPr>
            <w:r w:rsidRPr="00DB1AEE">
              <w:rPr>
                <w:szCs w:val="24"/>
                <w:u w:val="single"/>
              </w:rPr>
              <w:br/>
              <w:t>Convection Mode</w:t>
            </w:r>
          </w:p>
        </w:tc>
        <w:tc>
          <w:tcPr>
            <w:tcW w:w="3100" w:type="dxa"/>
            <w:tcBorders>
              <w:top w:val="nil"/>
              <w:left w:val="nil"/>
              <w:bottom w:val="single" w:sz="4" w:space="0" w:color="auto"/>
              <w:right w:val="single" w:sz="4" w:space="0" w:color="auto"/>
            </w:tcBorders>
            <w:shd w:val="clear" w:color="000000" w:fill="FFFFFF"/>
            <w:hideMark/>
          </w:tcPr>
          <w:p w14:paraId="651A1C58" w14:textId="77777777" w:rsidR="00DB1AEE" w:rsidRPr="00DB1AEE" w:rsidRDefault="00DB1AEE" w:rsidP="00DB1AEE">
            <w:pPr>
              <w:suppressAutoHyphens/>
              <w:jc w:val="center"/>
              <w:rPr>
                <w:szCs w:val="24"/>
                <w:u w:val="single"/>
              </w:rPr>
            </w:pPr>
            <w:r w:rsidRPr="00DB1AEE">
              <w:rPr>
                <w:szCs w:val="24"/>
                <w:u w:val="single"/>
              </w:rPr>
              <w:t>≤ 150P</w:t>
            </w:r>
            <w:r w:rsidRPr="00DB1AEE">
              <w:rPr>
                <w:szCs w:val="24"/>
                <w:u w:val="single"/>
                <w:vertAlign w:val="superscript"/>
              </w:rPr>
              <w:t>a</w:t>
            </w:r>
            <w:r w:rsidRPr="00DB1AEE">
              <w:rPr>
                <w:szCs w:val="24"/>
                <w:u w:val="single"/>
              </w:rPr>
              <w:t xml:space="preserve"> + 5,425</w:t>
            </w:r>
            <w:r w:rsidRPr="00DB1AEE">
              <w:rPr>
                <w:szCs w:val="24"/>
                <w:u w:val="single"/>
              </w:rPr>
              <w:br/>
              <w:t>Btu/h</w:t>
            </w:r>
          </w:p>
        </w:tc>
        <w:tc>
          <w:tcPr>
            <w:tcW w:w="1880" w:type="dxa"/>
            <w:tcBorders>
              <w:top w:val="nil"/>
              <w:left w:val="nil"/>
              <w:bottom w:val="single" w:sz="4" w:space="0" w:color="auto"/>
              <w:right w:val="single" w:sz="4" w:space="0" w:color="auto"/>
            </w:tcBorders>
            <w:shd w:val="clear" w:color="000000" w:fill="FFFFFF"/>
            <w:hideMark/>
          </w:tcPr>
          <w:p w14:paraId="35BE549B" w14:textId="77777777" w:rsidR="00DB1AEE" w:rsidRPr="00DB1AEE" w:rsidRDefault="00DB1AEE" w:rsidP="00DB1AEE">
            <w:pPr>
              <w:suppressAutoHyphens/>
              <w:jc w:val="center"/>
              <w:rPr>
                <w:szCs w:val="24"/>
                <w:u w:val="single"/>
              </w:rPr>
            </w:pPr>
            <w:r w:rsidRPr="00DB1AEE">
              <w:rPr>
                <w:szCs w:val="24"/>
                <w:u w:val="single"/>
              </w:rPr>
              <w:br/>
              <w:t>≥ 56</w:t>
            </w:r>
          </w:p>
        </w:tc>
        <w:tc>
          <w:tcPr>
            <w:tcW w:w="2200" w:type="dxa"/>
            <w:vMerge/>
            <w:tcBorders>
              <w:top w:val="nil"/>
              <w:left w:val="single" w:sz="4" w:space="0" w:color="auto"/>
              <w:bottom w:val="single" w:sz="4" w:space="0" w:color="000000"/>
              <w:right w:val="single" w:sz="4" w:space="0" w:color="auto"/>
            </w:tcBorders>
            <w:vAlign w:val="center"/>
            <w:hideMark/>
          </w:tcPr>
          <w:p w14:paraId="61C082B7" w14:textId="77777777" w:rsidR="00DB1AEE" w:rsidRPr="00DB1AEE" w:rsidRDefault="00DB1AEE" w:rsidP="00DB1AEE">
            <w:pPr>
              <w:suppressAutoHyphens/>
              <w:jc w:val="center"/>
              <w:rPr>
                <w:szCs w:val="24"/>
                <w:u w:val="single"/>
              </w:rPr>
            </w:pPr>
          </w:p>
        </w:tc>
      </w:tr>
      <w:tr w:rsidR="00DB1AEE" w:rsidRPr="00DB1AEE" w14:paraId="1B2D3298" w14:textId="77777777" w:rsidTr="00FC1832">
        <w:trPr>
          <w:trHeight w:val="1005"/>
          <w:jc w:val="center"/>
        </w:trPr>
        <w:tc>
          <w:tcPr>
            <w:tcW w:w="14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60FC3FB" w14:textId="77777777" w:rsidR="00DB1AEE" w:rsidRPr="00DB1AEE" w:rsidRDefault="00DB1AEE" w:rsidP="00DB1AEE">
            <w:pPr>
              <w:suppressAutoHyphens/>
              <w:jc w:val="center"/>
              <w:rPr>
                <w:szCs w:val="24"/>
                <w:u w:val="single"/>
              </w:rPr>
            </w:pPr>
            <w:r w:rsidRPr="00DB1AEE">
              <w:rPr>
                <w:szCs w:val="24"/>
                <w:u w:val="single"/>
              </w:rPr>
              <w:t>Electric</w:t>
            </w:r>
          </w:p>
        </w:tc>
        <w:tc>
          <w:tcPr>
            <w:tcW w:w="1680" w:type="dxa"/>
            <w:tcBorders>
              <w:top w:val="nil"/>
              <w:left w:val="nil"/>
              <w:bottom w:val="single" w:sz="4" w:space="0" w:color="auto"/>
              <w:right w:val="single" w:sz="4" w:space="0" w:color="auto"/>
            </w:tcBorders>
            <w:shd w:val="clear" w:color="000000" w:fill="FFFFFF"/>
            <w:hideMark/>
          </w:tcPr>
          <w:p w14:paraId="35DE4A5A" w14:textId="77777777" w:rsidR="00DB1AEE" w:rsidRPr="00DB1AEE" w:rsidRDefault="00DB1AEE" w:rsidP="00DB1AEE">
            <w:pPr>
              <w:suppressAutoHyphens/>
              <w:jc w:val="center"/>
              <w:rPr>
                <w:szCs w:val="24"/>
                <w:u w:val="single"/>
              </w:rPr>
            </w:pPr>
            <w:r w:rsidRPr="00DB1AEE">
              <w:rPr>
                <w:szCs w:val="24"/>
                <w:u w:val="single"/>
              </w:rPr>
              <w:t>Steam Mode</w:t>
            </w:r>
          </w:p>
        </w:tc>
        <w:tc>
          <w:tcPr>
            <w:tcW w:w="3100" w:type="dxa"/>
            <w:tcBorders>
              <w:top w:val="nil"/>
              <w:left w:val="nil"/>
              <w:bottom w:val="single" w:sz="4" w:space="0" w:color="auto"/>
              <w:right w:val="single" w:sz="4" w:space="0" w:color="auto"/>
            </w:tcBorders>
            <w:shd w:val="clear" w:color="000000" w:fill="FFFFFF"/>
            <w:hideMark/>
          </w:tcPr>
          <w:p w14:paraId="2BD73431" w14:textId="77777777" w:rsidR="00DB1AEE" w:rsidRPr="00DB1AEE" w:rsidRDefault="00DB1AEE" w:rsidP="00DB1AEE">
            <w:pPr>
              <w:suppressAutoHyphens/>
              <w:jc w:val="center"/>
              <w:rPr>
                <w:szCs w:val="24"/>
                <w:u w:val="single"/>
              </w:rPr>
            </w:pPr>
            <w:r w:rsidRPr="00DB1AEE">
              <w:rPr>
                <w:szCs w:val="24"/>
                <w:u w:val="single"/>
              </w:rPr>
              <w:t>≤ 0.133P</w:t>
            </w:r>
            <w:r w:rsidRPr="00DB1AEE">
              <w:rPr>
                <w:szCs w:val="24"/>
                <w:u w:val="single"/>
                <w:vertAlign w:val="superscript"/>
              </w:rPr>
              <w:t>a</w:t>
            </w:r>
            <w:r w:rsidRPr="00DB1AEE">
              <w:rPr>
                <w:szCs w:val="24"/>
                <w:u w:val="single"/>
              </w:rPr>
              <w:t xml:space="preserve"> + 0.6400</w:t>
            </w:r>
            <w:r w:rsidRPr="00DB1AEE">
              <w:rPr>
                <w:szCs w:val="24"/>
                <w:u w:val="single"/>
              </w:rPr>
              <w:br/>
              <w:t>kW</w:t>
            </w:r>
          </w:p>
        </w:tc>
        <w:tc>
          <w:tcPr>
            <w:tcW w:w="1880" w:type="dxa"/>
            <w:tcBorders>
              <w:top w:val="nil"/>
              <w:left w:val="nil"/>
              <w:bottom w:val="single" w:sz="4" w:space="0" w:color="auto"/>
              <w:right w:val="single" w:sz="4" w:space="0" w:color="auto"/>
            </w:tcBorders>
            <w:shd w:val="clear" w:color="000000" w:fill="FFFFFF"/>
            <w:hideMark/>
          </w:tcPr>
          <w:p w14:paraId="79F9F8F0" w14:textId="77777777" w:rsidR="00DB1AEE" w:rsidRPr="00DB1AEE" w:rsidRDefault="00DB1AEE" w:rsidP="00DB1AEE">
            <w:pPr>
              <w:suppressAutoHyphens/>
              <w:jc w:val="center"/>
              <w:rPr>
                <w:szCs w:val="24"/>
                <w:u w:val="single"/>
              </w:rPr>
            </w:pPr>
            <w:r w:rsidRPr="00DB1AEE">
              <w:rPr>
                <w:szCs w:val="24"/>
                <w:u w:val="single"/>
              </w:rPr>
              <w:t>≥ 55</w:t>
            </w:r>
          </w:p>
        </w:tc>
        <w:tc>
          <w:tcPr>
            <w:tcW w:w="2200" w:type="dxa"/>
            <w:vMerge/>
            <w:tcBorders>
              <w:top w:val="nil"/>
              <w:left w:val="single" w:sz="4" w:space="0" w:color="auto"/>
              <w:bottom w:val="single" w:sz="4" w:space="0" w:color="000000"/>
              <w:right w:val="single" w:sz="4" w:space="0" w:color="auto"/>
            </w:tcBorders>
            <w:vAlign w:val="center"/>
            <w:hideMark/>
          </w:tcPr>
          <w:p w14:paraId="05D017C9" w14:textId="77777777" w:rsidR="00DB1AEE" w:rsidRPr="00DB1AEE" w:rsidRDefault="00DB1AEE" w:rsidP="00DB1AEE">
            <w:pPr>
              <w:suppressAutoHyphens/>
              <w:jc w:val="center"/>
              <w:rPr>
                <w:szCs w:val="24"/>
                <w:u w:val="single"/>
              </w:rPr>
            </w:pPr>
          </w:p>
        </w:tc>
      </w:tr>
      <w:tr w:rsidR="00DB1AEE" w:rsidRPr="00DB1AEE" w14:paraId="10B49406" w14:textId="77777777" w:rsidTr="00FC1832">
        <w:trPr>
          <w:trHeight w:val="735"/>
          <w:jc w:val="center"/>
        </w:trPr>
        <w:tc>
          <w:tcPr>
            <w:tcW w:w="1460" w:type="dxa"/>
            <w:vMerge/>
            <w:tcBorders>
              <w:top w:val="nil"/>
              <w:left w:val="single" w:sz="4" w:space="0" w:color="auto"/>
              <w:bottom w:val="single" w:sz="4" w:space="0" w:color="000000"/>
              <w:right w:val="single" w:sz="4" w:space="0" w:color="auto"/>
            </w:tcBorders>
            <w:vAlign w:val="center"/>
            <w:hideMark/>
          </w:tcPr>
          <w:p w14:paraId="2FFAAA04" w14:textId="77777777" w:rsidR="00DB1AEE" w:rsidRPr="00DB1AEE" w:rsidRDefault="00DB1AEE" w:rsidP="00DB1AEE">
            <w:pPr>
              <w:suppressAutoHyphens/>
              <w:jc w:val="center"/>
              <w:rPr>
                <w:szCs w:val="24"/>
                <w:u w:val="single"/>
              </w:rPr>
            </w:pPr>
          </w:p>
        </w:tc>
        <w:tc>
          <w:tcPr>
            <w:tcW w:w="1680" w:type="dxa"/>
            <w:tcBorders>
              <w:top w:val="nil"/>
              <w:left w:val="nil"/>
              <w:bottom w:val="single" w:sz="4" w:space="0" w:color="auto"/>
              <w:right w:val="single" w:sz="4" w:space="0" w:color="auto"/>
            </w:tcBorders>
            <w:shd w:val="clear" w:color="000000" w:fill="FFFFFF"/>
            <w:hideMark/>
          </w:tcPr>
          <w:p w14:paraId="3E592927" w14:textId="77777777" w:rsidR="00DB1AEE" w:rsidRPr="00DB1AEE" w:rsidRDefault="00DB1AEE" w:rsidP="00DB1AEE">
            <w:pPr>
              <w:suppressAutoHyphens/>
              <w:jc w:val="center"/>
              <w:rPr>
                <w:szCs w:val="24"/>
                <w:u w:val="single"/>
              </w:rPr>
            </w:pPr>
            <w:r w:rsidRPr="00DB1AEE">
              <w:rPr>
                <w:szCs w:val="24"/>
                <w:u w:val="single"/>
              </w:rPr>
              <w:t>Convection Mode</w:t>
            </w:r>
          </w:p>
        </w:tc>
        <w:tc>
          <w:tcPr>
            <w:tcW w:w="3100" w:type="dxa"/>
            <w:tcBorders>
              <w:top w:val="nil"/>
              <w:left w:val="nil"/>
              <w:bottom w:val="single" w:sz="4" w:space="0" w:color="auto"/>
              <w:right w:val="single" w:sz="4" w:space="0" w:color="auto"/>
            </w:tcBorders>
            <w:shd w:val="clear" w:color="000000" w:fill="FFFFFF"/>
            <w:hideMark/>
          </w:tcPr>
          <w:p w14:paraId="7D8CA4DE" w14:textId="77777777" w:rsidR="00DB1AEE" w:rsidRPr="00DB1AEE" w:rsidRDefault="00DB1AEE" w:rsidP="00DB1AEE">
            <w:pPr>
              <w:suppressAutoHyphens/>
              <w:jc w:val="center"/>
              <w:rPr>
                <w:szCs w:val="24"/>
                <w:u w:val="single"/>
              </w:rPr>
            </w:pPr>
            <w:r w:rsidRPr="00DB1AEE">
              <w:rPr>
                <w:szCs w:val="24"/>
                <w:u w:val="single"/>
              </w:rPr>
              <w:t>≤ 0.080P</w:t>
            </w:r>
            <w:r w:rsidRPr="00DB1AEE">
              <w:rPr>
                <w:szCs w:val="24"/>
                <w:u w:val="single"/>
                <w:vertAlign w:val="superscript"/>
              </w:rPr>
              <w:t>a</w:t>
            </w:r>
            <w:r w:rsidRPr="00DB1AEE">
              <w:rPr>
                <w:szCs w:val="24"/>
                <w:u w:val="single"/>
              </w:rPr>
              <w:t xml:space="preserve"> + 0.4989</w:t>
            </w:r>
            <w:r w:rsidRPr="00DB1AEE">
              <w:rPr>
                <w:szCs w:val="24"/>
                <w:u w:val="single"/>
              </w:rPr>
              <w:br/>
              <w:t>kW</w:t>
            </w:r>
          </w:p>
        </w:tc>
        <w:tc>
          <w:tcPr>
            <w:tcW w:w="1880" w:type="dxa"/>
            <w:tcBorders>
              <w:top w:val="nil"/>
              <w:left w:val="nil"/>
              <w:bottom w:val="single" w:sz="4" w:space="0" w:color="auto"/>
              <w:right w:val="single" w:sz="4" w:space="0" w:color="auto"/>
            </w:tcBorders>
            <w:shd w:val="clear" w:color="000000" w:fill="FFFFFF"/>
            <w:hideMark/>
          </w:tcPr>
          <w:p w14:paraId="179DC17A" w14:textId="77777777" w:rsidR="00DB1AEE" w:rsidRPr="00DB1AEE" w:rsidRDefault="00DB1AEE" w:rsidP="00DB1AEE">
            <w:pPr>
              <w:suppressAutoHyphens/>
              <w:jc w:val="center"/>
              <w:rPr>
                <w:szCs w:val="24"/>
                <w:u w:val="single"/>
              </w:rPr>
            </w:pPr>
            <w:r w:rsidRPr="00DB1AEE">
              <w:rPr>
                <w:szCs w:val="24"/>
                <w:u w:val="single"/>
              </w:rPr>
              <w:t>≥ 76</w:t>
            </w:r>
          </w:p>
        </w:tc>
        <w:tc>
          <w:tcPr>
            <w:tcW w:w="2200" w:type="dxa"/>
            <w:vMerge/>
            <w:tcBorders>
              <w:top w:val="nil"/>
              <w:left w:val="single" w:sz="4" w:space="0" w:color="auto"/>
              <w:bottom w:val="single" w:sz="4" w:space="0" w:color="000000"/>
              <w:right w:val="single" w:sz="4" w:space="0" w:color="auto"/>
            </w:tcBorders>
            <w:vAlign w:val="center"/>
            <w:hideMark/>
          </w:tcPr>
          <w:p w14:paraId="1A141D4B" w14:textId="77777777" w:rsidR="00DB1AEE" w:rsidRPr="00DB1AEE" w:rsidRDefault="00DB1AEE" w:rsidP="00DB1AEE">
            <w:pPr>
              <w:suppressAutoHyphens/>
              <w:jc w:val="center"/>
              <w:rPr>
                <w:szCs w:val="24"/>
                <w:u w:val="single"/>
              </w:rPr>
            </w:pPr>
          </w:p>
        </w:tc>
      </w:tr>
      <w:tr w:rsidR="00DB1AEE" w:rsidRPr="00DB1AEE" w14:paraId="51F7E3C0" w14:textId="77777777" w:rsidTr="00FC1832">
        <w:trPr>
          <w:trHeight w:val="379"/>
          <w:jc w:val="center"/>
        </w:trPr>
        <w:tc>
          <w:tcPr>
            <w:tcW w:w="10320"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7A9F727B" w14:textId="77777777" w:rsidR="00DB1AEE" w:rsidRPr="00DB1AEE" w:rsidRDefault="00DB1AEE" w:rsidP="00DB1AEE">
            <w:pPr>
              <w:suppressAutoHyphens/>
              <w:jc w:val="center"/>
              <w:rPr>
                <w:b/>
                <w:bCs/>
                <w:szCs w:val="24"/>
                <w:u w:val="single"/>
              </w:rPr>
            </w:pPr>
            <w:r w:rsidRPr="00DB1AEE">
              <w:rPr>
                <w:b/>
                <w:bCs/>
                <w:szCs w:val="24"/>
                <w:u w:val="single"/>
              </w:rPr>
              <w:t>Rack Ovens</w:t>
            </w:r>
          </w:p>
        </w:tc>
      </w:tr>
      <w:tr w:rsidR="00DB1AEE" w:rsidRPr="00DB1AEE" w14:paraId="55EF7CCF" w14:textId="77777777" w:rsidTr="00FC1832">
        <w:trPr>
          <w:trHeight w:val="379"/>
          <w:jc w:val="center"/>
        </w:trPr>
        <w:tc>
          <w:tcPr>
            <w:tcW w:w="14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DE91B63" w14:textId="77777777" w:rsidR="00DB1AEE" w:rsidRPr="00DB1AEE" w:rsidRDefault="00DB1AEE" w:rsidP="00DB1AEE">
            <w:pPr>
              <w:suppressAutoHyphens/>
              <w:jc w:val="center"/>
              <w:rPr>
                <w:szCs w:val="24"/>
                <w:u w:val="single"/>
              </w:rPr>
            </w:pPr>
            <w:r w:rsidRPr="00DB1AEE">
              <w:rPr>
                <w:szCs w:val="24"/>
                <w:u w:val="single"/>
              </w:rPr>
              <w:t>Gas</w:t>
            </w:r>
          </w:p>
        </w:tc>
        <w:tc>
          <w:tcPr>
            <w:tcW w:w="1680" w:type="dxa"/>
            <w:tcBorders>
              <w:top w:val="nil"/>
              <w:left w:val="nil"/>
              <w:bottom w:val="single" w:sz="4" w:space="0" w:color="auto"/>
              <w:right w:val="single" w:sz="4" w:space="0" w:color="auto"/>
            </w:tcBorders>
            <w:shd w:val="clear" w:color="000000" w:fill="FFFFFF"/>
            <w:hideMark/>
          </w:tcPr>
          <w:p w14:paraId="62CC6840" w14:textId="77777777" w:rsidR="00DB1AEE" w:rsidRPr="00DB1AEE" w:rsidRDefault="00DB1AEE" w:rsidP="00DB1AEE">
            <w:pPr>
              <w:suppressAutoHyphens/>
              <w:jc w:val="center"/>
              <w:rPr>
                <w:szCs w:val="24"/>
                <w:u w:val="single"/>
              </w:rPr>
            </w:pPr>
            <w:r w:rsidRPr="00DB1AEE">
              <w:rPr>
                <w:szCs w:val="24"/>
                <w:u w:val="single"/>
              </w:rPr>
              <w:t>Single</w:t>
            </w:r>
          </w:p>
        </w:tc>
        <w:tc>
          <w:tcPr>
            <w:tcW w:w="3100" w:type="dxa"/>
            <w:tcBorders>
              <w:top w:val="nil"/>
              <w:left w:val="nil"/>
              <w:bottom w:val="single" w:sz="4" w:space="0" w:color="auto"/>
              <w:right w:val="single" w:sz="4" w:space="0" w:color="auto"/>
            </w:tcBorders>
            <w:shd w:val="clear" w:color="000000" w:fill="FFFFFF"/>
            <w:hideMark/>
          </w:tcPr>
          <w:p w14:paraId="56C83D6F" w14:textId="77777777" w:rsidR="00DB1AEE" w:rsidRPr="00DB1AEE" w:rsidRDefault="00DB1AEE" w:rsidP="00DB1AEE">
            <w:pPr>
              <w:suppressAutoHyphens/>
              <w:jc w:val="center"/>
              <w:rPr>
                <w:szCs w:val="24"/>
                <w:u w:val="single"/>
              </w:rPr>
            </w:pPr>
            <w:r w:rsidRPr="00DB1AEE">
              <w:rPr>
                <w:szCs w:val="24"/>
                <w:u w:val="single"/>
              </w:rPr>
              <w:t>≤ 25,000 Btu/h</w:t>
            </w:r>
          </w:p>
        </w:tc>
        <w:tc>
          <w:tcPr>
            <w:tcW w:w="1880" w:type="dxa"/>
            <w:tcBorders>
              <w:top w:val="nil"/>
              <w:left w:val="nil"/>
              <w:bottom w:val="single" w:sz="4" w:space="0" w:color="auto"/>
              <w:right w:val="single" w:sz="4" w:space="0" w:color="auto"/>
            </w:tcBorders>
            <w:shd w:val="clear" w:color="000000" w:fill="FFFFFF"/>
            <w:hideMark/>
          </w:tcPr>
          <w:p w14:paraId="5AE9B186" w14:textId="77777777" w:rsidR="00DB1AEE" w:rsidRPr="00DB1AEE" w:rsidRDefault="00DB1AEE" w:rsidP="00DB1AEE">
            <w:pPr>
              <w:suppressAutoHyphens/>
              <w:jc w:val="center"/>
              <w:rPr>
                <w:szCs w:val="24"/>
                <w:u w:val="single"/>
              </w:rPr>
            </w:pPr>
            <w:r w:rsidRPr="00DB1AEE">
              <w:rPr>
                <w:szCs w:val="24"/>
                <w:u w:val="single"/>
              </w:rPr>
              <w:t>≥ 48</w:t>
            </w:r>
          </w:p>
        </w:tc>
        <w:tc>
          <w:tcPr>
            <w:tcW w:w="220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24C5897" w14:textId="77777777" w:rsidR="00DB1AEE" w:rsidRPr="00DB1AEE" w:rsidRDefault="00DB1AEE" w:rsidP="00DB1AEE">
            <w:pPr>
              <w:suppressAutoHyphens/>
              <w:jc w:val="center"/>
              <w:rPr>
                <w:szCs w:val="24"/>
                <w:u w:val="single"/>
              </w:rPr>
            </w:pPr>
            <w:r w:rsidRPr="00DB1AEE">
              <w:rPr>
                <w:szCs w:val="24"/>
                <w:u w:val="single"/>
              </w:rPr>
              <w:t>ASTM F2093 - 18</w:t>
            </w:r>
          </w:p>
        </w:tc>
      </w:tr>
      <w:tr w:rsidR="00DB1AEE" w:rsidRPr="00DB1AEE" w14:paraId="73D1308D" w14:textId="77777777" w:rsidTr="00FC1832">
        <w:trPr>
          <w:trHeight w:val="630"/>
          <w:jc w:val="center"/>
        </w:trPr>
        <w:tc>
          <w:tcPr>
            <w:tcW w:w="1460" w:type="dxa"/>
            <w:vMerge/>
            <w:tcBorders>
              <w:top w:val="nil"/>
              <w:left w:val="single" w:sz="4" w:space="0" w:color="auto"/>
              <w:bottom w:val="single" w:sz="4" w:space="0" w:color="000000"/>
              <w:right w:val="single" w:sz="4" w:space="0" w:color="auto"/>
            </w:tcBorders>
            <w:vAlign w:val="center"/>
            <w:hideMark/>
          </w:tcPr>
          <w:p w14:paraId="5F93F6E0" w14:textId="77777777" w:rsidR="00DB1AEE" w:rsidRPr="00DB1AEE" w:rsidRDefault="00DB1AEE" w:rsidP="00DB1AEE">
            <w:pPr>
              <w:suppressAutoHyphens/>
              <w:jc w:val="center"/>
              <w:rPr>
                <w:szCs w:val="24"/>
                <w:u w:val="single"/>
              </w:rPr>
            </w:pPr>
          </w:p>
        </w:tc>
        <w:tc>
          <w:tcPr>
            <w:tcW w:w="1680" w:type="dxa"/>
            <w:tcBorders>
              <w:top w:val="nil"/>
              <w:left w:val="nil"/>
              <w:bottom w:val="single" w:sz="4" w:space="0" w:color="auto"/>
              <w:right w:val="single" w:sz="4" w:space="0" w:color="auto"/>
            </w:tcBorders>
            <w:shd w:val="clear" w:color="000000" w:fill="FFFFFF"/>
            <w:hideMark/>
          </w:tcPr>
          <w:p w14:paraId="4A72DBDF" w14:textId="77777777" w:rsidR="00DB1AEE" w:rsidRPr="00DB1AEE" w:rsidRDefault="00DB1AEE" w:rsidP="00DB1AEE">
            <w:pPr>
              <w:suppressAutoHyphens/>
              <w:jc w:val="center"/>
              <w:rPr>
                <w:szCs w:val="24"/>
                <w:u w:val="single"/>
              </w:rPr>
            </w:pPr>
            <w:r w:rsidRPr="00DB1AEE">
              <w:rPr>
                <w:szCs w:val="24"/>
                <w:u w:val="single"/>
              </w:rPr>
              <w:br/>
              <w:t>Double</w:t>
            </w:r>
          </w:p>
        </w:tc>
        <w:tc>
          <w:tcPr>
            <w:tcW w:w="3100" w:type="dxa"/>
            <w:tcBorders>
              <w:top w:val="nil"/>
              <w:left w:val="nil"/>
              <w:bottom w:val="single" w:sz="4" w:space="0" w:color="auto"/>
              <w:right w:val="single" w:sz="4" w:space="0" w:color="auto"/>
            </w:tcBorders>
            <w:shd w:val="clear" w:color="000000" w:fill="FFFFFF"/>
            <w:hideMark/>
          </w:tcPr>
          <w:p w14:paraId="3369D474" w14:textId="77777777" w:rsidR="00DB1AEE" w:rsidRPr="00DB1AEE" w:rsidRDefault="00DB1AEE" w:rsidP="00DB1AEE">
            <w:pPr>
              <w:suppressAutoHyphens/>
              <w:ind w:firstLineChars="200" w:firstLine="480"/>
              <w:jc w:val="center"/>
              <w:rPr>
                <w:szCs w:val="24"/>
                <w:u w:val="single"/>
              </w:rPr>
            </w:pPr>
            <w:r w:rsidRPr="00DB1AEE">
              <w:rPr>
                <w:szCs w:val="24"/>
                <w:u w:val="single"/>
              </w:rPr>
              <w:br/>
              <w:t>≤ 30,000 Btu/h</w:t>
            </w:r>
          </w:p>
        </w:tc>
        <w:tc>
          <w:tcPr>
            <w:tcW w:w="1880" w:type="dxa"/>
            <w:tcBorders>
              <w:top w:val="nil"/>
              <w:left w:val="nil"/>
              <w:bottom w:val="single" w:sz="4" w:space="0" w:color="auto"/>
              <w:right w:val="single" w:sz="4" w:space="0" w:color="auto"/>
            </w:tcBorders>
            <w:shd w:val="clear" w:color="000000" w:fill="FFFFFF"/>
            <w:hideMark/>
          </w:tcPr>
          <w:p w14:paraId="7E0822D4" w14:textId="77777777" w:rsidR="00DB1AEE" w:rsidRPr="00DB1AEE" w:rsidRDefault="00DB1AEE" w:rsidP="00DB1AEE">
            <w:pPr>
              <w:suppressAutoHyphens/>
              <w:jc w:val="center"/>
              <w:rPr>
                <w:szCs w:val="24"/>
                <w:u w:val="single"/>
              </w:rPr>
            </w:pPr>
            <w:r w:rsidRPr="00DB1AEE">
              <w:rPr>
                <w:szCs w:val="24"/>
                <w:u w:val="single"/>
              </w:rPr>
              <w:br/>
              <w:t>≥ 52</w:t>
            </w:r>
          </w:p>
        </w:tc>
        <w:tc>
          <w:tcPr>
            <w:tcW w:w="2200" w:type="dxa"/>
            <w:vMerge/>
            <w:tcBorders>
              <w:top w:val="nil"/>
              <w:left w:val="single" w:sz="4" w:space="0" w:color="auto"/>
              <w:bottom w:val="single" w:sz="4" w:space="0" w:color="000000"/>
              <w:right w:val="single" w:sz="4" w:space="0" w:color="auto"/>
            </w:tcBorders>
            <w:vAlign w:val="center"/>
            <w:hideMark/>
          </w:tcPr>
          <w:p w14:paraId="192D242A" w14:textId="77777777" w:rsidR="00DB1AEE" w:rsidRPr="00DB1AEE" w:rsidRDefault="00DB1AEE" w:rsidP="00DB1AEE">
            <w:pPr>
              <w:suppressAutoHyphens/>
              <w:jc w:val="center"/>
              <w:rPr>
                <w:szCs w:val="24"/>
                <w:u w:val="single"/>
              </w:rPr>
            </w:pPr>
          </w:p>
        </w:tc>
      </w:tr>
    </w:tbl>
    <w:p w14:paraId="3B40947F" w14:textId="77777777" w:rsidR="00DB1AEE" w:rsidRPr="00DB1AEE" w:rsidRDefault="00DB1AEE" w:rsidP="00DB1AEE">
      <w:pPr>
        <w:suppressAutoHyphens/>
        <w:spacing w:before="72" w:line="250" w:lineRule="auto"/>
        <w:ind w:left="1008" w:right="331" w:hanging="288"/>
        <w:rPr>
          <w:szCs w:val="24"/>
          <w:u w:val="single"/>
        </w:rPr>
      </w:pPr>
      <w:r w:rsidRPr="00DB1AEE">
        <w:rPr>
          <w:szCs w:val="24"/>
          <w:u w:val="single"/>
        </w:rPr>
        <w:t>a. P = Pan Capacity: The number of steam table pans the combination oven is able to accommodate as per the ASTM F1495 – 05 standard specification.</w:t>
      </w:r>
    </w:p>
    <w:p w14:paraId="378DAEF8" w14:textId="77777777" w:rsidR="00DB1AEE" w:rsidRPr="00DB1AEE" w:rsidRDefault="00DB1AEE" w:rsidP="00DB1AEE">
      <w:pPr>
        <w:widowControl w:val="0"/>
        <w:suppressAutoHyphens/>
        <w:spacing w:before="130" w:after="130"/>
        <w:jc w:val="left"/>
        <w:rPr>
          <w:b/>
          <w:bCs/>
          <w:u w:val="single"/>
        </w:rPr>
      </w:pPr>
      <w:r w:rsidRPr="00DB1AEE">
        <w:rPr>
          <w:b/>
          <w:bCs/>
          <w:u w:val="single"/>
        </w:rPr>
        <w:t xml:space="preserve">Section 11- ADDITIONAL EFFICIENCY REQUIREMENTS.   </w:t>
      </w:r>
    </w:p>
    <w:p w14:paraId="517E29F9" w14:textId="77777777" w:rsidR="00DB1AEE" w:rsidRPr="00DB1AEE" w:rsidRDefault="00DB1AEE" w:rsidP="00DB1AEE">
      <w:pPr>
        <w:widowControl w:val="0"/>
        <w:suppressAutoHyphens/>
        <w:spacing w:before="130" w:after="130"/>
        <w:jc w:val="left"/>
        <w:rPr>
          <w:b/>
          <w:bCs/>
          <w:u w:val="single"/>
        </w:rPr>
      </w:pPr>
      <w:r w:rsidRPr="00DB1AEE">
        <w:rPr>
          <w:b/>
          <w:bCs/>
          <w:u w:val="single"/>
        </w:rPr>
        <w:t>Section 11.5.2 Energy Credits Achieved.</w:t>
      </w:r>
    </w:p>
    <w:p w14:paraId="701D130A" w14:textId="77777777" w:rsidR="00DB1AEE" w:rsidRPr="00DB1AEE" w:rsidRDefault="00DB1AEE" w:rsidP="00DB1AEE">
      <w:pPr>
        <w:widowControl w:val="0"/>
        <w:suppressAutoHyphens/>
        <w:spacing w:before="130" w:after="130"/>
        <w:jc w:val="left"/>
        <w:rPr>
          <w:b/>
          <w:bCs/>
          <w:u w:val="single"/>
        </w:rPr>
      </w:pPr>
      <w:r w:rsidRPr="00DB1AEE">
        <w:rPr>
          <w:u w:val="single"/>
        </w:rPr>
        <w:t>Section 11.5.2– Amend the first paragraph of  Section 11.5.2 to read as follows:</w:t>
      </w:r>
    </w:p>
    <w:p w14:paraId="267061D1" w14:textId="77777777" w:rsidR="00DB1AEE" w:rsidRPr="00DB1AEE" w:rsidRDefault="00DB1AEE" w:rsidP="00DB1AEE">
      <w:pPr>
        <w:widowControl w:val="0"/>
        <w:suppressAutoHyphens/>
        <w:spacing w:before="130" w:after="130"/>
        <w:jc w:val="left"/>
        <w:rPr>
          <w:u w:val="single"/>
        </w:rPr>
      </w:pPr>
      <w:r w:rsidRPr="00DB1AEE">
        <w:rPr>
          <w:u w:val="single"/>
        </w:rPr>
        <w:t>Energy credits achieved for the project shall be the sum of measure energy credits for individual measures included in the project. Energy credits shall only be counted to satisfy this code section if such systems, equipment or efficiencies exceed the requirements of any current state or local law, rule or regulation. Where a project contains multiple building use types, credits achieved for each building use type shall be weighted by the gross floor area of each building use type group to determine the weighted-average project energy credits achieved. The combined renewable (R01) and load management (G01 through G07) energy credits achieved through Section 11.5.2.6 and 11.5.2.8 shall be limited to meeting 60% of required energy credits. Credits are available for the measures listed in Section 11.5.2.1 through 11.5.2.8. Base energy credits are shown in Tables 11.5.3-1 through 11.5.3-9 for building use types in each climate zone. Measure energy credits achieved shall be determined in one of three ways, depending on the measure:</w:t>
      </w:r>
    </w:p>
    <w:p w14:paraId="40655A14" w14:textId="77777777" w:rsidR="00DB1AEE" w:rsidRPr="00DB1AEE" w:rsidRDefault="00DB1AEE" w:rsidP="00DB1AEE">
      <w:pPr>
        <w:widowControl w:val="0"/>
        <w:suppressAutoHyphens/>
        <w:spacing w:before="130" w:after="130"/>
        <w:jc w:val="left"/>
        <w:rPr>
          <w:b/>
          <w:bCs/>
          <w:u w:val="single"/>
        </w:rPr>
      </w:pPr>
      <w:r w:rsidRPr="00DB1AEE">
        <w:rPr>
          <w:b/>
          <w:bCs/>
          <w:u w:val="single"/>
        </w:rPr>
        <w:t>Section 11.5.2.3.1 Improved Service Water Heating Effectiveness.</w:t>
      </w:r>
    </w:p>
    <w:p w14:paraId="0B3D923A" w14:textId="77777777" w:rsidR="00DB1AEE" w:rsidRPr="00DB1AEE" w:rsidRDefault="00DB1AEE" w:rsidP="00DB1AEE">
      <w:pPr>
        <w:widowControl w:val="0"/>
        <w:suppressAutoHyphens/>
        <w:spacing w:before="130" w:after="130"/>
        <w:jc w:val="left"/>
        <w:rPr>
          <w:b/>
          <w:bCs/>
          <w:u w:val="single"/>
        </w:rPr>
      </w:pPr>
      <w:r w:rsidRPr="00DB1AEE">
        <w:rPr>
          <w:u w:val="single"/>
        </w:rPr>
        <w:t>Section 11.5.2.3.1 – Revise item “c” from Section 11.5.2.3.1 to read as follows:</w:t>
      </w:r>
    </w:p>
    <w:p w14:paraId="541F7032" w14:textId="77777777" w:rsidR="00DB1AEE" w:rsidRPr="00DB1AEE" w:rsidRDefault="00DB1AEE" w:rsidP="00DB1AEE">
      <w:pPr>
        <w:widowControl w:val="0"/>
        <w:suppressAutoHyphens/>
        <w:spacing w:before="130" w:after="130"/>
        <w:jc w:val="left"/>
        <w:rPr>
          <w:u w:val="single"/>
        </w:rPr>
      </w:pPr>
      <w:r w:rsidRPr="00DB1AEE">
        <w:rPr>
          <w:u w:val="single"/>
        </w:rPr>
        <w:t>c. Reserved</w:t>
      </w:r>
    </w:p>
    <w:p w14:paraId="551FFFAF" w14:textId="77777777" w:rsidR="00DB1AEE" w:rsidRPr="00DB1AEE" w:rsidRDefault="00DB1AEE" w:rsidP="00DB1AEE">
      <w:pPr>
        <w:widowControl w:val="0"/>
        <w:suppressAutoHyphens/>
        <w:spacing w:before="130" w:after="130"/>
        <w:jc w:val="left"/>
        <w:rPr>
          <w:u w:val="single"/>
        </w:rPr>
      </w:pPr>
      <w:r w:rsidRPr="00DB1AEE">
        <w:rPr>
          <w:u w:val="single"/>
        </w:rPr>
        <w:t>Section 11.5.2.3.1 – Revise item “d” from Section 11.5.2.3.1 to read as follows:</w:t>
      </w:r>
    </w:p>
    <w:p w14:paraId="47A0CE64" w14:textId="77777777" w:rsidR="00DB1AEE" w:rsidRPr="00DB1AEE" w:rsidRDefault="00DB1AEE" w:rsidP="00DB1AEE">
      <w:pPr>
        <w:widowControl w:val="0"/>
        <w:suppressAutoHyphens/>
        <w:spacing w:before="130" w:after="130"/>
        <w:jc w:val="left"/>
        <w:rPr>
          <w:u w:val="single"/>
        </w:rPr>
      </w:pPr>
      <w:r w:rsidRPr="00DB1AEE">
        <w:rPr>
          <w:u w:val="single"/>
        </w:rPr>
        <w:t>d. Combination service water heating systems shall achieve credits as follows:</w:t>
      </w:r>
    </w:p>
    <w:p w14:paraId="7F1AA8CB" w14:textId="77777777" w:rsidR="00DB1AEE" w:rsidRPr="00DB1AEE" w:rsidRDefault="00DB1AEE" w:rsidP="00DB1AEE">
      <w:pPr>
        <w:widowControl w:val="0"/>
        <w:suppressAutoHyphens/>
        <w:spacing w:before="130" w:after="130"/>
        <w:jc w:val="left"/>
        <w:rPr>
          <w:u w:val="single"/>
        </w:rPr>
      </w:pPr>
      <w:r w:rsidRPr="00DB1AEE">
        <w:rPr>
          <w:u w:val="single"/>
        </w:rPr>
        <w:t>1. (W01 + W02) Where service water heating employs both energy recovery and heat-pump water heating, W01 is permitted to be combined with W02 and receive the sum of both credits.</w:t>
      </w:r>
    </w:p>
    <w:p w14:paraId="3CCA651D" w14:textId="77777777" w:rsidR="00DB1AEE" w:rsidRPr="00DB1AEE" w:rsidRDefault="00DB1AEE" w:rsidP="00DB1AEE">
      <w:pPr>
        <w:widowControl w:val="0"/>
        <w:suppressAutoHyphens/>
        <w:spacing w:before="130" w:after="130"/>
        <w:jc w:val="left"/>
        <w:rPr>
          <w:u w:val="single"/>
        </w:rPr>
      </w:pPr>
      <w:r w:rsidRPr="00DB1AEE">
        <w:rPr>
          <w:u w:val="single"/>
        </w:rPr>
        <w:t>2. reserved</w:t>
      </w:r>
    </w:p>
    <w:p w14:paraId="3B95DCA2" w14:textId="77777777" w:rsidR="00DB1AEE" w:rsidRPr="00DB1AEE" w:rsidRDefault="00DB1AEE" w:rsidP="00DB1AEE">
      <w:pPr>
        <w:widowControl w:val="0"/>
        <w:suppressAutoHyphens/>
        <w:spacing w:before="130" w:after="130"/>
        <w:jc w:val="left"/>
        <w:rPr>
          <w:u w:val="single"/>
        </w:rPr>
      </w:pPr>
      <w:r w:rsidRPr="00DB1AEE">
        <w:rPr>
          <w:u w:val="single"/>
        </w:rPr>
        <w:t>3. Reserved</w:t>
      </w:r>
    </w:p>
    <w:p w14:paraId="7F3DF72F" w14:textId="77777777" w:rsidR="00DB1AEE" w:rsidRPr="00DB1AEE" w:rsidRDefault="00DB1AEE" w:rsidP="00DB1AEE">
      <w:pPr>
        <w:widowControl w:val="0"/>
        <w:suppressAutoHyphens/>
        <w:spacing w:before="130" w:after="130"/>
        <w:jc w:val="left"/>
        <w:rPr>
          <w:u w:val="single"/>
        </w:rPr>
      </w:pPr>
      <w:r w:rsidRPr="00DB1AEE">
        <w:rPr>
          <w:u w:val="single"/>
        </w:rPr>
        <w:t>4. Reserved</w:t>
      </w:r>
    </w:p>
    <w:p w14:paraId="0740B918" w14:textId="77777777" w:rsidR="00DB1AEE" w:rsidRPr="00DB1AEE" w:rsidRDefault="00DB1AEE" w:rsidP="00DB1AEE">
      <w:pPr>
        <w:widowControl w:val="0"/>
        <w:suppressAutoHyphens/>
        <w:spacing w:before="130" w:after="130"/>
        <w:jc w:val="left"/>
        <w:rPr>
          <w:b/>
          <w:bCs/>
          <w:u w:val="single"/>
        </w:rPr>
      </w:pPr>
      <w:r w:rsidRPr="00DB1AEE">
        <w:rPr>
          <w:b/>
          <w:bCs/>
          <w:u w:val="single"/>
        </w:rPr>
        <w:t>Section 11.5.2.7.1 Q01: Efficient Elevator Equipment.</w:t>
      </w:r>
    </w:p>
    <w:p w14:paraId="59097A4D" w14:textId="77777777" w:rsidR="00DB1AEE" w:rsidRPr="00DB1AEE" w:rsidRDefault="00DB1AEE" w:rsidP="00DB1AEE">
      <w:pPr>
        <w:widowControl w:val="0"/>
        <w:suppressAutoHyphens/>
        <w:spacing w:before="130" w:after="130"/>
        <w:jc w:val="left"/>
        <w:rPr>
          <w:b/>
          <w:bCs/>
          <w:u w:val="single"/>
        </w:rPr>
      </w:pPr>
      <w:r w:rsidRPr="00DB1AEE">
        <w:rPr>
          <w:u w:val="single"/>
        </w:rPr>
        <w:t>Section 11.5.2.7.1 – Revise Section 11.5.2.7.1 to read as follows:</w:t>
      </w:r>
    </w:p>
    <w:p w14:paraId="5BA5B8BC" w14:textId="77777777" w:rsidR="00DB1AEE" w:rsidRPr="00DB1AEE" w:rsidRDefault="00DB1AEE" w:rsidP="00DB1AEE">
      <w:pPr>
        <w:widowControl w:val="0"/>
        <w:suppressAutoHyphens/>
        <w:spacing w:before="130" w:after="130"/>
        <w:jc w:val="left"/>
        <w:rPr>
          <w:u w:val="single"/>
        </w:rPr>
      </w:pPr>
      <w:r w:rsidRPr="00DB1AEE">
        <w:rPr>
          <w:b/>
          <w:bCs/>
          <w:u w:val="single"/>
        </w:rPr>
        <w:t xml:space="preserve">11.5.2.7.1 Q01: Efficient Elevator Equipment. </w:t>
      </w:r>
      <w:r w:rsidRPr="00DB1AEE">
        <w:rPr>
          <w:u w:val="single"/>
        </w:rPr>
        <w:t xml:space="preserve">Reserved. </w:t>
      </w:r>
    </w:p>
    <w:p w14:paraId="7FACD930" w14:textId="77777777" w:rsidR="00DB1AEE" w:rsidRPr="00DB1AEE" w:rsidRDefault="00DB1AEE" w:rsidP="00DB1AEE">
      <w:pPr>
        <w:widowControl w:val="0"/>
        <w:suppressAutoHyphens/>
        <w:spacing w:before="130" w:after="130"/>
        <w:jc w:val="left"/>
        <w:rPr>
          <w:b/>
          <w:bCs/>
          <w:u w:val="single"/>
        </w:rPr>
      </w:pPr>
      <w:r w:rsidRPr="00DB1AEE">
        <w:rPr>
          <w:b/>
          <w:bCs/>
          <w:u w:val="single"/>
        </w:rPr>
        <w:t>Section 11.5.2.7.2 Q02: Efficient Kitchen Equipment.</w:t>
      </w:r>
    </w:p>
    <w:p w14:paraId="2514FEED" w14:textId="77777777" w:rsidR="00DB1AEE" w:rsidRPr="00DB1AEE" w:rsidRDefault="00DB1AEE" w:rsidP="00DB1AEE">
      <w:pPr>
        <w:widowControl w:val="0"/>
        <w:suppressAutoHyphens/>
        <w:spacing w:before="130" w:after="130"/>
        <w:jc w:val="left"/>
        <w:rPr>
          <w:b/>
          <w:bCs/>
          <w:u w:val="single"/>
        </w:rPr>
      </w:pPr>
      <w:r w:rsidRPr="00DB1AEE">
        <w:rPr>
          <w:u w:val="single"/>
        </w:rPr>
        <w:t>Section 11.5.2.7.2 – Revise Section 11.5.2.7.2 to read as follows:</w:t>
      </w:r>
    </w:p>
    <w:p w14:paraId="31848092" w14:textId="77777777" w:rsidR="00DB1AEE" w:rsidRPr="00DB1AEE" w:rsidRDefault="00DB1AEE" w:rsidP="00DB1AEE">
      <w:pPr>
        <w:widowControl w:val="0"/>
        <w:suppressAutoHyphens/>
        <w:spacing w:before="130" w:after="130"/>
        <w:jc w:val="left"/>
        <w:rPr>
          <w:u w:val="single"/>
        </w:rPr>
      </w:pPr>
      <w:r w:rsidRPr="00DB1AEE">
        <w:rPr>
          <w:b/>
          <w:bCs/>
          <w:u w:val="single"/>
        </w:rPr>
        <w:t xml:space="preserve">11.5.2.7.2 Q02: Efficient Kitchen Equipment. </w:t>
      </w:r>
      <w:r w:rsidRPr="00DB1AEE">
        <w:rPr>
          <w:u w:val="single"/>
        </w:rPr>
        <w:t xml:space="preserve">Reserved </w:t>
      </w:r>
    </w:p>
    <w:p w14:paraId="43453CE7" w14:textId="77777777" w:rsidR="00DB1AEE" w:rsidRPr="00DB1AEE" w:rsidRDefault="00DB1AEE" w:rsidP="00DB1AEE">
      <w:pPr>
        <w:widowControl w:val="0"/>
        <w:suppressAutoHyphens/>
        <w:spacing w:before="130" w:after="130"/>
        <w:jc w:val="left"/>
        <w:rPr>
          <w:u w:val="single"/>
        </w:rPr>
      </w:pPr>
    </w:p>
    <w:p w14:paraId="523E37EB" w14:textId="77777777" w:rsidR="00DB1AEE" w:rsidRPr="00DB1AEE" w:rsidRDefault="00DB1AEE" w:rsidP="00DB1AEE">
      <w:pPr>
        <w:suppressAutoHyphens/>
        <w:spacing w:before="120" w:after="120"/>
        <w:jc w:val="center"/>
        <w:rPr>
          <w:b/>
          <w:bCs/>
          <w:szCs w:val="24"/>
          <w:u w:val="single"/>
        </w:rPr>
      </w:pPr>
    </w:p>
    <w:p w14:paraId="37F40F95" w14:textId="77777777" w:rsidR="00DB1AEE" w:rsidRPr="00DB1AEE" w:rsidRDefault="00DB1AEE" w:rsidP="00DB1AEE">
      <w:pPr>
        <w:suppressAutoHyphens/>
        <w:spacing w:before="120" w:after="120"/>
        <w:jc w:val="center"/>
        <w:rPr>
          <w:b/>
          <w:bCs/>
          <w:szCs w:val="24"/>
          <w:u w:val="single"/>
        </w:rPr>
      </w:pPr>
    </w:p>
    <w:p w14:paraId="29069F79" w14:textId="77777777" w:rsidR="00DB1AEE" w:rsidRPr="00DB1AEE" w:rsidRDefault="00DB1AEE" w:rsidP="00DB1AEE">
      <w:pPr>
        <w:suppressAutoHyphens/>
        <w:spacing w:before="120" w:after="120"/>
        <w:jc w:val="center"/>
        <w:rPr>
          <w:szCs w:val="24"/>
          <w:u w:val="single"/>
        </w:rPr>
      </w:pPr>
    </w:p>
    <w:p w14:paraId="7E209E59" w14:textId="77777777" w:rsidR="00DB1AEE" w:rsidRPr="00DB1AEE" w:rsidRDefault="00DB1AEE" w:rsidP="00DB1AEE">
      <w:pPr>
        <w:widowControl w:val="0"/>
        <w:suppressAutoHyphens/>
        <w:spacing w:before="130" w:after="130"/>
        <w:ind w:left="360"/>
        <w:jc w:val="left"/>
        <w:rPr>
          <w:b/>
          <w:bCs/>
          <w:u w:val="single"/>
        </w:rPr>
      </w:pPr>
    </w:p>
    <w:p w14:paraId="4467C1C8" w14:textId="77777777" w:rsidR="00DB1AEE" w:rsidRPr="00DB1AEE" w:rsidRDefault="00DB1AEE" w:rsidP="00DB1AEE">
      <w:pPr>
        <w:widowControl w:val="0"/>
        <w:suppressAutoHyphens/>
        <w:spacing w:before="130" w:after="130"/>
        <w:jc w:val="left"/>
        <w:rPr>
          <w:b/>
          <w:bCs/>
          <w:u w:val="single"/>
        </w:rPr>
      </w:pPr>
      <w:r w:rsidRPr="00DB1AEE">
        <w:rPr>
          <w:b/>
          <w:bCs/>
          <w:u w:val="single"/>
        </w:rPr>
        <w:t xml:space="preserve">Normative Appendix A- Rated R-Value of Insulation and Assembly U-Factor, C-Factor, and F-Factor Determinations.   </w:t>
      </w:r>
    </w:p>
    <w:p w14:paraId="5B81DC76" w14:textId="77777777" w:rsidR="00DB1AEE" w:rsidRPr="00DB1AEE" w:rsidRDefault="00DB1AEE" w:rsidP="00DB1AEE">
      <w:pPr>
        <w:widowControl w:val="0"/>
        <w:suppressAutoHyphens/>
        <w:spacing w:before="130" w:after="130"/>
        <w:jc w:val="left"/>
        <w:rPr>
          <w:b/>
          <w:bCs/>
          <w:szCs w:val="24"/>
          <w:u w:val="single"/>
        </w:rPr>
      </w:pPr>
      <w:r w:rsidRPr="00DB1AEE">
        <w:rPr>
          <w:b/>
          <w:bCs/>
          <w:szCs w:val="24"/>
          <w:u w:val="single"/>
        </w:rPr>
        <w:t>Table A3.3.3. 1</w:t>
      </w:r>
      <w:r w:rsidRPr="00DB1AEE">
        <w:t xml:space="preserve"> </w:t>
      </w:r>
      <w:r w:rsidRPr="00DB1AEE">
        <w:rPr>
          <w:b/>
          <w:bCs/>
          <w:szCs w:val="24"/>
          <w:u w:val="single"/>
        </w:rPr>
        <w:t>Assembly U-factors for Steel-Frame Walls by Stud Spacing and Framing Factor</w:t>
      </w:r>
      <w:r w:rsidRPr="00DB1AEE">
        <w:rPr>
          <w:b/>
          <w:bCs/>
          <w:szCs w:val="24"/>
          <w:u w:val="single"/>
          <w:vertAlign w:val="superscript"/>
        </w:rPr>
        <w:t>a,b</w:t>
      </w:r>
    </w:p>
    <w:p w14:paraId="1FF38DA9" w14:textId="77777777" w:rsidR="00DB1AEE" w:rsidRPr="00DB1AEE" w:rsidRDefault="00DB1AEE" w:rsidP="00DB1AEE">
      <w:pPr>
        <w:widowControl w:val="0"/>
        <w:suppressAutoHyphens/>
        <w:spacing w:before="130" w:after="130"/>
        <w:jc w:val="left"/>
        <w:rPr>
          <w:u w:val="single"/>
        </w:rPr>
      </w:pPr>
      <w:r w:rsidRPr="00DB1AEE">
        <w:rPr>
          <w:u w:val="single"/>
        </w:rPr>
        <w:t xml:space="preserve"> Table A3.3.3. 1 - Delete Table A3.3.3. 1 in its entirety and add new Table A3.3.3. 1 to read as follows:</w:t>
      </w:r>
    </w:p>
    <w:p w14:paraId="5D8E4A5C" w14:textId="77777777" w:rsidR="00DB1AEE" w:rsidRPr="00DB1AEE" w:rsidRDefault="00DB1AEE" w:rsidP="00DB1AEE">
      <w:pPr>
        <w:widowControl w:val="0"/>
        <w:suppressAutoHyphens/>
        <w:spacing w:before="130" w:after="130"/>
        <w:ind w:left="360"/>
        <w:jc w:val="left"/>
        <w:rPr>
          <w:b/>
          <w:bCs/>
          <w:u w:val="single"/>
        </w:rPr>
        <w:sectPr w:rsidR="00DB1AEE" w:rsidRPr="00DB1AEE" w:rsidSect="00DB1AEE">
          <w:pgSz w:w="12240" w:h="15840" w:code="1"/>
          <w:pgMar w:top="1440" w:right="1440" w:bottom="965" w:left="1440" w:header="1440" w:footer="965" w:gutter="0"/>
          <w:lnNumType w:countBy="1"/>
          <w:cols w:space="720"/>
          <w:noEndnote/>
          <w:docGrid w:linePitch="326"/>
        </w:sectPr>
      </w:pPr>
    </w:p>
    <w:p w14:paraId="36C78D94" w14:textId="77777777" w:rsidR="00DB1AEE" w:rsidRPr="00DB1AEE" w:rsidRDefault="00DB1AEE" w:rsidP="00DB1AEE">
      <w:pPr>
        <w:widowControl w:val="0"/>
        <w:suppressAutoHyphens/>
        <w:autoSpaceDE w:val="0"/>
        <w:autoSpaceDN w:val="0"/>
        <w:jc w:val="left"/>
        <w:rPr>
          <w:b/>
          <w:iCs/>
          <w:szCs w:val="24"/>
          <w:u w:val="single"/>
          <w:lang w:bidi="en-US"/>
        </w:rPr>
      </w:pPr>
      <w:r w:rsidRPr="00DB1AEE">
        <w:rPr>
          <w:b/>
          <w:iCs/>
          <w:szCs w:val="24"/>
          <w:u w:val="single"/>
          <w:lang w:bidi="en-US"/>
        </w:rPr>
        <w:t> </w:t>
      </w:r>
      <w:r w:rsidRPr="00DB1AEE">
        <w:rPr>
          <w:b/>
          <w:bCs/>
          <w:iCs/>
          <w:szCs w:val="24"/>
          <w:u w:val="single"/>
          <w:lang w:bidi="en-US"/>
        </w:rPr>
        <w:t xml:space="preserve">Table </w:t>
      </w:r>
      <w:r w:rsidRPr="00DB1AEE">
        <w:rPr>
          <w:b/>
          <w:bCs/>
          <w:iCs/>
          <w:szCs w:val="24"/>
          <w:u w:val="single"/>
        </w:rPr>
        <w:t xml:space="preserve">A3.3.3. 1 </w:t>
      </w:r>
      <w:r w:rsidRPr="00DB1AEE">
        <w:rPr>
          <w:b/>
          <w:bCs/>
          <w:iCs/>
          <w:szCs w:val="24"/>
          <w:u w:val="single"/>
          <w:lang w:bidi="en-US"/>
        </w:rPr>
        <w:t>Assembly U-factors for Steel-Frame Walls by Stud Spacing and Framing Factor</w:t>
      </w:r>
      <w:r w:rsidRPr="00DB1AEE">
        <w:rPr>
          <w:b/>
          <w:bCs/>
          <w:iCs/>
          <w:szCs w:val="24"/>
          <w:u w:val="single"/>
          <w:vertAlign w:val="superscript"/>
          <w:lang w:bidi="en-US"/>
        </w:rPr>
        <w:t>a,b</w:t>
      </w:r>
      <w:r w:rsidRPr="00DB1AEE">
        <w:rPr>
          <w:b/>
          <w:iCs/>
          <w:szCs w:val="24"/>
          <w:u w:val="single"/>
          <w:lang w:bidi="en-US"/>
        </w:rPr>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84"/>
        <w:gridCol w:w="2294"/>
        <w:gridCol w:w="466"/>
        <w:gridCol w:w="466"/>
        <w:gridCol w:w="466"/>
        <w:gridCol w:w="466"/>
        <w:gridCol w:w="466"/>
        <w:gridCol w:w="466"/>
        <w:gridCol w:w="466"/>
        <w:gridCol w:w="466"/>
        <w:gridCol w:w="466"/>
        <w:gridCol w:w="466"/>
        <w:gridCol w:w="466"/>
        <w:gridCol w:w="466"/>
        <w:gridCol w:w="466"/>
        <w:gridCol w:w="466"/>
        <w:gridCol w:w="466"/>
        <w:gridCol w:w="466"/>
        <w:gridCol w:w="466"/>
        <w:gridCol w:w="466"/>
        <w:gridCol w:w="466"/>
        <w:gridCol w:w="466"/>
        <w:gridCol w:w="21"/>
      </w:tblGrid>
      <w:tr w:rsidR="00DB1AEE" w:rsidRPr="00DB1AEE" w14:paraId="1F63CCF0" w14:textId="77777777" w:rsidTr="00FC1832">
        <w:trPr>
          <w:gridAfter w:val="1"/>
          <w:wAfter w:w="8" w:type="pct"/>
          <w:trHeight w:val="246"/>
        </w:trPr>
        <w:tc>
          <w:tcPr>
            <w:tcW w:w="665" w:type="pct"/>
            <w:vMerge w:val="restart"/>
            <w:tcBorders>
              <w:top w:val="single" w:sz="6" w:space="0" w:color="auto"/>
              <w:left w:val="single" w:sz="6" w:space="0" w:color="auto"/>
              <w:right w:val="single" w:sz="6" w:space="0" w:color="auto"/>
            </w:tcBorders>
            <w:hideMark/>
          </w:tcPr>
          <w:p w14:paraId="208F3EA9"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 </w:t>
            </w:r>
          </w:p>
          <w:p w14:paraId="32638F5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Cavity Insulation Value </w:t>
            </w:r>
          </w:p>
        </w:tc>
        <w:tc>
          <w:tcPr>
            <w:tcW w:w="855" w:type="pct"/>
            <w:vMerge w:val="restart"/>
            <w:tcBorders>
              <w:top w:val="single" w:sz="6" w:space="0" w:color="auto"/>
              <w:left w:val="single" w:sz="6" w:space="0" w:color="auto"/>
              <w:right w:val="single" w:sz="6" w:space="0" w:color="auto"/>
            </w:tcBorders>
            <w:hideMark/>
          </w:tcPr>
          <w:p w14:paraId="307EF46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 </w:t>
            </w:r>
          </w:p>
          <w:p w14:paraId="1173715C"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Base Wall U-factor at Framing </w:t>
            </w:r>
          </w:p>
        </w:tc>
        <w:tc>
          <w:tcPr>
            <w:tcW w:w="3472" w:type="pct"/>
            <w:gridSpan w:val="20"/>
            <w:tcBorders>
              <w:top w:val="single" w:sz="6" w:space="0" w:color="auto"/>
              <w:left w:val="single" w:sz="6" w:space="0" w:color="auto"/>
              <w:bottom w:val="single" w:sz="6" w:space="0" w:color="auto"/>
              <w:right w:val="single" w:sz="6" w:space="0" w:color="auto"/>
            </w:tcBorders>
            <w:hideMark/>
          </w:tcPr>
          <w:p w14:paraId="14D08AA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Overall U-Factor for Assembly of Base Wall Plus Continuous Insulation (Uninterrupted by Framing or Furring) </w:t>
            </w:r>
          </w:p>
        </w:tc>
      </w:tr>
      <w:tr w:rsidR="00DB1AEE" w:rsidRPr="00DB1AEE" w14:paraId="3C032400" w14:textId="77777777" w:rsidTr="00FC1832">
        <w:trPr>
          <w:gridAfter w:val="1"/>
          <w:wAfter w:w="8" w:type="pct"/>
          <w:trHeight w:val="315"/>
        </w:trPr>
        <w:tc>
          <w:tcPr>
            <w:tcW w:w="665" w:type="pct"/>
            <w:vMerge/>
            <w:tcBorders>
              <w:left w:val="single" w:sz="6" w:space="0" w:color="auto"/>
              <w:right w:val="single" w:sz="6" w:space="0" w:color="auto"/>
            </w:tcBorders>
            <w:hideMark/>
          </w:tcPr>
          <w:p w14:paraId="52B9C35E" w14:textId="77777777" w:rsidR="00DB1AEE" w:rsidRPr="00DB1AEE" w:rsidRDefault="00DB1AEE" w:rsidP="00DB1AEE">
            <w:pPr>
              <w:widowControl w:val="0"/>
              <w:suppressAutoHyphens/>
              <w:autoSpaceDE w:val="0"/>
              <w:autoSpaceDN w:val="0"/>
              <w:jc w:val="left"/>
              <w:rPr>
                <w:bCs/>
                <w:iCs/>
                <w:sz w:val="18"/>
                <w:szCs w:val="18"/>
                <w:u w:val="single"/>
                <w:lang w:bidi="en-US"/>
              </w:rPr>
            </w:pPr>
          </w:p>
        </w:tc>
        <w:tc>
          <w:tcPr>
            <w:tcW w:w="855" w:type="pct"/>
            <w:vMerge/>
            <w:tcBorders>
              <w:left w:val="single" w:sz="6" w:space="0" w:color="auto"/>
              <w:right w:val="single" w:sz="6" w:space="0" w:color="auto"/>
            </w:tcBorders>
            <w:hideMark/>
          </w:tcPr>
          <w:p w14:paraId="3B88BF1F" w14:textId="77777777" w:rsidR="00DB1AEE" w:rsidRPr="00DB1AEE" w:rsidRDefault="00DB1AEE" w:rsidP="00DB1AEE">
            <w:pPr>
              <w:widowControl w:val="0"/>
              <w:suppressAutoHyphens/>
              <w:autoSpaceDE w:val="0"/>
              <w:autoSpaceDN w:val="0"/>
              <w:jc w:val="left"/>
              <w:rPr>
                <w:bCs/>
                <w:iCs/>
                <w:sz w:val="18"/>
                <w:szCs w:val="18"/>
                <w:u w:val="single"/>
                <w:lang w:bidi="en-US"/>
              </w:rPr>
            </w:pPr>
          </w:p>
        </w:tc>
        <w:tc>
          <w:tcPr>
            <w:tcW w:w="3472" w:type="pct"/>
            <w:gridSpan w:val="20"/>
            <w:tcBorders>
              <w:top w:val="single" w:sz="6" w:space="0" w:color="auto"/>
              <w:left w:val="single" w:sz="6" w:space="0" w:color="auto"/>
              <w:bottom w:val="single" w:sz="6" w:space="0" w:color="auto"/>
              <w:right w:val="single" w:sz="6" w:space="0" w:color="auto"/>
            </w:tcBorders>
            <w:hideMark/>
          </w:tcPr>
          <w:p w14:paraId="0818D72A"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Rated R-Value of Continuous Insulation </w:t>
            </w:r>
          </w:p>
        </w:tc>
      </w:tr>
      <w:tr w:rsidR="00DB1AEE" w:rsidRPr="00DB1AEE" w14:paraId="5010550A" w14:textId="77777777" w:rsidTr="00FC1832">
        <w:trPr>
          <w:gridAfter w:val="1"/>
          <w:wAfter w:w="8" w:type="pct"/>
          <w:trHeight w:val="102"/>
        </w:trPr>
        <w:tc>
          <w:tcPr>
            <w:tcW w:w="665" w:type="pct"/>
            <w:vMerge/>
            <w:tcBorders>
              <w:left w:val="single" w:sz="6" w:space="0" w:color="auto"/>
              <w:bottom w:val="single" w:sz="6" w:space="0" w:color="auto"/>
              <w:right w:val="single" w:sz="6" w:space="0" w:color="auto"/>
            </w:tcBorders>
            <w:vAlign w:val="center"/>
            <w:hideMark/>
          </w:tcPr>
          <w:p w14:paraId="5F88E140" w14:textId="77777777" w:rsidR="00DB1AEE" w:rsidRPr="00DB1AEE" w:rsidRDefault="00DB1AEE" w:rsidP="00DB1AEE">
            <w:pPr>
              <w:widowControl w:val="0"/>
              <w:suppressAutoHyphens/>
              <w:autoSpaceDE w:val="0"/>
              <w:autoSpaceDN w:val="0"/>
              <w:jc w:val="left"/>
              <w:rPr>
                <w:bCs/>
                <w:iCs/>
                <w:sz w:val="18"/>
                <w:szCs w:val="18"/>
                <w:u w:val="single"/>
                <w:lang w:bidi="en-US"/>
              </w:rPr>
            </w:pPr>
          </w:p>
        </w:tc>
        <w:tc>
          <w:tcPr>
            <w:tcW w:w="855" w:type="pct"/>
            <w:vMerge/>
            <w:tcBorders>
              <w:left w:val="single" w:sz="6" w:space="0" w:color="auto"/>
              <w:bottom w:val="single" w:sz="6" w:space="0" w:color="auto"/>
              <w:right w:val="single" w:sz="6" w:space="0" w:color="auto"/>
            </w:tcBorders>
            <w:vAlign w:val="center"/>
            <w:hideMark/>
          </w:tcPr>
          <w:p w14:paraId="21363882" w14:textId="77777777" w:rsidR="00DB1AEE" w:rsidRPr="00DB1AEE" w:rsidRDefault="00DB1AEE" w:rsidP="00DB1AEE">
            <w:pPr>
              <w:widowControl w:val="0"/>
              <w:suppressAutoHyphens/>
              <w:autoSpaceDE w:val="0"/>
              <w:autoSpaceDN w:val="0"/>
              <w:jc w:val="left"/>
              <w:rPr>
                <w:bCs/>
                <w:iCs/>
                <w:sz w:val="18"/>
                <w:szCs w:val="18"/>
                <w:u w:val="single"/>
                <w:lang w:bidi="en-US"/>
              </w:rPr>
            </w:pPr>
          </w:p>
        </w:tc>
        <w:tc>
          <w:tcPr>
            <w:tcW w:w="174" w:type="pct"/>
            <w:tcBorders>
              <w:top w:val="single" w:sz="6" w:space="0" w:color="auto"/>
              <w:left w:val="single" w:sz="6" w:space="0" w:color="auto"/>
              <w:bottom w:val="single" w:sz="6" w:space="0" w:color="auto"/>
              <w:right w:val="single" w:sz="6" w:space="0" w:color="auto"/>
            </w:tcBorders>
            <w:hideMark/>
          </w:tcPr>
          <w:p w14:paraId="3822880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1 </w:t>
            </w:r>
          </w:p>
        </w:tc>
        <w:tc>
          <w:tcPr>
            <w:tcW w:w="174" w:type="pct"/>
            <w:tcBorders>
              <w:top w:val="single" w:sz="6" w:space="0" w:color="auto"/>
              <w:left w:val="single" w:sz="6" w:space="0" w:color="auto"/>
              <w:bottom w:val="single" w:sz="6" w:space="0" w:color="auto"/>
              <w:right w:val="single" w:sz="6" w:space="0" w:color="auto"/>
            </w:tcBorders>
            <w:hideMark/>
          </w:tcPr>
          <w:p w14:paraId="1FCA36B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2 </w:t>
            </w:r>
          </w:p>
        </w:tc>
        <w:tc>
          <w:tcPr>
            <w:tcW w:w="174" w:type="pct"/>
            <w:tcBorders>
              <w:top w:val="single" w:sz="6" w:space="0" w:color="auto"/>
              <w:left w:val="single" w:sz="6" w:space="0" w:color="auto"/>
              <w:bottom w:val="single" w:sz="6" w:space="0" w:color="auto"/>
              <w:right w:val="single" w:sz="6" w:space="0" w:color="auto"/>
            </w:tcBorders>
            <w:hideMark/>
          </w:tcPr>
          <w:p w14:paraId="2BA2A63C"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3 </w:t>
            </w:r>
          </w:p>
        </w:tc>
        <w:tc>
          <w:tcPr>
            <w:tcW w:w="174" w:type="pct"/>
            <w:tcBorders>
              <w:top w:val="single" w:sz="6" w:space="0" w:color="auto"/>
              <w:left w:val="single" w:sz="6" w:space="0" w:color="auto"/>
              <w:bottom w:val="single" w:sz="6" w:space="0" w:color="auto"/>
              <w:right w:val="single" w:sz="6" w:space="0" w:color="auto"/>
            </w:tcBorders>
            <w:hideMark/>
          </w:tcPr>
          <w:p w14:paraId="19D020C5"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4 </w:t>
            </w:r>
          </w:p>
        </w:tc>
        <w:tc>
          <w:tcPr>
            <w:tcW w:w="174" w:type="pct"/>
            <w:tcBorders>
              <w:top w:val="single" w:sz="6" w:space="0" w:color="auto"/>
              <w:left w:val="single" w:sz="6" w:space="0" w:color="auto"/>
              <w:bottom w:val="single" w:sz="6" w:space="0" w:color="auto"/>
              <w:right w:val="single" w:sz="6" w:space="0" w:color="auto"/>
            </w:tcBorders>
            <w:hideMark/>
          </w:tcPr>
          <w:p w14:paraId="6085D84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5 </w:t>
            </w:r>
          </w:p>
        </w:tc>
        <w:tc>
          <w:tcPr>
            <w:tcW w:w="174" w:type="pct"/>
            <w:tcBorders>
              <w:top w:val="single" w:sz="6" w:space="0" w:color="auto"/>
              <w:left w:val="single" w:sz="6" w:space="0" w:color="auto"/>
              <w:bottom w:val="single" w:sz="6" w:space="0" w:color="auto"/>
              <w:right w:val="single" w:sz="6" w:space="0" w:color="auto"/>
            </w:tcBorders>
            <w:hideMark/>
          </w:tcPr>
          <w:p w14:paraId="09C78DF7"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6 </w:t>
            </w:r>
          </w:p>
        </w:tc>
        <w:tc>
          <w:tcPr>
            <w:tcW w:w="174" w:type="pct"/>
            <w:tcBorders>
              <w:top w:val="single" w:sz="6" w:space="0" w:color="auto"/>
              <w:left w:val="single" w:sz="6" w:space="0" w:color="auto"/>
              <w:bottom w:val="single" w:sz="6" w:space="0" w:color="auto"/>
              <w:right w:val="single" w:sz="6" w:space="0" w:color="auto"/>
            </w:tcBorders>
            <w:hideMark/>
          </w:tcPr>
          <w:p w14:paraId="479DF29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7 </w:t>
            </w:r>
          </w:p>
        </w:tc>
        <w:tc>
          <w:tcPr>
            <w:tcW w:w="174" w:type="pct"/>
            <w:tcBorders>
              <w:top w:val="single" w:sz="6" w:space="0" w:color="auto"/>
              <w:left w:val="single" w:sz="6" w:space="0" w:color="auto"/>
              <w:bottom w:val="single" w:sz="6" w:space="0" w:color="auto"/>
              <w:right w:val="single" w:sz="6" w:space="0" w:color="auto"/>
            </w:tcBorders>
            <w:hideMark/>
          </w:tcPr>
          <w:p w14:paraId="1170EECA"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8 </w:t>
            </w:r>
          </w:p>
        </w:tc>
        <w:tc>
          <w:tcPr>
            <w:tcW w:w="174" w:type="pct"/>
            <w:tcBorders>
              <w:top w:val="single" w:sz="6" w:space="0" w:color="auto"/>
              <w:left w:val="single" w:sz="6" w:space="0" w:color="auto"/>
              <w:bottom w:val="single" w:sz="6" w:space="0" w:color="auto"/>
              <w:right w:val="single" w:sz="6" w:space="0" w:color="auto"/>
            </w:tcBorders>
            <w:hideMark/>
          </w:tcPr>
          <w:p w14:paraId="348583F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9 </w:t>
            </w:r>
          </w:p>
        </w:tc>
        <w:tc>
          <w:tcPr>
            <w:tcW w:w="174" w:type="pct"/>
            <w:tcBorders>
              <w:top w:val="single" w:sz="6" w:space="0" w:color="auto"/>
              <w:left w:val="single" w:sz="6" w:space="0" w:color="auto"/>
              <w:bottom w:val="single" w:sz="6" w:space="0" w:color="auto"/>
              <w:right w:val="single" w:sz="6" w:space="0" w:color="auto"/>
            </w:tcBorders>
            <w:hideMark/>
          </w:tcPr>
          <w:p w14:paraId="01255B21"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10 </w:t>
            </w:r>
          </w:p>
        </w:tc>
        <w:tc>
          <w:tcPr>
            <w:tcW w:w="174" w:type="pct"/>
            <w:tcBorders>
              <w:top w:val="single" w:sz="6" w:space="0" w:color="auto"/>
              <w:left w:val="single" w:sz="6" w:space="0" w:color="auto"/>
              <w:bottom w:val="single" w:sz="6" w:space="0" w:color="auto"/>
              <w:right w:val="single" w:sz="6" w:space="0" w:color="auto"/>
            </w:tcBorders>
            <w:hideMark/>
          </w:tcPr>
          <w:p w14:paraId="1125A8C7"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11 </w:t>
            </w:r>
          </w:p>
        </w:tc>
        <w:tc>
          <w:tcPr>
            <w:tcW w:w="174" w:type="pct"/>
            <w:tcBorders>
              <w:top w:val="single" w:sz="6" w:space="0" w:color="auto"/>
              <w:left w:val="single" w:sz="6" w:space="0" w:color="auto"/>
              <w:bottom w:val="single" w:sz="6" w:space="0" w:color="auto"/>
              <w:right w:val="single" w:sz="6" w:space="0" w:color="auto"/>
            </w:tcBorders>
            <w:hideMark/>
          </w:tcPr>
          <w:p w14:paraId="6CC89F13"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12 </w:t>
            </w:r>
          </w:p>
        </w:tc>
        <w:tc>
          <w:tcPr>
            <w:tcW w:w="174" w:type="pct"/>
            <w:tcBorders>
              <w:top w:val="single" w:sz="6" w:space="0" w:color="auto"/>
              <w:left w:val="single" w:sz="6" w:space="0" w:color="auto"/>
              <w:bottom w:val="single" w:sz="6" w:space="0" w:color="auto"/>
              <w:right w:val="single" w:sz="6" w:space="0" w:color="auto"/>
            </w:tcBorders>
            <w:hideMark/>
          </w:tcPr>
          <w:p w14:paraId="678B9DD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13 </w:t>
            </w:r>
          </w:p>
        </w:tc>
        <w:tc>
          <w:tcPr>
            <w:tcW w:w="174" w:type="pct"/>
            <w:tcBorders>
              <w:top w:val="single" w:sz="6" w:space="0" w:color="auto"/>
              <w:left w:val="single" w:sz="6" w:space="0" w:color="auto"/>
              <w:bottom w:val="single" w:sz="6" w:space="0" w:color="auto"/>
              <w:right w:val="single" w:sz="6" w:space="0" w:color="auto"/>
            </w:tcBorders>
            <w:hideMark/>
          </w:tcPr>
          <w:p w14:paraId="7234168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14 </w:t>
            </w:r>
          </w:p>
        </w:tc>
        <w:tc>
          <w:tcPr>
            <w:tcW w:w="174" w:type="pct"/>
            <w:tcBorders>
              <w:top w:val="single" w:sz="6" w:space="0" w:color="auto"/>
              <w:left w:val="single" w:sz="6" w:space="0" w:color="auto"/>
              <w:bottom w:val="single" w:sz="6" w:space="0" w:color="auto"/>
              <w:right w:val="single" w:sz="6" w:space="0" w:color="auto"/>
            </w:tcBorders>
            <w:hideMark/>
          </w:tcPr>
          <w:p w14:paraId="5352154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15 </w:t>
            </w:r>
          </w:p>
        </w:tc>
        <w:tc>
          <w:tcPr>
            <w:tcW w:w="174" w:type="pct"/>
            <w:tcBorders>
              <w:top w:val="single" w:sz="6" w:space="0" w:color="auto"/>
              <w:left w:val="single" w:sz="6" w:space="0" w:color="auto"/>
              <w:bottom w:val="single" w:sz="6" w:space="0" w:color="auto"/>
              <w:right w:val="single" w:sz="6" w:space="0" w:color="auto"/>
            </w:tcBorders>
            <w:hideMark/>
          </w:tcPr>
          <w:p w14:paraId="0F085BB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20 </w:t>
            </w:r>
          </w:p>
        </w:tc>
        <w:tc>
          <w:tcPr>
            <w:tcW w:w="174" w:type="pct"/>
            <w:tcBorders>
              <w:top w:val="single" w:sz="6" w:space="0" w:color="auto"/>
              <w:left w:val="single" w:sz="6" w:space="0" w:color="auto"/>
              <w:bottom w:val="single" w:sz="6" w:space="0" w:color="auto"/>
              <w:right w:val="single" w:sz="6" w:space="0" w:color="auto"/>
            </w:tcBorders>
            <w:hideMark/>
          </w:tcPr>
          <w:p w14:paraId="4EB3DB37"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25 </w:t>
            </w:r>
          </w:p>
        </w:tc>
        <w:tc>
          <w:tcPr>
            <w:tcW w:w="174" w:type="pct"/>
            <w:tcBorders>
              <w:top w:val="single" w:sz="6" w:space="0" w:color="auto"/>
              <w:left w:val="single" w:sz="6" w:space="0" w:color="auto"/>
              <w:bottom w:val="single" w:sz="6" w:space="0" w:color="auto"/>
              <w:right w:val="single" w:sz="6" w:space="0" w:color="auto"/>
            </w:tcBorders>
            <w:hideMark/>
          </w:tcPr>
          <w:p w14:paraId="64EDB55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30 </w:t>
            </w:r>
          </w:p>
        </w:tc>
        <w:tc>
          <w:tcPr>
            <w:tcW w:w="174" w:type="pct"/>
            <w:tcBorders>
              <w:top w:val="single" w:sz="6" w:space="0" w:color="auto"/>
              <w:left w:val="single" w:sz="6" w:space="0" w:color="auto"/>
              <w:bottom w:val="single" w:sz="6" w:space="0" w:color="auto"/>
              <w:right w:val="single" w:sz="6" w:space="0" w:color="auto"/>
            </w:tcBorders>
            <w:hideMark/>
          </w:tcPr>
          <w:p w14:paraId="0E533EE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35 </w:t>
            </w:r>
          </w:p>
        </w:tc>
        <w:tc>
          <w:tcPr>
            <w:tcW w:w="174" w:type="pct"/>
            <w:tcBorders>
              <w:top w:val="single" w:sz="6" w:space="0" w:color="auto"/>
              <w:left w:val="single" w:sz="6" w:space="0" w:color="auto"/>
              <w:bottom w:val="single" w:sz="6" w:space="0" w:color="auto"/>
              <w:right w:val="single" w:sz="6" w:space="0" w:color="auto"/>
            </w:tcBorders>
            <w:hideMark/>
          </w:tcPr>
          <w:p w14:paraId="2A9FD08C"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40 </w:t>
            </w:r>
          </w:p>
        </w:tc>
      </w:tr>
      <w:tr w:rsidR="00DB1AEE" w:rsidRPr="00DB1AEE" w14:paraId="661C5144" w14:textId="77777777" w:rsidTr="00FC1832">
        <w:trPr>
          <w:trHeight w:val="270"/>
        </w:trPr>
        <w:tc>
          <w:tcPr>
            <w:tcW w:w="5000" w:type="pct"/>
            <w:gridSpan w:val="23"/>
            <w:tcBorders>
              <w:top w:val="single" w:sz="6" w:space="0" w:color="auto"/>
              <w:left w:val="single" w:sz="6" w:space="0" w:color="auto"/>
              <w:bottom w:val="single" w:sz="6" w:space="0" w:color="auto"/>
              <w:right w:val="single" w:sz="6" w:space="0" w:color="auto"/>
            </w:tcBorders>
            <w:hideMark/>
          </w:tcPr>
          <w:p w14:paraId="1D9B33B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Steel Framing at 12 in. on Center (25% Framing Factor)—includes framing for tracks, blocking, headers, and jamb and king studs </w:t>
            </w:r>
          </w:p>
        </w:tc>
      </w:tr>
      <w:tr w:rsidR="00DB1AEE" w:rsidRPr="00DB1AEE" w14:paraId="648BBE88" w14:textId="77777777" w:rsidTr="00FC1832">
        <w:trPr>
          <w:trHeight w:val="228"/>
        </w:trPr>
        <w:tc>
          <w:tcPr>
            <w:tcW w:w="665" w:type="pct"/>
            <w:tcBorders>
              <w:top w:val="single" w:sz="6" w:space="0" w:color="auto"/>
              <w:left w:val="single" w:sz="6" w:space="0" w:color="auto"/>
              <w:bottom w:val="single" w:sz="6" w:space="0" w:color="auto"/>
              <w:right w:val="single" w:sz="6" w:space="0" w:color="auto"/>
            </w:tcBorders>
            <w:hideMark/>
          </w:tcPr>
          <w:p w14:paraId="676690B7"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0.9 </w:t>
            </w:r>
          </w:p>
        </w:tc>
        <w:tc>
          <w:tcPr>
            <w:tcW w:w="855" w:type="pct"/>
            <w:tcBorders>
              <w:top w:val="single" w:sz="6" w:space="0" w:color="auto"/>
              <w:left w:val="single" w:sz="6" w:space="0" w:color="auto"/>
              <w:bottom w:val="single" w:sz="6" w:space="0" w:color="auto"/>
              <w:right w:val="single" w:sz="6" w:space="0" w:color="auto"/>
            </w:tcBorders>
            <w:hideMark/>
          </w:tcPr>
          <w:p w14:paraId="64CAB5B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0.351 </w:t>
            </w:r>
          </w:p>
        </w:tc>
        <w:tc>
          <w:tcPr>
            <w:tcW w:w="174" w:type="pct"/>
            <w:tcBorders>
              <w:top w:val="single" w:sz="6" w:space="0" w:color="auto"/>
              <w:left w:val="single" w:sz="6" w:space="0" w:color="auto"/>
              <w:bottom w:val="single" w:sz="6" w:space="0" w:color="auto"/>
              <w:right w:val="single" w:sz="6" w:space="0" w:color="auto"/>
            </w:tcBorders>
            <w:hideMark/>
          </w:tcPr>
          <w:p w14:paraId="4FAA034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0.260 </w:t>
            </w:r>
          </w:p>
        </w:tc>
        <w:tc>
          <w:tcPr>
            <w:tcW w:w="174" w:type="pct"/>
            <w:tcBorders>
              <w:top w:val="single" w:sz="6" w:space="0" w:color="auto"/>
              <w:left w:val="single" w:sz="6" w:space="0" w:color="auto"/>
              <w:bottom w:val="single" w:sz="6" w:space="0" w:color="auto"/>
              <w:right w:val="single" w:sz="6" w:space="0" w:color="auto"/>
            </w:tcBorders>
            <w:hideMark/>
          </w:tcPr>
          <w:p w14:paraId="484C6D72"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0.206 </w:t>
            </w:r>
          </w:p>
        </w:tc>
        <w:tc>
          <w:tcPr>
            <w:tcW w:w="174" w:type="pct"/>
            <w:tcBorders>
              <w:top w:val="single" w:sz="6" w:space="0" w:color="auto"/>
              <w:left w:val="single" w:sz="6" w:space="0" w:color="auto"/>
              <w:bottom w:val="single" w:sz="6" w:space="0" w:color="auto"/>
              <w:right w:val="single" w:sz="6" w:space="0" w:color="auto"/>
            </w:tcBorders>
            <w:hideMark/>
          </w:tcPr>
          <w:p w14:paraId="370F8029"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0.171 </w:t>
            </w:r>
          </w:p>
        </w:tc>
        <w:tc>
          <w:tcPr>
            <w:tcW w:w="174" w:type="pct"/>
            <w:tcBorders>
              <w:top w:val="single" w:sz="6" w:space="0" w:color="auto"/>
              <w:left w:val="single" w:sz="6" w:space="0" w:color="auto"/>
              <w:bottom w:val="single" w:sz="6" w:space="0" w:color="auto"/>
              <w:right w:val="single" w:sz="6" w:space="0" w:color="auto"/>
            </w:tcBorders>
            <w:hideMark/>
          </w:tcPr>
          <w:p w14:paraId="68B4854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0.146 </w:t>
            </w:r>
          </w:p>
        </w:tc>
        <w:tc>
          <w:tcPr>
            <w:tcW w:w="174" w:type="pct"/>
            <w:tcBorders>
              <w:top w:val="single" w:sz="6" w:space="0" w:color="auto"/>
              <w:left w:val="single" w:sz="6" w:space="0" w:color="auto"/>
              <w:bottom w:val="single" w:sz="6" w:space="0" w:color="auto"/>
              <w:right w:val="single" w:sz="6" w:space="0" w:color="auto"/>
            </w:tcBorders>
            <w:hideMark/>
          </w:tcPr>
          <w:p w14:paraId="7068D8B7"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0.127 </w:t>
            </w:r>
          </w:p>
        </w:tc>
        <w:tc>
          <w:tcPr>
            <w:tcW w:w="174" w:type="pct"/>
            <w:tcBorders>
              <w:top w:val="single" w:sz="6" w:space="0" w:color="auto"/>
              <w:left w:val="single" w:sz="6" w:space="0" w:color="auto"/>
              <w:bottom w:val="single" w:sz="6" w:space="0" w:color="auto"/>
              <w:right w:val="single" w:sz="6" w:space="0" w:color="auto"/>
            </w:tcBorders>
            <w:hideMark/>
          </w:tcPr>
          <w:p w14:paraId="014ED6FA"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0.113 </w:t>
            </w:r>
          </w:p>
        </w:tc>
        <w:tc>
          <w:tcPr>
            <w:tcW w:w="174" w:type="pct"/>
            <w:tcBorders>
              <w:top w:val="single" w:sz="6" w:space="0" w:color="auto"/>
              <w:left w:val="single" w:sz="6" w:space="0" w:color="auto"/>
              <w:bottom w:val="single" w:sz="6" w:space="0" w:color="auto"/>
              <w:right w:val="single" w:sz="6" w:space="0" w:color="auto"/>
            </w:tcBorders>
            <w:hideMark/>
          </w:tcPr>
          <w:p w14:paraId="4899D6EA"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0.102 </w:t>
            </w:r>
          </w:p>
        </w:tc>
        <w:tc>
          <w:tcPr>
            <w:tcW w:w="174" w:type="pct"/>
            <w:tcBorders>
              <w:top w:val="single" w:sz="6" w:space="0" w:color="auto"/>
              <w:left w:val="single" w:sz="6" w:space="0" w:color="auto"/>
              <w:bottom w:val="single" w:sz="6" w:space="0" w:color="auto"/>
              <w:right w:val="single" w:sz="6" w:space="0" w:color="auto"/>
            </w:tcBorders>
            <w:hideMark/>
          </w:tcPr>
          <w:p w14:paraId="50D69B49"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0.092 </w:t>
            </w:r>
          </w:p>
        </w:tc>
        <w:tc>
          <w:tcPr>
            <w:tcW w:w="174" w:type="pct"/>
            <w:tcBorders>
              <w:top w:val="single" w:sz="6" w:space="0" w:color="auto"/>
              <w:left w:val="single" w:sz="6" w:space="0" w:color="auto"/>
              <w:bottom w:val="single" w:sz="6" w:space="0" w:color="auto"/>
              <w:right w:val="single" w:sz="6" w:space="0" w:color="auto"/>
            </w:tcBorders>
            <w:hideMark/>
          </w:tcPr>
          <w:p w14:paraId="5410216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0.084 </w:t>
            </w:r>
          </w:p>
        </w:tc>
        <w:tc>
          <w:tcPr>
            <w:tcW w:w="174" w:type="pct"/>
            <w:tcBorders>
              <w:top w:val="single" w:sz="6" w:space="0" w:color="auto"/>
              <w:left w:val="single" w:sz="6" w:space="0" w:color="auto"/>
              <w:bottom w:val="single" w:sz="6" w:space="0" w:color="auto"/>
              <w:right w:val="single" w:sz="6" w:space="0" w:color="auto"/>
            </w:tcBorders>
            <w:hideMark/>
          </w:tcPr>
          <w:p w14:paraId="09DD4242"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0.078 </w:t>
            </w:r>
          </w:p>
        </w:tc>
        <w:tc>
          <w:tcPr>
            <w:tcW w:w="174" w:type="pct"/>
            <w:tcBorders>
              <w:top w:val="single" w:sz="6" w:space="0" w:color="auto"/>
              <w:left w:val="single" w:sz="6" w:space="0" w:color="auto"/>
              <w:bottom w:val="single" w:sz="6" w:space="0" w:color="auto"/>
              <w:right w:val="single" w:sz="6" w:space="0" w:color="auto"/>
            </w:tcBorders>
            <w:hideMark/>
          </w:tcPr>
          <w:p w14:paraId="0843A46A"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0.072 </w:t>
            </w:r>
          </w:p>
        </w:tc>
        <w:tc>
          <w:tcPr>
            <w:tcW w:w="174" w:type="pct"/>
            <w:tcBorders>
              <w:top w:val="single" w:sz="6" w:space="0" w:color="auto"/>
              <w:left w:val="single" w:sz="6" w:space="0" w:color="auto"/>
              <w:bottom w:val="single" w:sz="6" w:space="0" w:color="auto"/>
              <w:right w:val="single" w:sz="6" w:space="0" w:color="auto"/>
            </w:tcBorders>
            <w:hideMark/>
          </w:tcPr>
          <w:p w14:paraId="2607201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0.067 </w:t>
            </w:r>
          </w:p>
        </w:tc>
        <w:tc>
          <w:tcPr>
            <w:tcW w:w="174" w:type="pct"/>
            <w:tcBorders>
              <w:top w:val="single" w:sz="6" w:space="0" w:color="auto"/>
              <w:left w:val="single" w:sz="6" w:space="0" w:color="auto"/>
              <w:bottom w:val="single" w:sz="6" w:space="0" w:color="auto"/>
              <w:right w:val="single" w:sz="6" w:space="0" w:color="auto"/>
            </w:tcBorders>
            <w:hideMark/>
          </w:tcPr>
          <w:p w14:paraId="7A670B49"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5E28F62A"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647892D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00A5CC9A"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73A6CD8A"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61281DA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5B071C22"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3ACF3D9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0.023 </w:t>
            </w:r>
          </w:p>
        </w:tc>
        <w:tc>
          <w:tcPr>
            <w:tcW w:w="8" w:type="pct"/>
            <w:vAlign w:val="center"/>
            <w:hideMark/>
          </w:tcPr>
          <w:p w14:paraId="3B7A7949" w14:textId="77777777" w:rsidR="00DB1AEE" w:rsidRPr="00DB1AEE" w:rsidRDefault="00DB1AEE" w:rsidP="00DB1AEE">
            <w:pPr>
              <w:widowControl w:val="0"/>
              <w:suppressAutoHyphens/>
              <w:autoSpaceDE w:val="0"/>
              <w:autoSpaceDN w:val="0"/>
              <w:jc w:val="left"/>
              <w:rPr>
                <w:bCs/>
                <w:iCs/>
                <w:sz w:val="18"/>
                <w:szCs w:val="18"/>
                <w:u w:val="single"/>
                <w:lang w:bidi="en-US"/>
              </w:rPr>
            </w:pPr>
          </w:p>
        </w:tc>
      </w:tr>
      <w:tr w:rsidR="00DB1AEE" w:rsidRPr="00DB1AEE" w14:paraId="55030CE6" w14:textId="77777777" w:rsidTr="00FC1832">
        <w:trPr>
          <w:trHeight w:val="165"/>
        </w:trPr>
        <w:tc>
          <w:tcPr>
            <w:tcW w:w="665" w:type="pct"/>
            <w:tcBorders>
              <w:top w:val="single" w:sz="6" w:space="0" w:color="auto"/>
              <w:left w:val="single" w:sz="6" w:space="0" w:color="auto"/>
              <w:bottom w:val="single" w:sz="6" w:space="0" w:color="auto"/>
              <w:right w:val="single" w:sz="6" w:space="0" w:color="auto"/>
            </w:tcBorders>
            <w:hideMark/>
          </w:tcPr>
          <w:p w14:paraId="60195F8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11 </w:t>
            </w:r>
          </w:p>
        </w:tc>
        <w:tc>
          <w:tcPr>
            <w:tcW w:w="855" w:type="pct"/>
            <w:tcBorders>
              <w:top w:val="single" w:sz="6" w:space="0" w:color="auto"/>
              <w:left w:val="single" w:sz="6" w:space="0" w:color="auto"/>
              <w:bottom w:val="single" w:sz="6" w:space="0" w:color="auto"/>
              <w:right w:val="single" w:sz="6" w:space="0" w:color="auto"/>
            </w:tcBorders>
            <w:hideMark/>
          </w:tcPr>
          <w:p w14:paraId="48722B5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0.156 </w:t>
            </w:r>
          </w:p>
        </w:tc>
        <w:tc>
          <w:tcPr>
            <w:tcW w:w="174" w:type="pct"/>
            <w:tcBorders>
              <w:top w:val="single" w:sz="6" w:space="0" w:color="auto"/>
              <w:left w:val="single" w:sz="6" w:space="0" w:color="auto"/>
              <w:bottom w:val="single" w:sz="6" w:space="0" w:color="auto"/>
              <w:right w:val="single" w:sz="6" w:space="0" w:color="auto"/>
            </w:tcBorders>
            <w:hideMark/>
          </w:tcPr>
          <w:p w14:paraId="5EF4662A"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0.135 </w:t>
            </w:r>
          </w:p>
        </w:tc>
        <w:tc>
          <w:tcPr>
            <w:tcW w:w="174" w:type="pct"/>
            <w:tcBorders>
              <w:top w:val="single" w:sz="6" w:space="0" w:color="auto"/>
              <w:left w:val="single" w:sz="6" w:space="0" w:color="auto"/>
              <w:bottom w:val="single" w:sz="6" w:space="0" w:color="auto"/>
              <w:right w:val="single" w:sz="6" w:space="0" w:color="auto"/>
            </w:tcBorders>
            <w:hideMark/>
          </w:tcPr>
          <w:p w14:paraId="61004BB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0.119 </w:t>
            </w:r>
          </w:p>
        </w:tc>
        <w:tc>
          <w:tcPr>
            <w:tcW w:w="174" w:type="pct"/>
            <w:tcBorders>
              <w:top w:val="single" w:sz="6" w:space="0" w:color="auto"/>
              <w:left w:val="single" w:sz="6" w:space="0" w:color="auto"/>
              <w:bottom w:val="single" w:sz="6" w:space="0" w:color="auto"/>
              <w:right w:val="single" w:sz="6" w:space="0" w:color="auto"/>
            </w:tcBorders>
            <w:hideMark/>
          </w:tcPr>
          <w:p w14:paraId="6366CD3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0.106 </w:t>
            </w:r>
          </w:p>
        </w:tc>
        <w:tc>
          <w:tcPr>
            <w:tcW w:w="174" w:type="pct"/>
            <w:tcBorders>
              <w:top w:val="single" w:sz="6" w:space="0" w:color="auto"/>
              <w:left w:val="single" w:sz="6" w:space="0" w:color="auto"/>
              <w:bottom w:val="single" w:sz="6" w:space="0" w:color="auto"/>
              <w:right w:val="single" w:sz="6" w:space="0" w:color="auto"/>
            </w:tcBorders>
            <w:hideMark/>
          </w:tcPr>
          <w:p w14:paraId="79DB3687"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0.096 </w:t>
            </w:r>
          </w:p>
        </w:tc>
        <w:tc>
          <w:tcPr>
            <w:tcW w:w="174" w:type="pct"/>
            <w:tcBorders>
              <w:top w:val="single" w:sz="6" w:space="0" w:color="auto"/>
              <w:left w:val="single" w:sz="6" w:space="0" w:color="auto"/>
              <w:bottom w:val="single" w:sz="6" w:space="0" w:color="auto"/>
              <w:right w:val="single" w:sz="6" w:space="0" w:color="auto"/>
            </w:tcBorders>
            <w:hideMark/>
          </w:tcPr>
          <w:p w14:paraId="69C7D5CC"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0.088 </w:t>
            </w:r>
          </w:p>
        </w:tc>
        <w:tc>
          <w:tcPr>
            <w:tcW w:w="174" w:type="pct"/>
            <w:tcBorders>
              <w:top w:val="single" w:sz="6" w:space="0" w:color="auto"/>
              <w:left w:val="single" w:sz="6" w:space="0" w:color="auto"/>
              <w:bottom w:val="single" w:sz="6" w:space="0" w:color="auto"/>
              <w:right w:val="single" w:sz="6" w:space="0" w:color="auto"/>
            </w:tcBorders>
            <w:hideMark/>
          </w:tcPr>
          <w:p w14:paraId="3261DD95"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0.081 </w:t>
            </w:r>
          </w:p>
        </w:tc>
        <w:tc>
          <w:tcPr>
            <w:tcW w:w="174" w:type="pct"/>
            <w:tcBorders>
              <w:top w:val="single" w:sz="6" w:space="0" w:color="auto"/>
              <w:left w:val="single" w:sz="6" w:space="0" w:color="auto"/>
              <w:bottom w:val="single" w:sz="6" w:space="0" w:color="auto"/>
              <w:right w:val="single" w:sz="6" w:space="0" w:color="auto"/>
            </w:tcBorders>
            <w:hideMark/>
          </w:tcPr>
          <w:p w14:paraId="6F7E7B3C"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0.075 </w:t>
            </w:r>
          </w:p>
        </w:tc>
        <w:tc>
          <w:tcPr>
            <w:tcW w:w="174" w:type="pct"/>
            <w:tcBorders>
              <w:top w:val="single" w:sz="6" w:space="0" w:color="auto"/>
              <w:left w:val="single" w:sz="6" w:space="0" w:color="auto"/>
              <w:bottom w:val="single" w:sz="6" w:space="0" w:color="auto"/>
              <w:right w:val="single" w:sz="6" w:space="0" w:color="auto"/>
            </w:tcBorders>
            <w:hideMark/>
          </w:tcPr>
          <w:p w14:paraId="624AB26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0.069 </w:t>
            </w:r>
          </w:p>
        </w:tc>
        <w:tc>
          <w:tcPr>
            <w:tcW w:w="174" w:type="pct"/>
            <w:tcBorders>
              <w:top w:val="single" w:sz="6" w:space="0" w:color="auto"/>
              <w:left w:val="single" w:sz="6" w:space="0" w:color="auto"/>
              <w:bottom w:val="single" w:sz="6" w:space="0" w:color="auto"/>
              <w:right w:val="single" w:sz="6" w:space="0" w:color="auto"/>
            </w:tcBorders>
            <w:hideMark/>
          </w:tcPr>
          <w:p w14:paraId="66AAA16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0.065 </w:t>
            </w:r>
          </w:p>
        </w:tc>
        <w:tc>
          <w:tcPr>
            <w:tcW w:w="174" w:type="pct"/>
            <w:tcBorders>
              <w:top w:val="single" w:sz="6" w:space="0" w:color="auto"/>
              <w:left w:val="single" w:sz="6" w:space="0" w:color="auto"/>
              <w:bottom w:val="single" w:sz="6" w:space="0" w:color="auto"/>
              <w:right w:val="single" w:sz="6" w:space="0" w:color="auto"/>
            </w:tcBorders>
            <w:hideMark/>
          </w:tcPr>
          <w:p w14:paraId="3B0009D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0.061 </w:t>
            </w:r>
          </w:p>
        </w:tc>
        <w:tc>
          <w:tcPr>
            <w:tcW w:w="174" w:type="pct"/>
            <w:tcBorders>
              <w:top w:val="single" w:sz="6" w:space="0" w:color="auto"/>
              <w:left w:val="single" w:sz="6" w:space="0" w:color="auto"/>
              <w:bottom w:val="single" w:sz="6" w:space="0" w:color="auto"/>
              <w:right w:val="single" w:sz="6" w:space="0" w:color="auto"/>
            </w:tcBorders>
            <w:hideMark/>
          </w:tcPr>
          <w:p w14:paraId="0B87951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0.057 </w:t>
            </w:r>
          </w:p>
        </w:tc>
        <w:tc>
          <w:tcPr>
            <w:tcW w:w="174" w:type="pct"/>
            <w:tcBorders>
              <w:top w:val="single" w:sz="6" w:space="0" w:color="auto"/>
              <w:left w:val="single" w:sz="6" w:space="0" w:color="auto"/>
              <w:bottom w:val="single" w:sz="6" w:space="0" w:color="auto"/>
              <w:right w:val="single" w:sz="6" w:space="0" w:color="auto"/>
            </w:tcBorders>
            <w:hideMark/>
          </w:tcPr>
          <w:p w14:paraId="6B6F6E77"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0.054 </w:t>
            </w:r>
          </w:p>
        </w:tc>
        <w:tc>
          <w:tcPr>
            <w:tcW w:w="174" w:type="pct"/>
            <w:tcBorders>
              <w:top w:val="single" w:sz="6" w:space="0" w:color="auto"/>
              <w:left w:val="single" w:sz="6" w:space="0" w:color="auto"/>
              <w:bottom w:val="single" w:sz="6" w:space="0" w:color="auto"/>
              <w:right w:val="single" w:sz="6" w:space="0" w:color="auto"/>
            </w:tcBorders>
            <w:hideMark/>
          </w:tcPr>
          <w:p w14:paraId="2CEDC6A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38EA3B59"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0CF3A0E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797049AE"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0.038 </w:t>
            </w:r>
          </w:p>
        </w:tc>
        <w:tc>
          <w:tcPr>
            <w:tcW w:w="174" w:type="pct"/>
            <w:tcBorders>
              <w:top w:val="single" w:sz="6" w:space="0" w:color="auto"/>
              <w:left w:val="single" w:sz="6" w:space="0" w:color="auto"/>
              <w:bottom w:val="single" w:sz="6" w:space="0" w:color="auto"/>
              <w:right w:val="single" w:sz="6" w:space="0" w:color="auto"/>
            </w:tcBorders>
            <w:hideMark/>
          </w:tcPr>
          <w:p w14:paraId="63C785E7"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0.032 </w:t>
            </w:r>
          </w:p>
        </w:tc>
        <w:tc>
          <w:tcPr>
            <w:tcW w:w="174" w:type="pct"/>
            <w:tcBorders>
              <w:top w:val="single" w:sz="6" w:space="0" w:color="auto"/>
              <w:left w:val="single" w:sz="6" w:space="0" w:color="auto"/>
              <w:bottom w:val="single" w:sz="6" w:space="0" w:color="auto"/>
              <w:right w:val="single" w:sz="6" w:space="0" w:color="auto"/>
            </w:tcBorders>
            <w:hideMark/>
          </w:tcPr>
          <w:p w14:paraId="7868EC1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6C374F1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0.024 </w:t>
            </w:r>
          </w:p>
        </w:tc>
        <w:tc>
          <w:tcPr>
            <w:tcW w:w="174" w:type="pct"/>
            <w:tcBorders>
              <w:top w:val="single" w:sz="6" w:space="0" w:color="auto"/>
              <w:left w:val="single" w:sz="6" w:space="0" w:color="auto"/>
              <w:bottom w:val="single" w:sz="6" w:space="0" w:color="auto"/>
              <w:right w:val="single" w:sz="6" w:space="0" w:color="auto"/>
            </w:tcBorders>
            <w:hideMark/>
          </w:tcPr>
          <w:p w14:paraId="20E2A3B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0.022 </w:t>
            </w:r>
          </w:p>
        </w:tc>
        <w:tc>
          <w:tcPr>
            <w:tcW w:w="8" w:type="pct"/>
            <w:vAlign w:val="center"/>
            <w:hideMark/>
          </w:tcPr>
          <w:p w14:paraId="31B056EA" w14:textId="77777777" w:rsidR="00DB1AEE" w:rsidRPr="00DB1AEE" w:rsidRDefault="00DB1AEE" w:rsidP="00DB1AEE">
            <w:pPr>
              <w:widowControl w:val="0"/>
              <w:suppressAutoHyphens/>
              <w:autoSpaceDE w:val="0"/>
              <w:autoSpaceDN w:val="0"/>
              <w:jc w:val="left"/>
              <w:rPr>
                <w:bCs/>
                <w:iCs/>
                <w:sz w:val="18"/>
                <w:szCs w:val="18"/>
                <w:u w:val="single"/>
                <w:lang w:bidi="en-US"/>
              </w:rPr>
            </w:pPr>
          </w:p>
        </w:tc>
      </w:tr>
      <w:tr w:rsidR="00DB1AEE" w:rsidRPr="00DB1AEE" w14:paraId="47A3CAE4" w14:textId="77777777" w:rsidTr="00FC1832">
        <w:trPr>
          <w:trHeight w:val="282"/>
        </w:trPr>
        <w:tc>
          <w:tcPr>
            <w:tcW w:w="665" w:type="pct"/>
            <w:tcBorders>
              <w:top w:val="single" w:sz="6" w:space="0" w:color="auto"/>
              <w:left w:val="single" w:sz="6" w:space="0" w:color="auto"/>
              <w:bottom w:val="single" w:sz="6" w:space="0" w:color="auto"/>
              <w:right w:val="single" w:sz="6" w:space="0" w:color="auto"/>
            </w:tcBorders>
            <w:hideMark/>
          </w:tcPr>
          <w:p w14:paraId="7112AEB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13 </w:t>
            </w:r>
          </w:p>
        </w:tc>
        <w:tc>
          <w:tcPr>
            <w:tcW w:w="855" w:type="pct"/>
            <w:tcBorders>
              <w:top w:val="single" w:sz="6" w:space="0" w:color="auto"/>
              <w:left w:val="single" w:sz="6" w:space="0" w:color="auto"/>
              <w:bottom w:val="single" w:sz="6" w:space="0" w:color="auto"/>
              <w:right w:val="single" w:sz="6" w:space="0" w:color="auto"/>
            </w:tcBorders>
            <w:hideMark/>
          </w:tcPr>
          <w:p w14:paraId="74C68B0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0.149 </w:t>
            </w:r>
          </w:p>
        </w:tc>
        <w:tc>
          <w:tcPr>
            <w:tcW w:w="174" w:type="pct"/>
            <w:tcBorders>
              <w:top w:val="single" w:sz="6" w:space="0" w:color="auto"/>
              <w:left w:val="single" w:sz="6" w:space="0" w:color="auto"/>
              <w:bottom w:val="single" w:sz="6" w:space="0" w:color="auto"/>
              <w:right w:val="single" w:sz="6" w:space="0" w:color="auto"/>
            </w:tcBorders>
            <w:hideMark/>
          </w:tcPr>
          <w:p w14:paraId="7FD0B43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0.130 </w:t>
            </w:r>
          </w:p>
        </w:tc>
        <w:tc>
          <w:tcPr>
            <w:tcW w:w="174" w:type="pct"/>
            <w:tcBorders>
              <w:top w:val="single" w:sz="6" w:space="0" w:color="auto"/>
              <w:left w:val="single" w:sz="6" w:space="0" w:color="auto"/>
              <w:bottom w:val="single" w:sz="6" w:space="0" w:color="auto"/>
              <w:right w:val="single" w:sz="6" w:space="0" w:color="auto"/>
            </w:tcBorders>
            <w:hideMark/>
          </w:tcPr>
          <w:p w14:paraId="049E2A4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0.115 </w:t>
            </w:r>
          </w:p>
        </w:tc>
        <w:tc>
          <w:tcPr>
            <w:tcW w:w="174" w:type="pct"/>
            <w:tcBorders>
              <w:top w:val="single" w:sz="6" w:space="0" w:color="auto"/>
              <w:left w:val="single" w:sz="6" w:space="0" w:color="auto"/>
              <w:bottom w:val="single" w:sz="6" w:space="0" w:color="auto"/>
              <w:right w:val="single" w:sz="6" w:space="0" w:color="auto"/>
            </w:tcBorders>
            <w:hideMark/>
          </w:tcPr>
          <w:p w14:paraId="42C985BE"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0.103 </w:t>
            </w:r>
          </w:p>
        </w:tc>
        <w:tc>
          <w:tcPr>
            <w:tcW w:w="174" w:type="pct"/>
            <w:tcBorders>
              <w:top w:val="single" w:sz="6" w:space="0" w:color="auto"/>
              <w:left w:val="single" w:sz="6" w:space="0" w:color="auto"/>
              <w:bottom w:val="single" w:sz="6" w:space="0" w:color="auto"/>
              <w:right w:val="single" w:sz="6" w:space="0" w:color="auto"/>
            </w:tcBorders>
            <w:hideMark/>
          </w:tcPr>
          <w:p w14:paraId="481CA59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0.094 </w:t>
            </w:r>
          </w:p>
        </w:tc>
        <w:tc>
          <w:tcPr>
            <w:tcW w:w="174" w:type="pct"/>
            <w:tcBorders>
              <w:top w:val="single" w:sz="6" w:space="0" w:color="auto"/>
              <w:left w:val="single" w:sz="6" w:space="0" w:color="auto"/>
              <w:bottom w:val="single" w:sz="6" w:space="0" w:color="auto"/>
              <w:right w:val="single" w:sz="6" w:space="0" w:color="auto"/>
            </w:tcBorders>
            <w:hideMark/>
          </w:tcPr>
          <w:p w14:paraId="0E0943FC"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0.086 </w:t>
            </w:r>
          </w:p>
        </w:tc>
        <w:tc>
          <w:tcPr>
            <w:tcW w:w="174" w:type="pct"/>
            <w:tcBorders>
              <w:top w:val="single" w:sz="6" w:space="0" w:color="auto"/>
              <w:left w:val="single" w:sz="6" w:space="0" w:color="auto"/>
              <w:bottom w:val="single" w:sz="6" w:space="0" w:color="auto"/>
              <w:right w:val="single" w:sz="6" w:space="0" w:color="auto"/>
            </w:tcBorders>
            <w:hideMark/>
          </w:tcPr>
          <w:p w14:paraId="1481E1E2"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0.079 </w:t>
            </w:r>
          </w:p>
        </w:tc>
        <w:tc>
          <w:tcPr>
            <w:tcW w:w="174" w:type="pct"/>
            <w:tcBorders>
              <w:top w:val="single" w:sz="6" w:space="0" w:color="auto"/>
              <w:left w:val="single" w:sz="6" w:space="0" w:color="auto"/>
              <w:bottom w:val="single" w:sz="6" w:space="0" w:color="auto"/>
              <w:right w:val="single" w:sz="6" w:space="0" w:color="auto"/>
            </w:tcBorders>
            <w:hideMark/>
          </w:tcPr>
          <w:p w14:paraId="55C34B9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0.073 </w:t>
            </w:r>
          </w:p>
        </w:tc>
        <w:tc>
          <w:tcPr>
            <w:tcW w:w="174" w:type="pct"/>
            <w:tcBorders>
              <w:top w:val="single" w:sz="6" w:space="0" w:color="auto"/>
              <w:left w:val="single" w:sz="6" w:space="0" w:color="auto"/>
              <w:bottom w:val="single" w:sz="6" w:space="0" w:color="auto"/>
              <w:right w:val="single" w:sz="6" w:space="0" w:color="auto"/>
            </w:tcBorders>
            <w:hideMark/>
          </w:tcPr>
          <w:p w14:paraId="40375A9C"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0.068 </w:t>
            </w:r>
          </w:p>
        </w:tc>
        <w:tc>
          <w:tcPr>
            <w:tcW w:w="174" w:type="pct"/>
            <w:tcBorders>
              <w:top w:val="single" w:sz="6" w:space="0" w:color="auto"/>
              <w:left w:val="single" w:sz="6" w:space="0" w:color="auto"/>
              <w:bottom w:val="single" w:sz="6" w:space="0" w:color="auto"/>
              <w:right w:val="single" w:sz="6" w:space="0" w:color="auto"/>
            </w:tcBorders>
            <w:hideMark/>
          </w:tcPr>
          <w:p w14:paraId="269BF77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0.064 </w:t>
            </w:r>
          </w:p>
        </w:tc>
        <w:tc>
          <w:tcPr>
            <w:tcW w:w="174" w:type="pct"/>
            <w:tcBorders>
              <w:top w:val="single" w:sz="6" w:space="0" w:color="auto"/>
              <w:left w:val="single" w:sz="6" w:space="0" w:color="auto"/>
              <w:bottom w:val="single" w:sz="6" w:space="0" w:color="auto"/>
              <w:right w:val="single" w:sz="6" w:space="0" w:color="auto"/>
            </w:tcBorders>
            <w:hideMark/>
          </w:tcPr>
          <w:p w14:paraId="4870DC61"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2CC35AC5"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0.057 </w:t>
            </w:r>
          </w:p>
        </w:tc>
        <w:tc>
          <w:tcPr>
            <w:tcW w:w="174" w:type="pct"/>
            <w:tcBorders>
              <w:top w:val="single" w:sz="6" w:space="0" w:color="auto"/>
              <w:left w:val="single" w:sz="6" w:space="0" w:color="auto"/>
              <w:bottom w:val="single" w:sz="6" w:space="0" w:color="auto"/>
              <w:right w:val="single" w:sz="6" w:space="0" w:color="auto"/>
            </w:tcBorders>
            <w:hideMark/>
          </w:tcPr>
          <w:p w14:paraId="5D7DEFC3"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4363EE85"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6BC2469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171C279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2E27A00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0.037 </w:t>
            </w:r>
          </w:p>
        </w:tc>
        <w:tc>
          <w:tcPr>
            <w:tcW w:w="174" w:type="pct"/>
            <w:tcBorders>
              <w:top w:val="single" w:sz="6" w:space="0" w:color="auto"/>
              <w:left w:val="single" w:sz="6" w:space="0" w:color="auto"/>
              <w:bottom w:val="single" w:sz="6" w:space="0" w:color="auto"/>
              <w:right w:val="single" w:sz="6" w:space="0" w:color="auto"/>
            </w:tcBorders>
            <w:hideMark/>
          </w:tcPr>
          <w:p w14:paraId="4131F92A"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0.032 </w:t>
            </w:r>
          </w:p>
        </w:tc>
        <w:tc>
          <w:tcPr>
            <w:tcW w:w="174" w:type="pct"/>
            <w:tcBorders>
              <w:top w:val="single" w:sz="6" w:space="0" w:color="auto"/>
              <w:left w:val="single" w:sz="6" w:space="0" w:color="auto"/>
              <w:bottom w:val="single" w:sz="6" w:space="0" w:color="auto"/>
              <w:right w:val="single" w:sz="6" w:space="0" w:color="auto"/>
            </w:tcBorders>
            <w:hideMark/>
          </w:tcPr>
          <w:p w14:paraId="35309FF1"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2574B8A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0.024 </w:t>
            </w:r>
          </w:p>
        </w:tc>
        <w:tc>
          <w:tcPr>
            <w:tcW w:w="174" w:type="pct"/>
            <w:tcBorders>
              <w:top w:val="single" w:sz="6" w:space="0" w:color="auto"/>
              <w:left w:val="single" w:sz="6" w:space="0" w:color="auto"/>
              <w:bottom w:val="single" w:sz="6" w:space="0" w:color="auto"/>
              <w:right w:val="single" w:sz="6" w:space="0" w:color="auto"/>
            </w:tcBorders>
            <w:hideMark/>
          </w:tcPr>
          <w:p w14:paraId="09DD42FA"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0.021 </w:t>
            </w:r>
          </w:p>
        </w:tc>
        <w:tc>
          <w:tcPr>
            <w:tcW w:w="8" w:type="pct"/>
            <w:vAlign w:val="center"/>
            <w:hideMark/>
          </w:tcPr>
          <w:p w14:paraId="085F35E8" w14:textId="77777777" w:rsidR="00DB1AEE" w:rsidRPr="00DB1AEE" w:rsidRDefault="00DB1AEE" w:rsidP="00DB1AEE">
            <w:pPr>
              <w:widowControl w:val="0"/>
              <w:suppressAutoHyphens/>
              <w:autoSpaceDE w:val="0"/>
              <w:autoSpaceDN w:val="0"/>
              <w:jc w:val="left"/>
              <w:rPr>
                <w:bCs/>
                <w:iCs/>
                <w:sz w:val="18"/>
                <w:szCs w:val="18"/>
                <w:u w:val="single"/>
                <w:lang w:bidi="en-US"/>
              </w:rPr>
            </w:pPr>
          </w:p>
        </w:tc>
      </w:tr>
      <w:tr w:rsidR="00DB1AEE" w:rsidRPr="00DB1AEE" w14:paraId="227AB791" w14:textId="77777777" w:rsidTr="00FC1832">
        <w:trPr>
          <w:trHeight w:val="228"/>
        </w:trPr>
        <w:tc>
          <w:tcPr>
            <w:tcW w:w="665" w:type="pct"/>
            <w:tcBorders>
              <w:top w:val="single" w:sz="6" w:space="0" w:color="auto"/>
              <w:left w:val="single" w:sz="6" w:space="0" w:color="auto"/>
              <w:bottom w:val="single" w:sz="6" w:space="0" w:color="auto"/>
              <w:right w:val="single" w:sz="6" w:space="0" w:color="auto"/>
            </w:tcBorders>
            <w:hideMark/>
          </w:tcPr>
          <w:p w14:paraId="71AB5CD9"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15 </w:t>
            </w:r>
          </w:p>
        </w:tc>
        <w:tc>
          <w:tcPr>
            <w:tcW w:w="855" w:type="pct"/>
            <w:tcBorders>
              <w:top w:val="single" w:sz="6" w:space="0" w:color="auto"/>
              <w:left w:val="single" w:sz="6" w:space="0" w:color="auto"/>
              <w:bottom w:val="single" w:sz="6" w:space="0" w:color="auto"/>
              <w:right w:val="single" w:sz="6" w:space="0" w:color="auto"/>
            </w:tcBorders>
            <w:hideMark/>
          </w:tcPr>
          <w:p w14:paraId="5615F0BC"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0.144 </w:t>
            </w:r>
          </w:p>
        </w:tc>
        <w:tc>
          <w:tcPr>
            <w:tcW w:w="174" w:type="pct"/>
            <w:tcBorders>
              <w:top w:val="single" w:sz="6" w:space="0" w:color="auto"/>
              <w:left w:val="single" w:sz="6" w:space="0" w:color="auto"/>
              <w:bottom w:val="single" w:sz="6" w:space="0" w:color="auto"/>
              <w:right w:val="single" w:sz="6" w:space="0" w:color="auto"/>
            </w:tcBorders>
            <w:hideMark/>
          </w:tcPr>
          <w:p w14:paraId="22C13889"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0.126 </w:t>
            </w:r>
          </w:p>
        </w:tc>
        <w:tc>
          <w:tcPr>
            <w:tcW w:w="174" w:type="pct"/>
            <w:tcBorders>
              <w:top w:val="single" w:sz="6" w:space="0" w:color="auto"/>
              <w:left w:val="single" w:sz="6" w:space="0" w:color="auto"/>
              <w:bottom w:val="single" w:sz="6" w:space="0" w:color="auto"/>
              <w:right w:val="single" w:sz="6" w:space="0" w:color="auto"/>
            </w:tcBorders>
            <w:hideMark/>
          </w:tcPr>
          <w:p w14:paraId="69A2AA3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0.112 </w:t>
            </w:r>
          </w:p>
        </w:tc>
        <w:tc>
          <w:tcPr>
            <w:tcW w:w="174" w:type="pct"/>
            <w:tcBorders>
              <w:top w:val="single" w:sz="6" w:space="0" w:color="auto"/>
              <w:left w:val="single" w:sz="6" w:space="0" w:color="auto"/>
              <w:bottom w:val="single" w:sz="6" w:space="0" w:color="auto"/>
              <w:right w:val="single" w:sz="6" w:space="0" w:color="auto"/>
            </w:tcBorders>
            <w:hideMark/>
          </w:tcPr>
          <w:p w14:paraId="206A21DC"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0.101 </w:t>
            </w:r>
          </w:p>
        </w:tc>
        <w:tc>
          <w:tcPr>
            <w:tcW w:w="174" w:type="pct"/>
            <w:tcBorders>
              <w:top w:val="single" w:sz="6" w:space="0" w:color="auto"/>
              <w:left w:val="single" w:sz="6" w:space="0" w:color="auto"/>
              <w:bottom w:val="single" w:sz="6" w:space="0" w:color="auto"/>
              <w:right w:val="single" w:sz="6" w:space="0" w:color="auto"/>
            </w:tcBorders>
            <w:hideMark/>
          </w:tcPr>
          <w:p w14:paraId="22A1A8C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0.092 </w:t>
            </w:r>
          </w:p>
        </w:tc>
        <w:tc>
          <w:tcPr>
            <w:tcW w:w="174" w:type="pct"/>
            <w:tcBorders>
              <w:top w:val="single" w:sz="6" w:space="0" w:color="auto"/>
              <w:left w:val="single" w:sz="6" w:space="0" w:color="auto"/>
              <w:bottom w:val="single" w:sz="6" w:space="0" w:color="auto"/>
              <w:right w:val="single" w:sz="6" w:space="0" w:color="auto"/>
            </w:tcBorders>
            <w:hideMark/>
          </w:tcPr>
          <w:p w14:paraId="2ED48215"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0.084 </w:t>
            </w:r>
          </w:p>
        </w:tc>
        <w:tc>
          <w:tcPr>
            <w:tcW w:w="174" w:type="pct"/>
            <w:tcBorders>
              <w:top w:val="single" w:sz="6" w:space="0" w:color="auto"/>
              <w:left w:val="single" w:sz="6" w:space="0" w:color="auto"/>
              <w:bottom w:val="single" w:sz="6" w:space="0" w:color="auto"/>
              <w:right w:val="single" w:sz="6" w:space="0" w:color="auto"/>
            </w:tcBorders>
            <w:hideMark/>
          </w:tcPr>
          <w:p w14:paraId="298F246A"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0.077 </w:t>
            </w:r>
          </w:p>
        </w:tc>
        <w:tc>
          <w:tcPr>
            <w:tcW w:w="174" w:type="pct"/>
            <w:tcBorders>
              <w:top w:val="single" w:sz="6" w:space="0" w:color="auto"/>
              <w:left w:val="single" w:sz="6" w:space="0" w:color="auto"/>
              <w:bottom w:val="single" w:sz="6" w:space="0" w:color="auto"/>
              <w:right w:val="single" w:sz="6" w:space="0" w:color="auto"/>
            </w:tcBorders>
            <w:hideMark/>
          </w:tcPr>
          <w:p w14:paraId="7374C69A"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0.072 </w:t>
            </w:r>
          </w:p>
        </w:tc>
        <w:tc>
          <w:tcPr>
            <w:tcW w:w="174" w:type="pct"/>
            <w:tcBorders>
              <w:top w:val="single" w:sz="6" w:space="0" w:color="auto"/>
              <w:left w:val="single" w:sz="6" w:space="0" w:color="auto"/>
              <w:bottom w:val="single" w:sz="6" w:space="0" w:color="auto"/>
              <w:right w:val="single" w:sz="6" w:space="0" w:color="auto"/>
            </w:tcBorders>
            <w:hideMark/>
          </w:tcPr>
          <w:p w14:paraId="61F408D1"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0.067 </w:t>
            </w:r>
          </w:p>
        </w:tc>
        <w:tc>
          <w:tcPr>
            <w:tcW w:w="174" w:type="pct"/>
            <w:tcBorders>
              <w:top w:val="single" w:sz="6" w:space="0" w:color="auto"/>
              <w:left w:val="single" w:sz="6" w:space="0" w:color="auto"/>
              <w:bottom w:val="single" w:sz="6" w:space="0" w:color="auto"/>
              <w:right w:val="single" w:sz="6" w:space="0" w:color="auto"/>
            </w:tcBorders>
            <w:hideMark/>
          </w:tcPr>
          <w:p w14:paraId="6A0311F7"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12D51AF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1478D86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7B12398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05371CD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0.050 </w:t>
            </w:r>
          </w:p>
        </w:tc>
        <w:tc>
          <w:tcPr>
            <w:tcW w:w="174" w:type="pct"/>
            <w:tcBorders>
              <w:top w:val="single" w:sz="6" w:space="0" w:color="auto"/>
              <w:left w:val="single" w:sz="6" w:space="0" w:color="auto"/>
              <w:bottom w:val="single" w:sz="6" w:space="0" w:color="auto"/>
              <w:right w:val="single" w:sz="6" w:space="0" w:color="auto"/>
            </w:tcBorders>
            <w:hideMark/>
          </w:tcPr>
          <w:p w14:paraId="2E5AEBC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7114128C"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2A187C39"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0.037 </w:t>
            </w:r>
          </w:p>
        </w:tc>
        <w:tc>
          <w:tcPr>
            <w:tcW w:w="174" w:type="pct"/>
            <w:tcBorders>
              <w:top w:val="single" w:sz="6" w:space="0" w:color="auto"/>
              <w:left w:val="single" w:sz="6" w:space="0" w:color="auto"/>
              <w:bottom w:val="single" w:sz="6" w:space="0" w:color="auto"/>
              <w:right w:val="single" w:sz="6" w:space="0" w:color="auto"/>
            </w:tcBorders>
            <w:hideMark/>
          </w:tcPr>
          <w:p w14:paraId="086257D3"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0.031 </w:t>
            </w:r>
          </w:p>
        </w:tc>
        <w:tc>
          <w:tcPr>
            <w:tcW w:w="174" w:type="pct"/>
            <w:tcBorders>
              <w:top w:val="single" w:sz="6" w:space="0" w:color="auto"/>
              <w:left w:val="single" w:sz="6" w:space="0" w:color="auto"/>
              <w:bottom w:val="single" w:sz="6" w:space="0" w:color="auto"/>
              <w:right w:val="single" w:sz="6" w:space="0" w:color="auto"/>
            </w:tcBorders>
            <w:hideMark/>
          </w:tcPr>
          <w:p w14:paraId="3FCFE73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25E5C6E1"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0.024 </w:t>
            </w:r>
          </w:p>
        </w:tc>
        <w:tc>
          <w:tcPr>
            <w:tcW w:w="174" w:type="pct"/>
            <w:tcBorders>
              <w:top w:val="single" w:sz="6" w:space="0" w:color="auto"/>
              <w:left w:val="single" w:sz="6" w:space="0" w:color="auto"/>
              <w:bottom w:val="single" w:sz="6" w:space="0" w:color="auto"/>
              <w:right w:val="single" w:sz="6" w:space="0" w:color="auto"/>
            </w:tcBorders>
            <w:hideMark/>
          </w:tcPr>
          <w:p w14:paraId="7B0B6B6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0.021 </w:t>
            </w:r>
          </w:p>
        </w:tc>
        <w:tc>
          <w:tcPr>
            <w:tcW w:w="8" w:type="pct"/>
            <w:vAlign w:val="center"/>
            <w:hideMark/>
          </w:tcPr>
          <w:p w14:paraId="0024E53B" w14:textId="77777777" w:rsidR="00DB1AEE" w:rsidRPr="00DB1AEE" w:rsidRDefault="00DB1AEE" w:rsidP="00DB1AEE">
            <w:pPr>
              <w:widowControl w:val="0"/>
              <w:suppressAutoHyphens/>
              <w:autoSpaceDE w:val="0"/>
              <w:autoSpaceDN w:val="0"/>
              <w:jc w:val="left"/>
              <w:rPr>
                <w:bCs/>
                <w:iCs/>
                <w:sz w:val="18"/>
                <w:szCs w:val="18"/>
                <w:u w:val="single"/>
                <w:lang w:bidi="en-US"/>
              </w:rPr>
            </w:pPr>
          </w:p>
        </w:tc>
      </w:tr>
      <w:tr w:rsidR="00DB1AEE" w:rsidRPr="00DB1AEE" w14:paraId="5D8EC531" w14:textId="77777777" w:rsidTr="00FC1832">
        <w:trPr>
          <w:trHeight w:val="255"/>
        </w:trPr>
        <w:tc>
          <w:tcPr>
            <w:tcW w:w="665" w:type="pct"/>
            <w:tcBorders>
              <w:top w:val="single" w:sz="6" w:space="0" w:color="auto"/>
              <w:left w:val="single" w:sz="6" w:space="0" w:color="auto"/>
              <w:bottom w:val="single" w:sz="6" w:space="0" w:color="auto"/>
              <w:right w:val="single" w:sz="6" w:space="0" w:color="auto"/>
            </w:tcBorders>
            <w:hideMark/>
          </w:tcPr>
          <w:p w14:paraId="58E0F2D1"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19 </w:t>
            </w:r>
          </w:p>
        </w:tc>
        <w:tc>
          <w:tcPr>
            <w:tcW w:w="855" w:type="pct"/>
            <w:tcBorders>
              <w:top w:val="single" w:sz="6" w:space="0" w:color="auto"/>
              <w:left w:val="single" w:sz="6" w:space="0" w:color="auto"/>
              <w:bottom w:val="single" w:sz="6" w:space="0" w:color="auto"/>
              <w:right w:val="single" w:sz="6" w:space="0" w:color="auto"/>
            </w:tcBorders>
            <w:hideMark/>
          </w:tcPr>
          <w:p w14:paraId="48D02C8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0.137 </w:t>
            </w:r>
          </w:p>
        </w:tc>
        <w:tc>
          <w:tcPr>
            <w:tcW w:w="174" w:type="pct"/>
            <w:tcBorders>
              <w:top w:val="single" w:sz="6" w:space="0" w:color="auto"/>
              <w:left w:val="single" w:sz="6" w:space="0" w:color="auto"/>
              <w:bottom w:val="single" w:sz="6" w:space="0" w:color="auto"/>
              <w:right w:val="single" w:sz="6" w:space="0" w:color="auto"/>
            </w:tcBorders>
            <w:hideMark/>
          </w:tcPr>
          <w:p w14:paraId="7549AA8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0.121 </w:t>
            </w:r>
          </w:p>
        </w:tc>
        <w:tc>
          <w:tcPr>
            <w:tcW w:w="174" w:type="pct"/>
            <w:tcBorders>
              <w:top w:val="single" w:sz="6" w:space="0" w:color="auto"/>
              <w:left w:val="single" w:sz="6" w:space="0" w:color="auto"/>
              <w:bottom w:val="single" w:sz="6" w:space="0" w:color="auto"/>
              <w:right w:val="single" w:sz="6" w:space="0" w:color="auto"/>
            </w:tcBorders>
            <w:hideMark/>
          </w:tcPr>
          <w:p w14:paraId="26211687"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0.108 </w:t>
            </w:r>
          </w:p>
        </w:tc>
        <w:tc>
          <w:tcPr>
            <w:tcW w:w="174" w:type="pct"/>
            <w:tcBorders>
              <w:top w:val="single" w:sz="6" w:space="0" w:color="auto"/>
              <w:left w:val="single" w:sz="6" w:space="0" w:color="auto"/>
              <w:bottom w:val="single" w:sz="6" w:space="0" w:color="auto"/>
              <w:right w:val="single" w:sz="6" w:space="0" w:color="auto"/>
            </w:tcBorders>
            <w:hideMark/>
          </w:tcPr>
          <w:p w14:paraId="5E6A0625"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0.097 </w:t>
            </w:r>
          </w:p>
        </w:tc>
        <w:tc>
          <w:tcPr>
            <w:tcW w:w="174" w:type="pct"/>
            <w:tcBorders>
              <w:top w:val="single" w:sz="6" w:space="0" w:color="auto"/>
              <w:left w:val="single" w:sz="6" w:space="0" w:color="auto"/>
              <w:bottom w:val="single" w:sz="6" w:space="0" w:color="auto"/>
              <w:right w:val="single" w:sz="6" w:space="0" w:color="auto"/>
            </w:tcBorders>
            <w:hideMark/>
          </w:tcPr>
          <w:p w14:paraId="247A8FC3"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0.089 </w:t>
            </w:r>
          </w:p>
        </w:tc>
        <w:tc>
          <w:tcPr>
            <w:tcW w:w="174" w:type="pct"/>
            <w:tcBorders>
              <w:top w:val="single" w:sz="6" w:space="0" w:color="auto"/>
              <w:left w:val="single" w:sz="6" w:space="0" w:color="auto"/>
              <w:bottom w:val="single" w:sz="6" w:space="0" w:color="auto"/>
              <w:right w:val="single" w:sz="6" w:space="0" w:color="auto"/>
            </w:tcBorders>
            <w:hideMark/>
          </w:tcPr>
          <w:p w14:paraId="0CE9E8E9"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0.081 </w:t>
            </w:r>
          </w:p>
        </w:tc>
        <w:tc>
          <w:tcPr>
            <w:tcW w:w="174" w:type="pct"/>
            <w:tcBorders>
              <w:top w:val="single" w:sz="6" w:space="0" w:color="auto"/>
              <w:left w:val="single" w:sz="6" w:space="0" w:color="auto"/>
              <w:bottom w:val="single" w:sz="6" w:space="0" w:color="auto"/>
              <w:right w:val="single" w:sz="6" w:space="0" w:color="auto"/>
            </w:tcBorders>
            <w:hideMark/>
          </w:tcPr>
          <w:p w14:paraId="0498E78C"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0.075 </w:t>
            </w:r>
          </w:p>
        </w:tc>
        <w:tc>
          <w:tcPr>
            <w:tcW w:w="174" w:type="pct"/>
            <w:tcBorders>
              <w:top w:val="single" w:sz="6" w:space="0" w:color="auto"/>
              <w:left w:val="single" w:sz="6" w:space="0" w:color="auto"/>
              <w:bottom w:val="single" w:sz="6" w:space="0" w:color="auto"/>
              <w:right w:val="single" w:sz="6" w:space="0" w:color="auto"/>
            </w:tcBorders>
            <w:hideMark/>
          </w:tcPr>
          <w:p w14:paraId="78F7A279"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0.070 </w:t>
            </w:r>
          </w:p>
        </w:tc>
        <w:tc>
          <w:tcPr>
            <w:tcW w:w="174" w:type="pct"/>
            <w:tcBorders>
              <w:top w:val="single" w:sz="6" w:space="0" w:color="auto"/>
              <w:left w:val="single" w:sz="6" w:space="0" w:color="auto"/>
              <w:bottom w:val="single" w:sz="6" w:space="0" w:color="auto"/>
              <w:right w:val="single" w:sz="6" w:space="0" w:color="auto"/>
            </w:tcBorders>
            <w:hideMark/>
          </w:tcPr>
          <w:p w14:paraId="4F20FA23"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0.065 </w:t>
            </w:r>
          </w:p>
        </w:tc>
        <w:tc>
          <w:tcPr>
            <w:tcW w:w="174" w:type="pct"/>
            <w:tcBorders>
              <w:top w:val="single" w:sz="6" w:space="0" w:color="auto"/>
              <w:left w:val="single" w:sz="6" w:space="0" w:color="auto"/>
              <w:bottom w:val="single" w:sz="6" w:space="0" w:color="auto"/>
              <w:right w:val="single" w:sz="6" w:space="0" w:color="auto"/>
            </w:tcBorders>
            <w:hideMark/>
          </w:tcPr>
          <w:p w14:paraId="3F28E60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0.061 </w:t>
            </w:r>
          </w:p>
        </w:tc>
        <w:tc>
          <w:tcPr>
            <w:tcW w:w="174" w:type="pct"/>
            <w:tcBorders>
              <w:top w:val="single" w:sz="6" w:space="0" w:color="auto"/>
              <w:left w:val="single" w:sz="6" w:space="0" w:color="auto"/>
              <w:bottom w:val="single" w:sz="6" w:space="0" w:color="auto"/>
              <w:right w:val="single" w:sz="6" w:space="0" w:color="auto"/>
            </w:tcBorders>
            <w:hideMark/>
          </w:tcPr>
          <w:p w14:paraId="1F0EA305"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0.058 </w:t>
            </w:r>
          </w:p>
        </w:tc>
        <w:tc>
          <w:tcPr>
            <w:tcW w:w="174" w:type="pct"/>
            <w:tcBorders>
              <w:top w:val="single" w:sz="6" w:space="0" w:color="auto"/>
              <w:left w:val="single" w:sz="6" w:space="0" w:color="auto"/>
              <w:bottom w:val="single" w:sz="6" w:space="0" w:color="auto"/>
              <w:right w:val="single" w:sz="6" w:space="0" w:color="auto"/>
            </w:tcBorders>
            <w:hideMark/>
          </w:tcPr>
          <w:p w14:paraId="0F90BAEE"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0.055 </w:t>
            </w:r>
          </w:p>
        </w:tc>
        <w:tc>
          <w:tcPr>
            <w:tcW w:w="174" w:type="pct"/>
            <w:tcBorders>
              <w:top w:val="single" w:sz="6" w:space="0" w:color="auto"/>
              <w:left w:val="single" w:sz="6" w:space="0" w:color="auto"/>
              <w:bottom w:val="single" w:sz="6" w:space="0" w:color="auto"/>
              <w:right w:val="single" w:sz="6" w:space="0" w:color="auto"/>
            </w:tcBorders>
            <w:hideMark/>
          </w:tcPr>
          <w:p w14:paraId="3E5FF435"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0228747E"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6509B41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404E46D9"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1600CCA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0.037 </w:t>
            </w:r>
          </w:p>
        </w:tc>
        <w:tc>
          <w:tcPr>
            <w:tcW w:w="174" w:type="pct"/>
            <w:tcBorders>
              <w:top w:val="single" w:sz="6" w:space="0" w:color="auto"/>
              <w:left w:val="single" w:sz="6" w:space="0" w:color="auto"/>
              <w:bottom w:val="single" w:sz="6" w:space="0" w:color="auto"/>
              <w:right w:val="single" w:sz="6" w:space="0" w:color="auto"/>
            </w:tcBorders>
            <w:hideMark/>
          </w:tcPr>
          <w:p w14:paraId="37B8B42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0.031 </w:t>
            </w:r>
          </w:p>
        </w:tc>
        <w:tc>
          <w:tcPr>
            <w:tcW w:w="174" w:type="pct"/>
            <w:tcBorders>
              <w:top w:val="single" w:sz="6" w:space="0" w:color="auto"/>
              <w:left w:val="single" w:sz="6" w:space="0" w:color="auto"/>
              <w:bottom w:val="single" w:sz="6" w:space="0" w:color="auto"/>
              <w:right w:val="single" w:sz="6" w:space="0" w:color="auto"/>
            </w:tcBorders>
            <w:hideMark/>
          </w:tcPr>
          <w:p w14:paraId="43E43BEC"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25DB9AF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0.024 </w:t>
            </w:r>
          </w:p>
        </w:tc>
        <w:tc>
          <w:tcPr>
            <w:tcW w:w="174" w:type="pct"/>
            <w:tcBorders>
              <w:top w:val="single" w:sz="6" w:space="0" w:color="auto"/>
              <w:left w:val="single" w:sz="6" w:space="0" w:color="auto"/>
              <w:bottom w:val="single" w:sz="6" w:space="0" w:color="auto"/>
              <w:right w:val="single" w:sz="6" w:space="0" w:color="auto"/>
            </w:tcBorders>
            <w:hideMark/>
          </w:tcPr>
          <w:p w14:paraId="74D49B1E"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0.021 </w:t>
            </w:r>
          </w:p>
        </w:tc>
        <w:tc>
          <w:tcPr>
            <w:tcW w:w="8" w:type="pct"/>
            <w:vAlign w:val="center"/>
            <w:hideMark/>
          </w:tcPr>
          <w:p w14:paraId="1B4FC03E" w14:textId="77777777" w:rsidR="00DB1AEE" w:rsidRPr="00DB1AEE" w:rsidRDefault="00DB1AEE" w:rsidP="00DB1AEE">
            <w:pPr>
              <w:widowControl w:val="0"/>
              <w:suppressAutoHyphens/>
              <w:autoSpaceDE w:val="0"/>
              <w:autoSpaceDN w:val="0"/>
              <w:jc w:val="left"/>
              <w:rPr>
                <w:bCs/>
                <w:iCs/>
                <w:sz w:val="18"/>
                <w:szCs w:val="18"/>
                <w:u w:val="single"/>
                <w:lang w:bidi="en-US"/>
              </w:rPr>
            </w:pPr>
          </w:p>
        </w:tc>
      </w:tr>
      <w:tr w:rsidR="00DB1AEE" w:rsidRPr="00DB1AEE" w14:paraId="5860E83B" w14:textId="77777777" w:rsidTr="00FC1832">
        <w:trPr>
          <w:trHeight w:val="192"/>
        </w:trPr>
        <w:tc>
          <w:tcPr>
            <w:tcW w:w="665" w:type="pct"/>
            <w:tcBorders>
              <w:top w:val="single" w:sz="6" w:space="0" w:color="auto"/>
              <w:left w:val="single" w:sz="6" w:space="0" w:color="auto"/>
              <w:bottom w:val="single" w:sz="6" w:space="0" w:color="auto"/>
              <w:right w:val="single" w:sz="6" w:space="0" w:color="auto"/>
            </w:tcBorders>
            <w:hideMark/>
          </w:tcPr>
          <w:p w14:paraId="492FCB42"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21 </w:t>
            </w:r>
          </w:p>
        </w:tc>
        <w:tc>
          <w:tcPr>
            <w:tcW w:w="855" w:type="pct"/>
            <w:tcBorders>
              <w:top w:val="single" w:sz="6" w:space="0" w:color="auto"/>
              <w:left w:val="single" w:sz="6" w:space="0" w:color="auto"/>
              <w:bottom w:val="single" w:sz="6" w:space="0" w:color="auto"/>
              <w:right w:val="single" w:sz="6" w:space="0" w:color="auto"/>
            </w:tcBorders>
            <w:hideMark/>
          </w:tcPr>
          <w:p w14:paraId="49957061"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0.135 </w:t>
            </w:r>
          </w:p>
        </w:tc>
        <w:tc>
          <w:tcPr>
            <w:tcW w:w="174" w:type="pct"/>
            <w:tcBorders>
              <w:top w:val="single" w:sz="6" w:space="0" w:color="auto"/>
              <w:left w:val="single" w:sz="6" w:space="0" w:color="auto"/>
              <w:bottom w:val="single" w:sz="6" w:space="0" w:color="auto"/>
              <w:right w:val="single" w:sz="6" w:space="0" w:color="auto"/>
            </w:tcBorders>
            <w:hideMark/>
          </w:tcPr>
          <w:p w14:paraId="05050512"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0.119 </w:t>
            </w:r>
          </w:p>
        </w:tc>
        <w:tc>
          <w:tcPr>
            <w:tcW w:w="174" w:type="pct"/>
            <w:tcBorders>
              <w:top w:val="single" w:sz="6" w:space="0" w:color="auto"/>
              <w:left w:val="single" w:sz="6" w:space="0" w:color="auto"/>
              <w:bottom w:val="single" w:sz="6" w:space="0" w:color="auto"/>
              <w:right w:val="single" w:sz="6" w:space="0" w:color="auto"/>
            </w:tcBorders>
            <w:hideMark/>
          </w:tcPr>
          <w:p w14:paraId="2CA0301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0.106 </w:t>
            </w:r>
          </w:p>
        </w:tc>
        <w:tc>
          <w:tcPr>
            <w:tcW w:w="174" w:type="pct"/>
            <w:tcBorders>
              <w:top w:val="single" w:sz="6" w:space="0" w:color="auto"/>
              <w:left w:val="single" w:sz="6" w:space="0" w:color="auto"/>
              <w:bottom w:val="single" w:sz="6" w:space="0" w:color="auto"/>
              <w:right w:val="single" w:sz="6" w:space="0" w:color="auto"/>
            </w:tcBorders>
            <w:hideMark/>
          </w:tcPr>
          <w:p w14:paraId="1862F207"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0.096 </w:t>
            </w:r>
          </w:p>
        </w:tc>
        <w:tc>
          <w:tcPr>
            <w:tcW w:w="174" w:type="pct"/>
            <w:tcBorders>
              <w:top w:val="single" w:sz="6" w:space="0" w:color="auto"/>
              <w:left w:val="single" w:sz="6" w:space="0" w:color="auto"/>
              <w:bottom w:val="single" w:sz="6" w:space="0" w:color="auto"/>
              <w:right w:val="single" w:sz="6" w:space="0" w:color="auto"/>
            </w:tcBorders>
            <w:hideMark/>
          </w:tcPr>
          <w:p w14:paraId="26EBA513"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0.088 </w:t>
            </w:r>
          </w:p>
        </w:tc>
        <w:tc>
          <w:tcPr>
            <w:tcW w:w="174" w:type="pct"/>
            <w:tcBorders>
              <w:top w:val="single" w:sz="6" w:space="0" w:color="auto"/>
              <w:left w:val="single" w:sz="6" w:space="0" w:color="auto"/>
              <w:bottom w:val="single" w:sz="6" w:space="0" w:color="auto"/>
              <w:right w:val="single" w:sz="6" w:space="0" w:color="auto"/>
            </w:tcBorders>
            <w:hideMark/>
          </w:tcPr>
          <w:p w14:paraId="39289C0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0.080 </w:t>
            </w:r>
          </w:p>
        </w:tc>
        <w:tc>
          <w:tcPr>
            <w:tcW w:w="174" w:type="pct"/>
            <w:tcBorders>
              <w:top w:val="single" w:sz="6" w:space="0" w:color="auto"/>
              <w:left w:val="single" w:sz="6" w:space="0" w:color="auto"/>
              <w:bottom w:val="single" w:sz="6" w:space="0" w:color="auto"/>
              <w:right w:val="single" w:sz="6" w:space="0" w:color="auto"/>
            </w:tcBorders>
            <w:hideMark/>
          </w:tcPr>
          <w:p w14:paraId="65F66F0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0.074 </w:t>
            </w:r>
          </w:p>
        </w:tc>
        <w:tc>
          <w:tcPr>
            <w:tcW w:w="174" w:type="pct"/>
            <w:tcBorders>
              <w:top w:val="single" w:sz="6" w:space="0" w:color="auto"/>
              <w:left w:val="single" w:sz="6" w:space="0" w:color="auto"/>
              <w:bottom w:val="single" w:sz="6" w:space="0" w:color="auto"/>
              <w:right w:val="single" w:sz="6" w:space="0" w:color="auto"/>
            </w:tcBorders>
            <w:hideMark/>
          </w:tcPr>
          <w:p w14:paraId="3A0DC851"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0.069 </w:t>
            </w:r>
          </w:p>
        </w:tc>
        <w:tc>
          <w:tcPr>
            <w:tcW w:w="174" w:type="pct"/>
            <w:tcBorders>
              <w:top w:val="single" w:sz="6" w:space="0" w:color="auto"/>
              <w:left w:val="single" w:sz="6" w:space="0" w:color="auto"/>
              <w:bottom w:val="single" w:sz="6" w:space="0" w:color="auto"/>
              <w:right w:val="single" w:sz="6" w:space="0" w:color="auto"/>
            </w:tcBorders>
            <w:hideMark/>
          </w:tcPr>
          <w:p w14:paraId="3DCA996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0.065 </w:t>
            </w:r>
          </w:p>
        </w:tc>
        <w:tc>
          <w:tcPr>
            <w:tcW w:w="174" w:type="pct"/>
            <w:tcBorders>
              <w:top w:val="single" w:sz="6" w:space="0" w:color="auto"/>
              <w:left w:val="single" w:sz="6" w:space="0" w:color="auto"/>
              <w:bottom w:val="single" w:sz="6" w:space="0" w:color="auto"/>
              <w:right w:val="single" w:sz="6" w:space="0" w:color="auto"/>
            </w:tcBorders>
            <w:hideMark/>
          </w:tcPr>
          <w:p w14:paraId="206CC7D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0.061 </w:t>
            </w:r>
          </w:p>
        </w:tc>
        <w:tc>
          <w:tcPr>
            <w:tcW w:w="174" w:type="pct"/>
            <w:tcBorders>
              <w:top w:val="single" w:sz="6" w:space="0" w:color="auto"/>
              <w:left w:val="single" w:sz="6" w:space="0" w:color="auto"/>
              <w:bottom w:val="single" w:sz="6" w:space="0" w:color="auto"/>
              <w:right w:val="single" w:sz="6" w:space="0" w:color="auto"/>
            </w:tcBorders>
            <w:hideMark/>
          </w:tcPr>
          <w:p w14:paraId="083A288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0.057 </w:t>
            </w:r>
          </w:p>
        </w:tc>
        <w:tc>
          <w:tcPr>
            <w:tcW w:w="174" w:type="pct"/>
            <w:tcBorders>
              <w:top w:val="single" w:sz="6" w:space="0" w:color="auto"/>
              <w:left w:val="single" w:sz="6" w:space="0" w:color="auto"/>
              <w:bottom w:val="single" w:sz="6" w:space="0" w:color="auto"/>
              <w:right w:val="single" w:sz="6" w:space="0" w:color="auto"/>
            </w:tcBorders>
            <w:hideMark/>
          </w:tcPr>
          <w:p w14:paraId="3A3215E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0.054 </w:t>
            </w:r>
          </w:p>
        </w:tc>
        <w:tc>
          <w:tcPr>
            <w:tcW w:w="174" w:type="pct"/>
            <w:tcBorders>
              <w:top w:val="single" w:sz="6" w:space="0" w:color="auto"/>
              <w:left w:val="single" w:sz="6" w:space="0" w:color="auto"/>
              <w:bottom w:val="single" w:sz="6" w:space="0" w:color="auto"/>
              <w:right w:val="single" w:sz="6" w:space="0" w:color="auto"/>
            </w:tcBorders>
            <w:hideMark/>
          </w:tcPr>
          <w:p w14:paraId="2E7EAAEA"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4C6F99B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7069D37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26E2FE23"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6D3C404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3B7AF382"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0.031 </w:t>
            </w:r>
          </w:p>
        </w:tc>
        <w:tc>
          <w:tcPr>
            <w:tcW w:w="174" w:type="pct"/>
            <w:tcBorders>
              <w:top w:val="single" w:sz="6" w:space="0" w:color="auto"/>
              <w:left w:val="single" w:sz="6" w:space="0" w:color="auto"/>
              <w:bottom w:val="single" w:sz="6" w:space="0" w:color="auto"/>
              <w:right w:val="single" w:sz="6" w:space="0" w:color="auto"/>
            </w:tcBorders>
            <w:hideMark/>
          </w:tcPr>
          <w:p w14:paraId="76DC84A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04DB323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0.024 </w:t>
            </w:r>
          </w:p>
        </w:tc>
        <w:tc>
          <w:tcPr>
            <w:tcW w:w="174" w:type="pct"/>
            <w:tcBorders>
              <w:top w:val="single" w:sz="6" w:space="0" w:color="auto"/>
              <w:left w:val="single" w:sz="6" w:space="0" w:color="auto"/>
              <w:bottom w:val="single" w:sz="6" w:space="0" w:color="auto"/>
              <w:right w:val="single" w:sz="6" w:space="0" w:color="auto"/>
            </w:tcBorders>
            <w:hideMark/>
          </w:tcPr>
          <w:p w14:paraId="6821957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0.021 </w:t>
            </w:r>
          </w:p>
        </w:tc>
        <w:tc>
          <w:tcPr>
            <w:tcW w:w="8" w:type="pct"/>
            <w:vAlign w:val="center"/>
            <w:hideMark/>
          </w:tcPr>
          <w:p w14:paraId="6B709068" w14:textId="77777777" w:rsidR="00DB1AEE" w:rsidRPr="00DB1AEE" w:rsidRDefault="00DB1AEE" w:rsidP="00DB1AEE">
            <w:pPr>
              <w:widowControl w:val="0"/>
              <w:suppressAutoHyphens/>
              <w:autoSpaceDE w:val="0"/>
              <w:autoSpaceDN w:val="0"/>
              <w:jc w:val="left"/>
              <w:rPr>
                <w:bCs/>
                <w:iCs/>
                <w:sz w:val="18"/>
                <w:szCs w:val="18"/>
                <w:u w:val="single"/>
                <w:lang w:bidi="en-US"/>
              </w:rPr>
            </w:pPr>
          </w:p>
        </w:tc>
      </w:tr>
      <w:tr w:rsidR="00DB1AEE" w:rsidRPr="00DB1AEE" w14:paraId="4C0C1AAB" w14:textId="77777777" w:rsidTr="00FC1832">
        <w:trPr>
          <w:trHeight w:val="228"/>
        </w:trPr>
        <w:tc>
          <w:tcPr>
            <w:tcW w:w="665" w:type="pct"/>
            <w:tcBorders>
              <w:top w:val="single" w:sz="6" w:space="0" w:color="auto"/>
              <w:left w:val="single" w:sz="6" w:space="0" w:color="auto"/>
              <w:bottom w:val="single" w:sz="6" w:space="0" w:color="auto"/>
              <w:right w:val="single" w:sz="6" w:space="0" w:color="auto"/>
            </w:tcBorders>
            <w:hideMark/>
          </w:tcPr>
          <w:p w14:paraId="18BA026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25 </w:t>
            </w:r>
          </w:p>
        </w:tc>
        <w:tc>
          <w:tcPr>
            <w:tcW w:w="855" w:type="pct"/>
            <w:tcBorders>
              <w:top w:val="single" w:sz="6" w:space="0" w:color="auto"/>
              <w:left w:val="single" w:sz="6" w:space="0" w:color="auto"/>
              <w:bottom w:val="single" w:sz="6" w:space="0" w:color="auto"/>
              <w:right w:val="single" w:sz="6" w:space="0" w:color="auto"/>
            </w:tcBorders>
            <w:hideMark/>
          </w:tcPr>
          <w:p w14:paraId="32FB7453"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0.131 </w:t>
            </w:r>
          </w:p>
        </w:tc>
        <w:tc>
          <w:tcPr>
            <w:tcW w:w="174" w:type="pct"/>
            <w:tcBorders>
              <w:top w:val="single" w:sz="6" w:space="0" w:color="auto"/>
              <w:left w:val="single" w:sz="6" w:space="0" w:color="auto"/>
              <w:bottom w:val="single" w:sz="6" w:space="0" w:color="auto"/>
              <w:right w:val="single" w:sz="6" w:space="0" w:color="auto"/>
            </w:tcBorders>
            <w:hideMark/>
          </w:tcPr>
          <w:p w14:paraId="73AA697E"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0.116 </w:t>
            </w:r>
          </w:p>
        </w:tc>
        <w:tc>
          <w:tcPr>
            <w:tcW w:w="174" w:type="pct"/>
            <w:tcBorders>
              <w:top w:val="single" w:sz="6" w:space="0" w:color="auto"/>
              <w:left w:val="single" w:sz="6" w:space="0" w:color="auto"/>
              <w:bottom w:val="single" w:sz="6" w:space="0" w:color="auto"/>
              <w:right w:val="single" w:sz="6" w:space="0" w:color="auto"/>
            </w:tcBorders>
            <w:hideMark/>
          </w:tcPr>
          <w:p w14:paraId="6B9E02B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0.104 </w:t>
            </w:r>
          </w:p>
        </w:tc>
        <w:tc>
          <w:tcPr>
            <w:tcW w:w="174" w:type="pct"/>
            <w:tcBorders>
              <w:top w:val="single" w:sz="6" w:space="0" w:color="auto"/>
              <w:left w:val="single" w:sz="6" w:space="0" w:color="auto"/>
              <w:bottom w:val="single" w:sz="6" w:space="0" w:color="auto"/>
              <w:right w:val="single" w:sz="6" w:space="0" w:color="auto"/>
            </w:tcBorders>
            <w:hideMark/>
          </w:tcPr>
          <w:p w14:paraId="27DA9E0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0.094 </w:t>
            </w:r>
          </w:p>
        </w:tc>
        <w:tc>
          <w:tcPr>
            <w:tcW w:w="174" w:type="pct"/>
            <w:tcBorders>
              <w:top w:val="single" w:sz="6" w:space="0" w:color="auto"/>
              <w:left w:val="single" w:sz="6" w:space="0" w:color="auto"/>
              <w:bottom w:val="single" w:sz="6" w:space="0" w:color="auto"/>
              <w:right w:val="single" w:sz="6" w:space="0" w:color="auto"/>
            </w:tcBorders>
            <w:hideMark/>
          </w:tcPr>
          <w:p w14:paraId="08ECC537"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0.086 </w:t>
            </w:r>
          </w:p>
        </w:tc>
        <w:tc>
          <w:tcPr>
            <w:tcW w:w="174" w:type="pct"/>
            <w:tcBorders>
              <w:top w:val="single" w:sz="6" w:space="0" w:color="auto"/>
              <w:left w:val="single" w:sz="6" w:space="0" w:color="auto"/>
              <w:bottom w:val="single" w:sz="6" w:space="0" w:color="auto"/>
              <w:right w:val="single" w:sz="6" w:space="0" w:color="auto"/>
            </w:tcBorders>
            <w:hideMark/>
          </w:tcPr>
          <w:p w14:paraId="7E568693"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0.079 </w:t>
            </w:r>
          </w:p>
        </w:tc>
        <w:tc>
          <w:tcPr>
            <w:tcW w:w="174" w:type="pct"/>
            <w:tcBorders>
              <w:top w:val="single" w:sz="6" w:space="0" w:color="auto"/>
              <w:left w:val="single" w:sz="6" w:space="0" w:color="auto"/>
              <w:bottom w:val="single" w:sz="6" w:space="0" w:color="auto"/>
              <w:right w:val="single" w:sz="6" w:space="0" w:color="auto"/>
            </w:tcBorders>
            <w:hideMark/>
          </w:tcPr>
          <w:p w14:paraId="5875AD1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0.073 </w:t>
            </w:r>
          </w:p>
        </w:tc>
        <w:tc>
          <w:tcPr>
            <w:tcW w:w="174" w:type="pct"/>
            <w:tcBorders>
              <w:top w:val="single" w:sz="6" w:space="0" w:color="auto"/>
              <w:left w:val="single" w:sz="6" w:space="0" w:color="auto"/>
              <w:bottom w:val="single" w:sz="6" w:space="0" w:color="auto"/>
              <w:right w:val="single" w:sz="6" w:space="0" w:color="auto"/>
            </w:tcBorders>
            <w:hideMark/>
          </w:tcPr>
          <w:p w14:paraId="357D1BC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0.068 </w:t>
            </w:r>
          </w:p>
        </w:tc>
        <w:tc>
          <w:tcPr>
            <w:tcW w:w="174" w:type="pct"/>
            <w:tcBorders>
              <w:top w:val="single" w:sz="6" w:space="0" w:color="auto"/>
              <w:left w:val="single" w:sz="6" w:space="0" w:color="auto"/>
              <w:bottom w:val="single" w:sz="6" w:space="0" w:color="auto"/>
              <w:right w:val="single" w:sz="6" w:space="0" w:color="auto"/>
            </w:tcBorders>
            <w:hideMark/>
          </w:tcPr>
          <w:p w14:paraId="1BA04AE9"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0.064 </w:t>
            </w:r>
          </w:p>
        </w:tc>
        <w:tc>
          <w:tcPr>
            <w:tcW w:w="174" w:type="pct"/>
            <w:tcBorders>
              <w:top w:val="single" w:sz="6" w:space="0" w:color="auto"/>
              <w:left w:val="single" w:sz="6" w:space="0" w:color="auto"/>
              <w:bottom w:val="single" w:sz="6" w:space="0" w:color="auto"/>
              <w:right w:val="single" w:sz="6" w:space="0" w:color="auto"/>
            </w:tcBorders>
            <w:hideMark/>
          </w:tcPr>
          <w:p w14:paraId="6F66926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4D0B5761"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0.057 </w:t>
            </w:r>
          </w:p>
        </w:tc>
        <w:tc>
          <w:tcPr>
            <w:tcW w:w="174" w:type="pct"/>
            <w:tcBorders>
              <w:top w:val="single" w:sz="6" w:space="0" w:color="auto"/>
              <w:left w:val="single" w:sz="6" w:space="0" w:color="auto"/>
              <w:bottom w:val="single" w:sz="6" w:space="0" w:color="auto"/>
              <w:right w:val="single" w:sz="6" w:space="0" w:color="auto"/>
            </w:tcBorders>
            <w:hideMark/>
          </w:tcPr>
          <w:p w14:paraId="4723F5A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0.054 </w:t>
            </w:r>
          </w:p>
        </w:tc>
        <w:tc>
          <w:tcPr>
            <w:tcW w:w="174" w:type="pct"/>
            <w:tcBorders>
              <w:top w:val="single" w:sz="6" w:space="0" w:color="auto"/>
              <w:left w:val="single" w:sz="6" w:space="0" w:color="auto"/>
              <w:bottom w:val="single" w:sz="6" w:space="0" w:color="auto"/>
              <w:right w:val="single" w:sz="6" w:space="0" w:color="auto"/>
            </w:tcBorders>
            <w:hideMark/>
          </w:tcPr>
          <w:p w14:paraId="4995256C"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79C97AD2"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4179BB4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76128FB2"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411F980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7417070C"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0.031 </w:t>
            </w:r>
          </w:p>
        </w:tc>
        <w:tc>
          <w:tcPr>
            <w:tcW w:w="174" w:type="pct"/>
            <w:tcBorders>
              <w:top w:val="single" w:sz="6" w:space="0" w:color="auto"/>
              <w:left w:val="single" w:sz="6" w:space="0" w:color="auto"/>
              <w:bottom w:val="single" w:sz="6" w:space="0" w:color="auto"/>
              <w:right w:val="single" w:sz="6" w:space="0" w:color="auto"/>
            </w:tcBorders>
            <w:hideMark/>
          </w:tcPr>
          <w:p w14:paraId="32764967"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7EEAB993"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0DDE2F59"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0.021 </w:t>
            </w:r>
          </w:p>
        </w:tc>
        <w:tc>
          <w:tcPr>
            <w:tcW w:w="8" w:type="pct"/>
            <w:vAlign w:val="center"/>
            <w:hideMark/>
          </w:tcPr>
          <w:p w14:paraId="1FCB0F06" w14:textId="77777777" w:rsidR="00DB1AEE" w:rsidRPr="00DB1AEE" w:rsidRDefault="00DB1AEE" w:rsidP="00DB1AEE">
            <w:pPr>
              <w:widowControl w:val="0"/>
              <w:suppressAutoHyphens/>
              <w:autoSpaceDE w:val="0"/>
              <w:autoSpaceDN w:val="0"/>
              <w:jc w:val="left"/>
              <w:rPr>
                <w:bCs/>
                <w:iCs/>
                <w:sz w:val="18"/>
                <w:szCs w:val="18"/>
                <w:u w:val="single"/>
                <w:lang w:bidi="en-US"/>
              </w:rPr>
            </w:pPr>
          </w:p>
        </w:tc>
      </w:tr>
      <w:tr w:rsidR="00DB1AEE" w:rsidRPr="00DB1AEE" w14:paraId="56C7D671" w14:textId="77777777" w:rsidTr="00FC1832">
        <w:trPr>
          <w:trHeight w:val="165"/>
        </w:trPr>
        <w:tc>
          <w:tcPr>
            <w:tcW w:w="665" w:type="pct"/>
            <w:tcBorders>
              <w:top w:val="single" w:sz="6" w:space="0" w:color="auto"/>
              <w:left w:val="single" w:sz="6" w:space="0" w:color="auto"/>
              <w:bottom w:val="single" w:sz="6" w:space="0" w:color="auto"/>
              <w:right w:val="single" w:sz="6" w:space="0" w:color="auto"/>
            </w:tcBorders>
            <w:hideMark/>
          </w:tcPr>
          <w:p w14:paraId="0767E28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30 </w:t>
            </w:r>
          </w:p>
        </w:tc>
        <w:tc>
          <w:tcPr>
            <w:tcW w:w="855" w:type="pct"/>
            <w:tcBorders>
              <w:top w:val="single" w:sz="6" w:space="0" w:color="auto"/>
              <w:left w:val="single" w:sz="6" w:space="0" w:color="auto"/>
              <w:bottom w:val="single" w:sz="6" w:space="0" w:color="auto"/>
              <w:right w:val="single" w:sz="6" w:space="0" w:color="auto"/>
            </w:tcBorders>
            <w:hideMark/>
          </w:tcPr>
          <w:p w14:paraId="3769DE5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0.127 </w:t>
            </w:r>
          </w:p>
        </w:tc>
        <w:tc>
          <w:tcPr>
            <w:tcW w:w="174" w:type="pct"/>
            <w:tcBorders>
              <w:top w:val="single" w:sz="6" w:space="0" w:color="auto"/>
              <w:left w:val="single" w:sz="6" w:space="0" w:color="auto"/>
              <w:bottom w:val="single" w:sz="6" w:space="0" w:color="auto"/>
              <w:right w:val="single" w:sz="6" w:space="0" w:color="auto"/>
            </w:tcBorders>
            <w:hideMark/>
          </w:tcPr>
          <w:p w14:paraId="738350CC"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0.113 </w:t>
            </w:r>
          </w:p>
        </w:tc>
        <w:tc>
          <w:tcPr>
            <w:tcW w:w="174" w:type="pct"/>
            <w:tcBorders>
              <w:top w:val="single" w:sz="6" w:space="0" w:color="auto"/>
              <w:left w:val="single" w:sz="6" w:space="0" w:color="auto"/>
              <w:bottom w:val="single" w:sz="6" w:space="0" w:color="auto"/>
              <w:right w:val="single" w:sz="6" w:space="0" w:color="auto"/>
            </w:tcBorders>
            <w:hideMark/>
          </w:tcPr>
          <w:p w14:paraId="0FBF8DDC"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0.101 </w:t>
            </w:r>
          </w:p>
        </w:tc>
        <w:tc>
          <w:tcPr>
            <w:tcW w:w="174" w:type="pct"/>
            <w:tcBorders>
              <w:top w:val="single" w:sz="6" w:space="0" w:color="auto"/>
              <w:left w:val="single" w:sz="6" w:space="0" w:color="auto"/>
              <w:bottom w:val="single" w:sz="6" w:space="0" w:color="auto"/>
              <w:right w:val="single" w:sz="6" w:space="0" w:color="auto"/>
            </w:tcBorders>
            <w:hideMark/>
          </w:tcPr>
          <w:p w14:paraId="42B1EC31"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0.092 </w:t>
            </w:r>
          </w:p>
        </w:tc>
        <w:tc>
          <w:tcPr>
            <w:tcW w:w="174" w:type="pct"/>
            <w:tcBorders>
              <w:top w:val="single" w:sz="6" w:space="0" w:color="auto"/>
              <w:left w:val="single" w:sz="6" w:space="0" w:color="auto"/>
              <w:bottom w:val="single" w:sz="6" w:space="0" w:color="auto"/>
              <w:right w:val="single" w:sz="6" w:space="0" w:color="auto"/>
            </w:tcBorders>
            <w:hideMark/>
          </w:tcPr>
          <w:p w14:paraId="3EBEE147"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0.084 </w:t>
            </w:r>
          </w:p>
        </w:tc>
        <w:tc>
          <w:tcPr>
            <w:tcW w:w="174" w:type="pct"/>
            <w:tcBorders>
              <w:top w:val="single" w:sz="6" w:space="0" w:color="auto"/>
              <w:left w:val="single" w:sz="6" w:space="0" w:color="auto"/>
              <w:bottom w:val="single" w:sz="6" w:space="0" w:color="auto"/>
              <w:right w:val="single" w:sz="6" w:space="0" w:color="auto"/>
            </w:tcBorders>
            <w:hideMark/>
          </w:tcPr>
          <w:p w14:paraId="3BD53397"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0.078 </w:t>
            </w:r>
          </w:p>
        </w:tc>
        <w:tc>
          <w:tcPr>
            <w:tcW w:w="174" w:type="pct"/>
            <w:tcBorders>
              <w:top w:val="single" w:sz="6" w:space="0" w:color="auto"/>
              <w:left w:val="single" w:sz="6" w:space="0" w:color="auto"/>
              <w:bottom w:val="single" w:sz="6" w:space="0" w:color="auto"/>
              <w:right w:val="single" w:sz="6" w:space="0" w:color="auto"/>
            </w:tcBorders>
            <w:hideMark/>
          </w:tcPr>
          <w:p w14:paraId="7D28F6A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0.072 </w:t>
            </w:r>
          </w:p>
        </w:tc>
        <w:tc>
          <w:tcPr>
            <w:tcW w:w="174" w:type="pct"/>
            <w:tcBorders>
              <w:top w:val="single" w:sz="6" w:space="0" w:color="auto"/>
              <w:left w:val="single" w:sz="6" w:space="0" w:color="auto"/>
              <w:bottom w:val="single" w:sz="6" w:space="0" w:color="auto"/>
              <w:right w:val="single" w:sz="6" w:space="0" w:color="auto"/>
            </w:tcBorders>
            <w:hideMark/>
          </w:tcPr>
          <w:p w14:paraId="278C4E59"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0.067 </w:t>
            </w:r>
          </w:p>
        </w:tc>
        <w:tc>
          <w:tcPr>
            <w:tcW w:w="174" w:type="pct"/>
            <w:tcBorders>
              <w:top w:val="single" w:sz="6" w:space="0" w:color="auto"/>
              <w:left w:val="single" w:sz="6" w:space="0" w:color="auto"/>
              <w:bottom w:val="single" w:sz="6" w:space="0" w:color="auto"/>
              <w:right w:val="single" w:sz="6" w:space="0" w:color="auto"/>
            </w:tcBorders>
            <w:hideMark/>
          </w:tcPr>
          <w:p w14:paraId="4CA67DC7"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2A34262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2DA80DA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232123C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4965534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0.050 </w:t>
            </w:r>
          </w:p>
        </w:tc>
        <w:tc>
          <w:tcPr>
            <w:tcW w:w="174" w:type="pct"/>
            <w:tcBorders>
              <w:top w:val="single" w:sz="6" w:space="0" w:color="auto"/>
              <w:left w:val="single" w:sz="6" w:space="0" w:color="auto"/>
              <w:bottom w:val="single" w:sz="6" w:space="0" w:color="auto"/>
              <w:right w:val="single" w:sz="6" w:space="0" w:color="auto"/>
            </w:tcBorders>
            <w:hideMark/>
          </w:tcPr>
          <w:p w14:paraId="4F39363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60E1D13E"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52251BA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74A1BCB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7BD282E9"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55F5265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38CCE7FE"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27ECD5F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0.021 </w:t>
            </w:r>
          </w:p>
        </w:tc>
        <w:tc>
          <w:tcPr>
            <w:tcW w:w="8" w:type="pct"/>
            <w:vAlign w:val="center"/>
            <w:hideMark/>
          </w:tcPr>
          <w:p w14:paraId="43D829C9" w14:textId="77777777" w:rsidR="00DB1AEE" w:rsidRPr="00DB1AEE" w:rsidRDefault="00DB1AEE" w:rsidP="00DB1AEE">
            <w:pPr>
              <w:widowControl w:val="0"/>
              <w:suppressAutoHyphens/>
              <w:autoSpaceDE w:val="0"/>
              <w:autoSpaceDN w:val="0"/>
              <w:jc w:val="left"/>
              <w:rPr>
                <w:bCs/>
                <w:iCs/>
                <w:sz w:val="18"/>
                <w:szCs w:val="18"/>
                <w:u w:val="single"/>
                <w:lang w:bidi="en-US"/>
              </w:rPr>
            </w:pPr>
          </w:p>
        </w:tc>
      </w:tr>
      <w:tr w:rsidR="00DB1AEE" w:rsidRPr="00DB1AEE" w14:paraId="3576376F" w14:textId="77777777" w:rsidTr="00FC1832">
        <w:trPr>
          <w:trHeight w:val="270"/>
        </w:trPr>
        <w:tc>
          <w:tcPr>
            <w:tcW w:w="5000" w:type="pct"/>
            <w:gridSpan w:val="23"/>
            <w:tcBorders>
              <w:top w:val="single" w:sz="6" w:space="0" w:color="auto"/>
              <w:left w:val="single" w:sz="6" w:space="0" w:color="auto"/>
              <w:bottom w:val="single" w:sz="6" w:space="0" w:color="auto"/>
              <w:right w:val="single" w:sz="6" w:space="0" w:color="auto"/>
            </w:tcBorders>
            <w:hideMark/>
          </w:tcPr>
          <w:p w14:paraId="4B7A7F6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Steel Framing at 16 in. on Center (22% Framing Factor)—includes framing for tracks, blocking, headers, and jamb and king studs </w:t>
            </w:r>
          </w:p>
        </w:tc>
      </w:tr>
      <w:tr w:rsidR="00DB1AEE" w:rsidRPr="00DB1AEE" w14:paraId="2B59D321" w14:textId="77777777" w:rsidTr="00FC1832">
        <w:trPr>
          <w:trHeight w:val="201"/>
        </w:trPr>
        <w:tc>
          <w:tcPr>
            <w:tcW w:w="665" w:type="pct"/>
            <w:tcBorders>
              <w:top w:val="single" w:sz="6" w:space="0" w:color="auto"/>
              <w:left w:val="single" w:sz="6" w:space="0" w:color="auto"/>
              <w:bottom w:val="single" w:sz="6" w:space="0" w:color="auto"/>
              <w:right w:val="single" w:sz="6" w:space="0" w:color="auto"/>
            </w:tcBorders>
            <w:hideMark/>
          </w:tcPr>
          <w:p w14:paraId="13396CD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0.9 </w:t>
            </w:r>
          </w:p>
        </w:tc>
        <w:tc>
          <w:tcPr>
            <w:tcW w:w="855" w:type="pct"/>
            <w:tcBorders>
              <w:top w:val="single" w:sz="6" w:space="0" w:color="auto"/>
              <w:left w:val="single" w:sz="6" w:space="0" w:color="auto"/>
              <w:bottom w:val="single" w:sz="6" w:space="0" w:color="auto"/>
              <w:right w:val="single" w:sz="6" w:space="0" w:color="auto"/>
            </w:tcBorders>
            <w:hideMark/>
          </w:tcPr>
          <w:p w14:paraId="1D10A9C7"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0.350 </w:t>
            </w:r>
          </w:p>
        </w:tc>
        <w:tc>
          <w:tcPr>
            <w:tcW w:w="174" w:type="pct"/>
            <w:tcBorders>
              <w:top w:val="single" w:sz="6" w:space="0" w:color="auto"/>
              <w:left w:val="single" w:sz="6" w:space="0" w:color="auto"/>
              <w:bottom w:val="single" w:sz="6" w:space="0" w:color="auto"/>
              <w:right w:val="single" w:sz="6" w:space="0" w:color="auto"/>
            </w:tcBorders>
            <w:hideMark/>
          </w:tcPr>
          <w:p w14:paraId="234E09F1"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0.259 </w:t>
            </w:r>
          </w:p>
        </w:tc>
        <w:tc>
          <w:tcPr>
            <w:tcW w:w="174" w:type="pct"/>
            <w:tcBorders>
              <w:top w:val="single" w:sz="6" w:space="0" w:color="auto"/>
              <w:left w:val="single" w:sz="6" w:space="0" w:color="auto"/>
              <w:bottom w:val="single" w:sz="6" w:space="0" w:color="auto"/>
              <w:right w:val="single" w:sz="6" w:space="0" w:color="auto"/>
            </w:tcBorders>
            <w:hideMark/>
          </w:tcPr>
          <w:p w14:paraId="03E02371"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0.206 </w:t>
            </w:r>
          </w:p>
        </w:tc>
        <w:tc>
          <w:tcPr>
            <w:tcW w:w="174" w:type="pct"/>
            <w:tcBorders>
              <w:top w:val="single" w:sz="6" w:space="0" w:color="auto"/>
              <w:left w:val="single" w:sz="6" w:space="0" w:color="auto"/>
              <w:bottom w:val="single" w:sz="6" w:space="0" w:color="auto"/>
              <w:right w:val="single" w:sz="6" w:space="0" w:color="auto"/>
            </w:tcBorders>
            <w:hideMark/>
          </w:tcPr>
          <w:p w14:paraId="48BC6511"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0.171 </w:t>
            </w:r>
          </w:p>
        </w:tc>
        <w:tc>
          <w:tcPr>
            <w:tcW w:w="174" w:type="pct"/>
            <w:tcBorders>
              <w:top w:val="single" w:sz="6" w:space="0" w:color="auto"/>
              <w:left w:val="single" w:sz="6" w:space="0" w:color="auto"/>
              <w:bottom w:val="single" w:sz="6" w:space="0" w:color="auto"/>
              <w:right w:val="single" w:sz="6" w:space="0" w:color="auto"/>
            </w:tcBorders>
            <w:hideMark/>
          </w:tcPr>
          <w:p w14:paraId="7E7E0DCC"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0.146 </w:t>
            </w:r>
          </w:p>
        </w:tc>
        <w:tc>
          <w:tcPr>
            <w:tcW w:w="174" w:type="pct"/>
            <w:tcBorders>
              <w:top w:val="single" w:sz="6" w:space="0" w:color="auto"/>
              <w:left w:val="single" w:sz="6" w:space="0" w:color="auto"/>
              <w:bottom w:val="single" w:sz="6" w:space="0" w:color="auto"/>
              <w:right w:val="single" w:sz="6" w:space="0" w:color="auto"/>
            </w:tcBorders>
            <w:hideMark/>
          </w:tcPr>
          <w:p w14:paraId="44E4360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0.127 </w:t>
            </w:r>
          </w:p>
        </w:tc>
        <w:tc>
          <w:tcPr>
            <w:tcW w:w="174" w:type="pct"/>
            <w:tcBorders>
              <w:top w:val="single" w:sz="6" w:space="0" w:color="auto"/>
              <w:left w:val="single" w:sz="6" w:space="0" w:color="auto"/>
              <w:bottom w:val="single" w:sz="6" w:space="0" w:color="auto"/>
              <w:right w:val="single" w:sz="6" w:space="0" w:color="auto"/>
            </w:tcBorders>
            <w:hideMark/>
          </w:tcPr>
          <w:p w14:paraId="01F9B28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0.113 </w:t>
            </w:r>
          </w:p>
        </w:tc>
        <w:tc>
          <w:tcPr>
            <w:tcW w:w="174" w:type="pct"/>
            <w:tcBorders>
              <w:top w:val="single" w:sz="6" w:space="0" w:color="auto"/>
              <w:left w:val="single" w:sz="6" w:space="0" w:color="auto"/>
              <w:bottom w:val="single" w:sz="6" w:space="0" w:color="auto"/>
              <w:right w:val="single" w:sz="6" w:space="0" w:color="auto"/>
            </w:tcBorders>
            <w:hideMark/>
          </w:tcPr>
          <w:p w14:paraId="6343259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0.101 </w:t>
            </w:r>
          </w:p>
        </w:tc>
        <w:tc>
          <w:tcPr>
            <w:tcW w:w="174" w:type="pct"/>
            <w:tcBorders>
              <w:top w:val="single" w:sz="6" w:space="0" w:color="auto"/>
              <w:left w:val="single" w:sz="6" w:space="0" w:color="auto"/>
              <w:bottom w:val="single" w:sz="6" w:space="0" w:color="auto"/>
              <w:right w:val="single" w:sz="6" w:space="0" w:color="auto"/>
            </w:tcBorders>
            <w:hideMark/>
          </w:tcPr>
          <w:p w14:paraId="2206A479"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0.092 </w:t>
            </w:r>
          </w:p>
        </w:tc>
        <w:tc>
          <w:tcPr>
            <w:tcW w:w="174" w:type="pct"/>
            <w:tcBorders>
              <w:top w:val="single" w:sz="6" w:space="0" w:color="auto"/>
              <w:left w:val="single" w:sz="6" w:space="0" w:color="auto"/>
              <w:bottom w:val="single" w:sz="6" w:space="0" w:color="auto"/>
              <w:right w:val="single" w:sz="6" w:space="0" w:color="auto"/>
            </w:tcBorders>
            <w:hideMark/>
          </w:tcPr>
          <w:p w14:paraId="73E0756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0.084 </w:t>
            </w:r>
          </w:p>
        </w:tc>
        <w:tc>
          <w:tcPr>
            <w:tcW w:w="174" w:type="pct"/>
            <w:tcBorders>
              <w:top w:val="single" w:sz="6" w:space="0" w:color="auto"/>
              <w:left w:val="single" w:sz="6" w:space="0" w:color="auto"/>
              <w:bottom w:val="single" w:sz="6" w:space="0" w:color="auto"/>
              <w:right w:val="single" w:sz="6" w:space="0" w:color="auto"/>
            </w:tcBorders>
            <w:hideMark/>
          </w:tcPr>
          <w:p w14:paraId="0505844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0.078 </w:t>
            </w:r>
          </w:p>
        </w:tc>
        <w:tc>
          <w:tcPr>
            <w:tcW w:w="174" w:type="pct"/>
            <w:tcBorders>
              <w:top w:val="single" w:sz="6" w:space="0" w:color="auto"/>
              <w:left w:val="single" w:sz="6" w:space="0" w:color="auto"/>
              <w:bottom w:val="single" w:sz="6" w:space="0" w:color="auto"/>
              <w:right w:val="single" w:sz="6" w:space="0" w:color="auto"/>
            </w:tcBorders>
            <w:hideMark/>
          </w:tcPr>
          <w:p w14:paraId="3FB176A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0.072 </w:t>
            </w:r>
          </w:p>
        </w:tc>
        <w:tc>
          <w:tcPr>
            <w:tcW w:w="174" w:type="pct"/>
            <w:tcBorders>
              <w:top w:val="single" w:sz="6" w:space="0" w:color="auto"/>
              <w:left w:val="single" w:sz="6" w:space="0" w:color="auto"/>
              <w:bottom w:val="single" w:sz="6" w:space="0" w:color="auto"/>
              <w:right w:val="single" w:sz="6" w:space="0" w:color="auto"/>
            </w:tcBorders>
            <w:hideMark/>
          </w:tcPr>
          <w:p w14:paraId="1622E2F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0.067 </w:t>
            </w:r>
          </w:p>
        </w:tc>
        <w:tc>
          <w:tcPr>
            <w:tcW w:w="174" w:type="pct"/>
            <w:tcBorders>
              <w:top w:val="single" w:sz="6" w:space="0" w:color="auto"/>
              <w:left w:val="single" w:sz="6" w:space="0" w:color="auto"/>
              <w:bottom w:val="single" w:sz="6" w:space="0" w:color="auto"/>
              <w:right w:val="single" w:sz="6" w:space="0" w:color="auto"/>
            </w:tcBorders>
            <w:hideMark/>
          </w:tcPr>
          <w:p w14:paraId="53697A2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107F8635"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074C4B8A"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14FAAE0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6FF2DB31"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52CFDDC9"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0B7C52F2"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3B86C91C"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0.023 </w:t>
            </w:r>
          </w:p>
        </w:tc>
        <w:tc>
          <w:tcPr>
            <w:tcW w:w="8" w:type="pct"/>
            <w:vAlign w:val="center"/>
            <w:hideMark/>
          </w:tcPr>
          <w:p w14:paraId="3CDDFDAE" w14:textId="77777777" w:rsidR="00DB1AEE" w:rsidRPr="00DB1AEE" w:rsidRDefault="00DB1AEE" w:rsidP="00DB1AEE">
            <w:pPr>
              <w:widowControl w:val="0"/>
              <w:suppressAutoHyphens/>
              <w:autoSpaceDE w:val="0"/>
              <w:autoSpaceDN w:val="0"/>
              <w:jc w:val="left"/>
              <w:rPr>
                <w:bCs/>
                <w:iCs/>
                <w:sz w:val="18"/>
                <w:szCs w:val="18"/>
                <w:u w:val="single"/>
                <w:lang w:bidi="en-US"/>
              </w:rPr>
            </w:pPr>
          </w:p>
        </w:tc>
      </w:tr>
      <w:tr w:rsidR="00DB1AEE" w:rsidRPr="00DB1AEE" w14:paraId="5A463ABE" w14:textId="77777777" w:rsidTr="00FC1832">
        <w:trPr>
          <w:trHeight w:val="228"/>
        </w:trPr>
        <w:tc>
          <w:tcPr>
            <w:tcW w:w="665" w:type="pct"/>
            <w:tcBorders>
              <w:top w:val="single" w:sz="6" w:space="0" w:color="auto"/>
              <w:left w:val="single" w:sz="6" w:space="0" w:color="auto"/>
              <w:bottom w:val="single" w:sz="6" w:space="0" w:color="auto"/>
              <w:right w:val="single" w:sz="6" w:space="0" w:color="auto"/>
            </w:tcBorders>
            <w:hideMark/>
          </w:tcPr>
          <w:p w14:paraId="30056771"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11 </w:t>
            </w:r>
          </w:p>
        </w:tc>
        <w:tc>
          <w:tcPr>
            <w:tcW w:w="855" w:type="pct"/>
            <w:tcBorders>
              <w:top w:val="single" w:sz="6" w:space="0" w:color="auto"/>
              <w:left w:val="single" w:sz="6" w:space="0" w:color="auto"/>
              <w:bottom w:val="single" w:sz="6" w:space="0" w:color="auto"/>
              <w:right w:val="single" w:sz="6" w:space="0" w:color="auto"/>
            </w:tcBorders>
            <w:hideMark/>
          </w:tcPr>
          <w:p w14:paraId="5A5E145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0.148 </w:t>
            </w:r>
          </w:p>
        </w:tc>
        <w:tc>
          <w:tcPr>
            <w:tcW w:w="174" w:type="pct"/>
            <w:tcBorders>
              <w:top w:val="single" w:sz="6" w:space="0" w:color="auto"/>
              <w:left w:val="single" w:sz="6" w:space="0" w:color="auto"/>
              <w:bottom w:val="single" w:sz="6" w:space="0" w:color="auto"/>
              <w:right w:val="single" w:sz="6" w:space="0" w:color="auto"/>
            </w:tcBorders>
            <w:hideMark/>
          </w:tcPr>
          <w:p w14:paraId="663F59F2"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0.129 </w:t>
            </w:r>
          </w:p>
        </w:tc>
        <w:tc>
          <w:tcPr>
            <w:tcW w:w="174" w:type="pct"/>
            <w:tcBorders>
              <w:top w:val="single" w:sz="6" w:space="0" w:color="auto"/>
              <w:left w:val="single" w:sz="6" w:space="0" w:color="auto"/>
              <w:bottom w:val="single" w:sz="6" w:space="0" w:color="auto"/>
              <w:right w:val="single" w:sz="6" w:space="0" w:color="auto"/>
            </w:tcBorders>
            <w:hideMark/>
          </w:tcPr>
          <w:p w14:paraId="276A7AEC"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0.114 </w:t>
            </w:r>
          </w:p>
        </w:tc>
        <w:tc>
          <w:tcPr>
            <w:tcW w:w="174" w:type="pct"/>
            <w:tcBorders>
              <w:top w:val="single" w:sz="6" w:space="0" w:color="auto"/>
              <w:left w:val="single" w:sz="6" w:space="0" w:color="auto"/>
              <w:bottom w:val="single" w:sz="6" w:space="0" w:color="auto"/>
              <w:right w:val="single" w:sz="6" w:space="0" w:color="auto"/>
            </w:tcBorders>
            <w:hideMark/>
          </w:tcPr>
          <w:p w14:paraId="3AFA79B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0.103 </w:t>
            </w:r>
          </w:p>
        </w:tc>
        <w:tc>
          <w:tcPr>
            <w:tcW w:w="174" w:type="pct"/>
            <w:tcBorders>
              <w:top w:val="single" w:sz="6" w:space="0" w:color="auto"/>
              <w:left w:val="single" w:sz="6" w:space="0" w:color="auto"/>
              <w:bottom w:val="single" w:sz="6" w:space="0" w:color="auto"/>
              <w:right w:val="single" w:sz="6" w:space="0" w:color="auto"/>
            </w:tcBorders>
            <w:hideMark/>
          </w:tcPr>
          <w:p w14:paraId="361B397E"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0.093 </w:t>
            </w:r>
          </w:p>
        </w:tc>
        <w:tc>
          <w:tcPr>
            <w:tcW w:w="174" w:type="pct"/>
            <w:tcBorders>
              <w:top w:val="single" w:sz="6" w:space="0" w:color="auto"/>
              <w:left w:val="single" w:sz="6" w:space="0" w:color="auto"/>
              <w:bottom w:val="single" w:sz="6" w:space="0" w:color="auto"/>
              <w:right w:val="single" w:sz="6" w:space="0" w:color="auto"/>
            </w:tcBorders>
            <w:hideMark/>
          </w:tcPr>
          <w:p w14:paraId="4D796779"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0.085 </w:t>
            </w:r>
          </w:p>
        </w:tc>
        <w:tc>
          <w:tcPr>
            <w:tcW w:w="174" w:type="pct"/>
            <w:tcBorders>
              <w:top w:val="single" w:sz="6" w:space="0" w:color="auto"/>
              <w:left w:val="single" w:sz="6" w:space="0" w:color="auto"/>
              <w:bottom w:val="single" w:sz="6" w:space="0" w:color="auto"/>
              <w:right w:val="single" w:sz="6" w:space="0" w:color="auto"/>
            </w:tcBorders>
            <w:hideMark/>
          </w:tcPr>
          <w:p w14:paraId="4583587C"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0.078 </w:t>
            </w:r>
          </w:p>
        </w:tc>
        <w:tc>
          <w:tcPr>
            <w:tcW w:w="174" w:type="pct"/>
            <w:tcBorders>
              <w:top w:val="single" w:sz="6" w:space="0" w:color="auto"/>
              <w:left w:val="single" w:sz="6" w:space="0" w:color="auto"/>
              <w:bottom w:val="single" w:sz="6" w:space="0" w:color="auto"/>
              <w:right w:val="single" w:sz="6" w:space="0" w:color="auto"/>
            </w:tcBorders>
            <w:hideMark/>
          </w:tcPr>
          <w:p w14:paraId="5AE66A7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0.073 </w:t>
            </w:r>
          </w:p>
        </w:tc>
        <w:tc>
          <w:tcPr>
            <w:tcW w:w="174" w:type="pct"/>
            <w:tcBorders>
              <w:top w:val="single" w:sz="6" w:space="0" w:color="auto"/>
              <w:left w:val="single" w:sz="6" w:space="0" w:color="auto"/>
              <w:bottom w:val="single" w:sz="6" w:space="0" w:color="auto"/>
              <w:right w:val="single" w:sz="6" w:space="0" w:color="auto"/>
            </w:tcBorders>
            <w:hideMark/>
          </w:tcPr>
          <w:p w14:paraId="548FDDEE"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0.068 </w:t>
            </w:r>
          </w:p>
        </w:tc>
        <w:tc>
          <w:tcPr>
            <w:tcW w:w="174" w:type="pct"/>
            <w:tcBorders>
              <w:top w:val="single" w:sz="6" w:space="0" w:color="auto"/>
              <w:left w:val="single" w:sz="6" w:space="0" w:color="auto"/>
              <w:bottom w:val="single" w:sz="6" w:space="0" w:color="auto"/>
              <w:right w:val="single" w:sz="6" w:space="0" w:color="auto"/>
            </w:tcBorders>
            <w:hideMark/>
          </w:tcPr>
          <w:p w14:paraId="2E41C6DC"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2C769FC5"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5DDC04B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5CAE74AA"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2BBE8BD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4807175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5317177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37ECB05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0.037 </w:t>
            </w:r>
          </w:p>
        </w:tc>
        <w:tc>
          <w:tcPr>
            <w:tcW w:w="174" w:type="pct"/>
            <w:tcBorders>
              <w:top w:val="single" w:sz="6" w:space="0" w:color="auto"/>
              <w:left w:val="single" w:sz="6" w:space="0" w:color="auto"/>
              <w:bottom w:val="single" w:sz="6" w:space="0" w:color="auto"/>
              <w:right w:val="single" w:sz="6" w:space="0" w:color="auto"/>
            </w:tcBorders>
            <w:hideMark/>
          </w:tcPr>
          <w:p w14:paraId="0E35A73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0.031 </w:t>
            </w:r>
          </w:p>
        </w:tc>
        <w:tc>
          <w:tcPr>
            <w:tcW w:w="174" w:type="pct"/>
            <w:tcBorders>
              <w:top w:val="single" w:sz="6" w:space="0" w:color="auto"/>
              <w:left w:val="single" w:sz="6" w:space="0" w:color="auto"/>
              <w:bottom w:val="single" w:sz="6" w:space="0" w:color="auto"/>
              <w:right w:val="single" w:sz="6" w:space="0" w:color="auto"/>
            </w:tcBorders>
            <w:hideMark/>
          </w:tcPr>
          <w:p w14:paraId="3B5D9A6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10F8AFE5"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0.024 </w:t>
            </w:r>
          </w:p>
        </w:tc>
        <w:tc>
          <w:tcPr>
            <w:tcW w:w="174" w:type="pct"/>
            <w:tcBorders>
              <w:top w:val="single" w:sz="6" w:space="0" w:color="auto"/>
              <w:left w:val="single" w:sz="6" w:space="0" w:color="auto"/>
              <w:bottom w:val="single" w:sz="6" w:space="0" w:color="auto"/>
              <w:right w:val="single" w:sz="6" w:space="0" w:color="auto"/>
            </w:tcBorders>
            <w:hideMark/>
          </w:tcPr>
          <w:p w14:paraId="2F809532"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0.021 </w:t>
            </w:r>
          </w:p>
        </w:tc>
        <w:tc>
          <w:tcPr>
            <w:tcW w:w="8" w:type="pct"/>
            <w:vAlign w:val="center"/>
            <w:hideMark/>
          </w:tcPr>
          <w:p w14:paraId="72E8710F" w14:textId="77777777" w:rsidR="00DB1AEE" w:rsidRPr="00DB1AEE" w:rsidRDefault="00DB1AEE" w:rsidP="00DB1AEE">
            <w:pPr>
              <w:widowControl w:val="0"/>
              <w:suppressAutoHyphens/>
              <w:autoSpaceDE w:val="0"/>
              <w:autoSpaceDN w:val="0"/>
              <w:jc w:val="left"/>
              <w:rPr>
                <w:bCs/>
                <w:iCs/>
                <w:sz w:val="18"/>
                <w:szCs w:val="18"/>
                <w:u w:val="single"/>
                <w:lang w:bidi="en-US"/>
              </w:rPr>
            </w:pPr>
          </w:p>
        </w:tc>
      </w:tr>
      <w:tr w:rsidR="00DB1AEE" w:rsidRPr="00DB1AEE" w14:paraId="450A4F0F" w14:textId="77777777" w:rsidTr="00FC1832">
        <w:trPr>
          <w:trHeight w:val="165"/>
        </w:trPr>
        <w:tc>
          <w:tcPr>
            <w:tcW w:w="665" w:type="pct"/>
            <w:tcBorders>
              <w:top w:val="single" w:sz="6" w:space="0" w:color="auto"/>
              <w:left w:val="single" w:sz="6" w:space="0" w:color="auto"/>
              <w:bottom w:val="single" w:sz="6" w:space="0" w:color="auto"/>
              <w:right w:val="single" w:sz="6" w:space="0" w:color="auto"/>
            </w:tcBorders>
            <w:hideMark/>
          </w:tcPr>
          <w:p w14:paraId="5348733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13 </w:t>
            </w:r>
          </w:p>
        </w:tc>
        <w:tc>
          <w:tcPr>
            <w:tcW w:w="855" w:type="pct"/>
            <w:tcBorders>
              <w:top w:val="single" w:sz="6" w:space="0" w:color="auto"/>
              <w:left w:val="single" w:sz="6" w:space="0" w:color="auto"/>
              <w:bottom w:val="single" w:sz="6" w:space="0" w:color="auto"/>
              <w:right w:val="single" w:sz="6" w:space="0" w:color="auto"/>
            </w:tcBorders>
            <w:hideMark/>
          </w:tcPr>
          <w:p w14:paraId="1D7A2B21"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0.141 </w:t>
            </w:r>
          </w:p>
        </w:tc>
        <w:tc>
          <w:tcPr>
            <w:tcW w:w="174" w:type="pct"/>
            <w:tcBorders>
              <w:top w:val="single" w:sz="6" w:space="0" w:color="auto"/>
              <w:left w:val="single" w:sz="6" w:space="0" w:color="auto"/>
              <w:bottom w:val="single" w:sz="6" w:space="0" w:color="auto"/>
              <w:right w:val="single" w:sz="6" w:space="0" w:color="auto"/>
            </w:tcBorders>
            <w:hideMark/>
          </w:tcPr>
          <w:p w14:paraId="72D5526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0.124 </w:t>
            </w:r>
          </w:p>
        </w:tc>
        <w:tc>
          <w:tcPr>
            <w:tcW w:w="174" w:type="pct"/>
            <w:tcBorders>
              <w:top w:val="single" w:sz="6" w:space="0" w:color="auto"/>
              <w:left w:val="single" w:sz="6" w:space="0" w:color="auto"/>
              <w:bottom w:val="single" w:sz="6" w:space="0" w:color="auto"/>
              <w:right w:val="single" w:sz="6" w:space="0" w:color="auto"/>
            </w:tcBorders>
            <w:hideMark/>
          </w:tcPr>
          <w:p w14:paraId="7CC702D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0.110 </w:t>
            </w:r>
          </w:p>
        </w:tc>
        <w:tc>
          <w:tcPr>
            <w:tcW w:w="174" w:type="pct"/>
            <w:tcBorders>
              <w:top w:val="single" w:sz="6" w:space="0" w:color="auto"/>
              <w:left w:val="single" w:sz="6" w:space="0" w:color="auto"/>
              <w:bottom w:val="single" w:sz="6" w:space="0" w:color="auto"/>
              <w:right w:val="single" w:sz="6" w:space="0" w:color="auto"/>
            </w:tcBorders>
            <w:hideMark/>
          </w:tcPr>
          <w:p w14:paraId="79C518F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0.099 </w:t>
            </w:r>
          </w:p>
        </w:tc>
        <w:tc>
          <w:tcPr>
            <w:tcW w:w="174" w:type="pct"/>
            <w:tcBorders>
              <w:top w:val="single" w:sz="6" w:space="0" w:color="auto"/>
              <w:left w:val="single" w:sz="6" w:space="0" w:color="auto"/>
              <w:bottom w:val="single" w:sz="6" w:space="0" w:color="auto"/>
              <w:right w:val="single" w:sz="6" w:space="0" w:color="auto"/>
            </w:tcBorders>
            <w:hideMark/>
          </w:tcPr>
          <w:p w14:paraId="195BCFB7"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0.090 </w:t>
            </w:r>
          </w:p>
        </w:tc>
        <w:tc>
          <w:tcPr>
            <w:tcW w:w="174" w:type="pct"/>
            <w:tcBorders>
              <w:top w:val="single" w:sz="6" w:space="0" w:color="auto"/>
              <w:left w:val="single" w:sz="6" w:space="0" w:color="auto"/>
              <w:bottom w:val="single" w:sz="6" w:space="0" w:color="auto"/>
              <w:right w:val="single" w:sz="6" w:space="0" w:color="auto"/>
            </w:tcBorders>
            <w:hideMark/>
          </w:tcPr>
          <w:p w14:paraId="723C6F6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0.083 </w:t>
            </w:r>
          </w:p>
        </w:tc>
        <w:tc>
          <w:tcPr>
            <w:tcW w:w="174" w:type="pct"/>
            <w:tcBorders>
              <w:top w:val="single" w:sz="6" w:space="0" w:color="auto"/>
              <w:left w:val="single" w:sz="6" w:space="0" w:color="auto"/>
              <w:bottom w:val="single" w:sz="6" w:space="0" w:color="auto"/>
              <w:right w:val="single" w:sz="6" w:space="0" w:color="auto"/>
            </w:tcBorders>
            <w:hideMark/>
          </w:tcPr>
          <w:p w14:paraId="138BA189"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0.076 </w:t>
            </w:r>
          </w:p>
        </w:tc>
        <w:tc>
          <w:tcPr>
            <w:tcW w:w="174" w:type="pct"/>
            <w:tcBorders>
              <w:top w:val="single" w:sz="6" w:space="0" w:color="auto"/>
              <w:left w:val="single" w:sz="6" w:space="0" w:color="auto"/>
              <w:bottom w:val="single" w:sz="6" w:space="0" w:color="auto"/>
              <w:right w:val="single" w:sz="6" w:space="0" w:color="auto"/>
            </w:tcBorders>
            <w:hideMark/>
          </w:tcPr>
          <w:p w14:paraId="6EC0BED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0.071 </w:t>
            </w:r>
          </w:p>
        </w:tc>
        <w:tc>
          <w:tcPr>
            <w:tcW w:w="174" w:type="pct"/>
            <w:tcBorders>
              <w:top w:val="single" w:sz="6" w:space="0" w:color="auto"/>
              <w:left w:val="single" w:sz="6" w:space="0" w:color="auto"/>
              <w:bottom w:val="single" w:sz="6" w:space="0" w:color="auto"/>
              <w:right w:val="single" w:sz="6" w:space="0" w:color="auto"/>
            </w:tcBorders>
            <w:hideMark/>
          </w:tcPr>
          <w:p w14:paraId="73660F2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0.066 </w:t>
            </w:r>
          </w:p>
        </w:tc>
        <w:tc>
          <w:tcPr>
            <w:tcW w:w="174" w:type="pct"/>
            <w:tcBorders>
              <w:top w:val="single" w:sz="6" w:space="0" w:color="auto"/>
              <w:left w:val="single" w:sz="6" w:space="0" w:color="auto"/>
              <w:bottom w:val="single" w:sz="6" w:space="0" w:color="auto"/>
              <w:right w:val="single" w:sz="6" w:space="0" w:color="auto"/>
            </w:tcBorders>
            <w:hideMark/>
          </w:tcPr>
          <w:p w14:paraId="2D611FDE"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0.062 </w:t>
            </w:r>
          </w:p>
        </w:tc>
        <w:tc>
          <w:tcPr>
            <w:tcW w:w="174" w:type="pct"/>
            <w:tcBorders>
              <w:top w:val="single" w:sz="6" w:space="0" w:color="auto"/>
              <w:left w:val="single" w:sz="6" w:space="0" w:color="auto"/>
              <w:bottom w:val="single" w:sz="6" w:space="0" w:color="auto"/>
              <w:right w:val="single" w:sz="6" w:space="0" w:color="auto"/>
            </w:tcBorders>
            <w:hideMark/>
          </w:tcPr>
          <w:p w14:paraId="02105E7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4905CF41"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0.055 </w:t>
            </w:r>
          </w:p>
        </w:tc>
        <w:tc>
          <w:tcPr>
            <w:tcW w:w="174" w:type="pct"/>
            <w:tcBorders>
              <w:top w:val="single" w:sz="6" w:space="0" w:color="auto"/>
              <w:left w:val="single" w:sz="6" w:space="0" w:color="auto"/>
              <w:bottom w:val="single" w:sz="6" w:space="0" w:color="auto"/>
              <w:right w:val="single" w:sz="6" w:space="0" w:color="auto"/>
            </w:tcBorders>
            <w:hideMark/>
          </w:tcPr>
          <w:p w14:paraId="7EECD56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5EC359E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0.050 </w:t>
            </w:r>
          </w:p>
        </w:tc>
        <w:tc>
          <w:tcPr>
            <w:tcW w:w="174" w:type="pct"/>
            <w:tcBorders>
              <w:top w:val="single" w:sz="6" w:space="0" w:color="auto"/>
              <w:left w:val="single" w:sz="6" w:space="0" w:color="auto"/>
              <w:bottom w:val="single" w:sz="6" w:space="0" w:color="auto"/>
              <w:right w:val="single" w:sz="6" w:space="0" w:color="auto"/>
            </w:tcBorders>
            <w:hideMark/>
          </w:tcPr>
          <w:p w14:paraId="075E025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3C8D69C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181FAF6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0.037 </w:t>
            </w:r>
          </w:p>
        </w:tc>
        <w:tc>
          <w:tcPr>
            <w:tcW w:w="174" w:type="pct"/>
            <w:tcBorders>
              <w:top w:val="single" w:sz="6" w:space="0" w:color="auto"/>
              <w:left w:val="single" w:sz="6" w:space="0" w:color="auto"/>
              <w:bottom w:val="single" w:sz="6" w:space="0" w:color="auto"/>
              <w:right w:val="single" w:sz="6" w:space="0" w:color="auto"/>
            </w:tcBorders>
            <w:hideMark/>
          </w:tcPr>
          <w:p w14:paraId="12995139"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0.031 </w:t>
            </w:r>
          </w:p>
        </w:tc>
        <w:tc>
          <w:tcPr>
            <w:tcW w:w="174" w:type="pct"/>
            <w:tcBorders>
              <w:top w:val="single" w:sz="6" w:space="0" w:color="auto"/>
              <w:left w:val="single" w:sz="6" w:space="0" w:color="auto"/>
              <w:bottom w:val="single" w:sz="6" w:space="0" w:color="auto"/>
              <w:right w:val="single" w:sz="6" w:space="0" w:color="auto"/>
            </w:tcBorders>
            <w:hideMark/>
          </w:tcPr>
          <w:p w14:paraId="1ECDB7C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550FE605"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0.024 </w:t>
            </w:r>
          </w:p>
        </w:tc>
        <w:tc>
          <w:tcPr>
            <w:tcW w:w="174" w:type="pct"/>
            <w:tcBorders>
              <w:top w:val="single" w:sz="6" w:space="0" w:color="auto"/>
              <w:left w:val="single" w:sz="6" w:space="0" w:color="auto"/>
              <w:bottom w:val="single" w:sz="6" w:space="0" w:color="auto"/>
              <w:right w:val="single" w:sz="6" w:space="0" w:color="auto"/>
            </w:tcBorders>
            <w:hideMark/>
          </w:tcPr>
          <w:p w14:paraId="5DF8256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0.021 </w:t>
            </w:r>
          </w:p>
        </w:tc>
        <w:tc>
          <w:tcPr>
            <w:tcW w:w="8" w:type="pct"/>
            <w:vAlign w:val="center"/>
            <w:hideMark/>
          </w:tcPr>
          <w:p w14:paraId="13BFED96" w14:textId="77777777" w:rsidR="00DB1AEE" w:rsidRPr="00DB1AEE" w:rsidRDefault="00DB1AEE" w:rsidP="00DB1AEE">
            <w:pPr>
              <w:widowControl w:val="0"/>
              <w:suppressAutoHyphens/>
              <w:autoSpaceDE w:val="0"/>
              <w:autoSpaceDN w:val="0"/>
              <w:jc w:val="left"/>
              <w:rPr>
                <w:bCs/>
                <w:iCs/>
                <w:sz w:val="18"/>
                <w:szCs w:val="18"/>
                <w:u w:val="single"/>
                <w:lang w:bidi="en-US"/>
              </w:rPr>
            </w:pPr>
          </w:p>
        </w:tc>
      </w:tr>
      <w:tr w:rsidR="00DB1AEE" w:rsidRPr="00DB1AEE" w14:paraId="48EA32AF" w14:textId="77777777" w:rsidTr="00FC1832">
        <w:trPr>
          <w:trHeight w:val="201"/>
        </w:trPr>
        <w:tc>
          <w:tcPr>
            <w:tcW w:w="665" w:type="pct"/>
            <w:tcBorders>
              <w:top w:val="single" w:sz="6" w:space="0" w:color="auto"/>
              <w:left w:val="single" w:sz="6" w:space="0" w:color="auto"/>
              <w:bottom w:val="single" w:sz="6" w:space="0" w:color="auto"/>
              <w:right w:val="single" w:sz="6" w:space="0" w:color="auto"/>
            </w:tcBorders>
            <w:hideMark/>
          </w:tcPr>
          <w:p w14:paraId="3787DBC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15 </w:t>
            </w:r>
          </w:p>
        </w:tc>
        <w:tc>
          <w:tcPr>
            <w:tcW w:w="855" w:type="pct"/>
            <w:tcBorders>
              <w:top w:val="single" w:sz="6" w:space="0" w:color="auto"/>
              <w:left w:val="single" w:sz="6" w:space="0" w:color="auto"/>
              <w:bottom w:val="single" w:sz="6" w:space="0" w:color="auto"/>
              <w:right w:val="single" w:sz="6" w:space="0" w:color="auto"/>
            </w:tcBorders>
            <w:hideMark/>
          </w:tcPr>
          <w:p w14:paraId="720809C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0.136 </w:t>
            </w:r>
          </w:p>
        </w:tc>
        <w:tc>
          <w:tcPr>
            <w:tcW w:w="174" w:type="pct"/>
            <w:tcBorders>
              <w:top w:val="single" w:sz="6" w:space="0" w:color="auto"/>
              <w:left w:val="single" w:sz="6" w:space="0" w:color="auto"/>
              <w:bottom w:val="single" w:sz="6" w:space="0" w:color="auto"/>
              <w:right w:val="single" w:sz="6" w:space="0" w:color="auto"/>
            </w:tcBorders>
            <w:hideMark/>
          </w:tcPr>
          <w:p w14:paraId="396C345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0.120 </w:t>
            </w:r>
          </w:p>
        </w:tc>
        <w:tc>
          <w:tcPr>
            <w:tcW w:w="174" w:type="pct"/>
            <w:tcBorders>
              <w:top w:val="single" w:sz="6" w:space="0" w:color="auto"/>
              <w:left w:val="single" w:sz="6" w:space="0" w:color="auto"/>
              <w:bottom w:val="single" w:sz="6" w:space="0" w:color="auto"/>
              <w:right w:val="single" w:sz="6" w:space="0" w:color="auto"/>
            </w:tcBorders>
            <w:hideMark/>
          </w:tcPr>
          <w:p w14:paraId="0720E30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0.107 </w:t>
            </w:r>
          </w:p>
        </w:tc>
        <w:tc>
          <w:tcPr>
            <w:tcW w:w="174" w:type="pct"/>
            <w:tcBorders>
              <w:top w:val="single" w:sz="6" w:space="0" w:color="auto"/>
              <w:left w:val="single" w:sz="6" w:space="0" w:color="auto"/>
              <w:bottom w:val="single" w:sz="6" w:space="0" w:color="auto"/>
              <w:right w:val="single" w:sz="6" w:space="0" w:color="auto"/>
            </w:tcBorders>
            <w:hideMark/>
          </w:tcPr>
          <w:p w14:paraId="13B2027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0.097 </w:t>
            </w:r>
          </w:p>
        </w:tc>
        <w:tc>
          <w:tcPr>
            <w:tcW w:w="174" w:type="pct"/>
            <w:tcBorders>
              <w:top w:val="single" w:sz="6" w:space="0" w:color="auto"/>
              <w:left w:val="single" w:sz="6" w:space="0" w:color="auto"/>
              <w:bottom w:val="single" w:sz="6" w:space="0" w:color="auto"/>
              <w:right w:val="single" w:sz="6" w:space="0" w:color="auto"/>
            </w:tcBorders>
            <w:hideMark/>
          </w:tcPr>
          <w:p w14:paraId="2F16872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0.088 </w:t>
            </w:r>
          </w:p>
        </w:tc>
        <w:tc>
          <w:tcPr>
            <w:tcW w:w="174" w:type="pct"/>
            <w:tcBorders>
              <w:top w:val="single" w:sz="6" w:space="0" w:color="auto"/>
              <w:left w:val="single" w:sz="6" w:space="0" w:color="auto"/>
              <w:bottom w:val="single" w:sz="6" w:space="0" w:color="auto"/>
              <w:right w:val="single" w:sz="6" w:space="0" w:color="auto"/>
            </w:tcBorders>
            <w:hideMark/>
          </w:tcPr>
          <w:p w14:paraId="0E4B7B73"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0.081 </w:t>
            </w:r>
          </w:p>
        </w:tc>
        <w:tc>
          <w:tcPr>
            <w:tcW w:w="174" w:type="pct"/>
            <w:tcBorders>
              <w:top w:val="single" w:sz="6" w:space="0" w:color="auto"/>
              <w:left w:val="single" w:sz="6" w:space="0" w:color="auto"/>
              <w:bottom w:val="single" w:sz="6" w:space="0" w:color="auto"/>
              <w:right w:val="single" w:sz="6" w:space="0" w:color="auto"/>
            </w:tcBorders>
            <w:hideMark/>
          </w:tcPr>
          <w:p w14:paraId="00CB989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0.075 </w:t>
            </w:r>
          </w:p>
        </w:tc>
        <w:tc>
          <w:tcPr>
            <w:tcW w:w="174" w:type="pct"/>
            <w:tcBorders>
              <w:top w:val="single" w:sz="6" w:space="0" w:color="auto"/>
              <w:left w:val="single" w:sz="6" w:space="0" w:color="auto"/>
              <w:bottom w:val="single" w:sz="6" w:space="0" w:color="auto"/>
              <w:right w:val="single" w:sz="6" w:space="0" w:color="auto"/>
            </w:tcBorders>
            <w:hideMark/>
          </w:tcPr>
          <w:p w14:paraId="1DA87F1E"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0.070 </w:t>
            </w:r>
          </w:p>
        </w:tc>
        <w:tc>
          <w:tcPr>
            <w:tcW w:w="174" w:type="pct"/>
            <w:tcBorders>
              <w:top w:val="single" w:sz="6" w:space="0" w:color="auto"/>
              <w:left w:val="single" w:sz="6" w:space="0" w:color="auto"/>
              <w:bottom w:val="single" w:sz="6" w:space="0" w:color="auto"/>
              <w:right w:val="single" w:sz="6" w:space="0" w:color="auto"/>
            </w:tcBorders>
            <w:hideMark/>
          </w:tcPr>
          <w:p w14:paraId="64215B3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0.065 </w:t>
            </w:r>
          </w:p>
        </w:tc>
        <w:tc>
          <w:tcPr>
            <w:tcW w:w="174" w:type="pct"/>
            <w:tcBorders>
              <w:top w:val="single" w:sz="6" w:space="0" w:color="auto"/>
              <w:left w:val="single" w:sz="6" w:space="0" w:color="auto"/>
              <w:bottom w:val="single" w:sz="6" w:space="0" w:color="auto"/>
              <w:right w:val="single" w:sz="6" w:space="0" w:color="auto"/>
            </w:tcBorders>
            <w:hideMark/>
          </w:tcPr>
          <w:p w14:paraId="6EB556F5"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0.061 </w:t>
            </w:r>
          </w:p>
        </w:tc>
        <w:tc>
          <w:tcPr>
            <w:tcW w:w="174" w:type="pct"/>
            <w:tcBorders>
              <w:top w:val="single" w:sz="6" w:space="0" w:color="auto"/>
              <w:left w:val="single" w:sz="6" w:space="0" w:color="auto"/>
              <w:bottom w:val="single" w:sz="6" w:space="0" w:color="auto"/>
              <w:right w:val="single" w:sz="6" w:space="0" w:color="auto"/>
            </w:tcBorders>
            <w:hideMark/>
          </w:tcPr>
          <w:p w14:paraId="3DD5F4D5"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0.058 </w:t>
            </w:r>
          </w:p>
        </w:tc>
        <w:tc>
          <w:tcPr>
            <w:tcW w:w="174" w:type="pct"/>
            <w:tcBorders>
              <w:top w:val="single" w:sz="6" w:space="0" w:color="auto"/>
              <w:left w:val="single" w:sz="6" w:space="0" w:color="auto"/>
              <w:bottom w:val="single" w:sz="6" w:space="0" w:color="auto"/>
              <w:right w:val="single" w:sz="6" w:space="0" w:color="auto"/>
            </w:tcBorders>
            <w:hideMark/>
          </w:tcPr>
          <w:p w14:paraId="541E64B9"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0.054 </w:t>
            </w:r>
          </w:p>
        </w:tc>
        <w:tc>
          <w:tcPr>
            <w:tcW w:w="174" w:type="pct"/>
            <w:tcBorders>
              <w:top w:val="single" w:sz="6" w:space="0" w:color="auto"/>
              <w:left w:val="single" w:sz="6" w:space="0" w:color="auto"/>
              <w:bottom w:val="single" w:sz="6" w:space="0" w:color="auto"/>
              <w:right w:val="single" w:sz="6" w:space="0" w:color="auto"/>
            </w:tcBorders>
            <w:hideMark/>
          </w:tcPr>
          <w:p w14:paraId="2D0AE2C7"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15AAB06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503E3D87"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7ECB434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56E0CF7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0.037 </w:t>
            </w:r>
          </w:p>
        </w:tc>
        <w:tc>
          <w:tcPr>
            <w:tcW w:w="174" w:type="pct"/>
            <w:tcBorders>
              <w:top w:val="single" w:sz="6" w:space="0" w:color="auto"/>
              <w:left w:val="single" w:sz="6" w:space="0" w:color="auto"/>
              <w:bottom w:val="single" w:sz="6" w:space="0" w:color="auto"/>
              <w:right w:val="single" w:sz="6" w:space="0" w:color="auto"/>
            </w:tcBorders>
            <w:hideMark/>
          </w:tcPr>
          <w:p w14:paraId="0983C59A"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0.031 </w:t>
            </w:r>
          </w:p>
        </w:tc>
        <w:tc>
          <w:tcPr>
            <w:tcW w:w="174" w:type="pct"/>
            <w:tcBorders>
              <w:top w:val="single" w:sz="6" w:space="0" w:color="auto"/>
              <w:left w:val="single" w:sz="6" w:space="0" w:color="auto"/>
              <w:bottom w:val="single" w:sz="6" w:space="0" w:color="auto"/>
              <w:right w:val="single" w:sz="6" w:space="0" w:color="auto"/>
            </w:tcBorders>
            <w:hideMark/>
          </w:tcPr>
          <w:p w14:paraId="1F404F5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0131288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0.024 </w:t>
            </w:r>
          </w:p>
        </w:tc>
        <w:tc>
          <w:tcPr>
            <w:tcW w:w="174" w:type="pct"/>
            <w:tcBorders>
              <w:top w:val="single" w:sz="6" w:space="0" w:color="auto"/>
              <w:left w:val="single" w:sz="6" w:space="0" w:color="auto"/>
              <w:bottom w:val="single" w:sz="6" w:space="0" w:color="auto"/>
              <w:right w:val="single" w:sz="6" w:space="0" w:color="auto"/>
            </w:tcBorders>
            <w:hideMark/>
          </w:tcPr>
          <w:p w14:paraId="55EDA8E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0.021 </w:t>
            </w:r>
          </w:p>
        </w:tc>
        <w:tc>
          <w:tcPr>
            <w:tcW w:w="8" w:type="pct"/>
            <w:vAlign w:val="center"/>
            <w:hideMark/>
          </w:tcPr>
          <w:p w14:paraId="19756D2E" w14:textId="77777777" w:rsidR="00DB1AEE" w:rsidRPr="00DB1AEE" w:rsidRDefault="00DB1AEE" w:rsidP="00DB1AEE">
            <w:pPr>
              <w:widowControl w:val="0"/>
              <w:suppressAutoHyphens/>
              <w:autoSpaceDE w:val="0"/>
              <w:autoSpaceDN w:val="0"/>
              <w:jc w:val="left"/>
              <w:rPr>
                <w:bCs/>
                <w:iCs/>
                <w:sz w:val="18"/>
                <w:szCs w:val="18"/>
                <w:u w:val="single"/>
                <w:lang w:bidi="en-US"/>
              </w:rPr>
            </w:pPr>
          </w:p>
        </w:tc>
      </w:tr>
      <w:tr w:rsidR="00DB1AEE" w:rsidRPr="00DB1AEE" w14:paraId="19778C26" w14:textId="77777777" w:rsidTr="00FC1832">
        <w:trPr>
          <w:trHeight w:val="228"/>
        </w:trPr>
        <w:tc>
          <w:tcPr>
            <w:tcW w:w="665" w:type="pct"/>
            <w:tcBorders>
              <w:top w:val="single" w:sz="6" w:space="0" w:color="auto"/>
              <w:left w:val="single" w:sz="6" w:space="0" w:color="auto"/>
              <w:bottom w:val="single" w:sz="6" w:space="0" w:color="auto"/>
              <w:right w:val="single" w:sz="6" w:space="0" w:color="auto"/>
            </w:tcBorders>
            <w:hideMark/>
          </w:tcPr>
          <w:p w14:paraId="5BA74D85"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19 </w:t>
            </w:r>
          </w:p>
        </w:tc>
        <w:tc>
          <w:tcPr>
            <w:tcW w:w="855" w:type="pct"/>
            <w:tcBorders>
              <w:top w:val="single" w:sz="6" w:space="0" w:color="auto"/>
              <w:left w:val="single" w:sz="6" w:space="0" w:color="auto"/>
              <w:bottom w:val="single" w:sz="6" w:space="0" w:color="auto"/>
              <w:right w:val="single" w:sz="6" w:space="0" w:color="auto"/>
            </w:tcBorders>
            <w:hideMark/>
          </w:tcPr>
          <w:p w14:paraId="3C55E16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0.129 </w:t>
            </w:r>
          </w:p>
        </w:tc>
        <w:tc>
          <w:tcPr>
            <w:tcW w:w="174" w:type="pct"/>
            <w:tcBorders>
              <w:top w:val="single" w:sz="6" w:space="0" w:color="auto"/>
              <w:left w:val="single" w:sz="6" w:space="0" w:color="auto"/>
              <w:bottom w:val="single" w:sz="6" w:space="0" w:color="auto"/>
              <w:right w:val="single" w:sz="6" w:space="0" w:color="auto"/>
            </w:tcBorders>
            <w:hideMark/>
          </w:tcPr>
          <w:p w14:paraId="45B3F59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0.114 </w:t>
            </w:r>
          </w:p>
        </w:tc>
        <w:tc>
          <w:tcPr>
            <w:tcW w:w="174" w:type="pct"/>
            <w:tcBorders>
              <w:top w:val="single" w:sz="6" w:space="0" w:color="auto"/>
              <w:left w:val="single" w:sz="6" w:space="0" w:color="auto"/>
              <w:bottom w:val="single" w:sz="6" w:space="0" w:color="auto"/>
              <w:right w:val="single" w:sz="6" w:space="0" w:color="auto"/>
            </w:tcBorders>
            <w:hideMark/>
          </w:tcPr>
          <w:p w14:paraId="23E19A4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0.102 </w:t>
            </w:r>
          </w:p>
        </w:tc>
        <w:tc>
          <w:tcPr>
            <w:tcW w:w="174" w:type="pct"/>
            <w:tcBorders>
              <w:top w:val="single" w:sz="6" w:space="0" w:color="auto"/>
              <w:left w:val="single" w:sz="6" w:space="0" w:color="auto"/>
              <w:bottom w:val="single" w:sz="6" w:space="0" w:color="auto"/>
              <w:right w:val="single" w:sz="6" w:space="0" w:color="auto"/>
            </w:tcBorders>
            <w:hideMark/>
          </w:tcPr>
          <w:p w14:paraId="20E7F893"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0.093 </w:t>
            </w:r>
          </w:p>
        </w:tc>
        <w:tc>
          <w:tcPr>
            <w:tcW w:w="174" w:type="pct"/>
            <w:tcBorders>
              <w:top w:val="single" w:sz="6" w:space="0" w:color="auto"/>
              <w:left w:val="single" w:sz="6" w:space="0" w:color="auto"/>
              <w:bottom w:val="single" w:sz="6" w:space="0" w:color="auto"/>
              <w:right w:val="single" w:sz="6" w:space="0" w:color="auto"/>
            </w:tcBorders>
            <w:hideMark/>
          </w:tcPr>
          <w:p w14:paraId="7E37D905"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0.085 </w:t>
            </w:r>
          </w:p>
        </w:tc>
        <w:tc>
          <w:tcPr>
            <w:tcW w:w="174" w:type="pct"/>
            <w:tcBorders>
              <w:top w:val="single" w:sz="6" w:space="0" w:color="auto"/>
              <w:left w:val="single" w:sz="6" w:space="0" w:color="auto"/>
              <w:bottom w:val="single" w:sz="6" w:space="0" w:color="auto"/>
              <w:right w:val="single" w:sz="6" w:space="0" w:color="auto"/>
            </w:tcBorders>
            <w:hideMark/>
          </w:tcPr>
          <w:p w14:paraId="3F8D88CE"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0.078 </w:t>
            </w:r>
          </w:p>
        </w:tc>
        <w:tc>
          <w:tcPr>
            <w:tcW w:w="174" w:type="pct"/>
            <w:tcBorders>
              <w:top w:val="single" w:sz="6" w:space="0" w:color="auto"/>
              <w:left w:val="single" w:sz="6" w:space="0" w:color="auto"/>
              <w:bottom w:val="single" w:sz="6" w:space="0" w:color="auto"/>
              <w:right w:val="single" w:sz="6" w:space="0" w:color="auto"/>
            </w:tcBorders>
            <w:hideMark/>
          </w:tcPr>
          <w:p w14:paraId="33C62792"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0.073 </w:t>
            </w:r>
          </w:p>
        </w:tc>
        <w:tc>
          <w:tcPr>
            <w:tcW w:w="174" w:type="pct"/>
            <w:tcBorders>
              <w:top w:val="single" w:sz="6" w:space="0" w:color="auto"/>
              <w:left w:val="single" w:sz="6" w:space="0" w:color="auto"/>
              <w:bottom w:val="single" w:sz="6" w:space="0" w:color="auto"/>
              <w:right w:val="single" w:sz="6" w:space="0" w:color="auto"/>
            </w:tcBorders>
            <w:hideMark/>
          </w:tcPr>
          <w:p w14:paraId="53E8D29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0.068 </w:t>
            </w:r>
          </w:p>
        </w:tc>
        <w:tc>
          <w:tcPr>
            <w:tcW w:w="174" w:type="pct"/>
            <w:tcBorders>
              <w:top w:val="single" w:sz="6" w:space="0" w:color="auto"/>
              <w:left w:val="single" w:sz="6" w:space="0" w:color="auto"/>
              <w:bottom w:val="single" w:sz="6" w:space="0" w:color="auto"/>
              <w:right w:val="single" w:sz="6" w:space="0" w:color="auto"/>
            </w:tcBorders>
            <w:hideMark/>
          </w:tcPr>
          <w:p w14:paraId="25E4FBA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5C96D9A2"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2227FCE3"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731D4C8E"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460ED75A"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42686399"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39C1BE7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58B5E6C7"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5563358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5A0AA3E9"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0.031 </w:t>
            </w:r>
          </w:p>
        </w:tc>
        <w:tc>
          <w:tcPr>
            <w:tcW w:w="174" w:type="pct"/>
            <w:tcBorders>
              <w:top w:val="single" w:sz="6" w:space="0" w:color="auto"/>
              <w:left w:val="single" w:sz="6" w:space="0" w:color="auto"/>
              <w:bottom w:val="single" w:sz="6" w:space="0" w:color="auto"/>
              <w:right w:val="single" w:sz="6" w:space="0" w:color="auto"/>
            </w:tcBorders>
            <w:hideMark/>
          </w:tcPr>
          <w:p w14:paraId="653F103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3F5ED1E5"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33A720F3"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0.021 </w:t>
            </w:r>
          </w:p>
        </w:tc>
        <w:tc>
          <w:tcPr>
            <w:tcW w:w="8" w:type="pct"/>
            <w:vAlign w:val="center"/>
            <w:hideMark/>
          </w:tcPr>
          <w:p w14:paraId="2DA7CD31" w14:textId="77777777" w:rsidR="00DB1AEE" w:rsidRPr="00DB1AEE" w:rsidRDefault="00DB1AEE" w:rsidP="00DB1AEE">
            <w:pPr>
              <w:widowControl w:val="0"/>
              <w:suppressAutoHyphens/>
              <w:autoSpaceDE w:val="0"/>
              <w:autoSpaceDN w:val="0"/>
              <w:jc w:val="left"/>
              <w:rPr>
                <w:bCs/>
                <w:iCs/>
                <w:sz w:val="18"/>
                <w:szCs w:val="18"/>
                <w:u w:val="single"/>
                <w:lang w:bidi="en-US"/>
              </w:rPr>
            </w:pPr>
          </w:p>
        </w:tc>
      </w:tr>
      <w:tr w:rsidR="00DB1AEE" w:rsidRPr="00DB1AEE" w14:paraId="64607E94" w14:textId="77777777" w:rsidTr="00FC1832">
        <w:trPr>
          <w:trHeight w:val="255"/>
        </w:trPr>
        <w:tc>
          <w:tcPr>
            <w:tcW w:w="665" w:type="pct"/>
            <w:tcBorders>
              <w:top w:val="single" w:sz="6" w:space="0" w:color="auto"/>
              <w:left w:val="single" w:sz="6" w:space="0" w:color="auto"/>
              <w:bottom w:val="single" w:sz="6" w:space="0" w:color="auto"/>
              <w:right w:val="single" w:sz="6" w:space="0" w:color="auto"/>
            </w:tcBorders>
            <w:hideMark/>
          </w:tcPr>
          <w:p w14:paraId="1A483BE3"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21 </w:t>
            </w:r>
          </w:p>
        </w:tc>
        <w:tc>
          <w:tcPr>
            <w:tcW w:w="855" w:type="pct"/>
            <w:tcBorders>
              <w:top w:val="single" w:sz="6" w:space="0" w:color="auto"/>
              <w:left w:val="single" w:sz="6" w:space="0" w:color="auto"/>
              <w:bottom w:val="single" w:sz="6" w:space="0" w:color="auto"/>
              <w:right w:val="single" w:sz="6" w:space="0" w:color="auto"/>
            </w:tcBorders>
            <w:hideMark/>
          </w:tcPr>
          <w:p w14:paraId="602E4223"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0.126 </w:t>
            </w:r>
          </w:p>
        </w:tc>
        <w:tc>
          <w:tcPr>
            <w:tcW w:w="174" w:type="pct"/>
            <w:tcBorders>
              <w:top w:val="single" w:sz="6" w:space="0" w:color="auto"/>
              <w:left w:val="single" w:sz="6" w:space="0" w:color="auto"/>
              <w:bottom w:val="single" w:sz="6" w:space="0" w:color="auto"/>
              <w:right w:val="single" w:sz="6" w:space="0" w:color="auto"/>
            </w:tcBorders>
            <w:hideMark/>
          </w:tcPr>
          <w:p w14:paraId="69AC2E4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0.112 </w:t>
            </w:r>
          </w:p>
        </w:tc>
        <w:tc>
          <w:tcPr>
            <w:tcW w:w="174" w:type="pct"/>
            <w:tcBorders>
              <w:top w:val="single" w:sz="6" w:space="0" w:color="auto"/>
              <w:left w:val="single" w:sz="6" w:space="0" w:color="auto"/>
              <w:bottom w:val="single" w:sz="6" w:space="0" w:color="auto"/>
              <w:right w:val="single" w:sz="6" w:space="0" w:color="auto"/>
            </w:tcBorders>
            <w:hideMark/>
          </w:tcPr>
          <w:p w14:paraId="0D783369"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0.100 </w:t>
            </w:r>
          </w:p>
        </w:tc>
        <w:tc>
          <w:tcPr>
            <w:tcW w:w="174" w:type="pct"/>
            <w:tcBorders>
              <w:top w:val="single" w:sz="6" w:space="0" w:color="auto"/>
              <w:left w:val="single" w:sz="6" w:space="0" w:color="auto"/>
              <w:bottom w:val="single" w:sz="6" w:space="0" w:color="auto"/>
              <w:right w:val="single" w:sz="6" w:space="0" w:color="auto"/>
            </w:tcBorders>
            <w:hideMark/>
          </w:tcPr>
          <w:p w14:paraId="5758FFE9"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0.091 </w:t>
            </w:r>
          </w:p>
        </w:tc>
        <w:tc>
          <w:tcPr>
            <w:tcW w:w="174" w:type="pct"/>
            <w:tcBorders>
              <w:top w:val="single" w:sz="6" w:space="0" w:color="auto"/>
              <w:left w:val="single" w:sz="6" w:space="0" w:color="auto"/>
              <w:bottom w:val="single" w:sz="6" w:space="0" w:color="auto"/>
              <w:right w:val="single" w:sz="6" w:space="0" w:color="auto"/>
            </w:tcBorders>
            <w:hideMark/>
          </w:tcPr>
          <w:p w14:paraId="0C5E7367"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0.084 </w:t>
            </w:r>
          </w:p>
        </w:tc>
        <w:tc>
          <w:tcPr>
            <w:tcW w:w="174" w:type="pct"/>
            <w:tcBorders>
              <w:top w:val="single" w:sz="6" w:space="0" w:color="auto"/>
              <w:left w:val="single" w:sz="6" w:space="0" w:color="auto"/>
              <w:bottom w:val="single" w:sz="6" w:space="0" w:color="auto"/>
              <w:right w:val="single" w:sz="6" w:space="0" w:color="auto"/>
            </w:tcBorders>
            <w:hideMark/>
          </w:tcPr>
          <w:p w14:paraId="1E7DDD29"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0.077 </w:t>
            </w:r>
          </w:p>
        </w:tc>
        <w:tc>
          <w:tcPr>
            <w:tcW w:w="174" w:type="pct"/>
            <w:tcBorders>
              <w:top w:val="single" w:sz="6" w:space="0" w:color="auto"/>
              <w:left w:val="single" w:sz="6" w:space="0" w:color="auto"/>
              <w:bottom w:val="single" w:sz="6" w:space="0" w:color="auto"/>
              <w:right w:val="single" w:sz="6" w:space="0" w:color="auto"/>
            </w:tcBorders>
            <w:hideMark/>
          </w:tcPr>
          <w:p w14:paraId="5D9A1DD9"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0.072 </w:t>
            </w:r>
          </w:p>
        </w:tc>
        <w:tc>
          <w:tcPr>
            <w:tcW w:w="174" w:type="pct"/>
            <w:tcBorders>
              <w:top w:val="single" w:sz="6" w:space="0" w:color="auto"/>
              <w:left w:val="single" w:sz="6" w:space="0" w:color="auto"/>
              <w:bottom w:val="single" w:sz="6" w:space="0" w:color="auto"/>
              <w:right w:val="single" w:sz="6" w:space="0" w:color="auto"/>
            </w:tcBorders>
            <w:hideMark/>
          </w:tcPr>
          <w:p w14:paraId="7C77F142"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0.067 </w:t>
            </w:r>
          </w:p>
        </w:tc>
        <w:tc>
          <w:tcPr>
            <w:tcW w:w="174" w:type="pct"/>
            <w:tcBorders>
              <w:top w:val="single" w:sz="6" w:space="0" w:color="auto"/>
              <w:left w:val="single" w:sz="6" w:space="0" w:color="auto"/>
              <w:bottom w:val="single" w:sz="6" w:space="0" w:color="auto"/>
              <w:right w:val="single" w:sz="6" w:space="0" w:color="auto"/>
            </w:tcBorders>
            <w:hideMark/>
          </w:tcPr>
          <w:p w14:paraId="206F729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6E8C6113"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1A74FBA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14E72949"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0327936A"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0.050 </w:t>
            </w:r>
          </w:p>
        </w:tc>
        <w:tc>
          <w:tcPr>
            <w:tcW w:w="174" w:type="pct"/>
            <w:tcBorders>
              <w:top w:val="single" w:sz="6" w:space="0" w:color="auto"/>
              <w:left w:val="single" w:sz="6" w:space="0" w:color="auto"/>
              <w:bottom w:val="single" w:sz="6" w:space="0" w:color="auto"/>
              <w:right w:val="single" w:sz="6" w:space="0" w:color="auto"/>
            </w:tcBorders>
            <w:hideMark/>
          </w:tcPr>
          <w:p w14:paraId="204EFE5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117FDEE5"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7196C3C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3FE1287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3BDA5D95"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4344FCB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48A0AFC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5785672C"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0.021 </w:t>
            </w:r>
          </w:p>
        </w:tc>
        <w:tc>
          <w:tcPr>
            <w:tcW w:w="8" w:type="pct"/>
            <w:vAlign w:val="center"/>
            <w:hideMark/>
          </w:tcPr>
          <w:p w14:paraId="33D3EE0F" w14:textId="77777777" w:rsidR="00DB1AEE" w:rsidRPr="00DB1AEE" w:rsidRDefault="00DB1AEE" w:rsidP="00DB1AEE">
            <w:pPr>
              <w:widowControl w:val="0"/>
              <w:suppressAutoHyphens/>
              <w:autoSpaceDE w:val="0"/>
              <w:autoSpaceDN w:val="0"/>
              <w:jc w:val="left"/>
              <w:rPr>
                <w:bCs/>
                <w:iCs/>
                <w:sz w:val="18"/>
                <w:szCs w:val="18"/>
                <w:u w:val="single"/>
                <w:lang w:bidi="en-US"/>
              </w:rPr>
            </w:pPr>
          </w:p>
        </w:tc>
      </w:tr>
      <w:tr w:rsidR="00DB1AEE" w:rsidRPr="00DB1AEE" w14:paraId="2F869D3F" w14:textId="77777777" w:rsidTr="00FC1832">
        <w:trPr>
          <w:trHeight w:val="192"/>
        </w:trPr>
        <w:tc>
          <w:tcPr>
            <w:tcW w:w="665" w:type="pct"/>
            <w:tcBorders>
              <w:top w:val="single" w:sz="6" w:space="0" w:color="auto"/>
              <w:left w:val="single" w:sz="6" w:space="0" w:color="auto"/>
              <w:bottom w:val="single" w:sz="6" w:space="0" w:color="auto"/>
              <w:right w:val="single" w:sz="6" w:space="0" w:color="auto"/>
            </w:tcBorders>
            <w:hideMark/>
          </w:tcPr>
          <w:p w14:paraId="64E4D86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25 </w:t>
            </w:r>
          </w:p>
        </w:tc>
        <w:tc>
          <w:tcPr>
            <w:tcW w:w="855" w:type="pct"/>
            <w:tcBorders>
              <w:top w:val="single" w:sz="6" w:space="0" w:color="auto"/>
              <w:left w:val="single" w:sz="6" w:space="0" w:color="auto"/>
              <w:bottom w:val="single" w:sz="6" w:space="0" w:color="auto"/>
              <w:right w:val="single" w:sz="6" w:space="0" w:color="auto"/>
            </w:tcBorders>
            <w:hideMark/>
          </w:tcPr>
          <w:p w14:paraId="3A4E725C"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0.122 </w:t>
            </w:r>
          </w:p>
        </w:tc>
        <w:tc>
          <w:tcPr>
            <w:tcW w:w="174" w:type="pct"/>
            <w:tcBorders>
              <w:top w:val="single" w:sz="6" w:space="0" w:color="auto"/>
              <w:left w:val="single" w:sz="6" w:space="0" w:color="auto"/>
              <w:bottom w:val="single" w:sz="6" w:space="0" w:color="auto"/>
              <w:right w:val="single" w:sz="6" w:space="0" w:color="auto"/>
            </w:tcBorders>
            <w:hideMark/>
          </w:tcPr>
          <w:p w14:paraId="6E85FAD3"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0.108 </w:t>
            </w:r>
          </w:p>
        </w:tc>
        <w:tc>
          <w:tcPr>
            <w:tcW w:w="174" w:type="pct"/>
            <w:tcBorders>
              <w:top w:val="single" w:sz="6" w:space="0" w:color="auto"/>
              <w:left w:val="single" w:sz="6" w:space="0" w:color="auto"/>
              <w:bottom w:val="single" w:sz="6" w:space="0" w:color="auto"/>
              <w:right w:val="single" w:sz="6" w:space="0" w:color="auto"/>
            </w:tcBorders>
            <w:hideMark/>
          </w:tcPr>
          <w:p w14:paraId="24F474D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0.098 </w:t>
            </w:r>
          </w:p>
        </w:tc>
        <w:tc>
          <w:tcPr>
            <w:tcW w:w="174" w:type="pct"/>
            <w:tcBorders>
              <w:top w:val="single" w:sz="6" w:space="0" w:color="auto"/>
              <w:left w:val="single" w:sz="6" w:space="0" w:color="auto"/>
              <w:bottom w:val="single" w:sz="6" w:space="0" w:color="auto"/>
              <w:right w:val="single" w:sz="6" w:space="0" w:color="auto"/>
            </w:tcBorders>
            <w:hideMark/>
          </w:tcPr>
          <w:p w14:paraId="5132AC6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0.089 </w:t>
            </w:r>
          </w:p>
        </w:tc>
        <w:tc>
          <w:tcPr>
            <w:tcW w:w="174" w:type="pct"/>
            <w:tcBorders>
              <w:top w:val="single" w:sz="6" w:space="0" w:color="auto"/>
              <w:left w:val="single" w:sz="6" w:space="0" w:color="auto"/>
              <w:bottom w:val="single" w:sz="6" w:space="0" w:color="auto"/>
              <w:right w:val="single" w:sz="6" w:space="0" w:color="auto"/>
            </w:tcBorders>
            <w:hideMark/>
          </w:tcPr>
          <w:p w14:paraId="200BC40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0.082 </w:t>
            </w:r>
          </w:p>
        </w:tc>
        <w:tc>
          <w:tcPr>
            <w:tcW w:w="174" w:type="pct"/>
            <w:tcBorders>
              <w:top w:val="single" w:sz="6" w:space="0" w:color="auto"/>
              <w:left w:val="single" w:sz="6" w:space="0" w:color="auto"/>
              <w:bottom w:val="single" w:sz="6" w:space="0" w:color="auto"/>
              <w:right w:val="single" w:sz="6" w:space="0" w:color="auto"/>
            </w:tcBorders>
            <w:hideMark/>
          </w:tcPr>
          <w:p w14:paraId="7E6C229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0.076 </w:t>
            </w:r>
          </w:p>
        </w:tc>
        <w:tc>
          <w:tcPr>
            <w:tcW w:w="174" w:type="pct"/>
            <w:tcBorders>
              <w:top w:val="single" w:sz="6" w:space="0" w:color="auto"/>
              <w:left w:val="single" w:sz="6" w:space="0" w:color="auto"/>
              <w:bottom w:val="single" w:sz="6" w:space="0" w:color="auto"/>
              <w:right w:val="single" w:sz="6" w:space="0" w:color="auto"/>
            </w:tcBorders>
            <w:hideMark/>
          </w:tcPr>
          <w:p w14:paraId="1579250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0.070 </w:t>
            </w:r>
          </w:p>
        </w:tc>
        <w:tc>
          <w:tcPr>
            <w:tcW w:w="174" w:type="pct"/>
            <w:tcBorders>
              <w:top w:val="single" w:sz="6" w:space="0" w:color="auto"/>
              <w:left w:val="single" w:sz="6" w:space="0" w:color="auto"/>
              <w:bottom w:val="single" w:sz="6" w:space="0" w:color="auto"/>
              <w:right w:val="single" w:sz="6" w:space="0" w:color="auto"/>
            </w:tcBorders>
            <w:hideMark/>
          </w:tcPr>
          <w:p w14:paraId="638F1DCA"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0.066 </w:t>
            </w:r>
          </w:p>
        </w:tc>
        <w:tc>
          <w:tcPr>
            <w:tcW w:w="174" w:type="pct"/>
            <w:tcBorders>
              <w:top w:val="single" w:sz="6" w:space="0" w:color="auto"/>
              <w:left w:val="single" w:sz="6" w:space="0" w:color="auto"/>
              <w:bottom w:val="single" w:sz="6" w:space="0" w:color="auto"/>
              <w:right w:val="single" w:sz="6" w:space="0" w:color="auto"/>
            </w:tcBorders>
            <w:hideMark/>
          </w:tcPr>
          <w:p w14:paraId="0476C5D3"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0.062 </w:t>
            </w:r>
          </w:p>
        </w:tc>
        <w:tc>
          <w:tcPr>
            <w:tcW w:w="174" w:type="pct"/>
            <w:tcBorders>
              <w:top w:val="single" w:sz="6" w:space="0" w:color="auto"/>
              <w:left w:val="single" w:sz="6" w:space="0" w:color="auto"/>
              <w:bottom w:val="single" w:sz="6" w:space="0" w:color="auto"/>
              <w:right w:val="single" w:sz="6" w:space="0" w:color="auto"/>
            </w:tcBorders>
            <w:hideMark/>
          </w:tcPr>
          <w:p w14:paraId="5B8FD14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0.058 </w:t>
            </w:r>
          </w:p>
        </w:tc>
        <w:tc>
          <w:tcPr>
            <w:tcW w:w="174" w:type="pct"/>
            <w:tcBorders>
              <w:top w:val="single" w:sz="6" w:space="0" w:color="auto"/>
              <w:left w:val="single" w:sz="6" w:space="0" w:color="auto"/>
              <w:bottom w:val="single" w:sz="6" w:space="0" w:color="auto"/>
              <w:right w:val="single" w:sz="6" w:space="0" w:color="auto"/>
            </w:tcBorders>
            <w:hideMark/>
          </w:tcPr>
          <w:p w14:paraId="375D1971"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0.055 </w:t>
            </w:r>
          </w:p>
        </w:tc>
        <w:tc>
          <w:tcPr>
            <w:tcW w:w="174" w:type="pct"/>
            <w:tcBorders>
              <w:top w:val="single" w:sz="6" w:space="0" w:color="auto"/>
              <w:left w:val="single" w:sz="6" w:space="0" w:color="auto"/>
              <w:bottom w:val="single" w:sz="6" w:space="0" w:color="auto"/>
              <w:right w:val="single" w:sz="6" w:space="0" w:color="auto"/>
            </w:tcBorders>
            <w:hideMark/>
          </w:tcPr>
          <w:p w14:paraId="09A5CCC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38AEE2F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2846C9D2"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3EB942D3"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644561B5"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0.043 </w:t>
            </w:r>
          </w:p>
        </w:tc>
        <w:tc>
          <w:tcPr>
            <w:tcW w:w="174" w:type="pct"/>
            <w:tcBorders>
              <w:top w:val="single" w:sz="6" w:space="0" w:color="auto"/>
              <w:left w:val="single" w:sz="6" w:space="0" w:color="auto"/>
              <w:bottom w:val="single" w:sz="6" w:space="0" w:color="auto"/>
              <w:right w:val="single" w:sz="6" w:space="0" w:color="auto"/>
            </w:tcBorders>
            <w:hideMark/>
          </w:tcPr>
          <w:p w14:paraId="54C23A6A"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0.035 </w:t>
            </w:r>
          </w:p>
        </w:tc>
        <w:tc>
          <w:tcPr>
            <w:tcW w:w="174" w:type="pct"/>
            <w:tcBorders>
              <w:top w:val="single" w:sz="6" w:space="0" w:color="auto"/>
              <w:left w:val="single" w:sz="6" w:space="0" w:color="auto"/>
              <w:bottom w:val="single" w:sz="6" w:space="0" w:color="auto"/>
              <w:right w:val="single" w:sz="6" w:space="0" w:color="auto"/>
            </w:tcBorders>
            <w:hideMark/>
          </w:tcPr>
          <w:p w14:paraId="3A47D04C"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700EBAA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001B06EA"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27E4F0B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0.021 </w:t>
            </w:r>
          </w:p>
        </w:tc>
        <w:tc>
          <w:tcPr>
            <w:tcW w:w="8" w:type="pct"/>
            <w:vAlign w:val="center"/>
            <w:hideMark/>
          </w:tcPr>
          <w:p w14:paraId="14F253D4" w14:textId="77777777" w:rsidR="00DB1AEE" w:rsidRPr="00DB1AEE" w:rsidRDefault="00DB1AEE" w:rsidP="00DB1AEE">
            <w:pPr>
              <w:widowControl w:val="0"/>
              <w:suppressAutoHyphens/>
              <w:autoSpaceDE w:val="0"/>
              <w:autoSpaceDN w:val="0"/>
              <w:jc w:val="left"/>
              <w:rPr>
                <w:bCs/>
                <w:iCs/>
                <w:sz w:val="18"/>
                <w:szCs w:val="18"/>
                <w:u w:val="single"/>
                <w:lang w:bidi="en-US"/>
              </w:rPr>
            </w:pPr>
          </w:p>
        </w:tc>
      </w:tr>
      <w:tr w:rsidR="00DB1AEE" w:rsidRPr="00DB1AEE" w14:paraId="3BE05C61" w14:textId="77777777" w:rsidTr="00FC1832">
        <w:trPr>
          <w:trHeight w:val="237"/>
        </w:trPr>
        <w:tc>
          <w:tcPr>
            <w:tcW w:w="665" w:type="pct"/>
            <w:tcBorders>
              <w:top w:val="single" w:sz="6" w:space="0" w:color="auto"/>
              <w:left w:val="single" w:sz="6" w:space="0" w:color="auto"/>
              <w:bottom w:val="single" w:sz="6" w:space="0" w:color="auto"/>
              <w:right w:val="single" w:sz="6" w:space="0" w:color="auto"/>
            </w:tcBorders>
            <w:hideMark/>
          </w:tcPr>
          <w:p w14:paraId="5A4B3A53"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30 </w:t>
            </w:r>
          </w:p>
        </w:tc>
        <w:tc>
          <w:tcPr>
            <w:tcW w:w="855" w:type="pct"/>
            <w:tcBorders>
              <w:top w:val="single" w:sz="6" w:space="0" w:color="auto"/>
              <w:left w:val="single" w:sz="6" w:space="0" w:color="auto"/>
              <w:bottom w:val="single" w:sz="6" w:space="0" w:color="auto"/>
              <w:right w:val="single" w:sz="6" w:space="0" w:color="auto"/>
            </w:tcBorders>
            <w:hideMark/>
          </w:tcPr>
          <w:p w14:paraId="1309641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0.118 </w:t>
            </w:r>
          </w:p>
        </w:tc>
        <w:tc>
          <w:tcPr>
            <w:tcW w:w="174" w:type="pct"/>
            <w:tcBorders>
              <w:top w:val="single" w:sz="6" w:space="0" w:color="auto"/>
              <w:left w:val="single" w:sz="6" w:space="0" w:color="auto"/>
              <w:bottom w:val="single" w:sz="6" w:space="0" w:color="auto"/>
              <w:right w:val="single" w:sz="6" w:space="0" w:color="auto"/>
            </w:tcBorders>
            <w:hideMark/>
          </w:tcPr>
          <w:p w14:paraId="6A5162FA"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0.105 </w:t>
            </w:r>
          </w:p>
        </w:tc>
        <w:tc>
          <w:tcPr>
            <w:tcW w:w="174" w:type="pct"/>
            <w:tcBorders>
              <w:top w:val="single" w:sz="6" w:space="0" w:color="auto"/>
              <w:left w:val="single" w:sz="6" w:space="0" w:color="auto"/>
              <w:bottom w:val="single" w:sz="6" w:space="0" w:color="auto"/>
              <w:right w:val="single" w:sz="6" w:space="0" w:color="auto"/>
            </w:tcBorders>
            <w:hideMark/>
          </w:tcPr>
          <w:p w14:paraId="4F4EF97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0.095 </w:t>
            </w:r>
          </w:p>
        </w:tc>
        <w:tc>
          <w:tcPr>
            <w:tcW w:w="174" w:type="pct"/>
            <w:tcBorders>
              <w:top w:val="single" w:sz="6" w:space="0" w:color="auto"/>
              <w:left w:val="single" w:sz="6" w:space="0" w:color="auto"/>
              <w:bottom w:val="single" w:sz="6" w:space="0" w:color="auto"/>
              <w:right w:val="single" w:sz="6" w:space="0" w:color="auto"/>
            </w:tcBorders>
            <w:hideMark/>
          </w:tcPr>
          <w:p w14:paraId="23C64D7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0.087 </w:t>
            </w:r>
          </w:p>
        </w:tc>
        <w:tc>
          <w:tcPr>
            <w:tcW w:w="174" w:type="pct"/>
            <w:tcBorders>
              <w:top w:val="single" w:sz="6" w:space="0" w:color="auto"/>
              <w:left w:val="single" w:sz="6" w:space="0" w:color="auto"/>
              <w:bottom w:val="single" w:sz="6" w:space="0" w:color="auto"/>
              <w:right w:val="single" w:sz="6" w:space="0" w:color="auto"/>
            </w:tcBorders>
            <w:hideMark/>
          </w:tcPr>
          <w:p w14:paraId="099676EC"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0.080 </w:t>
            </w:r>
          </w:p>
        </w:tc>
        <w:tc>
          <w:tcPr>
            <w:tcW w:w="174" w:type="pct"/>
            <w:tcBorders>
              <w:top w:val="single" w:sz="6" w:space="0" w:color="auto"/>
              <w:left w:val="single" w:sz="6" w:space="0" w:color="auto"/>
              <w:bottom w:val="single" w:sz="6" w:space="0" w:color="auto"/>
              <w:right w:val="single" w:sz="6" w:space="0" w:color="auto"/>
            </w:tcBorders>
            <w:hideMark/>
          </w:tcPr>
          <w:p w14:paraId="6C5CE10C"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0.074 </w:t>
            </w:r>
          </w:p>
        </w:tc>
        <w:tc>
          <w:tcPr>
            <w:tcW w:w="174" w:type="pct"/>
            <w:tcBorders>
              <w:top w:val="single" w:sz="6" w:space="0" w:color="auto"/>
              <w:left w:val="single" w:sz="6" w:space="0" w:color="auto"/>
              <w:bottom w:val="single" w:sz="6" w:space="0" w:color="auto"/>
              <w:right w:val="single" w:sz="6" w:space="0" w:color="auto"/>
            </w:tcBorders>
            <w:hideMark/>
          </w:tcPr>
          <w:p w14:paraId="423274B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0.069 </w:t>
            </w:r>
          </w:p>
        </w:tc>
        <w:tc>
          <w:tcPr>
            <w:tcW w:w="174" w:type="pct"/>
            <w:tcBorders>
              <w:top w:val="single" w:sz="6" w:space="0" w:color="auto"/>
              <w:left w:val="single" w:sz="6" w:space="0" w:color="auto"/>
              <w:bottom w:val="single" w:sz="6" w:space="0" w:color="auto"/>
              <w:right w:val="single" w:sz="6" w:space="0" w:color="auto"/>
            </w:tcBorders>
            <w:hideMark/>
          </w:tcPr>
          <w:p w14:paraId="24B50F0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0.065 </w:t>
            </w:r>
          </w:p>
        </w:tc>
        <w:tc>
          <w:tcPr>
            <w:tcW w:w="174" w:type="pct"/>
            <w:tcBorders>
              <w:top w:val="single" w:sz="6" w:space="0" w:color="auto"/>
              <w:left w:val="single" w:sz="6" w:space="0" w:color="auto"/>
              <w:bottom w:val="single" w:sz="6" w:space="0" w:color="auto"/>
              <w:right w:val="single" w:sz="6" w:space="0" w:color="auto"/>
            </w:tcBorders>
            <w:hideMark/>
          </w:tcPr>
          <w:p w14:paraId="510DC13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0.061 </w:t>
            </w:r>
          </w:p>
        </w:tc>
        <w:tc>
          <w:tcPr>
            <w:tcW w:w="174" w:type="pct"/>
            <w:tcBorders>
              <w:top w:val="single" w:sz="6" w:space="0" w:color="auto"/>
              <w:left w:val="single" w:sz="6" w:space="0" w:color="auto"/>
              <w:bottom w:val="single" w:sz="6" w:space="0" w:color="auto"/>
              <w:right w:val="single" w:sz="6" w:space="0" w:color="auto"/>
            </w:tcBorders>
            <w:hideMark/>
          </w:tcPr>
          <w:p w14:paraId="17B9BCF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0.057 </w:t>
            </w:r>
          </w:p>
        </w:tc>
        <w:tc>
          <w:tcPr>
            <w:tcW w:w="174" w:type="pct"/>
            <w:tcBorders>
              <w:top w:val="single" w:sz="6" w:space="0" w:color="auto"/>
              <w:left w:val="single" w:sz="6" w:space="0" w:color="auto"/>
              <w:bottom w:val="single" w:sz="6" w:space="0" w:color="auto"/>
              <w:right w:val="single" w:sz="6" w:space="0" w:color="auto"/>
            </w:tcBorders>
            <w:hideMark/>
          </w:tcPr>
          <w:p w14:paraId="4B91FCE2"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0.054 </w:t>
            </w:r>
          </w:p>
        </w:tc>
        <w:tc>
          <w:tcPr>
            <w:tcW w:w="174" w:type="pct"/>
            <w:tcBorders>
              <w:top w:val="single" w:sz="6" w:space="0" w:color="auto"/>
              <w:left w:val="single" w:sz="6" w:space="0" w:color="auto"/>
              <w:bottom w:val="single" w:sz="6" w:space="0" w:color="auto"/>
              <w:right w:val="single" w:sz="6" w:space="0" w:color="auto"/>
            </w:tcBorders>
            <w:hideMark/>
          </w:tcPr>
          <w:p w14:paraId="3A9F3EB2"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0A350F47"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3097DDC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4D22E91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4F55D99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0.043 </w:t>
            </w:r>
          </w:p>
        </w:tc>
        <w:tc>
          <w:tcPr>
            <w:tcW w:w="174" w:type="pct"/>
            <w:tcBorders>
              <w:top w:val="single" w:sz="6" w:space="0" w:color="auto"/>
              <w:left w:val="single" w:sz="6" w:space="0" w:color="auto"/>
              <w:bottom w:val="single" w:sz="6" w:space="0" w:color="auto"/>
              <w:right w:val="single" w:sz="6" w:space="0" w:color="auto"/>
            </w:tcBorders>
            <w:hideMark/>
          </w:tcPr>
          <w:p w14:paraId="2B8A8BA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0.035 </w:t>
            </w:r>
          </w:p>
        </w:tc>
        <w:tc>
          <w:tcPr>
            <w:tcW w:w="174" w:type="pct"/>
            <w:tcBorders>
              <w:top w:val="single" w:sz="6" w:space="0" w:color="auto"/>
              <w:left w:val="single" w:sz="6" w:space="0" w:color="auto"/>
              <w:bottom w:val="single" w:sz="6" w:space="0" w:color="auto"/>
              <w:right w:val="single" w:sz="6" w:space="0" w:color="auto"/>
            </w:tcBorders>
            <w:hideMark/>
          </w:tcPr>
          <w:p w14:paraId="7D1CEFF7"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5A2ED68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51EA014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19406FD1"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0.021 </w:t>
            </w:r>
          </w:p>
        </w:tc>
        <w:tc>
          <w:tcPr>
            <w:tcW w:w="8" w:type="pct"/>
            <w:vAlign w:val="center"/>
            <w:hideMark/>
          </w:tcPr>
          <w:p w14:paraId="580E6909" w14:textId="77777777" w:rsidR="00DB1AEE" w:rsidRPr="00DB1AEE" w:rsidRDefault="00DB1AEE" w:rsidP="00DB1AEE">
            <w:pPr>
              <w:widowControl w:val="0"/>
              <w:suppressAutoHyphens/>
              <w:autoSpaceDE w:val="0"/>
              <w:autoSpaceDN w:val="0"/>
              <w:jc w:val="left"/>
              <w:rPr>
                <w:bCs/>
                <w:iCs/>
                <w:sz w:val="18"/>
                <w:szCs w:val="18"/>
                <w:u w:val="single"/>
                <w:lang w:bidi="en-US"/>
              </w:rPr>
            </w:pPr>
          </w:p>
        </w:tc>
      </w:tr>
      <w:tr w:rsidR="00DB1AEE" w:rsidRPr="00DB1AEE" w14:paraId="5097FAA0" w14:textId="77777777" w:rsidTr="00FC1832">
        <w:trPr>
          <w:trHeight w:val="270"/>
        </w:trPr>
        <w:tc>
          <w:tcPr>
            <w:tcW w:w="5000" w:type="pct"/>
            <w:gridSpan w:val="23"/>
            <w:tcBorders>
              <w:top w:val="single" w:sz="6" w:space="0" w:color="auto"/>
              <w:left w:val="single" w:sz="6" w:space="0" w:color="auto"/>
              <w:bottom w:val="single" w:sz="6" w:space="0" w:color="auto"/>
              <w:right w:val="single" w:sz="6" w:space="0" w:color="auto"/>
            </w:tcBorders>
            <w:hideMark/>
          </w:tcPr>
          <w:p w14:paraId="2944D479"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Steel Framing at 24 in. on Center (18% Framing Factor)—includes framing for tracks, blocking, headers, and jamb and king studs </w:t>
            </w:r>
          </w:p>
        </w:tc>
      </w:tr>
      <w:tr w:rsidR="00DB1AEE" w:rsidRPr="00DB1AEE" w14:paraId="21B78968" w14:textId="77777777" w:rsidTr="00FC1832">
        <w:trPr>
          <w:trHeight w:val="228"/>
        </w:trPr>
        <w:tc>
          <w:tcPr>
            <w:tcW w:w="665" w:type="pct"/>
            <w:tcBorders>
              <w:top w:val="single" w:sz="6" w:space="0" w:color="auto"/>
              <w:left w:val="single" w:sz="6" w:space="0" w:color="auto"/>
              <w:bottom w:val="single" w:sz="6" w:space="0" w:color="auto"/>
              <w:right w:val="single" w:sz="6" w:space="0" w:color="auto"/>
            </w:tcBorders>
            <w:hideMark/>
          </w:tcPr>
          <w:p w14:paraId="7176AFB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0.9 </w:t>
            </w:r>
          </w:p>
        </w:tc>
        <w:tc>
          <w:tcPr>
            <w:tcW w:w="855" w:type="pct"/>
            <w:tcBorders>
              <w:top w:val="single" w:sz="6" w:space="0" w:color="auto"/>
              <w:left w:val="single" w:sz="6" w:space="0" w:color="auto"/>
              <w:bottom w:val="single" w:sz="6" w:space="0" w:color="auto"/>
              <w:right w:val="single" w:sz="6" w:space="0" w:color="auto"/>
            </w:tcBorders>
            <w:hideMark/>
          </w:tcPr>
          <w:p w14:paraId="713F759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0.348 </w:t>
            </w:r>
          </w:p>
        </w:tc>
        <w:tc>
          <w:tcPr>
            <w:tcW w:w="174" w:type="pct"/>
            <w:tcBorders>
              <w:top w:val="single" w:sz="6" w:space="0" w:color="auto"/>
              <w:left w:val="single" w:sz="6" w:space="0" w:color="auto"/>
              <w:bottom w:val="single" w:sz="6" w:space="0" w:color="auto"/>
              <w:right w:val="single" w:sz="6" w:space="0" w:color="auto"/>
            </w:tcBorders>
            <w:hideMark/>
          </w:tcPr>
          <w:p w14:paraId="2A8EFC9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0.258 </w:t>
            </w:r>
          </w:p>
        </w:tc>
        <w:tc>
          <w:tcPr>
            <w:tcW w:w="174" w:type="pct"/>
            <w:tcBorders>
              <w:top w:val="single" w:sz="6" w:space="0" w:color="auto"/>
              <w:left w:val="single" w:sz="6" w:space="0" w:color="auto"/>
              <w:bottom w:val="single" w:sz="6" w:space="0" w:color="auto"/>
              <w:right w:val="single" w:sz="6" w:space="0" w:color="auto"/>
            </w:tcBorders>
            <w:hideMark/>
          </w:tcPr>
          <w:p w14:paraId="4A7D2BDC"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0.205 </w:t>
            </w:r>
          </w:p>
        </w:tc>
        <w:tc>
          <w:tcPr>
            <w:tcW w:w="174" w:type="pct"/>
            <w:tcBorders>
              <w:top w:val="single" w:sz="6" w:space="0" w:color="auto"/>
              <w:left w:val="single" w:sz="6" w:space="0" w:color="auto"/>
              <w:bottom w:val="single" w:sz="6" w:space="0" w:color="auto"/>
              <w:right w:val="single" w:sz="6" w:space="0" w:color="auto"/>
            </w:tcBorders>
            <w:hideMark/>
          </w:tcPr>
          <w:p w14:paraId="3F086C31"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0.170 </w:t>
            </w:r>
          </w:p>
        </w:tc>
        <w:tc>
          <w:tcPr>
            <w:tcW w:w="174" w:type="pct"/>
            <w:tcBorders>
              <w:top w:val="single" w:sz="6" w:space="0" w:color="auto"/>
              <w:left w:val="single" w:sz="6" w:space="0" w:color="auto"/>
              <w:bottom w:val="single" w:sz="6" w:space="0" w:color="auto"/>
              <w:right w:val="single" w:sz="6" w:space="0" w:color="auto"/>
            </w:tcBorders>
            <w:hideMark/>
          </w:tcPr>
          <w:p w14:paraId="412B6267"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0.145 </w:t>
            </w:r>
          </w:p>
        </w:tc>
        <w:tc>
          <w:tcPr>
            <w:tcW w:w="174" w:type="pct"/>
            <w:tcBorders>
              <w:top w:val="single" w:sz="6" w:space="0" w:color="auto"/>
              <w:left w:val="single" w:sz="6" w:space="0" w:color="auto"/>
              <w:bottom w:val="single" w:sz="6" w:space="0" w:color="auto"/>
              <w:right w:val="single" w:sz="6" w:space="0" w:color="auto"/>
            </w:tcBorders>
            <w:hideMark/>
          </w:tcPr>
          <w:p w14:paraId="386AD1A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0.127 </w:t>
            </w:r>
          </w:p>
        </w:tc>
        <w:tc>
          <w:tcPr>
            <w:tcW w:w="174" w:type="pct"/>
            <w:tcBorders>
              <w:top w:val="single" w:sz="6" w:space="0" w:color="auto"/>
              <w:left w:val="single" w:sz="6" w:space="0" w:color="auto"/>
              <w:bottom w:val="single" w:sz="6" w:space="0" w:color="auto"/>
              <w:right w:val="single" w:sz="6" w:space="0" w:color="auto"/>
            </w:tcBorders>
            <w:hideMark/>
          </w:tcPr>
          <w:p w14:paraId="74F9AB09"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0.113 </w:t>
            </w:r>
          </w:p>
        </w:tc>
        <w:tc>
          <w:tcPr>
            <w:tcW w:w="174" w:type="pct"/>
            <w:tcBorders>
              <w:top w:val="single" w:sz="6" w:space="0" w:color="auto"/>
              <w:left w:val="single" w:sz="6" w:space="0" w:color="auto"/>
              <w:bottom w:val="single" w:sz="6" w:space="0" w:color="auto"/>
              <w:right w:val="single" w:sz="6" w:space="0" w:color="auto"/>
            </w:tcBorders>
            <w:hideMark/>
          </w:tcPr>
          <w:p w14:paraId="2923816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0.101 </w:t>
            </w:r>
          </w:p>
        </w:tc>
        <w:tc>
          <w:tcPr>
            <w:tcW w:w="174" w:type="pct"/>
            <w:tcBorders>
              <w:top w:val="single" w:sz="6" w:space="0" w:color="auto"/>
              <w:left w:val="single" w:sz="6" w:space="0" w:color="auto"/>
              <w:bottom w:val="single" w:sz="6" w:space="0" w:color="auto"/>
              <w:right w:val="single" w:sz="6" w:space="0" w:color="auto"/>
            </w:tcBorders>
            <w:hideMark/>
          </w:tcPr>
          <w:p w14:paraId="52279C63"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0.092 </w:t>
            </w:r>
          </w:p>
        </w:tc>
        <w:tc>
          <w:tcPr>
            <w:tcW w:w="174" w:type="pct"/>
            <w:tcBorders>
              <w:top w:val="single" w:sz="6" w:space="0" w:color="auto"/>
              <w:left w:val="single" w:sz="6" w:space="0" w:color="auto"/>
              <w:bottom w:val="single" w:sz="6" w:space="0" w:color="auto"/>
              <w:right w:val="single" w:sz="6" w:space="0" w:color="auto"/>
            </w:tcBorders>
            <w:hideMark/>
          </w:tcPr>
          <w:p w14:paraId="54A7719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0.084 </w:t>
            </w:r>
          </w:p>
        </w:tc>
        <w:tc>
          <w:tcPr>
            <w:tcW w:w="174" w:type="pct"/>
            <w:tcBorders>
              <w:top w:val="single" w:sz="6" w:space="0" w:color="auto"/>
              <w:left w:val="single" w:sz="6" w:space="0" w:color="auto"/>
              <w:bottom w:val="single" w:sz="6" w:space="0" w:color="auto"/>
              <w:right w:val="single" w:sz="6" w:space="0" w:color="auto"/>
            </w:tcBorders>
            <w:hideMark/>
          </w:tcPr>
          <w:p w14:paraId="36BE39E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0.078 </w:t>
            </w:r>
          </w:p>
        </w:tc>
        <w:tc>
          <w:tcPr>
            <w:tcW w:w="174" w:type="pct"/>
            <w:tcBorders>
              <w:top w:val="single" w:sz="6" w:space="0" w:color="auto"/>
              <w:left w:val="single" w:sz="6" w:space="0" w:color="auto"/>
              <w:bottom w:val="single" w:sz="6" w:space="0" w:color="auto"/>
              <w:right w:val="single" w:sz="6" w:space="0" w:color="auto"/>
            </w:tcBorders>
            <w:hideMark/>
          </w:tcPr>
          <w:p w14:paraId="3ABF15C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0.072 </w:t>
            </w:r>
          </w:p>
        </w:tc>
        <w:tc>
          <w:tcPr>
            <w:tcW w:w="174" w:type="pct"/>
            <w:tcBorders>
              <w:top w:val="single" w:sz="6" w:space="0" w:color="auto"/>
              <w:left w:val="single" w:sz="6" w:space="0" w:color="auto"/>
              <w:bottom w:val="single" w:sz="6" w:space="0" w:color="auto"/>
              <w:right w:val="single" w:sz="6" w:space="0" w:color="auto"/>
            </w:tcBorders>
            <w:hideMark/>
          </w:tcPr>
          <w:p w14:paraId="4FB421A1"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0.067 </w:t>
            </w:r>
          </w:p>
        </w:tc>
        <w:tc>
          <w:tcPr>
            <w:tcW w:w="174" w:type="pct"/>
            <w:tcBorders>
              <w:top w:val="single" w:sz="6" w:space="0" w:color="auto"/>
              <w:left w:val="single" w:sz="6" w:space="0" w:color="auto"/>
              <w:bottom w:val="single" w:sz="6" w:space="0" w:color="auto"/>
              <w:right w:val="single" w:sz="6" w:space="0" w:color="auto"/>
            </w:tcBorders>
            <w:hideMark/>
          </w:tcPr>
          <w:p w14:paraId="4C7AF441"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23F9487E"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2D5ECC5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28D0D7EE"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6EF88825"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4F8BE69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451AA931"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2AD99152"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0.023 </w:t>
            </w:r>
          </w:p>
        </w:tc>
        <w:tc>
          <w:tcPr>
            <w:tcW w:w="8" w:type="pct"/>
            <w:vAlign w:val="center"/>
            <w:hideMark/>
          </w:tcPr>
          <w:p w14:paraId="77A8CC6E" w14:textId="77777777" w:rsidR="00DB1AEE" w:rsidRPr="00DB1AEE" w:rsidRDefault="00DB1AEE" w:rsidP="00DB1AEE">
            <w:pPr>
              <w:widowControl w:val="0"/>
              <w:suppressAutoHyphens/>
              <w:autoSpaceDE w:val="0"/>
              <w:autoSpaceDN w:val="0"/>
              <w:jc w:val="left"/>
              <w:rPr>
                <w:bCs/>
                <w:iCs/>
                <w:sz w:val="18"/>
                <w:szCs w:val="18"/>
                <w:u w:val="single"/>
                <w:lang w:bidi="en-US"/>
              </w:rPr>
            </w:pPr>
          </w:p>
        </w:tc>
      </w:tr>
      <w:tr w:rsidR="00DB1AEE" w:rsidRPr="00DB1AEE" w14:paraId="159544BD" w14:textId="77777777" w:rsidTr="00FC1832">
        <w:trPr>
          <w:trHeight w:val="315"/>
        </w:trPr>
        <w:tc>
          <w:tcPr>
            <w:tcW w:w="665" w:type="pct"/>
            <w:tcBorders>
              <w:top w:val="single" w:sz="6" w:space="0" w:color="auto"/>
              <w:left w:val="single" w:sz="6" w:space="0" w:color="auto"/>
              <w:bottom w:val="single" w:sz="6" w:space="0" w:color="auto"/>
              <w:right w:val="single" w:sz="6" w:space="0" w:color="auto"/>
            </w:tcBorders>
            <w:hideMark/>
          </w:tcPr>
          <w:p w14:paraId="191F0E8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11 </w:t>
            </w:r>
          </w:p>
        </w:tc>
        <w:tc>
          <w:tcPr>
            <w:tcW w:w="855" w:type="pct"/>
            <w:tcBorders>
              <w:top w:val="single" w:sz="6" w:space="0" w:color="auto"/>
              <w:left w:val="single" w:sz="6" w:space="0" w:color="auto"/>
              <w:bottom w:val="single" w:sz="6" w:space="0" w:color="auto"/>
              <w:right w:val="single" w:sz="6" w:space="0" w:color="auto"/>
            </w:tcBorders>
            <w:hideMark/>
          </w:tcPr>
          <w:p w14:paraId="577E4B21"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0.137 </w:t>
            </w:r>
          </w:p>
        </w:tc>
        <w:tc>
          <w:tcPr>
            <w:tcW w:w="174" w:type="pct"/>
            <w:tcBorders>
              <w:top w:val="single" w:sz="6" w:space="0" w:color="auto"/>
              <w:left w:val="single" w:sz="6" w:space="0" w:color="auto"/>
              <w:bottom w:val="single" w:sz="6" w:space="0" w:color="auto"/>
              <w:right w:val="single" w:sz="6" w:space="0" w:color="auto"/>
            </w:tcBorders>
            <w:hideMark/>
          </w:tcPr>
          <w:p w14:paraId="23152042"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0.121 </w:t>
            </w:r>
          </w:p>
        </w:tc>
        <w:tc>
          <w:tcPr>
            <w:tcW w:w="174" w:type="pct"/>
            <w:tcBorders>
              <w:top w:val="single" w:sz="6" w:space="0" w:color="auto"/>
              <w:left w:val="single" w:sz="6" w:space="0" w:color="auto"/>
              <w:bottom w:val="single" w:sz="6" w:space="0" w:color="auto"/>
              <w:right w:val="single" w:sz="6" w:space="0" w:color="auto"/>
            </w:tcBorders>
            <w:hideMark/>
          </w:tcPr>
          <w:p w14:paraId="7C8353B2"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0.108 </w:t>
            </w:r>
          </w:p>
        </w:tc>
        <w:tc>
          <w:tcPr>
            <w:tcW w:w="174" w:type="pct"/>
            <w:tcBorders>
              <w:top w:val="single" w:sz="6" w:space="0" w:color="auto"/>
              <w:left w:val="single" w:sz="6" w:space="0" w:color="auto"/>
              <w:bottom w:val="single" w:sz="6" w:space="0" w:color="auto"/>
              <w:right w:val="single" w:sz="6" w:space="0" w:color="auto"/>
            </w:tcBorders>
            <w:hideMark/>
          </w:tcPr>
          <w:p w14:paraId="552EDE0E"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0.097 </w:t>
            </w:r>
          </w:p>
        </w:tc>
        <w:tc>
          <w:tcPr>
            <w:tcW w:w="174" w:type="pct"/>
            <w:tcBorders>
              <w:top w:val="single" w:sz="6" w:space="0" w:color="auto"/>
              <w:left w:val="single" w:sz="6" w:space="0" w:color="auto"/>
              <w:bottom w:val="single" w:sz="6" w:space="0" w:color="auto"/>
              <w:right w:val="single" w:sz="6" w:space="0" w:color="auto"/>
            </w:tcBorders>
            <w:hideMark/>
          </w:tcPr>
          <w:p w14:paraId="0209ABD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0.089 </w:t>
            </w:r>
          </w:p>
        </w:tc>
        <w:tc>
          <w:tcPr>
            <w:tcW w:w="174" w:type="pct"/>
            <w:tcBorders>
              <w:top w:val="single" w:sz="6" w:space="0" w:color="auto"/>
              <w:left w:val="single" w:sz="6" w:space="0" w:color="auto"/>
              <w:bottom w:val="single" w:sz="6" w:space="0" w:color="auto"/>
              <w:right w:val="single" w:sz="6" w:space="0" w:color="auto"/>
            </w:tcBorders>
            <w:hideMark/>
          </w:tcPr>
          <w:p w14:paraId="4810ED2E"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0.081 </w:t>
            </w:r>
          </w:p>
        </w:tc>
        <w:tc>
          <w:tcPr>
            <w:tcW w:w="174" w:type="pct"/>
            <w:tcBorders>
              <w:top w:val="single" w:sz="6" w:space="0" w:color="auto"/>
              <w:left w:val="single" w:sz="6" w:space="0" w:color="auto"/>
              <w:bottom w:val="single" w:sz="6" w:space="0" w:color="auto"/>
              <w:right w:val="single" w:sz="6" w:space="0" w:color="auto"/>
            </w:tcBorders>
            <w:hideMark/>
          </w:tcPr>
          <w:p w14:paraId="4C67D46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0.075 </w:t>
            </w:r>
          </w:p>
        </w:tc>
        <w:tc>
          <w:tcPr>
            <w:tcW w:w="174" w:type="pct"/>
            <w:tcBorders>
              <w:top w:val="single" w:sz="6" w:space="0" w:color="auto"/>
              <w:left w:val="single" w:sz="6" w:space="0" w:color="auto"/>
              <w:bottom w:val="single" w:sz="6" w:space="0" w:color="auto"/>
              <w:right w:val="single" w:sz="6" w:space="0" w:color="auto"/>
            </w:tcBorders>
            <w:hideMark/>
          </w:tcPr>
          <w:p w14:paraId="464C6A5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0.070 </w:t>
            </w:r>
          </w:p>
        </w:tc>
        <w:tc>
          <w:tcPr>
            <w:tcW w:w="174" w:type="pct"/>
            <w:tcBorders>
              <w:top w:val="single" w:sz="6" w:space="0" w:color="auto"/>
              <w:left w:val="single" w:sz="6" w:space="0" w:color="auto"/>
              <w:bottom w:val="single" w:sz="6" w:space="0" w:color="auto"/>
              <w:right w:val="single" w:sz="6" w:space="0" w:color="auto"/>
            </w:tcBorders>
            <w:hideMark/>
          </w:tcPr>
          <w:p w14:paraId="7C97FC77"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0.065 </w:t>
            </w:r>
          </w:p>
        </w:tc>
        <w:tc>
          <w:tcPr>
            <w:tcW w:w="174" w:type="pct"/>
            <w:tcBorders>
              <w:top w:val="single" w:sz="6" w:space="0" w:color="auto"/>
              <w:left w:val="single" w:sz="6" w:space="0" w:color="auto"/>
              <w:bottom w:val="single" w:sz="6" w:space="0" w:color="auto"/>
              <w:right w:val="single" w:sz="6" w:space="0" w:color="auto"/>
            </w:tcBorders>
            <w:hideMark/>
          </w:tcPr>
          <w:p w14:paraId="6DBD6D45"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0.061 </w:t>
            </w:r>
          </w:p>
        </w:tc>
        <w:tc>
          <w:tcPr>
            <w:tcW w:w="174" w:type="pct"/>
            <w:tcBorders>
              <w:top w:val="single" w:sz="6" w:space="0" w:color="auto"/>
              <w:left w:val="single" w:sz="6" w:space="0" w:color="auto"/>
              <w:bottom w:val="single" w:sz="6" w:space="0" w:color="auto"/>
              <w:right w:val="single" w:sz="6" w:space="0" w:color="auto"/>
            </w:tcBorders>
            <w:hideMark/>
          </w:tcPr>
          <w:p w14:paraId="1715DCA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0.058 </w:t>
            </w:r>
          </w:p>
        </w:tc>
        <w:tc>
          <w:tcPr>
            <w:tcW w:w="174" w:type="pct"/>
            <w:tcBorders>
              <w:top w:val="single" w:sz="6" w:space="0" w:color="auto"/>
              <w:left w:val="single" w:sz="6" w:space="0" w:color="auto"/>
              <w:bottom w:val="single" w:sz="6" w:space="0" w:color="auto"/>
              <w:right w:val="single" w:sz="6" w:space="0" w:color="auto"/>
            </w:tcBorders>
            <w:hideMark/>
          </w:tcPr>
          <w:p w14:paraId="3CBE3AB2"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0.055 </w:t>
            </w:r>
          </w:p>
        </w:tc>
        <w:tc>
          <w:tcPr>
            <w:tcW w:w="174" w:type="pct"/>
            <w:tcBorders>
              <w:top w:val="single" w:sz="6" w:space="0" w:color="auto"/>
              <w:left w:val="single" w:sz="6" w:space="0" w:color="auto"/>
              <w:bottom w:val="single" w:sz="6" w:space="0" w:color="auto"/>
              <w:right w:val="single" w:sz="6" w:space="0" w:color="auto"/>
            </w:tcBorders>
            <w:hideMark/>
          </w:tcPr>
          <w:p w14:paraId="68DEA49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405C29B7"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2AB91F8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1AFC6EC5"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6132296C"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0.037 </w:t>
            </w:r>
          </w:p>
        </w:tc>
        <w:tc>
          <w:tcPr>
            <w:tcW w:w="174" w:type="pct"/>
            <w:tcBorders>
              <w:top w:val="single" w:sz="6" w:space="0" w:color="auto"/>
              <w:left w:val="single" w:sz="6" w:space="0" w:color="auto"/>
              <w:bottom w:val="single" w:sz="6" w:space="0" w:color="auto"/>
              <w:right w:val="single" w:sz="6" w:space="0" w:color="auto"/>
            </w:tcBorders>
            <w:hideMark/>
          </w:tcPr>
          <w:p w14:paraId="5C6BF45E"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0.031 </w:t>
            </w:r>
          </w:p>
        </w:tc>
        <w:tc>
          <w:tcPr>
            <w:tcW w:w="174" w:type="pct"/>
            <w:tcBorders>
              <w:top w:val="single" w:sz="6" w:space="0" w:color="auto"/>
              <w:left w:val="single" w:sz="6" w:space="0" w:color="auto"/>
              <w:bottom w:val="single" w:sz="6" w:space="0" w:color="auto"/>
              <w:right w:val="single" w:sz="6" w:space="0" w:color="auto"/>
            </w:tcBorders>
            <w:hideMark/>
          </w:tcPr>
          <w:p w14:paraId="348A95B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439E3F9C"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0.024 </w:t>
            </w:r>
          </w:p>
        </w:tc>
        <w:tc>
          <w:tcPr>
            <w:tcW w:w="174" w:type="pct"/>
            <w:tcBorders>
              <w:top w:val="single" w:sz="6" w:space="0" w:color="auto"/>
              <w:left w:val="single" w:sz="6" w:space="0" w:color="auto"/>
              <w:bottom w:val="single" w:sz="6" w:space="0" w:color="auto"/>
              <w:right w:val="single" w:sz="6" w:space="0" w:color="auto"/>
            </w:tcBorders>
            <w:hideMark/>
          </w:tcPr>
          <w:p w14:paraId="28FB0B01"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0.021 </w:t>
            </w:r>
          </w:p>
        </w:tc>
        <w:tc>
          <w:tcPr>
            <w:tcW w:w="8" w:type="pct"/>
            <w:vAlign w:val="center"/>
            <w:hideMark/>
          </w:tcPr>
          <w:p w14:paraId="41E1FC35" w14:textId="77777777" w:rsidR="00DB1AEE" w:rsidRPr="00DB1AEE" w:rsidRDefault="00DB1AEE" w:rsidP="00DB1AEE">
            <w:pPr>
              <w:widowControl w:val="0"/>
              <w:suppressAutoHyphens/>
              <w:autoSpaceDE w:val="0"/>
              <w:autoSpaceDN w:val="0"/>
              <w:jc w:val="left"/>
              <w:rPr>
                <w:bCs/>
                <w:iCs/>
                <w:sz w:val="18"/>
                <w:szCs w:val="18"/>
                <w:u w:val="single"/>
                <w:lang w:bidi="en-US"/>
              </w:rPr>
            </w:pPr>
          </w:p>
        </w:tc>
      </w:tr>
      <w:tr w:rsidR="00DB1AEE" w:rsidRPr="00DB1AEE" w14:paraId="4E24FCD2" w14:textId="77777777" w:rsidTr="00FC1832">
        <w:trPr>
          <w:trHeight w:val="201"/>
        </w:trPr>
        <w:tc>
          <w:tcPr>
            <w:tcW w:w="665" w:type="pct"/>
            <w:tcBorders>
              <w:top w:val="single" w:sz="6" w:space="0" w:color="auto"/>
              <w:left w:val="single" w:sz="6" w:space="0" w:color="auto"/>
              <w:bottom w:val="single" w:sz="6" w:space="0" w:color="auto"/>
              <w:right w:val="single" w:sz="6" w:space="0" w:color="auto"/>
            </w:tcBorders>
            <w:hideMark/>
          </w:tcPr>
          <w:p w14:paraId="1A7AC51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13 </w:t>
            </w:r>
          </w:p>
        </w:tc>
        <w:tc>
          <w:tcPr>
            <w:tcW w:w="855" w:type="pct"/>
            <w:tcBorders>
              <w:top w:val="single" w:sz="6" w:space="0" w:color="auto"/>
              <w:left w:val="single" w:sz="6" w:space="0" w:color="auto"/>
              <w:bottom w:val="single" w:sz="6" w:space="0" w:color="auto"/>
              <w:right w:val="single" w:sz="6" w:space="0" w:color="auto"/>
            </w:tcBorders>
            <w:hideMark/>
          </w:tcPr>
          <w:p w14:paraId="72E74F81"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0.130 </w:t>
            </w:r>
          </w:p>
        </w:tc>
        <w:tc>
          <w:tcPr>
            <w:tcW w:w="174" w:type="pct"/>
            <w:tcBorders>
              <w:top w:val="single" w:sz="6" w:space="0" w:color="auto"/>
              <w:left w:val="single" w:sz="6" w:space="0" w:color="auto"/>
              <w:bottom w:val="single" w:sz="6" w:space="0" w:color="auto"/>
              <w:right w:val="single" w:sz="6" w:space="0" w:color="auto"/>
            </w:tcBorders>
            <w:hideMark/>
          </w:tcPr>
          <w:p w14:paraId="2EE1ED6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0.115 </w:t>
            </w:r>
          </w:p>
        </w:tc>
        <w:tc>
          <w:tcPr>
            <w:tcW w:w="174" w:type="pct"/>
            <w:tcBorders>
              <w:top w:val="single" w:sz="6" w:space="0" w:color="auto"/>
              <w:left w:val="single" w:sz="6" w:space="0" w:color="auto"/>
              <w:bottom w:val="single" w:sz="6" w:space="0" w:color="auto"/>
              <w:right w:val="single" w:sz="6" w:space="0" w:color="auto"/>
            </w:tcBorders>
            <w:hideMark/>
          </w:tcPr>
          <w:p w14:paraId="2C5CF3F7"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0.103 </w:t>
            </w:r>
          </w:p>
        </w:tc>
        <w:tc>
          <w:tcPr>
            <w:tcW w:w="174" w:type="pct"/>
            <w:tcBorders>
              <w:top w:val="single" w:sz="6" w:space="0" w:color="auto"/>
              <w:left w:val="single" w:sz="6" w:space="0" w:color="auto"/>
              <w:bottom w:val="single" w:sz="6" w:space="0" w:color="auto"/>
              <w:right w:val="single" w:sz="6" w:space="0" w:color="auto"/>
            </w:tcBorders>
            <w:hideMark/>
          </w:tcPr>
          <w:p w14:paraId="05080E05"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0.093 </w:t>
            </w:r>
          </w:p>
        </w:tc>
        <w:tc>
          <w:tcPr>
            <w:tcW w:w="174" w:type="pct"/>
            <w:tcBorders>
              <w:top w:val="single" w:sz="6" w:space="0" w:color="auto"/>
              <w:left w:val="single" w:sz="6" w:space="0" w:color="auto"/>
              <w:bottom w:val="single" w:sz="6" w:space="0" w:color="auto"/>
              <w:right w:val="single" w:sz="6" w:space="0" w:color="auto"/>
            </w:tcBorders>
            <w:hideMark/>
          </w:tcPr>
          <w:p w14:paraId="210E8DA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0.085 </w:t>
            </w:r>
          </w:p>
        </w:tc>
        <w:tc>
          <w:tcPr>
            <w:tcW w:w="174" w:type="pct"/>
            <w:tcBorders>
              <w:top w:val="single" w:sz="6" w:space="0" w:color="auto"/>
              <w:left w:val="single" w:sz="6" w:space="0" w:color="auto"/>
              <w:bottom w:val="single" w:sz="6" w:space="0" w:color="auto"/>
              <w:right w:val="single" w:sz="6" w:space="0" w:color="auto"/>
            </w:tcBorders>
            <w:hideMark/>
          </w:tcPr>
          <w:p w14:paraId="465C8C6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0.079 </w:t>
            </w:r>
          </w:p>
        </w:tc>
        <w:tc>
          <w:tcPr>
            <w:tcW w:w="174" w:type="pct"/>
            <w:tcBorders>
              <w:top w:val="single" w:sz="6" w:space="0" w:color="auto"/>
              <w:left w:val="single" w:sz="6" w:space="0" w:color="auto"/>
              <w:bottom w:val="single" w:sz="6" w:space="0" w:color="auto"/>
              <w:right w:val="single" w:sz="6" w:space="0" w:color="auto"/>
            </w:tcBorders>
            <w:hideMark/>
          </w:tcPr>
          <w:p w14:paraId="6783B56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0.073 </w:t>
            </w:r>
          </w:p>
        </w:tc>
        <w:tc>
          <w:tcPr>
            <w:tcW w:w="174" w:type="pct"/>
            <w:tcBorders>
              <w:top w:val="single" w:sz="6" w:space="0" w:color="auto"/>
              <w:left w:val="single" w:sz="6" w:space="0" w:color="auto"/>
              <w:bottom w:val="single" w:sz="6" w:space="0" w:color="auto"/>
              <w:right w:val="single" w:sz="6" w:space="0" w:color="auto"/>
            </w:tcBorders>
            <w:hideMark/>
          </w:tcPr>
          <w:p w14:paraId="42D3ADD3"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0.068 </w:t>
            </w:r>
          </w:p>
        </w:tc>
        <w:tc>
          <w:tcPr>
            <w:tcW w:w="174" w:type="pct"/>
            <w:tcBorders>
              <w:top w:val="single" w:sz="6" w:space="0" w:color="auto"/>
              <w:left w:val="single" w:sz="6" w:space="0" w:color="auto"/>
              <w:bottom w:val="single" w:sz="6" w:space="0" w:color="auto"/>
              <w:right w:val="single" w:sz="6" w:space="0" w:color="auto"/>
            </w:tcBorders>
            <w:hideMark/>
          </w:tcPr>
          <w:p w14:paraId="4DC05D5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0.064 </w:t>
            </w:r>
          </w:p>
        </w:tc>
        <w:tc>
          <w:tcPr>
            <w:tcW w:w="174" w:type="pct"/>
            <w:tcBorders>
              <w:top w:val="single" w:sz="6" w:space="0" w:color="auto"/>
              <w:left w:val="single" w:sz="6" w:space="0" w:color="auto"/>
              <w:bottom w:val="single" w:sz="6" w:space="0" w:color="auto"/>
              <w:right w:val="single" w:sz="6" w:space="0" w:color="auto"/>
            </w:tcBorders>
            <w:hideMark/>
          </w:tcPr>
          <w:p w14:paraId="67C94C02"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3075E98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368CC319"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512574DE"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250139D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3B15F5F5"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54897897"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38E428B9"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23FB2251"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0.031 </w:t>
            </w:r>
          </w:p>
        </w:tc>
        <w:tc>
          <w:tcPr>
            <w:tcW w:w="174" w:type="pct"/>
            <w:tcBorders>
              <w:top w:val="single" w:sz="6" w:space="0" w:color="auto"/>
              <w:left w:val="single" w:sz="6" w:space="0" w:color="auto"/>
              <w:bottom w:val="single" w:sz="6" w:space="0" w:color="auto"/>
              <w:right w:val="single" w:sz="6" w:space="0" w:color="auto"/>
            </w:tcBorders>
            <w:hideMark/>
          </w:tcPr>
          <w:p w14:paraId="7460407C"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2B96C4B1"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520486A7"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0.021 </w:t>
            </w:r>
          </w:p>
        </w:tc>
        <w:tc>
          <w:tcPr>
            <w:tcW w:w="8" w:type="pct"/>
            <w:vAlign w:val="center"/>
            <w:hideMark/>
          </w:tcPr>
          <w:p w14:paraId="12AE9208" w14:textId="77777777" w:rsidR="00DB1AEE" w:rsidRPr="00DB1AEE" w:rsidRDefault="00DB1AEE" w:rsidP="00DB1AEE">
            <w:pPr>
              <w:widowControl w:val="0"/>
              <w:suppressAutoHyphens/>
              <w:autoSpaceDE w:val="0"/>
              <w:autoSpaceDN w:val="0"/>
              <w:jc w:val="left"/>
              <w:rPr>
                <w:bCs/>
                <w:iCs/>
                <w:sz w:val="18"/>
                <w:szCs w:val="18"/>
                <w:u w:val="single"/>
                <w:lang w:bidi="en-US"/>
              </w:rPr>
            </w:pPr>
          </w:p>
        </w:tc>
      </w:tr>
      <w:tr w:rsidR="00DB1AEE" w:rsidRPr="00DB1AEE" w14:paraId="501B8385" w14:textId="77777777" w:rsidTr="00FC1832">
        <w:trPr>
          <w:trHeight w:val="228"/>
        </w:trPr>
        <w:tc>
          <w:tcPr>
            <w:tcW w:w="665" w:type="pct"/>
            <w:tcBorders>
              <w:top w:val="single" w:sz="6" w:space="0" w:color="auto"/>
              <w:left w:val="single" w:sz="6" w:space="0" w:color="auto"/>
              <w:bottom w:val="single" w:sz="6" w:space="0" w:color="auto"/>
              <w:right w:val="single" w:sz="6" w:space="0" w:color="auto"/>
            </w:tcBorders>
            <w:hideMark/>
          </w:tcPr>
          <w:p w14:paraId="7C03DBC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15 </w:t>
            </w:r>
          </w:p>
        </w:tc>
        <w:tc>
          <w:tcPr>
            <w:tcW w:w="855" w:type="pct"/>
            <w:tcBorders>
              <w:top w:val="single" w:sz="6" w:space="0" w:color="auto"/>
              <w:left w:val="single" w:sz="6" w:space="0" w:color="auto"/>
              <w:bottom w:val="single" w:sz="6" w:space="0" w:color="auto"/>
              <w:right w:val="single" w:sz="6" w:space="0" w:color="auto"/>
            </w:tcBorders>
            <w:hideMark/>
          </w:tcPr>
          <w:p w14:paraId="3B144DA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0.124 </w:t>
            </w:r>
          </w:p>
        </w:tc>
        <w:tc>
          <w:tcPr>
            <w:tcW w:w="174" w:type="pct"/>
            <w:tcBorders>
              <w:top w:val="single" w:sz="6" w:space="0" w:color="auto"/>
              <w:left w:val="single" w:sz="6" w:space="0" w:color="auto"/>
              <w:bottom w:val="single" w:sz="6" w:space="0" w:color="auto"/>
              <w:right w:val="single" w:sz="6" w:space="0" w:color="auto"/>
            </w:tcBorders>
            <w:hideMark/>
          </w:tcPr>
          <w:p w14:paraId="14F47F4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0.110 </w:t>
            </w:r>
          </w:p>
        </w:tc>
        <w:tc>
          <w:tcPr>
            <w:tcW w:w="174" w:type="pct"/>
            <w:tcBorders>
              <w:top w:val="single" w:sz="6" w:space="0" w:color="auto"/>
              <w:left w:val="single" w:sz="6" w:space="0" w:color="auto"/>
              <w:bottom w:val="single" w:sz="6" w:space="0" w:color="auto"/>
              <w:right w:val="single" w:sz="6" w:space="0" w:color="auto"/>
            </w:tcBorders>
            <w:hideMark/>
          </w:tcPr>
          <w:p w14:paraId="02C283D5"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0.099 </w:t>
            </w:r>
          </w:p>
        </w:tc>
        <w:tc>
          <w:tcPr>
            <w:tcW w:w="174" w:type="pct"/>
            <w:tcBorders>
              <w:top w:val="single" w:sz="6" w:space="0" w:color="auto"/>
              <w:left w:val="single" w:sz="6" w:space="0" w:color="auto"/>
              <w:bottom w:val="single" w:sz="6" w:space="0" w:color="auto"/>
              <w:right w:val="single" w:sz="6" w:space="0" w:color="auto"/>
            </w:tcBorders>
            <w:hideMark/>
          </w:tcPr>
          <w:p w14:paraId="7B48441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0.090 </w:t>
            </w:r>
          </w:p>
        </w:tc>
        <w:tc>
          <w:tcPr>
            <w:tcW w:w="174" w:type="pct"/>
            <w:tcBorders>
              <w:top w:val="single" w:sz="6" w:space="0" w:color="auto"/>
              <w:left w:val="single" w:sz="6" w:space="0" w:color="auto"/>
              <w:bottom w:val="single" w:sz="6" w:space="0" w:color="auto"/>
              <w:right w:val="single" w:sz="6" w:space="0" w:color="auto"/>
            </w:tcBorders>
            <w:hideMark/>
          </w:tcPr>
          <w:p w14:paraId="1E690BAA"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0.083 </w:t>
            </w:r>
          </w:p>
        </w:tc>
        <w:tc>
          <w:tcPr>
            <w:tcW w:w="174" w:type="pct"/>
            <w:tcBorders>
              <w:top w:val="single" w:sz="6" w:space="0" w:color="auto"/>
              <w:left w:val="single" w:sz="6" w:space="0" w:color="auto"/>
              <w:bottom w:val="single" w:sz="6" w:space="0" w:color="auto"/>
              <w:right w:val="single" w:sz="6" w:space="0" w:color="auto"/>
            </w:tcBorders>
            <w:hideMark/>
          </w:tcPr>
          <w:p w14:paraId="3EF13321"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0.077 </w:t>
            </w:r>
          </w:p>
        </w:tc>
        <w:tc>
          <w:tcPr>
            <w:tcW w:w="174" w:type="pct"/>
            <w:tcBorders>
              <w:top w:val="single" w:sz="6" w:space="0" w:color="auto"/>
              <w:left w:val="single" w:sz="6" w:space="0" w:color="auto"/>
              <w:bottom w:val="single" w:sz="6" w:space="0" w:color="auto"/>
              <w:right w:val="single" w:sz="6" w:space="0" w:color="auto"/>
            </w:tcBorders>
            <w:hideMark/>
          </w:tcPr>
          <w:p w14:paraId="46433F92"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0.071 </w:t>
            </w:r>
          </w:p>
        </w:tc>
        <w:tc>
          <w:tcPr>
            <w:tcW w:w="174" w:type="pct"/>
            <w:tcBorders>
              <w:top w:val="single" w:sz="6" w:space="0" w:color="auto"/>
              <w:left w:val="single" w:sz="6" w:space="0" w:color="auto"/>
              <w:bottom w:val="single" w:sz="6" w:space="0" w:color="auto"/>
              <w:right w:val="single" w:sz="6" w:space="0" w:color="auto"/>
            </w:tcBorders>
            <w:hideMark/>
          </w:tcPr>
          <w:p w14:paraId="1CEAA1E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0.066 </w:t>
            </w:r>
          </w:p>
        </w:tc>
        <w:tc>
          <w:tcPr>
            <w:tcW w:w="174" w:type="pct"/>
            <w:tcBorders>
              <w:top w:val="single" w:sz="6" w:space="0" w:color="auto"/>
              <w:left w:val="single" w:sz="6" w:space="0" w:color="auto"/>
              <w:bottom w:val="single" w:sz="6" w:space="0" w:color="auto"/>
              <w:right w:val="single" w:sz="6" w:space="0" w:color="auto"/>
            </w:tcBorders>
            <w:hideMark/>
          </w:tcPr>
          <w:p w14:paraId="7052CB6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0.062 </w:t>
            </w:r>
          </w:p>
        </w:tc>
        <w:tc>
          <w:tcPr>
            <w:tcW w:w="174" w:type="pct"/>
            <w:tcBorders>
              <w:top w:val="single" w:sz="6" w:space="0" w:color="auto"/>
              <w:left w:val="single" w:sz="6" w:space="0" w:color="auto"/>
              <w:bottom w:val="single" w:sz="6" w:space="0" w:color="auto"/>
              <w:right w:val="single" w:sz="6" w:space="0" w:color="auto"/>
            </w:tcBorders>
            <w:hideMark/>
          </w:tcPr>
          <w:p w14:paraId="3352F5A2"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10A6040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0.055 </w:t>
            </w:r>
          </w:p>
        </w:tc>
        <w:tc>
          <w:tcPr>
            <w:tcW w:w="174" w:type="pct"/>
            <w:tcBorders>
              <w:top w:val="single" w:sz="6" w:space="0" w:color="auto"/>
              <w:left w:val="single" w:sz="6" w:space="0" w:color="auto"/>
              <w:bottom w:val="single" w:sz="6" w:space="0" w:color="auto"/>
              <w:right w:val="single" w:sz="6" w:space="0" w:color="auto"/>
            </w:tcBorders>
            <w:hideMark/>
          </w:tcPr>
          <w:p w14:paraId="4BF5082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1247E12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0.050 </w:t>
            </w:r>
          </w:p>
        </w:tc>
        <w:tc>
          <w:tcPr>
            <w:tcW w:w="174" w:type="pct"/>
            <w:tcBorders>
              <w:top w:val="single" w:sz="6" w:space="0" w:color="auto"/>
              <w:left w:val="single" w:sz="6" w:space="0" w:color="auto"/>
              <w:bottom w:val="single" w:sz="6" w:space="0" w:color="auto"/>
              <w:right w:val="single" w:sz="6" w:space="0" w:color="auto"/>
            </w:tcBorders>
            <w:hideMark/>
          </w:tcPr>
          <w:p w14:paraId="6A951BC2"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7556E11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2105A2E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0.043 </w:t>
            </w:r>
          </w:p>
        </w:tc>
        <w:tc>
          <w:tcPr>
            <w:tcW w:w="174" w:type="pct"/>
            <w:tcBorders>
              <w:top w:val="single" w:sz="6" w:space="0" w:color="auto"/>
              <w:left w:val="single" w:sz="6" w:space="0" w:color="auto"/>
              <w:bottom w:val="single" w:sz="6" w:space="0" w:color="auto"/>
              <w:right w:val="single" w:sz="6" w:space="0" w:color="auto"/>
            </w:tcBorders>
            <w:hideMark/>
          </w:tcPr>
          <w:p w14:paraId="7047E583"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113CD21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6555A8B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2236F3F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313AF38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0.021 </w:t>
            </w:r>
          </w:p>
        </w:tc>
        <w:tc>
          <w:tcPr>
            <w:tcW w:w="8" w:type="pct"/>
            <w:vAlign w:val="center"/>
            <w:hideMark/>
          </w:tcPr>
          <w:p w14:paraId="3D9D2183" w14:textId="77777777" w:rsidR="00DB1AEE" w:rsidRPr="00DB1AEE" w:rsidRDefault="00DB1AEE" w:rsidP="00DB1AEE">
            <w:pPr>
              <w:widowControl w:val="0"/>
              <w:suppressAutoHyphens/>
              <w:autoSpaceDE w:val="0"/>
              <w:autoSpaceDN w:val="0"/>
              <w:jc w:val="left"/>
              <w:rPr>
                <w:bCs/>
                <w:iCs/>
                <w:sz w:val="18"/>
                <w:szCs w:val="18"/>
                <w:u w:val="single"/>
                <w:lang w:bidi="en-US"/>
              </w:rPr>
            </w:pPr>
          </w:p>
        </w:tc>
      </w:tr>
      <w:tr w:rsidR="00DB1AEE" w:rsidRPr="00DB1AEE" w14:paraId="2CDE9AB3" w14:textId="77777777" w:rsidTr="00FC1832">
        <w:trPr>
          <w:trHeight w:val="255"/>
        </w:trPr>
        <w:tc>
          <w:tcPr>
            <w:tcW w:w="665" w:type="pct"/>
            <w:tcBorders>
              <w:top w:val="single" w:sz="6" w:space="0" w:color="auto"/>
              <w:left w:val="single" w:sz="6" w:space="0" w:color="auto"/>
              <w:bottom w:val="single" w:sz="6" w:space="0" w:color="auto"/>
              <w:right w:val="single" w:sz="6" w:space="0" w:color="auto"/>
            </w:tcBorders>
            <w:hideMark/>
          </w:tcPr>
          <w:p w14:paraId="4A91527E"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19 </w:t>
            </w:r>
          </w:p>
        </w:tc>
        <w:tc>
          <w:tcPr>
            <w:tcW w:w="855" w:type="pct"/>
            <w:tcBorders>
              <w:top w:val="single" w:sz="6" w:space="0" w:color="auto"/>
              <w:left w:val="single" w:sz="6" w:space="0" w:color="auto"/>
              <w:bottom w:val="single" w:sz="6" w:space="0" w:color="auto"/>
              <w:right w:val="single" w:sz="6" w:space="0" w:color="auto"/>
            </w:tcBorders>
            <w:hideMark/>
          </w:tcPr>
          <w:p w14:paraId="4416890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0.116 </w:t>
            </w:r>
          </w:p>
        </w:tc>
        <w:tc>
          <w:tcPr>
            <w:tcW w:w="174" w:type="pct"/>
            <w:tcBorders>
              <w:top w:val="single" w:sz="6" w:space="0" w:color="auto"/>
              <w:left w:val="single" w:sz="6" w:space="0" w:color="auto"/>
              <w:bottom w:val="single" w:sz="6" w:space="0" w:color="auto"/>
              <w:right w:val="single" w:sz="6" w:space="0" w:color="auto"/>
            </w:tcBorders>
            <w:hideMark/>
          </w:tcPr>
          <w:p w14:paraId="2F94E3C2"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0.104 </w:t>
            </w:r>
          </w:p>
        </w:tc>
        <w:tc>
          <w:tcPr>
            <w:tcW w:w="174" w:type="pct"/>
            <w:tcBorders>
              <w:top w:val="single" w:sz="6" w:space="0" w:color="auto"/>
              <w:left w:val="single" w:sz="6" w:space="0" w:color="auto"/>
              <w:bottom w:val="single" w:sz="6" w:space="0" w:color="auto"/>
              <w:right w:val="single" w:sz="6" w:space="0" w:color="auto"/>
            </w:tcBorders>
            <w:hideMark/>
          </w:tcPr>
          <w:p w14:paraId="7DF2651C"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0.094 </w:t>
            </w:r>
          </w:p>
        </w:tc>
        <w:tc>
          <w:tcPr>
            <w:tcW w:w="174" w:type="pct"/>
            <w:tcBorders>
              <w:top w:val="single" w:sz="6" w:space="0" w:color="auto"/>
              <w:left w:val="single" w:sz="6" w:space="0" w:color="auto"/>
              <w:bottom w:val="single" w:sz="6" w:space="0" w:color="auto"/>
              <w:right w:val="single" w:sz="6" w:space="0" w:color="auto"/>
            </w:tcBorders>
            <w:hideMark/>
          </w:tcPr>
          <w:p w14:paraId="571DE8FE"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0.086 </w:t>
            </w:r>
          </w:p>
        </w:tc>
        <w:tc>
          <w:tcPr>
            <w:tcW w:w="174" w:type="pct"/>
            <w:tcBorders>
              <w:top w:val="single" w:sz="6" w:space="0" w:color="auto"/>
              <w:left w:val="single" w:sz="6" w:space="0" w:color="auto"/>
              <w:bottom w:val="single" w:sz="6" w:space="0" w:color="auto"/>
              <w:right w:val="single" w:sz="6" w:space="0" w:color="auto"/>
            </w:tcBorders>
            <w:hideMark/>
          </w:tcPr>
          <w:p w14:paraId="3180420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0.079 </w:t>
            </w:r>
          </w:p>
        </w:tc>
        <w:tc>
          <w:tcPr>
            <w:tcW w:w="174" w:type="pct"/>
            <w:tcBorders>
              <w:top w:val="single" w:sz="6" w:space="0" w:color="auto"/>
              <w:left w:val="single" w:sz="6" w:space="0" w:color="auto"/>
              <w:bottom w:val="single" w:sz="6" w:space="0" w:color="auto"/>
              <w:right w:val="single" w:sz="6" w:space="0" w:color="auto"/>
            </w:tcBorders>
            <w:hideMark/>
          </w:tcPr>
          <w:p w14:paraId="2070B8C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0.073 </w:t>
            </w:r>
          </w:p>
        </w:tc>
        <w:tc>
          <w:tcPr>
            <w:tcW w:w="174" w:type="pct"/>
            <w:tcBorders>
              <w:top w:val="single" w:sz="6" w:space="0" w:color="auto"/>
              <w:left w:val="single" w:sz="6" w:space="0" w:color="auto"/>
              <w:bottom w:val="single" w:sz="6" w:space="0" w:color="auto"/>
              <w:right w:val="single" w:sz="6" w:space="0" w:color="auto"/>
            </w:tcBorders>
            <w:hideMark/>
          </w:tcPr>
          <w:p w14:paraId="1F6DFF77"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0.068 </w:t>
            </w:r>
          </w:p>
        </w:tc>
        <w:tc>
          <w:tcPr>
            <w:tcW w:w="174" w:type="pct"/>
            <w:tcBorders>
              <w:top w:val="single" w:sz="6" w:space="0" w:color="auto"/>
              <w:left w:val="single" w:sz="6" w:space="0" w:color="auto"/>
              <w:bottom w:val="single" w:sz="6" w:space="0" w:color="auto"/>
              <w:right w:val="single" w:sz="6" w:space="0" w:color="auto"/>
            </w:tcBorders>
            <w:hideMark/>
          </w:tcPr>
          <w:p w14:paraId="59EE4927"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0.064 </w:t>
            </w:r>
          </w:p>
        </w:tc>
        <w:tc>
          <w:tcPr>
            <w:tcW w:w="174" w:type="pct"/>
            <w:tcBorders>
              <w:top w:val="single" w:sz="6" w:space="0" w:color="auto"/>
              <w:left w:val="single" w:sz="6" w:space="0" w:color="auto"/>
              <w:bottom w:val="single" w:sz="6" w:space="0" w:color="auto"/>
              <w:right w:val="single" w:sz="6" w:space="0" w:color="auto"/>
            </w:tcBorders>
            <w:hideMark/>
          </w:tcPr>
          <w:p w14:paraId="25793D9A"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373D0E05"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0.057 </w:t>
            </w:r>
          </w:p>
        </w:tc>
        <w:tc>
          <w:tcPr>
            <w:tcW w:w="174" w:type="pct"/>
            <w:tcBorders>
              <w:top w:val="single" w:sz="6" w:space="0" w:color="auto"/>
              <w:left w:val="single" w:sz="6" w:space="0" w:color="auto"/>
              <w:bottom w:val="single" w:sz="6" w:space="0" w:color="auto"/>
              <w:right w:val="single" w:sz="6" w:space="0" w:color="auto"/>
            </w:tcBorders>
            <w:hideMark/>
          </w:tcPr>
          <w:p w14:paraId="3C4F9DD3"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0.054 </w:t>
            </w:r>
          </w:p>
        </w:tc>
        <w:tc>
          <w:tcPr>
            <w:tcW w:w="174" w:type="pct"/>
            <w:tcBorders>
              <w:top w:val="single" w:sz="6" w:space="0" w:color="auto"/>
              <w:left w:val="single" w:sz="6" w:space="0" w:color="auto"/>
              <w:bottom w:val="single" w:sz="6" w:space="0" w:color="auto"/>
              <w:right w:val="single" w:sz="6" w:space="0" w:color="auto"/>
            </w:tcBorders>
            <w:hideMark/>
          </w:tcPr>
          <w:p w14:paraId="5566707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55F60DC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5B7C599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4C87150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753EBFC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03510AE5"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0.035 </w:t>
            </w:r>
          </w:p>
        </w:tc>
        <w:tc>
          <w:tcPr>
            <w:tcW w:w="174" w:type="pct"/>
            <w:tcBorders>
              <w:top w:val="single" w:sz="6" w:space="0" w:color="auto"/>
              <w:left w:val="single" w:sz="6" w:space="0" w:color="auto"/>
              <w:bottom w:val="single" w:sz="6" w:space="0" w:color="auto"/>
              <w:right w:val="single" w:sz="6" w:space="0" w:color="auto"/>
            </w:tcBorders>
            <w:hideMark/>
          </w:tcPr>
          <w:p w14:paraId="571BAA9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5B6B3912"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3B79417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35D0D7C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0.021 </w:t>
            </w:r>
          </w:p>
        </w:tc>
        <w:tc>
          <w:tcPr>
            <w:tcW w:w="8" w:type="pct"/>
            <w:vAlign w:val="center"/>
            <w:hideMark/>
          </w:tcPr>
          <w:p w14:paraId="27F2E8ED" w14:textId="77777777" w:rsidR="00DB1AEE" w:rsidRPr="00DB1AEE" w:rsidRDefault="00DB1AEE" w:rsidP="00DB1AEE">
            <w:pPr>
              <w:widowControl w:val="0"/>
              <w:suppressAutoHyphens/>
              <w:autoSpaceDE w:val="0"/>
              <w:autoSpaceDN w:val="0"/>
              <w:jc w:val="left"/>
              <w:rPr>
                <w:bCs/>
                <w:iCs/>
                <w:sz w:val="18"/>
                <w:szCs w:val="18"/>
                <w:u w:val="single"/>
                <w:lang w:bidi="en-US"/>
              </w:rPr>
            </w:pPr>
          </w:p>
        </w:tc>
      </w:tr>
      <w:tr w:rsidR="00DB1AEE" w:rsidRPr="00DB1AEE" w14:paraId="0B6A862D" w14:textId="77777777" w:rsidTr="00FC1832">
        <w:trPr>
          <w:trHeight w:val="291"/>
        </w:trPr>
        <w:tc>
          <w:tcPr>
            <w:tcW w:w="665" w:type="pct"/>
            <w:tcBorders>
              <w:top w:val="single" w:sz="6" w:space="0" w:color="auto"/>
              <w:left w:val="single" w:sz="6" w:space="0" w:color="auto"/>
              <w:bottom w:val="single" w:sz="6" w:space="0" w:color="auto"/>
              <w:right w:val="single" w:sz="6" w:space="0" w:color="auto"/>
            </w:tcBorders>
            <w:hideMark/>
          </w:tcPr>
          <w:p w14:paraId="72E18D41"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21 </w:t>
            </w:r>
          </w:p>
        </w:tc>
        <w:tc>
          <w:tcPr>
            <w:tcW w:w="855" w:type="pct"/>
            <w:tcBorders>
              <w:top w:val="single" w:sz="6" w:space="0" w:color="auto"/>
              <w:left w:val="single" w:sz="6" w:space="0" w:color="auto"/>
              <w:bottom w:val="single" w:sz="6" w:space="0" w:color="auto"/>
              <w:right w:val="single" w:sz="6" w:space="0" w:color="auto"/>
            </w:tcBorders>
            <w:hideMark/>
          </w:tcPr>
          <w:p w14:paraId="51F4FAB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0.113 </w:t>
            </w:r>
          </w:p>
        </w:tc>
        <w:tc>
          <w:tcPr>
            <w:tcW w:w="174" w:type="pct"/>
            <w:tcBorders>
              <w:top w:val="single" w:sz="6" w:space="0" w:color="auto"/>
              <w:left w:val="single" w:sz="6" w:space="0" w:color="auto"/>
              <w:bottom w:val="single" w:sz="6" w:space="0" w:color="auto"/>
              <w:right w:val="single" w:sz="6" w:space="0" w:color="auto"/>
            </w:tcBorders>
            <w:hideMark/>
          </w:tcPr>
          <w:p w14:paraId="3E42FAF3"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0.102 </w:t>
            </w:r>
          </w:p>
        </w:tc>
        <w:tc>
          <w:tcPr>
            <w:tcW w:w="174" w:type="pct"/>
            <w:tcBorders>
              <w:top w:val="single" w:sz="6" w:space="0" w:color="auto"/>
              <w:left w:val="single" w:sz="6" w:space="0" w:color="auto"/>
              <w:bottom w:val="single" w:sz="6" w:space="0" w:color="auto"/>
              <w:right w:val="single" w:sz="6" w:space="0" w:color="auto"/>
            </w:tcBorders>
            <w:hideMark/>
          </w:tcPr>
          <w:p w14:paraId="2AA20629"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0.092 </w:t>
            </w:r>
          </w:p>
        </w:tc>
        <w:tc>
          <w:tcPr>
            <w:tcW w:w="174" w:type="pct"/>
            <w:tcBorders>
              <w:top w:val="single" w:sz="6" w:space="0" w:color="auto"/>
              <w:left w:val="single" w:sz="6" w:space="0" w:color="auto"/>
              <w:bottom w:val="single" w:sz="6" w:space="0" w:color="auto"/>
              <w:right w:val="single" w:sz="6" w:space="0" w:color="auto"/>
            </w:tcBorders>
            <w:hideMark/>
          </w:tcPr>
          <w:p w14:paraId="24D30A1E"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0.084 </w:t>
            </w:r>
          </w:p>
        </w:tc>
        <w:tc>
          <w:tcPr>
            <w:tcW w:w="174" w:type="pct"/>
            <w:tcBorders>
              <w:top w:val="single" w:sz="6" w:space="0" w:color="auto"/>
              <w:left w:val="single" w:sz="6" w:space="0" w:color="auto"/>
              <w:bottom w:val="single" w:sz="6" w:space="0" w:color="auto"/>
              <w:right w:val="single" w:sz="6" w:space="0" w:color="auto"/>
            </w:tcBorders>
            <w:hideMark/>
          </w:tcPr>
          <w:p w14:paraId="4F37F5B7"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0.078 </w:t>
            </w:r>
          </w:p>
        </w:tc>
        <w:tc>
          <w:tcPr>
            <w:tcW w:w="174" w:type="pct"/>
            <w:tcBorders>
              <w:top w:val="single" w:sz="6" w:space="0" w:color="auto"/>
              <w:left w:val="single" w:sz="6" w:space="0" w:color="auto"/>
              <w:bottom w:val="single" w:sz="6" w:space="0" w:color="auto"/>
              <w:right w:val="single" w:sz="6" w:space="0" w:color="auto"/>
            </w:tcBorders>
            <w:hideMark/>
          </w:tcPr>
          <w:p w14:paraId="30DA5F0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0.072 </w:t>
            </w:r>
          </w:p>
        </w:tc>
        <w:tc>
          <w:tcPr>
            <w:tcW w:w="174" w:type="pct"/>
            <w:tcBorders>
              <w:top w:val="single" w:sz="6" w:space="0" w:color="auto"/>
              <w:left w:val="single" w:sz="6" w:space="0" w:color="auto"/>
              <w:bottom w:val="single" w:sz="6" w:space="0" w:color="auto"/>
              <w:right w:val="single" w:sz="6" w:space="0" w:color="auto"/>
            </w:tcBorders>
            <w:hideMark/>
          </w:tcPr>
          <w:p w14:paraId="447B3D9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0.067 </w:t>
            </w:r>
          </w:p>
        </w:tc>
        <w:tc>
          <w:tcPr>
            <w:tcW w:w="174" w:type="pct"/>
            <w:tcBorders>
              <w:top w:val="single" w:sz="6" w:space="0" w:color="auto"/>
              <w:left w:val="single" w:sz="6" w:space="0" w:color="auto"/>
              <w:bottom w:val="single" w:sz="6" w:space="0" w:color="auto"/>
              <w:right w:val="single" w:sz="6" w:space="0" w:color="auto"/>
            </w:tcBorders>
            <w:hideMark/>
          </w:tcPr>
          <w:p w14:paraId="46F6CBB5"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04F1B04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47045F3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0DC6CA5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1E4DD01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0.050 </w:t>
            </w:r>
          </w:p>
        </w:tc>
        <w:tc>
          <w:tcPr>
            <w:tcW w:w="174" w:type="pct"/>
            <w:tcBorders>
              <w:top w:val="single" w:sz="6" w:space="0" w:color="auto"/>
              <w:left w:val="single" w:sz="6" w:space="0" w:color="auto"/>
              <w:bottom w:val="single" w:sz="6" w:space="0" w:color="auto"/>
              <w:right w:val="single" w:sz="6" w:space="0" w:color="auto"/>
            </w:tcBorders>
            <w:hideMark/>
          </w:tcPr>
          <w:p w14:paraId="2A33C8D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1FAC771C"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36623DF2"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71EF3F6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02607877"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0.035 </w:t>
            </w:r>
          </w:p>
        </w:tc>
        <w:tc>
          <w:tcPr>
            <w:tcW w:w="174" w:type="pct"/>
            <w:tcBorders>
              <w:top w:val="single" w:sz="6" w:space="0" w:color="auto"/>
              <w:left w:val="single" w:sz="6" w:space="0" w:color="auto"/>
              <w:bottom w:val="single" w:sz="6" w:space="0" w:color="auto"/>
              <w:right w:val="single" w:sz="6" w:space="0" w:color="auto"/>
            </w:tcBorders>
            <w:hideMark/>
          </w:tcPr>
          <w:p w14:paraId="49FA0E2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18FCB181"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31325E1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74510D25"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0.020 </w:t>
            </w:r>
          </w:p>
        </w:tc>
        <w:tc>
          <w:tcPr>
            <w:tcW w:w="8" w:type="pct"/>
            <w:vAlign w:val="center"/>
            <w:hideMark/>
          </w:tcPr>
          <w:p w14:paraId="64722E63" w14:textId="77777777" w:rsidR="00DB1AEE" w:rsidRPr="00DB1AEE" w:rsidRDefault="00DB1AEE" w:rsidP="00DB1AEE">
            <w:pPr>
              <w:widowControl w:val="0"/>
              <w:suppressAutoHyphens/>
              <w:autoSpaceDE w:val="0"/>
              <w:autoSpaceDN w:val="0"/>
              <w:jc w:val="left"/>
              <w:rPr>
                <w:bCs/>
                <w:iCs/>
                <w:sz w:val="18"/>
                <w:szCs w:val="18"/>
                <w:u w:val="single"/>
                <w:lang w:bidi="en-US"/>
              </w:rPr>
            </w:pPr>
          </w:p>
        </w:tc>
      </w:tr>
      <w:tr w:rsidR="00DB1AEE" w:rsidRPr="00DB1AEE" w14:paraId="1FC5C19B" w14:textId="77777777" w:rsidTr="00FC1832">
        <w:trPr>
          <w:trHeight w:val="165"/>
        </w:trPr>
        <w:tc>
          <w:tcPr>
            <w:tcW w:w="665" w:type="pct"/>
            <w:tcBorders>
              <w:top w:val="single" w:sz="6" w:space="0" w:color="auto"/>
              <w:left w:val="single" w:sz="6" w:space="0" w:color="auto"/>
              <w:bottom w:val="single" w:sz="6" w:space="0" w:color="auto"/>
              <w:right w:val="single" w:sz="6" w:space="0" w:color="auto"/>
            </w:tcBorders>
            <w:hideMark/>
          </w:tcPr>
          <w:p w14:paraId="10AA29A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25 </w:t>
            </w:r>
          </w:p>
        </w:tc>
        <w:tc>
          <w:tcPr>
            <w:tcW w:w="855" w:type="pct"/>
            <w:tcBorders>
              <w:top w:val="single" w:sz="6" w:space="0" w:color="auto"/>
              <w:left w:val="single" w:sz="6" w:space="0" w:color="auto"/>
              <w:bottom w:val="single" w:sz="6" w:space="0" w:color="auto"/>
              <w:right w:val="single" w:sz="6" w:space="0" w:color="auto"/>
            </w:tcBorders>
            <w:hideMark/>
          </w:tcPr>
          <w:p w14:paraId="6B0C4261"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0.109 </w:t>
            </w:r>
          </w:p>
        </w:tc>
        <w:tc>
          <w:tcPr>
            <w:tcW w:w="174" w:type="pct"/>
            <w:tcBorders>
              <w:top w:val="single" w:sz="6" w:space="0" w:color="auto"/>
              <w:left w:val="single" w:sz="6" w:space="0" w:color="auto"/>
              <w:bottom w:val="single" w:sz="6" w:space="0" w:color="auto"/>
              <w:right w:val="single" w:sz="6" w:space="0" w:color="auto"/>
            </w:tcBorders>
            <w:hideMark/>
          </w:tcPr>
          <w:p w14:paraId="505B803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0.098 </w:t>
            </w:r>
          </w:p>
        </w:tc>
        <w:tc>
          <w:tcPr>
            <w:tcW w:w="174" w:type="pct"/>
            <w:tcBorders>
              <w:top w:val="single" w:sz="6" w:space="0" w:color="auto"/>
              <w:left w:val="single" w:sz="6" w:space="0" w:color="auto"/>
              <w:bottom w:val="single" w:sz="6" w:space="0" w:color="auto"/>
              <w:right w:val="single" w:sz="6" w:space="0" w:color="auto"/>
            </w:tcBorders>
            <w:hideMark/>
          </w:tcPr>
          <w:p w14:paraId="6152BD4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0.089 </w:t>
            </w:r>
          </w:p>
        </w:tc>
        <w:tc>
          <w:tcPr>
            <w:tcW w:w="174" w:type="pct"/>
            <w:tcBorders>
              <w:top w:val="single" w:sz="6" w:space="0" w:color="auto"/>
              <w:left w:val="single" w:sz="6" w:space="0" w:color="auto"/>
              <w:bottom w:val="single" w:sz="6" w:space="0" w:color="auto"/>
              <w:right w:val="single" w:sz="6" w:space="0" w:color="auto"/>
            </w:tcBorders>
            <w:hideMark/>
          </w:tcPr>
          <w:p w14:paraId="3E34644C"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0.082 </w:t>
            </w:r>
          </w:p>
        </w:tc>
        <w:tc>
          <w:tcPr>
            <w:tcW w:w="174" w:type="pct"/>
            <w:tcBorders>
              <w:top w:val="single" w:sz="6" w:space="0" w:color="auto"/>
              <w:left w:val="single" w:sz="6" w:space="0" w:color="auto"/>
              <w:bottom w:val="single" w:sz="6" w:space="0" w:color="auto"/>
              <w:right w:val="single" w:sz="6" w:space="0" w:color="auto"/>
            </w:tcBorders>
            <w:hideMark/>
          </w:tcPr>
          <w:p w14:paraId="7AF89C1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0.076 </w:t>
            </w:r>
          </w:p>
        </w:tc>
        <w:tc>
          <w:tcPr>
            <w:tcW w:w="174" w:type="pct"/>
            <w:tcBorders>
              <w:top w:val="single" w:sz="6" w:space="0" w:color="auto"/>
              <w:left w:val="single" w:sz="6" w:space="0" w:color="auto"/>
              <w:bottom w:val="single" w:sz="6" w:space="0" w:color="auto"/>
              <w:right w:val="single" w:sz="6" w:space="0" w:color="auto"/>
            </w:tcBorders>
            <w:hideMark/>
          </w:tcPr>
          <w:p w14:paraId="2E88E81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0.070 </w:t>
            </w:r>
          </w:p>
        </w:tc>
        <w:tc>
          <w:tcPr>
            <w:tcW w:w="174" w:type="pct"/>
            <w:tcBorders>
              <w:top w:val="single" w:sz="6" w:space="0" w:color="auto"/>
              <w:left w:val="single" w:sz="6" w:space="0" w:color="auto"/>
              <w:bottom w:val="single" w:sz="6" w:space="0" w:color="auto"/>
              <w:right w:val="single" w:sz="6" w:space="0" w:color="auto"/>
            </w:tcBorders>
            <w:hideMark/>
          </w:tcPr>
          <w:p w14:paraId="553C63A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0.066 </w:t>
            </w:r>
          </w:p>
        </w:tc>
        <w:tc>
          <w:tcPr>
            <w:tcW w:w="174" w:type="pct"/>
            <w:tcBorders>
              <w:top w:val="single" w:sz="6" w:space="0" w:color="auto"/>
              <w:left w:val="single" w:sz="6" w:space="0" w:color="auto"/>
              <w:bottom w:val="single" w:sz="6" w:space="0" w:color="auto"/>
              <w:right w:val="single" w:sz="6" w:space="0" w:color="auto"/>
            </w:tcBorders>
            <w:hideMark/>
          </w:tcPr>
          <w:p w14:paraId="08C767A5"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0.062 </w:t>
            </w:r>
          </w:p>
        </w:tc>
        <w:tc>
          <w:tcPr>
            <w:tcW w:w="174" w:type="pct"/>
            <w:tcBorders>
              <w:top w:val="single" w:sz="6" w:space="0" w:color="auto"/>
              <w:left w:val="single" w:sz="6" w:space="0" w:color="auto"/>
              <w:bottom w:val="single" w:sz="6" w:space="0" w:color="auto"/>
              <w:right w:val="single" w:sz="6" w:space="0" w:color="auto"/>
            </w:tcBorders>
            <w:hideMark/>
          </w:tcPr>
          <w:p w14:paraId="64DFC8F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0.058 </w:t>
            </w:r>
          </w:p>
        </w:tc>
        <w:tc>
          <w:tcPr>
            <w:tcW w:w="174" w:type="pct"/>
            <w:tcBorders>
              <w:top w:val="single" w:sz="6" w:space="0" w:color="auto"/>
              <w:left w:val="single" w:sz="6" w:space="0" w:color="auto"/>
              <w:bottom w:val="single" w:sz="6" w:space="0" w:color="auto"/>
              <w:right w:val="single" w:sz="6" w:space="0" w:color="auto"/>
            </w:tcBorders>
            <w:hideMark/>
          </w:tcPr>
          <w:p w14:paraId="782E2D2E"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0.055 </w:t>
            </w:r>
          </w:p>
        </w:tc>
        <w:tc>
          <w:tcPr>
            <w:tcW w:w="174" w:type="pct"/>
            <w:tcBorders>
              <w:top w:val="single" w:sz="6" w:space="0" w:color="auto"/>
              <w:left w:val="single" w:sz="6" w:space="0" w:color="auto"/>
              <w:bottom w:val="single" w:sz="6" w:space="0" w:color="auto"/>
              <w:right w:val="single" w:sz="6" w:space="0" w:color="auto"/>
            </w:tcBorders>
            <w:hideMark/>
          </w:tcPr>
          <w:p w14:paraId="1E884269"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6C6883FE"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009C9CEA"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133C7761"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11BC8AD3"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0.043 </w:t>
            </w:r>
          </w:p>
        </w:tc>
        <w:tc>
          <w:tcPr>
            <w:tcW w:w="174" w:type="pct"/>
            <w:tcBorders>
              <w:top w:val="single" w:sz="6" w:space="0" w:color="auto"/>
              <w:left w:val="single" w:sz="6" w:space="0" w:color="auto"/>
              <w:bottom w:val="single" w:sz="6" w:space="0" w:color="auto"/>
              <w:right w:val="single" w:sz="6" w:space="0" w:color="auto"/>
            </w:tcBorders>
            <w:hideMark/>
          </w:tcPr>
          <w:p w14:paraId="092683AE"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0.041 </w:t>
            </w:r>
          </w:p>
        </w:tc>
        <w:tc>
          <w:tcPr>
            <w:tcW w:w="174" w:type="pct"/>
            <w:tcBorders>
              <w:top w:val="single" w:sz="6" w:space="0" w:color="auto"/>
              <w:left w:val="single" w:sz="6" w:space="0" w:color="auto"/>
              <w:bottom w:val="single" w:sz="6" w:space="0" w:color="auto"/>
              <w:right w:val="single" w:sz="6" w:space="0" w:color="auto"/>
            </w:tcBorders>
            <w:hideMark/>
          </w:tcPr>
          <w:p w14:paraId="25965CD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0.034 </w:t>
            </w:r>
          </w:p>
        </w:tc>
        <w:tc>
          <w:tcPr>
            <w:tcW w:w="174" w:type="pct"/>
            <w:tcBorders>
              <w:top w:val="single" w:sz="6" w:space="0" w:color="auto"/>
              <w:left w:val="single" w:sz="6" w:space="0" w:color="auto"/>
              <w:bottom w:val="single" w:sz="6" w:space="0" w:color="auto"/>
              <w:right w:val="single" w:sz="6" w:space="0" w:color="auto"/>
            </w:tcBorders>
            <w:hideMark/>
          </w:tcPr>
          <w:p w14:paraId="1473EC19"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0.029 </w:t>
            </w:r>
          </w:p>
        </w:tc>
        <w:tc>
          <w:tcPr>
            <w:tcW w:w="174" w:type="pct"/>
            <w:tcBorders>
              <w:top w:val="single" w:sz="6" w:space="0" w:color="auto"/>
              <w:left w:val="single" w:sz="6" w:space="0" w:color="auto"/>
              <w:bottom w:val="single" w:sz="6" w:space="0" w:color="auto"/>
              <w:right w:val="single" w:sz="6" w:space="0" w:color="auto"/>
            </w:tcBorders>
            <w:hideMark/>
          </w:tcPr>
          <w:p w14:paraId="3E354A52"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1D70F5B5"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118EEEA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0.020 </w:t>
            </w:r>
          </w:p>
        </w:tc>
        <w:tc>
          <w:tcPr>
            <w:tcW w:w="8" w:type="pct"/>
            <w:vAlign w:val="center"/>
            <w:hideMark/>
          </w:tcPr>
          <w:p w14:paraId="33675F74" w14:textId="77777777" w:rsidR="00DB1AEE" w:rsidRPr="00DB1AEE" w:rsidRDefault="00DB1AEE" w:rsidP="00DB1AEE">
            <w:pPr>
              <w:widowControl w:val="0"/>
              <w:suppressAutoHyphens/>
              <w:autoSpaceDE w:val="0"/>
              <w:autoSpaceDN w:val="0"/>
              <w:jc w:val="left"/>
              <w:rPr>
                <w:bCs/>
                <w:iCs/>
                <w:sz w:val="18"/>
                <w:szCs w:val="18"/>
                <w:u w:val="single"/>
                <w:lang w:bidi="en-US"/>
              </w:rPr>
            </w:pPr>
          </w:p>
        </w:tc>
      </w:tr>
      <w:tr w:rsidR="00DB1AEE" w:rsidRPr="00DB1AEE" w14:paraId="55850F56" w14:textId="77777777" w:rsidTr="00FC1832">
        <w:trPr>
          <w:trHeight w:val="192"/>
        </w:trPr>
        <w:tc>
          <w:tcPr>
            <w:tcW w:w="665" w:type="pct"/>
            <w:tcBorders>
              <w:top w:val="single" w:sz="6" w:space="0" w:color="auto"/>
              <w:left w:val="single" w:sz="6" w:space="0" w:color="auto"/>
              <w:bottom w:val="single" w:sz="6" w:space="0" w:color="auto"/>
              <w:right w:val="single" w:sz="6" w:space="0" w:color="auto"/>
            </w:tcBorders>
            <w:hideMark/>
          </w:tcPr>
          <w:p w14:paraId="00A11055"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30 </w:t>
            </w:r>
          </w:p>
        </w:tc>
        <w:tc>
          <w:tcPr>
            <w:tcW w:w="855" w:type="pct"/>
            <w:tcBorders>
              <w:top w:val="single" w:sz="6" w:space="0" w:color="auto"/>
              <w:left w:val="single" w:sz="6" w:space="0" w:color="auto"/>
              <w:bottom w:val="single" w:sz="6" w:space="0" w:color="auto"/>
              <w:right w:val="single" w:sz="6" w:space="0" w:color="auto"/>
            </w:tcBorders>
            <w:hideMark/>
          </w:tcPr>
          <w:p w14:paraId="3DFC491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0.105 </w:t>
            </w:r>
          </w:p>
        </w:tc>
        <w:tc>
          <w:tcPr>
            <w:tcW w:w="174" w:type="pct"/>
            <w:tcBorders>
              <w:top w:val="single" w:sz="6" w:space="0" w:color="auto"/>
              <w:left w:val="single" w:sz="6" w:space="0" w:color="auto"/>
              <w:bottom w:val="single" w:sz="6" w:space="0" w:color="auto"/>
              <w:right w:val="single" w:sz="6" w:space="0" w:color="auto"/>
            </w:tcBorders>
            <w:hideMark/>
          </w:tcPr>
          <w:p w14:paraId="128E059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0.095 </w:t>
            </w:r>
          </w:p>
        </w:tc>
        <w:tc>
          <w:tcPr>
            <w:tcW w:w="174" w:type="pct"/>
            <w:tcBorders>
              <w:top w:val="single" w:sz="6" w:space="0" w:color="auto"/>
              <w:left w:val="single" w:sz="6" w:space="0" w:color="auto"/>
              <w:bottom w:val="single" w:sz="6" w:space="0" w:color="auto"/>
              <w:right w:val="single" w:sz="6" w:space="0" w:color="auto"/>
            </w:tcBorders>
            <w:hideMark/>
          </w:tcPr>
          <w:p w14:paraId="6D79B3FE"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0.086 </w:t>
            </w:r>
          </w:p>
        </w:tc>
        <w:tc>
          <w:tcPr>
            <w:tcW w:w="174" w:type="pct"/>
            <w:tcBorders>
              <w:top w:val="single" w:sz="6" w:space="0" w:color="auto"/>
              <w:left w:val="single" w:sz="6" w:space="0" w:color="auto"/>
              <w:bottom w:val="single" w:sz="6" w:space="0" w:color="auto"/>
              <w:right w:val="single" w:sz="6" w:space="0" w:color="auto"/>
            </w:tcBorders>
            <w:hideMark/>
          </w:tcPr>
          <w:p w14:paraId="70FB095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0.080 </w:t>
            </w:r>
          </w:p>
        </w:tc>
        <w:tc>
          <w:tcPr>
            <w:tcW w:w="174" w:type="pct"/>
            <w:tcBorders>
              <w:top w:val="single" w:sz="6" w:space="0" w:color="auto"/>
              <w:left w:val="single" w:sz="6" w:space="0" w:color="auto"/>
              <w:bottom w:val="single" w:sz="6" w:space="0" w:color="auto"/>
              <w:right w:val="single" w:sz="6" w:space="0" w:color="auto"/>
            </w:tcBorders>
            <w:hideMark/>
          </w:tcPr>
          <w:p w14:paraId="69A12D95"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0.074 </w:t>
            </w:r>
          </w:p>
        </w:tc>
        <w:tc>
          <w:tcPr>
            <w:tcW w:w="174" w:type="pct"/>
            <w:tcBorders>
              <w:top w:val="single" w:sz="6" w:space="0" w:color="auto"/>
              <w:left w:val="single" w:sz="6" w:space="0" w:color="auto"/>
              <w:bottom w:val="single" w:sz="6" w:space="0" w:color="auto"/>
              <w:right w:val="single" w:sz="6" w:space="0" w:color="auto"/>
            </w:tcBorders>
            <w:hideMark/>
          </w:tcPr>
          <w:p w14:paraId="675EA02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0.069 </w:t>
            </w:r>
          </w:p>
        </w:tc>
        <w:tc>
          <w:tcPr>
            <w:tcW w:w="174" w:type="pct"/>
            <w:tcBorders>
              <w:top w:val="single" w:sz="6" w:space="0" w:color="auto"/>
              <w:left w:val="single" w:sz="6" w:space="0" w:color="auto"/>
              <w:bottom w:val="single" w:sz="6" w:space="0" w:color="auto"/>
              <w:right w:val="single" w:sz="6" w:space="0" w:color="auto"/>
            </w:tcBorders>
            <w:hideMark/>
          </w:tcPr>
          <w:p w14:paraId="34327E5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0.064 </w:t>
            </w:r>
          </w:p>
        </w:tc>
        <w:tc>
          <w:tcPr>
            <w:tcW w:w="174" w:type="pct"/>
            <w:tcBorders>
              <w:top w:val="single" w:sz="6" w:space="0" w:color="auto"/>
              <w:left w:val="single" w:sz="6" w:space="0" w:color="auto"/>
              <w:bottom w:val="single" w:sz="6" w:space="0" w:color="auto"/>
              <w:right w:val="single" w:sz="6" w:space="0" w:color="auto"/>
            </w:tcBorders>
            <w:hideMark/>
          </w:tcPr>
          <w:p w14:paraId="102498DC"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6708E292"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0.057 </w:t>
            </w:r>
          </w:p>
        </w:tc>
        <w:tc>
          <w:tcPr>
            <w:tcW w:w="174" w:type="pct"/>
            <w:tcBorders>
              <w:top w:val="single" w:sz="6" w:space="0" w:color="auto"/>
              <w:left w:val="single" w:sz="6" w:space="0" w:color="auto"/>
              <w:bottom w:val="single" w:sz="6" w:space="0" w:color="auto"/>
              <w:right w:val="single" w:sz="6" w:space="0" w:color="auto"/>
            </w:tcBorders>
            <w:hideMark/>
          </w:tcPr>
          <w:p w14:paraId="5AE8F32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0.054 </w:t>
            </w:r>
          </w:p>
        </w:tc>
        <w:tc>
          <w:tcPr>
            <w:tcW w:w="174" w:type="pct"/>
            <w:tcBorders>
              <w:top w:val="single" w:sz="6" w:space="0" w:color="auto"/>
              <w:left w:val="single" w:sz="6" w:space="0" w:color="auto"/>
              <w:bottom w:val="single" w:sz="6" w:space="0" w:color="auto"/>
              <w:right w:val="single" w:sz="6" w:space="0" w:color="auto"/>
            </w:tcBorders>
            <w:hideMark/>
          </w:tcPr>
          <w:p w14:paraId="35C4D92A"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5BCBEA5C"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38EABDEA"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20848277"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168DDB83"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5B2AE09E"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0.041 </w:t>
            </w:r>
          </w:p>
        </w:tc>
        <w:tc>
          <w:tcPr>
            <w:tcW w:w="174" w:type="pct"/>
            <w:tcBorders>
              <w:top w:val="single" w:sz="6" w:space="0" w:color="auto"/>
              <w:left w:val="single" w:sz="6" w:space="0" w:color="auto"/>
              <w:bottom w:val="single" w:sz="6" w:space="0" w:color="auto"/>
              <w:right w:val="single" w:sz="6" w:space="0" w:color="auto"/>
            </w:tcBorders>
            <w:hideMark/>
          </w:tcPr>
          <w:p w14:paraId="16F7F7C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0.034 </w:t>
            </w:r>
          </w:p>
        </w:tc>
        <w:tc>
          <w:tcPr>
            <w:tcW w:w="174" w:type="pct"/>
            <w:tcBorders>
              <w:top w:val="single" w:sz="6" w:space="0" w:color="auto"/>
              <w:left w:val="single" w:sz="6" w:space="0" w:color="auto"/>
              <w:bottom w:val="single" w:sz="6" w:space="0" w:color="auto"/>
              <w:right w:val="single" w:sz="6" w:space="0" w:color="auto"/>
            </w:tcBorders>
            <w:hideMark/>
          </w:tcPr>
          <w:p w14:paraId="41EA244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0.029 </w:t>
            </w:r>
          </w:p>
        </w:tc>
        <w:tc>
          <w:tcPr>
            <w:tcW w:w="174" w:type="pct"/>
            <w:tcBorders>
              <w:top w:val="single" w:sz="6" w:space="0" w:color="auto"/>
              <w:left w:val="single" w:sz="6" w:space="0" w:color="auto"/>
              <w:bottom w:val="single" w:sz="6" w:space="0" w:color="auto"/>
              <w:right w:val="single" w:sz="6" w:space="0" w:color="auto"/>
            </w:tcBorders>
            <w:hideMark/>
          </w:tcPr>
          <w:p w14:paraId="4E7D8E9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0.025 </w:t>
            </w:r>
          </w:p>
        </w:tc>
        <w:tc>
          <w:tcPr>
            <w:tcW w:w="174" w:type="pct"/>
            <w:tcBorders>
              <w:top w:val="single" w:sz="6" w:space="0" w:color="auto"/>
              <w:left w:val="single" w:sz="6" w:space="0" w:color="auto"/>
              <w:bottom w:val="single" w:sz="6" w:space="0" w:color="auto"/>
              <w:right w:val="single" w:sz="6" w:space="0" w:color="auto"/>
            </w:tcBorders>
            <w:hideMark/>
          </w:tcPr>
          <w:p w14:paraId="41D4A49A"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0.022 </w:t>
            </w:r>
          </w:p>
        </w:tc>
        <w:tc>
          <w:tcPr>
            <w:tcW w:w="174" w:type="pct"/>
            <w:tcBorders>
              <w:top w:val="single" w:sz="6" w:space="0" w:color="auto"/>
              <w:left w:val="single" w:sz="6" w:space="0" w:color="auto"/>
              <w:bottom w:val="single" w:sz="6" w:space="0" w:color="auto"/>
              <w:right w:val="single" w:sz="6" w:space="0" w:color="auto"/>
            </w:tcBorders>
            <w:hideMark/>
          </w:tcPr>
          <w:p w14:paraId="15BB8F0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0.020 </w:t>
            </w:r>
          </w:p>
        </w:tc>
        <w:tc>
          <w:tcPr>
            <w:tcW w:w="8" w:type="pct"/>
            <w:vAlign w:val="center"/>
            <w:hideMark/>
          </w:tcPr>
          <w:p w14:paraId="576B96CD" w14:textId="77777777" w:rsidR="00DB1AEE" w:rsidRPr="00DB1AEE" w:rsidRDefault="00DB1AEE" w:rsidP="00DB1AEE">
            <w:pPr>
              <w:widowControl w:val="0"/>
              <w:suppressAutoHyphens/>
              <w:autoSpaceDE w:val="0"/>
              <w:autoSpaceDN w:val="0"/>
              <w:jc w:val="left"/>
              <w:rPr>
                <w:bCs/>
                <w:iCs/>
                <w:sz w:val="18"/>
                <w:szCs w:val="18"/>
                <w:u w:val="single"/>
                <w:lang w:bidi="en-US"/>
              </w:rPr>
            </w:pPr>
          </w:p>
        </w:tc>
      </w:tr>
      <w:tr w:rsidR="00DB1AEE" w:rsidRPr="00DB1AEE" w14:paraId="5A760B1B" w14:textId="77777777" w:rsidTr="00FC1832">
        <w:trPr>
          <w:trHeight w:val="255"/>
        </w:trPr>
        <w:tc>
          <w:tcPr>
            <w:tcW w:w="5000" w:type="pct"/>
            <w:gridSpan w:val="23"/>
            <w:tcBorders>
              <w:top w:val="single" w:sz="6" w:space="0" w:color="auto"/>
              <w:left w:val="single" w:sz="6" w:space="0" w:color="auto"/>
              <w:bottom w:val="single" w:sz="6" w:space="0" w:color="auto"/>
              <w:right w:val="single" w:sz="6" w:space="0" w:color="auto"/>
            </w:tcBorders>
            <w:hideMark/>
          </w:tcPr>
          <w:p w14:paraId="6CAA406A"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Steel Framing at 12 in. on Center (18% Framing Factor)—includes only studs at 12 in. on center and top and bottom tracks </w:t>
            </w:r>
          </w:p>
        </w:tc>
      </w:tr>
      <w:tr w:rsidR="00DB1AEE" w:rsidRPr="00DB1AEE" w14:paraId="24EFA1AB" w14:textId="77777777" w:rsidTr="00FC1832">
        <w:trPr>
          <w:trHeight w:val="246"/>
        </w:trPr>
        <w:tc>
          <w:tcPr>
            <w:tcW w:w="665" w:type="pct"/>
            <w:tcBorders>
              <w:top w:val="single" w:sz="6" w:space="0" w:color="auto"/>
              <w:left w:val="single" w:sz="6" w:space="0" w:color="auto"/>
              <w:bottom w:val="single" w:sz="6" w:space="0" w:color="auto"/>
              <w:right w:val="single" w:sz="6" w:space="0" w:color="auto"/>
            </w:tcBorders>
            <w:hideMark/>
          </w:tcPr>
          <w:p w14:paraId="7D94FA8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0.9 </w:t>
            </w:r>
          </w:p>
        </w:tc>
        <w:tc>
          <w:tcPr>
            <w:tcW w:w="855" w:type="pct"/>
            <w:tcBorders>
              <w:top w:val="single" w:sz="6" w:space="0" w:color="auto"/>
              <w:left w:val="single" w:sz="6" w:space="0" w:color="auto"/>
              <w:bottom w:val="single" w:sz="6" w:space="0" w:color="auto"/>
              <w:right w:val="single" w:sz="6" w:space="0" w:color="auto"/>
            </w:tcBorders>
            <w:hideMark/>
          </w:tcPr>
          <w:p w14:paraId="575BE03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0.348 </w:t>
            </w:r>
          </w:p>
        </w:tc>
        <w:tc>
          <w:tcPr>
            <w:tcW w:w="174" w:type="pct"/>
            <w:tcBorders>
              <w:top w:val="single" w:sz="6" w:space="0" w:color="auto"/>
              <w:left w:val="single" w:sz="6" w:space="0" w:color="auto"/>
              <w:bottom w:val="single" w:sz="6" w:space="0" w:color="auto"/>
              <w:right w:val="single" w:sz="6" w:space="0" w:color="auto"/>
            </w:tcBorders>
            <w:hideMark/>
          </w:tcPr>
          <w:p w14:paraId="7AB5696E"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0.258 </w:t>
            </w:r>
          </w:p>
        </w:tc>
        <w:tc>
          <w:tcPr>
            <w:tcW w:w="174" w:type="pct"/>
            <w:tcBorders>
              <w:top w:val="single" w:sz="6" w:space="0" w:color="auto"/>
              <w:left w:val="single" w:sz="6" w:space="0" w:color="auto"/>
              <w:bottom w:val="single" w:sz="6" w:space="0" w:color="auto"/>
              <w:right w:val="single" w:sz="6" w:space="0" w:color="auto"/>
            </w:tcBorders>
            <w:hideMark/>
          </w:tcPr>
          <w:p w14:paraId="1C9A9DC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0.205 </w:t>
            </w:r>
          </w:p>
        </w:tc>
        <w:tc>
          <w:tcPr>
            <w:tcW w:w="174" w:type="pct"/>
            <w:tcBorders>
              <w:top w:val="single" w:sz="6" w:space="0" w:color="auto"/>
              <w:left w:val="single" w:sz="6" w:space="0" w:color="auto"/>
              <w:bottom w:val="single" w:sz="6" w:space="0" w:color="auto"/>
              <w:right w:val="single" w:sz="6" w:space="0" w:color="auto"/>
            </w:tcBorders>
            <w:hideMark/>
          </w:tcPr>
          <w:p w14:paraId="72A43FE5"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0.170 </w:t>
            </w:r>
          </w:p>
        </w:tc>
        <w:tc>
          <w:tcPr>
            <w:tcW w:w="174" w:type="pct"/>
            <w:tcBorders>
              <w:top w:val="single" w:sz="6" w:space="0" w:color="auto"/>
              <w:left w:val="single" w:sz="6" w:space="0" w:color="auto"/>
              <w:bottom w:val="single" w:sz="6" w:space="0" w:color="auto"/>
              <w:right w:val="single" w:sz="6" w:space="0" w:color="auto"/>
            </w:tcBorders>
            <w:hideMark/>
          </w:tcPr>
          <w:p w14:paraId="22343B8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0.145 </w:t>
            </w:r>
          </w:p>
        </w:tc>
        <w:tc>
          <w:tcPr>
            <w:tcW w:w="174" w:type="pct"/>
            <w:tcBorders>
              <w:top w:val="single" w:sz="6" w:space="0" w:color="auto"/>
              <w:left w:val="single" w:sz="6" w:space="0" w:color="auto"/>
              <w:bottom w:val="single" w:sz="6" w:space="0" w:color="auto"/>
              <w:right w:val="single" w:sz="6" w:space="0" w:color="auto"/>
            </w:tcBorders>
            <w:hideMark/>
          </w:tcPr>
          <w:p w14:paraId="48DBEC3A"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0.127 </w:t>
            </w:r>
          </w:p>
        </w:tc>
        <w:tc>
          <w:tcPr>
            <w:tcW w:w="174" w:type="pct"/>
            <w:tcBorders>
              <w:top w:val="single" w:sz="6" w:space="0" w:color="auto"/>
              <w:left w:val="single" w:sz="6" w:space="0" w:color="auto"/>
              <w:bottom w:val="single" w:sz="6" w:space="0" w:color="auto"/>
              <w:right w:val="single" w:sz="6" w:space="0" w:color="auto"/>
            </w:tcBorders>
            <w:hideMark/>
          </w:tcPr>
          <w:p w14:paraId="38024C8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0.113 </w:t>
            </w:r>
          </w:p>
        </w:tc>
        <w:tc>
          <w:tcPr>
            <w:tcW w:w="174" w:type="pct"/>
            <w:tcBorders>
              <w:top w:val="single" w:sz="6" w:space="0" w:color="auto"/>
              <w:left w:val="single" w:sz="6" w:space="0" w:color="auto"/>
              <w:bottom w:val="single" w:sz="6" w:space="0" w:color="auto"/>
              <w:right w:val="single" w:sz="6" w:space="0" w:color="auto"/>
            </w:tcBorders>
            <w:hideMark/>
          </w:tcPr>
          <w:p w14:paraId="4B3EC09E"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0.101 </w:t>
            </w:r>
          </w:p>
        </w:tc>
        <w:tc>
          <w:tcPr>
            <w:tcW w:w="174" w:type="pct"/>
            <w:tcBorders>
              <w:top w:val="single" w:sz="6" w:space="0" w:color="auto"/>
              <w:left w:val="single" w:sz="6" w:space="0" w:color="auto"/>
              <w:bottom w:val="single" w:sz="6" w:space="0" w:color="auto"/>
              <w:right w:val="single" w:sz="6" w:space="0" w:color="auto"/>
            </w:tcBorders>
            <w:hideMark/>
          </w:tcPr>
          <w:p w14:paraId="4170449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0.092 </w:t>
            </w:r>
          </w:p>
        </w:tc>
        <w:tc>
          <w:tcPr>
            <w:tcW w:w="174" w:type="pct"/>
            <w:tcBorders>
              <w:top w:val="single" w:sz="6" w:space="0" w:color="auto"/>
              <w:left w:val="single" w:sz="6" w:space="0" w:color="auto"/>
              <w:bottom w:val="single" w:sz="6" w:space="0" w:color="auto"/>
              <w:right w:val="single" w:sz="6" w:space="0" w:color="auto"/>
            </w:tcBorders>
            <w:hideMark/>
          </w:tcPr>
          <w:p w14:paraId="0B05255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0.084 </w:t>
            </w:r>
          </w:p>
        </w:tc>
        <w:tc>
          <w:tcPr>
            <w:tcW w:w="174" w:type="pct"/>
            <w:tcBorders>
              <w:top w:val="single" w:sz="6" w:space="0" w:color="auto"/>
              <w:left w:val="single" w:sz="6" w:space="0" w:color="auto"/>
              <w:bottom w:val="single" w:sz="6" w:space="0" w:color="auto"/>
              <w:right w:val="single" w:sz="6" w:space="0" w:color="auto"/>
            </w:tcBorders>
            <w:hideMark/>
          </w:tcPr>
          <w:p w14:paraId="5F770A9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0.078 </w:t>
            </w:r>
          </w:p>
        </w:tc>
        <w:tc>
          <w:tcPr>
            <w:tcW w:w="174" w:type="pct"/>
            <w:tcBorders>
              <w:top w:val="single" w:sz="6" w:space="0" w:color="auto"/>
              <w:left w:val="single" w:sz="6" w:space="0" w:color="auto"/>
              <w:bottom w:val="single" w:sz="6" w:space="0" w:color="auto"/>
              <w:right w:val="single" w:sz="6" w:space="0" w:color="auto"/>
            </w:tcBorders>
            <w:hideMark/>
          </w:tcPr>
          <w:p w14:paraId="74DE50B1"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0.072 </w:t>
            </w:r>
          </w:p>
        </w:tc>
        <w:tc>
          <w:tcPr>
            <w:tcW w:w="174" w:type="pct"/>
            <w:tcBorders>
              <w:top w:val="single" w:sz="6" w:space="0" w:color="auto"/>
              <w:left w:val="single" w:sz="6" w:space="0" w:color="auto"/>
              <w:bottom w:val="single" w:sz="6" w:space="0" w:color="auto"/>
              <w:right w:val="single" w:sz="6" w:space="0" w:color="auto"/>
            </w:tcBorders>
            <w:hideMark/>
          </w:tcPr>
          <w:p w14:paraId="0FCA909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0.067 </w:t>
            </w:r>
          </w:p>
        </w:tc>
        <w:tc>
          <w:tcPr>
            <w:tcW w:w="174" w:type="pct"/>
            <w:tcBorders>
              <w:top w:val="single" w:sz="6" w:space="0" w:color="auto"/>
              <w:left w:val="single" w:sz="6" w:space="0" w:color="auto"/>
              <w:bottom w:val="single" w:sz="6" w:space="0" w:color="auto"/>
              <w:right w:val="single" w:sz="6" w:space="0" w:color="auto"/>
            </w:tcBorders>
            <w:hideMark/>
          </w:tcPr>
          <w:p w14:paraId="69198EC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148647C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7E7D3419"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24449EDE"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778F60D2"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52823EA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69A9F83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38A4194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0.023 </w:t>
            </w:r>
          </w:p>
        </w:tc>
        <w:tc>
          <w:tcPr>
            <w:tcW w:w="8" w:type="pct"/>
            <w:vAlign w:val="center"/>
            <w:hideMark/>
          </w:tcPr>
          <w:p w14:paraId="0A6A23E4" w14:textId="77777777" w:rsidR="00DB1AEE" w:rsidRPr="00DB1AEE" w:rsidRDefault="00DB1AEE" w:rsidP="00DB1AEE">
            <w:pPr>
              <w:widowControl w:val="0"/>
              <w:suppressAutoHyphens/>
              <w:autoSpaceDE w:val="0"/>
              <w:autoSpaceDN w:val="0"/>
              <w:jc w:val="left"/>
              <w:rPr>
                <w:b/>
                <w:iCs/>
                <w:szCs w:val="24"/>
                <w:u w:val="single"/>
                <w:lang w:bidi="en-US"/>
              </w:rPr>
            </w:pPr>
          </w:p>
        </w:tc>
      </w:tr>
      <w:tr w:rsidR="00DB1AEE" w:rsidRPr="00DB1AEE" w14:paraId="097E0434" w14:textId="77777777" w:rsidTr="00FC1832">
        <w:trPr>
          <w:trHeight w:val="282"/>
        </w:trPr>
        <w:tc>
          <w:tcPr>
            <w:tcW w:w="665" w:type="pct"/>
            <w:tcBorders>
              <w:top w:val="single" w:sz="6" w:space="0" w:color="auto"/>
              <w:left w:val="single" w:sz="6" w:space="0" w:color="auto"/>
              <w:bottom w:val="single" w:sz="6" w:space="0" w:color="auto"/>
              <w:right w:val="single" w:sz="6" w:space="0" w:color="auto"/>
            </w:tcBorders>
            <w:hideMark/>
          </w:tcPr>
          <w:p w14:paraId="1819EDAC"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11 </w:t>
            </w:r>
          </w:p>
        </w:tc>
        <w:tc>
          <w:tcPr>
            <w:tcW w:w="855" w:type="pct"/>
            <w:tcBorders>
              <w:top w:val="single" w:sz="6" w:space="0" w:color="auto"/>
              <w:left w:val="single" w:sz="6" w:space="0" w:color="auto"/>
              <w:bottom w:val="single" w:sz="6" w:space="0" w:color="auto"/>
              <w:right w:val="single" w:sz="6" w:space="0" w:color="auto"/>
            </w:tcBorders>
            <w:hideMark/>
          </w:tcPr>
          <w:p w14:paraId="35BF9D1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0.137 </w:t>
            </w:r>
          </w:p>
        </w:tc>
        <w:tc>
          <w:tcPr>
            <w:tcW w:w="174" w:type="pct"/>
            <w:tcBorders>
              <w:top w:val="single" w:sz="6" w:space="0" w:color="auto"/>
              <w:left w:val="single" w:sz="6" w:space="0" w:color="auto"/>
              <w:bottom w:val="single" w:sz="6" w:space="0" w:color="auto"/>
              <w:right w:val="single" w:sz="6" w:space="0" w:color="auto"/>
            </w:tcBorders>
            <w:hideMark/>
          </w:tcPr>
          <w:p w14:paraId="12F9C795"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0.121 </w:t>
            </w:r>
          </w:p>
        </w:tc>
        <w:tc>
          <w:tcPr>
            <w:tcW w:w="174" w:type="pct"/>
            <w:tcBorders>
              <w:top w:val="single" w:sz="6" w:space="0" w:color="auto"/>
              <w:left w:val="single" w:sz="6" w:space="0" w:color="auto"/>
              <w:bottom w:val="single" w:sz="6" w:space="0" w:color="auto"/>
              <w:right w:val="single" w:sz="6" w:space="0" w:color="auto"/>
            </w:tcBorders>
            <w:hideMark/>
          </w:tcPr>
          <w:p w14:paraId="136A654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0.108 </w:t>
            </w:r>
          </w:p>
        </w:tc>
        <w:tc>
          <w:tcPr>
            <w:tcW w:w="174" w:type="pct"/>
            <w:tcBorders>
              <w:top w:val="single" w:sz="6" w:space="0" w:color="auto"/>
              <w:left w:val="single" w:sz="6" w:space="0" w:color="auto"/>
              <w:bottom w:val="single" w:sz="6" w:space="0" w:color="auto"/>
              <w:right w:val="single" w:sz="6" w:space="0" w:color="auto"/>
            </w:tcBorders>
            <w:hideMark/>
          </w:tcPr>
          <w:p w14:paraId="73BB95C7"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0.097 </w:t>
            </w:r>
          </w:p>
        </w:tc>
        <w:tc>
          <w:tcPr>
            <w:tcW w:w="174" w:type="pct"/>
            <w:tcBorders>
              <w:top w:val="single" w:sz="6" w:space="0" w:color="auto"/>
              <w:left w:val="single" w:sz="6" w:space="0" w:color="auto"/>
              <w:bottom w:val="single" w:sz="6" w:space="0" w:color="auto"/>
              <w:right w:val="single" w:sz="6" w:space="0" w:color="auto"/>
            </w:tcBorders>
            <w:hideMark/>
          </w:tcPr>
          <w:p w14:paraId="7E6DD65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0.089 </w:t>
            </w:r>
          </w:p>
        </w:tc>
        <w:tc>
          <w:tcPr>
            <w:tcW w:w="174" w:type="pct"/>
            <w:tcBorders>
              <w:top w:val="single" w:sz="6" w:space="0" w:color="auto"/>
              <w:left w:val="single" w:sz="6" w:space="0" w:color="auto"/>
              <w:bottom w:val="single" w:sz="6" w:space="0" w:color="auto"/>
              <w:right w:val="single" w:sz="6" w:space="0" w:color="auto"/>
            </w:tcBorders>
            <w:hideMark/>
          </w:tcPr>
          <w:p w14:paraId="56C4F34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0.081 </w:t>
            </w:r>
          </w:p>
        </w:tc>
        <w:tc>
          <w:tcPr>
            <w:tcW w:w="174" w:type="pct"/>
            <w:tcBorders>
              <w:top w:val="single" w:sz="6" w:space="0" w:color="auto"/>
              <w:left w:val="single" w:sz="6" w:space="0" w:color="auto"/>
              <w:bottom w:val="single" w:sz="6" w:space="0" w:color="auto"/>
              <w:right w:val="single" w:sz="6" w:space="0" w:color="auto"/>
            </w:tcBorders>
            <w:hideMark/>
          </w:tcPr>
          <w:p w14:paraId="5CB556F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0.075 </w:t>
            </w:r>
          </w:p>
        </w:tc>
        <w:tc>
          <w:tcPr>
            <w:tcW w:w="174" w:type="pct"/>
            <w:tcBorders>
              <w:top w:val="single" w:sz="6" w:space="0" w:color="auto"/>
              <w:left w:val="single" w:sz="6" w:space="0" w:color="auto"/>
              <w:bottom w:val="single" w:sz="6" w:space="0" w:color="auto"/>
              <w:right w:val="single" w:sz="6" w:space="0" w:color="auto"/>
            </w:tcBorders>
            <w:hideMark/>
          </w:tcPr>
          <w:p w14:paraId="33D509DC"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0.070 </w:t>
            </w:r>
          </w:p>
        </w:tc>
        <w:tc>
          <w:tcPr>
            <w:tcW w:w="174" w:type="pct"/>
            <w:tcBorders>
              <w:top w:val="single" w:sz="6" w:space="0" w:color="auto"/>
              <w:left w:val="single" w:sz="6" w:space="0" w:color="auto"/>
              <w:bottom w:val="single" w:sz="6" w:space="0" w:color="auto"/>
              <w:right w:val="single" w:sz="6" w:space="0" w:color="auto"/>
            </w:tcBorders>
            <w:hideMark/>
          </w:tcPr>
          <w:p w14:paraId="0EE7FA2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0.065 </w:t>
            </w:r>
          </w:p>
        </w:tc>
        <w:tc>
          <w:tcPr>
            <w:tcW w:w="174" w:type="pct"/>
            <w:tcBorders>
              <w:top w:val="single" w:sz="6" w:space="0" w:color="auto"/>
              <w:left w:val="single" w:sz="6" w:space="0" w:color="auto"/>
              <w:bottom w:val="single" w:sz="6" w:space="0" w:color="auto"/>
              <w:right w:val="single" w:sz="6" w:space="0" w:color="auto"/>
            </w:tcBorders>
            <w:hideMark/>
          </w:tcPr>
          <w:p w14:paraId="7473F9E9"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0.061 </w:t>
            </w:r>
          </w:p>
        </w:tc>
        <w:tc>
          <w:tcPr>
            <w:tcW w:w="174" w:type="pct"/>
            <w:tcBorders>
              <w:top w:val="single" w:sz="6" w:space="0" w:color="auto"/>
              <w:left w:val="single" w:sz="6" w:space="0" w:color="auto"/>
              <w:bottom w:val="single" w:sz="6" w:space="0" w:color="auto"/>
              <w:right w:val="single" w:sz="6" w:space="0" w:color="auto"/>
            </w:tcBorders>
            <w:hideMark/>
          </w:tcPr>
          <w:p w14:paraId="204760C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0.058 </w:t>
            </w:r>
          </w:p>
        </w:tc>
        <w:tc>
          <w:tcPr>
            <w:tcW w:w="174" w:type="pct"/>
            <w:tcBorders>
              <w:top w:val="single" w:sz="6" w:space="0" w:color="auto"/>
              <w:left w:val="single" w:sz="6" w:space="0" w:color="auto"/>
              <w:bottom w:val="single" w:sz="6" w:space="0" w:color="auto"/>
              <w:right w:val="single" w:sz="6" w:space="0" w:color="auto"/>
            </w:tcBorders>
            <w:hideMark/>
          </w:tcPr>
          <w:p w14:paraId="6D57580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0.055 </w:t>
            </w:r>
          </w:p>
        </w:tc>
        <w:tc>
          <w:tcPr>
            <w:tcW w:w="174" w:type="pct"/>
            <w:tcBorders>
              <w:top w:val="single" w:sz="6" w:space="0" w:color="auto"/>
              <w:left w:val="single" w:sz="6" w:space="0" w:color="auto"/>
              <w:bottom w:val="single" w:sz="6" w:space="0" w:color="auto"/>
              <w:right w:val="single" w:sz="6" w:space="0" w:color="auto"/>
            </w:tcBorders>
            <w:hideMark/>
          </w:tcPr>
          <w:p w14:paraId="4AD8D9D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7C28CF4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44A6063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3049DB1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1C665959"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0.037 </w:t>
            </w:r>
          </w:p>
        </w:tc>
        <w:tc>
          <w:tcPr>
            <w:tcW w:w="174" w:type="pct"/>
            <w:tcBorders>
              <w:top w:val="single" w:sz="6" w:space="0" w:color="auto"/>
              <w:left w:val="single" w:sz="6" w:space="0" w:color="auto"/>
              <w:bottom w:val="single" w:sz="6" w:space="0" w:color="auto"/>
              <w:right w:val="single" w:sz="6" w:space="0" w:color="auto"/>
            </w:tcBorders>
            <w:hideMark/>
          </w:tcPr>
          <w:p w14:paraId="1D7E5EF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0.031 </w:t>
            </w:r>
          </w:p>
        </w:tc>
        <w:tc>
          <w:tcPr>
            <w:tcW w:w="174" w:type="pct"/>
            <w:tcBorders>
              <w:top w:val="single" w:sz="6" w:space="0" w:color="auto"/>
              <w:left w:val="single" w:sz="6" w:space="0" w:color="auto"/>
              <w:bottom w:val="single" w:sz="6" w:space="0" w:color="auto"/>
              <w:right w:val="single" w:sz="6" w:space="0" w:color="auto"/>
            </w:tcBorders>
            <w:hideMark/>
          </w:tcPr>
          <w:p w14:paraId="140DBC9E"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6E09A42E"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0.024 </w:t>
            </w:r>
          </w:p>
        </w:tc>
        <w:tc>
          <w:tcPr>
            <w:tcW w:w="174" w:type="pct"/>
            <w:tcBorders>
              <w:top w:val="single" w:sz="6" w:space="0" w:color="auto"/>
              <w:left w:val="single" w:sz="6" w:space="0" w:color="auto"/>
              <w:bottom w:val="single" w:sz="6" w:space="0" w:color="auto"/>
              <w:right w:val="single" w:sz="6" w:space="0" w:color="auto"/>
            </w:tcBorders>
            <w:hideMark/>
          </w:tcPr>
          <w:p w14:paraId="02EC6E0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0.021 </w:t>
            </w:r>
          </w:p>
        </w:tc>
        <w:tc>
          <w:tcPr>
            <w:tcW w:w="8" w:type="pct"/>
            <w:vAlign w:val="center"/>
            <w:hideMark/>
          </w:tcPr>
          <w:p w14:paraId="4346AD95" w14:textId="77777777" w:rsidR="00DB1AEE" w:rsidRPr="00DB1AEE" w:rsidRDefault="00DB1AEE" w:rsidP="00DB1AEE">
            <w:pPr>
              <w:widowControl w:val="0"/>
              <w:suppressAutoHyphens/>
              <w:autoSpaceDE w:val="0"/>
              <w:autoSpaceDN w:val="0"/>
              <w:jc w:val="left"/>
              <w:rPr>
                <w:b/>
                <w:iCs/>
                <w:szCs w:val="24"/>
                <w:u w:val="single"/>
                <w:lang w:bidi="en-US"/>
              </w:rPr>
            </w:pPr>
          </w:p>
        </w:tc>
      </w:tr>
      <w:tr w:rsidR="00DB1AEE" w:rsidRPr="00DB1AEE" w14:paraId="12EA99DF" w14:textId="77777777" w:rsidTr="00FC1832">
        <w:trPr>
          <w:trHeight w:val="246"/>
        </w:trPr>
        <w:tc>
          <w:tcPr>
            <w:tcW w:w="665" w:type="pct"/>
            <w:tcBorders>
              <w:top w:val="single" w:sz="6" w:space="0" w:color="auto"/>
              <w:left w:val="single" w:sz="6" w:space="0" w:color="auto"/>
              <w:bottom w:val="single" w:sz="6" w:space="0" w:color="auto"/>
              <w:right w:val="single" w:sz="6" w:space="0" w:color="auto"/>
            </w:tcBorders>
            <w:hideMark/>
          </w:tcPr>
          <w:p w14:paraId="4273E58E"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13 </w:t>
            </w:r>
          </w:p>
        </w:tc>
        <w:tc>
          <w:tcPr>
            <w:tcW w:w="855" w:type="pct"/>
            <w:tcBorders>
              <w:top w:val="single" w:sz="6" w:space="0" w:color="auto"/>
              <w:left w:val="single" w:sz="6" w:space="0" w:color="auto"/>
              <w:bottom w:val="single" w:sz="6" w:space="0" w:color="auto"/>
              <w:right w:val="single" w:sz="6" w:space="0" w:color="auto"/>
            </w:tcBorders>
            <w:hideMark/>
          </w:tcPr>
          <w:p w14:paraId="733A47E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0.130 </w:t>
            </w:r>
          </w:p>
        </w:tc>
        <w:tc>
          <w:tcPr>
            <w:tcW w:w="174" w:type="pct"/>
            <w:tcBorders>
              <w:top w:val="single" w:sz="6" w:space="0" w:color="auto"/>
              <w:left w:val="single" w:sz="6" w:space="0" w:color="auto"/>
              <w:bottom w:val="single" w:sz="6" w:space="0" w:color="auto"/>
              <w:right w:val="single" w:sz="6" w:space="0" w:color="auto"/>
            </w:tcBorders>
            <w:hideMark/>
          </w:tcPr>
          <w:p w14:paraId="1DE68361"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0.115 </w:t>
            </w:r>
          </w:p>
        </w:tc>
        <w:tc>
          <w:tcPr>
            <w:tcW w:w="174" w:type="pct"/>
            <w:tcBorders>
              <w:top w:val="single" w:sz="6" w:space="0" w:color="auto"/>
              <w:left w:val="single" w:sz="6" w:space="0" w:color="auto"/>
              <w:bottom w:val="single" w:sz="6" w:space="0" w:color="auto"/>
              <w:right w:val="single" w:sz="6" w:space="0" w:color="auto"/>
            </w:tcBorders>
            <w:hideMark/>
          </w:tcPr>
          <w:p w14:paraId="2F4AD4EA"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0.103 </w:t>
            </w:r>
          </w:p>
        </w:tc>
        <w:tc>
          <w:tcPr>
            <w:tcW w:w="174" w:type="pct"/>
            <w:tcBorders>
              <w:top w:val="single" w:sz="6" w:space="0" w:color="auto"/>
              <w:left w:val="single" w:sz="6" w:space="0" w:color="auto"/>
              <w:bottom w:val="single" w:sz="6" w:space="0" w:color="auto"/>
              <w:right w:val="single" w:sz="6" w:space="0" w:color="auto"/>
            </w:tcBorders>
            <w:hideMark/>
          </w:tcPr>
          <w:p w14:paraId="64D6E315"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0.093 </w:t>
            </w:r>
          </w:p>
        </w:tc>
        <w:tc>
          <w:tcPr>
            <w:tcW w:w="174" w:type="pct"/>
            <w:tcBorders>
              <w:top w:val="single" w:sz="6" w:space="0" w:color="auto"/>
              <w:left w:val="single" w:sz="6" w:space="0" w:color="auto"/>
              <w:bottom w:val="single" w:sz="6" w:space="0" w:color="auto"/>
              <w:right w:val="single" w:sz="6" w:space="0" w:color="auto"/>
            </w:tcBorders>
            <w:hideMark/>
          </w:tcPr>
          <w:p w14:paraId="22D280C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0.085 </w:t>
            </w:r>
          </w:p>
        </w:tc>
        <w:tc>
          <w:tcPr>
            <w:tcW w:w="174" w:type="pct"/>
            <w:tcBorders>
              <w:top w:val="single" w:sz="6" w:space="0" w:color="auto"/>
              <w:left w:val="single" w:sz="6" w:space="0" w:color="auto"/>
              <w:bottom w:val="single" w:sz="6" w:space="0" w:color="auto"/>
              <w:right w:val="single" w:sz="6" w:space="0" w:color="auto"/>
            </w:tcBorders>
            <w:hideMark/>
          </w:tcPr>
          <w:p w14:paraId="00A4596C"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0.079 </w:t>
            </w:r>
          </w:p>
        </w:tc>
        <w:tc>
          <w:tcPr>
            <w:tcW w:w="174" w:type="pct"/>
            <w:tcBorders>
              <w:top w:val="single" w:sz="6" w:space="0" w:color="auto"/>
              <w:left w:val="single" w:sz="6" w:space="0" w:color="auto"/>
              <w:bottom w:val="single" w:sz="6" w:space="0" w:color="auto"/>
              <w:right w:val="single" w:sz="6" w:space="0" w:color="auto"/>
            </w:tcBorders>
            <w:hideMark/>
          </w:tcPr>
          <w:p w14:paraId="3C073E01"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0.073 </w:t>
            </w:r>
          </w:p>
        </w:tc>
        <w:tc>
          <w:tcPr>
            <w:tcW w:w="174" w:type="pct"/>
            <w:tcBorders>
              <w:top w:val="single" w:sz="6" w:space="0" w:color="auto"/>
              <w:left w:val="single" w:sz="6" w:space="0" w:color="auto"/>
              <w:bottom w:val="single" w:sz="6" w:space="0" w:color="auto"/>
              <w:right w:val="single" w:sz="6" w:space="0" w:color="auto"/>
            </w:tcBorders>
            <w:hideMark/>
          </w:tcPr>
          <w:p w14:paraId="7CE287EC"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0.068 </w:t>
            </w:r>
          </w:p>
        </w:tc>
        <w:tc>
          <w:tcPr>
            <w:tcW w:w="174" w:type="pct"/>
            <w:tcBorders>
              <w:top w:val="single" w:sz="6" w:space="0" w:color="auto"/>
              <w:left w:val="single" w:sz="6" w:space="0" w:color="auto"/>
              <w:bottom w:val="single" w:sz="6" w:space="0" w:color="auto"/>
              <w:right w:val="single" w:sz="6" w:space="0" w:color="auto"/>
            </w:tcBorders>
            <w:hideMark/>
          </w:tcPr>
          <w:p w14:paraId="1985730E"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0.064 </w:t>
            </w:r>
          </w:p>
        </w:tc>
        <w:tc>
          <w:tcPr>
            <w:tcW w:w="174" w:type="pct"/>
            <w:tcBorders>
              <w:top w:val="single" w:sz="6" w:space="0" w:color="auto"/>
              <w:left w:val="single" w:sz="6" w:space="0" w:color="auto"/>
              <w:bottom w:val="single" w:sz="6" w:space="0" w:color="auto"/>
              <w:right w:val="single" w:sz="6" w:space="0" w:color="auto"/>
            </w:tcBorders>
            <w:hideMark/>
          </w:tcPr>
          <w:p w14:paraId="2F9B9F8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0044B84C"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675EE771"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3EE1BDD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753D60A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4EB3098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4580F52E"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7F4AB295"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6FB20C4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0.031 </w:t>
            </w:r>
          </w:p>
        </w:tc>
        <w:tc>
          <w:tcPr>
            <w:tcW w:w="174" w:type="pct"/>
            <w:tcBorders>
              <w:top w:val="single" w:sz="6" w:space="0" w:color="auto"/>
              <w:left w:val="single" w:sz="6" w:space="0" w:color="auto"/>
              <w:bottom w:val="single" w:sz="6" w:space="0" w:color="auto"/>
              <w:right w:val="single" w:sz="6" w:space="0" w:color="auto"/>
            </w:tcBorders>
            <w:hideMark/>
          </w:tcPr>
          <w:p w14:paraId="1C8D7C93"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7AF0CE3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03242AB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0.021 </w:t>
            </w:r>
          </w:p>
        </w:tc>
        <w:tc>
          <w:tcPr>
            <w:tcW w:w="8" w:type="pct"/>
            <w:vAlign w:val="center"/>
            <w:hideMark/>
          </w:tcPr>
          <w:p w14:paraId="1D8859D2" w14:textId="77777777" w:rsidR="00DB1AEE" w:rsidRPr="00DB1AEE" w:rsidRDefault="00DB1AEE" w:rsidP="00DB1AEE">
            <w:pPr>
              <w:widowControl w:val="0"/>
              <w:suppressAutoHyphens/>
              <w:autoSpaceDE w:val="0"/>
              <w:autoSpaceDN w:val="0"/>
              <w:jc w:val="left"/>
              <w:rPr>
                <w:b/>
                <w:iCs/>
                <w:szCs w:val="24"/>
                <w:u w:val="single"/>
                <w:lang w:bidi="en-US"/>
              </w:rPr>
            </w:pPr>
          </w:p>
        </w:tc>
      </w:tr>
      <w:tr w:rsidR="00DB1AEE" w:rsidRPr="00DB1AEE" w14:paraId="4BADBA5E" w14:textId="77777777" w:rsidTr="00FC1832">
        <w:trPr>
          <w:trHeight w:val="201"/>
        </w:trPr>
        <w:tc>
          <w:tcPr>
            <w:tcW w:w="665" w:type="pct"/>
            <w:tcBorders>
              <w:top w:val="single" w:sz="6" w:space="0" w:color="auto"/>
              <w:left w:val="single" w:sz="6" w:space="0" w:color="auto"/>
              <w:bottom w:val="single" w:sz="6" w:space="0" w:color="auto"/>
              <w:right w:val="single" w:sz="6" w:space="0" w:color="auto"/>
            </w:tcBorders>
            <w:hideMark/>
          </w:tcPr>
          <w:p w14:paraId="4D1DBC8E"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15 </w:t>
            </w:r>
          </w:p>
        </w:tc>
        <w:tc>
          <w:tcPr>
            <w:tcW w:w="855" w:type="pct"/>
            <w:tcBorders>
              <w:top w:val="single" w:sz="6" w:space="0" w:color="auto"/>
              <w:left w:val="single" w:sz="6" w:space="0" w:color="auto"/>
              <w:bottom w:val="single" w:sz="6" w:space="0" w:color="auto"/>
              <w:right w:val="single" w:sz="6" w:space="0" w:color="auto"/>
            </w:tcBorders>
            <w:hideMark/>
          </w:tcPr>
          <w:p w14:paraId="08D7647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0.124 </w:t>
            </w:r>
          </w:p>
        </w:tc>
        <w:tc>
          <w:tcPr>
            <w:tcW w:w="174" w:type="pct"/>
            <w:tcBorders>
              <w:top w:val="single" w:sz="6" w:space="0" w:color="auto"/>
              <w:left w:val="single" w:sz="6" w:space="0" w:color="auto"/>
              <w:bottom w:val="single" w:sz="6" w:space="0" w:color="auto"/>
              <w:right w:val="single" w:sz="6" w:space="0" w:color="auto"/>
            </w:tcBorders>
            <w:hideMark/>
          </w:tcPr>
          <w:p w14:paraId="4A34CFCA"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0.110 </w:t>
            </w:r>
          </w:p>
        </w:tc>
        <w:tc>
          <w:tcPr>
            <w:tcW w:w="174" w:type="pct"/>
            <w:tcBorders>
              <w:top w:val="single" w:sz="6" w:space="0" w:color="auto"/>
              <w:left w:val="single" w:sz="6" w:space="0" w:color="auto"/>
              <w:bottom w:val="single" w:sz="6" w:space="0" w:color="auto"/>
              <w:right w:val="single" w:sz="6" w:space="0" w:color="auto"/>
            </w:tcBorders>
            <w:hideMark/>
          </w:tcPr>
          <w:p w14:paraId="67144D93"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0.099 </w:t>
            </w:r>
          </w:p>
        </w:tc>
        <w:tc>
          <w:tcPr>
            <w:tcW w:w="174" w:type="pct"/>
            <w:tcBorders>
              <w:top w:val="single" w:sz="6" w:space="0" w:color="auto"/>
              <w:left w:val="single" w:sz="6" w:space="0" w:color="auto"/>
              <w:bottom w:val="single" w:sz="6" w:space="0" w:color="auto"/>
              <w:right w:val="single" w:sz="6" w:space="0" w:color="auto"/>
            </w:tcBorders>
            <w:hideMark/>
          </w:tcPr>
          <w:p w14:paraId="10F0EE6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0.090 </w:t>
            </w:r>
          </w:p>
        </w:tc>
        <w:tc>
          <w:tcPr>
            <w:tcW w:w="174" w:type="pct"/>
            <w:tcBorders>
              <w:top w:val="single" w:sz="6" w:space="0" w:color="auto"/>
              <w:left w:val="single" w:sz="6" w:space="0" w:color="auto"/>
              <w:bottom w:val="single" w:sz="6" w:space="0" w:color="auto"/>
              <w:right w:val="single" w:sz="6" w:space="0" w:color="auto"/>
            </w:tcBorders>
            <w:hideMark/>
          </w:tcPr>
          <w:p w14:paraId="05F68B69"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0.083 </w:t>
            </w:r>
          </w:p>
        </w:tc>
        <w:tc>
          <w:tcPr>
            <w:tcW w:w="174" w:type="pct"/>
            <w:tcBorders>
              <w:top w:val="single" w:sz="6" w:space="0" w:color="auto"/>
              <w:left w:val="single" w:sz="6" w:space="0" w:color="auto"/>
              <w:bottom w:val="single" w:sz="6" w:space="0" w:color="auto"/>
              <w:right w:val="single" w:sz="6" w:space="0" w:color="auto"/>
            </w:tcBorders>
            <w:hideMark/>
          </w:tcPr>
          <w:p w14:paraId="5E4EF22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0.077 </w:t>
            </w:r>
          </w:p>
        </w:tc>
        <w:tc>
          <w:tcPr>
            <w:tcW w:w="174" w:type="pct"/>
            <w:tcBorders>
              <w:top w:val="single" w:sz="6" w:space="0" w:color="auto"/>
              <w:left w:val="single" w:sz="6" w:space="0" w:color="auto"/>
              <w:bottom w:val="single" w:sz="6" w:space="0" w:color="auto"/>
              <w:right w:val="single" w:sz="6" w:space="0" w:color="auto"/>
            </w:tcBorders>
            <w:hideMark/>
          </w:tcPr>
          <w:p w14:paraId="15AC355C"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0.071 </w:t>
            </w:r>
          </w:p>
        </w:tc>
        <w:tc>
          <w:tcPr>
            <w:tcW w:w="174" w:type="pct"/>
            <w:tcBorders>
              <w:top w:val="single" w:sz="6" w:space="0" w:color="auto"/>
              <w:left w:val="single" w:sz="6" w:space="0" w:color="auto"/>
              <w:bottom w:val="single" w:sz="6" w:space="0" w:color="auto"/>
              <w:right w:val="single" w:sz="6" w:space="0" w:color="auto"/>
            </w:tcBorders>
            <w:hideMark/>
          </w:tcPr>
          <w:p w14:paraId="0A87BB9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0.066 </w:t>
            </w:r>
          </w:p>
        </w:tc>
        <w:tc>
          <w:tcPr>
            <w:tcW w:w="174" w:type="pct"/>
            <w:tcBorders>
              <w:top w:val="single" w:sz="6" w:space="0" w:color="auto"/>
              <w:left w:val="single" w:sz="6" w:space="0" w:color="auto"/>
              <w:bottom w:val="single" w:sz="6" w:space="0" w:color="auto"/>
              <w:right w:val="single" w:sz="6" w:space="0" w:color="auto"/>
            </w:tcBorders>
            <w:hideMark/>
          </w:tcPr>
          <w:p w14:paraId="1433D63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0.062 </w:t>
            </w:r>
          </w:p>
        </w:tc>
        <w:tc>
          <w:tcPr>
            <w:tcW w:w="174" w:type="pct"/>
            <w:tcBorders>
              <w:top w:val="single" w:sz="6" w:space="0" w:color="auto"/>
              <w:left w:val="single" w:sz="6" w:space="0" w:color="auto"/>
              <w:bottom w:val="single" w:sz="6" w:space="0" w:color="auto"/>
              <w:right w:val="single" w:sz="6" w:space="0" w:color="auto"/>
            </w:tcBorders>
            <w:hideMark/>
          </w:tcPr>
          <w:p w14:paraId="23AEA1DA"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7D83EACE"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0.055 </w:t>
            </w:r>
          </w:p>
        </w:tc>
        <w:tc>
          <w:tcPr>
            <w:tcW w:w="174" w:type="pct"/>
            <w:tcBorders>
              <w:top w:val="single" w:sz="6" w:space="0" w:color="auto"/>
              <w:left w:val="single" w:sz="6" w:space="0" w:color="auto"/>
              <w:bottom w:val="single" w:sz="6" w:space="0" w:color="auto"/>
              <w:right w:val="single" w:sz="6" w:space="0" w:color="auto"/>
            </w:tcBorders>
            <w:hideMark/>
          </w:tcPr>
          <w:p w14:paraId="48D3CD0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006D90D7"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0.050 </w:t>
            </w:r>
          </w:p>
        </w:tc>
        <w:tc>
          <w:tcPr>
            <w:tcW w:w="174" w:type="pct"/>
            <w:tcBorders>
              <w:top w:val="single" w:sz="6" w:space="0" w:color="auto"/>
              <w:left w:val="single" w:sz="6" w:space="0" w:color="auto"/>
              <w:bottom w:val="single" w:sz="6" w:space="0" w:color="auto"/>
              <w:right w:val="single" w:sz="6" w:space="0" w:color="auto"/>
            </w:tcBorders>
            <w:hideMark/>
          </w:tcPr>
          <w:p w14:paraId="065A2EEC"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4CC6CAA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015979D7"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0.043 </w:t>
            </w:r>
          </w:p>
        </w:tc>
        <w:tc>
          <w:tcPr>
            <w:tcW w:w="174" w:type="pct"/>
            <w:tcBorders>
              <w:top w:val="single" w:sz="6" w:space="0" w:color="auto"/>
              <w:left w:val="single" w:sz="6" w:space="0" w:color="auto"/>
              <w:bottom w:val="single" w:sz="6" w:space="0" w:color="auto"/>
              <w:right w:val="single" w:sz="6" w:space="0" w:color="auto"/>
            </w:tcBorders>
            <w:hideMark/>
          </w:tcPr>
          <w:p w14:paraId="60A3E96C"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0B3EB68C"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7FEDBD6C"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5E88CAA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40D32A3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0.021 </w:t>
            </w:r>
          </w:p>
        </w:tc>
        <w:tc>
          <w:tcPr>
            <w:tcW w:w="8" w:type="pct"/>
            <w:vAlign w:val="center"/>
            <w:hideMark/>
          </w:tcPr>
          <w:p w14:paraId="0007F0CE" w14:textId="77777777" w:rsidR="00DB1AEE" w:rsidRPr="00DB1AEE" w:rsidRDefault="00DB1AEE" w:rsidP="00DB1AEE">
            <w:pPr>
              <w:widowControl w:val="0"/>
              <w:suppressAutoHyphens/>
              <w:autoSpaceDE w:val="0"/>
              <w:autoSpaceDN w:val="0"/>
              <w:jc w:val="left"/>
              <w:rPr>
                <w:b/>
                <w:iCs/>
                <w:szCs w:val="24"/>
                <w:u w:val="single"/>
                <w:lang w:bidi="en-US"/>
              </w:rPr>
            </w:pPr>
          </w:p>
        </w:tc>
      </w:tr>
      <w:tr w:rsidR="00DB1AEE" w:rsidRPr="00DB1AEE" w14:paraId="3872A7E7" w14:textId="77777777" w:rsidTr="00FC1832">
        <w:trPr>
          <w:trHeight w:val="237"/>
        </w:trPr>
        <w:tc>
          <w:tcPr>
            <w:tcW w:w="665" w:type="pct"/>
            <w:tcBorders>
              <w:top w:val="single" w:sz="6" w:space="0" w:color="auto"/>
              <w:left w:val="single" w:sz="6" w:space="0" w:color="auto"/>
              <w:bottom w:val="single" w:sz="6" w:space="0" w:color="auto"/>
              <w:right w:val="single" w:sz="6" w:space="0" w:color="auto"/>
            </w:tcBorders>
            <w:hideMark/>
          </w:tcPr>
          <w:p w14:paraId="62D39671"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19 </w:t>
            </w:r>
          </w:p>
        </w:tc>
        <w:tc>
          <w:tcPr>
            <w:tcW w:w="855" w:type="pct"/>
            <w:tcBorders>
              <w:top w:val="single" w:sz="6" w:space="0" w:color="auto"/>
              <w:left w:val="single" w:sz="6" w:space="0" w:color="auto"/>
              <w:bottom w:val="single" w:sz="6" w:space="0" w:color="auto"/>
              <w:right w:val="single" w:sz="6" w:space="0" w:color="auto"/>
            </w:tcBorders>
            <w:hideMark/>
          </w:tcPr>
          <w:p w14:paraId="6A3F62E9"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0.116 </w:t>
            </w:r>
          </w:p>
        </w:tc>
        <w:tc>
          <w:tcPr>
            <w:tcW w:w="174" w:type="pct"/>
            <w:tcBorders>
              <w:top w:val="single" w:sz="6" w:space="0" w:color="auto"/>
              <w:left w:val="single" w:sz="6" w:space="0" w:color="auto"/>
              <w:bottom w:val="single" w:sz="6" w:space="0" w:color="auto"/>
              <w:right w:val="single" w:sz="6" w:space="0" w:color="auto"/>
            </w:tcBorders>
            <w:hideMark/>
          </w:tcPr>
          <w:p w14:paraId="1CC27A22"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0.104 </w:t>
            </w:r>
          </w:p>
        </w:tc>
        <w:tc>
          <w:tcPr>
            <w:tcW w:w="174" w:type="pct"/>
            <w:tcBorders>
              <w:top w:val="single" w:sz="6" w:space="0" w:color="auto"/>
              <w:left w:val="single" w:sz="6" w:space="0" w:color="auto"/>
              <w:bottom w:val="single" w:sz="6" w:space="0" w:color="auto"/>
              <w:right w:val="single" w:sz="6" w:space="0" w:color="auto"/>
            </w:tcBorders>
            <w:hideMark/>
          </w:tcPr>
          <w:p w14:paraId="6BD43CF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0.094 </w:t>
            </w:r>
          </w:p>
        </w:tc>
        <w:tc>
          <w:tcPr>
            <w:tcW w:w="174" w:type="pct"/>
            <w:tcBorders>
              <w:top w:val="single" w:sz="6" w:space="0" w:color="auto"/>
              <w:left w:val="single" w:sz="6" w:space="0" w:color="auto"/>
              <w:bottom w:val="single" w:sz="6" w:space="0" w:color="auto"/>
              <w:right w:val="single" w:sz="6" w:space="0" w:color="auto"/>
            </w:tcBorders>
            <w:hideMark/>
          </w:tcPr>
          <w:p w14:paraId="4834E9E3"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0.086 </w:t>
            </w:r>
          </w:p>
        </w:tc>
        <w:tc>
          <w:tcPr>
            <w:tcW w:w="174" w:type="pct"/>
            <w:tcBorders>
              <w:top w:val="single" w:sz="6" w:space="0" w:color="auto"/>
              <w:left w:val="single" w:sz="6" w:space="0" w:color="auto"/>
              <w:bottom w:val="single" w:sz="6" w:space="0" w:color="auto"/>
              <w:right w:val="single" w:sz="6" w:space="0" w:color="auto"/>
            </w:tcBorders>
            <w:hideMark/>
          </w:tcPr>
          <w:p w14:paraId="30FD8EFE"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0.079 </w:t>
            </w:r>
          </w:p>
        </w:tc>
        <w:tc>
          <w:tcPr>
            <w:tcW w:w="174" w:type="pct"/>
            <w:tcBorders>
              <w:top w:val="single" w:sz="6" w:space="0" w:color="auto"/>
              <w:left w:val="single" w:sz="6" w:space="0" w:color="auto"/>
              <w:bottom w:val="single" w:sz="6" w:space="0" w:color="auto"/>
              <w:right w:val="single" w:sz="6" w:space="0" w:color="auto"/>
            </w:tcBorders>
            <w:hideMark/>
          </w:tcPr>
          <w:p w14:paraId="0A6384D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0.073 </w:t>
            </w:r>
          </w:p>
        </w:tc>
        <w:tc>
          <w:tcPr>
            <w:tcW w:w="174" w:type="pct"/>
            <w:tcBorders>
              <w:top w:val="single" w:sz="6" w:space="0" w:color="auto"/>
              <w:left w:val="single" w:sz="6" w:space="0" w:color="auto"/>
              <w:bottom w:val="single" w:sz="6" w:space="0" w:color="auto"/>
              <w:right w:val="single" w:sz="6" w:space="0" w:color="auto"/>
            </w:tcBorders>
            <w:hideMark/>
          </w:tcPr>
          <w:p w14:paraId="26EBC21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0.068 </w:t>
            </w:r>
          </w:p>
        </w:tc>
        <w:tc>
          <w:tcPr>
            <w:tcW w:w="174" w:type="pct"/>
            <w:tcBorders>
              <w:top w:val="single" w:sz="6" w:space="0" w:color="auto"/>
              <w:left w:val="single" w:sz="6" w:space="0" w:color="auto"/>
              <w:bottom w:val="single" w:sz="6" w:space="0" w:color="auto"/>
              <w:right w:val="single" w:sz="6" w:space="0" w:color="auto"/>
            </w:tcBorders>
            <w:hideMark/>
          </w:tcPr>
          <w:p w14:paraId="3D809BC1"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0.064 </w:t>
            </w:r>
          </w:p>
        </w:tc>
        <w:tc>
          <w:tcPr>
            <w:tcW w:w="174" w:type="pct"/>
            <w:tcBorders>
              <w:top w:val="single" w:sz="6" w:space="0" w:color="auto"/>
              <w:left w:val="single" w:sz="6" w:space="0" w:color="auto"/>
              <w:bottom w:val="single" w:sz="6" w:space="0" w:color="auto"/>
              <w:right w:val="single" w:sz="6" w:space="0" w:color="auto"/>
            </w:tcBorders>
            <w:hideMark/>
          </w:tcPr>
          <w:p w14:paraId="09E420F2"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0FD091A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0.057 </w:t>
            </w:r>
          </w:p>
        </w:tc>
        <w:tc>
          <w:tcPr>
            <w:tcW w:w="174" w:type="pct"/>
            <w:tcBorders>
              <w:top w:val="single" w:sz="6" w:space="0" w:color="auto"/>
              <w:left w:val="single" w:sz="6" w:space="0" w:color="auto"/>
              <w:bottom w:val="single" w:sz="6" w:space="0" w:color="auto"/>
              <w:right w:val="single" w:sz="6" w:space="0" w:color="auto"/>
            </w:tcBorders>
            <w:hideMark/>
          </w:tcPr>
          <w:p w14:paraId="4F6F52F5"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0.054 </w:t>
            </w:r>
          </w:p>
        </w:tc>
        <w:tc>
          <w:tcPr>
            <w:tcW w:w="174" w:type="pct"/>
            <w:tcBorders>
              <w:top w:val="single" w:sz="6" w:space="0" w:color="auto"/>
              <w:left w:val="single" w:sz="6" w:space="0" w:color="auto"/>
              <w:bottom w:val="single" w:sz="6" w:space="0" w:color="auto"/>
              <w:right w:val="single" w:sz="6" w:space="0" w:color="auto"/>
            </w:tcBorders>
            <w:hideMark/>
          </w:tcPr>
          <w:p w14:paraId="7CCE64CE"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14FE30F1"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76A85BF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33DE4CA9"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722FAF2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2A5F817A"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0.035 </w:t>
            </w:r>
          </w:p>
        </w:tc>
        <w:tc>
          <w:tcPr>
            <w:tcW w:w="174" w:type="pct"/>
            <w:tcBorders>
              <w:top w:val="single" w:sz="6" w:space="0" w:color="auto"/>
              <w:left w:val="single" w:sz="6" w:space="0" w:color="auto"/>
              <w:bottom w:val="single" w:sz="6" w:space="0" w:color="auto"/>
              <w:right w:val="single" w:sz="6" w:space="0" w:color="auto"/>
            </w:tcBorders>
            <w:hideMark/>
          </w:tcPr>
          <w:p w14:paraId="2CF6E72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170FC2F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52B6CC0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49BEFE8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0.021 </w:t>
            </w:r>
          </w:p>
        </w:tc>
        <w:tc>
          <w:tcPr>
            <w:tcW w:w="8" w:type="pct"/>
            <w:vAlign w:val="center"/>
            <w:hideMark/>
          </w:tcPr>
          <w:p w14:paraId="3F36E818" w14:textId="77777777" w:rsidR="00DB1AEE" w:rsidRPr="00DB1AEE" w:rsidRDefault="00DB1AEE" w:rsidP="00DB1AEE">
            <w:pPr>
              <w:widowControl w:val="0"/>
              <w:suppressAutoHyphens/>
              <w:autoSpaceDE w:val="0"/>
              <w:autoSpaceDN w:val="0"/>
              <w:jc w:val="left"/>
              <w:rPr>
                <w:b/>
                <w:iCs/>
                <w:szCs w:val="24"/>
                <w:u w:val="single"/>
                <w:lang w:bidi="en-US"/>
              </w:rPr>
            </w:pPr>
          </w:p>
        </w:tc>
      </w:tr>
      <w:tr w:rsidR="00DB1AEE" w:rsidRPr="00DB1AEE" w14:paraId="278FCA54" w14:textId="77777777" w:rsidTr="00FC1832">
        <w:trPr>
          <w:trHeight w:val="201"/>
        </w:trPr>
        <w:tc>
          <w:tcPr>
            <w:tcW w:w="665" w:type="pct"/>
            <w:tcBorders>
              <w:top w:val="single" w:sz="6" w:space="0" w:color="auto"/>
              <w:left w:val="single" w:sz="6" w:space="0" w:color="auto"/>
              <w:bottom w:val="single" w:sz="6" w:space="0" w:color="auto"/>
              <w:right w:val="single" w:sz="6" w:space="0" w:color="auto"/>
            </w:tcBorders>
            <w:hideMark/>
          </w:tcPr>
          <w:p w14:paraId="21A011D3"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21 </w:t>
            </w:r>
          </w:p>
        </w:tc>
        <w:tc>
          <w:tcPr>
            <w:tcW w:w="855" w:type="pct"/>
            <w:tcBorders>
              <w:top w:val="single" w:sz="6" w:space="0" w:color="auto"/>
              <w:left w:val="single" w:sz="6" w:space="0" w:color="auto"/>
              <w:bottom w:val="single" w:sz="6" w:space="0" w:color="auto"/>
              <w:right w:val="single" w:sz="6" w:space="0" w:color="auto"/>
            </w:tcBorders>
            <w:hideMark/>
          </w:tcPr>
          <w:p w14:paraId="14D89B61"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0.113 </w:t>
            </w:r>
          </w:p>
        </w:tc>
        <w:tc>
          <w:tcPr>
            <w:tcW w:w="174" w:type="pct"/>
            <w:tcBorders>
              <w:top w:val="single" w:sz="6" w:space="0" w:color="auto"/>
              <w:left w:val="single" w:sz="6" w:space="0" w:color="auto"/>
              <w:bottom w:val="single" w:sz="6" w:space="0" w:color="auto"/>
              <w:right w:val="single" w:sz="6" w:space="0" w:color="auto"/>
            </w:tcBorders>
            <w:hideMark/>
          </w:tcPr>
          <w:p w14:paraId="54CD95E7"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0.102 </w:t>
            </w:r>
          </w:p>
        </w:tc>
        <w:tc>
          <w:tcPr>
            <w:tcW w:w="174" w:type="pct"/>
            <w:tcBorders>
              <w:top w:val="single" w:sz="6" w:space="0" w:color="auto"/>
              <w:left w:val="single" w:sz="6" w:space="0" w:color="auto"/>
              <w:bottom w:val="single" w:sz="6" w:space="0" w:color="auto"/>
              <w:right w:val="single" w:sz="6" w:space="0" w:color="auto"/>
            </w:tcBorders>
            <w:hideMark/>
          </w:tcPr>
          <w:p w14:paraId="6DFCAB9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0.092 </w:t>
            </w:r>
          </w:p>
        </w:tc>
        <w:tc>
          <w:tcPr>
            <w:tcW w:w="174" w:type="pct"/>
            <w:tcBorders>
              <w:top w:val="single" w:sz="6" w:space="0" w:color="auto"/>
              <w:left w:val="single" w:sz="6" w:space="0" w:color="auto"/>
              <w:bottom w:val="single" w:sz="6" w:space="0" w:color="auto"/>
              <w:right w:val="single" w:sz="6" w:space="0" w:color="auto"/>
            </w:tcBorders>
            <w:hideMark/>
          </w:tcPr>
          <w:p w14:paraId="114E9BB1"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0.084 </w:t>
            </w:r>
          </w:p>
        </w:tc>
        <w:tc>
          <w:tcPr>
            <w:tcW w:w="174" w:type="pct"/>
            <w:tcBorders>
              <w:top w:val="single" w:sz="6" w:space="0" w:color="auto"/>
              <w:left w:val="single" w:sz="6" w:space="0" w:color="auto"/>
              <w:bottom w:val="single" w:sz="6" w:space="0" w:color="auto"/>
              <w:right w:val="single" w:sz="6" w:space="0" w:color="auto"/>
            </w:tcBorders>
            <w:hideMark/>
          </w:tcPr>
          <w:p w14:paraId="0FB789D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0.078 </w:t>
            </w:r>
          </w:p>
        </w:tc>
        <w:tc>
          <w:tcPr>
            <w:tcW w:w="174" w:type="pct"/>
            <w:tcBorders>
              <w:top w:val="single" w:sz="6" w:space="0" w:color="auto"/>
              <w:left w:val="single" w:sz="6" w:space="0" w:color="auto"/>
              <w:bottom w:val="single" w:sz="6" w:space="0" w:color="auto"/>
              <w:right w:val="single" w:sz="6" w:space="0" w:color="auto"/>
            </w:tcBorders>
            <w:hideMark/>
          </w:tcPr>
          <w:p w14:paraId="0F2F4A2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0.072 </w:t>
            </w:r>
          </w:p>
        </w:tc>
        <w:tc>
          <w:tcPr>
            <w:tcW w:w="174" w:type="pct"/>
            <w:tcBorders>
              <w:top w:val="single" w:sz="6" w:space="0" w:color="auto"/>
              <w:left w:val="single" w:sz="6" w:space="0" w:color="auto"/>
              <w:bottom w:val="single" w:sz="6" w:space="0" w:color="auto"/>
              <w:right w:val="single" w:sz="6" w:space="0" w:color="auto"/>
            </w:tcBorders>
            <w:hideMark/>
          </w:tcPr>
          <w:p w14:paraId="243CA697"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0.067 </w:t>
            </w:r>
          </w:p>
        </w:tc>
        <w:tc>
          <w:tcPr>
            <w:tcW w:w="174" w:type="pct"/>
            <w:tcBorders>
              <w:top w:val="single" w:sz="6" w:space="0" w:color="auto"/>
              <w:left w:val="single" w:sz="6" w:space="0" w:color="auto"/>
              <w:bottom w:val="single" w:sz="6" w:space="0" w:color="auto"/>
              <w:right w:val="single" w:sz="6" w:space="0" w:color="auto"/>
            </w:tcBorders>
            <w:hideMark/>
          </w:tcPr>
          <w:p w14:paraId="45CFC253"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4E5ED15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269161E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326695D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248F43A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0.050 </w:t>
            </w:r>
          </w:p>
        </w:tc>
        <w:tc>
          <w:tcPr>
            <w:tcW w:w="174" w:type="pct"/>
            <w:tcBorders>
              <w:top w:val="single" w:sz="6" w:space="0" w:color="auto"/>
              <w:left w:val="single" w:sz="6" w:space="0" w:color="auto"/>
              <w:bottom w:val="single" w:sz="6" w:space="0" w:color="auto"/>
              <w:right w:val="single" w:sz="6" w:space="0" w:color="auto"/>
            </w:tcBorders>
            <w:hideMark/>
          </w:tcPr>
          <w:p w14:paraId="272342C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0EC47481"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21B6278C"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6417DF8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02E81F2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0.035 </w:t>
            </w:r>
          </w:p>
        </w:tc>
        <w:tc>
          <w:tcPr>
            <w:tcW w:w="174" w:type="pct"/>
            <w:tcBorders>
              <w:top w:val="single" w:sz="6" w:space="0" w:color="auto"/>
              <w:left w:val="single" w:sz="6" w:space="0" w:color="auto"/>
              <w:bottom w:val="single" w:sz="6" w:space="0" w:color="auto"/>
              <w:right w:val="single" w:sz="6" w:space="0" w:color="auto"/>
            </w:tcBorders>
            <w:hideMark/>
          </w:tcPr>
          <w:p w14:paraId="1E010453"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280FAB1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7C244289"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16197B2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0.020 </w:t>
            </w:r>
          </w:p>
        </w:tc>
        <w:tc>
          <w:tcPr>
            <w:tcW w:w="8" w:type="pct"/>
            <w:vAlign w:val="center"/>
            <w:hideMark/>
          </w:tcPr>
          <w:p w14:paraId="6A966AE5" w14:textId="77777777" w:rsidR="00DB1AEE" w:rsidRPr="00DB1AEE" w:rsidRDefault="00DB1AEE" w:rsidP="00DB1AEE">
            <w:pPr>
              <w:widowControl w:val="0"/>
              <w:suppressAutoHyphens/>
              <w:autoSpaceDE w:val="0"/>
              <w:autoSpaceDN w:val="0"/>
              <w:jc w:val="left"/>
              <w:rPr>
                <w:b/>
                <w:iCs/>
                <w:szCs w:val="24"/>
                <w:u w:val="single"/>
                <w:lang w:bidi="en-US"/>
              </w:rPr>
            </w:pPr>
          </w:p>
        </w:tc>
      </w:tr>
      <w:tr w:rsidR="00DB1AEE" w:rsidRPr="00DB1AEE" w14:paraId="6376338F" w14:textId="77777777" w:rsidTr="00FC1832">
        <w:trPr>
          <w:trHeight w:val="246"/>
        </w:trPr>
        <w:tc>
          <w:tcPr>
            <w:tcW w:w="665" w:type="pct"/>
            <w:tcBorders>
              <w:top w:val="single" w:sz="6" w:space="0" w:color="auto"/>
              <w:left w:val="single" w:sz="6" w:space="0" w:color="auto"/>
              <w:bottom w:val="single" w:sz="6" w:space="0" w:color="auto"/>
              <w:right w:val="single" w:sz="6" w:space="0" w:color="auto"/>
            </w:tcBorders>
            <w:hideMark/>
          </w:tcPr>
          <w:p w14:paraId="5251CB03"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25 </w:t>
            </w:r>
          </w:p>
        </w:tc>
        <w:tc>
          <w:tcPr>
            <w:tcW w:w="855" w:type="pct"/>
            <w:tcBorders>
              <w:top w:val="single" w:sz="6" w:space="0" w:color="auto"/>
              <w:left w:val="single" w:sz="6" w:space="0" w:color="auto"/>
              <w:bottom w:val="single" w:sz="6" w:space="0" w:color="auto"/>
              <w:right w:val="single" w:sz="6" w:space="0" w:color="auto"/>
            </w:tcBorders>
            <w:hideMark/>
          </w:tcPr>
          <w:p w14:paraId="26E60B6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0.109 </w:t>
            </w:r>
          </w:p>
        </w:tc>
        <w:tc>
          <w:tcPr>
            <w:tcW w:w="174" w:type="pct"/>
            <w:tcBorders>
              <w:top w:val="single" w:sz="6" w:space="0" w:color="auto"/>
              <w:left w:val="single" w:sz="6" w:space="0" w:color="auto"/>
              <w:bottom w:val="single" w:sz="6" w:space="0" w:color="auto"/>
              <w:right w:val="single" w:sz="6" w:space="0" w:color="auto"/>
            </w:tcBorders>
            <w:hideMark/>
          </w:tcPr>
          <w:p w14:paraId="62505C09"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0.098 </w:t>
            </w:r>
          </w:p>
        </w:tc>
        <w:tc>
          <w:tcPr>
            <w:tcW w:w="174" w:type="pct"/>
            <w:tcBorders>
              <w:top w:val="single" w:sz="6" w:space="0" w:color="auto"/>
              <w:left w:val="single" w:sz="6" w:space="0" w:color="auto"/>
              <w:bottom w:val="single" w:sz="6" w:space="0" w:color="auto"/>
              <w:right w:val="single" w:sz="6" w:space="0" w:color="auto"/>
            </w:tcBorders>
            <w:hideMark/>
          </w:tcPr>
          <w:p w14:paraId="3FE7BB82"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0.089 </w:t>
            </w:r>
          </w:p>
        </w:tc>
        <w:tc>
          <w:tcPr>
            <w:tcW w:w="174" w:type="pct"/>
            <w:tcBorders>
              <w:top w:val="single" w:sz="6" w:space="0" w:color="auto"/>
              <w:left w:val="single" w:sz="6" w:space="0" w:color="auto"/>
              <w:bottom w:val="single" w:sz="6" w:space="0" w:color="auto"/>
              <w:right w:val="single" w:sz="6" w:space="0" w:color="auto"/>
            </w:tcBorders>
            <w:hideMark/>
          </w:tcPr>
          <w:p w14:paraId="381135D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0.082 </w:t>
            </w:r>
          </w:p>
        </w:tc>
        <w:tc>
          <w:tcPr>
            <w:tcW w:w="174" w:type="pct"/>
            <w:tcBorders>
              <w:top w:val="single" w:sz="6" w:space="0" w:color="auto"/>
              <w:left w:val="single" w:sz="6" w:space="0" w:color="auto"/>
              <w:bottom w:val="single" w:sz="6" w:space="0" w:color="auto"/>
              <w:right w:val="single" w:sz="6" w:space="0" w:color="auto"/>
            </w:tcBorders>
            <w:hideMark/>
          </w:tcPr>
          <w:p w14:paraId="074AEA6C"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0.076 </w:t>
            </w:r>
          </w:p>
        </w:tc>
        <w:tc>
          <w:tcPr>
            <w:tcW w:w="174" w:type="pct"/>
            <w:tcBorders>
              <w:top w:val="single" w:sz="6" w:space="0" w:color="auto"/>
              <w:left w:val="single" w:sz="6" w:space="0" w:color="auto"/>
              <w:bottom w:val="single" w:sz="6" w:space="0" w:color="auto"/>
              <w:right w:val="single" w:sz="6" w:space="0" w:color="auto"/>
            </w:tcBorders>
            <w:hideMark/>
          </w:tcPr>
          <w:p w14:paraId="600FF3FE"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0.070 </w:t>
            </w:r>
          </w:p>
        </w:tc>
        <w:tc>
          <w:tcPr>
            <w:tcW w:w="174" w:type="pct"/>
            <w:tcBorders>
              <w:top w:val="single" w:sz="6" w:space="0" w:color="auto"/>
              <w:left w:val="single" w:sz="6" w:space="0" w:color="auto"/>
              <w:bottom w:val="single" w:sz="6" w:space="0" w:color="auto"/>
              <w:right w:val="single" w:sz="6" w:space="0" w:color="auto"/>
            </w:tcBorders>
            <w:hideMark/>
          </w:tcPr>
          <w:p w14:paraId="5F10516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0.066 </w:t>
            </w:r>
          </w:p>
        </w:tc>
        <w:tc>
          <w:tcPr>
            <w:tcW w:w="174" w:type="pct"/>
            <w:tcBorders>
              <w:top w:val="single" w:sz="6" w:space="0" w:color="auto"/>
              <w:left w:val="single" w:sz="6" w:space="0" w:color="auto"/>
              <w:bottom w:val="single" w:sz="6" w:space="0" w:color="auto"/>
              <w:right w:val="single" w:sz="6" w:space="0" w:color="auto"/>
            </w:tcBorders>
            <w:hideMark/>
          </w:tcPr>
          <w:p w14:paraId="100FDF79"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0.062 </w:t>
            </w:r>
          </w:p>
        </w:tc>
        <w:tc>
          <w:tcPr>
            <w:tcW w:w="174" w:type="pct"/>
            <w:tcBorders>
              <w:top w:val="single" w:sz="6" w:space="0" w:color="auto"/>
              <w:left w:val="single" w:sz="6" w:space="0" w:color="auto"/>
              <w:bottom w:val="single" w:sz="6" w:space="0" w:color="auto"/>
              <w:right w:val="single" w:sz="6" w:space="0" w:color="auto"/>
            </w:tcBorders>
            <w:hideMark/>
          </w:tcPr>
          <w:p w14:paraId="4BFCCC85"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0.058 </w:t>
            </w:r>
          </w:p>
        </w:tc>
        <w:tc>
          <w:tcPr>
            <w:tcW w:w="174" w:type="pct"/>
            <w:tcBorders>
              <w:top w:val="single" w:sz="6" w:space="0" w:color="auto"/>
              <w:left w:val="single" w:sz="6" w:space="0" w:color="auto"/>
              <w:bottom w:val="single" w:sz="6" w:space="0" w:color="auto"/>
              <w:right w:val="single" w:sz="6" w:space="0" w:color="auto"/>
            </w:tcBorders>
            <w:hideMark/>
          </w:tcPr>
          <w:p w14:paraId="3C3EE08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0.055 </w:t>
            </w:r>
          </w:p>
        </w:tc>
        <w:tc>
          <w:tcPr>
            <w:tcW w:w="174" w:type="pct"/>
            <w:tcBorders>
              <w:top w:val="single" w:sz="6" w:space="0" w:color="auto"/>
              <w:left w:val="single" w:sz="6" w:space="0" w:color="auto"/>
              <w:bottom w:val="single" w:sz="6" w:space="0" w:color="auto"/>
              <w:right w:val="single" w:sz="6" w:space="0" w:color="auto"/>
            </w:tcBorders>
            <w:hideMark/>
          </w:tcPr>
          <w:p w14:paraId="5339AA69"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664B5D87"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744FE6A5"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385049A5"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7B260299"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0.043 </w:t>
            </w:r>
          </w:p>
        </w:tc>
        <w:tc>
          <w:tcPr>
            <w:tcW w:w="174" w:type="pct"/>
            <w:tcBorders>
              <w:top w:val="single" w:sz="6" w:space="0" w:color="auto"/>
              <w:left w:val="single" w:sz="6" w:space="0" w:color="auto"/>
              <w:bottom w:val="single" w:sz="6" w:space="0" w:color="auto"/>
              <w:right w:val="single" w:sz="6" w:space="0" w:color="auto"/>
            </w:tcBorders>
            <w:hideMark/>
          </w:tcPr>
          <w:p w14:paraId="7C3EA89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0.041 </w:t>
            </w:r>
          </w:p>
        </w:tc>
        <w:tc>
          <w:tcPr>
            <w:tcW w:w="174" w:type="pct"/>
            <w:tcBorders>
              <w:top w:val="single" w:sz="6" w:space="0" w:color="auto"/>
              <w:left w:val="single" w:sz="6" w:space="0" w:color="auto"/>
              <w:bottom w:val="single" w:sz="6" w:space="0" w:color="auto"/>
              <w:right w:val="single" w:sz="6" w:space="0" w:color="auto"/>
            </w:tcBorders>
            <w:hideMark/>
          </w:tcPr>
          <w:p w14:paraId="0AD73A6C"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0.034 </w:t>
            </w:r>
          </w:p>
        </w:tc>
        <w:tc>
          <w:tcPr>
            <w:tcW w:w="174" w:type="pct"/>
            <w:tcBorders>
              <w:top w:val="single" w:sz="6" w:space="0" w:color="auto"/>
              <w:left w:val="single" w:sz="6" w:space="0" w:color="auto"/>
              <w:bottom w:val="single" w:sz="6" w:space="0" w:color="auto"/>
              <w:right w:val="single" w:sz="6" w:space="0" w:color="auto"/>
            </w:tcBorders>
            <w:hideMark/>
          </w:tcPr>
          <w:p w14:paraId="7DE8FB4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0.029 </w:t>
            </w:r>
          </w:p>
        </w:tc>
        <w:tc>
          <w:tcPr>
            <w:tcW w:w="174" w:type="pct"/>
            <w:tcBorders>
              <w:top w:val="single" w:sz="6" w:space="0" w:color="auto"/>
              <w:left w:val="single" w:sz="6" w:space="0" w:color="auto"/>
              <w:bottom w:val="single" w:sz="6" w:space="0" w:color="auto"/>
              <w:right w:val="single" w:sz="6" w:space="0" w:color="auto"/>
            </w:tcBorders>
            <w:hideMark/>
          </w:tcPr>
          <w:p w14:paraId="6DFDB06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3865744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272B84D1"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0.020 </w:t>
            </w:r>
          </w:p>
        </w:tc>
        <w:tc>
          <w:tcPr>
            <w:tcW w:w="8" w:type="pct"/>
            <w:vAlign w:val="center"/>
            <w:hideMark/>
          </w:tcPr>
          <w:p w14:paraId="4B930D68" w14:textId="77777777" w:rsidR="00DB1AEE" w:rsidRPr="00DB1AEE" w:rsidRDefault="00DB1AEE" w:rsidP="00DB1AEE">
            <w:pPr>
              <w:widowControl w:val="0"/>
              <w:suppressAutoHyphens/>
              <w:autoSpaceDE w:val="0"/>
              <w:autoSpaceDN w:val="0"/>
              <w:jc w:val="left"/>
              <w:rPr>
                <w:b/>
                <w:iCs/>
                <w:szCs w:val="24"/>
                <w:u w:val="single"/>
                <w:lang w:bidi="en-US"/>
              </w:rPr>
            </w:pPr>
          </w:p>
        </w:tc>
      </w:tr>
      <w:tr w:rsidR="00DB1AEE" w:rsidRPr="00DB1AEE" w14:paraId="721CA698" w14:textId="77777777" w:rsidTr="00FC1832">
        <w:trPr>
          <w:trHeight w:val="291"/>
        </w:trPr>
        <w:tc>
          <w:tcPr>
            <w:tcW w:w="665" w:type="pct"/>
            <w:tcBorders>
              <w:top w:val="single" w:sz="6" w:space="0" w:color="auto"/>
              <w:left w:val="single" w:sz="6" w:space="0" w:color="auto"/>
              <w:bottom w:val="single" w:sz="6" w:space="0" w:color="auto"/>
              <w:right w:val="single" w:sz="6" w:space="0" w:color="auto"/>
            </w:tcBorders>
            <w:hideMark/>
          </w:tcPr>
          <w:p w14:paraId="48A4DA8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30 </w:t>
            </w:r>
          </w:p>
        </w:tc>
        <w:tc>
          <w:tcPr>
            <w:tcW w:w="855" w:type="pct"/>
            <w:tcBorders>
              <w:top w:val="single" w:sz="6" w:space="0" w:color="auto"/>
              <w:left w:val="single" w:sz="6" w:space="0" w:color="auto"/>
              <w:bottom w:val="single" w:sz="6" w:space="0" w:color="auto"/>
              <w:right w:val="single" w:sz="6" w:space="0" w:color="auto"/>
            </w:tcBorders>
            <w:hideMark/>
          </w:tcPr>
          <w:p w14:paraId="776138B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0.105 </w:t>
            </w:r>
          </w:p>
        </w:tc>
        <w:tc>
          <w:tcPr>
            <w:tcW w:w="174" w:type="pct"/>
            <w:tcBorders>
              <w:top w:val="single" w:sz="6" w:space="0" w:color="auto"/>
              <w:left w:val="single" w:sz="6" w:space="0" w:color="auto"/>
              <w:bottom w:val="single" w:sz="6" w:space="0" w:color="auto"/>
              <w:right w:val="single" w:sz="6" w:space="0" w:color="auto"/>
            </w:tcBorders>
            <w:hideMark/>
          </w:tcPr>
          <w:p w14:paraId="67CAFC4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0.095 </w:t>
            </w:r>
          </w:p>
        </w:tc>
        <w:tc>
          <w:tcPr>
            <w:tcW w:w="174" w:type="pct"/>
            <w:tcBorders>
              <w:top w:val="single" w:sz="6" w:space="0" w:color="auto"/>
              <w:left w:val="single" w:sz="6" w:space="0" w:color="auto"/>
              <w:bottom w:val="single" w:sz="6" w:space="0" w:color="auto"/>
              <w:right w:val="single" w:sz="6" w:space="0" w:color="auto"/>
            </w:tcBorders>
            <w:hideMark/>
          </w:tcPr>
          <w:p w14:paraId="713E4587"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0.086 </w:t>
            </w:r>
          </w:p>
        </w:tc>
        <w:tc>
          <w:tcPr>
            <w:tcW w:w="174" w:type="pct"/>
            <w:tcBorders>
              <w:top w:val="single" w:sz="6" w:space="0" w:color="auto"/>
              <w:left w:val="single" w:sz="6" w:space="0" w:color="auto"/>
              <w:bottom w:val="single" w:sz="6" w:space="0" w:color="auto"/>
              <w:right w:val="single" w:sz="6" w:space="0" w:color="auto"/>
            </w:tcBorders>
            <w:hideMark/>
          </w:tcPr>
          <w:p w14:paraId="7CFE3C4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0.080 </w:t>
            </w:r>
          </w:p>
        </w:tc>
        <w:tc>
          <w:tcPr>
            <w:tcW w:w="174" w:type="pct"/>
            <w:tcBorders>
              <w:top w:val="single" w:sz="6" w:space="0" w:color="auto"/>
              <w:left w:val="single" w:sz="6" w:space="0" w:color="auto"/>
              <w:bottom w:val="single" w:sz="6" w:space="0" w:color="auto"/>
              <w:right w:val="single" w:sz="6" w:space="0" w:color="auto"/>
            </w:tcBorders>
            <w:hideMark/>
          </w:tcPr>
          <w:p w14:paraId="405B9A41"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0.074 </w:t>
            </w:r>
          </w:p>
        </w:tc>
        <w:tc>
          <w:tcPr>
            <w:tcW w:w="174" w:type="pct"/>
            <w:tcBorders>
              <w:top w:val="single" w:sz="6" w:space="0" w:color="auto"/>
              <w:left w:val="single" w:sz="6" w:space="0" w:color="auto"/>
              <w:bottom w:val="single" w:sz="6" w:space="0" w:color="auto"/>
              <w:right w:val="single" w:sz="6" w:space="0" w:color="auto"/>
            </w:tcBorders>
            <w:hideMark/>
          </w:tcPr>
          <w:p w14:paraId="15399272"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0.069 </w:t>
            </w:r>
          </w:p>
        </w:tc>
        <w:tc>
          <w:tcPr>
            <w:tcW w:w="174" w:type="pct"/>
            <w:tcBorders>
              <w:top w:val="single" w:sz="6" w:space="0" w:color="auto"/>
              <w:left w:val="single" w:sz="6" w:space="0" w:color="auto"/>
              <w:bottom w:val="single" w:sz="6" w:space="0" w:color="auto"/>
              <w:right w:val="single" w:sz="6" w:space="0" w:color="auto"/>
            </w:tcBorders>
            <w:hideMark/>
          </w:tcPr>
          <w:p w14:paraId="5CB3E94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0.064 </w:t>
            </w:r>
          </w:p>
        </w:tc>
        <w:tc>
          <w:tcPr>
            <w:tcW w:w="174" w:type="pct"/>
            <w:tcBorders>
              <w:top w:val="single" w:sz="6" w:space="0" w:color="auto"/>
              <w:left w:val="single" w:sz="6" w:space="0" w:color="auto"/>
              <w:bottom w:val="single" w:sz="6" w:space="0" w:color="auto"/>
              <w:right w:val="single" w:sz="6" w:space="0" w:color="auto"/>
            </w:tcBorders>
            <w:hideMark/>
          </w:tcPr>
          <w:p w14:paraId="7D09BFD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7A112332"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0.057 </w:t>
            </w:r>
          </w:p>
        </w:tc>
        <w:tc>
          <w:tcPr>
            <w:tcW w:w="174" w:type="pct"/>
            <w:tcBorders>
              <w:top w:val="single" w:sz="6" w:space="0" w:color="auto"/>
              <w:left w:val="single" w:sz="6" w:space="0" w:color="auto"/>
              <w:bottom w:val="single" w:sz="6" w:space="0" w:color="auto"/>
              <w:right w:val="single" w:sz="6" w:space="0" w:color="auto"/>
            </w:tcBorders>
            <w:hideMark/>
          </w:tcPr>
          <w:p w14:paraId="7E8026A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0.054 </w:t>
            </w:r>
          </w:p>
        </w:tc>
        <w:tc>
          <w:tcPr>
            <w:tcW w:w="174" w:type="pct"/>
            <w:tcBorders>
              <w:top w:val="single" w:sz="6" w:space="0" w:color="auto"/>
              <w:left w:val="single" w:sz="6" w:space="0" w:color="auto"/>
              <w:bottom w:val="single" w:sz="6" w:space="0" w:color="auto"/>
              <w:right w:val="single" w:sz="6" w:space="0" w:color="auto"/>
            </w:tcBorders>
            <w:hideMark/>
          </w:tcPr>
          <w:p w14:paraId="1558C23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0920A70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44B59875"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05A68837"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60C452F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66AE9A6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0.041 </w:t>
            </w:r>
          </w:p>
        </w:tc>
        <w:tc>
          <w:tcPr>
            <w:tcW w:w="174" w:type="pct"/>
            <w:tcBorders>
              <w:top w:val="single" w:sz="6" w:space="0" w:color="auto"/>
              <w:left w:val="single" w:sz="6" w:space="0" w:color="auto"/>
              <w:bottom w:val="single" w:sz="6" w:space="0" w:color="auto"/>
              <w:right w:val="single" w:sz="6" w:space="0" w:color="auto"/>
            </w:tcBorders>
            <w:hideMark/>
          </w:tcPr>
          <w:p w14:paraId="53672E4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0.034 </w:t>
            </w:r>
          </w:p>
        </w:tc>
        <w:tc>
          <w:tcPr>
            <w:tcW w:w="174" w:type="pct"/>
            <w:tcBorders>
              <w:top w:val="single" w:sz="6" w:space="0" w:color="auto"/>
              <w:left w:val="single" w:sz="6" w:space="0" w:color="auto"/>
              <w:bottom w:val="single" w:sz="6" w:space="0" w:color="auto"/>
              <w:right w:val="single" w:sz="6" w:space="0" w:color="auto"/>
            </w:tcBorders>
            <w:hideMark/>
          </w:tcPr>
          <w:p w14:paraId="3866213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0.029 </w:t>
            </w:r>
          </w:p>
        </w:tc>
        <w:tc>
          <w:tcPr>
            <w:tcW w:w="174" w:type="pct"/>
            <w:tcBorders>
              <w:top w:val="single" w:sz="6" w:space="0" w:color="auto"/>
              <w:left w:val="single" w:sz="6" w:space="0" w:color="auto"/>
              <w:bottom w:val="single" w:sz="6" w:space="0" w:color="auto"/>
              <w:right w:val="single" w:sz="6" w:space="0" w:color="auto"/>
            </w:tcBorders>
            <w:hideMark/>
          </w:tcPr>
          <w:p w14:paraId="4116391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0.025 </w:t>
            </w:r>
          </w:p>
        </w:tc>
        <w:tc>
          <w:tcPr>
            <w:tcW w:w="174" w:type="pct"/>
            <w:tcBorders>
              <w:top w:val="single" w:sz="6" w:space="0" w:color="auto"/>
              <w:left w:val="single" w:sz="6" w:space="0" w:color="auto"/>
              <w:bottom w:val="single" w:sz="6" w:space="0" w:color="auto"/>
              <w:right w:val="single" w:sz="6" w:space="0" w:color="auto"/>
            </w:tcBorders>
            <w:hideMark/>
          </w:tcPr>
          <w:p w14:paraId="0C99F577"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0.022 </w:t>
            </w:r>
          </w:p>
        </w:tc>
        <w:tc>
          <w:tcPr>
            <w:tcW w:w="174" w:type="pct"/>
            <w:tcBorders>
              <w:top w:val="single" w:sz="6" w:space="0" w:color="auto"/>
              <w:left w:val="single" w:sz="6" w:space="0" w:color="auto"/>
              <w:bottom w:val="single" w:sz="6" w:space="0" w:color="auto"/>
              <w:right w:val="single" w:sz="6" w:space="0" w:color="auto"/>
            </w:tcBorders>
            <w:hideMark/>
          </w:tcPr>
          <w:p w14:paraId="096A873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0.020 </w:t>
            </w:r>
          </w:p>
        </w:tc>
        <w:tc>
          <w:tcPr>
            <w:tcW w:w="8" w:type="pct"/>
            <w:vAlign w:val="center"/>
            <w:hideMark/>
          </w:tcPr>
          <w:p w14:paraId="56D2DAB1" w14:textId="77777777" w:rsidR="00DB1AEE" w:rsidRPr="00DB1AEE" w:rsidRDefault="00DB1AEE" w:rsidP="00DB1AEE">
            <w:pPr>
              <w:widowControl w:val="0"/>
              <w:suppressAutoHyphens/>
              <w:autoSpaceDE w:val="0"/>
              <w:autoSpaceDN w:val="0"/>
              <w:jc w:val="left"/>
              <w:rPr>
                <w:b/>
                <w:iCs/>
                <w:szCs w:val="24"/>
                <w:u w:val="single"/>
                <w:lang w:bidi="en-US"/>
              </w:rPr>
            </w:pPr>
          </w:p>
        </w:tc>
      </w:tr>
      <w:tr w:rsidR="00DB1AEE" w:rsidRPr="00DB1AEE" w14:paraId="5C1ACB5D" w14:textId="77777777" w:rsidTr="00FC1832">
        <w:trPr>
          <w:trHeight w:val="270"/>
        </w:trPr>
        <w:tc>
          <w:tcPr>
            <w:tcW w:w="5000" w:type="pct"/>
            <w:gridSpan w:val="23"/>
            <w:tcBorders>
              <w:top w:val="single" w:sz="6" w:space="0" w:color="auto"/>
              <w:left w:val="single" w:sz="6" w:space="0" w:color="auto"/>
              <w:bottom w:val="single" w:sz="6" w:space="0" w:color="auto"/>
              <w:right w:val="single" w:sz="6" w:space="0" w:color="auto"/>
            </w:tcBorders>
            <w:hideMark/>
          </w:tcPr>
          <w:p w14:paraId="502FFD71"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Steel Framing at 16 in. on Center (14% Framing Factor)—includes only studs at 16 in. on center and top and bottom tracks </w:t>
            </w:r>
          </w:p>
        </w:tc>
      </w:tr>
      <w:tr w:rsidR="00DB1AEE" w:rsidRPr="00DB1AEE" w14:paraId="3089DF2B" w14:textId="77777777" w:rsidTr="00FC1832">
        <w:trPr>
          <w:trHeight w:val="300"/>
        </w:trPr>
        <w:tc>
          <w:tcPr>
            <w:tcW w:w="665" w:type="pct"/>
            <w:tcBorders>
              <w:top w:val="single" w:sz="6" w:space="0" w:color="auto"/>
              <w:left w:val="single" w:sz="6" w:space="0" w:color="auto"/>
              <w:bottom w:val="single" w:sz="6" w:space="0" w:color="auto"/>
              <w:right w:val="single" w:sz="6" w:space="0" w:color="auto"/>
            </w:tcBorders>
            <w:hideMark/>
          </w:tcPr>
          <w:p w14:paraId="0AF89D8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0.9 </w:t>
            </w:r>
          </w:p>
        </w:tc>
        <w:tc>
          <w:tcPr>
            <w:tcW w:w="855" w:type="pct"/>
            <w:tcBorders>
              <w:top w:val="single" w:sz="6" w:space="0" w:color="auto"/>
              <w:left w:val="single" w:sz="6" w:space="0" w:color="auto"/>
              <w:bottom w:val="single" w:sz="6" w:space="0" w:color="auto"/>
              <w:right w:val="single" w:sz="6" w:space="0" w:color="auto"/>
            </w:tcBorders>
            <w:hideMark/>
          </w:tcPr>
          <w:p w14:paraId="7EC02FB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0.346 </w:t>
            </w:r>
          </w:p>
        </w:tc>
        <w:tc>
          <w:tcPr>
            <w:tcW w:w="174" w:type="pct"/>
            <w:tcBorders>
              <w:top w:val="single" w:sz="6" w:space="0" w:color="auto"/>
              <w:left w:val="single" w:sz="6" w:space="0" w:color="auto"/>
              <w:bottom w:val="single" w:sz="6" w:space="0" w:color="auto"/>
              <w:right w:val="single" w:sz="6" w:space="0" w:color="auto"/>
            </w:tcBorders>
            <w:hideMark/>
          </w:tcPr>
          <w:p w14:paraId="2DF359F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0.257 </w:t>
            </w:r>
          </w:p>
        </w:tc>
        <w:tc>
          <w:tcPr>
            <w:tcW w:w="174" w:type="pct"/>
            <w:tcBorders>
              <w:top w:val="single" w:sz="6" w:space="0" w:color="auto"/>
              <w:left w:val="single" w:sz="6" w:space="0" w:color="auto"/>
              <w:bottom w:val="single" w:sz="6" w:space="0" w:color="auto"/>
              <w:right w:val="single" w:sz="6" w:space="0" w:color="auto"/>
            </w:tcBorders>
            <w:hideMark/>
          </w:tcPr>
          <w:p w14:paraId="6BD04F4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0.204 </w:t>
            </w:r>
          </w:p>
        </w:tc>
        <w:tc>
          <w:tcPr>
            <w:tcW w:w="174" w:type="pct"/>
            <w:tcBorders>
              <w:top w:val="single" w:sz="6" w:space="0" w:color="auto"/>
              <w:left w:val="single" w:sz="6" w:space="0" w:color="auto"/>
              <w:bottom w:val="single" w:sz="6" w:space="0" w:color="auto"/>
              <w:right w:val="single" w:sz="6" w:space="0" w:color="auto"/>
            </w:tcBorders>
            <w:hideMark/>
          </w:tcPr>
          <w:p w14:paraId="317EF14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0.170 </w:t>
            </w:r>
          </w:p>
        </w:tc>
        <w:tc>
          <w:tcPr>
            <w:tcW w:w="174" w:type="pct"/>
            <w:tcBorders>
              <w:top w:val="single" w:sz="6" w:space="0" w:color="auto"/>
              <w:left w:val="single" w:sz="6" w:space="0" w:color="auto"/>
              <w:bottom w:val="single" w:sz="6" w:space="0" w:color="auto"/>
              <w:right w:val="single" w:sz="6" w:space="0" w:color="auto"/>
            </w:tcBorders>
            <w:hideMark/>
          </w:tcPr>
          <w:p w14:paraId="6DFADC2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0.145 </w:t>
            </w:r>
          </w:p>
        </w:tc>
        <w:tc>
          <w:tcPr>
            <w:tcW w:w="174" w:type="pct"/>
            <w:tcBorders>
              <w:top w:val="single" w:sz="6" w:space="0" w:color="auto"/>
              <w:left w:val="single" w:sz="6" w:space="0" w:color="auto"/>
              <w:bottom w:val="single" w:sz="6" w:space="0" w:color="auto"/>
              <w:right w:val="single" w:sz="6" w:space="0" w:color="auto"/>
            </w:tcBorders>
            <w:hideMark/>
          </w:tcPr>
          <w:p w14:paraId="4BDD8AB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0.127 </w:t>
            </w:r>
          </w:p>
        </w:tc>
        <w:tc>
          <w:tcPr>
            <w:tcW w:w="174" w:type="pct"/>
            <w:tcBorders>
              <w:top w:val="single" w:sz="6" w:space="0" w:color="auto"/>
              <w:left w:val="single" w:sz="6" w:space="0" w:color="auto"/>
              <w:bottom w:val="single" w:sz="6" w:space="0" w:color="auto"/>
              <w:right w:val="single" w:sz="6" w:space="0" w:color="auto"/>
            </w:tcBorders>
            <w:hideMark/>
          </w:tcPr>
          <w:p w14:paraId="0D1F0C03"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0.112 </w:t>
            </w:r>
          </w:p>
        </w:tc>
        <w:tc>
          <w:tcPr>
            <w:tcW w:w="174" w:type="pct"/>
            <w:tcBorders>
              <w:top w:val="single" w:sz="6" w:space="0" w:color="auto"/>
              <w:left w:val="single" w:sz="6" w:space="0" w:color="auto"/>
              <w:bottom w:val="single" w:sz="6" w:space="0" w:color="auto"/>
              <w:right w:val="single" w:sz="6" w:space="0" w:color="auto"/>
            </w:tcBorders>
            <w:hideMark/>
          </w:tcPr>
          <w:p w14:paraId="7B1C82C9"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0.101 </w:t>
            </w:r>
          </w:p>
        </w:tc>
        <w:tc>
          <w:tcPr>
            <w:tcW w:w="174" w:type="pct"/>
            <w:tcBorders>
              <w:top w:val="single" w:sz="6" w:space="0" w:color="auto"/>
              <w:left w:val="single" w:sz="6" w:space="0" w:color="auto"/>
              <w:bottom w:val="single" w:sz="6" w:space="0" w:color="auto"/>
              <w:right w:val="single" w:sz="6" w:space="0" w:color="auto"/>
            </w:tcBorders>
            <w:hideMark/>
          </w:tcPr>
          <w:p w14:paraId="0FD265F7"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0.092 </w:t>
            </w:r>
          </w:p>
        </w:tc>
        <w:tc>
          <w:tcPr>
            <w:tcW w:w="174" w:type="pct"/>
            <w:tcBorders>
              <w:top w:val="single" w:sz="6" w:space="0" w:color="auto"/>
              <w:left w:val="single" w:sz="6" w:space="0" w:color="auto"/>
              <w:bottom w:val="single" w:sz="6" w:space="0" w:color="auto"/>
              <w:right w:val="single" w:sz="6" w:space="0" w:color="auto"/>
            </w:tcBorders>
            <w:hideMark/>
          </w:tcPr>
          <w:p w14:paraId="159E5B79"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0.084 </w:t>
            </w:r>
          </w:p>
        </w:tc>
        <w:tc>
          <w:tcPr>
            <w:tcW w:w="174" w:type="pct"/>
            <w:tcBorders>
              <w:top w:val="single" w:sz="6" w:space="0" w:color="auto"/>
              <w:left w:val="single" w:sz="6" w:space="0" w:color="auto"/>
              <w:bottom w:val="single" w:sz="6" w:space="0" w:color="auto"/>
              <w:right w:val="single" w:sz="6" w:space="0" w:color="auto"/>
            </w:tcBorders>
            <w:hideMark/>
          </w:tcPr>
          <w:p w14:paraId="7727E0E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0.078 </w:t>
            </w:r>
          </w:p>
        </w:tc>
        <w:tc>
          <w:tcPr>
            <w:tcW w:w="174" w:type="pct"/>
            <w:tcBorders>
              <w:top w:val="single" w:sz="6" w:space="0" w:color="auto"/>
              <w:left w:val="single" w:sz="6" w:space="0" w:color="auto"/>
              <w:bottom w:val="single" w:sz="6" w:space="0" w:color="auto"/>
              <w:right w:val="single" w:sz="6" w:space="0" w:color="auto"/>
            </w:tcBorders>
            <w:hideMark/>
          </w:tcPr>
          <w:p w14:paraId="4FEC2E13"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0.072 </w:t>
            </w:r>
          </w:p>
        </w:tc>
        <w:tc>
          <w:tcPr>
            <w:tcW w:w="174" w:type="pct"/>
            <w:tcBorders>
              <w:top w:val="single" w:sz="6" w:space="0" w:color="auto"/>
              <w:left w:val="single" w:sz="6" w:space="0" w:color="auto"/>
              <w:bottom w:val="single" w:sz="6" w:space="0" w:color="auto"/>
              <w:right w:val="single" w:sz="6" w:space="0" w:color="auto"/>
            </w:tcBorders>
            <w:hideMark/>
          </w:tcPr>
          <w:p w14:paraId="32B06A3E"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0.067 </w:t>
            </w:r>
          </w:p>
        </w:tc>
        <w:tc>
          <w:tcPr>
            <w:tcW w:w="174" w:type="pct"/>
            <w:tcBorders>
              <w:top w:val="single" w:sz="6" w:space="0" w:color="auto"/>
              <w:left w:val="single" w:sz="6" w:space="0" w:color="auto"/>
              <w:bottom w:val="single" w:sz="6" w:space="0" w:color="auto"/>
              <w:right w:val="single" w:sz="6" w:space="0" w:color="auto"/>
            </w:tcBorders>
            <w:hideMark/>
          </w:tcPr>
          <w:p w14:paraId="34E8901C"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58ED55DE"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2403FB5E"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47CF1732"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6EB9AF0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647CA5E3"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1CF4E98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7AAFC7BE"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0.023 </w:t>
            </w:r>
          </w:p>
        </w:tc>
        <w:tc>
          <w:tcPr>
            <w:tcW w:w="8" w:type="pct"/>
            <w:vAlign w:val="center"/>
            <w:hideMark/>
          </w:tcPr>
          <w:p w14:paraId="448EACD9" w14:textId="77777777" w:rsidR="00DB1AEE" w:rsidRPr="00DB1AEE" w:rsidRDefault="00DB1AEE" w:rsidP="00DB1AEE">
            <w:pPr>
              <w:widowControl w:val="0"/>
              <w:suppressAutoHyphens/>
              <w:autoSpaceDE w:val="0"/>
              <w:autoSpaceDN w:val="0"/>
              <w:jc w:val="left"/>
              <w:rPr>
                <w:b/>
                <w:iCs/>
                <w:szCs w:val="24"/>
                <w:u w:val="single"/>
                <w:lang w:bidi="en-US"/>
              </w:rPr>
            </w:pPr>
          </w:p>
        </w:tc>
      </w:tr>
      <w:tr w:rsidR="00DB1AEE" w:rsidRPr="00DB1AEE" w14:paraId="2EA440D0" w14:textId="77777777" w:rsidTr="00FC1832">
        <w:trPr>
          <w:trHeight w:val="300"/>
        </w:trPr>
        <w:tc>
          <w:tcPr>
            <w:tcW w:w="665" w:type="pct"/>
            <w:tcBorders>
              <w:top w:val="single" w:sz="6" w:space="0" w:color="auto"/>
              <w:left w:val="single" w:sz="6" w:space="0" w:color="auto"/>
              <w:bottom w:val="single" w:sz="6" w:space="0" w:color="auto"/>
              <w:right w:val="single" w:sz="6" w:space="0" w:color="auto"/>
            </w:tcBorders>
            <w:hideMark/>
          </w:tcPr>
          <w:p w14:paraId="3443426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11 </w:t>
            </w:r>
          </w:p>
        </w:tc>
        <w:tc>
          <w:tcPr>
            <w:tcW w:w="855" w:type="pct"/>
            <w:tcBorders>
              <w:top w:val="single" w:sz="6" w:space="0" w:color="auto"/>
              <w:left w:val="single" w:sz="6" w:space="0" w:color="auto"/>
              <w:bottom w:val="single" w:sz="6" w:space="0" w:color="auto"/>
              <w:right w:val="single" w:sz="6" w:space="0" w:color="auto"/>
            </w:tcBorders>
            <w:hideMark/>
          </w:tcPr>
          <w:p w14:paraId="13570B5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0.125 </w:t>
            </w:r>
          </w:p>
        </w:tc>
        <w:tc>
          <w:tcPr>
            <w:tcW w:w="174" w:type="pct"/>
            <w:tcBorders>
              <w:top w:val="single" w:sz="6" w:space="0" w:color="auto"/>
              <w:left w:val="single" w:sz="6" w:space="0" w:color="auto"/>
              <w:bottom w:val="single" w:sz="6" w:space="0" w:color="auto"/>
              <w:right w:val="single" w:sz="6" w:space="0" w:color="auto"/>
            </w:tcBorders>
            <w:hideMark/>
          </w:tcPr>
          <w:p w14:paraId="0D5BAD21"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0.111 </w:t>
            </w:r>
          </w:p>
        </w:tc>
        <w:tc>
          <w:tcPr>
            <w:tcW w:w="174" w:type="pct"/>
            <w:tcBorders>
              <w:top w:val="single" w:sz="6" w:space="0" w:color="auto"/>
              <w:left w:val="single" w:sz="6" w:space="0" w:color="auto"/>
              <w:bottom w:val="single" w:sz="6" w:space="0" w:color="auto"/>
              <w:right w:val="single" w:sz="6" w:space="0" w:color="auto"/>
            </w:tcBorders>
            <w:hideMark/>
          </w:tcPr>
          <w:p w14:paraId="110D8343"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0.100 </w:t>
            </w:r>
          </w:p>
        </w:tc>
        <w:tc>
          <w:tcPr>
            <w:tcW w:w="174" w:type="pct"/>
            <w:tcBorders>
              <w:top w:val="single" w:sz="6" w:space="0" w:color="auto"/>
              <w:left w:val="single" w:sz="6" w:space="0" w:color="auto"/>
              <w:bottom w:val="single" w:sz="6" w:space="0" w:color="auto"/>
              <w:right w:val="single" w:sz="6" w:space="0" w:color="auto"/>
            </w:tcBorders>
            <w:hideMark/>
          </w:tcPr>
          <w:p w14:paraId="4E7164A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0.091 </w:t>
            </w:r>
          </w:p>
        </w:tc>
        <w:tc>
          <w:tcPr>
            <w:tcW w:w="174" w:type="pct"/>
            <w:tcBorders>
              <w:top w:val="single" w:sz="6" w:space="0" w:color="auto"/>
              <w:left w:val="single" w:sz="6" w:space="0" w:color="auto"/>
              <w:bottom w:val="single" w:sz="6" w:space="0" w:color="auto"/>
              <w:right w:val="single" w:sz="6" w:space="0" w:color="auto"/>
            </w:tcBorders>
            <w:hideMark/>
          </w:tcPr>
          <w:p w14:paraId="6F2E2C4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0.083 </w:t>
            </w:r>
          </w:p>
        </w:tc>
        <w:tc>
          <w:tcPr>
            <w:tcW w:w="174" w:type="pct"/>
            <w:tcBorders>
              <w:top w:val="single" w:sz="6" w:space="0" w:color="auto"/>
              <w:left w:val="single" w:sz="6" w:space="0" w:color="auto"/>
              <w:bottom w:val="single" w:sz="6" w:space="0" w:color="auto"/>
              <w:right w:val="single" w:sz="6" w:space="0" w:color="auto"/>
            </w:tcBorders>
            <w:hideMark/>
          </w:tcPr>
          <w:p w14:paraId="5966B8E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0.077 </w:t>
            </w:r>
          </w:p>
        </w:tc>
        <w:tc>
          <w:tcPr>
            <w:tcW w:w="174" w:type="pct"/>
            <w:tcBorders>
              <w:top w:val="single" w:sz="6" w:space="0" w:color="auto"/>
              <w:left w:val="single" w:sz="6" w:space="0" w:color="auto"/>
              <w:bottom w:val="single" w:sz="6" w:space="0" w:color="auto"/>
              <w:right w:val="single" w:sz="6" w:space="0" w:color="auto"/>
            </w:tcBorders>
            <w:hideMark/>
          </w:tcPr>
          <w:p w14:paraId="54D04677"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0.071 </w:t>
            </w:r>
          </w:p>
        </w:tc>
        <w:tc>
          <w:tcPr>
            <w:tcW w:w="174" w:type="pct"/>
            <w:tcBorders>
              <w:top w:val="single" w:sz="6" w:space="0" w:color="auto"/>
              <w:left w:val="single" w:sz="6" w:space="0" w:color="auto"/>
              <w:bottom w:val="single" w:sz="6" w:space="0" w:color="auto"/>
              <w:right w:val="single" w:sz="6" w:space="0" w:color="auto"/>
            </w:tcBorders>
            <w:hideMark/>
          </w:tcPr>
          <w:p w14:paraId="552C272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0.067 </w:t>
            </w:r>
          </w:p>
        </w:tc>
        <w:tc>
          <w:tcPr>
            <w:tcW w:w="174" w:type="pct"/>
            <w:tcBorders>
              <w:top w:val="single" w:sz="6" w:space="0" w:color="auto"/>
              <w:left w:val="single" w:sz="6" w:space="0" w:color="auto"/>
              <w:bottom w:val="single" w:sz="6" w:space="0" w:color="auto"/>
              <w:right w:val="single" w:sz="6" w:space="0" w:color="auto"/>
            </w:tcBorders>
            <w:hideMark/>
          </w:tcPr>
          <w:p w14:paraId="19E81BC1"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787D813E"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01D4285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431BDB4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1EB83EEA"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0.050 </w:t>
            </w:r>
          </w:p>
        </w:tc>
        <w:tc>
          <w:tcPr>
            <w:tcW w:w="174" w:type="pct"/>
            <w:tcBorders>
              <w:top w:val="single" w:sz="6" w:space="0" w:color="auto"/>
              <w:left w:val="single" w:sz="6" w:space="0" w:color="auto"/>
              <w:bottom w:val="single" w:sz="6" w:space="0" w:color="auto"/>
              <w:right w:val="single" w:sz="6" w:space="0" w:color="auto"/>
            </w:tcBorders>
            <w:hideMark/>
          </w:tcPr>
          <w:p w14:paraId="1D5254C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7A8A16F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1EA13F42"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2B047BF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66140339"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28CC9BC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4C8083EC"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7951C6C7"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0.021 </w:t>
            </w:r>
          </w:p>
        </w:tc>
        <w:tc>
          <w:tcPr>
            <w:tcW w:w="8" w:type="pct"/>
            <w:vAlign w:val="center"/>
            <w:hideMark/>
          </w:tcPr>
          <w:p w14:paraId="5143BC86" w14:textId="77777777" w:rsidR="00DB1AEE" w:rsidRPr="00DB1AEE" w:rsidRDefault="00DB1AEE" w:rsidP="00DB1AEE">
            <w:pPr>
              <w:widowControl w:val="0"/>
              <w:suppressAutoHyphens/>
              <w:autoSpaceDE w:val="0"/>
              <w:autoSpaceDN w:val="0"/>
              <w:jc w:val="left"/>
              <w:rPr>
                <w:b/>
                <w:iCs/>
                <w:szCs w:val="24"/>
                <w:u w:val="single"/>
                <w:lang w:bidi="en-US"/>
              </w:rPr>
            </w:pPr>
          </w:p>
        </w:tc>
      </w:tr>
      <w:tr w:rsidR="00DB1AEE" w:rsidRPr="00DB1AEE" w14:paraId="629734F6" w14:textId="77777777" w:rsidTr="00FC1832">
        <w:trPr>
          <w:trHeight w:val="300"/>
        </w:trPr>
        <w:tc>
          <w:tcPr>
            <w:tcW w:w="665" w:type="pct"/>
            <w:tcBorders>
              <w:top w:val="single" w:sz="6" w:space="0" w:color="auto"/>
              <w:left w:val="single" w:sz="6" w:space="0" w:color="auto"/>
              <w:bottom w:val="single" w:sz="6" w:space="0" w:color="auto"/>
              <w:right w:val="single" w:sz="6" w:space="0" w:color="auto"/>
            </w:tcBorders>
            <w:hideMark/>
          </w:tcPr>
          <w:p w14:paraId="6E57471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13 </w:t>
            </w:r>
          </w:p>
        </w:tc>
        <w:tc>
          <w:tcPr>
            <w:tcW w:w="855" w:type="pct"/>
            <w:tcBorders>
              <w:top w:val="single" w:sz="6" w:space="0" w:color="auto"/>
              <w:left w:val="single" w:sz="6" w:space="0" w:color="auto"/>
              <w:bottom w:val="single" w:sz="6" w:space="0" w:color="auto"/>
              <w:right w:val="single" w:sz="6" w:space="0" w:color="auto"/>
            </w:tcBorders>
            <w:hideMark/>
          </w:tcPr>
          <w:p w14:paraId="25506F1E"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0.117 </w:t>
            </w:r>
          </w:p>
        </w:tc>
        <w:tc>
          <w:tcPr>
            <w:tcW w:w="174" w:type="pct"/>
            <w:tcBorders>
              <w:top w:val="single" w:sz="6" w:space="0" w:color="auto"/>
              <w:left w:val="single" w:sz="6" w:space="0" w:color="auto"/>
              <w:bottom w:val="single" w:sz="6" w:space="0" w:color="auto"/>
              <w:right w:val="single" w:sz="6" w:space="0" w:color="auto"/>
            </w:tcBorders>
            <w:hideMark/>
          </w:tcPr>
          <w:p w14:paraId="19C3994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0.105 </w:t>
            </w:r>
          </w:p>
        </w:tc>
        <w:tc>
          <w:tcPr>
            <w:tcW w:w="174" w:type="pct"/>
            <w:tcBorders>
              <w:top w:val="single" w:sz="6" w:space="0" w:color="auto"/>
              <w:left w:val="single" w:sz="6" w:space="0" w:color="auto"/>
              <w:bottom w:val="single" w:sz="6" w:space="0" w:color="auto"/>
              <w:right w:val="single" w:sz="6" w:space="0" w:color="auto"/>
            </w:tcBorders>
            <w:hideMark/>
          </w:tcPr>
          <w:p w14:paraId="7FDD2325"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0.095 </w:t>
            </w:r>
          </w:p>
        </w:tc>
        <w:tc>
          <w:tcPr>
            <w:tcW w:w="174" w:type="pct"/>
            <w:tcBorders>
              <w:top w:val="single" w:sz="6" w:space="0" w:color="auto"/>
              <w:left w:val="single" w:sz="6" w:space="0" w:color="auto"/>
              <w:bottom w:val="single" w:sz="6" w:space="0" w:color="auto"/>
              <w:right w:val="single" w:sz="6" w:space="0" w:color="auto"/>
            </w:tcBorders>
            <w:hideMark/>
          </w:tcPr>
          <w:p w14:paraId="619A2C2A"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0.087 </w:t>
            </w:r>
          </w:p>
        </w:tc>
        <w:tc>
          <w:tcPr>
            <w:tcW w:w="174" w:type="pct"/>
            <w:tcBorders>
              <w:top w:val="single" w:sz="6" w:space="0" w:color="auto"/>
              <w:left w:val="single" w:sz="6" w:space="0" w:color="auto"/>
              <w:bottom w:val="single" w:sz="6" w:space="0" w:color="auto"/>
              <w:right w:val="single" w:sz="6" w:space="0" w:color="auto"/>
            </w:tcBorders>
            <w:hideMark/>
          </w:tcPr>
          <w:p w14:paraId="729D2C7C"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0.080 </w:t>
            </w:r>
          </w:p>
        </w:tc>
        <w:tc>
          <w:tcPr>
            <w:tcW w:w="174" w:type="pct"/>
            <w:tcBorders>
              <w:top w:val="single" w:sz="6" w:space="0" w:color="auto"/>
              <w:left w:val="single" w:sz="6" w:space="0" w:color="auto"/>
              <w:bottom w:val="single" w:sz="6" w:space="0" w:color="auto"/>
              <w:right w:val="single" w:sz="6" w:space="0" w:color="auto"/>
            </w:tcBorders>
            <w:hideMark/>
          </w:tcPr>
          <w:p w14:paraId="12C07A19"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0.074 </w:t>
            </w:r>
          </w:p>
        </w:tc>
        <w:tc>
          <w:tcPr>
            <w:tcW w:w="174" w:type="pct"/>
            <w:tcBorders>
              <w:top w:val="single" w:sz="6" w:space="0" w:color="auto"/>
              <w:left w:val="single" w:sz="6" w:space="0" w:color="auto"/>
              <w:bottom w:val="single" w:sz="6" w:space="0" w:color="auto"/>
              <w:right w:val="single" w:sz="6" w:space="0" w:color="auto"/>
            </w:tcBorders>
            <w:hideMark/>
          </w:tcPr>
          <w:p w14:paraId="7D18DE0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0.069 </w:t>
            </w:r>
          </w:p>
        </w:tc>
        <w:tc>
          <w:tcPr>
            <w:tcW w:w="174" w:type="pct"/>
            <w:tcBorders>
              <w:top w:val="single" w:sz="6" w:space="0" w:color="auto"/>
              <w:left w:val="single" w:sz="6" w:space="0" w:color="auto"/>
              <w:bottom w:val="single" w:sz="6" w:space="0" w:color="auto"/>
              <w:right w:val="single" w:sz="6" w:space="0" w:color="auto"/>
            </w:tcBorders>
            <w:hideMark/>
          </w:tcPr>
          <w:p w14:paraId="3E0AC7A7"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0.064 </w:t>
            </w:r>
          </w:p>
        </w:tc>
        <w:tc>
          <w:tcPr>
            <w:tcW w:w="174" w:type="pct"/>
            <w:tcBorders>
              <w:top w:val="single" w:sz="6" w:space="0" w:color="auto"/>
              <w:left w:val="single" w:sz="6" w:space="0" w:color="auto"/>
              <w:bottom w:val="single" w:sz="6" w:space="0" w:color="auto"/>
              <w:right w:val="single" w:sz="6" w:space="0" w:color="auto"/>
            </w:tcBorders>
            <w:hideMark/>
          </w:tcPr>
          <w:p w14:paraId="3E9A172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0.061 </w:t>
            </w:r>
          </w:p>
        </w:tc>
        <w:tc>
          <w:tcPr>
            <w:tcW w:w="174" w:type="pct"/>
            <w:tcBorders>
              <w:top w:val="single" w:sz="6" w:space="0" w:color="auto"/>
              <w:left w:val="single" w:sz="6" w:space="0" w:color="auto"/>
              <w:bottom w:val="single" w:sz="6" w:space="0" w:color="auto"/>
              <w:right w:val="single" w:sz="6" w:space="0" w:color="auto"/>
            </w:tcBorders>
            <w:hideMark/>
          </w:tcPr>
          <w:p w14:paraId="38760F13"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0.057 </w:t>
            </w:r>
          </w:p>
        </w:tc>
        <w:tc>
          <w:tcPr>
            <w:tcW w:w="174" w:type="pct"/>
            <w:tcBorders>
              <w:top w:val="single" w:sz="6" w:space="0" w:color="auto"/>
              <w:left w:val="single" w:sz="6" w:space="0" w:color="auto"/>
              <w:bottom w:val="single" w:sz="6" w:space="0" w:color="auto"/>
              <w:right w:val="single" w:sz="6" w:space="0" w:color="auto"/>
            </w:tcBorders>
            <w:hideMark/>
          </w:tcPr>
          <w:p w14:paraId="242D2DB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0.054 </w:t>
            </w:r>
          </w:p>
        </w:tc>
        <w:tc>
          <w:tcPr>
            <w:tcW w:w="174" w:type="pct"/>
            <w:tcBorders>
              <w:top w:val="single" w:sz="6" w:space="0" w:color="auto"/>
              <w:left w:val="single" w:sz="6" w:space="0" w:color="auto"/>
              <w:bottom w:val="single" w:sz="6" w:space="0" w:color="auto"/>
              <w:right w:val="single" w:sz="6" w:space="0" w:color="auto"/>
            </w:tcBorders>
            <w:hideMark/>
          </w:tcPr>
          <w:p w14:paraId="743E6DFC"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1A0E4D77"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31BE9DE1"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78BB9DCC"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50A18BE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0.043 </w:t>
            </w:r>
          </w:p>
        </w:tc>
        <w:tc>
          <w:tcPr>
            <w:tcW w:w="174" w:type="pct"/>
            <w:tcBorders>
              <w:top w:val="single" w:sz="6" w:space="0" w:color="auto"/>
              <w:left w:val="single" w:sz="6" w:space="0" w:color="auto"/>
              <w:bottom w:val="single" w:sz="6" w:space="0" w:color="auto"/>
              <w:right w:val="single" w:sz="6" w:space="0" w:color="auto"/>
            </w:tcBorders>
            <w:hideMark/>
          </w:tcPr>
          <w:p w14:paraId="607FF873"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0.035 </w:t>
            </w:r>
          </w:p>
        </w:tc>
        <w:tc>
          <w:tcPr>
            <w:tcW w:w="174" w:type="pct"/>
            <w:tcBorders>
              <w:top w:val="single" w:sz="6" w:space="0" w:color="auto"/>
              <w:left w:val="single" w:sz="6" w:space="0" w:color="auto"/>
              <w:bottom w:val="single" w:sz="6" w:space="0" w:color="auto"/>
              <w:right w:val="single" w:sz="6" w:space="0" w:color="auto"/>
            </w:tcBorders>
            <w:hideMark/>
          </w:tcPr>
          <w:p w14:paraId="286B3915"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3479A449"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39A04D33"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55BE7EB5"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0.021 </w:t>
            </w:r>
          </w:p>
        </w:tc>
        <w:tc>
          <w:tcPr>
            <w:tcW w:w="8" w:type="pct"/>
            <w:vAlign w:val="center"/>
            <w:hideMark/>
          </w:tcPr>
          <w:p w14:paraId="080FD626" w14:textId="77777777" w:rsidR="00DB1AEE" w:rsidRPr="00DB1AEE" w:rsidRDefault="00DB1AEE" w:rsidP="00DB1AEE">
            <w:pPr>
              <w:widowControl w:val="0"/>
              <w:suppressAutoHyphens/>
              <w:autoSpaceDE w:val="0"/>
              <w:autoSpaceDN w:val="0"/>
              <w:jc w:val="left"/>
              <w:rPr>
                <w:b/>
                <w:iCs/>
                <w:szCs w:val="24"/>
                <w:u w:val="single"/>
                <w:lang w:bidi="en-US"/>
              </w:rPr>
            </w:pPr>
          </w:p>
        </w:tc>
      </w:tr>
      <w:tr w:rsidR="00DB1AEE" w:rsidRPr="00DB1AEE" w14:paraId="06350A8F" w14:textId="77777777" w:rsidTr="00FC1832">
        <w:trPr>
          <w:trHeight w:val="300"/>
        </w:trPr>
        <w:tc>
          <w:tcPr>
            <w:tcW w:w="665" w:type="pct"/>
            <w:tcBorders>
              <w:top w:val="single" w:sz="6" w:space="0" w:color="auto"/>
              <w:left w:val="single" w:sz="6" w:space="0" w:color="auto"/>
              <w:bottom w:val="single" w:sz="6" w:space="0" w:color="auto"/>
              <w:right w:val="single" w:sz="6" w:space="0" w:color="auto"/>
            </w:tcBorders>
            <w:hideMark/>
          </w:tcPr>
          <w:p w14:paraId="5DD7B44E"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15 </w:t>
            </w:r>
          </w:p>
        </w:tc>
        <w:tc>
          <w:tcPr>
            <w:tcW w:w="855" w:type="pct"/>
            <w:tcBorders>
              <w:top w:val="single" w:sz="6" w:space="0" w:color="auto"/>
              <w:left w:val="single" w:sz="6" w:space="0" w:color="auto"/>
              <w:bottom w:val="single" w:sz="6" w:space="0" w:color="auto"/>
              <w:right w:val="single" w:sz="6" w:space="0" w:color="auto"/>
            </w:tcBorders>
            <w:hideMark/>
          </w:tcPr>
          <w:p w14:paraId="372D069A"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0.111 </w:t>
            </w:r>
          </w:p>
        </w:tc>
        <w:tc>
          <w:tcPr>
            <w:tcW w:w="174" w:type="pct"/>
            <w:tcBorders>
              <w:top w:val="single" w:sz="6" w:space="0" w:color="auto"/>
              <w:left w:val="single" w:sz="6" w:space="0" w:color="auto"/>
              <w:bottom w:val="single" w:sz="6" w:space="0" w:color="auto"/>
              <w:right w:val="single" w:sz="6" w:space="0" w:color="auto"/>
            </w:tcBorders>
            <w:hideMark/>
          </w:tcPr>
          <w:p w14:paraId="55631BDC"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0.100 </w:t>
            </w:r>
          </w:p>
        </w:tc>
        <w:tc>
          <w:tcPr>
            <w:tcW w:w="174" w:type="pct"/>
            <w:tcBorders>
              <w:top w:val="single" w:sz="6" w:space="0" w:color="auto"/>
              <w:left w:val="single" w:sz="6" w:space="0" w:color="auto"/>
              <w:bottom w:val="single" w:sz="6" w:space="0" w:color="auto"/>
              <w:right w:val="single" w:sz="6" w:space="0" w:color="auto"/>
            </w:tcBorders>
            <w:hideMark/>
          </w:tcPr>
          <w:p w14:paraId="56309F9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0.091 </w:t>
            </w:r>
          </w:p>
        </w:tc>
        <w:tc>
          <w:tcPr>
            <w:tcW w:w="174" w:type="pct"/>
            <w:tcBorders>
              <w:top w:val="single" w:sz="6" w:space="0" w:color="auto"/>
              <w:left w:val="single" w:sz="6" w:space="0" w:color="auto"/>
              <w:bottom w:val="single" w:sz="6" w:space="0" w:color="auto"/>
              <w:right w:val="single" w:sz="6" w:space="0" w:color="auto"/>
            </w:tcBorders>
            <w:hideMark/>
          </w:tcPr>
          <w:p w14:paraId="22662C95"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0.083 </w:t>
            </w:r>
          </w:p>
        </w:tc>
        <w:tc>
          <w:tcPr>
            <w:tcW w:w="174" w:type="pct"/>
            <w:tcBorders>
              <w:top w:val="single" w:sz="6" w:space="0" w:color="auto"/>
              <w:left w:val="single" w:sz="6" w:space="0" w:color="auto"/>
              <w:bottom w:val="single" w:sz="6" w:space="0" w:color="auto"/>
              <w:right w:val="single" w:sz="6" w:space="0" w:color="auto"/>
            </w:tcBorders>
            <w:hideMark/>
          </w:tcPr>
          <w:p w14:paraId="44C91EB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0.077 </w:t>
            </w:r>
          </w:p>
        </w:tc>
        <w:tc>
          <w:tcPr>
            <w:tcW w:w="174" w:type="pct"/>
            <w:tcBorders>
              <w:top w:val="single" w:sz="6" w:space="0" w:color="auto"/>
              <w:left w:val="single" w:sz="6" w:space="0" w:color="auto"/>
              <w:bottom w:val="single" w:sz="6" w:space="0" w:color="auto"/>
              <w:right w:val="single" w:sz="6" w:space="0" w:color="auto"/>
            </w:tcBorders>
            <w:hideMark/>
          </w:tcPr>
          <w:p w14:paraId="72ACB429"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0.072 </w:t>
            </w:r>
          </w:p>
        </w:tc>
        <w:tc>
          <w:tcPr>
            <w:tcW w:w="174" w:type="pct"/>
            <w:tcBorders>
              <w:top w:val="single" w:sz="6" w:space="0" w:color="auto"/>
              <w:left w:val="single" w:sz="6" w:space="0" w:color="auto"/>
              <w:bottom w:val="single" w:sz="6" w:space="0" w:color="auto"/>
              <w:right w:val="single" w:sz="6" w:space="0" w:color="auto"/>
            </w:tcBorders>
            <w:hideMark/>
          </w:tcPr>
          <w:p w14:paraId="66888CFE"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0.067 </w:t>
            </w:r>
          </w:p>
        </w:tc>
        <w:tc>
          <w:tcPr>
            <w:tcW w:w="174" w:type="pct"/>
            <w:tcBorders>
              <w:top w:val="single" w:sz="6" w:space="0" w:color="auto"/>
              <w:left w:val="single" w:sz="6" w:space="0" w:color="auto"/>
              <w:bottom w:val="single" w:sz="6" w:space="0" w:color="auto"/>
              <w:right w:val="single" w:sz="6" w:space="0" w:color="auto"/>
            </w:tcBorders>
            <w:hideMark/>
          </w:tcPr>
          <w:p w14:paraId="1F95CF1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513708B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4755258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288D5A8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51D5ABA7"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0.050 </w:t>
            </w:r>
          </w:p>
        </w:tc>
        <w:tc>
          <w:tcPr>
            <w:tcW w:w="174" w:type="pct"/>
            <w:tcBorders>
              <w:top w:val="single" w:sz="6" w:space="0" w:color="auto"/>
              <w:left w:val="single" w:sz="6" w:space="0" w:color="auto"/>
              <w:bottom w:val="single" w:sz="6" w:space="0" w:color="auto"/>
              <w:right w:val="single" w:sz="6" w:space="0" w:color="auto"/>
            </w:tcBorders>
            <w:hideMark/>
          </w:tcPr>
          <w:p w14:paraId="0D2706A1"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2D36039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0C356F9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79058C6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64E821E2"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0.035 </w:t>
            </w:r>
          </w:p>
        </w:tc>
        <w:tc>
          <w:tcPr>
            <w:tcW w:w="174" w:type="pct"/>
            <w:tcBorders>
              <w:top w:val="single" w:sz="6" w:space="0" w:color="auto"/>
              <w:left w:val="single" w:sz="6" w:space="0" w:color="auto"/>
              <w:bottom w:val="single" w:sz="6" w:space="0" w:color="auto"/>
              <w:right w:val="single" w:sz="6" w:space="0" w:color="auto"/>
            </w:tcBorders>
            <w:hideMark/>
          </w:tcPr>
          <w:p w14:paraId="3868CC9E"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0.029 </w:t>
            </w:r>
          </w:p>
        </w:tc>
        <w:tc>
          <w:tcPr>
            <w:tcW w:w="174" w:type="pct"/>
            <w:tcBorders>
              <w:top w:val="single" w:sz="6" w:space="0" w:color="auto"/>
              <w:left w:val="single" w:sz="6" w:space="0" w:color="auto"/>
              <w:bottom w:val="single" w:sz="6" w:space="0" w:color="auto"/>
              <w:right w:val="single" w:sz="6" w:space="0" w:color="auto"/>
            </w:tcBorders>
            <w:hideMark/>
          </w:tcPr>
          <w:p w14:paraId="277EAA5C"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415A408C"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3E6B0C62"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0.020 </w:t>
            </w:r>
          </w:p>
        </w:tc>
        <w:tc>
          <w:tcPr>
            <w:tcW w:w="8" w:type="pct"/>
            <w:vAlign w:val="center"/>
            <w:hideMark/>
          </w:tcPr>
          <w:p w14:paraId="2BC6D70E" w14:textId="77777777" w:rsidR="00DB1AEE" w:rsidRPr="00DB1AEE" w:rsidRDefault="00DB1AEE" w:rsidP="00DB1AEE">
            <w:pPr>
              <w:widowControl w:val="0"/>
              <w:suppressAutoHyphens/>
              <w:autoSpaceDE w:val="0"/>
              <w:autoSpaceDN w:val="0"/>
              <w:jc w:val="left"/>
              <w:rPr>
                <w:b/>
                <w:iCs/>
                <w:szCs w:val="24"/>
                <w:u w:val="single"/>
                <w:lang w:bidi="en-US"/>
              </w:rPr>
            </w:pPr>
          </w:p>
        </w:tc>
      </w:tr>
      <w:tr w:rsidR="00DB1AEE" w:rsidRPr="00DB1AEE" w14:paraId="542E3617" w14:textId="77777777" w:rsidTr="00FC1832">
        <w:trPr>
          <w:trHeight w:val="300"/>
        </w:trPr>
        <w:tc>
          <w:tcPr>
            <w:tcW w:w="665" w:type="pct"/>
            <w:tcBorders>
              <w:top w:val="single" w:sz="6" w:space="0" w:color="auto"/>
              <w:left w:val="single" w:sz="6" w:space="0" w:color="auto"/>
              <w:bottom w:val="single" w:sz="6" w:space="0" w:color="auto"/>
              <w:right w:val="single" w:sz="6" w:space="0" w:color="auto"/>
            </w:tcBorders>
            <w:hideMark/>
          </w:tcPr>
          <w:p w14:paraId="3BE2B497"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19 </w:t>
            </w:r>
          </w:p>
        </w:tc>
        <w:tc>
          <w:tcPr>
            <w:tcW w:w="855" w:type="pct"/>
            <w:tcBorders>
              <w:top w:val="single" w:sz="6" w:space="0" w:color="auto"/>
              <w:left w:val="single" w:sz="6" w:space="0" w:color="auto"/>
              <w:bottom w:val="single" w:sz="6" w:space="0" w:color="auto"/>
              <w:right w:val="single" w:sz="6" w:space="0" w:color="auto"/>
            </w:tcBorders>
            <w:hideMark/>
          </w:tcPr>
          <w:p w14:paraId="0336D7E1"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0.103 </w:t>
            </w:r>
          </w:p>
        </w:tc>
        <w:tc>
          <w:tcPr>
            <w:tcW w:w="174" w:type="pct"/>
            <w:tcBorders>
              <w:top w:val="single" w:sz="6" w:space="0" w:color="auto"/>
              <w:left w:val="single" w:sz="6" w:space="0" w:color="auto"/>
              <w:bottom w:val="single" w:sz="6" w:space="0" w:color="auto"/>
              <w:right w:val="single" w:sz="6" w:space="0" w:color="auto"/>
            </w:tcBorders>
            <w:hideMark/>
          </w:tcPr>
          <w:p w14:paraId="6A04901A"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0.093 </w:t>
            </w:r>
          </w:p>
        </w:tc>
        <w:tc>
          <w:tcPr>
            <w:tcW w:w="174" w:type="pct"/>
            <w:tcBorders>
              <w:top w:val="single" w:sz="6" w:space="0" w:color="auto"/>
              <w:left w:val="single" w:sz="6" w:space="0" w:color="auto"/>
              <w:bottom w:val="single" w:sz="6" w:space="0" w:color="auto"/>
              <w:right w:val="single" w:sz="6" w:space="0" w:color="auto"/>
            </w:tcBorders>
            <w:hideMark/>
          </w:tcPr>
          <w:p w14:paraId="4C192C95"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0.085 </w:t>
            </w:r>
          </w:p>
        </w:tc>
        <w:tc>
          <w:tcPr>
            <w:tcW w:w="174" w:type="pct"/>
            <w:tcBorders>
              <w:top w:val="single" w:sz="6" w:space="0" w:color="auto"/>
              <w:left w:val="single" w:sz="6" w:space="0" w:color="auto"/>
              <w:bottom w:val="single" w:sz="6" w:space="0" w:color="auto"/>
              <w:right w:val="single" w:sz="6" w:space="0" w:color="auto"/>
            </w:tcBorders>
            <w:hideMark/>
          </w:tcPr>
          <w:p w14:paraId="7CD039A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0.079 </w:t>
            </w:r>
          </w:p>
        </w:tc>
        <w:tc>
          <w:tcPr>
            <w:tcW w:w="174" w:type="pct"/>
            <w:tcBorders>
              <w:top w:val="single" w:sz="6" w:space="0" w:color="auto"/>
              <w:left w:val="single" w:sz="6" w:space="0" w:color="auto"/>
              <w:bottom w:val="single" w:sz="6" w:space="0" w:color="auto"/>
              <w:right w:val="single" w:sz="6" w:space="0" w:color="auto"/>
            </w:tcBorders>
            <w:hideMark/>
          </w:tcPr>
          <w:p w14:paraId="5B3FA5BC"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0.073 </w:t>
            </w:r>
          </w:p>
        </w:tc>
        <w:tc>
          <w:tcPr>
            <w:tcW w:w="174" w:type="pct"/>
            <w:tcBorders>
              <w:top w:val="single" w:sz="6" w:space="0" w:color="auto"/>
              <w:left w:val="single" w:sz="6" w:space="0" w:color="auto"/>
              <w:bottom w:val="single" w:sz="6" w:space="0" w:color="auto"/>
              <w:right w:val="single" w:sz="6" w:space="0" w:color="auto"/>
            </w:tcBorders>
            <w:hideMark/>
          </w:tcPr>
          <w:p w14:paraId="33C60BD1"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0.068 </w:t>
            </w:r>
          </w:p>
        </w:tc>
        <w:tc>
          <w:tcPr>
            <w:tcW w:w="174" w:type="pct"/>
            <w:tcBorders>
              <w:top w:val="single" w:sz="6" w:space="0" w:color="auto"/>
              <w:left w:val="single" w:sz="6" w:space="0" w:color="auto"/>
              <w:bottom w:val="single" w:sz="6" w:space="0" w:color="auto"/>
              <w:right w:val="single" w:sz="6" w:space="0" w:color="auto"/>
            </w:tcBorders>
            <w:hideMark/>
          </w:tcPr>
          <w:p w14:paraId="4FC027B1"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0.064 </w:t>
            </w:r>
          </w:p>
        </w:tc>
        <w:tc>
          <w:tcPr>
            <w:tcW w:w="174" w:type="pct"/>
            <w:tcBorders>
              <w:top w:val="single" w:sz="6" w:space="0" w:color="auto"/>
              <w:left w:val="single" w:sz="6" w:space="0" w:color="auto"/>
              <w:bottom w:val="single" w:sz="6" w:space="0" w:color="auto"/>
              <w:right w:val="single" w:sz="6" w:space="0" w:color="auto"/>
            </w:tcBorders>
            <w:hideMark/>
          </w:tcPr>
          <w:p w14:paraId="19BF982E"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663DDF3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6EAA591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1829969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0E82C572"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49DD6EC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4EF04D6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73D6DC62"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14D185A1"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0.040 </w:t>
            </w:r>
          </w:p>
        </w:tc>
        <w:tc>
          <w:tcPr>
            <w:tcW w:w="174" w:type="pct"/>
            <w:tcBorders>
              <w:top w:val="single" w:sz="6" w:space="0" w:color="auto"/>
              <w:left w:val="single" w:sz="6" w:space="0" w:color="auto"/>
              <w:bottom w:val="single" w:sz="6" w:space="0" w:color="auto"/>
              <w:right w:val="single" w:sz="6" w:space="0" w:color="auto"/>
            </w:tcBorders>
            <w:hideMark/>
          </w:tcPr>
          <w:p w14:paraId="450025D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0.034 </w:t>
            </w:r>
          </w:p>
        </w:tc>
        <w:tc>
          <w:tcPr>
            <w:tcW w:w="174" w:type="pct"/>
            <w:tcBorders>
              <w:top w:val="single" w:sz="6" w:space="0" w:color="auto"/>
              <w:left w:val="single" w:sz="6" w:space="0" w:color="auto"/>
              <w:bottom w:val="single" w:sz="6" w:space="0" w:color="auto"/>
              <w:right w:val="single" w:sz="6" w:space="0" w:color="auto"/>
            </w:tcBorders>
            <w:hideMark/>
          </w:tcPr>
          <w:p w14:paraId="31B967DA"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0.029 </w:t>
            </w:r>
          </w:p>
        </w:tc>
        <w:tc>
          <w:tcPr>
            <w:tcW w:w="174" w:type="pct"/>
            <w:tcBorders>
              <w:top w:val="single" w:sz="6" w:space="0" w:color="auto"/>
              <w:left w:val="single" w:sz="6" w:space="0" w:color="auto"/>
              <w:bottom w:val="single" w:sz="6" w:space="0" w:color="auto"/>
              <w:right w:val="single" w:sz="6" w:space="0" w:color="auto"/>
            </w:tcBorders>
            <w:hideMark/>
          </w:tcPr>
          <w:p w14:paraId="30D1E47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0.025 </w:t>
            </w:r>
          </w:p>
        </w:tc>
        <w:tc>
          <w:tcPr>
            <w:tcW w:w="174" w:type="pct"/>
            <w:tcBorders>
              <w:top w:val="single" w:sz="6" w:space="0" w:color="auto"/>
              <w:left w:val="single" w:sz="6" w:space="0" w:color="auto"/>
              <w:bottom w:val="single" w:sz="6" w:space="0" w:color="auto"/>
              <w:right w:val="single" w:sz="6" w:space="0" w:color="auto"/>
            </w:tcBorders>
            <w:hideMark/>
          </w:tcPr>
          <w:p w14:paraId="7F37AED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0.022 </w:t>
            </w:r>
          </w:p>
        </w:tc>
        <w:tc>
          <w:tcPr>
            <w:tcW w:w="174" w:type="pct"/>
            <w:tcBorders>
              <w:top w:val="single" w:sz="6" w:space="0" w:color="auto"/>
              <w:left w:val="single" w:sz="6" w:space="0" w:color="auto"/>
              <w:bottom w:val="single" w:sz="6" w:space="0" w:color="auto"/>
              <w:right w:val="single" w:sz="6" w:space="0" w:color="auto"/>
            </w:tcBorders>
            <w:hideMark/>
          </w:tcPr>
          <w:p w14:paraId="163BF5C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0.020 </w:t>
            </w:r>
          </w:p>
        </w:tc>
        <w:tc>
          <w:tcPr>
            <w:tcW w:w="8" w:type="pct"/>
            <w:vAlign w:val="center"/>
            <w:hideMark/>
          </w:tcPr>
          <w:p w14:paraId="1550B4A1" w14:textId="77777777" w:rsidR="00DB1AEE" w:rsidRPr="00DB1AEE" w:rsidRDefault="00DB1AEE" w:rsidP="00DB1AEE">
            <w:pPr>
              <w:widowControl w:val="0"/>
              <w:suppressAutoHyphens/>
              <w:autoSpaceDE w:val="0"/>
              <w:autoSpaceDN w:val="0"/>
              <w:jc w:val="left"/>
              <w:rPr>
                <w:b/>
                <w:iCs/>
                <w:szCs w:val="24"/>
                <w:u w:val="single"/>
                <w:lang w:bidi="en-US"/>
              </w:rPr>
            </w:pPr>
          </w:p>
        </w:tc>
      </w:tr>
      <w:tr w:rsidR="00DB1AEE" w:rsidRPr="00DB1AEE" w14:paraId="4C5BC38E" w14:textId="77777777" w:rsidTr="00FC1832">
        <w:trPr>
          <w:trHeight w:val="300"/>
        </w:trPr>
        <w:tc>
          <w:tcPr>
            <w:tcW w:w="665" w:type="pct"/>
            <w:tcBorders>
              <w:top w:val="single" w:sz="6" w:space="0" w:color="auto"/>
              <w:left w:val="single" w:sz="6" w:space="0" w:color="auto"/>
              <w:bottom w:val="single" w:sz="6" w:space="0" w:color="auto"/>
              <w:right w:val="single" w:sz="6" w:space="0" w:color="auto"/>
            </w:tcBorders>
            <w:hideMark/>
          </w:tcPr>
          <w:p w14:paraId="0BDDF3A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21 </w:t>
            </w:r>
          </w:p>
        </w:tc>
        <w:tc>
          <w:tcPr>
            <w:tcW w:w="855" w:type="pct"/>
            <w:tcBorders>
              <w:top w:val="single" w:sz="6" w:space="0" w:color="auto"/>
              <w:left w:val="single" w:sz="6" w:space="0" w:color="auto"/>
              <w:bottom w:val="single" w:sz="6" w:space="0" w:color="auto"/>
              <w:right w:val="single" w:sz="6" w:space="0" w:color="auto"/>
            </w:tcBorders>
            <w:hideMark/>
          </w:tcPr>
          <w:p w14:paraId="5CD8818A"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0.100 </w:t>
            </w:r>
          </w:p>
        </w:tc>
        <w:tc>
          <w:tcPr>
            <w:tcW w:w="174" w:type="pct"/>
            <w:tcBorders>
              <w:top w:val="single" w:sz="6" w:space="0" w:color="auto"/>
              <w:left w:val="single" w:sz="6" w:space="0" w:color="auto"/>
              <w:bottom w:val="single" w:sz="6" w:space="0" w:color="auto"/>
              <w:right w:val="single" w:sz="6" w:space="0" w:color="auto"/>
            </w:tcBorders>
            <w:hideMark/>
          </w:tcPr>
          <w:p w14:paraId="78EE765A"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0.091 </w:t>
            </w:r>
          </w:p>
        </w:tc>
        <w:tc>
          <w:tcPr>
            <w:tcW w:w="174" w:type="pct"/>
            <w:tcBorders>
              <w:top w:val="single" w:sz="6" w:space="0" w:color="auto"/>
              <w:left w:val="single" w:sz="6" w:space="0" w:color="auto"/>
              <w:bottom w:val="single" w:sz="6" w:space="0" w:color="auto"/>
              <w:right w:val="single" w:sz="6" w:space="0" w:color="auto"/>
            </w:tcBorders>
            <w:hideMark/>
          </w:tcPr>
          <w:p w14:paraId="6F3F581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0.083 </w:t>
            </w:r>
          </w:p>
        </w:tc>
        <w:tc>
          <w:tcPr>
            <w:tcW w:w="174" w:type="pct"/>
            <w:tcBorders>
              <w:top w:val="single" w:sz="6" w:space="0" w:color="auto"/>
              <w:left w:val="single" w:sz="6" w:space="0" w:color="auto"/>
              <w:bottom w:val="single" w:sz="6" w:space="0" w:color="auto"/>
              <w:right w:val="single" w:sz="6" w:space="0" w:color="auto"/>
            </w:tcBorders>
            <w:hideMark/>
          </w:tcPr>
          <w:p w14:paraId="6C24A029"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0.077 </w:t>
            </w:r>
          </w:p>
        </w:tc>
        <w:tc>
          <w:tcPr>
            <w:tcW w:w="174" w:type="pct"/>
            <w:tcBorders>
              <w:top w:val="single" w:sz="6" w:space="0" w:color="auto"/>
              <w:left w:val="single" w:sz="6" w:space="0" w:color="auto"/>
              <w:bottom w:val="single" w:sz="6" w:space="0" w:color="auto"/>
              <w:right w:val="single" w:sz="6" w:space="0" w:color="auto"/>
            </w:tcBorders>
            <w:hideMark/>
          </w:tcPr>
          <w:p w14:paraId="54212B52"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0.071 </w:t>
            </w:r>
          </w:p>
        </w:tc>
        <w:tc>
          <w:tcPr>
            <w:tcW w:w="174" w:type="pct"/>
            <w:tcBorders>
              <w:top w:val="single" w:sz="6" w:space="0" w:color="auto"/>
              <w:left w:val="single" w:sz="6" w:space="0" w:color="auto"/>
              <w:bottom w:val="single" w:sz="6" w:space="0" w:color="auto"/>
              <w:right w:val="single" w:sz="6" w:space="0" w:color="auto"/>
            </w:tcBorders>
            <w:hideMark/>
          </w:tcPr>
          <w:p w14:paraId="1787CE52"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0.066 </w:t>
            </w:r>
          </w:p>
        </w:tc>
        <w:tc>
          <w:tcPr>
            <w:tcW w:w="174" w:type="pct"/>
            <w:tcBorders>
              <w:top w:val="single" w:sz="6" w:space="0" w:color="auto"/>
              <w:left w:val="single" w:sz="6" w:space="0" w:color="auto"/>
              <w:bottom w:val="single" w:sz="6" w:space="0" w:color="auto"/>
              <w:right w:val="single" w:sz="6" w:space="0" w:color="auto"/>
            </w:tcBorders>
            <w:hideMark/>
          </w:tcPr>
          <w:p w14:paraId="5002D7FC"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0.062 </w:t>
            </w:r>
          </w:p>
        </w:tc>
        <w:tc>
          <w:tcPr>
            <w:tcW w:w="174" w:type="pct"/>
            <w:tcBorders>
              <w:top w:val="single" w:sz="6" w:space="0" w:color="auto"/>
              <w:left w:val="single" w:sz="6" w:space="0" w:color="auto"/>
              <w:bottom w:val="single" w:sz="6" w:space="0" w:color="auto"/>
              <w:right w:val="single" w:sz="6" w:space="0" w:color="auto"/>
            </w:tcBorders>
            <w:hideMark/>
          </w:tcPr>
          <w:p w14:paraId="1824C13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5515B06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0.055 </w:t>
            </w:r>
          </w:p>
        </w:tc>
        <w:tc>
          <w:tcPr>
            <w:tcW w:w="174" w:type="pct"/>
            <w:tcBorders>
              <w:top w:val="single" w:sz="6" w:space="0" w:color="auto"/>
              <w:left w:val="single" w:sz="6" w:space="0" w:color="auto"/>
              <w:bottom w:val="single" w:sz="6" w:space="0" w:color="auto"/>
              <w:right w:val="single" w:sz="6" w:space="0" w:color="auto"/>
            </w:tcBorders>
            <w:hideMark/>
          </w:tcPr>
          <w:p w14:paraId="3C1C38B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21B8257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0.050 </w:t>
            </w:r>
          </w:p>
        </w:tc>
        <w:tc>
          <w:tcPr>
            <w:tcW w:w="174" w:type="pct"/>
            <w:tcBorders>
              <w:top w:val="single" w:sz="6" w:space="0" w:color="auto"/>
              <w:left w:val="single" w:sz="6" w:space="0" w:color="auto"/>
              <w:bottom w:val="single" w:sz="6" w:space="0" w:color="auto"/>
              <w:right w:val="single" w:sz="6" w:space="0" w:color="auto"/>
            </w:tcBorders>
            <w:hideMark/>
          </w:tcPr>
          <w:p w14:paraId="3081F211"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0430339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48390C2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0.043 </w:t>
            </w:r>
          </w:p>
        </w:tc>
        <w:tc>
          <w:tcPr>
            <w:tcW w:w="174" w:type="pct"/>
            <w:tcBorders>
              <w:top w:val="single" w:sz="6" w:space="0" w:color="auto"/>
              <w:left w:val="single" w:sz="6" w:space="0" w:color="auto"/>
              <w:bottom w:val="single" w:sz="6" w:space="0" w:color="auto"/>
              <w:right w:val="single" w:sz="6" w:space="0" w:color="auto"/>
            </w:tcBorders>
            <w:hideMark/>
          </w:tcPr>
          <w:p w14:paraId="4F938F7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6AF32ED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0.040 </w:t>
            </w:r>
          </w:p>
        </w:tc>
        <w:tc>
          <w:tcPr>
            <w:tcW w:w="174" w:type="pct"/>
            <w:tcBorders>
              <w:top w:val="single" w:sz="6" w:space="0" w:color="auto"/>
              <w:left w:val="single" w:sz="6" w:space="0" w:color="auto"/>
              <w:bottom w:val="single" w:sz="6" w:space="0" w:color="auto"/>
              <w:right w:val="single" w:sz="6" w:space="0" w:color="auto"/>
            </w:tcBorders>
            <w:hideMark/>
          </w:tcPr>
          <w:p w14:paraId="0E58651E"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0.033 </w:t>
            </w:r>
          </w:p>
        </w:tc>
        <w:tc>
          <w:tcPr>
            <w:tcW w:w="174" w:type="pct"/>
            <w:tcBorders>
              <w:top w:val="single" w:sz="6" w:space="0" w:color="auto"/>
              <w:left w:val="single" w:sz="6" w:space="0" w:color="auto"/>
              <w:bottom w:val="single" w:sz="6" w:space="0" w:color="auto"/>
              <w:right w:val="single" w:sz="6" w:space="0" w:color="auto"/>
            </w:tcBorders>
            <w:hideMark/>
          </w:tcPr>
          <w:p w14:paraId="702BEB2A"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0.029 </w:t>
            </w:r>
          </w:p>
        </w:tc>
        <w:tc>
          <w:tcPr>
            <w:tcW w:w="174" w:type="pct"/>
            <w:tcBorders>
              <w:top w:val="single" w:sz="6" w:space="0" w:color="auto"/>
              <w:left w:val="single" w:sz="6" w:space="0" w:color="auto"/>
              <w:bottom w:val="single" w:sz="6" w:space="0" w:color="auto"/>
              <w:right w:val="single" w:sz="6" w:space="0" w:color="auto"/>
            </w:tcBorders>
            <w:hideMark/>
          </w:tcPr>
          <w:p w14:paraId="5FE99E1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0.025 </w:t>
            </w:r>
          </w:p>
        </w:tc>
        <w:tc>
          <w:tcPr>
            <w:tcW w:w="174" w:type="pct"/>
            <w:tcBorders>
              <w:top w:val="single" w:sz="6" w:space="0" w:color="auto"/>
              <w:left w:val="single" w:sz="6" w:space="0" w:color="auto"/>
              <w:bottom w:val="single" w:sz="6" w:space="0" w:color="auto"/>
              <w:right w:val="single" w:sz="6" w:space="0" w:color="auto"/>
            </w:tcBorders>
            <w:hideMark/>
          </w:tcPr>
          <w:p w14:paraId="2062F80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0.022 </w:t>
            </w:r>
          </w:p>
        </w:tc>
        <w:tc>
          <w:tcPr>
            <w:tcW w:w="174" w:type="pct"/>
            <w:tcBorders>
              <w:top w:val="single" w:sz="6" w:space="0" w:color="auto"/>
              <w:left w:val="single" w:sz="6" w:space="0" w:color="auto"/>
              <w:bottom w:val="single" w:sz="6" w:space="0" w:color="auto"/>
              <w:right w:val="single" w:sz="6" w:space="0" w:color="auto"/>
            </w:tcBorders>
            <w:hideMark/>
          </w:tcPr>
          <w:p w14:paraId="0FD2014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0.020 </w:t>
            </w:r>
          </w:p>
        </w:tc>
        <w:tc>
          <w:tcPr>
            <w:tcW w:w="8" w:type="pct"/>
            <w:vAlign w:val="center"/>
            <w:hideMark/>
          </w:tcPr>
          <w:p w14:paraId="0688E23C" w14:textId="77777777" w:rsidR="00DB1AEE" w:rsidRPr="00DB1AEE" w:rsidRDefault="00DB1AEE" w:rsidP="00DB1AEE">
            <w:pPr>
              <w:widowControl w:val="0"/>
              <w:suppressAutoHyphens/>
              <w:autoSpaceDE w:val="0"/>
              <w:autoSpaceDN w:val="0"/>
              <w:jc w:val="left"/>
              <w:rPr>
                <w:b/>
                <w:iCs/>
                <w:szCs w:val="24"/>
                <w:u w:val="single"/>
                <w:lang w:bidi="en-US"/>
              </w:rPr>
            </w:pPr>
          </w:p>
        </w:tc>
      </w:tr>
      <w:tr w:rsidR="00DB1AEE" w:rsidRPr="00DB1AEE" w14:paraId="2140B0C0" w14:textId="77777777" w:rsidTr="00FC1832">
        <w:trPr>
          <w:trHeight w:val="300"/>
        </w:trPr>
        <w:tc>
          <w:tcPr>
            <w:tcW w:w="665" w:type="pct"/>
            <w:tcBorders>
              <w:top w:val="single" w:sz="6" w:space="0" w:color="auto"/>
              <w:left w:val="single" w:sz="6" w:space="0" w:color="auto"/>
              <w:bottom w:val="single" w:sz="6" w:space="0" w:color="auto"/>
              <w:right w:val="single" w:sz="6" w:space="0" w:color="auto"/>
            </w:tcBorders>
            <w:hideMark/>
          </w:tcPr>
          <w:p w14:paraId="7769FB6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25 </w:t>
            </w:r>
          </w:p>
        </w:tc>
        <w:tc>
          <w:tcPr>
            <w:tcW w:w="855" w:type="pct"/>
            <w:tcBorders>
              <w:top w:val="single" w:sz="6" w:space="0" w:color="auto"/>
              <w:left w:val="single" w:sz="6" w:space="0" w:color="auto"/>
              <w:bottom w:val="single" w:sz="6" w:space="0" w:color="auto"/>
              <w:right w:val="single" w:sz="6" w:space="0" w:color="auto"/>
            </w:tcBorders>
            <w:hideMark/>
          </w:tcPr>
          <w:p w14:paraId="37DF3A19"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0.095 </w:t>
            </w:r>
          </w:p>
        </w:tc>
        <w:tc>
          <w:tcPr>
            <w:tcW w:w="174" w:type="pct"/>
            <w:tcBorders>
              <w:top w:val="single" w:sz="6" w:space="0" w:color="auto"/>
              <w:left w:val="single" w:sz="6" w:space="0" w:color="auto"/>
              <w:bottom w:val="single" w:sz="6" w:space="0" w:color="auto"/>
              <w:right w:val="single" w:sz="6" w:space="0" w:color="auto"/>
            </w:tcBorders>
            <w:hideMark/>
          </w:tcPr>
          <w:p w14:paraId="09C49F3C"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0.087 </w:t>
            </w:r>
          </w:p>
        </w:tc>
        <w:tc>
          <w:tcPr>
            <w:tcW w:w="174" w:type="pct"/>
            <w:tcBorders>
              <w:top w:val="single" w:sz="6" w:space="0" w:color="auto"/>
              <w:left w:val="single" w:sz="6" w:space="0" w:color="auto"/>
              <w:bottom w:val="single" w:sz="6" w:space="0" w:color="auto"/>
              <w:right w:val="single" w:sz="6" w:space="0" w:color="auto"/>
            </w:tcBorders>
            <w:hideMark/>
          </w:tcPr>
          <w:p w14:paraId="571D859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0.080 </w:t>
            </w:r>
          </w:p>
        </w:tc>
        <w:tc>
          <w:tcPr>
            <w:tcW w:w="174" w:type="pct"/>
            <w:tcBorders>
              <w:top w:val="single" w:sz="6" w:space="0" w:color="auto"/>
              <w:left w:val="single" w:sz="6" w:space="0" w:color="auto"/>
              <w:bottom w:val="single" w:sz="6" w:space="0" w:color="auto"/>
              <w:right w:val="single" w:sz="6" w:space="0" w:color="auto"/>
            </w:tcBorders>
            <w:hideMark/>
          </w:tcPr>
          <w:p w14:paraId="229A753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0.074 </w:t>
            </w:r>
          </w:p>
        </w:tc>
        <w:tc>
          <w:tcPr>
            <w:tcW w:w="174" w:type="pct"/>
            <w:tcBorders>
              <w:top w:val="single" w:sz="6" w:space="0" w:color="auto"/>
              <w:left w:val="single" w:sz="6" w:space="0" w:color="auto"/>
              <w:bottom w:val="single" w:sz="6" w:space="0" w:color="auto"/>
              <w:right w:val="single" w:sz="6" w:space="0" w:color="auto"/>
            </w:tcBorders>
            <w:hideMark/>
          </w:tcPr>
          <w:p w14:paraId="1A901295"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0.069 </w:t>
            </w:r>
          </w:p>
        </w:tc>
        <w:tc>
          <w:tcPr>
            <w:tcW w:w="174" w:type="pct"/>
            <w:tcBorders>
              <w:top w:val="single" w:sz="6" w:space="0" w:color="auto"/>
              <w:left w:val="single" w:sz="6" w:space="0" w:color="auto"/>
              <w:bottom w:val="single" w:sz="6" w:space="0" w:color="auto"/>
              <w:right w:val="single" w:sz="6" w:space="0" w:color="auto"/>
            </w:tcBorders>
            <w:hideMark/>
          </w:tcPr>
          <w:p w14:paraId="24258FC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0.064 </w:t>
            </w:r>
          </w:p>
        </w:tc>
        <w:tc>
          <w:tcPr>
            <w:tcW w:w="174" w:type="pct"/>
            <w:tcBorders>
              <w:top w:val="single" w:sz="6" w:space="0" w:color="auto"/>
              <w:left w:val="single" w:sz="6" w:space="0" w:color="auto"/>
              <w:bottom w:val="single" w:sz="6" w:space="0" w:color="auto"/>
              <w:right w:val="single" w:sz="6" w:space="0" w:color="auto"/>
            </w:tcBorders>
            <w:hideMark/>
          </w:tcPr>
          <w:p w14:paraId="500ABC15"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46DE6132"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0.057 </w:t>
            </w:r>
          </w:p>
        </w:tc>
        <w:tc>
          <w:tcPr>
            <w:tcW w:w="174" w:type="pct"/>
            <w:tcBorders>
              <w:top w:val="single" w:sz="6" w:space="0" w:color="auto"/>
              <w:left w:val="single" w:sz="6" w:space="0" w:color="auto"/>
              <w:bottom w:val="single" w:sz="6" w:space="0" w:color="auto"/>
              <w:right w:val="single" w:sz="6" w:space="0" w:color="auto"/>
            </w:tcBorders>
            <w:hideMark/>
          </w:tcPr>
          <w:p w14:paraId="5C43A6C2"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0.054 </w:t>
            </w:r>
          </w:p>
        </w:tc>
        <w:tc>
          <w:tcPr>
            <w:tcW w:w="174" w:type="pct"/>
            <w:tcBorders>
              <w:top w:val="single" w:sz="6" w:space="0" w:color="auto"/>
              <w:left w:val="single" w:sz="6" w:space="0" w:color="auto"/>
              <w:bottom w:val="single" w:sz="6" w:space="0" w:color="auto"/>
              <w:right w:val="single" w:sz="6" w:space="0" w:color="auto"/>
            </w:tcBorders>
            <w:hideMark/>
          </w:tcPr>
          <w:p w14:paraId="2A615A63"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73D54FBE"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59612CA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7FFBBE0A"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77B673A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2D7EB3D7"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0.041 </w:t>
            </w:r>
          </w:p>
        </w:tc>
        <w:tc>
          <w:tcPr>
            <w:tcW w:w="174" w:type="pct"/>
            <w:tcBorders>
              <w:top w:val="single" w:sz="6" w:space="0" w:color="auto"/>
              <w:left w:val="single" w:sz="6" w:space="0" w:color="auto"/>
              <w:bottom w:val="single" w:sz="6" w:space="0" w:color="auto"/>
              <w:right w:val="single" w:sz="6" w:space="0" w:color="auto"/>
            </w:tcBorders>
            <w:hideMark/>
          </w:tcPr>
          <w:p w14:paraId="70C61C8A"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0.039 </w:t>
            </w:r>
          </w:p>
        </w:tc>
        <w:tc>
          <w:tcPr>
            <w:tcW w:w="174" w:type="pct"/>
            <w:tcBorders>
              <w:top w:val="single" w:sz="6" w:space="0" w:color="auto"/>
              <w:left w:val="single" w:sz="6" w:space="0" w:color="auto"/>
              <w:bottom w:val="single" w:sz="6" w:space="0" w:color="auto"/>
              <w:right w:val="single" w:sz="6" w:space="0" w:color="auto"/>
            </w:tcBorders>
            <w:hideMark/>
          </w:tcPr>
          <w:p w14:paraId="7B41C76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0.033 </w:t>
            </w:r>
          </w:p>
        </w:tc>
        <w:tc>
          <w:tcPr>
            <w:tcW w:w="174" w:type="pct"/>
            <w:tcBorders>
              <w:top w:val="single" w:sz="6" w:space="0" w:color="auto"/>
              <w:left w:val="single" w:sz="6" w:space="0" w:color="auto"/>
              <w:bottom w:val="single" w:sz="6" w:space="0" w:color="auto"/>
              <w:right w:val="single" w:sz="6" w:space="0" w:color="auto"/>
            </w:tcBorders>
            <w:hideMark/>
          </w:tcPr>
          <w:p w14:paraId="258AA7C9"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0.028 </w:t>
            </w:r>
          </w:p>
        </w:tc>
        <w:tc>
          <w:tcPr>
            <w:tcW w:w="174" w:type="pct"/>
            <w:tcBorders>
              <w:top w:val="single" w:sz="6" w:space="0" w:color="auto"/>
              <w:left w:val="single" w:sz="6" w:space="0" w:color="auto"/>
              <w:bottom w:val="single" w:sz="6" w:space="0" w:color="auto"/>
              <w:right w:val="single" w:sz="6" w:space="0" w:color="auto"/>
            </w:tcBorders>
            <w:hideMark/>
          </w:tcPr>
          <w:p w14:paraId="535391E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0.025 </w:t>
            </w:r>
          </w:p>
        </w:tc>
        <w:tc>
          <w:tcPr>
            <w:tcW w:w="174" w:type="pct"/>
            <w:tcBorders>
              <w:top w:val="single" w:sz="6" w:space="0" w:color="auto"/>
              <w:left w:val="single" w:sz="6" w:space="0" w:color="auto"/>
              <w:bottom w:val="single" w:sz="6" w:space="0" w:color="auto"/>
              <w:right w:val="single" w:sz="6" w:space="0" w:color="auto"/>
            </w:tcBorders>
            <w:hideMark/>
          </w:tcPr>
          <w:p w14:paraId="48101FA2"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0.022 </w:t>
            </w:r>
          </w:p>
        </w:tc>
        <w:tc>
          <w:tcPr>
            <w:tcW w:w="174" w:type="pct"/>
            <w:tcBorders>
              <w:top w:val="single" w:sz="6" w:space="0" w:color="auto"/>
              <w:left w:val="single" w:sz="6" w:space="0" w:color="auto"/>
              <w:bottom w:val="single" w:sz="6" w:space="0" w:color="auto"/>
              <w:right w:val="single" w:sz="6" w:space="0" w:color="auto"/>
            </w:tcBorders>
            <w:hideMark/>
          </w:tcPr>
          <w:p w14:paraId="2D9A5ADA"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0.020 </w:t>
            </w:r>
          </w:p>
        </w:tc>
        <w:tc>
          <w:tcPr>
            <w:tcW w:w="8" w:type="pct"/>
            <w:vAlign w:val="center"/>
            <w:hideMark/>
          </w:tcPr>
          <w:p w14:paraId="159C1E3C" w14:textId="77777777" w:rsidR="00DB1AEE" w:rsidRPr="00DB1AEE" w:rsidRDefault="00DB1AEE" w:rsidP="00DB1AEE">
            <w:pPr>
              <w:widowControl w:val="0"/>
              <w:suppressAutoHyphens/>
              <w:autoSpaceDE w:val="0"/>
              <w:autoSpaceDN w:val="0"/>
              <w:jc w:val="left"/>
              <w:rPr>
                <w:b/>
                <w:iCs/>
                <w:szCs w:val="24"/>
                <w:u w:val="single"/>
                <w:lang w:bidi="en-US"/>
              </w:rPr>
            </w:pPr>
          </w:p>
        </w:tc>
      </w:tr>
      <w:tr w:rsidR="00DB1AEE" w:rsidRPr="00DB1AEE" w14:paraId="47DDAE31" w14:textId="77777777" w:rsidTr="00FC1832">
        <w:trPr>
          <w:trHeight w:val="330"/>
        </w:trPr>
        <w:tc>
          <w:tcPr>
            <w:tcW w:w="665" w:type="pct"/>
            <w:tcBorders>
              <w:top w:val="single" w:sz="6" w:space="0" w:color="auto"/>
              <w:left w:val="single" w:sz="6" w:space="0" w:color="auto"/>
              <w:bottom w:val="single" w:sz="6" w:space="0" w:color="auto"/>
              <w:right w:val="single" w:sz="6" w:space="0" w:color="auto"/>
            </w:tcBorders>
            <w:hideMark/>
          </w:tcPr>
          <w:p w14:paraId="49C97E21"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30 </w:t>
            </w:r>
          </w:p>
        </w:tc>
        <w:tc>
          <w:tcPr>
            <w:tcW w:w="855" w:type="pct"/>
            <w:tcBorders>
              <w:top w:val="single" w:sz="6" w:space="0" w:color="auto"/>
              <w:left w:val="single" w:sz="6" w:space="0" w:color="auto"/>
              <w:bottom w:val="single" w:sz="6" w:space="0" w:color="auto"/>
              <w:right w:val="single" w:sz="6" w:space="0" w:color="auto"/>
            </w:tcBorders>
            <w:hideMark/>
          </w:tcPr>
          <w:p w14:paraId="51F8A3A9"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0.090 </w:t>
            </w:r>
          </w:p>
        </w:tc>
        <w:tc>
          <w:tcPr>
            <w:tcW w:w="174" w:type="pct"/>
            <w:tcBorders>
              <w:top w:val="single" w:sz="6" w:space="0" w:color="auto"/>
              <w:left w:val="single" w:sz="6" w:space="0" w:color="auto"/>
              <w:bottom w:val="single" w:sz="6" w:space="0" w:color="auto"/>
              <w:right w:val="single" w:sz="6" w:space="0" w:color="auto"/>
            </w:tcBorders>
            <w:hideMark/>
          </w:tcPr>
          <w:p w14:paraId="4AAB64E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0.083 </w:t>
            </w:r>
          </w:p>
        </w:tc>
        <w:tc>
          <w:tcPr>
            <w:tcW w:w="174" w:type="pct"/>
            <w:tcBorders>
              <w:top w:val="single" w:sz="6" w:space="0" w:color="auto"/>
              <w:left w:val="single" w:sz="6" w:space="0" w:color="auto"/>
              <w:bottom w:val="single" w:sz="6" w:space="0" w:color="auto"/>
              <w:right w:val="single" w:sz="6" w:space="0" w:color="auto"/>
            </w:tcBorders>
            <w:hideMark/>
          </w:tcPr>
          <w:p w14:paraId="2C4B024E"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0.077 </w:t>
            </w:r>
          </w:p>
        </w:tc>
        <w:tc>
          <w:tcPr>
            <w:tcW w:w="174" w:type="pct"/>
            <w:tcBorders>
              <w:top w:val="single" w:sz="6" w:space="0" w:color="auto"/>
              <w:left w:val="single" w:sz="6" w:space="0" w:color="auto"/>
              <w:bottom w:val="single" w:sz="6" w:space="0" w:color="auto"/>
              <w:right w:val="single" w:sz="6" w:space="0" w:color="auto"/>
            </w:tcBorders>
            <w:hideMark/>
          </w:tcPr>
          <w:p w14:paraId="54A4450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0.071 </w:t>
            </w:r>
          </w:p>
        </w:tc>
        <w:tc>
          <w:tcPr>
            <w:tcW w:w="174" w:type="pct"/>
            <w:tcBorders>
              <w:top w:val="single" w:sz="6" w:space="0" w:color="auto"/>
              <w:left w:val="single" w:sz="6" w:space="0" w:color="auto"/>
              <w:bottom w:val="single" w:sz="6" w:space="0" w:color="auto"/>
              <w:right w:val="single" w:sz="6" w:space="0" w:color="auto"/>
            </w:tcBorders>
            <w:hideMark/>
          </w:tcPr>
          <w:p w14:paraId="3CF7E299"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0.066 </w:t>
            </w:r>
          </w:p>
        </w:tc>
        <w:tc>
          <w:tcPr>
            <w:tcW w:w="174" w:type="pct"/>
            <w:tcBorders>
              <w:top w:val="single" w:sz="6" w:space="0" w:color="auto"/>
              <w:left w:val="single" w:sz="6" w:space="0" w:color="auto"/>
              <w:bottom w:val="single" w:sz="6" w:space="0" w:color="auto"/>
              <w:right w:val="single" w:sz="6" w:space="0" w:color="auto"/>
            </w:tcBorders>
            <w:hideMark/>
          </w:tcPr>
          <w:p w14:paraId="0CBCDA02"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0.062 </w:t>
            </w:r>
          </w:p>
        </w:tc>
        <w:tc>
          <w:tcPr>
            <w:tcW w:w="174" w:type="pct"/>
            <w:tcBorders>
              <w:top w:val="single" w:sz="6" w:space="0" w:color="auto"/>
              <w:left w:val="single" w:sz="6" w:space="0" w:color="auto"/>
              <w:bottom w:val="single" w:sz="6" w:space="0" w:color="auto"/>
              <w:right w:val="single" w:sz="6" w:space="0" w:color="auto"/>
            </w:tcBorders>
            <w:hideMark/>
          </w:tcPr>
          <w:p w14:paraId="44042AB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6EE7537E"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0.055 </w:t>
            </w:r>
          </w:p>
        </w:tc>
        <w:tc>
          <w:tcPr>
            <w:tcW w:w="174" w:type="pct"/>
            <w:tcBorders>
              <w:top w:val="single" w:sz="6" w:space="0" w:color="auto"/>
              <w:left w:val="single" w:sz="6" w:space="0" w:color="auto"/>
              <w:bottom w:val="single" w:sz="6" w:space="0" w:color="auto"/>
              <w:right w:val="single" w:sz="6" w:space="0" w:color="auto"/>
            </w:tcBorders>
            <w:hideMark/>
          </w:tcPr>
          <w:p w14:paraId="3B7AFEA3"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78878269"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0.050 </w:t>
            </w:r>
          </w:p>
        </w:tc>
        <w:tc>
          <w:tcPr>
            <w:tcW w:w="174" w:type="pct"/>
            <w:tcBorders>
              <w:top w:val="single" w:sz="6" w:space="0" w:color="auto"/>
              <w:left w:val="single" w:sz="6" w:space="0" w:color="auto"/>
              <w:bottom w:val="single" w:sz="6" w:space="0" w:color="auto"/>
              <w:right w:val="single" w:sz="6" w:space="0" w:color="auto"/>
            </w:tcBorders>
            <w:hideMark/>
          </w:tcPr>
          <w:p w14:paraId="01A2F62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63C8E66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2D3B7015"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0.043 </w:t>
            </w:r>
          </w:p>
        </w:tc>
        <w:tc>
          <w:tcPr>
            <w:tcW w:w="174" w:type="pct"/>
            <w:tcBorders>
              <w:top w:val="single" w:sz="6" w:space="0" w:color="auto"/>
              <w:left w:val="single" w:sz="6" w:space="0" w:color="auto"/>
              <w:bottom w:val="single" w:sz="6" w:space="0" w:color="auto"/>
              <w:right w:val="single" w:sz="6" w:space="0" w:color="auto"/>
            </w:tcBorders>
            <w:hideMark/>
          </w:tcPr>
          <w:p w14:paraId="5C47AE31"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44F28277"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0.040 </w:t>
            </w:r>
          </w:p>
        </w:tc>
        <w:tc>
          <w:tcPr>
            <w:tcW w:w="174" w:type="pct"/>
            <w:tcBorders>
              <w:top w:val="single" w:sz="6" w:space="0" w:color="auto"/>
              <w:left w:val="single" w:sz="6" w:space="0" w:color="auto"/>
              <w:bottom w:val="single" w:sz="6" w:space="0" w:color="auto"/>
              <w:right w:val="single" w:sz="6" w:space="0" w:color="auto"/>
            </w:tcBorders>
            <w:hideMark/>
          </w:tcPr>
          <w:p w14:paraId="2683E1F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0.038 </w:t>
            </w:r>
          </w:p>
        </w:tc>
        <w:tc>
          <w:tcPr>
            <w:tcW w:w="174" w:type="pct"/>
            <w:tcBorders>
              <w:top w:val="single" w:sz="6" w:space="0" w:color="auto"/>
              <w:left w:val="single" w:sz="6" w:space="0" w:color="auto"/>
              <w:bottom w:val="single" w:sz="6" w:space="0" w:color="auto"/>
              <w:right w:val="single" w:sz="6" w:space="0" w:color="auto"/>
            </w:tcBorders>
            <w:hideMark/>
          </w:tcPr>
          <w:p w14:paraId="2C80158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0.032 </w:t>
            </w:r>
          </w:p>
        </w:tc>
        <w:tc>
          <w:tcPr>
            <w:tcW w:w="174" w:type="pct"/>
            <w:tcBorders>
              <w:top w:val="single" w:sz="6" w:space="0" w:color="auto"/>
              <w:left w:val="single" w:sz="6" w:space="0" w:color="auto"/>
              <w:bottom w:val="single" w:sz="6" w:space="0" w:color="auto"/>
              <w:right w:val="single" w:sz="6" w:space="0" w:color="auto"/>
            </w:tcBorders>
            <w:hideMark/>
          </w:tcPr>
          <w:p w14:paraId="48C58A65"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0.028 </w:t>
            </w:r>
          </w:p>
        </w:tc>
        <w:tc>
          <w:tcPr>
            <w:tcW w:w="174" w:type="pct"/>
            <w:tcBorders>
              <w:top w:val="single" w:sz="6" w:space="0" w:color="auto"/>
              <w:left w:val="single" w:sz="6" w:space="0" w:color="auto"/>
              <w:bottom w:val="single" w:sz="6" w:space="0" w:color="auto"/>
              <w:right w:val="single" w:sz="6" w:space="0" w:color="auto"/>
            </w:tcBorders>
            <w:hideMark/>
          </w:tcPr>
          <w:p w14:paraId="5D5B15B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0.024 </w:t>
            </w:r>
          </w:p>
        </w:tc>
        <w:tc>
          <w:tcPr>
            <w:tcW w:w="174" w:type="pct"/>
            <w:tcBorders>
              <w:top w:val="single" w:sz="6" w:space="0" w:color="auto"/>
              <w:left w:val="single" w:sz="6" w:space="0" w:color="auto"/>
              <w:bottom w:val="single" w:sz="6" w:space="0" w:color="auto"/>
              <w:right w:val="single" w:sz="6" w:space="0" w:color="auto"/>
            </w:tcBorders>
            <w:hideMark/>
          </w:tcPr>
          <w:p w14:paraId="0A5BE85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0.022 </w:t>
            </w:r>
          </w:p>
        </w:tc>
        <w:tc>
          <w:tcPr>
            <w:tcW w:w="174" w:type="pct"/>
            <w:tcBorders>
              <w:top w:val="single" w:sz="6" w:space="0" w:color="auto"/>
              <w:left w:val="single" w:sz="6" w:space="0" w:color="auto"/>
              <w:bottom w:val="single" w:sz="6" w:space="0" w:color="auto"/>
              <w:right w:val="single" w:sz="6" w:space="0" w:color="auto"/>
            </w:tcBorders>
            <w:hideMark/>
          </w:tcPr>
          <w:p w14:paraId="02ED1E9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0.020 </w:t>
            </w:r>
          </w:p>
        </w:tc>
        <w:tc>
          <w:tcPr>
            <w:tcW w:w="8" w:type="pct"/>
            <w:vAlign w:val="center"/>
            <w:hideMark/>
          </w:tcPr>
          <w:p w14:paraId="5DBA1C54" w14:textId="77777777" w:rsidR="00DB1AEE" w:rsidRPr="00DB1AEE" w:rsidRDefault="00DB1AEE" w:rsidP="00DB1AEE">
            <w:pPr>
              <w:widowControl w:val="0"/>
              <w:suppressAutoHyphens/>
              <w:autoSpaceDE w:val="0"/>
              <w:autoSpaceDN w:val="0"/>
              <w:jc w:val="left"/>
              <w:rPr>
                <w:b/>
                <w:iCs/>
                <w:szCs w:val="24"/>
                <w:u w:val="single"/>
                <w:lang w:bidi="en-US"/>
              </w:rPr>
            </w:pPr>
          </w:p>
        </w:tc>
      </w:tr>
      <w:tr w:rsidR="00DB1AEE" w:rsidRPr="00DB1AEE" w14:paraId="57116999" w14:textId="77777777" w:rsidTr="00FC1832">
        <w:trPr>
          <w:trHeight w:val="270"/>
        </w:trPr>
        <w:tc>
          <w:tcPr>
            <w:tcW w:w="5000" w:type="pct"/>
            <w:gridSpan w:val="23"/>
            <w:tcBorders>
              <w:top w:val="single" w:sz="6" w:space="0" w:color="auto"/>
              <w:left w:val="single" w:sz="6" w:space="0" w:color="auto"/>
              <w:bottom w:val="single" w:sz="6" w:space="0" w:color="auto"/>
              <w:right w:val="single" w:sz="6" w:space="0" w:color="auto"/>
            </w:tcBorders>
            <w:hideMark/>
          </w:tcPr>
          <w:p w14:paraId="1E7058F5"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Steel Framing at 24 in. on Center (10% Framing Factor)—includes only studs at 24 in. on center and top and bottom tracks </w:t>
            </w:r>
          </w:p>
        </w:tc>
      </w:tr>
      <w:tr w:rsidR="00DB1AEE" w:rsidRPr="00DB1AEE" w14:paraId="096E321C" w14:textId="77777777" w:rsidTr="00FC1832">
        <w:trPr>
          <w:trHeight w:val="300"/>
        </w:trPr>
        <w:tc>
          <w:tcPr>
            <w:tcW w:w="665" w:type="pct"/>
            <w:tcBorders>
              <w:top w:val="single" w:sz="6" w:space="0" w:color="auto"/>
              <w:left w:val="single" w:sz="6" w:space="0" w:color="auto"/>
              <w:bottom w:val="single" w:sz="6" w:space="0" w:color="auto"/>
              <w:right w:val="single" w:sz="6" w:space="0" w:color="auto"/>
            </w:tcBorders>
            <w:hideMark/>
          </w:tcPr>
          <w:p w14:paraId="520CEE12"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0.9 </w:t>
            </w:r>
          </w:p>
        </w:tc>
        <w:tc>
          <w:tcPr>
            <w:tcW w:w="855" w:type="pct"/>
            <w:tcBorders>
              <w:top w:val="single" w:sz="6" w:space="0" w:color="auto"/>
              <w:left w:val="single" w:sz="6" w:space="0" w:color="auto"/>
              <w:bottom w:val="single" w:sz="6" w:space="0" w:color="auto"/>
              <w:right w:val="single" w:sz="6" w:space="0" w:color="auto"/>
            </w:tcBorders>
            <w:hideMark/>
          </w:tcPr>
          <w:p w14:paraId="5515FA0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0.344 </w:t>
            </w:r>
          </w:p>
        </w:tc>
        <w:tc>
          <w:tcPr>
            <w:tcW w:w="174" w:type="pct"/>
            <w:tcBorders>
              <w:top w:val="single" w:sz="6" w:space="0" w:color="auto"/>
              <w:left w:val="single" w:sz="6" w:space="0" w:color="auto"/>
              <w:bottom w:val="single" w:sz="6" w:space="0" w:color="auto"/>
              <w:right w:val="single" w:sz="6" w:space="0" w:color="auto"/>
            </w:tcBorders>
            <w:hideMark/>
          </w:tcPr>
          <w:p w14:paraId="4727034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0.256 </w:t>
            </w:r>
          </w:p>
        </w:tc>
        <w:tc>
          <w:tcPr>
            <w:tcW w:w="174" w:type="pct"/>
            <w:tcBorders>
              <w:top w:val="single" w:sz="6" w:space="0" w:color="auto"/>
              <w:left w:val="single" w:sz="6" w:space="0" w:color="auto"/>
              <w:bottom w:val="single" w:sz="6" w:space="0" w:color="auto"/>
              <w:right w:val="single" w:sz="6" w:space="0" w:color="auto"/>
            </w:tcBorders>
            <w:hideMark/>
          </w:tcPr>
          <w:p w14:paraId="3EB51E2C"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0.204 </w:t>
            </w:r>
          </w:p>
        </w:tc>
        <w:tc>
          <w:tcPr>
            <w:tcW w:w="174" w:type="pct"/>
            <w:tcBorders>
              <w:top w:val="single" w:sz="6" w:space="0" w:color="auto"/>
              <w:left w:val="single" w:sz="6" w:space="0" w:color="auto"/>
              <w:bottom w:val="single" w:sz="6" w:space="0" w:color="auto"/>
              <w:right w:val="single" w:sz="6" w:space="0" w:color="auto"/>
            </w:tcBorders>
            <w:hideMark/>
          </w:tcPr>
          <w:p w14:paraId="455348F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0.169 </w:t>
            </w:r>
          </w:p>
        </w:tc>
        <w:tc>
          <w:tcPr>
            <w:tcW w:w="174" w:type="pct"/>
            <w:tcBorders>
              <w:top w:val="single" w:sz="6" w:space="0" w:color="auto"/>
              <w:left w:val="single" w:sz="6" w:space="0" w:color="auto"/>
              <w:bottom w:val="single" w:sz="6" w:space="0" w:color="auto"/>
              <w:right w:val="single" w:sz="6" w:space="0" w:color="auto"/>
            </w:tcBorders>
            <w:hideMark/>
          </w:tcPr>
          <w:p w14:paraId="2723E4E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0.145 </w:t>
            </w:r>
          </w:p>
        </w:tc>
        <w:tc>
          <w:tcPr>
            <w:tcW w:w="174" w:type="pct"/>
            <w:tcBorders>
              <w:top w:val="single" w:sz="6" w:space="0" w:color="auto"/>
              <w:left w:val="single" w:sz="6" w:space="0" w:color="auto"/>
              <w:bottom w:val="single" w:sz="6" w:space="0" w:color="auto"/>
              <w:right w:val="single" w:sz="6" w:space="0" w:color="auto"/>
            </w:tcBorders>
            <w:hideMark/>
          </w:tcPr>
          <w:p w14:paraId="27126231"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0.126 </w:t>
            </w:r>
          </w:p>
        </w:tc>
        <w:tc>
          <w:tcPr>
            <w:tcW w:w="174" w:type="pct"/>
            <w:tcBorders>
              <w:top w:val="single" w:sz="6" w:space="0" w:color="auto"/>
              <w:left w:val="single" w:sz="6" w:space="0" w:color="auto"/>
              <w:bottom w:val="single" w:sz="6" w:space="0" w:color="auto"/>
              <w:right w:val="single" w:sz="6" w:space="0" w:color="auto"/>
            </w:tcBorders>
            <w:hideMark/>
          </w:tcPr>
          <w:p w14:paraId="074DC29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0.112 </w:t>
            </w:r>
          </w:p>
        </w:tc>
        <w:tc>
          <w:tcPr>
            <w:tcW w:w="174" w:type="pct"/>
            <w:tcBorders>
              <w:top w:val="single" w:sz="6" w:space="0" w:color="auto"/>
              <w:left w:val="single" w:sz="6" w:space="0" w:color="auto"/>
              <w:bottom w:val="single" w:sz="6" w:space="0" w:color="auto"/>
              <w:right w:val="single" w:sz="6" w:space="0" w:color="auto"/>
            </w:tcBorders>
            <w:hideMark/>
          </w:tcPr>
          <w:p w14:paraId="4D2E53E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0.101 </w:t>
            </w:r>
          </w:p>
        </w:tc>
        <w:tc>
          <w:tcPr>
            <w:tcW w:w="174" w:type="pct"/>
            <w:tcBorders>
              <w:top w:val="single" w:sz="6" w:space="0" w:color="auto"/>
              <w:left w:val="single" w:sz="6" w:space="0" w:color="auto"/>
              <w:bottom w:val="single" w:sz="6" w:space="0" w:color="auto"/>
              <w:right w:val="single" w:sz="6" w:space="0" w:color="auto"/>
            </w:tcBorders>
            <w:hideMark/>
          </w:tcPr>
          <w:p w14:paraId="055577E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0.092 </w:t>
            </w:r>
          </w:p>
        </w:tc>
        <w:tc>
          <w:tcPr>
            <w:tcW w:w="174" w:type="pct"/>
            <w:tcBorders>
              <w:top w:val="single" w:sz="6" w:space="0" w:color="auto"/>
              <w:left w:val="single" w:sz="6" w:space="0" w:color="auto"/>
              <w:bottom w:val="single" w:sz="6" w:space="0" w:color="auto"/>
              <w:right w:val="single" w:sz="6" w:space="0" w:color="auto"/>
            </w:tcBorders>
            <w:hideMark/>
          </w:tcPr>
          <w:p w14:paraId="3AE46D45"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0.084 </w:t>
            </w:r>
          </w:p>
        </w:tc>
        <w:tc>
          <w:tcPr>
            <w:tcW w:w="174" w:type="pct"/>
            <w:tcBorders>
              <w:top w:val="single" w:sz="6" w:space="0" w:color="auto"/>
              <w:left w:val="single" w:sz="6" w:space="0" w:color="auto"/>
              <w:bottom w:val="single" w:sz="6" w:space="0" w:color="auto"/>
              <w:right w:val="single" w:sz="6" w:space="0" w:color="auto"/>
            </w:tcBorders>
            <w:hideMark/>
          </w:tcPr>
          <w:p w14:paraId="6840BFF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0.077 </w:t>
            </w:r>
          </w:p>
        </w:tc>
        <w:tc>
          <w:tcPr>
            <w:tcW w:w="174" w:type="pct"/>
            <w:tcBorders>
              <w:top w:val="single" w:sz="6" w:space="0" w:color="auto"/>
              <w:left w:val="single" w:sz="6" w:space="0" w:color="auto"/>
              <w:bottom w:val="single" w:sz="6" w:space="0" w:color="auto"/>
              <w:right w:val="single" w:sz="6" w:space="0" w:color="auto"/>
            </w:tcBorders>
            <w:hideMark/>
          </w:tcPr>
          <w:p w14:paraId="17104C2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0.072 </w:t>
            </w:r>
          </w:p>
        </w:tc>
        <w:tc>
          <w:tcPr>
            <w:tcW w:w="174" w:type="pct"/>
            <w:tcBorders>
              <w:top w:val="single" w:sz="6" w:space="0" w:color="auto"/>
              <w:left w:val="single" w:sz="6" w:space="0" w:color="auto"/>
              <w:bottom w:val="single" w:sz="6" w:space="0" w:color="auto"/>
              <w:right w:val="single" w:sz="6" w:space="0" w:color="auto"/>
            </w:tcBorders>
            <w:hideMark/>
          </w:tcPr>
          <w:p w14:paraId="67465892"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0.067 </w:t>
            </w:r>
          </w:p>
        </w:tc>
        <w:tc>
          <w:tcPr>
            <w:tcW w:w="174" w:type="pct"/>
            <w:tcBorders>
              <w:top w:val="single" w:sz="6" w:space="0" w:color="auto"/>
              <w:left w:val="single" w:sz="6" w:space="0" w:color="auto"/>
              <w:bottom w:val="single" w:sz="6" w:space="0" w:color="auto"/>
              <w:right w:val="single" w:sz="6" w:space="0" w:color="auto"/>
            </w:tcBorders>
            <w:hideMark/>
          </w:tcPr>
          <w:p w14:paraId="10C0C22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4DE59907"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7C2C7E3A"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51F36B5C"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026A7EA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4A8A1C3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2F696FB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7AF02C2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0.023 </w:t>
            </w:r>
          </w:p>
        </w:tc>
        <w:tc>
          <w:tcPr>
            <w:tcW w:w="8" w:type="pct"/>
            <w:vAlign w:val="center"/>
            <w:hideMark/>
          </w:tcPr>
          <w:p w14:paraId="6ADBB2FB" w14:textId="77777777" w:rsidR="00DB1AEE" w:rsidRPr="00DB1AEE" w:rsidRDefault="00DB1AEE" w:rsidP="00DB1AEE">
            <w:pPr>
              <w:widowControl w:val="0"/>
              <w:suppressAutoHyphens/>
              <w:autoSpaceDE w:val="0"/>
              <w:autoSpaceDN w:val="0"/>
              <w:jc w:val="left"/>
              <w:rPr>
                <w:b/>
                <w:iCs/>
                <w:szCs w:val="24"/>
                <w:u w:val="single"/>
                <w:lang w:bidi="en-US"/>
              </w:rPr>
            </w:pPr>
          </w:p>
        </w:tc>
      </w:tr>
      <w:tr w:rsidR="00DB1AEE" w:rsidRPr="00DB1AEE" w14:paraId="6D76AD3C" w14:textId="77777777" w:rsidTr="00FC1832">
        <w:trPr>
          <w:trHeight w:val="300"/>
        </w:trPr>
        <w:tc>
          <w:tcPr>
            <w:tcW w:w="665" w:type="pct"/>
            <w:tcBorders>
              <w:top w:val="single" w:sz="6" w:space="0" w:color="auto"/>
              <w:left w:val="single" w:sz="6" w:space="0" w:color="auto"/>
              <w:bottom w:val="single" w:sz="6" w:space="0" w:color="auto"/>
              <w:right w:val="single" w:sz="6" w:space="0" w:color="auto"/>
            </w:tcBorders>
            <w:hideMark/>
          </w:tcPr>
          <w:p w14:paraId="6385177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11 </w:t>
            </w:r>
          </w:p>
        </w:tc>
        <w:tc>
          <w:tcPr>
            <w:tcW w:w="855" w:type="pct"/>
            <w:tcBorders>
              <w:top w:val="single" w:sz="6" w:space="0" w:color="auto"/>
              <w:left w:val="single" w:sz="6" w:space="0" w:color="auto"/>
              <w:bottom w:val="single" w:sz="6" w:space="0" w:color="auto"/>
              <w:right w:val="single" w:sz="6" w:space="0" w:color="auto"/>
            </w:tcBorders>
            <w:hideMark/>
          </w:tcPr>
          <w:p w14:paraId="03E1178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0.113 </w:t>
            </w:r>
          </w:p>
        </w:tc>
        <w:tc>
          <w:tcPr>
            <w:tcW w:w="174" w:type="pct"/>
            <w:tcBorders>
              <w:top w:val="single" w:sz="6" w:space="0" w:color="auto"/>
              <w:left w:val="single" w:sz="6" w:space="0" w:color="auto"/>
              <w:bottom w:val="single" w:sz="6" w:space="0" w:color="auto"/>
              <w:right w:val="single" w:sz="6" w:space="0" w:color="auto"/>
            </w:tcBorders>
            <w:hideMark/>
          </w:tcPr>
          <w:p w14:paraId="6D5068D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0.101 </w:t>
            </w:r>
          </w:p>
        </w:tc>
        <w:tc>
          <w:tcPr>
            <w:tcW w:w="174" w:type="pct"/>
            <w:tcBorders>
              <w:top w:val="single" w:sz="6" w:space="0" w:color="auto"/>
              <w:left w:val="single" w:sz="6" w:space="0" w:color="auto"/>
              <w:bottom w:val="single" w:sz="6" w:space="0" w:color="auto"/>
              <w:right w:val="single" w:sz="6" w:space="0" w:color="auto"/>
            </w:tcBorders>
            <w:hideMark/>
          </w:tcPr>
          <w:p w14:paraId="40D2CEEE"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0.092 </w:t>
            </w:r>
          </w:p>
        </w:tc>
        <w:tc>
          <w:tcPr>
            <w:tcW w:w="174" w:type="pct"/>
            <w:tcBorders>
              <w:top w:val="single" w:sz="6" w:space="0" w:color="auto"/>
              <w:left w:val="single" w:sz="6" w:space="0" w:color="auto"/>
              <w:bottom w:val="single" w:sz="6" w:space="0" w:color="auto"/>
              <w:right w:val="single" w:sz="6" w:space="0" w:color="auto"/>
            </w:tcBorders>
            <w:hideMark/>
          </w:tcPr>
          <w:p w14:paraId="72595D9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0.084 </w:t>
            </w:r>
          </w:p>
        </w:tc>
        <w:tc>
          <w:tcPr>
            <w:tcW w:w="174" w:type="pct"/>
            <w:tcBorders>
              <w:top w:val="single" w:sz="6" w:space="0" w:color="auto"/>
              <w:left w:val="single" w:sz="6" w:space="0" w:color="auto"/>
              <w:bottom w:val="single" w:sz="6" w:space="0" w:color="auto"/>
              <w:right w:val="single" w:sz="6" w:space="0" w:color="auto"/>
            </w:tcBorders>
            <w:hideMark/>
          </w:tcPr>
          <w:p w14:paraId="696887F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0.078 </w:t>
            </w:r>
          </w:p>
        </w:tc>
        <w:tc>
          <w:tcPr>
            <w:tcW w:w="174" w:type="pct"/>
            <w:tcBorders>
              <w:top w:val="single" w:sz="6" w:space="0" w:color="auto"/>
              <w:left w:val="single" w:sz="6" w:space="0" w:color="auto"/>
              <w:bottom w:val="single" w:sz="6" w:space="0" w:color="auto"/>
              <w:right w:val="single" w:sz="6" w:space="0" w:color="auto"/>
            </w:tcBorders>
            <w:hideMark/>
          </w:tcPr>
          <w:p w14:paraId="6A347FA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0.072 </w:t>
            </w:r>
          </w:p>
        </w:tc>
        <w:tc>
          <w:tcPr>
            <w:tcW w:w="174" w:type="pct"/>
            <w:tcBorders>
              <w:top w:val="single" w:sz="6" w:space="0" w:color="auto"/>
              <w:left w:val="single" w:sz="6" w:space="0" w:color="auto"/>
              <w:bottom w:val="single" w:sz="6" w:space="0" w:color="auto"/>
              <w:right w:val="single" w:sz="6" w:space="0" w:color="auto"/>
            </w:tcBorders>
            <w:hideMark/>
          </w:tcPr>
          <w:p w14:paraId="7B12AFC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0.067 </w:t>
            </w:r>
          </w:p>
        </w:tc>
        <w:tc>
          <w:tcPr>
            <w:tcW w:w="174" w:type="pct"/>
            <w:tcBorders>
              <w:top w:val="single" w:sz="6" w:space="0" w:color="auto"/>
              <w:left w:val="single" w:sz="6" w:space="0" w:color="auto"/>
              <w:bottom w:val="single" w:sz="6" w:space="0" w:color="auto"/>
              <w:right w:val="single" w:sz="6" w:space="0" w:color="auto"/>
            </w:tcBorders>
            <w:hideMark/>
          </w:tcPr>
          <w:p w14:paraId="16EDDA95"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3DE73AA7"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6AC1FF2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2F67010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1D9FD67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0.050 </w:t>
            </w:r>
          </w:p>
        </w:tc>
        <w:tc>
          <w:tcPr>
            <w:tcW w:w="174" w:type="pct"/>
            <w:tcBorders>
              <w:top w:val="single" w:sz="6" w:space="0" w:color="auto"/>
              <w:left w:val="single" w:sz="6" w:space="0" w:color="auto"/>
              <w:bottom w:val="single" w:sz="6" w:space="0" w:color="auto"/>
              <w:right w:val="single" w:sz="6" w:space="0" w:color="auto"/>
            </w:tcBorders>
            <w:hideMark/>
          </w:tcPr>
          <w:p w14:paraId="17F37A69"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72ABC63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42DF1A8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040A311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160B37F3"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0.035 </w:t>
            </w:r>
          </w:p>
        </w:tc>
        <w:tc>
          <w:tcPr>
            <w:tcW w:w="174" w:type="pct"/>
            <w:tcBorders>
              <w:top w:val="single" w:sz="6" w:space="0" w:color="auto"/>
              <w:left w:val="single" w:sz="6" w:space="0" w:color="auto"/>
              <w:bottom w:val="single" w:sz="6" w:space="0" w:color="auto"/>
              <w:right w:val="single" w:sz="6" w:space="0" w:color="auto"/>
            </w:tcBorders>
            <w:hideMark/>
          </w:tcPr>
          <w:p w14:paraId="476E15E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654B3AB3"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1217C191"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346997AA"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0.020 </w:t>
            </w:r>
          </w:p>
        </w:tc>
        <w:tc>
          <w:tcPr>
            <w:tcW w:w="8" w:type="pct"/>
            <w:vAlign w:val="center"/>
            <w:hideMark/>
          </w:tcPr>
          <w:p w14:paraId="51EC333E" w14:textId="77777777" w:rsidR="00DB1AEE" w:rsidRPr="00DB1AEE" w:rsidRDefault="00DB1AEE" w:rsidP="00DB1AEE">
            <w:pPr>
              <w:widowControl w:val="0"/>
              <w:suppressAutoHyphens/>
              <w:autoSpaceDE w:val="0"/>
              <w:autoSpaceDN w:val="0"/>
              <w:jc w:val="left"/>
              <w:rPr>
                <w:b/>
                <w:iCs/>
                <w:szCs w:val="24"/>
                <w:u w:val="single"/>
                <w:lang w:bidi="en-US"/>
              </w:rPr>
            </w:pPr>
          </w:p>
        </w:tc>
      </w:tr>
      <w:tr w:rsidR="00DB1AEE" w:rsidRPr="00DB1AEE" w14:paraId="5EA68CE7" w14:textId="77777777" w:rsidTr="00FC1832">
        <w:trPr>
          <w:trHeight w:val="264"/>
        </w:trPr>
        <w:tc>
          <w:tcPr>
            <w:tcW w:w="665" w:type="pct"/>
            <w:tcBorders>
              <w:top w:val="single" w:sz="6" w:space="0" w:color="auto"/>
              <w:left w:val="single" w:sz="6" w:space="0" w:color="auto"/>
              <w:bottom w:val="single" w:sz="6" w:space="0" w:color="auto"/>
              <w:right w:val="single" w:sz="6" w:space="0" w:color="auto"/>
            </w:tcBorders>
            <w:hideMark/>
          </w:tcPr>
          <w:p w14:paraId="7CE0BD3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13 </w:t>
            </w:r>
          </w:p>
        </w:tc>
        <w:tc>
          <w:tcPr>
            <w:tcW w:w="855" w:type="pct"/>
            <w:tcBorders>
              <w:top w:val="single" w:sz="6" w:space="0" w:color="auto"/>
              <w:left w:val="single" w:sz="6" w:space="0" w:color="auto"/>
              <w:bottom w:val="single" w:sz="6" w:space="0" w:color="auto"/>
              <w:right w:val="single" w:sz="6" w:space="0" w:color="auto"/>
            </w:tcBorders>
            <w:hideMark/>
          </w:tcPr>
          <w:p w14:paraId="54C8193C"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0.104 </w:t>
            </w:r>
          </w:p>
        </w:tc>
        <w:tc>
          <w:tcPr>
            <w:tcW w:w="174" w:type="pct"/>
            <w:tcBorders>
              <w:top w:val="single" w:sz="6" w:space="0" w:color="auto"/>
              <w:left w:val="single" w:sz="6" w:space="0" w:color="auto"/>
              <w:bottom w:val="single" w:sz="6" w:space="0" w:color="auto"/>
              <w:right w:val="single" w:sz="6" w:space="0" w:color="auto"/>
            </w:tcBorders>
            <w:hideMark/>
          </w:tcPr>
          <w:p w14:paraId="1B7CF16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0.094 </w:t>
            </w:r>
          </w:p>
        </w:tc>
        <w:tc>
          <w:tcPr>
            <w:tcW w:w="174" w:type="pct"/>
            <w:tcBorders>
              <w:top w:val="single" w:sz="6" w:space="0" w:color="auto"/>
              <w:left w:val="single" w:sz="6" w:space="0" w:color="auto"/>
              <w:bottom w:val="single" w:sz="6" w:space="0" w:color="auto"/>
              <w:right w:val="single" w:sz="6" w:space="0" w:color="auto"/>
            </w:tcBorders>
            <w:hideMark/>
          </w:tcPr>
          <w:p w14:paraId="2346F29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0.086 </w:t>
            </w:r>
          </w:p>
        </w:tc>
        <w:tc>
          <w:tcPr>
            <w:tcW w:w="174" w:type="pct"/>
            <w:tcBorders>
              <w:top w:val="single" w:sz="6" w:space="0" w:color="auto"/>
              <w:left w:val="single" w:sz="6" w:space="0" w:color="auto"/>
              <w:bottom w:val="single" w:sz="6" w:space="0" w:color="auto"/>
              <w:right w:val="single" w:sz="6" w:space="0" w:color="auto"/>
            </w:tcBorders>
            <w:hideMark/>
          </w:tcPr>
          <w:p w14:paraId="73D628D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0.079 </w:t>
            </w:r>
          </w:p>
        </w:tc>
        <w:tc>
          <w:tcPr>
            <w:tcW w:w="174" w:type="pct"/>
            <w:tcBorders>
              <w:top w:val="single" w:sz="6" w:space="0" w:color="auto"/>
              <w:left w:val="single" w:sz="6" w:space="0" w:color="auto"/>
              <w:bottom w:val="single" w:sz="6" w:space="0" w:color="auto"/>
              <w:right w:val="single" w:sz="6" w:space="0" w:color="auto"/>
            </w:tcBorders>
            <w:hideMark/>
          </w:tcPr>
          <w:p w14:paraId="79EA3FC2"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0.073 </w:t>
            </w:r>
          </w:p>
        </w:tc>
        <w:tc>
          <w:tcPr>
            <w:tcW w:w="174" w:type="pct"/>
            <w:tcBorders>
              <w:top w:val="single" w:sz="6" w:space="0" w:color="auto"/>
              <w:left w:val="single" w:sz="6" w:space="0" w:color="auto"/>
              <w:bottom w:val="single" w:sz="6" w:space="0" w:color="auto"/>
              <w:right w:val="single" w:sz="6" w:space="0" w:color="auto"/>
            </w:tcBorders>
            <w:hideMark/>
          </w:tcPr>
          <w:p w14:paraId="2A9CEC6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0.068 </w:t>
            </w:r>
          </w:p>
        </w:tc>
        <w:tc>
          <w:tcPr>
            <w:tcW w:w="174" w:type="pct"/>
            <w:tcBorders>
              <w:top w:val="single" w:sz="6" w:space="0" w:color="auto"/>
              <w:left w:val="single" w:sz="6" w:space="0" w:color="auto"/>
              <w:bottom w:val="single" w:sz="6" w:space="0" w:color="auto"/>
              <w:right w:val="single" w:sz="6" w:space="0" w:color="auto"/>
            </w:tcBorders>
            <w:hideMark/>
          </w:tcPr>
          <w:p w14:paraId="612575FE"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0.064 </w:t>
            </w:r>
          </w:p>
        </w:tc>
        <w:tc>
          <w:tcPr>
            <w:tcW w:w="174" w:type="pct"/>
            <w:tcBorders>
              <w:top w:val="single" w:sz="6" w:space="0" w:color="auto"/>
              <w:left w:val="single" w:sz="6" w:space="0" w:color="auto"/>
              <w:bottom w:val="single" w:sz="6" w:space="0" w:color="auto"/>
              <w:right w:val="single" w:sz="6" w:space="0" w:color="auto"/>
            </w:tcBorders>
            <w:hideMark/>
          </w:tcPr>
          <w:p w14:paraId="752C7DE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46E788B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0.057 </w:t>
            </w:r>
          </w:p>
        </w:tc>
        <w:tc>
          <w:tcPr>
            <w:tcW w:w="174" w:type="pct"/>
            <w:tcBorders>
              <w:top w:val="single" w:sz="6" w:space="0" w:color="auto"/>
              <w:left w:val="single" w:sz="6" w:space="0" w:color="auto"/>
              <w:bottom w:val="single" w:sz="6" w:space="0" w:color="auto"/>
              <w:right w:val="single" w:sz="6" w:space="0" w:color="auto"/>
            </w:tcBorders>
            <w:hideMark/>
          </w:tcPr>
          <w:p w14:paraId="3B75E24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0.054 </w:t>
            </w:r>
          </w:p>
        </w:tc>
        <w:tc>
          <w:tcPr>
            <w:tcW w:w="174" w:type="pct"/>
            <w:tcBorders>
              <w:top w:val="single" w:sz="6" w:space="0" w:color="auto"/>
              <w:left w:val="single" w:sz="6" w:space="0" w:color="auto"/>
              <w:bottom w:val="single" w:sz="6" w:space="0" w:color="auto"/>
              <w:right w:val="single" w:sz="6" w:space="0" w:color="auto"/>
            </w:tcBorders>
            <w:hideMark/>
          </w:tcPr>
          <w:p w14:paraId="34767DE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40C9FFE2"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206A5493"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2A3B4C3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3FE7B86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3799A913"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0.041 </w:t>
            </w:r>
          </w:p>
        </w:tc>
        <w:tc>
          <w:tcPr>
            <w:tcW w:w="174" w:type="pct"/>
            <w:tcBorders>
              <w:top w:val="single" w:sz="6" w:space="0" w:color="auto"/>
              <w:left w:val="single" w:sz="6" w:space="0" w:color="auto"/>
              <w:bottom w:val="single" w:sz="6" w:space="0" w:color="auto"/>
              <w:right w:val="single" w:sz="6" w:space="0" w:color="auto"/>
            </w:tcBorders>
            <w:hideMark/>
          </w:tcPr>
          <w:p w14:paraId="1CF80217"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0.034 </w:t>
            </w:r>
          </w:p>
        </w:tc>
        <w:tc>
          <w:tcPr>
            <w:tcW w:w="174" w:type="pct"/>
            <w:tcBorders>
              <w:top w:val="single" w:sz="6" w:space="0" w:color="auto"/>
              <w:left w:val="single" w:sz="6" w:space="0" w:color="auto"/>
              <w:bottom w:val="single" w:sz="6" w:space="0" w:color="auto"/>
              <w:right w:val="single" w:sz="6" w:space="0" w:color="auto"/>
            </w:tcBorders>
            <w:hideMark/>
          </w:tcPr>
          <w:p w14:paraId="7174EB11"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0.029 </w:t>
            </w:r>
          </w:p>
        </w:tc>
        <w:tc>
          <w:tcPr>
            <w:tcW w:w="174" w:type="pct"/>
            <w:tcBorders>
              <w:top w:val="single" w:sz="6" w:space="0" w:color="auto"/>
              <w:left w:val="single" w:sz="6" w:space="0" w:color="auto"/>
              <w:bottom w:val="single" w:sz="6" w:space="0" w:color="auto"/>
              <w:right w:val="single" w:sz="6" w:space="0" w:color="auto"/>
            </w:tcBorders>
            <w:hideMark/>
          </w:tcPr>
          <w:p w14:paraId="2D6AECA7"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0.025 </w:t>
            </w:r>
          </w:p>
        </w:tc>
        <w:tc>
          <w:tcPr>
            <w:tcW w:w="174" w:type="pct"/>
            <w:tcBorders>
              <w:top w:val="single" w:sz="6" w:space="0" w:color="auto"/>
              <w:left w:val="single" w:sz="6" w:space="0" w:color="auto"/>
              <w:bottom w:val="single" w:sz="6" w:space="0" w:color="auto"/>
              <w:right w:val="single" w:sz="6" w:space="0" w:color="auto"/>
            </w:tcBorders>
            <w:hideMark/>
          </w:tcPr>
          <w:p w14:paraId="7A0597B5"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0.022 </w:t>
            </w:r>
          </w:p>
        </w:tc>
        <w:tc>
          <w:tcPr>
            <w:tcW w:w="174" w:type="pct"/>
            <w:tcBorders>
              <w:top w:val="single" w:sz="6" w:space="0" w:color="auto"/>
              <w:left w:val="single" w:sz="6" w:space="0" w:color="auto"/>
              <w:bottom w:val="single" w:sz="6" w:space="0" w:color="auto"/>
              <w:right w:val="single" w:sz="6" w:space="0" w:color="auto"/>
            </w:tcBorders>
            <w:hideMark/>
          </w:tcPr>
          <w:p w14:paraId="439A012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0.020 </w:t>
            </w:r>
          </w:p>
        </w:tc>
        <w:tc>
          <w:tcPr>
            <w:tcW w:w="8" w:type="pct"/>
            <w:vAlign w:val="center"/>
            <w:hideMark/>
          </w:tcPr>
          <w:p w14:paraId="062BF018" w14:textId="77777777" w:rsidR="00DB1AEE" w:rsidRPr="00DB1AEE" w:rsidRDefault="00DB1AEE" w:rsidP="00DB1AEE">
            <w:pPr>
              <w:widowControl w:val="0"/>
              <w:suppressAutoHyphens/>
              <w:autoSpaceDE w:val="0"/>
              <w:autoSpaceDN w:val="0"/>
              <w:jc w:val="left"/>
              <w:rPr>
                <w:b/>
                <w:iCs/>
                <w:szCs w:val="24"/>
                <w:u w:val="single"/>
                <w:lang w:bidi="en-US"/>
              </w:rPr>
            </w:pPr>
          </w:p>
        </w:tc>
      </w:tr>
      <w:tr w:rsidR="00DB1AEE" w:rsidRPr="00DB1AEE" w14:paraId="52067BFD" w14:textId="77777777" w:rsidTr="00FC1832">
        <w:trPr>
          <w:trHeight w:val="219"/>
        </w:trPr>
        <w:tc>
          <w:tcPr>
            <w:tcW w:w="665" w:type="pct"/>
            <w:tcBorders>
              <w:top w:val="single" w:sz="6" w:space="0" w:color="auto"/>
              <w:left w:val="single" w:sz="6" w:space="0" w:color="auto"/>
              <w:bottom w:val="single" w:sz="6" w:space="0" w:color="auto"/>
              <w:right w:val="single" w:sz="6" w:space="0" w:color="auto"/>
            </w:tcBorders>
            <w:hideMark/>
          </w:tcPr>
          <w:p w14:paraId="36785EF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15 </w:t>
            </w:r>
          </w:p>
        </w:tc>
        <w:tc>
          <w:tcPr>
            <w:tcW w:w="855" w:type="pct"/>
            <w:tcBorders>
              <w:top w:val="single" w:sz="6" w:space="0" w:color="auto"/>
              <w:left w:val="single" w:sz="6" w:space="0" w:color="auto"/>
              <w:bottom w:val="single" w:sz="6" w:space="0" w:color="auto"/>
              <w:right w:val="single" w:sz="6" w:space="0" w:color="auto"/>
            </w:tcBorders>
            <w:hideMark/>
          </w:tcPr>
          <w:p w14:paraId="42E137C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0.098 </w:t>
            </w:r>
          </w:p>
        </w:tc>
        <w:tc>
          <w:tcPr>
            <w:tcW w:w="174" w:type="pct"/>
            <w:tcBorders>
              <w:top w:val="single" w:sz="6" w:space="0" w:color="auto"/>
              <w:left w:val="single" w:sz="6" w:space="0" w:color="auto"/>
              <w:bottom w:val="single" w:sz="6" w:space="0" w:color="auto"/>
              <w:right w:val="single" w:sz="6" w:space="0" w:color="auto"/>
            </w:tcBorders>
            <w:hideMark/>
          </w:tcPr>
          <w:p w14:paraId="552495C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0.089 </w:t>
            </w:r>
          </w:p>
        </w:tc>
        <w:tc>
          <w:tcPr>
            <w:tcW w:w="174" w:type="pct"/>
            <w:tcBorders>
              <w:top w:val="single" w:sz="6" w:space="0" w:color="auto"/>
              <w:left w:val="single" w:sz="6" w:space="0" w:color="auto"/>
              <w:bottom w:val="single" w:sz="6" w:space="0" w:color="auto"/>
              <w:right w:val="single" w:sz="6" w:space="0" w:color="auto"/>
            </w:tcBorders>
            <w:hideMark/>
          </w:tcPr>
          <w:p w14:paraId="77936CC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0.082 </w:t>
            </w:r>
          </w:p>
        </w:tc>
        <w:tc>
          <w:tcPr>
            <w:tcW w:w="174" w:type="pct"/>
            <w:tcBorders>
              <w:top w:val="single" w:sz="6" w:space="0" w:color="auto"/>
              <w:left w:val="single" w:sz="6" w:space="0" w:color="auto"/>
              <w:bottom w:val="single" w:sz="6" w:space="0" w:color="auto"/>
              <w:right w:val="single" w:sz="6" w:space="0" w:color="auto"/>
            </w:tcBorders>
            <w:hideMark/>
          </w:tcPr>
          <w:p w14:paraId="6DC1EF6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0.076 </w:t>
            </w:r>
          </w:p>
        </w:tc>
        <w:tc>
          <w:tcPr>
            <w:tcW w:w="174" w:type="pct"/>
            <w:tcBorders>
              <w:top w:val="single" w:sz="6" w:space="0" w:color="auto"/>
              <w:left w:val="single" w:sz="6" w:space="0" w:color="auto"/>
              <w:bottom w:val="single" w:sz="6" w:space="0" w:color="auto"/>
              <w:right w:val="single" w:sz="6" w:space="0" w:color="auto"/>
            </w:tcBorders>
            <w:hideMark/>
          </w:tcPr>
          <w:p w14:paraId="440B2BA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0.070 </w:t>
            </w:r>
          </w:p>
        </w:tc>
        <w:tc>
          <w:tcPr>
            <w:tcW w:w="174" w:type="pct"/>
            <w:tcBorders>
              <w:top w:val="single" w:sz="6" w:space="0" w:color="auto"/>
              <w:left w:val="single" w:sz="6" w:space="0" w:color="auto"/>
              <w:bottom w:val="single" w:sz="6" w:space="0" w:color="auto"/>
              <w:right w:val="single" w:sz="6" w:space="0" w:color="auto"/>
            </w:tcBorders>
            <w:hideMark/>
          </w:tcPr>
          <w:p w14:paraId="7B964D4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0.066 </w:t>
            </w:r>
          </w:p>
        </w:tc>
        <w:tc>
          <w:tcPr>
            <w:tcW w:w="174" w:type="pct"/>
            <w:tcBorders>
              <w:top w:val="single" w:sz="6" w:space="0" w:color="auto"/>
              <w:left w:val="single" w:sz="6" w:space="0" w:color="auto"/>
              <w:bottom w:val="single" w:sz="6" w:space="0" w:color="auto"/>
              <w:right w:val="single" w:sz="6" w:space="0" w:color="auto"/>
            </w:tcBorders>
            <w:hideMark/>
          </w:tcPr>
          <w:p w14:paraId="5020868C"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0.062 </w:t>
            </w:r>
          </w:p>
        </w:tc>
        <w:tc>
          <w:tcPr>
            <w:tcW w:w="174" w:type="pct"/>
            <w:tcBorders>
              <w:top w:val="single" w:sz="6" w:space="0" w:color="auto"/>
              <w:left w:val="single" w:sz="6" w:space="0" w:color="auto"/>
              <w:bottom w:val="single" w:sz="6" w:space="0" w:color="auto"/>
              <w:right w:val="single" w:sz="6" w:space="0" w:color="auto"/>
            </w:tcBorders>
            <w:hideMark/>
          </w:tcPr>
          <w:p w14:paraId="0AD6813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0.058 </w:t>
            </w:r>
          </w:p>
        </w:tc>
        <w:tc>
          <w:tcPr>
            <w:tcW w:w="174" w:type="pct"/>
            <w:tcBorders>
              <w:top w:val="single" w:sz="6" w:space="0" w:color="auto"/>
              <w:left w:val="single" w:sz="6" w:space="0" w:color="auto"/>
              <w:bottom w:val="single" w:sz="6" w:space="0" w:color="auto"/>
              <w:right w:val="single" w:sz="6" w:space="0" w:color="auto"/>
            </w:tcBorders>
            <w:hideMark/>
          </w:tcPr>
          <w:p w14:paraId="62276149"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0.055 </w:t>
            </w:r>
          </w:p>
        </w:tc>
        <w:tc>
          <w:tcPr>
            <w:tcW w:w="174" w:type="pct"/>
            <w:tcBorders>
              <w:top w:val="single" w:sz="6" w:space="0" w:color="auto"/>
              <w:left w:val="single" w:sz="6" w:space="0" w:color="auto"/>
              <w:bottom w:val="single" w:sz="6" w:space="0" w:color="auto"/>
              <w:right w:val="single" w:sz="6" w:space="0" w:color="auto"/>
            </w:tcBorders>
            <w:hideMark/>
          </w:tcPr>
          <w:p w14:paraId="1BCC0C9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7E0C5D0A"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3B5A3475"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0E9B2EA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725A1881"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0.043 </w:t>
            </w:r>
          </w:p>
        </w:tc>
        <w:tc>
          <w:tcPr>
            <w:tcW w:w="174" w:type="pct"/>
            <w:tcBorders>
              <w:top w:val="single" w:sz="6" w:space="0" w:color="auto"/>
              <w:left w:val="single" w:sz="6" w:space="0" w:color="auto"/>
              <w:bottom w:val="single" w:sz="6" w:space="0" w:color="auto"/>
              <w:right w:val="single" w:sz="6" w:space="0" w:color="auto"/>
            </w:tcBorders>
            <w:hideMark/>
          </w:tcPr>
          <w:p w14:paraId="056B0A8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0.041 </w:t>
            </w:r>
          </w:p>
        </w:tc>
        <w:tc>
          <w:tcPr>
            <w:tcW w:w="174" w:type="pct"/>
            <w:tcBorders>
              <w:top w:val="single" w:sz="6" w:space="0" w:color="auto"/>
              <w:left w:val="single" w:sz="6" w:space="0" w:color="auto"/>
              <w:bottom w:val="single" w:sz="6" w:space="0" w:color="auto"/>
              <w:right w:val="single" w:sz="6" w:space="0" w:color="auto"/>
            </w:tcBorders>
            <w:hideMark/>
          </w:tcPr>
          <w:p w14:paraId="767F5B51"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0.040 </w:t>
            </w:r>
          </w:p>
        </w:tc>
        <w:tc>
          <w:tcPr>
            <w:tcW w:w="174" w:type="pct"/>
            <w:tcBorders>
              <w:top w:val="single" w:sz="6" w:space="0" w:color="auto"/>
              <w:left w:val="single" w:sz="6" w:space="0" w:color="auto"/>
              <w:bottom w:val="single" w:sz="6" w:space="0" w:color="auto"/>
              <w:right w:val="single" w:sz="6" w:space="0" w:color="auto"/>
            </w:tcBorders>
            <w:hideMark/>
          </w:tcPr>
          <w:p w14:paraId="0EDF2BD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0.033 </w:t>
            </w:r>
          </w:p>
        </w:tc>
        <w:tc>
          <w:tcPr>
            <w:tcW w:w="174" w:type="pct"/>
            <w:tcBorders>
              <w:top w:val="single" w:sz="6" w:space="0" w:color="auto"/>
              <w:left w:val="single" w:sz="6" w:space="0" w:color="auto"/>
              <w:bottom w:val="single" w:sz="6" w:space="0" w:color="auto"/>
              <w:right w:val="single" w:sz="6" w:space="0" w:color="auto"/>
            </w:tcBorders>
            <w:hideMark/>
          </w:tcPr>
          <w:p w14:paraId="22A087EE"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0.028 </w:t>
            </w:r>
          </w:p>
        </w:tc>
        <w:tc>
          <w:tcPr>
            <w:tcW w:w="174" w:type="pct"/>
            <w:tcBorders>
              <w:top w:val="single" w:sz="6" w:space="0" w:color="auto"/>
              <w:left w:val="single" w:sz="6" w:space="0" w:color="auto"/>
              <w:bottom w:val="single" w:sz="6" w:space="0" w:color="auto"/>
              <w:right w:val="single" w:sz="6" w:space="0" w:color="auto"/>
            </w:tcBorders>
            <w:hideMark/>
          </w:tcPr>
          <w:p w14:paraId="038B863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0.025 </w:t>
            </w:r>
          </w:p>
        </w:tc>
        <w:tc>
          <w:tcPr>
            <w:tcW w:w="174" w:type="pct"/>
            <w:tcBorders>
              <w:top w:val="single" w:sz="6" w:space="0" w:color="auto"/>
              <w:left w:val="single" w:sz="6" w:space="0" w:color="auto"/>
              <w:bottom w:val="single" w:sz="6" w:space="0" w:color="auto"/>
              <w:right w:val="single" w:sz="6" w:space="0" w:color="auto"/>
            </w:tcBorders>
            <w:hideMark/>
          </w:tcPr>
          <w:p w14:paraId="1AA97E4C"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0.022 </w:t>
            </w:r>
          </w:p>
        </w:tc>
        <w:tc>
          <w:tcPr>
            <w:tcW w:w="174" w:type="pct"/>
            <w:tcBorders>
              <w:top w:val="single" w:sz="6" w:space="0" w:color="auto"/>
              <w:left w:val="single" w:sz="6" w:space="0" w:color="auto"/>
              <w:bottom w:val="single" w:sz="6" w:space="0" w:color="auto"/>
              <w:right w:val="single" w:sz="6" w:space="0" w:color="auto"/>
            </w:tcBorders>
            <w:hideMark/>
          </w:tcPr>
          <w:p w14:paraId="735EDC8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0.020 </w:t>
            </w:r>
          </w:p>
        </w:tc>
        <w:tc>
          <w:tcPr>
            <w:tcW w:w="8" w:type="pct"/>
            <w:vAlign w:val="center"/>
            <w:hideMark/>
          </w:tcPr>
          <w:p w14:paraId="19404792" w14:textId="77777777" w:rsidR="00DB1AEE" w:rsidRPr="00DB1AEE" w:rsidRDefault="00DB1AEE" w:rsidP="00DB1AEE">
            <w:pPr>
              <w:widowControl w:val="0"/>
              <w:suppressAutoHyphens/>
              <w:autoSpaceDE w:val="0"/>
              <w:autoSpaceDN w:val="0"/>
              <w:jc w:val="left"/>
              <w:rPr>
                <w:b/>
                <w:iCs/>
                <w:szCs w:val="24"/>
                <w:u w:val="single"/>
                <w:lang w:bidi="en-US"/>
              </w:rPr>
            </w:pPr>
          </w:p>
        </w:tc>
      </w:tr>
      <w:tr w:rsidR="00DB1AEE" w:rsidRPr="00DB1AEE" w14:paraId="37452E64" w14:textId="77777777" w:rsidTr="00FC1832">
        <w:trPr>
          <w:trHeight w:val="264"/>
        </w:trPr>
        <w:tc>
          <w:tcPr>
            <w:tcW w:w="665" w:type="pct"/>
            <w:tcBorders>
              <w:top w:val="single" w:sz="6" w:space="0" w:color="auto"/>
              <w:left w:val="single" w:sz="6" w:space="0" w:color="auto"/>
              <w:bottom w:val="single" w:sz="6" w:space="0" w:color="auto"/>
              <w:right w:val="single" w:sz="6" w:space="0" w:color="auto"/>
            </w:tcBorders>
            <w:hideMark/>
          </w:tcPr>
          <w:p w14:paraId="5DCF6B7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19 </w:t>
            </w:r>
          </w:p>
        </w:tc>
        <w:tc>
          <w:tcPr>
            <w:tcW w:w="855" w:type="pct"/>
            <w:tcBorders>
              <w:top w:val="single" w:sz="6" w:space="0" w:color="auto"/>
              <w:left w:val="single" w:sz="6" w:space="0" w:color="auto"/>
              <w:bottom w:val="single" w:sz="6" w:space="0" w:color="auto"/>
              <w:right w:val="single" w:sz="6" w:space="0" w:color="auto"/>
            </w:tcBorders>
            <w:hideMark/>
          </w:tcPr>
          <w:p w14:paraId="795B2DF7"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0.088 </w:t>
            </w:r>
          </w:p>
        </w:tc>
        <w:tc>
          <w:tcPr>
            <w:tcW w:w="174" w:type="pct"/>
            <w:tcBorders>
              <w:top w:val="single" w:sz="6" w:space="0" w:color="auto"/>
              <w:left w:val="single" w:sz="6" w:space="0" w:color="auto"/>
              <w:bottom w:val="single" w:sz="6" w:space="0" w:color="auto"/>
              <w:right w:val="single" w:sz="6" w:space="0" w:color="auto"/>
            </w:tcBorders>
            <w:hideMark/>
          </w:tcPr>
          <w:p w14:paraId="39FF463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0.081 </w:t>
            </w:r>
          </w:p>
        </w:tc>
        <w:tc>
          <w:tcPr>
            <w:tcW w:w="174" w:type="pct"/>
            <w:tcBorders>
              <w:top w:val="single" w:sz="6" w:space="0" w:color="auto"/>
              <w:left w:val="single" w:sz="6" w:space="0" w:color="auto"/>
              <w:bottom w:val="single" w:sz="6" w:space="0" w:color="auto"/>
              <w:right w:val="single" w:sz="6" w:space="0" w:color="auto"/>
            </w:tcBorders>
            <w:hideMark/>
          </w:tcPr>
          <w:p w14:paraId="113615A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0.075 </w:t>
            </w:r>
          </w:p>
        </w:tc>
        <w:tc>
          <w:tcPr>
            <w:tcW w:w="174" w:type="pct"/>
            <w:tcBorders>
              <w:top w:val="single" w:sz="6" w:space="0" w:color="auto"/>
              <w:left w:val="single" w:sz="6" w:space="0" w:color="auto"/>
              <w:bottom w:val="single" w:sz="6" w:space="0" w:color="auto"/>
              <w:right w:val="single" w:sz="6" w:space="0" w:color="auto"/>
            </w:tcBorders>
            <w:hideMark/>
          </w:tcPr>
          <w:p w14:paraId="62EAA2A7"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0.070 </w:t>
            </w:r>
          </w:p>
        </w:tc>
        <w:tc>
          <w:tcPr>
            <w:tcW w:w="174" w:type="pct"/>
            <w:tcBorders>
              <w:top w:val="single" w:sz="6" w:space="0" w:color="auto"/>
              <w:left w:val="single" w:sz="6" w:space="0" w:color="auto"/>
              <w:bottom w:val="single" w:sz="6" w:space="0" w:color="auto"/>
              <w:right w:val="single" w:sz="6" w:space="0" w:color="auto"/>
            </w:tcBorders>
            <w:hideMark/>
          </w:tcPr>
          <w:p w14:paraId="5E6ED6D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0.065 </w:t>
            </w:r>
          </w:p>
        </w:tc>
        <w:tc>
          <w:tcPr>
            <w:tcW w:w="174" w:type="pct"/>
            <w:tcBorders>
              <w:top w:val="single" w:sz="6" w:space="0" w:color="auto"/>
              <w:left w:val="single" w:sz="6" w:space="0" w:color="auto"/>
              <w:bottom w:val="single" w:sz="6" w:space="0" w:color="auto"/>
              <w:right w:val="single" w:sz="6" w:space="0" w:color="auto"/>
            </w:tcBorders>
            <w:hideMark/>
          </w:tcPr>
          <w:p w14:paraId="5D346E03"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0.061 </w:t>
            </w:r>
          </w:p>
        </w:tc>
        <w:tc>
          <w:tcPr>
            <w:tcW w:w="174" w:type="pct"/>
            <w:tcBorders>
              <w:top w:val="single" w:sz="6" w:space="0" w:color="auto"/>
              <w:left w:val="single" w:sz="6" w:space="0" w:color="auto"/>
              <w:bottom w:val="single" w:sz="6" w:space="0" w:color="auto"/>
              <w:right w:val="single" w:sz="6" w:space="0" w:color="auto"/>
            </w:tcBorders>
            <w:hideMark/>
          </w:tcPr>
          <w:p w14:paraId="3F6D519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0.058 </w:t>
            </w:r>
          </w:p>
        </w:tc>
        <w:tc>
          <w:tcPr>
            <w:tcW w:w="174" w:type="pct"/>
            <w:tcBorders>
              <w:top w:val="single" w:sz="6" w:space="0" w:color="auto"/>
              <w:left w:val="single" w:sz="6" w:space="0" w:color="auto"/>
              <w:bottom w:val="single" w:sz="6" w:space="0" w:color="auto"/>
              <w:right w:val="single" w:sz="6" w:space="0" w:color="auto"/>
            </w:tcBorders>
            <w:hideMark/>
          </w:tcPr>
          <w:p w14:paraId="5FE0DCC9"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0.055 </w:t>
            </w:r>
          </w:p>
        </w:tc>
        <w:tc>
          <w:tcPr>
            <w:tcW w:w="174" w:type="pct"/>
            <w:tcBorders>
              <w:top w:val="single" w:sz="6" w:space="0" w:color="auto"/>
              <w:left w:val="single" w:sz="6" w:space="0" w:color="auto"/>
              <w:bottom w:val="single" w:sz="6" w:space="0" w:color="auto"/>
              <w:right w:val="single" w:sz="6" w:space="0" w:color="auto"/>
            </w:tcBorders>
            <w:hideMark/>
          </w:tcPr>
          <w:p w14:paraId="5082E24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4830E1FE"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165A995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2CB8ED01"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4D690FC3"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0.043 </w:t>
            </w:r>
          </w:p>
        </w:tc>
        <w:tc>
          <w:tcPr>
            <w:tcW w:w="174" w:type="pct"/>
            <w:tcBorders>
              <w:top w:val="single" w:sz="6" w:space="0" w:color="auto"/>
              <w:left w:val="single" w:sz="6" w:space="0" w:color="auto"/>
              <w:bottom w:val="single" w:sz="6" w:space="0" w:color="auto"/>
              <w:right w:val="single" w:sz="6" w:space="0" w:color="auto"/>
            </w:tcBorders>
            <w:hideMark/>
          </w:tcPr>
          <w:p w14:paraId="528E81D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0.041 </w:t>
            </w:r>
          </w:p>
        </w:tc>
        <w:tc>
          <w:tcPr>
            <w:tcW w:w="174" w:type="pct"/>
            <w:tcBorders>
              <w:top w:val="single" w:sz="6" w:space="0" w:color="auto"/>
              <w:left w:val="single" w:sz="6" w:space="0" w:color="auto"/>
              <w:bottom w:val="single" w:sz="6" w:space="0" w:color="auto"/>
              <w:right w:val="single" w:sz="6" w:space="0" w:color="auto"/>
            </w:tcBorders>
            <w:hideMark/>
          </w:tcPr>
          <w:p w14:paraId="40189C7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0.040 </w:t>
            </w:r>
          </w:p>
        </w:tc>
        <w:tc>
          <w:tcPr>
            <w:tcW w:w="174" w:type="pct"/>
            <w:tcBorders>
              <w:top w:val="single" w:sz="6" w:space="0" w:color="auto"/>
              <w:left w:val="single" w:sz="6" w:space="0" w:color="auto"/>
              <w:bottom w:val="single" w:sz="6" w:space="0" w:color="auto"/>
              <w:right w:val="single" w:sz="6" w:space="0" w:color="auto"/>
            </w:tcBorders>
            <w:hideMark/>
          </w:tcPr>
          <w:p w14:paraId="0B37E012"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0.038 </w:t>
            </w:r>
          </w:p>
        </w:tc>
        <w:tc>
          <w:tcPr>
            <w:tcW w:w="174" w:type="pct"/>
            <w:tcBorders>
              <w:top w:val="single" w:sz="6" w:space="0" w:color="auto"/>
              <w:left w:val="single" w:sz="6" w:space="0" w:color="auto"/>
              <w:bottom w:val="single" w:sz="6" w:space="0" w:color="auto"/>
              <w:right w:val="single" w:sz="6" w:space="0" w:color="auto"/>
            </w:tcBorders>
            <w:hideMark/>
          </w:tcPr>
          <w:p w14:paraId="799BCDA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0.032 </w:t>
            </w:r>
          </w:p>
        </w:tc>
        <w:tc>
          <w:tcPr>
            <w:tcW w:w="174" w:type="pct"/>
            <w:tcBorders>
              <w:top w:val="single" w:sz="6" w:space="0" w:color="auto"/>
              <w:left w:val="single" w:sz="6" w:space="0" w:color="auto"/>
              <w:bottom w:val="single" w:sz="6" w:space="0" w:color="auto"/>
              <w:right w:val="single" w:sz="6" w:space="0" w:color="auto"/>
            </w:tcBorders>
            <w:hideMark/>
          </w:tcPr>
          <w:p w14:paraId="692D8BEE"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0.028 </w:t>
            </w:r>
          </w:p>
        </w:tc>
        <w:tc>
          <w:tcPr>
            <w:tcW w:w="174" w:type="pct"/>
            <w:tcBorders>
              <w:top w:val="single" w:sz="6" w:space="0" w:color="auto"/>
              <w:left w:val="single" w:sz="6" w:space="0" w:color="auto"/>
              <w:bottom w:val="single" w:sz="6" w:space="0" w:color="auto"/>
              <w:right w:val="single" w:sz="6" w:space="0" w:color="auto"/>
            </w:tcBorders>
            <w:hideMark/>
          </w:tcPr>
          <w:p w14:paraId="135E2AD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0.024 </w:t>
            </w:r>
          </w:p>
        </w:tc>
        <w:tc>
          <w:tcPr>
            <w:tcW w:w="174" w:type="pct"/>
            <w:tcBorders>
              <w:top w:val="single" w:sz="6" w:space="0" w:color="auto"/>
              <w:left w:val="single" w:sz="6" w:space="0" w:color="auto"/>
              <w:bottom w:val="single" w:sz="6" w:space="0" w:color="auto"/>
              <w:right w:val="single" w:sz="6" w:space="0" w:color="auto"/>
            </w:tcBorders>
            <w:hideMark/>
          </w:tcPr>
          <w:p w14:paraId="1E9F2E5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0.022 </w:t>
            </w:r>
          </w:p>
        </w:tc>
        <w:tc>
          <w:tcPr>
            <w:tcW w:w="174" w:type="pct"/>
            <w:tcBorders>
              <w:top w:val="single" w:sz="6" w:space="0" w:color="auto"/>
              <w:left w:val="single" w:sz="6" w:space="0" w:color="auto"/>
              <w:bottom w:val="single" w:sz="6" w:space="0" w:color="auto"/>
              <w:right w:val="single" w:sz="6" w:space="0" w:color="auto"/>
            </w:tcBorders>
            <w:hideMark/>
          </w:tcPr>
          <w:p w14:paraId="5BC2639A"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0.019 </w:t>
            </w:r>
          </w:p>
        </w:tc>
        <w:tc>
          <w:tcPr>
            <w:tcW w:w="8" w:type="pct"/>
            <w:vAlign w:val="center"/>
            <w:hideMark/>
          </w:tcPr>
          <w:p w14:paraId="4B73DF2A" w14:textId="77777777" w:rsidR="00DB1AEE" w:rsidRPr="00DB1AEE" w:rsidRDefault="00DB1AEE" w:rsidP="00DB1AEE">
            <w:pPr>
              <w:widowControl w:val="0"/>
              <w:suppressAutoHyphens/>
              <w:autoSpaceDE w:val="0"/>
              <w:autoSpaceDN w:val="0"/>
              <w:jc w:val="left"/>
              <w:rPr>
                <w:b/>
                <w:iCs/>
                <w:szCs w:val="24"/>
                <w:u w:val="single"/>
                <w:lang w:bidi="en-US"/>
              </w:rPr>
            </w:pPr>
          </w:p>
        </w:tc>
      </w:tr>
      <w:tr w:rsidR="00DB1AEE" w:rsidRPr="00DB1AEE" w14:paraId="79072AFC" w14:textId="77777777" w:rsidTr="00FC1832">
        <w:trPr>
          <w:trHeight w:val="228"/>
        </w:trPr>
        <w:tc>
          <w:tcPr>
            <w:tcW w:w="665" w:type="pct"/>
            <w:tcBorders>
              <w:top w:val="single" w:sz="6" w:space="0" w:color="auto"/>
              <w:left w:val="single" w:sz="6" w:space="0" w:color="auto"/>
              <w:bottom w:val="single" w:sz="6" w:space="0" w:color="auto"/>
              <w:right w:val="single" w:sz="6" w:space="0" w:color="auto"/>
            </w:tcBorders>
            <w:hideMark/>
          </w:tcPr>
          <w:p w14:paraId="74118DE3"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21 </w:t>
            </w:r>
          </w:p>
        </w:tc>
        <w:tc>
          <w:tcPr>
            <w:tcW w:w="855" w:type="pct"/>
            <w:tcBorders>
              <w:top w:val="single" w:sz="6" w:space="0" w:color="auto"/>
              <w:left w:val="single" w:sz="6" w:space="0" w:color="auto"/>
              <w:bottom w:val="single" w:sz="6" w:space="0" w:color="auto"/>
              <w:right w:val="single" w:sz="6" w:space="0" w:color="auto"/>
            </w:tcBorders>
            <w:hideMark/>
          </w:tcPr>
          <w:p w14:paraId="607D3C51"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0.085 </w:t>
            </w:r>
          </w:p>
        </w:tc>
        <w:tc>
          <w:tcPr>
            <w:tcW w:w="174" w:type="pct"/>
            <w:tcBorders>
              <w:top w:val="single" w:sz="6" w:space="0" w:color="auto"/>
              <w:left w:val="single" w:sz="6" w:space="0" w:color="auto"/>
              <w:bottom w:val="single" w:sz="6" w:space="0" w:color="auto"/>
              <w:right w:val="single" w:sz="6" w:space="0" w:color="auto"/>
            </w:tcBorders>
            <w:hideMark/>
          </w:tcPr>
          <w:p w14:paraId="3F7FDD32"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0.078 </w:t>
            </w:r>
          </w:p>
        </w:tc>
        <w:tc>
          <w:tcPr>
            <w:tcW w:w="174" w:type="pct"/>
            <w:tcBorders>
              <w:top w:val="single" w:sz="6" w:space="0" w:color="auto"/>
              <w:left w:val="single" w:sz="6" w:space="0" w:color="auto"/>
              <w:bottom w:val="single" w:sz="6" w:space="0" w:color="auto"/>
              <w:right w:val="single" w:sz="6" w:space="0" w:color="auto"/>
            </w:tcBorders>
            <w:hideMark/>
          </w:tcPr>
          <w:p w14:paraId="2755A4FA"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0.073 </w:t>
            </w:r>
          </w:p>
        </w:tc>
        <w:tc>
          <w:tcPr>
            <w:tcW w:w="174" w:type="pct"/>
            <w:tcBorders>
              <w:top w:val="single" w:sz="6" w:space="0" w:color="auto"/>
              <w:left w:val="single" w:sz="6" w:space="0" w:color="auto"/>
              <w:bottom w:val="single" w:sz="6" w:space="0" w:color="auto"/>
              <w:right w:val="single" w:sz="6" w:space="0" w:color="auto"/>
            </w:tcBorders>
            <w:hideMark/>
          </w:tcPr>
          <w:p w14:paraId="1BA6CE2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0.068 </w:t>
            </w:r>
          </w:p>
        </w:tc>
        <w:tc>
          <w:tcPr>
            <w:tcW w:w="174" w:type="pct"/>
            <w:tcBorders>
              <w:top w:val="single" w:sz="6" w:space="0" w:color="auto"/>
              <w:left w:val="single" w:sz="6" w:space="0" w:color="auto"/>
              <w:bottom w:val="single" w:sz="6" w:space="0" w:color="auto"/>
              <w:right w:val="single" w:sz="6" w:space="0" w:color="auto"/>
            </w:tcBorders>
            <w:hideMark/>
          </w:tcPr>
          <w:p w14:paraId="69409FD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6F41C35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48F0BE12"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56B898F9"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02D15989"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34647E6A"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0E52715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0BD2F65E"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37422CD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00C02DC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0.040 </w:t>
            </w:r>
          </w:p>
        </w:tc>
        <w:tc>
          <w:tcPr>
            <w:tcW w:w="174" w:type="pct"/>
            <w:tcBorders>
              <w:top w:val="single" w:sz="6" w:space="0" w:color="auto"/>
              <w:left w:val="single" w:sz="6" w:space="0" w:color="auto"/>
              <w:bottom w:val="single" w:sz="6" w:space="0" w:color="auto"/>
              <w:right w:val="single" w:sz="6" w:space="0" w:color="auto"/>
            </w:tcBorders>
            <w:hideMark/>
          </w:tcPr>
          <w:p w14:paraId="67A7BDD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0.039 </w:t>
            </w:r>
          </w:p>
        </w:tc>
        <w:tc>
          <w:tcPr>
            <w:tcW w:w="174" w:type="pct"/>
            <w:tcBorders>
              <w:top w:val="single" w:sz="6" w:space="0" w:color="auto"/>
              <w:left w:val="single" w:sz="6" w:space="0" w:color="auto"/>
              <w:bottom w:val="single" w:sz="6" w:space="0" w:color="auto"/>
              <w:right w:val="single" w:sz="6" w:space="0" w:color="auto"/>
            </w:tcBorders>
            <w:hideMark/>
          </w:tcPr>
          <w:p w14:paraId="292AEFEC"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0.037 </w:t>
            </w:r>
          </w:p>
        </w:tc>
        <w:tc>
          <w:tcPr>
            <w:tcW w:w="174" w:type="pct"/>
            <w:tcBorders>
              <w:top w:val="single" w:sz="6" w:space="0" w:color="auto"/>
              <w:left w:val="single" w:sz="6" w:space="0" w:color="auto"/>
              <w:bottom w:val="single" w:sz="6" w:space="0" w:color="auto"/>
              <w:right w:val="single" w:sz="6" w:space="0" w:color="auto"/>
            </w:tcBorders>
            <w:hideMark/>
          </w:tcPr>
          <w:p w14:paraId="6F42F79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0.031 </w:t>
            </w:r>
          </w:p>
        </w:tc>
        <w:tc>
          <w:tcPr>
            <w:tcW w:w="174" w:type="pct"/>
            <w:tcBorders>
              <w:top w:val="single" w:sz="6" w:space="0" w:color="auto"/>
              <w:left w:val="single" w:sz="6" w:space="0" w:color="auto"/>
              <w:bottom w:val="single" w:sz="6" w:space="0" w:color="auto"/>
              <w:right w:val="single" w:sz="6" w:space="0" w:color="auto"/>
            </w:tcBorders>
            <w:hideMark/>
          </w:tcPr>
          <w:p w14:paraId="77223BCA"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775CBB07"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0.024 </w:t>
            </w:r>
          </w:p>
        </w:tc>
        <w:tc>
          <w:tcPr>
            <w:tcW w:w="174" w:type="pct"/>
            <w:tcBorders>
              <w:top w:val="single" w:sz="6" w:space="0" w:color="auto"/>
              <w:left w:val="single" w:sz="6" w:space="0" w:color="auto"/>
              <w:bottom w:val="single" w:sz="6" w:space="0" w:color="auto"/>
              <w:right w:val="single" w:sz="6" w:space="0" w:color="auto"/>
            </w:tcBorders>
            <w:hideMark/>
          </w:tcPr>
          <w:p w14:paraId="3B7FE51E"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0.021 </w:t>
            </w:r>
          </w:p>
        </w:tc>
        <w:tc>
          <w:tcPr>
            <w:tcW w:w="174" w:type="pct"/>
            <w:tcBorders>
              <w:top w:val="single" w:sz="6" w:space="0" w:color="auto"/>
              <w:left w:val="single" w:sz="6" w:space="0" w:color="auto"/>
              <w:bottom w:val="single" w:sz="6" w:space="0" w:color="auto"/>
              <w:right w:val="single" w:sz="6" w:space="0" w:color="auto"/>
            </w:tcBorders>
            <w:hideMark/>
          </w:tcPr>
          <w:p w14:paraId="34858731"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0.019 </w:t>
            </w:r>
          </w:p>
        </w:tc>
        <w:tc>
          <w:tcPr>
            <w:tcW w:w="8" w:type="pct"/>
            <w:vAlign w:val="center"/>
            <w:hideMark/>
          </w:tcPr>
          <w:p w14:paraId="01A02DBC" w14:textId="77777777" w:rsidR="00DB1AEE" w:rsidRPr="00DB1AEE" w:rsidRDefault="00DB1AEE" w:rsidP="00DB1AEE">
            <w:pPr>
              <w:widowControl w:val="0"/>
              <w:suppressAutoHyphens/>
              <w:autoSpaceDE w:val="0"/>
              <w:autoSpaceDN w:val="0"/>
              <w:jc w:val="left"/>
              <w:rPr>
                <w:b/>
                <w:iCs/>
                <w:szCs w:val="24"/>
                <w:u w:val="single"/>
                <w:lang w:bidi="en-US"/>
              </w:rPr>
            </w:pPr>
          </w:p>
        </w:tc>
      </w:tr>
      <w:tr w:rsidR="00DB1AEE" w:rsidRPr="00DB1AEE" w14:paraId="068E261E" w14:textId="77777777" w:rsidTr="00FC1832">
        <w:trPr>
          <w:trHeight w:val="264"/>
        </w:trPr>
        <w:tc>
          <w:tcPr>
            <w:tcW w:w="665" w:type="pct"/>
            <w:tcBorders>
              <w:top w:val="single" w:sz="6" w:space="0" w:color="auto"/>
              <w:left w:val="single" w:sz="6" w:space="0" w:color="auto"/>
              <w:bottom w:val="single" w:sz="6" w:space="0" w:color="auto"/>
              <w:right w:val="single" w:sz="6" w:space="0" w:color="auto"/>
            </w:tcBorders>
            <w:hideMark/>
          </w:tcPr>
          <w:p w14:paraId="2308ED67"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25 </w:t>
            </w:r>
          </w:p>
        </w:tc>
        <w:tc>
          <w:tcPr>
            <w:tcW w:w="855" w:type="pct"/>
            <w:tcBorders>
              <w:top w:val="single" w:sz="6" w:space="0" w:color="auto"/>
              <w:left w:val="single" w:sz="6" w:space="0" w:color="auto"/>
              <w:bottom w:val="single" w:sz="6" w:space="0" w:color="auto"/>
              <w:right w:val="single" w:sz="6" w:space="0" w:color="auto"/>
            </w:tcBorders>
            <w:hideMark/>
          </w:tcPr>
          <w:p w14:paraId="28883DFE"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0.080 </w:t>
            </w:r>
          </w:p>
        </w:tc>
        <w:tc>
          <w:tcPr>
            <w:tcW w:w="174" w:type="pct"/>
            <w:tcBorders>
              <w:top w:val="single" w:sz="6" w:space="0" w:color="auto"/>
              <w:left w:val="single" w:sz="6" w:space="0" w:color="auto"/>
              <w:bottom w:val="single" w:sz="6" w:space="0" w:color="auto"/>
              <w:right w:val="single" w:sz="6" w:space="0" w:color="auto"/>
            </w:tcBorders>
            <w:hideMark/>
          </w:tcPr>
          <w:p w14:paraId="0DBF0E3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0.074 </w:t>
            </w:r>
          </w:p>
        </w:tc>
        <w:tc>
          <w:tcPr>
            <w:tcW w:w="174" w:type="pct"/>
            <w:tcBorders>
              <w:top w:val="single" w:sz="6" w:space="0" w:color="auto"/>
              <w:left w:val="single" w:sz="6" w:space="0" w:color="auto"/>
              <w:bottom w:val="single" w:sz="6" w:space="0" w:color="auto"/>
              <w:right w:val="single" w:sz="6" w:space="0" w:color="auto"/>
            </w:tcBorders>
            <w:hideMark/>
          </w:tcPr>
          <w:p w14:paraId="7592399C"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0.069 </w:t>
            </w:r>
          </w:p>
        </w:tc>
        <w:tc>
          <w:tcPr>
            <w:tcW w:w="174" w:type="pct"/>
            <w:tcBorders>
              <w:top w:val="single" w:sz="6" w:space="0" w:color="auto"/>
              <w:left w:val="single" w:sz="6" w:space="0" w:color="auto"/>
              <w:bottom w:val="single" w:sz="6" w:space="0" w:color="auto"/>
              <w:right w:val="single" w:sz="6" w:space="0" w:color="auto"/>
            </w:tcBorders>
            <w:hideMark/>
          </w:tcPr>
          <w:p w14:paraId="05B914C1"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0.064 </w:t>
            </w:r>
          </w:p>
        </w:tc>
        <w:tc>
          <w:tcPr>
            <w:tcW w:w="174" w:type="pct"/>
            <w:tcBorders>
              <w:top w:val="single" w:sz="6" w:space="0" w:color="auto"/>
              <w:left w:val="single" w:sz="6" w:space="0" w:color="auto"/>
              <w:bottom w:val="single" w:sz="6" w:space="0" w:color="auto"/>
              <w:right w:val="single" w:sz="6" w:space="0" w:color="auto"/>
            </w:tcBorders>
            <w:hideMark/>
          </w:tcPr>
          <w:p w14:paraId="285DE5F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354CE56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0.057 </w:t>
            </w:r>
          </w:p>
        </w:tc>
        <w:tc>
          <w:tcPr>
            <w:tcW w:w="174" w:type="pct"/>
            <w:tcBorders>
              <w:top w:val="single" w:sz="6" w:space="0" w:color="auto"/>
              <w:left w:val="single" w:sz="6" w:space="0" w:color="auto"/>
              <w:bottom w:val="single" w:sz="6" w:space="0" w:color="auto"/>
              <w:right w:val="single" w:sz="6" w:space="0" w:color="auto"/>
            </w:tcBorders>
            <w:hideMark/>
          </w:tcPr>
          <w:p w14:paraId="6208F5E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0.054 </w:t>
            </w:r>
          </w:p>
        </w:tc>
        <w:tc>
          <w:tcPr>
            <w:tcW w:w="174" w:type="pct"/>
            <w:tcBorders>
              <w:top w:val="single" w:sz="6" w:space="0" w:color="auto"/>
              <w:left w:val="single" w:sz="6" w:space="0" w:color="auto"/>
              <w:bottom w:val="single" w:sz="6" w:space="0" w:color="auto"/>
              <w:right w:val="single" w:sz="6" w:space="0" w:color="auto"/>
            </w:tcBorders>
            <w:hideMark/>
          </w:tcPr>
          <w:p w14:paraId="0CCFAC0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1607C9C9"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43D4E8CE"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59F3F6E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7F550F5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7D3A07E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0.041 </w:t>
            </w:r>
          </w:p>
        </w:tc>
        <w:tc>
          <w:tcPr>
            <w:tcW w:w="174" w:type="pct"/>
            <w:tcBorders>
              <w:top w:val="single" w:sz="6" w:space="0" w:color="auto"/>
              <w:left w:val="single" w:sz="6" w:space="0" w:color="auto"/>
              <w:bottom w:val="single" w:sz="6" w:space="0" w:color="auto"/>
              <w:right w:val="single" w:sz="6" w:space="0" w:color="auto"/>
            </w:tcBorders>
            <w:hideMark/>
          </w:tcPr>
          <w:p w14:paraId="364EACB2"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0.039 </w:t>
            </w:r>
          </w:p>
        </w:tc>
        <w:tc>
          <w:tcPr>
            <w:tcW w:w="174" w:type="pct"/>
            <w:tcBorders>
              <w:top w:val="single" w:sz="6" w:space="0" w:color="auto"/>
              <w:left w:val="single" w:sz="6" w:space="0" w:color="auto"/>
              <w:bottom w:val="single" w:sz="6" w:space="0" w:color="auto"/>
              <w:right w:val="single" w:sz="6" w:space="0" w:color="auto"/>
            </w:tcBorders>
            <w:hideMark/>
          </w:tcPr>
          <w:p w14:paraId="0343F8E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0.038 </w:t>
            </w:r>
          </w:p>
        </w:tc>
        <w:tc>
          <w:tcPr>
            <w:tcW w:w="174" w:type="pct"/>
            <w:tcBorders>
              <w:top w:val="single" w:sz="6" w:space="0" w:color="auto"/>
              <w:left w:val="single" w:sz="6" w:space="0" w:color="auto"/>
              <w:bottom w:val="single" w:sz="6" w:space="0" w:color="auto"/>
              <w:right w:val="single" w:sz="6" w:space="0" w:color="auto"/>
            </w:tcBorders>
            <w:hideMark/>
          </w:tcPr>
          <w:p w14:paraId="61B0F11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5C1DCF2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0.031 </w:t>
            </w:r>
          </w:p>
        </w:tc>
        <w:tc>
          <w:tcPr>
            <w:tcW w:w="174" w:type="pct"/>
            <w:tcBorders>
              <w:top w:val="single" w:sz="6" w:space="0" w:color="auto"/>
              <w:left w:val="single" w:sz="6" w:space="0" w:color="auto"/>
              <w:bottom w:val="single" w:sz="6" w:space="0" w:color="auto"/>
              <w:right w:val="single" w:sz="6" w:space="0" w:color="auto"/>
            </w:tcBorders>
            <w:hideMark/>
          </w:tcPr>
          <w:p w14:paraId="7EA10D2A"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03830A15"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0.024 </w:t>
            </w:r>
          </w:p>
        </w:tc>
        <w:tc>
          <w:tcPr>
            <w:tcW w:w="174" w:type="pct"/>
            <w:tcBorders>
              <w:top w:val="single" w:sz="6" w:space="0" w:color="auto"/>
              <w:left w:val="single" w:sz="6" w:space="0" w:color="auto"/>
              <w:bottom w:val="single" w:sz="6" w:space="0" w:color="auto"/>
              <w:right w:val="single" w:sz="6" w:space="0" w:color="auto"/>
            </w:tcBorders>
            <w:hideMark/>
          </w:tcPr>
          <w:p w14:paraId="55268AF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0.021 </w:t>
            </w:r>
          </w:p>
        </w:tc>
        <w:tc>
          <w:tcPr>
            <w:tcW w:w="174" w:type="pct"/>
            <w:tcBorders>
              <w:top w:val="single" w:sz="6" w:space="0" w:color="auto"/>
              <w:left w:val="single" w:sz="6" w:space="0" w:color="auto"/>
              <w:bottom w:val="single" w:sz="6" w:space="0" w:color="auto"/>
              <w:right w:val="single" w:sz="6" w:space="0" w:color="auto"/>
            </w:tcBorders>
            <w:hideMark/>
          </w:tcPr>
          <w:p w14:paraId="42AEF11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0.019 </w:t>
            </w:r>
          </w:p>
        </w:tc>
        <w:tc>
          <w:tcPr>
            <w:tcW w:w="8" w:type="pct"/>
            <w:vAlign w:val="center"/>
            <w:hideMark/>
          </w:tcPr>
          <w:p w14:paraId="4C62D4E5" w14:textId="77777777" w:rsidR="00DB1AEE" w:rsidRPr="00DB1AEE" w:rsidRDefault="00DB1AEE" w:rsidP="00DB1AEE">
            <w:pPr>
              <w:widowControl w:val="0"/>
              <w:suppressAutoHyphens/>
              <w:autoSpaceDE w:val="0"/>
              <w:autoSpaceDN w:val="0"/>
              <w:jc w:val="left"/>
              <w:rPr>
                <w:b/>
                <w:iCs/>
                <w:szCs w:val="24"/>
                <w:u w:val="single"/>
                <w:lang w:bidi="en-US"/>
              </w:rPr>
            </w:pPr>
          </w:p>
        </w:tc>
      </w:tr>
      <w:tr w:rsidR="00DB1AEE" w:rsidRPr="00DB1AEE" w14:paraId="69306A3F" w14:textId="77777777" w:rsidTr="00FC1832">
        <w:trPr>
          <w:trHeight w:val="315"/>
        </w:trPr>
        <w:tc>
          <w:tcPr>
            <w:tcW w:w="665" w:type="pct"/>
            <w:tcBorders>
              <w:top w:val="single" w:sz="6" w:space="0" w:color="auto"/>
              <w:left w:val="single" w:sz="6" w:space="0" w:color="auto"/>
              <w:bottom w:val="single" w:sz="6" w:space="0" w:color="auto"/>
              <w:right w:val="single" w:sz="6" w:space="0" w:color="auto"/>
            </w:tcBorders>
            <w:hideMark/>
          </w:tcPr>
          <w:p w14:paraId="165906F9"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30 </w:t>
            </w:r>
          </w:p>
        </w:tc>
        <w:tc>
          <w:tcPr>
            <w:tcW w:w="855" w:type="pct"/>
            <w:tcBorders>
              <w:top w:val="single" w:sz="6" w:space="0" w:color="auto"/>
              <w:left w:val="single" w:sz="6" w:space="0" w:color="auto"/>
              <w:bottom w:val="single" w:sz="6" w:space="0" w:color="auto"/>
              <w:right w:val="single" w:sz="6" w:space="0" w:color="auto"/>
            </w:tcBorders>
            <w:hideMark/>
          </w:tcPr>
          <w:p w14:paraId="706D292A"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0.075 </w:t>
            </w:r>
          </w:p>
        </w:tc>
        <w:tc>
          <w:tcPr>
            <w:tcW w:w="174" w:type="pct"/>
            <w:tcBorders>
              <w:top w:val="single" w:sz="6" w:space="0" w:color="auto"/>
              <w:left w:val="single" w:sz="6" w:space="0" w:color="auto"/>
              <w:bottom w:val="single" w:sz="6" w:space="0" w:color="auto"/>
              <w:right w:val="single" w:sz="6" w:space="0" w:color="auto"/>
            </w:tcBorders>
            <w:hideMark/>
          </w:tcPr>
          <w:p w14:paraId="26D11EA1"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0.070 </w:t>
            </w:r>
          </w:p>
        </w:tc>
        <w:tc>
          <w:tcPr>
            <w:tcW w:w="174" w:type="pct"/>
            <w:tcBorders>
              <w:top w:val="single" w:sz="6" w:space="0" w:color="auto"/>
              <w:left w:val="single" w:sz="6" w:space="0" w:color="auto"/>
              <w:bottom w:val="single" w:sz="6" w:space="0" w:color="auto"/>
              <w:right w:val="single" w:sz="6" w:space="0" w:color="auto"/>
            </w:tcBorders>
            <w:hideMark/>
          </w:tcPr>
          <w:p w14:paraId="3F90CF65"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0.065 </w:t>
            </w:r>
          </w:p>
        </w:tc>
        <w:tc>
          <w:tcPr>
            <w:tcW w:w="174" w:type="pct"/>
            <w:tcBorders>
              <w:top w:val="single" w:sz="6" w:space="0" w:color="auto"/>
              <w:left w:val="single" w:sz="6" w:space="0" w:color="auto"/>
              <w:bottom w:val="single" w:sz="6" w:space="0" w:color="auto"/>
              <w:right w:val="single" w:sz="6" w:space="0" w:color="auto"/>
            </w:tcBorders>
            <w:hideMark/>
          </w:tcPr>
          <w:p w14:paraId="3171256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0.061 </w:t>
            </w:r>
          </w:p>
        </w:tc>
        <w:tc>
          <w:tcPr>
            <w:tcW w:w="174" w:type="pct"/>
            <w:tcBorders>
              <w:top w:val="single" w:sz="6" w:space="0" w:color="auto"/>
              <w:left w:val="single" w:sz="6" w:space="0" w:color="auto"/>
              <w:bottom w:val="single" w:sz="6" w:space="0" w:color="auto"/>
              <w:right w:val="single" w:sz="6" w:space="0" w:color="auto"/>
            </w:tcBorders>
            <w:hideMark/>
          </w:tcPr>
          <w:p w14:paraId="5CB53789"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0.058 </w:t>
            </w:r>
          </w:p>
        </w:tc>
        <w:tc>
          <w:tcPr>
            <w:tcW w:w="174" w:type="pct"/>
            <w:tcBorders>
              <w:top w:val="single" w:sz="6" w:space="0" w:color="auto"/>
              <w:left w:val="single" w:sz="6" w:space="0" w:color="auto"/>
              <w:bottom w:val="single" w:sz="6" w:space="0" w:color="auto"/>
              <w:right w:val="single" w:sz="6" w:space="0" w:color="auto"/>
            </w:tcBorders>
            <w:hideMark/>
          </w:tcPr>
          <w:p w14:paraId="2F206F6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0.055 </w:t>
            </w:r>
          </w:p>
        </w:tc>
        <w:tc>
          <w:tcPr>
            <w:tcW w:w="174" w:type="pct"/>
            <w:tcBorders>
              <w:top w:val="single" w:sz="6" w:space="0" w:color="auto"/>
              <w:left w:val="single" w:sz="6" w:space="0" w:color="auto"/>
              <w:bottom w:val="single" w:sz="6" w:space="0" w:color="auto"/>
              <w:right w:val="single" w:sz="6" w:space="0" w:color="auto"/>
            </w:tcBorders>
            <w:hideMark/>
          </w:tcPr>
          <w:p w14:paraId="0A5F1DE3"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7E0A41E9"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6A8F8D8A"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2035D7C1"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4CA2BAD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0.043 </w:t>
            </w:r>
          </w:p>
        </w:tc>
        <w:tc>
          <w:tcPr>
            <w:tcW w:w="174" w:type="pct"/>
            <w:tcBorders>
              <w:top w:val="single" w:sz="6" w:space="0" w:color="auto"/>
              <w:left w:val="single" w:sz="6" w:space="0" w:color="auto"/>
              <w:bottom w:val="single" w:sz="6" w:space="0" w:color="auto"/>
              <w:right w:val="single" w:sz="6" w:space="0" w:color="auto"/>
            </w:tcBorders>
            <w:hideMark/>
          </w:tcPr>
          <w:p w14:paraId="19E5A42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0.041 </w:t>
            </w:r>
          </w:p>
        </w:tc>
        <w:tc>
          <w:tcPr>
            <w:tcW w:w="174" w:type="pct"/>
            <w:tcBorders>
              <w:top w:val="single" w:sz="6" w:space="0" w:color="auto"/>
              <w:left w:val="single" w:sz="6" w:space="0" w:color="auto"/>
              <w:bottom w:val="single" w:sz="6" w:space="0" w:color="auto"/>
              <w:right w:val="single" w:sz="6" w:space="0" w:color="auto"/>
            </w:tcBorders>
            <w:hideMark/>
          </w:tcPr>
          <w:p w14:paraId="19D6C61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0.039 </w:t>
            </w:r>
          </w:p>
        </w:tc>
        <w:tc>
          <w:tcPr>
            <w:tcW w:w="174" w:type="pct"/>
            <w:tcBorders>
              <w:top w:val="single" w:sz="6" w:space="0" w:color="auto"/>
              <w:left w:val="single" w:sz="6" w:space="0" w:color="auto"/>
              <w:bottom w:val="single" w:sz="6" w:space="0" w:color="auto"/>
              <w:right w:val="single" w:sz="6" w:space="0" w:color="auto"/>
            </w:tcBorders>
            <w:hideMark/>
          </w:tcPr>
          <w:p w14:paraId="5F7AC92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0.038 </w:t>
            </w:r>
          </w:p>
        </w:tc>
        <w:tc>
          <w:tcPr>
            <w:tcW w:w="174" w:type="pct"/>
            <w:tcBorders>
              <w:top w:val="single" w:sz="6" w:space="0" w:color="auto"/>
              <w:left w:val="single" w:sz="6" w:space="0" w:color="auto"/>
              <w:bottom w:val="single" w:sz="6" w:space="0" w:color="auto"/>
              <w:right w:val="single" w:sz="6" w:space="0" w:color="auto"/>
            </w:tcBorders>
            <w:hideMark/>
          </w:tcPr>
          <w:p w14:paraId="0483EB1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0.037 </w:t>
            </w:r>
          </w:p>
        </w:tc>
        <w:tc>
          <w:tcPr>
            <w:tcW w:w="174" w:type="pct"/>
            <w:tcBorders>
              <w:top w:val="single" w:sz="6" w:space="0" w:color="auto"/>
              <w:left w:val="single" w:sz="6" w:space="0" w:color="auto"/>
              <w:bottom w:val="single" w:sz="6" w:space="0" w:color="auto"/>
              <w:right w:val="single" w:sz="6" w:space="0" w:color="auto"/>
            </w:tcBorders>
            <w:hideMark/>
          </w:tcPr>
          <w:p w14:paraId="53DE5F8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0.035 </w:t>
            </w:r>
          </w:p>
        </w:tc>
        <w:tc>
          <w:tcPr>
            <w:tcW w:w="174" w:type="pct"/>
            <w:tcBorders>
              <w:top w:val="single" w:sz="6" w:space="0" w:color="auto"/>
              <w:left w:val="single" w:sz="6" w:space="0" w:color="auto"/>
              <w:bottom w:val="single" w:sz="6" w:space="0" w:color="auto"/>
              <w:right w:val="single" w:sz="6" w:space="0" w:color="auto"/>
            </w:tcBorders>
            <w:hideMark/>
          </w:tcPr>
          <w:p w14:paraId="15033175"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368D1B9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5E6736C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38AD7DD5"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0.021 </w:t>
            </w:r>
          </w:p>
        </w:tc>
        <w:tc>
          <w:tcPr>
            <w:tcW w:w="174" w:type="pct"/>
            <w:tcBorders>
              <w:top w:val="single" w:sz="6" w:space="0" w:color="auto"/>
              <w:left w:val="single" w:sz="6" w:space="0" w:color="auto"/>
              <w:bottom w:val="single" w:sz="6" w:space="0" w:color="auto"/>
              <w:right w:val="single" w:sz="6" w:space="0" w:color="auto"/>
            </w:tcBorders>
            <w:hideMark/>
          </w:tcPr>
          <w:p w14:paraId="72C132C9"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0.019 </w:t>
            </w:r>
          </w:p>
        </w:tc>
        <w:tc>
          <w:tcPr>
            <w:tcW w:w="8" w:type="pct"/>
            <w:vAlign w:val="center"/>
            <w:hideMark/>
          </w:tcPr>
          <w:p w14:paraId="78C64420" w14:textId="77777777" w:rsidR="00DB1AEE" w:rsidRPr="00DB1AEE" w:rsidRDefault="00DB1AEE" w:rsidP="00DB1AEE">
            <w:pPr>
              <w:widowControl w:val="0"/>
              <w:suppressAutoHyphens/>
              <w:autoSpaceDE w:val="0"/>
              <w:autoSpaceDN w:val="0"/>
              <w:jc w:val="left"/>
              <w:rPr>
                <w:b/>
                <w:iCs/>
                <w:szCs w:val="24"/>
                <w:u w:val="single"/>
                <w:lang w:bidi="en-US"/>
              </w:rPr>
            </w:pPr>
          </w:p>
        </w:tc>
      </w:tr>
    </w:tbl>
    <w:p w14:paraId="0168DF03" w14:textId="77777777" w:rsidR="00DB1AEE" w:rsidRPr="00DB1AEE" w:rsidRDefault="00DB1AEE" w:rsidP="00DB1AEE">
      <w:pPr>
        <w:widowControl w:val="0"/>
        <w:suppressAutoHyphens/>
        <w:autoSpaceDE w:val="0"/>
        <w:autoSpaceDN w:val="0"/>
        <w:jc w:val="left"/>
        <w:rPr>
          <w:b/>
          <w:iCs/>
          <w:szCs w:val="24"/>
          <w:u w:val="single"/>
          <w:lang w:bidi="en-US"/>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21"/>
        <w:gridCol w:w="2457"/>
        <w:gridCol w:w="451"/>
        <w:gridCol w:w="451"/>
        <w:gridCol w:w="451"/>
        <w:gridCol w:w="451"/>
        <w:gridCol w:w="451"/>
        <w:gridCol w:w="451"/>
        <w:gridCol w:w="451"/>
        <w:gridCol w:w="451"/>
        <w:gridCol w:w="451"/>
        <w:gridCol w:w="451"/>
        <w:gridCol w:w="451"/>
        <w:gridCol w:w="451"/>
        <w:gridCol w:w="451"/>
        <w:gridCol w:w="451"/>
        <w:gridCol w:w="451"/>
        <w:gridCol w:w="451"/>
        <w:gridCol w:w="451"/>
        <w:gridCol w:w="451"/>
        <w:gridCol w:w="451"/>
        <w:gridCol w:w="451"/>
        <w:gridCol w:w="21"/>
      </w:tblGrid>
      <w:tr w:rsidR="00DB1AEE" w:rsidRPr="00DB1AEE" w14:paraId="2888CAB2" w14:textId="77777777" w:rsidTr="00FC1832">
        <w:trPr>
          <w:gridAfter w:val="1"/>
          <w:wAfter w:w="8" w:type="pct"/>
          <w:trHeight w:val="315"/>
        </w:trPr>
        <w:tc>
          <w:tcPr>
            <w:tcW w:w="716" w:type="pct"/>
            <w:tcBorders>
              <w:top w:val="single" w:sz="6" w:space="0" w:color="auto"/>
              <w:left w:val="single" w:sz="6" w:space="0" w:color="auto"/>
              <w:bottom w:val="single" w:sz="6" w:space="0" w:color="auto"/>
              <w:right w:val="single" w:sz="6" w:space="0" w:color="auto"/>
            </w:tcBorders>
          </w:tcPr>
          <w:p w14:paraId="2F402DB0"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 </w:t>
            </w:r>
          </w:p>
        </w:tc>
        <w:tc>
          <w:tcPr>
            <w:tcW w:w="916" w:type="pct"/>
            <w:tcBorders>
              <w:top w:val="single" w:sz="6" w:space="0" w:color="auto"/>
              <w:left w:val="single" w:sz="6" w:space="0" w:color="auto"/>
              <w:bottom w:val="single" w:sz="6" w:space="0" w:color="auto"/>
              <w:right w:val="single" w:sz="6" w:space="0" w:color="auto"/>
            </w:tcBorders>
          </w:tcPr>
          <w:p w14:paraId="4C258A3C"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 </w:t>
            </w:r>
          </w:p>
        </w:tc>
        <w:tc>
          <w:tcPr>
            <w:tcW w:w="3360" w:type="pct"/>
            <w:gridSpan w:val="20"/>
            <w:tcBorders>
              <w:top w:val="single" w:sz="6" w:space="0" w:color="auto"/>
              <w:left w:val="single" w:sz="6" w:space="0" w:color="auto"/>
              <w:bottom w:val="single" w:sz="6" w:space="0" w:color="auto"/>
              <w:right w:val="single" w:sz="6" w:space="0" w:color="auto"/>
            </w:tcBorders>
          </w:tcPr>
          <w:p w14:paraId="57350835"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Overall U-Factor for Assembly of Base Wall Plus Continuous Insulation (Uninterrupted by Framing or Furring) </w:t>
            </w:r>
          </w:p>
        </w:tc>
      </w:tr>
      <w:tr w:rsidR="00DB1AEE" w:rsidRPr="00DB1AEE" w14:paraId="0EE62E87" w14:textId="77777777" w:rsidTr="00FC1832">
        <w:trPr>
          <w:gridAfter w:val="1"/>
          <w:wAfter w:w="8" w:type="pct"/>
          <w:trHeight w:val="315"/>
        </w:trPr>
        <w:tc>
          <w:tcPr>
            <w:tcW w:w="716" w:type="pct"/>
            <w:vMerge w:val="restart"/>
            <w:tcBorders>
              <w:top w:val="single" w:sz="6" w:space="0" w:color="auto"/>
              <w:left w:val="single" w:sz="6" w:space="0" w:color="auto"/>
              <w:bottom w:val="single" w:sz="6" w:space="0" w:color="auto"/>
              <w:right w:val="single" w:sz="6" w:space="0" w:color="auto"/>
            </w:tcBorders>
          </w:tcPr>
          <w:p w14:paraId="22D4E8A8"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Cavity Insulation Value </w:t>
            </w:r>
          </w:p>
        </w:tc>
        <w:tc>
          <w:tcPr>
            <w:tcW w:w="916" w:type="pct"/>
            <w:vMerge w:val="restart"/>
            <w:tcBorders>
              <w:top w:val="single" w:sz="6" w:space="0" w:color="auto"/>
              <w:left w:val="single" w:sz="6" w:space="0" w:color="auto"/>
              <w:bottom w:val="single" w:sz="6" w:space="0" w:color="auto"/>
              <w:right w:val="single" w:sz="6" w:space="0" w:color="auto"/>
            </w:tcBorders>
          </w:tcPr>
          <w:p w14:paraId="5CEE2E46"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Base Wall U-factor at Framing </w:t>
            </w:r>
          </w:p>
        </w:tc>
        <w:tc>
          <w:tcPr>
            <w:tcW w:w="3360" w:type="pct"/>
            <w:gridSpan w:val="20"/>
            <w:tcBorders>
              <w:top w:val="single" w:sz="6" w:space="0" w:color="auto"/>
              <w:left w:val="single" w:sz="6" w:space="0" w:color="auto"/>
              <w:bottom w:val="single" w:sz="6" w:space="0" w:color="auto"/>
              <w:right w:val="single" w:sz="6" w:space="0" w:color="auto"/>
            </w:tcBorders>
          </w:tcPr>
          <w:p w14:paraId="38722AF1"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Rated R-Value of Continuous Insulation </w:t>
            </w:r>
          </w:p>
        </w:tc>
      </w:tr>
      <w:tr w:rsidR="00DB1AEE" w:rsidRPr="00DB1AEE" w14:paraId="49919C70" w14:textId="77777777" w:rsidTr="00FC1832">
        <w:trPr>
          <w:gridAfter w:val="1"/>
          <w:wAfter w:w="8" w:type="pct"/>
          <w:trHeight w:val="315"/>
        </w:trPr>
        <w:tc>
          <w:tcPr>
            <w:tcW w:w="716" w:type="pct"/>
            <w:vMerge/>
            <w:tcBorders>
              <w:top w:val="single" w:sz="6" w:space="0" w:color="auto"/>
              <w:left w:val="single" w:sz="6" w:space="0" w:color="auto"/>
              <w:bottom w:val="single" w:sz="6" w:space="0" w:color="auto"/>
              <w:right w:val="single" w:sz="6" w:space="0" w:color="auto"/>
            </w:tcBorders>
            <w:vAlign w:val="center"/>
            <w:hideMark/>
          </w:tcPr>
          <w:p w14:paraId="2F93B5C1" w14:textId="77777777" w:rsidR="00DB1AEE" w:rsidRPr="00DB1AEE" w:rsidRDefault="00DB1AEE" w:rsidP="00DB1AEE">
            <w:pPr>
              <w:widowControl w:val="0"/>
              <w:suppressAutoHyphens/>
              <w:autoSpaceDE w:val="0"/>
              <w:autoSpaceDN w:val="0"/>
              <w:jc w:val="left"/>
              <w:rPr>
                <w:bCs/>
                <w:iCs/>
                <w:sz w:val="20"/>
                <w:u w:val="single"/>
                <w:lang w:bidi="en-US"/>
              </w:rPr>
            </w:pPr>
          </w:p>
        </w:tc>
        <w:tc>
          <w:tcPr>
            <w:tcW w:w="916" w:type="pct"/>
            <w:vMerge/>
            <w:tcBorders>
              <w:top w:val="single" w:sz="6" w:space="0" w:color="auto"/>
              <w:left w:val="single" w:sz="6" w:space="0" w:color="auto"/>
              <w:bottom w:val="single" w:sz="6" w:space="0" w:color="auto"/>
              <w:right w:val="single" w:sz="6" w:space="0" w:color="auto"/>
            </w:tcBorders>
            <w:vAlign w:val="center"/>
            <w:hideMark/>
          </w:tcPr>
          <w:p w14:paraId="50B0763E" w14:textId="77777777" w:rsidR="00DB1AEE" w:rsidRPr="00DB1AEE" w:rsidRDefault="00DB1AEE" w:rsidP="00DB1AEE">
            <w:pPr>
              <w:widowControl w:val="0"/>
              <w:suppressAutoHyphens/>
              <w:autoSpaceDE w:val="0"/>
              <w:autoSpaceDN w:val="0"/>
              <w:jc w:val="left"/>
              <w:rPr>
                <w:bCs/>
                <w:iCs/>
                <w:sz w:val="20"/>
                <w:u w:val="single"/>
                <w:lang w:bidi="en-US"/>
              </w:rPr>
            </w:pPr>
          </w:p>
        </w:tc>
        <w:tc>
          <w:tcPr>
            <w:tcW w:w="168" w:type="pct"/>
            <w:tcBorders>
              <w:top w:val="single" w:sz="6" w:space="0" w:color="auto"/>
              <w:left w:val="single" w:sz="6" w:space="0" w:color="auto"/>
              <w:bottom w:val="single" w:sz="6" w:space="0" w:color="auto"/>
              <w:right w:val="single" w:sz="6" w:space="0" w:color="auto"/>
            </w:tcBorders>
            <w:hideMark/>
          </w:tcPr>
          <w:p w14:paraId="1CB50D28"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0.18 </w:t>
            </w:r>
          </w:p>
        </w:tc>
        <w:tc>
          <w:tcPr>
            <w:tcW w:w="168" w:type="pct"/>
            <w:tcBorders>
              <w:top w:val="single" w:sz="6" w:space="0" w:color="auto"/>
              <w:left w:val="single" w:sz="6" w:space="0" w:color="auto"/>
              <w:bottom w:val="single" w:sz="6" w:space="0" w:color="auto"/>
              <w:right w:val="single" w:sz="6" w:space="0" w:color="auto"/>
            </w:tcBorders>
            <w:hideMark/>
          </w:tcPr>
          <w:p w14:paraId="68C668D5"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0.35 </w:t>
            </w:r>
          </w:p>
        </w:tc>
        <w:tc>
          <w:tcPr>
            <w:tcW w:w="168" w:type="pct"/>
            <w:tcBorders>
              <w:top w:val="single" w:sz="6" w:space="0" w:color="auto"/>
              <w:left w:val="single" w:sz="6" w:space="0" w:color="auto"/>
              <w:bottom w:val="single" w:sz="6" w:space="0" w:color="auto"/>
              <w:right w:val="single" w:sz="6" w:space="0" w:color="auto"/>
            </w:tcBorders>
            <w:hideMark/>
          </w:tcPr>
          <w:p w14:paraId="1EB0A127"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0.53 </w:t>
            </w:r>
          </w:p>
        </w:tc>
        <w:tc>
          <w:tcPr>
            <w:tcW w:w="168" w:type="pct"/>
            <w:tcBorders>
              <w:top w:val="single" w:sz="6" w:space="0" w:color="auto"/>
              <w:left w:val="single" w:sz="6" w:space="0" w:color="auto"/>
              <w:bottom w:val="single" w:sz="6" w:space="0" w:color="auto"/>
              <w:right w:val="single" w:sz="6" w:space="0" w:color="auto"/>
            </w:tcBorders>
            <w:hideMark/>
          </w:tcPr>
          <w:p w14:paraId="79230C9D"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0.70 </w:t>
            </w:r>
          </w:p>
        </w:tc>
        <w:tc>
          <w:tcPr>
            <w:tcW w:w="168" w:type="pct"/>
            <w:tcBorders>
              <w:top w:val="single" w:sz="6" w:space="0" w:color="auto"/>
              <w:left w:val="single" w:sz="6" w:space="0" w:color="auto"/>
              <w:bottom w:val="single" w:sz="6" w:space="0" w:color="auto"/>
              <w:right w:val="single" w:sz="6" w:space="0" w:color="auto"/>
            </w:tcBorders>
            <w:hideMark/>
          </w:tcPr>
          <w:p w14:paraId="50A7CCC2"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0.88 </w:t>
            </w:r>
          </w:p>
        </w:tc>
        <w:tc>
          <w:tcPr>
            <w:tcW w:w="168" w:type="pct"/>
            <w:tcBorders>
              <w:top w:val="single" w:sz="6" w:space="0" w:color="auto"/>
              <w:left w:val="single" w:sz="6" w:space="0" w:color="auto"/>
              <w:bottom w:val="single" w:sz="6" w:space="0" w:color="auto"/>
              <w:right w:val="single" w:sz="6" w:space="0" w:color="auto"/>
            </w:tcBorders>
            <w:hideMark/>
          </w:tcPr>
          <w:p w14:paraId="506713B4"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1.06 </w:t>
            </w:r>
          </w:p>
        </w:tc>
        <w:tc>
          <w:tcPr>
            <w:tcW w:w="168" w:type="pct"/>
            <w:tcBorders>
              <w:top w:val="single" w:sz="6" w:space="0" w:color="auto"/>
              <w:left w:val="single" w:sz="6" w:space="0" w:color="auto"/>
              <w:bottom w:val="single" w:sz="6" w:space="0" w:color="auto"/>
              <w:right w:val="single" w:sz="6" w:space="0" w:color="auto"/>
            </w:tcBorders>
            <w:hideMark/>
          </w:tcPr>
          <w:p w14:paraId="1D6BC971"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1.23 </w:t>
            </w:r>
          </w:p>
        </w:tc>
        <w:tc>
          <w:tcPr>
            <w:tcW w:w="168" w:type="pct"/>
            <w:tcBorders>
              <w:top w:val="single" w:sz="6" w:space="0" w:color="auto"/>
              <w:left w:val="single" w:sz="6" w:space="0" w:color="auto"/>
              <w:bottom w:val="single" w:sz="6" w:space="0" w:color="auto"/>
              <w:right w:val="single" w:sz="6" w:space="0" w:color="auto"/>
            </w:tcBorders>
            <w:hideMark/>
          </w:tcPr>
          <w:p w14:paraId="4B1BC0DA"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1.41 </w:t>
            </w:r>
          </w:p>
        </w:tc>
        <w:tc>
          <w:tcPr>
            <w:tcW w:w="168" w:type="pct"/>
            <w:tcBorders>
              <w:top w:val="single" w:sz="6" w:space="0" w:color="auto"/>
              <w:left w:val="single" w:sz="6" w:space="0" w:color="auto"/>
              <w:bottom w:val="single" w:sz="6" w:space="0" w:color="auto"/>
              <w:right w:val="single" w:sz="6" w:space="0" w:color="auto"/>
            </w:tcBorders>
            <w:hideMark/>
          </w:tcPr>
          <w:p w14:paraId="02C24C02"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1.59 </w:t>
            </w:r>
          </w:p>
        </w:tc>
        <w:tc>
          <w:tcPr>
            <w:tcW w:w="168" w:type="pct"/>
            <w:tcBorders>
              <w:top w:val="single" w:sz="6" w:space="0" w:color="auto"/>
              <w:left w:val="single" w:sz="6" w:space="0" w:color="auto"/>
              <w:bottom w:val="single" w:sz="6" w:space="0" w:color="auto"/>
              <w:right w:val="single" w:sz="6" w:space="0" w:color="auto"/>
            </w:tcBorders>
            <w:hideMark/>
          </w:tcPr>
          <w:p w14:paraId="72EA8FE9"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1.76 </w:t>
            </w:r>
          </w:p>
        </w:tc>
        <w:tc>
          <w:tcPr>
            <w:tcW w:w="168" w:type="pct"/>
            <w:tcBorders>
              <w:top w:val="single" w:sz="6" w:space="0" w:color="auto"/>
              <w:left w:val="single" w:sz="6" w:space="0" w:color="auto"/>
              <w:bottom w:val="single" w:sz="6" w:space="0" w:color="auto"/>
              <w:right w:val="single" w:sz="6" w:space="0" w:color="auto"/>
            </w:tcBorders>
            <w:hideMark/>
          </w:tcPr>
          <w:p w14:paraId="2B9FDDC7"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1.94 </w:t>
            </w:r>
          </w:p>
        </w:tc>
        <w:tc>
          <w:tcPr>
            <w:tcW w:w="168" w:type="pct"/>
            <w:tcBorders>
              <w:top w:val="single" w:sz="6" w:space="0" w:color="auto"/>
              <w:left w:val="single" w:sz="6" w:space="0" w:color="auto"/>
              <w:bottom w:val="single" w:sz="6" w:space="0" w:color="auto"/>
              <w:right w:val="single" w:sz="6" w:space="0" w:color="auto"/>
            </w:tcBorders>
            <w:hideMark/>
          </w:tcPr>
          <w:p w14:paraId="2F0BD6B6"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2.11 </w:t>
            </w:r>
          </w:p>
        </w:tc>
        <w:tc>
          <w:tcPr>
            <w:tcW w:w="168" w:type="pct"/>
            <w:tcBorders>
              <w:top w:val="single" w:sz="6" w:space="0" w:color="auto"/>
              <w:left w:val="single" w:sz="6" w:space="0" w:color="auto"/>
              <w:bottom w:val="single" w:sz="6" w:space="0" w:color="auto"/>
              <w:right w:val="single" w:sz="6" w:space="0" w:color="auto"/>
            </w:tcBorders>
            <w:hideMark/>
          </w:tcPr>
          <w:p w14:paraId="7438DF87"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2.29 </w:t>
            </w:r>
          </w:p>
        </w:tc>
        <w:tc>
          <w:tcPr>
            <w:tcW w:w="168" w:type="pct"/>
            <w:tcBorders>
              <w:top w:val="single" w:sz="6" w:space="0" w:color="auto"/>
              <w:left w:val="single" w:sz="6" w:space="0" w:color="auto"/>
              <w:bottom w:val="single" w:sz="6" w:space="0" w:color="auto"/>
              <w:right w:val="single" w:sz="6" w:space="0" w:color="auto"/>
            </w:tcBorders>
            <w:hideMark/>
          </w:tcPr>
          <w:p w14:paraId="44E42EF6"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2.47 </w:t>
            </w:r>
          </w:p>
        </w:tc>
        <w:tc>
          <w:tcPr>
            <w:tcW w:w="168" w:type="pct"/>
            <w:tcBorders>
              <w:top w:val="single" w:sz="6" w:space="0" w:color="auto"/>
              <w:left w:val="single" w:sz="6" w:space="0" w:color="auto"/>
              <w:bottom w:val="single" w:sz="6" w:space="0" w:color="auto"/>
              <w:right w:val="single" w:sz="6" w:space="0" w:color="auto"/>
            </w:tcBorders>
            <w:hideMark/>
          </w:tcPr>
          <w:p w14:paraId="00EA6305"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2.64 </w:t>
            </w:r>
          </w:p>
        </w:tc>
        <w:tc>
          <w:tcPr>
            <w:tcW w:w="168" w:type="pct"/>
            <w:tcBorders>
              <w:top w:val="single" w:sz="6" w:space="0" w:color="auto"/>
              <w:left w:val="single" w:sz="6" w:space="0" w:color="auto"/>
              <w:bottom w:val="single" w:sz="6" w:space="0" w:color="auto"/>
              <w:right w:val="single" w:sz="6" w:space="0" w:color="auto"/>
            </w:tcBorders>
            <w:hideMark/>
          </w:tcPr>
          <w:p w14:paraId="3AE56D84"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3.52 </w:t>
            </w:r>
          </w:p>
        </w:tc>
        <w:tc>
          <w:tcPr>
            <w:tcW w:w="168" w:type="pct"/>
            <w:tcBorders>
              <w:top w:val="single" w:sz="6" w:space="0" w:color="auto"/>
              <w:left w:val="single" w:sz="6" w:space="0" w:color="auto"/>
              <w:bottom w:val="single" w:sz="6" w:space="0" w:color="auto"/>
              <w:right w:val="single" w:sz="6" w:space="0" w:color="auto"/>
            </w:tcBorders>
            <w:hideMark/>
          </w:tcPr>
          <w:p w14:paraId="0EA72B5D"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4.40 </w:t>
            </w:r>
          </w:p>
        </w:tc>
        <w:tc>
          <w:tcPr>
            <w:tcW w:w="168" w:type="pct"/>
            <w:tcBorders>
              <w:top w:val="single" w:sz="6" w:space="0" w:color="auto"/>
              <w:left w:val="single" w:sz="6" w:space="0" w:color="auto"/>
              <w:bottom w:val="single" w:sz="6" w:space="0" w:color="auto"/>
              <w:right w:val="single" w:sz="6" w:space="0" w:color="auto"/>
            </w:tcBorders>
            <w:hideMark/>
          </w:tcPr>
          <w:p w14:paraId="3E373586"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5.28 </w:t>
            </w:r>
          </w:p>
        </w:tc>
        <w:tc>
          <w:tcPr>
            <w:tcW w:w="168" w:type="pct"/>
            <w:tcBorders>
              <w:top w:val="single" w:sz="6" w:space="0" w:color="auto"/>
              <w:left w:val="single" w:sz="6" w:space="0" w:color="auto"/>
              <w:bottom w:val="single" w:sz="6" w:space="0" w:color="auto"/>
              <w:right w:val="single" w:sz="6" w:space="0" w:color="auto"/>
            </w:tcBorders>
            <w:hideMark/>
          </w:tcPr>
          <w:p w14:paraId="670D2BFF"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6.16 </w:t>
            </w:r>
          </w:p>
        </w:tc>
        <w:tc>
          <w:tcPr>
            <w:tcW w:w="168" w:type="pct"/>
            <w:tcBorders>
              <w:top w:val="single" w:sz="6" w:space="0" w:color="auto"/>
              <w:left w:val="single" w:sz="6" w:space="0" w:color="auto"/>
              <w:bottom w:val="single" w:sz="6" w:space="0" w:color="auto"/>
              <w:right w:val="single" w:sz="6" w:space="0" w:color="auto"/>
            </w:tcBorders>
            <w:hideMark/>
          </w:tcPr>
          <w:p w14:paraId="7F5DB910"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7.04 </w:t>
            </w:r>
          </w:p>
        </w:tc>
      </w:tr>
      <w:tr w:rsidR="00DB1AEE" w:rsidRPr="00DB1AEE" w14:paraId="03D4D2AF" w14:textId="77777777" w:rsidTr="00FC1832">
        <w:trPr>
          <w:trHeight w:val="255"/>
        </w:trPr>
        <w:tc>
          <w:tcPr>
            <w:tcW w:w="5000" w:type="pct"/>
            <w:gridSpan w:val="23"/>
            <w:tcBorders>
              <w:top w:val="single" w:sz="6" w:space="0" w:color="auto"/>
              <w:left w:val="single" w:sz="6" w:space="0" w:color="auto"/>
              <w:bottom w:val="single" w:sz="6" w:space="0" w:color="auto"/>
              <w:right w:val="single" w:sz="6" w:space="0" w:color="auto"/>
            </w:tcBorders>
            <w:hideMark/>
          </w:tcPr>
          <w:p w14:paraId="722B57D1"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Steel Framing at 300 mm on Center (25% Framing Factor)—includes framing for tracks, blocking, headers, and jamb and king studs </w:t>
            </w:r>
          </w:p>
        </w:tc>
      </w:tr>
      <w:tr w:rsidR="00DB1AEE" w:rsidRPr="00DB1AEE" w14:paraId="2DF46C1F" w14:textId="77777777" w:rsidTr="00FC1832">
        <w:trPr>
          <w:trHeight w:val="246"/>
        </w:trPr>
        <w:tc>
          <w:tcPr>
            <w:tcW w:w="716" w:type="pct"/>
            <w:tcBorders>
              <w:top w:val="single" w:sz="6" w:space="0" w:color="auto"/>
              <w:left w:val="single" w:sz="6" w:space="0" w:color="auto"/>
              <w:bottom w:val="single" w:sz="6" w:space="0" w:color="auto"/>
              <w:right w:val="single" w:sz="6" w:space="0" w:color="auto"/>
            </w:tcBorders>
            <w:hideMark/>
          </w:tcPr>
          <w:p w14:paraId="16A32A77"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0.16 </w:t>
            </w:r>
          </w:p>
        </w:tc>
        <w:tc>
          <w:tcPr>
            <w:tcW w:w="916" w:type="pct"/>
            <w:tcBorders>
              <w:top w:val="single" w:sz="6" w:space="0" w:color="auto"/>
              <w:left w:val="single" w:sz="6" w:space="0" w:color="auto"/>
              <w:bottom w:val="single" w:sz="6" w:space="0" w:color="auto"/>
              <w:right w:val="single" w:sz="6" w:space="0" w:color="auto"/>
            </w:tcBorders>
            <w:hideMark/>
          </w:tcPr>
          <w:p w14:paraId="0CA0D520"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1.99 </w:t>
            </w:r>
          </w:p>
        </w:tc>
        <w:tc>
          <w:tcPr>
            <w:tcW w:w="168" w:type="pct"/>
            <w:tcBorders>
              <w:top w:val="single" w:sz="6" w:space="0" w:color="auto"/>
              <w:left w:val="single" w:sz="6" w:space="0" w:color="auto"/>
              <w:bottom w:val="single" w:sz="6" w:space="0" w:color="auto"/>
              <w:right w:val="single" w:sz="6" w:space="0" w:color="auto"/>
            </w:tcBorders>
            <w:hideMark/>
          </w:tcPr>
          <w:p w14:paraId="111CE174"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1.47 </w:t>
            </w:r>
          </w:p>
        </w:tc>
        <w:tc>
          <w:tcPr>
            <w:tcW w:w="168" w:type="pct"/>
            <w:tcBorders>
              <w:top w:val="single" w:sz="6" w:space="0" w:color="auto"/>
              <w:left w:val="single" w:sz="6" w:space="0" w:color="auto"/>
              <w:bottom w:val="single" w:sz="6" w:space="0" w:color="auto"/>
              <w:right w:val="single" w:sz="6" w:space="0" w:color="auto"/>
            </w:tcBorders>
            <w:hideMark/>
          </w:tcPr>
          <w:p w14:paraId="1C01D4CB"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1.17 </w:t>
            </w:r>
          </w:p>
        </w:tc>
        <w:tc>
          <w:tcPr>
            <w:tcW w:w="168" w:type="pct"/>
            <w:tcBorders>
              <w:top w:val="single" w:sz="6" w:space="0" w:color="auto"/>
              <w:left w:val="single" w:sz="6" w:space="0" w:color="auto"/>
              <w:bottom w:val="single" w:sz="6" w:space="0" w:color="auto"/>
              <w:right w:val="single" w:sz="6" w:space="0" w:color="auto"/>
            </w:tcBorders>
            <w:hideMark/>
          </w:tcPr>
          <w:p w14:paraId="0D4D2553"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0.97 </w:t>
            </w:r>
          </w:p>
        </w:tc>
        <w:tc>
          <w:tcPr>
            <w:tcW w:w="168" w:type="pct"/>
            <w:tcBorders>
              <w:top w:val="single" w:sz="6" w:space="0" w:color="auto"/>
              <w:left w:val="single" w:sz="6" w:space="0" w:color="auto"/>
              <w:bottom w:val="single" w:sz="6" w:space="0" w:color="auto"/>
              <w:right w:val="single" w:sz="6" w:space="0" w:color="auto"/>
            </w:tcBorders>
            <w:hideMark/>
          </w:tcPr>
          <w:p w14:paraId="639D8FC2"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0.83 </w:t>
            </w:r>
          </w:p>
        </w:tc>
        <w:tc>
          <w:tcPr>
            <w:tcW w:w="168" w:type="pct"/>
            <w:tcBorders>
              <w:top w:val="single" w:sz="6" w:space="0" w:color="auto"/>
              <w:left w:val="single" w:sz="6" w:space="0" w:color="auto"/>
              <w:bottom w:val="single" w:sz="6" w:space="0" w:color="auto"/>
              <w:right w:val="single" w:sz="6" w:space="0" w:color="auto"/>
            </w:tcBorders>
            <w:hideMark/>
          </w:tcPr>
          <w:p w14:paraId="2EA0DE91"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0.72 </w:t>
            </w:r>
          </w:p>
        </w:tc>
        <w:tc>
          <w:tcPr>
            <w:tcW w:w="168" w:type="pct"/>
            <w:tcBorders>
              <w:top w:val="single" w:sz="6" w:space="0" w:color="auto"/>
              <w:left w:val="single" w:sz="6" w:space="0" w:color="auto"/>
              <w:bottom w:val="single" w:sz="6" w:space="0" w:color="auto"/>
              <w:right w:val="single" w:sz="6" w:space="0" w:color="auto"/>
            </w:tcBorders>
            <w:hideMark/>
          </w:tcPr>
          <w:p w14:paraId="6C873963"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0.64 </w:t>
            </w:r>
          </w:p>
        </w:tc>
        <w:tc>
          <w:tcPr>
            <w:tcW w:w="168" w:type="pct"/>
            <w:tcBorders>
              <w:top w:val="single" w:sz="6" w:space="0" w:color="auto"/>
              <w:left w:val="single" w:sz="6" w:space="0" w:color="auto"/>
              <w:bottom w:val="single" w:sz="6" w:space="0" w:color="auto"/>
              <w:right w:val="single" w:sz="6" w:space="0" w:color="auto"/>
            </w:tcBorders>
            <w:hideMark/>
          </w:tcPr>
          <w:p w14:paraId="1AB18D91"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0.58 </w:t>
            </w:r>
          </w:p>
        </w:tc>
        <w:tc>
          <w:tcPr>
            <w:tcW w:w="168" w:type="pct"/>
            <w:tcBorders>
              <w:top w:val="single" w:sz="6" w:space="0" w:color="auto"/>
              <w:left w:val="single" w:sz="6" w:space="0" w:color="auto"/>
              <w:bottom w:val="single" w:sz="6" w:space="0" w:color="auto"/>
              <w:right w:val="single" w:sz="6" w:space="0" w:color="auto"/>
            </w:tcBorders>
            <w:hideMark/>
          </w:tcPr>
          <w:p w14:paraId="2890BE3B"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0.52 </w:t>
            </w:r>
          </w:p>
        </w:tc>
        <w:tc>
          <w:tcPr>
            <w:tcW w:w="168" w:type="pct"/>
            <w:tcBorders>
              <w:top w:val="single" w:sz="6" w:space="0" w:color="auto"/>
              <w:left w:val="single" w:sz="6" w:space="0" w:color="auto"/>
              <w:bottom w:val="single" w:sz="6" w:space="0" w:color="auto"/>
              <w:right w:val="single" w:sz="6" w:space="0" w:color="auto"/>
            </w:tcBorders>
            <w:hideMark/>
          </w:tcPr>
          <w:p w14:paraId="53DEAD02"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0.48 </w:t>
            </w:r>
          </w:p>
        </w:tc>
        <w:tc>
          <w:tcPr>
            <w:tcW w:w="168" w:type="pct"/>
            <w:tcBorders>
              <w:top w:val="single" w:sz="6" w:space="0" w:color="auto"/>
              <w:left w:val="single" w:sz="6" w:space="0" w:color="auto"/>
              <w:bottom w:val="single" w:sz="6" w:space="0" w:color="auto"/>
              <w:right w:val="single" w:sz="6" w:space="0" w:color="auto"/>
            </w:tcBorders>
            <w:hideMark/>
          </w:tcPr>
          <w:p w14:paraId="209FFBD2"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0.44 </w:t>
            </w:r>
          </w:p>
        </w:tc>
        <w:tc>
          <w:tcPr>
            <w:tcW w:w="168" w:type="pct"/>
            <w:tcBorders>
              <w:top w:val="single" w:sz="6" w:space="0" w:color="auto"/>
              <w:left w:val="single" w:sz="6" w:space="0" w:color="auto"/>
              <w:bottom w:val="single" w:sz="6" w:space="0" w:color="auto"/>
              <w:right w:val="single" w:sz="6" w:space="0" w:color="auto"/>
            </w:tcBorders>
            <w:hideMark/>
          </w:tcPr>
          <w:p w14:paraId="348C75D1"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0.41 </w:t>
            </w:r>
          </w:p>
        </w:tc>
        <w:tc>
          <w:tcPr>
            <w:tcW w:w="168" w:type="pct"/>
            <w:tcBorders>
              <w:top w:val="single" w:sz="6" w:space="0" w:color="auto"/>
              <w:left w:val="single" w:sz="6" w:space="0" w:color="auto"/>
              <w:bottom w:val="single" w:sz="6" w:space="0" w:color="auto"/>
              <w:right w:val="single" w:sz="6" w:space="0" w:color="auto"/>
            </w:tcBorders>
            <w:hideMark/>
          </w:tcPr>
          <w:p w14:paraId="0B909431"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0.38 </w:t>
            </w:r>
          </w:p>
        </w:tc>
        <w:tc>
          <w:tcPr>
            <w:tcW w:w="168" w:type="pct"/>
            <w:tcBorders>
              <w:top w:val="single" w:sz="6" w:space="0" w:color="auto"/>
              <w:left w:val="single" w:sz="6" w:space="0" w:color="auto"/>
              <w:bottom w:val="single" w:sz="6" w:space="0" w:color="auto"/>
              <w:right w:val="single" w:sz="6" w:space="0" w:color="auto"/>
            </w:tcBorders>
            <w:hideMark/>
          </w:tcPr>
          <w:p w14:paraId="4491D74B"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0.36 </w:t>
            </w:r>
          </w:p>
        </w:tc>
        <w:tc>
          <w:tcPr>
            <w:tcW w:w="168" w:type="pct"/>
            <w:tcBorders>
              <w:top w:val="single" w:sz="6" w:space="0" w:color="auto"/>
              <w:left w:val="single" w:sz="6" w:space="0" w:color="auto"/>
              <w:bottom w:val="single" w:sz="6" w:space="0" w:color="auto"/>
              <w:right w:val="single" w:sz="6" w:space="0" w:color="auto"/>
            </w:tcBorders>
            <w:hideMark/>
          </w:tcPr>
          <w:p w14:paraId="29FD3AA1"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0.34 </w:t>
            </w:r>
          </w:p>
        </w:tc>
        <w:tc>
          <w:tcPr>
            <w:tcW w:w="168" w:type="pct"/>
            <w:tcBorders>
              <w:top w:val="single" w:sz="6" w:space="0" w:color="auto"/>
              <w:left w:val="single" w:sz="6" w:space="0" w:color="auto"/>
              <w:bottom w:val="single" w:sz="6" w:space="0" w:color="auto"/>
              <w:right w:val="single" w:sz="6" w:space="0" w:color="auto"/>
            </w:tcBorders>
            <w:hideMark/>
          </w:tcPr>
          <w:p w14:paraId="72BEF8EB"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236045AF"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3F5E1D38"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0.20 </w:t>
            </w:r>
          </w:p>
        </w:tc>
        <w:tc>
          <w:tcPr>
            <w:tcW w:w="168" w:type="pct"/>
            <w:tcBorders>
              <w:top w:val="single" w:sz="6" w:space="0" w:color="auto"/>
              <w:left w:val="single" w:sz="6" w:space="0" w:color="auto"/>
              <w:bottom w:val="single" w:sz="6" w:space="0" w:color="auto"/>
              <w:right w:val="single" w:sz="6" w:space="0" w:color="auto"/>
            </w:tcBorders>
            <w:hideMark/>
          </w:tcPr>
          <w:p w14:paraId="1893D499"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0.17 </w:t>
            </w:r>
          </w:p>
        </w:tc>
        <w:tc>
          <w:tcPr>
            <w:tcW w:w="168" w:type="pct"/>
            <w:tcBorders>
              <w:top w:val="single" w:sz="6" w:space="0" w:color="auto"/>
              <w:left w:val="single" w:sz="6" w:space="0" w:color="auto"/>
              <w:bottom w:val="single" w:sz="6" w:space="0" w:color="auto"/>
              <w:right w:val="single" w:sz="6" w:space="0" w:color="auto"/>
            </w:tcBorders>
            <w:hideMark/>
          </w:tcPr>
          <w:p w14:paraId="7A4FB098"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5E36AE34"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0.13 </w:t>
            </w:r>
          </w:p>
        </w:tc>
        <w:tc>
          <w:tcPr>
            <w:tcW w:w="8" w:type="pct"/>
            <w:vAlign w:val="center"/>
            <w:hideMark/>
          </w:tcPr>
          <w:p w14:paraId="72C5EBCF" w14:textId="77777777" w:rsidR="00DB1AEE" w:rsidRPr="00DB1AEE" w:rsidRDefault="00DB1AEE" w:rsidP="00DB1AEE">
            <w:pPr>
              <w:widowControl w:val="0"/>
              <w:suppressAutoHyphens/>
              <w:autoSpaceDE w:val="0"/>
              <w:autoSpaceDN w:val="0"/>
              <w:jc w:val="left"/>
              <w:rPr>
                <w:bCs/>
                <w:iCs/>
                <w:sz w:val="20"/>
                <w:u w:val="single"/>
                <w:lang w:bidi="en-US"/>
              </w:rPr>
            </w:pPr>
          </w:p>
        </w:tc>
      </w:tr>
      <w:tr w:rsidR="00DB1AEE" w:rsidRPr="00DB1AEE" w14:paraId="6314E81E" w14:textId="77777777" w:rsidTr="00FC1832">
        <w:trPr>
          <w:trHeight w:val="192"/>
        </w:trPr>
        <w:tc>
          <w:tcPr>
            <w:tcW w:w="716" w:type="pct"/>
            <w:tcBorders>
              <w:top w:val="single" w:sz="6" w:space="0" w:color="auto"/>
              <w:left w:val="single" w:sz="6" w:space="0" w:color="auto"/>
              <w:bottom w:val="single" w:sz="6" w:space="0" w:color="auto"/>
              <w:right w:val="single" w:sz="6" w:space="0" w:color="auto"/>
            </w:tcBorders>
            <w:hideMark/>
          </w:tcPr>
          <w:p w14:paraId="14E4A7EC"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1.94 </w:t>
            </w:r>
          </w:p>
        </w:tc>
        <w:tc>
          <w:tcPr>
            <w:tcW w:w="916" w:type="pct"/>
            <w:tcBorders>
              <w:top w:val="single" w:sz="6" w:space="0" w:color="auto"/>
              <w:left w:val="single" w:sz="6" w:space="0" w:color="auto"/>
              <w:bottom w:val="single" w:sz="6" w:space="0" w:color="auto"/>
              <w:right w:val="single" w:sz="6" w:space="0" w:color="auto"/>
            </w:tcBorders>
            <w:hideMark/>
          </w:tcPr>
          <w:p w14:paraId="230AC73A"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0.89 </w:t>
            </w:r>
          </w:p>
        </w:tc>
        <w:tc>
          <w:tcPr>
            <w:tcW w:w="168" w:type="pct"/>
            <w:tcBorders>
              <w:top w:val="single" w:sz="6" w:space="0" w:color="auto"/>
              <w:left w:val="single" w:sz="6" w:space="0" w:color="auto"/>
              <w:bottom w:val="single" w:sz="6" w:space="0" w:color="auto"/>
              <w:right w:val="single" w:sz="6" w:space="0" w:color="auto"/>
            </w:tcBorders>
            <w:hideMark/>
          </w:tcPr>
          <w:p w14:paraId="6F89C247"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0.77 </w:t>
            </w:r>
          </w:p>
        </w:tc>
        <w:tc>
          <w:tcPr>
            <w:tcW w:w="168" w:type="pct"/>
            <w:tcBorders>
              <w:top w:val="single" w:sz="6" w:space="0" w:color="auto"/>
              <w:left w:val="single" w:sz="6" w:space="0" w:color="auto"/>
              <w:bottom w:val="single" w:sz="6" w:space="0" w:color="auto"/>
              <w:right w:val="single" w:sz="6" w:space="0" w:color="auto"/>
            </w:tcBorders>
            <w:hideMark/>
          </w:tcPr>
          <w:p w14:paraId="12EEFF34"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0.68 </w:t>
            </w:r>
          </w:p>
        </w:tc>
        <w:tc>
          <w:tcPr>
            <w:tcW w:w="168" w:type="pct"/>
            <w:tcBorders>
              <w:top w:val="single" w:sz="6" w:space="0" w:color="auto"/>
              <w:left w:val="single" w:sz="6" w:space="0" w:color="auto"/>
              <w:bottom w:val="single" w:sz="6" w:space="0" w:color="auto"/>
              <w:right w:val="single" w:sz="6" w:space="0" w:color="auto"/>
            </w:tcBorders>
            <w:hideMark/>
          </w:tcPr>
          <w:p w14:paraId="75C12675"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0.60 </w:t>
            </w:r>
          </w:p>
        </w:tc>
        <w:tc>
          <w:tcPr>
            <w:tcW w:w="168" w:type="pct"/>
            <w:tcBorders>
              <w:top w:val="single" w:sz="6" w:space="0" w:color="auto"/>
              <w:left w:val="single" w:sz="6" w:space="0" w:color="auto"/>
              <w:bottom w:val="single" w:sz="6" w:space="0" w:color="auto"/>
              <w:right w:val="single" w:sz="6" w:space="0" w:color="auto"/>
            </w:tcBorders>
            <w:hideMark/>
          </w:tcPr>
          <w:p w14:paraId="0DED5C08"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0.55 </w:t>
            </w:r>
          </w:p>
        </w:tc>
        <w:tc>
          <w:tcPr>
            <w:tcW w:w="168" w:type="pct"/>
            <w:tcBorders>
              <w:top w:val="single" w:sz="6" w:space="0" w:color="auto"/>
              <w:left w:val="single" w:sz="6" w:space="0" w:color="auto"/>
              <w:bottom w:val="single" w:sz="6" w:space="0" w:color="auto"/>
              <w:right w:val="single" w:sz="6" w:space="0" w:color="auto"/>
            </w:tcBorders>
            <w:hideMark/>
          </w:tcPr>
          <w:p w14:paraId="65F04664"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0.50 </w:t>
            </w:r>
          </w:p>
        </w:tc>
        <w:tc>
          <w:tcPr>
            <w:tcW w:w="168" w:type="pct"/>
            <w:tcBorders>
              <w:top w:val="single" w:sz="6" w:space="0" w:color="auto"/>
              <w:left w:val="single" w:sz="6" w:space="0" w:color="auto"/>
              <w:bottom w:val="single" w:sz="6" w:space="0" w:color="auto"/>
              <w:right w:val="single" w:sz="6" w:space="0" w:color="auto"/>
            </w:tcBorders>
            <w:hideMark/>
          </w:tcPr>
          <w:p w14:paraId="4DC95FF7"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0.46 </w:t>
            </w:r>
          </w:p>
        </w:tc>
        <w:tc>
          <w:tcPr>
            <w:tcW w:w="168" w:type="pct"/>
            <w:tcBorders>
              <w:top w:val="single" w:sz="6" w:space="0" w:color="auto"/>
              <w:left w:val="single" w:sz="6" w:space="0" w:color="auto"/>
              <w:bottom w:val="single" w:sz="6" w:space="0" w:color="auto"/>
              <w:right w:val="single" w:sz="6" w:space="0" w:color="auto"/>
            </w:tcBorders>
            <w:hideMark/>
          </w:tcPr>
          <w:p w14:paraId="41736750"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0.42 </w:t>
            </w:r>
          </w:p>
        </w:tc>
        <w:tc>
          <w:tcPr>
            <w:tcW w:w="168" w:type="pct"/>
            <w:tcBorders>
              <w:top w:val="single" w:sz="6" w:space="0" w:color="auto"/>
              <w:left w:val="single" w:sz="6" w:space="0" w:color="auto"/>
              <w:bottom w:val="single" w:sz="6" w:space="0" w:color="auto"/>
              <w:right w:val="single" w:sz="6" w:space="0" w:color="auto"/>
            </w:tcBorders>
            <w:hideMark/>
          </w:tcPr>
          <w:p w14:paraId="034F4713"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0.39 </w:t>
            </w:r>
          </w:p>
        </w:tc>
        <w:tc>
          <w:tcPr>
            <w:tcW w:w="168" w:type="pct"/>
            <w:tcBorders>
              <w:top w:val="single" w:sz="6" w:space="0" w:color="auto"/>
              <w:left w:val="single" w:sz="6" w:space="0" w:color="auto"/>
              <w:bottom w:val="single" w:sz="6" w:space="0" w:color="auto"/>
              <w:right w:val="single" w:sz="6" w:space="0" w:color="auto"/>
            </w:tcBorders>
            <w:hideMark/>
          </w:tcPr>
          <w:p w14:paraId="136663AB"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0.37 </w:t>
            </w:r>
          </w:p>
        </w:tc>
        <w:tc>
          <w:tcPr>
            <w:tcW w:w="168" w:type="pct"/>
            <w:tcBorders>
              <w:top w:val="single" w:sz="6" w:space="0" w:color="auto"/>
              <w:left w:val="single" w:sz="6" w:space="0" w:color="auto"/>
              <w:bottom w:val="single" w:sz="6" w:space="0" w:color="auto"/>
              <w:right w:val="single" w:sz="6" w:space="0" w:color="auto"/>
            </w:tcBorders>
            <w:hideMark/>
          </w:tcPr>
          <w:p w14:paraId="5A0A60B4"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0.35 </w:t>
            </w:r>
          </w:p>
        </w:tc>
        <w:tc>
          <w:tcPr>
            <w:tcW w:w="168" w:type="pct"/>
            <w:tcBorders>
              <w:top w:val="single" w:sz="6" w:space="0" w:color="auto"/>
              <w:left w:val="single" w:sz="6" w:space="0" w:color="auto"/>
              <w:bottom w:val="single" w:sz="6" w:space="0" w:color="auto"/>
              <w:right w:val="single" w:sz="6" w:space="0" w:color="auto"/>
            </w:tcBorders>
            <w:hideMark/>
          </w:tcPr>
          <w:p w14:paraId="5B2CB21B"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0.33 </w:t>
            </w:r>
          </w:p>
        </w:tc>
        <w:tc>
          <w:tcPr>
            <w:tcW w:w="168" w:type="pct"/>
            <w:tcBorders>
              <w:top w:val="single" w:sz="6" w:space="0" w:color="auto"/>
              <w:left w:val="single" w:sz="6" w:space="0" w:color="auto"/>
              <w:bottom w:val="single" w:sz="6" w:space="0" w:color="auto"/>
              <w:right w:val="single" w:sz="6" w:space="0" w:color="auto"/>
            </w:tcBorders>
            <w:hideMark/>
          </w:tcPr>
          <w:p w14:paraId="5CB9920B"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0.31 </w:t>
            </w:r>
          </w:p>
        </w:tc>
        <w:tc>
          <w:tcPr>
            <w:tcW w:w="168" w:type="pct"/>
            <w:tcBorders>
              <w:top w:val="single" w:sz="6" w:space="0" w:color="auto"/>
              <w:left w:val="single" w:sz="6" w:space="0" w:color="auto"/>
              <w:bottom w:val="single" w:sz="6" w:space="0" w:color="auto"/>
              <w:right w:val="single" w:sz="6" w:space="0" w:color="auto"/>
            </w:tcBorders>
            <w:hideMark/>
          </w:tcPr>
          <w:p w14:paraId="5624A0D6"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563B20B6"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0.28 </w:t>
            </w:r>
          </w:p>
        </w:tc>
        <w:tc>
          <w:tcPr>
            <w:tcW w:w="168" w:type="pct"/>
            <w:tcBorders>
              <w:top w:val="single" w:sz="6" w:space="0" w:color="auto"/>
              <w:left w:val="single" w:sz="6" w:space="0" w:color="auto"/>
              <w:bottom w:val="single" w:sz="6" w:space="0" w:color="auto"/>
              <w:right w:val="single" w:sz="6" w:space="0" w:color="auto"/>
            </w:tcBorders>
            <w:hideMark/>
          </w:tcPr>
          <w:p w14:paraId="3562C055"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28794B08"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0.21 </w:t>
            </w:r>
          </w:p>
        </w:tc>
        <w:tc>
          <w:tcPr>
            <w:tcW w:w="168" w:type="pct"/>
            <w:tcBorders>
              <w:top w:val="single" w:sz="6" w:space="0" w:color="auto"/>
              <w:left w:val="single" w:sz="6" w:space="0" w:color="auto"/>
              <w:bottom w:val="single" w:sz="6" w:space="0" w:color="auto"/>
              <w:right w:val="single" w:sz="6" w:space="0" w:color="auto"/>
            </w:tcBorders>
            <w:hideMark/>
          </w:tcPr>
          <w:p w14:paraId="504036B1"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0.18 </w:t>
            </w:r>
          </w:p>
        </w:tc>
        <w:tc>
          <w:tcPr>
            <w:tcW w:w="168" w:type="pct"/>
            <w:tcBorders>
              <w:top w:val="single" w:sz="6" w:space="0" w:color="auto"/>
              <w:left w:val="single" w:sz="6" w:space="0" w:color="auto"/>
              <w:bottom w:val="single" w:sz="6" w:space="0" w:color="auto"/>
              <w:right w:val="single" w:sz="6" w:space="0" w:color="auto"/>
            </w:tcBorders>
            <w:hideMark/>
          </w:tcPr>
          <w:p w14:paraId="4A7EF466"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0.16 </w:t>
            </w:r>
          </w:p>
        </w:tc>
        <w:tc>
          <w:tcPr>
            <w:tcW w:w="168" w:type="pct"/>
            <w:tcBorders>
              <w:top w:val="single" w:sz="6" w:space="0" w:color="auto"/>
              <w:left w:val="single" w:sz="6" w:space="0" w:color="auto"/>
              <w:bottom w:val="single" w:sz="6" w:space="0" w:color="auto"/>
              <w:right w:val="single" w:sz="6" w:space="0" w:color="auto"/>
            </w:tcBorders>
            <w:hideMark/>
          </w:tcPr>
          <w:p w14:paraId="0372CD91"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0.14 </w:t>
            </w:r>
          </w:p>
        </w:tc>
        <w:tc>
          <w:tcPr>
            <w:tcW w:w="168" w:type="pct"/>
            <w:tcBorders>
              <w:top w:val="single" w:sz="6" w:space="0" w:color="auto"/>
              <w:left w:val="single" w:sz="6" w:space="0" w:color="auto"/>
              <w:bottom w:val="single" w:sz="6" w:space="0" w:color="auto"/>
              <w:right w:val="single" w:sz="6" w:space="0" w:color="auto"/>
            </w:tcBorders>
            <w:hideMark/>
          </w:tcPr>
          <w:p w14:paraId="6644E55A"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0.12 </w:t>
            </w:r>
          </w:p>
        </w:tc>
        <w:tc>
          <w:tcPr>
            <w:tcW w:w="8" w:type="pct"/>
            <w:vAlign w:val="center"/>
            <w:hideMark/>
          </w:tcPr>
          <w:p w14:paraId="7C1F97F1" w14:textId="77777777" w:rsidR="00DB1AEE" w:rsidRPr="00DB1AEE" w:rsidRDefault="00DB1AEE" w:rsidP="00DB1AEE">
            <w:pPr>
              <w:widowControl w:val="0"/>
              <w:suppressAutoHyphens/>
              <w:autoSpaceDE w:val="0"/>
              <w:autoSpaceDN w:val="0"/>
              <w:jc w:val="left"/>
              <w:rPr>
                <w:bCs/>
                <w:iCs/>
                <w:sz w:val="20"/>
                <w:u w:val="single"/>
                <w:lang w:bidi="en-US"/>
              </w:rPr>
            </w:pPr>
          </w:p>
        </w:tc>
      </w:tr>
      <w:tr w:rsidR="00DB1AEE" w:rsidRPr="00DB1AEE" w14:paraId="77F83615" w14:textId="77777777" w:rsidTr="00FC1832">
        <w:trPr>
          <w:trHeight w:val="282"/>
        </w:trPr>
        <w:tc>
          <w:tcPr>
            <w:tcW w:w="716" w:type="pct"/>
            <w:tcBorders>
              <w:top w:val="single" w:sz="6" w:space="0" w:color="auto"/>
              <w:left w:val="single" w:sz="6" w:space="0" w:color="auto"/>
              <w:bottom w:val="single" w:sz="6" w:space="0" w:color="auto"/>
              <w:right w:val="single" w:sz="6" w:space="0" w:color="auto"/>
            </w:tcBorders>
            <w:hideMark/>
          </w:tcPr>
          <w:p w14:paraId="3419B292"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2.29 </w:t>
            </w:r>
          </w:p>
        </w:tc>
        <w:tc>
          <w:tcPr>
            <w:tcW w:w="916" w:type="pct"/>
            <w:tcBorders>
              <w:top w:val="single" w:sz="6" w:space="0" w:color="auto"/>
              <w:left w:val="single" w:sz="6" w:space="0" w:color="auto"/>
              <w:bottom w:val="single" w:sz="6" w:space="0" w:color="auto"/>
              <w:right w:val="single" w:sz="6" w:space="0" w:color="auto"/>
            </w:tcBorders>
            <w:hideMark/>
          </w:tcPr>
          <w:p w14:paraId="58E4658D"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0.85 </w:t>
            </w:r>
          </w:p>
        </w:tc>
        <w:tc>
          <w:tcPr>
            <w:tcW w:w="168" w:type="pct"/>
            <w:tcBorders>
              <w:top w:val="single" w:sz="6" w:space="0" w:color="auto"/>
              <w:left w:val="single" w:sz="6" w:space="0" w:color="auto"/>
              <w:bottom w:val="single" w:sz="6" w:space="0" w:color="auto"/>
              <w:right w:val="single" w:sz="6" w:space="0" w:color="auto"/>
            </w:tcBorders>
            <w:hideMark/>
          </w:tcPr>
          <w:p w14:paraId="4D18BC3F"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0.74 </w:t>
            </w:r>
          </w:p>
        </w:tc>
        <w:tc>
          <w:tcPr>
            <w:tcW w:w="168" w:type="pct"/>
            <w:tcBorders>
              <w:top w:val="single" w:sz="6" w:space="0" w:color="auto"/>
              <w:left w:val="single" w:sz="6" w:space="0" w:color="auto"/>
              <w:bottom w:val="single" w:sz="6" w:space="0" w:color="auto"/>
              <w:right w:val="single" w:sz="6" w:space="0" w:color="auto"/>
            </w:tcBorders>
            <w:hideMark/>
          </w:tcPr>
          <w:p w14:paraId="48FA978D"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0.65 </w:t>
            </w:r>
          </w:p>
        </w:tc>
        <w:tc>
          <w:tcPr>
            <w:tcW w:w="168" w:type="pct"/>
            <w:tcBorders>
              <w:top w:val="single" w:sz="6" w:space="0" w:color="auto"/>
              <w:left w:val="single" w:sz="6" w:space="0" w:color="auto"/>
              <w:bottom w:val="single" w:sz="6" w:space="0" w:color="auto"/>
              <w:right w:val="single" w:sz="6" w:space="0" w:color="auto"/>
            </w:tcBorders>
            <w:hideMark/>
          </w:tcPr>
          <w:p w14:paraId="5094CDD2"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0.59 </w:t>
            </w:r>
          </w:p>
        </w:tc>
        <w:tc>
          <w:tcPr>
            <w:tcW w:w="168" w:type="pct"/>
            <w:tcBorders>
              <w:top w:val="single" w:sz="6" w:space="0" w:color="auto"/>
              <w:left w:val="single" w:sz="6" w:space="0" w:color="auto"/>
              <w:bottom w:val="single" w:sz="6" w:space="0" w:color="auto"/>
              <w:right w:val="single" w:sz="6" w:space="0" w:color="auto"/>
            </w:tcBorders>
            <w:hideMark/>
          </w:tcPr>
          <w:p w14:paraId="77A8C3B5"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0.53 </w:t>
            </w:r>
          </w:p>
        </w:tc>
        <w:tc>
          <w:tcPr>
            <w:tcW w:w="168" w:type="pct"/>
            <w:tcBorders>
              <w:top w:val="single" w:sz="6" w:space="0" w:color="auto"/>
              <w:left w:val="single" w:sz="6" w:space="0" w:color="auto"/>
              <w:bottom w:val="single" w:sz="6" w:space="0" w:color="auto"/>
              <w:right w:val="single" w:sz="6" w:space="0" w:color="auto"/>
            </w:tcBorders>
            <w:hideMark/>
          </w:tcPr>
          <w:p w14:paraId="2068EF77"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0.49 </w:t>
            </w:r>
          </w:p>
        </w:tc>
        <w:tc>
          <w:tcPr>
            <w:tcW w:w="168" w:type="pct"/>
            <w:tcBorders>
              <w:top w:val="single" w:sz="6" w:space="0" w:color="auto"/>
              <w:left w:val="single" w:sz="6" w:space="0" w:color="auto"/>
              <w:bottom w:val="single" w:sz="6" w:space="0" w:color="auto"/>
              <w:right w:val="single" w:sz="6" w:space="0" w:color="auto"/>
            </w:tcBorders>
            <w:hideMark/>
          </w:tcPr>
          <w:p w14:paraId="74B773AE"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0.45 </w:t>
            </w:r>
          </w:p>
        </w:tc>
        <w:tc>
          <w:tcPr>
            <w:tcW w:w="168" w:type="pct"/>
            <w:tcBorders>
              <w:top w:val="single" w:sz="6" w:space="0" w:color="auto"/>
              <w:left w:val="single" w:sz="6" w:space="0" w:color="auto"/>
              <w:bottom w:val="single" w:sz="6" w:space="0" w:color="auto"/>
              <w:right w:val="single" w:sz="6" w:space="0" w:color="auto"/>
            </w:tcBorders>
            <w:hideMark/>
          </w:tcPr>
          <w:p w14:paraId="3CDDD70B"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0.41 </w:t>
            </w:r>
          </w:p>
        </w:tc>
        <w:tc>
          <w:tcPr>
            <w:tcW w:w="168" w:type="pct"/>
            <w:tcBorders>
              <w:top w:val="single" w:sz="6" w:space="0" w:color="auto"/>
              <w:left w:val="single" w:sz="6" w:space="0" w:color="auto"/>
              <w:bottom w:val="single" w:sz="6" w:space="0" w:color="auto"/>
              <w:right w:val="single" w:sz="6" w:space="0" w:color="auto"/>
            </w:tcBorders>
            <w:hideMark/>
          </w:tcPr>
          <w:p w14:paraId="258F8C27"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0.39 </w:t>
            </w:r>
          </w:p>
        </w:tc>
        <w:tc>
          <w:tcPr>
            <w:tcW w:w="168" w:type="pct"/>
            <w:tcBorders>
              <w:top w:val="single" w:sz="6" w:space="0" w:color="auto"/>
              <w:left w:val="single" w:sz="6" w:space="0" w:color="auto"/>
              <w:bottom w:val="single" w:sz="6" w:space="0" w:color="auto"/>
              <w:right w:val="single" w:sz="6" w:space="0" w:color="auto"/>
            </w:tcBorders>
            <w:hideMark/>
          </w:tcPr>
          <w:p w14:paraId="0F006EC4"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0.36 </w:t>
            </w:r>
          </w:p>
        </w:tc>
        <w:tc>
          <w:tcPr>
            <w:tcW w:w="168" w:type="pct"/>
            <w:tcBorders>
              <w:top w:val="single" w:sz="6" w:space="0" w:color="auto"/>
              <w:left w:val="single" w:sz="6" w:space="0" w:color="auto"/>
              <w:bottom w:val="single" w:sz="6" w:space="0" w:color="auto"/>
              <w:right w:val="single" w:sz="6" w:space="0" w:color="auto"/>
            </w:tcBorders>
            <w:hideMark/>
          </w:tcPr>
          <w:p w14:paraId="1EA60A54"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0.34 </w:t>
            </w:r>
          </w:p>
        </w:tc>
        <w:tc>
          <w:tcPr>
            <w:tcW w:w="168" w:type="pct"/>
            <w:tcBorders>
              <w:top w:val="single" w:sz="6" w:space="0" w:color="auto"/>
              <w:left w:val="single" w:sz="6" w:space="0" w:color="auto"/>
              <w:bottom w:val="single" w:sz="6" w:space="0" w:color="auto"/>
              <w:right w:val="single" w:sz="6" w:space="0" w:color="auto"/>
            </w:tcBorders>
            <w:hideMark/>
          </w:tcPr>
          <w:p w14:paraId="62E70A09"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5478ED16"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0.30 </w:t>
            </w:r>
          </w:p>
        </w:tc>
        <w:tc>
          <w:tcPr>
            <w:tcW w:w="168" w:type="pct"/>
            <w:tcBorders>
              <w:top w:val="single" w:sz="6" w:space="0" w:color="auto"/>
              <w:left w:val="single" w:sz="6" w:space="0" w:color="auto"/>
              <w:bottom w:val="single" w:sz="6" w:space="0" w:color="auto"/>
              <w:right w:val="single" w:sz="6" w:space="0" w:color="auto"/>
            </w:tcBorders>
            <w:hideMark/>
          </w:tcPr>
          <w:p w14:paraId="3E2C3B76"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41F1E8DF"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787F8607"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4F45C4A3"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0.21 </w:t>
            </w:r>
          </w:p>
        </w:tc>
        <w:tc>
          <w:tcPr>
            <w:tcW w:w="168" w:type="pct"/>
            <w:tcBorders>
              <w:top w:val="single" w:sz="6" w:space="0" w:color="auto"/>
              <w:left w:val="single" w:sz="6" w:space="0" w:color="auto"/>
              <w:bottom w:val="single" w:sz="6" w:space="0" w:color="auto"/>
              <w:right w:val="single" w:sz="6" w:space="0" w:color="auto"/>
            </w:tcBorders>
            <w:hideMark/>
          </w:tcPr>
          <w:p w14:paraId="42957210"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0.18 </w:t>
            </w:r>
          </w:p>
        </w:tc>
        <w:tc>
          <w:tcPr>
            <w:tcW w:w="168" w:type="pct"/>
            <w:tcBorders>
              <w:top w:val="single" w:sz="6" w:space="0" w:color="auto"/>
              <w:left w:val="single" w:sz="6" w:space="0" w:color="auto"/>
              <w:bottom w:val="single" w:sz="6" w:space="0" w:color="auto"/>
              <w:right w:val="single" w:sz="6" w:space="0" w:color="auto"/>
            </w:tcBorders>
            <w:hideMark/>
          </w:tcPr>
          <w:p w14:paraId="7A45A946"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5D7BDDFC"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0.14 </w:t>
            </w:r>
          </w:p>
        </w:tc>
        <w:tc>
          <w:tcPr>
            <w:tcW w:w="168" w:type="pct"/>
            <w:tcBorders>
              <w:top w:val="single" w:sz="6" w:space="0" w:color="auto"/>
              <w:left w:val="single" w:sz="6" w:space="0" w:color="auto"/>
              <w:bottom w:val="single" w:sz="6" w:space="0" w:color="auto"/>
              <w:right w:val="single" w:sz="6" w:space="0" w:color="auto"/>
            </w:tcBorders>
            <w:hideMark/>
          </w:tcPr>
          <w:p w14:paraId="73FFFA9D"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0.12 </w:t>
            </w:r>
          </w:p>
        </w:tc>
        <w:tc>
          <w:tcPr>
            <w:tcW w:w="8" w:type="pct"/>
            <w:vAlign w:val="center"/>
            <w:hideMark/>
          </w:tcPr>
          <w:p w14:paraId="3E3E52B8" w14:textId="77777777" w:rsidR="00DB1AEE" w:rsidRPr="00DB1AEE" w:rsidRDefault="00DB1AEE" w:rsidP="00DB1AEE">
            <w:pPr>
              <w:widowControl w:val="0"/>
              <w:suppressAutoHyphens/>
              <w:autoSpaceDE w:val="0"/>
              <w:autoSpaceDN w:val="0"/>
              <w:jc w:val="left"/>
              <w:rPr>
                <w:bCs/>
                <w:iCs/>
                <w:sz w:val="20"/>
                <w:u w:val="single"/>
                <w:lang w:bidi="en-US"/>
              </w:rPr>
            </w:pPr>
          </w:p>
        </w:tc>
      </w:tr>
      <w:tr w:rsidR="00DB1AEE" w:rsidRPr="00DB1AEE" w14:paraId="21881DE8" w14:textId="77777777" w:rsidTr="00FC1832">
        <w:trPr>
          <w:trHeight w:val="255"/>
        </w:trPr>
        <w:tc>
          <w:tcPr>
            <w:tcW w:w="716" w:type="pct"/>
            <w:tcBorders>
              <w:top w:val="single" w:sz="6" w:space="0" w:color="auto"/>
              <w:left w:val="single" w:sz="6" w:space="0" w:color="auto"/>
              <w:bottom w:val="single" w:sz="6" w:space="0" w:color="auto"/>
              <w:right w:val="single" w:sz="6" w:space="0" w:color="auto"/>
            </w:tcBorders>
            <w:hideMark/>
          </w:tcPr>
          <w:p w14:paraId="083FAA49"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2.64 </w:t>
            </w:r>
          </w:p>
        </w:tc>
        <w:tc>
          <w:tcPr>
            <w:tcW w:w="916" w:type="pct"/>
            <w:tcBorders>
              <w:top w:val="single" w:sz="6" w:space="0" w:color="auto"/>
              <w:left w:val="single" w:sz="6" w:space="0" w:color="auto"/>
              <w:bottom w:val="single" w:sz="6" w:space="0" w:color="auto"/>
              <w:right w:val="single" w:sz="6" w:space="0" w:color="auto"/>
            </w:tcBorders>
            <w:hideMark/>
          </w:tcPr>
          <w:p w14:paraId="0D74604E"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0.82 </w:t>
            </w:r>
          </w:p>
        </w:tc>
        <w:tc>
          <w:tcPr>
            <w:tcW w:w="168" w:type="pct"/>
            <w:tcBorders>
              <w:top w:val="single" w:sz="6" w:space="0" w:color="auto"/>
              <w:left w:val="single" w:sz="6" w:space="0" w:color="auto"/>
              <w:bottom w:val="single" w:sz="6" w:space="0" w:color="auto"/>
              <w:right w:val="single" w:sz="6" w:space="0" w:color="auto"/>
            </w:tcBorders>
            <w:hideMark/>
          </w:tcPr>
          <w:p w14:paraId="449F4323"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0.72 </w:t>
            </w:r>
          </w:p>
        </w:tc>
        <w:tc>
          <w:tcPr>
            <w:tcW w:w="168" w:type="pct"/>
            <w:tcBorders>
              <w:top w:val="single" w:sz="6" w:space="0" w:color="auto"/>
              <w:left w:val="single" w:sz="6" w:space="0" w:color="auto"/>
              <w:bottom w:val="single" w:sz="6" w:space="0" w:color="auto"/>
              <w:right w:val="single" w:sz="6" w:space="0" w:color="auto"/>
            </w:tcBorders>
            <w:hideMark/>
          </w:tcPr>
          <w:p w14:paraId="2CDF7566"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0.64 </w:t>
            </w:r>
          </w:p>
        </w:tc>
        <w:tc>
          <w:tcPr>
            <w:tcW w:w="168" w:type="pct"/>
            <w:tcBorders>
              <w:top w:val="single" w:sz="6" w:space="0" w:color="auto"/>
              <w:left w:val="single" w:sz="6" w:space="0" w:color="auto"/>
              <w:bottom w:val="single" w:sz="6" w:space="0" w:color="auto"/>
              <w:right w:val="single" w:sz="6" w:space="0" w:color="auto"/>
            </w:tcBorders>
            <w:hideMark/>
          </w:tcPr>
          <w:p w14:paraId="13A7A22C"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0.57 </w:t>
            </w:r>
          </w:p>
        </w:tc>
        <w:tc>
          <w:tcPr>
            <w:tcW w:w="168" w:type="pct"/>
            <w:tcBorders>
              <w:top w:val="single" w:sz="6" w:space="0" w:color="auto"/>
              <w:left w:val="single" w:sz="6" w:space="0" w:color="auto"/>
              <w:bottom w:val="single" w:sz="6" w:space="0" w:color="auto"/>
              <w:right w:val="single" w:sz="6" w:space="0" w:color="auto"/>
            </w:tcBorders>
            <w:hideMark/>
          </w:tcPr>
          <w:p w14:paraId="21053CD7"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0.52 </w:t>
            </w:r>
          </w:p>
        </w:tc>
        <w:tc>
          <w:tcPr>
            <w:tcW w:w="168" w:type="pct"/>
            <w:tcBorders>
              <w:top w:val="single" w:sz="6" w:space="0" w:color="auto"/>
              <w:left w:val="single" w:sz="6" w:space="0" w:color="auto"/>
              <w:bottom w:val="single" w:sz="6" w:space="0" w:color="auto"/>
              <w:right w:val="single" w:sz="6" w:space="0" w:color="auto"/>
            </w:tcBorders>
            <w:hideMark/>
          </w:tcPr>
          <w:p w14:paraId="60FBC930"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0.48 </w:t>
            </w:r>
          </w:p>
        </w:tc>
        <w:tc>
          <w:tcPr>
            <w:tcW w:w="168" w:type="pct"/>
            <w:tcBorders>
              <w:top w:val="single" w:sz="6" w:space="0" w:color="auto"/>
              <w:left w:val="single" w:sz="6" w:space="0" w:color="auto"/>
              <w:bottom w:val="single" w:sz="6" w:space="0" w:color="auto"/>
              <w:right w:val="single" w:sz="6" w:space="0" w:color="auto"/>
            </w:tcBorders>
            <w:hideMark/>
          </w:tcPr>
          <w:p w14:paraId="36622269"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0.44 </w:t>
            </w:r>
          </w:p>
        </w:tc>
        <w:tc>
          <w:tcPr>
            <w:tcW w:w="168" w:type="pct"/>
            <w:tcBorders>
              <w:top w:val="single" w:sz="6" w:space="0" w:color="auto"/>
              <w:left w:val="single" w:sz="6" w:space="0" w:color="auto"/>
              <w:bottom w:val="single" w:sz="6" w:space="0" w:color="auto"/>
              <w:right w:val="single" w:sz="6" w:space="0" w:color="auto"/>
            </w:tcBorders>
            <w:hideMark/>
          </w:tcPr>
          <w:p w14:paraId="6DCEE62A"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0.41 </w:t>
            </w:r>
          </w:p>
        </w:tc>
        <w:tc>
          <w:tcPr>
            <w:tcW w:w="168" w:type="pct"/>
            <w:tcBorders>
              <w:top w:val="single" w:sz="6" w:space="0" w:color="auto"/>
              <w:left w:val="single" w:sz="6" w:space="0" w:color="auto"/>
              <w:bottom w:val="single" w:sz="6" w:space="0" w:color="auto"/>
              <w:right w:val="single" w:sz="6" w:space="0" w:color="auto"/>
            </w:tcBorders>
            <w:hideMark/>
          </w:tcPr>
          <w:p w14:paraId="3560D929"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0.38 </w:t>
            </w:r>
          </w:p>
        </w:tc>
        <w:tc>
          <w:tcPr>
            <w:tcW w:w="168" w:type="pct"/>
            <w:tcBorders>
              <w:top w:val="single" w:sz="6" w:space="0" w:color="auto"/>
              <w:left w:val="single" w:sz="6" w:space="0" w:color="auto"/>
              <w:bottom w:val="single" w:sz="6" w:space="0" w:color="auto"/>
              <w:right w:val="single" w:sz="6" w:space="0" w:color="auto"/>
            </w:tcBorders>
            <w:hideMark/>
          </w:tcPr>
          <w:p w14:paraId="5F77D621"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0.36 </w:t>
            </w:r>
          </w:p>
        </w:tc>
        <w:tc>
          <w:tcPr>
            <w:tcW w:w="168" w:type="pct"/>
            <w:tcBorders>
              <w:top w:val="single" w:sz="6" w:space="0" w:color="auto"/>
              <w:left w:val="single" w:sz="6" w:space="0" w:color="auto"/>
              <w:bottom w:val="single" w:sz="6" w:space="0" w:color="auto"/>
              <w:right w:val="single" w:sz="6" w:space="0" w:color="auto"/>
            </w:tcBorders>
            <w:hideMark/>
          </w:tcPr>
          <w:p w14:paraId="135EA0D5"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0.34 </w:t>
            </w:r>
          </w:p>
        </w:tc>
        <w:tc>
          <w:tcPr>
            <w:tcW w:w="168" w:type="pct"/>
            <w:tcBorders>
              <w:top w:val="single" w:sz="6" w:space="0" w:color="auto"/>
              <w:left w:val="single" w:sz="6" w:space="0" w:color="auto"/>
              <w:bottom w:val="single" w:sz="6" w:space="0" w:color="auto"/>
              <w:right w:val="single" w:sz="6" w:space="0" w:color="auto"/>
            </w:tcBorders>
            <w:hideMark/>
          </w:tcPr>
          <w:p w14:paraId="304CD3FC"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0E6D44C4"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0.30 </w:t>
            </w:r>
          </w:p>
        </w:tc>
        <w:tc>
          <w:tcPr>
            <w:tcW w:w="168" w:type="pct"/>
            <w:tcBorders>
              <w:top w:val="single" w:sz="6" w:space="0" w:color="auto"/>
              <w:left w:val="single" w:sz="6" w:space="0" w:color="auto"/>
              <w:bottom w:val="single" w:sz="6" w:space="0" w:color="auto"/>
              <w:right w:val="single" w:sz="6" w:space="0" w:color="auto"/>
            </w:tcBorders>
            <w:hideMark/>
          </w:tcPr>
          <w:p w14:paraId="10F3BAFE"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0.28 </w:t>
            </w:r>
          </w:p>
        </w:tc>
        <w:tc>
          <w:tcPr>
            <w:tcW w:w="168" w:type="pct"/>
            <w:tcBorders>
              <w:top w:val="single" w:sz="6" w:space="0" w:color="auto"/>
              <w:left w:val="single" w:sz="6" w:space="0" w:color="auto"/>
              <w:bottom w:val="single" w:sz="6" w:space="0" w:color="auto"/>
              <w:right w:val="single" w:sz="6" w:space="0" w:color="auto"/>
            </w:tcBorders>
            <w:hideMark/>
          </w:tcPr>
          <w:p w14:paraId="7159670E"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0DD37A8D"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05112D72"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0.21 </w:t>
            </w:r>
          </w:p>
        </w:tc>
        <w:tc>
          <w:tcPr>
            <w:tcW w:w="168" w:type="pct"/>
            <w:tcBorders>
              <w:top w:val="single" w:sz="6" w:space="0" w:color="auto"/>
              <w:left w:val="single" w:sz="6" w:space="0" w:color="auto"/>
              <w:bottom w:val="single" w:sz="6" w:space="0" w:color="auto"/>
              <w:right w:val="single" w:sz="6" w:space="0" w:color="auto"/>
            </w:tcBorders>
            <w:hideMark/>
          </w:tcPr>
          <w:p w14:paraId="7F09270E"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0.18 </w:t>
            </w:r>
          </w:p>
        </w:tc>
        <w:tc>
          <w:tcPr>
            <w:tcW w:w="168" w:type="pct"/>
            <w:tcBorders>
              <w:top w:val="single" w:sz="6" w:space="0" w:color="auto"/>
              <w:left w:val="single" w:sz="6" w:space="0" w:color="auto"/>
              <w:bottom w:val="single" w:sz="6" w:space="0" w:color="auto"/>
              <w:right w:val="single" w:sz="6" w:space="0" w:color="auto"/>
            </w:tcBorders>
            <w:hideMark/>
          </w:tcPr>
          <w:p w14:paraId="1D2C5094"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481C076C"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0.14 </w:t>
            </w:r>
          </w:p>
        </w:tc>
        <w:tc>
          <w:tcPr>
            <w:tcW w:w="168" w:type="pct"/>
            <w:tcBorders>
              <w:top w:val="single" w:sz="6" w:space="0" w:color="auto"/>
              <w:left w:val="single" w:sz="6" w:space="0" w:color="auto"/>
              <w:bottom w:val="single" w:sz="6" w:space="0" w:color="auto"/>
              <w:right w:val="single" w:sz="6" w:space="0" w:color="auto"/>
            </w:tcBorders>
            <w:hideMark/>
          </w:tcPr>
          <w:p w14:paraId="765582E9"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0.12 </w:t>
            </w:r>
          </w:p>
        </w:tc>
        <w:tc>
          <w:tcPr>
            <w:tcW w:w="8" w:type="pct"/>
            <w:vAlign w:val="center"/>
            <w:hideMark/>
          </w:tcPr>
          <w:p w14:paraId="498C2C31" w14:textId="77777777" w:rsidR="00DB1AEE" w:rsidRPr="00DB1AEE" w:rsidRDefault="00DB1AEE" w:rsidP="00DB1AEE">
            <w:pPr>
              <w:widowControl w:val="0"/>
              <w:suppressAutoHyphens/>
              <w:autoSpaceDE w:val="0"/>
              <w:autoSpaceDN w:val="0"/>
              <w:jc w:val="left"/>
              <w:rPr>
                <w:bCs/>
                <w:iCs/>
                <w:sz w:val="20"/>
                <w:u w:val="single"/>
                <w:lang w:bidi="en-US"/>
              </w:rPr>
            </w:pPr>
          </w:p>
        </w:tc>
      </w:tr>
      <w:tr w:rsidR="00DB1AEE" w:rsidRPr="00DB1AEE" w14:paraId="627BBB8F" w14:textId="77777777" w:rsidTr="00FC1832">
        <w:trPr>
          <w:trHeight w:val="300"/>
        </w:trPr>
        <w:tc>
          <w:tcPr>
            <w:tcW w:w="716" w:type="pct"/>
            <w:tcBorders>
              <w:top w:val="single" w:sz="6" w:space="0" w:color="auto"/>
              <w:left w:val="single" w:sz="6" w:space="0" w:color="auto"/>
              <w:bottom w:val="single" w:sz="6" w:space="0" w:color="auto"/>
              <w:right w:val="single" w:sz="6" w:space="0" w:color="auto"/>
            </w:tcBorders>
            <w:hideMark/>
          </w:tcPr>
          <w:p w14:paraId="7DF01968"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3.35 </w:t>
            </w:r>
          </w:p>
        </w:tc>
        <w:tc>
          <w:tcPr>
            <w:tcW w:w="916" w:type="pct"/>
            <w:tcBorders>
              <w:top w:val="single" w:sz="6" w:space="0" w:color="auto"/>
              <w:left w:val="single" w:sz="6" w:space="0" w:color="auto"/>
              <w:bottom w:val="single" w:sz="6" w:space="0" w:color="auto"/>
              <w:right w:val="single" w:sz="6" w:space="0" w:color="auto"/>
            </w:tcBorders>
            <w:hideMark/>
          </w:tcPr>
          <w:p w14:paraId="7F0B9999"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0.78 </w:t>
            </w:r>
          </w:p>
        </w:tc>
        <w:tc>
          <w:tcPr>
            <w:tcW w:w="168" w:type="pct"/>
            <w:tcBorders>
              <w:top w:val="single" w:sz="6" w:space="0" w:color="auto"/>
              <w:left w:val="single" w:sz="6" w:space="0" w:color="auto"/>
              <w:bottom w:val="single" w:sz="6" w:space="0" w:color="auto"/>
              <w:right w:val="single" w:sz="6" w:space="0" w:color="auto"/>
            </w:tcBorders>
            <w:hideMark/>
          </w:tcPr>
          <w:p w14:paraId="7B10754B"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0.69 </w:t>
            </w:r>
          </w:p>
        </w:tc>
        <w:tc>
          <w:tcPr>
            <w:tcW w:w="168" w:type="pct"/>
            <w:tcBorders>
              <w:top w:val="single" w:sz="6" w:space="0" w:color="auto"/>
              <w:left w:val="single" w:sz="6" w:space="0" w:color="auto"/>
              <w:bottom w:val="single" w:sz="6" w:space="0" w:color="auto"/>
              <w:right w:val="single" w:sz="6" w:space="0" w:color="auto"/>
            </w:tcBorders>
            <w:hideMark/>
          </w:tcPr>
          <w:p w14:paraId="4170C20C"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0.61 </w:t>
            </w:r>
          </w:p>
        </w:tc>
        <w:tc>
          <w:tcPr>
            <w:tcW w:w="168" w:type="pct"/>
            <w:tcBorders>
              <w:top w:val="single" w:sz="6" w:space="0" w:color="auto"/>
              <w:left w:val="single" w:sz="6" w:space="0" w:color="auto"/>
              <w:bottom w:val="single" w:sz="6" w:space="0" w:color="auto"/>
              <w:right w:val="single" w:sz="6" w:space="0" w:color="auto"/>
            </w:tcBorders>
            <w:hideMark/>
          </w:tcPr>
          <w:p w14:paraId="1DD10D52"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0.55 </w:t>
            </w:r>
          </w:p>
        </w:tc>
        <w:tc>
          <w:tcPr>
            <w:tcW w:w="168" w:type="pct"/>
            <w:tcBorders>
              <w:top w:val="single" w:sz="6" w:space="0" w:color="auto"/>
              <w:left w:val="single" w:sz="6" w:space="0" w:color="auto"/>
              <w:bottom w:val="single" w:sz="6" w:space="0" w:color="auto"/>
              <w:right w:val="single" w:sz="6" w:space="0" w:color="auto"/>
            </w:tcBorders>
            <w:hideMark/>
          </w:tcPr>
          <w:p w14:paraId="77F8B6C9"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0.50 </w:t>
            </w:r>
          </w:p>
        </w:tc>
        <w:tc>
          <w:tcPr>
            <w:tcW w:w="168" w:type="pct"/>
            <w:tcBorders>
              <w:top w:val="single" w:sz="6" w:space="0" w:color="auto"/>
              <w:left w:val="single" w:sz="6" w:space="0" w:color="auto"/>
              <w:bottom w:val="single" w:sz="6" w:space="0" w:color="auto"/>
              <w:right w:val="single" w:sz="6" w:space="0" w:color="auto"/>
            </w:tcBorders>
            <w:hideMark/>
          </w:tcPr>
          <w:p w14:paraId="1B893F79"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0.46 </w:t>
            </w:r>
          </w:p>
        </w:tc>
        <w:tc>
          <w:tcPr>
            <w:tcW w:w="168" w:type="pct"/>
            <w:tcBorders>
              <w:top w:val="single" w:sz="6" w:space="0" w:color="auto"/>
              <w:left w:val="single" w:sz="6" w:space="0" w:color="auto"/>
              <w:bottom w:val="single" w:sz="6" w:space="0" w:color="auto"/>
              <w:right w:val="single" w:sz="6" w:space="0" w:color="auto"/>
            </w:tcBorders>
            <w:hideMark/>
          </w:tcPr>
          <w:p w14:paraId="7B54C192"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0.43 </w:t>
            </w:r>
          </w:p>
        </w:tc>
        <w:tc>
          <w:tcPr>
            <w:tcW w:w="168" w:type="pct"/>
            <w:tcBorders>
              <w:top w:val="single" w:sz="6" w:space="0" w:color="auto"/>
              <w:left w:val="single" w:sz="6" w:space="0" w:color="auto"/>
              <w:bottom w:val="single" w:sz="6" w:space="0" w:color="auto"/>
              <w:right w:val="single" w:sz="6" w:space="0" w:color="auto"/>
            </w:tcBorders>
            <w:hideMark/>
          </w:tcPr>
          <w:p w14:paraId="7D92FC37"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0.40 </w:t>
            </w:r>
          </w:p>
        </w:tc>
        <w:tc>
          <w:tcPr>
            <w:tcW w:w="168" w:type="pct"/>
            <w:tcBorders>
              <w:top w:val="single" w:sz="6" w:space="0" w:color="auto"/>
              <w:left w:val="single" w:sz="6" w:space="0" w:color="auto"/>
              <w:bottom w:val="single" w:sz="6" w:space="0" w:color="auto"/>
              <w:right w:val="single" w:sz="6" w:space="0" w:color="auto"/>
            </w:tcBorders>
            <w:hideMark/>
          </w:tcPr>
          <w:p w14:paraId="0AE2C5B1"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0.37 </w:t>
            </w:r>
          </w:p>
        </w:tc>
        <w:tc>
          <w:tcPr>
            <w:tcW w:w="168" w:type="pct"/>
            <w:tcBorders>
              <w:top w:val="single" w:sz="6" w:space="0" w:color="auto"/>
              <w:left w:val="single" w:sz="6" w:space="0" w:color="auto"/>
              <w:bottom w:val="single" w:sz="6" w:space="0" w:color="auto"/>
              <w:right w:val="single" w:sz="6" w:space="0" w:color="auto"/>
            </w:tcBorders>
            <w:hideMark/>
          </w:tcPr>
          <w:p w14:paraId="38C6C695"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0.35 </w:t>
            </w:r>
          </w:p>
        </w:tc>
        <w:tc>
          <w:tcPr>
            <w:tcW w:w="168" w:type="pct"/>
            <w:tcBorders>
              <w:top w:val="single" w:sz="6" w:space="0" w:color="auto"/>
              <w:left w:val="single" w:sz="6" w:space="0" w:color="auto"/>
              <w:bottom w:val="single" w:sz="6" w:space="0" w:color="auto"/>
              <w:right w:val="single" w:sz="6" w:space="0" w:color="auto"/>
            </w:tcBorders>
            <w:hideMark/>
          </w:tcPr>
          <w:p w14:paraId="3CBD0D35"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0.33 </w:t>
            </w:r>
          </w:p>
        </w:tc>
        <w:tc>
          <w:tcPr>
            <w:tcW w:w="168" w:type="pct"/>
            <w:tcBorders>
              <w:top w:val="single" w:sz="6" w:space="0" w:color="auto"/>
              <w:left w:val="single" w:sz="6" w:space="0" w:color="auto"/>
              <w:bottom w:val="single" w:sz="6" w:space="0" w:color="auto"/>
              <w:right w:val="single" w:sz="6" w:space="0" w:color="auto"/>
            </w:tcBorders>
            <w:hideMark/>
          </w:tcPr>
          <w:p w14:paraId="3BB0843E"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0.31 </w:t>
            </w:r>
          </w:p>
        </w:tc>
        <w:tc>
          <w:tcPr>
            <w:tcW w:w="168" w:type="pct"/>
            <w:tcBorders>
              <w:top w:val="single" w:sz="6" w:space="0" w:color="auto"/>
              <w:left w:val="single" w:sz="6" w:space="0" w:color="auto"/>
              <w:bottom w:val="single" w:sz="6" w:space="0" w:color="auto"/>
              <w:right w:val="single" w:sz="6" w:space="0" w:color="auto"/>
            </w:tcBorders>
            <w:hideMark/>
          </w:tcPr>
          <w:p w14:paraId="7DCE1E21"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6766CF7F"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0.28 </w:t>
            </w:r>
          </w:p>
        </w:tc>
        <w:tc>
          <w:tcPr>
            <w:tcW w:w="168" w:type="pct"/>
            <w:tcBorders>
              <w:top w:val="single" w:sz="6" w:space="0" w:color="auto"/>
              <w:left w:val="single" w:sz="6" w:space="0" w:color="auto"/>
              <w:bottom w:val="single" w:sz="6" w:space="0" w:color="auto"/>
              <w:right w:val="single" w:sz="6" w:space="0" w:color="auto"/>
            </w:tcBorders>
            <w:hideMark/>
          </w:tcPr>
          <w:p w14:paraId="6E33308C"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3CDA5CE7"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202ACF14"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0.21 </w:t>
            </w:r>
          </w:p>
        </w:tc>
        <w:tc>
          <w:tcPr>
            <w:tcW w:w="168" w:type="pct"/>
            <w:tcBorders>
              <w:top w:val="single" w:sz="6" w:space="0" w:color="auto"/>
              <w:left w:val="single" w:sz="6" w:space="0" w:color="auto"/>
              <w:bottom w:val="single" w:sz="6" w:space="0" w:color="auto"/>
              <w:right w:val="single" w:sz="6" w:space="0" w:color="auto"/>
            </w:tcBorders>
            <w:hideMark/>
          </w:tcPr>
          <w:p w14:paraId="2556FED8"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0.18 </w:t>
            </w:r>
          </w:p>
        </w:tc>
        <w:tc>
          <w:tcPr>
            <w:tcW w:w="168" w:type="pct"/>
            <w:tcBorders>
              <w:top w:val="single" w:sz="6" w:space="0" w:color="auto"/>
              <w:left w:val="single" w:sz="6" w:space="0" w:color="auto"/>
              <w:bottom w:val="single" w:sz="6" w:space="0" w:color="auto"/>
              <w:right w:val="single" w:sz="6" w:space="0" w:color="auto"/>
            </w:tcBorders>
            <w:hideMark/>
          </w:tcPr>
          <w:p w14:paraId="157B7060"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3B92C66D"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08D31C3E"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0.12 </w:t>
            </w:r>
          </w:p>
        </w:tc>
        <w:tc>
          <w:tcPr>
            <w:tcW w:w="8" w:type="pct"/>
            <w:vAlign w:val="center"/>
            <w:hideMark/>
          </w:tcPr>
          <w:p w14:paraId="25EF256E" w14:textId="77777777" w:rsidR="00DB1AEE" w:rsidRPr="00DB1AEE" w:rsidRDefault="00DB1AEE" w:rsidP="00DB1AEE">
            <w:pPr>
              <w:widowControl w:val="0"/>
              <w:suppressAutoHyphens/>
              <w:autoSpaceDE w:val="0"/>
              <w:autoSpaceDN w:val="0"/>
              <w:jc w:val="left"/>
              <w:rPr>
                <w:bCs/>
                <w:iCs/>
                <w:sz w:val="20"/>
                <w:u w:val="single"/>
                <w:lang w:bidi="en-US"/>
              </w:rPr>
            </w:pPr>
          </w:p>
        </w:tc>
      </w:tr>
      <w:tr w:rsidR="00DB1AEE" w:rsidRPr="00DB1AEE" w14:paraId="7677288B" w14:textId="77777777" w:rsidTr="00FC1832">
        <w:trPr>
          <w:trHeight w:val="210"/>
        </w:trPr>
        <w:tc>
          <w:tcPr>
            <w:tcW w:w="716" w:type="pct"/>
            <w:tcBorders>
              <w:top w:val="single" w:sz="6" w:space="0" w:color="auto"/>
              <w:left w:val="single" w:sz="6" w:space="0" w:color="auto"/>
              <w:bottom w:val="single" w:sz="6" w:space="0" w:color="auto"/>
              <w:right w:val="single" w:sz="6" w:space="0" w:color="auto"/>
            </w:tcBorders>
            <w:hideMark/>
          </w:tcPr>
          <w:p w14:paraId="3FD74B8B"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3.70 </w:t>
            </w:r>
          </w:p>
        </w:tc>
        <w:tc>
          <w:tcPr>
            <w:tcW w:w="916" w:type="pct"/>
            <w:tcBorders>
              <w:top w:val="single" w:sz="6" w:space="0" w:color="auto"/>
              <w:left w:val="single" w:sz="6" w:space="0" w:color="auto"/>
              <w:bottom w:val="single" w:sz="6" w:space="0" w:color="auto"/>
              <w:right w:val="single" w:sz="6" w:space="0" w:color="auto"/>
            </w:tcBorders>
            <w:hideMark/>
          </w:tcPr>
          <w:p w14:paraId="4179F13B"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0.76 </w:t>
            </w:r>
          </w:p>
        </w:tc>
        <w:tc>
          <w:tcPr>
            <w:tcW w:w="168" w:type="pct"/>
            <w:tcBorders>
              <w:top w:val="single" w:sz="6" w:space="0" w:color="auto"/>
              <w:left w:val="single" w:sz="6" w:space="0" w:color="auto"/>
              <w:bottom w:val="single" w:sz="6" w:space="0" w:color="auto"/>
              <w:right w:val="single" w:sz="6" w:space="0" w:color="auto"/>
            </w:tcBorders>
            <w:hideMark/>
          </w:tcPr>
          <w:p w14:paraId="7E284730"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0.67 </w:t>
            </w:r>
          </w:p>
        </w:tc>
        <w:tc>
          <w:tcPr>
            <w:tcW w:w="168" w:type="pct"/>
            <w:tcBorders>
              <w:top w:val="single" w:sz="6" w:space="0" w:color="auto"/>
              <w:left w:val="single" w:sz="6" w:space="0" w:color="auto"/>
              <w:bottom w:val="single" w:sz="6" w:space="0" w:color="auto"/>
              <w:right w:val="single" w:sz="6" w:space="0" w:color="auto"/>
            </w:tcBorders>
            <w:hideMark/>
          </w:tcPr>
          <w:p w14:paraId="6A3FE5B6"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0.60 </w:t>
            </w:r>
          </w:p>
        </w:tc>
        <w:tc>
          <w:tcPr>
            <w:tcW w:w="168" w:type="pct"/>
            <w:tcBorders>
              <w:top w:val="single" w:sz="6" w:space="0" w:color="auto"/>
              <w:left w:val="single" w:sz="6" w:space="0" w:color="auto"/>
              <w:bottom w:val="single" w:sz="6" w:space="0" w:color="auto"/>
              <w:right w:val="single" w:sz="6" w:space="0" w:color="auto"/>
            </w:tcBorders>
            <w:hideMark/>
          </w:tcPr>
          <w:p w14:paraId="305C58E6"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0.54 </w:t>
            </w:r>
          </w:p>
        </w:tc>
        <w:tc>
          <w:tcPr>
            <w:tcW w:w="168" w:type="pct"/>
            <w:tcBorders>
              <w:top w:val="single" w:sz="6" w:space="0" w:color="auto"/>
              <w:left w:val="single" w:sz="6" w:space="0" w:color="auto"/>
              <w:bottom w:val="single" w:sz="6" w:space="0" w:color="auto"/>
              <w:right w:val="single" w:sz="6" w:space="0" w:color="auto"/>
            </w:tcBorders>
            <w:hideMark/>
          </w:tcPr>
          <w:p w14:paraId="61CB4AF7"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0.50 </w:t>
            </w:r>
          </w:p>
        </w:tc>
        <w:tc>
          <w:tcPr>
            <w:tcW w:w="168" w:type="pct"/>
            <w:tcBorders>
              <w:top w:val="single" w:sz="6" w:space="0" w:color="auto"/>
              <w:left w:val="single" w:sz="6" w:space="0" w:color="auto"/>
              <w:bottom w:val="single" w:sz="6" w:space="0" w:color="auto"/>
              <w:right w:val="single" w:sz="6" w:space="0" w:color="auto"/>
            </w:tcBorders>
            <w:hideMark/>
          </w:tcPr>
          <w:p w14:paraId="4F07D6A6"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0.46 </w:t>
            </w:r>
          </w:p>
        </w:tc>
        <w:tc>
          <w:tcPr>
            <w:tcW w:w="168" w:type="pct"/>
            <w:tcBorders>
              <w:top w:val="single" w:sz="6" w:space="0" w:color="auto"/>
              <w:left w:val="single" w:sz="6" w:space="0" w:color="auto"/>
              <w:bottom w:val="single" w:sz="6" w:space="0" w:color="auto"/>
              <w:right w:val="single" w:sz="6" w:space="0" w:color="auto"/>
            </w:tcBorders>
            <w:hideMark/>
          </w:tcPr>
          <w:p w14:paraId="7AC26DE0"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0.42 </w:t>
            </w:r>
          </w:p>
        </w:tc>
        <w:tc>
          <w:tcPr>
            <w:tcW w:w="168" w:type="pct"/>
            <w:tcBorders>
              <w:top w:val="single" w:sz="6" w:space="0" w:color="auto"/>
              <w:left w:val="single" w:sz="6" w:space="0" w:color="auto"/>
              <w:bottom w:val="single" w:sz="6" w:space="0" w:color="auto"/>
              <w:right w:val="single" w:sz="6" w:space="0" w:color="auto"/>
            </w:tcBorders>
            <w:hideMark/>
          </w:tcPr>
          <w:p w14:paraId="0FFE26D6"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0.39 </w:t>
            </w:r>
          </w:p>
        </w:tc>
        <w:tc>
          <w:tcPr>
            <w:tcW w:w="168" w:type="pct"/>
            <w:tcBorders>
              <w:top w:val="single" w:sz="6" w:space="0" w:color="auto"/>
              <w:left w:val="single" w:sz="6" w:space="0" w:color="auto"/>
              <w:bottom w:val="single" w:sz="6" w:space="0" w:color="auto"/>
              <w:right w:val="single" w:sz="6" w:space="0" w:color="auto"/>
            </w:tcBorders>
            <w:hideMark/>
          </w:tcPr>
          <w:p w14:paraId="242487FB"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0.37 </w:t>
            </w:r>
          </w:p>
        </w:tc>
        <w:tc>
          <w:tcPr>
            <w:tcW w:w="168" w:type="pct"/>
            <w:tcBorders>
              <w:top w:val="single" w:sz="6" w:space="0" w:color="auto"/>
              <w:left w:val="single" w:sz="6" w:space="0" w:color="auto"/>
              <w:bottom w:val="single" w:sz="6" w:space="0" w:color="auto"/>
              <w:right w:val="single" w:sz="6" w:space="0" w:color="auto"/>
            </w:tcBorders>
            <w:hideMark/>
          </w:tcPr>
          <w:p w14:paraId="2881706B"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0.35 </w:t>
            </w:r>
          </w:p>
        </w:tc>
        <w:tc>
          <w:tcPr>
            <w:tcW w:w="168" w:type="pct"/>
            <w:tcBorders>
              <w:top w:val="single" w:sz="6" w:space="0" w:color="auto"/>
              <w:left w:val="single" w:sz="6" w:space="0" w:color="auto"/>
              <w:bottom w:val="single" w:sz="6" w:space="0" w:color="auto"/>
              <w:right w:val="single" w:sz="6" w:space="0" w:color="auto"/>
            </w:tcBorders>
            <w:hideMark/>
          </w:tcPr>
          <w:p w14:paraId="08C2703F"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0.33 </w:t>
            </w:r>
          </w:p>
        </w:tc>
        <w:tc>
          <w:tcPr>
            <w:tcW w:w="168" w:type="pct"/>
            <w:tcBorders>
              <w:top w:val="single" w:sz="6" w:space="0" w:color="auto"/>
              <w:left w:val="single" w:sz="6" w:space="0" w:color="auto"/>
              <w:bottom w:val="single" w:sz="6" w:space="0" w:color="auto"/>
              <w:right w:val="single" w:sz="6" w:space="0" w:color="auto"/>
            </w:tcBorders>
            <w:hideMark/>
          </w:tcPr>
          <w:p w14:paraId="2658DD48"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0.31 </w:t>
            </w:r>
          </w:p>
        </w:tc>
        <w:tc>
          <w:tcPr>
            <w:tcW w:w="168" w:type="pct"/>
            <w:tcBorders>
              <w:top w:val="single" w:sz="6" w:space="0" w:color="auto"/>
              <w:left w:val="single" w:sz="6" w:space="0" w:color="auto"/>
              <w:bottom w:val="single" w:sz="6" w:space="0" w:color="auto"/>
              <w:right w:val="single" w:sz="6" w:space="0" w:color="auto"/>
            </w:tcBorders>
            <w:hideMark/>
          </w:tcPr>
          <w:p w14:paraId="3A2DD611"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0B7A2BE3"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0.28 </w:t>
            </w:r>
          </w:p>
        </w:tc>
        <w:tc>
          <w:tcPr>
            <w:tcW w:w="168" w:type="pct"/>
            <w:tcBorders>
              <w:top w:val="single" w:sz="6" w:space="0" w:color="auto"/>
              <w:left w:val="single" w:sz="6" w:space="0" w:color="auto"/>
              <w:bottom w:val="single" w:sz="6" w:space="0" w:color="auto"/>
              <w:right w:val="single" w:sz="6" w:space="0" w:color="auto"/>
            </w:tcBorders>
            <w:hideMark/>
          </w:tcPr>
          <w:p w14:paraId="68F2518B"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332F3689"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354BF4F8"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0.21 </w:t>
            </w:r>
          </w:p>
        </w:tc>
        <w:tc>
          <w:tcPr>
            <w:tcW w:w="168" w:type="pct"/>
            <w:tcBorders>
              <w:top w:val="single" w:sz="6" w:space="0" w:color="auto"/>
              <w:left w:val="single" w:sz="6" w:space="0" w:color="auto"/>
              <w:bottom w:val="single" w:sz="6" w:space="0" w:color="auto"/>
              <w:right w:val="single" w:sz="6" w:space="0" w:color="auto"/>
            </w:tcBorders>
            <w:hideMark/>
          </w:tcPr>
          <w:p w14:paraId="3E01A7B5"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0.18 </w:t>
            </w:r>
          </w:p>
        </w:tc>
        <w:tc>
          <w:tcPr>
            <w:tcW w:w="168" w:type="pct"/>
            <w:tcBorders>
              <w:top w:val="single" w:sz="6" w:space="0" w:color="auto"/>
              <w:left w:val="single" w:sz="6" w:space="0" w:color="auto"/>
              <w:bottom w:val="single" w:sz="6" w:space="0" w:color="auto"/>
              <w:right w:val="single" w:sz="6" w:space="0" w:color="auto"/>
            </w:tcBorders>
            <w:hideMark/>
          </w:tcPr>
          <w:p w14:paraId="608BADE2"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699A9CDA"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6B804AA8"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0.12 </w:t>
            </w:r>
          </w:p>
        </w:tc>
        <w:tc>
          <w:tcPr>
            <w:tcW w:w="8" w:type="pct"/>
            <w:vAlign w:val="center"/>
            <w:hideMark/>
          </w:tcPr>
          <w:p w14:paraId="33BD0BB7" w14:textId="77777777" w:rsidR="00DB1AEE" w:rsidRPr="00DB1AEE" w:rsidRDefault="00DB1AEE" w:rsidP="00DB1AEE">
            <w:pPr>
              <w:widowControl w:val="0"/>
              <w:suppressAutoHyphens/>
              <w:autoSpaceDE w:val="0"/>
              <w:autoSpaceDN w:val="0"/>
              <w:jc w:val="left"/>
              <w:rPr>
                <w:bCs/>
                <w:iCs/>
                <w:sz w:val="20"/>
                <w:u w:val="single"/>
                <w:lang w:bidi="en-US"/>
              </w:rPr>
            </w:pPr>
          </w:p>
        </w:tc>
      </w:tr>
      <w:tr w:rsidR="00DB1AEE" w:rsidRPr="00DB1AEE" w14:paraId="2910CE1C" w14:textId="77777777" w:rsidTr="00FC1832">
        <w:trPr>
          <w:trHeight w:val="111"/>
        </w:trPr>
        <w:tc>
          <w:tcPr>
            <w:tcW w:w="716" w:type="pct"/>
            <w:tcBorders>
              <w:top w:val="single" w:sz="6" w:space="0" w:color="auto"/>
              <w:left w:val="single" w:sz="6" w:space="0" w:color="auto"/>
              <w:bottom w:val="single" w:sz="6" w:space="0" w:color="auto"/>
              <w:right w:val="single" w:sz="6" w:space="0" w:color="auto"/>
            </w:tcBorders>
            <w:hideMark/>
          </w:tcPr>
          <w:p w14:paraId="545B5E1F"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4.40 </w:t>
            </w:r>
          </w:p>
        </w:tc>
        <w:tc>
          <w:tcPr>
            <w:tcW w:w="916" w:type="pct"/>
            <w:tcBorders>
              <w:top w:val="single" w:sz="6" w:space="0" w:color="auto"/>
              <w:left w:val="single" w:sz="6" w:space="0" w:color="auto"/>
              <w:bottom w:val="single" w:sz="6" w:space="0" w:color="auto"/>
              <w:right w:val="single" w:sz="6" w:space="0" w:color="auto"/>
            </w:tcBorders>
            <w:hideMark/>
          </w:tcPr>
          <w:p w14:paraId="5036AE64"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0.74 </w:t>
            </w:r>
          </w:p>
        </w:tc>
        <w:tc>
          <w:tcPr>
            <w:tcW w:w="168" w:type="pct"/>
            <w:tcBorders>
              <w:top w:val="single" w:sz="6" w:space="0" w:color="auto"/>
              <w:left w:val="single" w:sz="6" w:space="0" w:color="auto"/>
              <w:bottom w:val="single" w:sz="6" w:space="0" w:color="auto"/>
              <w:right w:val="single" w:sz="6" w:space="0" w:color="auto"/>
            </w:tcBorders>
            <w:hideMark/>
          </w:tcPr>
          <w:p w14:paraId="5CCD1814"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0.66 </w:t>
            </w:r>
          </w:p>
        </w:tc>
        <w:tc>
          <w:tcPr>
            <w:tcW w:w="168" w:type="pct"/>
            <w:tcBorders>
              <w:top w:val="single" w:sz="6" w:space="0" w:color="auto"/>
              <w:left w:val="single" w:sz="6" w:space="0" w:color="auto"/>
              <w:bottom w:val="single" w:sz="6" w:space="0" w:color="auto"/>
              <w:right w:val="single" w:sz="6" w:space="0" w:color="auto"/>
            </w:tcBorders>
            <w:hideMark/>
          </w:tcPr>
          <w:p w14:paraId="4321AABB"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0.59 </w:t>
            </w:r>
          </w:p>
        </w:tc>
        <w:tc>
          <w:tcPr>
            <w:tcW w:w="168" w:type="pct"/>
            <w:tcBorders>
              <w:top w:val="single" w:sz="6" w:space="0" w:color="auto"/>
              <w:left w:val="single" w:sz="6" w:space="0" w:color="auto"/>
              <w:bottom w:val="single" w:sz="6" w:space="0" w:color="auto"/>
              <w:right w:val="single" w:sz="6" w:space="0" w:color="auto"/>
            </w:tcBorders>
            <w:hideMark/>
          </w:tcPr>
          <w:p w14:paraId="7D9F9E3F"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0.53 </w:t>
            </w:r>
          </w:p>
        </w:tc>
        <w:tc>
          <w:tcPr>
            <w:tcW w:w="168" w:type="pct"/>
            <w:tcBorders>
              <w:top w:val="single" w:sz="6" w:space="0" w:color="auto"/>
              <w:left w:val="single" w:sz="6" w:space="0" w:color="auto"/>
              <w:bottom w:val="single" w:sz="6" w:space="0" w:color="auto"/>
              <w:right w:val="single" w:sz="6" w:space="0" w:color="auto"/>
            </w:tcBorders>
            <w:hideMark/>
          </w:tcPr>
          <w:p w14:paraId="6F86E0AD"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0.49 </w:t>
            </w:r>
          </w:p>
        </w:tc>
        <w:tc>
          <w:tcPr>
            <w:tcW w:w="168" w:type="pct"/>
            <w:tcBorders>
              <w:top w:val="single" w:sz="6" w:space="0" w:color="auto"/>
              <w:left w:val="single" w:sz="6" w:space="0" w:color="auto"/>
              <w:bottom w:val="single" w:sz="6" w:space="0" w:color="auto"/>
              <w:right w:val="single" w:sz="6" w:space="0" w:color="auto"/>
            </w:tcBorders>
            <w:hideMark/>
          </w:tcPr>
          <w:p w14:paraId="24664E8D"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0.45 </w:t>
            </w:r>
          </w:p>
        </w:tc>
        <w:tc>
          <w:tcPr>
            <w:tcW w:w="168" w:type="pct"/>
            <w:tcBorders>
              <w:top w:val="single" w:sz="6" w:space="0" w:color="auto"/>
              <w:left w:val="single" w:sz="6" w:space="0" w:color="auto"/>
              <w:bottom w:val="single" w:sz="6" w:space="0" w:color="auto"/>
              <w:right w:val="single" w:sz="6" w:space="0" w:color="auto"/>
            </w:tcBorders>
            <w:hideMark/>
          </w:tcPr>
          <w:p w14:paraId="03E03AE3"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0.42 </w:t>
            </w:r>
          </w:p>
        </w:tc>
        <w:tc>
          <w:tcPr>
            <w:tcW w:w="168" w:type="pct"/>
            <w:tcBorders>
              <w:top w:val="single" w:sz="6" w:space="0" w:color="auto"/>
              <w:left w:val="single" w:sz="6" w:space="0" w:color="auto"/>
              <w:bottom w:val="single" w:sz="6" w:space="0" w:color="auto"/>
              <w:right w:val="single" w:sz="6" w:space="0" w:color="auto"/>
            </w:tcBorders>
            <w:hideMark/>
          </w:tcPr>
          <w:p w14:paraId="4C3FCAC4"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0.39 </w:t>
            </w:r>
          </w:p>
        </w:tc>
        <w:tc>
          <w:tcPr>
            <w:tcW w:w="168" w:type="pct"/>
            <w:tcBorders>
              <w:top w:val="single" w:sz="6" w:space="0" w:color="auto"/>
              <w:left w:val="single" w:sz="6" w:space="0" w:color="auto"/>
              <w:bottom w:val="single" w:sz="6" w:space="0" w:color="auto"/>
              <w:right w:val="single" w:sz="6" w:space="0" w:color="auto"/>
            </w:tcBorders>
            <w:hideMark/>
          </w:tcPr>
          <w:p w14:paraId="465292CD"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0.36 </w:t>
            </w:r>
          </w:p>
        </w:tc>
        <w:tc>
          <w:tcPr>
            <w:tcW w:w="168" w:type="pct"/>
            <w:tcBorders>
              <w:top w:val="single" w:sz="6" w:space="0" w:color="auto"/>
              <w:left w:val="single" w:sz="6" w:space="0" w:color="auto"/>
              <w:bottom w:val="single" w:sz="6" w:space="0" w:color="auto"/>
              <w:right w:val="single" w:sz="6" w:space="0" w:color="auto"/>
            </w:tcBorders>
            <w:hideMark/>
          </w:tcPr>
          <w:p w14:paraId="68D694E4"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0.34 </w:t>
            </w:r>
          </w:p>
        </w:tc>
        <w:tc>
          <w:tcPr>
            <w:tcW w:w="168" w:type="pct"/>
            <w:tcBorders>
              <w:top w:val="single" w:sz="6" w:space="0" w:color="auto"/>
              <w:left w:val="single" w:sz="6" w:space="0" w:color="auto"/>
              <w:bottom w:val="single" w:sz="6" w:space="0" w:color="auto"/>
              <w:right w:val="single" w:sz="6" w:space="0" w:color="auto"/>
            </w:tcBorders>
            <w:hideMark/>
          </w:tcPr>
          <w:p w14:paraId="0B1AE78B"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22316483"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0.30 </w:t>
            </w:r>
          </w:p>
        </w:tc>
        <w:tc>
          <w:tcPr>
            <w:tcW w:w="168" w:type="pct"/>
            <w:tcBorders>
              <w:top w:val="single" w:sz="6" w:space="0" w:color="auto"/>
              <w:left w:val="single" w:sz="6" w:space="0" w:color="auto"/>
              <w:bottom w:val="single" w:sz="6" w:space="0" w:color="auto"/>
              <w:right w:val="single" w:sz="6" w:space="0" w:color="auto"/>
            </w:tcBorders>
            <w:hideMark/>
          </w:tcPr>
          <w:p w14:paraId="5BE9C516"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323AD27B"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15A98B55"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2452FCC5"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1EB7D095"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0.21 </w:t>
            </w:r>
          </w:p>
        </w:tc>
        <w:tc>
          <w:tcPr>
            <w:tcW w:w="168" w:type="pct"/>
            <w:tcBorders>
              <w:top w:val="single" w:sz="6" w:space="0" w:color="auto"/>
              <w:left w:val="single" w:sz="6" w:space="0" w:color="auto"/>
              <w:bottom w:val="single" w:sz="6" w:space="0" w:color="auto"/>
              <w:right w:val="single" w:sz="6" w:space="0" w:color="auto"/>
            </w:tcBorders>
            <w:hideMark/>
          </w:tcPr>
          <w:p w14:paraId="0CC9B4C1"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0.17 </w:t>
            </w:r>
          </w:p>
        </w:tc>
        <w:tc>
          <w:tcPr>
            <w:tcW w:w="168" w:type="pct"/>
            <w:tcBorders>
              <w:top w:val="single" w:sz="6" w:space="0" w:color="auto"/>
              <w:left w:val="single" w:sz="6" w:space="0" w:color="auto"/>
              <w:bottom w:val="single" w:sz="6" w:space="0" w:color="auto"/>
              <w:right w:val="single" w:sz="6" w:space="0" w:color="auto"/>
            </w:tcBorders>
            <w:hideMark/>
          </w:tcPr>
          <w:p w14:paraId="312814AD"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69ADEC0A"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50452881"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0.12 </w:t>
            </w:r>
          </w:p>
        </w:tc>
        <w:tc>
          <w:tcPr>
            <w:tcW w:w="8" w:type="pct"/>
            <w:vAlign w:val="center"/>
            <w:hideMark/>
          </w:tcPr>
          <w:p w14:paraId="082FB3C9" w14:textId="77777777" w:rsidR="00DB1AEE" w:rsidRPr="00DB1AEE" w:rsidRDefault="00DB1AEE" w:rsidP="00DB1AEE">
            <w:pPr>
              <w:widowControl w:val="0"/>
              <w:suppressAutoHyphens/>
              <w:autoSpaceDE w:val="0"/>
              <w:autoSpaceDN w:val="0"/>
              <w:jc w:val="left"/>
              <w:rPr>
                <w:bCs/>
                <w:iCs/>
                <w:sz w:val="20"/>
                <w:u w:val="single"/>
                <w:lang w:bidi="en-US"/>
              </w:rPr>
            </w:pPr>
          </w:p>
        </w:tc>
      </w:tr>
      <w:tr w:rsidR="00DB1AEE" w:rsidRPr="00DB1AEE" w14:paraId="719385F0" w14:textId="77777777" w:rsidTr="00FC1832">
        <w:trPr>
          <w:trHeight w:val="156"/>
        </w:trPr>
        <w:tc>
          <w:tcPr>
            <w:tcW w:w="716" w:type="pct"/>
            <w:tcBorders>
              <w:top w:val="single" w:sz="6" w:space="0" w:color="auto"/>
              <w:left w:val="single" w:sz="6" w:space="0" w:color="auto"/>
              <w:bottom w:val="single" w:sz="6" w:space="0" w:color="auto"/>
              <w:right w:val="single" w:sz="6" w:space="0" w:color="auto"/>
            </w:tcBorders>
            <w:hideMark/>
          </w:tcPr>
          <w:p w14:paraId="04BFC278"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5.28 </w:t>
            </w:r>
          </w:p>
        </w:tc>
        <w:tc>
          <w:tcPr>
            <w:tcW w:w="916" w:type="pct"/>
            <w:tcBorders>
              <w:top w:val="single" w:sz="6" w:space="0" w:color="auto"/>
              <w:left w:val="single" w:sz="6" w:space="0" w:color="auto"/>
              <w:bottom w:val="single" w:sz="6" w:space="0" w:color="auto"/>
              <w:right w:val="single" w:sz="6" w:space="0" w:color="auto"/>
            </w:tcBorders>
            <w:hideMark/>
          </w:tcPr>
          <w:p w14:paraId="4B943535"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0.72 </w:t>
            </w:r>
          </w:p>
        </w:tc>
        <w:tc>
          <w:tcPr>
            <w:tcW w:w="168" w:type="pct"/>
            <w:tcBorders>
              <w:top w:val="single" w:sz="6" w:space="0" w:color="auto"/>
              <w:left w:val="single" w:sz="6" w:space="0" w:color="auto"/>
              <w:bottom w:val="single" w:sz="6" w:space="0" w:color="auto"/>
              <w:right w:val="single" w:sz="6" w:space="0" w:color="auto"/>
            </w:tcBorders>
            <w:hideMark/>
          </w:tcPr>
          <w:p w14:paraId="0FCA1443"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0.64 </w:t>
            </w:r>
          </w:p>
        </w:tc>
        <w:tc>
          <w:tcPr>
            <w:tcW w:w="168" w:type="pct"/>
            <w:tcBorders>
              <w:top w:val="single" w:sz="6" w:space="0" w:color="auto"/>
              <w:left w:val="single" w:sz="6" w:space="0" w:color="auto"/>
              <w:bottom w:val="single" w:sz="6" w:space="0" w:color="auto"/>
              <w:right w:val="single" w:sz="6" w:space="0" w:color="auto"/>
            </w:tcBorders>
            <w:hideMark/>
          </w:tcPr>
          <w:p w14:paraId="5678184B"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0.58 </w:t>
            </w:r>
          </w:p>
        </w:tc>
        <w:tc>
          <w:tcPr>
            <w:tcW w:w="168" w:type="pct"/>
            <w:tcBorders>
              <w:top w:val="single" w:sz="6" w:space="0" w:color="auto"/>
              <w:left w:val="single" w:sz="6" w:space="0" w:color="auto"/>
              <w:bottom w:val="single" w:sz="6" w:space="0" w:color="auto"/>
              <w:right w:val="single" w:sz="6" w:space="0" w:color="auto"/>
            </w:tcBorders>
            <w:hideMark/>
          </w:tcPr>
          <w:p w14:paraId="5848D9CC"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0.52 </w:t>
            </w:r>
          </w:p>
        </w:tc>
        <w:tc>
          <w:tcPr>
            <w:tcW w:w="168" w:type="pct"/>
            <w:tcBorders>
              <w:top w:val="single" w:sz="6" w:space="0" w:color="auto"/>
              <w:left w:val="single" w:sz="6" w:space="0" w:color="auto"/>
              <w:bottom w:val="single" w:sz="6" w:space="0" w:color="auto"/>
              <w:right w:val="single" w:sz="6" w:space="0" w:color="auto"/>
            </w:tcBorders>
            <w:hideMark/>
          </w:tcPr>
          <w:p w14:paraId="7DD85E2B"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0.48 </w:t>
            </w:r>
          </w:p>
        </w:tc>
        <w:tc>
          <w:tcPr>
            <w:tcW w:w="168" w:type="pct"/>
            <w:tcBorders>
              <w:top w:val="single" w:sz="6" w:space="0" w:color="auto"/>
              <w:left w:val="single" w:sz="6" w:space="0" w:color="auto"/>
              <w:bottom w:val="single" w:sz="6" w:space="0" w:color="auto"/>
              <w:right w:val="single" w:sz="6" w:space="0" w:color="auto"/>
            </w:tcBorders>
            <w:hideMark/>
          </w:tcPr>
          <w:p w14:paraId="70A18982"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0.44 </w:t>
            </w:r>
          </w:p>
        </w:tc>
        <w:tc>
          <w:tcPr>
            <w:tcW w:w="168" w:type="pct"/>
            <w:tcBorders>
              <w:top w:val="single" w:sz="6" w:space="0" w:color="auto"/>
              <w:left w:val="single" w:sz="6" w:space="0" w:color="auto"/>
              <w:bottom w:val="single" w:sz="6" w:space="0" w:color="auto"/>
              <w:right w:val="single" w:sz="6" w:space="0" w:color="auto"/>
            </w:tcBorders>
            <w:hideMark/>
          </w:tcPr>
          <w:p w14:paraId="00254408"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0.41 </w:t>
            </w:r>
          </w:p>
        </w:tc>
        <w:tc>
          <w:tcPr>
            <w:tcW w:w="168" w:type="pct"/>
            <w:tcBorders>
              <w:top w:val="single" w:sz="6" w:space="0" w:color="auto"/>
              <w:left w:val="single" w:sz="6" w:space="0" w:color="auto"/>
              <w:bottom w:val="single" w:sz="6" w:space="0" w:color="auto"/>
              <w:right w:val="single" w:sz="6" w:space="0" w:color="auto"/>
            </w:tcBorders>
            <w:hideMark/>
          </w:tcPr>
          <w:p w14:paraId="30AF8780"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0.38 </w:t>
            </w:r>
          </w:p>
        </w:tc>
        <w:tc>
          <w:tcPr>
            <w:tcW w:w="168" w:type="pct"/>
            <w:tcBorders>
              <w:top w:val="single" w:sz="6" w:space="0" w:color="auto"/>
              <w:left w:val="single" w:sz="6" w:space="0" w:color="auto"/>
              <w:bottom w:val="single" w:sz="6" w:space="0" w:color="auto"/>
              <w:right w:val="single" w:sz="6" w:space="0" w:color="auto"/>
            </w:tcBorders>
            <w:hideMark/>
          </w:tcPr>
          <w:p w14:paraId="58EE13DD"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0.36 </w:t>
            </w:r>
          </w:p>
        </w:tc>
        <w:tc>
          <w:tcPr>
            <w:tcW w:w="168" w:type="pct"/>
            <w:tcBorders>
              <w:top w:val="single" w:sz="6" w:space="0" w:color="auto"/>
              <w:left w:val="single" w:sz="6" w:space="0" w:color="auto"/>
              <w:bottom w:val="single" w:sz="6" w:space="0" w:color="auto"/>
              <w:right w:val="single" w:sz="6" w:space="0" w:color="auto"/>
            </w:tcBorders>
            <w:hideMark/>
          </w:tcPr>
          <w:p w14:paraId="407CEFC2"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0.34 </w:t>
            </w:r>
          </w:p>
        </w:tc>
        <w:tc>
          <w:tcPr>
            <w:tcW w:w="168" w:type="pct"/>
            <w:tcBorders>
              <w:top w:val="single" w:sz="6" w:space="0" w:color="auto"/>
              <w:left w:val="single" w:sz="6" w:space="0" w:color="auto"/>
              <w:bottom w:val="single" w:sz="6" w:space="0" w:color="auto"/>
              <w:right w:val="single" w:sz="6" w:space="0" w:color="auto"/>
            </w:tcBorders>
            <w:hideMark/>
          </w:tcPr>
          <w:p w14:paraId="1406C397"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628A30B9"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0.30 </w:t>
            </w:r>
          </w:p>
        </w:tc>
        <w:tc>
          <w:tcPr>
            <w:tcW w:w="168" w:type="pct"/>
            <w:tcBorders>
              <w:top w:val="single" w:sz="6" w:space="0" w:color="auto"/>
              <w:left w:val="single" w:sz="6" w:space="0" w:color="auto"/>
              <w:bottom w:val="single" w:sz="6" w:space="0" w:color="auto"/>
              <w:right w:val="single" w:sz="6" w:space="0" w:color="auto"/>
            </w:tcBorders>
            <w:hideMark/>
          </w:tcPr>
          <w:p w14:paraId="6A7C243D"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37871BBE"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55400ADC"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14ED74AA"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74A14FF5"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0.20 </w:t>
            </w:r>
          </w:p>
        </w:tc>
        <w:tc>
          <w:tcPr>
            <w:tcW w:w="168" w:type="pct"/>
            <w:tcBorders>
              <w:top w:val="single" w:sz="6" w:space="0" w:color="auto"/>
              <w:left w:val="single" w:sz="6" w:space="0" w:color="auto"/>
              <w:bottom w:val="single" w:sz="6" w:space="0" w:color="auto"/>
              <w:right w:val="single" w:sz="6" w:space="0" w:color="auto"/>
            </w:tcBorders>
            <w:hideMark/>
          </w:tcPr>
          <w:p w14:paraId="6B855EAA"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0.17 </w:t>
            </w:r>
          </w:p>
        </w:tc>
        <w:tc>
          <w:tcPr>
            <w:tcW w:w="168" w:type="pct"/>
            <w:tcBorders>
              <w:top w:val="single" w:sz="6" w:space="0" w:color="auto"/>
              <w:left w:val="single" w:sz="6" w:space="0" w:color="auto"/>
              <w:bottom w:val="single" w:sz="6" w:space="0" w:color="auto"/>
              <w:right w:val="single" w:sz="6" w:space="0" w:color="auto"/>
            </w:tcBorders>
            <w:hideMark/>
          </w:tcPr>
          <w:p w14:paraId="768D98EA"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31303E46"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22D1C13F"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0.12 </w:t>
            </w:r>
          </w:p>
        </w:tc>
        <w:tc>
          <w:tcPr>
            <w:tcW w:w="8" w:type="pct"/>
            <w:vAlign w:val="center"/>
            <w:hideMark/>
          </w:tcPr>
          <w:p w14:paraId="63EF621B" w14:textId="77777777" w:rsidR="00DB1AEE" w:rsidRPr="00DB1AEE" w:rsidRDefault="00DB1AEE" w:rsidP="00DB1AEE">
            <w:pPr>
              <w:widowControl w:val="0"/>
              <w:suppressAutoHyphens/>
              <w:autoSpaceDE w:val="0"/>
              <w:autoSpaceDN w:val="0"/>
              <w:jc w:val="left"/>
              <w:rPr>
                <w:bCs/>
                <w:iCs/>
                <w:sz w:val="20"/>
                <w:u w:val="single"/>
                <w:lang w:bidi="en-US"/>
              </w:rPr>
            </w:pPr>
          </w:p>
        </w:tc>
      </w:tr>
      <w:tr w:rsidR="00DB1AEE" w:rsidRPr="00DB1AEE" w14:paraId="11D6132E" w14:textId="77777777" w:rsidTr="00FC1832">
        <w:trPr>
          <w:trHeight w:val="270"/>
        </w:trPr>
        <w:tc>
          <w:tcPr>
            <w:tcW w:w="5000" w:type="pct"/>
            <w:gridSpan w:val="23"/>
            <w:tcBorders>
              <w:top w:val="single" w:sz="6" w:space="0" w:color="auto"/>
              <w:left w:val="single" w:sz="6" w:space="0" w:color="auto"/>
              <w:bottom w:val="single" w:sz="6" w:space="0" w:color="auto"/>
              <w:right w:val="single" w:sz="6" w:space="0" w:color="auto"/>
            </w:tcBorders>
            <w:hideMark/>
          </w:tcPr>
          <w:p w14:paraId="43864A1D"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Steel Framing at 400 mm on Center (22% Framing Factor)—includes framing for tracks, blocking, headers, and jamb and king studs </w:t>
            </w:r>
          </w:p>
        </w:tc>
      </w:tr>
      <w:tr w:rsidR="00DB1AEE" w:rsidRPr="00DB1AEE" w14:paraId="08FCD258" w14:textId="77777777" w:rsidTr="00FC1832">
        <w:trPr>
          <w:trHeight w:val="183"/>
        </w:trPr>
        <w:tc>
          <w:tcPr>
            <w:tcW w:w="716" w:type="pct"/>
            <w:tcBorders>
              <w:top w:val="single" w:sz="6" w:space="0" w:color="auto"/>
              <w:left w:val="single" w:sz="6" w:space="0" w:color="auto"/>
              <w:bottom w:val="single" w:sz="6" w:space="0" w:color="auto"/>
              <w:right w:val="single" w:sz="6" w:space="0" w:color="auto"/>
            </w:tcBorders>
            <w:hideMark/>
          </w:tcPr>
          <w:p w14:paraId="5CAA7A9D"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0.16 </w:t>
            </w:r>
          </w:p>
        </w:tc>
        <w:tc>
          <w:tcPr>
            <w:tcW w:w="916" w:type="pct"/>
            <w:tcBorders>
              <w:top w:val="single" w:sz="6" w:space="0" w:color="auto"/>
              <w:left w:val="single" w:sz="6" w:space="0" w:color="auto"/>
              <w:bottom w:val="single" w:sz="6" w:space="0" w:color="auto"/>
              <w:right w:val="single" w:sz="6" w:space="0" w:color="auto"/>
            </w:tcBorders>
            <w:hideMark/>
          </w:tcPr>
          <w:p w14:paraId="132ECE00"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1.98 </w:t>
            </w:r>
          </w:p>
        </w:tc>
        <w:tc>
          <w:tcPr>
            <w:tcW w:w="168" w:type="pct"/>
            <w:tcBorders>
              <w:top w:val="single" w:sz="6" w:space="0" w:color="auto"/>
              <w:left w:val="single" w:sz="6" w:space="0" w:color="auto"/>
              <w:bottom w:val="single" w:sz="6" w:space="0" w:color="auto"/>
              <w:right w:val="single" w:sz="6" w:space="0" w:color="auto"/>
            </w:tcBorders>
            <w:hideMark/>
          </w:tcPr>
          <w:p w14:paraId="05A19E3C"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1.47 </w:t>
            </w:r>
          </w:p>
        </w:tc>
        <w:tc>
          <w:tcPr>
            <w:tcW w:w="168" w:type="pct"/>
            <w:tcBorders>
              <w:top w:val="single" w:sz="6" w:space="0" w:color="auto"/>
              <w:left w:val="single" w:sz="6" w:space="0" w:color="auto"/>
              <w:bottom w:val="single" w:sz="6" w:space="0" w:color="auto"/>
              <w:right w:val="single" w:sz="6" w:space="0" w:color="auto"/>
            </w:tcBorders>
            <w:hideMark/>
          </w:tcPr>
          <w:p w14:paraId="24401B2C"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1.17 </w:t>
            </w:r>
          </w:p>
        </w:tc>
        <w:tc>
          <w:tcPr>
            <w:tcW w:w="168" w:type="pct"/>
            <w:tcBorders>
              <w:top w:val="single" w:sz="6" w:space="0" w:color="auto"/>
              <w:left w:val="single" w:sz="6" w:space="0" w:color="auto"/>
              <w:bottom w:val="single" w:sz="6" w:space="0" w:color="auto"/>
              <w:right w:val="single" w:sz="6" w:space="0" w:color="auto"/>
            </w:tcBorders>
            <w:hideMark/>
          </w:tcPr>
          <w:p w14:paraId="4A5F2360"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0.97 </w:t>
            </w:r>
          </w:p>
        </w:tc>
        <w:tc>
          <w:tcPr>
            <w:tcW w:w="168" w:type="pct"/>
            <w:tcBorders>
              <w:top w:val="single" w:sz="6" w:space="0" w:color="auto"/>
              <w:left w:val="single" w:sz="6" w:space="0" w:color="auto"/>
              <w:bottom w:val="single" w:sz="6" w:space="0" w:color="auto"/>
              <w:right w:val="single" w:sz="6" w:space="0" w:color="auto"/>
            </w:tcBorders>
            <w:hideMark/>
          </w:tcPr>
          <w:p w14:paraId="3EDD0326"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0.83 </w:t>
            </w:r>
          </w:p>
        </w:tc>
        <w:tc>
          <w:tcPr>
            <w:tcW w:w="168" w:type="pct"/>
            <w:tcBorders>
              <w:top w:val="single" w:sz="6" w:space="0" w:color="auto"/>
              <w:left w:val="single" w:sz="6" w:space="0" w:color="auto"/>
              <w:bottom w:val="single" w:sz="6" w:space="0" w:color="auto"/>
              <w:right w:val="single" w:sz="6" w:space="0" w:color="auto"/>
            </w:tcBorders>
            <w:hideMark/>
          </w:tcPr>
          <w:p w14:paraId="3FCEAA83"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0.72 </w:t>
            </w:r>
          </w:p>
        </w:tc>
        <w:tc>
          <w:tcPr>
            <w:tcW w:w="168" w:type="pct"/>
            <w:tcBorders>
              <w:top w:val="single" w:sz="6" w:space="0" w:color="auto"/>
              <w:left w:val="single" w:sz="6" w:space="0" w:color="auto"/>
              <w:bottom w:val="single" w:sz="6" w:space="0" w:color="auto"/>
              <w:right w:val="single" w:sz="6" w:space="0" w:color="auto"/>
            </w:tcBorders>
            <w:hideMark/>
          </w:tcPr>
          <w:p w14:paraId="76703808"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0.64 </w:t>
            </w:r>
          </w:p>
        </w:tc>
        <w:tc>
          <w:tcPr>
            <w:tcW w:w="168" w:type="pct"/>
            <w:tcBorders>
              <w:top w:val="single" w:sz="6" w:space="0" w:color="auto"/>
              <w:left w:val="single" w:sz="6" w:space="0" w:color="auto"/>
              <w:bottom w:val="single" w:sz="6" w:space="0" w:color="auto"/>
              <w:right w:val="single" w:sz="6" w:space="0" w:color="auto"/>
            </w:tcBorders>
            <w:hideMark/>
          </w:tcPr>
          <w:p w14:paraId="4A227FF2"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0.58 </w:t>
            </w:r>
          </w:p>
        </w:tc>
        <w:tc>
          <w:tcPr>
            <w:tcW w:w="168" w:type="pct"/>
            <w:tcBorders>
              <w:top w:val="single" w:sz="6" w:space="0" w:color="auto"/>
              <w:left w:val="single" w:sz="6" w:space="0" w:color="auto"/>
              <w:bottom w:val="single" w:sz="6" w:space="0" w:color="auto"/>
              <w:right w:val="single" w:sz="6" w:space="0" w:color="auto"/>
            </w:tcBorders>
            <w:hideMark/>
          </w:tcPr>
          <w:p w14:paraId="28933644"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0.52 </w:t>
            </w:r>
          </w:p>
        </w:tc>
        <w:tc>
          <w:tcPr>
            <w:tcW w:w="168" w:type="pct"/>
            <w:tcBorders>
              <w:top w:val="single" w:sz="6" w:space="0" w:color="auto"/>
              <w:left w:val="single" w:sz="6" w:space="0" w:color="auto"/>
              <w:bottom w:val="single" w:sz="6" w:space="0" w:color="auto"/>
              <w:right w:val="single" w:sz="6" w:space="0" w:color="auto"/>
            </w:tcBorders>
            <w:hideMark/>
          </w:tcPr>
          <w:p w14:paraId="32958FE4"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0.48 </w:t>
            </w:r>
          </w:p>
        </w:tc>
        <w:tc>
          <w:tcPr>
            <w:tcW w:w="168" w:type="pct"/>
            <w:tcBorders>
              <w:top w:val="single" w:sz="6" w:space="0" w:color="auto"/>
              <w:left w:val="single" w:sz="6" w:space="0" w:color="auto"/>
              <w:bottom w:val="single" w:sz="6" w:space="0" w:color="auto"/>
              <w:right w:val="single" w:sz="6" w:space="0" w:color="auto"/>
            </w:tcBorders>
            <w:hideMark/>
          </w:tcPr>
          <w:p w14:paraId="2EBDF8B8"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0.44 </w:t>
            </w:r>
          </w:p>
        </w:tc>
        <w:tc>
          <w:tcPr>
            <w:tcW w:w="168" w:type="pct"/>
            <w:tcBorders>
              <w:top w:val="single" w:sz="6" w:space="0" w:color="auto"/>
              <w:left w:val="single" w:sz="6" w:space="0" w:color="auto"/>
              <w:bottom w:val="single" w:sz="6" w:space="0" w:color="auto"/>
              <w:right w:val="single" w:sz="6" w:space="0" w:color="auto"/>
            </w:tcBorders>
            <w:hideMark/>
          </w:tcPr>
          <w:p w14:paraId="48FB6AFB"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0.41 </w:t>
            </w:r>
          </w:p>
        </w:tc>
        <w:tc>
          <w:tcPr>
            <w:tcW w:w="168" w:type="pct"/>
            <w:tcBorders>
              <w:top w:val="single" w:sz="6" w:space="0" w:color="auto"/>
              <w:left w:val="single" w:sz="6" w:space="0" w:color="auto"/>
              <w:bottom w:val="single" w:sz="6" w:space="0" w:color="auto"/>
              <w:right w:val="single" w:sz="6" w:space="0" w:color="auto"/>
            </w:tcBorders>
            <w:hideMark/>
          </w:tcPr>
          <w:p w14:paraId="70440B9A"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0.38 </w:t>
            </w:r>
          </w:p>
        </w:tc>
        <w:tc>
          <w:tcPr>
            <w:tcW w:w="168" w:type="pct"/>
            <w:tcBorders>
              <w:top w:val="single" w:sz="6" w:space="0" w:color="auto"/>
              <w:left w:val="single" w:sz="6" w:space="0" w:color="auto"/>
              <w:bottom w:val="single" w:sz="6" w:space="0" w:color="auto"/>
              <w:right w:val="single" w:sz="6" w:space="0" w:color="auto"/>
            </w:tcBorders>
            <w:hideMark/>
          </w:tcPr>
          <w:p w14:paraId="7D7E0CC6"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0.36 </w:t>
            </w:r>
          </w:p>
        </w:tc>
        <w:tc>
          <w:tcPr>
            <w:tcW w:w="168" w:type="pct"/>
            <w:tcBorders>
              <w:top w:val="single" w:sz="6" w:space="0" w:color="auto"/>
              <w:left w:val="single" w:sz="6" w:space="0" w:color="auto"/>
              <w:bottom w:val="single" w:sz="6" w:space="0" w:color="auto"/>
              <w:right w:val="single" w:sz="6" w:space="0" w:color="auto"/>
            </w:tcBorders>
            <w:hideMark/>
          </w:tcPr>
          <w:p w14:paraId="67BD159E"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0.34 </w:t>
            </w:r>
          </w:p>
        </w:tc>
        <w:tc>
          <w:tcPr>
            <w:tcW w:w="168" w:type="pct"/>
            <w:tcBorders>
              <w:top w:val="single" w:sz="6" w:space="0" w:color="auto"/>
              <w:left w:val="single" w:sz="6" w:space="0" w:color="auto"/>
              <w:bottom w:val="single" w:sz="6" w:space="0" w:color="auto"/>
              <w:right w:val="single" w:sz="6" w:space="0" w:color="auto"/>
            </w:tcBorders>
            <w:hideMark/>
          </w:tcPr>
          <w:p w14:paraId="5BF33AD1"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1D245DC3"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172DC2A8"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0.20 </w:t>
            </w:r>
          </w:p>
        </w:tc>
        <w:tc>
          <w:tcPr>
            <w:tcW w:w="168" w:type="pct"/>
            <w:tcBorders>
              <w:top w:val="single" w:sz="6" w:space="0" w:color="auto"/>
              <w:left w:val="single" w:sz="6" w:space="0" w:color="auto"/>
              <w:bottom w:val="single" w:sz="6" w:space="0" w:color="auto"/>
              <w:right w:val="single" w:sz="6" w:space="0" w:color="auto"/>
            </w:tcBorders>
            <w:hideMark/>
          </w:tcPr>
          <w:p w14:paraId="51915F14"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0.17 </w:t>
            </w:r>
          </w:p>
        </w:tc>
        <w:tc>
          <w:tcPr>
            <w:tcW w:w="168" w:type="pct"/>
            <w:tcBorders>
              <w:top w:val="single" w:sz="6" w:space="0" w:color="auto"/>
              <w:left w:val="single" w:sz="6" w:space="0" w:color="auto"/>
              <w:bottom w:val="single" w:sz="6" w:space="0" w:color="auto"/>
              <w:right w:val="single" w:sz="6" w:space="0" w:color="auto"/>
            </w:tcBorders>
            <w:hideMark/>
          </w:tcPr>
          <w:p w14:paraId="50F95702"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088BD247"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0.13 </w:t>
            </w:r>
          </w:p>
        </w:tc>
        <w:tc>
          <w:tcPr>
            <w:tcW w:w="8" w:type="pct"/>
            <w:vAlign w:val="center"/>
            <w:hideMark/>
          </w:tcPr>
          <w:p w14:paraId="770EAC81" w14:textId="77777777" w:rsidR="00DB1AEE" w:rsidRPr="00DB1AEE" w:rsidRDefault="00DB1AEE" w:rsidP="00DB1AEE">
            <w:pPr>
              <w:widowControl w:val="0"/>
              <w:suppressAutoHyphens/>
              <w:autoSpaceDE w:val="0"/>
              <w:autoSpaceDN w:val="0"/>
              <w:jc w:val="left"/>
              <w:rPr>
                <w:bCs/>
                <w:iCs/>
                <w:sz w:val="20"/>
                <w:u w:val="single"/>
                <w:lang w:bidi="en-US"/>
              </w:rPr>
            </w:pPr>
          </w:p>
        </w:tc>
      </w:tr>
      <w:tr w:rsidR="00DB1AEE" w:rsidRPr="00DB1AEE" w14:paraId="6940B476" w14:textId="77777777" w:rsidTr="00FC1832">
        <w:trPr>
          <w:trHeight w:val="201"/>
        </w:trPr>
        <w:tc>
          <w:tcPr>
            <w:tcW w:w="716" w:type="pct"/>
            <w:tcBorders>
              <w:top w:val="single" w:sz="6" w:space="0" w:color="auto"/>
              <w:left w:val="single" w:sz="6" w:space="0" w:color="auto"/>
              <w:bottom w:val="single" w:sz="6" w:space="0" w:color="auto"/>
              <w:right w:val="single" w:sz="6" w:space="0" w:color="auto"/>
            </w:tcBorders>
            <w:hideMark/>
          </w:tcPr>
          <w:p w14:paraId="661E28A6"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1.94 </w:t>
            </w:r>
          </w:p>
        </w:tc>
        <w:tc>
          <w:tcPr>
            <w:tcW w:w="916" w:type="pct"/>
            <w:tcBorders>
              <w:top w:val="single" w:sz="6" w:space="0" w:color="auto"/>
              <w:left w:val="single" w:sz="6" w:space="0" w:color="auto"/>
              <w:bottom w:val="single" w:sz="6" w:space="0" w:color="auto"/>
              <w:right w:val="single" w:sz="6" w:space="0" w:color="auto"/>
            </w:tcBorders>
            <w:hideMark/>
          </w:tcPr>
          <w:p w14:paraId="2E0A485D"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0.84 </w:t>
            </w:r>
          </w:p>
        </w:tc>
        <w:tc>
          <w:tcPr>
            <w:tcW w:w="168" w:type="pct"/>
            <w:tcBorders>
              <w:top w:val="single" w:sz="6" w:space="0" w:color="auto"/>
              <w:left w:val="single" w:sz="6" w:space="0" w:color="auto"/>
              <w:bottom w:val="single" w:sz="6" w:space="0" w:color="auto"/>
              <w:right w:val="single" w:sz="6" w:space="0" w:color="auto"/>
            </w:tcBorders>
            <w:hideMark/>
          </w:tcPr>
          <w:p w14:paraId="5B86EC61"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0.73 </w:t>
            </w:r>
          </w:p>
        </w:tc>
        <w:tc>
          <w:tcPr>
            <w:tcW w:w="168" w:type="pct"/>
            <w:tcBorders>
              <w:top w:val="single" w:sz="6" w:space="0" w:color="auto"/>
              <w:left w:val="single" w:sz="6" w:space="0" w:color="auto"/>
              <w:bottom w:val="single" w:sz="6" w:space="0" w:color="auto"/>
              <w:right w:val="single" w:sz="6" w:space="0" w:color="auto"/>
            </w:tcBorders>
            <w:hideMark/>
          </w:tcPr>
          <w:p w14:paraId="622721D9"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0.65 </w:t>
            </w:r>
          </w:p>
        </w:tc>
        <w:tc>
          <w:tcPr>
            <w:tcW w:w="168" w:type="pct"/>
            <w:tcBorders>
              <w:top w:val="single" w:sz="6" w:space="0" w:color="auto"/>
              <w:left w:val="single" w:sz="6" w:space="0" w:color="auto"/>
              <w:bottom w:val="single" w:sz="6" w:space="0" w:color="auto"/>
              <w:right w:val="single" w:sz="6" w:space="0" w:color="auto"/>
            </w:tcBorders>
            <w:hideMark/>
          </w:tcPr>
          <w:p w14:paraId="124A6F28"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0.58 </w:t>
            </w:r>
          </w:p>
        </w:tc>
        <w:tc>
          <w:tcPr>
            <w:tcW w:w="168" w:type="pct"/>
            <w:tcBorders>
              <w:top w:val="single" w:sz="6" w:space="0" w:color="auto"/>
              <w:left w:val="single" w:sz="6" w:space="0" w:color="auto"/>
              <w:bottom w:val="single" w:sz="6" w:space="0" w:color="auto"/>
              <w:right w:val="single" w:sz="6" w:space="0" w:color="auto"/>
            </w:tcBorders>
            <w:hideMark/>
          </w:tcPr>
          <w:p w14:paraId="4C970588"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0.53 </w:t>
            </w:r>
          </w:p>
        </w:tc>
        <w:tc>
          <w:tcPr>
            <w:tcW w:w="168" w:type="pct"/>
            <w:tcBorders>
              <w:top w:val="single" w:sz="6" w:space="0" w:color="auto"/>
              <w:left w:val="single" w:sz="6" w:space="0" w:color="auto"/>
              <w:bottom w:val="single" w:sz="6" w:space="0" w:color="auto"/>
              <w:right w:val="single" w:sz="6" w:space="0" w:color="auto"/>
            </w:tcBorders>
            <w:hideMark/>
          </w:tcPr>
          <w:p w14:paraId="58BC0E7E"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0.48 </w:t>
            </w:r>
          </w:p>
        </w:tc>
        <w:tc>
          <w:tcPr>
            <w:tcW w:w="168" w:type="pct"/>
            <w:tcBorders>
              <w:top w:val="single" w:sz="6" w:space="0" w:color="auto"/>
              <w:left w:val="single" w:sz="6" w:space="0" w:color="auto"/>
              <w:bottom w:val="single" w:sz="6" w:space="0" w:color="auto"/>
              <w:right w:val="single" w:sz="6" w:space="0" w:color="auto"/>
            </w:tcBorders>
            <w:hideMark/>
          </w:tcPr>
          <w:p w14:paraId="4184DAAE"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0.45 </w:t>
            </w:r>
          </w:p>
        </w:tc>
        <w:tc>
          <w:tcPr>
            <w:tcW w:w="168" w:type="pct"/>
            <w:tcBorders>
              <w:top w:val="single" w:sz="6" w:space="0" w:color="auto"/>
              <w:left w:val="single" w:sz="6" w:space="0" w:color="auto"/>
              <w:bottom w:val="single" w:sz="6" w:space="0" w:color="auto"/>
              <w:right w:val="single" w:sz="6" w:space="0" w:color="auto"/>
            </w:tcBorders>
            <w:hideMark/>
          </w:tcPr>
          <w:p w14:paraId="20C61610"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0.41 </w:t>
            </w:r>
          </w:p>
        </w:tc>
        <w:tc>
          <w:tcPr>
            <w:tcW w:w="168" w:type="pct"/>
            <w:tcBorders>
              <w:top w:val="single" w:sz="6" w:space="0" w:color="auto"/>
              <w:left w:val="single" w:sz="6" w:space="0" w:color="auto"/>
              <w:bottom w:val="single" w:sz="6" w:space="0" w:color="auto"/>
              <w:right w:val="single" w:sz="6" w:space="0" w:color="auto"/>
            </w:tcBorders>
            <w:hideMark/>
          </w:tcPr>
          <w:p w14:paraId="6A4916E9"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0.38 </w:t>
            </w:r>
          </w:p>
        </w:tc>
        <w:tc>
          <w:tcPr>
            <w:tcW w:w="168" w:type="pct"/>
            <w:tcBorders>
              <w:top w:val="single" w:sz="6" w:space="0" w:color="auto"/>
              <w:left w:val="single" w:sz="6" w:space="0" w:color="auto"/>
              <w:bottom w:val="single" w:sz="6" w:space="0" w:color="auto"/>
              <w:right w:val="single" w:sz="6" w:space="0" w:color="auto"/>
            </w:tcBorders>
            <w:hideMark/>
          </w:tcPr>
          <w:p w14:paraId="1100E434"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0.36 </w:t>
            </w:r>
          </w:p>
        </w:tc>
        <w:tc>
          <w:tcPr>
            <w:tcW w:w="168" w:type="pct"/>
            <w:tcBorders>
              <w:top w:val="single" w:sz="6" w:space="0" w:color="auto"/>
              <w:left w:val="single" w:sz="6" w:space="0" w:color="auto"/>
              <w:bottom w:val="single" w:sz="6" w:space="0" w:color="auto"/>
              <w:right w:val="single" w:sz="6" w:space="0" w:color="auto"/>
            </w:tcBorders>
            <w:hideMark/>
          </w:tcPr>
          <w:p w14:paraId="6A3F6685"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0.34 </w:t>
            </w:r>
          </w:p>
        </w:tc>
        <w:tc>
          <w:tcPr>
            <w:tcW w:w="168" w:type="pct"/>
            <w:tcBorders>
              <w:top w:val="single" w:sz="6" w:space="0" w:color="auto"/>
              <w:left w:val="single" w:sz="6" w:space="0" w:color="auto"/>
              <w:bottom w:val="single" w:sz="6" w:space="0" w:color="auto"/>
              <w:right w:val="single" w:sz="6" w:space="0" w:color="auto"/>
            </w:tcBorders>
            <w:hideMark/>
          </w:tcPr>
          <w:p w14:paraId="1D4CEF09"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2B7AE345"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0.30 </w:t>
            </w:r>
          </w:p>
        </w:tc>
        <w:tc>
          <w:tcPr>
            <w:tcW w:w="168" w:type="pct"/>
            <w:tcBorders>
              <w:top w:val="single" w:sz="6" w:space="0" w:color="auto"/>
              <w:left w:val="single" w:sz="6" w:space="0" w:color="auto"/>
              <w:bottom w:val="single" w:sz="6" w:space="0" w:color="auto"/>
              <w:right w:val="single" w:sz="6" w:space="0" w:color="auto"/>
            </w:tcBorders>
            <w:hideMark/>
          </w:tcPr>
          <w:p w14:paraId="246D8DFB"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19ECADB4"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27D08BDD"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06925CFA"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0.21 </w:t>
            </w:r>
          </w:p>
        </w:tc>
        <w:tc>
          <w:tcPr>
            <w:tcW w:w="168" w:type="pct"/>
            <w:tcBorders>
              <w:top w:val="single" w:sz="6" w:space="0" w:color="auto"/>
              <w:left w:val="single" w:sz="6" w:space="0" w:color="auto"/>
              <w:bottom w:val="single" w:sz="6" w:space="0" w:color="auto"/>
              <w:right w:val="single" w:sz="6" w:space="0" w:color="auto"/>
            </w:tcBorders>
            <w:hideMark/>
          </w:tcPr>
          <w:p w14:paraId="3805A56F"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0.18 </w:t>
            </w:r>
          </w:p>
        </w:tc>
        <w:tc>
          <w:tcPr>
            <w:tcW w:w="168" w:type="pct"/>
            <w:tcBorders>
              <w:top w:val="single" w:sz="6" w:space="0" w:color="auto"/>
              <w:left w:val="single" w:sz="6" w:space="0" w:color="auto"/>
              <w:bottom w:val="single" w:sz="6" w:space="0" w:color="auto"/>
              <w:right w:val="single" w:sz="6" w:space="0" w:color="auto"/>
            </w:tcBorders>
            <w:hideMark/>
          </w:tcPr>
          <w:p w14:paraId="4BA85928"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14713876"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0.14 </w:t>
            </w:r>
          </w:p>
        </w:tc>
        <w:tc>
          <w:tcPr>
            <w:tcW w:w="168" w:type="pct"/>
            <w:tcBorders>
              <w:top w:val="single" w:sz="6" w:space="0" w:color="auto"/>
              <w:left w:val="single" w:sz="6" w:space="0" w:color="auto"/>
              <w:bottom w:val="single" w:sz="6" w:space="0" w:color="auto"/>
              <w:right w:val="single" w:sz="6" w:space="0" w:color="auto"/>
            </w:tcBorders>
            <w:hideMark/>
          </w:tcPr>
          <w:p w14:paraId="568FD40B"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0.12 </w:t>
            </w:r>
          </w:p>
        </w:tc>
        <w:tc>
          <w:tcPr>
            <w:tcW w:w="8" w:type="pct"/>
            <w:vAlign w:val="center"/>
            <w:hideMark/>
          </w:tcPr>
          <w:p w14:paraId="66C68748" w14:textId="77777777" w:rsidR="00DB1AEE" w:rsidRPr="00DB1AEE" w:rsidRDefault="00DB1AEE" w:rsidP="00DB1AEE">
            <w:pPr>
              <w:widowControl w:val="0"/>
              <w:suppressAutoHyphens/>
              <w:autoSpaceDE w:val="0"/>
              <w:autoSpaceDN w:val="0"/>
              <w:jc w:val="left"/>
              <w:rPr>
                <w:bCs/>
                <w:iCs/>
                <w:sz w:val="20"/>
                <w:u w:val="single"/>
                <w:lang w:bidi="en-US"/>
              </w:rPr>
            </w:pPr>
          </w:p>
        </w:tc>
      </w:tr>
      <w:tr w:rsidR="00DB1AEE" w:rsidRPr="00DB1AEE" w14:paraId="742BE934" w14:textId="77777777" w:rsidTr="00FC1832">
        <w:trPr>
          <w:trHeight w:val="228"/>
        </w:trPr>
        <w:tc>
          <w:tcPr>
            <w:tcW w:w="716" w:type="pct"/>
            <w:tcBorders>
              <w:top w:val="single" w:sz="6" w:space="0" w:color="auto"/>
              <w:left w:val="single" w:sz="6" w:space="0" w:color="auto"/>
              <w:bottom w:val="single" w:sz="6" w:space="0" w:color="auto"/>
              <w:right w:val="single" w:sz="6" w:space="0" w:color="auto"/>
            </w:tcBorders>
            <w:hideMark/>
          </w:tcPr>
          <w:p w14:paraId="725814DD"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2.29 </w:t>
            </w:r>
          </w:p>
        </w:tc>
        <w:tc>
          <w:tcPr>
            <w:tcW w:w="916" w:type="pct"/>
            <w:tcBorders>
              <w:top w:val="single" w:sz="6" w:space="0" w:color="auto"/>
              <w:left w:val="single" w:sz="6" w:space="0" w:color="auto"/>
              <w:bottom w:val="single" w:sz="6" w:space="0" w:color="auto"/>
              <w:right w:val="single" w:sz="6" w:space="0" w:color="auto"/>
            </w:tcBorders>
            <w:hideMark/>
          </w:tcPr>
          <w:p w14:paraId="3825681C"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0.80 </w:t>
            </w:r>
          </w:p>
        </w:tc>
        <w:tc>
          <w:tcPr>
            <w:tcW w:w="168" w:type="pct"/>
            <w:tcBorders>
              <w:top w:val="single" w:sz="6" w:space="0" w:color="auto"/>
              <w:left w:val="single" w:sz="6" w:space="0" w:color="auto"/>
              <w:bottom w:val="single" w:sz="6" w:space="0" w:color="auto"/>
              <w:right w:val="single" w:sz="6" w:space="0" w:color="auto"/>
            </w:tcBorders>
            <w:hideMark/>
          </w:tcPr>
          <w:p w14:paraId="0E17BD89"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0.70 </w:t>
            </w:r>
          </w:p>
        </w:tc>
        <w:tc>
          <w:tcPr>
            <w:tcW w:w="168" w:type="pct"/>
            <w:tcBorders>
              <w:top w:val="single" w:sz="6" w:space="0" w:color="auto"/>
              <w:left w:val="single" w:sz="6" w:space="0" w:color="auto"/>
              <w:bottom w:val="single" w:sz="6" w:space="0" w:color="auto"/>
              <w:right w:val="single" w:sz="6" w:space="0" w:color="auto"/>
            </w:tcBorders>
            <w:hideMark/>
          </w:tcPr>
          <w:p w14:paraId="3FCEEF8F"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0.63 </w:t>
            </w:r>
          </w:p>
        </w:tc>
        <w:tc>
          <w:tcPr>
            <w:tcW w:w="168" w:type="pct"/>
            <w:tcBorders>
              <w:top w:val="single" w:sz="6" w:space="0" w:color="auto"/>
              <w:left w:val="single" w:sz="6" w:space="0" w:color="auto"/>
              <w:bottom w:val="single" w:sz="6" w:space="0" w:color="auto"/>
              <w:right w:val="single" w:sz="6" w:space="0" w:color="auto"/>
            </w:tcBorders>
            <w:hideMark/>
          </w:tcPr>
          <w:p w14:paraId="00C92309"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0.56 </w:t>
            </w:r>
          </w:p>
        </w:tc>
        <w:tc>
          <w:tcPr>
            <w:tcW w:w="168" w:type="pct"/>
            <w:tcBorders>
              <w:top w:val="single" w:sz="6" w:space="0" w:color="auto"/>
              <w:left w:val="single" w:sz="6" w:space="0" w:color="auto"/>
              <w:bottom w:val="single" w:sz="6" w:space="0" w:color="auto"/>
              <w:right w:val="single" w:sz="6" w:space="0" w:color="auto"/>
            </w:tcBorders>
            <w:hideMark/>
          </w:tcPr>
          <w:p w14:paraId="3F51BAD4"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0.51 </w:t>
            </w:r>
          </w:p>
        </w:tc>
        <w:tc>
          <w:tcPr>
            <w:tcW w:w="168" w:type="pct"/>
            <w:tcBorders>
              <w:top w:val="single" w:sz="6" w:space="0" w:color="auto"/>
              <w:left w:val="single" w:sz="6" w:space="0" w:color="auto"/>
              <w:bottom w:val="single" w:sz="6" w:space="0" w:color="auto"/>
              <w:right w:val="single" w:sz="6" w:space="0" w:color="auto"/>
            </w:tcBorders>
            <w:hideMark/>
          </w:tcPr>
          <w:p w14:paraId="3D793773"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0.47 </w:t>
            </w:r>
          </w:p>
        </w:tc>
        <w:tc>
          <w:tcPr>
            <w:tcW w:w="168" w:type="pct"/>
            <w:tcBorders>
              <w:top w:val="single" w:sz="6" w:space="0" w:color="auto"/>
              <w:left w:val="single" w:sz="6" w:space="0" w:color="auto"/>
              <w:bottom w:val="single" w:sz="6" w:space="0" w:color="auto"/>
              <w:right w:val="single" w:sz="6" w:space="0" w:color="auto"/>
            </w:tcBorders>
            <w:hideMark/>
          </w:tcPr>
          <w:p w14:paraId="6E511350"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0.43 </w:t>
            </w:r>
          </w:p>
        </w:tc>
        <w:tc>
          <w:tcPr>
            <w:tcW w:w="168" w:type="pct"/>
            <w:tcBorders>
              <w:top w:val="single" w:sz="6" w:space="0" w:color="auto"/>
              <w:left w:val="single" w:sz="6" w:space="0" w:color="auto"/>
              <w:bottom w:val="single" w:sz="6" w:space="0" w:color="auto"/>
              <w:right w:val="single" w:sz="6" w:space="0" w:color="auto"/>
            </w:tcBorders>
            <w:hideMark/>
          </w:tcPr>
          <w:p w14:paraId="375ECA6A"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0.40 </w:t>
            </w:r>
          </w:p>
        </w:tc>
        <w:tc>
          <w:tcPr>
            <w:tcW w:w="168" w:type="pct"/>
            <w:tcBorders>
              <w:top w:val="single" w:sz="6" w:space="0" w:color="auto"/>
              <w:left w:val="single" w:sz="6" w:space="0" w:color="auto"/>
              <w:bottom w:val="single" w:sz="6" w:space="0" w:color="auto"/>
              <w:right w:val="single" w:sz="6" w:space="0" w:color="auto"/>
            </w:tcBorders>
            <w:hideMark/>
          </w:tcPr>
          <w:p w14:paraId="4A882324"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0.38 </w:t>
            </w:r>
          </w:p>
        </w:tc>
        <w:tc>
          <w:tcPr>
            <w:tcW w:w="168" w:type="pct"/>
            <w:tcBorders>
              <w:top w:val="single" w:sz="6" w:space="0" w:color="auto"/>
              <w:left w:val="single" w:sz="6" w:space="0" w:color="auto"/>
              <w:bottom w:val="single" w:sz="6" w:space="0" w:color="auto"/>
              <w:right w:val="single" w:sz="6" w:space="0" w:color="auto"/>
            </w:tcBorders>
            <w:hideMark/>
          </w:tcPr>
          <w:p w14:paraId="63B905BA"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0.35 </w:t>
            </w:r>
          </w:p>
        </w:tc>
        <w:tc>
          <w:tcPr>
            <w:tcW w:w="168" w:type="pct"/>
            <w:tcBorders>
              <w:top w:val="single" w:sz="6" w:space="0" w:color="auto"/>
              <w:left w:val="single" w:sz="6" w:space="0" w:color="auto"/>
              <w:bottom w:val="single" w:sz="6" w:space="0" w:color="auto"/>
              <w:right w:val="single" w:sz="6" w:space="0" w:color="auto"/>
            </w:tcBorders>
            <w:hideMark/>
          </w:tcPr>
          <w:p w14:paraId="4C1D8EC1"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0.33 </w:t>
            </w:r>
          </w:p>
        </w:tc>
        <w:tc>
          <w:tcPr>
            <w:tcW w:w="168" w:type="pct"/>
            <w:tcBorders>
              <w:top w:val="single" w:sz="6" w:space="0" w:color="auto"/>
              <w:left w:val="single" w:sz="6" w:space="0" w:color="auto"/>
              <w:bottom w:val="single" w:sz="6" w:space="0" w:color="auto"/>
              <w:right w:val="single" w:sz="6" w:space="0" w:color="auto"/>
            </w:tcBorders>
            <w:hideMark/>
          </w:tcPr>
          <w:p w14:paraId="24FA6851"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0.31 </w:t>
            </w:r>
          </w:p>
        </w:tc>
        <w:tc>
          <w:tcPr>
            <w:tcW w:w="168" w:type="pct"/>
            <w:tcBorders>
              <w:top w:val="single" w:sz="6" w:space="0" w:color="auto"/>
              <w:left w:val="single" w:sz="6" w:space="0" w:color="auto"/>
              <w:bottom w:val="single" w:sz="6" w:space="0" w:color="auto"/>
              <w:right w:val="single" w:sz="6" w:space="0" w:color="auto"/>
            </w:tcBorders>
            <w:hideMark/>
          </w:tcPr>
          <w:p w14:paraId="3580BBFA"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0.30 </w:t>
            </w:r>
          </w:p>
        </w:tc>
        <w:tc>
          <w:tcPr>
            <w:tcW w:w="168" w:type="pct"/>
            <w:tcBorders>
              <w:top w:val="single" w:sz="6" w:space="0" w:color="auto"/>
              <w:left w:val="single" w:sz="6" w:space="0" w:color="auto"/>
              <w:bottom w:val="single" w:sz="6" w:space="0" w:color="auto"/>
              <w:right w:val="single" w:sz="6" w:space="0" w:color="auto"/>
            </w:tcBorders>
            <w:hideMark/>
          </w:tcPr>
          <w:p w14:paraId="26B8236A"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0.28 </w:t>
            </w:r>
          </w:p>
        </w:tc>
        <w:tc>
          <w:tcPr>
            <w:tcW w:w="168" w:type="pct"/>
            <w:tcBorders>
              <w:top w:val="single" w:sz="6" w:space="0" w:color="auto"/>
              <w:left w:val="single" w:sz="6" w:space="0" w:color="auto"/>
              <w:bottom w:val="single" w:sz="6" w:space="0" w:color="auto"/>
              <w:right w:val="single" w:sz="6" w:space="0" w:color="auto"/>
            </w:tcBorders>
            <w:hideMark/>
          </w:tcPr>
          <w:p w14:paraId="013358D4"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29E35CC9"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126B6576"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0.21 </w:t>
            </w:r>
          </w:p>
        </w:tc>
        <w:tc>
          <w:tcPr>
            <w:tcW w:w="168" w:type="pct"/>
            <w:tcBorders>
              <w:top w:val="single" w:sz="6" w:space="0" w:color="auto"/>
              <w:left w:val="single" w:sz="6" w:space="0" w:color="auto"/>
              <w:bottom w:val="single" w:sz="6" w:space="0" w:color="auto"/>
              <w:right w:val="single" w:sz="6" w:space="0" w:color="auto"/>
            </w:tcBorders>
            <w:hideMark/>
          </w:tcPr>
          <w:p w14:paraId="3D202810"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0.18 </w:t>
            </w:r>
          </w:p>
        </w:tc>
        <w:tc>
          <w:tcPr>
            <w:tcW w:w="168" w:type="pct"/>
            <w:tcBorders>
              <w:top w:val="single" w:sz="6" w:space="0" w:color="auto"/>
              <w:left w:val="single" w:sz="6" w:space="0" w:color="auto"/>
              <w:bottom w:val="single" w:sz="6" w:space="0" w:color="auto"/>
              <w:right w:val="single" w:sz="6" w:space="0" w:color="auto"/>
            </w:tcBorders>
            <w:hideMark/>
          </w:tcPr>
          <w:p w14:paraId="15ADB4E3"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440113C6"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78606C51"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0.12 </w:t>
            </w:r>
          </w:p>
        </w:tc>
        <w:tc>
          <w:tcPr>
            <w:tcW w:w="8" w:type="pct"/>
            <w:vAlign w:val="center"/>
            <w:hideMark/>
          </w:tcPr>
          <w:p w14:paraId="26285404" w14:textId="77777777" w:rsidR="00DB1AEE" w:rsidRPr="00DB1AEE" w:rsidRDefault="00DB1AEE" w:rsidP="00DB1AEE">
            <w:pPr>
              <w:widowControl w:val="0"/>
              <w:suppressAutoHyphens/>
              <w:autoSpaceDE w:val="0"/>
              <w:autoSpaceDN w:val="0"/>
              <w:jc w:val="left"/>
              <w:rPr>
                <w:bCs/>
                <w:iCs/>
                <w:sz w:val="20"/>
                <w:u w:val="single"/>
                <w:lang w:bidi="en-US"/>
              </w:rPr>
            </w:pPr>
          </w:p>
        </w:tc>
      </w:tr>
      <w:tr w:rsidR="00DB1AEE" w:rsidRPr="00DB1AEE" w14:paraId="5DCD7DF4" w14:textId="77777777" w:rsidTr="00FC1832">
        <w:trPr>
          <w:trHeight w:val="300"/>
        </w:trPr>
        <w:tc>
          <w:tcPr>
            <w:tcW w:w="716" w:type="pct"/>
            <w:tcBorders>
              <w:top w:val="single" w:sz="6" w:space="0" w:color="auto"/>
              <w:left w:val="single" w:sz="6" w:space="0" w:color="auto"/>
              <w:bottom w:val="single" w:sz="6" w:space="0" w:color="auto"/>
              <w:right w:val="single" w:sz="6" w:space="0" w:color="auto"/>
            </w:tcBorders>
            <w:hideMark/>
          </w:tcPr>
          <w:p w14:paraId="539E623B"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2.64 </w:t>
            </w:r>
          </w:p>
        </w:tc>
        <w:tc>
          <w:tcPr>
            <w:tcW w:w="916" w:type="pct"/>
            <w:tcBorders>
              <w:top w:val="single" w:sz="6" w:space="0" w:color="auto"/>
              <w:left w:val="single" w:sz="6" w:space="0" w:color="auto"/>
              <w:bottom w:val="single" w:sz="6" w:space="0" w:color="auto"/>
              <w:right w:val="single" w:sz="6" w:space="0" w:color="auto"/>
            </w:tcBorders>
            <w:hideMark/>
          </w:tcPr>
          <w:p w14:paraId="7E2B5276"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0.77 </w:t>
            </w:r>
          </w:p>
        </w:tc>
        <w:tc>
          <w:tcPr>
            <w:tcW w:w="168" w:type="pct"/>
            <w:tcBorders>
              <w:top w:val="single" w:sz="6" w:space="0" w:color="auto"/>
              <w:left w:val="single" w:sz="6" w:space="0" w:color="auto"/>
              <w:bottom w:val="single" w:sz="6" w:space="0" w:color="auto"/>
              <w:right w:val="single" w:sz="6" w:space="0" w:color="auto"/>
            </w:tcBorders>
            <w:hideMark/>
          </w:tcPr>
          <w:p w14:paraId="5F0781AF"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0.68 </w:t>
            </w:r>
          </w:p>
        </w:tc>
        <w:tc>
          <w:tcPr>
            <w:tcW w:w="168" w:type="pct"/>
            <w:tcBorders>
              <w:top w:val="single" w:sz="6" w:space="0" w:color="auto"/>
              <w:left w:val="single" w:sz="6" w:space="0" w:color="auto"/>
              <w:bottom w:val="single" w:sz="6" w:space="0" w:color="auto"/>
              <w:right w:val="single" w:sz="6" w:space="0" w:color="auto"/>
            </w:tcBorders>
            <w:hideMark/>
          </w:tcPr>
          <w:p w14:paraId="3E070A7D"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0.61 </w:t>
            </w:r>
          </w:p>
        </w:tc>
        <w:tc>
          <w:tcPr>
            <w:tcW w:w="168" w:type="pct"/>
            <w:tcBorders>
              <w:top w:val="single" w:sz="6" w:space="0" w:color="auto"/>
              <w:left w:val="single" w:sz="6" w:space="0" w:color="auto"/>
              <w:bottom w:val="single" w:sz="6" w:space="0" w:color="auto"/>
              <w:right w:val="single" w:sz="6" w:space="0" w:color="auto"/>
            </w:tcBorders>
            <w:hideMark/>
          </w:tcPr>
          <w:p w14:paraId="2F2A372D"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0.55 </w:t>
            </w:r>
          </w:p>
        </w:tc>
        <w:tc>
          <w:tcPr>
            <w:tcW w:w="168" w:type="pct"/>
            <w:tcBorders>
              <w:top w:val="single" w:sz="6" w:space="0" w:color="auto"/>
              <w:left w:val="single" w:sz="6" w:space="0" w:color="auto"/>
              <w:bottom w:val="single" w:sz="6" w:space="0" w:color="auto"/>
              <w:right w:val="single" w:sz="6" w:space="0" w:color="auto"/>
            </w:tcBorders>
            <w:hideMark/>
          </w:tcPr>
          <w:p w14:paraId="0193840E"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0.50 </w:t>
            </w:r>
          </w:p>
        </w:tc>
        <w:tc>
          <w:tcPr>
            <w:tcW w:w="168" w:type="pct"/>
            <w:tcBorders>
              <w:top w:val="single" w:sz="6" w:space="0" w:color="auto"/>
              <w:left w:val="single" w:sz="6" w:space="0" w:color="auto"/>
              <w:bottom w:val="single" w:sz="6" w:space="0" w:color="auto"/>
              <w:right w:val="single" w:sz="6" w:space="0" w:color="auto"/>
            </w:tcBorders>
            <w:hideMark/>
          </w:tcPr>
          <w:p w14:paraId="133DC43C"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0.46 </w:t>
            </w:r>
          </w:p>
        </w:tc>
        <w:tc>
          <w:tcPr>
            <w:tcW w:w="168" w:type="pct"/>
            <w:tcBorders>
              <w:top w:val="single" w:sz="6" w:space="0" w:color="auto"/>
              <w:left w:val="single" w:sz="6" w:space="0" w:color="auto"/>
              <w:bottom w:val="single" w:sz="6" w:space="0" w:color="auto"/>
              <w:right w:val="single" w:sz="6" w:space="0" w:color="auto"/>
            </w:tcBorders>
            <w:hideMark/>
          </w:tcPr>
          <w:p w14:paraId="439DFFA6"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0.43 </w:t>
            </w:r>
          </w:p>
        </w:tc>
        <w:tc>
          <w:tcPr>
            <w:tcW w:w="168" w:type="pct"/>
            <w:tcBorders>
              <w:top w:val="single" w:sz="6" w:space="0" w:color="auto"/>
              <w:left w:val="single" w:sz="6" w:space="0" w:color="auto"/>
              <w:bottom w:val="single" w:sz="6" w:space="0" w:color="auto"/>
              <w:right w:val="single" w:sz="6" w:space="0" w:color="auto"/>
            </w:tcBorders>
            <w:hideMark/>
          </w:tcPr>
          <w:p w14:paraId="1F655E15"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0.40 </w:t>
            </w:r>
          </w:p>
        </w:tc>
        <w:tc>
          <w:tcPr>
            <w:tcW w:w="168" w:type="pct"/>
            <w:tcBorders>
              <w:top w:val="single" w:sz="6" w:space="0" w:color="auto"/>
              <w:left w:val="single" w:sz="6" w:space="0" w:color="auto"/>
              <w:bottom w:val="single" w:sz="6" w:space="0" w:color="auto"/>
              <w:right w:val="single" w:sz="6" w:space="0" w:color="auto"/>
            </w:tcBorders>
            <w:hideMark/>
          </w:tcPr>
          <w:p w14:paraId="0ED71476"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0.37 </w:t>
            </w:r>
          </w:p>
        </w:tc>
        <w:tc>
          <w:tcPr>
            <w:tcW w:w="168" w:type="pct"/>
            <w:tcBorders>
              <w:top w:val="single" w:sz="6" w:space="0" w:color="auto"/>
              <w:left w:val="single" w:sz="6" w:space="0" w:color="auto"/>
              <w:bottom w:val="single" w:sz="6" w:space="0" w:color="auto"/>
              <w:right w:val="single" w:sz="6" w:space="0" w:color="auto"/>
            </w:tcBorders>
            <w:hideMark/>
          </w:tcPr>
          <w:p w14:paraId="6C38BB9F"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0.35 </w:t>
            </w:r>
          </w:p>
        </w:tc>
        <w:tc>
          <w:tcPr>
            <w:tcW w:w="168" w:type="pct"/>
            <w:tcBorders>
              <w:top w:val="single" w:sz="6" w:space="0" w:color="auto"/>
              <w:left w:val="single" w:sz="6" w:space="0" w:color="auto"/>
              <w:bottom w:val="single" w:sz="6" w:space="0" w:color="auto"/>
              <w:right w:val="single" w:sz="6" w:space="0" w:color="auto"/>
            </w:tcBorders>
            <w:hideMark/>
          </w:tcPr>
          <w:p w14:paraId="5782AAE9"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0.33 </w:t>
            </w:r>
          </w:p>
        </w:tc>
        <w:tc>
          <w:tcPr>
            <w:tcW w:w="168" w:type="pct"/>
            <w:tcBorders>
              <w:top w:val="single" w:sz="6" w:space="0" w:color="auto"/>
              <w:left w:val="single" w:sz="6" w:space="0" w:color="auto"/>
              <w:bottom w:val="single" w:sz="6" w:space="0" w:color="auto"/>
              <w:right w:val="single" w:sz="6" w:space="0" w:color="auto"/>
            </w:tcBorders>
            <w:hideMark/>
          </w:tcPr>
          <w:p w14:paraId="4AE39911"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0.31 </w:t>
            </w:r>
          </w:p>
        </w:tc>
        <w:tc>
          <w:tcPr>
            <w:tcW w:w="168" w:type="pct"/>
            <w:tcBorders>
              <w:top w:val="single" w:sz="6" w:space="0" w:color="auto"/>
              <w:left w:val="single" w:sz="6" w:space="0" w:color="auto"/>
              <w:bottom w:val="single" w:sz="6" w:space="0" w:color="auto"/>
              <w:right w:val="single" w:sz="6" w:space="0" w:color="auto"/>
            </w:tcBorders>
            <w:hideMark/>
          </w:tcPr>
          <w:p w14:paraId="1873F4A6"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337D451E"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0.28 </w:t>
            </w:r>
          </w:p>
        </w:tc>
        <w:tc>
          <w:tcPr>
            <w:tcW w:w="168" w:type="pct"/>
            <w:tcBorders>
              <w:top w:val="single" w:sz="6" w:space="0" w:color="auto"/>
              <w:left w:val="single" w:sz="6" w:space="0" w:color="auto"/>
              <w:bottom w:val="single" w:sz="6" w:space="0" w:color="auto"/>
              <w:right w:val="single" w:sz="6" w:space="0" w:color="auto"/>
            </w:tcBorders>
            <w:hideMark/>
          </w:tcPr>
          <w:p w14:paraId="67D16E4E"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6881A171"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501B5699"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0.21 </w:t>
            </w:r>
          </w:p>
        </w:tc>
        <w:tc>
          <w:tcPr>
            <w:tcW w:w="168" w:type="pct"/>
            <w:tcBorders>
              <w:top w:val="single" w:sz="6" w:space="0" w:color="auto"/>
              <w:left w:val="single" w:sz="6" w:space="0" w:color="auto"/>
              <w:bottom w:val="single" w:sz="6" w:space="0" w:color="auto"/>
              <w:right w:val="single" w:sz="6" w:space="0" w:color="auto"/>
            </w:tcBorders>
            <w:hideMark/>
          </w:tcPr>
          <w:p w14:paraId="43D610A9"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0.18 </w:t>
            </w:r>
          </w:p>
        </w:tc>
        <w:tc>
          <w:tcPr>
            <w:tcW w:w="168" w:type="pct"/>
            <w:tcBorders>
              <w:top w:val="single" w:sz="6" w:space="0" w:color="auto"/>
              <w:left w:val="single" w:sz="6" w:space="0" w:color="auto"/>
              <w:bottom w:val="single" w:sz="6" w:space="0" w:color="auto"/>
              <w:right w:val="single" w:sz="6" w:space="0" w:color="auto"/>
            </w:tcBorders>
            <w:hideMark/>
          </w:tcPr>
          <w:p w14:paraId="0649FE83"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5FB59645"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5452B520"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0.12 </w:t>
            </w:r>
          </w:p>
        </w:tc>
        <w:tc>
          <w:tcPr>
            <w:tcW w:w="8" w:type="pct"/>
            <w:vAlign w:val="center"/>
            <w:hideMark/>
          </w:tcPr>
          <w:p w14:paraId="03FB6139" w14:textId="77777777" w:rsidR="00DB1AEE" w:rsidRPr="00DB1AEE" w:rsidRDefault="00DB1AEE" w:rsidP="00DB1AEE">
            <w:pPr>
              <w:widowControl w:val="0"/>
              <w:suppressAutoHyphens/>
              <w:autoSpaceDE w:val="0"/>
              <w:autoSpaceDN w:val="0"/>
              <w:jc w:val="left"/>
              <w:rPr>
                <w:bCs/>
                <w:iCs/>
                <w:sz w:val="20"/>
                <w:u w:val="single"/>
                <w:lang w:bidi="en-US"/>
              </w:rPr>
            </w:pPr>
          </w:p>
        </w:tc>
      </w:tr>
      <w:tr w:rsidR="00DB1AEE" w:rsidRPr="00DB1AEE" w14:paraId="4A49817A" w14:textId="77777777" w:rsidTr="00FC1832">
        <w:trPr>
          <w:trHeight w:val="300"/>
        </w:trPr>
        <w:tc>
          <w:tcPr>
            <w:tcW w:w="716" w:type="pct"/>
            <w:tcBorders>
              <w:top w:val="single" w:sz="6" w:space="0" w:color="auto"/>
              <w:left w:val="single" w:sz="6" w:space="0" w:color="auto"/>
              <w:bottom w:val="single" w:sz="6" w:space="0" w:color="auto"/>
              <w:right w:val="single" w:sz="6" w:space="0" w:color="auto"/>
            </w:tcBorders>
            <w:hideMark/>
          </w:tcPr>
          <w:p w14:paraId="2F65E6F6"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3.35 </w:t>
            </w:r>
          </w:p>
        </w:tc>
        <w:tc>
          <w:tcPr>
            <w:tcW w:w="916" w:type="pct"/>
            <w:tcBorders>
              <w:top w:val="single" w:sz="6" w:space="0" w:color="auto"/>
              <w:left w:val="single" w:sz="6" w:space="0" w:color="auto"/>
              <w:bottom w:val="single" w:sz="6" w:space="0" w:color="auto"/>
              <w:right w:val="single" w:sz="6" w:space="0" w:color="auto"/>
            </w:tcBorders>
            <w:hideMark/>
          </w:tcPr>
          <w:p w14:paraId="735A45BA"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0.73 </w:t>
            </w:r>
          </w:p>
        </w:tc>
        <w:tc>
          <w:tcPr>
            <w:tcW w:w="168" w:type="pct"/>
            <w:tcBorders>
              <w:top w:val="single" w:sz="6" w:space="0" w:color="auto"/>
              <w:left w:val="single" w:sz="6" w:space="0" w:color="auto"/>
              <w:bottom w:val="single" w:sz="6" w:space="0" w:color="auto"/>
              <w:right w:val="single" w:sz="6" w:space="0" w:color="auto"/>
            </w:tcBorders>
            <w:hideMark/>
          </w:tcPr>
          <w:p w14:paraId="6931F305"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0.65 </w:t>
            </w:r>
          </w:p>
        </w:tc>
        <w:tc>
          <w:tcPr>
            <w:tcW w:w="168" w:type="pct"/>
            <w:tcBorders>
              <w:top w:val="single" w:sz="6" w:space="0" w:color="auto"/>
              <w:left w:val="single" w:sz="6" w:space="0" w:color="auto"/>
              <w:bottom w:val="single" w:sz="6" w:space="0" w:color="auto"/>
              <w:right w:val="single" w:sz="6" w:space="0" w:color="auto"/>
            </w:tcBorders>
            <w:hideMark/>
          </w:tcPr>
          <w:p w14:paraId="3C44E9CC"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0.58 </w:t>
            </w:r>
          </w:p>
        </w:tc>
        <w:tc>
          <w:tcPr>
            <w:tcW w:w="168" w:type="pct"/>
            <w:tcBorders>
              <w:top w:val="single" w:sz="6" w:space="0" w:color="auto"/>
              <w:left w:val="single" w:sz="6" w:space="0" w:color="auto"/>
              <w:bottom w:val="single" w:sz="6" w:space="0" w:color="auto"/>
              <w:right w:val="single" w:sz="6" w:space="0" w:color="auto"/>
            </w:tcBorders>
            <w:hideMark/>
          </w:tcPr>
          <w:p w14:paraId="3ACA0EED"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0.53 </w:t>
            </w:r>
          </w:p>
        </w:tc>
        <w:tc>
          <w:tcPr>
            <w:tcW w:w="168" w:type="pct"/>
            <w:tcBorders>
              <w:top w:val="single" w:sz="6" w:space="0" w:color="auto"/>
              <w:left w:val="single" w:sz="6" w:space="0" w:color="auto"/>
              <w:bottom w:val="single" w:sz="6" w:space="0" w:color="auto"/>
              <w:right w:val="single" w:sz="6" w:space="0" w:color="auto"/>
            </w:tcBorders>
            <w:hideMark/>
          </w:tcPr>
          <w:p w14:paraId="74AB6F70"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0.48 </w:t>
            </w:r>
          </w:p>
        </w:tc>
        <w:tc>
          <w:tcPr>
            <w:tcW w:w="168" w:type="pct"/>
            <w:tcBorders>
              <w:top w:val="single" w:sz="6" w:space="0" w:color="auto"/>
              <w:left w:val="single" w:sz="6" w:space="0" w:color="auto"/>
              <w:bottom w:val="single" w:sz="6" w:space="0" w:color="auto"/>
              <w:right w:val="single" w:sz="6" w:space="0" w:color="auto"/>
            </w:tcBorders>
            <w:hideMark/>
          </w:tcPr>
          <w:p w14:paraId="6FDF179E"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0.44 </w:t>
            </w:r>
          </w:p>
        </w:tc>
        <w:tc>
          <w:tcPr>
            <w:tcW w:w="168" w:type="pct"/>
            <w:tcBorders>
              <w:top w:val="single" w:sz="6" w:space="0" w:color="auto"/>
              <w:left w:val="single" w:sz="6" w:space="0" w:color="auto"/>
              <w:bottom w:val="single" w:sz="6" w:space="0" w:color="auto"/>
              <w:right w:val="single" w:sz="6" w:space="0" w:color="auto"/>
            </w:tcBorders>
            <w:hideMark/>
          </w:tcPr>
          <w:p w14:paraId="5C99F305"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0.41 </w:t>
            </w:r>
          </w:p>
        </w:tc>
        <w:tc>
          <w:tcPr>
            <w:tcW w:w="168" w:type="pct"/>
            <w:tcBorders>
              <w:top w:val="single" w:sz="6" w:space="0" w:color="auto"/>
              <w:left w:val="single" w:sz="6" w:space="0" w:color="auto"/>
              <w:bottom w:val="single" w:sz="6" w:space="0" w:color="auto"/>
              <w:right w:val="single" w:sz="6" w:space="0" w:color="auto"/>
            </w:tcBorders>
            <w:hideMark/>
          </w:tcPr>
          <w:p w14:paraId="190CF2F1"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0.38 </w:t>
            </w:r>
          </w:p>
        </w:tc>
        <w:tc>
          <w:tcPr>
            <w:tcW w:w="168" w:type="pct"/>
            <w:tcBorders>
              <w:top w:val="single" w:sz="6" w:space="0" w:color="auto"/>
              <w:left w:val="single" w:sz="6" w:space="0" w:color="auto"/>
              <w:bottom w:val="single" w:sz="6" w:space="0" w:color="auto"/>
              <w:right w:val="single" w:sz="6" w:space="0" w:color="auto"/>
            </w:tcBorders>
            <w:hideMark/>
          </w:tcPr>
          <w:p w14:paraId="20D0BF26"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0.36 </w:t>
            </w:r>
          </w:p>
        </w:tc>
        <w:tc>
          <w:tcPr>
            <w:tcW w:w="168" w:type="pct"/>
            <w:tcBorders>
              <w:top w:val="single" w:sz="6" w:space="0" w:color="auto"/>
              <w:left w:val="single" w:sz="6" w:space="0" w:color="auto"/>
              <w:bottom w:val="single" w:sz="6" w:space="0" w:color="auto"/>
              <w:right w:val="single" w:sz="6" w:space="0" w:color="auto"/>
            </w:tcBorders>
            <w:hideMark/>
          </w:tcPr>
          <w:p w14:paraId="0341E61B"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0.34 </w:t>
            </w:r>
          </w:p>
        </w:tc>
        <w:tc>
          <w:tcPr>
            <w:tcW w:w="168" w:type="pct"/>
            <w:tcBorders>
              <w:top w:val="single" w:sz="6" w:space="0" w:color="auto"/>
              <w:left w:val="single" w:sz="6" w:space="0" w:color="auto"/>
              <w:bottom w:val="single" w:sz="6" w:space="0" w:color="auto"/>
              <w:right w:val="single" w:sz="6" w:space="0" w:color="auto"/>
            </w:tcBorders>
            <w:hideMark/>
          </w:tcPr>
          <w:p w14:paraId="1225505C"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3C8895E4"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0.30 </w:t>
            </w:r>
          </w:p>
        </w:tc>
        <w:tc>
          <w:tcPr>
            <w:tcW w:w="168" w:type="pct"/>
            <w:tcBorders>
              <w:top w:val="single" w:sz="6" w:space="0" w:color="auto"/>
              <w:left w:val="single" w:sz="6" w:space="0" w:color="auto"/>
              <w:bottom w:val="single" w:sz="6" w:space="0" w:color="auto"/>
              <w:right w:val="single" w:sz="6" w:space="0" w:color="auto"/>
            </w:tcBorders>
            <w:hideMark/>
          </w:tcPr>
          <w:p w14:paraId="5EEB2CB5"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7F1F16A2"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66B440DB"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2C290314"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3C67D0DC"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0.20 </w:t>
            </w:r>
          </w:p>
        </w:tc>
        <w:tc>
          <w:tcPr>
            <w:tcW w:w="168" w:type="pct"/>
            <w:tcBorders>
              <w:top w:val="single" w:sz="6" w:space="0" w:color="auto"/>
              <w:left w:val="single" w:sz="6" w:space="0" w:color="auto"/>
              <w:bottom w:val="single" w:sz="6" w:space="0" w:color="auto"/>
              <w:right w:val="single" w:sz="6" w:space="0" w:color="auto"/>
            </w:tcBorders>
            <w:hideMark/>
          </w:tcPr>
          <w:p w14:paraId="75C46368"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0.17 </w:t>
            </w:r>
          </w:p>
        </w:tc>
        <w:tc>
          <w:tcPr>
            <w:tcW w:w="168" w:type="pct"/>
            <w:tcBorders>
              <w:top w:val="single" w:sz="6" w:space="0" w:color="auto"/>
              <w:left w:val="single" w:sz="6" w:space="0" w:color="auto"/>
              <w:bottom w:val="single" w:sz="6" w:space="0" w:color="auto"/>
              <w:right w:val="single" w:sz="6" w:space="0" w:color="auto"/>
            </w:tcBorders>
            <w:hideMark/>
          </w:tcPr>
          <w:p w14:paraId="0A2684AC"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02BC5F94"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0FAB60DF"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0.12 </w:t>
            </w:r>
          </w:p>
        </w:tc>
        <w:tc>
          <w:tcPr>
            <w:tcW w:w="8" w:type="pct"/>
            <w:vAlign w:val="center"/>
            <w:hideMark/>
          </w:tcPr>
          <w:p w14:paraId="3CB01605" w14:textId="77777777" w:rsidR="00DB1AEE" w:rsidRPr="00DB1AEE" w:rsidRDefault="00DB1AEE" w:rsidP="00DB1AEE">
            <w:pPr>
              <w:widowControl w:val="0"/>
              <w:suppressAutoHyphens/>
              <w:autoSpaceDE w:val="0"/>
              <w:autoSpaceDN w:val="0"/>
              <w:jc w:val="left"/>
              <w:rPr>
                <w:bCs/>
                <w:iCs/>
                <w:sz w:val="20"/>
                <w:u w:val="single"/>
                <w:lang w:bidi="en-US"/>
              </w:rPr>
            </w:pPr>
          </w:p>
        </w:tc>
      </w:tr>
      <w:tr w:rsidR="00DB1AEE" w:rsidRPr="00DB1AEE" w14:paraId="2AA6689F" w14:textId="77777777" w:rsidTr="00FC1832">
        <w:trPr>
          <w:trHeight w:val="300"/>
        </w:trPr>
        <w:tc>
          <w:tcPr>
            <w:tcW w:w="716" w:type="pct"/>
            <w:tcBorders>
              <w:top w:val="single" w:sz="6" w:space="0" w:color="auto"/>
              <w:left w:val="single" w:sz="6" w:space="0" w:color="auto"/>
              <w:bottom w:val="single" w:sz="6" w:space="0" w:color="auto"/>
              <w:right w:val="single" w:sz="6" w:space="0" w:color="auto"/>
            </w:tcBorders>
            <w:hideMark/>
          </w:tcPr>
          <w:p w14:paraId="00F8FFFD"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3.70 </w:t>
            </w:r>
          </w:p>
        </w:tc>
        <w:tc>
          <w:tcPr>
            <w:tcW w:w="916" w:type="pct"/>
            <w:tcBorders>
              <w:top w:val="single" w:sz="6" w:space="0" w:color="auto"/>
              <w:left w:val="single" w:sz="6" w:space="0" w:color="auto"/>
              <w:bottom w:val="single" w:sz="6" w:space="0" w:color="auto"/>
              <w:right w:val="single" w:sz="6" w:space="0" w:color="auto"/>
            </w:tcBorders>
            <w:hideMark/>
          </w:tcPr>
          <w:p w14:paraId="6B813824"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0.71 </w:t>
            </w:r>
          </w:p>
        </w:tc>
        <w:tc>
          <w:tcPr>
            <w:tcW w:w="168" w:type="pct"/>
            <w:tcBorders>
              <w:top w:val="single" w:sz="6" w:space="0" w:color="auto"/>
              <w:left w:val="single" w:sz="6" w:space="0" w:color="auto"/>
              <w:bottom w:val="single" w:sz="6" w:space="0" w:color="auto"/>
              <w:right w:val="single" w:sz="6" w:space="0" w:color="auto"/>
            </w:tcBorders>
            <w:hideMark/>
          </w:tcPr>
          <w:p w14:paraId="5753B5DD"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0.63 </w:t>
            </w:r>
          </w:p>
        </w:tc>
        <w:tc>
          <w:tcPr>
            <w:tcW w:w="168" w:type="pct"/>
            <w:tcBorders>
              <w:top w:val="single" w:sz="6" w:space="0" w:color="auto"/>
              <w:left w:val="single" w:sz="6" w:space="0" w:color="auto"/>
              <w:bottom w:val="single" w:sz="6" w:space="0" w:color="auto"/>
              <w:right w:val="single" w:sz="6" w:space="0" w:color="auto"/>
            </w:tcBorders>
            <w:hideMark/>
          </w:tcPr>
          <w:p w14:paraId="4174BD2C"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0.57 </w:t>
            </w:r>
          </w:p>
        </w:tc>
        <w:tc>
          <w:tcPr>
            <w:tcW w:w="168" w:type="pct"/>
            <w:tcBorders>
              <w:top w:val="single" w:sz="6" w:space="0" w:color="auto"/>
              <w:left w:val="single" w:sz="6" w:space="0" w:color="auto"/>
              <w:bottom w:val="single" w:sz="6" w:space="0" w:color="auto"/>
              <w:right w:val="single" w:sz="6" w:space="0" w:color="auto"/>
            </w:tcBorders>
            <w:hideMark/>
          </w:tcPr>
          <w:p w14:paraId="368A0B50"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0.52 </w:t>
            </w:r>
          </w:p>
        </w:tc>
        <w:tc>
          <w:tcPr>
            <w:tcW w:w="168" w:type="pct"/>
            <w:tcBorders>
              <w:top w:val="single" w:sz="6" w:space="0" w:color="auto"/>
              <w:left w:val="single" w:sz="6" w:space="0" w:color="auto"/>
              <w:bottom w:val="single" w:sz="6" w:space="0" w:color="auto"/>
              <w:right w:val="single" w:sz="6" w:space="0" w:color="auto"/>
            </w:tcBorders>
            <w:hideMark/>
          </w:tcPr>
          <w:p w14:paraId="68E0DD18"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0.48 </w:t>
            </w:r>
          </w:p>
        </w:tc>
        <w:tc>
          <w:tcPr>
            <w:tcW w:w="168" w:type="pct"/>
            <w:tcBorders>
              <w:top w:val="single" w:sz="6" w:space="0" w:color="auto"/>
              <w:left w:val="single" w:sz="6" w:space="0" w:color="auto"/>
              <w:bottom w:val="single" w:sz="6" w:space="0" w:color="auto"/>
              <w:right w:val="single" w:sz="6" w:space="0" w:color="auto"/>
            </w:tcBorders>
            <w:hideMark/>
          </w:tcPr>
          <w:p w14:paraId="158EC42D"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0.44 </w:t>
            </w:r>
          </w:p>
        </w:tc>
        <w:tc>
          <w:tcPr>
            <w:tcW w:w="168" w:type="pct"/>
            <w:tcBorders>
              <w:top w:val="single" w:sz="6" w:space="0" w:color="auto"/>
              <w:left w:val="single" w:sz="6" w:space="0" w:color="auto"/>
              <w:bottom w:val="single" w:sz="6" w:space="0" w:color="auto"/>
              <w:right w:val="single" w:sz="6" w:space="0" w:color="auto"/>
            </w:tcBorders>
            <w:hideMark/>
          </w:tcPr>
          <w:p w14:paraId="2108BFC0"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0.41 </w:t>
            </w:r>
          </w:p>
        </w:tc>
        <w:tc>
          <w:tcPr>
            <w:tcW w:w="168" w:type="pct"/>
            <w:tcBorders>
              <w:top w:val="single" w:sz="6" w:space="0" w:color="auto"/>
              <w:left w:val="single" w:sz="6" w:space="0" w:color="auto"/>
              <w:bottom w:val="single" w:sz="6" w:space="0" w:color="auto"/>
              <w:right w:val="single" w:sz="6" w:space="0" w:color="auto"/>
            </w:tcBorders>
            <w:hideMark/>
          </w:tcPr>
          <w:p w14:paraId="67B0F493"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0.38 </w:t>
            </w:r>
          </w:p>
        </w:tc>
        <w:tc>
          <w:tcPr>
            <w:tcW w:w="168" w:type="pct"/>
            <w:tcBorders>
              <w:top w:val="single" w:sz="6" w:space="0" w:color="auto"/>
              <w:left w:val="single" w:sz="6" w:space="0" w:color="auto"/>
              <w:bottom w:val="single" w:sz="6" w:space="0" w:color="auto"/>
              <w:right w:val="single" w:sz="6" w:space="0" w:color="auto"/>
            </w:tcBorders>
            <w:hideMark/>
          </w:tcPr>
          <w:p w14:paraId="0AA3A4B7"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0.36 </w:t>
            </w:r>
          </w:p>
        </w:tc>
        <w:tc>
          <w:tcPr>
            <w:tcW w:w="168" w:type="pct"/>
            <w:tcBorders>
              <w:top w:val="single" w:sz="6" w:space="0" w:color="auto"/>
              <w:left w:val="single" w:sz="6" w:space="0" w:color="auto"/>
              <w:bottom w:val="single" w:sz="6" w:space="0" w:color="auto"/>
              <w:right w:val="single" w:sz="6" w:space="0" w:color="auto"/>
            </w:tcBorders>
            <w:hideMark/>
          </w:tcPr>
          <w:p w14:paraId="42F2B6E1"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0.33 </w:t>
            </w:r>
          </w:p>
        </w:tc>
        <w:tc>
          <w:tcPr>
            <w:tcW w:w="168" w:type="pct"/>
            <w:tcBorders>
              <w:top w:val="single" w:sz="6" w:space="0" w:color="auto"/>
              <w:left w:val="single" w:sz="6" w:space="0" w:color="auto"/>
              <w:bottom w:val="single" w:sz="6" w:space="0" w:color="auto"/>
              <w:right w:val="single" w:sz="6" w:space="0" w:color="auto"/>
            </w:tcBorders>
            <w:hideMark/>
          </w:tcPr>
          <w:p w14:paraId="745EAAA1"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6EC4DAF8"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0.30 </w:t>
            </w:r>
          </w:p>
        </w:tc>
        <w:tc>
          <w:tcPr>
            <w:tcW w:w="168" w:type="pct"/>
            <w:tcBorders>
              <w:top w:val="single" w:sz="6" w:space="0" w:color="auto"/>
              <w:left w:val="single" w:sz="6" w:space="0" w:color="auto"/>
              <w:bottom w:val="single" w:sz="6" w:space="0" w:color="auto"/>
              <w:right w:val="single" w:sz="6" w:space="0" w:color="auto"/>
            </w:tcBorders>
            <w:hideMark/>
          </w:tcPr>
          <w:p w14:paraId="11115F4C"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0.28 </w:t>
            </w:r>
          </w:p>
        </w:tc>
        <w:tc>
          <w:tcPr>
            <w:tcW w:w="168" w:type="pct"/>
            <w:tcBorders>
              <w:top w:val="single" w:sz="6" w:space="0" w:color="auto"/>
              <w:left w:val="single" w:sz="6" w:space="0" w:color="auto"/>
              <w:bottom w:val="single" w:sz="6" w:space="0" w:color="auto"/>
              <w:right w:val="single" w:sz="6" w:space="0" w:color="auto"/>
            </w:tcBorders>
            <w:hideMark/>
          </w:tcPr>
          <w:p w14:paraId="62819C2E"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21518C0C"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50765B16"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679133B5"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0.20 </w:t>
            </w:r>
          </w:p>
        </w:tc>
        <w:tc>
          <w:tcPr>
            <w:tcW w:w="168" w:type="pct"/>
            <w:tcBorders>
              <w:top w:val="single" w:sz="6" w:space="0" w:color="auto"/>
              <w:left w:val="single" w:sz="6" w:space="0" w:color="auto"/>
              <w:bottom w:val="single" w:sz="6" w:space="0" w:color="auto"/>
              <w:right w:val="single" w:sz="6" w:space="0" w:color="auto"/>
            </w:tcBorders>
            <w:hideMark/>
          </w:tcPr>
          <w:p w14:paraId="487982FE"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0.17 </w:t>
            </w:r>
          </w:p>
        </w:tc>
        <w:tc>
          <w:tcPr>
            <w:tcW w:w="168" w:type="pct"/>
            <w:tcBorders>
              <w:top w:val="single" w:sz="6" w:space="0" w:color="auto"/>
              <w:left w:val="single" w:sz="6" w:space="0" w:color="auto"/>
              <w:bottom w:val="single" w:sz="6" w:space="0" w:color="auto"/>
              <w:right w:val="single" w:sz="6" w:space="0" w:color="auto"/>
            </w:tcBorders>
            <w:hideMark/>
          </w:tcPr>
          <w:p w14:paraId="78A314C0"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235FF8B9"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33D58522"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0.12 </w:t>
            </w:r>
          </w:p>
        </w:tc>
        <w:tc>
          <w:tcPr>
            <w:tcW w:w="8" w:type="pct"/>
            <w:vAlign w:val="center"/>
            <w:hideMark/>
          </w:tcPr>
          <w:p w14:paraId="21613E79" w14:textId="77777777" w:rsidR="00DB1AEE" w:rsidRPr="00DB1AEE" w:rsidRDefault="00DB1AEE" w:rsidP="00DB1AEE">
            <w:pPr>
              <w:widowControl w:val="0"/>
              <w:suppressAutoHyphens/>
              <w:autoSpaceDE w:val="0"/>
              <w:autoSpaceDN w:val="0"/>
              <w:jc w:val="left"/>
              <w:rPr>
                <w:bCs/>
                <w:iCs/>
                <w:sz w:val="20"/>
                <w:u w:val="single"/>
                <w:lang w:bidi="en-US"/>
              </w:rPr>
            </w:pPr>
          </w:p>
        </w:tc>
      </w:tr>
      <w:tr w:rsidR="00DB1AEE" w:rsidRPr="00DB1AEE" w14:paraId="297ACE2C" w14:textId="77777777" w:rsidTr="00FC1832">
        <w:trPr>
          <w:trHeight w:val="300"/>
        </w:trPr>
        <w:tc>
          <w:tcPr>
            <w:tcW w:w="716" w:type="pct"/>
            <w:tcBorders>
              <w:top w:val="single" w:sz="6" w:space="0" w:color="auto"/>
              <w:left w:val="single" w:sz="6" w:space="0" w:color="auto"/>
              <w:bottom w:val="single" w:sz="6" w:space="0" w:color="auto"/>
              <w:right w:val="single" w:sz="6" w:space="0" w:color="auto"/>
            </w:tcBorders>
            <w:hideMark/>
          </w:tcPr>
          <w:p w14:paraId="4D086C3C"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4.40 </w:t>
            </w:r>
          </w:p>
        </w:tc>
        <w:tc>
          <w:tcPr>
            <w:tcW w:w="916" w:type="pct"/>
            <w:tcBorders>
              <w:top w:val="single" w:sz="6" w:space="0" w:color="auto"/>
              <w:left w:val="single" w:sz="6" w:space="0" w:color="auto"/>
              <w:bottom w:val="single" w:sz="6" w:space="0" w:color="auto"/>
              <w:right w:val="single" w:sz="6" w:space="0" w:color="auto"/>
            </w:tcBorders>
            <w:hideMark/>
          </w:tcPr>
          <w:p w14:paraId="572D16C8"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0.69 </w:t>
            </w:r>
          </w:p>
        </w:tc>
        <w:tc>
          <w:tcPr>
            <w:tcW w:w="168" w:type="pct"/>
            <w:tcBorders>
              <w:top w:val="single" w:sz="6" w:space="0" w:color="auto"/>
              <w:left w:val="single" w:sz="6" w:space="0" w:color="auto"/>
              <w:bottom w:val="single" w:sz="6" w:space="0" w:color="auto"/>
              <w:right w:val="single" w:sz="6" w:space="0" w:color="auto"/>
            </w:tcBorders>
            <w:hideMark/>
          </w:tcPr>
          <w:p w14:paraId="77CFE074"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0.62 </w:t>
            </w:r>
          </w:p>
        </w:tc>
        <w:tc>
          <w:tcPr>
            <w:tcW w:w="168" w:type="pct"/>
            <w:tcBorders>
              <w:top w:val="single" w:sz="6" w:space="0" w:color="auto"/>
              <w:left w:val="single" w:sz="6" w:space="0" w:color="auto"/>
              <w:bottom w:val="single" w:sz="6" w:space="0" w:color="auto"/>
              <w:right w:val="single" w:sz="6" w:space="0" w:color="auto"/>
            </w:tcBorders>
            <w:hideMark/>
          </w:tcPr>
          <w:p w14:paraId="7CE2AE42"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0.56 </w:t>
            </w:r>
          </w:p>
        </w:tc>
        <w:tc>
          <w:tcPr>
            <w:tcW w:w="168" w:type="pct"/>
            <w:tcBorders>
              <w:top w:val="single" w:sz="6" w:space="0" w:color="auto"/>
              <w:left w:val="single" w:sz="6" w:space="0" w:color="auto"/>
              <w:bottom w:val="single" w:sz="6" w:space="0" w:color="auto"/>
              <w:right w:val="single" w:sz="6" w:space="0" w:color="auto"/>
            </w:tcBorders>
            <w:hideMark/>
          </w:tcPr>
          <w:p w14:paraId="1F441E61"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0.51 </w:t>
            </w:r>
          </w:p>
        </w:tc>
        <w:tc>
          <w:tcPr>
            <w:tcW w:w="168" w:type="pct"/>
            <w:tcBorders>
              <w:top w:val="single" w:sz="6" w:space="0" w:color="auto"/>
              <w:left w:val="single" w:sz="6" w:space="0" w:color="auto"/>
              <w:bottom w:val="single" w:sz="6" w:space="0" w:color="auto"/>
              <w:right w:val="single" w:sz="6" w:space="0" w:color="auto"/>
            </w:tcBorders>
            <w:hideMark/>
          </w:tcPr>
          <w:p w14:paraId="134E2138"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0.46 </w:t>
            </w:r>
          </w:p>
        </w:tc>
        <w:tc>
          <w:tcPr>
            <w:tcW w:w="168" w:type="pct"/>
            <w:tcBorders>
              <w:top w:val="single" w:sz="6" w:space="0" w:color="auto"/>
              <w:left w:val="single" w:sz="6" w:space="0" w:color="auto"/>
              <w:bottom w:val="single" w:sz="6" w:space="0" w:color="auto"/>
              <w:right w:val="single" w:sz="6" w:space="0" w:color="auto"/>
            </w:tcBorders>
            <w:hideMark/>
          </w:tcPr>
          <w:p w14:paraId="375D1ABD"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0.43 </w:t>
            </w:r>
          </w:p>
        </w:tc>
        <w:tc>
          <w:tcPr>
            <w:tcW w:w="168" w:type="pct"/>
            <w:tcBorders>
              <w:top w:val="single" w:sz="6" w:space="0" w:color="auto"/>
              <w:left w:val="single" w:sz="6" w:space="0" w:color="auto"/>
              <w:bottom w:val="single" w:sz="6" w:space="0" w:color="auto"/>
              <w:right w:val="single" w:sz="6" w:space="0" w:color="auto"/>
            </w:tcBorders>
            <w:hideMark/>
          </w:tcPr>
          <w:p w14:paraId="09D7A3BF"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0.40 </w:t>
            </w:r>
          </w:p>
        </w:tc>
        <w:tc>
          <w:tcPr>
            <w:tcW w:w="168" w:type="pct"/>
            <w:tcBorders>
              <w:top w:val="single" w:sz="6" w:space="0" w:color="auto"/>
              <w:left w:val="single" w:sz="6" w:space="0" w:color="auto"/>
              <w:bottom w:val="single" w:sz="6" w:space="0" w:color="auto"/>
              <w:right w:val="single" w:sz="6" w:space="0" w:color="auto"/>
            </w:tcBorders>
            <w:hideMark/>
          </w:tcPr>
          <w:p w14:paraId="30B19D1F"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0.37 </w:t>
            </w:r>
          </w:p>
        </w:tc>
        <w:tc>
          <w:tcPr>
            <w:tcW w:w="168" w:type="pct"/>
            <w:tcBorders>
              <w:top w:val="single" w:sz="6" w:space="0" w:color="auto"/>
              <w:left w:val="single" w:sz="6" w:space="0" w:color="auto"/>
              <w:bottom w:val="single" w:sz="6" w:space="0" w:color="auto"/>
              <w:right w:val="single" w:sz="6" w:space="0" w:color="auto"/>
            </w:tcBorders>
            <w:hideMark/>
          </w:tcPr>
          <w:p w14:paraId="28E573B9"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0.35 </w:t>
            </w:r>
          </w:p>
        </w:tc>
        <w:tc>
          <w:tcPr>
            <w:tcW w:w="168" w:type="pct"/>
            <w:tcBorders>
              <w:top w:val="single" w:sz="6" w:space="0" w:color="auto"/>
              <w:left w:val="single" w:sz="6" w:space="0" w:color="auto"/>
              <w:bottom w:val="single" w:sz="6" w:space="0" w:color="auto"/>
              <w:right w:val="single" w:sz="6" w:space="0" w:color="auto"/>
            </w:tcBorders>
            <w:hideMark/>
          </w:tcPr>
          <w:p w14:paraId="0595424C"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0.33 </w:t>
            </w:r>
          </w:p>
        </w:tc>
        <w:tc>
          <w:tcPr>
            <w:tcW w:w="168" w:type="pct"/>
            <w:tcBorders>
              <w:top w:val="single" w:sz="6" w:space="0" w:color="auto"/>
              <w:left w:val="single" w:sz="6" w:space="0" w:color="auto"/>
              <w:bottom w:val="single" w:sz="6" w:space="0" w:color="auto"/>
              <w:right w:val="single" w:sz="6" w:space="0" w:color="auto"/>
            </w:tcBorders>
            <w:hideMark/>
          </w:tcPr>
          <w:p w14:paraId="4A1D1907"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0.31 </w:t>
            </w:r>
          </w:p>
        </w:tc>
        <w:tc>
          <w:tcPr>
            <w:tcW w:w="168" w:type="pct"/>
            <w:tcBorders>
              <w:top w:val="single" w:sz="6" w:space="0" w:color="auto"/>
              <w:left w:val="single" w:sz="6" w:space="0" w:color="auto"/>
              <w:bottom w:val="single" w:sz="6" w:space="0" w:color="auto"/>
              <w:right w:val="single" w:sz="6" w:space="0" w:color="auto"/>
            </w:tcBorders>
            <w:hideMark/>
          </w:tcPr>
          <w:p w14:paraId="5955FCF4"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0.30 </w:t>
            </w:r>
          </w:p>
        </w:tc>
        <w:tc>
          <w:tcPr>
            <w:tcW w:w="168" w:type="pct"/>
            <w:tcBorders>
              <w:top w:val="single" w:sz="6" w:space="0" w:color="auto"/>
              <w:left w:val="single" w:sz="6" w:space="0" w:color="auto"/>
              <w:bottom w:val="single" w:sz="6" w:space="0" w:color="auto"/>
              <w:right w:val="single" w:sz="6" w:space="0" w:color="auto"/>
            </w:tcBorders>
            <w:hideMark/>
          </w:tcPr>
          <w:p w14:paraId="52D60D8F"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0.28 </w:t>
            </w:r>
          </w:p>
        </w:tc>
        <w:tc>
          <w:tcPr>
            <w:tcW w:w="168" w:type="pct"/>
            <w:tcBorders>
              <w:top w:val="single" w:sz="6" w:space="0" w:color="auto"/>
              <w:left w:val="single" w:sz="6" w:space="0" w:color="auto"/>
              <w:bottom w:val="single" w:sz="6" w:space="0" w:color="auto"/>
              <w:right w:val="single" w:sz="6" w:space="0" w:color="auto"/>
            </w:tcBorders>
            <w:hideMark/>
          </w:tcPr>
          <w:p w14:paraId="78D2F685"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504848C6"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001CA289"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0.24 </w:t>
            </w:r>
          </w:p>
        </w:tc>
        <w:tc>
          <w:tcPr>
            <w:tcW w:w="168" w:type="pct"/>
            <w:tcBorders>
              <w:top w:val="single" w:sz="6" w:space="0" w:color="auto"/>
              <w:left w:val="single" w:sz="6" w:space="0" w:color="auto"/>
              <w:bottom w:val="single" w:sz="6" w:space="0" w:color="auto"/>
              <w:right w:val="single" w:sz="6" w:space="0" w:color="auto"/>
            </w:tcBorders>
            <w:hideMark/>
          </w:tcPr>
          <w:p w14:paraId="659403A3"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0.20 </w:t>
            </w:r>
          </w:p>
        </w:tc>
        <w:tc>
          <w:tcPr>
            <w:tcW w:w="168" w:type="pct"/>
            <w:tcBorders>
              <w:top w:val="single" w:sz="6" w:space="0" w:color="auto"/>
              <w:left w:val="single" w:sz="6" w:space="0" w:color="auto"/>
              <w:bottom w:val="single" w:sz="6" w:space="0" w:color="auto"/>
              <w:right w:val="single" w:sz="6" w:space="0" w:color="auto"/>
            </w:tcBorders>
            <w:hideMark/>
          </w:tcPr>
          <w:p w14:paraId="7A5C61F3"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0.17 </w:t>
            </w:r>
          </w:p>
        </w:tc>
        <w:tc>
          <w:tcPr>
            <w:tcW w:w="168" w:type="pct"/>
            <w:tcBorders>
              <w:top w:val="single" w:sz="6" w:space="0" w:color="auto"/>
              <w:left w:val="single" w:sz="6" w:space="0" w:color="auto"/>
              <w:bottom w:val="single" w:sz="6" w:space="0" w:color="auto"/>
              <w:right w:val="single" w:sz="6" w:space="0" w:color="auto"/>
            </w:tcBorders>
            <w:hideMark/>
          </w:tcPr>
          <w:p w14:paraId="4526986B"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74B2257F"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7155772A"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0.12 </w:t>
            </w:r>
          </w:p>
        </w:tc>
        <w:tc>
          <w:tcPr>
            <w:tcW w:w="8" w:type="pct"/>
            <w:vAlign w:val="center"/>
            <w:hideMark/>
          </w:tcPr>
          <w:p w14:paraId="76C9742D" w14:textId="77777777" w:rsidR="00DB1AEE" w:rsidRPr="00DB1AEE" w:rsidRDefault="00DB1AEE" w:rsidP="00DB1AEE">
            <w:pPr>
              <w:widowControl w:val="0"/>
              <w:suppressAutoHyphens/>
              <w:autoSpaceDE w:val="0"/>
              <w:autoSpaceDN w:val="0"/>
              <w:jc w:val="left"/>
              <w:rPr>
                <w:bCs/>
                <w:iCs/>
                <w:sz w:val="20"/>
                <w:u w:val="single"/>
                <w:lang w:bidi="en-US"/>
              </w:rPr>
            </w:pPr>
          </w:p>
        </w:tc>
      </w:tr>
      <w:tr w:rsidR="00DB1AEE" w:rsidRPr="00DB1AEE" w14:paraId="48A24A5D" w14:textId="77777777" w:rsidTr="00FC1832">
        <w:trPr>
          <w:trHeight w:val="330"/>
        </w:trPr>
        <w:tc>
          <w:tcPr>
            <w:tcW w:w="716" w:type="pct"/>
            <w:tcBorders>
              <w:top w:val="single" w:sz="6" w:space="0" w:color="auto"/>
              <w:left w:val="single" w:sz="6" w:space="0" w:color="auto"/>
              <w:bottom w:val="single" w:sz="6" w:space="0" w:color="auto"/>
              <w:right w:val="single" w:sz="6" w:space="0" w:color="auto"/>
            </w:tcBorders>
            <w:hideMark/>
          </w:tcPr>
          <w:p w14:paraId="67443025"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5.28 </w:t>
            </w:r>
          </w:p>
        </w:tc>
        <w:tc>
          <w:tcPr>
            <w:tcW w:w="916" w:type="pct"/>
            <w:tcBorders>
              <w:top w:val="single" w:sz="6" w:space="0" w:color="auto"/>
              <w:left w:val="single" w:sz="6" w:space="0" w:color="auto"/>
              <w:bottom w:val="single" w:sz="6" w:space="0" w:color="auto"/>
              <w:right w:val="single" w:sz="6" w:space="0" w:color="auto"/>
            </w:tcBorders>
            <w:hideMark/>
          </w:tcPr>
          <w:p w14:paraId="3DF7E431"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0.67 </w:t>
            </w:r>
          </w:p>
        </w:tc>
        <w:tc>
          <w:tcPr>
            <w:tcW w:w="168" w:type="pct"/>
            <w:tcBorders>
              <w:top w:val="single" w:sz="6" w:space="0" w:color="auto"/>
              <w:left w:val="single" w:sz="6" w:space="0" w:color="auto"/>
              <w:bottom w:val="single" w:sz="6" w:space="0" w:color="auto"/>
              <w:right w:val="single" w:sz="6" w:space="0" w:color="auto"/>
            </w:tcBorders>
            <w:hideMark/>
          </w:tcPr>
          <w:p w14:paraId="69FA0317"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0.60 </w:t>
            </w:r>
          </w:p>
        </w:tc>
        <w:tc>
          <w:tcPr>
            <w:tcW w:w="168" w:type="pct"/>
            <w:tcBorders>
              <w:top w:val="single" w:sz="6" w:space="0" w:color="auto"/>
              <w:left w:val="single" w:sz="6" w:space="0" w:color="auto"/>
              <w:bottom w:val="single" w:sz="6" w:space="0" w:color="auto"/>
              <w:right w:val="single" w:sz="6" w:space="0" w:color="auto"/>
            </w:tcBorders>
            <w:hideMark/>
          </w:tcPr>
          <w:p w14:paraId="37557AA6"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0.54 </w:t>
            </w:r>
          </w:p>
        </w:tc>
        <w:tc>
          <w:tcPr>
            <w:tcW w:w="168" w:type="pct"/>
            <w:tcBorders>
              <w:top w:val="single" w:sz="6" w:space="0" w:color="auto"/>
              <w:left w:val="single" w:sz="6" w:space="0" w:color="auto"/>
              <w:bottom w:val="single" w:sz="6" w:space="0" w:color="auto"/>
              <w:right w:val="single" w:sz="6" w:space="0" w:color="auto"/>
            </w:tcBorders>
            <w:hideMark/>
          </w:tcPr>
          <w:p w14:paraId="654EFE5B"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0.49 </w:t>
            </w:r>
          </w:p>
        </w:tc>
        <w:tc>
          <w:tcPr>
            <w:tcW w:w="168" w:type="pct"/>
            <w:tcBorders>
              <w:top w:val="single" w:sz="6" w:space="0" w:color="auto"/>
              <w:left w:val="single" w:sz="6" w:space="0" w:color="auto"/>
              <w:bottom w:val="single" w:sz="6" w:space="0" w:color="auto"/>
              <w:right w:val="single" w:sz="6" w:space="0" w:color="auto"/>
            </w:tcBorders>
            <w:hideMark/>
          </w:tcPr>
          <w:p w14:paraId="2280D0E9"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0.45 </w:t>
            </w:r>
          </w:p>
        </w:tc>
        <w:tc>
          <w:tcPr>
            <w:tcW w:w="168" w:type="pct"/>
            <w:tcBorders>
              <w:top w:val="single" w:sz="6" w:space="0" w:color="auto"/>
              <w:left w:val="single" w:sz="6" w:space="0" w:color="auto"/>
              <w:bottom w:val="single" w:sz="6" w:space="0" w:color="auto"/>
              <w:right w:val="single" w:sz="6" w:space="0" w:color="auto"/>
            </w:tcBorders>
            <w:hideMark/>
          </w:tcPr>
          <w:p w14:paraId="42DB4B0B"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0.42 </w:t>
            </w:r>
          </w:p>
        </w:tc>
        <w:tc>
          <w:tcPr>
            <w:tcW w:w="168" w:type="pct"/>
            <w:tcBorders>
              <w:top w:val="single" w:sz="6" w:space="0" w:color="auto"/>
              <w:left w:val="single" w:sz="6" w:space="0" w:color="auto"/>
              <w:bottom w:val="single" w:sz="6" w:space="0" w:color="auto"/>
              <w:right w:val="single" w:sz="6" w:space="0" w:color="auto"/>
            </w:tcBorders>
            <w:hideMark/>
          </w:tcPr>
          <w:p w14:paraId="71DABB03"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0.39 </w:t>
            </w:r>
          </w:p>
        </w:tc>
        <w:tc>
          <w:tcPr>
            <w:tcW w:w="168" w:type="pct"/>
            <w:tcBorders>
              <w:top w:val="single" w:sz="6" w:space="0" w:color="auto"/>
              <w:left w:val="single" w:sz="6" w:space="0" w:color="auto"/>
              <w:bottom w:val="single" w:sz="6" w:space="0" w:color="auto"/>
              <w:right w:val="single" w:sz="6" w:space="0" w:color="auto"/>
            </w:tcBorders>
            <w:hideMark/>
          </w:tcPr>
          <w:p w14:paraId="6F455002"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0.37 </w:t>
            </w:r>
          </w:p>
        </w:tc>
        <w:tc>
          <w:tcPr>
            <w:tcW w:w="168" w:type="pct"/>
            <w:tcBorders>
              <w:top w:val="single" w:sz="6" w:space="0" w:color="auto"/>
              <w:left w:val="single" w:sz="6" w:space="0" w:color="auto"/>
              <w:bottom w:val="single" w:sz="6" w:space="0" w:color="auto"/>
              <w:right w:val="single" w:sz="6" w:space="0" w:color="auto"/>
            </w:tcBorders>
            <w:hideMark/>
          </w:tcPr>
          <w:p w14:paraId="511B488C"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0.34 </w:t>
            </w:r>
          </w:p>
        </w:tc>
        <w:tc>
          <w:tcPr>
            <w:tcW w:w="168" w:type="pct"/>
            <w:tcBorders>
              <w:top w:val="single" w:sz="6" w:space="0" w:color="auto"/>
              <w:left w:val="single" w:sz="6" w:space="0" w:color="auto"/>
              <w:bottom w:val="single" w:sz="6" w:space="0" w:color="auto"/>
              <w:right w:val="single" w:sz="6" w:space="0" w:color="auto"/>
            </w:tcBorders>
            <w:hideMark/>
          </w:tcPr>
          <w:p w14:paraId="1EBB0B63"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08B0975B"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0.31 </w:t>
            </w:r>
          </w:p>
        </w:tc>
        <w:tc>
          <w:tcPr>
            <w:tcW w:w="168" w:type="pct"/>
            <w:tcBorders>
              <w:top w:val="single" w:sz="6" w:space="0" w:color="auto"/>
              <w:left w:val="single" w:sz="6" w:space="0" w:color="auto"/>
              <w:bottom w:val="single" w:sz="6" w:space="0" w:color="auto"/>
              <w:right w:val="single" w:sz="6" w:space="0" w:color="auto"/>
            </w:tcBorders>
            <w:hideMark/>
          </w:tcPr>
          <w:p w14:paraId="79AB2EFC"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37366AD7"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0.28 </w:t>
            </w:r>
          </w:p>
        </w:tc>
        <w:tc>
          <w:tcPr>
            <w:tcW w:w="168" w:type="pct"/>
            <w:tcBorders>
              <w:top w:val="single" w:sz="6" w:space="0" w:color="auto"/>
              <w:left w:val="single" w:sz="6" w:space="0" w:color="auto"/>
              <w:bottom w:val="single" w:sz="6" w:space="0" w:color="auto"/>
              <w:right w:val="single" w:sz="6" w:space="0" w:color="auto"/>
            </w:tcBorders>
            <w:hideMark/>
          </w:tcPr>
          <w:p w14:paraId="3DAD8628"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45009462"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42494400"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0.24 </w:t>
            </w:r>
          </w:p>
        </w:tc>
        <w:tc>
          <w:tcPr>
            <w:tcW w:w="168" w:type="pct"/>
            <w:tcBorders>
              <w:top w:val="single" w:sz="6" w:space="0" w:color="auto"/>
              <w:left w:val="single" w:sz="6" w:space="0" w:color="auto"/>
              <w:bottom w:val="single" w:sz="6" w:space="0" w:color="auto"/>
              <w:right w:val="single" w:sz="6" w:space="0" w:color="auto"/>
            </w:tcBorders>
            <w:hideMark/>
          </w:tcPr>
          <w:p w14:paraId="0FC28A05"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0.20 </w:t>
            </w:r>
          </w:p>
        </w:tc>
        <w:tc>
          <w:tcPr>
            <w:tcW w:w="168" w:type="pct"/>
            <w:tcBorders>
              <w:top w:val="single" w:sz="6" w:space="0" w:color="auto"/>
              <w:left w:val="single" w:sz="6" w:space="0" w:color="auto"/>
              <w:bottom w:val="single" w:sz="6" w:space="0" w:color="auto"/>
              <w:right w:val="single" w:sz="6" w:space="0" w:color="auto"/>
            </w:tcBorders>
            <w:hideMark/>
          </w:tcPr>
          <w:p w14:paraId="3535A960"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0.17 </w:t>
            </w:r>
          </w:p>
        </w:tc>
        <w:tc>
          <w:tcPr>
            <w:tcW w:w="168" w:type="pct"/>
            <w:tcBorders>
              <w:top w:val="single" w:sz="6" w:space="0" w:color="auto"/>
              <w:left w:val="single" w:sz="6" w:space="0" w:color="auto"/>
              <w:bottom w:val="single" w:sz="6" w:space="0" w:color="auto"/>
              <w:right w:val="single" w:sz="6" w:space="0" w:color="auto"/>
            </w:tcBorders>
            <w:hideMark/>
          </w:tcPr>
          <w:p w14:paraId="66AF8D42"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77CAFE75"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4190B468"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0.12 </w:t>
            </w:r>
          </w:p>
        </w:tc>
        <w:tc>
          <w:tcPr>
            <w:tcW w:w="8" w:type="pct"/>
            <w:vAlign w:val="center"/>
            <w:hideMark/>
          </w:tcPr>
          <w:p w14:paraId="6765D4D1" w14:textId="77777777" w:rsidR="00DB1AEE" w:rsidRPr="00DB1AEE" w:rsidRDefault="00DB1AEE" w:rsidP="00DB1AEE">
            <w:pPr>
              <w:widowControl w:val="0"/>
              <w:suppressAutoHyphens/>
              <w:autoSpaceDE w:val="0"/>
              <w:autoSpaceDN w:val="0"/>
              <w:jc w:val="left"/>
              <w:rPr>
                <w:bCs/>
                <w:iCs/>
                <w:sz w:val="20"/>
                <w:u w:val="single"/>
                <w:lang w:bidi="en-US"/>
              </w:rPr>
            </w:pPr>
          </w:p>
        </w:tc>
      </w:tr>
      <w:tr w:rsidR="00DB1AEE" w:rsidRPr="00DB1AEE" w14:paraId="7D5098F2" w14:textId="77777777" w:rsidTr="00FC1832">
        <w:trPr>
          <w:trHeight w:val="270"/>
        </w:trPr>
        <w:tc>
          <w:tcPr>
            <w:tcW w:w="5000" w:type="pct"/>
            <w:gridSpan w:val="23"/>
            <w:tcBorders>
              <w:top w:val="single" w:sz="6" w:space="0" w:color="auto"/>
              <w:left w:val="single" w:sz="6" w:space="0" w:color="auto"/>
              <w:bottom w:val="single" w:sz="6" w:space="0" w:color="auto"/>
              <w:right w:val="single" w:sz="6" w:space="0" w:color="auto"/>
            </w:tcBorders>
            <w:hideMark/>
          </w:tcPr>
          <w:p w14:paraId="150BB5F8"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Steel Framing at 600 mm on Center (18% Framing Factor)—includes framing for tracks, blocking, headers, and jamb and king studs </w:t>
            </w:r>
          </w:p>
        </w:tc>
      </w:tr>
      <w:tr w:rsidR="00DB1AEE" w:rsidRPr="00DB1AEE" w14:paraId="4FFA596E" w14:textId="77777777" w:rsidTr="00FC1832">
        <w:trPr>
          <w:trHeight w:val="246"/>
        </w:trPr>
        <w:tc>
          <w:tcPr>
            <w:tcW w:w="716" w:type="pct"/>
            <w:tcBorders>
              <w:top w:val="single" w:sz="6" w:space="0" w:color="auto"/>
              <w:left w:val="single" w:sz="6" w:space="0" w:color="auto"/>
              <w:bottom w:val="single" w:sz="6" w:space="0" w:color="auto"/>
              <w:right w:val="single" w:sz="6" w:space="0" w:color="auto"/>
            </w:tcBorders>
            <w:hideMark/>
          </w:tcPr>
          <w:p w14:paraId="1808826A"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0.16 </w:t>
            </w:r>
          </w:p>
        </w:tc>
        <w:tc>
          <w:tcPr>
            <w:tcW w:w="916" w:type="pct"/>
            <w:tcBorders>
              <w:top w:val="single" w:sz="6" w:space="0" w:color="auto"/>
              <w:left w:val="single" w:sz="6" w:space="0" w:color="auto"/>
              <w:bottom w:val="single" w:sz="6" w:space="0" w:color="auto"/>
              <w:right w:val="single" w:sz="6" w:space="0" w:color="auto"/>
            </w:tcBorders>
            <w:hideMark/>
          </w:tcPr>
          <w:p w14:paraId="197FD1C9"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1.97 </w:t>
            </w:r>
          </w:p>
        </w:tc>
        <w:tc>
          <w:tcPr>
            <w:tcW w:w="168" w:type="pct"/>
            <w:tcBorders>
              <w:top w:val="single" w:sz="6" w:space="0" w:color="auto"/>
              <w:left w:val="single" w:sz="6" w:space="0" w:color="auto"/>
              <w:bottom w:val="single" w:sz="6" w:space="0" w:color="auto"/>
              <w:right w:val="single" w:sz="6" w:space="0" w:color="auto"/>
            </w:tcBorders>
            <w:hideMark/>
          </w:tcPr>
          <w:p w14:paraId="579FC51D"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1.46 </w:t>
            </w:r>
          </w:p>
        </w:tc>
        <w:tc>
          <w:tcPr>
            <w:tcW w:w="168" w:type="pct"/>
            <w:tcBorders>
              <w:top w:val="single" w:sz="6" w:space="0" w:color="auto"/>
              <w:left w:val="single" w:sz="6" w:space="0" w:color="auto"/>
              <w:bottom w:val="single" w:sz="6" w:space="0" w:color="auto"/>
              <w:right w:val="single" w:sz="6" w:space="0" w:color="auto"/>
            </w:tcBorders>
            <w:hideMark/>
          </w:tcPr>
          <w:p w14:paraId="2759D31C"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1.16 </w:t>
            </w:r>
          </w:p>
        </w:tc>
        <w:tc>
          <w:tcPr>
            <w:tcW w:w="168" w:type="pct"/>
            <w:tcBorders>
              <w:top w:val="single" w:sz="6" w:space="0" w:color="auto"/>
              <w:left w:val="single" w:sz="6" w:space="0" w:color="auto"/>
              <w:bottom w:val="single" w:sz="6" w:space="0" w:color="auto"/>
              <w:right w:val="single" w:sz="6" w:space="0" w:color="auto"/>
            </w:tcBorders>
            <w:hideMark/>
          </w:tcPr>
          <w:p w14:paraId="3C04B064"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0.97 </w:t>
            </w:r>
          </w:p>
        </w:tc>
        <w:tc>
          <w:tcPr>
            <w:tcW w:w="168" w:type="pct"/>
            <w:tcBorders>
              <w:top w:val="single" w:sz="6" w:space="0" w:color="auto"/>
              <w:left w:val="single" w:sz="6" w:space="0" w:color="auto"/>
              <w:bottom w:val="single" w:sz="6" w:space="0" w:color="auto"/>
              <w:right w:val="single" w:sz="6" w:space="0" w:color="auto"/>
            </w:tcBorders>
            <w:hideMark/>
          </w:tcPr>
          <w:p w14:paraId="1AEFB04A"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0.83 </w:t>
            </w:r>
          </w:p>
        </w:tc>
        <w:tc>
          <w:tcPr>
            <w:tcW w:w="168" w:type="pct"/>
            <w:tcBorders>
              <w:top w:val="single" w:sz="6" w:space="0" w:color="auto"/>
              <w:left w:val="single" w:sz="6" w:space="0" w:color="auto"/>
              <w:bottom w:val="single" w:sz="6" w:space="0" w:color="auto"/>
              <w:right w:val="single" w:sz="6" w:space="0" w:color="auto"/>
            </w:tcBorders>
            <w:hideMark/>
          </w:tcPr>
          <w:p w14:paraId="784AD70E"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0.72 </w:t>
            </w:r>
          </w:p>
        </w:tc>
        <w:tc>
          <w:tcPr>
            <w:tcW w:w="168" w:type="pct"/>
            <w:tcBorders>
              <w:top w:val="single" w:sz="6" w:space="0" w:color="auto"/>
              <w:left w:val="single" w:sz="6" w:space="0" w:color="auto"/>
              <w:bottom w:val="single" w:sz="6" w:space="0" w:color="auto"/>
              <w:right w:val="single" w:sz="6" w:space="0" w:color="auto"/>
            </w:tcBorders>
            <w:hideMark/>
          </w:tcPr>
          <w:p w14:paraId="6A291B8F"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0.64 </w:t>
            </w:r>
          </w:p>
        </w:tc>
        <w:tc>
          <w:tcPr>
            <w:tcW w:w="168" w:type="pct"/>
            <w:tcBorders>
              <w:top w:val="single" w:sz="6" w:space="0" w:color="auto"/>
              <w:left w:val="single" w:sz="6" w:space="0" w:color="auto"/>
              <w:bottom w:val="single" w:sz="6" w:space="0" w:color="auto"/>
              <w:right w:val="single" w:sz="6" w:space="0" w:color="auto"/>
            </w:tcBorders>
            <w:hideMark/>
          </w:tcPr>
          <w:p w14:paraId="4613374F"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0.57 </w:t>
            </w:r>
          </w:p>
        </w:tc>
        <w:tc>
          <w:tcPr>
            <w:tcW w:w="168" w:type="pct"/>
            <w:tcBorders>
              <w:top w:val="single" w:sz="6" w:space="0" w:color="auto"/>
              <w:left w:val="single" w:sz="6" w:space="0" w:color="auto"/>
              <w:bottom w:val="single" w:sz="6" w:space="0" w:color="auto"/>
              <w:right w:val="single" w:sz="6" w:space="0" w:color="auto"/>
            </w:tcBorders>
            <w:hideMark/>
          </w:tcPr>
          <w:p w14:paraId="6A3D9CED"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0.52 </w:t>
            </w:r>
          </w:p>
        </w:tc>
        <w:tc>
          <w:tcPr>
            <w:tcW w:w="168" w:type="pct"/>
            <w:tcBorders>
              <w:top w:val="single" w:sz="6" w:space="0" w:color="auto"/>
              <w:left w:val="single" w:sz="6" w:space="0" w:color="auto"/>
              <w:bottom w:val="single" w:sz="6" w:space="0" w:color="auto"/>
              <w:right w:val="single" w:sz="6" w:space="0" w:color="auto"/>
            </w:tcBorders>
            <w:hideMark/>
          </w:tcPr>
          <w:p w14:paraId="58BA1806"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0.48 </w:t>
            </w:r>
          </w:p>
        </w:tc>
        <w:tc>
          <w:tcPr>
            <w:tcW w:w="168" w:type="pct"/>
            <w:tcBorders>
              <w:top w:val="single" w:sz="6" w:space="0" w:color="auto"/>
              <w:left w:val="single" w:sz="6" w:space="0" w:color="auto"/>
              <w:bottom w:val="single" w:sz="6" w:space="0" w:color="auto"/>
              <w:right w:val="single" w:sz="6" w:space="0" w:color="auto"/>
            </w:tcBorders>
            <w:hideMark/>
          </w:tcPr>
          <w:p w14:paraId="7638758B"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0.44 </w:t>
            </w:r>
          </w:p>
        </w:tc>
        <w:tc>
          <w:tcPr>
            <w:tcW w:w="168" w:type="pct"/>
            <w:tcBorders>
              <w:top w:val="single" w:sz="6" w:space="0" w:color="auto"/>
              <w:left w:val="single" w:sz="6" w:space="0" w:color="auto"/>
              <w:bottom w:val="single" w:sz="6" w:space="0" w:color="auto"/>
              <w:right w:val="single" w:sz="6" w:space="0" w:color="auto"/>
            </w:tcBorders>
            <w:hideMark/>
          </w:tcPr>
          <w:p w14:paraId="6F024DC1"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0.41 </w:t>
            </w:r>
          </w:p>
        </w:tc>
        <w:tc>
          <w:tcPr>
            <w:tcW w:w="168" w:type="pct"/>
            <w:tcBorders>
              <w:top w:val="single" w:sz="6" w:space="0" w:color="auto"/>
              <w:left w:val="single" w:sz="6" w:space="0" w:color="auto"/>
              <w:bottom w:val="single" w:sz="6" w:space="0" w:color="auto"/>
              <w:right w:val="single" w:sz="6" w:space="0" w:color="auto"/>
            </w:tcBorders>
            <w:hideMark/>
          </w:tcPr>
          <w:p w14:paraId="466DD37C"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0.38 </w:t>
            </w:r>
          </w:p>
        </w:tc>
        <w:tc>
          <w:tcPr>
            <w:tcW w:w="168" w:type="pct"/>
            <w:tcBorders>
              <w:top w:val="single" w:sz="6" w:space="0" w:color="auto"/>
              <w:left w:val="single" w:sz="6" w:space="0" w:color="auto"/>
              <w:bottom w:val="single" w:sz="6" w:space="0" w:color="auto"/>
              <w:right w:val="single" w:sz="6" w:space="0" w:color="auto"/>
            </w:tcBorders>
            <w:hideMark/>
          </w:tcPr>
          <w:p w14:paraId="7E5704F3"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0.36 </w:t>
            </w:r>
          </w:p>
        </w:tc>
        <w:tc>
          <w:tcPr>
            <w:tcW w:w="168" w:type="pct"/>
            <w:tcBorders>
              <w:top w:val="single" w:sz="6" w:space="0" w:color="auto"/>
              <w:left w:val="single" w:sz="6" w:space="0" w:color="auto"/>
              <w:bottom w:val="single" w:sz="6" w:space="0" w:color="auto"/>
              <w:right w:val="single" w:sz="6" w:space="0" w:color="auto"/>
            </w:tcBorders>
            <w:hideMark/>
          </w:tcPr>
          <w:p w14:paraId="6B65D45D"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0.34 </w:t>
            </w:r>
          </w:p>
        </w:tc>
        <w:tc>
          <w:tcPr>
            <w:tcW w:w="168" w:type="pct"/>
            <w:tcBorders>
              <w:top w:val="single" w:sz="6" w:space="0" w:color="auto"/>
              <w:left w:val="single" w:sz="6" w:space="0" w:color="auto"/>
              <w:bottom w:val="single" w:sz="6" w:space="0" w:color="auto"/>
              <w:right w:val="single" w:sz="6" w:space="0" w:color="auto"/>
            </w:tcBorders>
            <w:hideMark/>
          </w:tcPr>
          <w:p w14:paraId="3C90D7D1"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1BB43349"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6B20407F"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0.20 </w:t>
            </w:r>
          </w:p>
        </w:tc>
        <w:tc>
          <w:tcPr>
            <w:tcW w:w="168" w:type="pct"/>
            <w:tcBorders>
              <w:top w:val="single" w:sz="6" w:space="0" w:color="auto"/>
              <w:left w:val="single" w:sz="6" w:space="0" w:color="auto"/>
              <w:bottom w:val="single" w:sz="6" w:space="0" w:color="auto"/>
              <w:right w:val="single" w:sz="6" w:space="0" w:color="auto"/>
            </w:tcBorders>
            <w:hideMark/>
          </w:tcPr>
          <w:p w14:paraId="4F574531"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0.17 </w:t>
            </w:r>
          </w:p>
        </w:tc>
        <w:tc>
          <w:tcPr>
            <w:tcW w:w="168" w:type="pct"/>
            <w:tcBorders>
              <w:top w:val="single" w:sz="6" w:space="0" w:color="auto"/>
              <w:left w:val="single" w:sz="6" w:space="0" w:color="auto"/>
              <w:bottom w:val="single" w:sz="6" w:space="0" w:color="auto"/>
              <w:right w:val="single" w:sz="6" w:space="0" w:color="auto"/>
            </w:tcBorders>
            <w:hideMark/>
          </w:tcPr>
          <w:p w14:paraId="620648C8"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262314A6"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0.13 </w:t>
            </w:r>
          </w:p>
        </w:tc>
        <w:tc>
          <w:tcPr>
            <w:tcW w:w="8" w:type="pct"/>
            <w:vAlign w:val="center"/>
            <w:hideMark/>
          </w:tcPr>
          <w:p w14:paraId="2ADBDEAD" w14:textId="77777777" w:rsidR="00DB1AEE" w:rsidRPr="00DB1AEE" w:rsidRDefault="00DB1AEE" w:rsidP="00DB1AEE">
            <w:pPr>
              <w:widowControl w:val="0"/>
              <w:suppressAutoHyphens/>
              <w:autoSpaceDE w:val="0"/>
              <w:autoSpaceDN w:val="0"/>
              <w:jc w:val="left"/>
              <w:rPr>
                <w:bCs/>
                <w:iCs/>
                <w:sz w:val="20"/>
                <w:u w:val="single"/>
                <w:lang w:bidi="en-US"/>
              </w:rPr>
            </w:pPr>
          </w:p>
        </w:tc>
      </w:tr>
      <w:tr w:rsidR="00DB1AEE" w:rsidRPr="00DB1AEE" w14:paraId="12614833" w14:textId="77777777" w:rsidTr="00FC1832">
        <w:trPr>
          <w:trHeight w:val="210"/>
        </w:trPr>
        <w:tc>
          <w:tcPr>
            <w:tcW w:w="716" w:type="pct"/>
            <w:tcBorders>
              <w:top w:val="single" w:sz="6" w:space="0" w:color="auto"/>
              <w:left w:val="single" w:sz="6" w:space="0" w:color="auto"/>
              <w:bottom w:val="single" w:sz="6" w:space="0" w:color="auto"/>
              <w:right w:val="single" w:sz="6" w:space="0" w:color="auto"/>
            </w:tcBorders>
            <w:hideMark/>
          </w:tcPr>
          <w:p w14:paraId="5245AED8"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1.94 </w:t>
            </w:r>
          </w:p>
        </w:tc>
        <w:tc>
          <w:tcPr>
            <w:tcW w:w="916" w:type="pct"/>
            <w:tcBorders>
              <w:top w:val="single" w:sz="6" w:space="0" w:color="auto"/>
              <w:left w:val="single" w:sz="6" w:space="0" w:color="auto"/>
              <w:bottom w:val="single" w:sz="6" w:space="0" w:color="auto"/>
              <w:right w:val="single" w:sz="6" w:space="0" w:color="auto"/>
            </w:tcBorders>
            <w:hideMark/>
          </w:tcPr>
          <w:p w14:paraId="56518529"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0.78 </w:t>
            </w:r>
          </w:p>
        </w:tc>
        <w:tc>
          <w:tcPr>
            <w:tcW w:w="168" w:type="pct"/>
            <w:tcBorders>
              <w:top w:val="single" w:sz="6" w:space="0" w:color="auto"/>
              <w:left w:val="single" w:sz="6" w:space="0" w:color="auto"/>
              <w:bottom w:val="single" w:sz="6" w:space="0" w:color="auto"/>
              <w:right w:val="single" w:sz="6" w:space="0" w:color="auto"/>
            </w:tcBorders>
            <w:hideMark/>
          </w:tcPr>
          <w:p w14:paraId="106E56EE"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0.68 </w:t>
            </w:r>
          </w:p>
        </w:tc>
        <w:tc>
          <w:tcPr>
            <w:tcW w:w="168" w:type="pct"/>
            <w:tcBorders>
              <w:top w:val="single" w:sz="6" w:space="0" w:color="auto"/>
              <w:left w:val="single" w:sz="6" w:space="0" w:color="auto"/>
              <w:bottom w:val="single" w:sz="6" w:space="0" w:color="auto"/>
              <w:right w:val="single" w:sz="6" w:space="0" w:color="auto"/>
            </w:tcBorders>
            <w:hideMark/>
          </w:tcPr>
          <w:p w14:paraId="7409A48D"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0.61 </w:t>
            </w:r>
          </w:p>
        </w:tc>
        <w:tc>
          <w:tcPr>
            <w:tcW w:w="168" w:type="pct"/>
            <w:tcBorders>
              <w:top w:val="single" w:sz="6" w:space="0" w:color="auto"/>
              <w:left w:val="single" w:sz="6" w:space="0" w:color="auto"/>
              <w:bottom w:val="single" w:sz="6" w:space="0" w:color="auto"/>
              <w:right w:val="single" w:sz="6" w:space="0" w:color="auto"/>
            </w:tcBorders>
            <w:hideMark/>
          </w:tcPr>
          <w:p w14:paraId="30FAA8FD"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0.55 </w:t>
            </w:r>
          </w:p>
        </w:tc>
        <w:tc>
          <w:tcPr>
            <w:tcW w:w="168" w:type="pct"/>
            <w:tcBorders>
              <w:top w:val="single" w:sz="6" w:space="0" w:color="auto"/>
              <w:left w:val="single" w:sz="6" w:space="0" w:color="auto"/>
              <w:bottom w:val="single" w:sz="6" w:space="0" w:color="auto"/>
              <w:right w:val="single" w:sz="6" w:space="0" w:color="auto"/>
            </w:tcBorders>
            <w:hideMark/>
          </w:tcPr>
          <w:p w14:paraId="1B31BDD1"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0.50 </w:t>
            </w:r>
          </w:p>
        </w:tc>
        <w:tc>
          <w:tcPr>
            <w:tcW w:w="168" w:type="pct"/>
            <w:tcBorders>
              <w:top w:val="single" w:sz="6" w:space="0" w:color="auto"/>
              <w:left w:val="single" w:sz="6" w:space="0" w:color="auto"/>
              <w:bottom w:val="single" w:sz="6" w:space="0" w:color="auto"/>
              <w:right w:val="single" w:sz="6" w:space="0" w:color="auto"/>
            </w:tcBorders>
            <w:hideMark/>
          </w:tcPr>
          <w:p w14:paraId="5E4BAE7A"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0.46 </w:t>
            </w:r>
          </w:p>
        </w:tc>
        <w:tc>
          <w:tcPr>
            <w:tcW w:w="168" w:type="pct"/>
            <w:tcBorders>
              <w:top w:val="single" w:sz="6" w:space="0" w:color="auto"/>
              <w:left w:val="single" w:sz="6" w:space="0" w:color="auto"/>
              <w:bottom w:val="single" w:sz="6" w:space="0" w:color="auto"/>
              <w:right w:val="single" w:sz="6" w:space="0" w:color="auto"/>
            </w:tcBorders>
            <w:hideMark/>
          </w:tcPr>
          <w:p w14:paraId="187156F7"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0.43 </w:t>
            </w:r>
          </w:p>
        </w:tc>
        <w:tc>
          <w:tcPr>
            <w:tcW w:w="168" w:type="pct"/>
            <w:tcBorders>
              <w:top w:val="single" w:sz="6" w:space="0" w:color="auto"/>
              <w:left w:val="single" w:sz="6" w:space="0" w:color="auto"/>
              <w:bottom w:val="single" w:sz="6" w:space="0" w:color="auto"/>
              <w:right w:val="single" w:sz="6" w:space="0" w:color="auto"/>
            </w:tcBorders>
            <w:hideMark/>
          </w:tcPr>
          <w:p w14:paraId="4F21F0A3"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0.40 </w:t>
            </w:r>
          </w:p>
        </w:tc>
        <w:tc>
          <w:tcPr>
            <w:tcW w:w="168" w:type="pct"/>
            <w:tcBorders>
              <w:top w:val="single" w:sz="6" w:space="0" w:color="auto"/>
              <w:left w:val="single" w:sz="6" w:space="0" w:color="auto"/>
              <w:bottom w:val="single" w:sz="6" w:space="0" w:color="auto"/>
              <w:right w:val="single" w:sz="6" w:space="0" w:color="auto"/>
            </w:tcBorders>
            <w:hideMark/>
          </w:tcPr>
          <w:p w14:paraId="64196BD0"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0.37 </w:t>
            </w:r>
          </w:p>
        </w:tc>
        <w:tc>
          <w:tcPr>
            <w:tcW w:w="168" w:type="pct"/>
            <w:tcBorders>
              <w:top w:val="single" w:sz="6" w:space="0" w:color="auto"/>
              <w:left w:val="single" w:sz="6" w:space="0" w:color="auto"/>
              <w:bottom w:val="single" w:sz="6" w:space="0" w:color="auto"/>
              <w:right w:val="single" w:sz="6" w:space="0" w:color="auto"/>
            </w:tcBorders>
            <w:hideMark/>
          </w:tcPr>
          <w:p w14:paraId="3E49F928"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0.35 </w:t>
            </w:r>
          </w:p>
        </w:tc>
        <w:tc>
          <w:tcPr>
            <w:tcW w:w="168" w:type="pct"/>
            <w:tcBorders>
              <w:top w:val="single" w:sz="6" w:space="0" w:color="auto"/>
              <w:left w:val="single" w:sz="6" w:space="0" w:color="auto"/>
              <w:bottom w:val="single" w:sz="6" w:space="0" w:color="auto"/>
              <w:right w:val="single" w:sz="6" w:space="0" w:color="auto"/>
            </w:tcBorders>
            <w:hideMark/>
          </w:tcPr>
          <w:p w14:paraId="36E85144"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0.33 </w:t>
            </w:r>
          </w:p>
        </w:tc>
        <w:tc>
          <w:tcPr>
            <w:tcW w:w="168" w:type="pct"/>
            <w:tcBorders>
              <w:top w:val="single" w:sz="6" w:space="0" w:color="auto"/>
              <w:left w:val="single" w:sz="6" w:space="0" w:color="auto"/>
              <w:bottom w:val="single" w:sz="6" w:space="0" w:color="auto"/>
              <w:right w:val="single" w:sz="6" w:space="0" w:color="auto"/>
            </w:tcBorders>
            <w:hideMark/>
          </w:tcPr>
          <w:p w14:paraId="09828076"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0.31 </w:t>
            </w:r>
          </w:p>
        </w:tc>
        <w:tc>
          <w:tcPr>
            <w:tcW w:w="168" w:type="pct"/>
            <w:tcBorders>
              <w:top w:val="single" w:sz="6" w:space="0" w:color="auto"/>
              <w:left w:val="single" w:sz="6" w:space="0" w:color="auto"/>
              <w:bottom w:val="single" w:sz="6" w:space="0" w:color="auto"/>
              <w:right w:val="single" w:sz="6" w:space="0" w:color="auto"/>
            </w:tcBorders>
            <w:hideMark/>
          </w:tcPr>
          <w:p w14:paraId="6E86F1C7"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49F64100"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0.28 </w:t>
            </w:r>
          </w:p>
        </w:tc>
        <w:tc>
          <w:tcPr>
            <w:tcW w:w="168" w:type="pct"/>
            <w:tcBorders>
              <w:top w:val="single" w:sz="6" w:space="0" w:color="auto"/>
              <w:left w:val="single" w:sz="6" w:space="0" w:color="auto"/>
              <w:bottom w:val="single" w:sz="6" w:space="0" w:color="auto"/>
              <w:right w:val="single" w:sz="6" w:space="0" w:color="auto"/>
            </w:tcBorders>
            <w:hideMark/>
          </w:tcPr>
          <w:p w14:paraId="07287173"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3594F117"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2DF1CE8E"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0.21 </w:t>
            </w:r>
          </w:p>
        </w:tc>
        <w:tc>
          <w:tcPr>
            <w:tcW w:w="168" w:type="pct"/>
            <w:tcBorders>
              <w:top w:val="single" w:sz="6" w:space="0" w:color="auto"/>
              <w:left w:val="single" w:sz="6" w:space="0" w:color="auto"/>
              <w:bottom w:val="single" w:sz="6" w:space="0" w:color="auto"/>
              <w:right w:val="single" w:sz="6" w:space="0" w:color="auto"/>
            </w:tcBorders>
            <w:hideMark/>
          </w:tcPr>
          <w:p w14:paraId="308DF734"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0.18 </w:t>
            </w:r>
          </w:p>
        </w:tc>
        <w:tc>
          <w:tcPr>
            <w:tcW w:w="168" w:type="pct"/>
            <w:tcBorders>
              <w:top w:val="single" w:sz="6" w:space="0" w:color="auto"/>
              <w:left w:val="single" w:sz="6" w:space="0" w:color="auto"/>
              <w:bottom w:val="single" w:sz="6" w:space="0" w:color="auto"/>
              <w:right w:val="single" w:sz="6" w:space="0" w:color="auto"/>
            </w:tcBorders>
            <w:hideMark/>
          </w:tcPr>
          <w:p w14:paraId="515142A8"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35770CC9"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3332481F"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0.12 </w:t>
            </w:r>
          </w:p>
        </w:tc>
        <w:tc>
          <w:tcPr>
            <w:tcW w:w="8" w:type="pct"/>
            <w:vAlign w:val="center"/>
            <w:hideMark/>
          </w:tcPr>
          <w:p w14:paraId="2B05A395" w14:textId="77777777" w:rsidR="00DB1AEE" w:rsidRPr="00DB1AEE" w:rsidRDefault="00DB1AEE" w:rsidP="00DB1AEE">
            <w:pPr>
              <w:widowControl w:val="0"/>
              <w:suppressAutoHyphens/>
              <w:autoSpaceDE w:val="0"/>
              <w:autoSpaceDN w:val="0"/>
              <w:jc w:val="left"/>
              <w:rPr>
                <w:bCs/>
                <w:iCs/>
                <w:sz w:val="20"/>
                <w:u w:val="single"/>
                <w:lang w:bidi="en-US"/>
              </w:rPr>
            </w:pPr>
          </w:p>
        </w:tc>
      </w:tr>
      <w:tr w:rsidR="00DB1AEE" w:rsidRPr="00DB1AEE" w14:paraId="6766015B" w14:textId="77777777" w:rsidTr="00FC1832">
        <w:trPr>
          <w:trHeight w:val="255"/>
        </w:trPr>
        <w:tc>
          <w:tcPr>
            <w:tcW w:w="716" w:type="pct"/>
            <w:tcBorders>
              <w:top w:val="single" w:sz="6" w:space="0" w:color="auto"/>
              <w:left w:val="single" w:sz="6" w:space="0" w:color="auto"/>
              <w:bottom w:val="single" w:sz="6" w:space="0" w:color="auto"/>
              <w:right w:val="single" w:sz="6" w:space="0" w:color="auto"/>
            </w:tcBorders>
            <w:hideMark/>
          </w:tcPr>
          <w:p w14:paraId="391B816D"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2.29 </w:t>
            </w:r>
          </w:p>
        </w:tc>
        <w:tc>
          <w:tcPr>
            <w:tcW w:w="916" w:type="pct"/>
            <w:tcBorders>
              <w:top w:val="single" w:sz="6" w:space="0" w:color="auto"/>
              <w:left w:val="single" w:sz="6" w:space="0" w:color="auto"/>
              <w:bottom w:val="single" w:sz="6" w:space="0" w:color="auto"/>
              <w:right w:val="single" w:sz="6" w:space="0" w:color="auto"/>
            </w:tcBorders>
            <w:hideMark/>
          </w:tcPr>
          <w:p w14:paraId="6F411593"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0.74 </w:t>
            </w:r>
          </w:p>
        </w:tc>
        <w:tc>
          <w:tcPr>
            <w:tcW w:w="168" w:type="pct"/>
            <w:tcBorders>
              <w:top w:val="single" w:sz="6" w:space="0" w:color="auto"/>
              <w:left w:val="single" w:sz="6" w:space="0" w:color="auto"/>
              <w:bottom w:val="single" w:sz="6" w:space="0" w:color="auto"/>
              <w:right w:val="single" w:sz="6" w:space="0" w:color="auto"/>
            </w:tcBorders>
            <w:hideMark/>
          </w:tcPr>
          <w:p w14:paraId="2EE5A695"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0.65 </w:t>
            </w:r>
          </w:p>
        </w:tc>
        <w:tc>
          <w:tcPr>
            <w:tcW w:w="168" w:type="pct"/>
            <w:tcBorders>
              <w:top w:val="single" w:sz="6" w:space="0" w:color="auto"/>
              <w:left w:val="single" w:sz="6" w:space="0" w:color="auto"/>
              <w:bottom w:val="single" w:sz="6" w:space="0" w:color="auto"/>
              <w:right w:val="single" w:sz="6" w:space="0" w:color="auto"/>
            </w:tcBorders>
            <w:hideMark/>
          </w:tcPr>
          <w:p w14:paraId="3B347779"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0.58 </w:t>
            </w:r>
          </w:p>
        </w:tc>
        <w:tc>
          <w:tcPr>
            <w:tcW w:w="168" w:type="pct"/>
            <w:tcBorders>
              <w:top w:val="single" w:sz="6" w:space="0" w:color="auto"/>
              <w:left w:val="single" w:sz="6" w:space="0" w:color="auto"/>
              <w:bottom w:val="single" w:sz="6" w:space="0" w:color="auto"/>
              <w:right w:val="single" w:sz="6" w:space="0" w:color="auto"/>
            </w:tcBorders>
            <w:hideMark/>
          </w:tcPr>
          <w:p w14:paraId="66D83286"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0.53 </w:t>
            </w:r>
          </w:p>
        </w:tc>
        <w:tc>
          <w:tcPr>
            <w:tcW w:w="168" w:type="pct"/>
            <w:tcBorders>
              <w:top w:val="single" w:sz="6" w:space="0" w:color="auto"/>
              <w:left w:val="single" w:sz="6" w:space="0" w:color="auto"/>
              <w:bottom w:val="single" w:sz="6" w:space="0" w:color="auto"/>
              <w:right w:val="single" w:sz="6" w:space="0" w:color="auto"/>
            </w:tcBorders>
            <w:hideMark/>
          </w:tcPr>
          <w:p w14:paraId="0F172928"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0.48 </w:t>
            </w:r>
          </w:p>
        </w:tc>
        <w:tc>
          <w:tcPr>
            <w:tcW w:w="168" w:type="pct"/>
            <w:tcBorders>
              <w:top w:val="single" w:sz="6" w:space="0" w:color="auto"/>
              <w:left w:val="single" w:sz="6" w:space="0" w:color="auto"/>
              <w:bottom w:val="single" w:sz="6" w:space="0" w:color="auto"/>
              <w:right w:val="single" w:sz="6" w:space="0" w:color="auto"/>
            </w:tcBorders>
            <w:hideMark/>
          </w:tcPr>
          <w:p w14:paraId="06929B48"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0.45 </w:t>
            </w:r>
          </w:p>
        </w:tc>
        <w:tc>
          <w:tcPr>
            <w:tcW w:w="168" w:type="pct"/>
            <w:tcBorders>
              <w:top w:val="single" w:sz="6" w:space="0" w:color="auto"/>
              <w:left w:val="single" w:sz="6" w:space="0" w:color="auto"/>
              <w:bottom w:val="single" w:sz="6" w:space="0" w:color="auto"/>
              <w:right w:val="single" w:sz="6" w:space="0" w:color="auto"/>
            </w:tcBorders>
            <w:hideMark/>
          </w:tcPr>
          <w:p w14:paraId="415BD207"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0.41 </w:t>
            </w:r>
          </w:p>
        </w:tc>
        <w:tc>
          <w:tcPr>
            <w:tcW w:w="168" w:type="pct"/>
            <w:tcBorders>
              <w:top w:val="single" w:sz="6" w:space="0" w:color="auto"/>
              <w:left w:val="single" w:sz="6" w:space="0" w:color="auto"/>
              <w:bottom w:val="single" w:sz="6" w:space="0" w:color="auto"/>
              <w:right w:val="single" w:sz="6" w:space="0" w:color="auto"/>
            </w:tcBorders>
            <w:hideMark/>
          </w:tcPr>
          <w:p w14:paraId="7A952B35"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0.39 </w:t>
            </w:r>
          </w:p>
        </w:tc>
        <w:tc>
          <w:tcPr>
            <w:tcW w:w="168" w:type="pct"/>
            <w:tcBorders>
              <w:top w:val="single" w:sz="6" w:space="0" w:color="auto"/>
              <w:left w:val="single" w:sz="6" w:space="0" w:color="auto"/>
              <w:bottom w:val="single" w:sz="6" w:space="0" w:color="auto"/>
              <w:right w:val="single" w:sz="6" w:space="0" w:color="auto"/>
            </w:tcBorders>
            <w:hideMark/>
          </w:tcPr>
          <w:p w14:paraId="47A79A32"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0.36 </w:t>
            </w:r>
          </w:p>
        </w:tc>
        <w:tc>
          <w:tcPr>
            <w:tcW w:w="168" w:type="pct"/>
            <w:tcBorders>
              <w:top w:val="single" w:sz="6" w:space="0" w:color="auto"/>
              <w:left w:val="single" w:sz="6" w:space="0" w:color="auto"/>
              <w:bottom w:val="single" w:sz="6" w:space="0" w:color="auto"/>
              <w:right w:val="single" w:sz="6" w:space="0" w:color="auto"/>
            </w:tcBorders>
            <w:hideMark/>
          </w:tcPr>
          <w:p w14:paraId="03D35971"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0.34 </w:t>
            </w:r>
          </w:p>
        </w:tc>
        <w:tc>
          <w:tcPr>
            <w:tcW w:w="168" w:type="pct"/>
            <w:tcBorders>
              <w:top w:val="single" w:sz="6" w:space="0" w:color="auto"/>
              <w:left w:val="single" w:sz="6" w:space="0" w:color="auto"/>
              <w:bottom w:val="single" w:sz="6" w:space="0" w:color="auto"/>
              <w:right w:val="single" w:sz="6" w:space="0" w:color="auto"/>
            </w:tcBorders>
            <w:hideMark/>
          </w:tcPr>
          <w:p w14:paraId="5E1AFF64"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4CC49A23"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0.30 </w:t>
            </w:r>
          </w:p>
        </w:tc>
        <w:tc>
          <w:tcPr>
            <w:tcW w:w="168" w:type="pct"/>
            <w:tcBorders>
              <w:top w:val="single" w:sz="6" w:space="0" w:color="auto"/>
              <w:left w:val="single" w:sz="6" w:space="0" w:color="auto"/>
              <w:bottom w:val="single" w:sz="6" w:space="0" w:color="auto"/>
              <w:right w:val="single" w:sz="6" w:space="0" w:color="auto"/>
            </w:tcBorders>
            <w:hideMark/>
          </w:tcPr>
          <w:p w14:paraId="2D59FF64"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70A76E86"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62480AA8"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00CDB22A"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6E38B4A5"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0.20 </w:t>
            </w:r>
          </w:p>
        </w:tc>
        <w:tc>
          <w:tcPr>
            <w:tcW w:w="168" w:type="pct"/>
            <w:tcBorders>
              <w:top w:val="single" w:sz="6" w:space="0" w:color="auto"/>
              <w:left w:val="single" w:sz="6" w:space="0" w:color="auto"/>
              <w:bottom w:val="single" w:sz="6" w:space="0" w:color="auto"/>
              <w:right w:val="single" w:sz="6" w:space="0" w:color="auto"/>
            </w:tcBorders>
            <w:hideMark/>
          </w:tcPr>
          <w:p w14:paraId="10771169"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0.17 </w:t>
            </w:r>
          </w:p>
        </w:tc>
        <w:tc>
          <w:tcPr>
            <w:tcW w:w="168" w:type="pct"/>
            <w:tcBorders>
              <w:top w:val="single" w:sz="6" w:space="0" w:color="auto"/>
              <w:left w:val="single" w:sz="6" w:space="0" w:color="auto"/>
              <w:bottom w:val="single" w:sz="6" w:space="0" w:color="auto"/>
              <w:right w:val="single" w:sz="6" w:space="0" w:color="auto"/>
            </w:tcBorders>
            <w:hideMark/>
          </w:tcPr>
          <w:p w14:paraId="42E3A4B6"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3232C378"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608194E7"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0.12 </w:t>
            </w:r>
          </w:p>
        </w:tc>
        <w:tc>
          <w:tcPr>
            <w:tcW w:w="8" w:type="pct"/>
            <w:vAlign w:val="center"/>
            <w:hideMark/>
          </w:tcPr>
          <w:p w14:paraId="663A589A" w14:textId="77777777" w:rsidR="00DB1AEE" w:rsidRPr="00DB1AEE" w:rsidRDefault="00DB1AEE" w:rsidP="00DB1AEE">
            <w:pPr>
              <w:widowControl w:val="0"/>
              <w:suppressAutoHyphens/>
              <w:autoSpaceDE w:val="0"/>
              <w:autoSpaceDN w:val="0"/>
              <w:jc w:val="left"/>
              <w:rPr>
                <w:bCs/>
                <w:iCs/>
                <w:sz w:val="20"/>
                <w:u w:val="single"/>
                <w:lang w:bidi="en-US"/>
              </w:rPr>
            </w:pPr>
          </w:p>
        </w:tc>
      </w:tr>
      <w:tr w:rsidR="00DB1AEE" w:rsidRPr="00DB1AEE" w14:paraId="2305D625" w14:textId="77777777" w:rsidTr="00FC1832">
        <w:trPr>
          <w:trHeight w:val="201"/>
        </w:trPr>
        <w:tc>
          <w:tcPr>
            <w:tcW w:w="716" w:type="pct"/>
            <w:tcBorders>
              <w:top w:val="single" w:sz="6" w:space="0" w:color="auto"/>
              <w:left w:val="single" w:sz="6" w:space="0" w:color="auto"/>
              <w:bottom w:val="single" w:sz="6" w:space="0" w:color="auto"/>
              <w:right w:val="single" w:sz="6" w:space="0" w:color="auto"/>
            </w:tcBorders>
            <w:hideMark/>
          </w:tcPr>
          <w:p w14:paraId="4F4EF219"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2.64 </w:t>
            </w:r>
          </w:p>
        </w:tc>
        <w:tc>
          <w:tcPr>
            <w:tcW w:w="916" w:type="pct"/>
            <w:tcBorders>
              <w:top w:val="single" w:sz="6" w:space="0" w:color="auto"/>
              <w:left w:val="single" w:sz="6" w:space="0" w:color="auto"/>
              <w:bottom w:val="single" w:sz="6" w:space="0" w:color="auto"/>
              <w:right w:val="single" w:sz="6" w:space="0" w:color="auto"/>
            </w:tcBorders>
            <w:hideMark/>
          </w:tcPr>
          <w:p w14:paraId="22AA9475"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0.70 </w:t>
            </w:r>
          </w:p>
        </w:tc>
        <w:tc>
          <w:tcPr>
            <w:tcW w:w="168" w:type="pct"/>
            <w:tcBorders>
              <w:top w:val="single" w:sz="6" w:space="0" w:color="auto"/>
              <w:left w:val="single" w:sz="6" w:space="0" w:color="auto"/>
              <w:bottom w:val="single" w:sz="6" w:space="0" w:color="auto"/>
              <w:right w:val="single" w:sz="6" w:space="0" w:color="auto"/>
            </w:tcBorders>
            <w:hideMark/>
          </w:tcPr>
          <w:p w14:paraId="050E0B26"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0.63 </w:t>
            </w:r>
          </w:p>
        </w:tc>
        <w:tc>
          <w:tcPr>
            <w:tcW w:w="168" w:type="pct"/>
            <w:tcBorders>
              <w:top w:val="single" w:sz="6" w:space="0" w:color="auto"/>
              <w:left w:val="single" w:sz="6" w:space="0" w:color="auto"/>
              <w:bottom w:val="single" w:sz="6" w:space="0" w:color="auto"/>
              <w:right w:val="single" w:sz="6" w:space="0" w:color="auto"/>
            </w:tcBorders>
            <w:hideMark/>
          </w:tcPr>
          <w:p w14:paraId="06CE5E97"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0.56 </w:t>
            </w:r>
          </w:p>
        </w:tc>
        <w:tc>
          <w:tcPr>
            <w:tcW w:w="168" w:type="pct"/>
            <w:tcBorders>
              <w:top w:val="single" w:sz="6" w:space="0" w:color="auto"/>
              <w:left w:val="single" w:sz="6" w:space="0" w:color="auto"/>
              <w:bottom w:val="single" w:sz="6" w:space="0" w:color="auto"/>
              <w:right w:val="single" w:sz="6" w:space="0" w:color="auto"/>
            </w:tcBorders>
            <w:hideMark/>
          </w:tcPr>
          <w:p w14:paraId="360F79A8"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0.51 </w:t>
            </w:r>
          </w:p>
        </w:tc>
        <w:tc>
          <w:tcPr>
            <w:tcW w:w="168" w:type="pct"/>
            <w:tcBorders>
              <w:top w:val="single" w:sz="6" w:space="0" w:color="auto"/>
              <w:left w:val="single" w:sz="6" w:space="0" w:color="auto"/>
              <w:bottom w:val="single" w:sz="6" w:space="0" w:color="auto"/>
              <w:right w:val="single" w:sz="6" w:space="0" w:color="auto"/>
            </w:tcBorders>
            <w:hideMark/>
          </w:tcPr>
          <w:p w14:paraId="0ABB01B8"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0.47 </w:t>
            </w:r>
          </w:p>
        </w:tc>
        <w:tc>
          <w:tcPr>
            <w:tcW w:w="168" w:type="pct"/>
            <w:tcBorders>
              <w:top w:val="single" w:sz="6" w:space="0" w:color="auto"/>
              <w:left w:val="single" w:sz="6" w:space="0" w:color="auto"/>
              <w:bottom w:val="single" w:sz="6" w:space="0" w:color="auto"/>
              <w:right w:val="single" w:sz="6" w:space="0" w:color="auto"/>
            </w:tcBorders>
            <w:hideMark/>
          </w:tcPr>
          <w:p w14:paraId="433DA199"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0.43 </w:t>
            </w:r>
          </w:p>
        </w:tc>
        <w:tc>
          <w:tcPr>
            <w:tcW w:w="168" w:type="pct"/>
            <w:tcBorders>
              <w:top w:val="single" w:sz="6" w:space="0" w:color="auto"/>
              <w:left w:val="single" w:sz="6" w:space="0" w:color="auto"/>
              <w:bottom w:val="single" w:sz="6" w:space="0" w:color="auto"/>
              <w:right w:val="single" w:sz="6" w:space="0" w:color="auto"/>
            </w:tcBorders>
            <w:hideMark/>
          </w:tcPr>
          <w:p w14:paraId="2E6D3570"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0.40 </w:t>
            </w:r>
          </w:p>
        </w:tc>
        <w:tc>
          <w:tcPr>
            <w:tcW w:w="168" w:type="pct"/>
            <w:tcBorders>
              <w:top w:val="single" w:sz="6" w:space="0" w:color="auto"/>
              <w:left w:val="single" w:sz="6" w:space="0" w:color="auto"/>
              <w:bottom w:val="single" w:sz="6" w:space="0" w:color="auto"/>
              <w:right w:val="single" w:sz="6" w:space="0" w:color="auto"/>
            </w:tcBorders>
            <w:hideMark/>
          </w:tcPr>
          <w:p w14:paraId="2EA7CEC6"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0.38 </w:t>
            </w:r>
          </w:p>
        </w:tc>
        <w:tc>
          <w:tcPr>
            <w:tcW w:w="168" w:type="pct"/>
            <w:tcBorders>
              <w:top w:val="single" w:sz="6" w:space="0" w:color="auto"/>
              <w:left w:val="single" w:sz="6" w:space="0" w:color="auto"/>
              <w:bottom w:val="single" w:sz="6" w:space="0" w:color="auto"/>
              <w:right w:val="single" w:sz="6" w:space="0" w:color="auto"/>
            </w:tcBorders>
            <w:hideMark/>
          </w:tcPr>
          <w:p w14:paraId="76B44789"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0.35 </w:t>
            </w:r>
          </w:p>
        </w:tc>
        <w:tc>
          <w:tcPr>
            <w:tcW w:w="168" w:type="pct"/>
            <w:tcBorders>
              <w:top w:val="single" w:sz="6" w:space="0" w:color="auto"/>
              <w:left w:val="single" w:sz="6" w:space="0" w:color="auto"/>
              <w:bottom w:val="single" w:sz="6" w:space="0" w:color="auto"/>
              <w:right w:val="single" w:sz="6" w:space="0" w:color="auto"/>
            </w:tcBorders>
            <w:hideMark/>
          </w:tcPr>
          <w:p w14:paraId="7D294927"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0.33 </w:t>
            </w:r>
          </w:p>
        </w:tc>
        <w:tc>
          <w:tcPr>
            <w:tcW w:w="168" w:type="pct"/>
            <w:tcBorders>
              <w:top w:val="single" w:sz="6" w:space="0" w:color="auto"/>
              <w:left w:val="single" w:sz="6" w:space="0" w:color="auto"/>
              <w:bottom w:val="single" w:sz="6" w:space="0" w:color="auto"/>
              <w:right w:val="single" w:sz="6" w:space="0" w:color="auto"/>
            </w:tcBorders>
            <w:hideMark/>
          </w:tcPr>
          <w:p w14:paraId="33E85D12"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0.31 </w:t>
            </w:r>
          </w:p>
        </w:tc>
        <w:tc>
          <w:tcPr>
            <w:tcW w:w="168" w:type="pct"/>
            <w:tcBorders>
              <w:top w:val="single" w:sz="6" w:space="0" w:color="auto"/>
              <w:left w:val="single" w:sz="6" w:space="0" w:color="auto"/>
              <w:bottom w:val="single" w:sz="6" w:space="0" w:color="auto"/>
              <w:right w:val="single" w:sz="6" w:space="0" w:color="auto"/>
            </w:tcBorders>
            <w:hideMark/>
          </w:tcPr>
          <w:p w14:paraId="744757C6"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0.30 </w:t>
            </w:r>
          </w:p>
        </w:tc>
        <w:tc>
          <w:tcPr>
            <w:tcW w:w="168" w:type="pct"/>
            <w:tcBorders>
              <w:top w:val="single" w:sz="6" w:space="0" w:color="auto"/>
              <w:left w:val="single" w:sz="6" w:space="0" w:color="auto"/>
              <w:bottom w:val="single" w:sz="6" w:space="0" w:color="auto"/>
              <w:right w:val="single" w:sz="6" w:space="0" w:color="auto"/>
            </w:tcBorders>
            <w:hideMark/>
          </w:tcPr>
          <w:p w14:paraId="6FFF37C5"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0.28 </w:t>
            </w:r>
          </w:p>
        </w:tc>
        <w:tc>
          <w:tcPr>
            <w:tcW w:w="168" w:type="pct"/>
            <w:tcBorders>
              <w:top w:val="single" w:sz="6" w:space="0" w:color="auto"/>
              <w:left w:val="single" w:sz="6" w:space="0" w:color="auto"/>
              <w:bottom w:val="single" w:sz="6" w:space="0" w:color="auto"/>
              <w:right w:val="single" w:sz="6" w:space="0" w:color="auto"/>
            </w:tcBorders>
            <w:hideMark/>
          </w:tcPr>
          <w:p w14:paraId="2D0B6FB0"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2AC874CD"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6735A959"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10AEA31C"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0.20 </w:t>
            </w:r>
          </w:p>
        </w:tc>
        <w:tc>
          <w:tcPr>
            <w:tcW w:w="168" w:type="pct"/>
            <w:tcBorders>
              <w:top w:val="single" w:sz="6" w:space="0" w:color="auto"/>
              <w:left w:val="single" w:sz="6" w:space="0" w:color="auto"/>
              <w:bottom w:val="single" w:sz="6" w:space="0" w:color="auto"/>
              <w:right w:val="single" w:sz="6" w:space="0" w:color="auto"/>
            </w:tcBorders>
            <w:hideMark/>
          </w:tcPr>
          <w:p w14:paraId="16B4329B"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0.17 </w:t>
            </w:r>
          </w:p>
        </w:tc>
        <w:tc>
          <w:tcPr>
            <w:tcW w:w="168" w:type="pct"/>
            <w:tcBorders>
              <w:top w:val="single" w:sz="6" w:space="0" w:color="auto"/>
              <w:left w:val="single" w:sz="6" w:space="0" w:color="auto"/>
              <w:bottom w:val="single" w:sz="6" w:space="0" w:color="auto"/>
              <w:right w:val="single" w:sz="6" w:space="0" w:color="auto"/>
            </w:tcBorders>
            <w:hideMark/>
          </w:tcPr>
          <w:p w14:paraId="1A061816"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76D6CB2C"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293D4641"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0.12 </w:t>
            </w:r>
          </w:p>
        </w:tc>
        <w:tc>
          <w:tcPr>
            <w:tcW w:w="8" w:type="pct"/>
            <w:vAlign w:val="center"/>
            <w:hideMark/>
          </w:tcPr>
          <w:p w14:paraId="2EBCFB6A" w14:textId="77777777" w:rsidR="00DB1AEE" w:rsidRPr="00DB1AEE" w:rsidRDefault="00DB1AEE" w:rsidP="00DB1AEE">
            <w:pPr>
              <w:widowControl w:val="0"/>
              <w:suppressAutoHyphens/>
              <w:autoSpaceDE w:val="0"/>
              <w:autoSpaceDN w:val="0"/>
              <w:jc w:val="left"/>
              <w:rPr>
                <w:bCs/>
                <w:iCs/>
                <w:sz w:val="20"/>
                <w:u w:val="single"/>
                <w:lang w:bidi="en-US"/>
              </w:rPr>
            </w:pPr>
          </w:p>
        </w:tc>
      </w:tr>
      <w:tr w:rsidR="00DB1AEE" w:rsidRPr="00DB1AEE" w14:paraId="3A846516" w14:textId="77777777" w:rsidTr="00FC1832">
        <w:trPr>
          <w:trHeight w:val="255"/>
        </w:trPr>
        <w:tc>
          <w:tcPr>
            <w:tcW w:w="716" w:type="pct"/>
            <w:tcBorders>
              <w:top w:val="single" w:sz="6" w:space="0" w:color="auto"/>
              <w:left w:val="single" w:sz="6" w:space="0" w:color="auto"/>
              <w:bottom w:val="single" w:sz="6" w:space="0" w:color="auto"/>
              <w:right w:val="single" w:sz="6" w:space="0" w:color="auto"/>
            </w:tcBorders>
            <w:hideMark/>
          </w:tcPr>
          <w:p w14:paraId="31F50B9B"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3.35 </w:t>
            </w:r>
          </w:p>
        </w:tc>
        <w:tc>
          <w:tcPr>
            <w:tcW w:w="916" w:type="pct"/>
            <w:tcBorders>
              <w:top w:val="single" w:sz="6" w:space="0" w:color="auto"/>
              <w:left w:val="single" w:sz="6" w:space="0" w:color="auto"/>
              <w:bottom w:val="single" w:sz="6" w:space="0" w:color="auto"/>
              <w:right w:val="single" w:sz="6" w:space="0" w:color="auto"/>
            </w:tcBorders>
            <w:hideMark/>
          </w:tcPr>
          <w:p w14:paraId="20CAFBB3"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0.66 </w:t>
            </w:r>
          </w:p>
        </w:tc>
        <w:tc>
          <w:tcPr>
            <w:tcW w:w="168" w:type="pct"/>
            <w:tcBorders>
              <w:top w:val="single" w:sz="6" w:space="0" w:color="auto"/>
              <w:left w:val="single" w:sz="6" w:space="0" w:color="auto"/>
              <w:bottom w:val="single" w:sz="6" w:space="0" w:color="auto"/>
              <w:right w:val="single" w:sz="6" w:space="0" w:color="auto"/>
            </w:tcBorders>
            <w:hideMark/>
          </w:tcPr>
          <w:p w14:paraId="2626B2F5"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0.59 </w:t>
            </w:r>
          </w:p>
        </w:tc>
        <w:tc>
          <w:tcPr>
            <w:tcW w:w="168" w:type="pct"/>
            <w:tcBorders>
              <w:top w:val="single" w:sz="6" w:space="0" w:color="auto"/>
              <w:left w:val="single" w:sz="6" w:space="0" w:color="auto"/>
              <w:bottom w:val="single" w:sz="6" w:space="0" w:color="auto"/>
              <w:right w:val="single" w:sz="6" w:space="0" w:color="auto"/>
            </w:tcBorders>
            <w:hideMark/>
          </w:tcPr>
          <w:p w14:paraId="35AC2BEF"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0.53 </w:t>
            </w:r>
          </w:p>
        </w:tc>
        <w:tc>
          <w:tcPr>
            <w:tcW w:w="168" w:type="pct"/>
            <w:tcBorders>
              <w:top w:val="single" w:sz="6" w:space="0" w:color="auto"/>
              <w:left w:val="single" w:sz="6" w:space="0" w:color="auto"/>
              <w:bottom w:val="single" w:sz="6" w:space="0" w:color="auto"/>
              <w:right w:val="single" w:sz="6" w:space="0" w:color="auto"/>
            </w:tcBorders>
            <w:hideMark/>
          </w:tcPr>
          <w:p w14:paraId="291E3BE1"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0.49 </w:t>
            </w:r>
          </w:p>
        </w:tc>
        <w:tc>
          <w:tcPr>
            <w:tcW w:w="168" w:type="pct"/>
            <w:tcBorders>
              <w:top w:val="single" w:sz="6" w:space="0" w:color="auto"/>
              <w:left w:val="single" w:sz="6" w:space="0" w:color="auto"/>
              <w:bottom w:val="single" w:sz="6" w:space="0" w:color="auto"/>
              <w:right w:val="single" w:sz="6" w:space="0" w:color="auto"/>
            </w:tcBorders>
            <w:hideMark/>
          </w:tcPr>
          <w:p w14:paraId="07EBE83B"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0.45 </w:t>
            </w:r>
          </w:p>
        </w:tc>
        <w:tc>
          <w:tcPr>
            <w:tcW w:w="168" w:type="pct"/>
            <w:tcBorders>
              <w:top w:val="single" w:sz="6" w:space="0" w:color="auto"/>
              <w:left w:val="single" w:sz="6" w:space="0" w:color="auto"/>
              <w:bottom w:val="single" w:sz="6" w:space="0" w:color="auto"/>
              <w:right w:val="single" w:sz="6" w:space="0" w:color="auto"/>
            </w:tcBorders>
            <w:hideMark/>
          </w:tcPr>
          <w:p w14:paraId="0038C979"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0.42 </w:t>
            </w:r>
          </w:p>
        </w:tc>
        <w:tc>
          <w:tcPr>
            <w:tcW w:w="168" w:type="pct"/>
            <w:tcBorders>
              <w:top w:val="single" w:sz="6" w:space="0" w:color="auto"/>
              <w:left w:val="single" w:sz="6" w:space="0" w:color="auto"/>
              <w:bottom w:val="single" w:sz="6" w:space="0" w:color="auto"/>
              <w:right w:val="single" w:sz="6" w:space="0" w:color="auto"/>
            </w:tcBorders>
            <w:hideMark/>
          </w:tcPr>
          <w:p w14:paraId="1D95D69D"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0.39 </w:t>
            </w:r>
          </w:p>
        </w:tc>
        <w:tc>
          <w:tcPr>
            <w:tcW w:w="168" w:type="pct"/>
            <w:tcBorders>
              <w:top w:val="single" w:sz="6" w:space="0" w:color="auto"/>
              <w:left w:val="single" w:sz="6" w:space="0" w:color="auto"/>
              <w:bottom w:val="single" w:sz="6" w:space="0" w:color="auto"/>
              <w:right w:val="single" w:sz="6" w:space="0" w:color="auto"/>
            </w:tcBorders>
            <w:hideMark/>
          </w:tcPr>
          <w:p w14:paraId="18570C99"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0.36 </w:t>
            </w:r>
          </w:p>
        </w:tc>
        <w:tc>
          <w:tcPr>
            <w:tcW w:w="168" w:type="pct"/>
            <w:tcBorders>
              <w:top w:val="single" w:sz="6" w:space="0" w:color="auto"/>
              <w:left w:val="single" w:sz="6" w:space="0" w:color="auto"/>
              <w:bottom w:val="single" w:sz="6" w:space="0" w:color="auto"/>
              <w:right w:val="single" w:sz="6" w:space="0" w:color="auto"/>
            </w:tcBorders>
            <w:hideMark/>
          </w:tcPr>
          <w:p w14:paraId="5E8AF6FD"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0.34 </w:t>
            </w:r>
          </w:p>
        </w:tc>
        <w:tc>
          <w:tcPr>
            <w:tcW w:w="168" w:type="pct"/>
            <w:tcBorders>
              <w:top w:val="single" w:sz="6" w:space="0" w:color="auto"/>
              <w:left w:val="single" w:sz="6" w:space="0" w:color="auto"/>
              <w:bottom w:val="single" w:sz="6" w:space="0" w:color="auto"/>
              <w:right w:val="single" w:sz="6" w:space="0" w:color="auto"/>
            </w:tcBorders>
            <w:hideMark/>
          </w:tcPr>
          <w:p w14:paraId="14322499"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62B2CF81"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0.31 </w:t>
            </w:r>
          </w:p>
        </w:tc>
        <w:tc>
          <w:tcPr>
            <w:tcW w:w="168" w:type="pct"/>
            <w:tcBorders>
              <w:top w:val="single" w:sz="6" w:space="0" w:color="auto"/>
              <w:left w:val="single" w:sz="6" w:space="0" w:color="auto"/>
              <w:bottom w:val="single" w:sz="6" w:space="0" w:color="auto"/>
              <w:right w:val="single" w:sz="6" w:space="0" w:color="auto"/>
            </w:tcBorders>
            <w:hideMark/>
          </w:tcPr>
          <w:p w14:paraId="00CF8479"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3419CC0E"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0.28 </w:t>
            </w:r>
          </w:p>
        </w:tc>
        <w:tc>
          <w:tcPr>
            <w:tcW w:w="168" w:type="pct"/>
            <w:tcBorders>
              <w:top w:val="single" w:sz="6" w:space="0" w:color="auto"/>
              <w:left w:val="single" w:sz="6" w:space="0" w:color="auto"/>
              <w:bottom w:val="single" w:sz="6" w:space="0" w:color="auto"/>
              <w:right w:val="single" w:sz="6" w:space="0" w:color="auto"/>
            </w:tcBorders>
            <w:hideMark/>
          </w:tcPr>
          <w:p w14:paraId="5CB61478"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503C2DB3"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2FB215FA"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0.24 </w:t>
            </w:r>
          </w:p>
        </w:tc>
        <w:tc>
          <w:tcPr>
            <w:tcW w:w="168" w:type="pct"/>
            <w:tcBorders>
              <w:top w:val="single" w:sz="6" w:space="0" w:color="auto"/>
              <w:left w:val="single" w:sz="6" w:space="0" w:color="auto"/>
              <w:bottom w:val="single" w:sz="6" w:space="0" w:color="auto"/>
              <w:right w:val="single" w:sz="6" w:space="0" w:color="auto"/>
            </w:tcBorders>
            <w:hideMark/>
          </w:tcPr>
          <w:p w14:paraId="5E01EB84"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0.20 </w:t>
            </w:r>
          </w:p>
        </w:tc>
        <w:tc>
          <w:tcPr>
            <w:tcW w:w="168" w:type="pct"/>
            <w:tcBorders>
              <w:top w:val="single" w:sz="6" w:space="0" w:color="auto"/>
              <w:left w:val="single" w:sz="6" w:space="0" w:color="auto"/>
              <w:bottom w:val="single" w:sz="6" w:space="0" w:color="auto"/>
              <w:right w:val="single" w:sz="6" w:space="0" w:color="auto"/>
            </w:tcBorders>
            <w:hideMark/>
          </w:tcPr>
          <w:p w14:paraId="0AB4FCAD"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0.17 </w:t>
            </w:r>
          </w:p>
        </w:tc>
        <w:tc>
          <w:tcPr>
            <w:tcW w:w="168" w:type="pct"/>
            <w:tcBorders>
              <w:top w:val="single" w:sz="6" w:space="0" w:color="auto"/>
              <w:left w:val="single" w:sz="6" w:space="0" w:color="auto"/>
              <w:bottom w:val="single" w:sz="6" w:space="0" w:color="auto"/>
              <w:right w:val="single" w:sz="6" w:space="0" w:color="auto"/>
            </w:tcBorders>
            <w:hideMark/>
          </w:tcPr>
          <w:p w14:paraId="5C4E2488"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3CDC4B46"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6A409C69"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0.12 </w:t>
            </w:r>
          </w:p>
        </w:tc>
        <w:tc>
          <w:tcPr>
            <w:tcW w:w="8" w:type="pct"/>
            <w:vAlign w:val="center"/>
            <w:hideMark/>
          </w:tcPr>
          <w:p w14:paraId="4BBD5C22" w14:textId="77777777" w:rsidR="00DB1AEE" w:rsidRPr="00DB1AEE" w:rsidRDefault="00DB1AEE" w:rsidP="00DB1AEE">
            <w:pPr>
              <w:widowControl w:val="0"/>
              <w:suppressAutoHyphens/>
              <w:autoSpaceDE w:val="0"/>
              <w:autoSpaceDN w:val="0"/>
              <w:jc w:val="left"/>
              <w:rPr>
                <w:bCs/>
                <w:iCs/>
                <w:sz w:val="20"/>
                <w:u w:val="single"/>
                <w:lang w:bidi="en-US"/>
              </w:rPr>
            </w:pPr>
          </w:p>
        </w:tc>
      </w:tr>
      <w:tr w:rsidR="00DB1AEE" w:rsidRPr="00DB1AEE" w14:paraId="179A3850" w14:textId="77777777" w:rsidTr="00FC1832">
        <w:trPr>
          <w:trHeight w:val="210"/>
        </w:trPr>
        <w:tc>
          <w:tcPr>
            <w:tcW w:w="716" w:type="pct"/>
            <w:tcBorders>
              <w:top w:val="single" w:sz="6" w:space="0" w:color="auto"/>
              <w:left w:val="single" w:sz="6" w:space="0" w:color="auto"/>
              <w:bottom w:val="single" w:sz="6" w:space="0" w:color="auto"/>
              <w:right w:val="single" w:sz="6" w:space="0" w:color="auto"/>
            </w:tcBorders>
            <w:hideMark/>
          </w:tcPr>
          <w:p w14:paraId="0426C394"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3.70 </w:t>
            </w:r>
          </w:p>
        </w:tc>
        <w:tc>
          <w:tcPr>
            <w:tcW w:w="916" w:type="pct"/>
            <w:tcBorders>
              <w:top w:val="single" w:sz="6" w:space="0" w:color="auto"/>
              <w:left w:val="single" w:sz="6" w:space="0" w:color="auto"/>
              <w:bottom w:val="single" w:sz="6" w:space="0" w:color="auto"/>
              <w:right w:val="single" w:sz="6" w:space="0" w:color="auto"/>
            </w:tcBorders>
            <w:hideMark/>
          </w:tcPr>
          <w:p w14:paraId="5E29BC49"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0.64 </w:t>
            </w:r>
          </w:p>
        </w:tc>
        <w:tc>
          <w:tcPr>
            <w:tcW w:w="168" w:type="pct"/>
            <w:tcBorders>
              <w:top w:val="single" w:sz="6" w:space="0" w:color="auto"/>
              <w:left w:val="single" w:sz="6" w:space="0" w:color="auto"/>
              <w:bottom w:val="single" w:sz="6" w:space="0" w:color="auto"/>
              <w:right w:val="single" w:sz="6" w:space="0" w:color="auto"/>
            </w:tcBorders>
            <w:hideMark/>
          </w:tcPr>
          <w:p w14:paraId="02292D37"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0.58 </w:t>
            </w:r>
          </w:p>
        </w:tc>
        <w:tc>
          <w:tcPr>
            <w:tcW w:w="168" w:type="pct"/>
            <w:tcBorders>
              <w:top w:val="single" w:sz="6" w:space="0" w:color="auto"/>
              <w:left w:val="single" w:sz="6" w:space="0" w:color="auto"/>
              <w:bottom w:val="single" w:sz="6" w:space="0" w:color="auto"/>
              <w:right w:val="single" w:sz="6" w:space="0" w:color="auto"/>
            </w:tcBorders>
            <w:hideMark/>
          </w:tcPr>
          <w:p w14:paraId="00B851A7"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0.52 </w:t>
            </w:r>
          </w:p>
        </w:tc>
        <w:tc>
          <w:tcPr>
            <w:tcW w:w="168" w:type="pct"/>
            <w:tcBorders>
              <w:top w:val="single" w:sz="6" w:space="0" w:color="auto"/>
              <w:left w:val="single" w:sz="6" w:space="0" w:color="auto"/>
              <w:bottom w:val="single" w:sz="6" w:space="0" w:color="auto"/>
              <w:right w:val="single" w:sz="6" w:space="0" w:color="auto"/>
            </w:tcBorders>
            <w:hideMark/>
          </w:tcPr>
          <w:p w14:paraId="3A212FC3"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0.48 </w:t>
            </w:r>
          </w:p>
        </w:tc>
        <w:tc>
          <w:tcPr>
            <w:tcW w:w="168" w:type="pct"/>
            <w:tcBorders>
              <w:top w:val="single" w:sz="6" w:space="0" w:color="auto"/>
              <w:left w:val="single" w:sz="6" w:space="0" w:color="auto"/>
              <w:bottom w:val="single" w:sz="6" w:space="0" w:color="auto"/>
              <w:right w:val="single" w:sz="6" w:space="0" w:color="auto"/>
            </w:tcBorders>
            <w:hideMark/>
          </w:tcPr>
          <w:p w14:paraId="2632303D"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0.44 </w:t>
            </w:r>
          </w:p>
        </w:tc>
        <w:tc>
          <w:tcPr>
            <w:tcW w:w="168" w:type="pct"/>
            <w:tcBorders>
              <w:top w:val="single" w:sz="6" w:space="0" w:color="auto"/>
              <w:left w:val="single" w:sz="6" w:space="0" w:color="auto"/>
              <w:bottom w:val="single" w:sz="6" w:space="0" w:color="auto"/>
              <w:right w:val="single" w:sz="6" w:space="0" w:color="auto"/>
            </w:tcBorders>
            <w:hideMark/>
          </w:tcPr>
          <w:p w14:paraId="6E716A2D"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0.41 </w:t>
            </w:r>
          </w:p>
        </w:tc>
        <w:tc>
          <w:tcPr>
            <w:tcW w:w="168" w:type="pct"/>
            <w:tcBorders>
              <w:top w:val="single" w:sz="6" w:space="0" w:color="auto"/>
              <w:left w:val="single" w:sz="6" w:space="0" w:color="auto"/>
              <w:bottom w:val="single" w:sz="6" w:space="0" w:color="auto"/>
              <w:right w:val="single" w:sz="6" w:space="0" w:color="auto"/>
            </w:tcBorders>
            <w:hideMark/>
          </w:tcPr>
          <w:p w14:paraId="10032E45"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0.38 </w:t>
            </w:r>
          </w:p>
        </w:tc>
        <w:tc>
          <w:tcPr>
            <w:tcW w:w="168" w:type="pct"/>
            <w:tcBorders>
              <w:top w:val="single" w:sz="6" w:space="0" w:color="auto"/>
              <w:left w:val="single" w:sz="6" w:space="0" w:color="auto"/>
              <w:bottom w:val="single" w:sz="6" w:space="0" w:color="auto"/>
              <w:right w:val="single" w:sz="6" w:space="0" w:color="auto"/>
            </w:tcBorders>
            <w:hideMark/>
          </w:tcPr>
          <w:p w14:paraId="6512D286"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0.36 </w:t>
            </w:r>
          </w:p>
        </w:tc>
        <w:tc>
          <w:tcPr>
            <w:tcW w:w="168" w:type="pct"/>
            <w:tcBorders>
              <w:top w:val="single" w:sz="6" w:space="0" w:color="auto"/>
              <w:left w:val="single" w:sz="6" w:space="0" w:color="auto"/>
              <w:bottom w:val="single" w:sz="6" w:space="0" w:color="auto"/>
              <w:right w:val="single" w:sz="6" w:space="0" w:color="auto"/>
            </w:tcBorders>
            <w:hideMark/>
          </w:tcPr>
          <w:p w14:paraId="1E234722"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0.34 </w:t>
            </w:r>
          </w:p>
        </w:tc>
        <w:tc>
          <w:tcPr>
            <w:tcW w:w="168" w:type="pct"/>
            <w:tcBorders>
              <w:top w:val="single" w:sz="6" w:space="0" w:color="auto"/>
              <w:left w:val="single" w:sz="6" w:space="0" w:color="auto"/>
              <w:bottom w:val="single" w:sz="6" w:space="0" w:color="auto"/>
              <w:right w:val="single" w:sz="6" w:space="0" w:color="auto"/>
            </w:tcBorders>
            <w:hideMark/>
          </w:tcPr>
          <w:p w14:paraId="4A6C9EC5"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4413C6FB"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0.30 </w:t>
            </w:r>
          </w:p>
        </w:tc>
        <w:tc>
          <w:tcPr>
            <w:tcW w:w="168" w:type="pct"/>
            <w:tcBorders>
              <w:top w:val="single" w:sz="6" w:space="0" w:color="auto"/>
              <w:left w:val="single" w:sz="6" w:space="0" w:color="auto"/>
              <w:bottom w:val="single" w:sz="6" w:space="0" w:color="auto"/>
              <w:right w:val="single" w:sz="6" w:space="0" w:color="auto"/>
            </w:tcBorders>
            <w:hideMark/>
          </w:tcPr>
          <w:p w14:paraId="45C555BD"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3E77033C"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76C3EAE3"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5516FB5A"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6DB59352"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0.24 </w:t>
            </w:r>
          </w:p>
        </w:tc>
        <w:tc>
          <w:tcPr>
            <w:tcW w:w="168" w:type="pct"/>
            <w:tcBorders>
              <w:top w:val="single" w:sz="6" w:space="0" w:color="auto"/>
              <w:left w:val="single" w:sz="6" w:space="0" w:color="auto"/>
              <w:bottom w:val="single" w:sz="6" w:space="0" w:color="auto"/>
              <w:right w:val="single" w:sz="6" w:space="0" w:color="auto"/>
            </w:tcBorders>
            <w:hideMark/>
          </w:tcPr>
          <w:p w14:paraId="69E192A5"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0.20 </w:t>
            </w:r>
          </w:p>
        </w:tc>
        <w:tc>
          <w:tcPr>
            <w:tcW w:w="168" w:type="pct"/>
            <w:tcBorders>
              <w:top w:val="single" w:sz="6" w:space="0" w:color="auto"/>
              <w:left w:val="single" w:sz="6" w:space="0" w:color="auto"/>
              <w:bottom w:val="single" w:sz="6" w:space="0" w:color="auto"/>
              <w:right w:val="single" w:sz="6" w:space="0" w:color="auto"/>
            </w:tcBorders>
            <w:hideMark/>
          </w:tcPr>
          <w:p w14:paraId="0DC3A67A"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0.17 </w:t>
            </w:r>
          </w:p>
        </w:tc>
        <w:tc>
          <w:tcPr>
            <w:tcW w:w="168" w:type="pct"/>
            <w:tcBorders>
              <w:top w:val="single" w:sz="6" w:space="0" w:color="auto"/>
              <w:left w:val="single" w:sz="6" w:space="0" w:color="auto"/>
              <w:bottom w:val="single" w:sz="6" w:space="0" w:color="auto"/>
              <w:right w:val="single" w:sz="6" w:space="0" w:color="auto"/>
            </w:tcBorders>
            <w:hideMark/>
          </w:tcPr>
          <w:p w14:paraId="25D64454"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28081239"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58AFE807"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0.12 </w:t>
            </w:r>
          </w:p>
        </w:tc>
        <w:tc>
          <w:tcPr>
            <w:tcW w:w="8" w:type="pct"/>
            <w:vAlign w:val="center"/>
            <w:hideMark/>
          </w:tcPr>
          <w:p w14:paraId="6F652DC8" w14:textId="77777777" w:rsidR="00DB1AEE" w:rsidRPr="00DB1AEE" w:rsidRDefault="00DB1AEE" w:rsidP="00DB1AEE">
            <w:pPr>
              <w:widowControl w:val="0"/>
              <w:suppressAutoHyphens/>
              <w:autoSpaceDE w:val="0"/>
              <w:autoSpaceDN w:val="0"/>
              <w:jc w:val="left"/>
              <w:rPr>
                <w:bCs/>
                <w:iCs/>
                <w:sz w:val="20"/>
                <w:u w:val="single"/>
                <w:lang w:bidi="en-US"/>
              </w:rPr>
            </w:pPr>
          </w:p>
        </w:tc>
      </w:tr>
      <w:tr w:rsidR="00DB1AEE" w:rsidRPr="00DB1AEE" w14:paraId="2CF68E0E" w14:textId="77777777" w:rsidTr="00FC1832">
        <w:trPr>
          <w:trHeight w:val="255"/>
        </w:trPr>
        <w:tc>
          <w:tcPr>
            <w:tcW w:w="716" w:type="pct"/>
            <w:tcBorders>
              <w:top w:val="single" w:sz="6" w:space="0" w:color="auto"/>
              <w:left w:val="single" w:sz="6" w:space="0" w:color="auto"/>
              <w:bottom w:val="single" w:sz="6" w:space="0" w:color="auto"/>
              <w:right w:val="single" w:sz="6" w:space="0" w:color="auto"/>
            </w:tcBorders>
            <w:hideMark/>
          </w:tcPr>
          <w:p w14:paraId="126F02D9"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4.40 </w:t>
            </w:r>
          </w:p>
        </w:tc>
        <w:tc>
          <w:tcPr>
            <w:tcW w:w="916" w:type="pct"/>
            <w:tcBorders>
              <w:top w:val="single" w:sz="6" w:space="0" w:color="auto"/>
              <w:left w:val="single" w:sz="6" w:space="0" w:color="auto"/>
              <w:bottom w:val="single" w:sz="6" w:space="0" w:color="auto"/>
              <w:right w:val="single" w:sz="6" w:space="0" w:color="auto"/>
            </w:tcBorders>
            <w:hideMark/>
          </w:tcPr>
          <w:p w14:paraId="47CCF1A2"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0.62 </w:t>
            </w:r>
          </w:p>
        </w:tc>
        <w:tc>
          <w:tcPr>
            <w:tcW w:w="168" w:type="pct"/>
            <w:tcBorders>
              <w:top w:val="single" w:sz="6" w:space="0" w:color="auto"/>
              <w:left w:val="single" w:sz="6" w:space="0" w:color="auto"/>
              <w:bottom w:val="single" w:sz="6" w:space="0" w:color="auto"/>
              <w:right w:val="single" w:sz="6" w:space="0" w:color="auto"/>
            </w:tcBorders>
            <w:hideMark/>
          </w:tcPr>
          <w:p w14:paraId="1C5EB38A"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0.56 </w:t>
            </w:r>
          </w:p>
        </w:tc>
        <w:tc>
          <w:tcPr>
            <w:tcW w:w="168" w:type="pct"/>
            <w:tcBorders>
              <w:top w:val="single" w:sz="6" w:space="0" w:color="auto"/>
              <w:left w:val="single" w:sz="6" w:space="0" w:color="auto"/>
              <w:bottom w:val="single" w:sz="6" w:space="0" w:color="auto"/>
              <w:right w:val="single" w:sz="6" w:space="0" w:color="auto"/>
            </w:tcBorders>
            <w:hideMark/>
          </w:tcPr>
          <w:p w14:paraId="781A66E2"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0.51 </w:t>
            </w:r>
          </w:p>
        </w:tc>
        <w:tc>
          <w:tcPr>
            <w:tcW w:w="168" w:type="pct"/>
            <w:tcBorders>
              <w:top w:val="single" w:sz="6" w:space="0" w:color="auto"/>
              <w:left w:val="single" w:sz="6" w:space="0" w:color="auto"/>
              <w:bottom w:val="single" w:sz="6" w:space="0" w:color="auto"/>
              <w:right w:val="single" w:sz="6" w:space="0" w:color="auto"/>
            </w:tcBorders>
            <w:hideMark/>
          </w:tcPr>
          <w:p w14:paraId="27E9DD52"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0.47 </w:t>
            </w:r>
          </w:p>
        </w:tc>
        <w:tc>
          <w:tcPr>
            <w:tcW w:w="168" w:type="pct"/>
            <w:tcBorders>
              <w:top w:val="single" w:sz="6" w:space="0" w:color="auto"/>
              <w:left w:val="single" w:sz="6" w:space="0" w:color="auto"/>
              <w:bottom w:val="single" w:sz="6" w:space="0" w:color="auto"/>
              <w:right w:val="single" w:sz="6" w:space="0" w:color="auto"/>
            </w:tcBorders>
            <w:hideMark/>
          </w:tcPr>
          <w:p w14:paraId="51DC57F2"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0.43 </w:t>
            </w:r>
          </w:p>
        </w:tc>
        <w:tc>
          <w:tcPr>
            <w:tcW w:w="168" w:type="pct"/>
            <w:tcBorders>
              <w:top w:val="single" w:sz="6" w:space="0" w:color="auto"/>
              <w:left w:val="single" w:sz="6" w:space="0" w:color="auto"/>
              <w:bottom w:val="single" w:sz="6" w:space="0" w:color="auto"/>
              <w:right w:val="single" w:sz="6" w:space="0" w:color="auto"/>
            </w:tcBorders>
            <w:hideMark/>
          </w:tcPr>
          <w:p w14:paraId="0D26D1DC"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0.40 </w:t>
            </w:r>
          </w:p>
        </w:tc>
        <w:tc>
          <w:tcPr>
            <w:tcW w:w="168" w:type="pct"/>
            <w:tcBorders>
              <w:top w:val="single" w:sz="6" w:space="0" w:color="auto"/>
              <w:left w:val="single" w:sz="6" w:space="0" w:color="auto"/>
              <w:bottom w:val="single" w:sz="6" w:space="0" w:color="auto"/>
              <w:right w:val="single" w:sz="6" w:space="0" w:color="auto"/>
            </w:tcBorders>
            <w:hideMark/>
          </w:tcPr>
          <w:p w14:paraId="254D8A77"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0.37 </w:t>
            </w:r>
          </w:p>
        </w:tc>
        <w:tc>
          <w:tcPr>
            <w:tcW w:w="168" w:type="pct"/>
            <w:tcBorders>
              <w:top w:val="single" w:sz="6" w:space="0" w:color="auto"/>
              <w:left w:val="single" w:sz="6" w:space="0" w:color="auto"/>
              <w:bottom w:val="single" w:sz="6" w:space="0" w:color="auto"/>
              <w:right w:val="single" w:sz="6" w:space="0" w:color="auto"/>
            </w:tcBorders>
            <w:hideMark/>
          </w:tcPr>
          <w:p w14:paraId="2AC5AAC8"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0.35 </w:t>
            </w:r>
          </w:p>
        </w:tc>
        <w:tc>
          <w:tcPr>
            <w:tcW w:w="168" w:type="pct"/>
            <w:tcBorders>
              <w:top w:val="single" w:sz="6" w:space="0" w:color="auto"/>
              <w:left w:val="single" w:sz="6" w:space="0" w:color="auto"/>
              <w:bottom w:val="single" w:sz="6" w:space="0" w:color="auto"/>
              <w:right w:val="single" w:sz="6" w:space="0" w:color="auto"/>
            </w:tcBorders>
            <w:hideMark/>
          </w:tcPr>
          <w:p w14:paraId="7C35934B"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0.33 </w:t>
            </w:r>
          </w:p>
        </w:tc>
        <w:tc>
          <w:tcPr>
            <w:tcW w:w="168" w:type="pct"/>
            <w:tcBorders>
              <w:top w:val="single" w:sz="6" w:space="0" w:color="auto"/>
              <w:left w:val="single" w:sz="6" w:space="0" w:color="auto"/>
              <w:bottom w:val="single" w:sz="6" w:space="0" w:color="auto"/>
              <w:right w:val="single" w:sz="6" w:space="0" w:color="auto"/>
            </w:tcBorders>
            <w:hideMark/>
          </w:tcPr>
          <w:p w14:paraId="2E609FE1"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0.31 </w:t>
            </w:r>
          </w:p>
        </w:tc>
        <w:tc>
          <w:tcPr>
            <w:tcW w:w="168" w:type="pct"/>
            <w:tcBorders>
              <w:top w:val="single" w:sz="6" w:space="0" w:color="auto"/>
              <w:left w:val="single" w:sz="6" w:space="0" w:color="auto"/>
              <w:bottom w:val="single" w:sz="6" w:space="0" w:color="auto"/>
              <w:right w:val="single" w:sz="6" w:space="0" w:color="auto"/>
            </w:tcBorders>
            <w:hideMark/>
          </w:tcPr>
          <w:p w14:paraId="4BE2497D"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0.30 </w:t>
            </w:r>
          </w:p>
        </w:tc>
        <w:tc>
          <w:tcPr>
            <w:tcW w:w="168" w:type="pct"/>
            <w:tcBorders>
              <w:top w:val="single" w:sz="6" w:space="0" w:color="auto"/>
              <w:left w:val="single" w:sz="6" w:space="0" w:color="auto"/>
              <w:bottom w:val="single" w:sz="6" w:space="0" w:color="auto"/>
              <w:right w:val="single" w:sz="6" w:space="0" w:color="auto"/>
            </w:tcBorders>
            <w:hideMark/>
          </w:tcPr>
          <w:p w14:paraId="432A1694"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0.28 </w:t>
            </w:r>
          </w:p>
        </w:tc>
        <w:tc>
          <w:tcPr>
            <w:tcW w:w="168" w:type="pct"/>
            <w:tcBorders>
              <w:top w:val="single" w:sz="6" w:space="0" w:color="auto"/>
              <w:left w:val="single" w:sz="6" w:space="0" w:color="auto"/>
              <w:bottom w:val="single" w:sz="6" w:space="0" w:color="auto"/>
              <w:right w:val="single" w:sz="6" w:space="0" w:color="auto"/>
            </w:tcBorders>
            <w:hideMark/>
          </w:tcPr>
          <w:p w14:paraId="40B10142"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618A247B"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0BA664EB"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0.24 </w:t>
            </w:r>
          </w:p>
        </w:tc>
        <w:tc>
          <w:tcPr>
            <w:tcW w:w="168" w:type="pct"/>
            <w:tcBorders>
              <w:top w:val="single" w:sz="6" w:space="0" w:color="auto"/>
              <w:left w:val="single" w:sz="6" w:space="0" w:color="auto"/>
              <w:bottom w:val="single" w:sz="6" w:space="0" w:color="auto"/>
              <w:right w:val="single" w:sz="6" w:space="0" w:color="auto"/>
            </w:tcBorders>
            <w:hideMark/>
          </w:tcPr>
          <w:p w14:paraId="097A43DF"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0.23 </w:t>
            </w:r>
          </w:p>
        </w:tc>
        <w:tc>
          <w:tcPr>
            <w:tcW w:w="168" w:type="pct"/>
            <w:tcBorders>
              <w:top w:val="single" w:sz="6" w:space="0" w:color="auto"/>
              <w:left w:val="single" w:sz="6" w:space="0" w:color="auto"/>
              <w:bottom w:val="single" w:sz="6" w:space="0" w:color="auto"/>
              <w:right w:val="single" w:sz="6" w:space="0" w:color="auto"/>
            </w:tcBorders>
            <w:hideMark/>
          </w:tcPr>
          <w:p w14:paraId="328A73D7"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0.19 </w:t>
            </w:r>
          </w:p>
        </w:tc>
        <w:tc>
          <w:tcPr>
            <w:tcW w:w="168" w:type="pct"/>
            <w:tcBorders>
              <w:top w:val="single" w:sz="6" w:space="0" w:color="auto"/>
              <w:left w:val="single" w:sz="6" w:space="0" w:color="auto"/>
              <w:bottom w:val="single" w:sz="6" w:space="0" w:color="auto"/>
              <w:right w:val="single" w:sz="6" w:space="0" w:color="auto"/>
            </w:tcBorders>
            <w:hideMark/>
          </w:tcPr>
          <w:p w14:paraId="048AD0EE"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0.17 </w:t>
            </w:r>
          </w:p>
        </w:tc>
        <w:tc>
          <w:tcPr>
            <w:tcW w:w="168" w:type="pct"/>
            <w:tcBorders>
              <w:top w:val="single" w:sz="6" w:space="0" w:color="auto"/>
              <w:left w:val="single" w:sz="6" w:space="0" w:color="auto"/>
              <w:bottom w:val="single" w:sz="6" w:space="0" w:color="auto"/>
              <w:right w:val="single" w:sz="6" w:space="0" w:color="auto"/>
            </w:tcBorders>
            <w:hideMark/>
          </w:tcPr>
          <w:p w14:paraId="5C7DFB6C"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0.14 </w:t>
            </w:r>
          </w:p>
        </w:tc>
        <w:tc>
          <w:tcPr>
            <w:tcW w:w="168" w:type="pct"/>
            <w:tcBorders>
              <w:top w:val="single" w:sz="6" w:space="0" w:color="auto"/>
              <w:left w:val="single" w:sz="6" w:space="0" w:color="auto"/>
              <w:bottom w:val="single" w:sz="6" w:space="0" w:color="auto"/>
              <w:right w:val="single" w:sz="6" w:space="0" w:color="auto"/>
            </w:tcBorders>
            <w:hideMark/>
          </w:tcPr>
          <w:p w14:paraId="68234A94"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2CF102A2"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0.12 </w:t>
            </w:r>
          </w:p>
        </w:tc>
        <w:tc>
          <w:tcPr>
            <w:tcW w:w="8" w:type="pct"/>
            <w:vAlign w:val="center"/>
            <w:hideMark/>
          </w:tcPr>
          <w:p w14:paraId="34FEC5C9" w14:textId="77777777" w:rsidR="00DB1AEE" w:rsidRPr="00DB1AEE" w:rsidRDefault="00DB1AEE" w:rsidP="00DB1AEE">
            <w:pPr>
              <w:widowControl w:val="0"/>
              <w:suppressAutoHyphens/>
              <w:autoSpaceDE w:val="0"/>
              <w:autoSpaceDN w:val="0"/>
              <w:jc w:val="left"/>
              <w:rPr>
                <w:bCs/>
                <w:iCs/>
                <w:sz w:val="20"/>
                <w:u w:val="single"/>
                <w:lang w:bidi="en-US"/>
              </w:rPr>
            </w:pPr>
          </w:p>
        </w:tc>
      </w:tr>
      <w:tr w:rsidR="00DB1AEE" w:rsidRPr="00DB1AEE" w14:paraId="0EA32943" w14:textId="77777777" w:rsidTr="00FC1832">
        <w:trPr>
          <w:trHeight w:val="315"/>
        </w:trPr>
        <w:tc>
          <w:tcPr>
            <w:tcW w:w="716" w:type="pct"/>
            <w:tcBorders>
              <w:top w:val="single" w:sz="6" w:space="0" w:color="auto"/>
              <w:left w:val="single" w:sz="6" w:space="0" w:color="auto"/>
              <w:bottom w:val="single" w:sz="6" w:space="0" w:color="auto"/>
              <w:right w:val="single" w:sz="6" w:space="0" w:color="auto"/>
            </w:tcBorders>
            <w:hideMark/>
          </w:tcPr>
          <w:p w14:paraId="09B4875B"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5.28 </w:t>
            </w:r>
          </w:p>
        </w:tc>
        <w:tc>
          <w:tcPr>
            <w:tcW w:w="916" w:type="pct"/>
            <w:tcBorders>
              <w:top w:val="single" w:sz="6" w:space="0" w:color="auto"/>
              <w:left w:val="single" w:sz="6" w:space="0" w:color="auto"/>
              <w:bottom w:val="single" w:sz="6" w:space="0" w:color="auto"/>
              <w:right w:val="single" w:sz="6" w:space="0" w:color="auto"/>
            </w:tcBorders>
            <w:hideMark/>
          </w:tcPr>
          <w:p w14:paraId="6DB9607C"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0.59 </w:t>
            </w:r>
          </w:p>
        </w:tc>
        <w:tc>
          <w:tcPr>
            <w:tcW w:w="168" w:type="pct"/>
            <w:tcBorders>
              <w:top w:val="single" w:sz="6" w:space="0" w:color="auto"/>
              <w:left w:val="single" w:sz="6" w:space="0" w:color="auto"/>
              <w:bottom w:val="single" w:sz="6" w:space="0" w:color="auto"/>
              <w:right w:val="single" w:sz="6" w:space="0" w:color="auto"/>
            </w:tcBorders>
            <w:hideMark/>
          </w:tcPr>
          <w:p w14:paraId="7BB75840"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0.54 </w:t>
            </w:r>
          </w:p>
        </w:tc>
        <w:tc>
          <w:tcPr>
            <w:tcW w:w="168" w:type="pct"/>
            <w:tcBorders>
              <w:top w:val="single" w:sz="6" w:space="0" w:color="auto"/>
              <w:left w:val="single" w:sz="6" w:space="0" w:color="auto"/>
              <w:bottom w:val="single" w:sz="6" w:space="0" w:color="auto"/>
              <w:right w:val="single" w:sz="6" w:space="0" w:color="auto"/>
            </w:tcBorders>
            <w:hideMark/>
          </w:tcPr>
          <w:p w14:paraId="43C17BF9"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0.49 </w:t>
            </w:r>
          </w:p>
        </w:tc>
        <w:tc>
          <w:tcPr>
            <w:tcW w:w="168" w:type="pct"/>
            <w:tcBorders>
              <w:top w:val="single" w:sz="6" w:space="0" w:color="auto"/>
              <w:left w:val="single" w:sz="6" w:space="0" w:color="auto"/>
              <w:bottom w:val="single" w:sz="6" w:space="0" w:color="auto"/>
              <w:right w:val="single" w:sz="6" w:space="0" w:color="auto"/>
            </w:tcBorders>
            <w:hideMark/>
          </w:tcPr>
          <w:p w14:paraId="70BDC882"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0.45 </w:t>
            </w:r>
          </w:p>
        </w:tc>
        <w:tc>
          <w:tcPr>
            <w:tcW w:w="168" w:type="pct"/>
            <w:tcBorders>
              <w:top w:val="single" w:sz="6" w:space="0" w:color="auto"/>
              <w:left w:val="single" w:sz="6" w:space="0" w:color="auto"/>
              <w:bottom w:val="single" w:sz="6" w:space="0" w:color="auto"/>
              <w:right w:val="single" w:sz="6" w:space="0" w:color="auto"/>
            </w:tcBorders>
            <w:hideMark/>
          </w:tcPr>
          <w:p w14:paraId="3BC22740"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0.42 </w:t>
            </w:r>
          </w:p>
        </w:tc>
        <w:tc>
          <w:tcPr>
            <w:tcW w:w="168" w:type="pct"/>
            <w:tcBorders>
              <w:top w:val="single" w:sz="6" w:space="0" w:color="auto"/>
              <w:left w:val="single" w:sz="6" w:space="0" w:color="auto"/>
              <w:bottom w:val="single" w:sz="6" w:space="0" w:color="auto"/>
              <w:right w:val="single" w:sz="6" w:space="0" w:color="auto"/>
            </w:tcBorders>
            <w:hideMark/>
          </w:tcPr>
          <w:p w14:paraId="22689E30"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0.39 </w:t>
            </w:r>
          </w:p>
        </w:tc>
        <w:tc>
          <w:tcPr>
            <w:tcW w:w="168" w:type="pct"/>
            <w:tcBorders>
              <w:top w:val="single" w:sz="6" w:space="0" w:color="auto"/>
              <w:left w:val="single" w:sz="6" w:space="0" w:color="auto"/>
              <w:bottom w:val="single" w:sz="6" w:space="0" w:color="auto"/>
              <w:right w:val="single" w:sz="6" w:space="0" w:color="auto"/>
            </w:tcBorders>
            <w:hideMark/>
          </w:tcPr>
          <w:p w14:paraId="22896C69"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0.36 </w:t>
            </w:r>
          </w:p>
        </w:tc>
        <w:tc>
          <w:tcPr>
            <w:tcW w:w="168" w:type="pct"/>
            <w:tcBorders>
              <w:top w:val="single" w:sz="6" w:space="0" w:color="auto"/>
              <w:left w:val="single" w:sz="6" w:space="0" w:color="auto"/>
              <w:bottom w:val="single" w:sz="6" w:space="0" w:color="auto"/>
              <w:right w:val="single" w:sz="6" w:space="0" w:color="auto"/>
            </w:tcBorders>
            <w:hideMark/>
          </w:tcPr>
          <w:p w14:paraId="0D10AAE0"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0.34 </w:t>
            </w:r>
          </w:p>
        </w:tc>
        <w:tc>
          <w:tcPr>
            <w:tcW w:w="168" w:type="pct"/>
            <w:tcBorders>
              <w:top w:val="single" w:sz="6" w:space="0" w:color="auto"/>
              <w:left w:val="single" w:sz="6" w:space="0" w:color="auto"/>
              <w:bottom w:val="single" w:sz="6" w:space="0" w:color="auto"/>
              <w:right w:val="single" w:sz="6" w:space="0" w:color="auto"/>
            </w:tcBorders>
            <w:hideMark/>
          </w:tcPr>
          <w:p w14:paraId="537805BA"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3E808CCF"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0.31 </w:t>
            </w:r>
          </w:p>
        </w:tc>
        <w:tc>
          <w:tcPr>
            <w:tcW w:w="168" w:type="pct"/>
            <w:tcBorders>
              <w:top w:val="single" w:sz="6" w:space="0" w:color="auto"/>
              <w:left w:val="single" w:sz="6" w:space="0" w:color="auto"/>
              <w:bottom w:val="single" w:sz="6" w:space="0" w:color="auto"/>
              <w:right w:val="single" w:sz="6" w:space="0" w:color="auto"/>
            </w:tcBorders>
            <w:hideMark/>
          </w:tcPr>
          <w:p w14:paraId="64A6ABAD"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6914FAD0"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0.28 </w:t>
            </w:r>
          </w:p>
        </w:tc>
        <w:tc>
          <w:tcPr>
            <w:tcW w:w="168" w:type="pct"/>
            <w:tcBorders>
              <w:top w:val="single" w:sz="6" w:space="0" w:color="auto"/>
              <w:left w:val="single" w:sz="6" w:space="0" w:color="auto"/>
              <w:bottom w:val="single" w:sz="6" w:space="0" w:color="auto"/>
              <w:right w:val="single" w:sz="6" w:space="0" w:color="auto"/>
            </w:tcBorders>
            <w:hideMark/>
          </w:tcPr>
          <w:p w14:paraId="64E6FE23"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0CB0793B"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69279137"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0.24 </w:t>
            </w:r>
          </w:p>
        </w:tc>
        <w:tc>
          <w:tcPr>
            <w:tcW w:w="168" w:type="pct"/>
            <w:tcBorders>
              <w:top w:val="single" w:sz="6" w:space="0" w:color="auto"/>
              <w:left w:val="single" w:sz="6" w:space="0" w:color="auto"/>
              <w:bottom w:val="single" w:sz="6" w:space="0" w:color="auto"/>
              <w:right w:val="single" w:sz="6" w:space="0" w:color="auto"/>
            </w:tcBorders>
            <w:hideMark/>
          </w:tcPr>
          <w:p w14:paraId="2DFAE172"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0.23 </w:t>
            </w:r>
          </w:p>
        </w:tc>
        <w:tc>
          <w:tcPr>
            <w:tcW w:w="168" w:type="pct"/>
            <w:tcBorders>
              <w:top w:val="single" w:sz="6" w:space="0" w:color="auto"/>
              <w:left w:val="single" w:sz="6" w:space="0" w:color="auto"/>
              <w:bottom w:val="single" w:sz="6" w:space="0" w:color="auto"/>
              <w:right w:val="single" w:sz="6" w:space="0" w:color="auto"/>
            </w:tcBorders>
            <w:hideMark/>
          </w:tcPr>
          <w:p w14:paraId="0CA78C90"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0.19 </w:t>
            </w:r>
          </w:p>
        </w:tc>
        <w:tc>
          <w:tcPr>
            <w:tcW w:w="168" w:type="pct"/>
            <w:tcBorders>
              <w:top w:val="single" w:sz="6" w:space="0" w:color="auto"/>
              <w:left w:val="single" w:sz="6" w:space="0" w:color="auto"/>
              <w:bottom w:val="single" w:sz="6" w:space="0" w:color="auto"/>
              <w:right w:val="single" w:sz="6" w:space="0" w:color="auto"/>
            </w:tcBorders>
            <w:hideMark/>
          </w:tcPr>
          <w:p w14:paraId="12C821FE"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0.16 </w:t>
            </w:r>
          </w:p>
        </w:tc>
        <w:tc>
          <w:tcPr>
            <w:tcW w:w="168" w:type="pct"/>
            <w:tcBorders>
              <w:top w:val="single" w:sz="6" w:space="0" w:color="auto"/>
              <w:left w:val="single" w:sz="6" w:space="0" w:color="auto"/>
              <w:bottom w:val="single" w:sz="6" w:space="0" w:color="auto"/>
              <w:right w:val="single" w:sz="6" w:space="0" w:color="auto"/>
            </w:tcBorders>
            <w:hideMark/>
          </w:tcPr>
          <w:p w14:paraId="22CCD129"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0.14 </w:t>
            </w:r>
          </w:p>
        </w:tc>
        <w:tc>
          <w:tcPr>
            <w:tcW w:w="168" w:type="pct"/>
            <w:tcBorders>
              <w:top w:val="single" w:sz="6" w:space="0" w:color="auto"/>
              <w:left w:val="single" w:sz="6" w:space="0" w:color="auto"/>
              <w:bottom w:val="single" w:sz="6" w:space="0" w:color="auto"/>
              <w:right w:val="single" w:sz="6" w:space="0" w:color="auto"/>
            </w:tcBorders>
            <w:hideMark/>
          </w:tcPr>
          <w:p w14:paraId="2680DB1A"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386239AE" w14:textId="77777777" w:rsidR="00DB1AEE" w:rsidRPr="00DB1AEE" w:rsidRDefault="00DB1AEE" w:rsidP="00DB1AEE">
            <w:pPr>
              <w:widowControl w:val="0"/>
              <w:suppressAutoHyphens/>
              <w:autoSpaceDE w:val="0"/>
              <w:autoSpaceDN w:val="0"/>
              <w:jc w:val="left"/>
              <w:rPr>
                <w:bCs/>
                <w:iCs/>
                <w:sz w:val="20"/>
                <w:u w:val="single"/>
                <w:lang w:bidi="en-US"/>
              </w:rPr>
            </w:pPr>
            <w:r w:rsidRPr="00DB1AEE">
              <w:rPr>
                <w:bCs/>
                <w:iCs/>
                <w:sz w:val="20"/>
                <w:u w:val="single"/>
                <w:lang w:bidi="en-US"/>
              </w:rPr>
              <w:t>0.11 </w:t>
            </w:r>
          </w:p>
        </w:tc>
        <w:tc>
          <w:tcPr>
            <w:tcW w:w="8" w:type="pct"/>
            <w:vAlign w:val="center"/>
            <w:hideMark/>
          </w:tcPr>
          <w:p w14:paraId="2B4B9BC2" w14:textId="77777777" w:rsidR="00DB1AEE" w:rsidRPr="00DB1AEE" w:rsidRDefault="00DB1AEE" w:rsidP="00DB1AEE">
            <w:pPr>
              <w:widowControl w:val="0"/>
              <w:suppressAutoHyphens/>
              <w:autoSpaceDE w:val="0"/>
              <w:autoSpaceDN w:val="0"/>
              <w:jc w:val="left"/>
              <w:rPr>
                <w:bCs/>
                <w:iCs/>
                <w:sz w:val="20"/>
                <w:u w:val="single"/>
                <w:lang w:bidi="en-US"/>
              </w:rPr>
            </w:pPr>
          </w:p>
        </w:tc>
      </w:tr>
    </w:tbl>
    <w:p w14:paraId="2472A344" w14:textId="77777777" w:rsidR="00DB1AEE" w:rsidRPr="00DB1AEE" w:rsidRDefault="00DB1AEE" w:rsidP="00DB1AEE">
      <w:pPr>
        <w:widowControl w:val="0"/>
        <w:suppressAutoHyphens/>
        <w:autoSpaceDE w:val="0"/>
        <w:autoSpaceDN w:val="0"/>
        <w:jc w:val="left"/>
        <w:rPr>
          <w:b/>
          <w:iCs/>
          <w:szCs w:val="24"/>
          <w:u w:val="single"/>
          <w:lang w:bidi="en-US"/>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75"/>
        <w:gridCol w:w="1314"/>
        <w:gridCol w:w="858"/>
        <w:gridCol w:w="512"/>
        <w:gridCol w:w="512"/>
        <w:gridCol w:w="512"/>
        <w:gridCol w:w="512"/>
        <w:gridCol w:w="513"/>
        <w:gridCol w:w="513"/>
        <w:gridCol w:w="513"/>
        <w:gridCol w:w="513"/>
        <w:gridCol w:w="513"/>
        <w:gridCol w:w="513"/>
        <w:gridCol w:w="513"/>
        <w:gridCol w:w="513"/>
        <w:gridCol w:w="513"/>
        <w:gridCol w:w="513"/>
        <w:gridCol w:w="513"/>
        <w:gridCol w:w="513"/>
        <w:gridCol w:w="513"/>
        <w:gridCol w:w="513"/>
        <w:gridCol w:w="521"/>
        <w:gridCol w:w="21"/>
      </w:tblGrid>
      <w:tr w:rsidR="00DB1AEE" w:rsidRPr="00DB1AEE" w14:paraId="64603F95" w14:textId="77777777" w:rsidTr="00FC1832">
        <w:trPr>
          <w:gridAfter w:val="1"/>
          <w:wAfter w:w="8" w:type="pct"/>
          <w:trHeight w:val="336"/>
        </w:trPr>
        <w:tc>
          <w:tcPr>
            <w:tcW w:w="550" w:type="pct"/>
            <w:vMerge w:val="restart"/>
            <w:tcBorders>
              <w:top w:val="single" w:sz="6" w:space="0" w:color="auto"/>
              <w:left w:val="single" w:sz="6" w:space="0" w:color="auto"/>
              <w:right w:val="single" w:sz="6" w:space="0" w:color="auto"/>
            </w:tcBorders>
            <w:hideMark/>
          </w:tcPr>
          <w:p w14:paraId="5CEE3CD2"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 </w:t>
            </w:r>
          </w:p>
          <w:p w14:paraId="3AA02B51"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Cavity Insulation Value </w:t>
            </w:r>
          </w:p>
        </w:tc>
        <w:tc>
          <w:tcPr>
            <w:tcW w:w="490" w:type="pct"/>
            <w:vMerge w:val="restart"/>
            <w:tcBorders>
              <w:top w:val="single" w:sz="6" w:space="0" w:color="auto"/>
              <w:left w:val="single" w:sz="6" w:space="0" w:color="auto"/>
              <w:right w:val="single" w:sz="6" w:space="0" w:color="auto"/>
            </w:tcBorders>
            <w:hideMark/>
          </w:tcPr>
          <w:p w14:paraId="2DAA92E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 </w:t>
            </w:r>
          </w:p>
          <w:p w14:paraId="03D25E8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Base Wall U-factor at Framing </w:t>
            </w:r>
          </w:p>
        </w:tc>
        <w:tc>
          <w:tcPr>
            <w:tcW w:w="3952" w:type="pct"/>
            <w:gridSpan w:val="20"/>
            <w:tcBorders>
              <w:top w:val="single" w:sz="6" w:space="0" w:color="auto"/>
              <w:left w:val="single" w:sz="6" w:space="0" w:color="auto"/>
              <w:bottom w:val="single" w:sz="6" w:space="0" w:color="auto"/>
              <w:right w:val="single" w:sz="6" w:space="0" w:color="auto"/>
            </w:tcBorders>
            <w:hideMark/>
          </w:tcPr>
          <w:p w14:paraId="3881BDE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Overall U-Factor for Assembly of Base Wall Plus Continuous Insulation (Uninterrupted by Framing or Furring) </w:t>
            </w:r>
          </w:p>
        </w:tc>
      </w:tr>
      <w:tr w:rsidR="00DB1AEE" w:rsidRPr="00DB1AEE" w14:paraId="1E808B99" w14:textId="77777777" w:rsidTr="00FC1832">
        <w:trPr>
          <w:gridAfter w:val="1"/>
          <w:wAfter w:w="8" w:type="pct"/>
          <w:trHeight w:val="300"/>
        </w:trPr>
        <w:tc>
          <w:tcPr>
            <w:tcW w:w="550" w:type="pct"/>
            <w:vMerge/>
            <w:tcBorders>
              <w:left w:val="single" w:sz="6" w:space="0" w:color="auto"/>
              <w:right w:val="single" w:sz="6" w:space="0" w:color="auto"/>
            </w:tcBorders>
            <w:hideMark/>
          </w:tcPr>
          <w:p w14:paraId="5B741516" w14:textId="77777777" w:rsidR="00DB1AEE" w:rsidRPr="00DB1AEE" w:rsidRDefault="00DB1AEE" w:rsidP="00DB1AEE">
            <w:pPr>
              <w:widowControl w:val="0"/>
              <w:suppressAutoHyphens/>
              <w:autoSpaceDE w:val="0"/>
              <w:autoSpaceDN w:val="0"/>
              <w:jc w:val="left"/>
              <w:rPr>
                <w:bCs/>
                <w:iCs/>
                <w:sz w:val="18"/>
                <w:szCs w:val="18"/>
                <w:u w:val="single"/>
                <w:lang w:bidi="en-US"/>
              </w:rPr>
            </w:pPr>
          </w:p>
        </w:tc>
        <w:tc>
          <w:tcPr>
            <w:tcW w:w="490" w:type="pct"/>
            <w:vMerge/>
            <w:tcBorders>
              <w:left w:val="single" w:sz="6" w:space="0" w:color="auto"/>
              <w:right w:val="single" w:sz="6" w:space="0" w:color="auto"/>
            </w:tcBorders>
            <w:hideMark/>
          </w:tcPr>
          <w:p w14:paraId="0F59E4A8" w14:textId="77777777" w:rsidR="00DB1AEE" w:rsidRPr="00DB1AEE" w:rsidRDefault="00DB1AEE" w:rsidP="00DB1AEE">
            <w:pPr>
              <w:widowControl w:val="0"/>
              <w:suppressAutoHyphens/>
              <w:autoSpaceDE w:val="0"/>
              <w:autoSpaceDN w:val="0"/>
              <w:jc w:val="left"/>
              <w:rPr>
                <w:bCs/>
                <w:iCs/>
                <w:sz w:val="18"/>
                <w:szCs w:val="18"/>
                <w:u w:val="single"/>
                <w:lang w:bidi="en-US"/>
              </w:rPr>
            </w:pPr>
          </w:p>
        </w:tc>
        <w:tc>
          <w:tcPr>
            <w:tcW w:w="3952" w:type="pct"/>
            <w:gridSpan w:val="20"/>
            <w:tcBorders>
              <w:top w:val="single" w:sz="6" w:space="0" w:color="auto"/>
              <w:left w:val="single" w:sz="6" w:space="0" w:color="auto"/>
              <w:bottom w:val="single" w:sz="6" w:space="0" w:color="auto"/>
              <w:right w:val="single" w:sz="6" w:space="0" w:color="auto"/>
            </w:tcBorders>
            <w:hideMark/>
          </w:tcPr>
          <w:p w14:paraId="06A5B795"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Rated R-Value of Continuous Insulation </w:t>
            </w:r>
          </w:p>
        </w:tc>
      </w:tr>
      <w:tr w:rsidR="00DB1AEE" w:rsidRPr="00DB1AEE" w14:paraId="01A68A76" w14:textId="77777777" w:rsidTr="00FC1832">
        <w:trPr>
          <w:gridAfter w:val="1"/>
          <w:wAfter w:w="8" w:type="pct"/>
          <w:trHeight w:val="264"/>
        </w:trPr>
        <w:tc>
          <w:tcPr>
            <w:tcW w:w="550" w:type="pct"/>
            <w:vMerge/>
            <w:tcBorders>
              <w:left w:val="single" w:sz="6" w:space="0" w:color="auto"/>
              <w:bottom w:val="single" w:sz="6" w:space="0" w:color="auto"/>
              <w:right w:val="single" w:sz="6" w:space="0" w:color="auto"/>
            </w:tcBorders>
            <w:vAlign w:val="center"/>
            <w:hideMark/>
          </w:tcPr>
          <w:p w14:paraId="44783676" w14:textId="77777777" w:rsidR="00DB1AEE" w:rsidRPr="00DB1AEE" w:rsidRDefault="00DB1AEE" w:rsidP="00DB1AEE">
            <w:pPr>
              <w:widowControl w:val="0"/>
              <w:suppressAutoHyphens/>
              <w:autoSpaceDE w:val="0"/>
              <w:autoSpaceDN w:val="0"/>
              <w:jc w:val="left"/>
              <w:rPr>
                <w:bCs/>
                <w:iCs/>
                <w:sz w:val="18"/>
                <w:szCs w:val="18"/>
                <w:u w:val="single"/>
                <w:lang w:bidi="en-US"/>
              </w:rPr>
            </w:pPr>
          </w:p>
        </w:tc>
        <w:tc>
          <w:tcPr>
            <w:tcW w:w="490" w:type="pct"/>
            <w:vMerge/>
            <w:tcBorders>
              <w:left w:val="single" w:sz="6" w:space="0" w:color="auto"/>
              <w:bottom w:val="single" w:sz="6" w:space="0" w:color="auto"/>
              <w:right w:val="single" w:sz="6" w:space="0" w:color="auto"/>
            </w:tcBorders>
            <w:vAlign w:val="center"/>
            <w:hideMark/>
          </w:tcPr>
          <w:p w14:paraId="52CE2A74" w14:textId="77777777" w:rsidR="00DB1AEE" w:rsidRPr="00DB1AEE" w:rsidRDefault="00DB1AEE" w:rsidP="00DB1AEE">
            <w:pPr>
              <w:widowControl w:val="0"/>
              <w:suppressAutoHyphens/>
              <w:autoSpaceDE w:val="0"/>
              <w:autoSpaceDN w:val="0"/>
              <w:jc w:val="left"/>
              <w:rPr>
                <w:bCs/>
                <w:iCs/>
                <w:sz w:val="18"/>
                <w:szCs w:val="18"/>
                <w:u w:val="single"/>
                <w:lang w:bidi="en-US"/>
              </w:rPr>
            </w:pPr>
          </w:p>
        </w:tc>
        <w:tc>
          <w:tcPr>
            <w:tcW w:w="320" w:type="pct"/>
            <w:tcBorders>
              <w:top w:val="single" w:sz="6" w:space="0" w:color="auto"/>
              <w:left w:val="single" w:sz="6" w:space="0" w:color="auto"/>
              <w:bottom w:val="single" w:sz="6" w:space="0" w:color="auto"/>
              <w:right w:val="single" w:sz="6" w:space="0" w:color="auto"/>
            </w:tcBorders>
            <w:hideMark/>
          </w:tcPr>
          <w:p w14:paraId="4A3F78F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0.18 </w:t>
            </w:r>
          </w:p>
        </w:tc>
        <w:tc>
          <w:tcPr>
            <w:tcW w:w="191" w:type="pct"/>
            <w:tcBorders>
              <w:top w:val="single" w:sz="6" w:space="0" w:color="auto"/>
              <w:left w:val="single" w:sz="6" w:space="0" w:color="auto"/>
              <w:bottom w:val="single" w:sz="6" w:space="0" w:color="auto"/>
              <w:right w:val="single" w:sz="6" w:space="0" w:color="auto"/>
            </w:tcBorders>
            <w:hideMark/>
          </w:tcPr>
          <w:p w14:paraId="0010408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0.35 </w:t>
            </w:r>
          </w:p>
        </w:tc>
        <w:tc>
          <w:tcPr>
            <w:tcW w:w="191" w:type="pct"/>
            <w:tcBorders>
              <w:top w:val="single" w:sz="6" w:space="0" w:color="auto"/>
              <w:left w:val="single" w:sz="6" w:space="0" w:color="auto"/>
              <w:bottom w:val="single" w:sz="6" w:space="0" w:color="auto"/>
              <w:right w:val="single" w:sz="6" w:space="0" w:color="auto"/>
            </w:tcBorders>
            <w:hideMark/>
          </w:tcPr>
          <w:p w14:paraId="0A880F47"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0.53 </w:t>
            </w:r>
          </w:p>
        </w:tc>
        <w:tc>
          <w:tcPr>
            <w:tcW w:w="191" w:type="pct"/>
            <w:tcBorders>
              <w:top w:val="single" w:sz="6" w:space="0" w:color="auto"/>
              <w:left w:val="single" w:sz="6" w:space="0" w:color="auto"/>
              <w:bottom w:val="single" w:sz="6" w:space="0" w:color="auto"/>
              <w:right w:val="single" w:sz="6" w:space="0" w:color="auto"/>
            </w:tcBorders>
            <w:hideMark/>
          </w:tcPr>
          <w:p w14:paraId="20BECBEC"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0.70 </w:t>
            </w:r>
          </w:p>
        </w:tc>
        <w:tc>
          <w:tcPr>
            <w:tcW w:w="191" w:type="pct"/>
            <w:tcBorders>
              <w:top w:val="single" w:sz="6" w:space="0" w:color="auto"/>
              <w:left w:val="single" w:sz="6" w:space="0" w:color="auto"/>
              <w:bottom w:val="single" w:sz="6" w:space="0" w:color="auto"/>
              <w:right w:val="single" w:sz="6" w:space="0" w:color="auto"/>
            </w:tcBorders>
            <w:hideMark/>
          </w:tcPr>
          <w:p w14:paraId="52A1D58C"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0.88 </w:t>
            </w:r>
          </w:p>
        </w:tc>
        <w:tc>
          <w:tcPr>
            <w:tcW w:w="191" w:type="pct"/>
            <w:tcBorders>
              <w:top w:val="single" w:sz="6" w:space="0" w:color="auto"/>
              <w:left w:val="single" w:sz="6" w:space="0" w:color="auto"/>
              <w:bottom w:val="single" w:sz="6" w:space="0" w:color="auto"/>
              <w:right w:val="single" w:sz="6" w:space="0" w:color="auto"/>
            </w:tcBorders>
            <w:hideMark/>
          </w:tcPr>
          <w:p w14:paraId="258A480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1.06 </w:t>
            </w:r>
          </w:p>
        </w:tc>
        <w:tc>
          <w:tcPr>
            <w:tcW w:w="191" w:type="pct"/>
            <w:tcBorders>
              <w:top w:val="single" w:sz="6" w:space="0" w:color="auto"/>
              <w:left w:val="single" w:sz="6" w:space="0" w:color="auto"/>
              <w:bottom w:val="single" w:sz="6" w:space="0" w:color="auto"/>
              <w:right w:val="single" w:sz="6" w:space="0" w:color="auto"/>
            </w:tcBorders>
            <w:hideMark/>
          </w:tcPr>
          <w:p w14:paraId="44FB260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1.23 </w:t>
            </w:r>
          </w:p>
        </w:tc>
        <w:tc>
          <w:tcPr>
            <w:tcW w:w="191" w:type="pct"/>
            <w:tcBorders>
              <w:top w:val="single" w:sz="6" w:space="0" w:color="auto"/>
              <w:left w:val="single" w:sz="6" w:space="0" w:color="auto"/>
              <w:bottom w:val="single" w:sz="6" w:space="0" w:color="auto"/>
              <w:right w:val="single" w:sz="6" w:space="0" w:color="auto"/>
            </w:tcBorders>
            <w:hideMark/>
          </w:tcPr>
          <w:p w14:paraId="71EE34A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1.41 </w:t>
            </w:r>
          </w:p>
        </w:tc>
        <w:tc>
          <w:tcPr>
            <w:tcW w:w="191" w:type="pct"/>
            <w:tcBorders>
              <w:top w:val="single" w:sz="6" w:space="0" w:color="auto"/>
              <w:left w:val="single" w:sz="6" w:space="0" w:color="auto"/>
              <w:bottom w:val="single" w:sz="6" w:space="0" w:color="auto"/>
              <w:right w:val="single" w:sz="6" w:space="0" w:color="auto"/>
            </w:tcBorders>
            <w:hideMark/>
          </w:tcPr>
          <w:p w14:paraId="5A65E1C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1.59 </w:t>
            </w:r>
          </w:p>
        </w:tc>
        <w:tc>
          <w:tcPr>
            <w:tcW w:w="191" w:type="pct"/>
            <w:tcBorders>
              <w:top w:val="single" w:sz="6" w:space="0" w:color="auto"/>
              <w:left w:val="single" w:sz="6" w:space="0" w:color="auto"/>
              <w:bottom w:val="single" w:sz="6" w:space="0" w:color="auto"/>
              <w:right w:val="single" w:sz="6" w:space="0" w:color="auto"/>
            </w:tcBorders>
            <w:hideMark/>
          </w:tcPr>
          <w:p w14:paraId="11934851"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1.76 </w:t>
            </w:r>
          </w:p>
        </w:tc>
        <w:tc>
          <w:tcPr>
            <w:tcW w:w="191" w:type="pct"/>
            <w:tcBorders>
              <w:top w:val="single" w:sz="6" w:space="0" w:color="auto"/>
              <w:left w:val="single" w:sz="6" w:space="0" w:color="auto"/>
              <w:bottom w:val="single" w:sz="6" w:space="0" w:color="auto"/>
              <w:right w:val="single" w:sz="6" w:space="0" w:color="auto"/>
            </w:tcBorders>
            <w:hideMark/>
          </w:tcPr>
          <w:p w14:paraId="5A4A07A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1.94 </w:t>
            </w:r>
          </w:p>
        </w:tc>
        <w:tc>
          <w:tcPr>
            <w:tcW w:w="191" w:type="pct"/>
            <w:tcBorders>
              <w:top w:val="single" w:sz="6" w:space="0" w:color="auto"/>
              <w:left w:val="single" w:sz="6" w:space="0" w:color="auto"/>
              <w:bottom w:val="single" w:sz="6" w:space="0" w:color="auto"/>
              <w:right w:val="single" w:sz="6" w:space="0" w:color="auto"/>
            </w:tcBorders>
            <w:hideMark/>
          </w:tcPr>
          <w:p w14:paraId="65150675"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2.11 </w:t>
            </w:r>
          </w:p>
        </w:tc>
        <w:tc>
          <w:tcPr>
            <w:tcW w:w="191" w:type="pct"/>
            <w:tcBorders>
              <w:top w:val="single" w:sz="6" w:space="0" w:color="auto"/>
              <w:left w:val="single" w:sz="6" w:space="0" w:color="auto"/>
              <w:bottom w:val="single" w:sz="6" w:space="0" w:color="auto"/>
              <w:right w:val="single" w:sz="6" w:space="0" w:color="auto"/>
            </w:tcBorders>
            <w:hideMark/>
          </w:tcPr>
          <w:p w14:paraId="72A5A073"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2.29 </w:t>
            </w:r>
          </w:p>
        </w:tc>
        <w:tc>
          <w:tcPr>
            <w:tcW w:w="191" w:type="pct"/>
            <w:tcBorders>
              <w:top w:val="single" w:sz="6" w:space="0" w:color="auto"/>
              <w:left w:val="single" w:sz="6" w:space="0" w:color="auto"/>
              <w:bottom w:val="single" w:sz="6" w:space="0" w:color="auto"/>
              <w:right w:val="single" w:sz="6" w:space="0" w:color="auto"/>
            </w:tcBorders>
            <w:hideMark/>
          </w:tcPr>
          <w:p w14:paraId="570955D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2.47 </w:t>
            </w:r>
          </w:p>
        </w:tc>
        <w:tc>
          <w:tcPr>
            <w:tcW w:w="191" w:type="pct"/>
            <w:tcBorders>
              <w:top w:val="single" w:sz="6" w:space="0" w:color="auto"/>
              <w:left w:val="single" w:sz="6" w:space="0" w:color="auto"/>
              <w:bottom w:val="single" w:sz="6" w:space="0" w:color="auto"/>
              <w:right w:val="single" w:sz="6" w:space="0" w:color="auto"/>
            </w:tcBorders>
            <w:hideMark/>
          </w:tcPr>
          <w:p w14:paraId="1C2EC88A"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2.64 </w:t>
            </w:r>
          </w:p>
        </w:tc>
        <w:tc>
          <w:tcPr>
            <w:tcW w:w="191" w:type="pct"/>
            <w:tcBorders>
              <w:top w:val="single" w:sz="6" w:space="0" w:color="auto"/>
              <w:left w:val="single" w:sz="6" w:space="0" w:color="auto"/>
              <w:bottom w:val="single" w:sz="6" w:space="0" w:color="auto"/>
              <w:right w:val="single" w:sz="6" w:space="0" w:color="auto"/>
            </w:tcBorders>
            <w:hideMark/>
          </w:tcPr>
          <w:p w14:paraId="49D008C9"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3.52 </w:t>
            </w:r>
          </w:p>
        </w:tc>
        <w:tc>
          <w:tcPr>
            <w:tcW w:w="191" w:type="pct"/>
            <w:tcBorders>
              <w:top w:val="single" w:sz="6" w:space="0" w:color="auto"/>
              <w:left w:val="single" w:sz="6" w:space="0" w:color="auto"/>
              <w:bottom w:val="single" w:sz="6" w:space="0" w:color="auto"/>
              <w:right w:val="single" w:sz="6" w:space="0" w:color="auto"/>
            </w:tcBorders>
            <w:hideMark/>
          </w:tcPr>
          <w:p w14:paraId="4CEDD8C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4.40 </w:t>
            </w:r>
          </w:p>
        </w:tc>
        <w:tc>
          <w:tcPr>
            <w:tcW w:w="191" w:type="pct"/>
            <w:tcBorders>
              <w:top w:val="single" w:sz="6" w:space="0" w:color="auto"/>
              <w:left w:val="single" w:sz="6" w:space="0" w:color="auto"/>
              <w:bottom w:val="single" w:sz="6" w:space="0" w:color="auto"/>
              <w:right w:val="single" w:sz="6" w:space="0" w:color="auto"/>
            </w:tcBorders>
            <w:hideMark/>
          </w:tcPr>
          <w:p w14:paraId="5BA1B78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5.28 </w:t>
            </w:r>
          </w:p>
        </w:tc>
        <w:tc>
          <w:tcPr>
            <w:tcW w:w="191" w:type="pct"/>
            <w:tcBorders>
              <w:top w:val="single" w:sz="6" w:space="0" w:color="auto"/>
              <w:left w:val="single" w:sz="6" w:space="0" w:color="auto"/>
              <w:bottom w:val="single" w:sz="6" w:space="0" w:color="auto"/>
              <w:right w:val="single" w:sz="6" w:space="0" w:color="auto"/>
            </w:tcBorders>
            <w:hideMark/>
          </w:tcPr>
          <w:p w14:paraId="660BD96A"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6.16 </w:t>
            </w:r>
          </w:p>
        </w:tc>
        <w:tc>
          <w:tcPr>
            <w:tcW w:w="194" w:type="pct"/>
            <w:tcBorders>
              <w:top w:val="single" w:sz="6" w:space="0" w:color="auto"/>
              <w:left w:val="single" w:sz="6" w:space="0" w:color="auto"/>
              <w:bottom w:val="single" w:sz="6" w:space="0" w:color="auto"/>
              <w:right w:val="single" w:sz="6" w:space="0" w:color="auto"/>
            </w:tcBorders>
            <w:hideMark/>
          </w:tcPr>
          <w:p w14:paraId="6FA0A9F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7.04 </w:t>
            </w:r>
          </w:p>
        </w:tc>
      </w:tr>
      <w:tr w:rsidR="00DB1AEE" w:rsidRPr="00DB1AEE" w14:paraId="2B4E8CEC" w14:textId="77777777" w:rsidTr="00FC1832">
        <w:trPr>
          <w:trHeight w:val="255"/>
        </w:trPr>
        <w:tc>
          <w:tcPr>
            <w:tcW w:w="5000" w:type="pct"/>
            <w:gridSpan w:val="23"/>
            <w:tcBorders>
              <w:top w:val="single" w:sz="6" w:space="0" w:color="auto"/>
              <w:left w:val="single" w:sz="6" w:space="0" w:color="auto"/>
              <w:bottom w:val="single" w:sz="6" w:space="0" w:color="auto"/>
              <w:right w:val="single" w:sz="6" w:space="0" w:color="auto"/>
            </w:tcBorders>
            <w:hideMark/>
          </w:tcPr>
          <w:p w14:paraId="6D1A76DA"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Steel Framing at 300 mm on Center (18% Framing Factor)—includes only studs at 300 mm on center and top and bottom tracks </w:t>
            </w:r>
          </w:p>
        </w:tc>
      </w:tr>
      <w:tr w:rsidR="00DB1AEE" w:rsidRPr="00DB1AEE" w14:paraId="2E7237A9" w14:textId="77777777" w:rsidTr="00FC1832">
        <w:trPr>
          <w:trHeight w:val="228"/>
        </w:trPr>
        <w:tc>
          <w:tcPr>
            <w:tcW w:w="550" w:type="pct"/>
            <w:tcBorders>
              <w:top w:val="single" w:sz="6" w:space="0" w:color="auto"/>
              <w:left w:val="single" w:sz="6" w:space="0" w:color="auto"/>
              <w:bottom w:val="single" w:sz="6" w:space="0" w:color="auto"/>
              <w:right w:val="single" w:sz="6" w:space="0" w:color="auto"/>
            </w:tcBorders>
            <w:hideMark/>
          </w:tcPr>
          <w:p w14:paraId="7F81052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0.16 </w:t>
            </w:r>
          </w:p>
        </w:tc>
        <w:tc>
          <w:tcPr>
            <w:tcW w:w="490" w:type="pct"/>
            <w:tcBorders>
              <w:top w:val="single" w:sz="6" w:space="0" w:color="auto"/>
              <w:left w:val="single" w:sz="6" w:space="0" w:color="auto"/>
              <w:bottom w:val="single" w:sz="6" w:space="0" w:color="auto"/>
              <w:right w:val="single" w:sz="6" w:space="0" w:color="auto"/>
            </w:tcBorders>
            <w:hideMark/>
          </w:tcPr>
          <w:p w14:paraId="13B0D8E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1.97 </w:t>
            </w:r>
          </w:p>
        </w:tc>
        <w:tc>
          <w:tcPr>
            <w:tcW w:w="320" w:type="pct"/>
            <w:tcBorders>
              <w:top w:val="single" w:sz="6" w:space="0" w:color="auto"/>
              <w:left w:val="single" w:sz="6" w:space="0" w:color="auto"/>
              <w:bottom w:val="single" w:sz="6" w:space="0" w:color="auto"/>
              <w:right w:val="single" w:sz="6" w:space="0" w:color="auto"/>
            </w:tcBorders>
            <w:hideMark/>
          </w:tcPr>
          <w:p w14:paraId="027E077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1.46 </w:t>
            </w:r>
          </w:p>
        </w:tc>
        <w:tc>
          <w:tcPr>
            <w:tcW w:w="191" w:type="pct"/>
            <w:tcBorders>
              <w:top w:val="single" w:sz="6" w:space="0" w:color="auto"/>
              <w:left w:val="single" w:sz="6" w:space="0" w:color="auto"/>
              <w:bottom w:val="single" w:sz="6" w:space="0" w:color="auto"/>
              <w:right w:val="single" w:sz="6" w:space="0" w:color="auto"/>
            </w:tcBorders>
            <w:hideMark/>
          </w:tcPr>
          <w:p w14:paraId="37F00E4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1.16 </w:t>
            </w:r>
          </w:p>
        </w:tc>
        <w:tc>
          <w:tcPr>
            <w:tcW w:w="191" w:type="pct"/>
            <w:tcBorders>
              <w:top w:val="single" w:sz="6" w:space="0" w:color="auto"/>
              <w:left w:val="single" w:sz="6" w:space="0" w:color="auto"/>
              <w:bottom w:val="single" w:sz="6" w:space="0" w:color="auto"/>
              <w:right w:val="single" w:sz="6" w:space="0" w:color="auto"/>
            </w:tcBorders>
            <w:hideMark/>
          </w:tcPr>
          <w:p w14:paraId="0F60BBA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0.97 </w:t>
            </w:r>
          </w:p>
        </w:tc>
        <w:tc>
          <w:tcPr>
            <w:tcW w:w="191" w:type="pct"/>
            <w:tcBorders>
              <w:top w:val="single" w:sz="6" w:space="0" w:color="auto"/>
              <w:left w:val="single" w:sz="6" w:space="0" w:color="auto"/>
              <w:bottom w:val="single" w:sz="6" w:space="0" w:color="auto"/>
              <w:right w:val="single" w:sz="6" w:space="0" w:color="auto"/>
            </w:tcBorders>
            <w:hideMark/>
          </w:tcPr>
          <w:p w14:paraId="0D0B917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0.83 </w:t>
            </w:r>
          </w:p>
        </w:tc>
        <w:tc>
          <w:tcPr>
            <w:tcW w:w="191" w:type="pct"/>
            <w:tcBorders>
              <w:top w:val="single" w:sz="6" w:space="0" w:color="auto"/>
              <w:left w:val="single" w:sz="6" w:space="0" w:color="auto"/>
              <w:bottom w:val="single" w:sz="6" w:space="0" w:color="auto"/>
              <w:right w:val="single" w:sz="6" w:space="0" w:color="auto"/>
            </w:tcBorders>
            <w:hideMark/>
          </w:tcPr>
          <w:p w14:paraId="0FD86AFC"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0.72 </w:t>
            </w:r>
          </w:p>
        </w:tc>
        <w:tc>
          <w:tcPr>
            <w:tcW w:w="191" w:type="pct"/>
            <w:tcBorders>
              <w:top w:val="single" w:sz="6" w:space="0" w:color="auto"/>
              <w:left w:val="single" w:sz="6" w:space="0" w:color="auto"/>
              <w:bottom w:val="single" w:sz="6" w:space="0" w:color="auto"/>
              <w:right w:val="single" w:sz="6" w:space="0" w:color="auto"/>
            </w:tcBorders>
            <w:hideMark/>
          </w:tcPr>
          <w:p w14:paraId="7C8CF679"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0.64 </w:t>
            </w:r>
          </w:p>
        </w:tc>
        <w:tc>
          <w:tcPr>
            <w:tcW w:w="191" w:type="pct"/>
            <w:tcBorders>
              <w:top w:val="single" w:sz="6" w:space="0" w:color="auto"/>
              <w:left w:val="single" w:sz="6" w:space="0" w:color="auto"/>
              <w:bottom w:val="single" w:sz="6" w:space="0" w:color="auto"/>
              <w:right w:val="single" w:sz="6" w:space="0" w:color="auto"/>
            </w:tcBorders>
            <w:hideMark/>
          </w:tcPr>
          <w:p w14:paraId="46D8714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0.57 </w:t>
            </w:r>
          </w:p>
        </w:tc>
        <w:tc>
          <w:tcPr>
            <w:tcW w:w="191" w:type="pct"/>
            <w:tcBorders>
              <w:top w:val="single" w:sz="6" w:space="0" w:color="auto"/>
              <w:left w:val="single" w:sz="6" w:space="0" w:color="auto"/>
              <w:bottom w:val="single" w:sz="6" w:space="0" w:color="auto"/>
              <w:right w:val="single" w:sz="6" w:space="0" w:color="auto"/>
            </w:tcBorders>
            <w:hideMark/>
          </w:tcPr>
          <w:p w14:paraId="787D704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0.52 </w:t>
            </w:r>
          </w:p>
        </w:tc>
        <w:tc>
          <w:tcPr>
            <w:tcW w:w="191" w:type="pct"/>
            <w:tcBorders>
              <w:top w:val="single" w:sz="6" w:space="0" w:color="auto"/>
              <w:left w:val="single" w:sz="6" w:space="0" w:color="auto"/>
              <w:bottom w:val="single" w:sz="6" w:space="0" w:color="auto"/>
              <w:right w:val="single" w:sz="6" w:space="0" w:color="auto"/>
            </w:tcBorders>
            <w:hideMark/>
          </w:tcPr>
          <w:p w14:paraId="7F4A21D2"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0.48 </w:t>
            </w:r>
          </w:p>
        </w:tc>
        <w:tc>
          <w:tcPr>
            <w:tcW w:w="191" w:type="pct"/>
            <w:tcBorders>
              <w:top w:val="single" w:sz="6" w:space="0" w:color="auto"/>
              <w:left w:val="single" w:sz="6" w:space="0" w:color="auto"/>
              <w:bottom w:val="single" w:sz="6" w:space="0" w:color="auto"/>
              <w:right w:val="single" w:sz="6" w:space="0" w:color="auto"/>
            </w:tcBorders>
            <w:hideMark/>
          </w:tcPr>
          <w:p w14:paraId="5A006C33"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0.44 </w:t>
            </w:r>
          </w:p>
        </w:tc>
        <w:tc>
          <w:tcPr>
            <w:tcW w:w="191" w:type="pct"/>
            <w:tcBorders>
              <w:top w:val="single" w:sz="6" w:space="0" w:color="auto"/>
              <w:left w:val="single" w:sz="6" w:space="0" w:color="auto"/>
              <w:bottom w:val="single" w:sz="6" w:space="0" w:color="auto"/>
              <w:right w:val="single" w:sz="6" w:space="0" w:color="auto"/>
            </w:tcBorders>
            <w:hideMark/>
          </w:tcPr>
          <w:p w14:paraId="5D43C48E"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0.41 </w:t>
            </w:r>
          </w:p>
        </w:tc>
        <w:tc>
          <w:tcPr>
            <w:tcW w:w="191" w:type="pct"/>
            <w:tcBorders>
              <w:top w:val="single" w:sz="6" w:space="0" w:color="auto"/>
              <w:left w:val="single" w:sz="6" w:space="0" w:color="auto"/>
              <w:bottom w:val="single" w:sz="6" w:space="0" w:color="auto"/>
              <w:right w:val="single" w:sz="6" w:space="0" w:color="auto"/>
            </w:tcBorders>
            <w:hideMark/>
          </w:tcPr>
          <w:p w14:paraId="0BD8683C"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0.38 </w:t>
            </w:r>
          </w:p>
        </w:tc>
        <w:tc>
          <w:tcPr>
            <w:tcW w:w="191" w:type="pct"/>
            <w:tcBorders>
              <w:top w:val="single" w:sz="6" w:space="0" w:color="auto"/>
              <w:left w:val="single" w:sz="6" w:space="0" w:color="auto"/>
              <w:bottom w:val="single" w:sz="6" w:space="0" w:color="auto"/>
              <w:right w:val="single" w:sz="6" w:space="0" w:color="auto"/>
            </w:tcBorders>
            <w:hideMark/>
          </w:tcPr>
          <w:p w14:paraId="082387D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0.36 </w:t>
            </w:r>
          </w:p>
        </w:tc>
        <w:tc>
          <w:tcPr>
            <w:tcW w:w="191" w:type="pct"/>
            <w:tcBorders>
              <w:top w:val="single" w:sz="6" w:space="0" w:color="auto"/>
              <w:left w:val="single" w:sz="6" w:space="0" w:color="auto"/>
              <w:bottom w:val="single" w:sz="6" w:space="0" w:color="auto"/>
              <w:right w:val="single" w:sz="6" w:space="0" w:color="auto"/>
            </w:tcBorders>
            <w:hideMark/>
          </w:tcPr>
          <w:p w14:paraId="561DEB03"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0.34 </w:t>
            </w:r>
          </w:p>
        </w:tc>
        <w:tc>
          <w:tcPr>
            <w:tcW w:w="191" w:type="pct"/>
            <w:tcBorders>
              <w:top w:val="single" w:sz="6" w:space="0" w:color="auto"/>
              <w:left w:val="single" w:sz="6" w:space="0" w:color="auto"/>
              <w:bottom w:val="single" w:sz="6" w:space="0" w:color="auto"/>
              <w:right w:val="single" w:sz="6" w:space="0" w:color="auto"/>
            </w:tcBorders>
            <w:hideMark/>
          </w:tcPr>
          <w:p w14:paraId="54CDB19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7224114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6CB8B06E"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0.20 </w:t>
            </w:r>
          </w:p>
        </w:tc>
        <w:tc>
          <w:tcPr>
            <w:tcW w:w="191" w:type="pct"/>
            <w:tcBorders>
              <w:top w:val="single" w:sz="6" w:space="0" w:color="auto"/>
              <w:left w:val="single" w:sz="6" w:space="0" w:color="auto"/>
              <w:bottom w:val="single" w:sz="6" w:space="0" w:color="auto"/>
              <w:right w:val="single" w:sz="6" w:space="0" w:color="auto"/>
            </w:tcBorders>
            <w:hideMark/>
          </w:tcPr>
          <w:p w14:paraId="045556B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0.17 </w:t>
            </w:r>
          </w:p>
        </w:tc>
        <w:tc>
          <w:tcPr>
            <w:tcW w:w="191" w:type="pct"/>
            <w:tcBorders>
              <w:top w:val="single" w:sz="6" w:space="0" w:color="auto"/>
              <w:left w:val="single" w:sz="6" w:space="0" w:color="auto"/>
              <w:bottom w:val="single" w:sz="6" w:space="0" w:color="auto"/>
              <w:right w:val="single" w:sz="6" w:space="0" w:color="auto"/>
            </w:tcBorders>
            <w:hideMark/>
          </w:tcPr>
          <w:p w14:paraId="58ED3DFE"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0.15 </w:t>
            </w:r>
          </w:p>
        </w:tc>
        <w:tc>
          <w:tcPr>
            <w:tcW w:w="194" w:type="pct"/>
            <w:tcBorders>
              <w:top w:val="single" w:sz="6" w:space="0" w:color="auto"/>
              <w:left w:val="single" w:sz="6" w:space="0" w:color="auto"/>
              <w:bottom w:val="single" w:sz="6" w:space="0" w:color="auto"/>
              <w:right w:val="single" w:sz="6" w:space="0" w:color="auto"/>
            </w:tcBorders>
            <w:hideMark/>
          </w:tcPr>
          <w:p w14:paraId="20700EFE"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0.13 </w:t>
            </w:r>
          </w:p>
        </w:tc>
        <w:tc>
          <w:tcPr>
            <w:tcW w:w="8" w:type="pct"/>
            <w:vAlign w:val="center"/>
            <w:hideMark/>
          </w:tcPr>
          <w:p w14:paraId="05FBF853" w14:textId="77777777" w:rsidR="00DB1AEE" w:rsidRPr="00DB1AEE" w:rsidRDefault="00DB1AEE" w:rsidP="00DB1AEE">
            <w:pPr>
              <w:widowControl w:val="0"/>
              <w:suppressAutoHyphens/>
              <w:autoSpaceDE w:val="0"/>
              <w:autoSpaceDN w:val="0"/>
              <w:jc w:val="left"/>
              <w:rPr>
                <w:bCs/>
                <w:iCs/>
                <w:sz w:val="18"/>
                <w:szCs w:val="18"/>
                <w:u w:val="single"/>
                <w:lang w:bidi="en-US"/>
              </w:rPr>
            </w:pPr>
          </w:p>
        </w:tc>
      </w:tr>
      <w:tr w:rsidR="00DB1AEE" w:rsidRPr="00DB1AEE" w14:paraId="6E577037" w14:textId="77777777" w:rsidTr="00FC1832">
        <w:trPr>
          <w:trHeight w:val="264"/>
        </w:trPr>
        <w:tc>
          <w:tcPr>
            <w:tcW w:w="550" w:type="pct"/>
            <w:tcBorders>
              <w:top w:val="single" w:sz="6" w:space="0" w:color="auto"/>
              <w:left w:val="single" w:sz="6" w:space="0" w:color="auto"/>
              <w:bottom w:val="single" w:sz="6" w:space="0" w:color="auto"/>
              <w:right w:val="single" w:sz="6" w:space="0" w:color="auto"/>
            </w:tcBorders>
            <w:hideMark/>
          </w:tcPr>
          <w:p w14:paraId="6ECE0803"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1.94 </w:t>
            </w:r>
          </w:p>
        </w:tc>
        <w:tc>
          <w:tcPr>
            <w:tcW w:w="490" w:type="pct"/>
            <w:tcBorders>
              <w:top w:val="single" w:sz="6" w:space="0" w:color="auto"/>
              <w:left w:val="single" w:sz="6" w:space="0" w:color="auto"/>
              <w:bottom w:val="single" w:sz="6" w:space="0" w:color="auto"/>
              <w:right w:val="single" w:sz="6" w:space="0" w:color="auto"/>
            </w:tcBorders>
            <w:hideMark/>
          </w:tcPr>
          <w:p w14:paraId="71164F13"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0.78 </w:t>
            </w:r>
          </w:p>
        </w:tc>
        <w:tc>
          <w:tcPr>
            <w:tcW w:w="320" w:type="pct"/>
            <w:tcBorders>
              <w:top w:val="single" w:sz="6" w:space="0" w:color="auto"/>
              <w:left w:val="single" w:sz="6" w:space="0" w:color="auto"/>
              <w:bottom w:val="single" w:sz="6" w:space="0" w:color="auto"/>
              <w:right w:val="single" w:sz="6" w:space="0" w:color="auto"/>
            </w:tcBorders>
            <w:hideMark/>
          </w:tcPr>
          <w:p w14:paraId="7FE492F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0.68 </w:t>
            </w:r>
          </w:p>
        </w:tc>
        <w:tc>
          <w:tcPr>
            <w:tcW w:w="191" w:type="pct"/>
            <w:tcBorders>
              <w:top w:val="single" w:sz="6" w:space="0" w:color="auto"/>
              <w:left w:val="single" w:sz="6" w:space="0" w:color="auto"/>
              <w:bottom w:val="single" w:sz="6" w:space="0" w:color="auto"/>
              <w:right w:val="single" w:sz="6" w:space="0" w:color="auto"/>
            </w:tcBorders>
            <w:hideMark/>
          </w:tcPr>
          <w:p w14:paraId="7EE82DA7"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0.61 </w:t>
            </w:r>
          </w:p>
        </w:tc>
        <w:tc>
          <w:tcPr>
            <w:tcW w:w="191" w:type="pct"/>
            <w:tcBorders>
              <w:top w:val="single" w:sz="6" w:space="0" w:color="auto"/>
              <w:left w:val="single" w:sz="6" w:space="0" w:color="auto"/>
              <w:bottom w:val="single" w:sz="6" w:space="0" w:color="auto"/>
              <w:right w:val="single" w:sz="6" w:space="0" w:color="auto"/>
            </w:tcBorders>
            <w:hideMark/>
          </w:tcPr>
          <w:p w14:paraId="2C2C6AF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0.55 </w:t>
            </w:r>
          </w:p>
        </w:tc>
        <w:tc>
          <w:tcPr>
            <w:tcW w:w="191" w:type="pct"/>
            <w:tcBorders>
              <w:top w:val="single" w:sz="6" w:space="0" w:color="auto"/>
              <w:left w:val="single" w:sz="6" w:space="0" w:color="auto"/>
              <w:bottom w:val="single" w:sz="6" w:space="0" w:color="auto"/>
              <w:right w:val="single" w:sz="6" w:space="0" w:color="auto"/>
            </w:tcBorders>
            <w:hideMark/>
          </w:tcPr>
          <w:p w14:paraId="3F102C9E"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0.50 </w:t>
            </w:r>
          </w:p>
        </w:tc>
        <w:tc>
          <w:tcPr>
            <w:tcW w:w="191" w:type="pct"/>
            <w:tcBorders>
              <w:top w:val="single" w:sz="6" w:space="0" w:color="auto"/>
              <w:left w:val="single" w:sz="6" w:space="0" w:color="auto"/>
              <w:bottom w:val="single" w:sz="6" w:space="0" w:color="auto"/>
              <w:right w:val="single" w:sz="6" w:space="0" w:color="auto"/>
            </w:tcBorders>
            <w:hideMark/>
          </w:tcPr>
          <w:p w14:paraId="6A8C8DA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0.46 </w:t>
            </w:r>
          </w:p>
        </w:tc>
        <w:tc>
          <w:tcPr>
            <w:tcW w:w="191" w:type="pct"/>
            <w:tcBorders>
              <w:top w:val="single" w:sz="6" w:space="0" w:color="auto"/>
              <w:left w:val="single" w:sz="6" w:space="0" w:color="auto"/>
              <w:bottom w:val="single" w:sz="6" w:space="0" w:color="auto"/>
              <w:right w:val="single" w:sz="6" w:space="0" w:color="auto"/>
            </w:tcBorders>
            <w:hideMark/>
          </w:tcPr>
          <w:p w14:paraId="2D231AD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0.43 </w:t>
            </w:r>
          </w:p>
        </w:tc>
        <w:tc>
          <w:tcPr>
            <w:tcW w:w="191" w:type="pct"/>
            <w:tcBorders>
              <w:top w:val="single" w:sz="6" w:space="0" w:color="auto"/>
              <w:left w:val="single" w:sz="6" w:space="0" w:color="auto"/>
              <w:bottom w:val="single" w:sz="6" w:space="0" w:color="auto"/>
              <w:right w:val="single" w:sz="6" w:space="0" w:color="auto"/>
            </w:tcBorders>
            <w:hideMark/>
          </w:tcPr>
          <w:p w14:paraId="36CA1F92"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0.40 </w:t>
            </w:r>
          </w:p>
        </w:tc>
        <w:tc>
          <w:tcPr>
            <w:tcW w:w="191" w:type="pct"/>
            <w:tcBorders>
              <w:top w:val="single" w:sz="6" w:space="0" w:color="auto"/>
              <w:left w:val="single" w:sz="6" w:space="0" w:color="auto"/>
              <w:bottom w:val="single" w:sz="6" w:space="0" w:color="auto"/>
              <w:right w:val="single" w:sz="6" w:space="0" w:color="auto"/>
            </w:tcBorders>
            <w:hideMark/>
          </w:tcPr>
          <w:p w14:paraId="0329FFF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0.37 </w:t>
            </w:r>
          </w:p>
        </w:tc>
        <w:tc>
          <w:tcPr>
            <w:tcW w:w="191" w:type="pct"/>
            <w:tcBorders>
              <w:top w:val="single" w:sz="6" w:space="0" w:color="auto"/>
              <w:left w:val="single" w:sz="6" w:space="0" w:color="auto"/>
              <w:bottom w:val="single" w:sz="6" w:space="0" w:color="auto"/>
              <w:right w:val="single" w:sz="6" w:space="0" w:color="auto"/>
            </w:tcBorders>
            <w:hideMark/>
          </w:tcPr>
          <w:p w14:paraId="7D4DEEC9"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0.35 </w:t>
            </w:r>
          </w:p>
        </w:tc>
        <w:tc>
          <w:tcPr>
            <w:tcW w:w="191" w:type="pct"/>
            <w:tcBorders>
              <w:top w:val="single" w:sz="6" w:space="0" w:color="auto"/>
              <w:left w:val="single" w:sz="6" w:space="0" w:color="auto"/>
              <w:bottom w:val="single" w:sz="6" w:space="0" w:color="auto"/>
              <w:right w:val="single" w:sz="6" w:space="0" w:color="auto"/>
            </w:tcBorders>
            <w:hideMark/>
          </w:tcPr>
          <w:p w14:paraId="31CE947A"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0.33 </w:t>
            </w:r>
          </w:p>
        </w:tc>
        <w:tc>
          <w:tcPr>
            <w:tcW w:w="191" w:type="pct"/>
            <w:tcBorders>
              <w:top w:val="single" w:sz="6" w:space="0" w:color="auto"/>
              <w:left w:val="single" w:sz="6" w:space="0" w:color="auto"/>
              <w:bottom w:val="single" w:sz="6" w:space="0" w:color="auto"/>
              <w:right w:val="single" w:sz="6" w:space="0" w:color="auto"/>
            </w:tcBorders>
            <w:hideMark/>
          </w:tcPr>
          <w:p w14:paraId="5D22D5AC"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0.31 </w:t>
            </w:r>
          </w:p>
        </w:tc>
        <w:tc>
          <w:tcPr>
            <w:tcW w:w="191" w:type="pct"/>
            <w:tcBorders>
              <w:top w:val="single" w:sz="6" w:space="0" w:color="auto"/>
              <w:left w:val="single" w:sz="6" w:space="0" w:color="auto"/>
              <w:bottom w:val="single" w:sz="6" w:space="0" w:color="auto"/>
              <w:right w:val="single" w:sz="6" w:space="0" w:color="auto"/>
            </w:tcBorders>
            <w:hideMark/>
          </w:tcPr>
          <w:p w14:paraId="1C6C2105"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0.29 </w:t>
            </w:r>
          </w:p>
        </w:tc>
        <w:tc>
          <w:tcPr>
            <w:tcW w:w="191" w:type="pct"/>
            <w:tcBorders>
              <w:top w:val="single" w:sz="6" w:space="0" w:color="auto"/>
              <w:left w:val="single" w:sz="6" w:space="0" w:color="auto"/>
              <w:bottom w:val="single" w:sz="6" w:space="0" w:color="auto"/>
              <w:right w:val="single" w:sz="6" w:space="0" w:color="auto"/>
            </w:tcBorders>
            <w:hideMark/>
          </w:tcPr>
          <w:p w14:paraId="7B3B881E"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35E1D5C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33D39FFE"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58ADA58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0.21 </w:t>
            </w:r>
          </w:p>
        </w:tc>
        <w:tc>
          <w:tcPr>
            <w:tcW w:w="191" w:type="pct"/>
            <w:tcBorders>
              <w:top w:val="single" w:sz="6" w:space="0" w:color="auto"/>
              <w:left w:val="single" w:sz="6" w:space="0" w:color="auto"/>
              <w:bottom w:val="single" w:sz="6" w:space="0" w:color="auto"/>
              <w:right w:val="single" w:sz="6" w:space="0" w:color="auto"/>
            </w:tcBorders>
            <w:hideMark/>
          </w:tcPr>
          <w:p w14:paraId="18B4B04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0.18 </w:t>
            </w:r>
          </w:p>
        </w:tc>
        <w:tc>
          <w:tcPr>
            <w:tcW w:w="191" w:type="pct"/>
            <w:tcBorders>
              <w:top w:val="single" w:sz="6" w:space="0" w:color="auto"/>
              <w:left w:val="single" w:sz="6" w:space="0" w:color="auto"/>
              <w:bottom w:val="single" w:sz="6" w:space="0" w:color="auto"/>
              <w:right w:val="single" w:sz="6" w:space="0" w:color="auto"/>
            </w:tcBorders>
            <w:hideMark/>
          </w:tcPr>
          <w:p w14:paraId="66DB1AA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0.15 </w:t>
            </w:r>
          </w:p>
        </w:tc>
        <w:tc>
          <w:tcPr>
            <w:tcW w:w="191" w:type="pct"/>
            <w:tcBorders>
              <w:top w:val="single" w:sz="6" w:space="0" w:color="auto"/>
              <w:left w:val="single" w:sz="6" w:space="0" w:color="auto"/>
              <w:bottom w:val="single" w:sz="6" w:space="0" w:color="auto"/>
              <w:right w:val="single" w:sz="6" w:space="0" w:color="auto"/>
            </w:tcBorders>
            <w:hideMark/>
          </w:tcPr>
          <w:p w14:paraId="7E9BA0A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3370561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0.12 </w:t>
            </w:r>
          </w:p>
        </w:tc>
        <w:tc>
          <w:tcPr>
            <w:tcW w:w="8" w:type="pct"/>
            <w:vAlign w:val="center"/>
            <w:hideMark/>
          </w:tcPr>
          <w:p w14:paraId="77A41F73" w14:textId="77777777" w:rsidR="00DB1AEE" w:rsidRPr="00DB1AEE" w:rsidRDefault="00DB1AEE" w:rsidP="00DB1AEE">
            <w:pPr>
              <w:widowControl w:val="0"/>
              <w:suppressAutoHyphens/>
              <w:autoSpaceDE w:val="0"/>
              <w:autoSpaceDN w:val="0"/>
              <w:jc w:val="left"/>
              <w:rPr>
                <w:bCs/>
                <w:iCs/>
                <w:sz w:val="18"/>
                <w:szCs w:val="18"/>
                <w:u w:val="single"/>
                <w:lang w:bidi="en-US"/>
              </w:rPr>
            </w:pPr>
          </w:p>
        </w:tc>
      </w:tr>
      <w:tr w:rsidR="00DB1AEE" w:rsidRPr="00DB1AEE" w14:paraId="082767C4" w14:textId="77777777" w:rsidTr="00FC1832">
        <w:trPr>
          <w:trHeight w:val="219"/>
        </w:trPr>
        <w:tc>
          <w:tcPr>
            <w:tcW w:w="550" w:type="pct"/>
            <w:tcBorders>
              <w:top w:val="single" w:sz="6" w:space="0" w:color="auto"/>
              <w:left w:val="single" w:sz="6" w:space="0" w:color="auto"/>
              <w:bottom w:val="single" w:sz="6" w:space="0" w:color="auto"/>
              <w:right w:val="single" w:sz="6" w:space="0" w:color="auto"/>
            </w:tcBorders>
            <w:hideMark/>
          </w:tcPr>
          <w:p w14:paraId="2B78EE7C"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2.29 </w:t>
            </w:r>
          </w:p>
        </w:tc>
        <w:tc>
          <w:tcPr>
            <w:tcW w:w="490" w:type="pct"/>
            <w:tcBorders>
              <w:top w:val="single" w:sz="6" w:space="0" w:color="auto"/>
              <w:left w:val="single" w:sz="6" w:space="0" w:color="auto"/>
              <w:bottom w:val="single" w:sz="6" w:space="0" w:color="auto"/>
              <w:right w:val="single" w:sz="6" w:space="0" w:color="auto"/>
            </w:tcBorders>
            <w:hideMark/>
          </w:tcPr>
          <w:p w14:paraId="5961D24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0.74 </w:t>
            </w:r>
          </w:p>
        </w:tc>
        <w:tc>
          <w:tcPr>
            <w:tcW w:w="320" w:type="pct"/>
            <w:tcBorders>
              <w:top w:val="single" w:sz="6" w:space="0" w:color="auto"/>
              <w:left w:val="single" w:sz="6" w:space="0" w:color="auto"/>
              <w:bottom w:val="single" w:sz="6" w:space="0" w:color="auto"/>
              <w:right w:val="single" w:sz="6" w:space="0" w:color="auto"/>
            </w:tcBorders>
            <w:hideMark/>
          </w:tcPr>
          <w:p w14:paraId="18CDCA3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0.65 </w:t>
            </w:r>
          </w:p>
        </w:tc>
        <w:tc>
          <w:tcPr>
            <w:tcW w:w="191" w:type="pct"/>
            <w:tcBorders>
              <w:top w:val="single" w:sz="6" w:space="0" w:color="auto"/>
              <w:left w:val="single" w:sz="6" w:space="0" w:color="auto"/>
              <w:bottom w:val="single" w:sz="6" w:space="0" w:color="auto"/>
              <w:right w:val="single" w:sz="6" w:space="0" w:color="auto"/>
            </w:tcBorders>
            <w:hideMark/>
          </w:tcPr>
          <w:p w14:paraId="29D34539"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0.58 </w:t>
            </w:r>
          </w:p>
        </w:tc>
        <w:tc>
          <w:tcPr>
            <w:tcW w:w="191" w:type="pct"/>
            <w:tcBorders>
              <w:top w:val="single" w:sz="6" w:space="0" w:color="auto"/>
              <w:left w:val="single" w:sz="6" w:space="0" w:color="auto"/>
              <w:bottom w:val="single" w:sz="6" w:space="0" w:color="auto"/>
              <w:right w:val="single" w:sz="6" w:space="0" w:color="auto"/>
            </w:tcBorders>
            <w:hideMark/>
          </w:tcPr>
          <w:p w14:paraId="291359C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0.53 </w:t>
            </w:r>
          </w:p>
        </w:tc>
        <w:tc>
          <w:tcPr>
            <w:tcW w:w="191" w:type="pct"/>
            <w:tcBorders>
              <w:top w:val="single" w:sz="6" w:space="0" w:color="auto"/>
              <w:left w:val="single" w:sz="6" w:space="0" w:color="auto"/>
              <w:bottom w:val="single" w:sz="6" w:space="0" w:color="auto"/>
              <w:right w:val="single" w:sz="6" w:space="0" w:color="auto"/>
            </w:tcBorders>
            <w:hideMark/>
          </w:tcPr>
          <w:p w14:paraId="6666DD82"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0.48 </w:t>
            </w:r>
          </w:p>
        </w:tc>
        <w:tc>
          <w:tcPr>
            <w:tcW w:w="191" w:type="pct"/>
            <w:tcBorders>
              <w:top w:val="single" w:sz="6" w:space="0" w:color="auto"/>
              <w:left w:val="single" w:sz="6" w:space="0" w:color="auto"/>
              <w:bottom w:val="single" w:sz="6" w:space="0" w:color="auto"/>
              <w:right w:val="single" w:sz="6" w:space="0" w:color="auto"/>
            </w:tcBorders>
            <w:hideMark/>
          </w:tcPr>
          <w:p w14:paraId="134CBE5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0.45 </w:t>
            </w:r>
          </w:p>
        </w:tc>
        <w:tc>
          <w:tcPr>
            <w:tcW w:w="191" w:type="pct"/>
            <w:tcBorders>
              <w:top w:val="single" w:sz="6" w:space="0" w:color="auto"/>
              <w:left w:val="single" w:sz="6" w:space="0" w:color="auto"/>
              <w:bottom w:val="single" w:sz="6" w:space="0" w:color="auto"/>
              <w:right w:val="single" w:sz="6" w:space="0" w:color="auto"/>
            </w:tcBorders>
            <w:hideMark/>
          </w:tcPr>
          <w:p w14:paraId="022FAC1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0.41 </w:t>
            </w:r>
          </w:p>
        </w:tc>
        <w:tc>
          <w:tcPr>
            <w:tcW w:w="191" w:type="pct"/>
            <w:tcBorders>
              <w:top w:val="single" w:sz="6" w:space="0" w:color="auto"/>
              <w:left w:val="single" w:sz="6" w:space="0" w:color="auto"/>
              <w:bottom w:val="single" w:sz="6" w:space="0" w:color="auto"/>
              <w:right w:val="single" w:sz="6" w:space="0" w:color="auto"/>
            </w:tcBorders>
            <w:hideMark/>
          </w:tcPr>
          <w:p w14:paraId="79EA7C1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0.39 </w:t>
            </w:r>
          </w:p>
        </w:tc>
        <w:tc>
          <w:tcPr>
            <w:tcW w:w="191" w:type="pct"/>
            <w:tcBorders>
              <w:top w:val="single" w:sz="6" w:space="0" w:color="auto"/>
              <w:left w:val="single" w:sz="6" w:space="0" w:color="auto"/>
              <w:bottom w:val="single" w:sz="6" w:space="0" w:color="auto"/>
              <w:right w:val="single" w:sz="6" w:space="0" w:color="auto"/>
            </w:tcBorders>
            <w:hideMark/>
          </w:tcPr>
          <w:p w14:paraId="33A7A15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0.36 </w:t>
            </w:r>
          </w:p>
        </w:tc>
        <w:tc>
          <w:tcPr>
            <w:tcW w:w="191" w:type="pct"/>
            <w:tcBorders>
              <w:top w:val="single" w:sz="6" w:space="0" w:color="auto"/>
              <w:left w:val="single" w:sz="6" w:space="0" w:color="auto"/>
              <w:bottom w:val="single" w:sz="6" w:space="0" w:color="auto"/>
              <w:right w:val="single" w:sz="6" w:space="0" w:color="auto"/>
            </w:tcBorders>
            <w:hideMark/>
          </w:tcPr>
          <w:p w14:paraId="40E4E09E"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0.34 </w:t>
            </w:r>
          </w:p>
        </w:tc>
        <w:tc>
          <w:tcPr>
            <w:tcW w:w="191" w:type="pct"/>
            <w:tcBorders>
              <w:top w:val="single" w:sz="6" w:space="0" w:color="auto"/>
              <w:left w:val="single" w:sz="6" w:space="0" w:color="auto"/>
              <w:bottom w:val="single" w:sz="6" w:space="0" w:color="auto"/>
              <w:right w:val="single" w:sz="6" w:space="0" w:color="auto"/>
            </w:tcBorders>
            <w:hideMark/>
          </w:tcPr>
          <w:p w14:paraId="2789E3B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6FF1C6E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0.30 </w:t>
            </w:r>
          </w:p>
        </w:tc>
        <w:tc>
          <w:tcPr>
            <w:tcW w:w="191" w:type="pct"/>
            <w:tcBorders>
              <w:top w:val="single" w:sz="6" w:space="0" w:color="auto"/>
              <w:left w:val="single" w:sz="6" w:space="0" w:color="auto"/>
              <w:bottom w:val="single" w:sz="6" w:space="0" w:color="auto"/>
              <w:right w:val="single" w:sz="6" w:space="0" w:color="auto"/>
            </w:tcBorders>
            <w:hideMark/>
          </w:tcPr>
          <w:p w14:paraId="2968B3E9"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0.29 </w:t>
            </w:r>
          </w:p>
        </w:tc>
        <w:tc>
          <w:tcPr>
            <w:tcW w:w="191" w:type="pct"/>
            <w:tcBorders>
              <w:top w:val="single" w:sz="6" w:space="0" w:color="auto"/>
              <w:left w:val="single" w:sz="6" w:space="0" w:color="auto"/>
              <w:bottom w:val="single" w:sz="6" w:space="0" w:color="auto"/>
              <w:right w:val="single" w:sz="6" w:space="0" w:color="auto"/>
            </w:tcBorders>
            <w:hideMark/>
          </w:tcPr>
          <w:p w14:paraId="30CAAE6A"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6A91D7E5"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78145FA7"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40A68659"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0.20 </w:t>
            </w:r>
          </w:p>
        </w:tc>
        <w:tc>
          <w:tcPr>
            <w:tcW w:w="191" w:type="pct"/>
            <w:tcBorders>
              <w:top w:val="single" w:sz="6" w:space="0" w:color="auto"/>
              <w:left w:val="single" w:sz="6" w:space="0" w:color="auto"/>
              <w:bottom w:val="single" w:sz="6" w:space="0" w:color="auto"/>
              <w:right w:val="single" w:sz="6" w:space="0" w:color="auto"/>
            </w:tcBorders>
            <w:hideMark/>
          </w:tcPr>
          <w:p w14:paraId="4F7CE7C3"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0.17 </w:t>
            </w:r>
          </w:p>
        </w:tc>
        <w:tc>
          <w:tcPr>
            <w:tcW w:w="191" w:type="pct"/>
            <w:tcBorders>
              <w:top w:val="single" w:sz="6" w:space="0" w:color="auto"/>
              <w:left w:val="single" w:sz="6" w:space="0" w:color="auto"/>
              <w:bottom w:val="single" w:sz="6" w:space="0" w:color="auto"/>
              <w:right w:val="single" w:sz="6" w:space="0" w:color="auto"/>
            </w:tcBorders>
            <w:hideMark/>
          </w:tcPr>
          <w:p w14:paraId="05D3FF1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0.15 </w:t>
            </w:r>
          </w:p>
        </w:tc>
        <w:tc>
          <w:tcPr>
            <w:tcW w:w="191" w:type="pct"/>
            <w:tcBorders>
              <w:top w:val="single" w:sz="6" w:space="0" w:color="auto"/>
              <w:left w:val="single" w:sz="6" w:space="0" w:color="auto"/>
              <w:bottom w:val="single" w:sz="6" w:space="0" w:color="auto"/>
              <w:right w:val="single" w:sz="6" w:space="0" w:color="auto"/>
            </w:tcBorders>
            <w:hideMark/>
          </w:tcPr>
          <w:p w14:paraId="30EE6B6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459C0C6A"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0.12 </w:t>
            </w:r>
          </w:p>
        </w:tc>
        <w:tc>
          <w:tcPr>
            <w:tcW w:w="8" w:type="pct"/>
            <w:vAlign w:val="center"/>
            <w:hideMark/>
          </w:tcPr>
          <w:p w14:paraId="0E9513DB" w14:textId="77777777" w:rsidR="00DB1AEE" w:rsidRPr="00DB1AEE" w:rsidRDefault="00DB1AEE" w:rsidP="00DB1AEE">
            <w:pPr>
              <w:widowControl w:val="0"/>
              <w:suppressAutoHyphens/>
              <w:autoSpaceDE w:val="0"/>
              <w:autoSpaceDN w:val="0"/>
              <w:jc w:val="left"/>
              <w:rPr>
                <w:bCs/>
                <w:iCs/>
                <w:sz w:val="18"/>
                <w:szCs w:val="18"/>
                <w:u w:val="single"/>
                <w:lang w:bidi="en-US"/>
              </w:rPr>
            </w:pPr>
          </w:p>
        </w:tc>
      </w:tr>
      <w:tr w:rsidR="00DB1AEE" w:rsidRPr="00DB1AEE" w14:paraId="00741517" w14:textId="77777777" w:rsidTr="00FC1832">
        <w:trPr>
          <w:trHeight w:val="255"/>
        </w:trPr>
        <w:tc>
          <w:tcPr>
            <w:tcW w:w="550" w:type="pct"/>
            <w:tcBorders>
              <w:top w:val="single" w:sz="6" w:space="0" w:color="auto"/>
              <w:left w:val="single" w:sz="6" w:space="0" w:color="auto"/>
              <w:bottom w:val="single" w:sz="6" w:space="0" w:color="auto"/>
              <w:right w:val="single" w:sz="6" w:space="0" w:color="auto"/>
            </w:tcBorders>
            <w:hideMark/>
          </w:tcPr>
          <w:p w14:paraId="6AC48E5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2.64 </w:t>
            </w:r>
          </w:p>
        </w:tc>
        <w:tc>
          <w:tcPr>
            <w:tcW w:w="490" w:type="pct"/>
            <w:tcBorders>
              <w:top w:val="single" w:sz="6" w:space="0" w:color="auto"/>
              <w:left w:val="single" w:sz="6" w:space="0" w:color="auto"/>
              <w:bottom w:val="single" w:sz="6" w:space="0" w:color="auto"/>
              <w:right w:val="single" w:sz="6" w:space="0" w:color="auto"/>
            </w:tcBorders>
            <w:hideMark/>
          </w:tcPr>
          <w:p w14:paraId="1194712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0.70 </w:t>
            </w:r>
          </w:p>
        </w:tc>
        <w:tc>
          <w:tcPr>
            <w:tcW w:w="320" w:type="pct"/>
            <w:tcBorders>
              <w:top w:val="single" w:sz="6" w:space="0" w:color="auto"/>
              <w:left w:val="single" w:sz="6" w:space="0" w:color="auto"/>
              <w:bottom w:val="single" w:sz="6" w:space="0" w:color="auto"/>
              <w:right w:val="single" w:sz="6" w:space="0" w:color="auto"/>
            </w:tcBorders>
            <w:hideMark/>
          </w:tcPr>
          <w:p w14:paraId="06C68439"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0.63 </w:t>
            </w:r>
          </w:p>
        </w:tc>
        <w:tc>
          <w:tcPr>
            <w:tcW w:w="191" w:type="pct"/>
            <w:tcBorders>
              <w:top w:val="single" w:sz="6" w:space="0" w:color="auto"/>
              <w:left w:val="single" w:sz="6" w:space="0" w:color="auto"/>
              <w:bottom w:val="single" w:sz="6" w:space="0" w:color="auto"/>
              <w:right w:val="single" w:sz="6" w:space="0" w:color="auto"/>
            </w:tcBorders>
            <w:hideMark/>
          </w:tcPr>
          <w:p w14:paraId="08CB2D0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0.56 </w:t>
            </w:r>
          </w:p>
        </w:tc>
        <w:tc>
          <w:tcPr>
            <w:tcW w:w="191" w:type="pct"/>
            <w:tcBorders>
              <w:top w:val="single" w:sz="6" w:space="0" w:color="auto"/>
              <w:left w:val="single" w:sz="6" w:space="0" w:color="auto"/>
              <w:bottom w:val="single" w:sz="6" w:space="0" w:color="auto"/>
              <w:right w:val="single" w:sz="6" w:space="0" w:color="auto"/>
            </w:tcBorders>
            <w:hideMark/>
          </w:tcPr>
          <w:p w14:paraId="758AAFA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0.51 </w:t>
            </w:r>
          </w:p>
        </w:tc>
        <w:tc>
          <w:tcPr>
            <w:tcW w:w="191" w:type="pct"/>
            <w:tcBorders>
              <w:top w:val="single" w:sz="6" w:space="0" w:color="auto"/>
              <w:left w:val="single" w:sz="6" w:space="0" w:color="auto"/>
              <w:bottom w:val="single" w:sz="6" w:space="0" w:color="auto"/>
              <w:right w:val="single" w:sz="6" w:space="0" w:color="auto"/>
            </w:tcBorders>
            <w:hideMark/>
          </w:tcPr>
          <w:p w14:paraId="64821C52"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0.47 </w:t>
            </w:r>
          </w:p>
        </w:tc>
        <w:tc>
          <w:tcPr>
            <w:tcW w:w="191" w:type="pct"/>
            <w:tcBorders>
              <w:top w:val="single" w:sz="6" w:space="0" w:color="auto"/>
              <w:left w:val="single" w:sz="6" w:space="0" w:color="auto"/>
              <w:bottom w:val="single" w:sz="6" w:space="0" w:color="auto"/>
              <w:right w:val="single" w:sz="6" w:space="0" w:color="auto"/>
            </w:tcBorders>
            <w:hideMark/>
          </w:tcPr>
          <w:p w14:paraId="6E85508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0.43 </w:t>
            </w:r>
          </w:p>
        </w:tc>
        <w:tc>
          <w:tcPr>
            <w:tcW w:w="191" w:type="pct"/>
            <w:tcBorders>
              <w:top w:val="single" w:sz="6" w:space="0" w:color="auto"/>
              <w:left w:val="single" w:sz="6" w:space="0" w:color="auto"/>
              <w:bottom w:val="single" w:sz="6" w:space="0" w:color="auto"/>
              <w:right w:val="single" w:sz="6" w:space="0" w:color="auto"/>
            </w:tcBorders>
            <w:hideMark/>
          </w:tcPr>
          <w:p w14:paraId="0B6F239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0.40 </w:t>
            </w:r>
          </w:p>
        </w:tc>
        <w:tc>
          <w:tcPr>
            <w:tcW w:w="191" w:type="pct"/>
            <w:tcBorders>
              <w:top w:val="single" w:sz="6" w:space="0" w:color="auto"/>
              <w:left w:val="single" w:sz="6" w:space="0" w:color="auto"/>
              <w:bottom w:val="single" w:sz="6" w:space="0" w:color="auto"/>
              <w:right w:val="single" w:sz="6" w:space="0" w:color="auto"/>
            </w:tcBorders>
            <w:hideMark/>
          </w:tcPr>
          <w:p w14:paraId="41B5E61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0.38 </w:t>
            </w:r>
          </w:p>
        </w:tc>
        <w:tc>
          <w:tcPr>
            <w:tcW w:w="191" w:type="pct"/>
            <w:tcBorders>
              <w:top w:val="single" w:sz="6" w:space="0" w:color="auto"/>
              <w:left w:val="single" w:sz="6" w:space="0" w:color="auto"/>
              <w:bottom w:val="single" w:sz="6" w:space="0" w:color="auto"/>
              <w:right w:val="single" w:sz="6" w:space="0" w:color="auto"/>
            </w:tcBorders>
            <w:hideMark/>
          </w:tcPr>
          <w:p w14:paraId="7A4A13EA"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0.35 </w:t>
            </w:r>
          </w:p>
        </w:tc>
        <w:tc>
          <w:tcPr>
            <w:tcW w:w="191" w:type="pct"/>
            <w:tcBorders>
              <w:top w:val="single" w:sz="6" w:space="0" w:color="auto"/>
              <w:left w:val="single" w:sz="6" w:space="0" w:color="auto"/>
              <w:bottom w:val="single" w:sz="6" w:space="0" w:color="auto"/>
              <w:right w:val="single" w:sz="6" w:space="0" w:color="auto"/>
            </w:tcBorders>
            <w:hideMark/>
          </w:tcPr>
          <w:p w14:paraId="06EB045A"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0.33 </w:t>
            </w:r>
          </w:p>
        </w:tc>
        <w:tc>
          <w:tcPr>
            <w:tcW w:w="191" w:type="pct"/>
            <w:tcBorders>
              <w:top w:val="single" w:sz="6" w:space="0" w:color="auto"/>
              <w:left w:val="single" w:sz="6" w:space="0" w:color="auto"/>
              <w:bottom w:val="single" w:sz="6" w:space="0" w:color="auto"/>
              <w:right w:val="single" w:sz="6" w:space="0" w:color="auto"/>
            </w:tcBorders>
            <w:hideMark/>
          </w:tcPr>
          <w:p w14:paraId="0112AC6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0.31 </w:t>
            </w:r>
          </w:p>
        </w:tc>
        <w:tc>
          <w:tcPr>
            <w:tcW w:w="191" w:type="pct"/>
            <w:tcBorders>
              <w:top w:val="single" w:sz="6" w:space="0" w:color="auto"/>
              <w:left w:val="single" w:sz="6" w:space="0" w:color="auto"/>
              <w:bottom w:val="single" w:sz="6" w:space="0" w:color="auto"/>
              <w:right w:val="single" w:sz="6" w:space="0" w:color="auto"/>
            </w:tcBorders>
            <w:hideMark/>
          </w:tcPr>
          <w:p w14:paraId="446D2F6E"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0.30 </w:t>
            </w:r>
          </w:p>
        </w:tc>
        <w:tc>
          <w:tcPr>
            <w:tcW w:w="191" w:type="pct"/>
            <w:tcBorders>
              <w:top w:val="single" w:sz="6" w:space="0" w:color="auto"/>
              <w:left w:val="single" w:sz="6" w:space="0" w:color="auto"/>
              <w:bottom w:val="single" w:sz="6" w:space="0" w:color="auto"/>
              <w:right w:val="single" w:sz="6" w:space="0" w:color="auto"/>
            </w:tcBorders>
            <w:hideMark/>
          </w:tcPr>
          <w:p w14:paraId="2BC16F65"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36DB523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16EE616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521C4AB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226B508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0.20 </w:t>
            </w:r>
          </w:p>
        </w:tc>
        <w:tc>
          <w:tcPr>
            <w:tcW w:w="191" w:type="pct"/>
            <w:tcBorders>
              <w:top w:val="single" w:sz="6" w:space="0" w:color="auto"/>
              <w:left w:val="single" w:sz="6" w:space="0" w:color="auto"/>
              <w:bottom w:val="single" w:sz="6" w:space="0" w:color="auto"/>
              <w:right w:val="single" w:sz="6" w:space="0" w:color="auto"/>
            </w:tcBorders>
            <w:hideMark/>
          </w:tcPr>
          <w:p w14:paraId="09FE3E0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0.17 </w:t>
            </w:r>
          </w:p>
        </w:tc>
        <w:tc>
          <w:tcPr>
            <w:tcW w:w="191" w:type="pct"/>
            <w:tcBorders>
              <w:top w:val="single" w:sz="6" w:space="0" w:color="auto"/>
              <w:left w:val="single" w:sz="6" w:space="0" w:color="auto"/>
              <w:bottom w:val="single" w:sz="6" w:space="0" w:color="auto"/>
              <w:right w:val="single" w:sz="6" w:space="0" w:color="auto"/>
            </w:tcBorders>
            <w:hideMark/>
          </w:tcPr>
          <w:p w14:paraId="799DDE8A"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0.15 </w:t>
            </w:r>
          </w:p>
        </w:tc>
        <w:tc>
          <w:tcPr>
            <w:tcW w:w="191" w:type="pct"/>
            <w:tcBorders>
              <w:top w:val="single" w:sz="6" w:space="0" w:color="auto"/>
              <w:left w:val="single" w:sz="6" w:space="0" w:color="auto"/>
              <w:bottom w:val="single" w:sz="6" w:space="0" w:color="auto"/>
              <w:right w:val="single" w:sz="6" w:space="0" w:color="auto"/>
            </w:tcBorders>
            <w:hideMark/>
          </w:tcPr>
          <w:p w14:paraId="386F5217"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21ACFCD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0.12 </w:t>
            </w:r>
          </w:p>
        </w:tc>
        <w:tc>
          <w:tcPr>
            <w:tcW w:w="8" w:type="pct"/>
            <w:vAlign w:val="center"/>
            <w:hideMark/>
          </w:tcPr>
          <w:p w14:paraId="046DB98D" w14:textId="77777777" w:rsidR="00DB1AEE" w:rsidRPr="00DB1AEE" w:rsidRDefault="00DB1AEE" w:rsidP="00DB1AEE">
            <w:pPr>
              <w:widowControl w:val="0"/>
              <w:suppressAutoHyphens/>
              <w:autoSpaceDE w:val="0"/>
              <w:autoSpaceDN w:val="0"/>
              <w:jc w:val="left"/>
              <w:rPr>
                <w:bCs/>
                <w:iCs/>
                <w:sz w:val="18"/>
                <w:szCs w:val="18"/>
                <w:u w:val="single"/>
                <w:lang w:bidi="en-US"/>
              </w:rPr>
            </w:pPr>
          </w:p>
        </w:tc>
      </w:tr>
      <w:tr w:rsidR="00DB1AEE" w:rsidRPr="00DB1AEE" w14:paraId="4C654B83" w14:textId="77777777" w:rsidTr="00FC1832">
        <w:trPr>
          <w:trHeight w:val="228"/>
        </w:trPr>
        <w:tc>
          <w:tcPr>
            <w:tcW w:w="550" w:type="pct"/>
            <w:tcBorders>
              <w:top w:val="single" w:sz="6" w:space="0" w:color="auto"/>
              <w:left w:val="single" w:sz="6" w:space="0" w:color="auto"/>
              <w:bottom w:val="single" w:sz="6" w:space="0" w:color="auto"/>
              <w:right w:val="single" w:sz="6" w:space="0" w:color="auto"/>
            </w:tcBorders>
            <w:hideMark/>
          </w:tcPr>
          <w:p w14:paraId="0059D60C"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3.35 </w:t>
            </w:r>
          </w:p>
        </w:tc>
        <w:tc>
          <w:tcPr>
            <w:tcW w:w="490" w:type="pct"/>
            <w:tcBorders>
              <w:top w:val="single" w:sz="6" w:space="0" w:color="auto"/>
              <w:left w:val="single" w:sz="6" w:space="0" w:color="auto"/>
              <w:bottom w:val="single" w:sz="6" w:space="0" w:color="auto"/>
              <w:right w:val="single" w:sz="6" w:space="0" w:color="auto"/>
            </w:tcBorders>
            <w:hideMark/>
          </w:tcPr>
          <w:p w14:paraId="117530C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0.66 </w:t>
            </w:r>
          </w:p>
        </w:tc>
        <w:tc>
          <w:tcPr>
            <w:tcW w:w="320" w:type="pct"/>
            <w:tcBorders>
              <w:top w:val="single" w:sz="6" w:space="0" w:color="auto"/>
              <w:left w:val="single" w:sz="6" w:space="0" w:color="auto"/>
              <w:bottom w:val="single" w:sz="6" w:space="0" w:color="auto"/>
              <w:right w:val="single" w:sz="6" w:space="0" w:color="auto"/>
            </w:tcBorders>
            <w:hideMark/>
          </w:tcPr>
          <w:p w14:paraId="57DDEE6A"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0.59 </w:t>
            </w:r>
          </w:p>
        </w:tc>
        <w:tc>
          <w:tcPr>
            <w:tcW w:w="191" w:type="pct"/>
            <w:tcBorders>
              <w:top w:val="single" w:sz="6" w:space="0" w:color="auto"/>
              <w:left w:val="single" w:sz="6" w:space="0" w:color="auto"/>
              <w:bottom w:val="single" w:sz="6" w:space="0" w:color="auto"/>
              <w:right w:val="single" w:sz="6" w:space="0" w:color="auto"/>
            </w:tcBorders>
            <w:hideMark/>
          </w:tcPr>
          <w:p w14:paraId="781046F3"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0.53 </w:t>
            </w:r>
          </w:p>
        </w:tc>
        <w:tc>
          <w:tcPr>
            <w:tcW w:w="191" w:type="pct"/>
            <w:tcBorders>
              <w:top w:val="single" w:sz="6" w:space="0" w:color="auto"/>
              <w:left w:val="single" w:sz="6" w:space="0" w:color="auto"/>
              <w:bottom w:val="single" w:sz="6" w:space="0" w:color="auto"/>
              <w:right w:val="single" w:sz="6" w:space="0" w:color="auto"/>
            </w:tcBorders>
            <w:hideMark/>
          </w:tcPr>
          <w:p w14:paraId="237ECE71"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0.49 </w:t>
            </w:r>
          </w:p>
        </w:tc>
        <w:tc>
          <w:tcPr>
            <w:tcW w:w="191" w:type="pct"/>
            <w:tcBorders>
              <w:top w:val="single" w:sz="6" w:space="0" w:color="auto"/>
              <w:left w:val="single" w:sz="6" w:space="0" w:color="auto"/>
              <w:bottom w:val="single" w:sz="6" w:space="0" w:color="auto"/>
              <w:right w:val="single" w:sz="6" w:space="0" w:color="auto"/>
            </w:tcBorders>
            <w:hideMark/>
          </w:tcPr>
          <w:p w14:paraId="52C289C2"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0.45 </w:t>
            </w:r>
          </w:p>
        </w:tc>
        <w:tc>
          <w:tcPr>
            <w:tcW w:w="191" w:type="pct"/>
            <w:tcBorders>
              <w:top w:val="single" w:sz="6" w:space="0" w:color="auto"/>
              <w:left w:val="single" w:sz="6" w:space="0" w:color="auto"/>
              <w:bottom w:val="single" w:sz="6" w:space="0" w:color="auto"/>
              <w:right w:val="single" w:sz="6" w:space="0" w:color="auto"/>
            </w:tcBorders>
            <w:hideMark/>
          </w:tcPr>
          <w:p w14:paraId="0C2BC6F9"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0.42 </w:t>
            </w:r>
          </w:p>
        </w:tc>
        <w:tc>
          <w:tcPr>
            <w:tcW w:w="191" w:type="pct"/>
            <w:tcBorders>
              <w:top w:val="single" w:sz="6" w:space="0" w:color="auto"/>
              <w:left w:val="single" w:sz="6" w:space="0" w:color="auto"/>
              <w:bottom w:val="single" w:sz="6" w:space="0" w:color="auto"/>
              <w:right w:val="single" w:sz="6" w:space="0" w:color="auto"/>
            </w:tcBorders>
            <w:hideMark/>
          </w:tcPr>
          <w:p w14:paraId="067CFCBA"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0.39 </w:t>
            </w:r>
          </w:p>
        </w:tc>
        <w:tc>
          <w:tcPr>
            <w:tcW w:w="191" w:type="pct"/>
            <w:tcBorders>
              <w:top w:val="single" w:sz="6" w:space="0" w:color="auto"/>
              <w:left w:val="single" w:sz="6" w:space="0" w:color="auto"/>
              <w:bottom w:val="single" w:sz="6" w:space="0" w:color="auto"/>
              <w:right w:val="single" w:sz="6" w:space="0" w:color="auto"/>
            </w:tcBorders>
            <w:hideMark/>
          </w:tcPr>
          <w:p w14:paraId="03F81CE1"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0.36 </w:t>
            </w:r>
          </w:p>
        </w:tc>
        <w:tc>
          <w:tcPr>
            <w:tcW w:w="191" w:type="pct"/>
            <w:tcBorders>
              <w:top w:val="single" w:sz="6" w:space="0" w:color="auto"/>
              <w:left w:val="single" w:sz="6" w:space="0" w:color="auto"/>
              <w:bottom w:val="single" w:sz="6" w:space="0" w:color="auto"/>
              <w:right w:val="single" w:sz="6" w:space="0" w:color="auto"/>
            </w:tcBorders>
            <w:hideMark/>
          </w:tcPr>
          <w:p w14:paraId="607884C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0.34 </w:t>
            </w:r>
          </w:p>
        </w:tc>
        <w:tc>
          <w:tcPr>
            <w:tcW w:w="191" w:type="pct"/>
            <w:tcBorders>
              <w:top w:val="single" w:sz="6" w:space="0" w:color="auto"/>
              <w:left w:val="single" w:sz="6" w:space="0" w:color="auto"/>
              <w:bottom w:val="single" w:sz="6" w:space="0" w:color="auto"/>
              <w:right w:val="single" w:sz="6" w:space="0" w:color="auto"/>
            </w:tcBorders>
            <w:hideMark/>
          </w:tcPr>
          <w:p w14:paraId="0A8ACA7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098620F5"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0.31 </w:t>
            </w:r>
          </w:p>
        </w:tc>
        <w:tc>
          <w:tcPr>
            <w:tcW w:w="191" w:type="pct"/>
            <w:tcBorders>
              <w:top w:val="single" w:sz="6" w:space="0" w:color="auto"/>
              <w:left w:val="single" w:sz="6" w:space="0" w:color="auto"/>
              <w:bottom w:val="single" w:sz="6" w:space="0" w:color="auto"/>
              <w:right w:val="single" w:sz="6" w:space="0" w:color="auto"/>
            </w:tcBorders>
            <w:hideMark/>
          </w:tcPr>
          <w:p w14:paraId="79AB15CA"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0.29 </w:t>
            </w:r>
          </w:p>
        </w:tc>
        <w:tc>
          <w:tcPr>
            <w:tcW w:w="191" w:type="pct"/>
            <w:tcBorders>
              <w:top w:val="single" w:sz="6" w:space="0" w:color="auto"/>
              <w:left w:val="single" w:sz="6" w:space="0" w:color="auto"/>
              <w:bottom w:val="single" w:sz="6" w:space="0" w:color="auto"/>
              <w:right w:val="single" w:sz="6" w:space="0" w:color="auto"/>
            </w:tcBorders>
            <w:hideMark/>
          </w:tcPr>
          <w:p w14:paraId="336FEED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682A0C03"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301BB67E"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3234CCBA"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2E9EC3F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0.20 </w:t>
            </w:r>
          </w:p>
        </w:tc>
        <w:tc>
          <w:tcPr>
            <w:tcW w:w="191" w:type="pct"/>
            <w:tcBorders>
              <w:top w:val="single" w:sz="6" w:space="0" w:color="auto"/>
              <w:left w:val="single" w:sz="6" w:space="0" w:color="auto"/>
              <w:bottom w:val="single" w:sz="6" w:space="0" w:color="auto"/>
              <w:right w:val="single" w:sz="6" w:space="0" w:color="auto"/>
            </w:tcBorders>
            <w:hideMark/>
          </w:tcPr>
          <w:p w14:paraId="1BD02CF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0.17 </w:t>
            </w:r>
          </w:p>
        </w:tc>
        <w:tc>
          <w:tcPr>
            <w:tcW w:w="191" w:type="pct"/>
            <w:tcBorders>
              <w:top w:val="single" w:sz="6" w:space="0" w:color="auto"/>
              <w:left w:val="single" w:sz="6" w:space="0" w:color="auto"/>
              <w:bottom w:val="single" w:sz="6" w:space="0" w:color="auto"/>
              <w:right w:val="single" w:sz="6" w:space="0" w:color="auto"/>
            </w:tcBorders>
            <w:hideMark/>
          </w:tcPr>
          <w:p w14:paraId="1C5940C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0.15 </w:t>
            </w:r>
          </w:p>
        </w:tc>
        <w:tc>
          <w:tcPr>
            <w:tcW w:w="191" w:type="pct"/>
            <w:tcBorders>
              <w:top w:val="single" w:sz="6" w:space="0" w:color="auto"/>
              <w:left w:val="single" w:sz="6" w:space="0" w:color="auto"/>
              <w:bottom w:val="single" w:sz="6" w:space="0" w:color="auto"/>
              <w:right w:val="single" w:sz="6" w:space="0" w:color="auto"/>
            </w:tcBorders>
            <w:hideMark/>
          </w:tcPr>
          <w:p w14:paraId="27176F6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4919C372"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0.12 </w:t>
            </w:r>
          </w:p>
        </w:tc>
        <w:tc>
          <w:tcPr>
            <w:tcW w:w="8" w:type="pct"/>
            <w:vAlign w:val="center"/>
            <w:hideMark/>
          </w:tcPr>
          <w:p w14:paraId="7C6BBE02" w14:textId="77777777" w:rsidR="00DB1AEE" w:rsidRPr="00DB1AEE" w:rsidRDefault="00DB1AEE" w:rsidP="00DB1AEE">
            <w:pPr>
              <w:widowControl w:val="0"/>
              <w:suppressAutoHyphens/>
              <w:autoSpaceDE w:val="0"/>
              <w:autoSpaceDN w:val="0"/>
              <w:jc w:val="left"/>
              <w:rPr>
                <w:bCs/>
                <w:iCs/>
                <w:sz w:val="18"/>
                <w:szCs w:val="18"/>
                <w:u w:val="single"/>
                <w:lang w:bidi="en-US"/>
              </w:rPr>
            </w:pPr>
          </w:p>
        </w:tc>
      </w:tr>
      <w:tr w:rsidR="00DB1AEE" w:rsidRPr="00DB1AEE" w14:paraId="55280E99" w14:textId="77777777" w:rsidTr="00FC1832">
        <w:trPr>
          <w:trHeight w:val="183"/>
        </w:trPr>
        <w:tc>
          <w:tcPr>
            <w:tcW w:w="550" w:type="pct"/>
            <w:tcBorders>
              <w:top w:val="single" w:sz="6" w:space="0" w:color="auto"/>
              <w:left w:val="single" w:sz="6" w:space="0" w:color="auto"/>
              <w:bottom w:val="single" w:sz="6" w:space="0" w:color="auto"/>
              <w:right w:val="single" w:sz="6" w:space="0" w:color="auto"/>
            </w:tcBorders>
            <w:hideMark/>
          </w:tcPr>
          <w:p w14:paraId="650EB2E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3.70 </w:t>
            </w:r>
          </w:p>
        </w:tc>
        <w:tc>
          <w:tcPr>
            <w:tcW w:w="490" w:type="pct"/>
            <w:tcBorders>
              <w:top w:val="single" w:sz="6" w:space="0" w:color="auto"/>
              <w:left w:val="single" w:sz="6" w:space="0" w:color="auto"/>
              <w:bottom w:val="single" w:sz="6" w:space="0" w:color="auto"/>
              <w:right w:val="single" w:sz="6" w:space="0" w:color="auto"/>
            </w:tcBorders>
            <w:hideMark/>
          </w:tcPr>
          <w:p w14:paraId="7FF36C9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0.64 </w:t>
            </w:r>
          </w:p>
        </w:tc>
        <w:tc>
          <w:tcPr>
            <w:tcW w:w="320" w:type="pct"/>
            <w:tcBorders>
              <w:top w:val="single" w:sz="6" w:space="0" w:color="auto"/>
              <w:left w:val="single" w:sz="6" w:space="0" w:color="auto"/>
              <w:bottom w:val="single" w:sz="6" w:space="0" w:color="auto"/>
              <w:right w:val="single" w:sz="6" w:space="0" w:color="auto"/>
            </w:tcBorders>
            <w:hideMark/>
          </w:tcPr>
          <w:p w14:paraId="3898C62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0.58 </w:t>
            </w:r>
          </w:p>
        </w:tc>
        <w:tc>
          <w:tcPr>
            <w:tcW w:w="191" w:type="pct"/>
            <w:tcBorders>
              <w:top w:val="single" w:sz="6" w:space="0" w:color="auto"/>
              <w:left w:val="single" w:sz="6" w:space="0" w:color="auto"/>
              <w:bottom w:val="single" w:sz="6" w:space="0" w:color="auto"/>
              <w:right w:val="single" w:sz="6" w:space="0" w:color="auto"/>
            </w:tcBorders>
            <w:hideMark/>
          </w:tcPr>
          <w:p w14:paraId="57F77B8C"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0.52 </w:t>
            </w:r>
          </w:p>
        </w:tc>
        <w:tc>
          <w:tcPr>
            <w:tcW w:w="191" w:type="pct"/>
            <w:tcBorders>
              <w:top w:val="single" w:sz="6" w:space="0" w:color="auto"/>
              <w:left w:val="single" w:sz="6" w:space="0" w:color="auto"/>
              <w:bottom w:val="single" w:sz="6" w:space="0" w:color="auto"/>
              <w:right w:val="single" w:sz="6" w:space="0" w:color="auto"/>
            </w:tcBorders>
            <w:hideMark/>
          </w:tcPr>
          <w:p w14:paraId="4C4B8379"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0.48 </w:t>
            </w:r>
          </w:p>
        </w:tc>
        <w:tc>
          <w:tcPr>
            <w:tcW w:w="191" w:type="pct"/>
            <w:tcBorders>
              <w:top w:val="single" w:sz="6" w:space="0" w:color="auto"/>
              <w:left w:val="single" w:sz="6" w:space="0" w:color="auto"/>
              <w:bottom w:val="single" w:sz="6" w:space="0" w:color="auto"/>
              <w:right w:val="single" w:sz="6" w:space="0" w:color="auto"/>
            </w:tcBorders>
            <w:hideMark/>
          </w:tcPr>
          <w:p w14:paraId="07FF9C17"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0.44 </w:t>
            </w:r>
          </w:p>
        </w:tc>
        <w:tc>
          <w:tcPr>
            <w:tcW w:w="191" w:type="pct"/>
            <w:tcBorders>
              <w:top w:val="single" w:sz="6" w:space="0" w:color="auto"/>
              <w:left w:val="single" w:sz="6" w:space="0" w:color="auto"/>
              <w:bottom w:val="single" w:sz="6" w:space="0" w:color="auto"/>
              <w:right w:val="single" w:sz="6" w:space="0" w:color="auto"/>
            </w:tcBorders>
            <w:hideMark/>
          </w:tcPr>
          <w:p w14:paraId="7413DDBE"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0.41 </w:t>
            </w:r>
          </w:p>
        </w:tc>
        <w:tc>
          <w:tcPr>
            <w:tcW w:w="191" w:type="pct"/>
            <w:tcBorders>
              <w:top w:val="single" w:sz="6" w:space="0" w:color="auto"/>
              <w:left w:val="single" w:sz="6" w:space="0" w:color="auto"/>
              <w:bottom w:val="single" w:sz="6" w:space="0" w:color="auto"/>
              <w:right w:val="single" w:sz="6" w:space="0" w:color="auto"/>
            </w:tcBorders>
            <w:hideMark/>
          </w:tcPr>
          <w:p w14:paraId="392EB57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0.38 </w:t>
            </w:r>
          </w:p>
        </w:tc>
        <w:tc>
          <w:tcPr>
            <w:tcW w:w="191" w:type="pct"/>
            <w:tcBorders>
              <w:top w:val="single" w:sz="6" w:space="0" w:color="auto"/>
              <w:left w:val="single" w:sz="6" w:space="0" w:color="auto"/>
              <w:bottom w:val="single" w:sz="6" w:space="0" w:color="auto"/>
              <w:right w:val="single" w:sz="6" w:space="0" w:color="auto"/>
            </w:tcBorders>
            <w:hideMark/>
          </w:tcPr>
          <w:p w14:paraId="4FF552C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0.36 </w:t>
            </w:r>
          </w:p>
        </w:tc>
        <w:tc>
          <w:tcPr>
            <w:tcW w:w="191" w:type="pct"/>
            <w:tcBorders>
              <w:top w:val="single" w:sz="6" w:space="0" w:color="auto"/>
              <w:left w:val="single" w:sz="6" w:space="0" w:color="auto"/>
              <w:bottom w:val="single" w:sz="6" w:space="0" w:color="auto"/>
              <w:right w:val="single" w:sz="6" w:space="0" w:color="auto"/>
            </w:tcBorders>
            <w:hideMark/>
          </w:tcPr>
          <w:p w14:paraId="11766CE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0.34 </w:t>
            </w:r>
          </w:p>
        </w:tc>
        <w:tc>
          <w:tcPr>
            <w:tcW w:w="191" w:type="pct"/>
            <w:tcBorders>
              <w:top w:val="single" w:sz="6" w:space="0" w:color="auto"/>
              <w:left w:val="single" w:sz="6" w:space="0" w:color="auto"/>
              <w:bottom w:val="single" w:sz="6" w:space="0" w:color="auto"/>
              <w:right w:val="single" w:sz="6" w:space="0" w:color="auto"/>
            </w:tcBorders>
            <w:hideMark/>
          </w:tcPr>
          <w:p w14:paraId="073B7E2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10638187"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0.30 </w:t>
            </w:r>
          </w:p>
        </w:tc>
        <w:tc>
          <w:tcPr>
            <w:tcW w:w="191" w:type="pct"/>
            <w:tcBorders>
              <w:top w:val="single" w:sz="6" w:space="0" w:color="auto"/>
              <w:left w:val="single" w:sz="6" w:space="0" w:color="auto"/>
              <w:bottom w:val="single" w:sz="6" w:space="0" w:color="auto"/>
              <w:right w:val="single" w:sz="6" w:space="0" w:color="auto"/>
            </w:tcBorders>
            <w:hideMark/>
          </w:tcPr>
          <w:p w14:paraId="546CC5F9"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0.29 </w:t>
            </w:r>
          </w:p>
        </w:tc>
        <w:tc>
          <w:tcPr>
            <w:tcW w:w="191" w:type="pct"/>
            <w:tcBorders>
              <w:top w:val="single" w:sz="6" w:space="0" w:color="auto"/>
              <w:left w:val="single" w:sz="6" w:space="0" w:color="auto"/>
              <w:bottom w:val="single" w:sz="6" w:space="0" w:color="auto"/>
              <w:right w:val="single" w:sz="6" w:space="0" w:color="auto"/>
            </w:tcBorders>
            <w:hideMark/>
          </w:tcPr>
          <w:p w14:paraId="6BF3C88E"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0261ED65"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01DCEE4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13AD97DA"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05A734F3"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0.20 </w:t>
            </w:r>
          </w:p>
        </w:tc>
        <w:tc>
          <w:tcPr>
            <w:tcW w:w="191" w:type="pct"/>
            <w:tcBorders>
              <w:top w:val="single" w:sz="6" w:space="0" w:color="auto"/>
              <w:left w:val="single" w:sz="6" w:space="0" w:color="auto"/>
              <w:bottom w:val="single" w:sz="6" w:space="0" w:color="auto"/>
              <w:right w:val="single" w:sz="6" w:space="0" w:color="auto"/>
            </w:tcBorders>
            <w:hideMark/>
          </w:tcPr>
          <w:p w14:paraId="7AA7075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0.17 </w:t>
            </w:r>
          </w:p>
        </w:tc>
        <w:tc>
          <w:tcPr>
            <w:tcW w:w="191" w:type="pct"/>
            <w:tcBorders>
              <w:top w:val="single" w:sz="6" w:space="0" w:color="auto"/>
              <w:left w:val="single" w:sz="6" w:space="0" w:color="auto"/>
              <w:bottom w:val="single" w:sz="6" w:space="0" w:color="auto"/>
              <w:right w:val="single" w:sz="6" w:space="0" w:color="auto"/>
            </w:tcBorders>
            <w:hideMark/>
          </w:tcPr>
          <w:p w14:paraId="74D0892E"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0.15 </w:t>
            </w:r>
          </w:p>
        </w:tc>
        <w:tc>
          <w:tcPr>
            <w:tcW w:w="191" w:type="pct"/>
            <w:tcBorders>
              <w:top w:val="single" w:sz="6" w:space="0" w:color="auto"/>
              <w:left w:val="single" w:sz="6" w:space="0" w:color="auto"/>
              <w:bottom w:val="single" w:sz="6" w:space="0" w:color="auto"/>
              <w:right w:val="single" w:sz="6" w:space="0" w:color="auto"/>
            </w:tcBorders>
            <w:hideMark/>
          </w:tcPr>
          <w:p w14:paraId="7F2BA0E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47C9574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0.12 </w:t>
            </w:r>
          </w:p>
        </w:tc>
        <w:tc>
          <w:tcPr>
            <w:tcW w:w="8" w:type="pct"/>
            <w:vAlign w:val="center"/>
            <w:hideMark/>
          </w:tcPr>
          <w:p w14:paraId="1225F4AB" w14:textId="77777777" w:rsidR="00DB1AEE" w:rsidRPr="00DB1AEE" w:rsidRDefault="00DB1AEE" w:rsidP="00DB1AEE">
            <w:pPr>
              <w:widowControl w:val="0"/>
              <w:suppressAutoHyphens/>
              <w:autoSpaceDE w:val="0"/>
              <w:autoSpaceDN w:val="0"/>
              <w:jc w:val="left"/>
              <w:rPr>
                <w:bCs/>
                <w:iCs/>
                <w:sz w:val="18"/>
                <w:szCs w:val="18"/>
                <w:u w:val="single"/>
                <w:lang w:bidi="en-US"/>
              </w:rPr>
            </w:pPr>
          </w:p>
        </w:tc>
      </w:tr>
      <w:tr w:rsidR="00DB1AEE" w:rsidRPr="00DB1AEE" w14:paraId="1E79827F" w14:textId="77777777" w:rsidTr="00FC1832">
        <w:trPr>
          <w:trHeight w:val="228"/>
        </w:trPr>
        <w:tc>
          <w:tcPr>
            <w:tcW w:w="550" w:type="pct"/>
            <w:tcBorders>
              <w:top w:val="single" w:sz="6" w:space="0" w:color="auto"/>
              <w:left w:val="single" w:sz="6" w:space="0" w:color="auto"/>
              <w:bottom w:val="single" w:sz="6" w:space="0" w:color="auto"/>
              <w:right w:val="single" w:sz="6" w:space="0" w:color="auto"/>
            </w:tcBorders>
            <w:hideMark/>
          </w:tcPr>
          <w:p w14:paraId="7CC4F28C"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4.40 </w:t>
            </w:r>
          </w:p>
        </w:tc>
        <w:tc>
          <w:tcPr>
            <w:tcW w:w="490" w:type="pct"/>
            <w:tcBorders>
              <w:top w:val="single" w:sz="6" w:space="0" w:color="auto"/>
              <w:left w:val="single" w:sz="6" w:space="0" w:color="auto"/>
              <w:bottom w:val="single" w:sz="6" w:space="0" w:color="auto"/>
              <w:right w:val="single" w:sz="6" w:space="0" w:color="auto"/>
            </w:tcBorders>
            <w:hideMark/>
          </w:tcPr>
          <w:p w14:paraId="2A99E57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0.62 </w:t>
            </w:r>
          </w:p>
        </w:tc>
        <w:tc>
          <w:tcPr>
            <w:tcW w:w="320" w:type="pct"/>
            <w:tcBorders>
              <w:top w:val="single" w:sz="6" w:space="0" w:color="auto"/>
              <w:left w:val="single" w:sz="6" w:space="0" w:color="auto"/>
              <w:bottom w:val="single" w:sz="6" w:space="0" w:color="auto"/>
              <w:right w:val="single" w:sz="6" w:space="0" w:color="auto"/>
            </w:tcBorders>
            <w:hideMark/>
          </w:tcPr>
          <w:p w14:paraId="6D03C7D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0.56 </w:t>
            </w:r>
          </w:p>
        </w:tc>
        <w:tc>
          <w:tcPr>
            <w:tcW w:w="191" w:type="pct"/>
            <w:tcBorders>
              <w:top w:val="single" w:sz="6" w:space="0" w:color="auto"/>
              <w:left w:val="single" w:sz="6" w:space="0" w:color="auto"/>
              <w:bottom w:val="single" w:sz="6" w:space="0" w:color="auto"/>
              <w:right w:val="single" w:sz="6" w:space="0" w:color="auto"/>
            </w:tcBorders>
            <w:hideMark/>
          </w:tcPr>
          <w:p w14:paraId="451647E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0.51 </w:t>
            </w:r>
          </w:p>
        </w:tc>
        <w:tc>
          <w:tcPr>
            <w:tcW w:w="191" w:type="pct"/>
            <w:tcBorders>
              <w:top w:val="single" w:sz="6" w:space="0" w:color="auto"/>
              <w:left w:val="single" w:sz="6" w:space="0" w:color="auto"/>
              <w:bottom w:val="single" w:sz="6" w:space="0" w:color="auto"/>
              <w:right w:val="single" w:sz="6" w:space="0" w:color="auto"/>
            </w:tcBorders>
            <w:hideMark/>
          </w:tcPr>
          <w:p w14:paraId="02D0C615"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0.47 </w:t>
            </w:r>
          </w:p>
        </w:tc>
        <w:tc>
          <w:tcPr>
            <w:tcW w:w="191" w:type="pct"/>
            <w:tcBorders>
              <w:top w:val="single" w:sz="6" w:space="0" w:color="auto"/>
              <w:left w:val="single" w:sz="6" w:space="0" w:color="auto"/>
              <w:bottom w:val="single" w:sz="6" w:space="0" w:color="auto"/>
              <w:right w:val="single" w:sz="6" w:space="0" w:color="auto"/>
            </w:tcBorders>
            <w:hideMark/>
          </w:tcPr>
          <w:p w14:paraId="1E4BB559"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0.43 </w:t>
            </w:r>
          </w:p>
        </w:tc>
        <w:tc>
          <w:tcPr>
            <w:tcW w:w="191" w:type="pct"/>
            <w:tcBorders>
              <w:top w:val="single" w:sz="6" w:space="0" w:color="auto"/>
              <w:left w:val="single" w:sz="6" w:space="0" w:color="auto"/>
              <w:bottom w:val="single" w:sz="6" w:space="0" w:color="auto"/>
              <w:right w:val="single" w:sz="6" w:space="0" w:color="auto"/>
            </w:tcBorders>
            <w:hideMark/>
          </w:tcPr>
          <w:p w14:paraId="5978E722"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0.40 </w:t>
            </w:r>
          </w:p>
        </w:tc>
        <w:tc>
          <w:tcPr>
            <w:tcW w:w="191" w:type="pct"/>
            <w:tcBorders>
              <w:top w:val="single" w:sz="6" w:space="0" w:color="auto"/>
              <w:left w:val="single" w:sz="6" w:space="0" w:color="auto"/>
              <w:bottom w:val="single" w:sz="6" w:space="0" w:color="auto"/>
              <w:right w:val="single" w:sz="6" w:space="0" w:color="auto"/>
            </w:tcBorders>
            <w:hideMark/>
          </w:tcPr>
          <w:p w14:paraId="0E47DEFE"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0.37 </w:t>
            </w:r>
          </w:p>
        </w:tc>
        <w:tc>
          <w:tcPr>
            <w:tcW w:w="191" w:type="pct"/>
            <w:tcBorders>
              <w:top w:val="single" w:sz="6" w:space="0" w:color="auto"/>
              <w:left w:val="single" w:sz="6" w:space="0" w:color="auto"/>
              <w:bottom w:val="single" w:sz="6" w:space="0" w:color="auto"/>
              <w:right w:val="single" w:sz="6" w:space="0" w:color="auto"/>
            </w:tcBorders>
            <w:hideMark/>
          </w:tcPr>
          <w:p w14:paraId="76426F5E"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0.35 </w:t>
            </w:r>
          </w:p>
        </w:tc>
        <w:tc>
          <w:tcPr>
            <w:tcW w:w="191" w:type="pct"/>
            <w:tcBorders>
              <w:top w:val="single" w:sz="6" w:space="0" w:color="auto"/>
              <w:left w:val="single" w:sz="6" w:space="0" w:color="auto"/>
              <w:bottom w:val="single" w:sz="6" w:space="0" w:color="auto"/>
              <w:right w:val="single" w:sz="6" w:space="0" w:color="auto"/>
            </w:tcBorders>
            <w:hideMark/>
          </w:tcPr>
          <w:p w14:paraId="6DB752B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0.33 </w:t>
            </w:r>
          </w:p>
        </w:tc>
        <w:tc>
          <w:tcPr>
            <w:tcW w:w="191" w:type="pct"/>
            <w:tcBorders>
              <w:top w:val="single" w:sz="6" w:space="0" w:color="auto"/>
              <w:left w:val="single" w:sz="6" w:space="0" w:color="auto"/>
              <w:bottom w:val="single" w:sz="6" w:space="0" w:color="auto"/>
              <w:right w:val="single" w:sz="6" w:space="0" w:color="auto"/>
            </w:tcBorders>
            <w:hideMark/>
          </w:tcPr>
          <w:p w14:paraId="2CED5A8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0.31 </w:t>
            </w:r>
          </w:p>
        </w:tc>
        <w:tc>
          <w:tcPr>
            <w:tcW w:w="191" w:type="pct"/>
            <w:tcBorders>
              <w:top w:val="single" w:sz="6" w:space="0" w:color="auto"/>
              <w:left w:val="single" w:sz="6" w:space="0" w:color="auto"/>
              <w:bottom w:val="single" w:sz="6" w:space="0" w:color="auto"/>
              <w:right w:val="single" w:sz="6" w:space="0" w:color="auto"/>
            </w:tcBorders>
            <w:hideMark/>
          </w:tcPr>
          <w:p w14:paraId="28B5AB81"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0.30 </w:t>
            </w:r>
          </w:p>
        </w:tc>
        <w:tc>
          <w:tcPr>
            <w:tcW w:w="191" w:type="pct"/>
            <w:tcBorders>
              <w:top w:val="single" w:sz="6" w:space="0" w:color="auto"/>
              <w:left w:val="single" w:sz="6" w:space="0" w:color="auto"/>
              <w:bottom w:val="single" w:sz="6" w:space="0" w:color="auto"/>
              <w:right w:val="single" w:sz="6" w:space="0" w:color="auto"/>
            </w:tcBorders>
            <w:hideMark/>
          </w:tcPr>
          <w:p w14:paraId="5C8146E2"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66892FD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37FCCF27"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78A3DDA9"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417B9C13"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0.23 </w:t>
            </w:r>
          </w:p>
        </w:tc>
        <w:tc>
          <w:tcPr>
            <w:tcW w:w="191" w:type="pct"/>
            <w:tcBorders>
              <w:top w:val="single" w:sz="6" w:space="0" w:color="auto"/>
              <w:left w:val="single" w:sz="6" w:space="0" w:color="auto"/>
              <w:bottom w:val="single" w:sz="6" w:space="0" w:color="auto"/>
              <w:right w:val="single" w:sz="6" w:space="0" w:color="auto"/>
            </w:tcBorders>
            <w:hideMark/>
          </w:tcPr>
          <w:p w14:paraId="3E1F4C29"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0.19 </w:t>
            </w:r>
          </w:p>
        </w:tc>
        <w:tc>
          <w:tcPr>
            <w:tcW w:w="191" w:type="pct"/>
            <w:tcBorders>
              <w:top w:val="single" w:sz="6" w:space="0" w:color="auto"/>
              <w:left w:val="single" w:sz="6" w:space="0" w:color="auto"/>
              <w:bottom w:val="single" w:sz="6" w:space="0" w:color="auto"/>
              <w:right w:val="single" w:sz="6" w:space="0" w:color="auto"/>
            </w:tcBorders>
            <w:hideMark/>
          </w:tcPr>
          <w:p w14:paraId="51B990C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0.17 </w:t>
            </w:r>
          </w:p>
        </w:tc>
        <w:tc>
          <w:tcPr>
            <w:tcW w:w="191" w:type="pct"/>
            <w:tcBorders>
              <w:top w:val="single" w:sz="6" w:space="0" w:color="auto"/>
              <w:left w:val="single" w:sz="6" w:space="0" w:color="auto"/>
              <w:bottom w:val="single" w:sz="6" w:space="0" w:color="auto"/>
              <w:right w:val="single" w:sz="6" w:space="0" w:color="auto"/>
            </w:tcBorders>
            <w:hideMark/>
          </w:tcPr>
          <w:p w14:paraId="56F3A12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0.14 </w:t>
            </w:r>
          </w:p>
        </w:tc>
        <w:tc>
          <w:tcPr>
            <w:tcW w:w="191" w:type="pct"/>
            <w:tcBorders>
              <w:top w:val="single" w:sz="6" w:space="0" w:color="auto"/>
              <w:left w:val="single" w:sz="6" w:space="0" w:color="auto"/>
              <w:bottom w:val="single" w:sz="6" w:space="0" w:color="auto"/>
              <w:right w:val="single" w:sz="6" w:space="0" w:color="auto"/>
            </w:tcBorders>
            <w:hideMark/>
          </w:tcPr>
          <w:p w14:paraId="5B7AD30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11FE764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0.12 </w:t>
            </w:r>
          </w:p>
        </w:tc>
        <w:tc>
          <w:tcPr>
            <w:tcW w:w="8" w:type="pct"/>
            <w:vAlign w:val="center"/>
            <w:hideMark/>
          </w:tcPr>
          <w:p w14:paraId="6A0D621B" w14:textId="77777777" w:rsidR="00DB1AEE" w:rsidRPr="00DB1AEE" w:rsidRDefault="00DB1AEE" w:rsidP="00DB1AEE">
            <w:pPr>
              <w:widowControl w:val="0"/>
              <w:suppressAutoHyphens/>
              <w:autoSpaceDE w:val="0"/>
              <w:autoSpaceDN w:val="0"/>
              <w:jc w:val="left"/>
              <w:rPr>
                <w:bCs/>
                <w:iCs/>
                <w:sz w:val="18"/>
                <w:szCs w:val="18"/>
                <w:u w:val="single"/>
                <w:lang w:bidi="en-US"/>
              </w:rPr>
            </w:pPr>
          </w:p>
        </w:tc>
      </w:tr>
      <w:tr w:rsidR="00DB1AEE" w:rsidRPr="00DB1AEE" w14:paraId="15B21048" w14:textId="77777777" w:rsidTr="00FC1832">
        <w:trPr>
          <w:trHeight w:val="192"/>
        </w:trPr>
        <w:tc>
          <w:tcPr>
            <w:tcW w:w="550" w:type="pct"/>
            <w:tcBorders>
              <w:top w:val="single" w:sz="6" w:space="0" w:color="auto"/>
              <w:left w:val="single" w:sz="6" w:space="0" w:color="auto"/>
              <w:bottom w:val="single" w:sz="6" w:space="0" w:color="auto"/>
              <w:right w:val="single" w:sz="6" w:space="0" w:color="auto"/>
            </w:tcBorders>
            <w:hideMark/>
          </w:tcPr>
          <w:p w14:paraId="3690101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5.28 </w:t>
            </w:r>
          </w:p>
        </w:tc>
        <w:tc>
          <w:tcPr>
            <w:tcW w:w="490" w:type="pct"/>
            <w:tcBorders>
              <w:top w:val="single" w:sz="6" w:space="0" w:color="auto"/>
              <w:left w:val="single" w:sz="6" w:space="0" w:color="auto"/>
              <w:bottom w:val="single" w:sz="6" w:space="0" w:color="auto"/>
              <w:right w:val="single" w:sz="6" w:space="0" w:color="auto"/>
            </w:tcBorders>
            <w:hideMark/>
          </w:tcPr>
          <w:p w14:paraId="4FC50C0E"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0.59 </w:t>
            </w:r>
          </w:p>
        </w:tc>
        <w:tc>
          <w:tcPr>
            <w:tcW w:w="320" w:type="pct"/>
            <w:tcBorders>
              <w:top w:val="single" w:sz="6" w:space="0" w:color="auto"/>
              <w:left w:val="single" w:sz="6" w:space="0" w:color="auto"/>
              <w:bottom w:val="single" w:sz="6" w:space="0" w:color="auto"/>
              <w:right w:val="single" w:sz="6" w:space="0" w:color="auto"/>
            </w:tcBorders>
            <w:hideMark/>
          </w:tcPr>
          <w:p w14:paraId="556C518C"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0.54 </w:t>
            </w:r>
          </w:p>
        </w:tc>
        <w:tc>
          <w:tcPr>
            <w:tcW w:w="191" w:type="pct"/>
            <w:tcBorders>
              <w:top w:val="single" w:sz="6" w:space="0" w:color="auto"/>
              <w:left w:val="single" w:sz="6" w:space="0" w:color="auto"/>
              <w:bottom w:val="single" w:sz="6" w:space="0" w:color="auto"/>
              <w:right w:val="single" w:sz="6" w:space="0" w:color="auto"/>
            </w:tcBorders>
            <w:hideMark/>
          </w:tcPr>
          <w:p w14:paraId="3781473E"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0.49 </w:t>
            </w:r>
          </w:p>
        </w:tc>
        <w:tc>
          <w:tcPr>
            <w:tcW w:w="191" w:type="pct"/>
            <w:tcBorders>
              <w:top w:val="single" w:sz="6" w:space="0" w:color="auto"/>
              <w:left w:val="single" w:sz="6" w:space="0" w:color="auto"/>
              <w:bottom w:val="single" w:sz="6" w:space="0" w:color="auto"/>
              <w:right w:val="single" w:sz="6" w:space="0" w:color="auto"/>
            </w:tcBorders>
            <w:hideMark/>
          </w:tcPr>
          <w:p w14:paraId="7596F82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0.45 </w:t>
            </w:r>
          </w:p>
        </w:tc>
        <w:tc>
          <w:tcPr>
            <w:tcW w:w="191" w:type="pct"/>
            <w:tcBorders>
              <w:top w:val="single" w:sz="6" w:space="0" w:color="auto"/>
              <w:left w:val="single" w:sz="6" w:space="0" w:color="auto"/>
              <w:bottom w:val="single" w:sz="6" w:space="0" w:color="auto"/>
              <w:right w:val="single" w:sz="6" w:space="0" w:color="auto"/>
            </w:tcBorders>
            <w:hideMark/>
          </w:tcPr>
          <w:p w14:paraId="3BB9E55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0.42 </w:t>
            </w:r>
          </w:p>
        </w:tc>
        <w:tc>
          <w:tcPr>
            <w:tcW w:w="191" w:type="pct"/>
            <w:tcBorders>
              <w:top w:val="single" w:sz="6" w:space="0" w:color="auto"/>
              <w:left w:val="single" w:sz="6" w:space="0" w:color="auto"/>
              <w:bottom w:val="single" w:sz="6" w:space="0" w:color="auto"/>
              <w:right w:val="single" w:sz="6" w:space="0" w:color="auto"/>
            </w:tcBorders>
            <w:hideMark/>
          </w:tcPr>
          <w:p w14:paraId="659F8B2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0.39 </w:t>
            </w:r>
          </w:p>
        </w:tc>
        <w:tc>
          <w:tcPr>
            <w:tcW w:w="191" w:type="pct"/>
            <w:tcBorders>
              <w:top w:val="single" w:sz="6" w:space="0" w:color="auto"/>
              <w:left w:val="single" w:sz="6" w:space="0" w:color="auto"/>
              <w:bottom w:val="single" w:sz="6" w:space="0" w:color="auto"/>
              <w:right w:val="single" w:sz="6" w:space="0" w:color="auto"/>
            </w:tcBorders>
            <w:hideMark/>
          </w:tcPr>
          <w:p w14:paraId="34AB1803"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0.36 </w:t>
            </w:r>
          </w:p>
        </w:tc>
        <w:tc>
          <w:tcPr>
            <w:tcW w:w="191" w:type="pct"/>
            <w:tcBorders>
              <w:top w:val="single" w:sz="6" w:space="0" w:color="auto"/>
              <w:left w:val="single" w:sz="6" w:space="0" w:color="auto"/>
              <w:bottom w:val="single" w:sz="6" w:space="0" w:color="auto"/>
              <w:right w:val="single" w:sz="6" w:space="0" w:color="auto"/>
            </w:tcBorders>
            <w:hideMark/>
          </w:tcPr>
          <w:p w14:paraId="22C4FCB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0.34 </w:t>
            </w:r>
          </w:p>
        </w:tc>
        <w:tc>
          <w:tcPr>
            <w:tcW w:w="191" w:type="pct"/>
            <w:tcBorders>
              <w:top w:val="single" w:sz="6" w:space="0" w:color="auto"/>
              <w:left w:val="single" w:sz="6" w:space="0" w:color="auto"/>
              <w:bottom w:val="single" w:sz="6" w:space="0" w:color="auto"/>
              <w:right w:val="single" w:sz="6" w:space="0" w:color="auto"/>
            </w:tcBorders>
            <w:hideMark/>
          </w:tcPr>
          <w:p w14:paraId="7A1EBE5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0879A1C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0.31 </w:t>
            </w:r>
          </w:p>
        </w:tc>
        <w:tc>
          <w:tcPr>
            <w:tcW w:w="191" w:type="pct"/>
            <w:tcBorders>
              <w:top w:val="single" w:sz="6" w:space="0" w:color="auto"/>
              <w:left w:val="single" w:sz="6" w:space="0" w:color="auto"/>
              <w:bottom w:val="single" w:sz="6" w:space="0" w:color="auto"/>
              <w:right w:val="single" w:sz="6" w:space="0" w:color="auto"/>
            </w:tcBorders>
            <w:hideMark/>
          </w:tcPr>
          <w:p w14:paraId="3D3FCE05"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0.29 </w:t>
            </w:r>
          </w:p>
        </w:tc>
        <w:tc>
          <w:tcPr>
            <w:tcW w:w="191" w:type="pct"/>
            <w:tcBorders>
              <w:top w:val="single" w:sz="6" w:space="0" w:color="auto"/>
              <w:left w:val="single" w:sz="6" w:space="0" w:color="auto"/>
              <w:bottom w:val="single" w:sz="6" w:space="0" w:color="auto"/>
              <w:right w:val="single" w:sz="6" w:space="0" w:color="auto"/>
            </w:tcBorders>
            <w:hideMark/>
          </w:tcPr>
          <w:p w14:paraId="53CF6C4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5779F78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7D19A2B2"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5B8390C1"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61553353"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0.23 </w:t>
            </w:r>
          </w:p>
        </w:tc>
        <w:tc>
          <w:tcPr>
            <w:tcW w:w="191" w:type="pct"/>
            <w:tcBorders>
              <w:top w:val="single" w:sz="6" w:space="0" w:color="auto"/>
              <w:left w:val="single" w:sz="6" w:space="0" w:color="auto"/>
              <w:bottom w:val="single" w:sz="6" w:space="0" w:color="auto"/>
              <w:right w:val="single" w:sz="6" w:space="0" w:color="auto"/>
            </w:tcBorders>
            <w:hideMark/>
          </w:tcPr>
          <w:p w14:paraId="1C9ED09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0.19 </w:t>
            </w:r>
          </w:p>
        </w:tc>
        <w:tc>
          <w:tcPr>
            <w:tcW w:w="191" w:type="pct"/>
            <w:tcBorders>
              <w:top w:val="single" w:sz="6" w:space="0" w:color="auto"/>
              <w:left w:val="single" w:sz="6" w:space="0" w:color="auto"/>
              <w:bottom w:val="single" w:sz="6" w:space="0" w:color="auto"/>
              <w:right w:val="single" w:sz="6" w:space="0" w:color="auto"/>
            </w:tcBorders>
            <w:hideMark/>
          </w:tcPr>
          <w:p w14:paraId="13B6129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0.16 </w:t>
            </w:r>
          </w:p>
        </w:tc>
        <w:tc>
          <w:tcPr>
            <w:tcW w:w="191" w:type="pct"/>
            <w:tcBorders>
              <w:top w:val="single" w:sz="6" w:space="0" w:color="auto"/>
              <w:left w:val="single" w:sz="6" w:space="0" w:color="auto"/>
              <w:bottom w:val="single" w:sz="6" w:space="0" w:color="auto"/>
              <w:right w:val="single" w:sz="6" w:space="0" w:color="auto"/>
            </w:tcBorders>
            <w:hideMark/>
          </w:tcPr>
          <w:p w14:paraId="4AF418DA"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0.14 </w:t>
            </w:r>
          </w:p>
        </w:tc>
        <w:tc>
          <w:tcPr>
            <w:tcW w:w="191" w:type="pct"/>
            <w:tcBorders>
              <w:top w:val="single" w:sz="6" w:space="0" w:color="auto"/>
              <w:left w:val="single" w:sz="6" w:space="0" w:color="auto"/>
              <w:bottom w:val="single" w:sz="6" w:space="0" w:color="auto"/>
              <w:right w:val="single" w:sz="6" w:space="0" w:color="auto"/>
            </w:tcBorders>
            <w:hideMark/>
          </w:tcPr>
          <w:p w14:paraId="116A2F8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31AEEB39"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0.11 </w:t>
            </w:r>
          </w:p>
        </w:tc>
        <w:tc>
          <w:tcPr>
            <w:tcW w:w="8" w:type="pct"/>
            <w:vAlign w:val="center"/>
            <w:hideMark/>
          </w:tcPr>
          <w:p w14:paraId="1E82A9A0" w14:textId="77777777" w:rsidR="00DB1AEE" w:rsidRPr="00DB1AEE" w:rsidRDefault="00DB1AEE" w:rsidP="00DB1AEE">
            <w:pPr>
              <w:widowControl w:val="0"/>
              <w:suppressAutoHyphens/>
              <w:autoSpaceDE w:val="0"/>
              <w:autoSpaceDN w:val="0"/>
              <w:jc w:val="left"/>
              <w:rPr>
                <w:bCs/>
                <w:iCs/>
                <w:sz w:val="18"/>
                <w:szCs w:val="18"/>
                <w:u w:val="single"/>
                <w:lang w:bidi="en-US"/>
              </w:rPr>
            </w:pPr>
          </w:p>
        </w:tc>
      </w:tr>
      <w:tr w:rsidR="00DB1AEE" w:rsidRPr="00DB1AEE" w14:paraId="5EC0072D" w14:textId="77777777" w:rsidTr="00FC1832">
        <w:trPr>
          <w:trHeight w:val="270"/>
        </w:trPr>
        <w:tc>
          <w:tcPr>
            <w:tcW w:w="5000" w:type="pct"/>
            <w:gridSpan w:val="23"/>
            <w:tcBorders>
              <w:top w:val="single" w:sz="6" w:space="0" w:color="auto"/>
              <w:left w:val="single" w:sz="6" w:space="0" w:color="auto"/>
              <w:bottom w:val="single" w:sz="6" w:space="0" w:color="auto"/>
              <w:right w:val="single" w:sz="6" w:space="0" w:color="auto"/>
            </w:tcBorders>
            <w:hideMark/>
          </w:tcPr>
          <w:p w14:paraId="6B2753A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Steel Framing at 400 mm on Center (14% Framing Factor)—includes only studs at 400 mm on center and top and bottom tracks </w:t>
            </w:r>
          </w:p>
        </w:tc>
      </w:tr>
      <w:tr w:rsidR="00DB1AEE" w:rsidRPr="00DB1AEE" w14:paraId="3812F133" w14:textId="77777777" w:rsidTr="00FC1832">
        <w:trPr>
          <w:trHeight w:val="228"/>
        </w:trPr>
        <w:tc>
          <w:tcPr>
            <w:tcW w:w="550" w:type="pct"/>
            <w:tcBorders>
              <w:top w:val="single" w:sz="6" w:space="0" w:color="auto"/>
              <w:left w:val="single" w:sz="6" w:space="0" w:color="auto"/>
              <w:bottom w:val="single" w:sz="6" w:space="0" w:color="auto"/>
              <w:right w:val="single" w:sz="6" w:space="0" w:color="auto"/>
            </w:tcBorders>
            <w:hideMark/>
          </w:tcPr>
          <w:p w14:paraId="07E0327A"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0.16 </w:t>
            </w:r>
          </w:p>
        </w:tc>
        <w:tc>
          <w:tcPr>
            <w:tcW w:w="490" w:type="pct"/>
            <w:tcBorders>
              <w:top w:val="single" w:sz="6" w:space="0" w:color="auto"/>
              <w:left w:val="single" w:sz="6" w:space="0" w:color="auto"/>
              <w:bottom w:val="single" w:sz="6" w:space="0" w:color="auto"/>
              <w:right w:val="single" w:sz="6" w:space="0" w:color="auto"/>
            </w:tcBorders>
            <w:hideMark/>
          </w:tcPr>
          <w:p w14:paraId="3EFD1FBA"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1.96 </w:t>
            </w:r>
          </w:p>
        </w:tc>
        <w:tc>
          <w:tcPr>
            <w:tcW w:w="320" w:type="pct"/>
            <w:tcBorders>
              <w:top w:val="single" w:sz="6" w:space="0" w:color="auto"/>
              <w:left w:val="single" w:sz="6" w:space="0" w:color="auto"/>
              <w:bottom w:val="single" w:sz="6" w:space="0" w:color="auto"/>
              <w:right w:val="single" w:sz="6" w:space="0" w:color="auto"/>
            </w:tcBorders>
            <w:hideMark/>
          </w:tcPr>
          <w:p w14:paraId="0FB6FF43"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1.46 </w:t>
            </w:r>
          </w:p>
        </w:tc>
        <w:tc>
          <w:tcPr>
            <w:tcW w:w="191" w:type="pct"/>
            <w:tcBorders>
              <w:top w:val="single" w:sz="6" w:space="0" w:color="auto"/>
              <w:left w:val="single" w:sz="6" w:space="0" w:color="auto"/>
              <w:bottom w:val="single" w:sz="6" w:space="0" w:color="auto"/>
              <w:right w:val="single" w:sz="6" w:space="0" w:color="auto"/>
            </w:tcBorders>
            <w:hideMark/>
          </w:tcPr>
          <w:p w14:paraId="7A6B54E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1.16 </w:t>
            </w:r>
          </w:p>
        </w:tc>
        <w:tc>
          <w:tcPr>
            <w:tcW w:w="191" w:type="pct"/>
            <w:tcBorders>
              <w:top w:val="single" w:sz="6" w:space="0" w:color="auto"/>
              <w:left w:val="single" w:sz="6" w:space="0" w:color="auto"/>
              <w:bottom w:val="single" w:sz="6" w:space="0" w:color="auto"/>
              <w:right w:val="single" w:sz="6" w:space="0" w:color="auto"/>
            </w:tcBorders>
            <w:hideMark/>
          </w:tcPr>
          <w:p w14:paraId="02A4F82A"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0.96 </w:t>
            </w:r>
          </w:p>
        </w:tc>
        <w:tc>
          <w:tcPr>
            <w:tcW w:w="191" w:type="pct"/>
            <w:tcBorders>
              <w:top w:val="single" w:sz="6" w:space="0" w:color="auto"/>
              <w:left w:val="single" w:sz="6" w:space="0" w:color="auto"/>
              <w:bottom w:val="single" w:sz="6" w:space="0" w:color="auto"/>
              <w:right w:val="single" w:sz="6" w:space="0" w:color="auto"/>
            </w:tcBorders>
            <w:hideMark/>
          </w:tcPr>
          <w:p w14:paraId="0DD1196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0.82 </w:t>
            </w:r>
          </w:p>
        </w:tc>
        <w:tc>
          <w:tcPr>
            <w:tcW w:w="191" w:type="pct"/>
            <w:tcBorders>
              <w:top w:val="single" w:sz="6" w:space="0" w:color="auto"/>
              <w:left w:val="single" w:sz="6" w:space="0" w:color="auto"/>
              <w:bottom w:val="single" w:sz="6" w:space="0" w:color="auto"/>
              <w:right w:val="single" w:sz="6" w:space="0" w:color="auto"/>
            </w:tcBorders>
            <w:hideMark/>
          </w:tcPr>
          <w:p w14:paraId="29C97751"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0.72 </w:t>
            </w:r>
          </w:p>
        </w:tc>
        <w:tc>
          <w:tcPr>
            <w:tcW w:w="191" w:type="pct"/>
            <w:tcBorders>
              <w:top w:val="single" w:sz="6" w:space="0" w:color="auto"/>
              <w:left w:val="single" w:sz="6" w:space="0" w:color="auto"/>
              <w:bottom w:val="single" w:sz="6" w:space="0" w:color="auto"/>
              <w:right w:val="single" w:sz="6" w:space="0" w:color="auto"/>
            </w:tcBorders>
            <w:hideMark/>
          </w:tcPr>
          <w:p w14:paraId="30F32D8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0.64 </w:t>
            </w:r>
          </w:p>
        </w:tc>
        <w:tc>
          <w:tcPr>
            <w:tcW w:w="191" w:type="pct"/>
            <w:tcBorders>
              <w:top w:val="single" w:sz="6" w:space="0" w:color="auto"/>
              <w:left w:val="single" w:sz="6" w:space="0" w:color="auto"/>
              <w:bottom w:val="single" w:sz="6" w:space="0" w:color="auto"/>
              <w:right w:val="single" w:sz="6" w:space="0" w:color="auto"/>
            </w:tcBorders>
            <w:hideMark/>
          </w:tcPr>
          <w:p w14:paraId="7C274CD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0.57 </w:t>
            </w:r>
          </w:p>
        </w:tc>
        <w:tc>
          <w:tcPr>
            <w:tcW w:w="191" w:type="pct"/>
            <w:tcBorders>
              <w:top w:val="single" w:sz="6" w:space="0" w:color="auto"/>
              <w:left w:val="single" w:sz="6" w:space="0" w:color="auto"/>
              <w:bottom w:val="single" w:sz="6" w:space="0" w:color="auto"/>
              <w:right w:val="single" w:sz="6" w:space="0" w:color="auto"/>
            </w:tcBorders>
            <w:hideMark/>
          </w:tcPr>
          <w:p w14:paraId="0ABCC7E7"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0.52 </w:t>
            </w:r>
          </w:p>
        </w:tc>
        <w:tc>
          <w:tcPr>
            <w:tcW w:w="191" w:type="pct"/>
            <w:tcBorders>
              <w:top w:val="single" w:sz="6" w:space="0" w:color="auto"/>
              <w:left w:val="single" w:sz="6" w:space="0" w:color="auto"/>
              <w:bottom w:val="single" w:sz="6" w:space="0" w:color="auto"/>
              <w:right w:val="single" w:sz="6" w:space="0" w:color="auto"/>
            </w:tcBorders>
            <w:hideMark/>
          </w:tcPr>
          <w:p w14:paraId="074DA81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0.48 </w:t>
            </w:r>
          </w:p>
        </w:tc>
        <w:tc>
          <w:tcPr>
            <w:tcW w:w="191" w:type="pct"/>
            <w:tcBorders>
              <w:top w:val="single" w:sz="6" w:space="0" w:color="auto"/>
              <w:left w:val="single" w:sz="6" w:space="0" w:color="auto"/>
              <w:bottom w:val="single" w:sz="6" w:space="0" w:color="auto"/>
              <w:right w:val="single" w:sz="6" w:space="0" w:color="auto"/>
            </w:tcBorders>
            <w:hideMark/>
          </w:tcPr>
          <w:p w14:paraId="49360C3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0.44 </w:t>
            </w:r>
          </w:p>
        </w:tc>
        <w:tc>
          <w:tcPr>
            <w:tcW w:w="191" w:type="pct"/>
            <w:tcBorders>
              <w:top w:val="single" w:sz="6" w:space="0" w:color="auto"/>
              <w:left w:val="single" w:sz="6" w:space="0" w:color="auto"/>
              <w:bottom w:val="single" w:sz="6" w:space="0" w:color="auto"/>
              <w:right w:val="single" w:sz="6" w:space="0" w:color="auto"/>
            </w:tcBorders>
            <w:hideMark/>
          </w:tcPr>
          <w:p w14:paraId="397E701E"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0.41 </w:t>
            </w:r>
          </w:p>
        </w:tc>
        <w:tc>
          <w:tcPr>
            <w:tcW w:w="191" w:type="pct"/>
            <w:tcBorders>
              <w:top w:val="single" w:sz="6" w:space="0" w:color="auto"/>
              <w:left w:val="single" w:sz="6" w:space="0" w:color="auto"/>
              <w:bottom w:val="single" w:sz="6" w:space="0" w:color="auto"/>
              <w:right w:val="single" w:sz="6" w:space="0" w:color="auto"/>
            </w:tcBorders>
            <w:hideMark/>
          </w:tcPr>
          <w:p w14:paraId="42A0113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0.38 </w:t>
            </w:r>
          </w:p>
        </w:tc>
        <w:tc>
          <w:tcPr>
            <w:tcW w:w="191" w:type="pct"/>
            <w:tcBorders>
              <w:top w:val="single" w:sz="6" w:space="0" w:color="auto"/>
              <w:left w:val="single" w:sz="6" w:space="0" w:color="auto"/>
              <w:bottom w:val="single" w:sz="6" w:space="0" w:color="auto"/>
              <w:right w:val="single" w:sz="6" w:space="0" w:color="auto"/>
            </w:tcBorders>
            <w:hideMark/>
          </w:tcPr>
          <w:p w14:paraId="11C0DDB9"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0.36 </w:t>
            </w:r>
          </w:p>
        </w:tc>
        <w:tc>
          <w:tcPr>
            <w:tcW w:w="191" w:type="pct"/>
            <w:tcBorders>
              <w:top w:val="single" w:sz="6" w:space="0" w:color="auto"/>
              <w:left w:val="single" w:sz="6" w:space="0" w:color="auto"/>
              <w:bottom w:val="single" w:sz="6" w:space="0" w:color="auto"/>
              <w:right w:val="single" w:sz="6" w:space="0" w:color="auto"/>
            </w:tcBorders>
            <w:hideMark/>
          </w:tcPr>
          <w:p w14:paraId="2F06AFEA"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0.34 </w:t>
            </w:r>
          </w:p>
        </w:tc>
        <w:tc>
          <w:tcPr>
            <w:tcW w:w="191" w:type="pct"/>
            <w:tcBorders>
              <w:top w:val="single" w:sz="6" w:space="0" w:color="auto"/>
              <w:left w:val="single" w:sz="6" w:space="0" w:color="auto"/>
              <w:bottom w:val="single" w:sz="6" w:space="0" w:color="auto"/>
              <w:right w:val="single" w:sz="6" w:space="0" w:color="auto"/>
            </w:tcBorders>
            <w:hideMark/>
          </w:tcPr>
          <w:p w14:paraId="2E977635"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039E8CB3"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74886067"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0.20 </w:t>
            </w:r>
          </w:p>
        </w:tc>
        <w:tc>
          <w:tcPr>
            <w:tcW w:w="191" w:type="pct"/>
            <w:tcBorders>
              <w:top w:val="single" w:sz="6" w:space="0" w:color="auto"/>
              <w:left w:val="single" w:sz="6" w:space="0" w:color="auto"/>
              <w:bottom w:val="single" w:sz="6" w:space="0" w:color="auto"/>
              <w:right w:val="single" w:sz="6" w:space="0" w:color="auto"/>
            </w:tcBorders>
            <w:hideMark/>
          </w:tcPr>
          <w:p w14:paraId="2EE7442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0.17 </w:t>
            </w:r>
          </w:p>
        </w:tc>
        <w:tc>
          <w:tcPr>
            <w:tcW w:w="191" w:type="pct"/>
            <w:tcBorders>
              <w:top w:val="single" w:sz="6" w:space="0" w:color="auto"/>
              <w:left w:val="single" w:sz="6" w:space="0" w:color="auto"/>
              <w:bottom w:val="single" w:sz="6" w:space="0" w:color="auto"/>
              <w:right w:val="single" w:sz="6" w:space="0" w:color="auto"/>
            </w:tcBorders>
            <w:hideMark/>
          </w:tcPr>
          <w:p w14:paraId="792E8C5E"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0.15 </w:t>
            </w:r>
          </w:p>
        </w:tc>
        <w:tc>
          <w:tcPr>
            <w:tcW w:w="194" w:type="pct"/>
            <w:tcBorders>
              <w:top w:val="single" w:sz="6" w:space="0" w:color="auto"/>
              <w:left w:val="single" w:sz="6" w:space="0" w:color="auto"/>
              <w:bottom w:val="single" w:sz="6" w:space="0" w:color="auto"/>
              <w:right w:val="single" w:sz="6" w:space="0" w:color="auto"/>
            </w:tcBorders>
            <w:hideMark/>
          </w:tcPr>
          <w:p w14:paraId="09CBEA3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0.13 </w:t>
            </w:r>
          </w:p>
        </w:tc>
        <w:tc>
          <w:tcPr>
            <w:tcW w:w="8" w:type="pct"/>
            <w:vAlign w:val="center"/>
            <w:hideMark/>
          </w:tcPr>
          <w:p w14:paraId="6EE3E69C" w14:textId="77777777" w:rsidR="00DB1AEE" w:rsidRPr="00DB1AEE" w:rsidRDefault="00DB1AEE" w:rsidP="00DB1AEE">
            <w:pPr>
              <w:widowControl w:val="0"/>
              <w:suppressAutoHyphens/>
              <w:autoSpaceDE w:val="0"/>
              <w:autoSpaceDN w:val="0"/>
              <w:jc w:val="left"/>
              <w:rPr>
                <w:bCs/>
                <w:iCs/>
                <w:sz w:val="18"/>
                <w:szCs w:val="18"/>
                <w:u w:val="single"/>
                <w:lang w:bidi="en-US"/>
              </w:rPr>
            </w:pPr>
          </w:p>
        </w:tc>
      </w:tr>
      <w:tr w:rsidR="00DB1AEE" w:rsidRPr="00DB1AEE" w14:paraId="61D82AB3" w14:textId="77777777" w:rsidTr="00FC1832">
        <w:trPr>
          <w:trHeight w:val="183"/>
        </w:trPr>
        <w:tc>
          <w:tcPr>
            <w:tcW w:w="550" w:type="pct"/>
            <w:tcBorders>
              <w:top w:val="single" w:sz="6" w:space="0" w:color="auto"/>
              <w:left w:val="single" w:sz="6" w:space="0" w:color="auto"/>
              <w:bottom w:val="single" w:sz="6" w:space="0" w:color="auto"/>
              <w:right w:val="single" w:sz="6" w:space="0" w:color="auto"/>
            </w:tcBorders>
            <w:hideMark/>
          </w:tcPr>
          <w:p w14:paraId="49BBF53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1.94 </w:t>
            </w:r>
          </w:p>
        </w:tc>
        <w:tc>
          <w:tcPr>
            <w:tcW w:w="490" w:type="pct"/>
            <w:tcBorders>
              <w:top w:val="single" w:sz="6" w:space="0" w:color="auto"/>
              <w:left w:val="single" w:sz="6" w:space="0" w:color="auto"/>
              <w:bottom w:val="single" w:sz="6" w:space="0" w:color="auto"/>
              <w:right w:val="single" w:sz="6" w:space="0" w:color="auto"/>
            </w:tcBorders>
            <w:hideMark/>
          </w:tcPr>
          <w:p w14:paraId="4ABA0D1A"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0.71 </w:t>
            </w:r>
          </w:p>
        </w:tc>
        <w:tc>
          <w:tcPr>
            <w:tcW w:w="320" w:type="pct"/>
            <w:tcBorders>
              <w:top w:val="single" w:sz="6" w:space="0" w:color="auto"/>
              <w:left w:val="single" w:sz="6" w:space="0" w:color="auto"/>
              <w:bottom w:val="single" w:sz="6" w:space="0" w:color="auto"/>
              <w:right w:val="single" w:sz="6" w:space="0" w:color="auto"/>
            </w:tcBorders>
            <w:hideMark/>
          </w:tcPr>
          <w:p w14:paraId="5E95700A"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0.63 </w:t>
            </w:r>
          </w:p>
        </w:tc>
        <w:tc>
          <w:tcPr>
            <w:tcW w:w="191" w:type="pct"/>
            <w:tcBorders>
              <w:top w:val="single" w:sz="6" w:space="0" w:color="auto"/>
              <w:left w:val="single" w:sz="6" w:space="0" w:color="auto"/>
              <w:bottom w:val="single" w:sz="6" w:space="0" w:color="auto"/>
              <w:right w:val="single" w:sz="6" w:space="0" w:color="auto"/>
            </w:tcBorders>
            <w:hideMark/>
          </w:tcPr>
          <w:p w14:paraId="25F8286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0.57 </w:t>
            </w:r>
          </w:p>
        </w:tc>
        <w:tc>
          <w:tcPr>
            <w:tcW w:w="191" w:type="pct"/>
            <w:tcBorders>
              <w:top w:val="single" w:sz="6" w:space="0" w:color="auto"/>
              <w:left w:val="single" w:sz="6" w:space="0" w:color="auto"/>
              <w:bottom w:val="single" w:sz="6" w:space="0" w:color="auto"/>
              <w:right w:val="single" w:sz="6" w:space="0" w:color="auto"/>
            </w:tcBorders>
            <w:hideMark/>
          </w:tcPr>
          <w:p w14:paraId="3C33633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0.52 </w:t>
            </w:r>
          </w:p>
        </w:tc>
        <w:tc>
          <w:tcPr>
            <w:tcW w:w="191" w:type="pct"/>
            <w:tcBorders>
              <w:top w:val="single" w:sz="6" w:space="0" w:color="auto"/>
              <w:left w:val="single" w:sz="6" w:space="0" w:color="auto"/>
              <w:bottom w:val="single" w:sz="6" w:space="0" w:color="auto"/>
              <w:right w:val="single" w:sz="6" w:space="0" w:color="auto"/>
            </w:tcBorders>
            <w:hideMark/>
          </w:tcPr>
          <w:p w14:paraId="1A7226B9"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0.47 </w:t>
            </w:r>
          </w:p>
        </w:tc>
        <w:tc>
          <w:tcPr>
            <w:tcW w:w="191" w:type="pct"/>
            <w:tcBorders>
              <w:top w:val="single" w:sz="6" w:space="0" w:color="auto"/>
              <w:left w:val="single" w:sz="6" w:space="0" w:color="auto"/>
              <w:bottom w:val="single" w:sz="6" w:space="0" w:color="auto"/>
              <w:right w:val="single" w:sz="6" w:space="0" w:color="auto"/>
            </w:tcBorders>
            <w:hideMark/>
          </w:tcPr>
          <w:p w14:paraId="284456B5"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0.44 </w:t>
            </w:r>
          </w:p>
        </w:tc>
        <w:tc>
          <w:tcPr>
            <w:tcW w:w="191" w:type="pct"/>
            <w:tcBorders>
              <w:top w:val="single" w:sz="6" w:space="0" w:color="auto"/>
              <w:left w:val="single" w:sz="6" w:space="0" w:color="auto"/>
              <w:bottom w:val="single" w:sz="6" w:space="0" w:color="auto"/>
              <w:right w:val="single" w:sz="6" w:space="0" w:color="auto"/>
            </w:tcBorders>
            <w:hideMark/>
          </w:tcPr>
          <w:p w14:paraId="60BF2CE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0.41 </w:t>
            </w:r>
          </w:p>
        </w:tc>
        <w:tc>
          <w:tcPr>
            <w:tcW w:w="191" w:type="pct"/>
            <w:tcBorders>
              <w:top w:val="single" w:sz="6" w:space="0" w:color="auto"/>
              <w:left w:val="single" w:sz="6" w:space="0" w:color="auto"/>
              <w:bottom w:val="single" w:sz="6" w:space="0" w:color="auto"/>
              <w:right w:val="single" w:sz="6" w:space="0" w:color="auto"/>
            </w:tcBorders>
            <w:hideMark/>
          </w:tcPr>
          <w:p w14:paraId="21298663"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0.38 </w:t>
            </w:r>
          </w:p>
        </w:tc>
        <w:tc>
          <w:tcPr>
            <w:tcW w:w="191" w:type="pct"/>
            <w:tcBorders>
              <w:top w:val="single" w:sz="6" w:space="0" w:color="auto"/>
              <w:left w:val="single" w:sz="6" w:space="0" w:color="auto"/>
              <w:bottom w:val="single" w:sz="6" w:space="0" w:color="auto"/>
              <w:right w:val="single" w:sz="6" w:space="0" w:color="auto"/>
            </w:tcBorders>
            <w:hideMark/>
          </w:tcPr>
          <w:p w14:paraId="511544DA"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0.36 </w:t>
            </w:r>
          </w:p>
        </w:tc>
        <w:tc>
          <w:tcPr>
            <w:tcW w:w="191" w:type="pct"/>
            <w:tcBorders>
              <w:top w:val="single" w:sz="6" w:space="0" w:color="auto"/>
              <w:left w:val="single" w:sz="6" w:space="0" w:color="auto"/>
              <w:bottom w:val="single" w:sz="6" w:space="0" w:color="auto"/>
              <w:right w:val="single" w:sz="6" w:space="0" w:color="auto"/>
            </w:tcBorders>
            <w:hideMark/>
          </w:tcPr>
          <w:p w14:paraId="37FF4493"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0.33 </w:t>
            </w:r>
          </w:p>
        </w:tc>
        <w:tc>
          <w:tcPr>
            <w:tcW w:w="191" w:type="pct"/>
            <w:tcBorders>
              <w:top w:val="single" w:sz="6" w:space="0" w:color="auto"/>
              <w:left w:val="single" w:sz="6" w:space="0" w:color="auto"/>
              <w:bottom w:val="single" w:sz="6" w:space="0" w:color="auto"/>
              <w:right w:val="single" w:sz="6" w:space="0" w:color="auto"/>
            </w:tcBorders>
            <w:hideMark/>
          </w:tcPr>
          <w:p w14:paraId="56F68C0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4B66AD1A"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0.30 </w:t>
            </w:r>
          </w:p>
        </w:tc>
        <w:tc>
          <w:tcPr>
            <w:tcW w:w="191" w:type="pct"/>
            <w:tcBorders>
              <w:top w:val="single" w:sz="6" w:space="0" w:color="auto"/>
              <w:left w:val="single" w:sz="6" w:space="0" w:color="auto"/>
              <w:bottom w:val="single" w:sz="6" w:space="0" w:color="auto"/>
              <w:right w:val="single" w:sz="6" w:space="0" w:color="auto"/>
            </w:tcBorders>
            <w:hideMark/>
          </w:tcPr>
          <w:p w14:paraId="3D0BA001"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02060CE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3D289DEE"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5A3F81E9"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5167BF4E"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0.20 </w:t>
            </w:r>
          </w:p>
        </w:tc>
        <w:tc>
          <w:tcPr>
            <w:tcW w:w="191" w:type="pct"/>
            <w:tcBorders>
              <w:top w:val="single" w:sz="6" w:space="0" w:color="auto"/>
              <w:left w:val="single" w:sz="6" w:space="0" w:color="auto"/>
              <w:bottom w:val="single" w:sz="6" w:space="0" w:color="auto"/>
              <w:right w:val="single" w:sz="6" w:space="0" w:color="auto"/>
            </w:tcBorders>
            <w:hideMark/>
          </w:tcPr>
          <w:p w14:paraId="1422F04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0.17 </w:t>
            </w:r>
          </w:p>
        </w:tc>
        <w:tc>
          <w:tcPr>
            <w:tcW w:w="191" w:type="pct"/>
            <w:tcBorders>
              <w:top w:val="single" w:sz="6" w:space="0" w:color="auto"/>
              <w:left w:val="single" w:sz="6" w:space="0" w:color="auto"/>
              <w:bottom w:val="single" w:sz="6" w:space="0" w:color="auto"/>
              <w:right w:val="single" w:sz="6" w:space="0" w:color="auto"/>
            </w:tcBorders>
            <w:hideMark/>
          </w:tcPr>
          <w:p w14:paraId="1B6783B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0.15 </w:t>
            </w:r>
          </w:p>
        </w:tc>
        <w:tc>
          <w:tcPr>
            <w:tcW w:w="191" w:type="pct"/>
            <w:tcBorders>
              <w:top w:val="single" w:sz="6" w:space="0" w:color="auto"/>
              <w:left w:val="single" w:sz="6" w:space="0" w:color="auto"/>
              <w:bottom w:val="single" w:sz="6" w:space="0" w:color="auto"/>
              <w:right w:val="single" w:sz="6" w:space="0" w:color="auto"/>
            </w:tcBorders>
            <w:hideMark/>
          </w:tcPr>
          <w:p w14:paraId="6D34F3B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2376DDC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0.12 </w:t>
            </w:r>
          </w:p>
        </w:tc>
        <w:tc>
          <w:tcPr>
            <w:tcW w:w="8" w:type="pct"/>
            <w:vAlign w:val="center"/>
            <w:hideMark/>
          </w:tcPr>
          <w:p w14:paraId="222789A4" w14:textId="77777777" w:rsidR="00DB1AEE" w:rsidRPr="00DB1AEE" w:rsidRDefault="00DB1AEE" w:rsidP="00DB1AEE">
            <w:pPr>
              <w:widowControl w:val="0"/>
              <w:suppressAutoHyphens/>
              <w:autoSpaceDE w:val="0"/>
              <w:autoSpaceDN w:val="0"/>
              <w:jc w:val="left"/>
              <w:rPr>
                <w:bCs/>
                <w:iCs/>
                <w:sz w:val="18"/>
                <w:szCs w:val="18"/>
                <w:u w:val="single"/>
                <w:lang w:bidi="en-US"/>
              </w:rPr>
            </w:pPr>
          </w:p>
        </w:tc>
      </w:tr>
      <w:tr w:rsidR="00DB1AEE" w:rsidRPr="00DB1AEE" w14:paraId="38B92045" w14:textId="77777777" w:rsidTr="00FC1832">
        <w:trPr>
          <w:trHeight w:val="300"/>
        </w:trPr>
        <w:tc>
          <w:tcPr>
            <w:tcW w:w="550" w:type="pct"/>
            <w:tcBorders>
              <w:top w:val="single" w:sz="6" w:space="0" w:color="auto"/>
              <w:left w:val="single" w:sz="6" w:space="0" w:color="auto"/>
              <w:bottom w:val="single" w:sz="6" w:space="0" w:color="auto"/>
              <w:right w:val="single" w:sz="6" w:space="0" w:color="auto"/>
            </w:tcBorders>
            <w:hideMark/>
          </w:tcPr>
          <w:p w14:paraId="3CEAF1D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2.29 </w:t>
            </w:r>
          </w:p>
        </w:tc>
        <w:tc>
          <w:tcPr>
            <w:tcW w:w="490" w:type="pct"/>
            <w:tcBorders>
              <w:top w:val="single" w:sz="6" w:space="0" w:color="auto"/>
              <w:left w:val="single" w:sz="6" w:space="0" w:color="auto"/>
              <w:bottom w:val="single" w:sz="6" w:space="0" w:color="auto"/>
              <w:right w:val="single" w:sz="6" w:space="0" w:color="auto"/>
            </w:tcBorders>
            <w:hideMark/>
          </w:tcPr>
          <w:p w14:paraId="1C4D872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0.67 </w:t>
            </w:r>
          </w:p>
        </w:tc>
        <w:tc>
          <w:tcPr>
            <w:tcW w:w="320" w:type="pct"/>
            <w:tcBorders>
              <w:top w:val="single" w:sz="6" w:space="0" w:color="auto"/>
              <w:left w:val="single" w:sz="6" w:space="0" w:color="auto"/>
              <w:bottom w:val="single" w:sz="6" w:space="0" w:color="auto"/>
              <w:right w:val="single" w:sz="6" w:space="0" w:color="auto"/>
            </w:tcBorders>
            <w:hideMark/>
          </w:tcPr>
          <w:p w14:paraId="65468ACE"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0.60 </w:t>
            </w:r>
          </w:p>
        </w:tc>
        <w:tc>
          <w:tcPr>
            <w:tcW w:w="191" w:type="pct"/>
            <w:tcBorders>
              <w:top w:val="single" w:sz="6" w:space="0" w:color="auto"/>
              <w:left w:val="single" w:sz="6" w:space="0" w:color="auto"/>
              <w:bottom w:val="single" w:sz="6" w:space="0" w:color="auto"/>
              <w:right w:val="single" w:sz="6" w:space="0" w:color="auto"/>
            </w:tcBorders>
            <w:hideMark/>
          </w:tcPr>
          <w:p w14:paraId="5E47DE0C"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0.54 </w:t>
            </w:r>
          </w:p>
        </w:tc>
        <w:tc>
          <w:tcPr>
            <w:tcW w:w="191" w:type="pct"/>
            <w:tcBorders>
              <w:top w:val="single" w:sz="6" w:space="0" w:color="auto"/>
              <w:left w:val="single" w:sz="6" w:space="0" w:color="auto"/>
              <w:bottom w:val="single" w:sz="6" w:space="0" w:color="auto"/>
              <w:right w:val="single" w:sz="6" w:space="0" w:color="auto"/>
            </w:tcBorders>
            <w:hideMark/>
          </w:tcPr>
          <w:p w14:paraId="061E4AB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0.49 </w:t>
            </w:r>
          </w:p>
        </w:tc>
        <w:tc>
          <w:tcPr>
            <w:tcW w:w="191" w:type="pct"/>
            <w:tcBorders>
              <w:top w:val="single" w:sz="6" w:space="0" w:color="auto"/>
              <w:left w:val="single" w:sz="6" w:space="0" w:color="auto"/>
              <w:bottom w:val="single" w:sz="6" w:space="0" w:color="auto"/>
              <w:right w:val="single" w:sz="6" w:space="0" w:color="auto"/>
            </w:tcBorders>
            <w:hideMark/>
          </w:tcPr>
          <w:p w14:paraId="532494C9"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0.45 </w:t>
            </w:r>
          </w:p>
        </w:tc>
        <w:tc>
          <w:tcPr>
            <w:tcW w:w="191" w:type="pct"/>
            <w:tcBorders>
              <w:top w:val="single" w:sz="6" w:space="0" w:color="auto"/>
              <w:left w:val="single" w:sz="6" w:space="0" w:color="auto"/>
              <w:bottom w:val="single" w:sz="6" w:space="0" w:color="auto"/>
              <w:right w:val="single" w:sz="6" w:space="0" w:color="auto"/>
            </w:tcBorders>
            <w:hideMark/>
          </w:tcPr>
          <w:p w14:paraId="3D6CC21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0.42 </w:t>
            </w:r>
          </w:p>
        </w:tc>
        <w:tc>
          <w:tcPr>
            <w:tcW w:w="191" w:type="pct"/>
            <w:tcBorders>
              <w:top w:val="single" w:sz="6" w:space="0" w:color="auto"/>
              <w:left w:val="single" w:sz="6" w:space="0" w:color="auto"/>
              <w:bottom w:val="single" w:sz="6" w:space="0" w:color="auto"/>
              <w:right w:val="single" w:sz="6" w:space="0" w:color="auto"/>
            </w:tcBorders>
            <w:hideMark/>
          </w:tcPr>
          <w:p w14:paraId="105F4C8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0.39 </w:t>
            </w:r>
          </w:p>
        </w:tc>
        <w:tc>
          <w:tcPr>
            <w:tcW w:w="191" w:type="pct"/>
            <w:tcBorders>
              <w:top w:val="single" w:sz="6" w:space="0" w:color="auto"/>
              <w:left w:val="single" w:sz="6" w:space="0" w:color="auto"/>
              <w:bottom w:val="single" w:sz="6" w:space="0" w:color="auto"/>
              <w:right w:val="single" w:sz="6" w:space="0" w:color="auto"/>
            </w:tcBorders>
            <w:hideMark/>
          </w:tcPr>
          <w:p w14:paraId="330835F5"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0.37 </w:t>
            </w:r>
          </w:p>
        </w:tc>
        <w:tc>
          <w:tcPr>
            <w:tcW w:w="191" w:type="pct"/>
            <w:tcBorders>
              <w:top w:val="single" w:sz="6" w:space="0" w:color="auto"/>
              <w:left w:val="single" w:sz="6" w:space="0" w:color="auto"/>
              <w:bottom w:val="single" w:sz="6" w:space="0" w:color="auto"/>
              <w:right w:val="single" w:sz="6" w:space="0" w:color="auto"/>
            </w:tcBorders>
            <w:hideMark/>
          </w:tcPr>
          <w:p w14:paraId="5D0ABA17"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0.34 </w:t>
            </w:r>
          </w:p>
        </w:tc>
        <w:tc>
          <w:tcPr>
            <w:tcW w:w="191" w:type="pct"/>
            <w:tcBorders>
              <w:top w:val="single" w:sz="6" w:space="0" w:color="auto"/>
              <w:left w:val="single" w:sz="6" w:space="0" w:color="auto"/>
              <w:bottom w:val="single" w:sz="6" w:space="0" w:color="auto"/>
              <w:right w:val="single" w:sz="6" w:space="0" w:color="auto"/>
            </w:tcBorders>
            <w:hideMark/>
          </w:tcPr>
          <w:p w14:paraId="7F91E622"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1B36A821"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0.31 </w:t>
            </w:r>
          </w:p>
        </w:tc>
        <w:tc>
          <w:tcPr>
            <w:tcW w:w="191" w:type="pct"/>
            <w:tcBorders>
              <w:top w:val="single" w:sz="6" w:space="0" w:color="auto"/>
              <w:left w:val="single" w:sz="6" w:space="0" w:color="auto"/>
              <w:bottom w:val="single" w:sz="6" w:space="0" w:color="auto"/>
              <w:right w:val="single" w:sz="6" w:space="0" w:color="auto"/>
            </w:tcBorders>
            <w:hideMark/>
          </w:tcPr>
          <w:p w14:paraId="1ADCC48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0.29 </w:t>
            </w:r>
          </w:p>
        </w:tc>
        <w:tc>
          <w:tcPr>
            <w:tcW w:w="191" w:type="pct"/>
            <w:tcBorders>
              <w:top w:val="single" w:sz="6" w:space="0" w:color="auto"/>
              <w:left w:val="single" w:sz="6" w:space="0" w:color="auto"/>
              <w:bottom w:val="single" w:sz="6" w:space="0" w:color="auto"/>
              <w:right w:val="single" w:sz="6" w:space="0" w:color="auto"/>
            </w:tcBorders>
            <w:hideMark/>
          </w:tcPr>
          <w:p w14:paraId="226CD812"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44AA00A2"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48E7156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642BEB8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03F66F5C"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0.20 </w:t>
            </w:r>
          </w:p>
        </w:tc>
        <w:tc>
          <w:tcPr>
            <w:tcW w:w="191" w:type="pct"/>
            <w:tcBorders>
              <w:top w:val="single" w:sz="6" w:space="0" w:color="auto"/>
              <w:left w:val="single" w:sz="6" w:space="0" w:color="auto"/>
              <w:bottom w:val="single" w:sz="6" w:space="0" w:color="auto"/>
              <w:right w:val="single" w:sz="6" w:space="0" w:color="auto"/>
            </w:tcBorders>
            <w:hideMark/>
          </w:tcPr>
          <w:p w14:paraId="201AD871"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0.17 </w:t>
            </w:r>
          </w:p>
        </w:tc>
        <w:tc>
          <w:tcPr>
            <w:tcW w:w="191" w:type="pct"/>
            <w:tcBorders>
              <w:top w:val="single" w:sz="6" w:space="0" w:color="auto"/>
              <w:left w:val="single" w:sz="6" w:space="0" w:color="auto"/>
              <w:bottom w:val="single" w:sz="6" w:space="0" w:color="auto"/>
              <w:right w:val="single" w:sz="6" w:space="0" w:color="auto"/>
            </w:tcBorders>
            <w:hideMark/>
          </w:tcPr>
          <w:p w14:paraId="40EE2D7C"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0.15 </w:t>
            </w:r>
          </w:p>
        </w:tc>
        <w:tc>
          <w:tcPr>
            <w:tcW w:w="191" w:type="pct"/>
            <w:tcBorders>
              <w:top w:val="single" w:sz="6" w:space="0" w:color="auto"/>
              <w:left w:val="single" w:sz="6" w:space="0" w:color="auto"/>
              <w:bottom w:val="single" w:sz="6" w:space="0" w:color="auto"/>
              <w:right w:val="single" w:sz="6" w:space="0" w:color="auto"/>
            </w:tcBorders>
            <w:hideMark/>
          </w:tcPr>
          <w:p w14:paraId="0C53BE0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03ACB23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0.12 </w:t>
            </w:r>
          </w:p>
        </w:tc>
        <w:tc>
          <w:tcPr>
            <w:tcW w:w="8" w:type="pct"/>
            <w:vAlign w:val="center"/>
            <w:hideMark/>
          </w:tcPr>
          <w:p w14:paraId="133D7B8A" w14:textId="77777777" w:rsidR="00DB1AEE" w:rsidRPr="00DB1AEE" w:rsidRDefault="00DB1AEE" w:rsidP="00DB1AEE">
            <w:pPr>
              <w:widowControl w:val="0"/>
              <w:suppressAutoHyphens/>
              <w:autoSpaceDE w:val="0"/>
              <w:autoSpaceDN w:val="0"/>
              <w:jc w:val="left"/>
              <w:rPr>
                <w:bCs/>
                <w:iCs/>
                <w:sz w:val="18"/>
                <w:szCs w:val="18"/>
                <w:u w:val="single"/>
                <w:lang w:bidi="en-US"/>
              </w:rPr>
            </w:pPr>
          </w:p>
        </w:tc>
      </w:tr>
      <w:tr w:rsidR="00DB1AEE" w:rsidRPr="00DB1AEE" w14:paraId="615F36FC" w14:textId="77777777" w:rsidTr="00FC1832">
        <w:trPr>
          <w:trHeight w:val="300"/>
        </w:trPr>
        <w:tc>
          <w:tcPr>
            <w:tcW w:w="550" w:type="pct"/>
            <w:tcBorders>
              <w:top w:val="single" w:sz="6" w:space="0" w:color="auto"/>
              <w:left w:val="single" w:sz="6" w:space="0" w:color="auto"/>
              <w:bottom w:val="single" w:sz="6" w:space="0" w:color="auto"/>
              <w:right w:val="single" w:sz="6" w:space="0" w:color="auto"/>
            </w:tcBorders>
            <w:hideMark/>
          </w:tcPr>
          <w:p w14:paraId="3117C751"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2.64 </w:t>
            </w:r>
          </w:p>
        </w:tc>
        <w:tc>
          <w:tcPr>
            <w:tcW w:w="490" w:type="pct"/>
            <w:tcBorders>
              <w:top w:val="single" w:sz="6" w:space="0" w:color="auto"/>
              <w:left w:val="single" w:sz="6" w:space="0" w:color="auto"/>
              <w:bottom w:val="single" w:sz="6" w:space="0" w:color="auto"/>
              <w:right w:val="single" w:sz="6" w:space="0" w:color="auto"/>
            </w:tcBorders>
            <w:hideMark/>
          </w:tcPr>
          <w:p w14:paraId="78463681"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0.63 </w:t>
            </w:r>
          </w:p>
        </w:tc>
        <w:tc>
          <w:tcPr>
            <w:tcW w:w="320" w:type="pct"/>
            <w:tcBorders>
              <w:top w:val="single" w:sz="6" w:space="0" w:color="auto"/>
              <w:left w:val="single" w:sz="6" w:space="0" w:color="auto"/>
              <w:bottom w:val="single" w:sz="6" w:space="0" w:color="auto"/>
              <w:right w:val="single" w:sz="6" w:space="0" w:color="auto"/>
            </w:tcBorders>
            <w:hideMark/>
          </w:tcPr>
          <w:p w14:paraId="38A5E907"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0.57 </w:t>
            </w:r>
          </w:p>
        </w:tc>
        <w:tc>
          <w:tcPr>
            <w:tcW w:w="191" w:type="pct"/>
            <w:tcBorders>
              <w:top w:val="single" w:sz="6" w:space="0" w:color="auto"/>
              <w:left w:val="single" w:sz="6" w:space="0" w:color="auto"/>
              <w:bottom w:val="single" w:sz="6" w:space="0" w:color="auto"/>
              <w:right w:val="single" w:sz="6" w:space="0" w:color="auto"/>
            </w:tcBorders>
            <w:hideMark/>
          </w:tcPr>
          <w:p w14:paraId="4FE9764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0.52 </w:t>
            </w:r>
          </w:p>
        </w:tc>
        <w:tc>
          <w:tcPr>
            <w:tcW w:w="191" w:type="pct"/>
            <w:tcBorders>
              <w:top w:val="single" w:sz="6" w:space="0" w:color="auto"/>
              <w:left w:val="single" w:sz="6" w:space="0" w:color="auto"/>
              <w:bottom w:val="single" w:sz="6" w:space="0" w:color="auto"/>
              <w:right w:val="single" w:sz="6" w:space="0" w:color="auto"/>
            </w:tcBorders>
            <w:hideMark/>
          </w:tcPr>
          <w:p w14:paraId="4A6A64BE"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0.47 </w:t>
            </w:r>
          </w:p>
        </w:tc>
        <w:tc>
          <w:tcPr>
            <w:tcW w:w="191" w:type="pct"/>
            <w:tcBorders>
              <w:top w:val="single" w:sz="6" w:space="0" w:color="auto"/>
              <w:left w:val="single" w:sz="6" w:space="0" w:color="auto"/>
              <w:bottom w:val="single" w:sz="6" w:space="0" w:color="auto"/>
              <w:right w:val="single" w:sz="6" w:space="0" w:color="auto"/>
            </w:tcBorders>
            <w:hideMark/>
          </w:tcPr>
          <w:p w14:paraId="6EA7B1A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0.44 </w:t>
            </w:r>
          </w:p>
        </w:tc>
        <w:tc>
          <w:tcPr>
            <w:tcW w:w="191" w:type="pct"/>
            <w:tcBorders>
              <w:top w:val="single" w:sz="6" w:space="0" w:color="auto"/>
              <w:left w:val="single" w:sz="6" w:space="0" w:color="auto"/>
              <w:bottom w:val="single" w:sz="6" w:space="0" w:color="auto"/>
              <w:right w:val="single" w:sz="6" w:space="0" w:color="auto"/>
            </w:tcBorders>
            <w:hideMark/>
          </w:tcPr>
          <w:p w14:paraId="32572B5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0.41 </w:t>
            </w:r>
          </w:p>
        </w:tc>
        <w:tc>
          <w:tcPr>
            <w:tcW w:w="191" w:type="pct"/>
            <w:tcBorders>
              <w:top w:val="single" w:sz="6" w:space="0" w:color="auto"/>
              <w:left w:val="single" w:sz="6" w:space="0" w:color="auto"/>
              <w:bottom w:val="single" w:sz="6" w:space="0" w:color="auto"/>
              <w:right w:val="single" w:sz="6" w:space="0" w:color="auto"/>
            </w:tcBorders>
            <w:hideMark/>
          </w:tcPr>
          <w:p w14:paraId="552649CC"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0.38 </w:t>
            </w:r>
          </w:p>
        </w:tc>
        <w:tc>
          <w:tcPr>
            <w:tcW w:w="191" w:type="pct"/>
            <w:tcBorders>
              <w:top w:val="single" w:sz="6" w:space="0" w:color="auto"/>
              <w:left w:val="single" w:sz="6" w:space="0" w:color="auto"/>
              <w:bottom w:val="single" w:sz="6" w:space="0" w:color="auto"/>
              <w:right w:val="single" w:sz="6" w:space="0" w:color="auto"/>
            </w:tcBorders>
            <w:hideMark/>
          </w:tcPr>
          <w:p w14:paraId="38EA02D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0.36 </w:t>
            </w:r>
          </w:p>
        </w:tc>
        <w:tc>
          <w:tcPr>
            <w:tcW w:w="191" w:type="pct"/>
            <w:tcBorders>
              <w:top w:val="single" w:sz="6" w:space="0" w:color="auto"/>
              <w:left w:val="single" w:sz="6" w:space="0" w:color="auto"/>
              <w:bottom w:val="single" w:sz="6" w:space="0" w:color="auto"/>
              <w:right w:val="single" w:sz="6" w:space="0" w:color="auto"/>
            </w:tcBorders>
            <w:hideMark/>
          </w:tcPr>
          <w:p w14:paraId="047C6D0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0.33 </w:t>
            </w:r>
          </w:p>
        </w:tc>
        <w:tc>
          <w:tcPr>
            <w:tcW w:w="191" w:type="pct"/>
            <w:tcBorders>
              <w:top w:val="single" w:sz="6" w:space="0" w:color="auto"/>
              <w:left w:val="single" w:sz="6" w:space="0" w:color="auto"/>
              <w:bottom w:val="single" w:sz="6" w:space="0" w:color="auto"/>
              <w:right w:val="single" w:sz="6" w:space="0" w:color="auto"/>
            </w:tcBorders>
            <w:hideMark/>
          </w:tcPr>
          <w:p w14:paraId="346FFE89"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4784A8C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0.30 </w:t>
            </w:r>
          </w:p>
        </w:tc>
        <w:tc>
          <w:tcPr>
            <w:tcW w:w="191" w:type="pct"/>
            <w:tcBorders>
              <w:top w:val="single" w:sz="6" w:space="0" w:color="auto"/>
              <w:left w:val="single" w:sz="6" w:space="0" w:color="auto"/>
              <w:bottom w:val="single" w:sz="6" w:space="0" w:color="auto"/>
              <w:right w:val="single" w:sz="6" w:space="0" w:color="auto"/>
            </w:tcBorders>
            <w:hideMark/>
          </w:tcPr>
          <w:p w14:paraId="474CDB4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6A84F09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090F64E5"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2E9E5EF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0CADDEE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054E28F5"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0.20 </w:t>
            </w:r>
          </w:p>
        </w:tc>
        <w:tc>
          <w:tcPr>
            <w:tcW w:w="191" w:type="pct"/>
            <w:tcBorders>
              <w:top w:val="single" w:sz="6" w:space="0" w:color="auto"/>
              <w:left w:val="single" w:sz="6" w:space="0" w:color="auto"/>
              <w:bottom w:val="single" w:sz="6" w:space="0" w:color="auto"/>
              <w:right w:val="single" w:sz="6" w:space="0" w:color="auto"/>
            </w:tcBorders>
            <w:hideMark/>
          </w:tcPr>
          <w:p w14:paraId="2285DFF9"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0.17 </w:t>
            </w:r>
          </w:p>
        </w:tc>
        <w:tc>
          <w:tcPr>
            <w:tcW w:w="191" w:type="pct"/>
            <w:tcBorders>
              <w:top w:val="single" w:sz="6" w:space="0" w:color="auto"/>
              <w:left w:val="single" w:sz="6" w:space="0" w:color="auto"/>
              <w:bottom w:val="single" w:sz="6" w:space="0" w:color="auto"/>
              <w:right w:val="single" w:sz="6" w:space="0" w:color="auto"/>
            </w:tcBorders>
            <w:hideMark/>
          </w:tcPr>
          <w:p w14:paraId="04EE2A4E"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0.15 </w:t>
            </w:r>
          </w:p>
        </w:tc>
        <w:tc>
          <w:tcPr>
            <w:tcW w:w="191" w:type="pct"/>
            <w:tcBorders>
              <w:top w:val="single" w:sz="6" w:space="0" w:color="auto"/>
              <w:left w:val="single" w:sz="6" w:space="0" w:color="auto"/>
              <w:bottom w:val="single" w:sz="6" w:space="0" w:color="auto"/>
              <w:right w:val="single" w:sz="6" w:space="0" w:color="auto"/>
            </w:tcBorders>
            <w:hideMark/>
          </w:tcPr>
          <w:p w14:paraId="3FD9937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18FAADEC"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0.12 </w:t>
            </w:r>
          </w:p>
        </w:tc>
        <w:tc>
          <w:tcPr>
            <w:tcW w:w="8" w:type="pct"/>
            <w:vAlign w:val="center"/>
            <w:hideMark/>
          </w:tcPr>
          <w:p w14:paraId="63EEF5F9" w14:textId="77777777" w:rsidR="00DB1AEE" w:rsidRPr="00DB1AEE" w:rsidRDefault="00DB1AEE" w:rsidP="00DB1AEE">
            <w:pPr>
              <w:widowControl w:val="0"/>
              <w:suppressAutoHyphens/>
              <w:autoSpaceDE w:val="0"/>
              <w:autoSpaceDN w:val="0"/>
              <w:jc w:val="left"/>
              <w:rPr>
                <w:bCs/>
                <w:iCs/>
                <w:sz w:val="18"/>
                <w:szCs w:val="18"/>
                <w:u w:val="single"/>
                <w:lang w:bidi="en-US"/>
              </w:rPr>
            </w:pPr>
          </w:p>
        </w:tc>
      </w:tr>
      <w:tr w:rsidR="00DB1AEE" w:rsidRPr="00DB1AEE" w14:paraId="09537B0A" w14:textId="77777777" w:rsidTr="00FC1832">
        <w:trPr>
          <w:trHeight w:val="201"/>
        </w:trPr>
        <w:tc>
          <w:tcPr>
            <w:tcW w:w="550" w:type="pct"/>
            <w:tcBorders>
              <w:top w:val="single" w:sz="6" w:space="0" w:color="auto"/>
              <w:left w:val="single" w:sz="6" w:space="0" w:color="auto"/>
              <w:bottom w:val="single" w:sz="6" w:space="0" w:color="auto"/>
              <w:right w:val="single" w:sz="6" w:space="0" w:color="auto"/>
            </w:tcBorders>
            <w:hideMark/>
          </w:tcPr>
          <w:p w14:paraId="1CCD401C"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3.35 </w:t>
            </w:r>
          </w:p>
        </w:tc>
        <w:tc>
          <w:tcPr>
            <w:tcW w:w="490" w:type="pct"/>
            <w:tcBorders>
              <w:top w:val="single" w:sz="6" w:space="0" w:color="auto"/>
              <w:left w:val="single" w:sz="6" w:space="0" w:color="auto"/>
              <w:bottom w:val="single" w:sz="6" w:space="0" w:color="auto"/>
              <w:right w:val="single" w:sz="6" w:space="0" w:color="auto"/>
            </w:tcBorders>
            <w:hideMark/>
          </w:tcPr>
          <w:p w14:paraId="09212E7E"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0.58 </w:t>
            </w:r>
          </w:p>
        </w:tc>
        <w:tc>
          <w:tcPr>
            <w:tcW w:w="320" w:type="pct"/>
            <w:tcBorders>
              <w:top w:val="single" w:sz="6" w:space="0" w:color="auto"/>
              <w:left w:val="single" w:sz="6" w:space="0" w:color="auto"/>
              <w:bottom w:val="single" w:sz="6" w:space="0" w:color="auto"/>
              <w:right w:val="single" w:sz="6" w:space="0" w:color="auto"/>
            </w:tcBorders>
            <w:hideMark/>
          </w:tcPr>
          <w:p w14:paraId="590153B7"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0.53 </w:t>
            </w:r>
          </w:p>
        </w:tc>
        <w:tc>
          <w:tcPr>
            <w:tcW w:w="191" w:type="pct"/>
            <w:tcBorders>
              <w:top w:val="single" w:sz="6" w:space="0" w:color="auto"/>
              <w:left w:val="single" w:sz="6" w:space="0" w:color="auto"/>
              <w:bottom w:val="single" w:sz="6" w:space="0" w:color="auto"/>
              <w:right w:val="single" w:sz="6" w:space="0" w:color="auto"/>
            </w:tcBorders>
            <w:hideMark/>
          </w:tcPr>
          <w:p w14:paraId="22F5794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0.48 </w:t>
            </w:r>
          </w:p>
        </w:tc>
        <w:tc>
          <w:tcPr>
            <w:tcW w:w="191" w:type="pct"/>
            <w:tcBorders>
              <w:top w:val="single" w:sz="6" w:space="0" w:color="auto"/>
              <w:left w:val="single" w:sz="6" w:space="0" w:color="auto"/>
              <w:bottom w:val="single" w:sz="6" w:space="0" w:color="auto"/>
              <w:right w:val="single" w:sz="6" w:space="0" w:color="auto"/>
            </w:tcBorders>
            <w:hideMark/>
          </w:tcPr>
          <w:p w14:paraId="3E3B9FC5"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0.45 </w:t>
            </w:r>
          </w:p>
        </w:tc>
        <w:tc>
          <w:tcPr>
            <w:tcW w:w="191" w:type="pct"/>
            <w:tcBorders>
              <w:top w:val="single" w:sz="6" w:space="0" w:color="auto"/>
              <w:left w:val="single" w:sz="6" w:space="0" w:color="auto"/>
              <w:bottom w:val="single" w:sz="6" w:space="0" w:color="auto"/>
              <w:right w:val="single" w:sz="6" w:space="0" w:color="auto"/>
            </w:tcBorders>
            <w:hideMark/>
          </w:tcPr>
          <w:p w14:paraId="106D1AC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0.41 </w:t>
            </w:r>
          </w:p>
        </w:tc>
        <w:tc>
          <w:tcPr>
            <w:tcW w:w="191" w:type="pct"/>
            <w:tcBorders>
              <w:top w:val="single" w:sz="6" w:space="0" w:color="auto"/>
              <w:left w:val="single" w:sz="6" w:space="0" w:color="auto"/>
              <w:bottom w:val="single" w:sz="6" w:space="0" w:color="auto"/>
              <w:right w:val="single" w:sz="6" w:space="0" w:color="auto"/>
            </w:tcBorders>
            <w:hideMark/>
          </w:tcPr>
          <w:p w14:paraId="44A88EA5"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0.39 </w:t>
            </w:r>
          </w:p>
        </w:tc>
        <w:tc>
          <w:tcPr>
            <w:tcW w:w="191" w:type="pct"/>
            <w:tcBorders>
              <w:top w:val="single" w:sz="6" w:space="0" w:color="auto"/>
              <w:left w:val="single" w:sz="6" w:space="0" w:color="auto"/>
              <w:bottom w:val="single" w:sz="6" w:space="0" w:color="auto"/>
              <w:right w:val="single" w:sz="6" w:space="0" w:color="auto"/>
            </w:tcBorders>
            <w:hideMark/>
          </w:tcPr>
          <w:p w14:paraId="117527B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0.36 </w:t>
            </w:r>
          </w:p>
        </w:tc>
        <w:tc>
          <w:tcPr>
            <w:tcW w:w="191" w:type="pct"/>
            <w:tcBorders>
              <w:top w:val="single" w:sz="6" w:space="0" w:color="auto"/>
              <w:left w:val="single" w:sz="6" w:space="0" w:color="auto"/>
              <w:bottom w:val="single" w:sz="6" w:space="0" w:color="auto"/>
              <w:right w:val="single" w:sz="6" w:space="0" w:color="auto"/>
            </w:tcBorders>
            <w:hideMark/>
          </w:tcPr>
          <w:p w14:paraId="568032F3"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0.34 </w:t>
            </w:r>
          </w:p>
        </w:tc>
        <w:tc>
          <w:tcPr>
            <w:tcW w:w="191" w:type="pct"/>
            <w:tcBorders>
              <w:top w:val="single" w:sz="6" w:space="0" w:color="auto"/>
              <w:left w:val="single" w:sz="6" w:space="0" w:color="auto"/>
              <w:bottom w:val="single" w:sz="6" w:space="0" w:color="auto"/>
              <w:right w:val="single" w:sz="6" w:space="0" w:color="auto"/>
            </w:tcBorders>
            <w:hideMark/>
          </w:tcPr>
          <w:p w14:paraId="0F2F6DF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299A86D5"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0.30 </w:t>
            </w:r>
          </w:p>
        </w:tc>
        <w:tc>
          <w:tcPr>
            <w:tcW w:w="191" w:type="pct"/>
            <w:tcBorders>
              <w:top w:val="single" w:sz="6" w:space="0" w:color="auto"/>
              <w:left w:val="single" w:sz="6" w:space="0" w:color="auto"/>
              <w:bottom w:val="single" w:sz="6" w:space="0" w:color="auto"/>
              <w:right w:val="single" w:sz="6" w:space="0" w:color="auto"/>
            </w:tcBorders>
            <w:hideMark/>
          </w:tcPr>
          <w:p w14:paraId="283354A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0.29 </w:t>
            </w:r>
          </w:p>
        </w:tc>
        <w:tc>
          <w:tcPr>
            <w:tcW w:w="191" w:type="pct"/>
            <w:tcBorders>
              <w:top w:val="single" w:sz="6" w:space="0" w:color="auto"/>
              <w:left w:val="single" w:sz="6" w:space="0" w:color="auto"/>
              <w:bottom w:val="single" w:sz="6" w:space="0" w:color="auto"/>
              <w:right w:val="single" w:sz="6" w:space="0" w:color="auto"/>
            </w:tcBorders>
            <w:hideMark/>
          </w:tcPr>
          <w:p w14:paraId="544331C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30D9987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26BA68F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5859A8D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02B01E0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0.23 </w:t>
            </w:r>
          </w:p>
        </w:tc>
        <w:tc>
          <w:tcPr>
            <w:tcW w:w="191" w:type="pct"/>
            <w:tcBorders>
              <w:top w:val="single" w:sz="6" w:space="0" w:color="auto"/>
              <w:left w:val="single" w:sz="6" w:space="0" w:color="auto"/>
              <w:bottom w:val="single" w:sz="6" w:space="0" w:color="auto"/>
              <w:right w:val="single" w:sz="6" w:space="0" w:color="auto"/>
            </w:tcBorders>
            <w:hideMark/>
          </w:tcPr>
          <w:p w14:paraId="397C89B2"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0.19 </w:t>
            </w:r>
          </w:p>
        </w:tc>
        <w:tc>
          <w:tcPr>
            <w:tcW w:w="191" w:type="pct"/>
            <w:tcBorders>
              <w:top w:val="single" w:sz="6" w:space="0" w:color="auto"/>
              <w:left w:val="single" w:sz="6" w:space="0" w:color="auto"/>
              <w:bottom w:val="single" w:sz="6" w:space="0" w:color="auto"/>
              <w:right w:val="single" w:sz="6" w:space="0" w:color="auto"/>
            </w:tcBorders>
            <w:hideMark/>
          </w:tcPr>
          <w:p w14:paraId="79BB505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0.16 </w:t>
            </w:r>
          </w:p>
        </w:tc>
        <w:tc>
          <w:tcPr>
            <w:tcW w:w="191" w:type="pct"/>
            <w:tcBorders>
              <w:top w:val="single" w:sz="6" w:space="0" w:color="auto"/>
              <w:left w:val="single" w:sz="6" w:space="0" w:color="auto"/>
              <w:bottom w:val="single" w:sz="6" w:space="0" w:color="auto"/>
              <w:right w:val="single" w:sz="6" w:space="0" w:color="auto"/>
            </w:tcBorders>
            <w:hideMark/>
          </w:tcPr>
          <w:p w14:paraId="22075422"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0.14 </w:t>
            </w:r>
          </w:p>
        </w:tc>
        <w:tc>
          <w:tcPr>
            <w:tcW w:w="191" w:type="pct"/>
            <w:tcBorders>
              <w:top w:val="single" w:sz="6" w:space="0" w:color="auto"/>
              <w:left w:val="single" w:sz="6" w:space="0" w:color="auto"/>
              <w:bottom w:val="single" w:sz="6" w:space="0" w:color="auto"/>
              <w:right w:val="single" w:sz="6" w:space="0" w:color="auto"/>
            </w:tcBorders>
            <w:hideMark/>
          </w:tcPr>
          <w:p w14:paraId="0E336D81"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65FC9679"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0.11 </w:t>
            </w:r>
          </w:p>
        </w:tc>
        <w:tc>
          <w:tcPr>
            <w:tcW w:w="8" w:type="pct"/>
            <w:vAlign w:val="center"/>
            <w:hideMark/>
          </w:tcPr>
          <w:p w14:paraId="26258B08" w14:textId="77777777" w:rsidR="00DB1AEE" w:rsidRPr="00DB1AEE" w:rsidRDefault="00DB1AEE" w:rsidP="00DB1AEE">
            <w:pPr>
              <w:widowControl w:val="0"/>
              <w:suppressAutoHyphens/>
              <w:autoSpaceDE w:val="0"/>
              <w:autoSpaceDN w:val="0"/>
              <w:jc w:val="left"/>
              <w:rPr>
                <w:bCs/>
                <w:iCs/>
                <w:sz w:val="18"/>
                <w:szCs w:val="18"/>
                <w:u w:val="single"/>
                <w:lang w:bidi="en-US"/>
              </w:rPr>
            </w:pPr>
          </w:p>
        </w:tc>
      </w:tr>
      <w:tr w:rsidR="00DB1AEE" w:rsidRPr="00DB1AEE" w14:paraId="2B686859" w14:textId="77777777" w:rsidTr="00FC1832">
        <w:trPr>
          <w:trHeight w:val="192"/>
        </w:trPr>
        <w:tc>
          <w:tcPr>
            <w:tcW w:w="550" w:type="pct"/>
            <w:tcBorders>
              <w:top w:val="single" w:sz="6" w:space="0" w:color="auto"/>
              <w:left w:val="single" w:sz="6" w:space="0" w:color="auto"/>
              <w:bottom w:val="single" w:sz="6" w:space="0" w:color="auto"/>
              <w:right w:val="single" w:sz="6" w:space="0" w:color="auto"/>
            </w:tcBorders>
            <w:hideMark/>
          </w:tcPr>
          <w:p w14:paraId="62A3ECE5"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3.70 </w:t>
            </w:r>
          </w:p>
        </w:tc>
        <w:tc>
          <w:tcPr>
            <w:tcW w:w="490" w:type="pct"/>
            <w:tcBorders>
              <w:top w:val="single" w:sz="6" w:space="0" w:color="auto"/>
              <w:left w:val="single" w:sz="6" w:space="0" w:color="auto"/>
              <w:bottom w:val="single" w:sz="6" w:space="0" w:color="auto"/>
              <w:right w:val="single" w:sz="6" w:space="0" w:color="auto"/>
            </w:tcBorders>
            <w:hideMark/>
          </w:tcPr>
          <w:p w14:paraId="45C40B39"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0.57 </w:t>
            </w:r>
          </w:p>
        </w:tc>
        <w:tc>
          <w:tcPr>
            <w:tcW w:w="320" w:type="pct"/>
            <w:tcBorders>
              <w:top w:val="single" w:sz="6" w:space="0" w:color="auto"/>
              <w:left w:val="single" w:sz="6" w:space="0" w:color="auto"/>
              <w:bottom w:val="single" w:sz="6" w:space="0" w:color="auto"/>
              <w:right w:val="single" w:sz="6" w:space="0" w:color="auto"/>
            </w:tcBorders>
            <w:hideMark/>
          </w:tcPr>
          <w:p w14:paraId="0CEF511E"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0.51 </w:t>
            </w:r>
          </w:p>
        </w:tc>
        <w:tc>
          <w:tcPr>
            <w:tcW w:w="191" w:type="pct"/>
            <w:tcBorders>
              <w:top w:val="single" w:sz="6" w:space="0" w:color="auto"/>
              <w:left w:val="single" w:sz="6" w:space="0" w:color="auto"/>
              <w:bottom w:val="single" w:sz="6" w:space="0" w:color="auto"/>
              <w:right w:val="single" w:sz="6" w:space="0" w:color="auto"/>
            </w:tcBorders>
            <w:hideMark/>
          </w:tcPr>
          <w:p w14:paraId="5407A35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0.47 </w:t>
            </w:r>
          </w:p>
        </w:tc>
        <w:tc>
          <w:tcPr>
            <w:tcW w:w="191" w:type="pct"/>
            <w:tcBorders>
              <w:top w:val="single" w:sz="6" w:space="0" w:color="auto"/>
              <w:left w:val="single" w:sz="6" w:space="0" w:color="auto"/>
              <w:bottom w:val="single" w:sz="6" w:space="0" w:color="auto"/>
              <w:right w:val="single" w:sz="6" w:space="0" w:color="auto"/>
            </w:tcBorders>
            <w:hideMark/>
          </w:tcPr>
          <w:p w14:paraId="441250B1"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0.44 </w:t>
            </w:r>
          </w:p>
        </w:tc>
        <w:tc>
          <w:tcPr>
            <w:tcW w:w="191" w:type="pct"/>
            <w:tcBorders>
              <w:top w:val="single" w:sz="6" w:space="0" w:color="auto"/>
              <w:left w:val="single" w:sz="6" w:space="0" w:color="auto"/>
              <w:bottom w:val="single" w:sz="6" w:space="0" w:color="auto"/>
              <w:right w:val="single" w:sz="6" w:space="0" w:color="auto"/>
            </w:tcBorders>
            <w:hideMark/>
          </w:tcPr>
          <w:p w14:paraId="0DAE7B75"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0.40 </w:t>
            </w:r>
          </w:p>
        </w:tc>
        <w:tc>
          <w:tcPr>
            <w:tcW w:w="191" w:type="pct"/>
            <w:tcBorders>
              <w:top w:val="single" w:sz="6" w:space="0" w:color="auto"/>
              <w:left w:val="single" w:sz="6" w:space="0" w:color="auto"/>
              <w:bottom w:val="single" w:sz="6" w:space="0" w:color="auto"/>
              <w:right w:val="single" w:sz="6" w:space="0" w:color="auto"/>
            </w:tcBorders>
            <w:hideMark/>
          </w:tcPr>
          <w:p w14:paraId="79C2F33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0.38 </w:t>
            </w:r>
          </w:p>
        </w:tc>
        <w:tc>
          <w:tcPr>
            <w:tcW w:w="191" w:type="pct"/>
            <w:tcBorders>
              <w:top w:val="single" w:sz="6" w:space="0" w:color="auto"/>
              <w:left w:val="single" w:sz="6" w:space="0" w:color="auto"/>
              <w:bottom w:val="single" w:sz="6" w:space="0" w:color="auto"/>
              <w:right w:val="single" w:sz="6" w:space="0" w:color="auto"/>
            </w:tcBorders>
            <w:hideMark/>
          </w:tcPr>
          <w:p w14:paraId="46F9A2A1"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0.35 </w:t>
            </w:r>
          </w:p>
        </w:tc>
        <w:tc>
          <w:tcPr>
            <w:tcW w:w="191" w:type="pct"/>
            <w:tcBorders>
              <w:top w:val="single" w:sz="6" w:space="0" w:color="auto"/>
              <w:left w:val="single" w:sz="6" w:space="0" w:color="auto"/>
              <w:bottom w:val="single" w:sz="6" w:space="0" w:color="auto"/>
              <w:right w:val="single" w:sz="6" w:space="0" w:color="auto"/>
            </w:tcBorders>
            <w:hideMark/>
          </w:tcPr>
          <w:p w14:paraId="71E0DAE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0.33 </w:t>
            </w:r>
          </w:p>
        </w:tc>
        <w:tc>
          <w:tcPr>
            <w:tcW w:w="191" w:type="pct"/>
            <w:tcBorders>
              <w:top w:val="single" w:sz="6" w:space="0" w:color="auto"/>
              <w:left w:val="single" w:sz="6" w:space="0" w:color="auto"/>
              <w:bottom w:val="single" w:sz="6" w:space="0" w:color="auto"/>
              <w:right w:val="single" w:sz="6" w:space="0" w:color="auto"/>
            </w:tcBorders>
            <w:hideMark/>
          </w:tcPr>
          <w:p w14:paraId="5A3B60CE"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0.31 </w:t>
            </w:r>
          </w:p>
        </w:tc>
        <w:tc>
          <w:tcPr>
            <w:tcW w:w="191" w:type="pct"/>
            <w:tcBorders>
              <w:top w:val="single" w:sz="6" w:space="0" w:color="auto"/>
              <w:left w:val="single" w:sz="6" w:space="0" w:color="auto"/>
              <w:bottom w:val="single" w:sz="6" w:space="0" w:color="auto"/>
              <w:right w:val="single" w:sz="6" w:space="0" w:color="auto"/>
            </w:tcBorders>
            <w:hideMark/>
          </w:tcPr>
          <w:p w14:paraId="32FDAD5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0.30 </w:t>
            </w:r>
          </w:p>
        </w:tc>
        <w:tc>
          <w:tcPr>
            <w:tcW w:w="191" w:type="pct"/>
            <w:tcBorders>
              <w:top w:val="single" w:sz="6" w:space="0" w:color="auto"/>
              <w:left w:val="single" w:sz="6" w:space="0" w:color="auto"/>
              <w:bottom w:val="single" w:sz="6" w:space="0" w:color="auto"/>
              <w:right w:val="single" w:sz="6" w:space="0" w:color="auto"/>
            </w:tcBorders>
            <w:hideMark/>
          </w:tcPr>
          <w:p w14:paraId="48F052D3"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46A64F87"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7545D6F1"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1353C0C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0F177B6C"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12E68BA5"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0.23 </w:t>
            </w:r>
          </w:p>
        </w:tc>
        <w:tc>
          <w:tcPr>
            <w:tcW w:w="191" w:type="pct"/>
            <w:tcBorders>
              <w:top w:val="single" w:sz="6" w:space="0" w:color="auto"/>
              <w:left w:val="single" w:sz="6" w:space="0" w:color="auto"/>
              <w:bottom w:val="single" w:sz="6" w:space="0" w:color="auto"/>
              <w:right w:val="single" w:sz="6" w:space="0" w:color="auto"/>
            </w:tcBorders>
            <w:hideMark/>
          </w:tcPr>
          <w:p w14:paraId="3187EF4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0.19 </w:t>
            </w:r>
          </w:p>
        </w:tc>
        <w:tc>
          <w:tcPr>
            <w:tcW w:w="191" w:type="pct"/>
            <w:tcBorders>
              <w:top w:val="single" w:sz="6" w:space="0" w:color="auto"/>
              <w:left w:val="single" w:sz="6" w:space="0" w:color="auto"/>
              <w:bottom w:val="single" w:sz="6" w:space="0" w:color="auto"/>
              <w:right w:val="single" w:sz="6" w:space="0" w:color="auto"/>
            </w:tcBorders>
            <w:hideMark/>
          </w:tcPr>
          <w:p w14:paraId="46F2D1A1"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0.16 </w:t>
            </w:r>
          </w:p>
        </w:tc>
        <w:tc>
          <w:tcPr>
            <w:tcW w:w="191" w:type="pct"/>
            <w:tcBorders>
              <w:top w:val="single" w:sz="6" w:space="0" w:color="auto"/>
              <w:left w:val="single" w:sz="6" w:space="0" w:color="auto"/>
              <w:bottom w:val="single" w:sz="6" w:space="0" w:color="auto"/>
              <w:right w:val="single" w:sz="6" w:space="0" w:color="auto"/>
            </w:tcBorders>
            <w:hideMark/>
          </w:tcPr>
          <w:p w14:paraId="6C60E3BA"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0.14 </w:t>
            </w:r>
          </w:p>
        </w:tc>
        <w:tc>
          <w:tcPr>
            <w:tcW w:w="191" w:type="pct"/>
            <w:tcBorders>
              <w:top w:val="single" w:sz="6" w:space="0" w:color="auto"/>
              <w:left w:val="single" w:sz="6" w:space="0" w:color="auto"/>
              <w:bottom w:val="single" w:sz="6" w:space="0" w:color="auto"/>
              <w:right w:val="single" w:sz="6" w:space="0" w:color="auto"/>
            </w:tcBorders>
            <w:hideMark/>
          </w:tcPr>
          <w:p w14:paraId="5C0D5965"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072B573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0.11 </w:t>
            </w:r>
          </w:p>
        </w:tc>
        <w:tc>
          <w:tcPr>
            <w:tcW w:w="8" w:type="pct"/>
            <w:vAlign w:val="center"/>
            <w:hideMark/>
          </w:tcPr>
          <w:p w14:paraId="24BE1640" w14:textId="77777777" w:rsidR="00DB1AEE" w:rsidRPr="00DB1AEE" w:rsidRDefault="00DB1AEE" w:rsidP="00DB1AEE">
            <w:pPr>
              <w:widowControl w:val="0"/>
              <w:suppressAutoHyphens/>
              <w:autoSpaceDE w:val="0"/>
              <w:autoSpaceDN w:val="0"/>
              <w:jc w:val="left"/>
              <w:rPr>
                <w:bCs/>
                <w:iCs/>
                <w:sz w:val="18"/>
                <w:szCs w:val="18"/>
                <w:u w:val="single"/>
                <w:lang w:bidi="en-US"/>
              </w:rPr>
            </w:pPr>
          </w:p>
        </w:tc>
      </w:tr>
      <w:tr w:rsidR="00DB1AEE" w:rsidRPr="00DB1AEE" w14:paraId="119B22F3" w14:textId="77777777" w:rsidTr="00FC1832">
        <w:trPr>
          <w:trHeight w:val="237"/>
        </w:trPr>
        <w:tc>
          <w:tcPr>
            <w:tcW w:w="550" w:type="pct"/>
            <w:tcBorders>
              <w:top w:val="single" w:sz="6" w:space="0" w:color="auto"/>
              <w:left w:val="single" w:sz="6" w:space="0" w:color="auto"/>
              <w:bottom w:val="single" w:sz="6" w:space="0" w:color="auto"/>
              <w:right w:val="single" w:sz="6" w:space="0" w:color="auto"/>
            </w:tcBorders>
            <w:hideMark/>
          </w:tcPr>
          <w:p w14:paraId="5F77E2AA"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4.40 </w:t>
            </w:r>
          </w:p>
        </w:tc>
        <w:tc>
          <w:tcPr>
            <w:tcW w:w="490" w:type="pct"/>
            <w:tcBorders>
              <w:top w:val="single" w:sz="6" w:space="0" w:color="auto"/>
              <w:left w:val="single" w:sz="6" w:space="0" w:color="auto"/>
              <w:bottom w:val="single" w:sz="6" w:space="0" w:color="auto"/>
              <w:right w:val="single" w:sz="6" w:space="0" w:color="auto"/>
            </w:tcBorders>
            <w:hideMark/>
          </w:tcPr>
          <w:p w14:paraId="153F86C7"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0.54 </w:t>
            </w:r>
          </w:p>
        </w:tc>
        <w:tc>
          <w:tcPr>
            <w:tcW w:w="320" w:type="pct"/>
            <w:tcBorders>
              <w:top w:val="single" w:sz="6" w:space="0" w:color="auto"/>
              <w:left w:val="single" w:sz="6" w:space="0" w:color="auto"/>
              <w:bottom w:val="single" w:sz="6" w:space="0" w:color="auto"/>
              <w:right w:val="single" w:sz="6" w:space="0" w:color="auto"/>
            </w:tcBorders>
            <w:hideMark/>
          </w:tcPr>
          <w:p w14:paraId="41222CC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0.49 </w:t>
            </w:r>
          </w:p>
        </w:tc>
        <w:tc>
          <w:tcPr>
            <w:tcW w:w="191" w:type="pct"/>
            <w:tcBorders>
              <w:top w:val="single" w:sz="6" w:space="0" w:color="auto"/>
              <w:left w:val="single" w:sz="6" w:space="0" w:color="auto"/>
              <w:bottom w:val="single" w:sz="6" w:space="0" w:color="auto"/>
              <w:right w:val="single" w:sz="6" w:space="0" w:color="auto"/>
            </w:tcBorders>
            <w:hideMark/>
          </w:tcPr>
          <w:p w14:paraId="571D8A4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0.45 </w:t>
            </w:r>
          </w:p>
        </w:tc>
        <w:tc>
          <w:tcPr>
            <w:tcW w:w="191" w:type="pct"/>
            <w:tcBorders>
              <w:top w:val="single" w:sz="6" w:space="0" w:color="auto"/>
              <w:left w:val="single" w:sz="6" w:space="0" w:color="auto"/>
              <w:bottom w:val="single" w:sz="6" w:space="0" w:color="auto"/>
              <w:right w:val="single" w:sz="6" w:space="0" w:color="auto"/>
            </w:tcBorders>
            <w:hideMark/>
          </w:tcPr>
          <w:p w14:paraId="234E2BB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0.42 </w:t>
            </w:r>
          </w:p>
        </w:tc>
        <w:tc>
          <w:tcPr>
            <w:tcW w:w="191" w:type="pct"/>
            <w:tcBorders>
              <w:top w:val="single" w:sz="6" w:space="0" w:color="auto"/>
              <w:left w:val="single" w:sz="6" w:space="0" w:color="auto"/>
              <w:bottom w:val="single" w:sz="6" w:space="0" w:color="auto"/>
              <w:right w:val="single" w:sz="6" w:space="0" w:color="auto"/>
            </w:tcBorders>
            <w:hideMark/>
          </w:tcPr>
          <w:p w14:paraId="08F0039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0.39 </w:t>
            </w:r>
          </w:p>
        </w:tc>
        <w:tc>
          <w:tcPr>
            <w:tcW w:w="191" w:type="pct"/>
            <w:tcBorders>
              <w:top w:val="single" w:sz="6" w:space="0" w:color="auto"/>
              <w:left w:val="single" w:sz="6" w:space="0" w:color="auto"/>
              <w:bottom w:val="single" w:sz="6" w:space="0" w:color="auto"/>
              <w:right w:val="single" w:sz="6" w:space="0" w:color="auto"/>
            </w:tcBorders>
            <w:hideMark/>
          </w:tcPr>
          <w:p w14:paraId="7AC6983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0.36 </w:t>
            </w:r>
          </w:p>
        </w:tc>
        <w:tc>
          <w:tcPr>
            <w:tcW w:w="191" w:type="pct"/>
            <w:tcBorders>
              <w:top w:val="single" w:sz="6" w:space="0" w:color="auto"/>
              <w:left w:val="single" w:sz="6" w:space="0" w:color="auto"/>
              <w:bottom w:val="single" w:sz="6" w:space="0" w:color="auto"/>
              <w:right w:val="single" w:sz="6" w:space="0" w:color="auto"/>
            </w:tcBorders>
            <w:hideMark/>
          </w:tcPr>
          <w:p w14:paraId="2FCA401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0.34 </w:t>
            </w:r>
          </w:p>
        </w:tc>
        <w:tc>
          <w:tcPr>
            <w:tcW w:w="191" w:type="pct"/>
            <w:tcBorders>
              <w:top w:val="single" w:sz="6" w:space="0" w:color="auto"/>
              <w:left w:val="single" w:sz="6" w:space="0" w:color="auto"/>
              <w:bottom w:val="single" w:sz="6" w:space="0" w:color="auto"/>
              <w:right w:val="single" w:sz="6" w:space="0" w:color="auto"/>
            </w:tcBorders>
            <w:hideMark/>
          </w:tcPr>
          <w:p w14:paraId="7D095831"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6A89459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0.31 </w:t>
            </w:r>
          </w:p>
        </w:tc>
        <w:tc>
          <w:tcPr>
            <w:tcW w:w="191" w:type="pct"/>
            <w:tcBorders>
              <w:top w:val="single" w:sz="6" w:space="0" w:color="auto"/>
              <w:left w:val="single" w:sz="6" w:space="0" w:color="auto"/>
              <w:bottom w:val="single" w:sz="6" w:space="0" w:color="auto"/>
              <w:right w:val="single" w:sz="6" w:space="0" w:color="auto"/>
            </w:tcBorders>
            <w:hideMark/>
          </w:tcPr>
          <w:p w14:paraId="2F3F7A03"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0.29 </w:t>
            </w:r>
          </w:p>
        </w:tc>
        <w:tc>
          <w:tcPr>
            <w:tcW w:w="191" w:type="pct"/>
            <w:tcBorders>
              <w:top w:val="single" w:sz="6" w:space="0" w:color="auto"/>
              <w:left w:val="single" w:sz="6" w:space="0" w:color="auto"/>
              <w:bottom w:val="single" w:sz="6" w:space="0" w:color="auto"/>
              <w:right w:val="single" w:sz="6" w:space="0" w:color="auto"/>
            </w:tcBorders>
            <w:hideMark/>
          </w:tcPr>
          <w:p w14:paraId="31389BDC"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63C0076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58EA1639"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27636DF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2C7D52E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0.23 </w:t>
            </w:r>
          </w:p>
        </w:tc>
        <w:tc>
          <w:tcPr>
            <w:tcW w:w="191" w:type="pct"/>
            <w:tcBorders>
              <w:top w:val="single" w:sz="6" w:space="0" w:color="auto"/>
              <w:left w:val="single" w:sz="6" w:space="0" w:color="auto"/>
              <w:bottom w:val="single" w:sz="6" w:space="0" w:color="auto"/>
              <w:right w:val="single" w:sz="6" w:space="0" w:color="auto"/>
            </w:tcBorders>
            <w:hideMark/>
          </w:tcPr>
          <w:p w14:paraId="5EE1282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0.22 </w:t>
            </w:r>
          </w:p>
        </w:tc>
        <w:tc>
          <w:tcPr>
            <w:tcW w:w="191" w:type="pct"/>
            <w:tcBorders>
              <w:top w:val="single" w:sz="6" w:space="0" w:color="auto"/>
              <w:left w:val="single" w:sz="6" w:space="0" w:color="auto"/>
              <w:bottom w:val="single" w:sz="6" w:space="0" w:color="auto"/>
              <w:right w:val="single" w:sz="6" w:space="0" w:color="auto"/>
            </w:tcBorders>
            <w:hideMark/>
          </w:tcPr>
          <w:p w14:paraId="7ECF2727"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0.19 </w:t>
            </w:r>
          </w:p>
        </w:tc>
        <w:tc>
          <w:tcPr>
            <w:tcW w:w="191" w:type="pct"/>
            <w:tcBorders>
              <w:top w:val="single" w:sz="6" w:space="0" w:color="auto"/>
              <w:left w:val="single" w:sz="6" w:space="0" w:color="auto"/>
              <w:bottom w:val="single" w:sz="6" w:space="0" w:color="auto"/>
              <w:right w:val="single" w:sz="6" w:space="0" w:color="auto"/>
            </w:tcBorders>
            <w:hideMark/>
          </w:tcPr>
          <w:p w14:paraId="6C1DF71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0.16 </w:t>
            </w:r>
          </w:p>
        </w:tc>
        <w:tc>
          <w:tcPr>
            <w:tcW w:w="191" w:type="pct"/>
            <w:tcBorders>
              <w:top w:val="single" w:sz="6" w:space="0" w:color="auto"/>
              <w:left w:val="single" w:sz="6" w:space="0" w:color="auto"/>
              <w:bottom w:val="single" w:sz="6" w:space="0" w:color="auto"/>
              <w:right w:val="single" w:sz="6" w:space="0" w:color="auto"/>
            </w:tcBorders>
            <w:hideMark/>
          </w:tcPr>
          <w:p w14:paraId="549CBA7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0.14 </w:t>
            </w:r>
          </w:p>
        </w:tc>
        <w:tc>
          <w:tcPr>
            <w:tcW w:w="191" w:type="pct"/>
            <w:tcBorders>
              <w:top w:val="single" w:sz="6" w:space="0" w:color="auto"/>
              <w:left w:val="single" w:sz="6" w:space="0" w:color="auto"/>
              <w:bottom w:val="single" w:sz="6" w:space="0" w:color="auto"/>
              <w:right w:val="single" w:sz="6" w:space="0" w:color="auto"/>
            </w:tcBorders>
            <w:hideMark/>
          </w:tcPr>
          <w:p w14:paraId="1BAA5F5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0.12 </w:t>
            </w:r>
          </w:p>
        </w:tc>
        <w:tc>
          <w:tcPr>
            <w:tcW w:w="194" w:type="pct"/>
            <w:tcBorders>
              <w:top w:val="single" w:sz="6" w:space="0" w:color="auto"/>
              <w:left w:val="single" w:sz="6" w:space="0" w:color="auto"/>
              <w:bottom w:val="single" w:sz="6" w:space="0" w:color="auto"/>
              <w:right w:val="single" w:sz="6" w:space="0" w:color="auto"/>
            </w:tcBorders>
            <w:hideMark/>
          </w:tcPr>
          <w:p w14:paraId="72186CF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0.11 </w:t>
            </w:r>
          </w:p>
        </w:tc>
        <w:tc>
          <w:tcPr>
            <w:tcW w:w="8" w:type="pct"/>
            <w:vAlign w:val="center"/>
            <w:hideMark/>
          </w:tcPr>
          <w:p w14:paraId="2E1909D6" w14:textId="77777777" w:rsidR="00DB1AEE" w:rsidRPr="00DB1AEE" w:rsidRDefault="00DB1AEE" w:rsidP="00DB1AEE">
            <w:pPr>
              <w:widowControl w:val="0"/>
              <w:suppressAutoHyphens/>
              <w:autoSpaceDE w:val="0"/>
              <w:autoSpaceDN w:val="0"/>
              <w:jc w:val="left"/>
              <w:rPr>
                <w:bCs/>
                <w:iCs/>
                <w:sz w:val="18"/>
                <w:szCs w:val="18"/>
                <w:u w:val="single"/>
                <w:lang w:bidi="en-US"/>
              </w:rPr>
            </w:pPr>
          </w:p>
        </w:tc>
      </w:tr>
      <w:tr w:rsidR="00DB1AEE" w:rsidRPr="00DB1AEE" w14:paraId="41B1C21A" w14:textId="77777777" w:rsidTr="00FC1832">
        <w:trPr>
          <w:trHeight w:val="219"/>
        </w:trPr>
        <w:tc>
          <w:tcPr>
            <w:tcW w:w="550" w:type="pct"/>
            <w:tcBorders>
              <w:top w:val="single" w:sz="6" w:space="0" w:color="auto"/>
              <w:left w:val="single" w:sz="6" w:space="0" w:color="auto"/>
              <w:bottom w:val="single" w:sz="6" w:space="0" w:color="auto"/>
              <w:right w:val="single" w:sz="6" w:space="0" w:color="auto"/>
            </w:tcBorders>
            <w:hideMark/>
          </w:tcPr>
          <w:p w14:paraId="07986D5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5.28 </w:t>
            </w:r>
          </w:p>
        </w:tc>
        <w:tc>
          <w:tcPr>
            <w:tcW w:w="490" w:type="pct"/>
            <w:tcBorders>
              <w:top w:val="single" w:sz="6" w:space="0" w:color="auto"/>
              <w:left w:val="single" w:sz="6" w:space="0" w:color="auto"/>
              <w:bottom w:val="single" w:sz="6" w:space="0" w:color="auto"/>
              <w:right w:val="single" w:sz="6" w:space="0" w:color="auto"/>
            </w:tcBorders>
            <w:hideMark/>
          </w:tcPr>
          <w:p w14:paraId="7DA76AC2"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0.51 </w:t>
            </w:r>
          </w:p>
        </w:tc>
        <w:tc>
          <w:tcPr>
            <w:tcW w:w="320" w:type="pct"/>
            <w:tcBorders>
              <w:top w:val="single" w:sz="6" w:space="0" w:color="auto"/>
              <w:left w:val="single" w:sz="6" w:space="0" w:color="auto"/>
              <w:bottom w:val="single" w:sz="6" w:space="0" w:color="auto"/>
              <w:right w:val="single" w:sz="6" w:space="0" w:color="auto"/>
            </w:tcBorders>
            <w:hideMark/>
          </w:tcPr>
          <w:p w14:paraId="1AB7919C"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0.47 </w:t>
            </w:r>
          </w:p>
        </w:tc>
        <w:tc>
          <w:tcPr>
            <w:tcW w:w="191" w:type="pct"/>
            <w:tcBorders>
              <w:top w:val="single" w:sz="6" w:space="0" w:color="auto"/>
              <w:left w:val="single" w:sz="6" w:space="0" w:color="auto"/>
              <w:bottom w:val="single" w:sz="6" w:space="0" w:color="auto"/>
              <w:right w:val="single" w:sz="6" w:space="0" w:color="auto"/>
            </w:tcBorders>
            <w:hideMark/>
          </w:tcPr>
          <w:p w14:paraId="0F59CE57"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0.43 </w:t>
            </w:r>
          </w:p>
        </w:tc>
        <w:tc>
          <w:tcPr>
            <w:tcW w:w="191" w:type="pct"/>
            <w:tcBorders>
              <w:top w:val="single" w:sz="6" w:space="0" w:color="auto"/>
              <w:left w:val="single" w:sz="6" w:space="0" w:color="auto"/>
              <w:bottom w:val="single" w:sz="6" w:space="0" w:color="auto"/>
              <w:right w:val="single" w:sz="6" w:space="0" w:color="auto"/>
            </w:tcBorders>
            <w:hideMark/>
          </w:tcPr>
          <w:p w14:paraId="034D89B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0.40 </w:t>
            </w:r>
          </w:p>
        </w:tc>
        <w:tc>
          <w:tcPr>
            <w:tcW w:w="191" w:type="pct"/>
            <w:tcBorders>
              <w:top w:val="single" w:sz="6" w:space="0" w:color="auto"/>
              <w:left w:val="single" w:sz="6" w:space="0" w:color="auto"/>
              <w:bottom w:val="single" w:sz="6" w:space="0" w:color="auto"/>
              <w:right w:val="single" w:sz="6" w:space="0" w:color="auto"/>
            </w:tcBorders>
            <w:hideMark/>
          </w:tcPr>
          <w:p w14:paraId="50A90E77"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0.38 </w:t>
            </w:r>
          </w:p>
        </w:tc>
        <w:tc>
          <w:tcPr>
            <w:tcW w:w="191" w:type="pct"/>
            <w:tcBorders>
              <w:top w:val="single" w:sz="6" w:space="0" w:color="auto"/>
              <w:left w:val="single" w:sz="6" w:space="0" w:color="auto"/>
              <w:bottom w:val="single" w:sz="6" w:space="0" w:color="auto"/>
              <w:right w:val="single" w:sz="6" w:space="0" w:color="auto"/>
            </w:tcBorders>
            <w:hideMark/>
          </w:tcPr>
          <w:p w14:paraId="009CD509"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0.35 </w:t>
            </w:r>
          </w:p>
        </w:tc>
        <w:tc>
          <w:tcPr>
            <w:tcW w:w="191" w:type="pct"/>
            <w:tcBorders>
              <w:top w:val="single" w:sz="6" w:space="0" w:color="auto"/>
              <w:left w:val="single" w:sz="6" w:space="0" w:color="auto"/>
              <w:bottom w:val="single" w:sz="6" w:space="0" w:color="auto"/>
              <w:right w:val="single" w:sz="6" w:space="0" w:color="auto"/>
            </w:tcBorders>
            <w:hideMark/>
          </w:tcPr>
          <w:p w14:paraId="1BA570AC"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0.33 </w:t>
            </w:r>
          </w:p>
        </w:tc>
        <w:tc>
          <w:tcPr>
            <w:tcW w:w="191" w:type="pct"/>
            <w:tcBorders>
              <w:top w:val="single" w:sz="6" w:space="0" w:color="auto"/>
              <w:left w:val="single" w:sz="6" w:space="0" w:color="auto"/>
              <w:bottom w:val="single" w:sz="6" w:space="0" w:color="auto"/>
              <w:right w:val="single" w:sz="6" w:space="0" w:color="auto"/>
            </w:tcBorders>
            <w:hideMark/>
          </w:tcPr>
          <w:p w14:paraId="34E0250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0.31 </w:t>
            </w:r>
          </w:p>
        </w:tc>
        <w:tc>
          <w:tcPr>
            <w:tcW w:w="191" w:type="pct"/>
            <w:tcBorders>
              <w:top w:val="single" w:sz="6" w:space="0" w:color="auto"/>
              <w:left w:val="single" w:sz="6" w:space="0" w:color="auto"/>
              <w:bottom w:val="single" w:sz="6" w:space="0" w:color="auto"/>
              <w:right w:val="single" w:sz="6" w:space="0" w:color="auto"/>
            </w:tcBorders>
            <w:hideMark/>
          </w:tcPr>
          <w:p w14:paraId="15F8E81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0.30 </w:t>
            </w:r>
          </w:p>
        </w:tc>
        <w:tc>
          <w:tcPr>
            <w:tcW w:w="191" w:type="pct"/>
            <w:tcBorders>
              <w:top w:val="single" w:sz="6" w:space="0" w:color="auto"/>
              <w:left w:val="single" w:sz="6" w:space="0" w:color="auto"/>
              <w:bottom w:val="single" w:sz="6" w:space="0" w:color="auto"/>
              <w:right w:val="single" w:sz="6" w:space="0" w:color="auto"/>
            </w:tcBorders>
            <w:hideMark/>
          </w:tcPr>
          <w:p w14:paraId="08EC0C6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62A40E3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4AC31B4E"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39FB591A"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7A960525"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6850605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0.23 </w:t>
            </w:r>
          </w:p>
        </w:tc>
        <w:tc>
          <w:tcPr>
            <w:tcW w:w="191" w:type="pct"/>
            <w:tcBorders>
              <w:top w:val="single" w:sz="6" w:space="0" w:color="auto"/>
              <w:left w:val="single" w:sz="6" w:space="0" w:color="auto"/>
              <w:bottom w:val="single" w:sz="6" w:space="0" w:color="auto"/>
              <w:right w:val="single" w:sz="6" w:space="0" w:color="auto"/>
            </w:tcBorders>
            <w:hideMark/>
          </w:tcPr>
          <w:p w14:paraId="6E8BD14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0.22 </w:t>
            </w:r>
          </w:p>
        </w:tc>
        <w:tc>
          <w:tcPr>
            <w:tcW w:w="191" w:type="pct"/>
            <w:tcBorders>
              <w:top w:val="single" w:sz="6" w:space="0" w:color="auto"/>
              <w:left w:val="single" w:sz="6" w:space="0" w:color="auto"/>
              <w:bottom w:val="single" w:sz="6" w:space="0" w:color="auto"/>
              <w:right w:val="single" w:sz="6" w:space="0" w:color="auto"/>
            </w:tcBorders>
            <w:hideMark/>
          </w:tcPr>
          <w:p w14:paraId="04E86012"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0.18 </w:t>
            </w:r>
          </w:p>
        </w:tc>
        <w:tc>
          <w:tcPr>
            <w:tcW w:w="191" w:type="pct"/>
            <w:tcBorders>
              <w:top w:val="single" w:sz="6" w:space="0" w:color="auto"/>
              <w:left w:val="single" w:sz="6" w:space="0" w:color="auto"/>
              <w:bottom w:val="single" w:sz="6" w:space="0" w:color="auto"/>
              <w:right w:val="single" w:sz="6" w:space="0" w:color="auto"/>
            </w:tcBorders>
            <w:hideMark/>
          </w:tcPr>
          <w:p w14:paraId="61BA4CE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0.16 </w:t>
            </w:r>
          </w:p>
        </w:tc>
        <w:tc>
          <w:tcPr>
            <w:tcW w:w="191" w:type="pct"/>
            <w:tcBorders>
              <w:top w:val="single" w:sz="6" w:space="0" w:color="auto"/>
              <w:left w:val="single" w:sz="6" w:space="0" w:color="auto"/>
              <w:bottom w:val="single" w:sz="6" w:space="0" w:color="auto"/>
              <w:right w:val="single" w:sz="6" w:space="0" w:color="auto"/>
            </w:tcBorders>
            <w:hideMark/>
          </w:tcPr>
          <w:p w14:paraId="43254D3A"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0.14 </w:t>
            </w:r>
          </w:p>
        </w:tc>
        <w:tc>
          <w:tcPr>
            <w:tcW w:w="191" w:type="pct"/>
            <w:tcBorders>
              <w:top w:val="single" w:sz="6" w:space="0" w:color="auto"/>
              <w:left w:val="single" w:sz="6" w:space="0" w:color="auto"/>
              <w:bottom w:val="single" w:sz="6" w:space="0" w:color="auto"/>
              <w:right w:val="single" w:sz="6" w:space="0" w:color="auto"/>
            </w:tcBorders>
            <w:hideMark/>
          </w:tcPr>
          <w:p w14:paraId="091087F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0.12 </w:t>
            </w:r>
          </w:p>
        </w:tc>
        <w:tc>
          <w:tcPr>
            <w:tcW w:w="194" w:type="pct"/>
            <w:tcBorders>
              <w:top w:val="single" w:sz="6" w:space="0" w:color="auto"/>
              <w:left w:val="single" w:sz="6" w:space="0" w:color="auto"/>
              <w:bottom w:val="single" w:sz="6" w:space="0" w:color="auto"/>
              <w:right w:val="single" w:sz="6" w:space="0" w:color="auto"/>
            </w:tcBorders>
            <w:hideMark/>
          </w:tcPr>
          <w:p w14:paraId="5A3C8C55"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0.11 </w:t>
            </w:r>
          </w:p>
        </w:tc>
        <w:tc>
          <w:tcPr>
            <w:tcW w:w="8" w:type="pct"/>
            <w:vAlign w:val="center"/>
            <w:hideMark/>
          </w:tcPr>
          <w:p w14:paraId="5FE079E9" w14:textId="77777777" w:rsidR="00DB1AEE" w:rsidRPr="00DB1AEE" w:rsidRDefault="00DB1AEE" w:rsidP="00DB1AEE">
            <w:pPr>
              <w:widowControl w:val="0"/>
              <w:suppressAutoHyphens/>
              <w:autoSpaceDE w:val="0"/>
              <w:autoSpaceDN w:val="0"/>
              <w:jc w:val="left"/>
              <w:rPr>
                <w:bCs/>
                <w:iCs/>
                <w:sz w:val="18"/>
                <w:szCs w:val="18"/>
                <w:u w:val="single"/>
                <w:lang w:bidi="en-US"/>
              </w:rPr>
            </w:pPr>
          </w:p>
        </w:tc>
      </w:tr>
      <w:tr w:rsidR="00DB1AEE" w:rsidRPr="00DB1AEE" w14:paraId="79754CA8" w14:textId="77777777" w:rsidTr="00FC1832">
        <w:trPr>
          <w:trHeight w:val="270"/>
        </w:trPr>
        <w:tc>
          <w:tcPr>
            <w:tcW w:w="5000" w:type="pct"/>
            <w:gridSpan w:val="23"/>
            <w:tcBorders>
              <w:top w:val="single" w:sz="6" w:space="0" w:color="auto"/>
              <w:left w:val="single" w:sz="6" w:space="0" w:color="auto"/>
              <w:bottom w:val="single" w:sz="6" w:space="0" w:color="auto"/>
              <w:right w:val="single" w:sz="6" w:space="0" w:color="auto"/>
            </w:tcBorders>
            <w:hideMark/>
          </w:tcPr>
          <w:p w14:paraId="5B702CD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Steel Framing at 600 mm on Center (10% Framing Factor)—includes only studs at 600 mm on center and top and bottom tracks </w:t>
            </w:r>
          </w:p>
        </w:tc>
      </w:tr>
      <w:tr w:rsidR="00DB1AEE" w:rsidRPr="00DB1AEE" w14:paraId="4B123264" w14:textId="77777777" w:rsidTr="00FC1832">
        <w:trPr>
          <w:trHeight w:val="183"/>
        </w:trPr>
        <w:tc>
          <w:tcPr>
            <w:tcW w:w="550" w:type="pct"/>
            <w:tcBorders>
              <w:top w:val="single" w:sz="6" w:space="0" w:color="auto"/>
              <w:left w:val="single" w:sz="6" w:space="0" w:color="auto"/>
              <w:bottom w:val="single" w:sz="6" w:space="0" w:color="auto"/>
              <w:right w:val="single" w:sz="6" w:space="0" w:color="auto"/>
            </w:tcBorders>
            <w:hideMark/>
          </w:tcPr>
          <w:p w14:paraId="240AC25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0.16 </w:t>
            </w:r>
          </w:p>
        </w:tc>
        <w:tc>
          <w:tcPr>
            <w:tcW w:w="490" w:type="pct"/>
            <w:tcBorders>
              <w:top w:val="single" w:sz="6" w:space="0" w:color="auto"/>
              <w:left w:val="single" w:sz="6" w:space="0" w:color="auto"/>
              <w:bottom w:val="single" w:sz="6" w:space="0" w:color="auto"/>
              <w:right w:val="single" w:sz="6" w:space="0" w:color="auto"/>
            </w:tcBorders>
            <w:hideMark/>
          </w:tcPr>
          <w:p w14:paraId="4BCE6071"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1.95 </w:t>
            </w:r>
          </w:p>
        </w:tc>
        <w:tc>
          <w:tcPr>
            <w:tcW w:w="320" w:type="pct"/>
            <w:tcBorders>
              <w:top w:val="single" w:sz="6" w:space="0" w:color="auto"/>
              <w:left w:val="single" w:sz="6" w:space="0" w:color="auto"/>
              <w:bottom w:val="single" w:sz="6" w:space="0" w:color="auto"/>
              <w:right w:val="single" w:sz="6" w:space="0" w:color="auto"/>
            </w:tcBorders>
            <w:hideMark/>
          </w:tcPr>
          <w:p w14:paraId="4756AAEA"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1.45 </w:t>
            </w:r>
          </w:p>
        </w:tc>
        <w:tc>
          <w:tcPr>
            <w:tcW w:w="191" w:type="pct"/>
            <w:tcBorders>
              <w:top w:val="single" w:sz="6" w:space="0" w:color="auto"/>
              <w:left w:val="single" w:sz="6" w:space="0" w:color="auto"/>
              <w:bottom w:val="single" w:sz="6" w:space="0" w:color="auto"/>
              <w:right w:val="single" w:sz="6" w:space="0" w:color="auto"/>
            </w:tcBorders>
            <w:hideMark/>
          </w:tcPr>
          <w:p w14:paraId="62E7A102"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1.16 </w:t>
            </w:r>
          </w:p>
        </w:tc>
        <w:tc>
          <w:tcPr>
            <w:tcW w:w="191" w:type="pct"/>
            <w:tcBorders>
              <w:top w:val="single" w:sz="6" w:space="0" w:color="auto"/>
              <w:left w:val="single" w:sz="6" w:space="0" w:color="auto"/>
              <w:bottom w:val="single" w:sz="6" w:space="0" w:color="auto"/>
              <w:right w:val="single" w:sz="6" w:space="0" w:color="auto"/>
            </w:tcBorders>
            <w:hideMark/>
          </w:tcPr>
          <w:p w14:paraId="6B18A6E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0.96 </w:t>
            </w:r>
          </w:p>
        </w:tc>
        <w:tc>
          <w:tcPr>
            <w:tcW w:w="191" w:type="pct"/>
            <w:tcBorders>
              <w:top w:val="single" w:sz="6" w:space="0" w:color="auto"/>
              <w:left w:val="single" w:sz="6" w:space="0" w:color="auto"/>
              <w:bottom w:val="single" w:sz="6" w:space="0" w:color="auto"/>
              <w:right w:val="single" w:sz="6" w:space="0" w:color="auto"/>
            </w:tcBorders>
            <w:hideMark/>
          </w:tcPr>
          <w:p w14:paraId="2BC91D8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0.82 </w:t>
            </w:r>
          </w:p>
        </w:tc>
        <w:tc>
          <w:tcPr>
            <w:tcW w:w="191" w:type="pct"/>
            <w:tcBorders>
              <w:top w:val="single" w:sz="6" w:space="0" w:color="auto"/>
              <w:left w:val="single" w:sz="6" w:space="0" w:color="auto"/>
              <w:bottom w:val="single" w:sz="6" w:space="0" w:color="auto"/>
              <w:right w:val="single" w:sz="6" w:space="0" w:color="auto"/>
            </w:tcBorders>
            <w:hideMark/>
          </w:tcPr>
          <w:p w14:paraId="5D7EA3E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0.72 </w:t>
            </w:r>
          </w:p>
        </w:tc>
        <w:tc>
          <w:tcPr>
            <w:tcW w:w="191" w:type="pct"/>
            <w:tcBorders>
              <w:top w:val="single" w:sz="6" w:space="0" w:color="auto"/>
              <w:left w:val="single" w:sz="6" w:space="0" w:color="auto"/>
              <w:bottom w:val="single" w:sz="6" w:space="0" w:color="auto"/>
              <w:right w:val="single" w:sz="6" w:space="0" w:color="auto"/>
            </w:tcBorders>
            <w:hideMark/>
          </w:tcPr>
          <w:p w14:paraId="5E61AE6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0.64 </w:t>
            </w:r>
          </w:p>
        </w:tc>
        <w:tc>
          <w:tcPr>
            <w:tcW w:w="191" w:type="pct"/>
            <w:tcBorders>
              <w:top w:val="single" w:sz="6" w:space="0" w:color="auto"/>
              <w:left w:val="single" w:sz="6" w:space="0" w:color="auto"/>
              <w:bottom w:val="single" w:sz="6" w:space="0" w:color="auto"/>
              <w:right w:val="single" w:sz="6" w:space="0" w:color="auto"/>
            </w:tcBorders>
            <w:hideMark/>
          </w:tcPr>
          <w:p w14:paraId="646D7492"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0.57 </w:t>
            </w:r>
          </w:p>
        </w:tc>
        <w:tc>
          <w:tcPr>
            <w:tcW w:w="191" w:type="pct"/>
            <w:tcBorders>
              <w:top w:val="single" w:sz="6" w:space="0" w:color="auto"/>
              <w:left w:val="single" w:sz="6" w:space="0" w:color="auto"/>
              <w:bottom w:val="single" w:sz="6" w:space="0" w:color="auto"/>
              <w:right w:val="single" w:sz="6" w:space="0" w:color="auto"/>
            </w:tcBorders>
            <w:hideMark/>
          </w:tcPr>
          <w:p w14:paraId="561DF13C"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0.52 </w:t>
            </w:r>
          </w:p>
        </w:tc>
        <w:tc>
          <w:tcPr>
            <w:tcW w:w="191" w:type="pct"/>
            <w:tcBorders>
              <w:top w:val="single" w:sz="6" w:space="0" w:color="auto"/>
              <w:left w:val="single" w:sz="6" w:space="0" w:color="auto"/>
              <w:bottom w:val="single" w:sz="6" w:space="0" w:color="auto"/>
              <w:right w:val="single" w:sz="6" w:space="0" w:color="auto"/>
            </w:tcBorders>
            <w:hideMark/>
          </w:tcPr>
          <w:p w14:paraId="55BC6FB9"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0.48 </w:t>
            </w:r>
          </w:p>
        </w:tc>
        <w:tc>
          <w:tcPr>
            <w:tcW w:w="191" w:type="pct"/>
            <w:tcBorders>
              <w:top w:val="single" w:sz="6" w:space="0" w:color="auto"/>
              <w:left w:val="single" w:sz="6" w:space="0" w:color="auto"/>
              <w:bottom w:val="single" w:sz="6" w:space="0" w:color="auto"/>
              <w:right w:val="single" w:sz="6" w:space="0" w:color="auto"/>
            </w:tcBorders>
            <w:hideMark/>
          </w:tcPr>
          <w:p w14:paraId="3916FFB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0.44 </w:t>
            </w:r>
          </w:p>
        </w:tc>
        <w:tc>
          <w:tcPr>
            <w:tcW w:w="191" w:type="pct"/>
            <w:tcBorders>
              <w:top w:val="single" w:sz="6" w:space="0" w:color="auto"/>
              <w:left w:val="single" w:sz="6" w:space="0" w:color="auto"/>
              <w:bottom w:val="single" w:sz="6" w:space="0" w:color="auto"/>
              <w:right w:val="single" w:sz="6" w:space="0" w:color="auto"/>
            </w:tcBorders>
            <w:hideMark/>
          </w:tcPr>
          <w:p w14:paraId="425E1FAC"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0.41 </w:t>
            </w:r>
          </w:p>
        </w:tc>
        <w:tc>
          <w:tcPr>
            <w:tcW w:w="191" w:type="pct"/>
            <w:tcBorders>
              <w:top w:val="single" w:sz="6" w:space="0" w:color="auto"/>
              <w:left w:val="single" w:sz="6" w:space="0" w:color="auto"/>
              <w:bottom w:val="single" w:sz="6" w:space="0" w:color="auto"/>
              <w:right w:val="single" w:sz="6" w:space="0" w:color="auto"/>
            </w:tcBorders>
            <w:hideMark/>
          </w:tcPr>
          <w:p w14:paraId="2FF1E8C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0.38 </w:t>
            </w:r>
          </w:p>
        </w:tc>
        <w:tc>
          <w:tcPr>
            <w:tcW w:w="191" w:type="pct"/>
            <w:tcBorders>
              <w:top w:val="single" w:sz="6" w:space="0" w:color="auto"/>
              <w:left w:val="single" w:sz="6" w:space="0" w:color="auto"/>
              <w:bottom w:val="single" w:sz="6" w:space="0" w:color="auto"/>
              <w:right w:val="single" w:sz="6" w:space="0" w:color="auto"/>
            </w:tcBorders>
            <w:hideMark/>
          </w:tcPr>
          <w:p w14:paraId="6E7C8F62"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0.36 </w:t>
            </w:r>
          </w:p>
        </w:tc>
        <w:tc>
          <w:tcPr>
            <w:tcW w:w="191" w:type="pct"/>
            <w:tcBorders>
              <w:top w:val="single" w:sz="6" w:space="0" w:color="auto"/>
              <w:left w:val="single" w:sz="6" w:space="0" w:color="auto"/>
              <w:bottom w:val="single" w:sz="6" w:space="0" w:color="auto"/>
              <w:right w:val="single" w:sz="6" w:space="0" w:color="auto"/>
            </w:tcBorders>
            <w:hideMark/>
          </w:tcPr>
          <w:p w14:paraId="3B95821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0.34 </w:t>
            </w:r>
          </w:p>
        </w:tc>
        <w:tc>
          <w:tcPr>
            <w:tcW w:w="191" w:type="pct"/>
            <w:tcBorders>
              <w:top w:val="single" w:sz="6" w:space="0" w:color="auto"/>
              <w:left w:val="single" w:sz="6" w:space="0" w:color="auto"/>
              <w:bottom w:val="single" w:sz="6" w:space="0" w:color="auto"/>
              <w:right w:val="single" w:sz="6" w:space="0" w:color="auto"/>
            </w:tcBorders>
            <w:hideMark/>
          </w:tcPr>
          <w:p w14:paraId="71AB632C"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57087423"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7A5C44F1"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0.20 </w:t>
            </w:r>
          </w:p>
        </w:tc>
        <w:tc>
          <w:tcPr>
            <w:tcW w:w="191" w:type="pct"/>
            <w:tcBorders>
              <w:top w:val="single" w:sz="6" w:space="0" w:color="auto"/>
              <w:left w:val="single" w:sz="6" w:space="0" w:color="auto"/>
              <w:bottom w:val="single" w:sz="6" w:space="0" w:color="auto"/>
              <w:right w:val="single" w:sz="6" w:space="0" w:color="auto"/>
            </w:tcBorders>
            <w:hideMark/>
          </w:tcPr>
          <w:p w14:paraId="40CDD6C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0.17 </w:t>
            </w:r>
          </w:p>
        </w:tc>
        <w:tc>
          <w:tcPr>
            <w:tcW w:w="191" w:type="pct"/>
            <w:tcBorders>
              <w:top w:val="single" w:sz="6" w:space="0" w:color="auto"/>
              <w:left w:val="single" w:sz="6" w:space="0" w:color="auto"/>
              <w:bottom w:val="single" w:sz="6" w:space="0" w:color="auto"/>
              <w:right w:val="single" w:sz="6" w:space="0" w:color="auto"/>
            </w:tcBorders>
            <w:hideMark/>
          </w:tcPr>
          <w:p w14:paraId="33B54245"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0.15 </w:t>
            </w:r>
          </w:p>
        </w:tc>
        <w:tc>
          <w:tcPr>
            <w:tcW w:w="194" w:type="pct"/>
            <w:tcBorders>
              <w:top w:val="single" w:sz="6" w:space="0" w:color="auto"/>
              <w:left w:val="single" w:sz="6" w:space="0" w:color="auto"/>
              <w:bottom w:val="single" w:sz="6" w:space="0" w:color="auto"/>
              <w:right w:val="single" w:sz="6" w:space="0" w:color="auto"/>
            </w:tcBorders>
            <w:hideMark/>
          </w:tcPr>
          <w:p w14:paraId="4BBC30D3"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0.13 </w:t>
            </w:r>
          </w:p>
        </w:tc>
        <w:tc>
          <w:tcPr>
            <w:tcW w:w="8" w:type="pct"/>
            <w:vAlign w:val="center"/>
            <w:hideMark/>
          </w:tcPr>
          <w:p w14:paraId="0DA9EDBD" w14:textId="77777777" w:rsidR="00DB1AEE" w:rsidRPr="00DB1AEE" w:rsidRDefault="00DB1AEE" w:rsidP="00DB1AEE">
            <w:pPr>
              <w:widowControl w:val="0"/>
              <w:suppressAutoHyphens/>
              <w:autoSpaceDE w:val="0"/>
              <w:autoSpaceDN w:val="0"/>
              <w:jc w:val="left"/>
              <w:rPr>
                <w:bCs/>
                <w:iCs/>
                <w:sz w:val="18"/>
                <w:szCs w:val="18"/>
                <w:u w:val="single"/>
                <w:lang w:bidi="en-US"/>
              </w:rPr>
            </w:pPr>
          </w:p>
        </w:tc>
      </w:tr>
      <w:tr w:rsidR="00DB1AEE" w:rsidRPr="00DB1AEE" w14:paraId="0CA0751D" w14:textId="77777777" w:rsidTr="00FC1832">
        <w:trPr>
          <w:trHeight w:val="228"/>
        </w:trPr>
        <w:tc>
          <w:tcPr>
            <w:tcW w:w="550" w:type="pct"/>
            <w:tcBorders>
              <w:top w:val="single" w:sz="6" w:space="0" w:color="auto"/>
              <w:left w:val="single" w:sz="6" w:space="0" w:color="auto"/>
              <w:bottom w:val="single" w:sz="6" w:space="0" w:color="auto"/>
              <w:right w:val="single" w:sz="6" w:space="0" w:color="auto"/>
            </w:tcBorders>
            <w:hideMark/>
          </w:tcPr>
          <w:p w14:paraId="14241227"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1.94 </w:t>
            </w:r>
          </w:p>
        </w:tc>
        <w:tc>
          <w:tcPr>
            <w:tcW w:w="490" w:type="pct"/>
            <w:tcBorders>
              <w:top w:val="single" w:sz="6" w:space="0" w:color="auto"/>
              <w:left w:val="single" w:sz="6" w:space="0" w:color="auto"/>
              <w:bottom w:val="single" w:sz="6" w:space="0" w:color="auto"/>
              <w:right w:val="single" w:sz="6" w:space="0" w:color="auto"/>
            </w:tcBorders>
            <w:hideMark/>
          </w:tcPr>
          <w:p w14:paraId="46D92441"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0.64 </w:t>
            </w:r>
          </w:p>
        </w:tc>
        <w:tc>
          <w:tcPr>
            <w:tcW w:w="320" w:type="pct"/>
            <w:tcBorders>
              <w:top w:val="single" w:sz="6" w:space="0" w:color="auto"/>
              <w:left w:val="single" w:sz="6" w:space="0" w:color="auto"/>
              <w:bottom w:val="single" w:sz="6" w:space="0" w:color="auto"/>
              <w:right w:val="single" w:sz="6" w:space="0" w:color="auto"/>
            </w:tcBorders>
            <w:hideMark/>
          </w:tcPr>
          <w:p w14:paraId="1350B36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0.57 </w:t>
            </w:r>
          </w:p>
        </w:tc>
        <w:tc>
          <w:tcPr>
            <w:tcW w:w="191" w:type="pct"/>
            <w:tcBorders>
              <w:top w:val="single" w:sz="6" w:space="0" w:color="auto"/>
              <w:left w:val="single" w:sz="6" w:space="0" w:color="auto"/>
              <w:bottom w:val="single" w:sz="6" w:space="0" w:color="auto"/>
              <w:right w:val="single" w:sz="6" w:space="0" w:color="auto"/>
            </w:tcBorders>
            <w:hideMark/>
          </w:tcPr>
          <w:p w14:paraId="19FF051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0.52 </w:t>
            </w:r>
          </w:p>
        </w:tc>
        <w:tc>
          <w:tcPr>
            <w:tcW w:w="191" w:type="pct"/>
            <w:tcBorders>
              <w:top w:val="single" w:sz="6" w:space="0" w:color="auto"/>
              <w:left w:val="single" w:sz="6" w:space="0" w:color="auto"/>
              <w:bottom w:val="single" w:sz="6" w:space="0" w:color="auto"/>
              <w:right w:val="single" w:sz="6" w:space="0" w:color="auto"/>
            </w:tcBorders>
            <w:hideMark/>
          </w:tcPr>
          <w:p w14:paraId="6773A75C"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0.48 </w:t>
            </w:r>
          </w:p>
        </w:tc>
        <w:tc>
          <w:tcPr>
            <w:tcW w:w="191" w:type="pct"/>
            <w:tcBorders>
              <w:top w:val="single" w:sz="6" w:space="0" w:color="auto"/>
              <w:left w:val="single" w:sz="6" w:space="0" w:color="auto"/>
              <w:bottom w:val="single" w:sz="6" w:space="0" w:color="auto"/>
              <w:right w:val="single" w:sz="6" w:space="0" w:color="auto"/>
            </w:tcBorders>
            <w:hideMark/>
          </w:tcPr>
          <w:p w14:paraId="5AE86A5C"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0.44 </w:t>
            </w:r>
          </w:p>
        </w:tc>
        <w:tc>
          <w:tcPr>
            <w:tcW w:w="191" w:type="pct"/>
            <w:tcBorders>
              <w:top w:val="single" w:sz="6" w:space="0" w:color="auto"/>
              <w:left w:val="single" w:sz="6" w:space="0" w:color="auto"/>
              <w:bottom w:val="single" w:sz="6" w:space="0" w:color="auto"/>
              <w:right w:val="single" w:sz="6" w:space="0" w:color="auto"/>
            </w:tcBorders>
            <w:hideMark/>
          </w:tcPr>
          <w:p w14:paraId="2145218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0.41 </w:t>
            </w:r>
          </w:p>
        </w:tc>
        <w:tc>
          <w:tcPr>
            <w:tcW w:w="191" w:type="pct"/>
            <w:tcBorders>
              <w:top w:val="single" w:sz="6" w:space="0" w:color="auto"/>
              <w:left w:val="single" w:sz="6" w:space="0" w:color="auto"/>
              <w:bottom w:val="single" w:sz="6" w:space="0" w:color="auto"/>
              <w:right w:val="single" w:sz="6" w:space="0" w:color="auto"/>
            </w:tcBorders>
            <w:hideMark/>
          </w:tcPr>
          <w:p w14:paraId="7423937A"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0.38 </w:t>
            </w:r>
          </w:p>
        </w:tc>
        <w:tc>
          <w:tcPr>
            <w:tcW w:w="191" w:type="pct"/>
            <w:tcBorders>
              <w:top w:val="single" w:sz="6" w:space="0" w:color="auto"/>
              <w:left w:val="single" w:sz="6" w:space="0" w:color="auto"/>
              <w:bottom w:val="single" w:sz="6" w:space="0" w:color="auto"/>
              <w:right w:val="single" w:sz="6" w:space="0" w:color="auto"/>
            </w:tcBorders>
            <w:hideMark/>
          </w:tcPr>
          <w:p w14:paraId="13DD96F3"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0.36 </w:t>
            </w:r>
          </w:p>
        </w:tc>
        <w:tc>
          <w:tcPr>
            <w:tcW w:w="191" w:type="pct"/>
            <w:tcBorders>
              <w:top w:val="single" w:sz="6" w:space="0" w:color="auto"/>
              <w:left w:val="single" w:sz="6" w:space="0" w:color="auto"/>
              <w:bottom w:val="single" w:sz="6" w:space="0" w:color="auto"/>
              <w:right w:val="single" w:sz="6" w:space="0" w:color="auto"/>
            </w:tcBorders>
            <w:hideMark/>
          </w:tcPr>
          <w:p w14:paraId="36F4A3D9"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0.34 </w:t>
            </w:r>
          </w:p>
        </w:tc>
        <w:tc>
          <w:tcPr>
            <w:tcW w:w="191" w:type="pct"/>
            <w:tcBorders>
              <w:top w:val="single" w:sz="6" w:space="0" w:color="auto"/>
              <w:left w:val="single" w:sz="6" w:space="0" w:color="auto"/>
              <w:bottom w:val="single" w:sz="6" w:space="0" w:color="auto"/>
              <w:right w:val="single" w:sz="6" w:space="0" w:color="auto"/>
            </w:tcBorders>
            <w:hideMark/>
          </w:tcPr>
          <w:p w14:paraId="623E7ED1"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1294009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0.30 </w:t>
            </w:r>
          </w:p>
        </w:tc>
        <w:tc>
          <w:tcPr>
            <w:tcW w:w="191" w:type="pct"/>
            <w:tcBorders>
              <w:top w:val="single" w:sz="6" w:space="0" w:color="auto"/>
              <w:left w:val="single" w:sz="6" w:space="0" w:color="auto"/>
              <w:bottom w:val="single" w:sz="6" w:space="0" w:color="auto"/>
              <w:right w:val="single" w:sz="6" w:space="0" w:color="auto"/>
            </w:tcBorders>
            <w:hideMark/>
          </w:tcPr>
          <w:p w14:paraId="52E7E445"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0.29 </w:t>
            </w:r>
          </w:p>
        </w:tc>
        <w:tc>
          <w:tcPr>
            <w:tcW w:w="191" w:type="pct"/>
            <w:tcBorders>
              <w:top w:val="single" w:sz="6" w:space="0" w:color="auto"/>
              <w:left w:val="single" w:sz="6" w:space="0" w:color="auto"/>
              <w:bottom w:val="single" w:sz="6" w:space="0" w:color="auto"/>
              <w:right w:val="single" w:sz="6" w:space="0" w:color="auto"/>
            </w:tcBorders>
            <w:hideMark/>
          </w:tcPr>
          <w:p w14:paraId="252CFA1E"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49841C93"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6C491EC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4C2E76E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2D9582F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0.20 </w:t>
            </w:r>
          </w:p>
        </w:tc>
        <w:tc>
          <w:tcPr>
            <w:tcW w:w="191" w:type="pct"/>
            <w:tcBorders>
              <w:top w:val="single" w:sz="6" w:space="0" w:color="auto"/>
              <w:left w:val="single" w:sz="6" w:space="0" w:color="auto"/>
              <w:bottom w:val="single" w:sz="6" w:space="0" w:color="auto"/>
              <w:right w:val="single" w:sz="6" w:space="0" w:color="auto"/>
            </w:tcBorders>
            <w:hideMark/>
          </w:tcPr>
          <w:p w14:paraId="5BCE3D42"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0.17 </w:t>
            </w:r>
          </w:p>
        </w:tc>
        <w:tc>
          <w:tcPr>
            <w:tcW w:w="191" w:type="pct"/>
            <w:tcBorders>
              <w:top w:val="single" w:sz="6" w:space="0" w:color="auto"/>
              <w:left w:val="single" w:sz="6" w:space="0" w:color="auto"/>
              <w:bottom w:val="single" w:sz="6" w:space="0" w:color="auto"/>
              <w:right w:val="single" w:sz="6" w:space="0" w:color="auto"/>
            </w:tcBorders>
            <w:hideMark/>
          </w:tcPr>
          <w:p w14:paraId="1210ECAA"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0.15 </w:t>
            </w:r>
          </w:p>
        </w:tc>
        <w:tc>
          <w:tcPr>
            <w:tcW w:w="191" w:type="pct"/>
            <w:tcBorders>
              <w:top w:val="single" w:sz="6" w:space="0" w:color="auto"/>
              <w:left w:val="single" w:sz="6" w:space="0" w:color="auto"/>
              <w:bottom w:val="single" w:sz="6" w:space="0" w:color="auto"/>
              <w:right w:val="single" w:sz="6" w:space="0" w:color="auto"/>
            </w:tcBorders>
            <w:hideMark/>
          </w:tcPr>
          <w:p w14:paraId="2E53E783"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63E55771"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0.12 </w:t>
            </w:r>
          </w:p>
        </w:tc>
        <w:tc>
          <w:tcPr>
            <w:tcW w:w="8" w:type="pct"/>
            <w:vAlign w:val="center"/>
            <w:hideMark/>
          </w:tcPr>
          <w:p w14:paraId="7058757F" w14:textId="77777777" w:rsidR="00DB1AEE" w:rsidRPr="00DB1AEE" w:rsidRDefault="00DB1AEE" w:rsidP="00DB1AEE">
            <w:pPr>
              <w:widowControl w:val="0"/>
              <w:suppressAutoHyphens/>
              <w:autoSpaceDE w:val="0"/>
              <w:autoSpaceDN w:val="0"/>
              <w:jc w:val="left"/>
              <w:rPr>
                <w:bCs/>
                <w:iCs/>
                <w:sz w:val="18"/>
                <w:szCs w:val="18"/>
                <w:u w:val="single"/>
                <w:lang w:bidi="en-US"/>
              </w:rPr>
            </w:pPr>
          </w:p>
        </w:tc>
      </w:tr>
      <w:tr w:rsidR="00DB1AEE" w:rsidRPr="00DB1AEE" w14:paraId="0DE2E83B" w14:textId="77777777" w:rsidTr="00FC1832">
        <w:trPr>
          <w:trHeight w:val="264"/>
        </w:trPr>
        <w:tc>
          <w:tcPr>
            <w:tcW w:w="550" w:type="pct"/>
            <w:tcBorders>
              <w:top w:val="single" w:sz="6" w:space="0" w:color="auto"/>
              <w:left w:val="single" w:sz="6" w:space="0" w:color="auto"/>
              <w:bottom w:val="single" w:sz="6" w:space="0" w:color="auto"/>
              <w:right w:val="single" w:sz="6" w:space="0" w:color="auto"/>
            </w:tcBorders>
            <w:hideMark/>
          </w:tcPr>
          <w:p w14:paraId="02B9834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2.29 </w:t>
            </w:r>
          </w:p>
        </w:tc>
        <w:tc>
          <w:tcPr>
            <w:tcW w:w="490" w:type="pct"/>
            <w:tcBorders>
              <w:top w:val="single" w:sz="6" w:space="0" w:color="auto"/>
              <w:left w:val="single" w:sz="6" w:space="0" w:color="auto"/>
              <w:bottom w:val="single" w:sz="6" w:space="0" w:color="auto"/>
              <w:right w:val="single" w:sz="6" w:space="0" w:color="auto"/>
            </w:tcBorders>
            <w:hideMark/>
          </w:tcPr>
          <w:p w14:paraId="21EDCE9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0.59 </w:t>
            </w:r>
          </w:p>
        </w:tc>
        <w:tc>
          <w:tcPr>
            <w:tcW w:w="320" w:type="pct"/>
            <w:tcBorders>
              <w:top w:val="single" w:sz="6" w:space="0" w:color="auto"/>
              <w:left w:val="single" w:sz="6" w:space="0" w:color="auto"/>
              <w:bottom w:val="single" w:sz="6" w:space="0" w:color="auto"/>
              <w:right w:val="single" w:sz="6" w:space="0" w:color="auto"/>
            </w:tcBorders>
            <w:hideMark/>
          </w:tcPr>
          <w:p w14:paraId="3B1AB572"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0.54 </w:t>
            </w:r>
          </w:p>
        </w:tc>
        <w:tc>
          <w:tcPr>
            <w:tcW w:w="191" w:type="pct"/>
            <w:tcBorders>
              <w:top w:val="single" w:sz="6" w:space="0" w:color="auto"/>
              <w:left w:val="single" w:sz="6" w:space="0" w:color="auto"/>
              <w:bottom w:val="single" w:sz="6" w:space="0" w:color="auto"/>
              <w:right w:val="single" w:sz="6" w:space="0" w:color="auto"/>
            </w:tcBorders>
            <w:hideMark/>
          </w:tcPr>
          <w:p w14:paraId="0AAFB14E"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0.49 </w:t>
            </w:r>
          </w:p>
        </w:tc>
        <w:tc>
          <w:tcPr>
            <w:tcW w:w="191" w:type="pct"/>
            <w:tcBorders>
              <w:top w:val="single" w:sz="6" w:space="0" w:color="auto"/>
              <w:left w:val="single" w:sz="6" w:space="0" w:color="auto"/>
              <w:bottom w:val="single" w:sz="6" w:space="0" w:color="auto"/>
              <w:right w:val="single" w:sz="6" w:space="0" w:color="auto"/>
            </w:tcBorders>
            <w:hideMark/>
          </w:tcPr>
          <w:p w14:paraId="1131BD7A"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0.45 </w:t>
            </w:r>
          </w:p>
        </w:tc>
        <w:tc>
          <w:tcPr>
            <w:tcW w:w="191" w:type="pct"/>
            <w:tcBorders>
              <w:top w:val="single" w:sz="6" w:space="0" w:color="auto"/>
              <w:left w:val="single" w:sz="6" w:space="0" w:color="auto"/>
              <w:bottom w:val="single" w:sz="6" w:space="0" w:color="auto"/>
              <w:right w:val="single" w:sz="6" w:space="0" w:color="auto"/>
            </w:tcBorders>
            <w:hideMark/>
          </w:tcPr>
          <w:p w14:paraId="3C3EB761"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0.42 </w:t>
            </w:r>
          </w:p>
        </w:tc>
        <w:tc>
          <w:tcPr>
            <w:tcW w:w="191" w:type="pct"/>
            <w:tcBorders>
              <w:top w:val="single" w:sz="6" w:space="0" w:color="auto"/>
              <w:left w:val="single" w:sz="6" w:space="0" w:color="auto"/>
              <w:bottom w:val="single" w:sz="6" w:space="0" w:color="auto"/>
              <w:right w:val="single" w:sz="6" w:space="0" w:color="auto"/>
            </w:tcBorders>
            <w:hideMark/>
          </w:tcPr>
          <w:p w14:paraId="4D0DD7B5"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0.39 </w:t>
            </w:r>
          </w:p>
        </w:tc>
        <w:tc>
          <w:tcPr>
            <w:tcW w:w="191" w:type="pct"/>
            <w:tcBorders>
              <w:top w:val="single" w:sz="6" w:space="0" w:color="auto"/>
              <w:left w:val="single" w:sz="6" w:space="0" w:color="auto"/>
              <w:bottom w:val="single" w:sz="6" w:space="0" w:color="auto"/>
              <w:right w:val="single" w:sz="6" w:space="0" w:color="auto"/>
            </w:tcBorders>
            <w:hideMark/>
          </w:tcPr>
          <w:p w14:paraId="271921E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0.36 </w:t>
            </w:r>
          </w:p>
        </w:tc>
        <w:tc>
          <w:tcPr>
            <w:tcW w:w="191" w:type="pct"/>
            <w:tcBorders>
              <w:top w:val="single" w:sz="6" w:space="0" w:color="auto"/>
              <w:left w:val="single" w:sz="6" w:space="0" w:color="auto"/>
              <w:bottom w:val="single" w:sz="6" w:space="0" w:color="auto"/>
              <w:right w:val="single" w:sz="6" w:space="0" w:color="auto"/>
            </w:tcBorders>
            <w:hideMark/>
          </w:tcPr>
          <w:p w14:paraId="0A3785E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0.34 </w:t>
            </w:r>
          </w:p>
        </w:tc>
        <w:tc>
          <w:tcPr>
            <w:tcW w:w="191" w:type="pct"/>
            <w:tcBorders>
              <w:top w:val="single" w:sz="6" w:space="0" w:color="auto"/>
              <w:left w:val="single" w:sz="6" w:space="0" w:color="auto"/>
              <w:bottom w:val="single" w:sz="6" w:space="0" w:color="auto"/>
              <w:right w:val="single" w:sz="6" w:space="0" w:color="auto"/>
            </w:tcBorders>
            <w:hideMark/>
          </w:tcPr>
          <w:p w14:paraId="0F1790C2"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161926AA"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0.31 </w:t>
            </w:r>
          </w:p>
        </w:tc>
        <w:tc>
          <w:tcPr>
            <w:tcW w:w="191" w:type="pct"/>
            <w:tcBorders>
              <w:top w:val="single" w:sz="6" w:space="0" w:color="auto"/>
              <w:left w:val="single" w:sz="6" w:space="0" w:color="auto"/>
              <w:bottom w:val="single" w:sz="6" w:space="0" w:color="auto"/>
              <w:right w:val="single" w:sz="6" w:space="0" w:color="auto"/>
            </w:tcBorders>
            <w:hideMark/>
          </w:tcPr>
          <w:p w14:paraId="5DED0679"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0.29 </w:t>
            </w:r>
          </w:p>
        </w:tc>
        <w:tc>
          <w:tcPr>
            <w:tcW w:w="191" w:type="pct"/>
            <w:tcBorders>
              <w:top w:val="single" w:sz="6" w:space="0" w:color="auto"/>
              <w:left w:val="single" w:sz="6" w:space="0" w:color="auto"/>
              <w:bottom w:val="single" w:sz="6" w:space="0" w:color="auto"/>
              <w:right w:val="single" w:sz="6" w:space="0" w:color="auto"/>
            </w:tcBorders>
            <w:hideMark/>
          </w:tcPr>
          <w:p w14:paraId="691E2B11"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45672695"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2140023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2FA0C00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44F3CF85"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0.23 </w:t>
            </w:r>
          </w:p>
        </w:tc>
        <w:tc>
          <w:tcPr>
            <w:tcW w:w="191" w:type="pct"/>
            <w:tcBorders>
              <w:top w:val="single" w:sz="6" w:space="0" w:color="auto"/>
              <w:left w:val="single" w:sz="6" w:space="0" w:color="auto"/>
              <w:bottom w:val="single" w:sz="6" w:space="0" w:color="auto"/>
              <w:right w:val="single" w:sz="6" w:space="0" w:color="auto"/>
            </w:tcBorders>
            <w:hideMark/>
          </w:tcPr>
          <w:p w14:paraId="586CE84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0.19 </w:t>
            </w:r>
          </w:p>
        </w:tc>
        <w:tc>
          <w:tcPr>
            <w:tcW w:w="191" w:type="pct"/>
            <w:tcBorders>
              <w:top w:val="single" w:sz="6" w:space="0" w:color="auto"/>
              <w:left w:val="single" w:sz="6" w:space="0" w:color="auto"/>
              <w:bottom w:val="single" w:sz="6" w:space="0" w:color="auto"/>
              <w:right w:val="single" w:sz="6" w:space="0" w:color="auto"/>
            </w:tcBorders>
            <w:hideMark/>
          </w:tcPr>
          <w:p w14:paraId="65179FC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0.16 </w:t>
            </w:r>
          </w:p>
        </w:tc>
        <w:tc>
          <w:tcPr>
            <w:tcW w:w="191" w:type="pct"/>
            <w:tcBorders>
              <w:top w:val="single" w:sz="6" w:space="0" w:color="auto"/>
              <w:left w:val="single" w:sz="6" w:space="0" w:color="auto"/>
              <w:bottom w:val="single" w:sz="6" w:space="0" w:color="auto"/>
              <w:right w:val="single" w:sz="6" w:space="0" w:color="auto"/>
            </w:tcBorders>
            <w:hideMark/>
          </w:tcPr>
          <w:p w14:paraId="565A0AD5"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0.14 </w:t>
            </w:r>
          </w:p>
        </w:tc>
        <w:tc>
          <w:tcPr>
            <w:tcW w:w="191" w:type="pct"/>
            <w:tcBorders>
              <w:top w:val="single" w:sz="6" w:space="0" w:color="auto"/>
              <w:left w:val="single" w:sz="6" w:space="0" w:color="auto"/>
              <w:bottom w:val="single" w:sz="6" w:space="0" w:color="auto"/>
              <w:right w:val="single" w:sz="6" w:space="0" w:color="auto"/>
            </w:tcBorders>
            <w:hideMark/>
          </w:tcPr>
          <w:p w14:paraId="575E704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5D06715E"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0.11 </w:t>
            </w:r>
          </w:p>
        </w:tc>
        <w:tc>
          <w:tcPr>
            <w:tcW w:w="8" w:type="pct"/>
            <w:vAlign w:val="center"/>
            <w:hideMark/>
          </w:tcPr>
          <w:p w14:paraId="5B37FC9D" w14:textId="77777777" w:rsidR="00DB1AEE" w:rsidRPr="00DB1AEE" w:rsidRDefault="00DB1AEE" w:rsidP="00DB1AEE">
            <w:pPr>
              <w:widowControl w:val="0"/>
              <w:suppressAutoHyphens/>
              <w:autoSpaceDE w:val="0"/>
              <w:autoSpaceDN w:val="0"/>
              <w:jc w:val="left"/>
              <w:rPr>
                <w:bCs/>
                <w:iCs/>
                <w:sz w:val="18"/>
                <w:szCs w:val="18"/>
                <w:u w:val="single"/>
                <w:lang w:bidi="en-US"/>
              </w:rPr>
            </w:pPr>
          </w:p>
        </w:tc>
      </w:tr>
      <w:tr w:rsidR="00DB1AEE" w:rsidRPr="00DB1AEE" w14:paraId="61DFCB6C" w14:textId="77777777" w:rsidTr="00FC1832">
        <w:trPr>
          <w:trHeight w:val="300"/>
        </w:trPr>
        <w:tc>
          <w:tcPr>
            <w:tcW w:w="550" w:type="pct"/>
            <w:tcBorders>
              <w:top w:val="single" w:sz="6" w:space="0" w:color="auto"/>
              <w:left w:val="single" w:sz="6" w:space="0" w:color="auto"/>
              <w:bottom w:val="single" w:sz="6" w:space="0" w:color="auto"/>
              <w:right w:val="single" w:sz="6" w:space="0" w:color="auto"/>
            </w:tcBorders>
            <w:hideMark/>
          </w:tcPr>
          <w:p w14:paraId="54F3E71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2.64 </w:t>
            </w:r>
          </w:p>
        </w:tc>
        <w:tc>
          <w:tcPr>
            <w:tcW w:w="490" w:type="pct"/>
            <w:tcBorders>
              <w:top w:val="single" w:sz="6" w:space="0" w:color="auto"/>
              <w:left w:val="single" w:sz="6" w:space="0" w:color="auto"/>
              <w:bottom w:val="single" w:sz="6" w:space="0" w:color="auto"/>
              <w:right w:val="single" w:sz="6" w:space="0" w:color="auto"/>
            </w:tcBorders>
            <w:hideMark/>
          </w:tcPr>
          <w:p w14:paraId="2BF44387"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0.55 </w:t>
            </w:r>
          </w:p>
        </w:tc>
        <w:tc>
          <w:tcPr>
            <w:tcW w:w="320" w:type="pct"/>
            <w:tcBorders>
              <w:top w:val="single" w:sz="6" w:space="0" w:color="auto"/>
              <w:left w:val="single" w:sz="6" w:space="0" w:color="auto"/>
              <w:bottom w:val="single" w:sz="6" w:space="0" w:color="auto"/>
              <w:right w:val="single" w:sz="6" w:space="0" w:color="auto"/>
            </w:tcBorders>
            <w:hideMark/>
          </w:tcPr>
          <w:p w14:paraId="54CF6F67"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0.51 </w:t>
            </w:r>
          </w:p>
        </w:tc>
        <w:tc>
          <w:tcPr>
            <w:tcW w:w="191" w:type="pct"/>
            <w:tcBorders>
              <w:top w:val="single" w:sz="6" w:space="0" w:color="auto"/>
              <w:left w:val="single" w:sz="6" w:space="0" w:color="auto"/>
              <w:bottom w:val="single" w:sz="6" w:space="0" w:color="auto"/>
              <w:right w:val="single" w:sz="6" w:space="0" w:color="auto"/>
            </w:tcBorders>
            <w:hideMark/>
          </w:tcPr>
          <w:p w14:paraId="34F1A8B2"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0.46 </w:t>
            </w:r>
          </w:p>
        </w:tc>
        <w:tc>
          <w:tcPr>
            <w:tcW w:w="191" w:type="pct"/>
            <w:tcBorders>
              <w:top w:val="single" w:sz="6" w:space="0" w:color="auto"/>
              <w:left w:val="single" w:sz="6" w:space="0" w:color="auto"/>
              <w:bottom w:val="single" w:sz="6" w:space="0" w:color="auto"/>
              <w:right w:val="single" w:sz="6" w:space="0" w:color="auto"/>
            </w:tcBorders>
            <w:hideMark/>
          </w:tcPr>
          <w:p w14:paraId="35E18C2E"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0.43 </w:t>
            </w:r>
          </w:p>
        </w:tc>
        <w:tc>
          <w:tcPr>
            <w:tcW w:w="191" w:type="pct"/>
            <w:tcBorders>
              <w:top w:val="single" w:sz="6" w:space="0" w:color="auto"/>
              <w:left w:val="single" w:sz="6" w:space="0" w:color="auto"/>
              <w:bottom w:val="single" w:sz="6" w:space="0" w:color="auto"/>
              <w:right w:val="single" w:sz="6" w:space="0" w:color="auto"/>
            </w:tcBorders>
            <w:hideMark/>
          </w:tcPr>
          <w:p w14:paraId="28CBA08C"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0.40 </w:t>
            </w:r>
          </w:p>
        </w:tc>
        <w:tc>
          <w:tcPr>
            <w:tcW w:w="191" w:type="pct"/>
            <w:tcBorders>
              <w:top w:val="single" w:sz="6" w:space="0" w:color="auto"/>
              <w:left w:val="single" w:sz="6" w:space="0" w:color="auto"/>
              <w:bottom w:val="single" w:sz="6" w:space="0" w:color="auto"/>
              <w:right w:val="single" w:sz="6" w:space="0" w:color="auto"/>
            </w:tcBorders>
            <w:hideMark/>
          </w:tcPr>
          <w:p w14:paraId="26DADA8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0.37 </w:t>
            </w:r>
          </w:p>
        </w:tc>
        <w:tc>
          <w:tcPr>
            <w:tcW w:w="191" w:type="pct"/>
            <w:tcBorders>
              <w:top w:val="single" w:sz="6" w:space="0" w:color="auto"/>
              <w:left w:val="single" w:sz="6" w:space="0" w:color="auto"/>
              <w:bottom w:val="single" w:sz="6" w:space="0" w:color="auto"/>
              <w:right w:val="single" w:sz="6" w:space="0" w:color="auto"/>
            </w:tcBorders>
            <w:hideMark/>
          </w:tcPr>
          <w:p w14:paraId="34FF15D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0.35 </w:t>
            </w:r>
          </w:p>
        </w:tc>
        <w:tc>
          <w:tcPr>
            <w:tcW w:w="191" w:type="pct"/>
            <w:tcBorders>
              <w:top w:val="single" w:sz="6" w:space="0" w:color="auto"/>
              <w:left w:val="single" w:sz="6" w:space="0" w:color="auto"/>
              <w:bottom w:val="single" w:sz="6" w:space="0" w:color="auto"/>
              <w:right w:val="single" w:sz="6" w:space="0" w:color="auto"/>
            </w:tcBorders>
            <w:hideMark/>
          </w:tcPr>
          <w:p w14:paraId="38F57893"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0.33 </w:t>
            </w:r>
          </w:p>
        </w:tc>
        <w:tc>
          <w:tcPr>
            <w:tcW w:w="191" w:type="pct"/>
            <w:tcBorders>
              <w:top w:val="single" w:sz="6" w:space="0" w:color="auto"/>
              <w:left w:val="single" w:sz="6" w:space="0" w:color="auto"/>
              <w:bottom w:val="single" w:sz="6" w:space="0" w:color="auto"/>
              <w:right w:val="single" w:sz="6" w:space="0" w:color="auto"/>
            </w:tcBorders>
            <w:hideMark/>
          </w:tcPr>
          <w:p w14:paraId="3C1F8455"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0.31 </w:t>
            </w:r>
          </w:p>
        </w:tc>
        <w:tc>
          <w:tcPr>
            <w:tcW w:w="191" w:type="pct"/>
            <w:tcBorders>
              <w:top w:val="single" w:sz="6" w:space="0" w:color="auto"/>
              <w:left w:val="single" w:sz="6" w:space="0" w:color="auto"/>
              <w:bottom w:val="single" w:sz="6" w:space="0" w:color="auto"/>
              <w:right w:val="single" w:sz="6" w:space="0" w:color="auto"/>
            </w:tcBorders>
            <w:hideMark/>
          </w:tcPr>
          <w:p w14:paraId="20247E0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0.30 </w:t>
            </w:r>
          </w:p>
        </w:tc>
        <w:tc>
          <w:tcPr>
            <w:tcW w:w="191" w:type="pct"/>
            <w:tcBorders>
              <w:top w:val="single" w:sz="6" w:space="0" w:color="auto"/>
              <w:left w:val="single" w:sz="6" w:space="0" w:color="auto"/>
              <w:bottom w:val="single" w:sz="6" w:space="0" w:color="auto"/>
              <w:right w:val="single" w:sz="6" w:space="0" w:color="auto"/>
            </w:tcBorders>
            <w:hideMark/>
          </w:tcPr>
          <w:p w14:paraId="3304BC5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57BB67D2"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4B8ABEE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24CB698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2A9D5629"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0.23 </w:t>
            </w:r>
          </w:p>
        </w:tc>
        <w:tc>
          <w:tcPr>
            <w:tcW w:w="191" w:type="pct"/>
            <w:tcBorders>
              <w:top w:val="single" w:sz="6" w:space="0" w:color="auto"/>
              <w:left w:val="single" w:sz="6" w:space="0" w:color="auto"/>
              <w:bottom w:val="single" w:sz="6" w:space="0" w:color="auto"/>
              <w:right w:val="single" w:sz="6" w:space="0" w:color="auto"/>
            </w:tcBorders>
            <w:hideMark/>
          </w:tcPr>
          <w:p w14:paraId="70FF3A1C"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0.22 </w:t>
            </w:r>
          </w:p>
        </w:tc>
        <w:tc>
          <w:tcPr>
            <w:tcW w:w="191" w:type="pct"/>
            <w:tcBorders>
              <w:top w:val="single" w:sz="6" w:space="0" w:color="auto"/>
              <w:left w:val="single" w:sz="6" w:space="0" w:color="auto"/>
              <w:bottom w:val="single" w:sz="6" w:space="0" w:color="auto"/>
              <w:right w:val="single" w:sz="6" w:space="0" w:color="auto"/>
            </w:tcBorders>
            <w:hideMark/>
          </w:tcPr>
          <w:p w14:paraId="0A652E8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0.19 </w:t>
            </w:r>
          </w:p>
        </w:tc>
        <w:tc>
          <w:tcPr>
            <w:tcW w:w="191" w:type="pct"/>
            <w:tcBorders>
              <w:top w:val="single" w:sz="6" w:space="0" w:color="auto"/>
              <w:left w:val="single" w:sz="6" w:space="0" w:color="auto"/>
              <w:bottom w:val="single" w:sz="6" w:space="0" w:color="auto"/>
              <w:right w:val="single" w:sz="6" w:space="0" w:color="auto"/>
            </w:tcBorders>
            <w:hideMark/>
          </w:tcPr>
          <w:p w14:paraId="66B58E62"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0.16 </w:t>
            </w:r>
          </w:p>
        </w:tc>
        <w:tc>
          <w:tcPr>
            <w:tcW w:w="191" w:type="pct"/>
            <w:tcBorders>
              <w:top w:val="single" w:sz="6" w:space="0" w:color="auto"/>
              <w:left w:val="single" w:sz="6" w:space="0" w:color="auto"/>
              <w:bottom w:val="single" w:sz="6" w:space="0" w:color="auto"/>
              <w:right w:val="single" w:sz="6" w:space="0" w:color="auto"/>
            </w:tcBorders>
            <w:hideMark/>
          </w:tcPr>
          <w:p w14:paraId="5E24340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0.14 </w:t>
            </w:r>
          </w:p>
        </w:tc>
        <w:tc>
          <w:tcPr>
            <w:tcW w:w="191" w:type="pct"/>
            <w:tcBorders>
              <w:top w:val="single" w:sz="6" w:space="0" w:color="auto"/>
              <w:left w:val="single" w:sz="6" w:space="0" w:color="auto"/>
              <w:bottom w:val="single" w:sz="6" w:space="0" w:color="auto"/>
              <w:right w:val="single" w:sz="6" w:space="0" w:color="auto"/>
            </w:tcBorders>
            <w:hideMark/>
          </w:tcPr>
          <w:p w14:paraId="2DED8029"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0B5A698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0.11 </w:t>
            </w:r>
          </w:p>
        </w:tc>
        <w:tc>
          <w:tcPr>
            <w:tcW w:w="8" w:type="pct"/>
            <w:vAlign w:val="center"/>
            <w:hideMark/>
          </w:tcPr>
          <w:p w14:paraId="268F4892" w14:textId="77777777" w:rsidR="00DB1AEE" w:rsidRPr="00DB1AEE" w:rsidRDefault="00DB1AEE" w:rsidP="00DB1AEE">
            <w:pPr>
              <w:widowControl w:val="0"/>
              <w:suppressAutoHyphens/>
              <w:autoSpaceDE w:val="0"/>
              <w:autoSpaceDN w:val="0"/>
              <w:jc w:val="left"/>
              <w:rPr>
                <w:bCs/>
                <w:iCs/>
                <w:sz w:val="18"/>
                <w:szCs w:val="18"/>
                <w:u w:val="single"/>
                <w:lang w:bidi="en-US"/>
              </w:rPr>
            </w:pPr>
          </w:p>
        </w:tc>
      </w:tr>
      <w:tr w:rsidR="00DB1AEE" w:rsidRPr="00DB1AEE" w14:paraId="40D78B08" w14:textId="77777777" w:rsidTr="00FC1832">
        <w:trPr>
          <w:trHeight w:val="183"/>
        </w:trPr>
        <w:tc>
          <w:tcPr>
            <w:tcW w:w="550" w:type="pct"/>
            <w:tcBorders>
              <w:top w:val="single" w:sz="6" w:space="0" w:color="auto"/>
              <w:left w:val="single" w:sz="6" w:space="0" w:color="auto"/>
              <w:bottom w:val="single" w:sz="6" w:space="0" w:color="auto"/>
              <w:right w:val="single" w:sz="6" w:space="0" w:color="auto"/>
            </w:tcBorders>
            <w:hideMark/>
          </w:tcPr>
          <w:p w14:paraId="618BEBE3"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3.35 </w:t>
            </w:r>
          </w:p>
        </w:tc>
        <w:tc>
          <w:tcPr>
            <w:tcW w:w="490" w:type="pct"/>
            <w:tcBorders>
              <w:top w:val="single" w:sz="6" w:space="0" w:color="auto"/>
              <w:left w:val="single" w:sz="6" w:space="0" w:color="auto"/>
              <w:bottom w:val="single" w:sz="6" w:space="0" w:color="auto"/>
              <w:right w:val="single" w:sz="6" w:space="0" w:color="auto"/>
            </w:tcBorders>
            <w:hideMark/>
          </w:tcPr>
          <w:p w14:paraId="4FE554C1"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0.50 </w:t>
            </w:r>
          </w:p>
        </w:tc>
        <w:tc>
          <w:tcPr>
            <w:tcW w:w="320" w:type="pct"/>
            <w:tcBorders>
              <w:top w:val="single" w:sz="6" w:space="0" w:color="auto"/>
              <w:left w:val="single" w:sz="6" w:space="0" w:color="auto"/>
              <w:bottom w:val="single" w:sz="6" w:space="0" w:color="auto"/>
              <w:right w:val="single" w:sz="6" w:space="0" w:color="auto"/>
            </w:tcBorders>
            <w:hideMark/>
          </w:tcPr>
          <w:p w14:paraId="2BF1628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0.46 </w:t>
            </w:r>
          </w:p>
        </w:tc>
        <w:tc>
          <w:tcPr>
            <w:tcW w:w="191" w:type="pct"/>
            <w:tcBorders>
              <w:top w:val="single" w:sz="6" w:space="0" w:color="auto"/>
              <w:left w:val="single" w:sz="6" w:space="0" w:color="auto"/>
              <w:bottom w:val="single" w:sz="6" w:space="0" w:color="auto"/>
              <w:right w:val="single" w:sz="6" w:space="0" w:color="auto"/>
            </w:tcBorders>
            <w:hideMark/>
          </w:tcPr>
          <w:p w14:paraId="665DBCE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0.43 </w:t>
            </w:r>
          </w:p>
        </w:tc>
        <w:tc>
          <w:tcPr>
            <w:tcW w:w="191" w:type="pct"/>
            <w:tcBorders>
              <w:top w:val="single" w:sz="6" w:space="0" w:color="auto"/>
              <w:left w:val="single" w:sz="6" w:space="0" w:color="auto"/>
              <w:bottom w:val="single" w:sz="6" w:space="0" w:color="auto"/>
              <w:right w:val="single" w:sz="6" w:space="0" w:color="auto"/>
            </w:tcBorders>
            <w:hideMark/>
          </w:tcPr>
          <w:p w14:paraId="35246D97"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0.40 </w:t>
            </w:r>
          </w:p>
        </w:tc>
        <w:tc>
          <w:tcPr>
            <w:tcW w:w="191" w:type="pct"/>
            <w:tcBorders>
              <w:top w:val="single" w:sz="6" w:space="0" w:color="auto"/>
              <w:left w:val="single" w:sz="6" w:space="0" w:color="auto"/>
              <w:bottom w:val="single" w:sz="6" w:space="0" w:color="auto"/>
              <w:right w:val="single" w:sz="6" w:space="0" w:color="auto"/>
            </w:tcBorders>
            <w:hideMark/>
          </w:tcPr>
          <w:p w14:paraId="518D0FD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0.37 </w:t>
            </w:r>
          </w:p>
        </w:tc>
        <w:tc>
          <w:tcPr>
            <w:tcW w:w="191" w:type="pct"/>
            <w:tcBorders>
              <w:top w:val="single" w:sz="6" w:space="0" w:color="auto"/>
              <w:left w:val="single" w:sz="6" w:space="0" w:color="auto"/>
              <w:bottom w:val="single" w:sz="6" w:space="0" w:color="auto"/>
              <w:right w:val="single" w:sz="6" w:space="0" w:color="auto"/>
            </w:tcBorders>
            <w:hideMark/>
          </w:tcPr>
          <w:p w14:paraId="2BA6CBE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0.35 </w:t>
            </w:r>
          </w:p>
        </w:tc>
        <w:tc>
          <w:tcPr>
            <w:tcW w:w="191" w:type="pct"/>
            <w:tcBorders>
              <w:top w:val="single" w:sz="6" w:space="0" w:color="auto"/>
              <w:left w:val="single" w:sz="6" w:space="0" w:color="auto"/>
              <w:bottom w:val="single" w:sz="6" w:space="0" w:color="auto"/>
              <w:right w:val="single" w:sz="6" w:space="0" w:color="auto"/>
            </w:tcBorders>
            <w:hideMark/>
          </w:tcPr>
          <w:p w14:paraId="38EA5535"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0.33 </w:t>
            </w:r>
          </w:p>
        </w:tc>
        <w:tc>
          <w:tcPr>
            <w:tcW w:w="191" w:type="pct"/>
            <w:tcBorders>
              <w:top w:val="single" w:sz="6" w:space="0" w:color="auto"/>
              <w:left w:val="single" w:sz="6" w:space="0" w:color="auto"/>
              <w:bottom w:val="single" w:sz="6" w:space="0" w:color="auto"/>
              <w:right w:val="single" w:sz="6" w:space="0" w:color="auto"/>
            </w:tcBorders>
            <w:hideMark/>
          </w:tcPr>
          <w:p w14:paraId="10D3B3B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0.31 </w:t>
            </w:r>
          </w:p>
        </w:tc>
        <w:tc>
          <w:tcPr>
            <w:tcW w:w="191" w:type="pct"/>
            <w:tcBorders>
              <w:top w:val="single" w:sz="6" w:space="0" w:color="auto"/>
              <w:left w:val="single" w:sz="6" w:space="0" w:color="auto"/>
              <w:bottom w:val="single" w:sz="6" w:space="0" w:color="auto"/>
              <w:right w:val="single" w:sz="6" w:space="0" w:color="auto"/>
            </w:tcBorders>
            <w:hideMark/>
          </w:tcPr>
          <w:p w14:paraId="24A3193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0.29 </w:t>
            </w:r>
          </w:p>
        </w:tc>
        <w:tc>
          <w:tcPr>
            <w:tcW w:w="191" w:type="pct"/>
            <w:tcBorders>
              <w:top w:val="single" w:sz="6" w:space="0" w:color="auto"/>
              <w:left w:val="single" w:sz="6" w:space="0" w:color="auto"/>
              <w:bottom w:val="single" w:sz="6" w:space="0" w:color="auto"/>
              <w:right w:val="single" w:sz="6" w:space="0" w:color="auto"/>
            </w:tcBorders>
            <w:hideMark/>
          </w:tcPr>
          <w:p w14:paraId="200A9491"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50F24CC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7A7745E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4CC28FAE"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5F0EE65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0.23 </w:t>
            </w:r>
          </w:p>
        </w:tc>
        <w:tc>
          <w:tcPr>
            <w:tcW w:w="191" w:type="pct"/>
            <w:tcBorders>
              <w:top w:val="single" w:sz="6" w:space="0" w:color="auto"/>
              <w:left w:val="single" w:sz="6" w:space="0" w:color="auto"/>
              <w:bottom w:val="single" w:sz="6" w:space="0" w:color="auto"/>
              <w:right w:val="single" w:sz="6" w:space="0" w:color="auto"/>
            </w:tcBorders>
            <w:hideMark/>
          </w:tcPr>
          <w:p w14:paraId="59A7998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0.22 </w:t>
            </w:r>
          </w:p>
        </w:tc>
        <w:tc>
          <w:tcPr>
            <w:tcW w:w="191" w:type="pct"/>
            <w:tcBorders>
              <w:top w:val="single" w:sz="6" w:space="0" w:color="auto"/>
              <w:left w:val="single" w:sz="6" w:space="0" w:color="auto"/>
              <w:bottom w:val="single" w:sz="6" w:space="0" w:color="auto"/>
              <w:right w:val="single" w:sz="6" w:space="0" w:color="auto"/>
            </w:tcBorders>
            <w:hideMark/>
          </w:tcPr>
          <w:p w14:paraId="0DB9CEE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0.22 </w:t>
            </w:r>
          </w:p>
        </w:tc>
        <w:tc>
          <w:tcPr>
            <w:tcW w:w="191" w:type="pct"/>
            <w:tcBorders>
              <w:top w:val="single" w:sz="6" w:space="0" w:color="auto"/>
              <w:left w:val="single" w:sz="6" w:space="0" w:color="auto"/>
              <w:bottom w:val="single" w:sz="6" w:space="0" w:color="auto"/>
              <w:right w:val="single" w:sz="6" w:space="0" w:color="auto"/>
            </w:tcBorders>
            <w:hideMark/>
          </w:tcPr>
          <w:p w14:paraId="2C4314E3"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0.18 </w:t>
            </w:r>
          </w:p>
        </w:tc>
        <w:tc>
          <w:tcPr>
            <w:tcW w:w="191" w:type="pct"/>
            <w:tcBorders>
              <w:top w:val="single" w:sz="6" w:space="0" w:color="auto"/>
              <w:left w:val="single" w:sz="6" w:space="0" w:color="auto"/>
              <w:bottom w:val="single" w:sz="6" w:space="0" w:color="auto"/>
              <w:right w:val="single" w:sz="6" w:space="0" w:color="auto"/>
            </w:tcBorders>
            <w:hideMark/>
          </w:tcPr>
          <w:p w14:paraId="24851F4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0.16 </w:t>
            </w:r>
          </w:p>
        </w:tc>
        <w:tc>
          <w:tcPr>
            <w:tcW w:w="191" w:type="pct"/>
            <w:tcBorders>
              <w:top w:val="single" w:sz="6" w:space="0" w:color="auto"/>
              <w:left w:val="single" w:sz="6" w:space="0" w:color="auto"/>
              <w:bottom w:val="single" w:sz="6" w:space="0" w:color="auto"/>
              <w:right w:val="single" w:sz="6" w:space="0" w:color="auto"/>
            </w:tcBorders>
            <w:hideMark/>
          </w:tcPr>
          <w:p w14:paraId="220EE12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0.14 </w:t>
            </w:r>
          </w:p>
        </w:tc>
        <w:tc>
          <w:tcPr>
            <w:tcW w:w="191" w:type="pct"/>
            <w:tcBorders>
              <w:top w:val="single" w:sz="6" w:space="0" w:color="auto"/>
              <w:left w:val="single" w:sz="6" w:space="0" w:color="auto"/>
              <w:bottom w:val="single" w:sz="6" w:space="0" w:color="auto"/>
              <w:right w:val="single" w:sz="6" w:space="0" w:color="auto"/>
            </w:tcBorders>
            <w:hideMark/>
          </w:tcPr>
          <w:p w14:paraId="2FE1867E"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0.12 </w:t>
            </w:r>
          </w:p>
        </w:tc>
        <w:tc>
          <w:tcPr>
            <w:tcW w:w="194" w:type="pct"/>
            <w:tcBorders>
              <w:top w:val="single" w:sz="6" w:space="0" w:color="auto"/>
              <w:left w:val="single" w:sz="6" w:space="0" w:color="auto"/>
              <w:bottom w:val="single" w:sz="6" w:space="0" w:color="auto"/>
              <w:right w:val="single" w:sz="6" w:space="0" w:color="auto"/>
            </w:tcBorders>
            <w:hideMark/>
          </w:tcPr>
          <w:p w14:paraId="79F14F02"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0.11 </w:t>
            </w:r>
          </w:p>
        </w:tc>
        <w:tc>
          <w:tcPr>
            <w:tcW w:w="8" w:type="pct"/>
            <w:vAlign w:val="center"/>
            <w:hideMark/>
          </w:tcPr>
          <w:p w14:paraId="39710B9E" w14:textId="77777777" w:rsidR="00DB1AEE" w:rsidRPr="00DB1AEE" w:rsidRDefault="00DB1AEE" w:rsidP="00DB1AEE">
            <w:pPr>
              <w:widowControl w:val="0"/>
              <w:suppressAutoHyphens/>
              <w:autoSpaceDE w:val="0"/>
              <w:autoSpaceDN w:val="0"/>
              <w:jc w:val="left"/>
              <w:rPr>
                <w:bCs/>
                <w:iCs/>
                <w:sz w:val="18"/>
                <w:szCs w:val="18"/>
                <w:u w:val="single"/>
                <w:lang w:bidi="en-US"/>
              </w:rPr>
            </w:pPr>
          </w:p>
        </w:tc>
      </w:tr>
      <w:tr w:rsidR="00DB1AEE" w:rsidRPr="00DB1AEE" w14:paraId="0E272DE3" w14:textId="77777777" w:rsidTr="00FC1832">
        <w:trPr>
          <w:trHeight w:val="255"/>
        </w:trPr>
        <w:tc>
          <w:tcPr>
            <w:tcW w:w="550" w:type="pct"/>
            <w:tcBorders>
              <w:top w:val="single" w:sz="6" w:space="0" w:color="auto"/>
              <w:left w:val="single" w:sz="6" w:space="0" w:color="auto"/>
              <w:bottom w:val="single" w:sz="6" w:space="0" w:color="auto"/>
              <w:right w:val="single" w:sz="6" w:space="0" w:color="auto"/>
            </w:tcBorders>
            <w:hideMark/>
          </w:tcPr>
          <w:p w14:paraId="27FD9B8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3.70 </w:t>
            </w:r>
          </w:p>
        </w:tc>
        <w:tc>
          <w:tcPr>
            <w:tcW w:w="490" w:type="pct"/>
            <w:tcBorders>
              <w:top w:val="single" w:sz="6" w:space="0" w:color="auto"/>
              <w:left w:val="single" w:sz="6" w:space="0" w:color="auto"/>
              <w:bottom w:val="single" w:sz="6" w:space="0" w:color="auto"/>
              <w:right w:val="single" w:sz="6" w:space="0" w:color="auto"/>
            </w:tcBorders>
            <w:hideMark/>
          </w:tcPr>
          <w:p w14:paraId="474574C5"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0.48 </w:t>
            </w:r>
          </w:p>
        </w:tc>
        <w:tc>
          <w:tcPr>
            <w:tcW w:w="320" w:type="pct"/>
            <w:tcBorders>
              <w:top w:val="single" w:sz="6" w:space="0" w:color="auto"/>
              <w:left w:val="single" w:sz="6" w:space="0" w:color="auto"/>
              <w:bottom w:val="single" w:sz="6" w:space="0" w:color="auto"/>
              <w:right w:val="single" w:sz="6" w:space="0" w:color="auto"/>
            </w:tcBorders>
            <w:hideMark/>
          </w:tcPr>
          <w:p w14:paraId="4E9D8FC5"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0.45 </w:t>
            </w:r>
          </w:p>
        </w:tc>
        <w:tc>
          <w:tcPr>
            <w:tcW w:w="191" w:type="pct"/>
            <w:tcBorders>
              <w:top w:val="single" w:sz="6" w:space="0" w:color="auto"/>
              <w:left w:val="single" w:sz="6" w:space="0" w:color="auto"/>
              <w:bottom w:val="single" w:sz="6" w:space="0" w:color="auto"/>
              <w:right w:val="single" w:sz="6" w:space="0" w:color="auto"/>
            </w:tcBorders>
            <w:hideMark/>
          </w:tcPr>
          <w:p w14:paraId="0DA1491E"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0.41 </w:t>
            </w:r>
          </w:p>
        </w:tc>
        <w:tc>
          <w:tcPr>
            <w:tcW w:w="191" w:type="pct"/>
            <w:tcBorders>
              <w:top w:val="single" w:sz="6" w:space="0" w:color="auto"/>
              <w:left w:val="single" w:sz="6" w:space="0" w:color="auto"/>
              <w:bottom w:val="single" w:sz="6" w:space="0" w:color="auto"/>
              <w:right w:val="single" w:sz="6" w:space="0" w:color="auto"/>
            </w:tcBorders>
            <w:hideMark/>
          </w:tcPr>
          <w:p w14:paraId="7F7EC17C"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0.38 </w:t>
            </w:r>
          </w:p>
        </w:tc>
        <w:tc>
          <w:tcPr>
            <w:tcW w:w="191" w:type="pct"/>
            <w:tcBorders>
              <w:top w:val="single" w:sz="6" w:space="0" w:color="auto"/>
              <w:left w:val="single" w:sz="6" w:space="0" w:color="auto"/>
              <w:bottom w:val="single" w:sz="6" w:space="0" w:color="auto"/>
              <w:right w:val="single" w:sz="6" w:space="0" w:color="auto"/>
            </w:tcBorders>
            <w:hideMark/>
          </w:tcPr>
          <w:p w14:paraId="3CD1BE17"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0.36 </w:t>
            </w:r>
          </w:p>
        </w:tc>
        <w:tc>
          <w:tcPr>
            <w:tcW w:w="191" w:type="pct"/>
            <w:tcBorders>
              <w:top w:val="single" w:sz="6" w:space="0" w:color="auto"/>
              <w:left w:val="single" w:sz="6" w:space="0" w:color="auto"/>
              <w:bottom w:val="single" w:sz="6" w:space="0" w:color="auto"/>
              <w:right w:val="single" w:sz="6" w:space="0" w:color="auto"/>
            </w:tcBorders>
            <w:hideMark/>
          </w:tcPr>
          <w:p w14:paraId="55763E9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0.34 </w:t>
            </w:r>
          </w:p>
        </w:tc>
        <w:tc>
          <w:tcPr>
            <w:tcW w:w="191" w:type="pct"/>
            <w:tcBorders>
              <w:top w:val="single" w:sz="6" w:space="0" w:color="auto"/>
              <w:left w:val="single" w:sz="6" w:space="0" w:color="auto"/>
              <w:bottom w:val="single" w:sz="6" w:space="0" w:color="auto"/>
              <w:right w:val="single" w:sz="6" w:space="0" w:color="auto"/>
            </w:tcBorders>
            <w:hideMark/>
          </w:tcPr>
          <w:p w14:paraId="344AFBB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3BA7A0C7"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0.30 </w:t>
            </w:r>
          </w:p>
        </w:tc>
        <w:tc>
          <w:tcPr>
            <w:tcW w:w="191" w:type="pct"/>
            <w:tcBorders>
              <w:top w:val="single" w:sz="6" w:space="0" w:color="auto"/>
              <w:left w:val="single" w:sz="6" w:space="0" w:color="auto"/>
              <w:bottom w:val="single" w:sz="6" w:space="0" w:color="auto"/>
              <w:right w:val="single" w:sz="6" w:space="0" w:color="auto"/>
            </w:tcBorders>
            <w:hideMark/>
          </w:tcPr>
          <w:p w14:paraId="28CFD17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0.29 </w:t>
            </w:r>
          </w:p>
        </w:tc>
        <w:tc>
          <w:tcPr>
            <w:tcW w:w="191" w:type="pct"/>
            <w:tcBorders>
              <w:top w:val="single" w:sz="6" w:space="0" w:color="auto"/>
              <w:left w:val="single" w:sz="6" w:space="0" w:color="auto"/>
              <w:bottom w:val="single" w:sz="6" w:space="0" w:color="auto"/>
              <w:right w:val="single" w:sz="6" w:space="0" w:color="auto"/>
            </w:tcBorders>
            <w:hideMark/>
          </w:tcPr>
          <w:p w14:paraId="47A31CD7"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57964BCE"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3BE706A9"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28F75FA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351D76D7"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0.23 </w:t>
            </w:r>
          </w:p>
        </w:tc>
        <w:tc>
          <w:tcPr>
            <w:tcW w:w="191" w:type="pct"/>
            <w:tcBorders>
              <w:top w:val="single" w:sz="6" w:space="0" w:color="auto"/>
              <w:left w:val="single" w:sz="6" w:space="0" w:color="auto"/>
              <w:bottom w:val="single" w:sz="6" w:space="0" w:color="auto"/>
              <w:right w:val="single" w:sz="6" w:space="0" w:color="auto"/>
            </w:tcBorders>
            <w:hideMark/>
          </w:tcPr>
          <w:p w14:paraId="4664E28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0.22 </w:t>
            </w:r>
          </w:p>
        </w:tc>
        <w:tc>
          <w:tcPr>
            <w:tcW w:w="191" w:type="pct"/>
            <w:tcBorders>
              <w:top w:val="single" w:sz="6" w:space="0" w:color="auto"/>
              <w:left w:val="single" w:sz="6" w:space="0" w:color="auto"/>
              <w:bottom w:val="single" w:sz="6" w:space="0" w:color="auto"/>
              <w:right w:val="single" w:sz="6" w:space="0" w:color="auto"/>
            </w:tcBorders>
            <w:hideMark/>
          </w:tcPr>
          <w:p w14:paraId="27535FB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0.21 </w:t>
            </w:r>
          </w:p>
        </w:tc>
        <w:tc>
          <w:tcPr>
            <w:tcW w:w="191" w:type="pct"/>
            <w:tcBorders>
              <w:top w:val="single" w:sz="6" w:space="0" w:color="auto"/>
              <w:left w:val="single" w:sz="6" w:space="0" w:color="auto"/>
              <w:bottom w:val="single" w:sz="6" w:space="0" w:color="auto"/>
              <w:right w:val="single" w:sz="6" w:space="0" w:color="auto"/>
            </w:tcBorders>
            <w:hideMark/>
          </w:tcPr>
          <w:p w14:paraId="448C917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0.18 </w:t>
            </w:r>
          </w:p>
        </w:tc>
        <w:tc>
          <w:tcPr>
            <w:tcW w:w="191" w:type="pct"/>
            <w:tcBorders>
              <w:top w:val="single" w:sz="6" w:space="0" w:color="auto"/>
              <w:left w:val="single" w:sz="6" w:space="0" w:color="auto"/>
              <w:bottom w:val="single" w:sz="6" w:space="0" w:color="auto"/>
              <w:right w:val="single" w:sz="6" w:space="0" w:color="auto"/>
            </w:tcBorders>
            <w:hideMark/>
          </w:tcPr>
          <w:p w14:paraId="5FB4E70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0.15 </w:t>
            </w:r>
          </w:p>
        </w:tc>
        <w:tc>
          <w:tcPr>
            <w:tcW w:w="191" w:type="pct"/>
            <w:tcBorders>
              <w:top w:val="single" w:sz="6" w:space="0" w:color="auto"/>
              <w:left w:val="single" w:sz="6" w:space="0" w:color="auto"/>
              <w:bottom w:val="single" w:sz="6" w:space="0" w:color="auto"/>
              <w:right w:val="single" w:sz="6" w:space="0" w:color="auto"/>
            </w:tcBorders>
            <w:hideMark/>
          </w:tcPr>
          <w:p w14:paraId="3A0FFA3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0.14 </w:t>
            </w:r>
          </w:p>
        </w:tc>
        <w:tc>
          <w:tcPr>
            <w:tcW w:w="191" w:type="pct"/>
            <w:tcBorders>
              <w:top w:val="single" w:sz="6" w:space="0" w:color="auto"/>
              <w:left w:val="single" w:sz="6" w:space="0" w:color="auto"/>
              <w:bottom w:val="single" w:sz="6" w:space="0" w:color="auto"/>
              <w:right w:val="single" w:sz="6" w:space="0" w:color="auto"/>
            </w:tcBorders>
            <w:hideMark/>
          </w:tcPr>
          <w:p w14:paraId="11FF07C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0.12 </w:t>
            </w:r>
          </w:p>
        </w:tc>
        <w:tc>
          <w:tcPr>
            <w:tcW w:w="194" w:type="pct"/>
            <w:tcBorders>
              <w:top w:val="single" w:sz="6" w:space="0" w:color="auto"/>
              <w:left w:val="single" w:sz="6" w:space="0" w:color="auto"/>
              <w:bottom w:val="single" w:sz="6" w:space="0" w:color="auto"/>
              <w:right w:val="single" w:sz="6" w:space="0" w:color="auto"/>
            </w:tcBorders>
            <w:hideMark/>
          </w:tcPr>
          <w:p w14:paraId="7FDABB3A"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0.11 </w:t>
            </w:r>
          </w:p>
        </w:tc>
        <w:tc>
          <w:tcPr>
            <w:tcW w:w="8" w:type="pct"/>
            <w:vAlign w:val="center"/>
            <w:hideMark/>
          </w:tcPr>
          <w:p w14:paraId="054DA107" w14:textId="77777777" w:rsidR="00DB1AEE" w:rsidRPr="00DB1AEE" w:rsidRDefault="00DB1AEE" w:rsidP="00DB1AEE">
            <w:pPr>
              <w:widowControl w:val="0"/>
              <w:suppressAutoHyphens/>
              <w:autoSpaceDE w:val="0"/>
              <w:autoSpaceDN w:val="0"/>
              <w:jc w:val="left"/>
              <w:rPr>
                <w:bCs/>
                <w:iCs/>
                <w:sz w:val="18"/>
                <w:szCs w:val="18"/>
                <w:u w:val="single"/>
                <w:lang w:bidi="en-US"/>
              </w:rPr>
            </w:pPr>
          </w:p>
        </w:tc>
      </w:tr>
      <w:tr w:rsidR="00DB1AEE" w:rsidRPr="00DB1AEE" w14:paraId="7DB23372" w14:textId="77777777" w:rsidTr="00FC1832">
        <w:trPr>
          <w:trHeight w:val="255"/>
        </w:trPr>
        <w:tc>
          <w:tcPr>
            <w:tcW w:w="550" w:type="pct"/>
            <w:tcBorders>
              <w:top w:val="single" w:sz="6" w:space="0" w:color="auto"/>
              <w:left w:val="single" w:sz="6" w:space="0" w:color="auto"/>
              <w:bottom w:val="single" w:sz="6" w:space="0" w:color="auto"/>
              <w:right w:val="single" w:sz="6" w:space="0" w:color="auto"/>
            </w:tcBorders>
            <w:hideMark/>
          </w:tcPr>
          <w:p w14:paraId="1018149E"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4.40 </w:t>
            </w:r>
          </w:p>
        </w:tc>
        <w:tc>
          <w:tcPr>
            <w:tcW w:w="490" w:type="pct"/>
            <w:tcBorders>
              <w:top w:val="single" w:sz="6" w:space="0" w:color="auto"/>
              <w:left w:val="single" w:sz="6" w:space="0" w:color="auto"/>
              <w:bottom w:val="single" w:sz="6" w:space="0" w:color="auto"/>
              <w:right w:val="single" w:sz="6" w:space="0" w:color="auto"/>
            </w:tcBorders>
            <w:hideMark/>
          </w:tcPr>
          <w:p w14:paraId="06DB98E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0.45 </w:t>
            </w:r>
          </w:p>
        </w:tc>
        <w:tc>
          <w:tcPr>
            <w:tcW w:w="320" w:type="pct"/>
            <w:tcBorders>
              <w:top w:val="single" w:sz="6" w:space="0" w:color="auto"/>
              <w:left w:val="single" w:sz="6" w:space="0" w:color="auto"/>
              <w:bottom w:val="single" w:sz="6" w:space="0" w:color="auto"/>
              <w:right w:val="single" w:sz="6" w:space="0" w:color="auto"/>
            </w:tcBorders>
            <w:hideMark/>
          </w:tcPr>
          <w:p w14:paraId="31850BB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0.42 </w:t>
            </w:r>
          </w:p>
        </w:tc>
        <w:tc>
          <w:tcPr>
            <w:tcW w:w="191" w:type="pct"/>
            <w:tcBorders>
              <w:top w:val="single" w:sz="6" w:space="0" w:color="auto"/>
              <w:left w:val="single" w:sz="6" w:space="0" w:color="auto"/>
              <w:bottom w:val="single" w:sz="6" w:space="0" w:color="auto"/>
              <w:right w:val="single" w:sz="6" w:space="0" w:color="auto"/>
            </w:tcBorders>
            <w:hideMark/>
          </w:tcPr>
          <w:p w14:paraId="5820323E"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0.39 </w:t>
            </w:r>
          </w:p>
        </w:tc>
        <w:tc>
          <w:tcPr>
            <w:tcW w:w="191" w:type="pct"/>
            <w:tcBorders>
              <w:top w:val="single" w:sz="6" w:space="0" w:color="auto"/>
              <w:left w:val="single" w:sz="6" w:space="0" w:color="auto"/>
              <w:bottom w:val="single" w:sz="6" w:space="0" w:color="auto"/>
              <w:right w:val="single" w:sz="6" w:space="0" w:color="auto"/>
            </w:tcBorders>
            <w:hideMark/>
          </w:tcPr>
          <w:p w14:paraId="6634538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0.37 </w:t>
            </w:r>
          </w:p>
        </w:tc>
        <w:tc>
          <w:tcPr>
            <w:tcW w:w="191" w:type="pct"/>
            <w:tcBorders>
              <w:top w:val="single" w:sz="6" w:space="0" w:color="auto"/>
              <w:left w:val="single" w:sz="6" w:space="0" w:color="auto"/>
              <w:bottom w:val="single" w:sz="6" w:space="0" w:color="auto"/>
              <w:right w:val="single" w:sz="6" w:space="0" w:color="auto"/>
            </w:tcBorders>
            <w:hideMark/>
          </w:tcPr>
          <w:p w14:paraId="00756E8A"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0.34 </w:t>
            </w:r>
          </w:p>
        </w:tc>
        <w:tc>
          <w:tcPr>
            <w:tcW w:w="191" w:type="pct"/>
            <w:tcBorders>
              <w:top w:val="single" w:sz="6" w:space="0" w:color="auto"/>
              <w:left w:val="single" w:sz="6" w:space="0" w:color="auto"/>
              <w:bottom w:val="single" w:sz="6" w:space="0" w:color="auto"/>
              <w:right w:val="single" w:sz="6" w:space="0" w:color="auto"/>
            </w:tcBorders>
            <w:hideMark/>
          </w:tcPr>
          <w:p w14:paraId="341E475A"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08A4096A"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0.31 </w:t>
            </w:r>
          </w:p>
        </w:tc>
        <w:tc>
          <w:tcPr>
            <w:tcW w:w="191" w:type="pct"/>
            <w:tcBorders>
              <w:top w:val="single" w:sz="6" w:space="0" w:color="auto"/>
              <w:left w:val="single" w:sz="6" w:space="0" w:color="auto"/>
              <w:bottom w:val="single" w:sz="6" w:space="0" w:color="auto"/>
              <w:right w:val="single" w:sz="6" w:space="0" w:color="auto"/>
            </w:tcBorders>
            <w:hideMark/>
          </w:tcPr>
          <w:p w14:paraId="1809CB97"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0.29 </w:t>
            </w:r>
          </w:p>
        </w:tc>
        <w:tc>
          <w:tcPr>
            <w:tcW w:w="191" w:type="pct"/>
            <w:tcBorders>
              <w:top w:val="single" w:sz="6" w:space="0" w:color="auto"/>
              <w:left w:val="single" w:sz="6" w:space="0" w:color="auto"/>
              <w:bottom w:val="single" w:sz="6" w:space="0" w:color="auto"/>
              <w:right w:val="single" w:sz="6" w:space="0" w:color="auto"/>
            </w:tcBorders>
            <w:hideMark/>
          </w:tcPr>
          <w:p w14:paraId="4AD411C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44BB883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696500D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62DD282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595AD615"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0.23 </w:t>
            </w:r>
          </w:p>
        </w:tc>
        <w:tc>
          <w:tcPr>
            <w:tcW w:w="191" w:type="pct"/>
            <w:tcBorders>
              <w:top w:val="single" w:sz="6" w:space="0" w:color="auto"/>
              <w:left w:val="single" w:sz="6" w:space="0" w:color="auto"/>
              <w:bottom w:val="single" w:sz="6" w:space="0" w:color="auto"/>
              <w:right w:val="single" w:sz="6" w:space="0" w:color="auto"/>
            </w:tcBorders>
            <w:hideMark/>
          </w:tcPr>
          <w:p w14:paraId="0CD3C30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0.22 </w:t>
            </w:r>
          </w:p>
        </w:tc>
        <w:tc>
          <w:tcPr>
            <w:tcW w:w="191" w:type="pct"/>
            <w:tcBorders>
              <w:top w:val="single" w:sz="6" w:space="0" w:color="auto"/>
              <w:left w:val="single" w:sz="6" w:space="0" w:color="auto"/>
              <w:bottom w:val="single" w:sz="6" w:space="0" w:color="auto"/>
              <w:right w:val="single" w:sz="6" w:space="0" w:color="auto"/>
            </w:tcBorders>
            <w:hideMark/>
          </w:tcPr>
          <w:p w14:paraId="32ED2CB2"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0.21 </w:t>
            </w:r>
          </w:p>
        </w:tc>
        <w:tc>
          <w:tcPr>
            <w:tcW w:w="191" w:type="pct"/>
            <w:tcBorders>
              <w:top w:val="single" w:sz="6" w:space="0" w:color="auto"/>
              <w:left w:val="single" w:sz="6" w:space="0" w:color="auto"/>
              <w:bottom w:val="single" w:sz="6" w:space="0" w:color="auto"/>
              <w:right w:val="single" w:sz="6" w:space="0" w:color="auto"/>
            </w:tcBorders>
            <w:hideMark/>
          </w:tcPr>
          <w:p w14:paraId="4FD8840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0.21 </w:t>
            </w:r>
          </w:p>
        </w:tc>
        <w:tc>
          <w:tcPr>
            <w:tcW w:w="191" w:type="pct"/>
            <w:tcBorders>
              <w:top w:val="single" w:sz="6" w:space="0" w:color="auto"/>
              <w:left w:val="single" w:sz="6" w:space="0" w:color="auto"/>
              <w:bottom w:val="single" w:sz="6" w:space="0" w:color="auto"/>
              <w:right w:val="single" w:sz="6" w:space="0" w:color="auto"/>
            </w:tcBorders>
            <w:hideMark/>
          </w:tcPr>
          <w:p w14:paraId="404CDDF3"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0.17 </w:t>
            </w:r>
          </w:p>
        </w:tc>
        <w:tc>
          <w:tcPr>
            <w:tcW w:w="191" w:type="pct"/>
            <w:tcBorders>
              <w:top w:val="single" w:sz="6" w:space="0" w:color="auto"/>
              <w:left w:val="single" w:sz="6" w:space="0" w:color="auto"/>
              <w:bottom w:val="single" w:sz="6" w:space="0" w:color="auto"/>
              <w:right w:val="single" w:sz="6" w:space="0" w:color="auto"/>
            </w:tcBorders>
            <w:hideMark/>
          </w:tcPr>
          <w:p w14:paraId="5FEB86F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0.15 </w:t>
            </w:r>
          </w:p>
        </w:tc>
        <w:tc>
          <w:tcPr>
            <w:tcW w:w="191" w:type="pct"/>
            <w:tcBorders>
              <w:top w:val="single" w:sz="6" w:space="0" w:color="auto"/>
              <w:left w:val="single" w:sz="6" w:space="0" w:color="auto"/>
              <w:bottom w:val="single" w:sz="6" w:space="0" w:color="auto"/>
              <w:right w:val="single" w:sz="6" w:space="0" w:color="auto"/>
            </w:tcBorders>
            <w:hideMark/>
          </w:tcPr>
          <w:p w14:paraId="69A5D42C"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0.13 </w:t>
            </w:r>
          </w:p>
        </w:tc>
        <w:tc>
          <w:tcPr>
            <w:tcW w:w="191" w:type="pct"/>
            <w:tcBorders>
              <w:top w:val="single" w:sz="6" w:space="0" w:color="auto"/>
              <w:left w:val="single" w:sz="6" w:space="0" w:color="auto"/>
              <w:bottom w:val="single" w:sz="6" w:space="0" w:color="auto"/>
              <w:right w:val="single" w:sz="6" w:space="0" w:color="auto"/>
            </w:tcBorders>
            <w:hideMark/>
          </w:tcPr>
          <w:p w14:paraId="19C9946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0.12 </w:t>
            </w:r>
          </w:p>
        </w:tc>
        <w:tc>
          <w:tcPr>
            <w:tcW w:w="194" w:type="pct"/>
            <w:tcBorders>
              <w:top w:val="single" w:sz="6" w:space="0" w:color="auto"/>
              <w:left w:val="single" w:sz="6" w:space="0" w:color="auto"/>
              <w:bottom w:val="single" w:sz="6" w:space="0" w:color="auto"/>
              <w:right w:val="single" w:sz="6" w:space="0" w:color="auto"/>
            </w:tcBorders>
            <w:hideMark/>
          </w:tcPr>
          <w:p w14:paraId="654EBC8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0.11 </w:t>
            </w:r>
          </w:p>
        </w:tc>
        <w:tc>
          <w:tcPr>
            <w:tcW w:w="8" w:type="pct"/>
            <w:vAlign w:val="center"/>
            <w:hideMark/>
          </w:tcPr>
          <w:p w14:paraId="18A499EF" w14:textId="77777777" w:rsidR="00DB1AEE" w:rsidRPr="00DB1AEE" w:rsidRDefault="00DB1AEE" w:rsidP="00DB1AEE">
            <w:pPr>
              <w:widowControl w:val="0"/>
              <w:suppressAutoHyphens/>
              <w:autoSpaceDE w:val="0"/>
              <w:autoSpaceDN w:val="0"/>
              <w:jc w:val="left"/>
              <w:rPr>
                <w:bCs/>
                <w:iCs/>
                <w:sz w:val="18"/>
                <w:szCs w:val="18"/>
                <w:u w:val="single"/>
                <w:lang w:bidi="en-US"/>
              </w:rPr>
            </w:pPr>
          </w:p>
        </w:tc>
      </w:tr>
      <w:tr w:rsidR="00DB1AEE" w:rsidRPr="00DB1AEE" w14:paraId="7282C7E9" w14:textId="77777777" w:rsidTr="00FC1832">
        <w:trPr>
          <w:trHeight w:val="315"/>
        </w:trPr>
        <w:tc>
          <w:tcPr>
            <w:tcW w:w="550" w:type="pct"/>
            <w:tcBorders>
              <w:top w:val="single" w:sz="6" w:space="0" w:color="auto"/>
              <w:left w:val="single" w:sz="6" w:space="0" w:color="auto"/>
              <w:bottom w:val="single" w:sz="6" w:space="0" w:color="auto"/>
              <w:right w:val="single" w:sz="6" w:space="0" w:color="auto"/>
            </w:tcBorders>
            <w:hideMark/>
          </w:tcPr>
          <w:p w14:paraId="386CA383"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5.28 </w:t>
            </w:r>
          </w:p>
        </w:tc>
        <w:tc>
          <w:tcPr>
            <w:tcW w:w="490" w:type="pct"/>
            <w:tcBorders>
              <w:top w:val="single" w:sz="6" w:space="0" w:color="auto"/>
              <w:left w:val="single" w:sz="6" w:space="0" w:color="auto"/>
              <w:bottom w:val="single" w:sz="6" w:space="0" w:color="auto"/>
              <w:right w:val="single" w:sz="6" w:space="0" w:color="auto"/>
            </w:tcBorders>
            <w:hideMark/>
          </w:tcPr>
          <w:p w14:paraId="3AC99F3F"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0.43 </w:t>
            </w:r>
          </w:p>
        </w:tc>
        <w:tc>
          <w:tcPr>
            <w:tcW w:w="320" w:type="pct"/>
            <w:tcBorders>
              <w:top w:val="single" w:sz="6" w:space="0" w:color="auto"/>
              <w:left w:val="single" w:sz="6" w:space="0" w:color="auto"/>
              <w:bottom w:val="single" w:sz="6" w:space="0" w:color="auto"/>
              <w:right w:val="single" w:sz="6" w:space="0" w:color="auto"/>
            </w:tcBorders>
            <w:hideMark/>
          </w:tcPr>
          <w:p w14:paraId="63EF18BD"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0.40 </w:t>
            </w:r>
          </w:p>
        </w:tc>
        <w:tc>
          <w:tcPr>
            <w:tcW w:w="191" w:type="pct"/>
            <w:tcBorders>
              <w:top w:val="single" w:sz="6" w:space="0" w:color="auto"/>
              <w:left w:val="single" w:sz="6" w:space="0" w:color="auto"/>
              <w:bottom w:val="single" w:sz="6" w:space="0" w:color="auto"/>
              <w:right w:val="single" w:sz="6" w:space="0" w:color="auto"/>
            </w:tcBorders>
            <w:hideMark/>
          </w:tcPr>
          <w:p w14:paraId="6694F73B"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0.37 </w:t>
            </w:r>
          </w:p>
        </w:tc>
        <w:tc>
          <w:tcPr>
            <w:tcW w:w="191" w:type="pct"/>
            <w:tcBorders>
              <w:top w:val="single" w:sz="6" w:space="0" w:color="auto"/>
              <w:left w:val="single" w:sz="6" w:space="0" w:color="auto"/>
              <w:bottom w:val="single" w:sz="6" w:space="0" w:color="auto"/>
              <w:right w:val="single" w:sz="6" w:space="0" w:color="auto"/>
            </w:tcBorders>
            <w:hideMark/>
          </w:tcPr>
          <w:p w14:paraId="7BDD73D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0.35 </w:t>
            </w:r>
          </w:p>
        </w:tc>
        <w:tc>
          <w:tcPr>
            <w:tcW w:w="191" w:type="pct"/>
            <w:tcBorders>
              <w:top w:val="single" w:sz="6" w:space="0" w:color="auto"/>
              <w:left w:val="single" w:sz="6" w:space="0" w:color="auto"/>
              <w:bottom w:val="single" w:sz="6" w:space="0" w:color="auto"/>
              <w:right w:val="single" w:sz="6" w:space="0" w:color="auto"/>
            </w:tcBorders>
            <w:hideMark/>
          </w:tcPr>
          <w:p w14:paraId="79B1DE09"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0.33 </w:t>
            </w:r>
          </w:p>
        </w:tc>
        <w:tc>
          <w:tcPr>
            <w:tcW w:w="191" w:type="pct"/>
            <w:tcBorders>
              <w:top w:val="single" w:sz="6" w:space="0" w:color="auto"/>
              <w:left w:val="single" w:sz="6" w:space="0" w:color="auto"/>
              <w:bottom w:val="single" w:sz="6" w:space="0" w:color="auto"/>
              <w:right w:val="single" w:sz="6" w:space="0" w:color="auto"/>
            </w:tcBorders>
            <w:hideMark/>
          </w:tcPr>
          <w:p w14:paraId="37A004DE"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0.31 </w:t>
            </w:r>
          </w:p>
        </w:tc>
        <w:tc>
          <w:tcPr>
            <w:tcW w:w="191" w:type="pct"/>
            <w:tcBorders>
              <w:top w:val="single" w:sz="6" w:space="0" w:color="auto"/>
              <w:left w:val="single" w:sz="6" w:space="0" w:color="auto"/>
              <w:bottom w:val="single" w:sz="6" w:space="0" w:color="auto"/>
              <w:right w:val="single" w:sz="6" w:space="0" w:color="auto"/>
            </w:tcBorders>
            <w:hideMark/>
          </w:tcPr>
          <w:p w14:paraId="10E78D65"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0.29 </w:t>
            </w:r>
          </w:p>
        </w:tc>
        <w:tc>
          <w:tcPr>
            <w:tcW w:w="191" w:type="pct"/>
            <w:tcBorders>
              <w:top w:val="single" w:sz="6" w:space="0" w:color="auto"/>
              <w:left w:val="single" w:sz="6" w:space="0" w:color="auto"/>
              <w:bottom w:val="single" w:sz="6" w:space="0" w:color="auto"/>
              <w:right w:val="single" w:sz="6" w:space="0" w:color="auto"/>
            </w:tcBorders>
            <w:hideMark/>
          </w:tcPr>
          <w:p w14:paraId="1E281FE1"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045BB975"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4DE67241"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1CB9FCA9"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261E9917"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0.23 </w:t>
            </w:r>
          </w:p>
        </w:tc>
        <w:tc>
          <w:tcPr>
            <w:tcW w:w="191" w:type="pct"/>
            <w:tcBorders>
              <w:top w:val="single" w:sz="6" w:space="0" w:color="auto"/>
              <w:left w:val="single" w:sz="6" w:space="0" w:color="auto"/>
              <w:bottom w:val="single" w:sz="6" w:space="0" w:color="auto"/>
              <w:right w:val="single" w:sz="6" w:space="0" w:color="auto"/>
            </w:tcBorders>
            <w:hideMark/>
          </w:tcPr>
          <w:p w14:paraId="7EE3DBF2"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0.22 </w:t>
            </w:r>
          </w:p>
        </w:tc>
        <w:tc>
          <w:tcPr>
            <w:tcW w:w="191" w:type="pct"/>
            <w:tcBorders>
              <w:top w:val="single" w:sz="6" w:space="0" w:color="auto"/>
              <w:left w:val="single" w:sz="6" w:space="0" w:color="auto"/>
              <w:bottom w:val="single" w:sz="6" w:space="0" w:color="auto"/>
              <w:right w:val="single" w:sz="6" w:space="0" w:color="auto"/>
            </w:tcBorders>
            <w:hideMark/>
          </w:tcPr>
          <w:p w14:paraId="0679D5E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0.22 </w:t>
            </w:r>
          </w:p>
        </w:tc>
        <w:tc>
          <w:tcPr>
            <w:tcW w:w="191" w:type="pct"/>
            <w:tcBorders>
              <w:top w:val="single" w:sz="6" w:space="0" w:color="auto"/>
              <w:left w:val="single" w:sz="6" w:space="0" w:color="auto"/>
              <w:bottom w:val="single" w:sz="6" w:space="0" w:color="auto"/>
              <w:right w:val="single" w:sz="6" w:space="0" w:color="auto"/>
            </w:tcBorders>
            <w:hideMark/>
          </w:tcPr>
          <w:p w14:paraId="0B0F52CA"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0.21 </w:t>
            </w:r>
          </w:p>
        </w:tc>
        <w:tc>
          <w:tcPr>
            <w:tcW w:w="191" w:type="pct"/>
            <w:tcBorders>
              <w:top w:val="single" w:sz="6" w:space="0" w:color="auto"/>
              <w:left w:val="single" w:sz="6" w:space="0" w:color="auto"/>
              <w:bottom w:val="single" w:sz="6" w:space="0" w:color="auto"/>
              <w:right w:val="single" w:sz="6" w:space="0" w:color="auto"/>
            </w:tcBorders>
            <w:hideMark/>
          </w:tcPr>
          <w:p w14:paraId="65E7C362"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0.20 </w:t>
            </w:r>
          </w:p>
        </w:tc>
        <w:tc>
          <w:tcPr>
            <w:tcW w:w="191" w:type="pct"/>
            <w:tcBorders>
              <w:top w:val="single" w:sz="6" w:space="0" w:color="auto"/>
              <w:left w:val="single" w:sz="6" w:space="0" w:color="auto"/>
              <w:bottom w:val="single" w:sz="6" w:space="0" w:color="auto"/>
              <w:right w:val="single" w:sz="6" w:space="0" w:color="auto"/>
            </w:tcBorders>
            <w:hideMark/>
          </w:tcPr>
          <w:p w14:paraId="073F62B1"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0.17 </w:t>
            </w:r>
          </w:p>
        </w:tc>
        <w:tc>
          <w:tcPr>
            <w:tcW w:w="191" w:type="pct"/>
            <w:tcBorders>
              <w:top w:val="single" w:sz="6" w:space="0" w:color="auto"/>
              <w:left w:val="single" w:sz="6" w:space="0" w:color="auto"/>
              <w:bottom w:val="single" w:sz="6" w:space="0" w:color="auto"/>
              <w:right w:val="single" w:sz="6" w:space="0" w:color="auto"/>
            </w:tcBorders>
            <w:hideMark/>
          </w:tcPr>
          <w:p w14:paraId="25B9DCD8"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0.15 </w:t>
            </w:r>
          </w:p>
        </w:tc>
        <w:tc>
          <w:tcPr>
            <w:tcW w:w="191" w:type="pct"/>
            <w:tcBorders>
              <w:top w:val="single" w:sz="6" w:space="0" w:color="auto"/>
              <w:left w:val="single" w:sz="6" w:space="0" w:color="auto"/>
              <w:bottom w:val="single" w:sz="6" w:space="0" w:color="auto"/>
              <w:right w:val="single" w:sz="6" w:space="0" w:color="auto"/>
            </w:tcBorders>
            <w:hideMark/>
          </w:tcPr>
          <w:p w14:paraId="665A1B50"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0.13 </w:t>
            </w:r>
          </w:p>
        </w:tc>
        <w:tc>
          <w:tcPr>
            <w:tcW w:w="191" w:type="pct"/>
            <w:tcBorders>
              <w:top w:val="single" w:sz="6" w:space="0" w:color="auto"/>
              <w:left w:val="single" w:sz="6" w:space="0" w:color="auto"/>
              <w:bottom w:val="single" w:sz="6" w:space="0" w:color="auto"/>
              <w:right w:val="single" w:sz="6" w:space="0" w:color="auto"/>
            </w:tcBorders>
            <w:hideMark/>
          </w:tcPr>
          <w:p w14:paraId="29D6CBE4"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0.12 </w:t>
            </w:r>
          </w:p>
        </w:tc>
        <w:tc>
          <w:tcPr>
            <w:tcW w:w="194" w:type="pct"/>
            <w:tcBorders>
              <w:top w:val="single" w:sz="6" w:space="0" w:color="auto"/>
              <w:left w:val="single" w:sz="6" w:space="0" w:color="auto"/>
              <w:bottom w:val="single" w:sz="6" w:space="0" w:color="auto"/>
              <w:right w:val="single" w:sz="6" w:space="0" w:color="auto"/>
            </w:tcBorders>
            <w:hideMark/>
          </w:tcPr>
          <w:p w14:paraId="3058BF06" w14:textId="77777777" w:rsidR="00DB1AEE" w:rsidRPr="00DB1AEE" w:rsidRDefault="00DB1AEE" w:rsidP="00DB1AEE">
            <w:pPr>
              <w:widowControl w:val="0"/>
              <w:suppressAutoHyphens/>
              <w:autoSpaceDE w:val="0"/>
              <w:autoSpaceDN w:val="0"/>
              <w:jc w:val="left"/>
              <w:rPr>
                <w:bCs/>
                <w:iCs/>
                <w:sz w:val="18"/>
                <w:szCs w:val="18"/>
                <w:u w:val="single"/>
                <w:lang w:bidi="en-US"/>
              </w:rPr>
            </w:pPr>
            <w:r w:rsidRPr="00DB1AEE">
              <w:rPr>
                <w:bCs/>
                <w:iCs/>
                <w:sz w:val="18"/>
                <w:szCs w:val="18"/>
                <w:u w:val="single"/>
                <w:lang w:bidi="en-US"/>
              </w:rPr>
              <w:t>0.11 </w:t>
            </w:r>
          </w:p>
        </w:tc>
        <w:tc>
          <w:tcPr>
            <w:tcW w:w="8" w:type="pct"/>
            <w:vAlign w:val="center"/>
            <w:hideMark/>
          </w:tcPr>
          <w:p w14:paraId="57A510CF" w14:textId="77777777" w:rsidR="00DB1AEE" w:rsidRPr="00DB1AEE" w:rsidRDefault="00DB1AEE" w:rsidP="00DB1AEE">
            <w:pPr>
              <w:widowControl w:val="0"/>
              <w:suppressAutoHyphens/>
              <w:autoSpaceDE w:val="0"/>
              <w:autoSpaceDN w:val="0"/>
              <w:jc w:val="left"/>
              <w:rPr>
                <w:bCs/>
                <w:iCs/>
                <w:sz w:val="18"/>
                <w:szCs w:val="18"/>
                <w:u w:val="single"/>
                <w:lang w:bidi="en-US"/>
              </w:rPr>
            </w:pPr>
          </w:p>
        </w:tc>
      </w:tr>
    </w:tbl>
    <w:p w14:paraId="1E3C395F" w14:textId="77777777" w:rsidR="00DB1AEE" w:rsidRPr="00DB1AEE" w:rsidRDefault="00DB1AEE" w:rsidP="00DB1AEE">
      <w:pPr>
        <w:widowControl w:val="0"/>
        <w:suppressAutoHyphens/>
        <w:autoSpaceDE w:val="0"/>
        <w:autoSpaceDN w:val="0"/>
        <w:jc w:val="left"/>
        <w:rPr>
          <w:bCs/>
          <w:iCs/>
          <w:szCs w:val="24"/>
          <w:u w:val="single"/>
          <w:lang w:bidi="en-US"/>
        </w:rPr>
      </w:pPr>
      <w:r w:rsidRPr="00DB1AEE">
        <w:rPr>
          <w:bCs/>
          <w:iCs/>
          <w:szCs w:val="24"/>
          <w:u w:val="single"/>
          <w:lang w:bidi="en-US"/>
        </w:rPr>
        <w:t>a. Refer to Section A9.2(b)(3)(i) for calculation method used to generate table values.</w:t>
      </w:r>
    </w:p>
    <w:p w14:paraId="0771B194" w14:textId="77777777" w:rsidR="00DB1AEE" w:rsidRPr="00DB1AEE" w:rsidRDefault="00DB1AEE" w:rsidP="00DB1AEE">
      <w:pPr>
        <w:widowControl w:val="0"/>
        <w:suppressAutoHyphens/>
        <w:spacing w:before="130" w:after="130"/>
        <w:jc w:val="left"/>
        <w:rPr>
          <w:bCs/>
          <w:u w:val="single"/>
        </w:rPr>
      </w:pPr>
      <w:r w:rsidRPr="00DB1AEE">
        <w:rPr>
          <w:bCs/>
          <w:iCs/>
          <w:szCs w:val="24"/>
          <w:u w:val="single"/>
          <w:lang w:bidi="en-US"/>
        </w:rPr>
        <w:t>b. The cavity insulation rated RSI-value of 0.16 corresponds to no cavity insulation.</w:t>
      </w:r>
    </w:p>
    <w:p w14:paraId="2FB639DB" w14:textId="77777777" w:rsidR="00DB1AEE" w:rsidRPr="00DB1AEE" w:rsidRDefault="00DB1AEE" w:rsidP="00DB1AEE">
      <w:pPr>
        <w:widowControl w:val="0"/>
        <w:suppressAutoHyphens/>
        <w:spacing w:before="130" w:after="130"/>
        <w:ind w:left="360"/>
        <w:jc w:val="left"/>
        <w:rPr>
          <w:b/>
          <w:bCs/>
          <w:u w:val="single"/>
        </w:rPr>
        <w:sectPr w:rsidR="00DB1AEE" w:rsidRPr="00DB1AEE" w:rsidSect="00DB1AEE">
          <w:pgSz w:w="15840" w:h="12240" w:orient="landscape" w:code="1"/>
          <w:pgMar w:top="1440" w:right="1440" w:bottom="1440" w:left="965" w:header="1440" w:footer="965" w:gutter="0"/>
          <w:lnNumType w:countBy="1"/>
          <w:cols w:space="720"/>
          <w:noEndnote/>
          <w:docGrid w:linePitch="326"/>
        </w:sectPr>
      </w:pPr>
    </w:p>
    <w:p w14:paraId="7CD65E25" w14:textId="77777777" w:rsidR="00DB1AEE" w:rsidRPr="00DB1AEE" w:rsidRDefault="00DB1AEE" w:rsidP="00DB1AEE">
      <w:pPr>
        <w:suppressAutoHyphens/>
        <w:ind w:left="360"/>
        <w:jc w:val="left"/>
        <w:rPr>
          <w:szCs w:val="24"/>
          <w:u w:val="single"/>
        </w:rPr>
      </w:pPr>
    </w:p>
    <w:p w14:paraId="46E6BE9B" w14:textId="77777777" w:rsidR="00DB1AEE" w:rsidRPr="00DB1AEE" w:rsidRDefault="00DB1AEE" w:rsidP="00DB1AEE">
      <w:pPr>
        <w:suppressAutoHyphens/>
        <w:ind w:left="360"/>
        <w:jc w:val="left"/>
        <w:rPr>
          <w:b/>
          <w:bCs/>
          <w:szCs w:val="24"/>
          <w:u w:val="single"/>
        </w:rPr>
      </w:pPr>
      <w:r w:rsidRPr="00DB1AEE">
        <w:rPr>
          <w:b/>
          <w:bCs/>
          <w:szCs w:val="24"/>
          <w:u w:val="single"/>
        </w:rPr>
        <w:t>Section A10.2.1 Thermal bridge details.</w:t>
      </w:r>
    </w:p>
    <w:p w14:paraId="1D2B223E" w14:textId="77777777" w:rsidR="00DB1AEE" w:rsidRPr="00DB1AEE" w:rsidRDefault="00DB1AEE" w:rsidP="00DB1AEE">
      <w:pPr>
        <w:suppressAutoHyphens/>
        <w:ind w:left="360"/>
        <w:jc w:val="left"/>
        <w:rPr>
          <w:szCs w:val="24"/>
          <w:u w:val="single"/>
        </w:rPr>
      </w:pPr>
      <w:r w:rsidRPr="00DB1AEE">
        <w:rPr>
          <w:szCs w:val="24"/>
          <w:u w:val="single"/>
        </w:rPr>
        <w:t>Section A10.2.1- Add new section A10.2.1 to read as follows:</w:t>
      </w:r>
    </w:p>
    <w:p w14:paraId="1ACD6783" w14:textId="77777777" w:rsidR="00DB1AEE" w:rsidRPr="00DB1AEE" w:rsidRDefault="00DB1AEE" w:rsidP="00DB1AEE">
      <w:pPr>
        <w:suppressAutoHyphens/>
        <w:spacing w:before="120" w:after="120"/>
        <w:ind w:left="360"/>
        <w:jc w:val="left"/>
        <w:rPr>
          <w:b/>
          <w:bCs/>
          <w:szCs w:val="24"/>
          <w:u w:val="single"/>
        </w:rPr>
      </w:pPr>
      <w:r w:rsidRPr="00DB1AEE">
        <w:rPr>
          <w:b/>
          <w:bCs/>
          <w:szCs w:val="24"/>
          <w:u w:val="single"/>
        </w:rPr>
        <w:t xml:space="preserve">A10.2.1 Thermal bridge details. </w:t>
      </w:r>
    </w:p>
    <w:p w14:paraId="5508CEE7" w14:textId="77777777" w:rsidR="00DB1AEE" w:rsidRPr="00DB1AEE" w:rsidRDefault="00DB1AEE" w:rsidP="00DB1AEE">
      <w:pPr>
        <w:suppressAutoHyphens/>
        <w:spacing w:before="120" w:after="120"/>
        <w:ind w:left="360"/>
        <w:jc w:val="left"/>
        <w:rPr>
          <w:szCs w:val="24"/>
          <w:u w:val="single"/>
        </w:rPr>
      </w:pPr>
      <w:r w:rsidRPr="00DB1AEE">
        <w:rPr>
          <w:i/>
          <w:iCs/>
          <w:szCs w:val="24"/>
          <w:u w:val="single"/>
        </w:rPr>
        <w:t xml:space="preserve">Psi-factors </w:t>
      </w:r>
      <w:r w:rsidRPr="00DB1AEE">
        <w:rPr>
          <w:szCs w:val="24"/>
          <w:u w:val="single"/>
        </w:rPr>
        <w:t xml:space="preserve">and </w:t>
      </w:r>
      <w:r w:rsidRPr="00DB1AEE">
        <w:rPr>
          <w:i/>
          <w:iCs/>
          <w:szCs w:val="24"/>
          <w:u w:val="single"/>
        </w:rPr>
        <w:t xml:space="preserve">chi-factors </w:t>
      </w:r>
      <w:r w:rsidRPr="00DB1AEE">
        <w:rPr>
          <w:szCs w:val="24"/>
          <w:u w:val="single"/>
        </w:rPr>
        <w:t xml:space="preserve">for </w:t>
      </w:r>
      <w:r w:rsidRPr="00DB1AEE">
        <w:rPr>
          <w:i/>
          <w:iCs/>
          <w:szCs w:val="24"/>
          <w:u w:val="single"/>
        </w:rPr>
        <w:t xml:space="preserve">thermal bridges </w:t>
      </w:r>
      <w:r w:rsidRPr="00DB1AEE">
        <w:rPr>
          <w:szCs w:val="24"/>
          <w:u w:val="single"/>
        </w:rPr>
        <w:t xml:space="preserve">shall be determined in accordance with Normative Appendix A, Section A10. The following intersections shall be evaluated for </w:t>
      </w:r>
      <w:r w:rsidRPr="00DB1AEE">
        <w:rPr>
          <w:i/>
          <w:iCs/>
          <w:szCs w:val="24"/>
          <w:u w:val="single"/>
        </w:rPr>
        <w:t>thermal bridges</w:t>
      </w:r>
      <w:r w:rsidRPr="00DB1AEE">
        <w:rPr>
          <w:szCs w:val="24"/>
          <w:u w:val="single"/>
        </w:rPr>
        <w:t xml:space="preserve"> and be detailed in construction documents: </w:t>
      </w:r>
    </w:p>
    <w:p w14:paraId="4DF6443E" w14:textId="77777777" w:rsidR="00DB1AEE" w:rsidRPr="00DB1AEE" w:rsidRDefault="00DB1AEE" w:rsidP="00DB1AEE">
      <w:pPr>
        <w:widowControl w:val="0"/>
        <w:numPr>
          <w:ilvl w:val="0"/>
          <w:numId w:val="131"/>
        </w:numPr>
        <w:suppressAutoHyphens/>
        <w:spacing w:before="120" w:after="120"/>
        <w:ind w:left="720"/>
        <w:contextualSpacing/>
        <w:jc w:val="left"/>
        <w:rPr>
          <w:szCs w:val="24"/>
          <w:u w:val="single"/>
        </w:rPr>
      </w:pPr>
      <w:r w:rsidRPr="00DB1AEE">
        <w:rPr>
          <w:szCs w:val="24"/>
          <w:u w:val="single"/>
        </w:rPr>
        <w:t xml:space="preserve">Structural framing and members. </w:t>
      </w:r>
    </w:p>
    <w:p w14:paraId="7BA4CD92" w14:textId="77777777" w:rsidR="00DB1AEE" w:rsidRPr="00DB1AEE" w:rsidRDefault="00DB1AEE" w:rsidP="00DB1AEE">
      <w:pPr>
        <w:widowControl w:val="0"/>
        <w:numPr>
          <w:ilvl w:val="0"/>
          <w:numId w:val="131"/>
        </w:numPr>
        <w:suppressAutoHyphens/>
        <w:spacing w:before="120" w:after="120"/>
        <w:ind w:left="720"/>
        <w:contextualSpacing/>
        <w:jc w:val="left"/>
        <w:rPr>
          <w:szCs w:val="24"/>
          <w:u w:val="single"/>
        </w:rPr>
      </w:pPr>
      <w:r w:rsidRPr="00DB1AEE">
        <w:rPr>
          <w:szCs w:val="24"/>
          <w:u w:val="single"/>
        </w:rPr>
        <w:t>Cladding attachment systems</w:t>
      </w:r>
    </w:p>
    <w:p w14:paraId="7C6F4C14" w14:textId="77777777" w:rsidR="00DB1AEE" w:rsidRPr="00DB1AEE" w:rsidRDefault="00DB1AEE" w:rsidP="00DB1AEE">
      <w:pPr>
        <w:widowControl w:val="0"/>
        <w:numPr>
          <w:ilvl w:val="0"/>
          <w:numId w:val="131"/>
        </w:numPr>
        <w:suppressAutoHyphens/>
        <w:spacing w:before="120" w:after="120"/>
        <w:ind w:left="720"/>
        <w:contextualSpacing/>
        <w:jc w:val="left"/>
        <w:rPr>
          <w:szCs w:val="24"/>
          <w:u w:val="single"/>
        </w:rPr>
      </w:pPr>
      <w:r w:rsidRPr="00DB1AEE">
        <w:rPr>
          <w:szCs w:val="24"/>
          <w:u w:val="single"/>
        </w:rPr>
        <w:t xml:space="preserve">Assembly intersections: </w:t>
      </w:r>
    </w:p>
    <w:p w14:paraId="54C686C9" w14:textId="77777777" w:rsidR="00DB1AEE" w:rsidRPr="00DB1AEE" w:rsidRDefault="00DB1AEE" w:rsidP="00DB1AEE">
      <w:pPr>
        <w:widowControl w:val="0"/>
        <w:numPr>
          <w:ilvl w:val="0"/>
          <w:numId w:val="130"/>
        </w:numPr>
        <w:suppressAutoHyphens/>
        <w:spacing w:before="120" w:after="120"/>
        <w:ind w:left="720"/>
        <w:contextualSpacing/>
        <w:jc w:val="left"/>
        <w:rPr>
          <w:szCs w:val="24"/>
          <w:u w:val="single"/>
        </w:rPr>
      </w:pPr>
      <w:r w:rsidRPr="00DB1AEE">
        <w:rPr>
          <w:szCs w:val="24"/>
          <w:u w:val="single"/>
        </w:rPr>
        <w:t>Roof edge, parapet</w:t>
      </w:r>
    </w:p>
    <w:p w14:paraId="5F2DC008" w14:textId="77777777" w:rsidR="00DB1AEE" w:rsidRPr="00DB1AEE" w:rsidRDefault="00DB1AEE" w:rsidP="00DB1AEE">
      <w:pPr>
        <w:widowControl w:val="0"/>
        <w:numPr>
          <w:ilvl w:val="0"/>
          <w:numId w:val="130"/>
        </w:numPr>
        <w:suppressAutoHyphens/>
        <w:spacing w:before="120" w:after="120"/>
        <w:ind w:left="720"/>
        <w:contextualSpacing/>
        <w:jc w:val="left"/>
        <w:rPr>
          <w:szCs w:val="24"/>
          <w:u w:val="single"/>
        </w:rPr>
      </w:pPr>
      <w:r w:rsidRPr="00DB1AEE">
        <w:rPr>
          <w:szCs w:val="24"/>
          <w:u w:val="single"/>
        </w:rPr>
        <w:t>Intermediate floor to wall intersection</w:t>
      </w:r>
    </w:p>
    <w:p w14:paraId="792CEC23" w14:textId="77777777" w:rsidR="00DB1AEE" w:rsidRPr="00DB1AEE" w:rsidRDefault="00DB1AEE" w:rsidP="00DB1AEE">
      <w:pPr>
        <w:widowControl w:val="0"/>
        <w:numPr>
          <w:ilvl w:val="0"/>
          <w:numId w:val="130"/>
        </w:numPr>
        <w:suppressAutoHyphens/>
        <w:spacing w:before="120" w:after="120"/>
        <w:ind w:left="720"/>
        <w:contextualSpacing/>
        <w:jc w:val="left"/>
        <w:rPr>
          <w:szCs w:val="24"/>
          <w:u w:val="single"/>
        </w:rPr>
      </w:pPr>
      <w:r w:rsidRPr="00DB1AEE">
        <w:rPr>
          <w:szCs w:val="24"/>
          <w:u w:val="single"/>
        </w:rPr>
        <w:t>Intermediate floor balcony or overhang to opaque wall intersection</w:t>
      </w:r>
    </w:p>
    <w:p w14:paraId="4B6BF6DF" w14:textId="77777777" w:rsidR="00DB1AEE" w:rsidRPr="00DB1AEE" w:rsidRDefault="00DB1AEE" w:rsidP="00DB1AEE">
      <w:pPr>
        <w:widowControl w:val="0"/>
        <w:numPr>
          <w:ilvl w:val="0"/>
          <w:numId w:val="130"/>
        </w:numPr>
        <w:suppressAutoHyphens/>
        <w:spacing w:before="120" w:after="120"/>
        <w:ind w:left="720"/>
        <w:contextualSpacing/>
        <w:jc w:val="left"/>
        <w:rPr>
          <w:szCs w:val="24"/>
          <w:u w:val="single"/>
        </w:rPr>
      </w:pPr>
      <w:r w:rsidRPr="00DB1AEE">
        <w:rPr>
          <w:szCs w:val="24"/>
          <w:u w:val="single"/>
        </w:rPr>
        <w:t>Intermediate floor balcony in contact with vertical fenestration</w:t>
      </w:r>
    </w:p>
    <w:p w14:paraId="07EAA21B" w14:textId="77777777" w:rsidR="00DB1AEE" w:rsidRPr="00DB1AEE" w:rsidRDefault="00DB1AEE" w:rsidP="00DB1AEE">
      <w:pPr>
        <w:widowControl w:val="0"/>
        <w:numPr>
          <w:ilvl w:val="0"/>
          <w:numId w:val="130"/>
        </w:numPr>
        <w:suppressAutoHyphens/>
        <w:spacing w:before="120" w:after="120"/>
        <w:ind w:left="720"/>
        <w:contextualSpacing/>
        <w:jc w:val="left"/>
        <w:rPr>
          <w:szCs w:val="24"/>
          <w:u w:val="single"/>
        </w:rPr>
      </w:pPr>
      <w:r w:rsidRPr="00DB1AEE">
        <w:rPr>
          <w:szCs w:val="24"/>
          <w:u w:val="single"/>
        </w:rPr>
        <w:t>Cladding support</w:t>
      </w:r>
    </w:p>
    <w:p w14:paraId="4F599829" w14:textId="77777777" w:rsidR="00DB1AEE" w:rsidRPr="00DB1AEE" w:rsidRDefault="00DB1AEE" w:rsidP="00DB1AEE">
      <w:pPr>
        <w:widowControl w:val="0"/>
        <w:numPr>
          <w:ilvl w:val="0"/>
          <w:numId w:val="130"/>
        </w:numPr>
        <w:suppressAutoHyphens/>
        <w:spacing w:before="120" w:after="120"/>
        <w:ind w:left="720"/>
        <w:contextualSpacing/>
        <w:jc w:val="left"/>
        <w:rPr>
          <w:szCs w:val="24"/>
          <w:u w:val="single"/>
        </w:rPr>
      </w:pPr>
      <w:r w:rsidRPr="00DB1AEE">
        <w:rPr>
          <w:szCs w:val="24"/>
          <w:u w:val="single"/>
        </w:rPr>
        <w:t>Wall to vertical fenestration intersection</w:t>
      </w:r>
    </w:p>
    <w:p w14:paraId="3B2F3922" w14:textId="77777777" w:rsidR="00DB1AEE" w:rsidRPr="00DB1AEE" w:rsidRDefault="00DB1AEE" w:rsidP="00DB1AEE">
      <w:pPr>
        <w:suppressAutoHyphens/>
        <w:spacing w:before="120" w:after="120"/>
        <w:ind w:left="360"/>
        <w:jc w:val="left"/>
        <w:rPr>
          <w:szCs w:val="24"/>
          <w:u w:val="single"/>
        </w:rPr>
      </w:pPr>
      <w:r w:rsidRPr="00DB1AEE">
        <w:rPr>
          <w:szCs w:val="24"/>
          <w:u w:val="single"/>
        </w:rPr>
        <w:t xml:space="preserve">Details shall include the total length of each </w:t>
      </w:r>
      <w:r w:rsidRPr="00DB1AEE">
        <w:rPr>
          <w:i/>
          <w:iCs/>
          <w:szCs w:val="24"/>
          <w:u w:val="single"/>
        </w:rPr>
        <w:t>linear</w:t>
      </w:r>
      <w:r w:rsidRPr="00DB1AEE">
        <w:rPr>
          <w:szCs w:val="24"/>
          <w:u w:val="single"/>
        </w:rPr>
        <w:t xml:space="preserve"> </w:t>
      </w:r>
      <w:r w:rsidRPr="00DB1AEE">
        <w:rPr>
          <w:i/>
          <w:iCs/>
          <w:szCs w:val="24"/>
          <w:u w:val="single"/>
        </w:rPr>
        <w:t>thermal bridge</w:t>
      </w:r>
      <w:r w:rsidRPr="00DB1AEE">
        <w:rPr>
          <w:szCs w:val="24"/>
          <w:u w:val="single"/>
        </w:rPr>
        <w:t xml:space="preserve">, corresponding </w:t>
      </w:r>
      <w:r w:rsidRPr="00DB1AEE">
        <w:rPr>
          <w:i/>
          <w:iCs/>
          <w:szCs w:val="24"/>
          <w:u w:val="single"/>
        </w:rPr>
        <w:t>psi-factors</w:t>
      </w:r>
      <w:r w:rsidRPr="00DB1AEE">
        <w:rPr>
          <w:szCs w:val="24"/>
          <w:u w:val="single"/>
        </w:rPr>
        <w:t xml:space="preserve"> and source. Details shall include </w:t>
      </w:r>
      <w:r w:rsidRPr="00DB1AEE">
        <w:rPr>
          <w:i/>
          <w:iCs/>
          <w:szCs w:val="24"/>
          <w:u w:val="single"/>
        </w:rPr>
        <w:t>point thermal bridges</w:t>
      </w:r>
      <w:r w:rsidRPr="00DB1AEE">
        <w:rPr>
          <w:szCs w:val="24"/>
          <w:u w:val="single"/>
        </w:rPr>
        <w:t xml:space="preserve">, including their cross-sectional area and quantity of each type, corresponding </w:t>
      </w:r>
      <w:r w:rsidRPr="00DB1AEE">
        <w:rPr>
          <w:i/>
          <w:iCs/>
          <w:szCs w:val="24"/>
          <w:u w:val="single"/>
        </w:rPr>
        <w:t>chi-factors</w:t>
      </w:r>
      <w:r w:rsidRPr="00DB1AEE">
        <w:rPr>
          <w:szCs w:val="24"/>
          <w:u w:val="single"/>
        </w:rPr>
        <w:t xml:space="preserve"> and source.</w:t>
      </w:r>
    </w:p>
    <w:p w14:paraId="1DAF97D5" w14:textId="77777777" w:rsidR="00DB1AEE" w:rsidRPr="00DB1AEE" w:rsidRDefault="00DB1AEE" w:rsidP="00DB1AEE">
      <w:pPr>
        <w:suppressAutoHyphens/>
        <w:spacing w:before="120" w:after="120"/>
        <w:ind w:left="360"/>
        <w:jc w:val="left"/>
        <w:rPr>
          <w:szCs w:val="24"/>
          <w:u w:val="single"/>
        </w:rPr>
      </w:pPr>
      <w:r w:rsidRPr="00DB1AEE">
        <w:rPr>
          <w:b/>
          <w:bCs/>
          <w:szCs w:val="24"/>
          <w:u w:val="single"/>
        </w:rPr>
        <w:t xml:space="preserve">Exception: </w:t>
      </w:r>
      <w:r w:rsidRPr="00DB1AEE">
        <w:rPr>
          <w:szCs w:val="24"/>
          <w:u w:val="single"/>
        </w:rPr>
        <w:t xml:space="preserve">HVAC or electrical system </w:t>
      </w:r>
      <w:r w:rsidRPr="00DB1AEE">
        <w:rPr>
          <w:i/>
          <w:iCs/>
          <w:szCs w:val="24"/>
          <w:u w:val="single"/>
        </w:rPr>
        <w:t>point thermal bridges</w:t>
      </w:r>
      <w:r w:rsidRPr="00DB1AEE">
        <w:rPr>
          <w:szCs w:val="24"/>
          <w:u w:val="single"/>
        </w:rPr>
        <w:t xml:space="preserve"> totaling less than 12 square inches (7742 mm</w:t>
      </w:r>
      <w:r w:rsidRPr="00DB1AEE">
        <w:rPr>
          <w:szCs w:val="24"/>
          <w:u w:val="single"/>
          <w:vertAlign w:val="superscript"/>
        </w:rPr>
        <w:t>2</w:t>
      </w:r>
      <w:r w:rsidRPr="00DB1AEE">
        <w:rPr>
          <w:szCs w:val="24"/>
          <w:u w:val="single"/>
        </w:rPr>
        <w:t xml:space="preserve">) of cross-sectional area at exposure. </w:t>
      </w:r>
    </w:p>
    <w:p w14:paraId="74608EFB" w14:textId="77777777" w:rsidR="00DB1AEE" w:rsidRPr="00DB1AEE" w:rsidRDefault="00DB1AEE" w:rsidP="00DB1AEE">
      <w:pPr>
        <w:suppressAutoHyphens/>
        <w:ind w:left="360"/>
        <w:jc w:val="left"/>
        <w:rPr>
          <w:b/>
          <w:bCs/>
          <w:szCs w:val="24"/>
        </w:rPr>
      </w:pPr>
    </w:p>
    <w:p w14:paraId="375A33C3" w14:textId="77777777" w:rsidR="00DB1AEE" w:rsidRPr="00DB1AEE" w:rsidRDefault="00DB1AEE" w:rsidP="00DB1AEE">
      <w:pPr>
        <w:widowControl w:val="0"/>
        <w:suppressAutoHyphens/>
        <w:spacing w:before="130" w:after="130"/>
        <w:ind w:left="360"/>
        <w:jc w:val="left"/>
        <w:rPr>
          <w:b/>
          <w:bCs/>
          <w:u w:val="single"/>
        </w:rPr>
      </w:pPr>
    </w:p>
    <w:p w14:paraId="1A808DFE" w14:textId="77777777" w:rsidR="00DB1AEE" w:rsidRPr="00DB1AEE" w:rsidRDefault="00DB1AEE" w:rsidP="00DB1AEE">
      <w:pPr>
        <w:widowControl w:val="0"/>
        <w:suppressAutoHyphens/>
        <w:spacing w:before="130" w:after="130"/>
        <w:jc w:val="left"/>
        <w:rPr>
          <w:b/>
          <w:bCs/>
          <w:u w:val="single"/>
        </w:rPr>
      </w:pPr>
      <w:r w:rsidRPr="00DB1AEE">
        <w:rPr>
          <w:b/>
          <w:bCs/>
          <w:u w:val="single"/>
        </w:rPr>
        <w:t xml:space="preserve">Normative Appendix C- Methodology for Building Envelope Trade-Off Option in Section 5.6.   </w:t>
      </w:r>
    </w:p>
    <w:p w14:paraId="50D40E0F" w14:textId="77777777" w:rsidR="00DB1AEE" w:rsidRPr="00DB1AEE" w:rsidRDefault="00DB1AEE" w:rsidP="00DB1AEE">
      <w:pPr>
        <w:widowControl w:val="0"/>
        <w:suppressAutoHyphens/>
        <w:spacing w:before="130" w:after="130"/>
        <w:jc w:val="left"/>
        <w:rPr>
          <w:b/>
          <w:bCs/>
          <w:szCs w:val="24"/>
          <w:u w:val="single"/>
        </w:rPr>
      </w:pPr>
      <w:r w:rsidRPr="00DB1AEE">
        <w:rPr>
          <w:b/>
          <w:bCs/>
          <w:szCs w:val="24"/>
          <w:u w:val="single"/>
        </w:rPr>
        <w:t>Section C3.5.5.4 Thermal Bridges.</w:t>
      </w:r>
    </w:p>
    <w:p w14:paraId="722C258B" w14:textId="77777777" w:rsidR="00DB1AEE" w:rsidRPr="00DB1AEE" w:rsidRDefault="00DB1AEE" w:rsidP="00DB1AEE">
      <w:pPr>
        <w:widowControl w:val="0"/>
        <w:suppressAutoHyphens/>
        <w:spacing w:before="130" w:after="130"/>
        <w:jc w:val="left"/>
        <w:rPr>
          <w:u w:val="single"/>
        </w:rPr>
      </w:pPr>
      <w:r w:rsidRPr="00DB1AEE">
        <w:rPr>
          <w:u w:val="single"/>
        </w:rPr>
        <w:t>Section C3.5.5.4 – Revise  Section C3.5.5.4 to read as follows:</w:t>
      </w:r>
    </w:p>
    <w:p w14:paraId="22A94C5E" w14:textId="77777777" w:rsidR="00DB1AEE" w:rsidRPr="00DB1AEE" w:rsidRDefault="00DB1AEE" w:rsidP="00DB1AEE">
      <w:pPr>
        <w:widowControl w:val="0"/>
        <w:suppressAutoHyphens/>
        <w:spacing w:before="130" w:after="130"/>
        <w:ind w:left="360"/>
        <w:jc w:val="left"/>
        <w:rPr>
          <w:b/>
          <w:bCs/>
          <w:u w:val="single"/>
        </w:rPr>
      </w:pPr>
      <w:r w:rsidRPr="00DB1AEE">
        <w:rPr>
          <w:b/>
          <w:bCs/>
          <w:u w:val="single"/>
        </w:rPr>
        <w:t xml:space="preserve">C3.5.5.4 Thermal Bridges. </w:t>
      </w:r>
    </w:p>
    <w:p w14:paraId="53E38A30" w14:textId="77777777" w:rsidR="00DB1AEE" w:rsidRPr="00DB1AEE" w:rsidRDefault="00DB1AEE" w:rsidP="00DB1AEE">
      <w:pPr>
        <w:widowControl w:val="0"/>
        <w:suppressAutoHyphens/>
        <w:spacing w:before="130" w:after="130"/>
        <w:ind w:left="360"/>
        <w:jc w:val="left"/>
        <w:rPr>
          <w:u w:val="single"/>
        </w:rPr>
      </w:pPr>
      <w:r w:rsidRPr="00DB1AEE">
        <w:rPr>
          <w:u w:val="single"/>
        </w:rPr>
        <w:t>Linear and point thermal bridges in the proposed design shall be one of the following:</w:t>
      </w:r>
    </w:p>
    <w:p w14:paraId="5B393DAF" w14:textId="77777777" w:rsidR="00DB1AEE" w:rsidRPr="00DB1AEE" w:rsidRDefault="00DB1AEE" w:rsidP="00DB1AEE">
      <w:pPr>
        <w:widowControl w:val="0"/>
        <w:suppressAutoHyphens/>
        <w:spacing w:before="130" w:after="130"/>
        <w:ind w:left="648" w:hanging="288"/>
        <w:jc w:val="left"/>
        <w:rPr>
          <w:u w:val="single"/>
        </w:rPr>
      </w:pPr>
      <w:r w:rsidRPr="00DB1AEE">
        <w:rPr>
          <w:u w:val="single"/>
        </w:rPr>
        <w:t>a. Not modeled where option (a) or (c) is selected in Section C1.2.7.</w:t>
      </w:r>
    </w:p>
    <w:p w14:paraId="3E005225" w14:textId="77777777" w:rsidR="00DB1AEE" w:rsidRPr="00DB1AEE" w:rsidRDefault="00DB1AEE" w:rsidP="00DB1AEE">
      <w:pPr>
        <w:widowControl w:val="0"/>
        <w:suppressAutoHyphens/>
        <w:spacing w:before="130" w:after="130"/>
        <w:ind w:left="648" w:hanging="288"/>
        <w:jc w:val="left"/>
        <w:rPr>
          <w:u w:val="single"/>
        </w:rPr>
      </w:pPr>
      <w:r w:rsidRPr="00DB1AEE">
        <w:rPr>
          <w:u w:val="single"/>
        </w:rPr>
        <w:t>b. Entered as individual thermal bridge inputs of length or count where option (b) is selected in Section C1.2.7 and addressed as follows:</w:t>
      </w:r>
    </w:p>
    <w:p w14:paraId="2D5C1AAD" w14:textId="77777777" w:rsidR="00DB1AEE" w:rsidRPr="00DB1AEE" w:rsidRDefault="00DB1AEE" w:rsidP="00DB1AEE">
      <w:pPr>
        <w:widowControl w:val="0"/>
        <w:suppressAutoHyphens/>
        <w:spacing w:before="130" w:after="130"/>
        <w:ind w:left="936" w:hanging="288"/>
        <w:jc w:val="left"/>
        <w:rPr>
          <w:u w:val="single"/>
        </w:rPr>
      </w:pPr>
      <w:r w:rsidRPr="00DB1AEE">
        <w:rPr>
          <w:u w:val="single"/>
        </w:rPr>
        <w:t>1. Individual thermal bridges in the proposed design that are indicated to comply with the requirements of Sections 5.5.5.1 through 5.5.5.5 shall be modeled with the user-defined psi-factor or chi-factors or the default values from Table A10.1.</w:t>
      </w:r>
    </w:p>
    <w:p w14:paraId="41783265" w14:textId="77777777" w:rsidR="00DB1AEE" w:rsidRPr="00DB1AEE" w:rsidRDefault="00DB1AEE" w:rsidP="00DB1AEE">
      <w:pPr>
        <w:widowControl w:val="0"/>
        <w:suppressAutoHyphens/>
        <w:spacing w:before="130" w:after="130"/>
        <w:ind w:left="936" w:hanging="288"/>
        <w:jc w:val="left"/>
        <w:rPr>
          <w:u w:val="single"/>
        </w:rPr>
      </w:pPr>
      <w:r w:rsidRPr="00DB1AEE">
        <w:rPr>
          <w:u w:val="single"/>
        </w:rPr>
        <w:t>2. Individual thermal bridges in the proposed design that are indicated to not comply with the requirements of Sections 5.5.5.1 through 5.5.5.5 shall be modeled with the user-defined psi-factor or chi-factors or the unmitigated values from Table A10.1.</w:t>
      </w:r>
    </w:p>
    <w:p w14:paraId="3B321479" w14:textId="77777777" w:rsidR="00DB1AEE" w:rsidRPr="00DB1AEE" w:rsidRDefault="00DB1AEE" w:rsidP="00DB1AEE">
      <w:pPr>
        <w:widowControl w:val="0"/>
        <w:suppressAutoHyphens/>
        <w:spacing w:before="130" w:after="130"/>
        <w:ind w:left="936" w:hanging="288"/>
        <w:jc w:val="left"/>
        <w:rPr>
          <w:u w:val="single"/>
        </w:rPr>
      </w:pPr>
      <w:r w:rsidRPr="00DB1AEE">
        <w:rPr>
          <w:u w:val="single"/>
        </w:rPr>
        <w:t>3. Individual thermal bridges in the proposed design that are indicated to be not applicable with the requirements of Sections 5.5.5.1 through 5.5.5.5 need not be modeled.</w:t>
      </w:r>
    </w:p>
    <w:p w14:paraId="0B484040" w14:textId="77777777" w:rsidR="00DB1AEE" w:rsidRPr="00DB1AEE" w:rsidRDefault="00DB1AEE" w:rsidP="00DB1AEE">
      <w:pPr>
        <w:widowControl w:val="0"/>
        <w:suppressAutoHyphens/>
        <w:spacing w:before="130" w:after="130"/>
        <w:jc w:val="left"/>
        <w:rPr>
          <w:b/>
          <w:bCs/>
          <w:u w:val="single"/>
        </w:rPr>
      </w:pPr>
    </w:p>
    <w:p w14:paraId="6DD58601" w14:textId="77777777" w:rsidR="00DB1AEE" w:rsidRPr="00DB1AEE" w:rsidRDefault="00DB1AEE" w:rsidP="00DB1AEE">
      <w:pPr>
        <w:widowControl w:val="0"/>
        <w:suppressAutoHyphens/>
        <w:spacing w:before="130" w:after="130"/>
        <w:jc w:val="left"/>
        <w:rPr>
          <w:b/>
          <w:bCs/>
          <w:u w:val="single"/>
        </w:rPr>
      </w:pPr>
      <w:r w:rsidRPr="00DB1AEE">
        <w:rPr>
          <w:b/>
          <w:bCs/>
          <w:u w:val="single"/>
        </w:rPr>
        <w:t xml:space="preserve">Normative Appendix G- Performance Rating Method.   </w:t>
      </w:r>
    </w:p>
    <w:p w14:paraId="3382BB64" w14:textId="77777777" w:rsidR="00DB1AEE" w:rsidRPr="00DB1AEE" w:rsidRDefault="00DB1AEE" w:rsidP="00DB1AEE">
      <w:pPr>
        <w:widowControl w:val="0"/>
        <w:suppressAutoHyphens/>
        <w:spacing w:before="130" w:after="130"/>
        <w:jc w:val="left"/>
        <w:rPr>
          <w:b/>
          <w:bCs/>
          <w:szCs w:val="24"/>
          <w:u w:val="single"/>
        </w:rPr>
      </w:pPr>
      <w:r w:rsidRPr="00DB1AEE">
        <w:rPr>
          <w:b/>
          <w:bCs/>
          <w:szCs w:val="24"/>
          <w:u w:val="single"/>
        </w:rPr>
        <w:t>Section G1.4 Energy Modeler Qualifications.</w:t>
      </w:r>
    </w:p>
    <w:p w14:paraId="395BBBE0" w14:textId="77777777" w:rsidR="00DB1AEE" w:rsidRPr="00DB1AEE" w:rsidRDefault="00DB1AEE" w:rsidP="00DB1AEE">
      <w:pPr>
        <w:widowControl w:val="0"/>
        <w:suppressAutoHyphens/>
        <w:spacing w:before="130" w:after="130"/>
        <w:jc w:val="left"/>
        <w:rPr>
          <w:u w:val="single"/>
        </w:rPr>
      </w:pPr>
      <w:r w:rsidRPr="00DB1AEE">
        <w:rPr>
          <w:u w:val="single"/>
        </w:rPr>
        <w:t>Section G1.4 – Add new Section G1.4 to read as follows:</w:t>
      </w:r>
    </w:p>
    <w:p w14:paraId="0F436455" w14:textId="77777777" w:rsidR="00DB1AEE" w:rsidRPr="00DB1AEE" w:rsidRDefault="00DB1AEE" w:rsidP="00DB1AEE">
      <w:pPr>
        <w:widowControl w:val="0"/>
        <w:suppressAutoHyphens/>
        <w:spacing w:before="130" w:after="130"/>
        <w:ind w:left="648" w:hanging="288"/>
        <w:jc w:val="left"/>
        <w:rPr>
          <w:b/>
          <w:bCs/>
          <w:u w:val="single"/>
        </w:rPr>
      </w:pPr>
      <w:r w:rsidRPr="00DB1AEE">
        <w:rPr>
          <w:b/>
          <w:bCs/>
          <w:u w:val="single"/>
        </w:rPr>
        <w:t>G1.4 Energy Modeler Qualifications</w:t>
      </w:r>
    </w:p>
    <w:p w14:paraId="276CD032" w14:textId="77777777" w:rsidR="00DB1AEE" w:rsidRPr="00DB1AEE" w:rsidRDefault="00DB1AEE" w:rsidP="00DB1AEE">
      <w:pPr>
        <w:widowControl w:val="0"/>
        <w:suppressAutoHyphens/>
        <w:spacing w:before="130" w:after="130"/>
        <w:ind w:left="360"/>
        <w:jc w:val="left"/>
        <w:rPr>
          <w:u w:val="single"/>
        </w:rPr>
      </w:pPr>
      <w:r w:rsidRPr="00DB1AEE">
        <w:rPr>
          <w:u w:val="single"/>
        </w:rPr>
        <w:t>Energy models shall be created by persons qualified by education and training to perform such work. The submitted modeling documentation shall</w:t>
      </w:r>
      <w:r w:rsidRPr="00DB1AEE">
        <w:t xml:space="preserve"> </w:t>
      </w:r>
      <w:r w:rsidRPr="00DB1AEE">
        <w:rPr>
          <w:u w:val="single"/>
        </w:rPr>
        <w:t>include the name, affiliation, credentials, and contact information of either a registered design professional be signed either with a minimum of two years of experience in modeling buildings of similar size and complexity or an individual with an active certification from ASHRAE as a Building Energy Modeling Professional (BEMP) that completed or supervised the energy modeling.</w:t>
      </w:r>
    </w:p>
    <w:p w14:paraId="147BD44D" w14:textId="77777777" w:rsidR="00DB1AEE" w:rsidRPr="00DB1AEE" w:rsidRDefault="00DB1AEE" w:rsidP="00DB1AEE">
      <w:pPr>
        <w:suppressAutoHyphens/>
        <w:spacing w:line="480" w:lineRule="auto"/>
        <w:ind w:firstLine="1440"/>
      </w:pPr>
    </w:p>
    <w:p w14:paraId="6D8C420C" w14:textId="77777777" w:rsidR="00DB1AEE" w:rsidRPr="00DB1AEE" w:rsidRDefault="00DB1AEE" w:rsidP="00DB1AEE">
      <w:pPr>
        <w:suppressAutoHyphens/>
        <w:spacing w:line="480" w:lineRule="auto"/>
        <w:ind w:firstLine="360"/>
      </w:pPr>
      <w:r w:rsidRPr="00DB1AEE">
        <w:t>§ 4. This local law shall take effect on the same date of that New York State Energy Conservation Construction Code, as adopted on October 1, 2025, by the State Fire Prevention and Building Code Council pursuant to Article 11 of the New York State Energy Law, takes effect, except that if this local law becomes law after such date, it is retroactive to and deemed to have been in effect as of the effective date of such  New York State Energy Conservation Construction Code.</w:t>
      </w:r>
    </w:p>
    <w:p w14:paraId="0D212DA1" w14:textId="77777777" w:rsidR="00DB1AEE" w:rsidRDefault="00DB1AEE" w:rsidP="002E2E3B">
      <w:pPr>
        <w:suppressLineNumbers/>
        <w:suppressAutoHyphens/>
        <w:jc w:val="center"/>
        <w:outlineLvl w:val="2"/>
      </w:pPr>
    </w:p>
    <w:sectPr w:rsidR="00DB1AEE" w:rsidSect="00DB1AEE">
      <w:footerReference w:type="default" r:id="rId99"/>
      <w:footerReference w:type="first" r:id="rId100"/>
      <w:pgSz w:w="12240" w:h="15840" w:code="1"/>
      <w:pgMar w:top="1440" w:right="1440" w:bottom="965" w:left="1440" w:header="1440" w:footer="965" w:gutter="0"/>
      <w:lnNumType w:countBy="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B34E0B" w14:textId="77777777" w:rsidR="00B46692" w:rsidRDefault="00B46692" w:rsidP="00BA6D2B">
      <w:r>
        <w:separator/>
      </w:r>
    </w:p>
  </w:endnote>
  <w:endnote w:type="continuationSeparator" w:id="0">
    <w:p w14:paraId="3B5BD36B" w14:textId="77777777" w:rsidR="00B46692" w:rsidRDefault="00B46692" w:rsidP="00BA6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Times New Roman">
    <w:altName w:val="Calibri"/>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Times New Roman Bold">
    <w:panose1 w:val="020208030705050203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Times New Roman PS MT">
    <w:altName w:val="Times New Roman"/>
    <w:panose1 w:val="00000000000000000000"/>
    <w:charset w:val="00"/>
    <w:family w:val="modern"/>
    <w:notTrueType/>
    <w:pitch w:val="variable"/>
    <w:sig w:usb0="00000003" w:usb1="00000000" w:usb2="00000000" w:usb3="00000000" w:csb0="00000001" w:csb1="00000000"/>
  </w:font>
  <w:font w:name="Auto 1 LF">
    <w:altName w:val="Calibri"/>
    <w:charset w:val="00"/>
    <w:family w:val="swiss"/>
    <w:pitch w:val="variable"/>
    <w:sig w:usb0="800000AF" w:usb1="4000204A" w:usb2="00000000" w:usb3="00000000" w:csb0="00000093" w:csb1="00000000"/>
  </w:font>
  <w:font w:name="Cambria">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TimesNewRoman">
    <w:altName w:val="MS Gothic"/>
    <w:panose1 w:val="00000000000000000000"/>
    <w:charset w:val="80"/>
    <w:family w:val="auto"/>
    <w:notTrueType/>
    <w:pitch w:val="default"/>
    <w:sig w:usb0="00000000" w:usb1="08070000" w:usb2="00000010" w:usb3="00000000" w:csb0="00020000" w:csb1="00000000"/>
  </w:font>
  <w:font w:name="Helvetica Neue">
    <w:charset w:val="00"/>
    <w:family w:val="auto"/>
    <w:pitch w:val="variable"/>
    <w:sig w:usb0="E50002FF" w:usb1="500079DB" w:usb2="00000010" w:usb3="00000000" w:csb0="00000001" w:csb1="00000000"/>
  </w:font>
  <w:font w:name="TimesNewRoman,Bold">
    <w:altName w:val="Yu Gothic"/>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SourceSansPro-It">
    <w:altName w:val="Calibri"/>
    <w:panose1 w:val="00000000000000000000"/>
    <w:charset w:val="00"/>
    <w:family w:val="auto"/>
    <w:notTrueType/>
    <w:pitch w:val="default"/>
    <w:sig w:usb0="00000003" w:usb1="00000000" w:usb2="00000000" w:usb3="00000000" w:csb0="00000001" w:csb1="00000000"/>
  </w:font>
  <w:font w:name="SourceSansPro-Regular">
    <w:altName w:val="Yu Gothic"/>
    <w:panose1 w:val="00000000000000000000"/>
    <w:charset w:val="80"/>
    <w:family w:val="auto"/>
    <w:notTrueType/>
    <w:pitch w:val="default"/>
    <w:sig w:usb0="00000001" w:usb1="08070000" w:usb2="00000010" w:usb3="00000000" w:csb0="00020000" w:csb1="00000000"/>
  </w:font>
  <w:font w:name="MS Mincho">
    <w:altName w:val="Yu Gothic UI"/>
    <w:panose1 w:val="02020609040205080304"/>
    <w:charset w:val="80"/>
    <w:family w:val="modern"/>
    <w:pitch w:val="fixed"/>
    <w:sig w:usb0="E00002FF" w:usb1="6AC7FDFB" w:usb2="08000012" w:usb3="00000000" w:csb0="0002009F" w:csb1="00000000"/>
  </w:font>
  <w:font w:name="Microsoft Sans Serif">
    <w:panose1 w:val="020B0604020202020204"/>
    <w:charset w:val="00"/>
    <w:family w:val="swiss"/>
    <w:pitch w:val="variable"/>
    <w:sig w:usb0="E5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14:paraId="24A1124F" w14:textId="07B89958" w:rsidR="00EA6917" w:rsidRDefault="00EA6917">
        <w:pPr>
          <w:pStyle w:val="Footer"/>
          <w:jc w:val="center"/>
        </w:pPr>
        <w:r>
          <w:fldChar w:fldCharType="begin"/>
        </w:r>
        <w:r>
          <w:instrText xml:space="preserve"> PAGE   \* MERGEFORMAT </w:instrText>
        </w:r>
        <w:r>
          <w:fldChar w:fldCharType="separate"/>
        </w:r>
        <w:r w:rsidR="00EA0E3E">
          <w:rPr>
            <w:noProof/>
          </w:rPr>
          <w:t>24</w:t>
        </w:r>
        <w:r>
          <w:rPr>
            <w:noProof/>
          </w:rPr>
          <w:fldChar w:fldCharType="end"/>
        </w:r>
      </w:p>
    </w:sdtContent>
  </w:sdt>
  <w:p w14:paraId="524822C9" w14:textId="77777777" w:rsidR="00EA6917" w:rsidRDefault="00EA6917"/>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A8F68" w14:textId="77777777" w:rsidR="001B7F77" w:rsidRPr="00B31401" w:rsidRDefault="001B7F77">
    <w:pPr>
      <w:pBdr>
        <w:top w:val="nil"/>
        <w:left w:val="nil"/>
        <w:bottom w:val="nil"/>
        <w:right w:val="nil"/>
        <w:between w:val="nil"/>
      </w:pBdr>
      <w:tabs>
        <w:tab w:val="center" w:pos="4680"/>
        <w:tab w:val="right" w:pos="9360"/>
      </w:tabs>
      <w:rPr>
        <w:u w:val="single"/>
      </w:rP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6601812"/>
      <w:docPartObj>
        <w:docPartGallery w:val="Page Numbers (Bottom of Page)"/>
        <w:docPartUnique/>
      </w:docPartObj>
    </w:sdtPr>
    <w:sdtEndPr>
      <w:rPr>
        <w:noProof/>
        <w:szCs w:val="24"/>
      </w:rPr>
    </w:sdtEndPr>
    <w:sdtContent>
      <w:p w14:paraId="1B8D2FCE" w14:textId="0D676218" w:rsidR="001B7F77" w:rsidRPr="000412C6" w:rsidRDefault="001B7F77">
        <w:pPr>
          <w:pStyle w:val="Footer"/>
          <w:jc w:val="center"/>
          <w:rPr>
            <w:szCs w:val="24"/>
          </w:rPr>
        </w:pPr>
        <w:r w:rsidRPr="000412C6">
          <w:rPr>
            <w:szCs w:val="24"/>
          </w:rPr>
          <w:fldChar w:fldCharType="begin"/>
        </w:r>
        <w:r w:rsidRPr="000412C6">
          <w:rPr>
            <w:szCs w:val="24"/>
          </w:rPr>
          <w:instrText xml:space="preserve"> PAGE   \* MERGEFORMAT </w:instrText>
        </w:r>
        <w:r w:rsidRPr="000412C6">
          <w:rPr>
            <w:szCs w:val="24"/>
          </w:rPr>
          <w:fldChar w:fldCharType="separate"/>
        </w:r>
        <w:r w:rsidR="00EA0E3E">
          <w:rPr>
            <w:noProof/>
            <w:szCs w:val="24"/>
          </w:rPr>
          <w:t>51</w:t>
        </w:r>
        <w:r w:rsidRPr="000412C6">
          <w:rPr>
            <w:noProof/>
            <w:szCs w:val="24"/>
          </w:rPr>
          <w:fldChar w:fldCharType="end"/>
        </w:r>
      </w:p>
    </w:sdtContent>
  </w:sdt>
  <w:p w14:paraId="126FAB9C" w14:textId="77777777" w:rsidR="001B7F77" w:rsidRDefault="001B7F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C42002" w14:textId="77777777" w:rsidR="001B7F77" w:rsidRPr="00B31401" w:rsidRDefault="001B7F77">
    <w:pPr>
      <w:pBdr>
        <w:top w:val="nil"/>
        <w:left w:val="nil"/>
        <w:bottom w:val="nil"/>
        <w:right w:val="nil"/>
        <w:between w:val="nil"/>
      </w:pBdr>
      <w:tabs>
        <w:tab w:val="center" w:pos="4680"/>
        <w:tab w:val="right" w:pos="9360"/>
      </w:tabs>
      <w:rPr>
        <w:u w:val="single"/>
      </w:rP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CC6847" w14:textId="77777777" w:rsidR="001B7F77" w:rsidRDefault="001B7F77">
    <w:pPr>
      <w:pBdr>
        <w:top w:val="nil"/>
        <w:left w:val="nil"/>
        <w:bottom w:val="nil"/>
        <w:right w:val="nil"/>
        <w:between w:val="nil"/>
      </w:pBdr>
      <w:tabs>
        <w:tab w:val="center" w:pos="4680"/>
        <w:tab w:val="right" w:pos="9360"/>
      </w:tabs>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0168795"/>
      <w:docPartObj>
        <w:docPartGallery w:val="Page Numbers (Bottom of Page)"/>
        <w:docPartUnique/>
      </w:docPartObj>
    </w:sdtPr>
    <w:sdtEndPr>
      <w:rPr>
        <w:noProof/>
        <w:szCs w:val="24"/>
      </w:rPr>
    </w:sdtEndPr>
    <w:sdtContent>
      <w:p w14:paraId="505A90BA" w14:textId="7F30D335" w:rsidR="001B7F77" w:rsidRPr="000412C6" w:rsidRDefault="001B7F77">
        <w:pPr>
          <w:pStyle w:val="Footer"/>
          <w:jc w:val="center"/>
          <w:rPr>
            <w:szCs w:val="24"/>
          </w:rPr>
        </w:pPr>
        <w:r w:rsidRPr="000412C6">
          <w:rPr>
            <w:szCs w:val="24"/>
          </w:rPr>
          <w:fldChar w:fldCharType="begin"/>
        </w:r>
        <w:r w:rsidRPr="000412C6">
          <w:rPr>
            <w:szCs w:val="24"/>
          </w:rPr>
          <w:instrText xml:space="preserve"> PAGE   \* MERGEFORMAT </w:instrText>
        </w:r>
        <w:r w:rsidRPr="000412C6">
          <w:rPr>
            <w:szCs w:val="24"/>
          </w:rPr>
          <w:fldChar w:fldCharType="separate"/>
        </w:r>
        <w:r w:rsidR="00EA0E3E">
          <w:rPr>
            <w:noProof/>
            <w:szCs w:val="24"/>
          </w:rPr>
          <w:t>89</w:t>
        </w:r>
        <w:r w:rsidRPr="000412C6">
          <w:rPr>
            <w:noProof/>
            <w:szCs w:val="24"/>
          </w:rPr>
          <w:fldChar w:fldCharType="end"/>
        </w:r>
      </w:p>
    </w:sdtContent>
  </w:sdt>
  <w:p w14:paraId="3D6F00CB" w14:textId="77777777" w:rsidR="001B7F77" w:rsidRDefault="001B7F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237CFD" w14:textId="77777777" w:rsidR="001B7F77" w:rsidRDefault="001B7F77">
    <w:pPr>
      <w:pBdr>
        <w:top w:val="nil"/>
        <w:left w:val="nil"/>
        <w:bottom w:val="nil"/>
        <w:right w:val="nil"/>
        <w:between w:val="nil"/>
      </w:pBdr>
      <w:tabs>
        <w:tab w:val="center" w:pos="4680"/>
        <w:tab w:val="right" w:pos="9360"/>
      </w:tabs>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6136570"/>
      <w:docPartObj>
        <w:docPartGallery w:val="Page Numbers (Bottom of Page)"/>
        <w:docPartUnique/>
      </w:docPartObj>
    </w:sdtPr>
    <w:sdtEndPr>
      <w:rPr>
        <w:noProof/>
        <w:szCs w:val="24"/>
      </w:rPr>
    </w:sdtEndPr>
    <w:sdtContent>
      <w:p w14:paraId="288AF1BD" w14:textId="61A588CE" w:rsidR="001B7F77" w:rsidRPr="000412C6" w:rsidRDefault="001B7F77">
        <w:pPr>
          <w:pStyle w:val="Footer"/>
          <w:jc w:val="center"/>
          <w:rPr>
            <w:szCs w:val="24"/>
          </w:rPr>
        </w:pPr>
        <w:r w:rsidRPr="000412C6">
          <w:rPr>
            <w:szCs w:val="24"/>
          </w:rPr>
          <w:fldChar w:fldCharType="begin"/>
        </w:r>
        <w:r w:rsidRPr="000412C6">
          <w:rPr>
            <w:szCs w:val="24"/>
          </w:rPr>
          <w:instrText xml:space="preserve"> PAGE   \* MERGEFORMAT </w:instrText>
        </w:r>
        <w:r w:rsidRPr="000412C6">
          <w:rPr>
            <w:szCs w:val="24"/>
          </w:rPr>
          <w:fldChar w:fldCharType="separate"/>
        </w:r>
        <w:r w:rsidR="00EA0E3E">
          <w:rPr>
            <w:noProof/>
            <w:szCs w:val="24"/>
          </w:rPr>
          <w:t>90</w:t>
        </w:r>
        <w:r w:rsidRPr="000412C6">
          <w:rPr>
            <w:noProof/>
            <w:szCs w:val="24"/>
          </w:rPr>
          <w:fldChar w:fldCharType="end"/>
        </w:r>
      </w:p>
    </w:sdtContent>
  </w:sdt>
  <w:p w14:paraId="7568ABDC" w14:textId="77777777" w:rsidR="001B7F77" w:rsidRDefault="001B7F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7982098"/>
      <w:docPartObj>
        <w:docPartGallery w:val="Page Numbers (Bottom of Page)"/>
        <w:docPartUnique/>
      </w:docPartObj>
    </w:sdtPr>
    <w:sdtEndPr>
      <w:rPr>
        <w:noProof/>
        <w:szCs w:val="24"/>
      </w:rPr>
    </w:sdtEndPr>
    <w:sdtContent>
      <w:p w14:paraId="56726A46" w14:textId="001FA811" w:rsidR="001B7F77" w:rsidRPr="000412C6" w:rsidRDefault="001B7F77">
        <w:pPr>
          <w:pStyle w:val="Footer"/>
          <w:jc w:val="center"/>
          <w:rPr>
            <w:szCs w:val="24"/>
          </w:rPr>
        </w:pPr>
        <w:r w:rsidRPr="000412C6">
          <w:rPr>
            <w:szCs w:val="24"/>
          </w:rPr>
          <w:fldChar w:fldCharType="begin"/>
        </w:r>
        <w:r w:rsidRPr="000412C6">
          <w:rPr>
            <w:szCs w:val="24"/>
          </w:rPr>
          <w:instrText xml:space="preserve"> PAGE   \* MERGEFORMAT </w:instrText>
        </w:r>
        <w:r w:rsidRPr="000412C6">
          <w:rPr>
            <w:szCs w:val="24"/>
          </w:rPr>
          <w:fldChar w:fldCharType="separate"/>
        </w:r>
        <w:r w:rsidR="00EA0E3E">
          <w:rPr>
            <w:noProof/>
            <w:szCs w:val="24"/>
          </w:rPr>
          <w:t>104</w:t>
        </w:r>
        <w:r w:rsidRPr="000412C6">
          <w:rPr>
            <w:noProof/>
            <w:szCs w:val="24"/>
          </w:rPr>
          <w:fldChar w:fldCharType="end"/>
        </w:r>
      </w:p>
    </w:sdtContent>
  </w:sdt>
  <w:p w14:paraId="7E63D631" w14:textId="77777777" w:rsidR="001B7F77" w:rsidRDefault="001B7F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426105" w14:textId="77777777" w:rsidR="001B7F77" w:rsidRDefault="001B7F77">
    <w:pPr>
      <w:pBdr>
        <w:top w:val="nil"/>
        <w:left w:val="nil"/>
        <w:bottom w:val="nil"/>
        <w:right w:val="nil"/>
        <w:between w:val="nil"/>
      </w:pBdr>
      <w:tabs>
        <w:tab w:val="center" w:pos="4680"/>
        <w:tab w:val="right" w:pos="9360"/>
      </w:tabs>
    </w:pP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7784074"/>
      <w:docPartObj>
        <w:docPartGallery w:val="Page Numbers (Bottom of Page)"/>
        <w:docPartUnique/>
      </w:docPartObj>
    </w:sdtPr>
    <w:sdtEndPr>
      <w:rPr>
        <w:noProof/>
      </w:rPr>
    </w:sdtEndPr>
    <w:sdtContent>
      <w:p w14:paraId="22599344" w14:textId="3AEBEB3C" w:rsidR="001B7F77" w:rsidRDefault="001B7F77">
        <w:pPr>
          <w:pStyle w:val="Footer"/>
          <w:jc w:val="center"/>
        </w:pPr>
        <w:r w:rsidRPr="000412C6">
          <w:rPr>
            <w:szCs w:val="24"/>
          </w:rPr>
          <w:fldChar w:fldCharType="begin"/>
        </w:r>
        <w:r w:rsidRPr="000412C6">
          <w:rPr>
            <w:szCs w:val="24"/>
          </w:rPr>
          <w:instrText xml:space="preserve"> PAGE   \* MERGEFORMAT </w:instrText>
        </w:r>
        <w:r w:rsidRPr="000412C6">
          <w:rPr>
            <w:szCs w:val="24"/>
          </w:rPr>
          <w:fldChar w:fldCharType="separate"/>
        </w:r>
        <w:r w:rsidR="00EA0E3E">
          <w:rPr>
            <w:noProof/>
            <w:szCs w:val="24"/>
          </w:rPr>
          <w:t>123</w:t>
        </w:r>
        <w:r w:rsidRPr="000412C6">
          <w:rPr>
            <w:noProof/>
            <w:szCs w:val="24"/>
          </w:rPr>
          <w:fldChar w:fldCharType="end"/>
        </w:r>
      </w:p>
    </w:sdtContent>
  </w:sdt>
  <w:p w14:paraId="617350DF" w14:textId="77777777" w:rsidR="001B7F77" w:rsidRDefault="001B7F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158745E3" w14:textId="77777777" w:rsidR="00EA6917" w:rsidRDefault="00EA6917">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0190E006" w14:textId="77777777" w:rsidR="00EA6917" w:rsidRDefault="00EA691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34214C" w14:textId="77777777" w:rsidR="001B7F77" w:rsidRDefault="001B7F77">
    <w:pPr>
      <w:pBdr>
        <w:top w:val="nil"/>
        <w:left w:val="nil"/>
        <w:bottom w:val="nil"/>
        <w:right w:val="nil"/>
        <w:between w:val="nil"/>
      </w:pBdr>
      <w:tabs>
        <w:tab w:val="center" w:pos="4680"/>
        <w:tab w:val="right" w:pos="9360"/>
      </w:tabs>
    </w:pP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5990870"/>
      <w:docPartObj>
        <w:docPartGallery w:val="Page Numbers (Bottom of Page)"/>
        <w:docPartUnique/>
      </w:docPartObj>
    </w:sdtPr>
    <w:sdtEndPr>
      <w:rPr>
        <w:noProof/>
      </w:rPr>
    </w:sdtEndPr>
    <w:sdtContent>
      <w:p w14:paraId="1E39CB7B" w14:textId="32A55D26" w:rsidR="001B7F77" w:rsidRDefault="001B7F77">
        <w:pPr>
          <w:pStyle w:val="Footer"/>
          <w:jc w:val="center"/>
        </w:pPr>
        <w:r w:rsidRPr="000412C6">
          <w:rPr>
            <w:szCs w:val="24"/>
          </w:rPr>
          <w:fldChar w:fldCharType="begin"/>
        </w:r>
        <w:r w:rsidRPr="000412C6">
          <w:rPr>
            <w:szCs w:val="24"/>
          </w:rPr>
          <w:instrText xml:space="preserve"> PAGE   \* MERGEFORMAT </w:instrText>
        </w:r>
        <w:r w:rsidRPr="000412C6">
          <w:rPr>
            <w:szCs w:val="24"/>
          </w:rPr>
          <w:fldChar w:fldCharType="separate"/>
        </w:r>
        <w:r w:rsidR="00EA0E3E">
          <w:rPr>
            <w:noProof/>
            <w:szCs w:val="24"/>
          </w:rPr>
          <w:t>127</w:t>
        </w:r>
        <w:r w:rsidRPr="000412C6">
          <w:rPr>
            <w:noProof/>
            <w:szCs w:val="24"/>
          </w:rPr>
          <w:fldChar w:fldCharType="end"/>
        </w:r>
      </w:p>
    </w:sdtContent>
  </w:sdt>
  <w:p w14:paraId="2A3FE056" w14:textId="77777777" w:rsidR="001B7F77" w:rsidRDefault="001B7F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9739331"/>
      <w:docPartObj>
        <w:docPartGallery w:val="Page Numbers (Bottom of Page)"/>
        <w:docPartUnique/>
      </w:docPartObj>
    </w:sdtPr>
    <w:sdtEndPr>
      <w:rPr>
        <w:noProof/>
      </w:rPr>
    </w:sdtEndPr>
    <w:sdtContent>
      <w:p w14:paraId="38C80E45" w14:textId="77777777" w:rsidR="001B7F77" w:rsidRDefault="001B7F77">
        <w:pPr>
          <w:pStyle w:val="Footer"/>
          <w:jc w:val="center"/>
        </w:pPr>
        <w:r w:rsidRPr="000412C6">
          <w:rPr>
            <w:szCs w:val="24"/>
          </w:rPr>
          <w:fldChar w:fldCharType="begin"/>
        </w:r>
        <w:r w:rsidRPr="000412C6">
          <w:rPr>
            <w:szCs w:val="24"/>
          </w:rPr>
          <w:instrText xml:space="preserve"> PAGE   \* MERGEFORMAT </w:instrText>
        </w:r>
        <w:r w:rsidRPr="000412C6">
          <w:rPr>
            <w:szCs w:val="24"/>
          </w:rPr>
          <w:fldChar w:fldCharType="separate"/>
        </w:r>
        <w:r>
          <w:rPr>
            <w:noProof/>
            <w:szCs w:val="24"/>
          </w:rPr>
          <w:t>147</w:t>
        </w:r>
        <w:r w:rsidRPr="000412C6">
          <w:rPr>
            <w:noProof/>
            <w:szCs w:val="24"/>
          </w:rPr>
          <w:fldChar w:fldCharType="end"/>
        </w:r>
      </w:p>
    </w:sdtContent>
  </w:sdt>
  <w:p w14:paraId="6DD83751" w14:textId="77777777" w:rsidR="001B7F77" w:rsidRDefault="001B7F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5217401"/>
      <w:docPartObj>
        <w:docPartGallery w:val="Page Numbers (Bottom of Page)"/>
        <w:docPartUnique/>
      </w:docPartObj>
    </w:sdtPr>
    <w:sdtEndPr>
      <w:rPr>
        <w:noProof/>
      </w:rPr>
    </w:sdtEndPr>
    <w:sdtContent>
      <w:p w14:paraId="16DF77ED" w14:textId="77777777" w:rsidR="001B7F77" w:rsidRDefault="001B7F77">
        <w:pPr>
          <w:pStyle w:val="Footer"/>
          <w:jc w:val="center"/>
        </w:pPr>
        <w:r w:rsidRPr="000412C6">
          <w:rPr>
            <w:szCs w:val="24"/>
          </w:rPr>
          <w:fldChar w:fldCharType="begin"/>
        </w:r>
        <w:r w:rsidRPr="000412C6">
          <w:rPr>
            <w:szCs w:val="24"/>
          </w:rPr>
          <w:instrText xml:space="preserve"> PAGE   \* MERGEFORMAT </w:instrText>
        </w:r>
        <w:r w:rsidRPr="000412C6">
          <w:rPr>
            <w:szCs w:val="24"/>
          </w:rPr>
          <w:fldChar w:fldCharType="separate"/>
        </w:r>
        <w:r>
          <w:rPr>
            <w:noProof/>
            <w:szCs w:val="24"/>
          </w:rPr>
          <w:t>153</w:t>
        </w:r>
        <w:r w:rsidRPr="000412C6">
          <w:rPr>
            <w:noProof/>
            <w:szCs w:val="24"/>
          </w:rPr>
          <w:fldChar w:fldCharType="end"/>
        </w:r>
      </w:p>
    </w:sdtContent>
  </w:sdt>
  <w:p w14:paraId="160873B3" w14:textId="77777777" w:rsidR="001B7F77" w:rsidRDefault="001B7F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53EAEC" w14:textId="77777777" w:rsidR="001B7F77" w:rsidRDefault="001B7F77">
    <w:pPr>
      <w:pBdr>
        <w:top w:val="nil"/>
        <w:left w:val="nil"/>
        <w:bottom w:val="nil"/>
        <w:right w:val="nil"/>
        <w:between w:val="nil"/>
      </w:pBdr>
      <w:tabs>
        <w:tab w:val="center" w:pos="4680"/>
        <w:tab w:val="right" w:pos="9360"/>
      </w:tabs>
    </w:pP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7980603"/>
      <w:docPartObj>
        <w:docPartGallery w:val="Page Numbers (Bottom of Page)"/>
        <w:docPartUnique/>
      </w:docPartObj>
    </w:sdtPr>
    <w:sdtEndPr>
      <w:rPr>
        <w:noProof/>
      </w:rPr>
    </w:sdtEndPr>
    <w:sdtContent>
      <w:p w14:paraId="799351D6" w14:textId="77777777" w:rsidR="001B7F77" w:rsidRDefault="001B7F77">
        <w:pPr>
          <w:pStyle w:val="Footer"/>
          <w:jc w:val="center"/>
        </w:pPr>
        <w:r w:rsidRPr="000412C6">
          <w:rPr>
            <w:szCs w:val="24"/>
          </w:rPr>
          <w:fldChar w:fldCharType="begin"/>
        </w:r>
        <w:r w:rsidRPr="000412C6">
          <w:rPr>
            <w:szCs w:val="24"/>
          </w:rPr>
          <w:instrText xml:space="preserve"> PAGE   \* MERGEFORMAT </w:instrText>
        </w:r>
        <w:r w:rsidRPr="000412C6">
          <w:rPr>
            <w:szCs w:val="24"/>
          </w:rPr>
          <w:fldChar w:fldCharType="separate"/>
        </w:r>
        <w:r>
          <w:rPr>
            <w:noProof/>
            <w:szCs w:val="24"/>
          </w:rPr>
          <w:t>156</w:t>
        </w:r>
        <w:r w:rsidRPr="000412C6">
          <w:rPr>
            <w:noProof/>
            <w:szCs w:val="24"/>
          </w:rPr>
          <w:fldChar w:fldCharType="end"/>
        </w:r>
      </w:p>
    </w:sdtContent>
  </w:sdt>
  <w:p w14:paraId="23B789BC" w14:textId="77777777" w:rsidR="001B7F77" w:rsidRDefault="001B7F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3BC59B" w14:textId="77777777" w:rsidR="001B7F77" w:rsidRDefault="001B7F77">
    <w:pPr>
      <w:pBdr>
        <w:top w:val="nil"/>
        <w:left w:val="nil"/>
        <w:bottom w:val="nil"/>
        <w:right w:val="nil"/>
        <w:between w:val="nil"/>
      </w:pBdr>
      <w:tabs>
        <w:tab w:val="center" w:pos="4680"/>
        <w:tab w:val="right" w:pos="9360"/>
      </w:tabs>
    </w:pP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6972863"/>
      <w:docPartObj>
        <w:docPartGallery w:val="Page Numbers (Bottom of Page)"/>
        <w:docPartUnique/>
      </w:docPartObj>
    </w:sdtPr>
    <w:sdtEndPr>
      <w:rPr>
        <w:noProof/>
      </w:rPr>
    </w:sdtEndPr>
    <w:sdtContent>
      <w:p w14:paraId="0FAF6708" w14:textId="77777777" w:rsidR="001B7F77" w:rsidRDefault="001B7F77">
        <w:pPr>
          <w:pStyle w:val="Footer"/>
          <w:jc w:val="center"/>
        </w:pPr>
        <w:r>
          <w:fldChar w:fldCharType="begin"/>
        </w:r>
        <w:r>
          <w:instrText xml:space="preserve"> PAGE   \* MERGEFORMAT </w:instrText>
        </w:r>
        <w:r>
          <w:fldChar w:fldCharType="separate"/>
        </w:r>
        <w:r>
          <w:rPr>
            <w:noProof/>
          </w:rPr>
          <w:t>168</w:t>
        </w:r>
        <w:r>
          <w:rPr>
            <w:noProof/>
          </w:rPr>
          <w:fldChar w:fldCharType="end"/>
        </w:r>
      </w:p>
    </w:sdtContent>
  </w:sdt>
  <w:p w14:paraId="57104A56" w14:textId="77777777" w:rsidR="001B7F77" w:rsidRDefault="001B7F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5141470"/>
      <w:docPartObj>
        <w:docPartGallery w:val="Page Numbers (Bottom of Page)"/>
        <w:docPartUnique/>
      </w:docPartObj>
    </w:sdtPr>
    <w:sdtEndPr>
      <w:rPr>
        <w:noProof/>
      </w:rPr>
    </w:sdtEndPr>
    <w:sdtContent>
      <w:p w14:paraId="61FCEB18" w14:textId="77777777" w:rsidR="001B7F77" w:rsidRDefault="001B7F77">
        <w:pPr>
          <w:pStyle w:val="Footer"/>
          <w:jc w:val="center"/>
        </w:pPr>
        <w:r>
          <w:fldChar w:fldCharType="begin"/>
        </w:r>
        <w:r>
          <w:instrText xml:space="preserve"> PAGE   \* MERGEFORMAT </w:instrText>
        </w:r>
        <w:r>
          <w:fldChar w:fldCharType="separate"/>
        </w:r>
        <w:r>
          <w:rPr>
            <w:noProof/>
          </w:rPr>
          <w:t>193</w:t>
        </w:r>
        <w:r>
          <w:rPr>
            <w:noProof/>
          </w:rPr>
          <w:fldChar w:fldCharType="end"/>
        </w:r>
      </w:p>
    </w:sdtContent>
  </w:sdt>
  <w:p w14:paraId="3ED3EF74" w14:textId="77777777" w:rsidR="001B7F77" w:rsidRDefault="001B7F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4AB387" w14:textId="3E63C0E2" w:rsidR="001B7F77" w:rsidRDefault="001B7F77">
    <w:pPr>
      <w:pStyle w:val="Footer"/>
    </w:pPr>
    <w:r>
      <w:fldChar w:fldCharType="begin"/>
    </w:r>
    <w:r>
      <w:instrText xml:space="preserve"> DOCPROPERTY CustomFooter </w:instrText>
    </w:r>
    <w:r>
      <w:fldChar w:fldCharType="separate"/>
    </w:r>
    <w:r w:rsidR="00907A52">
      <w:rPr>
        <w:b/>
        <w:bCs/>
      </w:rPr>
      <w:t>Error! Unknown document property name.</w:t>
    </w:r>
    <w:r>
      <w:fldChar w:fldCharType="end"/>
    </w:r>
  </w:p>
  <w:p w14:paraId="1CD60C4D" w14:textId="6BA363CB" w:rsidR="001B7F77" w:rsidRDefault="001B7F77">
    <w:pPr>
      <w:pStyle w:val="Footer"/>
    </w:pPr>
    <w:r>
      <w:fldChar w:fldCharType="begin"/>
    </w:r>
    <w:r>
      <w:instrText xml:space="preserve"> DOCPROPERTY CustomFooter </w:instrText>
    </w:r>
    <w:r>
      <w:fldChar w:fldCharType="separate"/>
    </w:r>
    <w:r w:rsidR="00907A52">
      <w:rPr>
        <w:b/>
        <w:bCs/>
      </w:rPr>
      <w:t>Error! Unknown document property name.</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8903139"/>
      <w:docPartObj>
        <w:docPartGallery w:val="Page Numbers (Bottom of Page)"/>
        <w:docPartUnique/>
      </w:docPartObj>
    </w:sdtPr>
    <w:sdtEndPr>
      <w:rPr>
        <w:noProof/>
      </w:rPr>
    </w:sdtEndPr>
    <w:sdtContent>
      <w:p w14:paraId="68B59F9B" w14:textId="1DF3F490" w:rsidR="00194E56" w:rsidRDefault="00194E56">
        <w:pPr>
          <w:pStyle w:val="Footer"/>
          <w:jc w:val="center"/>
        </w:pPr>
        <w:r>
          <w:fldChar w:fldCharType="begin"/>
        </w:r>
        <w:r>
          <w:instrText xml:space="preserve"> PAGE   \* MERGEFORMAT </w:instrText>
        </w:r>
        <w:r>
          <w:fldChar w:fldCharType="separate"/>
        </w:r>
        <w:r w:rsidR="00EA0E3E">
          <w:rPr>
            <w:noProof/>
          </w:rPr>
          <w:t>31</w:t>
        </w:r>
        <w:r>
          <w:rPr>
            <w:noProof/>
          </w:rPr>
          <w:fldChar w:fldCharType="end"/>
        </w:r>
      </w:p>
    </w:sdtContent>
  </w:sdt>
  <w:p w14:paraId="1AB8FF16" w14:textId="77777777" w:rsidR="00194E56" w:rsidRDefault="00194E56"/>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6977402"/>
      <w:docPartObj>
        <w:docPartGallery w:val="Page Numbers (Bottom of Page)"/>
        <w:docPartUnique/>
      </w:docPartObj>
    </w:sdtPr>
    <w:sdtEndPr>
      <w:rPr>
        <w:noProof/>
      </w:rPr>
    </w:sdtEndPr>
    <w:sdtContent>
      <w:p w14:paraId="2AEE4210" w14:textId="77777777" w:rsidR="001B7F77" w:rsidRDefault="001B7F77">
        <w:pPr>
          <w:pStyle w:val="Footer"/>
          <w:jc w:val="center"/>
        </w:pPr>
        <w:r>
          <w:fldChar w:fldCharType="begin"/>
        </w:r>
        <w:r>
          <w:instrText xml:space="preserve"> PAGE   \* MERGEFORMAT </w:instrText>
        </w:r>
        <w:r>
          <w:fldChar w:fldCharType="separate"/>
        </w:r>
        <w:r>
          <w:rPr>
            <w:noProof/>
          </w:rPr>
          <w:t>199</w:t>
        </w:r>
        <w:r>
          <w:rPr>
            <w:noProof/>
          </w:rPr>
          <w:fldChar w:fldCharType="end"/>
        </w:r>
      </w:p>
    </w:sdtContent>
  </w:sdt>
  <w:p w14:paraId="11692CD8" w14:textId="77777777" w:rsidR="001B7F77" w:rsidRPr="00EF08FE" w:rsidRDefault="001B7F77" w:rsidP="006655A1">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9360B1" w14:textId="2E81E413" w:rsidR="001B7F77" w:rsidRDefault="001B7F77">
    <w:pPr>
      <w:pStyle w:val="Footer"/>
    </w:pPr>
    <w:r>
      <w:fldChar w:fldCharType="begin"/>
    </w:r>
    <w:r>
      <w:instrText xml:space="preserve"> DOCPROPERTY CustomFooter </w:instrText>
    </w:r>
    <w:r>
      <w:fldChar w:fldCharType="separate"/>
    </w:r>
    <w:r w:rsidR="00907A52">
      <w:rPr>
        <w:b/>
        <w:bCs/>
      </w:rPr>
      <w:t>Error! Unknown document property name.</w:t>
    </w:r>
    <w:r>
      <w:fldChar w:fldCharType="end"/>
    </w:r>
  </w:p>
  <w:p w14:paraId="06F14131" w14:textId="5F36A631" w:rsidR="001B7F77" w:rsidRDefault="001B7F77">
    <w:pPr>
      <w:pStyle w:val="Footer"/>
    </w:pPr>
    <w:r>
      <w:fldChar w:fldCharType="begin"/>
    </w:r>
    <w:r>
      <w:instrText xml:space="preserve"> DOCPROPERTY CustomFooter </w:instrText>
    </w:r>
    <w:r>
      <w:fldChar w:fldCharType="separate"/>
    </w:r>
    <w:r w:rsidR="00907A52">
      <w:rPr>
        <w:b/>
        <w:bCs/>
      </w:rPr>
      <w:t>Error! Unknown document property name.</w:t>
    </w:r>
    <w:r>
      <w:fldChar w:fldCharType="end"/>
    </w:r>
  </w:p>
</w:ftr>
</file>

<file path=word/footer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0733063"/>
      <w:docPartObj>
        <w:docPartGallery w:val="Page Numbers (Bottom of Page)"/>
        <w:docPartUnique/>
      </w:docPartObj>
    </w:sdtPr>
    <w:sdtEndPr>
      <w:rPr>
        <w:noProof/>
      </w:rPr>
    </w:sdtEndPr>
    <w:sdtContent>
      <w:p w14:paraId="0974CA91" w14:textId="77777777" w:rsidR="0001508F" w:rsidRDefault="0001508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8BC0B7" w14:textId="77777777" w:rsidR="0001508F" w:rsidRDefault="0001508F">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4880911"/>
      <w:docPartObj>
        <w:docPartGallery w:val="Page Numbers (Bottom of Page)"/>
        <w:docPartUnique/>
      </w:docPartObj>
    </w:sdtPr>
    <w:sdtEndPr>
      <w:rPr>
        <w:noProof/>
      </w:rPr>
    </w:sdtEndPr>
    <w:sdtContent>
      <w:p w14:paraId="3C9D0A5D" w14:textId="77777777" w:rsidR="00FC6475" w:rsidRDefault="00FC647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FA36EEB" w14:textId="77777777" w:rsidR="00FC6475" w:rsidRDefault="00FC6475"/>
</w:ftr>
</file>

<file path=word/footer3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768748"/>
      <w:docPartObj>
        <w:docPartGallery w:val="Page Numbers (Bottom of Page)"/>
        <w:docPartUnique/>
      </w:docPartObj>
    </w:sdtPr>
    <w:sdtEndPr>
      <w:rPr>
        <w:noProof/>
      </w:rPr>
    </w:sdtEndPr>
    <w:sdtContent>
      <w:p w14:paraId="49414436" w14:textId="77777777" w:rsidR="00FC6475" w:rsidRDefault="00FC647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7E2A275" w14:textId="77777777" w:rsidR="00FC6475" w:rsidRDefault="00FC6475">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Look w:val="0000" w:firstRow="0" w:lastRow="0" w:firstColumn="0" w:lastColumn="0" w:noHBand="0" w:noVBand="0"/>
    </w:tblPr>
    <w:tblGrid>
      <w:gridCol w:w="3192"/>
      <w:gridCol w:w="3192"/>
      <w:gridCol w:w="3192"/>
    </w:tblGrid>
    <w:tr w:rsidR="00DB1AEE" w14:paraId="3F9E9178" w14:textId="77777777" w:rsidTr="00580776">
      <w:trPr>
        <w:jc w:val="center"/>
      </w:trPr>
      <w:tc>
        <w:tcPr>
          <w:tcW w:w="3192" w:type="dxa"/>
          <w:vAlign w:val="center"/>
        </w:tcPr>
        <w:p w14:paraId="38CEA96A" w14:textId="77777777" w:rsidR="00DB1AEE" w:rsidRDefault="00DB1AEE" w:rsidP="00A13092">
          <w:pPr>
            <w:rPr>
              <w:sz w:val="16"/>
            </w:rPr>
          </w:pPr>
        </w:p>
      </w:tc>
      <w:tc>
        <w:tcPr>
          <w:tcW w:w="3192" w:type="dxa"/>
        </w:tcPr>
        <w:p w14:paraId="6B462671" w14:textId="77777777" w:rsidR="00DB1AEE" w:rsidRDefault="00DB1AEE" w:rsidP="00A13092">
          <w:pPr>
            <w:jc w:val="center"/>
          </w:pPr>
          <w:r>
            <w:t xml:space="preserve">- </w:t>
          </w:r>
          <w:r>
            <w:fldChar w:fldCharType="begin"/>
          </w:r>
          <w:r>
            <w:instrText xml:space="preserve"> PAGE </w:instrText>
          </w:r>
          <w:r>
            <w:fldChar w:fldCharType="separate"/>
          </w:r>
          <w:r>
            <w:rPr>
              <w:noProof/>
            </w:rPr>
            <w:t>1</w:t>
          </w:r>
          <w:r>
            <w:fldChar w:fldCharType="end"/>
          </w:r>
          <w:r>
            <w:t xml:space="preserve"> -</w:t>
          </w:r>
        </w:p>
      </w:tc>
      <w:tc>
        <w:tcPr>
          <w:tcW w:w="3192" w:type="dxa"/>
          <w:vAlign w:val="center"/>
        </w:tcPr>
        <w:p w14:paraId="7D3D9C35" w14:textId="77777777" w:rsidR="00DB1AEE" w:rsidRDefault="00DB1AEE" w:rsidP="00A13092">
          <w:pPr>
            <w:jc w:val="right"/>
            <w:rPr>
              <w:sz w:val="16"/>
            </w:rPr>
          </w:pPr>
        </w:p>
      </w:tc>
    </w:tr>
  </w:tbl>
  <w:p w14:paraId="413F77F1" w14:textId="77777777" w:rsidR="00DB1AEE" w:rsidRDefault="00DB1AEE" w:rsidP="00A13092"/>
</w:ftr>
</file>

<file path=word/footer3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Look w:val="0000" w:firstRow="0" w:lastRow="0" w:firstColumn="0" w:lastColumn="0" w:noHBand="0" w:noVBand="0"/>
    </w:tblPr>
    <w:tblGrid>
      <w:gridCol w:w="3192"/>
      <w:gridCol w:w="3192"/>
      <w:gridCol w:w="3192"/>
    </w:tblGrid>
    <w:tr w:rsidR="00DB1AEE" w14:paraId="2776A2DE" w14:textId="77777777" w:rsidTr="00580776">
      <w:trPr>
        <w:jc w:val="center"/>
      </w:trPr>
      <w:tc>
        <w:tcPr>
          <w:tcW w:w="3192" w:type="dxa"/>
          <w:vAlign w:val="center"/>
        </w:tcPr>
        <w:p w14:paraId="214D0056" w14:textId="77777777" w:rsidR="00DB1AEE" w:rsidRDefault="00DB1AEE" w:rsidP="00A13092">
          <w:pPr>
            <w:rPr>
              <w:sz w:val="16"/>
            </w:rPr>
          </w:pPr>
        </w:p>
      </w:tc>
      <w:tc>
        <w:tcPr>
          <w:tcW w:w="3192" w:type="dxa"/>
        </w:tcPr>
        <w:p w14:paraId="2212A362" w14:textId="77777777" w:rsidR="00DB1AEE" w:rsidRDefault="00DB1AEE" w:rsidP="00A13092">
          <w:pPr>
            <w:jc w:val="center"/>
          </w:pPr>
          <w:r>
            <w:t xml:space="preserve">- </w:t>
          </w:r>
          <w:r>
            <w:fldChar w:fldCharType="begin"/>
          </w:r>
          <w:r>
            <w:instrText xml:space="preserve"> PAGE </w:instrText>
          </w:r>
          <w:r>
            <w:fldChar w:fldCharType="separate"/>
          </w:r>
          <w:r>
            <w:rPr>
              <w:noProof/>
            </w:rPr>
            <w:t>1</w:t>
          </w:r>
          <w:r>
            <w:fldChar w:fldCharType="end"/>
          </w:r>
          <w:r>
            <w:t xml:space="preserve"> -</w:t>
          </w:r>
        </w:p>
      </w:tc>
      <w:tc>
        <w:tcPr>
          <w:tcW w:w="3192" w:type="dxa"/>
          <w:vAlign w:val="center"/>
        </w:tcPr>
        <w:p w14:paraId="4012ACA9" w14:textId="77777777" w:rsidR="00DB1AEE" w:rsidRDefault="00DB1AEE" w:rsidP="00A13092">
          <w:pPr>
            <w:jc w:val="right"/>
            <w:rPr>
              <w:sz w:val="16"/>
            </w:rPr>
          </w:pPr>
        </w:p>
      </w:tc>
    </w:tr>
  </w:tbl>
  <w:p w14:paraId="0D52DF77" w14:textId="77777777" w:rsidR="00DB1AEE" w:rsidRDefault="00DB1AEE">
    <w:pPr>
      <w:tabs>
        <w:tab w:val="left" w:pos="1452"/>
        <w:tab w:val="left" w:pos="2244"/>
        <w:tab w:val="left" w:pos="2904"/>
        <w:tab w:val="left" w:pos="5148"/>
        <w:tab w:val="left" w:pos="7260"/>
      </w:tabs>
      <w:rPr>
        <w:spacing w:val="-3"/>
      </w:rPr>
    </w:pPr>
  </w:p>
</w:ftr>
</file>

<file path=word/footer3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2779474"/>
      <w:docPartObj>
        <w:docPartGallery w:val="Page Numbers (Bottom of Page)"/>
        <w:docPartUnique/>
      </w:docPartObj>
    </w:sdtPr>
    <w:sdtEndPr>
      <w:rPr>
        <w:noProof/>
      </w:rPr>
    </w:sdtEndPr>
    <w:sdtContent>
      <w:p w14:paraId="3F462B71" w14:textId="7AB8808A" w:rsidR="007E7F46" w:rsidRDefault="007E7F4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99F25B8" w14:textId="3680709B" w:rsidR="001B7F77" w:rsidRPr="001E5C8B" w:rsidRDefault="001B7F77">
    <w:pPr>
      <w:rPr>
        <w:sz w:val="16"/>
        <w:szCs w:val="16"/>
      </w:rPr>
    </w:pPr>
  </w:p>
</w:ftr>
</file>

<file path=word/footer3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61E35D" w14:textId="77777777" w:rsidR="001B7F77" w:rsidRDefault="001B7F77">
    <w:pPr>
      <w:spacing w:before="140" w:line="100" w:lineRule="exact"/>
      <w:rPr>
        <w:sz w:val="10"/>
      </w:rPr>
    </w:pPr>
  </w:p>
  <w:p w14:paraId="3A5C28F3" w14:textId="77777777" w:rsidR="001B7F77" w:rsidRDefault="001B7F77">
    <w:pPr>
      <w:tabs>
        <w:tab w:val="left" w:pos="1452"/>
        <w:tab w:val="left" w:pos="2244"/>
        <w:tab w:val="left" w:pos="2904"/>
        <w:tab w:val="left" w:pos="5148"/>
        <w:tab w:val="left" w:pos="7260"/>
      </w:tabs>
      <w:rPr>
        <w:spacing w:val="-3"/>
      </w:rPr>
    </w:pPr>
  </w:p>
  <w:p w14:paraId="7C9BB4A9" w14:textId="77777777" w:rsidR="001B7F77" w:rsidRDefault="001B7F77">
    <w:pPr>
      <w:tabs>
        <w:tab w:val="left" w:pos="1452"/>
        <w:tab w:val="left" w:pos="2244"/>
        <w:tab w:val="left" w:pos="2904"/>
        <w:tab w:val="left" w:pos="5148"/>
        <w:tab w:val="left" w:pos="7260"/>
      </w:tabs>
      <w:rPr>
        <w:spacing w:val="-3"/>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9668263"/>
      <w:docPartObj>
        <w:docPartGallery w:val="Page Numbers (Bottom of Page)"/>
        <w:docPartUnique/>
      </w:docPartObj>
    </w:sdtPr>
    <w:sdtEndPr>
      <w:rPr>
        <w:noProof/>
      </w:rPr>
    </w:sdtEndPr>
    <w:sdtContent>
      <w:p w14:paraId="246CA666" w14:textId="77777777" w:rsidR="00194E56" w:rsidRDefault="00194E56">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77385850" w14:textId="77777777" w:rsidR="00194E56" w:rsidRDefault="00194E5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4161297"/>
      <w:docPartObj>
        <w:docPartGallery w:val="Page Numbers (Bottom of Page)"/>
        <w:docPartUnique/>
      </w:docPartObj>
    </w:sdtPr>
    <w:sdtEndPr>
      <w:rPr>
        <w:noProof/>
      </w:rPr>
    </w:sdtEndPr>
    <w:sdtContent>
      <w:p w14:paraId="677A4953" w14:textId="58C52B4C" w:rsidR="008F527A" w:rsidRDefault="008F527A">
        <w:pPr>
          <w:pStyle w:val="Footer"/>
          <w:jc w:val="center"/>
        </w:pPr>
        <w:r>
          <w:fldChar w:fldCharType="begin"/>
        </w:r>
        <w:r>
          <w:instrText xml:space="preserve"> PAGE   \* MERGEFORMAT </w:instrText>
        </w:r>
        <w:r>
          <w:fldChar w:fldCharType="separate"/>
        </w:r>
        <w:r w:rsidR="00EA0E3E">
          <w:rPr>
            <w:noProof/>
          </w:rPr>
          <w:t>34</w:t>
        </w:r>
        <w:r>
          <w:rPr>
            <w:noProof/>
          </w:rPr>
          <w:fldChar w:fldCharType="end"/>
        </w:r>
      </w:p>
    </w:sdtContent>
  </w:sdt>
  <w:p w14:paraId="595BF0EF" w14:textId="77777777" w:rsidR="008F527A" w:rsidRDefault="008F527A"/>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1048765"/>
      <w:docPartObj>
        <w:docPartGallery w:val="Page Numbers (Bottom of Page)"/>
        <w:docPartUnique/>
      </w:docPartObj>
    </w:sdtPr>
    <w:sdtEndPr>
      <w:rPr>
        <w:noProof/>
      </w:rPr>
    </w:sdtEndPr>
    <w:sdtContent>
      <w:p w14:paraId="462E9D20" w14:textId="625C9AAE" w:rsidR="008F527A" w:rsidRDefault="008F52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54E9FEF" w14:textId="77777777" w:rsidR="008F527A" w:rsidRDefault="008F527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F40F92" w14:textId="77777777" w:rsidR="00A01B55" w:rsidRPr="00B31401" w:rsidRDefault="00A01B55">
    <w:pPr>
      <w:pBdr>
        <w:top w:val="nil"/>
        <w:left w:val="nil"/>
        <w:bottom w:val="nil"/>
        <w:right w:val="nil"/>
        <w:between w:val="nil"/>
      </w:pBdr>
      <w:tabs>
        <w:tab w:val="center" w:pos="4680"/>
        <w:tab w:val="right" w:pos="9360"/>
      </w:tabs>
      <w:rPr>
        <w:u w:val="single"/>
      </w:rP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0959238"/>
      <w:docPartObj>
        <w:docPartGallery w:val="Page Numbers (Bottom of Page)"/>
        <w:docPartUnique/>
      </w:docPartObj>
    </w:sdtPr>
    <w:sdtEndPr>
      <w:rPr>
        <w:noProof/>
      </w:rPr>
    </w:sdtEndPr>
    <w:sdtContent>
      <w:p w14:paraId="321CED17" w14:textId="67FA71BE" w:rsidR="00EA6917" w:rsidRDefault="00EA6917">
        <w:pPr>
          <w:pStyle w:val="Footer"/>
          <w:jc w:val="center"/>
        </w:pPr>
        <w:r>
          <w:fldChar w:fldCharType="begin"/>
        </w:r>
        <w:r>
          <w:instrText xml:space="preserve"> PAGE   \* MERGEFORMAT </w:instrText>
        </w:r>
        <w:r>
          <w:fldChar w:fldCharType="separate"/>
        </w:r>
        <w:r w:rsidR="00EA0E3E">
          <w:rPr>
            <w:noProof/>
          </w:rPr>
          <w:t>35</w:t>
        </w:r>
        <w:r>
          <w:rPr>
            <w:noProof/>
          </w:rPr>
          <w:fldChar w:fldCharType="end"/>
        </w:r>
      </w:p>
    </w:sdtContent>
  </w:sdt>
  <w:p w14:paraId="25464B27" w14:textId="77777777" w:rsidR="00A01B55" w:rsidRDefault="00A01B5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E787E2" w14:textId="77777777" w:rsidR="00A01B55" w:rsidRPr="00B31401" w:rsidRDefault="00A01B55">
    <w:pPr>
      <w:pBdr>
        <w:top w:val="nil"/>
        <w:left w:val="nil"/>
        <w:bottom w:val="nil"/>
        <w:right w:val="nil"/>
        <w:between w:val="nil"/>
      </w:pBdr>
      <w:tabs>
        <w:tab w:val="center" w:pos="4680"/>
        <w:tab w:val="right" w:pos="9360"/>
      </w:tabs>
      <w:rPr>
        <w:u w:val="single"/>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2428A0" w14:textId="77777777" w:rsidR="00B46692" w:rsidRDefault="00B46692" w:rsidP="00BA6D2B">
      <w:r>
        <w:separator/>
      </w:r>
    </w:p>
  </w:footnote>
  <w:footnote w:type="continuationSeparator" w:id="0">
    <w:p w14:paraId="1E81F0E0" w14:textId="77777777" w:rsidR="00B46692" w:rsidRDefault="00B46692" w:rsidP="00BA6D2B">
      <w:r>
        <w:continuationSeparator/>
      </w:r>
    </w:p>
  </w:footnote>
  <w:footnote w:id="1">
    <w:p w14:paraId="5E296688" w14:textId="77777777" w:rsidR="001F74E3" w:rsidRPr="008C69AC" w:rsidRDefault="001F74E3" w:rsidP="001F74E3">
      <w:pPr>
        <w:pStyle w:val="FootnoteText"/>
        <w:rPr>
          <w:i/>
        </w:rPr>
      </w:pPr>
      <w:r w:rsidRPr="008C69AC">
        <w:rPr>
          <w:rStyle w:val="FootnoteReference"/>
        </w:rPr>
        <w:footnoteRef/>
      </w:r>
      <w:r w:rsidRPr="008C69AC">
        <w:t xml:space="preserve"> International Code Council, About ICC. </w:t>
      </w:r>
      <w:r w:rsidRPr="008C69AC">
        <w:rPr>
          <w:i/>
        </w:rPr>
        <w:t>available at:</w:t>
      </w:r>
    </w:p>
    <w:p w14:paraId="754F583A" w14:textId="77777777" w:rsidR="001F74E3" w:rsidRPr="008C69AC" w:rsidRDefault="00EA0E3E" w:rsidP="001F74E3">
      <w:pPr>
        <w:pStyle w:val="FootnoteText"/>
      </w:pPr>
      <w:hyperlink r:id="rId1" w:history="1">
        <w:r w:rsidR="001F74E3" w:rsidRPr="008C69AC">
          <w:rPr>
            <w:rStyle w:val="Hyperlink"/>
          </w:rPr>
          <w:t>http://www.iccsafe.org/AboutICC/Pages/default.aspx</w:t>
        </w:r>
      </w:hyperlink>
      <w:r w:rsidR="001F74E3" w:rsidRPr="008C69AC">
        <w:t xml:space="preserve"> </w:t>
      </w:r>
    </w:p>
  </w:footnote>
  <w:footnote w:id="2">
    <w:p w14:paraId="7FF8ADB1" w14:textId="77777777" w:rsidR="001F74E3" w:rsidRPr="00D46695" w:rsidRDefault="001F74E3" w:rsidP="001F74E3">
      <w:pPr>
        <w:pStyle w:val="FootnoteText"/>
        <w:rPr>
          <w:iCs/>
        </w:rPr>
      </w:pPr>
      <w:r w:rsidRPr="008C69AC">
        <w:rPr>
          <w:rStyle w:val="FootnoteReference"/>
        </w:rPr>
        <w:footnoteRef/>
      </w:r>
      <w:r w:rsidRPr="008C69AC">
        <w:t xml:space="preserve"> 20</w:t>
      </w:r>
      <w:r>
        <w:t>23 Construction Codes Revision Cycle</w:t>
      </w:r>
      <w:r w:rsidRPr="008C69AC">
        <w:t xml:space="preserve"> Handbook, </w:t>
      </w:r>
      <w:r>
        <w:rPr>
          <w:i/>
        </w:rPr>
        <w:t>available at</w:t>
      </w:r>
      <w:r>
        <w:rPr>
          <w:iCs/>
        </w:rPr>
        <w:t xml:space="preserve">: </w:t>
      </w:r>
      <w:hyperlink r:id="rId2" w:history="1">
        <w:r w:rsidRPr="00C50F12">
          <w:rPr>
            <w:rStyle w:val="Hyperlink"/>
            <w:iCs/>
          </w:rPr>
          <w:t>https://www.nyc.gov/assets/buildings/pdf/2023_revision_cycle_handbook.pdf</w:t>
        </w:r>
      </w:hyperlink>
      <w:r>
        <w:rPr>
          <w:iCs/>
        </w:rPr>
        <w:t xml:space="preserve"> </w:t>
      </w:r>
    </w:p>
  </w:footnote>
  <w:footnote w:id="3">
    <w:p w14:paraId="022C4CA0" w14:textId="77777777" w:rsidR="001F74E3" w:rsidRPr="008C69AC" w:rsidRDefault="001F74E3" w:rsidP="001F74E3">
      <w:pPr>
        <w:pStyle w:val="FootnoteText"/>
      </w:pPr>
      <w:r w:rsidRPr="008C69AC">
        <w:rPr>
          <w:rStyle w:val="FootnoteReference"/>
        </w:rPr>
        <w:footnoteRef/>
      </w:r>
      <w:r w:rsidRPr="008C69AC">
        <w:t xml:space="preserve"> </w:t>
      </w:r>
      <w:r w:rsidRPr="008C69AC">
        <w:rPr>
          <w:i/>
        </w:rPr>
        <w:t>See</w:t>
      </w:r>
      <w:r w:rsidRPr="008C69AC">
        <w:t xml:space="preserve"> ICC Code Development Process, </w:t>
      </w:r>
      <w:r w:rsidRPr="008C69AC">
        <w:rPr>
          <w:i/>
        </w:rPr>
        <w:t>available at</w:t>
      </w:r>
      <w:r w:rsidRPr="008C69AC">
        <w:t xml:space="preserve"> </w:t>
      </w:r>
      <w:hyperlink r:id="rId3" w:history="1">
        <w:r w:rsidRPr="008C69AC">
          <w:rPr>
            <w:rStyle w:val="Hyperlink"/>
          </w:rPr>
          <w:t>https://cdn-web.iccsafe.org/wp-content/uploads/ICC-CDP-How-It-Works.pdf</w:t>
        </w:r>
      </w:hyperlink>
      <w:r w:rsidRPr="008C69AC">
        <w:t xml:space="preserve"> </w:t>
      </w:r>
    </w:p>
  </w:footnote>
  <w:footnote w:id="4">
    <w:p w14:paraId="78844A32" w14:textId="77777777" w:rsidR="001F74E3" w:rsidRPr="008C69AC" w:rsidRDefault="001F74E3" w:rsidP="001F74E3">
      <w:pPr>
        <w:pStyle w:val="FootnoteText"/>
        <w:rPr>
          <w:i/>
        </w:rPr>
      </w:pPr>
      <w:r w:rsidRPr="008C69AC">
        <w:rPr>
          <w:rStyle w:val="FootnoteReference"/>
          <w:rFonts w:eastAsia="MS Gothic"/>
        </w:rPr>
        <w:footnoteRef/>
      </w:r>
      <w:r w:rsidRPr="008C69AC">
        <w:t xml:space="preserve"> I</w:t>
      </w:r>
      <w:bookmarkStart w:id="4" w:name="_Hlk73648292"/>
      <w:r w:rsidRPr="008C69AC">
        <w:t xml:space="preserve">nternational Code Council, About ICC. </w:t>
      </w:r>
      <w:r w:rsidRPr="008C69AC">
        <w:rPr>
          <w:i/>
        </w:rPr>
        <w:t>available at:</w:t>
      </w:r>
    </w:p>
    <w:p w14:paraId="061F6997" w14:textId="77777777" w:rsidR="001F74E3" w:rsidRPr="008C69AC" w:rsidRDefault="00EA0E3E" w:rsidP="001F74E3">
      <w:pPr>
        <w:pStyle w:val="FootnoteText"/>
      </w:pPr>
      <w:hyperlink r:id="rId4" w:history="1">
        <w:r w:rsidR="001F74E3" w:rsidRPr="008C69AC">
          <w:rPr>
            <w:rStyle w:val="Hyperlink"/>
          </w:rPr>
          <w:t>http://www.iccsafe.org/AboutICC/Pages/default.aspx</w:t>
        </w:r>
      </w:hyperlink>
      <w:bookmarkEnd w:id="4"/>
      <w:r w:rsidR="001F74E3" w:rsidRPr="008C69AC">
        <w:t xml:space="preserve"> </w:t>
      </w:r>
    </w:p>
  </w:footnote>
  <w:footnote w:id="5">
    <w:p w14:paraId="7E226EFD" w14:textId="3AF6DEAC" w:rsidR="001F74E3" w:rsidRPr="008C69AC" w:rsidRDefault="001F74E3" w:rsidP="001F74E3">
      <w:pPr>
        <w:pStyle w:val="FootnoteText"/>
      </w:pPr>
      <w:r w:rsidRPr="008C69AC">
        <w:rPr>
          <w:rStyle w:val="FootnoteReference"/>
        </w:rPr>
        <w:footnoteRef/>
      </w:r>
      <w:r w:rsidRPr="008C69AC">
        <w:t xml:space="preserve"> Administrative Code of the City of New York §</w:t>
      </w:r>
      <w:r w:rsidR="00330893">
        <w:t xml:space="preserve"> </w:t>
      </w:r>
      <w:r w:rsidRPr="008C69AC">
        <w:t>28-101.2.</w:t>
      </w:r>
    </w:p>
  </w:footnote>
  <w:footnote w:id="6">
    <w:p w14:paraId="0A08D567" w14:textId="77777777" w:rsidR="001F74E3" w:rsidRPr="008C69AC" w:rsidRDefault="001F74E3" w:rsidP="001F74E3">
      <w:pPr>
        <w:pStyle w:val="FootnoteText"/>
      </w:pPr>
      <w:r w:rsidRPr="008C69AC">
        <w:rPr>
          <w:rStyle w:val="FootnoteReference"/>
        </w:rPr>
        <w:footnoteRef/>
      </w:r>
      <w:r w:rsidRPr="008C69AC">
        <w:t xml:space="preserve"> </w:t>
      </w:r>
      <w:r>
        <w:rPr>
          <w:iCs/>
        </w:rPr>
        <w:t xml:space="preserve">2023 Handbook, </w:t>
      </w:r>
      <w:r w:rsidRPr="00D46695">
        <w:rPr>
          <w:i/>
        </w:rPr>
        <w:t>supra</w:t>
      </w:r>
      <w:r>
        <w:rPr>
          <w:iCs/>
        </w:rPr>
        <w:t xml:space="preserve"> note 2</w:t>
      </w:r>
      <w:r w:rsidRPr="008C69AC">
        <w:rPr>
          <w:i/>
        </w:rPr>
        <w:t>.</w:t>
      </w:r>
    </w:p>
  </w:footnote>
  <w:footnote w:id="7">
    <w:p w14:paraId="0FEF7CB4" w14:textId="77777777" w:rsidR="001F74E3" w:rsidRPr="008C69AC" w:rsidRDefault="001F74E3" w:rsidP="001F74E3">
      <w:pPr>
        <w:pStyle w:val="FootnoteText"/>
      </w:pPr>
      <w:r w:rsidRPr="008C69AC">
        <w:rPr>
          <w:rStyle w:val="FootnoteReference"/>
        </w:rPr>
        <w:footnoteRef/>
      </w:r>
      <w:r w:rsidRPr="008C69AC">
        <w:t xml:space="preserve"> </w:t>
      </w:r>
      <w:r w:rsidRPr="008C69AC">
        <w:rPr>
          <w:i/>
        </w:rPr>
        <w:t xml:space="preserve">Id. </w:t>
      </w:r>
    </w:p>
  </w:footnote>
  <w:footnote w:id="8">
    <w:p w14:paraId="718FC647" w14:textId="77777777" w:rsidR="001F74E3" w:rsidRPr="008C69AC" w:rsidRDefault="001F74E3" w:rsidP="001F74E3">
      <w:pPr>
        <w:pStyle w:val="FootnoteText"/>
      </w:pPr>
      <w:r w:rsidRPr="008C69AC">
        <w:rPr>
          <w:rStyle w:val="FootnoteReference"/>
        </w:rPr>
        <w:footnoteRef/>
      </w:r>
      <w:r w:rsidRPr="008C69AC">
        <w:t xml:space="preserve"> </w:t>
      </w:r>
      <w:bookmarkStart w:id="5" w:name="_Hlk73646480"/>
      <w:r w:rsidRPr="008C69AC">
        <w:rPr>
          <w:i/>
        </w:rPr>
        <w:t xml:space="preserve">Id. </w:t>
      </w:r>
      <w:bookmarkEnd w:id="5"/>
    </w:p>
  </w:footnote>
  <w:footnote w:id="9">
    <w:p w14:paraId="33B6772C" w14:textId="77777777" w:rsidR="001F74E3" w:rsidRPr="008C69AC" w:rsidRDefault="001F74E3" w:rsidP="001F74E3">
      <w:pPr>
        <w:pStyle w:val="FootnoteText"/>
      </w:pPr>
      <w:r w:rsidRPr="008C69AC">
        <w:rPr>
          <w:rStyle w:val="FootnoteReference"/>
        </w:rPr>
        <w:footnoteRef/>
      </w:r>
      <w:r w:rsidRPr="008C69AC">
        <w:t xml:space="preserve"> </w:t>
      </w:r>
      <w:r w:rsidRPr="008C69AC">
        <w:rPr>
          <w:i/>
        </w:rPr>
        <w:t xml:space="preserve">Id. </w:t>
      </w:r>
    </w:p>
  </w:footnote>
  <w:footnote w:id="10">
    <w:p w14:paraId="7A06A3AE" w14:textId="1ACDB831" w:rsidR="001F74E3" w:rsidRPr="008C69AC" w:rsidRDefault="001F74E3" w:rsidP="001F74E3">
      <w:pPr>
        <w:pStyle w:val="FootnoteText"/>
      </w:pPr>
      <w:r w:rsidRPr="008C69AC">
        <w:rPr>
          <w:rStyle w:val="FootnoteReference"/>
        </w:rPr>
        <w:footnoteRef/>
      </w:r>
      <w:r w:rsidRPr="008C69AC">
        <w:t xml:space="preserve"> </w:t>
      </w:r>
      <w:r w:rsidRPr="008C69AC">
        <w:rPr>
          <w:i/>
        </w:rPr>
        <w:t>Id.</w:t>
      </w:r>
    </w:p>
  </w:footnote>
  <w:footnote w:id="11">
    <w:p w14:paraId="6BC23C19" w14:textId="77777777" w:rsidR="001F74E3" w:rsidRPr="008C69AC" w:rsidRDefault="001F74E3" w:rsidP="001F74E3">
      <w:pPr>
        <w:pStyle w:val="FootnoteText"/>
      </w:pPr>
      <w:r w:rsidRPr="008C69AC">
        <w:rPr>
          <w:rStyle w:val="FootnoteReference"/>
        </w:rPr>
        <w:footnoteRef/>
      </w:r>
      <w:r w:rsidRPr="008C69AC">
        <w:t xml:space="preserve"> </w:t>
      </w:r>
      <w:r w:rsidRPr="008C69AC">
        <w:rPr>
          <w:i/>
        </w:rPr>
        <w:t>See</w:t>
      </w:r>
      <w:r w:rsidRPr="008C69AC">
        <w:t xml:space="preserve"> Local Law 33 of 2007, </w:t>
      </w:r>
      <w:hyperlink r:id="rId5" w:history="1">
        <w:r w:rsidRPr="008C69AC">
          <w:rPr>
            <w:rStyle w:val="Hyperlink"/>
          </w:rPr>
          <w:t>https://legistar.council.nyc.gov/LegislationDetail.aspx?ID=447129&amp;GUID=2EB62F1F-8F59-4796-A309-3F0A42B7D207&amp;Options=ID|Text|&amp;Search</w:t>
        </w:r>
      </w:hyperlink>
      <w:r w:rsidRPr="008C69AC">
        <w:t xml:space="preserve">= </w:t>
      </w:r>
    </w:p>
  </w:footnote>
  <w:footnote w:id="12">
    <w:p w14:paraId="15888EE2" w14:textId="77FDB559" w:rsidR="001F74E3" w:rsidRPr="008C69AC" w:rsidRDefault="001F74E3" w:rsidP="001F74E3">
      <w:pPr>
        <w:pStyle w:val="FootnoteText"/>
      </w:pPr>
      <w:r w:rsidRPr="008C69AC">
        <w:rPr>
          <w:rStyle w:val="FootnoteReference"/>
        </w:rPr>
        <w:footnoteRef/>
      </w:r>
      <w:r w:rsidRPr="008C69AC">
        <w:t xml:space="preserve"> 20</w:t>
      </w:r>
      <w:r>
        <w:t>23</w:t>
      </w:r>
      <w:r w:rsidRPr="008C69AC">
        <w:t xml:space="preserve"> Handbook, </w:t>
      </w:r>
      <w:r w:rsidRPr="008C69AC">
        <w:rPr>
          <w:i/>
        </w:rPr>
        <w:t>supra</w:t>
      </w:r>
      <w:r w:rsidRPr="008C69AC">
        <w:t xml:space="preserve"> note </w:t>
      </w:r>
      <w:r w:rsidR="00EC70EF">
        <w:t>2.</w:t>
      </w:r>
    </w:p>
  </w:footnote>
  <w:footnote w:id="13">
    <w:p w14:paraId="32DE3B0F" w14:textId="77777777" w:rsidR="001F74E3" w:rsidRPr="008C69AC" w:rsidRDefault="001F74E3" w:rsidP="001F74E3">
      <w:pPr>
        <w:pStyle w:val="FootnoteText"/>
      </w:pPr>
      <w:r w:rsidRPr="008C69AC">
        <w:rPr>
          <w:rStyle w:val="FootnoteReference"/>
        </w:rPr>
        <w:footnoteRef/>
      </w:r>
      <w:r w:rsidRPr="008C69AC">
        <w:t xml:space="preserve"> </w:t>
      </w:r>
      <w:r w:rsidRPr="008C69AC">
        <w:rPr>
          <w:i/>
        </w:rPr>
        <w:t>Id.</w:t>
      </w:r>
    </w:p>
  </w:footnote>
  <w:footnote w:id="14">
    <w:p w14:paraId="53BD6570" w14:textId="68CD7B9D" w:rsidR="003A2BD3" w:rsidRDefault="003A2BD3">
      <w:pPr>
        <w:pStyle w:val="FootnoteText"/>
      </w:pPr>
      <w:r>
        <w:rPr>
          <w:rStyle w:val="FootnoteReference"/>
        </w:rPr>
        <w:footnoteRef/>
      </w:r>
      <w:r>
        <w:t xml:space="preserve"> </w:t>
      </w:r>
      <w:r w:rsidRPr="00DD71E5">
        <w:rPr>
          <w:i/>
          <w:iCs/>
        </w:rPr>
        <w:t>See</w:t>
      </w:r>
      <w:r>
        <w:t xml:space="preserve"> Administrative Code </w:t>
      </w:r>
      <w:r w:rsidRPr="003A2BD3">
        <w:t>§§</w:t>
      </w:r>
      <w:r>
        <w:t xml:space="preserve"> 28-101.4.3, 28-101.5, and 28-102.4.1. </w:t>
      </w:r>
    </w:p>
  </w:footnote>
  <w:footnote w:id="15">
    <w:p w14:paraId="374C88F6" w14:textId="656BE3C7" w:rsidR="00DE1839" w:rsidRDefault="00DE1839">
      <w:pPr>
        <w:pStyle w:val="FootnoteText"/>
      </w:pPr>
      <w:r>
        <w:rPr>
          <w:rStyle w:val="FootnoteReference"/>
        </w:rPr>
        <w:footnoteRef/>
      </w:r>
      <w:r>
        <w:t xml:space="preserve"> </w:t>
      </w:r>
      <w:r w:rsidRPr="00DE1839">
        <w:rPr>
          <w:i/>
          <w:iCs/>
        </w:rPr>
        <w:t>See</w:t>
      </w:r>
      <w:r>
        <w:t xml:space="preserve"> 2025 Energy Code Revision Handbook, </w:t>
      </w:r>
      <w:r w:rsidRPr="00DE1839">
        <w:rPr>
          <w:i/>
          <w:iCs/>
        </w:rPr>
        <w:t>available at</w:t>
      </w:r>
      <w:r>
        <w:t xml:space="preserve">: </w:t>
      </w:r>
      <w:hyperlink r:id="rId6" w:history="1">
        <w:r w:rsidRPr="00513119">
          <w:rPr>
            <w:rStyle w:val="Hyperlink"/>
          </w:rPr>
          <w:t>https://www.nyc.gov/assets/buildings/pdf/ecr_handbook25.pdf</w:t>
        </w:r>
      </w:hyperlink>
      <w:r>
        <w:t xml:space="preserve"> </w:t>
      </w:r>
    </w:p>
  </w:footnote>
  <w:footnote w:id="16">
    <w:p w14:paraId="1E193AA3" w14:textId="63531C97" w:rsidR="003B3913" w:rsidRDefault="003B3913">
      <w:pPr>
        <w:pStyle w:val="FootnoteText"/>
      </w:pPr>
      <w:r>
        <w:rPr>
          <w:rStyle w:val="FootnoteReference"/>
        </w:rPr>
        <w:footnoteRef/>
      </w:r>
      <w:r>
        <w:t xml:space="preserve"> </w:t>
      </w:r>
      <w:r w:rsidRPr="001A339A">
        <w:rPr>
          <w:i/>
          <w:iCs/>
        </w:rPr>
        <w:t>See</w:t>
      </w:r>
      <w:r>
        <w:t xml:space="preserve"> Local Law </w:t>
      </w:r>
      <w:r w:rsidR="001A339A">
        <w:t xml:space="preserve">48 of 2020, </w:t>
      </w:r>
      <w:r w:rsidR="001A339A" w:rsidRPr="001A339A">
        <w:rPr>
          <w:i/>
          <w:iCs/>
        </w:rPr>
        <w:t>available at</w:t>
      </w:r>
      <w:r w:rsidR="001A339A">
        <w:t xml:space="preserve">: </w:t>
      </w:r>
      <w:hyperlink r:id="rId7" w:history="1">
        <w:r w:rsidR="001A339A" w:rsidRPr="00513119">
          <w:rPr>
            <w:rStyle w:val="Hyperlink"/>
          </w:rPr>
          <w:t>https://legistar.council.nyc.gov/LegislationDetail.aspx?ID=4277797&amp;GUID=52C734F2-A45B-477B-8209-1D7C6EED8E49&amp;Options=ID|Text|&amp;Search=energy+conservation+code</w:t>
        </w:r>
      </w:hyperlink>
      <w:r w:rsidR="001A339A">
        <w:t xml:space="preserve"> </w:t>
      </w:r>
    </w:p>
  </w:footnote>
  <w:footnote w:id="17">
    <w:p w14:paraId="76076E45" w14:textId="6A2E0F16" w:rsidR="00DE1839" w:rsidRDefault="00DE1839">
      <w:pPr>
        <w:pStyle w:val="FootnoteText"/>
      </w:pPr>
      <w:r>
        <w:rPr>
          <w:rStyle w:val="FootnoteReference"/>
        </w:rPr>
        <w:footnoteRef/>
      </w:r>
      <w:r>
        <w:t xml:space="preserve"> </w:t>
      </w:r>
      <w:r w:rsidRPr="00DE1839">
        <w:rPr>
          <w:i/>
          <w:iCs/>
        </w:rPr>
        <w:t>Supra</w:t>
      </w:r>
      <w:r>
        <w:t xml:space="preserve">, note </w:t>
      </w:r>
      <w:r w:rsidR="00747B50">
        <w:fldChar w:fldCharType="begin"/>
      </w:r>
      <w:r w:rsidR="00747B50">
        <w:instrText xml:space="preserve"> NOTEREF _Ref214400625 \h </w:instrText>
      </w:r>
      <w:r w:rsidR="00747B50">
        <w:fldChar w:fldCharType="separate"/>
      </w:r>
      <w:r w:rsidR="00907A52">
        <w:t>14</w:t>
      </w:r>
      <w:r w:rsidR="00747B50">
        <w:fldChar w:fldCharType="end"/>
      </w:r>
      <w:r>
        <w:t>.</w:t>
      </w:r>
    </w:p>
  </w:footnote>
  <w:footnote w:id="18">
    <w:p w14:paraId="2187DF3F" w14:textId="3A3A8890" w:rsidR="00DE1839" w:rsidRDefault="00DE1839">
      <w:pPr>
        <w:pStyle w:val="FootnoteText"/>
      </w:pPr>
      <w:r>
        <w:rPr>
          <w:rStyle w:val="FootnoteReference"/>
        </w:rPr>
        <w:footnoteRef/>
      </w:r>
      <w:r>
        <w:t xml:space="preserve"> </w:t>
      </w:r>
      <w:r w:rsidRPr="00DE1839">
        <w:rPr>
          <w:i/>
          <w:iCs/>
        </w:rPr>
        <w:t>Id</w:t>
      </w:r>
      <w:r>
        <w:t>.</w:t>
      </w:r>
    </w:p>
  </w:footnote>
  <w:footnote w:id="19">
    <w:p w14:paraId="03CB28DF" w14:textId="38863FB7" w:rsidR="00DE1839" w:rsidRDefault="00DE1839">
      <w:pPr>
        <w:pStyle w:val="FootnoteText"/>
      </w:pPr>
      <w:r>
        <w:rPr>
          <w:rStyle w:val="FootnoteReference"/>
        </w:rPr>
        <w:footnoteRef/>
      </w:r>
      <w:r>
        <w:t xml:space="preserve"> </w:t>
      </w:r>
      <w:r w:rsidRPr="00DE1839">
        <w:rPr>
          <w:i/>
          <w:iCs/>
        </w:rPr>
        <w:t>Id</w:t>
      </w:r>
      <w:r>
        <w:t>.</w:t>
      </w:r>
    </w:p>
  </w:footnote>
  <w:footnote w:id="20">
    <w:p w14:paraId="74A42196" w14:textId="09D69F3C" w:rsidR="00DE1839" w:rsidRDefault="00DE1839">
      <w:pPr>
        <w:pStyle w:val="FootnoteText"/>
      </w:pPr>
      <w:r>
        <w:rPr>
          <w:rStyle w:val="FootnoteReference"/>
        </w:rPr>
        <w:footnoteRef/>
      </w:r>
      <w:r>
        <w:t xml:space="preserve"> </w:t>
      </w:r>
      <w:r w:rsidRPr="00DE1839">
        <w:rPr>
          <w:i/>
          <w:iCs/>
        </w:rPr>
        <w:t>Id</w:t>
      </w:r>
      <w:r>
        <w:t>.</w:t>
      </w:r>
    </w:p>
  </w:footnote>
  <w:footnote w:id="21">
    <w:p w14:paraId="41FE89FE" w14:textId="4644999E" w:rsidR="003B3913" w:rsidRDefault="003B3913" w:rsidP="003B3913">
      <w:pPr>
        <w:pStyle w:val="FootnoteText"/>
      </w:pPr>
      <w:r>
        <w:rPr>
          <w:rStyle w:val="FootnoteReference"/>
        </w:rPr>
        <w:footnoteRef/>
      </w:r>
      <w:r w:rsidR="00DE1839">
        <w:rPr>
          <w:rFonts w:eastAsia="Yu Gothic"/>
          <w:i/>
          <w:iCs/>
        </w:rPr>
        <w:t>Id.</w:t>
      </w:r>
      <w:r w:rsidR="00E4494C">
        <w:t xml:space="preserve"> </w:t>
      </w:r>
    </w:p>
  </w:footnote>
  <w:footnote w:id="22">
    <w:p w14:paraId="789E3147" w14:textId="2C987E75" w:rsidR="00DE1839" w:rsidRDefault="00DE1839">
      <w:pPr>
        <w:pStyle w:val="FootnoteText"/>
      </w:pPr>
      <w:r>
        <w:rPr>
          <w:rStyle w:val="FootnoteReference"/>
        </w:rPr>
        <w:footnoteRef/>
      </w:r>
      <w:r w:rsidRPr="00DE1839">
        <w:rPr>
          <w:i/>
          <w:iCs/>
        </w:rPr>
        <w:t>Id</w:t>
      </w:r>
      <w:r>
        <w:t>.</w:t>
      </w:r>
    </w:p>
  </w:footnote>
  <w:footnote w:id="23">
    <w:p w14:paraId="376C6F39" w14:textId="5D58D07A" w:rsidR="00256BCF" w:rsidRDefault="00256BCF">
      <w:pPr>
        <w:pStyle w:val="FootnoteText"/>
      </w:pPr>
      <w:r>
        <w:rPr>
          <w:rStyle w:val="FootnoteReference"/>
        </w:rPr>
        <w:footnoteRef/>
      </w:r>
      <w:r w:rsidRPr="00256BCF">
        <w:rPr>
          <w:i/>
          <w:iCs/>
        </w:rPr>
        <w:t>Id</w:t>
      </w:r>
      <w:r>
        <w:t>.</w:t>
      </w:r>
    </w:p>
  </w:footnote>
  <w:footnote w:id="24">
    <w:p w14:paraId="32F465A5" w14:textId="77777777" w:rsidR="00D74456" w:rsidRPr="00263A2E" w:rsidRDefault="00D74456" w:rsidP="00D74456">
      <w:pPr>
        <w:pStyle w:val="FootnoteText"/>
      </w:pPr>
      <w:r w:rsidRPr="00263A2E">
        <w:rPr>
          <w:rStyle w:val="FootnoteReference"/>
        </w:rPr>
        <w:footnoteRef/>
      </w:r>
      <w:r w:rsidRPr="00263A2E">
        <w:t xml:space="preserve"> Karen Zraick. “Hundreds of Complaints Flood In About New York Signs, but From Whom?” </w:t>
      </w:r>
      <w:r w:rsidRPr="00263A2E">
        <w:rPr>
          <w:i/>
          <w:iCs/>
        </w:rPr>
        <w:t>The New York Times</w:t>
      </w:r>
      <w:r w:rsidRPr="00263A2E">
        <w:t xml:space="preserve"> (Dec. 11, 2018), </w:t>
      </w:r>
      <w:r w:rsidRPr="00263A2E">
        <w:rPr>
          <w:i/>
          <w:iCs/>
        </w:rPr>
        <w:t xml:space="preserve">available at: </w:t>
      </w:r>
      <w:hyperlink r:id="rId8" w:history="1">
        <w:r w:rsidRPr="00263A2E">
          <w:rPr>
            <w:rStyle w:val="Hyperlink"/>
          </w:rPr>
          <w:t>https://www.nytimes.com/2018/12/11/nyregion/311-nyc-store-sign-fines.html</w:t>
        </w:r>
      </w:hyperlink>
      <w:r w:rsidRPr="00263A2E">
        <w:t xml:space="preserve">; N.Y.C. Department of Buildings, </w:t>
      </w:r>
      <w:r w:rsidRPr="00263A2E">
        <w:rPr>
          <w:i/>
          <w:iCs/>
        </w:rPr>
        <w:t>Local Law 28 of 2019 Task Force Report: The Relevance and Appropriateness of Accessory Sign Regulations</w:t>
      </w:r>
      <w:r w:rsidRPr="00263A2E">
        <w:t xml:space="preserve">, Jan. 13, 2021. pp. 6-7. Available at: </w:t>
      </w:r>
      <w:hyperlink r:id="rId9" w:history="1">
        <w:r w:rsidRPr="00263A2E">
          <w:rPr>
            <w:rStyle w:val="Hyperlink"/>
          </w:rPr>
          <w:t>NYC Government Publication | Local Law 28 of 2019 Task Force Report | ID: qj72p905h | Government Publications Portal</w:t>
        </w:r>
      </w:hyperlink>
      <w:r w:rsidRPr="00263A2E">
        <w:t xml:space="preserve"> </w:t>
      </w:r>
    </w:p>
  </w:footnote>
  <w:footnote w:id="25">
    <w:p w14:paraId="64EC4501" w14:textId="77777777" w:rsidR="00D74456" w:rsidRPr="00263A2E" w:rsidRDefault="00D74456" w:rsidP="00D74456">
      <w:pPr>
        <w:pStyle w:val="FootnoteText"/>
      </w:pPr>
      <w:r w:rsidRPr="00263A2E">
        <w:rPr>
          <w:rStyle w:val="FootnoteReference"/>
        </w:rPr>
        <w:footnoteRef/>
      </w:r>
      <w:r w:rsidRPr="00263A2E">
        <w:t xml:space="preserve"> </w:t>
      </w:r>
      <w:r w:rsidRPr="00263A2E">
        <w:rPr>
          <w:i/>
          <w:iCs/>
        </w:rPr>
        <w:t xml:space="preserve">See, e.g., </w:t>
      </w:r>
      <w:r w:rsidRPr="00263A2E">
        <w:t>§§ 32-642, 32-652 and 32-653 of the Zoning Resolution; BC § 3202.2.3.1 of the Building Code; §§ 28-415.1 and 28-415.2 of the Administrative Code; and §§ 28-105 and 28-105.4.5 of the Administrative Code.</w:t>
      </w:r>
    </w:p>
  </w:footnote>
  <w:footnote w:id="26">
    <w:p w14:paraId="57201DF0" w14:textId="77777777" w:rsidR="00D74456" w:rsidRPr="003A54A5" w:rsidRDefault="00D74456" w:rsidP="00D74456">
      <w:pPr>
        <w:pStyle w:val="FootnoteText"/>
      </w:pPr>
      <w:r>
        <w:rPr>
          <w:rStyle w:val="FootnoteReference"/>
        </w:rPr>
        <w:footnoteRef/>
      </w:r>
      <w:r>
        <w:t xml:space="preserve"> </w:t>
      </w:r>
      <w:r w:rsidRPr="00A543FB">
        <w:t>Karen Zraick. “</w:t>
      </w:r>
      <w:r w:rsidRPr="003A54A5">
        <w:t>Mysterious Spike in Complaints About Street Signs Moves Council to Halt Violations</w:t>
      </w:r>
      <w:r w:rsidRPr="00A543FB">
        <w:t xml:space="preserve">” </w:t>
      </w:r>
      <w:r w:rsidRPr="00A543FB">
        <w:rPr>
          <w:i/>
          <w:iCs/>
        </w:rPr>
        <w:t>The New York Times</w:t>
      </w:r>
      <w:r w:rsidRPr="00A543FB">
        <w:t xml:space="preserve"> (Dec. 11, 2018), </w:t>
      </w:r>
      <w:r w:rsidRPr="00A543FB">
        <w:rPr>
          <w:i/>
          <w:iCs/>
        </w:rPr>
        <w:t>available at</w:t>
      </w:r>
      <w:r>
        <w:t xml:space="preserve">: </w:t>
      </w:r>
      <w:hyperlink r:id="rId10" w:history="1">
        <w:r w:rsidRPr="001D70B6">
          <w:rPr>
            <w:rStyle w:val="Hyperlink"/>
          </w:rPr>
          <w:t>https://www.nytimes.com/2019/01/09/nyregion/nyc-city-council-store-sign-fines.html</w:t>
        </w:r>
      </w:hyperlink>
      <w:r>
        <w:t xml:space="preserve"> </w:t>
      </w:r>
    </w:p>
  </w:footnote>
  <w:footnote w:id="27">
    <w:p w14:paraId="06297395" w14:textId="046A1020" w:rsidR="00D74456" w:rsidRPr="00263A2E" w:rsidRDefault="00D74456" w:rsidP="00D74456">
      <w:pPr>
        <w:pStyle w:val="FootnoteText"/>
      </w:pPr>
      <w:r w:rsidRPr="00263A2E">
        <w:rPr>
          <w:rStyle w:val="FootnoteReference"/>
        </w:rPr>
        <w:footnoteRef/>
      </w:r>
      <w:r w:rsidRPr="00263A2E">
        <w:t xml:space="preserve"> </w:t>
      </w:r>
      <w:r w:rsidR="0088372B">
        <w:rPr>
          <w:i/>
          <w:iCs/>
        </w:rPr>
        <w:t xml:space="preserve">See </w:t>
      </w:r>
      <w:r w:rsidR="0088372B">
        <w:t xml:space="preserve">Local Law 48 of 2020, </w:t>
      </w:r>
      <w:r w:rsidR="0088372B">
        <w:rPr>
          <w:i/>
          <w:iCs/>
        </w:rPr>
        <w:t>available at</w:t>
      </w:r>
      <w:r w:rsidR="0088372B" w:rsidRPr="00DD71E5">
        <w:t>:</w:t>
      </w:r>
      <w:r w:rsidR="0088372B">
        <w:t xml:space="preserve"> </w:t>
      </w:r>
      <w:r w:rsidR="0088372B" w:rsidRPr="0088372B">
        <w:t>https://legistar.council.nyc.gov/LegislationDetail.aspx?ID=3458219&amp;GUID=B0C7E025-D09E-4A05-A48B-7BCB7EBE7E33&amp;Options=ID|Text|&amp;Search=accessory+signs</w:t>
      </w:r>
      <w:r w:rsidR="0088372B">
        <w:t>. Section</w:t>
      </w:r>
      <w:r w:rsidRPr="00263A2E">
        <w:t xml:space="preserve"> 2(e)</w:t>
      </w:r>
      <w:r w:rsidR="0088372B">
        <w:t xml:space="preserve"> and section </w:t>
      </w:r>
      <w:r w:rsidRPr="00263A2E">
        <w:t xml:space="preserve"> 3 except violations when they “create[] an imminent threat to public health or safety” </w:t>
      </w:r>
    </w:p>
  </w:footnote>
  <w:footnote w:id="28">
    <w:p w14:paraId="7F43C41C" w14:textId="62D47CC0" w:rsidR="00D74456" w:rsidRPr="00263A2E" w:rsidRDefault="00D74456" w:rsidP="00D74456">
      <w:pPr>
        <w:pStyle w:val="FootnoteText"/>
      </w:pPr>
      <w:r w:rsidRPr="00263A2E">
        <w:rPr>
          <w:rStyle w:val="FootnoteReference"/>
        </w:rPr>
        <w:footnoteRef/>
      </w:r>
      <w:r w:rsidR="0088372B">
        <w:rPr>
          <w:i/>
          <w:iCs/>
        </w:rPr>
        <w:t xml:space="preserve">See </w:t>
      </w:r>
      <w:r w:rsidR="0088372B">
        <w:t xml:space="preserve">Local Law 29 of 2021, </w:t>
      </w:r>
      <w:r w:rsidR="0088372B">
        <w:rPr>
          <w:i/>
          <w:iCs/>
        </w:rPr>
        <w:t>available at</w:t>
      </w:r>
      <w:r w:rsidR="0088372B" w:rsidRPr="0068179E">
        <w:t>:</w:t>
      </w:r>
      <w:r w:rsidR="003D1FD2">
        <w:t xml:space="preserve"> </w:t>
      </w:r>
      <w:hyperlink r:id="rId11" w:history="1">
        <w:r w:rsidR="003D1FD2" w:rsidRPr="00F0366C">
          <w:rPr>
            <w:rStyle w:val="Hyperlink"/>
          </w:rPr>
          <w:t>https://legistar.council.nyc.gov/LegislationDetail.aspx?ID=4624862&amp;GUID=917908D8-A233-436F-8C9B-8028746FE30B&amp;Options=ID|Text|&amp;Search=accessory+signs</w:t>
        </w:r>
      </w:hyperlink>
      <w:r w:rsidR="003D1FD2">
        <w:t xml:space="preserve">; </w:t>
      </w:r>
      <w:r w:rsidR="003D1FD2">
        <w:rPr>
          <w:i/>
          <w:iCs/>
        </w:rPr>
        <w:t xml:space="preserve">See </w:t>
      </w:r>
      <w:r w:rsidR="003D1FD2">
        <w:t xml:space="preserve">Local Law 43 of 2023, </w:t>
      </w:r>
      <w:r w:rsidR="003D1FD2">
        <w:rPr>
          <w:i/>
          <w:iCs/>
        </w:rPr>
        <w:t>available at</w:t>
      </w:r>
      <w:r w:rsidR="003D1FD2" w:rsidRPr="0068179E">
        <w:t>:</w:t>
      </w:r>
      <w:r w:rsidR="003D1FD2">
        <w:t xml:space="preserve"> </w:t>
      </w:r>
      <w:r w:rsidR="003D1FD2" w:rsidRPr="003D1FD2">
        <w:t>https://legistar.council.nyc.gov/LegislationDetail.aspx?ID=5991407&amp;GUID=06D97FF2-65B1-4C80-9F9A-1AAF41AC9A36&amp;Options=ID|Text|&amp;Search=accessory+signs</w:t>
      </w:r>
    </w:p>
  </w:footnote>
  <w:footnote w:id="29">
    <w:p w14:paraId="32CC19B1" w14:textId="7D27A78E" w:rsidR="003D2C2E" w:rsidRDefault="003D2C2E" w:rsidP="003D2C2E">
      <w:pPr>
        <w:pStyle w:val="FootnoteText"/>
      </w:pPr>
      <w:r>
        <w:rPr>
          <w:rStyle w:val="FootnoteReference"/>
        </w:rPr>
        <w:footnoteRef/>
      </w:r>
      <w:r>
        <w:t xml:space="preserve"> </w:t>
      </w:r>
      <w:r w:rsidRPr="00F97141">
        <w:rPr>
          <w:i/>
        </w:rPr>
        <w:t>Rat or Mouse Complaint</w:t>
      </w:r>
      <w:r w:rsidRPr="00F97141">
        <w:t xml:space="preserve">, 311 (accessed 2025), available at: </w:t>
      </w:r>
      <w:hyperlink r:id="rId12" w:history="1">
        <w:r w:rsidR="00FD63C9" w:rsidRPr="00294060">
          <w:rPr>
            <w:rStyle w:val="Hyperlink"/>
          </w:rPr>
          <w:t>https://portal.311.nyc.gov/article/?kanumber=KA-01107</w:t>
        </w:r>
      </w:hyperlink>
      <w:r w:rsidR="00FD63C9">
        <w:t xml:space="preserve"> </w:t>
      </w:r>
    </w:p>
  </w:footnote>
  <w:footnote w:id="30">
    <w:p w14:paraId="5B0261CF" w14:textId="77777777" w:rsidR="003D2C2E" w:rsidRPr="00F97141" w:rsidRDefault="003D2C2E" w:rsidP="003D2C2E">
      <w:pPr>
        <w:pStyle w:val="FootnoteText"/>
      </w:pPr>
      <w:r>
        <w:rPr>
          <w:rStyle w:val="FootnoteReference"/>
        </w:rPr>
        <w:footnoteRef/>
      </w:r>
      <w:r>
        <w:t xml:space="preserve"> </w:t>
      </w:r>
      <w:r>
        <w:rPr>
          <w:i/>
        </w:rPr>
        <w:t>Id</w:t>
      </w:r>
      <w:r>
        <w:t>.</w:t>
      </w:r>
    </w:p>
  </w:footnote>
  <w:footnote w:id="31">
    <w:p w14:paraId="056F191F" w14:textId="77777777" w:rsidR="003D2C2E" w:rsidRDefault="003D2C2E" w:rsidP="003D2C2E">
      <w:pPr>
        <w:pStyle w:val="FootnoteText"/>
      </w:pPr>
      <w:r>
        <w:rPr>
          <w:rStyle w:val="FootnoteReference"/>
        </w:rPr>
        <w:footnoteRef/>
      </w:r>
      <w:r>
        <w:t xml:space="preserve"> </w:t>
      </w:r>
      <w:r>
        <w:rPr>
          <w:i/>
        </w:rPr>
        <w:t>Id</w:t>
      </w:r>
      <w:r>
        <w:t>.</w:t>
      </w:r>
    </w:p>
  </w:footnote>
  <w:footnote w:id="32">
    <w:p w14:paraId="1223625A" w14:textId="77777777" w:rsidR="003D2C2E" w:rsidRDefault="003D2C2E" w:rsidP="003D2C2E">
      <w:pPr>
        <w:pStyle w:val="FootnoteText"/>
      </w:pPr>
      <w:r>
        <w:rPr>
          <w:rStyle w:val="FootnoteReference"/>
        </w:rPr>
        <w:footnoteRef/>
      </w:r>
      <w:r>
        <w:t xml:space="preserve"> </w:t>
      </w:r>
      <w:r>
        <w:rPr>
          <w:i/>
        </w:rPr>
        <w:t>Id</w:t>
      </w:r>
      <w:r>
        <w:t>.</w:t>
      </w:r>
    </w:p>
  </w:footnote>
  <w:footnote w:id="33">
    <w:p w14:paraId="7280D0FD" w14:textId="0FA2E48F" w:rsidR="003D2C2E" w:rsidRDefault="003D2C2E" w:rsidP="003D2C2E">
      <w:pPr>
        <w:pStyle w:val="FootnoteText"/>
      </w:pPr>
      <w:r>
        <w:rPr>
          <w:rStyle w:val="FootnoteReference"/>
        </w:rPr>
        <w:footnoteRef/>
      </w:r>
      <w:r>
        <w:t xml:space="preserve"> </w:t>
      </w:r>
      <w:r w:rsidRPr="00F97141">
        <w:rPr>
          <w:i/>
        </w:rPr>
        <w:t>What Happens to Your 311 Rat Complaint?</w:t>
      </w:r>
      <w:r w:rsidRPr="00F97141">
        <w:t xml:space="preserve">, NYC Health (accessed 2025), available at: </w:t>
      </w:r>
      <w:hyperlink r:id="rId13" w:history="1">
        <w:r w:rsidR="005605FE" w:rsidRPr="00AC6F21">
          <w:rPr>
            <w:rStyle w:val="Hyperlink"/>
          </w:rPr>
          <w:t>https://www.nyc.gov/assets/doh/downloads/pdf/rats/2021/what-happens-to-your-rat-complaint.pdf</w:t>
        </w:r>
      </w:hyperlink>
      <w:r w:rsidR="005605FE">
        <w:t xml:space="preserve"> </w:t>
      </w:r>
    </w:p>
  </w:footnote>
  <w:footnote w:id="34">
    <w:p w14:paraId="52DE5FE3" w14:textId="29515B17" w:rsidR="003D2C2E" w:rsidRPr="005605FE" w:rsidRDefault="003D2C2E" w:rsidP="003D2C2E">
      <w:pPr>
        <w:pStyle w:val="FootnoteText"/>
        <w:rPr>
          <w:iCs/>
        </w:rPr>
      </w:pPr>
      <w:r>
        <w:rPr>
          <w:rStyle w:val="FootnoteReference"/>
        </w:rPr>
        <w:footnoteRef/>
      </w:r>
      <w:r>
        <w:t xml:space="preserve"> </w:t>
      </w:r>
      <w:r w:rsidR="005605FE">
        <w:rPr>
          <w:iCs/>
        </w:rPr>
        <w:t>Call between Committee staff and DOHMH dated November 18, 2025.</w:t>
      </w:r>
    </w:p>
  </w:footnote>
  <w:footnote w:id="35">
    <w:p w14:paraId="3811698C" w14:textId="77777777" w:rsidR="003D2C2E" w:rsidRDefault="003D2C2E" w:rsidP="003D2C2E">
      <w:pPr>
        <w:pStyle w:val="FootnoteText"/>
      </w:pPr>
      <w:r>
        <w:rPr>
          <w:rStyle w:val="FootnoteReference"/>
        </w:rPr>
        <w:footnoteRef/>
      </w:r>
      <w:r>
        <w:t xml:space="preserve"> </w:t>
      </w:r>
      <w:r>
        <w:rPr>
          <w:i/>
        </w:rPr>
        <w:t>Id</w:t>
      </w:r>
      <w:r>
        <w:t>.</w:t>
      </w:r>
    </w:p>
  </w:footnote>
  <w:footnote w:id="36">
    <w:p w14:paraId="0F0AF0C9" w14:textId="77777777" w:rsidR="003D2C2E" w:rsidRDefault="003D2C2E" w:rsidP="003D2C2E">
      <w:pPr>
        <w:pStyle w:val="FootnoteText"/>
      </w:pPr>
      <w:r>
        <w:rPr>
          <w:rStyle w:val="FootnoteReference"/>
        </w:rPr>
        <w:footnoteRef/>
      </w:r>
      <w:r>
        <w:t xml:space="preserve"> </w:t>
      </w:r>
      <w:r>
        <w:rPr>
          <w:i/>
        </w:rPr>
        <w:t>Id</w:t>
      </w:r>
      <w:r>
        <w:t>.</w:t>
      </w:r>
    </w:p>
  </w:footnote>
  <w:footnote w:id="37">
    <w:p w14:paraId="31C40917" w14:textId="77777777" w:rsidR="003D2C2E" w:rsidRDefault="003D2C2E" w:rsidP="003D2C2E">
      <w:pPr>
        <w:pStyle w:val="FootnoteText"/>
      </w:pPr>
      <w:r>
        <w:rPr>
          <w:rStyle w:val="FootnoteReference"/>
        </w:rPr>
        <w:footnoteRef/>
      </w:r>
      <w:r>
        <w:t xml:space="preserve"> </w:t>
      </w:r>
      <w:r>
        <w:rPr>
          <w:i/>
        </w:rPr>
        <w:t>Id</w:t>
      </w:r>
      <w:r>
        <w:t>.</w:t>
      </w:r>
    </w:p>
  </w:footnote>
  <w:footnote w:id="38">
    <w:p w14:paraId="489D886D" w14:textId="77777777" w:rsidR="003D2C2E" w:rsidRDefault="003D2C2E" w:rsidP="003D2C2E">
      <w:pPr>
        <w:pStyle w:val="FootnoteText"/>
      </w:pPr>
      <w:r>
        <w:rPr>
          <w:rStyle w:val="FootnoteReference"/>
        </w:rPr>
        <w:footnoteRef/>
      </w:r>
      <w:r>
        <w:t xml:space="preserve"> </w:t>
      </w:r>
      <w:r>
        <w:rPr>
          <w:i/>
        </w:rPr>
        <w:t>Id</w:t>
      </w:r>
      <w:r>
        <w:t>.</w:t>
      </w:r>
    </w:p>
  </w:footnote>
  <w:footnote w:id="39">
    <w:p w14:paraId="5E87ABF7" w14:textId="77777777" w:rsidR="003D2C2E" w:rsidRDefault="003D2C2E" w:rsidP="003D2C2E">
      <w:pPr>
        <w:pStyle w:val="FootnoteText"/>
      </w:pPr>
      <w:r>
        <w:rPr>
          <w:rStyle w:val="FootnoteReference"/>
        </w:rPr>
        <w:footnoteRef/>
      </w:r>
      <w:r>
        <w:t xml:space="preserve"> </w:t>
      </w:r>
      <w:r>
        <w:rPr>
          <w:i/>
        </w:rPr>
        <w:t>Id</w:t>
      </w:r>
      <w:r>
        <w:t>.</w:t>
      </w:r>
    </w:p>
  </w:footnote>
  <w:footnote w:id="40">
    <w:p w14:paraId="15DD11ED" w14:textId="7A312E0A" w:rsidR="003D2C2E" w:rsidRPr="00F97141" w:rsidRDefault="003D2C2E" w:rsidP="003D2C2E">
      <w:pPr>
        <w:pStyle w:val="FootnoteText"/>
      </w:pPr>
      <w:r>
        <w:rPr>
          <w:rStyle w:val="FootnoteReference"/>
        </w:rPr>
        <w:footnoteRef/>
      </w:r>
      <w:r>
        <w:t xml:space="preserve"> </w:t>
      </w:r>
      <w:r>
        <w:rPr>
          <w:i/>
        </w:rPr>
        <w:t>Rat Information Portal: FAQ</w:t>
      </w:r>
      <w:r>
        <w:t>, NYC Health (</w:t>
      </w:r>
      <w:r w:rsidRPr="00F97141">
        <w:t xml:space="preserve">accessed 2025), available at: </w:t>
      </w:r>
      <w:hyperlink r:id="rId14" w:history="1">
        <w:r w:rsidR="00E55E57" w:rsidRPr="00513119">
          <w:rPr>
            <w:rStyle w:val="Hyperlink"/>
          </w:rPr>
          <w:t>https://a816-dohbesp.nyc.gov/IndicatorPublic/Rats/</w:t>
        </w:r>
      </w:hyperlink>
      <w:r w:rsidR="00E55E57">
        <w:t xml:space="preserve"> </w:t>
      </w:r>
    </w:p>
  </w:footnote>
  <w:footnote w:id="41">
    <w:p w14:paraId="3FF3E8DA" w14:textId="77777777" w:rsidR="003D2C2E" w:rsidRDefault="003D2C2E" w:rsidP="003D2C2E">
      <w:pPr>
        <w:pStyle w:val="FootnoteText"/>
      </w:pPr>
      <w:r>
        <w:rPr>
          <w:rStyle w:val="FootnoteReference"/>
        </w:rPr>
        <w:footnoteRef/>
      </w:r>
      <w:r>
        <w:t xml:space="preserve"> NYS MDL §§ 4(7) – (8)(a); S06873B/A10008B - Section 1 of Chapter 225 of the Laws of 2010 – “relates to clarifying provisions relating to occupancy of class A multiple dwellings.”, available at: </w:t>
      </w:r>
      <w:hyperlink r:id="rId15" w:history="1">
        <w:r w:rsidRPr="00607F61">
          <w:rPr>
            <w:rStyle w:val="Hyperlink"/>
          </w:rPr>
          <w:t>http://assembly.state.ny.us/leg/?default_fld=&amp;bn=S06873&amp;term=2009&amp;Summary=Y&amp;Actions=Y&amp;Votes=Y&amp;Memo=Y&amp;Text=Y</w:t>
        </w:r>
      </w:hyperlink>
      <w:r>
        <w:t xml:space="preserve">; </w:t>
      </w:r>
      <w:r w:rsidRPr="00977AB6">
        <w:rPr>
          <w:i/>
        </w:rPr>
        <w:t>see also</w:t>
      </w:r>
      <w:r>
        <w:t xml:space="preserve"> </w:t>
      </w:r>
      <w:r>
        <w:rPr>
          <w:i/>
        </w:rPr>
        <w:t>City of New York v. 330 Continental. LLC</w:t>
      </w:r>
      <w:r>
        <w:t>. 60 AD3d 226, 231 (1</w:t>
      </w:r>
      <w:r w:rsidRPr="00977AB6">
        <w:rPr>
          <w:vertAlign w:val="superscript"/>
        </w:rPr>
        <w:t>st</w:t>
      </w:r>
      <w:r>
        <w:t xml:space="preserve"> Dept. 2009).</w:t>
      </w:r>
    </w:p>
  </w:footnote>
  <w:footnote w:id="42">
    <w:p w14:paraId="0B38B91B" w14:textId="77777777" w:rsidR="003D2C2E" w:rsidRDefault="003D2C2E" w:rsidP="003D2C2E">
      <w:pPr>
        <w:pStyle w:val="FootnoteText"/>
      </w:pPr>
      <w:r>
        <w:rPr>
          <w:rStyle w:val="FootnoteReference"/>
        </w:rPr>
        <w:footnoteRef/>
      </w:r>
      <w:r>
        <w:t xml:space="preserve"> NYC Admin. Code § 27-2004(a)(8)(a).</w:t>
      </w:r>
    </w:p>
  </w:footnote>
  <w:footnote w:id="43">
    <w:p w14:paraId="1A220658" w14:textId="77777777" w:rsidR="003D2C2E" w:rsidRDefault="003D2C2E" w:rsidP="003D2C2E">
      <w:pPr>
        <w:pStyle w:val="FootnoteText"/>
      </w:pPr>
      <w:r>
        <w:rPr>
          <w:rStyle w:val="FootnoteReference"/>
        </w:rPr>
        <w:footnoteRef/>
      </w:r>
      <w:r>
        <w:t xml:space="preserve"> NYS MDL § 4(9); NYC Admin Code § 27-2004(a)(9).</w:t>
      </w:r>
    </w:p>
  </w:footnote>
  <w:footnote w:id="44">
    <w:p w14:paraId="265A2707" w14:textId="77777777" w:rsidR="003D2C2E" w:rsidRDefault="003D2C2E" w:rsidP="003D2C2E">
      <w:pPr>
        <w:pStyle w:val="FootnoteText"/>
      </w:pPr>
      <w:r>
        <w:rPr>
          <w:rStyle w:val="FootnoteReference"/>
        </w:rPr>
        <w:footnoteRef/>
      </w:r>
      <w:r>
        <w:t xml:space="preserve"> NYS MDL § 4(6).</w:t>
      </w:r>
    </w:p>
  </w:footnote>
  <w:footnote w:id="45">
    <w:p w14:paraId="6B97EED6" w14:textId="77777777" w:rsidR="003D2C2E" w:rsidRDefault="003D2C2E" w:rsidP="003D2C2E">
      <w:pPr>
        <w:pStyle w:val="FootnoteText"/>
      </w:pPr>
      <w:r>
        <w:rPr>
          <w:rStyle w:val="FootnoteReference"/>
        </w:rPr>
        <w:footnoteRef/>
      </w:r>
      <w:r>
        <w:t xml:space="preserve"> NYC Admin. Code § 27-2004(a)(4); NYC Building Code § 202.</w:t>
      </w:r>
    </w:p>
  </w:footnote>
  <w:footnote w:id="46">
    <w:p w14:paraId="3EB289E5" w14:textId="77777777" w:rsidR="003D2C2E" w:rsidRDefault="003D2C2E" w:rsidP="003D2C2E">
      <w:pPr>
        <w:pStyle w:val="FootnoteText"/>
      </w:pPr>
      <w:r>
        <w:rPr>
          <w:rStyle w:val="FootnoteReference"/>
        </w:rPr>
        <w:footnoteRef/>
      </w:r>
      <w:r>
        <w:t xml:space="preserve"> NYC Admin. Code § 27-2004(a)(4);</w:t>
      </w:r>
      <w:r w:rsidRPr="00E257DA">
        <w:t xml:space="preserve"> </w:t>
      </w:r>
      <w:r w:rsidRPr="00E257DA">
        <w:rPr>
          <w:i/>
        </w:rPr>
        <w:t>see also</w:t>
      </w:r>
      <w:r>
        <w:t xml:space="preserve"> NYC Building Code § 202.</w:t>
      </w:r>
    </w:p>
  </w:footnote>
  <w:footnote w:id="47">
    <w:p w14:paraId="6260DD4C" w14:textId="77777777" w:rsidR="003D2C2E" w:rsidRDefault="003D2C2E" w:rsidP="003D2C2E">
      <w:pPr>
        <w:pStyle w:val="FootnoteText"/>
      </w:pPr>
      <w:r>
        <w:rPr>
          <w:rStyle w:val="FootnoteReference"/>
        </w:rPr>
        <w:footnoteRef/>
      </w:r>
      <w:r>
        <w:t xml:space="preserve"> NYC Zoning Resolution 22-00.</w:t>
      </w:r>
    </w:p>
  </w:footnote>
  <w:footnote w:id="48">
    <w:p w14:paraId="391694E9" w14:textId="77777777" w:rsidR="003D2C2E" w:rsidRDefault="003D2C2E" w:rsidP="003D2C2E">
      <w:pPr>
        <w:pStyle w:val="FootnoteText"/>
      </w:pPr>
      <w:r>
        <w:rPr>
          <w:rStyle w:val="FootnoteReference"/>
        </w:rPr>
        <w:footnoteRef/>
      </w:r>
      <w:r>
        <w:t xml:space="preserve"> NYC Zoning Resolution 12-10.</w:t>
      </w:r>
    </w:p>
  </w:footnote>
  <w:footnote w:id="49">
    <w:p w14:paraId="48D51D6D" w14:textId="7BDDEE3F" w:rsidR="00FE377D" w:rsidRDefault="00FE377D">
      <w:pPr>
        <w:pStyle w:val="FootnoteText"/>
      </w:pPr>
      <w:r>
        <w:rPr>
          <w:rStyle w:val="FootnoteReference"/>
        </w:rPr>
        <w:footnoteRef/>
      </w:r>
      <w:r>
        <w:t xml:space="preserve"> </w:t>
      </w:r>
      <w:r w:rsidRPr="00FE377D">
        <w:rPr>
          <w:i/>
          <w:iCs/>
        </w:rPr>
        <w:t>Id</w:t>
      </w:r>
      <w:r>
        <w:t>.</w:t>
      </w:r>
    </w:p>
  </w:footnote>
  <w:footnote w:id="50">
    <w:p w14:paraId="325B827E" w14:textId="77777777" w:rsidR="003D2C2E" w:rsidRDefault="003D2C2E" w:rsidP="003D2C2E">
      <w:pPr>
        <w:pStyle w:val="FootnoteText"/>
      </w:pPr>
      <w:r>
        <w:rPr>
          <w:rStyle w:val="FootnoteReference"/>
        </w:rPr>
        <w:footnoteRef/>
      </w:r>
      <w:r>
        <w:t xml:space="preserve"> New York City Housing Authority, </w:t>
      </w:r>
      <w:r w:rsidRPr="001D277D">
        <w:rPr>
          <w:i/>
        </w:rPr>
        <w:t>A Home to Be Proud Of</w:t>
      </w:r>
      <w:r>
        <w:t xml:space="preserve">, page 15, </w:t>
      </w:r>
      <w:r w:rsidRPr="001D277D">
        <w:rPr>
          <w:i/>
        </w:rPr>
        <w:t>available at</w:t>
      </w:r>
      <w:r>
        <w:t xml:space="preserve"> </w:t>
      </w:r>
      <w:hyperlink r:id="rId16" w:history="1">
        <w:r w:rsidRPr="00675B62">
          <w:rPr>
            <w:rStyle w:val="Hyperlink"/>
          </w:rPr>
          <w:t>https://www.nyc.gov/assets/nycha/downloads/pdf/nycha-tenant-handbook-2017.pdf</w:t>
        </w:r>
      </w:hyperlink>
      <w:r>
        <w:t>; 9 NYCRR §§ 2204.6, 2200.2(f)(18), 2520.6(u), 2520.11(k),</w:t>
      </w:r>
      <w:r w:rsidRPr="00E70DCA">
        <w:t xml:space="preserve"> </w:t>
      </w:r>
      <w:r>
        <w:t>252</w:t>
      </w:r>
      <w:r w:rsidRPr="00E70DCA">
        <w:t>4.4(c)</w:t>
      </w:r>
      <w:r>
        <w:t xml:space="preserve">; </w:t>
      </w:r>
      <w:r w:rsidRPr="00632DA6">
        <w:rPr>
          <w:i/>
        </w:rPr>
        <w:t>see also</w:t>
      </w:r>
      <w:r>
        <w:t xml:space="preserve"> NYS Homes and Community Renewal, Fact Sheet #4 </w:t>
      </w:r>
      <w:r w:rsidRPr="00632DA6">
        <w:rPr>
          <w:i/>
        </w:rPr>
        <w:t>Lease Renewal in Rent Stabilized Apartments</w:t>
      </w:r>
      <w:r>
        <w:t xml:space="preserve">, available at </w:t>
      </w:r>
      <w:hyperlink r:id="rId17" w:history="1">
        <w:r w:rsidRPr="00675B62">
          <w:rPr>
            <w:rStyle w:val="Hyperlink"/>
          </w:rPr>
          <w:t>https://hcr.ny.gov/system/files/documents/2023/04/fact-sheet-04-04-2023.pdf</w:t>
        </w:r>
      </w:hyperlink>
      <w:r>
        <w:t xml:space="preserve">. </w:t>
      </w:r>
    </w:p>
  </w:footnote>
  <w:footnote w:id="51">
    <w:p w14:paraId="1A34C765" w14:textId="77777777" w:rsidR="003E5661" w:rsidRPr="00DB7ACE" w:rsidRDefault="003E5661" w:rsidP="003E5661">
      <w:pPr>
        <w:pStyle w:val="FootnoteText"/>
      </w:pPr>
      <w:r w:rsidRPr="00DB7ACE">
        <w:rPr>
          <w:rStyle w:val="FootnoteReference"/>
        </w:rPr>
        <w:footnoteRef/>
      </w:r>
      <w:r w:rsidRPr="00DB7ACE">
        <w:t xml:space="preserve"> </w:t>
      </w:r>
      <w:r w:rsidRPr="00DB7ACE">
        <w:rPr>
          <w:i/>
          <w:iCs/>
        </w:rPr>
        <w:t>2023 New York City Housing and vacancy Survey selected initial findings</w:t>
      </w:r>
      <w:r w:rsidRPr="00DB7ACE">
        <w:t xml:space="preserve">, </w:t>
      </w:r>
      <w:r w:rsidRPr="00DB7ACE">
        <w:rPr>
          <w:i/>
          <w:iCs/>
        </w:rPr>
        <w:t xml:space="preserve">available at: </w:t>
      </w:r>
      <w:hyperlink r:id="rId18" w:history="1">
        <w:r w:rsidRPr="00DB7ACE">
          <w:rPr>
            <w:rStyle w:val="Hyperlink"/>
            <w:i/>
            <w:iCs/>
          </w:rPr>
          <w:t>https://www.nyc.gov/assets/hpd/downloads/pdfs/about/2023-nychvs-selected-initial-findings.pdf</w:t>
        </w:r>
      </w:hyperlink>
    </w:p>
  </w:footnote>
  <w:footnote w:id="52">
    <w:p w14:paraId="75D23E29" w14:textId="77777777" w:rsidR="003E5661" w:rsidRPr="00DB7ACE" w:rsidRDefault="003E5661" w:rsidP="003E5661">
      <w:pPr>
        <w:pStyle w:val="FootnoteText"/>
      </w:pPr>
      <w:r w:rsidRPr="00DB7ACE">
        <w:rPr>
          <w:rStyle w:val="FootnoteReference"/>
        </w:rPr>
        <w:footnoteRef/>
      </w:r>
      <w:r w:rsidRPr="00DB7ACE">
        <w:t xml:space="preserve"> </w:t>
      </w:r>
      <w:r w:rsidRPr="00DB7ACE">
        <w:rPr>
          <w:i/>
          <w:iCs/>
        </w:rPr>
        <w:t>Id.</w:t>
      </w:r>
    </w:p>
  </w:footnote>
  <w:footnote w:id="53">
    <w:p w14:paraId="1DA7AE3F" w14:textId="77777777" w:rsidR="003E5661" w:rsidRPr="00DB7ACE" w:rsidRDefault="003E5661" w:rsidP="003E5661">
      <w:pPr>
        <w:pStyle w:val="FootnoteText"/>
        <w:rPr>
          <w:i/>
          <w:iCs/>
        </w:rPr>
      </w:pPr>
      <w:r w:rsidRPr="00DB7ACE">
        <w:rPr>
          <w:rStyle w:val="FootnoteReference"/>
        </w:rPr>
        <w:footnoteRef/>
      </w:r>
      <w:r w:rsidRPr="00DB7ACE">
        <w:t xml:space="preserve"> </w:t>
      </w:r>
      <w:r w:rsidRPr="00DB7ACE">
        <w:rPr>
          <w:i/>
          <w:iCs/>
        </w:rPr>
        <w:t>Id.</w:t>
      </w:r>
    </w:p>
  </w:footnote>
  <w:footnote w:id="54">
    <w:p w14:paraId="0FB9055F" w14:textId="56BD1D1B" w:rsidR="003E5661" w:rsidRDefault="003E5661">
      <w:pPr>
        <w:pStyle w:val="FootnoteText"/>
      </w:pPr>
      <w:r>
        <w:rPr>
          <w:rStyle w:val="FootnoteReference"/>
        </w:rPr>
        <w:footnoteRef/>
      </w:r>
      <w:r>
        <w:t xml:space="preserve"> </w:t>
      </w:r>
      <w:r w:rsidRPr="00DB7ACE">
        <w:rPr>
          <w:i/>
          <w:iCs/>
        </w:rPr>
        <w:t>S Stein, O Mironova, Y Peña, I Thompson, Homes, Not Hotels: A Case for Maintaining Universal Short-Term Rental Regulations, Community Service Society</w:t>
      </w:r>
      <w:r w:rsidRPr="00DB7ACE">
        <w:t xml:space="preserve">, available at: </w:t>
      </w:r>
      <w:hyperlink r:id="rId19" w:history="1">
        <w:r w:rsidRPr="00DB7ACE">
          <w:rPr>
            <w:rStyle w:val="Hyperlink"/>
          </w:rPr>
          <w:t>Homes, Not Hotels: A Case for Maintaining Universal Short-Term Rental Regulations | Community Service Society of New York</w:t>
        </w:r>
      </w:hyperlink>
    </w:p>
  </w:footnote>
  <w:footnote w:id="55">
    <w:p w14:paraId="240297C9" w14:textId="77777777" w:rsidR="003E5661" w:rsidRPr="00DB7ACE" w:rsidRDefault="003E5661" w:rsidP="003E5661">
      <w:pPr>
        <w:pStyle w:val="FootnoteText"/>
      </w:pPr>
      <w:r w:rsidRPr="00DB7ACE">
        <w:rPr>
          <w:rStyle w:val="FootnoteReference"/>
        </w:rPr>
        <w:footnoteRef/>
      </w:r>
      <w:r w:rsidRPr="00DB7ACE">
        <w:t xml:space="preserve"> </w:t>
      </w:r>
      <w:r w:rsidRPr="00DB7ACE">
        <w:rPr>
          <w:i/>
          <w:iCs/>
        </w:rPr>
        <w:t>Id</w:t>
      </w:r>
      <w:r w:rsidRPr="00DB7ACE">
        <w:t>.</w:t>
      </w:r>
    </w:p>
  </w:footnote>
  <w:footnote w:id="56">
    <w:p w14:paraId="1285AD80" w14:textId="77777777" w:rsidR="003E5661" w:rsidRPr="00DB7ACE" w:rsidRDefault="003E5661" w:rsidP="003E5661">
      <w:pPr>
        <w:pStyle w:val="FootnoteText"/>
      </w:pPr>
      <w:r w:rsidRPr="00DB7ACE">
        <w:rPr>
          <w:rStyle w:val="FootnoteReference"/>
        </w:rPr>
        <w:footnoteRef/>
      </w:r>
      <w:r w:rsidRPr="00DB7ACE">
        <w:t xml:space="preserve"> </w:t>
      </w:r>
      <w:r w:rsidRPr="00DB7ACE">
        <w:rPr>
          <w:i/>
          <w:iCs/>
        </w:rPr>
        <w:t>Id</w:t>
      </w:r>
      <w:r w:rsidRPr="00DB7ACE">
        <w:t>.</w:t>
      </w:r>
    </w:p>
  </w:footnote>
  <w:footnote w:id="57">
    <w:p w14:paraId="3C3921FD" w14:textId="5E472FD7" w:rsidR="00213FB2" w:rsidRDefault="00213FB2">
      <w:pPr>
        <w:pStyle w:val="FootnoteText"/>
      </w:pPr>
      <w:r>
        <w:rPr>
          <w:rStyle w:val="FootnoteReference"/>
        </w:rPr>
        <w:footnoteRef/>
      </w:r>
      <w:r>
        <w:t xml:space="preserve"> See </w:t>
      </w:r>
      <w:r w:rsidRPr="00DB7ACE">
        <w:t>Local Law 18 of 2022 (“LL18”),</w:t>
      </w:r>
      <w:r>
        <w:t xml:space="preserve"> available at: </w:t>
      </w:r>
      <w:r w:rsidR="00467E66" w:rsidRPr="00467E66">
        <w:t>https://legistar.council.nyc.gov/LegislationDetail.aspx?ID=4950986&amp;GUID=584F2A6A-6793-480E-A315-F0C8BDA98092&amp;Options=ID|Text|&amp;Search=2022%2f018</w:t>
      </w:r>
    </w:p>
  </w:footnote>
  <w:footnote w:id="58">
    <w:p w14:paraId="2D5DB2CF" w14:textId="77777777" w:rsidR="003E5661" w:rsidRPr="00DB7ACE" w:rsidRDefault="003E5661" w:rsidP="003E5661">
      <w:pPr>
        <w:pStyle w:val="FootnoteText"/>
      </w:pPr>
      <w:r w:rsidRPr="00DB7ACE">
        <w:rPr>
          <w:rStyle w:val="FootnoteReference"/>
        </w:rPr>
        <w:footnoteRef/>
      </w:r>
      <w:r w:rsidRPr="00DB7ACE">
        <w:t xml:space="preserve"> </w:t>
      </w:r>
      <w:r w:rsidRPr="00DB7ACE">
        <w:rPr>
          <w:i/>
          <w:iCs/>
        </w:rPr>
        <w:t>Airbnb LL 18 Impact Study</w:t>
      </w:r>
      <w:r w:rsidRPr="00DB7ACE">
        <w:t xml:space="preserve">, HRA Advisors &amp; Airbnb, October 2024, available at: </w:t>
      </w:r>
      <w:hyperlink r:id="rId20" w:history="1">
        <w:r w:rsidRPr="00DB7ACE">
          <w:rPr>
            <w:rStyle w:val="Hyperlink"/>
          </w:rPr>
          <w:t>https://airbnb.app.box.com/s/sfldhucll8xfa6rsbx0nk3njoxc8ciqv</w:t>
        </w:r>
      </w:hyperlink>
    </w:p>
  </w:footnote>
  <w:footnote w:id="59">
    <w:p w14:paraId="7EA18896" w14:textId="77777777" w:rsidR="003E5661" w:rsidRPr="00DB7ACE" w:rsidRDefault="003E5661" w:rsidP="003E5661">
      <w:pPr>
        <w:pStyle w:val="FootnoteText"/>
      </w:pPr>
      <w:r w:rsidRPr="00DB7ACE">
        <w:rPr>
          <w:rStyle w:val="FootnoteReference"/>
        </w:rPr>
        <w:footnoteRef/>
      </w:r>
      <w:r w:rsidRPr="00DB7ACE">
        <w:t xml:space="preserve"> </w:t>
      </w:r>
      <w:r>
        <w:rPr>
          <w:i/>
          <w:iCs/>
        </w:rPr>
        <w:t>Id</w:t>
      </w:r>
      <w:r>
        <w:t>.</w:t>
      </w:r>
    </w:p>
  </w:footnote>
  <w:footnote w:id="60">
    <w:p w14:paraId="1601D715" w14:textId="77777777" w:rsidR="003E5661" w:rsidRPr="00DB7ACE" w:rsidRDefault="003E5661" w:rsidP="003E5661">
      <w:pPr>
        <w:pStyle w:val="FootnoteText"/>
      </w:pPr>
      <w:r w:rsidRPr="00DB7ACE">
        <w:rPr>
          <w:rStyle w:val="FootnoteReference"/>
        </w:rPr>
        <w:footnoteRef/>
      </w:r>
      <w:r w:rsidRPr="00DB7ACE">
        <w:t xml:space="preserve"> </w:t>
      </w:r>
      <w:r w:rsidRPr="00DB7ACE">
        <w:rPr>
          <w:i/>
          <w:iCs/>
        </w:rPr>
        <w:t>Airbnb: New report finds NYC’s short-term rental law takes toll on outer boroughs, Market Screener</w:t>
      </w:r>
      <w:r w:rsidRPr="00DB7ACE">
        <w:t>, November 11, 2024, available at https://www.marketscreener.com/quote/stock/AIRBNB-INC-116310849/news/Airbnb-New-report-finds-NYC-s-short-term-rental-law-takes-toll-on-outer-boroughs-48324002/</w:t>
      </w:r>
    </w:p>
  </w:footnote>
  <w:footnote w:id="61">
    <w:p w14:paraId="09DCB210" w14:textId="487E7519" w:rsidR="00213FB2" w:rsidRDefault="00213FB2">
      <w:pPr>
        <w:pStyle w:val="FootnoteText"/>
      </w:pPr>
      <w:r>
        <w:rPr>
          <w:rStyle w:val="FootnoteReference"/>
        </w:rPr>
        <w:footnoteRef/>
      </w:r>
      <w:r>
        <w:t xml:space="preserve"> </w:t>
      </w:r>
      <w:r w:rsidRPr="00DB7ACE">
        <w:rPr>
          <w:i/>
          <w:iCs/>
        </w:rPr>
        <w:t>Supr</w:t>
      </w:r>
      <w:r>
        <w:rPr>
          <w:i/>
          <w:iCs/>
        </w:rPr>
        <w:t>a</w:t>
      </w:r>
      <w:r>
        <w:t>. note 7</w:t>
      </w:r>
    </w:p>
  </w:footnote>
  <w:footnote w:id="62">
    <w:p w14:paraId="59D8D794" w14:textId="3342BCF3" w:rsidR="003E5661" w:rsidRPr="00DB7ACE" w:rsidRDefault="003E5661" w:rsidP="003E5661">
      <w:pPr>
        <w:pStyle w:val="FootnoteText"/>
      </w:pPr>
      <w:r w:rsidRPr="00DB7ACE">
        <w:rPr>
          <w:rStyle w:val="FootnoteReference"/>
        </w:rPr>
        <w:footnoteRef/>
      </w:r>
      <w:r w:rsidRPr="00DB7ACE">
        <w:t xml:space="preserve"> </w:t>
      </w:r>
      <w:r w:rsidR="00213FB2">
        <w:rPr>
          <w:i/>
          <w:iCs/>
        </w:rPr>
        <w:t>Id</w:t>
      </w:r>
      <w:r w:rsidR="00213FB2">
        <w:t>.</w:t>
      </w:r>
    </w:p>
  </w:footnote>
  <w:footnote w:id="63">
    <w:p w14:paraId="6ED329A5" w14:textId="77777777" w:rsidR="003E5661" w:rsidRPr="00DB7ACE" w:rsidRDefault="003E5661" w:rsidP="003E5661">
      <w:pPr>
        <w:pStyle w:val="FootnoteText"/>
      </w:pPr>
      <w:r w:rsidRPr="00DB7ACE">
        <w:rPr>
          <w:rStyle w:val="FootnoteReference"/>
        </w:rPr>
        <w:footnoteRef/>
      </w:r>
      <w:r w:rsidRPr="00DB7ACE">
        <w:t xml:space="preserve"> </w:t>
      </w:r>
      <w:r>
        <w:rPr>
          <w:i/>
          <w:iCs/>
        </w:rPr>
        <w:t>Id</w:t>
      </w:r>
      <w:r>
        <w:t>.</w:t>
      </w:r>
    </w:p>
  </w:footnote>
  <w:footnote w:id="64">
    <w:p w14:paraId="35F199D3" w14:textId="77777777" w:rsidR="003E5661" w:rsidRPr="00DB7ACE" w:rsidRDefault="003E5661" w:rsidP="003E5661">
      <w:pPr>
        <w:pStyle w:val="FootnoteText"/>
      </w:pPr>
      <w:r w:rsidRPr="00DB7ACE">
        <w:rPr>
          <w:rStyle w:val="FootnoteReference"/>
        </w:rPr>
        <w:footnoteRef/>
      </w:r>
      <w:r w:rsidRPr="00DB7ACE">
        <w:t xml:space="preserve"> </w:t>
      </w:r>
      <w:r>
        <w:rPr>
          <w:i/>
          <w:iCs/>
        </w:rPr>
        <w:t>Id</w:t>
      </w:r>
      <w:r>
        <w:t>.</w:t>
      </w:r>
      <w:r w:rsidRPr="00DB7ACE">
        <w:t xml:space="preserve"> </w:t>
      </w:r>
    </w:p>
  </w:footnote>
  <w:footnote w:id="65">
    <w:p w14:paraId="10A7094C" w14:textId="77777777" w:rsidR="003E5661" w:rsidRPr="00DB7ACE" w:rsidRDefault="003E5661" w:rsidP="003E5661">
      <w:pPr>
        <w:pStyle w:val="FootnoteText"/>
      </w:pPr>
      <w:r w:rsidRPr="00DB7ACE">
        <w:rPr>
          <w:rStyle w:val="FootnoteReference"/>
        </w:rPr>
        <w:footnoteRef/>
      </w:r>
      <w:r w:rsidRPr="00DB7ACE">
        <w:t xml:space="preserve"> </w:t>
      </w:r>
      <w:r w:rsidRPr="00DB7ACE">
        <w:rPr>
          <w:i/>
          <w:iCs/>
        </w:rPr>
        <w:t>NYC sees record rents, hotel rates as short-term rental law continues, Airbnb</w:t>
      </w:r>
      <w:r w:rsidRPr="00DB7ACE">
        <w:t>, May 6, 2025, available at:</w:t>
      </w:r>
    </w:p>
    <w:p w14:paraId="731C73AF" w14:textId="77777777" w:rsidR="003E5661" w:rsidRPr="00DB7ACE" w:rsidRDefault="003E5661" w:rsidP="003E5661">
      <w:pPr>
        <w:pStyle w:val="FootnoteText"/>
      </w:pPr>
      <w:r w:rsidRPr="00DB7ACE">
        <w:t>https://news.airbnb.com/nyc-sees-record-rents-hotel-rates-as-short-term-rental-law-continues/</w:t>
      </w:r>
    </w:p>
  </w:footnote>
  <w:footnote w:id="66">
    <w:p w14:paraId="258F00EE" w14:textId="77777777" w:rsidR="003E5661" w:rsidRPr="00DB7ACE" w:rsidRDefault="003E5661" w:rsidP="003E5661">
      <w:pPr>
        <w:pStyle w:val="FootnoteText"/>
      </w:pPr>
      <w:r w:rsidRPr="00DB7ACE">
        <w:rPr>
          <w:rStyle w:val="FootnoteReference"/>
        </w:rPr>
        <w:footnoteRef/>
      </w:r>
      <w:r w:rsidRPr="00DB7ACE">
        <w:t xml:space="preserve"> </w:t>
      </w:r>
      <w:r>
        <w:rPr>
          <w:i/>
          <w:iCs/>
        </w:rPr>
        <w:t>Id</w:t>
      </w:r>
      <w:r>
        <w:t>.</w:t>
      </w:r>
    </w:p>
  </w:footnote>
  <w:footnote w:id="67">
    <w:p w14:paraId="7A2363C7" w14:textId="77777777" w:rsidR="003E5661" w:rsidRPr="00DB7ACE" w:rsidRDefault="003E5661" w:rsidP="003E5661">
      <w:pPr>
        <w:pStyle w:val="FootnoteText"/>
      </w:pPr>
      <w:r w:rsidRPr="00DB7ACE">
        <w:rPr>
          <w:rStyle w:val="FootnoteReference"/>
        </w:rPr>
        <w:footnoteRef/>
      </w:r>
      <w:r w:rsidRPr="00DB7ACE">
        <w:t xml:space="preserve"> </w:t>
      </w:r>
      <w:r>
        <w:rPr>
          <w:i/>
          <w:iCs/>
        </w:rPr>
        <w:t>Id</w:t>
      </w:r>
      <w:r>
        <w:t>.</w:t>
      </w:r>
    </w:p>
  </w:footnote>
  <w:footnote w:id="68">
    <w:p w14:paraId="3AB7C7C6" w14:textId="77777777" w:rsidR="003E5661" w:rsidRPr="00DB7ACE" w:rsidRDefault="003E5661" w:rsidP="003E5661">
      <w:pPr>
        <w:pStyle w:val="FootnoteText"/>
        <w:rPr>
          <w:i/>
          <w:iCs/>
        </w:rPr>
      </w:pPr>
      <w:r w:rsidRPr="00DB7ACE">
        <w:rPr>
          <w:rStyle w:val="FootnoteReference"/>
        </w:rPr>
        <w:footnoteRef/>
      </w:r>
      <w:r w:rsidRPr="00DB7ACE">
        <w:t xml:space="preserve"> </w:t>
      </w:r>
      <w:r>
        <w:rPr>
          <w:i/>
          <w:iCs/>
        </w:rPr>
        <w:t>Id</w:t>
      </w:r>
      <w:r>
        <w:t>.</w:t>
      </w:r>
    </w:p>
    <w:p w14:paraId="3777C1C9" w14:textId="77777777" w:rsidR="003E5661" w:rsidRPr="00DB7ACE" w:rsidRDefault="003E5661" w:rsidP="003E5661">
      <w:pPr>
        <w:pStyle w:val="FootnoteText"/>
        <w:rPr>
          <w:i/>
          <w:iC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F39B6F" w14:textId="77777777" w:rsidR="00A01B55" w:rsidRPr="00B31401" w:rsidRDefault="00A01B55">
    <w:pPr>
      <w:pBdr>
        <w:top w:val="nil"/>
        <w:left w:val="nil"/>
        <w:bottom w:val="nil"/>
        <w:right w:val="nil"/>
        <w:between w:val="nil"/>
      </w:pBdr>
      <w:tabs>
        <w:tab w:val="center" w:pos="4680"/>
        <w:tab w:val="right" w:pos="9360"/>
      </w:tabs>
      <w:rPr>
        <w:u w:val="single"/>
      </w:rP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D61F9C" w14:textId="77777777" w:rsidR="001B7F77" w:rsidRDefault="001B7F77">
    <w:pPr>
      <w:pBdr>
        <w:top w:val="nil"/>
        <w:left w:val="nil"/>
        <w:bottom w:val="nil"/>
        <w:right w:val="nil"/>
        <w:between w:val="nil"/>
      </w:pBdr>
      <w:tabs>
        <w:tab w:val="center" w:pos="4680"/>
        <w:tab w:val="right" w:pos="9360"/>
      </w:tabs>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E75ECB" w14:textId="77777777" w:rsidR="001B7F77" w:rsidRDefault="001B7F77">
    <w:pPr>
      <w:pBdr>
        <w:top w:val="nil"/>
        <w:left w:val="nil"/>
        <w:bottom w:val="nil"/>
        <w:right w:val="nil"/>
        <w:between w:val="nil"/>
      </w:pBdr>
      <w:tabs>
        <w:tab w:val="center" w:pos="4680"/>
        <w:tab w:val="right" w:pos="9360"/>
      </w:tabs>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14F9AF" w14:textId="77777777" w:rsidR="001B7F77" w:rsidRDefault="001B7F77">
    <w:pPr>
      <w:pBdr>
        <w:top w:val="nil"/>
        <w:left w:val="nil"/>
        <w:bottom w:val="nil"/>
        <w:right w:val="nil"/>
        <w:between w:val="nil"/>
      </w:pBdr>
      <w:tabs>
        <w:tab w:val="center" w:pos="4680"/>
        <w:tab w:val="right" w:pos="9360"/>
      </w:tabs>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A3DA7" w14:textId="77777777" w:rsidR="001B7F77" w:rsidRDefault="001B7F77">
    <w:pPr>
      <w:pBdr>
        <w:top w:val="nil"/>
        <w:left w:val="nil"/>
        <w:bottom w:val="nil"/>
        <w:right w:val="nil"/>
        <w:between w:val="nil"/>
      </w:pBdr>
      <w:tabs>
        <w:tab w:val="center" w:pos="4680"/>
        <w:tab w:val="right" w:pos="9360"/>
      </w:tabs>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9F9C3F" w14:textId="77777777" w:rsidR="001B7F77" w:rsidRPr="00017F4B" w:rsidRDefault="001B7F77" w:rsidP="006655A1">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CC5302" w14:textId="77777777" w:rsidR="001B7F77" w:rsidRDefault="001B7F77">
    <w:pPr>
      <w:pBdr>
        <w:top w:val="nil"/>
        <w:left w:val="nil"/>
        <w:bottom w:val="nil"/>
        <w:right w:val="nil"/>
        <w:between w:val="nil"/>
      </w:pBd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AE3E63" w14:textId="77777777" w:rsidR="00A01B55" w:rsidRPr="00B31401" w:rsidRDefault="00A01B55">
    <w:pPr>
      <w:pBdr>
        <w:top w:val="nil"/>
        <w:left w:val="nil"/>
        <w:bottom w:val="nil"/>
        <w:right w:val="nil"/>
        <w:between w:val="nil"/>
      </w:pBdr>
      <w:tabs>
        <w:tab w:val="center" w:pos="4680"/>
        <w:tab w:val="right" w:pos="9360"/>
      </w:tabs>
      <w:rPr>
        <w:u w:val="single"/>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91E564" w14:textId="77777777" w:rsidR="00A01B55" w:rsidRPr="00B31401" w:rsidRDefault="00A01B55">
    <w:pPr>
      <w:pBdr>
        <w:top w:val="nil"/>
        <w:left w:val="nil"/>
        <w:bottom w:val="nil"/>
        <w:right w:val="nil"/>
        <w:between w:val="nil"/>
      </w:pBdr>
      <w:tabs>
        <w:tab w:val="center" w:pos="4680"/>
        <w:tab w:val="right" w:pos="9360"/>
      </w:tabs>
      <w:rPr>
        <w:u w:val="single"/>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7D6FC6" w14:textId="77777777" w:rsidR="001B7F77" w:rsidRPr="00B31401" w:rsidRDefault="001B7F77">
    <w:pPr>
      <w:pBdr>
        <w:top w:val="nil"/>
        <w:left w:val="nil"/>
        <w:bottom w:val="nil"/>
        <w:right w:val="nil"/>
        <w:between w:val="nil"/>
      </w:pBdr>
      <w:tabs>
        <w:tab w:val="center" w:pos="4680"/>
        <w:tab w:val="right" w:pos="9360"/>
      </w:tabs>
      <w:rPr>
        <w:u w:val="single"/>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728E22" w14:textId="77777777" w:rsidR="001B7F77" w:rsidRPr="00B31401" w:rsidRDefault="001B7F77">
    <w:pPr>
      <w:pBdr>
        <w:top w:val="nil"/>
        <w:left w:val="nil"/>
        <w:bottom w:val="nil"/>
        <w:right w:val="nil"/>
        <w:between w:val="nil"/>
      </w:pBdr>
      <w:tabs>
        <w:tab w:val="center" w:pos="4680"/>
        <w:tab w:val="right" w:pos="9360"/>
      </w:tabs>
      <w:rPr>
        <w:u w:val="single"/>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542780" w14:textId="77777777" w:rsidR="001B7F77" w:rsidRPr="00B31401" w:rsidRDefault="001B7F77">
    <w:pPr>
      <w:pBdr>
        <w:top w:val="nil"/>
        <w:left w:val="nil"/>
        <w:bottom w:val="nil"/>
        <w:right w:val="nil"/>
        <w:between w:val="nil"/>
      </w:pBdr>
      <w:tabs>
        <w:tab w:val="center" w:pos="4680"/>
        <w:tab w:val="right" w:pos="9360"/>
      </w:tabs>
      <w:rPr>
        <w:u w:val="single"/>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6A4589" w14:textId="77777777" w:rsidR="001B7F77" w:rsidRDefault="001B7F77">
    <w:pPr>
      <w:pBdr>
        <w:top w:val="nil"/>
        <w:left w:val="nil"/>
        <w:bottom w:val="nil"/>
        <w:right w:val="nil"/>
        <w:between w:val="nil"/>
      </w:pBdr>
      <w:tabs>
        <w:tab w:val="center" w:pos="4680"/>
        <w:tab w:val="right" w:pos="9360"/>
      </w:tabs>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4290E9" w14:textId="77777777" w:rsidR="001B7F77" w:rsidRDefault="001B7F77">
    <w:pPr>
      <w:pBdr>
        <w:top w:val="nil"/>
        <w:left w:val="nil"/>
        <w:bottom w:val="nil"/>
        <w:right w:val="nil"/>
        <w:between w:val="nil"/>
      </w:pBdr>
      <w:tabs>
        <w:tab w:val="center" w:pos="4680"/>
        <w:tab w:val="right" w:pos="9360"/>
      </w:tabs>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AAE3E4" w14:textId="77777777" w:rsidR="001B7F77" w:rsidRDefault="001B7F77">
    <w:pPr>
      <w:pBdr>
        <w:top w:val="nil"/>
        <w:left w:val="nil"/>
        <w:bottom w:val="nil"/>
        <w:right w:val="nil"/>
        <w:between w:val="nil"/>
      </w:pBdr>
      <w:tabs>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346BF"/>
    <w:multiLevelType w:val="hybridMultilevel"/>
    <w:tmpl w:val="F750790E"/>
    <w:lvl w:ilvl="0" w:tplc="B30076A8">
      <w:start w:val="1"/>
      <w:numFmt w:val="lowerLetter"/>
      <w:lvlText w:val="%1."/>
      <w:lvlJc w:val="left"/>
      <w:pPr>
        <w:ind w:left="1080" w:hanging="360"/>
      </w:pPr>
      <w:rPr>
        <w:u w:val="single"/>
      </w:rPr>
    </w:lvl>
    <w:lvl w:ilvl="1" w:tplc="7B9EBBA0">
      <w:start w:val="1"/>
      <w:numFmt w:val="lowerLetter"/>
      <w:lvlText w:val="%2."/>
      <w:lvlJc w:val="left"/>
      <w:pPr>
        <w:ind w:left="1800" w:hanging="360"/>
      </w:pPr>
    </w:lvl>
    <w:lvl w:ilvl="2" w:tplc="7ECE2D48">
      <w:start w:val="1"/>
      <w:numFmt w:val="lowerRoman"/>
      <w:lvlText w:val="%3."/>
      <w:lvlJc w:val="right"/>
      <w:pPr>
        <w:ind w:left="2520" w:hanging="180"/>
      </w:pPr>
    </w:lvl>
    <w:lvl w:ilvl="3" w:tplc="974CD2CE">
      <w:start w:val="1"/>
      <w:numFmt w:val="decimal"/>
      <w:lvlText w:val="%4."/>
      <w:lvlJc w:val="left"/>
      <w:pPr>
        <w:ind w:left="3240" w:hanging="360"/>
      </w:pPr>
    </w:lvl>
    <w:lvl w:ilvl="4" w:tplc="AB10F56C">
      <w:start w:val="1"/>
      <w:numFmt w:val="lowerLetter"/>
      <w:lvlText w:val="%5."/>
      <w:lvlJc w:val="left"/>
      <w:pPr>
        <w:ind w:left="3960" w:hanging="360"/>
      </w:pPr>
    </w:lvl>
    <w:lvl w:ilvl="5" w:tplc="DF068C22">
      <w:start w:val="1"/>
      <w:numFmt w:val="lowerRoman"/>
      <w:lvlText w:val="%6."/>
      <w:lvlJc w:val="right"/>
      <w:pPr>
        <w:ind w:left="4680" w:hanging="180"/>
      </w:pPr>
    </w:lvl>
    <w:lvl w:ilvl="6" w:tplc="7FEAD558">
      <w:start w:val="1"/>
      <w:numFmt w:val="decimal"/>
      <w:lvlText w:val="%7."/>
      <w:lvlJc w:val="left"/>
      <w:pPr>
        <w:ind w:left="5400" w:hanging="360"/>
      </w:pPr>
    </w:lvl>
    <w:lvl w:ilvl="7" w:tplc="16AE8F0E">
      <w:start w:val="1"/>
      <w:numFmt w:val="lowerLetter"/>
      <w:lvlText w:val="%8."/>
      <w:lvlJc w:val="left"/>
      <w:pPr>
        <w:ind w:left="6120" w:hanging="360"/>
      </w:pPr>
    </w:lvl>
    <w:lvl w:ilvl="8" w:tplc="AA42423E">
      <w:start w:val="1"/>
      <w:numFmt w:val="lowerRoman"/>
      <w:lvlText w:val="%9."/>
      <w:lvlJc w:val="right"/>
      <w:pPr>
        <w:ind w:left="6840" w:hanging="180"/>
      </w:pPr>
    </w:lvl>
  </w:abstractNum>
  <w:abstractNum w:abstractNumId="1" w15:restartNumberingAfterBreak="0">
    <w:nsid w:val="00341523"/>
    <w:multiLevelType w:val="singleLevel"/>
    <w:tmpl w:val="D14AAC2C"/>
    <w:lvl w:ilvl="0">
      <w:start w:val="1"/>
      <w:numFmt w:val="decimal"/>
      <w:lvlText w:val="%1."/>
      <w:lvlJc w:val="left"/>
      <w:pPr>
        <w:tabs>
          <w:tab w:val="num" w:pos="216"/>
        </w:tabs>
        <w:ind w:left="1008" w:hanging="216"/>
      </w:pPr>
      <w:rPr>
        <w:rFonts w:ascii="Times New Roman" w:hAnsi="Times New Roman" w:cs="Times New Roman" w:hint="default"/>
        <w:spacing w:val="10"/>
        <w:sz w:val="22"/>
        <w:szCs w:val="22"/>
        <w:u w:val="single"/>
      </w:rPr>
    </w:lvl>
  </w:abstractNum>
  <w:abstractNum w:abstractNumId="2" w15:restartNumberingAfterBreak="0">
    <w:nsid w:val="00A86207"/>
    <w:multiLevelType w:val="hybridMultilevel"/>
    <w:tmpl w:val="F2E2737E"/>
    <w:lvl w:ilvl="0" w:tplc="1D629BE8">
      <w:start w:val="1"/>
      <w:numFmt w:val="decimal"/>
      <w:lvlText w:val="%1."/>
      <w:lvlJc w:val="left"/>
      <w:pPr>
        <w:ind w:left="482"/>
      </w:pPr>
      <w:rPr>
        <w:rFonts w:ascii="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9976D9CE">
      <w:start w:val="1"/>
      <w:numFmt w:val="lowerLetter"/>
      <w:lvlText w:val="%2"/>
      <w:lvlJc w:val="left"/>
      <w:pPr>
        <w:ind w:left="1214"/>
      </w:pPr>
      <w:rPr>
        <w:rFonts w:ascii="Calibri" w:hAnsi="Calibri" w:hint="default"/>
        <w:b w:val="0"/>
        <w:i w:val="0"/>
        <w:strike w:val="0"/>
        <w:dstrike w:val="0"/>
        <w:color w:val="000000"/>
        <w:sz w:val="19"/>
        <w:szCs w:val="19"/>
        <w:u w:val="none" w:color="000000"/>
        <w:bdr w:val="none" w:sz="0" w:space="0" w:color="auto"/>
        <w:shd w:val="clear" w:color="auto" w:fill="auto"/>
        <w:vertAlign w:val="baseline"/>
      </w:rPr>
    </w:lvl>
    <w:lvl w:ilvl="2" w:tplc="7228FF98">
      <w:start w:val="1"/>
      <w:numFmt w:val="lowerRoman"/>
      <w:lvlText w:val="%3"/>
      <w:lvlJc w:val="left"/>
      <w:pPr>
        <w:ind w:left="1934"/>
      </w:pPr>
      <w:rPr>
        <w:rFonts w:ascii="Calibri" w:hAnsi="Calibri" w:hint="default"/>
        <w:b w:val="0"/>
        <w:i w:val="0"/>
        <w:strike w:val="0"/>
        <w:dstrike w:val="0"/>
        <w:color w:val="000000"/>
        <w:sz w:val="19"/>
        <w:szCs w:val="19"/>
        <w:u w:val="none" w:color="000000"/>
        <w:bdr w:val="none" w:sz="0" w:space="0" w:color="auto"/>
        <w:shd w:val="clear" w:color="auto" w:fill="auto"/>
        <w:vertAlign w:val="baseline"/>
      </w:rPr>
    </w:lvl>
    <w:lvl w:ilvl="3" w:tplc="F4ECA1D6">
      <w:start w:val="1"/>
      <w:numFmt w:val="decimal"/>
      <w:lvlText w:val="%4"/>
      <w:lvlJc w:val="left"/>
      <w:pPr>
        <w:ind w:left="2654"/>
      </w:pPr>
      <w:rPr>
        <w:rFonts w:ascii="Calibri" w:hAnsi="Calibri" w:hint="default"/>
        <w:b w:val="0"/>
        <w:i w:val="0"/>
        <w:strike w:val="0"/>
        <w:dstrike w:val="0"/>
        <w:color w:val="000000"/>
        <w:sz w:val="19"/>
        <w:szCs w:val="19"/>
        <w:u w:val="none" w:color="000000"/>
        <w:bdr w:val="none" w:sz="0" w:space="0" w:color="auto"/>
        <w:shd w:val="clear" w:color="auto" w:fill="auto"/>
        <w:vertAlign w:val="baseline"/>
      </w:rPr>
    </w:lvl>
    <w:lvl w:ilvl="4" w:tplc="1570EC2A">
      <w:start w:val="1"/>
      <w:numFmt w:val="lowerLetter"/>
      <w:lvlText w:val="%5"/>
      <w:lvlJc w:val="left"/>
      <w:pPr>
        <w:ind w:left="3374"/>
      </w:pPr>
      <w:rPr>
        <w:rFonts w:ascii="Calibri" w:hAnsi="Calibri" w:hint="default"/>
        <w:b w:val="0"/>
        <w:i w:val="0"/>
        <w:strike w:val="0"/>
        <w:dstrike w:val="0"/>
        <w:color w:val="000000"/>
        <w:sz w:val="19"/>
        <w:szCs w:val="19"/>
        <w:u w:val="none" w:color="000000"/>
        <w:bdr w:val="none" w:sz="0" w:space="0" w:color="auto"/>
        <w:shd w:val="clear" w:color="auto" w:fill="auto"/>
        <w:vertAlign w:val="baseline"/>
      </w:rPr>
    </w:lvl>
    <w:lvl w:ilvl="5" w:tplc="B2807038">
      <w:start w:val="1"/>
      <w:numFmt w:val="lowerRoman"/>
      <w:lvlText w:val="%6"/>
      <w:lvlJc w:val="left"/>
      <w:pPr>
        <w:ind w:left="4094"/>
      </w:pPr>
      <w:rPr>
        <w:rFonts w:ascii="Calibri" w:hAnsi="Calibri" w:hint="default"/>
        <w:b w:val="0"/>
        <w:i w:val="0"/>
        <w:strike w:val="0"/>
        <w:dstrike w:val="0"/>
        <w:color w:val="000000"/>
        <w:sz w:val="19"/>
        <w:szCs w:val="19"/>
        <w:u w:val="none" w:color="000000"/>
        <w:bdr w:val="none" w:sz="0" w:space="0" w:color="auto"/>
        <w:shd w:val="clear" w:color="auto" w:fill="auto"/>
        <w:vertAlign w:val="baseline"/>
      </w:rPr>
    </w:lvl>
    <w:lvl w:ilvl="6" w:tplc="77F8C3A4">
      <w:start w:val="1"/>
      <w:numFmt w:val="decimal"/>
      <w:lvlText w:val="%7"/>
      <w:lvlJc w:val="left"/>
      <w:pPr>
        <w:ind w:left="4814"/>
      </w:pPr>
      <w:rPr>
        <w:rFonts w:ascii="Calibri" w:hAnsi="Calibri" w:hint="default"/>
        <w:b w:val="0"/>
        <w:i w:val="0"/>
        <w:strike w:val="0"/>
        <w:dstrike w:val="0"/>
        <w:color w:val="000000"/>
        <w:sz w:val="19"/>
        <w:szCs w:val="19"/>
        <w:u w:val="none" w:color="000000"/>
        <w:bdr w:val="none" w:sz="0" w:space="0" w:color="auto"/>
        <w:shd w:val="clear" w:color="auto" w:fill="auto"/>
        <w:vertAlign w:val="baseline"/>
      </w:rPr>
    </w:lvl>
    <w:lvl w:ilvl="7" w:tplc="FCFCD6DA">
      <w:start w:val="1"/>
      <w:numFmt w:val="lowerLetter"/>
      <w:lvlText w:val="%8"/>
      <w:lvlJc w:val="left"/>
      <w:pPr>
        <w:ind w:left="5534"/>
      </w:pPr>
      <w:rPr>
        <w:rFonts w:ascii="Calibri" w:hAnsi="Calibri" w:hint="default"/>
        <w:b w:val="0"/>
        <w:i w:val="0"/>
        <w:strike w:val="0"/>
        <w:dstrike w:val="0"/>
        <w:color w:val="000000"/>
        <w:sz w:val="19"/>
        <w:szCs w:val="19"/>
        <w:u w:val="none" w:color="000000"/>
        <w:bdr w:val="none" w:sz="0" w:space="0" w:color="auto"/>
        <w:shd w:val="clear" w:color="auto" w:fill="auto"/>
        <w:vertAlign w:val="baseline"/>
      </w:rPr>
    </w:lvl>
    <w:lvl w:ilvl="8" w:tplc="2794A60A">
      <w:start w:val="1"/>
      <w:numFmt w:val="lowerRoman"/>
      <w:lvlText w:val="%9"/>
      <w:lvlJc w:val="left"/>
      <w:pPr>
        <w:ind w:left="6254"/>
      </w:pPr>
      <w:rPr>
        <w:rFonts w:ascii="Calibri" w:hAnsi="Calibri" w:hint="default"/>
        <w:b w:val="0"/>
        <w:i w:val="0"/>
        <w:strike w:val="0"/>
        <w:dstrike w:val="0"/>
        <w:color w:val="000000"/>
        <w:sz w:val="19"/>
        <w:szCs w:val="19"/>
        <w:u w:val="none" w:color="000000"/>
        <w:bdr w:val="none" w:sz="0" w:space="0" w:color="auto"/>
        <w:shd w:val="clear" w:color="auto" w:fill="auto"/>
        <w:vertAlign w:val="baseline"/>
      </w:rPr>
    </w:lvl>
  </w:abstractNum>
  <w:abstractNum w:abstractNumId="3" w15:restartNumberingAfterBreak="0">
    <w:nsid w:val="010647BF"/>
    <w:multiLevelType w:val="singleLevel"/>
    <w:tmpl w:val="F122615A"/>
    <w:lvl w:ilvl="0">
      <w:start w:val="4"/>
      <w:numFmt w:val="decimal"/>
      <w:lvlText w:val="%1."/>
      <w:lvlJc w:val="left"/>
      <w:pPr>
        <w:tabs>
          <w:tab w:val="num" w:pos="288"/>
        </w:tabs>
        <w:ind w:left="648" w:hanging="288"/>
      </w:pPr>
      <w:rPr>
        <w:rFonts w:ascii="Times New Roman" w:hAnsi="Times New Roman" w:cs="Times New Roman" w:hint="default"/>
        <w:spacing w:val="1"/>
        <w:sz w:val="22"/>
        <w:szCs w:val="22"/>
        <w:u w:val="single"/>
      </w:rPr>
    </w:lvl>
  </w:abstractNum>
  <w:abstractNum w:abstractNumId="4" w15:restartNumberingAfterBreak="0">
    <w:nsid w:val="01379E99"/>
    <w:multiLevelType w:val="hybridMultilevel"/>
    <w:tmpl w:val="0A4E9E2C"/>
    <w:lvl w:ilvl="0" w:tplc="8F2C2840">
      <w:start w:val="1"/>
      <w:numFmt w:val="lowerLetter"/>
      <w:lvlText w:val="%1."/>
      <w:lvlJc w:val="left"/>
      <w:pPr>
        <w:ind w:left="1080" w:hanging="360"/>
      </w:pPr>
      <w:rPr>
        <w:rFonts w:ascii="Calibri,Times New Roman" w:hAnsi="Calibri,Times New Roman" w:hint="default"/>
      </w:rPr>
    </w:lvl>
    <w:lvl w:ilvl="1" w:tplc="A4F4BEC6">
      <w:start w:val="1"/>
      <w:numFmt w:val="decimal"/>
      <w:lvlText w:val="%2."/>
      <w:lvlJc w:val="left"/>
      <w:pPr>
        <w:ind w:left="1440" w:hanging="360"/>
      </w:pPr>
    </w:lvl>
    <w:lvl w:ilvl="2" w:tplc="3A36B5A4">
      <w:start w:val="1"/>
      <w:numFmt w:val="lowerRoman"/>
      <w:lvlText w:val="%3."/>
      <w:lvlJc w:val="right"/>
      <w:pPr>
        <w:ind w:left="2160" w:hanging="180"/>
      </w:pPr>
    </w:lvl>
    <w:lvl w:ilvl="3" w:tplc="0260604E">
      <w:start w:val="1"/>
      <w:numFmt w:val="decimal"/>
      <w:lvlText w:val="%4."/>
      <w:lvlJc w:val="left"/>
      <w:pPr>
        <w:ind w:left="2880" w:hanging="360"/>
      </w:pPr>
    </w:lvl>
    <w:lvl w:ilvl="4" w:tplc="FD30B6CE">
      <w:start w:val="1"/>
      <w:numFmt w:val="lowerLetter"/>
      <w:lvlText w:val="%5."/>
      <w:lvlJc w:val="left"/>
      <w:pPr>
        <w:ind w:left="3600" w:hanging="360"/>
      </w:pPr>
    </w:lvl>
    <w:lvl w:ilvl="5" w:tplc="B5E46AE6">
      <w:start w:val="1"/>
      <w:numFmt w:val="lowerRoman"/>
      <w:lvlText w:val="%6."/>
      <w:lvlJc w:val="right"/>
      <w:pPr>
        <w:ind w:left="4320" w:hanging="180"/>
      </w:pPr>
    </w:lvl>
    <w:lvl w:ilvl="6" w:tplc="831C3DBC">
      <w:start w:val="1"/>
      <w:numFmt w:val="decimal"/>
      <w:lvlText w:val="%7."/>
      <w:lvlJc w:val="left"/>
      <w:pPr>
        <w:ind w:left="5040" w:hanging="360"/>
      </w:pPr>
    </w:lvl>
    <w:lvl w:ilvl="7" w:tplc="E1C24F6C">
      <w:start w:val="1"/>
      <w:numFmt w:val="lowerLetter"/>
      <w:lvlText w:val="%8."/>
      <w:lvlJc w:val="left"/>
      <w:pPr>
        <w:ind w:left="5760" w:hanging="360"/>
      </w:pPr>
    </w:lvl>
    <w:lvl w:ilvl="8" w:tplc="427C0CA4">
      <w:start w:val="1"/>
      <w:numFmt w:val="lowerRoman"/>
      <w:lvlText w:val="%9."/>
      <w:lvlJc w:val="right"/>
      <w:pPr>
        <w:ind w:left="6480" w:hanging="180"/>
      </w:pPr>
    </w:lvl>
  </w:abstractNum>
  <w:abstractNum w:abstractNumId="5" w15:restartNumberingAfterBreak="0">
    <w:nsid w:val="01594FB7"/>
    <w:multiLevelType w:val="hybridMultilevel"/>
    <w:tmpl w:val="695427E6"/>
    <w:lvl w:ilvl="0" w:tplc="F74E37A2">
      <w:start w:val="1"/>
      <w:numFmt w:val="decimal"/>
      <w:lvlText w:val="%1."/>
      <w:lvlJc w:val="left"/>
      <w:pPr>
        <w:ind w:left="1458" w:hanging="360"/>
      </w:pPr>
    </w:lvl>
    <w:lvl w:ilvl="1" w:tplc="C6ECFACA">
      <w:start w:val="1"/>
      <w:numFmt w:val="lowerLetter"/>
      <w:lvlText w:val="%2."/>
      <w:lvlJc w:val="left"/>
      <w:pPr>
        <w:ind w:left="2178" w:hanging="360"/>
      </w:pPr>
    </w:lvl>
    <w:lvl w:ilvl="2" w:tplc="9C98FD9A">
      <w:start w:val="1"/>
      <w:numFmt w:val="lowerRoman"/>
      <w:lvlText w:val="%3."/>
      <w:lvlJc w:val="right"/>
      <w:pPr>
        <w:ind w:left="2898" w:hanging="180"/>
      </w:pPr>
    </w:lvl>
    <w:lvl w:ilvl="3" w:tplc="A914CDC6">
      <w:start w:val="1"/>
      <w:numFmt w:val="decimal"/>
      <w:lvlText w:val="%4."/>
      <w:lvlJc w:val="left"/>
      <w:pPr>
        <w:ind w:left="3618" w:hanging="360"/>
      </w:pPr>
    </w:lvl>
    <w:lvl w:ilvl="4" w:tplc="CDA6015A">
      <w:start w:val="1"/>
      <w:numFmt w:val="lowerLetter"/>
      <w:lvlText w:val="%5."/>
      <w:lvlJc w:val="left"/>
      <w:pPr>
        <w:ind w:left="4338" w:hanging="360"/>
      </w:pPr>
    </w:lvl>
    <w:lvl w:ilvl="5" w:tplc="1742C5E0">
      <w:start w:val="1"/>
      <w:numFmt w:val="lowerRoman"/>
      <w:lvlText w:val="%6."/>
      <w:lvlJc w:val="right"/>
      <w:pPr>
        <w:ind w:left="5058" w:hanging="180"/>
      </w:pPr>
    </w:lvl>
    <w:lvl w:ilvl="6" w:tplc="BFA233DA">
      <w:start w:val="1"/>
      <w:numFmt w:val="decimal"/>
      <w:lvlText w:val="%7."/>
      <w:lvlJc w:val="left"/>
      <w:pPr>
        <w:ind w:left="5778" w:hanging="360"/>
      </w:pPr>
    </w:lvl>
    <w:lvl w:ilvl="7" w:tplc="97E844DC">
      <w:start w:val="1"/>
      <w:numFmt w:val="lowerLetter"/>
      <w:lvlText w:val="%8."/>
      <w:lvlJc w:val="left"/>
      <w:pPr>
        <w:ind w:left="6498" w:hanging="360"/>
      </w:pPr>
    </w:lvl>
    <w:lvl w:ilvl="8" w:tplc="FFE82A6A">
      <w:start w:val="1"/>
      <w:numFmt w:val="lowerRoman"/>
      <w:lvlText w:val="%9."/>
      <w:lvlJc w:val="right"/>
      <w:pPr>
        <w:ind w:left="7218" w:hanging="180"/>
      </w:pPr>
    </w:lvl>
  </w:abstractNum>
  <w:abstractNum w:abstractNumId="6" w15:restartNumberingAfterBreak="0">
    <w:nsid w:val="01BBB282"/>
    <w:multiLevelType w:val="hybridMultilevel"/>
    <w:tmpl w:val="6CDE1166"/>
    <w:lvl w:ilvl="0" w:tplc="B5D8B902">
      <w:start w:val="1"/>
      <w:numFmt w:val="lowerLetter"/>
      <w:lvlText w:val="%1."/>
      <w:lvlJc w:val="left"/>
      <w:pPr>
        <w:ind w:left="1080" w:hanging="360"/>
      </w:pPr>
    </w:lvl>
    <w:lvl w:ilvl="1" w:tplc="FC3A0B20">
      <w:start w:val="1"/>
      <w:numFmt w:val="lowerLetter"/>
      <w:lvlText w:val="%2."/>
      <w:lvlJc w:val="left"/>
      <w:pPr>
        <w:ind w:left="1800" w:hanging="360"/>
      </w:pPr>
    </w:lvl>
    <w:lvl w:ilvl="2" w:tplc="2F2E8102">
      <w:start w:val="1"/>
      <w:numFmt w:val="lowerRoman"/>
      <w:lvlText w:val="%3."/>
      <w:lvlJc w:val="right"/>
      <w:pPr>
        <w:ind w:left="2520" w:hanging="180"/>
      </w:pPr>
    </w:lvl>
    <w:lvl w:ilvl="3" w:tplc="AA7AAE76">
      <w:start w:val="1"/>
      <w:numFmt w:val="decimal"/>
      <w:lvlText w:val="%4."/>
      <w:lvlJc w:val="left"/>
      <w:pPr>
        <w:ind w:left="3240" w:hanging="360"/>
      </w:pPr>
    </w:lvl>
    <w:lvl w:ilvl="4" w:tplc="67DA7B6C">
      <w:start w:val="1"/>
      <w:numFmt w:val="lowerLetter"/>
      <w:lvlText w:val="%5."/>
      <w:lvlJc w:val="left"/>
      <w:pPr>
        <w:ind w:left="3960" w:hanging="360"/>
      </w:pPr>
    </w:lvl>
    <w:lvl w:ilvl="5" w:tplc="3D36A5DC">
      <w:start w:val="1"/>
      <w:numFmt w:val="lowerRoman"/>
      <w:lvlText w:val="%6."/>
      <w:lvlJc w:val="right"/>
      <w:pPr>
        <w:ind w:left="4680" w:hanging="180"/>
      </w:pPr>
    </w:lvl>
    <w:lvl w:ilvl="6" w:tplc="8A06AB9A">
      <w:start w:val="1"/>
      <w:numFmt w:val="decimal"/>
      <w:lvlText w:val="%7."/>
      <w:lvlJc w:val="left"/>
      <w:pPr>
        <w:ind w:left="5400" w:hanging="360"/>
      </w:pPr>
    </w:lvl>
    <w:lvl w:ilvl="7" w:tplc="AFC2188A">
      <w:start w:val="1"/>
      <w:numFmt w:val="lowerLetter"/>
      <w:lvlText w:val="%8."/>
      <w:lvlJc w:val="left"/>
      <w:pPr>
        <w:ind w:left="6120" w:hanging="360"/>
      </w:pPr>
    </w:lvl>
    <w:lvl w:ilvl="8" w:tplc="E98C3A3E">
      <w:start w:val="1"/>
      <w:numFmt w:val="lowerRoman"/>
      <w:lvlText w:val="%9."/>
      <w:lvlJc w:val="right"/>
      <w:pPr>
        <w:ind w:left="6840" w:hanging="180"/>
      </w:pPr>
    </w:lvl>
  </w:abstractNum>
  <w:abstractNum w:abstractNumId="7" w15:restartNumberingAfterBreak="0">
    <w:nsid w:val="039057D2"/>
    <w:multiLevelType w:val="multilevel"/>
    <w:tmpl w:val="5C78DAE6"/>
    <w:lvl w:ilvl="0">
      <w:start w:val="1"/>
      <w:numFmt w:val="decimal"/>
      <w:lvlText w:val="%1."/>
      <w:lvlJc w:val="left"/>
      <w:pPr>
        <w:ind w:left="2070" w:hanging="360"/>
      </w:pPr>
      <w:rPr>
        <w:u w:val="single"/>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8" w15:restartNumberingAfterBreak="0">
    <w:nsid w:val="03CBA5B7"/>
    <w:multiLevelType w:val="singleLevel"/>
    <w:tmpl w:val="3EAEF9C0"/>
    <w:lvl w:ilvl="0">
      <w:start w:val="1"/>
      <w:numFmt w:val="decimal"/>
      <w:lvlText w:val="%1."/>
      <w:lvlJc w:val="left"/>
      <w:pPr>
        <w:tabs>
          <w:tab w:val="num" w:pos="288"/>
        </w:tabs>
        <w:ind w:left="648" w:hanging="288"/>
      </w:pPr>
      <w:rPr>
        <w:rFonts w:ascii="Times New Roman" w:hAnsi="Times New Roman" w:cs="Times New Roman" w:hint="default"/>
        <w:spacing w:val="2"/>
        <w:sz w:val="22"/>
        <w:szCs w:val="22"/>
        <w:u w:val="single"/>
      </w:rPr>
    </w:lvl>
  </w:abstractNum>
  <w:abstractNum w:abstractNumId="9" w15:restartNumberingAfterBreak="0">
    <w:nsid w:val="053629A6"/>
    <w:multiLevelType w:val="multilevel"/>
    <w:tmpl w:val="89D42918"/>
    <w:lvl w:ilvl="0">
      <w:start w:val="1"/>
      <w:numFmt w:val="decimal"/>
      <w:lvlText w:val="%1."/>
      <w:lvlJc w:val="left"/>
      <w:pPr>
        <w:ind w:left="1440" w:hanging="360"/>
      </w:pPr>
      <w:rPr>
        <w:u w:val="single"/>
      </w:rPr>
    </w:lvl>
    <w:lvl w:ilvl="1">
      <w:start w:val="1"/>
      <w:numFmt w:val="lowerLetter"/>
      <w:lvlText w:val="%2."/>
      <w:lvlJc w:val="left"/>
      <w:pPr>
        <w:ind w:left="2170" w:hanging="360"/>
      </w:pPr>
    </w:lvl>
    <w:lvl w:ilvl="2">
      <w:start w:val="1"/>
      <w:numFmt w:val="lowerRoman"/>
      <w:lvlText w:val="%3."/>
      <w:lvlJc w:val="right"/>
      <w:pPr>
        <w:ind w:left="2890" w:hanging="180"/>
      </w:pPr>
    </w:lvl>
    <w:lvl w:ilvl="3">
      <w:start w:val="1"/>
      <w:numFmt w:val="decimal"/>
      <w:lvlText w:val="%4."/>
      <w:lvlJc w:val="left"/>
      <w:pPr>
        <w:ind w:left="3610" w:hanging="360"/>
      </w:pPr>
    </w:lvl>
    <w:lvl w:ilvl="4">
      <w:start w:val="1"/>
      <w:numFmt w:val="lowerLetter"/>
      <w:lvlText w:val="%5."/>
      <w:lvlJc w:val="left"/>
      <w:pPr>
        <w:ind w:left="4330" w:hanging="360"/>
      </w:pPr>
    </w:lvl>
    <w:lvl w:ilvl="5">
      <w:start w:val="1"/>
      <w:numFmt w:val="lowerRoman"/>
      <w:lvlText w:val="%6."/>
      <w:lvlJc w:val="right"/>
      <w:pPr>
        <w:ind w:left="5050" w:hanging="180"/>
      </w:pPr>
    </w:lvl>
    <w:lvl w:ilvl="6">
      <w:start w:val="1"/>
      <w:numFmt w:val="decimal"/>
      <w:lvlText w:val="%7."/>
      <w:lvlJc w:val="left"/>
      <w:pPr>
        <w:ind w:left="5770" w:hanging="360"/>
      </w:pPr>
    </w:lvl>
    <w:lvl w:ilvl="7">
      <w:start w:val="1"/>
      <w:numFmt w:val="lowerLetter"/>
      <w:lvlText w:val="%8."/>
      <w:lvlJc w:val="left"/>
      <w:pPr>
        <w:ind w:left="6490" w:hanging="360"/>
      </w:pPr>
    </w:lvl>
    <w:lvl w:ilvl="8">
      <w:start w:val="1"/>
      <w:numFmt w:val="lowerRoman"/>
      <w:lvlText w:val="%9."/>
      <w:lvlJc w:val="right"/>
      <w:pPr>
        <w:ind w:left="7210" w:hanging="180"/>
      </w:pPr>
    </w:lvl>
  </w:abstractNum>
  <w:abstractNum w:abstractNumId="10" w15:restartNumberingAfterBreak="0">
    <w:nsid w:val="05AA154D"/>
    <w:multiLevelType w:val="singleLevel"/>
    <w:tmpl w:val="9692FCB0"/>
    <w:lvl w:ilvl="0">
      <w:start w:val="1"/>
      <w:numFmt w:val="decimal"/>
      <w:lvlText w:val="%1."/>
      <w:lvlJc w:val="left"/>
      <w:pPr>
        <w:tabs>
          <w:tab w:val="num" w:pos="684"/>
        </w:tabs>
        <w:ind w:left="1476" w:hanging="216"/>
      </w:pPr>
      <w:rPr>
        <w:rFonts w:ascii="Times New Roman" w:hAnsi="Times New Roman" w:cs="Times New Roman" w:hint="default"/>
        <w:snapToGrid/>
        <w:spacing w:val="12"/>
        <w:sz w:val="22"/>
        <w:szCs w:val="19"/>
      </w:rPr>
    </w:lvl>
  </w:abstractNum>
  <w:abstractNum w:abstractNumId="11" w15:restartNumberingAfterBreak="0">
    <w:nsid w:val="060A642E"/>
    <w:multiLevelType w:val="hybridMultilevel"/>
    <w:tmpl w:val="6D5E4A56"/>
    <w:lvl w:ilvl="0" w:tplc="162CE762">
      <w:start w:val="1"/>
      <w:numFmt w:val="decimal"/>
      <w:lvlText w:val="%1."/>
      <w:lvlJc w:val="left"/>
      <w:pPr>
        <w:ind w:left="1440" w:hanging="360"/>
      </w:pPr>
      <w:rPr>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06715F8B"/>
    <w:multiLevelType w:val="hybridMultilevel"/>
    <w:tmpl w:val="F9AA80AA"/>
    <w:lvl w:ilvl="0" w:tplc="95AC6714">
      <w:start w:val="1"/>
      <w:numFmt w:val="decimal"/>
      <w:lvlText w:val="%1."/>
      <w:lvlJc w:val="left"/>
      <w:pPr>
        <w:ind w:left="1080" w:hanging="360"/>
      </w:pPr>
      <w:rPr>
        <w:u w:val="single"/>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15:restartNumberingAfterBreak="0">
    <w:nsid w:val="06812AF5"/>
    <w:multiLevelType w:val="hybridMultilevel"/>
    <w:tmpl w:val="5FD6F1F8"/>
    <w:lvl w:ilvl="0" w:tplc="6DE44B1C">
      <w:start w:val="1"/>
      <w:numFmt w:val="decimal"/>
      <w:lvlText w:val="%1."/>
      <w:lvlJc w:val="left"/>
      <w:pPr>
        <w:ind w:left="1800" w:hanging="360"/>
      </w:pPr>
      <w:rPr>
        <w:u w:val="single"/>
      </w:rPr>
    </w:lvl>
    <w:lvl w:ilvl="1" w:tplc="079ADAB2">
      <w:start w:val="1"/>
      <w:numFmt w:val="lowerLetter"/>
      <w:lvlText w:val="%2."/>
      <w:lvlJc w:val="left"/>
      <w:pPr>
        <w:ind w:left="2520" w:hanging="360"/>
      </w:pPr>
    </w:lvl>
    <w:lvl w:ilvl="2" w:tplc="8ACE8878">
      <w:start w:val="1"/>
      <w:numFmt w:val="lowerRoman"/>
      <w:lvlText w:val="%3."/>
      <w:lvlJc w:val="right"/>
      <w:pPr>
        <w:ind w:left="3240" w:hanging="180"/>
      </w:pPr>
    </w:lvl>
    <w:lvl w:ilvl="3" w:tplc="00947BC0">
      <w:start w:val="1"/>
      <w:numFmt w:val="decimal"/>
      <w:lvlText w:val="%4."/>
      <w:lvlJc w:val="left"/>
      <w:pPr>
        <w:ind w:left="3960" w:hanging="360"/>
      </w:pPr>
    </w:lvl>
    <w:lvl w:ilvl="4" w:tplc="D67030FC">
      <w:start w:val="1"/>
      <w:numFmt w:val="lowerLetter"/>
      <w:lvlText w:val="%5."/>
      <w:lvlJc w:val="left"/>
      <w:pPr>
        <w:ind w:left="4680" w:hanging="360"/>
      </w:pPr>
    </w:lvl>
    <w:lvl w:ilvl="5" w:tplc="97DAFD26">
      <w:start w:val="1"/>
      <w:numFmt w:val="lowerRoman"/>
      <w:lvlText w:val="%6."/>
      <w:lvlJc w:val="right"/>
      <w:pPr>
        <w:ind w:left="5400" w:hanging="180"/>
      </w:pPr>
    </w:lvl>
    <w:lvl w:ilvl="6" w:tplc="26A6FD18">
      <w:start w:val="1"/>
      <w:numFmt w:val="decimal"/>
      <w:lvlText w:val="%7."/>
      <w:lvlJc w:val="left"/>
      <w:pPr>
        <w:ind w:left="6120" w:hanging="360"/>
      </w:pPr>
    </w:lvl>
    <w:lvl w:ilvl="7" w:tplc="2B98CB5C">
      <w:start w:val="1"/>
      <w:numFmt w:val="lowerLetter"/>
      <w:lvlText w:val="%8."/>
      <w:lvlJc w:val="left"/>
      <w:pPr>
        <w:ind w:left="6840" w:hanging="360"/>
      </w:pPr>
    </w:lvl>
    <w:lvl w:ilvl="8" w:tplc="2A50993C">
      <w:start w:val="1"/>
      <w:numFmt w:val="lowerRoman"/>
      <w:lvlText w:val="%9."/>
      <w:lvlJc w:val="right"/>
      <w:pPr>
        <w:ind w:left="7560" w:hanging="180"/>
      </w:pPr>
    </w:lvl>
  </w:abstractNum>
  <w:abstractNum w:abstractNumId="14" w15:restartNumberingAfterBreak="0">
    <w:nsid w:val="06B74A30"/>
    <w:multiLevelType w:val="hybridMultilevel"/>
    <w:tmpl w:val="95160B5A"/>
    <w:lvl w:ilvl="0" w:tplc="CB46EFBE">
      <w:start w:val="1"/>
      <w:numFmt w:val="lowerLetter"/>
      <w:lvlText w:val="%1."/>
      <w:lvlJc w:val="left"/>
      <w:pPr>
        <w:ind w:left="720" w:hanging="360"/>
      </w:pPr>
    </w:lvl>
    <w:lvl w:ilvl="1" w:tplc="CB0883BE">
      <w:start w:val="1"/>
      <w:numFmt w:val="lowerLetter"/>
      <w:lvlText w:val="%2."/>
      <w:lvlJc w:val="left"/>
      <w:pPr>
        <w:ind w:left="1440" w:hanging="360"/>
      </w:pPr>
    </w:lvl>
    <w:lvl w:ilvl="2" w:tplc="8DEC0EDE">
      <w:start w:val="1"/>
      <w:numFmt w:val="lowerRoman"/>
      <w:lvlText w:val="%3."/>
      <w:lvlJc w:val="right"/>
      <w:pPr>
        <w:ind w:left="2160" w:hanging="180"/>
      </w:pPr>
    </w:lvl>
    <w:lvl w:ilvl="3" w:tplc="AC04A2C8">
      <w:start w:val="1"/>
      <w:numFmt w:val="decimal"/>
      <w:lvlText w:val="%4."/>
      <w:lvlJc w:val="left"/>
      <w:pPr>
        <w:ind w:left="2880" w:hanging="360"/>
      </w:pPr>
    </w:lvl>
    <w:lvl w:ilvl="4" w:tplc="464893EE">
      <w:start w:val="1"/>
      <w:numFmt w:val="lowerLetter"/>
      <w:lvlText w:val="%5."/>
      <w:lvlJc w:val="left"/>
      <w:pPr>
        <w:ind w:left="3600" w:hanging="360"/>
      </w:pPr>
    </w:lvl>
    <w:lvl w:ilvl="5" w:tplc="A1DE711C">
      <w:start w:val="1"/>
      <w:numFmt w:val="lowerRoman"/>
      <w:lvlText w:val="%6."/>
      <w:lvlJc w:val="right"/>
      <w:pPr>
        <w:ind w:left="4320" w:hanging="180"/>
      </w:pPr>
    </w:lvl>
    <w:lvl w:ilvl="6" w:tplc="99F0F634">
      <w:start w:val="1"/>
      <w:numFmt w:val="decimal"/>
      <w:lvlText w:val="%7."/>
      <w:lvlJc w:val="left"/>
      <w:pPr>
        <w:ind w:left="5040" w:hanging="360"/>
      </w:pPr>
    </w:lvl>
    <w:lvl w:ilvl="7" w:tplc="D0107ECA">
      <w:start w:val="1"/>
      <w:numFmt w:val="lowerLetter"/>
      <w:lvlText w:val="%8."/>
      <w:lvlJc w:val="left"/>
      <w:pPr>
        <w:ind w:left="5760" w:hanging="360"/>
      </w:pPr>
    </w:lvl>
    <w:lvl w:ilvl="8" w:tplc="A4B2C538">
      <w:start w:val="1"/>
      <w:numFmt w:val="lowerRoman"/>
      <w:lvlText w:val="%9."/>
      <w:lvlJc w:val="right"/>
      <w:pPr>
        <w:ind w:left="6480" w:hanging="180"/>
      </w:pPr>
    </w:lvl>
  </w:abstractNum>
  <w:abstractNum w:abstractNumId="15" w15:restartNumberingAfterBreak="0">
    <w:nsid w:val="08C32F04"/>
    <w:multiLevelType w:val="hybridMultilevel"/>
    <w:tmpl w:val="A85C58CA"/>
    <w:lvl w:ilvl="0" w:tplc="D6E467AE">
      <w:start w:val="1"/>
      <w:numFmt w:val="lowerLetter"/>
      <w:lvlText w:val="%1."/>
      <w:lvlJc w:val="left"/>
      <w:pPr>
        <w:ind w:left="720" w:hanging="360"/>
      </w:pPr>
    </w:lvl>
    <w:lvl w:ilvl="1" w:tplc="FA426E3A">
      <w:start w:val="1"/>
      <w:numFmt w:val="lowerLetter"/>
      <w:lvlText w:val="%2."/>
      <w:lvlJc w:val="left"/>
      <w:pPr>
        <w:ind w:left="1440" w:hanging="360"/>
      </w:pPr>
    </w:lvl>
    <w:lvl w:ilvl="2" w:tplc="1E4EEC70">
      <w:start w:val="1"/>
      <w:numFmt w:val="lowerRoman"/>
      <w:lvlText w:val="%3."/>
      <w:lvlJc w:val="right"/>
      <w:pPr>
        <w:ind w:left="2160" w:hanging="180"/>
      </w:pPr>
    </w:lvl>
    <w:lvl w:ilvl="3" w:tplc="42925E5A">
      <w:start w:val="1"/>
      <w:numFmt w:val="decimal"/>
      <w:lvlText w:val="%4."/>
      <w:lvlJc w:val="left"/>
      <w:pPr>
        <w:ind w:left="2880" w:hanging="360"/>
      </w:pPr>
    </w:lvl>
    <w:lvl w:ilvl="4" w:tplc="3EA4A100">
      <w:start w:val="1"/>
      <w:numFmt w:val="lowerLetter"/>
      <w:lvlText w:val="%5."/>
      <w:lvlJc w:val="left"/>
      <w:pPr>
        <w:ind w:left="3600" w:hanging="360"/>
      </w:pPr>
    </w:lvl>
    <w:lvl w:ilvl="5" w:tplc="063A309C">
      <w:start w:val="1"/>
      <w:numFmt w:val="lowerRoman"/>
      <w:lvlText w:val="%6."/>
      <w:lvlJc w:val="right"/>
      <w:pPr>
        <w:ind w:left="4320" w:hanging="180"/>
      </w:pPr>
    </w:lvl>
    <w:lvl w:ilvl="6" w:tplc="2F785804">
      <w:start w:val="1"/>
      <w:numFmt w:val="decimal"/>
      <w:lvlText w:val="%7."/>
      <w:lvlJc w:val="left"/>
      <w:pPr>
        <w:ind w:left="5040" w:hanging="360"/>
      </w:pPr>
    </w:lvl>
    <w:lvl w:ilvl="7" w:tplc="E8CEB194">
      <w:start w:val="1"/>
      <w:numFmt w:val="lowerLetter"/>
      <w:lvlText w:val="%8."/>
      <w:lvlJc w:val="left"/>
      <w:pPr>
        <w:ind w:left="5760" w:hanging="360"/>
      </w:pPr>
    </w:lvl>
    <w:lvl w:ilvl="8" w:tplc="2D5A45A8">
      <w:start w:val="1"/>
      <w:numFmt w:val="lowerRoman"/>
      <w:lvlText w:val="%9."/>
      <w:lvlJc w:val="right"/>
      <w:pPr>
        <w:ind w:left="6480" w:hanging="180"/>
      </w:pPr>
    </w:lvl>
  </w:abstractNum>
  <w:abstractNum w:abstractNumId="16" w15:restartNumberingAfterBreak="0">
    <w:nsid w:val="091C26D2"/>
    <w:multiLevelType w:val="multilevel"/>
    <w:tmpl w:val="0B64658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936034F"/>
    <w:multiLevelType w:val="hybridMultilevel"/>
    <w:tmpl w:val="1A3A7C3A"/>
    <w:lvl w:ilvl="0" w:tplc="1D465948">
      <w:start w:val="1"/>
      <w:numFmt w:val="lowerLetter"/>
      <w:lvlText w:val="%1."/>
      <w:lvlJc w:val="left"/>
      <w:pPr>
        <w:ind w:left="1080" w:hanging="360"/>
      </w:pPr>
      <w:rPr>
        <w:rFonts w:hint="default"/>
        <w:sz w:val="22"/>
        <w:szCs w:val="22"/>
        <w:u w:val="single"/>
      </w:rPr>
    </w:lvl>
    <w:lvl w:ilvl="1" w:tplc="0E9CF0FE">
      <w:start w:val="1"/>
      <w:numFmt w:val="bullet"/>
      <w:lvlText w:val="o"/>
      <w:lvlJc w:val="left"/>
      <w:pPr>
        <w:ind w:left="1800" w:hanging="360"/>
      </w:pPr>
      <w:rPr>
        <w:rFonts w:ascii="Courier New" w:hAnsi="Courier New" w:hint="default"/>
      </w:rPr>
    </w:lvl>
    <w:lvl w:ilvl="2" w:tplc="C630AFC6">
      <w:start w:val="1"/>
      <w:numFmt w:val="bullet"/>
      <w:lvlText w:val=""/>
      <w:lvlJc w:val="left"/>
      <w:pPr>
        <w:ind w:left="2520" w:hanging="360"/>
      </w:pPr>
      <w:rPr>
        <w:rFonts w:ascii="Wingdings" w:hAnsi="Wingdings" w:hint="default"/>
      </w:rPr>
    </w:lvl>
    <w:lvl w:ilvl="3" w:tplc="D04CB4DA">
      <w:start w:val="1"/>
      <w:numFmt w:val="bullet"/>
      <w:lvlText w:val=""/>
      <w:lvlJc w:val="left"/>
      <w:pPr>
        <w:ind w:left="3240" w:hanging="360"/>
      </w:pPr>
      <w:rPr>
        <w:rFonts w:ascii="Symbol" w:hAnsi="Symbol" w:hint="default"/>
      </w:rPr>
    </w:lvl>
    <w:lvl w:ilvl="4" w:tplc="BAB42102">
      <w:start w:val="1"/>
      <w:numFmt w:val="bullet"/>
      <w:lvlText w:val="o"/>
      <w:lvlJc w:val="left"/>
      <w:pPr>
        <w:ind w:left="3960" w:hanging="360"/>
      </w:pPr>
      <w:rPr>
        <w:rFonts w:ascii="Courier New" w:hAnsi="Courier New" w:hint="default"/>
      </w:rPr>
    </w:lvl>
    <w:lvl w:ilvl="5" w:tplc="D2CA4A08">
      <w:start w:val="1"/>
      <w:numFmt w:val="bullet"/>
      <w:lvlText w:val=""/>
      <w:lvlJc w:val="left"/>
      <w:pPr>
        <w:ind w:left="4680" w:hanging="360"/>
      </w:pPr>
      <w:rPr>
        <w:rFonts w:ascii="Wingdings" w:hAnsi="Wingdings" w:hint="default"/>
      </w:rPr>
    </w:lvl>
    <w:lvl w:ilvl="6" w:tplc="90F48DDC">
      <w:start w:val="1"/>
      <w:numFmt w:val="bullet"/>
      <w:lvlText w:val=""/>
      <w:lvlJc w:val="left"/>
      <w:pPr>
        <w:ind w:left="5400" w:hanging="360"/>
      </w:pPr>
      <w:rPr>
        <w:rFonts w:ascii="Symbol" w:hAnsi="Symbol" w:hint="default"/>
      </w:rPr>
    </w:lvl>
    <w:lvl w:ilvl="7" w:tplc="D7F44724">
      <w:start w:val="1"/>
      <w:numFmt w:val="bullet"/>
      <w:lvlText w:val="o"/>
      <w:lvlJc w:val="left"/>
      <w:pPr>
        <w:ind w:left="6120" w:hanging="360"/>
      </w:pPr>
      <w:rPr>
        <w:rFonts w:ascii="Courier New" w:hAnsi="Courier New" w:hint="default"/>
      </w:rPr>
    </w:lvl>
    <w:lvl w:ilvl="8" w:tplc="C1D0D3B4">
      <w:start w:val="1"/>
      <w:numFmt w:val="bullet"/>
      <w:lvlText w:val=""/>
      <w:lvlJc w:val="left"/>
      <w:pPr>
        <w:ind w:left="6840" w:hanging="360"/>
      </w:pPr>
      <w:rPr>
        <w:rFonts w:ascii="Wingdings" w:hAnsi="Wingdings" w:hint="default"/>
      </w:rPr>
    </w:lvl>
  </w:abstractNum>
  <w:abstractNum w:abstractNumId="18" w15:restartNumberingAfterBreak="0">
    <w:nsid w:val="09BB0D82"/>
    <w:multiLevelType w:val="hybridMultilevel"/>
    <w:tmpl w:val="A866D65E"/>
    <w:lvl w:ilvl="0" w:tplc="524ED6D2">
      <w:start w:val="1"/>
      <w:numFmt w:val="decimal"/>
      <w:lvlText w:val="%1."/>
      <w:lvlJc w:val="left"/>
      <w:pPr>
        <w:ind w:left="722"/>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61B28216">
      <w:start w:val="1"/>
      <w:numFmt w:val="lowerLetter"/>
      <w:lvlText w:val="%2"/>
      <w:lvlJc w:val="left"/>
      <w:pPr>
        <w:ind w:left="14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F782F296">
      <w:start w:val="1"/>
      <w:numFmt w:val="lowerRoman"/>
      <w:lvlText w:val="%3"/>
      <w:lvlJc w:val="left"/>
      <w:pPr>
        <w:ind w:left="21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190AEA7A">
      <w:start w:val="1"/>
      <w:numFmt w:val="decimal"/>
      <w:lvlText w:val="%4"/>
      <w:lvlJc w:val="left"/>
      <w:pPr>
        <w:ind w:left="28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0024C320">
      <w:start w:val="1"/>
      <w:numFmt w:val="lowerLetter"/>
      <w:lvlText w:val="%5"/>
      <w:lvlJc w:val="left"/>
      <w:pPr>
        <w:ind w:left="35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3A089A72">
      <w:start w:val="1"/>
      <w:numFmt w:val="lowerRoman"/>
      <w:lvlText w:val="%6"/>
      <w:lvlJc w:val="left"/>
      <w:pPr>
        <w:ind w:left="43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A22E3D2A">
      <w:start w:val="1"/>
      <w:numFmt w:val="decimal"/>
      <w:lvlText w:val="%7"/>
      <w:lvlJc w:val="left"/>
      <w:pPr>
        <w:ind w:left="50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03648FCE">
      <w:start w:val="1"/>
      <w:numFmt w:val="lowerLetter"/>
      <w:lvlText w:val="%8"/>
      <w:lvlJc w:val="left"/>
      <w:pPr>
        <w:ind w:left="57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51BE50CE">
      <w:start w:val="1"/>
      <w:numFmt w:val="lowerRoman"/>
      <w:lvlText w:val="%9"/>
      <w:lvlJc w:val="left"/>
      <w:pPr>
        <w:ind w:left="64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19" w15:restartNumberingAfterBreak="0">
    <w:nsid w:val="09FC43CE"/>
    <w:multiLevelType w:val="multilevel"/>
    <w:tmpl w:val="ECECDF32"/>
    <w:lvl w:ilvl="0">
      <w:start w:val="1"/>
      <w:numFmt w:val="decimal"/>
      <w:lvlText w:val="%1."/>
      <w:lvlJc w:val="left"/>
      <w:pPr>
        <w:ind w:left="540" w:hanging="360"/>
      </w:pPr>
      <w:rPr>
        <w:b w:val="0"/>
        <w:bCs w:val="0"/>
        <w:u w:val="single"/>
      </w:rPr>
    </w:lvl>
    <w:lvl w:ilvl="1">
      <w:start w:val="1"/>
      <w:numFmt w:val="decimal"/>
      <w:lvlText w:val="%2."/>
      <w:lvlJc w:val="left"/>
      <w:pPr>
        <w:ind w:left="2610" w:hanging="360"/>
      </w:pPr>
      <w:rPr>
        <w:rFonts w:ascii="Times New Roman" w:eastAsia="Arial" w:hAnsi="Times New Roman" w:cs="Times New Roman" w:hint="default"/>
        <w:u w:val="single"/>
      </w:rPr>
    </w:lvl>
    <w:lvl w:ilvl="2">
      <w:start w:val="1"/>
      <w:numFmt w:val="lowerRoman"/>
      <w:lvlText w:val="%3."/>
      <w:lvlJc w:val="right"/>
      <w:pPr>
        <w:ind w:left="2040" w:hanging="180"/>
      </w:pPr>
    </w:lvl>
    <w:lvl w:ilvl="3">
      <w:start w:val="1"/>
      <w:numFmt w:val="decimal"/>
      <w:lvlText w:val="%4."/>
      <w:lvlJc w:val="left"/>
      <w:pPr>
        <w:ind w:left="2760" w:hanging="360"/>
      </w:pPr>
    </w:lvl>
    <w:lvl w:ilvl="4">
      <w:start w:val="1"/>
      <w:numFmt w:val="lowerLetter"/>
      <w:lvlText w:val="%5."/>
      <w:lvlJc w:val="left"/>
      <w:pPr>
        <w:ind w:left="3480" w:hanging="360"/>
      </w:pPr>
    </w:lvl>
    <w:lvl w:ilvl="5">
      <w:start w:val="1"/>
      <w:numFmt w:val="lowerRoman"/>
      <w:lvlText w:val="%6."/>
      <w:lvlJc w:val="right"/>
      <w:pPr>
        <w:ind w:left="4200" w:hanging="180"/>
      </w:pPr>
    </w:lvl>
    <w:lvl w:ilvl="6">
      <w:start w:val="1"/>
      <w:numFmt w:val="decimal"/>
      <w:lvlText w:val="%7."/>
      <w:lvlJc w:val="left"/>
      <w:pPr>
        <w:ind w:left="4920" w:hanging="360"/>
      </w:pPr>
    </w:lvl>
    <w:lvl w:ilvl="7">
      <w:start w:val="1"/>
      <w:numFmt w:val="lowerLetter"/>
      <w:lvlText w:val="%8."/>
      <w:lvlJc w:val="left"/>
      <w:pPr>
        <w:ind w:left="5640" w:hanging="360"/>
      </w:pPr>
    </w:lvl>
    <w:lvl w:ilvl="8">
      <w:start w:val="1"/>
      <w:numFmt w:val="lowerRoman"/>
      <w:lvlText w:val="%9."/>
      <w:lvlJc w:val="right"/>
      <w:pPr>
        <w:ind w:left="6360" w:hanging="180"/>
      </w:pPr>
    </w:lvl>
  </w:abstractNum>
  <w:abstractNum w:abstractNumId="20" w15:restartNumberingAfterBreak="0">
    <w:nsid w:val="0ABE3FFB"/>
    <w:multiLevelType w:val="hybridMultilevel"/>
    <w:tmpl w:val="CC1AA6DC"/>
    <w:lvl w:ilvl="0" w:tplc="B740C8C8">
      <w:start w:val="1"/>
      <w:numFmt w:val="decimal"/>
      <w:lvlText w:val="%1."/>
      <w:lvlJc w:val="left"/>
      <w:pPr>
        <w:ind w:left="2160" w:hanging="360"/>
      </w:pPr>
      <w:rPr>
        <w:u w:val="single"/>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0ADB23A9"/>
    <w:multiLevelType w:val="hybridMultilevel"/>
    <w:tmpl w:val="75281624"/>
    <w:lvl w:ilvl="0" w:tplc="CDA23966">
      <w:start w:val="1"/>
      <w:numFmt w:val="decimal"/>
      <w:lvlText w:val="%1."/>
      <w:lvlJc w:val="left"/>
      <w:pPr>
        <w:ind w:left="358" w:hanging="360"/>
      </w:pPr>
    </w:lvl>
    <w:lvl w:ilvl="1" w:tplc="04090019">
      <w:start w:val="1"/>
      <w:numFmt w:val="lowerLetter"/>
      <w:lvlText w:val="%2."/>
      <w:lvlJc w:val="left"/>
      <w:pPr>
        <w:ind w:left="1078" w:hanging="360"/>
      </w:pPr>
    </w:lvl>
    <w:lvl w:ilvl="2" w:tplc="0409001B">
      <w:start w:val="1"/>
      <w:numFmt w:val="lowerRoman"/>
      <w:lvlText w:val="%3."/>
      <w:lvlJc w:val="right"/>
      <w:pPr>
        <w:ind w:left="1798" w:hanging="180"/>
      </w:pPr>
    </w:lvl>
    <w:lvl w:ilvl="3" w:tplc="0409000F">
      <w:start w:val="1"/>
      <w:numFmt w:val="decimal"/>
      <w:lvlText w:val="%4."/>
      <w:lvlJc w:val="left"/>
      <w:pPr>
        <w:ind w:left="2518" w:hanging="360"/>
      </w:pPr>
    </w:lvl>
    <w:lvl w:ilvl="4" w:tplc="04090019">
      <w:start w:val="1"/>
      <w:numFmt w:val="lowerLetter"/>
      <w:lvlText w:val="%5."/>
      <w:lvlJc w:val="left"/>
      <w:pPr>
        <w:ind w:left="3238" w:hanging="360"/>
      </w:pPr>
    </w:lvl>
    <w:lvl w:ilvl="5" w:tplc="0409001B">
      <w:start w:val="1"/>
      <w:numFmt w:val="lowerRoman"/>
      <w:lvlText w:val="%6."/>
      <w:lvlJc w:val="right"/>
      <w:pPr>
        <w:ind w:left="3958" w:hanging="180"/>
      </w:pPr>
    </w:lvl>
    <w:lvl w:ilvl="6" w:tplc="0409000F">
      <w:start w:val="1"/>
      <w:numFmt w:val="decimal"/>
      <w:lvlText w:val="%7."/>
      <w:lvlJc w:val="left"/>
      <w:pPr>
        <w:ind w:left="4678" w:hanging="360"/>
      </w:pPr>
    </w:lvl>
    <w:lvl w:ilvl="7" w:tplc="04090019">
      <w:start w:val="1"/>
      <w:numFmt w:val="lowerLetter"/>
      <w:lvlText w:val="%8."/>
      <w:lvlJc w:val="left"/>
      <w:pPr>
        <w:ind w:left="5398" w:hanging="360"/>
      </w:pPr>
    </w:lvl>
    <w:lvl w:ilvl="8" w:tplc="0409001B">
      <w:start w:val="1"/>
      <w:numFmt w:val="lowerRoman"/>
      <w:lvlText w:val="%9."/>
      <w:lvlJc w:val="right"/>
      <w:pPr>
        <w:ind w:left="6118" w:hanging="180"/>
      </w:pPr>
    </w:lvl>
  </w:abstractNum>
  <w:abstractNum w:abstractNumId="22" w15:restartNumberingAfterBreak="0">
    <w:nsid w:val="0BC81932"/>
    <w:multiLevelType w:val="multilevel"/>
    <w:tmpl w:val="7430B00A"/>
    <w:lvl w:ilvl="0">
      <w:start w:val="1"/>
      <w:numFmt w:val="decimal"/>
      <w:lvlText w:val="%1."/>
      <w:lvlJc w:val="left"/>
      <w:pPr>
        <w:ind w:left="720" w:hanging="360"/>
      </w:pPr>
    </w:lvl>
    <w:lvl w:ilvl="1">
      <w:start w:val="1"/>
      <w:numFmt w:val="decimal"/>
      <w:lvlText w:val="%2."/>
      <w:lvlJc w:val="left"/>
      <w:pPr>
        <w:ind w:left="-270" w:hanging="360"/>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3" w15:restartNumberingAfterBreak="0">
    <w:nsid w:val="0C109527"/>
    <w:multiLevelType w:val="multilevel"/>
    <w:tmpl w:val="2D58FC2C"/>
    <w:lvl w:ilvl="0">
      <w:start w:val="4"/>
      <w:numFmt w:val="decimal"/>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0CCC9DDB"/>
    <w:multiLevelType w:val="hybridMultilevel"/>
    <w:tmpl w:val="3E54671A"/>
    <w:lvl w:ilvl="0" w:tplc="A8427BD0">
      <w:start w:val="1"/>
      <w:numFmt w:val="decimal"/>
      <w:lvlText w:val="%1."/>
      <w:lvlJc w:val="left"/>
      <w:pPr>
        <w:ind w:left="720" w:hanging="360"/>
      </w:pPr>
    </w:lvl>
    <w:lvl w:ilvl="1" w:tplc="579440DE">
      <w:start w:val="1"/>
      <w:numFmt w:val="lowerLetter"/>
      <w:lvlText w:val="%2."/>
      <w:lvlJc w:val="left"/>
      <w:pPr>
        <w:ind w:left="1440" w:hanging="360"/>
      </w:pPr>
    </w:lvl>
    <w:lvl w:ilvl="2" w:tplc="08E4974C">
      <w:start w:val="1"/>
      <w:numFmt w:val="lowerRoman"/>
      <w:lvlText w:val="%3."/>
      <w:lvlJc w:val="right"/>
      <w:pPr>
        <w:ind w:left="2160" w:hanging="180"/>
      </w:pPr>
    </w:lvl>
    <w:lvl w:ilvl="3" w:tplc="BD2E4248">
      <w:start w:val="1"/>
      <w:numFmt w:val="decimal"/>
      <w:lvlText w:val="%4."/>
      <w:lvlJc w:val="left"/>
      <w:pPr>
        <w:ind w:left="2880" w:hanging="360"/>
      </w:pPr>
    </w:lvl>
    <w:lvl w:ilvl="4" w:tplc="2ED4F59E">
      <w:start w:val="1"/>
      <w:numFmt w:val="lowerLetter"/>
      <w:lvlText w:val="%5."/>
      <w:lvlJc w:val="left"/>
      <w:pPr>
        <w:ind w:left="3600" w:hanging="360"/>
      </w:pPr>
    </w:lvl>
    <w:lvl w:ilvl="5" w:tplc="72602AD2">
      <w:start w:val="1"/>
      <w:numFmt w:val="lowerRoman"/>
      <w:lvlText w:val="%6."/>
      <w:lvlJc w:val="right"/>
      <w:pPr>
        <w:ind w:left="4320" w:hanging="180"/>
      </w:pPr>
    </w:lvl>
    <w:lvl w:ilvl="6" w:tplc="0E74DD10">
      <w:start w:val="1"/>
      <w:numFmt w:val="decimal"/>
      <w:lvlText w:val="%7."/>
      <w:lvlJc w:val="left"/>
      <w:pPr>
        <w:ind w:left="5040" w:hanging="360"/>
      </w:pPr>
    </w:lvl>
    <w:lvl w:ilvl="7" w:tplc="6F5A347E">
      <w:start w:val="1"/>
      <w:numFmt w:val="lowerLetter"/>
      <w:lvlText w:val="%8."/>
      <w:lvlJc w:val="left"/>
      <w:pPr>
        <w:ind w:left="5760" w:hanging="360"/>
      </w:pPr>
    </w:lvl>
    <w:lvl w:ilvl="8" w:tplc="2624AD4C">
      <w:start w:val="1"/>
      <w:numFmt w:val="lowerRoman"/>
      <w:lvlText w:val="%9."/>
      <w:lvlJc w:val="right"/>
      <w:pPr>
        <w:ind w:left="6480" w:hanging="180"/>
      </w:pPr>
    </w:lvl>
  </w:abstractNum>
  <w:abstractNum w:abstractNumId="25" w15:restartNumberingAfterBreak="0">
    <w:nsid w:val="0FB19611"/>
    <w:multiLevelType w:val="hybridMultilevel"/>
    <w:tmpl w:val="5F56D2A6"/>
    <w:lvl w:ilvl="0" w:tplc="BAD894A6">
      <w:start w:val="1"/>
      <w:numFmt w:val="decimal"/>
      <w:lvlText w:val="%1."/>
      <w:lvlJc w:val="left"/>
      <w:pPr>
        <w:ind w:left="577" w:hanging="360"/>
      </w:pPr>
    </w:lvl>
    <w:lvl w:ilvl="1" w:tplc="1EAAD37C">
      <w:start w:val="1"/>
      <w:numFmt w:val="lowerLetter"/>
      <w:lvlText w:val="%2."/>
      <w:lvlJc w:val="left"/>
      <w:pPr>
        <w:ind w:left="1297" w:hanging="360"/>
      </w:pPr>
    </w:lvl>
    <w:lvl w:ilvl="2" w:tplc="B1DA9064">
      <w:start w:val="1"/>
      <w:numFmt w:val="lowerRoman"/>
      <w:lvlText w:val="%3."/>
      <w:lvlJc w:val="right"/>
      <w:pPr>
        <w:ind w:left="2017" w:hanging="180"/>
      </w:pPr>
    </w:lvl>
    <w:lvl w:ilvl="3" w:tplc="D0504A74">
      <w:start w:val="1"/>
      <w:numFmt w:val="decimal"/>
      <w:lvlText w:val="%4."/>
      <w:lvlJc w:val="left"/>
      <w:pPr>
        <w:ind w:left="2737" w:hanging="360"/>
      </w:pPr>
    </w:lvl>
    <w:lvl w:ilvl="4" w:tplc="D9E84DF4">
      <w:start w:val="1"/>
      <w:numFmt w:val="lowerLetter"/>
      <w:lvlText w:val="%5."/>
      <w:lvlJc w:val="left"/>
      <w:pPr>
        <w:ind w:left="3457" w:hanging="360"/>
      </w:pPr>
    </w:lvl>
    <w:lvl w:ilvl="5" w:tplc="FF40D6B6">
      <w:start w:val="1"/>
      <w:numFmt w:val="lowerRoman"/>
      <w:lvlText w:val="%6."/>
      <w:lvlJc w:val="right"/>
      <w:pPr>
        <w:ind w:left="4177" w:hanging="180"/>
      </w:pPr>
    </w:lvl>
    <w:lvl w:ilvl="6" w:tplc="95D69D88">
      <w:start w:val="1"/>
      <w:numFmt w:val="decimal"/>
      <w:lvlText w:val="%7."/>
      <w:lvlJc w:val="left"/>
      <w:pPr>
        <w:ind w:left="4897" w:hanging="360"/>
      </w:pPr>
    </w:lvl>
    <w:lvl w:ilvl="7" w:tplc="D4BAA5BA">
      <w:start w:val="1"/>
      <w:numFmt w:val="lowerLetter"/>
      <w:lvlText w:val="%8."/>
      <w:lvlJc w:val="left"/>
      <w:pPr>
        <w:ind w:left="5617" w:hanging="360"/>
      </w:pPr>
    </w:lvl>
    <w:lvl w:ilvl="8" w:tplc="5608FFF4">
      <w:start w:val="1"/>
      <w:numFmt w:val="lowerRoman"/>
      <w:lvlText w:val="%9."/>
      <w:lvlJc w:val="right"/>
      <w:pPr>
        <w:ind w:left="6337" w:hanging="180"/>
      </w:pPr>
    </w:lvl>
  </w:abstractNum>
  <w:abstractNum w:abstractNumId="26" w15:restartNumberingAfterBreak="0">
    <w:nsid w:val="102E67F3"/>
    <w:multiLevelType w:val="hybridMultilevel"/>
    <w:tmpl w:val="54AE0CFC"/>
    <w:lvl w:ilvl="0" w:tplc="9F1EB912">
      <w:start w:val="1"/>
      <w:numFmt w:val="decimal"/>
      <w:lvlText w:val="%1."/>
      <w:lvlJc w:val="left"/>
      <w:pPr>
        <w:ind w:left="720" w:hanging="360"/>
      </w:pPr>
      <w:rPr>
        <w:rFonts w:hint="default"/>
        <w:b w:val="0"/>
        <w:bCs/>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0D32BFE"/>
    <w:multiLevelType w:val="hybridMultilevel"/>
    <w:tmpl w:val="96D6067C"/>
    <w:lvl w:ilvl="0" w:tplc="D5CEDA34">
      <w:start w:val="1"/>
      <w:numFmt w:val="decimal"/>
      <w:lvlText w:val="%1."/>
      <w:lvlJc w:val="left"/>
      <w:pPr>
        <w:ind w:left="2610" w:hanging="360"/>
      </w:pPr>
      <w:rPr>
        <w:rFonts w:hint="default"/>
        <w:u w:val="none"/>
      </w:rPr>
    </w:lvl>
    <w:lvl w:ilvl="1" w:tplc="FFFFFFFF">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28" w15:restartNumberingAfterBreak="0">
    <w:nsid w:val="11B30ECC"/>
    <w:multiLevelType w:val="hybridMultilevel"/>
    <w:tmpl w:val="1786CDE4"/>
    <w:lvl w:ilvl="0" w:tplc="2822F0D0">
      <w:start w:val="2"/>
      <w:numFmt w:val="decimal"/>
      <w:lvlText w:val="%1."/>
      <w:lvlJc w:val="left"/>
      <w:pPr>
        <w:ind w:left="450" w:hanging="360"/>
      </w:pPr>
    </w:lvl>
    <w:lvl w:ilvl="1" w:tplc="EC506740">
      <w:start w:val="1"/>
      <w:numFmt w:val="lowerLetter"/>
      <w:lvlText w:val="%2."/>
      <w:lvlJc w:val="left"/>
      <w:pPr>
        <w:ind w:left="1170" w:hanging="360"/>
      </w:pPr>
    </w:lvl>
    <w:lvl w:ilvl="2" w:tplc="9D1A76D6">
      <w:start w:val="1"/>
      <w:numFmt w:val="lowerRoman"/>
      <w:lvlText w:val="%3."/>
      <w:lvlJc w:val="right"/>
      <w:pPr>
        <w:ind w:left="1890" w:hanging="180"/>
      </w:pPr>
    </w:lvl>
    <w:lvl w:ilvl="3" w:tplc="65386A66">
      <w:start w:val="1"/>
      <w:numFmt w:val="decimal"/>
      <w:lvlText w:val="%4."/>
      <w:lvlJc w:val="left"/>
      <w:pPr>
        <w:ind w:left="2610" w:hanging="360"/>
      </w:pPr>
    </w:lvl>
    <w:lvl w:ilvl="4" w:tplc="45A06BBC">
      <w:start w:val="1"/>
      <w:numFmt w:val="lowerLetter"/>
      <w:lvlText w:val="%5."/>
      <w:lvlJc w:val="left"/>
      <w:pPr>
        <w:ind w:left="3330" w:hanging="360"/>
      </w:pPr>
    </w:lvl>
    <w:lvl w:ilvl="5" w:tplc="90B04AD0">
      <w:start w:val="1"/>
      <w:numFmt w:val="lowerRoman"/>
      <w:lvlText w:val="%6."/>
      <w:lvlJc w:val="right"/>
      <w:pPr>
        <w:ind w:left="4050" w:hanging="180"/>
      </w:pPr>
    </w:lvl>
    <w:lvl w:ilvl="6" w:tplc="8E0834CE">
      <w:start w:val="1"/>
      <w:numFmt w:val="decimal"/>
      <w:lvlText w:val="%7."/>
      <w:lvlJc w:val="left"/>
      <w:pPr>
        <w:ind w:left="4770" w:hanging="360"/>
      </w:pPr>
    </w:lvl>
    <w:lvl w:ilvl="7" w:tplc="5168629C">
      <w:start w:val="1"/>
      <w:numFmt w:val="lowerLetter"/>
      <w:lvlText w:val="%8."/>
      <w:lvlJc w:val="left"/>
      <w:pPr>
        <w:ind w:left="5490" w:hanging="360"/>
      </w:pPr>
    </w:lvl>
    <w:lvl w:ilvl="8" w:tplc="6A8E3152">
      <w:start w:val="1"/>
      <w:numFmt w:val="lowerRoman"/>
      <w:lvlText w:val="%9."/>
      <w:lvlJc w:val="right"/>
      <w:pPr>
        <w:ind w:left="6210" w:hanging="180"/>
      </w:pPr>
    </w:lvl>
  </w:abstractNum>
  <w:abstractNum w:abstractNumId="29" w15:restartNumberingAfterBreak="0">
    <w:nsid w:val="11D1403F"/>
    <w:multiLevelType w:val="multilevel"/>
    <w:tmpl w:val="03FA0F18"/>
    <w:name w:val="Number"/>
    <w:lvl w:ilvl="0">
      <w:start w:val="1"/>
      <w:numFmt w:val="decimal"/>
      <w:pStyle w:val="Number"/>
      <w:lvlText w:val="%1."/>
      <w:lvlJc w:val="left"/>
      <w:pPr>
        <w:ind w:left="2520" w:hanging="360"/>
      </w:pPr>
    </w:lvl>
    <w:lvl w:ilvl="1">
      <w:start w:val="1"/>
      <w:numFmt w:val="decimal"/>
      <w:pStyle w:val="Number2"/>
      <w:lvlText w:val="%1.%2."/>
      <w:lvlJc w:val="left"/>
      <w:pPr>
        <w:ind w:left="2952" w:hanging="432"/>
      </w:pPr>
    </w:lvl>
    <w:lvl w:ilvl="2">
      <w:start w:val="1"/>
      <w:numFmt w:val="decimal"/>
      <w:pStyle w:val="Number3"/>
      <w:lvlText w:val="%1.%2.%3."/>
      <w:lvlJc w:val="left"/>
      <w:pPr>
        <w:ind w:left="3384" w:hanging="504"/>
      </w:pPr>
    </w:lvl>
    <w:lvl w:ilvl="3">
      <w:start w:val="1"/>
      <w:numFmt w:val="decimal"/>
      <w:lvlText w:val="%1.%2.%3.%4."/>
      <w:lvlJc w:val="left"/>
      <w:pPr>
        <w:ind w:left="3888" w:hanging="648"/>
      </w:pPr>
    </w:lvl>
    <w:lvl w:ilvl="4">
      <w:start w:val="1"/>
      <w:numFmt w:val="decimal"/>
      <w:lvlText w:val="1.%5"/>
      <w:lvlJc w:val="left"/>
      <w:pPr>
        <w:ind w:left="4392" w:hanging="792"/>
      </w:pPr>
    </w:lvl>
    <w:lvl w:ilvl="5">
      <w:start w:val="1"/>
      <w:numFmt w:val="decimal"/>
      <w:lvlText w:val="%1.%2.%3.%4.%5.%6."/>
      <w:lvlJc w:val="left"/>
      <w:pPr>
        <w:ind w:left="4896" w:hanging="936"/>
      </w:pPr>
    </w:lvl>
    <w:lvl w:ilvl="6">
      <w:start w:val="1"/>
      <w:numFmt w:val="decimal"/>
      <w:lvlText w:val="%1.%2.%3.%4.%5.%6.%7."/>
      <w:lvlJc w:val="left"/>
      <w:pPr>
        <w:ind w:left="5400" w:hanging="1080"/>
      </w:pPr>
    </w:lvl>
    <w:lvl w:ilvl="7">
      <w:start w:val="1"/>
      <w:numFmt w:val="decimal"/>
      <w:lvlText w:val="%1.%2.%3.%4.%5.%6.%7.%8."/>
      <w:lvlJc w:val="left"/>
      <w:pPr>
        <w:ind w:left="5904" w:hanging="1224"/>
      </w:pPr>
    </w:lvl>
    <w:lvl w:ilvl="8">
      <w:start w:val="1"/>
      <w:numFmt w:val="decimal"/>
      <w:lvlText w:val="%1.%2.%3.%4.%5.%6.%7.%8.%9."/>
      <w:lvlJc w:val="left"/>
      <w:pPr>
        <w:ind w:left="6480" w:hanging="1440"/>
      </w:pPr>
    </w:lvl>
  </w:abstractNum>
  <w:abstractNum w:abstractNumId="30" w15:restartNumberingAfterBreak="0">
    <w:nsid w:val="1213DFCA"/>
    <w:multiLevelType w:val="hybridMultilevel"/>
    <w:tmpl w:val="5C9AD528"/>
    <w:lvl w:ilvl="0" w:tplc="EDA2FD1E">
      <w:start w:val="5"/>
      <w:numFmt w:val="lowerLetter"/>
      <w:lvlText w:val="%1."/>
      <w:lvlJc w:val="left"/>
      <w:pPr>
        <w:ind w:left="504" w:hanging="360"/>
      </w:pPr>
    </w:lvl>
    <w:lvl w:ilvl="1" w:tplc="0BC4CDDE">
      <w:start w:val="1"/>
      <w:numFmt w:val="lowerLetter"/>
      <w:lvlText w:val="%2."/>
      <w:lvlJc w:val="left"/>
      <w:pPr>
        <w:ind w:left="1224" w:hanging="360"/>
      </w:pPr>
    </w:lvl>
    <w:lvl w:ilvl="2" w:tplc="6D443904">
      <w:start w:val="1"/>
      <w:numFmt w:val="lowerRoman"/>
      <w:lvlText w:val="%3."/>
      <w:lvlJc w:val="right"/>
      <w:pPr>
        <w:ind w:left="1944" w:hanging="180"/>
      </w:pPr>
    </w:lvl>
    <w:lvl w:ilvl="3" w:tplc="C36EFAF4">
      <w:start w:val="1"/>
      <w:numFmt w:val="decimal"/>
      <w:lvlText w:val="%4."/>
      <w:lvlJc w:val="left"/>
      <w:pPr>
        <w:ind w:left="2664" w:hanging="360"/>
      </w:pPr>
    </w:lvl>
    <w:lvl w:ilvl="4" w:tplc="14AC7B4A">
      <w:start w:val="1"/>
      <w:numFmt w:val="lowerLetter"/>
      <w:lvlText w:val="%5."/>
      <w:lvlJc w:val="left"/>
      <w:pPr>
        <w:ind w:left="3384" w:hanging="360"/>
      </w:pPr>
    </w:lvl>
    <w:lvl w:ilvl="5" w:tplc="452E6C0E">
      <w:start w:val="1"/>
      <w:numFmt w:val="lowerRoman"/>
      <w:lvlText w:val="%6."/>
      <w:lvlJc w:val="right"/>
      <w:pPr>
        <w:ind w:left="4104" w:hanging="180"/>
      </w:pPr>
    </w:lvl>
    <w:lvl w:ilvl="6" w:tplc="D37E0224">
      <w:start w:val="1"/>
      <w:numFmt w:val="decimal"/>
      <w:lvlText w:val="%7."/>
      <w:lvlJc w:val="left"/>
      <w:pPr>
        <w:ind w:left="4824" w:hanging="360"/>
      </w:pPr>
    </w:lvl>
    <w:lvl w:ilvl="7" w:tplc="72F213DA">
      <w:start w:val="1"/>
      <w:numFmt w:val="lowerLetter"/>
      <w:lvlText w:val="%8."/>
      <w:lvlJc w:val="left"/>
      <w:pPr>
        <w:ind w:left="5544" w:hanging="360"/>
      </w:pPr>
    </w:lvl>
    <w:lvl w:ilvl="8" w:tplc="F7D2E1C4">
      <w:start w:val="1"/>
      <w:numFmt w:val="lowerRoman"/>
      <w:lvlText w:val="%9."/>
      <w:lvlJc w:val="right"/>
      <w:pPr>
        <w:ind w:left="6264" w:hanging="180"/>
      </w:pPr>
    </w:lvl>
  </w:abstractNum>
  <w:abstractNum w:abstractNumId="31" w15:restartNumberingAfterBreak="0">
    <w:nsid w:val="12152E20"/>
    <w:multiLevelType w:val="hybridMultilevel"/>
    <w:tmpl w:val="BEBCEAAE"/>
    <w:lvl w:ilvl="0" w:tplc="A9A21536">
      <w:start w:val="1"/>
      <w:numFmt w:val="lowerLetter"/>
      <w:lvlText w:val="%1)"/>
      <w:lvlJc w:val="left"/>
      <w:pPr>
        <w:ind w:left="1710" w:hanging="360"/>
      </w:pPr>
      <w:rPr>
        <w:u w:val="single"/>
      </w:rPr>
    </w:lvl>
    <w:lvl w:ilvl="1" w:tplc="D354C938">
      <w:start w:val="1"/>
      <w:numFmt w:val="lowerLetter"/>
      <w:lvlText w:val="%2."/>
      <w:lvlJc w:val="left"/>
      <w:pPr>
        <w:ind w:left="1440" w:hanging="360"/>
      </w:pPr>
    </w:lvl>
    <w:lvl w:ilvl="2" w:tplc="F4DAFEF4">
      <w:start w:val="1"/>
      <w:numFmt w:val="lowerRoman"/>
      <w:lvlText w:val="%3."/>
      <w:lvlJc w:val="right"/>
      <w:pPr>
        <w:ind w:left="2160" w:hanging="180"/>
      </w:pPr>
    </w:lvl>
    <w:lvl w:ilvl="3" w:tplc="5CEE981E">
      <w:start w:val="1"/>
      <w:numFmt w:val="decimal"/>
      <w:lvlText w:val="%4."/>
      <w:lvlJc w:val="left"/>
      <w:pPr>
        <w:ind w:left="2880" w:hanging="360"/>
      </w:pPr>
    </w:lvl>
    <w:lvl w:ilvl="4" w:tplc="2A2EB3F2">
      <w:start w:val="1"/>
      <w:numFmt w:val="lowerLetter"/>
      <w:lvlText w:val="%5."/>
      <w:lvlJc w:val="left"/>
      <w:pPr>
        <w:ind w:left="3600" w:hanging="360"/>
      </w:pPr>
    </w:lvl>
    <w:lvl w:ilvl="5" w:tplc="CE5E9CC2">
      <w:start w:val="1"/>
      <w:numFmt w:val="lowerRoman"/>
      <w:lvlText w:val="%6."/>
      <w:lvlJc w:val="right"/>
      <w:pPr>
        <w:ind w:left="4320" w:hanging="180"/>
      </w:pPr>
    </w:lvl>
    <w:lvl w:ilvl="6" w:tplc="4CFA85A8">
      <w:start w:val="1"/>
      <w:numFmt w:val="decimal"/>
      <w:lvlText w:val="%7."/>
      <w:lvlJc w:val="left"/>
      <w:pPr>
        <w:ind w:left="5040" w:hanging="360"/>
      </w:pPr>
    </w:lvl>
    <w:lvl w:ilvl="7" w:tplc="EC7ABD6C">
      <w:start w:val="1"/>
      <w:numFmt w:val="lowerLetter"/>
      <w:lvlText w:val="%8."/>
      <w:lvlJc w:val="left"/>
      <w:pPr>
        <w:ind w:left="5760" w:hanging="360"/>
      </w:pPr>
    </w:lvl>
    <w:lvl w:ilvl="8" w:tplc="8DE2AD6E">
      <w:start w:val="1"/>
      <w:numFmt w:val="lowerRoman"/>
      <w:lvlText w:val="%9."/>
      <w:lvlJc w:val="right"/>
      <w:pPr>
        <w:ind w:left="6480" w:hanging="180"/>
      </w:pPr>
    </w:lvl>
  </w:abstractNum>
  <w:abstractNum w:abstractNumId="32" w15:restartNumberingAfterBreak="0">
    <w:nsid w:val="130F5740"/>
    <w:multiLevelType w:val="multilevel"/>
    <w:tmpl w:val="D8908A0E"/>
    <w:lvl w:ilvl="0">
      <w:start w:val="1"/>
      <w:numFmt w:val="decimal"/>
      <w:lvlText w:val="%1."/>
      <w:lvlJc w:val="left"/>
      <w:pPr>
        <w:ind w:left="2160" w:hanging="360"/>
      </w:pPr>
      <w:rPr>
        <w:u w:val="single"/>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33" w15:restartNumberingAfterBreak="0">
    <w:nsid w:val="16069FE8"/>
    <w:multiLevelType w:val="hybridMultilevel"/>
    <w:tmpl w:val="44AE1A6E"/>
    <w:lvl w:ilvl="0" w:tplc="40BCFD2A">
      <w:start w:val="1"/>
      <w:numFmt w:val="lowerLetter"/>
      <w:lvlText w:val="%1."/>
      <w:lvlJc w:val="left"/>
      <w:pPr>
        <w:ind w:left="720" w:hanging="360"/>
      </w:pPr>
    </w:lvl>
    <w:lvl w:ilvl="1" w:tplc="F3EA0D10">
      <w:start w:val="1"/>
      <w:numFmt w:val="decimal"/>
      <w:lvlText w:val="%2."/>
      <w:lvlJc w:val="left"/>
      <w:pPr>
        <w:ind w:left="1440" w:hanging="360"/>
      </w:pPr>
    </w:lvl>
    <w:lvl w:ilvl="2" w:tplc="7DC2ECAC">
      <w:start w:val="1"/>
      <w:numFmt w:val="decimal"/>
      <w:lvlText w:val="%3."/>
      <w:lvlJc w:val="left"/>
      <w:pPr>
        <w:ind w:left="2160" w:hanging="180"/>
      </w:pPr>
    </w:lvl>
    <w:lvl w:ilvl="3" w:tplc="4122240A">
      <w:start w:val="1"/>
      <w:numFmt w:val="decimal"/>
      <w:lvlText w:val="%4."/>
      <w:lvlJc w:val="left"/>
      <w:pPr>
        <w:ind w:left="2880" w:hanging="360"/>
      </w:pPr>
    </w:lvl>
    <w:lvl w:ilvl="4" w:tplc="D4C89122">
      <w:start w:val="1"/>
      <w:numFmt w:val="lowerLetter"/>
      <w:lvlText w:val="%5."/>
      <w:lvlJc w:val="left"/>
      <w:pPr>
        <w:ind w:left="3600" w:hanging="360"/>
      </w:pPr>
    </w:lvl>
    <w:lvl w:ilvl="5" w:tplc="39644330">
      <w:start w:val="1"/>
      <w:numFmt w:val="lowerRoman"/>
      <w:lvlText w:val="%6."/>
      <w:lvlJc w:val="right"/>
      <w:pPr>
        <w:ind w:left="4320" w:hanging="180"/>
      </w:pPr>
    </w:lvl>
    <w:lvl w:ilvl="6" w:tplc="E39211B0">
      <w:start w:val="1"/>
      <w:numFmt w:val="decimal"/>
      <w:lvlText w:val="%7."/>
      <w:lvlJc w:val="left"/>
      <w:pPr>
        <w:ind w:left="5040" w:hanging="360"/>
      </w:pPr>
    </w:lvl>
    <w:lvl w:ilvl="7" w:tplc="013EFCAA">
      <w:start w:val="1"/>
      <w:numFmt w:val="lowerLetter"/>
      <w:lvlText w:val="%8."/>
      <w:lvlJc w:val="left"/>
      <w:pPr>
        <w:ind w:left="5760" w:hanging="360"/>
      </w:pPr>
    </w:lvl>
    <w:lvl w:ilvl="8" w:tplc="B1FCA2CA">
      <w:start w:val="1"/>
      <w:numFmt w:val="lowerRoman"/>
      <w:lvlText w:val="%9."/>
      <w:lvlJc w:val="right"/>
      <w:pPr>
        <w:ind w:left="6480" w:hanging="180"/>
      </w:pPr>
    </w:lvl>
  </w:abstractNum>
  <w:abstractNum w:abstractNumId="34" w15:restartNumberingAfterBreak="0">
    <w:nsid w:val="162410A6"/>
    <w:multiLevelType w:val="hybridMultilevel"/>
    <w:tmpl w:val="26AE392C"/>
    <w:lvl w:ilvl="0" w:tplc="D852399E">
      <w:start w:val="1"/>
      <w:numFmt w:val="decimal"/>
      <w:lvlText w:val="%1."/>
      <w:lvlJc w:val="left"/>
      <w:pPr>
        <w:ind w:left="1800" w:hanging="360"/>
      </w:pPr>
      <w:rPr>
        <w:color w:val="auto"/>
        <w:u w:val="singl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16FB60E2"/>
    <w:multiLevelType w:val="multilevel"/>
    <w:tmpl w:val="003092BA"/>
    <w:lvl w:ilvl="0">
      <w:start w:val="1"/>
      <w:numFmt w:val="decimal"/>
      <w:lvlText w:val="%1."/>
      <w:lvlJc w:val="left"/>
      <w:pPr>
        <w:ind w:left="1530" w:hanging="360"/>
      </w:pPr>
      <w:rPr>
        <w:b w:val="0"/>
        <w:u w:val="single"/>
      </w:rPr>
    </w:lvl>
    <w:lvl w:ilvl="1">
      <w:start w:val="1"/>
      <w:numFmt w:val="lowerLetter"/>
      <w:lvlText w:val="%2."/>
      <w:lvlJc w:val="left"/>
      <w:pPr>
        <w:ind w:left="2250" w:hanging="360"/>
      </w:pPr>
    </w:lvl>
    <w:lvl w:ilvl="2">
      <w:start w:val="1"/>
      <w:numFmt w:val="lowerRoman"/>
      <w:lvlText w:val="%3."/>
      <w:lvlJc w:val="right"/>
      <w:pPr>
        <w:ind w:left="2970" w:hanging="180"/>
      </w:pPr>
    </w:lvl>
    <w:lvl w:ilvl="3">
      <w:start w:val="1"/>
      <w:numFmt w:val="decimal"/>
      <w:lvlText w:val="%4."/>
      <w:lvlJc w:val="left"/>
      <w:pPr>
        <w:ind w:left="3690" w:hanging="360"/>
      </w:pPr>
    </w:lvl>
    <w:lvl w:ilvl="4">
      <w:start w:val="1"/>
      <w:numFmt w:val="lowerLetter"/>
      <w:lvlText w:val="%5."/>
      <w:lvlJc w:val="left"/>
      <w:pPr>
        <w:ind w:left="4410" w:hanging="360"/>
      </w:pPr>
    </w:lvl>
    <w:lvl w:ilvl="5">
      <w:start w:val="1"/>
      <w:numFmt w:val="lowerRoman"/>
      <w:lvlText w:val="%6."/>
      <w:lvlJc w:val="right"/>
      <w:pPr>
        <w:ind w:left="5130" w:hanging="180"/>
      </w:pPr>
    </w:lvl>
    <w:lvl w:ilvl="6">
      <w:start w:val="1"/>
      <w:numFmt w:val="decimal"/>
      <w:lvlText w:val="%7."/>
      <w:lvlJc w:val="left"/>
      <w:pPr>
        <w:ind w:left="5850" w:hanging="360"/>
      </w:pPr>
    </w:lvl>
    <w:lvl w:ilvl="7">
      <w:start w:val="1"/>
      <w:numFmt w:val="lowerLetter"/>
      <w:lvlText w:val="%8."/>
      <w:lvlJc w:val="left"/>
      <w:pPr>
        <w:ind w:left="6570" w:hanging="360"/>
      </w:pPr>
    </w:lvl>
    <w:lvl w:ilvl="8">
      <w:start w:val="1"/>
      <w:numFmt w:val="lowerRoman"/>
      <w:lvlText w:val="%9."/>
      <w:lvlJc w:val="right"/>
      <w:pPr>
        <w:ind w:left="7290" w:hanging="180"/>
      </w:pPr>
    </w:lvl>
  </w:abstractNum>
  <w:abstractNum w:abstractNumId="36" w15:restartNumberingAfterBreak="0">
    <w:nsid w:val="17F13C9D"/>
    <w:multiLevelType w:val="multilevel"/>
    <w:tmpl w:val="2B640CBC"/>
    <w:lvl w:ilvl="0">
      <w:start w:val="1"/>
      <w:numFmt w:val="decimal"/>
      <w:lvlText w:val="%1."/>
      <w:lvlJc w:val="left"/>
      <w:pPr>
        <w:tabs>
          <w:tab w:val="num" w:pos="1440"/>
        </w:tabs>
        <w:ind w:left="1440" w:hanging="360"/>
      </w:pPr>
      <w:rPr>
        <w:u w:val="single"/>
      </w:rPr>
    </w:lvl>
    <w:lvl w:ilvl="1">
      <w:start w:val="1"/>
      <w:numFmt w:val="decimal"/>
      <w:lvlText w:val="%2."/>
      <w:lvlJc w:val="left"/>
      <w:pPr>
        <w:tabs>
          <w:tab w:val="num" w:pos="1800"/>
        </w:tabs>
        <w:ind w:left="180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240"/>
        </w:tabs>
        <w:ind w:left="3240" w:hanging="360"/>
      </w:pPr>
    </w:lvl>
    <w:lvl w:ilvl="6">
      <w:start w:val="1"/>
      <w:numFmt w:val="decimal"/>
      <w:lvlText w:val="%7."/>
      <w:lvlJc w:val="left"/>
      <w:pPr>
        <w:tabs>
          <w:tab w:val="num" w:pos="3600"/>
        </w:tabs>
        <w:ind w:left="3600" w:hanging="360"/>
      </w:pPr>
    </w:lvl>
    <w:lvl w:ilvl="7">
      <w:start w:val="1"/>
      <w:numFmt w:val="decimal"/>
      <w:lvlText w:val="%8."/>
      <w:lvlJc w:val="left"/>
      <w:pPr>
        <w:tabs>
          <w:tab w:val="num" w:pos="3960"/>
        </w:tabs>
        <w:ind w:left="3960" w:hanging="360"/>
      </w:pPr>
    </w:lvl>
    <w:lvl w:ilvl="8">
      <w:start w:val="1"/>
      <w:numFmt w:val="decimal"/>
      <w:lvlText w:val="%9."/>
      <w:lvlJc w:val="left"/>
      <w:pPr>
        <w:tabs>
          <w:tab w:val="num" w:pos="4320"/>
        </w:tabs>
        <w:ind w:left="4320" w:hanging="360"/>
      </w:pPr>
    </w:lvl>
  </w:abstractNum>
  <w:abstractNum w:abstractNumId="37" w15:restartNumberingAfterBreak="0">
    <w:nsid w:val="18106520"/>
    <w:multiLevelType w:val="hybridMultilevel"/>
    <w:tmpl w:val="FFFFFFFF"/>
    <w:lvl w:ilvl="0" w:tplc="8112F73C">
      <w:start w:val="1"/>
      <w:numFmt w:val="decimal"/>
      <w:lvlText w:val="%1."/>
      <w:lvlJc w:val="left"/>
      <w:pPr>
        <w:ind w:left="720" w:hanging="360"/>
      </w:pPr>
    </w:lvl>
    <w:lvl w:ilvl="1" w:tplc="7BC22D58">
      <w:start w:val="1"/>
      <w:numFmt w:val="decimal"/>
      <w:lvlText w:val="%2."/>
      <w:lvlJc w:val="left"/>
      <w:pPr>
        <w:ind w:left="1440" w:hanging="360"/>
      </w:pPr>
    </w:lvl>
    <w:lvl w:ilvl="2" w:tplc="F56260C6">
      <w:start w:val="1"/>
      <w:numFmt w:val="lowerRoman"/>
      <w:lvlText w:val="%3."/>
      <w:lvlJc w:val="right"/>
      <w:pPr>
        <w:ind w:left="2160" w:hanging="180"/>
      </w:pPr>
    </w:lvl>
    <w:lvl w:ilvl="3" w:tplc="04F46EF8">
      <w:start w:val="1"/>
      <w:numFmt w:val="decimal"/>
      <w:lvlText w:val="%4."/>
      <w:lvlJc w:val="left"/>
      <w:pPr>
        <w:ind w:left="2880" w:hanging="360"/>
      </w:pPr>
    </w:lvl>
    <w:lvl w:ilvl="4" w:tplc="BAD8956C">
      <w:start w:val="1"/>
      <w:numFmt w:val="lowerLetter"/>
      <w:lvlText w:val="%5."/>
      <w:lvlJc w:val="left"/>
      <w:pPr>
        <w:ind w:left="3600" w:hanging="360"/>
      </w:pPr>
    </w:lvl>
    <w:lvl w:ilvl="5" w:tplc="BCE89226">
      <w:start w:val="1"/>
      <w:numFmt w:val="lowerRoman"/>
      <w:lvlText w:val="%6."/>
      <w:lvlJc w:val="right"/>
      <w:pPr>
        <w:ind w:left="4320" w:hanging="180"/>
      </w:pPr>
    </w:lvl>
    <w:lvl w:ilvl="6" w:tplc="4E706E02">
      <w:start w:val="1"/>
      <w:numFmt w:val="decimal"/>
      <w:lvlText w:val="%7."/>
      <w:lvlJc w:val="left"/>
      <w:pPr>
        <w:ind w:left="5040" w:hanging="360"/>
      </w:pPr>
    </w:lvl>
    <w:lvl w:ilvl="7" w:tplc="9DCC45B0">
      <w:start w:val="1"/>
      <w:numFmt w:val="lowerLetter"/>
      <w:lvlText w:val="%8."/>
      <w:lvlJc w:val="left"/>
      <w:pPr>
        <w:ind w:left="5760" w:hanging="360"/>
      </w:pPr>
    </w:lvl>
    <w:lvl w:ilvl="8" w:tplc="CA28E02C">
      <w:start w:val="1"/>
      <w:numFmt w:val="lowerRoman"/>
      <w:lvlText w:val="%9."/>
      <w:lvlJc w:val="right"/>
      <w:pPr>
        <w:ind w:left="6480" w:hanging="180"/>
      </w:pPr>
    </w:lvl>
  </w:abstractNum>
  <w:abstractNum w:abstractNumId="38" w15:restartNumberingAfterBreak="0">
    <w:nsid w:val="195623B3"/>
    <w:multiLevelType w:val="multilevel"/>
    <w:tmpl w:val="CA2CB866"/>
    <w:lvl w:ilvl="0">
      <w:start w:val="1"/>
      <w:numFmt w:val="decimal"/>
      <w:lvlText w:val="%1."/>
      <w:lvlJc w:val="left"/>
      <w:pPr>
        <w:ind w:left="1260" w:hanging="360"/>
      </w:pPr>
      <w:rPr>
        <w:u w:val="single"/>
      </w:rPr>
    </w:lvl>
    <w:lvl w:ilvl="1">
      <w:start w:val="1"/>
      <w:numFmt w:val="lowerLetter"/>
      <w:lvlText w:val="%2."/>
      <w:lvlJc w:val="left"/>
      <w:pPr>
        <w:ind w:left="2340" w:hanging="360"/>
      </w:pPr>
    </w:lvl>
    <w:lvl w:ilvl="2">
      <w:start w:val="1"/>
      <w:numFmt w:val="lowerRoman"/>
      <w:lvlText w:val="%3."/>
      <w:lvlJc w:val="right"/>
      <w:pPr>
        <w:ind w:left="3060" w:hanging="180"/>
      </w:pPr>
    </w:lvl>
    <w:lvl w:ilvl="3">
      <w:start w:val="1"/>
      <w:numFmt w:val="decimal"/>
      <w:lvlText w:val="%4."/>
      <w:lvlJc w:val="left"/>
      <w:pPr>
        <w:ind w:left="3780" w:hanging="360"/>
      </w:pPr>
    </w:lvl>
    <w:lvl w:ilvl="4">
      <w:start w:val="1"/>
      <w:numFmt w:val="lowerLetter"/>
      <w:lvlText w:val="%5."/>
      <w:lvlJc w:val="left"/>
      <w:pPr>
        <w:ind w:left="4500" w:hanging="360"/>
      </w:pPr>
    </w:lvl>
    <w:lvl w:ilvl="5">
      <w:start w:val="1"/>
      <w:numFmt w:val="lowerRoman"/>
      <w:lvlText w:val="%6."/>
      <w:lvlJc w:val="right"/>
      <w:pPr>
        <w:ind w:left="5220" w:hanging="180"/>
      </w:pPr>
    </w:lvl>
    <w:lvl w:ilvl="6">
      <w:start w:val="1"/>
      <w:numFmt w:val="decimal"/>
      <w:lvlText w:val="%7."/>
      <w:lvlJc w:val="left"/>
      <w:pPr>
        <w:ind w:left="5940" w:hanging="360"/>
      </w:pPr>
    </w:lvl>
    <w:lvl w:ilvl="7">
      <w:start w:val="1"/>
      <w:numFmt w:val="lowerLetter"/>
      <w:lvlText w:val="%8."/>
      <w:lvlJc w:val="left"/>
      <w:pPr>
        <w:ind w:left="6660" w:hanging="360"/>
      </w:pPr>
    </w:lvl>
    <w:lvl w:ilvl="8">
      <w:start w:val="1"/>
      <w:numFmt w:val="lowerRoman"/>
      <w:lvlText w:val="%9."/>
      <w:lvlJc w:val="right"/>
      <w:pPr>
        <w:ind w:left="7380" w:hanging="180"/>
      </w:pPr>
    </w:lvl>
  </w:abstractNum>
  <w:abstractNum w:abstractNumId="39" w15:restartNumberingAfterBreak="0">
    <w:nsid w:val="1A1D01D4"/>
    <w:multiLevelType w:val="multilevel"/>
    <w:tmpl w:val="7BF288F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1AF43F24"/>
    <w:multiLevelType w:val="hybridMultilevel"/>
    <w:tmpl w:val="03842B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EDA19F8"/>
    <w:multiLevelType w:val="hybridMultilevel"/>
    <w:tmpl w:val="DBB0AE96"/>
    <w:lvl w:ilvl="0" w:tplc="62363144">
      <w:start w:val="2"/>
      <w:numFmt w:val="lowerLetter"/>
      <w:lvlText w:val="%1."/>
      <w:lvlJc w:val="left"/>
      <w:pPr>
        <w:ind w:left="1458" w:hanging="360"/>
      </w:pPr>
    </w:lvl>
    <w:lvl w:ilvl="1" w:tplc="8328398E">
      <w:start w:val="1"/>
      <w:numFmt w:val="lowerLetter"/>
      <w:lvlText w:val="%2."/>
      <w:lvlJc w:val="left"/>
      <w:pPr>
        <w:ind w:left="2178" w:hanging="360"/>
      </w:pPr>
    </w:lvl>
    <w:lvl w:ilvl="2" w:tplc="55A4F35A">
      <w:start w:val="1"/>
      <w:numFmt w:val="lowerRoman"/>
      <w:lvlText w:val="%3."/>
      <w:lvlJc w:val="right"/>
      <w:pPr>
        <w:ind w:left="2898" w:hanging="180"/>
      </w:pPr>
    </w:lvl>
    <w:lvl w:ilvl="3" w:tplc="89A27ED8">
      <w:start w:val="1"/>
      <w:numFmt w:val="decimal"/>
      <w:lvlText w:val="%4."/>
      <w:lvlJc w:val="left"/>
      <w:pPr>
        <w:ind w:left="3618" w:hanging="360"/>
      </w:pPr>
    </w:lvl>
    <w:lvl w:ilvl="4" w:tplc="8FC63594">
      <w:start w:val="1"/>
      <w:numFmt w:val="lowerLetter"/>
      <w:lvlText w:val="%5."/>
      <w:lvlJc w:val="left"/>
      <w:pPr>
        <w:ind w:left="4338" w:hanging="360"/>
      </w:pPr>
    </w:lvl>
    <w:lvl w:ilvl="5" w:tplc="BAF26D22">
      <w:start w:val="1"/>
      <w:numFmt w:val="lowerRoman"/>
      <w:lvlText w:val="%6."/>
      <w:lvlJc w:val="right"/>
      <w:pPr>
        <w:ind w:left="5058" w:hanging="180"/>
      </w:pPr>
    </w:lvl>
    <w:lvl w:ilvl="6" w:tplc="521C87DE">
      <w:start w:val="1"/>
      <w:numFmt w:val="decimal"/>
      <w:lvlText w:val="%7."/>
      <w:lvlJc w:val="left"/>
      <w:pPr>
        <w:ind w:left="5778" w:hanging="360"/>
      </w:pPr>
    </w:lvl>
    <w:lvl w:ilvl="7" w:tplc="C1264020">
      <w:start w:val="1"/>
      <w:numFmt w:val="lowerLetter"/>
      <w:lvlText w:val="%8."/>
      <w:lvlJc w:val="left"/>
      <w:pPr>
        <w:ind w:left="6498" w:hanging="360"/>
      </w:pPr>
    </w:lvl>
    <w:lvl w:ilvl="8" w:tplc="749CEE72">
      <w:start w:val="1"/>
      <w:numFmt w:val="lowerRoman"/>
      <w:lvlText w:val="%9."/>
      <w:lvlJc w:val="right"/>
      <w:pPr>
        <w:ind w:left="7218" w:hanging="180"/>
      </w:pPr>
    </w:lvl>
  </w:abstractNum>
  <w:abstractNum w:abstractNumId="42" w15:restartNumberingAfterBreak="0">
    <w:nsid w:val="1F251E57"/>
    <w:multiLevelType w:val="hybridMultilevel"/>
    <w:tmpl w:val="420C2652"/>
    <w:lvl w:ilvl="0" w:tplc="6C346708">
      <w:start w:val="1"/>
      <w:numFmt w:val="lowerLetter"/>
      <w:lvlText w:val="%1."/>
      <w:lvlJc w:val="left"/>
      <w:pPr>
        <w:ind w:left="1458" w:hanging="360"/>
      </w:pPr>
    </w:lvl>
    <w:lvl w:ilvl="1" w:tplc="1B609BE0">
      <w:start w:val="1"/>
      <w:numFmt w:val="lowerLetter"/>
      <w:lvlText w:val="%2."/>
      <w:lvlJc w:val="left"/>
      <w:pPr>
        <w:ind w:left="2178" w:hanging="360"/>
      </w:pPr>
    </w:lvl>
    <w:lvl w:ilvl="2" w:tplc="7E46EBE8">
      <w:start w:val="1"/>
      <w:numFmt w:val="lowerRoman"/>
      <w:lvlText w:val="%3."/>
      <w:lvlJc w:val="right"/>
      <w:pPr>
        <w:ind w:left="2898" w:hanging="180"/>
      </w:pPr>
    </w:lvl>
    <w:lvl w:ilvl="3" w:tplc="AD16A0C8">
      <w:start w:val="1"/>
      <w:numFmt w:val="decimal"/>
      <w:lvlText w:val="%4."/>
      <w:lvlJc w:val="left"/>
      <w:pPr>
        <w:ind w:left="3618" w:hanging="360"/>
      </w:pPr>
    </w:lvl>
    <w:lvl w:ilvl="4" w:tplc="A3A0CCE8">
      <w:start w:val="1"/>
      <w:numFmt w:val="lowerLetter"/>
      <w:lvlText w:val="%5."/>
      <w:lvlJc w:val="left"/>
      <w:pPr>
        <w:ind w:left="4338" w:hanging="360"/>
      </w:pPr>
    </w:lvl>
    <w:lvl w:ilvl="5" w:tplc="60484976">
      <w:start w:val="1"/>
      <w:numFmt w:val="lowerRoman"/>
      <w:lvlText w:val="%6."/>
      <w:lvlJc w:val="right"/>
      <w:pPr>
        <w:ind w:left="5058" w:hanging="180"/>
      </w:pPr>
    </w:lvl>
    <w:lvl w:ilvl="6" w:tplc="B16E38C8">
      <w:start w:val="1"/>
      <w:numFmt w:val="decimal"/>
      <w:lvlText w:val="%7."/>
      <w:lvlJc w:val="left"/>
      <w:pPr>
        <w:ind w:left="5778" w:hanging="360"/>
      </w:pPr>
    </w:lvl>
    <w:lvl w:ilvl="7" w:tplc="9AB81BA2">
      <w:start w:val="1"/>
      <w:numFmt w:val="lowerLetter"/>
      <w:lvlText w:val="%8."/>
      <w:lvlJc w:val="left"/>
      <w:pPr>
        <w:ind w:left="6498" w:hanging="360"/>
      </w:pPr>
    </w:lvl>
    <w:lvl w:ilvl="8" w:tplc="90987F3C">
      <w:start w:val="1"/>
      <w:numFmt w:val="lowerRoman"/>
      <w:lvlText w:val="%9."/>
      <w:lvlJc w:val="right"/>
      <w:pPr>
        <w:ind w:left="7218" w:hanging="180"/>
      </w:pPr>
    </w:lvl>
  </w:abstractNum>
  <w:abstractNum w:abstractNumId="43" w15:restartNumberingAfterBreak="0">
    <w:nsid w:val="1F3858D0"/>
    <w:multiLevelType w:val="multilevel"/>
    <w:tmpl w:val="B3EAA4B0"/>
    <w:lvl w:ilvl="0">
      <w:start w:val="1"/>
      <w:numFmt w:val="decimal"/>
      <w:lvlText w:val="%1."/>
      <w:lvlJc w:val="left"/>
      <w:pPr>
        <w:ind w:left="1170" w:hanging="360"/>
      </w:pPr>
      <w:rPr>
        <w:u w:val="single"/>
      </w:rPr>
    </w:lvl>
    <w:lvl w:ilvl="1">
      <w:start w:val="1"/>
      <w:numFmt w:val="lowerLetter"/>
      <w:lvlText w:val="%2."/>
      <w:lvlJc w:val="left"/>
      <w:pPr>
        <w:ind w:left="1530" w:hanging="360"/>
      </w:pPr>
      <w:rPr>
        <w:u w:val="single"/>
      </w:r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44" w15:restartNumberingAfterBreak="0">
    <w:nsid w:val="1F47533D"/>
    <w:multiLevelType w:val="hybridMultilevel"/>
    <w:tmpl w:val="972E67DC"/>
    <w:lvl w:ilvl="0" w:tplc="F57C4538">
      <w:start w:val="1"/>
      <w:numFmt w:val="decimal"/>
      <w:lvlText w:val="%1."/>
      <w:lvlJc w:val="left"/>
      <w:pPr>
        <w:ind w:left="450" w:hanging="360"/>
      </w:pPr>
      <w:rPr>
        <w:u w:val="single"/>
      </w:rPr>
    </w:lvl>
    <w:lvl w:ilvl="1" w:tplc="9694579A">
      <w:start w:val="1"/>
      <w:numFmt w:val="lowerLetter"/>
      <w:lvlText w:val="%2."/>
      <w:lvlJc w:val="left"/>
      <w:pPr>
        <w:ind w:left="1170" w:hanging="360"/>
      </w:pPr>
      <w:rPr>
        <w:u w:val="single"/>
      </w:rPr>
    </w:lvl>
    <w:lvl w:ilvl="2" w:tplc="656A06DA">
      <w:start w:val="1"/>
      <w:numFmt w:val="lowerRoman"/>
      <w:lvlText w:val="%3."/>
      <w:lvlJc w:val="right"/>
      <w:pPr>
        <w:ind w:left="1890" w:hanging="180"/>
      </w:pPr>
    </w:lvl>
    <w:lvl w:ilvl="3" w:tplc="55F4DD24">
      <w:start w:val="1"/>
      <w:numFmt w:val="decimal"/>
      <w:lvlText w:val="%4."/>
      <w:lvlJc w:val="left"/>
      <w:pPr>
        <w:ind w:left="2610" w:hanging="360"/>
      </w:pPr>
    </w:lvl>
    <w:lvl w:ilvl="4" w:tplc="28128FE8">
      <w:start w:val="1"/>
      <w:numFmt w:val="lowerLetter"/>
      <w:lvlText w:val="%5."/>
      <w:lvlJc w:val="left"/>
      <w:pPr>
        <w:ind w:left="3330" w:hanging="360"/>
      </w:pPr>
    </w:lvl>
    <w:lvl w:ilvl="5" w:tplc="4482C2E4">
      <w:start w:val="1"/>
      <w:numFmt w:val="lowerRoman"/>
      <w:lvlText w:val="%6."/>
      <w:lvlJc w:val="right"/>
      <w:pPr>
        <w:ind w:left="4050" w:hanging="180"/>
      </w:pPr>
    </w:lvl>
    <w:lvl w:ilvl="6" w:tplc="1ADCBF12">
      <w:start w:val="1"/>
      <w:numFmt w:val="decimal"/>
      <w:lvlText w:val="%7."/>
      <w:lvlJc w:val="left"/>
      <w:pPr>
        <w:ind w:left="4770" w:hanging="360"/>
      </w:pPr>
    </w:lvl>
    <w:lvl w:ilvl="7" w:tplc="BC62A290">
      <w:start w:val="1"/>
      <w:numFmt w:val="lowerLetter"/>
      <w:lvlText w:val="%8."/>
      <w:lvlJc w:val="left"/>
      <w:pPr>
        <w:ind w:left="5490" w:hanging="360"/>
      </w:pPr>
    </w:lvl>
    <w:lvl w:ilvl="8" w:tplc="0CCA13D2">
      <w:start w:val="1"/>
      <w:numFmt w:val="lowerRoman"/>
      <w:lvlText w:val="%9."/>
      <w:lvlJc w:val="right"/>
      <w:pPr>
        <w:ind w:left="6210" w:hanging="180"/>
      </w:pPr>
    </w:lvl>
  </w:abstractNum>
  <w:abstractNum w:abstractNumId="45" w15:restartNumberingAfterBreak="0">
    <w:nsid w:val="1F4B36F4"/>
    <w:multiLevelType w:val="multilevel"/>
    <w:tmpl w:val="E5D4A60C"/>
    <w:lvl w:ilvl="0">
      <w:start w:val="1"/>
      <w:numFmt w:val="decimal"/>
      <w:lvlText w:val="%1."/>
      <w:lvlJc w:val="left"/>
      <w:pPr>
        <w:ind w:left="540" w:hanging="360"/>
      </w:pPr>
      <w:rPr>
        <w:b w:val="0"/>
        <w:bCs w:val="0"/>
        <w:strike w:val="0"/>
        <w:u w:val="single"/>
      </w:rPr>
    </w:lvl>
    <w:lvl w:ilvl="1">
      <w:start w:val="1"/>
      <w:numFmt w:val="decimal"/>
      <w:lvlText w:val="%2."/>
      <w:lvlJc w:val="left"/>
      <w:pPr>
        <w:ind w:left="1320" w:hanging="360"/>
      </w:pPr>
      <w:rPr>
        <w:rFonts w:ascii="Times New Roman" w:eastAsia="Arial" w:hAnsi="Times New Roman" w:cs="Times New Roman" w:hint="default"/>
        <w:u w:val="single"/>
      </w:rPr>
    </w:lvl>
    <w:lvl w:ilvl="2">
      <w:start w:val="1"/>
      <w:numFmt w:val="lowerRoman"/>
      <w:lvlText w:val="%3."/>
      <w:lvlJc w:val="right"/>
      <w:pPr>
        <w:ind w:left="2040" w:hanging="180"/>
      </w:pPr>
    </w:lvl>
    <w:lvl w:ilvl="3">
      <w:start w:val="1"/>
      <w:numFmt w:val="decimal"/>
      <w:lvlText w:val="%4."/>
      <w:lvlJc w:val="left"/>
      <w:pPr>
        <w:ind w:left="2760" w:hanging="360"/>
      </w:pPr>
    </w:lvl>
    <w:lvl w:ilvl="4">
      <w:start w:val="1"/>
      <w:numFmt w:val="lowerLetter"/>
      <w:lvlText w:val="%5."/>
      <w:lvlJc w:val="left"/>
      <w:pPr>
        <w:ind w:left="3480" w:hanging="360"/>
      </w:pPr>
    </w:lvl>
    <w:lvl w:ilvl="5">
      <w:start w:val="1"/>
      <w:numFmt w:val="lowerRoman"/>
      <w:lvlText w:val="%6."/>
      <w:lvlJc w:val="right"/>
      <w:pPr>
        <w:ind w:left="4200" w:hanging="180"/>
      </w:pPr>
    </w:lvl>
    <w:lvl w:ilvl="6">
      <w:start w:val="1"/>
      <w:numFmt w:val="decimal"/>
      <w:lvlText w:val="%7."/>
      <w:lvlJc w:val="left"/>
      <w:pPr>
        <w:ind w:left="4920" w:hanging="360"/>
      </w:pPr>
    </w:lvl>
    <w:lvl w:ilvl="7">
      <w:start w:val="1"/>
      <w:numFmt w:val="lowerLetter"/>
      <w:lvlText w:val="%8."/>
      <w:lvlJc w:val="left"/>
      <w:pPr>
        <w:ind w:left="5640" w:hanging="360"/>
      </w:pPr>
    </w:lvl>
    <w:lvl w:ilvl="8">
      <w:start w:val="1"/>
      <w:numFmt w:val="lowerRoman"/>
      <w:lvlText w:val="%9."/>
      <w:lvlJc w:val="right"/>
      <w:pPr>
        <w:ind w:left="6360" w:hanging="180"/>
      </w:pPr>
    </w:lvl>
  </w:abstractNum>
  <w:abstractNum w:abstractNumId="46" w15:restartNumberingAfterBreak="0">
    <w:nsid w:val="1F774362"/>
    <w:multiLevelType w:val="multilevel"/>
    <w:tmpl w:val="7F6A8EAE"/>
    <w:lvl w:ilvl="0">
      <w:start w:val="1"/>
      <w:numFmt w:val="decimal"/>
      <w:lvlText w:val="%1."/>
      <w:lvlJc w:val="left"/>
      <w:pPr>
        <w:ind w:left="2880" w:hanging="360"/>
      </w:p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47" w15:restartNumberingAfterBreak="0">
    <w:nsid w:val="1FD61757"/>
    <w:multiLevelType w:val="hybridMultilevel"/>
    <w:tmpl w:val="52667C02"/>
    <w:lvl w:ilvl="0" w:tplc="C5EEBDDE">
      <w:start w:val="1"/>
      <w:numFmt w:val="decimal"/>
      <w:lvlText w:val="%1."/>
      <w:lvlJc w:val="left"/>
      <w:pPr>
        <w:ind w:left="1440" w:hanging="360"/>
      </w:pPr>
      <w:rPr>
        <w:u w:val="single"/>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8" w15:restartNumberingAfterBreak="0">
    <w:nsid w:val="20086868"/>
    <w:multiLevelType w:val="hybridMultilevel"/>
    <w:tmpl w:val="90FC802C"/>
    <w:lvl w:ilvl="0" w:tplc="9C96962C">
      <w:start w:val="1"/>
      <w:numFmt w:val="lowerLetter"/>
      <w:lvlText w:val="%1."/>
      <w:lvlJc w:val="left"/>
      <w:pPr>
        <w:ind w:left="720" w:hanging="360"/>
      </w:pPr>
    </w:lvl>
    <w:lvl w:ilvl="1" w:tplc="AD4003AE">
      <w:start w:val="1"/>
      <w:numFmt w:val="lowerLetter"/>
      <w:lvlText w:val="%2."/>
      <w:lvlJc w:val="left"/>
      <w:pPr>
        <w:ind w:left="1440" w:hanging="360"/>
      </w:pPr>
    </w:lvl>
    <w:lvl w:ilvl="2" w:tplc="9E6AF968">
      <w:start w:val="1"/>
      <w:numFmt w:val="lowerRoman"/>
      <w:lvlText w:val="%3."/>
      <w:lvlJc w:val="right"/>
      <w:pPr>
        <w:ind w:left="2160" w:hanging="180"/>
      </w:pPr>
    </w:lvl>
    <w:lvl w:ilvl="3" w:tplc="9A264368">
      <w:start w:val="1"/>
      <w:numFmt w:val="decimal"/>
      <w:lvlText w:val="%4."/>
      <w:lvlJc w:val="left"/>
      <w:pPr>
        <w:ind w:left="2880" w:hanging="360"/>
      </w:pPr>
    </w:lvl>
    <w:lvl w:ilvl="4" w:tplc="542EF808">
      <w:start w:val="1"/>
      <w:numFmt w:val="lowerLetter"/>
      <w:lvlText w:val="%5."/>
      <w:lvlJc w:val="left"/>
      <w:pPr>
        <w:ind w:left="3600" w:hanging="360"/>
      </w:pPr>
    </w:lvl>
    <w:lvl w:ilvl="5" w:tplc="0374B3FC">
      <w:start w:val="1"/>
      <w:numFmt w:val="lowerRoman"/>
      <w:lvlText w:val="%6."/>
      <w:lvlJc w:val="right"/>
      <w:pPr>
        <w:ind w:left="4320" w:hanging="180"/>
      </w:pPr>
    </w:lvl>
    <w:lvl w:ilvl="6" w:tplc="6EEA5FE0">
      <w:start w:val="1"/>
      <w:numFmt w:val="decimal"/>
      <w:lvlText w:val="%7."/>
      <w:lvlJc w:val="left"/>
      <w:pPr>
        <w:ind w:left="5040" w:hanging="360"/>
      </w:pPr>
    </w:lvl>
    <w:lvl w:ilvl="7" w:tplc="8B827136">
      <w:start w:val="1"/>
      <w:numFmt w:val="lowerLetter"/>
      <w:lvlText w:val="%8."/>
      <w:lvlJc w:val="left"/>
      <w:pPr>
        <w:ind w:left="5760" w:hanging="360"/>
      </w:pPr>
    </w:lvl>
    <w:lvl w:ilvl="8" w:tplc="7EA4B900">
      <w:start w:val="1"/>
      <w:numFmt w:val="lowerRoman"/>
      <w:lvlText w:val="%9."/>
      <w:lvlJc w:val="right"/>
      <w:pPr>
        <w:ind w:left="6480" w:hanging="180"/>
      </w:pPr>
    </w:lvl>
  </w:abstractNum>
  <w:abstractNum w:abstractNumId="49" w15:restartNumberingAfterBreak="0">
    <w:nsid w:val="20687882"/>
    <w:multiLevelType w:val="hybridMultilevel"/>
    <w:tmpl w:val="F4B6A3C0"/>
    <w:lvl w:ilvl="0" w:tplc="96EA2EF4">
      <w:start w:val="1"/>
      <w:numFmt w:val="decimal"/>
      <w:lvlText w:val="%1."/>
      <w:lvlJc w:val="left"/>
      <w:pPr>
        <w:ind w:left="864" w:hanging="360"/>
      </w:pPr>
      <w:rPr>
        <w:u w:val="single"/>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50" w15:restartNumberingAfterBreak="0">
    <w:nsid w:val="20731DC8"/>
    <w:multiLevelType w:val="multilevel"/>
    <w:tmpl w:val="5598030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237922BF"/>
    <w:multiLevelType w:val="hybridMultilevel"/>
    <w:tmpl w:val="E0188B80"/>
    <w:lvl w:ilvl="0" w:tplc="1F40626C">
      <w:start w:val="1"/>
      <w:numFmt w:val="lowerLetter"/>
      <w:lvlText w:val="%1."/>
      <w:lvlJc w:val="left"/>
      <w:pPr>
        <w:ind w:left="1458" w:hanging="360"/>
      </w:pPr>
    </w:lvl>
    <w:lvl w:ilvl="1" w:tplc="627A5F86">
      <w:start w:val="1"/>
      <w:numFmt w:val="lowerLetter"/>
      <w:lvlText w:val="%2."/>
      <w:lvlJc w:val="left"/>
      <w:pPr>
        <w:ind w:left="2178" w:hanging="360"/>
      </w:pPr>
    </w:lvl>
    <w:lvl w:ilvl="2" w:tplc="EB2470A0">
      <w:start w:val="1"/>
      <w:numFmt w:val="lowerRoman"/>
      <w:lvlText w:val="%3."/>
      <w:lvlJc w:val="right"/>
      <w:pPr>
        <w:ind w:left="2898" w:hanging="180"/>
      </w:pPr>
    </w:lvl>
    <w:lvl w:ilvl="3" w:tplc="12B4CF94">
      <w:start w:val="1"/>
      <w:numFmt w:val="decimal"/>
      <w:lvlText w:val="%4."/>
      <w:lvlJc w:val="left"/>
      <w:pPr>
        <w:ind w:left="3618" w:hanging="360"/>
      </w:pPr>
    </w:lvl>
    <w:lvl w:ilvl="4" w:tplc="E0862C98">
      <w:start w:val="1"/>
      <w:numFmt w:val="lowerLetter"/>
      <w:lvlText w:val="%5."/>
      <w:lvlJc w:val="left"/>
      <w:pPr>
        <w:ind w:left="4338" w:hanging="360"/>
      </w:pPr>
    </w:lvl>
    <w:lvl w:ilvl="5" w:tplc="0D2CCC5C">
      <w:start w:val="1"/>
      <w:numFmt w:val="lowerRoman"/>
      <w:lvlText w:val="%6."/>
      <w:lvlJc w:val="right"/>
      <w:pPr>
        <w:ind w:left="5058" w:hanging="180"/>
      </w:pPr>
    </w:lvl>
    <w:lvl w:ilvl="6" w:tplc="7F4850C4">
      <w:start w:val="1"/>
      <w:numFmt w:val="decimal"/>
      <w:lvlText w:val="%7."/>
      <w:lvlJc w:val="left"/>
      <w:pPr>
        <w:ind w:left="5778" w:hanging="360"/>
      </w:pPr>
    </w:lvl>
    <w:lvl w:ilvl="7" w:tplc="FA10C6C8">
      <w:start w:val="1"/>
      <w:numFmt w:val="lowerLetter"/>
      <w:lvlText w:val="%8."/>
      <w:lvlJc w:val="left"/>
      <w:pPr>
        <w:ind w:left="6498" w:hanging="360"/>
      </w:pPr>
    </w:lvl>
    <w:lvl w:ilvl="8" w:tplc="59662E7E">
      <w:start w:val="1"/>
      <w:numFmt w:val="lowerRoman"/>
      <w:lvlText w:val="%9."/>
      <w:lvlJc w:val="right"/>
      <w:pPr>
        <w:ind w:left="7218" w:hanging="180"/>
      </w:pPr>
    </w:lvl>
  </w:abstractNum>
  <w:abstractNum w:abstractNumId="52" w15:restartNumberingAfterBreak="0">
    <w:nsid w:val="23E94838"/>
    <w:multiLevelType w:val="hybridMultilevel"/>
    <w:tmpl w:val="1E02B730"/>
    <w:lvl w:ilvl="0" w:tplc="1DB64962">
      <w:start w:val="1"/>
      <w:numFmt w:val="lowerLetter"/>
      <w:lvlText w:val="%1."/>
      <w:lvlJc w:val="left"/>
      <w:pPr>
        <w:ind w:left="630" w:hanging="360"/>
      </w:pPr>
    </w:lvl>
    <w:lvl w:ilvl="1" w:tplc="AF0CD9D4">
      <w:start w:val="1"/>
      <w:numFmt w:val="lowerLetter"/>
      <w:lvlText w:val="%2."/>
      <w:lvlJc w:val="left"/>
      <w:pPr>
        <w:ind w:left="1350" w:hanging="360"/>
      </w:pPr>
    </w:lvl>
    <w:lvl w:ilvl="2" w:tplc="3536DDA0">
      <w:start w:val="1"/>
      <w:numFmt w:val="lowerRoman"/>
      <w:lvlText w:val="%3."/>
      <w:lvlJc w:val="right"/>
      <w:pPr>
        <w:ind w:left="2070" w:hanging="180"/>
      </w:pPr>
    </w:lvl>
    <w:lvl w:ilvl="3" w:tplc="E920F6BA">
      <w:start w:val="1"/>
      <w:numFmt w:val="decimal"/>
      <w:lvlText w:val="%4."/>
      <w:lvlJc w:val="left"/>
      <w:pPr>
        <w:ind w:left="2790" w:hanging="360"/>
      </w:pPr>
    </w:lvl>
    <w:lvl w:ilvl="4" w:tplc="E7568FE6">
      <w:start w:val="1"/>
      <w:numFmt w:val="lowerLetter"/>
      <w:lvlText w:val="%5."/>
      <w:lvlJc w:val="left"/>
      <w:pPr>
        <w:ind w:left="3510" w:hanging="360"/>
      </w:pPr>
    </w:lvl>
    <w:lvl w:ilvl="5" w:tplc="CFB01D7C">
      <w:start w:val="1"/>
      <w:numFmt w:val="lowerRoman"/>
      <w:lvlText w:val="%6."/>
      <w:lvlJc w:val="right"/>
      <w:pPr>
        <w:ind w:left="4230" w:hanging="180"/>
      </w:pPr>
    </w:lvl>
    <w:lvl w:ilvl="6" w:tplc="8B7CA6F0">
      <w:start w:val="1"/>
      <w:numFmt w:val="decimal"/>
      <w:lvlText w:val="%7."/>
      <w:lvlJc w:val="left"/>
      <w:pPr>
        <w:ind w:left="4950" w:hanging="360"/>
      </w:pPr>
    </w:lvl>
    <w:lvl w:ilvl="7" w:tplc="F23EC408">
      <w:start w:val="1"/>
      <w:numFmt w:val="lowerLetter"/>
      <w:lvlText w:val="%8."/>
      <w:lvlJc w:val="left"/>
      <w:pPr>
        <w:ind w:left="5670" w:hanging="360"/>
      </w:pPr>
    </w:lvl>
    <w:lvl w:ilvl="8" w:tplc="178467CC">
      <w:start w:val="1"/>
      <w:numFmt w:val="lowerRoman"/>
      <w:lvlText w:val="%9."/>
      <w:lvlJc w:val="right"/>
      <w:pPr>
        <w:ind w:left="6390" w:hanging="180"/>
      </w:pPr>
    </w:lvl>
  </w:abstractNum>
  <w:abstractNum w:abstractNumId="53" w15:restartNumberingAfterBreak="0">
    <w:nsid w:val="23F79DDF"/>
    <w:multiLevelType w:val="hybridMultilevel"/>
    <w:tmpl w:val="74C64EF6"/>
    <w:lvl w:ilvl="0" w:tplc="BEDA35FE">
      <w:start w:val="1"/>
      <w:numFmt w:val="lowerLetter"/>
      <w:lvlText w:val="%1."/>
      <w:lvlJc w:val="left"/>
      <w:pPr>
        <w:ind w:left="434" w:hanging="360"/>
      </w:pPr>
    </w:lvl>
    <w:lvl w:ilvl="1" w:tplc="B2B2D4AE">
      <w:start w:val="1"/>
      <w:numFmt w:val="lowerLetter"/>
      <w:lvlText w:val="%2."/>
      <w:lvlJc w:val="left"/>
      <w:pPr>
        <w:ind w:left="1154" w:hanging="360"/>
      </w:pPr>
    </w:lvl>
    <w:lvl w:ilvl="2" w:tplc="AB5EA1BA">
      <w:start w:val="1"/>
      <w:numFmt w:val="lowerRoman"/>
      <w:lvlText w:val="%3."/>
      <w:lvlJc w:val="right"/>
      <w:pPr>
        <w:ind w:left="1874" w:hanging="180"/>
      </w:pPr>
    </w:lvl>
    <w:lvl w:ilvl="3" w:tplc="CC906876">
      <w:start w:val="1"/>
      <w:numFmt w:val="decimal"/>
      <w:lvlText w:val="%4."/>
      <w:lvlJc w:val="left"/>
      <w:pPr>
        <w:ind w:left="2594" w:hanging="360"/>
      </w:pPr>
    </w:lvl>
    <w:lvl w:ilvl="4" w:tplc="CE7E5C64">
      <w:start w:val="1"/>
      <w:numFmt w:val="lowerLetter"/>
      <w:lvlText w:val="%5."/>
      <w:lvlJc w:val="left"/>
      <w:pPr>
        <w:ind w:left="3314" w:hanging="360"/>
      </w:pPr>
    </w:lvl>
    <w:lvl w:ilvl="5" w:tplc="EB966B74">
      <w:start w:val="1"/>
      <w:numFmt w:val="lowerRoman"/>
      <w:lvlText w:val="%6."/>
      <w:lvlJc w:val="right"/>
      <w:pPr>
        <w:ind w:left="4034" w:hanging="180"/>
      </w:pPr>
    </w:lvl>
    <w:lvl w:ilvl="6" w:tplc="9CF4E6B8">
      <w:start w:val="1"/>
      <w:numFmt w:val="decimal"/>
      <w:lvlText w:val="%7."/>
      <w:lvlJc w:val="left"/>
      <w:pPr>
        <w:ind w:left="4754" w:hanging="360"/>
      </w:pPr>
    </w:lvl>
    <w:lvl w:ilvl="7" w:tplc="AD344528">
      <w:start w:val="1"/>
      <w:numFmt w:val="lowerLetter"/>
      <w:lvlText w:val="%8."/>
      <w:lvlJc w:val="left"/>
      <w:pPr>
        <w:ind w:left="5474" w:hanging="360"/>
      </w:pPr>
    </w:lvl>
    <w:lvl w:ilvl="8" w:tplc="7E420EF8">
      <w:start w:val="1"/>
      <w:numFmt w:val="lowerRoman"/>
      <w:lvlText w:val="%9."/>
      <w:lvlJc w:val="right"/>
      <w:pPr>
        <w:ind w:left="6194" w:hanging="180"/>
      </w:pPr>
    </w:lvl>
  </w:abstractNum>
  <w:abstractNum w:abstractNumId="54" w15:restartNumberingAfterBreak="0">
    <w:nsid w:val="24140835"/>
    <w:multiLevelType w:val="hybridMultilevel"/>
    <w:tmpl w:val="08CAAD80"/>
    <w:lvl w:ilvl="0" w:tplc="76CAB920">
      <w:start w:val="1"/>
      <w:numFmt w:val="decimal"/>
      <w:lvlText w:val="%1."/>
      <w:lvlJc w:val="left"/>
      <w:pPr>
        <w:ind w:left="1440" w:hanging="360"/>
      </w:pPr>
    </w:lvl>
    <w:lvl w:ilvl="1" w:tplc="7424267C">
      <w:start w:val="1"/>
      <w:numFmt w:val="lowerLetter"/>
      <w:lvlText w:val="%2."/>
      <w:lvlJc w:val="left"/>
      <w:pPr>
        <w:ind w:left="1440" w:hanging="360"/>
      </w:pPr>
    </w:lvl>
    <w:lvl w:ilvl="2" w:tplc="C84EEBB6">
      <w:start w:val="1"/>
      <w:numFmt w:val="lowerRoman"/>
      <w:lvlText w:val="%3."/>
      <w:lvlJc w:val="right"/>
      <w:pPr>
        <w:ind w:left="2160" w:hanging="180"/>
      </w:pPr>
    </w:lvl>
    <w:lvl w:ilvl="3" w:tplc="50BC9D72">
      <w:start w:val="1"/>
      <w:numFmt w:val="decimal"/>
      <w:lvlText w:val="%4."/>
      <w:lvlJc w:val="left"/>
      <w:pPr>
        <w:ind w:left="2880" w:hanging="360"/>
      </w:pPr>
    </w:lvl>
    <w:lvl w:ilvl="4" w:tplc="A8BCDC3E">
      <w:start w:val="1"/>
      <w:numFmt w:val="lowerLetter"/>
      <w:lvlText w:val="%5."/>
      <w:lvlJc w:val="left"/>
      <w:pPr>
        <w:ind w:left="3600" w:hanging="360"/>
      </w:pPr>
    </w:lvl>
    <w:lvl w:ilvl="5" w:tplc="DBA624DE">
      <w:start w:val="1"/>
      <w:numFmt w:val="lowerRoman"/>
      <w:lvlText w:val="%6."/>
      <w:lvlJc w:val="right"/>
      <w:pPr>
        <w:ind w:left="4320" w:hanging="180"/>
      </w:pPr>
    </w:lvl>
    <w:lvl w:ilvl="6" w:tplc="DB8AFB2C">
      <w:start w:val="1"/>
      <w:numFmt w:val="decimal"/>
      <w:lvlText w:val="%7."/>
      <w:lvlJc w:val="left"/>
      <w:pPr>
        <w:ind w:left="5040" w:hanging="360"/>
      </w:pPr>
    </w:lvl>
    <w:lvl w:ilvl="7" w:tplc="8318AB44">
      <w:start w:val="1"/>
      <w:numFmt w:val="lowerLetter"/>
      <w:lvlText w:val="%8."/>
      <w:lvlJc w:val="left"/>
      <w:pPr>
        <w:ind w:left="5760" w:hanging="360"/>
      </w:pPr>
    </w:lvl>
    <w:lvl w:ilvl="8" w:tplc="FCF4CA6C">
      <w:start w:val="1"/>
      <w:numFmt w:val="lowerRoman"/>
      <w:lvlText w:val="%9."/>
      <w:lvlJc w:val="right"/>
      <w:pPr>
        <w:ind w:left="6480" w:hanging="180"/>
      </w:pPr>
    </w:lvl>
  </w:abstractNum>
  <w:abstractNum w:abstractNumId="55" w15:restartNumberingAfterBreak="0">
    <w:nsid w:val="246A0E7F"/>
    <w:multiLevelType w:val="hybridMultilevel"/>
    <w:tmpl w:val="54BE8674"/>
    <w:lvl w:ilvl="0" w:tplc="6F8A94A6">
      <w:start w:val="2"/>
      <w:numFmt w:val="decimal"/>
      <w:lvlText w:val="%1."/>
      <w:lvlJc w:val="left"/>
      <w:pPr>
        <w:ind w:left="720" w:hanging="360"/>
      </w:pPr>
      <w:rPr>
        <w:u w:val="single"/>
      </w:rPr>
    </w:lvl>
    <w:lvl w:ilvl="1" w:tplc="885A8E02">
      <w:start w:val="1"/>
      <w:numFmt w:val="lowerLetter"/>
      <w:lvlText w:val="%2."/>
      <w:lvlJc w:val="left"/>
      <w:pPr>
        <w:ind w:left="1440" w:hanging="360"/>
      </w:pPr>
    </w:lvl>
    <w:lvl w:ilvl="2" w:tplc="7FE2871C">
      <w:start w:val="1"/>
      <w:numFmt w:val="lowerRoman"/>
      <w:lvlText w:val="%3."/>
      <w:lvlJc w:val="right"/>
      <w:pPr>
        <w:ind w:left="2160" w:hanging="180"/>
      </w:pPr>
    </w:lvl>
    <w:lvl w:ilvl="3" w:tplc="B368415A">
      <w:start w:val="1"/>
      <w:numFmt w:val="decimal"/>
      <w:lvlText w:val="%4."/>
      <w:lvlJc w:val="left"/>
      <w:pPr>
        <w:ind w:left="2880" w:hanging="360"/>
      </w:pPr>
    </w:lvl>
    <w:lvl w:ilvl="4" w:tplc="8DB859DE">
      <w:start w:val="1"/>
      <w:numFmt w:val="lowerLetter"/>
      <w:lvlText w:val="%5."/>
      <w:lvlJc w:val="left"/>
      <w:pPr>
        <w:ind w:left="3600" w:hanging="360"/>
      </w:pPr>
    </w:lvl>
    <w:lvl w:ilvl="5" w:tplc="F7B8FFA2">
      <w:start w:val="1"/>
      <w:numFmt w:val="lowerRoman"/>
      <w:lvlText w:val="%6."/>
      <w:lvlJc w:val="right"/>
      <w:pPr>
        <w:ind w:left="4320" w:hanging="180"/>
      </w:pPr>
    </w:lvl>
    <w:lvl w:ilvl="6" w:tplc="940C1686">
      <w:start w:val="1"/>
      <w:numFmt w:val="decimal"/>
      <w:lvlText w:val="%7."/>
      <w:lvlJc w:val="left"/>
      <w:pPr>
        <w:ind w:left="5040" w:hanging="360"/>
      </w:pPr>
    </w:lvl>
    <w:lvl w:ilvl="7" w:tplc="972850D2">
      <w:start w:val="1"/>
      <w:numFmt w:val="lowerLetter"/>
      <w:lvlText w:val="%8."/>
      <w:lvlJc w:val="left"/>
      <w:pPr>
        <w:ind w:left="5760" w:hanging="360"/>
      </w:pPr>
    </w:lvl>
    <w:lvl w:ilvl="8" w:tplc="EB5E2988">
      <w:start w:val="1"/>
      <w:numFmt w:val="lowerRoman"/>
      <w:lvlText w:val="%9."/>
      <w:lvlJc w:val="right"/>
      <w:pPr>
        <w:ind w:left="6480" w:hanging="180"/>
      </w:pPr>
    </w:lvl>
  </w:abstractNum>
  <w:abstractNum w:abstractNumId="56" w15:restartNumberingAfterBreak="0">
    <w:nsid w:val="279A6D85"/>
    <w:multiLevelType w:val="hybridMultilevel"/>
    <w:tmpl w:val="BD68F2D2"/>
    <w:lvl w:ilvl="0" w:tplc="E23E0690">
      <w:start w:val="1"/>
      <w:numFmt w:val="decimal"/>
      <w:lvlText w:val="%1."/>
      <w:lvlJc w:val="left"/>
      <w:pPr>
        <w:ind w:left="721"/>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4906CF00">
      <w:start w:val="1"/>
      <w:numFmt w:val="lowerLetter"/>
      <w:lvlText w:val="%2"/>
      <w:lvlJc w:val="left"/>
      <w:pPr>
        <w:ind w:left="14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C910E838">
      <w:start w:val="1"/>
      <w:numFmt w:val="lowerRoman"/>
      <w:lvlText w:val="%3"/>
      <w:lvlJc w:val="left"/>
      <w:pPr>
        <w:ind w:left="21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410E3EAE">
      <w:start w:val="1"/>
      <w:numFmt w:val="decimal"/>
      <w:lvlText w:val="%4"/>
      <w:lvlJc w:val="left"/>
      <w:pPr>
        <w:ind w:left="28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E8886698">
      <w:start w:val="1"/>
      <w:numFmt w:val="lowerLetter"/>
      <w:lvlText w:val="%5"/>
      <w:lvlJc w:val="left"/>
      <w:pPr>
        <w:ind w:left="35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66507196">
      <w:start w:val="1"/>
      <w:numFmt w:val="lowerRoman"/>
      <w:lvlText w:val="%6"/>
      <w:lvlJc w:val="left"/>
      <w:pPr>
        <w:ind w:left="43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EC169BE8">
      <w:start w:val="1"/>
      <w:numFmt w:val="decimal"/>
      <w:lvlText w:val="%7"/>
      <w:lvlJc w:val="left"/>
      <w:pPr>
        <w:ind w:left="50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C47429B0">
      <w:start w:val="1"/>
      <w:numFmt w:val="lowerLetter"/>
      <w:lvlText w:val="%8"/>
      <w:lvlJc w:val="left"/>
      <w:pPr>
        <w:ind w:left="57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C09473EC">
      <w:start w:val="1"/>
      <w:numFmt w:val="lowerRoman"/>
      <w:lvlText w:val="%9"/>
      <w:lvlJc w:val="left"/>
      <w:pPr>
        <w:ind w:left="64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57" w15:restartNumberingAfterBreak="0">
    <w:nsid w:val="28D365F1"/>
    <w:multiLevelType w:val="multilevel"/>
    <w:tmpl w:val="570CF4AE"/>
    <w:lvl w:ilvl="0">
      <w:start w:val="1"/>
      <w:numFmt w:val="decimal"/>
      <w:lvlText w:val="%1."/>
      <w:lvlJc w:val="left"/>
      <w:pPr>
        <w:ind w:left="1728" w:hanging="360"/>
      </w:pPr>
      <w:rPr>
        <w:u w:val="single"/>
      </w:rPr>
    </w:lvl>
    <w:lvl w:ilvl="1">
      <w:start w:val="1"/>
      <w:numFmt w:val="decimal"/>
      <w:lvlText w:val="%1.%2."/>
      <w:lvlJc w:val="left"/>
      <w:pPr>
        <w:ind w:left="2160" w:hanging="432"/>
      </w:pPr>
      <w:rPr>
        <w:u w:val="single"/>
      </w:rPr>
    </w:lvl>
    <w:lvl w:ilvl="2">
      <w:start w:val="1"/>
      <w:numFmt w:val="decimal"/>
      <w:lvlText w:val="%1.%2.%3."/>
      <w:lvlJc w:val="left"/>
      <w:pPr>
        <w:ind w:left="2592" w:hanging="504"/>
      </w:pPr>
    </w:lvl>
    <w:lvl w:ilvl="3">
      <w:start w:val="1"/>
      <w:numFmt w:val="decimal"/>
      <w:lvlText w:val="%1.%2.%3.%4."/>
      <w:lvlJc w:val="left"/>
      <w:pPr>
        <w:ind w:left="3096" w:hanging="648"/>
      </w:pPr>
    </w:lvl>
    <w:lvl w:ilvl="4">
      <w:start w:val="1"/>
      <w:numFmt w:val="decimal"/>
      <w:lvlText w:val="%1.%2.%3.%4.%5."/>
      <w:lvlJc w:val="left"/>
      <w:pPr>
        <w:ind w:left="3600" w:hanging="792"/>
      </w:pPr>
    </w:lvl>
    <w:lvl w:ilvl="5">
      <w:start w:val="1"/>
      <w:numFmt w:val="decimal"/>
      <w:lvlText w:val="%1.%2.%3.%4.%5.%6."/>
      <w:lvlJc w:val="left"/>
      <w:pPr>
        <w:ind w:left="4104" w:hanging="936"/>
      </w:pPr>
    </w:lvl>
    <w:lvl w:ilvl="6">
      <w:start w:val="1"/>
      <w:numFmt w:val="decimal"/>
      <w:lvlText w:val="%1.%2.%3.%4.%5.%6.%7."/>
      <w:lvlJc w:val="left"/>
      <w:pPr>
        <w:ind w:left="4608" w:hanging="1080"/>
      </w:pPr>
    </w:lvl>
    <w:lvl w:ilvl="7">
      <w:start w:val="1"/>
      <w:numFmt w:val="decimal"/>
      <w:lvlText w:val="%1.%2.%3.%4.%5.%6.%7.%8."/>
      <w:lvlJc w:val="left"/>
      <w:pPr>
        <w:ind w:left="5112" w:hanging="1224"/>
      </w:pPr>
    </w:lvl>
    <w:lvl w:ilvl="8">
      <w:start w:val="1"/>
      <w:numFmt w:val="decimal"/>
      <w:lvlText w:val="%1.%2.%3.%4.%5.%6.%7.%8.%9."/>
      <w:lvlJc w:val="left"/>
      <w:pPr>
        <w:ind w:left="5688" w:hanging="1440"/>
      </w:pPr>
    </w:lvl>
  </w:abstractNum>
  <w:abstractNum w:abstractNumId="58" w15:restartNumberingAfterBreak="0">
    <w:nsid w:val="2A343F6A"/>
    <w:multiLevelType w:val="hybridMultilevel"/>
    <w:tmpl w:val="99583F06"/>
    <w:lvl w:ilvl="0" w:tplc="50D68D3A">
      <w:start w:val="1"/>
      <w:numFmt w:val="decimal"/>
      <w:lvlText w:val="%1."/>
      <w:lvlJc w:val="left"/>
      <w:pPr>
        <w:ind w:left="864" w:hanging="360"/>
      </w:pPr>
      <w:rPr>
        <w:u w:val="single"/>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59" w15:restartNumberingAfterBreak="0">
    <w:nsid w:val="2A570B4E"/>
    <w:multiLevelType w:val="multilevel"/>
    <w:tmpl w:val="CA8855F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0" w15:restartNumberingAfterBreak="0">
    <w:nsid w:val="2C5384AE"/>
    <w:multiLevelType w:val="hybridMultilevel"/>
    <w:tmpl w:val="8BE413A6"/>
    <w:lvl w:ilvl="0" w:tplc="4210B118">
      <w:start w:val="1"/>
      <w:numFmt w:val="decimal"/>
      <w:lvlText w:val="%1."/>
      <w:lvlJc w:val="left"/>
      <w:pPr>
        <w:ind w:left="720" w:hanging="360"/>
      </w:pPr>
    </w:lvl>
    <w:lvl w:ilvl="1" w:tplc="8B667078">
      <w:start w:val="1"/>
      <w:numFmt w:val="lowerLetter"/>
      <w:lvlText w:val="%2."/>
      <w:lvlJc w:val="left"/>
      <w:pPr>
        <w:ind w:left="1440" w:hanging="360"/>
      </w:pPr>
    </w:lvl>
    <w:lvl w:ilvl="2" w:tplc="11BCC0C6">
      <w:start w:val="1"/>
      <w:numFmt w:val="lowerRoman"/>
      <w:lvlText w:val="%3."/>
      <w:lvlJc w:val="right"/>
      <w:pPr>
        <w:ind w:left="2160" w:hanging="180"/>
      </w:pPr>
    </w:lvl>
    <w:lvl w:ilvl="3" w:tplc="0A20D232">
      <w:start w:val="1"/>
      <w:numFmt w:val="decimal"/>
      <w:lvlText w:val="%4."/>
      <w:lvlJc w:val="left"/>
      <w:pPr>
        <w:ind w:left="2880" w:hanging="360"/>
      </w:pPr>
    </w:lvl>
    <w:lvl w:ilvl="4" w:tplc="56F0A696">
      <w:start w:val="1"/>
      <w:numFmt w:val="lowerLetter"/>
      <w:lvlText w:val="%5."/>
      <w:lvlJc w:val="left"/>
      <w:pPr>
        <w:ind w:left="3600" w:hanging="360"/>
      </w:pPr>
    </w:lvl>
    <w:lvl w:ilvl="5" w:tplc="36C0F39C">
      <w:start w:val="1"/>
      <w:numFmt w:val="lowerRoman"/>
      <w:lvlText w:val="%6."/>
      <w:lvlJc w:val="right"/>
      <w:pPr>
        <w:ind w:left="4320" w:hanging="180"/>
      </w:pPr>
    </w:lvl>
    <w:lvl w:ilvl="6" w:tplc="485A317E">
      <w:start w:val="1"/>
      <w:numFmt w:val="decimal"/>
      <w:lvlText w:val="%7."/>
      <w:lvlJc w:val="left"/>
      <w:pPr>
        <w:ind w:left="5040" w:hanging="360"/>
      </w:pPr>
    </w:lvl>
    <w:lvl w:ilvl="7" w:tplc="1592E9CC">
      <w:start w:val="1"/>
      <w:numFmt w:val="lowerLetter"/>
      <w:lvlText w:val="%8."/>
      <w:lvlJc w:val="left"/>
      <w:pPr>
        <w:ind w:left="5760" w:hanging="360"/>
      </w:pPr>
    </w:lvl>
    <w:lvl w:ilvl="8" w:tplc="DFA8F4FA">
      <w:start w:val="1"/>
      <w:numFmt w:val="lowerRoman"/>
      <w:lvlText w:val="%9."/>
      <w:lvlJc w:val="right"/>
      <w:pPr>
        <w:ind w:left="6480" w:hanging="180"/>
      </w:pPr>
    </w:lvl>
  </w:abstractNum>
  <w:abstractNum w:abstractNumId="61" w15:restartNumberingAfterBreak="0">
    <w:nsid w:val="2CCC406E"/>
    <w:multiLevelType w:val="multilevel"/>
    <w:tmpl w:val="E43C5F4A"/>
    <w:name w:val="Bullet"/>
    <w:lvl w:ilvl="0">
      <w:start w:val="1"/>
      <w:numFmt w:val="decimal"/>
      <w:pStyle w:val="Bullet"/>
      <w:lvlText w:val="%1."/>
      <w:lvlJc w:val="left"/>
      <w:pPr>
        <w:ind w:left="2880" w:hanging="360"/>
      </w:pPr>
    </w:lvl>
    <w:lvl w:ilvl="1">
      <w:start w:val="1"/>
      <w:numFmt w:val="lowerLetter"/>
      <w:pStyle w:val="Bullet2"/>
      <w:lvlText w:val="%2."/>
      <w:lvlJc w:val="left"/>
      <w:pPr>
        <w:ind w:left="3600" w:hanging="360"/>
      </w:pPr>
    </w:lvl>
    <w:lvl w:ilvl="2">
      <w:start w:val="1"/>
      <w:numFmt w:val="lowerRoman"/>
      <w:pStyle w:val="Bullet3"/>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62" w15:restartNumberingAfterBreak="0">
    <w:nsid w:val="2D195C2A"/>
    <w:multiLevelType w:val="multilevel"/>
    <w:tmpl w:val="1CE850BC"/>
    <w:lvl w:ilvl="0">
      <w:start w:val="1"/>
      <w:numFmt w:val="decimal"/>
      <w:lvlText w:val="%1."/>
      <w:lvlJc w:val="left"/>
      <w:pPr>
        <w:ind w:left="3240" w:hanging="360"/>
      </w:pPr>
    </w:lvl>
    <w:lvl w:ilvl="1">
      <w:start w:val="1"/>
      <w:numFmt w:val="lowerLetter"/>
      <w:lvlText w:val="%2."/>
      <w:lvlJc w:val="left"/>
      <w:pPr>
        <w:ind w:left="3960" w:hanging="360"/>
      </w:pPr>
    </w:lvl>
    <w:lvl w:ilvl="2">
      <w:start w:val="1"/>
      <w:numFmt w:val="lowerRoman"/>
      <w:lvlText w:val="%3."/>
      <w:lvlJc w:val="right"/>
      <w:pPr>
        <w:ind w:left="4680" w:hanging="180"/>
      </w:pPr>
    </w:lvl>
    <w:lvl w:ilvl="3">
      <w:start w:val="1"/>
      <w:numFmt w:val="decimal"/>
      <w:lvlText w:val="%4."/>
      <w:lvlJc w:val="left"/>
      <w:pPr>
        <w:ind w:left="5400" w:hanging="360"/>
      </w:pPr>
    </w:lvl>
    <w:lvl w:ilvl="4">
      <w:start w:val="1"/>
      <w:numFmt w:val="lowerLetter"/>
      <w:lvlText w:val="%5."/>
      <w:lvlJc w:val="left"/>
      <w:pPr>
        <w:ind w:left="6120" w:hanging="360"/>
      </w:pPr>
    </w:lvl>
    <w:lvl w:ilvl="5">
      <w:start w:val="1"/>
      <w:numFmt w:val="lowerRoman"/>
      <w:lvlText w:val="%6."/>
      <w:lvlJc w:val="right"/>
      <w:pPr>
        <w:ind w:left="6840" w:hanging="180"/>
      </w:pPr>
    </w:lvl>
    <w:lvl w:ilvl="6">
      <w:start w:val="1"/>
      <w:numFmt w:val="decimal"/>
      <w:lvlText w:val="%7."/>
      <w:lvlJc w:val="left"/>
      <w:pPr>
        <w:ind w:left="7560" w:hanging="360"/>
      </w:pPr>
    </w:lvl>
    <w:lvl w:ilvl="7">
      <w:start w:val="1"/>
      <w:numFmt w:val="lowerLetter"/>
      <w:lvlText w:val="%8."/>
      <w:lvlJc w:val="left"/>
      <w:pPr>
        <w:ind w:left="8280" w:hanging="360"/>
      </w:pPr>
    </w:lvl>
    <w:lvl w:ilvl="8">
      <w:start w:val="1"/>
      <w:numFmt w:val="lowerRoman"/>
      <w:lvlText w:val="%9."/>
      <w:lvlJc w:val="right"/>
      <w:pPr>
        <w:ind w:left="9000" w:hanging="180"/>
      </w:pPr>
    </w:lvl>
  </w:abstractNum>
  <w:abstractNum w:abstractNumId="63" w15:restartNumberingAfterBreak="0">
    <w:nsid w:val="2D7C3A94"/>
    <w:multiLevelType w:val="multilevel"/>
    <w:tmpl w:val="FFFFFFFF"/>
    <w:lvl w:ilvl="0">
      <w:start w:val="1"/>
      <w:numFmt w:val="decimal"/>
      <w:lvlText w:val="%1."/>
      <w:lvlJc w:val="left"/>
      <w:pPr>
        <w:ind w:left="1530" w:hanging="360"/>
      </w:pPr>
      <w:rPr>
        <w:color w:val="7030A0"/>
        <w:u w:val="single"/>
      </w:rPr>
    </w:lvl>
    <w:lvl w:ilvl="1">
      <w:start w:val="1"/>
      <w:numFmt w:val="lowerLetter"/>
      <w:lvlText w:val="%2."/>
      <w:lvlJc w:val="left"/>
      <w:pPr>
        <w:ind w:left="2250" w:hanging="360"/>
      </w:pPr>
    </w:lvl>
    <w:lvl w:ilvl="2">
      <w:start w:val="1"/>
      <w:numFmt w:val="lowerRoman"/>
      <w:lvlText w:val="%3."/>
      <w:lvlJc w:val="right"/>
      <w:pPr>
        <w:ind w:left="2970" w:hanging="180"/>
      </w:pPr>
    </w:lvl>
    <w:lvl w:ilvl="3">
      <w:start w:val="1"/>
      <w:numFmt w:val="decimal"/>
      <w:lvlText w:val="%4."/>
      <w:lvlJc w:val="left"/>
      <w:pPr>
        <w:ind w:left="3690" w:hanging="360"/>
      </w:pPr>
    </w:lvl>
    <w:lvl w:ilvl="4">
      <w:start w:val="1"/>
      <w:numFmt w:val="lowerLetter"/>
      <w:lvlText w:val="%5."/>
      <w:lvlJc w:val="left"/>
      <w:pPr>
        <w:ind w:left="4410" w:hanging="360"/>
      </w:pPr>
    </w:lvl>
    <w:lvl w:ilvl="5">
      <w:start w:val="1"/>
      <w:numFmt w:val="lowerRoman"/>
      <w:lvlText w:val="%6."/>
      <w:lvlJc w:val="right"/>
      <w:pPr>
        <w:ind w:left="5130" w:hanging="180"/>
      </w:pPr>
    </w:lvl>
    <w:lvl w:ilvl="6">
      <w:start w:val="1"/>
      <w:numFmt w:val="decimal"/>
      <w:lvlText w:val="%7."/>
      <w:lvlJc w:val="left"/>
      <w:pPr>
        <w:ind w:left="5850" w:hanging="360"/>
      </w:pPr>
    </w:lvl>
    <w:lvl w:ilvl="7">
      <w:start w:val="1"/>
      <w:numFmt w:val="lowerLetter"/>
      <w:lvlText w:val="%8."/>
      <w:lvlJc w:val="left"/>
      <w:pPr>
        <w:ind w:left="6570" w:hanging="360"/>
      </w:pPr>
    </w:lvl>
    <w:lvl w:ilvl="8">
      <w:start w:val="1"/>
      <w:numFmt w:val="lowerRoman"/>
      <w:lvlText w:val="%9."/>
      <w:lvlJc w:val="right"/>
      <w:pPr>
        <w:ind w:left="7290" w:hanging="180"/>
      </w:pPr>
    </w:lvl>
  </w:abstractNum>
  <w:abstractNum w:abstractNumId="64" w15:restartNumberingAfterBreak="0">
    <w:nsid w:val="2DFC5B73"/>
    <w:multiLevelType w:val="multilevel"/>
    <w:tmpl w:val="668C5F2E"/>
    <w:lvl w:ilvl="0">
      <w:start w:val="1"/>
      <w:numFmt w:val="decimal"/>
      <w:lvlText w:val="%1."/>
      <w:lvlJc w:val="left"/>
      <w:pPr>
        <w:ind w:left="2880" w:hanging="360"/>
      </w:pPr>
      <w:rPr>
        <w:u w:val="single"/>
      </w:r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65" w15:restartNumberingAfterBreak="0">
    <w:nsid w:val="2EA064C6"/>
    <w:multiLevelType w:val="multilevel"/>
    <w:tmpl w:val="5C2A1B58"/>
    <w:lvl w:ilvl="0">
      <w:start w:val="1"/>
      <w:numFmt w:val="decimal"/>
      <w:lvlText w:val="%1."/>
      <w:lvlJc w:val="left"/>
      <w:pPr>
        <w:tabs>
          <w:tab w:val="num" w:pos="720"/>
        </w:tabs>
        <w:ind w:left="720" w:hanging="360"/>
      </w:pPr>
      <w:rPr>
        <w:u w:val="singl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6" w15:restartNumberingAfterBreak="0">
    <w:nsid w:val="310584E0"/>
    <w:multiLevelType w:val="hybridMultilevel"/>
    <w:tmpl w:val="9A483D58"/>
    <w:lvl w:ilvl="0" w:tplc="C3227DB8">
      <w:start w:val="2"/>
      <w:numFmt w:val="lowerLetter"/>
      <w:lvlText w:val="%1."/>
      <w:lvlJc w:val="left"/>
      <w:pPr>
        <w:ind w:left="1098" w:hanging="360"/>
      </w:pPr>
    </w:lvl>
    <w:lvl w:ilvl="1" w:tplc="A2AC1292">
      <w:start w:val="1"/>
      <w:numFmt w:val="lowerLetter"/>
      <w:lvlText w:val="%2."/>
      <w:lvlJc w:val="left"/>
      <w:pPr>
        <w:ind w:left="1818" w:hanging="360"/>
      </w:pPr>
    </w:lvl>
    <w:lvl w:ilvl="2" w:tplc="C7A6C57A">
      <w:start w:val="1"/>
      <w:numFmt w:val="lowerRoman"/>
      <w:lvlText w:val="%3."/>
      <w:lvlJc w:val="right"/>
      <w:pPr>
        <w:ind w:left="2538" w:hanging="180"/>
      </w:pPr>
    </w:lvl>
    <w:lvl w:ilvl="3" w:tplc="7398F13A">
      <w:start w:val="1"/>
      <w:numFmt w:val="decimal"/>
      <w:lvlText w:val="%4."/>
      <w:lvlJc w:val="left"/>
      <w:pPr>
        <w:ind w:left="3258" w:hanging="360"/>
      </w:pPr>
    </w:lvl>
    <w:lvl w:ilvl="4" w:tplc="C2164FA2">
      <w:start w:val="1"/>
      <w:numFmt w:val="lowerLetter"/>
      <w:lvlText w:val="%5."/>
      <w:lvlJc w:val="left"/>
      <w:pPr>
        <w:ind w:left="3978" w:hanging="360"/>
      </w:pPr>
    </w:lvl>
    <w:lvl w:ilvl="5" w:tplc="906638AA">
      <w:start w:val="1"/>
      <w:numFmt w:val="lowerRoman"/>
      <w:lvlText w:val="%6."/>
      <w:lvlJc w:val="right"/>
      <w:pPr>
        <w:ind w:left="4698" w:hanging="180"/>
      </w:pPr>
    </w:lvl>
    <w:lvl w:ilvl="6" w:tplc="2A8CC0E2">
      <w:start w:val="1"/>
      <w:numFmt w:val="decimal"/>
      <w:lvlText w:val="%7."/>
      <w:lvlJc w:val="left"/>
      <w:pPr>
        <w:ind w:left="5418" w:hanging="360"/>
      </w:pPr>
    </w:lvl>
    <w:lvl w:ilvl="7" w:tplc="12C8E8EA">
      <w:start w:val="1"/>
      <w:numFmt w:val="lowerLetter"/>
      <w:lvlText w:val="%8."/>
      <w:lvlJc w:val="left"/>
      <w:pPr>
        <w:ind w:left="6138" w:hanging="360"/>
      </w:pPr>
    </w:lvl>
    <w:lvl w:ilvl="8" w:tplc="FCF60788">
      <w:start w:val="1"/>
      <w:numFmt w:val="lowerRoman"/>
      <w:lvlText w:val="%9."/>
      <w:lvlJc w:val="right"/>
      <w:pPr>
        <w:ind w:left="6858" w:hanging="180"/>
      </w:pPr>
    </w:lvl>
  </w:abstractNum>
  <w:abstractNum w:abstractNumId="67" w15:restartNumberingAfterBreak="0">
    <w:nsid w:val="315C53A1"/>
    <w:multiLevelType w:val="hybridMultilevel"/>
    <w:tmpl w:val="731087E6"/>
    <w:lvl w:ilvl="0" w:tplc="FFFFFFFF">
      <w:start w:val="1"/>
      <w:numFmt w:val="decimal"/>
      <w:lvlText w:val="%1."/>
      <w:lvlJc w:val="left"/>
      <w:pPr>
        <w:ind w:left="2430" w:hanging="360"/>
      </w:pPr>
      <w:rPr>
        <w:rFonts w:hint="default"/>
        <w:color w:val="auto"/>
        <w:u w:val="none"/>
      </w:rPr>
    </w:lvl>
    <w:lvl w:ilvl="1" w:tplc="FFFFFFFF">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68" w15:restartNumberingAfterBreak="0">
    <w:nsid w:val="3195682A"/>
    <w:multiLevelType w:val="multilevel"/>
    <w:tmpl w:val="C7F0BF8A"/>
    <w:lvl w:ilvl="0">
      <w:start w:val="1"/>
      <w:numFmt w:val="decimal"/>
      <w:lvlText w:val="%1."/>
      <w:lvlJc w:val="left"/>
      <w:pPr>
        <w:ind w:left="1800" w:hanging="360"/>
      </w:pPr>
    </w:lvl>
    <w:lvl w:ilvl="1">
      <w:start w:val="1"/>
      <w:numFmt w:val="decimal"/>
      <w:lvlText w:val="1.%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69" w15:restartNumberingAfterBreak="0">
    <w:nsid w:val="3248CCB1"/>
    <w:multiLevelType w:val="hybridMultilevel"/>
    <w:tmpl w:val="D0447E5E"/>
    <w:lvl w:ilvl="0" w:tplc="38D0F514">
      <w:start w:val="5"/>
      <w:numFmt w:val="decimal"/>
      <w:lvlText w:val="%1."/>
      <w:lvlJc w:val="left"/>
      <w:pPr>
        <w:ind w:left="450" w:hanging="360"/>
      </w:pPr>
    </w:lvl>
    <w:lvl w:ilvl="1" w:tplc="C73A9E52">
      <w:start w:val="1"/>
      <w:numFmt w:val="lowerLetter"/>
      <w:lvlText w:val="%2."/>
      <w:lvlJc w:val="left"/>
      <w:pPr>
        <w:ind w:left="1170" w:hanging="360"/>
      </w:pPr>
    </w:lvl>
    <w:lvl w:ilvl="2" w:tplc="17BE336A">
      <w:start w:val="1"/>
      <w:numFmt w:val="lowerRoman"/>
      <w:lvlText w:val="%3."/>
      <w:lvlJc w:val="right"/>
      <w:pPr>
        <w:ind w:left="1890" w:hanging="180"/>
      </w:pPr>
    </w:lvl>
    <w:lvl w:ilvl="3" w:tplc="D7D4732A">
      <w:start w:val="1"/>
      <w:numFmt w:val="decimal"/>
      <w:lvlText w:val="%4."/>
      <w:lvlJc w:val="left"/>
      <w:pPr>
        <w:ind w:left="2610" w:hanging="360"/>
      </w:pPr>
    </w:lvl>
    <w:lvl w:ilvl="4" w:tplc="78DE7F80">
      <w:start w:val="1"/>
      <w:numFmt w:val="lowerLetter"/>
      <w:lvlText w:val="%5."/>
      <w:lvlJc w:val="left"/>
      <w:pPr>
        <w:ind w:left="3330" w:hanging="360"/>
      </w:pPr>
    </w:lvl>
    <w:lvl w:ilvl="5" w:tplc="F7B6C5FC">
      <w:start w:val="1"/>
      <w:numFmt w:val="lowerRoman"/>
      <w:lvlText w:val="%6."/>
      <w:lvlJc w:val="right"/>
      <w:pPr>
        <w:ind w:left="4050" w:hanging="180"/>
      </w:pPr>
    </w:lvl>
    <w:lvl w:ilvl="6" w:tplc="E0720910">
      <w:start w:val="1"/>
      <w:numFmt w:val="decimal"/>
      <w:lvlText w:val="%7."/>
      <w:lvlJc w:val="left"/>
      <w:pPr>
        <w:ind w:left="4770" w:hanging="360"/>
      </w:pPr>
    </w:lvl>
    <w:lvl w:ilvl="7" w:tplc="EAB83A2C">
      <w:start w:val="1"/>
      <w:numFmt w:val="lowerLetter"/>
      <w:lvlText w:val="%8."/>
      <w:lvlJc w:val="left"/>
      <w:pPr>
        <w:ind w:left="5490" w:hanging="360"/>
      </w:pPr>
    </w:lvl>
    <w:lvl w:ilvl="8" w:tplc="2BC6AA7E">
      <w:start w:val="1"/>
      <w:numFmt w:val="lowerRoman"/>
      <w:lvlText w:val="%9."/>
      <w:lvlJc w:val="right"/>
      <w:pPr>
        <w:ind w:left="6210" w:hanging="180"/>
      </w:pPr>
    </w:lvl>
  </w:abstractNum>
  <w:abstractNum w:abstractNumId="70" w15:restartNumberingAfterBreak="0">
    <w:nsid w:val="32563534"/>
    <w:multiLevelType w:val="multilevel"/>
    <w:tmpl w:val="FCAAA2EA"/>
    <w:lvl w:ilvl="0">
      <w:start w:val="1"/>
      <w:numFmt w:val="decimal"/>
      <w:lvlText w:val="%1."/>
      <w:lvlJc w:val="left"/>
      <w:pPr>
        <w:ind w:left="720" w:hanging="360"/>
      </w:pPr>
      <w:rPr>
        <w:u w:val="singl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32A96D90"/>
    <w:multiLevelType w:val="multilevel"/>
    <w:tmpl w:val="DEB43CC4"/>
    <w:lvl w:ilvl="0">
      <w:start w:val="5"/>
      <w:numFmt w:val="decimal"/>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33D64494"/>
    <w:multiLevelType w:val="hybridMultilevel"/>
    <w:tmpl w:val="005E5EC2"/>
    <w:lvl w:ilvl="0" w:tplc="C27A5F6A">
      <w:start w:val="1"/>
      <w:numFmt w:val="lowerLetter"/>
      <w:lvlText w:val="%1)"/>
      <w:lvlJc w:val="left"/>
      <w:pPr>
        <w:ind w:left="1710" w:hanging="360"/>
      </w:pPr>
      <w:rPr>
        <w:u w:val="single"/>
      </w:rPr>
    </w:lvl>
    <w:lvl w:ilvl="1" w:tplc="CA3A95A8">
      <w:start w:val="1"/>
      <w:numFmt w:val="lowerLetter"/>
      <w:lvlText w:val="%2."/>
      <w:lvlJc w:val="left"/>
      <w:pPr>
        <w:ind w:left="1440" w:hanging="360"/>
      </w:pPr>
    </w:lvl>
    <w:lvl w:ilvl="2" w:tplc="B8808E5A">
      <w:start w:val="1"/>
      <w:numFmt w:val="lowerRoman"/>
      <w:lvlText w:val="%3."/>
      <w:lvlJc w:val="right"/>
      <w:pPr>
        <w:ind w:left="2160" w:hanging="180"/>
      </w:pPr>
    </w:lvl>
    <w:lvl w:ilvl="3" w:tplc="7CC02E86">
      <w:start w:val="1"/>
      <w:numFmt w:val="decimal"/>
      <w:lvlText w:val="%4."/>
      <w:lvlJc w:val="left"/>
      <w:pPr>
        <w:ind w:left="2880" w:hanging="360"/>
      </w:pPr>
    </w:lvl>
    <w:lvl w:ilvl="4" w:tplc="43D4A2E0">
      <w:start w:val="1"/>
      <w:numFmt w:val="lowerLetter"/>
      <w:lvlText w:val="%5."/>
      <w:lvlJc w:val="left"/>
      <w:pPr>
        <w:ind w:left="3600" w:hanging="360"/>
      </w:pPr>
    </w:lvl>
    <w:lvl w:ilvl="5" w:tplc="F25A1414">
      <w:start w:val="1"/>
      <w:numFmt w:val="lowerRoman"/>
      <w:lvlText w:val="%6."/>
      <w:lvlJc w:val="right"/>
      <w:pPr>
        <w:ind w:left="4320" w:hanging="180"/>
      </w:pPr>
    </w:lvl>
    <w:lvl w:ilvl="6" w:tplc="C066BD46">
      <w:start w:val="1"/>
      <w:numFmt w:val="decimal"/>
      <w:lvlText w:val="%7."/>
      <w:lvlJc w:val="left"/>
      <w:pPr>
        <w:ind w:left="5040" w:hanging="360"/>
      </w:pPr>
    </w:lvl>
    <w:lvl w:ilvl="7" w:tplc="AB44BD5C">
      <w:start w:val="1"/>
      <w:numFmt w:val="lowerLetter"/>
      <w:lvlText w:val="%8."/>
      <w:lvlJc w:val="left"/>
      <w:pPr>
        <w:ind w:left="5760" w:hanging="360"/>
      </w:pPr>
    </w:lvl>
    <w:lvl w:ilvl="8" w:tplc="1E120B50">
      <w:start w:val="1"/>
      <w:numFmt w:val="lowerRoman"/>
      <w:lvlText w:val="%9."/>
      <w:lvlJc w:val="right"/>
      <w:pPr>
        <w:ind w:left="6480" w:hanging="180"/>
      </w:pPr>
    </w:lvl>
  </w:abstractNum>
  <w:abstractNum w:abstractNumId="73" w15:restartNumberingAfterBreak="0">
    <w:nsid w:val="33FD62F3"/>
    <w:multiLevelType w:val="multilevel"/>
    <w:tmpl w:val="7EF865F6"/>
    <w:lvl w:ilvl="0">
      <w:start w:val="1"/>
      <w:numFmt w:val="decimal"/>
      <w:lvlText w:val="%1."/>
      <w:lvlJc w:val="left"/>
      <w:pPr>
        <w:ind w:left="720" w:hanging="360"/>
      </w:pPr>
      <w:rPr>
        <w:u w:val="singl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34B24AD6"/>
    <w:multiLevelType w:val="multilevel"/>
    <w:tmpl w:val="597C80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5" w15:restartNumberingAfterBreak="0">
    <w:nsid w:val="34C24371"/>
    <w:multiLevelType w:val="multilevel"/>
    <w:tmpl w:val="21B8E8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35D327CF"/>
    <w:multiLevelType w:val="hybridMultilevel"/>
    <w:tmpl w:val="D858527A"/>
    <w:lvl w:ilvl="0" w:tplc="A268199E">
      <w:start w:val="1"/>
      <w:numFmt w:val="decimal"/>
      <w:lvlText w:val="%1."/>
      <w:lvlJc w:val="left"/>
      <w:pPr>
        <w:ind w:left="360" w:hanging="360"/>
      </w:pPr>
      <w:rPr>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7" w15:restartNumberingAfterBreak="0">
    <w:nsid w:val="36261384"/>
    <w:multiLevelType w:val="multilevel"/>
    <w:tmpl w:val="164A784A"/>
    <w:lvl w:ilvl="0">
      <w:start w:val="1"/>
      <w:numFmt w:val="decimal"/>
      <w:lvlText w:val="%1."/>
      <w:lvlJc w:val="left"/>
      <w:pPr>
        <w:ind w:left="720" w:hanging="360"/>
      </w:pPr>
      <w:rPr>
        <w:u w:val="singl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 w15:restartNumberingAfterBreak="0">
    <w:nsid w:val="362C7F10"/>
    <w:multiLevelType w:val="multilevel"/>
    <w:tmpl w:val="A00EBC3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9" w15:restartNumberingAfterBreak="0">
    <w:nsid w:val="368F4469"/>
    <w:multiLevelType w:val="multilevel"/>
    <w:tmpl w:val="6156A9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37C657B4"/>
    <w:multiLevelType w:val="multilevel"/>
    <w:tmpl w:val="CBB80A06"/>
    <w:lvl w:ilvl="0">
      <w:start w:val="1"/>
      <w:numFmt w:val="decimal"/>
      <w:lvlText w:val="%1."/>
      <w:lvlJc w:val="left"/>
      <w:pPr>
        <w:ind w:left="1260" w:hanging="360"/>
      </w:pPr>
      <w:rPr>
        <w:u w:val="single"/>
      </w:rPr>
    </w:lvl>
    <w:lvl w:ilvl="1">
      <w:start w:val="1"/>
      <w:numFmt w:val="lowerLetter"/>
      <w:lvlText w:val="%2."/>
      <w:lvlJc w:val="left"/>
      <w:pPr>
        <w:ind w:left="1575" w:hanging="360"/>
      </w:pPr>
    </w:lvl>
    <w:lvl w:ilvl="2">
      <w:start w:val="1"/>
      <w:numFmt w:val="lowerRoman"/>
      <w:lvlText w:val="%3."/>
      <w:lvlJc w:val="right"/>
      <w:pPr>
        <w:ind w:left="2295" w:hanging="180"/>
      </w:pPr>
    </w:lvl>
    <w:lvl w:ilvl="3">
      <w:start w:val="1"/>
      <w:numFmt w:val="decimal"/>
      <w:lvlText w:val="%4."/>
      <w:lvlJc w:val="left"/>
      <w:pPr>
        <w:ind w:left="3015" w:hanging="360"/>
      </w:pPr>
    </w:lvl>
    <w:lvl w:ilvl="4">
      <w:start w:val="1"/>
      <w:numFmt w:val="lowerLetter"/>
      <w:lvlText w:val="%5."/>
      <w:lvlJc w:val="left"/>
      <w:pPr>
        <w:ind w:left="3735" w:hanging="360"/>
      </w:pPr>
    </w:lvl>
    <w:lvl w:ilvl="5">
      <w:start w:val="1"/>
      <w:numFmt w:val="lowerRoman"/>
      <w:lvlText w:val="%6."/>
      <w:lvlJc w:val="right"/>
      <w:pPr>
        <w:ind w:left="4455" w:hanging="180"/>
      </w:pPr>
    </w:lvl>
    <w:lvl w:ilvl="6">
      <w:start w:val="1"/>
      <w:numFmt w:val="decimal"/>
      <w:lvlText w:val="%7."/>
      <w:lvlJc w:val="left"/>
      <w:pPr>
        <w:ind w:left="5175" w:hanging="360"/>
      </w:pPr>
    </w:lvl>
    <w:lvl w:ilvl="7">
      <w:start w:val="1"/>
      <w:numFmt w:val="lowerLetter"/>
      <w:lvlText w:val="%8."/>
      <w:lvlJc w:val="left"/>
      <w:pPr>
        <w:ind w:left="5895" w:hanging="360"/>
      </w:pPr>
    </w:lvl>
    <w:lvl w:ilvl="8">
      <w:start w:val="1"/>
      <w:numFmt w:val="lowerRoman"/>
      <w:lvlText w:val="%9."/>
      <w:lvlJc w:val="right"/>
      <w:pPr>
        <w:ind w:left="6615" w:hanging="180"/>
      </w:pPr>
    </w:lvl>
  </w:abstractNum>
  <w:abstractNum w:abstractNumId="81" w15:restartNumberingAfterBreak="0">
    <w:nsid w:val="39676500"/>
    <w:multiLevelType w:val="multilevel"/>
    <w:tmpl w:val="176008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3968C62A"/>
    <w:multiLevelType w:val="multilevel"/>
    <w:tmpl w:val="352895CE"/>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 w15:restartNumberingAfterBreak="0">
    <w:nsid w:val="3BAA23F8"/>
    <w:multiLevelType w:val="hybridMultilevel"/>
    <w:tmpl w:val="3B881B1E"/>
    <w:lvl w:ilvl="0" w:tplc="BE8EF65E">
      <w:start w:val="1"/>
      <w:numFmt w:val="lowerLetter"/>
      <w:lvlText w:val="%1."/>
      <w:lvlJc w:val="left"/>
      <w:pPr>
        <w:ind w:left="434" w:hanging="360"/>
      </w:pPr>
    </w:lvl>
    <w:lvl w:ilvl="1" w:tplc="062AEB92">
      <w:start w:val="1"/>
      <w:numFmt w:val="lowerLetter"/>
      <w:lvlText w:val="%2."/>
      <w:lvlJc w:val="left"/>
      <w:pPr>
        <w:ind w:left="1154" w:hanging="360"/>
      </w:pPr>
    </w:lvl>
    <w:lvl w:ilvl="2" w:tplc="D02EFE8A">
      <w:start w:val="1"/>
      <w:numFmt w:val="lowerRoman"/>
      <w:lvlText w:val="%3."/>
      <w:lvlJc w:val="right"/>
      <w:pPr>
        <w:ind w:left="1874" w:hanging="180"/>
      </w:pPr>
    </w:lvl>
    <w:lvl w:ilvl="3" w:tplc="7E80889C">
      <w:start w:val="1"/>
      <w:numFmt w:val="decimal"/>
      <w:lvlText w:val="%4."/>
      <w:lvlJc w:val="left"/>
      <w:pPr>
        <w:ind w:left="2594" w:hanging="360"/>
      </w:pPr>
    </w:lvl>
    <w:lvl w:ilvl="4" w:tplc="28103994">
      <w:start w:val="1"/>
      <w:numFmt w:val="lowerLetter"/>
      <w:lvlText w:val="%5."/>
      <w:lvlJc w:val="left"/>
      <w:pPr>
        <w:ind w:left="3314" w:hanging="360"/>
      </w:pPr>
    </w:lvl>
    <w:lvl w:ilvl="5" w:tplc="34E24890">
      <w:start w:val="1"/>
      <w:numFmt w:val="lowerRoman"/>
      <w:lvlText w:val="%6."/>
      <w:lvlJc w:val="right"/>
      <w:pPr>
        <w:ind w:left="4034" w:hanging="180"/>
      </w:pPr>
    </w:lvl>
    <w:lvl w:ilvl="6" w:tplc="53240352">
      <w:start w:val="1"/>
      <w:numFmt w:val="decimal"/>
      <w:lvlText w:val="%7."/>
      <w:lvlJc w:val="left"/>
      <w:pPr>
        <w:ind w:left="4754" w:hanging="360"/>
      </w:pPr>
    </w:lvl>
    <w:lvl w:ilvl="7" w:tplc="A81AA056">
      <w:start w:val="1"/>
      <w:numFmt w:val="lowerLetter"/>
      <w:lvlText w:val="%8."/>
      <w:lvlJc w:val="left"/>
      <w:pPr>
        <w:ind w:left="5474" w:hanging="360"/>
      </w:pPr>
    </w:lvl>
    <w:lvl w:ilvl="8" w:tplc="77B4D850">
      <w:start w:val="1"/>
      <w:numFmt w:val="lowerRoman"/>
      <w:lvlText w:val="%9."/>
      <w:lvlJc w:val="right"/>
      <w:pPr>
        <w:ind w:left="6194" w:hanging="180"/>
      </w:pPr>
    </w:lvl>
  </w:abstractNum>
  <w:abstractNum w:abstractNumId="84" w15:restartNumberingAfterBreak="0">
    <w:nsid w:val="3C6C3B2D"/>
    <w:multiLevelType w:val="multilevel"/>
    <w:tmpl w:val="84403032"/>
    <w:lvl w:ilvl="0">
      <w:start w:val="6"/>
      <w:numFmt w:val="decimal"/>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u w:val="single"/>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 w15:restartNumberingAfterBreak="0">
    <w:nsid w:val="3C7BE4F9"/>
    <w:multiLevelType w:val="multilevel"/>
    <w:tmpl w:val="8C74DBF0"/>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6" w15:restartNumberingAfterBreak="0">
    <w:nsid w:val="3DEE17E4"/>
    <w:multiLevelType w:val="multilevel"/>
    <w:tmpl w:val="7AB4E4C4"/>
    <w:lvl w:ilvl="0">
      <w:start w:val="1"/>
      <w:numFmt w:val="decimal"/>
      <w:lvlText w:val="%1."/>
      <w:lvlJc w:val="left"/>
      <w:pPr>
        <w:ind w:left="990" w:hanging="360"/>
      </w:pPr>
      <w:rPr>
        <w:u w:val="single"/>
      </w:r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87" w15:restartNumberingAfterBreak="0">
    <w:nsid w:val="3E5DFBC7"/>
    <w:multiLevelType w:val="hybridMultilevel"/>
    <w:tmpl w:val="001A410E"/>
    <w:lvl w:ilvl="0" w:tplc="41DE2F4C">
      <w:start w:val="1"/>
      <w:numFmt w:val="decimal"/>
      <w:lvlText w:val="%1."/>
      <w:lvlJc w:val="left"/>
      <w:pPr>
        <w:ind w:left="1170" w:hanging="360"/>
      </w:pPr>
    </w:lvl>
    <w:lvl w:ilvl="1" w:tplc="CB12ED10">
      <w:start w:val="1"/>
      <w:numFmt w:val="lowerLetter"/>
      <w:lvlText w:val="%2."/>
      <w:lvlJc w:val="left"/>
      <w:pPr>
        <w:ind w:left="1890" w:hanging="360"/>
      </w:pPr>
    </w:lvl>
    <w:lvl w:ilvl="2" w:tplc="080624CC">
      <w:start w:val="1"/>
      <w:numFmt w:val="lowerRoman"/>
      <w:lvlText w:val="%3."/>
      <w:lvlJc w:val="right"/>
      <w:pPr>
        <w:ind w:left="2610" w:hanging="180"/>
      </w:pPr>
    </w:lvl>
    <w:lvl w:ilvl="3" w:tplc="1540808C">
      <w:start w:val="1"/>
      <w:numFmt w:val="decimal"/>
      <w:lvlText w:val="%4."/>
      <w:lvlJc w:val="left"/>
      <w:pPr>
        <w:ind w:left="3330" w:hanging="360"/>
      </w:pPr>
    </w:lvl>
    <w:lvl w:ilvl="4" w:tplc="F124A114">
      <w:start w:val="1"/>
      <w:numFmt w:val="lowerLetter"/>
      <w:lvlText w:val="%5."/>
      <w:lvlJc w:val="left"/>
      <w:pPr>
        <w:ind w:left="4050" w:hanging="360"/>
      </w:pPr>
    </w:lvl>
    <w:lvl w:ilvl="5" w:tplc="E9563904">
      <w:start w:val="1"/>
      <w:numFmt w:val="lowerRoman"/>
      <w:lvlText w:val="%6."/>
      <w:lvlJc w:val="right"/>
      <w:pPr>
        <w:ind w:left="4770" w:hanging="180"/>
      </w:pPr>
    </w:lvl>
    <w:lvl w:ilvl="6" w:tplc="97C00EB6">
      <w:start w:val="1"/>
      <w:numFmt w:val="decimal"/>
      <w:lvlText w:val="%7."/>
      <w:lvlJc w:val="left"/>
      <w:pPr>
        <w:ind w:left="5490" w:hanging="360"/>
      </w:pPr>
    </w:lvl>
    <w:lvl w:ilvl="7" w:tplc="BF26B348">
      <w:start w:val="1"/>
      <w:numFmt w:val="lowerLetter"/>
      <w:lvlText w:val="%8."/>
      <w:lvlJc w:val="left"/>
      <w:pPr>
        <w:ind w:left="6210" w:hanging="360"/>
      </w:pPr>
    </w:lvl>
    <w:lvl w:ilvl="8" w:tplc="45D8BB3C">
      <w:start w:val="1"/>
      <w:numFmt w:val="lowerRoman"/>
      <w:lvlText w:val="%9."/>
      <w:lvlJc w:val="right"/>
      <w:pPr>
        <w:ind w:left="6930" w:hanging="180"/>
      </w:pPr>
    </w:lvl>
  </w:abstractNum>
  <w:abstractNum w:abstractNumId="88" w15:restartNumberingAfterBreak="0">
    <w:nsid w:val="3F46899B"/>
    <w:multiLevelType w:val="hybridMultilevel"/>
    <w:tmpl w:val="6972B94C"/>
    <w:lvl w:ilvl="0" w:tplc="40FC769E">
      <w:start w:val="1"/>
      <w:numFmt w:val="lowerLetter"/>
      <w:lvlText w:val="%1."/>
      <w:lvlJc w:val="left"/>
      <w:pPr>
        <w:ind w:left="900" w:hanging="360"/>
      </w:pPr>
    </w:lvl>
    <w:lvl w:ilvl="1" w:tplc="29AAB976">
      <w:start w:val="1"/>
      <w:numFmt w:val="lowerLetter"/>
      <w:lvlText w:val="%2."/>
      <w:lvlJc w:val="left"/>
      <w:pPr>
        <w:ind w:left="1620" w:hanging="360"/>
      </w:pPr>
    </w:lvl>
    <w:lvl w:ilvl="2" w:tplc="6DE2FEAC">
      <w:start w:val="1"/>
      <w:numFmt w:val="lowerRoman"/>
      <w:lvlText w:val="%3."/>
      <w:lvlJc w:val="right"/>
      <w:pPr>
        <w:ind w:left="2340" w:hanging="180"/>
      </w:pPr>
    </w:lvl>
    <w:lvl w:ilvl="3" w:tplc="BE6E2CE0">
      <w:start w:val="1"/>
      <w:numFmt w:val="decimal"/>
      <w:lvlText w:val="%4."/>
      <w:lvlJc w:val="left"/>
      <w:pPr>
        <w:ind w:left="3060" w:hanging="360"/>
      </w:pPr>
    </w:lvl>
    <w:lvl w:ilvl="4" w:tplc="10C6EEC8">
      <w:start w:val="1"/>
      <w:numFmt w:val="lowerLetter"/>
      <w:lvlText w:val="%5."/>
      <w:lvlJc w:val="left"/>
      <w:pPr>
        <w:ind w:left="3780" w:hanging="360"/>
      </w:pPr>
    </w:lvl>
    <w:lvl w:ilvl="5" w:tplc="347CEBC0">
      <w:start w:val="1"/>
      <w:numFmt w:val="lowerRoman"/>
      <w:lvlText w:val="%6."/>
      <w:lvlJc w:val="right"/>
      <w:pPr>
        <w:ind w:left="4500" w:hanging="180"/>
      </w:pPr>
    </w:lvl>
    <w:lvl w:ilvl="6" w:tplc="CD0E14C2">
      <w:start w:val="1"/>
      <w:numFmt w:val="decimal"/>
      <w:lvlText w:val="%7."/>
      <w:lvlJc w:val="left"/>
      <w:pPr>
        <w:ind w:left="5220" w:hanging="360"/>
      </w:pPr>
    </w:lvl>
    <w:lvl w:ilvl="7" w:tplc="AC84E68C">
      <w:start w:val="1"/>
      <w:numFmt w:val="lowerLetter"/>
      <w:lvlText w:val="%8."/>
      <w:lvlJc w:val="left"/>
      <w:pPr>
        <w:ind w:left="5940" w:hanging="360"/>
      </w:pPr>
    </w:lvl>
    <w:lvl w:ilvl="8" w:tplc="062E8B12">
      <w:start w:val="1"/>
      <w:numFmt w:val="lowerRoman"/>
      <w:lvlText w:val="%9."/>
      <w:lvlJc w:val="right"/>
      <w:pPr>
        <w:ind w:left="6660" w:hanging="180"/>
      </w:pPr>
    </w:lvl>
  </w:abstractNum>
  <w:abstractNum w:abstractNumId="89" w15:restartNumberingAfterBreak="0">
    <w:nsid w:val="3F8C9097"/>
    <w:multiLevelType w:val="multilevel"/>
    <w:tmpl w:val="FB3A9D6E"/>
    <w:lvl w:ilvl="0">
      <w:start w:val="3"/>
      <w:numFmt w:val="decimal"/>
      <w:lvlText w:val="%1."/>
      <w:lvlJc w:val="left"/>
      <w:pPr>
        <w:ind w:left="720" w:hanging="360"/>
      </w:pPr>
      <w:rPr>
        <w:u w:val="singl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0" w15:restartNumberingAfterBreak="0">
    <w:nsid w:val="3FB77DF7"/>
    <w:multiLevelType w:val="hybridMultilevel"/>
    <w:tmpl w:val="230A9112"/>
    <w:lvl w:ilvl="0" w:tplc="E5825130">
      <w:start w:val="1"/>
      <w:numFmt w:val="decimal"/>
      <w:lvlText w:val="%1."/>
      <w:lvlJc w:val="left"/>
      <w:pPr>
        <w:ind w:left="850" w:hanging="39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91" w15:restartNumberingAfterBreak="0">
    <w:nsid w:val="3FB7FDE6"/>
    <w:multiLevelType w:val="hybridMultilevel"/>
    <w:tmpl w:val="E7ECE6E4"/>
    <w:lvl w:ilvl="0" w:tplc="4BD2264E">
      <w:start w:val="1"/>
      <w:numFmt w:val="lowerLetter"/>
      <w:lvlText w:val="%1."/>
      <w:lvlJc w:val="left"/>
      <w:pPr>
        <w:ind w:left="720" w:hanging="360"/>
      </w:pPr>
    </w:lvl>
    <w:lvl w:ilvl="1" w:tplc="DAACAB62">
      <w:start w:val="1"/>
      <w:numFmt w:val="decimal"/>
      <w:lvlText w:val="%2."/>
      <w:lvlJc w:val="left"/>
      <w:pPr>
        <w:ind w:left="1440" w:hanging="360"/>
      </w:pPr>
    </w:lvl>
    <w:lvl w:ilvl="2" w:tplc="5DA4E43E">
      <w:start w:val="1"/>
      <w:numFmt w:val="lowerRoman"/>
      <w:lvlText w:val="%3."/>
      <w:lvlJc w:val="right"/>
      <w:pPr>
        <w:ind w:left="2160" w:hanging="180"/>
      </w:pPr>
    </w:lvl>
    <w:lvl w:ilvl="3" w:tplc="A4F843EE">
      <w:start w:val="1"/>
      <w:numFmt w:val="decimal"/>
      <w:lvlText w:val="%4."/>
      <w:lvlJc w:val="left"/>
      <w:pPr>
        <w:ind w:left="2880" w:hanging="360"/>
      </w:pPr>
    </w:lvl>
    <w:lvl w:ilvl="4" w:tplc="58D421A2">
      <w:start w:val="1"/>
      <w:numFmt w:val="lowerLetter"/>
      <w:lvlText w:val="%5."/>
      <w:lvlJc w:val="left"/>
      <w:pPr>
        <w:ind w:left="3600" w:hanging="360"/>
      </w:pPr>
    </w:lvl>
    <w:lvl w:ilvl="5" w:tplc="85B8552C">
      <w:start w:val="1"/>
      <w:numFmt w:val="lowerRoman"/>
      <w:lvlText w:val="%6."/>
      <w:lvlJc w:val="right"/>
      <w:pPr>
        <w:ind w:left="4320" w:hanging="180"/>
      </w:pPr>
    </w:lvl>
    <w:lvl w:ilvl="6" w:tplc="D9C6343C">
      <w:start w:val="1"/>
      <w:numFmt w:val="decimal"/>
      <w:lvlText w:val="%7."/>
      <w:lvlJc w:val="left"/>
      <w:pPr>
        <w:ind w:left="5040" w:hanging="360"/>
      </w:pPr>
    </w:lvl>
    <w:lvl w:ilvl="7" w:tplc="31700462">
      <w:start w:val="1"/>
      <w:numFmt w:val="lowerLetter"/>
      <w:lvlText w:val="%8."/>
      <w:lvlJc w:val="left"/>
      <w:pPr>
        <w:ind w:left="5760" w:hanging="360"/>
      </w:pPr>
    </w:lvl>
    <w:lvl w:ilvl="8" w:tplc="5E625A24">
      <w:start w:val="1"/>
      <w:numFmt w:val="lowerRoman"/>
      <w:lvlText w:val="%9."/>
      <w:lvlJc w:val="right"/>
      <w:pPr>
        <w:ind w:left="6480" w:hanging="180"/>
      </w:pPr>
    </w:lvl>
  </w:abstractNum>
  <w:abstractNum w:abstractNumId="92" w15:restartNumberingAfterBreak="0">
    <w:nsid w:val="3FB964EE"/>
    <w:multiLevelType w:val="multilevel"/>
    <w:tmpl w:val="3B488798"/>
    <w:lvl w:ilvl="0">
      <w:start w:val="1"/>
      <w:numFmt w:val="decimal"/>
      <w:lvlText w:val="%1."/>
      <w:lvlJc w:val="left"/>
      <w:pPr>
        <w:ind w:left="1530" w:hanging="360"/>
      </w:pPr>
      <w:rPr>
        <w:u w:val="single"/>
      </w:rPr>
    </w:lvl>
    <w:lvl w:ilvl="1">
      <w:start w:val="1"/>
      <w:numFmt w:val="lowerLetter"/>
      <w:lvlText w:val="%2."/>
      <w:lvlJc w:val="left"/>
      <w:pPr>
        <w:ind w:left="2250" w:hanging="360"/>
      </w:pPr>
    </w:lvl>
    <w:lvl w:ilvl="2">
      <w:start w:val="1"/>
      <w:numFmt w:val="lowerRoman"/>
      <w:lvlText w:val="%3."/>
      <w:lvlJc w:val="right"/>
      <w:pPr>
        <w:ind w:left="2970" w:hanging="180"/>
      </w:pPr>
    </w:lvl>
    <w:lvl w:ilvl="3">
      <w:start w:val="1"/>
      <w:numFmt w:val="decimal"/>
      <w:lvlText w:val="%4."/>
      <w:lvlJc w:val="left"/>
      <w:pPr>
        <w:ind w:left="3690" w:hanging="360"/>
      </w:pPr>
    </w:lvl>
    <w:lvl w:ilvl="4">
      <w:start w:val="1"/>
      <w:numFmt w:val="lowerLetter"/>
      <w:lvlText w:val="%5."/>
      <w:lvlJc w:val="left"/>
      <w:pPr>
        <w:ind w:left="4410" w:hanging="360"/>
      </w:pPr>
    </w:lvl>
    <w:lvl w:ilvl="5">
      <w:start w:val="1"/>
      <w:numFmt w:val="lowerRoman"/>
      <w:lvlText w:val="%6."/>
      <w:lvlJc w:val="right"/>
      <w:pPr>
        <w:ind w:left="5130" w:hanging="180"/>
      </w:pPr>
    </w:lvl>
    <w:lvl w:ilvl="6">
      <w:start w:val="1"/>
      <w:numFmt w:val="decimal"/>
      <w:lvlText w:val="%7."/>
      <w:lvlJc w:val="left"/>
      <w:pPr>
        <w:ind w:left="5850" w:hanging="360"/>
      </w:pPr>
    </w:lvl>
    <w:lvl w:ilvl="7">
      <w:start w:val="1"/>
      <w:numFmt w:val="lowerLetter"/>
      <w:lvlText w:val="%8."/>
      <w:lvlJc w:val="left"/>
      <w:pPr>
        <w:ind w:left="6570" w:hanging="360"/>
      </w:pPr>
    </w:lvl>
    <w:lvl w:ilvl="8">
      <w:start w:val="1"/>
      <w:numFmt w:val="lowerRoman"/>
      <w:lvlText w:val="%9."/>
      <w:lvlJc w:val="right"/>
      <w:pPr>
        <w:ind w:left="7290" w:hanging="180"/>
      </w:pPr>
    </w:lvl>
  </w:abstractNum>
  <w:abstractNum w:abstractNumId="93" w15:restartNumberingAfterBreak="0">
    <w:nsid w:val="433F7BD0"/>
    <w:multiLevelType w:val="multilevel"/>
    <w:tmpl w:val="6E96E5C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460F0267"/>
    <w:multiLevelType w:val="hybridMultilevel"/>
    <w:tmpl w:val="5D26EDB4"/>
    <w:lvl w:ilvl="0" w:tplc="A3B28C1C">
      <w:start w:val="1"/>
      <w:numFmt w:val="decimal"/>
      <w:lvlText w:val="%1."/>
      <w:lvlJc w:val="left"/>
      <w:pPr>
        <w:ind w:left="864" w:hanging="360"/>
      </w:pPr>
      <w:rPr>
        <w:u w:val="single"/>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95" w15:restartNumberingAfterBreak="0">
    <w:nsid w:val="471C3105"/>
    <w:multiLevelType w:val="multilevel"/>
    <w:tmpl w:val="7534AA6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6" w15:restartNumberingAfterBreak="0">
    <w:nsid w:val="47CE69C2"/>
    <w:multiLevelType w:val="multilevel"/>
    <w:tmpl w:val="0D12CFE8"/>
    <w:lvl w:ilvl="0">
      <w:start w:val="1"/>
      <w:numFmt w:val="decimal"/>
      <w:lvlText w:val="%1."/>
      <w:lvlJc w:val="left"/>
      <w:pPr>
        <w:ind w:left="1800" w:hanging="360"/>
      </w:pPr>
    </w:lvl>
    <w:lvl w:ilvl="1">
      <w:start w:val="1"/>
      <w:numFmt w:val="decimal"/>
      <w:lvlText w:val="1.%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97" w15:restartNumberingAfterBreak="0">
    <w:nsid w:val="48182739"/>
    <w:multiLevelType w:val="multilevel"/>
    <w:tmpl w:val="4AD41C5C"/>
    <w:lvl w:ilvl="0">
      <w:start w:val="2"/>
      <w:numFmt w:val="decimal"/>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8" w15:restartNumberingAfterBreak="0">
    <w:nsid w:val="48D13B5C"/>
    <w:multiLevelType w:val="multilevel"/>
    <w:tmpl w:val="FFFFFFFF"/>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9" w15:restartNumberingAfterBreak="0">
    <w:nsid w:val="4923F854"/>
    <w:multiLevelType w:val="multilevel"/>
    <w:tmpl w:val="9C3C2B2E"/>
    <w:lvl w:ilvl="0">
      <w:start w:val="2"/>
      <w:numFmt w:val="decimal"/>
      <w:lvlText w:val="%1."/>
      <w:lvlJc w:val="left"/>
      <w:pPr>
        <w:ind w:left="720" w:hanging="360"/>
      </w:pPr>
      <w:rPr>
        <w:u w:val="singl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0" w15:restartNumberingAfterBreak="0">
    <w:nsid w:val="493624E3"/>
    <w:multiLevelType w:val="hybridMultilevel"/>
    <w:tmpl w:val="119862A4"/>
    <w:lvl w:ilvl="0" w:tplc="897CD80A">
      <w:start w:val="1"/>
      <w:numFmt w:val="lowerLetter"/>
      <w:lvlText w:val="%1."/>
      <w:lvlJc w:val="left"/>
      <w:pPr>
        <w:ind w:left="720" w:hanging="360"/>
      </w:pPr>
      <w:rPr>
        <w:u w:val="single"/>
      </w:rPr>
    </w:lvl>
    <w:lvl w:ilvl="1" w:tplc="7FA07E9E">
      <w:start w:val="1"/>
      <w:numFmt w:val="lowerLetter"/>
      <w:lvlText w:val="%2."/>
      <w:lvlJc w:val="left"/>
      <w:pPr>
        <w:ind w:left="1440" w:hanging="360"/>
      </w:pPr>
    </w:lvl>
    <w:lvl w:ilvl="2" w:tplc="0EC2ADBE">
      <w:start w:val="1"/>
      <w:numFmt w:val="lowerRoman"/>
      <w:lvlText w:val="%3."/>
      <w:lvlJc w:val="right"/>
      <w:pPr>
        <w:ind w:left="2160" w:hanging="180"/>
      </w:pPr>
    </w:lvl>
    <w:lvl w:ilvl="3" w:tplc="E4B0E83C">
      <w:start w:val="1"/>
      <w:numFmt w:val="decimal"/>
      <w:lvlText w:val="%4."/>
      <w:lvlJc w:val="left"/>
      <w:pPr>
        <w:ind w:left="2880" w:hanging="360"/>
      </w:pPr>
    </w:lvl>
    <w:lvl w:ilvl="4" w:tplc="C35AF382">
      <w:start w:val="1"/>
      <w:numFmt w:val="lowerLetter"/>
      <w:lvlText w:val="%5."/>
      <w:lvlJc w:val="left"/>
      <w:pPr>
        <w:ind w:left="3600" w:hanging="360"/>
      </w:pPr>
    </w:lvl>
    <w:lvl w:ilvl="5" w:tplc="81064D4C">
      <w:start w:val="1"/>
      <w:numFmt w:val="lowerRoman"/>
      <w:lvlText w:val="%6."/>
      <w:lvlJc w:val="right"/>
      <w:pPr>
        <w:ind w:left="4320" w:hanging="180"/>
      </w:pPr>
    </w:lvl>
    <w:lvl w:ilvl="6" w:tplc="C160391E">
      <w:start w:val="1"/>
      <w:numFmt w:val="decimal"/>
      <w:lvlText w:val="%7."/>
      <w:lvlJc w:val="left"/>
      <w:pPr>
        <w:ind w:left="5040" w:hanging="360"/>
      </w:pPr>
    </w:lvl>
    <w:lvl w:ilvl="7" w:tplc="8A0C514E">
      <w:start w:val="1"/>
      <w:numFmt w:val="lowerLetter"/>
      <w:lvlText w:val="%8."/>
      <w:lvlJc w:val="left"/>
      <w:pPr>
        <w:ind w:left="5760" w:hanging="360"/>
      </w:pPr>
    </w:lvl>
    <w:lvl w:ilvl="8" w:tplc="75ACADE2">
      <w:start w:val="1"/>
      <w:numFmt w:val="lowerRoman"/>
      <w:lvlText w:val="%9."/>
      <w:lvlJc w:val="right"/>
      <w:pPr>
        <w:ind w:left="6480" w:hanging="180"/>
      </w:pPr>
    </w:lvl>
  </w:abstractNum>
  <w:abstractNum w:abstractNumId="101" w15:restartNumberingAfterBreak="0">
    <w:nsid w:val="49882445"/>
    <w:multiLevelType w:val="singleLevel"/>
    <w:tmpl w:val="02F616F4"/>
    <w:lvl w:ilvl="0">
      <w:start w:val="1"/>
      <w:numFmt w:val="decimal"/>
      <w:pStyle w:val="FlushLeftDoublewParaNum"/>
      <w:lvlText w:val="%1."/>
      <w:lvlJc w:val="left"/>
      <w:pPr>
        <w:tabs>
          <w:tab w:val="num" w:pos="360"/>
        </w:tabs>
        <w:ind w:left="0" w:firstLine="0"/>
      </w:pPr>
      <w:rPr>
        <w:rFonts w:ascii="Times New Roman" w:hAnsi="Times New Roman" w:hint="default"/>
        <w:b w:val="0"/>
        <w:i w:val="0"/>
        <w:sz w:val="24"/>
      </w:rPr>
    </w:lvl>
  </w:abstractNum>
  <w:abstractNum w:abstractNumId="102" w15:restartNumberingAfterBreak="0">
    <w:nsid w:val="4A5E9FBE"/>
    <w:multiLevelType w:val="hybridMultilevel"/>
    <w:tmpl w:val="08621902"/>
    <w:lvl w:ilvl="0" w:tplc="ABDE19B8">
      <w:start w:val="1"/>
      <w:numFmt w:val="decimal"/>
      <w:lvlText w:val="%1."/>
      <w:lvlJc w:val="left"/>
      <w:pPr>
        <w:ind w:left="1080" w:hanging="360"/>
      </w:pPr>
      <w:rPr>
        <w:u w:val="single"/>
      </w:rPr>
    </w:lvl>
    <w:lvl w:ilvl="1" w:tplc="EF66CDE4">
      <w:start w:val="1"/>
      <w:numFmt w:val="lowerLetter"/>
      <w:lvlText w:val="%2."/>
      <w:lvlJc w:val="left"/>
      <w:pPr>
        <w:ind w:left="1440" w:hanging="360"/>
      </w:pPr>
    </w:lvl>
    <w:lvl w:ilvl="2" w:tplc="388C9FAC">
      <w:start w:val="1"/>
      <w:numFmt w:val="lowerRoman"/>
      <w:lvlText w:val="%3."/>
      <w:lvlJc w:val="right"/>
      <w:pPr>
        <w:ind w:left="2160" w:hanging="180"/>
      </w:pPr>
    </w:lvl>
    <w:lvl w:ilvl="3" w:tplc="383A9026">
      <w:start w:val="1"/>
      <w:numFmt w:val="decimal"/>
      <w:lvlText w:val="%4."/>
      <w:lvlJc w:val="left"/>
      <w:pPr>
        <w:ind w:left="2880" w:hanging="360"/>
      </w:pPr>
    </w:lvl>
    <w:lvl w:ilvl="4" w:tplc="6F42AA8A">
      <w:start w:val="1"/>
      <w:numFmt w:val="lowerLetter"/>
      <w:lvlText w:val="%5."/>
      <w:lvlJc w:val="left"/>
      <w:pPr>
        <w:ind w:left="3600" w:hanging="360"/>
      </w:pPr>
    </w:lvl>
    <w:lvl w:ilvl="5" w:tplc="F70AE4F2">
      <w:start w:val="1"/>
      <w:numFmt w:val="lowerRoman"/>
      <w:lvlText w:val="%6."/>
      <w:lvlJc w:val="right"/>
      <w:pPr>
        <w:ind w:left="4320" w:hanging="180"/>
      </w:pPr>
    </w:lvl>
    <w:lvl w:ilvl="6" w:tplc="B02292DC">
      <w:start w:val="1"/>
      <w:numFmt w:val="decimal"/>
      <w:lvlText w:val="%7."/>
      <w:lvlJc w:val="left"/>
      <w:pPr>
        <w:ind w:left="5040" w:hanging="360"/>
      </w:pPr>
    </w:lvl>
    <w:lvl w:ilvl="7" w:tplc="8012A8FA">
      <w:start w:val="1"/>
      <w:numFmt w:val="lowerLetter"/>
      <w:lvlText w:val="%8."/>
      <w:lvlJc w:val="left"/>
      <w:pPr>
        <w:ind w:left="5760" w:hanging="360"/>
      </w:pPr>
    </w:lvl>
    <w:lvl w:ilvl="8" w:tplc="0E0C2E70">
      <w:start w:val="1"/>
      <w:numFmt w:val="lowerRoman"/>
      <w:lvlText w:val="%9."/>
      <w:lvlJc w:val="right"/>
      <w:pPr>
        <w:ind w:left="6480" w:hanging="180"/>
      </w:pPr>
    </w:lvl>
  </w:abstractNum>
  <w:abstractNum w:abstractNumId="103" w15:restartNumberingAfterBreak="0">
    <w:nsid w:val="4B342533"/>
    <w:multiLevelType w:val="hybridMultilevel"/>
    <w:tmpl w:val="911A0A78"/>
    <w:lvl w:ilvl="0" w:tplc="D81078E0">
      <w:start w:val="1"/>
      <w:numFmt w:val="lowerLetter"/>
      <w:lvlText w:val="%1."/>
      <w:lvlJc w:val="left"/>
      <w:pPr>
        <w:ind w:left="720" w:hanging="360"/>
      </w:pPr>
    </w:lvl>
    <w:lvl w:ilvl="1" w:tplc="A3629376">
      <w:start w:val="1"/>
      <w:numFmt w:val="lowerLetter"/>
      <w:lvlText w:val="%2."/>
      <w:lvlJc w:val="left"/>
      <w:pPr>
        <w:ind w:left="1440" w:hanging="360"/>
      </w:pPr>
    </w:lvl>
    <w:lvl w:ilvl="2" w:tplc="793A44E2">
      <w:start w:val="1"/>
      <w:numFmt w:val="lowerRoman"/>
      <w:lvlText w:val="%3."/>
      <w:lvlJc w:val="right"/>
      <w:pPr>
        <w:ind w:left="2160" w:hanging="180"/>
      </w:pPr>
    </w:lvl>
    <w:lvl w:ilvl="3" w:tplc="E07A2580">
      <w:start w:val="1"/>
      <w:numFmt w:val="decimal"/>
      <w:lvlText w:val="%4."/>
      <w:lvlJc w:val="left"/>
      <w:pPr>
        <w:ind w:left="2880" w:hanging="360"/>
      </w:pPr>
    </w:lvl>
    <w:lvl w:ilvl="4" w:tplc="168AEF70">
      <w:start w:val="1"/>
      <w:numFmt w:val="lowerLetter"/>
      <w:lvlText w:val="%5."/>
      <w:lvlJc w:val="left"/>
      <w:pPr>
        <w:ind w:left="3600" w:hanging="360"/>
      </w:pPr>
    </w:lvl>
    <w:lvl w:ilvl="5" w:tplc="5F26C144">
      <w:start w:val="1"/>
      <w:numFmt w:val="lowerRoman"/>
      <w:lvlText w:val="%6."/>
      <w:lvlJc w:val="right"/>
      <w:pPr>
        <w:ind w:left="4320" w:hanging="180"/>
      </w:pPr>
    </w:lvl>
    <w:lvl w:ilvl="6" w:tplc="E48C7AAA">
      <w:start w:val="1"/>
      <w:numFmt w:val="decimal"/>
      <w:lvlText w:val="%7."/>
      <w:lvlJc w:val="left"/>
      <w:pPr>
        <w:ind w:left="5040" w:hanging="360"/>
      </w:pPr>
    </w:lvl>
    <w:lvl w:ilvl="7" w:tplc="424EF8D2">
      <w:start w:val="1"/>
      <w:numFmt w:val="lowerLetter"/>
      <w:lvlText w:val="%8."/>
      <w:lvlJc w:val="left"/>
      <w:pPr>
        <w:ind w:left="5760" w:hanging="360"/>
      </w:pPr>
    </w:lvl>
    <w:lvl w:ilvl="8" w:tplc="52B2E650">
      <w:start w:val="1"/>
      <w:numFmt w:val="lowerRoman"/>
      <w:lvlText w:val="%9."/>
      <w:lvlJc w:val="right"/>
      <w:pPr>
        <w:ind w:left="6480" w:hanging="180"/>
      </w:pPr>
    </w:lvl>
  </w:abstractNum>
  <w:abstractNum w:abstractNumId="104" w15:restartNumberingAfterBreak="0">
    <w:nsid w:val="4CE959CE"/>
    <w:multiLevelType w:val="multilevel"/>
    <w:tmpl w:val="494E901A"/>
    <w:lvl w:ilvl="0">
      <w:start w:val="1"/>
      <w:numFmt w:val="decimal"/>
      <w:lvlText w:val="%1."/>
      <w:lvlJc w:val="left"/>
      <w:pPr>
        <w:ind w:left="1152" w:hanging="360"/>
      </w:pPr>
    </w:lvl>
    <w:lvl w:ilvl="1">
      <w:start w:val="1"/>
      <w:numFmt w:val="decimal"/>
      <w:isLgl/>
      <w:lvlText w:val="%1.%2."/>
      <w:lvlJc w:val="left"/>
      <w:pPr>
        <w:ind w:left="2160" w:hanging="720"/>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3816" w:hanging="1080"/>
      </w:pPr>
      <w:rPr>
        <w:rFonts w:hint="default"/>
      </w:rPr>
    </w:lvl>
    <w:lvl w:ilvl="4">
      <w:start w:val="1"/>
      <w:numFmt w:val="decimal"/>
      <w:isLgl/>
      <w:lvlText w:val="%1.%2.%3.%4.%5."/>
      <w:lvlJc w:val="left"/>
      <w:pPr>
        <w:ind w:left="4464" w:hanging="1080"/>
      </w:pPr>
      <w:rPr>
        <w:rFonts w:hint="default"/>
      </w:rPr>
    </w:lvl>
    <w:lvl w:ilvl="5">
      <w:start w:val="1"/>
      <w:numFmt w:val="decimal"/>
      <w:isLgl/>
      <w:lvlText w:val="%1.%2.%3.%4.%5.%6."/>
      <w:lvlJc w:val="left"/>
      <w:pPr>
        <w:ind w:left="5472"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128" w:hanging="1800"/>
      </w:pPr>
      <w:rPr>
        <w:rFonts w:hint="default"/>
      </w:rPr>
    </w:lvl>
    <w:lvl w:ilvl="8">
      <w:start w:val="1"/>
      <w:numFmt w:val="decimal"/>
      <w:isLgl/>
      <w:lvlText w:val="%1.%2.%3.%4.%5.%6.%7.%8.%9."/>
      <w:lvlJc w:val="left"/>
      <w:pPr>
        <w:ind w:left="7776" w:hanging="1800"/>
      </w:pPr>
      <w:rPr>
        <w:rFonts w:hint="default"/>
      </w:rPr>
    </w:lvl>
  </w:abstractNum>
  <w:abstractNum w:abstractNumId="105" w15:restartNumberingAfterBreak="0">
    <w:nsid w:val="4D307948"/>
    <w:multiLevelType w:val="hybridMultilevel"/>
    <w:tmpl w:val="DB828F54"/>
    <w:lvl w:ilvl="0" w:tplc="4AAE6932">
      <w:start w:val="1"/>
      <w:numFmt w:val="upperRoman"/>
      <w:lvlText w:val="%1."/>
      <w:lvlJc w:val="left"/>
      <w:pPr>
        <w:ind w:left="720" w:hanging="720"/>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06" w15:restartNumberingAfterBreak="0">
    <w:nsid w:val="4E943911"/>
    <w:multiLevelType w:val="multilevel"/>
    <w:tmpl w:val="07D273EA"/>
    <w:lvl w:ilvl="0">
      <w:start w:val="1"/>
      <w:numFmt w:val="decimal"/>
      <w:lvlText w:val="%1)"/>
      <w:lvlJc w:val="left"/>
      <w:pPr>
        <w:tabs>
          <w:tab w:val="num" w:pos="360"/>
        </w:tabs>
        <w:ind w:left="360" w:hanging="360"/>
      </w:pPr>
    </w:lvl>
    <w:lvl w:ilvl="1">
      <w:start w:val="1"/>
      <w:numFmt w:val="lowerLetter"/>
      <w:pStyle w:val="HeadingPoint"/>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upperLetter"/>
      <w:pStyle w:val="SubHeading"/>
      <w:lvlText w:val="%4."/>
      <w:lvlJc w:val="left"/>
      <w:pPr>
        <w:tabs>
          <w:tab w:val="num" w:pos="720"/>
        </w:tabs>
        <w:ind w:left="7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7" w15:restartNumberingAfterBreak="0">
    <w:nsid w:val="4F441EA6"/>
    <w:multiLevelType w:val="singleLevel"/>
    <w:tmpl w:val="15CECF0C"/>
    <w:lvl w:ilvl="0">
      <w:start w:val="1"/>
      <w:numFmt w:val="decimal"/>
      <w:pStyle w:val="FlushLeftwParaNum"/>
      <w:lvlText w:val="%1."/>
      <w:lvlJc w:val="left"/>
      <w:pPr>
        <w:tabs>
          <w:tab w:val="num" w:pos="360"/>
        </w:tabs>
        <w:ind w:left="0" w:firstLine="0"/>
      </w:pPr>
      <w:rPr>
        <w:rFonts w:ascii="Times New Roman" w:hAnsi="Times New Roman" w:hint="default"/>
        <w:b w:val="0"/>
        <w:i w:val="0"/>
        <w:sz w:val="24"/>
      </w:rPr>
    </w:lvl>
  </w:abstractNum>
  <w:abstractNum w:abstractNumId="108" w15:restartNumberingAfterBreak="0">
    <w:nsid w:val="4FB0C5F2"/>
    <w:multiLevelType w:val="hybridMultilevel"/>
    <w:tmpl w:val="EBDE6542"/>
    <w:lvl w:ilvl="0" w:tplc="1D6887B8">
      <w:start w:val="1"/>
      <w:numFmt w:val="lowerLetter"/>
      <w:lvlText w:val="%1."/>
      <w:lvlJc w:val="left"/>
      <w:pPr>
        <w:ind w:left="2160" w:hanging="360"/>
      </w:pPr>
    </w:lvl>
    <w:lvl w:ilvl="1" w:tplc="41B09072">
      <w:start w:val="1"/>
      <w:numFmt w:val="lowerLetter"/>
      <w:lvlText w:val="%2."/>
      <w:lvlJc w:val="left"/>
      <w:pPr>
        <w:ind w:left="2160" w:hanging="360"/>
      </w:pPr>
    </w:lvl>
    <w:lvl w:ilvl="2" w:tplc="D1A07EB2">
      <w:start w:val="1"/>
      <w:numFmt w:val="lowerRoman"/>
      <w:lvlText w:val="%3."/>
      <w:lvlJc w:val="right"/>
      <w:pPr>
        <w:ind w:left="2880" w:hanging="180"/>
      </w:pPr>
    </w:lvl>
    <w:lvl w:ilvl="3" w:tplc="0308B4EA">
      <w:start w:val="1"/>
      <w:numFmt w:val="decimal"/>
      <w:lvlText w:val="%4."/>
      <w:lvlJc w:val="left"/>
      <w:pPr>
        <w:ind w:left="3600" w:hanging="360"/>
      </w:pPr>
    </w:lvl>
    <w:lvl w:ilvl="4" w:tplc="F990C82A">
      <w:start w:val="1"/>
      <w:numFmt w:val="lowerLetter"/>
      <w:lvlText w:val="%5."/>
      <w:lvlJc w:val="left"/>
      <w:pPr>
        <w:ind w:left="4320" w:hanging="360"/>
      </w:pPr>
    </w:lvl>
    <w:lvl w:ilvl="5" w:tplc="A6E4F920">
      <w:start w:val="1"/>
      <w:numFmt w:val="lowerRoman"/>
      <w:lvlText w:val="%6."/>
      <w:lvlJc w:val="right"/>
      <w:pPr>
        <w:ind w:left="5040" w:hanging="180"/>
      </w:pPr>
    </w:lvl>
    <w:lvl w:ilvl="6" w:tplc="CF069A00">
      <w:start w:val="1"/>
      <w:numFmt w:val="decimal"/>
      <w:lvlText w:val="%7."/>
      <w:lvlJc w:val="left"/>
      <w:pPr>
        <w:ind w:left="5760" w:hanging="360"/>
      </w:pPr>
    </w:lvl>
    <w:lvl w:ilvl="7" w:tplc="73867170">
      <w:start w:val="1"/>
      <w:numFmt w:val="lowerLetter"/>
      <w:lvlText w:val="%8."/>
      <w:lvlJc w:val="left"/>
      <w:pPr>
        <w:ind w:left="6480" w:hanging="360"/>
      </w:pPr>
    </w:lvl>
    <w:lvl w:ilvl="8" w:tplc="5E6CE4E0">
      <w:start w:val="1"/>
      <w:numFmt w:val="lowerRoman"/>
      <w:lvlText w:val="%9."/>
      <w:lvlJc w:val="right"/>
      <w:pPr>
        <w:ind w:left="7200" w:hanging="180"/>
      </w:pPr>
    </w:lvl>
  </w:abstractNum>
  <w:abstractNum w:abstractNumId="109" w15:restartNumberingAfterBreak="0">
    <w:nsid w:val="50259FC1"/>
    <w:multiLevelType w:val="hybridMultilevel"/>
    <w:tmpl w:val="97ECB4B8"/>
    <w:lvl w:ilvl="0" w:tplc="7ECE30BA">
      <w:start w:val="2"/>
      <w:numFmt w:val="decimal"/>
      <w:lvlText w:val="%1."/>
      <w:lvlJc w:val="left"/>
      <w:pPr>
        <w:ind w:left="1458" w:hanging="360"/>
      </w:pPr>
    </w:lvl>
    <w:lvl w:ilvl="1" w:tplc="9552FF56">
      <w:start w:val="1"/>
      <w:numFmt w:val="lowerLetter"/>
      <w:lvlText w:val="%2."/>
      <w:lvlJc w:val="left"/>
      <w:pPr>
        <w:ind w:left="2178" w:hanging="360"/>
      </w:pPr>
    </w:lvl>
    <w:lvl w:ilvl="2" w:tplc="34C23D96">
      <w:start w:val="1"/>
      <w:numFmt w:val="lowerRoman"/>
      <w:lvlText w:val="%3."/>
      <w:lvlJc w:val="right"/>
      <w:pPr>
        <w:ind w:left="2898" w:hanging="180"/>
      </w:pPr>
    </w:lvl>
    <w:lvl w:ilvl="3" w:tplc="FD3CA874">
      <w:start w:val="1"/>
      <w:numFmt w:val="decimal"/>
      <w:lvlText w:val="%4."/>
      <w:lvlJc w:val="left"/>
      <w:pPr>
        <w:ind w:left="3618" w:hanging="360"/>
      </w:pPr>
    </w:lvl>
    <w:lvl w:ilvl="4" w:tplc="1B96B03C">
      <w:start w:val="1"/>
      <w:numFmt w:val="lowerLetter"/>
      <w:lvlText w:val="%5."/>
      <w:lvlJc w:val="left"/>
      <w:pPr>
        <w:ind w:left="4338" w:hanging="360"/>
      </w:pPr>
    </w:lvl>
    <w:lvl w:ilvl="5" w:tplc="8424CAB4">
      <w:start w:val="1"/>
      <w:numFmt w:val="lowerRoman"/>
      <w:lvlText w:val="%6."/>
      <w:lvlJc w:val="right"/>
      <w:pPr>
        <w:ind w:left="5058" w:hanging="180"/>
      </w:pPr>
    </w:lvl>
    <w:lvl w:ilvl="6" w:tplc="F06CF4C4">
      <w:start w:val="1"/>
      <w:numFmt w:val="decimal"/>
      <w:lvlText w:val="%7."/>
      <w:lvlJc w:val="left"/>
      <w:pPr>
        <w:ind w:left="5778" w:hanging="360"/>
      </w:pPr>
    </w:lvl>
    <w:lvl w:ilvl="7" w:tplc="914A6B32">
      <w:start w:val="1"/>
      <w:numFmt w:val="lowerLetter"/>
      <w:lvlText w:val="%8."/>
      <w:lvlJc w:val="left"/>
      <w:pPr>
        <w:ind w:left="6498" w:hanging="360"/>
      </w:pPr>
    </w:lvl>
    <w:lvl w:ilvl="8" w:tplc="D8DAB176">
      <w:start w:val="1"/>
      <w:numFmt w:val="lowerRoman"/>
      <w:lvlText w:val="%9."/>
      <w:lvlJc w:val="right"/>
      <w:pPr>
        <w:ind w:left="7218" w:hanging="180"/>
      </w:pPr>
    </w:lvl>
  </w:abstractNum>
  <w:abstractNum w:abstractNumId="110" w15:restartNumberingAfterBreak="0">
    <w:nsid w:val="51904852"/>
    <w:multiLevelType w:val="multilevel"/>
    <w:tmpl w:val="E758C132"/>
    <w:lvl w:ilvl="0">
      <w:start w:val="1"/>
      <w:numFmt w:val="decimal"/>
      <w:lvlText w:val="%1."/>
      <w:lvlJc w:val="left"/>
      <w:pPr>
        <w:ind w:left="2520" w:hanging="360"/>
      </w:pPr>
      <w:rPr>
        <w:u w:val="single"/>
      </w:rPr>
    </w:lvl>
    <w:lvl w:ilvl="1">
      <w:start w:val="1"/>
      <w:numFmt w:val="decimal"/>
      <w:lvlText w:val="%1.%2."/>
      <w:lvlJc w:val="left"/>
      <w:pPr>
        <w:ind w:left="3312" w:hanging="432"/>
      </w:pPr>
    </w:lvl>
    <w:lvl w:ilvl="2">
      <w:start w:val="1"/>
      <w:numFmt w:val="decimal"/>
      <w:lvlText w:val="%1.%2.%3."/>
      <w:lvlJc w:val="left"/>
      <w:pPr>
        <w:ind w:left="3384" w:hanging="504"/>
      </w:pPr>
    </w:lvl>
    <w:lvl w:ilvl="3">
      <w:start w:val="1"/>
      <w:numFmt w:val="decimal"/>
      <w:lvlText w:val="%1.%2.%3.%4."/>
      <w:lvlJc w:val="left"/>
      <w:pPr>
        <w:ind w:left="3888" w:hanging="648"/>
      </w:pPr>
    </w:lvl>
    <w:lvl w:ilvl="4">
      <w:start w:val="1"/>
      <w:numFmt w:val="decimal"/>
      <w:lvlText w:val="%1.%2.%3.%4.%5."/>
      <w:lvlJc w:val="left"/>
      <w:pPr>
        <w:ind w:left="4392" w:hanging="792"/>
      </w:pPr>
    </w:lvl>
    <w:lvl w:ilvl="5">
      <w:start w:val="1"/>
      <w:numFmt w:val="decimal"/>
      <w:lvlText w:val="%1.%2.%3.%4.%5.%6."/>
      <w:lvlJc w:val="left"/>
      <w:pPr>
        <w:ind w:left="4896" w:hanging="936"/>
      </w:pPr>
    </w:lvl>
    <w:lvl w:ilvl="6">
      <w:start w:val="1"/>
      <w:numFmt w:val="decimal"/>
      <w:lvlText w:val="%1.%2.%3.%4.%5.%6.%7."/>
      <w:lvlJc w:val="left"/>
      <w:pPr>
        <w:ind w:left="5400" w:hanging="1080"/>
      </w:pPr>
    </w:lvl>
    <w:lvl w:ilvl="7">
      <w:start w:val="1"/>
      <w:numFmt w:val="decimal"/>
      <w:lvlText w:val="%1.%2.%3.%4.%5.%6.%7.%8."/>
      <w:lvlJc w:val="left"/>
      <w:pPr>
        <w:ind w:left="5904" w:hanging="1224"/>
      </w:pPr>
    </w:lvl>
    <w:lvl w:ilvl="8">
      <w:start w:val="1"/>
      <w:numFmt w:val="decimal"/>
      <w:lvlText w:val="%1.%2.%3.%4.%5.%6.%7.%8.%9."/>
      <w:lvlJc w:val="left"/>
      <w:pPr>
        <w:ind w:left="6480" w:hanging="1440"/>
      </w:pPr>
    </w:lvl>
  </w:abstractNum>
  <w:abstractNum w:abstractNumId="111" w15:restartNumberingAfterBreak="0">
    <w:nsid w:val="52D2C7D1"/>
    <w:multiLevelType w:val="multilevel"/>
    <w:tmpl w:val="125E22A4"/>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2" w15:restartNumberingAfterBreak="0">
    <w:nsid w:val="54BE3985"/>
    <w:multiLevelType w:val="multilevel"/>
    <w:tmpl w:val="172683C4"/>
    <w:lvl w:ilvl="0">
      <w:start w:val="1"/>
      <w:numFmt w:val="decimal"/>
      <w:lvlText w:val="%1."/>
      <w:lvlJc w:val="left"/>
      <w:pPr>
        <w:ind w:left="720" w:hanging="360"/>
      </w:pPr>
      <w:rPr>
        <w:rFonts w:hint="default"/>
        <w:b w:val="0"/>
        <w:bCs/>
        <w:u w:val="singl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3" w15:restartNumberingAfterBreak="0">
    <w:nsid w:val="54DB2B20"/>
    <w:multiLevelType w:val="multilevel"/>
    <w:tmpl w:val="DE4A719C"/>
    <w:lvl w:ilvl="0">
      <w:start w:val="1"/>
      <w:numFmt w:val="decimal"/>
      <w:lvlText w:val="%1."/>
      <w:lvlJc w:val="left"/>
      <w:pPr>
        <w:ind w:left="2070" w:hanging="360"/>
      </w:pPr>
      <w:rPr>
        <w:u w:val="single"/>
      </w:rPr>
    </w:lvl>
    <w:lvl w:ilvl="1">
      <w:start w:val="1"/>
      <w:numFmt w:val="lowerLetter"/>
      <w:lvlText w:val="%2."/>
      <w:lvlJc w:val="left"/>
      <w:pPr>
        <w:ind w:left="2070" w:hanging="360"/>
      </w:pPr>
    </w:lvl>
    <w:lvl w:ilvl="2">
      <w:start w:val="1"/>
      <w:numFmt w:val="lowerRoman"/>
      <w:lvlText w:val="%3."/>
      <w:lvlJc w:val="right"/>
      <w:pPr>
        <w:ind w:left="2790" w:hanging="180"/>
      </w:pPr>
    </w:lvl>
    <w:lvl w:ilvl="3">
      <w:start w:val="1"/>
      <w:numFmt w:val="decimal"/>
      <w:lvlText w:val="%4."/>
      <w:lvlJc w:val="left"/>
      <w:pPr>
        <w:ind w:left="3510" w:hanging="360"/>
      </w:pPr>
    </w:lvl>
    <w:lvl w:ilvl="4">
      <w:start w:val="1"/>
      <w:numFmt w:val="lowerLetter"/>
      <w:lvlText w:val="%5."/>
      <w:lvlJc w:val="left"/>
      <w:pPr>
        <w:ind w:left="4230" w:hanging="360"/>
      </w:pPr>
    </w:lvl>
    <w:lvl w:ilvl="5">
      <w:start w:val="1"/>
      <w:numFmt w:val="lowerRoman"/>
      <w:lvlText w:val="%6."/>
      <w:lvlJc w:val="right"/>
      <w:pPr>
        <w:ind w:left="4950" w:hanging="180"/>
      </w:pPr>
    </w:lvl>
    <w:lvl w:ilvl="6">
      <w:start w:val="1"/>
      <w:numFmt w:val="decimal"/>
      <w:lvlText w:val="%7."/>
      <w:lvlJc w:val="left"/>
      <w:pPr>
        <w:ind w:left="5670" w:hanging="360"/>
      </w:pPr>
    </w:lvl>
    <w:lvl w:ilvl="7">
      <w:start w:val="1"/>
      <w:numFmt w:val="lowerLetter"/>
      <w:lvlText w:val="%8."/>
      <w:lvlJc w:val="left"/>
      <w:pPr>
        <w:ind w:left="6390" w:hanging="360"/>
      </w:pPr>
    </w:lvl>
    <w:lvl w:ilvl="8">
      <w:start w:val="1"/>
      <w:numFmt w:val="lowerRoman"/>
      <w:lvlText w:val="%9."/>
      <w:lvlJc w:val="right"/>
      <w:pPr>
        <w:ind w:left="7110" w:hanging="180"/>
      </w:pPr>
    </w:lvl>
  </w:abstractNum>
  <w:abstractNum w:abstractNumId="114" w15:restartNumberingAfterBreak="0">
    <w:nsid w:val="550E3F93"/>
    <w:multiLevelType w:val="multilevel"/>
    <w:tmpl w:val="16B45314"/>
    <w:lvl w:ilvl="0">
      <w:start w:val="1"/>
      <w:numFmt w:val="decimal"/>
      <w:lvlText w:val="%1."/>
      <w:lvlJc w:val="left"/>
      <w:pPr>
        <w:ind w:left="720" w:hanging="360"/>
      </w:pPr>
      <w:rPr>
        <w:u w:val="single"/>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5" w15:restartNumberingAfterBreak="0">
    <w:nsid w:val="56705671"/>
    <w:multiLevelType w:val="multilevel"/>
    <w:tmpl w:val="AEC65574"/>
    <w:lvl w:ilvl="0">
      <w:start w:val="1"/>
      <w:numFmt w:val="decimal"/>
      <w:lvlText w:val="%1."/>
      <w:lvlJc w:val="left"/>
      <w:pPr>
        <w:ind w:left="1800" w:hanging="360"/>
      </w:pPr>
      <w:rPr>
        <w:u w:val="single"/>
      </w:rPr>
    </w:lvl>
    <w:lvl w:ilvl="1">
      <w:start w:val="1"/>
      <w:numFmt w:val="decimal"/>
      <w:lvlText w:val="1.%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16" w15:restartNumberingAfterBreak="0">
    <w:nsid w:val="5745DC73"/>
    <w:multiLevelType w:val="multilevel"/>
    <w:tmpl w:val="9DD8F7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7" w15:restartNumberingAfterBreak="0">
    <w:nsid w:val="5776F8C9"/>
    <w:multiLevelType w:val="multilevel"/>
    <w:tmpl w:val="00006E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8" w15:restartNumberingAfterBreak="0">
    <w:nsid w:val="578AC25C"/>
    <w:multiLevelType w:val="hybridMultilevel"/>
    <w:tmpl w:val="30220D46"/>
    <w:lvl w:ilvl="0" w:tplc="7F50B5F2">
      <w:start w:val="3"/>
      <w:numFmt w:val="decimal"/>
      <w:lvlText w:val="%1."/>
      <w:lvlJc w:val="left"/>
      <w:pPr>
        <w:ind w:left="1170" w:hanging="360"/>
      </w:pPr>
    </w:lvl>
    <w:lvl w:ilvl="1" w:tplc="813E93BE">
      <w:start w:val="1"/>
      <w:numFmt w:val="lowerLetter"/>
      <w:lvlText w:val="%2."/>
      <w:lvlJc w:val="left"/>
      <w:pPr>
        <w:ind w:left="1890" w:hanging="360"/>
      </w:pPr>
    </w:lvl>
    <w:lvl w:ilvl="2" w:tplc="5CF8264E">
      <w:start w:val="1"/>
      <w:numFmt w:val="lowerRoman"/>
      <w:lvlText w:val="%3."/>
      <w:lvlJc w:val="right"/>
      <w:pPr>
        <w:ind w:left="2610" w:hanging="180"/>
      </w:pPr>
    </w:lvl>
    <w:lvl w:ilvl="3" w:tplc="DB943DD8">
      <w:start w:val="1"/>
      <w:numFmt w:val="decimal"/>
      <w:lvlText w:val="%4."/>
      <w:lvlJc w:val="left"/>
      <w:pPr>
        <w:ind w:left="3330" w:hanging="360"/>
      </w:pPr>
    </w:lvl>
    <w:lvl w:ilvl="4" w:tplc="F2789BE8">
      <w:start w:val="1"/>
      <w:numFmt w:val="lowerLetter"/>
      <w:lvlText w:val="%5."/>
      <w:lvlJc w:val="left"/>
      <w:pPr>
        <w:ind w:left="4050" w:hanging="360"/>
      </w:pPr>
    </w:lvl>
    <w:lvl w:ilvl="5" w:tplc="BD8E6548">
      <w:start w:val="1"/>
      <w:numFmt w:val="lowerRoman"/>
      <w:lvlText w:val="%6."/>
      <w:lvlJc w:val="right"/>
      <w:pPr>
        <w:ind w:left="4770" w:hanging="180"/>
      </w:pPr>
    </w:lvl>
    <w:lvl w:ilvl="6" w:tplc="E3747D42">
      <w:start w:val="1"/>
      <w:numFmt w:val="decimal"/>
      <w:lvlText w:val="%7."/>
      <w:lvlJc w:val="left"/>
      <w:pPr>
        <w:ind w:left="5490" w:hanging="360"/>
      </w:pPr>
    </w:lvl>
    <w:lvl w:ilvl="7" w:tplc="EC063158">
      <w:start w:val="1"/>
      <w:numFmt w:val="lowerLetter"/>
      <w:lvlText w:val="%8."/>
      <w:lvlJc w:val="left"/>
      <w:pPr>
        <w:ind w:left="6210" w:hanging="360"/>
      </w:pPr>
    </w:lvl>
    <w:lvl w:ilvl="8" w:tplc="7188F032">
      <w:start w:val="1"/>
      <w:numFmt w:val="lowerRoman"/>
      <w:lvlText w:val="%9."/>
      <w:lvlJc w:val="right"/>
      <w:pPr>
        <w:ind w:left="6930" w:hanging="180"/>
      </w:pPr>
    </w:lvl>
  </w:abstractNum>
  <w:abstractNum w:abstractNumId="119" w15:restartNumberingAfterBreak="0">
    <w:nsid w:val="5AC917D1"/>
    <w:multiLevelType w:val="multilevel"/>
    <w:tmpl w:val="E31E76C4"/>
    <w:lvl w:ilvl="0">
      <w:start w:val="7"/>
      <w:numFmt w:val="decimal"/>
      <w:lvlText w:val="%1"/>
      <w:lvlJc w:val="left"/>
      <w:pPr>
        <w:ind w:left="360" w:hanging="360"/>
      </w:pPr>
      <w:rPr>
        <w:rFonts w:hint="default"/>
        <w:i/>
      </w:rPr>
    </w:lvl>
    <w:lvl w:ilvl="1">
      <w:start w:val="1"/>
      <w:numFmt w:val="decimal"/>
      <w:lvlText w:val="%1.%2"/>
      <w:lvlJc w:val="left"/>
      <w:pPr>
        <w:ind w:left="1008" w:hanging="360"/>
      </w:pPr>
      <w:rPr>
        <w:rFonts w:hint="default"/>
        <w:i w:val="0"/>
        <w:iCs/>
        <w:u w:val="single"/>
      </w:rPr>
    </w:lvl>
    <w:lvl w:ilvl="2">
      <w:start w:val="1"/>
      <w:numFmt w:val="decimal"/>
      <w:lvlText w:val="%1.%2.%3"/>
      <w:lvlJc w:val="left"/>
      <w:pPr>
        <w:ind w:left="2016" w:hanging="720"/>
      </w:pPr>
      <w:rPr>
        <w:rFonts w:hint="default"/>
        <w:i/>
      </w:rPr>
    </w:lvl>
    <w:lvl w:ilvl="3">
      <w:start w:val="1"/>
      <w:numFmt w:val="decimal"/>
      <w:lvlText w:val="%1.%2.%3.%4"/>
      <w:lvlJc w:val="left"/>
      <w:pPr>
        <w:ind w:left="2664" w:hanging="720"/>
      </w:pPr>
      <w:rPr>
        <w:rFonts w:hint="default"/>
        <w:i/>
      </w:rPr>
    </w:lvl>
    <w:lvl w:ilvl="4">
      <w:start w:val="1"/>
      <w:numFmt w:val="decimal"/>
      <w:lvlText w:val="%1.%2.%3.%4.%5"/>
      <w:lvlJc w:val="left"/>
      <w:pPr>
        <w:ind w:left="3672" w:hanging="1080"/>
      </w:pPr>
      <w:rPr>
        <w:rFonts w:hint="default"/>
        <w:i/>
      </w:rPr>
    </w:lvl>
    <w:lvl w:ilvl="5">
      <w:start w:val="1"/>
      <w:numFmt w:val="decimal"/>
      <w:lvlText w:val="%1.%2.%3.%4.%5.%6"/>
      <w:lvlJc w:val="left"/>
      <w:pPr>
        <w:ind w:left="4320" w:hanging="1080"/>
      </w:pPr>
      <w:rPr>
        <w:rFonts w:hint="default"/>
        <w:i/>
      </w:rPr>
    </w:lvl>
    <w:lvl w:ilvl="6">
      <w:start w:val="1"/>
      <w:numFmt w:val="decimal"/>
      <w:lvlText w:val="%1.%2.%3.%4.%5.%6.%7"/>
      <w:lvlJc w:val="left"/>
      <w:pPr>
        <w:ind w:left="5328" w:hanging="1440"/>
      </w:pPr>
      <w:rPr>
        <w:rFonts w:hint="default"/>
        <w:i/>
      </w:rPr>
    </w:lvl>
    <w:lvl w:ilvl="7">
      <w:start w:val="1"/>
      <w:numFmt w:val="decimal"/>
      <w:lvlText w:val="%1.%2.%3.%4.%5.%6.%7.%8"/>
      <w:lvlJc w:val="left"/>
      <w:pPr>
        <w:ind w:left="5976" w:hanging="1440"/>
      </w:pPr>
      <w:rPr>
        <w:rFonts w:hint="default"/>
        <w:i/>
      </w:rPr>
    </w:lvl>
    <w:lvl w:ilvl="8">
      <w:start w:val="1"/>
      <w:numFmt w:val="decimal"/>
      <w:lvlText w:val="%1.%2.%3.%4.%5.%6.%7.%8.%9"/>
      <w:lvlJc w:val="left"/>
      <w:pPr>
        <w:ind w:left="6984" w:hanging="1800"/>
      </w:pPr>
      <w:rPr>
        <w:rFonts w:hint="default"/>
        <w:i/>
      </w:rPr>
    </w:lvl>
  </w:abstractNum>
  <w:abstractNum w:abstractNumId="120" w15:restartNumberingAfterBreak="0">
    <w:nsid w:val="5BDBEB60"/>
    <w:multiLevelType w:val="hybridMultilevel"/>
    <w:tmpl w:val="96FCE732"/>
    <w:lvl w:ilvl="0" w:tplc="05B65A6C">
      <w:start w:val="1"/>
      <w:numFmt w:val="decimal"/>
      <w:lvlText w:val="%1."/>
      <w:lvlJc w:val="left"/>
      <w:pPr>
        <w:ind w:left="579" w:hanging="360"/>
      </w:pPr>
    </w:lvl>
    <w:lvl w:ilvl="1" w:tplc="6AEA19B4">
      <w:start w:val="1"/>
      <w:numFmt w:val="lowerLetter"/>
      <w:lvlText w:val="%2."/>
      <w:lvlJc w:val="left"/>
      <w:pPr>
        <w:ind w:left="1299" w:hanging="360"/>
      </w:pPr>
    </w:lvl>
    <w:lvl w:ilvl="2" w:tplc="96549992">
      <w:start w:val="1"/>
      <w:numFmt w:val="lowerRoman"/>
      <w:lvlText w:val="%3."/>
      <w:lvlJc w:val="right"/>
      <w:pPr>
        <w:ind w:left="2019" w:hanging="180"/>
      </w:pPr>
    </w:lvl>
    <w:lvl w:ilvl="3" w:tplc="E86AE4CE">
      <w:start w:val="1"/>
      <w:numFmt w:val="decimal"/>
      <w:lvlText w:val="%4."/>
      <w:lvlJc w:val="left"/>
      <w:pPr>
        <w:ind w:left="2739" w:hanging="360"/>
      </w:pPr>
    </w:lvl>
    <w:lvl w:ilvl="4" w:tplc="3C304A78">
      <w:start w:val="1"/>
      <w:numFmt w:val="lowerLetter"/>
      <w:lvlText w:val="%5."/>
      <w:lvlJc w:val="left"/>
      <w:pPr>
        <w:ind w:left="3459" w:hanging="360"/>
      </w:pPr>
    </w:lvl>
    <w:lvl w:ilvl="5" w:tplc="5810CFA4">
      <w:start w:val="1"/>
      <w:numFmt w:val="lowerRoman"/>
      <w:lvlText w:val="%6."/>
      <w:lvlJc w:val="right"/>
      <w:pPr>
        <w:ind w:left="4179" w:hanging="180"/>
      </w:pPr>
    </w:lvl>
    <w:lvl w:ilvl="6" w:tplc="5972CA14">
      <w:start w:val="1"/>
      <w:numFmt w:val="decimal"/>
      <w:lvlText w:val="%7."/>
      <w:lvlJc w:val="left"/>
      <w:pPr>
        <w:ind w:left="4899" w:hanging="360"/>
      </w:pPr>
    </w:lvl>
    <w:lvl w:ilvl="7" w:tplc="EA8EEEA4">
      <w:start w:val="1"/>
      <w:numFmt w:val="lowerLetter"/>
      <w:lvlText w:val="%8."/>
      <w:lvlJc w:val="left"/>
      <w:pPr>
        <w:ind w:left="5619" w:hanging="360"/>
      </w:pPr>
    </w:lvl>
    <w:lvl w:ilvl="8" w:tplc="A6C2067E">
      <w:start w:val="1"/>
      <w:numFmt w:val="lowerRoman"/>
      <w:lvlText w:val="%9."/>
      <w:lvlJc w:val="right"/>
      <w:pPr>
        <w:ind w:left="6339" w:hanging="180"/>
      </w:pPr>
    </w:lvl>
  </w:abstractNum>
  <w:abstractNum w:abstractNumId="121" w15:restartNumberingAfterBreak="0">
    <w:nsid w:val="5BE05A5E"/>
    <w:multiLevelType w:val="hybridMultilevel"/>
    <w:tmpl w:val="912A91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5C306856"/>
    <w:multiLevelType w:val="hybridMultilevel"/>
    <w:tmpl w:val="BC9667A0"/>
    <w:lvl w:ilvl="0" w:tplc="F07C55FC">
      <w:start w:val="1"/>
      <w:numFmt w:val="decimal"/>
      <w:lvlText w:val="%1."/>
      <w:lvlJc w:val="left"/>
      <w:pPr>
        <w:ind w:left="1440" w:hanging="360"/>
      </w:pPr>
      <w:rPr>
        <w:rFonts w:hint="default"/>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3" w15:restartNumberingAfterBreak="0">
    <w:nsid w:val="5C75BB73"/>
    <w:multiLevelType w:val="multilevel"/>
    <w:tmpl w:val="8AD82498"/>
    <w:lvl w:ilvl="0">
      <w:start w:val="3"/>
      <w:numFmt w:val="decimal"/>
      <w:lvlText w:val="%1."/>
      <w:lvlJc w:val="left"/>
      <w:pPr>
        <w:ind w:left="720" w:hanging="360"/>
      </w:pPr>
      <w:rPr>
        <w:u w:val="singl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4" w15:restartNumberingAfterBreak="0">
    <w:nsid w:val="5D984B63"/>
    <w:multiLevelType w:val="hybridMultilevel"/>
    <w:tmpl w:val="A8AC6DF2"/>
    <w:lvl w:ilvl="0" w:tplc="521432DE">
      <w:start w:val="1"/>
      <w:numFmt w:val="decimal"/>
      <w:lvlText w:val="%1."/>
      <w:lvlJc w:val="left"/>
      <w:pPr>
        <w:ind w:left="1440" w:hanging="360"/>
      </w:pPr>
      <w:rPr>
        <w:u w:val="singl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5" w15:restartNumberingAfterBreak="0">
    <w:nsid w:val="5DBC34E9"/>
    <w:multiLevelType w:val="hybridMultilevel"/>
    <w:tmpl w:val="9D60013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60CC3022"/>
    <w:multiLevelType w:val="multilevel"/>
    <w:tmpl w:val="831E7748"/>
    <w:lvl w:ilvl="0">
      <w:start w:val="1"/>
      <w:numFmt w:val="decimal"/>
      <w:lvlText w:val="%1."/>
      <w:lvlJc w:val="left"/>
      <w:pPr>
        <w:ind w:left="1080" w:hanging="360"/>
      </w:pPr>
      <w:rPr>
        <w:u w:val="singl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7" w15:restartNumberingAfterBreak="0">
    <w:nsid w:val="61443694"/>
    <w:multiLevelType w:val="hybridMultilevel"/>
    <w:tmpl w:val="FDFA005A"/>
    <w:lvl w:ilvl="0" w:tplc="F2B474E2">
      <w:start w:val="1"/>
      <w:numFmt w:val="decimal"/>
      <w:lvlText w:val="%1."/>
      <w:lvlJc w:val="left"/>
      <w:pPr>
        <w:ind w:left="1440" w:hanging="360"/>
      </w:pPr>
      <w:rPr>
        <w:u w:val="single"/>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28" w15:restartNumberingAfterBreak="0">
    <w:nsid w:val="632B311B"/>
    <w:multiLevelType w:val="hybridMultilevel"/>
    <w:tmpl w:val="59662B64"/>
    <w:lvl w:ilvl="0" w:tplc="FD7C1694">
      <w:start w:val="1"/>
      <w:numFmt w:val="decimal"/>
      <w:lvlText w:val="%1."/>
      <w:lvlJc w:val="left"/>
      <w:pPr>
        <w:ind w:left="2160" w:hanging="360"/>
      </w:pPr>
      <w:rPr>
        <w:u w:val="single"/>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9" w15:restartNumberingAfterBreak="0">
    <w:nsid w:val="64531171"/>
    <w:multiLevelType w:val="multilevel"/>
    <w:tmpl w:val="3FC28340"/>
    <w:lvl w:ilvl="0">
      <w:start w:val="1"/>
      <w:numFmt w:val="decimal"/>
      <w:lvlText w:val="%1."/>
      <w:lvlJc w:val="left"/>
      <w:pPr>
        <w:ind w:left="3240" w:hanging="360"/>
      </w:pPr>
      <w:rPr>
        <w:u w:val="single"/>
      </w:rPr>
    </w:lvl>
    <w:lvl w:ilvl="1">
      <w:start w:val="1"/>
      <w:numFmt w:val="decimal"/>
      <w:lvlText w:val="%1.%2."/>
      <w:lvlJc w:val="left"/>
      <w:pPr>
        <w:ind w:left="4032" w:hanging="432"/>
      </w:pPr>
      <w:rPr>
        <w:u w:val="single"/>
      </w:rPr>
    </w:lvl>
    <w:lvl w:ilvl="2">
      <w:start w:val="1"/>
      <w:numFmt w:val="decimal"/>
      <w:lvlText w:val="%1.%2.%3."/>
      <w:lvlJc w:val="left"/>
      <w:pPr>
        <w:ind w:left="4104" w:hanging="504"/>
      </w:pPr>
    </w:lvl>
    <w:lvl w:ilvl="3">
      <w:start w:val="1"/>
      <w:numFmt w:val="decimal"/>
      <w:lvlText w:val="%1.%2.%3.%4."/>
      <w:lvlJc w:val="left"/>
      <w:pPr>
        <w:ind w:left="4608" w:hanging="648"/>
      </w:pPr>
    </w:lvl>
    <w:lvl w:ilvl="4">
      <w:start w:val="1"/>
      <w:numFmt w:val="decimal"/>
      <w:lvlText w:val="%1.%2.%3.%4.%5."/>
      <w:lvlJc w:val="left"/>
      <w:pPr>
        <w:ind w:left="5112" w:hanging="792"/>
      </w:pPr>
    </w:lvl>
    <w:lvl w:ilvl="5">
      <w:start w:val="1"/>
      <w:numFmt w:val="decimal"/>
      <w:lvlText w:val="%1.%2.%3.%4.%5.%6."/>
      <w:lvlJc w:val="left"/>
      <w:pPr>
        <w:ind w:left="5616" w:hanging="936"/>
      </w:pPr>
    </w:lvl>
    <w:lvl w:ilvl="6">
      <w:start w:val="1"/>
      <w:numFmt w:val="decimal"/>
      <w:lvlText w:val="%1.%2.%3.%4.%5.%6.%7."/>
      <w:lvlJc w:val="left"/>
      <w:pPr>
        <w:ind w:left="6120" w:hanging="1080"/>
      </w:pPr>
    </w:lvl>
    <w:lvl w:ilvl="7">
      <w:start w:val="1"/>
      <w:numFmt w:val="decimal"/>
      <w:lvlText w:val="%1.%2.%3.%4.%5.%6.%7.%8."/>
      <w:lvlJc w:val="left"/>
      <w:pPr>
        <w:ind w:left="6624" w:hanging="1224"/>
      </w:pPr>
    </w:lvl>
    <w:lvl w:ilvl="8">
      <w:start w:val="1"/>
      <w:numFmt w:val="decimal"/>
      <w:lvlText w:val="%1.%2.%3.%4.%5.%6.%7.%8.%9."/>
      <w:lvlJc w:val="left"/>
      <w:pPr>
        <w:ind w:left="7200" w:hanging="1440"/>
      </w:pPr>
    </w:lvl>
  </w:abstractNum>
  <w:abstractNum w:abstractNumId="130" w15:restartNumberingAfterBreak="0">
    <w:nsid w:val="64C49795"/>
    <w:multiLevelType w:val="hybridMultilevel"/>
    <w:tmpl w:val="7A3A7F58"/>
    <w:lvl w:ilvl="0" w:tplc="D6CAB430">
      <w:start w:val="8"/>
      <w:numFmt w:val="lowerLetter"/>
      <w:lvlText w:val="%1."/>
      <w:lvlJc w:val="left"/>
      <w:pPr>
        <w:ind w:left="720" w:hanging="360"/>
      </w:pPr>
    </w:lvl>
    <w:lvl w:ilvl="1" w:tplc="37066AB4">
      <w:start w:val="1"/>
      <w:numFmt w:val="lowerLetter"/>
      <w:lvlText w:val="%2."/>
      <w:lvlJc w:val="left"/>
      <w:pPr>
        <w:ind w:left="1440" w:hanging="360"/>
      </w:pPr>
    </w:lvl>
    <w:lvl w:ilvl="2" w:tplc="FDA2F3A4">
      <w:start w:val="1"/>
      <w:numFmt w:val="lowerRoman"/>
      <w:lvlText w:val="%3."/>
      <w:lvlJc w:val="right"/>
      <w:pPr>
        <w:ind w:left="2160" w:hanging="180"/>
      </w:pPr>
    </w:lvl>
    <w:lvl w:ilvl="3" w:tplc="66FE990A">
      <w:start w:val="1"/>
      <w:numFmt w:val="decimal"/>
      <w:lvlText w:val="%4."/>
      <w:lvlJc w:val="left"/>
      <w:pPr>
        <w:ind w:left="2880" w:hanging="360"/>
      </w:pPr>
    </w:lvl>
    <w:lvl w:ilvl="4" w:tplc="AC54A06C">
      <w:start w:val="1"/>
      <w:numFmt w:val="lowerLetter"/>
      <w:lvlText w:val="%5."/>
      <w:lvlJc w:val="left"/>
      <w:pPr>
        <w:ind w:left="3600" w:hanging="360"/>
      </w:pPr>
    </w:lvl>
    <w:lvl w:ilvl="5" w:tplc="B5982344">
      <w:start w:val="1"/>
      <w:numFmt w:val="lowerRoman"/>
      <w:lvlText w:val="%6."/>
      <w:lvlJc w:val="right"/>
      <w:pPr>
        <w:ind w:left="4320" w:hanging="180"/>
      </w:pPr>
    </w:lvl>
    <w:lvl w:ilvl="6" w:tplc="56E03E84">
      <w:start w:val="1"/>
      <w:numFmt w:val="decimal"/>
      <w:lvlText w:val="%7."/>
      <w:lvlJc w:val="left"/>
      <w:pPr>
        <w:ind w:left="5040" w:hanging="360"/>
      </w:pPr>
    </w:lvl>
    <w:lvl w:ilvl="7" w:tplc="AEEE5C1A">
      <w:start w:val="1"/>
      <w:numFmt w:val="lowerLetter"/>
      <w:lvlText w:val="%8."/>
      <w:lvlJc w:val="left"/>
      <w:pPr>
        <w:ind w:left="5760" w:hanging="360"/>
      </w:pPr>
    </w:lvl>
    <w:lvl w:ilvl="8" w:tplc="E0A0DED4">
      <w:start w:val="1"/>
      <w:numFmt w:val="lowerRoman"/>
      <w:lvlText w:val="%9."/>
      <w:lvlJc w:val="right"/>
      <w:pPr>
        <w:ind w:left="6480" w:hanging="180"/>
      </w:pPr>
    </w:lvl>
  </w:abstractNum>
  <w:abstractNum w:abstractNumId="131" w15:restartNumberingAfterBreak="0">
    <w:nsid w:val="64FB490D"/>
    <w:multiLevelType w:val="multilevel"/>
    <w:tmpl w:val="EE2A7CC0"/>
    <w:lvl w:ilvl="0">
      <w:start w:val="1"/>
      <w:numFmt w:val="decimal"/>
      <w:lvlText w:val="%1."/>
      <w:lvlJc w:val="left"/>
      <w:pPr>
        <w:ind w:left="1728" w:hanging="360"/>
      </w:pPr>
      <w:rPr>
        <w:u w:val="single"/>
      </w:rPr>
    </w:lvl>
    <w:lvl w:ilvl="1">
      <w:start w:val="1"/>
      <w:numFmt w:val="decimal"/>
      <w:lvlText w:val="%1.%2."/>
      <w:lvlJc w:val="left"/>
      <w:pPr>
        <w:ind w:left="2052" w:hanging="432"/>
      </w:pPr>
      <w:rPr>
        <w:u w:val="single"/>
      </w:rPr>
    </w:lvl>
    <w:lvl w:ilvl="2">
      <w:start w:val="1"/>
      <w:numFmt w:val="decimal"/>
      <w:lvlText w:val="%1.%2.%3."/>
      <w:lvlJc w:val="left"/>
      <w:pPr>
        <w:ind w:left="2592" w:hanging="504"/>
      </w:pPr>
    </w:lvl>
    <w:lvl w:ilvl="3">
      <w:start w:val="1"/>
      <w:numFmt w:val="decimal"/>
      <w:lvlText w:val="%1.%2.%3.%4."/>
      <w:lvlJc w:val="left"/>
      <w:pPr>
        <w:ind w:left="3096" w:hanging="648"/>
      </w:pPr>
    </w:lvl>
    <w:lvl w:ilvl="4">
      <w:start w:val="1"/>
      <w:numFmt w:val="decimal"/>
      <w:lvlText w:val="%1.%2.%3.%4.%5."/>
      <w:lvlJc w:val="left"/>
      <w:pPr>
        <w:ind w:left="3600" w:hanging="792"/>
      </w:pPr>
    </w:lvl>
    <w:lvl w:ilvl="5">
      <w:start w:val="1"/>
      <w:numFmt w:val="decimal"/>
      <w:lvlText w:val="%1.%2.%3.%4.%5.%6."/>
      <w:lvlJc w:val="left"/>
      <w:pPr>
        <w:ind w:left="4104" w:hanging="936"/>
      </w:pPr>
    </w:lvl>
    <w:lvl w:ilvl="6">
      <w:start w:val="1"/>
      <w:numFmt w:val="decimal"/>
      <w:lvlText w:val="%1.%2.%3.%4.%5.%6.%7."/>
      <w:lvlJc w:val="left"/>
      <w:pPr>
        <w:ind w:left="4608" w:hanging="1080"/>
      </w:pPr>
    </w:lvl>
    <w:lvl w:ilvl="7">
      <w:start w:val="1"/>
      <w:numFmt w:val="decimal"/>
      <w:lvlText w:val="%1.%2.%3.%4.%5.%6.%7.%8."/>
      <w:lvlJc w:val="left"/>
      <w:pPr>
        <w:ind w:left="5112" w:hanging="1224"/>
      </w:pPr>
    </w:lvl>
    <w:lvl w:ilvl="8">
      <w:start w:val="1"/>
      <w:numFmt w:val="decimal"/>
      <w:lvlText w:val="%1.%2.%3.%4.%5.%6.%7.%8.%9."/>
      <w:lvlJc w:val="left"/>
      <w:pPr>
        <w:ind w:left="5688" w:hanging="1440"/>
      </w:pPr>
    </w:lvl>
  </w:abstractNum>
  <w:abstractNum w:abstractNumId="132" w15:restartNumberingAfterBreak="0">
    <w:nsid w:val="65A81BBB"/>
    <w:multiLevelType w:val="hybridMultilevel"/>
    <w:tmpl w:val="E744DEBE"/>
    <w:lvl w:ilvl="0" w:tplc="C0E0D2F0">
      <w:start w:val="1"/>
      <w:numFmt w:val="decimal"/>
      <w:lvlText w:val="%1."/>
      <w:lvlJc w:val="left"/>
      <w:pPr>
        <w:ind w:left="720" w:hanging="360"/>
      </w:pPr>
      <w:rPr>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66476CEB"/>
    <w:multiLevelType w:val="hybridMultilevel"/>
    <w:tmpl w:val="4CB2C1C2"/>
    <w:lvl w:ilvl="0" w:tplc="A7285100">
      <w:start w:val="5"/>
      <w:numFmt w:val="lowerLetter"/>
      <w:lvlText w:val="%1."/>
      <w:lvlJc w:val="left"/>
      <w:pPr>
        <w:ind w:left="864" w:hanging="360"/>
      </w:pPr>
    </w:lvl>
    <w:lvl w:ilvl="1" w:tplc="C44E8982">
      <w:start w:val="1"/>
      <w:numFmt w:val="lowerLetter"/>
      <w:lvlText w:val="%2."/>
      <w:lvlJc w:val="left"/>
      <w:pPr>
        <w:ind w:left="1584" w:hanging="360"/>
      </w:pPr>
    </w:lvl>
    <w:lvl w:ilvl="2" w:tplc="B0900D12">
      <w:start w:val="1"/>
      <w:numFmt w:val="lowerRoman"/>
      <w:lvlText w:val="%3."/>
      <w:lvlJc w:val="right"/>
      <w:pPr>
        <w:ind w:left="2304" w:hanging="180"/>
      </w:pPr>
    </w:lvl>
    <w:lvl w:ilvl="3" w:tplc="A6302716">
      <w:start w:val="1"/>
      <w:numFmt w:val="decimal"/>
      <w:lvlText w:val="%4."/>
      <w:lvlJc w:val="left"/>
      <w:pPr>
        <w:ind w:left="3024" w:hanging="360"/>
      </w:pPr>
    </w:lvl>
    <w:lvl w:ilvl="4" w:tplc="B8ECDD6E">
      <w:start w:val="1"/>
      <w:numFmt w:val="lowerLetter"/>
      <w:lvlText w:val="%5."/>
      <w:lvlJc w:val="left"/>
      <w:pPr>
        <w:ind w:left="3744" w:hanging="360"/>
      </w:pPr>
    </w:lvl>
    <w:lvl w:ilvl="5" w:tplc="5CEAFB32">
      <w:start w:val="1"/>
      <w:numFmt w:val="lowerRoman"/>
      <w:lvlText w:val="%6."/>
      <w:lvlJc w:val="right"/>
      <w:pPr>
        <w:ind w:left="4464" w:hanging="180"/>
      </w:pPr>
    </w:lvl>
    <w:lvl w:ilvl="6" w:tplc="31EE00C2">
      <w:start w:val="1"/>
      <w:numFmt w:val="decimal"/>
      <w:lvlText w:val="%7."/>
      <w:lvlJc w:val="left"/>
      <w:pPr>
        <w:ind w:left="5184" w:hanging="360"/>
      </w:pPr>
    </w:lvl>
    <w:lvl w:ilvl="7" w:tplc="6122ACEC">
      <w:start w:val="1"/>
      <w:numFmt w:val="lowerLetter"/>
      <w:lvlText w:val="%8."/>
      <w:lvlJc w:val="left"/>
      <w:pPr>
        <w:ind w:left="5904" w:hanging="360"/>
      </w:pPr>
    </w:lvl>
    <w:lvl w:ilvl="8" w:tplc="6A7C8412">
      <w:start w:val="1"/>
      <w:numFmt w:val="lowerRoman"/>
      <w:lvlText w:val="%9."/>
      <w:lvlJc w:val="right"/>
      <w:pPr>
        <w:ind w:left="6624" w:hanging="180"/>
      </w:pPr>
    </w:lvl>
  </w:abstractNum>
  <w:abstractNum w:abstractNumId="134" w15:restartNumberingAfterBreak="0">
    <w:nsid w:val="665F1AE3"/>
    <w:multiLevelType w:val="hybridMultilevel"/>
    <w:tmpl w:val="98F43FD8"/>
    <w:lvl w:ilvl="0" w:tplc="04090019">
      <w:start w:val="1"/>
      <w:numFmt w:val="low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669F3840"/>
    <w:multiLevelType w:val="singleLevel"/>
    <w:tmpl w:val="90D0EA74"/>
    <w:lvl w:ilvl="0">
      <w:start w:val="1"/>
      <w:numFmt w:val="decimal"/>
      <w:pStyle w:val="SingleSpaceParagraphwParaNum"/>
      <w:lvlText w:val="%1."/>
      <w:lvlJc w:val="left"/>
      <w:pPr>
        <w:tabs>
          <w:tab w:val="num" w:pos="1800"/>
        </w:tabs>
        <w:ind w:left="0" w:firstLine="1440"/>
      </w:pPr>
      <w:rPr>
        <w:rFonts w:ascii="Times New Roman" w:hAnsi="Times New Roman" w:hint="default"/>
        <w:b w:val="0"/>
        <w:i w:val="0"/>
        <w:sz w:val="24"/>
      </w:rPr>
    </w:lvl>
  </w:abstractNum>
  <w:abstractNum w:abstractNumId="136" w15:restartNumberingAfterBreak="0">
    <w:nsid w:val="68857D7F"/>
    <w:multiLevelType w:val="multilevel"/>
    <w:tmpl w:val="10CCC4A2"/>
    <w:lvl w:ilvl="0">
      <w:start w:val="1"/>
      <w:numFmt w:val="decimal"/>
      <w:lvlText w:val="%1."/>
      <w:lvlJc w:val="left"/>
      <w:pPr>
        <w:ind w:left="1080" w:hanging="720"/>
      </w:pPr>
      <w:rPr>
        <w:u w:val="singl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7" w15:restartNumberingAfterBreak="0">
    <w:nsid w:val="68C477B1"/>
    <w:multiLevelType w:val="multilevel"/>
    <w:tmpl w:val="BE486ED2"/>
    <w:lvl w:ilvl="0">
      <w:start w:val="1"/>
      <w:numFmt w:val="decimal"/>
      <w:lvlText w:val="%1."/>
      <w:lvlJc w:val="left"/>
      <w:pPr>
        <w:ind w:left="1440" w:hanging="360"/>
      </w:pPr>
      <w:rPr>
        <w:u w:val="single"/>
      </w:rPr>
    </w:lvl>
    <w:lvl w:ilvl="1">
      <w:start w:val="1"/>
      <w:numFmt w:val="lowerLetter"/>
      <w:lvlText w:val="%2."/>
      <w:lvlJc w:val="left"/>
      <w:pPr>
        <w:ind w:left="2160" w:hanging="360"/>
      </w:pPr>
      <w:rPr>
        <w:u w:val="single"/>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38" w15:restartNumberingAfterBreak="0">
    <w:nsid w:val="6A5E5D15"/>
    <w:multiLevelType w:val="multilevel"/>
    <w:tmpl w:val="7ACEB6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6B493961"/>
    <w:multiLevelType w:val="multilevel"/>
    <w:tmpl w:val="9BCE9C80"/>
    <w:lvl w:ilvl="0">
      <w:start w:val="2"/>
      <w:numFmt w:val="decimal"/>
      <w:lvlText w:val="%1."/>
      <w:lvlJc w:val="left"/>
      <w:pPr>
        <w:ind w:left="720" w:hanging="360"/>
      </w:pPr>
      <w:rPr>
        <w:u w:val="singl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0" w15:restartNumberingAfterBreak="0">
    <w:nsid w:val="6B782017"/>
    <w:multiLevelType w:val="hybridMultilevel"/>
    <w:tmpl w:val="1CC28756"/>
    <w:lvl w:ilvl="0" w:tplc="82A81050">
      <w:start w:val="1"/>
      <w:numFmt w:val="lowerLetter"/>
      <w:lvlText w:val="%1."/>
      <w:lvlJc w:val="left"/>
      <w:pPr>
        <w:ind w:left="1292" w:hanging="173"/>
      </w:pPr>
      <w:rPr>
        <w:rFonts w:ascii="Times New Roman" w:eastAsia="Times New Roman" w:hAnsi="Times New Roman" w:cs="Times New Roman" w:hint="default"/>
        <w:b w:val="0"/>
        <w:bCs w:val="0"/>
        <w:i w:val="0"/>
        <w:iCs w:val="0"/>
        <w:spacing w:val="0"/>
        <w:w w:val="100"/>
        <w:sz w:val="18"/>
        <w:szCs w:val="18"/>
        <w:lang w:val="en-US" w:eastAsia="en-US" w:bidi="ar-SA"/>
      </w:rPr>
    </w:lvl>
    <w:lvl w:ilvl="1" w:tplc="D01EB49C">
      <w:numFmt w:val="bullet"/>
      <w:lvlText w:val="•"/>
      <w:lvlJc w:val="left"/>
      <w:pPr>
        <w:ind w:left="2250" w:hanging="173"/>
      </w:pPr>
      <w:rPr>
        <w:rFonts w:hint="default"/>
        <w:lang w:val="en-US" w:eastAsia="en-US" w:bidi="ar-SA"/>
      </w:rPr>
    </w:lvl>
    <w:lvl w:ilvl="2" w:tplc="78D28650">
      <w:numFmt w:val="bullet"/>
      <w:lvlText w:val="•"/>
      <w:lvlJc w:val="left"/>
      <w:pPr>
        <w:ind w:left="3200" w:hanging="173"/>
      </w:pPr>
      <w:rPr>
        <w:rFonts w:hint="default"/>
        <w:lang w:val="en-US" w:eastAsia="en-US" w:bidi="ar-SA"/>
      </w:rPr>
    </w:lvl>
    <w:lvl w:ilvl="3" w:tplc="1820EC2E">
      <w:numFmt w:val="bullet"/>
      <w:lvlText w:val="•"/>
      <w:lvlJc w:val="left"/>
      <w:pPr>
        <w:ind w:left="4150" w:hanging="173"/>
      </w:pPr>
      <w:rPr>
        <w:rFonts w:hint="default"/>
        <w:lang w:val="en-US" w:eastAsia="en-US" w:bidi="ar-SA"/>
      </w:rPr>
    </w:lvl>
    <w:lvl w:ilvl="4" w:tplc="519E76AA">
      <w:numFmt w:val="bullet"/>
      <w:lvlText w:val="•"/>
      <w:lvlJc w:val="left"/>
      <w:pPr>
        <w:ind w:left="5100" w:hanging="173"/>
      </w:pPr>
      <w:rPr>
        <w:rFonts w:hint="default"/>
        <w:lang w:val="en-US" w:eastAsia="en-US" w:bidi="ar-SA"/>
      </w:rPr>
    </w:lvl>
    <w:lvl w:ilvl="5" w:tplc="E1087314">
      <w:numFmt w:val="bullet"/>
      <w:lvlText w:val="•"/>
      <w:lvlJc w:val="left"/>
      <w:pPr>
        <w:ind w:left="6050" w:hanging="173"/>
      </w:pPr>
      <w:rPr>
        <w:rFonts w:hint="default"/>
        <w:lang w:val="en-US" w:eastAsia="en-US" w:bidi="ar-SA"/>
      </w:rPr>
    </w:lvl>
    <w:lvl w:ilvl="6" w:tplc="60B45578">
      <w:numFmt w:val="bullet"/>
      <w:lvlText w:val="•"/>
      <w:lvlJc w:val="left"/>
      <w:pPr>
        <w:ind w:left="7000" w:hanging="173"/>
      </w:pPr>
      <w:rPr>
        <w:rFonts w:hint="default"/>
        <w:lang w:val="en-US" w:eastAsia="en-US" w:bidi="ar-SA"/>
      </w:rPr>
    </w:lvl>
    <w:lvl w:ilvl="7" w:tplc="659C784C">
      <w:numFmt w:val="bullet"/>
      <w:lvlText w:val="•"/>
      <w:lvlJc w:val="left"/>
      <w:pPr>
        <w:ind w:left="7950" w:hanging="173"/>
      </w:pPr>
      <w:rPr>
        <w:rFonts w:hint="default"/>
        <w:lang w:val="en-US" w:eastAsia="en-US" w:bidi="ar-SA"/>
      </w:rPr>
    </w:lvl>
    <w:lvl w:ilvl="8" w:tplc="942241C6">
      <w:numFmt w:val="bullet"/>
      <w:lvlText w:val="•"/>
      <w:lvlJc w:val="left"/>
      <w:pPr>
        <w:ind w:left="8900" w:hanging="173"/>
      </w:pPr>
      <w:rPr>
        <w:rFonts w:hint="default"/>
        <w:lang w:val="en-US" w:eastAsia="en-US" w:bidi="ar-SA"/>
      </w:rPr>
    </w:lvl>
  </w:abstractNum>
  <w:abstractNum w:abstractNumId="141" w15:restartNumberingAfterBreak="0">
    <w:nsid w:val="6B8A4542"/>
    <w:multiLevelType w:val="hybridMultilevel"/>
    <w:tmpl w:val="71D6AF50"/>
    <w:lvl w:ilvl="0" w:tplc="375057B8">
      <w:start w:val="6"/>
      <w:numFmt w:val="decimal"/>
      <w:lvlText w:val="%1."/>
      <w:lvlJc w:val="left"/>
      <w:pPr>
        <w:ind w:left="450" w:hanging="360"/>
      </w:pPr>
    </w:lvl>
    <w:lvl w:ilvl="1" w:tplc="C0FC15C4">
      <w:start w:val="1"/>
      <w:numFmt w:val="lowerLetter"/>
      <w:lvlText w:val="%2."/>
      <w:lvlJc w:val="left"/>
      <w:pPr>
        <w:ind w:left="1170" w:hanging="360"/>
      </w:pPr>
    </w:lvl>
    <w:lvl w:ilvl="2" w:tplc="5F883EEC">
      <w:start w:val="1"/>
      <w:numFmt w:val="lowerRoman"/>
      <w:lvlText w:val="%3."/>
      <w:lvlJc w:val="right"/>
      <w:pPr>
        <w:ind w:left="1890" w:hanging="180"/>
      </w:pPr>
    </w:lvl>
    <w:lvl w:ilvl="3" w:tplc="3406460E">
      <w:start w:val="1"/>
      <w:numFmt w:val="decimal"/>
      <w:lvlText w:val="%4."/>
      <w:lvlJc w:val="left"/>
      <w:pPr>
        <w:ind w:left="2610" w:hanging="360"/>
      </w:pPr>
    </w:lvl>
    <w:lvl w:ilvl="4" w:tplc="00D8CC50">
      <w:start w:val="1"/>
      <w:numFmt w:val="lowerLetter"/>
      <w:lvlText w:val="%5."/>
      <w:lvlJc w:val="left"/>
      <w:pPr>
        <w:ind w:left="3330" w:hanging="360"/>
      </w:pPr>
    </w:lvl>
    <w:lvl w:ilvl="5" w:tplc="B7D4EB9E">
      <w:start w:val="1"/>
      <w:numFmt w:val="lowerRoman"/>
      <w:lvlText w:val="%6."/>
      <w:lvlJc w:val="right"/>
      <w:pPr>
        <w:ind w:left="4050" w:hanging="180"/>
      </w:pPr>
    </w:lvl>
    <w:lvl w:ilvl="6" w:tplc="C7385B06">
      <w:start w:val="1"/>
      <w:numFmt w:val="decimal"/>
      <w:lvlText w:val="%7."/>
      <w:lvlJc w:val="left"/>
      <w:pPr>
        <w:ind w:left="4770" w:hanging="360"/>
      </w:pPr>
    </w:lvl>
    <w:lvl w:ilvl="7" w:tplc="6590A750">
      <w:start w:val="1"/>
      <w:numFmt w:val="lowerLetter"/>
      <w:lvlText w:val="%8."/>
      <w:lvlJc w:val="left"/>
      <w:pPr>
        <w:ind w:left="5490" w:hanging="360"/>
      </w:pPr>
    </w:lvl>
    <w:lvl w:ilvl="8" w:tplc="1D780CDC">
      <w:start w:val="1"/>
      <w:numFmt w:val="lowerRoman"/>
      <w:lvlText w:val="%9."/>
      <w:lvlJc w:val="right"/>
      <w:pPr>
        <w:ind w:left="6210" w:hanging="180"/>
      </w:pPr>
    </w:lvl>
  </w:abstractNum>
  <w:abstractNum w:abstractNumId="142" w15:restartNumberingAfterBreak="0">
    <w:nsid w:val="6BD1779B"/>
    <w:multiLevelType w:val="hybridMultilevel"/>
    <w:tmpl w:val="207A2858"/>
    <w:lvl w:ilvl="0" w:tplc="3BD0250C">
      <w:start w:val="1"/>
      <w:numFmt w:val="decimal"/>
      <w:lvlText w:val="%1."/>
      <w:lvlJc w:val="left"/>
      <w:pPr>
        <w:ind w:left="720" w:hanging="360"/>
      </w:pPr>
      <w:rPr>
        <w:b w:val="0"/>
        <w:bCs w:val="0"/>
        <w:u w:val="singl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3" w15:restartNumberingAfterBreak="0">
    <w:nsid w:val="6C5206EF"/>
    <w:multiLevelType w:val="multilevel"/>
    <w:tmpl w:val="753E4BC0"/>
    <w:lvl w:ilvl="0">
      <w:start w:val="3"/>
      <w:numFmt w:val="decimal"/>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4" w15:restartNumberingAfterBreak="0">
    <w:nsid w:val="6CC62782"/>
    <w:multiLevelType w:val="multilevel"/>
    <w:tmpl w:val="17F45B40"/>
    <w:lvl w:ilvl="0">
      <w:start w:val="1"/>
      <w:numFmt w:val="decimal"/>
      <w:lvlText w:val="%1."/>
      <w:lvlJc w:val="left"/>
      <w:pPr>
        <w:ind w:left="7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start w:val="1"/>
      <w:numFmt w:val="decimal"/>
      <w:lvlText w:val="%2."/>
      <w:lvlJc w:val="left"/>
      <w:pPr>
        <w:ind w:left="1800" w:hanging="360"/>
      </w:pPr>
      <w:rPr>
        <w:u w:val="single"/>
      </w:rPr>
    </w:lvl>
    <w:lvl w:ilvl="2">
      <w:start w:val="1"/>
      <w:numFmt w:val="decimal"/>
      <w:lvlText w:val="%3."/>
      <w:lvlJc w:val="left"/>
      <w:pPr>
        <w:ind w:left="2521" w:hanging="360"/>
      </w:pPr>
      <w:rPr>
        <w:u w:val="single"/>
      </w:rPr>
    </w:lvl>
    <w:lvl w:ilvl="3">
      <w:start w:val="1"/>
      <w:numFmt w:val="decimal"/>
      <w:lvlText w:val="%4"/>
      <w:lvlJc w:val="left"/>
      <w:pPr>
        <w:ind w:left="2814"/>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start w:val="1"/>
      <w:numFmt w:val="lowerLetter"/>
      <w:lvlText w:val="%5"/>
      <w:lvlJc w:val="left"/>
      <w:pPr>
        <w:ind w:left="3534"/>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start w:val="1"/>
      <w:numFmt w:val="lowerRoman"/>
      <w:lvlText w:val="%6"/>
      <w:lvlJc w:val="left"/>
      <w:pPr>
        <w:ind w:left="4254"/>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start w:val="1"/>
      <w:numFmt w:val="decimal"/>
      <w:lvlText w:val="%7"/>
      <w:lvlJc w:val="left"/>
      <w:pPr>
        <w:ind w:left="4974"/>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start w:val="1"/>
      <w:numFmt w:val="lowerLetter"/>
      <w:lvlText w:val="%8"/>
      <w:lvlJc w:val="left"/>
      <w:pPr>
        <w:ind w:left="5694"/>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start w:val="1"/>
      <w:numFmt w:val="lowerRoman"/>
      <w:lvlText w:val="%9"/>
      <w:lvlJc w:val="left"/>
      <w:pPr>
        <w:ind w:left="6414"/>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145" w15:restartNumberingAfterBreak="0">
    <w:nsid w:val="6D789D86"/>
    <w:multiLevelType w:val="hybridMultilevel"/>
    <w:tmpl w:val="4032360A"/>
    <w:lvl w:ilvl="0" w:tplc="68666D02">
      <w:start w:val="1"/>
      <w:numFmt w:val="lowerLetter"/>
      <w:lvlText w:val="%1."/>
      <w:lvlJc w:val="left"/>
      <w:pPr>
        <w:ind w:left="1800" w:hanging="360"/>
      </w:pPr>
      <w:rPr>
        <w:u w:val="single"/>
      </w:rPr>
    </w:lvl>
    <w:lvl w:ilvl="1" w:tplc="9DC87498">
      <w:start w:val="1"/>
      <w:numFmt w:val="lowerLetter"/>
      <w:lvlText w:val="%2."/>
      <w:lvlJc w:val="left"/>
      <w:pPr>
        <w:ind w:left="2520" w:hanging="360"/>
      </w:pPr>
    </w:lvl>
    <w:lvl w:ilvl="2" w:tplc="8F86A222">
      <w:start w:val="1"/>
      <w:numFmt w:val="lowerRoman"/>
      <w:lvlText w:val="%3."/>
      <w:lvlJc w:val="right"/>
      <w:pPr>
        <w:ind w:left="3240" w:hanging="180"/>
      </w:pPr>
    </w:lvl>
    <w:lvl w:ilvl="3" w:tplc="A276F54E">
      <w:start w:val="1"/>
      <w:numFmt w:val="decimal"/>
      <w:lvlText w:val="%4."/>
      <w:lvlJc w:val="left"/>
      <w:pPr>
        <w:ind w:left="3960" w:hanging="360"/>
      </w:pPr>
    </w:lvl>
    <w:lvl w:ilvl="4" w:tplc="5294734E">
      <w:start w:val="1"/>
      <w:numFmt w:val="lowerLetter"/>
      <w:lvlText w:val="%5."/>
      <w:lvlJc w:val="left"/>
      <w:pPr>
        <w:ind w:left="4680" w:hanging="360"/>
      </w:pPr>
    </w:lvl>
    <w:lvl w:ilvl="5" w:tplc="170C646C">
      <w:start w:val="1"/>
      <w:numFmt w:val="lowerRoman"/>
      <w:lvlText w:val="%6."/>
      <w:lvlJc w:val="right"/>
      <w:pPr>
        <w:ind w:left="5400" w:hanging="180"/>
      </w:pPr>
    </w:lvl>
    <w:lvl w:ilvl="6" w:tplc="E5904898">
      <w:start w:val="1"/>
      <w:numFmt w:val="decimal"/>
      <w:lvlText w:val="%7."/>
      <w:lvlJc w:val="left"/>
      <w:pPr>
        <w:ind w:left="6120" w:hanging="360"/>
      </w:pPr>
    </w:lvl>
    <w:lvl w:ilvl="7" w:tplc="69C2B7AC">
      <w:start w:val="1"/>
      <w:numFmt w:val="lowerLetter"/>
      <w:lvlText w:val="%8."/>
      <w:lvlJc w:val="left"/>
      <w:pPr>
        <w:ind w:left="6840" w:hanging="360"/>
      </w:pPr>
    </w:lvl>
    <w:lvl w:ilvl="8" w:tplc="AF5CEA40">
      <w:start w:val="1"/>
      <w:numFmt w:val="lowerRoman"/>
      <w:lvlText w:val="%9."/>
      <w:lvlJc w:val="right"/>
      <w:pPr>
        <w:ind w:left="7560" w:hanging="180"/>
      </w:pPr>
    </w:lvl>
  </w:abstractNum>
  <w:abstractNum w:abstractNumId="146" w15:restartNumberingAfterBreak="0">
    <w:nsid w:val="6E4972E5"/>
    <w:multiLevelType w:val="hybridMultilevel"/>
    <w:tmpl w:val="9286A266"/>
    <w:lvl w:ilvl="0" w:tplc="8EB09710">
      <w:start w:val="3"/>
      <w:numFmt w:val="lowerLetter"/>
      <w:lvlText w:val="%1."/>
      <w:lvlJc w:val="left"/>
      <w:pPr>
        <w:ind w:left="360" w:hanging="360"/>
      </w:pPr>
    </w:lvl>
    <w:lvl w:ilvl="1" w:tplc="C8420510">
      <w:start w:val="1"/>
      <w:numFmt w:val="lowerLetter"/>
      <w:lvlText w:val="%2."/>
      <w:lvlJc w:val="left"/>
      <w:pPr>
        <w:ind w:left="1080" w:hanging="360"/>
      </w:pPr>
    </w:lvl>
    <w:lvl w:ilvl="2" w:tplc="79C867FE">
      <w:start w:val="1"/>
      <w:numFmt w:val="lowerRoman"/>
      <w:lvlText w:val="%3."/>
      <w:lvlJc w:val="right"/>
      <w:pPr>
        <w:ind w:left="1800" w:hanging="180"/>
      </w:pPr>
    </w:lvl>
    <w:lvl w:ilvl="3" w:tplc="106439D4">
      <w:start w:val="1"/>
      <w:numFmt w:val="decimal"/>
      <w:lvlText w:val="%4."/>
      <w:lvlJc w:val="left"/>
      <w:pPr>
        <w:ind w:left="2520" w:hanging="360"/>
      </w:pPr>
    </w:lvl>
    <w:lvl w:ilvl="4" w:tplc="018E0A7C">
      <w:start w:val="1"/>
      <w:numFmt w:val="lowerLetter"/>
      <w:lvlText w:val="%5."/>
      <w:lvlJc w:val="left"/>
      <w:pPr>
        <w:ind w:left="3240" w:hanging="360"/>
      </w:pPr>
    </w:lvl>
    <w:lvl w:ilvl="5" w:tplc="A7A28A5C">
      <w:start w:val="1"/>
      <w:numFmt w:val="lowerRoman"/>
      <w:lvlText w:val="%6."/>
      <w:lvlJc w:val="right"/>
      <w:pPr>
        <w:ind w:left="3960" w:hanging="180"/>
      </w:pPr>
    </w:lvl>
    <w:lvl w:ilvl="6" w:tplc="8C646142">
      <w:start w:val="1"/>
      <w:numFmt w:val="decimal"/>
      <w:lvlText w:val="%7."/>
      <w:lvlJc w:val="left"/>
      <w:pPr>
        <w:ind w:left="4680" w:hanging="360"/>
      </w:pPr>
    </w:lvl>
    <w:lvl w:ilvl="7" w:tplc="85D82D2E">
      <w:start w:val="1"/>
      <w:numFmt w:val="lowerLetter"/>
      <w:lvlText w:val="%8."/>
      <w:lvlJc w:val="left"/>
      <w:pPr>
        <w:ind w:left="5400" w:hanging="360"/>
      </w:pPr>
    </w:lvl>
    <w:lvl w:ilvl="8" w:tplc="A90CB954">
      <w:start w:val="1"/>
      <w:numFmt w:val="lowerRoman"/>
      <w:lvlText w:val="%9."/>
      <w:lvlJc w:val="right"/>
      <w:pPr>
        <w:ind w:left="6120" w:hanging="180"/>
      </w:pPr>
    </w:lvl>
  </w:abstractNum>
  <w:abstractNum w:abstractNumId="147" w15:restartNumberingAfterBreak="0">
    <w:nsid w:val="6E894D22"/>
    <w:multiLevelType w:val="hybridMultilevel"/>
    <w:tmpl w:val="94C61D32"/>
    <w:lvl w:ilvl="0" w:tplc="4760BFEC">
      <w:start w:val="1"/>
      <w:numFmt w:val="lowerLetter"/>
      <w:lvlText w:val="%1."/>
      <w:lvlJc w:val="left"/>
      <w:pPr>
        <w:ind w:left="434" w:hanging="360"/>
      </w:pPr>
    </w:lvl>
    <w:lvl w:ilvl="1" w:tplc="687CF834">
      <w:start w:val="1"/>
      <w:numFmt w:val="lowerLetter"/>
      <w:lvlText w:val="%2."/>
      <w:lvlJc w:val="left"/>
      <w:pPr>
        <w:ind w:left="1154" w:hanging="360"/>
      </w:pPr>
    </w:lvl>
    <w:lvl w:ilvl="2" w:tplc="8536D2CE">
      <w:start w:val="1"/>
      <w:numFmt w:val="lowerRoman"/>
      <w:lvlText w:val="%3."/>
      <w:lvlJc w:val="right"/>
      <w:pPr>
        <w:ind w:left="1874" w:hanging="180"/>
      </w:pPr>
    </w:lvl>
    <w:lvl w:ilvl="3" w:tplc="9E884808">
      <w:start w:val="1"/>
      <w:numFmt w:val="decimal"/>
      <w:lvlText w:val="%4."/>
      <w:lvlJc w:val="left"/>
      <w:pPr>
        <w:ind w:left="2594" w:hanging="360"/>
      </w:pPr>
    </w:lvl>
    <w:lvl w:ilvl="4" w:tplc="DA9C3712">
      <w:start w:val="1"/>
      <w:numFmt w:val="lowerLetter"/>
      <w:lvlText w:val="%5."/>
      <w:lvlJc w:val="left"/>
      <w:pPr>
        <w:ind w:left="3314" w:hanging="360"/>
      </w:pPr>
    </w:lvl>
    <w:lvl w:ilvl="5" w:tplc="290C3056">
      <w:start w:val="1"/>
      <w:numFmt w:val="lowerRoman"/>
      <w:lvlText w:val="%6."/>
      <w:lvlJc w:val="right"/>
      <w:pPr>
        <w:ind w:left="4034" w:hanging="180"/>
      </w:pPr>
    </w:lvl>
    <w:lvl w:ilvl="6" w:tplc="9B12718A">
      <w:start w:val="1"/>
      <w:numFmt w:val="decimal"/>
      <w:lvlText w:val="%7."/>
      <w:lvlJc w:val="left"/>
      <w:pPr>
        <w:ind w:left="4754" w:hanging="360"/>
      </w:pPr>
    </w:lvl>
    <w:lvl w:ilvl="7" w:tplc="2CD8A73E">
      <w:start w:val="1"/>
      <w:numFmt w:val="lowerLetter"/>
      <w:lvlText w:val="%8."/>
      <w:lvlJc w:val="left"/>
      <w:pPr>
        <w:ind w:left="5474" w:hanging="360"/>
      </w:pPr>
    </w:lvl>
    <w:lvl w:ilvl="8" w:tplc="8C2CE1E4">
      <w:start w:val="1"/>
      <w:numFmt w:val="lowerRoman"/>
      <w:lvlText w:val="%9."/>
      <w:lvlJc w:val="right"/>
      <w:pPr>
        <w:ind w:left="6194" w:hanging="180"/>
      </w:pPr>
    </w:lvl>
  </w:abstractNum>
  <w:abstractNum w:abstractNumId="148" w15:restartNumberingAfterBreak="0">
    <w:nsid w:val="6F0864FB"/>
    <w:multiLevelType w:val="multilevel"/>
    <w:tmpl w:val="8EDC0E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705A05DF"/>
    <w:multiLevelType w:val="multilevel"/>
    <w:tmpl w:val="ED20AD68"/>
    <w:lvl w:ilvl="0">
      <w:start w:val="1"/>
      <w:numFmt w:val="decimal"/>
      <w:lvlText w:val="%1."/>
      <w:lvlJc w:val="left"/>
      <w:pPr>
        <w:ind w:left="360" w:hanging="360"/>
      </w:pPr>
    </w:lvl>
    <w:lvl w:ilvl="1">
      <w:start w:val="1"/>
      <w:numFmt w:val="decimal"/>
      <w:lvlText w:val="%1.%2."/>
      <w:lvlJc w:val="left"/>
      <w:pPr>
        <w:ind w:left="792" w:hanging="432"/>
      </w:pPr>
      <w:rPr>
        <w:u w:val="single"/>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0" w15:restartNumberingAfterBreak="0">
    <w:nsid w:val="7114619C"/>
    <w:multiLevelType w:val="hybridMultilevel"/>
    <w:tmpl w:val="738C652E"/>
    <w:lvl w:ilvl="0" w:tplc="2AE2759A">
      <w:start w:val="2"/>
      <w:numFmt w:val="decimal"/>
      <w:lvlText w:val="%1."/>
      <w:lvlJc w:val="left"/>
      <w:pPr>
        <w:ind w:left="360" w:hanging="360"/>
      </w:pPr>
      <w:rPr>
        <w:rFonts w:hint="default"/>
        <w:u w:val="single"/>
      </w:rPr>
    </w:lvl>
    <w:lvl w:ilvl="1" w:tplc="21DC525A">
      <w:start w:val="1"/>
      <w:numFmt w:val="lowerLetter"/>
      <w:lvlText w:val="%2."/>
      <w:lvlJc w:val="left"/>
      <w:pPr>
        <w:ind w:left="1080" w:hanging="360"/>
      </w:pPr>
      <w:rPr>
        <w:i w:val="0"/>
        <w:iCs w:val="0"/>
        <w:u w:val="single"/>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1" w15:restartNumberingAfterBreak="0">
    <w:nsid w:val="715F1B70"/>
    <w:multiLevelType w:val="hybridMultilevel"/>
    <w:tmpl w:val="8C7E3DB4"/>
    <w:lvl w:ilvl="0" w:tplc="769CB092">
      <w:start w:val="1"/>
      <w:numFmt w:val="decimal"/>
      <w:lvlText w:val="%1."/>
      <w:lvlJc w:val="left"/>
      <w:pPr>
        <w:ind w:left="864" w:hanging="360"/>
      </w:pPr>
      <w:rPr>
        <w:u w:val="single"/>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52" w15:restartNumberingAfterBreak="0">
    <w:nsid w:val="71785F5A"/>
    <w:multiLevelType w:val="hybridMultilevel"/>
    <w:tmpl w:val="C7A003A6"/>
    <w:lvl w:ilvl="0" w:tplc="30AA6974">
      <w:start w:val="1"/>
      <w:numFmt w:val="lowerLetter"/>
      <w:lvlText w:val="%1)"/>
      <w:lvlJc w:val="left"/>
      <w:pPr>
        <w:ind w:left="1710" w:hanging="360"/>
      </w:pPr>
      <w:rPr>
        <w:u w:val="single"/>
      </w:rPr>
    </w:lvl>
    <w:lvl w:ilvl="1" w:tplc="24F413F4">
      <w:start w:val="1"/>
      <w:numFmt w:val="lowerLetter"/>
      <w:lvlText w:val="%2."/>
      <w:lvlJc w:val="left"/>
      <w:pPr>
        <w:ind w:left="1440" w:hanging="360"/>
      </w:pPr>
    </w:lvl>
    <w:lvl w:ilvl="2" w:tplc="B942C34C">
      <w:start w:val="1"/>
      <w:numFmt w:val="lowerRoman"/>
      <w:lvlText w:val="%3."/>
      <w:lvlJc w:val="right"/>
      <w:pPr>
        <w:ind w:left="2160" w:hanging="180"/>
      </w:pPr>
    </w:lvl>
    <w:lvl w:ilvl="3" w:tplc="EDDA5B72">
      <w:start w:val="1"/>
      <w:numFmt w:val="decimal"/>
      <w:lvlText w:val="%4."/>
      <w:lvlJc w:val="left"/>
      <w:pPr>
        <w:ind w:left="2880" w:hanging="360"/>
      </w:pPr>
    </w:lvl>
    <w:lvl w:ilvl="4" w:tplc="A232F7AE">
      <w:start w:val="1"/>
      <w:numFmt w:val="lowerLetter"/>
      <w:lvlText w:val="%5."/>
      <w:lvlJc w:val="left"/>
      <w:pPr>
        <w:ind w:left="3600" w:hanging="360"/>
      </w:pPr>
    </w:lvl>
    <w:lvl w:ilvl="5" w:tplc="6302D9EE">
      <w:start w:val="1"/>
      <w:numFmt w:val="lowerRoman"/>
      <w:lvlText w:val="%6."/>
      <w:lvlJc w:val="right"/>
      <w:pPr>
        <w:ind w:left="4320" w:hanging="180"/>
      </w:pPr>
    </w:lvl>
    <w:lvl w:ilvl="6" w:tplc="21E25AAC">
      <w:start w:val="1"/>
      <w:numFmt w:val="decimal"/>
      <w:lvlText w:val="%7."/>
      <w:lvlJc w:val="left"/>
      <w:pPr>
        <w:ind w:left="5040" w:hanging="360"/>
      </w:pPr>
    </w:lvl>
    <w:lvl w:ilvl="7" w:tplc="F4645F2E">
      <w:start w:val="1"/>
      <w:numFmt w:val="lowerLetter"/>
      <w:lvlText w:val="%8."/>
      <w:lvlJc w:val="left"/>
      <w:pPr>
        <w:ind w:left="5760" w:hanging="360"/>
      </w:pPr>
    </w:lvl>
    <w:lvl w:ilvl="8" w:tplc="BBFE7784">
      <w:start w:val="1"/>
      <w:numFmt w:val="lowerRoman"/>
      <w:lvlText w:val="%9."/>
      <w:lvlJc w:val="right"/>
      <w:pPr>
        <w:ind w:left="6480" w:hanging="180"/>
      </w:pPr>
    </w:lvl>
  </w:abstractNum>
  <w:abstractNum w:abstractNumId="153" w15:restartNumberingAfterBreak="0">
    <w:nsid w:val="71C6498D"/>
    <w:multiLevelType w:val="multilevel"/>
    <w:tmpl w:val="7FFECFA4"/>
    <w:lvl w:ilvl="0">
      <w:start w:val="1"/>
      <w:numFmt w:val="decimal"/>
      <w:lvlText w:val="%1."/>
      <w:lvlJc w:val="left"/>
      <w:pPr>
        <w:ind w:left="144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4" w15:restartNumberingAfterBreak="0">
    <w:nsid w:val="7398BC31"/>
    <w:multiLevelType w:val="hybridMultilevel"/>
    <w:tmpl w:val="348C5E7A"/>
    <w:lvl w:ilvl="0" w:tplc="0A407594">
      <w:start w:val="1"/>
      <w:numFmt w:val="lowerLetter"/>
      <w:lvlText w:val="%1."/>
      <w:lvlJc w:val="left"/>
      <w:pPr>
        <w:ind w:left="720" w:hanging="360"/>
      </w:pPr>
    </w:lvl>
    <w:lvl w:ilvl="1" w:tplc="4C6AF13A">
      <w:start w:val="1"/>
      <w:numFmt w:val="lowerLetter"/>
      <w:lvlText w:val="%2."/>
      <w:lvlJc w:val="left"/>
      <w:pPr>
        <w:ind w:left="1440" w:hanging="360"/>
      </w:pPr>
    </w:lvl>
    <w:lvl w:ilvl="2" w:tplc="CCF20890">
      <w:start w:val="1"/>
      <w:numFmt w:val="lowerRoman"/>
      <w:lvlText w:val="%3."/>
      <w:lvlJc w:val="right"/>
      <w:pPr>
        <w:ind w:left="2160" w:hanging="180"/>
      </w:pPr>
    </w:lvl>
    <w:lvl w:ilvl="3" w:tplc="DCB8310E">
      <w:start w:val="1"/>
      <w:numFmt w:val="decimal"/>
      <w:lvlText w:val="%4."/>
      <w:lvlJc w:val="left"/>
      <w:pPr>
        <w:ind w:left="2880" w:hanging="360"/>
      </w:pPr>
    </w:lvl>
    <w:lvl w:ilvl="4" w:tplc="5074D092">
      <w:start w:val="1"/>
      <w:numFmt w:val="lowerLetter"/>
      <w:lvlText w:val="%5."/>
      <w:lvlJc w:val="left"/>
      <w:pPr>
        <w:ind w:left="3600" w:hanging="360"/>
      </w:pPr>
    </w:lvl>
    <w:lvl w:ilvl="5" w:tplc="1DD022B2">
      <w:start w:val="1"/>
      <w:numFmt w:val="lowerRoman"/>
      <w:lvlText w:val="%6."/>
      <w:lvlJc w:val="right"/>
      <w:pPr>
        <w:ind w:left="4320" w:hanging="180"/>
      </w:pPr>
    </w:lvl>
    <w:lvl w:ilvl="6" w:tplc="883611F2">
      <w:start w:val="1"/>
      <w:numFmt w:val="decimal"/>
      <w:lvlText w:val="%7."/>
      <w:lvlJc w:val="left"/>
      <w:pPr>
        <w:ind w:left="5040" w:hanging="360"/>
      </w:pPr>
    </w:lvl>
    <w:lvl w:ilvl="7" w:tplc="E8524602">
      <w:start w:val="1"/>
      <w:numFmt w:val="lowerLetter"/>
      <w:lvlText w:val="%8."/>
      <w:lvlJc w:val="left"/>
      <w:pPr>
        <w:ind w:left="5760" w:hanging="360"/>
      </w:pPr>
    </w:lvl>
    <w:lvl w:ilvl="8" w:tplc="4B6CC778">
      <w:start w:val="1"/>
      <w:numFmt w:val="lowerRoman"/>
      <w:lvlText w:val="%9."/>
      <w:lvlJc w:val="right"/>
      <w:pPr>
        <w:ind w:left="6480" w:hanging="180"/>
      </w:pPr>
    </w:lvl>
  </w:abstractNum>
  <w:abstractNum w:abstractNumId="155" w15:restartNumberingAfterBreak="0">
    <w:nsid w:val="73B95EA6"/>
    <w:multiLevelType w:val="hybridMultilevel"/>
    <w:tmpl w:val="E610B128"/>
    <w:lvl w:ilvl="0" w:tplc="E83AB2E8">
      <w:start w:val="1"/>
      <w:numFmt w:val="decimal"/>
      <w:lvlText w:val="%1."/>
      <w:lvlJc w:val="left"/>
      <w:pPr>
        <w:ind w:left="1080" w:hanging="360"/>
      </w:pPr>
      <w:rPr>
        <w:rFonts w:cs="Times New Roman"/>
        <w:b w:val="0"/>
        <w:strike w:val="0"/>
        <w:dstrike w:val="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6" w15:restartNumberingAfterBreak="0">
    <w:nsid w:val="75800E76"/>
    <w:multiLevelType w:val="hybridMultilevel"/>
    <w:tmpl w:val="4D9AA1A4"/>
    <w:lvl w:ilvl="0" w:tplc="7E0CF00A">
      <w:start w:val="1"/>
      <w:numFmt w:val="decimal"/>
      <w:lvlText w:val="2.%1"/>
      <w:lvlJc w:val="left"/>
      <w:pPr>
        <w:ind w:left="1440" w:hanging="360"/>
      </w:pPr>
      <w:rPr>
        <w:u w:val="single"/>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57" w15:restartNumberingAfterBreak="0">
    <w:nsid w:val="76143CAD"/>
    <w:multiLevelType w:val="hybridMultilevel"/>
    <w:tmpl w:val="5560D610"/>
    <w:lvl w:ilvl="0" w:tplc="B89EF8EA">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8" w15:restartNumberingAfterBreak="0">
    <w:nsid w:val="76B54A03"/>
    <w:multiLevelType w:val="hybridMultilevel"/>
    <w:tmpl w:val="5C5207EE"/>
    <w:lvl w:ilvl="0" w:tplc="91FABBD8">
      <w:start w:val="1"/>
      <w:numFmt w:val="lowerLetter"/>
      <w:lvlText w:val="%1."/>
      <w:lvlJc w:val="left"/>
      <w:pPr>
        <w:ind w:left="720" w:hanging="360"/>
      </w:pPr>
    </w:lvl>
    <w:lvl w:ilvl="1" w:tplc="CBC26698">
      <w:start w:val="1"/>
      <w:numFmt w:val="lowerLetter"/>
      <w:lvlText w:val="%2."/>
      <w:lvlJc w:val="left"/>
      <w:pPr>
        <w:ind w:left="1440" w:hanging="360"/>
      </w:pPr>
    </w:lvl>
    <w:lvl w:ilvl="2" w:tplc="6D6AD622">
      <w:start w:val="1"/>
      <w:numFmt w:val="lowerRoman"/>
      <w:lvlText w:val="%3."/>
      <w:lvlJc w:val="right"/>
      <w:pPr>
        <w:ind w:left="2160" w:hanging="180"/>
      </w:pPr>
    </w:lvl>
    <w:lvl w:ilvl="3" w:tplc="54DE64D6">
      <w:start w:val="1"/>
      <w:numFmt w:val="decimal"/>
      <w:lvlText w:val="%4."/>
      <w:lvlJc w:val="left"/>
      <w:pPr>
        <w:ind w:left="2880" w:hanging="360"/>
      </w:pPr>
    </w:lvl>
    <w:lvl w:ilvl="4" w:tplc="C74402C2">
      <w:start w:val="1"/>
      <w:numFmt w:val="lowerLetter"/>
      <w:lvlText w:val="%5."/>
      <w:lvlJc w:val="left"/>
      <w:pPr>
        <w:ind w:left="3600" w:hanging="360"/>
      </w:pPr>
    </w:lvl>
    <w:lvl w:ilvl="5" w:tplc="1C429474">
      <w:start w:val="1"/>
      <w:numFmt w:val="lowerRoman"/>
      <w:lvlText w:val="%6."/>
      <w:lvlJc w:val="right"/>
      <w:pPr>
        <w:ind w:left="4320" w:hanging="180"/>
      </w:pPr>
    </w:lvl>
    <w:lvl w:ilvl="6" w:tplc="9F9A7CDA">
      <w:start w:val="1"/>
      <w:numFmt w:val="decimal"/>
      <w:lvlText w:val="%7."/>
      <w:lvlJc w:val="left"/>
      <w:pPr>
        <w:ind w:left="5040" w:hanging="360"/>
      </w:pPr>
    </w:lvl>
    <w:lvl w:ilvl="7" w:tplc="3A46151A">
      <w:start w:val="1"/>
      <w:numFmt w:val="lowerLetter"/>
      <w:lvlText w:val="%8."/>
      <w:lvlJc w:val="left"/>
      <w:pPr>
        <w:ind w:left="5760" w:hanging="360"/>
      </w:pPr>
    </w:lvl>
    <w:lvl w:ilvl="8" w:tplc="E9E20284">
      <w:start w:val="1"/>
      <w:numFmt w:val="lowerRoman"/>
      <w:lvlText w:val="%9."/>
      <w:lvlJc w:val="right"/>
      <w:pPr>
        <w:ind w:left="6480" w:hanging="180"/>
      </w:pPr>
    </w:lvl>
  </w:abstractNum>
  <w:abstractNum w:abstractNumId="159" w15:restartNumberingAfterBreak="0">
    <w:nsid w:val="76FC00B7"/>
    <w:multiLevelType w:val="multilevel"/>
    <w:tmpl w:val="1BE800FE"/>
    <w:lvl w:ilvl="0">
      <w:start w:val="1"/>
      <w:numFmt w:val="decimal"/>
      <w:lvlText w:val="%1."/>
      <w:lvlJc w:val="left"/>
      <w:pPr>
        <w:ind w:left="1800" w:hanging="360"/>
      </w:pPr>
      <w:rPr>
        <w:u w:val="single"/>
      </w:rPr>
    </w:lvl>
    <w:lvl w:ilvl="1">
      <w:start w:val="1"/>
      <w:numFmt w:val="decimal"/>
      <w:lvlText w:val="%1.%2."/>
      <w:lvlJc w:val="left"/>
      <w:pPr>
        <w:ind w:left="2232" w:hanging="432"/>
      </w:pPr>
      <w:rPr>
        <w:u w:val="single"/>
      </w:rPr>
    </w:lvl>
    <w:lvl w:ilvl="2">
      <w:start w:val="1"/>
      <w:numFmt w:val="decimal"/>
      <w:lvlText w:val="%3."/>
      <w:lvlJc w:val="left"/>
      <w:pPr>
        <w:ind w:left="2520" w:hanging="360"/>
      </w:pPr>
    </w:lvl>
    <w:lvl w:ilvl="3">
      <w:start w:val="1"/>
      <w:numFmt w:val="decimal"/>
      <w:lvlText w:val="%1.%2.%3.%4."/>
      <w:lvlJc w:val="left"/>
      <w:pPr>
        <w:ind w:left="3168" w:hanging="648"/>
      </w:pPr>
    </w:lvl>
    <w:lvl w:ilvl="4">
      <w:start w:val="1"/>
      <w:numFmt w:val="decimal"/>
      <w:lvlText w:val="1.%5"/>
      <w:lvlJc w:val="left"/>
      <w:pPr>
        <w:ind w:left="3672" w:hanging="792"/>
      </w:pPr>
    </w:lvl>
    <w:lvl w:ilvl="5">
      <w:start w:val="1"/>
      <w:numFmt w:val="decimal"/>
      <w:lvlText w:val="%1.%2.%3.%4.%5.%6."/>
      <w:lvlJc w:val="left"/>
      <w:pPr>
        <w:ind w:left="4176" w:hanging="936"/>
      </w:pPr>
    </w:lvl>
    <w:lvl w:ilvl="6">
      <w:start w:val="1"/>
      <w:numFmt w:val="decimal"/>
      <w:lvlText w:val="%1.%2.%3.%4.%5.%6.%7."/>
      <w:lvlJc w:val="left"/>
      <w:pPr>
        <w:ind w:left="4680" w:hanging="1080"/>
      </w:pPr>
    </w:lvl>
    <w:lvl w:ilvl="7">
      <w:start w:val="1"/>
      <w:numFmt w:val="decimal"/>
      <w:lvlText w:val="%1.%2.%3.%4.%5.%6.%7.%8."/>
      <w:lvlJc w:val="left"/>
      <w:pPr>
        <w:ind w:left="5184" w:hanging="1224"/>
      </w:pPr>
    </w:lvl>
    <w:lvl w:ilvl="8">
      <w:start w:val="1"/>
      <w:numFmt w:val="decimal"/>
      <w:lvlText w:val="%1.%2.%3.%4.%5.%6.%7.%8.%9."/>
      <w:lvlJc w:val="left"/>
      <w:pPr>
        <w:ind w:left="5760" w:hanging="1440"/>
      </w:pPr>
    </w:lvl>
  </w:abstractNum>
  <w:abstractNum w:abstractNumId="160" w15:restartNumberingAfterBreak="0">
    <w:nsid w:val="7885580E"/>
    <w:multiLevelType w:val="hybridMultilevel"/>
    <w:tmpl w:val="3E021ED2"/>
    <w:lvl w:ilvl="0" w:tplc="C5E45762">
      <w:start w:val="1"/>
      <w:numFmt w:val="decimal"/>
      <w:lvlText w:val="%1."/>
      <w:lvlJc w:val="left"/>
      <w:pPr>
        <w:ind w:left="1080" w:hanging="360"/>
      </w:pPr>
      <w:rPr>
        <w:u w:val="single"/>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1" w15:restartNumberingAfterBreak="0">
    <w:nsid w:val="78C162B9"/>
    <w:multiLevelType w:val="hybridMultilevel"/>
    <w:tmpl w:val="682A6BF6"/>
    <w:lvl w:ilvl="0" w:tplc="53008DAA">
      <w:start w:val="1"/>
      <w:numFmt w:val="decimal"/>
      <w:lvlText w:val="%1."/>
      <w:lvlJc w:val="left"/>
      <w:pPr>
        <w:ind w:left="864" w:hanging="360"/>
      </w:pPr>
      <w:rPr>
        <w:u w:val="single"/>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62" w15:restartNumberingAfterBreak="0">
    <w:nsid w:val="79B90339"/>
    <w:multiLevelType w:val="hybridMultilevel"/>
    <w:tmpl w:val="F89C23D0"/>
    <w:lvl w:ilvl="0" w:tplc="496E8434">
      <w:start w:val="1"/>
      <w:numFmt w:val="decimal"/>
      <w:lvlText w:val="%1."/>
      <w:lvlJc w:val="left"/>
      <w:pPr>
        <w:ind w:left="1080" w:hanging="360"/>
      </w:pPr>
      <w:rPr>
        <w:u w:val="single"/>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3" w15:restartNumberingAfterBreak="0">
    <w:nsid w:val="79DE715B"/>
    <w:multiLevelType w:val="hybridMultilevel"/>
    <w:tmpl w:val="3D903978"/>
    <w:lvl w:ilvl="0" w:tplc="199CCFA2">
      <w:start w:val="1"/>
      <w:numFmt w:val="lowerLetter"/>
      <w:lvlText w:val="%1."/>
      <w:lvlJc w:val="left"/>
      <w:pPr>
        <w:ind w:left="720" w:hanging="360"/>
      </w:pPr>
    </w:lvl>
    <w:lvl w:ilvl="1" w:tplc="05DABAE2">
      <w:start w:val="1"/>
      <w:numFmt w:val="decimal"/>
      <w:lvlText w:val="%2."/>
      <w:lvlJc w:val="left"/>
      <w:pPr>
        <w:ind w:left="1440" w:hanging="360"/>
      </w:pPr>
    </w:lvl>
    <w:lvl w:ilvl="2" w:tplc="1772DBF2">
      <w:start w:val="1"/>
      <w:numFmt w:val="lowerRoman"/>
      <w:lvlText w:val="%3."/>
      <w:lvlJc w:val="right"/>
      <w:pPr>
        <w:ind w:left="2160" w:hanging="180"/>
      </w:pPr>
    </w:lvl>
    <w:lvl w:ilvl="3" w:tplc="6E8EC9BC">
      <w:start w:val="1"/>
      <w:numFmt w:val="decimal"/>
      <w:lvlText w:val="%4."/>
      <w:lvlJc w:val="left"/>
      <w:pPr>
        <w:ind w:left="2880" w:hanging="360"/>
      </w:pPr>
    </w:lvl>
    <w:lvl w:ilvl="4" w:tplc="ADB0DBE8">
      <w:start w:val="1"/>
      <w:numFmt w:val="lowerLetter"/>
      <w:lvlText w:val="%5."/>
      <w:lvlJc w:val="left"/>
      <w:pPr>
        <w:ind w:left="3600" w:hanging="360"/>
      </w:pPr>
    </w:lvl>
    <w:lvl w:ilvl="5" w:tplc="FD22AB9C">
      <w:start w:val="1"/>
      <w:numFmt w:val="lowerRoman"/>
      <w:lvlText w:val="%6."/>
      <w:lvlJc w:val="right"/>
      <w:pPr>
        <w:ind w:left="4320" w:hanging="180"/>
      </w:pPr>
    </w:lvl>
    <w:lvl w:ilvl="6" w:tplc="2B026524">
      <w:start w:val="1"/>
      <w:numFmt w:val="decimal"/>
      <w:lvlText w:val="%7."/>
      <w:lvlJc w:val="left"/>
      <w:pPr>
        <w:ind w:left="5040" w:hanging="360"/>
      </w:pPr>
    </w:lvl>
    <w:lvl w:ilvl="7" w:tplc="B0E4B466">
      <w:start w:val="1"/>
      <w:numFmt w:val="lowerLetter"/>
      <w:lvlText w:val="%8."/>
      <w:lvlJc w:val="left"/>
      <w:pPr>
        <w:ind w:left="5760" w:hanging="360"/>
      </w:pPr>
    </w:lvl>
    <w:lvl w:ilvl="8" w:tplc="2208F8C8">
      <w:start w:val="1"/>
      <w:numFmt w:val="lowerRoman"/>
      <w:lvlText w:val="%9."/>
      <w:lvlJc w:val="right"/>
      <w:pPr>
        <w:ind w:left="6480" w:hanging="180"/>
      </w:pPr>
    </w:lvl>
  </w:abstractNum>
  <w:abstractNum w:abstractNumId="164" w15:restartNumberingAfterBreak="0">
    <w:nsid w:val="7AEB58A6"/>
    <w:multiLevelType w:val="multilevel"/>
    <w:tmpl w:val="282689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7B234FDB"/>
    <w:multiLevelType w:val="multilevel"/>
    <w:tmpl w:val="6C32311A"/>
    <w:lvl w:ilvl="0">
      <w:start w:val="1"/>
      <w:numFmt w:val="decimal"/>
      <w:lvlText w:val="%1."/>
      <w:lvlJc w:val="left"/>
      <w:pPr>
        <w:ind w:left="1504" w:hanging="360"/>
      </w:pPr>
    </w:lvl>
    <w:lvl w:ilvl="1">
      <w:start w:val="1"/>
      <w:numFmt w:val="decimal"/>
      <w:lvlText w:val="%2."/>
      <w:lvlJc w:val="left"/>
      <w:pPr>
        <w:ind w:left="2224" w:hanging="360"/>
      </w:pPr>
      <w:rPr>
        <w:u w:val="single"/>
      </w:rPr>
    </w:lvl>
    <w:lvl w:ilvl="2">
      <w:start w:val="1"/>
      <w:numFmt w:val="lowerRoman"/>
      <w:lvlText w:val="%3."/>
      <w:lvlJc w:val="right"/>
      <w:pPr>
        <w:ind w:left="2944" w:hanging="180"/>
      </w:pPr>
    </w:lvl>
    <w:lvl w:ilvl="3">
      <w:start w:val="1"/>
      <w:numFmt w:val="decimal"/>
      <w:lvlText w:val="%4."/>
      <w:lvlJc w:val="left"/>
      <w:pPr>
        <w:ind w:left="3664" w:hanging="360"/>
      </w:pPr>
    </w:lvl>
    <w:lvl w:ilvl="4">
      <w:start w:val="1"/>
      <w:numFmt w:val="lowerLetter"/>
      <w:lvlText w:val="%5."/>
      <w:lvlJc w:val="left"/>
      <w:pPr>
        <w:ind w:left="4384" w:hanging="360"/>
      </w:pPr>
    </w:lvl>
    <w:lvl w:ilvl="5">
      <w:start w:val="1"/>
      <w:numFmt w:val="lowerRoman"/>
      <w:lvlText w:val="%6."/>
      <w:lvlJc w:val="right"/>
      <w:pPr>
        <w:ind w:left="5104" w:hanging="180"/>
      </w:pPr>
    </w:lvl>
    <w:lvl w:ilvl="6">
      <w:start w:val="1"/>
      <w:numFmt w:val="decimal"/>
      <w:lvlText w:val="%7."/>
      <w:lvlJc w:val="left"/>
      <w:pPr>
        <w:ind w:left="5824" w:hanging="360"/>
      </w:pPr>
    </w:lvl>
    <w:lvl w:ilvl="7">
      <w:start w:val="1"/>
      <w:numFmt w:val="lowerLetter"/>
      <w:lvlText w:val="%8."/>
      <w:lvlJc w:val="left"/>
      <w:pPr>
        <w:ind w:left="6544" w:hanging="360"/>
      </w:pPr>
    </w:lvl>
    <w:lvl w:ilvl="8">
      <w:start w:val="1"/>
      <w:numFmt w:val="lowerRoman"/>
      <w:lvlText w:val="%9."/>
      <w:lvlJc w:val="right"/>
      <w:pPr>
        <w:ind w:left="7264" w:hanging="180"/>
      </w:pPr>
    </w:lvl>
  </w:abstractNum>
  <w:abstractNum w:abstractNumId="166" w15:restartNumberingAfterBreak="0">
    <w:nsid w:val="7DBC2F61"/>
    <w:multiLevelType w:val="hybridMultilevel"/>
    <w:tmpl w:val="6B96EA3A"/>
    <w:lvl w:ilvl="0" w:tplc="3D344C94">
      <w:start w:val="1"/>
      <w:numFmt w:val="lowerLetter"/>
      <w:lvlText w:val="%1."/>
      <w:lvlJc w:val="left"/>
      <w:pPr>
        <w:ind w:left="433" w:hanging="360"/>
      </w:pPr>
    </w:lvl>
    <w:lvl w:ilvl="1" w:tplc="321845AA">
      <w:start w:val="1"/>
      <w:numFmt w:val="lowerLetter"/>
      <w:lvlText w:val="%2."/>
      <w:lvlJc w:val="left"/>
      <w:pPr>
        <w:ind w:left="1153" w:hanging="360"/>
      </w:pPr>
    </w:lvl>
    <w:lvl w:ilvl="2" w:tplc="EDC2AB70">
      <w:start w:val="1"/>
      <w:numFmt w:val="lowerRoman"/>
      <w:lvlText w:val="%3."/>
      <w:lvlJc w:val="right"/>
      <w:pPr>
        <w:ind w:left="1873" w:hanging="180"/>
      </w:pPr>
    </w:lvl>
    <w:lvl w:ilvl="3" w:tplc="9340A098">
      <w:start w:val="1"/>
      <w:numFmt w:val="decimal"/>
      <w:lvlText w:val="%4."/>
      <w:lvlJc w:val="left"/>
      <w:pPr>
        <w:ind w:left="2593" w:hanging="360"/>
      </w:pPr>
    </w:lvl>
    <w:lvl w:ilvl="4" w:tplc="83FCCB32">
      <w:start w:val="1"/>
      <w:numFmt w:val="lowerLetter"/>
      <w:lvlText w:val="%5."/>
      <w:lvlJc w:val="left"/>
      <w:pPr>
        <w:ind w:left="3313" w:hanging="360"/>
      </w:pPr>
    </w:lvl>
    <w:lvl w:ilvl="5" w:tplc="D27C9A64">
      <w:start w:val="1"/>
      <w:numFmt w:val="lowerRoman"/>
      <w:lvlText w:val="%6."/>
      <w:lvlJc w:val="right"/>
      <w:pPr>
        <w:ind w:left="4033" w:hanging="180"/>
      </w:pPr>
    </w:lvl>
    <w:lvl w:ilvl="6" w:tplc="7F4C23C8">
      <w:start w:val="1"/>
      <w:numFmt w:val="decimal"/>
      <w:lvlText w:val="%7."/>
      <w:lvlJc w:val="left"/>
      <w:pPr>
        <w:ind w:left="4753" w:hanging="360"/>
      </w:pPr>
    </w:lvl>
    <w:lvl w:ilvl="7" w:tplc="31EA24DE">
      <w:start w:val="1"/>
      <w:numFmt w:val="lowerLetter"/>
      <w:lvlText w:val="%8."/>
      <w:lvlJc w:val="left"/>
      <w:pPr>
        <w:ind w:left="5473" w:hanging="360"/>
      </w:pPr>
    </w:lvl>
    <w:lvl w:ilvl="8" w:tplc="C704778A">
      <w:start w:val="1"/>
      <w:numFmt w:val="lowerRoman"/>
      <w:lvlText w:val="%9."/>
      <w:lvlJc w:val="right"/>
      <w:pPr>
        <w:ind w:left="6193" w:hanging="180"/>
      </w:pPr>
    </w:lvl>
  </w:abstractNum>
  <w:num w:numId="1">
    <w:abstractNumId w:val="105"/>
  </w:num>
  <w:num w:numId="2">
    <w:abstractNumId w:val="101"/>
  </w:num>
  <w:num w:numId="3">
    <w:abstractNumId w:val="107"/>
  </w:num>
  <w:num w:numId="4">
    <w:abstractNumId w:val="106"/>
  </w:num>
  <w:num w:numId="5">
    <w:abstractNumId w:val="135"/>
  </w:num>
  <w:num w:numId="6">
    <w:abstractNumId w:val="77"/>
  </w:num>
  <w:num w:numId="7">
    <w:abstractNumId w:val="35"/>
  </w:num>
  <w:num w:numId="8">
    <w:abstractNumId w:val="128"/>
  </w:num>
  <w:num w:numId="9">
    <w:abstractNumId w:val="86"/>
  </w:num>
  <w:num w:numId="10">
    <w:abstractNumId w:val="76"/>
  </w:num>
  <w:num w:numId="11">
    <w:abstractNumId w:val="34"/>
  </w:num>
  <w:num w:numId="12">
    <w:abstractNumId w:val="20"/>
  </w:num>
  <w:num w:numId="13">
    <w:abstractNumId w:val="64"/>
  </w:num>
  <w:num w:numId="14">
    <w:abstractNumId w:val="132"/>
  </w:num>
  <w:num w:numId="15">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0"/>
  </w:num>
  <w:num w:numId="33">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1"/>
  </w:num>
  <w:num w:numId="36">
    <w:abstractNumId w:val="29"/>
  </w:num>
  <w:num w:numId="37">
    <w:abstractNumId w:val="46"/>
  </w:num>
  <w:num w:numId="38">
    <w:abstractNumId w:val="74"/>
  </w:num>
  <w:num w:numId="39">
    <w:abstractNumId w:val="62"/>
  </w:num>
  <w:num w:numId="40">
    <w:abstractNumId w:val="110"/>
  </w:num>
  <w:num w:numId="41">
    <w:abstractNumId w:val="32"/>
  </w:num>
  <w:num w:numId="42">
    <w:abstractNumId w:val="129"/>
  </w:num>
  <w:num w:numId="43">
    <w:abstractNumId w:val="68"/>
  </w:num>
  <w:num w:numId="44">
    <w:abstractNumId w:val="115"/>
  </w:num>
  <w:num w:numId="45">
    <w:abstractNumId w:val="96"/>
  </w:num>
  <w:num w:numId="46">
    <w:abstractNumId w:val="22"/>
  </w:num>
  <w:num w:numId="47">
    <w:abstractNumId w:val="26"/>
  </w:num>
  <w:num w:numId="48">
    <w:abstractNumId w:val="112"/>
  </w:num>
  <w:num w:numId="49">
    <w:abstractNumId w:val="159"/>
  </w:num>
  <w:num w:numId="50">
    <w:abstractNumId w:val="78"/>
  </w:num>
  <w:num w:numId="51">
    <w:abstractNumId w:val="104"/>
  </w:num>
  <w:num w:numId="52">
    <w:abstractNumId w:val="10"/>
  </w:num>
  <w:num w:numId="53">
    <w:abstractNumId w:val="1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
    <w:lvlOverride w:ilvl="0">
      <w:startOverride w:val="1"/>
    </w:lvlOverride>
  </w:num>
  <w:num w:numId="56">
    <w:abstractNumId w:val="8"/>
    <w:lvlOverride w:ilvl="0">
      <w:startOverride w:val="1"/>
    </w:lvlOverride>
  </w:num>
  <w:num w:numId="57">
    <w:abstractNumId w:val="3"/>
    <w:lvlOverride w:ilvl="0">
      <w:startOverride w:val="4"/>
    </w:lvlOverride>
  </w:num>
  <w:num w:numId="58">
    <w:abstractNumId w:val="121"/>
  </w:num>
  <w:num w:numId="59">
    <w:abstractNumId w:val="98"/>
  </w:num>
  <w:num w:numId="60">
    <w:abstractNumId w:val="113"/>
  </w:num>
  <w:num w:numId="61">
    <w:abstractNumId w:val="7"/>
  </w:num>
  <w:num w:numId="62">
    <w:abstractNumId w:val="114"/>
  </w:num>
  <w:num w:numId="63">
    <w:abstractNumId w:val="136"/>
  </w:num>
  <w:num w:numId="64">
    <w:abstractNumId w:val="43"/>
  </w:num>
  <w:num w:numId="65">
    <w:abstractNumId w:val="63"/>
  </w:num>
  <w:num w:numId="66">
    <w:abstractNumId w:val="38"/>
  </w:num>
  <w:num w:numId="67">
    <w:abstractNumId w:val="80"/>
  </w:num>
  <w:num w:numId="68">
    <w:abstractNumId w:val="90"/>
  </w:num>
  <w:num w:numId="69">
    <w:abstractNumId w:val="124"/>
  </w:num>
  <w:num w:numId="70">
    <w:abstractNumId w:val="49"/>
  </w:num>
  <w:num w:numId="71">
    <w:abstractNumId w:val="58"/>
  </w:num>
  <w:num w:numId="72">
    <w:abstractNumId w:val="94"/>
  </w:num>
  <w:num w:numId="73">
    <w:abstractNumId w:val="161"/>
  </w:num>
  <w:num w:numId="74">
    <w:abstractNumId w:val="151"/>
  </w:num>
  <w:num w:numId="75">
    <w:abstractNumId w:val="2"/>
  </w:num>
  <w:num w:numId="76">
    <w:abstractNumId w:val="56"/>
  </w:num>
  <w:num w:numId="77">
    <w:abstractNumId w:val="18"/>
  </w:num>
  <w:num w:numId="78">
    <w:abstractNumId w:val="37"/>
  </w:num>
  <w:num w:numId="79">
    <w:abstractNumId w:val="125"/>
  </w:num>
  <w:num w:numId="80">
    <w:abstractNumId w:val="13"/>
  </w:num>
  <w:num w:numId="81">
    <w:abstractNumId w:val="0"/>
  </w:num>
  <w:num w:numId="82">
    <w:abstractNumId w:val="150"/>
  </w:num>
  <w:num w:numId="83">
    <w:abstractNumId w:val="17"/>
  </w:num>
  <w:num w:numId="84">
    <w:abstractNumId w:val="157"/>
  </w:num>
  <w:num w:numId="85">
    <w:abstractNumId w:val="81"/>
  </w:num>
  <w:num w:numId="86">
    <w:abstractNumId w:val="138"/>
  </w:num>
  <w:num w:numId="87">
    <w:abstractNumId w:val="75"/>
  </w:num>
  <w:num w:numId="88">
    <w:abstractNumId w:val="93"/>
  </w:num>
  <w:num w:numId="89">
    <w:abstractNumId w:val="16"/>
  </w:num>
  <w:num w:numId="90">
    <w:abstractNumId w:val="50"/>
  </w:num>
  <w:num w:numId="91">
    <w:abstractNumId w:val="164"/>
  </w:num>
  <w:num w:numId="92">
    <w:abstractNumId w:val="79"/>
  </w:num>
  <w:num w:numId="93">
    <w:abstractNumId w:val="148"/>
  </w:num>
  <w:num w:numId="94">
    <w:abstractNumId w:val="39"/>
  </w:num>
  <w:num w:numId="95">
    <w:abstractNumId w:val="122"/>
  </w:num>
  <w:num w:numId="96">
    <w:abstractNumId w:val="11"/>
  </w:num>
  <w:num w:numId="97">
    <w:abstractNumId w:val="67"/>
  </w:num>
  <w:num w:numId="98">
    <w:abstractNumId w:val="27"/>
  </w:num>
  <w:num w:numId="99">
    <w:abstractNumId w:val="88"/>
  </w:num>
  <w:num w:numId="100">
    <w:abstractNumId w:val="44"/>
  </w:num>
  <w:num w:numId="101">
    <w:abstractNumId w:val="55"/>
  </w:num>
  <w:num w:numId="102">
    <w:abstractNumId w:val="6"/>
  </w:num>
  <w:num w:numId="103">
    <w:abstractNumId w:val="145"/>
  </w:num>
  <w:num w:numId="104">
    <w:abstractNumId w:val="52"/>
  </w:num>
  <w:num w:numId="105">
    <w:abstractNumId w:val="84"/>
  </w:num>
  <w:num w:numId="106">
    <w:abstractNumId w:val="71"/>
  </w:num>
  <w:num w:numId="107">
    <w:abstractNumId w:val="23"/>
  </w:num>
  <w:num w:numId="108">
    <w:abstractNumId w:val="143"/>
  </w:num>
  <w:num w:numId="109">
    <w:abstractNumId w:val="97"/>
  </w:num>
  <w:num w:numId="110">
    <w:abstractNumId w:val="153"/>
  </w:num>
  <w:num w:numId="111">
    <w:abstractNumId w:val="85"/>
  </w:num>
  <w:num w:numId="112">
    <w:abstractNumId w:val="82"/>
  </w:num>
  <w:num w:numId="113">
    <w:abstractNumId w:val="111"/>
  </w:num>
  <w:num w:numId="114">
    <w:abstractNumId w:val="116"/>
  </w:num>
  <w:num w:numId="115">
    <w:abstractNumId w:val="89"/>
  </w:num>
  <w:num w:numId="116">
    <w:abstractNumId w:val="139"/>
  </w:num>
  <w:num w:numId="117">
    <w:abstractNumId w:val="70"/>
  </w:num>
  <w:num w:numId="118">
    <w:abstractNumId w:val="72"/>
  </w:num>
  <w:num w:numId="119">
    <w:abstractNumId w:val="123"/>
  </w:num>
  <w:num w:numId="120">
    <w:abstractNumId w:val="31"/>
  </w:num>
  <w:num w:numId="121">
    <w:abstractNumId w:val="99"/>
  </w:num>
  <w:num w:numId="122">
    <w:abstractNumId w:val="152"/>
  </w:num>
  <w:num w:numId="123">
    <w:abstractNumId w:val="73"/>
  </w:num>
  <w:num w:numId="124">
    <w:abstractNumId w:val="117"/>
  </w:num>
  <w:num w:numId="125">
    <w:abstractNumId w:val="163"/>
  </w:num>
  <w:num w:numId="126">
    <w:abstractNumId w:val="158"/>
  </w:num>
  <w:num w:numId="127">
    <w:abstractNumId w:val="91"/>
  </w:num>
  <w:num w:numId="128">
    <w:abstractNumId w:val="15"/>
  </w:num>
  <w:num w:numId="129">
    <w:abstractNumId w:val="144"/>
  </w:num>
  <w:num w:numId="130">
    <w:abstractNumId w:val="108"/>
  </w:num>
  <w:num w:numId="131">
    <w:abstractNumId w:val="54"/>
  </w:num>
  <w:num w:numId="132">
    <w:abstractNumId w:val="140"/>
  </w:num>
  <w:num w:numId="133">
    <w:abstractNumId w:val="147"/>
  </w:num>
  <w:num w:numId="134">
    <w:abstractNumId w:val="25"/>
  </w:num>
  <w:num w:numId="135">
    <w:abstractNumId w:val="120"/>
  </w:num>
  <w:num w:numId="136">
    <w:abstractNumId w:val="109"/>
  </w:num>
  <w:num w:numId="137">
    <w:abstractNumId w:val="41"/>
  </w:num>
  <w:num w:numId="138">
    <w:abstractNumId w:val="5"/>
  </w:num>
  <w:num w:numId="139">
    <w:abstractNumId w:val="141"/>
  </w:num>
  <w:num w:numId="140">
    <w:abstractNumId w:val="69"/>
  </w:num>
  <w:num w:numId="141">
    <w:abstractNumId w:val="118"/>
  </w:num>
  <w:num w:numId="142">
    <w:abstractNumId w:val="42"/>
  </w:num>
  <w:num w:numId="143">
    <w:abstractNumId w:val="28"/>
  </w:num>
  <w:num w:numId="144">
    <w:abstractNumId w:val="66"/>
  </w:num>
  <w:num w:numId="145">
    <w:abstractNumId w:val="51"/>
  </w:num>
  <w:num w:numId="146">
    <w:abstractNumId w:val="87"/>
  </w:num>
  <w:num w:numId="147">
    <w:abstractNumId w:val="48"/>
  </w:num>
  <w:num w:numId="148">
    <w:abstractNumId w:val="30"/>
  </w:num>
  <w:num w:numId="149">
    <w:abstractNumId w:val="146"/>
  </w:num>
  <w:num w:numId="150">
    <w:abstractNumId w:val="53"/>
  </w:num>
  <w:num w:numId="151">
    <w:abstractNumId w:val="130"/>
  </w:num>
  <w:num w:numId="152">
    <w:abstractNumId w:val="60"/>
  </w:num>
  <w:num w:numId="153">
    <w:abstractNumId w:val="133"/>
  </w:num>
  <w:num w:numId="154">
    <w:abstractNumId w:val="166"/>
  </w:num>
  <w:num w:numId="155">
    <w:abstractNumId w:val="83"/>
  </w:num>
  <w:num w:numId="156">
    <w:abstractNumId w:val="103"/>
  </w:num>
  <w:num w:numId="157">
    <w:abstractNumId w:val="33"/>
  </w:num>
  <w:num w:numId="158">
    <w:abstractNumId w:val="14"/>
  </w:num>
  <w:num w:numId="159">
    <w:abstractNumId w:val="24"/>
  </w:num>
  <w:num w:numId="160">
    <w:abstractNumId w:val="154"/>
  </w:num>
  <w:num w:numId="161">
    <w:abstractNumId w:val="4"/>
  </w:num>
  <w:num w:numId="162">
    <w:abstractNumId w:val="134"/>
  </w:num>
  <w:num w:numId="163">
    <w:abstractNumId w:val="102"/>
  </w:num>
  <w:num w:numId="164">
    <w:abstractNumId w:val="100"/>
  </w:num>
  <w:num w:numId="165">
    <w:abstractNumId w:val="59"/>
  </w:num>
  <w:num w:numId="166">
    <w:abstractNumId w:val="95"/>
  </w:num>
  <w:num w:numId="167">
    <w:abstractNumId w:val="119"/>
  </w:num>
  <w:numIdMacAtCleanup w:val="1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D2B"/>
    <w:rsid w:val="0000250D"/>
    <w:rsid w:val="000056D0"/>
    <w:rsid w:val="00005FAB"/>
    <w:rsid w:val="000064F2"/>
    <w:rsid w:val="00011213"/>
    <w:rsid w:val="000128B5"/>
    <w:rsid w:val="0001508F"/>
    <w:rsid w:val="00015F68"/>
    <w:rsid w:val="000217A6"/>
    <w:rsid w:val="0003276F"/>
    <w:rsid w:val="000334DE"/>
    <w:rsid w:val="000335D5"/>
    <w:rsid w:val="00034C58"/>
    <w:rsid w:val="000366D1"/>
    <w:rsid w:val="00041764"/>
    <w:rsid w:val="000423F1"/>
    <w:rsid w:val="00045F3E"/>
    <w:rsid w:val="000461A2"/>
    <w:rsid w:val="00051878"/>
    <w:rsid w:val="00054F52"/>
    <w:rsid w:val="00056E20"/>
    <w:rsid w:val="0005758D"/>
    <w:rsid w:val="0006776A"/>
    <w:rsid w:val="00071BB4"/>
    <w:rsid w:val="00073552"/>
    <w:rsid w:val="00075638"/>
    <w:rsid w:val="00076113"/>
    <w:rsid w:val="00077F2D"/>
    <w:rsid w:val="0008162C"/>
    <w:rsid w:val="00081740"/>
    <w:rsid w:val="00081D53"/>
    <w:rsid w:val="00091D3A"/>
    <w:rsid w:val="00096632"/>
    <w:rsid w:val="000A17B3"/>
    <w:rsid w:val="000A63B3"/>
    <w:rsid w:val="000A6DD3"/>
    <w:rsid w:val="000B0CB8"/>
    <w:rsid w:val="000B4D9F"/>
    <w:rsid w:val="000B686B"/>
    <w:rsid w:val="000B7122"/>
    <w:rsid w:val="000C1983"/>
    <w:rsid w:val="000C2686"/>
    <w:rsid w:val="000C37A8"/>
    <w:rsid w:val="000C4FB1"/>
    <w:rsid w:val="000C608F"/>
    <w:rsid w:val="000C7756"/>
    <w:rsid w:val="000D2E5C"/>
    <w:rsid w:val="000D6FAF"/>
    <w:rsid w:val="000E1DD5"/>
    <w:rsid w:val="000E49BA"/>
    <w:rsid w:val="000E4D67"/>
    <w:rsid w:val="000E4DC5"/>
    <w:rsid w:val="000F3718"/>
    <w:rsid w:val="000F6A9B"/>
    <w:rsid w:val="00100464"/>
    <w:rsid w:val="001004A6"/>
    <w:rsid w:val="00104519"/>
    <w:rsid w:val="00106D6C"/>
    <w:rsid w:val="00107229"/>
    <w:rsid w:val="00116AFA"/>
    <w:rsid w:val="0013043F"/>
    <w:rsid w:val="00133407"/>
    <w:rsid w:val="0013626B"/>
    <w:rsid w:val="0013656A"/>
    <w:rsid w:val="00140F73"/>
    <w:rsid w:val="001428D5"/>
    <w:rsid w:val="001445A9"/>
    <w:rsid w:val="001457BC"/>
    <w:rsid w:val="0015220D"/>
    <w:rsid w:val="00152476"/>
    <w:rsid w:val="00154BD0"/>
    <w:rsid w:val="001554AE"/>
    <w:rsid w:val="00160C67"/>
    <w:rsid w:val="00161B6F"/>
    <w:rsid w:val="001628F7"/>
    <w:rsid w:val="001639F2"/>
    <w:rsid w:val="0016516B"/>
    <w:rsid w:val="00165412"/>
    <w:rsid w:val="001657F8"/>
    <w:rsid w:val="00173B22"/>
    <w:rsid w:val="001752D8"/>
    <w:rsid w:val="00175364"/>
    <w:rsid w:val="00175F08"/>
    <w:rsid w:val="0018454F"/>
    <w:rsid w:val="00187C42"/>
    <w:rsid w:val="00191002"/>
    <w:rsid w:val="00193982"/>
    <w:rsid w:val="00193A1C"/>
    <w:rsid w:val="001949BA"/>
    <w:rsid w:val="00194E56"/>
    <w:rsid w:val="001950C6"/>
    <w:rsid w:val="00196DB8"/>
    <w:rsid w:val="00197701"/>
    <w:rsid w:val="001A20F5"/>
    <w:rsid w:val="001A339A"/>
    <w:rsid w:val="001A5668"/>
    <w:rsid w:val="001A7E0D"/>
    <w:rsid w:val="001B14D5"/>
    <w:rsid w:val="001B69B5"/>
    <w:rsid w:val="001B7F77"/>
    <w:rsid w:val="001C2984"/>
    <w:rsid w:val="001D2845"/>
    <w:rsid w:val="001D2AF1"/>
    <w:rsid w:val="001D59F8"/>
    <w:rsid w:val="001D62D6"/>
    <w:rsid w:val="001E381E"/>
    <w:rsid w:val="001E6B13"/>
    <w:rsid w:val="001F0DF5"/>
    <w:rsid w:val="001F2043"/>
    <w:rsid w:val="001F74E3"/>
    <w:rsid w:val="00200DFD"/>
    <w:rsid w:val="002017B2"/>
    <w:rsid w:val="00204B51"/>
    <w:rsid w:val="00206670"/>
    <w:rsid w:val="00206C21"/>
    <w:rsid w:val="00211567"/>
    <w:rsid w:val="002135DA"/>
    <w:rsid w:val="00213FB2"/>
    <w:rsid w:val="00215084"/>
    <w:rsid w:val="00216909"/>
    <w:rsid w:val="00217195"/>
    <w:rsid w:val="002219A7"/>
    <w:rsid w:val="002223F7"/>
    <w:rsid w:val="00226A9A"/>
    <w:rsid w:val="0023210B"/>
    <w:rsid w:val="00236564"/>
    <w:rsid w:val="00237F35"/>
    <w:rsid w:val="00242688"/>
    <w:rsid w:val="002446BC"/>
    <w:rsid w:val="00247E9D"/>
    <w:rsid w:val="002500BD"/>
    <w:rsid w:val="0025368E"/>
    <w:rsid w:val="00253946"/>
    <w:rsid w:val="0025582F"/>
    <w:rsid w:val="00255DB5"/>
    <w:rsid w:val="002561F3"/>
    <w:rsid w:val="002562E7"/>
    <w:rsid w:val="00256BCF"/>
    <w:rsid w:val="002574EF"/>
    <w:rsid w:val="0026129C"/>
    <w:rsid w:val="00263218"/>
    <w:rsid w:val="00263ADE"/>
    <w:rsid w:val="00265525"/>
    <w:rsid w:val="00270C3F"/>
    <w:rsid w:val="002754BD"/>
    <w:rsid w:val="00276E5E"/>
    <w:rsid w:val="002818CB"/>
    <w:rsid w:val="0028361F"/>
    <w:rsid w:val="00283722"/>
    <w:rsid w:val="0028663C"/>
    <w:rsid w:val="00286649"/>
    <w:rsid w:val="00290643"/>
    <w:rsid w:val="00290F34"/>
    <w:rsid w:val="002913D6"/>
    <w:rsid w:val="00291F6C"/>
    <w:rsid w:val="002957B3"/>
    <w:rsid w:val="002A2F92"/>
    <w:rsid w:val="002A63EC"/>
    <w:rsid w:val="002A6DF8"/>
    <w:rsid w:val="002A6FC1"/>
    <w:rsid w:val="002B1714"/>
    <w:rsid w:val="002B2258"/>
    <w:rsid w:val="002B39FF"/>
    <w:rsid w:val="002B5E28"/>
    <w:rsid w:val="002B7165"/>
    <w:rsid w:val="002B79E5"/>
    <w:rsid w:val="002C327F"/>
    <w:rsid w:val="002C3E31"/>
    <w:rsid w:val="002C3FB2"/>
    <w:rsid w:val="002D0CA8"/>
    <w:rsid w:val="002D4389"/>
    <w:rsid w:val="002D7419"/>
    <w:rsid w:val="002E0B9A"/>
    <w:rsid w:val="002E2E3B"/>
    <w:rsid w:val="002F4FD8"/>
    <w:rsid w:val="00301F4B"/>
    <w:rsid w:val="003058E0"/>
    <w:rsid w:val="00315C6E"/>
    <w:rsid w:val="0032167A"/>
    <w:rsid w:val="003251FC"/>
    <w:rsid w:val="00325C18"/>
    <w:rsid w:val="0032765B"/>
    <w:rsid w:val="00330893"/>
    <w:rsid w:val="00331915"/>
    <w:rsid w:val="00333249"/>
    <w:rsid w:val="0033360E"/>
    <w:rsid w:val="00336463"/>
    <w:rsid w:val="00336F07"/>
    <w:rsid w:val="0033796D"/>
    <w:rsid w:val="00340033"/>
    <w:rsid w:val="00340C04"/>
    <w:rsid w:val="0034217C"/>
    <w:rsid w:val="00342997"/>
    <w:rsid w:val="00346FB0"/>
    <w:rsid w:val="00347A06"/>
    <w:rsid w:val="00350269"/>
    <w:rsid w:val="00351174"/>
    <w:rsid w:val="00351E45"/>
    <w:rsid w:val="00364576"/>
    <w:rsid w:val="00370B00"/>
    <w:rsid w:val="00372A70"/>
    <w:rsid w:val="00375D00"/>
    <w:rsid w:val="003778AD"/>
    <w:rsid w:val="0038131D"/>
    <w:rsid w:val="0038230D"/>
    <w:rsid w:val="00384AE8"/>
    <w:rsid w:val="00385773"/>
    <w:rsid w:val="003862B7"/>
    <w:rsid w:val="003879A0"/>
    <w:rsid w:val="003924F6"/>
    <w:rsid w:val="003943BE"/>
    <w:rsid w:val="00396259"/>
    <w:rsid w:val="003A1400"/>
    <w:rsid w:val="003A2BD3"/>
    <w:rsid w:val="003A50FB"/>
    <w:rsid w:val="003A6811"/>
    <w:rsid w:val="003A6CCD"/>
    <w:rsid w:val="003B3913"/>
    <w:rsid w:val="003B3A7F"/>
    <w:rsid w:val="003B5545"/>
    <w:rsid w:val="003B5664"/>
    <w:rsid w:val="003C1DCC"/>
    <w:rsid w:val="003C253F"/>
    <w:rsid w:val="003C3606"/>
    <w:rsid w:val="003C65A7"/>
    <w:rsid w:val="003C7CA9"/>
    <w:rsid w:val="003D1269"/>
    <w:rsid w:val="003D1FD2"/>
    <w:rsid w:val="003D2C2E"/>
    <w:rsid w:val="003D40DF"/>
    <w:rsid w:val="003D75D3"/>
    <w:rsid w:val="003E23A9"/>
    <w:rsid w:val="003E3CAF"/>
    <w:rsid w:val="003E3D4B"/>
    <w:rsid w:val="003E530B"/>
    <w:rsid w:val="003E5661"/>
    <w:rsid w:val="003E626F"/>
    <w:rsid w:val="003E6782"/>
    <w:rsid w:val="003F02B2"/>
    <w:rsid w:val="00402E57"/>
    <w:rsid w:val="00403D34"/>
    <w:rsid w:val="0040526F"/>
    <w:rsid w:val="00406AF5"/>
    <w:rsid w:val="004100F0"/>
    <w:rsid w:val="00410CB3"/>
    <w:rsid w:val="00423E66"/>
    <w:rsid w:val="00425951"/>
    <w:rsid w:val="00442552"/>
    <w:rsid w:val="00444323"/>
    <w:rsid w:val="004460C1"/>
    <w:rsid w:val="0044655B"/>
    <w:rsid w:val="00446746"/>
    <w:rsid w:val="00446B40"/>
    <w:rsid w:val="00450541"/>
    <w:rsid w:val="00451792"/>
    <w:rsid w:val="00451A22"/>
    <w:rsid w:val="00452260"/>
    <w:rsid w:val="0045455F"/>
    <w:rsid w:val="00461798"/>
    <w:rsid w:val="00466792"/>
    <w:rsid w:val="004677A7"/>
    <w:rsid w:val="00467E66"/>
    <w:rsid w:val="004700E4"/>
    <w:rsid w:val="00476C7C"/>
    <w:rsid w:val="004800B6"/>
    <w:rsid w:val="00484EBC"/>
    <w:rsid w:val="00490637"/>
    <w:rsid w:val="004977A2"/>
    <w:rsid w:val="004A26E7"/>
    <w:rsid w:val="004A2C5D"/>
    <w:rsid w:val="004A384D"/>
    <w:rsid w:val="004A4D08"/>
    <w:rsid w:val="004A60FD"/>
    <w:rsid w:val="004A657A"/>
    <w:rsid w:val="004B01E5"/>
    <w:rsid w:val="004B2088"/>
    <w:rsid w:val="004B2DE5"/>
    <w:rsid w:val="004B358D"/>
    <w:rsid w:val="004C0898"/>
    <w:rsid w:val="004C2FC5"/>
    <w:rsid w:val="004C473E"/>
    <w:rsid w:val="004D448C"/>
    <w:rsid w:val="004D52FB"/>
    <w:rsid w:val="004D6A4E"/>
    <w:rsid w:val="004E0C55"/>
    <w:rsid w:val="004E4B15"/>
    <w:rsid w:val="004E4CF6"/>
    <w:rsid w:val="004E71AA"/>
    <w:rsid w:val="00501AB7"/>
    <w:rsid w:val="0050492C"/>
    <w:rsid w:val="00505AE5"/>
    <w:rsid w:val="00505C93"/>
    <w:rsid w:val="00506CFF"/>
    <w:rsid w:val="00510D4D"/>
    <w:rsid w:val="00513376"/>
    <w:rsid w:val="005133A2"/>
    <w:rsid w:val="005143AC"/>
    <w:rsid w:val="00526387"/>
    <w:rsid w:val="00532524"/>
    <w:rsid w:val="00535288"/>
    <w:rsid w:val="00535620"/>
    <w:rsid w:val="00543822"/>
    <w:rsid w:val="005605FE"/>
    <w:rsid w:val="00563DBB"/>
    <w:rsid w:val="005655DD"/>
    <w:rsid w:val="00565A1F"/>
    <w:rsid w:val="00566F0E"/>
    <w:rsid w:val="005701D6"/>
    <w:rsid w:val="00571333"/>
    <w:rsid w:val="00572130"/>
    <w:rsid w:val="00572791"/>
    <w:rsid w:val="005727F5"/>
    <w:rsid w:val="00576BCA"/>
    <w:rsid w:val="0058161A"/>
    <w:rsid w:val="00584266"/>
    <w:rsid w:val="00584F78"/>
    <w:rsid w:val="00593BB0"/>
    <w:rsid w:val="00597CD3"/>
    <w:rsid w:val="005A2027"/>
    <w:rsid w:val="005A3A11"/>
    <w:rsid w:val="005A6F7E"/>
    <w:rsid w:val="005B5012"/>
    <w:rsid w:val="005B5148"/>
    <w:rsid w:val="005C594F"/>
    <w:rsid w:val="005C7017"/>
    <w:rsid w:val="005D0356"/>
    <w:rsid w:val="005E0378"/>
    <w:rsid w:val="005E3C4B"/>
    <w:rsid w:val="005E4B19"/>
    <w:rsid w:val="005E52C1"/>
    <w:rsid w:val="005F4CFB"/>
    <w:rsid w:val="005F6D15"/>
    <w:rsid w:val="00601273"/>
    <w:rsid w:val="0060259D"/>
    <w:rsid w:val="00602996"/>
    <w:rsid w:val="006051CE"/>
    <w:rsid w:val="00605CAA"/>
    <w:rsid w:val="00610747"/>
    <w:rsid w:val="00614A3A"/>
    <w:rsid w:val="0061550C"/>
    <w:rsid w:val="006157B6"/>
    <w:rsid w:val="0061751A"/>
    <w:rsid w:val="00632F5E"/>
    <w:rsid w:val="0063356C"/>
    <w:rsid w:val="006350A7"/>
    <w:rsid w:val="0063537E"/>
    <w:rsid w:val="00643130"/>
    <w:rsid w:val="006439D9"/>
    <w:rsid w:val="00644C8B"/>
    <w:rsid w:val="006471CB"/>
    <w:rsid w:val="006506EE"/>
    <w:rsid w:val="00653F21"/>
    <w:rsid w:val="0065583A"/>
    <w:rsid w:val="006566CA"/>
    <w:rsid w:val="00660EC3"/>
    <w:rsid w:val="006635A6"/>
    <w:rsid w:val="00663A59"/>
    <w:rsid w:val="006655A1"/>
    <w:rsid w:val="00666172"/>
    <w:rsid w:val="00672DBD"/>
    <w:rsid w:val="0067543D"/>
    <w:rsid w:val="006754E0"/>
    <w:rsid w:val="006815CD"/>
    <w:rsid w:val="0068283E"/>
    <w:rsid w:val="00686658"/>
    <w:rsid w:val="00694AD3"/>
    <w:rsid w:val="00696A36"/>
    <w:rsid w:val="00697244"/>
    <w:rsid w:val="006A3704"/>
    <w:rsid w:val="006C1F46"/>
    <w:rsid w:val="006C5B01"/>
    <w:rsid w:val="006C6118"/>
    <w:rsid w:val="006D309C"/>
    <w:rsid w:val="006E24CA"/>
    <w:rsid w:val="006E393F"/>
    <w:rsid w:val="006E420E"/>
    <w:rsid w:val="006E50D7"/>
    <w:rsid w:val="006E56DB"/>
    <w:rsid w:val="006E66AA"/>
    <w:rsid w:val="006F2DFF"/>
    <w:rsid w:val="006F375E"/>
    <w:rsid w:val="006F3AF5"/>
    <w:rsid w:val="006F6388"/>
    <w:rsid w:val="007026A1"/>
    <w:rsid w:val="0070334E"/>
    <w:rsid w:val="00703C85"/>
    <w:rsid w:val="007068C4"/>
    <w:rsid w:val="00710F71"/>
    <w:rsid w:val="00712854"/>
    <w:rsid w:val="00712D5D"/>
    <w:rsid w:val="00715C53"/>
    <w:rsid w:val="00716AEF"/>
    <w:rsid w:val="007216A8"/>
    <w:rsid w:val="007241B0"/>
    <w:rsid w:val="007328A8"/>
    <w:rsid w:val="0073528B"/>
    <w:rsid w:val="0074170F"/>
    <w:rsid w:val="00741F74"/>
    <w:rsid w:val="00742C7C"/>
    <w:rsid w:val="00744C6B"/>
    <w:rsid w:val="00747B50"/>
    <w:rsid w:val="00750746"/>
    <w:rsid w:val="007549EE"/>
    <w:rsid w:val="00755103"/>
    <w:rsid w:val="007600EC"/>
    <w:rsid w:val="0076085B"/>
    <w:rsid w:val="007660A4"/>
    <w:rsid w:val="00771782"/>
    <w:rsid w:val="00771E65"/>
    <w:rsid w:val="007800CC"/>
    <w:rsid w:val="00782B1E"/>
    <w:rsid w:val="00782C19"/>
    <w:rsid w:val="00782DF1"/>
    <w:rsid w:val="00784401"/>
    <w:rsid w:val="00791F72"/>
    <w:rsid w:val="00797217"/>
    <w:rsid w:val="007A3BB8"/>
    <w:rsid w:val="007A54D3"/>
    <w:rsid w:val="007A5677"/>
    <w:rsid w:val="007A611B"/>
    <w:rsid w:val="007A64F8"/>
    <w:rsid w:val="007A7879"/>
    <w:rsid w:val="007B102D"/>
    <w:rsid w:val="007B705C"/>
    <w:rsid w:val="007C3F8F"/>
    <w:rsid w:val="007C5110"/>
    <w:rsid w:val="007D7270"/>
    <w:rsid w:val="007E1B9A"/>
    <w:rsid w:val="007E50C9"/>
    <w:rsid w:val="007E7F46"/>
    <w:rsid w:val="007F0168"/>
    <w:rsid w:val="007F1B62"/>
    <w:rsid w:val="007F1D9E"/>
    <w:rsid w:val="007F1F12"/>
    <w:rsid w:val="007F5327"/>
    <w:rsid w:val="007F67FB"/>
    <w:rsid w:val="00803421"/>
    <w:rsid w:val="00811F10"/>
    <w:rsid w:val="0081247A"/>
    <w:rsid w:val="00813E4C"/>
    <w:rsid w:val="008159E6"/>
    <w:rsid w:val="00820430"/>
    <w:rsid w:val="0082225F"/>
    <w:rsid w:val="00830058"/>
    <w:rsid w:val="00830A8E"/>
    <w:rsid w:val="00832B65"/>
    <w:rsid w:val="00834347"/>
    <w:rsid w:val="00834553"/>
    <w:rsid w:val="00835139"/>
    <w:rsid w:val="00840274"/>
    <w:rsid w:val="0084101D"/>
    <w:rsid w:val="00842FC8"/>
    <w:rsid w:val="00850754"/>
    <w:rsid w:val="00853D82"/>
    <w:rsid w:val="00860762"/>
    <w:rsid w:val="008636D8"/>
    <w:rsid w:val="008703C4"/>
    <w:rsid w:val="00875CE4"/>
    <w:rsid w:val="00876AA6"/>
    <w:rsid w:val="00877043"/>
    <w:rsid w:val="008801A6"/>
    <w:rsid w:val="00880C1C"/>
    <w:rsid w:val="00881226"/>
    <w:rsid w:val="0088372B"/>
    <w:rsid w:val="008841A4"/>
    <w:rsid w:val="0088498E"/>
    <w:rsid w:val="008861B5"/>
    <w:rsid w:val="00891E0A"/>
    <w:rsid w:val="0089338E"/>
    <w:rsid w:val="00894587"/>
    <w:rsid w:val="0089524A"/>
    <w:rsid w:val="008A0ADD"/>
    <w:rsid w:val="008A3A07"/>
    <w:rsid w:val="008B155E"/>
    <w:rsid w:val="008B15FE"/>
    <w:rsid w:val="008B1A57"/>
    <w:rsid w:val="008B1D1C"/>
    <w:rsid w:val="008B49EC"/>
    <w:rsid w:val="008B5D16"/>
    <w:rsid w:val="008C2A4B"/>
    <w:rsid w:val="008C2EBB"/>
    <w:rsid w:val="008C308B"/>
    <w:rsid w:val="008C7C24"/>
    <w:rsid w:val="008D0450"/>
    <w:rsid w:val="008E1215"/>
    <w:rsid w:val="008E1463"/>
    <w:rsid w:val="008E6B25"/>
    <w:rsid w:val="008F182D"/>
    <w:rsid w:val="008F3A8D"/>
    <w:rsid w:val="008F527A"/>
    <w:rsid w:val="008F5DE5"/>
    <w:rsid w:val="00900614"/>
    <w:rsid w:val="00900634"/>
    <w:rsid w:val="00901F7C"/>
    <w:rsid w:val="00902230"/>
    <w:rsid w:val="009022AF"/>
    <w:rsid w:val="009072EC"/>
    <w:rsid w:val="00907A52"/>
    <w:rsid w:val="00911277"/>
    <w:rsid w:val="00923FCE"/>
    <w:rsid w:val="00930FCC"/>
    <w:rsid w:val="009316D3"/>
    <w:rsid w:val="00932252"/>
    <w:rsid w:val="00942E79"/>
    <w:rsid w:val="00946C38"/>
    <w:rsid w:val="00947DD7"/>
    <w:rsid w:val="009520EB"/>
    <w:rsid w:val="0095320D"/>
    <w:rsid w:val="00956E8A"/>
    <w:rsid w:val="00960037"/>
    <w:rsid w:val="00964B22"/>
    <w:rsid w:val="00970946"/>
    <w:rsid w:val="00970F64"/>
    <w:rsid w:val="00971447"/>
    <w:rsid w:val="00972148"/>
    <w:rsid w:val="00980088"/>
    <w:rsid w:val="00981956"/>
    <w:rsid w:val="00983F0A"/>
    <w:rsid w:val="00991D55"/>
    <w:rsid w:val="00992240"/>
    <w:rsid w:val="00993DAA"/>
    <w:rsid w:val="00997D18"/>
    <w:rsid w:val="009A06DA"/>
    <w:rsid w:val="009A0C69"/>
    <w:rsid w:val="009A3261"/>
    <w:rsid w:val="009A4DB1"/>
    <w:rsid w:val="009A6750"/>
    <w:rsid w:val="009B0842"/>
    <w:rsid w:val="009B3EB0"/>
    <w:rsid w:val="009C4908"/>
    <w:rsid w:val="009D233B"/>
    <w:rsid w:val="009D26FE"/>
    <w:rsid w:val="009D385F"/>
    <w:rsid w:val="009D4755"/>
    <w:rsid w:val="009D60C9"/>
    <w:rsid w:val="009E7034"/>
    <w:rsid w:val="009E7E8E"/>
    <w:rsid w:val="009F0A8A"/>
    <w:rsid w:val="009F3728"/>
    <w:rsid w:val="009F4049"/>
    <w:rsid w:val="00A01B55"/>
    <w:rsid w:val="00A02DC4"/>
    <w:rsid w:val="00A03042"/>
    <w:rsid w:val="00A031B8"/>
    <w:rsid w:val="00A04927"/>
    <w:rsid w:val="00A057FB"/>
    <w:rsid w:val="00A07B2B"/>
    <w:rsid w:val="00A10C9F"/>
    <w:rsid w:val="00A21D5D"/>
    <w:rsid w:val="00A22014"/>
    <w:rsid w:val="00A22270"/>
    <w:rsid w:val="00A22C99"/>
    <w:rsid w:val="00A22EC8"/>
    <w:rsid w:val="00A25C74"/>
    <w:rsid w:val="00A2766A"/>
    <w:rsid w:val="00A301FA"/>
    <w:rsid w:val="00A3475B"/>
    <w:rsid w:val="00A36A93"/>
    <w:rsid w:val="00A45836"/>
    <w:rsid w:val="00A509BF"/>
    <w:rsid w:val="00A5378F"/>
    <w:rsid w:val="00A57879"/>
    <w:rsid w:val="00A643E0"/>
    <w:rsid w:val="00A66B6B"/>
    <w:rsid w:val="00A712F0"/>
    <w:rsid w:val="00A7191B"/>
    <w:rsid w:val="00A72485"/>
    <w:rsid w:val="00A73CCA"/>
    <w:rsid w:val="00A763E2"/>
    <w:rsid w:val="00A84250"/>
    <w:rsid w:val="00A852CC"/>
    <w:rsid w:val="00A86AAC"/>
    <w:rsid w:val="00A86B98"/>
    <w:rsid w:val="00A93639"/>
    <w:rsid w:val="00A94589"/>
    <w:rsid w:val="00A94B81"/>
    <w:rsid w:val="00A95E0C"/>
    <w:rsid w:val="00A95F2B"/>
    <w:rsid w:val="00AA18A5"/>
    <w:rsid w:val="00AA31FA"/>
    <w:rsid w:val="00AA6F60"/>
    <w:rsid w:val="00AB6228"/>
    <w:rsid w:val="00AB65F8"/>
    <w:rsid w:val="00AC3338"/>
    <w:rsid w:val="00AD2820"/>
    <w:rsid w:val="00AD73B4"/>
    <w:rsid w:val="00AE0641"/>
    <w:rsid w:val="00AE2CA9"/>
    <w:rsid w:val="00AF2C08"/>
    <w:rsid w:val="00AF5584"/>
    <w:rsid w:val="00AF6C77"/>
    <w:rsid w:val="00AF779B"/>
    <w:rsid w:val="00B00814"/>
    <w:rsid w:val="00B012A2"/>
    <w:rsid w:val="00B01D11"/>
    <w:rsid w:val="00B037DB"/>
    <w:rsid w:val="00B06279"/>
    <w:rsid w:val="00B0734D"/>
    <w:rsid w:val="00B11AAB"/>
    <w:rsid w:val="00B123D0"/>
    <w:rsid w:val="00B16386"/>
    <w:rsid w:val="00B20E7C"/>
    <w:rsid w:val="00B22DB6"/>
    <w:rsid w:val="00B26DEC"/>
    <w:rsid w:val="00B330B2"/>
    <w:rsid w:val="00B3364E"/>
    <w:rsid w:val="00B34C44"/>
    <w:rsid w:val="00B35FF5"/>
    <w:rsid w:val="00B36DB9"/>
    <w:rsid w:val="00B46253"/>
    <w:rsid w:val="00B46692"/>
    <w:rsid w:val="00B47D9D"/>
    <w:rsid w:val="00B51A44"/>
    <w:rsid w:val="00B5236A"/>
    <w:rsid w:val="00B56CCB"/>
    <w:rsid w:val="00B56FD1"/>
    <w:rsid w:val="00B57124"/>
    <w:rsid w:val="00B574ED"/>
    <w:rsid w:val="00B577BE"/>
    <w:rsid w:val="00B641E6"/>
    <w:rsid w:val="00B65ACB"/>
    <w:rsid w:val="00B701FF"/>
    <w:rsid w:val="00B73BE3"/>
    <w:rsid w:val="00B74F36"/>
    <w:rsid w:val="00B864B5"/>
    <w:rsid w:val="00B90AC6"/>
    <w:rsid w:val="00B94F36"/>
    <w:rsid w:val="00B97424"/>
    <w:rsid w:val="00BA3F30"/>
    <w:rsid w:val="00BA6D2B"/>
    <w:rsid w:val="00BB0A74"/>
    <w:rsid w:val="00BB58DF"/>
    <w:rsid w:val="00BB5DD0"/>
    <w:rsid w:val="00BC2320"/>
    <w:rsid w:val="00BC375B"/>
    <w:rsid w:val="00BC4A58"/>
    <w:rsid w:val="00BC5922"/>
    <w:rsid w:val="00BC620C"/>
    <w:rsid w:val="00BC6923"/>
    <w:rsid w:val="00BC7E64"/>
    <w:rsid w:val="00BD3918"/>
    <w:rsid w:val="00BD687A"/>
    <w:rsid w:val="00BE0C1A"/>
    <w:rsid w:val="00BF01A7"/>
    <w:rsid w:val="00C00A84"/>
    <w:rsid w:val="00C04EA3"/>
    <w:rsid w:val="00C05741"/>
    <w:rsid w:val="00C05C14"/>
    <w:rsid w:val="00C13EB1"/>
    <w:rsid w:val="00C16650"/>
    <w:rsid w:val="00C169AE"/>
    <w:rsid w:val="00C24065"/>
    <w:rsid w:val="00C26C23"/>
    <w:rsid w:val="00C3044C"/>
    <w:rsid w:val="00C34926"/>
    <w:rsid w:val="00C42DDB"/>
    <w:rsid w:val="00C44BCC"/>
    <w:rsid w:val="00C44C8E"/>
    <w:rsid w:val="00C4606C"/>
    <w:rsid w:val="00C46245"/>
    <w:rsid w:val="00C470EC"/>
    <w:rsid w:val="00C5136B"/>
    <w:rsid w:val="00C5637F"/>
    <w:rsid w:val="00C56469"/>
    <w:rsid w:val="00C5668C"/>
    <w:rsid w:val="00C6631C"/>
    <w:rsid w:val="00C663DD"/>
    <w:rsid w:val="00C700BB"/>
    <w:rsid w:val="00C70221"/>
    <w:rsid w:val="00C774AC"/>
    <w:rsid w:val="00C86566"/>
    <w:rsid w:val="00C8681F"/>
    <w:rsid w:val="00C909E0"/>
    <w:rsid w:val="00C96696"/>
    <w:rsid w:val="00CA2015"/>
    <w:rsid w:val="00CA2C59"/>
    <w:rsid w:val="00CA513D"/>
    <w:rsid w:val="00CA736B"/>
    <w:rsid w:val="00CB1766"/>
    <w:rsid w:val="00CB3A31"/>
    <w:rsid w:val="00CB70CD"/>
    <w:rsid w:val="00CC187A"/>
    <w:rsid w:val="00CC1EF1"/>
    <w:rsid w:val="00CC460B"/>
    <w:rsid w:val="00CD3B6B"/>
    <w:rsid w:val="00CD401C"/>
    <w:rsid w:val="00CD7753"/>
    <w:rsid w:val="00CE1646"/>
    <w:rsid w:val="00CE1E82"/>
    <w:rsid w:val="00CE2CE2"/>
    <w:rsid w:val="00CE435C"/>
    <w:rsid w:val="00CE7971"/>
    <w:rsid w:val="00CE7C4D"/>
    <w:rsid w:val="00CF2569"/>
    <w:rsid w:val="00CF43F2"/>
    <w:rsid w:val="00CF49E3"/>
    <w:rsid w:val="00CF778F"/>
    <w:rsid w:val="00D02703"/>
    <w:rsid w:val="00D12122"/>
    <w:rsid w:val="00D23334"/>
    <w:rsid w:val="00D24655"/>
    <w:rsid w:val="00D31F4E"/>
    <w:rsid w:val="00D36082"/>
    <w:rsid w:val="00D366A3"/>
    <w:rsid w:val="00D42BDA"/>
    <w:rsid w:val="00D44A83"/>
    <w:rsid w:val="00D510B2"/>
    <w:rsid w:val="00D52913"/>
    <w:rsid w:val="00D532DD"/>
    <w:rsid w:val="00D5583D"/>
    <w:rsid w:val="00D67524"/>
    <w:rsid w:val="00D71566"/>
    <w:rsid w:val="00D72D5D"/>
    <w:rsid w:val="00D72ECF"/>
    <w:rsid w:val="00D73766"/>
    <w:rsid w:val="00D74456"/>
    <w:rsid w:val="00D745AD"/>
    <w:rsid w:val="00D76EDE"/>
    <w:rsid w:val="00D778D0"/>
    <w:rsid w:val="00D77E24"/>
    <w:rsid w:val="00D81229"/>
    <w:rsid w:val="00D82308"/>
    <w:rsid w:val="00D87451"/>
    <w:rsid w:val="00D919B6"/>
    <w:rsid w:val="00D93964"/>
    <w:rsid w:val="00DA7879"/>
    <w:rsid w:val="00DB0E1A"/>
    <w:rsid w:val="00DB17A0"/>
    <w:rsid w:val="00DB1AEE"/>
    <w:rsid w:val="00DB340B"/>
    <w:rsid w:val="00DB5BEA"/>
    <w:rsid w:val="00DC0D71"/>
    <w:rsid w:val="00DC6F6E"/>
    <w:rsid w:val="00DC74EC"/>
    <w:rsid w:val="00DD28A0"/>
    <w:rsid w:val="00DD554D"/>
    <w:rsid w:val="00DD71E5"/>
    <w:rsid w:val="00DE1615"/>
    <w:rsid w:val="00DE1839"/>
    <w:rsid w:val="00DE1AC7"/>
    <w:rsid w:val="00DF0A02"/>
    <w:rsid w:val="00DF1A66"/>
    <w:rsid w:val="00DF495C"/>
    <w:rsid w:val="00DF4E4F"/>
    <w:rsid w:val="00DF6618"/>
    <w:rsid w:val="00E018CE"/>
    <w:rsid w:val="00E06C12"/>
    <w:rsid w:val="00E07896"/>
    <w:rsid w:val="00E109B0"/>
    <w:rsid w:val="00E20C9A"/>
    <w:rsid w:val="00E20F7B"/>
    <w:rsid w:val="00E30EAD"/>
    <w:rsid w:val="00E32137"/>
    <w:rsid w:val="00E33175"/>
    <w:rsid w:val="00E33653"/>
    <w:rsid w:val="00E3538A"/>
    <w:rsid w:val="00E36544"/>
    <w:rsid w:val="00E36B1E"/>
    <w:rsid w:val="00E40817"/>
    <w:rsid w:val="00E43049"/>
    <w:rsid w:val="00E4494C"/>
    <w:rsid w:val="00E4741A"/>
    <w:rsid w:val="00E47E74"/>
    <w:rsid w:val="00E5501D"/>
    <w:rsid w:val="00E55E57"/>
    <w:rsid w:val="00E573F8"/>
    <w:rsid w:val="00E6411A"/>
    <w:rsid w:val="00E64427"/>
    <w:rsid w:val="00E6444A"/>
    <w:rsid w:val="00E65726"/>
    <w:rsid w:val="00E65EF9"/>
    <w:rsid w:val="00E70463"/>
    <w:rsid w:val="00E764C5"/>
    <w:rsid w:val="00E809C3"/>
    <w:rsid w:val="00E845FC"/>
    <w:rsid w:val="00E84E77"/>
    <w:rsid w:val="00E86915"/>
    <w:rsid w:val="00E8795A"/>
    <w:rsid w:val="00E87ABD"/>
    <w:rsid w:val="00E87DF7"/>
    <w:rsid w:val="00E90B6B"/>
    <w:rsid w:val="00E9133F"/>
    <w:rsid w:val="00E91D9C"/>
    <w:rsid w:val="00E91E0F"/>
    <w:rsid w:val="00E94D81"/>
    <w:rsid w:val="00EA0E3E"/>
    <w:rsid w:val="00EA0FDD"/>
    <w:rsid w:val="00EA60D6"/>
    <w:rsid w:val="00EA6917"/>
    <w:rsid w:val="00EA6A8F"/>
    <w:rsid w:val="00EB01D8"/>
    <w:rsid w:val="00EB1CFF"/>
    <w:rsid w:val="00EB4A66"/>
    <w:rsid w:val="00EB55C1"/>
    <w:rsid w:val="00EB57BD"/>
    <w:rsid w:val="00EC426B"/>
    <w:rsid w:val="00EC67C2"/>
    <w:rsid w:val="00EC70EF"/>
    <w:rsid w:val="00ED2429"/>
    <w:rsid w:val="00ED32D7"/>
    <w:rsid w:val="00ED7B06"/>
    <w:rsid w:val="00EE6C1B"/>
    <w:rsid w:val="00EF3C4D"/>
    <w:rsid w:val="00EF4C22"/>
    <w:rsid w:val="00EF6DFC"/>
    <w:rsid w:val="00F02918"/>
    <w:rsid w:val="00F05F29"/>
    <w:rsid w:val="00F07B97"/>
    <w:rsid w:val="00F1019D"/>
    <w:rsid w:val="00F121FA"/>
    <w:rsid w:val="00F155FB"/>
    <w:rsid w:val="00F21AB7"/>
    <w:rsid w:val="00F22021"/>
    <w:rsid w:val="00F23667"/>
    <w:rsid w:val="00F2409A"/>
    <w:rsid w:val="00F25DAB"/>
    <w:rsid w:val="00F34A16"/>
    <w:rsid w:val="00F35065"/>
    <w:rsid w:val="00F4021C"/>
    <w:rsid w:val="00F4381E"/>
    <w:rsid w:val="00F45BEE"/>
    <w:rsid w:val="00F50150"/>
    <w:rsid w:val="00F50733"/>
    <w:rsid w:val="00F51217"/>
    <w:rsid w:val="00F638B0"/>
    <w:rsid w:val="00F74DBC"/>
    <w:rsid w:val="00F7536D"/>
    <w:rsid w:val="00F7552D"/>
    <w:rsid w:val="00F771C5"/>
    <w:rsid w:val="00F87360"/>
    <w:rsid w:val="00F901E1"/>
    <w:rsid w:val="00F90B0E"/>
    <w:rsid w:val="00F91BB0"/>
    <w:rsid w:val="00F91CA1"/>
    <w:rsid w:val="00F91E72"/>
    <w:rsid w:val="00F92E60"/>
    <w:rsid w:val="00F95924"/>
    <w:rsid w:val="00F97F56"/>
    <w:rsid w:val="00FA1AFB"/>
    <w:rsid w:val="00FA634E"/>
    <w:rsid w:val="00FA6559"/>
    <w:rsid w:val="00FB2948"/>
    <w:rsid w:val="00FB52E2"/>
    <w:rsid w:val="00FB7DB1"/>
    <w:rsid w:val="00FC136C"/>
    <w:rsid w:val="00FC1DD9"/>
    <w:rsid w:val="00FC2132"/>
    <w:rsid w:val="00FC6475"/>
    <w:rsid w:val="00FC6D06"/>
    <w:rsid w:val="00FC79B1"/>
    <w:rsid w:val="00FD2721"/>
    <w:rsid w:val="00FD63C9"/>
    <w:rsid w:val="00FE2FFA"/>
    <w:rsid w:val="00FE377D"/>
    <w:rsid w:val="00FE4B69"/>
    <w:rsid w:val="00FE5E4A"/>
    <w:rsid w:val="00FE70B4"/>
    <w:rsid w:val="00FF1486"/>
    <w:rsid w:val="00FF24E1"/>
    <w:rsid w:val="00FF2734"/>
    <w:rsid w:val="00FF389C"/>
    <w:rsid w:val="00FF600C"/>
    <w:rsid w:val="00FF6B8A"/>
    <w:rsid w:val="055123F0"/>
    <w:rsid w:val="0641A892"/>
    <w:rsid w:val="08DDA097"/>
    <w:rsid w:val="09211A56"/>
    <w:rsid w:val="0ABB5087"/>
    <w:rsid w:val="0BF8768C"/>
    <w:rsid w:val="0D4B7A5C"/>
    <w:rsid w:val="0E33921A"/>
    <w:rsid w:val="101167C9"/>
    <w:rsid w:val="10793651"/>
    <w:rsid w:val="108DE673"/>
    <w:rsid w:val="16469185"/>
    <w:rsid w:val="179060E7"/>
    <w:rsid w:val="17A92392"/>
    <w:rsid w:val="17FE5667"/>
    <w:rsid w:val="188DBFBD"/>
    <w:rsid w:val="1A597E72"/>
    <w:rsid w:val="1D85AD17"/>
    <w:rsid w:val="1E4E835D"/>
    <w:rsid w:val="1F269060"/>
    <w:rsid w:val="1FED73CB"/>
    <w:rsid w:val="2440AA03"/>
    <w:rsid w:val="24A7BC91"/>
    <w:rsid w:val="261E46F6"/>
    <w:rsid w:val="26A22ED0"/>
    <w:rsid w:val="29945611"/>
    <w:rsid w:val="2DE78C49"/>
    <w:rsid w:val="30DE322B"/>
    <w:rsid w:val="32932AE9"/>
    <w:rsid w:val="35B1A34E"/>
    <w:rsid w:val="37311C90"/>
    <w:rsid w:val="3A6FA973"/>
    <w:rsid w:val="3D21E1CE"/>
    <w:rsid w:val="3E66BBDA"/>
    <w:rsid w:val="4115510D"/>
    <w:rsid w:val="41EB8C40"/>
    <w:rsid w:val="436AC0EC"/>
    <w:rsid w:val="43BD1FB4"/>
    <w:rsid w:val="4471766E"/>
    <w:rsid w:val="45B68C41"/>
    <w:rsid w:val="487F2CEF"/>
    <w:rsid w:val="48937484"/>
    <w:rsid w:val="4910D8E0"/>
    <w:rsid w:val="4918414E"/>
    <w:rsid w:val="49CB1D91"/>
    <w:rsid w:val="4DE16CF2"/>
    <w:rsid w:val="4F272352"/>
    <w:rsid w:val="5051317A"/>
    <w:rsid w:val="517E79C0"/>
    <w:rsid w:val="51ED01DB"/>
    <w:rsid w:val="52F0BF54"/>
    <w:rsid w:val="53F08325"/>
    <w:rsid w:val="5430DFAA"/>
    <w:rsid w:val="546D726C"/>
    <w:rsid w:val="558C30BF"/>
    <w:rsid w:val="55C688ED"/>
    <w:rsid w:val="561C4A24"/>
    <w:rsid w:val="57DEA9F7"/>
    <w:rsid w:val="585A9BE2"/>
    <w:rsid w:val="58DA8754"/>
    <w:rsid w:val="58FE63A3"/>
    <w:rsid w:val="59F0263A"/>
    <w:rsid w:val="5A4B6831"/>
    <w:rsid w:val="5CAC2E5B"/>
    <w:rsid w:val="5E095FEF"/>
    <w:rsid w:val="5E2463D4"/>
    <w:rsid w:val="6196FD82"/>
    <w:rsid w:val="622AF828"/>
    <w:rsid w:val="656298EA"/>
    <w:rsid w:val="65B7781A"/>
    <w:rsid w:val="66B3910A"/>
    <w:rsid w:val="66CAC994"/>
    <w:rsid w:val="68726729"/>
    <w:rsid w:val="688E5B38"/>
    <w:rsid w:val="68FBEE00"/>
    <w:rsid w:val="6B472342"/>
    <w:rsid w:val="6CC59D61"/>
    <w:rsid w:val="6DA88749"/>
    <w:rsid w:val="6E616DC2"/>
    <w:rsid w:val="6ED06DD6"/>
    <w:rsid w:val="706450B1"/>
    <w:rsid w:val="71990E84"/>
    <w:rsid w:val="7219496F"/>
    <w:rsid w:val="72E621BC"/>
    <w:rsid w:val="72F3E405"/>
    <w:rsid w:val="7402301B"/>
    <w:rsid w:val="747C23AB"/>
    <w:rsid w:val="74B786E9"/>
    <w:rsid w:val="75695FD3"/>
    <w:rsid w:val="77260352"/>
    <w:rsid w:val="7AE5CD8D"/>
    <w:rsid w:val="7B094F2A"/>
    <w:rsid w:val="7BAEF0DE"/>
    <w:rsid w:val="7D7B2FB9"/>
    <w:rsid w:val="7E20C7B1"/>
    <w:rsid w:val="7E8DC491"/>
    <w:rsid w:val="7EF0ABC2"/>
    <w:rsid w:val="7F2CE9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70DF12"/>
  <w15:chartTrackingRefBased/>
  <w15:docId w15:val="{93A11D3D-BAF3-4946-8060-E211CA439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20"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20" w:unhideWhenUsed="1"/>
    <w:lsdException w:name="Date" w:semiHidden="1" w:uiPriority="0" w:unhideWhenUsed="1"/>
    <w:lsdException w:name="Body Text First Indent" w:semiHidden="1" w:uiPriority="1" w:unhideWhenUsed="1" w:qFormat="1"/>
    <w:lsdException w:name="Body Text First Indent 2" w:semiHidden="1" w:uiPriority="4" w:unhideWhenUsed="1"/>
    <w:lsdException w:name="Note Heading" w:semiHidden="1" w:unhideWhenUsed="1"/>
    <w:lsdException w:name="Body Text 2" w:semiHidden="1" w:uiPriority="4" w:unhideWhenUsed="1"/>
    <w:lsdException w:name="Body Text 3" w:semiHidden="1" w:unhideWhenUsed="1" w:qFormat="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6D2B"/>
    <w:pPr>
      <w:spacing w:after="0" w:line="240" w:lineRule="auto"/>
      <w:jc w:val="both"/>
    </w:pPr>
    <w:rPr>
      <w:rFonts w:ascii="Times New Roman" w:eastAsia="Times New Roman" w:hAnsi="Times New Roman" w:cs="Times New Roman"/>
      <w:sz w:val="24"/>
      <w:szCs w:val="20"/>
    </w:rPr>
  </w:style>
  <w:style w:type="paragraph" w:styleId="Heading1">
    <w:name w:val="heading 1"/>
    <w:basedOn w:val="Normal"/>
    <w:next w:val="SingleSpaceParagraph"/>
    <w:link w:val="Heading1Char"/>
    <w:uiPriority w:val="9"/>
    <w:qFormat/>
    <w:rsid w:val="001B7F77"/>
    <w:pPr>
      <w:keepNext/>
      <w:suppressAutoHyphens/>
      <w:spacing w:after="240"/>
      <w:jc w:val="center"/>
      <w:outlineLvl w:val="0"/>
    </w:pPr>
  </w:style>
  <w:style w:type="paragraph" w:styleId="Heading2">
    <w:name w:val="heading 2"/>
    <w:basedOn w:val="Normal"/>
    <w:next w:val="SingleSpaceParagraph"/>
    <w:link w:val="Heading2Char"/>
    <w:uiPriority w:val="9"/>
    <w:qFormat/>
    <w:rsid w:val="001B7F77"/>
    <w:pPr>
      <w:keepNext/>
      <w:suppressAutoHyphens/>
      <w:spacing w:after="240"/>
      <w:jc w:val="center"/>
      <w:outlineLvl w:val="1"/>
    </w:pPr>
    <w:rPr>
      <w:b/>
    </w:rPr>
  </w:style>
  <w:style w:type="paragraph" w:styleId="Heading3">
    <w:name w:val="heading 3"/>
    <w:basedOn w:val="Normal"/>
    <w:next w:val="Normal"/>
    <w:link w:val="Heading3Char"/>
    <w:uiPriority w:val="9"/>
    <w:unhideWhenUsed/>
    <w:qFormat/>
    <w:rsid w:val="001B7F77"/>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DoubleSpaceParagaph"/>
    <w:link w:val="Heading4Char"/>
    <w:uiPriority w:val="9"/>
    <w:qFormat/>
    <w:rsid w:val="001B7F77"/>
    <w:pPr>
      <w:keepNext/>
      <w:tabs>
        <w:tab w:val="num" w:pos="720"/>
      </w:tabs>
      <w:suppressAutoHyphens/>
      <w:spacing w:after="240"/>
      <w:ind w:left="720" w:hanging="720"/>
      <w:jc w:val="center"/>
      <w:outlineLvl w:val="3"/>
    </w:pPr>
    <w:rPr>
      <w:b/>
      <w:caps/>
      <w:u w:val="single"/>
    </w:rPr>
  </w:style>
  <w:style w:type="paragraph" w:styleId="Heading5">
    <w:name w:val="heading 5"/>
    <w:basedOn w:val="Normal"/>
    <w:next w:val="Normal"/>
    <w:link w:val="Heading5Char"/>
    <w:uiPriority w:val="9"/>
    <w:unhideWhenUsed/>
    <w:qFormat/>
    <w:rsid w:val="00BA6D2B"/>
    <w:pPr>
      <w:spacing w:before="240" w:after="60"/>
      <w:jc w:val="left"/>
      <w:outlineLvl w:val="4"/>
    </w:pPr>
    <w:rPr>
      <w:rFonts w:ascii="Calibri" w:hAnsi="Calibri"/>
      <w:b/>
      <w:bCs/>
      <w:i/>
      <w:iCs/>
      <w:sz w:val="26"/>
      <w:szCs w:val="26"/>
    </w:rPr>
  </w:style>
  <w:style w:type="paragraph" w:styleId="Heading6">
    <w:name w:val="heading 6"/>
    <w:basedOn w:val="Normal"/>
    <w:next w:val="Heading4"/>
    <w:link w:val="Heading6Char"/>
    <w:uiPriority w:val="9"/>
    <w:qFormat/>
    <w:rsid w:val="001B7F77"/>
    <w:pPr>
      <w:tabs>
        <w:tab w:val="num" w:pos="720"/>
      </w:tabs>
      <w:suppressAutoHyphens/>
      <w:spacing w:after="480"/>
      <w:ind w:left="720" w:hanging="720"/>
      <w:jc w:val="right"/>
      <w:outlineLvl w:val="5"/>
    </w:pPr>
    <w:rPr>
      <w:rFonts w:ascii="Times New Roman Bold" w:hAnsi="Times New Roman Bold"/>
      <w:b/>
      <w:caps/>
    </w:rPr>
  </w:style>
  <w:style w:type="paragraph" w:styleId="Heading7">
    <w:name w:val="heading 7"/>
    <w:basedOn w:val="Normal"/>
    <w:next w:val="Normal"/>
    <w:link w:val="Heading7Char"/>
    <w:uiPriority w:val="9"/>
    <w:qFormat/>
    <w:rsid w:val="001B7F77"/>
    <w:pPr>
      <w:tabs>
        <w:tab w:val="num" w:pos="720"/>
      </w:tabs>
      <w:suppressAutoHyphens/>
      <w:spacing w:before="240" w:after="60"/>
      <w:ind w:left="720" w:hanging="720"/>
      <w:jc w:val="left"/>
      <w:outlineLvl w:val="6"/>
    </w:pPr>
    <w:rPr>
      <w:rFonts w:ascii="Arial" w:hAnsi="Arial"/>
      <w:sz w:val="20"/>
    </w:rPr>
  </w:style>
  <w:style w:type="paragraph" w:styleId="Heading8">
    <w:name w:val="heading 8"/>
    <w:basedOn w:val="Normal"/>
    <w:next w:val="Normal"/>
    <w:link w:val="Heading8Char"/>
    <w:uiPriority w:val="9"/>
    <w:qFormat/>
    <w:rsid w:val="001B7F77"/>
    <w:pPr>
      <w:tabs>
        <w:tab w:val="num" w:pos="720"/>
      </w:tabs>
      <w:suppressAutoHyphens/>
      <w:spacing w:before="240" w:after="60"/>
      <w:ind w:left="720" w:hanging="720"/>
      <w:jc w:val="left"/>
      <w:outlineLvl w:val="7"/>
    </w:pPr>
    <w:rPr>
      <w:rFonts w:ascii="Arial" w:hAnsi="Arial"/>
      <w:i/>
      <w:sz w:val="20"/>
    </w:rPr>
  </w:style>
  <w:style w:type="paragraph" w:styleId="Heading9">
    <w:name w:val="heading 9"/>
    <w:basedOn w:val="Normal"/>
    <w:next w:val="Normal"/>
    <w:link w:val="Heading9Char"/>
    <w:uiPriority w:val="9"/>
    <w:qFormat/>
    <w:rsid w:val="001B7F77"/>
    <w:pPr>
      <w:tabs>
        <w:tab w:val="num" w:pos="1440"/>
      </w:tabs>
      <w:suppressAutoHyphens/>
      <w:spacing w:before="240" w:after="60"/>
      <w:ind w:left="1440" w:hanging="720"/>
      <w:jc w:val="left"/>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BA6D2B"/>
    <w:rPr>
      <w:rFonts w:ascii="Calibri" w:eastAsia="Times New Roman" w:hAnsi="Calibri" w:cs="Times New Roman"/>
      <w:b/>
      <w:bCs/>
      <w:i/>
      <w:iCs/>
      <w:sz w:val="26"/>
      <w:szCs w:val="26"/>
    </w:rPr>
  </w:style>
  <w:style w:type="character" w:styleId="Hyperlink">
    <w:name w:val="Hyperlink"/>
    <w:uiPriority w:val="99"/>
    <w:unhideWhenUsed/>
    <w:rsid w:val="00BA6D2B"/>
    <w:rPr>
      <w:color w:val="0000FF"/>
      <w:u w:val="single"/>
    </w:rPr>
  </w:style>
  <w:style w:type="paragraph" w:styleId="NormalWeb">
    <w:name w:val="Normal (Web)"/>
    <w:basedOn w:val="Normal"/>
    <w:uiPriority w:val="99"/>
    <w:unhideWhenUsed/>
    <w:rsid w:val="00BA6D2B"/>
    <w:pPr>
      <w:spacing w:before="100" w:beforeAutospacing="1" w:after="100" w:afterAutospacing="1"/>
    </w:pPr>
    <w:rPr>
      <w:szCs w:val="24"/>
    </w:rPr>
  </w:style>
  <w:style w:type="character" w:customStyle="1" w:styleId="FootnoteTextChar">
    <w:name w:val="Footnote Text Char"/>
    <w:aliases w:val="FT Char"/>
    <w:basedOn w:val="DefaultParagraphFont"/>
    <w:link w:val="FootnoteText"/>
    <w:uiPriority w:val="99"/>
    <w:locked/>
    <w:rsid w:val="00BA6D2B"/>
    <w:rPr>
      <w:rFonts w:ascii="Times New Roman" w:eastAsia="Times New Roman" w:hAnsi="Times New Roman" w:cs="Times New Roman"/>
      <w:sz w:val="20"/>
      <w:szCs w:val="20"/>
    </w:rPr>
  </w:style>
  <w:style w:type="paragraph" w:styleId="FootnoteText">
    <w:name w:val="footnote text"/>
    <w:aliases w:val="FT"/>
    <w:basedOn w:val="Normal"/>
    <w:link w:val="FootnoteTextChar"/>
    <w:uiPriority w:val="99"/>
    <w:unhideWhenUsed/>
    <w:qFormat/>
    <w:rsid w:val="00BA6D2B"/>
    <w:rPr>
      <w:sz w:val="20"/>
    </w:rPr>
  </w:style>
  <w:style w:type="character" w:customStyle="1" w:styleId="FootnoteTextChar1">
    <w:name w:val="Footnote Text Char1"/>
    <w:basedOn w:val="DefaultParagraphFont"/>
    <w:uiPriority w:val="99"/>
    <w:semiHidden/>
    <w:rsid w:val="00BA6D2B"/>
    <w:rPr>
      <w:rFonts w:ascii="Times New Roman" w:eastAsia="Times New Roman" w:hAnsi="Times New Roman" w:cs="Times New Roman"/>
      <w:sz w:val="20"/>
      <w:szCs w:val="20"/>
    </w:rPr>
  </w:style>
  <w:style w:type="paragraph" w:styleId="ListParagraph">
    <w:name w:val="List Paragraph"/>
    <w:basedOn w:val="Normal"/>
    <w:link w:val="ListParagraphChar"/>
    <w:uiPriority w:val="34"/>
    <w:qFormat/>
    <w:rsid w:val="00BA6D2B"/>
    <w:pPr>
      <w:ind w:left="720"/>
      <w:contextualSpacing/>
    </w:pPr>
  </w:style>
  <w:style w:type="paragraph" w:customStyle="1" w:styleId="Body">
    <w:name w:val="Body"/>
    <w:uiPriority w:val="99"/>
    <w:rsid w:val="00BA6D2B"/>
    <w:pPr>
      <w:spacing w:after="200" w:line="276" w:lineRule="auto"/>
    </w:pPr>
    <w:rPr>
      <w:rFonts w:ascii="Calibri" w:eastAsia="Calibri" w:hAnsi="Calibri" w:cs="Calibri"/>
      <w:color w:val="000000"/>
      <w:u w:color="000000"/>
    </w:rPr>
  </w:style>
  <w:style w:type="character" w:styleId="FootnoteReference">
    <w:name w:val="footnote reference"/>
    <w:uiPriority w:val="99"/>
    <w:unhideWhenUsed/>
    <w:rsid w:val="00BA6D2B"/>
    <w:rPr>
      <w:vertAlign w:val="superscript"/>
    </w:rPr>
  </w:style>
  <w:style w:type="character" w:customStyle="1" w:styleId="normaltextrun">
    <w:name w:val="normaltextrun"/>
    <w:basedOn w:val="DefaultParagraphFont"/>
    <w:rsid w:val="00BA6D2B"/>
  </w:style>
  <w:style w:type="paragraph" w:styleId="Header">
    <w:name w:val="header"/>
    <w:basedOn w:val="Normal"/>
    <w:link w:val="HeaderChar"/>
    <w:uiPriority w:val="99"/>
    <w:unhideWhenUsed/>
    <w:rsid w:val="008841A4"/>
    <w:pPr>
      <w:tabs>
        <w:tab w:val="center" w:pos="4680"/>
        <w:tab w:val="right" w:pos="9360"/>
      </w:tabs>
    </w:pPr>
  </w:style>
  <w:style w:type="character" w:customStyle="1" w:styleId="HeaderChar">
    <w:name w:val="Header Char"/>
    <w:basedOn w:val="DefaultParagraphFont"/>
    <w:link w:val="Header"/>
    <w:uiPriority w:val="99"/>
    <w:rsid w:val="008841A4"/>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8841A4"/>
    <w:pPr>
      <w:tabs>
        <w:tab w:val="center" w:pos="4680"/>
        <w:tab w:val="right" w:pos="9360"/>
      </w:tabs>
    </w:pPr>
  </w:style>
  <w:style w:type="character" w:customStyle="1" w:styleId="FooterChar">
    <w:name w:val="Footer Char"/>
    <w:basedOn w:val="DefaultParagraphFont"/>
    <w:link w:val="Footer"/>
    <w:uiPriority w:val="99"/>
    <w:rsid w:val="008841A4"/>
    <w:rPr>
      <w:rFonts w:ascii="Times New Roman" w:eastAsia="Times New Roman" w:hAnsi="Times New Roman" w:cs="Times New Roman"/>
      <w:sz w:val="24"/>
      <w:szCs w:val="20"/>
    </w:rPr>
  </w:style>
  <w:style w:type="character" w:styleId="LineNumber">
    <w:name w:val="line number"/>
    <w:basedOn w:val="DefaultParagraphFont"/>
    <w:unhideWhenUsed/>
    <w:rsid w:val="0028361F"/>
  </w:style>
  <w:style w:type="character" w:styleId="CommentReference">
    <w:name w:val="annotation reference"/>
    <w:basedOn w:val="DefaultParagraphFont"/>
    <w:uiPriority w:val="99"/>
    <w:unhideWhenUsed/>
    <w:rsid w:val="0074170F"/>
    <w:rPr>
      <w:sz w:val="16"/>
      <w:szCs w:val="16"/>
    </w:rPr>
  </w:style>
  <w:style w:type="paragraph" w:styleId="CommentText">
    <w:name w:val="annotation text"/>
    <w:basedOn w:val="Normal"/>
    <w:link w:val="CommentTextChar"/>
    <w:uiPriority w:val="99"/>
    <w:unhideWhenUsed/>
    <w:qFormat/>
    <w:rsid w:val="0074170F"/>
    <w:rPr>
      <w:sz w:val="20"/>
    </w:rPr>
  </w:style>
  <w:style w:type="character" w:customStyle="1" w:styleId="CommentTextChar">
    <w:name w:val="Comment Text Char"/>
    <w:basedOn w:val="DefaultParagraphFont"/>
    <w:link w:val="CommentText"/>
    <w:uiPriority w:val="99"/>
    <w:rsid w:val="0074170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unhideWhenUsed/>
    <w:rsid w:val="0074170F"/>
    <w:rPr>
      <w:b/>
      <w:bCs/>
    </w:rPr>
  </w:style>
  <w:style w:type="character" w:customStyle="1" w:styleId="CommentSubjectChar">
    <w:name w:val="Comment Subject Char"/>
    <w:basedOn w:val="CommentTextChar"/>
    <w:link w:val="CommentSubject"/>
    <w:uiPriority w:val="99"/>
    <w:rsid w:val="0074170F"/>
    <w:rPr>
      <w:rFonts w:ascii="Times New Roman" w:eastAsia="Times New Roman" w:hAnsi="Times New Roman" w:cs="Times New Roman"/>
      <w:b/>
      <w:bCs/>
      <w:sz w:val="20"/>
      <w:szCs w:val="20"/>
    </w:rPr>
  </w:style>
  <w:style w:type="paragraph" w:styleId="BalloonText">
    <w:name w:val="Balloon Text"/>
    <w:basedOn w:val="Normal"/>
    <w:link w:val="BalloonTextChar"/>
    <w:uiPriority w:val="99"/>
    <w:unhideWhenUsed/>
    <w:rsid w:val="0074170F"/>
    <w:rPr>
      <w:rFonts w:ascii="Segoe UI" w:hAnsi="Segoe UI" w:cs="Segoe UI"/>
      <w:sz w:val="18"/>
      <w:szCs w:val="18"/>
    </w:rPr>
  </w:style>
  <w:style w:type="character" w:customStyle="1" w:styleId="BalloonTextChar">
    <w:name w:val="Balloon Text Char"/>
    <w:basedOn w:val="DefaultParagraphFont"/>
    <w:link w:val="BalloonText"/>
    <w:uiPriority w:val="99"/>
    <w:rsid w:val="0074170F"/>
    <w:rPr>
      <w:rFonts w:ascii="Segoe UI" w:eastAsia="Times New Roman" w:hAnsi="Segoe UI" w:cs="Segoe UI"/>
      <w:sz w:val="18"/>
      <w:szCs w:val="18"/>
    </w:rPr>
  </w:style>
  <w:style w:type="paragraph" w:styleId="Revision">
    <w:name w:val="Revision"/>
    <w:hidden/>
    <w:uiPriority w:val="99"/>
    <w:semiHidden/>
    <w:rsid w:val="00DF1A66"/>
    <w:pPr>
      <w:spacing w:after="0" w:line="240" w:lineRule="auto"/>
    </w:pPr>
    <w:rPr>
      <w:rFonts w:ascii="Times New Roman" w:eastAsia="Times New Roman" w:hAnsi="Times New Roman" w:cs="Times New Roman"/>
      <w:sz w:val="24"/>
      <w:szCs w:val="20"/>
    </w:rPr>
  </w:style>
  <w:style w:type="character" w:styleId="FollowedHyperlink">
    <w:name w:val="FollowedHyperlink"/>
    <w:basedOn w:val="DefaultParagraphFont"/>
    <w:uiPriority w:val="99"/>
    <w:unhideWhenUsed/>
    <w:rsid w:val="00DB17A0"/>
    <w:rPr>
      <w:color w:val="954F72" w:themeColor="followedHyperlink"/>
      <w:u w:val="single"/>
    </w:rPr>
  </w:style>
  <w:style w:type="character" w:styleId="PlaceholderText">
    <w:name w:val="Placeholder Text"/>
    <w:basedOn w:val="DefaultParagraphFont"/>
    <w:uiPriority w:val="99"/>
    <w:semiHidden/>
    <w:rsid w:val="00290F34"/>
    <w:rPr>
      <w:color w:val="808080"/>
    </w:rPr>
  </w:style>
  <w:style w:type="character" w:customStyle="1" w:styleId="eop">
    <w:name w:val="eop"/>
    <w:basedOn w:val="DefaultParagraphFont"/>
    <w:rsid w:val="00A94589"/>
  </w:style>
  <w:style w:type="paragraph" w:styleId="BodyText">
    <w:name w:val="Body Text"/>
    <w:basedOn w:val="Normal"/>
    <w:link w:val="BodyTextChar"/>
    <w:uiPriority w:val="1"/>
    <w:qFormat/>
    <w:rsid w:val="0061751A"/>
    <w:pPr>
      <w:spacing w:line="480" w:lineRule="auto"/>
      <w:ind w:firstLine="720"/>
    </w:pPr>
    <w:rPr>
      <w:szCs w:val="24"/>
    </w:rPr>
  </w:style>
  <w:style w:type="character" w:customStyle="1" w:styleId="BodyTextChar">
    <w:name w:val="Body Text Char"/>
    <w:basedOn w:val="DefaultParagraphFont"/>
    <w:link w:val="BodyText"/>
    <w:uiPriority w:val="1"/>
    <w:rsid w:val="0061751A"/>
    <w:rPr>
      <w:rFonts w:ascii="Times New Roman" w:eastAsia="Times New Roman" w:hAnsi="Times New Roman" w:cs="Times New Roman"/>
      <w:sz w:val="24"/>
      <w:szCs w:val="24"/>
    </w:rPr>
  </w:style>
  <w:style w:type="character" w:customStyle="1" w:styleId="apple-converted-space">
    <w:name w:val="apple-converted-space"/>
    <w:basedOn w:val="DefaultParagraphFont"/>
    <w:rsid w:val="0061751A"/>
  </w:style>
  <w:style w:type="paragraph" w:customStyle="1" w:styleId="paragraph">
    <w:name w:val="paragraph"/>
    <w:basedOn w:val="Normal"/>
    <w:rsid w:val="00771E65"/>
    <w:pPr>
      <w:spacing w:before="100" w:beforeAutospacing="1" w:after="100" w:afterAutospacing="1"/>
      <w:jc w:val="left"/>
    </w:pPr>
    <w:rPr>
      <w:szCs w:val="24"/>
    </w:rPr>
  </w:style>
  <w:style w:type="character" w:customStyle="1" w:styleId="superscript">
    <w:name w:val="superscript"/>
    <w:basedOn w:val="DefaultParagraphFont"/>
    <w:rsid w:val="00771E65"/>
  </w:style>
  <w:style w:type="paragraph" w:customStyle="1" w:styleId="DoubleSpaceParagaph">
    <w:name w:val="Double Space Paragaph"/>
    <w:aliases w:val="DS"/>
    <w:basedOn w:val="Normal"/>
    <w:rsid w:val="001639F2"/>
    <w:pPr>
      <w:suppressAutoHyphens/>
      <w:spacing w:line="480" w:lineRule="auto"/>
      <w:ind w:firstLine="1440"/>
    </w:pPr>
  </w:style>
  <w:style w:type="paragraph" w:styleId="NoSpacing">
    <w:name w:val="No Spacing"/>
    <w:uiPriority w:val="1"/>
    <w:qFormat/>
    <w:rsid w:val="0082225F"/>
    <w:pPr>
      <w:spacing w:after="0" w:line="240" w:lineRule="auto"/>
    </w:pPr>
  </w:style>
  <w:style w:type="character" w:styleId="Emphasis">
    <w:name w:val="Emphasis"/>
    <w:basedOn w:val="DefaultParagraphFont"/>
    <w:uiPriority w:val="99"/>
    <w:qFormat/>
    <w:rsid w:val="00D02703"/>
    <w:rPr>
      <w:i/>
      <w:iCs/>
    </w:rPr>
  </w:style>
  <w:style w:type="character" w:styleId="PageNumber">
    <w:name w:val="page number"/>
    <w:basedOn w:val="DefaultParagraphFont"/>
    <w:unhideWhenUsed/>
    <w:rsid w:val="0005758D"/>
  </w:style>
  <w:style w:type="character" w:customStyle="1" w:styleId="UnresolvedMention">
    <w:name w:val="Unresolved Mention"/>
    <w:basedOn w:val="DefaultParagraphFont"/>
    <w:uiPriority w:val="99"/>
    <w:semiHidden/>
    <w:unhideWhenUsed/>
    <w:rsid w:val="00A5378F"/>
    <w:rPr>
      <w:color w:val="605E5C"/>
      <w:shd w:val="clear" w:color="auto" w:fill="E1DFDD"/>
    </w:rPr>
  </w:style>
  <w:style w:type="character" w:customStyle="1" w:styleId="Heading3Char">
    <w:name w:val="Heading 3 Char"/>
    <w:basedOn w:val="DefaultParagraphFont"/>
    <w:link w:val="Heading3"/>
    <w:uiPriority w:val="9"/>
    <w:rsid w:val="001B7F77"/>
    <w:rPr>
      <w:rFonts w:asciiTheme="majorHAnsi" w:eastAsiaTheme="majorEastAsia" w:hAnsiTheme="majorHAnsi" w:cstheme="majorBidi"/>
      <w:color w:val="1F4D78" w:themeColor="accent1" w:themeShade="7F"/>
      <w:sz w:val="24"/>
      <w:szCs w:val="24"/>
    </w:rPr>
  </w:style>
  <w:style w:type="character" w:customStyle="1" w:styleId="Heading1Char">
    <w:name w:val="Heading 1 Char"/>
    <w:basedOn w:val="DefaultParagraphFont"/>
    <w:link w:val="Heading1"/>
    <w:uiPriority w:val="9"/>
    <w:qFormat/>
    <w:rsid w:val="001B7F77"/>
    <w:rPr>
      <w:rFonts w:ascii="Times New Roman" w:eastAsia="Times New Roman" w:hAnsi="Times New Roman" w:cs="Times New Roman"/>
      <w:sz w:val="24"/>
      <w:szCs w:val="20"/>
    </w:rPr>
  </w:style>
  <w:style w:type="character" w:customStyle="1" w:styleId="Heading2Char">
    <w:name w:val="Heading 2 Char"/>
    <w:basedOn w:val="DefaultParagraphFont"/>
    <w:link w:val="Heading2"/>
    <w:uiPriority w:val="9"/>
    <w:qFormat/>
    <w:rsid w:val="001B7F77"/>
    <w:rPr>
      <w:rFonts w:ascii="Times New Roman" w:eastAsia="Times New Roman" w:hAnsi="Times New Roman" w:cs="Times New Roman"/>
      <w:b/>
      <w:sz w:val="24"/>
      <w:szCs w:val="20"/>
    </w:rPr>
  </w:style>
  <w:style w:type="character" w:customStyle="1" w:styleId="Heading4Char">
    <w:name w:val="Heading 4 Char"/>
    <w:basedOn w:val="DefaultParagraphFont"/>
    <w:link w:val="Heading4"/>
    <w:uiPriority w:val="9"/>
    <w:rsid w:val="001B7F77"/>
    <w:rPr>
      <w:rFonts w:ascii="Times New Roman" w:eastAsia="Times New Roman" w:hAnsi="Times New Roman" w:cs="Times New Roman"/>
      <w:b/>
      <w:caps/>
      <w:sz w:val="24"/>
      <w:szCs w:val="20"/>
      <w:u w:val="single"/>
    </w:rPr>
  </w:style>
  <w:style w:type="character" w:customStyle="1" w:styleId="Heading6Char">
    <w:name w:val="Heading 6 Char"/>
    <w:basedOn w:val="DefaultParagraphFont"/>
    <w:link w:val="Heading6"/>
    <w:uiPriority w:val="9"/>
    <w:rsid w:val="001B7F77"/>
    <w:rPr>
      <w:rFonts w:ascii="Times New Roman Bold" w:eastAsia="Times New Roman" w:hAnsi="Times New Roman Bold" w:cs="Times New Roman"/>
      <w:b/>
      <w:caps/>
      <w:sz w:val="24"/>
      <w:szCs w:val="20"/>
    </w:rPr>
  </w:style>
  <w:style w:type="character" w:customStyle="1" w:styleId="Heading7Char">
    <w:name w:val="Heading 7 Char"/>
    <w:basedOn w:val="DefaultParagraphFont"/>
    <w:link w:val="Heading7"/>
    <w:uiPriority w:val="9"/>
    <w:rsid w:val="001B7F77"/>
    <w:rPr>
      <w:rFonts w:ascii="Arial" w:eastAsia="Times New Roman" w:hAnsi="Arial" w:cs="Times New Roman"/>
      <w:sz w:val="20"/>
      <w:szCs w:val="20"/>
    </w:rPr>
  </w:style>
  <w:style w:type="character" w:customStyle="1" w:styleId="Heading8Char">
    <w:name w:val="Heading 8 Char"/>
    <w:basedOn w:val="DefaultParagraphFont"/>
    <w:link w:val="Heading8"/>
    <w:uiPriority w:val="9"/>
    <w:rsid w:val="001B7F77"/>
    <w:rPr>
      <w:rFonts w:ascii="Arial" w:eastAsia="Times New Roman" w:hAnsi="Arial" w:cs="Times New Roman"/>
      <w:i/>
      <w:sz w:val="20"/>
      <w:szCs w:val="20"/>
    </w:rPr>
  </w:style>
  <w:style w:type="character" w:customStyle="1" w:styleId="Heading9Char">
    <w:name w:val="Heading 9 Char"/>
    <w:basedOn w:val="DefaultParagraphFont"/>
    <w:link w:val="Heading9"/>
    <w:uiPriority w:val="9"/>
    <w:rsid w:val="001B7F77"/>
    <w:rPr>
      <w:rFonts w:ascii="Arial" w:eastAsia="Times New Roman" w:hAnsi="Arial" w:cs="Times New Roman"/>
      <w:b/>
      <w:i/>
      <w:sz w:val="18"/>
      <w:szCs w:val="20"/>
    </w:rPr>
  </w:style>
  <w:style w:type="numbering" w:customStyle="1" w:styleId="NoList1">
    <w:name w:val="No List1"/>
    <w:next w:val="NoList"/>
    <w:uiPriority w:val="99"/>
    <w:semiHidden/>
    <w:unhideWhenUsed/>
    <w:rsid w:val="001B7F77"/>
  </w:style>
  <w:style w:type="paragraph" w:customStyle="1" w:styleId="FlushLeft">
    <w:name w:val="Flush Left"/>
    <w:aliases w:val="FL"/>
    <w:basedOn w:val="Normal"/>
    <w:rsid w:val="001B7F77"/>
    <w:pPr>
      <w:suppressAutoHyphens/>
      <w:spacing w:after="240"/>
    </w:pPr>
  </w:style>
  <w:style w:type="paragraph" w:customStyle="1" w:styleId="BlockIndent">
    <w:name w:val="Block Indent"/>
    <w:aliases w:val="BI"/>
    <w:basedOn w:val="FlushLeft"/>
    <w:rsid w:val="001B7F77"/>
    <w:pPr>
      <w:ind w:left="5040"/>
    </w:pPr>
  </w:style>
  <w:style w:type="paragraph" w:customStyle="1" w:styleId="BlockLeft">
    <w:name w:val="Block Left"/>
    <w:aliases w:val="BL"/>
    <w:basedOn w:val="Normal"/>
    <w:next w:val="SignatureLeft"/>
    <w:rsid w:val="001B7F77"/>
    <w:pPr>
      <w:suppressAutoHyphens/>
      <w:spacing w:before="720" w:after="480"/>
      <w:jc w:val="left"/>
    </w:pPr>
  </w:style>
  <w:style w:type="paragraph" w:customStyle="1" w:styleId="BlockNarrowBold">
    <w:name w:val="Block Narrow Bold"/>
    <w:aliases w:val="BNB"/>
    <w:basedOn w:val="Normal"/>
    <w:next w:val="DoubleSpaceParagaph"/>
    <w:rsid w:val="001B7F77"/>
    <w:pPr>
      <w:tabs>
        <w:tab w:val="left" w:pos="7200"/>
      </w:tabs>
      <w:suppressAutoHyphens/>
      <w:spacing w:after="240"/>
      <w:ind w:left="2160" w:right="2160"/>
      <w:outlineLvl w:val="2"/>
    </w:pPr>
    <w:rPr>
      <w:b/>
      <w:caps/>
    </w:rPr>
  </w:style>
  <w:style w:type="paragraph" w:customStyle="1" w:styleId="BlockNarrowUnderline">
    <w:name w:val="Block Narrow Underline"/>
    <w:aliases w:val="BNU"/>
    <w:basedOn w:val="Normal"/>
    <w:next w:val="Normal"/>
    <w:rsid w:val="001B7F77"/>
    <w:pPr>
      <w:pBdr>
        <w:bottom w:val="single" w:sz="4" w:space="1" w:color="auto"/>
      </w:pBdr>
      <w:suppressAutoHyphens/>
      <w:spacing w:after="240"/>
      <w:ind w:left="2160" w:right="2160"/>
      <w:outlineLvl w:val="2"/>
    </w:pPr>
    <w:rPr>
      <w:b/>
      <w:caps/>
    </w:rPr>
  </w:style>
  <w:style w:type="paragraph" w:customStyle="1" w:styleId="BlockNarrow">
    <w:name w:val="Block Narrow"/>
    <w:aliases w:val="BN"/>
    <w:basedOn w:val="Normal"/>
    <w:next w:val="FlushLeftDouble"/>
    <w:rsid w:val="001B7F77"/>
    <w:pPr>
      <w:suppressAutoHyphens/>
      <w:spacing w:after="240"/>
      <w:ind w:left="2160" w:right="2160"/>
      <w:outlineLvl w:val="2"/>
    </w:pPr>
  </w:style>
  <w:style w:type="paragraph" w:customStyle="1" w:styleId="BlockRight">
    <w:name w:val="Block Right"/>
    <w:aliases w:val="BR"/>
    <w:basedOn w:val="Normal"/>
    <w:next w:val="CaptionHeading"/>
    <w:rsid w:val="001B7F77"/>
    <w:pPr>
      <w:suppressAutoHyphens/>
      <w:spacing w:after="240"/>
      <w:ind w:left="5040"/>
    </w:pPr>
  </w:style>
  <w:style w:type="paragraph" w:customStyle="1" w:styleId="BlockWideUnderline">
    <w:name w:val="Block Wide Underline"/>
    <w:aliases w:val="BWU"/>
    <w:basedOn w:val="Normal"/>
    <w:next w:val="DoubleSpaceParagaph"/>
    <w:rsid w:val="001B7F77"/>
    <w:pPr>
      <w:pBdr>
        <w:bottom w:val="single" w:sz="4" w:space="1" w:color="auto"/>
      </w:pBdr>
      <w:suppressAutoHyphens/>
      <w:spacing w:after="240"/>
      <w:ind w:left="1440" w:right="1440"/>
      <w:outlineLvl w:val="2"/>
    </w:pPr>
  </w:style>
  <w:style w:type="paragraph" w:customStyle="1" w:styleId="BlockWide">
    <w:name w:val="Block Wide"/>
    <w:aliases w:val="BW"/>
    <w:basedOn w:val="Normal"/>
    <w:next w:val="DoubleSpaceParagaph"/>
    <w:rsid w:val="001B7F77"/>
    <w:pPr>
      <w:suppressAutoHyphens/>
      <w:spacing w:after="240"/>
      <w:ind w:left="1440" w:right="1440"/>
    </w:pPr>
  </w:style>
  <w:style w:type="paragraph" w:customStyle="1" w:styleId="By">
    <w:name w:val="By"/>
    <w:basedOn w:val="Normal"/>
    <w:next w:val="ByLine"/>
    <w:rsid w:val="001B7F77"/>
    <w:pPr>
      <w:suppressAutoHyphens/>
      <w:ind w:left="4320"/>
      <w:jc w:val="left"/>
    </w:pPr>
  </w:style>
  <w:style w:type="paragraph" w:customStyle="1" w:styleId="ByLine">
    <w:name w:val="By Line"/>
    <w:aliases w:val="ByL"/>
    <w:basedOn w:val="Normal"/>
    <w:next w:val="FlushLeft"/>
    <w:rsid w:val="001B7F77"/>
    <w:pPr>
      <w:pBdr>
        <w:top w:val="single" w:sz="4" w:space="1" w:color="auto"/>
      </w:pBdr>
      <w:suppressAutoHyphens/>
      <w:spacing w:after="720"/>
      <w:ind w:left="5040"/>
      <w:jc w:val="left"/>
    </w:pPr>
  </w:style>
  <w:style w:type="paragraph" w:styleId="Caption">
    <w:name w:val="caption"/>
    <w:basedOn w:val="Normal"/>
    <w:next w:val="Normal"/>
    <w:qFormat/>
    <w:rsid w:val="001B7F77"/>
    <w:pPr>
      <w:suppressAutoHyphens/>
      <w:spacing w:before="120" w:after="120"/>
      <w:jc w:val="left"/>
    </w:pPr>
    <w:rPr>
      <w:b/>
    </w:rPr>
  </w:style>
  <w:style w:type="paragraph" w:customStyle="1" w:styleId="CaptionAgainst">
    <w:name w:val="Caption Against"/>
    <w:aliases w:val="CA"/>
    <w:basedOn w:val="Normal"/>
    <w:next w:val="CaptionText"/>
    <w:rsid w:val="001B7F77"/>
    <w:pPr>
      <w:suppressAutoHyphens/>
      <w:spacing w:after="240"/>
      <w:jc w:val="center"/>
    </w:pPr>
  </w:style>
  <w:style w:type="paragraph" w:customStyle="1" w:styleId="CaptionBottomLine">
    <w:name w:val="Caption Bottom Line"/>
    <w:aliases w:val="CBL"/>
    <w:basedOn w:val="Normal"/>
    <w:next w:val="DoubleSpaceParagaph"/>
    <w:rsid w:val="001B7F77"/>
    <w:pPr>
      <w:suppressAutoHyphens/>
      <w:spacing w:after="480"/>
      <w:jc w:val="left"/>
    </w:pPr>
  </w:style>
  <w:style w:type="paragraph" w:customStyle="1" w:styleId="CaptionDocument">
    <w:name w:val="Caption Document"/>
    <w:aliases w:val="CD"/>
    <w:basedOn w:val="Normal"/>
    <w:next w:val="CaptionID"/>
    <w:rsid w:val="001B7F77"/>
    <w:pPr>
      <w:suppressAutoHyphens/>
      <w:spacing w:before="720" w:after="240"/>
      <w:jc w:val="left"/>
    </w:pPr>
    <w:rPr>
      <w:rFonts w:ascii="Times New Roman Bold" w:hAnsi="Times New Roman Bold"/>
      <w:b/>
      <w:caps/>
    </w:rPr>
  </w:style>
  <w:style w:type="paragraph" w:customStyle="1" w:styleId="CaptionHeading">
    <w:name w:val="Caption Heading"/>
    <w:aliases w:val="CH"/>
    <w:basedOn w:val="Normal"/>
    <w:next w:val="CaptionTopLine"/>
    <w:rsid w:val="001B7F77"/>
    <w:pPr>
      <w:suppressAutoHyphens/>
      <w:jc w:val="left"/>
    </w:pPr>
    <w:rPr>
      <w:caps/>
    </w:rPr>
  </w:style>
  <w:style w:type="paragraph" w:customStyle="1" w:styleId="CaptionID">
    <w:name w:val="Caption ID"/>
    <w:aliases w:val="CI"/>
    <w:basedOn w:val="Normal"/>
    <w:rsid w:val="001B7F77"/>
    <w:pPr>
      <w:suppressAutoHyphens/>
      <w:spacing w:after="240"/>
      <w:jc w:val="left"/>
    </w:pPr>
  </w:style>
  <w:style w:type="paragraph" w:customStyle="1" w:styleId="CaptionTextRight">
    <w:name w:val="Caption Text Right"/>
    <w:aliases w:val="CTR"/>
    <w:basedOn w:val="Normal"/>
    <w:next w:val="CaptionAgainst"/>
    <w:rsid w:val="001B7F77"/>
    <w:pPr>
      <w:suppressAutoHyphens/>
      <w:spacing w:after="240"/>
      <w:jc w:val="right"/>
    </w:pPr>
  </w:style>
  <w:style w:type="paragraph" w:customStyle="1" w:styleId="CaptionText">
    <w:name w:val="Caption Text"/>
    <w:aliases w:val="CT"/>
    <w:basedOn w:val="Normal"/>
    <w:next w:val="CaptionTextRight"/>
    <w:rsid w:val="001B7F77"/>
    <w:pPr>
      <w:suppressAutoHyphens/>
      <w:spacing w:after="240"/>
      <w:jc w:val="left"/>
    </w:pPr>
  </w:style>
  <w:style w:type="paragraph" w:customStyle="1" w:styleId="CaptionTopLine">
    <w:name w:val="Caption Top Line"/>
    <w:aliases w:val="CTL"/>
    <w:basedOn w:val="Normal"/>
    <w:next w:val="CaptionText"/>
    <w:rsid w:val="001B7F77"/>
    <w:pPr>
      <w:suppressAutoHyphens/>
      <w:spacing w:after="240"/>
      <w:jc w:val="left"/>
    </w:pPr>
  </w:style>
  <w:style w:type="paragraph" w:styleId="Closing">
    <w:name w:val="Closing"/>
    <w:aliases w:val="C"/>
    <w:basedOn w:val="Normal"/>
    <w:next w:val="By"/>
    <w:link w:val="ClosingChar"/>
    <w:rsid w:val="001B7F77"/>
    <w:pPr>
      <w:keepLines/>
      <w:suppressAutoHyphens/>
      <w:spacing w:after="480"/>
      <w:ind w:left="4320"/>
      <w:jc w:val="left"/>
    </w:pPr>
  </w:style>
  <w:style w:type="character" w:customStyle="1" w:styleId="ClosingChar">
    <w:name w:val="Closing Char"/>
    <w:aliases w:val="C Char"/>
    <w:basedOn w:val="DefaultParagraphFont"/>
    <w:link w:val="Closing"/>
    <w:rsid w:val="001B7F77"/>
    <w:rPr>
      <w:rFonts w:ascii="Times New Roman" w:eastAsia="Times New Roman" w:hAnsi="Times New Roman" w:cs="Times New Roman"/>
      <w:sz w:val="24"/>
      <w:szCs w:val="20"/>
    </w:rPr>
  </w:style>
  <w:style w:type="paragraph" w:customStyle="1" w:styleId="CourtesyCopy">
    <w:name w:val="Courtesy Copy"/>
    <w:aliases w:val="cc"/>
    <w:basedOn w:val="Normal"/>
    <w:rsid w:val="001B7F77"/>
    <w:pPr>
      <w:keepLines/>
      <w:suppressAutoHyphens/>
      <w:spacing w:before="240"/>
      <w:ind w:left="720" w:hanging="720"/>
      <w:jc w:val="left"/>
    </w:pPr>
  </w:style>
  <w:style w:type="paragraph" w:styleId="Date">
    <w:name w:val="Date"/>
    <w:basedOn w:val="Normal"/>
    <w:next w:val="Normal"/>
    <w:link w:val="DateChar"/>
    <w:rsid w:val="001B7F77"/>
    <w:pPr>
      <w:suppressAutoHyphens/>
      <w:jc w:val="left"/>
    </w:pPr>
  </w:style>
  <w:style w:type="character" w:customStyle="1" w:styleId="DateChar">
    <w:name w:val="Date Char"/>
    <w:basedOn w:val="DefaultParagraphFont"/>
    <w:link w:val="Date"/>
    <w:rsid w:val="001B7F77"/>
    <w:rPr>
      <w:rFonts w:ascii="Times New Roman" w:eastAsia="Times New Roman" w:hAnsi="Times New Roman" w:cs="Times New Roman"/>
      <w:sz w:val="24"/>
      <w:szCs w:val="20"/>
    </w:rPr>
  </w:style>
  <w:style w:type="paragraph" w:customStyle="1" w:styleId="Dated">
    <w:name w:val="Dated"/>
    <w:aliases w:val="D"/>
    <w:basedOn w:val="Normal"/>
    <w:next w:val="Closing"/>
    <w:rsid w:val="001B7F77"/>
    <w:pPr>
      <w:suppressAutoHyphens/>
      <w:spacing w:after="480"/>
      <w:ind w:left="1440" w:hanging="1440"/>
      <w:jc w:val="left"/>
    </w:pPr>
  </w:style>
  <w:style w:type="paragraph" w:customStyle="1" w:styleId="SingleSpaceHanging1">
    <w:name w:val="Single Space Hanging 1&quot;"/>
    <w:aliases w:val="SSH1"/>
    <w:basedOn w:val="Normal"/>
    <w:rsid w:val="001B7F77"/>
    <w:pPr>
      <w:suppressAutoHyphens/>
      <w:spacing w:after="240"/>
      <w:ind w:left="2160" w:hanging="720"/>
    </w:pPr>
  </w:style>
  <w:style w:type="paragraph" w:customStyle="1" w:styleId="DefinEval">
    <w:name w:val="DefinEval"/>
    <w:aliases w:val="DE"/>
    <w:basedOn w:val="SingleSpaceHanging1"/>
    <w:rsid w:val="001B7F77"/>
    <w:pPr>
      <w:ind w:left="0" w:firstLine="1440"/>
    </w:pPr>
  </w:style>
  <w:style w:type="paragraph" w:customStyle="1" w:styleId="DocumentTitle">
    <w:name w:val="Document Title"/>
    <w:aliases w:val="DT"/>
    <w:basedOn w:val="Normal"/>
    <w:next w:val="DoubleSpaceParagaph"/>
    <w:rsid w:val="001B7F77"/>
    <w:pPr>
      <w:tabs>
        <w:tab w:val="left" w:pos="7200"/>
      </w:tabs>
      <w:suppressAutoHyphens/>
      <w:spacing w:after="240"/>
      <w:ind w:left="2160" w:right="2160"/>
    </w:pPr>
    <w:rPr>
      <w:rFonts w:ascii="Times New Roman Bold" w:hAnsi="Times New Roman Bold"/>
      <w:b/>
      <w:caps/>
    </w:rPr>
  </w:style>
  <w:style w:type="paragraph" w:customStyle="1" w:styleId="DocX97Comment">
    <w:name w:val="DocX97Comment"/>
    <w:basedOn w:val="Normal"/>
    <w:rsid w:val="001B7F77"/>
    <w:pPr>
      <w:suppressAutoHyphens/>
      <w:jc w:val="left"/>
    </w:pPr>
    <w:rPr>
      <w:b/>
      <w:i/>
      <w:color w:val="FF0000"/>
      <w:sz w:val="16"/>
    </w:rPr>
  </w:style>
  <w:style w:type="paragraph" w:customStyle="1" w:styleId="DoubleSpaceHanging1">
    <w:name w:val="Double Space Hanging 1&quot;"/>
    <w:aliases w:val="DSH1"/>
    <w:basedOn w:val="Normal"/>
    <w:rsid w:val="001B7F77"/>
    <w:pPr>
      <w:suppressAutoHyphens/>
      <w:spacing w:after="240" w:line="480" w:lineRule="auto"/>
      <w:ind w:left="2160" w:hanging="720"/>
    </w:pPr>
  </w:style>
  <w:style w:type="paragraph" w:customStyle="1" w:styleId="DoubleSpaceHanging15">
    <w:name w:val="Double Space Hanging 1.5&quot;"/>
    <w:aliases w:val="DSH2"/>
    <w:basedOn w:val="Normal"/>
    <w:rsid w:val="001B7F77"/>
    <w:pPr>
      <w:suppressAutoHyphens/>
      <w:spacing w:after="240" w:line="480" w:lineRule="auto"/>
      <w:ind w:left="2880" w:hanging="720"/>
    </w:pPr>
  </w:style>
  <w:style w:type="paragraph" w:customStyle="1" w:styleId="DoubleSpaceParagraphwParaNum">
    <w:name w:val="Double Space Paragraph w/Para Num"/>
    <w:aliases w:val="DSN"/>
    <w:basedOn w:val="Normal"/>
    <w:rsid w:val="001B7F77"/>
    <w:pPr>
      <w:suppressAutoHyphens/>
      <w:spacing w:line="480" w:lineRule="auto"/>
    </w:pPr>
  </w:style>
  <w:style w:type="paragraph" w:customStyle="1" w:styleId="EndnoteTextMore">
    <w:name w:val="Endnote TextMore"/>
    <w:basedOn w:val="Normal"/>
    <w:rsid w:val="001B7F77"/>
    <w:pPr>
      <w:suppressAutoHyphens/>
      <w:spacing w:after="240"/>
      <w:jc w:val="left"/>
    </w:pPr>
  </w:style>
  <w:style w:type="paragraph" w:styleId="EnvelopeAddress">
    <w:name w:val="envelope address"/>
    <w:basedOn w:val="Normal"/>
    <w:rsid w:val="001B7F77"/>
    <w:pPr>
      <w:framePr w:w="7920" w:h="1980" w:hRule="exact" w:hSpace="180" w:wrap="auto" w:hAnchor="page" w:xAlign="center" w:yAlign="bottom"/>
      <w:suppressAutoHyphens/>
      <w:ind w:left="2880"/>
      <w:jc w:val="left"/>
    </w:pPr>
  </w:style>
  <w:style w:type="paragraph" w:styleId="EnvelopeReturn">
    <w:name w:val="envelope return"/>
    <w:basedOn w:val="Normal"/>
    <w:rsid w:val="001B7F77"/>
    <w:pPr>
      <w:suppressAutoHyphens/>
      <w:jc w:val="left"/>
    </w:pPr>
    <w:rPr>
      <w:sz w:val="20"/>
    </w:rPr>
  </w:style>
  <w:style w:type="paragraph" w:customStyle="1" w:styleId="FlushLeftDoublewParaNum">
    <w:name w:val="Flush Left Double w/Para Num"/>
    <w:aliases w:val="FLDN"/>
    <w:basedOn w:val="Normal"/>
    <w:rsid w:val="001B7F77"/>
    <w:pPr>
      <w:numPr>
        <w:numId w:val="2"/>
      </w:numPr>
      <w:tabs>
        <w:tab w:val="clear" w:pos="360"/>
      </w:tabs>
      <w:suppressAutoHyphens/>
      <w:spacing w:line="480" w:lineRule="auto"/>
    </w:pPr>
  </w:style>
  <w:style w:type="paragraph" w:customStyle="1" w:styleId="FlushLeftDouble">
    <w:name w:val="Flush Left Double"/>
    <w:aliases w:val="FLD"/>
    <w:basedOn w:val="Normal"/>
    <w:rsid w:val="001B7F77"/>
    <w:pPr>
      <w:suppressAutoHyphens/>
      <w:spacing w:line="480" w:lineRule="auto"/>
    </w:pPr>
  </w:style>
  <w:style w:type="paragraph" w:customStyle="1" w:styleId="FlushLeftwParaNum">
    <w:name w:val="Flush Left w/Para Num"/>
    <w:aliases w:val="FLN"/>
    <w:basedOn w:val="Normal"/>
    <w:rsid w:val="001B7F77"/>
    <w:pPr>
      <w:numPr>
        <w:numId w:val="3"/>
      </w:numPr>
      <w:tabs>
        <w:tab w:val="clear" w:pos="360"/>
      </w:tabs>
      <w:suppressAutoHyphens/>
      <w:spacing w:after="240"/>
    </w:pPr>
  </w:style>
  <w:style w:type="paragraph" w:customStyle="1" w:styleId="FootnoteTextMore">
    <w:name w:val="Footnote TextMore"/>
    <w:basedOn w:val="FootnoteText"/>
    <w:rsid w:val="001B7F77"/>
    <w:pPr>
      <w:tabs>
        <w:tab w:val="left" w:pos="360"/>
      </w:tabs>
      <w:spacing w:after="240"/>
      <w:jc w:val="left"/>
    </w:pPr>
    <w:rPr>
      <w:sz w:val="24"/>
    </w:rPr>
  </w:style>
  <w:style w:type="paragraph" w:customStyle="1" w:styleId="HeadingBold">
    <w:name w:val="Heading Bold"/>
    <w:aliases w:val="HCB"/>
    <w:basedOn w:val="Normal"/>
    <w:next w:val="SingleSpaceParagraph"/>
    <w:rsid w:val="001B7F77"/>
    <w:pPr>
      <w:keepNext/>
      <w:suppressAutoHyphens/>
      <w:spacing w:after="240"/>
      <w:jc w:val="center"/>
      <w:outlineLvl w:val="0"/>
    </w:pPr>
    <w:rPr>
      <w:rFonts w:ascii="Times New Roman Bold" w:hAnsi="Times New Roman Bold"/>
      <w:b/>
    </w:rPr>
  </w:style>
  <w:style w:type="paragraph" w:customStyle="1" w:styleId="HeadingCaps">
    <w:name w:val="Heading Caps"/>
    <w:aliases w:val="HCC"/>
    <w:basedOn w:val="Normal"/>
    <w:next w:val="DoubleSpaceParagaph"/>
    <w:link w:val="HeadingCapsChar"/>
    <w:rsid w:val="001B7F77"/>
    <w:pPr>
      <w:keepNext/>
      <w:suppressAutoHyphens/>
      <w:spacing w:after="240"/>
      <w:jc w:val="center"/>
      <w:outlineLvl w:val="0"/>
    </w:pPr>
    <w:rPr>
      <w:rFonts w:ascii="Times New Roman Bold" w:hAnsi="Times New Roman Bold"/>
      <w:b/>
      <w:caps/>
    </w:rPr>
  </w:style>
  <w:style w:type="paragraph" w:customStyle="1" w:styleId="HeadingCenter">
    <w:name w:val="Heading Center"/>
    <w:aliases w:val="HC"/>
    <w:basedOn w:val="Normal"/>
    <w:next w:val="SingleSpaceParagraph"/>
    <w:rsid w:val="001B7F77"/>
    <w:pPr>
      <w:keepNext/>
      <w:suppressAutoHyphens/>
      <w:spacing w:after="240"/>
      <w:jc w:val="center"/>
      <w:outlineLvl w:val="0"/>
    </w:pPr>
  </w:style>
  <w:style w:type="paragraph" w:customStyle="1" w:styleId="HeadingLeft">
    <w:name w:val="Heading Left"/>
    <w:aliases w:val="HL"/>
    <w:basedOn w:val="Normal"/>
    <w:next w:val="FlushLeft"/>
    <w:rsid w:val="001B7F77"/>
    <w:pPr>
      <w:keepNext/>
      <w:suppressAutoHyphens/>
      <w:jc w:val="left"/>
    </w:pPr>
  </w:style>
  <w:style w:type="paragraph" w:customStyle="1" w:styleId="HeadingPoint">
    <w:name w:val="Heading Point"/>
    <w:aliases w:val="HP"/>
    <w:basedOn w:val="Normal"/>
    <w:next w:val="BlockNarrowBold"/>
    <w:rsid w:val="001B7F77"/>
    <w:pPr>
      <w:keepNext/>
      <w:numPr>
        <w:ilvl w:val="1"/>
        <w:numId w:val="4"/>
      </w:numPr>
      <w:tabs>
        <w:tab w:val="clear" w:pos="720"/>
      </w:tabs>
      <w:suppressAutoHyphens/>
      <w:spacing w:after="240"/>
      <w:ind w:left="0" w:firstLine="0"/>
      <w:jc w:val="center"/>
      <w:outlineLvl w:val="1"/>
    </w:pPr>
    <w:rPr>
      <w:rFonts w:ascii="Times New Roman Bold" w:hAnsi="Times New Roman Bold"/>
      <w:b/>
      <w:caps/>
      <w:u w:val="single"/>
    </w:rPr>
  </w:style>
  <w:style w:type="paragraph" w:customStyle="1" w:styleId="HeadingUnderline">
    <w:name w:val="Heading Underline"/>
    <w:aliases w:val="HCU"/>
    <w:basedOn w:val="Normal"/>
    <w:next w:val="DoubleSpaceParagaph"/>
    <w:rsid w:val="001B7F77"/>
    <w:pPr>
      <w:keepNext/>
      <w:suppressAutoHyphens/>
      <w:spacing w:after="240"/>
      <w:jc w:val="center"/>
      <w:outlineLvl w:val="0"/>
    </w:pPr>
    <w:rPr>
      <w:rFonts w:ascii="Times New Roman Bold" w:hAnsi="Times New Roman Bold"/>
      <w:b/>
      <w:caps/>
      <w:u w:val="single"/>
    </w:rPr>
  </w:style>
  <w:style w:type="paragraph" w:customStyle="1" w:styleId="InterrogatoryResponse">
    <w:name w:val="Interrogatory Response"/>
    <w:aliases w:val="IR"/>
    <w:basedOn w:val="Normal"/>
    <w:next w:val="DoubleSpaceParagaph"/>
    <w:rsid w:val="001B7F77"/>
    <w:pPr>
      <w:keepNext/>
      <w:suppressAutoHyphens/>
      <w:spacing w:after="240"/>
      <w:jc w:val="left"/>
    </w:pPr>
    <w:rPr>
      <w:b/>
      <w:caps/>
      <w:u w:val="single"/>
    </w:rPr>
  </w:style>
  <w:style w:type="paragraph" w:customStyle="1" w:styleId="Interrogatory">
    <w:name w:val="Interrogatory"/>
    <w:aliases w:val="I"/>
    <w:basedOn w:val="Normal"/>
    <w:next w:val="DoubleSpaceParagaph"/>
    <w:rsid w:val="001B7F77"/>
    <w:pPr>
      <w:keepNext/>
      <w:suppressAutoHyphens/>
      <w:spacing w:after="240"/>
      <w:jc w:val="left"/>
    </w:pPr>
    <w:rPr>
      <w:b/>
      <w:caps/>
      <w:u w:val="single"/>
    </w:rPr>
  </w:style>
  <w:style w:type="paragraph" w:customStyle="1" w:styleId="LetterAddress">
    <w:name w:val="Letter Address"/>
    <w:aliases w:val="LA"/>
    <w:basedOn w:val="Normal"/>
    <w:rsid w:val="001B7F77"/>
    <w:pPr>
      <w:suppressAutoHyphens/>
      <w:jc w:val="left"/>
    </w:pPr>
  </w:style>
  <w:style w:type="paragraph" w:customStyle="1" w:styleId="LetterAuthor">
    <w:name w:val="Letter Author"/>
    <w:aliases w:val="LAu"/>
    <w:basedOn w:val="Normal"/>
    <w:next w:val="CourtesyCopy"/>
    <w:rsid w:val="001B7F77"/>
    <w:pPr>
      <w:keepLines/>
      <w:suppressAutoHyphens/>
      <w:spacing w:after="480"/>
      <w:ind w:left="5760"/>
      <w:jc w:val="left"/>
    </w:pPr>
  </w:style>
  <w:style w:type="paragraph" w:customStyle="1" w:styleId="LetterClosing">
    <w:name w:val="Letter Closing"/>
    <w:aliases w:val="LC"/>
    <w:basedOn w:val="Normal"/>
    <w:next w:val="LetterAuthor"/>
    <w:rsid w:val="001B7F77"/>
    <w:pPr>
      <w:suppressAutoHyphens/>
      <w:spacing w:before="240" w:after="720"/>
      <w:ind w:left="5760"/>
      <w:jc w:val="left"/>
    </w:pPr>
  </w:style>
  <w:style w:type="paragraph" w:customStyle="1" w:styleId="LetterDate">
    <w:name w:val="Letter Date"/>
    <w:aliases w:val="LD"/>
    <w:basedOn w:val="Normal"/>
    <w:next w:val="LetterAddress"/>
    <w:rsid w:val="001B7F77"/>
    <w:pPr>
      <w:suppressAutoHyphens/>
      <w:spacing w:after="720"/>
      <w:ind w:left="5760"/>
      <w:jc w:val="left"/>
    </w:pPr>
  </w:style>
  <w:style w:type="paragraph" w:customStyle="1" w:styleId="LetterRe">
    <w:name w:val="Letter Re"/>
    <w:aliases w:val="LRe"/>
    <w:basedOn w:val="Normal"/>
    <w:next w:val="LetterSalutation"/>
    <w:rsid w:val="001B7F77"/>
    <w:pPr>
      <w:tabs>
        <w:tab w:val="left" w:pos="1944"/>
      </w:tabs>
      <w:suppressAutoHyphens/>
      <w:spacing w:before="480" w:after="480"/>
      <w:ind w:left="1944" w:hanging="504"/>
      <w:jc w:val="left"/>
    </w:pPr>
  </w:style>
  <w:style w:type="paragraph" w:customStyle="1" w:styleId="LetterSalutation">
    <w:name w:val="Letter Salutation"/>
    <w:aliases w:val="LS"/>
    <w:basedOn w:val="Normal"/>
    <w:next w:val="SingleSpaceParagraph"/>
    <w:rsid w:val="001B7F77"/>
    <w:pPr>
      <w:suppressAutoHyphens/>
      <w:spacing w:after="480"/>
      <w:jc w:val="left"/>
    </w:pPr>
  </w:style>
  <w:style w:type="paragraph" w:customStyle="1" w:styleId="LetterTelephone">
    <w:name w:val="Letter Telephone"/>
    <w:aliases w:val="LT"/>
    <w:basedOn w:val="Normal"/>
    <w:next w:val="LetterDate"/>
    <w:rsid w:val="001B7F77"/>
    <w:pPr>
      <w:suppressAutoHyphens/>
      <w:spacing w:before="1680" w:after="480"/>
      <w:jc w:val="right"/>
    </w:pPr>
    <w:rPr>
      <w:sz w:val="20"/>
    </w:rPr>
  </w:style>
  <w:style w:type="paragraph" w:customStyle="1" w:styleId="LocalLawBlock">
    <w:name w:val="Local Law Block"/>
    <w:aliases w:val="LLB"/>
    <w:basedOn w:val="Normal"/>
    <w:next w:val="FlushLeftDouble"/>
    <w:rsid w:val="001B7F77"/>
    <w:pPr>
      <w:tabs>
        <w:tab w:val="left" w:pos="2160"/>
      </w:tabs>
      <w:suppressAutoHyphens/>
      <w:spacing w:after="480"/>
      <w:ind w:left="2160" w:right="1008" w:hanging="2160"/>
    </w:pPr>
  </w:style>
  <w:style w:type="paragraph" w:customStyle="1" w:styleId="LocalLawTitle">
    <w:name w:val="Local Law Title"/>
    <w:aliases w:val="LLT"/>
    <w:basedOn w:val="Normal"/>
    <w:next w:val="LocalLawBlock"/>
    <w:rsid w:val="001B7F77"/>
    <w:pPr>
      <w:keepNext/>
      <w:suppressAutoHyphens/>
      <w:spacing w:after="480"/>
      <w:jc w:val="right"/>
    </w:pPr>
    <w:rPr>
      <w:rFonts w:ascii="Times New Roman Bold" w:hAnsi="Times New Roman Bold"/>
      <w:b/>
      <w:caps/>
    </w:rPr>
  </w:style>
  <w:style w:type="paragraph" w:customStyle="1" w:styleId="MemoAuthor">
    <w:name w:val="Memo Author"/>
    <w:aliases w:val="MAu"/>
    <w:basedOn w:val="Normal"/>
    <w:next w:val="MemoDate"/>
    <w:rsid w:val="001B7F77"/>
    <w:pPr>
      <w:suppressAutoHyphens/>
      <w:spacing w:after="240"/>
      <w:jc w:val="left"/>
    </w:pPr>
  </w:style>
  <w:style w:type="paragraph" w:customStyle="1" w:styleId="MemoDate">
    <w:name w:val="Memo Date"/>
    <w:aliases w:val="MD"/>
    <w:basedOn w:val="Normal"/>
    <w:next w:val="MemoSubject"/>
    <w:rsid w:val="001B7F77"/>
    <w:pPr>
      <w:suppressAutoHyphens/>
      <w:spacing w:after="240"/>
      <w:jc w:val="left"/>
    </w:pPr>
    <w:rPr>
      <w:caps/>
    </w:rPr>
  </w:style>
  <w:style w:type="paragraph" w:customStyle="1" w:styleId="MemoLine">
    <w:name w:val="Memo Line"/>
    <w:aliases w:val="ML"/>
    <w:basedOn w:val="Normal"/>
    <w:next w:val="DoubleSpaceParagaph"/>
    <w:rsid w:val="001B7F77"/>
    <w:pPr>
      <w:suppressAutoHyphens/>
      <w:spacing w:after="120"/>
      <w:jc w:val="left"/>
    </w:pPr>
  </w:style>
  <w:style w:type="paragraph" w:customStyle="1" w:styleId="MemoSubject">
    <w:name w:val="Memo Subject"/>
    <w:aliases w:val="MS"/>
    <w:basedOn w:val="Normal"/>
    <w:next w:val="MemoLine"/>
    <w:rsid w:val="001B7F77"/>
    <w:pPr>
      <w:suppressAutoHyphens/>
      <w:spacing w:after="480"/>
      <w:jc w:val="left"/>
    </w:pPr>
    <w:rPr>
      <w:caps/>
    </w:rPr>
  </w:style>
  <w:style w:type="paragraph" w:customStyle="1" w:styleId="MemoTo">
    <w:name w:val="Memo To"/>
    <w:aliases w:val="MT"/>
    <w:basedOn w:val="Normal"/>
    <w:next w:val="MemoAuthor"/>
    <w:rsid w:val="001B7F77"/>
    <w:pPr>
      <w:suppressAutoHyphens/>
      <w:spacing w:before="480" w:after="240"/>
      <w:jc w:val="left"/>
    </w:pPr>
  </w:style>
  <w:style w:type="character" w:customStyle="1" w:styleId="ParaNum">
    <w:name w:val="ParaNum"/>
    <w:basedOn w:val="DefaultParagraphFont"/>
    <w:rsid w:val="001B7F77"/>
  </w:style>
  <w:style w:type="paragraph" w:customStyle="1" w:styleId="Quote1">
    <w:name w:val="Quote1"/>
    <w:aliases w:val="Q"/>
    <w:basedOn w:val="Normal"/>
    <w:next w:val="FlushLeftDouble"/>
    <w:uiPriority w:val="29"/>
    <w:qFormat/>
    <w:rsid w:val="001B7F77"/>
    <w:pPr>
      <w:suppressAutoHyphens/>
      <w:spacing w:after="240"/>
      <w:ind w:left="2160" w:right="2160"/>
    </w:pPr>
  </w:style>
  <w:style w:type="paragraph" w:customStyle="1" w:styleId="SignatureBlock">
    <w:name w:val="Signature Block"/>
    <w:aliases w:val="SB"/>
    <w:basedOn w:val="Normal"/>
    <w:next w:val="FlushLeft"/>
    <w:rsid w:val="001B7F77"/>
    <w:pPr>
      <w:pBdr>
        <w:top w:val="single" w:sz="4" w:space="1" w:color="auto"/>
      </w:pBdr>
      <w:suppressAutoHyphens/>
      <w:spacing w:after="720"/>
      <w:ind w:left="5040"/>
      <w:jc w:val="left"/>
    </w:pPr>
    <w:rPr>
      <w:caps/>
    </w:rPr>
  </w:style>
  <w:style w:type="paragraph" w:customStyle="1" w:styleId="SignatureLeft">
    <w:name w:val="Signature Left"/>
    <w:aliases w:val="SL"/>
    <w:basedOn w:val="Normal"/>
    <w:next w:val="Normal"/>
    <w:rsid w:val="001B7F77"/>
    <w:pPr>
      <w:pBdr>
        <w:top w:val="single" w:sz="4" w:space="1" w:color="auto"/>
      </w:pBdr>
      <w:suppressAutoHyphens/>
      <w:spacing w:after="240"/>
      <w:ind w:right="5760"/>
      <w:jc w:val="left"/>
    </w:pPr>
  </w:style>
  <w:style w:type="paragraph" w:customStyle="1" w:styleId="SingleSpaceHanging15">
    <w:name w:val="Single Space Hanging 1.5&quot;"/>
    <w:aliases w:val="SSH2"/>
    <w:basedOn w:val="Normal"/>
    <w:rsid w:val="001B7F77"/>
    <w:pPr>
      <w:suppressAutoHyphens/>
      <w:spacing w:after="240"/>
      <w:ind w:left="2880" w:hanging="720"/>
    </w:pPr>
  </w:style>
  <w:style w:type="paragraph" w:customStyle="1" w:styleId="SingleSpaceParagraphwParaNum">
    <w:name w:val="Single Space Paragraph w/Para Num"/>
    <w:aliases w:val="SSN"/>
    <w:basedOn w:val="Normal"/>
    <w:rsid w:val="001B7F77"/>
    <w:pPr>
      <w:numPr>
        <w:numId w:val="5"/>
      </w:numPr>
      <w:tabs>
        <w:tab w:val="clear" w:pos="1800"/>
      </w:tabs>
      <w:suppressAutoHyphens/>
      <w:spacing w:after="240"/>
    </w:pPr>
  </w:style>
  <w:style w:type="paragraph" w:customStyle="1" w:styleId="SingleSpaceParagraph">
    <w:name w:val="Single Space Paragraph"/>
    <w:aliases w:val="SS"/>
    <w:basedOn w:val="Normal"/>
    <w:rsid w:val="001B7F77"/>
    <w:pPr>
      <w:suppressAutoHyphens/>
      <w:spacing w:after="240"/>
      <w:ind w:firstLine="1440"/>
    </w:pPr>
  </w:style>
  <w:style w:type="paragraph" w:customStyle="1" w:styleId="SSBlock">
    <w:name w:val="SS_Block"/>
    <w:aliases w:val="SSB"/>
    <w:basedOn w:val="Normal"/>
    <w:next w:val="DoubleSpaceParagaph"/>
    <w:rsid w:val="001B7F77"/>
    <w:pPr>
      <w:keepLines/>
      <w:tabs>
        <w:tab w:val="left" w:pos="3168"/>
        <w:tab w:val="left" w:pos="3600"/>
      </w:tabs>
      <w:suppressAutoHyphens/>
      <w:spacing w:before="240" w:after="480"/>
      <w:jc w:val="left"/>
    </w:pPr>
    <w:rPr>
      <w:caps/>
    </w:rPr>
  </w:style>
  <w:style w:type="paragraph" w:customStyle="1" w:styleId="SubHeading">
    <w:name w:val="Sub Heading"/>
    <w:aliases w:val="SH"/>
    <w:basedOn w:val="Normal"/>
    <w:next w:val="DoubleSpaceParagaph"/>
    <w:rsid w:val="001B7F77"/>
    <w:pPr>
      <w:numPr>
        <w:ilvl w:val="3"/>
        <w:numId w:val="4"/>
      </w:numPr>
      <w:tabs>
        <w:tab w:val="right" w:pos="9360"/>
      </w:tabs>
      <w:suppressAutoHyphens/>
      <w:spacing w:after="240"/>
      <w:outlineLvl w:val="3"/>
    </w:pPr>
    <w:rPr>
      <w:rFonts w:ascii="Times New Roman Bold" w:hAnsi="Times New Roman Bold"/>
      <w:b/>
    </w:rPr>
  </w:style>
  <w:style w:type="paragraph" w:styleId="TOAHeading">
    <w:name w:val="toa heading"/>
    <w:basedOn w:val="Normal"/>
    <w:next w:val="Normal"/>
    <w:semiHidden/>
    <w:rsid w:val="001B7F77"/>
    <w:pPr>
      <w:suppressAutoHyphens/>
      <w:jc w:val="left"/>
    </w:pPr>
    <w:rPr>
      <w:b/>
    </w:rPr>
  </w:style>
  <w:style w:type="paragraph" w:styleId="TOC1">
    <w:name w:val="toc 1"/>
    <w:basedOn w:val="Normal"/>
    <w:autoRedefine/>
    <w:uiPriority w:val="1"/>
    <w:qFormat/>
    <w:rsid w:val="001B7F77"/>
    <w:pPr>
      <w:suppressAutoHyphens/>
      <w:spacing w:after="240"/>
      <w:jc w:val="left"/>
    </w:pPr>
    <w:rPr>
      <w:caps/>
    </w:rPr>
  </w:style>
  <w:style w:type="paragraph" w:styleId="TOC2">
    <w:name w:val="toc 2"/>
    <w:basedOn w:val="Normal"/>
    <w:next w:val="TOC3"/>
    <w:autoRedefine/>
    <w:uiPriority w:val="1"/>
    <w:qFormat/>
    <w:rsid w:val="001B7F77"/>
    <w:pPr>
      <w:suppressAutoHyphens/>
      <w:spacing w:after="240"/>
      <w:ind w:left="1440"/>
      <w:jc w:val="left"/>
    </w:pPr>
    <w:rPr>
      <w:caps/>
    </w:rPr>
  </w:style>
  <w:style w:type="paragraph" w:styleId="TOC3">
    <w:name w:val="toc 3"/>
    <w:basedOn w:val="Normal"/>
    <w:next w:val="TOC2"/>
    <w:autoRedefine/>
    <w:uiPriority w:val="1"/>
    <w:qFormat/>
    <w:rsid w:val="001B7F77"/>
    <w:pPr>
      <w:suppressAutoHyphens/>
      <w:spacing w:after="240"/>
      <w:ind w:left="2160" w:right="2160"/>
      <w:jc w:val="left"/>
    </w:pPr>
  </w:style>
  <w:style w:type="paragraph" w:styleId="TOC4">
    <w:name w:val="toc 4"/>
    <w:basedOn w:val="Normal"/>
    <w:autoRedefine/>
    <w:uiPriority w:val="39"/>
    <w:qFormat/>
    <w:rsid w:val="001B7F77"/>
    <w:pPr>
      <w:suppressAutoHyphens/>
      <w:spacing w:after="240"/>
      <w:ind w:left="2592" w:right="2160" w:hanging="432"/>
      <w:jc w:val="left"/>
    </w:pPr>
  </w:style>
  <w:style w:type="paragraph" w:styleId="TOC5">
    <w:name w:val="toc 5"/>
    <w:basedOn w:val="Normal"/>
    <w:next w:val="Normal"/>
    <w:autoRedefine/>
    <w:uiPriority w:val="39"/>
    <w:rsid w:val="001B7F77"/>
    <w:pPr>
      <w:suppressAutoHyphens/>
      <w:ind w:left="960"/>
      <w:jc w:val="left"/>
    </w:pPr>
  </w:style>
  <w:style w:type="paragraph" w:styleId="TOC6">
    <w:name w:val="toc 6"/>
    <w:basedOn w:val="Normal"/>
    <w:next w:val="Normal"/>
    <w:autoRedefine/>
    <w:uiPriority w:val="39"/>
    <w:rsid w:val="001B7F77"/>
    <w:pPr>
      <w:suppressAutoHyphens/>
      <w:ind w:left="1200"/>
      <w:jc w:val="left"/>
    </w:pPr>
  </w:style>
  <w:style w:type="paragraph" w:styleId="TOC7">
    <w:name w:val="toc 7"/>
    <w:basedOn w:val="Normal"/>
    <w:next w:val="Normal"/>
    <w:autoRedefine/>
    <w:uiPriority w:val="39"/>
    <w:rsid w:val="001B7F77"/>
    <w:pPr>
      <w:suppressAutoHyphens/>
      <w:ind w:left="1440"/>
      <w:jc w:val="left"/>
    </w:pPr>
  </w:style>
  <w:style w:type="paragraph" w:styleId="TOC8">
    <w:name w:val="toc 8"/>
    <w:basedOn w:val="Normal"/>
    <w:next w:val="Normal"/>
    <w:autoRedefine/>
    <w:uiPriority w:val="39"/>
    <w:rsid w:val="001B7F77"/>
    <w:pPr>
      <w:suppressAutoHyphens/>
      <w:ind w:left="1680"/>
      <w:jc w:val="left"/>
    </w:pPr>
  </w:style>
  <w:style w:type="paragraph" w:styleId="TOC9">
    <w:name w:val="toc 9"/>
    <w:basedOn w:val="Normal"/>
    <w:next w:val="Normal"/>
    <w:autoRedefine/>
    <w:uiPriority w:val="39"/>
    <w:rsid w:val="001B7F77"/>
    <w:pPr>
      <w:suppressAutoHyphens/>
      <w:ind w:left="1920"/>
      <w:jc w:val="left"/>
    </w:pPr>
  </w:style>
  <w:style w:type="paragraph" w:customStyle="1" w:styleId="EBC">
    <w:name w:val="EBC"/>
    <w:basedOn w:val="Normal"/>
    <w:link w:val="EBCChar"/>
    <w:qFormat/>
    <w:rsid w:val="001B7F77"/>
    <w:pPr>
      <w:widowControl w:val="0"/>
      <w:spacing w:before="120" w:after="120" w:line="276" w:lineRule="auto"/>
    </w:pPr>
    <w:rPr>
      <w:color w:val="000000"/>
      <w:szCs w:val="24"/>
    </w:rPr>
  </w:style>
  <w:style w:type="character" w:customStyle="1" w:styleId="EBCChar">
    <w:name w:val="EBC Char"/>
    <w:link w:val="EBC"/>
    <w:rsid w:val="001B7F77"/>
    <w:rPr>
      <w:rFonts w:ascii="Times New Roman" w:eastAsia="Times New Roman" w:hAnsi="Times New Roman" w:cs="Times New Roman"/>
      <w:color w:val="000000"/>
      <w:sz w:val="24"/>
      <w:szCs w:val="24"/>
    </w:rPr>
  </w:style>
  <w:style w:type="paragraph" w:styleId="Title">
    <w:name w:val="Title"/>
    <w:basedOn w:val="Normal"/>
    <w:next w:val="Normal"/>
    <w:link w:val="TitleChar"/>
    <w:uiPriority w:val="10"/>
    <w:qFormat/>
    <w:rsid w:val="001B7F77"/>
    <w:pPr>
      <w:spacing w:before="120" w:after="80"/>
      <w:contextualSpacing/>
      <w:jc w:val="left"/>
    </w:pPr>
    <w:rPr>
      <w:rFonts w:ascii="Calibri Light" w:eastAsia="Yu Gothic Light" w:hAnsi="Calibri Light"/>
      <w:color w:val="000000"/>
      <w:spacing w:val="-10"/>
      <w:kern w:val="28"/>
      <w:sz w:val="56"/>
      <w:szCs w:val="56"/>
    </w:rPr>
  </w:style>
  <w:style w:type="character" w:customStyle="1" w:styleId="TitleChar">
    <w:name w:val="Title Char"/>
    <w:basedOn w:val="DefaultParagraphFont"/>
    <w:link w:val="Title"/>
    <w:uiPriority w:val="10"/>
    <w:rsid w:val="001B7F77"/>
    <w:rPr>
      <w:rFonts w:ascii="Calibri Light" w:eastAsia="Yu Gothic Light" w:hAnsi="Calibri Light" w:cs="Times New Roman"/>
      <w:color w:val="000000"/>
      <w:spacing w:val="-10"/>
      <w:kern w:val="28"/>
      <w:sz w:val="56"/>
      <w:szCs w:val="56"/>
    </w:rPr>
  </w:style>
  <w:style w:type="paragraph" w:styleId="Subtitle">
    <w:name w:val="Subtitle"/>
    <w:aliases w:val="Comment committee,comments"/>
    <w:basedOn w:val="Normal"/>
    <w:next w:val="Normal"/>
    <w:link w:val="SubtitleChar"/>
    <w:uiPriority w:val="11"/>
    <w:qFormat/>
    <w:rsid w:val="001B7F77"/>
    <w:pPr>
      <w:numPr>
        <w:ilvl w:val="1"/>
      </w:numPr>
      <w:spacing w:before="120" w:after="120"/>
      <w:jc w:val="left"/>
    </w:pPr>
    <w:rPr>
      <w:rFonts w:eastAsia="Yu Gothic Light"/>
      <w:color w:val="595959"/>
      <w:spacing w:val="15"/>
      <w:sz w:val="28"/>
      <w:szCs w:val="28"/>
    </w:rPr>
  </w:style>
  <w:style w:type="character" w:customStyle="1" w:styleId="SubtitleChar">
    <w:name w:val="Subtitle Char"/>
    <w:aliases w:val="Comment committee Char,comments Char"/>
    <w:basedOn w:val="DefaultParagraphFont"/>
    <w:link w:val="Subtitle"/>
    <w:uiPriority w:val="11"/>
    <w:rsid w:val="001B7F77"/>
    <w:rPr>
      <w:rFonts w:ascii="Times New Roman" w:eastAsia="Yu Gothic Light" w:hAnsi="Times New Roman" w:cs="Times New Roman"/>
      <w:color w:val="595959"/>
      <w:spacing w:val="15"/>
      <w:sz w:val="28"/>
      <w:szCs w:val="28"/>
    </w:rPr>
  </w:style>
  <w:style w:type="paragraph" w:styleId="Quote">
    <w:name w:val="Quote"/>
    <w:basedOn w:val="Normal"/>
    <w:next w:val="Normal"/>
    <w:link w:val="QuoteChar"/>
    <w:uiPriority w:val="29"/>
    <w:qFormat/>
    <w:rsid w:val="001B7F77"/>
    <w:pPr>
      <w:spacing w:before="160" w:after="120"/>
      <w:jc w:val="center"/>
    </w:pPr>
    <w:rPr>
      <w:rFonts w:eastAsia="Calibri" w:cs="Arial"/>
      <w:i/>
      <w:iCs/>
      <w:color w:val="404040"/>
      <w:sz w:val="22"/>
      <w:szCs w:val="22"/>
    </w:rPr>
  </w:style>
  <w:style w:type="character" w:customStyle="1" w:styleId="QuoteChar">
    <w:name w:val="Quote Char"/>
    <w:basedOn w:val="DefaultParagraphFont"/>
    <w:link w:val="Quote"/>
    <w:uiPriority w:val="29"/>
    <w:rsid w:val="001B7F77"/>
    <w:rPr>
      <w:rFonts w:ascii="Times New Roman" w:eastAsia="Calibri" w:hAnsi="Times New Roman" w:cs="Arial"/>
      <w:i/>
      <w:iCs/>
      <w:color w:val="404040"/>
    </w:rPr>
  </w:style>
  <w:style w:type="character" w:styleId="IntenseEmphasis">
    <w:name w:val="Intense Emphasis"/>
    <w:uiPriority w:val="21"/>
    <w:qFormat/>
    <w:rsid w:val="001B7F77"/>
    <w:rPr>
      <w:i/>
      <w:iCs/>
      <w:color w:val="2F5496"/>
    </w:rPr>
  </w:style>
  <w:style w:type="paragraph" w:styleId="IntenseQuote">
    <w:name w:val="Intense Quote"/>
    <w:basedOn w:val="Normal"/>
    <w:next w:val="Normal"/>
    <w:link w:val="IntenseQuoteChar"/>
    <w:uiPriority w:val="30"/>
    <w:qFormat/>
    <w:rsid w:val="001B7F77"/>
    <w:pPr>
      <w:pBdr>
        <w:top w:val="single" w:sz="4" w:space="10" w:color="2F5496"/>
        <w:bottom w:val="single" w:sz="4" w:space="10" w:color="2F5496"/>
      </w:pBdr>
      <w:spacing w:before="360" w:after="360"/>
      <w:ind w:left="864" w:right="864"/>
      <w:jc w:val="center"/>
    </w:pPr>
    <w:rPr>
      <w:rFonts w:eastAsia="Calibri" w:cs="Arial"/>
      <w:i/>
      <w:iCs/>
      <w:color w:val="2F5496"/>
      <w:sz w:val="22"/>
      <w:szCs w:val="22"/>
    </w:rPr>
  </w:style>
  <w:style w:type="character" w:customStyle="1" w:styleId="IntenseQuoteChar">
    <w:name w:val="Intense Quote Char"/>
    <w:basedOn w:val="DefaultParagraphFont"/>
    <w:link w:val="IntenseQuote"/>
    <w:uiPriority w:val="30"/>
    <w:rsid w:val="001B7F77"/>
    <w:rPr>
      <w:rFonts w:ascii="Times New Roman" w:eastAsia="Calibri" w:hAnsi="Times New Roman" w:cs="Arial"/>
      <w:i/>
      <w:iCs/>
      <w:color w:val="2F5496"/>
    </w:rPr>
  </w:style>
  <w:style w:type="character" w:styleId="IntenseReference">
    <w:name w:val="Intense Reference"/>
    <w:uiPriority w:val="32"/>
    <w:qFormat/>
    <w:rsid w:val="001B7F77"/>
    <w:rPr>
      <w:b/>
      <w:bCs/>
      <w:smallCaps/>
      <w:color w:val="2F5496"/>
      <w:spacing w:val="5"/>
    </w:rPr>
  </w:style>
  <w:style w:type="paragraph" w:customStyle="1" w:styleId="BodyText1">
    <w:name w:val="Body Text1"/>
    <w:basedOn w:val="Normal"/>
    <w:next w:val="commentheader"/>
    <w:link w:val="BodytextChar0"/>
    <w:qFormat/>
    <w:rsid w:val="001B7F77"/>
    <w:pPr>
      <w:spacing w:before="120" w:after="60"/>
      <w:jc w:val="left"/>
    </w:pPr>
    <w:rPr>
      <w:rFonts w:eastAsia="Calibri" w:cs="Arial"/>
      <w:color w:val="000000"/>
      <w:sz w:val="22"/>
      <w:szCs w:val="22"/>
      <w:u w:val="single"/>
    </w:rPr>
  </w:style>
  <w:style w:type="character" w:customStyle="1" w:styleId="BodytextChar0">
    <w:name w:val="Body text Char"/>
    <w:link w:val="BodyText1"/>
    <w:rsid w:val="001B7F77"/>
    <w:rPr>
      <w:rFonts w:ascii="Times New Roman" w:eastAsia="Calibri" w:hAnsi="Times New Roman" w:cs="Arial"/>
      <w:color w:val="000000"/>
      <w:u w:val="single"/>
    </w:rPr>
  </w:style>
  <w:style w:type="paragraph" w:customStyle="1" w:styleId="commentheader">
    <w:name w:val="comment header"/>
    <w:basedOn w:val="BodyText1"/>
    <w:next w:val="Subtitle"/>
    <w:link w:val="commentheaderChar"/>
    <w:qFormat/>
    <w:rsid w:val="001B7F77"/>
    <w:pPr>
      <w:keepNext/>
      <w:spacing w:before="60" w:after="0"/>
    </w:pPr>
    <w:rPr>
      <w:rFonts w:cs="Times New Roman"/>
      <w:bCs/>
      <w:color w:val="FF0000"/>
      <w:szCs w:val="24"/>
    </w:rPr>
  </w:style>
  <w:style w:type="character" w:customStyle="1" w:styleId="commentheaderChar">
    <w:name w:val="comment header Char"/>
    <w:link w:val="commentheader"/>
    <w:rsid w:val="001B7F77"/>
    <w:rPr>
      <w:rFonts w:ascii="Times New Roman" w:eastAsia="Calibri" w:hAnsi="Times New Roman" w:cs="Times New Roman"/>
      <w:bCs/>
      <w:color w:val="FF0000"/>
      <w:szCs w:val="24"/>
      <w:u w:val="single"/>
    </w:rPr>
  </w:style>
  <w:style w:type="paragraph" w:customStyle="1" w:styleId="SecHeader1">
    <w:name w:val="SecHeader1"/>
    <w:basedOn w:val="Normal"/>
    <w:next w:val="BodyText1"/>
    <w:link w:val="SecHeader1Char"/>
    <w:uiPriority w:val="99"/>
    <w:qFormat/>
    <w:rsid w:val="001B7F77"/>
    <w:pPr>
      <w:spacing w:after="240"/>
      <w:jc w:val="center"/>
      <w:outlineLvl w:val="0"/>
    </w:pPr>
    <w:rPr>
      <w:rFonts w:eastAsia="Calibri" w:cs="Arial"/>
      <w:b/>
      <w:bCs/>
      <w:color w:val="000000"/>
      <w:sz w:val="22"/>
      <w:szCs w:val="22"/>
    </w:rPr>
  </w:style>
  <w:style w:type="character" w:customStyle="1" w:styleId="SecHeader1Char">
    <w:name w:val="SecHeader1 Char"/>
    <w:link w:val="SecHeader1"/>
    <w:uiPriority w:val="99"/>
    <w:rsid w:val="001B7F77"/>
    <w:rPr>
      <w:rFonts w:ascii="Times New Roman" w:eastAsia="Calibri" w:hAnsi="Times New Roman" w:cs="Arial"/>
      <w:b/>
      <w:bCs/>
      <w:color w:val="000000"/>
    </w:rPr>
  </w:style>
  <w:style w:type="paragraph" w:customStyle="1" w:styleId="BodyText2">
    <w:name w:val="BodyText 2"/>
    <w:basedOn w:val="BodyText1"/>
    <w:next w:val="commentheader"/>
    <w:link w:val="BodyText2Char"/>
    <w:qFormat/>
    <w:rsid w:val="001B7F77"/>
    <w:pPr>
      <w:tabs>
        <w:tab w:val="left" w:pos="360"/>
      </w:tabs>
      <w:ind w:left="360"/>
      <w:jc w:val="both"/>
    </w:pPr>
  </w:style>
  <w:style w:type="character" w:customStyle="1" w:styleId="BodyText2Char">
    <w:name w:val="BodyText 2 Char"/>
    <w:link w:val="BodyText2"/>
    <w:rsid w:val="001B7F77"/>
    <w:rPr>
      <w:rFonts w:ascii="Times New Roman" w:eastAsia="Calibri" w:hAnsi="Times New Roman" w:cs="Arial"/>
      <w:color w:val="000000"/>
      <w:u w:val="single"/>
    </w:rPr>
  </w:style>
  <w:style w:type="paragraph" w:customStyle="1" w:styleId="Exception1">
    <w:name w:val="Exception 1"/>
    <w:basedOn w:val="BodyText1"/>
    <w:next w:val="BodyText1"/>
    <w:qFormat/>
    <w:rsid w:val="001B7F77"/>
    <w:pPr>
      <w:spacing w:after="120"/>
      <w:ind w:left="360"/>
      <w:jc w:val="both"/>
    </w:pPr>
    <w:rPr>
      <w:rFonts w:cs="Times New Roman"/>
      <w:bCs/>
      <w:szCs w:val="24"/>
    </w:rPr>
  </w:style>
  <w:style w:type="paragraph" w:customStyle="1" w:styleId="Exception2">
    <w:name w:val="Exception 2"/>
    <w:basedOn w:val="Exception1"/>
    <w:next w:val="commentheader"/>
    <w:uiPriority w:val="99"/>
    <w:qFormat/>
    <w:rsid w:val="001B7F77"/>
    <w:pPr>
      <w:ind w:left="720"/>
    </w:pPr>
    <w:rPr>
      <w:szCs w:val="22"/>
    </w:rPr>
  </w:style>
  <w:style w:type="paragraph" w:customStyle="1" w:styleId="BodyText3">
    <w:name w:val="BodyText 3"/>
    <w:basedOn w:val="BodyText2"/>
    <w:next w:val="commentheader"/>
    <w:uiPriority w:val="99"/>
    <w:qFormat/>
    <w:rsid w:val="001B7F77"/>
    <w:pPr>
      <w:tabs>
        <w:tab w:val="clear" w:pos="360"/>
        <w:tab w:val="left" w:pos="720"/>
      </w:tabs>
      <w:ind w:left="720"/>
    </w:pPr>
  </w:style>
  <w:style w:type="character" w:customStyle="1" w:styleId="HeadingCapsChar">
    <w:name w:val="Heading Caps Char"/>
    <w:aliases w:val="HCC Char"/>
    <w:link w:val="HeadingCaps"/>
    <w:locked/>
    <w:rsid w:val="001B7F77"/>
    <w:rPr>
      <w:rFonts w:ascii="Times New Roman Bold" w:eastAsia="Times New Roman" w:hAnsi="Times New Roman Bold" w:cs="Times New Roman"/>
      <w:b/>
      <w:caps/>
      <w:sz w:val="24"/>
      <w:szCs w:val="20"/>
    </w:rPr>
  </w:style>
  <w:style w:type="paragraph" w:customStyle="1" w:styleId="ICCSECTIONl2L5">
    <w:name w:val="ICCSECTION_l2_L5"/>
    <w:uiPriority w:val="99"/>
    <w:rsid w:val="001B7F77"/>
    <w:pPr>
      <w:widowControl w:val="0"/>
      <w:autoSpaceDE w:val="0"/>
      <w:autoSpaceDN w:val="0"/>
      <w:adjustRightInd w:val="0"/>
      <w:spacing w:after="0" w:line="240" w:lineRule="auto"/>
    </w:pPr>
    <w:rPr>
      <w:rFonts w:ascii="Arial" w:eastAsia="Times New Roman" w:hAnsi="Arial" w:cs="Arial"/>
    </w:rPr>
  </w:style>
  <w:style w:type="paragraph" w:customStyle="1" w:styleId="ICCBULLETL6">
    <w:name w:val="ICCBULLET_L6"/>
    <w:uiPriority w:val="99"/>
    <w:rsid w:val="001B7F77"/>
    <w:pPr>
      <w:widowControl w:val="0"/>
      <w:tabs>
        <w:tab w:val="left" w:pos="720"/>
      </w:tabs>
      <w:autoSpaceDE w:val="0"/>
      <w:autoSpaceDN w:val="0"/>
      <w:adjustRightInd w:val="0"/>
      <w:spacing w:after="0" w:line="240" w:lineRule="auto"/>
      <w:ind w:left="720" w:hanging="360"/>
    </w:pPr>
    <w:rPr>
      <w:rFonts w:ascii="Arial" w:eastAsia="Times New Roman" w:hAnsi="Arial" w:cs="Arial"/>
    </w:rPr>
  </w:style>
  <w:style w:type="numbering" w:customStyle="1" w:styleId="NoList11">
    <w:name w:val="No List11"/>
    <w:next w:val="NoList"/>
    <w:uiPriority w:val="99"/>
    <w:semiHidden/>
    <w:unhideWhenUsed/>
    <w:rsid w:val="001B7F77"/>
  </w:style>
  <w:style w:type="table" w:styleId="TableGrid">
    <w:name w:val="Table Grid"/>
    <w:basedOn w:val="TableNormal"/>
    <w:uiPriority w:val="59"/>
    <w:rsid w:val="001B7F77"/>
    <w:pPr>
      <w:spacing w:before="120" w:after="0" w:line="240" w:lineRule="auto"/>
    </w:pPr>
    <w:rPr>
      <w:rFonts w:ascii="Times New Roman" w:eastAsia="Calibri" w:hAnsi="Times New Roman" w:cs="Arial"/>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autoRedefine/>
    <w:uiPriority w:val="39"/>
    <w:unhideWhenUsed/>
    <w:qFormat/>
    <w:rsid w:val="001B7F77"/>
    <w:pPr>
      <w:keepLines/>
      <w:suppressAutoHyphens w:val="0"/>
      <w:spacing w:before="240" w:after="0"/>
      <w:jc w:val="both"/>
      <w:outlineLvl w:val="9"/>
    </w:pPr>
    <w:rPr>
      <w:rFonts w:ascii="Calibri Light" w:eastAsia="Yu Gothic Light" w:hAnsi="Calibri Light"/>
      <w:b/>
      <w:caps/>
      <w:sz w:val="22"/>
      <w:szCs w:val="32"/>
    </w:rPr>
  </w:style>
  <w:style w:type="character" w:styleId="SubtleReference">
    <w:name w:val="Subtle Reference"/>
    <w:uiPriority w:val="31"/>
    <w:unhideWhenUsed/>
    <w:qFormat/>
    <w:rsid w:val="001B7F77"/>
    <w:rPr>
      <w:smallCaps/>
      <w:color w:val="5A5A5A"/>
    </w:rPr>
  </w:style>
  <w:style w:type="character" w:styleId="BookTitle">
    <w:name w:val="Book Title"/>
    <w:uiPriority w:val="33"/>
    <w:unhideWhenUsed/>
    <w:qFormat/>
    <w:rsid w:val="001B7F77"/>
    <w:rPr>
      <w:b/>
      <w:bCs/>
      <w:i/>
      <w:iCs/>
      <w:spacing w:val="5"/>
    </w:rPr>
  </w:style>
  <w:style w:type="paragraph" w:customStyle="1" w:styleId="header2">
    <w:name w:val="header 2"/>
    <w:basedOn w:val="Normal"/>
    <w:next w:val="BodyText1"/>
    <w:link w:val="header2Char"/>
    <w:autoRedefine/>
    <w:uiPriority w:val="4"/>
    <w:unhideWhenUsed/>
    <w:qFormat/>
    <w:rsid w:val="001B7F77"/>
    <w:pPr>
      <w:spacing w:before="120" w:after="120"/>
      <w:outlineLvl w:val="1"/>
    </w:pPr>
    <w:rPr>
      <w:rFonts w:eastAsia="Calibri" w:cs="Arial"/>
      <w:b/>
      <w:bCs/>
      <w:color w:val="000000"/>
      <w:sz w:val="22"/>
      <w:szCs w:val="22"/>
    </w:rPr>
  </w:style>
  <w:style w:type="paragraph" w:customStyle="1" w:styleId="header3">
    <w:name w:val="header 3"/>
    <w:basedOn w:val="BodyText2"/>
    <w:link w:val="header3Char"/>
    <w:autoRedefine/>
    <w:uiPriority w:val="3"/>
    <w:unhideWhenUsed/>
    <w:rsid w:val="001B7F77"/>
    <w:rPr>
      <w:color w:val="auto"/>
    </w:rPr>
  </w:style>
  <w:style w:type="character" w:customStyle="1" w:styleId="header2Char">
    <w:name w:val="header 2 Char"/>
    <w:link w:val="header2"/>
    <w:uiPriority w:val="4"/>
    <w:rsid w:val="001B7F77"/>
    <w:rPr>
      <w:rFonts w:ascii="Times New Roman" w:eastAsia="Calibri" w:hAnsi="Times New Roman" w:cs="Arial"/>
      <w:b/>
      <w:bCs/>
      <w:color w:val="000000"/>
    </w:rPr>
  </w:style>
  <w:style w:type="character" w:customStyle="1" w:styleId="header3Char">
    <w:name w:val="header 3 Char"/>
    <w:link w:val="header3"/>
    <w:uiPriority w:val="3"/>
    <w:rsid w:val="001B7F77"/>
    <w:rPr>
      <w:rFonts w:ascii="Times New Roman" w:eastAsia="Calibri" w:hAnsi="Times New Roman" w:cs="Arial"/>
      <w:u w:val="single"/>
    </w:rPr>
  </w:style>
  <w:style w:type="paragraph" w:customStyle="1" w:styleId="ChapTitle">
    <w:name w:val="Chap Title"/>
    <w:basedOn w:val="SecHeader1"/>
    <w:next w:val="SecHeader1"/>
    <w:link w:val="ChapTitleChar"/>
    <w:qFormat/>
    <w:rsid w:val="001B7F77"/>
    <w:pPr>
      <w:keepNext/>
      <w:pageBreakBefore/>
      <w:spacing w:before="120" w:after="120"/>
    </w:pPr>
    <w:rPr>
      <w:caps/>
      <w:sz w:val="24"/>
      <w:szCs w:val="24"/>
      <w:u w:val="single"/>
    </w:rPr>
  </w:style>
  <w:style w:type="character" w:customStyle="1" w:styleId="ChapTitleChar">
    <w:name w:val="Chap Title Char"/>
    <w:link w:val="ChapTitle"/>
    <w:rsid w:val="001B7F77"/>
    <w:rPr>
      <w:rFonts w:ascii="Times New Roman" w:eastAsia="Calibri" w:hAnsi="Times New Roman" w:cs="Arial"/>
      <w:b/>
      <w:bCs/>
      <w:caps/>
      <w:color w:val="000000"/>
      <w:sz w:val="24"/>
      <w:szCs w:val="24"/>
      <w:u w:val="single"/>
    </w:rPr>
  </w:style>
  <w:style w:type="paragraph" w:customStyle="1" w:styleId="listlevel3">
    <w:name w:val="list level 3"/>
    <w:basedOn w:val="Normal"/>
    <w:next w:val="Normal"/>
    <w:link w:val="listlevel3Char"/>
    <w:autoRedefine/>
    <w:qFormat/>
    <w:rsid w:val="001B7F77"/>
    <w:pPr>
      <w:spacing w:before="120" w:after="120"/>
      <w:ind w:left="1080" w:hanging="360"/>
      <w:outlineLvl w:val="1"/>
    </w:pPr>
    <w:rPr>
      <w:rFonts w:ascii="Calibri" w:eastAsia="Calibri" w:hAnsi="Calibri" w:cs="Arial"/>
      <w:b/>
      <w:bCs/>
      <w:sz w:val="22"/>
      <w:szCs w:val="22"/>
    </w:rPr>
  </w:style>
  <w:style w:type="character" w:customStyle="1" w:styleId="listlevel3Char">
    <w:name w:val="list level 3 Char"/>
    <w:link w:val="listlevel3"/>
    <w:rsid w:val="001B7F77"/>
    <w:rPr>
      <w:rFonts w:ascii="Calibri" w:eastAsia="Calibri" w:hAnsi="Calibri" w:cs="Arial"/>
      <w:b/>
      <w:bCs/>
    </w:rPr>
  </w:style>
  <w:style w:type="paragraph" w:customStyle="1" w:styleId="list22">
    <w:name w:val="list2.2"/>
    <w:basedOn w:val="Normal"/>
    <w:next w:val="Normal"/>
    <w:autoRedefine/>
    <w:uiPriority w:val="99"/>
    <w:qFormat/>
    <w:rsid w:val="001B7F77"/>
    <w:pPr>
      <w:widowControl w:val="0"/>
      <w:pBdr>
        <w:top w:val="nil"/>
        <w:left w:val="nil"/>
        <w:bottom w:val="nil"/>
        <w:right w:val="nil"/>
        <w:between w:val="nil"/>
      </w:pBdr>
      <w:tabs>
        <w:tab w:val="left" w:pos="630"/>
      </w:tabs>
      <w:autoSpaceDE w:val="0"/>
      <w:autoSpaceDN w:val="0"/>
      <w:adjustRightInd w:val="0"/>
      <w:spacing w:before="60" w:after="120"/>
      <w:ind w:left="1260" w:hanging="540"/>
    </w:pPr>
    <w:rPr>
      <w:rFonts w:ascii="Calibri" w:eastAsia="Arial" w:hAnsi="Calibri"/>
      <w:sz w:val="22"/>
      <w:szCs w:val="24"/>
    </w:rPr>
  </w:style>
  <w:style w:type="paragraph" w:customStyle="1" w:styleId="list3">
    <w:name w:val="list3"/>
    <w:basedOn w:val="Normal"/>
    <w:next w:val="Normal"/>
    <w:autoRedefine/>
    <w:uiPriority w:val="99"/>
    <w:unhideWhenUsed/>
    <w:qFormat/>
    <w:rsid w:val="001B7F77"/>
    <w:pPr>
      <w:widowControl w:val="0"/>
      <w:pBdr>
        <w:top w:val="nil"/>
        <w:left w:val="nil"/>
        <w:bottom w:val="nil"/>
        <w:right w:val="nil"/>
        <w:between w:val="nil"/>
      </w:pBdr>
      <w:tabs>
        <w:tab w:val="left" w:pos="720"/>
      </w:tabs>
      <w:autoSpaceDE w:val="0"/>
      <w:autoSpaceDN w:val="0"/>
      <w:adjustRightInd w:val="0"/>
      <w:spacing w:before="120" w:after="120"/>
      <w:ind w:left="1440" w:hanging="360"/>
    </w:pPr>
    <w:rPr>
      <w:rFonts w:eastAsia="Arial"/>
      <w:sz w:val="22"/>
      <w:szCs w:val="24"/>
    </w:rPr>
  </w:style>
  <w:style w:type="paragraph" w:customStyle="1" w:styleId="List3orException2">
    <w:name w:val="List 3 or Exception 2"/>
    <w:basedOn w:val="List2orException1"/>
    <w:next w:val="commentheader"/>
    <w:qFormat/>
    <w:rsid w:val="001B7F77"/>
    <w:pPr>
      <w:tabs>
        <w:tab w:val="clear" w:pos="1080"/>
        <w:tab w:val="left" w:pos="1440"/>
      </w:tabs>
      <w:ind w:left="1440"/>
    </w:pPr>
    <w:rPr>
      <w:bCs/>
    </w:rPr>
  </w:style>
  <w:style w:type="paragraph" w:customStyle="1" w:styleId="Tablenote">
    <w:name w:val="Table note"/>
    <w:basedOn w:val="Normal"/>
    <w:uiPriority w:val="99"/>
    <w:qFormat/>
    <w:rsid w:val="001B7F77"/>
    <w:pPr>
      <w:widowControl w:val="0"/>
      <w:pBdr>
        <w:top w:val="nil"/>
        <w:left w:val="nil"/>
        <w:bottom w:val="nil"/>
        <w:right w:val="nil"/>
        <w:between w:val="nil"/>
      </w:pBdr>
      <w:tabs>
        <w:tab w:val="left" w:pos="1080"/>
      </w:tabs>
      <w:autoSpaceDE w:val="0"/>
      <w:autoSpaceDN w:val="0"/>
      <w:adjustRightInd w:val="0"/>
      <w:spacing w:before="120" w:after="120"/>
      <w:ind w:left="1080" w:hanging="360"/>
    </w:pPr>
    <w:rPr>
      <w:rFonts w:eastAsia="Arial"/>
      <w:sz w:val="18"/>
      <w:szCs w:val="24"/>
    </w:rPr>
  </w:style>
  <w:style w:type="paragraph" w:customStyle="1" w:styleId="List4orException3">
    <w:name w:val="List 4 or Exception 3"/>
    <w:basedOn w:val="List3orException2"/>
    <w:qFormat/>
    <w:rsid w:val="001B7F77"/>
    <w:pPr>
      <w:tabs>
        <w:tab w:val="clear" w:pos="1440"/>
        <w:tab w:val="left" w:pos="1800"/>
      </w:tabs>
      <w:ind w:left="1800"/>
    </w:pPr>
    <w:rPr>
      <w:b/>
    </w:rPr>
  </w:style>
  <w:style w:type="paragraph" w:customStyle="1" w:styleId="itemsinexception">
    <w:name w:val="itemsinexception"/>
    <w:basedOn w:val="List3orException2"/>
    <w:rsid w:val="001B7F77"/>
  </w:style>
  <w:style w:type="paragraph" w:customStyle="1" w:styleId="List2orException1">
    <w:name w:val="List 2 or Exception 1"/>
    <w:basedOn w:val="Normal"/>
    <w:next w:val="Normal"/>
    <w:autoRedefine/>
    <w:unhideWhenUsed/>
    <w:qFormat/>
    <w:rsid w:val="001B7F77"/>
    <w:pPr>
      <w:widowControl w:val="0"/>
      <w:pBdr>
        <w:top w:val="nil"/>
        <w:left w:val="nil"/>
        <w:bottom w:val="nil"/>
        <w:right w:val="nil"/>
        <w:between w:val="nil"/>
      </w:pBdr>
      <w:tabs>
        <w:tab w:val="left" w:pos="1080"/>
      </w:tabs>
      <w:autoSpaceDE w:val="0"/>
      <w:autoSpaceDN w:val="0"/>
      <w:adjustRightInd w:val="0"/>
      <w:spacing w:before="120" w:after="120"/>
      <w:ind w:left="1080" w:hanging="360"/>
    </w:pPr>
    <w:rPr>
      <w:rFonts w:eastAsia="Arial"/>
      <w:sz w:val="22"/>
      <w:szCs w:val="24"/>
    </w:rPr>
  </w:style>
  <w:style w:type="paragraph" w:customStyle="1" w:styleId="listitems3">
    <w:name w:val="list items 3"/>
    <w:basedOn w:val="BodyText2"/>
    <w:uiPriority w:val="99"/>
    <w:rsid w:val="001B7F77"/>
    <w:pPr>
      <w:tabs>
        <w:tab w:val="left" w:pos="1440"/>
      </w:tabs>
      <w:ind w:left="1080"/>
    </w:pPr>
    <w:rPr>
      <w:color w:val="auto"/>
    </w:rPr>
  </w:style>
  <w:style w:type="paragraph" w:customStyle="1" w:styleId="ComHeader">
    <w:name w:val="Com Header"/>
    <w:basedOn w:val="BodyText1"/>
    <w:next w:val="BodyText1"/>
    <w:link w:val="ComHeaderChar"/>
    <w:qFormat/>
    <w:rsid w:val="001B7F77"/>
    <w:pPr>
      <w:keepNext/>
      <w:spacing w:before="0" w:after="0"/>
      <w:jc w:val="both"/>
    </w:pPr>
    <w:rPr>
      <w:rFonts w:cs="Calibri"/>
      <w:bCs/>
      <w:color w:val="C00000"/>
      <w:sz w:val="20"/>
      <w:szCs w:val="20"/>
    </w:rPr>
  </w:style>
  <w:style w:type="character" w:customStyle="1" w:styleId="ComHeaderChar">
    <w:name w:val="Com Header Char"/>
    <w:link w:val="ComHeader"/>
    <w:rsid w:val="001B7F77"/>
    <w:rPr>
      <w:rFonts w:ascii="Times New Roman" w:eastAsia="Calibri" w:hAnsi="Times New Roman" w:cs="Calibri"/>
      <w:bCs/>
      <w:color w:val="C00000"/>
      <w:sz w:val="20"/>
      <w:szCs w:val="20"/>
      <w:u w:val="single"/>
    </w:rPr>
  </w:style>
  <w:style w:type="paragraph" w:customStyle="1" w:styleId="list2">
    <w:name w:val="list2"/>
    <w:basedOn w:val="Normal"/>
    <w:link w:val="list2Char"/>
    <w:autoRedefine/>
    <w:qFormat/>
    <w:rsid w:val="001B7F77"/>
    <w:pPr>
      <w:widowControl w:val="0"/>
      <w:pBdr>
        <w:top w:val="nil"/>
        <w:left w:val="nil"/>
        <w:bottom w:val="nil"/>
        <w:right w:val="nil"/>
        <w:between w:val="nil"/>
      </w:pBdr>
      <w:tabs>
        <w:tab w:val="left" w:pos="720"/>
      </w:tabs>
      <w:autoSpaceDE w:val="0"/>
      <w:autoSpaceDN w:val="0"/>
      <w:adjustRightInd w:val="0"/>
      <w:spacing w:before="120" w:after="120"/>
      <w:ind w:left="1080" w:hanging="360"/>
    </w:pPr>
    <w:rPr>
      <w:rFonts w:eastAsia="Arial"/>
      <w:sz w:val="22"/>
      <w:szCs w:val="24"/>
    </w:rPr>
  </w:style>
  <w:style w:type="paragraph" w:customStyle="1" w:styleId="exception10">
    <w:name w:val="exception1"/>
    <w:basedOn w:val="BodyText2"/>
    <w:next w:val="BodyText2"/>
    <w:qFormat/>
    <w:rsid w:val="001B7F77"/>
    <w:pPr>
      <w:tabs>
        <w:tab w:val="clear" w:pos="360"/>
      </w:tabs>
      <w:spacing w:after="120"/>
    </w:pPr>
    <w:rPr>
      <w:rFonts w:cs="Times New Roman"/>
      <w:bCs/>
      <w:color w:val="222222"/>
      <w:szCs w:val="24"/>
    </w:rPr>
  </w:style>
  <w:style w:type="character" w:customStyle="1" w:styleId="list2Char">
    <w:name w:val="list2 Char"/>
    <w:link w:val="list2"/>
    <w:rsid w:val="001B7F77"/>
    <w:rPr>
      <w:rFonts w:ascii="Times New Roman" w:eastAsia="Arial" w:hAnsi="Times New Roman" w:cs="Times New Roman"/>
      <w:szCs w:val="24"/>
    </w:rPr>
  </w:style>
  <w:style w:type="paragraph" w:customStyle="1" w:styleId="exception20">
    <w:name w:val="exception2"/>
    <w:basedOn w:val="BodyText2"/>
    <w:next w:val="BodyText2"/>
    <w:qFormat/>
    <w:rsid w:val="001B7F77"/>
    <w:pPr>
      <w:tabs>
        <w:tab w:val="clear" w:pos="360"/>
        <w:tab w:val="left" w:pos="720"/>
      </w:tabs>
      <w:spacing w:after="120"/>
      <w:ind w:left="720"/>
    </w:pPr>
    <w:rPr>
      <w:rFonts w:cs="Times New Roman"/>
      <w:iCs/>
      <w:color w:val="222222"/>
      <w:szCs w:val="24"/>
    </w:rPr>
  </w:style>
  <w:style w:type="paragraph" w:customStyle="1" w:styleId="list1">
    <w:name w:val="list1"/>
    <w:basedOn w:val="list2"/>
    <w:next w:val="BodyText1"/>
    <w:autoRedefine/>
    <w:qFormat/>
    <w:rsid w:val="001B7F77"/>
    <w:pPr>
      <w:spacing w:before="130" w:after="130" w:line="226" w:lineRule="auto"/>
      <w:ind w:left="720"/>
    </w:pPr>
  </w:style>
  <w:style w:type="paragraph" w:customStyle="1" w:styleId="Style1">
    <w:name w:val="Style1"/>
    <w:basedOn w:val="Normal"/>
    <w:autoRedefine/>
    <w:qFormat/>
    <w:rsid w:val="001B7F77"/>
    <w:pPr>
      <w:spacing w:before="120" w:after="120"/>
    </w:pPr>
    <w:rPr>
      <w:rFonts w:eastAsia="Calibri" w:cs="Arial"/>
      <w:bCs/>
      <w:sz w:val="22"/>
      <w:szCs w:val="22"/>
    </w:rPr>
  </w:style>
  <w:style w:type="paragraph" w:customStyle="1" w:styleId="Tableheading">
    <w:name w:val="Table heading"/>
    <w:basedOn w:val="SecHeader1"/>
    <w:link w:val="TableheadingChar"/>
    <w:qFormat/>
    <w:rsid w:val="001B7F77"/>
    <w:pPr>
      <w:keepNext/>
      <w:tabs>
        <w:tab w:val="left" w:pos="8640"/>
      </w:tabs>
      <w:spacing w:before="120" w:after="120"/>
      <w:ind w:right="720"/>
      <w:outlineLvl w:val="9"/>
    </w:pPr>
    <w:rPr>
      <w:caps/>
      <w:u w:val="single"/>
    </w:rPr>
  </w:style>
  <w:style w:type="paragraph" w:customStyle="1" w:styleId="normaltext">
    <w:name w:val="normal text"/>
    <w:basedOn w:val="Normal"/>
    <w:link w:val="normaltextChar"/>
    <w:autoRedefine/>
    <w:qFormat/>
    <w:rsid w:val="001B7F77"/>
    <w:pPr>
      <w:widowControl w:val="0"/>
      <w:spacing w:before="60" w:after="60"/>
    </w:pPr>
    <w:rPr>
      <w:rFonts w:eastAsia="Calibri" w:cs="Arial"/>
      <w:sz w:val="22"/>
      <w:szCs w:val="22"/>
    </w:rPr>
  </w:style>
  <w:style w:type="character" w:customStyle="1" w:styleId="TableheadingChar">
    <w:name w:val="Table heading Char"/>
    <w:link w:val="Tableheading"/>
    <w:rsid w:val="001B7F77"/>
    <w:rPr>
      <w:rFonts w:ascii="Times New Roman" w:eastAsia="Calibri" w:hAnsi="Times New Roman" w:cs="Arial"/>
      <w:b/>
      <w:bCs/>
      <w:caps/>
      <w:color w:val="000000"/>
      <w:u w:val="single"/>
    </w:rPr>
  </w:style>
  <w:style w:type="character" w:customStyle="1" w:styleId="normaltextChar">
    <w:name w:val="normal text Char"/>
    <w:link w:val="normaltext"/>
    <w:rsid w:val="001B7F77"/>
    <w:rPr>
      <w:rFonts w:ascii="Times New Roman" w:eastAsia="Calibri" w:hAnsi="Times New Roman" w:cs="Arial"/>
    </w:rPr>
  </w:style>
  <w:style w:type="paragraph" w:customStyle="1" w:styleId="StyleList3orException2Left05Firstline0">
    <w:name w:val="Style List 3 or Exception 2 + Left:  0.5&quot; First line:  0&quot;"/>
    <w:basedOn w:val="List3orException2"/>
    <w:rsid w:val="001B7F77"/>
    <w:pPr>
      <w:ind w:left="720" w:firstLine="0"/>
    </w:pPr>
    <w:rPr>
      <w:rFonts w:eastAsia="Times New Roman"/>
      <w:szCs w:val="20"/>
    </w:rPr>
  </w:style>
  <w:style w:type="paragraph" w:customStyle="1" w:styleId="lv1011">
    <w:name w:val="lv101.1"/>
    <w:qFormat/>
    <w:rsid w:val="001B7F77"/>
    <w:pPr>
      <w:tabs>
        <w:tab w:val="left" w:pos="1080"/>
      </w:tabs>
      <w:spacing w:before="120" w:after="120"/>
      <w:ind w:left="720"/>
      <w:jc w:val="both"/>
    </w:pPr>
    <w:rPr>
      <w:rFonts w:ascii="Times New Roman" w:eastAsia="Calibri" w:hAnsi="Times New Roman" w:cs="Times New Roman"/>
      <w:bCs/>
    </w:rPr>
  </w:style>
  <w:style w:type="character" w:customStyle="1" w:styleId="boldletters">
    <w:name w:val="bold letters"/>
    <w:qFormat/>
    <w:rsid w:val="001B7F77"/>
    <w:rPr>
      <w:rFonts w:ascii="Times New Roman" w:hAnsi="Times New Roman"/>
      <w:b/>
      <w:color w:val="auto"/>
      <w:sz w:val="22"/>
    </w:rPr>
  </w:style>
  <w:style w:type="character" w:customStyle="1" w:styleId="Regularcharacter">
    <w:name w:val="Regular character"/>
    <w:qFormat/>
    <w:rsid w:val="001B7F77"/>
    <w:rPr>
      <w:rFonts w:ascii="Times New Roman" w:hAnsi="Times New Roman"/>
      <w:sz w:val="22"/>
    </w:rPr>
  </w:style>
  <w:style w:type="paragraph" w:customStyle="1" w:styleId="locallawaddition">
    <w:name w:val="local law addition"/>
    <w:basedOn w:val="BodyText2"/>
    <w:autoRedefine/>
    <w:uiPriority w:val="99"/>
    <w:qFormat/>
    <w:rsid w:val="001B7F77"/>
    <w:pPr>
      <w:widowControl w:val="0"/>
      <w:tabs>
        <w:tab w:val="clear" w:pos="360"/>
      </w:tabs>
      <w:spacing w:after="120"/>
    </w:pPr>
    <w:rPr>
      <w:rFonts w:cs="Times New Roman"/>
      <w:bCs/>
      <w:color w:val="222222"/>
      <w:szCs w:val="24"/>
    </w:rPr>
  </w:style>
  <w:style w:type="paragraph" w:customStyle="1" w:styleId="ComfromCommittee">
    <w:name w:val="Com from Committee"/>
    <w:basedOn w:val="Normal"/>
    <w:next w:val="BodyText"/>
    <w:qFormat/>
    <w:rsid w:val="001B7F77"/>
    <w:pPr>
      <w:widowControl w:val="0"/>
      <w:autoSpaceDE w:val="0"/>
      <w:autoSpaceDN w:val="0"/>
      <w:adjustRightInd w:val="0"/>
      <w:spacing w:after="120"/>
      <w:contextualSpacing/>
    </w:pPr>
    <w:rPr>
      <w:rFonts w:ascii="Calibri" w:hAnsi="Calibri"/>
      <w:color w:val="C00000"/>
      <w:sz w:val="20"/>
      <w:szCs w:val="22"/>
      <w:u w:val="single"/>
    </w:rPr>
  </w:style>
  <w:style w:type="character" w:customStyle="1" w:styleId="highlight">
    <w:name w:val="highlight"/>
    <w:basedOn w:val="DefaultParagraphFont"/>
    <w:rsid w:val="001B7F77"/>
  </w:style>
  <w:style w:type="paragraph" w:styleId="HTMLPreformatted">
    <w:name w:val="HTML Preformatted"/>
    <w:basedOn w:val="Normal"/>
    <w:link w:val="HTMLPreformattedChar"/>
    <w:uiPriority w:val="99"/>
    <w:unhideWhenUsed/>
    <w:rsid w:val="001B7F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rPr>
  </w:style>
  <w:style w:type="character" w:customStyle="1" w:styleId="HTMLPreformattedChar">
    <w:name w:val="HTML Preformatted Char"/>
    <w:basedOn w:val="DefaultParagraphFont"/>
    <w:link w:val="HTMLPreformatted"/>
    <w:uiPriority w:val="99"/>
    <w:rsid w:val="001B7F77"/>
    <w:rPr>
      <w:rFonts w:ascii="Courier New" w:eastAsia="Times New Roman" w:hAnsi="Courier New" w:cs="Courier New"/>
      <w:sz w:val="20"/>
      <w:szCs w:val="20"/>
    </w:rPr>
  </w:style>
  <w:style w:type="character" w:customStyle="1" w:styleId="Mention1">
    <w:name w:val="Mention1"/>
    <w:uiPriority w:val="99"/>
    <w:unhideWhenUsed/>
    <w:rsid w:val="001B7F77"/>
    <w:rPr>
      <w:color w:val="2B579A"/>
      <w:shd w:val="clear" w:color="auto" w:fill="E1DFDD"/>
    </w:rPr>
  </w:style>
  <w:style w:type="paragraph" w:customStyle="1" w:styleId="pf0">
    <w:name w:val="pf0"/>
    <w:basedOn w:val="Normal"/>
    <w:rsid w:val="001B7F77"/>
    <w:pPr>
      <w:spacing w:before="100" w:beforeAutospacing="1" w:after="100" w:afterAutospacing="1"/>
      <w:jc w:val="left"/>
    </w:pPr>
    <w:rPr>
      <w:szCs w:val="24"/>
    </w:rPr>
  </w:style>
  <w:style w:type="character" w:customStyle="1" w:styleId="cf01">
    <w:name w:val="cf01"/>
    <w:rsid w:val="001B7F77"/>
    <w:rPr>
      <w:rFonts w:ascii="Segoe UI" w:hAnsi="Segoe UI" w:cs="Segoe UI" w:hint="default"/>
      <w:sz w:val="18"/>
      <w:szCs w:val="18"/>
      <w:u w:val="single"/>
      <w:shd w:val="clear" w:color="auto" w:fill="FFFF00"/>
    </w:rPr>
  </w:style>
  <w:style w:type="character" w:customStyle="1" w:styleId="cf11">
    <w:name w:val="cf11"/>
    <w:rsid w:val="001B7F77"/>
    <w:rPr>
      <w:rFonts w:ascii="Segoe UI" w:hAnsi="Segoe UI" w:cs="Segoe UI" w:hint="default"/>
      <w:sz w:val="18"/>
      <w:szCs w:val="18"/>
      <w:u w:val="single"/>
      <w:shd w:val="clear" w:color="auto" w:fill="00FFFF"/>
    </w:rPr>
  </w:style>
  <w:style w:type="character" w:customStyle="1" w:styleId="cf21">
    <w:name w:val="cf21"/>
    <w:rsid w:val="001B7F77"/>
    <w:rPr>
      <w:rFonts w:ascii="Segoe UI" w:hAnsi="Segoe UI" w:cs="Segoe UI" w:hint="default"/>
      <w:sz w:val="18"/>
      <w:szCs w:val="18"/>
      <w:u w:val="single"/>
    </w:rPr>
  </w:style>
  <w:style w:type="character" w:customStyle="1" w:styleId="UnresolvedMention1">
    <w:name w:val="Unresolved Mention1"/>
    <w:uiPriority w:val="99"/>
    <w:unhideWhenUsed/>
    <w:rsid w:val="001B7F77"/>
    <w:rPr>
      <w:color w:val="605E5C"/>
      <w:shd w:val="clear" w:color="auto" w:fill="E1DFDD"/>
    </w:rPr>
  </w:style>
  <w:style w:type="character" w:customStyle="1" w:styleId="cf41">
    <w:name w:val="cf41"/>
    <w:rsid w:val="001B7F77"/>
    <w:rPr>
      <w:rFonts w:ascii="Segoe UI" w:hAnsi="Segoe UI" w:cs="Segoe UI" w:hint="default"/>
      <w:sz w:val="18"/>
      <w:szCs w:val="18"/>
      <w:u w:val="single"/>
      <w:shd w:val="clear" w:color="auto" w:fill="00FFFF"/>
    </w:rPr>
  </w:style>
  <w:style w:type="character" w:customStyle="1" w:styleId="BoldCharacters">
    <w:name w:val="Bold  Characters"/>
    <w:uiPriority w:val="1"/>
    <w:qFormat/>
    <w:rsid w:val="001B7F77"/>
    <w:rPr>
      <w:b/>
      <w:bCs w:val="0"/>
    </w:rPr>
  </w:style>
  <w:style w:type="paragraph" w:customStyle="1" w:styleId="List10">
    <w:name w:val="List 1"/>
    <w:basedOn w:val="List2orException1"/>
    <w:next w:val="Normal"/>
    <w:autoRedefine/>
    <w:qFormat/>
    <w:rsid w:val="001B7F77"/>
    <w:pPr>
      <w:pBdr>
        <w:top w:val="none" w:sz="0" w:space="0" w:color="auto"/>
        <w:left w:val="none" w:sz="0" w:space="0" w:color="auto"/>
        <w:bottom w:val="none" w:sz="0" w:space="0" w:color="auto"/>
        <w:right w:val="none" w:sz="0" w:space="0" w:color="auto"/>
        <w:between w:val="none" w:sz="0" w:space="0" w:color="auto"/>
      </w:pBdr>
      <w:tabs>
        <w:tab w:val="clear" w:pos="1080"/>
      </w:tabs>
      <w:ind w:left="360" w:firstLine="0"/>
    </w:pPr>
    <w:rPr>
      <w:b/>
      <w:bCs/>
      <w:color w:val="000000"/>
    </w:rPr>
  </w:style>
  <w:style w:type="character" w:customStyle="1" w:styleId="msoins0">
    <w:name w:val="msoins"/>
    <w:basedOn w:val="DefaultParagraphFont"/>
    <w:rsid w:val="001B7F77"/>
  </w:style>
  <w:style w:type="paragraph" w:customStyle="1" w:styleId="msonormal0">
    <w:name w:val="msonormal"/>
    <w:basedOn w:val="Normal"/>
    <w:rsid w:val="001B7F77"/>
    <w:pPr>
      <w:spacing w:before="100" w:beforeAutospacing="1" w:after="100" w:afterAutospacing="1"/>
      <w:jc w:val="left"/>
    </w:pPr>
    <w:rPr>
      <w:szCs w:val="24"/>
    </w:rPr>
  </w:style>
  <w:style w:type="character" w:customStyle="1" w:styleId="SubtitleChar1">
    <w:name w:val="Subtitle Char1"/>
    <w:aliases w:val="Comment committee Char1"/>
    <w:uiPriority w:val="1"/>
    <w:rsid w:val="001B7F77"/>
    <w:rPr>
      <w:rFonts w:eastAsia="Yu Mincho"/>
      <w:color w:val="5A5A5A"/>
      <w:spacing w:val="15"/>
      <w:kern w:val="0"/>
    </w:rPr>
  </w:style>
  <w:style w:type="paragraph" w:customStyle="1" w:styleId="body0">
    <w:name w:val="body"/>
    <w:uiPriority w:val="99"/>
    <w:rsid w:val="001B7F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before="80" w:after="0" w:line="200" w:lineRule="atLeast"/>
      <w:jc w:val="both"/>
    </w:pPr>
    <w:rPr>
      <w:rFonts w:ascii="Times" w:eastAsia="Yu Mincho" w:hAnsi="Times" w:cs="Times"/>
      <w:color w:val="000000"/>
      <w:w w:val="1"/>
      <w:sz w:val="20"/>
      <w:szCs w:val="20"/>
    </w:rPr>
  </w:style>
  <w:style w:type="paragraph" w:customStyle="1" w:styleId="chaptername">
    <w:name w:val="chapter_name"/>
    <w:uiPriority w:val="99"/>
    <w:rsid w:val="001B7F77"/>
    <w:pPr>
      <w:autoSpaceDE w:val="0"/>
      <w:autoSpaceDN w:val="0"/>
      <w:adjustRightInd w:val="0"/>
      <w:spacing w:before="180" w:after="480" w:line="300" w:lineRule="atLeast"/>
      <w:jc w:val="center"/>
    </w:pPr>
    <w:rPr>
      <w:rFonts w:ascii="Helvetica" w:eastAsia="Yu Mincho" w:hAnsi="Helvetica" w:cs="Times New Roman"/>
      <w:b/>
      <w:bCs/>
      <w:color w:val="000000"/>
      <w:w w:val="1"/>
      <w:sz w:val="32"/>
      <w:szCs w:val="32"/>
    </w:rPr>
  </w:style>
  <w:style w:type="paragraph" w:customStyle="1" w:styleId="text2">
    <w:name w:val="text_2"/>
    <w:uiPriority w:val="99"/>
    <w:rsid w:val="001B7F77"/>
    <w:pPr>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before="80" w:after="0" w:line="200" w:lineRule="atLeast"/>
      <w:ind w:left="480"/>
      <w:jc w:val="both"/>
    </w:pPr>
    <w:rPr>
      <w:rFonts w:ascii="Times" w:eastAsia="Yu Mincho" w:hAnsi="Times" w:cs="Times"/>
      <w:color w:val="000000"/>
      <w:w w:val="1"/>
      <w:sz w:val="20"/>
      <w:szCs w:val="20"/>
    </w:rPr>
  </w:style>
  <w:style w:type="paragraph" w:customStyle="1" w:styleId="2zl">
    <w:name w:val="2zl"/>
    <w:uiPriority w:val="99"/>
    <w:rsid w:val="001B7F77"/>
    <w:pPr>
      <w:tabs>
        <w:tab w:val="left" w:pos="720"/>
        <w:tab w:val="left" w:pos="980"/>
      </w:tabs>
      <w:autoSpaceDE w:val="0"/>
      <w:autoSpaceDN w:val="0"/>
      <w:adjustRightInd w:val="0"/>
      <w:spacing w:before="60" w:after="80" w:line="200" w:lineRule="atLeast"/>
      <w:ind w:left="720" w:hanging="260"/>
      <w:jc w:val="both"/>
    </w:pPr>
    <w:rPr>
      <w:rFonts w:ascii="Times" w:eastAsia="Yu Mincho" w:hAnsi="Times" w:cs="Times"/>
      <w:color w:val="000000"/>
      <w:w w:val="1"/>
      <w:sz w:val="20"/>
      <w:szCs w:val="20"/>
    </w:rPr>
  </w:style>
  <w:style w:type="paragraph" w:customStyle="1" w:styleId="1zl">
    <w:name w:val="1zl"/>
    <w:uiPriority w:val="99"/>
    <w:rsid w:val="001B7F77"/>
    <w:pPr>
      <w:tabs>
        <w:tab w:val="left" w:pos="460"/>
      </w:tabs>
      <w:autoSpaceDE w:val="0"/>
      <w:autoSpaceDN w:val="0"/>
      <w:adjustRightInd w:val="0"/>
      <w:spacing w:before="80" w:after="0" w:line="200" w:lineRule="atLeast"/>
      <w:ind w:left="460" w:hanging="220"/>
      <w:jc w:val="both"/>
    </w:pPr>
    <w:rPr>
      <w:rFonts w:ascii="Times" w:eastAsia="Yu Mincho" w:hAnsi="Times" w:cs="Times"/>
      <w:color w:val="000000"/>
      <w:w w:val="1"/>
      <w:sz w:val="20"/>
      <w:szCs w:val="20"/>
    </w:rPr>
  </w:style>
  <w:style w:type="paragraph" w:customStyle="1" w:styleId="sectionhead">
    <w:name w:val="sectionhead"/>
    <w:uiPriority w:val="99"/>
    <w:rsid w:val="001B7F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autoSpaceDE w:val="0"/>
      <w:autoSpaceDN w:val="0"/>
      <w:adjustRightInd w:val="0"/>
      <w:spacing w:before="420" w:after="60" w:line="220" w:lineRule="atLeast"/>
      <w:jc w:val="center"/>
    </w:pPr>
    <w:rPr>
      <w:rFonts w:ascii="Helvetica" w:eastAsia="Yu Mincho" w:hAnsi="Helvetica" w:cs="Times New Roman"/>
      <w:b/>
      <w:bCs/>
      <w:color w:val="000000"/>
      <w:w w:val="1"/>
      <w:sz w:val="20"/>
      <w:szCs w:val="20"/>
    </w:rPr>
  </w:style>
  <w:style w:type="paragraph" w:customStyle="1" w:styleId="text1">
    <w:name w:val="text_1"/>
    <w:uiPriority w:val="99"/>
    <w:rsid w:val="001B7F77"/>
    <w:pPr>
      <w:tabs>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before="60" w:after="80" w:line="200" w:lineRule="atLeast"/>
      <w:ind w:left="240"/>
      <w:jc w:val="both"/>
    </w:pPr>
    <w:rPr>
      <w:rFonts w:ascii="Times" w:eastAsia="Yu Mincho" w:hAnsi="Times" w:cs="Times"/>
      <w:color w:val="000000"/>
      <w:w w:val="1"/>
      <w:sz w:val="20"/>
      <w:szCs w:val="20"/>
    </w:rPr>
  </w:style>
  <w:style w:type="paragraph" w:customStyle="1" w:styleId="chapternumber">
    <w:name w:val="chapter_number"/>
    <w:uiPriority w:val="99"/>
    <w:rsid w:val="001B7F77"/>
    <w:pPr>
      <w:autoSpaceDE w:val="0"/>
      <w:autoSpaceDN w:val="0"/>
      <w:adjustRightInd w:val="0"/>
      <w:spacing w:after="0" w:line="280" w:lineRule="atLeast"/>
      <w:jc w:val="center"/>
    </w:pPr>
    <w:rPr>
      <w:rFonts w:ascii="Helvetica" w:eastAsia="Yu Mincho" w:hAnsi="Helvetica" w:cs="Times New Roman"/>
      <w:b/>
      <w:bCs/>
      <w:color w:val="000000"/>
      <w:w w:val="1"/>
      <w:sz w:val="24"/>
      <w:szCs w:val="24"/>
    </w:rPr>
  </w:style>
  <w:style w:type="paragraph" w:customStyle="1" w:styleId="3zl">
    <w:name w:val="3zl"/>
    <w:uiPriority w:val="99"/>
    <w:rsid w:val="001B7F77"/>
    <w:pPr>
      <w:tabs>
        <w:tab w:val="left" w:pos="960"/>
        <w:tab w:val="left" w:pos="1340"/>
      </w:tabs>
      <w:autoSpaceDE w:val="0"/>
      <w:autoSpaceDN w:val="0"/>
      <w:adjustRightInd w:val="0"/>
      <w:spacing w:before="80" w:after="0" w:line="200" w:lineRule="atLeast"/>
      <w:ind w:left="960" w:hanging="240"/>
      <w:jc w:val="both"/>
    </w:pPr>
    <w:rPr>
      <w:rFonts w:ascii="Times" w:eastAsia="Yu Mincho" w:hAnsi="Times" w:cs="Times"/>
      <w:color w:val="000000"/>
      <w:w w:val="1"/>
      <w:sz w:val="20"/>
      <w:szCs w:val="20"/>
    </w:rPr>
  </w:style>
  <w:style w:type="paragraph" w:customStyle="1" w:styleId="506zl">
    <w:name w:val="506_zl"/>
    <w:uiPriority w:val="99"/>
    <w:rsid w:val="001B7F77"/>
    <w:pPr>
      <w:tabs>
        <w:tab w:val="left" w:pos="1540"/>
      </w:tabs>
      <w:autoSpaceDE w:val="0"/>
      <w:autoSpaceDN w:val="0"/>
      <w:adjustRightInd w:val="0"/>
      <w:spacing w:before="80" w:after="0" w:line="200" w:lineRule="atLeast"/>
      <w:ind w:left="1540" w:hanging="360"/>
      <w:jc w:val="both"/>
    </w:pPr>
    <w:rPr>
      <w:rFonts w:ascii="Times" w:eastAsia="Yu Mincho" w:hAnsi="Times" w:cs="Times"/>
      <w:color w:val="000000"/>
      <w:w w:val="1"/>
      <w:sz w:val="20"/>
      <w:szCs w:val="20"/>
    </w:rPr>
  </w:style>
  <w:style w:type="paragraph" w:customStyle="1" w:styleId="bodyindent">
    <w:name w:val="body_indent"/>
    <w:uiPriority w:val="99"/>
    <w:rsid w:val="001B7F77"/>
    <w:pPr>
      <w:autoSpaceDE w:val="0"/>
      <w:autoSpaceDN w:val="0"/>
      <w:adjustRightInd w:val="0"/>
      <w:spacing w:before="60" w:after="80" w:line="200" w:lineRule="atLeast"/>
      <w:ind w:firstLine="240"/>
      <w:jc w:val="both"/>
    </w:pPr>
    <w:rPr>
      <w:rFonts w:ascii="Times" w:eastAsia="Yu Mincho" w:hAnsi="Times" w:cs="Times"/>
      <w:color w:val="000000"/>
      <w:w w:val="1"/>
      <w:sz w:val="20"/>
      <w:szCs w:val="20"/>
    </w:rPr>
  </w:style>
  <w:style w:type="paragraph" w:customStyle="1" w:styleId="4zl">
    <w:name w:val="4zl"/>
    <w:uiPriority w:val="99"/>
    <w:rsid w:val="001B7F77"/>
    <w:pPr>
      <w:tabs>
        <w:tab w:val="left" w:pos="1180"/>
      </w:tabs>
      <w:autoSpaceDE w:val="0"/>
      <w:autoSpaceDN w:val="0"/>
      <w:adjustRightInd w:val="0"/>
      <w:spacing w:before="80" w:after="0" w:line="200" w:lineRule="atLeast"/>
      <w:ind w:left="1180" w:hanging="220"/>
      <w:jc w:val="both"/>
    </w:pPr>
    <w:rPr>
      <w:rFonts w:ascii="Times" w:eastAsia="Yu Mincho" w:hAnsi="Times" w:cs="Times"/>
      <w:color w:val="000000"/>
      <w:w w:val="1"/>
      <w:sz w:val="20"/>
      <w:szCs w:val="20"/>
    </w:rPr>
  </w:style>
  <w:style w:type="paragraph" w:customStyle="1" w:styleId="text3">
    <w:name w:val="text_3"/>
    <w:uiPriority w:val="99"/>
    <w:rsid w:val="001B7F77"/>
    <w:pPr>
      <w:tabs>
        <w:tab w:val="left" w:pos="720"/>
      </w:tabs>
      <w:autoSpaceDE w:val="0"/>
      <w:autoSpaceDN w:val="0"/>
      <w:adjustRightInd w:val="0"/>
      <w:spacing w:before="80" w:after="0" w:line="200" w:lineRule="atLeast"/>
      <w:ind w:left="720"/>
      <w:jc w:val="both"/>
    </w:pPr>
    <w:rPr>
      <w:rFonts w:ascii="Times" w:eastAsia="Yu Mincho" w:hAnsi="Times" w:cs="Times"/>
      <w:color w:val="000000"/>
      <w:w w:val="1"/>
      <w:sz w:val="20"/>
      <w:szCs w:val="20"/>
    </w:rPr>
  </w:style>
  <w:style w:type="paragraph" w:customStyle="1" w:styleId="text4">
    <w:name w:val="text_4"/>
    <w:uiPriority w:val="99"/>
    <w:rsid w:val="001B7F77"/>
    <w:pPr>
      <w:tabs>
        <w:tab w:val="left" w:pos="960"/>
      </w:tabs>
      <w:autoSpaceDE w:val="0"/>
      <w:autoSpaceDN w:val="0"/>
      <w:adjustRightInd w:val="0"/>
      <w:spacing w:before="80" w:after="0" w:line="200" w:lineRule="atLeast"/>
      <w:ind w:left="960"/>
      <w:jc w:val="both"/>
    </w:pPr>
    <w:rPr>
      <w:rFonts w:ascii="Times" w:eastAsia="Yu Mincho" w:hAnsi="Times" w:cs="Times"/>
      <w:color w:val="FF0000"/>
      <w:w w:val="1"/>
      <w:sz w:val="20"/>
      <w:szCs w:val="20"/>
    </w:rPr>
  </w:style>
  <w:style w:type="paragraph" w:customStyle="1" w:styleId="606zlb">
    <w:name w:val="606zl_b"/>
    <w:uiPriority w:val="99"/>
    <w:rsid w:val="001B7F77"/>
    <w:pPr>
      <w:tabs>
        <w:tab w:val="left" w:pos="2280"/>
      </w:tabs>
      <w:suppressAutoHyphens/>
      <w:autoSpaceDE w:val="0"/>
      <w:autoSpaceDN w:val="0"/>
      <w:adjustRightInd w:val="0"/>
      <w:spacing w:before="60" w:after="180" w:line="200" w:lineRule="atLeast"/>
      <w:ind w:left="2300" w:hanging="560"/>
      <w:jc w:val="both"/>
    </w:pPr>
    <w:rPr>
      <w:rFonts w:ascii="Times" w:eastAsia="Yu Mincho" w:hAnsi="Times" w:cs="Times"/>
      <w:color w:val="000000"/>
      <w:w w:val="1"/>
      <w:sz w:val="20"/>
      <w:szCs w:val="20"/>
    </w:rPr>
  </w:style>
  <w:style w:type="paragraph" w:customStyle="1" w:styleId="306zl">
    <w:name w:val="306zl"/>
    <w:uiPriority w:val="99"/>
    <w:rsid w:val="001B7F77"/>
    <w:pPr>
      <w:tabs>
        <w:tab w:val="left" w:pos="1080"/>
      </w:tabs>
      <w:autoSpaceDE w:val="0"/>
      <w:autoSpaceDN w:val="0"/>
      <w:adjustRightInd w:val="0"/>
      <w:spacing w:before="80" w:after="0" w:line="200" w:lineRule="atLeast"/>
      <w:ind w:left="1080" w:hanging="360"/>
      <w:jc w:val="both"/>
    </w:pPr>
    <w:rPr>
      <w:rFonts w:ascii="Times" w:eastAsia="Yu Mincho" w:hAnsi="Times" w:cs="Times"/>
      <w:color w:val="000000"/>
      <w:w w:val="1"/>
      <w:sz w:val="20"/>
      <w:szCs w:val="20"/>
    </w:rPr>
  </w:style>
  <w:style w:type="paragraph" w:customStyle="1" w:styleId="606zl">
    <w:name w:val="606zl"/>
    <w:uiPriority w:val="99"/>
    <w:rsid w:val="001B7F77"/>
    <w:pPr>
      <w:tabs>
        <w:tab w:val="left" w:pos="1800"/>
      </w:tabs>
      <w:suppressAutoHyphens/>
      <w:autoSpaceDE w:val="0"/>
      <w:autoSpaceDN w:val="0"/>
      <w:adjustRightInd w:val="0"/>
      <w:spacing w:before="60" w:after="180" w:line="200" w:lineRule="atLeast"/>
      <w:ind w:left="1800" w:hanging="360"/>
      <w:jc w:val="both"/>
    </w:pPr>
    <w:rPr>
      <w:rFonts w:ascii="Times" w:eastAsia="Yu Mincho" w:hAnsi="Times" w:cs="Times"/>
      <w:color w:val="000000"/>
      <w:w w:val="1"/>
      <w:sz w:val="20"/>
      <w:szCs w:val="20"/>
    </w:rPr>
  </w:style>
  <w:style w:type="paragraph" w:customStyle="1" w:styleId="text6">
    <w:name w:val="text_6"/>
    <w:uiPriority w:val="99"/>
    <w:rsid w:val="001B7F77"/>
    <w:pPr>
      <w:tabs>
        <w:tab w:val="left" w:pos="1440"/>
      </w:tabs>
      <w:autoSpaceDE w:val="0"/>
      <w:autoSpaceDN w:val="0"/>
      <w:adjustRightInd w:val="0"/>
      <w:spacing w:before="80" w:after="0" w:line="200" w:lineRule="atLeast"/>
      <w:ind w:left="1440"/>
      <w:jc w:val="both"/>
    </w:pPr>
    <w:rPr>
      <w:rFonts w:ascii="Times" w:eastAsia="Yu Mincho" w:hAnsi="Times" w:cs="Times"/>
      <w:color w:val="000000"/>
      <w:w w:val="1"/>
      <w:sz w:val="20"/>
      <w:szCs w:val="20"/>
    </w:rPr>
  </w:style>
  <w:style w:type="paragraph" w:customStyle="1" w:styleId="TOCBodyText">
    <w:name w:val="TOC_Body Text"/>
    <w:uiPriority w:val="99"/>
    <w:rsid w:val="001B7F77"/>
    <w:pPr>
      <w:widowControl w:val="0"/>
      <w:tabs>
        <w:tab w:val="left" w:pos="720"/>
        <w:tab w:val="right" w:leader="dot" w:pos="4880"/>
      </w:tabs>
      <w:suppressAutoHyphens/>
      <w:autoSpaceDE w:val="0"/>
      <w:autoSpaceDN w:val="0"/>
      <w:adjustRightInd w:val="0"/>
      <w:spacing w:before="60" w:after="0" w:line="240" w:lineRule="atLeast"/>
    </w:pPr>
    <w:rPr>
      <w:rFonts w:ascii="Times" w:eastAsia="Yu Mincho" w:hAnsi="Times" w:cs="Times"/>
      <w:color w:val="000000"/>
      <w:w w:val="1"/>
      <w:sz w:val="20"/>
      <w:szCs w:val="20"/>
    </w:rPr>
  </w:style>
  <w:style w:type="paragraph" w:customStyle="1" w:styleId="TOCBodyTextHead">
    <w:name w:val="TOC_BodyText Head"/>
    <w:uiPriority w:val="99"/>
    <w:rsid w:val="001B7F77"/>
    <w:pPr>
      <w:widowControl w:val="0"/>
      <w:tabs>
        <w:tab w:val="left" w:pos="1360"/>
        <w:tab w:val="right" w:leader="dot" w:pos="4880"/>
      </w:tabs>
      <w:suppressAutoHyphens/>
      <w:autoSpaceDE w:val="0"/>
      <w:autoSpaceDN w:val="0"/>
      <w:adjustRightInd w:val="0"/>
      <w:spacing w:before="300" w:after="0" w:line="240" w:lineRule="atLeast"/>
    </w:pPr>
    <w:rPr>
      <w:rFonts w:ascii="Times" w:eastAsia="Yu Mincho" w:hAnsi="Times" w:cs="Times"/>
      <w:b/>
      <w:bCs/>
      <w:color w:val="000000"/>
      <w:w w:val="1"/>
      <w:sz w:val="20"/>
      <w:szCs w:val="20"/>
    </w:rPr>
  </w:style>
  <w:style w:type="paragraph" w:customStyle="1" w:styleId="sectiontitle">
    <w:name w:val="section title"/>
    <w:uiPriority w:val="99"/>
    <w:rsid w:val="001B7F77"/>
    <w:pPr>
      <w:widowControl w:val="0"/>
      <w:tabs>
        <w:tab w:val="left" w:pos="720"/>
        <w:tab w:val="right" w:leader="dot" w:pos="4880"/>
      </w:tabs>
      <w:suppressAutoHyphens/>
      <w:autoSpaceDE w:val="0"/>
      <w:autoSpaceDN w:val="0"/>
      <w:adjustRightInd w:val="0"/>
      <w:spacing w:before="60" w:after="0" w:line="240" w:lineRule="atLeast"/>
    </w:pPr>
    <w:rPr>
      <w:rFonts w:ascii="Times" w:eastAsia="Yu Mincho" w:hAnsi="Times" w:cs="Times"/>
      <w:color w:val="000000"/>
      <w:w w:val="1"/>
      <w:sz w:val="20"/>
      <w:szCs w:val="20"/>
    </w:rPr>
  </w:style>
  <w:style w:type="paragraph" w:customStyle="1" w:styleId="tablecolumnhdr">
    <w:name w:val="table_column hdr"/>
    <w:uiPriority w:val="99"/>
    <w:rsid w:val="001B7F77"/>
    <w:pPr>
      <w:suppressAutoHyphens/>
      <w:autoSpaceDE w:val="0"/>
      <w:autoSpaceDN w:val="0"/>
      <w:adjustRightInd w:val="0"/>
      <w:spacing w:before="20" w:after="20" w:line="160" w:lineRule="atLeast"/>
      <w:jc w:val="center"/>
    </w:pPr>
    <w:rPr>
      <w:rFonts w:ascii="Helvetica" w:eastAsia="Yu Mincho" w:hAnsi="Helvetica" w:cs="Times New Roman"/>
      <w:b/>
      <w:bCs/>
      <w:color w:val="FF0000"/>
      <w:w w:val="1"/>
      <w:sz w:val="14"/>
      <w:szCs w:val="14"/>
    </w:rPr>
  </w:style>
  <w:style w:type="paragraph" w:customStyle="1" w:styleId="tabletextcenter">
    <w:name w:val="table_text_center"/>
    <w:uiPriority w:val="99"/>
    <w:rsid w:val="001B7F77"/>
    <w:pPr>
      <w:autoSpaceDE w:val="0"/>
      <w:autoSpaceDN w:val="0"/>
      <w:adjustRightInd w:val="0"/>
      <w:spacing w:before="20" w:after="20" w:line="220" w:lineRule="atLeast"/>
      <w:jc w:val="center"/>
    </w:pPr>
    <w:rPr>
      <w:rFonts w:ascii="Times" w:eastAsia="Yu Mincho" w:hAnsi="Times" w:cs="Times"/>
      <w:color w:val="000000"/>
      <w:w w:val="1"/>
      <w:sz w:val="18"/>
      <w:szCs w:val="18"/>
    </w:rPr>
  </w:style>
  <w:style w:type="paragraph" w:customStyle="1" w:styleId="tabletitle">
    <w:name w:val="tabletitle"/>
    <w:uiPriority w:val="99"/>
    <w:rsid w:val="001B7F77"/>
    <w:pPr>
      <w:suppressAutoHyphens/>
      <w:autoSpaceDE w:val="0"/>
      <w:autoSpaceDN w:val="0"/>
      <w:adjustRightInd w:val="0"/>
      <w:spacing w:before="100" w:after="60" w:line="180" w:lineRule="atLeast"/>
      <w:jc w:val="center"/>
    </w:pPr>
    <w:rPr>
      <w:rFonts w:ascii="Helvetica" w:eastAsia="Yu Mincho" w:hAnsi="Helvetica" w:cs="Times New Roman"/>
      <w:b/>
      <w:bCs/>
      <w:color w:val="000000"/>
      <w:w w:val="1"/>
      <w:sz w:val="16"/>
      <w:szCs w:val="16"/>
    </w:rPr>
  </w:style>
  <w:style w:type="paragraph" w:customStyle="1" w:styleId="tabletextleft">
    <w:name w:val="table_text_left"/>
    <w:uiPriority w:val="99"/>
    <w:rsid w:val="001B7F77"/>
    <w:pPr>
      <w:autoSpaceDE w:val="0"/>
      <w:autoSpaceDN w:val="0"/>
      <w:adjustRightInd w:val="0"/>
      <w:spacing w:before="20" w:after="20" w:line="220" w:lineRule="atLeast"/>
      <w:jc w:val="both"/>
    </w:pPr>
    <w:rPr>
      <w:rFonts w:ascii="Times" w:eastAsia="Yu Mincho" w:hAnsi="Times" w:cs="Times"/>
      <w:color w:val="000000"/>
      <w:w w:val="1"/>
      <w:sz w:val="18"/>
      <w:szCs w:val="18"/>
    </w:rPr>
  </w:style>
  <w:style w:type="paragraph" w:customStyle="1" w:styleId="tablenotessi">
    <w:name w:val="tablenotes_si"/>
    <w:uiPriority w:val="99"/>
    <w:rsid w:val="001B7F77"/>
    <w:pPr>
      <w:suppressAutoHyphens/>
      <w:autoSpaceDE w:val="0"/>
      <w:autoSpaceDN w:val="0"/>
      <w:adjustRightInd w:val="0"/>
      <w:spacing w:after="0" w:line="240" w:lineRule="auto"/>
    </w:pPr>
    <w:rPr>
      <w:rFonts w:ascii="Arial" w:eastAsia="Yu Mincho" w:hAnsi="Arial" w:cs="Arial"/>
      <w:color w:val="000000"/>
      <w:w w:val="1"/>
    </w:rPr>
  </w:style>
  <w:style w:type="paragraph" w:customStyle="1" w:styleId="Default">
    <w:name w:val="Default"/>
    <w:rsid w:val="001B7F77"/>
    <w:pPr>
      <w:autoSpaceDE w:val="0"/>
      <w:autoSpaceDN w:val="0"/>
      <w:adjustRightInd w:val="0"/>
      <w:spacing w:after="0" w:line="240" w:lineRule="auto"/>
    </w:pPr>
    <w:rPr>
      <w:rFonts w:ascii="Arial" w:eastAsia="Calibri" w:hAnsi="Arial" w:cs="Arial"/>
      <w:color w:val="000000"/>
      <w:sz w:val="24"/>
      <w:szCs w:val="24"/>
    </w:rPr>
  </w:style>
  <w:style w:type="paragraph" w:customStyle="1" w:styleId="xmsonormal">
    <w:name w:val="x_msonormal"/>
    <w:basedOn w:val="Normal"/>
    <w:uiPriority w:val="99"/>
    <w:rsid w:val="001B7F77"/>
    <w:pPr>
      <w:jc w:val="left"/>
    </w:pPr>
    <w:rPr>
      <w:rFonts w:ascii="Calibri" w:eastAsia="Calibri" w:hAnsi="Calibri" w:cs="Calibri"/>
      <w:sz w:val="22"/>
      <w:szCs w:val="22"/>
    </w:rPr>
  </w:style>
  <w:style w:type="paragraph" w:customStyle="1" w:styleId="TOC11">
    <w:name w:val="TOC 11"/>
    <w:basedOn w:val="Normal"/>
    <w:next w:val="Normal"/>
    <w:autoRedefine/>
    <w:uiPriority w:val="39"/>
    <w:rsid w:val="001B7F77"/>
    <w:pPr>
      <w:spacing w:before="120" w:after="120"/>
      <w:jc w:val="left"/>
    </w:pPr>
    <w:rPr>
      <w:rFonts w:ascii="Calibri" w:eastAsia="Calibri" w:hAnsi="Calibri" w:cs="Calibri"/>
      <w:bCs/>
      <w:color w:val="000000"/>
      <w:sz w:val="20"/>
    </w:rPr>
  </w:style>
  <w:style w:type="paragraph" w:customStyle="1" w:styleId="TOC21">
    <w:name w:val="TOC 21"/>
    <w:basedOn w:val="Normal"/>
    <w:next w:val="Normal"/>
    <w:autoRedefine/>
    <w:uiPriority w:val="39"/>
    <w:rsid w:val="001B7F77"/>
    <w:pPr>
      <w:tabs>
        <w:tab w:val="right" w:leader="dot" w:pos="9350"/>
      </w:tabs>
      <w:ind w:left="216"/>
      <w:jc w:val="left"/>
    </w:pPr>
    <w:rPr>
      <w:rFonts w:ascii="Calibri" w:eastAsia="Calibri" w:hAnsi="Calibri" w:cs="Calibri"/>
      <w:b/>
      <w:caps/>
      <w:smallCaps/>
      <w:color w:val="000000"/>
      <w:sz w:val="20"/>
    </w:rPr>
  </w:style>
  <w:style w:type="paragraph" w:customStyle="1" w:styleId="TOC31">
    <w:name w:val="TOC 31"/>
    <w:basedOn w:val="Normal"/>
    <w:next w:val="Normal"/>
    <w:autoRedefine/>
    <w:uiPriority w:val="39"/>
    <w:rsid w:val="001B7F77"/>
    <w:pPr>
      <w:ind w:left="440"/>
      <w:jc w:val="left"/>
    </w:pPr>
    <w:rPr>
      <w:rFonts w:ascii="Calibri" w:eastAsia="Calibri" w:hAnsi="Calibri" w:cs="Calibri"/>
      <w:b/>
      <w:i/>
      <w:iCs/>
      <w:caps/>
      <w:color w:val="000000"/>
      <w:sz w:val="20"/>
    </w:rPr>
  </w:style>
  <w:style w:type="paragraph" w:customStyle="1" w:styleId="TOC41">
    <w:name w:val="TOC 41"/>
    <w:basedOn w:val="Normal"/>
    <w:next w:val="Normal"/>
    <w:autoRedefine/>
    <w:uiPriority w:val="39"/>
    <w:rsid w:val="001B7F77"/>
    <w:pPr>
      <w:ind w:left="660"/>
      <w:jc w:val="left"/>
    </w:pPr>
    <w:rPr>
      <w:rFonts w:ascii="Calibri" w:eastAsia="Calibri" w:hAnsi="Calibri" w:cs="Calibri"/>
      <w:b/>
      <w:caps/>
      <w:color w:val="000000"/>
      <w:sz w:val="18"/>
      <w:szCs w:val="18"/>
    </w:rPr>
  </w:style>
  <w:style w:type="paragraph" w:customStyle="1" w:styleId="TOC51">
    <w:name w:val="TOC 51"/>
    <w:basedOn w:val="Normal"/>
    <w:next w:val="Normal"/>
    <w:autoRedefine/>
    <w:uiPriority w:val="39"/>
    <w:rsid w:val="001B7F77"/>
    <w:pPr>
      <w:ind w:left="880"/>
      <w:jc w:val="left"/>
    </w:pPr>
    <w:rPr>
      <w:rFonts w:ascii="Calibri" w:eastAsia="Calibri" w:hAnsi="Calibri" w:cs="Calibri"/>
      <w:b/>
      <w:caps/>
      <w:color w:val="000000"/>
      <w:sz w:val="18"/>
      <w:szCs w:val="18"/>
    </w:rPr>
  </w:style>
  <w:style w:type="paragraph" w:customStyle="1" w:styleId="TOC61">
    <w:name w:val="TOC 61"/>
    <w:basedOn w:val="Normal"/>
    <w:next w:val="Normal"/>
    <w:autoRedefine/>
    <w:uiPriority w:val="39"/>
    <w:rsid w:val="001B7F77"/>
    <w:pPr>
      <w:ind w:left="1100"/>
      <w:jc w:val="left"/>
    </w:pPr>
    <w:rPr>
      <w:rFonts w:ascii="Calibri" w:eastAsia="Calibri" w:hAnsi="Calibri" w:cs="Calibri"/>
      <w:b/>
      <w:caps/>
      <w:color w:val="000000"/>
      <w:sz w:val="18"/>
      <w:szCs w:val="18"/>
    </w:rPr>
  </w:style>
  <w:style w:type="paragraph" w:customStyle="1" w:styleId="TOC71">
    <w:name w:val="TOC 71"/>
    <w:basedOn w:val="Normal"/>
    <w:next w:val="Normal"/>
    <w:autoRedefine/>
    <w:uiPriority w:val="39"/>
    <w:rsid w:val="001B7F77"/>
    <w:pPr>
      <w:ind w:left="1320"/>
      <w:jc w:val="left"/>
    </w:pPr>
    <w:rPr>
      <w:rFonts w:ascii="Calibri" w:eastAsia="Calibri" w:hAnsi="Calibri" w:cs="Calibri"/>
      <w:b/>
      <w:caps/>
      <w:color w:val="000000"/>
      <w:sz w:val="18"/>
      <w:szCs w:val="18"/>
    </w:rPr>
  </w:style>
  <w:style w:type="paragraph" w:customStyle="1" w:styleId="TOC81">
    <w:name w:val="TOC 81"/>
    <w:basedOn w:val="Normal"/>
    <w:next w:val="Normal"/>
    <w:autoRedefine/>
    <w:uiPriority w:val="39"/>
    <w:rsid w:val="001B7F77"/>
    <w:pPr>
      <w:ind w:left="1540"/>
      <w:jc w:val="left"/>
    </w:pPr>
    <w:rPr>
      <w:rFonts w:ascii="Calibri" w:eastAsia="Calibri" w:hAnsi="Calibri" w:cs="Calibri"/>
      <w:b/>
      <w:caps/>
      <w:color w:val="000000"/>
      <w:sz w:val="18"/>
      <w:szCs w:val="18"/>
    </w:rPr>
  </w:style>
  <w:style w:type="paragraph" w:customStyle="1" w:styleId="TOC91">
    <w:name w:val="TOC 91"/>
    <w:basedOn w:val="Normal"/>
    <w:next w:val="Normal"/>
    <w:autoRedefine/>
    <w:uiPriority w:val="39"/>
    <w:rsid w:val="001B7F77"/>
    <w:pPr>
      <w:ind w:left="1760"/>
      <w:jc w:val="left"/>
    </w:pPr>
    <w:rPr>
      <w:rFonts w:ascii="Calibri" w:eastAsia="Calibri" w:hAnsi="Calibri" w:cs="Calibri"/>
      <w:b/>
      <w:caps/>
      <w:color w:val="000000"/>
      <w:sz w:val="18"/>
      <w:szCs w:val="18"/>
    </w:rPr>
  </w:style>
  <w:style w:type="paragraph" w:customStyle="1" w:styleId="xxxxmsonormal">
    <w:name w:val="x_x_x_x_msonormal"/>
    <w:basedOn w:val="Normal"/>
    <w:uiPriority w:val="99"/>
    <w:rsid w:val="001B7F77"/>
    <w:pPr>
      <w:jc w:val="left"/>
    </w:pPr>
    <w:rPr>
      <w:rFonts w:ascii="Calibri" w:eastAsia="Calibri" w:hAnsi="Calibri" w:cs="Calibri"/>
      <w:sz w:val="22"/>
      <w:szCs w:val="22"/>
    </w:rPr>
  </w:style>
  <w:style w:type="paragraph" w:customStyle="1" w:styleId="xxmsonormal">
    <w:name w:val="x_x_msonormal"/>
    <w:basedOn w:val="Normal"/>
    <w:uiPriority w:val="99"/>
    <w:rsid w:val="001B7F77"/>
    <w:pPr>
      <w:jc w:val="left"/>
    </w:pPr>
    <w:rPr>
      <w:rFonts w:ascii="Calibri" w:eastAsia="Calibri" w:hAnsi="Calibri" w:cs="Calibri"/>
      <w:sz w:val="22"/>
      <w:szCs w:val="22"/>
    </w:rPr>
  </w:style>
  <w:style w:type="character" w:customStyle="1" w:styleId="Superscript0">
    <w:name w:val="Superscript"/>
    <w:uiPriority w:val="99"/>
    <w:rsid w:val="001B7F77"/>
    <w:rPr>
      <w:vertAlign w:val="superscript"/>
    </w:rPr>
  </w:style>
  <w:style w:type="character" w:customStyle="1" w:styleId="RedText">
    <w:name w:val="RedText"/>
    <w:uiPriority w:val="99"/>
    <w:rsid w:val="001B7F77"/>
    <w:rPr>
      <w:strike w:val="0"/>
      <w:dstrike w:val="0"/>
      <w:color w:val="FF0000"/>
      <w:u w:val="none"/>
      <w:effect w:val="none"/>
      <w:vertAlign w:val="baseline"/>
    </w:rPr>
  </w:style>
  <w:style w:type="character" w:customStyle="1" w:styleId="Black">
    <w:name w:val="Black"/>
    <w:uiPriority w:val="99"/>
    <w:rsid w:val="001B7F77"/>
    <w:rPr>
      <w:strike w:val="0"/>
      <w:dstrike w:val="0"/>
      <w:color w:val="000000"/>
      <w:w w:val="100"/>
      <w:u w:val="none"/>
      <w:effect w:val="none"/>
      <w:vertAlign w:val="baseline"/>
      <w:lang w:val="en-US"/>
    </w:rPr>
  </w:style>
  <w:style w:type="character" w:customStyle="1" w:styleId="Subscript">
    <w:name w:val="Subscript"/>
    <w:uiPriority w:val="99"/>
    <w:rsid w:val="001B7F77"/>
    <w:rPr>
      <w:vertAlign w:val="subscript"/>
    </w:rPr>
  </w:style>
  <w:style w:type="character" w:customStyle="1" w:styleId="Blue">
    <w:name w:val="Blue"/>
    <w:uiPriority w:val="99"/>
    <w:rsid w:val="001B7F77"/>
    <w:rPr>
      <w:color w:val="0000FF"/>
    </w:rPr>
  </w:style>
  <w:style w:type="character" w:customStyle="1" w:styleId="Hyperlink1">
    <w:name w:val="Hyperlink1"/>
    <w:uiPriority w:val="99"/>
    <w:rsid w:val="001B7F77"/>
    <w:rPr>
      <w:color w:val="0563C1"/>
      <w:u w:val="single"/>
    </w:rPr>
  </w:style>
  <w:style w:type="character" w:customStyle="1" w:styleId="SubtleReference1">
    <w:name w:val="Subtle Reference1"/>
    <w:uiPriority w:val="31"/>
    <w:rsid w:val="001B7F77"/>
    <w:rPr>
      <w:smallCaps/>
      <w:color w:val="5A5A5A"/>
    </w:rPr>
  </w:style>
  <w:style w:type="character" w:customStyle="1" w:styleId="IntenseEmphasis1">
    <w:name w:val="Intense Emphasis1"/>
    <w:uiPriority w:val="21"/>
    <w:rsid w:val="001B7F77"/>
    <w:rPr>
      <w:i/>
      <w:iCs/>
      <w:color w:val="4472C4"/>
    </w:rPr>
  </w:style>
  <w:style w:type="character" w:customStyle="1" w:styleId="xxxxmsoins">
    <w:name w:val="x_x_x_x_msoins"/>
    <w:basedOn w:val="DefaultParagraphFont"/>
    <w:rsid w:val="001B7F77"/>
  </w:style>
  <w:style w:type="character" w:customStyle="1" w:styleId="xxmsoins">
    <w:name w:val="x_x_msoins"/>
    <w:basedOn w:val="DefaultParagraphFont"/>
    <w:rsid w:val="001B7F77"/>
  </w:style>
  <w:style w:type="table" w:customStyle="1" w:styleId="TableGrid1">
    <w:name w:val="Table Grid1"/>
    <w:basedOn w:val="TableNormal"/>
    <w:uiPriority w:val="39"/>
    <w:rsid w:val="001B7F77"/>
    <w:pPr>
      <w:spacing w:before="120" w:after="0" w:line="240" w:lineRule="auto"/>
    </w:pPr>
    <w:rPr>
      <w:rFonts w:ascii="Times New Roman" w:eastAsia="Calibri" w:hAnsi="Times New Roman" w:cs="Times New Roman"/>
      <w:color w:val="00000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c1">
    <w:name w:val="Exc 1"/>
    <w:basedOn w:val="Normal"/>
    <w:next w:val="Normal"/>
    <w:autoRedefine/>
    <w:qFormat/>
    <w:rsid w:val="001B7F77"/>
    <w:pPr>
      <w:spacing w:before="120" w:after="120"/>
      <w:ind w:left="720"/>
    </w:pPr>
    <w:rPr>
      <w:rFonts w:eastAsia="Calibri"/>
      <w:bCs/>
      <w:color w:val="000000"/>
      <w:sz w:val="22"/>
      <w:szCs w:val="24"/>
    </w:rPr>
  </w:style>
  <w:style w:type="paragraph" w:customStyle="1" w:styleId="TableContents">
    <w:name w:val="Table Contents"/>
    <w:basedOn w:val="Normal"/>
    <w:qFormat/>
    <w:rsid w:val="001B7F77"/>
    <w:pPr>
      <w:widowControl w:val="0"/>
      <w:suppressLineNumbers/>
      <w:tabs>
        <w:tab w:val="left" w:pos="360"/>
      </w:tabs>
      <w:suppressAutoHyphens/>
      <w:spacing w:after="200" w:line="276" w:lineRule="auto"/>
      <w:jc w:val="left"/>
    </w:pPr>
    <w:rPr>
      <w:rFonts w:eastAsia="Calibri" w:cs="Arial"/>
      <w:szCs w:val="22"/>
    </w:rPr>
  </w:style>
  <w:style w:type="paragraph" w:customStyle="1" w:styleId="Bullet">
    <w:name w:val="Bullet"/>
    <w:basedOn w:val="Normal"/>
    <w:uiPriority w:val="34"/>
    <w:qFormat/>
    <w:rsid w:val="001B7F77"/>
    <w:pPr>
      <w:numPr>
        <w:numId w:val="35"/>
      </w:numPr>
      <w:spacing w:after="240"/>
      <w:jc w:val="left"/>
    </w:pPr>
    <w:rPr>
      <w:rFonts w:ascii="Tahoma" w:eastAsia="SimSun" w:hAnsi="Tahoma" w:cs="Tahoma"/>
      <w:sz w:val="20"/>
    </w:rPr>
  </w:style>
  <w:style w:type="paragraph" w:styleId="BodyText20">
    <w:name w:val="Body Text 2"/>
    <w:basedOn w:val="Normal"/>
    <w:link w:val="BodyText2Char0"/>
    <w:uiPriority w:val="4"/>
    <w:rsid w:val="001B7F77"/>
    <w:pPr>
      <w:spacing w:line="480" w:lineRule="auto"/>
      <w:jc w:val="left"/>
    </w:pPr>
    <w:rPr>
      <w:rFonts w:ascii="Tahoma" w:eastAsia="SimSun" w:hAnsi="Tahoma" w:cs="Tahoma"/>
      <w:sz w:val="20"/>
    </w:rPr>
  </w:style>
  <w:style w:type="character" w:customStyle="1" w:styleId="BodyText2Char0">
    <w:name w:val="Body Text 2 Char"/>
    <w:basedOn w:val="DefaultParagraphFont"/>
    <w:link w:val="BodyText20"/>
    <w:uiPriority w:val="4"/>
    <w:rsid w:val="001B7F77"/>
    <w:rPr>
      <w:rFonts w:ascii="Tahoma" w:eastAsia="SimSun" w:hAnsi="Tahoma" w:cs="Tahoma"/>
      <w:sz w:val="20"/>
      <w:szCs w:val="20"/>
    </w:rPr>
  </w:style>
  <w:style w:type="paragraph" w:customStyle="1" w:styleId="QuoteDouble">
    <w:name w:val="Quote Double"/>
    <w:basedOn w:val="Normal"/>
    <w:uiPriority w:val="1"/>
    <w:qFormat/>
    <w:rsid w:val="001B7F77"/>
    <w:pPr>
      <w:spacing w:after="240"/>
      <w:ind w:left="1440" w:right="1440"/>
      <w:jc w:val="left"/>
    </w:pPr>
    <w:rPr>
      <w:rFonts w:ascii="Tahoma" w:eastAsia="SimSun" w:hAnsi="Tahoma" w:cs="Tahoma"/>
      <w:sz w:val="20"/>
    </w:rPr>
  </w:style>
  <w:style w:type="paragraph" w:styleId="BodyTextFirstIndent">
    <w:name w:val="Body Text First Indent"/>
    <w:basedOn w:val="BodyText"/>
    <w:link w:val="BodyTextFirstIndentChar"/>
    <w:uiPriority w:val="1"/>
    <w:qFormat/>
    <w:rsid w:val="001B7F77"/>
    <w:pPr>
      <w:spacing w:after="240" w:line="240" w:lineRule="auto"/>
      <w:jc w:val="left"/>
    </w:pPr>
    <w:rPr>
      <w:rFonts w:ascii="Tahoma" w:eastAsia="SimSun" w:hAnsi="Tahoma" w:cs="Tahoma"/>
      <w:sz w:val="20"/>
      <w:szCs w:val="20"/>
    </w:rPr>
  </w:style>
  <w:style w:type="character" w:customStyle="1" w:styleId="BodyTextFirstIndentChar">
    <w:name w:val="Body Text First Indent Char"/>
    <w:basedOn w:val="BodyTextChar"/>
    <w:link w:val="BodyTextFirstIndent"/>
    <w:uiPriority w:val="1"/>
    <w:rsid w:val="001B7F77"/>
    <w:rPr>
      <w:rFonts w:ascii="Tahoma" w:eastAsia="SimSun" w:hAnsi="Tahoma" w:cs="Tahoma"/>
      <w:sz w:val="20"/>
      <w:szCs w:val="20"/>
    </w:rPr>
  </w:style>
  <w:style w:type="character" w:customStyle="1" w:styleId="BodyTextChar1">
    <w:name w:val="Body Text Char1"/>
    <w:basedOn w:val="DefaultParagraphFont"/>
    <w:uiPriority w:val="1"/>
    <w:rsid w:val="001B7F77"/>
    <w:rPr>
      <w:sz w:val="24"/>
    </w:rPr>
  </w:style>
  <w:style w:type="paragraph" w:styleId="EndnoteText">
    <w:name w:val="endnote text"/>
    <w:basedOn w:val="Normal"/>
    <w:link w:val="EndnoteTextChar"/>
    <w:uiPriority w:val="99"/>
    <w:unhideWhenUsed/>
    <w:rsid w:val="001B7F77"/>
    <w:pPr>
      <w:jc w:val="left"/>
    </w:pPr>
    <w:rPr>
      <w:rFonts w:ascii="Tahoma" w:eastAsia="SimSun" w:hAnsi="Tahoma" w:cs="Tahoma"/>
      <w:sz w:val="20"/>
    </w:rPr>
  </w:style>
  <w:style w:type="character" w:customStyle="1" w:styleId="EndnoteTextChar">
    <w:name w:val="Endnote Text Char"/>
    <w:basedOn w:val="DefaultParagraphFont"/>
    <w:link w:val="EndnoteText"/>
    <w:uiPriority w:val="99"/>
    <w:rsid w:val="001B7F77"/>
    <w:rPr>
      <w:rFonts w:ascii="Tahoma" w:eastAsia="SimSun" w:hAnsi="Tahoma" w:cs="Tahoma"/>
      <w:sz w:val="20"/>
      <w:szCs w:val="20"/>
    </w:rPr>
  </w:style>
  <w:style w:type="character" w:customStyle="1" w:styleId="DocID">
    <w:name w:val="DocID"/>
    <w:uiPriority w:val="99"/>
    <w:semiHidden/>
    <w:rsid w:val="001B7F77"/>
    <w:rPr>
      <w:sz w:val="16"/>
    </w:rPr>
  </w:style>
  <w:style w:type="paragraph" w:styleId="TableofAuthorities">
    <w:name w:val="table of authorities"/>
    <w:basedOn w:val="Normal"/>
    <w:next w:val="Normal"/>
    <w:uiPriority w:val="99"/>
    <w:unhideWhenUsed/>
    <w:rsid w:val="001B7F77"/>
    <w:pPr>
      <w:spacing w:after="240"/>
      <w:ind w:left="216" w:hanging="216"/>
      <w:jc w:val="left"/>
    </w:pPr>
    <w:rPr>
      <w:rFonts w:ascii="Tahoma" w:eastAsia="SimSun" w:hAnsi="Tahoma" w:cs="Tahoma"/>
      <w:sz w:val="20"/>
    </w:rPr>
  </w:style>
  <w:style w:type="paragraph" w:styleId="TableofFigures">
    <w:name w:val="table of figures"/>
    <w:basedOn w:val="Normal"/>
    <w:next w:val="Normal"/>
    <w:uiPriority w:val="99"/>
    <w:unhideWhenUsed/>
    <w:rsid w:val="001B7F77"/>
    <w:pPr>
      <w:spacing w:after="240"/>
      <w:ind w:left="446" w:hanging="446"/>
      <w:jc w:val="left"/>
    </w:pPr>
    <w:rPr>
      <w:rFonts w:ascii="Tahoma" w:eastAsia="SimSun" w:hAnsi="Tahoma" w:cs="Tahoma"/>
      <w:sz w:val="20"/>
    </w:rPr>
  </w:style>
  <w:style w:type="paragraph" w:customStyle="1" w:styleId="QuoteDouble2">
    <w:name w:val="Quote Double 2"/>
    <w:basedOn w:val="Normal"/>
    <w:uiPriority w:val="4"/>
    <w:qFormat/>
    <w:rsid w:val="001B7F77"/>
    <w:pPr>
      <w:spacing w:line="480" w:lineRule="auto"/>
      <w:ind w:left="1440" w:right="1440"/>
      <w:jc w:val="left"/>
    </w:pPr>
    <w:rPr>
      <w:rFonts w:ascii="Tahoma" w:eastAsia="SimSun" w:hAnsi="Tahoma" w:cs="Tahoma"/>
      <w:sz w:val="20"/>
    </w:rPr>
  </w:style>
  <w:style w:type="paragraph" w:styleId="Salutation">
    <w:name w:val="Salutation"/>
    <w:basedOn w:val="Normal"/>
    <w:next w:val="Normal"/>
    <w:link w:val="SalutationChar"/>
    <w:uiPriority w:val="20"/>
    <w:rsid w:val="001B7F77"/>
    <w:pPr>
      <w:spacing w:after="240"/>
      <w:jc w:val="left"/>
    </w:pPr>
    <w:rPr>
      <w:rFonts w:ascii="Tahoma" w:eastAsia="SimSun" w:hAnsi="Tahoma" w:cs="Tahoma"/>
      <w:sz w:val="20"/>
    </w:rPr>
  </w:style>
  <w:style w:type="character" w:customStyle="1" w:styleId="SalutationChar">
    <w:name w:val="Salutation Char"/>
    <w:basedOn w:val="DefaultParagraphFont"/>
    <w:link w:val="Salutation"/>
    <w:uiPriority w:val="20"/>
    <w:rsid w:val="001B7F77"/>
    <w:rPr>
      <w:rFonts w:ascii="Tahoma" w:eastAsia="SimSun" w:hAnsi="Tahoma" w:cs="Tahoma"/>
      <w:sz w:val="20"/>
      <w:szCs w:val="20"/>
    </w:rPr>
  </w:style>
  <w:style w:type="paragraph" w:styleId="BodyTextIndent">
    <w:name w:val="Body Text Indent"/>
    <w:basedOn w:val="Normal"/>
    <w:link w:val="BodyTextIndentChar"/>
    <w:uiPriority w:val="99"/>
    <w:unhideWhenUsed/>
    <w:rsid w:val="001B7F77"/>
    <w:pPr>
      <w:spacing w:after="120"/>
      <w:ind w:left="360"/>
      <w:jc w:val="left"/>
    </w:pPr>
    <w:rPr>
      <w:rFonts w:ascii="Tahoma" w:eastAsia="SimSun" w:hAnsi="Tahoma" w:cs="Tahoma"/>
      <w:sz w:val="20"/>
    </w:rPr>
  </w:style>
  <w:style w:type="character" w:customStyle="1" w:styleId="BodyTextIndentChar">
    <w:name w:val="Body Text Indent Char"/>
    <w:basedOn w:val="DefaultParagraphFont"/>
    <w:link w:val="BodyTextIndent"/>
    <w:uiPriority w:val="99"/>
    <w:rsid w:val="001B7F77"/>
    <w:rPr>
      <w:rFonts w:ascii="Tahoma" w:eastAsia="SimSun" w:hAnsi="Tahoma" w:cs="Tahoma"/>
      <w:sz w:val="20"/>
      <w:szCs w:val="20"/>
    </w:rPr>
  </w:style>
  <w:style w:type="paragraph" w:styleId="BodyTextFirstIndent2">
    <w:name w:val="Body Text First Indent 2"/>
    <w:basedOn w:val="BodyTextIndent"/>
    <w:link w:val="BodyTextFirstIndent2Char"/>
    <w:uiPriority w:val="4"/>
    <w:rsid w:val="001B7F77"/>
    <w:pPr>
      <w:spacing w:after="0" w:line="480" w:lineRule="auto"/>
      <w:ind w:firstLine="720"/>
    </w:pPr>
  </w:style>
  <w:style w:type="character" w:customStyle="1" w:styleId="BodyTextFirstIndent2Char">
    <w:name w:val="Body Text First Indent 2 Char"/>
    <w:basedOn w:val="BodyTextIndentChar"/>
    <w:link w:val="BodyTextFirstIndent2"/>
    <w:uiPriority w:val="4"/>
    <w:rsid w:val="001B7F77"/>
    <w:rPr>
      <w:rFonts w:ascii="Tahoma" w:eastAsia="SimSun" w:hAnsi="Tahoma" w:cs="Tahoma"/>
      <w:sz w:val="20"/>
      <w:szCs w:val="20"/>
    </w:rPr>
  </w:style>
  <w:style w:type="paragraph" w:styleId="Signature">
    <w:name w:val="Signature"/>
    <w:basedOn w:val="Normal"/>
    <w:link w:val="SignatureChar"/>
    <w:uiPriority w:val="20"/>
    <w:rsid w:val="001B7F77"/>
    <w:pPr>
      <w:ind w:left="4320"/>
      <w:jc w:val="left"/>
    </w:pPr>
    <w:rPr>
      <w:rFonts w:ascii="Tahoma" w:eastAsia="SimSun" w:hAnsi="Tahoma" w:cs="Tahoma"/>
      <w:sz w:val="20"/>
    </w:rPr>
  </w:style>
  <w:style w:type="character" w:customStyle="1" w:styleId="SignatureChar">
    <w:name w:val="Signature Char"/>
    <w:basedOn w:val="DefaultParagraphFont"/>
    <w:link w:val="Signature"/>
    <w:uiPriority w:val="20"/>
    <w:rsid w:val="001B7F77"/>
    <w:rPr>
      <w:rFonts w:ascii="Tahoma" w:eastAsia="SimSun" w:hAnsi="Tahoma" w:cs="Tahoma"/>
      <w:sz w:val="20"/>
      <w:szCs w:val="20"/>
    </w:rPr>
  </w:style>
  <w:style w:type="paragraph" w:customStyle="1" w:styleId="Bullet2">
    <w:name w:val="Bullet 2"/>
    <w:basedOn w:val="Normal"/>
    <w:uiPriority w:val="34"/>
    <w:rsid w:val="001B7F77"/>
    <w:pPr>
      <w:numPr>
        <w:ilvl w:val="1"/>
        <w:numId w:val="35"/>
      </w:numPr>
      <w:spacing w:after="240"/>
      <w:jc w:val="left"/>
    </w:pPr>
    <w:rPr>
      <w:rFonts w:ascii="Tahoma" w:eastAsia="SimSun" w:hAnsi="Tahoma" w:cs="Tahoma"/>
      <w:sz w:val="20"/>
    </w:rPr>
  </w:style>
  <w:style w:type="paragraph" w:customStyle="1" w:styleId="Bullet3">
    <w:name w:val="Bullet 3"/>
    <w:basedOn w:val="Normal"/>
    <w:uiPriority w:val="34"/>
    <w:rsid w:val="001B7F77"/>
    <w:pPr>
      <w:numPr>
        <w:ilvl w:val="2"/>
        <w:numId w:val="35"/>
      </w:numPr>
      <w:spacing w:after="240"/>
      <w:jc w:val="left"/>
    </w:pPr>
    <w:rPr>
      <w:rFonts w:ascii="Tahoma" w:eastAsia="SimSun" w:hAnsi="Tahoma" w:cs="Tahoma"/>
      <w:sz w:val="20"/>
    </w:rPr>
  </w:style>
  <w:style w:type="paragraph" w:customStyle="1" w:styleId="Number">
    <w:name w:val="Number"/>
    <w:basedOn w:val="Normal"/>
    <w:uiPriority w:val="34"/>
    <w:qFormat/>
    <w:rsid w:val="001B7F77"/>
    <w:pPr>
      <w:numPr>
        <w:numId w:val="36"/>
      </w:numPr>
      <w:spacing w:after="240"/>
      <w:jc w:val="left"/>
    </w:pPr>
    <w:rPr>
      <w:rFonts w:ascii="Tahoma" w:eastAsia="SimSun" w:hAnsi="Tahoma" w:cs="Tahoma"/>
      <w:sz w:val="20"/>
    </w:rPr>
  </w:style>
  <w:style w:type="paragraph" w:customStyle="1" w:styleId="Number2">
    <w:name w:val="Number 2"/>
    <w:basedOn w:val="Normal"/>
    <w:uiPriority w:val="34"/>
    <w:qFormat/>
    <w:rsid w:val="001B7F77"/>
    <w:pPr>
      <w:numPr>
        <w:ilvl w:val="1"/>
        <w:numId w:val="36"/>
      </w:numPr>
      <w:spacing w:after="240"/>
      <w:jc w:val="left"/>
    </w:pPr>
    <w:rPr>
      <w:rFonts w:ascii="Tahoma" w:eastAsia="SimSun" w:hAnsi="Tahoma" w:cs="Tahoma"/>
      <w:sz w:val="20"/>
    </w:rPr>
  </w:style>
  <w:style w:type="paragraph" w:customStyle="1" w:styleId="Number3">
    <w:name w:val="Number 3"/>
    <w:basedOn w:val="Normal"/>
    <w:uiPriority w:val="34"/>
    <w:qFormat/>
    <w:rsid w:val="001B7F77"/>
    <w:pPr>
      <w:numPr>
        <w:ilvl w:val="2"/>
        <w:numId w:val="36"/>
      </w:numPr>
      <w:spacing w:after="240"/>
      <w:jc w:val="left"/>
    </w:pPr>
    <w:rPr>
      <w:rFonts w:ascii="Tahoma" w:eastAsia="SimSun" w:hAnsi="Tahoma" w:cs="Tahoma"/>
      <w:sz w:val="20"/>
    </w:rPr>
  </w:style>
  <w:style w:type="table" w:styleId="LightShading">
    <w:name w:val="Light Shading"/>
    <w:basedOn w:val="TableNormal"/>
    <w:uiPriority w:val="60"/>
    <w:rsid w:val="001B7F77"/>
    <w:pPr>
      <w:spacing w:after="0" w:line="240" w:lineRule="auto"/>
    </w:pPr>
    <w:rPr>
      <w:rFonts w:ascii="Tahoma" w:eastAsia="SimSun" w:hAnsi="Tahoma" w:cs="Tahoma"/>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1B7F77"/>
    <w:pPr>
      <w:spacing w:after="0" w:line="240" w:lineRule="auto"/>
    </w:pPr>
    <w:rPr>
      <w:rFonts w:ascii="Tahoma" w:eastAsia="SimSun" w:hAnsi="Tahoma" w:cs="Tahoma"/>
      <w:color w:val="2F5496"/>
      <w:sz w:val="20"/>
      <w:szCs w:val="20"/>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paragraph" w:styleId="BlockText">
    <w:name w:val="Block Text"/>
    <w:basedOn w:val="Normal"/>
    <w:uiPriority w:val="99"/>
    <w:unhideWhenUsed/>
    <w:qFormat/>
    <w:rsid w:val="001B7F77"/>
    <w:pPr>
      <w:pBdr>
        <w:top w:val="single" w:sz="2" w:space="10" w:color="4472C4" w:shadow="1"/>
        <w:left w:val="single" w:sz="2" w:space="10" w:color="4472C4" w:shadow="1"/>
        <w:bottom w:val="single" w:sz="2" w:space="10" w:color="4472C4" w:shadow="1"/>
        <w:right w:val="single" w:sz="2" w:space="10" w:color="4472C4" w:shadow="1"/>
      </w:pBdr>
      <w:spacing w:after="240"/>
      <w:ind w:left="1152" w:right="1152"/>
      <w:jc w:val="left"/>
    </w:pPr>
    <w:rPr>
      <w:rFonts w:ascii="Tahoma" w:eastAsia="Yu Mincho" w:hAnsi="Tahoma" w:cs="Tahoma"/>
      <w:i/>
      <w:iCs/>
      <w:color w:val="4472C4"/>
      <w:sz w:val="20"/>
    </w:rPr>
  </w:style>
  <w:style w:type="table" w:styleId="ColorfulGrid">
    <w:name w:val="Colorful Grid"/>
    <w:basedOn w:val="TableNormal"/>
    <w:uiPriority w:val="73"/>
    <w:rsid w:val="001B7F77"/>
    <w:pPr>
      <w:spacing w:after="0" w:line="240" w:lineRule="auto"/>
    </w:pPr>
    <w:rPr>
      <w:rFonts w:ascii="Tahoma" w:eastAsia="SimSun" w:hAnsi="Tahoma" w:cs="Tahoma"/>
      <w:color w:val="000000"/>
      <w:sz w:val="20"/>
      <w:szCs w:val="2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paragraph" w:styleId="Index1">
    <w:name w:val="index 1"/>
    <w:basedOn w:val="Normal"/>
    <w:next w:val="Normal"/>
    <w:autoRedefine/>
    <w:uiPriority w:val="99"/>
    <w:unhideWhenUsed/>
    <w:rsid w:val="001B7F77"/>
    <w:pPr>
      <w:ind w:left="200" w:hanging="200"/>
      <w:jc w:val="left"/>
    </w:pPr>
    <w:rPr>
      <w:rFonts w:ascii="Tahoma" w:eastAsia="SimSun" w:hAnsi="Tahoma" w:cs="Tahoma"/>
      <w:sz w:val="20"/>
    </w:rPr>
  </w:style>
  <w:style w:type="paragraph" w:styleId="IndexHeading">
    <w:name w:val="index heading"/>
    <w:basedOn w:val="Normal"/>
    <w:next w:val="Index1"/>
    <w:uiPriority w:val="99"/>
    <w:unhideWhenUsed/>
    <w:rsid w:val="001B7F77"/>
    <w:pPr>
      <w:spacing w:after="240"/>
      <w:jc w:val="left"/>
    </w:pPr>
    <w:rPr>
      <w:rFonts w:ascii="Tahoma" w:eastAsia="Yu Gothic Light" w:hAnsi="Tahoma"/>
      <w:b/>
      <w:bCs/>
      <w:sz w:val="20"/>
    </w:rPr>
  </w:style>
  <w:style w:type="paragraph" w:styleId="PlainText">
    <w:name w:val="Plain Text"/>
    <w:basedOn w:val="Normal"/>
    <w:link w:val="PlainTextChar"/>
    <w:uiPriority w:val="99"/>
    <w:unhideWhenUsed/>
    <w:rsid w:val="001B7F77"/>
    <w:pPr>
      <w:jc w:val="left"/>
    </w:pPr>
    <w:rPr>
      <w:rFonts w:ascii="Tahoma" w:eastAsia="SimSun" w:hAnsi="Tahoma" w:cs="Consolas"/>
      <w:sz w:val="20"/>
      <w:szCs w:val="21"/>
    </w:rPr>
  </w:style>
  <w:style w:type="character" w:customStyle="1" w:styleId="PlainTextChar">
    <w:name w:val="Plain Text Char"/>
    <w:basedOn w:val="DefaultParagraphFont"/>
    <w:link w:val="PlainText"/>
    <w:uiPriority w:val="99"/>
    <w:rsid w:val="001B7F77"/>
    <w:rPr>
      <w:rFonts w:ascii="Tahoma" w:eastAsia="SimSun" w:hAnsi="Tahoma" w:cs="Consolas"/>
      <w:sz w:val="20"/>
      <w:szCs w:val="21"/>
    </w:rPr>
  </w:style>
  <w:style w:type="table" w:styleId="TableList1">
    <w:name w:val="Table List 1"/>
    <w:basedOn w:val="TableNormal"/>
    <w:uiPriority w:val="99"/>
    <w:semiHidden/>
    <w:unhideWhenUsed/>
    <w:rsid w:val="001B7F77"/>
    <w:pPr>
      <w:spacing w:after="240" w:line="240" w:lineRule="auto"/>
    </w:pPr>
    <w:rPr>
      <w:rFonts w:ascii="Tahoma" w:eastAsia="SimSun" w:hAnsi="Tahoma" w:cs="Tahoma"/>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1B7F77"/>
    <w:pPr>
      <w:spacing w:after="240" w:line="240" w:lineRule="auto"/>
    </w:pPr>
    <w:rPr>
      <w:rFonts w:ascii="Tahoma" w:eastAsia="SimSun" w:hAnsi="Tahoma" w:cs="Tahoma"/>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1B7F77"/>
    <w:pPr>
      <w:spacing w:after="240" w:line="240" w:lineRule="auto"/>
    </w:pPr>
    <w:rPr>
      <w:rFonts w:ascii="Tahoma" w:eastAsia="SimSun" w:hAnsi="Tahoma" w:cs="Tahoma"/>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1B7F77"/>
    <w:pPr>
      <w:spacing w:after="240" w:line="240" w:lineRule="auto"/>
    </w:pPr>
    <w:rPr>
      <w:rFonts w:ascii="Tahoma" w:eastAsia="SimSun" w:hAnsi="Tahoma" w:cs="Tahoma"/>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1B7F77"/>
    <w:pPr>
      <w:spacing w:after="240" w:line="240" w:lineRule="auto"/>
    </w:pPr>
    <w:rPr>
      <w:rFonts w:ascii="Tahoma" w:eastAsia="SimSun" w:hAnsi="Tahoma" w:cs="Tahoma"/>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1B7F77"/>
    <w:pPr>
      <w:spacing w:after="240" w:line="240" w:lineRule="auto"/>
    </w:pPr>
    <w:rPr>
      <w:rFonts w:ascii="Tahoma" w:eastAsia="SimSun" w:hAnsi="Tahoma" w:cs="Tahoma"/>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8">
    <w:name w:val="Table List 8"/>
    <w:basedOn w:val="TableNormal"/>
    <w:uiPriority w:val="99"/>
    <w:semiHidden/>
    <w:unhideWhenUsed/>
    <w:rsid w:val="001B7F77"/>
    <w:pPr>
      <w:spacing w:after="240" w:line="240" w:lineRule="auto"/>
    </w:pPr>
    <w:rPr>
      <w:rFonts w:ascii="Tahoma" w:eastAsia="SimSun" w:hAnsi="Tahoma" w:cs="Tahoma"/>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List7">
    <w:name w:val="Table List 7"/>
    <w:basedOn w:val="TableNormal"/>
    <w:uiPriority w:val="99"/>
    <w:semiHidden/>
    <w:unhideWhenUsed/>
    <w:rsid w:val="001B7F77"/>
    <w:pPr>
      <w:spacing w:after="240" w:line="240" w:lineRule="auto"/>
    </w:pPr>
    <w:rPr>
      <w:rFonts w:ascii="Tahoma" w:eastAsia="SimSun" w:hAnsi="Tahoma" w:cs="Tahoma"/>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paragraph" w:styleId="Bibliography">
    <w:name w:val="Bibliography"/>
    <w:basedOn w:val="Normal"/>
    <w:next w:val="Normal"/>
    <w:uiPriority w:val="37"/>
    <w:semiHidden/>
    <w:unhideWhenUsed/>
    <w:rsid w:val="001B7F77"/>
    <w:pPr>
      <w:spacing w:after="240"/>
      <w:jc w:val="left"/>
    </w:pPr>
    <w:rPr>
      <w:rFonts w:ascii="Tahoma" w:eastAsia="SimSun" w:hAnsi="Tahoma" w:cs="Tahoma"/>
      <w:sz w:val="20"/>
    </w:rPr>
  </w:style>
  <w:style w:type="paragraph" w:styleId="BodyText30">
    <w:name w:val="Body Text 3"/>
    <w:basedOn w:val="Normal"/>
    <w:link w:val="BodyText3Char"/>
    <w:uiPriority w:val="99"/>
    <w:unhideWhenUsed/>
    <w:qFormat/>
    <w:rsid w:val="001B7F77"/>
    <w:pPr>
      <w:spacing w:after="120"/>
      <w:jc w:val="left"/>
    </w:pPr>
    <w:rPr>
      <w:rFonts w:ascii="Tahoma" w:eastAsia="SimSun" w:hAnsi="Tahoma" w:cs="Tahoma"/>
      <w:sz w:val="16"/>
      <w:szCs w:val="16"/>
    </w:rPr>
  </w:style>
  <w:style w:type="character" w:customStyle="1" w:styleId="BodyText3Char">
    <w:name w:val="Body Text 3 Char"/>
    <w:basedOn w:val="DefaultParagraphFont"/>
    <w:link w:val="BodyText30"/>
    <w:uiPriority w:val="99"/>
    <w:rsid w:val="001B7F77"/>
    <w:rPr>
      <w:rFonts w:ascii="Tahoma" w:eastAsia="SimSun" w:hAnsi="Tahoma" w:cs="Tahoma"/>
      <w:sz w:val="16"/>
      <w:szCs w:val="16"/>
    </w:rPr>
  </w:style>
  <w:style w:type="paragraph" w:styleId="BodyTextIndent2">
    <w:name w:val="Body Text Indent 2"/>
    <w:basedOn w:val="Normal"/>
    <w:link w:val="BodyTextIndent2Char"/>
    <w:uiPriority w:val="99"/>
    <w:unhideWhenUsed/>
    <w:rsid w:val="001B7F77"/>
    <w:pPr>
      <w:spacing w:after="120" w:line="480" w:lineRule="auto"/>
      <w:ind w:left="360"/>
      <w:jc w:val="left"/>
    </w:pPr>
    <w:rPr>
      <w:rFonts w:ascii="Tahoma" w:eastAsia="SimSun" w:hAnsi="Tahoma" w:cs="Tahoma"/>
      <w:sz w:val="20"/>
    </w:rPr>
  </w:style>
  <w:style w:type="character" w:customStyle="1" w:styleId="BodyTextIndent2Char">
    <w:name w:val="Body Text Indent 2 Char"/>
    <w:basedOn w:val="DefaultParagraphFont"/>
    <w:link w:val="BodyTextIndent2"/>
    <w:uiPriority w:val="99"/>
    <w:rsid w:val="001B7F77"/>
    <w:rPr>
      <w:rFonts w:ascii="Tahoma" w:eastAsia="SimSun" w:hAnsi="Tahoma" w:cs="Tahoma"/>
      <w:sz w:val="20"/>
      <w:szCs w:val="20"/>
    </w:rPr>
  </w:style>
  <w:style w:type="paragraph" w:styleId="BodyTextIndent3">
    <w:name w:val="Body Text Indent 3"/>
    <w:basedOn w:val="Normal"/>
    <w:link w:val="BodyTextIndent3Char"/>
    <w:uiPriority w:val="99"/>
    <w:unhideWhenUsed/>
    <w:rsid w:val="001B7F77"/>
    <w:pPr>
      <w:spacing w:after="120"/>
      <w:ind w:left="360"/>
      <w:jc w:val="left"/>
    </w:pPr>
    <w:rPr>
      <w:rFonts w:ascii="Tahoma" w:eastAsia="SimSun" w:hAnsi="Tahoma" w:cs="Tahoma"/>
      <w:sz w:val="16"/>
      <w:szCs w:val="16"/>
    </w:rPr>
  </w:style>
  <w:style w:type="character" w:customStyle="1" w:styleId="BodyTextIndent3Char">
    <w:name w:val="Body Text Indent 3 Char"/>
    <w:basedOn w:val="DefaultParagraphFont"/>
    <w:link w:val="BodyTextIndent3"/>
    <w:uiPriority w:val="99"/>
    <w:rsid w:val="001B7F77"/>
    <w:rPr>
      <w:rFonts w:ascii="Tahoma" w:eastAsia="SimSun" w:hAnsi="Tahoma" w:cs="Tahoma"/>
      <w:sz w:val="16"/>
      <w:szCs w:val="16"/>
    </w:rPr>
  </w:style>
  <w:style w:type="paragraph" w:styleId="DocumentMap">
    <w:name w:val="Document Map"/>
    <w:basedOn w:val="Normal"/>
    <w:link w:val="DocumentMapChar"/>
    <w:uiPriority w:val="99"/>
    <w:unhideWhenUsed/>
    <w:rsid w:val="001B7F77"/>
    <w:pPr>
      <w:jc w:val="left"/>
    </w:pPr>
    <w:rPr>
      <w:rFonts w:ascii="Tahoma" w:eastAsia="SimSun" w:hAnsi="Tahoma" w:cs="Tahoma"/>
      <w:sz w:val="16"/>
      <w:szCs w:val="16"/>
    </w:rPr>
  </w:style>
  <w:style w:type="character" w:customStyle="1" w:styleId="DocumentMapChar">
    <w:name w:val="Document Map Char"/>
    <w:basedOn w:val="DefaultParagraphFont"/>
    <w:link w:val="DocumentMap"/>
    <w:uiPriority w:val="99"/>
    <w:rsid w:val="001B7F77"/>
    <w:rPr>
      <w:rFonts w:ascii="Tahoma" w:eastAsia="SimSun" w:hAnsi="Tahoma" w:cs="Tahoma"/>
      <w:sz w:val="16"/>
      <w:szCs w:val="16"/>
    </w:rPr>
  </w:style>
  <w:style w:type="paragraph" w:styleId="E-mailSignature">
    <w:name w:val="E-mail Signature"/>
    <w:basedOn w:val="Normal"/>
    <w:link w:val="E-mailSignatureChar"/>
    <w:uiPriority w:val="99"/>
    <w:unhideWhenUsed/>
    <w:rsid w:val="001B7F77"/>
    <w:pPr>
      <w:jc w:val="left"/>
    </w:pPr>
    <w:rPr>
      <w:rFonts w:ascii="Tahoma" w:eastAsia="SimSun" w:hAnsi="Tahoma" w:cs="Tahoma"/>
      <w:sz w:val="20"/>
    </w:rPr>
  </w:style>
  <w:style w:type="character" w:customStyle="1" w:styleId="E-mailSignatureChar">
    <w:name w:val="E-mail Signature Char"/>
    <w:basedOn w:val="DefaultParagraphFont"/>
    <w:link w:val="E-mailSignature"/>
    <w:uiPriority w:val="99"/>
    <w:rsid w:val="001B7F77"/>
    <w:rPr>
      <w:rFonts w:ascii="Tahoma" w:eastAsia="SimSun" w:hAnsi="Tahoma" w:cs="Tahoma"/>
      <w:sz w:val="20"/>
      <w:szCs w:val="20"/>
    </w:rPr>
  </w:style>
  <w:style w:type="character" w:styleId="EndnoteReference">
    <w:name w:val="endnote reference"/>
    <w:uiPriority w:val="99"/>
    <w:unhideWhenUsed/>
    <w:rsid w:val="001B7F77"/>
    <w:rPr>
      <w:vertAlign w:val="superscript"/>
    </w:rPr>
  </w:style>
  <w:style w:type="character" w:styleId="HTMLAcronym">
    <w:name w:val="HTML Acronym"/>
    <w:basedOn w:val="DefaultParagraphFont"/>
    <w:uiPriority w:val="99"/>
    <w:unhideWhenUsed/>
    <w:rsid w:val="001B7F77"/>
  </w:style>
  <w:style w:type="paragraph" w:styleId="HTMLAddress">
    <w:name w:val="HTML Address"/>
    <w:basedOn w:val="Normal"/>
    <w:link w:val="HTMLAddressChar"/>
    <w:uiPriority w:val="99"/>
    <w:unhideWhenUsed/>
    <w:rsid w:val="001B7F77"/>
    <w:pPr>
      <w:jc w:val="left"/>
    </w:pPr>
    <w:rPr>
      <w:rFonts w:ascii="Tahoma" w:eastAsia="SimSun" w:hAnsi="Tahoma" w:cs="Tahoma"/>
      <w:i/>
      <w:iCs/>
      <w:sz w:val="20"/>
    </w:rPr>
  </w:style>
  <w:style w:type="character" w:customStyle="1" w:styleId="HTMLAddressChar">
    <w:name w:val="HTML Address Char"/>
    <w:basedOn w:val="DefaultParagraphFont"/>
    <w:link w:val="HTMLAddress"/>
    <w:uiPriority w:val="99"/>
    <w:rsid w:val="001B7F77"/>
    <w:rPr>
      <w:rFonts w:ascii="Tahoma" w:eastAsia="SimSun" w:hAnsi="Tahoma" w:cs="Tahoma"/>
      <w:i/>
      <w:iCs/>
      <w:sz w:val="20"/>
      <w:szCs w:val="20"/>
    </w:rPr>
  </w:style>
  <w:style w:type="character" w:styleId="HTMLCite">
    <w:name w:val="HTML Cite"/>
    <w:uiPriority w:val="99"/>
    <w:unhideWhenUsed/>
    <w:rsid w:val="001B7F77"/>
    <w:rPr>
      <w:i/>
      <w:iCs/>
    </w:rPr>
  </w:style>
  <w:style w:type="character" w:styleId="HTMLCode">
    <w:name w:val="HTML Code"/>
    <w:uiPriority w:val="99"/>
    <w:unhideWhenUsed/>
    <w:rsid w:val="001B7F77"/>
    <w:rPr>
      <w:rFonts w:ascii="Consolas" w:hAnsi="Consolas" w:cs="Consolas"/>
      <w:sz w:val="20"/>
      <w:szCs w:val="20"/>
    </w:rPr>
  </w:style>
  <w:style w:type="character" w:styleId="HTMLDefinition">
    <w:name w:val="HTML Definition"/>
    <w:uiPriority w:val="99"/>
    <w:unhideWhenUsed/>
    <w:rsid w:val="001B7F77"/>
    <w:rPr>
      <w:i/>
      <w:iCs/>
    </w:rPr>
  </w:style>
  <w:style w:type="character" w:styleId="HTMLKeyboard">
    <w:name w:val="HTML Keyboard"/>
    <w:uiPriority w:val="99"/>
    <w:unhideWhenUsed/>
    <w:rsid w:val="001B7F77"/>
    <w:rPr>
      <w:rFonts w:ascii="Consolas" w:hAnsi="Consolas" w:cs="Consolas"/>
      <w:sz w:val="20"/>
      <w:szCs w:val="20"/>
    </w:rPr>
  </w:style>
  <w:style w:type="character" w:styleId="HTMLSample">
    <w:name w:val="HTML Sample"/>
    <w:uiPriority w:val="99"/>
    <w:unhideWhenUsed/>
    <w:rsid w:val="001B7F77"/>
    <w:rPr>
      <w:rFonts w:ascii="Consolas" w:hAnsi="Consolas" w:cs="Consolas"/>
      <w:sz w:val="24"/>
      <w:szCs w:val="24"/>
    </w:rPr>
  </w:style>
  <w:style w:type="character" w:styleId="HTMLTypewriter">
    <w:name w:val="HTML Typewriter"/>
    <w:uiPriority w:val="99"/>
    <w:unhideWhenUsed/>
    <w:rsid w:val="001B7F77"/>
    <w:rPr>
      <w:rFonts w:ascii="Consolas" w:hAnsi="Consolas" w:cs="Consolas"/>
      <w:sz w:val="20"/>
      <w:szCs w:val="20"/>
    </w:rPr>
  </w:style>
  <w:style w:type="character" w:styleId="HTMLVariable">
    <w:name w:val="HTML Variable"/>
    <w:uiPriority w:val="99"/>
    <w:unhideWhenUsed/>
    <w:rsid w:val="001B7F77"/>
    <w:rPr>
      <w:i/>
      <w:iCs/>
    </w:rPr>
  </w:style>
  <w:style w:type="paragraph" w:styleId="Index2">
    <w:name w:val="index 2"/>
    <w:basedOn w:val="Normal"/>
    <w:next w:val="Normal"/>
    <w:autoRedefine/>
    <w:uiPriority w:val="99"/>
    <w:unhideWhenUsed/>
    <w:rsid w:val="001B7F77"/>
    <w:pPr>
      <w:ind w:left="400" w:hanging="200"/>
      <w:jc w:val="left"/>
    </w:pPr>
    <w:rPr>
      <w:rFonts w:ascii="Tahoma" w:eastAsia="SimSun" w:hAnsi="Tahoma" w:cs="Tahoma"/>
      <w:sz w:val="20"/>
    </w:rPr>
  </w:style>
  <w:style w:type="paragraph" w:styleId="Index3">
    <w:name w:val="index 3"/>
    <w:basedOn w:val="Normal"/>
    <w:next w:val="Normal"/>
    <w:autoRedefine/>
    <w:uiPriority w:val="99"/>
    <w:unhideWhenUsed/>
    <w:rsid w:val="001B7F77"/>
    <w:pPr>
      <w:ind w:left="600" w:hanging="200"/>
      <w:jc w:val="left"/>
    </w:pPr>
    <w:rPr>
      <w:rFonts w:ascii="Tahoma" w:eastAsia="SimSun" w:hAnsi="Tahoma" w:cs="Tahoma"/>
      <w:sz w:val="20"/>
    </w:rPr>
  </w:style>
  <w:style w:type="paragraph" w:styleId="Index4">
    <w:name w:val="index 4"/>
    <w:basedOn w:val="Normal"/>
    <w:next w:val="Normal"/>
    <w:autoRedefine/>
    <w:uiPriority w:val="99"/>
    <w:unhideWhenUsed/>
    <w:rsid w:val="001B7F77"/>
    <w:pPr>
      <w:ind w:left="800" w:hanging="200"/>
      <w:jc w:val="left"/>
    </w:pPr>
    <w:rPr>
      <w:rFonts w:ascii="Tahoma" w:eastAsia="SimSun" w:hAnsi="Tahoma" w:cs="Tahoma"/>
      <w:sz w:val="20"/>
    </w:rPr>
  </w:style>
  <w:style w:type="paragraph" w:styleId="Index5">
    <w:name w:val="index 5"/>
    <w:basedOn w:val="Normal"/>
    <w:next w:val="Normal"/>
    <w:autoRedefine/>
    <w:uiPriority w:val="99"/>
    <w:unhideWhenUsed/>
    <w:rsid w:val="001B7F77"/>
    <w:pPr>
      <w:ind w:left="1000" w:hanging="200"/>
      <w:jc w:val="left"/>
    </w:pPr>
    <w:rPr>
      <w:rFonts w:ascii="Tahoma" w:eastAsia="SimSun" w:hAnsi="Tahoma" w:cs="Tahoma"/>
      <w:sz w:val="20"/>
    </w:rPr>
  </w:style>
  <w:style w:type="paragraph" w:styleId="Index6">
    <w:name w:val="index 6"/>
    <w:basedOn w:val="Normal"/>
    <w:next w:val="Normal"/>
    <w:autoRedefine/>
    <w:uiPriority w:val="99"/>
    <w:unhideWhenUsed/>
    <w:rsid w:val="001B7F77"/>
    <w:pPr>
      <w:ind w:left="1200" w:hanging="200"/>
      <w:jc w:val="left"/>
    </w:pPr>
    <w:rPr>
      <w:rFonts w:ascii="Tahoma" w:eastAsia="SimSun" w:hAnsi="Tahoma" w:cs="Tahoma"/>
      <w:sz w:val="20"/>
    </w:rPr>
  </w:style>
  <w:style w:type="paragraph" w:styleId="Index7">
    <w:name w:val="index 7"/>
    <w:basedOn w:val="Normal"/>
    <w:next w:val="Normal"/>
    <w:autoRedefine/>
    <w:uiPriority w:val="99"/>
    <w:unhideWhenUsed/>
    <w:rsid w:val="001B7F77"/>
    <w:pPr>
      <w:ind w:left="1400" w:hanging="200"/>
      <w:jc w:val="left"/>
    </w:pPr>
    <w:rPr>
      <w:rFonts w:ascii="Tahoma" w:eastAsia="SimSun" w:hAnsi="Tahoma" w:cs="Tahoma"/>
      <w:sz w:val="20"/>
    </w:rPr>
  </w:style>
  <w:style w:type="paragraph" w:styleId="Index8">
    <w:name w:val="index 8"/>
    <w:basedOn w:val="Normal"/>
    <w:next w:val="Normal"/>
    <w:autoRedefine/>
    <w:uiPriority w:val="99"/>
    <w:unhideWhenUsed/>
    <w:rsid w:val="001B7F77"/>
    <w:pPr>
      <w:ind w:left="1600" w:hanging="200"/>
      <w:jc w:val="left"/>
    </w:pPr>
    <w:rPr>
      <w:rFonts w:ascii="Tahoma" w:eastAsia="SimSun" w:hAnsi="Tahoma" w:cs="Tahoma"/>
      <w:sz w:val="20"/>
    </w:rPr>
  </w:style>
  <w:style w:type="paragraph" w:styleId="Index9">
    <w:name w:val="index 9"/>
    <w:basedOn w:val="Normal"/>
    <w:next w:val="Normal"/>
    <w:autoRedefine/>
    <w:uiPriority w:val="99"/>
    <w:unhideWhenUsed/>
    <w:rsid w:val="001B7F77"/>
    <w:pPr>
      <w:ind w:left="1800" w:hanging="200"/>
      <w:jc w:val="left"/>
    </w:pPr>
    <w:rPr>
      <w:rFonts w:ascii="Tahoma" w:eastAsia="SimSun" w:hAnsi="Tahoma" w:cs="Tahoma"/>
      <w:sz w:val="20"/>
    </w:rPr>
  </w:style>
  <w:style w:type="paragraph" w:styleId="MacroText">
    <w:name w:val="macro"/>
    <w:link w:val="MacroTextChar"/>
    <w:uiPriority w:val="99"/>
    <w:unhideWhenUsed/>
    <w:rsid w:val="001B7F7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SimSun" w:hAnsi="Consolas" w:cs="Consolas"/>
      <w:sz w:val="20"/>
      <w:szCs w:val="20"/>
    </w:rPr>
  </w:style>
  <w:style w:type="character" w:customStyle="1" w:styleId="MacroTextChar">
    <w:name w:val="Macro Text Char"/>
    <w:basedOn w:val="DefaultParagraphFont"/>
    <w:link w:val="MacroText"/>
    <w:uiPriority w:val="99"/>
    <w:rsid w:val="001B7F77"/>
    <w:rPr>
      <w:rFonts w:ascii="Consolas" w:eastAsia="SimSun" w:hAnsi="Consolas" w:cs="Consolas"/>
      <w:sz w:val="20"/>
      <w:szCs w:val="20"/>
    </w:rPr>
  </w:style>
  <w:style w:type="paragraph" w:styleId="MessageHeader">
    <w:name w:val="Message Header"/>
    <w:basedOn w:val="Normal"/>
    <w:link w:val="MessageHeaderChar"/>
    <w:uiPriority w:val="99"/>
    <w:unhideWhenUsed/>
    <w:rsid w:val="001B7F77"/>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Calibri Light" w:eastAsia="Yu Gothic Light" w:hAnsi="Calibri Light"/>
      <w:szCs w:val="24"/>
    </w:rPr>
  </w:style>
  <w:style w:type="character" w:customStyle="1" w:styleId="MessageHeaderChar">
    <w:name w:val="Message Header Char"/>
    <w:basedOn w:val="DefaultParagraphFont"/>
    <w:link w:val="MessageHeader"/>
    <w:uiPriority w:val="99"/>
    <w:rsid w:val="001B7F77"/>
    <w:rPr>
      <w:rFonts w:ascii="Calibri Light" w:eastAsia="Yu Gothic Light" w:hAnsi="Calibri Light" w:cs="Times New Roman"/>
      <w:sz w:val="24"/>
      <w:szCs w:val="24"/>
      <w:shd w:val="pct20" w:color="auto" w:fill="auto"/>
    </w:rPr>
  </w:style>
  <w:style w:type="paragraph" w:styleId="NormalIndent">
    <w:name w:val="Normal Indent"/>
    <w:basedOn w:val="Normal"/>
    <w:uiPriority w:val="99"/>
    <w:unhideWhenUsed/>
    <w:rsid w:val="001B7F77"/>
    <w:pPr>
      <w:spacing w:after="240"/>
      <w:ind w:left="720"/>
      <w:jc w:val="left"/>
    </w:pPr>
    <w:rPr>
      <w:rFonts w:ascii="Tahoma" w:eastAsia="SimSun" w:hAnsi="Tahoma" w:cs="Tahoma"/>
      <w:sz w:val="20"/>
    </w:rPr>
  </w:style>
  <w:style w:type="paragraph" w:styleId="NoteHeading">
    <w:name w:val="Note Heading"/>
    <w:basedOn w:val="Normal"/>
    <w:next w:val="Normal"/>
    <w:link w:val="NoteHeadingChar"/>
    <w:uiPriority w:val="99"/>
    <w:unhideWhenUsed/>
    <w:rsid w:val="001B7F77"/>
    <w:pPr>
      <w:jc w:val="left"/>
    </w:pPr>
    <w:rPr>
      <w:rFonts w:ascii="Tahoma" w:eastAsia="SimSun" w:hAnsi="Tahoma" w:cs="Tahoma"/>
      <w:sz w:val="20"/>
    </w:rPr>
  </w:style>
  <w:style w:type="character" w:customStyle="1" w:styleId="NoteHeadingChar">
    <w:name w:val="Note Heading Char"/>
    <w:basedOn w:val="DefaultParagraphFont"/>
    <w:link w:val="NoteHeading"/>
    <w:uiPriority w:val="99"/>
    <w:rsid w:val="001B7F77"/>
    <w:rPr>
      <w:rFonts w:ascii="Tahoma" w:eastAsia="SimSun" w:hAnsi="Tahoma" w:cs="Tahoma"/>
      <w:sz w:val="20"/>
      <w:szCs w:val="20"/>
    </w:rPr>
  </w:style>
  <w:style w:type="character" w:styleId="Strong">
    <w:name w:val="Strong"/>
    <w:uiPriority w:val="22"/>
    <w:qFormat/>
    <w:rsid w:val="001B7F77"/>
    <w:rPr>
      <w:b/>
      <w:bCs/>
    </w:rPr>
  </w:style>
  <w:style w:type="character" w:styleId="SubtleEmphasis">
    <w:name w:val="Subtle Emphasis"/>
    <w:uiPriority w:val="19"/>
    <w:qFormat/>
    <w:rsid w:val="001B7F77"/>
    <w:rPr>
      <w:i/>
      <w:iCs/>
      <w:color w:val="808080"/>
    </w:rPr>
  </w:style>
  <w:style w:type="table" w:customStyle="1" w:styleId="a">
    <w:name w:val="a"/>
    <w:basedOn w:val="TableNormal"/>
    <w:rsid w:val="001B7F77"/>
    <w:pPr>
      <w:spacing w:after="0" w:line="240" w:lineRule="auto"/>
    </w:pPr>
    <w:rPr>
      <w:rFonts w:ascii="Tahoma" w:eastAsia="SimSun" w:hAnsi="Tahoma" w:cs="Tahoma"/>
      <w:color w:val="000000"/>
      <w:sz w:val="20"/>
      <w:szCs w:val="20"/>
    </w:rPr>
    <w:tblPr>
      <w:tblStyleRowBandSize w:val="1"/>
      <w:tblStyleColBandSize w:val="1"/>
      <w:tblCellMar>
        <w:left w:w="115" w:type="dxa"/>
        <w:right w:w="115" w:type="dxa"/>
      </w:tblCellMar>
    </w:tblPr>
    <w:tcPr>
      <w:shd w:val="clear" w:color="auto" w:fill="808080"/>
    </w:tcPr>
  </w:style>
  <w:style w:type="table" w:customStyle="1" w:styleId="a0">
    <w:name w:val="a0"/>
    <w:basedOn w:val="TableNormal"/>
    <w:rsid w:val="001B7F77"/>
    <w:pPr>
      <w:spacing w:after="0" w:line="240" w:lineRule="auto"/>
    </w:pPr>
    <w:rPr>
      <w:rFonts w:ascii="Tahoma" w:eastAsia="SimSun" w:hAnsi="Tahoma" w:cs="Tahoma"/>
      <w:color w:val="000000"/>
      <w:sz w:val="20"/>
      <w:szCs w:val="20"/>
    </w:rPr>
    <w:tblPr>
      <w:tblStyleRowBandSize w:val="1"/>
      <w:tblStyleColBandSize w:val="1"/>
      <w:tblCellMar>
        <w:left w:w="115" w:type="dxa"/>
        <w:right w:w="115" w:type="dxa"/>
      </w:tblCellMar>
    </w:tblPr>
    <w:tcPr>
      <w:shd w:val="clear" w:color="auto" w:fill="808080"/>
    </w:tcPr>
  </w:style>
  <w:style w:type="table" w:customStyle="1" w:styleId="a1">
    <w:name w:val="a1"/>
    <w:basedOn w:val="TableNormal"/>
    <w:rsid w:val="001B7F77"/>
    <w:pPr>
      <w:spacing w:after="0" w:line="240" w:lineRule="auto"/>
    </w:pPr>
    <w:rPr>
      <w:rFonts w:ascii="Tahoma" w:eastAsia="SimSun" w:hAnsi="Tahoma" w:cs="Tahoma"/>
      <w:color w:val="000000"/>
      <w:sz w:val="20"/>
      <w:szCs w:val="20"/>
    </w:rPr>
    <w:tblPr>
      <w:tblStyleRowBandSize w:val="1"/>
      <w:tblStyleColBandSize w:val="1"/>
      <w:tblCellMar>
        <w:left w:w="115" w:type="dxa"/>
        <w:right w:w="115" w:type="dxa"/>
      </w:tblCellMar>
    </w:tblPr>
    <w:tcPr>
      <w:shd w:val="clear" w:color="auto" w:fill="808080"/>
    </w:tcPr>
  </w:style>
  <w:style w:type="table" w:customStyle="1" w:styleId="a2">
    <w:name w:val="a2"/>
    <w:basedOn w:val="TableNormal"/>
    <w:rsid w:val="001B7F77"/>
    <w:pPr>
      <w:spacing w:after="0" w:line="240" w:lineRule="auto"/>
    </w:pPr>
    <w:rPr>
      <w:rFonts w:ascii="Tahoma" w:eastAsia="SimSun" w:hAnsi="Tahoma" w:cs="Tahoma"/>
      <w:color w:val="000000"/>
      <w:sz w:val="20"/>
      <w:szCs w:val="20"/>
    </w:rPr>
    <w:tblPr>
      <w:tblStyleRowBandSize w:val="1"/>
      <w:tblStyleColBandSize w:val="1"/>
      <w:tblCellMar>
        <w:left w:w="115" w:type="dxa"/>
        <w:right w:w="115" w:type="dxa"/>
      </w:tblCellMar>
    </w:tblPr>
    <w:tcPr>
      <w:shd w:val="clear" w:color="auto" w:fill="808080"/>
    </w:tcPr>
  </w:style>
  <w:style w:type="table" w:customStyle="1" w:styleId="a3">
    <w:name w:val="a3"/>
    <w:basedOn w:val="TableNormal"/>
    <w:rsid w:val="001B7F77"/>
    <w:pPr>
      <w:spacing w:after="0" w:line="240" w:lineRule="auto"/>
    </w:pPr>
    <w:rPr>
      <w:rFonts w:ascii="Tahoma" w:eastAsia="SimSun" w:hAnsi="Tahoma" w:cs="Tahoma"/>
      <w:color w:val="000000"/>
      <w:sz w:val="20"/>
      <w:szCs w:val="20"/>
    </w:rPr>
    <w:tblPr>
      <w:tblStyleRowBandSize w:val="1"/>
      <w:tblStyleColBandSize w:val="1"/>
      <w:tblCellMar>
        <w:left w:w="115" w:type="dxa"/>
        <w:right w:w="115" w:type="dxa"/>
      </w:tblCellMar>
    </w:tblPr>
    <w:tcPr>
      <w:shd w:val="clear" w:color="auto" w:fill="808080"/>
    </w:tcPr>
  </w:style>
  <w:style w:type="table" w:customStyle="1" w:styleId="a4">
    <w:name w:val="a4"/>
    <w:basedOn w:val="TableNormal"/>
    <w:rsid w:val="001B7F77"/>
    <w:pPr>
      <w:spacing w:after="0" w:line="240" w:lineRule="auto"/>
    </w:pPr>
    <w:rPr>
      <w:rFonts w:ascii="Tahoma" w:eastAsia="SimSun" w:hAnsi="Tahoma" w:cs="Tahoma"/>
      <w:color w:val="000000"/>
      <w:sz w:val="20"/>
      <w:szCs w:val="20"/>
    </w:rPr>
    <w:tblPr>
      <w:tblStyleRowBandSize w:val="1"/>
      <w:tblStyleColBandSize w:val="1"/>
      <w:tblCellMar>
        <w:left w:w="115" w:type="dxa"/>
        <w:right w:w="115" w:type="dxa"/>
      </w:tblCellMar>
    </w:tblPr>
    <w:tcPr>
      <w:shd w:val="clear" w:color="auto" w:fill="808080"/>
    </w:tcPr>
  </w:style>
  <w:style w:type="table" w:customStyle="1" w:styleId="a5">
    <w:name w:val="a5"/>
    <w:basedOn w:val="TableNormal"/>
    <w:rsid w:val="001B7F77"/>
    <w:pPr>
      <w:spacing w:after="0" w:line="240" w:lineRule="auto"/>
    </w:pPr>
    <w:rPr>
      <w:rFonts w:ascii="Tahoma" w:eastAsia="SimSun" w:hAnsi="Tahoma" w:cs="Tahoma"/>
      <w:color w:val="000000"/>
      <w:sz w:val="20"/>
      <w:szCs w:val="20"/>
    </w:rPr>
    <w:tblPr>
      <w:tblStyleRowBandSize w:val="1"/>
      <w:tblStyleColBandSize w:val="1"/>
      <w:tblCellMar>
        <w:left w:w="115" w:type="dxa"/>
        <w:right w:w="115" w:type="dxa"/>
      </w:tblCellMar>
    </w:tblPr>
    <w:tcPr>
      <w:shd w:val="clear" w:color="auto" w:fill="808080"/>
    </w:tcPr>
  </w:style>
  <w:style w:type="table" w:customStyle="1" w:styleId="a6">
    <w:name w:val="a6"/>
    <w:basedOn w:val="TableNormal"/>
    <w:rsid w:val="001B7F77"/>
    <w:pPr>
      <w:spacing w:after="0" w:line="240" w:lineRule="auto"/>
    </w:pPr>
    <w:rPr>
      <w:rFonts w:ascii="Tahoma" w:eastAsia="SimSun" w:hAnsi="Tahoma" w:cs="Tahoma"/>
      <w:color w:val="000000"/>
      <w:sz w:val="20"/>
      <w:szCs w:val="20"/>
    </w:rPr>
    <w:tblPr>
      <w:tblStyleRowBandSize w:val="1"/>
      <w:tblStyleColBandSize w:val="1"/>
      <w:tblCellMar>
        <w:left w:w="115" w:type="dxa"/>
        <w:right w:w="115" w:type="dxa"/>
      </w:tblCellMar>
    </w:tblPr>
    <w:tcPr>
      <w:shd w:val="clear" w:color="auto" w:fill="808080"/>
    </w:tcPr>
  </w:style>
  <w:style w:type="table" w:customStyle="1" w:styleId="a7">
    <w:name w:val="a7"/>
    <w:basedOn w:val="TableNormal"/>
    <w:rsid w:val="001B7F77"/>
    <w:pPr>
      <w:spacing w:after="0" w:line="240" w:lineRule="auto"/>
    </w:pPr>
    <w:rPr>
      <w:rFonts w:ascii="Tahoma" w:eastAsia="SimSun" w:hAnsi="Tahoma" w:cs="Tahoma"/>
      <w:color w:val="000000"/>
      <w:sz w:val="20"/>
      <w:szCs w:val="20"/>
    </w:rPr>
    <w:tblPr>
      <w:tblStyleRowBandSize w:val="1"/>
      <w:tblStyleColBandSize w:val="1"/>
      <w:tblCellMar>
        <w:left w:w="115" w:type="dxa"/>
        <w:right w:w="115" w:type="dxa"/>
      </w:tblCellMar>
    </w:tblPr>
    <w:tcPr>
      <w:shd w:val="clear" w:color="auto" w:fill="808080"/>
    </w:tcPr>
  </w:style>
  <w:style w:type="table" w:customStyle="1" w:styleId="a8">
    <w:name w:val="a8"/>
    <w:basedOn w:val="TableNormal"/>
    <w:rsid w:val="001B7F77"/>
    <w:pPr>
      <w:spacing w:after="0" w:line="240" w:lineRule="auto"/>
    </w:pPr>
    <w:rPr>
      <w:rFonts w:ascii="Tahoma" w:eastAsia="SimSun" w:hAnsi="Tahoma" w:cs="Tahoma"/>
      <w:color w:val="000000"/>
      <w:sz w:val="20"/>
      <w:szCs w:val="20"/>
    </w:rPr>
    <w:tblPr>
      <w:tblStyleRowBandSize w:val="1"/>
      <w:tblStyleColBandSize w:val="1"/>
      <w:tblCellMar>
        <w:left w:w="115" w:type="dxa"/>
        <w:right w:w="115" w:type="dxa"/>
      </w:tblCellMar>
    </w:tblPr>
    <w:tcPr>
      <w:shd w:val="clear" w:color="auto" w:fill="808080"/>
    </w:tcPr>
  </w:style>
  <w:style w:type="table" w:customStyle="1" w:styleId="a9">
    <w:name w:val="a9"/>
    <w:basedOn w:val="TableNormal"/>
    <w:rsid w:val="001B7F77"/>
    <w:pPr>
      <w:spacing w:after="0" w:line="240" w:lineRule="auto"/>
    </w:pPr>
    <w:rPr>
      <w:rFonts w:ascii="Tahoma" w:eastAsia="SimSun" w:hAnsi="Tahoma" w:cs="Tahoma"/>
      <w:color w:val="000000"/>
      <w:sz w:val="20"/>
      <w:szCs w:val="20"/>
    </w:rPr>
    <w:tblPr>
      <w:tblStyleRowBandSize w:val="1"/>
      <w:tblStyleColBandSize w:val="1"/>
      <w:tblCellMar>
        <w:left w:w="115" w:type="dxa"/>
        <w:right w:w="115" w:type="dxa"/>
      </w:tblCellMar>
    </w:tblPr>
    <w:tcPr>
      <w:shd w:val="clear" w:color="auto" w:fill="808080"/>
    </w:tcPr>
  </w:style>
  <w:style w:type="table" w:customStyle="1" w:styleId="aa">
    <w:name w:val="aa"/>
    <w:basedOn w:val="TableNormal"/>
    <w:rsid w:val="001B7F77"/>
    <w:pPr>
      <w:spacing w:after="0" w:line="240" w:lineRule="auto"/>
    </w:pPr>
    <w:rPr>
      <w:rFonts w:ascii="Tahoma" w:eastAsia="SimSun" w:hAnsi="Tahoma" w:cs="Tahoma"/>
      <w:color w:val="000000"/>
      <w:sz w:val="20"/>
      <w:szCs w:val="20"/>
    </w:rPr>
    <w:tblPr>
      <w:tblStyleRowBandSize w:val="1"/>
      <w:tblStyleColBandSize w:val="1"/>
      <w:tblCellMar>
        <w:left w:w="115" w:type="dxa"/>
        <w:right w:w="115" w:type="dxa"/>
      </w:tblCellMar>
    </w:tblPr>
    <w:tcPr>
      <w:shd w:val="clear" w:color="auto" w:fill="808080"/>
    </w:tcPr>
  </w:style>
  <w:style w:type="table" w:customStyle="1" w:styleId="8">
    <w:name w:val="8"/>
    <w:basedOn w:val="TableNormal"/>
    <w:rsid w:val="001B7F77"/>
    <w:pPr>
      <w:spacing w:after="0" w:line="240" w:lineRule="auto"/>
    </w:pPr>
    <w:rPr>
      <w:rFonts w:ascii="Tahoma" w:eastAsia="SimSun" w:hAnsi="Tahoma" w:cs="Tahoma"/>
      <w:color w:val="000000"/>
      <w:sz w:val="20"/>
      <w:szCs w:val="20"/>
    </w:rPr>
    <w:tblPr>
      <w:tblStyleRowBandSize w:val="1"/>
      <w:tblStyleColBandSize w:val="1"/>
      <w:tblCellMar>
        <w:left w:w="115" w:type="dxa"/>
        <w:right w:w="115" w:type="dxa"/>
      </w:tblCellMar>
    </w:tblPr>
    <w:tcPr>
      <w:shd w:val="clear" w:color="auto" w:fill="808080"/>
    </w:tcPr>
  </w:style>
  <w:style w:type="table" w:customStyle="1" w:styleId="7">
    <w:name w:val="7"/>
    <w:basedOn w:val="TableNormal"/>
    <w:rsid w:val="001B7F77"/>
    <w:pPr>
      <w:spacing w:after="0" w:line="240" w:lineRule="auto"/>
    </w:pPr>
    <w:rPr>
      <w:rFonts w:ascii="Tahoma" w:eastAsia="SimSun" w:hAnsi="Tahoma" w:cs="Tahoma"/>
      <w:color w:val="000000"/>
      <w:sz w:val="20"/>
      <w:szCs w:val="20"/>
    </w:rPr>
    <w:tblPr>
      <w:tblStyleRowBandSize w:val="1"/>
      <w:tblStyleColBandSize w:val="1"/>
      <w:tblCellMar>
        <w:left w:w="115" w:type="dxa"/>
        <w:right w:w="115" w:type="dxa"/>
      </w:tblCellMar>
    </w:tblPr>
    <w:tcPr>
      <w:shd w:val="clear" w:color="auto" w:fill="808080"/>
    </w:tcPr>
  </w:style>
  <w:style w:type="table" w:customStyle="1" w:styleId="6">
    <w:name w:val="6"/>
    <w:basedOn w:val="TableNormal"/>
    <w:rsid w:val="001B7F77"/>
    <w:pPr>
      <w:spacing w:after="0" w:line="240" w:lineRule="auto"/>
    </w:pPr>
    <w:rPr>
      <w:rFonts w:ascii="Tahoma" w:eastAsia="SimSun" w:hAnsi="Tahoma" w:cs="Tahoma"/>
      <w:color w:val="000000"/>
      <w:sz w:val="20"/>
      <w:szCs w:val="20"/>
    </w:rPr>
    <w:tblPr>
      <w:tblStyleRowBandSize w:val="1"/>
      <w:tblStyleColBandSize w:val="1"/>
      <w:tblCellMar>
        <w:left w:w="115" w:type="dxa"/>
        <w:right w:w="115" w:type="dxa"/>
      </w:tblCellMar>
    </w:tblPr>
    <w:tcPr>
      <w:shd w:val="clear" w:color="auto" w:fill="808080"/>
    </w:tcPr>
  </w:style>
  <w:style w:type="table" w:customStyle="1" w:styleId="5">
    <w:name w:val="5"/>
    <w:basedOn w:val="TableNormal"/>
    <w:rsid w:val="001B7F77"/>
    <w:pPr>
      <w:spacing w:after="0" w:line="240" w:lineRule="auto"/>
    </w:pPr>
    <w:rPr>
      <w:rFonts w:ascii="Tahoma" w:eastAsia="SimSun" w:hAnsi="Tahoma" w:cs="Tahoma"/>
      <w:color w:val="000000"/>
      <w:sz w:val="20"/>
      <w:szCs w:val="20"/>
    </w:rPr>
    <w:tblPr>
      <w:tblStyleRowBandSize w:val="1"/>
      <w:tblStyleColBandSize w:val="1"/>
      <w:tblCellMar>
        <w:left w:w="115" w:type="dxa"/>
        <w:right w:w="115" w:type="dxa"/>
      </w:tblCellMar>
    </w:tblPr>
    <w:tcPr>
      <w:shd w:val="clear" w:color="auto" w:fill="808080"/>
    </w:tcPr>
  </w:style>
  <w:style w:type="table" w:customStyle="1" w:styleId="4">
    <w:name w:val="4"/>
    <w:basedOn w:val="TableNormal"/>
    <w:rsid w:val="001B7F77"/>
    <w:pPr>
      <w:spacing w:after="0" w:line="240" w:lineRule="auto"/>
    </w:pPr>
    <w:rPr>
      <w:rFonts w:ascii="Tahoma" w:eastAsia="SimSun" w:hAnsi="Tahoma" w:cs="Tahoma"/>
      <w:color w:val="000000"/>
      <w:sz w:val="20"/>
      <w:szCs w:val="20"/>
    </w:rPr>
    <w:tblPr>
      <w:tblStyleRowBandSize w:val="1"/>
      <w:tblStyleColBandSize w:val="1"/>
      <w:tblCellMar>
        <w:left w:w="115" w:type="dxa"/>
        <w:right w:w="115" w:type="dxa"/>
      </w:tblCellMar>
    </w:tblPr>
    <w:tcPr>
      <w:shd w:val="clear" w:color="auto" w:fill="808080"/>
    </w:tcPr>
  </w:style>
  <w:style w:type="table" w:customStyle="1" w:styleId="3">
    <w:name w:val="3"/>
    <w:basedOn w:val="TableNormal"/>
    <w:rsid w:val="001B7F77"/>
    <w:pPr>
      <w:spacing w:after="0" w:line="240" w:lineRule="auto"/>
    </w:pPr>
    <w:rPr>
      <w:rFonts w:ascii="Tahoma" w:eastAsia="SimSun" w:hAnsi="Tahoma" w:cs="Tahoma"/>
      <w:color w:val="000000"/>
      <w:sz w:val="20"/>
      <w:szCs w:val="20"/>
    </w:rPr>
    <w:tblPr>
      <w:tblStyleRowBandSize w:val="1"/>
      <w:tblStyleColBandSize w:val="1"/>
      <w:tblCellMar>
        <w:left w:w="115" w:type="dxa"/>
        <w:right w:w="115" w:type="dxa"/>
      </w:tblCellMar>
    </w:tblPr>
    <w:tcPr>
      <w:shd w:val="clear" w:color="auto" w:fill="808080"/>
    </w:tcPr>
  </w:style>
  <w:style w:type="table" w:customStyle="1" w:styleId="2">
    <w:name w:val="2"/>
    <w:basedOn w:val="TableNormal"/>
    <w:rsid w:val="001B7F77"/>
    <w:pPr>
      <w:spacing w:after="0" w:line="240" w:lineRule="auto"/>
    </w:pPr>
    <w:rPr>
      <w:rFonts w:ascii="Tahoma" w:eastAsia="SimSun" w:hAnsi="Tahoma" w:cs="Tahoma"/>
      <w:color w:val="000000"/>
      <w:sz w:val="20"/>
      <w:szCs w:val="20"/>
    </w:rPr>
    <w:tblPr>
      <w:tblStyleRowBandSize w:val="1"/>
      <w:tblStyleColBandSize w:val="1"/>
      <w:tblCellMar>
        <w:left w:w="115" w:type="dxa"/>
        <w:right w:w="115" w:type="dxa"/>
      </w:tblCellMar>
    </w:tblPr>
    <w:tcPr>
      <w:shd w:val="clear" w:color="auto" w:fill="808080"/>
    </w:tcPr>
  </w:style>
  <w:style w:type="table" w:customStyle="1" w:styleId="1">
    <w:name w:val="1"/>
    <w:basedOn w:val="TableNormal"/>
    <w:rsid w:val="001B7F77"/>
    <w:pPr>
      <w:spacing w:after="0" w:line="240" w:lineRule="auto"/>
    </w:pPr>
    <w:rPr>
      <w:rFonts w:ascii="Tahoma" w:eastAsia="SimSun" w:hAnsi="Tahoma" w:cs="Tahoma"/>
      <w:color w:val="000000"/>
      <w:sz w:val="20"/>
      <w:szCs w:val="20"/>
    </w:rPr>
    <w:tblPr>
      <w:tblStyleRowBandSize w:val="1"/>
      <w:tblStyleColBandSize w:val="1"/>
      <w:tblCellMar>
        <w:left w:w="115" w:type="dxa"/>
        <w:right w:w="115" w:type="dxa"/>
      </w:tblCellMar>
    </w:tblPr>
    <w:tcPr>
      <w:shd w:val="clear" w:color="auto" w:fill="808080"/>
    </w:tcPr>
  </w:style>
  <w:style w:type="table" w:styleId="TableGridLight">
    <w:name w:val="Grid Table Light"/>
    <w:basedOn w:val="TableNormal"/>
    <w:uiPriority w:val="40"/>
    <w:rsid w:val="001B7F77"/>
    <w:pPr>
      <w:spacing w:after="0" w:line="240" w:lineRule="auto"/>
    </w:pPr>
    <w:rPr>
      <w:rFonts w:ascii="Tahoma" w:eastAsia="SimSun" w:hAnsi="Tahoma" w:cs="Tahoma"/>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2">
    <w:name w:val="No List2"/>
    <w:next w:val="NoList"/>
    <w:uiPriority w:val="99"/>
    <w:semiHidden/>
    <w:unhideWhenUsed/>
    <w:rsid w:val="0001508F"/>
  </w:style>
  <w:style w:type="numbering" w:customStyle="1" w:styleId="NoList12">
    <w:name w:val="No List12"/>
    <w:next w:val="NoList"/>
    <w:uiPriority w:val="99"/>
    <w:semiHidden/>
    <w:unhideWhenUsed/>
    <w:rsid w:val="0001508F"/>
  </w:style>
  <w:style w:type="table" w:customStyle="1" w:styleId="TableGrid14">
    <w:name w:val="Table Grid14"/>
    <w:basedOn w:val="TableNormal"/>
    <w:uiPriority w:val="59"/>
    <w:rsid w:val="0001508F"/>
    <w:pPr>
      <w:spacing w:after="0" w:line="240" w:lineRule="auto"/>
    </w:pPr>
    <w:rPr>
      <w:rFonts w:eastAsia="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uiPriority w:val="59"/>
    <w:rsid w:val="0001508F"/>
    <w:pPr>
      <w:spacing w:after="0" w:line="240" w:lineRule="auto"/>
    </w:pPr>
    <w:rPr>
      <w:rFonts w:eastAsia="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E40817"/>
  </w:style>
  <w:style w:type="paragraph" w:customStyle="1" w:styleId="Normal5">
    <w:name w:val="Normal+5"/>
    <w:basedOn w:val="Default"/>
    <w:next w:val="Default"/>
    <w:rsid w:val="00E40817"/>
    <w:rPr>
      <w:rFonts w:ascii="Times New Roman" w:eastAsia="Times New Roman" w:hAnsi="Times New Roman" w:cs="Times New Roman"/>
      <w:color w:val="auto"/>
    </w:rPr>
  </w:style>
  <w:style w:type="paragraph" w:customStyle="1" w:styleId="ICCFOOTAGE">
    <w:name w:val="ICCFOOTAGE"/>
    <w:uiPriority w:val="99"/>
    <w:rsid w:val="00E40817"/>
    <w:pPr>
      <w:widowControl w:val="0"/>
      <w:tabs>
        <w:tab w:val="left" w:pos="360"/>
      </w:tabs>
      <w:autoSpaceDE w:val="0"/>
      <w:autoSpaceDN w:val="0"/>
      <w:adjustRightInd w:val="0"/>
      <w:spacing w:after="0" w:line="240" w:lineRule="auto"/>
      <w:ind w:left="360" w:hanging="360"/>
    </w:pPr>
    <w:rPr>
      <w:rFonts w:ascii="Arial" w:eastAsia="Times New Roman" w:hAnsi="Arial" w:cs="Arial"/>
      <w:sz w:val="18"/>
      <w:szCs w:val="18"/>
    </w:rPr>
  </w:style>
  <w:style w:type="character" w:customStyle="1" w:styleId="SUBSCRIPT0">
    <w:name w:val="SUBSCRIPT"/>
    <w:uiPriority w:val="99"/>
    <w:rsid w:val="00E40817"/>
    <w:rPr>
      <w:color w:val="000000"/>
      <w:position w:val="-16"/>
      <w:sz w:val="16"/>
      <w:szCs w:val="16"/>
    </w:rPr>
  </w:style>
  <w:style w:type="character" w:customStyle="1" w:styleId="spelle">
    <w:name w:val="spelle"/>
    <w:uiPriority w:val="99"/>
    <w:rsid w:val="00E40817"/>
  </w:style>
  <w:style w:type="paragraph" w:customStyle="1" w:styleId="ICCBULLETL8">
    <w:name w:val="ICCBULLET_L8"/>
    <w:uiPriority w:val="99"/>
    <w:rsid w:val="00E40817"/>
    <w:pPr>
      <w:widowControl w:val="0"/>
      <w:tabs>
        <w:tab w:val="left" w:pos="1440"/>
      </w:tabs>
      <w:autoSpaceDE w:val="0"/>
      <w:autoSpaceDN w:val="0"/>
      <w:adjustRightInd w:val="0"/>
      <w:spacing w:after="0" w:line="240" w:lineRule="auto"/>
      <w:ind w:left="1440" w:hanging="360"/>
    </w:pPr>
    <w:rPr>
      <w:rFonts w:ascii="Arial" w:eastAsia="Times New Roman" w:hAnsi="Arial" w:cs="Arial"/>
    </w:rPr>
  </w:style>
  <w:style w:type="paragraph" w:customStyle="1" w:styleId="ICCBULLETL7">
    <w:name w:val="ICCBULLET_L7"/>
    <w:uiPriority w:val="99"/>
    <w:rsid w:val="00E40817"/>
    <w:pPr>
      <w:widowControl w:val="0"/>
      <w:tabs>
        <w:tab w:val="left" w:pos="1080"/>
      </w:tabs>
      <w:autoSpaceDE w:val="0"/>
      <w:autoSpaceDN w:val="0"/>
      <w:adjustRightInd w:val="0"/>
      <w:spacing w:after="0" w:line="240" w:lineRule="auto"/>
      <w:ind w:left="1080" w:hanging="360"/>
    </w:pPr>
    <w:rPr>
      <w:rFonts w:ascii="Arial" w:eastAsia="Times New Roman" w:hAnsi="Arial" w:cs="Arial"/>
    </w:rPr>
  </w:style>
  <w:style w:type="paragraph" w:customStyle="1" w:styleId="ICCSECTIONl4L7">
    <w:name w:val="ICCSECTION_l4_L7"/>
    <w:uiPriority w:val="99"/>
    <w:rsid w:val="00E40817"/>
    <w:pPr>
      <w:widowControl w:val="0"/>
      <w:autoSpaceDE w:val="0"/>
      <w:autoSpaceDN w:val="0"/>
      <w:adjustRightInd w:val="0"/>
      <w:spacing w:after="0" w:line="240" w:lineRule="auto"/>
      <w:ind w:left="720"/>
    </w:pPr>
    <w:rPr>
      <w:rFonts w:ascii="Arial" w:eastAsia="Times New Roman" w:hAnsi="Arial" w:cs="Arial"/>
    </w:rPr>
  </w:style>
  <w:style w:type="paragraph" w:customStyle="1" w:styleId="ICCSECTIONl3L6">
    <w:name w:val="ICCSECTION_l3_L6"/>
    <w:uiPriority w:val="99"/>
    <w:rsid w:val="00E40817"/>
    <w:pPr>
      <w:widowControl w:val="0"/>
      <w:autoSpaceDE w:val="0"/>
      <w:autoSpaceDN w:val="0"/>
      <w:adjustRightInd w:val="0"/>
      <w:spacing w:after="0" w:line="240" w:lineRule="auto"/>
      <w:ind w:left="360"/>
    </w:pPr>
    <w:rPr>
      <w:rFonts w:ascii="Arial" w:eastAsia="Times New Roman" w:hAnsi="Arial" w:cs="Arial"/>
    </w:rPr>
  </w:style>
  <w:style w:type="paragraph" w:customStyle="1" w:styleId="ICCTABLEL7">
    <w:name w:val="ICCTABLE_L7"/>
    <w:uiPriority w:val="99"/>
    <w:rsid w:val="00E40817"/>
    <w:pPr>
      <w:widowControl w:val="0"/>
      <w:autoSpaceDE w:val="0"/>
      <w:autoSpaceDN w:val="0"/>
      <w:adjustRightInd w:val="0"/>
      <w:spacing w:after="0" w:line="240" w:lineRule="auto"/>
      <w:jc w:val="center"/>
    </w:pPr>
    <w:rPr>
      <w:rFonts w:ascii="Arial" w:eastAsia="Times New Roman" w:hAnsi="Arial" w:cs="Arial"/>
      <w:b/>
      <w:bCs/>
    </w:rPr>
  </w:style>
  <w:style w:type="paragraph" w:customStyle="1" w:styleId="ICCSECONDPARA">
    <w:name w:val="ICCSECONDPARA"/>
    <w:uiPriority w:val="99"/>
    <w:rsid w:val="00E40817"/>
    <w:pPr>
      <w:widowControl w:val="0"/>
      <w:autoSpaceDE w:val="0"/>
      <w:autoSpaceDN w:val="0"/>
      <w:adjustRightInd w:val="0"/>
      <w:spacing w:after="0" w:line="240" w:lineRule="auto"/>
      <w:ind w:firstLine="360"/>
    </w:pPr>
    <w:rPr>
      <w:rFonts w:ascii="Arial" w:eastAsia="Times New Roman" w:hAnsi="Arial" w:cs="Arial"/>
    </w:rPr>
  </w:style>
  <w:style w:type="table" w:customStyle="1" w:styleId="NYSERDATable1">
    <w:name w:val="NYSERDA Table1"/>
    <w:basedOn w:val="TableNormal"/>
    <w:next w:val="TableGrid"/>
    <w:uiPriority w:val="39"/>
    <w:rsid w:val="00E408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E408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E40817"/>
  </w:style>
  <w:style w:type="character" w:customStyle="1" w:styleId="Note">
    <w:name w:val="Note"/>
    <w:uiPriority w:val="99"/>
    <w:rsid w:val="00E40817"/>
  </w:style>
  <w:style w:type="character" w:customStyle="1" w:styleId="Popup">
    <w:name w:val="Popup"/>
    <w:uiPriority w:val="99"/>
    <w:rsid w:val="00E40817"/>
  </w:style>
  <w:style w:type="character" w:customStyle="1" w:styleId="ICCSECTIONl5L8Char">
    <w:name w:val="ICCSECTION_l5_L8 Char"/>
    <w:link w:val="ICCSECTIONl5L8"/>
    <w:uiPriority w:val="99"/>
    <w:rsid w:val="00E40817"/>
    <w:rPr>
      <w:rFonts w:ascii="Arial" w:hAnsi="Arial" w:cs="Arial"/>
    </w:rPr>
  </w:style>
  <w:style w:type="paragraph" w:customStyle="1" w:styleId="ICCCHAPTERl0L2">
    <w:name w:val="ICCCHAPTER_l0_L2"/>
    <w:uiPriority w:val="99"/>
    <w:rsid w:val="00E40817"/>
    <w:pPr>
      <w:widowControl w:val="0"/>
      <w:autoSpaceDE w:val="0"/>
      <w:autoSpaceDN w:val="0"/>
      <w:adjustRightInd w:val="0"/>
      <w:spacing w:after="0" w:line="240" w:lineRule="auto"/>
      <w:jc w:val="center"/>
    </w:pPr>
    <w:rPr>
      <w:rFonts w:ascii="Arial" w:eastAsia="Times New Roman" w:hAnsi="Arial" w:cs="Arial"/>
      <w:b/>
      <w:bCs/>
      <w:sz w:val="36"/>
      <w:szCs w:val="36"/>
    </w:rPr>
  </w:style>
  <w:style w:type="paragraph" w:customStyle="1" w:styleId="ICCSECTIONl6L11">
    <w:name w:val="ICCSECTION_l6_L11"/>
    <w:uiPriority w:val="99"/>
    <w:rsid w:val="00E40817"/>
    <w:pPr>
      <w:widowControl w:val="0"/>
      <w:autoSpaceDE w:val="0"/>
      <w:autoSpaceDN w:val="0"/>
      <w:adjustRightInd w:val="0"/>
      <w:spacing w:after="0" w:line="240" w:lineRule="auto"/>
      <w:ind w:left="2160"/>
    </w:pPr>
    <w:rPr>
      <w:rFonts w:ascii="Arial" w:eastAsia="Times New Roman" w:hAnsi="Arial" w:cs="Arial"/>
      <w:b/>
      <w:bCs/>
    </w:rPr>
  </w:style>
  <w:style w:type="paragraph" w:customStyle="1" w:styleId="ICCSECTIONl3L8">
    <w:name w:val="ICCSECTION_l3_L8"/>
    <w:uiPriority w:val="99"/>
    <w:rsid w:val="00E40817"/>
    <w:pPr>
      <w:widowControl w:val="0"/>
      <w:autoSpaceDE w:val="0"/>
      <w:autoSpaceDN w:val="0"/>
      <w:adjustRightInd w:val="0"/>
      <w:spacing w:after="0" w:line="240" w:lineRule="auto"/>
      <w:ind w:left="1080"/>
    </w:pPr>
    <w:rPr>
      <w:rFonts w:ascii="Arial" w:eastAsia="Times New Roman" w:hAnsi="Arial" w:cs="Arial"/>
    </w:rPr>
  </w:style>
  <w:style w:type="paragraph" w:customStyle="1" w:styleId="ICCSECTIONl2L7">
    <w:name w:val="ICCSECTION_l2_L7"/>
    <w:uiPriority w:val="99"/>
    <w:rsid w:val="00E40817"/>
    <w:pPr>
      <w:widowControl w:val="0"/>
      <w:autoSpaceDE w:val="0"/>
      <w:autoSpaceDN w:val="0"/>
      <w:adjustRightInd w:val="0"/>
      <w:spacing w:after="0" w:line="240" w:lineRule="auto"/>
      <w:ind w:left="720"/>
    </w:pPr>
    <w:rPr>
      <w:rFonts w:ascii="Arial" w:eastAsia="Times New Roman" w:hAnsi="Arial" w:cs="Arial"/>
    </w:rPr>
  </w:style>
  <w:style w:type="paragraph" w:customStyle="1" w:styleId="ICCSECTIONl7L12">
    <w:name w:val="ICCSECTION_l7_L12"/>
    <w:uiPriority w:val="99"/>
    <w:rsid w:val="00E40817"/>
    <w:pPr>
      <w:widowControl w:val="0"/>
      <w:autoSpaceDE w:val="0"/>
      <w:autoSpaceDN w:val="0"/>
      <w:adjustRightInd w:val="0"/>
      <w:spacing w:after="0" w:line="240" w:lineRule="auto"/>
      <w:ind w:left="2520"/>
    </w:pPr>
    <w:rPr>
      <w:rFonts w:ascii="Arial" w:eastAsia="Times New Roman" w:hAnsi="Arial" w:cs="Arial"/>
      <w:b/>
      <w:bCs/>
    </w:rPr>
  </w:style>
  <w:style w:type="paragraph" w:customStyle="1" w:styleId="ICCBULLETL5">
    <w:name w:val="ICCBULLET_L5"/>
    <w:uiPriority w:val="99"/>
    <w:rsid w:val="00E40817"/>
    <w:pPr>
      <w:widowControl w:val="0"/>
      <w:tabs>
        <w:tab w:val="left" w:pos="360"/>
      </w:tabs>
      <w:autoSpaceDE w:val="0"/>
      <w:autoSpaceDN w:val="0"/>
      <w:adjustRightInd w:val="0"/>
      <w:spacing w:after="0" w:line="240" w:lineRule="auto"/>
      <w:ind w:left="360" w:hanging="360"/>
    </w:pPr>
    <w:rPr>
      <w:rFonts w:ascii="Arial" w:eastAsia="Times New Roman" w:hAnsi="Arial" w:cs="Arial"/>
    </w:rPr>
  </w:style>
  <w:style w:type="paragraph" w:customStyle="1" w:styleId="ICCSECTIONl5L10">
    <w:name w:val="ICCSECTION_l5_L10"/>
    <w:uiPriority w:val="99"/>
    <w:rsid w:val="00E40817"/>
    <w:pPr>
      <w:widowControl w:val="0"/>
      <w:autoSpaceDE w:val="0"/>
      <w:autoSpaceDN w:val="0"/>
      <w:adjustRightInd w:val="0"/>
      <w:spacing w:after="0" w:line="240" w:lineRule="auto"/>
      <w:ind w:left="1800"/>
    </w:pPr>
    <w:rPr>
      <w:rFonts w:ascii="Arial" w:eastAsia="Times New Roman" w:hAnsi="Arial" w:cs="Arial"/>
      <w:b/>
      <w:bCs/>
    </w:rPr>
  </w:style>
  <w:style w:type="paragraph" w:customStyle="1" w:styleId="ICCPARTl1L4">
    <w:name w:val="ICCPART_l1_L4"/>
    <w:uiPriority w:val="99"/>
    <w:rsid w:val="00E40817"/>
    <w:pPr>
      <w:widowControl w:val="0"/>
      <w:autoSpaceDE w:val="0"/>
      <w:autoSpaceDN w:val="0"/>
      <w:adjustRightInd w:val="0"/>
      <w:spacing w:after="0" w:line="240" w:lineRule="auto"/>
      <w:jc w:val="center"/>
    </w:pPr>
    <w:rPr>
      <w:rFonts w:ascii="Arial" w:eastAsia="Times New Roman" w:hAnsi="Arial" w:cs="Arial"/>
      <w:b/>
      <w:bCs/>
      <w:sz w:val="24"/>
      <w:szCs w:val="24"/>
    </w:rPr>
  </w:style>
  <w:style w:type="paragraph" w:customStyle="1" w:styleId="ICCTITLEL01">
    <w:name w:val="ICCTITLE_L01"/>
    <w:uiPriority w:val="99"/>
    <w:rsid w:val="00E40817"/>
    <w:pPr>
      <w:widowControl w:val="0"/>
      <w:shd w:val="solid" w:color="000000" w:fill="auto"/>
      <w:autoSpaceDE w:val="0"/>
      <w:autoSpaceDN w:val="0"/>
      <w:adjustRightInd w:val="0"/>
      <w:spacing w:after="0" w:line="240" w:lineRule="auto"/>
    </w:pPr>
    <w:rPr>
      <w:rFonts w:ascii="Arial" w:eastAsia="Times New Roman" w:hAnsi="Arial" w:cs="Arial"/>
      <w:color w:val="FFFFFF"/>
      <w:sz w:val="40"/>
      <w:szCs w:val="40"/>
    </w:rPr>
  </w:style>
  <w:style w:type="paragraph" w:customStyle="1" w:styleId="ICCTABLEL6">
    <w:name w:val="ICCTABLE_L6"/>
    <w:uiPriority w:val="99"/>
    <w:rsid w:val="00E40817"/>
    <w:pPr>
      <w:widowControl w:val="0"/>
      <w:autoSpaceDE w:val="0"/>
      <w:autoSpaceDN w:val="0"/>
      <w:adjustRightInd w:val="0"/>
      <w:spacing w:after="0" w:line="240" w:lineRule="auto"/>
      <w:jc w:val="center"/>
    </w:pPr>
    <w:rPr>
      <w:rFonts w:ascii="Arial" w:eastAsia="Times New Roman" w:hAnsi="Arial" w:cs="Arial"/>
      <w:b/>
      <w:bCs/>
    </w:rPr>
  </w:style>
  <w:style w:type="paragraph" w:customStyle="1" w:styleId="ICCSECTIONl6L9">
    <w:name w:val="ICCSECTION_l6_L9"/>
    <w:uiPriority w:val="99"/>
    <w:rsid w:val="00E40817"/>
    <w:pPr>
      <w:widowControl w:val="0"/>
      <w:autoSpaceDE w:val="0"/>
      <w:autoSpaceDN w:val="0"/>
      <w:adjustRightInd w:val="0"/>
      <w:spacing w:after="0" w:line="240" w:lineRule="auto"/>
      <w:ind w:left="1440"/>
    </w:pPr>
    <w:rPr>
      <w:rFonts w:ascii="Arial" w:eastAsia="Times New Roman" w:hAnsi="Arial" w:cs="Arial"/>
    </w:rPr>
  </w:style>
  <w:style w:type="paragraph" w:customStyle="1" w:styleId="ICCSECTIONl5L8">
    <w:name w:val="ICCSECTION_l5_L8"/>
    <w:link w:val="ICCSECTIONl5L8Char"/>
    <w:uiPriority w:val="99"/>
    <w:rsid w:val="00E40817"/>
    <w:pPr>
      <w:widowControl w:val="0"/>
      <w:autoSpaceDE w:val="0"/>
      <w:autoSpaceDN w:val="0"/>
      <w:adjustRightInd w:val="0"/>
      <w:spacing w:after="0" w:line="240" w:lineRule="auto"/>
      <w:ind w:left="1080"/>
    </w:pPr>
    <w:rPr>
      <w:rFonts w:ascii="Arial" w:hAnsi="Arial" w:cs="Arial"/>
    </w:rPr>
  </w:style>
  <w:style w:type="paragraph" w:customStyle="1" w:styleId="ICCPARTl0L1">
    <w:name w:val="ICCPART_l0_L1"/>
    <w:uiPriority w:val="99"/>
    <w:rsid w:val="00E40817"/>
    <w:pPr>
      <w:widowControl w:val="0"/>
      <w:autoSpaceDE w:val="0"/>
      <w:autoSpaceDN w:val="0"/>
      <w:adjustRightInd w:val="0"/>
      <w:spacing w:after="0" w:line="240" w:lineRule="auto"/>
      <w:jc w:val="center"/>
    </w:pPr>
    <w:rPr>
      <w:rFonts w:ascii="Arial" w:eastAsia="Times New Roman" w:hAnsi="Arial" w:cs="Arial"/>
      <w:b/>
      <w:bCs/>
      <w:sz w:val="36"/>
      <w:szCs w:val="36"/>
    </w:rPr>
  </w:style>
  <w:style w:type="paragraph" w:customStyle="1" w:styleId="ICCTITLEL0">
    <w:name w:val="ICCTITLE_L0"/>
    <w:uiPriority w:val="99"/>
    <w:rsid w:val="00E40817"/>
    <w:pPr>
      <w:keepNext/>
      <w:widowControl w:val="0"/>
      <w:autoSpaceDE w:val="0"/>
      <w:autoSpaceDN w:val="0"/>
      <w:adjustRightInd w:val="0"/>
      <w:spacing w:after="0" w:line="240" w:lineRule="auto"/>
      <w:jc w:val="center"/>
    </w:pPr>
    <w:rPr>
      <w:rFonts w:ascii="Arial" w:eastAsia="Times New Roman" w:hAnsi="Arial" w:cs="Arial"/>
      <w:b/>
      <w:bCs/>
      <w:color w:val="FFFFFF"/>
      <w:sz w:val="36"/>
      <w:szCs w:val="36"/>
      <w:shd w:val="clear" w:color="000000" w:fill="000000"/>
    </w:rPr>
  </w:style>
  <w:style w:type="paragraph" w:customStyle="1" w:styleId="ICCPARTl1L3">
    <w:name w:val="ICCPART_l1_L3"/>
    <w:uiPriority w:val="99"/>
    <w:rsid w:val="00E40817"/>
    <w:pPr>
      <w:widowControl w:val="0"/>
      <w:autoSpaceDE w:val="0"/>
      <w:autoSpaceDN w:val="0"/>
      <w:adjustRightInd w:val="0"/>
      <w:spacing w:after="0" w:line="240" w:lineRule="auto"/>
    </w:pPr>
    <w:rPr>
      <w:rFonts w:ascii="Arial" w:eastAsia="Times New Roman" w:hAnsi="Arial" w:cs="Arial"/>
      <w:b/>
      <w:bCs/>
      <w:sz w:val="24"/>
      <w:szCs w:val="24"/>
    </w:rPr>
  </w:style>
  <w:style w:type="paragraph" w:customStyle="1" w:styleId="ICCTABLEL8">
    <w:name w:val="ICCTABLE_L8"/>
    <w:uiPriority w:val="99"/>
    <w:rsid w:val="00E40817"/>
    <w:pPr>
      <w:widowControl w:val="0"/>
      <w:autoSpaceDE w:val="0"/>
      <w:autoSpaceDN w:val="0"/>
      <w:adjustRightInd w:val="0"/>
      <w:spacing w:after="0" w:line="240" w:lineRule="auto"/>
      <w:jc w:val="center"/>
    </w:pPr>
    <w:rPr>
      <w:rFonts w:ascii="Arial" w:eastAsia="Times New Roman" w:hAnsi="Arial" w:cs="Arial"/>
      <w:b/>
      <w:bCs/>
    </w:rPr>
  </w:style>
  <w:style w:type="paragraph" w:customStyle="1" w:styleId="ICCTABLEL4">
    <w:name w:val="ICCTABLE_L4"/>
    <w:uiPriority w:val="99"/>
    <w:rsid w:val="00E40817"/>
    <w:pPr>
      <w:widowControl w:val="0"/>
      <w:autoSpaceDE w:val="0"/>
      <w:autoSpaceDN w:val="0"/>
      <w:adjustRightInd w:val="0"/>
      <w:spacing w:after="0" w:line="240" w:lineRule="auto"/>
      <w:jc w:val="center"/>
    </w:pPr>
    <w:rPr>
      <w:rFonts w:ascii="Arial" w:eastAsia="Times New Roman" w:hAnsi="Arial" w:cs="Arial"/>
      <w:b/>
      <w:bCs/>
      <w:color w:val="000000"/>
    </w:rPr>
  </w:style>
  <w:style w:type="paragraph" w:customStyle="1" w:styleId="ICCFIGUREL4">
    <w:name w:val="ICCFIGURE_L4"/>
    <w:uiPriority w:val="99"/>
    <w:rsid w:val="00E40817"/>
    <w:pPr>
      <w:widowControl w:val="0"/>
      <w:autoSpaceDE w:val="0"/>
      <w:autoSpaceDN w:val="0"/>
      <w:adjustRightInd w:val="0"/>
      <w:spacing w:after="0" w:line="240" w:lineRule="auto"/>
      <w:jc w:val="center"/>
    </w:pPr>
    <w:rPr>
      <w:rFonts w:ascii="Arial" w:eastAsia="Times New Roman" w:hAnsi="Arial" w:cs="Arial"/>
      <w:b/>
      <w:bCs/>
      <w:color w:val="000000"/>
      <w:sz w:val="24"/>
      <w:szCs w:val="24"/>
    </w:rPr>
  </w:style>
  <w:style w:type="paragraph" w:customStyle="1" w:styleId="ICCSECTIONl0L5">
    <w:name w:val="ICCSECTION_l0_L5"/>
    <w:uiPriority w:val="99"/>
    <w:rsid w:val="00E40817"/>
    <w:pPr>
      <w:widowControl w:val="0"/>
      <w:autoSpaceDE w:val="0"/>
      <w:autoSpaceDN w:val="0"/>
      <w:adjustRightInd w:val="0"/>
      <w:spacing w:after="0" w:line="240" w:lineRule="auto"/>
    </w:pPr>
    <w:rPr>
      <w:rFonts w:ascii="Arial" w:eastAsia="Times New Roman" w:hAnsi="Arial" w:cs="Arial"/>
      <w:b/>
      <w:bCs/>
    </w:rPr>
  </w:style>
  <w:style w:type="paragraph" w:customStyle="1" w:styleId="ICCSECTIONl1L6">
    <w:name w:val="ICCSECTION_l1_L6"/>
    <w:uiPriority w:val="99"/>
    <w:rsid w:val="00E40817"/>
    <w:pPr>
      <w:widowControl w:val="0"/>
      <w:autoSpaceDE w:val="0"/>
      <w:autoSpaceDN w:val="0"/>
      <w:adjustRightInd w:val="0"/>
      <w:spacing w:after="0" w:line="240" w:lineRule="auto"/>
      <w:ind w:left="360"/>
    </w:pPr>
    <w:rPr>
      <w:rFonts w:ascii="Arial" w:eastAsia="Times New Roman" w:hAnsi="Arial" w:cs="Arial"/>
      <w:b/>
      <w:bCs/>
    </w:rPr>
  </w:style>
  <w:style w:type="paragraph" w:customStyle="1" w:styleId="ICCBULLETL9">
    <w:name w:val="ICCBULLET_L9"/>
    <w:uiPriority w:val="99"/>
    <w:rsid w:val="00E40817"/>
    <w:pPr>
      <w:widowControl w:val="0"/>
      <w:tabs>
        <w:tab w:val="left" w:pos="1800"/>
      </w:tabs>
      <w:autoSpaceDE w:val="0"/>
      <w:autoSpaceDN w:val="0"/>
      <w:adjustRightInd w:val="0"/>
      <w:spacing w:after="0" w:line="240" w:lineRule="auto"/>
      <w:ind w:left="1800" w:hanging="360"/>
    </w:pPr>
    <w:rPr>
      <w:rFonts w:ascii="Arial" w:eastAsia="Times New Roman" w:hAnsi="Arial" w:cs="Arial"/>
      <w:color w:val="000000"/>
    </w:rPr>
  </w:style>
  <w:style w:type="paragraph" w:customStyle="1" w:styleId="ICCSECTIONl4L9">
    <w:name w:val="ICCSECTION_l4_L9"/>
    <w:uiPriority w:val="99"/>
    <w:rsid w:val="00E40817"/>
    <w:pPr>
      <w:widowControl w:val="0"/>
      <w:autoSpaceDE w:val="0"/>
      <w:autoSpaceDN w:val="0"/>
      <w:adjustRightInd w:val="0"/>
      <w:spacing w:after="0" w:line="240" w:lineRule="auto"/>
      <w:ind w:left="1440"/>
    </w:pPr>
    <w:rPr>
      <w:rFonts w:ascii="Arial" w:eastAsia="Times New Roman" w:hAnsi="Arial" w:cs="Arial"/>
      <w:b/>
      <w:bCs/>
      <w:color w:val="000000"/>
    </w:rPr>
  </w:style>
  <w:style w:type="paragraph" w:customStyle="1" w:styleId="ICCFIGUREL3">
    <w:name w:val="ICCFIGURE_L3"/>
    <w:uiPriority w:val="99"/>
    <w:rsid w:val="00E40817"/>
    <w:pPr>
      <w:widowControl w:val="0"/>
      <w:autoSpaceDE w:val="0"/>
      <w:autoSpaceDN w:val="0"/>
      <w:adjustRightInd w:val="0"/>
      <w:spacing w:after="0" w:line="240" w:lineRule="auto"/>
      <w:jc w:val="center"/>
    </w:pPr>
    <w:rPr>
      <w:rFonts w:ascii="Arial" w:eastAsia="Times New Roman" w:hAnsi="Arial" w:cs="Arial"/>
      <w:b/>
      <w:bCs/>
      <w:color w:val="000000"/>
    </w:rPr>
  </w:style>
  <w:style w:type="paragraph" w:customStyle="1" w:styleId="ICCFIGUREL5">
    <w:name w:val="ICCFIGURE_L5"/>
    <w:uiPriority w:val="99"/>
    <w:rsid w:val="00E40817"/>
    <w:pPr>
      <w:widowControl w:val="0"/>
      <w:autoSpaceDE w:val="0"/>
      <w:autoSpaceDN w:val="0"/>
      <w:adjustRightInd w:val="0"/>
      <w:spacing w:after="0" w:line="240" w:lineRule="auto"/>
      <w:jc w:val="center"/>
    </w:pPr>
    <w:rPr>
      <w:rFonts w:ascii="Arial" w:eastAsia="Times New Roman" w:hAnsi="Arial" w:cs="Arial"/>
      <w:b/>
      <w:bCs/>
    </w:rPr>
  </w:style>
  <w:style w:type="paragraph" w:customStyle="1" w:styleId="ICCFIGUREL6">
    <w:name w:val="ICCFIGURE_L6"/>
    <w:uiPriority w:val="99"/>
    <w:rsid w:val="00E40817"/>
    <w:pPr>
      <w:widowControl w:val="0"/>
      <w:autoSpaceDE w:val="0"/>
      <w:autoSpaceDN w:val="0"/>
      <w:adjustRightInd w:val="0"/>
      <w:spacing w:after="0" w:line="240" w:lineRule="auto"/>
      <w:jc w:val="center"/>
    </w:pPr>
    <w:rPr>
      <w:rFonts w:ascii="Arial" w:eastAsia="Times New Roman" w:hAnsi="Arial" w:cs="Arial"/>
      <w:b/>
      <w:bCs/>
    </w:rPr>
  </w:style>
  <w:style w:type="paragraph" w:customStyle="1" w:styleId="ICCFIGUREL7">
    <w:name w:val="ICCFIGURE_L7"/>
    <w:uiPriority w:val="99"/>
    <w:rsid w:val="00E40817"/>
    <w:pPr>
      <w:widowControl w:val="0"/>
      <w:autoSpaceDE w:val="0"/>
      <w:autoSpaceDN w:val="0"/>
      <w:adjustRightInd w:val="0"/>
      <w:spacing w:after="0" w:line="240" w:lineRule="auto"/>
      <w:jc w:val="center"/>
    </w:pPr>
    <w:rPr>
      <w:rFonts w:ascii="Arial" w:eastAsia="Times New Roman" w:hAnsi="Arial" w:cs="Arial"/>
      <w:b/>
      <w:bCs/>
    </w:rPr>
  </w:style>
  <w:style w:type="paragraph" w:customStyle="1" w:styleId="ICCSECTIONl9L12">
    <w:name w:val="ICCSECTION_l9_L12"/>
    <w:uiPriority w:val="99"/>
    <w:rsid w:val="00E40817"/>
    <w:pPr>
      <w:widowControl w:val="0"/>
      <w:autoSpaceDE w:val="0"/>
      <w:autoSpaceDN w:val="0"/>
      <w:adjustRightInd w:val="0"/>
      <w:spacing w:after="0" w:line="240" w:lineRule="auto"/>
      <w:ind w:left="2520"/>
    </w:pPr>
    <w:rPr>
      <w:rFonts w:ascii="Arial" w:eastAsia="Times New Roman" w:hAnsi="Arial" w:cs="Arial"/>
    </w:rPr>
  </w:style>
  <w:style w:type="paragraph" w:customStyle="1" w:styleId="ICCSECTIONl1L4">
    <w:name w:val="ICCSECTION_l1_L4"/>
    <w:uiPriority w:val="99"/>
    <w:rsid w:val="00E40817"/>
    <w:pPr>
      <w:widowControl w:val="0"/>
      <w:autoSpaceDE w:val="0"/>
      <w:autoSpaceDN w:val="0"/>
      <w:adjustRightInd w:val="0"/>
      <w:spacing w:after="0" w:line="240" w:lineRule="auto"/>
      <w:jc w:val="center"/>
    </w:pPr>
    <w:rPr>
      <w:rFonts w:ascii="Arial" w:eastAsia="Times New Roman" w:hAnsi="Arial" w:cs="Arial"/>
      <w:b/>
      <w:bCs/>
      <w:sz w:val="24"/>
      <w:szCs w:val="24"/>
    </w:rPr>
  </w:style>
  <w:style w:type="paragraph" w:customStyle="1" w:styleId="ICCFIGUREL8">
    <w:name w:val="ICCFIGURE_L8"/>
    <w:uiPriority w:val="99"/>
    <w:rsid w:val="00E40817"/>
    <w:pPr>
      <w:widowControl w:val="0"/>
      <w:autoSpaceDE w:val="0"/>
      <w:autoSpaceDN w:val="0"/>
      <w:adjustRightInd w:val="0"/>
      <w:spacing w:after="0" w:line="240" w:lineRule="auto"/>
      <w:jc w:val="center"/>
    </w:pPr>
    <w:rPr>
      <w:rFonts w:ascii="Arial" w:eastAsia="Times New Roman" w:hAnsi="Arial" w:cs="Arial"/>
      <w:b/>
      <w:bCs/>
    </w:rPr>
  </w:style>
  <w:style w:type="paragraph" w:customStyle="1" w:styleId="ICCSECTIONl7L10">
    <w:name w:val="ICCSECTION_l7_L10"/>
    <w:uiPriority w:val="99"/>
    <w:rsid w:val="00E40817"/>
    <w:pPr>
      <w:widowControl w:val="0"/>
      <w:autoSpaceDE w:val="0"/>
      <w:autoSpaceDN w:val="0"/>
      <w:adjustRightInd w:val="0"/>
      <w:spacing w:after="0" w:line="240" w:lineRule="auto"/>
      <w:ind w:left="1800"/>
    </w:pPr>
    <w:rPr>
      <w:rFonts w:ascii="Arial" w:eastAsia="Times New Roman" w:hAnsi="Arial" w:cs="Arial"/>
    </w:rPr>
  </w:style>
  <w:style w:type="paragraph" w:customStyle="1" w:styleId="ICCPARTl1L31">
    <w:name w:val="ICCPART_l1_L31"/>
    <w:uiPriority w:val="99"/>
    <w:rsid w:val="00E40817"/>
    <w:pPr>
      <w:widowControl w:val="0"/>
      <w:autoSpaceDE w:val="0"/>
      <w:autoSpaceDN w:val="0"/>
      <w:adjustRightInd w:val="0"/>
      <w:spacing w:after="0" w:line="240" w:lineRule="auto"/>
    </w:pPr>
    <w:rPr>
      <w:rFonts w:ascii="Arial" w:eastAsia="Times New Roman" w:hAnsi="Arial" w:cs="Arial"/>
      <w:b/>
      <w:bCs/>
      <w:sz w:val="24"/>
      <w:szCs w:val="24"/>
    </w:rPr>
  </w:style>
  <w:style w:type="paragraph" w:customStyle="1" w:styleId="ICCTABLEL9">
    <w:name w:val="ICCTABLE_L9"/>
    <w:uiPriority w:val="99"/>
    <w:rsid w:val="00E40817"/>
    <w:pPr>
      <w:widowControl w:val="0"/>
      <w:autoSpaceDE w:val="0"/>
      <w:autoSpaceDN w:val="0"/>
      <w:adjustRightInd w:val="0"/>
      <w:spacing w:after="0" w:line="240" w:lineRule="auto"/>
      <w:jc w:val="center"/>
    </w:pPr>
    <w:rPr>
      <w:rFonts w:ascii="Arial" w:eastAsia="Times New Roman" w:hAnsi="Arial" w:cs="Arial"/>
      <w:b/>
      <w:bCs/>
      <w:color w:val="000000"/>
    </w:rPr>
  </w:style>
  <w:style w:type="paragraph" w:customStyle="1" w:styleId="ICCTABLEL5">
    <w:name w:val="ICCTABLE_L5"/>
    <w:uiPriority w:val="99"/>
    <w:rsid w:val="00E40817"/>
    <w:pPr>
      <w:widowControl w:val="0"/>
      <w:autoSpaceDE w:val="0"/>
      <w:autoSpaceDN w:val="0"/>
      <w:adjustRightInd w:val="0"/>
      <w:spacing w:after="0" w:line="240" w:lineRule="auto"/>
      <w:jc w:val="center"/>
    </w:pPr>
    <w:rPr>
      <w:rFonts w:ascii="Arial" w:eastAsia="Times New Roman" w:hAnsi="Arial" w:cs="Arial"/>
      <w:b/>
      <w:bCs/>
    </w:rPr>
  </w:style>
  <w:style w:type="paragraph" w:customStyle="1" w:styleId="ICCSECTIONl8L11">
    <w:name w:val="ICCSECTION_l8_L11"/>
    <w:uiPriority w:val="99"/>
    <w:rsid w:val="00E40817"/>
    <w:pPr>
      <w:widowControl w:val="0"/>
      <w:autoSpaceDE w:val="0"/>
      <w:autoSpaceDN w:val="0"/>
      <w:adjustRightInd w:val="0"/>
      <w:spacing w:after="0" w:line="240" w:lineRule="auto"/>
      <w:ind w:left="2160"/>
    </w:pPr>
    <w:rPr>
      <w:rFonts w:ascii="Arial" w:eastAsia="Times New Roman" w:hAnsi="Arial" w:cs="Arial"/>
    </w:rPr>
  </w:style>
  <w:style w:type="numbering" w:customStyle="1" w:styleId="NoList21">
    <w:name w:val="No List21"/>
    <w:next w:val="NoList"/>
    <w:uiPriority w:val="99"/>
    <w:semiHidden/>
    <w:unhideWhenUsed/>
    <w:rsid w:val="00E40817"/>
  </w:style>
  <w:style w:type="numbering" w:customStyle="1" w:styleId="NoList111">
    <w:name w:val="No List111"/>
    <w:next w:val="NoList"/>
    <w:uiPriority w:val="99"/>
    <w:semiHidden/>
    <w:unhideWhenUsed/>
    <w:rsid w:val="00E40817"/>
  </w:style>
  <w:style w:type="table" w:customStyle="1" w:styleId="TableGrid2">
    <w:name w:val="Table Grid2"/>
    <w:basedOn w:val="TableNormal"/>
    <w:next w:val="TableGrid"/>
    <w:uiPriority w:val="59"/>
    <w:rsid w:val="00E408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unhideWhenUsed/>
    <w:rsid w:val="00E40817"/>
  </w:style>
  <w:style w:type="paragraph" w:customStyle="1" w:styleId="TableText">
    <w:name w:val="TableText"/>
    <w:uiPriority w:val="99"/>
    <w:rsid w:val="00E40817"/>
    <w:pPr>
      <w:tabs>
        <w:tab w:val="left" w:pos="200"/>
        <w:tab w:val="left" w:pos="420"/>
        <w:tab w:val="left" w:pos="640"/>
        <w:tab w:val="left" w:pos="860"/>
        <w:tab w:val="left" w:pos="1080"/>
        <w:tab w:val="left" w:pos="1280"/>
      </w:tabs>
      <w:suppressAutoHyphens/>
      <w:autoSpaceDE w:val="0"/>
      <w:autoSpaceDN w:val="0"/>
      <w:adjustRightInd w:val="0"/>
      <w:spacing w:after="0" w:line="220" w:lineRule="atLeast"/>
    </w:pPr>
    <w:rPr>
      <w:rFonts w:ascii="Helvetica" w:eastAsia="Times New Roman" w:hAnsi="Helvetica" w:cs="Times New Roman"/>
      <w:color w:val="000000"/>
      <w:w w:val="1"/>
      <w:sz w:val="16"/>
      <w:szCs w:val="16"/>
    </w:rPr>
  </w:style>
  <w:style w:type="paragraph" w:customStyle="1" w:styleId="TableTitleMedium">
    <w:name w:val="TableTitleMedium"/>
    <w:uiPriority w:val="99"/>
    <w:rsid w:val="00E40817"/>
    <w:pPr>
      <w:suppressAutoHyphens/>
      <w:autoSpaceDE w:val="0"/>
      <w:autoSpaceDN w:val="0"/>
      <w:adjustRightInd w:val="0"/>
      <w:spacing w:after="0" w:line="200" w:lineRule="atLeast"/>
    </w:pPr>
    <w:rPr>
      <w:rFonts w:ascii="Helvetica" w:eastAsia="Times New Roman" w:hAnsi="Helvetica" w:cs="Times New Roman"/>
      <w:b/>
      <w:bCs/>
      <w:color w:val="000000"/>
      <w:w w:val="1"/>
      <w:sz w:val="16"/>
      <w:szCs w:val="16"/>
    </w:rPr>
  </w:style>
  <w:style w:type="paragraph" w:customStyle="1" w:styleId="TableHead">
    <w:name w:val="TableHead"/>
    <w:uiPriority w:val="99"/>
    <w:rsid w:val="00E40817"/>
    <w:pPr>
      <w:suppressAutoHyphens/>
      <w:autoSpaceDE w:val="0"/>
      <w:autoSpaceDN w:val="0"/>
      <w:adjustRightInd w:val="0"/>
      <w:spacing w:after="0" w:line="200" w:lineRule="atLeast"/>
    </w:pPr>
    <w:rPr>
      <w:rFonts w:ascii="Helvetica" w:eastAsia="Times New Roman" w:hAnsi="Helvetica" w:cs="Times New Roman"/>
      <w:b/>
      <w:bCs/>
      <w:color w:val="000000"/>
      <w:w w:val="1"/>
      <w:sz w:val="16"/>
      <w:szCs w:val="16"/>
    </w:rPr>
  </w:style>
  <w:style w:type="character" w:customStyle="1" w:styleId="Bold">
    <w:name w:val="Bold"/>
    <w:uiPriority w:val="99"/>
    <w:rsid w:val="00E40817"/>
    <w:rPr>
      <w:b/>
      <w:bCs/>
    </w:rPr>
  </w:style>
  <w:style w:type="paragraph" w:customStyle="1" w:styleId="TableFootnote">
    <w:name w:val="TableFootnote"/>
    <w:uiPriority w:val="99"/>
    <w:rsid w:val="00E40817"/>
    <w:pPr>
      <w:tabs>
        <w:tab w:val="left" w:pos="160"/>
      </w:tabs>
      <w:autoSpaceDE w:val="0"/>
      <w:autoSpaceDN w:val="0"/>
      <w:adjustRightInd w:val="0"/>
      <w:spacing w:after="0" w:line="200" w:lineRule="atLeast"/>
      <w:ind w:left="160" w:hanging="160"/>
      <w:jc w:val="both"/>
    </w:pPr>
    <w:rPr>
      <w:rFonts w:ascii="Helvetica" w:eastAsia="Times New Roman" w:hAnsi="Helvetica" w:cs="Times New Roman"/>
      <w:color w:val="000000"/>
      <w:w w:val="1"/>
      <w:sz w:val="16"/>
      <w:szCs w:val="16"/>
    </w:rPr>
  </w:style>
  <w:style w:type="paragraph" w:customStyle="1" w:styleId="HeadingRunIn">
    <w:name w:val="HeadingRunIn"/>
    <w:next w:val="Normal"/>
    <w:rsid w:val="00E40817"/>
    <w:pPr>
      <w:keepNext/>
      <w:autoSpaceDE w:val="0"/>
      <w:autoSpaceDN w:val="0"/>
      <w:adjustRightInd w:val="0"/>
      <w:spacing w:before="120" w:after="0" w:line="280" w:lineRule="atLeast"/>
    </w:pPr>
    <w:rPr>
      <w:rFonts w:ascii="Times New Roman" w:eastAsia="Calibri" w:hAnsi="Times New Roman" w:cs="Times New Roman"/>
      <w:b/>
      <w:bCs/>
      <w:color w:val="000000"/>
      <w:w w:val="0"/>
      <w:sz w:val="24"/>
      <w:szCs w:val="24"/>
    </w:rPr>
  </w:style>
  <w:style w:type="character" w:customStyle="1" w:styleId="ListParagraphChar">
    <w:name w:val="List Paragraph Char"/>
    <w:link w:val="ListParagraph"/>
    <w:uiPriority w:val="34"/>
    <w:locked/>
    <w:rsid w:val="00E40817"/>
    <w:rPr>
      <w:rFonts w:ascii="Times New Roman" w:eastAsia="Times New Roman" w:hAnsi="Times New Roman" w:cs="Times New Roman"/>
      <w:sz w:val="24"/>
      <w:szCs w:val="20"/>
    </w:rPr>
  </w:style>
  <w:style w:type="paragraph" w:customStyle="1" w:styleId="DefinitionLevel1">
    <w:name w:val="DefinitionLevel1"/>
    <w:uiPriority w:val="99"/>
    <w:rsid w:val="00E4081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autoSpaceDE w:val="0"/>
      <w:autoSpaceDN w:val="0"/>
      <w:adjustRightInd w:val="0"/>
      <w:spacing w:before="80" w:after="0" w:line="260" w:lineRule="atLeast"/>
      <w:ind w:left="1820"/>
      <w:jc w:val="both"/>
    </w:pPr>
    <w:rPr>
      <w:rFonts w:ascii="Times New Roman PS MT" w:eastAsia="Times New Roman" w:hAnsi="Times New Roman PS MT" w:cs="Times New Roman PS MT"/>
      <w:b/>
      <w:bCs/>
      <w:i/>
      <w:iCs/>
      <w:color w:val="000000"/>
      <w:w w:val="0"/>
    </w:rPr>
  </w:style>
  <w:style w:type="paragraph" w:customStyle="1" w:styleId="ExceptLL1First">
    <w:name w:val="Except_LL1_First"/>
    <w:uiPriority w:val="99"/>
    <w:rsid w:val="00E40817"/>
    <w:pPr>
      <w:tabs>
        <w:tab w:val="left" w:pos="2660"/>
        <w:tab w:val="left" w:pos="2880"/>
        <w:tab w:val="left" w:pos="3240"/>
        <w:tab w:val="left" w:pos="3600"/>
        <w:tab w:val="left" w:pos="3960"/>
        <w:tab w:val="left" w:pos="4320"/>
        <w:tab w:val="left" w:pos="4680"/>
      </w:tabs>
      <w:autoSpaceDE w:val="0"/>
      <w:autoSpaceDN w:val="0"/>
      <w:adjustRightInd w:val="0"/>
      <w:spacing w:before="100" w:after="0" w:line="240" w:lineRule="atLeast"/>
      <w:ind w:left="2660" w:hanging="300"/>
      <w:jc w:val="both"/>
    </w:pPr>
    <w:rPr>
      <w:rFonts w:ascii="Times New Roman PS MT" w:eastAsia="Times New Roman" w:hAnsi="Times New Roman PS MT" w:cs="Times New Roman PS MT"/>
      <w:color w:val="000000"/>
      <w:w w:val="0"/>
      <w:sz w:val="20"/>
      <w:szCs w:val="20"/>
    </w:rPr>
  </w:style>
  <w:style w:type="paragraph" w:customStyle="1" w:styleId="TableTextSmall">
    <w:name w:val="TableTextSmall"/>
    <w:next w:val="TableText"/>
    <w:uiPriority w:val="99"/>
    <w:rsid w:val="00E40817"/>
    <w:pPr>
      <w:tabs>
        <w:tab w:val="left" w:pos="140"/>
        <w:tab w:val="left" w:pos="200"/>
        <w:tab w:val="left" w:pos="420"/>
        <w:tab w:val="left" w:pos="640"/>
        <w:tab w:val="left" w:pos="860"/>
        <w:tab w:val="left" w:pos="1080"/>
        <w:tab w:val="left" w:pos="1280"/>
      </w:tabs>
      <w:suppressAutoHyphens/>
      <w:autoSpaceDE w:val="0"/>
      <w:autoSpaceDN w:val="0"/>
      <w:adjustRightInd w:val="0"/>
      <w:spacing w:after="0" w:line="160" w:lineRule="atLeast"/>
    </w:pPr>
    <w:rPr>
      <w:rFonts w:ascii="Helvetica" w:eastAsia="Times New Roman" w:hAnsi="Helvetica" w:cs="Helvetica"/>
      <w:color w:val="000000"/>
      <w:w w:val="0"/>
      <w:sz w:val="14"/>
      <w:szCs w:val="14"/>
    </w:rPr>
  </w:style>
  <w:style w:type="paragraph" w:customStyle="1" w:styleId="TableTitleSmall">
    <w:name w:val="TableTitleSmall"/>
    <w:uiPriority w:val="99"/>
    <w:rsid w:val="00E40817"/>
    <w:pPr>
      <w:suppressAutoHyphens/>
      <w:autoSpaceDE w:val="0"/>
      <w:autoSpaceDN w:val="0"/>
      <w:adjustRightInd w:val="0"/>
      <w:spacing w:after="0" w:line="200" w:lineRule="atLeast"/>
    </w:pPr>
    <w:rPr>
      <w:rFonts w:ascii="Helvetica" w:eastAsia="Times New Roman" w:hAnsi="Helvetica" w:cs="Helvetica"/>
      <w:b/>
      <w:bCs/>
      <w:color w:val="00C200"/>
      <w:w w:val="0"/>
      <w:sz w:val="16"/>
      <w:szCs w:val="16"/>
    </w:rPr>
  </w:style>
  <w:style w:type="paragraph" w:customStyle="1" w:styleId="TableHeadSmall">
    <w:name w:val="TableHeadSmall"/>
    <w:uiPriority w:val="99"/>
    <w:rsid w:val="00E40817"/>
    <w:pPr>
      <w:suppressAutoHyphens/>
      <w:autoSpaceDE w:val="0"/>
      <w:autoSpaceDN w:val="0"/>
      <w:adjustRightInd w:val="0"/>
      <w:spacing w:after="0" w:line="180" w:lineRule="atLeast"/>
    </w:pPr>
    <w:rPr>
      <w:rFonts w:ascii="Helvetica" w:eastAsia="Times New Roman" w:hAnsi="Helvetica" w:cs="Helvetica"/>
      <w:b/>
      <w:bCs/>
      <w:color w:val="000000"/>
      <w:w w:val="0"/>
      <w:sz w:val="14"/>
      <w:szCs w:val="14"/>
    </w:rPr>
  </w:style>
  <w:style w:type="table" w:customStyle="1" w:styleId="TableGrid3">
    <w:name w:val="Table Grid3"/>
    <w:basedOn w:val="TableNormal"/>
    <w:next w:val="TableGrid"/>
    <w:uiPriority w:val="59"/>
    <w:unhideWhenUsed/>
    <w:rsid w:val="00E40817"/>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Medium">
    <w:name w:val="TableHeadMedium"/>
    <w:uiPriority w:val="99"/>
    <w:rsid w:val="00E40817"/>
    <w:pPr>
      <w:suppressAutoHyphens/>
      <w:autoSpaceDE w:val="0"/>
      <w:autoSpaceDN w:val="0"/>
      <w:adjustRightInd w:val="0"/>
      <w:spacing w:after="0" w:line="200" w:lineRule="atLeast"/>
    </w:pPr>
    <w:rPr>
      <w:rFonts w:ascii="Helvetica" w:eastAsia="Times New Roman" w:hAnsi="Helvetica" w:cs="Helvetica"/>
      <w:b/>
      <w:bCs/>
      <w:color w:val="000000"/>
      <w:w w:val="0"/>
      <w:sz w:val="16"/>
      <w:szCs w:val="16"/>
    </w:rPr>
  </w:style>
  <w:style w:type="table" w:customStyle="1" w:styleId="TableGrid4">
    <w:name w:val="Table Grid4"/>
    <w:basedOn w:val="TableNormal"/>
    <w:next w:val="TableGrid"/>
    <w:uiPriority w:val="59"/>
    <w:rsid w:val="00E408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uiPriority w:val="99"/>
    <w:semiHidden/>
    <w:unhideWhenUsed/>
    <w:rsid w:val="00E40817"/>
  </w:style>
  <w:style w:type="numbering" w:customStyle="1" w:styleId="NoList121">
    <w:name w:val="No List121"/>
    <w:next w:val="NoList"/>
    <w:uiPriority w:val="99"/>
    <w:semiHidden/>
    <w:unhideWhenUsed/>
    <w:rsid w:val="00E40817"/>
  </w:style>
  <w:style w:type="table" w:customStyle="1" w:styleId="TableGrid5">
    <w:name w:val="Table Grid5"/>
    <w:basedOn w:val="TableNormal"/>
    <w:next w:val="TableGrid"/>
    <w:uiPriority w:val="59"/>
    <w:rsid w:val="00E408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E408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NoList"/>
    <w:uiPriority w:val="99"/>
    <w:semiHidden/>
    <w:unhideWhenUsed/>
    <w:rsid w:val="00E40817"/>
  </w:style>
  <w:style w:type="numbering" w:customStyle="1" w:styleId="NoList211">
    <w:name w:val="No List211"/>
    <w:next w:val="NoList"/>
    <w:uiPriority w:val="99"/>
    <w:semiHidden/>
    <w:unhideWhenUsed/>
    <w:rsid w:val="00E40817"/>
  </w:style>
  <w:style w:type="numbering" w:customStyle="1" w:styleId="NoList11111">
    <w:name w:val="No List11111"/>
    <w:next w:val="NoList"/>
    <w:uiPriority w:val="99"/>
    <w:semiHidden/>
    <w:unhideWhenUsed/>
    <w:rsid w:val="00E40817"/>
  </w:style>
  <w:style w:type="table" w:customStyle="1" w:styleId="TableGrid21">
    <w:name w:val="Table Grid21"/>
    <w:basedOn w:val="TableNormal"/>
    <w:next w:val="TableGrid"/>
    <w:uiPriority w:val="59"/>
    <w:rsid w:val="00E408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E408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
    <w:name w:val="No List111111"/>
    <w:next w:val="NoList"/>
    <w:uiPriority w:val="99"/>
    <w:semiHidden/>
    <w:unhideWhenUsed/>
    <w:rsid w:val="00E40817"/>
  </w:style>
  <w:style w:type="table" w:customStyle="1" w:styleId="TableGrid31">
    <w:name w:val="Table Grid31"/>
    <w:basedOn w:val="TableNormal"/>
    <w:next w:val="TableGrid"/>
    <w:uiPriority w:val="59"/>
    <w:unhideWhenUsed/>
    <w:rsid w:val="00E40817"/>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
    <w:name w:val="No List311"/>
    <w:next w:val="NoList"/>
    <w:uiPriority w:val="99"/>
    <w:semiHidden/>
    <w:unhideWhenUsed/>
    <w:rsid w:val="00E40817"/>
  </w:style>
  <w:style w:type="table" w:customStyle="1" w:styleId="TableGrid41">
    <w:name w:val="Table Grid41"/>
    <w:basedOn w:val="TableNormal"/>
    <w:next w:val="TableGrid"/>
    <w:uiPriority w:val="59"/>
    <w:rsid w:val="00E408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
    <w:name w:val="No List1211"/>
    <w:next w:val="NoList"/>
    <w:uiPriority w:val="99"/>
    <w:semiHidden/>
    <w:unhideWhenUsed/>
    <w:rsid w:val="00E40817"/>
  </w:style>
  <w:style w:type="numbering" w:customStyle="1" w:styleId="NoList2111">
    <w:name w:val="No List2111"/>
    <w:next w:val="NoList"/>
    <w:uiPriority w:val="99"/>
    <w:semiHidden/>
    <w:unhideWhenUsed/>
    <w:rsid w:val="00E40817"/>
  </w:style>
  <w:style w:type="numbering" w:customStyle="1" w:styleId="NoList1121">
    <w:name w:val="No List1121"/>
    <w:next w:val="NoList"/>
    <w:uiPriority w:val="99"/>
    <w:semiHidden/>
    <w:unhideWhenUsed/>
    <w:rsid w:val="00E40817"/>
  </w:style>
  <w:style w:type="numbering" w:customStyle="1" w:styleId="NoList1112">
    <w:name w:val="No List1112"/>
    <w:next w:val="NoList"/>
    <w:uiPriority w:val="99"/>
    <w:semiHidden/>
    <w:unhideWhenUsed/>
    <w:rsid w:val="00E40817"/>
  </w:style>
  <w:style w:type="paragraph" w:customStyle="1" w:styleId="Subsection3">
    <w:name w:val="Subsection3"/>
    <w:basedOn w:val="Normal"/>
    <w:uiPriority w:val="1"/>
    <w:qFormat/>
    <w:rsid w:val="00E40817"/>
    <w:pPr>
      <w:suppressAutoHyphens/>
      <w:spacing w:before="130" w:after="130"/>
      <w:ind w:left="1008"/>
      <w:jc w:val="left"/>
      <w:outlineLvl w:val="5"/>
    </w:pPr>
    <w:rPr>
      <w:rFonts w:ascii="Calibri" w:hAnsi="Calibri"/>
      <w:b/>
      <w:bCs/>
      <w:sz w:val="22"/>
      <w:szCs w:val="22"/>
    </w:rPr>
  </w:style>
  <w:style w:type="paragraph" w:customStyle="1" w:styleId="tablenotes">
    <w:name w:val="table_notes"/>
    <w:uiPriority w:val="99"/>
    <w:rsid w:val="00E40817"/>
    <w:pPr>
      <w:tabs>
        <w:tab w:val="left" w:pos="180"/>
      </w:tabs>
      <w:suppressAutoHyphens/>
      <w:autoSpaceDE w:val="0"/>
      <w:autoSpaceDN w:val="0"/>
      <w:adjustRightInd w:val="0"/>
      <w:spacing w:before="20" w:after="0" w:line="180" w:lineRule="atLeast"/>
      <w:ind w:left="180" w:hanging="180"/>
      <w:jc w:val="both"/>
    </w:pPr>
    <w:rPr>
      <w:rFonts w:ascii="Times" w:eastAsia="Times New Roman" w:hAnsi="Times" w:cs="Times"/>
      <w:color w:val="000000"/>
      <w:w w:val="0"/>
      <w:sz w:val="16"/>
      <w:szCs w:val="16"/>
    </w:rPr>
  </w:style>
  <w:style w:type="paragraph" w:customStyle="1" w:styleId="tablenotesindent">
    <w:name w:val="table_notes_indent"/>
    <w:uiPriority w:val="99"/>
    <w:rsid w:val="00E40817"/>
    <w:pPr>
      <w:tabs>
        <w:tab w:val="left" w:pos="460"/>
      </w:tabs>
      <w:suppressAutoHyphens/>
      <w:autoSpaceDE w:val="0"/>
      <w:autoSpaceDN w:val="0"/>
      <w:adjustRightInd w:val="0"/>
      <w:spacing w:before="20" w:after="0" w:line="180" w:lineRule="atLeast"/>
      <w:ind w:left="460" w:hanging="180"/>
      <w:jc w:val="both"/>
    </w:pPr>
    <w:rPr>
      <w:rFonts w:ascii="Times" w:eastAsia="Times New Roman" w:hAnsi="Times" w:cs="Times"/>
      <w:color w:val="000000"/>
      <w:w w:val="0"/>
      <w:sz w:val="16"/>
      <w:szCs w:val="16"/>
    </w:rPr>
  </w:style>
  <w:style w:type="character" w:customStyle="1" w:styleId="Equation">
    <w:name w:val="Equation"/>
    <w:uiPriority w:val="99"/>
    <w:rsid w:val="00E40817"/>
    <w:rPr>
      <w:i/>
      <w:iCs/>
    </w:rPr>
  </w:style>
  <w:style w:type="paragraph" w:customStyle="1" w:styleId="FooterLeft">
    <w:name w:val="FooterLeft"/>
    <w:uiPriority w:val="99"/>
    <w:rsid w:val="00E40817"/>
    <w:pPr>
      <w:widowControl w:val="0"/>
      <w:tabs>
        <w:tab w:val="right" w:pos="7280"/>
      </w:tabs>
      <w:suppressAutoHyphens/>
      <w:autoSpaceDE w:val="0"/>
      <w:autoSpaceDN w:val="0"/>
      <w:adjustRightInd w:val="0"/>
      <w:spacing w:after="0" w:line="200" w:lineRule="atLeast"/>
      <w:jc w:val="both"/>
    </w:pPr>
    <w:rPr>
      <w:rFonts w:ascii="Arial" w:eastAsia="Times New Roman" w:hAnsi="Arial" w:cs="Arial"/>
      <w:b/>
      <w:bCs/>
      <w:color w:val="000000"/>
      <w:w w:val="0"/>
      <w:sz w:val="16"/>
      <w:szCs w:val="16"/>
    </w:rPr>
  </w:style>
  <w:style w:type="paragraph" w:customStyle="1" w:styleId="tableNumber">
    <w:name w:val="tableNumber"/>
    <w:uiPriority w:val="99"/>
    <w:rsid w:val="00E40817"/>
    <w:pPr>
      <w:keepNext/>
      <w:suppressAutoHyphens/>
      <w:autoSpaceDE w:val="0"/>
      <w:autoSpaceDN w:val="0"/>
      <w:adjustRightInd w:val="0"/>
      <w:spacing w:before="200" w:after="0" w:line="180" w:lineRule="atLeast"/>
      <w:jc w:val="center"/>
    </w:pPr>
    <w:rPr>
      <w:rFonts w:ascii="Arial" w:eastAsia="Times New Roman" w:hAnsi="Arial" w:cs="Arial"/>
      <w:b/>
      <w:bCs/>
      <w:color w:val="000000"/>
      <w:w w:val="0"/>
      <w:sz w:val="16"/>
      <w:szCs w:val="16"/>
    </w:rPr>
  </w:style>
  <w:style w:type="paragraph" w:customStyle="1" w:styleId="text2text">
    <w:name w:val="text_2_text"/>
    <w:uiPriority w:val="99"/>
    <w:rsid w:val="00E40817"/>
    <w:pPr>
      <w:tabs>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before="80" w:after="80" w:line="220" w:lineRule="atLeast"/>
      <w:ind w:left="460"/>
      <w:jc w:val="both"/>
    </w:pPr>
    <w:rPr>
      <w:rFonts w:ascii="Times New Roman" w:eastAsia="Times New Roman" w:hAnsi="Times New Roman" w:cs="Times New Roman"/>
      <w:color w:val="000000"/>
      <w:w w:val="0"/>
      <w:sz w:val="20"/>
      <w:szCs w:val="20"/>
    </w:rPr>
  </w:style>
  <w:style w:type="table" w:customStyle="1" w:styleId="TableGridLight1">
    <w:name w:val="Table Grid Light1"/>
    <w:basedOn w:val="TableNormal"/>
    <w:next w:val="TableGridLight"/>
    <w:uiPriority w:val="40"/>
    <w:rsid w:val="00E40817"/>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406zl">
    <w:name w:val="406zl"/>
    <w:uiPriority w:val="99"/>
    <w:rsid w:val="00E40817"/>
    <w:pPr>
      <w:tabs>
        <w:tab w:val="left" w:pos="1320"/>
      </w:tabs>
      <w:autoSpaceDE w:val="0"/>
      <w:autoSpaceDN w:val="0"/>
      <w:adjustRightInd w:val="0"/>
      <w:spacing w:before="60" w:after="60" w:line="220" w:lineRule="atLeast"/>
      <w:ind w:left="1320" w:hanging="360"/>
      <w:jc w:val="both"/>
    </w:pPr>
    <w:rPr>
      <w:rFonts w:ascii="Times" w:eastAsia="Times New Roman" w:hAnsi="Times" w:cs="Times"/>
      <w:color w:val="000000"/>
      <w:w w:val="0"/>
      <w:sz w:val="20"/>
      <w:szCs w:val="20"/>
    </w:rPr>
  </w:style>
  <w:style w:type="paragraph" w:customStyle="1" w:styleId="706zl">
    <w:name w:val="706zl"/>
    <w:uiPriority w:val="99"/>
    <w:rsid w:val="00E40817"/>
    <w:pPr>
      <w:tabs>
        <w:tab w:val="left" w:pos="2080"/>
      </w:tabs>
      <w:suppressAutoHyphens/>
      <w:autoSpaceDE w:val="0"/>
      <w:autoSpaceDN w:val="0"/>
      <w:adjustRightInd w:val="0"/>
      <w:spacing w:before="60" w:after="60" w:line="220" w:lineRule="atLeast"/>
      <w:ind w:left="2080" w:hanging="400"/>
      <w:jc w:val="both"/>
    </w:pPr>
    <w:rPr>
      <w:rFonts w:ascii="Times" w:eastAsia="Times New Roman" w:hAnsi="Times" w:cs="Times"/>
      <w:color w:val="000000"/>
      <w:w w:val="0"/>
      <w:sz w:val="20"/>
      <w:szCs w:val="20"/>
    </w:rPr>
  </w:style>
  <w:style w:type="character" w:customStyle="1" w:styleId="Labels">
    <w:name w:val="Labels"/>
    <w:uiPriority w:val="99"/>
    <w:rsid w:val="00E40817"/>
    <w:rPr>
      <w:b/>
      <w:bCs/>
    </w:rPr>
  </w:style>
  <w:style w:type="character" w:customStyle="1" w:styleId="RoyalBlue">
    <w:name w:val="Royal Blue"/>
    <w:uiPriority w:val="99"/>
    <w:rsid w:val="00E40817"/>
    <w:rPr>
      <w:color w:val="128AFF"/>
    </w:rPr>
  </w:style>
  <w:style w:type="paragraph" w:customStyle="1" w:styleId="text3text">
    <w:name w:val="text_3_text"/>
    <w:uiPriority w:val="99"/>
    <w:rsid w:val="00E40817"/>
    <w:pPr>
      <w:autoSpaceDE w:val="0"/>
      <w:autoSpaceDN w:val="0"/>
      <w:adjustRightInd w:val="0"/>
      <w:spacing w:before="80" w:after="80" w:line="220" w:lineRule="atLeast"/>
      <w:ind w:left="720"/>
      <w:jc w:val="both"/>
    </w:pPr>
    <w:rPr>
      <w:rFonts w:ascii="Times New Roman" w:eastAsia="Times New Roman" w:hAnsi="Times New Roman" w:cs="Times New Roman"/>
      <w:color w:val="000000"/>
      <w:w w:val="0"/>
      <w:sz w:val="20"/>
      <w:szCs w:val="20"/>
    </w:rPr>
  </w:style>
  <w:style w:type="character" w:customStyle="1" w:styleId="span5">
    <w:name w:val="span5"/>
    <w:uiPriority w:val="99"/>
    <w:rsid w:val="00E40817"/>
    <w:rPr>
      <w:b/>
      <w:bCs/>
      <w:color w:val="128AFF"/>
    </w:rPr>
  </w:style>
  <w:style w:type="paragraph" w:customStyle="1" w:styleId="Subsection2">
    <w:name w:val="Subsection2"/>
    <w:qFormat/>
    <w:rsid w:val="00E40817"/>
    <w:pPr>
      <w:spacing w:before="130" w:after="130" w:line="240" w:lineRule="auto"/>
      <w:ind w:left="720"/>
      <w:outlineLvl w:val="4"/>
    </w:pPr>
    <w:rPr>
      <w:rFonts w:ascii="Arial" w:eastAsia="Times New Roman" w:hAnsi="Arial" w:cs="Arial"/>
      <w:b/>
    </w:rPr>
  </w:style>
  <w:style w:type="paragraph" w:customStyle="1" w:styleId="p18">
    <w:name w:val="p18"/>
    <w:uiPriority w:val="99"/>
    <w:rsid w:val="00E40817"/>
    <w:pPr>
      <w:autoSpaceDE w:val="0"/>
      <w:autoSpaceDN w:val="0"/>
      <w:adjustRightInd w:val="0"/>
      <w:spacing w:after="20" w:line="180" w:lineRule="atLeast"/>
      <w:jc w:val="center"/>
    </w:pPr>
    <w:rPr>
      <w:rFonts w:ascii="Arial" w:eastAsia="Times New Roman" w:hAnsi="Arial" w:cs="Arial"/>
      <w:b/>
      <w:bCs/>
      <w:color w:val="128AFF"/>
      <w:w w:val="0"/>
      <w:sz w:val="16"/>
      <w:szCs w:val="16"/>
    </w:rPr>
  </w:style>
  <w:style w:type="character" w:customStyle="1" w:styleId="sup2">
    <w:name w:val="sup2"/>
    <w:uiPriority w:val="99"/>
    <w:rsid w:val="00E40817"/>
    <w:rPr>
      <w:color w:val="128AFF"/>
      <w:vertAlign w:val="superscript"/>
    </w:rPr>
  </w:style>
  <w:style w:type="character" w:customStyle="1" w:styleId="span12">
    <w:name w:val="span12"/>
    <w:uiPriority w:val="99"/>
    <w:rsid w:val="00E40817"/>
    <w:rPr>
      <w:color w:val="128AFF"/>
      <w:vertAlign w:val="subscript"/>
    </w:rPr>
  </w:style>
  <w:style w:type="paragraph" w:customStyle="1" w:styleId="continued">
    <w:name w:val="continued"/>
    <w:uiPriority w:val="99"/>
    <w:rsid w:val="00E40817"/>
    <w:pPr>
      <w:suppressAutoHyphens/>
      <w:autoSpaceDE w:val="0"/>
      <w:autoSpaceDN w:val="0"/>
      <w:adjustRightInd w:val="0"/>
      <w:spacing w:before="80" w:after="0" w:line="240" w:lineRule="auto"/>
      <w:jc w:val="center"/>
    </w:pPr>
    <w:rPr>
      <w:rFonts w:ascii="Times" w:eastAsia="Times New Roman" w:hAnsi="Times" w:cs="Times"/>
      <w:i/>
      <w:iCs/>
      <w:color w:val="000000"/>
      <w:w w:val="0"/>
      <w:sz w:val="18"/>
      <w:szCs w:val="18"/>
    </w:rPr>
  </w:style>
  <w:style w:type="paragraph" w:customStyle="1" w:styleId="Anchor">
    <w:name w:val="Anchor"/>
    <w:uiPriority w:val="99"/>
    <w:rsid w:val="00E40817"/>
    <w:pPr>
      <w:tabs>
        <w:tab w:val="left" w:pos="280"/>
      </w:tabs>
      <w:autoSpaceDE w:val="0"/>
      <w:autoSpaceDN w:val="0"/>
      <w:adjustRightInd w:val="0"/>
      <w:spacing w:after="0" w:line="60" w:lineRule="atLeast"/>
      <w:jc w:val="both"/>
    </w:pPr>
    <w:rPr>
      <w:rFonts w:ascii="Arial" w:eastAsia="Times New Roman" w:hAnsi="Arial" w:cs="Arial"/>
      <w:i/>
      <w:iCs/>
      <w:color w:val="000000"/>
      <w:w w:val="0"/>
      <w:sz w:val="4"/>
      <w:szCs w:val="4"/>
    </w:rPr>
  </w:style>
  <w:style w:type="character" w:customStyle="1" w:styleId="GRAPHIC">
    <w:name w:val="GRAPHIC"/>
    <w:uiPriority w:val="99"/>
    <w:rsid w:val="00E40817"/>
    <w:rPr>
      <w:rFonts w:ascii="Times" w:hAnsi="Times" w:cs="Times"/>
    </w:rPr>
  </w:style>
  <w:style w:type="paragraph" w:customStyle="1" w:styleId="tablenotessi0">
    <w:name w:val="table_notes_si"/>
    <w:uiPriority w:val="99"/>
    <w:rsid w:val="00E40817"/>
    <w:pPr>
      <w:tabs>
        <w:tab w:val="left" w:pos="500"/>
      </w:tabs>
      <w:suppressAutoHyphens/>
      <w:autoSpaceDE w:val="0"/>
      <w:autoSpaceDN w:val="0"/>
      <w:adjustRightInd w:val="0"/>
      <w:spacing w:before="40" w:after="0" w:line="180" w:lineRule="atLeast"/>
    </w:pPr>
    <w:rPr>
      <w:rFonts w:ascii="Times" w:eastAsia="Times New Roman" w:hAnsi="Times" w:cs="Times"/>
      <w:color w:val="000000"/>
      <w:w w:val="0"/>
      <w:sz w:val="16"/>
      <w:szCs w:val="16"/>
    </w:rPr>
  </w:style>
  <w:style w:type="paragraph" w:customStyle="1" w:styleId="tabletextleft0zl">
    <w:name w:val="table_text_left_0zl"/>
    <w:uiPriority w:val="99"/>
    <w:rsid w:val="00E40817"/>
    <w:pPr>
      <w:tabs>
        <w:tab w:val="left" w:pos="300"/>
      </w:tabs>
      <w:suppressAutoHyphens/>
      <w:autoSpaceDE w:val="0"/>
      <w:autoSpaceDN w:val="0"/>
      <w:adjustRightInd w:val="0"/>
      <w:spacing w:before="20" w:after="20" w:line="200" w:lineRule="atLeast"/>
      <w:ind w:left="300" w:hanging="300"/>
    </w:pPr>
    <w:rPr>
      <w:rFonts w:ascii="Times" w:eastAsia="Times New Roman" w:hAnsi="Times" w:cs="Times"/>
      <w:color w:val="FF0000"/>
      <w:w w:val="0"/>
      <w:sz w:val="18"/>
      <w:szCs w:val="18"/>
    </w:rPr>
  </w:style>
  <w:style w:type="paragraph" w:customStyle="1" w:styleId="tabletextleft1zl">
    <w:name w:val="table_text_left_1zl"/>
    <w:uiPriority w:val="99"/>
    <w:rsid w:val="00E40817"/>
    <w:pPr>
      <w:tabs>
        <w:tab w:val="left" w:pos="540"/>
      </w:tabs>
      <w:suppressAutoHyphens/>
      <w:autoSpaceDE w:val="0"/>
      <w:autoSpaceDN w:val="0"/>
      <w:adjustRightInd w:val="0"/>
      <w:spacing w:before="20" w:after="20" w:line="200" w:lineRule="atLeast"/>
      <w:ind w:left="540" w:hanging="300"/>
    </w:pPr>
    <w:rPr>
      <w:rFonts w:ascii="Times" w:eastAsia="Times New Roman" w:hAnsi="Times" w:cs="Times"/>
      <w:color w:val="FF0000"/>
      <w:w w:val="0"/>
      <w:sz w:val="18"/>
      <w:szCs w:val="18"/>
    </w:rPr>
  </w:style>
  <w:style w:type="paragraph" w:customStyle="1" w:styleId="p9">
    <w:name w:val="p9"/>
    <w:uiPriority w:val="99"/>
    <w:rsid w:val="00E40817"/>
    <w:pPr>
      <w:tabs>
        <w:tab w:val="left" w:pos="180"/>
      </w:tabs>
      <w:autoSpaceDE w:val="0"/>
      <w:autoSpaceDN w:val="0"/>
      <w:adjustRightInd w:val="0"/>
      <w:spacing w:before="20" w:after="120" w:line="180" w:lineRule="atLeast"/>
      <w:ind w:left="180" w:hanging="180"/>
      <w:jc w:val="both"/>
    </w:pPr>
    <w:rPr>
      <w:rFonts w:ascii="Times New Roman" w:eastAsia="Times New Roman" w:hAnsi="Times New Roman" w:cs="Times New Roman"/>
      <w:color w:val="000000"/>
      <w:w w:val="0"/>
      <w:sz w:val="16"/>
      <w:szCs w:val="16"/>
    </w:rPr>
  </w:style>
  <w:style w:type="paragraph" w:customStyle="1" w:styleId="TableParagraph">
    <w:name w:val="Table Paragraph"/>
    <w:basedOn w:val="Normal"/>
    <w:uiPriority w:val="1"/>
    <w:qFormat/>
    <w:rsid w:val="00E40817"/>
    <w:pPr>
      <w:widowControl w:val="0"/>
      <w:autoSpaceDE w:val="0"/>
      <w:autoSpaceDN w:val="0"/>
      <w:spacing w:before="7"/>
      <w:ind w:left="1098"/>
      <w:jc w:val="center"/>
    </w:pPr>
    <w:rPr>
      <w:sz w:val="22"/>
      <w:szCs w:val="22"/>
    </w:rPr>
  </w:style>
  <w:style w:type="paragraph" w:customStyle="1" w:styleId="Section">
    <w:name w:val="Section"/>
    <w:next w:val="Normal"/>
    <w:link w:val="SectionChar"/>
    <w:qFormat/>
    <w:rsid w:val="00E40817"/>
    <w:pPr>
      <w:spacing w:before="130" w:after="130" w:line="240" w:lineRule="auto"/>
      <w:outlineLvl w:val="2"/>
    </w:pPr>
    <w:rPr>
      <w:rFonts w:ascii="Arial" w:eastAsia="Times New Roman" w:hAnsi="Arial" w:cs="Times New Roman"/>
      <w:b/>
      <w:w w:val="0"/>
      <w:szCs w:val="20"/>
    </w:rPr>
  </w:style>
  <w:style w:type="paragraph" w:customStyle="1" w:styleId="206zl">
    <w:name w:val="206zl"/>
    <w:uiPriority w:val="99"/>
    <w:rsid w:val="00E40817"/>
    <w:pPr>
      <w:tabs>
        <w:tab w:val="left" w:pos="860"/>
      </w:tabs>
      <w:autoSpaceDE w:val="0"/>
      <w:autoSpaceDN w:val="0"/>
      <w:adjustRightInd w:val="0"/>
      <w:spacing w:before="60" w:after="60" w:line="220" w:lineRule="atLeast"/>
      <w:ind w:left="860" w:hanging="400"/>
      <w:jc w:val="both"/>
    </w:pPr>
    <w:rPr>
      <w:rFonts w:ascii="Times" w:eastAsia="Times New Roman" w:hAnsi="Times" w:cs="Times"/>
      <w:color w:val="000000"/>
      <w:w w:val="0"/>
      <w:sz w:val="20"/>
      <w:szCs w:val="20"/>
    </w:rPr>
  </w:style>
  <w:style w:type="paragraph" w:customStyle="1" w:styleId="p">
    <w:name w:val="p"/>
    <w:uiPriority w:val="99"/>
    <w:rsid w:val="00E40817"/>
    <w:pPr>
      <w:suppressAutoHyphens/>
      <w:autoSpaceDE w:val="0"/>
      <w:autoSpaceDN w:val="0"/>
      <w:adjustRightInd w:val="0"/>
      <w:spacing w:after="0" w:line="220" w:lineRule="atLeast"/>
      <w:ind w:left="2160"/>
      <w:jc w:val="center"/>
    </w:pPr>
    <w:rPr>
      <w:rFonts w:ascii="Auto 1 LF" w:eastAsia="Times New Roman" w:hAnsi="Auto 1 LF" w:cs="Auto 1 LF"/>
      <w:b/>
      <w:bCs/>
      <w:color w:val="000000"/>
      <w:w w:val="0"/>
      <w:sz w:val="18"/>
      <w:szCs w:val="18"/>
    </w:rPr>
  </w:style>
  <w:style w:type="character" w:customStyle="1" w:styleId="Link">
    <w:name w:val="Link"/>
    <w:uiPriority w:val="99"/>
    <w:rsid w:val="00E40817"/>
    <w:rPr>
      <w:color w:val="000000"/>
      <w:u w:val="none"/>
    </w:rPr>
  </w:style>
  <w:style w:type="paragraph" w:customStyle="1" w:styleId="subsection1">
    <w:name w:val="subsection1"/>
    <w:qFormat/>
    <w:rsid w:val="00E40817"/>
    <w:pPr>
      <w:spacing w:before="130" w:after="130" w:line="240" w:lineRule="auto"/>
      <w:ind w:left="432"/>
      <w:outlineLvl w:val="3"/>
    </w:pPr>
    <w:rPr>
      <w:rFonts w:ascii="Arial" w:eastAsia="Times New Roman" w:hAnsi="Arial" w:cs="Arial"/>
      <w:b/>
      <w:spacing w:val="4"/>
    </w:rPr>
  </w:style>
  <w:style w:type="paragraph" w:customStyle="1" w:styleId="text1text">
    <w:name w:val="text_1_text"/>
    <w:uiPriority w:val="99"/>
    <w:rsid w:val="00E40817"/>
    <w:pPr>
      <w:autoSpaceDE w:val="0"/>
      <w:autoSpaceDN w:val="0"/>
      <w:adjustRightInd w:val="0"/>
      <w:spacing w:before="80" w:after="80" w:line="220" w:lineRule="atLeast"/>
      <w:ind w:left="240"/>
      <w:jc w:val="both"/>
    </w:pPr>
    <w:rPr>
      <w:rFonts w:ascii="Times New Roman" w:eastAsia="Times New Roman" w:hAnsi="Times New Roman" w:cs="Times New Roman"/>
      <w:color w:val="000000"/>
      <w:w w:val="0"/>
      <w:sz w:val="20"/>
      <w:szCs w:val="20"/>
    </w:rPr>
  </w:style>
  <w:style w:type="paragraph" w:customStyle="1" w:styleId="text0text">
    <w:name w:val="text_0_text"/>
    <w:uiPriority w:val="99"/>
    <w:rsid w:val="00E40817"/>
    <w:pPr>
      <w:autoSpaceDE w:val="0"/>
      <w:autoSpaceDN w:val="0"/>
      <w:adjustRightInd w:val="0"/>
      <w:spacing w:before="80" w:after="80" w:line="220" w:lineRule="atLeast"/>
      <w:jc w:val="both"/>
    </w:pPr>
    <w:rPr>
      <w:rFonts w:ascii="Times New Roman" w:eastAsia="Times New Roman" w:hAnsi="Times New Roman" w:cs="Times New Roman"/>
      <w:color w:val="000000"/>
      <w:w w:val="0"/>
      <w:sz w:val="20"/>
      <w:szCs w:val="20"/>
    </w:rPr>
  </w:style>
  <w:style w:type="character" w:customStyle="1" w:styleId="p20">
    <w:name w:val="p20"/>
    <w:uiPriority w:val="99"/>
    <w:rsid w:val="00E40817"/>
    <w:rPr>
      <w:rFonts w:ascii="Helvetica" w:hAnsi="Helvetica" w:cs="Helvetica"/>
      <w:i/>
      <w:iCs/>
      <w:sz w:val="24"/>
      <w:szCs w:val="24"/>
    </w:rPr>
  </w:style>
  <w:style w:type="table" w:styleId="PlainTable1">
    <w:name w:val="Plain Table 1"/>
    <w:basedOn w:val="TableNormal"/>
    <w:uiPriority w:val="41"/>
    <w:rsid w:val="00E40817"/>
    <w:pPr>
      <w:widowControl w:val="0"/>
      <w:autoSpaceDE w:val="0"/>
      <w:autoSpaceDN w:val="0"/>
      <w:spacing w:after="0" w:line="240" w:lineRule="auto"/>
    </w:pPr>
    <w:rPr>
      <w:rFonts w:ascii="Calibri" w:eastAsia="Calibri" w:hAnsi="Calibri" w:cs="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4">
    <w:name w:val="Plain Table 4"/>
    <w:basedOn w:val="TableNormal"/>
    <w:uiPriority w:val="44"/>
    <w:rsid w:val="00E40817"/>
    <w:pPr>
      <w:widowControl w:val="0"/>
      <w:autoSpaceDE w:val="0"/>
      <w:autoSpaceDN w:val="0"/>
      <w:spacing w:after="0" w:line="240" w:lineRule="auto"/>
    </w:pPr>
    <w:rPr>
      <w:rFonts w:ascii="Calibri" w:eastAsia="Calibri" w:hAnsi="Calibri" w:cs="Times New Roma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GridTable1Light">
    <w:name w:val="Grid Table 1 Light"/>
    <w:basedOn w:val="TableNormal"/>
    <w:uiPriority w:val="46"/>
    <w:rsid w:val="00E40817"/>
    <w:pPr>
      <w:widowControl w:val="0"/>
      <w:autoSpaceDE w:val="0"/>
      <w:autoSpaceDN w:val="0"/>
      <w:spacing w:after="0" w:line="240" w:lineRule="auto"/>
    </w:pPr>
    <w:rPr>
      <w:rFonts w:ascii="Calibri" w:eastAsia="Calibri" w:hAnsi="Calibri" w:cs="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GridTable3">
    <w:name w:val="Grid Table 3"/>
    <w:basedOn w:val="TableNormal"/>
    <w:uiPriority w:val="48"/>
    <w:rsid w:val="00E40817"/>
    <w:pPr>
      <w:widowControl w:val="0"/>
      <w:autoSpaceDE w:val="0"/>
      <w:autoSpaceDN w:val="0"/>
      <w:spacing w:after="0" w:line="240" w:lineRule="auto"/>
    </w:pPr>
    <w:rPr>
      <w:rFonts w:ascii="Calibri" w:eastAsia="Calibri" w:hAnsi="Calibri" w:cs="Times New Roma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GridTable2">
    <w:name w:val="Grid Table 2"/>
    <w:basedOn w:val="TableNormal"/>
    <w:uiPriority w:val="47"/>
    <w:rsid w:val="00E40817"/>
    <w:pPr>
      <w:widowControl w:val="0"/>
      <w:autoSpaceDE w:val="0"/>
      <w:autoSpaceDN w:val="0"/>
      <w:spacing w:after="0" w:line="240" w:lineRule="auto"/>
    </w:pPr>
    <w:rPr>
      <w:rFonts w:ascii="Calibri" w:eastAsia="Calibri" w:hAnsi="Calibri" w:cs="Times New Roman"/>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5Dark">
    <w:name w:val="Grid Table 5 Dark"/>
    <w:basedOn w:val="TableNormal"/>
    <w:uiPriority w:val="50"/>
    <w:rsid w:val="00E40817"/>
    <w:pPr>
      <w:widowControl w:val="0"/>
      <w:autoSpaceDE w:val="0"/>
      <w:autoSpaceDN w:val="0"/>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ListTable4">
    <w:name w:val="List Table 4"/>
    <w:basedOn w:val="TableNormal"/>
    <w:uiPriority w:val="49"/>
    <w:rsid w:val="00E40817"/>
    <w:pPr>
      <w:widowControl w:val="0"/>
      <w:autoSpaceDE w:val="0"/>
      <w:autoSpaceDN w:val="0"/>
      <w:spacing w:after="0" w:line="240" w:lineRule="auto"/>
    </w:pPr>
    <w:rPr>
      <w:rFonts w:ascii="Calibri" w:eastAsia="Calibri" w:hAnsi="Calibri" w:cs="Times New Roma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4">
    <w:name w:val="Grid Table 4"/>
    <w:basedOn w:val="TableNormal"/>
    <w:uiPriority w:val="49"/>
    <w:rsid w:val="00E40817"/>
    <w:pPr>
      <w:widowControl w:val="0"/>
      <w:autoSpaceDE w:val="0"/>
      <w:autoSpaceDN w:val="0"/>
      <w:spacing w:after="0" w:line="240" w:lineRule="auto"/>
    </w:pPr>
    <w:rPr>
      <w:rFonts w:ascii="Calibri" w:eastAsia="Calibri" w:hAnsi="Calibri" w:cs="Times New Roma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Level2">
    <w:name w:val="Level2"/>
    <w:uiPriority w:val="99"/>
    <w:rsid w:val="00E40817"/>
    <w:pPr>
      <w:tabs>
        <w:tab w:val="left" w:pos="500"/>
      </w:tabs>
      <w:autoSpaceDE w:val="0"/>
      <w:autoSpaceDN w:val="0"/>
      <w:adjustRightInd w:val="0"/>
      <w:spacing w:before="60" w:after="0" w:line="260" w:lineRule="atLeast"/>
      <w:ind w:left="420" w:hanging="420"/>
    </w:pPr>
    <w:rPr>
      <w:rFonts w:ascii="Helvetica" w:eastAsia="Times New Roman" w:hAnsi="Helvetica" w:cs="Helvetica"/>
      <w:b/>
      <w:bCs/>
      <w:color w:val="000000"/>
      <w:w w:val="0"/>
      <w:sz w:val="20"/>
      <w:szCs w:val="20"/>
    </w:rPr>
  </w:style>
  <w:style w:type="table" w:styleId="ListTable1Light">
    <w:name w:val="List Table 1 Light"/>
    <w:basedOn w:val="TableNormal"/>
    <w:uiPriority w:val="46"/>
    <w:rsid w:val="00E40817"/>
    <w:pPr>
      <w:spacing w:after="0" w:line="240" w:lineRule="auto"/>
    </w:pPr>
    <w:rPr>
      <w:rFonts w:ascii="Calibri" w:eastAsia="Times New Roman" w:hAnsi="Calibri" w:cs="Times New Roman"/>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PlainTable2">
    <w:name w:val="Plain Table 2"/>
    <w:basedOn w:val="TableNormal"/>
    <w:uiPriority w:val="42"/>
    <w:rsid w:val="00E40817"/>
    <w:pPr>
      <w:widowControl w:val="0"/>
      <w:autoSpaceDE w:val="0"/>
      <w:autoSpaceDN w:val="0"/>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pf1">
    <w:name w:val="pf1"/>
    <w:basedOn w:val="Normal"/>
    <w:rsid w:val="00E40817"/>
    <w:pPr>
      <w:spacing w:before="100" w:beforeAutospacing="1" w:after="100" w:afterAutospacing="1"/>
      <w:ind w:left="3600"/>
      <w:jc w:val="left"/>
    </w:pPr>
    <w:rPr>
      <w:szCs w:val="24"/>
    </w:rPr>
  </w:style>
  <w:style w:type="paragraph" w:customStyle="1" w:styleId="pf3">
    <w:name w:val="pf3"/>
    <w:basedOn w:val="Normal"/>
    <w:rsid w:val="00E40817"/>
    <w:pPr>
      <w:spacing w:before="100" w:beforeAutospacing="1" w:after="100" w:afterAutospacing="1"/>
      <w:ind w:left="3240"/>
      <w:jc w:val="left"/>
    </w:pPr>
    <w:rPr>
      <w:szCs w:val="24"/>
    </w:rPr>
  </w:style>
  <w:style w:type="character" w:customStyle="1" w:styleId="cf31">
    <w:name w:val="cf31"/>
    <w:rsid w:val="00E40817"/>
    <w:rPr>
      <w:rFonts w:ascii="Helvetica" w:hAnsi="Helvetica" w:cs="Helvetica" w:hint="default"/>
      <w:b/>
      <w:bCs/>
      <w:sz w:val="16"/>
      <w:szCs w:val="16"/>
      <w:shd w:val="clear" w:color="auto" w:fill="FFFFFF"/>
    </w:rPr>
  </w:style>
  <w:style w:type="character" w:customStyle="1" w:styleId="cf51">
    <w:name w:val="cf51"/>
    <w:rsid w:val="00E40817"/>
    <w:rPr>
      <w:rFonts w:ascii="Times New Roman" w:hAnsi="Times New Roman" w:cs="Times New Roman" w:hint="default"/>
      <w:i/>
      <w:iCs/>
      <w:sz w:val="22"/>
      <w:szCs w:val="22"/>
      <w:shd w:val="clear" w:color="auto" w:fill="FFFFFF"/>
    </w:rPr>
  </w:style>
  <w:style w:type="character" w:customStyle="1" w:styleId="cf61">
    <w:name w:val="cf61"/>
    <w:rsid w:val="00E40817"/>
    <w:rPr>
      <w:rFonts w:ascii="Times New Roman" w:hAnsi="Times New Roman" w:cs="Times New Roman" w:hint="default"/>
      <w:color w:val="7030A0"/>
      <w:sz w:val="22"/>
      <w:szCs w:val="22"/>
      <w:u w:val="single"/>
      <w:shd w:val="clear" w:color="auto" w:fill="FFFFFF"/>
    </w:rPr>
  </w:style>
  <w:style w:type="character" w:customStyle="1" w:styleId="cf71">
    <w:name w:val="cf71"/>
    <w:rsid w:val="00E40817"/>
    <w:rPr>
      <w:rFonts w:ascii="Times New Roman" w:hAnsi="Times New Roman" w:cs="Times New Roman" w:hint="default"/>
      <w:color w:val="2E3092"/>
      <w:sz w:val="16"/>
      <w:szCs w:val="16"/>
      <w:shd w:val="clear" w:color="auto" w:fill="FFFFFF"/>
    </w:rPr>
  </w:style>
  <w:style w:type="character" w:customStyle="1" w:styleId="cf81">
    <w:name w:val="cf81"/>
    <w:rsid w:val="00E40817"/>
    <w:rPr>
      <w:rFonts w:ascii="Times New Roman" w:hAnsi="Times New Roman" w:cs="Times New Roman" w:hint="default"/>
      <w:color w:val="2E3092"/>
      <w:sz w:val="22"/>
      <w:szCs w:val="22"/>
      <w:shd w:val="clear" w:color="auto" w:fill="FFFFFF"/>
    </w:rPr>
  </w:style>
  <w:style w:type="character" w:customStyle="1" w:styleId="cf91">
    <w:name w:val="cf91"/>
    <w:rsid w:val="00E40817"/>
    <w:rPr>
      <w:rFonts w:ascii="Times New Roman" w:hAnsi="Times New Roman" w:cs="Times New Roman" w:hint="default"/>
      <w:sz w:val="16"/>
      <w:szCs w:val="16"/>
      <w:shd w:val="clear" w:color="auto" w:fill="FFFFFF"/>
    </w:rPr>
  </w:style>
  <w:style w:type="character" w:customStyle="1" w:styleId="cf101">
    <w:name w:val="cf101"/>
    <w:rsid w:val="00E40817"/>
    <w:rPr>
      <w:rFonts w:ascii="Times New Roman" w:hAnsi="Times New Roman" w:cs="Times New Roman" w:hint="default"/>
      <w:color w:val="006400"/>
      <w:sz w:val="22"/>
      <w:szCs w:val="22"/>
      <w:shd w:val="clear" w:color="auto" w:fill="FFFFFF"/>
    </w:rPr>
  </w:style>
  <w:style w:type="paragraph" w:customStyle="1" w:styleId="font5">
    <w:name w:val="font5"/>
    <w:basedOn w:val="Normal"/>
    <w:rsid w:val="00E40817"/>
    <w:pPr>
      <w:spacing w:before="100" w:beforeAutospacing="1" w:after="100" w:afterAutospacing="1"/>
      <w:jc w:val="left"/>
    </w:pPr>
    <w:rPr>
      <w:rFonts w:ascii="Arial" w:hAnsi="Arial" w:cs="Arial"/>
      <w:b/>
      <w:bCs/>
      <w:sz w:val="18"/>
      <w:szCs w:val="18"/>
    </w:rPr>
  </w:style>
  <w:style w:type="paragraph" w:customStyle="1" w:styleId="font6">
    <w:name w:val="font6"/>
    <w:basedOn w:val="Normal"/>
    <w:rsid w:val="00E40817"/>
    <w:pPr>
      <w:spacing w:before="100" w:beforeAutospacing="1" w:after="100" w:afterAutospacing="1"/>
      <w:jc w:val="left"/>
    </w:pPr>
    <w:rPr>
      <w:rFonts w:ascii="Arial" w:hAnsi="Arial" w:cs="Arial"/>
      <w:b/>
      <w:bCs/>
      <w:i/>
      <w:iCs/>
      <w:sz w:val="18"/>
      <w:szCs w:val="18"/>
    </w:rPr>
  </w:style>
  <w:style w:type="paragraph" w:customStyle="1" w:styleId="font7">
    <w:name w:val="font7"/>
    <w:basedOn w:val="Normal"/>
    <w:rsid w:val="00E40817"/>
    <w:pPr>
      <w:spacing w:before="100" w:beforeAutospacing="1" w:after="100" w:afterAutospacing="1"/>
      <w:jc w:val="left"/>
    </w:pPr>
    <w:rPr>
      <w:rFonts w:ascii="Arial" w:hAnsi="Arial" w:cs="Arial"/>
      <w:b/>
      <w:bCs/>
      <w:sz w:val="18"/>
      <w:szCs w:val="18"/>
    </w:rPr>
  </w:style>
  <w:style w:type="paragraph" w:customStyle="1" w:styleId="font8">
    <w:name w:val="font8"/>
    <w:basedOn w:val="Normal"/>
    <w:rsid w:val="00E40817"/>
    <w:pPr>
      <w:spacing w:before="100" w:beforeAutospacing="1" w:after="100" w:afterAutospacing="1"/>
      <w:jc w:val="left"/>
    </w:pPr>
    <w:rPr>
      <w:rFonts w:ascii="Arial" w:hAnsi="Arial" w:cs="Arial"/>
      <w:b/>
      <w:bCs/>
      <w:sz w:val="18"/>
      <w:szCs w:val="18"/>
    </w:rPr>
  </w:style>
  <w:style w:type="paragraph" w:customStyle="1" w:styleId="font9">
    <w:name w:val="font9"/>
    <w:basedOn w:val="Normal"/>
    <w:rsid w:val="00E40817"/>
    <w:pPr>
      <w:spacing w:before="100" w:beforeAutospacing="1" w:after="100" w:afterAutospacing="1"/>
      <w:jc w:val="left"/>
    </w:pPr>
    <w:rPr>
      <w:b/>
      <w:bCs/>
      <w:color w:val="231F20"/>
      <w:sz w:val="18"/>
      <w:szCs w:val="18"/>
    </w:rPr>
  </w:style>
  <w:style w:type="paragraph" w:customStyle="1" w:styleId="font10">
    <w:name w:val="font10"/>
    <w:basedOn w:val="Normal"/>
    <w:rsid w:val="00E40817"/>
    <w:pPr>
      <w:spacing w:before="100" w:beforeAutospacing="1" w:after="100" w:afterAutospacing="1"/>
      <w:jc w:val="left"/>
    </w:pPr>
    <w:rPr>
      <w:rFonts w:ascii="Arial" w:hAnsi="Arial" w:cs="Arial"/>
      <w:sz w:val="18"/>
      <w:szCs w:val="18"/>
    </w:rPr>
  </w:style>
  <w:style w:type="paragraph" w:customStyle="1" w:styleId="font11">
    <w:name w:val="font11"/>
    <w:basedOn w:val="Normal"/>
    <w:rsid w:val="00E40817"/>
    <w:pPr>
      <w:spacing w:before="100" w:beforeAutospacing="1" w:after="100" w:afterAutospacing="1"/>
      <w:jc w:val="left"/>
    </w:pPr>
    <w:rPr>
      <w:rFonts w:ascii="Arial" w:hAnsi="Arial" w:cs="Arial"/>
      <w:color w:val="231F20"/>
      <w:sz w:val="18"/>
      <w:szCs w:val="18"/>
    </w:rPr>
  </w:style>
  <w:style w:type="paragraph" w:customStyle="1" w:styleId="font12">
    <w:name w:val="font12"/>
    <w:basedOn w:val="Normal"/>
    <w:rsid w:val="00E40817"/>
    <w:pPr>
      <w:spacing w:before="100" w:beforeAutospacing="1" w:after="100" w:afterAutospacing="1"/>
      <w:jc w:val="left"/>
    </w:pPr>
    <w:rPr>
      <w:rFonts w:ascii="Arial" w:hAnsi="Arial" w:cs="Arial"/>
      <w:color w:val="006400"/>
      <w:sz w:val="18"/>
      <w:szCs w:val="18"/>
    </w:rPr>
  </w:style>
  <w:style w:type="paragraph" w:customStyle="1" w:styleId="font13">
    <w:name w:val="font13"/>
    <w:basedOn w:val="Normal"/>
    <w:rsid w:val="00E40817"/>
    <w:pPr>
      <w:spacing w:before="100" w:beforeAutospacing="1" w:after="100" w:afterAutospacing="1"/>
      <w:jc w:val="left"/>
    </w:pPr>
    <w:rPr>
      <w:color w:val="7030A0"/>
      <w:sz w:val="18"/>
      <w:szCs w:val="18"/>
      <w:u w:val="single"/>
    </w:rPr>
  </w:style>
  <w:style w:type="paragraph" w:customStyle="1" w:styleId="font14">
    <w:name w:val="font14"/>
    <w:basedOn w:val="Normal"/>
    <w:rsid w:val="00E40817"/>
    <w:pPr>
      <w:spacing w:before="100" w:beforeAutospacing="1" w:after="100" w:afterAutospacing="1"/>
      <w:jc w:val="left"/>
    </w:pPr>
    <w:rPr>
      <w:rFonts w:ascii="Arial" w:hAnsi="Arial" w:cs="Arial"/>
      <w:color w:val="231F20"/>
      <w:sz w:val="18"/>
      <w:szCs w:val="18"/>
    </w:rPr>
  </w:style>
  <w:style w:type="paragraph" w:customStyle="1" w:styleId="font15">
    <w:name w:val="font15"/>
    <w:basedOn w:val="Normal"/>
    <w:rsid w:val="00E40817"/>
    <w:pPr>
      <w:spacing w:before="100" w:beforeAutospacing="1" w:after="100" w:afterAutospacing="1"/>
      <w:jc w:val="left"/>
    </w:pPr>
    <w:rPr>
      <w:rFonts w:ascii="Arial" w:hAnsi="Arial" w:cs="Arial"/>
      <w:color w:val="7030A0"/>
      <w:sz w:val="18"/>
      <w:szCs w:val="18"/>
      <w:u w:val="single"/>
    </w:rPr>
  </w:style>
  <w:style w:type="paragraph" w:customStyle="1" w:styleId="font16">
    <w:name w:val="font16"/>
    <w:basedOn w:val="Normal"/>
    <w:rsid w:val="00E40817"/>
    <w:pPr>
      <w:spacing w:before="100" w:beforeAutospacing="1" w:after="100" w:afterAutospacing="1"/>
      <w:jc w:val="left"/>
    </w:pPr>
    <w:rPr>
      <w:rFonts w:ascii="Cambria" w:hAnsi="Cambria"/>
      <w:sz w:val="18"/>
      <w:szCs w:val="18"/>
    </w:rPr>
  </w:style>
  <w:style w:type="paragraph" w:customStyle="1" w:styleId="font17">
    <w:name w:val="font17"/>
    <w:basedOn w:val="Normal"/>
    <w:rsid w:val="00E40817"/>
    <w:pPr>
      <w:spacing w:before="100" w:beforeAutospacing="1" w:after="100" w:afterAutospacing="1"/>
      <w:jc w:val="left"/>
    </w:pPr>
    <w:rPr>
      <w:rFonts w:ascii="Cambria" w:hAnsi="Cambria"/>
      <w:color w:val="231F20"/>
      <w:sz w:val="18"/>
      <w:szCs w:val="18"/>
    </w:rPr>
  </w:style>
  <w:style w:type="paragraph" w:customStyle="1" w:styleId="font18">
    <w:name w:val="font18"/>
    <w:basedOn w:val="Normal"/>
    <w:rsid w:val="00E40817"/>
    <w:pPr>
      <w:spacing w:before="100" w:beforeAutospacing="1" w:after="100" w:afterAutospacing="1"/>
      <w:jc w:val="left"/>
    </w:pPr>
    <w:rPr>
      <w:color w:val="231F20"/>
      <w:sz w:val="18"/>
      <w:szCs w:val="18"/>
    </w:rPr>
  </w:style>
  <w:style w:type="paragraph" w:customStyle="1" w:styleId="font19">
    <w:name w:val="font19"/>
    <w:basedOn w:val="Normal"/>
    <w:rsid w:val="00E40817"/>
    <w:pPr>
      <w:spacing w:before="100" w:beforeAutospacing="1" w:after="100" w:afterAutospacing="1"/>
      <w:jc w:val="left"/>
    </w:pPr>
    <w:rPr>
      <w:rFonts w:ascii="Arial" w:hAnsi="Arial" w:cs="Arial"/>
      <w:color w:val="231F20"/>
      <w:sz w:val="18"/>
      <w:szCs w:val="18"/>
    </w:rPr>
  </w:style>
  <w:style w:type="paragraph" w:customStyle="1" w:styleId="font20">
    <w:name w:val="font20"/>
    <w:basedOn w:val="Normal"/>
    <w:rsid w:val="00E40817"/>
    <w:pPr>
      <w:spacing w:before="100" w:beforeAutospacing="1" w:after="100" w:afterAutospacing="1"/>
      <w:jc w:val="left"/>
    </w:pPr>
    <w:rPr>
      <w:rFonts w:ascii="Arial" w:hAnsi="Arial" w:cs="Arial"/>
      <w:color w:val="231F20"/>
      <w:sz w:val="18"/>
      <w:szCs w:val="18"/>
    </w:rPr>
  </w:style>
  <w:style w:type="paragraph" w:customStyle="1" w:styleId="font21">
    <w:name w:val="font21"/>
    <w:basedOn w:val="Normal"/>
    <w:rsid w:val="00E40817"/>
    <w:pPr>
      <w:spacing w:before="100" w:beforeAutospacing="1" w:after="100" w:afterAutospacing="1"/>
      <w:jc w:val="left"/>
    </w:pPr>
    <w:rPr>
      <w:rFonts w:ascii="Cambria" w:hAnsi="Cambria"/>
      <w:color w:val="231F20"/>
      <w:sz w:val="18"/>
      <w:szCs w:val="18"/>
    </w:rPr>
  </w:style>
  <w:style w:type="paragraph" w:customStyle="1" w:styleId="font22">
    <w:name w:val="font22"/>
    <w:basedOn w:val="Normal"/>
    <w:rsid w:val="00E40817"/>
    <w:pPr>
      <w:spacing w:before="100" w:beforeAutospacing="1" w:after="100" w:afterAutospacing="1"/>
      <w:jc w:val="left"/>
    </w:pPr>
    <w:rPr>
      <w:rFonts w:ascii="Aptos Narrow" w:hAnsi="Aptos Narrow"/>
      <w:color w:val="231F20"/>
      <w:sz w:val="18"/>
      <w:szCs w:val="18"/>
    </w:rPr>
  </w:style>
  <w:style w:type="paragraph" w:customStyle="1" w:styleId="font23">
    <w:name w:val="font23"/>
    <w:basedOn w:val="Normal"/>
    <w:rsid w:val="00E40817"/>
    <w:pPr>
      <w:spacing w:before="100" w:beforeAutospacing="1" w:after="100" w:afterAutospacing="1"/>
      <w:jc w:val="left"/>
    </w:pPr>
    <w:rPr>
      <w:color w:val="231F20"/>
      <w:sz w:val="18"/>
      <w:szCs w:val="18"/>
    </w:rPr>
  </w:style>
  <w:style w:type="paragraph" w:customStyle="1" w:styleId="font24">
    <w:name w:val="font24"/>
    <w:basedOn w:val="Normal"/>
    <w:rsid w:val="00E40817"/>
    <w:pPr>
      <w:spacing w:before="100" w:beforeAutospacing="1" w:after="100" w:afterAutospacing="1"/>
      <w:jc w:val="left"/>
    </w:pPr>
    <w:rPr>
      <w:i/>
      <w:iCs/>
      <w:color w:val="231F20"/>
      <w:sz w:val="18"/>
      <w:szCs w:val="18"/>
    </w:rPr>
  </w:style>
  <w:style w:type="paragraph" w:customStyle="1" w:styleId="font25">
    <w:name w:val="font25"/>
    <w:basedOn w:val="Normal"/>
    <w:rsid w:val="00E40817"/>
    <w:pPr>
      <w:spacing w:before="100" w:beforeAutospacing="1" w:after="100" w:afterAutospacing="1"/>
      <w:jc w:val="left"/>
    </w:pPr>
    <w:rPr>
      <w:rFonts w:ascii="Arial" w:hAnsi="Arial" w:cs="Arial"/>
      <w:i/>
      <w:iCs/>
      <w:color w:val="006400"/>
      <w:sz w:val="18"/>
      <w:szCs w:val="18"/>
    </w:rPr>
  </w:style>
  <w:style w:type="paragraph" w:customStyle="1" w:styleId="xl63">
    <w:name w:val="xl63"/>
    <w:basedOn w:val="Normal"/>
    <w:rsid w:val="00E40817"/>
    <w:pPr>
      <w:spacing w:before="100" w:beforeAutospacing="1" w:after="100" w:afterAutospacing="1"/>
      <w:jc w:val="left"/>
    </w:pPr>
    <w:rPr>
      <w:szCs w:val="24"/>
    </w:rPr>
  </w:style>
  <w:style w:type="paragraph" w:customStyle="1" w:styleId="xl64">
    <w:name w:val="xl64"/>
    <w:basedOn w:val="Normal"/>
    <w:rsid w:val="00E40817"/>
    <w:pPr>
      <w:spacing w:before="100" w:beforeAutospacing="1" w:after="100" w:afterAutospacing="1"/>
      <w:jc w:val="left"/>
    </w:pPr>
    <w:rPr>
      <w:szCs w:val="24"/>
    </w:rPr>
  </w:style>
  <w:style w:type="paragraph" w:customStyle="1" w:styleId="xl65">
    <w:name w:val="xl65"/>
    <w:basedOn w:val="Normal"/>
    <w:rsid w:val="00E40817"/>
    <w:pPr>
      <w:spacing w:before="100" w:beforeAutospacing="1" w:after="100" w:afterAutospacing="1"/>
      <w:jc w:val="left"/>
    </w:pPr>
    <w:rPr>
      <w:rFonts w:ascii="Cambria" w:hAnsi="Cambria"/>
      <w:szCs w:val="24"/>
    </w:rPr>
  </w:style>
  <w:style w:type="paragraph" w:customStyle="1" w:styleId="xl66">
    <w:name w:val="xl66"/>
    <w:basedOn w:val="Normal"/>
    <w:rsid w:val="00E40817"/>
    <w:pPr>
      <w:spacing w:before="100" w:beforeAutospacing="1" w:after="100" w:afterAutospacing="1"/>
      <w:jc w:val="left"/>
    </w:pPr>
    <w:rPr>
      <w:sz w:val="18"/>
      <w:szCs w:val="18"/>
    </w:rPr>
  </w:style>
  <w:style w:type="paragraph" w:customStyle="1" w:styleId="xl67">
    <w:name w:val="xl67"/>
    <w:basedOn w:val="Normal"/>
    <w:rsid w:val="00E40817"/>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68">
    <w:name w:val="xl68"/>
    <w:basedOn w:val="Normal"/>
    <w:rsid w:val="00E40817"/>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rPr>
  </w:style>
  <w:style w:type="paragraph" w:customStyle="1" w:styleId="xl69">
    <w:name w:val="xl69"/>
    <w:basedOn w:val="Normal"/>
    <w:rsid w:val="00E408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70">
    <w:name w:val="xl70"/>
    <w:basedOn w:val="Normal"/>
    <w:rsid w:val="00E4081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18"/>
      <w:szCs w:val="18"/>
    </w:rPr>
  </w:style>
  <w:style w:type="paragraph" w:customStyle="1" w:styleId="xl71">
    <w:name w:val="xl71"/>
    <w:basedOn w:val="Normal"/>
    <w:rsid w:val="00E40817"/>
    <w:pPr>
      <w:pBdr>
        <w:top w:val="single" w:sz="4"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72">
    <w:name w:val="xl72"/>
    <w:basedOn w:val="Normal"/>
    <w:rsid w:val="00E4081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b/>
      <w:bCs/>
      <w:color w:val="7030A0"/>
      <w:sz w:val="18"/>
      <w:szCs w:val="18"/>
      <w:u w:val="single"/>
    </w:rPr>
  </w:style>
  <w:style w:type="paragraph" w:customStyle="1" w:styleId="xl73">
    <w:name w:val="xl73"/>
    <w:basedOn w:val="Normal"/>
    <w:rsid w:val="00E40817"/>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b/>
      <w:bCs/>
      <w:color w:val="7030A0"/>
      <w:sz w:val="18"/>
      <w:szCs w:val="18"/>
      <w:u w:val="single"/>
    </w:rPr>
  </w:style>
  <w:style w:type="paragraph" w:customStyle="1" w:styleId="xl74">
    <w:name w:val="xl74"/>
    <w:basedOn w:val="Normal"/>
    <w:rsid w:val="00E408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18"/>
      <w:szCs w:val="18"/>
    </w:rPr>
  </w:style>
  <w:style w:type="paragraph" w:customStyle="1" w:styleId="xl75">
    <w:name w:val="xl75"/>
    <w:basedOn w:val="Normal"/>
    <w:rsid w:val="00E408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8"/>
      <w:szCs w:val="18"/>
    </w:rPr>
  </w:style>
  <w:style w:type="paragraph" w:customStyle="1" w:styleId="xl76">
    <w:name w:val="xl76"/>
    <w:basedOn w:val="Normal"/>
    <w:rsid w:val="00E408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006400"/>
      <w:sz w:val="18"/>
      <w:szCs w:val="18"/>
    </w:rPr>
  </w:style>
  <w:style w:type="paragraph" w:customStyle="1" w:styleId="xl77">
    <w:name w:val="xl77"/>
    <w:basedOn w:val="Normal"/>
    <w:rsid w:val="00E408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7030A0"/>
      <w:sz w:val="18"/>
      <w:szCs w:val="18"/>
      <w:u w:val="single"/>
    </w:rPr>
  </w:style>
  <w:style w:type="paragraph" w:customStyle="1" w:styleId="xl78">
    <w:name w:val="xl78"/>
    <w:basedOn w:val="Normal"/>
    <w:rsid w:val="00E408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7030A0"/>
      <w:sz w:val="18"/>
      <w:szCs w:val="18"/>
      <w:u w:val="single"/>
    </w:rPr>
  </w:style>
  <w:style w:type="paragraph" w:customStyle="1" w:styleId="xl79">
    <w:name w:val="xl79"/>
    <w:basedOn w:val="Normal"/>
    <w:rsid w:val="00E408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7030A0"/>
      <w:sz w:val="18"/>
      <w:szCs w:val="18"/>
      <w:u w:val="single"/>
    </w:rPr>
  </w:style>
  <w:style w:type="paragraph" w:customStyle="1" w:styleId="xl80">
    <w:name w:val="xl80"/>
    <w:basedOn w:val="Normal"/>
    <w:rsid w:val="00E408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231F20"/>
      <w:sz w:val="18"/>
      <w:szCs w:val="18"/>
    </w:rPr>
  </w:style>
  <w:style w:type="paragraph" w:customStyle="1" w:styleId="xl81">
    <w:name w:val="xl81"/>
    <w:basedOn w:val="Normal"/>
    <w:rsid w:val="00E408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8"/>
      <w:szCs w:val="18"/>
    </w:rPr>
  </w:style>
  <w:style w:type="paragraph" w:customStyle="1" w:styleId="xl82">
    <w:name w:val="xl82"/>
    <w:basedOn w:val="Normal"/>
    <w:rsid w:val="00E408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8"/>
      <w:szCs w:val="18"/>
    </w:rPr>
  </w:style>
  <w:style w:type="paragraph" w:customStyle="1" w:styleId="xl83">
    <w:name w:val="xl83"/>
    <w:basedOn w:val="Normal"/>
    <w:rsid w:val="00E408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6400"/>
      <w:sz w:val="18"/>
      <w:szCs w:val="18"/>
    </w:rPr>
  </w:style>
  <w:style w:type="paragraph" w:customStyle="1" w:styleId="xl84">
    <w:name w:val="xl84"/>
    <w:basedOn w:val="Normal"/>
    <w:rsid w:val="00E408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85">
    <w:name w:val="xl85"/>
    <w:basedOn w:val="Normal"/>
    <w:rsid w:val="00E40817"/>
    <w:pPr>
      <w:pBdr>
        <w:top w:val="single" w:sz="4" w:space="0" w:color="auto"/>
        <w:left w:val="single" w:sz="4" w:space="0" w:color="auto"/>
        <w:bottom w:val="single" w:sz="4" w:space="0" w:color="auto"/>
      </w:pBdr>
      <w:shd w:val="clear" w:color="000000" w:fill="FFFFFF"/>
      <w:spacing w:before="100" w:beforeAutospacing="1" w:after="100" w:afterAutospacing="1"/>
      <w:jc w:val="left"/>
    </w:pPr>
    <w:rPr>
      <w:rFonts w:ascii="Arial" w:hAnsi="Arial" w:cs="Arial"/>
      <w:color w:val="006400"/>
      <w:sz w:val="18"/>
      <w:szCs w:val="18"/>
    </w:rPr>
  </w:style>
  <w:style w:type="paragraph" w:customStyle="1" w:styleId="xl86">
    <w:name w:val="xl86"/>
    <w:basedOn w:val="Normal"/>
    <w:rsid w:val="00E40817"/>
    <w:pPr>
      <w:pBdr>
        <w:top w:val="single" w:sz="4" w:space="0" w:color="auto"/>
        <w:bottom w:val="single" w:sz="4" w:space="0" w:color="auto"/>
        <w:right w:val="single" w:sz="4" w:space="0" w:color="auto"/>
      </w:pBdr>
      <w:shd w:val="clear" w:color="000000" w:fill="FFFFFF"/>
      <w:spacing w:before="100" w:beforeAutospacing="1" w:after="100" w:afterAutospacing="1"/>
      <w:jc w:val="left"/>
    </w:pPr>
    <w:rPr>
      <w:rFonts w:ascii="Arial" w:hAnsi="Arial" w:cs="Arial"/>
      <w:color w:val="006400"/>
      <w:sz w:val="18"/>
      <w:szCs w:val="18"/>
    </w:rPr>
  </w:style>
  <w:style w:type="paragraph" w:customStyle="1" w:styleId="xl87">
    <w:name w:val="xl87"/>
    <w:basedOn w:val="Normal"/>
    <w:rsid w:val="00E408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006400"/>
      <w:sz w:val="18"/>
      <w:szCs w:val="18"/>
    </w:rPr>
  </w:style>
  <w:style w:type="paragraph" w:customStyle="1" w:styleId="xl88">
    <w:name w:val="xl88"/>
    <w:basedOn w:val="Normal"/>
    <w:rsid w:val="00E40817"/>
    <w:pPr>
      <w:shd w:val="clear" w:color="000000" w:fill="FFFFFF"/>
      <w:spacing w:before="100" w:beforeAutospacing="1" w:after="100" w:afterAutospacing="1"/>
      <w:jc w:val="center"/>
    </w:pPr>
    <w:rPr>
      <w:rFonts w:ascii="Cambria" w:hAnsi="Cambria"/>
      <w:sz w:val="18"/>
      <w:szCs w:val="18"/>
    </w:rPr>
  </w:style>
  <w:style w:type="paragraph" w:customStyle="1" w:styleId="xl89">
    <w:name w:val="xl89"/>
    <w:basedOn w:val="Normal"/>
    <w:rsid w:val="00E408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mbria" w:hAnsi="Cambria"/>
      <w:sz w:val="18"/>
      <w:szCs w:val="18"/>
    </w:rPr>
  </w:style>
  <w:style w:type="paragraph" w:customStyle="1" w:styleId="xl90">
    <w:name w:val="xl90"/>
    <w:basedOn w:val="Normal"/>
    <w:rsid w:val="00E408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mbria" w:hAnsi="Cambria"/>
      <w:color w:val="006400"/>
      <w:sz w:val="18"/>
      <w:szCs w:val="18"/>
    </w:rPr>
  </w:style>
  <w:style w:type="paragraph" w:customStyle="1" w:styleId="xl91">
    <w:name w:val="xl91"/>
    <w:basedOn w:val="Normal"/>
    <w:rsid w:val="00E408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mbria" w:hAnsi="Cambria"/>
      <w:color w:val="7030A0"/>
      <w:sz w:val="18"/>
      <w:szCs w:val="18"/>
      <w:u w:val="single"/>
    </w:rPr>
  </w:style>
  <w:style w:type="paragraph" w:customStyle="1" w:styleId="xl92">
    <w:name w:val="xl92"/>
    <w:basedOn w:val="Normal"/>
    <w:rsid w:val="00E408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mbria" w:hAnsi="Cambria"/>
      <w:sz w:val="18"/>
      <w:szCs w:val="18"/>
    </w:rPr>
  </w:style>
  <w:style w:type="paragraph" w:customStyle="1" w:styleId="xl93">
    <w:name w:val="xl93"/>
    <w:basedOn w:val="Normal"/>
    <w:rsid w:val="00E408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mbria" w:hAnsi="Cambria"/>
      <w:sz w:val="18"/>
      <w:szCs w:val="18"/>
    </w:rPr>
  </w:style>
  <w:style w:type="paragraph" w:customStyle="1" w:styleId="xl94">
    <w:name w:val="xl94"/>
    <w:basedOn w:val="Normal"/>
    <w:rsid w:val="00E408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8"/>
      <w:szCs w:val="18"/>
    </w:rPr>
  </w:style>
  <w:style w:type="paragraph" w:customStyle="1" w:styleId="xl95">
    <w:name w:val="xl95"/>
    <w:basedOn w:val="Normal"/>
    <w:rsid w:val="00E408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006400"/>
      <w:sz w:val="18"/>
      <w:szCs w:val="18"/>
    </w:rPr>
  </w:style>
  <w:style w:type="paragraph" w:customStyle="1" w:styleId="xl96">
    <w:name w:val="xl96"/>
    <w:basedOn w:val="Normal"/>
    <w:rsid w:val="00E408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231F20"/>
      <w:sz w:val="18"/>
      <w:szCs w:val="18"/>
    </w:rPr>
  </w:style>
  <w:style w:type="paragraph" w:customStyle="1" w:styleId="xl97">
    <w:name w:val="xl97"/>
    <w:basedOn w:val="Normal"/>
    <w:rsid w:val="00E408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sz w:val="18"/>
      <w:szCs w:val="18"/>
    </w:rPr>
  </w:style>
  <w:style w:type="paragraph" w:customStyle="1" w:styleId="xl98">
    <w:name w:val="xl98"/>
    <w:basedOn w:val="Normal"/>
    <w:rsid w:val="00E408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231F20"/>
      <w:sz w:val="18"/>
      <w:szCs w:val="18"/>
    </w:rPr>
  </w:style>
  <w:style w:type="paragraph" w:customStyle="1" w:styleId="xl99">
    <w:name w:val="xl99"/>
    <w:basedOn w:val="Normal"/>
    <w:rsid w:val="00E408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mbria" w:hAnsi="Cambria"/>
      <w:b/>
      <w:bCs/>
      <w:color w:val="231F20"/>
      <w:sz w:val="18"/>
      <w:szCs w:val="18"/>
    </w:rPr>
  </w:style>
  <w:style w:type="paragraph" w:customStyle="1" w:styleId="xl100">
    <w:name w:val="xl100"/>
    <w:basedOn w:val="Normal"/>
    <w:rsid w:val="00E40817"/>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Cambria" w:hAnsi="Cambria"/>
      <w:sz w:val="18"/>
      <w:szCs w:val="18"/>
    </w:rPr>
  </w:style>
  <w:style w:type="paragraph" w:customStyle="1" w:styleId="xl101">
    <w:name w:val="xl101"/>
    <w:basedOn w:val="Normal"/>
    <w:rsid w:val="00E40817"/>
    <w:pPr>
      <w:pBdr>
        <w:top w:val="single" w:sz="4" w:space="0" w:color="auto"/>
        <w:bottom w:val="single" w:sz="4" w:space="0" w:color="auto"/>
      </w:pBdr>
      <w:shd w:val="clear" w:color="000000" w:fill="FFFFFF"/>
      <w:spacing w:before="100" w:beforeAutospacing="1" w:after="100" w:afterAutospacing="1"/>
      <w:jc w:val="center"/>
    </w:pPr>
    <w:rPr>
      <w:rFonts w:ascii="Cambria" w:hAnsi="Cambria"/>
      <w:color w:val="006400"/>
      <w:sz w:val="18"/>
      <w:szCs w:val="18"/>
    </w:rPr>
  </w:style>
  <w:style w:type="paragraph" w:customStyle="1" w:styleId="xl102">
    <w:name w:val="xl102"/>
    <w:basedOn w:val="Normal"/>
    <w:rsid w:val="00E40817"/>
    <w:pPr>
      <w:pBdr>
        <w:top w:val="single" w:sz="4" w:space="0" w:color="auto"/>
        <w:bottom w:val="single" w:sz="4" w:space="0" w:color="auto"/>
      </w:pBdr>
      <w:shd w:val="clear" w:color="000000" w:fill="FFFFFF"/>
      <w:spacing w:before="100" w:beforeAutospacing="1" w:after="100" w:afterAutospacing="1"/>
      <w:jc w:val="center"/>
    </w:pPr>
    <w:rPr>
      <w:rFonts w:ascii="Cambria" w:hAnsi="Cambria"/>
      <w:color w:val="231F20"/>
      <w:sz w:val="18"/>
      <w:szCs w:val="18"/>
    </w:rPr>
  </w:style>
  <w:style w:type="paragraph" w:customStyle="1" w:styleId="xl103">
    <w:name w:val="xl103"/>
    <w:basedOn w:val="Normal"/>
    <w:rsid w:val="00E40817"/>
    <w:pPr>
      <w:pBdr>
        <w:top w:val="single" w:sz="4" w:space="0" w:color="auto"/>
        <w:bottom w:val="single" w:sz="4" w:space="0" w:color="auto"/>
      </w:pBdr>
      <w:shd w:val="clear" w:color="000000" w:fill="FFFFFF"/>
      <w:spacing w:before="100" w:beforeAutospacing="1" w:after="100" w:afterAutospacing="1"/>
      <w:jc w:val="center"/>
    </w:pPr>
    <w:rPr>
      <w:rFonts w:ascii="Cambria" w:hAnsi="Cambria"/>
      <w:sz w:val="18"/>
      <w:szCs w:val="18"/>
    </w:rPr>
  </w:style>
  <w:style w:type="paragraph" w:customStyle="1" w:styleId="xl104">
    <w:name w:val="xl104"/>
    <w:basedOn w:val="Normal"/>
    <w:rsid w:val="00E40817"/>
    <w:pPr>
      <w:pBdr>
        <w:top w:val="single" w:sz="4" w:space="0" w:color="auto"/>
        <w:bottom w:val="single" w:sz="4" w:space="0" w:color="auto"/>
      </w:pBdr>
      <w:shd w:val="clear" w:color="000000" w:fill="FFFFFF"/>
      <w:spacing w:before="100" w:beforeAutospacing="1" w:after="100" w:afterAutospacing="1"/>
      <w:jc w:val="center"/>
      <w:textAlignment w:val="center"/>
    </w:pPr>
    <w:rPr>
      <w:rFonts w:ascii="Cambria" w:hAnsi="Cambria"/>
      <w:sz w:val="18"/>
      <w:szCs w:val="18"/>
    </w:rPr>
  </w:style>
  <w:style w:type="paragraph" w:customStyle="1" w:styleId="xl105">
    <w:name w:val="xl105"/>
    <w:basedOn w:val="Normal"/>
    <w:rsid w:val="00E40817"/>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Cambria" w:hAnsi="Cambria"/>
      <w:sz w:val="18"/>
      <w:szCs w:val="18"/>
    </w:rPr>
  </w:style>
  <w:style w:type="paragraph" w:customStyle="1" w:styleId="xl106">
    <w:name w:val="xl106"/>
    <w:basedOn w:val="Normal"/>
    <w:rsid w:val="00E40817"/>
    <w:pPr>
      <w:pBdr>
        <w:top w:val="single" w:sz="4" w:space="0" w:color="auto"/>
        <w:bottom w:val="single" w:sz="4" w:space="0" w:color="auto"/>
      </w:pBdr>
      <w:shd w:val="clear" w:color="000000" w:fill="FFFFFF"/>
      <w:spacing w:before="100" w:beforeAutospacing="1" w:after="100" w:afterAutospacing="1"/>
      <w:jc w:val="center"/>
    </w:pPr>
    <w:rPr>
      <w:color w:val="006400"/>
      <w:sz w:val="18"/>
      <w:szCs w:val="18"/>
    </w:rPr>
  </w:style>
  <w:style w:type="paragraph" w:customStyle="1" w:styleId="xl107">
    <w:name w:val="xl107"/>
    <w:basedOn w:val="Normal"/>
    <w:rsid w:val="00E408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color w:val="7030A0"/>
      <w:sz w:val="18"/>
      <w:szCs w:val="18"/>
      <w:u w:val="single"/>
    </w:rPr>
  </w:style>
  <w:style w:type="paragraph" w:customStyle="1" w:styleId="xl108">
    <w:name w:val="xl108"/>
    <w:basedOn w:val="Normal"/>
    <w:rsid w:val="00E40817"/>
    <w:pPr>
      <w:pBdr>
        <w:top w:val="single" w:sz="4" w:space="0" w:color="auto"/>
        <w:bottom w:val="single" w:sz="4" w:space="0" w:color="auto"/>
      </w:pBdr>
      <w:shd w:val="clear" w:color="000000" w:fill="FFFFFF"/>
      <w:spacing w:before="100" w:beforeAutospacing="1" w:after="100" w:afterAutospacing="1"/>
      <w:jc w:val="center"/>
    </w:pPr>
    <w:rPr>
      <w:sz w:val="18"/>
      <w:szCs w:val="18"/>
    </w:rPr>
  </w:style>
  <w:style w:type="paragraph" w:customStyle="1" w:styleId="xl109">
    <w:name w:val="xl109"/>
    <w:basedOn w:val="Normal"/>
    <w:rsid w:val="00E40817"/>
    <w:pPr>
      <w:pBdr>
        <w:top w:val="single" w:sz="4" w:space="0" w:color="auto"/>
        <w:bottom w:val="single" w:sz="4" w:space="0" w:color="auto"/>
        <w:right w:val="single" w:sz="4" w:space="0" w:color="auto"/>
      </w:pBdr>
      <w:shd w:val="clear" w:color="000000" w:fill="FFFFFF"/>
      <w:spacing w:before="100" w:beforeAutospacing="1" w:after="100" w:afterAutospacing="1"/>
      <w:jc w:val="center"/>
    </w:pPr>
    <w:rPr>
      <w:sz w:val="18"/>
      <w:szCs w:val="18"/>
    </w:rPr>
  </w:style>
  <w:style w:type="paragraph" w:customStyle="1" w:styleId="xl110">
    <w:name w:val="xl110"/>
    <w:basedOn w:val="Normal"/>
    <w:rsid w:val="00E408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Cambria" w:hAnsi="Cambria"/>
      <w:color w:val="7030A0"/>
      <w:sz w:val="18"/>
      <w:szCs w:val="18"/>
      <w:u w:val="single"/>
    </w:rPr>
  </w:style>
  <w:style w:type="paragraph" w:customStyle="1" w:styleId="xl111">
    <w:name w:val="xl111"/>
    <w:basedOn w:val="Normal"/>
    <w:rsid w:val="00E408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7030A0"/>
      <w:sz w:val="18"/>
      <w:szCs w:val="18"/>
      <w:u w:val="single"/>
    </w:rPr>
  </w:style>
  <w:style w:type="paragraph" w:customStyle="1" w:styleId="xl112">
    <w:name w:val="xl112"/>
    <w:basedOn w:val="Normal"/>
    <w:rsid w:val="00E40817"/>
    <w:pPr>
      <w:pBdr>
        <w:left w:val="single" w:sz="4" w:space="0" w:color="auto"/>
        <w:bottom w:val="single" w:sz="4" w:space="0" w:color="auto"/>
        <w:right w:val="single" w:sz="4" w:space="0" w:color="auto"/>
      </w:pBdr>
      <w:shd w:val="clear" w:color="000000" w:fill="FFFFFF"/>
      <w:spacing w:before="100" w:beforeAutospacing="1" w:after="100" w:afterAutospacing="1"/>
      <w:jc w:val="center"/>
    </w:pPr>
    <w:rPr>
      <w:sz w:val="18"/>
      <w:szCs w:val="18"/>
    </w:rPr>
  </w:style>
  <w:style w:type="paragraph" w:customStyle="1" w:styleId="xl113">
    <w:name w:val="xl113"/>
    <w:basedOn w:val="Normal"/>
    <w:rsid w:val="00E408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mbria" w:hAnsi="Cambria"/>
      <w:color w:val="006400"/>
      <w:sz w:val="18"/>
      <w:szCs w:val="18"/>
    </w:rPr>
  </w:style>
  <w:style w:type="paragraph" w:customStyle="1" w:styleId="xl114">
    <w:name w:val="xl114"/>
    <w:basedOn w:val="Normal"/>
    <w:rsid w:val="00E408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mbria" w:hAnsi="Cambria"/>
      <w:color w:val="231F20"/>
      <w:sz w:val="18"/>
      <w:szCs w:val="18"/>
    </w:rPr>
  </w:style>
  <w:style w:type="paragraph" w:customStyle="1" w:styleId="xl115">
    <w:name w:val="xl115"/>
    <w:basedOn w:val="Normal"/>
    <w:rsid w:val="00E408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006400"/>
      <w:sz w:val="18"/>
      <w:szCs w:val="18"/>
    </w:rPr>
  </w:style>
  <w:style w:type="paragraph" w:customStyle="1" w:styleId="xl116">
    <w:name w:val="xl116"/>
    <w:basedOn w:val="Normal"/>
    <w:rsid w:val="00E408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7030A0"/>
      <w:sz w:val="18"/>
      <w:szCs w:val="18"/>
      <w:u w:val="single"/>
    </w:rPr>
  </w:style>
  <w:style w:type="paragraph" w:customStyle="1" w:styleId="xl117">
    <w:name w:val="xl117"/>
    <w:basedOn w:val="Normal"/>
    <w:rsid w:val="00E40817"/>
    <w:pPr>
      <w:shd w:val="clear" w:color="000000" w:fill="FFFFFF"/>
      <w:spacing w:before="100" w:beforeAutospacing="1" w:after="100" w:afterAutospacing="1"/>
      <w:jc w:val="center"/>
    </w:pPr>
    <w:rPr>
      <w:sz w:val="18"/>
      <w:szCs w:val="18"/>
    </w:rPr>
  </w:style>
  <w:style w:type="paragraph" w:customStyle="1" w:styleId="xl118">
    <w:name w:val="xl118"/>
    <w:basedOn w:val="Normal"/>
    <w:rsid w:val="00E408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Cambria" w:hAnsi="Cambria"/>
      <w:sz w:val="18"/>
      <w:szCs w:val="18"/>
    </w:rPr>
  </w:style>
  <w:style w:type="paragraph" w:customStyle="1" w:styleId="xl119">
    <w:name w:val="xl119"/>
    <w:basedOn w:val="Normal"/>
    <w:rsid w:val="00E40817"/>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Arial" w:hAnsi="Arial" w:cs="Arial"/>
      <w:color w:val="231F20"/>
      <w:sz w:val="18"/>
      <w:szCs w:val="18"/>
    </w:rPr>
  </w:style>
  <w:style w:type="paragraph" w:customStyle="1" w:styleId="xl120">
    <w:name w:val="xl120"/>
    <w:basedOn w:val="Normal"/>
    <w:rsid w:val="00E40817"/>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Arial" w:hAnsi="Arial" w:cs="Arial"/>
      <w:sz w:val="18"/>
      <w:szCs w:val="18"/>
    </w:rPr>
  </w:style>
  <w:style w:type="paragraph" w:customStyle="1" w:styleId="xl121">
    <w:name w:val="xl121"/>
    <w:basedOn w:val="Normal"/>
    <w:rsid w:val="00E40817"/>
    <w:pPr>
      <w:pBdr>
        <w:top w:val="single" w:sz="4" w:space="0" w:color="auto"/>
        <w:bottom w:val="single" w:sz="4" w:space="0" w:color="auto"/>
      </w:pBdr>
      <w:shd w:val="clear" w:color="000000" w:fill="FFFFFF"/>
      <w:spacing w:before="100" w:beforeAutospacing="1" w:after="100" w:afterAutospacing="1"/>
      <w:jc w:val="center"/>
    </w:pPr>
    <w:rPr>
      <w:rFonts w:ascii="Arial" w:hAnsi="Arial" w:cs="Arial"/>
      <w:color w:val="006400"/>
      <w:sz w:val="18"/>
      <w:szCs w:val="18"/>
    </w:rPr>
  </w:style>
  <w:style w:type="paragraph" w:customStyle="1" w:styleId="xl122">
    <w:name w:val="xl122"/>
    <w:basedOn w:val="Normal"/>
    <w:rsid w:val="00E40817"/>
    <w:pPr>
      <w:pBdr>
        <w:top w:val="single" w:sz="4" w:space="0" w:color="auto"/>
        <w:bottom w:val="single" w:sz="4" w:space="0" w:color="auto"/>
      </w:pBdr>
      <w:shd w:val="clear" w:color="000000" w:fill="FFFFFF"/>
      <w:spacing w:before="100" w:beforeAutospacing="1" w:after="100" w:afterAutospacing="1"/>
      <w:jc w:val="center"/>
    </w:pPr>
    <w:rPr>
      <w:rFonts w:ascii="Arial" w:hAnsi="Arial" w:cs="Arial"/>
      <w:sz w:val="18"/>
      <w:szCs w:val="18"/>
    </w:rPr>
  </w:style>
  <w:style w:type="paragraph" w:customStyle="1" w:styleId="xl123">
    <w:name w:val="xl123"/>
    <w:basedOn w:val="Normal"/>
    <w:rsid w:val="00E40817"/>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8"/>
      <w:szCs w:val="18"/>
    </w:rPr>
  </w:style>
  <w:style w:type="paragraph" w:customStyle="1" w:styleId="xl124">
    <w:name w:val="xl124"/>
    <w:basedOn w:val="Normal"/>
    <w:rsid w:val="00E408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231F20"/>
      <w:sz w:val="18"/>
      <w:szCs w:val="18"/>
    </w:rPr>
  </w:style>
  <w:style w:type="paragraph" w:customStyle="1" w:styleId="xl125">
    <w:name w:val="xl125"/>
    <w:basedOn w:val="Normal"/>
    <w:rsid w:val="00E40817"/>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ambria" w:hAnsi="Cambria"/>
      <w:sz w:val="18"/>
      <w:szCs w:val="18"/>
    </w:rPr>
  </w:style>
  <w:style w:type="paragraph" w:customStyle="1" w:styleId="xl126">
    <w:name w:val="xl126"/>
    <w:basedOn w:val="Normal"/>
    <w:rsid w:val="00E40817"/>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ambria" w:hAnsi="Cambria"/>
      <w:color w:val="006400"/>
      <w:sz w:val="18"/>
      <w:szCs w:val="18"/>
    </w:rPr>
  </w:style>
  <w:style w:type="paragraph" w:customStyle="1" w:styleId="xl127">
    <w:name w:val="xl127"/>
    <w:basedOn w:val="Normal"/>
    <w:rsid w:val="00E40817"/>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ambria" w:hAnsi="Cambria"/>
      <w:color w:val="231F20"/>
      <w:sz w:val="18"/>
      <w:szCs w:val="18"/>
    </w:rPr>
  </w:style>
  <w:style w:type="paragraph" w:customStyle="1" w:styleId="xl128">
    <w:name w:val="xl128"/>
    <w:basedOn w:val="Normal"/>
    <w:rsid w:val="00E4081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ambria" w:hAnsi="Cambria"/>
      <w:sz w:val="18"/>
      <w:szCs w:val="18"/>
    </w:rPr>
  </w:style>
  <w:style w:type="paragraph" w:customStyle="1" w:styleId="xl129">
    <w:name w:val="xl129"/>
    <w:basedOn w:val="Normal"/>
    <w:rsid w:val="00E408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30">
    <w:name w:val="xl130"/>
    <w:basedOn w:val="Normal"/>
    <w:rsid w:val="00E40817"/>
    <w:pPr>
      <w:pBdr>
        <w:left w:val="single" w:sz="4" w:space="0" w:color="auto"/>
        <w:right w:val="single" w:sz="4" w:space="0" w:color="auto"/>
      </w:pBdr>
      <w:shd w:val="clear" w:color="000000" w:fill="FFFFFF"/>
      <w:spacing w:before="100" w:beforeAutospacing="1" w:after="100" w:afterAutospacing="1"/>
      <w:jc w:val="center"/>
    </w:pPr>
    <w:rPr>
      <w:sz w:val="18"/>
      <w:szCs w:val="18"/>
    </w:rPr>
  </w:style>
  <w:style w:type="paragraph" w:customStyle="1" w:styleId="xl131">
    <w:name w:val="xl131"/>
    <w:basedOn w:val="Normal"/>
    <w:rsid w:val="00E40817"/>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Arial" w:hAnsi="Arial" w:cs="Arial"/>
      <w:sz w:val="18"/>
      <w:szCs w:val="18"/>
    </w:rPr>
  </w:style>
  <w:style w:type="paragraph" w:customStyle="1" w:styleId="xl132">
    <w:name w:val="xl132"/>
    <w:basedOn w:val="Normal"/>
    <w:rsid w:val="00E408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7030A0"/>
      <w:sz w:val="18"/>
      <w:szCs w:val="18"/>
      <w:u w:val="single"/>
    </w:rPr>
  </w:style>
  <w:style w:type="paragraph" w:customStyle="1" w:styleId="xl133">
    <w:name w:val="xl133"/>
    <w:basedOn w:val="Normal"/>
    <w:rsid w:val="00E408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8"/>
      <w:szCs w:val="18"/>
    </w:rPr>
  </w:style>
  <w:style w:type="paragraph" w:customStyle="1" w:styleId="xl134">
    <w:name w:val="xl134"/>
    <w:basedOn w:val="Normal"/>
    <w:rsid w:val="00E408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7030A0"/>
      <w:sz w:val="18"/>
      <w:szCs w:val="18"/>
      <w:u w:val="single"/>
    </w:rPr>
  </w:style>
  <w:style w:type="paragraph" w:customStyle="1" w:styleId="xl135">
    <w:name w:val="xl135"/>
    <w:basedOn w:val="Normal"/>
    <w:rsid w:val="00E408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7030A0"/>
      <w:sz w:val="18"/>
      <w:szCs w:val="18"/>
      <w:u w:val="single"/>
    </w:rPr>
  </w:style>
  <w:style w:type="paragraph" w:customStyle="1" w:styleId="xl136">
    <w:name w:val="xl136"/>
    <w:basedOn w:val="Normal"/>
    <w:rsid w:val="00E408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7030A0"/>
      <w:sz w:val="18"/>
      <w:szCs w:val="18"/>
      <w:u w:val="single"/>
    </w:rPr>
  </w:style>
  <w:style w:type="paragraph" w:customStyle="1" w:styleId="xl137">
    <w:name w:val="xl137"/>
    <w:basedOn w:val="Normal"/>
    <w:rsid w:val="00E408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mbria" w:hAnsi="Cambria"/>
      <w:color w:val="7030A0"/>
      <w:sz w:val="18"/>
      <w:szCs w:val="18"/>
      <w:u w:val="single"/>
    </w:rPr>
  </w:style>
  <w:style w:type="paragraph" w:customStyle="1" w:styleId="xl138">
    <w:name w:val="xl138"/>
    <w:basedOn w:val="Normal"/>
    <w:rsid w:val="00E408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mbria" w:hAnsi="Cambria"/>
      <w:sz w:val="18"/>
      <w:szCs w:val="18"/>
    </w:rPr>
  </w:style>
  <w:style w:type="paragraph" w:customStyle="1" w:styleId="xl139">
    <w:name w:val="xl139"/>
    <w:basedOn w:val="Normal"/>
    <w:rsid w:val="00E40817"/>
    <w:pPr>
      <w:shd w:val="clear" w:color="000000" w:fill="FFFFFF"/>
      <w:spacing w:before="100" w:beforeAutospacing="1" w:after="100" w:afterAutospacing="1"/>
      <w:jc w:val="center"/>
    </w:pPr>
    <w:rPr>
      <w:rFonts w:ascii="Cambria" w:hAnsi="Cambria"/>
      <w:color w:val="7030A0"/>
      <w:sz w:val="18"/>
      <w:szCs w:val="18"/>
      <w:u w:val="single"/>
    </w:rPr>
  </w:style>
  <w:style w:type="paragraph" w:customStyle="1" w:styleId="xl140">
    <w:name w:val="xl140"/>
    <w:basedOn w:val="Normal"/>
    <w:rsid w:val="00E408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231F20"/>
      <w:sz w:val="18"/>
      <w:szCs w:val="18"/>
    </w:rPr>
  </w:style>
  <w:style w:type="paragraph" w:customStyle="1" w:styleId="xl141">
    <w:name w:val="xl141"/>
    <w:basedOn w:val="Normal"/>
    <w:rsid w:val="00E408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6400"/>
      <w:sz w:val="18"/>
      <w:szCs w:val="18"/>
    </w:rPr>
  </w:style>
  <w:style w:type="paragraph" w:customStyle="1" w:styleId="xl142">
    <w:name w:val="xl142"/>
    <w:basedOn w:val="Normal"/>
    <w:rsid w:val="00E408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mbria" w:hAnsi="Cambria"/>
      <w:color w:val="231F20"/>
      <w:sz w:val="18"/>
      <w:szCs w:val="18"/>
    </w:rPr>
  </w:style>
  <w:style w:type="paragraph" w:customStyle="1" w:styleId="xl143">
    <w:name w:val="xl143"/>
    <w:basedOn w:val="Normal"/>
    <w:rsid w:val="00E40817"/>
    <w:pPr>
      <w:pBdr>
        <w:top w:val="single" w:sz="4" w:space="0" w:color="auto"/>
        <w:bottom w:val="single" w:sz="4" w:space="0" w:color="auto"/>
      </w:pBdr>
      <w:shd w:val="clear" w:color="000000" w:fill="FFFFFF"/>
      <w:spacing w:before="100" w:beforeAutospacing="1" w:after="100" w:afterAutospacing="1"/>
      <w:jc w:val="center"/>
    </w:pPr>
    <w:rPr>
      <w:rFonts w:ascii="Cambria" w:hAnsi="Cambria"/>
      <w:color w:val="006400"/>
      <w:sz w:val="18"/>
      <w:szCs w:val="18"/>
    </w:rPr>
  </w:style>
  <w:style w:type="paragraph" w:customStyle="1" w:styleId="xl144">
    <w:name w:val="xl144"/>
    <w:basedOn w:val="Normal"/>
    <w:rsid w:val="00E408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mbria" w:hAnsi="Cambria"/>
      <w:sz w:val="18"/>
      <w:szCs w:val="18"/>
    </w:rPr>
  </w:style>
  <w:style w:type="paragraph" w:customStyle="1" w:styleId="xl145">
    <w:name w:val="xl145"/>
    <w:basedOn w:val="Normal"/>
    <w:rsid w:val="00E40817"/>
    <w:pPr>
      <w:pBdr>
        <w:top w:val="single" w:sz="4" w:space="0" w:color="auto"/>
        <w:left w:val="single" w:sz="4" w:space="0" w:color="auto"/>
        <w:bottom w:val="single" w:sz="4" w:space="0" w:color="auto"/>
      </w:pBdr>
      <w:shd w:val="clear" w:color="000000" w:fill="FFFFFF"/>
      <w:spacing w:before="100" w:beforeAutospacing="1" w:after="100" w:afterAutospacing="1"/>
      <w:jc w:val="center"/>
    </w:pPr>
    <w:rPr>
      <w:color w:val="006400"/>
      <w:sz w:val="18"/>
      <w:szCs w:val="18"/>
    </w:rPr>
  </w:style>
  <w:style w:type="paragraph" w:customStyle="1" w:styleId="xl146">
    <w:name w:val="xl146"/>
    <w:basedOn w:val="Normal"/>
    <w:rsid w:val="00E408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231F20"/>
      <w:sz w:val="18"/>
      <w:szCs w:val="18"/>
    </w:rPr>
  </w:style>
  <w:style w:type="paragraph" w:customStyle="1" w:styleId="xl147">
    <w:name w:val="xl147"/>
    <w:basedOn w:val="Normal"/>
    <w:rsid w:val="00E40817"/>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Arial" w:hAnsi="Arial" w:cs="Arial"/>
      <w:color w:val="231F20"/>
      <w:sz w:val="18"/>
      <w:szCs w:val="18"/>
    </w:rPr>
  </w:style>
  <w:style w:type="paragraph" w:customStyle="1" w:styleId="xl148">
    <w:name w:val="xl148"/>
    <w:basedOn w:val="Normal"/>
    <w:rsid w:val="00E4081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w:hAnsi="Arial" w:cs="Arial"/>
      <w:b/>
      <w:bCs/>
      <w:sz w:val="18"/>
      <w:szCs w:val="18"/>
    </w:rPr>
  </w:style>
  <w:style w:type="paragraph" w:customStyle="1" w:styleId="xl149">
    <w:name w:val="xl149"/>
    <w:basedOn w:val="Normal"/>
    <w:rsid w:val="00E4081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sz w:val="18"/>
      <w:szCs w:val="18"/>
    </w:rPr>
  </w:style>
  <w:style w:type="paragraph" w:customStyle="1" w:styleId="xl150">
    <w:name w:val="xl150"/>
    <w:basedOn w:val="Normal"/>
    <w:rsid w:val="00E40817"/>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18"/>
      <w:szCs w:val="18"/>
    </w:rPr>
  </w:style>
  <w:style w:type="paragraph" w:customStyle="1" w:styleId="xl151">
    <w:name w:val="xl151"/>
    <w:basedOn w:val="Normal"/>
    <w:rsid w:val="00E40817"/>
    <w:pPr>
      <w:pBdr>
        <w:top w:val="single" w:sz="4" w:space="0" w:color="auto"/>
        <w:left w:val="single" w:sz="4" w:space="0" w:color="auto"/>
        <w:right w:val="single" w:sz="4" w:space="0" w:color="auto"/>
      </w:pBdr>
      <w:spacing w:before="100" w:beforeAutospacing="1" w:after="100" w:afterAutospacing="1"/>
      <w:jc w:val="left"/>
    </w:pPr>
    <w:rPr>
      <w:sz w:val="18"/>
      <w:szCs w:val="18"/>
    </w:rPr>
  </w:style>
  <w:style w:type="paragraph" w:customStyle="1" w:styleId="xl152">
    <w:name w:val="xl152"/>
    <w:basedOn w:val="Normal"/>
    <w:rsid w:val="00E40817"/>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53">
    <w:name w:val="xl153"/>
    <w:basedOn w:val="Normal"/>
    <w:rsid w:val="00E408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w:hAnsi="Arial" w:cs="Arial"/>
      <w:sz w:val="18"/>
      <w:szCs w:val="18"/>
    </w:rPr>
  </w:style>
  <w:style w:type="paragraph" w:customStyle="1" w:styleId="xl154">
    <w:name w:val="xl154"/>
    <w:basedOn w:val="Normal"/>
    <w:rsid w:val="00E40817"/>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mbria" w:hAnsi="Cambria"/>
      <w:sz w:val="18"/>
      <w:szCs w:val="18"/>
    </w:rPr>
  </w:style>
  <w:style w:type="paragraph" w:customStyle="1" w:styleId="font0">
    <w:name w:val="font0"/>
    <w:basedOn w:val="Normal"/>
    <w:rsid w:val="00E40817"/>
    <w:pPr>
      <w:spacing w:before="100" w:beforeAutospacing="1" w:after="100" w:afterAutospacing="1"/>
      <w:jc w:val="left"/>
    </w:pPr>
    <w:rPr>
      <w:color w:val="000000"/>
      <w:sz w:val="20"/>
    </w:rPr>
  </w:style>
  <w:style w:type="character" w:customStyle="1" w:styleId="spellingerror">
    <w:name w:val="spellingerror"/>
    <w:basedOn w:val="DefaultParagraphFont"/>
    <w:uiPriority w:val="1"/>
    <w:rsid w:val="00E40817"/>
  </w:style>
  <w:style w:type="character" w:customStyle="1" w:styleId="contextualspellingandgrammarerror">
    <w:name w:val="contextualspellingandgrammarerror"/>
    <w:basedOn w:val="DefaultParagraphFont"/>
    <w:uiPriority w:val="1"/>
    <w:rsid w:val="00E40817"/>
  </w:style>
  <w:style w:type="paragraph" w:customStyle="1" w:styleId="AcronymsandAbbreviations">
    <w:name w:val="Acronyms and Abbreviations"/>
    <w:basedOn w:val="Normal"/>
    <w:uiPriority w:val="1"/>
    <w:qFormat/>
    <w:rsid w:val="00E40817"/>
    <w:pPr>
      <w:tabs>
        <w:tab w:val="right" w:leader="dot" w:pos="9360"/>
      </w:tabs>
      <w:spacing w:after="40" w:line="276" w:lineRule="auto"/>
      <w:contextualSpacing/>
      <w:jc w:val="left"/>
    </w:pPr>
    <w:rPr>
      <w:rFonts w:ascii="Calibri" w:hAnsi="Calibri"/>
      <w:color w:val="000000"/>
      <w:szCs w:val="24"/>
      <w:lang w:eastAsia="ja-JP"/>
    </w:rPr>
  </w:style>
  <w:style w:type="character" w:customStyle="1" w:styleId="findhit">
    <w:name w:val="findhit"/>
    <w:basedOn w:val="DefaultParagraphFont"/>
    <w:uiPriority w:val="1"/>
    <w:rsid w:val="00E40817"/>
  </w:style>
  <w:style w:type="character" w:customStyle="1" w:styleId="textrun">
    <w:name w:val="textrun"/>
    <w:basedOn w:val="DefaultParagraphFont"/>
    <w:rsid w:val="00E40817"/>
  </w:style>
  <w:style w:type="paragraph" w:customStyle="1" w:styleId="outlineelement">
    <w:name w:val="outlineelement"/>
    <w:basedOn w:val="Normal"/>
    <w:rsid w:val="00E40817"/>
    <w:pPr>
      <w:spacing w:before="100" w:beforeAutospacing="1" w:after="100" w:afterAutospacing="1"/>
      <w:jc w:val="left"/>
    </w:pPr>
    <w:rPr>
      <w:szCs w:val="24"/>
    </w:rPr>
  </w:style>
  <w:style w:type="paragraph" w:customStyle="1" w:styleId="106zl">
    <w:name w:val="106zl"/>
    <w:uiPriority w:val="99"/>
    <w:rsid w:val="00E40817"/>
    <w:pPr>
      <w:tabs>
        <w:tab w:val="left" w:pos="600"/>
      </w:tabs>
      <w:autoSpaceDE w:val="0"/>
      <w:autoSpaceDN w:val="0"/>
      <w:adjustRightInd w:val="0"/>
      <w:spacing w:before="80" w:after="0" w:line="200" w:lineRule="atLeast"/>
      <w:ind w:left="600" w:hanging="360"/>
      <w:jc w:val="both"/>
    </w:pPr>
    <w:rPr>
      <w:rFonts w:ascii="Times" w:eastAsia="Times New Roman" w:hAnsi="Times" w:cs="Times"/>
      <w:color w:val="000000"/>
      <w:w w:val="0"/>
      <w:sz w:val="20"/>
      <w:szCs w:val="20"/>
    </w:rPr>
  </w:style>
  <w:style w:type="character" w:customStyle="1" w:styleId="span4">
    <w:name w:val="span4"/>
    <w:uiPriority w:val="99"/>
    <w:rsid w:val="00E40817"/>
    <w:rPr>
      <w:color w:val="128AFF"/>
    </w:rPr>
  </w:style>
  <w:style w:type="character" w:customStyle="1" w:styleId="span20">
    <w:name w:val="span20"/>
    <w:uiPriority w:val="99"/>
    <w:rsid w:val="00E40817"/>
    <w:rPr>
      <w:i/>
      <w:iCs/>
      <w:color w:val="128AFF"/>
    </w:rPr>
  </w:style>
  <w:style w:type="character" w:customStyle="1" w:styleId="bold0">
    <w:name w:val="bold"/>
    <w:uiPriority w:val="99"/>
    <w:rsid w:val="00E40817"/>
    <w:rPr>
      <w:b/>
      <w:bCs/>
    </w:rPr>
  </w:style>
  <w:style w:type="character" w:customStyle="1" w:styleId="DefaultFont">
    <w:name w:val="Default ¶ Font"/>
    <w:uiPriority w:val="99"/>
    <w:rsid w:val="00E40817"/>
  </w:style>
  <w:style w:type="paragraph" w:customStyle="1" w:styleId="p2">
    <w:name w:val="p2"/>
    <w:uiPriority w:val="99"/>
    <w:rsid w:val="00E40817"/>
    <w:pPr>
      <w:tabs>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before="80" w:after="80" w:line="220" w:lineRule="atLeast"/>
      <w:ind w:left="460"/>
      <w:jc w:val="both"/>
    </w:pPr>
    <w:rPr>
      <w:rFonts w:ascii="Times New Roman" w:eastAsia="Times New Roman" w:hAnsi="Times New Roman" w:cs="Times New Roman"/>
      <w:color w:val="128AFF"/>
      <w:w w:val="0"/>
      <w:sz w:val="20"/>
      <w:szCs w:val="20"/>
    </w:rPr>
  </w:style>
  <w:style w:type="paragraph" w:customStyle="1" w:styleId="p12">
    <w:name w:val="p12"/>
    <w:uiPriority w:val="99"/>
    <w:rsid w:val="00E40817"/>
    <w:pPr>
      <w:tabs>
        <w:tab w:val="left" w:pos="1040"/>
        <w:tab w:val="left" w:pos="1280"/>
        <w:tab w:val="right" w:pos="4900"/>
      </w:tabs>
      <w:suppressAutoHyphens/>
      <w:autoSpaceDE w:val="0"/>
      <w:autoSpaceDN w:val="0"/>
      <w:adjustRightInd w:val="0"/>
      <w:spacing w:before="60" w:after="60" w:line="220" w:lineRule="atLeast"/>
      <w:ind w:left="1300" w:hanging="1060"/>
      <w:jc w:val="both"/>
    </w:pPr>
    <w:rPr>
      <w:rFonts w:ascii="Times New Roman" w:eastAsia="Times New Roman" w:hAnsi="Times New Roman" w:cs="Times New Roman"/>
      <w:color w:val="000000"/>
      <w:w w:val="0"/>
      <w:sz w:val="20"/>
      <w:szCs w:val="20"/>
    </w:rPr>
  </w:style>
  <w:style w:type="paragraph" w:customStyle="1" w:styleId="p17">
    <w:name w:val="p17"/>
    <w:uiPriority w:val="99"/>
    <w:rsid w:val="00E40817"/>
    <w:pPr>
      <w:tabs>
        <w:tab w:val="left" w:pos="600"/>
      </w:tabs>
      <w:autoSpaceDE w:val="0"/>
      <w:autoSpaceDN w:val="0"/>
      <w:adjustRightInd w:val="0"/>
      <w:spacing w:before="20" w:after="120" w:line="200" w:lineRule="atLeast"/>
      <w:ind w:left="600" w:hanging="180"/>
      <w:jc w:val="both"/>
    </w:pPr>
    <w:rPr>
      <w:rFonts w:ascii="Times New Roman" w:eastAsia="Times New Roman" w:hAnsi="Times New Roman" w:cs="Times New Roman"/>
      <w:color w:val="000000"/>
      <w:w w:val="0"/>
      <w:sz w:val="16"/>
      <w:szCs w:val="16"/>
    </w:rPr>
  </w:style>
  <w:style w:type="character" w:customStyle="1" w:styleId="span11">
    <w:name w:val="span11"/>
    <w:uiPriority w:val="99"/>
    <w:rsid w:val="00E40817"/>
    <w:rPr>
      <w:b/>
      <w:bCs/>
      <w:color w:val="000000"/>
    </w:rPr>
  </w:style>
  <w:style w:type="character" w:customStyle="1" w:styleId="SectionChar">
    <w:name w:val="Section Char"/>
    <w:link w:val="Section"/>
    <w:rsid w:val="00E40817"/>
    <w:rPr>
      <w:rFonts w:ascii="Arial" w:eastAsia="Times New Roman" w:hAnsi="Arial" w:cs="Times New Roman"/>
      <w:b/>
      <w:w w:val="0"/>
      <w:szCs w:val="20"/>
    </w:rPr>
  </w:style>
  <w:style w:type="character" w:customStyle="1" w:styleId="formalusage">
    <w:name w:val="formal_usage"/>
    <w:uiPriority w:val="99"/>
    <w:rsid w:val="00E40817"/>
    <w:rPr>
      <w:i/>
      <w:iCs/>
      <w:color w:val="000000"/>
    </w:rPr>
  </w:style>
  <w:style w:type="character" w:customStyle="1" w:styleId="QuoteChar1">
    <w:name w:val="Quote Char1"/>
    <w:uiPriority w:val="29"/>
    <w:rsid w:val="00E40817"/>
    <w:rPr>
      <w:i/>
      <w:iCs/>
      <w:color w:val="404040"/>
      <w:sz w:val="24"/>
    </w:rPr>
  </w:style>
  <w:style w:type="numbering" w:customStyle="1" w:styleId="NoList4">
    <w:name w:val="No List4"/>
    <w:next w:val="NoList"/>
    <w:uiPriority w:val="99"/>
    <w:semiHidden/>
    <w:unhideWhenUsed/>
    <w:rsid w:val="00DB1AEE"/>
  </w:style>
  <w:style w:type="table" w:customStyle="1" w:styleId="NYSERDATable2">
    <w:name w:val="NYSERDA Table2"/>
    <w:basedOn w:val="TableNormal"/>
    <w:next w:val="TableGrid"/>
    <w:uiPriority w:val="39"/>
    <w:rsid w:val="00DB1AEE"/>
    <w:pPr>
      <w:spacing w:after="0" w:line="240" w:lineRule="auto"/>
    </w:pPr>
    <w:rPr>
      <w:rFonts w:ascii="Calibri" w:eastAsia="Calibri" w:hAnsi="Calibri" w:cs="Times New Roman"/>
    </w:rPr>
    <w:tblPr/>
  </w:style>
  <w:style w:type="table" w:customStyle="1" w:styleId="TableGrid13">
    <w:name w:val="Table Grid13"/>
    <w:basedOn w:val="TableNormal"/>
    <w:next w:val="TableGrid"/>
    <w:uiPriority w:val="59"/>
    <w:rsid w:val="00DB1AEE"/>
    <w:pPr>
      <w:spacing w:after="0" w:line="240" w:lineRule="auto"/>
    </w:pPr>
    <w:rPr>
      <w:rFonts w:ascii="Calibri" w:eastAsia="Calibri" w:hAnsi="Calibri" w:cs="Times New Roman"/>
    </w:rPr>
    <w:tblPr/>
  </w:style>
  <w:style w:type="numbering" w:customStyle="1" w:styleId="NoList14">
    <w:name w:val="No List14"/>
    <w:next w:val="NoList"/>
    <w:uiPriority w:val="99"/>
    <w:semiHidden/>
    <w:unhideWhenUsed/>
    <w:rsid w:val="00DB1AEE"/>
  </w:style>
  <w:style w:type="numbering" w:customStyle="1" w:styleId="NoList22">
    <w:name w:val="No List22"/>
    <w:next w:val="NoList"/>
    <w:uiPriority w:val="99"/>
    <w:semiHidden/>
    <w:unhideWhenUsed/>
    <w:rsid w:val="00DB1AEE"/>
  </w:style>
  <w:style w:type="numbering" w:customStyle="1" w:styleId="NoList113">
    <w:name w:val="No List113"/>
    <w:next w:val="NoList"/>
    <w:uiPriority w:val="99"/>
    <w:semiHidden/>
    <w:unhideWhenUsed/>
    <w:rsid w:val="00DB1AEE"/>
  </w:style>
  <w:style w:type="table" w:customStyle="1" w:styleId="TableGrid22">
    <w:name w:val="Table Grid22"/>
    <w:basedOn w:val="TableNormal"/>
    <w:next w:val="TableGrid"/>
    <w:uiPriority w:val="59"/>
    <w:rsid w:val="00DB1AEE"/>
    <w:pPr>
      <w:spacing w:after="0" w:line="240" w:lineRule="auto"/>
    </w:pPr>
    <w:rPr>
      <w:rFonts w:ascii="Calibri" w:eastAsia="Calibri" w:hAnsi="Calibri" w:cs="Times New Roman"/>
    </w:rPr>
    <w:tblPr/>
  </w:style>
  <w:style w:type="table" w:customStyle="1" w:styleId="TableGrid113">
    <w:name w:val="Table Grid113"/>
    <w:basedOn w:val="TableNormal"/>
    <w:next w:val="TableGrid"/>
    <w:uiPriority w:val="59"/>
    <w:rsid w:val="00DB1AEE"/>
    <w:pPr>
      <w:spacing w:after="0" w:line="240" w:lineRule="auto"/>
    </w:pPr>
    <w:rPr>
      <w:rFonts w:ascii="Calibri" w:eastAsia="Calibri" w:hAnsi="Calibri" w:cs="Times New Roman"/>
    </w:rPr>
    <w:tblPr/>
  </w:style>
  <w:style w:type="numbering" w:customStyle="1" w:styleId="NoList1113">
    <w:name w:val="No List1113"/>
    <w:next w:val="NoList"/>
    <w:uiPriority w:val="99"/>
    <w:semiHidden/>
    <w:unhideWhenUsed/>
    <w:rsid w:val="00DB1AEE"/>
  </w:style>
  <w:style w:type="table" w:customStyle="1" w:styleId="TableGrid32">
    <w:name w:val="Table Grid32"/>
    <w:basedOn w:val="TableNormal"/>
    <w:next w:val="TableGrid"/>
    <w:uiPriority w:val="59"/>
    <w:unhideWhenUsed/>
    <w:rsid w:val="00DB1AEE"/>
    <w:pPr>
      <w:spacing w:after="0" w:line="240" w:lineRule="auto"/>
    </w:pPr>
    <w:rPr>
      <w:rFonts w:ascii="Calibri" w:eastAsia="Times New Roman" w:hAnsi="Calibri" w:cs="Times New Roman"/>
      <w:sz w:val="20"/>
      <w:szCs w:val="20"/>
    </w:rPr>
    <w:tblPr/>
  </w:style>
  <w:style w:type="table" w:customStyle="1" w:styleId="TableGrid42">
    <w:name w:val="Table Grid42"/>
    <w:basedOn w:val="TableNormal"/>
    <w:next w:val="TableGrid"/>
    <w:uiPriority w:val="59"/>
    <w:rsid w:val="00DB1AEE"/>
    <w:pPr>
      <w:spacing w:after="0" w:line="240" w:lineRule="auto"/>
    </w:pPr>
    <w:rPr>
      <w:rFonts w:ascii="Calibri" w:eastAsia="Calibri" w:hAnsi="Calibri" w:cs="Times New Roman"/>
    </w:rPr>
    <w:tblPr/>
  </w:style>
  <w:style w:type="numbering" w:customStyle="1" w:styleId="NoList32">
    <w:name w:val="No List32"/>
    <w:next w:val="NoList"/>
    <w:uiPriority w:val="99"/>
    <w:semiHidden/>
    <w:unhideWhenUsed/>
    <w:rsid w:val="00DB1AEE"/>
  </w:style>
  <w:style w:type="numbering" w:customStyle="1" w:styleId="NoList122">
    <w:name w:val="No List122"/>
    <w:next w:val="NoList"/>
    <w:uiPriority w:val="99"/>
    <w:semiHidden/>
    <w:unhideWhenUsed/>
    <w:rsid w:val="00DB1AEE"/>
  </w:style>
  <w:style w:type="table" w:customStyle="1" w:styleId="TableGrid51">
    <w:name w:val="Table Grid51"/>
    <w:basedOn w:val="TableNormal"/>
    <w:next w:val="TableGrid"/>
    <w:uiPriority w:val="59"/>
    <w:rsid w:val="00DB1AEE"/>
    <w:pPr>
      <w:spacing w:after="0" w:line="240" w:lineRule="auto"/>
    </w:pPr>
    <w:rPr>
      <w:rFonts w:ascii="Calibri" w:eastAsia="Calibri" w:hAnsi="Calibri" w:cs="Times New Roman"/>
    </w:rPr>
    <w:tblPr/>
  </w:style>
  <w:style w:type="table" w:customStyle="1" w:styleId="TableGrid121">
    <w:name w:val="Table Grid121"/>
    <w:basedOn w:val="TableNormal"/>
    <w:next w:val="TableGrid"/>
    <w:uiPriority w:val="59"/>
    <w:rsid w:val="00DB1AEE"/>
    <w:pPr>
      <w:spacing w:after="0" w:line="240" w:lineRule="auto"/>
    </w:pPr>
    <w:rPr>
      <w:rFonts w:ascii="Calibri" w:eastAsia="Calibri" w:hAnsi="Calibri" w:cs="Times New Roman"/>
    </w:rPr>
    <w:tblPr/>
  </w:style>
  <w:style w:type="numbering" w:customStyle="1" w:styleId="NoList1122">
    <w:name w:val="No List1122"/>
    <w:next w:val="NoList"/>
    <w:uiPriority w:val="99"/>
    <w:semiHidden/>
    <w:unhideWhenUsed/>
    <w:rsid w:val="00DB1AEE"/>
  </w:style>
  <w:style w:type="numbering" w:customStyle="1" w:styleId="NoList212">
    <w:name w:val="No List212"/>
    <w:next w:val="NoList"/>
    <w:uiPriority w:val="99"/>
    <w:semiHidden/>
    <w:unhideWhenUsed/>
    <w:rsid w:val="00DB1AEE"/>
  </w:style>
  <w:style w:type="numbering" w:customStyle="1" w:styleId="NoList11112">
    <w:name w:val="No List11112"/>
    <w:next w:val="NoList"/>
    <w:uiPriority w:val="99"/>
    <w:semiHidden/>
    <w:unhideWhenUsed/>
    <w:rsid w:val="00DB1AEE"/>
  </w:style>
  <w:style w:type="table" w:customStyle="1" w:styleId="TableGrid211">
    <w:name w:val="Table Grid211"/>
    <w:basedOn w:val="TableNormal"/>
    <w:next w:val="TableGrid"/>
    <w:uiPriority w:val="59"/>
    <w:rsid w:val="00DB1AEE"/>
    <w:pPr>
      <w:spacing w:after="0" w:line="240" w:lineRule="auto"/>
    </w:pPr>
    <w:rPr>
      <w:rFonts w:ascii="Calibri" w:eastAsia="Calibri" w:hAnsi="Calibri" w:cs="Times New Roman"/>
    </w:rPr>
    <w:tblPr/>
  </w:style>
  <w:style w:type="table" w:customStyle="1" w:styleId="TableGrid1111">
    <w:name w:val="Table Grid1111"/>
    <w:basedOn w:val="TableNormal"/>
    <w:next w:val="TableGrid"/>
    <w:uiPriority w:val="59"/>
    <w:rsid w:val="00DB1AEE"/>
    <w:pPr>
      <w:spacing w:after="0" w:line="240" w:lineRule="auto"/>
    </w:pPr>
    <w:rPr>
      <w:rFonts w:ascii="Calibri" w:eastAsia="Calibri" w:hAnsi="Calibri" w:cs="Times New Roman"/>
    </w:rPr>
    <w:tblPr/>
  </w:style>
  <w:style w:type="numbering" w:customStyle="1" w:styleId="NoList111112">
    <w:name w:val="No List111112"/>
    <w:next w:val="NoList"/>
    <w:uiPriority w:val="99"/>
    <w:semiHidden/>
    <w:unhideWhenUsed/>
    <w:rsid w:val="00DB1AEE"/>
  </w:style>
  <w:style w:type="table" w:customStyle="1" w:styleId="TableGrid311">
    <w:name w:val="Table Grid311"/>
    <w:basedOn w:val="TableNormal"/>
    <w:next w:val="TableGrid"/>
    <w:uiPriority w:val="59"/>
    <w:unhideWhenUsed/>
    <w:rsid w:val="00DB1AEE"/>
    <w:pPr>
      <w:spacing w:after="0" w:line="240" w:lineRule="auto"/>
    </w:pPr>
    <w:rPr>
      <w:rFonts w:ascii="Calibri" w:eastAsia="Times New Roman" w:hAnsi="Calibri" w:cs="Times New Roman"/>
      <w:sz w:val="20"/>
      <w:szCs w:val="20"/>
    </w:rPr>
    <w:tblPr/>
  </w:style>
  <w:style w:type="numbering" w:customStyle="1" w:styleId="NoList312">
    <w:name w:val="No List312"/>
    <w:next w:val="NoList"/>
    <w:uiPriority w:val="99"/>
    <w:semiHidden/>
    <w:unhideWhenUsed/>
    <w:rsid w:val="00DB1AEE"/>
  </w:style>
  <w:style w:type="table" w:customStyle="1" w:styleId="TableGrid411">
    <w:name w:val="Table Grid411"/>
    <w:basedOn w:val="TableNormal"/>
    <w:next w:val="TableGrid"/>
    <w:uiPriority w:val="59"/>
    <w:rsid w:val="00DB1AEE"/>
    <w:pPr>
      <w:spacing w:after="0" w:line="240" w:lineRule="auto"/>
    </w:pPr>
    <w:rPr>
      <w:rFonts w:ascii="Calibri" w:eastAsia="Calibri" w:hAnsi="Calibri" w:cs="Times New Roman"/>
    </w:rPr>
    <w:tblPr/>
  </w:style>
  <w:style w:type="numbering" w:customStyle="1" w:styleId="NoList1212">
    <w:name w:val="No List1212"/>
    <w:next w:val="NoList"/>
    <w:uiPriority w:val="99"/>
    <w:semiHidden/>
    <w:unhideWhenUsed/>
    <w:rsid w:val="00DB1AEE"/>
  </w:style>
  <w:style w:type="numbering" w:customStyle="1" w:styleId="NoList2112">
    <w:name w:val="No List2112"/>
    <w:next w:val="NoList"/>
    <w:uiPriority w:val="99"/>
    <w:semiHidden/>
    <w:unhideWhenUsed/>
    <w:rsid w:val="00DB1AEE"/>
  </w:style>
  <w:style w:type="numbering" w:customStyle="1" w:styleId="NoList11211">
    <w:name w:val="No List11211"/>
    <w:next w:val="NoList"/>
    <w:uiPriority w:val="99"/>
    <w:semiHidden/>
    <w:unhideWhenUsed/>
    <w:rsid w:val="00DB1AEE"/>
  </w:style>
  <w:style w:type="numbering" w:customStyle="1" w:styleId="NoList11121">
    <w:name w:val="No List11121"/>
    <w:next w:val="NoList"/>
    <w:uiPriority w:val="99"/>
    <w:semiHidden/>
    <w:unhideWhenUsed/>
    <w:rsid w:val="00DB1AEE"/>
  </w:style>
  <w:style w:type="character" w:customStyle="1" w:styleId="Mention">
    <w:name w:val="Mention"/>
    <w:uiPriority w:val="99"/>
    <w:unhideWhenUsed/>
    <w:rsid w:val="00DB1AEE"/>
    <w:rPr>
      <w:color w:val="2B579A"/>
      <w:shd w:val="clear" w:color="auto" w:fill="E1DFDD"/>
    </w:rPr>
  </w:style>
  <w:style w:type="table" w:customStyle="1" w:styleId="TableGridLight2">
    <w:name w:val="Table Grid Light2"/>
    <w:basedOn w:val="TableNormal"/>
    <w:next w:val="TableGridLight"/>
    <w:uiPriority w:val="40"/>
    <w:rsid w:val="00DB1AEE"/>
    <w:pPr>
      <w:spacing w:after="0" w:line="240" w:lineRule="auto"/>
    </w:pPr>
    <w:rPr>
      <w:rFonts w:ascii="Calibri" w:eastAsia="Calibri" w:hAnsi="Calibri" w:cs="Times New Roman"/>
    </w:rPr>
    <w:tblPr/>
  </w:style>
  <w:style w:type="table" w:customStyle="1" w:styleId="PlainTable41">
    <w:name w:val="Plain Table 41"/>
    <w:basedOn w:val="TableNormal"/>
    <w:next w:val="PlainTable4"/>
    <w:uiPriority w:val="44"/>
    <w:rsid w:val="00DB1AEE"/>
    <w:pPr>
      <w:widowControl w:val="0"/>
      <w:autoSpaceDE w:val="0"/>
      <w:autoSpaceDN w:val="0"/>
      <w:spacing w:after="0" w:line="240" w:lineRule="auto"/>
    </w:pPr>
    <w:rPr>
      <w:rFonts w:ascii="Calibri" w:eastAsia="Calibri" w:hAnsi="Calibri" w:cs="Times New Roman"/>
    </w:rPr>
    <w:tblPr/>
    <w:tblStylePr w:type="firstRow">
      <w:rPr>
        <w:b/>
        <w:bCs/>
      </w:rPr>
    </w:tblStylePr>
    <w:tblStylePr w:type="lastRow">
      <w:rPr>
        <w:b/>
        <w:bCs/>
      </w:r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677868">
      <w:bodyDiv w:val="1"/>
      <w:marLeft w:val="0"/>
      <w:marRight w:val="0"/>
      <w:marTop w:val="0"/>
      <w:marBottom w:val="0"/>
      <w:divBdr>
        <w:top w:val="none" w:sz="0" w:space="0" w:color="auto"/>
        <w:left w:val="none" w:sz="0" w:space="0" w:color="auto"/>
        <w:bottom w:val="none" w:sz="0" w:space="0" w:color="auto"/>
        <w:right w:val="none" w:sz="0" w:space="0" w:color="auto"/>
      </w:divBdr>
    </w:div>
    <w:div w:id="474759889">
      <w:bodyDiv w:val="1"/>
      <w:marLeft w:val="0"/>
      <w:marRight w:val="0"/>
      <w:marTop w:val="0"/>
      <w:marBottom w:val="0"/>
      <w:divBdr>
        <w:top w:val="none" w:sz="0" w:space="0" w:color="auto"/>
        <w:left w:val="none" w:sz="0" w:space="0" w:color="auto"/>
        <w:bottom w:val="none" w:sz="0" w:space="0" w:color="auto"/>
        <w:right w:val="none" w:sz="0" w:space="0" w:color="auto"/>
      </w:divBdr>
    </w:div>
    <w:div w:id="488405204">
      <w:bodyDiv w:val="1"/>
      <w:marLeft w:val="0"/>
      <w:marRight w:val="0"/>
      <w:marTop w:val="0"/>
      <w:marBottom w:val="0"/>
      <w:divBdr>
        <w:top w:val="none" w:sz="0" w:space="0" w:color="auto"/>
        <w:left w:val="none" w:sz="0" w:space="0" w:color="auto"/>
        <w:bottom w:val="none" w:sz="0" w:space="0" w:color="auto"/>
        <w:right w:val="none" w:sz="0" w:space="0" w:color="auto"/>
      </w:divBdr>
    </w:div>
    <w:div w:id="585382120">
      <w:bodyDiv w:val="1"/>
      <w:marLeft w:val="0"/>
      <w:marRight w:val="0"/>
      <w:marTop w:val="0"/>
      <w:marBottom w:val="0"/>
      <w:divBdr>
        <w:top w:val="none" w:sz="0" w:space="0" w:color="auto"/>
        <w:left w:val="none" w:sz="0" w:space="0" w:color="auto"/>
        <w:bottom w:val="none" w:sz="0" w:space="0" w:color="auto"/>
        <w:right w:val="none" w:sz="0" w:space="0" w:color="auto"/>
      </w:divBdr>
    </w:div>
    <w:div w:id="595595475">
      <w:bodyDiv w:val="1"/>
      <w:marLeft w:val="0"/>
      <w:marRight w:val="0"/>
      <w:marTop w:val="0"/>
      <w:marBottom w:val="0"/>
      <w:divBdr>
        <w:top w:val="none" w:sz="0" w:space="0" w:color="auto"/>
        <w:left w:val="none" w:sz="0" w:space="0" w:color="auto"/>
        <w:bottom w:val="none" w:sz="0" w:space="0" w:color="auto"/>
        <w:right w:val="none" w:sz="0" w:space="0" w:color="auto"/>
      </w:divBdr>
    </w:div>
    <w:div w:id="756512332">
      <w:bodyDiv w:val="1"/>
      <w:marLeft w:val="0"/>
      <w:marRight w:val="0"/>
      <w:marTop w:val="0"/>
      <w:marBottom w:val="0"/>
      <w:divBdr>
        <w:top w:val="none" w:sz="0" w:space="0" w:color="auto"/>
        <w:left w:val="none" w:sz="0" w:space="0" w:color="auto"/>
        <w:bottom w:val="none" w:sz="0" w:space="0" w:color="auto"/>
        <w:right w:val="none" w:sz="0" w:space="0" w:color="auto"/>
      </w:divBdr>
    </w:div>
    <w:div w:id="799999787">
      <w:bodyDiv w:val="1"/>
      <w:marLeft w:val="0"/>
      <w:marRight w:val="0"/>
      <w:marTop w:val="0"/>
      <w:marBottom w:val="0"/>
      <w:divBdr>
        <w:top w:val="none" w:sz="0" w:space="0" w:color="auto"/>
        <w:left w:val="none" w:sz="0" w:space="0" w:color="auto"/>
        <w:bottom w:val="none" w:sz="0" w:space="0" w:color="auto"/>
        <w:right w:val="none" w:sz="0" w:space="0" w:color="auto"/>
      </w:divBdr>
    </w:div>
    <w:div w:id="826752996">
      <w:bodyDiv w:val="1"/>
      <w:marLeft w:val="0"/>
      <w:marRight w:val="0"/>
      <w:marTop w:val="0"/>
      <w:marBottom w:val="0"/>
      <w:divBdr>
        <w:top w:val="none" w:sz="0" w:space="0" w:color="auto"/>
        <w:left w:val="none" w:sz="0" w:space="0" w:color="auto"/>
        <w:bottom w:val="none" w:sz="0" w:space="0" w:color="auto"/>
        <w:right w:val="none" w:sz="0" w:space="0" w:color="auto"/>
      </w:divBdr>
    </w:div>
    <w:div w:id="868639853">
      <w:bodyDiv w:val="1"/>
      <w:marLeft w:val="0"/>
      <w:marRight w:val="0"/>
      <w:marTop w:val="0"/>
      <w:marBottom w:val="0"/>
      <w:divBdr>
        <w:top w:val="none" w:sz="0" w:space="0" w:color="auto"/>
        <w:left w:val="none" w:sz="0" w:space="0" w:color="auto"/>
        <w:bottom w:val="none" w:sz="0" w:space="0" w:color="auto"/>
        <w:right w:val="none" w:sz="0" w:space="0" w:color="auto"/>
      </w:divBdr>
    </w:div>
    <w:div w:id="920989905">
      <w:bodyDiv w:val="1"/>
      <w:marLeft w:val="0"/>
      <w:marRight w:val="0"/>
      <w:marTop w:val="0"/>
      <w:marBottom w:val="0"/>
      <w:divBdr>
        <w:top w:val="none" w:sz="0" w:space="0" w:color="auto"/>
        <w:left w:val="none" w:sz="0" w:space="0" w:color="auto"/>
        <w:bottom w:val="none" w:sz="0" w:space="0" w:color="auto"/>
        <w:right w:val="none" w:sz="0" w:space="0" w:color="auto"/>
      </w:divBdr>
    </w:div>
    <w:div w:id="946548873">
      <w:bodyDiv w:val="1"/>
      <w:marLeft w:val="0"/>
      <w:marRight w:val="0"/>
      <w:marTop w:val="0"/>
      <w:marBottom w:val="0"/>
      <w:divBdr>
        <w:top w:val="none" w:sz="0" w:space="0" w:color="auto"/>
        <w:left w:val="none" w:sz="0" w:space="0" w:color="auto"/>
        <w:bottom w:val="none" w:sz="0" w:space="0" w:color="auto"/>
        <w:right w:val="none" w:sz="0" w:space="0" w:color="auto"/>
      </w:divBdr>
    </w:div>
    <w:div w:id="1044602984">
      <w:bodyDiv w:val="1"/>
      <w:marLeft w:val="0"/>
      <w:marRight w:val="0"/>
      <w:marTop w:val="0"/>
      <w:marBottom w:val="0"/>
      <w:divBdr>
        <w:top w:val="none" w:sz="0" w:space="0" w:color="auto"/>
        <w:left w:val="none" w:sz="0" w:space="0" w:color="auto"/>
        <w:bottom w:val="none" w:sz="0" w:space="0" w:color="auto"/>
        <w:right w:val="none" w:sz="0" w:space="0" w:color="auto"/>
      </w:divBdr>
    </w:div>
    <w:div w:id="1164392011">
      <w:bodyDiv w:val="1"/>
      <w:marLeft w:val="0"/>
      <w:marRight w:val="0"/>
      <w:marTop w:val="0"/>
      <w:marBottom w:val="0"/>
      <w:divBdr>
        <w:top w:val="none" w:sz="0" w:space="0" w:color="auto"/>
        <w:left w:val="none" w:sz="0" w:space="0" w:color="auto"/>
        <w:bottom w:val="none" w:sz="0" w:space="0" w:color="auto"/>
        <w:right w:val="none" w:sz="0" w:space="0" w:color="auto"/>
      </w:divBdr>
    </w:div>
    <w:div w:id="1279869099">
      <w:bodyDiv w:val="1"/>
      <w:marLeft w:val="0"/>
      <w:marRight w:val="0"/>
      <w:marTop w:val="0"/>
      <w:marBottom w:val="0"/>
      <w:divBdr>
        <w:top w:val="none" w:sz="0" w:space="0" w:color="auto"/>
        <w:left w:val="none" w:sz="0" w:space="0" w:color="auto"/>
        <w:bottom w:val="none" w:sz="0" w:space="0" w:color="auto"/>
        <w:right w:val="none" w:sz="0" w:space="0" w:color="auto"/>
      </w:divBdr>
    </w:div>
    <w:div w:id="1373654997">
      <w:bodyDiv w:val="1"/>
      <w:marLeft w:val="0"/>
      <w:marRight w:val="0"/>
      <w:marTop w:val="0"/>
      <w:marBottom w:val="0"/>
      <w:divBdr>
        <w:top w:val="none" w:sz="0" w:space="0" w:color="auto"/>
        <w:left w:val="none" w:sz="0" w:space="0" w:color="auto"/>
        <w:bottom w:val="none" w:sz="0" w:space="0" w:color="auto"/>
        <w:right w:val="none" w:sz="0" w:space="0" w:color="auto"/>
      </w:divBdr>
    </w:div>
    <w:div w:id="1383409761">
      <w:bodyDiv w:val="1"/>
      <w:marLeft w:val="0"/>
      <w:marRight w:val="0"/>
      <w:marTop w:val="0"/>
      <w:marBottom w:val="0"/>
      <w:divBdr>
        <w:top w:val="none" w:sz="0" w:space="0" w:color="auto"/>
        <w:left w:val="none" w:sz="0" w:space="0" w:color="auto"/>
        <w:bottom w:val="none" w:sz="0" w:space="0" w:color="auto"/>
        <w:right w:val="none" w:sz="0" w:space="0" w:color="auto"/>
      </w:divBdr>
      <w:divsChild>
        <w:div w:id="103230301">
          <w:marLeft w:val="0"/>
          <w:marRight w:val="0"/>
          <w:marTop w:val="0"/>
          <w:marBottom w:val="0"/>
          <w:divBdr>
            <w:top w:val="none" w:sz="0" w:space="0" w:color="auto"/>
            <w:left w:val="none" w:sz="0" w:space="0" w:color="auto"/>
            <w:bottom w:val="none" w:sz="0" w:space="0" w:color="auto"/>
            <w:right w:val="none" w:sz="0" w:space="0" w:color="auto"/>
          </w:divBdr>
        </w:div>
        <w:div w:id="111636411">
          <w:marLeft w:val="0"/>
          <w:marRight w:val="0"/>
          <w:marTop w:val="0"/>
          <w:marBottom w:val="0"/>
          <w:divBdr>
            <w:top w:val="none" w:sz="0" w:space="0" w:color="auto"/>
            <w:left w:val="none" w:sz="0" w:space="0" w:color="auto"/>
            <w:bottom w:val="none" w:sz="0" w:space="0" w:color="auto"/>
            <w:right w:val="none" w:sz="0" w:space="0" w:color="auto"/>
          </w:divBdr>
        </w:div>
        <w:div w:id="175534950">
          <w:marLeft w:val="0"/>
          <w:marRight w:val="0"/>
          <w:marTop w:val="0"/>
          <w:marBottom w:val="0"/>
          <w:divBdr>
            <w:top w:val="none" w:sz="0" w:space="0" w:color="auto"/>
            <w:left w:val="none" w:sz="0" w:space="0" w:color="auto"/>
            <w:bottom w:val="none" w:sz="0" w:space="0" w:color="auto"/>
            <w:right w:val="none" w:sz="0" w:space="0" w:color="auto"/>
          </w:divBdr>
        </w:div>
        <w:div w:id="314920055">
          <w:marLeft w:val="0"/>
          <w:marRight w:val="0"/>
          <w:marTop w:val="0"/>
          <w:marBottom w:val="0"/>
          <w:divBdr>
            <w:top w:val="none" w:sz="0" w:space="0" w:color="auto"/>
            <w:left w:val="none" w:sz="0" w:space="0" w:color="auto"/>
            <w:bottom w:val="none" w:sz="0" w:space="0" w:color="auto"/>
            <w:right w:val="none" w:sz="0" w:space="0" w:color="auto"/>
          </w:divBdr>
        </w:div>
        <w:div w:id="417947649">
          <w:marLeft w:val="0"/>
          <w:marRight w:val="0"/>
          <w:marTop w:val="0"/>
          <w:marBottom w:val="0"/>
          <w:divBdr>
            <w:top w:val="none" w:sz="0" w:space="0" w:color="auto"/>
            <w:left w:val="none" w:sz="0" w:space="0" w:color="auto"/>
            <w:bottom w:val="none" w:sz="0" w:space="0" w:color="auto"/>
            <w:right w:val="none" w:sz="0" w:space="0" w:color="auto"/>
          </w:divBdr>
        </w:div>
        <w:div w:id="526917836">
          <w:marLeft w:val="0"/>
          <w:marRight w:val="0"/>
          <w:marTop w:val="0"/>
          <w:marBottom w:val="0"/>
          <w:divBdr>
            <w:top w:val="none" w:sz="0" w:space="0" w:color="auto"/>
            <w:left w:val="none" w:sz="0" w:space="0" w:color="auto"/>
            <w:bottom w:val="none" w:sz="0" w:space="0" w:color="auto"/>
            <w:right w:val="none" w:sz="0" w:space="0" w:color="auto"/>
          </w:divBdr>
        </w:div>
        <w:div w:id="683358707">
          <w:marLeft w:val="0"/>
          <w:marRight w:val="0"/>
          <w:marTop w:val="0"/>
          <w:marBottom w:val="0"/>
          <w:divBdr>
            <w:top w:val="none" w:sz="0" w:space="0" w:color="auto"/>
            <w:left w:val="none" w:sz="0" w:space="0" w:color="auto"/>
            <w:bottom w:val="none" w:sz="0" w:space="0" w:color="auto"/>
            <w:right w:val="none" w:sz="0" w:space="0" w:color="auto"/>
          </w:divBdr>
        </w:div>
        <w:div w:id="787159603">
          <w:marLeft w:val="0"/>
          <w:marRight w:val="0"/>
          <w:marTop w:val="0"/>
          <w:marBottom w:val="0"/>
          <w:divBdr>
            <w:top w:val="none" w:sz="0" w:space="0" w:color="auto"/>
            <w:left w:val="none" w:sz="0" w:space="0" w:color="auto"/>
            <w:bottom w:val="none" w:sz="0" w:space="0" w:color="auto"/>
            <w:right w:val="none" w:sz="0" w:space="0" w:color="auto"/>
          </w:divBdr>
        </w:div>
        <w:div w:id="819421890">
          <w:marLeft w:val="0"/>
          <w:marRight w:val="0"/>
          <w:marTop w:val="0"/>
          <w:marBottom w:val="0"/>
          <w:divBdr>
            <w:top w:val="none" w:sz="0" w:space="0" w:color="auto"/>
            <w:left w:val="none" w:sz="0" w:space="0" w:color="auto"/>
            <w:bottom w:val="none" w:sz="0" w:space="0" w:color="auto"/>
            <w:right w:val="none" w:sz="0" w:space="0" w:color="auto"/>
          </w:divBdr>
        </w:div>
        <w:div w:id="862135346">
          <w:marLeft w:val="0"/>
          <w:marRight w:val="0"/>
          <w:marTop w:val="0"/>
          <w:marBottom w:val="0"/>
          <w:divBdr>
            <w:top w:val="none" w:sz="0" w:space="0" w:color="auto"/>
            <w:left w:val="none" w:sz="0" w:space="0" w:color="auto"/>
            <w:bottom w:val="none" w:sz="0" w:space="0" w:color="auto"/>
            <w:right w:val="none" w:sz="0" w:space="0" w:color="auto"/>
          </w:divBdr>
        </w:div>
        <w:div w:id="898904816">
          <w:marLeft w:val="0"/>
          <w:marRight w:val="0"/>
          <w:marTop w:val="0"/>
          <w:marBottom w:val="0"/>
          <w:divBdr>
            <w:top w:val="none" w:sz="0" w:space="0" w:color="auto"/>
            <w:left w:val="none" w:sz="0" w:space="0" w:color="auto"/>
            <w:bottom w:val="none" w:sz="0" w:space="0" w:color="auto"/>
            <w:right w:val="none" w:sz="0" w:space="0" w:color="auto"/>
          </w:divBdr>
        </w:div>
        <w:div w:id="902301780">
          <w:marLeft w:val="0"/>
          <w:marRight w:val="0"/>
          <w:marTop w:val="0"/>
          <w:marBottom w:val="0"/>
          <w:divBdr>
            <w:top w:val="none" w:sz="0" w:space="0" w:color="auto"/>
            <w:left w:val="none" w:sz="0" w:space="0" w:color="auto"/>
            <w:bottom w:val="none" w:sz="0" w:space="0" w:color="auto"/>
            <w:right w:val="none" w:sz="0" w:space="0" w:color="auto"/>
          </w:divBdr>
        </w:div>
        <w:div w:id="909770853">
          <w:marLeft w:val="0"/>
          <w:marRight w:val="0"/>
          <w:marTop w:val="0"/>
          <w:marBottom w:val="0"/>
          <w:divBdr>
            <w:top w:val="none" w:sz="0" w:space="0" w:color="auto"/>
            <w:left w:val="none" w:sz="0" w:space="0" w:color="auto"/>
            <w:bottom w:val="none" w:sz="0" w:space="0" w:color="auto"/>
            <w:right w:val="none" w:sz="0" w:space="0" w:color="auto"/>
          </w:divBdr>
        </w:div>
        <w:div w:id="912617862">
          <w:marLeft w:val="0"/>
          <w:marRight w:val="0"/>
          <w:marTop w:val="0"/>
          <w:marBottom w:val="0"/>
          <w:divBdr>
            <w:top w:val="none" w:sz="0" w:space="0" w:color="auto"/>
            <w:left w:val="none" w:sz="0" w:space="0" w:color="auto"/>
            <w:bottom w:val="none" w:sz="0" w:space="0" w:color="auto"/>
            <w:right w:val="none" w:sz="0" w:space="0" w:color="auto"/>
          </w:divBdr>
        </w:div>
        <w:div w:id="1047140149">
          <w:marLeft w:val="0"/>
          <w:marRight w:val="0"/>
          <w:marTop w:val="0"/>
          <w:marBottom w:val="0"/>
          <w:divBdr>
            <w:top w:val="none" w:sz="0" w:space="0" w:color="auto"/>
            <w:left w:val="none" w:sz="0" w:space="0" w:color="auto"/>
            <w:bottom w:val="none" w:sz="0" w:space="0" w:color="auto"/>
            <w:right w:val="none" w:sz="0" w:space="0" w:color="auto"/>
          </w:divBdr>
        </w:div>
        <w:div w:id="1074474256">
          <w:marLeft w:val="0"/>
          <w:marRight w:val="0"/>
          <w:marTop w:val="0"/>
          <w:marBottom w:val="0"/>
          <w:divBdr>
            <w:top w:val="none" w:sz="0" w:space="0" w:color="auto"/>
            <w:left w:val="none" w:sz="0" w:space="0" w:color="auto"/>
            <w:bottom w:val="none" w:sz="0" w:space="0" w:color="auto"/>
            <w:right w:val="none" w:sz="0" w:space="0" w:color="auto"/>
          </w:divBdr>
        </w:div>
        <w:div w:id="1103111516">
          <w:marLeft w:val="0"/>
          <w:marRight w:val="0"/>
          <w:marTop w:val="0"/>
          <w:marBottom w:val="0"/>
          <w:divBdr>
            <w:top w:val="none" w:sz="0" w:space="0" w:color="auto"/>
            <w:left w:val="none" w:sz="0" w:space="0" w:color="auto"/>
            <w:bottom w:val="none" w:sz="0" w:space="0" w:color="auto"/>
            <w:right w:val="none" w:sz="0" w:space="0" w:color="auto"/>
          </w:divBdr>
        </w:div>
        <w:div w:id="1276517105">
          <w:marLeft w:val="0"/>
          <w:marRight w:val="0"/>
          <w:marTop w:val="0"/>
          <w:marBottom w:val="0"/>
          <w:divBdr>
            <w:top w:val="none" w:sz="0" w:space="0" w:color="auto"/>
            <w:left w:val="none" w:sz="0" w:space="0" w:color="auto"/>
            <w:bottom w:val="none" w:sz="0" w:space="0" w:color="auto"/>
            <w:right w:val="none" w:sz="0" w:space="0" w:color="auto"/>
          </w:divBdr>
        </w:div>
        <w:div w:id="1316183477">
          <w:marLeft w:val="0"/>
          <w:marRight w:val="0"/>
          <w:marTop w:val="0"/>
          <w:marBottom w:val="0"/>
          <w:divBdr>
            <w:top w:val="none" w:sz="0" w:space="0" w:color="auto"/>
            <w:left w:val="none" w:sz="0" w:space="0" w:color="auto"/>
            <w:bottom w:val="none" w:sz="0" w:space="0" w:color="auto"/>
            <w:right w:val="none" w:sz="0" w:space="0" w:color="auto"/>
          </w:divBdr>
        </w:div>
        <w:div w:id="1356149594">
          <w:marLeft w:val="0"/>
          <w:marRight w:val="0"/>
          <w:marTop w:val="0"/>
          <w:marBottom w:val="0"/>
          <w:divBdr>
            <w:top w:val="none" w:sz="0" w:space="0" w:color="auto"/>
            <w:left w:val="none" w:sz="0" w:space="0" w:color="auto"/>
            <w:bottom w:val="none" w:sz="0" w:space="0" w:color="auto"/>
            <w:right w:val="none" w:sz="0" w:space="0" w:color="auto"/>
          </w:divBdr>
        </w:div>
        <w:div w:id="1373261530">
          <w:marLeft w:val="0"/>
          <w:marRight w:val="0"/>
          <w:marTop w:val="0"/>
          <w:marBottom w:val="0"/>
          <w:divBdr>
            <w:top w:val="none" w:sz="0" w:space="0" w:color="auto"/>
            <w:left w:val="none" w:sz="0" w:space="0" w:color="auto"/>
            <w:bottom w:val="none" w:sz="0" w:space="0" w:color="auto"/>
            <w:right w:val="none" w:sz="0" w:space="0" w:color="auto"/>
          </w:divBdr>
        </w:div>
        <w:div w:id="1559592284">
          <w:marLeft w:val="0"/>
          <w:marRight w:val="0"/>
          <w:marTop w:val="0"/>
          <w:marBottom w:val="0"/>
          <w:divBdr>
            <w:top w:val="none" w:sz="0" w:space="0" w:color="auto"/>
            <w:left w:val="none" w:sz="0" w:space="0" w:color="auto"/>
            <w:bottom w:val="none" w:sz="0" w:space="0" w:color="auto"/>
            <w:right w:val="none" w:sz="0" w:space="0" w:color="auto"/>
          </w:divBdr>
        </w:div>
        <w:div w:id="1781489862">
          <w:marLeft w:val="0"/>
          <w:marRight w:val="0"/>
          <w:marTop w:val="0"/>
          <w:marBottom w:val="0"/>
          <w:divBdr>
            <w:top w:val="none" w:sz="0" w:space="0" w:color="auto"/>
            <w:left w:val="none" w:sz="0" w:space="0" w:color="auto"/>
            <w:bottom w:val="none" w:sz="0" w:space="0" w:color="auto"/>
            <w:right w:val="none" w:sz="0" w:space="0" w:color="auto"/>
          </w:divBdr>
        </w:div>
        <w:div w:id="2106801245">
          <w:marLeft w:val="0"/>
          <w:marRight w:val="0"/>
          <w:marTop w:val="0"/>
          <w:marBottom w:val="0"/>
          <w:divBdr>
            <w:top w:val="none" w:sz="0" w:space="0" w:color="auto"/>
            <w:left w:val="none" w:sz="0" w:space="0" w:color="auto"/>
            <w:bottom w:val="none" w:sz="0" w:space="0" w:color="auto"/>
            <w:right w:val="none" w:sz="0" w:space="0" w:color="auto"/>
          </w:divBdr>
        </w:div>
        <w:div w:id="2132940638">
          <w:marLeft w:val="0"/>
          <w:marRight w:val="0"/>
          <w:marTop w:val="0"/>
          <w:marBottom w:val="0"/>
          <w:divBdr>
            <w:top w:val="none" w:sz="0" w:space="0" w:color="auto"/>
            <w:left w:val="none" w:sz="0" w:space="0" w:color="auto"/>
            <w:bottom w:val="none" w:sz="0" w:space="0" w:color="auto"/>
            <w:right w:val="none" w:sz="0" w:space="0" w:color="auto"/>
          </w:divBdr>
        </w:div>
      </w:divsChild>
    </w:div>
    <w:div w:id="1445273749">
      <w:bodyDiv w:val="1"/>
      <w:marLeft w:val="0"/>
      <w:marRight w:val="0"/>
      <w:marTop w:val="0"/>
      <w:marBottom w:val="0"/>
      <w:divBdr>
        <w:top w:val="none" w:sz="0" w:space="0" w:color="auto"/>
        <w:left w:val="none" w:sz="0" w:space="0" w:color="auto"/>
        <w:bottom w:val="none" w:sz="0" w:space="0" w:color="auto"/>
        <w:right w:val="none" w:sz="0" w:space="0" w:color="auto"/>
      </w:divBdr>
    </w:div>
    <w:div w:id="1475370215">
      <w:bodyDiv w:val="1"/>
      <w:marLeft w:val="0"/>
      <w:marRight w:val="0"/>
      <w:marTop w:val="0"/>
      <w:marBottom w:val="0"/>
      <w:divBdr>
        <w:top w:val="none" w:sz="0" w:space="0" w:color="auto"/>
        <w:left w:val="none" w:sz="0" w:space="0" w:color="auto"/>
        <w:bottom w:val="none" w:sz="0" w:space="0" w:color="auto"/>
        <w:right w:val="none" w:sz="0" w:space="0" w:color="auto"/>
      </w:divBdr>
      <w:divsChild>
        <w:div w:id="96024108">
          <w:marLeft w:val="0"/>
          <w:marRight w:val="0"/>
          <w:marTop w:val="0"/>
          <w:marBottom w:val="0"/>
          <w:divBdr>
            <w:top w:val="none" w:sz="0" w:space="0" w:color="auto"/>
            <w:left w:val="none" w:sz="0" w:space="0" w:color="auto"/>
            <w:bottom w:val="none" w:sz="0" w:space="0" w:color="auto"/>
            <w:right w:val="none" w:sz="0" w:space="0" w:color="auto"/>
          </w:divBdr>
        </w:div>
        <w:div w:id="329602461">
          <w:marLeft w:val="0"/>
          <w:marRight w:val="0"/>
          <w:marTop w:val="0"/>
          <w:marBottom w:val="0"/>
          <w:divBdr>
            <w:top w:val="none" w:sz="0" w:space="0" w:color="auto"/>
            <w:left w:val="none" w:sz="0" w:space="0" w:color="auto"/>
            <w:bottom w:val="none" w:sz="0" w:space="0" w:color="auto"/>
            <w:right w:val="none" w:sz="0" w:space="0" w:color="auto"/>
          </w:divBdr>
        </w:div>
      </w:divsChild>
    </w:div>
    <w:div w:id="1555238218">
      <w:bodyDiv w:val="1"/>
      <w:marLeft w:val="0"/>
      <w:marRight w:val="0"/>
      <w:marTop w:val="0"/>
      <w:marBottom w:val="0"/>
      <w:divBdr>
        <w:top w:val="none" w:sz="0" w:space="0" w:color="auto"/>
        <w:left w:val="none" w:sz="0" w:space="0" w:color="auto"/>
        <w:bottom w:val="none" w:sz="0" w:space="0" w:color="auto"/>
        <w:right w:val="none" w:sz="0" w:space="0" w:color="auto"/>
      </w:divBdr>
    </w:div>
    <w:div w:id="1610042917">
      <w:bodyDiv w:val="1"/>
      <w:marLeft w:val="0"/>
      <w:marRight w:val="0"/>
      <w:marTop w:val="0"/>
      <w:marBottom w:val="0"/>
      <w:divBdr>
        <w:top w:val="none" w:sz="0" w:space="0" w:color="auto"/>
        <w:left w:val="none" w:sz="0" w:space="0" w:color="auto"/>
        <w:bottom w:val="none" w:sz="0" w:space="0" w:color="auto"/>
        <w:right w:val="none" w:sz="0" w:space="0" w:color="auto"/>
      </w:divBdr>
      <w:divsChild>
        <w:div w:id="53553212">
          <w:marLeft w:val="0"/>
          <w:marRight w:val="0"/>
          <w:marTop w:val="0"/>
          <w:marBottom w:val="0"/>
          <w:divBdr>
            <w:top w:val="none" w:sz="0" w:space="0" w:color="auto"/>
            <w:left w:val="none" w:sz="0" w:space="0" w:color="auto"/>
            <w:bottom w:val="none" w:sz="0" w:space="0" w:color="auto"/>
            <w:right w:val="none" w:sz="0" w:space="0" w:color="auto"/>
          </w:divBdr>
        </w:div>
        <w:div w:id="83496910">
          <w:marLeft w:val="0"/>
          <w:marRight w:val="0"/>
          <w:marTop w:val="0"/>
          <w:marBottom w:val="0"/>
          <w:divBdr>
            <w:top w:val="none" w:sz="0" w:space="0" w:color="auto"/>
            <w:left w:val="none" w:sz="0" w:space="0" w:color="auto"/>
            <w:bottom w:val="none" w:sz="0" w:space="0" w:color="auto"/>
            <w:right w:val="none" w:sz="0" w:space="0" w:color="auto"/>
          </w:divBdr>
        </w:div>
        <w:div w:id="90783958">
          <w:marLeft w:val="0"/>
          <w:marRight w:val="0"/>
          <w:marTop w:val="0"/>
          <w:marBottom w:val="0"/>
          <w:divBdr>
            <w:top w:val="none" w:sz="0" w:space="0" w:color="auto"/>
            <w:left w:val="none" w:sz="0" w:space="0" w:color="auto"/>
            <w:bottom w:val="none" w:sz="0" w:space="0" w:color="auto"/>
            <w:right w:val="none" w:sz="0" w:space="0" w:color="auto"/>
          </w:divBdr>
        </w:div>
        <w:div w:id="155850670">
          <w:marLeft w:val="0"/>
          <w:marRight w:val="0"/>
          <w:marTop w:val="0"/>
          <w:marBottom w:val="0"/>
          <w:divBdr>
            <w:top w:val="none" w:sz="0" w:space="0" w:color="auto"/>
            <w:left w:val="none" w:sz="0" w:space="0" w:color="auto"/>
            <w:bottom w:val="none" w:sz="0" w:space="0" w:color="auto"/>
            <w:right w:val="none" w:sz="0" w:space="0" w:color="auto"/>
          </w:divBdr>
          <w:divsChild>
            <w:div w:id="16664401">
              <w:marLeft w:val="0"/>
              <w:marRight w:val="0"/>
              <w:marTop w:val="0"/>
              <w:marBottom w:val="0"/>
              <w:divBdr>
                <w:top w:val="none" w:sz="0" w:space="0" w:color="auto"/>
                <w:left w:val="none" w:sz="0" w:space="0" w:color="auto"/>
                <w:bottom w:val="none" w:sz="0" w:space="0" w:color="auto"/>
                <w:right w:val="none" w:sz="0" w:space="0" w:color="auto"/>
              </w:divBdr>
            </w:div>
            <w:div w:id="694885173">
              <w:marLeft w:val="0"/>
              <w:marRight w:val="0"/>
              <w:marTop w:val="0"/>
              <w:marBottom w:val="0"/>
              <w:divBdr>
                <w:top w:val="none" w:sz="0" w:space="0" w:color="auto"/>
                <w:left w:val="none" w:sz="0" w:space="0" w:color="auto"/>
                <w:bottom w:val="none" w:sz="0" w:space="0" w:color="auto"/>
                <w:right w:val="none" w:sz="0" w:space="0" w:color="auto"/>
              </w:divBdr>
            </w:div>
            <w:div w:id="1777405575">
              <w:marLeft w:val="0"/>
              <w:marRight w:val="0"/>
              <w:marTop w:val="0"/>
              <w:marBottom w:val="0"/>
              <w:divBdr>
                <w:top w:val="none" w:sz="0" w:space="0" w:color="auto"/>
                <w:left w:val="none" w:sz="0" w:space="0" w:color="auto"/>
                <w:bottom w:val="none" w:sz="0" w:space="0" w:color="auto"/>
                <w:right w:val="none" w:sz="0" w:space="0" w:color="auto"/>
              </w:divBdr>
            </w:div>
            <w:div w:id="1819883395">
              <w:marLeft w:val="0"/>
              <w:marRight w:val="0"/>
              <w:marTop w:val="0"/>
              <w:marBottom w:val="0"/>
              <w:divBdr>
                <w:top w:val="none" w:sz="0" w:space="0" w:color="auto"/>
                <w:left w:val="none" w:sz="0" w:space="0" w:color="auto"/>
                <w:bottom w:val="none" w:sz="0" w:space="0" w:color="auto"/>
                <w:right w:val="none" w:sz="0" w:space="0" w:color="auto"/>
              </w:divBdr>
            </w:div>
          </w:divsChild>
        </w:div>
        <w:div w:id="268971414">
          <w:marLeft w:val="0"/>
          <w:marRight w:val="0"/>
          <w:marTop w:val="0"/>
          <w:marBottom w:val="0"/>
          <w:divBdr>
            <w:top w:val="none" w:sz="0" w:space="0" w:color="auto"/>
            <w:left w:val="none" w:sz="0" w:space="0" w:color="auto"/>
            <w:bottom w:val="none" w:sz="0" w:space="0" w:color="auto"/>
            <w:right w:val="none" w:sz="0" w:space="0" w:color="auto"/>
          </w:divBdr>
        </w:div>
        <w:div w:id="271983186">
          <w:marLeft w:val="0"/>
          <w:marRight w:val="0"/>
          <w:marTop w:val="0"/>
          <w:marBottom w:val="0"/>
          <w:divBdr>
            <w:top w:val="none" w:sz="0" w:space="0" w:color="auto"/>
            <w:left w:val="none" w:sz="0" w:space="0" w:color="auto"/>
            <w:bottom w:val="none" w:sz="0" w:space="0" w:color="auto"/>
            <w:right w:val="none" w:sz="0" w:space="0" w:color="auto"/>
          </w:divBdr>
        </w:div>
        <w:div w:id="291250390">
          <w:marLeft w:val="0"/>
          <w:marRight w:val="0"/>
          <w:marTop w:val="0"/>
          <w:marBottom w:val="0"/>
          <w:divBdr>
            <w:top w:val="none" w:sz="0" w:space="0" w:color="auto"/>
            <w:left w:val="none" w:sz="0" w:space="0" w:color="auto"/>
            <w:bottom w:val="none" w:sz="0" w:space="0" w:color="auto"/>
            <w:right w:val="none" w:sz="0" w:space="0" w:color="auto"/>
          </w:divBdr>
          <w:divsChild>
            <w:div w:id="322662127">
              <w:marLeft w:val="0"/>
              <w:marRight w:val="0"/>
              <w:marTop w:val="0"/>
              <w:marBottom w:val="0"/>
              <w:divBdr>
                <w:top w:val="none" w:sz="0" w:space="0" w:color="auto"/>
                <w:left w:val="none" w:sz="0" w:space="0" w:color="auto"/>
                <w:bottom w:val="none" w:sz="0" w:space="0" w:color="auto"/>
                <w:right w:val="none" w:sz="0" w:space="0" w:color="auto"/>
              </w:divBdr>
            </w:div>
            <w:div w:id="1716813012">
              <w:marLeft w:val="0"/>
              <w:marRight w:val="0"/>
              <w:marTop w:val="0"/>
              <w:marBottom w:val="0"/>
              <w:divBdr>
                <w:top w:val="none" w:sz="0" w:space="0" w:color="auto"/>
                <w:left w:val="none" w:sz="0" w:space="0" w:color="auto"/>
                <w:bottom w:val="none" w:sz="0" w:space="0" w:color="auto"/>
                <w:right w:val="none" w:sz="0" w:space="0" w:color="auto"/>
              </w:divBdr>
            </w:div>
            <w:div w:id="1879387310">
              <w:marLeft w:val="0"/>
              <w:marRight w:val="0"/>
              <w:marTop w:val="0"/>
              <w:marBottom w:val="0"/>
              <w:divBdr>
                <w:top w:val="none" w:sz="0" w:space="0" w:color="auto"/>
                <w:left w:val="none" w:sz="0" w:space="0" w:color="auto"/>
                <w:bottom w:val="none" w:sz="0" w:space="0" w:color="auto"/>
                <w:right w:val="none" w:sz="0" w:space="0" w:color="auto"/>
              </w:divBdr>
            </w:div>
            <w:div w:id="2141069657">
              <w:marLeft w:val="0"/>
              <w:marRight w:val="0"/>
              <w:marTop w:val="0"/>
              <w:marBottom w:val="0"/>
              <w:divBdr>
                <w:top w:val="none" w:sz="0" w:space="0" w:color="auto"/>
                <w:left w:val="none" w:sz="0" w:space="0" w:color="auto"/>
                <w:bottom w:val="none" w:sz="0" w:space="0" w:color="auto"/>
                <w:right w:val="none" w:sz="0" w:space="0" w:color="auto"/>
              </w:divBdr>
            </w:div>
          </w:divsChild>
        </w:div>
        <w:div w:id="549847077">
          <w:marLeft w:val="0"/>
          <w:marRight w:val="0"/>
          <w:marTop w:val="0"/>
          <w:marBottom w:val="0"/>
          <w:divBdr>
            <w:top w:val="none" w:sz="0" w:space="0" w:color="auto"/>
            <w:left w:val="none" w:sz="0" w:space="0" w:color="auto"/>
            <w:bottom w:val="none" w:sz="0" w:space="0" w:color="auto"/>
            <w:right w:val="none" w:sz="0" w:space="0" w:color="auto"/>
          </w:divBdr>
        </w:div>
        <w:div w:id="569509218">
          <w:marLeft w:val="0"/>
          <w:marRight w:val="0"/>
          <w:marTop w:val="0"/>
          <w:marBottom w:val="0"/>
          <w:divBdr>
            <w:top w:val="none" w:sz="0" w:space="0" w:color="auto"/>
            <w:left w:val="none" w:sz="0" w:space="0" w:color="auto"/>
            <w:bottom w:val="none" w:sz="0" w:space="0" w:color="auto"/>
            <w:right w:val="none" w:sz="0" w:space="0" w:color="auto"/>
          </w:divBdr>
        </w:div>
        <w:div w:id="687954016">
          <w:marLeft w:val="0"/>
          <w:marRight w:val="0"/>
          <w:marTop w:val="0"/>
          <w:marBottom w:val="0"/>
          <w:divBdr>
            <w:top w:val="none" w:sz="0" w:space="0" w:color="auto"/>
            <w:left w:val="none" w:sz="0" w:space="0" w:color="auto"/>
            <w:bottom w:val="none" w:sz="0" w:space="0" w:color="auto"/>
            <w:right w:val="none" w:sz="0" w:space="0" w:color="auto"/>
          </w:divBdr>
        </w:div>
        <w:div w:id="698971883">
          <w:marLeft w:val="0"/>
          <w:marRight w:val="0"/>
          <w:marTop w:val="0"/>
          <w:marBottom w:val="0"/>
          <w:divBdr>
            <w:top w:val="none" w:sz="0" w:space="0" w:color="auto"/>
            <w:left w:val="none" w:sz="0" w:space="0" w:color="auto"/>
            <w:bottom w:val="none" w:sz="0" w:space="0" w:color="auto"/>
            <w:right w:val="none" w:sz="0" w:space="0" w:color="auto"/>
          </w:divBdr>
        </w:div>
        <w:div w:id="801463250">
          <w:marLeft w:val="0"/>
          <w:marRight w:val="0"/>
          <w:marTop w:val="0"/>
          <w:marBottom w:val="0"/>
          <w:divBdr>
            <w:top w:val="none" w:sz="0" w:space="0" w:color="auto"/>
            <w:left w:val="none" w:sz="0" w:space="0" w:color="auto"/>
            <w:bottom w:val="none" w:sz="0" w:space="0" w:color="auto"/>
            <w:right w:val="none" w:sz="0" w:space="0" w:color="auto"/>
          </w:divBdr>
        </w:div>
        <w:div w:id="860823820">
          <w:marLeft w:val="0"/>
          <w:marRight w:val="0"/>
          <w:marTop w:val="0"/>
          <w:marBottom w:val="0"/>
          <w:divBdr>
            <w:top w:val="none" w:sz="0" w:space="0" w:color="auto"/>
            <w:left w:val="none" w:sz="0" w:space="0" w:color="auto"/>
            <w:bottom w:val="none" w:sz="0" w:space="0" w:color="auto"/>
            <w:right w:val="none" w:sz="0" w:space="0" w:color="auto"/>
          </w:divBdr>
          <w:divsChild>
            <w:div w:id="637490050">
              <w:marLeft w:val="0"/>
              <w:marRight w:val="0"/>
              <w:marTop w:val="0"/>
              <w:marBottom w:val="0"/>
              <w:divBdr>
                <w:top w:val="none" w:sz="0" w:space="0" w:color="auto"/>
                <w:left w:val="none" w:sz="0" w:space="0" w:color="auto"/>
                <w:bottom w:val="none" w:sz="0" w:space="0" w:color="auto"/>
                <w:right w:val="none" w:sz="0" w:space="0" w:color="auto"/>
              </w:divBdr>
            </w:div>
            <w:div w:id="897477158">
              <w:marLeft w:val="0"/>
              <w:marRight w:val="0"/>
              <w:marTop w:val="0"/>
              <w:marBottom w:val="0"/>
              <w:divBdr>
                <w:top w:val="none" w:sz="0" w:space="0" w:color="auto"/>
                <w:left w:val="none" w:sz="0" w:space="0" w:color="auto"/>
                <w:bottom w:val="none" w:sz="0" w:space="0" w:color="auto"/>
                <w:right w:val="none" w:sz="0" w:space="0" w:color="auto"/>
              </w:divBdr>
            </w:div>
            <w:div w:id="939526259">
              <w:marLeft w:val="0"/>
              <w:marRight w:val="0"/>
              <w:marTop w:val="0"/>
              <w:marBottom w:val="0"/>
              <w:divBdr>
                <w:top w:val="none" w:sz="0" w:space="0" w:color="auto"/>
                <w:left w:val="none" w:sz="0" w:space="0" w:color="auto"/>
                <w:bottom w:val="none" w:sz="0" w:space="0" w:color="auto"/>
                <w:right w:val="none" w:sz="0" w:space="0" w:color="auto"/>
              </w:divBdr>
            </w:div>
            <w:div w:id="1032606781">
              <w:marLeft w:val="0"/>
              <w:marRight w:val="0"/>
              <w:marTop w:val="0"/>
              <w:marBottom w:val="0"/>
              <w:divBdr>
                <w:top w:val="none" w:sz="0" w:space="0" w:color="auto"/>
                <w:left w:val="none" w:sz="0" w:space="0" w:color="auto"/>
                <w:bottom w:val="none" w:sz="0" w:space="0" w:color="auto"/>
                <w:right w:val="none" w:sz="0" w:space="0" w:color="auto"/>
              </w:divBdr>
            </w:div>
          </w:divsChild>
        </w:div>
        <w:div w:id="942225611">
          <w:marLeft w:val="0"/>
          <w:marRight w:val="0"/>
          <w:marTop w:val="0"/>
          <w:marBottom w:val="0"/>
          <w:divBdr>
            <w:top w:val="none" w:sz="0" w:space="0" w:color="auto"/>
            <w:left w:val="none" w:sz="0" w:space="0" w:color="auto"/>
            <w:bottom w:val="none" w:sz="0" w:space="0" w:color="auto"/>
            <w:right w:val="none" w:sz="0" w:space="0" w:color="auto"/>
          </w:divBdr>
        </w:div>
        <w:div w:id="1007827961">
          <w:marLeft w:val="0"/>
          <w:marRight w:val="0"/>
          <w:marTop w:val="0"/>
          <w:marBottom w:val="0"/>
          <w:divBdr>
            <w:top w:val="none" w:sz="0" w:space="0" w:color="auto"/>
            <w:left w:val="none" w:sz="0" w:space="0" w:color="auto"/>
            <w:bottom w:val="none" w:sz="0" w:space="0" w:color="auto"/>
            <w:right w:val="none" w:sz="0" w:space="0" w:color="auto"/>
          </w:divBdr>
        </w:div>
        <w:div w:id="1059329312">
          <w:marLeft w:val="0"/>
          <w:marRight w:val="0"/>
          <w:marTop w:val="0"/>
          <w:marBottom w:val="0"/>
          <w:divBdr>
            <w:top w:val="none" w:sz="0" w:space="0" w:color="auto"/>
            <w:left w:val="none" w:sz="0" w:space="0" w:color="auto"/>
            <w:bottom w:val="none" w:sz="0" w:space="0" w:color="auto"/>
            <w:right w:val="none" w:sz="0" w:space="0" w:color="auto"/>
          </w:divBdr>
          <w:divsChild>
            <w:div w:id="277565759">
              <w:marLeft w:val="0"/>
              <w:marRight w:val="0"/>
              <w:marTop w:val="0"/>
              <w:marBottom w:val="0"/>
              <w:divBdr>
                <w:top w:val="none" w:sz="0" w:space="0" w:color="auto"/>
                <w:left w:val="none" w:sz="0" w:space="0" w:color="auto"/>
                <w:bottom w:val="none" w:sz="0" w:space="0" w:color="auto"/>
                <w:right w:val="none" w:sz="0" w:space="0" w:color="auto"/>
              </w:divBdr>
            </w:div>
            <w:div w:id="1875772494">
              <w:marLeft w:val="0"/>
              <w:marRight w:val="0"/>
              <w:marTop w:val="0"/>
              <w:marBottom w:val="0"/>
              <w:divBdr>
                <w:top w:val="none" w:sz="0" w:space="0" w:color="auto"/>
                <w:left w:val="none" w:sz="0" w:space="0" w:color="auto"/>
                <w:bottom w:val="none" w:sz="0" w:space="0" w:color="auto"/>
                <w:right w:val="none" w:sz="0" w:space="0" w:color="auto"/>
              </w:divBdr>
            </w:div>
            <w:div w:id="1993213655">
              <w:marLeft w:val="0"/>
              <w:marRight w:val="0"/>
              <w:marTop w:val="0"/>
              <w:marBottom w:val="0"/>
              <w:divBdr>
                <w:top w:val="none" w:sz="0" w:space="0" w:color="auto"/>
                <w:left w:val="none" w:sz="0" w:space="0" w:color="auto"/>
                <w:bottom w:val="none" w:sz="0" w:space="0" w:color="auto"/>
                <w:right w:val="none" w:sz="0" w:space="0" w:color="auto"/>
              </w:divBdr>
            </w:div>
          </w:divsChild>
        </w:div>
        <w:div w:id="1107771048">
          <w:marLeft w:val="0"/>
          <w:marRight w:val="0"/>
          <w:marTop w:val="0"/>
          <w:marBottom w:val="0"/>
          <w:divBdr>
            <w:top w:val="none" w:sz="0" w:space="0" w:color="auto"/>
            <w:left w:val="none" w:sz="0" w:space="0" w:color="auto"/>
            <w:bottom w:val="none" w:sz="0" w:space="0" w:color="auto"/>
            <w:right w:val="none" w:sz="0" w:space="0" w:color="auto"/>
          </w:divBdr>
        </w:div>
        <w:div w:id="1113019340">
          <w:marLeft w:val="0"/>
          <w:marRight w:val="0"/>
          <w:marTop w:val="0"/>
          <w:marBottom w:val="0"/>
          <w:divBdr>
            <w:top w:val="none" w:sz="0" w:space="0" w:color="auto"/>
            <w:left w:val="none" w:sz="0" w:space="0" w:color="auto"/>
            <w:bottom w:val="none" w:sz="0" w:space="0" w:color="auto"/>
            <w:right w:val="none" w:sz="0" w:space="0" w:color="auto"/>
          </w:divBdr>
        </w:div>
        <w:div w:id="1147746082">
          <w:marLeft w:val="0"/>
          <w:marRight w:val="0"/>
          <w:marTop w:val="0"/>
          <w:marBottom w:val="0"/>
          <w:divBdr>
            <w:top w:val="none" w:sz="0" w:space="0" w:color="auto"/>
            <w:left w:val="none" w:sz="0" w:space="0" w:color="auto"/>
            <w:bottom w:val="none" w:sz="0" w:space="0" w:color="auto"/>
            <w:right w:val="none" w:sz="0" w:space="0" w:color="auto"/>
          </w:divBdr>
          <w:divsChild>
            <w:div w:id="1020276362">
              <w:marLeft w:val="0"/>
              <w:marRight w:val="0"/>
              <w:marTop w:val="0"/>
              <w:marBottom w:val="0"/>
              <w:divBdr>
                <w:top w:val="none" w:sz="0" w:space="0" w:color="auto"/>
                <w:left w:val="none" w:sz="0" w:space="0" w:color="auto"/>
                <w:bottom w:val="none" w:sz="0" w:space="0" w:color="auto"/>
                <w:right w:val="none" w:sz="0" w:space="0" w:color="auto"/>
              </w:divBdr>
            </w:div>
            <w:div w:id="1762338160">
              <w:marLeft w:val="0"/>
              <w:marRight w:val="0"/>
              <w:marTop w:val="0"/>
              <w:marBottom w:val="0"/>
              <w:divBdr>
                <w:top w:val="none" w:sz="0" w:space="0" w:color="auto"/>
                <w:left w:val="none" w:sz="0" w:space="0" w:color="auto"/>
                <w:bottom w:val="none" w:sz="0" w:space="0" w:color="auto"/>
                <w:right w:val="none" w:sz="0" w:space="0" w:color="auto"/>
              </w:divBdr>
            </w:div>
          </w:divsChild>
        </w:div>
        <w:div w:id="1164129730">
          <w:marLeft w:val="0"/>
          <w:marRight w:val="0"/>
          <w:marTop w:val="0"/>
          <w:marBottom w:val="0"/>
          <w:divBdr>
            <w:top w:val="none" w:sz="0" w:space="0" w:color="auto"/>
            <w:left w:val="none" w:sz="0" w:space="0" w:color="auto"/>
            <w:bottom w:val="none" w:sz="0" w:space="0" w:color="auto"/>
            <w:right w:val="none" w:sz="0" w:space="0" w:color="auto"/>
          </w:divBdr>
        </w:div>
        <w:div w:id="1245411577">
          <w:marLeft w:val="0"/>
          <w:marRight w:val="0"/>
          <w:marTop w:val="0"/>
          <w:marBottom w:val="0"/>
          <w:divBdr>
            <w:top w:val="none" w:sz="0" w:space="0" w:color="auto"/>
            <w:left w:val="none" w:sz="0" w:space="0" w:color="auto"/>
            <w:bottom w:val="none" w:sz="0" w:space="0" w:color="auto"/>
            <w:right w:val="none" w:sz="0" w:space="0" w:color="auto"/>
          </w:divBdr>
          <w:divsChild>
            <w:div w:id="525946224">
              <w:marLeft w:val="0"/>
              <w:marRight w:val="0"/>
              <w:marTop w:val="0"/>
              <w:marBottom w:val="0"/>
              <w:divBdr>
                <w:top w:val="none" w:sz="0" w:space="0" w:color="auto"/>
                <w:left w:val="none" w:sz="0" w:space="0" w:color="auto"/>
                <w:bottom w:val="none" w:sz="0" w:space="0" w:color="auto"/>
                <w:right w:val="none" w:sz="0" w:space="0" w:color="auto"/>
              </w:divBdr>
            </w:div>
            <w:div w:id="781995822">
              <w:marLeft w:val="0"/>
              <w:marRight w:val="0"/>
              <w:marTop w:val="0"/>
              <w:marBottom w:val="0"/>
              <w:divBdr>
                <w:top w:val="none" w:sz="0" w:space="0" w:color="auto"/>
                <w:left w:val="none" w:sz="0" w:space="0" w:color="auto"/>
                <w:bottom w:val="none" w:sz="0" w:space="0" w:color="auto"/>
                <w:right w:val="none" w:sz="0" w:space="0" w:color="auto"/>
              </w:divBdr>
            </w:div>
            <w:div w:id="1849518988">
              <w:marLeft w:val="0"/>
              <w:marRight w:val="0"/>
              <w:marTop w:val="0"/>
              <w:marBottom w:val="0"/>
              <w:divBdr>
                <w:top w:val="none" w:sz="0" w:space="0" w:color="auto"/>
                <w:left w:val="none" w:sz="0" w:space="0" w:color="auto"/>
                <w:bottom w:val="none" w:sz="0" w:space="0" w:color="auto"/>
                <w:right w:val="none" w:sz="0" w:space="0" w:color="auto"/>
              </w:divBdr>
            </w:div>
            <w:div w:id="1935161082">
              <w:marLeft w:val="0"/>
              <w:marRight w:val="0"/>
              <w:marTop w:val="0"/>
              <w:marBottom w:val="0"/>
              <w:divBdr>
                <w:top w:val="none" w:sz="0" w:space="0" w:color="auto"/>
                <w:left w:val="none" w:sz="0" w:space="0" w:color="auto"/>
                <w:bottom w:val="none" w:sz="0" w:space="0" w:color="auto"/>
                <w:right w:val="none" w:sz="0" w:space="0" w:color="auto"/>
              </w:divBdr>
            </w:div>
          </w:divsChild>
        </w:div>
        <w:div w:id="1309362134">
          <w:marLeft w:val="0"/>
          <w:marRight w:val="0"/>
          <w:marTop w:val="0"/>
          <w:marBottom w:val="0"/>
          <w:divBdr>
            <w:top w:val="none" w:sz="0" w:space="0" w:color="auto"/>
            <w:left w:val="none" w:sz="0" w:space="0" w:color="auto"/>
            <w:bottom w:val="none" w:sz="0" w:space="0" w:color="auto"/>
            <w:right w:val="none" w:sz="0" w:space="0" w:color="auto"/>
          </w:divBdr>
        </w:div>
        <w:div w:id="1372682194">
          <w:marLeft w:val="0"/>
          <w:marRight w:val="0"/>
          <w:marTop w:val="0"/>
          <w:marBottom w:val="0"/>
          <w:divBdr>
            <w:top w:val="none" w:sz="0" w:space="0" w:color="auto"/>
            <w:left w:val="none" w:sz="0" w:space="0" w:color="auto"/>
            <w:bottom w:val="none" w:sz="0" w:space="0" w:color="auto"/>
            <w:right w:val="none" w:sz="0" w:space="0" w:color="auto"/>
          </w:divBdr>
        </w:div>
        <w:div w:id="1411152655">
          <w:marLeft w:val="0"/>
          <w:marRight w:val="0"/>
          <w:marTop w:val="0"/>
          <w:marBottom w:val="0"/>
          <w:divBdr>
            <w:top w:val="none" w:sz="0" w:space="0" w:color="auto"/>
            <w:left w:val="none" w:sz="0" w:space="0" w:color="auto"/>
            <w:bottom w:val="none" w:sz="0" w:space="0" w:color="auto"/>
            <w:right w:val="none" w:sz="0" w:space="0" w:color="auto"/>
          </w:divBdr>
          <w:divsChild>
            <w:div w:id="58990740">
              <w:marLeft w:val="0"/>
              <w:marRight w:val="0"/>
              <w:marTop w:val="0"/>
              <w:marBottom w:val="0"/>
              <w:divBdr>
                <w:top w:val="none" w:sz="0" w:space="0" w:color="auto"/>
                <w:left w:val="none" w:sz="0" w:space="0" w:color="auto"/>
                <w:bottom w:val="none" w:sz="0" w:space="0" w:color="auto"/>
                <w:right w:val="none" w:sz="0" w:space="0" w:color="auto"/>
              </w:divBdr>
            </w:div>
            <w:div w:id="1434471237">
              <w:marLeft w:val="0"/>
              <w:marRight w:val="0"/>
              <w:marTop w:val="0"/>
              <w:marBottom w:val="0"/>
              <w:divBdr>
                <w:top w:val="none" w:sz="0" w:space="0" w:color="auto"/>
                <w:left w:val="none" w:sz="0" w:space="0" w:color="auto"/>
                <w:bottom w:val="none" w:sz="0" w:space="0" w:color="auto"/>
                <w:right w:val="none" w:sz="0" w:space="0" w:color="auto"/>
              </w:divBdr>
            </w:div>
            <w:div w:id="2019576856">
              <w:marLeft w:val="0"/>
              <w:marRight w:val="0"/>
              <w:marTop w:val="0"/>
              <w:marBottom w:val="0"/>
              <w:divBdr>
                <w:top w:val="none" w:sz="0" w:space="0" w:color="auto"/>
                <w:left w:val="none" w:sz="0" w:space="0" w:color="auto"/>
                <w:bottom w:val="none" w:sz="0" w:space="0" w:color="auto"/>
                <w:right w:val="none" w:sz="0" w:space="0" w:color="auto"/>
              </w:divBdr>
            </w:div>
          </w:divsChild>
        </w:div>
        <w:div w:id="1421878328">
          <w:marLeft w:val="0"/>
          <w:marRight w:val="0"/>
          <w:marTop w:val="0"/>
          <w:marBottom w:val="0"/>
          <w:divBdr>
            <w:top w:val="none" w:sz="0" w:space="0" w:color="auto"/>
            <w:left w:val="none" w:sz="0" w:space="0" w:color="auto"/>
            <w:bottom w:val="none" w:sz="0" w:space="0" w:color="auto"/>
            <w:right w:val="none" w:sz="0" w:space="0" w:color="auto"/>
          </w:divBdr>
          <w:divsChild>
            <w:div w:id="1763213150">
              <w:marLeft w:val="0"/>
              <w:marRight w:val="0"/>
              <w:marTop w:val="0"/>
              <w:marBottom w:val="0"/>
              <w:divBdr>
                <w:top w:val="none" w:sz="0" w:space="0" w:color="auto"/>
                <w:left w:val="none" w:sz="0" w:space="0" w:color="auto"/>
                <w:bottom w:val="none" w:sz="0" w:space="0" w:color="auto"/>
                <w:right w:val="none" w:sz="0" w:space="0" w:color="auto"/>
              </w:divBdr>
            </w:div>
          </w:divsChild>
        </w:div>
        <w:div w:id="1449659207">
          <w:marLeft w:val="0"/>
          <w:marRight w:val="0"/>
          <w:marTop w:val="0"/>
          <w:marBottom w:val="0"/>
          <w:divBdr>
            <w:top w:val="none" w:sz="0" w:space="0" w:color="auto"/>
            <w:left w:val="none" w:sz="0" w:space="0" w:color="auto"/>
            <w:bottom w:val="none" w:sz="0" w:space="0" w:color="auto"/>
            <w:right w:val="none" w:sz="0" w:space="0" w:color="auto"/>
          </w:divBdr>
        </w:div>
        <w:div w:id="1463772651">
          <w:marLeft w:val="0"/>
          <w:marRight w:val="0"/>
          <w:marTop w:val="0"/>
          <w:marBottom w:val="0"/>
          <w:divBdr>
            <w:top w:val="none" w:sz="0" w:space="0" w:color="auto"/>
            <w:left w:val="none" w:sz="0" w:space="0" w:color="auto"/>
            <w:bottom w:val="none" w:sz="0" w:space="0" w:color="auto"/>
            <w:right w:val="none" w:sz="0" w:space="0" w:color="auto"/>
          </w:divBdr>
        </w:div>
        <w:div w:id="1498497555">
          <w:marLeft w:val="0"/>
          <w:marRight w:val="0"/>
          <w:marTop w:val="0"/>
          <w:marBottom w:val="0"/>
          <w:divBdr>
            <w:top w:val="none" w:sz="0" w:space="0" w:color="auto"/>
            <w:left w:val="none" w:sz="0" w:space="0" w:color="auto"/>
            <w:bottom w:val="none" w:sz="0" w:space="0" w:color="auto"/>
            <w:right w:val="none" w:sz="0" w:space="0" w:color="auto"/>
          </w:divBdr>
        </w:div>
        <w:div w:id="1501235068">
          <w:marLeft w:val="0"/>
          <w:marRight w:val="0"/>
          <w:marTop w:val="0"/>
          <w:marBottom w:val="0"/>
          <w:divBdr>
            <w:top w:val="none" w:sz="0" w:space="0" w:color="auto"/>
            <w:left w:val="none" w:sz="0" w:space="0" w:color="auto"/>
            <w:bottom w:val="none" w:sz="0" w:space="0" w:color="auto"/>
            <w:right w:val="none" w:sz="0" w:space="0" w:color="auto"/>
          </w:divBdr>
          <w:divsChild>
            <w:div w:id="722942889">
              <w:marLeft w:val="0"/>
              <w:marRight w:val="0"/>
              <w:marTop w:val="0"/>
              <w:marBottom w:val="0"/>
              <w:divBdr>
                <w:top w:val="none" w:sz="0" w:space="0" w:color="auto"/>
                <w:left w:val="none" w:sz="0" w:space="0" w:color="auto"/>
                <w:bottom w:val="none" w:sz="0" w:space="0" w:color="auto"/>
                <w:right w:val="none" w:sz="0" w:space="0" w:color="auto"/>
              </w:divBdr>
            </w:div>
            <w:div w:id="1088503648">
              <w:marLeft w:val="0"/>
              <w:marRight w:val="0"/>
              <w:marTop w:val="0"/>
              <w:marBottom w:val="0"/>
              <w:divBdr>
                <w:top w:val="none" w:sz="0" w:space="0" w:color="auto"/>
                <w:left w:val="none" w:sz="0" w:space="0" w:color="auto"/>
                <w:bottom w:val="none" w:sz="0" w:space="0" w:color="auto"/>
                <w:right w:val="none" w:sz="0" w:space="0" w:color="auto"/>
              </w:divBdr>
            </w:div>
            <w:div w:id="1243946828">
              <w:marLeft w:val="0"/>
              <w:marRight w:val="0"/>
              <w:marTop w:val="0"/>
              <w:marBottom w:val="0"/>
              <w:divBdr>
                <w:top w:val="none" w:sz="0" w:space="0" w:color="auto"/>
                <w:left w:val="none" w:sz="0" w:space="0" w:color="auto"/>
                <w:bottom w:val="none" w:sz="0" w:space="0" w:color="auto"/>
                <w:right w:val="none" w:sz="0" w:space="0" w:color="auto"/>
              </w:divBdr>
            </w:div>
            <w:div w:id="1714773492">
              <w:marLeft w:val="0"/>
              <w:marRight w:val="0"/>
              <w:marTop w:val="0"/>
              <w:marBottom w:val="0"/>
              <w:divBdr>
                <w:top w:val="none" w:sz="0" w:space="0" w:color="auto"/>
                <w:left w:val="none" w:sz="0" w:space="0" w:color="auto"/>
                <w:bottom w:val="none" w:sz="0" w:space="0" w:color="auto"/>
                <w:right w:val="none" w:sz="0" w:space="0" w:color="auto"/>
              </w:divBdr>
            </w:div>
            <w:div w:id="2131704637">
              <w:marLeft w:val="0"/>
              <w:marRight w:val="0"/>
              <w:marTop w:val="0"/>
              <w:marBottom w:val="0"/>
              <w:divBdr>
                <w:top w:val="none" w:sz="0" w:space="0" w:color="auto"/>
                <w:left w:val="none" w:sz="0" w:space="0" w:color="auto"/>
                <w:bottom w:val="none" w:sz="0" w:space="0" w:color="auto"/>
                <w:right w:val="none" w:sz="0" w:space="0" w:color="auto"/>
              </w:divBdr>
            </w:div>
          </w:divsChild>
        </w:div>
        <w:div w:id="1547452707">
          <w:marLeft w:val="0"/>
          <w:marRight w:val="0"/>
          <w:marTop w:val="0"/>
          <w:marBottom w:val="0"/>
          <w:divBdr>
            <w:top w:val="none" w:sz="0" w:space="0" w:color="auto"/>
            <w:left w:val="none" w:sz="0" w:space="0" w:color="auto"/>
            <w:bottom w:val="none" w:sz="0" w:space="0" w:color="auto"/>
            <w:right w:val="none" w:sz="0" w:space="0" w:color="auto"/>
          </w:divBdr>
          <w:divsChild>
            <w:div w:id="975984752">
              <w:marLeft w:val="-75"/>
              <w:marRight w:val="0"/>
              <w:marTop w:val="30"/>
              <w:marBottom w:val="30"/>
              <w:divBdr>
                <w:top w:val="none" w:sz="0" w:space="0" w:color="auto"/>
                <w:left w:val="none" w:sz="0" w:space="0" w:color="auto"/>
                <w:bottom w:val="none" w:sz="0" w:space="0" w:color="auto"/>
                <w:right w:val="none" w:sz="0" w:space="0" w:color="auto"/>
              </w:divBdr>
              <w:divsChild>
                <w:div w:id="87433239">
                  <w:marLeft w:val="0"/>
                  <w:marRight w:val="0"/>
                  <w:marTop w:val="0"/>
                  <w:marBottom w:val="0"/>
                  <w:divBdr>
                    <w:top w:val="none" w:sz="0" w:space="0" w:color="auto"/>
                    <w:left w:val="none" w:sz="0" w:space="0" w:color="auto"/>
                    <w:bottom w:val="none" w:sz="0" w:space="0" w:color="auto"/>
                    <w:right w:val="none" w:sz="0" w:space="0" w:color="auto"/>
                  </w:divBdr>
                  <w:divsChild>
                    <w:div w:id="998849430">
                      <w:marLeft w:val="0"/>
                      <w:marRight w:val="0"/>
                      <w:marTop w:val="0"/>
                      <w:marBottom w:val="0"/>
                      <w:divBdr>
                        <w:top w:val="none" w:sz="0" w:space="0" w:color="auto"/>
                        <w:left w:val="none" w:sz="0" w:space="0" w:color="auto"/>
                        <w:bottom w:val="none" w:sz="0" w:space="0" w:color="auto"/>
                        <w:right w:val="none" w:sz="0" w:space="0" w:color="auto"/>
                      </w:divBdr>
                    </w:div>
                  </w:divsChild>
                </w:div>
                <w:div w:id="252445971">
                  <w:marLeft w:val="0"/>
                  <w:marRight w:val="0"/>
                  <w:marTop w:val="0"/>
                  <w:marBottom w:val="0"/>
                  <w:divBdr>
                    <w:top w:val="none" w:sz="0" w:space="0" w:color="auto"/>
                    <w:left w:val="none" w:sz="0" w:space="0" w:color="auto"/>
                    <w:bottom w:val="none" w:sz="0" w:space="0" w:color="auto"/>
                    <w:right w:val="none" w:sz="0" w:space="0" w:color="auto"/>
                  </w:divBdr>
                  <w:divsChild>
                    <w:div w:id="1794056194">
                      <w:marLeft w:val="0"/>
                      <w:marRight w:val="0"/>
                      <w:marTop w:val="0"/>
                      <w:marBottom w:val="0"/>
                      <w:divBdr>
                        <w:top w:val="none" w:sz="0" w:space="0" w:color="auto"/>
                        <w:left w:val="none" w:sz="0" w:space="0" w:color="auto"/>
                        <w:bottom w:val="none" w:sz="0" w:space="0" w:color="auto"/>
                        <w:right w:val="none" w:sz="0" w:space="0" w:color="auto"/>
                      </w:divBdr>
                    </w:div>
                  </w:divsChild>
                </w:div>
                <w:div w:id="318001683">
                  <w:marLeft w:val="0"/>
                  <w:marRight w:val="0"/>
                  <w:marTop w:val="0"/>
                  <w:marBottom w:val="0"/>
                  <w:divBdr>
                    <w:top w:val="none" w:sz="0" w:space="0" w:color="auto"/>
                    <w:left w:val="none" w:sz="0" w:space="0" w:color="auto"/>
                    <w:bottom w:val="none" w:sz="0" w:space="0" w:color="auto"/>
                    <w:right w:val="none" w:sz="0" w:space="0" w:color="auto"/>
                  </w:divBdr>
                  <w:divsChild>
                    <w:div w:id="1144346667">
                      <w:marLeft w:val="0"/>
                      <w:marRight w:val="0"/>
                      <w:marTop w:val="0"/>
                      <w:marBottom w:val="0"/>
                      <w:divBdr>
                        <w:top w:val="none" w:sz="0" w:space="0" w:color="auto"/>
                        <w:left w:val="none" w:sz="0" w:space="0" w:color="auto"/>
                        <w:bottom w:val="none" w:sz="0" w:space="0" w:color="auto"/>
                        <w:right w:val="none" w:sz="0" w:space="0" w:color="auto"/>
                      </w:divBdr>
                    </w:div>
                  </w:divsChild>
                </w:div>
                <w:div w:id="320348785">
                  <w:marLeft w:val="0"/>
                  <w:marRight w:val="0"/>
                  <w:marTop w:val="0"/>
                  <w:marBottom w:val="0"/>
                  <w:divBdr>
                    <w:top w:val="none" w:sz="0" w:space="0" w:color="auto"/>
                    <w:left w:val="none" w:sz="0" w:space="0" w:color="auto"/>
                    <w:bottom w:val="none" w:sz="0" w:space="0" w:color="auto"/>
                    <w:right w:val="none" w:sz="0" w:space="0" w:color="auto"/>
                  </w:divBdr>
                  <w:divsChild>
                    <w:div w:id="1537422040">
                      <w:marLeft w:val="0"/>
                      <w:marRight w:val="0"/>
                      <w:marTop w:val="0"/>
                      <w:marBottom w:val="0"/>
                      <w:divBdr>
                        <w:top w:val="none" w:sz="0" w:space="0" w:color="auto"/>
                        <w:left w:val="none" w:sz="0" w:space="0" w:color="auto"/>
                        <w:bottom w:val="none" w:sz="0" w:space="0" w:color="auto"/>
                        <w:right w:val="none" w:sz="0" w:space="0" w:color="auto"/>
                      </w:divBdr>
                    </w:div>
                  </w:divsChild>
                </w:div>
                <w:div w:id="378480619">
                  <w:marLeft w:val="0"/>
                  <w:marRight w:val="0"/>
                  <w:marTop w:val="0"/>
                  <w:marBottom w:val="0"/>
                  <w:divBdr>
                    <w:top w:val="none" w:sz="0" w:space="0" w:color="auto"/>
                    <w:left w:val="none" w:sz="0" w:space="0" w:color="auto"/>
                    <w:bottom w:val="none" w:sz="0" w:space="0" w:color="auto"/>
                    <w:right w:val="none" w:sz="0" w:space="0" w:color="auto"/>
                  </w:divBdr>
                  <w:divsChild>
                    <w:div w:id="388844166">
                      <w:marLeft w:val="0"/>
                      <w:marRight w:val="0"/>
                      <w:marTop w:val="0"/>
                      <w:marBottom w:val="0"/>
                      <w:divBdr>
                        <w:top w:val="none" w:sz="0" w:space="0" w:color="auto"/>
                        <w:left w:val="none" w:sz="0" w:space="0" w:color="auto"/>
                        <w:bottom w:val="none" w:sz="0" w:space="0" w:color="auto"/>
                        <w:right w:val="none" w:sz="0" w:space="0" w:color="auto"/>
                      </w:divBdr>
                    </w:div>
                  </w:divsChild>
                </w:div>
                <w:div w:id="383220257">
                  <w:marLeft w:val="0"/>
                  <w:marRight w:val="0"/>
                  <w:marTop w:val="0"/>
                  <w:marBottom w:val="0"/>
                  <w:divBdr>
                    <w:top w:val="none" w:sz="0" w:space="0" w:color="auto"/>
                    <w:left w:val="none" w:sz="0" w:space="0" w:color="auto"/>
                    <w:bottom w:val="none" w:sz="0" w:space="0" w:color="auto"/>
                    <w:right w:val="none" w:sz="0" w:space="0" w:color="auto"/>
                  </w:divBdr>
                  <w:divsChild>
                    <w:div w:id="1094518028">
                      <w:marLeft w:val="0"/>
                      <w:marRight w:val="0"/>
                      <w:marTop w:val="0"/>
                      <w:marBottom w:val="0"/>
                      <w:divBdr>
                        <w:top w:val="none" w:sz="0" w:space="0" w:color="auto"/>
                        <w:left w:val="none" w:sz="0" w:space="0" w:color="auto"/>
                        <w:bottom w:val="none" w:sz="0" w:space="0" w:color="auto"/>
                        <w:right w:val="none" w:sz="0" w:space="0" w:color="auto"/>
                      </w:divBdr>
                    </w:div>
                  </w:divsChild>
                </w:div>
                <w:div w:id="436174223">
                  <w:marLeft w:val="0"/>
                  <w:marRight w:val="0"/>
                  <w:marTop w:val="0"/>
                  <w:marBottom w:val="0"/>
                  <w:divBdr>
                    <w:top w:val="none" w:sz="0" w:space="0" w:color="auto"/>
                    <w:left w:val="none" w:sz="0" w:space="0" w:color="auto"/>
                    <w:bottom w:val="none" w:sz="0" w:space="0" w:color="auto"/>
                    <w:right w:val="none" w:sz="0" w:space="0" w:color="auto"/>
                  </w:divBdr>
                  <w:divsChild>
                    <w:div w:id="701394238">
                      <w:marLeft w:val="0"/>
                      <w:marRight w:val="0"/>
                      <w:marTop w:val="0"/>
                      <w:marBottom w:val="0"/>
                      <w:divBdr>
                        <w:top w:val="none" w:sz="0" w:space="0" w:color="auto"/>
                        <w:left w:val="none" w:sz="0" w:space="0" w:color="auto"/>
                        <w:bottom w:val="none" w:sz="0" w:space="0" w:color="auto"/>
                        <w:right w:val="none" w:sz="0" w:space="0" w:color="auto"/>
                      </w:divBdr>
                    </w:div>
                  </w:divsChild>
                </w:div>
                <w:div w:id="566308428">
                  <w:marLeft w:val="0"/>
                  <w:marRight w:val="0"/>
                  <w:marTop w:val="0"/>
                  <w:marBottom w:val="0"/>
                  <w:divBdr>
                    <w:top w:val="none" w:sz="0" w:space="0" w:color="auto"/>
                    <w:left w:val="none" w:sz="0" w:space="0" w:color="auto"/>
                    <w:bottom w:val="none" w:sz="0" w:space="0" w:color="auto"/>
                    <w:right w:val="none" w:sz="0" w:space="0" w:color="auto"/>
                  </w:divBdr>
                  <w:divsChild>
                    <w:div w:id="1691177544">
                      <w:marLeft w:val="0"/>
                      <w:marRight w:val="0"/>
                      <w:marTop w:val="0"/>
                      <w:marBottom w:val="0"/>
                      <w:divBdr>
                        <w:top w:val="none" w:sz="0" w:space="0" w:color="auto"/>
                        <w:left w:val="none" w:sz="0" w:space="0" w:color="auto"/>
                        <w:bottom w:val="none" w:sz="0" w:space="0" w:color="auto"/>
                        <w:right w:val="none" w:sz="0" w:space="0" w:color="auto"/>
                      </w:divBdr>
                    </w:div>
                  </w:divsChild>
                </w:div>
                <w:div w:id="566837809">
                  <w:marLeft w:val="0"/>
                  <w:marRight w:val="0"/>
                  <w:marTop w:val="0"/>
                  <w:marBottom w:val="0"/>
                  <w:divBdr>
                    <w:top w:val="none" w:sz="0" w:space="0" w:color="auto"/>
                    <w:left w:val="none" w:sz="0" w:space="0" w:color="auto"/>
                    <w:bottom w:val="none" w:sz="0" w:space="0" w:color="auto"/>
                    <w:right w:val="none" w:sz="0" w:space="0" w:color="auto"/>
                  </w:divBdr>
                  <w:divsChild>
                    <w:div w:id="1398940555">
                      <w:marLeft w:val="0"/>
                      <w:marRight w:val="0"/>
                      <w:marTop w:val="0"/>
                      <w:marBottom w:val="0"/>
                      <w:divBdr>
                        <w:top w:val="none" w:sz="0" w:space="0" w:color="auto"/>
                        <w:left w:val="none" w:sz="0" w:space="0" w:color="auto"/>
                        <w:bottom w:val="none" w:sz="0" w:space="0" w:color="auto"/>
                        <w:right w:val="none" w:sz="0" w:space="0" w:color="auto"/>
                      </w:divBdr>
                    </w:div>
                  </w:divsChild>
                </w:div>
                <w:div w:id="582763047">
                  <w:marLeft w:val="0"/>
                  <w:marRight w:val="0"/>
                  <w:marTop w:val="0"/>
                  <w:marBottom w:val="0"/>
                  <w:divBdr>
                    <w:top w:val="none" w:sz="0" w:space="0" w:color="auto"/>
                    <w:left w:val="none" w:sz="0" w:space="0" w:color="auto"/>
                    <w:bottom w:val="none" w:sz="0" w:space="0" w:color="auto"/>
                    <w:right w:val="none" w:sz="0" w:space="0" w:color="auto"/>
                  </w:divBdr>
                  <w:divsChild>
                    <w:div w:id="1543207021">
                      <w:marLeft w:val="0"/>
                      <w:marRight w:val="0"/>
                      <w:marTop w:val="0"/>
                      <w:marBottom w:val="0"/>
                      <w:divBdr>
                        <w:top w:val="none" w:sz="0" w:space="0" w:color="auto"/>
                        <w:left w:val="none" w:sz="0" w:space="0" w:color="auto"/>
                        <w:bottom w:val="none" w:sz="0" w:space="0" w:color="auto"/>
                        <w:right w:val="none" w:sz="0" w:space="0" w:color="auto"/>
                      </w:divBdr>
                    </w:div>
                  </w:divsChild>
                </w:div>
                <w:div w:id="590433430">
                  <w:marLeft w:val="0"/>
                  <w:marRight w:val="0"/>
                  <w:marTop w:val="0"/>
                  <w:marBottom w:val="0"/>
                  <w:divBdr>
                    <w:top w:val="none" w:sz="0" w:space="0" w:color="auto"/>
                    <w:left w:val="none" w:sz="0" w:space="0" w:color="auto"/>
                    <w:bottom w:val="none" w:sz="0" w:space="0" w:color="auto"/>
                    <w:right w:val="none" w:sz="0" w:space="0" w:color="auto"/>
                  </w:divBdr>
                  <w:divsChild>
                    <w:div w:id="2104908620">
                      <w:marLeft w:val="0"/>
                      <w:marRight w:val="0"/>
                      <w:marTop w:val="0"/>
                      <w:marBottom w:val="0"/>
                      <w:divBdr>
                        <w:top w:val="none" w:sz="0" w:space="0" w:color="auto"/>
                        <w:left w:val="none" w:sz="0" w:space="0" w:color="auto"/>
                        <w:bottom w:val="none" w:sz="0" w:space="0" w:color="auto"/>
                        <w:right w:val="none" w:sz="0" w:space="0" w:color="auto"/>
                      </w:divBdr>
                    </w:div>
                  </w:divsChild>
                </w:div>
                <w:div w:id="615333979">
                  <w:marLeft w:val="0"/>
                  <w:marRight w:val="0"/>
                  <w:marTop w:val="0"/>
                  <w:marBottom w:val="0"/>
                  <w:divBdr>
                    <w:top w:val="none" w:sz="0" w:space="0" w:color="auto"/>
                    <w:left w:val="none" w:sz="0" w:space="0" w:color="auto"/>
                    <w:bottom w:val="none" w:sz="0" w:space="0" w:color="auto"/>
                    <w:right w:val="none" w:sz="0" w:space="0" w:color="auto"/>
                  </w:divBdr>
                  <w:divsChild>
                    <w:div w:id="1891066841">
                      <w:marLeft w:val="0"/>
                      <w:marRight w:val="0"/>
                      <w:marTop w:val="0"/>
                      <w:marBottom w:val="0"/>
                      <w:divBdr>
                        <w:top w:val="none" w:sz="0" w:space="0" w:color="auto"/>
                        <w:left w:val="none" w:sz="0" w:space="0" w:color="auto"/>
                        <w:bottom w:val="none" w:sz="0" w:space="0" w:color="auto"/>
                        <w:right w:val="none" w:sz="0" w:space="0" w:color="auto"/>
                      </w:divBdr>
                    </w:div>
                  </w:divsChild>
                </w:div>
                <w:div w:id="616181782">
                  <w:marLeft w:val="0"/>
                  <w:marRight w:val="0"/>
                  <w:marTop w:val="0"/>
                  <w:marBottom w:val="0"/>
                  <w:divBdr>
                    <w:top w:val="none" w:sz="0" w:space="0" w:color="auto"/>
                    <w:left w:val="none" w:sz="0" w:space="0" w:color="auto"/>
                    <w:bottom w:val="none" w:sz="0" w:space="0" w:color="auto"/>
                    <w:right w:val="none" w:sz="0" w:space="0" w:color="auto"/>
                  </w:divBdr>
                  <w:divsChild>
                    <w:div w:id="1101800565">
                      <w:marLeft w:val="0"/>
                      <w:marRight w:val="0"/>
                      <w:marTop w:val="0"/>
                      <w:marBottom w:val="0"/>
                      <w:divBdr>
                        <w:top w:val="none" w:sz="0" w:space="0" w:color="auto"/>
                        <w:left w:val="none" w:sz="0" w:space="0" w:color="auto"/>
                        <w:bottom w:val="none" w:sz="0" w:space="0" w:color="auto"/>
                        <w:right w:val="none" w:sz="0" w:space="0" w:color="auto"/>
                      </w:divBdr>
                    </w:div>
                  </w:divsChild>
                </w:div>
                <w:div w:id="621229546">
                  <w:marLeft w:val="0"/>
                  <w:marRight w:val="0"/>
                  <w:marTop w:val="0"/>
                  <w:marBottom w:val="0"/>
                  <w:divBdr>
                    <w:top w:val="none" w:sz="0" w:space="0" w:color="auto"/>
                    <w:left w:val="none" w:sz="0" w:space="0" w:color="auto"/>
                    <w:bottom w:val="none" w:sz="0" w:space="0" w:color="auto"/>
                    <w:right w:val="none" w:sz="0" w:space="0" w:color="auto"/>
                  </w:divBdr>
                  <w:divsChild>
                    <w:div w:id="1407806082">
                      <w:marLeft w:val="0"/>
                      <w:marRight w:val="0"/>
                      <w:marTop w:val="0"/>
                      <w:marBottom w:val="0"/>
                      <w:divBdr>
                        <w:top w:val="none" w:sz="0" w:space="0" w:color="auto"/>
                        <w:left w:val="none" w:sz="0" w:space="0" w:color="auto"/>
                        <w:bottom w:val="none" w:sz="0" w:space="0" w:color="auto"/>
                        <w:right w:val="none" w:sz="0" w:space="0" w:color="auto"/>
                      </w:divBdr>
                    </w:div>
                  </w:divsChild>
                </w:div>
                <w:div w:id="623585907">
                  <w:marLeft w:val="0"/>
                  <w:marRight w:val="0"/>
                  <w:marTop w:val="0"/>
                  <w:marBottom w:val="0"/>
                  <w:divBdr>
                    <w:top w:val="none" w:sz="0" w:space="0" w:color="auto"/>
                    <w:left w:val="none" w:sz="0" w:space="0" w:color="auto"/>
                    <w:bottom w:val="none" w:sz="0" w:space="0" w:color="auto"/>
                    <w:right w:val="none" w:sz="0" w:space="0" w:color="auto"/>
                  </w:divBdr>
                  <w:divsChild>
                    <w:div w:id="748888437">
                      <w:marLeft w:val="0"/>
                      <w:marRight w:val="0"/>
                      <w:marTop w:val="0"/>
                      <w:marBottom w:val="0"/>
                      <w:divBdr>
                        <w:top w:val="none" w:sz="0" w:space="0" w:color="auto"/>
                        <w:left w:val="none" w:sz="0" w:space="0" w:color="auto"/>
                        <w:bottom w:val="none" w:sz="0" w:space="0" w:color="auto"/>
                        <w:right w:val="none" w:sz="0" w:space="0" w:color="auto"/>
                      </w:divBdr>
                    </w:div>
                  </w:divsChild>
                </w:div>
                <w:div w:id="665405326">
                  <w:marLeft w:val="0"/>
                  <w:marRight w:val="0"/>
                  <w:marTop w:val="0"/>
                  <w:marBottom w:val="0"/>
                  <w:divBdr>
                    <w:top w:val="none" w:sz="0" w:space="0" w:color="auto"/>
                    <w:left w:val="none" w:sz="0" w:space="0" w:color="auto"/>
                    <w:bottom w:val="none" w:sz="0" w:space="0" w:color="auto"/>
                    <w:right w:val="none" w:sz="0" w:space="0" w:color="auto"/>
                  </w:divBdr>
                  <w:divsChild>
                    <w:div w:id="1657614293">
                      <w:marLeft w:val="0"/>
                      <w:marRight w:val="0"/>
                      <w:marTop w:val="0"/>
                      <w:marBottom w:val="0"/>
                      <w:divBdr>
                        <w:top w:val="none" w:sz="0" w:space="0" w:color="auto"/>
                        <w:left w:val="none" w:sz="0" w:space="0" w:color="auto"/>
                        <w:bottom w:val="none" w:sz="0" w:space="0" w:color="auto"/>
                        <w:right w:val="none" w:sz="0" w:space="0" w:color="auto"/>
                      </w:divBdr>
                    </w:div>
                  </w:divsChild>
                </w:div>
                <w:div w:id="725104202">
                  <w:marLeft w:val="0"/>
                  <w:marRight w:val="0"/>
                  <w:marTop w:val="0"/>
                  <w:marBottom w:val="0"/>
                  <w:divBdr>
                    <w:top w:val="none" w:sz="0" w:space="0" w:color="auto"/>
                    <w:left w:val="none" w:sz="0" w:space="0" w:color="auto"/>
                    <w:bottom w:val="none" w:sz="0" w:space="0" w:color="auto"/>
                    <w:right w:val="none" w:sz="0" w:space="0" w:color="auto"/>
                  </w:divBdr>
                  <w:divsChild>
                    <w:div w:id="1601184108">
                      <w:marLeft w:val="0"/>
                      <w:marRight w:val="0"/>
                      <w:marTop w:val="0"/>
                      <w:marBottom w:val="0"/>
                      <w:divBdr>
                        <w:top w:val="none" w:sz="0" w:space="0" w:color="auto"/>
                        <w:left w:val="none" w:sz="0" w:space="0" w:color="auto"/>
                        <w:bottom w:val="none" w:sz="0" w:space="0" w:color="auto"/>
                        <w:right w:val="none" w:sz="0" w:space="0" w:color="auto"/>
                      </w:divBdr>
                    </w:div>
                  </w:divsChild>
                </w:div>
                <w:div w:id="789203597">
                  <w:marLeft w:val="0"/>
                  <w:marRight w:val="0"/>
                  <w:marTop w:val="0"/>
                  <w:marBottom w:val="0"/>
                  <w:divBdr>
                    <w:top w:val="none" w:sz="0" w:space="0" w:color="auto"/>
                    <w:left w:val="none" w:sz="0" w:space="0" w:color="auto"/>
                    <w:bottom w:val="none" w:sz="0" w:space="0" w:color="auto"/>
                    <w:right w:val="none" w:sz="0" w:space="0" w:color="auto"/>
                  </w:divBdr>
                  <w:divsChild>
                    <w:div w:id="320278387">
                      <w:marLeft w:val="0"/>
                      <w:marRight w:val="0"/>
                      <w:marTop w:val="0"/>
                      <w:marBottom w:val="0"/>
                      <w:divBdr>
                        <w:top w:val="none" w:sz="0" w:space="0" w:color="auto"/>
                        <w:left w:val="none" w:sz="0" w:space="0" w:color="auto"/>
                        <w:bottom w:val="none" w:sz="0" w:space="0" w:color="auto"/>
                        <w:right w:val="none" w:sz="0" w:space="0" w:color="auto"/>
                      </w:divBdr>
                    </w:div>
                  </w:divsChild>
                </w:div>
                <w:div w:id="806973606">
                  <w:marLeft w:val="0"/>
                  <w:marRight w:val="0"/>
                  <w:marTop w:val="0"/>
                  <w:marBottom w:val="0"/>
                  <w:divBdr>
                    <w:top w:val="none" w:sz="0" w:space="0" w:color="auto"/>
                    <w:left w:val="none" w:sz="0" w:space="0" w:color="auto"/>
                    <w:bottom w:val="none" w:sz="0" w:space="0" w:color="auto"/>
                    <w:right w:val="none" w:sz="0" w:space="0" w:color="auto"/>
                  </w:divBdr>
                  <w:divsChild>
                    <w:div w:id="460731517">
                      <w:marLeft w:val="0"/>
                      <w:marRight w:val="0"/>
                      <w:marTop w:val="0"/>
                      <w:marBottom w:val="0"/>
                      <w:divBdr>
                        <w:top w:val="none" w:sz="0" w:space="0" w:color="auto"/>
                        <w:left w:val="none" w:sz="0" w:space="0" w:color="auto"/>
                        <w:bottom w:val="none" w:sz="0" w:space="0" w:color="auto"/>
                        <w:right w:val="none" w:sz="0" w:space="0" w:color="auto"/>
                      </w:divBdr>
                    </w:div>
                  </w:divsChild>
                </w:div>
                <w:div w:id="837353533">
                  <w:marLeft w:val="0"/>
                  <w:marRight w:val="0"/>
                  <w:marTop w:val="0"/>
                  <w:marBottom w:val="0"/>
                  <w:divBdr>
                    <w:top w:val="none" w:sz="0" w:space="0" w:color="auto"/>
                    <w:left w:val="none" w:sz="0" w:space="0" w:color="auto"/>
                    <w:bottom w:val="none" w:sz="0" w:space="0" w:color="auto"/>
                    <w:right w:val="none" w:sz="0" w:space="0" w:color="auto"/>
                  </w:divBdr>
                  <w:divsChild>
                    <w:div w:id="390495342">
                      <w:marLeft w:val="0"/>
                      <w:marRight w:val="0"/>
                      <w:marTop w:val="0"/>
                      <w:marBottom w:val="0"/>
                      <w:divBdr>
                        <w:top w:val="none" w:sz="0" w:space="0" w:color="auto"/>
                        <w:left w:val="none" w:sz="0" w:space="0" w:color="auto"/>
                        <w:bottom w:val="none" w:sz="0" w:space="0" w:color="auto"/>
                        <w:right w:val="none" w:sz="0" w:space="0" w:color="auto"/>
                      </w:divBdr>
                    </w:div>
                  </w:divsChild>
                </w:div>
                <w:div w:id="923301916">
                  <w:marLeft w:val="0"/>
                  <w:marRight w:val="0"/>
                  <w:marTop w:val="0"/>
                  <w:marBottom w:val="0"/>
                  <w:divBdr>
                    <w:top w:val="none" w:sz="0" w:space="0" w:color="auto"/>
                    <w:left w:val="none" w:sz="0" w:space="0" w:color="auto"/>
                    <w:bottom w:val="none" w:sz="0" w:space="0" w:color="auto"/>
                    <w:right w:val="none" w:sz="0" w:space="0" w:color="auto"/>
                  </w:divBdr>
                  <w:divsChild>
                    <w:div w:id="85657028">
                      <w:marLeft w:val="0"/>
                      <w:marRight w:val="0"/>
                      <w:marTop w:val="0"/>
                      <w:marBottom w:val="0"/>
                      <w:divBdr>
                        <w:top w:val="none" w:sz="0" w:space="0" w:color="auto"/>
                        <w:left w:val="none" w:sz="0" w:space="0" w:color="auto"/>
                        <w:bottom w:val="none" w:sz="0" w:space="0" w:color="auto"/>
                        <w:right w:val="none" w:sz="0" w:space="0" w:color="auto"/>
                      </w:divBdr>
                    </w:div>
                  </w:divsChild>
                </w:div>
                <w:div w:id="1100561938">
                  <w:marLeft w:val="0"/>
                  <w:marRight w:val="0"/>
                  <w:marTop w:val="0"/>
                  <w:marBottom w:val="0"/>
                  <w:divBdr>
                    <w:top w:val="none" w:sz="0" w:space="0" w:color="auto"/>
                    <w:left w:val="none" w:sz="0" w:space="0" w:color="auto"/>
                    <w:bottom w:val="none" w:sz="0" w:space="0" w:color="auto"/>
                    <w:right w:val="none" w:sz="0" w:space="0" w:color="auto"/>
                  </w:divBdr>
                  <w:divsChild>
                    <w:div w:id="1701052718">
                      <w:marLeft w:val="0"/>
                      <w:marRight w:val="0"/>
                      <w:marTop w:val="0"/>
                      <w:marBottom w:val="0"/>
                      <w:divBdr>
                        <w:top w:val="none" w:sz="0" w:space="0" w:color="auto"/>
                        <w:left w:val="none" w:sz="0" w:space="0" w:color="auto"/>
                        <w:bottom w:val="none" w:sz="0" w:space="0" w:color="auto"/>
                        <w:right w:val="none" w:sz="0" w:space="0" w:color="auto"/>
                      </w:divBdr>
                    </w:div>
                  </w:divsChild>
                </w:div>
                <w:div w:id="1101954957">
                  <w:marLeft w:val="0"/>
                  <w:marRight w:val="0"/>
                  <w:marTop w:val="0"/>
                  <w:marBottom w:val="0"/>
                  <w:divBdr>
                    <w:top w:val="none" w:sz="0" w:space="0" w:color="auto"/>
                    <w:left w:val="none" w:sz="0" w:space="0" w:color="auto"/>
                    <w:bottom w:val="none" w:sz="0" w:space="0" w:color="auto"/>
                    <w:right w:val="none" w:sz="0" w:space="0" w:color="auto"/>
                  </w:divBdr>
                  <w:divsChild>
                    <w:div w:id="1907688737">
                      <w:marLeft w:val="0"/>
                      <w:marRight w:val="0"/>
                      <w:marTop w:val="0"/>
                      <w:marBottom w:val="0"/>
                      <w:divBdr>
                        <w:top w:val="none" w:sz="0" w:space="0" w:color="auto"/>
                        <w:left w:val="none" w:sz="0" w:space="0" w:color="auto"/>
                        <w:bottom w:val="none" w:sz="0" w:space="0" w:color="auto"/>
                        <w:right w:val="none" w:sz="0" w:space="0" w:color="auto"/>
                      </w:divBdr>
                    </w:div>
                  </w:divsChild>
                </w:div>
                <w:div w:id="1422684375">
                  <w:marLeft w:val="0"/>
                  <w:marRight w:val="0"/>
                  <w:marTop w:val="0"/>
                  <w:marBottom w:val="0"/>
                  <w:divBdr>
                    <w:top w:val="none" w:sz="0" w:space="0" w:color="auto"/>
                    <w:left w:val="none" w:sz="0" w:space="0" w:color="auto"/>
                    <w:bottom w:val="none" w:sz="0" w:space="0" w:color="auto"/>
                    <w:right w:val="none" w:sz="0" w:space="0" w:color="auto"/>
                  </w:divBdr>
                  <w:divsChild>
                    <w:div w:id="61218824">
                      <w:marLeft w:val="0"/>
                      <w:marRight w:val="0"/>
                      <w:marTop w:val="0"/>
                      <w:marBottom w:val="0"/>
                      <w:divBdr>
                        <w:top w:val="none" w:sz="0" w:space="0" w:color="auto"/>
                        <w:left w:val="none" w:sz="0" w:space="0" w:color="auto"/>
                        <w:bottom w:val="none" w:sz="0" w:space="0" w:color="auto"/>
                        <w:right w:val="none" w:sz="0" w:space="0" w:color="auto"/>
                      </w:divBdr>
                    </w:div>
                  </w:divsChild>
                </w:div>
                <w:div w:id="1492520663">
                  <w:marLeft w:val="0"/>
                  <w:marRight w:val="0"/>
                  <w:marTop w:val="0"/>
                  <w:marBottom w:val="0"/>
                  <w:divBdr>
                    <w:top w:val="none" w:sz="0" w:space="0" w:color="auto"/>
                    <w:left w:val="none" w:sz="0" w:space="0" w:color="auto"/>
                    <w:bottom w:val="none" w:sz="0" w:space="0" w:color="auto"/>
                    <w:right w:val="none" w:sz="0" w:space="0" w:color="auto"/>
                  </w:divBdr>
                  <w:divsChild>
                    <w:div w:id="751660165">
                      <w:marLeft w:val="0"/>
                      <w:marRight w:val="0"/>
                      <w:marTop w:val="0"/>
                      <w:marBottom w:val="0"/>
                      <w:divBdr>
                        <w:top w:val="none" w:sz="0" w:space="0" w:color="auto"/>
                        <w:left w:val="none" w:sz="0" w:space="0" w:color="auto"/>
                        <w:bottom w:val="none" w:sz="0" w:space="0" w:color="auto"/>
                        <w:right w:val="none" w:sz="0" w:space="0" w:color="auto"/>
                      </w:divBdr>
                    </w:div>
                  </w:divsChild>
                </w:div>
                <w:div w:id="1664703773">
                  <w:marLeft w:val="0"/>
                  <w:marRight w:val="0"/>
                  <w:marTop w:val="0"/>
                  <w:marBottom w:val="0"/>
                  <w:divBdr>
                    <w:top w:val="none" w:sz="0" w:space="0" w:color="auto"/>
                    <w:left w:val="none" w:sz="0" w:space="0" w:color="auto"/>
                    <w:bottom w:val="none" w:sz="0" w:space="0" w:color="auto"/>
                    <w:right w:val="none" w:sz="0" w:space="0" w:color="auto"/>
                  </w:divBdr>
                  <w:divsChild>
                    <w:div w:id="2056998593">
                      <w:marLeft w:val="0"/>
                      <w:marRight w:val="0"/>
                      <w:marTop w:val="0"/>
                      <w:marBottom w:val="0"/>
                      <w:divBdr>
                        <w:top w:val="none" w:sz="0" w:space="0" w:color="auto"/>
                        <w:left w:val="none" w:sz="0" w:space="0" w:color="auto"/>
                        <w:bottom w:val="none" w:sz="0" w:space="0" w:color="auto"/>
                        <w:right w:val="none" w:sz="0" w:space="0" w:color="auto"/>
                      </w:divBdr>
                    </w:div>
                  </w:divsChild>
                </w:div>
                <w:div w:id="1762683411">
                  <w:marLeft w:val="0"/>
                  <w:marRight w:val="0"/>
                  <w:marTop w:val="0"/>
                  <w:marBottom w:val="0"/>
                  <w:divBdr>
                    <w:top w:val="none" w:sz="0" w:space="0" w:color="auto"/>
                    <w:left w:val="none" w:sz="0" w:space="0" w:color="auto"/>
                    <w:bottom w:val="none" w:sz="0" w:space="0" w:color="auto"/>
                    <w:right w:val="none" w:sz="0" w:space="0" w:color="auto"/>
                  </w:divBdr>
                  <w:divsChild>
                    <w:div w:id="1065375025">
                      <w:marLeft w:val="0"/>
                      <w:marRight w:val="0"/>
                      <w:marTop w:val="0"/>
                      <w:marBottom w:val="0"/>
                      <w:divBdr>
                        <w:top w:val="none" w:sz="0" w:space="0" w:color="auto"/>
                        <w:left w:val="none" w:sz="0" w:space="0" w:color="auto"/>
                        <w:bottom w:val="none" w:sz="0" w:space="0" w:color="auto"/>
                        <w:right w:val="none" w:sz="0" w:space="0" w:color="auto"/>
                      </w:divBdr>
                    </w:div>
                  </w:divsChild>
                </w:div>
                <w:div w:id="1772974159">
                  <w:marLeft w:val="0"/>
                  <w:marRight w:val="0"/>
                  <w:marTop w:val="0"/>
                  <w:marBottom w:val="0"/>
                  <w:divBdr>
                    <w:top w:val="none" w:sz="0" w:space="0" w:color="auto"/>
                    <w:left w:val="none" w:sz="0" w:space="0" w:color="auto"/>
                    <w:bottom w:val="none" w:sz="0" w:space="0" w:color="auto"/>
                    <w:right w:val="none" w:sz="0" w:space="0" w:color="auto"/>
                  </w:divBdr>
                  <w:divsChild>
                    <w:div w:id="1555392255">
                      <w:marLeft w:val="0"/>
                      <w:marRight w:val="0"/>
                      <w:marTop w:val="0"/>
                      <w:marBottom w:val="0"/>
                      <w:divBdr>
                        <w:top w:val="none" w:sz="0" w:space="0" w:color="auto"/>
                        <w:left w:val="none" w:sz="0" w:space="0" w:color="auto"/>
                        <w:bottom w:val="none" w:sz="0" w:space="0" w:color="auto"/>
                        <w:right w:val="none" w:sz="0" w:space="0" w:color="auto"/>
                      </w:divBdr>
                    </w:div>
                  </w:divsChild>
                </w:div>
                <w:div w:id="1992321344">
                  <w:marLeft w:val="0"/>
                  <w:marRight w:val="0"/>
                  <w:marTop w:val="0"/>
                  <w:marBottom w:val="0"/>
                  <w:divBdr>
                    <w:top w:val="none" w:sz="0" w:space="0" w:color="auto"/>
                    <w:left w:val="none" w:sz="0" w:space="0" w:color="auto"/>
                    <w:bottom w:val="none" w:sz="0" w:space="0" w:color="auto"/>
                    <w:right w:val="none" w:sz="0" w:space="0" w:color="auto"/>
                  </w:divBdr>
                  <w:divsChild>
                    <w:div w:id="895313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214750">
          <w:marLeft w:val="0"/>
          <w:marRight w:val="0"/>
          <w:marTop w:val="0"/>
          <w:marBottom w:val="0"/>
          <w:divBdr>
            <w:top w:val="none" w:sz="0" w:space="0" w:color="auto"/>
            <w:left w:val="none" w:sz="0" w:space="0" w:color="auto"/>
            <w:bottom w:val="none" w:sz="0" w:space="0" w:color="auto"/>
            <w:right w:val="none" w:sz="0" w:space="0" w:color="auto"/>
          </w:divBdr>
          <w:divsChild>
            <w:div w:id="1246959840">
              <w:marLeft w:val="0"/>
              <w:marRight w:val="0"/>
              <w:marTop w:val="0"/>
              <w:marBottom w:val="0"/>
              <w:divBdr>
                <w:top w:val="none" w:sz="0" w:space="0" w:color="auto"/>
                <w:left w:val="none" w:sz="0" w:space="0" w:color="auto"/>
                <w:bottom w:val="none" w:sz="0" w:space="0" w:color="auto"/>
                <w:right w:val="none" w:sz="0" w:space="0" w:color="auto"/>
              </w:divBdr>
            </w:div>
            <w:div w:id="1966571227">
              <w:marLeft w:val="0"/>
              <w:marRight w:val="0"/>
              <w:marTop w:val="0"/>
              <w:marBottom w:val="0"/>
              <w:divBdr>
                <w:top w:val="none" w:sz="0" w:space="0" w:color="auto"/>
                <w:left w:val="none" w:sz="0" w:space="0" w:color="auto"/>
                <w:bottom w:val="none" w:sz="0" w:space="0" w:color="auto"/>
                <w:right w:val="none" w:sz="0" w:space="0" w:color="auto"/>
              </w:divBdr>
            </w:div>
          </w:divsChild>
        </w:div>
        <w:div w:id="1633711694">
          <w:marLeft w:val="0"/>
          <w:marRight w:val="0"/>
          <w:marTop w:val="0"/>
          <w:marBottom w:val="0"/>
          <w:divBdr>
            <w:top w:val="none" w:sz="0" w:space="0" w:color="auto"/>
            <w:left w:val="none" w:sz="0" w:space="0" w:color="auto"/>
            <w:bottom w:val="none" w:sz="0" w:space="0" w:color="auto"/>
            <w:right w:val="none" w:sz="0" w:space="0" w:color="auto"/>
          </w:divBdr>
        </w:div>
        <w:div w:id="1642298447">
          <w:marLeft w:val="0"/>
          <w:marRight w:val="0"/>
          <w:marTop w:val="0"/>
          <w:marBottom w:val="0"/>
          <w:divBdr>
            <w:top w:val="none" w:sz="0" w:space="0" w:color="auto"/>
            <w:left w:val="none" w:sz="0" w:space="0" w:color="auto"/>
            <w:bottom w:val="none" w:sz="0" w:space="0" w:color="auto"/>
            <w:right w:val="none" w:sz="0" w:space="0" w:color="auto"/>
          </w:divBdr>
          <w:divsChild>
            <w:div w:id="349646490">
              <w:marLeft w:val="-75"/>
              <w:marRight w:val="0"/>
              <w:marTop w:val="30"/>
              <w:marBottom w:val="30"/>
              <w:divBdr>
                <w:top w:val="none" w:sz="0" w:space="0" w:color="auto"/>
                <w:left w:val="none" w:sz="0" w:space="0" w:color="auto"/>
                <w:bottom w:val="none" w:sz="0" w:space="0" w:color="auto"/>
                <w:right w:val="none" w:sz="0" w:space="0" w:color="auto"/>
              </w:divBdr>
              <w:divsChild>
                <w:div w:id="48311464">
                  <w:marLeft w:val="0"/>
                  <w:marRight w:val="0"/>
                  <w:marTop w:val="0"/>
                  <w:marBottom w:val="0"/>
                  <w:divBdr>
                    <w:top w:val="none" w:sz="0" w:space="0" w:color="auto"/>
                    <w:left w:val="none" w:sz="0" w:space="0" w:color="auto"/>
                    <w:bottom w:val="none" w:sz="0" w:space="0" w:color="auto"/>
                    <w:right w:val="none" w:sz="0" w:space="0" w:color="auto"/>
                  </w:divBdr>
                  <w:divsChild>
                    <w:div w:id="2063169164">
                      <w:marLeft w:val="0"/>
                      <w:marRight w:val="0"/>
                      <w:marTop w:val="0"/>
                      <w:marBottom w:val="0"/>
                      <w:divBdr>
                        <w:top w:val="none" w:sz="0" w:space="0" w:color="auto"/>
                        <w:left w:val="none" w:sz="0" w:space="0" w:color="auto"/>
                        <w:bottom w:val="none" w:sz="0" w:space="0" w:color="auto"/>
                        <w:right w:val="none" w:sz="0" w:space="0" w:color="auto"/>
                      </w:divBdr>
                    </w:div>
                  </w:divsChild>
                </w:div>
                <w:div w:id="167991392">
                  <w:marLeft w:val="0"/>
                  <w:marRight w:val="0"/>
                  <w:marTop w:val="0"/>
                  <w:marBottom w:val="0"/>
                  <w:divBdr>
                    <w:top w:val="none" w:sz="0" w:space="0" w:color="auto"/>
                    <w:left w:val="none" w:sz="0" w:space="0" w:color="auto"/>
                    <w:bottom w:val="none" w:sz="0" w:space="0" w:color="auto"/>
                    <w:right w:val="none" w:sz="0" w:space="0" w:color="auto"/>
                  </w:divBdr>
                  <w:divsChild>
                    <w:div w:id="890464387">
                      <w:marLeft w:val="0"/>
                      <w:marRight w:val="0"/>
                      <w:marTop w:val="0"/>
                      <w:marBottom w:val="0"/>
                      <w:divBdr>
                        <w:top w:val="none" w:sz="0" w:space="0" w:color="auto"/>
                        <w:left w:val="none" w:sz="0" w:space="0" w:color="auto"/>
                        <w:bottom w:val="none" w:sz="0" w:space="0" w:color="auto"/>
                        <w:right w:val="none" w:sz="0" w:space="0" w:color="auto"/>
                      </w:divBdr>
                    </w:div>
                  </w:divsChild>
                </w:div>
                <w:div w:id="228076771">
                  <w:marLeft w:val="0"/>
                  <w:marRight w:val="0"/>
                  <w:marTop w:val="0"/>
                  <w:marBottom w:val="0"/>
                  <w:divBdr>
                    <w:top w:val="none" w:sz="0" w:space="0" w:color="auto"/>
                    <w:left w:val="none" w:sz="0" w:space="0" w:color="auto"/>
                    <w:bottom w:val="none" w:sz="0" w:space="0" w:color="auto"/>
                    <w:right w:val="none" w:sz="0" w:space="0" w:color="auto"/>
                  </w:divBdr>
                  <w:divsChild>
                    <w:div w:id="1625036021">
                      <w:marLeft w:val="0"/>
                      <w:marRight w:val="0"/>
                      <w:marTop w:val="0"/>
                      <w:marBottom w:val="0"/>
                      <w:divBdr>
                        <w:top w:val="none" w:sz="0" w:space="0" w:color="auto"/>
                        <w:left w:val="none" w:sz="0" w:space="0" w:color="auto"/>
                        <w:bottom w:val="none" w:sz="0" w:space="0" w:color="auto"/>
                        <w:right w:val="none" w:sz="0" w:space="0" w:color="auto"/>
                      </w:divBdr>
                    </w:div>
                  </w:divsChild>
                </w:div>
                <w:div w:id="288243277">
                  <w:marLeft w:val="0"/>
                  <w:marRight w:val="0"/>
                  <w:marTop w:val="0"/>
                  <w:marBottom w:val="0"/>
                  <w:divBdr>
                    <w:top w:val="none" w:sz="0" w:space="0" w:color="auto"/>
                    <w:left w:val="none" w:sz="0" w:space="0" w:color="auto"/>
                    <w:bottom w:val="none" w:sz="0" w:space="0" w:color="auto"/>
                    <w:right w:val="none" w:sz="0" w:space="0" w:color="auto"/>
                  </w:divBdr>
                  <w:divsChild>
                    <w:div w:id="2073774292">
                      <w:marLeft w:val="0"/>
                      <w:marRight w:val="0"/>
                      <w:marTop w:val="0"/>
                      <w:marBottom w:val="0"/>
                      <w:divBdr>
                        <w:top w:val="none" w:sz="0" w:space="0" w:color="auto"/>
                        <w:left w:val="none" w:sz="0" w:space="0" w:color="auto"/>
                        <w:bottom w:val="none" w:sz="0" w:space="0" w:color="auto"/>
                        <w:right w:val="none" w:sz="0" w:space="0" w:color="auto"/>
                      </w:divBdr>
                    </w:div>
                  </w:divsChild>
                </w:div>
                <w:div w:id="372465528">
                  <w:marLeft w:val="0"/>
                  <w:marRight w:val="0"/>
                  <w:marTop w:val="0"/>
                  <w:marBottom w:val="0"/>
                  <w:divBdr>
                    <w:top w:val="none" w:sz="0" w:space="0" w:color="auto"/>
                    <w:left w:val="none" w:sz="0" w:space="0" w:color="auto"/>
                    <w:bottom w:val="none" w:sz="0" w:space="0" w:color="auto"/>
                    <w:right w:val="none" w:sz="0" w:space="0" w:color="auto"/>
                  </w:divBdr>
                  <w:divsChild>
                    <w:div w:id="195386418">
                      <w:marLeft w:val="0"/>
                      <w:marRight w:val="0"/>
                      <w:marTop w:val="0"/>
                      <w:marBottom w:val="0"/>
                      <w:divBdr>
                        <w:top w:val="none" w:sz="0" w:space="0" w:color="auto"/>
                        <w:left w:val="none" w:sz="0" w:space="0" w:color="auto"/>
                        <w:bottom w:val="none" w:sz="0" w:space="0" w:color="auto"/>
                        <w:right w:val="none" w:sz="0" w:space="0" w:color="auto"/>
                      </w:divBdr>
                    </w:div>
                  </w:divsChild>
                </w:div>
                <w:div w:id="395126811">
                  <w:marLeft w:val="0"/>
                  <w:marRight w:val="0"/>
                  <w:marTop w:val="0"/>
                  <w:marBottom w:val="0"/>
                  <w:divBdr>
                    <w:top w:val="none" w:sz="0" w:space="0" w:color="auto"/>
                    <w:left w:val="none" w:sz="0" w:space="0" w:color="auto"/>
                    <w:bottom w:val="none" w:sz="0" w:space="0" w:color="auto"/>
                    <w:right w:val="none" w:sz="0" w:space="0" w:color="auto"/>
                  </w:divBdr>
                  <w:divsChild>
                    <w:div w:id="810709471">
                      <w:marLeft w:val="0"/>
                      <w:marRight w:val="0"/>
                      <w:marTop w:val="0"/>
                      <w:marBottom w:val="0"/>
                      <w:divBdr>
                        <w:top w:val="none" w:sz="0" w:space="0" w:color="auto"/>
                        <w:left w:val="none" w:sz="0" w:space="0" w:color="auto"/>
                        <w:bottom w:val="none" w:sz="0" w:space="0" w:color="auto"/>
                        <w:right w:val="none" w:sz="0" w:space="0" w:color="auto"/>
                      </w:divBdr>
                    </w:div>
                  </w:divsChild>
                </w:div>
                <w:div w:id="527185283">
                  <w:marLeft w:val="0"/>
                  <w:marRight w:val="0"/>
                  <w:marTop w:val="0"/>
                  <w:marBottom w:val="0"/>
                  <w:divBdr>
                    <w:top w:val="none" w:sz="0" w:space="0" w:color="auto"/>
                    <w:left w:val="none" w:sz="0" w:space="0" w:color="auto"/>
                    <w:bottom w:val="none" w:sz="0" w:space="0" w:color="auto"/>
                    <w:right w:val="none" w:sz="0" w:space="0" w:color="auto"/>
                  </w:divBdr>
                  <w:divsChild>
                    <w:div w:id="1060981449">
                      <w:marLeft w:val="0"/>
                      <w:marRight w:val="0"/>
                      <w:marTop w:val="0"/>
                      <w:marBottom w:val="0"/>
                      <w:divBdr>
                        <w:top w:val="none" w:sz="0" w:space="0" w:color="auto"/>
                        <w:left w:val="none" w:sz="0" w:space="0" w:color="auto"/>
                        <w:bottom w:val="none" w:sz="0" w:space="0" w:color="auto"/>
                        <w:right w:val="none" w:sz="0" w:space="0" w:color="auto"/>
                      </w:divBdr>
                    </w:div>
                  </w:divsChild>
                </w:div>
                <w:div w:id="573470874">
                  <w:marLeft w:val="0"/>
                  <w:marRight w:val="0"/>
                  <w:marTop w:val="0"/>
                  <w:marBottom w:val="0"/>
                  <w:divBdr>
                    <w:top w:val="none" w:sz="0" w:space="0" w:color="auto"/>
                    <w:left w:val="none" w:sz="0" w:space="0" w:color="auto"/>
                    <w:bottom w:val="none" w:sz="0" w:space="0" w:color="auto"/>
                    <w:right w:val="none" w:sz="0" w:space="0" w:color="auto"/>
                  </w:divBdr>
                  <w:divsChild>
                    <w:div w:id="638655294">
                      <w:marLeft w:val="0"/>
                      <w:marRight w:val="0"/>
                      <w:marTop w:val="0"/>
                      <w:marBottom w:val="0"/>
                      <w:divBdr>
                        <w:top w:val="none" w:sz="0" w:space="0" w:color="auto"/>
                        <w:left w:val="none" w:sz="0" w:space="0" w:color="auto"/>
                        <w:bottom w:val="none" w:sz="0" w:space="0" w:color="auto"/>
                        <w:right w:val="none" w:sz="0" w:space="0" w:color="auto"/>
                      </w:divBdr>
                    </w:div>
                  </w:divsChild>
                </w:div>
                <w:div w:id="641885479">
                  <w:marLeft w:val="0"/>
                  <w:marRight w:val="0"/>
                  <w:marTop w:val="0"/>
                  <w:marBottom w:val="0"/>
                  <w:divBdr>
                    <w:top w:val="none" w:sz="0" w:space="0" w:color="auto"/>
                    <w:left w:val="none" w:sz="0" w:space="0" w:color="auto"/>
                    <w:bottom w:val="none" w:sz="0" w:space="0" w:color="auto"/>
                    <w:right w:val="none" w:sz="0" w:space="0" w:color="auto"/>
                  </w:divBdr>
                  <w:divsChild>
                    <w:div w:id="2123303264">
                      <w:marLeft w:val="0"/>
                      <w:marRight w:val="0"/>
                      <w:marTop w:val="0"/>
                      <w:marBottom w:val="0"/>
                      <w:divBdr>
                        <w:top w:val="none" w:sz="0" w:space="0" w:color="auto"/>
                        <w:left w:val="none" w:sz="0" w:space="0" w:color="auto"/>
                        <w:bottom w:val="none" w:sz="0" w:space="0" w:color="auto"/>
                        <w:right w:val="none" w:sz="0" w:space="0" w:color="auto"/>
                      </w:divBdr>
                    </w:div>
                  </w:divsChild>
                </w:div>
                <w:div w:id="713625084">
                  <w:marLeft w:val="0"/>
                  <w:marRight w:val="0"/>
                  <w:marTop w:val="0"/>
                  <w:marBottom w:val="0"/>
                  <w:divBdr>
                    <w:top w:val="none" w:sz="0" w:space="0" w:color="auto"/>
                    <w:left w:val="none" w:sz="0" w:space="0" w:color="auto"/>
                    <w:bottom w:val="none" w:sz="0" w:space="0" w:color="auto"/>
                    <w:right w:val="none" w:sz="0" w:space="0" w:color="auto"/>
                  </w:divBdr>
                  <w:divsChild>
                    <w:div w:id="771163804">
                      <w:marLeft w:val="0"/>
                      <w:marRight w:val="0"/>
                      <w:marTop w:val="0"/>
                      <w:marBottom w:val="0"/>
                      <w:divBdr>
                        <w:top w:val="none" w:sz="0" w:space="0" w:color="auto"/>
                        <w:left w:val="none" w:sz="0" w:space="0" w:color="auto"/>
                        <w:bottom w:val="none" w:sz="0" w:space="0" w:color="auto"/>
                        <w:right w:val="none" w:sz="0" w:space="0" w:color="auto"/>
                      </w:divBdr>
                    </w:div>
                  </w:divsChild>
                </w:div>
                <w:div w:id="841630442">
                  <w:marLeft w:val="0"/>
                  <w:marRight w:val="0"/>
                  <w:marTop w:val="0"/>
                  <w:marBottom w:val="0"/>
                  <w:divBdr>
                    <w:top w:val="none" w:sz="0" w:space="0" w:color="auto"/>
                    <w:left w:val="none" w:sz="0" w:space="0" w:color="auto"/>
                    <w:bottom w:val="none" w:sz="0" w:space="0" w:color="auto"/>
                    <w:right w:val="none" w:sz="0" w:space="0" w:color="auto"/>
                  </w:divBdr>
                  <w:divsChild>
                    <w:div w:id="510606098">
                      <w:marLeft w:val="0"/>
                      <w:marRight w:val="0"/>
                      <w:marTop w:val="0"/>
                      <w:marBottom w:val="0"/>
                      <w:divBdr>
                        <w:top w:val="none" w:sz="0" w:space="0" w:color="auto"/>
                        <w:left w:val="none" w:sz="0" w:space="0" w:color="auto"/>
                        <w:bottom w:val="none" w:sz="0" w:space="0" w:color="auto"/>
                        <w:right w:val="none" w:sz="0" w:space="0" w:color="auto"/>
                      </w:divBdr>
                    </w:div>
                  </w:divsChild>
                </w:div>
                <w:div w:id="853302469">
                  <w:marLeft w:val="0"/>
                  <w:marRight w:val="0"/>
                  <w:marTop w:val="0"/>
                  <w:marBottom w:val="0"/>
                  <w:divBdr>
                    <w:top w:val="none" w:sz="0" w:space="0" w:color="auto"/>
                    <w:left w:val="none" w:sz="0" w:space="0" w:color="auto"/>
                    <w:bottom w:val="none" w:sz="0" w:space="0" w:color="auto"/>
                    <w:right w:val="none" w:sz="0" w:space="0" w:color="auto"/>
                  </w:divBdr>
                  <w:divsChild>
                    <w:div w:id="1571304319">
                      <w:marLeft w:val="0"/>
                      <w:marRight w:val="0"/>
                      <w:marTop w:val="0"/>
                      <w:marBottom w:val="0"/>
                      <w:divBdr>
                        <w:top w:val="none" w:sz="0" w:space="0" w:color="auto"/>
                        <w:left w:val="none" w:sz="0" w:space="0" w:color="auto"/>
                        <w:bottom w:val="none" w:sz="0" w:space="0" w:color="auto"/>
                        <w:right w:val="none" w:sz="0" w:space="0" w:color="auto"/>
                      </w:divBdr>
                    </w:div>
                  </w:divsChild>
                </w:div>
                <w:div w:id="936983709">
                  <w:marLeft w:val="0"/>
                  <w:marRight w:val="0"/>
                  <w:marTop w:val="0"/>
                  <w:marBottom w:val="0"/>
                  <w:divBdr>
                    <w:top w:val="none" w:sz="0" w:space="0" w:color="auto"/>
                    <w:left w:val="none" w:sz="0" w:space="0" w:color="auto"/>
                    <w:bottom w:val="none" w:sz="0" w:space="0" w:color="auto"/>
                    <w:right w:val="none" w:sz="0" w:space="0" w:color="auto"/>
                  </w:divBdr>
                  <w:divsChild>
                    <w:div w:id="1707558618">
                      <w:marLeft w:val="0"/>
                      <w:marRight w:val="0"/>
                      <w:marTop w:val="0"/>
                      <w:marBottom w:val="0"/>
                      <w:divBdr>
                        <w:top w:val="none" w:sz="0" w:space="0" w:color="auto"/>
                        <w:left w:val="none" w:sz="0" w:space="0" w:color="auto"/>
                        <w:bottom w:val="none" w:sz="0" w:space="0" w:color="auto"/>
                        <w:right w:val="none" w:sz="0" w:space="0" w:color="auto"/>
                      </w:divBdr>
                    </w:div>
                  </w:divsChild>
                </w:div>
                <w:div w:id="983855140">
                  <w:marLeft w:val="0"/>
                  <w:marRight w:val="0"/>
                  <w:marTop w:val="0"/>
                  <w:marBottom w:val="0"/>
                  <w:divBdr>
                    <w:top w:val="none" w:sz="0" w:space="0" w:color="auto"/>
                    <w:left w:val="none" w:sz="0" w:space="0" w:color="auto"/>
                    <w:bottom w:val="none" w:sz="0" w:space="0" w:color="auto"/>
                    <w:right w:val="none" w:sz="0" w:space="0" w:color="auto"/>
                  </w:divBdr>
                  <w:divsChild>
                    <w:div w:id="1112744150">
                      <w:marLeft w:val="0"/>
                      <w:marRight w:val="0"/>
                      <w:marTop w:val="0"/>
                      <w:marBottom w:val="0"/>
                      <w:divBdr>
                        <w:top w:val="none" w:sz="0" w:space="0" w:color="auto"/>
                        <w:left w:val="none" w:sz="0" w:space="0" w:color="auto"/>
                        <w:bottom w:val="none" w:sz="0" w:space="0" w:color="auto"/>
                        <w:right w:val="none" w:sz="0" w:space="0" w:color="auto"/>
                      </w:divBdr>
                    </w:div>
                  </w:divsChild>
                </w:div>
                <w:div w:id="1019284284">
                  <w:marLeft w:val="0"/>
                  <w:marRight w:val="0"/>
                  <w:marTop w:val="0"/>
                  <w:marBottom w:val="0"/>
                  <w:divBdr>
                    <w:top w:val="none" w:sz="0" w:space="0" w:color="auto"/>
                    <w:left w:val="none" w:sz="0" w:space="0" w:color="auto"/>
                    <w:bottom w:val="none" w:sz="0" w:space="0" w:color="auto"/>
                    <w:right w:val="none" w:sz="0" w:space="0" w:color="auto"/>
                  </w:divBdr>
                  <w:divsChild>
                    <w:div w:id="565651110">
                      <w:marLeft w:val="0"/>
                      <w:marRight w:val="0"/>
                      <w:marTop w:val="0"/>
                      <w:marBottom w:val="0"/>
                      <w:divBdr>
                        <w:top w:val="none" w:sz="0" w:space="0" w:color="auto"/>
                        <w:left w:val="none" w:sz="0" w:space="0" w:color="auto"/>
                        <w:bottom w:val="none" w:sz="0" w:space="0" w:color="auto"/>
                        <w:right w:val="none" w:sz="0" w:space="0" w:color="auto"/>
                      </w:divBdr>
                    </w:div>
                  </w:divsChild>
                </w:div>
                <w:div w:id="1195192310">
                  <w:marLeft w:val="0"/>
                  <w:marRight w:val="0"/>
                  <w:marTop w:val="0"/>
                  <w:marBottom w:val="0"/>
                  <w:divBdr>
                    <w:top w:val="none" w:sz="0" w:space="0" w:color="auto"/>
                    <w:left w:val="none" w:sz="0" w:space="0" w:color="auto"/>
                    <w:bottom w:val="none" w:sz="0" w:space="0" w:color="auto"/>
                    <w:right w:val="none" w:sz="0" w:space="0" w:color="auto"/>
                  </w:divBdr>
                  <w:divsChild>
                    <w:div w:id="14697178">
                      <w:marLeft w:val="0"/>
                      <w:marRight w:val="0"/>
                      <w:marTop w:val="0"/>
                      <w:marBottom w:val="0"/>
                      <w:divBdr>
                        <w:top w:val="none" w:sz="0" w:space="0" w:color="auto"/>
                        <w:left w:val="none" w:sz="0" w:space="0" w:color="auto"/>
                        <w:bottom w:val="none" w:sz="0" w:space="0" w:color="auto"/>
                        <w:right w:val="none" w:sz="0" w:space="0" w:color="auto"/>
                      </w:divBdr>
                    </w:div>
                  </w:divsChild>
                </w:div>
                <w:div w:id="1212959108">
                  <w:marLeft w:val="0"/>
                  <w:marRight w:val="0"/>
                  <w:marTop w:val="0"/>
                  <w:marBottom w:val="0"/>
                  <w:divBdr>
                    <w:top w:val="none" w:sz="0" w:space="0" w:color="auto"/>
                    <w:left w:val="none" w:sz="0" w:space="0" w:color="auto"/>
                    <w:bottom w:val="none" w:sz="0" w:space="0" w:color="auto"/>
                    <w:right w:val="none" w:sz="0" w:space="0" w:color="auto"/>
                  </w:divBdr>
                  <w:divsChild>
                    <w:div w:id="356394182">
                      <w:marLeft w:val="0"/>
                      <w:marRight w:val="0"/>
                      <w:marTop w:val="0"/>
                      <w:marBottom w:val="0"/>
                      <w:divBdr>
                        <w:top w:val="none" w:sz="0" w:space="0" w:color="auto"/>
                        <w:left w:val="none" w:sz="0" w:space="0" w:color="auto"/>
                        <w:bottom w:val="none" w:sz="0" w:space="0" w:color="auto"/>
                        <w:right w:val="none" w:sz="0" w:space="0" w:color="auto"/>
                      </w:divBdr>
                    </w:div>
                  </w:divsChild>
                </w:div>
                <w:div w:id="1241403410">
                  <w:marLeft w:val="0"/>
                  <w:marRight w:val="0"/>
                  <w:marTop w:val="0"/>
                  <w:marBottom w:val="0"/>
                  <w:divBdr>
                    <w:top w:val="none" w:sz="0" w:space="0" w:color="auto"/>
                    <w:left w:val="none" w:sz="0" w:space="0" w:color="auto"/>
                    <w:bottom w:val="none" w:sz="0" w:space="0" w:color="auto"/>
                    <w:right w:val="none" w:sz="0" w:space="0" w:color="auto"/>
                  </w:divBdr>
                  <w:divsChild>
                    <w:div w:id="1000814978">
                      <w:marLeft w:val="0"/>
                      <w:marRight w:val="0"/>
                      <w:marTop w:val="0"/>
                      <w:marBottom w:val="0"/>
                      <w:divBdr>
                        <w:top w:val="none" w:sz="0" w:space="0" w:color="auto"/>
                        <w:left w:val="none" w:sz="0" w:space="0" w:color="auto"/>
                        <w:bottom w:val="none" w:sz="0" w:space="0" w:color="auto"/>
                        <w:right w:val="none" w:sz="0" w:space="0" w:color="auto"/>
                      </w:divBdr>
                    </w:div>
                  </w:divsChild>
                </w:div>
                <w:div w:id="1415971736">
                  <w:marLeft w:val="0"/>
                  <w:marRight w:val="0"/>
                  <w:marTop w:val="0"/>
                  <w:marBottom w:val="0"/>
                  <w:divBdr>
                    <w:top w:val="none" w:sz="0" w:space="0" w:color="auto"/>
                    <w:left w:val="none" w:sz="0" w:space="0" w:color="auto"/>
                    <w:bottom w:val="none" w:sz="0" w:space="0" w:color="auto"/>
                    <w:right w:val="none" w:sz="0" w:space="0" w:color="auto"/>
                  </w:divBdr>
                  <w:divsChild>
                    <w:div w:id="1248614578">
                      <w:marLeft w:val="0"/>
                      <w:marRight w:val="0"/>
                      <w:marTop w:val="0"/>
                      <w:marBottom w:val="0"/>
                      <w:divBdr>
                        <w:top w:val="none" w:sz="0" w:space="0" w:color="auto"/>
                        <w:left w:val="none" w:sz="0" w:space="0" w:color="auto"/>
                        <w:bottom w:val="none" w:sz="0" w:space="0" w:color="auto"/>
                        <w:right w:val="none" w:sz="0" w:space="0" w:color="auto"/>
                      </w:divBdr>
                    </w:div>
                  </w:divsChild>
                </w:div>
                <w:div w:id="1594823177">
                  <w:marLeft w:val="0"/>
                  <w:marRight w:val="0"/>
                  <w:marTop w:val="0"/>
                  <w:marBottom w:val="0"/>
                  <w:divBdr>
                    <w:top w:val="none" w:sz="0" w:space="0" w:color="auto"/>
                    <w:left w:val="none" w:sz="0" w:space="0" w:color="auto"/>
                    <w:bottom w:val="none" w:sz="0" w:space="0" w:color="auto"/>
                    <w:right w:val="none" w:sz="0" w:space="0" w:color="auto"/>
                  </w:divBdr>
                  <w:divsChild>
                    <w:div w:id="1352680238">
                      <w:marLeft w:val="0"/>
                      <w:marRight w:val="0"/>
                      <w:marTop w:val="0"/>
                      <w:marBottom w:val="0"/>
                      <w:divBdr>
                        <w:top w:val="none" w:sz="0" w:space="0" w:color="auto"/>
                        <w:left w:val="none" w:sz="0" w:space="0" w:color="auto"/>
                        <w:bottom w:val="none" w:sz="0" w:space="0" w:color="auto"/>
                        <w:right w:val="none" w:sz="0" w:space="0" w:color="auto"/>
                      </w:divBdr>
                    </w:div>
                  </w:divsChild>
                </w:div>
                <w:div w:id="1679889634">
                  <w:marLeft w:val="0"/>
                  <w:marRight w:val="0"/>
                  <w:marTop w:val="0"/>
                  <w:marBottom w:val="0"/>
                  <w:divBdr>
                    <w:top w:val="none" w:sz="0" w:space="0" w:color="auto"/>
                    <w:left w:val="none" w:sz="0" w:space="0" w:color="auto"/>
                    <w:bottom w:val="none" w:sz="0" w:space="0" w:color="auto"/>
                    <w:right w:val="none" w:sz="0" w:space="0" w:color="auto"/>
                  </w:divBdr>
                  <w:divsChild>
                    <w:div w:id="305860892">
                      <w:marLeft w:val="0"/>
                      <w:marRight w:val="0"/>
                      <w:marTop w:val="0"/>
                      <w:marBottom w:val="0"/>
                      <w:divBdr>
                        <w:top w:val="none" w:sz="0" w:space="0" w:color="auto"/>
                        <w:left w:val="none" w:sz="0" w:space="0" w:color="auto"/>
                        <w:bottom w:val="none" w:sz="0" w:space="0" w:color="auto"/>
                        <w:right w:val="none" w:sz="0" w:space="0" w:color="auto"/>
                      </w:divBdr>
                    </w:div>
                  </w:divsChild>
                </w:div>
                <w:div w:id="1693647320">
                  <w:marLeft w:val="0"/>
                  <w:marRight w:val="0"/>
                  <w:marTop w:val="0"/>
                  <w:marBottom w:val="0"/>
                  <w:divBdr>
                    <w:top w:val="none" w:sz="0" w:space="0" w:color="auto"/>
                    <w:left w:val="none" w:sz="0" w:space="0" w:color="auto"/>
                    <w:bottom w:val="none" w:sz="0" w:space="0" w:color="auto"/>
                    <w:right w:val="none" w:sz="0" w:space="0" w:color="auto"/>
                  </w:divBdr>
                  <w:divsChild>
                    <w:div w:id="958804000">
                      <w:marLeft w:val="0"/>
                      <w:marRight w:val="0"/>
                      <w:marTop w:val="0"/>
                      <w:marBottom w:val="0"/>
                      <w:divBdr>
                        <w:top w:val="none" w:sz="0" w:space="0" w:color="auto"/>
                        <w:left w:val="none" w:sz="0" w:space="0" w:color="auto"/>
                        <w:bottom w:val="none" w:sz="0" w:space="0" w:color="auto"/>
                        <w:right w:val="none" w:sz="0" w:space="0" w:color="auto"/>
                      </w:divBdr>
                    </w:div>
                  </w:divsChild>
                </w:div>
                <w:div w:id="1778988724">
                  <w:marLeft w:val="0"/>
                  <w:marRight w:val="0"/>
                  <w:marTop w:val="0"/>
                  <w:marBottom w:val="0"/>
                  <w:divBdr>
                    <w:top w:val="none" w:sz="0" w:space="0" w:color="auto"/>
                    <w:left w:val="none" w:sz="0" w:space="0" w:color="auto"/>
                    <w:bottom w:val="none" w:sz="0" w:space="0" w:color="auto"/>
                    <w:right w:val="none" w:sz="0" w:space="0" w:color="auto"/>
                  </w:divBdr>
                  <w:divsChild>
                    <w:div w:id="1392072132">
                      <w:marLeft w:val="0"/>
                      <w:marRight w:val="0"/>
                      <w:marTop w:val="0"/>
                      <w:marBottom w:val="0"/>
                      <w:divBdr>
                        <w:top w:val="none" w:sz="0" w:space="0" w:color="auto"/>
                        <w:left w:val="none" w:sz="0" w:space="0" w:color="auto"/>
                        <w:bottom w:val="none" w:sz="0" w:space="0" w:color="auto"/>
                        <w:right w:val="none" w:sz="0" w:space="0" w:color="auto"/>
                      </w:divBdr>
                    </w:div>
                  </w:divsChild>
                </w:div>
                <w:div w:id="1799493218">
                  <w:marLeft w:val="0"/>
                  <w:marRight w:val="0"/>
                  <w:marTop w:val="0"/>
                  <w:marBottom w:val="0"/>
                  <w:divBdr>
                    <w:top w:val="none" w:sz="0" w:space="0" w:color="auto"/>
                    <w:left w:val="none" w:sz="0" w:space="0" w:color="auto"/>
                    <w:bottom w:val="none" w:sz="0" w:space="0" w:color="auto"/>
                    <w:right w:val="none" w:sz="0" w:space="0" w:color="auto"/>
                  </w:divBdr>
                  <w:divsChild>
                    <w:div w:id="424034671">
                      <w:marLeft w:val="0"/>
                      <w:marRight w:val="0"/>
                      <w:marTop w:val="0"/>
                      <w:marBottom w:val="0"/>
                      <w:divBdr>
                        <w:top w:val="none" w:sz="0" w:space="0" w:color="auto"/>
                        <w:left w:val="none" w:sz="0" w:space="0" w:color="auto"/>
                        <w:bottom w:val="none" w:sz="0" w:space="0" w:color="auto"/>
                        <w:right w:val="none" w:sz="0" w:space="0" w:color="auto"/>
                      </w:divBdr>
                    </w:div>
                  </w:divsChild>
                </w:div>
                <w:div w:id="2073653127">
                  <w:marLeft w:val="0"/>
                  <w:marRight w:val="0"/>
                  <w:marTop w:val="0"/>
                  <w:marBottom w:val="0"/>
                  <w:divBdr>
                    <w:top w:val="none" w:sz="0" w:space="0" w:color="auto"/>
                    <w:left w:val="none" w:sz="0" w:space="0" w:color="auto"/>
                    <w:bottom w:val="none" w:sz="0" w:space="0" w:color="auto"/>
                    <w:right w:val="none" w:sz="0" w:space="0" w:color="auto"/>
                  </w:divBdr>
                  <w:divsChild>
                    <w:div w:id="676540960">
                      <w:marLeft w:val="0"/>
                      <w:marRight w:val="0"/>
                      <w:marTop w:val="0"/>
                      <w:marBottom w:val="0"/>
                      <w:divBdr>
                        <w:top w:val="none" w:sz="0" w:space="0" w:color="auto"/>
                        <w:left w:val="none" w:sz="0" w:space="0" w:color="auto"/>
                        <w:bottom w:val="none" w:sz="0" w:space="0" w:color="auto"/>
                        <w:right w:val="none" w:sz="0" w:space="0" w:color="auto"/>
                      </w:divBdr>
                    </w:div>
                  </w:divsChild>
                </w:div>
                <w:div w:id="2076658717">
                  <w:marLeft w:val="0"/>
                  <w:marRight w:val="0"/>
                  <w:marTop w:val="0"/>
                  <w:marBottom w:val="0"/>
                  <w:divBdr>
                    <w:top w:val="none" w:sz="0" w:space="0" w:color="auto"/>
                    <w:left w:val="none" w:sz="0" w:space="0" w:color="auto"/>
                    <w:bottom w:val="none" w:sz="0" w:space="0" w:color="auto"/>
                    <w:right w:val="none" w:sz="0" w:space="0" w:color="auto"/>
                  </w:divBdr>
                  <w:divsChild>
                    <w:div w:id="1187065662">
                      <w:marLeft w:val="0"/>
                      <w:marRight w:val="0"/>
                      <w:marTop w:val="0"/>
                      <w:marBottom w:val="0"/>
                      <w:divBdr>
                        <w:top w:val="none" w:sz="0" w:space="0" w:color="auto"/>
                        <w:left w:val="none" w:sz="0" w:space="0" w:color="auto"/>
                        <w:bottom w:val="none" w:sz="0" w:space="0" w:color="auto"/>
                        <w:right w:val="none" w:sz="0" w:space="0" w:color="auto"/>
                      </w:divBdr>
                    </w:div>
                  </w:divsChild>
                </w:div>
                <w:div w:id="2104914920">
                  <w:marLeft w:val="0"/>
                  <w:marRight w:val="0"/>
                  <w:marTop w:val="0"/>
                  <w:marBottom w:val="0"/>
                  <w:divBdr>
                    <w:top w:val="none" w:sz="0" w:space="0" w:color="auto"/>
                    <w:left w:val="none" w:sz="0" w:space="0" w:color="auto"/>
                    <w:bottom w:val="none" w:sz="0" w:space="0" w:color="auto"/>
                    <w:right w:val="none" w:sz="0" w:space="0" w:color="auto"/>
                  </w:divBdr>
                  <w:divsChild>
                    <w:div w:id="1055469995">
                      <w:marLeft w:val="0"/>
                      <w:marRight w:val="0"/>
                      <w:marTop w:val="0"/>
                      <w:marBottom w:val="0"/>
                      <w:divBdr>
                        <w:top w:val="none" w:sz="0" w:space="0" w:color="auto"/>
                        <w:left w:val="none" w:sz="0" w:space="0" w:color="auto"/>
                        <w:bottom w:val="none" w:sz="0" w:space="0" w:color="auto"/>
                        <w:right w:val="none" w:sz="0" w:space="0" w:color="auto"/>
                      </w:divBdr>
                    </w:div>
                  </w:divsChild>
                </w:div>
                <w:div w:id="2112628664">
                  <w:marLeft w:val="0"/>
                  <w:marRight w:val="0"/>
                  <w:marTop w:val="0"/>
                  <w:marBottom w:val="0"/>
                  <w:divBdr>
                    <w:top w:val="none" w:sz="0" w:space="0" w:color="auto"/>
                    <w:left w:val="none" w:sz="0" w:space="0" w:color="auto"/>
                    <w:bottom w:val="none" w:sz="0" w:space="0" w:color="auto"/>
                    <w:right w:val="none" w:sz="0" w:space="0" w:color="auto"/>
                  </w:divBdr>
                  <w:divsChild>
                    <w:div w:id="1539656666">
                      <w:marLeft w:val="0"/>
                      <w:marRight w:val="0"/>
                      <w:marTop w:val="0"/>
                      <w:marBottom w:val="0"/>
                      <w:divBdr>
                        <w:top w:val="none" w:sz="0" w:space="0" w:color="auto"/>
                        <w:left w:val="none" w:sz="0" w:space="0" w:color="auto"/>
                        <w:bottom w:val="none" w:sz="0" w:space="0" w:color="auto"/>
                        <w:right w:val="none" w:sz="0" w:space="0" w:color="auto"/>
                      </w:divBdr>
                    </w:div>
                  </w:divsChild>
                </w:div>
                <w:div w:id="2141413600">
                  <w:marLeft w:val="0"/>
                  <w:marRight w:val="0"/>
                  <w:marTop w:val="0"/>
                  <w:marBottom w:val="0"/>
                  <w:divBdr>
                    <w:top w:val="none" w:sz="0" w:space="0" w:color="auto"/>
                    <w:left w:val="none" w:sz="0" w:space="0" w:color="auto"/>
                    <w:bottom w:val="none" w:sz="0" w:space="0" w:color="auto"/>
                    <w:right w:val="none" w:sz="0" w:space="0" w:color="auto"/>
                  </w:divBdr>
                  <w:divsChild>
                    <w:div w:id="1855606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685009">
          <w:marLeft w:val="0"/>
          <w:marRight w:val="0"/>
          <w:marTop w:val="0"/>
          <w:marBottom w:val="0"/>
          <w:divBdr>
            <w:top w:val="none" w:sz="0" w:space="0" w:color="auto"/>
            <w:left w:val="none" w:sz="0" w:space="0" w:color="auto"/>
            <w:bottom w:val="none" w:sz="0" w:space="0" w:color="auto"/>
            <w:right w:val="none" w:sz="0" w:space="0" w:color="auto"/>
          </w:divBdr>
        </w:div>
        <w:div w:id="1717853981">
          <w:marLeft w:val="0"/>
          <w:marRight w:val="0"/>
          <w:marTop w:val="0"/>
          <w:marBottom w:val="0"/>
          <w:divBdr>
            <w:top w:val="none" w:sz="0" w:space="0" w:color="auto"/>
            <w:left w:val="none" w:sz="0" w:space="0" w:color="auto"/>
            <w:bottom w:val="none" w:sz="0" w:space="0" w:color="auto"/>
            <w:right w:val="none" w:sz="0" w:space="0" w:color="auto"/>
          </w:divBdr>
        </w:div>
        <w:div w:id="1765567113">
          <w:marLeft w:val="0"/>
          <w:marRight w:val="0"/>
          <w:marTop w:val="0"/>
          <w:marBottom w:val="0"/>
          <w:divBdr>
            <w:top w:val="none" w:sz="0" w:space="0" w:color="auto"/>
            <w:left w:val="none" w:sz="0" w:space="0" w:color="auto"/>
            <w:bottom w:val="none" w:sz="0" w:space="0" w:color="auto"/>
            <w:right w:val="none" w:sz="0" w:space="0" w:color="auto"/>
          </w:divBdr>
          <w:divsChild>
            <w:div w:id="947467931">
              <w:marLeft w:val="0"/>
              <w:marRight w:val="0"/>
              <w:marTop w:val="0"/>
              <w:marBottom w:val="0"/>
              <w:divBdr>
                <w:top w:val="none" w:sz="0" w:space="0" w:color="auto"/>
                <w:left w:val="none" w:sz="0" w:space="0" w:color="auto"/>
                <w:bottom w:val="none" w:sz="0" w:space="0" w:color="auto"/>
                <w:right w:val="none" w:sz="0" w:space="0" w:color="auto"/>
              </w:divBdr>
            </w:div>
            <w:div w:id="1767850165">
              <w:marLeft w:val="0"/>
              <w:marRight w:val="0"/>
              <w:marTop w:val="0"/>
              <w:marBottom w:val="0"/>
              <w:divBdr>
                <w:top w:val="none" w:sz="0" w:space="0" w:color="auto"/>
                <w:left w:val="none" w:sz="0" w:space="0" w:color="auto"/>
                <w:bottom w:val="none" w:sz="0" w:space="0" w:color="auto"/>
                <w:right w:val="none" w:sz="0" w:space="0" w:color="auto"/>
              </w:divBdr>
            </w:div>
          </w:divsChild>
        </w:div>
        <w:div w:id="1820728523">
          <w:marLeft w:val="0"/>
          <w:marRight w:val="0"/>
          <w:marTop w:val="0"/>
          <w:marBottom w:val="0"/>
          <w:divBdr>
            <w:top w:val="none" w:sz="0" w:space="0" w:color="auto"/>
            <w:left w:val="none" w:sz="0" w:space="0" w:color="auto"/>
            <w:bottom w:val="none" w:sz="0" w:space="0" w:color="auto"/>
            <w:right w:val="none" w:sz="0" w:space="0" w:color="auto"/>
          </w:divBdr>
        </w:div>
        <w:div w:id="2106263938">
          <w:marLeft w:val="0"/>
          <w:marRight w:val="0"/>
          <w:marTop w:val="0"/>
          <w:marBottom w:val="0"/>
          <w:divBdr>
            <w:top w:val="none" w:sz="0" w:space="0" w:color="auto"/>
            <w:left w:val="none" w:sz="0" w:space="0" w:color="auto"/>
            <w:bottom w:val="none" w:sz="0" w:space="0" w:color="auto"/>
            <w:right w:val="none" w:sz="0" w:space="0" w:color="auto"/>
          </w:divBdr>
        </w:div>
      </w:divsChild>
    </w:div>
    <w:div w:id="1737434051">
      <w:bodyDiv w:val="1"/>
      <w:marLeft w:val="0"/>
      <w:marRight w:val="0"/>
      <w:marTop w:val="0"/>
      <w:marBottom w:val="0"/>
      <w:divBdr>
        <w:top w:val="none" w:sz="0" w:space="0" w:color="auto"/>
        <w:left w:val="none" w:sz="0" w:space="0" w:color="auto"/>
        <w:bottom w:val="none" w:sz="0" w:space="0" w:color="auto"/>
        <w:right w:val="none" w:sz="0" w:space="0" w:color="auto"/>
      </w:divBdr>
    </w:div>
    <w:div w:id="2038264672">
      <w:bodyDiv w:val="1"/>
      <w:marLeft w:val="0"/>
      <w:marRight w:val="0"/>
      <w:marTop w:val="0"/>
      <w:marBottom w:val="0"/>
      <w:divBdr>
        <w:top w:val="none" w:sz="0" w:space="0" w:color="auto"/>
        <w:left w:val="none" w:sz="0" w:space="0" w:color="auto"/>
        <w:bottom w:val="none" w:sz="0" w:space="0" w:color="auto"/>
        <w:right w:val="none" w:sz="0" w:space="0" w:color="auto"/>
      </w:divBdr>
    </w:div>
    <w:div w:id="2039502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footer" Target="footer10.xml"/><Relationship Id="rId21" Type="http://schemas.openxmlformats.org/officeDocument/2006/relationships/footer" Target="footer8.xml"/><Relationship Id="rId47" Type="http://schemas.openxmlformats.org/officeDocument/2006/relationships/hyperlink" Target="about:blank" TargetMode="External"/><Relationship Id="rId63" Type="http://schemas.openxmlformats.org/officeDocument/2006/relationships/footer" Target="footer22.xml"/><Relationship Id="rId68" Type="http://schemas.openxmlformats.org/officeDocument/2006/relationships/footer" Target="footer25.xml"/><Relationship Id="rId84" Type="http://schemas.openxmlformats.org/officeDocument/2006/relationships/image" Target="media/image15.png"/><Relationship Id="rId89" Type="http://schemas.openxmlformats.org/officeDocument/2006/relationships/footer" Target="footer28.xml"/><Relationship Id="rId16" Type="http://schemas.openxmlformats.org/officeDocument/2006/relationships/footer" Target="footer5.xml"/><Relationship Id="rId11" Type="http://schemas.openxmlformats.org/officeDocument/2006/relationships/image" Target="media/image1.emf"/><Relationship Id="rId32" Type="http://schemas.openxmlformats.org/officeDocument/2006/relationships/hyperlink" Target="about:blank" TargetMode="External"/><Relationship Id="rId37" Type="http://schemas.openxmlformats.org/officeDocument/2006/relationships/hyperlink" Target="about:blank" TargetMode="External"/><Relationship Id="rId53" Type="http://schemas.openxmlformats.org/officeDocument/2006/relationships/footer" Target="footer15.xml"/><Relationship Id="rId58" Type="http://schemas.openxmlformats.org/officeDocument/2006/relationships/footer" Target="footer18.xml"/><Relationship Id="rId74" Type="http://schemas.openxmlformats.org/officeDocument/2006/relationships/image" Target="media/image5.png"/><Relationship Id="rId79" Type="http://schemas.openxmlformats.org/officeDocument/2006/relationships/image" Target="media/image10.png"/><Relationship Id="rId102" Type="http://schemas.openxmlformats.org/officeDocument/2006/relationships/theme" Target="theme/theme1.xml"/><Relationship Id="rId5" Type="http://schemas.openxmlformats.org/officeDocument/2006/relationships/numbering" Target="numbering.xml"/><Relationship Id="rId90" Type="http://schemas.openxmlformats.org/officeDocument/2006/relationships/image" Target="media/image20.png"/><Relationship Id="rId95" Type="http://schemas.openxmlformats.org/officeDocument/2006/relationships/footer" Target="footer33.xml"/><Relationship Id="rId22" Type="http://schemas.openxmlformats.org/officeDocument/2006/relationships/header" Target="header3.xml"/><Relationship Id="rId27" Type="http://schemas.openxmlformats.org/officeDocument/2006/relationships/footer" Target="footer11.xml"/><Relationship Id="rId48" Type="http://schemas.openxmlformats.org/officeDocument/2006/relationships/header" Target="header7.xml"/><Relationship Id="rId64" Type="http://schemas.openxmlformats.org/officeDocument/2006/relationships/footer" Target="footer23.xml"/><Relationship Id="rId69" Type="http://schemas.openxmlformats.org/officeDocument/2006/relationships/header" Target="header15.xml"/><Relationship Id="rId80" Type="http://schemas.openxmlformats.org/officeDocument/2006/relationships/image" Target="media/image11.png"/><Relationship Id="rId85" Type="http://schemas.openxmlformats.org/officeDocument/2006/relationships/image" Target="media/image16.png"/><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footer" Target="footer6.xml"/><Relationship Id="rId25" Type="http://schemas.openxmlformats.org/officeDocument/2006/relationships/header" Target="header5.xml"/><Relationship Id="rId33" Type="http://schemas.openxmlformats.org/officeDocument/2006/relationships/hyperlink" Target="about:blank" TargetMode="External"/><Relationship Id="rId38" Type="http://schemas.openxmlformats.org/officeDocument/2006/relationships/hyperlink" Target="about:blank" TargetMode="External"/><Relationship Id="rId46" Type="http://schemas.openxmlformats.org/officeDocument/2006/relationships/hyperlink" Target="about:blank" TargetMode="External"/><Relationship Id="rId59" Type="http://schemas.openxmlformats.org/officeDocument/2006/relationships/footer" Target="footer19.xml"/><Relationship Id="rId67" Type="http://schemas.openxmlformats.org/officeDocument/2006/relationships/footer" Target="footer24.xml"/><Relationship Id="rId20" Type="http://schemas.openxmlformats.org/officeDocument/2006/relationships/footer" Target="footer7.xml"/><Relationship Id="rId54" Type="http://schemas.openxmlformats.org/officeDocument/2006/relationships/footer" Target="footer16.xml"/><Relationship Id="rId62" Type="http://schemas.openxmlformats.org/officeDocument/2006/relationships/footer" Target="footer21.xml"/><Relationship Id="rId70" Type="http://schemas.openxmlformats.org/officeDocument/2006/relationships/footer" Target="footer26.xml"/><Relationship Id="rId75" Type="http://schemas.openxmlformats.org/officeDocument/2006/relationships/image" Target="media/image6.png"/><Relationship Id="rId83" Type="http://schemas.openxmlformats.org/officeDocument/2006/relationships/image" Target="media/image14.png"/><Relationship Id="rId88" Type="http://schemas.openxmlformats.org/officeDocument/2006/relationships/image" Target="media/image19.png"/><Relationship Id="rId91" Type="http://schemas.openxmlformats.org/officeDocument/2006/relationships/footer" Target="footer29.xml"/><Relationship Id="rId96" Type="http://schemas.openxmlformats.org/officeDocument/2006/relationships/footer" Target="footer34.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4.xml"/><Relationship Id="rId23" Type="http://schemas.openxmlformats.org/officeDocument/2006/relationships/footer" Target="footer9.xml"/><Relationship Id="rId28" Type="http://schemas.openxmlformats.org/officeDocument/2006/relationships/header" Target="header6.xml"/><Relationship Id="rId36" Type="http://schemas.openxmlformats.org/officeDocument/2006/relationships/hyperlink" Target="about:blank" TargetMode="External"/><Relationship Id="rId49" Type="http://schemas.openxmlformats.org/officeDocument/2006/relationships/header" Target="header8.xml"/><Relationship Id="rId57" Type="http://schemas.openxmlformats.org/officeDocument/2006/relationships/header" Target="header11.xml"/><Relationship Id="rId10" Type="http://schemas.openxmlformats.org/officeDocument/2006/relationships/endnotes" Target="endnotes.xml"/><Relationship Id="rId31" Type="http://schemas.openxmlformats.org/officeDocument/2006/relationships/hyperlink" Target="about:blank" TargetMode="External"/><Relationship Id="rId52" Type="http://schemas.openxmlformats.org/officeDocument/2006/relationships/header" Target="header9.xml"/><Relationship Id="rId60" Type="http://schemas.openxmlformats.org/officeDocument/2006/relationships/header" Target="header12.xml"/><Relationship Id="rId65" Type="http://schemas.openxmlformats.org/officeDocument/2006/relationships/header" Target="header13.xml"/><Relationship Id="rId73" Type="http://schemas.openxmlformats.org/officeDocument/2006/relationships/image" Target="media/image4.png"/><Relationship Id="rId78" Type="http://schemas.openxmlformats.org/officeDocument/2006/relationships/image" Target="media/image9.png"/><Relationship Id="rId81" Type="http://schemas.openxmlformats.org/officeDocument/2006/relationships/image" Target="media/image12.png"/><Relationship Id="rId86" Type="http://schemas.openxmlformats.org/officeDocument/2006/relationships/image" Target="media/image17.png"/><Relationship Id="rId94" Type="http://schemas.openxmlformats.org/officeDocument/2006/relationships/footer" Target="footer32.xml"/><Relationship Id="rId99" Type="http://schemas.openxmlformats.org/officeDocument/2006/relationships/footer" Target="footer37.xml"/><Relationship Id="rId10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eader" Target="header1.xml"/><Relationship Id="rId39" Type="http://schemas.openxmlformats.org/officeDocument/2006/relationships/hyperlink" Target="about:blank" TargetMode="External"/><Relationship Id="rId34" Type="http://schemas.openxmlformats.org/officeDocument/2006/relationships/hyperlink" Target="about:blank" TargetMode="External"/><Relationship Id="rId50" Type="http://schemas.openxmlformats.org/officeDocument/2006/relationships/footer" Target="footer13.xml"/><Relationship Id="rId55" Type="http://schemas.openxmlformats.org/officeDocument/2006/relationships/footer" Target="footer17.xml"/><Relationship Id="rId76" Type="http://schemas.openxmlformats.org/officeDocument/2006/relationships/image" Target="media/image7.png"/><Relationship Id="rId97" Type="http://schemas.openxmlformats.org/officeDocument/2006/relationships/footer" Target="footer35.xml"/><Relationship Id="rId7" Type="http://schemas.openxmlformats.org/officeDocument/2006/relationships/settings" Target="settings.xml"/><Relationship Id="rId71" Type="http://schemas.openxmlformats.org/officeDocument/2006/relationships/footer" Target="footer27.xml"/><Relationship Id="rId92" Type="http://schemas.openxmlformats.org/officeDocument/2006/relationships/footer" Target="footer30.xml"/><Relationship Id="rId2" Type="http://schemas.openxmlformats.org/officeDocument/2006/relationships/customXml" Target="../customXml/item2.xml"/><Relationship Id="rId29" Type="http://schemas.openxmlformats.org/officeDocument/2006/relationships/footer" Target="footer12.xml"/><Relationship Id="rId24" Type="http://schemas.openxmlformats.org/officeDocument/2006/relationships/header" Target="header4.xml"/><Relationship Id="rId40" Type="http://schemas.openxmlformats.org/officeDocument/2006/relationships/customXml" Target="ink/ink1.xml"/><Relationship Id="rId45" Type="http://schemas.openxmlformats.org/officeDocument/2006/relationships/image" Target="media/image2.png"/><Relationship Id="rId66" Type="http://schemas.openxmlformats.org/officeDocument/2006/relationships/header" Target="header14.xml"/><Relationship Id="rId87" Type="http://schemas.openxmlformats.org/officeDocument/2006/relationships/image" Target="media/image18.png"/><Relationship Id="rId61" Type="http://schemas.openxmlformats.org/officeDocument/2006/relationships/footer" Target="footer20.xml"/><Relationship Id="rId82" Type="http://schemas.openxmlformats.org/officeDocument/2006/relationships/image" Target="media/image13.png"/><Relationship Id="rId19" Type="http://schemas.openxmlformats.org/officeDocument/2006/relationships/header" Target="header2.xml"/><Relationship Id="rId14" Type="http://schemas.openxmlformats.org/officeDocument/2006/relationships/footer" Target="footer3.xml"/><Relationship Id="rId30" Type="http://schemas.openxmlformats.org/officeDocument/2006/relationships/hyperlink" Target="about:blank" TargetMode="External"/><Relationship Id="rId35" Type="http://schemas.openxmlformats.org/officeDocument/2006/relationships/hyperlink" Target="about:blank" TargetMode="External"/><Relationship Id="rId56" Type="http://schemas.openxmlformats.org/officeDocument/2006/relationships/header" Target="header10.xml"/><Relationship Id="rId77" Type="http://schemas.openxmlformats.org/officeDocument/2006/relationships/image" Target="media/image8.png"/><Relationship Id="rId100" Type="http://schemas.openxmlformats.org/officeDocument/2006/relationships/footer" Target="footer38.xml"/><Relationship Id="rId8" Type="http://schemas.openxmlformats.org/officeDocument/2006/relationships/webSettings" Target="webSettings.xml"/><Relationship Id="rId51" Type="http://schemas.openxmlformats.org/officeDocument/2006/relationships/footer" Target="footer14.xml"/><Relationship Id="rId72" Type="http://schemas.openxmlformats.org/officeDocument/2006/relationships/image" Target="media/image3.png"/><Relationship Id="rId93" Type="http://schemas.openxmlformats.org/officeDocument/2006/relationships/footer" Target="footer31.xml"/><Relationship Id="rId98" Type="http://schemas.openxmlformats.org/officeDocument/2006/relationships/footer" Target="footer36.xml"/></Relationships>
</file>

<file path=word/_rels/footnotes.xml.rels><?xml version="1.0" encoding="UTF-8" standalone="yes"?>
<Relationships xmlns="http://schemas.openxmlformats.org/package/2006/relationships"><Relationship Id="rId8" Type="http://schemas.openxmlformats.org/officeDocument/2006/relationships/hyperlink" Target="https://www.nytimes.com/2018/12/11/nyregion/311-nyc-store-sign-fines.html" TargetMode="External"/><Relationship Id="rId13" Type="http://schemas.openxmlformats.org/officeDocument/2006/relationships/hyperlink" Target="https://www.nyc.gov/assets/doh/downloads/pdf/rats/2021/what-happens-to-your-rat-complaint.pdf" TargetMode="External"/><Relationship Id="rId18" Type="http://schemas.openxmlformats.org/officeDocument/2006/relationships/hyperlink" Target="https://www.nyc.gov/assets/hpd/downloads/pdfs/about/2023-nychvs-selected-initial-findings.pdf" TargetMode="External"/><Relationship Id="rId3" Type="http://schemas.openxmlformats.org/officeDocument/2006/relationships/hyperlink" Target="https://cdn-web.iccsafe.org/wp-content/uploads/ICC-CDP-How-It-Works.pdf" TargetMode="External"/><Relationship Id="rId7" Type="http://schemas.openxmlformats.org/officeDocument/2006/relationships/hyperlink" Target="https://legistar.council.nyc.gov/LegislationDetail.aspx?ID=4277797&amp;GUID=52C734F2-A45B-477B-8209-1D7C6EED8E49&amp;Options=ID|Text|&amp;Search=energy+conservation+code" TargetMode="External"/><Relationship Id="rId12" Type="http://schemas.openxmlformats.org/officeDocument/2006/relationships/hyperlink" Target="https://portal.311.nyc.gov/article/?kanumber=KA-01107" TargetMode="External"/><Relationship Id="rId17" Type="http://schemas.openxmlformats.org/officeDocument/2006/relationships/hyperlink" Target="https://hcr.ny.gov/system/files/documents/2023/04/fact-sheet-04-04-2023.pdf" TargetMode="External"/><Relationship Id="rId2" Type="http://schemas.openxmlformats.org/officeDocument/2006/relationships/hyperlink" Target="https://www.nyc.gov/assets/buildings/pdf/2023_revision_cycle_handbook.pdf" TargetMode="External"/><Relationship Id="rId16" Type="http://schemas.openxmlformats.org/officeDocument/2006/relationships/hyperlink" Target="https://www.nyc.gov/assets/nycha/downloads/pdf/nycha-tenant-handbook-2017.pdf" TargetMode="External"/><Relationship Id="rId20" Type="http://schemas.openxmlformats.org/officeDocument/2006/relationships/hyperlink" Target="https://airbnb.app.box.com/s/sfldhucll8xfa6rsbx0nk3njoxc8ciqv" TargetMode="External"/><Relationship Id="rId1" Type="http://schemas.openxmlformats.org/officeDocument/2006/relationships/hyperlink" Target="http://www.iccsafe.org/AboutICC/Pages/default.aspx" TargetMode="External"/><Relationship Id="rId6" Type="http://schemas.openxmlformats.org/officeDocument/2006/relationships/hyperlink" Target="https://www.nyc.gov/assets/buildings/pdf/ecr_handbook25.pdf" TargetMode="External"/><Relationship Id="rId11" Type="http://schemas.openxmlformats.org/officeDocument/2006/relationships/hyperlink" Target="https://legistar.council.nyc.gov/LegislationDetail.aspx?ID=4624862&amp;GUID=917908D8-A233-436F-8C9B-8028746FE30B&amp;Options=ID|Text|&amp;Search=accessory+signs" TargetMode="External"/><Relationship Id="rId5" Type="http://schemas.openxmlformats.org/officeDocument/2006/relationships/hyperlink" Target="https://legistar.council.nyc.gov/LegislationDetail.aspx?ID=447129&amp;GUID=2EB62F1F-8F59-4796-A309-3F0A42B7D207&amp;Options=ID|Text|&amp;Search" TargetMode="External"/><Relationship Id="rId15" Type="http://schemas.openxmlformats.org/officeDocument/2006/relationships/hyperlink" Target="http://assembly.state.ny.us/leg/?default_fld=&amp;bn=S06873&amp;term=2009&amp;Summary=Y&amp;Actions=Y&amp;Votes=Y&amp;Memo=Y&amp;Text=Y" TargetMode="External"/><Relationship Id="rId10" Type="http://schemas.openxmlformats.org/officeDocument/2006/relationships/hyperlink" Target="https://www.nytimes.com/2019/01/09/nyregion/nyc-city-council-store-sign-fines.html" TargetMode="External"/><Relationship Id="rId19" Type="http://schemas.openxmlformats.org/officeDocument/2006/relationships/hyperlink" Target="https://www.cssny.org/publications/entry/homes-not-hotels-maintaining-universal-short-term-rental-regulations-airbnb" TargetMode="External"/><Relationship Id="rId4" Type="http://schemas.openxmlformats.org/officeDocument/2006/relationships/hyperlink" Target="http://www.iccsafe.org/AboutICC/Pages/default.aspx" TargetMode="External"/><Relationship Id="rId9" Type="http://schemas.openxmlformats.org/officeDocument/2006/relationships/hyperlink" Target="https://a860-gpp.nyc.gov/concern/nyc_government_publications/qj72p905h?locale=en" TargetMode="External"/><Relationship Id="rId14" Type="http://schemas.openxmlformats.org/officeDocument/2006/relationships/hyperlink" Target="https://a816-dohbesp.nyc.gov/IndicatorPublic/Rats/"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9-17T15:59:40.002"/>
    </inkml:context>
    <inkml:brush xml:id="br0">
      <inkml:brushProperty name="width" value="0.05" units="cm"/>
      <inkml:brushProperty name="height" value="0.05" units="cm"/>
      <inkml:brushProperty name="ignorePressure" value="1"/>
    </inkml:brush>
  </inkml:definitions>
  <inkml:trace contextRef="#ctx0" brushRef="#br0">0 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EF29BDC6B6F34CA149E4B01BA6DE82" ma:contentTypeVersion="17" ma:contentTypeDescription="Create a new document." ma:contentTypeScope="" ma:versionID="0ec2f62f9f2b225bcbc7f0250e7e7fc3">
  <xsd:schema xmlns:xsd="http://www.w3.org/2001/XMLSchema" xmlns:xs="http://www.w3.org/2001/XMLSchema" xmlns:p="http://schemas.microsoft.com/office/2006/metadata/properties" xmlns:ns3="0a89be48-00c3-4dce-a54e-5fa37f38efab" xmlns:ns4="b0585e4f-ee23-4833-9bbe-8be3b0a875ac" targetNamespace="http://schemas.microsoft.com/office/2006/metadata/properties" ma:root="true" ma:fieldsID="a9da1ae97d833fc7cb65007d3d859725" ns3:_="" ns4:_="">
    <xsd:import namespace="0a89be48-00c3-4dce-a54e-5fa37f38efab"/>
    <xsd:import namespace="b0585e4f-ee23-4833-9bbe-8be3b0a875a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89be48-00c3-4dce-a54e-5fa37f38e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585e4f-ee23-4833-9bbe-8be3b0a875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0a89be48-00c3-4dce-a54e-5fa37f38efa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14CA2C-7A49-48BE-B4C4-A69BD671A1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89be48-00c3-4dce-a54e-5fa37f38efab"/>
    <ds:schemaRef ds:uri="b0585e4f-ee23-4833-9bbe-8be3b0a875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91888D-B965-42BF-817E-2C27B740EF3D}">
  <ds:schemaRefs>
    <ds:schemaRef ds:uri="http://schemas.microsoft.com/office/2006/metadata/properties"/>
    <ds:schemaRef ds:uri="http://schemas.microsoft.com/office/infopath/2007/PartnerControls"/>
    <ds:schemaRef ds:uri="http://schemas.openxmlformats.org/package/2006/metadata/core-properties"/>
    <ds:schemaRef ds:uri="http://schemas.microsoft.com/office/2006/documentManagement/types"/>
    <ds:schemaRef ds:uri="b0585e4f-ee23-4833-9bbe-8be3b0a875ac"/>
    <ds:schemaRef ds:uri="http://www.w3.org/XML/1998/namespace"/>
    <ds:schemaRef ds:uri="http://purl.org/dc/elements/1.1/"/>
    <ds:schemaRef ds:uri="http://purl.org/dc/dcmitype/"/>
    <ds:schemaRef ds:uri="0a89be48-00c3-4dce-a54e-5fa37f38efab"/>
    <ds:schemaRef ds:uri="http://purl.org/dc/terms/"/>
  </ds:schemaRefs>
</ds:datastoreItem>
</file>

<file path=customXml/itemProps3.xml><?xml version="1.0" encoding="utf-8"?>
<ds:datastoreItem xmlns:ds="http://schemas.openxmlformats.org/officeDocument/2006/customXml" ds:itemID="{D41ABE41-B981-4EDE-A40A-8834F7C2ED54}">
  <ds:schemaRefs>
    <ds:schemaRef ds:uri="http://schemas.microsoft.com/sharepoint/v3/contenttype/forms"/>
  </ds:schemaRefs>
</ds:datastoreItem>
</file>

<file path=customXml/itemProps4.xml><?xml version="1.0" encoding="utf-8"?>
<ds:datastoreItem xmlns:ds="http://schemas.openxmlformats.org/officeDocument/2006/customXml" ds:itemID="{8A8884B8-241E-445E-83A2-61A2F978A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128</Pages>
  <Words>186751</Words>
  <Characters>1064483</Characters>
  <Application>Microsoft Office Word</Application>
  <DocSecurity>4</DocSecurity>
  <Lines>8870</Lines>
  <Paragraphs>2497</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1248737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Kim</dc:creator>
  <cp:keywords/>
  <dc:description/>
  <cp:lastModifiedBy>DelFranco, Ruthie</cp:lastModifiedBy>
  <cp:revision>2</cp:revision>
  <cp:lastPrinted>2025-11-19T16:39:00Z</cp:lastPrinted>
  <dcterms:created xsi:type="dcterms:W3CDTF">2025-11-19T21:56:00Z</dcterms:created>
  <dcterms:modified xsi:type="dcterms:W3CDTF">2025-11-19T21:56:00Z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0x01010065EF29BDC6B6F34CA149E4B01BA6DE82</vt:lpwstr>
  </property>
</Properties>
</file>